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C5E44" w14:textId="77777777" w:rsidR="00703C33" w:rsidRPr="00703C33" w:rsidRDefault="00703C33" w:rsidP="00703C33">
      <w:pPr>
        <w:autoSpaceDE w:val="0"/>
        <w:autoSpaceDN w:val="0"/>
        <w:adjustRightInd w:val="0"/>
        <w:spacing w:after="0" w:line="241" w:lineRule="atLeast"/>
        <w:jc w:val="center"/>
        <w:rPr>
          <w:rFonts w:ascii="Arial" w:eastAsia="Times New Roman" w:hAnsi="Arial" w:cs="Arial"/>
          <w:sz w:val="24"/>
          <w:szCs w:val="24"/>
          <w:lang w:val="en-US"/>
        </w:rPr>
      </w:pPr>
      <w:bookmarkStart w:id="0" w:name="OLE_LINK1"/>
      <w:r w:rsidRPr="00703C33">
        <w:rPr>
          <w:rFonts w:ascii="Arial" w:eastAsia="Times New Roman" w:hAnsi="Arial" w:cs="Arial"/>
          <w:noProof/>
          <w:sz w:val="24"/>
          <w:szCs w:val="24"/>
          <w:lang w:eastAsia="en-ZA"/>
        </w:rPr>
        <w:drawing>
          <wp:anchor distT="0" distB="0" distL="114300" distR="114300" simplePos="0" relativeHeight="251659264" behindDoc="0" locked="0" layoutInCell="1" allowOverlap="1" wp14:anchorId="322C6F4B" wp14:editId="6DB658C6">
            <wp:simplePos x="0" y="0"/>
            <wp:positionH relativeFrom="column">
              <wp:posOffset>2619375</wp:posOffset>
            </wp:positionH>
            <wp:positionV relativeFrom="paragraph">
              <wp:posOffset>381</wp:posOffset>
            </wp:positionV>
            <wp:extent cx="8001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A912DF" w14:textId="77777777" w:rsidR="00703C33" w:rsidRPr="00703C33" w:rsidRDefault="00703C33" w:rsidP="00703C33">
      <w:pPr>
        <w:spacing w:after="0" w:line="240" w:lineRule="auto"/>
        <w:jc w:val="both"/>
        <w:rPr>
          <w:rFonts w:ascii="Arial" w:eastAsia="Times New Roman" w:hAnsi="Arial" w:cs="Arial"/>
          <w:sz w:val="24"/>
          <w:szCs w:val="24"/>
          <w:lang w:val="en-US"/>
        </w:rPr>
      </w:pPr>
    </w:p>
    <w:bookmarkEnd w:id="0"/>
    <w:p w14:paraId="5445C961" w14:textId="77777777" w:rsidR="00703C33" w:rsidRPr="00703C33" w:rsidRDefault="00703C33" w:rsidP="00703C33">
      <w:pPr>
        <w:autoSpaceDE w:val="0"/>
        <w:autoSpaceDN w:val="0"/>
        <w:adjustRightInd w:val="0"/>
        <w:spacing w:after="0" w:line="276" w:lineRule="auto"/>
        <w:jc w:val="center"/>
        <w:rPr>
          <w:rFonts w:ascii="Times New Roman" w:eastAsia="Times New Roman" w:hAnsi="Times New Roman" w:cs="Times New Roman"/>
          <w:b/>
          <w:bCs/>
          <w:sz w:val="28"/>
          <w:szCs w:val="28"/>
          <w:lang w:val="en-US"/>
        </w:rPr>
      </w:pPr>
    </w:p>
    <w:p w14:paraId="144B7C50" w14:textId="77777777" w:rsidR="00703C33" w:rsidRPr="00703C33" w:rsidRDefault="00703C33" w:rsidP="00703C33">
      <w:pPr>
        <w:autoSpaceDE w:val="0"/>
        <w:autoSpaceDN w:val="0"/>
        <w:adjustRightInd w:val="0"/>
        <w:spacing w:after="0" w:line="276" w:lineRule="auto"/>
        <w:jc w:val="center"/>
        <w:rPr>
          <w:rFonts w:ascii="Times New Roman" w:eastAsia="Times New Roman" w:hAnsi="Times New Roman" w:cs="Times New Roman"/>
          <w:b/>
          <w:bCs/>
          <w:sz w:val="28"/>
          <w:szCs w:val="28"/>
          <w:lang w:val="en-US"/>
        </w:rPr>
      </w:pPr>
    </w:p>
    <w:p w14:paraId="2EECB605" w14:textId="77777777" w:rsidR="00703C33" w:rsidRPr="00703C33" w:rsidRDefault="00703C33" w:rsidP="00703C33">
      <w:pPr>
        <w:autoSpaceDE w:val="0"/>
        <w:autoSpaceDN w:val="0"/>
        <w:adjustRightInd w:val="0"/>
        <w:spacing w:after="0" w:line="276" w:lineRule="auto"/>
        <w:jc w:val="center"/>
        <w:rPr>
          <w:rFonts w:ascii="Times New Roman" w:eastAsia="Times New Roman" w:hAnsi="Times New Roman" w:cs="Times New Roman"/>
          <w:b/>
          <w:bCs/>
          <w:sz w:val="28"/>
          <w:szCs w:val="28"/>
          <w:lang w:val="en-US"/>
        </w:rPr>
      </w:pPr>
    </w:p>
    <w:p w14:paraId="4A0FB70E" w14:textId="77777777" w:rsidR="00703C33" w:rsidRPr="00703C33" w:rsidRDefault="00703C33" w:rsidP="00703C33">
      <w:pPr>
        <w:autoSpaceDE w:val="0"/>
        <w:autoSpaceDN w:val="0"/>
        <w:adjustRightInd w:val="0"/>
        <w:spacing w:after="0" w:line="360" w:lineRule="auto"/>
        <w:jc w:val="center"/>
        <w:rPr>
          <w:rFonts w:ascii="Times New Roman" w:eastAsia="Times New Roman" w:hAnsi="Times New Roman" w:cs="Times New Roman"/>
          <w:b/>
          <w:bCs/>
          <w:sz w:val="28"/>
          <w:szCs w:val="28"/>
          <w:lang w:val="en-US"/>
        </w:rPr>
      </w:pPr>
      <w:r w:rsidRPr="00703C33">
        <w:rPr>
          <w:rFonts w:ascii="Times New Roman" w:eastAsia="Times New Roman" w:hAnsi="Times New Roman" w:cs="Times New Roman"/>
          <w:b/>
          <w:bCs/>
          <w:sz w:val="28"/>
          <w:szCs w:val="28"/>
          <w:lang w:val="en-US"/>
        </w:rPr>
        <w:t>THE SUPREME COURT OF APPEAL OF SOUTH AFRICA</w:t>
      </w:r>
    </w:p>
    <w:p w14:paraId="57EE7ABD" w14:textId="77777777" w:rsidR="00703C33" w:rsidRPr="00703C33" w:rsidRDefault="00703C33" w:rsidP="00703C33">
      <w:pPr>
        <w:spacing w:after="0" w:line="360" w:lineRule="auto"/>
        <w:jc w:val="center"/>
        <w:rPr>
          <w:rFonts w:ascii="Times New Roman" w:eastAsia="Times New Roman" w:hAnsi="Times New Roman" w:cs="Times New Roman"/>
          <w:b/>
          <w:bCs/>
          <w:sz w:val="28"/>
          <w:szCs w:val="28"/>
          <w:lang w:val="en-GB" w:eastAsia="en-GB"/>
        </w:rPr>
      </w:pPr>
      <w:r w:rsidRPr="00703C33">
        <w:rPr>
          <w:rFonts w:ascii="Times New Roman" w:eastAsia="Times New Roman" w:hAnsi="Times New Roman" w:cs="Times New Roman"/>
          <w:b/>
          <w:bCs/>
          <w:sz w:val="28"/>
          <w:szCs w:val="28"/>
          <w:lang w:val="en-GB" w:eastAsia="en-GB"/>
        </w:rPr>
        <w:t>JUDGMENT</w:t>
      </w:r>
    </w:p>
    <w:p w14:paraId="72E778A7" w14:textId="77777777" w:rsidR="00703C33" w:rsidRPr="00703C33" w:rsidRDefault="00703C33" w:rsidP="00703C33">
      <w:pPr>
        <w:spacing w:after="0" w:line="276" w:lineRule="auto"/>
        <w:jc w:val="center"/>
        <w:rPr>
          <w:rFonts w:ascii="Times New Roman" w:eastAsia="Times New Roman" w:hAnsi="Times New Roman" w:cs="Times New Roman"/>
          <w:b/>
          <w:bCs/>
          <w:sz w:val="28"/>
          <w:szCs w:val="28"/>
          <w:lang w:val="en-GB" w:eastAsia="en-GB"/>
        </w:rPr>
      </w:pPr>
    </w:p>
    <w:p w14:paraId="350C9043" w14:textId="5CF89623" w:rsidR="00703C33" w:rsidRPr="00703C33" w:rsidRDefault="00703C33" w:rsidP="00703C33">
      <w:pPr>
        <w:spacing w:after="0" w:line="360" w:lineRule="auto"/>
        <w:jc w:val="right"/>
        <w:rPr>
          <w:rFonts w:ascii="Times New Roman" w:eastAsia="Times New Roman" w:hAnsi="Times New Roman" w:cs="Times New Roman"/>
          <w:b/>
          <w:sz w:val="28"/>
          <w:szCs w:val="28"/>
          <w:lang w:val="en-GB" w:eastAsia="en-GB"/>
        </w:rPr>
      </w:pPr>
      <w:r w:rsidRPr="008731C8">
        <w:rPr>
          <w:rFonts w:ascii="Times New Roman" w:eastAsia="Times New Roman" w:hAnsi="Times New Roman" w:cs="Times New Roman"/>
          <w:b/>
          <w:sz w:val="28"/>
          <w:szCs w:val="28"/>
          <w:lang w:val="en-GB" w:eastAsia="en-GB"/>
        </w:rPr>
        <w:t>Reportable</w:t>
      </w:r>
    </w:p>
    <w:p w14:paraId="3E071BE7" w14:textId="77777777" w:rsidR="00703C33" w:rsidRPr="00703C33" w:rsidRDefault="00703C33" w:rsidP="00703C33">
      <w:pPr>
        <w:spacing w:after="0" w:line="360" w:lineRule="auto"/>
        <w:jc w:val="right"/>
        <w:rPr>
          <w:rFonts w:ascii="Times New Roman" w:eastAsia="Times New Roman" w:hAnsi="Times New Roman" w:cs="Times New Roman"/>
          <w:sz w:val="28"/>
          <w:szCs w:val="28"/>
          <w:lang w:val="en-GB" w:eastAsia="en-GB"/>
        </w:rPr>
      </w:pPr>
      <w:r w:rsidRPr="00703C33">
        <w:rPr>
          <w:rFonts w:ascii="Times New Roman" w:eastAsia="Times New Roman" w:hAnsi="Times New Roman" w:cs="Times New Roman"/>
          <w:sz w:val="28"/>
          <w:szCs w:val="28"/>
          <w:lang w:val="en-GB" w:eastAsia="en-GB"/>
        </w:rPr>
        <w:t>Case no: 167/2021</w:t>
      </w:r>
    </w:p>
    <w:p w14:paraId="31C64449" w14:textId="77777777" w:rsidR="00703C33" w:rsidRPr="00703C33" w:rsidRDefault="00703C33" w:rsidP="00703C33">
      <w:pPr>
        <w:spacing w:after="0" w:line="276" w:lineRule="auto"/>
        <w:jc w:val="both"/>
        <w:rPr>
          <w:rFonts w:ascii="Times New Roman" w:eastAsia="Times New Roman" w:hAnsi="Times New Roman" w:cs="Times New Roman"/>
          <w:sz w:val="28"/>
          <w:szCs w:val="28"/>
          <w:lang w:val="en-GB" w:eastAsia="en-GB"/>
        </w:rPr>
      </w:pPr>
    </w:p>
    <w:p w14:paraId="1E36766B" w14:textId="77777777" w:rsidR="00703C33" w:rsidRPr="00703C33" w:rsidRDefault="00703C33" w:rsidP="00703C33">
      <w:pPr>
        <w:spacing w:after="0" w:line="360" w:lineRule="auto"/>
        <w:rPr>
          <w:rFonts w:ascii="Times New Roman" w:eastAsia="Times New Roman" w:hAnsi="Times New Roman" w:cs="Times New Roman"/>
          <w:sz w:val="28"/>
          <w:szCs w:val="28"/>
          <w:lang w:val="en-GB" w:eastAsia="en-GB"/>
        </w:rPr>
      </w:pPr>
      <w:r w:rsidRPr="00703C33">
        <w:rPr>
          <w:rFonts w:ascii="Times New Roman" w:eastAsia="Times New Roman" w:hAnsi="Times New Roman" w:cs="Times New Roman"/>
          <w:sz w:val="28"/>
          <w:szCs w:val="28"/>
          <w:lang w:val="en-GB" w:eastAsia="en-GB"/>
        </w:rPr>
        <w:t>In the matter between:</w:t>
      </w:r>
    </w:p>
    <w:p w14:paraId="2A69AECE" w14:textId="77777777" w:rsidR="00703C33" w:rsidRPr="00703C33" w:rsidRDefault="00703C33" w:rsidP="00703C33">
      <w:pPr>
        <w:tabs>
          <w:tab w:val="right" w:pos="9480"/>
        </w:tabs>
        <w:spacing w:after="0" w:line="480" w:lineRule="auto"/>
        <w:rPr>
          <w:rFonts w:ascii="Times New Roman" w:eastAsia="Times New Roman" w:hAnsi="Times New Roman" w:cs="Times New Roman"/>
          <w:b/>
          <w:sz w:val="28"/>
          <w:szCs w:val="28"/>
          <w:lang w:val="en-GB" w:eastAsia="en-GB"/>
        </w:rPr>
      </w:pPr>
      <w:r w:rsidRPr="00703C33">
        <w:rPr>
          <w:rFonts w:ascii="Times New Roman" w:eastAsia="Times New Roman" w:hAnsi="Times New Roman" w:cs="Times New Roman"/>
          <w:b/>
          <w:sz w:val="28"/>
          <w:szCs w:val="28"/>
          <w:lang w:val="en-GB" w:eastAsia="en-GB"/>
        </w:rPr>
        <w:t>LUKE M TEMBANI</w:t>
      </w:r>
      <w:r w:rsidRPr="00703C33">
        <w:rPr>
          <w:rFonts w:ascii="Times New Roman" w:eastAsia="Times New Roman" w:hAnsi="Times New Roman" w:cs="Times New Roman"/>
          <w:b/>
          <w:sz w:val="28"/>
          <w:szCs w:val="28"/>
          <w:lang w:val="en-GB" w:eastAsia="en-GB"/>
        </w:rPr>
        <w:tab/>
        <w:t>FIRST APPELLANT</w:t>
      </w:r>
    </w:p>
    <w:p w14:paraId="3363D6B3" w14:textId="77777777" w:rsidR="00703C33" w:rsidRPr="00703C33" w:rsidRDefault="00703C33" w:rsidP="00703C33">
      <w:pPr>
        <w:tabs>
          <w:tab w:val="left" w:pos="720"/>
          <w:tab w:val="right" w:pos="9498"/>
        </w:tabs>
        <w:spacing w:after="0" w:line="480" w:lineRule="auto"/>
        <w:jc w:val="both"/>
        <w:rPr>
          <w:rFonts w:ascii="Times New Roman" w:eastAsia="Times New Roman" w:hAnsi="Times New Roman" w:cs="Times New Roman"/>
          <w:b/>
          <w:sz w:val="28"/>
          <w:szCs w:val="28"/>
          <w:lang w:val="en-GB" w:eastAsia="en-GB"/>
        </w:rPr>
      </w:pPr>
      <w:r w:rsidRPr="00703C33">
        <w:rPr>
          <w:rFonts w:ascii="Times New Roman" w:eastAsia="Times New Roman" w:hAnsi="Times New Roman" w:cs="Times New Roman"/>
          <w:b/>
          <w:sz w:val="28"/>
          <w:szCs w:val="28"/>
          <w:lang w:val="en-GB" w:eastAsia="en-GB"/>
        </w:rPr>
        <w:t>LMT ESTATES (</w:t>
      </w:r>
      <w:r w:rsidR="00D56D0D" w:rsidRPr="005B1015">
        <w:rPr>
          <w:rFonts w:ascii="Times New Roman" w:eastAsia="Times New Roman" w:hAnsi="Times New Roman" w:cs="Times New Roman"/>
          <w:b/>
          <w:sz w:val="28"/>
          <w:szCs w:val="28"/>
          <w:lang w:val="en-GB" w:eastAsia="en-GB"/>
        </w:rPr>
        <w:t>PVT</w:t>
      </w:r>
      <w:r w:rsidRPr="00703C33">
        <w:rPr>
          <w:rFonts w:ascii="Times New Roman" w:eastAsia="Times New Roman" w:hAnsi="Times New Roman" w:cs="Times New Roman"/>
          <w:b/>
          <w:sz w:val="28"/>
          <w:szCs w:val="28"/>
          <w:lang w:val="en-GB" w:eastAsia="en-GB"/>
        </w:rPr>
        <w:t xml:space="preserve">) LTD </w:t>
      </w:r>
      <w:r w:rsidRPr="00703C33">
        <w:rPr>
          <w:rFonts w:ascii="Times New Roman" w:eastAsia="Times New Roman" w:hAnsi="Times New Roman" w:cs="Times New Roman"/>
          <w:b/>
          <w:sz w:val="28"/>
          <w:szCs w:val="28"/>
          <w:lang w:val="en-GB" w:eastAsia="en-GB"/>
        </w:rPr>
        <w:tab/>
        <w:t>SECOND APPELLANT</w:t>
      </w:r>
    </w:p>
    <w:p w14:paraId="18305DE8" w14:textId="77777777" w:rsidR="00703C33" w:rsidRDefault="00703C33" w:rsidP="00703C33">
      <w:pPr>
        <w:tabs>
          <w:tab w:val="left" w:pos="720"/>
          <w:tab w:val="right" w:pos="9480"/>
        </w:tabs>
        <w:spacing w:after="0" w:line="480" w:lineRule="auto"/>
        <w:jc w:val="both"/>
        <w:rPr>
          <w:rFonts w:ascii="Times New Roman" w:eastAsia="Times New Roman" w:hAnsi="Times New Roman" w:cs="Times New Roman"/>
          <w:b/>
          <w:sz w:val="28"/>
          <w:szCs w:val="28"/>
          <w:lang w:val="en-GB" w:eastAsia="en-GB"/>
        </w:rPr>
      </w:pPr>
      <w:r w:rsidRPr="00703C33">
        <w:rPr>
          <w:rFonts w:ascii="Times New Roman" w:eastAsia="Times New Roman" w:hAnsi="Times New Roman" w:cs="Times New Roman"/>
          <w:b/>
          <w:sz w:val="28"/>
          <w:szCs w:val="28"/>
          <w:lang w:val="en-GB" w:eastAsia="en-GB"/>
        </w:rPr>
        <w:t>WYNAND HART</w:t>
      </w:r>
      <w:r w:rsidRPr="00703C33">
        <w:rPr>
          <w:rFonts w:ascii="Times New Roman" w:eastAsia="Times New Roman" w:hAnsi="Times New Roman" w:cs="Times New Roman"/>
          <w:b/>
          <w:sz w:val="28"/>
          <w:szCs w:val="28"/>
          <w:lang w:val="en-GB" w:eastAsia="en-GB"/>
        </w:rPr>
        <w:tab/>
        <w:t>THIRD APPELLANT</w:t>
      </w:r>
    </w:p>
    <w:p w14:paraId="128F4EB2" w14:textId="77777777" w:rsidR="00EA6FC3" w:rsidRDefault="00EA6FC3" w:rsidP="00EA6FC3">
      <w:pPr>
        <w:tabs>
          <w:tab w:val="left" w:pos="720"/>
          <w:tab w:val="right" w:pos="9480"/>
        </w:tabs>
        <w:spacing w:after="0" w:line="240" w:lineRule="auto"/>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QUEENSDALE ENTERPRISES (PVT)</w:t>
      </w:r>
    </w:p>
    <w:p w14:paraId="1ECACC19" w14:textId="77777777" w:rsidR="00EA6FC3" w:rsidRDefault="00EA6FC3" w:rsidP="00EA6FC3">
      <w:pPr>
        <w:tabs>
          <w:tab w:val="left" w:pos="720"/>
          <w:tab w:val="right" w:pos="9480"/>
        </w:tabs>
        <w:spacing w:after="0" w:line="240" w:lineRule="auto"/>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LTD</w:t>
      </w:r>
      <w:r w:rsidR="007C448C">
        <w:rPr>
          <w:rFonts w:ascii="Times New Roman" w:eastAsia="Times New Roman" w:hAnsi="Times New Roman" w:cs="Times New Roman"/>
          <w:b/>
          <w:sz w:val="28"/>
          <w:szCs w:val="28"/>
          <w:lang w:val="en-GB" w:eastAsia="en-GB"/>
        </w:rPr>
        <w:tab/>
      </w:r>
      <w:r w:rsidR="000029A6">
        <w:rPr>
          <w:rFonts w:ascii="Times New Roman" w:eastAsia="Times New Roman" w:hAnsi="Times New Roman" w:cs="Times New Roman"/>
          <w:b/>
          <w:sz w:val="28"/>
          <w:szCs w:val="28"/>
          <w:lang w:val="en-GB" w:eastAsia="en-GB"/>
        </w:rPr>
        <w:tab/>
        <w:t>FOURTH APPELLANT</w:t>
      </w:r>
    </w:p>
    <w:p w14:paraId="65048EDB" w14:textId="77777777" w:rsidR="00EA6FC3" w:rsidRDefault="00EA6FC3" w:rsidP="00EA6FC3">
      <w:pPr>
        <w:tabs>
          <w:tab w:val="left" w:pos="720"/>
          <w:tab w:val="right" w:pos="9480"/>
        </w:tabs>
        <w:spacing w:after="0" w:line="240" w:lineRule="auto"/>
        <w:jc w:val="both"/>
        <w:rPr>
          <w:rFonts w:ascii="Times New Roman" w:eastAsia="Times New Roman" w:hAnsi="Times New Roman" w:cs="Times New Roman"/>
          <w:b/>
          <w:sz w:val="28"/>
          <w:szCs w:val="28"/>
          <w:lang w:val="en-GB" w:eastAsia="en-GB"/>
        </w:rPr>
      </w:pPr>
    </w:p>
    <w:p w14:paraId="7AE9551A" w14:textId="77777777" w:rsidR="00EA6FC3" w:rsidRDefault="00EA6FC3" w:rsidP="00EA6FC3">
      <w:pPr>
        <w:tabs>
          <w:tab w:val="left" w:pos="720"/>
          <w:tab w:val="right" w:pos="9480"/>
        </w:tabs>
        <w:spacing w:after="0" w:line="240" w:lineRule="auto"/>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MADODA ENTERPRISES (PVT) LTD</w:t>
      </w:r>
      <w:r w:rsidR="000029A6">
        <w:rPr>
          <w:rFonts w:ascii="Times New Roman" w:eastAsia="Times New Roman" w:hAnsi="Times New Roman" w:cs="Times New Roman"/>
          <w:b/>
          <w:sz w:val="28"/>
          <w:szCs w:val="28"/>
          <w:lang w:val="en-GB" w:eastAsia="en-GB"/>
        </w:rPr>
        <w:tab/>
      </w:r>
      <w:r w:rsidR="007C448C">
        <w:rPr>
          <w:rFonts w:ascii="Times New Roman" w:eastAsia="Times New Roman" w:hAnsi="Times New Roman" w:cs="Times New Roman"/>
          <w:b/>
          <w:sz w:val="28"/>
          <w:szCs w:val="28"/>
          <w:lang w:val="en-GB" w:eastAsia="en-GB"/>
        </w:rPr>
        <w:t>FIFTH APPELLANT</w:t>
      </w:r>
    </w:p>
    <w:p w14:paraId="6472B5B6" w14:textId="77777777" w:rsidR="00EA6FC3" w:rsidRDefault="00EA6FC3" w:rsidP="00EA6FC3">
      <w:pPr>
        <w:tabs>
          <w:tab w:val="left" w:pos="720"/>
          <w:tab w:val="right" w:pos="9480"/>
        </w:tabs>
        <w:spacing w:after="0" w:line="240" w:lineRule="auto"/>
        <w:jc w:val="both"/>
        <w:rPr>
          <w:rFonts w:ascii="Times New Roman" w:eastAsia="Times New Roman" w:hAnsi="Times New Roman" w:cs="Times New Roman"/>
          <w:b/>
          <w:sz w:val="28"/>
          <w:szCs w:val="28"/>
          <w:lang w:val="en-GB" w:eastAsia="en-GB"/>
        </w:rPr>
      </w:pPr>
    </w:p>
    <w:p w14:paraId="1FB1FD48" w14:textId="77777777" w:rsidR="00EA6FC3" w:rsidRDefault="00EA6FC3" w:rsidP="00EA6FC3">
      <w:pPr>
        <w:tabs>
          <w:tab w:val="left" w:pos="720"/>
          <w:tab w:val="right" w:pos="9480"/>
        </w:tabs>
        <w:spacing w:after="0" w:line="240" w:lineRule="auto"/>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 xml:space="preserve">KLIPDRIFT </w:t>
      </w:r>
      <w:r w:rsidR="007C448C">
        <w:rPr>
          <w:rFonts w:ascii="Times New Roman" w:eastAsia="Times New Roman" w:hAnsi="Times New Roman" w:cs="Times New Roman"/>
          <w:b/>
          <w:sz w:val="28"/>
          <w:szCs w:val="28"/>
          <w:lang w:val="en-GB" w:eastAsia="en-GB"/>
        </w:rPr>
        <w:t>ENTERPRISES</w:t>
      </w:r>
      <w:r>
        <w:rPr>
          <w:rFonts w:ascii="Times New Roman" w:eastAsia="Times New Roman" w:hAnsi="Times New Roman" w:cs="Times New Roman"/>
          <w:b/>
          <w:sz w:val="28"/>
          <w:szCs w:val="28"/>
          <w:lang w:val="en-GB" w:eastAsia="en-GB"/>
        </w:rPr>
        <w:t xml:space="preserve"> (PVT) LTD</w:t>
      </w:r>
      <w:r w:rsidR="000029A6">
        <w:rPr>
          <w:rFonts w:ascii="Times New Roman" w:eastAsia="Times New Roman" w:hAnsi="Times New Roman" w:cs="Times New Roman"/>
          <w:b/>
          <w:sz w:val="28"/>
          <w:szCs w:val="28"/>
          <w:lang w:val="en-GB" w:eastAsia="en-GB"/>
        </w:rPr>
        <w:tab/>
      </w:r>
      <w:r w:rsidR="007C448C">
        <w:rPr>
          <w:rFonts w:ascii="Times New Roman" w:eastAsia="Times New Roman" w:hAnsi="Times New Roman" w:cs="Times New Roman"/>
          <w:b/>
          <w:sz w:val="28"/>
          <w:szCs w:val="28"/>
          <w:lang w:val="en-GB" w:eastAsia="en-GB"/>
        </w:rPr>
        <w:t>SIXTH APPELLANT</w:t>
      </w:r>
    </w:p>
    <w:p w14:paraId="0A4E77CB" w14:textId="77777777" w:rsidR="00EA6FC3" w:rsidRDefault="00EA6FC3" w:rsidP="00EA6FC3">
      <w:pPr>
        <w:tabs>
          <w:tab w:val="left" w:pos="720"/>
          <w:tab w:val="right" w:pos="9480"/>
        </w:tabs>
        <w:spacing w:after="0" w:line="240" w:lineRule="auto"/>
        <w:jc w:val="both"/>
        <w:rPr>
          <w:rFonts w:ascii="Times New Roman" w:eastAsia="Times New Roman" w:hAnsi="Times New Roman" w:cs="Times New Roman"/>
          <w:b/>
          <w:sz w:val="28"/>
          <w:szCs w:val="28"/>
          <w:lang w:val="en-GB" w:eastAsia="en-GB"/>
        </w:rPr>
      </w:pPr>
    </w:p>
    <w:p w14:paraId="7F5668E7" w14:textId="77777777" w:rsidR="00EA6FC3" w:rsidRDefault="00EA6FC3" w:rsidP="00EA6FC3">
      <w:pPr>
        <w:tabs>
          <w:tab w:val="left" w:pos="720"/>
          <w:tab w:val="right" w:pos="9480"/>
        </w:tabs>
        <w:spacing w:after="0" w:line="240" w:lineRule="auto"/>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MIKE CAMPBELL (PVT) LTD</w:t>
      </w:r>
      <w:r w:rsidR="00AE4C6D">
        <w:rPr>
          <w:rFonts w:ascii="Times New Roman" w:eastAsia="Times New Roman" w:hAnsi="Times New Roman" w:cs="Times New Roman"/>
          <w:b/>
          <w:sz w:val="28"/>
          <w:szCs w:val="28"/>
          <w:lang w:val="en-GB" w:eastAsia="en-GB"/>
        </w:rPr>
        <w:tab/>
      </w:r>
      <w:r w:rsidR="007C448C">
        <w:rPr>
          <w:rFonts w:ascii="Times New Roman" w:eastAsia="Times New Roman" w:hAnsi="Times New Roman" w:cs="Times New Roman"/>
          <w:b/>
          <w:sz w:val="28"/>
          <w:szCs w:val="28"/>
          <w:lang w:val="en-GB" w:eastAsia="en-GB"/>
        </w:rPr>
        <w:t>SEVENTH APPELLANT</w:t>
      </w:r>
    </w:p>
    <w:p w14:paraId="31037508" w14:textId="77777777" w:rsidR="00EA6FC3" w:rsidRDefault="00EA6FC3" w:rsidP="00EA6FC3">
      <w:pPr>
        <w:tabs>
          <w:tab w:val="left" w:pos="720"/>
          <w:tab w:val="right" w:pos="9480"/>
        </w:tabs>
        <w:spacing w:after="0" w:line="240" w:lineRule="auto"/>
        <w:jc w:val="both"/>
        <w:rPr>
          <w:rFonts w:ascii="Times New Roman" w:eastAsia="Times New Roman" w:hAnsi="Times New Roman" w:cs="Times New Roman"/>
          <w:b/>
          <w:sz w:val="28"/>
          <w:szCs w:val="28"/>
          <w:lang w:val="en-GB" w:eastAsia="en-GB"/>
        </w:rPr>
      </w:pPr>
    </w:p>
    <w:p w14:paraId="6CAD8B58" w14:textId="77777777" w:rsidR="00EA6FC3" w:rsidRDefault="00EA6FC3" w:rsidP="00EA6FC3">
      <w:pPr>
        <w:tabs>
          <w:tab w:val="left" w:pos="720"/>
          <w:tab w:val="right" w:pos="9480"/>
        </w:tabs>
        <w:spacing w:after="0" w:line="240" w:lineRule="auto"/>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RICHARD THOMAS ETHERIDGE</w:t>
      </w:r>
      <w:r w:rsidR="00AE4C6D">
        <w:rPr>
          <w:rFonts w:ascii="Times New Roman" w:eastAsia="Times New Roman" w:hAnsi="Times New Roman" w:cs="Times New Roman"/>
          <w:b/>
          <w:sz w:val="28"/>
          <w:szCs w:val="28"/>
          <w:lang w:val="en-GB" w:eastAsia="en-GB"/>
        </w:rPr>
        <w:tab/>
      </w:r>
      <w:r w:rsidR="007C448C">
        <w:rPr>
          <w:rFonts w:ascii="Times New Roman" w:eastAsia="Times New Roman" w:hAnsi="Times New Roman" w:cs="Times New Roman"/>
          <w:b/>
          <w:sz w:val="28"/>
          <w:szCs w:val="28"/>
          <w:lang w:val="en-GB" w:eastAsia="en-GB"/>
        </w:rPr>
        <w:t>EIGHTH APPELLANT</w:t>
      </w:r>
    </w:p>
    <w:p w14:paraId="58C7AE32" w14:textId="77777777" w:rsidR="00EA6FC3" w:rsidRDefault="00EA6FC3" w:rsidP="00EA6FC3">
      <w:pPr>
        <w:tabs>
          <w:tab w:val="left" w:pos="720"/>
          <w:tab w:val="right" w:pos="9480"/>
        </w:tabs>
        <w:spacing w:after="0" w:line="240" w:lineRule="auto"/>
        <w:jc w:val="both"/>
        <w:rPr>
          <w:rFonts w:ascii="Times New Roman" w:eastAsia="Times New Roman" w:hAnsi="Times New Roman" w:cs="Times New Roman"/>
          <w:b/>
          <w:sz w:val="28"/>
          <w:szCs w:val="28"/>
          <w:lang w:val="en-GB" w:eastAsia="en-GB"/>
        </w:rPr>
      </w:pPr>
    </w:p>
    <w:p w14:paraId="7F729E7C" w14:textId="77777777" w:rsidR="00EA6FC3" w:rsidRDefault="00EA6FC3" w:rsidP="00EA6FC3">
      <w:pPr>
        <w:tabs>
          <w:tab w:val="left" w:pos="720"/>
          <w:tab w:val="right" w:pos="9480"/>
        </w:tabs>
        <w:spacing w:after="0" w:line="240" w:lineRule="auto"/>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ANDREW KOCKOTT</w:t>
      </w:r>
      <w:r w:rsidR="00AE4C6D">
        <w:rPr>
          <w:rFonts w:ascii="Times New Roman" w:eastAsia="Times New Roman" w:hAnsi="Times New Roman" w:cs="Times New Roman"/>
          <w:b/>
          <w:sz w:val="28"/>
          <w:szCs w:val="28"/>
          <w:lang w:val="en-GB" w:eastAsia="en-GB"/>
        </w:rPr>
        <w:tab/>
      </w:r>
      <w:r w:rsidR="007C448C">
        <w:rPr>
          <w:rFonts w:ascii="Times New Roman" w:eastAsia="Times New Roman" w:hAnsi="Times New Roman" w:cs="Times New Roman"/>
          <w:b/>
          <w:sz w:val="28"/>
          <w:szCs w:val="28"/>
          <w:lang w:val="en-GB" w:eastAsia="en-GB"/>
        </w:rPr>
        <w:t>NINTH APPELLANT</w:t>
      </w:r>
    </w:p>
    <w:p w14:paraId="6B36F195" w14:textId="77777777" w:rsidR="00EA6FC3" w:rsidRDefault="00EA6FC3" w:rsidP="00EA6FC3">
      <w:pPr>
        <w:tabs>
          <w:tab w:val="left" w:pos="720"/>
          <w:tab w:val="right" w:pos="9480"/>
        </w:tabs>
        <w:spacing w:after="0" w:line="240" w:lineRule="auto"/>
        <w:jc w:val="both"/>
        <w:rPr>
          <w:rFonts w:ascii="Times New Roman" w:eastAsia="Times New Roman" w:hAnsi="Times New Roman" w:cs="Times New Roman"/>
          <w:b/>
          <w:sz w:val="28"/>
          <w:szCs w:val="28"/>
          <w:lang w:val="en-GB" w:eastAsia="en-GB"/>
        </w:rPr>
      </w:pPr>
    </w:p>
    <w:p w14:paraId="35DEC8C1" w14:textId="77777777" w:rsidR="00EA6FC3" w:rsidRDefault="00EA6FC3" w:rsidP="00EA6FC3">
      <w:pPr>
        <w:tabs>
          <w:tab w:val="left" w:pos="720"/>
          <w:tab w:val="right" w:pos="9480"/>
        </w:tabs>
        <w:spacing w:after="0" w:line="240" w:lineRule="auto"/>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TENGWE ESTATES (PVT) LTD</w:t>
      </w:r>
      <w:r w:rsidR="00AE4C6D">
        <w:rPr>
          <w:rFonts w:ascii="Times New Roman" w:eastAsia="Times New Roman" w:hAnsi="Times New Roman" w:cs="Times New Roman"/>
          <w:b/>
          <w:sz w:val="28"/>
          <w:szCs w:val="28"/>
          <w:lang w:val="en-GB" w:eastAsia="en-GB"/>
        </w:rPr>
        <w:tab/>
      </w:r>
      <w:r w:rsidR="007C448C">
        <w:rPr>
          <w:rFonts w:ascii="Times New Roman" w:eastAsia="Times New Roman" w:hAnsi="Times New Roman" w:cs="Times New Roman"/>
          <w:b/>
          <w:sz w:val="28"/>
          <w:szCs w:val="28"/>
          <w:lang w:val="en-GB" w:eastAsia="en-GB"/>
        </w:rPr>
        <w:t>TENTH APPELLANT</w:t>
      </w:r>
    </w:p>
    <w:p w14:paraId="3EC8760C" w14:textId="77777777" w:rsidR="00EA6FC3" w:rsidRDefault="00EA6FC3" w:rsidP="00EA6FC3">
      <w:pPr>
        <w:tabs>
          <w:tab w:val="left" w:pos="720"/>
          <w:tab w:val="right" w:pos="9480"/>
        </w:tabs>
        <w:spacing w:after="0" w:line="240" w:lineRule="auto"/>
        <w:jc w:val="both"/>
        <w:rPr>
          <w:rFonts w:ascii="Times New Roman" w:eastAsia="Times New Roman" w:hAnsi="Times New Roman" w:cs="Times New Roman"/>
          <w:b/>
          <w:sz w:val="28"/>
          <w:szCs w:val="28"/>
          <w:lang w:val="en-GB" w:eastAsia="en-GB"/>
        </w:rPr>
      </w:pPr>
    </w:p>
    <w:p w14:paraId="2B656D59" w14:textId="77777777" w:rsidR="00EA6FC3" w:rsidRDefault="00EA6FC3" w:rsidP="00EA6FC3">
      <w:pPr>
        <w:tabs>
          <w:tab w:val="left" w:pos="720"/>
          <w:tab w:val="right" w:pos="9480"/>
        </w:tabs>
        <w:spacing w:after="0" w:line="240" w:lineRule="auto"/>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CHRISTOPHER</w:t>
      </w:r>
      <w:r w:rsidR="00AE4C6D">
        <w:rPr>
          <w:rFonts w:ascii="Times New Roman" w:eastAsia="Times New Roman" w:hAnsi="Times New Roman" w:cs="Times New Roman"/>
          <w:b/>
          <w:sz w:val="28"/>
          <w:szCs w:val="28"/>
          <w:lang w:val="en-GB" w:eastAsia="en-GB"/>
        </w:rPr>
        <w:t xml:space="preserve"> MELLISH JARRETT</w:t>
      </w:r>
      <w:r w:rsidR="00AE4C6D">
        <w:rPr>
          <w:rFonts w:ascii="Times New Roman" w:eastAsia="Times New Roman" w:hAnsi="Times New Roman" w:cs="Times New Roman"/>
          <w:b/>
          <w:sz w:val="28"/>
          <w:szCs w:val="28"/>
          <w:lang w:val="en-GB" w:eastAsia="en-GB"/>
        </w:rPr>
        <w:tab/>
      </w:r>
      <w:r w:rsidR="007C448C">
        <w:rPr>
          <w:rFonts w:ascii="Times New Roman" w:eastAsia="Times New Roman" w:hAnsi="Times New Roman" w:cs="Times New Roman"/>
          <w:b/>
          <w:sz w:val="28"/>
          <w:szCs w:val="28"/>
          <w:lang w:val="en-GB" w:eastAsia="en-GB"/>
        </w:rPr>
        <w:t>ELEVENTH APPELLANT</w:t>
      </w:r>
    </w:p>
    <w:p w14:paraId="6D20B1A4" w14:textId="77777777" w:rsidR="00AE4C6D" w:rsidRDefault="00AE4C6D" w:rsidP="00EA6FC3">
      <w:pPr>
        <w:tabs>
          <w:tab w:val="left" w:pos="720"/>
          <w:tab w:val="right" w:pos="9480"/>
        </w:tabs>
        <w:spacing w:after="0" w:line="240" w:lineRule="auto"/>
        <w:jc w:val="both"/>
        <w:rPr>
          <w:rFonts w:ascii="Times New Roman" w:eastAsia="Times New Roman" w:hAnsi="Times New Roman" w:cs="Times New Roman"/>
          <w:b/>
          <w:sz w:val="28"/>
          <w:szCs w:val="28"/>
          <w:lang w:val="en-GB" w:eastAsia="en-GB"/>
        </w:rPr>
      </w:pPr>
    </w:p>
    <w:p w14:paraId="1A4BD744" w14:textId="77777777" w:rsidR="00AE4C6D" w:rsidRDefault="00AE4C6D" w:rsidP="00EA6FC3">
      <w:pPr>
        <w:tabs>
          <w:tab w:val="left" w:pos="720"/>
          <w:tab w:val="right" w:pos="9480"/>
        </w:tabs>
        <w:spacing w:after="0" w:line="240" w:lineRule="auto"/>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 xml:space="preserve">STUNULA RANCHING (PVT) LTD </w:t>
      </w:r>
      <w:r>
        <w:rPr>
          <w:rFonts w:ascii="Times New Roman" w:eastAsia="Times New Roman" w:hAnsi="Times New Roman" w:cs="Times New Roman"/>
          <w:b/>
          <w:sz w:val="28"/>
          <w:szCs w:val="28"/>
          <w:lang w:val="en-GB" w:eastAsia="en-GB"/>
        </w:rPr>
        <w:tab/>
      </w:r>
      <w:r w:rsidR="007C448C">
        <w:rPr>
          <w:rFonts w:ascii="Times New Roman" w:eastAsia="Times New Roman" w:hAnsi="Times New Roman" w:cs="Times New Roman"/>
          <w:b/>
          <w:sz w:val="28"/>
          <w:szCs w:val="28"/>
          <w:lang w:val="en-GB" w:eastAsia="en-GB"/>
        </w:rPr>
        <w:t>TWELFTH APPELLANT</w:t>
      </w:r>
    </w:p>
    <w:p w14:paraId="6A8E1AC0" w14:textId="77777777" w:rsidR="00AE4C6D" w:rsidRDefault="00AE4C6D" w:rsidP="00EA6FC3">
      <w:pPr>
        <w:tabs>
          <w:tab w:val="left" w:pos="720"/>
          <w:tab w:val="right" w:pos="9480"/>
        </w:tabs>
        <w:spacing w:after="0" w:line="240" w:lineRule="auto"/>
        <w:jc w:val="both"/>
        <w:rPr>
          <w:rFonts w:ascii="Times New Roman" w:eastAsia="Times New Roman" w:hAnsi="Times New Roman" w:cs="Times New Roman"/>
          <w:b/>
          <w:sz w:val="28"/>
          <w:szCs w:val="28"/>
          <w:lang w:val="en-GB" w:eastAsia="en-GB"/>
        </w:rPr>
      </w:pPr>
    </w:p>
    <w:p w14:paraId="68A529CA" w14:textId="77777777" w:rsidR="00AE4C6D" w:rsidRDefault="00AE4C6D" w:rsidP="00EA6FC3">
      <w:pPr>
        <w:tabs>
          <w:tab w:val="left" w:pos="720"/>
          <w:tab w:val="right" w:pos="9480"/>
        </w:tabs>
        <w:spacing w:after="0" w:line="240" w:lineRule="auto"/>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 xml:space="preserve">LUCHABI RANCH (PVT) LTD </w:t>
      </w:r>
      <w:r>
        <w:rPr>
          <w:rFonts w:ascii="Times New Roman" w:eastAsia="Times New Roman" w:hAnsi="Times New Roman" w:cs="Times New Roman"/>
          <w:b/>
          <w:sz w:val="28"/>
          <w:szCs w:val="28"/>
          <w:lang w:val="en-GB" w:eastAsia="en-GB"/>
        </w:rPr>
        <w:tab/>
      </w:r>
      <w:r w:rsidR="007C448C">
        <w:rPr>
          <w:rFonts w:ascii="Times New Roman" w:eastAsia="Times New Roman" w:hAnsi="Times New Roman" w:cs="Times New Roman"/>
          <w:b/>
          <w:sz w:val="28"/>
          <w:szCs w:val="28"/>
          <w:lang w:val="en-GB" w:eastAsia="en-GB"/>
        </w:rPr>
        <w:t>THIRTEENTH APPELLANT</w:t>
      </w:r>
    </w:p>
    <w:p w14:paraId="234115C2" w14:textId="77777777" w:rsidR="00AE4C6D" w:rsidRDefault="00AE4C6D" w:rsidP="00EA6FC3">
      <w:pPr>
        <w:tabs>
          <w:tab w:val="left" w:pos="720"/>
          <w:tab w:val="right" w:pos="9480"/>
        </w:tabs>
        <w:spacing w:after="0" w:line="240" w:lineRule="auto"/>
        <w:jc w:val="both"/>
        <w:rPr>
          <w:rFonts w:ascii="Times New Roman" w:eastAsia="Times New Roman" w:hAnsi="Times New Roman" w:cs="Times New Roman"/>
          <w:b/>
          <w:sz w:val="28"/>
          <w:szCs w:val="28"/>
          <w:lang w:val="en-GB" w:eastAsia="en-GB"/>
        </w:rPr>
      </w:pPr>
    </w:p>
    <w:p w14:paraId="12EC721F" w14:textId="77777777" w:rsidR="00AE4C6D" w:rsidRDefault="00AE4C6D" w:rsidP="00EA6FC3">
      <w:pPr>
        <w:tabs>
          <w:tab w:val="left" w:pos="720"/>
          <w:tab w:val="right" w:pos="9480"/>
        </w:tabs>
        <w:spacing w:after="0" w:line="240" w:lineRule="auto"/>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LARRY CUMMING</w:t>
      </w:r>
      <w:r>
        <w:rPr>
          <w:rFonts w:ascii="Times New Roman" w:eastAsia="Times New Roman" w:hAnsi="Times New Roman" w:cs="Times New Roman"/>
          <w:b/>
          <w:sz w:val="28"/>
          <w:szCs w:val="28"/>
          <w:lang w:val="en-GB" w:eastAsia="en-GB"/>
        </w:rPr>
        <w:tab/>
      </w:r>
      <w:r w:rsidR="007C448C">
        <w:rPr>
          <w:rFonts w:ascii="Times New Roman" w:eastAsia="Times New Roman" w:hAnsi="Times New Roman" w:cs="Times New Roman"/>
          <w:b/>
          <w:sz w:val="28"/>
          <w:szCs w:val="28"/>
          <w:lang w:val="en-GB" w:eastAsia="en-GB"/>
        </w:rPr>
        <w:t>FOURTEENTH APPELLANT</w:t>
      </w:r>
    </w:p>
    <w:p w14:paraId="13E2BD0C" w14:textId="77777777" w:rsidR="00AE4C6D" w:rsidRDefault="00AE4C6D" w:rsidP="00EA6FC3">
      <w:pPr>
        <w:tabs>
          <w:tab w:val="left" w:pos="720"/>
          <w:tab w:val="right" w:pos="9480"/>
        </w:tabs>
        <w:spacing w:after="0" w:line="240" w:lineRule="auto"/>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lastRenderedPageBreak/>
        <w:t>FRANCE FARM (PVT) LTD</w:t>
      </w:r>
      <w:r>
        <w:rPr>
          <w:rFonts w:ascii="Times New Roman" w:eastAsia="Times New Roman" w:hAnsi="Times New Roman" w:cs="Times New Roman"/>
          <w:b/>
          <w:sz w:val="28"/>
          <w:szCs w:val="28"/>
          <w:lang w:val="en-GB" w:eastAsia="en-GB"/>
        </w:rPr>
        <w:tab/>
      </w:r>
      <w:r w:rsidR="007C448C">
        <w:rPr>
          <w:rFonts w:ascii="Times New Roman" w:eastAsia="Times New Roman" w:hAnsi="Times New Roman" w:cs="Times New Roman"/>
          <w:b/>
          <w:sz w:val="28"/>
          <w:szCs w:val="28"/>
          <w:lang w:val="en-GB" w:eastAsia="en-GB"/>
        </w:rPr>
        <w:t>FIFTEENTH APPELLANT</w:t>
      </w:r>
    </w:p>
    <w:p w14:paraId="7C7B2828" w14:textId="77777777" w:rsidR="00AE4C6D" w:rsidRDefault="00AE4C6D" w:rsidP="00EA6FC3">
      <w:pPr>
        <w:tabs>
          <w:tab w:val="left" w:pos="720"/>
          <w:tab w:val="right" w:pos="9480"/>
        </w:tabs>
        <w:spacing w:after="0" w:line="240" w:lineRule="auto"/>
        <w:jc w:val="both"/>
        <w:rPr>
          <w:rFonts w:ascii="Times New Roman" w:eastAsia="Times New Roman" w:hAnsi="Times New Roman" w:cs="Times New Roman"/>
          <w:b/>
          <w:sz w:val="28"/>
          <w:szCs w:val="28"/>
          <w:lang w:val="en-GB" w:eastAsia="en-GB"/>
        </w:rPr>
      </w:pPr>
    </w:p>
    <w:p w14:paraId="1BC08C95" w14:textId="77777777" w:rsidR="00AE4C6D" w:rsidRDefault="00AE4C6D" w:rsidP="00EA6FC3">
      <w:pPr>
        <w:tabs>
          <w:tab w:val="left" w:pos="720"/>
          <w:tab w:val="right" w:pos="9480"/>
        </w:tabs>
        <w:spacing w:after="0" w:line="240" w:lineRule="auto"/>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MICHAEL IAN PATRICK ODENDAAL</w:t>
      </w:r>
      <w:r>
        <w:rPr>
          <w:rFonts w:ascii="Times New Roman" w:eastAsia="Times New Roman" w:hAnsi="Times New Roman" w:cs="Times New Roman"/>
          <w:b/>
          <w:sz w:val="28"/>
          <w:szCs w:val="28"/>
          <w:lang w:val="en-GB" w:eastAsia="en-GB"/>
        </w:rPr>
        <w:tab/>
      </w:r>
      <w:r w:rsidR="007C448C">
        <w:rPr>
          <w:rFonts w:ascii="Times New Roman" w:eastAsia="Times New Roman" w:hAnsi="Times New Roman" w:cs="Times New Roman"/>
          <w:b/>
          <w:sz w:val="28"/>
          <w:szCs w:val="28"/>
          <w:lang w:val="en-GB" w:eastAsia="en-GB"/>
        </w:rPr>
        <w:t>SIXTEENTH APPELLANT</w:t>
      </w:r>
    </w:p>
    <w:p w14:paraId="44DDE1F5" w14:textId="77777777" w:rsidR="00AE4C6D" w:rsidRDefault="00AE4C6D" w:rsidP="00EA6FC3">
      <w:pPr>
        <w:tabs>
          <w:tab w:val="left" w:pos="720"/>
          <w:tab w:val="right" w:pos="9480"/>
        </w:tabs>
        <w:spacing w:after="0" w:line="240" w:lineRule="auto"/>
        <w:jc w:val="both"/>
        <w:rPr>
          <w:rFonts w:ascii="Times New Roman" w:eastAsia="Times New Roman" w:hAnsi="Times New Roman" w:cs="Times New Roman"/>
          <w:b/>
          <w:sz w:val="28"/>
          <w:szCs w:val="28"/>
          <w:lang w:val="en-GB" w:eastAsia="en-GB"/>
        </w:rPr>
      </w:pPr>
    </w:p>
    <w:p w14:paraId="0F3245D4" w14:textId="77777777" w:rsidR="00AE4C6D" w:rsidRDefault="00AE4C6D" w:rsidP="00EA6FC3">
      <w:pPr>
        <w:tabs>
          <w:tab w:val="left" w:pos="720"/>
          <w:tab w:val="right" w:pos="9480"/>
        </w:tabs>
        <w:spacing w:after="0" w:line="240" w:lineRule="auto"/>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DEBORAH LOUISE ODENDAAL</w:t>
      </w:r>
      <w:r>
        <w:rPr>
          <w:rFonts w:ascii="Times New Roman" w:eastAsia="Times New Roman" w:hAnsi="Times New Roman" w:cs="Times New Roman"/>
          <w:b/>
          <w:sz w:val="28"/>
          <w:szCs w:val="28"/>
          <w:lang w:val="en-GB" w:eastAsia="en-GB"/>
        </w:rPr>
        <w:tab/>
      </w:r>
      <w:r w:rsidR="007C448C">
        <w:rPr>
          <w:rFonts w:ascii="Times New Roman" w:eastAsia="Times New Roman" w:hAnsi="Times New Roman" w:cs="Times New Roman"/>
          <w:b/>
          <w:sz w:val="28"/>
          <w:szCs w:val="28"/>
          <w:lang w:val="en-GB" w:eastAsia="en-GB"/>
        </w:rPr>
        <w:t>SEVENTEENTH APPELLANT</w:t>
      </w:r>
    </w:p>
    <w:p w14:paraId="16AD96FB" w14:textId="77777777" w:rsidR="00AE4C6D" w:rsidRDefault="00AE4C6D" w:rsidP="00EA6FC3">
      <w:pPr>
        <w:tabs>
          <w:tab w:val="left" w:pos="720"/>
          <w:tab w:val="right" w:pos="9480"/>
        </w:tabs>
        <w:spacing w:after="0" w:line="240" w:lineRule="auto"/>
        <w:jc w:val="both"/>
        <w:rPr>
          <w:rFonts w:ascii="Times New Roman" w:eastAsia="Times New Roman" w:hAnsi="Times New Roman" w:cs="Times New Roman"/>
          <w:b/>
          <w:sz w:val="28"/>
          <w:szCs w:val="28"/>
          <w:lang w:val="en-GB" w:eastAsia="en-GB"/>
        </w:rPr>
      </w:pPr>
    </w:p>
    <w:p w14:paraId="1C85E12B" w14:textId="77777777" w:rsidR="00AE4C6D" w:rsidRDefault="00AE4C6D" w:rsidP="00EA6FC3">
      <w:pPr>
        <w:tabs>
          <w:tab w:val="left" w:pos="720"/>
          <w:tab w:val="right" w:pos="9480"/>
        </w:tabs>
        <w:spacing w:after="0" w:line="240" w:lineRule="auto"/>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GRASSFLATS FARM (PVT) LTD</w:t>
      </w:r>
      <w:r>
        <w:rPr>
          <w:rFonts w:ascii="Times New Roman" w:eastAsia="Times New Roman" w:hAnsi="Times New Roman" w:cs="Times New Roman"/>
          <w:b/>
          <w:sz w:val="28"/>
          <w:szCs w:val="28"/>
          <w:lang w:val="en-GB" w:eastAsia="en-GB"/>
        </w:rPr>
        <w:tab/>
      </w:r>
      <w:r w:rsidR="007C448C">
        <w:rPr>
          <w:rFonts w:ascii="Times New Roman" w:eastAsia="Times New Roman" w:hAnsi="Times New Roman" w:cs="Times New Roman"/>
          <w:b/>
          <w:sz w:val="28"/>
          <w:szCs w:val="28"/>
          <w:lang w:val="en-GB" w:eastAsia="en-GB"/>
        </w:rPr>
        <w:t>EIGHTEENTH APPELLANT</w:t>
      </w:r>
    </w:p>
    <w:p w14:paraId="571BFB1F" w14:textId="77777777" w:rsidR="00AE4C6D" w:rsidRDefault="00AE4C6D" w:rsidP="00EA6FC3">
      <w:pPr>
        <w:tabs>
          <w:tab w:val="left" w:pos="720"/>
          <w:tab w:val="right" w:pos="9480"/>
        </w:tabs>
        <w:spacing w:after="0" w:line="240" w:lineRule="auto"/>
        <w:jc w:val="both"/>
        <w:rPr>
          <w:rFonts w:ascii="Times New Roman" w:eastAsia="Times New Roman" w:hAnsi="Times New Roman" w:cs="Times New Roman"/>
          <w:b/>
          <w:sz w:val="28"/>
          <w:szCs w:val="28"/>
          <w:lang w:val="en-GB" w:eastAsia="en-GB"/>
        </w:rPr>
      </w:pPr>
    </w:p>
    <w:p w14:paraId="677DBF8F" w14:textId="77777777" w:rsidR="00AE4C6D" w:rsidRDefault="00AE4C6D" w:rsidP="00EA6FC3">
      <w:pPr>
        <w:tabs>
          <w:tab w:val="left" w:pos="720"/>
          <w:tab w:val="right" w:pos="9480"/>
        </w:tabs>
        <w:spacing w:after="0" w:line="240" w:lineRule="auto"/>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 xml:space="preserve">MURIK MARKETING (PVT) LTD </w:t>
      </w:r>
      <w:r>
        <w:rPr>
          <w:rFonts w:ascii="Times New Roman" w:eastAsia="Times New Roman" w:hAnsi="Times New Roman" w:cs="Times New Roman"/>
          <w:b/>
          <w:sz w:val="28"/>
          <w:szCs w:val="28"/>
          <w:lang w:val="en-GB" w:eastAsia="en-GB"/>
        </w:rPr>
        <w:tab/>
      </w:r>
      <w:r w:rsidR="007C448C">
        <w:rPr>
          <w:rFonts w:ascii="Times New Roman" w:eastAsia="Times New Roman" w:hAnsi="Times New Roman" w:cs="Times New Roman"/>
          <w:b/>
          <w:sz w:val="28"/>
          <w:szCs w:val="28"/>
          <w:lang w:val="en-GB" w:eastAsia="en-GB"/>
        </w:rPr>
        <w:t>NINETEENTH APPELLANT</w:t>
      </w:r>
    </w:p>
    <w:p w14:paraId="5E2AAEFC" w14:textId="77777777" w:rsidR="00AE4C6D" w:rsidRDefault="00AE4C6D" w:rsidP="00EA6FC3">
      <w:pPr>
        <w:tabs>
          <w:tab w:val="left" w:pos="720"/>
          <w:tab w:val="right" w:pos="9480"/>
        </w:tabs>
        <w:spacing w:after="0" w:line="240" w:lineRule="auto"/>
        <w:jc w:val="both"/>
        <w:rPr>
          <w:rFonts w:ascii="Times New Roman" w:eastAsia="Times New Roman" w:hAnsi="Times New Roman" w:cs="Times New Roman"/>
          <w:b/>
          <w:sz w:val="28"/>
          <w:szCs w:val="28"/>
          <w:lang w:val="en-GB" w:eastAsia="en-GB"/>
        </w:rPr>
      </w:pPr>
    </w:p>
    <w:p w14:paraId="2687D1D0" w14:textId="77777777" w:rsidR="00AE4C6D" w:rsidRDefault="00AE4C6D" w:rsidP="00EA6FC3">
      <w:pPr>
        <w:tabs>
          <w:tab w:val="left" w:pos="720"/>
          <w:tab w:val="right" w:pos="9480"/>
        </w:tabs>
        <w:spacing w:after="0" w:line="240" w:lineRule="auto"/>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GIDEON STEPHANUS THERON</w:t>
      </w:r>
      <w:r w:rsidRPr="00AE4C6D">
        <w:rPr>
          <w:rFonts w:ascii="Times New Roman" w:eastAsia="Times New Roman" w:hAnsi="Times New Roman" w:cs="Times New Roman"/>
          <w:b/>
          <w:sz w:val="28"/>
          <w:szCs w:val="28"/>
          <w:lang w:val="en-GB" w:eastAsia="en-GB"/>
        </w:rPr>
        <w:t xml:space="preserve"> </w:t>
      </w:r>
      <w:r>
        <w:rPr>
          <w:rFonts w:ascii="Times New Roman" w:eastAsia="Times New Roman" w:hAnsi="Times New Roman" w:cs="Times New Roman"/>
          <w:b/>
          <w:sz w:val="28"/>
          <w:szCs w:val="28"/>
          <w:lang w:val="en-GB" w:eastAsia="en-GB"/>
        </w:rPr>
        <w:tab/>
      </w:r>
      <w:r w:rsidR="00B726A9">
        <w:rPr>
          <w:rFonts w:ascii="Times New Roman" w:eastAsia="Times New Roman" w:hAnsi="Times New Roman" w:cs="Times New Roman"/>
          <w:b/>
          <w:sz w:val="28"/>
          <w:szCs w:val="28"/>
          <w:lang w:val="en-GB" w:eastAsia="en-GB"/>
        </w:rPr>
        <w:t xml:space="preserve">TWENTIETH </w:t>
      </w:r>
      <w:r w:rsidR="007C448C">
        <w:rPr>
          <w:rFonts w:ascii="Times New Roman" w:eastAsia="Times New Roman" w:hAnsi="Times New Roman" w:cs="Times New Roman"/>
          <w:b/>
          <w:sz w:val="28"/>
          <w:szCs w:val="28"/>
          <w:lang w:val="en-GB" w:eastAsia="en-GB"/>
        </w:rPr>
        <w:t>APPELLANT</w:t>
      </w:r>
    </w:p>
    <w:p w14:paraId="4388F15A" w14:textId="77777777" w:rsidR="00AE4C6D" w:rsidRDefault="00AE4C6D" w:rsidP="00EA6FC3">
      <w:pPr>
        <w:tabs>
          <w:tab w:val="left" w:pos="720"/>
          <w:tab w:val="right" w:pos="9480"/>
        </w:tabs>
        <w:spacing w:after="0" w:line="240" w:lineRule="auto"/>
        <w:jc w:val="both"/>
        <w:rPr>
          <w:rFonts w:ascii="Times New Roman" w:eastAsia="Times New Roman" w:hAnsi="Times New Roman" w:cs="Times New Roman"/>
          <w:b/>
          <w:sz w:val="28"/>
          <w:szCs w:val="28"/>
          <w:lang w:val="en-GB" w:eastAsia="en-GB"/>
        </w:rPr>
      </w:pPr>
    </w:p>
    <w:p w14:paraId="779FECE6" w14:textId="77777777" w:rsidR="00AE4C6D" w:rsidRDefault="00AE4C6D" w:rsidP="00EA6FC3">
      <w:pPr>
        <w:tabs>
          <w:tab w:val="left" w:pos="720"/>
          <w:tab w:val="right" w:pos="9480"/>
        </w:tabs>
        <w:spacing w:after="0" w:line="240" w:lineRule="auto"/>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EBEN HAESER (PVT) LTD</w:t>
      </w:r>
      <w:r w:rsidRPr="00AE4C6D">
        <w:rPr>
          <w:rFonts w:ascii="Times New Roman" w:eastAsia="Times New Roman" w:hAnsi="Times New Roman" w:cs="Times New Roman"/>
          <w:b/>
          <w:sz w:val="28"/>
          <w:szCs w:val="28"/>
          <w:lang w:val="en-GB" w:eastAsia="en-GB"/>
        </w:rPr>
        <w:t xml:space="preserve"> </w:t>
      </w:r>
      <w:r>
        <w:rPr>
          <w:rFonts w:ascii="Times New Roman" w:eastAsia="Times New Roman" w:hAnsi="Times New Roman" w:cs="Times New Roman"/>
          <w:b/>
          <w:sz w:val="28"/>
          <w:szCs w:val="28"/>
          <w:lang w:val="en-GB" w:eastAsia="en-GB"/>
        </w:rPr>
        <w:tab/>
      </w:r>
      <w:r w:rsidR="007C448C">
        <w:rPr>
          <w:rFonts w:ascii="Times New Roman" w:eastAsia="Times New Roman" w:hAnsi="Times New Roman" w:cs="Times New Roman"/>
          <w:b/>
          <w:sz w:val="28"/>
          <w:szCs w:val="28"/>
          <w:lang w:val="en-GB" w:eastAsia="en-GB"/>
        </w:rPr>
        <w:t>TWENTY-FIRST APPELLANT</w:t>
      </w:r>
    </w:p>
    <w:p w14:paraId="4D502046" w14:textId="77777777" w:rsidR="00AE4C6D" w:rsidRDefault="00AE4C6D" w:rsidP="00EA6FC3">
      <w:pPr>
        <w:tabs>
          <w:tab w:val="left" w:pos="720"/>
          <w:tab w:val="right" w:pos="9480"/>
        </w:tabs>
        <w:spacing w:after="0" w:line="240" w:lineRule="auto"/>
        <w:jc w:val="both"/>
        <w:rPr>
          <w:rFonts w:ascii="Times New Roman" w:eastAsia="Times New Roman" w:hAnsi="Times New Roman" w:cs="Times New Roman"/>
          <w:b/>
          <w:sz w:val="28"/>
          <w:szCs w:val="28"/>
          <w:lang w:val="en-GB" w:eastAsia="en-GB"/>
        </w:rPr>
      </w:pPr>
    </w:p>
    <w:p w14:paraId="15F30CDA" w14:textId="77777777" w:rsidR="00AE4C6D" w:rsidRDefault="00AE4C6D" w:rsidP="00EA6FC3">
      <w:pPr>
        <w:tabs>
          <w:tab w:val="left" w:pos="720"/>
          <w:tab w:val="right" w:pos="9480"/>
        </w:tabs>
        <w:spacing w:after="0" w:line="240" w:lineRule="auto"/>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EDEN FARM (PVT) LTD</w:t>
      </w:r>
      <w:r>
        <w:rPr>
          <w:rFonts w:ascii="Times New Roman" w:eastAsia="Times New Roman" w:hAnsi="Times New Roman" w:cs="Times New Roman"/>
          <w:b/>
          <w:sz w:val="28"/>
          <w:szCs w:val="28"/>
          <w:lang w:val="en-GB" w:eastAsia="en-GB"/>
        </w:rPr>
        <w:tab/>
      </w:r>
      <w:r w:rsidR="007C448C">
        <w:rPr>
          <w:rFonts w:ascii="Times New Roman" w:eastAsia="Times New Roman" w:hAnsi="Times New Roman" w:cs="Times New Roman"/>
          <w:b/>
          <w:sz w:val="28"/>
          <w:szCs w:val="28"/>
          <w:lang w:val="en-GB" w:eastAsia="en-GB"/>
        </w:rPr>
        <w:t>TWENTY-SECOND APPELLANT</w:t>
      </w:r>
    </w:p>
    <w:p w14:paraId="2840BE7F" w14:textId="77777777" w:rsidR="00AE4C6D" w:rsidRDefault="00AE4C6D" w:rsidP="00EA6FC3">
      <w:pPr>
        <w:tabs>
          <w:tab w:val="left" w:pos="720"/>
          <w:tab w:val="right" w:pos="9480"/>
        </w:tabs>
        <w:spacing w:after="0" w:line="240" w:lineRule="auto"/>
        <w:jc w:val="both"/>
        <w:rPr>
          <w:rFonts w:ascii="Times New Roman" w:eastAsia="Times New Roman" w:hAnsi="Times New Roman" w:cs="Times New Roman"/>
          <w:b/>
          <w:sz w:val="28"/>
          <w:szCs w:val="28"/>
          <w:lang w:val="en-GB" w:eastAsia="en-GB"/>
        </w:rPr>
      </w:pPr>
    </w:p>
    <w:p w14:paraId="56D8C38F" w14:textId="6D2F84A7" w:rsidR="00AE4C6D" w:rsidRDefault="00AE4C6D" w:rsidP="00EA6FC3">
      <w:pPr>
        <w:tabs>
          <w:tab w:val="left" w:pos="720"/>
          <w:tab w:val="right" w:pos="9480"/>
        </w:tabs>
        <w:spacing w:after="0" w:line="240" w:lineRule="auto"/>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PETER HENNING</w:t>
      </w:r>
      <w:r>
        <w:rPr>
          <w:rFonts w:ascii="Times New Roman" w:eastAsia="Times New Roman" w:hAnsi="Times New Roman" w:cs="Times New Roman"/>
          <w:b/>
          <w:sz w:val="28"/>
          <w:szCs w:val="28"/>
          <w:lang w:val="en-GB" w:eastAsia="en-GB"/>
        </w:rPr>
        <w:tab/>
      </w:r>
      <w:r w:rsidR="007C448C">
        <w:rPr>
          <w:rFonts w:ascii="Times New Roman" w:eastAsia="Times New Roman" w:hAnsi="Times New Roman" w:cs="Times New Roman"/>
          <w:b/>
          <w:sz w:val="28"/>
          <w:szCs w:val="28"/>
          <w:lang w:val="en-GB" w:eastAsia="en-GB"/>
        </w:rPr>
        <w:t>TWENTY-THIRD APPELLANT</w:t>
      </w:r>
    </w:p>
    <w:p w14:paraId="54D33258" w14:textId="77777777" w:rsidR="00AE4C6D" w:rsidRDefault="00AE4C6D" w:rsidP="00EA6FC3">
      <w:pPr>
        <w:tabs>
          <w:tab w:val="left" w:pos="720"/>
          <w:tab w:val="right" w:pos="9480"/>
        </w:tabs>
        <w:spacing w:after="0" w:line="240" w:lineRule="auto"/>
        <w:jc w:val="both"/>
        <w:rPr>
          <w:rFonts w:ascii="Times New Roman" w:eastAsia="Times New Roman" w:hAnsi="Times New Roman" w:cs="Times New Roman"/>
          <w:b/>
          <w:sz w:val="28"/>
          <w:szCs w:val="28"/>
          <w:lang w:val="en-GB" w:eastAsia="en-GB"/>
        </w:rPr>
      </w:pPr>
    </w:p>
    <w:p w14:paraId="453F3B4D" w14:textId="77777777" w:rsidR="007C448C" w:rsidRDefault="00AE4C6D" w:rsidP="00EA6FC3">
      <w:pPr>
        <w:tabs>
          <w:tab w:val="left" w:pos="720"/>
          <w:tab w:val="right" w:pos="9480"/>
        </w:tabs>
        <w:spacing w:after="0" w:line="240" w:lineRule="auto"/>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 xml:space="preserve">CHIREDZI RANCHING </w:t>
      </w:r>
    </w:p>
    <w:p w14:paraId="25D2D0F1" w14:textId="77777777" w:rsidR="00AE4C6D" w:rsidRDefault="00AE4C6D" w:rsidP="00EA6FC3">
      <w:pPr>
        <w:tabs>
          <w:tab w:val="left" w:pos="720"/>
          <w:tab w:val="right" w:pos="9480"/>
        </w:tabs>
        <w:spacing w:after="0" w:line="240" w:lineRule="auto"/>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(PVT) LTD</w:t>
      </w:r>
      <w:r>
        <w:rPr>
          <w:rFonts w:ascii="Times New Roman" w:eastAsia="Times New Roman" w:hAnsi="Times New Roman" w:cs="Times New Roman"/>
          <w:b/>
          <w:sz w:val="28"/>
          <w:szCs w:val="28"/>
          <w:lang w:val="en-GB" w:eastAsia="en-GB"/>
        </w:rPr>
        <w:tab/>
      </w:r>
      <w:r w:rsidR="007C448C">
        <w:rPr>
          <w:rFonts w:ascii="Times New Roman" w:eastAsia="Times New Roman" w:hAnsi="Times New Roman" w:cs="Times New Roman"/>
          <w:b/>
          <w:sz w:val="28"/>
          <w:szCs w:val="28"/>
          <w:lang w:val="en-GB" w:eastAsia="en-GB"/>
        </w:rPr>
        <w:t>TWENTY-FOURTH APPELLANT</w:t>
      </w:r>
    </w:p>
    <w:p w14:paraId="23A66A78" w14:textId="77777777" w:rsidR="00AE4C6D" w:rsidRDefault="00AE4C6D" w:rsidP="00EA6FC3">
      <w:pPr>
        <w:tabs>
          <w:tab w:val="left" w:pos="720"/>
          <w:tab w:val="right" w:pos="9480"/>
        </w:tabs>
        <w:spacing w:after="0" w:line="240" w:lineRule="auto"/>
        <w:jc w:val="both"/>
        <w:rPr>
          <w:rFonts w:ascii="Times New Roman" w:eastAsia="Times New Roman" w:hAnsi="Times New Roman" w:cs="Times New Roman"/>
          <w:b/>
          <w:sz w:val="28"/>
          <w:szCs w:val="28"/>
          <w:lang w:val="en-GB" w:eastAsia="en-GB"/>
        </w:rPr>
      </w:pPr>
    </w:p>
    <w:p w14:paraId="424F4AEC" w14:textId="77777777" w:rsidR="00FF6C15" w:rsidRDefault="00AE4C6D" w:rsidP="00EA6FC3">
      <w:pPr>
        <w:tabs>
          <w:tab w:val="left" w:pos="720"/>
          <w:tab w:val="right" w:pos="9480"/>
        </w:tabs>
        <w:spacing w:after="0" w:line="240" w:lineRule="auto"/>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 xml:space="preserve">BATALEURS PEAK FARM </w:t>
      </w:r>
    </w:p>
    <w:p w14:paraId="76FA0497" w14:textId="77777777" w:rsidR="00AE4C6D" w:rsidRDefault="00AE4C6D" w:rsidP="00EA6FC3">
      <w:pPr>
        <w:tabs>
          <w:tab w:val="left" w:pos="720"/>
          <w:tab w:val="right" w:pos="9480"/>
        </w:tabs>
        <w:spacing w:after="0" w:line="240" w:lineRule="auto"/>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HOLDINGS (PVT) LTD</w:t>
      </w:r>
      <w:r>
        <w:rPr>
          <w:rFonts w:ascii="Times New Roman" w:eastAsia="Times New Roman" w:hAnsi="Times New Roman" w:cs="Times New Roman"/>
          <w:b/>
          <w:sz w:val="28"/>
          <w:szCs w:val="28"/>
          <w:lang w:val="en-GB" w:eastAsia="en-GB"/>
        </w:rPr>
        <w:tab/>
      </w:r>
      <w:r w:rsidR="007C448C">
        <w:rPr>
          <w:rFonts w:ascii="Times New Roman" w:eastAsia="Times New Roman" w:hAnsi="Times New Roman" w:cs="Times New Roman"/>
          <w:b/>
          <w:sz w:val="28"/>
          <w:szCs w:val="28"/>
          <w:lang w:val="en-GB" w:eastAsia="en-GB"/>
        </w:rPr>
        <w:t>TWENTY-FIFTH APPELLANT</w:t>
      </w:r>
    </w:p>
    <w:p w14:paraId="708F1248" w14:textId="77777777" w:rsidR="00AE4C6D" w:rsidRDefault="00AE4C6D" w:rsidP="00EA6FC3">
      <w:pPr>
        <w:tabs>
          <w:tab w:val="left" w:pos="720"/>
          <w:tab w:val="right" w:pos="9480"/>
        </w:tabs>
        <w:spacing w:after="0" w:line="240" w:lineRule="auto"/>
        <w:jc w:val="both"/>
        <w:rPr>
          <w:rFonts w:ascii="Times New Roman" w:eastAsia="Times New Roman" w:hAnsi="Times New Roman" w:cs="Times New Roman"/>
          <w:b/>
          <w:sz w:val="28"/>
          <w:szCs w:val="28"/>
          <w:lang w:val="en-GB" w:eastAsia="en-GB"/>
        </w:rPr>
      </w:pPr>
    </w:p>
    <w:p w14:paraId="3BBD570E" w14:textId="77777777" w:rsidR="00703C33" w:rsidRPr="00703C33" w:rsidRDefault="00703C33" w:rsidP="00703C33">
      <w:pPr>
        <w:spacing w:after="0" w:line="480" w:lineRule="auto"/>
        <w:jc w:val="both"/>
        <w:rPr>
          <w:rFonts w:ascii="Times New Roman" w:eastAsia="Times New Roman" w:hAnsi="Times New Roman" w:cs="Times New Roman"/>
          <w:sz w:val="28"/>
          <w:szCs w:val="28"/>
          <w:lang w:val="en-GB" w:eastAsia="en-GB"/>
        </w:rPr>
      </w:pPr>
      <w:r w:rsidRPr="00703C33">
        <w:rPr>
          <w:rFonts w:ascii="Times New Roman" w:eastAsia="Times New Roman" w:hAnsi="Times New Roman" w:cs="Times New Roman"/>
          <w:sz w:val="28"/>
          <w:szCs w:val="28"/>
          <w:lang w:val="en-GB" w:eastAsia="en-GB"/>
        </w:rPr>
        <w:t>and</w:t>
      </w:r>
    </w:p>
    <w:p w14:paraId="69C19A83" w14:textId="77777777" w:rsidR="00703C33" w:rsidRPr="00703C33" w:rsidRDefault="00703C33" w:rsidP="00703C33">
      <w:pPr>
        <w:tabs>
          <w:tab w:val="left" w:pos="720"/>
          <w:tab w:val="right" w:pos="9498"/>
        </w:tabs>
        <w:spacing w:after="0" w:line="240" w:lineRule="auto"/>
        <w:jc w:val="both"/>
        <w:rPr>
          <w:rFonts w:ascii="Times New Roman" w:eastAsia="Times New Roman" w:hAnsi="Times New Roman" w:cs="Times New Roman"/>
          <w:b/>
          <w:sz w:val="28"/>
          <w:szCs w:val="28"/>
          <w:lang w:val="en-GB" w:eastAsia="en-GB"/>
        </w:rPr>
      </w:pPr>
      <w:r w:rsidRPr="00703C33">
        <w:rPr>
          <w:rFonts w:ascii="Times New Roman" w:eastAsia="Times New Roman" w:hAnsi="Times New Roman" w:cs="Times New Roman"/>
          <w:b/>
          <w:sz w:val="28"/>
          <w:szCs w:val="28"/>
          <w:lang w:val="en-GB" w:eastAsia="en-GB"/>
        </w:rPr>
        <w:t xml:space="preserve">PRESIDENT OF THE </w:t>
      </w:r>
      <w:r w:rsidRPr="00703C33">
        <w:rPr>
          <w:rFonts w:ascii="Times New Roman" w:eastAsia="Times New Roman" w:hAnsi="Times New Roman" w:cs="Times New Roman"/>
          <w:b/>
          <w:sz w:val="28"/>
          <w:szCs w:val="28"/>
          <w:lang w:val="en-GB" w:eastAsia="en-GB"/>
        </w:rPr>
        <w:tab/>
        <w:t>FIRST RESPONDENT/</w:t>
      </w:r>
    </w:p>
    <w:p w14:paraId="4351790B" w14:textId="77777777" w:rsidR="00703C33" w:rsidRPr="00703C33" w:rsidRDefault="00703C33" w:rsidP="00703C33">
      <w:pPr>
        <w:tabs>
          <w:tab w:val="left" w:pos="720"/>
          <w:tab w:val="right" w:pos="9498"/>
        </w:tabs>
        <w:spacing w:after="0" w:line="480" w:lineRule="auto"/>
        <w:jc w:val="both"/>
        <w:rPr>
          <w:rFonts w:ascii="Times New Roman" w:eastAsia="Times New Roman" w:hAnsi="Times New Roman" w:cs="Times New Roman"/>
          <w:b/>
          <w:sz w:val="28"/>
          <w:szCs w:val="28"/>
          <w:lang w:val="en-GB" w:eastAsia="en-GB"/>
        </w:rPr>
      </w:pPr>
      <w:r w:rsidRPr="00703C33">
        <w:rPr>
          <w:rFonts w:ascii="Times New Roman" w:eastAsia="Times New Roman" w:hAnsi="Times New Roman" w:cs="Times New Roman"/>
          <w:b/>
          <w:sz w:val="28"/>
          <w:szCs w:val="28"/>
          <w:lang w:val="en-GB" w:eastAsia="en-GB"/>
        </w:rPr>
        <w:t>REPUBLIC OF SOUTH AFRICA</w:t>
      </w:r>
      <w:r w:rsidRPr="00703C33">
        <w:rPr>
          <w:rFonts w:ascii="Times New Roman" w:eastAsia="Times New Roman" w:hAnsi="Times New Roman" w:cs="Times New Roman"/>
          <w:b/>
          <w:sz w:val="28"/>
          <w:szCs w:val="28"/>
          <w:lang w:val="en-GB" w:eastAsia="en-GB"/>
        </w:rPr>
        <w:tab/>
        <w:t>CROSS-APPELLANT</w:t>
      </w:r>
    </w:p>
    <w:p w14:paraId="279D7297" w14:textId="77777777" w:rsidR="00703C33" w:rsidRPr="00703C33" w:rsidRDefault="00703C33" w:rsidP="00703C33">
      <w:pPr>
        <w:tabs>
          <w:tab w:val="left" w:pos="720"/>
          <w:tab w:val="right" w:pos="9498"/>
        </w:tabs>
        <w:spacing w:after="0" w:line="240" w:lineRule="auto"/>
        <w:jc w:val="both"/>
        <w:rPr>
          <w:rFonts w:ascii="Times New Roman" w:eastAsia="Times New Roman" w:hAnsi="Times New Roman" w:cs="Times New Roman"/>
          <w:b/>
          <w:sz w:val="28"/>
          <w:szCs w:val="28"/>
          <w:lang w:val="en-GB" w:eastAsia="en-GB"/>
        </w:rPr>
      </w:pPr>
      <w:r w:rsidRPr="00703C33">
        <w:rPr>
          <w:rFonts w:ascii="Times New Roman" w:eastAsia="Times New Roman" w:hAnsi="Times New Roman" w:cs="Times New Roman"/>
          <w:b/>
          <w:sz w:val="28"/>
          <w:szCs w:val="28"/>
          <w:lang w:val="en-GB" w:eastAsia="en-GB"/>
        </w:rPr>
        <w:t>GOVERNMENT OF THE</w:t>
      </w:r>
      <w:r w:rsidRPr="00703C33">
        <w:rPr>
          <w:rFonts w:ascii="Times New Roman" w:eastAsia="Times New Roman" w:hAnsi="Times New Roman" w:cs="Times New Roman"/>
          <w:b/>
          <w:sz w:val="28"/>
          <w:szCs w:val="28"/>
          <w:lang w:val="en-GB" w:eastAsia="en-GB"/>
        </w:rPr>
        <w:tab/>
        <w:t>SECOND RESPONDENT/</w:t>
      </w:r>
    </w:p>
    <w:p w14:paraId="5E41CB4B" w14:textId="77777777" w:rsidR="00703C33" w:rsidRPr="00703C33" w:rsidRDefault="00703C33" w:rsidP="00703C33">
      <w:pPr>
        <w:tabs>
          <w:tab w:val="left" w:pos="720"/>
          <w:tab w:val="right" w:pos="9498"/>
        </w:tabs>
        <w:spacing w:after="0" w:line="240" w:lineRule="auto"/>
        <w:jc w:val="both"/>
        <w:rPr>
          <w:rFonts w:ascii="Times New Roman" w:eastAsia="Times New Roman" w:hAnsi="Times New Roman" w:cs="Times New Roman"/>
          <w:b/>
          <w:sz w:val="28"/>
          <w:szCs w:val="28"/>
          <w:lang w:val="en-GB" w:eastAsia="en-GB"/>
        </w:rPr>
      </w:pPr>
      <w:r w:rsidRPr="00703C33">
        <w:rPr>
          <w:rFonts w:ascii="Times New Roman" w:eastAsia="Times New Roman" w:hAnsi="Times New Roman" w:cs="Times New Roman"/>
          <w:b/>
          <w:sz w:val="28"/>
          <w:szCs w:val="28"/>
          <w:lang w:val="en-GB" w:eastAsia="en-GB"/>
        </w:rPr>
        <w:t>REPUBLIC OF SOUTH AFRICA</w:t>
      </w:r>
      <w:r w:rsidRPr="00703C33">
        <w:rPr>
          <w:rFonts w:ascii="Times New Roman" w:eastAsia="Times New Roman" w:hAnsi="Times New Roman" w:cs="Times New Roman"/>
          <w:b/>
          <w:sz w:val="28"/>
          <w:szCs w:val="28"/>
          <w:lang w:val="en-GB" w:eastAsia="en-GB"/>
        </w:rPr>
        <w:tab/>
        <w:t>CROSS-APPELLANT</w:t>
      </w:r>
    </w:p>
    <w:p w14:paraId="1D20DE2E" w14:textId="77777777" w:rsidR="00703C33" w:rsidRPr="00703C33" w:rsidRDefault="00703C33" w:rsidP="00703C33">
      <w:pPr>
        <w:spacing w:after="0" w:line="360" w:lineRule="auto"/>
        <w:ind w:left="2160" w:hanging="2160"/>
        <w:jc w:val="both"/>
        <w:rPr>
          <w:rFonts w:ascii="Times New Roman" w:eastAsia="Times New Roman" w:hAnsi="Times New Roman" w:cs="Times New Roman"/>
          <w:b/>
          <w:sz w:val="28"/>
          <w:szCs w:val="28"/>
          <w:lang w:val="en-GB" w:eastAsia="en-GB"/>
        </w:rPr>
      </w:pPr>
    </w:p>
    <w:p w14:paraId="10F84DB3" w14:textId="71173F72" w:rsidR="001215A8" w:rsidRPr="00703C33" w:rsidRDefault="00703C33" w:rsidP="001215A8">
      <w:pPr>
        <w:spacing w:after="120" w:line="360" w:lineRule="auto"/>
        <w:ind w:left="2160" w:hanging="2160"/>
        <w:jc w:val="both"/>
        <w:rPr>
          <w:rFonts w:ascii="Times New Roman" w:eastAsia="Times New Roman" w:hAnsi="Times New Roman" w:cs="Times New Roman"/>
          <w:bCs/>
          <w:sz w:val="28"/>
          <w:szCs w:val="28"/>
          <w:lang w:val="en-GB" w:eastAsia="en-GB"/>
        </w:rPr>
      </w:pPr>
      <w:r w:rsidRPr="00703C33">
        <w:rPr>
          <w:rFonts w:ascii="Times New Roman" w:eastAsia="Times New Roman" w:hAnsi="Times New Roman" w:cs="Times New Roman"/>
          <w:b/>
          <w:bCs/>
          <w:sz w:val="28"/>
          <w:szCs w:val="28"/>
          <w:lang w:val="en-GB" w:eastAsia="en-GB"/>
        </w:rPr>
        <w:t xml:space="preserve">Neutral citation: </w:t>
      </w:r>
      <w:r w:rsidRPr="00703C33">
        <w:rPr>
          <w:rFonts w:ascii="Times New Roman" w:eastAsia="Times New Roman" w:hAnsi="Times New Roman" w:cs="Times New Roman"/>
          <w:b/>
          <w:bCs/>
          <w:sz w:val="28"/>
          <w:szCs w:val="28"/>
          <w:lang w:val="en-GB" w:eastAsia="en-GB"/>
        </w:rPr>
        <w:tab/>
      </w:r>
      <w:bookmarkStart w:id="1" w:name="_GoBack"/>
      <w:r w:rsidRPr="00703C33">
        <w:rPr>
          <w:rFonts w:ascii="Times New Roman" w:eastAsia="Times New Roman" w:hAnsi="Times New Roman" w:cs="Times New Roman"/>
          <w:bCs/>
          <w:i/>
          <w:sz w:val="28"/>
          <w:szCs w:val="28"/>
          <w:lang w:val="en-GB" w:eastAsia="en-GB"/>
        </w:rPr>
        <w:t xml:space="preserve">Luke M Tembani and Others v President of the Republic of South Africa and Another </w:t>
      </w:r>
      <w:bookmarkEnd w:id="1"/>
      <w:r w:rsidRPr="00703C33">
        <w:rPr>
          <w:rFonts w:ascii="Times New Roman" w:eastAsia="Times New Roman" w:hAnsi="Times New Roman" w:cs="Times New Roman"/>
          <w:bCs/>
          <w:sz w:val="28"/>
          <w:szCs w:val="28"/>
          <w:lang w:val="en-GB" w:eastAsia="en-GB"/>
        </w:rPr>
        <w:t xml:space="preserve">(Case no 167/2021) [2022] ZASCA </w:t>
      </w:r>
      <w:r w:rsidR="00663E3E" w:rsidRPr="00663E3E">
        <w:rPr>
          <w:rFonts w:ascii="Times New Roman" w:eastAsia="Times New Roman" w:hAnsi="Times New Roman" w:cs="Times New Roman"/>
          <w:bCs/>
          <w:sz w:val="28"/>
          <w:szCs w:val="28"/>
          <w:lang w:val="en-GB" w:eastAsia="en-GB"/>
        </w:rPr>
        <w:t>70</w:t>
      </w:r>
      <w:r w:rsidRPr="00703C33">
        <w:rPr>
          <w:rFonts w:ascii="Times New Roman" w:eastAsia="Times New Roman" w:hAnsi="Times New Roman" w:cs="Times New Roman"/>
          <w:bCs/>
          <w:sz w:val="28"/>
          <w:szCs w:val="28"/>
          <w:lang w:val="en-GB" w:eastAsia="en-GB"/>
        </w:rPr>
        <w:t xml:space="preserve"> </w:t>
      </w:r>
      <w:r w:rsidRPr="00AD30AB">
        <w:rPr>
          <w:rFonts w:ascii="Times New Roman" w:eastAsia="Times New Roman" w:hAnsi="Times New Roman" w:cs="Times New Roman"/>
          <w:bCs/>
          <w:sz w:val="28"/>
          <w:szCs w:val="28"/>
          <w:lang w:val="en-GB" w:eastAsia="en-GB"/>
        </w:rPr>
        <w:t>(</w:t>
      </w:r>
      <w:r w:rsidR="00AD30AB" w:rsidRPr="00AD30AB">
        <w:rPr>
          <w:rFonts w:ascii="Times New Roman" w:eastAsia="Times New Roman" w:hAnsi="Times New Roman" w:cs="Times New Roman"/>
          <w:bCs/>
          <w:sz w:val="28"/>
          <w:szCs w:val="28"/>
          <w:lang w:val="en-GB" w:eastAsia="en-GB"/>
        </w:rPr>
        <w:t>20</w:t>
      </w:r>
      <w:r w:rsidRPr="00AD30AB">
        <w:rPr>
          <w:rFonts w:ascii="Times New Roman" w:eastAsia="Times New Roman" w:hAnsi="Times New Roman" w:cs="Times New Roman"/>
          <w:bCs/>
          <w:sz w:val="28"/>
          <w:szCs w:val="28"/>
          <w:lang w:val="en-GB" w:eastAsia="en-GB"/>
        </w:rPr>
        <w:t xml:space="preserve"> May</w:t>
      </w:r>
      <w:r w:rsidRPr="00703C33">
        <w:rPr>
          <w:rFonts w:ascii="Times New Roman" w:eastAsia="Times New Roman" w:hAnsi="Times New Roman" w:cs="Times New Roman"/>
          <w:bCs/>
          <w:sz w:val="28"/>
          <w:szCs w:val="28"/>
          <w:lang w:val="en-GB" w:eastAsia="en-GB"/>
        </w:rPr>
        <w:t xml:space="preserve"> 2022)</w:t>
      </w:r>
    </w:p>
    <w:p w14:paraId="20C98E57" w14:textId="77777777" w:rsidR="00703C33" w:rsidRPr="00703C33" w:rsidRDefault="00703C33" w:rsidP="001215A8">
      <w:pPr>
        <w:spacing w:after="120" w:line="360" w:lineRule="auto"/>
        <w:ind w:left="1440" w:hanging="1440"/>
        <w:jc w:val="both"/>
        <w:rPr>
          <w:rFonts w:ascii="Times New Roman" w:eastAsia="Times New Roman" w:hAnsi="Times New Roman" w:cs="Times New Roman"/>
          <w:bCs/>
          <w:sz w:val="28"/>
          <w:szCs w:val="28"/>
          <w:lang w:val="en-GB" w:eastAsia="en-GB"/>
        </w:rPr>
      </w:pPr>
      <w:r w:rsidRPr="00703C33">
        <w:rPr>
          <w:rFonts w:ascii="Times New Roman" w:eastAsia="Times New Roman" w:hAnsi="Times New Roman" w:cs="Times New Roman"/>
          <w:b/>
          <w:bCs/>
          <w:sz w:val="28"/>
          <w:szCs w:val="28"/>
          <w:lang w:val="en-GB" w:eastAsia="en-GB"/>
        </w:rPr>
        <w:t>Coram:</w:t>
      </w:r>
      <w:r w:rsidRPr="00703C33">
        <w:rPr>
          <w:rFonts w:ascii="Times New Roman" w:eastAsia="Times New Roman" w:hAnsi="Times New Roman" w:cs="Times New Roman"/>
          <w:b/>
          <w:bCs/>
          <w:sz w:val="28"/>
          <w:szCs w:val="28"/>
          <w:lang w:val="en-GB" w:eastAsia="en-GB"/>
        </w:rPr>
        <w:tab/>
      </w:r>
      <w:r w:rsidRPr="00703C33">
        <w:rPr>
          <w:rFonts w:ascii="Times New Roman" w:eastAsia="Times New Roman" w:hAnsi="Times New Roman" w:cs="Times New Roman"/>
          <w:bCs/>
          <w:sz w:val="28"/>
          <w:szCs w:val="28"/>
          <w:lang w:val="en-GB" w:eastAsia="en-GB"/>
        </w:rPr>
        <w:t>PONNAN and MOLEMELA JJA and MUSI, MEYER and PHATSHOANE AJJA</w:t>
      </w:r>
    </w:p>
    <w:p w14:paraId="6F666FED" w14:textId="77777777" w:rsidR="00703C33" w:rsidRPr="00703C33" w:rsidRDefault="00703C33" w:rsidP="001215A8">
      <w:pPr>
        <w:spacing w:after="0" w:line="480" w:lineRule="auto"/>
        <w:jc w:val="both"/>
        <w:rPr>
          <w:rFonts w:ascii="Times New Roman" w:eastAsia="Times New Roman" w:hAnsi="Times New Roman" w:cs="Times New Roman"/>
          <w:bCs/>
          <w:sz w:val="28"/>
          <w:szCs w:val="28"/>
          <w:lang w:val="en-GB" w:eastAsia="en-GB"/>
        </w:rPr>
      </w:pPr>
      <w:r w:rsidRPr="00703C33">
        <w:rPr>
          <w:rFonts w:ascii="Times New Roman" w:eastAsia="Times New Roman" w:hAnsi="Times New Roman" w:cs="Times New Roman"/>
          <w:b/>
          <w:bCs/>
          <w:sz w:val="28"/>
          <w:szCs w:val="28"/>
          <w:lang w:val="en-GB" w:eastAsia="en-GB"/>
        </w:rPr>
        <w:t>Heard:</w:t>
      </w:r>
      <w:r w:rsidRPr="00703C33">
        <w:rPr>
          <w:rFonts w:ascii="Times New Roman" w:eastAsia="Times New Roman" w:hAnsi="Times New Roman" w:cs="Times New Roman"/>
          <w:b/>
          <w:bCs/>
          <w:sz w:val="28"/>
          <w:szCs w:val="28"/>
          <w:lang w:val="en-GB" w:eastAsia="en-GB"/>
        </w:rPr>
        <w:tab/>
      </w:r>
      <w:r w:rsidRPr="00703C33">
        <w:rPr>
          <w:rFonts w:ascii="Times New Roman" w:eastAsia="Times New Roman" w:hAnsi="Times New Roman" w:cs="Times New Roman"/>
          <w:bCs/>
          <w:sz w:val="28"/>
          <w:szCs w:val="28"/>
          <w:lang w:val="en-GB" w:eastAsia="en-GB"/>
        </w:rPr>
        <w:t>5 May 2022</w:t>
      </w:r>
    </w:p>
    <w:p w14:paraId="47E0CC83" w14:textId="7239E154" w:rsidR="00703C33" w:rsidRPr="007F1902" w:rsidRDefault="00703C33" w:rsidP="00587C37">
      <w:pPr>
        <w:spacing w:after="0" w:line="360" w:lineRule="auto"/>
        <w:jc w:val="both"/>
        <w:rPr>
          <w:rFonts w:ascii="Times New Roman" w:eastAsia="Times New Roman" w:hAnsi="Times New Roman" w:cs="Times New Roman"/>
          <w:bCs/>
          <w:sz w:val="28"/>
          <w:szCs w:val="28"/>
          <w:lang w:val="en-GB" w:eastAsia="en-GB"/>
        </w:rPr>
      </w:pPr>
      <w:r w:rsidRPr="00703C33">
        <w:rPr>
          <w:rFonts w:ascii="Times New Roman" w:eastAsia="Times New Roman" w:hAnsi="Times New Roman" w:cs="Times New Roman"/>
          <w:b/>
          <w:bCs/>
          <w:sz w:val="28"/>
          <w:szCs w:val="28"/>
          <w:lang w:val="en-GB" w:eastAsia="en-GB"/>
        </w:rPr>
        <w:lastRenderedPageBreak/>
        <w:t>Delivered:</w:t>
      </w:r>
      <w:r w:rsidRPr="00703C33">
        <w:rPr>
          <w:rFonts w:ascii="Times New Roman" w:eastAsia="Times New Roman" w:hAnsi="Times New Roman" w:cs="Times New Roman"/>
          <w:b/>
          <w:bCs/>
          <w:sz w:val="28"/>
          <w:szCs w:val="28"/>
          <w:lang w:val="en-GB" w:eastAsia="en-GB"/>
        </w:rPr>
        <w:tab/>
      </w:r>
      <w:r w:rsidR="00AD30AB">
        <w:rPr>
          <w:rFonts w:ascii="Times New Roman" w:eastAsia="Times New Roman" w:hAnsi="Times New Roman" w:cs="Times New Roman"/>
          <w:sz w:val="28"/>
          <w:szCs w:val="28"/>
          <w:lang w:val="en-GB" w:eastAsia="en-GB"/>
        </w:rPr>
        <w:t xml:space="preserve">20 </w:t>
      </w:r>
      <w:r w:rsidRPr="00000B30">
        <w:rPr>
          <w:rFonts w:ascii="Times New Roman" w:eastAsia="Times New Roman" w:hAnsi="Times New Roman" w:cs="Times New Roman"/>
          <w:sz w:val="28"/>
          <w:szCs w:val="28"/>
          <w:lang w:val="en-GB" w:eastAsia="en-GB"/>
        </w:rPr>
        <w:t>May 2022</w:t>
      </w:r>
      <w:r w:rsidR="007915C3" w:rsidRPr="00000B30">
        <w:rPr>
          <w:rFonts w:ascii="Times New Roman" w:eastAsia="Times New Roman" w:hAnsi="Times New Roman" w:cs="Times New Roman"/>
          <w:sz w:val="28"/>
          <w:szCs w:val="28"/>
          <w:lang w:val="en-GB" w:eastAsia="en-GB"/>
        </w:rPr>
        <w:t>.</w:t>
      </w:r>
    </w:p>
    <w:p w14:paraId="69E60A8F" w14:textId="253FC3F2" w:rsidR="00D96541" w:rsidRPr="00E048E0" w:rsidRDefault="00E93BEF" w:rsidP="00587C37">
      <w:pPr>
        <w:tabs>
          <w:tab w:val="left" w:pos="720"/>
          <w:tab w:val="left" w:pos="1440"/>
          <w:tab w:val="left" w:pos="3165"/>
        </w:tabs>
        <w:spacing w:after="0" w:line="360" w:lineRule="auto"/>
        <w:jc w:val="both"/>
        <w:rPr>
          <w:rFonts w:ascii="Times New Roman" w:eastAsia="Times New Roman" w:hAnsi="Times New Roman" w:cs="Times New Roman"/>
          <w:sz w:val="28"/>
          <w:szCs w:val="28"/>
          <w:lang w:val="en-GB" w:eastAsia="en-GB"/>
        </w:rPr>
      </w:pPr>
      <w:r w:rsidRPr="007F1902">
        <w:rPr>
          <w:rFonts w:ascii="Times New Roman" w:eastAsia="Times New Roman" w:hAnsi="Times New Roman" w:cs="Times New Roman"/>
          <w:b/>
          <w:sz w:val="28"/>
          <w:szCs w:val="28"/>
          <w:lang w:val="en-GB" w:eastAsia="en-GB"/>
        </w:rPr>
        <w:t>Summary</w:t>
      </w:r>
      <w:r w:rsidRPr="00D96541">
        <w:rPr>
          <w:rFonts w:ascii="Times New Roman" w:eastAsia="Times New Roman" w:hAnsi="Times New Roman" w:cs="Times New Roman"/>
          <w:sz w:val="28"/>
          <w:szCs w:val="28"/>
          <w:lang w:val="en-GB" w:eastAsia="en-GB"/>
        </w:rPr>
        <w:t xml:space="preserve">: </w:t>
      </w:r>
      <w:r w:rsidR="00D96541" w:rsidRPr="00E048E0">
        <w:rPr>
          <w:rFonts w:ascii="Times New Roman" w:eastAsia="Times New Roman" w:hAnsi="Times New Roman" w:cs="Times New Roman"/>
          <w:sz w:val="28"/>
          <w:szCs w:val="28"/>
          <w:lang w:val="en-GB" w:eastAsia="en-GB"/>
        </w:rPr>
        <w:t>E</w:t>
      </w:r>
      <w:r w:rsidRPr="00E048E0">
        <w:rPr>
          <w:rFonts w:ascii="Times New Roman" w:eastAsia="Times New Roman" w:hAnsi="Times New Roman" w:cs="Times New Roman"/>
          <w:sz w:val="28"/>
          <w:szCs w:val="28"/>
          <w:lang w:val="en-GB" w:eastAsia="en-GB"/>
        </w:rPr>
        <w:t>xception</w:t>
      </w:r>
      <w:r w:rsidR="00D96541" w:rsidRPr="00E048E0">
        <w:rPr>
          <w:rFonts w:ascii="Times New Roman" w:eastAsia="Times New Roman" w:hAnsi="Times New Roman" w:cs="Times New Roman"/>
          <w:sz w:val="28"/>
          <w:szCs w:val="28"/>
          <w:lang w:val="en-GB" w:eastAsia="en-GB"/>
        </w:rPr>
        <w:t xml:space="preserve"> –</w:t>
      </w:r>
      <w:r w:rsidR="00DF55B7">
        <w:rPr>
          <w:rFonts w:ascii="Times New Roman" w:eastAsia="Times New Roman" w:hAnsi="Times New Roman" w:cs="Times New Roman"/>
          <w:sz w:val="28"/>
          <w:szCs w:val="28"/>
          <w:lang w:val="en-GB" w:eastAsia="en-GB"/>
        </w:rPr>
        <w:t xml:space="preserve"> </w:t>
      </w:r>
      <w:r w:rsidR="00E048E0">
        <w:rPr>
          <w:rFonts w:ascii="Times New Roman" w:eastAsia="Times New Roman" w:hAnsi="Times New Roman" w:cs="Times New Roman"/>
          <w:sz w:val="28"/>
          <w:szCs w:val="28"/>
          <w:lang w:val="en-GB" w:eastAsia="en-GB"/>
        </w:rPr>
        <w:t xml:space="preserve">delictual claim – </w:t>
      </w:r>
      <w:r w:rsidR="00DF55B7">
        <w:rPr>
          <w:rFonts w:ascii="Times New Roman" w:eastAsia="Times New Roman" w:hAnsi="Times New Roman" w:cs="Times New Roman"/>
          <w:sz w:val="28"/>
          <w:szCs w:val="28"/>
          <w:lang w:val="en-GB" w:eastAsia="en-GB"/>
        </w:rPr>
        <w:t>whether high court correct in upholding exception based on causation</w:t>
      </w:r>
      <w:r w:rsidR="00E048E0">
        <w:rPr>
          <w:rFonts w:ascii="Times New Roman" w:eastAsia="Times New Roman" w:hAnsi="Times New Roman" w:cs="Times New Roman"/>
          <w:sz w:val="28"/>
          <w:szCs w:val="28"/>
          <w:lang w:val="en-GB" w:eastAsia="en-GB"/>
        </w:rPr>
        <w:t xml:space="preserve"> – whether </w:t>
      </w:r>
      <w:r w:rsidR="00E048E0">
        <w:rPr>
          <w:rFonts w:ascii="Times New Roman" w:hAnsi="Times New Roman" w:cs="Times New Roman"/>
          <w:sz w:val="28"/>
          <w:szCs w:val="28"/>
        </w:rPr>
        <w:t xml:space="preserve">exception proceedings </w:t>
      </w:r>
      <w:r w:rsidR="00E048E0" w:rsidRPr="005B1015">
        <w:rPr>
          <w:rFonts w:ascii="Times New Roman" w:hAnsi="Times New Roman" w:cs="Times New Roman"/>
          <w:sz w:val="28"/>
          <w:szCs w:val="28"/>
        </w:rPr>
        <w:t>ap</w:t>
      </w:r>
      <w:r w:rsidR="00E048E0">
        <w:rPr>
          <w:rFonts w:ascii="Times New Roman" w:hAnsi="Times New Roman" w:cs="Times New Roman"/>
          <w:sz w:val="28"/>
          <w:szCs w:val="28"/>
        </w:rPr>
        <w:t xml:space="preserve">propriate to decide the </w:t>
      </w:r>
      <w:r w:rsidR="00E048E0" w:rsidRPr="005B1015">
        <w:rPr>
          <w:rFonts w:ascii="Times New Roman" w:hAnsi="Times New Roman" w:cs="Times New Roman"/>
          <w:sz w:val="28"/>
          <w:szCs w:val="28"/>
        </w:rPr>
        <w:t xml:space="preserve">factual and legal issues </w:t>
      </w:r>
      <w:r w:rsidR="00E048E0">
        <w:rPr>
          <w:rFonts w:ascii="Times New Roman" w:hAnsi="Times New Roman" w:cs="Times New Roman"/>
          <w:sz w:val="28"/>
          <w:szCs w:val="28"/>
        </w:rPr>
        <w:t>raised –</w:t>
      </w:r>
      <w:r w:rsidR="00DF55B7">
        <w:rPr>
          <w:rFonts w:ascii="Times New Roman" w:eastAsia="Times New Roman" w:hAnsi="Times New Roman" w:cs="Times New Roman"/>
          <w:sz w:val="28"/>
          <w:szCs w:val="28"/>
          <w:lang w:val="en-GB" w:eastAsia="en-GB"/>
        </w:rPr>
        <w:t xml:space="preserve"> </w:t>
      </w:r>
      <w:r w:rsidR="00913ACF">
        <w:rPr>
          <w:rFonts w:ascii="Times New Roman" w:eastAsia="Times New Roman" w:hAnsi="Times New Roman" w:cs="Times New Roman"/>
          <w:sz w:val="28"/>
          <w:szCs w:val="28"/>
          <w:lang w:val="en-GB" w:eastAsia="en-GB"/>
        </w:rPr>
        <w:t xml:space="preserve">appealability </w:t>
      </w:r>
      <w:r w:rsidR="00E048E0">
        <w:rPr>
          <w:rFonts w:ascii="Times New Roman" w:eastAsia="Times New Roman" w:hAnsi="Times New Roman" w:cs="Times New Roman"/>
          <w:sz w:val="28"/>
          <w:szCs w:val="28"/>
          <w:lang w:val="en-GB" w:eastAsia="en-GB"/>
        </w:rPr>
        <w:t>–</w:t>
      </w:r>
      <w:r w:rsidR="00913ACF">
        <w:rPr>
          <w:rFonts w:ascii="Times New Roman" w:eastAsia="Times New Roman" w:hAnsi="Times New Roman" w:cs="Times New Roman"/>
          <w:sz w:val="28"/>
          <w:szCs w:val="28"/>
          <w:lang w:val="en-GB" w:eastAsia="en-GB"/>
        </w:rPr>
        <w:t xml:space="preserve"> </w:t>
      </w:r>
      <w:r w:rsidR="00DF55B7">
        <w:rPr>
          <w:rFonts w:ascii="Times New Roman" w:eastAsia="Times New Roman" w:hAnsi="Times New Roman" w:cs="Times New Roman"/>
          <w:sz w:val="28"/>
          <w:szCs w:val="28"/>
          <w:lang w:val="en-GB" w:eastAsia="en-GB"/>
        </w:rPr>
        <w:t xml:space="preserve">dismissal of an exception not appealable – </w:t>
      </w:r>
      <w:r w:rsidR="00913ACF">
        <w:rPr>
          <w:rFonts w:ascii="Times New Roman" w:hAnsi="Times New Roman" w:cs="Times New Roman"/>
          <w:sz w:val="28"/>
          <w:szCs w:val="28"/>
        </w:rPr>
        <w:t>conclusion that ‘</w:t>
      </w:r>
      <w:r w:rsidR="00913ACF" w:rsidRPr="00404321">
        <w:rPr>
          <w:rFonts w:ascii="Times New Roman" w:hAnsi="Times New Roman" w:cs="Times New Roman"/>
          <w:sz w:val="28"/>
          <w:szCs w:val="28"/>
        </w:rPr>
        <w:t>no ord</w:t>
      </w:r>
      <w:r w:rsidR="00913ACF">
        <w:rPr>
          <w:rFonts w:ascii="Times New Roman" w:hAnsi="Times New Roman" w:cs="Times New Roman"/>
          <w:sz w:val="28"/>
          <w:szCs w:val="28"/>
        </w:rPr>
        <w:t xml:space="preserve">er is required to be made’ in a conditional application not an </w:t>
      </w:r>
      <w:r w:rsidR="00913ACF" w:rsidRPr="005B1015">
        <w:rPr>
          <w:rFonts w:ascii="Times New Roman" w:hAnsi="Times New Roman" w:cs="Times New Roman"/>
          <w:sz w:val="28"/>
          <w:szCs w:val="28"/>
        </w:rPr>
        <w:t>appealable</w:t>
      </w:r>
      <w:r w:rsidR="00913ACF">
        <w:rPr>
          <w:rFonts w:ascii="Times New Roman" w:hAnsi="Times New Roman" w:cs="Times New Roman"/>
          <w:sz w:val="28"/>
          <w:szCs w:val="28"/>
        </w:rPr>
        <w:t xml:space="preserve"> order.</w:t>
      </w:r>
    </w:p>
    <w:p w14:paraId="602BC0F2" w14:textId="77777777" w:rsidR="000A2802" w:rsidRDefault="000A2802" w:rsidP="00587C37">
      <w:pPr>
        <w:tabs>
          <w:tab w:val="left" w:pos="720"/>
          <w:tab w:val="left" w:pos="1440"/>
          <w:tab w:val="left" w:pos="3165"/>
        </w:tabs>
        <w:spacing w:after="0" w:line="360" w:lineRule="auto"/>
        <w:jc w:val="both"/>
        <w:rPr>
          <w:rFonts w:ascii="Times New Roman" w:eastAsia="Times New Roman" w:hAnsi="Times New Roman" w:cs="Times New Roman"/>
          <w:sz w:val="28"/>
          <w:szCs w:val="28"/>
          <w:lang w:val="en-GB" w:eastAsia="en-GB"/>
        </w:rPr>
      </w:pPr>
    </w:p>
    <w:p w14:paraId="0995E4CD" w14:textId="77777777" w:rsidR="000A2802" w:rsidRDefault="000A2802" w:rsidP="00587C37">
      <w:pPr>
        <w:tabs>
          <w:tab w:val="left" w:pos="720"/>
          <w:tab w:val="left" w:pos="1440"/>
          <w:tab w:val="left" w:pos="3165"/>
        </w:tabs>
        <w:spacing w:after="0" w:line="480" w:lineRule="auto"/>
        <w:jc w:val="both"/>
        <w:rPr>
          <w:rFonts w:ascii="Times New Roman" w:eastAsia="Times New Roman" w:hAnsi="Times New Roman" w:cs="Times New Roman"/>
          <w:sz w:val="28"/>
          <w:szCs w:val="28"/>
          <w:lang w:val="en-GB" w:eastAsia="en-GB"/>
        </w:rPr>
      </w:pPr>
    </w:p>
    <w:p w14:paraId="56773AA1" w14:textId="77777777" w:rsidR="000A2802" w:rsidRDefault="000A2802" w:rsidP="00587C37">
      <w:pPr>
        <w:tabs>
          <w:tab w:val="left" w:pos="720"/>
          <w:tab w:val="left" w:pos="1440"/>
          <w:tab w:val="left" w:pos="3165"/>
        </w:tabs>
        <w:spacing w:after="0" w:line="480" w:lineRule="auto"/>
        <w:jc w:val="both"/>
        <w:rPr>
          <w:rFonts w:ascii="Times New Roman" w:eastAsia="Times New Roman" w:hAnsi="Times New Roman" w:cs="Times New Roman"/>
          <w:sz w:val="28"/>
          <w:szCs w:val="28"/>
          <w:lang w:val="en-GB" w:eastAsia="en-GB"/>
        </w:rPr>
      </w:pPr>
    </w:p>
    <w:p w14:paraId="37110822" w14:textId="77777777" w:rsidR="000A2802" w:rsidRDefault="000A2802" w:rsidP="00587C37">
      <w:pPr>
        <w:tabs>
          <w:tab w:val="left" w:pos="720"/>
          <w:tab w:val="left" w:pos="1440"/>
          <w:tab w:val="left" w:pos="3165"/>
        </w:tabs>
        <w:spacing w:after="0" w:line="480" w:lineRule="auto"/>
        <w:jc w:val="both"/>
        <w:rPr>
          <w:rFonts w:ascii="Times New Roman" w:eastAsia="Times New Roman" w:hAnsi="Times New Roman" w:cs="Times New Roman"/>
          <w:sz w:val="28"/>
          <w:szCs w:val="28"/>
          <w:lang w:val="en-GB" w:eastAsia="en-GB"/>
        </w:rPr>
      </w:pPr>
    </w:p>
    <w:p w14:paraId="2371CB6F" w14:textId="77777777" w:rsidR="000A2802" w:rsidRDefault="000A2802" w:rsidP="00587C37">
      <w:pPr>
        <w:tabs>
          <w:tab w:val="left" w:pos="720"/>
          <w:tab w:val="left" w:pos="1440"/>
          <w:tab w:val="left" w:pos="3165"/>
        </w:tabs>
        <w:spacing w:after="0" w:line="480" w:lineRule="auto"/>
        <w:jc w:val="both"/>
        <w:rPr>
          <w:rFonts w:ascii="Times New Roman" w:eastAsia="Times New Roman" w:hAnsi="Times New Roman" w:cs="Times New Roman"/>
          <w:sz w:val="28"/>
          <w:szCs w:val="28"/>
          <w:lang w:val="en-GB" w:eastAsia="en-GB"/>
        </w:rPr>
      </w:pPr>
    </w:p>
    <w:p w14:paraId="5F9614F3" w14:textId="77777777" w:rsidR="000A2802" w:rsidRDefault="000A2802" w:rsidP="00587C37">
      <w:pPr>
        <w:tabs>
          <w:tab w:val="left" w:pos="720"/>
          <w:tab w:val="left" w:pos="1440"/>
          <w:tab w:val="left" w:pos="3165"/>
        </w:tabs>
        <w:spacing w:after="0" w:line="480" w:lineRule="auto"/>
        <w:jc w:val="both"/>
        <w:rPr>
          <w:rFonts w:ascii="Times New Roman" w:eastAsia="Times New Roman" w:hAnsi="Times New Roman" w:cs="Times New Roman"/>
          <w:sz w:val="28"/>
          <w:szCs w:val="28"/>
          <w:lang w:val="en-GB" w:eastAsia="en-GB"/>
        </w:rPr>
      </w:pPr>
    </w:p>
    <w:p w14:paraId="1BAE8DE3" w14:textId="77777777" w:rsidR="000A2802" w:rsidRDefault="000A2802" w:rsidP="00587C37">
      <w:pPr>
        <w:tabs>
          <w:tab w:val="left" w:pos="720"/>
          <w:tab w:val="left" w:pos="1440"/>
          <w:tab w:val="left" w:pos="3165"/>
        </w:tabs>
        <w:spacing w:after="0" w:line="480" w:lineRule="auto"/>
        <w:jc w:val="both"/>
        <w:rPr>
          <w:rFonts w:ascii="Times New Roman" w:eastAsia="Times New Roman" w:hAnsi="Times New Roman" w:cs="Times New Roman"/>
          <w:sz w:val="28"/>
          <w:szCs w:val="28"/>
          <w:lang w:val="en-GB" w:eastAsia="en-GB"/>
        </w:rPr>
      </w:pPr>
    </w:p>
    <w:p w14:paraId="12860E9E" w14:textId="77777777" w:rsidR="000A2802" w:rsidRDefault="000A2802" w:rsidP="00587C37">
      <w:pPr>
        <w:tabs>
          <w:tab w:val="left" w:pos="720"/>
          <w:tab w:val="left" w:pos="1440"/>
          <w:tab w:val="left" w:pos="3165"/>
        </w:tabs>
        <w:spacing w:after="0" w:line="480" w:lineRule="auto"/>
        <w:jc w:val="both"/>
        <w:rPr>
          <w:rFonts w:ascii="Times New Roman" w:eastAsia="Times New Roman" w:hAnsi="Times New Roman" w:cs="Times New Roman"/>
          <w:sz w:val="28"/>
          <w:szCs w:val="28"/>
          <w:lang w:val="en-GB" w:eastAsia="en-GB"/>
        </w:rPr>
      </w:pPr>
    </w:p>
    <w:p w14:paraId="3BEB6C03" w14:textId="77777777" w:rsidR="000A2802" w:rsidRDefault="000A2802" w:rsidP="00587C37">
      <w:pPr>
        <w:tabs>
          <w:tab w:val="left" w:pos="720"/>
          <w:tab w:val="left" w:pos="1440"/>
          <w:tab w:val="left" w:pos="3165"/>
        </w:tabs>
        <w:spacing w:after="0" w:line="480" w:lineRule="auto"/>
        <w:jc w:val="both"/>
        <w:rPr>
          <w:rFonts w:ascii="Times New Roman" w:eastAsia="Times New Roman" w:hAnsi="Times New Roman" w:cs="Times New Roman"/>
          <w:sz w:val="28"/>
          <w:szCs w:val="28"/>
          <w:lang w:val="en-GB" w:eastAsia="en-GB"/>
        </w:rPr>
      </w:pPr>
    </w:p>
    <w:p w14:paraId="519B73CC" w14:textId="77777777" w:rsidR="000A2802" w:rsidRDefault="000A2802" w:rsidP="00587C37">
      <w:pPr>
        <w:tabs>
          <w:tab w:val="left" w:pos="720"/>
          <w:tab w:val="left" w:pos="1440"/>
          <w:tab w:val="left" w:pos="3165"/>
        </w:tabs>
        <w:spacing w:after="0" w:line="480" w:lineRule="auto"/>
        <w:jc w:val="both"/>
        <w:rPr>
          <w:rFonts w:ascii="Times New Roman" w:eastAsia="Times New Roman" w:hAnsi="Times New Roman" w:cs="Times New Roman"/>
          <w:sz w:val="28"/>
          <w:szCs w:val="28"/>
          <w:lang w:val="en-GB" w:eastAsia="en-GB"/>
        </w:rPr>
      </w:pPr>
    </w:p>
    <w:p w14:paraId="53B6489A" w14:textId="66E908AB" w:rsidR="000A2802" w:rsidRDefault="000A2802" w:rsidP="00587C37">
      <w:pPr>
        <w:tabs>
          <w:tab w:val="left" w:pos="720"/>
          <w:tab w:val="left" w:pos="1440"/>
          <w:tab w:val="left" w:pos="3165"/>
        </w:tabs>
        <w:spacing w:after="0" w:line="480" w:lineRule="auto"/>
        <w:jc w:val="both"/>
        <w:rPr>
          <w:rFonts w:ascii="Times New Roman" w:eastAsia="Times New Roman" w:hAnsi="Times New Roman" w:cs="Times New Roman"/>
          <w:sz w:val="28"/>
          <w:szCs w:val="28"/>
          <w:lang w:val="en-GB" w:eastAsia="en-GB"/>
        </w:rPr>
      </w:pPr>
    </w:p>
    <w:p w14:paraId="72BC6A91" w14:textId="77777777" w:rsidR="006C58E2" w:rsidRDefault="006C58E2" w:rsidP="00587C37">
      <w:pPr>
        <w:tabs>
          <w:tab w:val="left" w:pos="720"/>
          <w:tab w:val="left" w:pos="1440"/>
          <w:tab w:val="left" w:pos="3165"/>
        </w:tabs>
        <w:spacing w:after="0" w:line="480" w:lineRule="auto"/>
        <w:jc w:val="both"/>
        <w:rPr>
          <w:rFonts w:ascii="Times New Roman" w:eastAsia="Times New Roman" w:hAnsi="Times New Roman" w:cs="Times New Roman"/>
          <w:sz w:val="28"/>
          <w:szCs w:val="28"/>
          <w:lang w:val="en-GB" w:eastAsia="en-GB"/>
        </w:rPr>
      </w:pPr>
    </w:p>
    <w:p w14:paraId="6253EA6F" w14:textId="77777777" w:rsidR="007C1E26" w:rsidRDefault="007C1E26" w:rsidP="00587C37">
      <w:pPr>
        <w:tabs>
          <w:tab w:val="left" w:pos="720"/>
          <w:tab w:val="left" w:pos="1440"/>
          <w:tab w:val="left" w:pos="3165"/>
        </w:tabs>
        <w:spacing w:after="0" w:line="480" w:lineRule="auto"/>
        <w:jc w:val="both"/>
        <w:rPr>
          <w:rFonts w:ascii="Times New Roman" w:eastAsia="Times New Roman" w:hAnsi="Times New Roman" w:cs="Times New Roman"/>
          <w:sz w:val="28"/>
          <w:szCs w:val="28"/>
          <w:lang w:val="en-GB" w:eastAsia="en-GB"/>
        </w:rPr>
      </w:pPr>
    </w:p>
    <w:p w14:paraId="2E8CC95A" w14:textId="4CE1B0EB" w:rsidR="00703C33" w:rsidRPr="00703C33" w:rsidRDefault="00753CBD" w:rsidP="00587C37">
      <w:pPr>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br w:type="page"/>
      </w:r>
    </w:p>
    <w:p w14:paraId="0D47A583" w14:textId="77777777" w:rsidR="00673105" w:rsidRDefault="00673105" w:rsidP="00587C37">
      <w:pPr>
        <w:spacing w:after="0" w:line="240" w:lineRule="auto"/>
        <w:jc w:val="center"/>
        <w:rPr>
          <w:rFonts w:ascii="Times New Roman" w:eastAsia="Times New Roman" w:hAnsi="Times New Roman" w:cs="Times New Roman"/>
          <w:sz w:val="28"/>
          <w:szCs w:val="28"/>
          <w:lang w:val="en-GB" w:eastAsia="en-GB"/>
        </w:rPr>
        <w:sectPr w:rsidR="00673105">
          <w:headerReference w:type="default" r:id="rId9"/>
          <w:pgSz w:w="11906" w:h="16838"/>
          <w:pgMar w:top="1440" w:right="1440" w:bottom="1440" w:left="1440" w:header="708" w:footer="708" w:gutter="0"/>
          <w:cols w:space="708"/>
          <w:docGrid w:linePitch="360"/>
        </w:sectPr>
      </w:pPr>
    </w:p>
    <w:p w14:paraId="4940BE2B" w14:textId="0BB72D0B" w:rsidR="00703C33" w:rsidRPr="00703C33" w:rsidRDefault="00703C33" w:rsidP="00587C37">
      <w:pPr>
        <w:spacing w:after="0" w:line="240" w:lineRule="auto"/>
        <w:jc w:val="center"/>
        <w:rPr>
          <w:rFonts w:ascii="Times New Roman" w:eastAsia="Times New Roman" w:hAnsi="Times New Roman" w:cs="Times New Roman"/>
          <w:sz w:val="28"/>
          <w:szCs w:val="28"/>
          <w:lang w:val="en-GB" w:eastAsia="en-GB"/>
        </w:rPr>
      </w:pPr>
      <w:r w:rsidRPr="00703C33">
        <w:rPr>
          <w:rFonts w:ascii="Times New Roman" w:eastAsia="Times New Roman" w:hAnsi="Times New Roman" w:cs="Times New Roman"/>
          <w:sz w:val="28"/>
          <w:szCs w:val="28"/>
          <w:lang w:val="en-GB" w:eastAsia="en-GB"/>
        </w:rPr>
        <w:lastRenderedPageBreak/>
        <w:t>__________________________________</w:t>
      </w:r>
      <w:r w:rsidRPr="005B1015">
        <w:rPr>
          <w:rFonts w:ascii="Times New Roman" w:eastAsia="Times New Roman" w:hAnsi="Times New Roman" w:cs="Times New Roman"/>
          <w:sz w:val="28"/>
          <w:szCs w:val="28"/>
          <w:lang w:val="en-GB" w:eastAsia="en-GB"/>
        </w:rPr>
        <w:t>______________________________</w:t>
      </w:r>
    </w:p>
    <w:p w14:paraId="53CC665D" w14:textId="77777777" w:rsidR="00703C33" w:rsidRPr="00703C33" w:rsidRDefault="00703C33" w:rsidP="00587C37">
      <w:pPr>
        <w:spacing w:after="0" w:line="240" w:lineRule="auto"/>
        <w:jc w:val="center"/>
        <w:rPr>
          <w:rFonts w:ascii="Times New Roman" w:eastAsia="Times New Roman" w:hAnsi="Times New Roman" w:cs="Times New Roman"/>
          <w:sz w:val="28"/>
          <w:szCs w:val="28"/>
          <w:lang w:val="en-GB" w:eastAsia="en-GB"/>
        </w:rPr>
      </w:pPr>
    </w:p>
    <w:p w14:paraId="637FE975" w14:textId="77777777" w:rsidR="00703C33" w:rsidRPr="00703C33" w:rsidRDefault="00703C33" w:rsidP="00587C37">
      <w:pPr>
        <w:spacing w:after="0" w:line="240" w:lineRule="auto"/>
        <w:jc w:val="center"/>
        <w:rPr>
          <w:rFonts w:ascii="Times New Roman" w:eastAsia="Times New Roman" w:hAnsi="Times New Roman" w:cs="Times New Roman"/>
          <w:b/>
          <w:bCs/>
          <w:sz w:val="28"/>
          <w:szCs w:val="28"/>
          <w:lang w:val="en-GB" w:eastAsia="en-GB"/>
        </w:rPr>
      </w:pPr>
      <w:r w:rsidRPr="00703C33">
        <w:rPr>
          <w:rFonts w:ascii="Times New Roman" w:eastAsia="Times New Roman" w:hAnsi="Times New Roman" w:cs="Times New Roman"/>
          <w:b/>
          <w:bCs/>
          <w:sz w:val="28"/>
          <w:szCs w:val="28"/>
          <w:lang w:val="en-GB" w:eastAsia="en-GB"/>
        </w:rPr>
        <w:t>ORDER</w:t>
      </w:r>
    </w:p>
    <w:p w14:paraId="3D2C0805" w14:textId="77777777" w:rsidR="00703C33" w:rsidRPr="00703C33" w:rsidRDefault="00703C33" w:rsidP="00587C37">
      <w:pPr>
        <w:spacing w:after="0" w:line="240" w:lineRule="auto"/>
        <w:jc w:val="both"/>
        <w:rPr>
          <w:rFonts w:ascii="Times New Roman" w:eastAsia="Times New Roman" w:hAnsi="Times New Roman" w:cs="Times New Roman"/>
          <w:sz w:val="28"/>
          <w:szCs w:val="28"/>
          <w:lang w:val="en-GB" w:eastAsia="en-GB"/>
        </w:rPr>
      </w:pPr>
      <w:r w:rsidRPr="00703C33">
        <w:rPr>
          <w:rFonts w:ascii="Times New Roman" w:eastAsia="Times New Roman" w:hAnsi="Times New Roman" w:cs="Times New Roman"/>
          <w:sz w:val="28"/>
          <w:szCs w:val="28"/>
          <w:lang w:val="en-GB" w:eastAsia="en-GB"/>
        </w:rPr>
        <w:t>______________________________________</w:t>
      </w:r>
      <w:r w:rsidRPr="005B1015">
        <w:rPr>
          <w:rFonts w:ascii="Times New Roman" w:eastAsia="Times New Roman" w:hAnsi="Times New Roman" w:cs="Times New Roman"/>
          <w:sz w:val="28"/>
          <w:szCs w:val="28"/>
          <w:lang w:val="en-GB" w:eastAsia="en-GB"/>
        </w:rPr>
        <w:t>__________________________</w:t>
      </w:r>
    </w:p>
    <w:p w14:paraId="5D3C6B7A" w14:textId="77777777" w:rsidR="00703C33" w:rsidRPr="00703C33" w:rsidRDefault="00703C33" w:rsidP="00587C37">
      <w:pPr>
        <w:spacing w:after="0" w:line="360" w:lineRule="auto"/>
        <w:jc w:val="center"/>
        <w:rPr>
          <w:rFonts w:ascii="Times New Roman" w:eastAsia="Times New Roman" w:hAnsi="Times New Roman" w:cs="Times New Roman"/>
          <w:b/>
          <w:bCs/>
          <w:sz w:val="16"/>
          <w:szCs w:val="16"/>
          <w:lang w:val="en-GB" w:eastAsia="en-GB"/>
        </w:rPr>
      </w:pPr>
    </w:p>
    <w:p w14:paraId="71F401FB" w14:textId="77777777" w:rsidR="00703C33" w:rsidRDefault="00703C33" w:rsidP="00587C37">
      <w:pPr>
        <w:spacing w:after="0" w:line="360" w:lineRule="auto"/>
        <w:jc w:val="both"/>
        <w:rPr>
          <w:rFonts w:ascii="Times New Roman" w:eastAsia="Times New Roman" w:hAnsi="Times New Roman" w:cs="Times New Roman"/>
          <w:sz w:val="28"/>
          <w:szCs w:val="28"/>
          <w:lang w:val="en-GB" w:eastAsia="en-GB"/>
        </w:rPr>
      </w:pPr>
      <w:r w:rsidRPr="00703C33">
        <w:rPr>
          <w:rFonts w:ascii="Times New Roman" w:eastAsia="Times New Roman" w:hAnsi="Times New Roman" w:cs="Times New Roman"/>
          <w:b/>
          <w:bCs/>
          <w:sz w:val="28"/>
          <w:szCs w:val="28"/>
          <w:lang w:val="en-GB" w:eastAsia="en-GB"/>
        </w:rPr>
        <w:t>On appeal from</w:t>
      </w:r>
      <w:r w:rsidRPr="001F008A">
        <w:rPr>
          <w:rFonts w:ascii="Times New Roman" w:eastAsia="Times New Roman" w:hAnsi="Times New Roman" w:cs="Times New Roman"/>
          <w:sz w:val="28"/>
          <w:szCs w:val="28"/>
          <w:lang w:val="en-GB" w:eastAsia="en-GB"/>
        </w:rPr>
        <w:t>: Gauteng Division of the High Court, Pretoria (Van Oosten J, sitting as court of first instance):</w:t>
      </w:r>
    </w:p>
    <w:p w14:paraId="38FCF225" w14:textId="1EE4A52C" w:rsidR="00A639AE" w:rsidRPr="005B1015" w:rsidRDefault="00A639AE" w:rsidP="00587C37">
      <w:pPr>
        <w:spacing w:after="0" w:line="360" w:lineRule="auto"/>
        <w:ind w:left="720" w:hanging="720"/>
        <w:jc w:val="both"/>
        <w:rPr>
          <w:rFonts w:ascii="Times New Roman" w:hAnsi="Times New Roman" w:cs="Times New Roman"/>
          <w:bCs/>
          <w:sz w:val="28"/>
          <w:szCs w:val="28"/>
        </w:rPr>
      </w:pPr>
      <w:r w:rsidRPr="005B1015">
        <w:rPr>
          <w:rFonts w:ascii="Times New Roman" w:hAnsi="Times New Roman" w:cs="Times New Roman"/>
          <w:bCs/>
          <w:sz w:val="28"/>
          <w:szCs w:val="28"/>
        </w:rPr>
        <w:t>(</w:t>
      </w:r>
      <w:r w:rsidR="00E13FE6">
        <w:rPr>
          <w:rFonts w:ascii="Times New Roman" w:hAnsi="Times New Roman" w:cs="Times New Roman"/>
          <w:bCs/>
          <w:sz w:val="28"/>
          <w:szCs w:val="28"/>
        </w:rPr>
        <w:t>1</w:t>
      </w:r>
      <w:r w:rsidRPr="005B1015">
        <w:rPr>
          <w:rFonts w:ascii="Times New Roman" w:hAnsi="Times New Roman" w:cs="Times New Roman"/>
          <w:bCs/>
          <w:sz w:val="28"/>
          <w:szCs w:val="28"/>
        </w:rPr>
        <w:t>)</w:t>
      </w:r>
      <w:r w:rsidRPr="005B1015">
        <w:rPr>
          <w:rFonts w:ascii="Times New Roman" w:hAnsi="Times New Roman" w:cs="Times New Roman"/>
          <w:bCs/>
          <w:sz w:val="28"/>
          <w:szCs w:val="28"/>
        </w:rPr>
        <w:tab/>
        <w:t>The appeal is upheld</w:t>
      </w:r>
      <w:r w:rsidR="002D5BB1">
        <w:rPr>
          <w:rFonts w:ascii="Times New Roman" w:hAnsi="Times New Roman" w:cs="Times New Roman"/>
          <w:bCs/>
          <w:sz w:val="28"/>
          <w:szCs w:val="28"/>
        </w:rPr>
        <w:t>,</w:t>
      </w:r>
      <w:r w:rsidRPr="005B1015">
        <w:rPr>
          <w:rFonts w:ascii="Times New Roman" w:hAnsi="Times New Roman" w:cs="Times New Roman"/>
          <w:bCs/>
          <w:sz w:val="28"/>
          <w:szCs w:val="28"/>
        </w:rPr>
        <w:t xml:space="preserve"> and the cross</w:t>
      </w:r>
      <w:r w:rsidR="002D5BB1">
        <w:rPr>
          <w:rFonts w:ascii="Times New Roman" w:hAnsi="Times New Roman" w:cs="Times New Roman"/>
          <w:bCs/>
          <w:sz w:val="28"/>
          <w:szCs w:val="28"/>
        </w:rPr>
        <w:t>-</w:t>
      </w:r>
      <w:r w:rsidRPr="005B1015">
        <w:rPr>
          <w:rFonts w:ascii="Times New Roman" w:hAnsi="Times New Roman" w:cs="Times New Roman"/>
          <w:bCs/>
          <w:sz w:val="28"/>
          <w:szCs w:val="28"/>
        </w:rPr>
        <w:t xml:space="preserve">appeal is </w:t>
      </w:r>
      <w:r w:rsidR="00E13FE6">
        <w:rPr>
          <w:rFonts w:ascii="Times New Roman" w:hAnsi="Times New Roman" w:cs="Times New Roman"/>
          <w:bCs/>
          <w:sz w:val="28"/>
          <w:szCs w:val="28"/>
        </w:rPr>
        <w:t>struck from the roll</w:t>
      </w:r>
      <w:r w:rsidRPr="005B1015">
        <w:rPr>
          <w:rFonts w:ascii="Times New Roman" w:hAnsi="Times New Roman" w:cs="Times New Roman"/>
          <w:bCs/>
          <w:sz w:val="28"/>
          <w:szCs w:val="28"/>
        </w:rPr>
        <w:t>, in each instance with costs, including those of two counsel.</w:t>
      </w:r>
    </w:p>
    <w:p w14:paraId="5AE247F0" w14:textId="137A5F80" w:rsidR="00A639AE" w:rsidRPr="005B1015" w:rsidRDefault="00A639AE" w:rsidP="00587C37">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w:t>
      </w:r>
      <w:r w:rsidR="00E13FE6">
        <w:rPr>
          <w:rFonts w:ascii="Times New Roman" w:hAnsi="Times New Roman" w:cs="Times New Roman"/>
          <w:bCs/>
          <w:sz w:val="28"/>
          <w:szCs w:val="28"/>
        </w:rPr>
        <w:t>2</w:t>
      </w:r>
      <w:r>
        <w:rPr>
          <w:rFonts w:ascii="Times New Roman" w:hAnsi="Times New Roman" w:cs="Times New Roman"/>
          <w:bCs/>
          <w:sz w:val="28"/>
          <w:szCs w:val="28"/>
        </w:rPr>
        <w:t>)</w:t>
      </w:r>
      <w:r w:rsidRPr="005B1015">
        <w:rPr>
          <w:rFonts w:ascii="Times New Roman" w:hAnsi="Times New Roman" w:cs="Times New Roman"/>
          <w:bCs/>
          <w:sz w:val="28"/>
          <w:szCs w:val="28"/>
        </w:rPr>
        <w:tab/>
        <w:t>The order of the court below is set aside and replaced with the following:</w:t>
      </w:r>
    </w:p>
    <w:p w14:paraId="35EE9B81" w14:textId="0A24764C" w:rsidR="00A639AE" w:rsidRPr="00703C33" w:rsidRDefault="00A639AE" w:rsidP="00587C37">
      <w:pPr>
        <w:spacing w:after="0" w:line="360" w:lineRule="auto"/>
        <w:ind w:left="720"/>
        <w:jc w:val="both"/>
        <w:rPr>
          <w:rFonts w:ascii="Times New Roman" w:hAnsi="Times New Roman" w:cs="Times New Roman"/>
          <w:bCs/>
          <w:sz w:val="28"/>
          <w:szCs w:val="28"/>
        </w:rPr>
      </w:pPr>
      <w:r w:rsidRPr="005B1015">
        <w:rPr>
          <w:rFonts w:ascii="Times New Roman" w:hAnsi="Times New Roman" w:cs="Times New Roman"/>
          <w:bCs/>
          <w:sz w:val="28"/>
          <w:szCs w:val="28"/>
        </w:rPr>
        <w:t>‘The defendants’ exception to the plaintiffs’ second amended particulars of claim dated 18 March 2020 is dismissed with costs</w:t>
      </w:r>
      <w:r w:rsidR="00673105">
        <w:rPr>
          <w:rFonts w:ascii="Times New Roman" w:hAnsi="Times New Roman" w:cs="Times New Roman"/>
          <w:bCs/>
          <w:sz w:val="28"/>
          <w:szCs w:val="28"/>
        </w:rPr>
        <w:t>,</w:t>
      </w:r>
      <w:r w:rsidRPr="005B1015">
        <w:rPr>
          <w:rFonts w:ascii="Times New Roman" w:hAnsi="Times New Roman" w:cs="Times New Roman"/>
          <w:bCs/>
          <w:sz w:val="28"/>
          <w:szCs w:val="28"/>
        </w:rPr>
        <w:t xml:space="preserve"> including those of two counsel.’</w:t>
      </w:r>
    </w:p>
    <w:p w14:paraId="1DD06B1F" w14:textId="77777777" w:rsidR="00703C33" w:rsidRPr="00703C33" w:rsidRDefault="00703C33" w:rsidP="00587C37">
      <w:pPr>
        <w:spacing w:after="0" w:line="360" w:lineRule="auto"/>
        <w:jc w:val="both"/>
        <w:rPr>
          <w:rFonts w:ascii="Times New Roman" w:eastAsia="Times New Roman" w:hAnsi="Times New Roman" w:cs="Times New Roman"/>
          <w:sz w:val="28"/>
          <w:szCs w:val="28"/>
          <w:lang w:val="en-GB" w:eastAsia="en-GB"/>
        </w:rPr>
      </w:pPr>
      <w:r w:rsidRPr="00703C33">
        <w:rPr>
          <w:rFonts w:ascii="Times New Roman" w:eastAsia="Times New Roman" w:hAnsi="Times New Roman" w:cs="Times New Roman"/>
          <w:sz w:val="28"/>
          <w:szCs w:val="28"/>
          <w:lang w:val="en-GB" w:eastAsia="en-GB"/>
        </w:rPr>
        <w:t>__________________________________</w:t>
      </w:r>
      <w:r w:rsidRPr="005B1015">
        <w:rPr>
          <w:rFonts w:ascii="Times New Roman" w:eastAsia="Times New Roman" w:hAnsi="Times New Roman" w:cs="Times New Roman"/>
          <w:sz w:val="28"/>
          <w:szCs w:val="28"/>
          <w:lang w:val="en-GB" w:eastAsia="en-GB"/>
        </w:rPr>
        <w:t>______________________________</w:t>
      </w:r>
    </w:p>
    <w:p w14:paraId="5FAA5422" w14:textId="77777777" w:rsidR="00703C33" w:rsidRPr="00703C33" w:rsidRDefault="00703C33" w:rsidP="00587C37">
      <w:pPr>
        <w:spacing w:after="0" w:line="240" w:lineRule="auto"/>
        <w:jc w:val="center"/>
        <w:rPr>
          <w:rFonts w:ascii="Times New Roman" w:eastAsia="Times New Roman" w:hAnsi="Times New Roman" w:cs="Times New Roman"/>
          <w:sz w:val="28"/>
          <w:szCs w:val="28"/>
          <w:lang w:val="en-GB" w:eastAsia="en-GB"/>
        </w:rPr>
      </w:pPr>
    </w:p>
    <w:p w14:paraId="246A8E52" w14:textId="77777777" w:rsidR="00703C33" w:rsidRPr="00703C33" w:rsidRDefault="00703C33" w:rsidP="00587C37">
      <w:pPr>
        <w:spacing w:after="0" w:line="240" w:lineRule="auto"/>
        <w:jc w:val="center"/>
        <w:rPr>
          <w:rFonts w:ascii="Times New Roman" w:eastAsia="Times New Roman" w:hAnsi="Times New Roman" w:cs="Times New Roman"/>
          <w:b/>
          <w:bCs/>
          <w:sz w:val="28"/>
          <w:szCs w:val="28"/>
          <w:lang w:val="en-GB" w:eastAsia="en-GB"/>
        </w:rPr>
      </w:pPr>
      <w:r w:rsidRPr="00703C33">
        <w:rPr>
          <w:rFonts w:ascii="Times New Roman" w:eastAsia="Times New Roman" w:hAnsi="Times New Roman" w:cs="Times New Roman"/>
          <w:b/>
          <w:bCs/>
          <w:sz w:val="28"/>
          <w:szCs w:val="28"/>
          <w:lang w:val="en-GB" w:eastAsia="en-GB"/>
        </w:rPr>
        <w:t>JUDGMENT</w:t>
      </w:r>
    </w:p>
    <w:p w14:paraId="16274E76" w14:textId="188E2CD3" w:rsidR="00913ACF" w:rsidRPr="00441462" w:rsidRDefault="00703C33" w:rsidP="00587C37">
      <w:pPr>
        <w:spacing w:after="0" w:line="360" w:lineRule="auto"/>
        <w:rPr>
          <w:rFonts w:ascii="Times New Roman" w:eastAsia="Times New Roman" w:hAnsi="Times New Roman" w:cs="Times New Roman"/>
          <w:sz w:val="28"/>
          <w:szCs w:val="28"/>
          <w:lang w:val="en-GB" w:eastAsia="en-GB"/>
        </w:rPr>
      </w:pPr>
      <w:r w:rsidRPr="00703C33">
        <w:rPr>
          <w:rFonts w:ascii="Times New Roman" w:eastAsia="Times New Roman" w:hAnsi="Times New Roman" w:cs="Times New Roman"/>
          <w:sz w:val="28"/>
          <w:szCs w:val="28"/>
          <w:lang w:val="en-GB" w:eastAsia="en-GB"/>
        </w:rPr>
        <w:t>__________________________________</w:t>
      </w:r>
      <w:r w:rsidRPr="005B1015">
        <w:rPr>
          <w:rFonts w:ascii="Times New Roman" w:eastAsia="Times New Roman" w:hAnsi="Times New Roman" w:cs="Times New Roman"/>
          <w:sz w:val="28"/>
          <w:szCs w:val="28"/>
          <w:lang w:val="en-GB" w:eastAsia="en-GB"/>
        </w:rPr>
        <w:t>______________________________</w:t>
      </w:r>
    </w:p>
    <w:p w14:paraId="0347955A" w14:textId="1F76160D" w:rsidR="00913ACF" w:rsidRPr="00703C33" w:rsidRDefault="008731C8" w:rsidP="00587C37">
      <w:pPr>
        <w:spacing w:after="240" w:line="360" w:lineRule="auto"/>
        <w:jc w:val="both"/>
        <w:rPr>
          <w:rFonts w:ascii="Times New Roman" w:eastAsia="Times New Roman" w:hAnsi="Times New Roman" w:cs="Times New Roman"/>
          <w:b/>
          <w:sz w:val="28"/>
          <w:szCs w:val="28"/>
          <w:lang w:val="en-GB" w:eastAsia="en-GB"/>
        </w:rPr>
      </w:pPr>
      <w:r w:rsidRPr="008731C8">
        <w:rPr>
          <w:rFonts w:ascii="Times New Roman" w:eastAsia="Times New Roman" w:hAnsi="Times New Roman" w:cs="Times New Roman"/>
          <w:b/>
          <w:sz w:val="28"/>
          <w:szCs w:val="28"/>
          <w:lang w:val="en-GB" w:eastAsia="en-GB"/>
        </w:rPr>
        <w:t>Ponnan</w:t>
      </w:r>
      <w:r w:rsidR="004B79E3" w:rsidRPr="008731C8">
        <w:rPr>
          <w:rFonts w:ascii="Times New Roman" w:eastAsia="Times New Roman" w:hAnsi="Times New Roman" w:cs="Times New Roman"/>
          <w:b/>
          <w:sz w:val="28"/>
          <w:szCs w:val="28"/>
          <w:lang w:val="en-GB" w:eastAsia="en-GB"/>
        </w:rPr>
        <w:t xml:space="preserve"> JA </w:t>
      </w:r>
      <w:r w:rsidRPr="008731C8">
        <w:rPr>
          <w:rFonts w:ascii="Times New Roman" w:eastAsia="Times New Roman" w:hAnsi="Times New Roman" w:cs="Times New Roman"/>
          <w:b/>
          <w:sz w:val="28"/>
          <w:szCs w:val="28"/>
          <w:lang w:val="en-GB" w:eastAsia="en-GB"/>
        </w:rPr>
        <w:t>(Molemela JA</w:t>
      </w:r>
      <w:r w:rsidRPr="008731C8">
        <w:rPr>
          <w:rFonts w:ascii="Times New Roman" w:eastAsia="Times New Roman" w:hAnsi="Times New Roman" w:cs="Times New Roman"/>
          <w:b/>
          <w:bCs/>
          <w:sz w:val="28"/>
          <w:szCs w:val="28"/>
          <w:lang w:val="en-GB" w:eastAsia="en-GB"/>
        </w:rPr>
        <w:t xml:space="preserve"> and Musi, Meyer and Phatshoane AJJA </w:t>
      </w:r>
      <w:r w:rsidR="004B79E3" w:rsidRPr="008731C8">
        <w:rPr>
          <w:rFonts w:ascii="Times New Roman" w:eastAsia="Times New Roman" w:hAnsi="Times New Roman" w:cs="Times New Roman"/>
          <w:b/>
          <w:sz w:val="28"/>
          <w:szCs w:val="28"/>
          <w:lang w:val="en-GB" w:eastAsia="en-GB"/>
        </w:rPr>
        <w:t>concurring</w:t>
      </w:r>
      <w:r w:rsidR="00703C33" w:rsidRPr="008731C8">
        <w:rPr>
          <w:rFonts w:ascii="Times New Roman" w:eastAsia="Times New Roman" w:hAnsi="Times New Roman" w:cs="Times New Roman"/>
          <w:b/>
          <w:sz w:val="28"/>
          <w:szCs w:val="28"/>
          <w:lang w:val="en-GB" w:eastAsia="en-GB"/>
        </w:rPr>
        <w:t>)</w:t>
      </w:r>
    </w:p>
    <w:p w14:paraId="14F7B3DA" w14:textId="61964EBF" w:rsidR="00330A45" w:rsidRDefault="00330A45" w:rsidP="00587C37">
      <w:pPr>
        <w:spacing w:after="0" w:line="360" w:lineRule="auto"/>
        <w:jc w:val="both"/>
        <w:rPr>
          <w:rFonts w:ascii="Times New Roman" w:hAnsi="Times New Roman" w:cs="Times New Roman"/>
          <w:sz w:val="28"/>
          <w:szCs w:val="28"/>
        </w:rPr>
      </w:pPr>
      <w:r w:rsidRPr="005B1015">
        <w:rPr>
          <w:rFonts w:ascii="Times New Roman" w:hAnsi="Times New Roman" w:cs="Times New Roman"/>
          <w:sz w:val="28"/>
          <w:szCs w:val="28"/>
        </w:rPr>
        <w:t>[1]</w:t>
      </w:r>
      <w:r w:rsidRPr="005B1015">
        <w:rPr>
          <w:rFonts w:ascii="Times New Roman" w:hAnsi="Times New Roman" w:cs="Times New Roman"/>
          <w:sz w:val="28"/>
          <w:szCs w:val="28"/>
        </w:rPr>
        <w:tab/>
        <w:t xml:space="preserve">To facilitate what has been described as an ambitious land and agrarian reform programme, the Constitution of the Republic of Zimbabwe was amended to provide for land expropriation without compensation, as </w:t>
      </w:r>
      <w:r w:rsidR="00585787" w:rsidRPr="005B1015">
        <w:rPr>
          <w:rFonts w:ascii="Times New Roman" w:hAnsi="Times New Roman" w:cs="Times New Roman"/>
          <w:sz w:val="28"/>
          <w:szCs w:val="28"/>
        </w:rPr>
        <w:t>also</w:t>
      </w:r>
      <w:r w:rsidR="00381E6C">
        <w:rPr>
          <w:rFonts w:ascii="Times New Roman" w:hAnsi="Times New Roman" w:cs="Times New Roman"/>
          <w:sz w:val="28"/>
          <w:szCs w:val="28"/>
        </w:rPr>
        <w:t>,</w:t>
      </w:r>
      <w:r w:rsidR="00585787" w:rsidRPr="005B1015">
        <w:rPr>
          <w:rFonts w:ascii="Times New Roman" w:hAnsi="Times New Roman" w:cs="Times New Roman"/>
          <w:sz w:val="28"/>
          <w:szCs w:val="28"/>
        </w:rPr>
        <w:t xml:space="preserve"> to remove the </w:t>
      </w:r>
      <w:r w:rsidRPr="005B1015">
        <w:rPr>
          <w:rFonts w:ascii="Times New Roman" w:hAnsi="Times New Roman" w:cs="Times New Roman"/>
          <w:sz w:val="28"/>
          <w:szCs w:val="28"/>
        </w:rPr>
        <w:t>jurisdiction of the domestic courts of Zimbabwe over disputes relating to expropriation without compensation.</w:t>
      </w:r>
      <w:r w:rsidRPr="005B1015">
        <w:rPr>
          <w:rStyle w:val="FootnoteReference"/>
          <w:rFonts w:ascii="Times New Roman" w:hAnsi="Times New Roman" w:cs="Times New Roman"/>
          <w:sz w:val="28"/>
          <w:szCs w:val="28"/>
        </w:rPr>
        <w:footnoteReference w:id="1"/>
      </w:r>
      <w:r w:rsidRPr="005B1015">
        <w:rPr>
          <w:rFonts w:ascii="Times New Roman" w:hAnsi="Times New Roman" w:cs="Times New Roman"/>
          <w:sz w:val="28"/>
          <w:szCs w:val="28"/>
        </w:rPr>
        <w:t xml:space="preserve"> Some farmers, including South African citizens, who had lost their land in consequence of the implementation of the programme, turned to the Southern African Development Community (SADC) Trib</w:t>
      </w:r>
      <w:r w:rsidR="00585787" w:rsidRPr="005B1015">
        <w:rPr>
          <w:rFonts w:ascii="Times New Roman" w:hAnsi="Times New Roman" w:cs="Times New Roman"/>
          <w:sz w:val="28"/>
          <w:szCs w:val="28"/>
        </w:rPr>
        <w:t>unal (the Tribunal)</w:t>
      </w:r>
      <w:r w:rsidR="001215A8" w:rsidRPr="005B1015">
        <w:rPr>
          <w:rFonts w:ascii="Times New Roman" w:hAnsi="Times New Roman" w:cs="Times New Roman"/>
          <w:sz w:val="28"/>
          <w:szCs w:val="28"/>
        </w:rPr>
        <w:t xml:space="preserve">. </w:t>
      </w:r>
      <w:r w:rsidRPr="005B1015">
        <w:rPr>
          <w:rFonts w:ascii="Times New Roman" w:hAnsi="Times New Roman" w:cs="Times New Roman"/>
          <w:sz w:val="28"/>
          <w:szCs w:val="28"/>
        </w:rPr>
        <w:t xml:space="preserve">The Tribunal held that the jurisdiction of the Zimbabwean courts had been ousted ‘from any case related to the acquisition of agricultural land and that the applicants [in that matter] were therefore unable to </w:t>
      </w:r>
      <w:r w:rsidRPr="005B1015">
        <w:rPr>
          <w:rFonts w:ascii="Times New Roman" w:hAnsi="Times New Roman" w:cs="Times New Roman"/>
          <w:sz w:val="28"/>
          <w:szCs w:val="28"/>
        </w:rPr>
        <w:lastRenderedPageBreak/>
        <w:t>institute proceedings under the domestic jurisdiction’.</w:t>
      </w:r>
      <w:r w:rsidR="00585787" w:rsidRPr="005B1015">
        <w:rPr>
          <w:rStyle w:val="FootnoteReference"/>
          <w:rFonts w:ascii="Times New Roman" w:hAnsi="Times New Roman" w:cs="Times New Roman"/>
          <w:sz w:val="28"/>
          <w:szCs w:val="28"/>
        </w:rPr>
        <w:footnoteReference w:id="2"/>
      </w:r>
      <w:r w:rsidRPr="005B1015">
        <w:rPr>
          <w:rFonts w:ascii="Times New Roman" w:hAnsi="Times New Roman" w:cs="Times New Roman"/>
          <w:sz w:val="28"/>
          <w:szCs w:val="28"/>
        </w:rPr>
        <w:t xml:space="preserve"> It concluded that Zimbabwe was in breach of certain of its obligations under the SADC Treaty (the Treaty)</w:t>
      </w:r>
      <w:r w:rsidRPr="005B1015">
        <w:rPr>
          <w:rStyle w:val="FootnoteReference"/>
          <w:rFonts w:ascii="Times New Roman" w:hAnsi="Times New Roman" w:cs="Times New Roman"/>
          <w:sz w:val="28"/>
          <w:szCs w:val="28"/>
        </w:rPr>
        <w:footnoteReference w:id="3"/>
      </w:r>
      <w:r w:rsidRPr="005B1015">
        <w:rPr>
          <w:rFonts w:ascii="Times New Roman" w:hAnsi="Times New Roman" w:cs="Times New Roman"/>
          <w:sz w:val="28"/>
          <w:szCs w:val="28"/>
        </w:rPr>
        <w:t xml:space="preserve"> and, inter alia, ordered it to pay fair compensation. Zimbabwe, however, failed to comply with the order of the Tribunal.</w:t>
      </w:r>
    </w:p>
    <w:p w14:paraId="7DBB6884" w14:textId="77777777" w:rsidR="00C47EC9" w:rsidRPr="005B1015" w:rsidRDefault="00C47EC9" w:rsidP="00587C37">
      <w:pPr>
        <w:spacing w:after="0" w:line="360" w:lineRule="auto"/>
        <w:jc w:val="both"/>
        <w:rPr>
          <w:rFonts w:ascii="Times New Roman" w:hAnsi="Times New Roman" w:cs="Times New Roman"/>
          <w:sz w:val="28"/>
          <w:szCs w:val="28"/>
        </w:rPr>
      </w:pPr>
    </w:p>
    <w:p w14:paraId="3D7C995B" w14:textId="77777777" w:rsidR="00381E6C" w:rsidRDefault="00330A45" w:rsidP="00587C37">
      <w:pPr>
        <w:spacing w:after="0" w:line="360" w:lineRule="auto"/>
        <w:jc w:val="both"/>
        <w:rPr>
          <w:rFonts w:ascii="Times New Roman" w:hAnsi="Times New Roman" w:cs="Times New Roman"/>
          <w:sz w:val="28"/>
          <w:szCs w:val="28"/>
        </w:rPr>
      </w:pPr>
      <w:r w:rsidRPr="005B1015">
        <w:rPr>
          <w:rFonts w:ascii="Times New Roman" w:hAnsi="Times New Roman" w:cs="Times New Roman"/>
          <w:sz w:val="28"/>
          <w:szCs w:val="28"/>
        </w:rPr>
        <w:t>[2]</w:t>
      </w:r>
      <w:r w:rsidRPr="005B1015">
        <w:rPr>
          <w:rFonts w:ascii="Times New Roman" w:hAnsi="Times New Roman" w:cs="Times New Roman"/>
          <w:sz w:val="28"/>
          <w:szCs w:val="28"/>
        </w:rPr>
        <w:tab/>
        <w:t>In September 2009, at a meeting of the Summit (being the supreme executive body constituted by the Treaty and comprising the Heads of State of the member states of SADC) held in Kinshasa in the Democratic Republic of Congo, Zimbabwe’s failure to comply with the decisions of the Tribunal was raised. It was resolved to ask the Committee of Ministers of Justice and Attorneys-General (the Committee) to hold a meeting on the legal issues regarding Zimbabwe and to advise the Summit. The Committee was also asked to ‘review the roles, responsibilities and terms</w:t>
      </w:r>
      <w:r w:rsidR="00381E6C">
        <w:rPr>
          <w:rFonts w:ascii="Times New Roman" w:hAnsi="Times New Roman" w:cs="Times New Roman"/>
          <w:sz w:val="28"/>
          <w:szCs w:val="28"/>
        </w:rPr>
        <w:t xml:space="preserve"> of reference of the Tribunal’.</w:t>
      </w:r>
    </w:p>
    <w:p w14:paraId="220C8883" w14:textId="77777777" w:rsidR="00381E6C" w:rsidRDefault="00381E6C" w:rsidP="00587C37">
      <w:pPr>
        <w:spacing w:after="0" w:line="360" w:lineRule="auto"/>
        <w:jc w:val="both"/>
        <w:rPr>
          <w:rFonts w:ascii="Times New Roman" w:hAnsi="Times New Roman" w:cs="Times New Roman"/>
          <w:sz w:val="28"/>
          <w:szCs w:val="28"/>
        </w:rPr>
      </w:pPr>
    </w:p>
    <w:p w14:paraId="19A5843F" w14:textId="42523623" w:rsidR="00330A45" w:rsidRPr="005B1015" w:rsidRDefault="00381E6C" w:rsidP="00587C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330A45" w:rsidRPr="005B1015">
        <w:rPr>
          <w:rFonts w:ascii="Times New Roman" w:hAnsi="Times New Roman" w:cs="Times New Roman"/>
          <w:sz w:val="28"/>
          <w:szCs w:val="28"/>
        </w:rPr>
        <w:t>At a meeting of Heads of State and Government, held in Windhoek, Namibia on 16 and 17 August 2010, further ‘acts of non-compliance by the Republic of Zimbabwe with regard to the Tribunal’s earlier d</w:t>
      </w:r>
      <w:r w:rsidR="00C47EC9">
        <w:rPr>
          <w:rFonts w:ascii="Times New Roman" w:hAnsi="Times New Roman" w:cs="Times New Roman"/>
          <w:sz w:val="28"/>
          <w:szCs w:val="28"/>
        </w:rPr>
        <w:t xml:space="preserve">ecisions’ arose for discussion. </w:t>
      </w:r>
      <w:r w:rsidR="00330A45" w:rsidRPr="005B1015">
        <w:rPr>
          <w:rFonts w:ascii="Times New Roman" w:hAnsi="Times New Roman" w:cs="Times New Roman"/>
          <w:sz w:val="28"/>
          <w:szCs w:val="28"/>
        </w:rPr>
        <w:t>The Summit resolved</w:t>
      </w:r>
      <w:r w:rsidR="00330A45" w:rsidRPr="005B1015">
        <w:rPr>
          <w:rFonts w:ascii="Times New Roman" w:hAnsi="Times New Roman" w:cs="Times New Roman"/>
          <w:sz w:val="28"/>
          <w:szCs w:val="28"/>
          <w:shd w:val="clear" w:color="auto" w:fill="FFFFFF"/>
        </w:rPr>
        <w:t xml:space="preserve"> </w:t>
      </w:r>
      <w:r w:rsidR="00330A45" w:rsidRPr="005B1015">
        <w:rPr>
          <w:rFonts w:ascii="Times New Roman" w:hAnsi="Times New Roman" w:cs="Times New Roman"/>
          <w:sz w:val="28"/>
          <w:szCs w:val="28"/>
        </w:rPr>
        <w:t>not to re</w:t>
      </w:r>
      <w:r w:rsidR="002D5BB1">
        <w:rPr>
          <w:rFonts w:ascii="Times New Roman" w:hAnsi="Times New Roman" w:cs="Times New Roman"/>
          <w:sz w:val="28"/>
          <w:szCs w:val="28"/>
        </w:rPr>
        <w:t>-</w:t>
      </w:r>
      <w:r w:rsidR="00330A45" w:rsidRPr="005B1015">
        <w:rPr>
          <w:rFonts w:ascii="Times New Roman" w:hAnsi="Times New Roman" w:cs="Times New Roman"/>
          <w:sz w:val="28"/>
          <w:szCs w:val="28"/>
        </w:rPr>
        <w:t>appoint</w:t>
      </w:r>
      <w:r w:rsidR="00913ACF">
        <w:rPr>
          <w:rFonts w:ascii="Times New Roman" w:hAnsi="Times New Roman" w:cs="Times New Roman"/>
          <w:sz w:val="28"/>
          <w:szCs w:val="28"/>
        </w:rPr>
        <w:t>,</w:t>
      </w:r>
      <w:r w:rsidR="00330A45" w:rsidRPr="005B1015">
        <w:rPr>
          <w:rFonts w:ascii="Times New Roman" w:hAnsi="Times New Roman" w:cs="Times New Roman"/>
          <w:sz w:val="28"/>
          <w:szCs w:val="28"/>
        </w:rPr>
        <w:t xml:space="preserve"> </w:t>
      </w:r>
      <w:r w:rsidR="00E93BEF" w:rsidRPr="005B1015">
        <w:rPr>
          <w:rFonts w:ascii="Times New Roman" w:hAnsi="Times New Roman" w:cs="Times New Roman"/>
          <w:sz w:val="28"/>
          <w:szCs w:val="28"/>
        </w:rPr>
        <w:t>for another five-year term</w:t>
      </w:r>
      <w:r w:rsidR="00913ACF">
        <w:rPr>
          <w:rFonts w:ascii="Times New Roman" w:hAnsi="Times New Roman" w:cs="Times New Roman"/>
          <w:sz w:val="28"/>
          <w:szCs w:val="28"/>
        </w:rPr>
        <w:t>,</w:t>
      </w:r>
      <w:r w:rsidR="00E93BEF" w:rsidRPr="005B1015">
        <w:rPr>
          <w:rFonts w:ascii="Times New Roman" w:hAnsi="Times New Roman" w:cs="Times New Roman"/>
          <w:sz w:val="28"/>
          <w:szCs w:val="28"/>
        </w:rPr>
        <w:t xml:space="preserve"> </w:t>
      </w:r>
      <w:r w:rsidR="00330A45" w:rsidRPr="005B1015">
        <w:rPr>
          <w:rFonts w:ascii="Times New Roman" w:hAnsi="Times New Roman" w:cs="Times New Roman"/>
          <w:sz w:val="28"/>
          <w:szCs w:val="28"/>
        </w:rPr>
        <w:t>members of the Tribunal</w:t>
      </w:r>
      <w:r w:rsidR="00913ACF">
        <w:rPr>
          <w:rFonts w:ascii="Times New Roman" w:hAnsi="Times New Roman" w:cs="Times New Roman"/>
          <w:sz w:val="28"/>
          <w:szCs w:val="28"/>
        </w:rPr>
        <w:t>,</w:t>
      </w:r>
      <w:r w:rsidR="00330A45" w:rsidRPr="005B1015">
        <w:rPr>
          <w:rFonts w:ascii="Times New Roman" w:hAnsi="Times New Roman" w:cs="Times New Roman"/>
          <w:sz w:val="28"/>
          <w:szCs w:val="28"/>
        </w:rPr>
        <w:t xml:space="preserve"> whose term of</w:t>
      </w:r>
      <w:r w:rsidR="00E93BEF">
        <w:rPr>
          <w:rFonts w:ascii="Times New Roman" w:hAnsi="Times New Roman" w:cs="Times New Roman"/>
          <w:sz w:val="28"/>
          <w:szCs w:val="28"/>
        </w:rPr>
        <w:t xml:space="preserve"> office expired in August 2010</w:t>
      </w:r>
      <w:r w:rsidR="00330A45" w:rsidRPr="005B1015">
        <w:rPr>
          <w:rFonts w:ascii="Times New Roman" w:hAnsi="Times New Roman" w:cs="Times New Roman"/>
          <w:sz w:val="28"/>
          <w:szCs w:val="28"/>
        </w:rPr>
        <w:t>, pending the report from the Committee.</w:t>
      </w:r>
      <w:r w:rsidR="00330A45" w:rsidRPr="005B1015">
        <w:rPr>
          <w:rFonts w:ascii="Times New Roman" w:hAnsi="Times New Roman" w:cs="Times New Roman"/>
          <w:sz w:val="28"/>
          <w:szCs w:val="28"/>
          <w:shd w:val="clear" w:color="auto" w:fill="FFFFFF"/>
        </w:rPr>
        <w:t xml:space="preserve"> </w:t>
      </w:r>
      <w:r w:rsidR="0013018B" w:rsidRPr="005B1015">
        <w:rPr>
          <w:rFonts w:ascii="Times New Roman" w:hAnsi="Times New Roman" w:cs="Times New Roman"/>
          <w:sz w:val="28"/>
          <w:szCs w:val="28"/>
        </w:rPr>
        <w:t>I</w:t>
      </w:r>
      <w:r w:rsidR="00330A45" w:rsidRPr="005B1015">
        <w:rPr>
          <w:rFonts w:ascii="Times New Roman" w:hAnsi="Times New Roman" w:cs="Times New Roman"/>
          <w:sz w:val="28"/>
          <w:szCs w:val="28"/>
        </w:rPr>
        <w:t>n May 2011</w:t>
      </w:r>
      <w:r w:rsidR="002D5BB1">
        <w:rPr>
          <w:rFonts w:ascii="Times New Roman" w:hAnsi="Times New Roman" w:cs="Times New Roman"/>
          <w:sz w:val="28"/>
          <w:szCs w:val="28"/>
        </w:rPr>
        <w:t>,</w:t>
      </w:r>
      <w:r w:rsidR="00330A45" w:rsidRPr="005B1015">
        <w:rPr>
          <w:rFonts w:ascii="Times New Roman" w:hAnsi="Times New Roman" w:cs="Times New Roman"/>
          <w:sz w:val="28"/>
          <w:szCs w:val="28"/>
        </w:rPr>
        <w:t xml:space="preserve"> </w:t>
      </w:r>
      <w:r w:rsidR="0013018B" w:rsidRPr="005B1015">
        <w:rPr>
          <w:rFonts w:ascii="Times New Roman" w:hAnsi="Times New Roman" w:cs="Times New Roman"/>
          <w:sz w:val="28"/>
          <w:szCs w:val="28"/>
        </w:rPr>
        <w:t xml:space="preserve">it was </w:t>
      </w:r>
      <w:r w:rsidR="00330A45" w:rsidRPr="005B1015">
        <w:rPr>
          <w:rFonts w:ascii="Times New Roman" w:hAnsi="Times New Roman" w:cs="Times New Roman"/>
          <w:sz w:val="28"/>
          <w:szCs w:val="28"/>
        </w:rPr>
        <w:t>decided, in effect, to suspend the operations of the Tribunal by neither re-appointing Members of the Tribunal</w:t>
      </w:r>
      <w:r w:rsidR="00913ACF">
        <w:rPr>
          <w:rFonts w:ascii="Times New Roman" w:hAnsi="Times New Roman" w:cs="Times New Roman"/>
          <w:sz w:val="28"/>
          <w:szCs w:val="28"/>
        </w:rPr>
        <w:t>,</w:t>
      </w:r>
      <w:r w:rsidR="00330A45" w:rsidRPr="005B1015">
        <w:rPr>
          <w:rFonts w:ascii="Times New Roman" w:hAnsi="Times New Roman" w:cs="Times New Roman"/>
          <w:sz w:val="28"/>
          <w:szCs w:val="28"/>
        </w:rPr>
        <w:t xml:space="preserve"> whose term of office had expired in 2010</w:t>
      </w:r>
      <w:r w:rsidR="00913ACF">
        <w:rPr>
          <w:rFonts w:ascii="Times New Roman" w:hAnsi="Times New Roman" w:cs="Times New Roman"/>
          <w:sz w:val="28"/>
          <w:szCs w:val="28"/>
        </w:rPr>
        <w:t>,</w:t>
      </w:r>
      <w:r w:rsidR="00330A45" w:rsidRPr="005B1015">
        <w:rPr>
          <w:rFonts w:ascii="Times New Roman" w:hAnsi="Times New Roman" w:cs="Times New Roman"/>
          <w:sz w:val="28"/>
          <w:szCs w:val="28"/>
        </w:rPr>
        <w:t xml:space="preserve"> nor replacing those whose term would expire in 2011.</w:t>
      </w:r>
      <w:r w:rsidR="00330A45" w:rsidRPr="005B1015">
        <w:rPr>
          <w:rStyle w:val="FootnoteReference"/>
          <w:rFonts w:ascii="Times New Roman" w:hAnsi="Times New Roman" w:cs="Times New Roman"/>
          <w:sz w:val="28"/>
          <w:szCs w:val="28"/>
        </w:rPr>
        <w:footnoteReference w:id="4"/>
      </w:r>
      <w:r w:rsidR="0013018B" w:rsidRPr="005B1015">
        <w:rPr>
          <w:rFonts w:ascii="Times New Roman" w:hAnsi="Times New Roman" w:cs="Times New Roman"/>
          <w:sz w:val="28"/>
          <w:szCs w:val="28"/>
        </w:rPr>
        <w:t xml:space="preserve"> In the result, the </w:t>
      </w:r>
      <w:r w:rsidR="00330A45" w:rsidRPr="005B1015">
        <w:rPr>
          <w:rFonts w:ascii="Times New Roman" w:hAnsi="Times New Roman" w:cs="Times New Roman"/>
          <w:sz w:val="28"/>
          <w:szCs w:val="28"/>
        </w:rPr>
        <w:t xml:space="preserve">Tribunal was </w:t>
      </w:r>
      <w:r w:rsidR="00E93BEF">
        <w:rPr>
          <w:rFonts w:ascii="Times New Roman" w:hAnsi="Times New Roman" w:cs="Times New Roman"/>
          <w:sz w:val="28"/>
          <w:szCs w:val="28"/>
        </w:rPr>
        <w:t xml:space="preserve">effectively disabled and </w:t>
      </w:r>
      <w:r w:rsidR="00330A45" w:rsidRPr="005B1015">
        <w:rPr>
          <w:rFonts w:ascii="Times New Roman" w:hAnsi="Times New Roman" w:cs="Times New Roman"/>
          <w:sz w:val="28"/>
          <w:szCs w:val="28"/>
        </w:rPr>
        <w:t>unable to function.</w:t>
      </w:r>
    </w:p>
    <w:p w14:paraId="7DCF14C3" w14:textId="77777777" w:rsidR="00330A45" w:rsidRPr="005B1015" w:rsidRDefault="00330A45" w:rsidP="00587C37">
      <w:pPr>
        <w:spacing w:after="0" w:line="360" w:lineRule="auto"/>
        <w:jc w:val="both"/>
        <w:rPr>
          <w:rFonts w:ascii="Times New Roman" w:hAnsi="Times New Roman" w:cs="Times New Roman"/>
          <w:sz w:val="28"/>
          <w:szCs w:val="28"/>
        </w:rPr>
      </w:pPr>
    </w:p>
    <w:p w14:paraId="0C5C7FAB" w14:textId="27691FEC" w:rsidR="00330A45" w:rsidRPr="00425C9A" w:rsidRDefault="00381E6C" w:rsidP="00587C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r w:rsidR="00330A45" w:rsidRPr="005B1015">
        <w:rPr>
          <w:rFonts w:ascii="Times New Roman" w:hAnsi="Times New Roman" w:cs="Times New Roman"/>
          <w:sz w:val="28"/>
          <w:szCs w:val="28"/>
        </w:rPr>
        <w:t>]</w:t>
      </w:r>
      <w:r w:rsidR="00330A45" w:rsidRPr="005B1015">
        <w:rPr>
          <w:rFonts w:ascii="Times New Roman" w:hAnsi="Times New Roman" w:cs="Times New Roman"/>
          <w:sz w:val="28"/>
          <w:szCs w:val="28"/>
        </w:rPr>
        <w:tab/>
        <w:t>Thereafter, on 18 August 2014 and at Victoria Falls, Zimbabwe, the Summit adopted a new Protocol (the 2014 Protocol). The 2014 Protocol abolished access by all private individuals to the Tribunal. Thus, instead of facilitating enforcement of the Tribunal’s deci</w:t>
      </w:r>
      <w:r w:rsidR="0013018B" w:rsidRPr="005B1015">
        <w:rPr>
          <w:rFonts w:ascii="Times New Roman" w:hAnsi="Times New Roman" w:cs="Times New Roman"/>
          <w:sz w:val="28"/>
          <w:szCs w:val="28"/>
        </w:rPr>
        <w:t xml:space="preserve">sions, the Summit chose </w:t>
      </w:r>
      <w:r w:rsidR="00330A45" w:rsidRPr="005B1015">
        <w:rPr>
          <w:rFonts w:ascii="Times New Roman" w:hAnsi="Times New Roman" w:cs="Times New Roman"/>
          <w:sz w:val="28"/>
          <w:szCs w:val="28"/>
        </w:rPr>
        <w:t xml:space="preserve">to disregard the </w:t>
      </w:r>
      <w:r w:rsidR="00330A45" w:rsidRPr="00425C9A">
        <w:rPr>
          <w:rFonts w:ascii="Times New Roman" w:hAnsi="Times New Roman" w:cs="Times New Roman"/>
          <w:sz w:val="28"/>
          <w:szCs w:val="28"/>
        </w:rPr>
        <w:t>binding Treaty</w:t>
      </w:r>
      <w:r w:rsidR="005B1015" w:rsidRPr="00425C9A">
        <w:rPr>
          <w:rFonts w:ascii="Times New Roman" w:hAnsi="Times New Roman" w:cs="Times New Roman"/>
          <w:sz w:val="28"/>
          <w:szCs w:val="28"/>
        </w:rPr>
        <w:t xml:space="preserve"> obligations of member </w:t>
      </w:r>
      <w:r w:rsidR="006E16B2" w:rsidRPr="00425C9A">
        <w:rPr>
          <w:rFonts w:ascii="Times New Roman" w:hAnsi="Times New Roman" w:cs="Times New Roman"/>
          <w:sz w:val="28"/>
          <w:szCs w:val="28"/>
        </w:rPr>
        <w:t>s</w:t>
      </w:r>
      <w:r w:rsidR="005B1015" w:rsidRPr="00425C9A">
        <w:rPr>
          <w:rFonts w:ascii="Times New Roman" w:hAnsi="Times New Roman" w:cs="Times New Roman"/>
          <w:sz w:val="28"/>
          <w:szCs w:val="28"/>
        </w:rPr>
        <w:t xml:space="preserve">tates. </w:t>
      </w:r>
      <w:r w:rsidR="00330A45" w:rsidRPr="00425C9A">
        <w:rPr>
          <w:rFonts w:ascii="Times New Roman" w:hAnsi="Times New Roman" w:cs="Times New Roman"/>
          <w:sz w:val="28"/>
          <w:szCs w:val="28"/>
        </w:rPr>
        <w:t>It treated the relevant Treaty provisions and the Tribunal decisions as non-existent and also violated the undertaking to support and promote the Tribunal</w:t>
      </w:r>
      <w:r w:rsidR="00913ACF" w:rsidRPr="00425C9A">
        <w:rPr>
          <w:rFonts w:ascii="Times New Roman" w:hAnsi="Times New Roman" w:cs="Times New Roman"/>
          <w:sz w:val="28"/>
          <w:szCs w:val="28"/>
        </w:rPr>
        <w:t>,</w:t>
      </w:r>
      <w:r w:rsidR="00330A45" w:rsidRPr="00425C9A">
        <w:rPr>
          <w:rFonts w:ascii="Times New Roman" w:hAnsi="Times New Roman" w:cs="Times New Roman"/>
          <w:sz w:val="28"/>
          <w:szCs w:val="28"/>
        </w:rPr>
        <w:t xml:space="preserve"> whose decisions are supposed to bind </w:t>
      </w:r>
      <w:r w:rsidR="006E16B2" w:rsidRPr="00425C9A">
        <w:rPr>
          <w:rFonts w:ascii="Times New Roman" w:hAnsi="Times New Roman" w:cs="Times New Roman"/>
          <w:sz w:val="28"/>
          <w:szCs w:val="28"/>
        </w:rPr>
        <w:t>m</w:t>
      </w:r>
      <w:r w:rsidR="00330A45" w:rsidRPr="00425C9A">
        <w:rPr>
          <w:rFonts w:ascii="Times New Roman" w:hAnsi="Times New Roman" w:cs="Times New Roman"/>
          <w:sz w:val="28"/>
          <w:szCs w:val="28"/>
        </w:rPr>
        <w:t xml:space="preserve">ember </w:t>
      </w:r>
      <w:r w:rsidR="006E16B2" w:rsidRPr="00425C9A">
        <w:rPr>
          <w:rFonts w:ascii="Times New Roman" w:hAnsi="Times New Roman" w:cs="Times New Roman"/>
          <w:sz w:val="28"/>
          <w:szCs w:val="28"/>
        </w:rPr>
        <w:t>s</w:t>
      </w:r>
      <w:r w:rsidR="00330A45" w:rsidRPr="00425C9A">
        <w:rPr>
          <w:rFonts w:ascii="Times New Roman" w:hAnsi="Times New Roman" w:cs="Times New Roman"/>
          <w:sz w:val="28"/>
          <w:szCs w:val="28"/>
        </w:rPr>
        <w:t>tates and</w:t>
      </w:r>
      <w:r w:rsidR="00913ACF" w:rsidRPr="00425C9A">
        <w:rPr>
          <w:rFonts w:ascii="Times New Roman" w:hAnsi="Times New Roman" w:cs="Times New Roman"/>
          <w:sz w:val="28"/>
          <w:szCs w:val="28"/>
        </w:rPr>
        <w:t>,</w:t>
      </w:r>
      <w:r w:rsidR="00330A45" w:rsidRPr="00425C9A">
        <w:rPr>
          <w:rFonts w:ascii="Times New Roman" w:hAnsi="Times New Roman" w:cs="Times New Roman"/>
          <w:sz w:val="28"/>
          <w:szCs w:val="28"/>
        </w:rPr>
        <w:t xml:space="preserve"> by extension</w:t>
      </w:r>
      <w:r w:rsidR="00913ACF" w:rsidRPr="00425C9A">
        <w:rPr>
          <w:rFonts w:ascii="Times New Roman" w:hAnsi="Times New Roman" w:cs="Times New Roman"/>
          <w:sz w:val="28"/>
          <w:szCs w:val="28"/>
        </w:rPr>
        <w:t>,</w:t>
      </w:r>
      <w:r w:rsidR="00330A45" w:rsidRPr="00425C9A">
        <w:rPr>
          <w:rFonts w:ascii="Times New Roman" w:hAnsi="Times New Roman" w:cs="Times New Roman"/>
          <w:sz w:val="28"/>
          <w:szCs w:val="28"/>
        </w:rPr>
        <w:t xml:space="preserve"> the Summit.</w:t>
      </w:r>
    </w:p>
    <w:p w14:paraId="539A7C4A" w14:textId="77777777" w:rsidR="00C47EC9" w:rsidRPr="00425C9A" w:rsidRDefault="00C47EC9" w:rsidP="00587C37">
      <w:pPr>
        <w:spacing w:after="0" w:line="360" w:lineRule="auto"/>
        <w:jc w:val="both"/>
        <w:rPr>
          <w:rFonts w:ascii="Times New Roman" w:hAnsi="Times New Roman" w:cs="Times New Roman"/>
          <w:sz w:val="28"/>
          <w:szCs w:val="28"/>
        </w:rPr>
      </w:pPr>
    </w:p>
    <w:p w14:paraId="689F136C" w14:textId="45DD20A7" w:rsidR="00330A45" w:rsidRPr="005B1015" w:rsidRDefault="00381E6C" w:rsidP="00587C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330A45" w:rsidRPr="00425C9A">
        <w:rPr>
          <w:rFonts w:ascii="Times New Roman" w:hAnsi="Times New Roman" w:cs="Times New Roman"/>
          <w:sz w:val="28"/>
          <w:szCs w:val="28"/>
        </w:rPr>
        <w:t>]</w:t>
      </w:r>
      <w:r w:rsidR="00330A45" w:rsidRPr="00425C9A">
        <w:rPr>
          <w:rFonts w:ascii="Times New Roman" w:hAnsi="Times New Roman" w:cs="Times New Roman"/>
          <w:sz w:val="28"/>
          <w:szCs w:val="28"/>
        </w:rPr>
        <w:tab/>
        <w:t>The appellants are all private individuals, who had claims arising</w:t>
      </w:r>
      <w:r w:rsidR="00913ACF" w:rsidRPr="00425C9A">
        <w:rPr>
          <w:rFonts w:ascii="Times New Roman" w:hAnsi="Times New Roman" w:cs="Times New Roman"/>
          <w:sz w:val="28"/>
          <w:szCs w:val="28"/>
        </w:rPr>
        <w:t>,</w:t>
      </w:r>
      <w:r w:rsidR="00330A45" w:rsidRPr="00425C9A">
        <w:rPr>
          <w:rFonts w:ascii="Times New Roman" w:hAnsi="Times New Roman" w:cs="Times New Roman"/>
          <w:sz w:val="28"/>
          <w:szCs w:val="28"/>
        </w:rPr>
        <w:t xml:space="preserve"> in each instance</w:t>
      </w:r>
      <w:r w:rsidR="00913ACF" w:rsidRPr="00425C9A">
        <w:rPr>
          <w:rFonts w:ascii="Times New Roman" w:hAnsi="Times New Roman" w:cs="Times New Roman"/>
          <w:sz w:val="28"/>
          <w:szCs w:val="28"/>
        </w:rPr>
        <w:t>,</w:t>
      </w:r>
      <w:r w:rsidR="00330A45" w:rsidRPr="00425C9A">
        <w:rPr>
          <w:rFonts w:ascii="Times New Roman" w:hAnsi="Times New Roman" w:cs="Times New Roman"/>
          <w:sz w:val="28"/>
          <w:szCs w:val="28"/>
        </w:rPr>
        <w:t xml:space="preserve"> from the dispossession by the Governm</w:t>
      </w:r>
      <w:r w:rsidR="00505C57" w:rsidRPr="00425C9A">
        <w:rPr>
          <w:rFonts w:ascii="Times New Roman" w:hAnsi="Times New Roman" w:cs="Times New Roman"/>
          <w:sz w:val="28"/>
          <w:szCs w:val="28"/>
        </w:rPr>
        <w:t>ent of Zimbabwe (</w:t>
      </w:r>
      <w:r w:rsidR="00330A45" w:rsidRPr="00425C9A">
        <w:rPr>
          <w:rFonts w:ascii="Times New Roman" w:hAnsi="Times New Roman" w:cs="Times New Roman"/>
          <w:sz w:val="28"/>
          <w:szCs w:val="28"/>
        </w:rPr>
        <w:t>contrary to t</w:t>
      </w:r>
      <w:r w:rsidR="00505C57" w:rsidRPr="00425C9A">
        <w:rPr>
          <w:rFonts w:ascii="Times New Roman" w:hAnsi="Times New Roman" w:cs="Times New Roman"/>
          <w:sz w:val="28"/>
          <w:szCs w:val="28"/>
        </w:rPr>
        <w:t>he Treaty and International Law)</w:t>
      </w:r>
      <w:r w:rsidR="00330A45" w:rsidRPr="00425C9A">
        <w:rPr>
          <w:rFonts w:ascii="Times New Roman" w:hAnsi="Times New Roman" w:cs="Times New Roman"/>
          <w:sz w:val="28"/>
          <w:szCs w:val="28"/>
        </w:rPr>
        <w:t xml:space="preserve"> of farms owned, registered or worked by each of them. Those claim</w:t>
      </w:r>
      <w:r w:rsidR="00505C57" w:rsidRPr="00425C9A">
        <w:rPr>
          <w:rFonts w:ascii="Times New Roman" w:hAnsi="Times New Roman" w:cs="Times New Roman"/>
          <w:sz w:val="28"/>
          <w:szCs w:val="28"/>
        </w:rPr>
        <w:t>s would have been justiciable before</w:t>
      </w:r>
      <w:r w:rsidR="00330A45" w:rsidRPr="00425C9A">
        <w:rPr>
          <w:rFonts w:ascii="Times New Roman" w:hAnsi="Times New Roman" w:cs="Times New Roman"/>
          <w:sz w:val="28"/>
          <w:szCs w:val="28"/>
        </w:rPr>
        <w:t xml:space="preserve"> the Tribunal</w:t>
      </w:r>
      <w:r w:rsidR="00245863" w:rsidRPr="00425C9A">
        <w:rPr>
          <w:rFonts w:ascii="Times New Roman" w:hAnsi="Times New Roman" w:cs="Times New Roman"/>
          <w:sz w:val="28"/>
          <w:szCs w:val="28"/>
        </w:rPr>
        <w:t>,</w:t>
      </w:r>
      <w:r w:rsidR="00330A45" w:rsidRPr="00425C9A">
        <w:rPr>
          <w:rFonts w:ascii="Times New Roman" w:hAnsi="Times New Roman" w:cs="Times New Roman"/>
          <w:sz w:val="28"/>
          <w:szCs w:val="28"/>
        </w:rPr>
        <w:t xml:space="preserve"> prior to the </w:t>
      </w:r>
      <w:r>
        <w:rPr>
          <w:rFonts w:ascii="Times New Roman" w:hAnsi="Times New Roman" w:cs="Times New Roman"/>
          <w:sz w:val="28"/>
          <w:szCs w:val="28"/>
        </w:rPr>
        <w:t xml:space="preserve">adoption of the </w:t>
      </w:r>
      <w:r w:rsidR="00330A45" w:rsidRPr="00425C9A">
        <w:rPr>
          <w:rFonts w:ascii="Times New Roman" w:hAnsi="Times New Roman" w:cs="Times New Roman"/>
          <w:sz w:val="28"/>
          <w:szCs w:val="28"/>
        </w:rPr>
        <w:t>2014 Protocol</w:t>
      </w:r>
      <w:r>
        <w:rPr>
          <w:rFonts w:ascii="Times New Roman" w:hAnsi="Times New Roman" w:cs="Times New Roman"/>
          <w:sz w:val="28"/>
          <w:szCs w:val="28"/>
        </w:rPr>
        <w:t>.</w:t>
      </w:r>
    </w:p>
    <w:p w14:paraId="39B90FB2" w14:textId="77777777" w:rsidR="00330A45" w:rsidRPr="005B1015" w:rsidRDefault="00330A45" w:rsidP="00587C37">
      <w:pPr>
        <w:spacing w:after="0" w:line="360" w:lineRule="auto"/>
        <w:jc w:val="both"/>
        <w:rPr>
          <w:rFonts w:ascii="Times New Roman" w:hAnsi="Times New Roman" w:cs="Times New Roman"/>
          <w:sz w:val="28"/>
          <w:szCs w:val="28"/>
        </w:rPr>
      </w:pPr>
    </w:p>
    <w:p w14:paraId="7686A0A6" w14:textId="2D40D684" w:rsidR="00330A45" w:rsidRPr="00425C9A" w:rsidRDefault="00381E6C" w:rsidP="00587C37">
      <w:pPr>
        <w:spacing w:after="0" w:line="360" w:lineRule="auto"/>
        <w:jc w:val="both"/>
        <w:rPr>
          <w:rFonts w:ascii="Times New Roman" w:hAnsi="Times New Roman" w:cs="Times New Roman"/>
          <w:bCs/>
          <w:sz w:val="28"/>
          <w:szCs w:val="28"/>
        </w:rPr>
      </w:pPr>
      <w:r>
        <w:rPr>
          <w:rFonts w:ascii="Times New Roman" w:hAnsi="Times New Roman" w:cs="Times New Roman"/>
          <w:sz w:val="28"/>
          <w:szCs w:val="28"/>
        </w:rPr>
        <w:t>[6</w:t>
      </w:r>
      <w:r w:rsidR="00330A45" w:rsidRPr="005B1015">
        <w:rPr>
          <w:rFonts w:ascii="Times New Roman" w:hAnsi="Times New Roman" w:cs="Times New Roman"/>
          <w:sz w:val="28"/>
          <w:szCs w:val="28"/>
        </w:rPr>
        <w:t>]</w:t>
      </w:r>
      <w:r w:rsidR="00330A45" w:rsidRPr="005B1015">
        <w:rPr>
          <w:rFonts w:ascii="Times New Roman" w:hAnsi="Times New Roman" w:cs="Times New Roman"/>
          <w:sz w:val="28"/>
          <w:szCs w:val="28"/>
        </w:rPr>
        <w:tab/>
        <w:t>The then South African President’s negotiation and signing of the 2014 Protocol was subsequently challenged in litigation on the grounds that it was unconstituti</w:t>
      </w:r>
      <w:r w:rsidR="005B1015" w:rsidRPr="005B1015">
        <w:rPr>
          <w:rFonts w:ascii="Times New Roman" w:hAnsi="Times New Roman" w:cs="Times New Roman"/>
          <w:sz w:val="28"/>
          <w:szCs w:val="28"/>
        </w:rPr>
        <w:t xml:space="preserve">onal, unlawful and irrational. </w:t>
      </w:r>
      <w:r w:rsidR="00330A45" w:rsidRPr="005B1015">
        <w:rPr>
          <w:rFonts w:ascii="Times New Roman" w:hAnsi="Times New Roman" w:cs="Times New Roman"/>
          <w:sz w:val="28"/>
          <w:szCs w:val="28"/>
        </w:rPr>
        <w:t>So too, his decision to make common cause with his peers to not appoint or re-appoint (as the case may be) Memb</w:t>
      </w:r>
      <w:r w:rsidR="00505C57" w:rsidRPr="005B1015">
        <w:rPr>
          <w:rFonts w:ascii="Times New Roman" w:hAnsi="Times New Roman" w:cs="Times New Roman"/>
          <w:sz w:val="28"/>
          <w:szCs w:val="28"/>
        </w:rPr>
        <w:t xml:space="preserve">ers or </w:t>
      </w:r>
      <w:r w:rsidR="00505C57" w:rsidRPr="00425C9A">
        <w:rPr>
          <w:rFonts w:ascii="Times New Roman" w:hAnsi="Times New Roman" w:cs="Times New Roman"/>
          <w:sz w:val="28"/>
          <w:szCs w:val="28"/>
        </w:rPr>
        <w:t>Judges to the Tribunal and</w:t>
      </w:r>
      <w:r w:rsidR="00330A45" w:rsidRPr="00425C9A">
        <w:rPr>
          <w:rFonts w:ascii="Times New Roman" w:hAnsi="Times New Roman" w:cs="Times New Roman"/>
          <w:sz w:val="28"/>
          <w:szCs w:val="28"/>
        </w:rPr>
        <w:t xml:space="preserve"> to suspend the operations of the </w:t>
      </w:r>
      <w:r>
        <w:rPr>
          <w:rFonts w:ascii="Times New Roman" w:hAnsi="Times New Roman" w:cs="Times New Roman"/>
          <w:sz w:val="28"/>
          <w:szCs w:val="28"/>
        </w:rPr>
        <w:t>latter</w:t>
      </w:r>
      <w:r w:rsidR="00330A45" w:rsidRPr="00425C9A">
        <w:rPr>
          <w:rFonts w:ascii="Times New Roman" w:hAnsi="Times New Roman" w:cs="Times New Roman"/>
          <w:sz w:val="28"/>
          <w:szCs w:val="28"/>
        </w:rPr>
        <w:t>. The application was launched by the Law Society of South Africa (the LSSA) on 19 March 2015.</w:t>
      </w:r>
      <w:r w:rsidR="008422BB" w:rsidRPr="00425C9A">
        <w:rPr>
          <w:rFonts w:ascii="Times New Roman" w:hAnsi="Times New Roman" w:cs="Times New Roman"/>
          <w:sz w:val="28"/>
          <w:szCs w:val="28"/>
        </w:rPr>
        <w:t xml:space="preserve"> Some of the</w:t>
      </w:r>
      <w:r w:rsidR="00330A45" w:rsidRPr="00425C9A">
        <w:rPr>
          <w:rFonts w:ascii="Times New Roman" w:hAnsi="Times New Roman" w:cs="Times New Roman"/>
          <w:sz w:val="28"/>
          <w:szCs w:val="28"/>
        </w:rPr>
        <w:t xml:space="preserve"> current appellants applied for leave to intervene in the application. Both the intervention application and the review application succeeded. A Full Court of the Gauteng Division of the High Court, Pretoria</w:t>
      </w:r>
      <w:r w:rsidR="0035450A" w:rsidRPr="00425C9A">
        <w:rPr>
          <w:rFonts w:ascii="Times New Roman" w:hAnsi="Times New Roman" w:cs="Times New Roman"/>
          <w:sz w:val="28"/>
          <w:szCs w:val="28"/>
        </w:rPr>
        <w:t xml:space="preserve"> (</w:t>
      </w:r>
      <w:r w:rsidR="00F94A1B" w:rsidRPr="00425C9A">
        <w:rPr>
          <w:rFonts w:ascii="Times New Roman" w:hAnsi="Times New Roman" w:cs="Times New Roman"/>
          <w:sz w:val="28"/>
          <w:szCs w:val="28"/>
        </w:rPr>
        <w:t xml:space="preserve">the </w:t>
      </w:r>
      <w:r w:rsidR="001F008A" w:rsidRPr="00425C9A">
        <w:rPr>
          <w:rFonts w:ascii="Times New Roman" w:hAnsi="Times New Roman" w:cs="Times New Roman"/>
          <w:sz w:val="28"/>
          <w:szCs w:val="28"/>
        </w:rPr>
        <w:t>full court)</w:t>
      </w:r>
      <w:r w:rsidR="00330A45" w:rsidRPr="00425C9A">
        <w:rPr>
          <w:rFonts w:ascii="Times New Roman" w:hAnsi="Times New Roman" w:cs="Times New Roman"/>
          <w:sz w:val="28"/>
          <w:szCs w:val="28"/>
        </w:rPr>
        <w:t>, sitting as a court of first instance (by virtue of the importance of the matter)</w:t>
      </w:r>
      <w:r w:rsidR="00E53A01" w:rsidRPr="00425C9A">
        <w:rPr>
          <w:rFonts w:ascii="Times New Roman" w:hAnsi="Times New Roman" w:cs="Times New Roman"/>
          <w:sz w:val="28"/>
          <w:szCs w:val="28"/>
        </w:rPr>
        <w:t>,</w:t>
      </w:r>
      <w:r w:rsidR="00330A45" w:rsidRPr="00425C9A">
        <w:rPr>
          <w:rFonts w:ascii="Times New Roman" w:hAnsi="Times New Roman" w:cs="Times New Roman"/>
          <w:b/>
          <w:bCs/>
          <w:sz w:val="28"/>
          <w:szCs w:val="28"/>
          <w:shd w:val="clear" w:color="auto" w:fill="FFFFFF"/>
        </w:rPr>
        <w:t xml:space="preserve"> </w:t>
      </w:r>
      <w:r w:rsidR="00330A45" w:rsidRPr="00425C9A">
        <w:rPr>
          <w:rFonts w:ascii="Times New Roman" w:hAnsi="Times New Roman" w:cs="Times New Roman"/>
          <w:bCs/>
          <w:sz w:val="28"/>
          <w:szCs w:val="28"/>
        </w:rPr>
        <w:t>declared on 1 March 2018 that the President’s participation in suspending the</w:t>
      </w:r>
      <w:r w:rsidR="00505C57" w:rsidRPr="00425C9A">
        <w:rPr>
          <w:rFonts w:ascii="Times New Roman" w:hAnsi="Times New Roman" w:cs="Times New Roman"/>
          <w:bCs/>
          <w:sz w:val="28"/>
          <w:szCs w:val="28"/>
        </w:rPr>
        <w:t xml:space="preserve"> operations of the</w:t>
      </w:r>
      <w:r w:rsidR="00330A45" w:rsidRPr="00425C9A">
        <w:rPr>
          <w:rFonts w:ascii="Times New Roman" w:hAnsi="Times New Roman" w:cs="Times New Roman"/>
          <w:bCs/>
          <w:sz w:val="28"/>
          <w:szCs w:val="28"/>
        </w:rPr>
        <w:t xml:space="preserve"> SADC Tribunal and his subsequent signing of the 2014 Protocol was unlawful, irrational and thus, unconstitutional. In terms of s </w:t>
      </w:r>
      <w:r w:rsidR="00330A45" w:rsidRPr="00425C9A">
        <w:rPr>
          <w:rFonts w:ascii="Times New Roman" w:hAnsi="Times New Roman" w:cs="Times New Roman"/>
          <w:bCs/>
          <w:sz w:val="28"/>
          <w:szCs w:val="28"/>
        </w:rPr>
        <w:lastRenderedPageBreak/>
        <w:t>172(2)</w:t>
      </w:r>
      <w:r w:rsidR="00330A45" w:rsidRPr="00425C9A">
        <w:rPr>
          <w:rFonts w:ascii="Times New Roman" w:hAnsi="Times New Roman" w:cs="Times New Roman"/>
          <w:bCs/>
          <w:i/>
          <w:sz w:val="28"/>
          <w:szCs w:val="28"/>
        </w:rPr>
        <w:t xml:space="preserve">(a) </w:t>
      </w:r>
      <w:r w:rsidR="00330A45" w:rsidRPr="00425C9A">
        <w:rPr>
          <w:rFonts w:ascii="Times New Roman" w:hAnsi="Times New Roman" w:cs="Times New Roman"/>
          <w:bCs/>
          <w:sz w:val="28"/>
          <w:szCs w:val="28"/>
        </w:rPr>
        <w:t>of the Constitution</w:t>
      </w:r>
      <w:r w:rsidR="00E93BEF" w:rsidRPr="00425C9A">
        <w:rPr>
          <w:rFonts w:ascii="Times New Roman" w:hAnsi="Times New Roman" w:cs="Times New Roman"/>
          <w:bCs/>
          <w:sz w:val="28"/>
          <w:szCs w:val="28"/>
        </w:rPr>
        <w:t>,</w:t>
      </w:r>
      <w:r w:rsidR="00330A45" w:rsidRPr="00425C9A">
        <w:rPr>
          <w:rFonts w:ascii="Times New Roman" w:hAnsi="Times New Roman" w:cs="Times New Roman"/>
          <w:bCs/>
          <w:sz w:val="28"/>
          <w:szCs w:val="28"/>
        </w:rPr>
        <w:t xml:space="preserve"> the </w:t>
      </w:r>
      <w:r w:rsidR="001F008A" w:rsidRPr="00425C9A">
        <w:rPr>
          <w:rFonts w:ascii="Times New Roman" w:hAnsi="Times New Roman" w:cs="Times New Roman"/>
          <w:bCs/>
          <w:sz w:val="28"/>
          <w:szCs w:val="28"/>
        </w:rPr>
        <w:t>f</w:t>
      </w:r>
      <w:r w:rsidR="00330A45" w:rsidRPr="00425C9A">
        <w:rPr>
          <w:rFonts w:ascii="Times New Roman" w:hAnsi="Times New Roman" w:cs="Times New Roman"/>
          <w:bCs/>
          <w:sz w:val="28"/>
          <w:szCs w:val="28"/>
        </w:rPr>
        <w:t xml:space="preserve">ull </w:t>
      </w:r>
      <w:r w:rsidR="001F008A" w:rsidRPr="00425C9A">
        <w:rPr>
          <w:rFonts w:ascii="Times New Roman" w:hAnsi="Times New Roman" w:cs="Times New Roman"/>
          <w:bCs/>
          <w:sz w:val="28"/>
          <w:szCs w:val="28"/>
        </w:rPr>
        <w:t>c</w:t>
      </w:r>
      <w:r w:rsidR="00330A45" w:rsidRPr="00425C9A">
        <w:rPr>
          <w:rFonts w:ascii="Times New Roman" w:hAnsi="Times New Roman" w:cs="Times New Roman"/>
          <w:bCs/>
          <w:sz w:val="28"/>
          <w:szCs w:val="28"/>
        </w:rPr>
        <w:t>ourt referred its order to the Constitutional Court for confirmation.</w:t>
      </w:r>
      <w:r w:rsidR="00330A45" w:rsidRPr="00425C9A">
        <w:rPr>
          <w:rStyle w:val="FootnoteReference"/>
          <w:rFonts w:ascii="Times New Roman" w:hAnsi="Times New Roman" w:cs="Times New Roman"/>
          <w:bCs/>
          <w:sz w:val="28"/>
          <w:szCs w:val="28"/>
        </w:rPr>
        <w:footnoteReference w:id="5"/>
      </w:r>
    </w:p>
    <w:p w14:paraId="2CC76839" w14:textId="77777777" w:rsidR="00F94A1B" w:rsidRPr="00425C9A" w:rsidRDefault="00F94A1B" w:rsidP="00587C37">
      <w:pPr>
        <w:spacing w:after="0" w:line="360" w:lineRule="auto"/>
        <w:jc w:val="both"/>
        <w:rPr>
          <w:rFonts w:ascii="Times New Roman" w:hAnsi="Times New Roman" w:cs="Times New Roman"/>
          <w:sz w:val="28"/>
          <w:szCs w:val="28"/>
        </w:rPr>
      </w:pPr>
    </w:p>
    <w:p w14:paraId="25CDF98A" w14:textId="43027E0F" w:rsidR="00330A45" w:rsidRPr="00425C9A" w:rsidRDefault="00381E6C" w:rsidP="00587C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330A45" w:rsidRPr="00425C9A">
        <w:rPr>
          <w:rFonts w:ascii="Times New Roman" w:hAnsi="Times New Roman" w:cs="Times New Roman"/>
          <w:sz w:val="28"/>
          <w:szCs w:val="28"/>
        </w:rPr>
        <w:t>]</w:t>
      </w:r>
      <w:r w:rsidR="00330A45" w:rsidRPr="00425C9A">
        <w:rPr>
          <w:rFonts w:ascii="Times New Roman" w:hAnsi="Times New Roman" w:cs="Times New Roman"/>
          <w:sz w:val="28"/>
          <w:szCs w:val="28"/>
        </w:rPr>
        <w:tab/>
        <w:t xml:space="preserve">In a judgment delivered on 11 December 2018, the Constitutional Court confirmed the </w:t>
      </w:r>
      <w:r w:rsidR="00EF1F10" w:rsidRPr="00425C9A">
        <w:rPr>
          <w:rFonts w:ascii="Times New Roman" w:hAnsi="Times New Roman" w:cs="Times New Roman"/>
          <w:sz w:val="28"/>
          <w:szCs w:val="28"/>
        </w:rPr>
        <w:t>f</w:t>
      </w:r>
      <w:r w:rsidR="00330A45" w:rsidRPr="00425C9A">
        <w:rPr>
          <w:rFonts w:ascii="Times New Roman" w:hAnsi="Times New Roman" w:cs="Times New Roman"/>
          <w:sz w:val="28"/>
          <w:szCs w:val="28"/>
        </w:rPr>
        <w:t>ull</w:t>
      </w:r>
      <w:r w:rsidR="00EF1F10" w:rsidRPr="00425C9A">
        <w:rPr>
          <w:rFonts w:ascii="Times New Roman" w:hAnsi="Times New Roman" w:cs="Times New Roman"/>
          <w:sz w:val="28"/>
          <w:szCs w:val="28"/>
        </w:rPr>
        <w:t xml:space="preserve"> c</w:t>
      </w:r>
      <w:r w:rsidR="00330A45" w:rsidRPr="00425C9A">
        <w:rPr>
          <w:rFonts w:ascii="Times New Roman" w:hAnsi="Times New Roman" w:cs="Times New Roman"/>
          <w:sz w:val="28"/>
          <w:szCs w:val="28"/>
        </w:rPr>
        <w:t>ourt’s declaration of unconstitutionality.</w:t>
      </w:r>
      <w:r w:rsidR="00330A45" w:rsidRPr="00425C9A">
        <w:rPr>
          <w:rStyle w:val="FootnoteReference"/>
          <w:rFonts w:ascii="Times New Roman" w:hAnsi="Times New Roman" w:cs="Times New Roman"/>
          <w:sz w:val="28"/>
          <w:szCs w:val="28"/>
        </w:rPr>
        <w:footnoteReference w:id="6"/>
      </w:r>
      <w:r w:rsidR="00330A45" w:rsidRPr="00425C9A">
        <w:rPr>
          <w:rFonts w:ascii="Times New Roman" w:hAnsi="Times New Roman" w:cs="Times New Roman"/>
          <w:sz w:val="28"/>
          <w:szCs w:val="28"/>
        </w:rPr>
        <w:t xml:space="preserve"> In arriving at that conclusion</w:t>
      </w:r>
      <w:r w:rsidR="00E53A01" w:rsidRPr="00425C9A">
        <w:rPr>
          <w:rFonts w:ascii="Times New Roman" w:hAnsi="Times New Roman" w:cs="Times New Roman"/>
          <w:sz w:val="28"/>
          <w:szCs w:val="28"/>
        </w:rPr>
        <w:t>,</w:t>
      </w:r>
      <w:r w:rsidR="00330A45" w:rsidRPr="00425C9A">
        <w:rPr>
          <w:rFonts w:ascii="Times New Roman" w:hAnsi="Times New Roman" w:cs="Times New Roman"/>
          <w:sz w:val="28"/>
          <w:szCs w:val="28"/>
        </w:rPr>
        <w:t xml:space="preserve"> the Constitutional Court held:</w:t>
      </w:r>
    </w:p>
    <w:p w14:paraId="69EAF913" w14:textId="1112699C" w:rsidR="00330A45" w:rsidRPr="00425C9A" w:rsidRDefault="00330A45" w:rsidP="00587C37">
      <w:pPr>
        <w:spacing w:after="0" w:line="360" w:lineRule="auto"/>
        <w:jc w:val="both"/>
        <w:rPr>
          <w:rFonts w:ascii="Times New Roman" w:hAnsi="Times New Roman" w:cs="Times New Roman"/>
          <w:sz w:val="24"/>
          <w:szCs w:val="24"/>
        </w:rPr>
      </w:pPr>
      <w:r w:rsidRPr="00425C9A">
        <w:rPr>
          <w:rFonts w:ascii="Times New Roman" w:hAnsi="Times New Roman" w:cs="Times New Roman"/>
          <w:sz w:val="24"/>
          <w:szCs w:val="24"/>
        </w:rPr>
        <w:t>‘</w:t>
      </w:r>
      <w:r w:rsidR="004C4583" w:rsidRPr="00425C9A">
        <w:rPr>
          <w:rFonts w:ascii="Times New Roman" w:hAnsi="Times New Roman" w:cs="Times New Roman"/>
          <w:sz w:val="24"/>
          <w:szCs w:val="24"/>
        </w:rPr>
        <w:t xml:space="preserve">[44] </w:t>
      </w:r>
      <w:r w:rsidRPr="00425C9A">
        <w:rPr>
          <w:rFonts w:ascii="Times New Roman" w:hAnsi="Times New Roman" w:cs="Times New Roman"/>
          <w:sz w:val="24"/>
          <w:szCs w:val="24"/>
        </w:rPr>
        <w:t>. . . every issue that arose for determination is, or is traceable to, an offshoot of a masterplan that was devised by the Summit at the instanc</w:t>
      </w:r>
      <w:r w:rsidR="005B1015" w:rsidRPr="00425C9A">
        <w:rPr>
          <w:rFonts w:ascii="Times New Roman" w:hAnsi="Times New Roman" w:cs="Times New Roman"/>
          <w:sz w:val="24"/>
          <w:szCs w:val="24"/>
        </w:rPr>
        <w:t xml:space="preserve">e of the Republic of Zimbabwe. </w:t>
      </w:r>
      <w:r w:rsidRPr="00425C9A">
        <w:rPr>
          <w:rFonts w:ascii="Times New Roman" w:hAnsi="Times New Roman" w:cs="Times New Roman"/>
          <w:sz w:val="24"/>
          <w:szCs w:val="24"/>
        </w:rPr>
        <w:t>Clearly, Zimbabwe did not want to comply with the unfavourable decisions ma</w:t>
      </w:r>
      <w:r w:rsidR="005B1015" w:rsidRPr="00425C9A">
        <w:rPr>
          <w:rFonts w:ascii="Times New Roman" w:hAnsi="Times New Roman" w:cs="Times New Roman"/>
          <w:sz w:val="24"/>
          <w:szCs w:val="24"/>
        </w:rPr>
        <w:t xml:space="preserve">de against it by the Tribunal. </w:t>
      </w:r>
      <w:r w:rsidRPr="00425C9A">
        <w:rPr>
          <w:rFonts w:ascii="Times New Roman" w:hAnsi="Times New Roman" w:cs="Times New Roman"/>
          <w:sz w:val="24"/>
          <w:szCs w:val="24"/>
        </w:rPr>
        <w:t>It then crafted a strategy that would be fatal to the possibility of the Tribunal ever embarrassing it again.</w:t>
      </w:r>
    </w:p>
    <w:p w14:paraId="766234DA" w14:textId="12621719" w:rsidR="00330A45" w:rsidRPr="00425C9A" w:rsidRDefault="004C4583" w:rsidP="00587C37">
      <w:pPr>
        <w:spacing w:after="0" w:line="360" w:lineRule="auto"/>
        <w:jc w:val="both"/>
        <w:rPr>
          <w:rFonts w:ascii="Times New Roman" w:hAnsi="Times New Roman" w:cs="Times New Roman"/>
          <w:sz w:val="24"/>
          <w:szCs w:val="24"/>
        </w:rPr>
      </w:pPr>
      <w:r w:rsidRPr="00425C9A">
        <w:rPr>
          <w:rFonts w:ascii="Times New Roman" w:hAnsi="Times New Roman" w:cs="Times New Roman"/>
          <w:sz w:val="24"/>
          <w:szCs w:val="24"/>
        </w:rPr>
        <w:t xml:space="preserve">[45] </w:t>
      </w:r>
      <w:r w:rsidR="00330A45" w:rsidRPr="00425C9A">
        <w:rPr>
          <w:rFonts w:ascii="Times New Roman" w:hAnsi="Times New Roman" w:cs="Times New Roman"/>
          <w:sz w:val="24"/>
          <w:szCs w:val="24"/>
        </w:rPr>
        <w:t>In all of the above efforts to paralyse the Tribunal, Zimbabwe had a willing ally in South Africa, as</w:t>
      </w:r>
      <w:r w:rsidR="005B1015" w:rsidRPr="00425C9A">
        <w:rPr>
          <w:rFonts w:ascii="Times New Roman" w:hAnsi="Times New Roman" w:cs="Times New Roman"/>
          <w:sz w:val="24"/>
          <w:szCs w:val="24"/>
        </w:rPr>
        <w:t xml:space="preserve"> represented by our President. </w:t>
      </w:r>
      <w:r w:rsidR="00330A45" w:rsidRPr="00425C9A">
        <w:rPr>
          <w:rFonts w:ascii="Times New Roman" w:hAnsi="Times New Roman" w:cs="Times New Roman"/>
          <w:sz w:val="24"/>
          <w:szCs w:val="24"/>
        </w:rPr>
        <w:t>The non-appointment of new Judges and non-renewal of expired terms was a scheme designed to ensure that the Tribunal would not function b</w:t>
      </w:r>
      <w:r w:rsidR="005B1015" w:rsidRPr="00425C9A">
        <w:rPr>
          <w:rFonts w:ascii="Times New Roman" w:hAnsi="Times New Roman" w:cs="Times New Roman"/>
          <w:sz w:val="24"/>
          <w:szCs w:val="24"/>
        </w:rPr>
        <w:t>ecause it would not be quorate.</w:t>
      </w:r>
      <w:r w:rsidR="00330A45" w:rsidRPr="00425C9A">
        <w:rPr>
          <w:rFonts w:ascii="Times New Roman" w:hAnsi="Times New Roman" w:cs="Times New Roman"/>
          <w:sz w:val="24"/>
          <w:szCs w:val="24"/>
        </w:rPr>
        <w:t xml:space="preserve"> Added to this mix was the decision to impose a moratorium on the referral of individual disputes to the Tribunal and the signing of the Protocol that seeks to essentially make this state of affairs permanent.’</w:t>
      </w:r>
    </w:p>
    <w:p w14:paraId="30927F11" w14:textId="77777777" w:rsidR="00703C33" w:rsidRPr="00425C9A" w:rsidRDefault="00703C33" w:rsidP="00587C37">
      <w:pPr>
        <w:spacing w:after="0" w:line="360" w:lineRule="auto"/>
        <w:jc w:val="both"/>
        <w:rPr>
          <w:rFonts w:ascii="Times New Roman" w:hAnsi="Times New Roman" w:cs="Times New Roman"/>
          <w:sz w:val="28"/>
          <w:szCs w:val="28"/>
        </w:rPr>
      </w:pPr>
    </w:p>
    <w:p w14:paraId="7F2169FE" w14:textId="3D1F0F07" w:rsidR="00330A45" w:rsidRPr="00425C9A" w:rsidRDefault="00381E6C" w:rsidP="00587C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00330A45" w:rsidRPr="00425C9A">
        <w:rPr>
          <w:rFonts w:ascii="Times New Roman" w:hAnsi="Times New Roman" w:cs="Times New Roman"/>
          <w:sz w:val="28"/>
          <w:szCs w:val="28"/>
        </w:rPr>
        <w:t>]</w:t>
      </w:r>
      <w:r w:rsidR="00330A45" w:rsidRPr="00425C9A">
        <w:rPr>
          <w:rFonts w:ascii="Times New Roman" w:hAnsi="Times New Roman" w:cs="Times New Roman"/>
          <w:sz w:val="28"/>
          <w:szCs w:val="28"/>
        </w:rPr>
        <w:tab/>
        <w:t>Three days after the Constitutional Court handed do</w:t>
      </w:r>
      <w:r w:rsidR="00505C57" w:rsidRPr="00425C9A">
        <w:rPr>
          <w:rFonts w:ascii="Times New Roman" w:hAnsi="Times New Roman" w:cs="Times New Roman"/>
          <w:sz w:val="28"/>
          <w:szCs w:val="28"/>
        </w:rPr>
        <w:t xml:space="preserve">wn its judgment </w:t>
      </w:r>
      <w:r w:rsidR="00E93BEF" w:rsidRPr="00425C9A">
        <w:rPr>
          <w:rFonts w:ascii="Times New Roman" w:hAnsi="Times New Roman" w:cs="Times New Roman"/>
          <w:sz w:val="28"/>
          <w:szCs w:val="28"/>
        </w:rPr>
        <w:t xml:space="preserve">in the matter, </w:t>
      </w:r>
      <w:r w:rsidR="00505C57" w:rsidRPr="00425C9A">
        <w:rPr>
          <w:rFonts w:ascii="Times New Roman" w:hAnsi="Times New Roman" w:cs="Times New Roman"/>
          <w:sz w:val="28"/>
          <w:szCs w:val="28"/>
        </w:rPr>
        <w:t xml:space="preserve">the </w:t>
      </w:r>
      <w:r w:rsidR="00330A45" w:rsidRPr="00425C9A">
        <w:rPr>
          <w:rFonts w:ascii="Times New Roman" w:hAnsi="Times New Roman" w:cs="Times New Roman"/>
          <w:sz w:val="28"/>
          <w:szCs w:val="28"/>
        </w:rPr>
        <w:t xml:space="preserve">attorney </w:t>
      </w:r>
      <w:r w:rsidR="00505C57" w:rsidRPr="00425C9A">
        <w:rPr>
          <w:rFonts w:ascii="Times New Roman" w:hAnsi="Times New Roman" w:cs="Times New Roman"/>
          <w:sz w:val="28"/>
          <w:szCs w:val="28"/>
        </w:rPr>
        <w:t xml:space="preserve">for the appellants </w:t>
      </w:r>
      <w:r w:rsidR="00330A45" w:rsidRPr="00425C9A">
        <w:rPr>
          <w:rFonts w:ascii="Times New Roman" w:hAnsi="Times New Roman" w:cs="Times New Roman"/>
          <w:sz w:val="28"/>
          <w:szCs w:val="28"/>
        </w:rPr>
        <w:t>served a notice in terms of s 3(1)</w:t>
      </w:r>
      <w:r w:rsidR="00330A45" w:rsidRPr="00425C9A">
        <w:rPr>
          <w:rFonts w:ascii="Times New Roman" w:hAnsi="Times New Roman" w:cs="Times New Roman"/>
          <w:i/>
          <w:sz w:val="28"/>
          <w:szCs w:val="28"/>
        </w:rPr>
        <w:t xml:space="preserve">(a) </w:t>
      </w:r>
      <w:r w:rsidR="00330A45" w:rsidRPr="00425C9A">
        <w:rPr>
          <w:rFonts w:ascii="Times New Roman" w:hAnsi="Times New Roman" w:cs="Times New Roman"/>
          <w:sz w:val="28"/>
          <w:szCs w:val="28"/>
        </w:rPr>
        <w:t>of the Institution of Legal Proceedings Against Certain Organs of State Act 40 of 2002 (the Act)</w:t>
      </w:r>
      <w:r w:rsidR="00505C57" w:rsidRPr="00425C9A">
        <w:rPr>
          <w:rFonts w:ascii="Times New Roman" w:hAnsi="Times New Roman" w:cs="Times New Roman"/>
          <w:sz w:val="28"/>
          <w:szCs w:val="28"/>
        </w:rPr>
        <w:t xml:space="preserve"> on the State Attorney,</w:t>
      </w:r>
      <w:r w:rsidR="00330A45" w:rsidRPr="00425C9A">
        <w:rPr>
          <w:rFonts w:ascii="Times New Roman" w:hAnsi="Times New Roman" w:cs="Times New Roman"/>
          <w:sz w:val="28"/>
          <w:szCs w:val="28"/>
        </w:rPr>
        <w:t xml:space="preserve"> pursuant to which ten of the appellants gave notice of their intention to institute claims for damages against the President of the Republic of South Africa and the Government of the Republic of South Africa </w:t>
      </w:r>
      <w:r w:rsidR="00330A45" w:rsidRPr="00425C9A">
        <w:rPr>
          <w:rFonts w:ascii="Times New Roman" w:hAnsi="Times New Roman" w:cs="Times New Roman"/>
          <w:sz w:val="28"/>
          <w:szCs w:val="28"/>
        </w:rPr>
        <w:lastRenderedPageBreak/>
        <w:t>(the respondents).</w:t>
      </w:r>
      <w:r w:rsidR="00330A45" w:rsidRPr="00425C9A">
        <w:rPr>
          <w:rStyle w:val="FootnoteReference"/>
          <w:rFonts w:ascii="Times New Roman" w:hAnsi="Times New Roman" w:cs="Times New Roman"/>
          <w:sz w:val="28"/>
          <w:szCs w:val="28"/>
        </w:rPr>
        <w:footnoteReference w:id="7"/>
      </w:r>
      <w:r w:rsidR="00330A45" w:rsidRPr="00425C9A">
        <w:rPr>
          <w:rFonts w:ascii="Times New Roman" w:hAnsi="Times New Roman" w:cs="Times New Roman"/>
          <w:sz w:val="28"/>
          <w:szCs w:val="28"/>
        </w:rPr>
        <w:t xml:space="preserve"> The response to the notice from the State Attorney on behalf of the respondents was:</w:t>
      </w:r>
    </w:p>
    <w:p w14:paraId="3FEC25AB" w14:textId="77777777" w:rsidR="00330A45" w:rsidRPr="00425C9A" w:rsidRDefault="00330A45" w:rsidP="00587C37">
      <w:pPr>
        <w:spacing w:after="0" w:line="360" w:lineRule="auto"/>
        <w:jc w:val="both"/>
        <w:rPr>
          <w:rFonts w:ascii="Times New Roman" w:hAnsi="Times New Roman" w:cs="Times New Roman"/>
          <w:sz w:val="24"/>
          <w:szCs w:val="24"/>
        </w:rPr>
      </w:pPr>
      <w:r w:rsidRPr="00425C9A">
        <w:rPr>
          <w:rFonts w:ascii="Times New Roman" w:hAnsi="Times New Roman" w:cs="Times New Roman"/>
          <w:sz w:val="24"/>
          <w:szCs w:val="24"/>
        </w:rPr>
        <w:t>‘. . . the President does not acknowledge or admit your clients’ claims.</w:t>
      </w:r>
    </w:p>
    <w:p w14:paraId="616DD647" w14:textId="77777777" w:rsidR="00330A45" w:rsidRPr="00425C9A" w:rsidRDefault="00330A45" w:rsidP="00587C37">
      <w:pPr>
        <w:spacing w:after="0" w:line="360" w:lineRule="auto"/>
        <w:jc w:val="both"/>
        <w:rPr>
          <w:rFonts w:ascii="Times New Roman" w:hAnsi="Times New Roman" w:cs="Times New Roman"/>
          <w:sz w:val="24"/>
          <w:szCs w:val="24"/>
        </w:rPr>
      </w:pPr>
      <w:r w:rsidRPr="00425C9A">
        <w:rPr>
          <w:rFonts w:ascii="Times New Roman" w:hAnsi="Times New Roman" w:cs="Times New Roman"/>
          <w:sz w:val="24"/>
          <w:szCs w:val="24"/>
        </w:rPr>
        <w:t>In response to paragraph 5 of the Notice, the president does contend that the Notice has not been sent within the period prescribed in the act and accordingly inten</w:t>
      </w:r>
      <w:r w:rsidR="00505C57" w:rsidRPr="00425C9A">
        <w:rPr>
          <w:rFonts w:ascii="Times New Roman" w:hAnsi="Times New Roman" w:cs="Times New Roman"/>
          <w:sz w:val="24"/>
          <w:szCs w:val="24"/>
        </w:rPr>
        <w:t>ds</w:t>
      </w:r>
      <w:r w:rsidRPr="00425C9A">
        <w:rPr>
          <w:rFonts w:ascii="Times New Roman" w:hAnsi="Times New Roman" w:cs="Times New Roman"/>
          <w:sz w:val="24"/>
          <w:szCs w:val="24"/>
        </w:rPr>
        <w:t xml:space="preserve"> relying on the failure to serve the notice timeously.’</w:t>
      </w:r>
    </w:p>
    <w:p w14:paraId="4DC254BC" w14:textId="77777777" w:rsidR="00330A45" w:rsidRPr="00425C9A" w:rsidRDefault="00330A45" w:rsidP="00587C37">
      <w:pPr>
        <w:spacing w:after="0" w:line="360" w:lineRule="auto"/>
        <w:jc w:val="both"/>
        <w:rPr>
          <w:rFonts w:ascii="Times New Roman" w:hAnsi="Times New Roman" w:cs="Times New Roman"/>
          <w:sz w:val="28"/>
          <w:szCs w:val="28"/>
        </w:rPr>
      </w:pPr>
    </w:p>
    <w:p w14:paraId="33397C33" w14:textId="56E595E7" w:rsidR="00330A45" w:rsidRPr="00425C9A" w:rsidRDefault="00381E6C" w:rsidP="00587C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00330A45" w:rsidRPr="00425C9A">
        <w:rPr>
          <w:rFonts w:ascii="Times New Roman" w:hAnsi="Times New Roman" w:cs="Times New Roman"/>
          <w:sz w:val="28"/>
          <w:szCs w:val="28"/>
        </w:rPr>
        <w:t>]</w:t>
      </w:r>
      <w:r w:rsidR="00330A45" w:rsidRPr="00425C9A">
        <w:rPr>
          <w:rFonts w:ascii="Times New Roman" w:hAnsi="Times New Roman" w:cs="Times New Roman"/>
          <w:sz w:val="28"/>
          <w:szCs w:val="28"/>
        </w:rPr>
        <w:tab/>
        <w:t>O</w:t>
      </w:r>
      <w:r w:rsidR="00505C57" w:rsidRPr="00425C9A">
        <w:rPr>
          <w:rFonts w:ascii="Times New Roman" w:hAnsi="Times New Roman" w:cs="Times New Roman"/>
          <w:sz w:val="28"/>
          <w:szCs w:val="28"/>
        </w:rPr>
        <w:t>n 15 January 2019</w:t>
      </w:r>
      <w:r w:rsidR="00E93BEF" w:rsidRPr="00425C9A">
        <w:rPr>
          <w:rFonts w:ascii="Times New Roman" w:hAnsi="Times New Roman" w:cs="Times New Roman"/>
          <w:sz w:val="28"/>
          <w:szCs w:val="28"/>
        </w:rPr>
        <w:t>,</w:t>
      </w:r>
      <w:r w:rsidR="00505C57" w:rsidRPr="00425C9A">
        <w:rPr>
          <w:rFonts w:ascii="Times New Roman" w:hAnsi="Times New Roman" w:cs="Times New Roman"/>
          <w:sz w:val="28"/>
          <w:szCs w:val="28"/>
        </w:rPr>
        <w:t xml:space="preserve"> the appellant</w:t>
      </w:r>
      <w:r w:rsidR="00330A45" w:rsidRPr="00425C9A">
        <w:rPr>
          <w:rFonts w:ascii="Times New Roman" w:hAnsi="Times New Roman" w:cs="Times New Roman"/>
          <w:sz w:val="28"/>
          <w:szCs w:val="28"/>
        </w:rPr>
        <w:t>s</w:t>
      </w:r>
      <w:r w:rsidR="00505C57" w:rsidRPr="00425C9A">
        <w:rPr>
          <w:rFonts w:ascii="Times New Roman" w:hAnsi="Times New Roman" w:cs="Times New Roman"/>
          <w:sz w:val="28"/>
          <w:szCs w:val="28"/>
        </w:rPr>
        <w:t>’</w:t>
      </w:r>
      <w:r w:rsidR="00330A45" w:rsidRPr="00425C9A">
        <w:rPr>
          <w:rFonts w:ascii="Times New Roman" w:hAnsi="Times New Roman" w:cs="Times New Roman"/>
          <w:sz w:val="28"/>
          <w:szCs w:val="28"/>
        </w:rPr>
        <w:t xml:space="preserve"> attorney served what was described as a ‘supplementary notice in terms of section 3(1)</w:t>
      </w:r>
      <w:r w:rsidR="00330A45" w:rsidRPr="00425C9A">
        <w:rPr>
          <w:rFonts w:ascii="Times New Roman" w:hAnsi="Times New Roman" w:cs="Times New Roman"/>
          <w:i/>
          <w:sz w:val="28"/>
          <w:szCs w:val="28"/>
        </w:rPr>
        <w:t>(a)</w:t>
      </w:r>
      <w:r w:rsidR="00330A45" w:rsidRPr="00425C9A">
        <w:rPr>
          <w:rFonts w:ascii="Times New Roman" w:hAnsi="Times New Roman" w:cs="Times New Roman"/>
          <w:sz w:val="28"/>
          <w:szCs w:val="28"/>
        </w:rPr>
        <w:t>’ to, as it was put, ‘clarify, and in certain respects, correct our letter of 14 December 2018’. The supplementary notice made reference to all 25 of the appellants as well as the various amounts claimed by each. On 18 January 2019</w:t>
      </w:r>
      <w:r w:rsidR="00E93BEF" w:rsidRPr="00425C9A">
        <w:rPr>
          <w:rFonts w:ascii="Times New Roman" w:hAnsi="Times New Roman" w:cs="Times New Roman"/>
          <w:sz w:val="28"/>
          <w:szCs w:val="28"/>
        </w:rPr>
        <w:t>,</w:t>
      </w:r>
      <w:r w:rsidR="00330A45" w:rsidRPr="00425C9A">
        <w:rPr>
          <w:rFonts w:ascii="Times New Roman" w:hAnsi="Times New Roman" w:cs="Times New Roman"/>
          <w:sz w:val="28"/>
          <w:szCs w:val="28"/>
        </w:rPr>
        <w:t xml:space="preserve"> the State Attorney reiterated that the appellants’ claims were not admitted and that the notice and supplementary notice had not been sent within the period prescribed in the Act.</w:t>
      </w:r>
    </w:p>
    <w:p w14:paraId="3F5E8A71" w14:textId="77777777" w:rsidR="00330A45" w:rsidRPr="00425C9A" w:rsidRDefault="00330A45" w:rsidP="00587C37">
      <w:pPr>
        <w:spacing w:after="0" w:line="360" w:lineRule="auto"/>
        <w:jc w:val="both"/>
        <w:rPr>
          <w:rFonts w:ascii="Times New Roman" w:hAnsi="Times New Roman" w:cs="Times New Roman"/>
          <w:sz w:val="28"/>
          <w:szCs w:val="28"/>
        </w:rPr>
      </w:pPr>
    </w:p>
    <w:p w14:paraId="28F1E9B1" w14:textId="1DF950C3" w:rsidR="00505C57" w:rsidRPr="00425C9A" w:rsidRDefault="00381E6C" w:rsidP="00587C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w:t>
      </w:r>
      <w:r w:rsidR="00330A45" w:rsidRPr="00425C9A">
        <w:rPr>
          <w:rFonts w:ascii="Times New Roman" w:hAnsi="Times New Roman" w:cs="Times New Roman"/>
          <w:sz w:val="28"/>
          <w:szCs w:val="28"/>
        </w:rPr>
        <w:t>]</w:t>
      </w:r>
      <w:r w:rsidR="00330A45" w:rsidRPr="00425C9A">
        <w:rPr>
          <w:rFonts w:ascii="Times New Roman" w:hAnsi="Times New Roman" w:cs="Times New Roman"/>
          <w:sz w:val="28"/>
          <w:szCs w:val="28"/>
        </w:rPr>
        <w:tab/>
        <w:t>On 9 April 2019</w:t>
      </w:r>
      <w:r w:rsidR="00E93BEF" w:rsidRPr="00425C9A">
        <w:rPr>
          <w:rFonts w:ascii="Times New Roman" w:hAnsi="Times New Roman" w:cs="Times New Roman"/>
          <w:sz w:val="28"/>
          <w:szCs w:val="28"/>
        </w:rPr>
        <w:t>,</w:t>
      </w:r>
      <w:r w:rsidR="00330A45" w:rsidRPr="00425C9A">
        <w:rPr>
          <w:rFonts w:ascii="Times New Roman" w:hAnsi="Times New Roman" w:cs="Times New Roman"/>
          <w:sz w:val="28"/>
          <w:szCs w:val="28"/>
        </w:rPr>
        <w:t xml:space="preserve"> the appellants </w:t>
      </w:r>
      <w:r w:rsidR="0038564A" w:rsidRPr="00425C9A">
        <w:rPr>
          <w:rFonts w:ascii="Times New Roman" w:hAnsi="Times New Roman" w:cs="Times New Roman"/>
          <w:sz w:val="28"/>
          <w:szCs w:val="28"/>
        </w:rPr>
        <w:t xml:space="preserve">issued and </w:t>
      </w:r>
      <w:r w:rsidR="00330A45" w:rsidRPr="00425C9A">
        <w:rPr>
          <w:rFonts w:ascii="Times New Roman" w:hAnsi="Times New Roman" w:cs="Times New Roman"/>
          <w:sz w:val="28"/>
          <w:szCs w:val="28"/>
        </w:rPr>
        <w:t>served: (i) a conditional condonation application, seeking, to the extent necessary, that any non-compliance on their part with the provisions of s 3 of the Act, be condoned; and (ii) a summons and particulars of claim. The respondents chose to meet the particulars of claim by raising multiple exceptions. Although the particulars of claim was subsequently amende</w:t>
      </w:r>
      <w:r w:rsidR="00F94A1B" w:rsidRPr="00425C9A">
        <w:rPr>
          <w:rFonts w:ascii="Times New Roman" w:hAnsi="Times New Roman" w:cs="Times New Roman"/>
          <w:sz w:val="28"/>
          <w:szCs w:val="28"/>
        </w:rPr>
        <w:t>d, the respondents filed</w:t>
      </w:r>
      <w:r w:rsidR="00330A45" w:rsidRPr="00425C9A">
        <w:rPr>
          <w:rFonts w:ascii="Times New Roman" w:hAnsi="Times New Roman" w:cs="Times New Roman"/>
          <w:sz w:val="28"/>
          <w:szCs w:val="28"/>
        </w:rPr>
        <w:t xml:space="preserve"> yet a further n</w:t>
      </w:r>
      <w:r w:rsidR="00F94A1B" w:rsidRPr="00425C9A">
        <w:rPr>
          <w:rFonts w:ascii="Times New Roman" w:hAnsi="Times New Roman" w:cs="Times New Roman"/>
          <w:sz w:val="28"/>
          <w:szCs w:val="28"/>
        </w:rPr>
        <w:t xml:space="preserve">otice of exception </w:t>
      </w:r>
      <w:r w:rsidR="00330A45" w:rsidRPr="00425C9A">
        <w:rPr>
          <w:rFonts w:ascii="Times New Roman" w:hAnsi="Times New Roman" w:cs="Times New Roman"/>
          <w:sz w:val="28"/>
          <w:szCs w:val="28"/>
        </w:rPr>
        <w:t>and also opposed the appellants’ conditional condonation application</w:t>
      </w:r>
      <w:r w:rsidR="00BE1ECA" w:rsidRPr="00425C9A">
        <w:rPr>
          <w:rFonts w:ascii="Times New Roman" w:hAnsi="Times New Roman" w:cs="Times New Roman"/>
          <w:sz w:val="28"/>
          <w:szCs w:val="28"/>
        </w:rPr>
        <w:t xml:space="preserve">, in the main, on the </w:t>
      </w:r>
      <w:r w:rsidR="00C050EB" w:rsidRPr="00425C9A">
        <w:rPr>
          <w:rFonts w:ascii="Times New Roman" w:hAnsi="Times New Roman" w:cs="Times New Roman"/>
          <w:sz w:val="28"/>
          <w:szCs w:val="28"/>
        </w:rPr>
        <w:t>basis</w:t>
      </w:r>
      <w:r w:rsidR="00BE1ECA" w:rsidRPr="00425C9A">
        <w:rPr>
          <w:rFonts w:ascii="Times New Roman" w:hAnsi="Times New Roman" w:cs="Times New Roman"/>
          <w:sz w:val="28"/>
          <w:szCs w:val="28"/>
        </w:rPr>
        <w:t xml:space="preserve"> that the claims had prescribed</w:t>
      </w:r>
      <w:r w:rsidR="00330A45" w:rsidRPr="00425C9A">
        <w:rPr>
          <w:rFonts w:ascii="Times New Roman" w:hAnsi="Times New Roman" w:cs="Times New Roman"/>
          <w:sz w:val="28"/>
          <w:szCs w:val="28"/>
        </w:rPr>
        <w:t>. Consequently, the exceptions and conditional condonation application were enrol</w:t>
      </w:r>
      <w:r w:rsidR="00F94A1B" w:rsidRPr="00425C9A">
        <w:rPr>
          <w:rFonts w:ascii="Times New Roman" w:hAnsi="Times New Roman" w:cs="Times New Roman"/>
          <w:sz w:val="28"/>
          <w:szCs w:val="28"/>
        </w:rPr>
        <w:t xml:space="preserve">led for hearing on </w:t>
      </w:r>
      <w:r w:rsidR="00F94A1B" w:rsidRPr="00425C9A">
        <w:rPr>
          <w:rFonts w:ascii="Times New Roman" w:hAnsi="Times New Roman" w:cs="Times New Roman"/>
          <w:sz w:val="28"/>
          <w:szCs w:val="28"/>
        </w:rPr>
        <w:lastRenderedPageBreak/>
        <w:t>the same day before Van Oosten J in the Gauteng Division of the High Court, Pretoria (the high court)</w:t>
      </w:r>
    </w:p>
    <w:p w14:paraId="128FA4E7" w14:textId="77777777" w:rsidR="0048152E" w:rsidRPr="00425C9A" w:rsidRDefault="0048152E" w:rsidP="00587C37">
      <w:pPr>
        <w:spacing w:after="0" w:line="360" w:lineRule="auto"/>
        <w:jc w:val="both"/>
        <w:rPr>
          <w:rFonts w:ascii="Times New Roman" w:hAnsi="Times New Roman" w:cs="Times New Roman"/>
          <w:sz w:val="28"/>
          <w:szCs w:val="28"/>
        </w:rPr>
      </w:pPr>
    </w:p>
    <w:p w14:paraId="639F0091" w14:textId="026C8E70" w:rsidR="00330A45" w:rsidRPr="00425C9A" w:rsidRDefault="00381E6C" w:rsidP="00587C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w:t>
      </w:r>
      <w:r w:rsidR="00330A45" w:rsidRPr="00425C9A">
        <w:rPr>
          <w:rFonts w:ascii="Times New Roman" w:hAnsi="Times New Roman" w:cs="Times New Roman"/>
          <w:sz w:val="28"/>
          <w:szCs w:val="28"/>
        </w:rPr>
        <w:t>]</w:t>
      </w:r>
      <w:r w:rsidR="00330A45" w:rsidRPr="00425C9A">
        <w:rPr>
          <w:rFonts w:ascii="Times New Roman" w:hAnsi="Times New Roman" w:cs="Times New Roman"/>
          <w:sz w:val="28"/>
          <w:szCs w:val="28"/>
        </w:rPr>
        <w:tab/>
      </w:r>
      <w:r w:rsidR="00F94A1B" w:rsidRPr="00425C9A">
        <w:rPr>
          <w:rFonts w:ascii="Times New Roman" w:hAnsi="Times New Roman" w:cs="Times New Roman"/>
          <w:sz w:val="28"/>
          <w:szCs w:val="28"/>
        </w:rPr>
        <w:t>On 18 December 2020 t</w:t>
      </w:r>
      <w:r w:rsidR="00C050EB" w:rsidRPr="00425C9A">
        <w:rPr>
          <w:rFonts w:ascii="Times New Roman" w:hAnsi="Times New Roman" w:cs="Times New Roman"/>
          <w:sz w:val="28"/>
          <w:szCs w:val="28"/>
        </w:rPr>
        <w:t xml:space="preserve">he </w:t>
      </w:r>
      <w:r w:rsidR="00F94A1B" w:rsidRPr="00425C9A">
        <w:rPr>
          <w:rFonts w:ascii="Times New Roman" w:hAnsi="Times New Roman" w:cs="Times New Roman"/>
          <w:sz w:val="28"/>
          <w:szCs w:val="28"/>
        </w:rPr>
        <w:t>high court</w:t>
      </w:r>
      <w:r w:rsidR="00330A45" w:rsidRPr="00425C9A">
        <w:rPr>
          <w:rFonts w:ascii="Times New Roman" w:hAnsi="Times New Roman" w:cs="Times New Roman"/>
          <w:sz w:val="28"/>
          <w:szCs w:val="28"/>
        </w:rPr>
        <w:t xml:space="preserve"> issued the following order:</w:t>
      </w:r>
    </w:p>
    <w:p w14:paraId="378FEECF" w14:textId="28333E8B" w:rsidR="00330A45" w:rsidRPr="00425C9A" w:rsidRDefault="004E397E" w:rsidP="00587C37">
      <w:pPr>
        <w:spacing w:after="0" w:line="360" w:lineRule="auto"/>
        <w:jc w:val="both"/>
        <w:rPr>
          <w:rFonts w:ascii="Times New Roman" w:hAnsi="Times New Roman" w:cs="Times New Roman"/>
          <w:sz w:val="24"/>
          <w:szCs w:val="24"/>
        </w:rPr>
      </w:pPr>
      <w:r w:rsidRPr="00425C9A">
        <w:rPr>
          <w:rFonts w:ascii="Times New Roman" w:hAnsi="Times New Roman" w:cs="Times New Roman"/>
          <w:sz w:val="24"/>
          <w:szCs w:val="24"/>
        </w:rPr>
        <w:t>‘</w:t>
      </w:r>
      <w:r w:rsidR="00330A45" w:rsidRPr="00425C9A">
        <w:rPr>
          <w:rFonts w:ascii="Times New Roman" w:hAnsi="Times New Roman" w:cs="Times New Roman"/>
          <w:sz w:val="24"/>
          <w:szCs w:val="24"/>
        </w:rPr>
        <w:t>1. Exception 1 (the factual causation exception) is upheld.</w:t>
      </w:r>
    </w:p>
    <w:p w14:paraId="27C958F0" w14:textId="77777777" w:rsidR="00330A45" w:rsidRPr="00425C9A" w:rsidRDefault="00330A45" w:rsidP="00587C37">
      <w:pPr>
        <w:spacing w:after="0" w:line="360" w:lineRule="auto"/>
        <w:jc w:val="both"/>
        <w:rPr>
          <w:rFonts w:ascii="Times New Roman" w:hAnsi="Times New Roman" w:cs="Times New Roman"/>
          <w:sz w:val="24"/>
          <w:szCs w:val="24"/>
        </w:rPr>
      </w:pPr>
      <w:r w:rsidRPr="00425C9A">
        <w:rPr>
          <w:rFonts w:ascii="Times New Roman" w:hAnsi="Times New Roman" w:cs="Times New Roman"/>
          <w:sz w:val="24"/>
          <w:szCs w:val="24"/>
        </w:rPr>
        <w:t>2. Exception 1 (the legal causation exception) is upheld in respect of the 1st, 2</w:t>
      </w:r>
      <w:r w:rsidRPr="00425C9A">
        <w:rPr>
          <w:rFonts w:ascii="Times New Roman" w:hAnsi="Times New Roman" w:cs="Times New Roman"/>
          <w:sz w:val="24"/>
          <w:szCs w:val="24"/>
          <w:vertAlign w:val="superscript"/>
        </w:rPr>
        <w:t>nd</w:t>
      </w:r>
      <w:r w:rsidRPr="00425C9A">
        <w:rPr>
          <w:rFonts w:ascii="Times New Roman" w:hAnsi="Times New Roman" w:cs="Times New Roman"/>
          <w:sz w:val="24"/>
          <w:szCs w:val="24"/>
        </w:rPr>
        <w:t>, 4</w:t>
      </w:r>
      <w:r w:rsidRPr="00425C9A">
        <w:rPr>
          <w:rFonts w:ascii="Times New Roman" w:hAnsi="Times New Roman" w:cs="Times New Roman"/>
          <w:sz w:val="24"/>
          <w:szCs w:val="24"/>
          <w:vertAlign w:val="superscript"/>
        </w:rPr>
        <w:t>th</w:t>
      </w:r>
      <w:r w:rsidRPr="00425C9A">
        <w:rPr>
          <w:rFonts w:ascii="Times New Roman" w:hAnsi="Times New Roman" w:cs="Times New Roman"/>
          <w:sz w:val="24"/>
          <w:szCs w:val="24"/>
        </w:rPr>
        <w:t>, 5</w:t>
      </w:r>
      <w:r w:rsidRPr="00425C9A">
        <w:rPr>
          <w:rFonts w:ascii="Times New Roman" w:hAnsi="Times New Roman" w:cs="Times New Roman"/>
          <w:sz w:val="24"/>
          <w:szCs w:val="24"/>
          <w:vertAlign w:val="superscript"/>
        </w:rPr>
        <w:t>th</w:t>
      </w:r>
      <w:r w:rsidRPr="00425C9A">
        <w:rPr>
          <w:rFonts w:ascii="Times New Roman" w:hAnsi="Times New Roman" w:cs="Times New Roman"/>
          <w:sz w:val="24"/>
          <w:szCs w:val="24"/>
        </w:rPr>
        <w:t>, 6</w:t>
      </w:r>
      <w:r w:rsidRPr="00425C9A">
        <w:rPr>
          <w:rFonts w:ascii="Times New Roman" w:hAnsi="Times New Roman" w:cs="Times New Roman"/>
          <w:sz w:val="24"/>
          <w:szCs w:val="24"/>
          <w:vertAlign w:val="superscript"/>
        </w:rPr>
        <w:t>th</w:t>
      </w:r>
      <w:r w:rsidRPr="00425C9A">
        <w:rPr>
          <w:rFonts w:ascii="Times New Roman" w:hAnsi="Times New Roman" w:cs="Times New Roman"/>
          <w:sz w:val="24"/>
          <w:szCs w:val="24"/>
        </w:rPr>
        <w:t>, 7</w:t>
      </w:r>
      <w:r w:rsidRPr="00425C9A">
        <w:rPr>
          <w:rFonts w:ascii="Times New Roman" w:hAnsi="Times New Roman" w:cs="Times New Roman"/>
          <w:sz w:val="24"/>
          <w:szCs w:val="24"/>
          <w:vertAlign w:val="superscript"/>
        </w:rPr>
        <w:t>th</w:t>
      </w:r>
      <w:r w:rsidRPr="00425C9A">
        <w:rPr>
          <w:rFonts w:ascii="Times New Roman" w:hAnsi="Times New Roman" w:cs="Times New Roman"/>
          <w:sz w:val="24"/>
          <w:szCs w:val="24"/>
        </w:rPr>
        <w:t>, 9</w:t>
      </w:r>
      <w:r w:rsidRPr="00425C9A">
        <w:rPr>
          <w:rFonts w:ascii="Times New Roman" w:hAnsi="Times New Roman" w:cs="Times New Roman"/>
          <w:sz w:val="24"/>
          <w:szCs w:val="24"/>
          <w:vertAlign w:val="superscript"/>
        </w:rPr>
        <w:t>th</w:t>
      </w:r>
      <w:r w:rsidRPr="00425C9A">
        <w:rPr>
          <w:rFonts w:ascii="Times New Roman" w:hAnsi="Times New Roman" w:cs="Times New Roman"/>
          <w:sz w:val="24"/>
          <w:szCs w:val="24"/>
        </w:rPr>
        <w:t>, 10</w:t>
      </w:r>
      <w:r w:rsidRPr="00425C9A">
        <w:rPr>
          <w:rFonts w:ascii="Times New Roman" w:hAnsi="Times New Roman" w:cs="Times New Roman"/>
          <w:sz w:val="24"/>
          <w:szCs w:val="24"/>
          <w:vertAlign w:val="superscript"/>
        </w:rPr>
        <w:t>th</w:t>
      </w:r>
      <w:r w:rsidRPr="00425C9A">
        <w:rPr>
          <w:rFonts w:ascii="Times New Roman" w:hAnsi="Times New Roman" w:cs="Times New Roman"/>
          <w:sz w:val="24"/>
          <w:szCs w:val="24"/>
        </w:rPr>
        <w:t>, 11</w:t>
      </w:r>
      <w:r w:rsidRPr="00425C9A">
        <w:rPr>
          <w:rFonts w:ascii="Times New Roman" w:hAnsi="Times New Roman" w:cs="Times New Roman"/>
          <w:sz w:val="24"/>
          <w:szCs w:val="24"/>
          <w:vertAlign w:val="superscript"/>
        </w:rPr>
        <w:t>th</w:t>
      </w:r>
      <w:r w:rsidRPr="00425C9A">
        <w:rPr>
          <w:rFonts w:ascii="Times New Roman" w:hAnsi="Times New Roman" w:cs="Times New Roman"/>
          <w:sz w:val="24"/>
          <w:szCs w:val="24"/>
        </w:rPr>
        <w:t>, 12</w:t>
      </w:r>
      <w:r w:rsidRPr="00425C9A">
        <w:rPr>
          <w:rFonts w:ascii="Times New Roman" w:hAnsi="Times New Roman" w:cs="Times New Roman"/>
          <w:sz w:val="24"/>
          <w:szCs w:val="24"/>
          <w:vertAlign w:val="superscript"/>
        </w:rPr>
        <w:t>th</w:t>
      </w:r>
      <w:r w:rsidRPr="00425C9A">
        <w:rPr>
          <w:rFonts w:ascii="Times New Roman" w:hAnsi="Times New Roman" w:cs="Times New Roman"/>
          <w:sz w:val="24"/>
          <w:szCs w:val="24"/>
        </w:rPr>
        <w:t>, 13</w:t>
      </w:r>
      <w:r w:rsidRPr="00425C9A">
        <w:rPr>
          <w:rFonts w:ascii="Times New Roman" w:hAnsi="Times New Roman" w:cs="Times New Roman"/>
          <w:sz w:val="24"/>
          <w:szCs w:val="24"/>
          <w:vertAlign w:val="superscript"/>
        </w:rPr>
        <w:t>th</w:t>
      </w:r>
      <w:r w:rsidRPr="00425C9A">
        <w:rPr>
          <w:rFonts w:ascii="Times New Roman" w:hAnsi="Times New Roman" w:cs="Times New Roman"/>
          <w:sz w:val="24"/>
          <w:szCs w:val="24"/>
        </w:rPr>
        <w:t>, 14</w:t>
      </w:r>
      <w:r w:rsidRPr="00425C9A">
        <w:rPr>
          <w:rFonts w:ascii="Times New Roman" w:hAnsi="Times New Roman" w:cs="Times New Roman"/>
          <w:sz w:val="24"/>
          <w:szCs w:val="24"/>
          <w:vertAlign w:val="superscript"/>
        </w:rPr>
        <w:t>th</w:t>
      </w:r>
      <w:r w:rsidRPr="00425C9A">
        <w:rPr>
          <w:rFonts w:ascii="Times New Roman" w:hAnsi="Times New Roman" w:cs="Times New Roman"/>
          <w:sz w:val="24"/>
          <w:szCs w:val="24"/>
        </w:rPr>
        <w:t>, 15</w:t>
      </w:r>
      <w:r w:rsidRPr="00425C9A">
        <w:rPr>
          <w:rFonts w:ascii="Times New Roman" w:hAnsi="Times New Roman" w:cs="Times New Roman"/>
          <w:sz w:val="24"/>
          <w:szCs w:val="24"/>
          <w:vertAlign w:val="superscript"/>
        </w:rPr>
        <w:t>th</w:t>
      </w:r>
      <w:r w:rsidRPr="00425C9A">
        <w:rPr>
          <w:rFonts w:ascii="Times New Roman" w:hAnsi="Times New Roman" w:cs="Times New Roman"/>
          <w:sz w:val="24"/>
          <w:szCs w:val="24"/>
        </w:rPr>
        <w:t>, 18</w:t>
      </w:r>
      <w:r w:rsidRPr="00425C9A">
        <w:rPr>
          <w:rFonts w:ascii="Times New Roman" w:hAnsi="Times New Roman" w:cs="Times New Roman"/>
          <w:sz w:val="24"/>
          <w:szCs w:val="24"/>
          <w:vertAlign w:val="superscript"/>
        </w:rPr>
        <w:t>th</w:t>
      </w:r>
      <w:r w:rsidRPr="00425C9A">
        <w:rPr>
          <w:rFonts w:ascii="Times New Roman" w:hAnsi="Times New Roman" w:cs="Times New Roman"/>
          <w:sz w:val="24"/>
          <w:szCs w:val="24"/>
        </w:rPr>
        <w:t>, 19</w:t>
      </w:r>
      <w:r w:rsidRPr="00425C9A">
        <w:rPr>
          <w:rFonts w:ascii="Times New Roman" w:hAnsi="Times New Roman" w:cs="Times New Roman"/>
          <w:sz w:val="24"/>
          <w:szCs w:val="24"/>
          <w:vertAlign w:val="superscript"/>
        </w:rPr>
        <w:t>th</w:t>
      </w:r>
      <w:r w:rsidRPr="00425C9A">
        <w:rPr>
          <w:rFonts w:ascii="Times New Roman" w:hAnsi="Times New Roman" w:cs="Times New Roman"/>
          <w:sz w:val="24"/>
          <w:szCs w:val="24"/>
        </w:rPr>
        <w:t>, 21</w:t>
      </w:r>
      <w:r w:rsidRPr="00425C9A">
        <w:rPr>
          <w:rFonts w:ascii="Times New Roman" w:hAnsi="Times New Roman" w:cs="Times New Roman"/>
          <w:sz w:val="24"/>
          <w:szCs w:val="24"/>
          <w:vertAlign w:val="superscript"/>
        </w:rPr>
        <w:t>st</w:t>
      </w:r>
      <w:r w:rsidRPr="00425C9A">
        <w:rPr>
          <w:rFonts w:ascii="Times New Roman" w:hAnsi="Times New Roman" w:cs="Times New Roman"/>
          <w:sz w:val="24"/>
          <w:szCs w:val="24"/>
        </w:rPr>
        <w:t>, 22</w:t>
      </w:r>
      <w:r w:rsidRPr="00425C9A">
        <w:rPr>
          <w:rFonts w:ascii="Times New Roman" w:hAnsi="Times New Roman" w:cs="Times New Roman"/>
          <w:sz w:val="24"/>
          <w:szCs w:val="24"/>
          <w:vertAlign w:val="superscript"/>
        </w:rPr>
        <w:t>nd</w:t>
      </w:r>
      <w:r w:rsidRPr="00425C9A">
        <w:rPr>
          <w:rFonts w:ascii="Times New Roman" w:hAnsi="Times New Roman" w:cs="Times New Roman"/>
          <w:sz w:val="24"/>
          <w:szCs w:val="24"/>
        </w:rPr>
        <w:t>, 24</w:t>
      </w:r>
      <w:r w:rsidRPr="00425C9A">
        <w:rPr>
          <w:rFonts w:ascii="Times New Roman" w:hAnsi="Times New Roman" w:cs="Times New Roman"/>
          <w:sz w:val="24"/>
          <w:szCs w:val="24"/>
          <w:vertAlign w:val="superscript"/>
        </w:rPr>
        <w:t>th</w:t>
      </w:r>
      <w:r w:rsidRPr="00425C9A">
        <w:rPr>
          <w:rFonts w:ascii="Times New Roman" w:hAnsi="Times New Roman" w:cs="Times New Roman"/>
          <w:sz w:val="24"/>
          <w:szCs w:val="24"/>
        </w:rPr>
        <w:t>, and 25</w:t>
      </w:r>
      <w:r w:rsidRPr="00425C9A">
        <w:rPr>
          <w:rFonts w:ascii="Times New Roman" w:hAnsi="Times New Roman" w:cs="Times New Roman"/>
          <w:sz w:val="24"/>
          <w:szCs w:val="24"/>
          <w:vertAlign w:val="superscript"/>
        </w:rPr>
        <w:t>th</w:t>
      </w:r>
      <w:r w:rsidRPr="00425C9A">
        <w:rPr>
          <w:rFonts w:ascii="Times New Roman" w:hAnsi="Times New Roman" w:cs="Times New Roman"/>
          <w:sz w:val="24"/>
          <w:szCs w:val="24"/>
        </w:rPr>
        <w:t xml:space="preserve"> plaintiffs’ claims.</w:t>
      </w:r>
    </w:p>
    <w:p w14:paraId="7265AB94" w14:textId="77777777" w:rsidR="00330A45" w:rsidRPr="00425C9A" w:rsidRDefault="00330A45" w:rsidP="00587C37">
      <w:pPr>
        <w:spacing w:after="0" w:line="360" w:lineRule="auto"/>
        <w:jc w:val="both"/>
        <w:rPr>
          <w:rFonts w:ascii="Times New Roman" w:hAnsi="Times New Roman" w:cs="Times New Roman"/>
          <w:sz w:val="24"/>
          <w:szCs w:val="24"/>
        </w:rPr>
      </w:pPr>
      <w:r w:rsidRPr="00425C9A">
        <w:rPr>
          <w:rFonts w:ascii="Times New Roman" w:hAnsi="Times New Roman" w:cs="Times New Roman"/>
          <w:sz w:val="24"/>
          <w:szCs w:val="24"/>
        </w:rPr>
        <w:t>3. Exception 2 (the legal duty exception), exception 4 (the domestic remedies exception) and exception 5 (the pain and suffering exception) are dismissed.</w:t>
      </w:r>
    </w:p>
    <w:p w14:paraId="4174360A" w14:textId="77777777" w:rsidR="00330A45" w:rsidRPr="00425C9A" w:rsidRDefault="00330A45" w:rsidP="00587C37">
      <w:pPr>
        <w:spacing w:after="0" w:line="360" w:lineRule="auto"/>
        <w:jc w:val="both"/>
        <w:rPr>
          <w:rFonts w:ascii="Times New Roman" w:hAnsi="Times New Roman" w:cs="Times New Roman"/>
          <w:sz w:val="24"/>
          <w:szCs w:val="24"/>
        </w:rPr>
      </w:pPr>
      <w:r w:rsidRPr="00425C9A">
        <w:rPr>
          <w:rFonts w:ascii="Times New Roman" w:hAnsi="Times New Roman" w:cs="Times New Roman"/>
          <w:sz w:val="24"/>
          <w:szCs w:val="24"/>
        </w:rPr>
        <w:t>4. No order is made on exception 3 (the second plaintiff’s claim exception).</w:t>
      </w:r>
    </w:p>
    <w:p w14:paraId="2249FF6B" w14:textId="77777777" w:rsidR="00330A45" w:rsidRPr="00425C9A" w:rsidRDefault="00330A45" w:rsidP="00587C37">
      <w:pPr>
        <w:spacing w:after="0" w:line="360" w:lineRule="auto"/>
        <w:jc w:val="both"/>
        <w:rPr>
          <w:rFonts w:ascii="Times New Roman" w:hAnsi="Times New Roman" w:cs="Times New Roman"/>
          <w:sz w:val="24"/>
          <w:szCs w:val="24"/>
        </w:rPr>
      </w:pPr>
      <w:r w:rsidRPr="00425C9A">
        <w:rPr>
          <w:rFonts w:ascii="Times New Roman" w:hAnsi="Times New Roman" w:cs="Times New Roman"/>
          <w:sz w:val="24"/>
          <w:szCs w:val="24"/>
        </w:rPr>
        <w:t>5. No order is made as to the costs of the condonation application and the exception.</w:t>
      </w:r>
    </w:p>
    <w:p w14:paraId="0BD860ED" w14:textId="77777777" w:rsidR="00330A45" w:rsidRPr="00425C9A" w:rsidRDefault="00330A45" w:rsidP="00587C37">
      <w:pPr>
        <w:spacing w:after="0" w:line="360" w:lineRule="auto"/>
        <w:jc w:val="both"/>
        <w:rPr>
          <w:rFonts w:ascii="Times New Roman" w:hAnsi="Times New Roman" w:cs="Times New Roman"/>
          <w:sz w:val="24"/>
          <w:szCs w:val="24"/>
        </w:rPr>
      </w:pPr>
      <w:r w:rsidRPr="00425C9A">
        <w:rPr>
          <w:rFonts w:ascii="Times New Roman" w:hAnsi="Times New Roman" w:cs="Times New Roman"/>
          <w:sz w:val="24"/>
          <w:szCs w:val="24"/>
        </w:rPr>
        <w:t>6. Leave is granted to the plaintiffs to amend their particulars of claim by Notice of Amendment to be delivered on or before 29 January 2021.’</w:t>
      </w:r>
    </w:p>
    <w:p w14:paraId="070B084B" w14:textId="77777777" w:rsidR="00C47EC9" w:rsidRPr="00425C9A" w:rsidRDefault="00C47EC9" w:rsidP="00587C37">
      <w:pPr>
        <w:spacing w:after="0" w:line="360" w:lineRule="auto"/>
        <w:jc w:val="both"/>
        <w:rPr>
          <w:rFonts w:ascii="Times New Roman" w:hAnsi="Times New Roman" w:cs="Times New Roman"/>
          <w:sz w:val="28"/>
          <w:szCs w:val="28"/>
        </w:rPr>
      </w:pPr>
    </w:p>
    <w:p w14:paraId="4D49CE75" w14:textId="09E564E8" w:rsidR="00330A45" w:rsidRPr="00425C9A" w:rsidRDefault="00381E6C" w:rsidP="00587C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w:t>
      </w:r>
      <w:r w:rsidR="00330A45" w:rsidRPr="00425C9A">
        <w:rPr>
          <w:rFonts w:ascii="Times New Roman" w:hAnsi="Times New Roman" w:cs="Times New Roman"/>
          <w:sz w:val="28"/>
          <w:szCs w:val="28"/>
        </w:rPr>
        <w:t>]</w:t>
      </w:r>
      <w:r w:rsidR="00330A45" w:rsidRPr="00425C9A">
        <w:rPr>
          <w:rFonts w:ascii="Times New Roman" w:hAnsi="Times New Roman" w:cs="Times New Roman"/>
          <w:sz w:val="28"/>
          <w:szCs w:val="28"/>
        </w:rPr>
        <w:tab/>
        <w:t>The appellants applied for leave to appeal against paragraphs 1, 2 and 5 of the order of Van Oosten J. The respondents sought leave: (a) ‘only to the extent that the court failed to grant an order dismissing the [appellants’] condonation application and paragraph 5 of the order only in respect of the costs of the [appellants’] condonation application; and (b) conditionally against paragraph 3 of the order ‘only in respect of the dismissal of Exception 2 (the legal duty exception) in the event that the [appellants’] are granted leave to appeal against paragraphs 1 and/or 2 of the order’.</w:t>
      </w:r>
    </w:p>
    <w:p w14:paraId="23823499" w14:textId="77777777" w:rsidR="00330A45" w:rsidRPr="00425C9A" w:rsidRDefault="00330A45" w:rsidP="00587C37">
      <w:pPr>
        <w:spacing w:after="0" w:line="360" w:lineRule="auto"/>
        <w:jc w:val="both"/>
        <w:rPr>
          <w:rFonts w:ascii="Times New Roman" w:hAnsi="Times New Roman" w:cs="Times New Roman"/>
          <w:sz w:val="28"/>
          <w:szCs w:val="28"/>
        </w:rPr>
      </w:pPr>
    </w:p>
    <w:p w14:paraId="5528A01B" w14:textId="007D984F" w:rsidR="00330A45" w:rsidRPr="00425C9A" w:rsidRDefault="00381E6C" w:rsidP="00587C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w:t>
      </w:r>
      <w:r w:rsidR="00C050EB" w:rsidRPr="00425C9A">
        <w:rPr>
          <w:rFonts w:ascii="Times New Roman" w:hAnsi="Times New Roman" w:cs="Times New Roman"/>
          <w:sz w:val="28"/>
          <w:szCs w:val="28"/>
        </w:rPr>
        <w:t>]</w:t>
      </w:r>
      <w:r w:rsidR="00C050EB" w:rsidRPr="00425C9A">
        <w:rPr>
          <w:rFonts w:ascii="Times New Roman" w:hAnsi="Times New Roman" w:cs="Times New Roman"/>
          <w:sz w:val="28"/>
          <w:szCs w:val="28"/>
        </w:rPr>
        <w:tab/>
        <w:t>The high court</w:t>
      </w:r>
      <w:r w:rsidR="00330A45" w:rsidRPr="00425C9A">
        <w:rPr>
          <w:rFonts w:ascii="Times New Roman" w:hAnsi="Times New Roman" w:cs="Times New Roman"/>
          <w:sz w:val="28"/>
          <w:szCs w:val="28"/>
        </w:rPr>
        <w:t xml:space="preserve"> granted leave to appeal to this Court in the following terms:</w:t>
      </w:r>
    </w:p>
    <w:p w14:paraId="2F5D6B2F" w14:textId="11AA01BC" w:rsidR="00330A45" w:rsidRPr="00425C9A" w:rsidRDefault="00330A45" w:rsidP="00587C37">
      <w:pPr>
        <w:spacing w:after="0" w:line="360" w:lineRule="auto"/>
        <w:jc w:val="both"/>
        <w:rPr>
          <w:rFonts w:ascii="Times New Roman" w:hAnsi="Times New Roman" w:cs="Times New Roman"/>
          <w:sz w:val="24"/>
          <w:szCs w:val="24"/>
        </w:rPr>
      </w:pPr>
      <w:r w:rsidRPr="00425C9A">
        <w:rPr>
          <w:rFonts w:ascii="Times New Roman" w:hAnsi="Times New Roman" w:cs="Times New Roman"/>
          <w:sz w:val="24"/>
          <w:szCs w:val="24"/>
        </w:rPr>
        <w:t>‘1.</w:t>
      </w:r>
      <w:r w:rsidR="00E53A01" w:rsidRPr="00425C9A">
        <w:rPr>
          <w:rFonts w:ascii="Times New Roman" w:hAnsi="Times New Roman" w:cs="Times New Roman"/>
          <w:sz w:val="24"/>
          <w:szCs w:val="24"/>
        </w:rPr>
        <w:t xml:space="preserve"> </w:t>
      </w:r>
      <w:r w:rsidRPr="00425C9A">
        <w:rPr>
          <w:rFonts w:ascii="Times New Roman" w:hAnsi="Times New Roman" w:cs="Times New Roman"/>
          <w:sz w:val="24"/>
          <w:szCs w:val="24"/>
        </w:rPr>
        <w:t>The plaintiffs are granted leave to appeal to the Supreme Court of Appeal against paragraphs 1 and 2 of the order delivered by the Honourable Mr Justice Van Oosten on 18 December 2020 (the order);</w:t>
      </w:r>
    </w:p>
    <w:p w14:paraId="2DE5A618" w14:textId="6769F637" w:rsidR="00330A45" w:rsidRPr="00425C9A" w:rsidRDefault="00330A45" w:rsidP="00587C37">
      <w:pPr>
        <w:spacing w:after="0" w:line="360" w:lineRule="auto"/>
        <w:jc w:val="both"/>
        <w:rPr>
          <w:rFonts w:ascii="Times New Roman" w:hAnsi="Times New Roman" w:cs="Times New Roman"/>
          <w:sz w:val="24"/>
          <w:szCs w:val="24"/>
        </w:rPr>
      </w:pPr>
      <w:r w:rsidRPr="00425C9A">
        <w:rPr>
          <w:rFonts w:ascii="Times New Roman" w:hAnsi="Times New Roman" w:cs="Times New Roman"/>
          <w:sz w:val="24"/>
          <w:szCs w:val="24"/>
        </w:rPr>
        <w:t>2.</w:t>
      </w:r>
      <w:r w:rsidR="00E53A01" w:rsidRPr="00425C9A">
        <w:rPr>
          <w:rFonts w:ascii="Times New Roman" w:hAnsi="Times New Roman" w:cs="Times New Roman"/>
          <w:sz w:val="24"/>
          <w:szCs w:val="24"/>
        </w:rPr>
        <w:t xml:space="preserve"> </w:t>
      </w:r>
      <w:r w:rsidRPr="00425C9A">
        <w:rPr>
          <w:rFonts w:ascii="Times New Roman" w:hAnsi="Times New Roman" w:cs="Times New Roman"/>
          <w:sz w:val="24"/>
          <w:szCs w:val="24"/>
        </w:rPr>
        <w:t>The defendants are granted leave to appeal to the Supreme Court of Appeal against paragraph 3 of the order, only in respect of the dismissal of Exception 2 (the legal duty exception);</w:t>
      </w:r>
    </w:p>
    <w:p w14:paraId="5E21AD26" w14:textId="6717937D" w:rsidR="00330A45" w:rsidRPr="00425C9A" w:rsidRDefault="00330A45" w:rsidP="00587C37">
      <w:pPr>
        <w:spacing w:after="0" w:line="360" w:lineRule="auto"/>
        <w:jc w:val="both"/>
        <w:rPr>
          <w:rFonts w:ascii="Times New Roman" w:hAnsi="Times New Roman" w:cs="Times New Roman"/>
          <w:sz w:val="24"/>
          <w:szCs w:val="24"/>
        </w:rPr>
      </w:pPr>
      <w:r w:rsidRPr="00425C9A">
        <w:rPr>
          <w:rFonts w:ascii="Times New Roman" w:hAnsi="Times New Roman" w:cs="Times New Roman"/>
          <w:sz w:val="24"/>
          <w:szCs w:val="24"/>
        </w:rPr>
        <w:lastRenderedPageBreak/>
        <w:t>3.</w:t>
      </w:r>
      <w:r w:rsidR="00E53A01" w:rsidRPr="00425C9A">
        <w:rPr>
          <w:rFonts w:ascii="Times New Roman" w:hAnsi="Times New Roman" w:cs="Times New Roman"/>
          <w:sz w:val="24"/>
          <w:szCs w:val="24"/>
        </w:rPr>
        <w:t xml:space="preserve"> </w:t>
      </w:r>
      <w:r w:rsidRPr="00425C9A">
        <w:rPr>
          <w:rFonts w:ascii="Times New Roman" w:hAnsi="Times New Roman" w:cs="Times New Roman"/>
          <w:sz w:val="24"/>
          <w:szCs w:val="24"/>
        </w:rPr>
        <w:t>The defendants are given leave to appeal to the Supreme Court of Appeal against the order to the extent that the Court did not grant an order dismissing the plaintiffs’ condonation application.</w:t>
      </w:r>
    </w:p>
    <w:p w14:paraId="4CFC811E" w14:textId="2FD5E576" w:rsidR="00330A45" w:rsidRPr="00425C9A" w:rsidRDefault="00330A45" w:rsidP="00587C37">
      <w:pPr>
        <w:spacing w:after="0" w:line="360" w:lineRule="auto"/>
        <w:jc w:val="both"/>
        <w:rPr>
          <w:rFonts w:ascii="Times New Roman" w:hAnsi="Times New Roman" w:cs="Times New Roman"/>
          <w:sz w:val="24"/>
          <w:szCs w:val="24"/>
        </w:rPr>
      </w:pPr>
      <w:r w:rsidRPr="00425C9A">
        <w:rPr>
          <w:rFonts w:ascii="Times New Roman" w:hAnsi="Times New Roman" w:cs="Times New Roman"/>
          <w:sz w:val="24"/>
          <w:szCs w:val="24"/>
        </w:rPr>
        <w:t>4.</w:t>
      </w:r>
      <w:r w:rsidR="00E53A01" w:rsidRPr="00425C9A">
        <w:rPr>
          <w:rFonts w:ascii="Times New Roman" w:hAnsi="Times New Roman" w:cs="Times New Roman"/>
          <w:sz w:val="24"/>
          <w:szCs w:val="24"/>
        </w:rPr>
        <w:t xml:space="preserve"> </w:t>
      </w:r>
      <w:r w:rsidRPr="00425C9A">
        <w:rPr>
          <w:rFonts w:ascii="Times New Roman" w:hAnsi="Times New Roman" w:cs="Times New Roman"/>
          <w:sz w:val="24"/>
          <w:szCs w:val="24"/>
        </w:rPr>
        <w:t>Subject to the right of either party to seek leave to appeal from the Constitutional Court against a judgment by the Supreme Court of Appeal, the defendants accept that the determination of the condonation application by the Supreme Court of Appeal will finally determine the issue of whether the plaintiffs’ claims have prescribed.</w:t>
      </w:r>
    </w:p>
    <w:p w14:paraId="0DF22E79" w14:textId="7E1DDB15" w:rsidR="00330A45" w:rsidRPr="00425C9A" w:rsidRDefault="00330A45" w:rsidP="00587C37">
      <w:pPr>
        <w:spacing w:after="0" w:line="360" w:lineRule="auto"/>
        <w:jc w:val="both"/>
        <w:rPr>
          <w:rFonts w:ascii="Times New Roman" w:hAnsi="Times New Roman" w:cs="Times New Roman"/>
          <w:sz w:val="24"/>
          <w:szCs w:val="24"/>
        </w:rPr>
      </w:pPr>
      <w:r w:rsidRPr="00425C9A">
        <w:rPr>
          <w:rFonts w:ascii="Times New Roman" w:hAnsi="Times New Roman" w:cs="Times New Roman"/>
          <w:sz w:val="24"/>
          <w:szCs w:val="24"/>
        </w:rPr>
        <w:t>5.</w:t>
      </w:r>
      <w:r w:rsidR="00E53A01" w:rsidRPr="00425C9A">
        <w:rPr>
          <w:rFonts w:ascii="Times New Roman" w:hAnsi="Times New Roman" w:cs="Times New Roman"/>
          <w:sz w:val="24"/>
          <w:szCs w:val="24"/>
        </w:rPr>
        <w:t xml:space="preserve"> </w:t>
      </w:r>
      <w:r w:rsidRPr="00425C9A">
        <w:rPr>
          <w:rFonts w:ascii="Times New Roman" w:hAnsi="Times New Roman" w:cs="Times New Roman"/>
          <w:sz w:val="24"/>
          <w:szCs w:val="24"/>
        </w:rPr>
        <w:t>The plaintiffs and the defendant</w:t>
      </w:r>
      <w:r w:rsidR="008422BB" w:rsidRPr="00425C9A">
        <w:rPr>
          <w:rFonts w:ascii="Times New Roman" w:hAnsi="Times New Roman" w:cs="Times New Roman"/>
          <w:sz w:val="24"/>
          <w:szCs w:val="24"/>
        </w:rPr>
        <w:t>s</w:t>
      </w:r>
      <w:r w:rsidRPr="00425C9A">
        <w:rPr>
          <w:rFonts w:ascii="Times New Roman" w:hAnsi="Times New Roman" w:cs="Times New Roman"/>
          <w:sz w:val="24"/>
          <w:szCs w:val="24"/>
        </w:rPr>
        <w:t xml:space="preserve"> are granted leave to appeal to the Supreme Court of Appeal against paragraph 5 of the order.</w:t>
      </w:r>
    </w:p>
    <w:p w14:paraId="1EED91E1" w14:textId="3BD0A8FF" w:rsidR="00330A45" w:rsidRPr="00425C9A" w:rsidRDefault="00330A45" w:rsidP="00587C37">
      <w:pPr>
        <w:spacing w:after="0" w:line="360" w:lineRule="auto"/>
        <w:jc w:val="both"/>
        <w:rPr>
          <w:rFonts w:ascii="Times New Roman" w:hAnsi="Times New Roman" w:cs="Times New Roman"/>
          <w:sz w:val="24"/>
          <w:szCs w:val="24"/>
        </w:rPr>
      </w:pPr>
      <w:r w:rsidRPr="00425C9A">
        <w:rPr>
          <w:rFonts w:ascii="Times New Roman" w:hAnsi="Times New Roman" w:cs="Times New Roman"/>
          <w:sz w:val="24"/>
          <w:szCs w:val="24"/>
        </w:rPr>
        <w:t>6.</w:t>
      </w:r>
      <w:r w:rsidR="00E53A01" w:rsidRPr="00425C9A">
        <w:rPr>
          <w:rFonts w:ascii="Times New Roman" w:hAnsi="Times New Roman" w:cs="Times New Roman"/>
          <w:sz w:val="24"/>
          <w:szCs w:val="24"/>
        </w:rPr>
        <w:t xml:space="preserve"> </w:t>
      </w:r>
      <w:r w:rsidRPr="00425C9A">
        <w:rPr>
          <w:rFonts w:ascii="Times New Roman" w:hAnsi="Times New Roman" w:cs="Times New Roman"/>
          <w:sz w:val="24"/>
          <w:szCs w:val="24"/>
        </w:rPr>
        <w:t>The costs of the plaintiffs’ and defendants’ applications for leave to appeal shall be costs in the appeal.’</w:t>
      </w:r>
    </w:p>
    <w:p w14:paraId="1B0227E0" w14:textId="77777777" w:rsidR="00703C33" w:rsidRPr="00425C9A" w:rsidRDefault="00703C33" w:rsidP="00587C37">
      <w:pPr>
        <w:spacing w:after="0" w:line="360" w:lineRule="auto"/>
        <w:jc w:val="both"/>
        <w:rPr>
          <w:rFonts w:ascii="Times New Roman" w:hAnsi="Times New Roman" w:cs="Times New Roman"/>
          <w:sz w:val="28"/>
          <w:szCs w:val="28"/>
        </w:rPr>
      </w:pPr>
    </w:p>
    <w:p w14:paraId="3CC08CA0" w14:textId="297883A0" w:rsidR="00330A45" w:rsidRPr="00425C9A" w:rsidRDefault="00381E6C" w:rsidP="00587C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[14</w:t>
      </w:r>
      <w:r w:rsidR="00330A45" w:rsidRPr="00425C9A">
        <w:rPr>
          <w:rFonts w:ascii="Times New Roman" w:hAnsi="Times New Roman" w:cs="Times New Roman"/>
          <w:sz w:val="28"/>
          <w:szCs w:val="28"/>
        </w:rPr>
        <w:t>]</w:t>
      </w:r>
      <w:r w:rsidR="00330A45" w:rsidRPr="00425C9A">
        <w:rPr>
          <w:rFonts w:ascii="Times New Roman" w:hAnsi="Times New Roman" w:cs="Times New Roman"/>
          <w:sz w:val="28"/>
          <w:szCs w:val="28"/>
        </w:rPr>
        <w:tab/>
        <w:t>Whilst exceptions provide a useful mechanism ‘to weed out cases without legal merit’, it is nonetheless necessary that they be dealt with sensibly.</w:t>
      </w:r>
      <w:r w:rsidR="00330A45" w:rsidRPr="00425C9A">
        <w:rPr>
          <w:rStyle w:val="FootnoteReference"/>
          <w:rFonts w:ascii="Times New Roman" w:hAnsi="Times New Roman" w:cs="Times New Roman"/>
          <w:sz w:val="28"/>
          <w:szCs w:val="28"/>
        </w:rPr>
        <w:footnoteReference w:id="8"/>
      </w:r>
      <w:r w:rsidR="00330A45" w:rsidRPr="00425C9A">
        <w:rPr>
          <w:rFonts w:ascii="Times New Roman" w:hAnsi="Times New Roman" w:cs="Times New Roman"/>
          <w:sz w:val="28"/>
          <w:szCs w:val="28"/>
        </w:rPr>
        <w:t> It is where pleadings are so vague that it is impossible to de</w:t>
      </w:r>
      <w:r w:rsidR="0038564A" w:rsidRPr="00425C9A">
        <w:rPr>
          <w:rFonts w:ascii="Times New Roman" w:hAnsi="Times New Roman" w:cs="Times New Roman"/>
          <w:sz w:val="28"/>
          <w:szCs w:val="28"/>
        </w:rPr>
        <w:t>termine the nature of the claim</w:t>
      </w:r>
      <w:r w:rsidR="00330A45" w:rsidRPr="00425C9A">
        <w:rPr>
          <w:rFonts w:ascii="Times New Roman" w:hAnsi="Times New Roman" w:cs="Times New Roman"/>
          <w:sz w:val="28"/>
          <w:szCs w:val="28"/>
        </w:rPr>
        <w:t xml:space="preserve"> or where pleadin</w:t>
      </w:r>
      <w:r w:rsidR="0038564A" w:rsidRPr="00425C9A">
        <w:rPr>
          <w:rFonts w:ascii="Times New Roman" w:hAnsi="Times New Roman" w:cs="Times New Roman"/>
          <w:sz w:val="28"/>
          <w:szCs w:val="28"/>
        </w:rPr>
        <w:t xml:space="preserve">gs are </w:t>
      </w:r>
      <w:r w:rsidR="00330A45" w:rsidRPr="00425C9A">
        <w:rPr>
          <w:rFonts w:ascii="Times New Roman" w:hAnsi="Times New Roman" w:cs="Times New Roman"/>
          <w:sz w:val="28"/>
          <w:szCs w:val="28"/>
        </w:rPr>
        <w:t>bad in law in that their contents do not support a discernible and legally recognised cause of action, that an exception is competent.</w:t>
      </w:r>
      <w:r w:rsidR="00330A45" w:rsidRPr="00425C9A">
        <w:rPr>
          <w:rStyle w:val="FootnoteReference"/>
          <w:rFonts w:ascii="Times New Roman" w:hAnsi="Times New Roman" w:cs="Times New Roman"/>
          <w:sz w:val="28"/>
          <w:szCs w:val="28"/>
        </w:rPr>
        <w:footnoteReference w:id="9"/>
      </w:r>
      <w:r w:rsidR="004E397E" w:rsidRPr="00425C9A">
        <w:rPr>
          <w:rFonts w:ascii="Times New Roman" w:hAnsi="Times New Roman" w:cs="Times New Roman"/>
          <w:sz w:val="28"/>
          <w:szCs w:val="28"/>
        </w:rPr>
        <w:t xml:space="preserve"> The burden </w:t>
      </w:r>
      <w:r w:rsidR="00330A45" w:rsidRPr="00425C9A">
        <w:rPr>
          <w:rFonts w:ascii="Times New Roman" w:hAnsi="Times New Roman" w:cs="Times New Roman"/>
          <w:sz w:val="28"/>
          <w:szCs w:val="28"/>
        </w:rPr>
        <w:t xml:space="preserve">rests on an excipient, who must establish that on every interpretation that can reasonably be attached to it, the </w:t>
      </w:r>
      <w:r>
        <w:rPr>
          <w:rFonts w:ascii="Times New Roman" w:hAnsi="Times New Roman" w:cs="Times New Roman"/>
          <w:sz w:val="28"/>
          <w:szCs w:val="28"/>
        </w:rPr>
        <w:t>pleading is</w:t>
      </w:r>
      <w:r w:rsidR="00330A45" w:rsidRPr="00425C9A">
        <w:rPr>
          <w:rFonts w:ascii="Times New Roman" w:hAnsi="Times New Roman" w:cs="Times New Roman"/>
          <w:sz w:val="28"/>
          <w:szCs w:val="28"/>
        </w:rPr>
        <w:t xml:space="preserve"> excipiable.</w:t>
      </w:r>
      <w:r w:rsidR="00330A45" w:rsidRPr="00425C9A">
        <w:rPr>
          <w:rStyle w:val="FootnoteReference"/>
          <w:rFonts w:ascii="Times New Roman" w:hAnsi="Times New Roman" w:cs="Times New Roman"/>
          <w:sz w:val="28"/>
          <w:szCs w:val="28"/>
        </w:rPr>
        <w:footnoteReference w:id="10"/>
      </w:r>
      <w:r w:rsidR="00330A45" w:rsidRPr="00425C9A">
        <w:rPr>
          <w:rFonts w:ascii="Times New Roman" w:hAnsi="Times New Roman" w:cs="Times New Roman"/>
          <w:sz w:val="28"/>
          <w:szCs w:val="28"/>
        </w:rPr>
        <w:t xml:space="preserve"> The test is whether on all possible readings of the facts no cause of action may be made out; it being for the excipient to satisfy the court that the conclusion of law for which the plaintiff contends cannot be supported on every interpretation that can be put upon the facts.</w:t>
      </w:r>
      <w:r w:rsidR="00330A45" w:rsidRPr="00425C9A">
        <w:rPr>
          <w:rStyle w:val="FootnoteReference"/>
          <w:rFonts w:ascii="Times New Roman" w:hAnsi="Times New Roman" w:cs="Times New Roman"/>
          <w:sz w:val="28"/>
          <w:szCs w:val="28"/>
        </w:rPr>
        <w:footnoteReference w:id="11"/>
      </w:r>
    </w:p>
    <w:p w14:paraId="41DF9E35" w14:textId="77777777" w:rsidR="00330A45" w:rsidRPr="00425C9A" w:rsidRDefault="00330A45" w:rsidP="00587C37">
      <w:pPr>
        <w:spacing w:after="0" w:line="360" w:lineRule="auto"/>
        <w:jc w:val="both"/>
        <w:rPr>
          <w:rFonts w:ascii="Times New Roman" w:hAnsi="Times New Roman" w:cs="Times New Roman"/>
          <w:sz w:val="28"/>
          <w:szCs w:val="28"/>
        </w:rPr>
      </w:pPr>
    </w:p>
    <w:p w14:paraId="3AC5270E" w14:textId="1A4BD96B" w:rsidR="00330A45" w:rsidRPr="00425C9A" w:rsidRDefault="00381E6C" w:rsidP="00587C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[15</w:t>
      </w:r>
      <w:r w:rsidR="00330A45" w:rsidRPr="00425C9A">
        <w:rPr>
          <w:rFonts w:ascii="Times New Roman" w:hAnsi="Times New Roman" w:cs="Times New Roman"/>
          <w:sz w:val="28"/>
          <w:szCs w:val="28"/>
        </w:rPr>
        <w:t>]</w:t>
      </w:r>
      <w:r w:rsidR="00330A45" w:rsidRPr="00425C9A">
        <w:rPr>
          <w:rFonts w:ascii="Times New Roman" w:hAnsi="Times New Roman" w:cs="Times New Roman"/>
          <w:sz w:val="28"/>
          <w:szCs w:val="28"/>
        </w:rPr>
        <w:tab/>
        <w:t xml:space="preserve">In </w:t>
      </w:r>
      <w:r w:rsidR="00330A45" w:rsidRPr="00425C9A">
        <w:rPr>
          <w:rFonts w:ascii="Times New Roman" w:hAnsi="Times New Roman" w:cs="Times New Roman"/>
          <w:i/>
          <w:sz w:val="28"/>
          <w:szCs w:val="28"/>
        </w:rPr>
        <w:t>H v Fetal Assessment Centre</w:t>
      </w:r>
      <w:r w:rsidR="00330A45" w:rsidRPr="00425C9A">
        <w:rPr>
          <w:rFonts w:ascii="Times New Roman" w:hAnsi="Times New Roman" w:cs="Times New Roman"/>
          <w:sz w:val="28"/>
          <w:szCs w:val="28"/>
        </w:rPr>
        <w:t>,</w:t>
      </w:r>
      <w:r w:rsidR="00330A45" w:rsidRPr="00425C9A">
        <w:rPr>
          <w:rFonts w:ascii="Times New Roman" w:hAnsi="Times New Roman" w:cs="Times New Roman"/>
          <w:i/>
          <w:sz w:val="28"/>
          <w:szCs w:val="28"/>
        </w:rPr>
        <w:t xml:space="preserve"> </w:t>
      </w:r>
      <w:r w:rsidR="00330A45" w:rsidRPr="00425C9A">
        <w:rPr>
          <w:rFonts w:ascii="Times New Roman" w:hAnsi="Times New Roman" w:cs="Times New Roman"/>
          <w:sz w:val="28"/>
          <w:szCs w:val="28"/>
        </w:rPr>
        <w:t xml:space="preserve">the Constitutional Court recognised that there may be occasions when ‘the question of the development of the common </w:t>
      </w:r>
      <w:r w:rsidR="00330A45" w:rsidRPr="00425C9A">
        <w:rPr>
          <w:rFonts w:ascii="Times New Roman" w:hAnsi="Times New Roman" w:cs="Times New Roman"/>
          <w:sz w:val="28"/>
          <w:szCs w:val="28"/>
        </w:rPr>
        <w:lastRenderedPageBreak/>
        <w:t>law would be better served after hearing all the evidence’.</w:t>
      </w:r>
      <w:r w:rsidR="00330A45" w:rsidRPr="00425C9A">
        <w:rPr>
          <w:rStyle w:val="FootnoteReference"/>
          <w:rFonts w:ascii="Times New Roman" w:hAnsi="Times New Roman" w:cs="Times New Roman"/>
          <w:sz w:val="28"/>
          <w:szCs w:val="28"/>
        </w:rPr>
        <w:footnoteReference w:id="12"/>
      </w:r>
      <w:r w:rsidR="00E53A01" w:rsidRPr="00425C9A">
        <w:rPr>
          <w:rFonts w:ascii="Times New Roman" w:hAnsi="Times New Roman" w:cs="Times New Roman"/>
          <w:sz w:val="28"/>
          <w:szCs w:val="28"/>
        </w:rPr>
        <w:t xml:space="preserve"> </w:t>
      </w:r>
      <w:r w:rsidR="00330A45" w:rsidRPr="00425C9A">
        <w:rPr>
          <w:rFonts w:ascii="Times New Roman" w:hAnsi="Times New Roman" w:cs="Times New Roman"/>
          <w:sz w:val="28"/>
          <w:szCs w:val="28"/>
        </w:rPr>
        <w:t>Whilst there is no general rule that issues relating to the development of the common law cannot be decided on exception, however, where the ‘factual situation is complex and the legal position uncertain’</w:t>
      </w:r>
      <w:r w:rsidR="001E3E47" w:rsidRPr="00425C9A">
        <w:rPr>
          <w:rFonts w:ascii="Times New Roman" w:hAnsi="Times New Roman" w:cs="Times New Roman"/>
          <w:sz w:val="28"/>
          <w:szCs w:val="28"/>
        </w:rPr>
        <w:t>,</w:t>
      </w:r>
      <w:r w:rsidR="00330A45" w:rsidRPr="00425C9A">
        <w:rPr>
          <w:rFonts w:ascii="Times New Roman" w:hAnsi="Times New Roman" w:cs="Times New Roman"/>
          <w:sz w:val="28"/>
          <w:szCs w:val="28"/>
        </w:rPr>
        <w:t xml:space="preserve"> it will normally be better not to do so.</w:t>
      </w:r>
      <w:r w:rsidR="00330A45" w:rsidRPr="00425C9A">
        <w:rPr>
          <w:rStyle w:val="FootnoteReference"/>
          <w:rFonts w:ascii="Times New Roman" w:hAnsi="Times New Roman" w:cs="Times New Roman"/>
          <w:sz w:val="28"/>
          <w:szCs w:val="28"/>
        </w:rPr>
        <w:footnoteReference w:id="13"/>
      </w:r>
      <w:r w:rsidR="00330A45" w:rsidRPr="00425C9A">
        <w:rPr>
          <w:rFonts w:ascii="Times New Roman" w:hAnsi="Times New Roman" w:cs="Times New Roman"/>
          <w:sz w:val="28"/>
          <w:szCs w:val="28"/>
        </w:rPr>
        <w:t xml:space="preserve"> In this regard reference was</w:t>
      </w:r>
      <w:r w:rsidR="003D1CE9" w:rsidRPr="00425C9A">
        <w:rPr>
          <w:rFonts w:ascii="Times New Roman" w:hAnsi="Times New Roman" w:cs="Times New Roman"/>
          <w:sz w:val="28"/>
          <w:szCs w:val="28"/>
        </w:rPr>
        <w:t xml:space="preserve"> made to the Australian case of </w:t>
      </w:r>
      <w:r w:rsidR="00330A45" w:rsidRPr="00425C9A">
        <w:rPr>
          <w:rFonts w:ascii="Times New Roman" w:hAnsi="Times New Roman" w:cs="Times New Roman"/>
          <w:i/>
          <w:iCs/>
          <w:sz w:val="28"/>
          <w:szCs w:val="28"/>
        </w:rPr>
        <w:t>Harriton v Stephens</w:t>
      </w:r>
      <w:r w:rsidR="00330A45" w:rsidRPr="00425C9A">
        <w:rPr>
          <w:rFonts w:ascii="Times New Roman" w:hAnsi="Times New Roman" w:cs="Times New Roman"/>
          <w:sz w:val="28"/>
          <w:szCs w:val="28"/>
        </w:rPr>
        <w:t>, where Kirby J (in dissent) observed:</w:t>
      </w:r>
    </w:p>
    <w:p w14:paraId="387808B9" w14:textId="7C294F41" w:rsidR="00330A45" w:rsidRPr="00425C9A" w:rsidRDefault="00330A45" w:rsidP="00587C37">
      <w:pPr>
        <w:spacing w:after="0" w:line="360" w:lineRule="auto"/>
        <w:jc w:val="both"/>
        <w:rPr>
          <w:rFonts w:ascii="Times New Roman" w:hAnsi="Times New Roman" w:cs="Times New Roman"/>
          <w:sz w:val="24"/>
          <w:szCs w:val="24"/>
        </w:rPr>
      </w:pPr>
      <w:r w:rsidRPr="00425C9A">
        <w:rPr>
          <w:rFonts w:ascii="Times New Roman" w:hAnsi="Times New Roman" w:cs="Times New Roman"/>
          <w:sz w:val="24"/>
          <w:szCs w:val="24"/>
        </w:rPr>
        <w:t>‘Especially in novel claims asserting new legal obligations, the applicable common law tends to grow out of a full understanding of the facts. To decide the present appeal on abbreviated agreed facts risks inflicting an injustice on the appellant because the colour and content of the obligations relied on may not be proved with sufficient force because of the brevity of the factual premises upon</w:t>
      </w:r>
      <w:r w:rsidR="005B1015" w:rsidRPr="00425C9A">
        <w:rPr>
          <w:rFonts w:ascii="Times New Roman" w:hAnsi="Times New Roman" w:cs="Times New Roman"/>
          <w:sz w:val="24"/>
          <w:szCs w:val="24"/>
        </w:rPr>
        <w:t xml:space="preserve"> which the claim must be built.</w:t>
      </w:r>
      <w:r w:rsidRPr="00425C9A">
        <w:rPr>
          <w:rFonts w:ascii="Times New Roman" w:hAnsi="Times New Roman" w:cs="Times New Roman"/>
          <w:sz w:val="24"/>
          <w:szCs w:val="24"/>
        </w:rPr>
        <w:t xml:space="preserve"> Where the law is grappling with a new problem, or is in a state of transition, the facts will often “help to throw light on the existence of a legal cause of action – specifically a duty of care</w:t>
      </w:r>
      <w:r w:rsidR="004E397E" w:rsidRPr="00425C9A">
        <w:rPr>
          <w:rStyle w:val="FootnoteReference"/>
          <w:rFonts w:ascii="Times New Roman" w:hAnsi="Times New Roman" w:cs="Times New Roman"/>
          <w:sz w:val="24"/>
          <w:szCs w:val="24"/>
        </w:rPr>
        <w:footnoteReference w:id="14"/>
      </w:r>
      <w:r w:rsidRPr="00425C9A">
        <w:rPr>
          <w:rFonts w:ascii="Times New Roman" w:hAnsi="Times New Roman" w:cs="Times New Roman"/>
          <w:sz w:val="24"/>
          <w:szCs w:val="24"/>
        </w:rPr>
        <w:t xml:space="preserve"> owed by the defendant to the plaintiff</w:t>
      </w:r>
      <w:r w:rsidR="00C050EB" w:rsidRPr="00425C9A">
        <w:rPr>
          <w:rFonts w:ascii="Times New Roman" w:hAnsi="Times New Roman" w:cs="Times New Roman"/>
          <w:sz w:val="24"/>
          <w:szCs w:val="24"/>
        </w:rPr>
        <w:t>”</w:t>
      </w:r>
      <w:r w:rsidRPr="00425C9A">
        <w:rPr>
          <w:rFonts w:ascii="Times New Roman" w:hAnsi="Times New Roman" w:cs="Times New Roman"/>
          <w:sz w:val="24"/>
          <w:szCs w:val="24"/>
        </w:rPr>
        <w:t>. Facts may present wrongs. Wro</w:t>
      </w:r>
      <w:r w:rsidR="005B1015" w:rsidRPr="00425C9A">
        <w:rPr>
          <w:rFonts w:ascii="Times New Roman" w:hAnsi="Times New Roman" w:cs="Times New Roman"/>
          <w:sz w:val="24"/>
          <w:szCs w:val="24"/>
        </w:rPr>
        <w:t>ngs often cry out for a remedy.</w:t>
      </w:r>
      <w:r w:rsidRPr="00425C9A">
        <w:rPr>
          <w:rFonts w:ascii="Times New Roman" w:hAnsi="Times New Roman" w:cs="Times New Roman"/>
          <w:sz w:val="24"/>
          <w:szCs w:val="24"/>
        </w:rPr>
        <w:t xml:space="preserve"> To their cry the common law may not be indifferent.’</w:t>
      </w:r>
      <w:r w:rsidRPr="00425C9A">
        <w:rPr>
          <w:rStyle w:val="FootnoteReference"/>
          <w:rFonts w:ascii="Times New Roman" w:hAnsi="Times New Roman" w:cs="Times New Roman"/>
          <w:sz w:val="24"/>
          <w:szCs w:val="24"/>
        </w:rPr>
        <w:footnoteReference w:id="15"/>
      </w:r>
    </w:p>
    <w:p w14:paraId="6FF3635E" w14:textId="77777777" w:rsidR="00330A45" w:rsidRPr="00425C9A" w:rsidRDefault="00330A45" w:rsidP="00587C37">
      <w:pPr>
        <w:spacing w:after="0" w:line="360" w:lineRule="auto"/>
        <w:jc w:val="both"/>
        <w:rPr>
          <w:rFonts w:ascii="Times New Roman" w:hAnsi="Times New Roman" w:cs="Times New Roman"/>
          <w:sz w:val="28"/>
          <w:szCs w:val="28"/>
        </w:rPr>
      </w:pPr>
    </w:p>
    <w:p w14:paraId="6737F5E5" w14:textId="787D6B47" w:rsidR="00330A45" w:rsidRPr="00425C9A" w:rsidRDefault="00381E6C" w:rsidP="00587C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[16</w:t>
      </w:r>
      <w:r w:rsidR="00330A45" w:rsidRPr="00425C9A">
        <w:rPr>
          <w:rFonts w:ascii="Times New Roman" w:hAnsi="Times New Roman" w:cs="Times New Roman"/>
          <w:sz w:val="28"/>
          <w:szCs w:val="28"/>
        </w:rPr>
        <w:t>]</w:t>
      </w:r>
      <w:r w:rsidR="00330A45" w:rsidRPr="00425C9A">
        <w:rPr>
          <w:rFonts w:ascii="Times New Roman" w:hAnsi="Times New Roman" w:cs="Times New Roman"/>
          <w:sz w:val="28"/>
          <w:szCs w:val="28"/>
        </w:rPr>
        <w:tab/>
        <w:t>This approach ensures compliance with s 39(2) of the Constitution, which requires courts to develop the common law by promoting the spirit, p</w:t>
      </w:r>
      <w:r w:rsidR="008125F7" w:rsidRPr="00425C9A">
        <w:rPr>
          <w:rFonts w:ascii="Times New Roman" w:hAnsi="Times New Roman" w:cs="Times New Roman"/>
          <w:sz w:val="28"/>
          <w:szCs w:val="28"/>
        </w:rPr>
        <w:t>urport</w:t>
      </w:r>
      <w:r w:rsidR="00330A45" w:rsidRPr="00425C9A">
        <w:rPr>
          <w:rFonts w:ascii="Times New Roman" w:hAnsi="Times New Roman" w:cs="Times New Roman"/>
          <w:sz w:val="28"/>
          <w:szCs w:val="28"/>
        </w:rPr>
        <w:t xml:space="preserve"> and objects of the Bill of Rights, inasmuch as it places a court in a position to make a final decision ‘after hearing all the evidence, and the decision can be given in the </w:t>
      </w:r>
      <w:r w:rsidR="00330A45" w:rsidRPr="00425C9A">
        <w:rPr>
          <w:rFonts w:ascii="Times New Roman" w:hAnsi="Times New Roman" w:cs="Times New Roman"/>
          <w:sz w:val="28"/>
          <w:szCs w:val="28"/>
        </w:rPr>
        <w:lastRenderedPageBreak/>
        <w:t>light of all the circumstances of the case, with due regard to all relevant factors’.</w:t>
      </w:r>
      <w:r w:rsidR="00330A45" w:rsidRPr="00425C9A">
        <w:rPr>
          <w:rStyle w:val="FootnoteReference"/>
          <w:rFonts w:ascii="Times New Roman" w:hAnsi="Times New Roman" w:cs="Times New Roman"/>
          <w:sz w:val="28"/>
          <w:szCs w:val="28"/>
        </w:rPr>
        <w:footnoteReference w:id="16"/>
      </w:r>
      <w:r w:rsidR="00330A45" w:rsidRPr="00425C9A">
        <w:rPr>
          <w:rFonts w:ascii="Times New Roman" w:hAnsi="Times New Roman" w:cs="Times New Roman"/>
          <w:sz w:val="28"/>
          <w:szCs w:val="28"/>
        </w:rPr>
        <w:t xml:space="preserve"> It is thus only if the court can conclude that it is impossible to recognize the claim, irrespective of the facts as they might emerge at the trial</w:t>
      </w:r>
      <w:r w:rsidR="00E53A01" w:rsidRPr="00425C9A">
        <w:rPr>
          <w:rFonts w:ascii="Times New Roman" w:hAnsi="Times New Roman" w:cs="Times New Roman"/>
          <w:sz w:val="28"/>
          <w:szCs w:val="28"/>
        </w:rPr>
        <w:t>,</w:t>
      </w:r>
      <w:r w:rsidR="00330A45" w:rsidRPr="00425C9A">
        <w:rPr>
          <w:rFonts w:ascii="Times New Roman" w:hAnsi="Times New Roman" w:cs="Times New Roman"/>
          <w:sz w:val="28"/>
          <w:szCs w:val="28"/>
        </w:rPr>
        <w:t xml:space="preserve"> that the exception can and should be upheld.</w:t>
      </w:r>
      <w:r w:rsidR="00330A45" w:rsidRPr="00425C9A">
        <w:rPr>
          <w:rStyle w:val="FootnoteReference"/>
          <w:rFonts w:ascii="Times New Roman" w:hAnsi="Times New Roman" w:cs="Times New Roman"/>
          <w:sz w:val="28"/>
          <w:szCs w:val="28"/>
        </w:rPr>
        <w:footnoteReference w:id="17"/>
      </w:r>
      <w:r w:rsidR="00330A45" w:rsidRPr="00425C9A">
        <w:rPr>
          <w:rFonts w:ascii="Times New Roman" w:hAnsi="Times New Roman" w:cs="Times New Roman"/>
          <w:sz w:val="28"/>
          <w:szCs w:val="28"/>
        </w:rPr>
        <w:t xml:space="preserve"> Hence, courts must assess the various arguments for and against the recognition of what may be perceived as a novel claim and in doing so the normative matrix of the Constitution and the Bill of Rights must be applied for the purposes of determining whether the claim may be recognised in law.</w:t>
      </w:r>
      <w:r w:rsidR="00330A45" w:rsidRPr="00425C9A">
        <w:rPr>
          <w:rStyle w:val="FootnoteReference"/>
          <w:rFonts w:ascii="Times New Roman" w:hAnsi="Times New Roman" w:cs="Times New Roman"/>
          <w:sz w:val="28"/>
          <w:szCs w:val="28"/>
        </w:rPr>
        <w:footnoteReference w:id="18"/>
      </w:r>
    </w:p>
    <w:p w14:paraId="68E14FFE" w14:textId="77777777" w:rsidR="00330A45" w:rsidRPr="00425C9A" w:rsidRDefault="00330A45" w:rsidP="00587C37">
      <w:pPr>
        <w:spacing w:after="0" w:line="360" w:lineRule="auto"/>
        <w:jc w:val="both"/>
        <w:rPr>
          <w:rFonts w:ascii="Times New Roman" w:hAnsi="Times New Roman" w:cs="Times New Roman"/>
          <w:sz w:val="28"/>
          <w:szCs w:val="28"/>
        </w:rPr>
      </w:pPr>
    </w:p>
    <w:p w14:paraId="26C6C281" w14:textId="469EBE7B" w:rsidR="00330A45" w:rsidRPr="00425C9A" w:rsidRDefault="00381E6C" w:rsidP="00587C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[17</w:t>
      </w:r>
      <w:r w:rsidR="00330A45" w:rsidRPr="00425C9A">
        <w:rPr>
          <w:rFonts w:ascii="Times New Roman" w:hAnsi="Times New Roman" w:cs="Times New Roman"/>
          <w:sz w:val="28"/>
          <w:szCs w:val="28"/>
        </w:rPr>
        <w:t>]</w:t>
      </w:r>
      <w:r w:rsidR="00330A45" w:rsidRPr="00425C9A">
        <w:rPr>
          <w:rFonts w:ascii="Times New Roman" w:hAnsi="Times New Roman" w:cs="Times New Roman"/>
          <w:sz w:val="28"/>
          <w:szCs w:val="28"/>
        </w:rPr>
        <w:tab/>
        <w:t xml:space="preserve">Indeed, as accepted in </w:t>
      </w:r>
      <w:r w:rsidR="00330A45" w:rsidRPr="00425C9A">
        <w:rPr>
          <w:rFonts w:ascii="Times New Roman" w:hAnsi="Times New Roman" w:cs="Times New Roman"/>
          <w:i/>
          <w:sz w:val="28"/>
          <w:szCs w:val="28"/>
        </w:rPr>
        <w:t>H v Fetal Assessment Centre</w:t>
      </w:r>
      <w:r w:rsidR="00330A45" w:rsidRPr="00425C9A">
        <w:rPr>
          <w:rFonts w:ascii="Times New Roman" w:hAnsi="Times New Roman" w:cs="Times New Roman"/>
          <w:sz w:val="28"/>
          <w:szCs w:val="28"/>
        </w:rPr>
        <w:t>:</w:t>
      </w:r>
    </w:p>
    <w:p w14:paraId="322092AD" w14:textId="77777777" w:rsidR="00330A45" w:rsidRPr="00425C9A" w:rsidRDefault="00330A45" w:rsidP="00587C37">
      <w:pPr>
        <w:spacing w:after="0" w:line="360" w:lineRule="auto"/>
        <w:jc w:val="both"/>
        <w:rPr>
          <w:rFonts w:ascii="Times New Roman" w:hAnsi="Times New Roman" w:cs="Times New Roman"/>
          <w:sz w:val="24"/>
          <w:szCs w:val="24"/>
        </w:rPr>
      </w:pPr>
      <w:r w:rsidRPr="00425C9A">
        <w:rPr>
          <w:rFonts w:ascii="Times New Roman" w:hAnsi="Times New Roman" w:cs="Times New Roman"/>
          <w:sz w:val="24"/>
          <w:szCs w:val="24"/>
        </w:rPr>
        <w:t>‘Even if the conclusion is reached that the limits of our law of delict will be stretched beyond recognition for harm of this kind to be recognised within its niche, our Constitution gives our courts the liberty to develop motivated exceptions to common law rules or even recognise new remedies for infringement of rights.’</w:t>
      </w:r>
      <w:r w:rsidRPr="00425C9A">
        <w:rPr>
          <w:rStyle w:val="FootnoteReference"/>
          <w:rFonts w:ascii="Times New Roman" w:hAnsi="Times New Roman" w:cs="Times New Roman"/>
          <w:sz w:val="24"/>
          <w:szCs w:val="24"/>
        </w:rPr>
        <w:footnoteReference w:id="19"/>
      </w:r>
    </w:p>
    <w:p w14:paraId="26A7B916" w14:textId="3405B139" w:rsidR="00330A45" w:rsidRPr="00425C9A" w:rsidRDefault="00330A45" w:rsidP="00587C37">
      <w:pPr>
        <w:spacing w:after="0" w:line="360" w:lineRule="auto"/>
        <w:jc w:val="both"/>
        <w:rPr>
          <w:rFonts w:ascii="Times New Roman" w:hAnsi="Times New Roman" w:cs="Times New Roman"/>
          <w:sz w:val="28"/>
          <w:szCs w:val="28"/>
        </w:rPr>
      </w:pPr>
      <w:r w:rsidRPr="00425C9A">
        <w:rPr>
          <w:rFonts w:ascii="Times New Roman" w:hAnsi="Times New Roman" w:cs="Times New Roman"/>
          <w:sz w:val="28"/>
          <w:szCs w:val="28"/>
        </w:rPr>
        <w:t>On this basis</w:t>
      </w:r>
      <w:r w:rsidR="00E53A01" w:rsidRPr="00425C9A">
        <w:rPr>
          <w:rFonts w:ascii="Times New Roman" w:hAnsi="Times New Roman" w:cs="Times New Roman"/>
          <w:sz w:val="28"/>
          <w:szCs w:val="28"/>
        </w:rPr>
        <w:t>,</w:t>
      </w:r>
      <w:r w:rsidRPr="00425C9A">
        <w:rPr>
          <w:rFonts w:ascii="Times New Roman" w:hAnsi="Times New Roman" w:cs="Times New Roman"/>
          <w:sz w:val="28"/>
          <w:szCs w:val="28"/>
        </w:rPr>
        <w:t xml:space="preserve"> the Constitutional Court held that the novel claim under consideration in that case ‘is not necessarily inconceivable under our law’.</w:t>
      </w:r>
      <w:r w:rsidRPr="00425C9A">
        <w:rPr>
          <w:rStyle w:val="FootnoteReference"/>
          <w:rFonts w:ascii="Times New Roman" w:hAnsi="Times New Roman" w:cs="Times New Roman"/>
          <w:sz w:val="28"/>
          <w:szCs w:val="28"/>
        </w:rPr>
        <w:footnoteReference w:id="20"/>
      </w:r>
    </w:p>
    <w:p w14:paraId="0B744A5A" w14:textId="77777777" w:rsidR="00330A45" w:rsidRPr="00425C9A" w:rsidRDefault="00330A45" w:rsidP="00587C37">
      <w:pPr>
        <w:spacing w:after="0" w:line="360" w:lineRule="auto"/>
        <w:jc w:val="both"/>
        <w:rPr>
          <w:rFonts w:ascii="Times New Roman" w:hAnsi="Times New Roman" w:cs="Times New Roman"/>
          <w:sz w:val="28"/>
          <w:szCs w:val="28"/>
        </w:rPr>
      </w:pPr>
    </w:p>
    <w:p w14:paraId="07550B82" w14:textId="00D83737" w:rsidR="00330A45" w:rsidRPr="00425C9A" w:rsidRDefault="00381E6C" w:rsidP="00587C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[18</w:t>
      </w:r>
      <w:r w:rsidR="00330A45" w:rsidRPr="00425C9A">
        <w:rPr>
          <w:rFonts w:ascii="Times New Roman" w:hAnsi="Times New Roman" w:cs="Times New Roman"/>
          <w:sz w:val="28"/>
          <w:szCs w:val="28"/>
        </w:rPr>
        <w:t>]</w:t>
      </w:r>
      <w:r w:rsidR="00330A45" w:rsidRPr="00425C9A">
        <w:rPr>
          <w:rFonts w:ascii="Times New Roman" w:hAnsi="Times New Roman" w:cs="Times New Roman"/>
          <w:sz w:val="28"/>
          <w:szCs w:val="28"/>
        </w:rPr>
        <w:tab/>
        <w:t>In</w:t>
      </w:r>
      <w:r w:rsidR="00330A45" w:rsidRPr="00425C9A">
        <w:rPr>
          <w:rFonts w:ascii="Times New Roman" w:hAnsi="Times New Roman" w:cs="Times New Roman"/>
          <w:i/>
          <w:sz w:val="28"/>
          <w:szCs w:val="28"/>
        </w:rPr>
        <w:t xml:space="preserve"> Pretorius and Another v Transport Pension Fund and Another,</w:t>
      </w:r>
      <w:r w:rsidR="00330A45" w:rsidRPr="00425C9A">
        <w:rPr>
          <w:rStyle w:val="FootnoteReference"/>
          <w:rFonts w:ascii="Times New Roman" w:hAnsi="Times New Roman" w:cs="Times New Roman"/>
          <w:sz w:val="28"/>
          <w:szCs w:val="28"/>
        </w:rPr>
        <w:footnoteReference w:id="21"/>
      </w:r>
      <w:r w:rsidR="00330A45" w:rsidRPr="00425C9A">
        <w:rPr>
          <w:rFonts w:ascii="Times New Roman" w:hAnsi="Times New Roman" w:cs="Times New Roman"/>
          <w:sz w:val="28"/>
          <w:szCs w:val="28"/>
        </w:rPr>
        <w:t xml:space="preserve"> the Constitutional Court reiterated that exception proceedings are inappropriate to decide the complex factual and legal issues raised by the objections advanced there. As was the case with </w:t>
      </w:r>
      <w:r w:rsidR="00330A45" w:rsidRPr="00425C9A">
        <w:rPr>
          <w:rFonts w:ascii="Times New Roman" w:hAnsi="Times New Roman" w:cs="Times New Roman"/>
          <w:i/>
          <w:sz w:val="28"/>
          <w:szCs w:val="28"/>
        </w:rPr>
        <w:t xml:space="preserve">H v Fetal </w:t>
      </w:r>
      <w:r w:rsidR="003D4919" w:rsidRPr="00425C9A">
        <w:rPr>
          <w:rFonts w:ascii="Times New Roman" w:hAnsi="Times New Roman" w:cs="Times New Roman"/>
          <w:i/>
          <w:sz w:val="28"/>
          <w:szCs w:val="28"/>
        </w:rPr>
        <w:t>Assessment</w:t>
      </w:r>
      <w:r w:rsidR="00330A45" w:rsidRPr="00425C9A">
        <w:rPr>
          <w:rFonts w:ascii="Times New Roman" w:hAnsi="Times New Roman" w:cs="Times New Roman"/>
          <w:i/>
          <w:sz w:val="28"/>
          <w:szCs w:val="28"/>
        </w:rPr>
        <w:t xml:space="preserve"> Centre</w:t>
      </w:r>
      <w:r w:rsidR="00330A45" w:rsidRPr="00425C9A">
        <w:rPr>
          <w:rFonts w:ascii="Times New Roman" w:hAnsi="Times New Roman" w:cs="Times New Roman"/>
          <w:sz w:val="28"/>
          <w:szCs w:val="28"/>
        </w:rPr>
        <w:t xml:space="preserve">, the </w:t>
      </w:r>
      <w:r w:rsidR="00330A45" w:rsidRPr="00425C9A">
        <w:rPr>
          <w:rFonts w:ascii="Times New Roman" w:hAnsi="Times New Roman" w:cs="Times New Roman"/>
          <w:i/>
          <w:sz w:val="28"/>
          <w:szCs w:val="28"/>
        </w:rPr>
        <w:t xml:space="preserve">Pretorius </w:t>
      </w:r>
      <w:r w:rsidR="00330A45" w:rsidRPr="00425C9A">
        <w:rPr>
          <w:rFonts w:ascii="Times New Roman" w:hAnsi="Times New Roman" w:cs="Times New Roman"/>
          <w:sz w:val="28"/>
          <w:szCs w:val="28"/>
        </w:rPr>
        <w:t>matter involved a ‘factual situation [that] is complex an</w:t>
      </w:r>
      <w:r w:rsidR="003D1CE9" w:rsidRPr="00425C9A">
        <w:rPr>
          <w:rFonts w:ascii="Times New Roman" w:hAnsi="Times New Roman" w:cs="Times New Roman"/>
          <w:sz w:val="28"/>
          <w:szCs w:val="28"/>
        </w:rPr>
        <w:t>d the legal position uncertain’</w:t>
      </w:r>
      <w:r w:rsidR="00330A45" w:rsidRPr="00425C9A">
        <w:rPr>
          <w:rFonts w:ascii="Times New Roman" w:hAnsi="Times New Roman" w:cs="Times New Roman"/>
          <w:sz w:val="28"/>
          <w:szCs w:val="28"/>
        </w:rPr>
        <w:t>.</w:t>
      </w:r>
      <w:r w:rsidR="008657C2" w:rsidRPr="00425C9A">
        <w:rPr>
          <w:rStyle w:val="FootnoteReference"/>
          <w:rFonts w:ascii="Times New Roman" w:hAnsi="Times New Roman" w:cs="Times New Roman"/>
          <w:sz w:val="28"/>
          <w:szCs w:val="28"/>
        </w:rPr>
        <w:footnoteReference w:id="22"/>
      </w:r>
      <w:r w:rsidR="00330A45" w:rsidRPr="00425C9A">
        <w:rPr>
          <w:rFonts w:ascii="Times New Roman" w:hAnsi="Times New Roman" w:cs="Times New Roman"/>
          <w:sz w:val="28"/>
          <w:szCs w:val="28"/>
        </w:rPr>
        <w:t xml:space="preserve"> </w:t>
      </w:r>
      <w:r w:rsidR="00330A45" w:rsidRPr="00425C9A">
        <w:rPr>
          <w:rFonts w:ascii="Times New Roman" w:hAnsi="Times New Roman" w:cs="Times New Roman"/>
          <w:i/>
          <w:sz w:val="28"/>
          <w:szCs w:val="28"/>
        </w:rPr>
        <w:t>Pretorius</w:t>
      </w:r>
      <w:r w:rsidR="00330A45" w:rsidRPr="00425C9A">
        <w:rPr>
          <w:rFonts w:ascii="Times New Roman" w:hAnsi="Times New Roman" w:cs="Times New Roman"/>
          <w:sz w:val="28"/>
          <w:szCs w:val="28"/>
        </w:rPr>
        <w:t xml:space="preserve"> held that ‘to decide the possible unconscionableness of state conduct, it will be better to get the full story thrashed out at a trial’</w:t>
      </w:r>
      <w:r>
        <w:rPr>
          <w:rFonts w:ascii="Times New Roman" w:hAnsi="Times New Roman" w:cs="Times New Roman"/>
          <w:sz w:val="28"/>
          <w:szCs w:val="28"/>
        </w:rPr>
        <w:t>,</w:t>
      </w:r>
      <w:r w:rsidR="00330A45" w:rsidRPr="00425C9A">
        <w:rPr>
          <w:rStyle w:val="FootnoteReference"/>
          <w:rFonts w:ascii="Times New Roman" w:hAnsi="Times New Roman" w:cs="Times New Roman"/>
          <w:sz w:val="28"/>
          <w:szCs w:val="28"/>
        </w:rPr>
        <w:footnoteReference w:id="23"/>
      </w:r>
      <w:r w:rsidR="00330A45" w:rsidRPr="00425C9A">
        <w:rPr>
          <w:rFonts w:ascii="Times New Roman" w:hAnsi="Times New Roman" w:cs="Times New Roman"/>
          <w:sz w:val="28"/>
          <w:szCs w:val="28"/>
        </w:rPr>
        <w:t xml:space="preserve"> and </w:t>
      </w:r>
      <w:r w:rsidR="00330A45" w:rsidRPr="00425C9A">
        <w:rPr>
          <w:rFonts w:ascii="Times New Roman" w:hAnsi="Times New Roman" w:cs="Times New Roman"/>
          <w:sz w:val="28"/>
          <w:szCs w:val="28"/>
          <w:shd w:val="clear" w:color="auto" w:fill="FFFFFF"/>
        </w:rPr>
        <w:t xml:space="preserve">there is more </w:t>
      </w:r>
      <w:r w:rsidR="00330A45" w:rsidRPr="00425C9A">
        <w:rPr>
          <w:rFonts w:ascii="Times New Roman" w:hAnsi="Times New Roman" w:cs="Times New Roman"/>
          <w:sz w:val="28"/>
          <w:szCs w:val="28"/>
          <w:shd w:val="clear" w:color="auto" w:fill="FFFFFF"/>
        </w:rPr>
        <w:lastRenderedPageBreak/>
        <w:t>than enough legal uncertainty to send the claim to trial.</w:t>
      </w:r>
      <w:r w:rsidR="00330A45" w:rsidRPr="00425C9A">
        <w:rPr>
          <w:rStyle w:val="FootnoteReference"/>
          <w:rFonts w:ascii="Times New Roman" w:hAnsi="Times New Roman" w:cs="Times New Roman"/>
          <w:sz w:val="28"/>
          <w:szCs w:val="28"/>
          <w:shd w:val="clear" w:color="auto" w:fill="FFFFFF"/>
        </w:rPr>
        <w:footnoteReference w:id="24"/>
      </w:r>
      <w:r w:rsidR="00330A45" w:rsidRPr="00425C9A">
        <w:rPr>
          <w:rFonts w:ascii="Times New Roman" w:hAnsi="Times New Roman" w:cs="Times New Roman"/>
          <w:i/>
          <w:sz w:val="28"/>
          <w:szCs w:val="28"/>
        </w:rPr>
        <w:t xml:space="preserve"> </w:t>
      </w:r>
      <w:r w:rsidR="00330A45" w:rsidRPr="00425C9A">
        <w:rPr>
          <w:rFonts w:ascii="Times New Roman" w:hAnsi="Times New Roman" w:cs="Times New Roman"/>
          <w:sz w:val="28"/>
          <w:szCs w:val="28"/>
        </w:rPr>
        <w:t>The Constitutional Court accordingly concluded that the high court should have dismissed the exception.</w:t>
      </w:r>
    </w:p>
    <w:p w14:paraId="64A71F2A" w14:textId="77777777" w:rsidR="00330A45" w:rsidRPr="00425C9A" w:rsidRDefault="00330A45" w:rsidP="00587C37">
      <w:pPr>
        <w:spacing w:after="0" w:line="360" w:lineRule="auto"/>
        <w:jc w:val="both"/>
        <w:rPr>
          <w:rFonts w:ascii="Times New Roman" w:hAnsi="Times New Roman" w:cs="Times New Roman"/>
          <w:sz w:val="28"/>
          <w:szCs w:val="28"/>
        </w:rPr>
      </w:pPr>
    </w:p>
    <w:p w14:paraId="7A637D26" w14:textId="3F13AD84" w:rsidR="00330A45" w:rsidRPr="00425C9A" w:rsidRDefault="00381E6C" w:rsidP="00587C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[19</w:t>
      </w:r>
      <w:r w:rsidR="00330A45" w:rsidRPr="00425C9A">
        <w:rPr>
          <w:rFonts w:ascii="Times New Roman" w:hAnsi="Times New Roman" w:cs="Times New Roman"/>
          <w:sz w:val="28"/>
          <w:szCs w:val="28"/>
        </w:rPr>
        <w:t>]</w:t>
      </w:r>
      <w:r w:rsidR="00330A45" w:rsidRPr="00425C9A">
        <w:rPr>
          <w:rFonts w:ascii="Times New Roman" w:hAnsi="Times New Roman" w:cs="Times New Roman"/>
          <w:sz w:val="28"/>
          <w:szCs w:val="28"/>
        </w:rPr>
        <w:tab/>
      </w:r>
      <w:r w:rsidR="00330A45" w:rsidRPr="00425C9A">
        <w:rPr>
          <w:rFonts w:ascii="Times New Roman" w:hAnsi="Times New Roman" w:cs="Times New Roman"/>
          <w:i/>
          <w:sz w:val="28"/>
          <w:szCs w:val="28"/>
        </w:rPr>
        <w:t xml:space="preserve">H v Fetal Assessment Centre </w:t>
      </w:r>
      <w:r w:rsidR="00330A45" w:rsidRPr="00425C9A">
        <w:rPr>
          <w:rFonts w:ascii="Times New Roman" w:hAnsi="Times New Roman" w:cs="Times New Roman"/>
          <w:sz w:val="28"/>
          <w:szCs w:val="28"/>
        </w:rPr>
        <w:t xml:space="preserve">also </w:t>
      </w:r>
      <w:r w:rsidR="008422BB" w:rsidRPr="00425C9A">
        <w:rPr>
          <w:rFonts w:ascii="Times New Roman" w:hAnsi="Times New Roman" w:cs="Times New Roman"/>
          <w:sz w:val="28"/>
          <w:szCs w:val="28"/>
        </w:rPr>
        <w:t>confirmed the judgment of this C</w:t>
      </w:r>
      <w:r w:rsidR="00330A45" w:rsidRPr="00425C9A">
        <w:rPr>
          <w:rFonts w:ascii="Times New Roman" w:hAnsi="Times New Roman" w:cs="Times New Roman"/>
          <w:sz w:val="28"/>
          <w:szCs w:val="28"/>
        </w:rPr>
        <w:t>ourt in</w:t>
      </w:r>
      <w:r w:rsidR="00330A45" w:rsidRPr="00425C9A">
        <w:rPr>
          <w:rFonts w:ascii="Times New Roman" w:hAnsi="Times New Roman" w:cs="Times New Roman"/>
          <w:i/>
          <w:sz w:val="28"/>
          <w:szCs w:val="28"/>
        </w:rPr>
        <w:t xml:space="preserve"> Children’s Resource Centr</w:t>
      </w:r>
      <w:r w:rsidR="006B79FC" w:rsidRPr="00425C9A">
        <w:rPr>
          <w:rFonts w:ascii="Times New Roman" w:hAnsi="Times New Roman" w:cs="Times New Roman"/>
          <w:i/>
          <w:sz w:val="28"/>
          <w:szCs w:val="28"/>
        </w:rPr>
        <w:t>e Trust</w:t>
      </w:r>
      <w:r w:rsidR="00330A45" w:rsidRPr="00425C9A">
        <w:rPr>
          <w:rFonts w:ascii="Times New Roman" w:hAnsi="Times New Roman" w:cs="Times New Roman"/>
          <w:i/>
          <w:sz w:val="28"/>
          <w:szCs w:val="28"/>
        </w:rPr>
        <w:t xml:space="preserve"> </w:t>
      </w:r>
      <w:r w:rsidR="00330A45" w:rsidRPr="00425C9A">
        <w:rPr>
          <w:rFonts w:ascii="Times New Roman" w:hAnsi="Times New Roman" w:cs="Times New Roman"/>
          <w:sz w:val="28"/>
          <w:szCs w:val="28"/>
        </w:rPr>
        <w:t>that if a novel or unprecedented claim is ‘legally plausible’ then it ‘must be determined in the course of the action’.</w:t>
      </w:r>
      <w:r w:rsidR="00330A45" w:rsidRPr="00425C9A">
        <w:rPr>
          <w:rStyle w:val="FootnoteReference"/>
          <w:rFonts w:ascii="Times New Roman" w:hAnsi="Times New Roman" w:cs="Times New Roman"/>
          <w:sz w:val="28"/>
          <w:szCs w:val="28"/>
        </w:rPr>
        <w:footnoteReference w:id="25"/>
      </w:r>
      <w:r w:rsidR="00330A45" w:rsidRPr="00425C9A">
        <w:rPr>
          <w:rFonts w:ascii="Times New Roman" w:hAnsi="Times New Roman" w:cs="Times New Roman"/>
          <w:sz w:val="28"/>
          <w:szCs w:val="28"/>
        </w:rPr>
        <w:t xml:space="preserve"> </w:t>
      </w:r>
      <w:r w:rsidR="00330A45" w:rsidRPr="00425C9A">
        <w:rPr>
          <w:rFonts w:ascii="Times New Roman" w:hAnsi="Times New Roman" w:cs="Times New Roman"/>
          <w:i/>
          <w:sz w:val="28"/>
          <w:szCs w:val="28"/>
        </w:rPr>
        <w:t xml:space="preserve">Children’s Resource Centre Trust </w:t>
      </w:r>
      <w:r w:rsidR="00330A45" w:rsidRPr="00425C9A">
        <w:rPr>
          <w:rFonts w:ascii="Times New Roman" w:hAnsi="Times New Roman" w:cs="Times New Roman"/>
          <w:sz w:val="28"/>
          <w:szCs w:val="28"/>
        </w:rPr>
        <w:t>was concerned with a delictual claim based on a novel legal duty not to act negligently. As was explained ‘the existence of such a duty depend</w:t>
      </w:r>
      <w:r w:rsidR="00771868" w:rsidRPr="00425C9A">
        <w:rPr>
          <w:rFonts w:ascii="Times New Roman" w:hAnsi="Times New Roman" w:cs="Times New Roman"/>
          <w:sz w:val="28"/>
          <w:szCs w:val="28"/>
        </w:rPr>
        <w:t>s</w:t>
      </w:r>
      <w:r w:rsidR="00330A45" w:rsidRPr="00425C9A">
        <w:rPr>
          <w:rFonts w:ascii="Times New Roman" w:hAnsi="Times New Roman" w:cs="Times New Roman"/>
          <w:sz w:val="28"/>
          <w:szCs w:val="28"/>
        </w:rPr>
        <w:t xml:space="preserve"> on the facts of the case and a range of policy issues’, which required the Court to be ‘fully informed in regard to the policy elements’ and therefore ‘the enquiry militate</w:t>
      </w:r>
      <w:r w:rsidR="001E3E47" w:rsidRPr="00425C9A">
        <w:rPr>
          <w:rFonts w:ascii="Times New Roman" w:hAnsi="Times New Roman" w:cs="Times New Roman"/>
          <w:sz w:val="28"/>
          <w:szCs w:val="28"/>
        </w:rPr>
        <w:t>s</w:t>
      </w:r>
      <w:r w:rsidR="00330A45" w:rsidRPr="00425C9A">
        <w:rPr>
          <w:rFonts w:ascii="Times New Roman" w:hAnsi="Times New Roman" w:cs="Times New Roman"/>
          <w:sz w:val="28"/>
          <w:szCs w:val="28"/>
        </w:rPr>
        <w:t xml:space="preserve"> against that decision being taken without evidence’. Th</w:t>
      </w:r>
      <w:r w:rsidR="001A76A0" w:rsidRPr="00425C9A">
        <w:rPr>
          <w:rFonts w:ascii="Times New Roman" w:hAnsi="Times New Roman" w:cs="Times New Roman"/>
          <w:sz w:val="28"/>
          <w:szCs w:val="28"/>
        </w:rPr>
        <w:t xml:space="preserve">is, so it was held, renders it </w:t>
      </w:r>
      <w:r w:rsidR="00330A45" w:rsidRPr="00425C9A">
        <w:rPr>
          <w:rFonts w:ascii="Times New Roman" w:hAnsi="Times New Roman" w:cs="Times New Roman"/>
          <w:sz w:val="28"/>
          <w:szCs w:val="28"/>
        </w:rPr>
        <w:t xml:space="preserve">impossible to arrive at a conclusion except upon a consideration of </w:t>
      </w:r>
      <w:r w:rsidR="00330A45" w:rsidRPr="00425C9A">
        <w:rPr>
          <w:rFonts w:ascii="Times New Roman" w:hAnsi="Times New Roman" w:cs="Times New Roman"/>
          <w:i/>
          <w:sz w:val="28"/>
          <w:szCs w:val="28"/>
        </w:rPr>
        <w:t xml:space="preserve">all </w:t>
      </w:r>
      <w:r w:rsidR="00330A45" w:rsidRPr="00425C9A">
        <w:rPr>
          <w:rFonts w:ascii="Times New Roman" w:hAnsi="Times New Roman" w:cs="Times New Roman"/>
          <w:sz w:val="28"/>
          <w:szCs w:val="28"/>
        </w:rPr>
        <w:t xml:space="preserve">the circumstances of the case and every other relevant </w:t>
      </w:r>
      <w:r w:rsidR="001A76A0" w:rsidRPr="00425C9A">
        <w:rPr>
          <w:rFonts w:ascii="Times New Roman" w:hAnsi="Times New Roman" w:cs="Times New Roman"/>
          <w:sz w:val="28"/>
          <w:szCs w:val="28"/>
        </w:rPr>
        <w:t>factor.</w:t>
      </w:r>
      <w:r w:rsidR="00330A45" w:rsidRPr="00425C9A">
        <w:rPr>
          <w:rStyle w:val="FootnoteReference"/>
          <w:rFonts w:ascii="Times New Roman" w:hAnsi="Times New Roman" w:cs="Times New Roman"/>
          <w:sz w:val="28"/>
          <w:szCs w:val="28"/>
        </w:rPr>
        <w:footnoteReference w:id="26"/>
      </w:r>
    </w:p>
    <w:p w14:paraId="55C5146A" w14:textId="77777777" w:rsidR="00FF669F" w:rsidRPr="00425C9A" w:rsidRDefault="00FF669F" w:rsidP="00587C37">
      <w:pPr>
        <w:spacing w:after="0" w:line="360" w:lineRule="auto"/>
        <w:jc w:val="both"/>
        <w:rPr>
          <w:rFonts w:ascii="Times New Roman" w:hAnsi="Times New Roman" w:cs="Times New Roman"/>
          <w:sz w:val="28"/>
          <w:szCs w:val="28"/>
        </w:rPr>
      </w:pPr>
    </w:p>
    <w:p w14:paraId="04ACF8DC" w14:textId="5C55C378" w:rsidR="00330A45" w:rsidRPr="00425C9A" w:rsidRDefault="00381E6C" w:rsidP="00587C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[20</w:t>
      </w:r>
      <w:r w:rsidR="00330A45" w:rsidRPr="00425C9A">
        <w:rPr>
          <w:rFonts w:ascii="Times New Roman" w:hAnsi="Times New Roman" w:cs="Times New Roman"/>
          <w:sz w:val="28"/>
          <w:szCs w:val="28"/>
        </w:rPr>
        <w:t>]</w:t>
      </w:r>
      <w:r w:rsidR="00330A45" w:rsidRPr="00425C9A">
        <w:rPr>
          <w:rFonts w:ascii="Times New Roman" w:hAnsi="Times New Roman" w:cs="Times New Roman"/>
          <w:sz w:val="28"/>
          <w:szCs w:val="28"/>
        </w:rPr>
        <w:tab/>
        <w:t xml:space="preserve">Accordingly, a court must be satisfied that a novel claim is necessarily inconceivable under our law as potentially developed under s 39(2) of the Constitution before it can uphold an exception premised on the alleged non-disclosure of a cause of action. Citing </w:t>
      </w:r>
      <w:r w:rsidR="00330A45" w:rsidRPr="00425C9A">
        <w:rPr>
          <w:rFonts w:ascii="Times New Roman" w:hAnsi="Times New Roman" w:cs="Times New Roman"/>
          <w:i/>
          <w:sz w:val="28"/>
          <w:szCs w:val="28"/>
        </w:rPr>
        <w:t>H v Fetal Assessment Centre</w:t>
      </w:r>
      <w:r w:rsidR="00330A45" w:rsidRPr="00425C9A">
        <w:rPr>
          <w:rFonts w:ascii="Times New Roman" w:hAnsi="Times New Roman" w:cs="Times New Roman"/>
          <w:sz w:val="28"/>
          <w:szCs w:val="28"/>
        </w:rPr>
        <w:t xml:space="preserve">, the Constitutional Court held in </w:t>
      </w:r>
      <w:r w:rsidR="00330A45" w:rsidRPr="00425C9A">
        <w:rPr>
          <w:rFonts w:ascii="Times New Roman" w:hAnsi="Times New Roman" w:cs="Times New Roman"/>
          <w:i/>
          <w:sz w:val="28"/>
          <w:szCs w:val="28"/>
        </w:rPr>
        <w:t xml:space="preserve">Pretorius </w:t>
      </w:r>
      <w:r w:rsidR="00330A45" w:rsidRPr="00425C9A">
        <w:rPr>
          <w:rFonts w:ascii="Times New Roman" w:hAnsi="Times New Roman" w:cs="Times New Roman"/>
          <w:sz w:val="28"/>
          <w:szCs w:val="28"/>
        </w:rPr>
        <w:t>that the</w:t>
      </w:r>
      <w:r w:rsidR="00330A45" w:rsidRPr="00425C9A">
        <w:rPr>
          <w:rFonts w:ascii="Times New Roman" w:hAnsi="Times New Roman" w:cs="Times New Roman"/>
          <w:i/>
          <w:sz w:val="28"/>
          <w:szCs w:val="28"/>
        </w:rPr>
        <w:t xml:space="preserve"> </w:t>
      </w:r>
      <w:r w:rsidR="00330A45" w:rsidRPr="00425C9A">
        <w:rPr>
          <w:rFonts w:ascii="Times New Roman" w:hAnsi="Times New Roman" w:cs="Times New Roman"/>
          <w:sz w:val="28"/>
          <w:szCs w:val="28"/>
        </w:rPr>
        <w:t>dismissal of an exception does not deprive the respondents of the opportunity of raising the same defences as substantive defences in their respective pleas and for their merits to be determined after the leading of evidence at the trial, which is probably, in any event, a better way to determine the potentially complex factual and legal issues involved.</w:t>
      </w:r>
      <w:r w:rsidR="00330A45" w:rsidRPr="00425C9A">
        <w:rPr>
          <w:rStyle w:val="FootnoteReference"/>
          <w:rFonts w:ascii="Times New Roman" w:hAnsi="Times New Roman" w:cs="Times New Roman"/>
          <w:sz w:val="28"/>
          <w:szCs w:val="28"/>
        </w:rPr>
        <w:footnoteReference w:id="27"/>
      </w:r>
      <w:r w:rsidR="00330A45" w:rsidRPr="00425C9A">
        <w:rPr>
          <w:rFonts w:ascii="Times New Roman" w:hAnsi="Times New Roman" w:cs="Times New Roman"/>
          <w:sz w:val="28"/>
          <w:szCs w:val="28"/>
        </w:rPr>
        <w:t xml:space="preserve"> This </w:t>
      </w:r>
      <w:r w:rsidR="00330A45" w:rsidRPr="00425C9A">
        <w:rPr>
          <w:rFonts w:ascii="Times New Roman" w:hAnsi="Times New Roman" w:cs="Times New Roman"/>
          <w:sz w:val="28"/>
          <w:szCs w:val="28"/>
        </w:rPr>
        <w:lastRenderedPageBreak/>
        <w:t>case indeed involves, as was expressly conceded</w:t>
      </w:r>
      <w:r w:rsidR="00FF669F" w:rsidRPr="00425C9A">
        <w:rPr>
          <w:rFonts w:ascii="Times New Roman" w:hAnsi="Times New Roman" w:cs="Times New Roman"/>
          <w:sz w:val="28"/>
          <w:szCs w:val="28"/>
        </w:rPr>
        <w:t xml:space="preserve"> on behalf of</w:t>
      </w:r>
      <w:r w:rsidR="00330A45" w:rsidRPr="00425C9A">
        <w:rPr>
          <w:rFonts w:ascii="Times New Roman" w:hAnsi="Times New Roman" w:cs="Times New Roman"/>
          <w:sz w:val="28"/>
          <w:szCs w:val="28"/>
        </w:rPr>
        <w:t xml:space="preserve"> the respondents, ‘an unpreceden</w:t>
      </w:r>
      <w:r w:rsidR="001E3E47" w:rsidRPr="00425C9A">
        <w:rPr>
          <w:rFonts w:ascii="Times New Roman" w:hAnsi="Times New Roman" w:cs="Times New Roman"/>
          <w:sz w:val="28"/>
          <w:szCs w:val="28"/>
        </w:rPr>
        <w:t>ted and novel delictual</w:t>
      </w:r>
      <w:r w:rsidR="00016B4A" w:rsidRPr="00425C9A">
        <w:rPr>
          <w:rFonts w:ascii="Times New Roman" w:hAnsi="Times New Roman" w:cs="Times New Roman"/>
          <w:sz w:val="28"/>
          <w:szCs w:val="28"/>
        </w:rPr>
        <w:t xml:space="preserve"> claim’.</w:t>
      </w:r>
    </w:p>
    <w:p w14:paraId="7AD3B4EF" w14:textId="77777777" w:rsidR="00330A45" w:rsidRPr="00425C9A" w:rsidRDefault="00330A45" w:rsidP="00587C37">
      <w:pPr>
        <w:spacing w:after="0" w:line="360" w:lineRule="auto"/>
        <w:jc w:val="both"/>
        <w:rPr>
          <w:rFonts w:ascii="Times New Roman" w:hAnsi="Times New Roman" w:cs="Times New Roman"/>
          <w:sz w:val="28"/>
          <w:szCs w:val="28"/>
        </w:rPr>
      </w:pPr>
    </w:p>
    <w:p w14:paraId="26D12AB0" w14:textId="2374529A" w:rsidR="00252142" w:rsidRPr="00425C9A" w:rsidRDefault="00381E6C" w:rsidP="00587C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[21</w:t>
      </w:r>
      <w:r w:rsidR="00C050EB" w:rsidRPr="00425C9A">
        <w:rPr>
          <w:rFonts w:ascii="Times New Roman" w:hAnsi="Times New Roman" w:cs="Times New Roman"/>
          <w:sz w:val="28"/>
          <w:szCs w:val="28"/>
        </w:rPr>
        <w:t>]</w:t>
      </w:r>
      <w:r w:rsidR="00C050EB" w:rsidRPr="00425C9A">
        <w:rPr>
          <w:rFonts w:ascii="Times New Roman" w:hAnsi="Times New Roman" w:cs="Times New Roman"/>
          <w:sz w:val="28"/>
          <w:szCs w:val="28"/>
        </w:rPr>
        <w:tab/>
        <w:t>The high c</w:t>
      </w:r>
      <w:r w:rsidR="00FF669F" w:rsidRPr="00425C9A">
        <w:rPr>
          <w:rFonts w:ascii="Times New Roman" w:hAnsi="Times New Roman" w:cs="Times New Roman"/>
          <w:sz w:val="28"/>
          <w:szCs w:val="28"/>
        </w:rPr>
        <w:t xml:space="preserve">ourt appears to have construed a </w:t>
      </w:r>
      <w:r w:rsidR="00FF669F" w:rsidRPr="00425C9A">
        <w:rPr>
          <w:rFonts w:ascii="Times New Roman" w:hAnsi="Times New Roman" w:cs="Times New Roman"/>
          <w:i/>
          <w:sz w:val="28"/>
          <w:szCs w:val="28"/>
        </w:rPr>
        <w:t>single</w:t>
      </w:r>
      <w:r w:rsidR="00FF669F" w:rsidRPr="00425C9A">
        <w:rPr>
          <w:rFonts w:ascii="Times New Roman" w:hAnsi="Times New Roman" w:cs="Times New Roman"/>
          <w:sz w:val="28"/>
          <w:szCs w:val="28"/>
        </w:rPr>
        <w:t xml:space="preserve"> exce</w:t>
      </w:r>
      <w:r w:rsidR="005511E5" w:rsidRPr="00425C9A">
        <w:rPr>
          <w:rFonts w:ascii="Times New Roman" w:hAnsi="Times New Roman" w:cs="Times New Roman"/>
          <w:sz w:val="28"/>
          <w:szCs w:val="28"/>
        </w:rPr>
        <w:t>ption</w:t>
      </w:r>
      <w:r w:rsidR="00676C2D" w:rsidRPr="00425C9A">
        <w:rPr>
          <w:rFonts w:ascii="Times New Roman" w:hAnsi="Times New Roman" w:cs="Times New Roman"/>
          <w:sz w:val="28"/>
          <w:szCs w:val="28"/>
        </w:rPr>
        <w:t>,</w:t>
      </w:r>
      <w:r w:rsidR="005511E5" w:rsidRPr="00425C9A">
        <w:rPr>
          <w:rFonts w:ascii="Times New Roman" w:hAnsi="Times New Roman" w:cs="Times New Roman"/>
          <w:sz w:val="28"/>
          <w:szCs w:val="28"/>
        </w:rPr>
        <w:t xml:space="preserve"> explicitly premised on an</w:t>
      </w:r>
      <w:r w:rsidR="00FF669F" w:rsidRPr="00425C9A">
        <w:rPr>
          <w:rFonts w:ascii="Times New Roman" w:hAnsi="Times New Roman" w:cs="Times New Roman"/>
          <w:sz w:val="28"/>
          <w:szCs w:val="28"/>
        </w:rPr>
        <w:t xml:space="preserve"> alleged failure to ple</w:t>
      </w:r>
      <w:r w:rsidR="005511E5" w:rsidRPr="00425C9A">
        <w:rPr>
          <w:rFonts w:ascii="Times New Roman" w:hAnsi="Times New Roman" w:cs="Times New Roman"/>
          <w:sz w:val="28"/>
          <w:szCs w:val="28"/>
        </w:rPr>
        <w:t>ad that the defendants are the ‘cause’</w:t>
      </w:r>
      <w:r w:rsidR="00FF669F" w:rsidRPr="00425C9A">
        <w:rPr>
          <w:rFonts w:ascii="Times New Roman" w:hAnsi="Times New Roman" w:cs="Times New Roman"/>
          <w:sz w:val="28"/>
          <w:szCs w:val="28"/>
        </w:rPr>
        <w:t xml:space="preserve"> of the plai</w:t>
      </w:r>
      <w:r w:rsidR="005511E5" w:rsidRPr="00425C9A">
        <w:rPr>
          <w:rFonts w:ascii="Times New Roman" w:hAnsi="Times New Roman" w:cs="Times New Roman"/>
          <w:sz w:val="28"/>
          <w:szCs w:val="28"/>
        </w:rPr>
        <w:t>ntiff</w:t>
      </w:r>
      <w:r w:rsidR="007C1314" w:rsidRPr="00425C9A">
        <w:rPr>
          <w:rFonts w:ascii="Times New Roman" w:hAnsi="Times New Roman" w:cs="Times New Roman"/>
          <w:sz w:val="28"/>
          <w:szCs w:val="28"/>
        </w:rPr>
        <w:t>s</w:t>
      </w:r>
      <w:r w:rsidR="005511E5" w:rsidRPr="00425C9A">
        <w:rPr>
          <w:rFonts w:ascii="Times New Roman" w:hAnsi="Times New Roman" w:cs="Times New Roman"/>
          <w:sz w:val="28"/>
          <w:szCs w:val="28"/>
        </w:rPr>
        <w:t>’ losses</w:t>
      </w:r>
      <w:r w:rsidR="00676C2D" w:rsidRPr="00425C9A">
        <w:rPr>
          <w:rFonts w:ascii="Times New Roman" w:hAnsi="Times New Roman" w:cs="Times New Roman"/>
          <w:sz w:val="28"/>
          <w:szCs w:val="28"/>
        </w:rPr>
        <w:t>,</w:t>
      </w:r>
      <w:r w:rsidR="005511E5" w:rsidRPr="00425C9A">
        <w:rPr>
          <w:rFonts w:ascii="Times New Roman" w:hAnsi="Times New Roman" w:cs="Times New Roman"/>
          <w:sz w:val="28"/>
          <w:szCs w:val="28"/>
        </w:rPr>
        <w:t xml:space="preserve"> as forming </w:t>
      </w:r>
      <w:r w:rsidR="005511E5" w:rsidRPr="00425C9A">
        <w:rPr>
          <w:rFonts w:ascii="Times New Roman" w:hAnsi="Times New Roman" w:cs="Times New Roman"/>
          <w:i/>
          <w:sz w:val="28"/>
          <w:szCs w:val="28"/>
        </w:rPr>
        <w:t>two</w:t>
      </w:r>
      <w:r w:rsidR="00FF669F" w:rsidRPr="00425C9A">
        <w:rPr>
          <w:rFonts w:ascii="Times New Roman" w:hAnsi="Times New Roman" w:cs="Times New Roman"/>
          <w:sz w:val="28"/>
          <w:szCs w:val="28"/>
        </w:rPr>
        <w:t xml:space="preserve"> separate exceptions. One s</w:t>
      </w:r>
      <w:r w:rsidR="005511E5" w:rsidRPr="00425C9A">
        <w:rPr>
          <w:rFonts w:ascii="Times New Roman" w:hAnsi="Times New Roman" w:cs="Times New Roman"/>
          <w:sz w:val="28"/>
          <w:szCs w:val="28"/>
        </w:rPr>
        <w:t>trand relates to what was explicitly described in the judgment as ‘factual causation’ and the other as ‘</w:t>
      </w:r>
      <w:r w:rsidR="00C050EB" w:rsidRPr="00425C9A">
        <w:rPr>
          <w:rFonts w:ascii="Times New Roman" w:hAnsi="Times New Roman" w:cs="Times New Roman"/>
          <w:sz w:val="28"/>
          <w:szCs w:val="28"/>
        </w:rPr>
        <w:t>legal causation’. In that, the high c</w:t>
      </w:r>
      <w:r w:rsidR="005511E5" w:rsidRPr="00425C9A">
        <w:rPr>
          <w:rFonts w:ascii="Times New Roman" w:hAnsi="Times New Roman" w:cs="Times New Roman"/>
          <w:sz w:val="28"/>
          <w:szCs w:val="28"/>
        </w:rPr>
        <w:t>ourt appeared to have confused the enquiry. A contention regarding the cause (as opposed to the ‘remoteness’</w:t>
      </w:r>
      <w:r w:rsidR="00FF669F" w:rsidRPr="00425C9A">
        <w:rPr>
          <w:rFonts w:ascii="Times New Roman" w:hAnsi="Times New Roman" w:cs="Times New Roman"/>
          <w:sz w:val="28"/>
          <w:szCs w:val="28"/>
        </w:rPr>
        <w:t>) of loss relates to factual</w:t>
      </w:r>
      <w:r w:rsidR="005511E5" w:rsidRPr="00425C9A">
        <w:rPr>
          <w:rFonts w:ascii="Times New Roman" w:hAnsi="Times New Roman" w:cs="Times New Roman"/>
          <w:sz w:val="28"/>
          <w:szCs w:val="28"/>
        </w:rPr>
        <w:t xml:space="preserve"> -</w:t>
      </w:r>
      <w:r w:rsidR="00FF669F" w:rsidRPr="00425C9A">
        <w:rPr>
          <w:rFonts w:ascii="Times New Roman" w:hAnsi="Times New Roman" w:cs="Times New Roman"/>
          <w:sz w:val="28"/>
          <w:szCs w:val="28"/>
        </w:rPr>
        <w:t xml:space="preserve"> </w:t>
      </w:r>
      <w:r w:rsidR="005511E5" w:rsidRPr="00425C9A">
        <w:rPr>
          <w:rFonts w:ascii="Times New Roman" w:hAnsi="Times New Roman" w:cs="Times New Roman"/>
          <w:sz w:val="28"/>
          <w:szCs w:val="28"/>
        </w:rPr>
        <w:t>as opposed to legal - causation. The exception invoked only the</w:t>
      </w:r>
      <w:r w:rsidR="00FF669F" w:rsidRPr="00425C9A">
        <w:rPr>
          <w:rFonts w:ascii="Times New Roman" w:hAnsi="Times New Roman" w:cs="Times New Roman"/>
          <w:sz w:val="28"/>
          <w:szCs w:val="28"/>
        </w:rPr>
        <w:t xml:space="preserve"> form</w:t>
      </w:r>
      <w:r w:rsidR="005511E5" w:rsidRPr="00425C9A">
        <w:rPr>
          <w:rFonts w:ascii="Times New Roman" w:hAnsi="Times New Roman" w:cs="Times New Roman"/>
          <w:sz w:val="28"/>
          <w:szCs w:val="28"/>
        </w:rPr>
        <w:t>er</w:t>
      </w:r>
      <w:r w:rsidR="00FF669F" w:rsidRPr="00425C9A">
        <w:rPr>
          <w:rFonts w:ascii="Times New Roman" w:hAnsi="Times New Roman" w:cs="Times New Roman"/>
          <w:sz w:val="28"/>
          <w:szCs w:val="28"/>
        </w:rPr>
        <w:t xml:space="preserve">. It was accordingly not </w:t>
      </w:r>
      <w:r w:rsidR="00C050EB" w:rsidRPr="00425C9A">
        <w:rPr>
          <w:rFonts w:ascii="Times New Roman" w:hAnsi="Times New Roman" w:cs="Times New Roman"/>
          <w:sz w:val="28"/>
          <w:szCs w:val="28"/>
        </w:rPr>
        <w:t>open to the high c</w:t>
      </w:r>
      <w:r w:rsidR="005511E5" w:rsidRPr="00425C9A">
        <w:rPr>
          <w:rFonts w:ascii="Times New Roman" w:hAnsi="Times New Roman" w:cs="Times New Roman"/>
          <w:sz w:val="28"/>
          <w:szCs w:val="28"/>
        </w:rPr>
        <w:t xml:space="preserve">ourt to enter into the question of </w:t>
      </w:r>
      <w:r w:rsidR="00FF669F" w:rsidRPr="00425C9A">
        <w:rPr>
          <w:rFonts w:ascii="Times New Roman" w:hAnsi="Times New Roman" w:cs="Times New Roman"/>
          <w:sz w:val="28"/>
          <w:szCs w:val="28"/>
        </w:rPr>
        <w:t xml:space="preserve">legal causation. As this Court </w:t>
      </w:r>
      <w:r w:rsidR="005511E5" w:rsidRPr="00425C9A">
        <w:rPr>
          <w:rFonts w:ascii="Times New Roman" w:hAnsi="Times New Roman" w:cs="Times New Roman"/>
          <w:sz w:val="28"/>
          <w:szCs w:val="28"/>
        </w:rPr>
        <w:t>has confirmed, ‘</w:t>
      </w:r>
      <w:r w:rsidR="00FF669F" w:rsidRPr="00425C9A">
        <w:rPr>
          <w:rFonts w:ascii="Times New Roman" w:hAnsi="Times New Roman" w:cs="Times New Roman"/>
          <w:sz w:val="28"/>
          <w:szCs w:val="28"/>
        </w:rPr>
        <w:t>[a]n excipient is obliged to confine his complaint to the s</w:t>
      </w:r>
      <w:r w:rsidR="005511E5" w:rsidRPr="00425C9A">
        <w:rPr>
          <w:rFonts w:ascii="Times New Roman" w:hAnsi="Times New Roman" w:cs="Times New Roman"/>
          <w:sz w:val="28"/>
          <w:szCs w:val="28"/>
        </w:rPr>
        <w:t>tated grounds of his exception.’</w:t>
      </w:r>
      <w:r w:rsidR="005511E5" w:rsidRPr="00425C9A">
        <w:rPr>
          <w:rStyle w:val="FootnoteReference"/>
          <w:rFonts w:ascii="Times New Roman" w:hAnsi="Times New Roman" w:cs="Times New Roman"/>
          <w:sz w:val="28"/>
          <w:szCs w:val="28"/>
        </w:rPr>
        <w:footnoteReference w:id="28"/>
      </w:r>
    </w:p>
    <w:p w14:paraId="415F7123" w14:textId="77777777" w:rsidR="00DD2A9C" w:rsidRPr="00425C9A" w:rsidRDefault="00DD2A9C" w:rsidP="00587C37">
      <w:pPr>
        <w:spacing w:after="0" w:line="360" w:lineRule="auto"/>
        <w:jc w:val="both"/>
        <w:rPr>
          <w:rFonts w:ascii="Times New Roman" w:hAnsi="Times New Roman" w:cs="Times New Roman"/>
          <w:sz w:val="28"/>
          <w:szCs w:val="28"/>
        </w:rPr>
      </w:pPr>
    </w:p>
    <w:p w14:paraId="05842555" w14:textId="55DF1EC3" w:rsidR="00FF669F" w:rsidRPr="00425C9A" w:rsidRDefault="00381E6C" w:rsidP="00587C37">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rPr>
        <w:t>[22</w:t>
      </w:r>
      <w:r w:rsidR="00252142" w:rsidRPr="00425C9A">
        <w:rPr>
          <w:rFonts w:ascii="Times New Roman" w:hAnsi="Times New Roman" w:cs="Times New Roman"/>
          <w:sz w:val="28"/>
          <w:szCs w:val="28"/>
        </w:rPr>
        <w:t xml:space="preserve">] </w:t>
      </w:r>
      <w:r w:rsidR="00252142" w:rsidRPr="00425C9A">
        <w:rPr>
          <w:rFonts w:ascii="Times New Roman" w:hAnsi="Times New Roman" w:cs="Times New Roman"/>
          <w:sz w:val="28"/>
          <w:szCs w:val="28"/>
        </w:rPr>
        <w:tab/>
      </w:r>
      <w:r w:rsidR="003C3AA6" w:rsidRPr="00425C9A">
        <w:rPr>
          <w:rFonts w:ascii="Times New Roman" w:hAnsi="Times New Roman" w:cs="Times New Roman"/>
          <w:sz w:val="28"/>
          <w:szCs w:val="28"/>
          <w:lang w:val="en-GB"/>
        </w:rPr>
        <w:t>The</w:t>
      </w:r>
      <w:r w:rsidR="00C050EB" w:rsidRPr="00425C9A">
        <w:rPr>
          <w:rFonts w:ascii="Times New Roman" w:hAnsi="Times New Roman" w:cs="Times New Roman"/>
          <w:sz w:val="28"/>
          <w:szCs w:val="28"/>
          <w:lang w:val="en-GB"/>
        </w:rPr>
        <w:t xml:space="preserve"> high c</w:t>
      </w:r>
      <w:r w:rsidR="003E5A41" w:rsidRPr="00425C9A">
        <w:rPr>
          <w:rFonts w:ascii="Times New Roman" w:hAnsi="Times New Roman" w:cs="Times New Roman"/>
          <w:sz w:val="28"/>
          <w:szCs w:val="28"/>
          <w:lang w:val="en-GB"/>
        </w:rPr>
        <w:t xml:space="preserve">ourt </w:t>
      </w:r>
      <w:r w:rsidR="003C3AA6" w:rsidRPr="00425C9A">
        <w:rPr>
          <w:rFonts w:ascii="Times New Roman" w:hAnsi="Times New Roman" w:cs="Times New Roman"/>
          <w:sz w:val="28"/>
          <w:szCs w:val="28"/>
          <w:lang w:val="en-GB"/>
        </w:rPr>
        <w:t xml:space="preserve">did not </w:t>
      </w:r>
      <w:r w:rsidR="003E5A41" w:rsidRPr="00425C9A">
        <w:rPr>
          <w:rFonts w:ascii="Times New Roman" w:hAnsi="Times New Roman" w:cs="Times New Roman"/>
          <w:sz w:val="28"/>
          <w:szCs w:val="28"/>
          <w:lang w:val="en-GB"/>
        </w:rPr>
        <w:t xml:space="preserve">properly </w:t>
      </w:r>
      <w:r w:rsidR="003C3AA6" w:rsidRPr="00425C9A">
        <w:rPr>
          <w:rFonts w:ascii="Times New Roman" w:hAnsi="Times New Roman" w:cs="Times New Roman"/>
          <w:sz w:val="28"/>
          <w:szCs w:val="28"/>
          <w:lang w:val="en-GB"/>
        </w:rPr>
        <w:t>analyse any of the seven multitier issues</w:t>
      </w:r>
      <w:r w:rsidR="003E5A41" w:rsidRPr="00425C9A">
        <w:rPr>
          <w:rFonts w:ascii="Times New Roman" w:hAnsi="Times New Roman" w:cs="Times New Roman"/>
          <w:sz w:val="28"/>
          <w:szCs w:val="28"/>
          <w:lang w:val="en-GB"/>
        </w:rPr>
        <w:t xml:space="preserve"> raised in the exception</w:t>
      </w:r>
      <w:r w:rsidR="003C3AA6" w:rsidRPr="00425C9A">
        <w:rPr>
          <w:rFonts w:ascii="Times New Roman" w:hAnsi="Times New Roman" w:cs="Times New Roman"/>
          <w:sz w:val="28"/>
          <w:szCs w:val="28"/>
          <w:lang w:val="en-GB"/>
        </w:rPr>
        <w:t xml:space="preserve">. It referred </w:t>
      </w:r>
      <w:r w:rsidR="003E5A41" w:rsidRPr="00425C9A">
        <w:rPr>
          <w:rFonts w:ascii="Times New Roman" w:hAnsi="Times New Roman" w:cs="Times New Roman"/>
          <w:sz w:val="28"/>
          <w:szCs w:val="28"/>
          <w:lang w:val="en-GB"/>
        </w:rPr>
        <w:t>only to three, but without conducting a thorough analysis</w:t>
      </w:r>
      <w:r w:rsidR="003C3AA6" w:rsidRPr="00425C9A">
        <w:rPr>
          <w:rFonts w:ascii="Times New Roman" w:hAnsi="Times New Roman" w:cs="Times New Roman"/>
          <w:sz w:val="28"/>
          <w:szCs w:val="28"/>
          <w:lang w:val="en-GB"/>
        </w:rPr>
        <w:t xml:space="preserve"> </w:t>
      </w:r>
      <w:r w:rsidR="003E5A41" w:rsidRPr="00425C9A">
        <w:rPr>
          <w:rFonts w:ascii="Times New Roman" w:hAnsi="Times New Roman" w:cs="Times New Roman"/>
          <w:sz w:val="28"/>
          <w:szCs w:val="28"/>
          <w:lang w:val="en-GB"/>
        </w:rPr>
        <w:t xml:space="preserve">of any </w:t>
      </w:r>
      <w:r w:rsidR="003C3AA6" w:rsidRPr="00425C9A">
        <w:rPr>
          <w:rFonts w:ascii="Times New Roman" w:hAnsi="Times New Roman" w:cs="Times New Roman"/>
          <w:sz w:val="28"/>
          <w:szCs w:val="28"/>
          <w:lang w:val="en-GB"/>
        </w:rPr>
        <w:t xml:space="preserve">or </w:t>
      </w:r>
      <w:r w:rsidR="003E5A41" w:rsidRPr="00425C9A">
        <w:rPr>
          <w:rFonts w:ascii="Times New Roman" w:hAnsi="Times New Roman" w:cs="Times New Roman"/>
          <w:sz w:val="28"/>
          <w:szCs w:val="28"/>
          <w:lang w:val="en-GB"/>
        </w:rPr>
        <w:t xml:space="preserve">even </w:t>
      </w:r>
      <w:r w:rsidR="003C3AA6" w:rsidRPr="00425C9A">
        <w:rPr>
          <w:rFonts w:ascii="Times New Roman" w:hAnsi="Times New Roman" w:cs="Times New Roman"/>
          <w:sz w:val="28"/>
          <w:szCs w:val="28"/>
          <w:lang w:val="en-GB"/>
        </w:rPr>
        <w:t>considering whether</w:t>
      </w:r>
      <w:r w:rsidR="003E5A41" w:rsidRPr="00425C9A">
        <w:rPr>
          <w:rFonts w:ascii="Times New Roman" w:hAnsi="Times New Roman" w:cs="Times New Roman"/>
          <w:sz w:val="28"/>
          <w:szCs w:val="28"/>
          <w:lang w:val="en-GB"/>
        </w:rPr>
        <w:t xml:space="preserve"> the</w:t>
      </w:r>
      <w:r w:rsidR="003C3AA6" w:rsidRPr="00425C9A">
        <w:rPr>
          <w:rFonts w:ascii="Times New Roman" w:hAnsi="Times New Roman" w:cs="Times New Roman"/>
          <w:sz w:val="28"/>
          <w:szCs w:val="28"/>
          <w:lang w:val="en-GB"/>
        </w:rPr>
        <w:t xml:space="preserve"> criticisms</w:t>
      </w:r>
      <w:r w:rsidR="003E5A41" w:rsidRPr="00425C9A">
        <w:rPr>
          <w:rFonts w:ascii="Times New Roman" w:hAnsi="Times New Roman" w:cs="Times New Roman"/>
          <w:sz w:val="28"/>
          <w:szCs w:val="28"/>
          <w:lang w:val="en-GB"/>
        </w:rPr>
        <w:t>, such as they were, indeed satisfied</w:t>
      </w:r>
      <w:r w:rsidR="003C3AA6" w:rsidRPr="00425C9A">
        <w:rPr>
          <w:rFonts w:ascii="Times New Roman" w:hAnsi="Times New Roman" w:cs="Times New Roman"/>
          <w:sz w:val="28"/>
          <w:szCs w:val="28"/>
          <w:lang w:val="en-GB"/>
        </w:rPr>
        <w:t xml:space="preserve"> the applicable legal test for e</w:t>
      </w:r>
      <w:r w:rsidR="003E5A41" w:rsidRPr="00425C9A">
        <w:rPr>
          <w:rFonts w:ascii="Times New Roman" w:hAnsi="Times New Roman" w:cs="Times New Roman"/>
          <w:sz w:val="28"/>
          <w:szCs w:val="28"/>
          <w:lang w:val="en-GB"/>
        </w:rPr>
        <w:t>xceptions. In that regard,</w:t>
      </w:r>
      <w:r w:rsidR="00726DD7" w:rsidRPr="00425C9A">
        <w:rPr>
          <w:rFonts w:ascii="Times New Roman" w:hAnsi="Times New Roman" w:cs="Times New Roman"/>
          <w:sz w:val="28"/>
          <w:szCs w:val="28"/>
        </w:rPr>
        <w:t xml:space="preserve"> the high c</w:t>
      </w:r>
      <w:r w:rsidR="00252142" w:rsidRPr="00425C9A">
        <w:rPr>
          <w:rFonts w:ascii="Times New Roman" w:hAnsi="Times New Roman" w:cs="Times New Roman"/>
          <w:sz w:val="28"/>
          <w:szCs w:val="28"/>
        </w:rPr>
        <w:t>ourt</w:t>
      </w:r>
      <w:r w:rsidR="003E5A41" w:rsidRPr="00425C9A">
        <w:rPr>
          <w:rFonts w:ascii="Times New Roman" w:hAnsi="Times New Roman" w:cs="Times New Roman"/>
          <w:sz w:val="28"/>
          <w:szCs w:val="28"/>
        </w:rPr>
        <w:t xml:space="preserve"> reasoned</w:t>
      </w:r>
      <w:r w:rsidR="00016B4A" w:rsidRPr="00425C9A">
        <w:rPr>
          <w:rFonts w:ascii="Times New Roman" w:hAnsi="Times New Roman" w:cs="Times New Roman"/>
          <w:sz w:val="28"/>
          <w:szCs w:val="28"/>
        </w:rPr>
        <w:t>:</w:t>
      </w:r>
    </w:p>
    <w:p w14:paraId="3A6EA1B2" w14:textId="1A982D30" w:rsidR="003E5A41" w:rsidRPr="00425C9A" w:rsidRDefault="00330A45" w:rsidP="00587C37">
      <w:pPr>
        <w:spacing w:after="0" w:line="360" w:lineRule="auto"/>
        <w:jc w:val="both"/>
        <w:rPr>
          <w:rFonts w:ascii="Times New Roman" w:hAnsi="Times New Roman" w:cs="Times New Roman"/>
          <w:sz w:val="24"/>
          <w:szCs w:val="24"/>
        </w:rPr>
      </w:pPr>
      <w:r w:rsidRPr="00425C9A">
        <w:rPr>
          <w:rFonts w:ascii="Times New Roman" w:hAnsi="Times New Roman" w:cs="Times New Roman"/>
          <w:sz w:val="24"/>
          <w:szCs w:val="24"/>
        </w:rPr>
        <w:t>‘[34]</w:t>
      </w:r>
      <w:r w:rsidRPr="00425C9A">
        <w:rPr>
          <w:rFonts w:ascii="Times New Roman" w:hAnsi="Times New Roman" w:cs="Times New Roman"/>
          <w:sz w:val="24"/>
          <w:szCs w:val="24"/>
        </w:rPr>
        <w:tab/>
        <w:t xml:space="preserve">The complaint raised by the defendants is multitiered. First, that the plaintiffs do not allege that the President’s signature of the 2014 Protocol brought it into force, nor so it was argued, could they, as the 2014 Protocol only would have become binding and come into force on signature of the requisite number of member states (two thirds of the Summit members) and the further requirement of ratification by those states, which, as was accepted by the Constitutional Court in </w:t>
      </w:r>
      <w:r w:rsidRPr="00425C9A">
        <w:rPr>
          <w:rFonts w:ascii="Times New Roman" w:hAnsi="Times New Roman" w:cs="Times New Roman"/>
          <w:i/>
          <w:sz w:val="24"/>
          <w:szCs w:val="24"/>
        </w:rPr>
        <w:t>Law Society</w:t>
      </w:r>
      <w:r w:rsidRPr="00425C9A">
        <w:rPr>
          <w:rFonts w:ascii="Times New Roman" w:hAnsi="Times New Roman" w:cs="Times New Roman"/>
          <w:sz w:val="24"/>
          <w:szCs w:val="24"/>
        </w:rPr>
        <w:t>, none of the states</w:t>
      </w:r>
      <w:r w:rsidR="007C1314" w:rsidRPr="00425C9A">
        <w:rPr>
          <w:rFonts w:ascii="Times New Roman" w:hAnsi="Times New Roman" w:cs="Times New Roman"/>
          <w:sz w:val="24"/>
          <w:szCs w:val="24"/>
        </w:rPr>
        <w:t xml:space="preserve"> had</w:t>
      </w:r>
      <w:r w:rsidRPr="00425C9A">
        <w:rPr>
          <w:rFonts w:ascii="Times New Roman" w:hAnsi="Times New Roman" w:cs="Times New Roman"/>
          <w:sz w:val="24"/>
          <w:szCs w:val="24"/>
        </w:rPr>
        <w:t xml:space="preserve"> complied with. Second, the Constitutional Court in </w:t>
      </w:r>
      <w:r w:rsidRPr="00425C9A">
        <w:rPr>
          <w:rFonts w:ascii="Times New Roman" w:hAnsi="Times New Roman" w:cs="Times New Roman"/>
          <w:i/>
          <w:sz w:val="24"/>
          <w:szCs w:val="24"/>
        </w:rPr>
        <w:t>Law Society</w:t>
      </w:r>
      <w:r w:rsidRPr="00425C9A">
        <w:rPr>
          <w:rFonts w:ascii="Times New Roman" w:hAnsi="Times New Roman" w:cs="Times New Roman"/>
          <w:sz w:val="24"/>
          <w:szCs w:val="24"/>
        </w:rPr>
        <w:t xml:space="preserve"> ordered the President to withdraw his signature from the 2014 Protocol (which his successor complied with). Third, it is alleged that the President himself suspended the SADC Tribunal, he indeed participated in a decision by the SADC </w:t>
      </w:r>
      <w:r w:rsidRPr="00425C9A">
        <w:rPr>
          <w:rFonts w:ascii="Times New Roman" w:hAnsi="Times New Roman" w:cs="Times New Roman"/>
          <w:sz w:val="24"/>
          <w:szCs w:val="24"/>
        </w:rPr>
        <w:lastRenderedPageBreak/>
        <w:t xml:space="preserve">Summit, consisting of all the heads of state of the SADC countries, to suspend the Tribunal. Fourth, it is not alleged that the SADC Summit is precluded from lifting the suspension of the SADC Tribunal, and sixth, the plaintiffs do not allege that they have claims against the defendants, but </w:t>
      </w:r>
      <w:r w:rsidR="003D1CE9" w:rsidRPr="00425C9A">
        <w:rPr>
          <w:rFonts w:ascii="Times New Roman" w:hAnsi="Times New Roman" w:cs="Times New Roman"/>
          <w:sz w:val="24"/>
          <w:szCs w:val="24"/>
        </w:rPr>
        <w:t>‘</w:t>
      </w:r>
      <w:r w:rsidRPr="00425C9A">
        <w:rPr>
          <w:rFonts w:ascii="Times New Roman" w:hAnsi="Times New Roman" w:cs="Times New Roman"/>
          <w:sz w:val="24"/>
          <w:szCs w:val="24"/>
        </w:rPr>
        <w:t>‘claims justiciable by the SADC Tribunal’</w:t>
      </w:r>
      <w:r w:rsidR="003D1CE9" w:rsidRPr="00425C9A">
        <w:rPr>
          <w:rFonts w:ascii="Times New Roman" w:hAnsi="Times New Roman" w:cs="Times New Roman"/>
          <w:sz w:val="24"/>
          <w:szCs w:val="24"/>
        </w:rPr>
        <w:t>’</w:t>
      </w:r>
      <w:r w:rsidRPr="00425C9A">
        <w:rPr>
          <w:rFonts w:ascii="Times New Roman" w:hAnsi="Times New Roman" w:cs="Times New Roman"/>
          <w:sz w:val="24"/>
          <w:szCs w:val="24"/>
        </w:rPr>
        <w:t xml:space="preserve"> against </w:t>
      </w:r>
      <w:r w:rsidR="003D1CE9" w:rsidRPr="00425C9A">
        <w:rPr>
          <w:rFonts w:ascii="Times New Roman" w:hAnsi="Times New Roman" w:cs="Times New Roman"/>
          <w:sz w:val="24"/>
          <w:szCs w:val="24"/>
        </w:rPr>
        <w:t>‘</w:t>
      </w:r>
      <w:r w:rsidRPr="00425C9A">
        <w:rPr>
          <w:rFonts w:ascii="Times New Roman" w:hAnsi="Times New Roman" w:cs="Times New Roman"/>
          <w:sz w:val="24"/>
          <w:szCs w:val="24"/>
        </w:rPr>
        <w:t>‘the Government of Zimbabwe’</w:t>
      </w:r>
      <w:r w:rsidR="003D1CE9" w:rsidRPr="00425C9A">
        <w:rPr>
          <w:rFonts w:ascii="Times New Roman" w:hAnsi="Times New Roman" w:cs="Times New Roman"/>
          <w:sz w:val="24"/>
          <w:szCs w:val="24"/>
        </w:rPr>
        <w:t>’</w:t>
      </w:r>
      <w:r w:rsidRPr="00425C9A">
        <w:rPr>
          <w:rFonts w:ascii="Times New Roman" w:hAnsi="Times New Roman" w:cs="Times New Roman"/>
          <w:sz w:val="24"/>
          <w:szCs w:val="24"/>
        </w:rPr>
        <w:t xml:space="preserve">, and that </w:t>
      </w:r>
      <w:r w:rsidR="003D1CE9" w:rsidRPr="00425C9A">
        <w:rPr>
          <w:rFonts w:ascii="Times New Roman" w:hAnsi="Times New Roman" w:cs="Times New Roman"/>
          <w:sz w:val="24"/>
          <w:szCs w:val="24"/>
        </w:rPr>
        <w:t>‘</w:t>
      </w:r>
      <w:r w:rsidRPr="00425C9A">
        <w:rPr>
          <w:rFonts w:ascii="Times New Roman" w:hAnsi="Times New Roman" w:cs="Times New Roman"/>
          <w:sz w:val="24"/>
          <w:szCs w:val="24"/>
        </w:rPr>
        <w:t>‘such claims aris[e] in each instance from the dispossession by the Government of Zimbabwe</w:t>
      </w:r>
      <w:r w:rsidR="003D1CE9" w:rsidRPr="00425C9A">
        <w:rPr>
          <w:rFonts w:ascii="Times New Roman" w:hAnsi="Times New Roman" w:cs="Times New Roman"/>
          <w:sz w:val="24"/>
          <w:szCs w:val="24"/>
        </w:rPr>
        <w:t>’</w:t>
      </w:r>
      <w:r w:rsidRPr="00425C9A">
        <w:rPr>
          <w:rFonts w:ascii="Times New Roman" w:hAnsi="Times New Roman" w:cs="Times New Roman"/>
          <w:sz w:val="24"/>
          <w:szCs w:val="24"/>
        </w:rPr>
        <w:t>’, and the alleged conduct of its agents and officials.’</w:t>
      </w:r>
    </w:p>
    <w:p w14:paraId="413DF6C4" w14:textId="77777777" w:rsidR="009F416F" w:rsidRPr="00425C9A" w:rsidRDefault="009F416F" w:rsidP="00587C37">
      <w:pPr>
        <w:spacing w:after="0" w:line="360" w:lineRule="auto"/>
        <w:jc w:val="both"/>
        <w:rPr>
          <w:rFonts w:ascii="Times New Roman" w:hAnsi="Times New Roman" w:cs="Times New Roman"/>
          <w:sz w:val="28"/>
          <w:szCs w:val="28"/>
        </w:rPr>
      </w:pPr>
    </w:p>
    <w:p w14:paraId="01309386" w14:textId="690E4A22" w:rsidR="003E5A41" w:rsidRPr="00425C9A" w:rsidRDefault="003E5A41" w:rsidP="00587C37">
      <w:pPr>
        <w:spacing w:after="0" w:line="360" w:lineRule="auto"/>
        <w:jc w:val="both"/>
        <w:rPr>
          <w:rFonts w:ascii="Times New Roman" w:hAnsi="Times New Roman" w:cs="Times New Roman"/>
          <w:sz w:val="28"/>
          <w:szCs w:val="28"/>
        </w:rPr>
      </w:pPr>
      <w:r w:rsidRPr="00425C9A">
        <w:rPr>
          <w:rFonts w:ascii="Times New Roman" w:hAnsi="Times New Roman" w:cs="Times New Roman"/>
          <w:sz w:val="28"/>
          <w:szCs w:val="28"/>
        </w:rPr>
        <w:t>[2</w:t>
      </w:r>
      <w:r w:rsidR="00381E6C">
        <w:rPr>
          <w:rFonts w:ascii="Times New Roman" w:hAnsi="Times New Roman" w:cs="Times New Roman"/>
          <w:sz w:val="28"/>
          <w:szCs w:val="28"/>
        </w:rPr>
        <w:t>3</w:t>
      </w:r>
      <w:r w:rsidRPr="00425C9A">
        <w:rPr>
          <w:rFonts w:ascii="Times New Roman" w:hAnsi="Times New Roman" w:cs="Times New Roman"/>
          <w:sz w:val="28"/>
          <w:szCs w:val="28"/>
        </w:rPr>
        <w:t>]</w:t>
      </w:r>
      <w:r w:rsidRPr="00425C9A">
        <w:rPr>
          <w:rFonts w:ascii="Times New Roman" w:hAnsi="Times New Roman" w:cs="Times New Roman"/>
          <w:sz w:val="28"/>
          <w:szCs w:val="28"/>
        </w:rPr>
        <w:tab/>
        <w:t xml:space="preserve">The </w:t>
      </w:r>
      <w:r w:rsidR="008422BB" w:rsidRPr="00425C9A">
        <w:rPr>
          <w:rFonts w:ascii="Times New Roman" w:hAnsi="Times New Roman" w:cs="Times New Roman"/>
          <w:sz w:val="28"/>
          <w:szCs w:val="28"/>
        </w:rPr>
        <w:t xml:space="preserve">high court </w:t>
      </w:r>
      <w:r w:rsidR="003F6AF8" w:rsidRPr="00425C9A">
        <w:rPr>
          <w:rFonts w:ascii="Times New Roman" w:hAnsi="Times New Roman" w:cs="Times New Roman"/>
          <w:sz w:val="28"/>
          <w:szCs w:val="28"/>
        </w:rPr>
        <w:t>proceeded to hold:</w:t>
      </w:r>
    </w:p>
    <w:p w14:paraId="4DC5D2A6" w14:textId="17219392" w:rsidR="003E5A41" w:rsidRPr="00425C9A" w:rsidRDefault="003F6AF8" w:rsidP="00587C37">
      <w:pPr>
        <w:spacing w:after="0" w:line="360" w:lineRule="auto"/>
        <w:jc w:val="both"/>
        <w:rPr>
          <w:rFonts w:ascii="Times New Roman" w:hAnsi="Times New Roman" w:cs="Times New Roman"/>
          <w:sz w:val="24"/>
          <w:szCs w:val="24"/>
        </w:rPr>
      </w:pPr>
      <w:r w:rsidRPr="00425C9A">
        <w:rPr>
          <w:rFonts w:ascii="Times New Roman" w:hAnsi="Times New Roman" w:cs="Times New Roman"/>
          <w:sz w:val="24"/>
          <w:szCs w:val="24"/>
        </w:rPr>
        <w:t>‘[41]</w:t>
      </w:r>
      <w:r w:rsidR="00B56112" w:rsidRPr="00425C9A">
        <w:rPr>
          <w:rFonts w:ascii="Times New Roman" w:hAnsi="Times New Roman" w:cs="Times New Roman"/>
          <w:sz w:val="24"/>
          <w:szCs w:val="24"/>
        </w:rPr>
        <w:t xml:space="preserve"> </w:t>
      </w:r>
      <w:r w:rsidRPr="00425C9A">
        <w:rPr>
          <w:rFonts w:ascii="Times New Roman" w:hAnsi="Times New Roman" w:cs="Times New Roman"/>
          <w:sz w:val="24"/>
          <w:szCs w:val="24"/>
        </w:rPr>
        <w:t xml:space="preserve">Delict requires that the wrongful action be the factual and legal cause of the harm suffered in order to ground an action for damages. In determining factual causation, the </w:t>
      </w:r>
      <w:r w:rsidR="003D1CE9" w:rsidRPr="00425C9A">
        <w:rPr>
          <w:rFonts w:ascii="Times New Roman" w:hAnsi="Times New Roman" w:cs="Times New Roman"/>
          <w:sz w:val="24"/>
          <w:szCs w:val="24"/>
        </w:rPr>
        <w:t>‘</w:t>
      </w:r>
      <w:r w:rsidRPr="00425C9A">
        <w:rPr>
          <w:rFonts w:ascii="Times New Roman" w:hAnsi="Times New Roman" w:cs="Times New Roman"/>
          <w:sz w:val="24"/>
          <w:szCs w:val="24"/>
        </w:rPr>
        <w:t>‘but for’</w:t>
      </w:r>
      <w:r w:rsidR="003D1CE9" w:rsidRPr="00425C9A">
        <w:rPr>
          <w:rFonts w:ascii="Times New Roman" w:hAnsi="Times New Roman" w:cs="Times New Roman"/>
          <w:sz w:val="24"/>
          <w:szCs w:val="24"/>
        </w:rPr>
        <w:t>’</w:t>
      </w:r>
      <w:r w:rsidRPr="00425C9A">
        <w:rPr>
          <w:rFonts w:ascii="Times New Roman" w:hAnsi="Times New Roman" w:cs="Times New Roman"/>
          <w:sz w:val="24"/>
          <w:szCs w:val="24"/>
        </w:rPr>
        <w:t xml:space="preserve"> test applies: but for the occurrence of the wrongful conduct, what would have happened? Once factual causation is established, and inquiry into legal causation follows. Here the question is whether the defendant’s conduct is sufficiently closely linked to, or the proximate cause of the harm suffered for legal liability to ensue, or whether the harm is too remote. This inquiry is flexible and assessed in the light of what legal policy, reasonability, fairness and justice require. The test for legal causation is </w:t>
      </w:r>
      <w:r w:rsidR="003D1CE9" w:rsidRPr="00425C9A">
        <w:rPr>
          <w:rFonts w:ascii="Times New Roman" w:hAnsi="Times New Roman" w:cs="Times New Roman"/>
          <w:sz w:val="24"/>
          <w:szCs w:val="24"/>
        </w:rPr>
        <w:t>‘</w:t>
      </w:r>
      <w:r w:rsidRPr="00425C9A">
        <w:rPr>
          <w:rFonts w:ascii="Times New Roman" w:hAnsi="Times New Roman" w:cs="Times New Roman"/>
          <w:sz w:val="24"/>
          <w:szCs w:val="24"/>
        </w:rPr>
        <w:t xml:space="preserve">‘a flexible one in which factors such as reasonable foreseeability, directness, the absence or presence of a </w:t>
      </w:r>
      <w:r w:rsidRPr="00425C9A">
        <w:rPr>
          <w:rFonts w:ascii="Times New Roman" w:hAnsi="Times New Roman" w:cs="Times New Roman"/>
          <w:i/>
          <w:sz w:val="24"/>
          <w:szCs w:val="24"/>
        </w:rPr>
        <w:t>novus actus interveniens</w:t>
      </w:r>
      <w:r w:rsidRPr="00425C9A">
        <w:rPr>
          <w:rFonts w:ascii="Times New Roman" w:hAnsi="Times New Roman" w:cs="Times New Roman"/>
          <w:sz w:val="24"/>
          <w:szCs w:val="24"/>
        </w:rPr>
        <w:t>, legal policy, reasonability, fairness and justice all play their part</w:t>
      </w:r>
      <w:r w:rsidR="00751198" w:rsidRPr="00425C9A">
        <w:rPr>
          <w:rFonts w:ascii="Times New Roman" w:hAnsi="Times New Roman" w:cs="Times New Roman"/>
          <w:sz w:val="24"/>
          <w:szCs w:val="24"/>
        </w:rPr>
        <w:t>’</w:t>
      </w:r>
      <w:r w:rsidR="003D1CE9" w:rsidRPr="00425C9A">
        <w:rPr>
          <w:rFonts w:ascii="Times New Roman" w:hAnsi="Times New Roman" w:cs="Times New Roman"/>
          <w:sz w:val="24"/>
          <w:szCs w:val="24"/>
        </w:rPr>
        <w:t>’</w:t>
      </w:r>
      <w:r w:rsidR="00751198" w:rsidRPr="00425C9A">
        <w:rPr>
          <w:rFonts w:ascii="Times New Roman" w:hAnsi="Times New Roman" w:cs="Times New Roman"/>
          <w:sz w:val="24"/>
          <w:szCs w:val="24"/>
        </w:rPr>
        <w:t xml:space="preserve">. . . </w:t>
      </w:r>
      <w:r w:rsidR="00B56112" w:rsidRPr="00425C9A">
        <w:rPr>
          <w:rFonts w:ascii="Times New Roman" w:hAnsi="Times New Roman" w:cs="Times New Roman"/>
          <w:sz w:val="24"/>
          <w:szCs w:val="24"/>
        </w:rPr>
        <w:t>.</w:t>
      </w:r>
    </w:p>
    <w:p w14:paraId="380CDEDC" w14:textId="1F13C98D" w:rsidR="003E5A41" w:rsidRPr="00425C9A" w:rsidRDefault="00330A45" w:rsidP="00587C37">
      <w:pPr>
        <w:spacing w:after="0" w:line="360" w:lineRule="auto"/>
        <w:jc w:val="both"/>
        <w:rPr>
          <w:rFonts w:ascii="Times New Roman" w:eastAsia="Calibri" w:hAnsi="Times New Roman" w:cs="Times New Roman"/>
          <w:sz w:val="24"/>
          <w:szCs w:val="24"/>
        </w:rPr>
      </w:pPr>
      <w:r w:rsidRPr="00425C9A">
        <w:rPr>
          <w:rFonts w:ascii="Times New Roman" w:eastAsia="Calibri" w:hAnsi="Times New Roman" w:cs="Times New Roman"/>
          <w:sz w:val="24"/>
          <w:szCs w:val="24"/>
        </w:rPr>
        <w:t>[42]</w:t>
      </w:r>
      <w:r w:rsidR="00B56112" w:rsidRPr="00425C9A">
        <w:rPr>
          <w:rFonts w:ascii="Times New Roman" w:eastAsia="Calibri" w:hAnsi="Times New Roman" w:cs="Times New Roman"/>
          <w:sz w:val="24"/>
          <w:szCs w:val="24"/>
        </w:rPr>
        <w:t xml:space="preserve"> </w:t>
      </w:r>
      <w:r w:rsidRPr="00425C9A">
        <w:rPr>
          <w:rFonts w:ascii="Times New Roman" w:eastAsia="Calibri" w:hAnsi="Times New Roman" w:cs="Times New Roman"/>
          <w:sz w:val="24"/>
          <w:szCs w:val="24"/>
        </w:rPr>
        <w:t xml:space="preserve">Applying these principles, I am of the view that the facts pleaded, as I have outlined above, for the reasons stated, do not contain sufficient averments to establish a causal or proximate cause between the President’s conduct and the plaintiffs’ alleged damages suffered. The notion that may be inferred from the pleaded facts, that had the President acted constitutionally, he may have been able to prevent the suspension of the Tribunal by blocking consensus, is a non-sequitur. The SADC Treaty, as I have pointed out, allows for the dissolution of the Tribunal by way of majority vote. Therefore, the Presidents opposition or absence of his signature to the 2014 Protocol, would not have made any difference as the Tribunal could still have been dissolved, by a vote by three-quarters of the other heads of State. As correctly pointed out by counsel for the defendants, whatever effect the former President’s signature of the 2014 Protocol (absent ratification) may be said to have, even on the basis of a joint-wrongdoer as contended for by counsel for the plaintiffs, the Constitutional Court’s order that the President must withdraw that signature, which did in fact occur, thwarted the </w:t>
      </w:r>
      <w:r w:rsidR="003D1CE9" w:rsidRPr="00425C9A">
        <w:rPr>
          <w:rFonts w:ascii="Times New Roman" w:eastAsia="Calibri" w:hAnsi="Times New Roman" w:cs="Times New Roman"/>
          <w:sz w:val="24"/>
          <w:szCs w:val="24"/>
        </w:rPr>
        <w:t>‘</w:t>
      </w:r>
      <w:r w:rsidRPr="00425C9A">
        <w:rPr>
          <w:rFonts w:ascii="Times New Roman" w:eastAsia="Calibri" w:hAnsi="Times New Roman" w:cs="Times New Roman"/>
          <w:sz w:val="24"/>
          <w:szCs w:val="24"/>
        </w:rPr>
        <w:t>‘conspiracy’</w:t>
      </w:r>
      <w:r w:rsidR="003D1CE9" w:rsidRPr="00425C9A">
        <w:rPr>
          <w:rFonts w:ascii="Times New Roman" w:eastAsia="Calibri" w:hAnsi="Times New Roman" w:cs="Times New Roman"/>
          <w:sz w:val="24"/>
          <w:szCs w:val="24"/>
        </w:rPr>
        <w:t>’</w:t>
      </w:r>
      <w:r w:rsidRPr="00425C9A">
        <w:rPr>
          <w:rFonts w:ascii="Times New Roman" w:eastAsia="Calibri" w:hAnsi="Times New Roman" w:cs="Times New Roman"/>
          <w:sz w:val="24"/>
          <w:szCs w:val="24"/>
        </w:rPr>
        <w:t xml:space="preserve"> to curtail the jurisdiction of the Tribunal. Formal ratification of the decision, moreover, in any event, never occurred. Finally, I am unable to find any allegations pleaded, demonstrating that the action or </w:t>
      </w:r>
      <w:r w:rsidRPr="00425C9A">
        <w:rPr>
          <w:rFonts w:ascii="Times New Roman" w:eastAsia="Calibri" w:hAnsi="Times New Roman" w:cs="Times New Roman"/>
          <w:sz w:val="24"/>
          <w:szCs w:val="24"/>
        </w:rPr>
        <w:lastRenderedPageBreak/>
        <w:t>inaction by only the President of South Africa, being only one member of a body made up of all SADC’s heads of state, can be said to be the cause of the suspension of the Tribunal.</w:t>
      </w:r>
      <w:r w:rsidR="00751198" w:rsidRPr="00425C9A">
        <w:rPr>
          <w:rFonts w:ascii="Times New Roman" w:eastAsia="Calibri" w:hAnsi="Times New Roman" w:cs="Times New Roman"/>
          <w:sz w:val="24"/>
          <w:szCs w:val="24"/>
        </w:rPr>
        <w:t>’</w:t>
      </w:r>
    </w:p>
    <w:p w14:paraId="32B44EF6" w14:textId="77777777" w:rsidR="001E3E47" w:rsidRPr="00425C9A" w:rsidRDefault="001E3E47" w:rsidP="00587C37">
      <w:pPr>
        <w:spacing w:after="0" w:line="360" w:lineRule="auto"/>
        <w:jc w:val="both"/>
        <w:rPr>
          <w:rFonts w:ascii="Times New Roman" w:eastAsia="Calibri" w:hAnsi="Times New Roman" w:cs="Times New Roman"/>
          <w:sz w:val="28"/>
          <w:szCs w:val="28"/>
        </w:rPr>
      </w:pPr>
    </w:p>
    <w:p w14:paraId="60CE6015" w14:textId="3ADFE158" w:rsidR="00D3020C" w:rsidRPr="00425C9A" w:rsidRDefault="00381E6C" w:rsidP="00587C37">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[24</w:t>
      </w:r>
      <w:r w:rsidR="00726DD7" w:rsidRPr="00425C9A">
        <w:rPr>
          <w:rFonts w:ascii="Times New Roman" w:hAnsi="Times New Roman" w:cs="Times New Roman"/>
          <w:sz w:val="28"/>
          <w:szCs w:val="28"/>
          <w:lang w:val="en-GB"/>
        </w:rPr>
        <w:t>]</w:t>
      </w:r>
      <w:r w:rsidR="00726DD7" w:rsidRPr="00425C9A">
        <w:rPr>
          <w:rFonts w:ascii="Times New Roman" w:hAnsi="Times New Roman" w:cs="Times New Roman"/>
          <w:sz w:val="28"/>
          <w:szCs w:val="28"/>
          <w:lang w:val="en-GB"/>
        </w:rPr>
        <w:tab/>
        <w:t>The high c</w:t>
      </w:r>
      <w:r w:rsidR="00751198" w:rsidRPr="00425C9A">
        <w:rPr>
          <w:rFonts w:ascii="Times New Roman" w:hAnsi="Times New Roman" w:cs="Times New Roman"/>
          <w:sz w:val="28"/>
          <w:szCs w:val="28"/>
          <w:lang w:val="en-GB"/>
        </w:rPr>
        <w:t xml:space="preserve">ourt’s </w:t>
      </w:r>
      <w:r w:rsidR="00330A45" w:rsidRPr="00425C9A">
        <w:rPr>
          <w:rFonts w:ascii="Times New Roman" w:hAnsi="Times New Roman" w:cs="Times New Roman"/>
          <w:sz w:val="28"/>
          <w:szCs w:val="28"/>
          <w:lang w:val="en-GB"/>
        </w:rPr>
        <w:t>treatmen</w:t>
      </w:r>
      <w:r w:rsidR="00751198" w:rsidRPr="00425C9A">
        <w:rPr>
          <w:rFonts w:ascii="Times New Roman" w:hAnsi="Times New Roman" w:cs="Times New Roman"/>
          <w:sz w:val="28"/>
          <w:szCs w:val="28"/>
          <w:lang w:val="en-GB"/>
        </w:rPr>
        <w:t>t of</w:t>
      </w:r>
      <w:r w:rsidR="00330A45" w:rsidRPr="00425C9A">
        <w:rPr>
          <w:rFonts w:ascii="Times New Roman" w:hAnsi="Times New Roman" w:cs="Times New Roman"/>
          <w:sz w:val="28"/>
          <w:szCs w:val="28"/>
          <w:lang w:val="en-GB"/>
        </w:rPr>
        <w:t xml:space="preserve"> the causation e</w:t>
      </w:r>
      <w:r w:rsidR="00751198" w:rsidRPr="00425C9A">
        <w:rPr>
          <w:rFonts w:ascii="Times New Roman" w:hAnsi="Times New Roman" w:cs="Times New Roman"/>
          <w:sz w:val="28"/>
          <w:szCs w:val="28"/>
          <w:lang w:val="en-GB"/>
        </w:rPr>
        <w:t xml:space="preserve">xception </w:t>
      </w:r>
      <w:r w:rsidR="00330A45" w:rsidRPr="00425C9A">
        <w:rPr>
          <w:rFonts w:ascii="Times New Roman" w:hAnsi="Times New Roman" w:cs="Times New Roman"/>
          <w:sz w:val="28"/>
          <w:szCs w:val="28"/>
          <w:lang w:val="en-GB"/>
        </w:rPr>
        <w:t>reveals a conflation of factual and legal causa</w:t>
      </w:r>
      <w:r w:rsidR="00751198" w:rsidRPr="00425C9A">
        <w:rPr>
          <w:rFonts w:ascii="Times New Roman" w:hAnsi="Times New Roman" w:cs="Times New Roman"/>
          <w:sz w:val="28"/>
          <w:szCs w:val="28"/>
          <w:lang w:val="en-GB"/>
        </w:rPr>
        <w:t>tion. Although purporting to deal with factual causation, the analysis, in truth, centres on ‘proximate cause’ and ‘remoteness</w:t>
      </w:r>
      <w:r w:rsidR="00330A45" w:rsidRPr="00425C9A">
        <w:rPr>
          <w:rFonts w:ascii="Times New Roman" w:hAnsi="Times New Roman" w:cs="Times New Roman"/>
          <w:sz w:val="28"/>
          <w:szCs w:val="28"/>
          <w:lang w:val="en-GB"/>
        </w:rPr>
        <w:t>’, ‘legal policy’, ‘reason</w:t>
      </w:r>
      <w:r w:rsidR="00751198" w:rsidRPr="00425C9A">
        <w:rPr>
          <w:rFonts w:ascii="Times New Roman" w:hAnsi="Times New Roman" w:cs="Times New Roman"/>
          <w:sz w:val="28"/>
          <w:szCs w:val="28"/>
          <w:lang w:val="en-GB"/>
        </w:rPr>
        <w:t xml:space="preserve">ability’, </w:t>
      </w:r>
      <w:r w:rsidR="007C1314" w:rsidRPr="00425C9A">
        <w:rPr>
          <w:rFonts w:ascii="Times New Roman" w:hAnsi="Times New Roman" w:cs="Times New Roman"/>
          <w:sz w:val="28"/>
          <w:szCs w:val="28"/>
          <w:lang w:val="en-GB"/>
        </w:rPr>
        <w:t>‘</w:t>
      </w:r>
      <w:r w:rsidR="00751198" w:rsidRPr="00425C9A">
        <w:rPr>
          <w:rFonts w:ascii="Times New Roman" w:hAnsi="Times New Roman" w:cs="Times New Roman"/>
          <w:sz w:val="28"/>
          <w:szCs w:val="28"/>
          <w:lang w:val="en-GB"/>
        </w:rPr>
        <w:t>fairness</w:t>
      </w:r>
      <w:r w:rsidR="007C1314" w:rsidRPr="00425C9A">
        <w:rPr>
          <w:rFonts w:ascii="Times New Roman" w:hAnsi="Times New Roman" w:cs="Times New Roman"/>
          <w:sz w:val="28"/>
          <w:szCs w:val="28"/>
          <w:lang w:val="en-GB"/>
        </w:rPr>
        <w:t>’</w:t>
      </w:r>
      <w:r w:rsidR="00751198" w:rsidRPr="00425C9A">
        <w:rPr>
          <w:rFonts w:ascii="Times New Roman" w:hAnsi="Times New Roman" w:cs="Times New Roman"/>
          <w:sz w:val="28"/>
          <w:szCs w:val="28"/>
          <w:lang w:val="en-GB"/>
        </w:rPr>
        <w:t xml:space="preserve">, and </w:t>
      </w:r>
      <w:r w:rsidR="00330A45" w:rsidRPr="00425C9A">
        <w:rPr>
          <w:rFonts w:ascii="Times New Roman" w:hAnsi="Times New Roman" w:cs="Times New Roman"/>
          <w:sz w:val="28"/>
          <w:szCs w:val="28"/>
          <w:lang w:val="en-GB"/>
        </w:rPr>
        <w:t>case</w:t>
      </w:r>
      <w:r w:rsidR="00751198" w:rsidRPr="00425C9A">
        <w:rPr>
          <w:rFonts w:ascii="Times New Roman" w:hAnsi="Times New Roman" w:cs="Times New Roman"/>
          <w:sz w:val="28"/>
          <w:szCs w:val="28"/>
          <w:lang w:val="en-GB"/>
        </w:rPr>
        <w:t xml:space="preserve"> </w:t>
      </w:r>
      <w:r w:rsidR="00330A45" w:rsidRPr="00425C9A">
        <w:rPr>
          <w:rFonts w:ascii="Times New Roman" w:hAnsi="Times New Roman" w:cs="Times New Roman"/>
          <w:sz w:val="28"/>
          <w:szCs w:val="28"/>
          <w:lang w:val="en-GB"/>
        </w:rPr>
        <w:t>law on legal causation. In the single parag</w:t>
      </w:r>
      <w:r w:rsidR="00751198" w:rsidRPr="00425C9A">
        <w:rPr>
          <w:rFonts w:ascii="Times New Roman" w:hAnsi="Times New Roman" w:cs="Times New Roman"/>
          <w:sz w:val="28"/>
          <w:szCs w:val="28"/>
          <w:lang w:val="en-GB"/>
        </w:rPr>
        <w:t xml:space="preserve">raph comprising the </w:t>
      </w:r>
      <w:r w:rsidR="001E3E47" w:rsidRPr="00425C9A">
        <w:rPr>
          <w:rFonts w:ascii="Times New Roman" w:hAnsi="Times New Roman" w:cs="Times New Roman"/>
          <w:sz w:val="28"/>
          <w:szCs w:val="28"/>
          <w:lang w:val="en-GB"/>
        </w:rPr>
        <w:t>high c</w:t>
      </w:r>
      <w:r w:rsidR="00751198" w:rsidRPr="00425C9A">
        <w:rPr>
          <w:rFonts w:ascii="Times New Roman" w:hAnsi="Times New Roman" w:cs="Times New Roman"/>
          <w:sz w:val="28"/>
          <w:szCs w:val="28"/>
          <w:lang w:val="en-GB"/>
        </w:rPr>
        <w:t>ourt</w:t>
      </w:r>
      <w:r w:rsidR="00330A45" w:rsidRPr="00425C9A">
        <w:rPr>
          <w:rFonts w:ascii="Times New Roman" w:hAnsi="Times New Roman" w:cs="Times New Roman"/>
          <w:sz w:val="28"/>
          <w:szCs w:val="28"/>
          <w:lang w:val="en-GB"/>
        </w:rPr>
        <w:t>’s analysis and conclusion on t</w:t>
      </w:r>
      <w:r w:rsidR="00751198" w:rsidRPr="00425C9A">
        <w:rPr>
          <w:rFonts w:ascii="Times New Roman" w:hAnsi="Times New Roman" w:cs="Times New Roman"/>
          <w:sz w:val="28"/>
          <w:szCs w:val="28"/>
          <w:lang w:val="en-GB"/>
        </w:rPr>
        <w:t xml:space="preserve">he pleaded issue, </w:t>
      </w:r>
      <w:r w:rsidR="00330A45" w:rsidRPr="00425C9A">
        <w:rPr>
          <w:rFonts w:ascii="Times New Roman" w:hAnsi="Times New Roman" w:cs="Times New Roman"/>
          <w:sz w:val="28"/>
          <w:szCs w:val="28"/>
          <w:lang w:val="en-GB"/>
        </w:rPr>
        <w:t>the judgment purports to</w:t>
      </w:r>
      <w:r w:rsidR="00751198" w:rsidRPr="00425C9A">
        <w:rPr>
          <w:rFonts w:ascii="Times New Roman" w:hAnsi="Times New Roman" w:cs="Times New Roman"/>
          <w:sz w:val="28"/>
          <w:szCs w:val="28"/>
          <w:lang w:val="en-GB"/>
        </w:rPr>
        <w:t xml:space="preserve"> apply ‘these’ principles, namely</w:t>
      </w:r>
      <w:r w:rsidR="00330A45" w:rsidRPr="00425C9A">
        <w:rPr>
          <w:rFonts w:ascii="Times New Roman" w:hAnsi="Times New Roman" w:cs="Times New Roman"/>
          <w:sz w:val="28"/>
          <w:szCs w:val="28"/>
          <w:lang w:val="en-GB"/>
        </w:rPr>
        <w:t xml:space="preserve"> those applicable to legal</w:t>
      </w:r>
      <w:r w:rsidR="00330A45" w:rsidRPr="00425C9A">
        <w:rPr>
          <w:rFonts w:ascii="Times New Roman" w:hAnsi="Times New Roman" w:cs="Times New Roman"/>
          <w:i/>
          <w:sz w:val="28"/>
          <w:szCs w:val="28"/>
          <w:lang w:val="en-GB"/>
        </w:rPr>
        <w:t xml:space="preserve"> </w:t>
      </w:r>
      <w:r w:rsidR="00330A45" w:rsidRPr="00425C9A">
        <w:rPr>
          <w:rFonts w:ascii="Times New Roman" w:hAnsi="Times New Roman" w:cs="Times New Roman"/>
          <w:sz w:val="28"/>
          <w:szCs w:val="28"/>
          <w:lang w:val="en-GB"/>
        </w:rPr>
        <w:t>causation. Th</w:t>
      </w:r>
      <w:r w:rsidR="00751198" w:rsidRPr="00425C9A">
        <w:rPr>
          <w:rFonts w:ascii="Times New Roman" w:hAnsi="Times New Roman" w:cs="Times New Roman"/>
          <w:sz w:val="28"/>
          <w:szCs w:val="28"/>
          <w:lang w:val="en-GB"/>
        </w:rPr>
        <w:t>at</w:t>
      </w:r>
      <w:r w:rsidR="00330A45" w:rsidRPr="00425C9A">
        <w:rPr>
          <w:rFonts w:ascii="Times New Roman" w:hAnsi="Times New Roman" w:cs="Times New Roman"/>
          <w:sz w:val="28"/>
          <w:szCs w:val="28"/>
          <w:lang w:val="en-GB"/>
        </w:rPr>
        <w:t xml:space="preserve"> paragraph </w:t>
      </w:r>
      <w:r w:rsidR="001E3E47" w:rsidRPr="00425C9A">
        <w:rPr>
          <w:rFonts w:ascii="Times New Roman" w:hAnsi="Times New Roman" w:cs="Times New Roman"/>
          <w:sz w:val="28"/>
          <w:szCs w:val="28"/>
          <w:lang w:val="en-GB"/>
        </w:rPr>
        <w:t>then records the</w:t>
      </w:r>
      <w:r w:rsidR="00330A45" w:rsidRPr="00425C9A">
        <w:rPr>
          <w:rFonts w:ascii="Times New Roman" w:hAnsi="Times New Roman" w:cs="Times New Roman"/>
          <w:sz w:val="28"/>
          <w:szCs w:val="28"/>
          <w:lang w:val="en-GB"/>
        </w:rPr>
        <w:t xml:space="preserve"> ‘view’ that ‘the facts pleaded … do not contain sufficient averme</w:t>
      </w:r>
      <w:r w:rsidR="00F7744E" w:rsidRPr="00425C9A">
        <w:rPr>
          <w:rFonts w:ascii="Times New Roman" w:hAnsi="Times New Roman" w:cs="Times New Roman"/>
          <w:sz w:val="28"/>
          <w:szCs w:val="28"/>
          <w:lang w:val="en-GB"/>
        </w:rPr>
        <w:t xml:space="preserve">nts to establish a causal </w:t>
      </w:r>
      <w:r w:rsidR="00330A45" w:rsidRPr="00425C9A">
        <w:rPr>
          <w:rFonts w:ascii="Times New Roman" w:hAnsi="Times New Roman" w:cs="Times New Roman"/>
          <w:sz w:val="28"/>
          <w:szCs w:val="28"/>
          <w:lang w:val="en-GB"/>
        </w:rPr>
        <w:t>or proximate cause’. Proximate cause relat</w:t>
      </w:r>
      <w:r w:rsidR="00F7744E" w:rsidRPr="00425C9A">
        <w:rPr>
          <w:rFonts w:ascii="Times New Roman" w:hAnsi="Times New Roman" w:cs="Times New Roman"/>
          <w:sz w:val="28"/>
          <w:szCs w:val="28"/>
          <w:lang w:val="en-GB"/>
        </w:rPr>
        <w:t>es to legal causation, whilst</w:t>
      </w:r>
      <w:r w:rsidR="00330A45" w:rsidRPr="00425C9A">
        <w:rPr>
          <w:rFonts w:ascii="Times New Roman" w:hAnsi="Times New Roman" w:cs="Times New Roman"/>
          <w:sz w:val="28"/>
          <w:szCs w:val="28"/>
          <w:lang w:val="en-GB"/>
        </w:rPr>
        <w:t xml:space="preserve"> a causal </w:t>
      </w:r>
      <w:r w:rsidR="00330A45" w:rsidRPr="00425C9A">
        <w:rPr>
          <w:rFonts w:ascii="Times New Roman" w:hAnsi="Times New Roman" w:cs="Times New Roman"/>
          <w:i/>
          <w:sz w:val="28"/>
          <w:szCs w:val="28"/>
          <w:lang w:val="en-GB"/>
        </w:rPr>
        <w:t>nexus</w:t>
      </w:r>
      <w:r w:rsidR="00F7744E" w:rsidRPr="00425C9A">
        <w:rPr>
          <w:rFonts w:ascii="Times New Roman" w:hAnsi="Times New Roman" w:cs="Times New Roman"/>
          <w:sz w:val="28"/>
          <w:szCs w:val="28"/>
          <w:lang w:val="en-GB"/>
        </w:rPr>
        <w:t xml:space="preserve"> </w:t>
      </w:r>
      <w:r w:rsidR="00330A45" w:rsidRPr="00425C9A">
        <w:rPr>
          <w:rFonts w:ascii="Times New Roman" w:hAnsi="Times New Roman" w:cs="Times New Roman"/>
          <w:sz w:val="28"/>
          <w:szCs w:val="28"/>
          <w:lang w:val="en-GB"/>
        </w:rPr>
        <w:t>(to complete the inchoate concept in the quotation) rel</w:t>
      </w:r>
      <w:r w:rsidR="00726DD7" w:rsidRPr="00425C9A">
        <w:rPr>
          <w:rFonts w:ascii="Times New Roman" w:hAnsi="Times New Roman" w:cs="Times New Roman"/>
          <w:sz w:val="28"/>
          <w:szCs w:val="28"/>
          <w:lang w:val="en-GB"/>
        </w:rPr>
        <w:t>ates to factual causation. The high c</w:t>
      </w:r>
      <w:r w:rsidR="00330A45" w:rsidRPr="00425C9A">
        <w:rPr>
          <w:rFonts w:ascii="Times New Roman" w:hAnsi="Times New Roman" w:cs="Times New Roman"/>
          <w:sz w:val="28"/>
          <w:szCs w:val="28"/>
          <w:lang w:val="en-GB"/>
        </w:rPr>
        <w:t>ourt’s discussion of principles applicable to legal</w:t>
      </w:r>
      <w:r w:rsidR="00330A45" w:rsidRPr="00425C9A">
        <w:rPr>
          <w:rFonts w:ascii="Times New Roman" w:hAnsi="Times New Roman" w:cs="Times New Roman"/>
          <w:i/>
          <w:sz w:val="28"/>
          <w:szCs w:val="28"/>
          <w:lang w:val="en-GB"/>
        </w:rPr>
        <w:t xml:space="preserve"> </w:t>
      </w:r>
      <w:r w:rsidR="00330A45" w:rsidRPr="00425C9A">
        <w:rPr>
          <w:rFonts w:ascii="Times New Roman" w:hAnsi="Times New Roman" w:cs="Times New Roman"/>
          <w:sz w:val="28"/>
          <w:szCs w:val="28"/>
          <w:lang w:val="en-GB"/>
        </w:rPr>
        <w:t>causation (and</w:t>
      </w:r>
      <w:r>
        <w:rPr>
          <w:rFonts w:ascii="Times New Roman" w:hAnsi="Times New Roman" w:cs="Times New Roman"/>
          <w:sz w:val="28"/>
          <w:szCs w:val="28"/>
          <w:lang w:val="en-GB"/>
        </w:rPr>
        <w:t xml:space="preserve"> its fragmented reference to</w:t>
      </w:r>
      <w:r w:rsidR="00330A45" w:rsidRPr="00425C9A">
        <w:rPr>
          <w:rFonts w:ascii="Times New Roman" w:hAnsi="Times New Roman" w:cs="Times New Roman"/>
          <w:sz w:val="28"/>
          <w:szCs w:val="28"/>
          <w:lang w:val="en-GB"/>
        </w:rPr>
        <w:t xml:space="preserve"> factual causation) re</w:t>
      </w:r>
      <w:r w:rsidR="00F7744E" w:rsidRPr="00425C9A">
        <w:rPr>
          <w:rFonts w:ascii="Times New Roman" w:hAnsi="Times New Roman" w:cs="Times New Roman"/>
          <w:sz w:val="28"/>
          <w:szCs w:val="28"/>
          <w:lang w:val="en-GB"/>
        </w:rPr>
        <w:t xml:space="preserve">veals, with respect, a </w:t>
      </w:r>
      <w:r w:rsidR="00330A45" w:rsidRPr="00425C9A">
        <w:rPr>
          <w:rFonts w:ascii="Times New Roman" w:hAnsi="Times New Roman" w:cs="Times New Roman"/>
          <w:sz w:val="28"/>
          <w:szCs w:val="28"/>
          <w:lang w:val="en-GB"/>
        </w:rPr>
        <w:t>confused analysis.</w:t>
      </w:r>
      <w:r w:rsidR="00D3020C" w:rsidRPr="00425C9A">
        <w:rPr>
          <w:rFonts w:ascii="Times New Roman" w:hAnsi="Times New Roman" w:cs="Times New Roman"/>
          <w:sz w:val="28"/>
          <w:szCs w:val="28"/>
          <w:lang w:val="en-GB"/>
        </w:rPr>
        <w:t xml:space="preserve"> </w:t>
      </w:r>
      <w:r w:rsidR="00330A45" w:rsidRPr="00425C9A">
        <w:rPr>
          <w:rFonts w:ascii="Times New Roman" w:hAnsi="Times New Roman" w:cs="Times New Roman"/>
          <w:sz w:val="28"/>
          <w:szCs w:val="28"/>
          <w:lang w:val="en-GB"/>
        </w:rPr>
        <w:t xml:space="preserve">The upshot </w:t>
      </w:r>
      <w:r w:rsidR="00F7744E" w:rsidRPr="00425C9A">
        <w:rPr>
          <w:rFonts w:ascii="Times New Roman" w:hAnsi="Times New Roman" w:cs="Times New Roman"/>
          <w:sz w:val="28"/>
          <w:szCs w:val="28"/>
          <w:lang w:val="en-GB"/>
        </w:rPr>
        <w:t xml:space="preserve">of the analysis is the conclusion that the </w:t>
      </w:r>
      <w:r w:rsidR="009A1E89" w:rsidRPr="00425C9A">
        <w:rPr>
          <w:rFonts w:ascii="Times New Roman" w:hAnsi="Times New Roman" w:cs="Times New Roman"/>
          <w:sz w:val="28"/>
          <w:szCs w:val="28"/>
          <w:lang w:val="en-GB"/>
        </w:rPr>
        <w:t>high court</w:t>
      </w:r>
      <w:r w:rsidR="00330A45" w:rsidRPr="00425C9A">
        <w:rPr>
          <w:rFonts w:ascii="Times New Roman" w:hAnsi="Times New Roman" w:cs="Times New Roman"/>
          <w:sz w:val="28"/>
          <w:szCs w:val="28"/>
          <w:lang w:val="en-GB"/>
        </w:rPr>
        <w:t xml:space="preserve"> was ‘unable to find any allegations pleaded, demonstrating that the action or inaction by only the President of South Africa … can be said to be the cause of the suspension of the Tribunal’. </w:t>
      </w:r>
      <w:r w:rsidR="003F4E77" w:rsidRPr="00425C9A">
        <w:rPr>
          <w:rFonts w:ascii="Times New Roman" w:hAnsi="Times New Roman" w:cs="Times New Roman"/>
          <w:sz w:val="28"/>
          <w:szCs w:val="28"/>
          <w:lang w:val="en-GB"/>
        </w:rPr>
        <w:t>In that,</w:t>
      </w:r>
      <w:r w:rsidR="00726DD7" w:rsidRPr="00425C9A">
        <w:rPr>
          <w:rFonts w:ascii="Times New Roman" w:hAnsi="Times New Roman" w:cs="Times New Roman"/>
          <w:sz w:val="28"/>
          <w:szCs w:val="28"/>
          <w:lang w:val="en-GB"/>
        </w:rPr>
        <w:t xml:space="preserve"> the high c</w:t>
      </w:r>
      <w:r w:rsidR="00F7744E" w:rsidRPr="00425C9A">
        <w:rPr>
          <w:rFonts w:ascii="Times New Roman" w:hAnsi="Times New Roman" w:cs="Times New Roman"/>
          <w:sz w:val="28"/>
          <w:szCs w:val="28"/>
          <w:lang w:val="en-GB"/>
        </w:rPr>
        <w:t>ourt appears</w:t>
      </w:r>
      <w:r>
        <w:rPr>
          <w:rFonts w:ascii="Times New Roman" w:hAnsi="Times New Roman" w:cs="Times New Roman"/>
          <w:sz w:val="28"/>
          <w:szCs w:val="28"/>
          <w:lang w:val="en-GB"/>
        </w:rPr>
        <w:t>, as well,</w:t>
      </w:r>
      <w:r w:rsidR="00F7744E" w:rsidRPr="00425C9A">
        <w:rPr>
          <w:rFonts w:ascii="Times New Roman" w:hAnsi="Times New Roman" w:cs="Times New Roman"/>
          <w:sz w:val="28"/>
          <w:szCs w:val="28"/>
          <w:lang w:val="en-GB"/>
        </w:rPr>
        <w:t xml:space="preserve"> to </w:t>
      </w:r>
      <w:r w:rsidR="003F4E77" w:rsidRPr="00425C9A">
        <w:rPr>
          <w:rFonts w:ascii="Times New Roman" w:hAnsi="Times New Roman" w:cs="Times New Roman"/>
          <w:sz w:val="28"/>
          <w:szCs w:val="28"/>
          <w:lang w:val="en-GB"/>
        </w:rPr>
        <w:t xml:space="preserve">have </w:t>
      </w:r>
      <w:r w:rsidR="00F7744E" w:rsidRPr="00425C9A">
        <w:rPr>
          <w:rFonts w:ascii="Times New Roman" w:hAnsi="Times New Roman" w:cs="Times New Roman"/>
          <w:sz w:val="28"/>
          <w:szCs w:val="28"/>
          <w:lang w:val="en-GB"/>
        </w:rPr>
        <w:t>misconceive</w:t>
      </w:r>
      <w:r w:rsidR="003F4E77" w:rsidRPr="00425C9A">
        <w:rPr>
          <w:rFonts w:ascii="Times New Roman" w:hAnsi="Times New Roman" w:cs="Times New Roman"/>
          <w:sz w:val="28"/>
          <w:szCs w:val="28"/>
          <w:lang w:val="en-GB"/>
        </w:rPr>
        <w:t>d</w:t>
      </w:r>
      <w:r w:rsidR="00F7744E" w:rsidRPr="00425C9A">
        <w:rPr>
          <w:rFonts w:ascii="Times New Roman" w:hAnsi="Times New Roman" w:cs="Times New Roman"/>
          <w:sz w:val="28"/>
          <w:szCs w:val="28"/>
          <w:lang w:val="en-GB"/>
        </w:rPr>
        <w:t xml:space="preserve"> the test.</w:t>
      </w:r>
      <w:r w:rsidR="00F7744E" w:rsidRPr="00425C9A">
        <w:rPr>
          <w:rStyle w:val="FootnoteReference"/>
          <w:rFonts w:ascii="Times New Roman" w:hAnsi="Times New Roman" w:cs="Times New Roman"/>
          <w:sz w:val="28"/>
          <w:szCs w:val="28"/>
          <w:lang w:val="en-GB"/>
        </w:rPr>
        <w:footnoteReference w:id="29"/>
      </w:r>
    </w:p>
    <w:p w14:paraId="6848EE60" w14:textId="77777777" w:rsidR="00D3020C" w:rsidRPr="00425C9A" w:rsidRDefault="00D3020C" w:rsidP="00587C37">
      <w:pPr>
        <w:spacing w:after="0" w:line="360" w:lineRule="auto"/>
        <w:jc w:val="both"/>
        <w:rPr>
          <w:rFonts w:ascii="Times New Roman" w:hAnsi="Times New Roman" w:cs="Times New Roman"/>
          <w:sz w:val="28"/>
          <w:szCs w:val="28"/>
          <w:lang w:val="en-GB"/>
        </w:rPr>
      </w:pPr>
    </w:p>
    <w:p w14:paraId="50EDD687" w14:textId="7960F5FB" w:rsidR="00330A45" w:rsidRPr="00425C9A" w:rsidRDefault="00381E6C" w:rsidP="00587C37">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[25</w:t>
      </w:r>
      <w:r w:rsidR="00D3020C" w:rsidRPr="00425C9A">
        <w:rPr>
          <w:rFonts w:ascii="Times New Roman" w:hAnsi="Times New Roman" w:cs="Times New Roman"/>
          <w:sz w:val="28"/>
          <w:szCs w:val="28"/>
          <w:lang w:val="en-GB"/>
        </w:rPr>
        <w:t>]</w:t>
      </w:r>
      <w:r w:rsidR="00D3020C" w:rsidRPr="00425C9A">
        <w:rPr>
          <w:rFonts w:ascii="Times New Roman" w:hAnsi="Times New Roman" w:cs="Times New Roman"/>
          <w:sz w:val="28"/>
          <w:szCs w:val="28"/>
          <w:lang w:val="en-GB"/>
        </w:rPr>
        <w:tab/>
      </w:r>
      <w:r w:rsidR="00B512AE" w:rsidRPr="00425C9A">
        <w:rPr>
          <w:rFonts w:ascii="Times New Roman" w:hAnsi="Times New Roman" w:cs="Times New Roman"/>
          <w:sz w:val="28"/>
          <w:szCs w:val="28"/>
          <w:lang w:val="en-GB"/>
        </w:rPr>
        <w:t>Thus, even on this rather perfunctory analysis, i</w:t>
      </w:r>
      <w:r w:rsidR="003F4E77" w:rsidRPr="00425C9A">
        <w:rPr>
          <w:rFonts w:ascii="Times New Roman" w:hAnsi="Times New Roman" w:cs="Times New Roman"/>
          <w:sz w:val="28"/>
          <w:szCs w:val="28"/>
          <w:lang w:val="en-GB"/>
        </w:rPr>
        <w:t>t</w:t>
      </w:r>
      <w:r w:rsidR="00330A45" w:rsidRPr="00425C9A">
        <w:rPr>
          <w:rFonts w:ascii="Times New Roman" w:hAnsi="Times New Roman" w:cs="Times New Roman"/>
          <w:sz w:val="28"/>
          <w:szCs w:val="28"/>
          <w:lang w:val="en-GB"/>
        </w:rPr>
        <w:t xml:space="preserve"> </w:t>
      </w:r>
      <w:r w:rsidR="00B512AE" w:rsidRPr="00425C9A">
        <w:rPr>
          <w:rFonts w:ascii="Times New Roman" w:hAnsi="Times New Roman" w:cs="Times New Roman"/>
          <w:sz w:val="28"/>
          <w:szCs w:val="28"/>
          <w:lang w:val="en-GB"/>
        </w:rPr>
        <w:t>must follow</w:t>
      </w:r>
      <w:r w:rsidR="00330A45" w:rsidRPr="00425C9A">
        <w:rPr>
          <w:rFonts w:ascii="Times New Roman" w:hAnsi="Times New Roman" w:cs="Times New Roman"/>
          <w:sz w:val="28"/>
          <w:szCs w:val="28"/>
          <w:lang w:val="en-GB"/>
        </w:rPr>
        <w:t xml:space="preserve"> </w:t>
      </w:r>
      <w:r w:rsidR="00726DD7" w:rsidRPr="00425C9A">
        <w:rPr>
          <w:rFonts w:ascii="Times New Roman" w:hAnsi="Times New Roman" w:cs="Times New Roman"/>
          <w:sz w:val="28"/>
          <w:szCs w:val="28"/>
          <w:lang w:val="en-GB"/>
        </w:rPr>
        <w:t>that</w:t>
      </w:r>
      <w:r w:rsidR="00B512AE" w:rsidRPr="00425C9A">
        <w:rPr>
          <w:rFonts w:ascii="Times New Roman" w:hAnsi="Times New Roman" w:cs="Times New Roman"/>
          <w:sz w:val="28"/>
          <w:szCs w:val="28"/>
          <w:lang w:val="en-GB"/>
        </w:rPr>
        <w:t xml:space="preserve">, </w:t>
      </w:r>
      <w:r w:rsidR="00726DD7" w:rsidRPr="00425C9A">
        <w:rPr>
          <w:rFonts w:ascii="Times New Roman" w:hAnsi="Times New Roman" w:cs="Times New Roman"/>
          <w:sz w:val="28"/>
          <w:szCs w:val="28"/>
          <w:lang w:val="en-GB"/>
        </w:rPr>
        <w:t>in upholding the</w:t>
      </w:r>
      <w:r w:rsidR="00330A45" w:rsidRPr="00425C9A">
        <w:rPr>
          <w:rFonts w:ascii="Times New Roman" w:hAnsi="Times New Roman" w:cs="Times New Roman"/>
          <w:sz w:val="28"/>
          <w:szCs w:val="28"/>
          <w:lang w:val="en-GB"/>
        </w:rPr>
        <w:t xml:space="preserve"> factual causation</w:t>
      </w:r>
      <w:r w:rsidR="00676C2D" w:rsidRPr="00425C9A">
        <w:rPr>
          <w:rFonts w:ascii="Times New Roman" w:hAnsi="Times New Roman" w:cs="Times New Roman"/>
          <w:sz w:val="28"/>
          <w:szCs w:val="28"/>
          <w:lang w:val="en-GB"/>
        </w:rPr>
        <w:t xml:space="preserve"> exception</w:t>
      </w:r>
      <w:r w:rsidR="00726DD7" w:rsidRPr="00425C9A">
        <w:rPr>
          <w:rFonts w:ascii="Times New Roman" w:hAnsi="Times New Roman" w:cs="Times New Roman"/>
          <w:sz w:val="28"/>
          <w:szCs w:val="28"/>
          <w:lang w:val="en-GB"/>
        </w:rPr>
        <w:t>, the judgment of the high court cannot be supported</w:t>
      </w:r>
      <w:r w:rsidR="00330A45" w:rsidRPr="00425C9A">
        <w:rPr>
          <w:rFonts w:ascii="Times New Roman" w:hAnsi="Times New Roman" w:cs="Times New Roman"/>
          <w:sz w:val="28"/>
          <w:szCs w:val="28"/>
          <w:lang w:val="en-GB"/>
        </w:rPr>
        <w:t xml:space="preserve">. </w:t>
      </w:r>
      <w:r w:rsidR="00726DD7" w:rsidRPr="00425C9A">
        <w:rPr>
          <w:rFonts w:ascii="Times New Roman" w:hAnsi="Times New Roman" w:cs="Times New Roman"/>
          <w:sz w:val="28"/>
          <w:szCs w:val="28"/>
          <w:lang w:val="en-GB"/>
        </w:rPr>
        <w:t>And, as I have sought to show, l</w:t>
      </w:r>
      <w:r w:rsidR="00330A45" w:rsidRPr="00425C9A">
        <w:rPr>
          <w:rFonts w:ascii="Times New Roman" w:hAnsi="Times New Roman" w:cs="Times New Roman"/>
          <w:sz w:val="28"/>
          <w:szCs w:val="28"/>
          <w:lang w:val="en-GB"/>
        </w:rPr>
        <w:t>egal</w:t>
      </w:r>
      <w:r w:rsidR="00330A45" w:rsidRPr="00425C9A">
        <w:rPr>
          <w:rFonts w:ascii="Times New Roman" w:hAnsi="Times New Roman" w:cs="Times New Roman"/>
          <w:i/>
          <w:sz w:val="28"/>
          <w:szCs w:val="28"/>
          <w:lang w:val="en-GB"/>
        </w:rPr>
        <w:t xml:space="preserve"> </w:t>
      </w:r>
      <w:r w:rsidR="00D3020C" w:rsidRPr="00425C9A">
        <w:rPr>
          <w:rFonts w:ascii="Times New Roman" w:hAnsi="Times New Roman" w:cs="Times New Roman"/>
          <w:sz w:val="28"/>
          <w:szCs w:val="28"/>
          <w:lang w:val="en-GB"/>
        </w:rPr>
        <w:t>causation did not even arise. Yet</w:t>
      </w:r>
      <w:r w:rsidR="00B512AE" w:rsidRPr="00425C9A">
        <w:rPr>
          <w:rFonts w:ascii="Times New Roman" w:hAnsi="Times New Roman" w:cs="Times New Roman"/>
          <w:sz w:val="28"/>
          <w:szCs w:val="28"/>
          <w:lang w:val="en-GB"/>
        </w:rPr>
        <w:t>,</w:t>
      </w:r>
      <w:r w:rsidR="00D3020C" w:rsidRPr="00425C9A">
        <w:rPr>
          <w:rFonts w:ascii="Times New Roman" w:hAnsi="Times New Roman" w:cs="Times New Roman"/>
          <w:sz w:val="28"/>
          <w:szCs w:val="28"/>
          <w:lang w:val="en-GB"/>
        </w:rPr>
        <w:t xml:space="preserve"> it </w:t>
      </w:r>
      <w:r w:rsidR="00726DD7" w:rsidRPr="00425C9A">
        <w:rPr>
          <w:rFonts w:ascii="Times New Roman" w:hAnsi="Times New Roman" w:cs="Times New Roman"/>
          <w:sz w:val="28"/>
          <w:szCs w:val="28"/>
          <w:lang w:val="en-GB"/>
        </w:rPr>
        <w:t xml:space="preserve">was entertained. </w:t>
      </w:r>
      <w:r w:rsidR="00B512AE" w:rsidRPr="00425C9A">
        <w:rPr>
          <w:rFonts w:ascii="Times New Roman" w:hAnsi="Times New Roman" w:cs="Times New Roman"/>
          <w:sz w:val="28"/>
          <w:szCs w:val="28"/>
          <w:lang w:val="en-GB"/>
        </w:rPr>
        <w:t>Thi</w:t>
      </w:r>
      <w:r w:rsidR="00EA3FEB" w:rsidRPr="00425C9A">
        <w:rPr>
          <w:rFonts w:ascii="Times New Roman" w:hAnsi="Times New Roman" w:cs="Times New Roman"/>
          <w:sz w:val="28"/>
          <w:szCs w:val="28"/>
          <w:lang w:val="en-GB"/>
        </w:rPr>
        <w:t xml:space="preserve">s renders it unnecessary </w:t>
      </w:r>
      <w:r w:rsidR="00B512AE" w:rsidRPr="00425C9A">
        <w:rPr>
          <w:rFonts w:ascii="Times New Roman" w:hAnsi="Times New Roman" w:cs="Times New Roman"/>
          <w:sz w:val="28"/>
          <w:szCs w:val="28"/>
          <w:lang w:val="en-GB"/>
        </w:rPr>
        <w:t>to consider</w:t>
      </w:r>
      <w:r w:rsidR="00EA3FEB" w:rsidRPr="00425C9A">
        <w:rPr>
          <w:rFonts w:ascii="Times New Roman" w:hAnsi="Times New Roman" w:cs="Times New Roman"/>
          <w:sz w:val="28"/>
          <w:szCs w:val="28"/>
          <w:lang w:val="en-GB"/>
        </w:rPr>
        <w:t xml:space="preserve"> the other points urged upon us in the appeal. As these are proceedings on exception, those, I daresay</w:t>
      </w:r>
      <w:r w:rsidR="009F16FF" w:rsidRPr="00425C9A">
        <w:rPr>
          <w:rFonts w:ascii="Times New Roman" w:hAnsi="Times New Roman" w:cs="Times New Roman"/>
          <w:sz w:val="28"/>
          <w:szCs w:val="28"/>
          <w:lang w:val="en-GB"/>
        </w:rPr>
        <w:t>,</w:t>
      </w:r>
      <w:r w:rsidR="00EA3FEB" w:rsidRPr="00425C9A">
        <w:rPr>
          <w:rFonts w:ascii="Times New Roman" w:hAnsi="Times New Roman" w:cs="Times New Roman"/>
          <w:sz w:val="28"/>
          <w:szCs w:val="28"/>
          <w:lang w:val="en-GB"/>
        </w:rPr>
        <w:t xml:space="preserve"> are better left to the trial court.</w:t>
      </w:r>
      <w:r w:rsidR="00B512AE" w:rsidRPr="00425C9A">
        <w:rPr>
          <w:rFonts w:ascii="Times New Roman" w:hAnsi="Times New Roman" w:cs="Times New Roman"/>
          <w:sz w:val="28"/>
          <w:szCs w:val="28"/>
          <w:lang w:val="en-GB"/>
        </w:rPr>
        <w:t xml:space="preserve">  </w:t>
      </w:r>
    </w:p>
    <w:p w14:paraId="4F4BEA55" w14:textId="77777777" w:rsidR="00330A45" w:rsidRPr="00425C9A" w:rsidRDefault="00330A45" w:rsidP="00587C37">
      <w:pPr>
        <w:spacing w:after="0" w:line="360" w:lineRule="auto"/>
        <w:jc w:val="both"/>
        <w:rPr>
          <w:rFonts w:ascii="Times New Roman" w:hAnsi="Times New Roman" w:cs="Times New Roman"/>
          <w:sz w:val="28"/>
          <w:szCs w:val="28"/>
        </w:rPr>
      </w:pPr>
    </w:p>
    <w:p w14:paraId="2E69B14C" w14:textId="74FE25DE" w:rsidR="00330A45" w:rsidRPr="00425C9A" w:rsidRDefault="00381E6C" w:rsidP="00587C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[26</w:t>
      </w:r>
      <w:r w:rsidR="00B512AE" w:rsidRPr="00425C9A">
        <w:rPr>
          <w:rFonts w:ascii="Times New Roman" w:hAnsi="Times New Roman" w:cs="Times New Roman"/>
          <w:sz w:val="28"/>
          <w:szCs w:val="28"/>
        </w:rPr>
        <w:t>]</w:t>
      </w:r>
      <w:r w:rsidR="00B512AE" w:rsidRPr="00425C9A">
        <w:rPr>
          <w:rFonts w:ascii="Times New Roman" w:hAnsi="Times New Roman" w:cs="Times New Roman"/>
          <w:sz w:val="28"/>
          <w:szCs w:val="28"/>
        </w:rPr>
        <w:tab/>
        <w:t xml:space="preserve">It follows that the appeal </w:t>
      </w:r>
      <w:r w:rsidR="00EA3FEB" w:rsidRPr="00425C9A">
        <w:rPr>
          <w:rFonts w:ascii="Times New Roman" w:hAnsi="Times New Roman" w:cs="Times New Roman"/>
          <w:sz w:val="28"/>
          <w:szCs w:val="28"/>
        </w:rPr>
        <w:t xml:space="preserve">against the upholding of the causation exception </w:t>
      </w:r>
      <w:r w:rsidR="002A4994" w:rsidRPr="00425C9A">
        <w:rPr>
          <w:rFonts w:ascii="Times New Roman" w:hAnsi="Times New Roman" w:cs="Times New Roman"/>
          <w:sz w:val="28"/>
          <w:szCs w:val="28"/>
        </w:rPr>
        <w:t xml:space="preserve">must </w:t>
      </w:r>
      <w:r w:rsidR="00330A45" w:rsidRPr="00425C9A">
        <w:rPr>
          <w:rFonts w:ascii="Times New Roman" w:hAnsi="Times New Roman" w:cs="Times New Roman"/>
          <w:sz w:val="28"/>
          <w:szCs w:val="28"/>
        </w:rPr>
        <w:t>succeed. Consequently, para</w:t>
      </w:r>
      <w:r w:rsidR="00B512AE" w:rsidRPr="00425C9A">
        <w:rPr>
          <w:rFonts w:ascii="Times New Roman" w:hAnsi="Times New Roman" w:cs="Times New Roman"/>
          <w:sz w:val="28"/>
          <w:szCs w:val="28"/>
        </w:rPr>
        <w:t xml:space="preserve">graphs 1 and 2 of the order of </w:t>
      </w:r>
      <w:r w:rsidR="00BD505F" w:rsidRPr="00425C9A">
        <w:rPr>
          <w:rFonts w:ascii="Times New Roman" w:hAnsi="Times New Roman" w:cs="Times New Roman"/>
          <w:sz w:val="28"/>
          <w:szCs w:val="28"/>
        </w:rPr>
        <w:t xml:space="preserve">the </w:t>
      </w:r>
      <w:r w:rsidR="00B512AE" w:rsidRPr="00425C9A">
        <w:rPr>
          <w:rFonts w:ascii="Times New Roman" w:hAnsi="Times New Roman" w:cs="Times New Roman"/>
          <w:sz w:val="28"/>
          <w:szCs w:val="28"/>
        </w:rPr>
        <w:t>high court fall to be set aside</w:t>
      </w:r>
      <w:r w:rsidR="00330A45" w:rsidRPr="00425C9A">
        <w:rPr>
          <w:rFonts w:ascii="Times New Roman" w:hAnsi="Times New Roman" w:cs="Times New Roman"/>
          <w:sz w:val="28"/>
          <w:szCs w:val="28"/>
        </w:rPr>
        <w:t>.</w:t>
      </w:r>
    </w:p>
    <w:p w14:paraId="27C37219" w14:textId="77777777" w:rsidR="00330A45" w:rsidRPr="00425C9A" w:rsidRDefault="00330A45" w:rsidP="00587C37">
      <w:pPr>
        <w:spacing w:after="0" w:line="360" w:lineRule="auto"/>
        <w:jc w:val="both"/>
        <w:rPr>
          <w:rFonts w:ascii="Times New Roman" w:hAnsi="Times New Roman" w:cs="Times New Roman"/>
          <w:sz w:val="28"/>
          <w:szCs w:val="28"/>
        </w:rPr>
      </w:pPr>
    </w:p>
    <w:p w14:paraId="0FFCF97C" w14:textId="1AC0CCA7" w:rsidR="00330A45" w:rsidRPr="00425C9A" w:rsidRDefault="00381E6C" w:rsidP="00587C37">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[27</w:t>
      </w:r>
      <w:r w:rsidR="00330A45" w:rsidRPr="00425C9A">
        <w:rPr>
          <w:rFonts w:ascii="Times New Roman" w:hAnsi="Times New Roman" w:cs="Times New Roman"/>
          <w:sz w:val="28"/>
          <w:szCs w:val="28"/>
        </w:rPr>
        <w:t>]</w:t>
      </w:r>
      <w:r w:rsidR="00330A45" w:rsidRPr="00425C9A">
        <w:rPr>
          <w:rFonts w:ascii="Times New Roman" w:hAnsi="Times New Roman" w:cs="Times New Roman"/>
          <w:sz w:val="28"/>
          <w:szCs w:val="28"/>
        </w:rPr>
        <w:tab/>
        <w:t>Turning to</w:t>
      </w:r>
      <w:r w:rsidR="005B1015" w:rsidRPr="00425C9A">
        <w:rPr>
          <w:rFonts w:ascii="Times New Roman" w:hAnsi="Times New Roman" w:cs="Times New Roman"/>
          <w:sz w:val="28"/>
          <w:szCs w:val="28"/>
        </w:rPr>
        <w:t xml:space="preserve"> the respondents’ cross-appeal.</w:t>
      </w:r>
      <w:r w:rsidR="00330A45" w:rsidRPr="00425C9A">
        <w:rPr>
          <w:rFonts w:ascii="Times New Roman" w:hAnsi="Times New Roman" w:cs="Times New Roman"/>
          <w:i/>
          <w:sz w:val="28"/>
          <w:szCs w:val="28"/>
        </w:rPr>
        <w:t xml:space="preserve"> </w:t>
      </w:r>
      <w:r w:rsidR="00330A45" w:rsidRPr="00425C9A">
        <w:rPr>
          <w:rFonts w:ascii="Times New Roman" w:hAnsi="Times New Roman" w:cs="Times New Roman"/>
          <w:sz w:val="28"/>
          <w:szCs w:val="28"/>
        </w:rPr>
        <w:t xml:space="preserve">In </w:t>
      </w:r>
      <w:r w:rsidR="00330A45" w:rsidRPr="00425C9A">
        <w:rPr>
          <w:rFonts w:ascii="Times New Roman" w:hAnsi="Times New Roman" w:cs="Times New Roman"/>
          <w:i/>
          <w:sz w:val="28"/>
          <w:szCs w:val="28"/>
        </w:rPr>
        <w:t>Maize Board v Tiger Oats Ltd</w:t>
      </w:r>
      <w:r w:rsidR="008422BB" w:rsidRPr="00425C9A">
        <w:rPr>
          <w:rFonts w:ascii="Times New Roman" w:hAnsi="Times New Roman" w:cs="Times New Roman"/>
          <w:sz w:val="28"/>
          <w:szCs w:val="28"/>
        </w:rPr>
        <w:t xml:space="preserve"> this C</w:t>
      </w:r>
      <w:r w:rsidR="00330A45" w:rsidRPr="00425C9A">
        <w:rPr>
          <w:rFonts w:ascii="Times New Roman" w:hAnsi="Times New Roman" w:cs="Times New Roman"/>
          <w:sz w:val="28"/>
          <w:szCs w:val="28"/>
        </w:rPr>
        <w:t>ourt held:</w:t>
      </w:r>
    </w:p>
    <w:p w14:paraId="76FBB9B3" w14:textId="77777777" w:rsidR="00330A45" w:rsidRPr="00425C9A" w:rsidRDefault="00330A45" w:rsidP="00587C37">
      <w:pPr>
        <w:spacing w:after="0" w:line="360" w:lineRule="auto"/>
        <w:jc w:val="both"/>
        <w:rPr>
          <w:rFonts w:ascii="Times New Roman" w:hAnsi="Times New Roman" w:cs="Times New Roman"/>
          <w:sz w:val="24"/>
          <w:szCs w:val="24"/>
        </w:rPr>
      </w:pPr>
      <w:r w:rsidRPr="00425C9A">
        <w:rPr>
          <w:rFonts w:ascii="Times New Roman" w:hAnsi="Times New Roman" w:cs="Times New Roman"/>
          <w:sz w:val="24"/>
          <w:szCs w:val="24"/>
        </w:rPr>
        <w:t>‘ . . . it now has to be accepted that a dismissal of an exception (save an exception to the jurisdiction of the court), presented and argued as nothing other than an exception, does not finally dispose of the issue raised by the exception and is not appealable. Such acceptance would on the present state of the law and the jurisprudence of this court create certainty and accordingly be in the best interests of litigating parties. If litigating parties wish to obtain a final decision, whichever way the decision of the court goes on an issue raised by an exception, they should make use of the procedure designed for that purpose namely the procedure provided for in </w:t>
      </w:r>
      <w:hyperlink r:id="rId10" w:anchor="s33" w:history="1">
        <w:r w:rsidRPr="00425C9A">
          <w:rPr>
            <w:rStyle w:val="Hyperlink"/>
            <w:rFonts w:ascii="Times New Roman" w:hAnsi="Times New Roman" w:cs="Times New Roman"/>
            <w:bCs/>
            <w:color w:val="auto"/>
            <w:sz w:val="24"/>
            <w:szCs w:val="24"/>
            <w:u w:val="none"/>
          </w:rPr>
          <w:t>Rule 33</w:t>
        </w:r>
      </w:hyperlink>
      <w:r w:rsidRPr="00425C9A">
        <w:rPr>
          <w:rFonts w:ascii="Times New Roman" w:hAnsi="Times New Roman" w:cs="Times New Roman"/>
          <w:sz w:val="24"/>
          <w:szCs w:val="24"/>
        </w:rPr>
        <w:t> and either agree on a special case in terms of that rule or request the court to direct that the issue be finally disposed of in an appropriate manner. If that is done any misunderstanding on the part of any of the parties and any resulting prejudice should be avoided.’</w:t>
      </w:r>
      <w:r w:rsidRPr="00425C9A">
        <w:rPr>
          <w:rStyle w:val="FootnoteReference"/>
          <w:rFonts w:ascii="Times New Roman" w:hAnsi="Times New Roman" w:cs="Times New Roman"/>
          <w:sz w:val="24"/>
          <w:szCs w:val="24"/>
        </w:rPr>
        <w:footnoteReference w:id="30"/>
      </w:r>
    </w:p>
    <w:p w14:paraId="320FF5F3" w14:textId="63351E5D" w:rsidR="00330A45" w:rsidRPr="00425C9A" w:rsidRDefault="00934685" w:rsidP="00587C37">
      <w:pPr>
        <w:spacing w:after="0" w:line="360" w:lineRule="auto"/>
        <w:jc w:val="both"/>
        <w:rPr>
          <w:rFonts w:ascii="Times New Roman" w:hAnsi="Times New Roman" w:cs="Times New Roman"/>
          <w:sz w:val="28"/>
          <w:szCs w:val="28"/>
        </w:rPr>
      </w:pPr>
      <w:r w:rsidRPr="00425C9A">
        <w:rPr>
          <w:rFonts w:ascii="Times New Roman" w:hAnsi="Times New Roman" w:cs="Times New Roman"/>
          <w:i/>
          <w:sz w:val="28"/>
          <w:szCs w:val="28"/>
        </w:rPr>
        <w:t>Maize Board</w:t>
      </w:r>
      <w:r w:rsidR="00330A45" w:rsidRPr="00425C9A">
        <w:rPr>
          <w:rFonts w:ascii="Times New Roman" w:hAnsi="Times New Roman" w:cs="Times New Roman"/>
          <w:sz w:val="28"/>
          <w:szCs w:val="28"/>
          <w:lang w:val="en-GB"/>
        </w:rPr>
        <w:t xml:space="preserve"> </w:t>
      </w:r>
      <w:r w:rsidRPr="00425C9A">
        <w:rPr>
          <w:rFonts w:ascii="Times New Roman" w:hAnsi="Times New Roman" w:cs="Times New Roman"/>
          <w:sz w:val="28"/>
          <w:szCs w:val="28"/>
          <w:lang w:val="en-GB"/>
        </w:rPr>
        <w:t xml:space="preserve">has been consistently </w:t>
      </w:r>
      <w:r w:rsidR="00330A45" w:rsidRPr="00425C9A">
        <w:rPr>
          <w:rFonts w:ascii="Times New Roman" w:hAnsi="Times New Roman" w:cs="Times New Roman"/>
          <w:sz w:val="28"/>
          <w:szCs w:val="28"/>
          <w:lang w:val="en-GB"/>
        </w:rPr>
        <w:t>f</w:t>
      </w:r>
      <w:r w:rsidRPr="00425C9A">
        <w:rPr>
          <w:rFonts w:ascii="Times New Roman" w:hAnsi="Times New Roman" w:cs="Times New Roman"/>
          <w:sz w:val="28"/>
          <w:szCs w:val="28"/>
          <w:lang w:val="en-GB"/>
        </w:rPr>
        <w:t>ollowed by this Court</w:t>
      </w:r>
      <w:r w:rsidR="00330A45" w:rsidRPr="00425C9A">
        <w:rPr>
          <w:rStyle w:val="FootnoteReference"/>
          <w:rFonts w:ascii="Times New Roman" w:hAnsi="Times New Roman" w:cs="Times New Roman"/>
          <w:sz w:val="28"/>
          <w:szCs w:val="28"/>
          <w:lang w:val="en-GB"/>
        </w:rPr>
        <w:footnoteReference w:id="31"/>
      </w:r>
      <w:r w:rsidRPr="00425C9A">
        <w:rPr>
          <w:rFonts w:ascii="Times New Roman" w:hAnsi="Times New Roman" w:cs="Times New Roman"/>
          <w:sz w:val="28"/>
          <w:szCs w:val="28"/>
          <w:lang w:val="en-GB"/>
        </w:rPr>
        <w:t xml:space="preserve"> and it</w:t>
      </w:r>
      <w:r w:rsidR="00330A45" w:rsidRPr="00425C9A">
        <w:rPr>
          <w:rFonts w:ascii="Times New Roman" w:hAnsi="Times New Roman" w:cs="Times New Roman"/>
          <w:sz w:val="28"/>
          <w:szCs w:val="28"/>
          <w:lang w:val="en-GB"/>
        </w:rPr>
        <w:t xml:space="preserve"> </w:t>
      </w:r>
      <w:r w:rsidR="008422BB" w:rsidRPr="00425C9A">
        <w:rPr>
          <w:rFonts w:ascii="Times New Roman" w:hAnsi="Times New Roman" w:cs="Times New Roman"/>
          <w:sz w:val="28"/>
          <w:szCs w:val="28"/>
        </w:rPr>
        <w:t>is well-established that this C</w:t>
      </w:r>
      <w:r w:rsidR="00330A45" w:rsidRPr="00425C9A">
        <w:rPr>
          <w:rFonts w:ascii="Times New Roman" w:hAnsi="Times New Roman" w:cs="Times New Roman"/>
          <w:sz w:val="28"/>
          <w:szCs w:val="28"/>
        </w:rPr>
        <w:t>ourt will not readily depart from its previous decisions. It follows that the dismissal by the high court of the legal du</w:t>
      </w:r>
      <w:r w:rsidR="00016B4A" w:rsidRPr="00425C9A">
        <w:rPr>
          <w:rFonts w:ascii="Times New Roman" w:hAnsi="Times New Roman" w:cs="Times New Roman"/>
          <w:sz w:val="28"/>
          <w:szCs w:val="28"/>
        </w:rPr>
        <w:t>ty exception is not appealable.</w:t>
      </w:r>
    </w:p>
    <w:p w14:paraId="295B30BD" w14:textId="77777777" w:rsidR="00EA3FEB" w:rsidRPr="00425C9A" w:rsidRDefault="00EA3FEB" w:rsidP="00587C37">
      <w:pPr>
        <w:spacing w:after="0" w:line="360" w:lineRule="auto"/>
        <w:jc w:val="both"/>
        <w:rPr>
          <w:rFonts w:ascii="Times New Roman" w:hAnsi="Times New Roman" w:cs="Times New Roman"/>
          <w:sz w:val="28"/>
          <w:szCs w:val="28"/>
        </w:rPr>
      </w:pPr>
    </w:p>
    <w:p w14:paraId="2A6984C0" w14:textId="2318832D" w:rsidR="00505C57" w:rsidRPr="00425C9A" w:rsidRDefault="00381E6C" w:rsidP="00587C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[28</w:t>
      </w:r>
      <w:r w:rsidR="00330A45" w:rsidRPr="00425C9A">
        <w:rPr>
          <w:rFonts w:ascii="Times New Roman" w:hAnsi="Times New Roman" w:cs="Times New Roman"/>
          <w:sz w:val="28"/>
          <w:szCs w:val="28"/>
        </w:rPr>
        <w:t>]</w:t>
      </w:r>
      <w:r w:rsidR="00330A45" w:rsidRPr="00425C9A">
        <w:rPr>
          <w:rFonts w:ascii="Times New Roman" w:hAnsi="Times New Roman" w:cs="Times New Roman"/>
          <w:sz w:val="28"/>
          <w:szCs w:val="28"/>
        </w:rPr>
        <w:tab/>
        <w:t>T</w:t>
      </w:r>
      <w:r w:rsidR="00934685" w:rsidRPr="00425C9A">
        <w:rPr>
          <w:rFonts w:ascii="Times New Roman" w:hAnsi="Times New Roman" w:cs="Times New Roman"/>
          <w:sz w:val="28"/>
          <w:szCs w:val="28"/>
        </w:rPr>
        <w:t xml:space="preserve">hat leaves </w:t>
      </w:r>
      <w:r w:rsidR="00330A45" w:rsidRPr="00425C9A">
        <w:rPr>
          <w:rFonts w:ascii="Times New Roman" w:hAnsi="Times New Roman" w:cs="Times New Roman"/>
          <w:sz w:val="28"/>
          <w:szCs w:val="28"/>
        </w:rPr>
        <w:t>the conditional condonation applicat</w:t>
      </w:r>
      <w:r w:rsidR="00282979" w:rsidRPr="00425C9A">
        <w:rPr>
          <w:rFonts w:ascii="Times New Roman" w:hAnsi="Times New Roman" w:cs="Times New Roman"/>
          <w:sz w:val="28"/>
          <w:szCs w:val="28"/>
        </w:rPr>
        <w:t>ion:</w:t>
      </w:r>
      <w:r w:rsidR="00330A45" w:rsidRPr="00425C9A">
        <w:rPr>
          <w:rFonts w:ascii="Times New Roman" w:hAnsi="Times New Roman" w:cs="Times New Roman"/>
          <w:sz w:val="28"/>
          <w:szCs w:val="28"/>
        </w:rPr>
        <w:t xml:space="preserve"> </w:t>
      </w:r>
      <w:r w:rsidR="00505C57" w:rsidRPr="00425C9A">
        <w:rPr>
          <w:rFonts w:ascii="Times New Roman" w:hAnsi="Times New Roman" w:cs="Times New Roman"/>
          <w:sz w:val="28"/>
          <w:szCs w:val="28"/>
        </w:rPr>
        <w:t>In</w:t>
      </w:r>
      <w:r w:rsidR="00934685" w:rsidRPr="00425C9A">
        <w:rPr>
          <w:rFonts w:ascii="Times New Roman" w:hAnsi="Times New Roman" w:cs="Times New Roman"/>
          <w:sz w:val="28"/>
          <w:szCs w:val="28"/>
        </w:rPr>
        <w:t>sofar as that</w:t>
      </w:r>
      <w:r w:rsidR="00505C57" w:rsidRPr="00425C9A">
        <w:rPr>
          <w:rFonts w:ascii="Times New Roman" w:hAnsi="Times New Roman" w:cs="Times New Roman"/>
          <w:sz w:val="28"/>
          <w:szCs w:val="28"/>
        </w:rPr>
        <w:t xml:space="preserve"> application is concerned, t</w:t>
      </w:r>
      <w:r w:rsidR="00EA3FEB" w:rsidRPr="00425C9A">
        <w:rPr>
          <w:rFonts w:ascii="Times New Roman" w:hAnsi="Times New Roman" w:cs="Times New Roman"/>
          <w:sz w:val="28"/>
          <w:szCs w:val="28"/>
        </w:rPr>
        <w:t>he high c</w:t>
      </w:r>
      <w:r w:rsidR="00934685" w:rsidRPr="00425C9A">
        <w:rPr>
          <w:rFonts w:ascii="Times New Roman" w:hAnsi="Times New Roman" w:cs="Times New Roman"/>
          <w:sz w:val="28"/>
          <w:szCs w:val="28"/>
        </w:rPr>
        <w:t>ourt</w:t>
      </w:r>
      <w:r w:rsidR="00505C57" w:rsidRPr="00425C9A">
        <w:rPr>
          <w:rFonts w:ascii="Times New Roman" w:hAnsi="Times New Roman" w:cs="Times New Roman"/>
          <w:sz w:val="28"/>
          <w:szCs w:val="28"/>
        </w:rPr>
        <w:t xml:space="preserve"> held:</w:t>
      </w:r>
    </w:p>
    <w:p w14:paraId="2D16752B" w14:textId="77777777" w:rsidR="00505C57" w:rsidRPr="00425C9A" w:rsidRDefault="00505C57" w:rsidP="00587C37">
      <w:pPr>
        <w:spacing w:after="0" w:line="360" w:lineRule="auto"/>
        <w:jc w:val="both"/>
        <w:rPr>
          <w:rFonts w:ascii="Times New Roman" w:hAnsi="Times New Roman" w:cs="Times New Roman"/>
          <w:sz w:val="24"/>
          <w:szCs w:val="24"/>
        </w:rPr>
      </w:pPr>
      <w:r w:rsidRPr="00425C9A">
        <w:rPr>
          <w:rFonts w:ascii="Times New Roman" w:hAnsi="Times New Roman" w:cs="Times New Roman"/>
          <w:sz w:val="24"/>
          <w:szCs w:val="24"/>
        </w:rPr>
        <w:t>‘[25] . . . I conclude that the [appellants] were correct in their stance that no condonation was required on the premise that their cause of action was only complete after delivery of the Constitutional Court’s judgment . . . The launching of the application for condonation on condition that this finding would not be made, was a wise precautionary decision, which, understandably so, was not criticised.</w:t>
      </w:r>
    </w:p>
    <w:p w14:paraId="5199CE08" w14:textId="0D9A1FC0" w:rsidR="00505C57" w:rsidRPr="00425C9A" w:rsidRDefault="00505C57" w:rsidP="00587C37">
      <w:pPr>
        <w:spacing w:after="0" w:line="360" w:lineRule="auto"/>
        <w:jc w:val="both"/>
        <w:rPr>
          <w:rFonts w:ascii="Times New Roman" w:hAnsi="Times New Roman" w:cs="Times New Roman"/>
          <w:sz w:val="24"/>
          <w:szCs w:val="24"/>
        </w:rPr>
      </w:pPr>
      <w:r w:rsidRPr="00425C9A">
        <w:rPr>
          <w:rFonts w:ascii="Times New Roman" w:hAnsi="Times New Roman" w:cs="Times New Roman"/>
          <w:sz w:val="24"/>
          <w:szCs w:val="24"/>
        </w:rPr>
        <w:lastRenderedPageBreak/>
        <w:t>[26]</w:t>
      </w:r>
      <w:r w:rsidR="00002494" w:rsidRPr="00425C9A">
        <w:rPr>
          <w:rFonts w:ascii="Times New Roman" w:hAnsi="Times New Roman" w:cs="Times New Roman"/>
          <w:sz w:val="24"/>
          <w:szCs w:val="24"/>
        </w:rPr>
        <w:t xml:space="preserve"> </w:t>
      </w:r>
      <w:r w:rsidRPr="00425C9A">
        <w:rPr>
          <w:rFonts w:ascii="Times New Roman" w:hAnsi="Times New Roman" w:cs="Times New Roman"/>
          <w:sz w:val="24"/>
          <w:szCs w:val="24"/>
        </w:rPr>
        <w:t>It follows that no order is required to be made in the application for condonation save for the cost</w:t>
      </w:r>
      <w:r w:rsidR="007C1314" w:rsidRPr="00425C9A">
        <w:rPr>
          <w:rFonts w:ascii="Times New Roman" w:hAnsi="Times New Roman" w:cs="Times New Roman"/>
          <w:sz w:val="24"/>
          <w:szCs w:val="24"/>
        </w:rPr>
        <w:t>s</w:t>
      </w:r>
      <w:r w:rsidRPr="00425C9A">
        <w:rPr>
          <w:rFonts w:ascii="Times New Roman" w:hAnsi="Times New Roman" w:cs="Times New Roman"/>
          <w:sz w:val="24"/>
          <w:szCs w:val="24"/>
        </w:rPr>
        <w:t xml:space="preserve"> thereof, to which I shall revert.’</w:t>
      </w:r>
    </w:p>
    <w:p w14:paraId="1481F9D3" w14:textId="77777777" w:rsidR="00934685" w:rsidRPr="00425C9A" w:rsidRDefault="00934685" w:rsidP="00587C37">
      <w:pPr>
        <w:spacing w:after="0" w:line="360" w:lineRule="auto"/>
        <w:jc w:val="both"/>
        <w:rPr>
          <w:rFonts w:ascii="Times New Roman" w:hAnsi="Times New Roman" w:cs="Times New Roman"/>
          <w:sz w:val="28"/>
          <w:szCs w:val="28"/>
        </w:rPr>
      </w:pPr>
    </w:p>
    <w:p w14:paraId="5959E33A" w14:textId="1A4445EC" w:rsidR="0085583C" w:rsidRPr="00425C9A" w:rsidRDefault="00A639AE" w:rsidP="00587C37">
      <w:pPr>
        <w:spacing w:after="0" w:line="360" w:lineRule="auto"/>
        <w:jc w:val="both"/>
        <w:rPr>
          <w:rFonts w:ascii="Times New Roman" w:hAnsi="Times New Roman" w:cs="Times New Roman"/>
          <w:sz w:val="28"/>
          <w:szCs w:val="28"/>
        </w:rPr>
      </w:pPr>
      <w:r w:rsidRPr="00425C9A">
        <w:rPr>
          <w:rFonts w:ascii="Times New Roman" w:hAnsi="Times New Roman" w:cs="Times New Roman"/>
          <w:sz w:val="28"/>
          <w:szCs w:val="28"/>
        </w:rPr>
        <w:t>[2</w:t>
      </w:r>
      <w:r w:rsidR="00381E6C">
        <w:rPr>
          <w:rFonts w:ascii="Times New Roman" w:hAnsi="Times New Roman" w:cs="Times New Roman"/>
          <w:sz w:val="28"/>
          <w:szCs w:val="28"/>
        </w:rPr>
        <w:t>9</w:t>
      </w:r>
      <w:r w:rsidR="00934685" w:rsidRPr="00425C9A">
        <w:rPr>
          <w:rFonts w:ascii="Times New Roman" w:hAnsi="Times New Roman" w:cs="Times New Roman"/>
          <w:sz w:val="28"/>
          <w:szCs w:val="28"/>
        </w:rPr>
        <w:t>]</w:t>
      </w:r>
      <w:r w:rsidR="00934685" w:rsidRPr="00425C9A">
        <w:rPr>
          <w:rFonts w:ascii="Times New Roman" w:hAnsi="Times New Roman" w:cs="Times New Roman"/>
          <w:sz w:val="28"/>
          <w:szCs w:val="28"/>
        </w:rPr>
        <w:tab/>
      </w:r>
      <w:r w:rsidR="007A5FED" w:rsidRPr="00425C9A">
        <w:rPr>
          <w:rFonts w:ascii="Times New Roman" w:hAnsi="Times New Roman" w:cs="Times New Roman"/>
          <w:sz w:val="28"/>
          <w:szCs w:val="28"/>
        </w:rPr>
        <w:t>First, n</w:t>
      </w:r>
      <w:r w:rsidR="00EA3FEB" w:rsidRPr="00425C9A">
        <w:rPr>
          <w:rFonts w:ascii="Times New Roman" w:hAnsi="Times New Roman" w:cs="Times New Roman"/>
          <w:sz w:val="28"/>
          <w:szCs w:val="28"/>
        </w:rPr>
        <w:t>ot having made an order</w:t>
      </w:r>
      <w:r w:rsidR="00BD505F" w:rsidRPr="00425C9A">
        <w:rPr>
          <w:rFonts w:ascii="Times New Roman" w:hAnsi="Times New Roman" w:cs="Times New Roman"/>
          <w:sz w:val="28"/>
          <w:szCs w:val="28"/>
        </w:rPr>
        <w:t>,</w:t>
      </w:r>
      <w:r w:rsidR="00EA3FEB" w:rsidRPr="00425C9A">
        <w:rPr>
          <w:rFonts w:ascii="Times New Roman" w:hAnsi="Times New Roman" w:cs="Times New Roman"/>
          <w:sz w:val="28"/>
          <w:szCs w:val="28"/>
        </w:rPr>
        <w:t xml:space="preserve"> </w:t>
      </w:r>
      <w:r w:rsidR="00E048E0" w:rsidRPr="00425C9A">
        <w:rPr>
          <w:rFonts w:ascii="Times New Roman" w:hAnsi="Times New Roman" w:cs="Times New Roman"/>
          <w:sz w:val="28"/>
          <w:szCs w:val="28"/>
        </w:rPr>
        <w:t>it is unclear why the high c</w:t>
      </w:r>
      <w:r w:rsidR="00083008" w:rsidRPr="00425C9A">
        <w:rPr>
          <w:rFonts w:ascii="Times New Roman" w:hAnsi="Times New Roman" w:cs="Times New Roman"/>
          <w:sz w:val="28"/>
          <w:szCs w:val="28"/>
        </w:rPr>
        <w:t>ourt thereafter saw fit to grant leave to the</w:t>
      </w:r>
      <w:r w:rsidR="008422BB" w:rsidRPr="00425C9A">
        <w:rPr>
          <w:rFonts w:ascii="Times New Roman" w:hAnsi="Times New Roman" w:cs="Times New Roman"/>
          <w:sz w:val="28"/>
          <w:szCs w:val="28"/>
        </w:rPr>
        <w:t xml:space="preserve"> respondents to appeal to this C</w:t>
      </w:r>
      <w:r w:rsidR="00083008" w:rsidRPr="00425C9A">
        <w:rPr>
          <w:rFonts w:ascii="Times New Roman" w:hAnsi="Times New Roman" w:cs="Times New Roman"/>
          <w:sz w:val="28"/>
          <w:szCs w:val="28"/>
        </w:rPr>
        <w:t>ou</w:t>
      </w:r>
      <w:r w:rsidR="00282979" w:rsidRPr="00425C9A">
        <w:rPr>
          <w:rFonts w:ascii="Times New Roman" w:hAnsi="Times New Roman" w:cs="Times New Roman"/>
          <w:sz w:val="28"/>
          <w:szCs w:val="28"/>
        </w:rPr>
        <w:t xml:space="preserve">rt </w:t>
      </w:r>
      <w:r w:rsidR="00083008" w:rsidRPr="00425C9A">
        <w:rPr>
          <w:rFonts w:ascii="Times New Roman" w:hAnsi="Times New Roman" w:cs="Times New Roman"/>
          <w:sz w:val="28"/>
          <w:szCs w:val="28"/>
        </w:rPr>
        <w:t xml:space="preserve">against </w:t>
      </w:r>
      <w:r w:rsidR="00282979" w:rsidRPr="00425C9A">
        <w:rPr>
          <w:rFonts w:ascii="Times New Roman" w:hAnsi="Times New Roman" w:cs="Times New Roman"/>
          <w:sz w:val="28"/>
          <w:szCs w:val="28"/>
        </w:rPr>
        <w:t>what it described as ‘</w:t>
      </w:r>
      <w:r w:rsidR="00083008" w:rsidRPr="00425C9A">
        <w:rPr>
          <w:rFonts w:ascii="Times New Roman" w:hAnsi="Times New Roman" w:cs="Times New Roman"/>
          <w:sz w:val="28"/>
          <w:szCs w:val="28"/>
        </w:rPr>
        <w:t>the order to the extent that the Court did not grant an order dismissing the plaintiffs’ condonation application’. On any re</w:t>
      </w:r>
      <w:r w:rsidR="00A731CB" w:rsidRPr="00425C9A">
        <w:rPr>
          <w:rFonts w:ascii="Times New Roman" w:hAnsi="Times New Roman" w:cs="Times New Roman"/>
          <w:sz w:val="28"/>
          <w:szCs w:val="28"/>
        </w:rPr>
        <w:t xml:space="preserve">ckoning </w:t>
      </w:r>
      <w:r w:rsidR="0085583C" w:rsidRPr="00425C9A">
        <w:rPr>
          <w:rFonts w:ascii="Times New Roman" w:hAnsi="Times New Roman" w:cs="Times New Roman"/>
          <w:sz w:val="28"/>
          <w:szCs w:val="28"/>
        </w:rPr>
        <w:t>no appeala</w:t>
      </w:r>
      <w:r w:rsidR="00BE1ECA" w:rsidRPr="00425C9A">
        <w:rPr>
          <w:rFonts w:ascii="Times New Roman" w:hAnsi="Times New Roman" w:cs="Times New Roman"/>
          <w:sz w:val="28"/>
          <w:szCs w:val="28"/>
        </w:rPr>
        <w:t xml:space="preserve">ble order </w:t>
      </w:r>
      <w:r w:rsidR="00A731CB" w:rsidRPr="00425C9A">
        <w:rPr>
          <w:rFonts w:ascii="Times New Roman" w:hAnsi="Times New Roman" w:cs="Times New Roman"/>
          <w:sz w:val="28"/>
          <w:szCs w:val="28"/>
        </w:rPr>
        <w:t>issued</w:t>
      </w:r>
      <w:r w:rsidR="00083008" w:rsidRPr="00425C9A">
        <w:rPr>
          <w:rFonts w:ascii="Times New Roman" w:hAnsi="Times New Roman" w:cs="Times New Roman"/>
          <w:sz w:val="28"/>
          <w:szCs w:val="28"/>
        </w:rPr>
        <w:t xml:space="preserve">. </w:t>
      </w:r>
      <w:r w:rsidR="00A731CB" w:rsidRPr="00425C9A">
        <w:rPr>
          <w:rFonts w:ascii="Times New Roman" w:hAnsi="Times New Roman" w:cs="Times New Roman"/>
          <w:sz w:val="28"/>
          <w:szCs w:val="28"/>
        </w:rPr>
        <w:t>Hence, no appeal can lie.</w:t>
      </w:r>
    </w:p>
    <w:p w14:paraId="686EFE29" w14:textId="77777777" w:rsidR="0085583C" w:rsidRPr="00425C9A" w:rsidRDefault="0085583C" w:rsidP="00587C37">
      <w:pPr>
        <w:spacing w:after="0" w:line="360" w:lineRule="auto"/>
        <w:jc w:val="both"/>
        <w:rPr>
          <w:rFonts w:ascii="Times New Roman" w:hAnsi="Times New Roman" w:cs="Times New Roman"/>
          <w:sz w:val="28"/>
          <w:szCs w:val="28"/>
        </w:rPr>
      </w:pPr>
    </w:p>
    <w:p w14:paraId="05195FC9" w14:textId="40615FE1" w:rsidR="00934685" w:rsidRPr="00425C9A" w:rsidRDefault="00381E6C" w:rsidP="00587C3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[30</w:t>
      </w:r>
      <w:r w:rsidR="00A731CB" w:rsidRPr="00425C9A">
        <w:rPr>
          <w:rFonts w:ascii="Times New Roman" w:hAnsi="Times New Roman" w:cs="Times New Roman"/>
          <w:sz w:val="28"/>
          <w:szCs w:val="28"/>
        </w:rPr>
        <w:t>]</w:t>
      </w:r>
      <w:r w:rsidR="00A731CB" w:rsidRPr="00425C9A">
        <w:rPr>
          <w:rFonts w:ascii="Times New Roman" w:hAnsi="Times New Roman" w:cs="Times New Roman"/>
          <w:sz w:val="28"/>
          <w:szCs w:val="28"/>
        </w:rPr>
        <w:tab/>
      </w:r>
      <w:r w:rsidR="00BE1ECA" w:rsidRPr="00425C9A">
        <w:rPr>
          <w:rFonts w:ascii="Times New Roman" w:hAnsi="Times New Roman" w:cs="Times New Roman"/>
          <w:sz w:val="28"/>
          <w:szCs w:val="28"/>
        </w:rPr>
        <w:t>Second, a</w:t>
      </w:r>
      <w:r w:rsidR="007A5FED" w:rsidRPr="00425C9A">
        <w:rPr>
          <w:rFonts w:ascii="Times New Roman" w:hAnsi="Times New Roman" w:cs="Times New Roman"/>
          <w:sz w:val="28"/>
          <w:szCs w:val="28"/>
        </w:rPr>
        <w:t>s paragraph 4 of the order gr</w:t>
      </w:r>
      <w:r w:rsidR="008422BB" w:rsidRPr="00425C9A">
        <w:rPr>
          <w:rFonts w:ascii="Times New Roman" w:hAnsi="Times New Roman" w:cs="Times New Roman"/>
          <w:sz w:val="28"/>
          <w:szCs w:val="28"/>
        </w:rPr>
        <w:t>anting leave to appeal to this C</w:t>
      </w:r>
      <w:r w:rsidR="007A5FED" w:rsidRPr="00425C9A">
        <w:rPr>
          <w:rFonts w:ascii="Times New Roman" w:hAnsi="Times New Roman" w:cs="Times New Roman"/>
          <w:sz w:val="28"/>
          <w:szCs w:val="28"/>
        </w:rPr>
        <w:t>ourt appears</w:t>
      </w:r>
      <w:r w:rsidR="00EA3FEB" w:rsidRPr="00425C9A">
        <w:rPr>
          <w:rFonts w:ascii="Times New Roman" w:hAnsi="Times New Roman" w:cs="Times New Roman"/>
          <w:sz w:val="28"/>
          <w:szCs w:val="28"/>
        </w:rPr>
        <w:t xml:space="preserve"> to illustrate, the motivation for the grant of leave</w:t>
      </w:r>
      <w:r w:rsidR="00083008" w:rsidRPr="00425C9A">
        <w:rPr>
          <w:rFonts w:ascii="Times New Roman" w:hAnsi="Times New Roman" w:cs="Times New Roman"/>
          <w:sz w:val="28"/>
          <w:szCs w:val="28"/>
        </w:rPr>
        <w:t xml:space="preserve">, as I discern it, </w:t>
      </w:r>
      <w:r w:rsidR="00A731CB" w:rsidRPr="00425C9A">
        <w:rPr>
          <w:rFonts w:ascii="Times New Roman" w:hAnsi="Times New Roman" w:cs="Times New Roman"/>
          <w:sz w:val="28"/>
          <w:szCs w:val="28"/>
        </w:rPr>
        <w:t>pertains</w:t>
      </w:r>
      <w:r w:rsidR="004660B2" w:rsidRPr="00425C9A">
        <w:rPr>
          <w:rFonts w:ascii="Times New Roman" w:hAnsi="Times New Roman" w:cs="Times New Roman"/>
          <w:sz w:val="28"/>
          <w:szCs w:val="28"/>
        </w:rPr>
        <w:t xml:space="preserve"> to</w:t>
      </w:r>
      <w:r w:rsidR="00FA4BA5" w:rsidRPr="00425C9A">
        <w:rPr>
          <w:rFonts w:ascii="Times New Roman" w:hAnsi="Times New Roman" w:cs="Times New Roman"/>
          <w:sz w:val="28"/>
          <w:szCs w:val="28"/>
        </w:rPr>
        <w:t xml:space="preserve"> </w:t>
      </w:r>
      <w:r w:rsidR="000978B1" w:rsidRPr="00425C9A">
        <w:rPr>
          <w:rFonts w:ascii="Times New Roman" w:hAnsi="Times New Roman" w:cs="Times New Roman"/>
          <w:sz w:val="28"/>
          <w:szCs w:val="28"/>
        </w:rPr>
        <w:t xml:space="preserve">what may have been said </w:t>
      </w:r>
      <w:r w:rsidR="000978B1" w:rsidRPr="00425C9A">
        <w:rPr>
          <w:rFonts w:ascii="Times New Roman" w:hAnsi="Times New Roman" w:cs="Times New Roman"/>
          <w:i/>
          <w:sz w:val="28"/>
          <w:szCs w:val="28"/>
        </w:rPr>
        <w:t>en passant</w:t>
      </w:r>
      <w:r w:rsidR="000978B1" w:rsidRPr="00425C9A">
        <w:rPr>
          <w:rFonts w:ascii="Times New Roman" w:hAnsi="Times New Roman" w:cs="Times New Roman"/>
          <w:sz w:val="28"/>
          <w:szCs w:val="28"/>
        </w:rPr>
        <w:t xml:space="preserve"> by</w:t>
      </w:r>
      <w:r w:rsidR="00083008" w:rsidRPr="00425C9A">
        <w:rPr>
          <w:rFonts w:ascii="Times New Roman" w:hAnsi="Times New Roman" w:cs="Times New Roman"/>
          <w:sz w:val="28"/>
          <w:szCs w:val="28"/>
        </w:rPr>
        <w:t xml:space="preserve"> the </w:t>
      </w:r>
      <w:r w:rsidR="001F2AF6" w:rsidRPr="00425C9A">
        <w:rPr>
          <w:rFonts w:ascii="Times New Roman" w:hAnsi="Times New Roman" w:cs="Times New Roman"/>
          <w:sz w:val="28"/>
          <w:szCs w:val="28"/>
        </w:rPr>
        <w:t>high court</w:t>
      </w:r>
      <w:r w:rsidR="00664D27" w:rsidRPr="00425C9A">
        <w:rPr>
          <w:rFonts w:ascii="Times New Roman" w:hAnsi="Times New Roman" w:cs="Times New Roman"/>
          <w:sz w:val="28"/>
          <w:szCs w:val="28"/>
        </w:rPr>
        <w:t xml:space="preserve"> in arriving at the conclusion that ‘no order is required to be made</w:t>
      </w:r>
      <w:r w:rsidR="00FA4BA5" w:rsidRPr="00425C9A">
        <w:rPr>
          <w:rFonts w:ascii="Times New Roman" w:hAnsi="Times New Roman" w:cs="Times New Roman"/>
          <w:sz w:val="28"/>
          <w:szCs w:val="28"/>
        </w:rPr>
        <w:t>’</w:t>
      </w:r>
      <w:r w:rsidR="001F2AF6" w:rsidRPr="00425C9A">
        <w:rPr>
          <w:rFonts w:ascii="Times New Roman" w:hAnsi="Times New Roman" w:cs="Times New Roman"/>
          <w:sz w:val="28"/>
          <w:szCs w:val="28"/>
        </w:rPr>
        <w:t>.</w:t>
      </w:r>
      <w:r w:rsidR="00083008" w:rsidRPr="00425C9A">
        <w:rPr>
          <w:rFonts w:ascii="Times New Roman" w:hAnsi="Times New Roman" w:cs="Times New Roman"/>
          <w:sz w:val="28"/>
          <w:szCs w:val="28"/>
        </w:rPr>
        <w:t xml:space="preserve"> </w:t>
      </w:r>
      <w:r w:rsidR="007A5FED" w:rsidRPr="00425C9A">
        <w:rPr>
          <w:rFonts w:ascii="Times New Roman" w:hAnsi="Times New Roman" w:cs="Times New Roman"/>
          <w:sz w:val="28"/>
          <w:szCs w:val="28"/>
        </w:rPr>
        <w:t>Paragraph 4, in part,</w:t>
      </w:r>
      <w:r w:rsidR="00282979" w:rsidRPr="00425C9A">
        <w:rPr>
          <w:rFonts w:ascii="Times New Roman" w:hAnsi="Times New Roman" w:cs="Times New Roman"/>
          <w:sz w:val="28"/>
          <w:szCs w:val="28"/>
        </w:rPr>
        <w:t xml:space="preserve"> provides</w:t>
      </w:r>
      <w:r w:rsidR="007A5FED" w:rsidRPr="00425C9A">
        <w:rPr>
          <w:rFonts w:ascii="Times New Roman" w:hAnsi="Times New Roman" w:cs="Times New Roman"/>
          <w:sz w:val="28"/>
          <w:szCs w:val="28"/>
        </w:rPr>
        <w:t xml:space="preserve"> ‘</w:t>
      </w:r>
      <w:r w:rsidR="00A731CB" w:rsidRPr="00425C9A">
        <w:rPr>
          <w:rFonts w:ascii="Times New Roman" w:hAnsi="Times New Roman" w:cs="Times New Roman"/>
          <w:sz w:val="28"/>
          <w:szCs w:val="28"/>
        </w:rPr>
        <w:t>that the determination of the condonation a</w:t>
      </w:r>
      <w:r w:rsidR="007A5FED" w:rsidRPr="00425C9A">
        <w:rPr>
          <w:rFonts w:ascii="Times New Roman" w:hAnsi="Times New Roman" w:cs="Times New Roman"/>
          <w:sz w:val="28"/>
          <w:szCs w:val="28"/>
        </w:rPr>
        <w:t>pplication by [this Court]</w:t>
      </w:r>
      <w:r w:rsidR="00A731CB" w:rsidRPr="00425C9A">
        <w:rPr>
          <w:rFonts w:ascii="Times New Roman" w:hAnsi="Times New Roman" w:cs="Times New Roman"/>
          <w:sz w:val="28"/>
          <w:szCs w:val="28"/>
        </w:rPr>
        <w:t xml:space="preserve"> will finally determine the issue of whether the pla</w:t>
      </w:r>
      <w:r w:rsidR="007A5FED" w:rsidRPr="00425C9A">
        <w:rPr>
          <w:rFonts w:ascii="Times New Roman" w:hAnsi="Times New Roman" w:cs="Times New Roman"/>
          <w:sz w:val="28"/>
          <w:szCs w:val="28"/>
        </w:rPr>
        <w:t>intiffs’ claims have prescribed’</w:t>
      </w:r>
      <w:r w:rsidR="00A731CB" w:rsidRPr="00425C9A">
        <w:rPr>
          <w:rFonts w:ascii="Times New Roman" w:hAnsi="Times New Roman" w:cs="Times New Roman"/>
          <w:sz w:val="28"/>
          <w:szCs w:val="28"/>
        </w:rPr>
        <w:t xml:space="preserve">. </w:t>
      </w:r>
      <w:r w:rsidR="004660B2" w:rsidRPr="00425C9A">
        <w:rPr>
          <w:rFonts w:ascii="Times New Roman" w:hAnsi="Times New Roman" w:cs="Times New Roman"/>
          <w:sz w:val="28"/>
          <w:szCs w:val="28"/>
        </w:rPr>
        <w:t xml:space="preserve">The fallacy </w:t>
      </w:r>
      <w:r w:rsidR="007A5FED" w:rsidRPr="00425C9A">
        <w:rPr>
          <w:rFonts w:ascii="Times New Roman" w:hAnsi="Times New Roman" w:cs="Times New Roman"/>
          <w:sz w:val="28"/>
          <w:szCs w:val="28"/>
        </w:rPr>
        <w:t xml:space="preserve">in the approach, however, </w:t>
      </w:r>
      <w:r w:rsidR="00FA4BA5" w:rsidRPr="00425C9A">
        <w:rPr>
          <w:rFonts w:ascii="Times New Roman" w:hAnsi="Times New Roman" w:cs="Times New Roman"/>
          <w:sz w:val="28"/>
          <w:szCs w:val="28"/>
        </w:rPr>
        <w:t xml:space="preserve">is </w:t>
      </w:r>
      <w:r w:rsidR="004660B2" w:rsidRPr="00425C9A">
        <w:rPr>
          <w:rFonts w:ascii="Times New Roman" w:hAnsi="Times New Roman" w:cs="Times New Roman"/>
          <w:sz w:val="28"/>
          <w:szCs w:val="28"/>
        </w:rPr>
        <w:t xml:space="preserve">to </w:t>
      </w:r>
      <w:r w:rsidR="00FA4BA5" w:rsidRPr="00425C9A">
        <w:rPr>
          <w:rFonts w:ascii="Times New Roman" w:hAnsi="Times New Roman" w:cs="Times New Roman"/>
          <w:sz w:val="28"/>
          <w:szCs w:val="28"/>
        </w:rPr>
        <w:t xml:space="preserve">assume, wrongly so, that an appeal lies against the reasoning of the court below. It does not. An appeal lies against </w:t>
      </w:r>
      <w:r w:rsidR="00083008" w:rsidRPr="00425C9A">
        <w:rPr>
          <w:rFonts w:ascii="Times New Roman" w:hAnsi="Times New Roman" w:cs="Times New Roman"/>
          <w:sz w:val="28"/>
          <w:szCs w:val="28"/>
          <w:lang w:val="en-GB"/>
        </w:rPr>
        <w:t>the substantive order of a court.</w:t>
      </w:r>
      <w:r w:rsidR="00083008" w:rsidRPr="00425C9A">
        <w:rPr>
          <w:rStyle w:val="FootnoteReference"/>
          <w:rFonts w:ascii="Times New Roman" w:hAnsi="Times New Roman" w:cs="Times New Roman"/>
          <w:sz w:val="28"/>
          <w:szCs w:val="28"/>
          <w:lang w:val="en-GB"/>
        </w:rPr>
        <w:footnoteReference w:id="32"/>
      </w:r>
    </w:p>
    <w:p w14:paraId="397C6348" w14:textId="77777777" w:rsidR="00330A45" w:rsidRPr="00425C9A" w:rsidRDefault="00330A45" w:rsidP="00587C37">
      <w:pPr>
        <w:spacing w:after="0" w:line="360" w:lineRule="auto"/>
        <w:jc w:val="both"/>
        <w:rPr>
          <w:rFonts w:ascii="Times New Roman" w:hAnsi="Times New Roman" w:cs="Times New Roman"/>
          <w:sz w:val="28"/>
          <w:szCs w:val="28"/>
        </w:rPr>
      </w:pPr>
    </w:p>
    <w:p w14:paraId="73F9A302" w14:textId="1BE002C4" w:rsidR="005352DC" w:rsidRPr="00425C9A" w:rsidRDefault="00381E6C" w:rsidP="00587C37">
      <w:pPr>
        <w:spacing w:after="0" w:line="360" w:lineRule="auto"/>
        <w:jc w:val="both"/>
        <w:rPr>
          <w:rFonts w:ascii="Times New Roman" w:hAnsi="Times New Roman" w:cs="Times New Roman"/>
          <w:iCs/>
          <w:sz w:val="28"/>
          <w:szCs w:val="28"/>
        </w:rPr>
      </w:pPr>
      <w:r>
        <w:rPr>
          <w:rFonts w:ascii="Times New Roman" w:hAnsi="Times New Roman" w:cs="Times New Roman"/>
          <w:sz w:val="28"/>
          <w:szCs w:val="28"/>
        </w:rPr>
        <w:t>[31</w:t>
      </w:r>
      <w:r w:rsidR="00B837DD" w:rsidRPr="00425C9A">
        <w:rPr>
          <w:rFonts w:ascii="Times New Roman" w:hAnsi="Times New Roman" w:cs="Times New Roman"/>
          <w:sz w:val="28"/>
          <w:szCs w:val="28"/>
        </w:rPr>
        <w:t>]</w:t>
      </w:r>
      <w:r w:rsidR="00B837DD" w:rsidRPr="00425C9A">
        <w:rPr>
          <w:rFonts w:ascii="Times New Roman" w:hAnsi="Times New Roman" w:cs="Times New Roman"/>
          <w:sz w:val="28"/>
          <w:szCs w:val="28"/>
        </w:rPr>
        <w:tab/>
      </w:r>
      <w:r w:rsidR="00BE1ECA" w:rsidRPr="00425C9A">
        <w:rPr>
          <w:rFonts w:ascii="Times New Roman" w:hAnsi="Times New Roman" w:cs="Times New Roman"/>
          <w:sz w:val="28"/>
          <w:szCs w:val="28"/>
        </w:rPr>
        <w:t>Third, whilst</w:t>
      </w:r>
      <w:r w:rsidR="001F2AF6" w:rsidRPr="00425C9A">
        <w:rPr>
          <w:rFonts w:ascii="Times New Roman" w:hAnsi="Times New Roman" w:cs="Times New Roman"/>
          <w:sz w:val="28"/>
          <w:szCs w:val="28"/>
        </w:rPr>
        <w:t xml:space="preserve"> </w:t>
      </w:r>
      <w:r w:rsidR="00BE1ECA" w:rsidRPr="00425C9A">
        <w:rPr>
          <w:rFonts w:ascii="Times New Roman" w:hAnsi="Times New Roman" w:cs="Times New Roman"/>
          <w:sz w:val="28"/>
          <w:szCs w:val="28"/>
        </w:rPr>
        <w:t>i</w:t>
      </w:r>
      <w:r w:rsidR="00FA4BA5" w:rsidRPr="00425C9A">
        <w:rPr>
          <w:rFonts w:ascii="Times New Roman" w:hAnsi="Times New Roman" w:cs="Times New Roman"/>
          <w:sz w:val="28"/>
          <w:szCs w:val="28"/>
        </w:rPr>
        <w:t xml:space="preserve">t is indeed so that condonation cannot be granted if the debt has already been extinguished by </w:t>
      </w:r>
      <w:r w:rsidR="00BE1ECA" w:rsidRPr="00425C9A">
        <w:rPr>
          <w:rFonts w:ascii="Times New Roman" w:hAnsi="Times New Roman" w:cs="Times New Roman"/>
          <w:sz w:val="28"/>
          <w:szCs w:val="28"/>
        </w:rPr>
        <w:t>prescription,</w:t>
      </w:r>
      <w:r w:rsidR="00FA4BA5" w:rsidRPr="00425C9A">
        <w:rPr>
          <w:rFonts w:ascii="Times New Roman" w:hAnsi="Times New Roman" w:cs="Times New Roman"/>
          <w:sz w:val="28"/>
          <w:szCs w:val="28"/>
          <w:vertAlign w:val="superscript"/>
        </w:rPr>
        <w:footnoteReference w:id="33"/>
      </w:r>
      <w:r w:rsidR="00BE1ECA" w:rsidRPr="00425C9A">
        <w:rPr>
          <w:rFonts w:ascii="Times New Roman" w:hAnsi="Times New Roman" w:cs="Times New Roman"/>
          <w:sz w:val="28"/>
          <w:szCs w:val="28"/>
        </w:rPr>
        <w:t xml:space="preserve"> </w:t>
      </w:r>
      <w:r w:rsidR="009D4306" w:rsidRPr="00425C9A">
        <w:rPr>
          <w:rFonts w:ascii="Times New Roman" w:hAnsi="Times New Roman" w:cs="Times New Roman"/>
          <w:iCs/>
          <w:sz w:val="28"/>
          <w:szCs w:val="28"/>
        </w:rPr>
        <w:t>a special defence such as</w:t>
      </w:r>
      <w:r w:rsidR="004660B2" w:rsidRPr="00425C9A">
        <w:rPr>
          <w:rFonts w:ascii="Times New Roman" w:hAnsi="Times New Roman" w:cs="Times New Roman"/>
          <w:iCs/>
          <w:sz w:val="28"/>
          <w:szCs w:val="28"/>
        </w:rPr>
        <w:t xml:space="preserve"> prescription</w:t>
      </w:r>
      <w:r w:rsidR="009D4306" w:rsidRPr="00425C9A">
        <w:rPr>
          <w:rFonts w:ascii="Times New Roman" w:hAnsi="Times New Roman" w:cs="Times New Roman"/>
          <w:iCs/>
          <w:sz w:val="28"/>
          <w:szCs w:val="28"/>
        </w:rPr>
        <w:t xml:space="preserve"> should </w:t>
      </w:r>
      <w:r w:rsidR="00BE1ECA" w:rsidRPr="00425C9A">
        <w:rPr>
          <w:rFonts w:ascii="Times New Roman" w:hAnsi="Times New Roman" w:cs="Times New Roman"/>
          <w:iCs/>
          <w:sz w:val="28"/>
          <w:szCs w:val="28"/>
        </w:rPr>
        <w:t xml:space="preserve">ordinarily </w:t>
      </w:r>
      <w:r w:rsidR="009D4306" w:rsidRPr="00425C9A">
        <w:rPr>
          <w:rFonts w:ascii="Times New Roman" w:hAnsi="Times New Roman" w:cs="Times New Roman"/>
          <w:iCs/>
          <w:sz w:val="28"/>
          <w:szCs w:val="28"/>
        </w:rPr>
        <w:t>be raised by way of a specia</w:t>
      </w:r>
      <w:r w:rsidR="00682394" w:rsidRPr="00425C9A">
        <w:rPr>
          <w:rFonts w:ascii="Times New Roman" w:hAnsi="Times New Roman" w:cs="Times New Roman"/>
          <w:iCs/>
          <w:sz w:val="28"/>
          <w:szCs w:val="28"/>
        </w:rPr>
        <w:t>l plea.</w:t>
      </w:r>
      <w:r w:rsidR="009D4306" w:rsidRPr="00425C9A">
        <w:rPr>
          <w:rFonts w:ascii="Times New Roman" w:hAnsi="Times New Roman" w:cs="Times New Roman"/>
          <w:iCs/>
          <w:sz w:val="28"/>
          <w:szCs w:val="28"/>
        </w:rPr>
        <w:t xml:space="preserve"> </w:t>
      </w:r>
      <w:r w:rsidR="005352DC" w:rsidRPr="00425C9A">
        <w:rPr>
          <w:rFonts w:ascii="Times New Roman" w:hAnsi="Times New Roman" w:cs="Times New Roman"/>
          <w:sz w:val="28"/>
          <w:szCs w:val="28"/>
        </w:rPr>
        <w:t>In which event, it would be open to a plaintiff to file a replication to the effect that the claim had not prescribed</w:t>
      </w:r>
      <w:r w:rsidR="00282979" w:rsidRPr="00425C9A">
        <w:rPr>
          <w:rFonts w:ascii="Times New Roman" w:hAnsi="Times New Roman" w:cs="Times New Roman"/>
          <w:sz w:val="28"/>
          <w:szCs w:val="28"/>
        </w:rPr>
        <w:t>, inter alia, because</w:t>
      </w:r>
      <w:r w:rsidR="005352DC" w:rsidRPr="00425C9A">
        <w:rPr>
          <w:rFonts w:ascii="Times New Roman" w:hAnsi="Times New Roman" w:cs="Times New Roman"/>
          <w:sz w:val="28"/>
          <w:szCs w:val="28"/>
        </w:rPr>
        <w:t xml:space="preserve"> in terms of</w:t>
      </w:r>
      <w:r w:rsidR="00995B7A" w:rsidRPr="00425C9A">
        <w:rPr>
          <w:rFonts w:ascii="Times New Roman" w:hAnsi="Times New Roman" w:cs="Times New Roman"/>
          <w:sz w:val="28"/>
          <w:szCs w:val="28"/>
        </w:rPr>
        <w:t xml:space="preserve"> </w:t>
      </w:r>
      <w:hyperlink r:id="rId11" w:anchor="s12" w:history="1">
        <w:r w:rsidR="005352DC" w:rsidRPr="00425C9A">
          <w:rPr>
            <w:rStyle w:val="Hyperlink"/>
            <w:rFonts w:ascii="Times New Roman" w:hAnsi="Times New Roman" w:cs="Times New Roman"/>
            <w:bCs/>
            <w:color w:val="auto"/>
            <w:sz w:val="28"/>
            <w:szCs w:val="28"/>
            <w:u w:val="none"/>
          </w:rPr>
          <w:t>s 12</w:t>
        </w:r>
      </w:hyperlink>
      <w:r w:rsidR="00995B7A" w:rsidRPr="00425C9A">
        <w:rPr>
          <w:rFonts w:ascii="Times New Roman" w:hAnsi="Times New Roman" w:cs="Times New Roman"/>
          <w:sz w:val="28"/>
          <w:szCs w:val="28"/>
        </w:rPr>
        <w:t xml:space="preserve"> </w:t>
      </w:r>
      <w:r w:rsidR="005352DC" w:rsidRPr="00425C9A">
        <w:rPr>
          <w:rFonts w:ascii="Times New Roman" w:hAnsi="Times New Roman" w:cs="Times New Roman"/>
          <w:sz w:val="28"/>
          <w:szCs w:val="28"/>
        </w:rPr>
        <w:t>of the</w:t>
      </w:r>
      <w:r w:rsidR="00995B7A" w:rsidRPr="00425C9A">
        <w:rPr>
          <w:rFonts w:ascii="Times New Roman" w:hAnsi="Times New Roman" w:cs="Times New Roman"/>
          <w:sz w:val="28"/>
          <w:szCs w:val="28"/>
        </w:rPr>
        <w:t xml:space="preserve"> </w:t>
      </w:r>
      <w:hyperlink r:id="rId12" w:history="1">
        <w:r w:rsidR="005352DC" w:rsidRPr="00425C9A">
          <w:rPr>
            <w:rStyle w:val="Hyperlink"/>
            <w:rFonts w:ascii="Times New Roman" w:hAnsi="Times New Roman" w:cs="Times New Roman"/>
            <w:bCs/>
            <w:color w:val="auto"/>
            <w:sz w:val="28"/>
            <w:szCs w:val="28"/>
            <w:u w:val="none"/>
          </w:rPr>
          <w:t>Prescription Act,</w:t>
        </w:r>
        <w:r w:rsidR="00EA3FEB" w:rsidRPr="00425C9A">
          <w:rPr>
            <w:rStyle w:val="FootnoteReference"/>
            <w:rFonts w:ascii="Times New Roman" w:hAnsi="Times New Roman" w:cs="Times New Roman"/>
            <w:bCs/>
            <w:sz w:val="28"/>
            <w:szCs w:val="28"/>
          </w:rPr>
          <w:footnoteReference w:id="34"/>
        </w:r>
        <w:r w:rsidR="005352DC" w:rsidRPr="00425C9A">
          <w:rPr>
            <w:rStyle w:val="Hyperlink"/>
            <w:rFonts w:ascii="Times New Roman" w:hAnsi="Times New Roman" w:cs="Times New Roman"/>
            <w:bCs/>
            <w:color w:val="auto"/>
            <w:sz w:val="28"/>
            <w:szCs w:val="28"/>
            <w:u w:val="none"/>
          </w:rPr>
          <w:t xml:space="preserve"> the</w:t>
        </w:r>
      </w:hyperlink>
      <w:r w:rsidR="00995B7A" w:rsidRPr="00425C9A">
        <w:rPr>
          <w:rFonts w:ascii="Times New Roman" w:hAnsi="Times New Roman" w:cs="Times New Roman"/>
          <w:sz w:val="28"/>
          <w:szCs w:val="28"/>
        </w:rPr>
        <w:t xml:space="preserve"> </w:t>
      </w:r>
      <w:r w:rsidR="005352DC" w:rsidRPr="00425C9A">
        <w:rPr>
          <w:rFonts w:ascii="Times New Roman" w:hAnsi="Times New Roman" w:cs="Times New Roman"/>
          <w:sz w:val="28"/>
          <w:szCs w:val="28"/>
        </w:rPr>
        <w:t xml:space="preserve">debt only became due on a date less than three years prior to the date of service of the summons or because prescription had been interrupted in terms of </w:t>
      </w:r>
      <w:hyperlink r:id="rId13" w:anchor="s15" w:history="1">
        <w:r w:rsidR="005352DC" w:rsidRPr="00425C9A">
          <w:rPr>
            <w:rStyle w:val="Hyperlink"/>
            <w:rFonts w:ascii="Times New Roman" w:hAnsi="Times New Roman" w:cs="Times New Roman"/>
            <w:bCs/>
            <w:color w:val="auto"/>
            <w:sz w:val="28"/>
            <w:szCs w:val="28"/>
            <w:u w:val="none"/>
          </w:rPr>
          <w:t>s 15</w:t>
        </w:r>
      </w:hyperlink>
      <w:r w:rsidR="00995B7A" w:rsidRPr="00425C9A">
        <w:rPr>
          <w:rFonts w:ascii="Times New Roman" w:hAnsi="Times New Roman" w:cs="Times New Roman"/>
          <w:sz w:val="28"/>
          <w:szCs w:val="28"/>
        </w:rPr>
        <w:t xml:space="preserve"> </w:t>
      </w:r>
      <w:hyperlink r:id="rId14" w:history="1">
        <w:r w:rsidR="005352DC" w:rsidRPr="00425C9A">
          <w:rPr>
            <w:rStyle w:val="Hyperlink"/>
            <w:rFonts w:ascii="Times New Roman" w:hAnsi="Times New Roman" w:cs="Times New Roman"/>
            <w:bCs/>
            <w:color w:val="auto"/>
            <w:sz w:val="28"/>
            <w:szCs w:val="28"/>
            <w:u w:val="none"/>
          </w:rPr>
          <w:t>or</w:t>
        </w:r>
      </w:hyperlink>
      <w:r w:rsidR="00995B7A" w:rsidRPr="00425C9A">
        <w:rPr>
          <w:rFonts w:ascii="Times New Roman" w:hAnsi="Times New Roman" w:cs="Times New Roman"/>
          <w:sz w:val="28"/>
          <w:szCs w:val="28"/>
        </w:rPr>
        <w:t xml:space="preserve"> </w:t>
      </w:r>
      <w:r w:rsidR="005352DC" w:rsidRPr="00425C9A">
        <w:rPr>
          <w:rFonts w:ascii="Times New Roman" w:hAnsi="Times New Roman" w:cs="Times New Roman"/>
          <w:sz w:val="28"/>
          <w:szCs w:val="28"/>
        </w:rPr>
        <w:lastRenderedPageBreak/>
        <w:t>because the completion of prescription had been delayed in terms of</w:t>
      </w:r>
      <w:r w:rsidR="00995B7A" w:rsidRPr="00425C9A">
        <w:rPr>
          <w:rFonts w:ascii="Times New Roman" w:hAnsi="Times New Roman" w:cs="Times New Roman"/>
          <w:sz w:val="28"/>
          <w:szCs w:val="28"/>
        </w:rPr>
        <w:t xml:space="preserve"> </w:t>
      </w:r>
      <w:hyperlink r:id="rId15" w:anchor="s13" w:history="1">
        <w:r w:rsidR="005352DC" w:rsidRPr="00425C9A">
          <w:rPr>
            <w:rStyle w:val="Hyperlink"/>
            <w:rFonts w:ascii="Times New Roman" w:hAnsi="Times New Roman" w:cs="Times New Roman"/>
            <w:bCs/>
            <w:color w:val="auto"/>
            <w:sz w:val="28"/>
            <w:szCs w:val="28"/>
            <w:u w:val="none"/>
          </w:rPr>
          <w:t>s 13</w:t>
        </w:r>
      </w:hyperlink>
      <w:r w:rsidR="005352DC" w:rsidRPr="00425C9A">
        <w:rPr>
          <w:rFonts w:ascii="Times New Roman" w:hAnsi="Times New Roman" w:cs="Times New Roman"/>
          <w:bCs/>
          <w:sz w:val="28"/>
          <w:szCs w:val="28"/>
        </w:rPr>
        <w:t>.</w:t>
      </w:r>
      <w:r w:rsidR="005352DC" w:rsidRPr="00425C9A">
        <w:rPr>
          <w:rStyle w:val="FootnoteReference"/>
          <w:rFonts w:ascii="Times New Roman" w:hAnsi="Times New Roman" w:cs="Times New Roman"/>
          <w:bCs/>
          <w:sz w:val="28"/>
          <w:szCs w:val="28"/>
        </w:rPr>
        <w:footnoteReference w:id="35"/>
      </w:r>
      <w:r w:rsidR="009D4306" w:rsidRPr="00425C9A">
        <w:rPr>
          <w:rFonts w:ascii="Times New Roman" w:hAnsi="Times New Roman" w:cs="Times New Roman"/>
          <w:iCs/>
          <w:sz w:val="28"/>
          <w:szCs w:val="28"/>
        </w:rPr>
        <w:t xml:space="preserve"> </w:t>
      </w:r>
      <w:r w:rsidR="00282979" w:rsidRPr="00425C9A">
        <w:rPr>
          <w:rFonts w:ascii="Times New Roman" w:hAnsi="Times New Roman" w:cs="Times New Roman"/>
          <w:iCs/>
          <w:sz w:val="28"/>
          <w:szCs w:val="28"/>
        </w:rPr>
        <w:t>The issue</w:t>
      </w:r>
      <w:r w:rsidR="004660B2" w:rsidRPr="00425C9A">
        <w:rPr>
          <w:rFonts w:ascii="Times New Roman" w:hAnsi="Times New Roman" w:cs="Times New Roman"/>
          <w:iCs/>
          <w:sz w:val="28"/>
          <w:szCs w:val="28"/>
        </w:rPr>
        <w:t xml:space="preserve"> could </w:t>
      </w:r>
      <w:r w:rsidR="009D4306" w:rsidRPr="00425C9A">
        <w:rPr>
          <w:rFonts w:ascii="Times New Roman" w:hAnsi="Times New Roman" w:cs="Times New Roman"/>
          <w:iCs/>
          <w:sz w:val="28"/>
          <w:szCs w:val="28"/>
        </w:rPr>
        <w:t xml:space="preserve">thereafter </w:t>
      </w:r>
      <w:r w:rsidR="00682394" w:rsidRPr="00425C9A">
        <w:rPr>
          <w:rFonts w:ascii="Times New Roman" w:hAnsi="Times New Roman" w:cs="Times New Roman"/>
          <w:iCs/>
          <w:sz w:val="28"/>
          <w:szCs w:val="28"/>
        </w:rPr>
        <w:t>be dealt with, if so advised,</w:t>
      </w:r>
      <w:r w:rsidR="009D4306" w:rsidRPr="00425C9A">
        <w:rPr>
          <w:rFonts w:ascii="Times New Roman" w:hAnsi="Times New Roman" w:cs="Times New Roman"/>
          <w:iCs/>
          <w:sz w:val="28"/>
          <w:szCs w:val="28"/>
        </w:rPr>
        <w:t xml:space="preserve"> under rule 33, especially rule 33(4).</w:t>
      </w:r>
      <w:r w:rsidR="009D4306" w:rsidRPr="00425C9A">
        <w:rPr>
          <w:rFonts w:ascii="Times New Roman" w:hAnsi="Times New Roman" w:cs="Times New Roman"/>
          <w:iCs/>
          <w:sz w:val="28"/>
          <w:szCs w:val="28"/>
          <w:vertAlign w:val="superscript"/>
        </w:rPr>
        <w:footnoteReference w:id="36"/>
      </w:r>
    </w:p>
    <w:p w14:paraId="4AEF8C78" w14:textId="77777777" w:rsidR="00330A45" w:rsidRPr="00425C9A" w:rsidRDefault="00330A45" w:rsidP="00587C37">
      <w:pPr>
        <w:spacing w:after="0" w:line="360" w:lineRule="auto"/>
        <w:jc w:val="both"/>
        <w:rPr>
          <w:rFonts w:ascii="Times New Roman" w:hAnsi="Times New Roman" w:cs="Times New Roman"/>
          <w:bCs/>
          <w:sz w:val="28"/>
          <w:szCs w:val="28"/>
        </w:rPr>
      </w:pPr>
    </w:p>
    <w:p w14:paraId="62ECC476" w14:textId="0968D285" w:rsidR="002579BE" w:rsidRPr="00425C9A" w:rsidRDefault="00381E6C" w:rsidP="00587C37">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[32</w:t>
      </w:r>
      <w:r w:rsidR="00330A45" w:rsidRPr="00425C9A">
        <w:rPr>
          <w:rFonts w:ascii="Times New Roman" w:hAnsi="Times New Roman" w:cs="Times New Roman"/>
          <w:bCs/>
          <w:sz w:val="28"/>
          <w:szCs w:val="28"/>
        </w:rPr>
        <w:t>]</w:t>
      </w:r>
      <w:r w:rsidR="00330A45" w:rsidRPr="00425C9A">
        <w:rPr>
          <w:rFonts w:ascii="Times New Roman" w:hAnsi="Times New Roman" w:cs="Times New Roman"/>
          <w:bCs/>
          <w:sz w:val="28"/>
          <w:szCs w:val="28"/>
        </w:rPr>
        <w:tab/>
      </w:r>
      <w:r w:rsidR="00BE1ECA" w:rsidRPr="00425C9A">
        <w:rPr>
          <w:rFonts w:ascii="Times New Roman" w:hAnsi="Times New Roman" w:cs="Times New Roman"/>
          <w:bCs/>
          <w:sz w:val="28"/>
          <w:szCs w:val="28"/>
        </w:rPr>
        <w:t>Fourth</w:t>
      </w:r>
      <w:r w:rsidR="009F2F01" w:rsidRPr="00425C9A">
        <w:rPr>
          <w:rFonts w:ascii="Times New Roman" w:hAnsi="Times New Roman" w:cs="Times New Roman"/>
          <w:bCs/>
          <w:sz w:val="28"/>
          <w:szCs w:val="28"/>
        </w:rPr>
        <w:t xml:space="preserve"> (and this </w:t>
      </w:r>
      <w:r w:rsidR="007C1314" w:rsidRPr="00425C9A">
        <w:rPr>
          <w:rFonts w:ascii="Times New Roman" w:hAnsi="Times New Roman" w:cs="Times New Roman"/>
          <w:bCs/>
          <w:sz w:val="28"/>
          <w:szCs w:val="28"/>
        </w:rPr>
        <w:t xml:space="preserve">is </w:t>
      </w:r>
      <w:r w:rsidR="009F2F01" w:rsidRPr="00425C9A">
        <w:rPr>
          <w:rFonts w:ascii="Times New Roman" w:hAnsi="Times New Roman" w:cs="Times New Roman"/>
          <w:bCs/>
          <w:sz w:val="28"/>
          <w:szCs w:val="28"/>
        </w:rPr>
        <w:t>linked to the third)</w:t>
      </w:r>
      <w:r w:rsidR="00BE1ECA" w:rsidRPr="00425C9A">
        <w:rPr>
          <w:rFonts w:ascii="Times New Roman" w:hAnsi="Times New Roman" w:cs="Times New Roman"/>
          <w:bCs/>
          <w:sz w:val="28"/>
          <w:szCs w:val="28"/>
        </w:rPr>
        <w:t xml:space="preserve">, </w:t>
      </w:r>
      <w:r w:rsidR="005352DC" w:rsidRPr="00425C9A">
        <w:rPr>
          <w:rFonts w:ascii="Times New Roman" w:hAnsi="Times New Roman" w:cs="Times New Roman"/>
          <w:bCs/>
          <w:sz w:val="28"/>
          <w:szCs w:val="28"/>
        </w:rPr>
        <w:t xml:space="preserve">whilst the determination of a condonation application </w:t>
      </w:r>
      <w:r w:rsidR="009F2F01" w:rsidRPr="00425C9A">
        <w:rPr>
          <w:rFonts w:ascii="Times New Roman" w:hAnsi="Times New Roman" w:cs="Times New Roman"/>
          <w:bCs/>
          <w:sz w:val="28"/>
          <w:szCs w:val="28"/>
        </w:rPr>
        <w:t xml:space="preserve">is usually a necessary </w:t>
      </w:r>
      <w:r w:rsidR="005352DC" w:rsidRPr="00425C9A">
        <w:rPr>
          <w:rFonts w:ascii="Times New Roman" w:hAnsi="Times New Roman" w:cs="Times New Roman"/>
          <w:bCs/>
          <w:sz w:val="28"/>
          <w:szCs w:val="28"/>
        </w:rPr>
        <w:t>precursor</w:t>
      </w:r>
      <w:r w:rsidR="009F2F01" w:rsidRPr="00425C9A">
        <w:rPr>
          <w:rFonts w:ascii="Times New Roman" w:hAnsi="Times New Roman" w:cs="Times New Roman"/>
          <w:bCs/>
          <w:sz w:val="28"/>
          <w:szCs w:val="28"/>
        </w:rPr>
        <w:t xml:space="preserve"> to </w:t>
      </w:r>
      <w:r w:rsidR="0032187A" w:rsidRPr="00425C9A">
        <w:rPr>
          <w:rFonts w:ascii="Times New Roman" w:hAnsi="Times New Roman" w:cs="Times New Roman"/>
          <w:bCs/>
          <w:sz w:val="28"/>
          <w:szCs w:val="28"/>
        </w:rPr>
        <w:t xml:space="preserve">the </w:t>
      </w:r>
      <w:r w:rsidR="002579BE" w:rsidRPr="00425C9A">
        <w:rPr>
          <w:rFonts w:ascii="Times New Roman" w:hAnsi="Times New Roman" w:cs="Times New Roman"/>
          <w:bCs/>
          <w:sz w:val="28"/>
          <w:szCs w:val="28"/>
        </w:rPr>
        <w:t xml:space="preserve">consideration of </w:t>
      </w:r>
      <w:r w:rsidR="009F2F01" w:rsidRPr="00425C9A">
        <w:rPr>
          <w:rFonts w:ascii="Times New Roman" w:hAnsi="Times New Roman" w:cs="Times New Roman"/>
          <w:bCs/>
          <w:sz w:val="28"/>
          <w:szCs w:val="28"/>
        </w:rPr>
        <w:t>the main application or action</w:t>
      </w:r>
      <w:r w:rsidR="002579BE" w:rsidRPr="00425C9A">
        <w:rPr>
          <w:rFonts w:ascii="Times New Roman" w:hAnsi="Times New Roman" w:cs="Times New Roman"/>
          <w:bCs/>
          <w:sz w:val="28"/>
          <w:szCs w:val="28"/>
        </w:rPr>
        <w:t>,</w:t>
      </w:r>
      <w:r w:rsidR="009F2F01" w:rsidRPr="00425C9A">
        <w:rPr>
          <w:rFonts w:ascii="Times New Roman" w:hAnsi="Times New Roman" w:cs="Times New Roman"/>
          <w:bCs/>
          <w:sz w:val="28"/>
          <w:szCs w:val="28"/>
        </w:rPr>
        <w:t xml:space="preserve"> here</w:t>
      </w:r>
      <w:r w:rsidR="005352DC" w:rsidRPr="00425C9A">
        <w:rPr>
          <w:rFonts w:ascii="Times New Roman" w:hAnsi="Times New Roman" w:cs="Times New Roman"/>
          <w:bCs/>
          <w:sz w:val="28"/>
          <w:szCs w:val="28"/>
        </w:rPr>
        <w:t xml:space="preserve"> the </w:t>
      </w:r>
      <w:r w:rsidR="009F2F01" w:rsidRPr="00425C9A">
        <w:rPr>
          <w:rFonts w:ascii="Times New Roman" w:hAnsi="Times New Roman" w:cs="Times New Roman"/>
          <w:bCs/>
          <w:sz w:val="28"/>
          <w:szCs w:val="28"/>
        </w:rPr>
        <w:t xml:space="preserve">application </w:t>
      </w:r>
      <w:r w:rsidR="005352DC" w:rsidRPr="00425C9A">
        <w:rPr>
          <w:rFonts w:ascii="Times New Roman" w:hAnsi="Times New Roman" w:cs="Times New Roman"/>
          <w:bCs/>
          <w:sz w:val="28"/>
          <w:szCs w:val="28"/>
        </w:rPr>
        <w:t>wa</w:t>
      </w:r>
      <w:r w:rsidR="009F2F01" w:rsidRPr="00425C9A">
        <w:rPr>
          <w:rFonts w:ascii="Times New Roman" w:hAnsi="Times New Roman" w:cs="Times New Roman"/>
          <w:bCs/>
          <w:sz w:val="28"/>
          <w:szCs w:val="28"/>
        </w:rPr>
        <w:t>s both in substance and form</w:t>
      </w:r>
      <w:r w:rsidR="002579BE" w:rsidRPr="00425C9A">
        <w:rPr>
          <w:rFonts w:ascii="Times New Roman" w:hAnsi="Times New Roman" w:cs="Times New Roman"/>
          <w:bCs/>
          <w:sz w:val="28"/>
          <w:szCs w:val="28"/>
        </w:rPr>
        <w:t>,</w:t>
      </w:r>
      <w:r w:rsidR="009F2F01" w:rsidRPr="00425C9A">
        <w:rPr>
          <w:rFonts w:ascii="Times New Roman" w:hAnsi="Times New Roman" w:cs="Times New Roman"/>
          <w:bCs/>
          <w:sz w:val="28"/>
          <w:szCs w:val="28"/>
        </w:rPr>
        <w:t xml:space="preserve"> </w:t>
      </w:r>
      <w:r w:rsidR="002579BE" w:rsidRPr="00425C9A">
        <w:rPr>
          <w:rFonts w:ascii="Times New Roman" w:hAnsi="Times New Roman" w:cs="Times New Roman"/>
          <w:bCs/>
          <w:sz w:val="28"/>
          <w:szCs w:val="28"/>
        </w:rPr>
        <w:t xml:space="preserve">as </w:t>
      </w:r>
      <w:r w:rsidR="00282979" w:rsidRPr="00425C9A">
        <w:rPr>
          <w:rFonts w:ascii="Times New Roman" w:hAnsi="Times New Roman" w:cs="Times New Roman"/>
          <w:bCs/>
          <w:sz w:val="28"/>
          <w:szCs w:val="28"/>
        </w:rPr>
        <w:t xml:space="preserve">it was </w:t>
      </w:r>
      <w:r w:rsidR="002579BE" w:rsidRPr="00425C9A">
        <w:rPr>
          <w:rFonts w:ascii="Times New Roman" w:hAnsi="Times New Roman" w:cs="Times New Roman"/>
          <w:bCs/>
          <w:sz w:val="28"/>
          <w:szCs w:val="28"/>
        </w:rPr>
        <w:t xml:space="preserve">styled, </w:t>
      </w:r>
      <w:r w:rsidR="005352DC" w:rsidRPr="00425C9A">
        <w:rPr>
          <w:rFonts w:ascii="Times New Roman" w:hAnsi="Times New Roman" w:cs="Times New Roman"/>
          <w:bCs/>
          <w:sz w:val="28"/>
          <w:szCs w:val="28"/>
        </w:rPr>
        <w:t>a conditi</w:t>
      </w:r>
      <w:r w:rsidR="009F2F01" w:rsidRPr="00425C9A">
        <w:rPr>
          <w:rFonts w:ascii="Times New Roman" w:hAnsi="Times New Roman" w:cs="Times New Roman"/>
          <w:bCs/>
          <w:sz w:val="28"/>
          <w:szCs w:val="28"/>
        </w:rPr>
        <w:t>onal one</w:t>
      </w:r>
      <w:r w:rsidR="005352DC" w:rsidRPr="00425C9A">
        <w:rPr>
          <w:rFonts w:ascii="Times New Roman" w:hAnsi="Times New Roman" w:cs="Times New Roman"/>
          <w:bCs/>
          <w:sz w:val="28"/>
          <w:szCs w:val="28"/>
        </w:rPr>
        <w:t>.</w:t>
      </w:r>
      <w:r w:rsidR="00C15C06" w:rsidRPr="00425C9A">
        <w:rPr>
          <w:rFonts w:ascii="Times New Roman" w:hAnsi="Times New Roman" w:cs="Times New Roman"/>
          <w:bCs/>
          <w:sz w:val="28"/>
          <w:szCs w:val="28"/>
        </w:rPr>
        <w:t xml:space="preserve"> </w:t>
      </w:r>
      <w:r w:rsidR="00BB6F95" w:rsidRPr="00425C9A">
        <w:rPr>
          <w:rFonts w:ascii="Times New Roman" w:hAnsi="Times New Roman" w:cs="Times New Roman"/>
          <w:bCs/>
          <w:sz w:val="28"/>
          <w:szCs w:val="28"/>
        </w:rPr>
        <w:t>The high court</w:t>
      </w:r>
      <w:r w:rsidR="002579BE" w:rsidRPr="00425C9A">
        <w:rPr>
          <w:rFonts w:ascii="Times New Roman" w:hAnsi="Times New Roman" w:cs="Times New Roman"/>
          <w:bCs/>
          <w:sz w:val="28"/>
          <w:szCs w:val="28"/>
        </w:rPr>
        <w:t xml:space="preserve"> appeared to appreciate as much when it stated:</w:t>
      </w:r>
    </w:p>
    <w:p w14:paraId="3758E041" w14:textId="65F530D5" w:rsidR="002579BE" w:rsidRPr="00425C9A" w:rsidRDefault="002579BE" w:rsidP="00587C37">
      <w:pPr>
        <w:spacing w:after="0" w:line="360" w:lineRule="auto"/>
        <w:jc w:val="both"/>
        <w:rPr>
          <w:rFonts w:ascii="Times New Roman" w:hAnsi="Times New Roman" w:cs="Times New Roman"/>
          <w:sz w:val="24"/>
          <w:szCs w:val="24"/>
        </w:rPr>
      </w:pPr>
      <w:r w:rsidRPr="00425C9A">
        <w:rPr>
          <w:rFonts w:ascii="Times New Roman" w:hAnsi="Times New Roman" w:cs="Times New Roman"/>
          <w:sz w:val="24"/>
          <w:szCs w:val="24"/>
        </w:rPr>
        <w:t>‘[15]</w:t>
      </w:r>
      <w:r w:rsidRPr="00425C9A">
        <w:rPr>
          <w:rFonts w:ascii="Times New Roman" w:hAnsi="Times New Roman" w:cs="Times New Roman"/>
          <w:sz w:val="24"/>
          <w:szCs w:val="24"/>
        </w:rPr>
        <w:tab/>
        <w:t>The reason for the condonation application being conditional, the plaintiffs contend, is that condonation on a correct understanding of the legal position, does not arise. The condonation application accordingly, was instituted under the Act, merely as a precaution in an attempt to remove, what was referred to as a non-issue, from the arena.’</w:t>
      </w:r>
    </w:p>
    <w:p w14:paraId="679FFE45" w14:textId="790DA154" w:rsidR="00BB6F95" w:rsidRPr="00425C9A" w:rsidRDefault="00C15C06" w:rsidP="00587C37">
      <w:pPr>
        <w:spacing w:after="0" w:line="360" w:lineRule="auto"/>
        <w:jc w:val="both"/>
        <w:rPr>
          <w:rFonts w:ascii="Times New Roman" w:hAnsi="Times New Roman" w:cs="Times New Roman"/>
          <w:iCs/>
          <w:sz w:val="28"/>
          <w:szCs w:val="28"/>
          <w:lang w:val="en-US"/>
        </w:rPr>
      </w:pPr>
      <w:r w:rsidRPr="00425C9A">
        <w:rPr>
          <w:rFonts w:ascii="Times New Roman" w:hAnsi="Times New Roman" w:cs="Times New Roman"/>
          <w:bCs/>
          <w:sz w:val="28"/>
          <w:szCs w:val="28"/>
        </w:rPr>
        <w:t xml:space="preserve">And yet, it dealt with it, as it were, as if an anterior application that required adjudication up-front. </w:t>
      </w:r>
      <w:r w:rsidR="00BB6F95" w:rsidRPr="00425C9A">
        <w:rPr>
          <w:rFonts w:ascii="Times New Roman" w:hAnsi="Times New Roman" w:cs="Times New Roman"/>
          <w:bCs/>
          <w:sz w:val="28"/>
          <w:szCs w:val="28"/>
        </w:rPr>
        <w:t>Wh</w:t>
      </w:r>
      <w:r w:rsidR="00282979" w:rsidRPr="00425C9A">
        <w:rPr>
          <w:rFonts w:ascii="Times New Roman" w:hAnsi="Times New Roman" w:cs="Times New Roman"/>
          <w:bCs/>
          <w:sz w:val="28"/>
          <w:szCs w:val="28"/>
        </w:rPr>
        <w:t xml:space="preserve">at is more, as I have endeavoured to show, the issue raised </w:t>
      </w:r>
      <w:r w:rsidR="00BB6F95" w:rsidRPr="00425C9A">
        <w:rPr>
          <w:rFonts w:ascii="Times New Roman" w:hAnsi="Times New Roman" w:cs="Times New Roman"/>
          <w:bCs/>
          <w:sz w:val="28"/>
          <w:szCs w:val="28"/>
        </w:rPr>
        <w:t>therein, namely prescription,</w:t>
      </w:r>
      <w:r w:rsidR="00282979" w:rsidRPr="00425C9A">
        <w:rPr>
          <w:rFonts w:ascii="Times New Roman" w:hAnsi="Times New Roman" w:cs="Times New Roman"/>
          <w:bCs/>
          <w:sz w:val="28"/>
          <w:szCs w:val="28"/>
        </w:rPr>
        <w:t xml:space="preserve"> n</w:t>
      </w:r>
      <w:r w:rsidR="00BB6F95" w:rsidRPr="00425C9A">
        <w:rPr>
          <w:rFonts w:ascii="Times New Roman" w:hAnsi="Times New Roman" w:cs="Times New Roman"/>
          <w:bCs/>
          <w:sz w:val="28"/>
          <w:szCs w:val="28"/>
        </w:rPr>
        <w:t xml:space="preserve">either </w:t>
      </w:r>
      <w:r w:rsidR="00282979" w:rsidRPr="00425C9A">
        <w:rPr>
          <w:rFonts w:ascii="Times New Roman" w:hAnsi="Times New Roman" w:cs="Times New Roman"/>
          <w:bCs/>
          <w:sz w:val="28"/>
          <w:szCs w:val="28"/>
        </w:rPr>
        <w:t xml:space="preserve">lent itself </w:t>
      </w:r>
      <w:r w:rsidR="00BB6F95" w:rsidRPr="00425C9A">
        <w:rPr>
          <w:rFonts w:ascii="Times New Roman" w:hAnsi="Times New Roman" w:cs="Times New Roman"/>
          <w:bCs/>
          <w:sz w:val="28"/>
          <w:szCs w:val="28"/>
        </w:rPr>
        <w:t>to adjudication</w:t>
      </w:r>
      <w:r w:rsidR="00E048E0" w:rsidRPr="00425C9A">
        <w:rPr>
          <w:rFonts w:ascii="Times New Roman" w:hAnsi="Times New Roman" w:cs="Times New Roman"/>
          <w:bCs/>
          <w:sz w:val="28"/>
          <w:szCs w:val="28"/>
        </w:rPr>
        <w:t>,</w:t>
      </w:r>
      <w:r w:rsidR="00BB6F95" w:rsidRPr="00425C9A">
        <w:rPr>
          <w:rFonts w:ascii="Times New Roman" w:hAnsi="Times New Roman" w:cs="Times New Roman"/>
          <w:bCs/>
          <w:sz w:val="28"/>
          <w:szCs w:val="28"/>
        </w:rPr>
        <w:t xml:space="preserve"> </w:t>
      </w:r>
      <w:r w:rsidR="00282979" w:rsidRPr="00425C9A">
        <w:rPr>
          <w:rFonts w:ascii="Times New Roman" w:hAnsi="Times New Roman" w:cs="Times New Roman"/>
          <w:bCs/>
          <w:sz w:val="28"/>
          <w:szCs w:val="28"/>
        </w:rPr>
        <w:t>n</w:t>
      </w:r>
      <w:r w:rsidR="00BB6F95" w:rsidRPr="00425C9A">
        <w:rPr>
          <w:rFonts w:ascii="Times New Roman" w:hAnsi="Times New Roman" w:cs="Times New Roman"/>
          <w:bCs/>
          <w:sz w:val="28"/>
          <w:szCs w:val="28"/>
        </w:rPr>
        <w:t>or final determination</w:t>
      </w:r>
      <w:r w:rsidR="00E048E0" w:rsidRPr="00425C9A">
        <w:rPr>
          <w:rFonts w:ascii="Times New Roman" w:hAnsi="Times New Roman" w:cs="Times New Roman"/>
          <w:bCs/>
          <w:sz w:val="28"/>
          <w:szCs w:val="28"/>
        </w:rPr>
        <w:t>,</w:t>
      </w:r>
      <w:r w:rsidR="00BB6F95" w:rsidRPr="00425C9A">
        <w:rPr>
          <w:rFonts w:ascii="Times New Roman" w:hAnsi="Times New Roman" w:cs="Times New Roman"/>
          <w:bCs/>
          <w:sz w:val="28"/>
          <w:szCs w:val="28"/>
        </w:rPr>
        <w:t xml:space="preserve"> on the papers as they stood. </w:t>
      </w:r>
      <w:r w:rsidR="00BB6F95" w:rsidRPr="00425C9A">
        <w:rPr>
          <w:rFonts w:ascii="Times New Roman" w:hAnsi="Times New Roman" w:cs="Times New Roman"/>
          <w:iCs/>
          <w:sz w:val="28"/>
          <w:szCs w:val="28"/>
          <w:lang w:val="en-US"/>
        </w:rPr>
        <w:t>In that regard,</w:t>
      </w:r>
      <w:r w:rsidR="00BB6F95" w:rsidRPr="00425C9A">
        <w:rPr>
          <w:rFonts w:ascii="Times New Roman" w:hAnsi="Times New Roman" w:cs="Times New Roman"/>
          <w:bCs/>
          <w:sz w:val="28"/>
          <w:szCs w:val="28"/>
        </w:rPr>
        <w:t xml:space="preserve"> the appellants made plain in their replying affidavit:</w:t>
      </w:r>
    </w:p>
    <w:p w14:paraId="62B21F00" w14:textId="3A5321CB" w:rsidR="00BB6F95" w:rsidRPr="00425C9A" w:rsidRDefault="00BB6F95" w:rsidP="00587C37">
      <w:pPr>
        <w:spacing w:after="0" w:line="360" w:lineRule="auto"/>
        <w:jc w:val="both"/>
        <w:rPr>
          <w:rFonts w:ascii="Times New Roman" w:hAnsi="Times New Roman" w:cs="Times New Roman"/>
          <w:sz w:val="24"/>
          <w:szCs w:val="24"/>
        </w:rPr>
      </w:pPr>
      <w:r w:rsidRPr="00425C9A">
        <w:rPr>
          <w:rFonts w:ascii="Times New Roman" w:hAnsi="Times New Roman" w:cs="Times New Roman"/>
          <w:sz w:val="24"/>
          <w:szCs w:val="24"/>
        </w:rPr>
        <w:t>‘</w:t>
      </w:r>
      <w:r w:rsidR="00325EBA" w:rsidRPr="00425C9A">
        <w:rPr>
          <w:rFonts w:ascii="Times New Roman" w:hAnsi="Times New Roman" w:cs="Times New Roman"/>
          <w:sz w:val="24"/>
          <w:szCs w:val="24"/>
        </w:rPr>
        <w:t xml:space="preserve">[55] </w:t>
      </w:r>
      <w:r w:rsidRPr="00425C9A">
        <w:rPr>
          <w:rFonts w:ascii="Times New Roman" w:hAnsi="Times New Roman" w:cs="Times New Roman"/>
          <w:sz w:val="24"/>
          <w:szCs w:val="24"/>
        </w:rPr>
        <w:t xml:space="preserve">To the extent that the respondents might attempt to persist in their special plea of prescription (in respect of which, as mentioned, they bear the onus) at the trial, this will be met (to the extent that any </w:t>
      </w:r>
      <w:r w:rsidRPr="00425C9A">
        <w:rPr>
          <w:rFonts w:ascii="Times New Roman" w:hAnsi="Times New Roman" w:cs="Times New Roman"/>
          <w:i/>
          <w:sz w:val="24"/>
          <w:szCs w:val="24"/>
        </w:rPr>
        <w:t>prima facie</w:t>
      </w:r>
      <w:r w:rsidRPr="00425C9A">
        <w:rPr>
          <w:rFonts w:ascii="Times New Roman" w:hAnsi="Times New Roman" w:cs="Times New Roman"/>
          <w:sz w:val="24"/>
          <w:szCs w:val="24"/>
        </w:rPr>
        <w:t xml:space="preserve"> case is established) with </w:t>
      </w:r>
      <w:r w:rsidRPr="00425C9A">
        <w:rPr>
          <w:rFonts w:ascii="Times New Roman" w:hAnsi="Times New Roman" w:cs="Times New Roman"/>
          <w:i/>
          <w:sz w:val="24"/>
          <w:szCs w:val="24"/>
        </w:rPr>
        <w:t>viva voce</w:t>
      </w:r>
      <w:r w:rsidRPr="00425C9A">
        <w:rPr>
          <w:rFonts w:ascii="Times New Roman" w:hAnsi="Times New Roman" w:cs="Times New Roman"/>
          <w:sz w:val="24"/>
          <w:szCs w:val="24"/>
        </w:rPr>
        <w:t xml:space="preserve"> evidence at the appropriate stage.’</w:t>
      </w:r>
    </w:p>
    <w:p w14:paraId="665C3351" w14:textId="1FFE6829" w:rsidR="00BE1ECA" w:rsidRPr="00425C9A" w:rsidRDefault="000978B1" w:rsidP="00587C37">
      <w:pPr>
        <w:spacing w:after="0" w:line="360" w:lineRule="auto"/>
        <w:jc w:val="both"/>
        <w:rPr>
          <w:rFonts w:ascii="Times New Roman" w:hAnsi="Times New Roman" w:cs="Times New Roman"/>
          <w:bCs/>
          <w:sz w:val="28"/>
          <w:szCs w:val="28"/>
        </w:rPr>
      </w:pPr>
      <w:r w:rsidRPr="00425C9A">
        <w:rPr>
          <w:rFonts w:ascii="Times New Roman" w:hAnsi="Times New Roman" w:cs="Times New Roman"/>
          <w:bCs/>
          <w:sz w:val="28"/>
          <w:szCs w:val="28"/>
        </w:rPr>
        <w:t xml:space="preserve">It thus seems to me that the high court </w:t>
      </w:r>
      <w:r w:rsidR="00930CFA" w:rsidRPr="00425C9A">
        <w:rPr>
          <w:rFonts w:ascii="Times New Roman" w:hAnsi="Times New Roman" w:cs="Times New Roman"/>
          <w:bCs/>
          <w:sz w:val="28"/>
          <w:szCs w:val="28"/>
        </w:rPr>
        <w:t>would have been better advised</w:t>
      </w:r>
      <w:r w:rsidRPr="00425C9A">
        <w:rPr>
          <w:rFonts w:ascii="Times New Roman" w:hAnsi="Times New Roman" w:cs="Times New Roman"/>
          <w:bCs/>
          <w:sz w:val="28"/>
          <w:szCs w:val="28"/>
        </w:rPr>
        <w:t xml:space="preserve"> not </w:t>
      </w:r>
      <w:r w:rsidR="007C1314" w:rsidRPr="00425C9A">
        <w:rPr>
          <w:rFonts w:ascii="Times New Roman" w:hAnsi="Times New Roman" w:cs="Times New Roman"/>
          <w:bCs/>
          <w:sz w:val="28"/>
          <w:szCs w:val="28"/>
        </w:rPr>
        <w:t xml:space="preserve">to </w:t>
      </w:r>
      <w:r w:rsidRPr="00425C9A">
        <w:rPr>
          <w:rFonts w:ascii="Times New Roman" w:hAnsi="Times New Roman" w:cs="Times New Roman"/>
          <w:bCs/>
          <w:sz w:val="28"/>
          <w:szCs w:val="28"/>
        </w:rPr>
        <w:t>have entered into the conditional condonation application at this stage of the proceedings.</w:t>
      </w:r>
    </w:p>
    <w:p w14:paraId="52E4CF87" w14:textId="77777777" w:rsidR="00BD505F" w:rsidRPr="00425C9A" w:rsidRDefault="00BD505F" w:rsidP="00587C37">
      <w:pPr>
        <w:spacing w:after="0" w:line="360" w:lineRule="auto"/>
        <w:jc w:val="both"/>
        <w:rPr>
          <w:rFonts w:ascii="Times New Roman" w:hAnsi="Times New Roman" w:cs="Times New Roman"/>
          <w:sz w:val="28"/>
          <w:szCs w:val="28"/>
        </w:rPr>
      </w:pPr>
    </w:p>
    <w:p w14:paraId="7A298EFA" w14:textId="73718874" w:rsidR="00331B34" w:rsidRPr="00425C9A" w:rsidRDefault="00381E6C" w:rsidP="00587C37">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[33</w:t>
      </w:r>
      <w:r w:rsidR="00282979" w:rsidRPr="00425C9A">
        <w:rPr>
          <w:rFonts w:ascii="Times New Roman" w:hAnsi="Times New Roman" w:cs="Times New Roman"/>
          <w:bCs/>
          <w:sz w:val="28"/>
          <w:szCs w:val="28"/>
        </w:rPr>
        <w:t>]</w:t>
      </w:r>
      <w:r w:rsidR="00282979" w:rsidRPr="00425C9A">
        <w:rPr>
          <w:rFonts w:ascii="Times New Roman" w:hAnsi="Times New Roman" w:cs="Times New Roman"/>
          <w:bCs/>
          <w:sz w:val="28"/>
          <w:szCs w:val="28"/>
        </w:rPr>
        <w:tab/>
      </w:r>
      <w:r w:rsidR="00331B34" w:rsidRPr="00425C9A">
        <w:rPr>
          <w:rFonts w:ascii="Times New Roman" w:hAnsi="Times New Roman" w:cs="Times New Roman"/>
          <w:bCs/>
          <w:sz w:val="28"/>
          <w:szCs w:val="28"/>
        </w:rPr>
        <w:t xml:space="preserve">It follows that </w:t>
      </w:r>
      <w:r w:rsidR="00404321" w:rsidRPr="00425C9A">
        <w:rPr>
          <w:rFonts w:ascii="Times New Roman" w:hAnsi="Times New Roman" w:cs="Times New Roman"/>
          <w:bCs/>
          <w:sz w:val="28"/>
          <w:szCs w:val="28"/>
        </w:rPr>
        <w:t xml:space="preserve">as both </w:t>
      </w:r>
      <w:r w:rsidR="00404321" w:rsidRPr="00425C9A">
        <w:rPr>
          <w:rFonts w:ascii="Times New Roman" w:hAnsi="Times New Roman" w:cs="Times New Roman"/>
          <w:sz w:val="28"/>
          <w:szCs w:val="28"/>
        </w:rPr>
        <w:t xml:space="preserve">the dismissal by the high court of the legal duty exception and the conclusion that ‘no order is required to be made in the </w:t>
      </w:r>
      <w:r w:rsidR="00404321" w:rsidRPr="00425C9A">
        <w:rPr>
          <w:rFonts w:ascii="Times New Roman" w:hAnsi="Times New Roman" w:cs="Times New Roman"/>
          <w:sz w:val="28"/>
          <w:szCs w:val="28"/>
        </w:rPr>
        <w:lastRenderedPageBreak/>
        <w:t>application for condonation’ are not appealable</w:t>
      </w:r>
      <w:r w:rsidR="00404321" w:rsidRPr="00425C9A">
        <w:rPr>
          <w:rFonts w:ascii="Times New Roman" w:hAnsi="Times New Roman" w:cs="Times New Roman"/>
          <w:bCs/>
          <w:sz w:val="28"/>
          <w:szCs w:val="28"/>
        </w:rPr>
        <w:t xml:space="preserve">, </w:t>
      </w:r>
      <w:r w:rsidR="00331B34" w:rsidRPr="00425C9A">
        <w:rPr>
          <w:rFonts w:ascii="Times New Roman" w:hAnsi="Times New Roman" w:cs="Times New Roman"/>
          <w:bCs/>
          <w:sz w:val="28"/>
          <w:szCs w:val="28"/>
        </w:rPr>
        <w:t xml:space="preserve">the </w:t>
      </w:r>
      <w:r w:rsidR="00BD505F" w:rsidRPr="00425C9A">
        <w:rPr>
          <w:rFonts w:ascii="Times New Roman" w:hAnsi="Times New Roman" w:cs="Times New Roman"/>
          <w:bCs/>
          <w:sz w:val="28"/>
          <w:szCs w:val="28"/>
        </w:rPr>
        <w:t>cross-</w:t>
      </w:r>
      <w:r w:rsidR="00331B34" w:rsidRPr="00425C9A">
        <w:rPr>
          <w:rFonts w:ascii="Times New Roman" w:hAnsi="Times New Roman" w:cs="Times New Roman"/>
          <w:bCs/>
          <w:sz w:val="28"/>
          <w:szCs w:val="28"/>
        </w:rPr>
        <w:t>a</w:t>
      </w:r>
      <w:r w:rsidR="00404321" w:rsidRPr="00425C9A">
        <w:rPr>
          <w:rFonts w:ascii="Times New Roman" w:hAnsi="Times New Roman" w:cs="Times New Roman"/>
          <w:bCs/>
          <w:sz w:val="28"/>
          <w:szCs w:val="28"/>
        </w:rPr>
        <w:t>ppeal falls to be struck from the roll</w:t>
      </w:r>
      <w:r w:rsidR="00331B34" w:rsidRPr="00425C9A">
        <w:rPr>
          <w:rFonts w:ascii="Times New Roman" w:hAnsi="Times New Roman" w:cs="Times New Roman"/>
          <w:bCs/>
          <w:sz w:val="28"/>
          <w:szCs w:val="28"/>
        </w:rPr>
        <w:t>.</w:t>
      </w:r>
    </w:p>
    <w:p w14:paraId="275F03E2" w14:textId="77777777" w:rsidR="00331B34" w:rsidRPr="00425C9A" w:rsidRDefault="00331B34" w:rsidP="00587C37">
      <w:pPr>
        <w:spacing w:after="0" w:line="360" w:lineRule="auto"/>
        <w:jc w:val="both"/>
        <w:rPr>
          <w:rFonts w:ascii="Times New Roman" w:hAnsi="Times New Roman" w:cs="Times New Roman"/>
          <w:bCs/>
          <w:sz w:val="28"/>
          <w:szCs w:val="28"/>
        </w:rPr>
      </w:pPr>
    </w:p>
    <w:p w14:paraId="0324C0B5" w14:textId="21AAC13B" w:rsidR="00331B34" w:rsidRPr="00425C9A" w:rsidRDefault="00381E6C" w:rsidP="00587C37">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[34</w:t>
      </w:r>
      <w:r w:rsidR="00331B34" w:rsidRPr="00425C9A">
        <w:rPr>
          <w:rFonts w:ascii="Times New Roman" w:hAnsi="Times New Roman" w:cs="Times New Roman"/>
          <w:bCs/>
          <w:sz w:val="28"/>
          <w:szCs w:val="28"/>
        </w:rPr>
        <w:t>]</w:t>
      </w:r>
      <w:r w:rsidR="00331B34" w:rsidRPr="00425C9A">
        <w:rPr>
          <w:rFonts w:ascii="Times New Roman" w:hAnsi="Times New Roman" w:cs="Times New Roman"/>
          <w:bCs/>
          <w:sz w:val="28"/>
          <w:szCs w:val="28"/>
        </w:rPr>
        <w:tab/>
        <w:t>In the result:</w:t>
      </w:r>
    </w:p>
    <w:p w14:paraId="34019DCC" w14:textId="5DFE81BD" w:rsidR="00502B36" w:rsidRPr="00425C9A" w:rsidRDefault="0041595F" w:rsidP="00587C37">
      <w:pPr>
        <w:spacing w:after="0" w:line="360" w:lineRule="auto"/>
        <w:ind w:left="720" w:hanging="720"/>
        <w:jc w:val="both"/>
        <w:rPr>
          <w:rFonts w:ascii="Times New Roman" w:hAnsi="Times New Roman" w:cs="Times New Roman"/>
          <w:bCs/>
          <w:sz w:val="28"/>
          <w:szCs w:val="28"/>
        </w:rPr>
      </w:pPr>
      <w:r w:rsidRPr="00425C9A">
        <w:rPr>
          <w:rFonts w:ascii="Times New Roman" w:hAnsi="Times New Roman" w:cs="Times New Roman"/>
          <w:bCs/>
          <w:sz w:val="28"/>
          <w:szCs w:val="28"/>
        </w:rPr>
        <w:t>(</w:t>
      </w:r>
      <w:r w:rsidR="003B6822" w:rsidRPr="00425C9A">
        <w:rPr>
          <w:rFonts w:ascii="Times New Roman" w:hAnsi="Times New Roman" w:cs="Times New Roman"/>
          <w:bCs/>
          <w:sz w:val="28"/>
          <w:szCs w:val="28"/>
        </w:rPr>
        <w:t>1</w:t>
      </w:r>
      <w:r w:rsidRPr="00425C9A">
        <w:rPr>
          <w:rFonts w:ascii="Times New Roman" w:hAnsi="Times New Roman" w:cs="Times New Roman"/>
          <w:bCs/>
          <w:sz w:val="28"/>
          <w:szCs w:val="28"/>
        </w:rPr>
        <w:t>)</w:t>
      </w:r>
      <w:r w:rsidRPr="00425C9A">
        <w:rPr>
          <w:rFonts w:ascii="Times New Roman" w:hAnsi="Times New Roman" w:cs="Times New Roman"/>
          <w:bCs/>
          <w:sz w:val="28"/>
          <w:szCs w:val="28"/>
        </w:rPr>
        <w:tab/>
        <w:t>The appe</w:t>
      </w:r>
      <w:r w:rsidR="00502B36" w:rsidRPr="00425C9A">
        <w:rPr>
          <w:rFonts w:ascii="Times New Roman" w:hAnsi="Times New Roman" w:cs="Times New Roman"/>
          <w:bCs/>
          <w:sz w:val="28"/>
          <w:szCs w:val="28"/>
        </w:rPr>
        <w:t>al is upheld</w:t>
      </w:r>
      <w:r w:rsidR="00BD505F" w:rsidRPr="00425C9A">
        <w:rPr>
          <w:rFonts w:ascii="Times New Roman" w:hAnsi="Times New Roman" w:cs="Times New Roman"/>
          <w:bCs/>
          <w:sz w:val="28"/>
          <w:szCs w:val="28"/>
        </w:rPr>
        <w:t>,</w:t>
      </w:r>
      <w:r w:rsidR="00416BAE" w:rsidRPr="00425C9A">
        <w:rPr>
          <w:rFonts w:ascii="Times New Roman" w:hAnsi="Times New Roman" w:cs="Times New Roman"/>
          <w:bCs/>
          <w:sz w:val="28"/>
          <w:szCs w:val="28"/>
        </w:rPr>
        <w:t xml:space="preserve"> and t</w:t>
      </w:r>
      <w:r w:rsidR="00502B36" w:rsidRPr="00425C9A">
        <w:rPr>
          <w:rFonts w:ascii="Times New Roman" w:hAnsi="Times New Roman" w:cs="Times New Roman"/>
          <w:bCs/>
          <w:sz w:val="28"/>
          <w:szCs w:val="28"/>
        </w:rPr>
        <w:t>he cross</w:t>
      </w:r>
      <w:r w:rsidR="00BD505F" w:rsidRPr="00425C9A">
        <w:rPr>
          <w:rFonts w:ascii="Times New Roman" w:hAnsi="Times New Roman" w:cs="Times New Roman"/>
          <w:bCs/>
          <w:sz w:val="28"/>
          <w:szCs w:val="28"/>
        </w:rPr>
        <w:t>-</w:t>
      </w:r>
      <w:r w:rsidR="00502B36" w:rsidRPr="00425C9A">
        <w:rPr>
          <w:rFonts w:ascii="Times New Roman" w:hAnsi="Times New Roman" w:cs="Times New Roman"/>
          <w:bCs/>
          <w:sz w:val="28"/>
          <w:szCs w:val="28"/>
        </w:rPr>
        <w:t>appeal is struck from the roll</w:t>
      </w:r>
      <w:r w:rsidR="00416BAE" w:rsidRPr="00425C9A">
        <w:rPr>
          <w:rFonts w:ascii="Times New Roman" w:hAnsi="Times New Roman" w:cs="Times New Roman"/>
          <w:bCs/>
          <w:sz w:val="28"/>
          <w:szCs w:val="28"/>
        </w:rPr>
        <w:t>, in each instance</w:t>
      </w:r>
      <w:r w:rsidR="00502B36" w:rsidRPr="00425C9A">
        <w:rPr>
          <w:rFonts w:ascii="Times New Roman" w:hAnsi="Times New Roman" w:cs="Times New Roman"/>
          <w:bCs/>
          <w:sz w:val="28"/>
          <w:szCs w:val="28"/>
        </w:rPr>
        <w:t xml:space="preserve"> with costs</w:t>
      </w:r>
      <w:r w:rsidR="00416BAE" w:rsidRPr="00425C9A">
        <w:rPr>
          <w:rFonts w:ascii="Times New Roman" w:hAnsi="Times New Roman" w:cs="Times New Roman"/>
          <w:bCs/>
          <w:sz w:val="28"/>
          <w:szCs w:val="28"/>
        </w:rPr>
        <w:t>, including those of two counsel.</w:t>
      </w:r>
      <w:r w:rsidR="00502B36" w:rsidRPr="00425C9A">
        <w:rPr>
          <w:rFonts w:ascii="Times New Roman" w:hAnsi="Times New Roman" w:cs="Times New Roman"/>
          <w:bCs/>
          <w:sz w:val="28"/>
          <w:szCs w:val="28"/>
        </w:rPr>
        <w:t xml:space="preserve"> </w:t>
      </w:r>
    </w:p>
    <w:p w14:paraId="3D0F5DE0" w14:textId="62FEA4A0" w:rsidR="0041595F" w:rsidRPr="00425C9A" w:rsidRDefault="00A639AE" w:rsidP="00587C37">
      <w:pPr>
        <w:spacing w:after="0" w:line="360" w:lineRule="auto"/>
        <w:jc w:val="both"/>
        <w:rPr>
          <w:rFonts w:ascii="Times New Roman" w:hAnsi="Times New Roman" w:cs="Times New Roman"/>
          <w:bCs/>
          <w:sz w:val="28"/>
          <w:szCs w:val="28"/>
        </w:rPr>
      </w:pPr>
      <w:r w:rsidRPr="00425C9A">
        <w:rPr>
          <w:rFonts w:ascii="Times New Roman" w:hAnsi="Times New Roman" w:cs="Times New Roman"/>
          <w:bCs/>
          <w:sz w:val="28"/>
          <w:szCs w:val="28"/>
        </w:rPr>
        <w:t>(</w:t>
      </w:r>
      <w:r w:rsidR="003B6822" w:rsidRPr="00425C9A">
        <w:rPr>
          <w:rFonts w:ascii="Times New Roman" w:hAnsi="Times New Roman" w:cs="Times New Roman"/>
          <w:bCs/>
          <w:sz w:val="28"/>
          <w:szCs w:val="28"/>
        </w:rPr>
        <w:t>2</w:t>
      </w:r>
      <w:r w:rsidRPr="00425C9A">
        <w:rPr>
          <w:rFonts w:ascii="Times New Roman" w:hAnsi="Times New Roman" w:cs="Times New Roman"/>
          <w:bCs/>
          <w:sz w:val="28"/>
          <w:szCs w:val="28"/>
        </w:rPr>
        <w:t>)</w:t>
      </w:r>
      <w:r w:rsidR="0041595F" w:rsidRPr="00425C9A">
        <w:rPr>
          <w:rFonts w:ascii="Times New Roman" w:hAnsi="Times New Roman" w:cs="Times New Roman"/>
          <w:bCs/>
          <w:sz w:val="28"/>
          <w:szCs w:val="28"/>
        </w:rPr>
        <w:tab/>
        <w:t>The order of the court below is set aside and replaced with the following:</w:t>
      </w:r>
    </w:p>
    <w:p w14:paraId="11911ECA" w14:textId="77777777" w:rsidR="00627D6B" w:rsidRPr="00425C9A" w:rsidRDefault="00627D6B" w:rsidP="00587C37">
      <w:pPr>
        <w:spacing w:after="0" w:line="360" w:lineRule="auto"/>
        <w:ind w:left="720"/>
        <w:jc w:val="both"/>
        <w:rPr>
          <w:rFonts w:ascii="Times New Roman" w:hAnsi="Times New Roman" w:cs="Times New Roman"/>
          <w:bCs/>
          <w:sz w:val="28"/>
          <w:szCs w:val="28"/>
        </w:rPr>
      </w:pPr>
      <w:r w:rsidRPr="00425C9A">
        <w:rPr>
          <w:rFonts w:ascii="Times New Roman" w:hAnsi="Times New Roman" w:cs="Times New Roman"/>
          <w:bCs/>
          <w:sz w:val="28"/>
          <w:szCs w:val="28"/>
        </w:rPr>
        <w:t>‘The defendants’ exception to the plaintiffs’ second amended particulars of claim dated 18 March 2020 is dismissed with costs</w:t>
      </w:r>
      <w:r w:rsidR="00416BAE" w:rsidRPr="00425C9A">
        <w:rPr>
          <w:rFonts w:ascii="Times New Roman" w:hAnsi="Times New Roman" w:cs="Times New Roman"/>
          <w:bCs/>
          <w:sz w:val="28"/>
          <w:szCs w:val="28"/>
        </w:rPr>
        <w:t>,</w:t>
      </w:r>
      <w:r w:rsidRPr="00425C9A">
        <w:rPr>
          <w:rFonts w:ascii="Times New Roman" w:hAnsi="Times New Roman" w:cs="Times New Roman"/>
          <w:bCs/>
          <w:sz w:val="28"/>
          <w:szCs w:val="28"/>
        </w:rPr>
        <w:t xml:space="preserve"> i</w:t>
      </w:r>
      <w:r w:rsidR="00016B4A" w:rsidRPr="00425C9A">
        <w:rPr>
          <w:rFonts w:ascii="Times New Roman" w:hAnsi="Times New Roman" w:cs="Times New Roman"/>
          <w:bCs/>
          <w:sz w:val="28"/>
          <w:szCs w:val="28"/>
        </w:rPr>
        <w:t>ncluding those of two counsel.’</w:t>
      </w:r>
    </w:p>
    <w:p w14:paraId="0756D8A5" w14:textId="77777777" w:rsidR="0041595F" w:rsidRPr="00425C9A" w:rsidRDefault="0041595F" w:rsidP="00587C37">
      <w:pPr>
        <w:spacing w:after="0" w:line="360" w:lineRule="auto"/>
        <w:jc w:val="both"/>
        <w:rPr>
          <w:rFonts w:ascii="Times New Roman" w:hAnsi="Times New Roman" w:cs="Times New Roman"/>
          <w:bCs/>
          <w:sz w:val="28"/>
          <w:szCs w:val="28"/>
        </w:rPr>
      </w:pPr>
    </w:p>
    <w:p w14:paraId="29C1DA54" w14:textId="77777777" w:rsidR="00703C33" w:rsidRPr="00425C9A" w:rsidRDefault="00703C33" w:rsidP="00587C37">
      <w:pPr>
        <w:spacing w:after="0" w:line="360" w:lineRule="auto"/>
        <w:jc w:val="both"/>
        <w:rPr>
          <w:rFonts w:ascii="Times New Roman" w:eastAsia="Times New Roman" w:hAnsi="Times New Roman" w:cs="Times New Roman"/>
          <w:sz w:val="28"/>
          <w:szCs w:val="28"/>
          <w:lang w:val="en-GB" w:eastAsia="en-GB"/>
        </w:rPr>
      </w:pPr>
    </w:p>
    <w:p w14:paraId="0CE19EB0" w14:textId="77777777" w:rsidR="00703C33" w:rsidRPr="00425C9A" w:rsidRDefault="00703C33" w:rsidP="00587C37">
      <w:pPr>
        <w:spacing w:after="0" w:line="240" w:lineRule="auto"/>
        <w:jc w:val="right"/>
        <w:rPr>
          <w:rFonts w:ascii="Times New Roman" w:eastAsia="Times New Roman" w:hAnsi="Times New Roman" w:cs="Times New Roman"/>
          <w:bCs/>
          <w:sz w:val="28"/>
          <w:szCs w:val="28"/>
          <w:lang w:val="en-GB" w:eastAsia="en-GB"/>
        </w:rPr>
      </w:pPr>
      <w:r w:rsidRPr="00425C9A">
        <w:rPr>
          <w:rFonts w:ascii="Times New Roman" w:eastAsia="Times New Roman" w:hAnsi="Times New Roman" w:cs="Times New Roman"/>
          <w:bCs/>
          <w:sz w:val="28"/>
          <w:szCs w:val="28"/>
          <w:lang w:val="en-GB" w:eastAsia="en-GB"/>
        </w:rPr>
        <w:t>_________________</w:t>
      </w:r>
    </w:p>
    <w:p w14:paraId="46917511" w14:textId="77777777" w:rsidR="00703C33" w:rsidRPr="00425C9A" w:rsidRDefault="00703C33" w:rsidP="00587C37">
      <w:pPr>
        <w:spacing w:after="0" w:line="240" w:lineRule="auto"/>
        <w:jc w:val="right"/>
        <w:rPr>
          <w:rFonts w:ascii="Times New Roman" w:eastAsia="Times New Roman" w:hAnsi="Times New Roman" w:cs="Times New Roman"/>
          <w:bCs/>
          <w:sz w:val="28"/>
          <w:szCs w:val="28"/>
          <w:lang w:val="en-GB" w:eastAsia="en-GB"/>
        </w:rPr>
      </w:pPr>
      <w:r w:rsidRPr="00425C9A">
        <w:rPr>
          <w:rFonts w:ascii="Times New Roman" w:eastAsia="Times New Roman" w:hAnsi="Times New Roman" w:cs="Times New Roman"/>
          <w:bCs/>
          <w:sz w:val="28"/>
          <w:szCs w:val="28"/>
          <w:lang w:val="en-GB" w:eastAsia="en-GB"/>
        </w:rPr>
        <w:t>V M Ponnan</w:t>
      </w:r>
    </w:p>
    <w:p w14:paraId="5544F0AE" w14:textId="77777777" w:rsidR="00703C33" w:rsidRPr="00425C9A" w:rsidRDefault="00703C33" w:rsidP="00587C37">
      <w:pPr>
        <w:spacing w:after="0" w:line="240" w:lineRule="auto"/>
        <w:jc w:val="right"/>
        <w:rPr>
          <w:rFonts w:ascii="Times New Roman" w:eastAsia="Times New Roman" w:hAnsi="Times New Roman" w:cs="Times New Roman"/>
          <w:bCs/>
          <w:sz w:val="28"/>
          <w:szCs w:val="28"/>
          <w:lang w:val="en-GB" w:eastAsia="en-GB"/>
        </w:rPr>
      </w:pPr>
      <w:r w:rsidRPr="00425C9A">
        <w:rPr>
          <w:rFonts w:ascii="Times New Roman" w:eastAsia="Times New Roman" w:hAnsi="Times New Roman" w:cs="Times New Roman"/>
          <w:bCs/>
          <w:sz w:val="28"/>
          <w:szCs w:val="28"/>
          <w:lang w:val="en-GB" w:eastAsia="en-GB"/>
        </w:rPr>
        <w:t>Judge of Appeal</w:t>
      </w:r>
    </w:p>
    <w:p w14:paraId="50D22571" w14:textId="77777777" w:rsidR="00703C33" w:rsidRPr="00425C9A" w:rsidRDefault="00703C33" w:rsidP="00587C37">
      <w:pPr>
        <w:spacing w:after="0" w:line="240" w:lineRule="auto"/>
        <w:jc w:val="both"/>
        <w:rPr>
          <w:rFonts w:ascii="Times New Roman" w:eastAsia="Times New Roman" w:hAnsi="Times New Roman" w:cs="Times New Roman"/>
          <w:sz w:val="28"/>
          <w:szCs w:val="28"/>
          <w:lang w:val="en-GB" w:eastAsia="en-GB"/>
        </w:rPr>
      </w:pPr>
    </w:p>
    <w:p w14:paraId="28F33EE9" w14:textId="77777777" w:rsidR="00703C33" w:rsidRPr="00425C9A" w:rsidRDefault="00703C33" w:rsidP="00587C37">
      <w:pPr>
        <w:spacing w:after="0" w:line="240" w:lineRule="auto"/>
        <w:jc w:val="both"/>
        <w:rPr>
          <w:rFonts w:ascii="Times New Roman" w:eastAsia="Times New Roman" w:hAnsi="Times New Roman" w:cs="Times New Roman"/>
          <w:sz w:val="28"/>
          <w:szCs w:val="28"/>
          <w:lang w:val="en-GB" w:eastAsia="en-GB"/>
        </w:rPr>
      </w:pPr>
    </w:p>
    <w:p w14:paraId="16C148D7" w14:textId="77777777" w:rsidR="00703C33" w:rsidRPr="00425C9A" w:rsidRDefault="00703C33" w:rsidP="00587C37">
      <w:pPr>
        <w:spacing w:after="0" w:line="240" w:lineRule="auto"/>
        <w:jc w:val="both"/>
        <w:rPr>
          <w:rFonts w:ascii="Times New Roman" w:eastAsia="Times New Roman" w:hAnsi="Times New Roman" w:cs="Times New Roman"/>
          <w:sz w:val="28"/>
          <w:szCs w:val="28"/>
          <w:lang w:val="en-GB" w:eastAsia="en-GB"/>
        </w:rPr>
      </w:pPr>
    </w:p>
    <w:p w14:paraId="10140B91" w14:textId="77777777" w:rsidR="00703C33" w:rsidRPr="00425C9A" w:rsidRDefault="00703C33" w:rsidP="00587C37">
      <w:pPr>
        <w:spacing w:after="0" w:line="240" w:lineRule="auto"/>
        <w:jc w:val="both"/>
        <w:rPr>
          <w:rFonts w:ascii="Times New Roman" w:eastAsia="Times New Roman" w:hAnsi="Times New Roman" w:cs="Times New Roman"/>
          <w:sz w:val="28"/>
          <w:szCs w:val="28"/>
          <w:lang w:val="en-GB" w:eastAsia="en-GB"/>
        </w:rPr>
      </w:pPr>
    </w:p>
    <w:p w14:paraId="6C0C7AA3" w14:textId="77777777" w:rsidR="00703C33" w:rsidRPr="00425C9A" w:rsidRDefault="00703C33" w:rsidP="00587C37">
      <w:pPr>
        <w:spacing w:after="0" w:line="240" w:lineRule="auto"/>
        <w:jc w:val="both"/>
        <w:rPr>
          <w:rFonts w:ascii="Times New Roman" w:eastAsia="Times New Roman" w:hAnsi="Times New Roman" w:cs="Times New Roman"/>
          <w:sz w:val="28"/>
          <w:szCs w:val="28"/>
          <w:lang w:val="en-GB" w:eastAsia="en-GB"/>
        </w:rPr>
      </w:pPr>
    </w:p>
    <w:p w14:paraId="35C9AB90" w14:textId="77777777" w:rsidR="00703C33" w:rsidRPr="00425C9A" w:rsidRDefault="00703C33" w:rsidP="00587C37">
      <w:pPr>
        <w:spacing w:after="0" w:line="240" w:lineRule="auto"/>
        <w:jc w:val="both"/>
        <w:rPr>
          <w:rFonts w:ascii="Times New Roman" w:eastAsia="Times New Roman" w:hAnsi="Times New Roman" w:cs="Times New Roman"/>
          <w:sz w:val="28"/>
          <w:szCs w:val="28"/>
          <w:lang w:val="en-GB" w:eastAsia="en-GB"/>
        </w:rPr>
      </w:pPr>
    </w:p>
    <w:p w14:paraId="14C77FF8" w14:textId="77777777" w:rsidR="00A741EA" w:rsidRPr="00425C9A" w:rsidRDefault="00A741EA" w:rsidP="00587C37">
      <w:pPr>
        <w:spacing w:after="0" w:line="240" w:lineRule="auto"/>
        <w:jc w:val="both"/>
        <w:rPr>
          <w:rFonts w:ascii="Times New Roman" w:eastAsia="Times New Roman" w:hAnsi="Times New Roman" w:cs="Times New Roman"/>
          <w:sz w:val="28"/>
          <w:szCs w:val="28"/>
          <w:lang w:val="en-GB" w:eastAsia="en-GB"/>
        </w:rPr>
      </w:pPr>
    </w:p>
    <w:p w14:paraId="4484F99A" w14:textId="77777777" w:rsidR="00A741EA" w:rsidRPr="00425C9A" w:rsidRDefault="00A741EA" w:rsidP="00587C37">
      <w:pPr>
        <w:spacing w:after="0" w:line="240" w:lineRule="auto"/>
        <w:jc w:val="both"/>
        <w:rPr>
          <w:rFonts w:ascii="Times New Roman" w:eastAsia="Times New Roman" w:hAnsi="Times New Roman" w:cs="Times New Roman"/>
          <w:sz w:val="28"/>
          <w:szCs w:val="28"/>
          <w:lang w:val="en-GB" w:eastAsia="en-GB"/>
        </w:rPr>
      </w:pPr>
    </w:p>
    <w:p w14:paraId="3C685EBD" w14:textId="77777777" w:rsidR="00A741EA" w:rsidRPr="00425C9A" w:rsidRDefault="00A741EA" w:rsidP="00587C37">
      <w:pPr>
        <w:spacing w:after="0" w:line="240" w:lineRule="auto"/>
        <w:jc w:val="both"/>
        <w:rPr>
          <w:rFonts w:ascii="Times New Roman" w:eastAsia="Times New Roman" w:hAnsi="Times New Roman" w:cs="Times New Roman"/>
          <w:sz w:val="28"/>
          <w:szCs w:val="28"/>
          <w:lang w:val="en-GB" w:eastAsia="en-GB"/>
        </w:rPr>
      </w:pPr>
    </w:p>
    <w:p w14:paraId="0B0751AE" w14:textId="77777777" w:rsidR="00A741EA" w:rsidRPr="00425C9A" w:rsidRDefault="00A741EA" w:rsidP="00587C37">
      <w:pPr>
        <w:spacing w:after="0" w:line="240" w:lineRule="auto"/>
        <w:jc w:val="both"/>
        <w:rPr>
          <w:rFonts w:ascii="Times New Roman" w:eastAsia="Times New Roman" w:hAnsi="Times New Roman" w:cs="Times New Roman"/>
          <w:sz w:val="28"/>
          <w:szCs w:val="28"/>
          <w:lang w:val="en-GB" w:eastAsia="en-GB"/>
        </w:rPr>
      </w:pPr>
    </w:p>
    <w:p w14:paraId="32D52B98" w14:textId="77777777" w:rsidR="00A741EA" w:rsidRPr="00425C9A" w:rsidRDefault="00A741EA" w:rsidP="00587C37">
      <w:pPr>
        <w:rPr>
          <w:rFonts w:ascii="Times New Roman" w:eastAsia="Times New Roman" w:hAnsi="Times New Roman" w:cs="Times New Roman"/>
          <w:sz w:val="28"/>
          <w:szCs w:val="28"/>
          <w:lang w:val="en-GB" w:eastAsia="en-GB"/>
        </w:rPr>
      </w:pPr>
      <w:r w:rsidRPr="00425C9A">
        <w:rPr>
          <w:rFonts w:ascii="Times New Roman" w:eastAsia="Times New Roman" w:hAnsi="Times New Roman" w:cs="Times New Roman"/>
          <w:sz w:val="28"/>
          <w:szCs w:val="28"/>
          <w:lang w:val="en-GB" w:eastAsia="en-GB"/>
        </w:rPr>
        <w:br w:type="page"/>
      </w:r>
    </w:p>
    <w:p w14:paraId="36F64694" w14:textId="77777777" w:rsidR="00703C33" w:rsidRPr="00425C9A" w:rsidRDefault="00703C33" w:rsidP="00587C37">
      <w:pPr>
        <w:spacing w:after="0" w:line="240" w:lineRule="auto"/>
        <w:jc w:val="both"/>
        <w:rPr>
          <w:rFonts w:ascii="Times New Roman" w:eastAsia="Times New Roman" w:hAnsi="Times New Roman" w:cs="Times New Roman"/>
          <w:sz w:val="28"/>
          <w:szCs w:val="28"/>
          <w:lang w:val="en-GB" w:eastAsia="en-GB"/>
        </w:rPr>
      </w:pPr>
      <w:r w:rsidRPr="00425C9A">
        <w:rPr>
          <w:rFonts w:ascii="Times New Roman" w:eastAsia="Times New Roman" w:hAnsi="Times New Roman" w:cs="Times New Roman"/>
          <w:sz w:val="28"/>
          <w:szCs w:val="28"/>
          <w:lang w:val="en-GB" w:eastAsia="en-GB"/>
        </w:rPr>
        <w:lastRenderedPageBreak/>
        <w:t>APPEARANCES</w:t>
      </w:r>
    </w:p>
    <w:p w14:paraId="20FE65DF" w14:textId="77777777" w:rsidR="00703C33" w:rsidRPr="00425C9A" w:rsidRDefault="00703C33" w:rsidP="00587C37">
      <w:pPr>
        <w:spacing w:after="0" w:line="240" w:lineRule="auto"/>
        <w:jc w:val="both"/>
        <w:rPr>
          <w:rFonts w:ascii="Times New Roman" w:eastAsia="Times New Roman" w:hAnsi="Times New Roman" w:cs="Times New Roman"/>
          <w:b/>
          <w:bCs/>
          <w:sz w:val="28"/>
          <w:szCs w:val="28"/>
          <w:lang w:val="en-GB" w:eastAsia="en-GB"/>
        </w:rPr>
      </w:pPr>
    </w:p>
    <w:p w14:paraId="5A96E823" w14:textId="77777777" w:rsidR="00703C33" w:rsidRPr="00425C9A" w:rsidRDefault="00703C33" w:rsidP="00587C37">
      <w:pPr>
        <w:spacing w:after="0" w:line="240" w:lineRule="auto"/>
        <w:jc w:val="both"/>
        <w:rPr>
          <w:rFonts w:ascii="Times New Roman" w:eastAsia="Times New Roman" w:hAnsi="Times New Roman" w:cs="Times New Roman"/>
          <w:b/>
          <w:bCs/>
          <w:sz w:val="28"/>
          <w:szCs w:val="28"/>
          <w:lang w:val="en-GB" w:eastAsia="en-GB"/>
        </w:rPr>
      </w:pPr>
    </w:p>
    <w:p w14:paraId="6A547588" w14:textId="4628BAA6" w:rsidR="00703C33" w:rsidRPr="00425C9A" w:rsidRDefault="00703C33" w:rsidP="00587C37">
      <w:pPr>
        <w:spacing w:after="0" w:line="240" w:lineRule="auto"/>
        <w:jc w:val="both"/>
        <w:rPr>
          <w:rFonts w:ascii="Times New Roman" w:eastAsia="Times New Roman" w:hAnsi="Times New Roman" w:cs="Times New Roman"/>
          <w:sz w:val="28"/>
          <w:szCs w:val="28"/>
          <w:lang w:val="en-GB" w:eastAsia="en-GB"/>
        </w:rPr>
      </w:pPr>
      <w:r w:rsidRPr="00425C9A">
        <w:rPr>
          <w:rFonts w:ascii="Times New Roman" w:eastAsia="Times New Roman" w:hAnsi="Times New Roman" w:cs="Times New Roman"/>
          <w:sz w:val="28"/>
          <w:szCs w:val="28"/>
          <w:lang w:val="en-GB" w:eastAsia="en-GB"/>
        </w:rPr>
        <w:t>For the appellants:</w:t>
      </w:r>
      <w:r w:rsidRPr="00425C9A">
        <w:rPr>
          <w:rFonts w:ascii="Times New Roman" w:eastAsia="Times New Roman" w:hAnsi="Times New Roman" w:cs="Times New Roman"/>
          <w:sz w:val="28"/>
          <w:szCs w:val="28"/>
          <w:lang w:val="en-GB" w:eastAsia="en-GB"/>
        </w:rPr>
        <w:tab/>
      </w:r>
      <w:r w:rsidRPr="00425C9A">
        <w:rPr>
          <w:rFonts w:ascii="Times New Roman" w:eastAsia="Times New Roman" w:hAnsi="Times New Roman" w:cs="Times New Roman"/>
          <w:sz w:val="28"/>
          <w:szCs w:val="28"/>
          <w:lang w:val="en-GB" w:eastAsia="en-GB"/>
        </w:rPr>
        <w:tab/>
      </w:r>
      <w:r w:rsidRPr="00425C9A">
        <w:rPr>
          <w:rFonts w:ascii="Times New Roman" w:eastAsia="Times New Roman" w:hAnsi="Times New Roman" w:cs="Times New Roman"/>
          <w:sz w:val="28"/>
          <w:szCs w:val="28"/>
          <w:lang w:val="en-GB" w:eastAsia="en-GB"/>
        </w:rPr>
        <w:tab/>
        <w:t>J</w:t>
      </w:r>
      <w:r w:rsidR="008842DD" w:rsidRPr="00425C9A">
        <w:rPr>
          <w:rFonts w:ascii="Times New Roman" w:eastAsia="Times New Roman" w:hAnsi="Times New Roman" w:cs="Times New Roman"/>
          <w:sz w:val="28"/>
          <w:szCs w:val="28"/>
          <w:lang w:val="en-GB" w:eastAsia="en-GB"/>
        </w:rPr>
        <w:t xml:space="preserve"> J</w:t>
      </w:r>
      <w:r w:rsidRPr="00425C9A">
        <w:rPr>
          <w:rFonts w:ascii="Times New Roman" w:eastAsia="Times New Roman" w:hAnsi="Times New Roman" w:cs="Times New Roman"/>
          <w:sz w:val="28"/>
          <w:szCs w:val="28"/>
          <w:lang w:val="en-GB" w:eastAsia="en-GB"/>
        </w:rPr>
        <w:t xml:space="preserve"> Gauntlett QC SC (with F</w:t>
      </w:r>
      <w:r w:rsidR="00C7347F" w:rsidRPr="00425C9A">
        <w:rPr>
          <w:rFonts w:ascii="Times New Roman" w:eastAsia="Times New Roman" w:hAnsi="Times New Roman" w:cs="Times New Roman"/>
          <w:sz w:val="28"/>
          <w:szCs w:val="28"/>
          <w:lang w:val="en-GB" w:eastAsia="en-GB"/>
        </w:rPr>
        <w:t xml:space="preserve"> </w:t>
      </w:r>
      <w:r w:rsidRPr="00425C9A">
        <w:rPr>
          <w:rFonts w:ascii="Times New Roman" w:eastAsia="Times New Roman" w:hAnsi="Times New Roman" w:cs="Times New Roman"/>
          <w:sz w:val="28"/>
          <w:szCs w:val="28"/>
          <w:lang w:val="en-GB" w:eastAsia="en-GB"/>
        </w:rPr>
        <w:t>B Pelser)</w:t>
      </w:r>
    </w:p>
    <w:p w14:paraId="452DD50C" w14:textId="77777777" w:rsidR="00703C33" w:rsidRPr="00425C9A" w:rsidRDefault="00703C33" w:rsidP="00587C37">
      <w:pPr>
        <w:tabs>
          <w:tab w:val="left" w:pos="0"/>
          <w:tab w:val="left" w:pos="720"/>
          <w:tab w:val="left" w:pos="1440"/>
          <w:tab w:val="left" w:pos="2160"/>
        </w:tabs>
        <w:spacing w:after="0" w:line="240" w:lineRule="auto"/>
        <w:jc w:val="both"/>
        <w:rPr>
          <w:rFonts w:ascii="Times New Roman" w:eastAsia="Times New Roman" w:hAnsi="Times New Roman" w:cs="Times New Roman"/>
          <w:sz w:val="28"/>
          <w:szCs w:val="28"/>
          <w:lang w:val="en-GB" w:eastAsia="en-GB"/>
        </w:rPr>
      </w:pPr>
    </w:p>
    <w:p w14:paraId="0A5303C1" w14:textId="77777777" w:rsidR="00703C33" w:rsidRPr="00425C9A" w:rsidRDefault="00703C33" w:rsidP="00587C37">
      <w:pPr>
        <w:tabs>
          <w:tab w:val="left" w:pos="0"/>
          <w:tab w:val="left" w:pos="720"/>
          <w:tab w:val="left" w:pos="1440"/>
          <w:tab w:val="left" w:pos="2160"/>
        </w:tabs>
        <w:spacing w:after="0" w:line="240" w:lineRule="auto"/>
        <w:jc w:val="both"/>
        <w:rPr>
          <w:rFonts w:ascii="Times New Roman" w:eastAsia="Times New Roman" w:hAnsi="Times New Roman" w:cs="Times New Roman"/>
          <w:sz w:val="28"/>
          <w:szCs w:val="28"/>
          <w:lang w:val="en-GB" w:eastAsia="en-GB"/>
        </w:rPr>
      </w:pPr>
      <w:r w:rsidRPr="00425C9A">
        <w:rPr>
          <w:rFonts w:ascii="Times New Roman" w:eastAsia="Times New Roman" w:hAnsi="Times New Roman" w:cs="Times New Roman"/>
          <w:sz w:val="28"/>
          <w:szCs w:val="28"/>
          <w:lang w:val="en-GB" w:eastAsia="en-GB"/>
        </w:rPr>
        <w:tab/>
      </w:r>
      <w:r w:rsidRPr="00425C9A">
        <w:rPr>
          <w:rFonts w:ascii="Times New Roman" w:eastAsia="Times New Roman" w:hAnsi="Times New Roman" w:cs="Times New Roman"/>
          <w:sz w:val="28"/>
          <w:szCs w:val="28"/>
          <w:lang w:val="en-GB" w:eastAsia="en-GB"/>
        </w:rPr>
        <w:tab/>
      </w:r>
      <w:r w:rsidRPr="00425C9A">
        <w:rPr>
          <w:rFonts w:ascii="Times New Roman" w:eastAsia="Times New Roman" w:hAnsi="Times New Roman" w:cs="Times New Roman"/>
          <w:sz w:val="28"/>
          <w:szCs w:val="28"/>
          <w:lang w:val="en-GB" w:eastAsia="en-GB"/>
        </w:rPr>
        <w:tab/>
      </w:r>
      <w:r w:rsidRPr="00425C9A">
        <w:rPr>
          <w:rFonts w:ascii="Times New Roman" w:eastAsia="Times New Roman" w:hAnsi="Times New Roman" w:cs="Times New Roman"/>
          <w:sz w:val="28"/>
          <w:szCs w:val="28"/>
          <w:lang w:val="en-GB" w:eastAsia="en-GB"/>
        </w:rPr>
        <w:tab/>
      </w:r>
      <w:r w:rsidRPr="00425C9A">
        <w:rPr>
          <w:rFonts w:ascii="Times New Roman" w:eastAsia="Times New Roman" w:hAnsi="Times New Roman" w:cs="Times New Roman"/>
          <w:sz w:val="28"/>
          <w:szCs w:val="28"/>
          <w:lang w:val="en-GB" w:eastAsia="en-GB"/>
        </w:rPr>
        <w:tab/>
        <w:t>Instructed by:</w:t>
      </w:r>
      <w:r w:rsidRPr="00425C9A">
        <w:rPr>
          <w:rFonts w:ascii="Times New Roman" w:eastAsia="Times New Roman" w:hAnsi="Times New Roman" w:cs="Times New Roman"/>
          <w:sz w:val="28"/>
          <w:szCs w:val="28"/>
          <w:lang w:val="en-GB" w:eastAsia="en-GB"/>
        </w:rPr>
        <w:tab/>
      </w:r>
      <w:r w:rsidRPr="00425C9A">
        <w:rPr>
          <w:rFonts w:ascii="Times New Roman" w:eastAsia="Times New Roman" w:hAnsi="Times New Roman" w:cs="Times New Roman"/>
          <w:sz w:val="28"/>
          <w:szCs w:val="28"/>
          <w:lang w:val="en-GB" w:eastAsia="en-GB"/>
        </w:rPr>
        <w:tab/>
      </w:r>
      <w:r w:rsidRPr="00425C9A">
        <w:rPr>
          <w:rFonts w:ascii="Times New Roman" w:eastAsia="Times New Roman" w:hAnsi="Times New Roman" w:cs="Times New Roman"/>
          <w:sz w:val="28"/>
          <w:szCs w:val="28"/>
          <w:lang w:val="en-GB" w:eastAsia="en-GB"/>
        </w:rPr>
        <w:tab/>
      </w:r>
    </w:p>
    <w:p w14:paraId="2DC3C726" w14:textId="77777777" w:rsidR="00703C33" w:rsidRPr="00425C9A" w:rsidRDefault="00703C33" w:rsidP="00587C37">
      <w:pPr>
        <w:tabs>
          <w:tab w:val="left" w:pos="0"/>
          <w:tab w:val="left" w:pos="720"/>
          <w:tab w:val="left" w:pos="1440"/>
          <w:tab w:val="left" w:pos="2160"/>
        </w:tabs>
        <w:spacing w:after="0" w:line="240" w:lineRule="auto"/>
        <w:jc w:val="both"/>
        <w:rPr>
          <w:rFonts w:ascii="Times New Roman" w:eastAsia="Times New Roman" w:hAnsi="Times New Roman" w:cs="Times New Roman"/>
          <w:sz w:val="28"/>
          <w:szCs w:val="28"/>
          <w:lang w:val="en-GB" w:eastAsia="en-GB"/>
        </w:rPr>
      </w:pPr>
      <w:r w:rsidRPr="00425C9A">
        <w:rPr>
          <w:rFonts w:ascii="Times New Roman" w:eastAsia="Times New Roman" w:hAnsi="Times New Roman" w:cs="Times New Roman"/>
          <w:sz w:val="28"/>
          <w:szCs w:val="28"/>
          <w:lang w:val="en-GB" w:eastAsia="en-GB"/>
        </w:rPr>
        <w:tab/>
      </w:r>
      <w:r w:rsidRPr="00425C9A">
        <w:rPr>
          <w:rFonts w:ascii="Times New Roman" w:eastAsia="Times New Roman" w:hAnsi="Times New Roman" w:cs="Times New Roman"/>
          <w:sz w:val="28"/>
          <w:szCs w:val="28"/>
          <w:lang w:val="en-GB" w:eastAsia="en-GB"/>
        </w:rPr>
        <w:tab/>
      </w:r>
      <w:r w:rsidRPr="00425C9A">
        <w:rPr>
          <w:rFonts w:ascii="Times New Roman" w:eastAsia="Times New Roman" w:hAnsi="Times New Roman" w:cs="Times New Roman"/>
          <w:sz w:val="28"/>
          <w:szCs w:val="28"/>
          <w:lang w:val="en-GB" w:eastAsia="en-GB"/>
        </w:rPr>
        <w:tab/>
      </w:r>
      <w:r w:rsidRPr="00425C9A">
        <w:rPr>
          <w:rFonts w:ascii="Times New Roman" w:eastAsia="Times New Roman" w:hAnsi="Times New Roman" w:cs="Times New Roman"/>
          <w:sz w:val="28"/>
          <w:szCs w:val="28"/>
          <w:lang w:val="en-GB" w:eastAsia="en-GB"/>
        </w:rPr>
        <w:tab/>
      </w:r>
      <w:r w:rsidRPr="00425C9A">
        <w:rPr>
          <w:rFonts w:ascii="Times New Roman" w:eastAsia="Times New Roman" w:hAnsi="Times New Roman" w:cs="Times New Roman"/>
          <w:sz w:val="28"/>
          <w:szCs w:val="28"/>
          <w:lang w:val="en-GB" w:eastAsia="en-GB"/>
        </w:rPr>
        <w:tab/>
        <w:t>Hurter Spies Inc, Pretoria</w:t>
      </w:r>
    </w:p>
    <w:p w14:paraId="4ABBD3F2" w14:textId="77777777" w:rsidR="00703C33" w:rsidRPr="00425C9A" w:rsidRDefault="00703C33" w:rsidP="00587C37">
      <w:pPr>
        <w:tabs>
          <w:tab w:val="left" w:pos="0"/>
          <w:tab w:val="left" w:pos="720"/>
          <w:tab w:val="left" w:pos="1440"/>
          <w:tab w:val="left" w:pos="2160"/>
        </w:tabs>
        <w:spacing w:after="0" w:line="240" w:lineRule="auto"/>
        <w:jc w:val="both"/>
        <w:rPr>
          <w:rFonts w:ascii="Times New Roman" w:eastAsia="Times New Roman" w:hAnsi="Times New Roman" w:cs="Times New Roman"/>
          <w:sz w:val="28"/>
          <w:szCs w:val="28"/>
          <w:lang w:val="en-GB" w:eastAsia="en-GB"/>
        </w:rPr>
      </w:pPr>
      <w:r w:rsidRPr="00425C9A">
        <w:rPr>
          <w:rFonts w:ascii="Times New Roman" w:eastAsia="Times New Roman" w:hAnsi="Times New Roman" w:cs="Times New Roman"/>
          <w:sz w:val="28"/>
          <w:szCs w:val="28"/>
          <w:lang w:val="en-GB" w:eastAsia="en-GB"/>
        </w:rPr>
        <w:tab/>
      </w:r>
      <w:r w:rsidRPr="00425C9A">
        <w:rPr>
          <w:rFonts w:ascii="Times New Roman" w:eastAsia="Times New Roman" w:hAnsi="Times New Roman" w:cs="Times New Roman"/>
          <w:sz w:val="28"/>
          <w:szCs w:val="28"/>
          <w:lang w:val="en-GB" w:eastAsia="en-GB"/>
        </w:rPr>
        <w:tab/>
      </w:r>
      <w:r w:rsidRPr="00425C9A">
        <w:rPr>
          <w:rFonts w:ascii="Times New Roman" w:eastAsia="Times New Roman" w:hAnsi="Times New Roman" w:cs="Times New Roman"/>
          <w:sz w:val="28"/>
          <w:szCs w:val="28"/>
          <w:lang w:val="en-GB" w:eastAsia="en-GB"/>
        </w:rPr>
        <w:tab/>
      </w:r>
      <w:r w:rsidRPr="00425C9A">
        <w:rPr>
          <w:rFonts w:ascii="Times New Roman" w:eastAsia="Times New Roman" w:hAnsi="Times New Roman" w:cs="Times New Roman"/>
          <w:sz w:val="28"/>
          <w:szCs w:val="28"/>
          <w:lang w:val="en-GB" w:eastAsia="en-GB"/>
        </w:rPr>
        <w:tab/>
      </w:r>
      <w:r w:rsidRPr="00425C9A">
        <w:rPr>
          <w:rFonts w:ascii="Times New Roman" w:eastAsia="Times New Roman" w:hAnsi="Times New Roman" w:cs="Times New Roman"/>
          <w:sz w:val="28"/>
          <w:szCs w:val="28"/>
          <w:lang w:val="en-GB" w:eastAsia="en-GB"/>
        </w:rPr>
        <w:tab/>
        <w:t>Hendre Conradie Inc, Bloemfontein</w:t>
      </w:r>
    </w:p>
    <w:p w14:paraId="22BECE45" w14:textId="77777777" w:rsidR="00703C33" w:rsidRPr="00425C9A" w:rsidRDefault="00703C33" w:rsidP="00587C37">
      <w:pPr>
        <w:tabs>
          <w:tab w:val="left" w:pos="0"/>
          <w:tab w:val="left" w:pos="720"/>
          <w:tab w:val="left" w:pos="1440"/>
          <w:tab w:val="left" w:pos="2160"/>
        </w:tabs>
        <w:spacing w:after="0" w:line="240" w:lineRule="auto"/>
        <w:jc w:val="both"/>
        <w:rPr>
          <w:rFonts w:ascii="Times New Roman" w:eastAsia="Times New Roman" w:hAnsi="Times New Roman" w:cs="Times New Roman"/>
          <w:sz w:val="28"/>
          <w:szCs w:val="28"/>
          <w:lang w:val="en-GB" w:eastAsia="en-GB"/>
        </w:rPr>
      </w:pPr>
    </w:p>
    <w:p w14:paraId="0CFC015D" w14:textId="77777777" w:rsidR="00703C33" w:rsidRPr="00425C9A" w:rsidRDefault="00703C33" w:rsidP="00587C37">
      <w:pPr>
        <w:tabs>
          <w:tab w:val="left" w:pos="0"/>
          <w:tab w:val="left" w:pos="720"/>
          <w:tab w:val="left" w:pos="1440"/>
          <w:tab w:val="left" w:pos="2160"/>
        </w:tabs>
        <w:spacing w:after="0" w:line="240" w:lineRule="auto"/>
        <w:jc w:val="both"/>
        <w:rPr>
          <w:rFonts w:ascii="Times New Roman" w:eastAsia="Times New Roman" w:hAnsi="Times New Roman" w:cs="Times New Roman"/>
          <w:sz w:val="28"/>
          <w:szCs w:val="28"/>
          <w:lang w:val="en-GB" w:eastAsia="en-GB"/>
        </w:rPr>
      </w:pPr>
    </w:p>
    <w:p w14:paraId="3ACD0D86" w14:textId="77777777" w:rsidR="00703C33" w:rsidRPr="00425C9A" w:rsidRDefault="00703C33" w:rsidP="00587C37">
      <w:pPr>
        <w:tabs>
          <w:tab w:val="left" w:pos="0"/>
          <w:tab w:val="left" w:pos="720"/>
          <w:tab w:val="left" w:pos="1440"/>
          <w:tab w:val="left" w:pos="2160"/>
        </w:tabs>
        <w:spacing w:after="0" w:line="240" w:lineRule="auto"/>
        <w:jc w:val="both"/>
        <w:rPr>
          <w:rFonts w:ascii="Times New Roman" w:eastAsia="Times New Roman" w:hAnsi="Times New Roman" w:cs="Times New Roman"/>
          <w:sz w:val="28"/>
          <w:szCs w:val="28"/>
          <w:lang w:val="en-GB" w:eastAsia="en-GB"/>
        </w:rPr>
      </w:pPr>
    </w:p>
    <w:p w14:paraId="678CA51E" w14:textId="1DF342FD" w:rsidR="00703C33" w:rsidRPr="00425C9A" w:rsidRDefault="00703C33" w:rsidP="00587C37">
      <w:pPr>
        <w:spacing w:after="0" w:line="240" w:lineRule="auto"/>
        <w:jc w:val="both"/>
        <w:rPr>
          <w:rFonts w:ascii="Times New Roman" w:eastAsia="Times New Roman" w:hAnsi="Times New Roman" w:cs="Times New Roman"/>
          <w:sz w:val="28"/>
          <w:szCs w:val="28"/>
          <w:lang w:val="en-GB" w:eastAsia="en-GB"/>
        </w:rPr>
      </w:pPr>
      <w:r w:rsidRPr="00425C9A">
        <w:rPr>
          <w:rFonts w:ascii="Times New Roman" w:eastAsia="Times New Roman" w:hAnsi="Times New Roman" w:cs="Times New Roman"/>
          <w:sz w:val="28"/>
          <w:szCs w:val="28"/>
          <w:lang w:val="en-GB" w:eastAsia="en-GB"/>
        </w:rPr>
        <w:t>For the respondents:</w:t>
      </w:r>
      <w:r w:rsidRPr="00425C9A">
        <w:rPr>
          <w:rFonts w:ascii="Times New Roman" w:eastAsia="Times New Roman" w:hAnsi="Times New Roman" w:cs="Times New Roman"/>
          <w:sz w:val="28"/>
          <w:szCs w:val="28"/>
          <w:lang w:val="en-GB" w:eastAsia="en-GB"/>
        </w:rPr>
        <w:tab/>
      </w:r>
      <w:r w:rsidRPr="00425C9A">
        <w:rPr>
          <w:rFonts w:ascii="Times New Roman" w:eastAsia="Times New Roman" w:hAnsi="Times New Roman" w:cs="Times New Roman"/>
          <w:sz w:val="28"/>
          <w:szCs w:val="28"/>
          <w:lang w:val="en-GB" w:eastAsia="en-GB"/>
        </w:rPr>
        <w:tab/>
        <w:t>G Marcus SC (with A Coutsoudis)</w:t>
      </w:r>
    </w:p>
    <w:p w14:paraId="19A76F21" w14:textId="77777777" w:rsidR="00703C33" w:rsidRPr="00425C9A" w:rsidRDefault="00703C33" w:rsidP="00587C37">
      <w:pPr>
        <w:tabs>
          <w:tab w:val="left" w:pos="0"/>
          <w:tab w:val="left" w:pos="720"/>
          <w:tab w:val="left" w:pos="1440"/>
          <w:tab w:val="left" w:pos="2160"/>
        </w:tabs>
        <w:spacing w:after="0" w:line="240" w:lineRule="auto"/>
        <w:jc w:val="both"/>
        <w:rPr>
          <w:rFonts w:ascii="Times New Roman" w:eastAsia="Times New Roman" w:hAnsi="Times New Roman" w:cs="Times New Roman"/>
          <w:sz w:val="28"/>
          <w:szCs w:val="28"/>
          <w:lang w:val="en-GB" w:eastAsia="en-GB"/>
        </w:rPr>
      </w:pPr>
    </w:p>
    <w:p w14:paraId="475F08CC" w14:textId="77777777" w:rsidR="00703C33" w:rsidRPr="00425C9A" w:rsidRDefault="00703C33" w:rsidP="00587C37">
      <w:pPr>
        <w:tabs>
          <w:tab w:val="left" w:pos="0"/>
          <w:tab w:val="left" w:pos="720"/>
          <w:tab w:val="left" w:pos="1440"/>
          <w:tab w:val="left" w:pos="2160"/>
        </w:tabs>
        <w:spacing w:after="0" w:line="240" w:lineRule="auto"/>
        <w:jc w:val="both"/>
        <w:rPr>
          <w:rFonts w:ascii="Times New Roman" w:eastAsia="Times New Roman" w:hAnsi="Times New Roman" w:cs="Times New Roman"/>
          <w:sz w:val="28"/>
          <w:szCs w:val="28"/>
          <w:lang w:val="en-GB" w:eastAsia="en-GB"/>
        </w:rPr>
      </w:pPr>
      <w:r w:rsidRPr="00425C9A">
        <w:rPr>
          <w:rFonts w:ascii="Times New Roman" w:eastAsia="Times New Roman" w:hAnsi="Times New Roman" w:cs="Times New Roman"/>
          <w:sz w:val="28"/>
          <w:szCs w:val="28"/>
          <w:lang w:val="en-GB" w:eastAsia="en-GB"/>
        </w:rPr>
        <w:tab/>
      </w:r>
      <w:r w:rsidRPr="00425C9A">
        <w:rPr>
          <w:rFonts w:ascii="Times New Roman" w:eastAsia="Times New Roman" w:hAnsi="Times New Roman" w:cs="Times New Roman"/>
          <w:sz w:val="28"/>
          <w:szCs w:val="28"/>
          <w:lang w:val="en-GB" w:eastAsia="en-GB"/>
        </w:rPr>
        <w:tab/>
      </w:r>
      <w:r w:rsidRPr="00425C9A">
        <w:rPr>
          <w:rFonts w:ascii="Times New Roman" w:eastAsia="Times New Roman" w:hAnsi="Times New Roman" w:cs="Times New Roman"/>
          <w:sz w:val="28"/>
          <w:szCs w:val="28"/>
          <w:lang w:val="en-GB" w:eastAsia="en-GB"/>
        </w:rPr>
        <w:tab/>
      </w:r>
      <w:r w:rsidRPr="00425C9A">
        <w:rPr>
          <w:rFonts w:ascii="Times New Roman" w:eastAsia="Times New Roman" w:hAnsi="Times New Roman" w:cs="Times New Roman"/>
          <w:sz w:val="28"/>
          <w:szCs w:val="28"/>
          <w:lang w:val="en-GB" w:eastAsia="en-GB"/>
        </w:rPr>
        <w:tab/>
      </w:r>
      <w:r w:rsidRPr="00425C9A">
        <w:rPr>
          <w:rFonts w:ascii="Times New Roman" w:eastAsia="Times New Roman" w:hAnsi="Times New Roman" w:cs="Times New Roman"/>
          <w:sz w:val="28"/>
          <w:szCs w:val="28"/>
          <w:lang w:val="en-GB" w:eastAsia="en-GB"/>
        </w:rPr>
        <w:tab/>
        <w:t>Instructed by:</w:t>
      </w:r>
      <w:r w:rsidRPr="00425C9A">
        <w:rPr>
          <w:rFonts w:ascii="Times New Roman" w:eastAsia="Times New Roman" w:hAnsi="Times New Roman" w:cs="Times New Roman"/>
          <w:sz w:val="28"/>
          <w:szCs w:val="28"/>
          <w:lang w:val="en-GB" w:eastAsia="en-GB"/>
        </w:rPr>
        <w:tab/>
      </w:r>
      <w:r w:rsidRPr="00425C9A">
        <w:rPr>
          <w:rFonts w:ascii="Times New Roman" w:eastAsia="Times New Roman" w:hAnsi="Times New Roman" w:cs="Times New Roman"/>
          <w:sz w:val="28"/>
          <w:szCs w:val="28"/>
          <w:lang w:val="en-GB" w:eastAsia="en-GB"/>
        </w:rPr>
        <w:tab/>
      </w:r>
      <w:r w:rsidRPr="00425C9A">
        <w:rPr>
          <w:rFonts w:ascii="Times New Roman" w:eastAsia="Times New Roman" w:hAnsi="Times New Roman" w:cs="Times New Roman"/>
          <w:sz w:val="28"/>
          <w:szCs w:val="28"/>
          <w:lang w:val="en-GB" w:eastAsia="en-GB"/>
        </w:rPr>
        <w:tab/>
      </w:r>
    </w:p>
    <w:p w14:paraId="23E162B6" w14:textId="77777777" w:rsidR="00703C33" w:rsidRPr="00425C9A" w:rsidRDefault="00703C33" w:rsidP="00587C37">
      <w:pPr>
        <w:tabs>
          <w:tab w:val="left" w:pos="0"/>
          <w:tab w:val="left" w:pos="720"/>
          <w:tab w:val="left" w:pos="1440"/>
          <w:tab w:val="left" w:pos="2160"/>
        </w:tabs>
        <w:spacing w:after="0" w:line="240" w:lineRule="auto"/>
        <w:ind w:left="3600"/>
        <w:jc w:val="both"/>
        <w:rPr>
          <w:rFonts w:ascii="Times New Roman" w:eastAsia="Times New Roman" w:hAnsi="Times New Roman" w:cs="Times New Roman"/>
          <w:sz w:val="28"/>
          <w:szCs w:val="28"/>
          <w:lang w:val="en-GB" w:eastAsia="en-GB"/>
        </w:rPr>
      </w:pPr>
      <w:r w:rsidRPr="00425C9A">
        <w:rPr>
          <w:rFonts w:ascii="Times New Roman" w:eastAsia="Times New Roman" w:hAnsi="Times New Roman" w:cs="Times New Roman"/>
          <w:sz w:val="28"/>
          <w:szCs w:val="28"/>
          <w:lang w:val="en-GB" w:eastAsia="en-GB"/>
        </w:rPr>
        <w:t>State Attorney, Pretoria</w:t>
      </w:r>
    </w:p>
    <w:p w14:paraId="1894A97A" w14:textId="77777777" w:rsidR="00703C33" w:rsidRPr="00703C33" w:rsidRDefault="00703C33" w:rsidP="00587C37">
      <w:pPr>
        <w:tabs>
          <w:tab w:val="left" w:pos="0"/>
          <w:tab w:val="left" w:pos="720"/>
          <w:tab w:val="left" w:pos="1440"/>
          <w:tab w:val="left" w:pos="2160"/>
        </w:tabs>
        <w:spacing w:after="0" w:line="240" w:lineRule="auto"/>
        <w:jc w:val="both"/>
        <w:rPr>
          <w:rFonts w:ascii="Times New Roman" w:eastAsia="Times New Roman" w:hAnsi="Times New Roman" w:cs="Times New Roman"/>
          <w:sz w:val="28"/>
          <w:szCs w:val="28"/>
          <w:lang w:val="en-GB" w:eastAsia="en-GB"/>
        </w:rPr>
      </w:pPr>
      <w:r w:rsidRPr="00425C9A">
        <w:rPr>
          <w:rFonts w:ascii="Times New Roman" w:eastAsia="Times New Roman" w:hAnsi="Times New Roman" w:cs="Times New Roman"/>
          <w:sz w:val="28"/>
          <w:szCs w:val="28"/>
          <w:lang w:val="en-GB" w:eastAsia="en-GB"/>
        </w:rPr>
        <w:tab/>
      </w:r>
      <w:r w:rsidRPr="00425C9A">
        <w:rPr>
          <w:rFonts w:ascii="Times New Roman" w:eastAsia="Times New Roman" w:hAnsi="Times New Roman" w:cs="Times New Roman"/>
          <w:sz w:val="28"/>
          <w:szCs w:val="28"/>
          <w:lang w:val="en-GB" w:eastAsia="en-GB"/>
        </w:rPr>
        <w:tab/>
      </w:r>
      <w:r w:rsidRPr="00425C9A">
        <w:rPr>
          <w:rFonts w:ascii="Times New Roman" w:eastAsia="Times New Roman" w:hAnsi="Times New Roman" w:cs="Times New Roman"/>
          <w:sz w:val="28"/>
          <w:szCs w:val="28"/>
          <w:lang w:val="en-GB" w:eastAsia="en-GB"/>
        </w:rPr>
        <w:tab/>
      </w:r>
      <w:r w:rsidRPr="00425C9A">
        <w:rPr>
          <w:rFonts w:ascii="Times New Roman" w:eastAsia="Times New Roman" w:hAnsi="Times New Roman" w:cs="Times New Roman"/>
          <w:sz w:val="28"/>
          <w:szCs w:val="28"/>
          <w:lang w:val="en-GB" w:eastAsia="en-GB"/>
        </w:rPr>
        <w:tab/>
      </w:r>
      <w:r w:rsidRPr="00425C9A">
        <w:rPr>
          <w:rFonts w:ascii="Times New Roman" w:eastAsia="Times New Roman" w:hAnsi="Times New Roman" w:cs="Times New Roman"/>
          <w:sz w:val="28"/>
          <w:szCs w:val="28"/>
          <w:lang w:val="en-GB" w:eastAsia="en-GB"/>
        </w:rPr>
        <w:tab/>
        <w:t>State Attorney, Bloemfontein.</w:t>
      </w:r>
    </w:p>
    <w:p w14:paraId="1A365A21" w14:textId="77777777" w:rsidR="004B48E6" w:rsidRPr="005B1015" w:rsidRDefault="004B48E6" w:rsidP="00703C33">
      <w:pPr>
        <w:jc w:val="right"/>
      </w:pPr>
    </w:p>
    <w:sectPr w:rsidR="004B48E6" w:rsidRPr="005B1015">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418CE" w14:textId="77777777" w:rsidR="00EF3FCE" w:rsidRDefault="00EF3FCE" w:rsidP="00330A45">
      <w:pPr>
        <w:spacing w:after="0" w:line="240" w:lineRule="auto"/>
      </w:pPr>
      <w:r>
        <w:separator/>
      </w:r>
    </w:p>
  </w:endnote>
  <w:endnote w:type="continuationSeparator" w:id="0">
    <w:p w14:paraId="54971966" w14:textId="77777777" w:rsidR="00EF3FCE" w:rsidRDefault="00EF3FCE" w:rsidP="00330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1ACB1" w14:textId="77777777" w:rsidR="00EF3FCE" w:rsidRDefault="00EF3FCE" w:rsidP="00330A45">
      <w:pPr>
        <w:spacing w:after="0" w:line="240" w:lineRule="auto"/>
      </w:pPr>
      <w:r>
        <w:separator/>
      </w:r>
    </w:p>
  </w:footnote>
  <w:footnote w:type="continuationSeparator" w:id="0">
    <w:p w14:paraId="62923FA9" w14:textId="77777777" w:rsidR="00EF3FCE" w:rsidRDefault="00EF3FCE" w:rsidP="00330A45">
      <w:pPr>
        <w:spacing w:after="0" w:line="240" w:lineRule="auto"/>
      </w:pPr>
      <w:r>
        <w:continuationSeparator/>
      </w:r>
    </w:p>
  </w:footnote>
  <w:footnote w:id="1">
    <w:p w14:paraId="36A38DB6" w14:textId="5590B1CD" w:rsidR="00996D9E" w:rsidRPr="00996D9E" w:rsidRDefault="00996D9E" w:rsidP="00996D9E">
      <w:pPr>
        <w:pStyle w:val="Heading2"/>
        <w:shd w:val="clear" w:color="auto" w:fill="FFFFFF"/>
        <w:spacing w:before="0" w:beforeAutospacing="0" w:after="0" w:afterAutospacing="0"/>
        <w:jc w:val="both"/>
        <w:rPr>
          <w:sz w:val="20"/>
          <w:szCs w:val="20"/>
        </w:rPr>
      </w:pPr>
      <w:r w:rsidRPr="00996D9E">
        <w:rPr>
          <w:rStyle w:val="FootnoteReference"/>
          <w:b w:val="0"/>
          <w:sz w:val="20"/>
          <w:szCs w:val="20"/>
        </w:rPr>
        <w:footnoteRef/>
      </w:r>
      <w:r w:rsidRPr="00996D9E">
        <w:rPr>
          <w:b w:val="0"/>
          <w:sz w:val="20"/>
          <w:szCs w:val="20"/>
        </w:rPr>
        <w:t xml:space="preserve"> </w:t>
      </w:r>
      <w:r w:rsidRPr="00996D9E">
        <w:rPr>
          <w:b w:val="0"/>
          <w:bCs w:val="0"/>
          <w:i/>
          <w:sz w:val="20"/>
          <w:szCs w:val="20"/>
        </w:rPr>
        <w:t>Law Society of South Africa and Others v President of the Republic of South Africa and Others</w:t>
      </w:r>
      <w:r w:rsidRPr="00996D9E">
        <w:rPr>
          <w:b w:val="0"/>
          <w:bCs w:val="0"/>
          <w:sz w:val="20"/>
          <w:szCs w:val="20"/>
        </w:rPr>
        <w:t xml:space="preserve"> [2018] ZACC 51; 2019 (3) BCLR 329 (CC); 2019 (3) SA 30 (CC) para 10.</w:t>
      </w:r>
    </w:p>
  </w:footnote>
  <w:footnote w:id="2">
    <w:p w14:paraId="3B8054B0" w14:textId="4E8FEFF0" w:rsidR="00996D9E" w:rsidRPr="00425C9A" w:rsidRDefault="00996D9E" w:rsidP="00996D9E">
      <w:pPr>
        <w:pStyle w:val="FootnoteText"/>
        <w:jc w:val="both"/>
        <w:rPr>
          <w:rFonts w:ascii="Times New Roman" w:hAnsi="Times New Roman" w:cs="Times New Roman"/>
        </w:rPr>
      </w:pPr>
      <w:r w:rsidRPr="00425C9A">
        <w:rPr>
          <w:rStyle w:val="FootnoteReference"/>
          <w:rFonts w:ascii="Times New Roman" w:hAnsi="Times New Roman" w:cs="Times New Roman"/>
        </w:rPr>
        <w:footnoteRef/>
      </w:r>
      <w:r w:rsidRPr="00425C9A">
        <w:rPr>
          <w:rFonts w:ascii="Times New Roman" w:hAnsi="Times New Roman" w:cs="Times New Roman"/>
        </w:rPr>
        <w:t xml:space="preserve"> See </w:t>
      </w:r>
      <w:r w:rsidRPr="00425C9A">
        <w:rPr>
          <w:rFonts w:ascii="Times New Roman" w:hAnsi="Times New Roman" w:cs="Times New Roman"/>
          <w:i/>
        </w:rPr>
        <w:t>Mike Campbell (Pvt) Ltd and Others v Republic of Zimbabwe</w:t>
      </w:r>
      <w:r w:rsidRPr="00425C9A">
        <w:rPr>
          <w:rFonts w:ascii="Times New Roman" w:hAnsi="Times New Roman" w:cs="Times New Roman"/>
        </w:rPr>
        <w:t xml:space="preserve"> [2008] SADCT 2.</w:t>
      </w:r>
    </w:p>
  </w:footnote>
  <w:footnote w:id="3">
    <w:p w14:paraId="453DA80C" w14:textId="68078622" w:rsidR="00996D9E" w:rsidRPr="00425C9A" w:rsidRDefault="00996D9E" w:rsidP="00996D9E">
      <w:pPr>
        <w:pStyle w:val="FootnoteText"/>
        <w:jc w:val="both"/>
        <w:rPr>
          <w:rFonts w:ascii="Times New Roman" w:hAnsi="Times New Roman" w:cs="Times New Roman"/>
        </w:rPr>
      </w:pPr>
      <w:r w:rsidRPr="00425C9A">
        <w:rPr>
          <w:rStyle w:val="FootnoteReference"/>
          <w:rFonts w:ascii="Times New Roman" w:hAnsi="Times New Roman" w:cs="Times New Roman"/>
        </w:rPr>
        <w:footnoteRef/>
      </w:r>
      <w:r w:rsidRPr="00425C9A">
        <w:rPr>
          <w:rFonts w:ascii="Times New Roman" w:hAnsi="Times New Roman" w:cs="Times New Roman"/>
        </w:rPr>
        <w:t xml:space="preserve"> See </w:t>
      </w:r>
      <w:r w:rsidRPr="00425C9A">
        <w:rPr>
          <w:rFonts w:ascii="Times New Roman" w:hAnsi="Times New Roman" w:cs="Times New Roman"/>
          <w:bCs/>
          <w:i/>
          <w:iCs/>
        </w:rPr>
        <w:t>Government of the Republic of Zimbabwe v Fick and Others</w:t>
      </w:r>
      <w:r w:rsidRPr="00425C9A">
        <w:rPr>
          <w:rFonts w:ascii="Times New Roman" w:hAnsi="Times New Roman" w:cs="Times New Roman"/>
          <w:bCs/>
          <w:iCs/>
        </w:rPr>
        <w:t xml:space="preserve"> [2013] ZACC 22; 2013 (10) BCLR 1103 (CC); </w:t>
      </w:r>
      <w:hyperlink r:id="rId1" w:tooltip="View LawCiteRecord" w:history="1">
        <w:r w:rsidRPr="00425C9A">
          <w:rPr>
            <w:rStyle w:val="Hyperlink"/>
            <w:rFonts w:ascii="Times New Roman" w:hAnsi="Times New Roman" w:cs="Times New Roman"/>
            <w:bCs/>
            <w:color w:val="auto"/>
            <w:u w:val="none"/>
          </w:rPr>
          <w:t>2013 (5) SA 325</w:t>
        </w:r>
      </w:hyperlink>
      <w:r w:rsidRPr="00425C9A">
        <w:rPr>
          <w:rStyle w:val="Hyperlink"/>
          <w:rFonts w:ascii="Times New Roman" w:hAnsi="Times New Roman" w:cs="Times New Roman"/>
          <w:bCs/>
          <w:color w:val="auto"/>
          <w:u w:val="none"/>
        </w:rPr>
        <w:t xml:space="preserve"> (CC)</w:t>
      </w:r>
      <w:r w:rsidRPr="00425C9A">
        <w:rPr>
          <w:rFonts w:ascii="Times New Roman" w:hAnsi="Times New Roman" w:cs="Times New Roman"/>
          <w:bCs/>
          <w:iCs/>
        </w:rPr>
        <w:t>.</w:t>
      </w:r>
    </w:p>
  </w:footnote>
  <w:footnote w:id="4">
    <w:p w14:paraId="6964B278" w14:textId="554EC71C" w:rsidR="00996D9E" w:rsidRPr="00996D9E" w:rsidRDefault="00996D9E" w:rsidP="00996D9E">
      <w:pPr>
        <w:pStyle w:val="Heading2"/>
        <w:shd w:val="clear" w:color="auto" w:fill="FFFFFF"/>
        <w:spacing w:before="0" w:beforeAutospacing="0" w:after="0" w:afterAutospacing="0"/>
        <w:jc w:val="both"/>
        <w:rPr>
          <w:b w:val="0"/>
          <w:bCs w:val="0"/>
          <w:sz w:val="20"/>
          <w:szCs w:val="20"/>
        </w:rPr>
      </w:pPr>
      <w:r w:rsidRPr="00425C9A">
        <w:rPr>
          <w:rStyle w:val="FootnoteReference"/>
          <w:b w:val="0"/>
          <w:sz w:val="20"/>
          <w:szCs w:val="20"/>
        </w:rPr>
        <w:footnoteRef/>
      </w:r>
      <w:r w:rsidRPr="00425C9A">
        <w:rPr>
          <w:b w:val="0"/>
          <w:sz w:val="20"/>
          <w:szCs w:val="20"/>
        </w:rPr>
        <w:t xml:space="preserve"> </w:t>
      </w:r>
      <w:r w:rsidRPr="00425C9A">
        <w:rPr>
          <w:b w:val="0"/>
          <w:bCs w:val="0"/>
          <w:i/>
          <w:sz w:val="20"/>
          <w:szCs w:val="20"/>
        </w:rPr>
        <w:t>Law Society of South Africa and Others v President of the Republic of South Africa and Others</w:t>
      </w:r>
      <w:r w:rsidRPr="00425C9A">
        <w:rPr>
          <w:b w:val="0"/>
          <w:bCs w:val="0"/>
          <w:sz w:val="20"/>
          <w:szCs w:val="20"/>
        </w:rPr>
        <w:t xml:space="preserve"> [2018] ZAGPPHC 4; [2018] 2 All SA 806 (GP); 2018 (6) BCLR 695 (GP) para 20.</w:t>
      </w:r>
    </w:p>
  </w:footnote>
  <w:footnote w:id="5">
    <w:p w14:paraId="571F84D4" w14:textId="593872D8" w:rsidR="00996D9E" w:rsidRPr="00996D9E" w:rsidRDefault="00996D9E" w:rsidP="00996D9E">
      <w:pPr>
        <w:pStyle w:val="FootnoteText"/>
        <w:jc w:val="both"/>
        <w:rPr>
          <w:rFonts w:ascii="Times New Roman" w:hAnsi="Times New Roman" w:cs="Times New Roman"/>
        </w:rPr>
      </w:pPr>
      <w:r w:rsidRPr="00C7347F">
        <w:rPr>
          <w:rStyle w:val="FootnoteReference"/>
          <w:rFonts w:ascii="Times New Roman" w:hAnsi="Times New Roman" w:cs="Times New Roman"/>
        </w:rPr>
        <w:footnoteRef/>
      </w:r>
      <w:r w:rsidRPr="00C7347F">
        <w:rPr>
          <w:rFonts w:ascii="Times New Roman" w:hAnsi="Times New Roman" w:cs="Times New Roman"/>
        </w:rPr>
        <w:t xml:space="preserve"> </w:t>
      </w:r>
      <w:r w:rsidR="001F008A" w:rsidRPr="00000B30">
        <w:rPr>
          <w:rFonts w:ascii="Times New Roman" w:hAnsi="Times New Roman" w:cs="Times New Roman"/>
          <w:bCs/>
        </w:rPr>
        <w:t>Ibid</w:t>
      </w:r>
      <w:r w:rsidR="00D85F52" w:rsidRPr="00000B30">
        <w:rPr>
          <w:rFonts w:ascii="Times New Roman" w:hAnsi="Times New Roman" w:cs="Times New Roman"/>
          <w:bCs/>
        </w:rPr>
        <w:t xml:space="preserve"> para 72</w:t>
      </w:r>
      <w:r w:rsidRPr="00000B30">
        <w:rPr>
          <w:rFonts w:ascii="Times New Roman" w:hAnsi="Times New Roman" w:cs="Times New Roman"/>
          <w:bCs/>
        </w:rPr>
        <w:t>.</w:t>
      </w:r>
    </w:p>
  </w:footnote>
  <w:footnote w:id="6">
    <w:p w14:paraId="6F378DAF" w14:textId="77515CCF" w:rsidR="00996D9E" w:rsidRPr="00996D9E" w:rsidRDefault="00996D9E" w:rsidP="00A75A84">
      <w:pPr>
        <w:pStyle w:val="FootnoteText"/>
        <w:jc w:val="both"/>
        <w:rPr>
          <w:rFonts w:ascii="Times New Roman" w:hAnsi="Times New Roman" w:cs="Times New Roman"/>
        </w:rPr>
      </w:pPr>
      <w:r w:rsidRPr="00996D9E">
        <w:rPr>
          <w:rStyle w:val="FootnoteReference"/>
          <w:rFonts w:ascii="Times New Roman" w:hAnsi="Times New Roman" w:cs="Times New Roman"/>
        </w:rPr>
        <w:footnoteRef/>
      </w:r>
      <w:r w:rsidRPr="00996D9E">
        <w:rPr>
          <w:rFonts w:ascii="Times New Roman" w:hAnsi="Times New Roman" w:cs="Times New Roman"/>
        </w:rPr>
        <w:t xml:space="preserve"> </w:t>
      </w:r>
      <w:r w:rsidRPr="00996D9E">
        <w:rPr>
          <w:rFonts w:ascii="Times New Roman" w:hAnsi="Times New Roman" w:cs="Times New Roman"/>
          <w:i/>
        </w:rPr>
        <w:t xml:space="preserve">Law Society of South Africa and Others v President of the Republic of South Africa and Others </w:t>
      </w:r>
      <w:r w:rsidRPr="00996D9E">
        <w:rPr>
          <w:rFonts w:ascii="Times New Roman" w:hAnsi="Times New Roman" w:cs="Times New Roman"/>
        </w:rPr>
        <w:t>[2018] ZACC 51; 2019 (3) BCLR 329 (CC); 2019 (3) SA 30 (CC).</w:t>
      </w:r>
    </w:p>
  </w:footnote>
  <w:footnote w:id="7">
    <w:p w14:paraId="4F4CFF71" w14:textId="77777777" w:rsidR="00996D9E" w:rsidRPr="00996D9E" w:rsidRDefault="00996D9E" w:rsidP="00E40DD8">
      <w:pPr>
        <w:pStyle w:val="FootnoteText"/>
        <w:keepNext/>
        <w:keepLines/>
        <w:jc w:val="both"/>
        <w:rPr>
          <w:rFonts w:ascii="Times New Roman" w:hAnsi="Times New Roman" w:cs="Times New Roman"/>
        </w:rPr>
      </w:pPr>
      <w:r w:rsidRPr="00996D9E">
        <w:rPr>
          <w:rStyle w:val="FootnoteReference"/>
          <w:rFonts w:ascii="Times New Roman" w:hAnsi="Times New Roman" w:cs="Times New Roman"/>
        </w:rPr>
        <w:footnoteRef/>
      </w:r>
      <w:r w:rsidRPr="00996D9E">
        <w:rPr>
          <w:rFonts w:ascii="Times New Roman" w:hAnsi="Times New Roman" w:cs="Times New Roman"/>
        </w:rPr>
        <w:t xml:space="preserve"> Section 3 of the Legal Proceedings Against Certain Organs of State Act provides: </w:t>
      </w:r>
    </w:p>
    <w:p w14:paraId="57F073C2" w14:textId="77777777" w:rsidR="00996D9E" w:rsidRPr="00996D9E" w:rsidRDefault="00996D9E" w:rsidP="00033CC4">
      <w:pPr>
        <w:pStyle w:val="FootnoteText"/>
        <w:keepNext/>
        <w:keepLines/>
        <w:jc w:val="both"/>
        <w:rPr>
          <w:rFonts w:ascii="Times New Roman" w:hAnsi="Times New Roman" w:cs="Times New Roman"/>
        </w:rPr>
      </w:pPr>
      <w:r w:rsidRPr="00996D9E">
        <w:rPr>
          <w:rFonts w:ascii="Times New Roman" w:hAnsi="Times New Roman" w:cs="Times New Roman"/>
        </w:rPr>
        <w:t xml:space="preserve">‘(1) No legal proceedings for the recovery of a debt may be instituted against an organ of state unless- </w:t>
      </w:r>
    </w:p>
    <w:p w14:paraId="3E95ADEC" w14:textId="77777777" w:rsidR="00996D9E" w:rsidRPr="001E51B8" w:rsidRDefault="00996D9E" w:rsidP="0038564A">
      <w:pPr>
        <w:pStyle w:val="FootnoteText"/>
        <w:keepNext/>
        <w:keepLines/>
        <w:ind w:left="567"/>
        <w:jc w:val="both"/>
        <w:rPr>
          <w:rFonts w:ascii="Times New Roman" w:hAnsi="Times New Roman" w:cs="Times New Roman"/>
        </w:rPr>
      </w:pPr>
      <w:r w:rsidRPr="00A75A84">
        <w:rPr>
          <w:rFonts w:ascii="Times New Roman" w:hAnsi="Times New Roman" w:cs="Times New Roman"/>
          <w:i/>
        </w:rPr>
        <w:t>(a)</w:t>
      </w:r>
      <w:r w:rsidRPr="001E51B8">
        <w:rPr>
          <w:rFonts w:ascii="Times New Roman" w:hAnsi="Times New Roman" w:cs="Times New Roman"/>
        </w:rPr>
        <w:t xml:space="preserve"> the creditor has given the organ of state in question notice in writing of his or her or its intention to institute the legal proceedings in question; or </w:t>
      </w:r>
    </w:p>
    <w:p w14:paraId="0F3E056A" w14:textId="77777777" w:rsidR="00996D9E" w:rsidRPr="00033CC4" w:rsidRDefault="00996D9E" w:rsidP="0038564A">
      <w:pPr>
        <w:pStyle w:val="FootnoteText"/>
        <w:keepNext/>
        <w:keepLines/>
        <w:ind w:firstLine="567"/>
        <w:jc w:val="both"/>
        <w:rPr>
          <w:rFonts w:ascii="Times New Roman" w:hAnsi="Times New Roman" w:cs="Times New Roman"/>
        </w:rPr>
      </w:pPr>
      <w:r w:rsidRPr="00E40DD8">
        <w:rPr>
          <w:rFonts w:ascii="Times New Roman" w:hAnsi="Times New Roman" w:cs="Times New Roman"/>
          <w:i/>
        </w:rPr>
        <w:t>(b)</w:t>
      </w:r>
      <w:r w:rsidRPr="00033CC4">
        <w:rPr>
          <w:rFonts w:ascii="Times New Roman" w:hAnsi="Times New Roman" w:cs="Times New Roman"/>
        </w:rPr>
        <w:t xml:space="preserve"> the organ of state in question has consented in writing to the institution of that legal proceedings-</w:t>
      </w:r>
    </w:p>
    <w:p w14:paraId="59625C58" w14:textId="77777777" w:rsidR="00996D9E" w:rsidRPr="00A87AF0" w:rsidRDefault="00996D9E" w:rsidP="00A87AF0">
      <w:pPr>
        <w:pStyle w:val="FootnoteText"/>
        <w:keepNext/>
        <w:keepLines/>
        <w:ind w:firstLine="567"/>
        <w:jc w:val="both"/>
        <w:rPr>
          <w:rFonts w:ascii="Times New Roman" w:hAnsi="Times New Roman" w:cs="Times New Roman"/>
        </w:rPr>
      </w:pPr>
      <w:r w:rsidRPr="00A87AF0">
        <w:rPr>
          <w:rFonts w:ascii="Times New Roman" w:hAnsi="Times New Roman" w:cs="Times New Roman"/>
        </w:rPr>
        <w:t xml:space="preserve">(i) without such notice; or </w:t>
      </w:r>
    </w:p>
    <w:p w14:paraId="2D7D7596" w14:textId="77777777" w:rsidR="00996D9E" w:rsidRPr="008657C2" w:rsidRDefault="00996D9E" w:rsidP="00A87AF0">
      <w:pPr>
        <w:pStyle w:val="FootnoteText"/>
        <w:keepNext/>
        <w:keepLines/>
        <w:tabs>
          <w:tab w:val="left" w:pos="567"/>
        </w:tabs>
        <w:jc w:val="both"/>
        <w:rPr>
          <w:rFonts w:ascii="Times New Roman" w:hAnsi="Times New Roman" w:cs="Times New Roman"/>
        </w:rPr>
      </w:pPr>
      <w:r w:rsidRPr="00A87AF0">
        <w:rPr>
          <w:rFonts w:ascii="Times New Roman" w:hAnsi="Times New Roman" w:cs="Times New Roman"/>
        </w:rPr>
        <w:tab/>
        <w:t>(ii) upon receipt of a notice which does not comply with all the requirements set out in subsection (2).</w:t>
      </w:r>
      <w:r w:rsidRPr="008657C2">
        <w:rPr>
          <w:rFonts w:ascii="Times New Roman" w:hAnsi="Times New Roman" w:cs="Times New Roman"/>
        </w:rPr>
        <w:t>’</w:t>
      </w:r>
    </w:p>
  </w:footnote>
  <w:footnote w:id="8">
    <w:p w14:paraId="4114B842" w14:textId="1A1BCF60" w:rsidR="00996D9E" w:rsidRPr="00750780" w:rsidRDefault="00996D9E" w:rsidP="00756B4D">
      <w:pPr>
        <w:pStyle w:val="FootnoteText"/>
        <w:jc w:val="both"/>
        <w:rPr>
          <w:rFonts w:ascii="Times New Roman" w:hAnsi="Times New Roman" w:cs="Times New Roman"/>
        </w:rPr>
      </w:pPr>
      <w:r w:rsidRPr="00750780">
        <w:rPr>
          <w:rStyle w:val="FootnoteReference"/>
          <w:rFonts w:ascii="Times New Roman" w:hAnsi="Times New Roman" w:cs="Times New Roman"/>
        </w:rPr>
        <w:footnoteRef/>
      </w:r>
      <w:r w:rsidRPr="00750780">
        <w:rPr>
          <w:rFonts w:ascii="Times New Roman" w:hAnsi="Times New Roman" w:cs="Times New Roman"/>
        </w:rPr>
        <w:t xml:space="preserve"> </w:t>
      </w:r>
      <w:r w:rsidRPr="00750780">
        <w:rPr>
          <w:rFonts w:ascii="Times New Roman" w:hAnsi="Times New Roman" w:cs="Times New Roman"/>
          <w:i/>
          <w:iCs/>
          <w:shd w:val="clear" w:color="auto" w:fill="FFFFFF"/>
        </w:rPr>
        <w:t>Telematrix (Pty) Ltd v Advertising Standards Authority SA </w:t>
      </w:r>
      <w:hyperlink r:id="rId2" w:tooltip="View Case" w:history="1">
        <w:r w:rsidRPr="00750780">
          <w:rPr>
            <w:rStyle w:val="Hyperlink"/>
            <w:rFonts w:ascii="Times New Roman" w:hAnsi="Times New Roman" w:cs="Times New Roman"/>
            <w:bCs/>
            <w:color w:val="auto"/>
            <w:u w:val="none"/>
            <w:shd w:val="clear" w:color="auto" w:fill="FFFFFF"/>
          </w:rPr>
          <w:t>[2005] ZASCA 73</w:t>
        </w:r>
      </w:hyperlink>
      <w:r w:rsidRPr="00750780">
        <w:rPr>
          <w:rFonts w:ascii="Times New Roman" w:hAnsi="Times New Roman" w:cs="Times New Roman"/>
          <w:shd w:val="clear" w:color="auto" w:fill="FFFFFF"/>
        </w:rPr>
        <w:t>; </w:t>
      </w:r>
      <w:hyperlink r:id="rId3" w:tooltip="View LawCiteRecord" w:history="1">
        <w:r w:rsidRPr="00750780">
          <w:rPr>
            <w:rStyle w:val="Hyperlink"/>
            <w:rFonts w:ascii="Times New Roman" w:hAnsi="Times New Roman" w:cs="Times New Roman"/>
            <w:bCs/>
            <w:color w:val="auto"/>
            <w:u w:val="none"/>
            <w:shd w:val="clear" w:color="auto" w:fill="FFFFFF"/>
          </w:rPr>
          <w:t>2006 (1) SA 461</w:t>
        </w:r>
      </w:hyperlink>
      <w:r w:rsidRPr="00750780">
        <w:rPr>
          <w:rFonts w:ascii="Times New Roman" w:hAnsi="Times New Roman" w:cs="Times New Roman"/>
          <w:shd w:val="clear" w:color="auto" w:fill="FFFFFF"/>
        </w:rPr>
        <w:t xml:space="preserve"> (SCA) para 3.</w:t>
      </w:r>
    </w:p>
  </w:footnote>
  <w:footnote w:id="9">
    <w:p w14:paraId="04A305F3" w14:textId="5BBFAF10" w:rsidR="00953FAC" w:rsidRPr="00750780" w:rsidRDefault="00996D9E" w:rsidP="00A87AF0">
      <w:pPr>
        <w:pStyle w:val="FootnoteText"/>
        <w:jc w:val="both"/>
        <w:rPr>
          <w:rFonts w:ascii="Times New Roman" w:hAnsi="Times New Roman" w:cs="Times New Roman"/>
        </w:rPr>
      </w:pPr>
      <w:r w:rsidRPr="00750780">
        <w:rPr>
          <w:rStyle w:val="FootnoteReference"/>
          <w:rFonts w:ascii="Times New Roman" w:hAnsi="Times New Roman" w:cs="Times New Roman"/>
        </w:rPr>
        <w:footnoteRef/>
      </w:r>
      <w:r w:rsidRPr="00750780">
        <w:rPr>
          <w:rFonts w:ascii="Times New Roman" w:hAnsi="Times New Roman" w:cs="Times New Roman"/>
        </w:rPr>
        <w:t xml:space="preserve"> </w:t>
      </w:r>
      <w:r w:rsidR="00953FAC" w:rsidRPr="008072AB">
        <w:rPr>
          <w:rFonts w:ascii="Times New Roman" w:hAnsi="Times New Roman" w:cs="Times New Roman"/>
        </w:rPr>
        <w:t xml:space="preserve">Cilliers </w:t>
      </w:r>
      <w:r w:rsidR="00953FAC" w:rsidRPr="008072AB">
        <w:rPr>
          <w:rFonts w:ascii="Times New Roman" w:hAnsi="Times New Roman" w:cs="Times New Roman"/>
          <w:i/>
        </w:rPr>
        <w:t>et al Herbstein &amp; Van</w:t>
      </w:r>
      <w:r w:rsidR="00953FAC" w:rsidRPr="00750780">
        <w:rPr>
          <w:rFonts w:ascii="Times New Roman" w:hAnsi="Times New Roman" w:cs="Times New Roman"/>
          <w:i/>
        </w:rPr>
        <w:t xml:space="preserve"> Winsen The Practice of the High Courts of South Africa</w:t>
      </w:r>
      <w:r w:rsidR="00F94A1B">
        <w:rPr>
          <w:rFonts w:ascii="Times New Roman" w:hAnsi="Times New Roman" w:cs="Times New Roman"/>
        </w:rPr>
        <w:t xml:space="preserve"> 5ed V</w:t>
      </w:r>
      <w:r w:rsidR="00953FAC" w:rsidRPr="00750780">
        <w:rPr>
          <w:rFonts w:ascii="Times New Roman" w:hAnsi="Times New Roman" w:cs="Times New Roman"/>
        </w:rPr>
        <w:t xml:space="preserve">ol 1 at 631; </w:t>
      </w:r>
      <w:r w:rsidRPr="00750780">
        <w:rPr>
          <w:rFonts w:ascii="Times New Roman" w:hAnsi="Times New Roman" w:cs="Times New Roman"/>
          <w:i/>
        </w:rPr>
        <w:t>Jowell v Bramwell-Jones</w:t>
      </w:r>
      <w:r w:rsidR="00A87AF0" w:rsidRPr="00750780">
        <w:rPr>
          <w:rFonts w:ascii="Times New Roman" w:hAnsi="Times New Roman" w:cs="Times New Roman"/>
          <w:i/>
        </w:rPr>
        <w:t xml:space="preserve"> and Others</w:t>
      </w:r>
      <w:r w:rsidRPr="00750780">
        <w:rPr>
          <w:rFonts w:ascii="Times New Roman" w:hAnsi="Times New Roman" w:cs="Times New Roman"/>
          <w:i/>
        </w:rPr>
        <w:t xml:space="preserve"> </w:t>
      </w:r>
      <w:r w:rsidR="00953FAC" w:rsidRPr="00750780">
        <w:rPr>
          <w:rFonts w:ascii="Times New Roman" w:hAnsi="Times New Roman" w:cs="Times New Roman"/>
        </w:rPr>
        <w:t>1998 (1) SA 836 (W) at 899E-F.</w:t>
      </w:r>
    </w:p>
  </w:footnote>
  <w:footnote w:id="10">
    <w:p w14:paraId="0162500A" w14:textId="0E0E2A83" w:rsidR="00996D9E" w:rsidRPr="00750780" w:rsidRDefault="00996D9E" w:rsidP="00A87AF0">
      <w:pPr>
        <w:pStyle w:val="FootnoteText"/>
        <w:jc w:val="both"/>
        <w:rPr>
          <w:rFonts w:ascii="Times New Roman" w:hAnsi="Times New Roman" w:cs="Times New Roman"/>
        </w:rPr>
      </w:pPr>
      <w:r w:rsidRPr="00750780">
        <w:rPr>
          <w:rStyle w:val="FootnoteReference"/>
          <w:rFonts w:ascii="Times New Roman" w:hAnsi="Times New Roman" w:cs="Times New Roman"/>
        </w:rPr>
        <w:footnoteRef/>
      </w:r>
      <w:r w:rsidRPr="00750780">
        <w:rPr>
          <w:rFonts w:ascii="Times New Roman" w:hAnsi="Times New Roman" w:cs="Times New Roman"/>
        </w:rPr>
        <w:t xml:space="preserve"> </w:t>
      </w:r>
      <w:r w:rsidRPr="00750780">
        <w:rPr>
          <w:rFonts w:ascii="Times New Roman" w:hAnsi="Times New Roman" w:cs="Times New Roman"/>
          <w:i/>
        </w:rPr>
        <w:t>Ocean Echo Properties 327 CC</w:t>
      </w:r>
      <w:r w:rsidR="00A87AF0" w:rsidRPr="00750780">
        <w:rPr>
          <w:rFonts w:ascii="Times New Roman" w:hAnsi="Times New Roman" w:cs="Times New Roman"/>
          <w:i/>
        </w:rPr>
        <w:t xml:space="preserve"> and Another</w:t>
      </w:r>
      <w:r w:rsidRPr="00750780">
        <w:rPr>
          <w:rFonts w:ascii="Times New Roman" w:hAnsi="Times New Roman" w:cs="Times New Roman"/>
          <w:i/>
        </w:rPr>
        <w:t xml:space="preserve"> v Old Mutual Life Insurance Company (South Africa) Ltd </w:t>
      </w:r>
      <w:r w:rsidR="00A87AF0" w:rsidRPr="00750780">
        <w:rPr>
          <w:rFonts w:ascii="Times New Roman" w:hAnsi="Times New Roman" w:cs="Times New Roman"/>
        </w:rPr>
        <w:t xml:space="preserve">[2018] ZASCA 9; </w:t>
      </w:r>
      <w:r w:rsidRPr="00750780">
        <w:rPr>
          <w:rFonts w:ascii="Times New Roman" w:hAnsi="Times New Roman" w:cs="Times New Roman"/>
        </w:rPr>
        <w:t>2018 (3) SA 405 (SCA) para 9.</w:t>
      </w:r>
    </w:p>
  </w:footnote>
  <w:footnote w:id="11">
    <w:p w14:paraId="33A53F97" w14:textId="6F3A2E3A" w:rsidR="00996D9E" w:rsidRPr="00750780" w:rsidRDefault="00996D9E" w:rsidP="00A87AF0">
      <w:pPr>
        <w:pStyle w:val="FootnoteText"/>
        <w:jc w:val="both"/>
        <w:rPr>
          <w:rFonts w:ascii="Times New Roman" w:hAnsi="Times New Roman" w:cs="Times New Roman"/>
        </w:rPr>
      </w:pPr>
      <w:r w:rsidRPr="00750780">
        <w:rPr>
          <w:rStyle w:val="FootnoteReference"/>
          <w:rFonts w:ascii="Times New Roman" w:hAnsi="Times New Roman" w:cs="Times New Roman"/>
        </w:rPr>
        <w:footnoteRef/>
      </w:r>
      <w:r w:rsidRPr="00750780">
        <w:rPr>
          <w:rFonts w:ascii="Times New Roman" w:hAnsi="Times New Roman" w:cs="Times New Roman"/>
        </w:rPr>
        <w:t xml:space="preserve"> </w:t>
      </w:r>
      <w:r w:rsidRPr="00750780">
        <w:rPr>
          <w:rFonts w:ascii="Times New Roman" w:hAnsi="Times New Roman" w:cs="Times New Roman"/>
          <w:i/>
          <w:iCs/>
          <w:shd w:val="clear" w:color="auto" w:fill="FFFFFF"/>
        </w:rPr>
        <w:t>Trustees for the Time Being of the Children’s Resource Centre Trust and Others v Pioneer Food (Pty) Ltd and Others</w:t>
      </w:r>
      <w:r w:rsidR="006B6CC4" w:rsidRPr="00750780">
        <w:rPr>
          <w:rFonts w:ascii="Times New Roman" w:hAnsi="Times New Roman" w:cs="Times New Roman"/>
          <w:i/>
          <w:iCs/>
          <w:shd w:val="clear" w:color="auto" w:fill="FFFFFF"/>
        </w:rPr>
        <w:t xml:space="preserve"> </w:t>
      </w:r>
      <w:hyperlink r:id="rId4" w:tooltip="View LawCiteRecord" w:history="1">
        <w:r w:rsidRPr="00750780">
          <w:rPr>
            <w:rStyle w:val="Hyperlink"/>
            <w:rFonts w:ascii="Times New Roman" w:hAnsi="Times New Roman" w:cs="Times New Roman"/>
            <w:bCs/>
            <w:color w:val="auto"/>
            <w:u w:val="none"/>
            <w:shd w:val="clear" w:color="auto" w:fill="FFFFFF"/>
          </w:rPr>
          <w:t>[2012] ZASCA 182</w:t>
        </w:r>
      </w:hyperlink>
      <w:r w:rsidRPr="00750780">
        <w:rPr>
          <w:rFonts w:ascii="Times New Roman" w:hAnsi="Times New Roman" w:cs="Times New Roman"/>
          <w:shd w:val="clear" w:color="auto" w:fill="FFFFFF"/>
        </w:rPr>
        <w:t>;</w:t>
      </w:r>
      <w:r w:rsidR="006B6CC4" w:rsidRPr="00750780">
        <w:rPr>
          <w:rFonts w:ascii="Times New Roman" w:hAnsi="Times New Roman" w:cs="Times New Roman"/>
          <w:shd w:val="clear" w:color="auto" w:fill="FFFFFF"/>
        </w:rPr>
        <w:t xml:space="preserve"> </w:t>
      </w:r>
      <w:hyperlink r:id="rId5" w:tooltip="View LawCiteRecord" w:history="1">
        <w:r w:rsidRPr="00750780">
          <w:rPr>
            <w:rStyle w:val="Hyperlink"/>
            <w:rFonts w:ascii="Times New Roman" w:hAnsi="Times New Roman" w:cs="Times New Roman"/>
            <w:bCs/>
            <w:color w:val="auto"/>
            <w:u w:val="none"/>
            <w:shd w:val="clear" w:color="auto" w:fill="FFFFFF"/>
          </w:rPr>
          <w:t>2013 (2) SA 213</w:t>
        </w:r>
      </w:hyperlink>
      <w:r w:rsidR="006B6CC4" w:rsidRPr="00750780">
        <w:rPr>
          <w:rFonts w:ascii="Times New Roman" w:hAnsi="Times New Roman" w:cs="Times New Roman"/>
          <w:shd w:val="clear" w:color="auto" w:fill="FFFFFF"/>
        </w:rPr>
        <w:t xml:space="preserve"> </w:t>
      </w:r>
      <w:r w:rsidRPr="00750780">
        <w:rPr>
          <w:rFonts w:ascii="Times New Roman" w:hAnsi="Times New Roman" w:cs="Times New Roman"/>
          <w:shd w:val="clear" w:color="auto" w:fill="FFFFFF"/>
        </w:rPr>
        <w:t>(SCA)</w:t>
      </w:r>
      <w:r w:rsidR="00A87AF0" w:rsidRPr="00750780">
        <w:rPr>
          <w:rFonts w:ascii="Times New Roman" w:hAnsi="Times New Roman" w:cs="Times New Roman"/>
          <w:shd w:val="clear" w:color="auto" w:fill="FFFFFF"/>
        </w:rPr>
        <w:t xml:space="preserve">; 2013 (3) BCLR 279 (SCA); [2013] 1 All SA 648 (SCA) </w:t>
      </w:r>
      <w:r w:rsidRPr="00750780">
        <w:rPr>
          <w:rFonts w:ascii="Times New Roman" w:hAnsi="Times New Roman" w:cs="Times New Roman"/>
          <w:shd w:val="clear" w:color="auto" w:fill="FFFFFF"/>
        </w:rPr>
        <w:t xml:space="preserve"> para 36</w:t>
      </w:r>
      <w:r w:rsidR="008657C2" w:rsidRPr="00750780">
        <w:rPr>
          <w:rFonts w:ascii="Times New Roman" w:hAnsi="Times New Roman" w:cs="Times New Roman"/>
          <w:shd w:val="clear" w:color="auto" w:fill="FFFFFF"/>
        </w:rPr>
        <w:t xml:space="preserve"> (</w:t>
      </w:r>
      <w:r w:rsidR="008657C2" w:rsidRPr="00750780">
        <w:rPr>
          <w:rFonts w:ascii="Times New Roman" w:hAnsi="Times New Roman" w:cs="Times New Roman"/>
          <w:i/>
        </w:rPr>
        <w:t>Children’s Resource Centre Trust</w:t>
      </w:r>
      <w:r w:rsidR="008657C2" w:rsidRPr="00750780">
        <w:rPr>
          <w:rFonts w:ascii="Times New Roman" w:hAnsi="Times New Roman" w:cs="Times New Roman"/>
          <w:shd w:val="clear" w:color="auto" w:fill="FFFFFF"/>
        </w:rPr>
        <w:t>)</w:t>
      </w:r>
      <w:r w:rsidRPr="00750780">
        <w:rPr>
          <w:rFonts w:ascii="Times New Roman" w:hAnsi="Times New Roman" w:cs="Times New Roman"/>
          <w:shd w:val="clear" w:color="auto" w:fill="FFFFFF"/>
        </w:rPr>
        <w:t>.</w:t>
      </w:r>
    </w:p>
  </w:footnote>
  <w:footnote w:id="12">
    <w:p w14:paraId="658540EC" w14:textId="27355D1D" w:rsidR="00996D9E" w:rsidRPr="00A87AF0" w:rsidRDefault="00996D9E" w:rsidP="00A87AF0">
      <w:pPr>
        <w:pStyle w:val="Heading2"/>
        <w:shd w:val="clear" w:color="auto" w:fill="FFFFFF"/>
        <w:spacing w:before="0" w:beforeAutospacing="0" w:after="0" w:afterAutospacing="0"/>
        <w:jc w:val="both"/>
        <w:rPr>
          <w:sz w:val="20"/>
          <w:szCs w:val="20"/>
        </w:rPr>
      </w:pPr>
      <w:r w:rsidRPr="00750780">
        <w:rPr>
          <w:rStyle w:val="FootnoteReference"/>
          <w:b w:val="0"/>
          <w:sz w:val="20"/>
          <w:szCs w:val="20"/>
        </w:rPr>
        <w:footnoteRef/>
      </w:r>
      <w:r w:rsidRPr="00750780">
        <w:rPr>
          <w:sz w:val="20"/>
          <w:szCs w:val="20"/>
        </w:rPr>
        <w:t xml:space="preserve"> </w:t>
      </w:r>
      <w:r w:rsidRPr="00750780">
        <w:rPr>
          <w:b w:val="0"/>
          <w:bCs w:val="0"/>
          <w:i/>
          <w:sz w:val="20"/>
          <w:szCs w:val="20"/>
        </w:rPr>
        <w:t>H v Fetal Assessment Centre</w:t>
      </w:r>
      <w:r w:rsidRPr="00750780">
        <w:rPr>
          <w:b w:val="0"/>
          <w:bCs w:val="0"/>
          <w:sz w:val="20"/>
          <w:szCs w:val="20"/>
        </w:rPr>
        <w:t xml:space="preserve"> [2014] ZACC 34; 2015 (2) BCLR 127 (CC); 2015 (2) SA 193 (CC) para 11 (</w:t>
      </w:r>
      <w:r w:rsidRPr="00750780">
        <w:rPr>
          <w:b w:val="0"/>
          <w:i/>
          <w:sz w:val="20"/>
          <w:szCs w:val="20"/>
        </w:rPr>
        <w:t>H v Fetal Assessment Centre</w:t>
      </w:r>
      <w:r w:rsidRPr="00750780">
        <w:rPr>
          <w:b w:val="0"/>
          <w:sz w:val="20"/>
          <w:szCs w:val="20"/>
        </w:rPr>
        <w:t>)</w:t>
      </w:r>
      <w:r w:rsidRPr="00750780">
        <w:rPr>
          <w:b w:val="0"/>
          <w:bCs w:val="0"/>
          <w:sz w:val="20"/>
          <w:szCs w:val="20"/>
        </w:rPr>
        <w:t>.</w:t>
      </w:r>
    </w:p>
  </w:footnote>
  <w:footnote w:id="13">
    <w:p w14:paraId="44188480" w14:textId="2E7D750F" w:rsidR="00996D9E" w:rsidRPr="00750780" w:rsidRDefault="00996D9E" w:rsidP="00A87AF0">
      <w:pPr>
        <w:pStyle w:val="NormalWeb"/>
        <w:keepNext/>
        <w:keepLines/>
        <w:shd w:val="clear" w:color="auto" w:fill="FFFFFF"/>
        <w:spacing w:after="0" w:line="240" w:lineRule="auto"/>
        <w:jc w:val="both"/>
        <w:rPr>
          <w:sz w:val="20"/>
          <w:szCs w:val="20"/>
        </w:rPr>
      </w:pPr>
      <w:r w:rsidRPr="00750780">
        <w:rPr>
          <w:rStyle w:val="FootnoteReference"/>
          <w:sz w:val="20"/>
          <w:szCs w:val="20"/>
        </w:rPr>
        <w:footnoteRef/>
      </w:r>
      <w:r w:rsidRPr="00750780">
        <w:rPr>
          <w:sz w:val="20"/>
          <w:szCs w:val="20"/>
        </w:rPr>
        <w:t xml:space="preserve"> In </w:t>
      </w:r>
      <w:r w:rsidRPr="00750780">
        <w:rPr>
          <w:i/>
          <w:iCs/>
          <w:sz w:val="20"/>
          <w:szCs w:val="20"/>
        </w:rPr>
        <w:t>Carmichele v Minister of Safety and Security</w:t>
      </w:r>
      <w:r w:rsidR="006B6CC4" w:rsidRPr="00750780">
        <w:rPr>
          <w:sz w:val="20"/>
          <w:szCs w:val="20"/>
        </w:rPr>
        <w:t xml:space="preserve"> </w:t>
      </w:r>
      <w:hyperlink r:id="rId6" w:tooltip="View Case" w:history="1">
        <w:r w:rsidRPr="00750780">
          <w:rPr>
            <w:rStyle w:val="Hyperlink"/>
            <w:bCs/>
            <w:color w:val="auto"/>
            <w:sz w:val="20"/>
            <w:szCs w:val="20"/>
            <w:u w:val="none"/>
          </w:rPr>
          <w:t>[2001] ZACC 22</w:t>
        </w:r>
      </w:hyperlink>
      <w:r w:rsidRPr="00750780">
        <w:rPr>
          <w:sz w:val="20"/>
          <w:szCs w:val="20"/>
        </w:rPr>
        <w:t>;</w:t>
      </w:r>
      <w:r w:rsidR="00FA2E20" w:rsidRPr="00750780">
        <w:rPr>
          <w:sz w:val="20"/>
          <w:szCs w:val="20"/>
        </w:rPr>
        <w:t xml:space="preserve"> </w:t>
      </w:r>
      <w:hyperlink r:id="rId7" w:tooltip="View LawCiteRecord" w:history="1">
        <w:r w:rsidRPr="00750780">
          <w:rPr>
            <w:rStyle w:val="Hyperlink"/>
            <w:bCs/>
            <w:color w:val="auto"/>
            <w:sz w:val="20"/>
            <w:szCs w:val="20"/>
            <w:u w:val="none"/>
          </w:rPr>
          <w:t>2001 (4) SA 938</w:t>
        </w:r>
      </w:hyperlink>
      <w:r w:rsidRPr="00750780">
        <w:rPr>
          <w:sz w:val="20"/>
          <w:szCs w:val="20"/>
        </w:rPr>
        <w:t>(CC);</w:t>
      </w:r>
      <w:r w:rsidR="006B6CC4" w:rsidRPr="00750780">
        <w:rPr>
          <w:sz w:val="20"/>
          <w:szCs w:val="20"/>
        </w:rPr>
        <w:t xml:space="preserve"> </w:t>
      </w:r>
      <w:hyperlink r:id="rId8" w:tooltip="View LawCiteRecord" w:history="1">
        <w:r w:rsidRPr="00750780">
          <w:rPr>
            <w:rStyle w:val="Hyperlink"/>
            <w:bCs/>
            <w:color w:val="auto"/>
            <w:sz w:val="20"/>
            <w:szCs w:val="20"/>
            <w:u w:val="none"/>
          </w:rPr>
          <w:t>2001 (1) BCLR 995</w:t>
        </w:r>
      </w:hyperlink>
      <w:r w:rsidR="006B6CC4" w:rsidRPr="00750780">
        <w:rPr>
          <w:sz w:val="20"/>
          <w:szCs w:val="20"/>
        </w:rPr>
        <w:t xml:space="preserve"> </w:t>
      </w:r>
      <w:r w:rsidRPr="00750780">
        <w:rPr>
          <w:sz w:val="20"/>
          <w:szCs w:val="20"/>
        </w:rPr>
        <w:t>(CC) para 80 the Const</w:t>
      </w:r>
      <w:r w:rsidR="001E3E47">
        <w:rPr>
          <w:sz w:val="20"/>
          <w:szCs w:val="20"/>
        </w:rPr>
        <w:t>itutional Court held, as with</w:t>
      </w:r>
      <w:r w:rsidRPr="00750780">
        <w:rPr>
          <w:sz w:val="20"/>
          <w:szCs w:val="20"/>
        </w:rPr>
        <w:t xml:space="preserve"> some cases on exception, it was also better not to decide issues about the development of the common law by an order granting absolution from the instance at the end of a plaintiff’s case in a trial. It stated:</w:t>
      </w:r>
    </w:p>
    <w:p w14:paraId="7B9FEDBA" w14:textId="77777777" w:rsidR="00996D9E" w:rsidRPr="00750780" w:rsidRDefault="00996D9E" w:rsidP="00A87AF0">
      <w:pPr>
        <w:pStyle w:val="NormalWeb"/>
        <w:keepNext/>
        <w:keepLines/>
        <w:shd w:val="clear" w:color="auto" w:fill="FFFFFF"/>
        <w:spacing w:after="0" w:line="240" w:lineRule="auto"/>
        <w:jc w:val="both"/>
        <w:rPr>
          <w:sz w:val="20"/>
          <w:szCs w:val="20"/>
        </w:rPr>
      </w:pPr>
      <w:r w:rsidRPr="00750780">
        <w:rPr>
          <w:sz w:val="20"/>
          <w:szCs w:val="20"/>
        </w:rPr>
        <w:t xml:space="preserve">‘There may be cases where there is clearly no merit in the submission that the common law should be developed to provide relief to the plaintiff. In such circumstances absolution should be granted. </w:t>
      </w:r>
      <w:r w:rsidRPr="00750780">
        <w:rPr>
          <w:iCs/>
          <w:sz w:val="20"/>
          <w:szCs w:val="20"/>
        </w:rPr>
        <w:t>But where the factual situation is complex and the legal position uncertain, the interests of justice will often better be served by the exercise of the discretion that the trial Judge has to refuse absolution</w:t>
      </w:r>
      <w:r w:rsidRPr="00750780">
        <w:rPr>
          <w:sz w:val="20"/>
          <w:szCs w:val="20"/>
        </w:rPr>
        <w:t>. If this is done, the facts on which the decision has to be made can be determined after hearing all the evidence, and the decision can be given in the light of all the circumstances of the case, with due regard to all relevant factors.’</w:t>
      </w:r>
    </w:p>
  </w:footnote>
  <w:footnote w:id="14">
    <w:p w14:paraId="416FE07F" w14:textId="77777777" w:rsidR="00996D9E" w:rsidRPr="00750780" w:rsidRDefault="00996D9E" w:rsidP="00A87AF0">
      <w:pPr>
        <w:pStyle w:val="Heading2"/>
        <w:shd w:val="clear" w:color="auto" w:fill="FFFFFF"/>
        <w:spacing w:before="0" w:beforeAutospacing="0" w:after="0" w:afterAutospacing="0"/>
        <w:jc w:val="both"/>
        <w:rPr>
          <w:b w:val="0"/>
          <w:bCs w:val="0"/>
          <w:sz w:val="20"/>
          <w:szCs w:val="20"/>
        </w:rPr>
      </w:pPr>
      <w:r w:rsidRPr="00750780">
        <w:rPr>
          <w:rStyle w:val="FootnoteReference"/>
          <w:b w:val="0"/>
          <w:sz w:val="20"/>
          <w:szCs w:val="20"/>
        </w:rPr>
        <w:footnoteRef/>
      </w:r>
      <w:r w:rsidRPr="00750780">
        <w:rPr>
          <w:b w:val="0"/>
          <w:sz w:val="20"/>
          <w:szCs w:val="20"/>
        </w:rPr>
        <w:t xml:space="preserve"> It bears mention, as was pointed out in </w:t>
      </w:r>
      <w:r w:rsidRPr="00750780">
        <w:rPr>
          <w:b w:val="0"/>
          <w:bCs w:val="0"/>
          <w:i/>
          <w:sz w:val="20"/>
          <w:szCs w:val="20"/>
        </w:rPr>
        <w:t>Home Talk Developments (Pty) Ltd and Others v Ekurhuleni Metropolitan Municipality</w:t>
      </w:r>
      <w:r w:rsidRPr="00750780">
        <w:rPr>
          <w:b w:val="0"/>
          <w:bCs w:val="0"/>
          <w:sz w:val="20"/>
          <w:szCs w:val="20"/>
        </w:rPr>
        <w:t xml:space="preserve"> ZASCA 77; [2017] 3 All SA 382 (SCA); 2018 (1) SA 391 (SCA) para 25, that:</w:t>
      </w:r>
    </w:p>
    <w:p w14:paraId="7C043F93" w14:textId="0BF8FE99" w:rsidR="00996D9E" w:rsidRPr="00750780" w:rsidRDefault="00996D9E" w:rsidP="00A87AF0">
      <w:pPr>
        <w:pStyle w:val="FootnoteText"/>
        <w:jc w:val="both"/>
        <w:rPr>
          <w:rFonts w:ascii="Times New Roman" w:hAnsi="Times New Roman" w:cs="Times New Roman"/>
        </w:rPr>
      </w:pPr>
      <w:r w:rsidRPr="00750780">
        <w:rPr>
          <w:rFonts w:ascii="Times New Roman" w:hAnsi="Times New Roman" w:cs="Times New Roman"/>
          <w:lang w:val="en-GB"/>
        </w:rPr>
        <w:t>‘. . . in English law ‘‘duty of care’’ is used to denote both what in South African law would be the second leg of the inquiry into negligence and legal duty in the context of wrongfulness. As Brand JA observed in </w:t>
      </w:r>
      <w:r w:rsidRPr="00750780">
        <w:rPr>
          <w:rFonts w:ascii="Times New Roman" w:hAnsi="Times New Roman" w:cs="Times New Roman"/>
          <w:i/>
          <w:iCs/>
          <w:lang w:val="en-GB"/>
        </w:rPr>
        <w:t>Trustees, Two Oceans Aquarium Trust</w:t>
      </w:r>
      <w:r w:rsidRPr="00750780">
        <w:rPr>
          <w:rFonts w:ascii="Times New Roman" w:hAnsi="Times New Roman" w:cs="Times New Roman"/>
        </w:rPr>
        <w:t> </w:t>
      </w:r>
      <w:r w:rsidRPr="00750780">
        <w:rPr>
          <w:rFonts w:ascii="Times New Roman" w:hAnsi="Times New Roman" w:cs="Times New Roman"/>
          <w:lang w:val="en-GB"/>
        </w:rPr>
        <w:t>at 144F, ‘‘duty of care’’ in English law ‘‘straddles both elements of wrongfulness and negligence’’.</w:t>
      </w:r>
      <w:r w:rsidRPr="00750780">
        <w:rPr>
          <w:rFonts w:ascii="Times New Roman" w:hAnsi="Times New Roman" w:cs="Times New Roman"/>
        </w:rPr>
        <w:t> </w:t>
      </w:r>
      <w:r w:rsidRPr="00750780">
        <w:rPr>
          <w:rFonts w:ascii="Times New Roman" w:hAnsi="Times New Roman" w:cs="Times New Roman"/>
          <w:lang w:val="en-GB"/>
        </w:rPr>
        <w:t>Accordingly, the </w:t>
      </w:r>
      <w:r w:rsidRPr="00750780">
        <w:rPr>
          <w:rFonts w:ascii="Times New Roman" w:hAnsi="Times New Roman" w:cs="Times New Roman"/>
        </w:rPr>
        <w:t xml:space="preserve">phrase ‘‘duty of care’’ in our legal setting is inherently misleading.’ </w:t>
      </w:r>
      <w:r w:rsidR="00A87AF0" w:rsidRPr="00750780">
        <w:rPr>
          <w:rFonts w:ascii="Times New Roman" w:hAnsi="Times New Roman" w:cs="Times New Roman"/>
        </w:rPr>
        <w:t>(Footnotes Omitted.)</w:t>
      </w:r>
    </w:p>
  </w:footnote>
  <w:footnote w:id="15">
    <w:p w14:paraId="4A07E9A1" w14:textId="77777777" w:rsidR="00996D9E" w:rsidRPr="00750780" w:rsidRDefault="00996D9E">
      <w:pPr>
        <w:pStyle w:val="FootnoteText"/>
        <w:jc w:val="both"/>
        <w:rPr>
          <w:rFonts w:ascii="Times New Roman" w:hAnsi="Times New Roman" w:cs="Times New Roman"/>
        </w:rPr>
      </w:pPr>
      <w:r w:rsidRPr="00750780">
        <w:rPr>
          <w:rStyle w:val="FootnoteReference"/>
          <w:rFonts w:ascii="Times New Roman" w:hAnsi="Times New Roman" w:cs="Times New Roman"/>
        </w:rPr>
        <w:footnoteRef/>
      </w:r>
      <w:r w:rsidRPr="00750780">
        <w:rPr>
          <w:rFonts w:ascii="Times New Roman" w:hAnsi="Times New Roman" w:cs="Times New Roman"/>
        </w:rPr>
        <w:t xml:space="preserve"> </w:t>
      </w:r>
      <w:r w:rsidRPr="00750780">
        <w:rPr>
          <w:rFonts w:ascii="Times New Roman" w:hAnsi="Times New Roman" w:cs="Times New Roman"/>
          <w:i/>
          <w:iCs/>
        </w:rPr>
        <w:t>Harriton v Stephens</w:t>
      </w:r>
      <w:r w:rsidRPr="00750780">
        <w:rPr>
          <w:rFonts w:ascii="Times New Roman" w:hAnsi="Times New Roman" w:cs="Times New Roman"/>
        </w:rPr>
        <w:t> </w:t>
      </w:r>
      <w:hyperlink r:id="rId9" w:tooltip="View Case" w:history="1">
        <w:r w:rsidRPr="00750780">
          <w:rPr>
            <w:rStyle w:val="Hyperlink"/>
            <w:rFonts w:ascii="Times New Roman" w:hAnsi="Times New Roman" w:cs="Times New Roman"/>
            <w:bCs/>
            <w:color w:val="auto"/>
            <w:u w:val="none"/>
          </w:rPr>
          <w:t>[2006] HCA 15</w:t>
        </w:r>
      </w:hyperlink>
      <w:r w:rsidRPr="00750780">
        <w:rPr>
          <w:rFonts w:ascii="Times New Roman" w:hAnsi="Times New Roman" w:cs="Times New Roman"/>
        </w:rPr>
        <w:t>; </w:t>
      </w:r>
      <w:hyperlink r:id="rId10" w:tooltip="View LawCiteRecord" w:history="1">
        <w:r w:rsidRPr="00750780">
          <w:rPr>
            <w:rStyle w:val="Hyperlink"/>
            <w:rFonts w:ascii="Times New Roman" w:hAnsi="Times New Roman" w:cs="Times New Roman"/>
            <w:bCs/>
            <w:color w:val="auto"/>
            <w:u w:val="none"/>
          </w:rPr>
          <w:t>(2006) 226 CLR 52</w:t>
        </w:r>
      </w:hyperlink>
      <w:r w:rsidRPr="00750780">
        <w:rPr>
          <w:rFonts w:ascii="Times New Roman" w:hAnsi="Times New Roman" w:cs="Times New Roman"/>
        </w:rPr>
        <w:t>; </w:t>
      </w:r>
      <w:hyperlink r:id="rId11" w:tooltip="View LawCiteRecord" w:history="1">
        <w:r w:rsidRPr="00750780">
          <w:rPr>
            <w:rStyle w:val="Hyperlink"/>
            <w:rFonts w:ascii="Times New Roman" w:hAnsi="Times New Roman" w:cs="Times New Roman"/>
            <w:bCs/>
            <w:color w:val="auto"/>
            <w:u w:val="none"/>
          </w:rPr>
          <w:t>(2006) 226 ALR 391</w:t>
        </w:r>
      </w:hyperlink>
      <w:r w:rsidRPr="00750780">
        <w:rPr>
          <w:rFonts w:ascii="Times New Roman" w:hAnsi="Times New Roman" w:cs="Times New Roman"/>
        </w:rPr>
        <w:t> para 35.</w:t>
      </w:r>
    </w:p>
  </w:footnote>
  <w:footnote w:id="16">
    <w:p w14:paraId="2C9AAFD0" w14:textId="59F2CC76" w:rsidR="00996D9E" w:rsidRPr="00A87AF0" w:rsidRDefault="00996D9E" w:rsidP="00A87AF0">
      <w:pPr>
        <w:pStyle w:val="FootnoteText"/>
        <w:jc w:val="both"/>
        <w:rPr>
          <w:rFonts w:ascii="Times New Roman" w:hAnsi="Times New Roman" w:cs="Times New Roman"/>
        </w:rPr>
      </w:pPr>
      <w:r w:rsidRPr="00750780">
        <w:rPr>
          <w:rStyle w:val="FootnoteReference"/>
          <w:rFonts w:ascii="Times New Roman" w:hAnsi="Times New Roman" w:cs="Times New Roman"/>
        </w:rPr>
        <w:footnoteRef/>
      </w:r>
      <w:r w:rsidRPr="00750780">
        <w:rPr>
          <w:rFonts w:ascii="Times New Roman" w:hAnsi="Times New Roman" w:cs="Times New Roman"/>
        </w:rPr>
        <w:t xml:space="preserve"> </w:t>
      </w:r>
      <w:r w:rsidRPr="00750780">
        <w:rPr>
          <w:rFonts w:ascii="Times New Roman" w:hAnsi="Times New Roman" w:cs="Times New Roman"/>
          <w:bCs/>
          <w:i/>
        </w:rPr>
        <w:t xml:space="preserve">H v Fetal </w:t>
      </w:r>
      <w:r w:rsidRPr="008072AB">
        <w:rPr>
          <w:rFonts w:ascii="Times New Roman" w:hAnsi="Times New Roman" w:cs="Times New Roman"/>
          <w:bCs/>
          <w:i/>
        </w:rPr>
        <w:t>Assessment Centre</w:t>
      </w:r>
      <w:r w:rsidRPr="008072AB">
        <w:rPr>
          <w:rFonts w:ascii="Times New Roman" w:hAnsi="Times New Roman" w:cs="Times New Roman"/>
          <w:bCs/>
        </w:rPr>
        <w:t xml:space="preserve"> fn </w:t>
      </w:r>
      <w:r w:rsidR="00BC5C4D" w:rsidRPr="008072AB">
        <w:rPr>
          <w:rFonts w:ascii="Times New Roman" w:hAnsi="Times New Roman" w:cs="Times New Roman"/>
          <w:bCs/>
        </w:rPr>
        <w:t>12</w:t>
      </w:r>
      <w:r w:rsidRPr="008072AB">
        <w:rPr>
          <w:rFonts w:ascii="Times New Roman" w:hAnsi="Times New Roman" w:cs="Times New Roman"/>
          <w:bCs/>
        </w:rPr>
        <w:t xml:space="preserve"> above para 14, with reference to </w:t>
      </w:r>
      <w:r w:rsidRPr="008072AB">
        <w:rPr>
          <w:rFonts w:ascii="Times New Roman" w:hAnsi="Times New Roman" w:cs="Times New Roman"/>
          <w:i/>
          <w:iCs/>
        </w:rPr>
        <w:t xml:space="preserve">Carmichele v Minister of Safety and Security </w:t>
      </w:r>
      <w:r w:rsidR="00BC5C4D" w:rsidRPr="008072AB">
        <w:rPr>
          <w:rFonts w:ascii="Times New Roman" w:hAnsi="Times New Roman" w:cs="Times New Roman"/>
          <w:iCs/>
        </w:rPr>
        <w:t>(fn 13</w:t>
      </w:r>
      <w:r w:rsidRPr="008072AB">
        <w:rPr>
          <w:rFonts w:ascii="Times New Roman" w:hAnsi="Times New Roman" w:cs="Times New Roman"/>
          <w:iCs/>
        </w:rPr>
        <w:t xml:space="preserve"> above) para 21.</w:t>
      </w:r>
    </w:p>
  </w:footnote>
  <w:footnote w:id="17">
    <w:p w14:paraId="45578EBC" w14:textId="77702375" w:rsidR="00996D9E" w:rsidRPr="001E51B8" w:rsidRDefault="00996D9E" w:rsidP="00A87AF0">
      <w:pPr>
        <w:pStyle w:val="FootnoteText"/>
        <w:jc w:val="both"/>
        <w:rPr>
          <w:rFonts w:ascii="Times New Roman" w:hAnsi="Times New Roman" w:cs="Times New Roman"/>
        </w:rPr>
      </w:pPr>
      <w:r w:rsidRPr="00996D9E">
        <w:rPr>
          <w:rStyle w:val="FootnoteReference"/>
          <w:rFonts w:ascii="Times New Roman" w:hAnsi="Times New Roman" w:cs="Times New Roman"/>
        </w:rPr>
        <w:footnoteRef/>
      </w:r>
      <w:r w:rsidRPr="00996D9E">
        <w:rPr>
          <w:rFonts w:ascii="Times New Roman" w:hAnsi="Times New Roman" w:cs="Times New Roman"/>
        </w:rPr>
        <w:t xml:space="preserve"> </w:t>
      </w:r>
      <w:r w:rsidR="00555D67" w:rsidRPr="00555D67">
        <w:rPr>
          <w:rFonts w:ascii="Times New Roman" w:hAnsi="Times New Roman" w:cs="Times New Roman"/>
          <w:bCs/>
          <w:i/>
        </w:rPr>
        <w:t>H v Fetal Assessment Centre</w:t>
      </w:r>
      <w:r w:rsidRPr="00A75A84">
        <w:rPr>
          <w:rFonts w:ascii="Times New Roman" w:hAnsi="Times New Roman" w:cs="Times New Roman"/>
          <w:bCs/>
        </w:rPr>
        <w:t xml:space="preserve"> para 26.</w:t>
      </w:r>
    </w:p>
  </w:footnote>
  <w:footnote w:id="18">
    <w:p w14:paraId="4B0BA9C6" w14:textId="083D9E34" w:rsidR="00996D9E" w:rsidRPr="00996D9E" w:rsidRDefault="00996D9E" w:rsidP="00A87AF0">
      <w:pPr>
        <w:pStyle w:val="FootnoteText"/>
        <w:jc w:val="both"/>
        <w:rPr>
          <w:rFonts w:ascii="Times New Roman" w:hAnsi="Times New Roman" w:cs="Times New Roman"/>
        </w:rPr>
      </w:pPr>
      <w:r w:rsidRPr="00996D9E">
        <w:rPr>
          <w:rStyle w:val="FootnoteReference"/>
          <w:rFonts w:ascii="Times New Roman" w:hAnsi="Times New Roman" w:cs="Times New Roman"/>
        </w:rPr>
        <w:footnoteRef/>
      </w:r>
      <w:r w:rsidRPr="00996D9E">
        <w:rPr>
          <w:rFonts w:ascii="Times New Roman" w:hAnsi="Times New Roman" w:cs="Times New Roman"/>
        </w:rPr>
        <w:t xml:space="preserve"> </w:t>
      </w:r>
      <w:r w:rsidR="00555D67" w:rsidRPr="00555D67">
        <w:rPr>
          <w:rFonts w:ascii="Times New Roman" w:hAnsi="Times New Roman" w:cs="Times New Roman"/>
          <w:i/>
        </w:rPr>
        <w:t>H v Fetal Assessment Centre</w:t>
      </w:r>
      <w:r w:rsidRPr="00996D9E">
        <w:rPr>
          <w:rFonts w:ascii="Times New Roman" w:hAnsi="Times New Roman" w:cs="Times New Roman"/>
        </w:rPr>
        <w:t xml:space="preserve"> para 42.</w:t>
      </w:r>
    </w:p>
  </w:footnote>
  <w:footnote w:id="19">
    <w:p w14:paraId="197CE4DA" w14:textId="27DBB66C" w:rsidR="00996D9E" w:rsidRPr="00996D9E" w:rsidRDefault="00996D9E" w:rsidP="008657C2">
      <w:pPr>
        <w:pStyle w:val="FootnoteText"/>
        <w:jc w:val="both"/>
        <w:rPr>
          <w:rFonts w:ascii="Times New Roman" w:hAnsi="Times New Roman" w:cs="Times New Roman"/>
        </w:rPr>
      </w:pPr>
      <w:r w:rsidRPr="00996D9E">
        <w:rPr>
          <w:rStyle w:val="FootnoteReference"/>
          <w:rFonts w:ascii="Times New Roman" w:hAnsi="Times New Roman" w:cs="Times New Roman"/>
        </w:rPr>
        <w:footnoteRef/>
      </w:r>
      <w:r w:rsidRPr="00996D9E">
        <w:rPr>
          <w:rFonts w:ascii="Times New Roman" w:hAnsi="Times New Roman" w:cs="Times New Roman"/>
        </w:rPr>
        <w:t xml:space="preserve"> </w:t>
      </w:r>
      <w:r w:rsidR="00555D67" w:rsidRPr="00555D67">
        <w:rPr>
          <w:rFonts w:ascii="Times New Roman" w:hAnsi="Times New Roman" w:cs="Times New Roman"/>
          <w:i/>
        </w:rPr>
        <w:t>H v Fetal Assessment Centre</w:t>
      </w:r>
      <w:r w:rsidRPr="00996D9E">
        <w:rPr>
          <w:rFonts w:ascii="Times New Roman" w:hAnsi="Times New Roman" w:cs="Times New Roman"/>
        </w:rPr>
        <w:t xml:space="preserve"> para 66.</w:t>
      </w:r>
    </w:p>
  </w:footnote>
  <w:footnote w:id="20">
    <w:p w14:paraId="67644374" w14:textId="77777777" w:rsidR="00996D9E" w:rsidRPr="00996D9E" w:rsidRDefault="00996D9E" w:rsidP="008657C2">
      <w:pPr>
        <w:pStyle w:val="FootnoteText"/>
        <w:jc w:val="both"/>
        <w:rPr>
          <w:rFonts w:ascii="Times New Roman" w:hAnsi="Times New Roman" w:cs="Times New Roman"/>
        </w:rPr>
      </w:pPr>
      <w:r w:rsidRPr="00996D9E">
        <w:rPr>
          <w:rStyle w:val="FootnoteReference"/>
          <w:rFonts w:ascii="Times New Roman" w:hAnsi="Times New Roman" w:cs="Times New Roman"/>
        </w:rPr>
        <w:footnoteRef/>
      </w:r>
      <w:r w:rsidRPr="00996D9E">
        <w:rPr>
          <w:rFonts w:ascii="Times New Roman" w:hAnsi="Times New Roman" w:cs="Times New Roman"/>
        </w:rPr>
        <w:t xml:space="preserve"> Ibid.</w:t>
      </w:r>
    </w:p>
  </w:footnote>
  <w:footnote w:id="21">
    <w:p w14:paraId="0C7CA531" w14:textId="3817275B" w:rsidR="00996D9E" w:rsidRPr="008657C2" w:rsidRDefault="00996D9E" w:rsidP="008657C2">
      <w:pPr>
        <w:pStyle w:val="FootnoteText"/>
        <w:jc w:val="both"/>
        <w:rPr>
          <w:rFonts w:ascii="Times New Roman" w:hAnsi="Times New Roman" w:cs="Times New Roman"/>
        </w:rPr>
      </w:pPr>
      <w:r w:rsidRPr="00996D9E">
        <w:rPr>
          <w:rStyle w:val="FootnoteReference"/>
          <w:rFonts w:ascii="Times New Roman" w:hAnsi="Times New Roman" w:cs="Times New Roman"/>
        </w:rPr>
        <w:footnoteRef/>
      </w:r>
      <w:r w:rsidRPr="00996D9E">
        <w:rPr>
          <w:rFonts w:ascii="Times New Roman" w:hAnsi="Times New Roman" w:cs="Times New Roman"/>
        </w:rPr>
        <w:t xml:space="preserve"> </w:t>
      </w:r>
      <w:r w:rsidRPr="00996D9E">
        <w:rPr>
          <w:rFonts w:ascii="Times New Roman" w:hAnsi="Times New Roman" w:cs="Times New Roman"/>
          <w:i/>
        </w:rPr>
        <w:t>Pretorius and Another v Transport Pension Fund and Another</w:t>
      </w:r>
      <w:r w:rsidRPr="00A75A84">
        <w:rPr>
          <w:rFonts w:ascii="Times New Roman" w:hAnsi="Times New Roman" w:cs="Times New Roman"/>
        </w:rPr>
        <w:t xml:space="preserve"> [2018] ZACC 10; [2018] 7 BLLR 633 (CC); </w:t>
      </w:r>
      <w:r w:rsidRPr="008657C2">
        <w:rPr>
          <w:rFonts w:ascii="Times New Roman" w:hAnsi="Times New Roman" w:cs="Times New Roman"/>
        </w:rPr>
        <w:t xml:space="preserve">2018 (7) BCLR 838 (CC); (2018) 39 ILJ 1937 (CC); 2019 (2) SA 37 (CC) </w:t>
      </w:r>
      <w:r w:rsidR="00257106" w:rsidRPr="008657C2">
        <w:rPr>
          <w:rFonts w:ascii="Times New Roman" w:hAnsi="Times New Roman" w:cs="Times New Roman"/>
        </w:rPr>
        <w:t xml:space="preserve">para 42 </w:t>
      </w:r>
      <w:r w:rsidRPr="008657C2">
        <w:rPr>
          <w:rFonts w:ascii="Times New Roman" w:hAnsi="Times New Roman" w:cs="Times New Roman"/>
        </w:rPr>
        <w:t>(</w:t>
      </w:r>
      <w:r w:rsidRPr="008657C2">
        <w:rPr>
          <w:rFonts w:ascii="Times New Roman" w:hAnsi="Times New Roman" w:cs="Times New Roman"/>
          <w:i/>
        </w:rPr>
        <w:t>Pretorius</w:t>
      </w:r>
      <w:r w:rsidRPr="008657C2">
        <w:rPr>
          <w:rFonts w:ascii="Times New Roman" w:hAnsi="Times New Roman" w:cs="Times New Roman"/>
        </w:rPr>
        <w:t>).</w:t>
      </w:r>
    </w:p>
  </w:footnote>
  <w:footnote w:id="22">
    <w:p w14:paraId="08AA016C" w14:textId="3C486D20" w:rsidR="008657C2" w:rsidRPr="006B79FC" w:rsidRDefault="008657C2" w:rsidP="006B79FC">
      <w:pPr>
        <w:pStyle w:val="FootnoteText"/>
        <w:jc w:val="both"/>
        <w:rPr>
          <w:rFonts w:ascii="Times New Roman" w:hAnsi="Times New Roman" w:cs="Times New Roman"/>
          <w:lang w:val="en-GB"/>
        </w:rPr>
      </w:pPr>
      <w:r w:rsidRPr="006B79FC">
        <w:rPr>
          <w:rStyle w:val="FootnoteReference"/>
          <w:rFonts w:ascii="Times New Roman" w:hAnsi="Times New Roman" w:cs="Times New Roman"/>
        </w:rPr>
        <w:footnoteRef/>
      </w:r>
      <w:r w:rsidRPr="006B79FC">
        <w:rPr>
          <w:rFonts w:ascii="Times New Roman" w:hAnsi="Times New Roman" w:cs="Times New Roman"/>
        </w:rPr>
        <w:t xml:space="preserve"> </w:t>
      </w:r>
      <w:r w:rsidRPr="008657C2">
        <w:rPr>
          <w:rFonts w:ascii="Times New Roman" w:hAnsi="Times New Roman" w:cs="Times New Roman"/>
          <w:i/>
        </w:rPr>
        <w:t>Pretorius</w:t>
      </w:r>
      <w:r>
        <w:rPr>
          <w:rFonts w:ascii="Times New Roman" w:hAnsi="Times New Roman" w:cs="Times New Roman"/>
        </w:rPr>
        <w:t xml:space="preserve"> para 53. </w:t>
      </w:r>
      <w:r w:rsidRPr="006B79FC">
        <w:rPr>
          <w:rFonts w:ascii="Times New Roman" w:hAnsi="Times New Roman" w:cs="Times New Roman"/>
          <w:lang w:val="en-GB"/>
        </w:rPr>
        <w:t xml:space="preserve">See also </w:t>
      </w:r>
      <w:r w:rsidRPr="006B79FC">
        <w:rPr>
          <w:rFonts w:ascii="Times New Roman" w:hAnsi="Times New Roman" w:cs="Times New Roman"/>
          <w:i/>
          <w:lang w:val="en-GB"/>
        </w:rPr>
        <w:t>Fetal Assessment Centre</w:t>
      </w:r>
      <w:r w:rsidRPr="006B79FC">
        <w:rPr>
          <w:rFonts w:ascii="Times New Roman" w:hAnsi="Times New Roman" w:cs="Times New Roman"/>
          <w:lang w:val="en-GB"/>
        </w:rPr>
        <w:t xml:space="preserve"> </w:t>
      </w:r>
      <w:r w:rsidR="00BC5C4D">
        <w:rPr>
          <w:rFonts w:ascii="Times New Roman" w:hAnsi="Times New Roman" w:cs="Times New Roman"/>
          <w:lang w:val="en-GB"/>
        </w:rPr>
        <w:t xml:space="preserve">fn 12 </w:t>
      </w:r>
      <w:r w:rsidRPr="006B79FC">
        <w:rPr>
          <w:rFonts w:ascii="Times New Roman" w:hAnsi="Times New Roman" w:cs="Times New Roman"/>
          <w:lang w:val="en-GB"/>
        </w:rPr>
        <w:t>above paras 11-2, relying on C</w:t>
      </w:r>
      <w:r w:rsidRPr="006B79FC">
        <w:rPr>
          <w:rFonts w:ascii="Times New Roman" w:hAnsi="Times New Roman" w:cs="Times New Roman"/>
          <w:i/>
          <w:lang w:val="en-GB"/>
        </w:rPr>
        <w:t xml:space="preserve">armichele v Minister of Safety and Security </w:t>
      </w:r>
      <w:r w:rsidRPr="006B79FC">
        <w:rPr>
          <w:rFonts w:ascii="Times New Roman" w:hAnsi="Times New Roman" w:cs="Times New Roman"/>
          <w:lang w:val="en-GB"/>
        </w:rPr>
        <w:t>[2001] ZACC 22; 2001 (4) SA 938 (CC); 2001 (1) BCLR 995 (CC).</w:t>
      </w:r>
    </w:p>
  </w:footnote>
  <w:footnote w:id="23">
    <w:p w14:paraId="24D9F96E" w14:textId="32CEA0CE" w:rsidR="00996D9E" w:rsidRPr="008657C2" w:rsidRDefault="00996D9E" w:rsidP="008657C2">
      <w:pPr>
        <w:pStyle w:val="FootnoteText"/>
        <w:jc w:val="both"/>
        <w:rPr>
          <w:rFonts w:ascii="Times New Roman" w:hAnsi="Times New Roman" w:cs="Times New Roman"/>
        </w:rPr>
      </w:pPr>
      <w:r w:rsidRPr="008657C2">
        <w:rPr>
          <w:rStyle w:val="FootnoteReference"/>
          <w:rFonts w:ascii="Times New Roman" w:hAnsi="Times New Roman" w:cs="Times New Roman"/>
        </w:rPr>
        <w:footnoteRef/>
      </w:r>
      <w:r w:rsidRPr="008657C2">
        <w:rPr>
          <w:rFonts w:ascii="Times New Roman" w:hAnsi="Times New Roman" w:cs="Times New Roman"/>
        </w:rPr>
        <w:t xml:space="preserve"> </w:t>
      </w:r>
      <w:r w:rsidR="008657C2" w:rsidRPr="008657C2">
        <w:rPr>
          <w:rFonts w:ascii="Times New Roman" w:hAnsi="Times New Roman" w:cs="Times New Roman"/>
          <w:i/>
        </w:rPr>
        <w:t>Pretorius</w:t>
      </w:r>
      <w:r w:rsidR="008657C2" w:rsidRPr="008657C2" w:rsidDel="008657C2">
        <w:rPr>
          <w:rFonts w:ascii="Times New Roman" w:hAnsi="Times New Roman" w:cs="Times New Roman"/>
        </w:rPr>
        <w:t xml:space="preserve"> </w:t>
      </w:r>
      <w:r w:rsidRPr="008657C2">
        <w:rPr>
          <w:rFonts w:ascii="Times New Roman" w:hAnsi="Times New Roman" w:cs="Times New Roman"/>
        </w:rPr>
        <w:t>para 44.</w:t>
      </w:r>
    </w:p>
  </w:footnote>
  <w:footnote w:id="24">
    <w:p w14:paraId="5942C661" w14:textId="3BFBBC34" w:rsidR="00996D9E" w:rsidRPr="008657C2" w:rsidRDefault="00996D9E" w:rsidP="008657C2">
      <w:pPr>
        <w:pStyle w:val="FootnoteText"/>
        <w:jc w:val="both"/>
        <w:rPr>
          <w:rFonts w:ascii="Times New Roman" w:hAnsi="Times New Roman" w:cs="Times New Roman"/>
        </w:rPr>
      </w:pPr>
      <w:r w:rsidRPr="008657C2">
        <w:rPr>
          <w:rStyle w:val="FootnoteReference"/>
          <w:rFonts w:ascii="Times New Roman" w:hAnsi="Times New Roman" w:cs="Times New Roman"/>
        </w:rPr>
        <w:footnoteRef/>
      </w:r>
      <w:r w:rsidRPr="008657C2">
        <w:rPr>
          <w:rFonts w:ascii="Times New Roman" w:hAnsi="Times New Roman" w:cs="Times New Roman"/>
        </w:rPr>
        <w:t xml:space="preserve"> </w:t>
      </w:r>
      <w:r w:rsidR="008657C2" w:rsidRPr="008657C2">
        <w:rPr>
          <w:rFonts w:ascii="Times New Roman" w:hAnsi="Times New Roman" w:cs="Times New Roman"/>
          <w:i/>
        </w:rPr>
        <w:t>Pretorius</w:t>
      </w:r>
      <w:r w:rsidRPr="008657C2">
        <w:rPr>
          <w:rFonts w:ascii="Times New Roman" w:hAnsi="Times New Roman" w:cs="Times New Roman"/>
        </w:rPr>
        <w:t xml:space="preserve"> para 53.</w:t>
      </w:r>
    </w:p>
  </w:footnote>
  <w:footnote w:id="25">
    <w:p w14:paraId="20B7B949" w14:textId="4A789F8B" w:rsidR="00996D9E" w:rsidRPr="00996D9E" w:rsidRDefault="00996D9E" w:rsidP="00771868">
      <w:pPr>
        <w:pStyle w:val="FootnoteText"/>
        <w:jc w:val="both"/>
        <w:rPr>
          <w:rFonts w:ascii="Times New Roman" w:hAnsi="Times New Roman" w:cs="Times New Roman"/>
        </w:rPr>
      </w:pPr>
      <w:r w:rsidRPr="008657C2">
        <w:rPr>
          <w:rStyle w:val="FootnoteReference"/>
          <w:rFonts w:ascii="Times New Roman" w:hAnsi="Times New Roman" w:cs="Times New Roman"/>
        </w:rPr>
        <w:footnoteRef/>
      </w:r>
      <w:r w:rsidRPr="008657C2">
        <w:rPr>
          <w:rFonts w:ascii="Times New Roman" w:hAnsi="Times New Roman" w:cs="Times New Roman"/>
        </w:rPr>
        <w:t xml:space="preserve"> </w:t>
      </w:r>
      <w:r w:rsidR="006B79FC" w:rsidRPr="006B79FC">
        <w:rPr>
          <w:rFonts w:ascii="Times New Roman" w:hAnsi="Times New Roman" w:cs="Times New Roman"/>
          <w:i/>
        </w:rPr>
        <w:t xml:space="preserve">Children’s Resource Centre Trust </w:t>
      </w:r>
      <w:r w:rsidRPr="008657C2">
        <w:rPr>
          <w:rFonts w:ascii="Times New Roman" w:hAnsi="Times New Roman" w:cs="Times New Roman"/>
        </w:rPr>
        <w:t>para 37.</w:t>
      </w:r>
    </w:p>
  </w:footnote>
  <w:footnote w:id="26">
    <w:p w14:paraId="434BDDCA" w14:textId="171EC7C5" w:rsidR="00996D9E" w:rsidRPr="008072AB" w:rsidRDefault="00996D9E" w:rsidP="00342B73">
      <w:pPr>
        <w:pStyle w:val="FootnoteText"/>
        <w:jc w:val="both"/>
        <w:rPr>
          <w:rFonts w:ascii="Times New Roman" w:hAnsi="Times New Roman" w:cs="Times New Roman"/>
          <w:highlight w:val="red"/>
        </w:rPr>
      </w:pPr>
      <w:r w:rsidRPr="00996D9E">
        <w:rPr>
          <w:rStyle w:val="FootnoteReference"/>
          <w:rFonts w:ascii="Times New Roman" w:hAnsi="Times New Roman" w:cs="Times New Roman"/>
        </w:rPr>
        <w:footnoteRef/>
      </w:r>
      <w:r w:rsidR="001A76A0">
        <w:rPr>
          <w:rFonts w:ascii="Times New Roman" w:hAnsi="Times New Roman" w:cs="Times New Roman"/>
        </w:rPr>
        <w:t xml:space="preserve"> </w:t>
      </w:r>
      <w:r w:rsidR="001A76A0" w:rsidRPr="008072AB">
        <w:rPr>
          <w:rFonts w:ascii="Times New Roman" w:hAnsi="Times New Roman" w:cs="Times New Roman"/>
        </w:rPr>
        <w:t xml:space="preserve">Ibid; </w:t>
      </w:r>
      <w:r w:rsidR="001A76A0" w:rsidRPr="008072AB">
        <w:rPr>
          <w:rFonts w:ascii="Times New Roman" w:hAnsi="Times New Roman" w:cs="Times New Roman"/>
          <w:i/>
        </w:rPr>
        <w:t>Minister of Law and Order v Kadir</w:t>
      </w:r>
      <w:r w:rsidR="001A76A0" w:rsidRPr="008072AB">
        <w:rPr>
          <w:rFonts w:ascii="Times New Roman" w:hAnsi="Times New Roman" w:cs="Times New Roman"/>
        </w:rPr>
        <w:t xml:space="preserve"> 1995 </w:t>
      </w:r>
      <w:r w:rsidR="008072AB" w:rsidRPr="008072AB">
        <w:rPr>
          <w:rFonts w:ascii="Times New Roman" w:hAnsi="Times New Roman" w:cs="Times New Roman"/>
        </w:rPr>
        <w:t>(</w:t>
      </w:r>
      <w:r w:rsidR="001A76A0" w:rsidRPr="008072AB">
        <w:rPr>
          <w:rFonts w:ascii="Times New Roman" w:hAnsi="Times New Roman" w:cs="Times New Roman"/>
        </w:rPr>
        <w:t>1</w:t>
      </w:r>
      <w:r w:rsidR="008072AB" w:rsidRPr="008072AB">
        <w:rPr>
          <w:rFonts w:ascii="Times New Roman" w:hAnsi="Times New Roman" w:cs="Times New Roman"/>
        </w:rPr>
        <w:t>) SA 303 (A) at 318 E-</w:t>
      </w:r>
      <w:r w:rsidR="001A76A0" w:rsidRPr="008072AB">
        <w:rPr>
          <w:rFonts w:ascii="Times New Roman" w:hAnsi="Times New Roman" w:cs="Times New Roman"/>
        </w:rPr>
        <w:t xml:space="preserve">I; </w:t>
      </w:r>
      <w:r w:rsidR="001A76A0" w:rsidRPr="008072AB">
        <w:rPr>
          <w:rFonts w:ascii="Times New Roman" w:hAnsi="Times New Roman" w:cs="Times New Roman"/>
          <w:i/>
        </w:rPr>
        <w:t>Axiam Holdings Ltd</w:t>
      </w:r>
      <w:r w:rsidR="006B79FC" w:rsidRPr="008072AB">
        <w:rPr>
          <w:rFonts w:ascii="Times New Roman" w:hAnsi="Times New Roman" w:cs="Times New Roman"/>
          <w:i/>
        </w:rPr>
        <w:t xml:space="preserve"> v Deloitte &amp; Touche</w:t>
      </w:r>
      <w:r w:rsidR="006B79FC" w:rsidRPr="008072AB">
        <w:rPr>
          <w:rFonts w:ascii="Times New Roman" w:hAnsi="Times New Roman" w:cs="Times New Roman"/>
        </w:rPr>
        <w:t xml:space="preserve"> 2006 </w:t>
      </w:r>
      <w:r w:rsidR="008072AB" w:rsidRPr="008072AB">
        <w:rPr>
          <w:rFonts w:ascii="Times New Roman" w:hAnsi="Times New Roman" w:cs="Times New Roman"/>
        </w:rPr>
        <w:t>(</w:t>
      </w:r>
      <w:r w:rsidR="006B79FC" w:rsidRPr="008072AB">
        <w:rPr>
          <w:rFonts w:ascii="Times New Roman" w:hAnsi="Times New Roman" w:cs="Times New Roman"/>
        </w:rPr>
        <w:t>1</w:t>
      </w:r>
      <w:r w:rsidR="008072AB" w:rsidRPr="008072AB">
        <w:rPr>
          <w:rFonts w:ascii="Times New Roman" w:hAnsi="Times New Roman" w:cs="Times New Roman"/>
        </w:rPr>
        <w:t>)</w:t>
      </w:r>
      <w:r w:rsidR="006B79FC">
        <w:rPr>
          <w:rFonts w:ascii="Times New Roman" w:hAnsi="Times New Roman" w:cs="Times New Roman"/>
        </w:rPr>
        <w:t xml:space="preserve"> SA 237; [2005] 4 All SA 157 (SCA) para 25.</w:t>
      </w:r>
    </w:p>
  </w:footnote>
  <w:footnote w:id="27">
    <w:p w14:paraId="50887808" w14:textId="3A84BC85" w:rsidR="00996D9E" w:rsidRPr="00E40DD8" w:rsidRDefault="00996D9E" w:rsidP="00342B73">
      <w:pPr>
        <w:pStyle w:val="FootnoteText"/>
        <w:jc w:val="both"/>
        <w:rPr>
          <w:rFonts w:ascii="Times New Roman" w:hAnsi="Times New Roman" w:cs="Times New Roman"/>
        </w:rPr>
      </w:pPr>
      <w:r w:rsidRPr="00996D9E">
        <w:rPr>
          <w:rStyle w:val="FootnoteReference"/>
          <w:rFonts w:ascii="Times New Roman" w:hAnsi="Times New Roman" w:cs="Times New Roman"/>
        </w:rPr>
        <w:footnoteRef/>
      </w:r>
      <w:r w:rsidRPr="00996D9E">
        <w:rPr>
          <w:rFonts w:ascii="Times New Roman" w:hAnsi="Times New Roman" w:cs="Times New Roman"/>
        </w:rPr>
        <w:t xml:space="preserve"> </w:t>
      </w:r>
      <w:r w:rsidRPr="008072AB">
        <w:rPr>
          <w:rFonts w:ascii="Times New Roman" w:hAnsi="Times New Roman" w:cs="Times New Roman"/>
          <w:i/>
        </w:rPr>
        <w:t xml:space="preserve">Pretorius </w:t>
      </w:r>
      <w:r w:rsidR="00BC5C4D" w:rsidRPr="008072AB">
        <w:rPr>
          <w:rFonts w:ascii="Times New Roman" w:hAnsi="Times New Roman" w:cs="Times New Roman"/>
        </w:rPr>
        <w:t>fn 21</w:t>
      </w:r>
      <w:r w:rsidRPr="008072AB">
        <w:rPr>
          <w:rFonts w:ascii="Times New Roman" w:hAnsi="Times New Roman" w:cs="Times New Roman"/>
        </w:rPr>
        <w:t xml:space="preserve"> above para 22.</w:t>
      </w:r>
    </w:p>
  </w:footnote>
  <w:footnote w:id="28">
    <w:p w14:paraId="1E71A918" w14:textId="653EF091" w:rsidR="00996D9E" w:rsidRPr="00033CC4" w:rsidRDefault="00996D9E" w:rsidP="00342B73">
      <w:pPr>
        <w:pStyle w:val="FootnoteText"/>
        <w:jc w:val="both"/>
        <w:rPr>
          <w:rFonts w:ascii="Times New Roman" w:hAnsi="Times New Roman" w:cs="Times New Roman"/>
        </w:rPr>
      </w:pPr>
      <w:r w:rsidRPr="00996D9E">
        <w:rPr>
          <w:rStyle w:val="FootnoteReference"/>
          <w:rFonts w:ascii="Times New Roman" w:hAnsi="Times New Roman" w:cs="Times New Roman"/>
        </w:rPr>
        <w:footnoteRef/>
      </w:r>
      <w:r w:rsidRPr="00996D9E">
        <w:rPr>
          <w:rFonts w:ascii="Times New Roman" w:hAnsi="Times New Roman" w:cs="Times New Roman"/>
        </w:rPr>
        <w:t xml:space="preserve"> </w:t>
      </w:r>
      <w:r w:rsidRPr="00996D9E">
        <w:rPr>
          <w:rFonts w:ascii="Times New Roman" w:hAnsi="Times New Roman" w:cs="Times New Roman"/>
          <w:i/>
        </w:rPr>
        <w:t>Feldman NO v EMI Music SA (Pty) Ltd</w:t>
      </w:r>
      <w:r w:rsidR="00342B73">
        <w:rPr>
          <w:rFonts w:ascii="Times New Roman" w:hAnsi="Times New Roman" w:cs="Times New Roman"/>
          <w:i/>
        </w:rPr>
        <w:t>/</w:t>
      </w:r>
      <w:r w:rsidR="00342B73" w:rsidRPr="00342B73">
        <w:rPr>
          <w:rFonts w:ascii="Times New Roman" w:hAnsi="Times New Roman" w:cs="Times New Roman"/>
          <w:i/>
        </w:rPr>
        <w:t xml:space="preserve"> </w:t>
      </w:r>
      <w:r w:rsidR="00342B73" w:rsidRPr="006C4ABF">
        <w:rPr>
          <w:rFonts w:ascii="Times New Roman" w:hAnsi="Times New Roman" w:cs="Times New Roman"/>
          <w:i/>
        </w:rPr>
        <w:t>EMI Music Publishing SA (Pty) Ltd</w:t>
      </w:r>
      <w:r w:rsidRPr="00996D9E">
        <w:rPr>
          <w:rFonts w:ascii="Times New Roman" w:hAnsi="Times New Roman" w:cs="Times New Roman"/>
          <w:i/>
        </w:rPr>
        <w:t xml:space="preserve"> </w:t>
      </w:r>
      <w:r w:rsidR="00342B73" w:rsidRPr="00342B73">
        <w:rPr>
          <w:rFonts w:ascii="Times New Roman" w:hAnsi="Times New Roman" w:cs="Times New Roman"/>
        </w:rPr>
        <w:t xml:space="preserve">[2009] ZASCA 75; </w:t>
      </w:r>
      <w:r w:rsidRPr="00A75A84">
        <w:rPr>
          <w:rFonts w:ascii="Times New Roman" w:hAnsi="Times New Roman" w:cs="Times New Roman"/>
        </w:rPr>
        <w:t xml:space="preserve">2010 (1) SA 1 </w:t>
      </w:r>
      <w:r w:rsidRPr="001E51B8">
        <w:rPr>
          <w:rFonts w:ascii="Times New Roman" w:hAnsi="Times New Roman" w:cs="Times New Roman"/>
        </w:rPr>
        <w:t>(</w:t>
      </w:r>
      <w:r w:rsidRPr="00E40DD8">
        <w:rPr>
          <w:rFonts w:ascii="Times New Roman" w:hAnsi="Times New Roman" w:cs="Times New Roman"/>
        </w:rPr>
        <w:t>SCA)</w:t>
      </w:r>
      <w:r w:rsidR="00342B73">
        <w:rPr>
          <w:rFonts w:ascii="Times New Roman" w:hAnsi="Times New Roman" w:cs="Times New Roman"/>
        </w:rPr>
        <w:t xml:space="preserve">; </w:t>
      </w:r>
      <w:r w:rsidR="00342B73" w:rsidRPr="00342B73">
        <w:rPr>
          <w:rFonts w:ascii="Times New Roman" w:hAnsi="Times New Roman" w:cs="Times New Roman"/>
        </w:rPr>
        <w:t>[2009] 4 All SA 307 (SCA)</w:t>
      </w:r>
      <w:r w:rsidRPr="00E40DD8">
        <w:rPr>
          <w:rFonts w:ascii="Times New Roman" w:hAnsi="Times New Roman" w:cs="Times New Roman"/>
        </w:rPr>
        <w:t xml:space="preserve"> para 7.</w:t>
      </w:r>
    </w:p>
  </w:footnote>
  <w:footnote w:id="29">
    <w:p w14:paraId="0970BD90" w14:textId="5388A185" w:rsidR="00996D9E" w:rsidRPr="00E40DD8" w:rsidRDefault="00996D9E">
      <w:pPr>
        <w:pStyle w:val="Heading2"/>
        <w:shd w:val="clear" w:color="auto" w:fill="FFFFFF"/>
        <w:spacing w:before="0" w:beforeAutospacing="0" w:after="0" w:afterAutospacing="0"/>
        <w:jc w:val="both"/>
        <w:rPr>
          <w:b w:val="0"/>
          <w:bCs w:val="0"/>
          <w:sz w:val="20"/>
          <w:szCs w:val="20"/>
        </w:rPr>
      </w:pPr>
      <w:r w:rsidRPr="00996D9E">
        <w:rPr>
          <w:rStyle w:val="FootnoteReference"/>
          <w:b w:val="0"/>
          <w:sz w:val="20"/>
          <w:szCs w:val="20"/>
        </w:rPr>
        <w:footnoteRef/>
      </w:r>
      <w:r w:rsidRPr="00996D9E">
        <w:rPr>
          <w:b w:val="0"/>
          <w:sz w:val="20"/>
          <w:szCs w:val="20"/>
        </w:rPr>
        <w:t xml:space="preserve"> </w:t>
      </w:r>
      <w:r w:rsidRPr="00996D9E">
        <w:rPr>
          <w:b w:val="0"/>
          <w:bCs w:val="0"/>
          <w:i/>
          <w:sz w:val="20"/>
          <w:szCs w:val="20"/>
        </w:rPr>
        <w:t>Minister of Finance and Others v Gore NO</w:t>
      </w:r>
      <w:r w:rsidRPr="00A75A84">
        <w:rPr>
          <w:b w:val="0"/>
          <w:bCs w:val="0"/>
          <w:sz w:val="20"/>
          <w:szCs w:val="20"/>
        </w:rPr>
        <w:t xml:space="preserve"> [2006] ZASCA 98; [2007] 1</w:t>
      </w:r>
      <w:r w:rsidRPr="001E51B8">
        <w:rPr>
          <w:b w:val="0"/>
          <w:bCs w:val="0"/>
          <w:sz w:val="20"/>
          <w:szCs w:val="20"/>
        </w:rPr>
        <w:t xml:space="preserve"> All SA 309 (SCA); 2007 (1) SA 111 (SCA) para 33; </w:t>
      </w:r>
      <w:r w:rsidRPr="00E40DD8">
        <w:rPr>
          <w:b w:val="0"/>
          <w:bCs w:val="0"/>
          <w:i/>
          <w:sz w:val="20"/>
          <w:szCs w:val="20"/>
        </w:rPr>
        <w:t>Lee v Minister of Correctional Services</w:t>
      </w:r>
      <w:r w:rsidRPr="00E40DD8">
        <w:rPr>
          <w:b w:val="0"/>
          <w:bCs w:val="0"/>
          <w:sz w:val="20"/>
          <w:szCs w:val="20"/>
        </w:rPr>
        <w:t xml:space="preserve"> [2012] ZACC 30; 2013 (2) BCLR 129 (CC); 2013 (2) SA 144 (CC); 2013 (1) SACR 213 (CC) paras 47, 55 and 60.</w:t>
      </w:r>
    </w:p>
  </w:footnote>
  <w:footnote w:id="30">
    <w:p w14:paraId="4524E77F" w14:textId="05224B0B" w:rsidR="00996D9E" w:rsidRPr="00033CC4" w:rsidRDefault="00996D9E" w:rsidP="003B6822">
      <w:pPr>
        <w:pStyle w:val="FootnoteText"/>
        <w:jc w:val="both"/>
        <w:rPr>
          <w:rFonts w:ascii="Times New Roman" w:hAnsi="Times New Roman" w:cs="Times New Roman"/>
        </w:rPr>
      </w:pPr>
      <w:r w:rsidRPr="00996D9E">
        <w:rPr>
          <w:rStyle w:val="FootnoteReference"/>
          <w:rFonts w:ascii="Times New Roman" w:hAnsi="Times New Roman" w:cs="Times New Roman"/>
        </w:rPr>
        <w:footnoteRef/>
      </w:r>
      <w:r w:rsidRPr="00996D9E">
        <w:rPr>
          <w:rFonts w:ascii="Times New Roman" w:hAnsi="Times New Roman" w:cs="Times New Roman"/>
        </w:rPr>
        <w:t xml:space="preserve"> </w:t>
      </w:r>
      <w:r w:rsidRPr="00996D9E">
        <w:rPr>
          <w:rFonts w:ascii="Times New Roman" w:hAnsi="Times New Roman" w:cs="Times New Roman"/>
          <w:i/>
        </w:rPr>
        <w:t>Maize Board v Tiger Oats Ltd and</w:t>
      </w:r>
      <w:r w:rsidRPr="00A75A84">
        <w:rPr>
          <w:rFonts w:ascii="Times New Roman" w:hAnsi="Times New Roman" w:cs="Times New Roman"/>
          <w:i/>
        </w:rPr>
        <w:t xml:space="preserve"> Others</w:t>
      </w:r>
      <w:r w:rsidRPr="001E51B8">
        <w:rPr>
          <w:rFonts w:ascii="Times New Roman" w:hAnsi="Times New Roman" w:cs="Times New Roman"/>
        </w:rPr>
        <w:t xml:space="preserve"> [2002] ZASCA 74; [</w:t>
      </w:r>
      <w:r w:rsidRPr="00E40DD8">
        <w:rPr>
          <w:rFonts w:ascii="Times New Roman" w:hAnsi="Times New Roman" w:cs="Times New Roman"/>
        </w:rPr>
        <w:t xml:space="preserve">2002] 3 All SA 593 (A) </w:t>
      </w:r>
      <w:r w:rsidR="00724E38">
        <w:rPr>
          <w:rFonts w:ascii="Times New Roman" w:hAnsi="Times New Roman" w:cs="Times New Roman"/>
        </w:rPr>
        <w:t xml:space="preserve">para 14 </w:t>
      </w:r>
      <w:r w:rsidRPr="00E40DD8">
        <w:rPr>
          <w:rFonts w:ascii="Times New Roman" w:hAnsi="Times New Roman" w:cs="Times New Roman"/>
        </w:rPr>
        <w:t>(</w:t>
      </w:r>
      <w:r w:rsidRPr="00E40DD8">
        <w:rPr>
          <w:rFonts w:ascii="Times New Roman" w:hAnsi="Times New Roman" w:cs="Times New Roman"/>
          <w:i/>
        </w:rPr>
        <w:t>Maize Board</w:t>
      </w:r>
      <w:r w:rsidRPr="00033CC4">
        <w:rPr>
          <w:rFonts w:ascii="Times New Roman" w:hAnsi="Times New Roman" w:cs="Times New Roman"/>
        </w:rPr>
        <w:t>).</w:t>
      </w:r>
    </w:p>
  </w:footnote>
  <w:footnote w:id="31">
    <w:p w14:paraId="33D1D718" w14:textId="77777777" w:rsidR="00996D9E" w:rsidRPr="001E51B8" w:rsidRDefault="00996D9E" w:rsidP="003B6822">
      <w:pPr>
        <w:pStyle w:val="FootnoteText"/>
        <w:jc w:val="both"/>
        <w:rPr>
          <w:rFonts w:ascii="Times New Roman" w:hAnsi="Times New Roman" w:cs="Times New Roman"/>
        </w:rPr>
      </w:pPr>
      <w:r w:rsidRPr="00996D9E">
        <w:rPr>
          <w:rStyle w:val="FootnoteReference"/>
          <w:rFonts w:ascii="Times New Roman" w:hAnsi="Times New Roman" w:cs="Times New Roman"/>
        </w:rPr>
        <w:footnoteRef/>
      </w:r>
      <w:r w:rsidRPr="00996D9E">
        <w:rPr>
          <w:rFonts w:ascii="Times New Roman" w:hAnsi="Times New Roman" w:cs="Times New Roman"/>
        </w:rPr>
        <w:t xml:space="preserve"> See </w:t>
      </w:r>
      <w:r w:rsidRPr="00996D9E">
        <w:rPr>
          <w:rFonts w:ascii="Times New Roman" w:hAnsi="Times New Roman" w:cs="Times New Roman"/>
          <w:bCs/>
          <w:i/>
          <w:iCs/>
        </w:rPr>
        <w:t xml:space="preserve">Itzikowitz v Absa Bank Ltd </w:t>
      </w:r>
      <w:r w:rsidRPr="00A75A84">
        <w:rPr>
          <w:rFonts w:ascii="Times New Roman" w:hAnsi="Times New Roman" w:cs="Times New Roman"/>
          <w:bCs/>
        </w:rPr>
        <w:t>[2016] ZASCA 43 para 22 and the cases there cited.</w:t>
      </w:r>
    </w:p>
  </w:footnote>
  <w:footnote w:id="32">
    <w:p w14:paraId="14357309" w14:textId="77777777" w:rsidR="00996D9E" w:rsidRPr="00A75A84" w:rsidRDefault="00996D9E" w:rsidP="00996D9E">
      <w:pPr>
        <w:pStyle w:val="FootnoteText"/>
        <w:jc w:val="both"/>
        <w:rPr>
          <w:rFonts w:ascii="Times New Roman" w:hAnsi="Times New Roman" w:cs="Times New Roman"/>
        </w:rPr>
      </w:pPr>
      <w:r w:rsidRPr="00996D9E">
        <w:rPr>
          <w:rStyle w:val="FootnoteReference"/>
          <w:rFonts w:ascii="Times New Roman" w:hAnsi="Times New Roman" w:cs="Times New Roman"/>
        </w:rPr>
        <w:footnoteRef/>
      </w:r>
      <w:r w:rsidRPr="00996D9E">
        <w:rPr>
          <w:rFonts w:ascii="Times New Roman" w:hAnsi="Times New Roman" w:cs="Times New Roman"/>
        </w:rPr>
        <w:t xml:space="preserve"> </w:t>
      </w:r>
      <w:r w:rsidRPr="00996D9E">
        <w:rPr>
          <w:rFonts w:ascii="Times New Roman" w:hAnsi="Times New Roman" w:cs="Times New Roman"/>
          <w:i/>
        </w:rPr>
        <w:t xml:space="preserve">Western Johannesburg Rent Board &amp; another v Ursula Mansions (Pty) Ltd </w:t>
      </w:r>
      <w:r w:rsidRPr="00A75A84">
        <w:rPr>
          <w:rFonts w:ascii="Times New Roman" w:hAnsi="Times New Roman" w:cs="Times New Roman"/>
        </w:rPr>
        <w:t>1948 (3) SA 353 (A) at 355.</w:t>
      </w:r>
    </w:p>
  </w:footnote>
  <w:footnote w:id="33">
    <w:p w14:paraId="618AE667" w14:textId="07F56A07" w:rsidR="00996D9E" w:rsidRPr="00E40DD8" w:rsidRDefault="00996D9E" w:rsidP="003B6822">
      <w:pPr>
        <w:pStyle w:val="FootnoteText"/>
        <w:jc w:val="both"/>
        <w:rPr>
          <w:rFonts w:ascii="Times New Roman" w:hAnsi="Times New Roman" w:cs="Times New Roman"/>
        </w:rPr>
      </w:pPr>
      <w:r w:rsidRPr="00996D9E">
        <w:rPr>
          <w:rStyle w:val="FootnoteReference"/>
          <w:rFonts w:ascii="Times New Roman" w:hAnsi="Times New Roman" w:cs="Times New Roman"/>
        </w:rPr>
        <w:footnoteRef/>
      </w:r>
      <w:r w:rsidRPr="00996D9E">
        <w:rPr>
          <w:rFonts w:ascii="Times New Roman" w:hAnsi="Times New Roman" w:cs="Times New Roman"/>
        </w:rPr>
        <w:t xml:space="preserve"> </w:t>
      </w:r>
      <w:r w:rsidRPr="00996D9E">
        <w:rPr>
          <w:rFonts w:ascii="Times New Roman" w:hAnsi="Times New Roman" w:cs="Times New Roman"/>
          <w:i/>
        </w:rPr>
        <w:t xml:space="preserve">Legal </w:t>
      </w:r>
      <w:r w:rsidRPr="00A75A84">
        <w:rPr>
          <w:rFonts w:ascii="Times New Roman" w:hAnsi="Times New Roman" w:cs="Times New Roman"/>
          <w:i/>
        </w:rPr>
        <w:t>Aid Board and Others v Sin</w:t>
      </w:r>
      <w:r w:rsidRPr="001E51B8">
        <w:rPr>
          <w:rFonts w:ascii="Times New Roman" w:hAnsi="Times New Roman" w:cs="Times New Roman"/>
          <w:i/>
        </w:rPr>
        <w:t>gh</w:t>
      </w:r>
      <w:r w:rsidRPr="00E40DD8">
        <w:rPr>
          <w:rFonts w:ascii="Times New Roman" w:hAnsi="Times New Roman" w:cs="Times New Roman"/>
        </w:rPr>
        <w:t xml:space="preserve"> [2008] ZAKZHC 66; 2009 (1) SA 184 (N).</w:t>
      </w:r>
    </w:p>
  </w:footnote>
  <w:footnote w:id="34">
    <w:p w14:paraId="28B5D7DC" w14:textId="263DD545" w:rsidR="00996D9E" w:rsidRPr="00996D9E" w:rsidRDefault="00996D9E" w:rsidP="003B6822">
      <w:pPr>
        <w:pStyle w:val="FootnoteText"/>
        <w:jc w:val="both"/>
        <w:rPr>
          <w:rFonts w:ascii="Times New Roman" w:hAnsi="Times New Roman" w:cs="Times New Roman"/>
        </w:rPr>
      </w:pPr>
      <w:r w:rsidRPr="00996D9E">
        <w:rPr>
          <w:rStyle w:val="FootnoteReference"/>
          <w:rFonts w:ascii="Times New Roman" w:hAnsi="Times New Roman" w:cs="Times New Roman"/>
        </w:rPr>
        <w:footnoteRef/>
      </w:r>
      <w:r w:rsidR="00425C9A">
        <w:rPr>
          <w:rFonts w:ascii="Times New Roman" w:hAnsi="Times New Roman" w:cs="Times New Roman"/>
        </w:rPr>
        <w:t xml:space="preserve"> Prescription Act 68 of 1969.</w:t>
      </w:r>
    </w:p>
  </w:footnote>
  <w:footnote w:id="35">
    <w:p w14:paraId="6326CF9D" w14:textId="2D4EAA89" w:rsidR="00996D9E" w:rsidRPr="00425C9A" w:rsidRDefault="00996D9E" w:rsidP="00996D9E">
      <w:pPr>
        <w:pStyle w:val="FootnoteText"/>
        <w:jc w:val="both"/>
        <w:rPr>
          <w:rFonts w:ascii="Times New Roman" w:hAnsi="Times New Roman" w:cs="Times New Roman"/>
        </w:rPr>
      </w:pPr>
      <w:r w:rsidRPr="00425C9A">
        <w:rPr>
          <w:rStyle w:val="FootnoteReference"/>
          <w:rFonts w:ascii="Times New Roman" w:hAnsi="Times New Roman" w:cs="Times New Roman"/>
        </w:rPr>
        <w:footnoteRef/>
      </w:r>
      <w:r w:rsidRPr="00425C9A">
        <w:rPr>
          <w:rFonts w:ascii="Times New Roman" w:hAnsi="Times New Roman" w:cs="Times New Roman"/>
        </w:rPr>
        <w:t xml:space="preserve"> </w:t>
      </w:r>
      <w:r w:rsidRPr="00425C9A">
        <w:rPr>
          <w:rFonts w:ascii="Times New Roman" w:hAnsi="Times New Roman" w:cs="Times New Roman"/>
          <w:i/>
        </w:rPr>
        <w:t>Butler v Swain</w:t>
      </w:r>
      <w:r w:rsidRPr="00425C9A">
        <w:rPr>
          <w:rFonts w:ascii="Times New Roman" w:hAnsi="Times New Roman" w:cs="Times New Roman"/>
        </w:rPr>
        <w:t xml:space="preserve"> 1960 (1) SA 527 (N); </w:t>
      </w:r>
      <w:r w:rsidRPr="00425C9A">
        <w:rPr>
          <w:rFonts w:ascii="Times New Roman" w:hAnsi="Times New Roman" w:cs="Times New Roman"/>
          <w:i/>
        </w:rPr>
        <w:t xml:space="preserve">Yusaf v Bailey </w:t>
      </w:r>
      <w:r w:rsidRPr="00425C9A">
        <w:rPr>
          <w:rFonts w:ascii="Times New Roman" w:hAnsi="Times New Roman" w:cs="Times New Roman"/>
        </w:rPr>
        <w:t xml:space="preserve">1964 (4) SA 117 (W); </w:t>
      </w:r>
      <w:r w:rsidRPr="00425C9A">
        <w:rPr>
          <w:rFonts w:ascii="Times New Roman" w:hAnsi="Times New Roman" w:cs="Times New Roman"/>
          <w:i/>
        </w:rPr>
        <w:t xml:space="preserve">Maize Board </w:t>
      </w:r>
      <w:r w:rsidR="00BC5C4D" w:rsidRPr="00425C9A">
        <w:rPr>
          <w:rFonts w:ascii="Times New Roman" w:hAnsi="Times New Roman" w:cs="Times New Roman"/>
        </w:rPr>
        <w:t>fn 30</w:t>
      </w:r>
      <w:r w:rsidRPr="00425C9A">
        <w:rPr>
          <w:rFonts w:ascii="Times New Roman" w:hAnsi="Times New Roman" w:cs="Times New Roman"/>
        </w:rPr>
        <w:t xml:space="preserve"> above para 13.</w:t>
      </w:r>
    </w:p>
  </w:footnote>
  <w:footnote w:id="36">
    <w:p w14:paraId="62F798D1" w14:textId="77777777" w:rsidR="00996D9E" w:rsidRPr="00996D9E" w:rsidRDefault="00996D9E" w:rsidP="00922BBE">
      <w:pPr>
        <w:pStyle w:val="FootnoteText"/>
        <w:jc w:val="both"/>
        <w:rPr>
          <w:rFonts w:ascii="Times New Roman" w:hAnsi="Times New Roman" w:cs="Times New Roman"/>
        </w:rPr>
      </w:pPr>
      <w:r w:rsidRPr="00425C9A">
        <w:rPr>
          <w:rStyle w:val="FootnoteReference"/>
          <w:rFonts w:ascii="Times New Roman" w:hAnsi="Times New Roman" w:cs="Times New Roman"/>
        </w:rPr>
        <w:footnoteRef/>
      </w:r>
      <w:r w:rsidRPr="00425C9A">
        <w:rPr>
          <w:rFonts w:ascii="Times New Roman" w:hAnsi="Times New Roman" w:cs="Times New Roman"/>
        </w:rPr>
        <w:t xml:space="preserve"> </w:t>
      </w:r>
      <w:r w:rsidRPr="00425C9A">
        <w:rPr>
          <w:rFonts w:ascii="Times New Roman" w:hAnsi="Times New Roman" w:cs="Times New Roman"/>
          <w:bCs/>
          <w:i/>
        </w:rPr>
        <w:t>De Polo v Dreyer and Others</w:t>
      </w:r>
      <w:r w:rsidRPr="00425C9A">
        <w:rPr>
          <w:rFonts w:ascii="Times New Roman" w:hAnsi="Times New Roman" w:cs="Times New Roman"/>
        </w:rPr>
        <w:t> </w:t>
      </w:r>
      <w:hyperlink r:id="rId12" w:tooltip="View LawCiteRecord" w:history="1">
        <w:r w:rsidRPr="00425C9A">
          <w:rPr>
            <w:rStyle w:val="Hyperlink"/>
            <w:rFonts w:ascii="Times New Roman" w:hAnsi="Times New Roman" w:cs="Times New Roman"/>
            <w:bCs/>
            <w:color w:val="auto"/>
            <w:u w:val="none"/>
          </w:rPr>
          <w:t>1989 (4) SA 1059</w:t>
        </w:r>
      </w:hyperlink>
      <w:r w:rsidRPr="00425C9A">
        <w:rPr>
          <w:rFonts w:ascii="Times New Roman" w:hAnsi="Times New Roman" w:cs="Times New Roman"/>
        </w:rPr>
        <w:t> (W).</w:t>
      </w:r>
      <w:r w:rsidRPr="00996D9E">
        <w:rPr>
          <w:rFonts w:ascii="Times New Roman" w:hAnsi="Times New Roman" w:cs="Times New Roman"/>
        </w:rPr>
        <w:t>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49345" w14:textId="4947C16D" w:rsidR="00673105" w:rsidRDefault="00673105">
    <w:pPr>
      <w:pStyle w:val="Header"/>
      <w:jc w:val="right"/>
    </w:pPr>
  </w:p>
  <w:p w14:paraId="10DBFB0D" w14:textId="77777777" w:rsidR="00673105" w:rsidRDefault="0067310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599524"/>
      <w:docPartObj>
        <w:docPartGallery w:val="Page Numbers (Top of Page)"/>
        <w:docPartUnique/>
      </w:docPartObj>
    </w:sdtPr>
    <w:sdtEndPr>
      <w:rPr>
        <w:noProof/>
      </w:rPr>
    </w:sdtEndPr>
    <w:sdtContent>
      <w:p w14:paraId="2E74A2D4" w14:textId="067916BC" w:rsidR="00673105" w:rsidRDefault="00673105">
        <w:pPr>
          <w:pStyle w:val="Header"/>
          <w:jc w:val="right"/>
        </w:pPr>
        <w:r>
          <w:fldChar w:fldCharType="begin"/>
        </w:r>
        <w:r>
          <w:instrText xml:space="preserve"> PAGE   \* MERGEFORMAT </w:instrText>
        </w:r>
        <w:r>
          <w:fldChar w:fldCharType="separate"/>
        </w:r>
        <w:r w:rsidR="00D823F0">
          <w:rPr>
            <w:noProof/>
          </w:rPr>
          <w:t>4</w:t>
        </w:r>
        <w:r>
          <w:rPr>
            <w:noProof/>
          </w:rPr>
          <w:fldChar w:fldCharType="end"/>
        </w:r>
      </w:p>
    </w:sdtContent>
  </w:sdt>
  <w:p w14:paraId="4B977DF3" w14:textId="77777777" w:rsidR="00673105" w:rsidRDefault="006731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40CE0"/>
    <w:multiLevelType w:val="hybridMultilevel"/>
    <w:tmpl w:val="01185DA2"/>
    <w:lvl w:ilvl="0" w:tplc="AB9C1A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1MzQ2tzSwMDa2NDVU0lEKTi0uzszPAykwqQUAMREzpiwAAAA="/>
  </w:docVars>
  <w:rsids>
    <w:rsidRoot w:val="00330A45"/>
    <w:rsid w:val="00000B30"/>
    <w:rsid w:val="00002494"/>
    <w:rsid w:val="000029A6"/>
    <w:rsid w:val="00016B4A"/>
    <w:rsid w:val="0002457F"/>
    <w:rsid w:val="00033CC4"/>
    <w:rsid w:val="000376D5"/>
    <w:rsid w:val="00083008"/>
    <w:rsid w:val="000978B1"/>
    <w:rsid w:val="000A2802"/>
    <w:rsid w:val="000B0222"/>
    <w:rsid w:val="000C1B4A"/>
    <w:rsid w:val="000C352F"/>
    <w:rsid w:val="000C55EB"/>
    <w:rsid w:val="000F6991"/>
    <w:rsid w:val="00114CDF"/>
    <w:rsid w:val="001215A8"/>
    <w:rsid w:val="001272FE"/>
    <w:rsid w:val="0013018B"/>
    <w:rsid w:val="0014754E"/>
    <w:rsid w:val="0016424E"/>
    <w:rsid w:val="001921D5"/>
    <w:rsid w:val="001A76A0"/>
    <w:rsid w:val="001B2B6D"/>
    <w:rsid w:val="001B41B6"/>
    <w:rsid w:val="001C1D48"/>
    <w:rsid w:val="001E0659"/>
    <w:rsid w:val="001E18A1"/>
    <w:rsid w:val="001E3E47"/>
    <w:rsid w:val="001E51B8"/>
    <w:rsid w:val="001F008A"/>
    <w:rsid w:val="001F2AF6"/>
    <w:rsid w:val="0020503B"/>
    <w:rsid w:val="002242B7"/>
    <w:rsid w:val="00245863"/>
    <w:rsid w:val="0025136A"/>
    <w:rsid w:val="00252142"/>
    <w:rsid w:val="002525F7"/>
    <w:rsid w:val="00257106"/>
    <w:rsid w:val="002579BE"/>
    <w:rsid w:val="00282979"/>
    <w:rsid w:val="002A4994"/>
    <w:rsid w:val="002B3AD1"/>
    <w:rsid w:val="002C557A"/>
    <w:rsid w:val="002D5BB1"/>
    <w:rsid w:val="0032187A"/>
    <w:rsid w:val="00321BEF"/>
    <w:rsid w:val="00322C67"/>
    <w:rsid w:val="00325EBA"/>
    <w:rsid w:val="00330A45"/>
    <w:rsid w:val="00331B34"/>
    <w:rsid w:val="003368B0"/>
    <w:rsid w:val="00342B73"/>
    <w:rsid w:val="0035450A"/>
    <w:rsid w:val="00357DED"/>
    <w:rsid w:val="00364719"/>
    <w:rsid w:val="00381E6C"/>
    <w:rsid w:val="0038564A"/>
    <w:rsid w:val="003A0298"/>
    <w:rsid w:val="003B6822"/>
    <w:rsid w:val="003C3AA6"/>
    <w:rsid w:val="003D1CE9"/>
    <w:rsid w:val="003D4919"/>
    <w:rsid w:val="003E5A41"/>
    <w:rsid w:val="003F4E77"/>
    <w:rsid w:val="003F6AF8"/>
    <w:rsid w:val="003F7E35"/>
    <w:rsid w:val="00404321"/>
    <w:rsid w:val="00404D82"/>
    <w:rsid w:val="00405E36"/>
    <w:rsid w:val="0040660C"/>
    <w:rsid w:val="0041595F"/>
    <w:rsid w:val="00416BAE"/>
    <w:rsid w:val="00425C9A"/>
    <w:rsid w:val="00441462"/>
    <w:rsid w:val="004637F5"/>
    <w:rsid w:val="004660B2"/>
    <w:rsid w:val="004753B5"/>
    <w:rsid w:val="0048152E"/>
    <w:rsid w:val="0048418C"/>
    <w:rsid w:val="004B067D"/>
    <w:rsid w:val="004B48E6"/>
    <w:rsid w:val="004B79E3"/>
    <w:rsid w:val="004C4583"/>
    <w:rsid w:val="004D4BC8"/>
    <w:rsid w:val="004D5B83"/>
    <w:rsid w:val="004E397E"/>
    <w:rsid w:val="00502B36"/>
    <w:rsid w:val="00505C57"/>
    <w:rsid w:val="005118CA"/>
    <w:rsid w:val="00513FE7"/>
    <w:rsid w:val="00531D4C"/>
    <w:rsid w:val="005352DC"/>
    <w:rsid w:val="005511E5"/>
    <w:rsid w:val="00554963"/>
    <w:rsid w:val="00555D67"/>
    <w:rsid w:val="00557E00"/>
    <w:rsid w:val="00565B76"/>
    <w:rsid w:val="00585787"/>
    <w:rsid w:val="00587C37"/>
    <w:rsid w:val="005B1015"/>
    <w:rsid w:val="005D2FDD"/>
    <w:rsid w:val="005E3B71"/>
    <w:rsid w:val="00600D4F"/>
    <w:rsid w:val="00607ECE"/>
    <w:rsid w:val="006267ED"/>
    <w:rsid w:val="00627D6B"/>
    <w:rsid w:val="0063072D"/>
    <w:rsid w:val="0064266A"/>
    <w:rsid w:val="006629D5"/>
    <w:rsid w:val="00663E3E"/>
    <w:rsid w:val="00664D27"/>
    <w:rsid w:val="00670340"/>
    <w:rsid w:val="00673105"/>
    <w:rsid w:val="00676C2D"/>
    <w:rsid w:val="00682394"/>
    <w:rsid w:val="00696FB1"/>
    <w:rsid w:val="006A1A1D"/>
    <w:rsid w:val="006B0470"/>
    <w:rsid w:val="006B6398"/>
    <w:rsid w:val="006B6CC4"/>
    <w:rsid w:val="006B79FC"/>
    <w:rsid w:val="006C1C56"/>
    <w:rsid w:val="006C58E2"/>
    <w:rsid w:val="006D0CED"/>
    <w:rsid w:val="006D7028"/>
    <w:rsid w:val="006D7059"/>
    <w:rsid w:val="006E16B2"/>
    <w:rsid w:val="006E32A2"/>
    <w:rsid w:val="00703C33"/>
    <w:rsid w:val="00724E38"/>
    <w:rsid w:val="00726DD7"/>
    <w:rsid w:val="007354D7"/>
    <w:rsid w:val="00750780"/>
    <w:rsid w:val="00751198"/>
    <w:rsid w:val="007538BC"/>
    <w:rsid w:val="00753CBD"/>
    <w:rsid w:val="007540D3"/>
    <w:rsid w:val="00756B4D"/>
    <w:rsid w:val="00771868"/>
    <w:rsid w:val="00790224"/>
    <w:rsid w:val="007915C3"/>
    <w:rsid w:val="007950DA"/>
    <w:rsid w:val="007A5FED"/>
    <w:rsid w:val="007C1314"/>
    <w:rsid w:val="007C1E26"/>
    <w:rsid w:val="007C448C"/>
    <w:rsid w:val="007E0D1C"/>
    <w:rsid w:val="007E1F2C"/>
    <w:rsid w:val="007E7C82"/>
    <w:rsid w:val="007F1902"/>
    <w:rsid w:val="008072AB"/>
    <w:rsid w:val="008107AC"/>
    <w:rsid w:val="008125F7"/>
    <w:rsid w:val="008175EB"/>
    <w:rsid w:val="0082033E"/>
    <w:rsid w:val="008422BB"/>
    <w:rsid w:val="0085182E"/>
    <w:rsid w:val="0085583C"/>
    <w:rsid w:val="008657C2"/>
    <w:rsid w:val="008731C8"/>
    <w:rsid w:val="008842DD"/>
    <w:rsid w:val="008A19B5"/>
    <w:rsid w:val="008C71EB"/>
    <w:rsid w:val="00913ACF"/>
    <w:rsid w:val="00915154"/>
    <w:rsid w:val="0092218B"/>
    <w:rsid w:val="00922BBE"/>
    <w:rsid w:val="00926788"/>
    <w:rsid w:val="00927339"/>
    <w:rsid w:val="00930CFA"/>
    <w:rsid w:val="00934685"/>
    <w:rsid w:val="0094494F"/>
    <w:rsid w:val="00946AF4"/>
    <w:rsid w:val="00953FAC"/>
    <w:rsid w:val="00980E9D"/>
    <w:rsid w:val="0099078D"/>
    <w:rsid w:val="00995B7A"/>
    <w:rsid w:val="00996D9E"/>
    <w:rsid w:val="009A1E89"/>
    <w:rsid w:val="009D4306"/>
    <w:rsid w:val="009F16FF"/>
    <w:rsid w:val="009F2F01"/>
    <w:rsid w:val="009F416F"/>
    <w:rsid w:val="00A06441"/>
    <w:rsid w:val="00A24AB4"/>
    <w:rsid w:val="00A336C4"/>
    <w:rsid w:val="00A609F1"/>
    <w:rsid w:val="00A639AE"/>
    <w:rsid w:val="00A67618"/>
    <w:rsid w:val="00A731CB"/>
    <w:rsid w:val="00A741EA"/>
    <w:rsid w:val="00A75A84"/>
    <w:rsid w:val="00A87AF0"/>
    <w:rsid w:val="00A91DB8"/>
    <w:rsid w:val="00AB60AA"/>
    <w:rsid w:val="00AC2026"/>
    <w:rsid w:val="00AD30AB"/>
    <w:rsid w:val="00AE4C6D"/>
    <w:rsid w:val="00AE5CE1"/>
    <w:rsid w:val="00B06B94"/>
    <w:rsid w:val="00B13881"/>
    <w:rsid w:val="00B36F01"/>
    <w:rsid w:val="00B512AE"/>
    <w:rsid w:val="00B55F8A"/>
    <w:rsid w:val="00B56112"/>
    <w:rsid w:val="00B71EAB"/>
    <w:rsid w:val="00B726A9"/>
    <w:rsid w:val="00B7356F"/>
    <w:rsid w:val="00B837DD"/>
    <w:rsid w:val="00BA51A5"/>
    <w:rsid w:val="00BB6F95"/>
    <w:rsid w:val="00BC5C4D"/>
    <w:rsid w:val="00BD505F"/>
    <w:rsid w:val="00BE1ECA"/>
    <w:rsid w:val="00BE4687"/>
    <w:rsid w:val="00BE4C8D"/>
    <w:rsid w:val="00C050EB"/>
    <w:rsid w:val="00C15C06"/>
    <w:rsid w:val="00C33202"/>
    <w:rsid w:val="00C355D9"/>
    <w:rsid w:val="00C47EC9"/>
    <w:rsid w:val="00C55B64"/>
    <w:rsid w:val="00C7347F"/>
    <w:rsid w:val="00CB00C7"/>
    <w:rsid w:val="00CB24C0"/>
    <w:rsid w:val="00CC4CF2"/>
    <w:rsid w:val="00CC691C"/>
    <w:rsid w:val="00CC70A1"/>
    <w:rsid w:val="00D13AD8"/>
    <w:rsid w:val="00D3020C"/>
    <w:rsid w:val="00D56D0D"/>
    <w:rsid w:val="00D81791"/>
    <w:rsid w:val="00D823F0"/>
    <w:rsid w:val="00D8476A"/>
    <w:rsid w:val="00D85F52"/>
    <w:rsid w:val="00D96541"/>
    <w:rsid w:val="00DD2A9C"/>
    <w:rsid w:val="00DD38F3"/>
    <w:rsid w:val="00DF55B7"/>
    <w:rsid w:val="00E048E0"/>
    <w:rsid w:val="00E13FE6"/>
    <w:rsid w:val="00E1435C"/>
    <w:rsid w:val="00E2589E"/>
    <w:rsid w:val="00E40DD8"/>
    <w:rsid w:val="00E53A01"/>
    <w:rsid w:val="00E64384"/>
    <w:rsid w:val="00E67183"/>
    <w:rsid w:val="00E93BEF"/>
    <w:rsid w:val="00EA3FEB"/>
    <w:rsid w:val="00EA6FC3"/>
    <w:rsid w:val="00EF1F10"/>
    <w:rsid w:val="00EF30BF"/>
    <w:rsid w:val="00EF3FCE"/>
    <w:rsid w:val="00F7744E"/>
    <w:rsid w:val="00F8619B"/>
    <w:rsid w:val="00F93475"/>
    <w:rsid w:val="00F94A1B"/>
    <w:rsid w:val="00FA2E20"/>
    <w:rsid w:val="00FA4BA5"/>
    <w:rsid w:val="00FC32FC"/>
    <w:rsid w:val="00FF669F"/>
    <w:rsid w:val="00FF6C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AAF14"/>
  <w15:chartTrackingRefBased/>
  <w15:docId w15:val="{8B5CDD86-B7DE-4D2D-A9BE-681FFC59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A45"/>
  </w:style>
  <w:style w:type="paragraph" w:styleId="Heading2">
    <w:name w:val="heading 2"/>
    <w:basedOn w:val="Normal"/>
    <w:link w:val="Heading2Char"/>
    <w:uiPriority w:val="9"/>
    <w:qFormat/>
    <w:rsid w:val="00330A4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0A45"/>
    <w:rPr>
      <w:rFonts w:ascii="Times New Roman" w:eastAsia="Times New Roman" w:hAnsi="Times New Roman" w:cs="Times New Roman"/>
      <w:b/>
      <w:bCs/>
      <w:sz w:val="36"/>
      <w:szCs w:val="36"/>
      <w:lang w:eastAsia="en-ZA"/>
    </w:rPr>
  </w:style>
  <w:style w:type="paragraph" w:styleId="FootnoteText">
    <w:name w:val="footnote text"/>
    <w:basedOn w:val="Normal"/>
    <w:link w:val="FootnoteTextChar"/>
    <w:uiPriority w:val="99"/>
    <w:semiHidden/>
    <w:unhideWhenUsed/>
    <w:rsid w:val="00330A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0A45"/>
    <w:rPr>
      <w:sz w:val="20"/>
      <w:szCs w:val="20"/>
    </w:rPr>
  </w:style>
  <w:style w:type="character" w:styleId="FootnoteReference">
    <w:name w:val="footnote reference"/>
    <w:basedOn w:val="DefaultParagraphFont"/>
    <w:uiPriority w:val="99"/>
    <w:semiHidden/>
    <w:unhideWhenUsed/>
    <w:rsid w:val="00330A45"/>
    <w:rPr>
      <w:vertAlign w:val="superscript"/>
    </w:rPr>
  </w:style>
  <w:style w:type="character" w:styleId="Hyperlink">
    <w:name w:val="Hyperlink"/>
    <w:basedOn w:val="DefaultParagraphFont"/>
    <w:uiPriority w:val="99"/>
    <w:unhideWhenUsed/>
    <w:rsid w:val="00330A45"/>
    <w:rPr>
      <w:color w:val="0563C1" w:themeColor="hyperlink"/>
      <w:u w:val="single"/>
    </w:rPr>
  </w:style>
  <w:style w:type="paragraph" w:styleId="NormalWeb">
    <w:name w:val="Normal (Web)"/>
    <w:basedOn w:val="Normal"/>
    <w:uiPriority w:val="99"/>
    <w:unhideWhenUsed/>
    <w:rsid w:val="00330A4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A5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1A5"/>
    <w:rPr>
      <w:rFonts w:ascii="Segoe UI" w:hAnsi="Segoe UI" w:cs="Segoe UI"/>
      <w:sz w:val="18"/>
      <w:szCs w:val="18"/>
    </w:rPr>
  </w:style>
  <w:style w:type="paragraph" w:styleId="Revision">
    <w:name w:val="Revision"/>
    <w:hidden/>
    <w:uiPriority w:val="99"/>
    <w:semiHidden/>
    <w:rsid w:val="004B79E3"/>
    <w:pPr>
      <w:spacing w:after="0" w:line="240" w:lineRule="auto"/>
    </w:pPr>
  </w:style>
  <w:style w:type="character" w:styleId="CommentReference">
    <w:name w:val="annotation reference"/>
    <w:basedOn w:val="DefaultParagraphFont"/>
    <w:uiPriority w:val="99"/>
    <w:semiHidden/>
    <w:unhideWhenUsed/>
    <w:rsid w:val="003F7E35"/>
    <w:rPr>
      <w:sz w:val="16"/>
      <w:szCs w:val="16"/>
    </w:rPr>
  </w:style>
  <w:style w:type="paragraph" w:styleId="CommentText">
    <w:name w:val="annotation text"/>
    <w:basedOn w:val="Normal"/>
    <w:link w:val="CommentTextChar"/>
    <w:uiPriority w:val="99"/>
    <w:unhideWhenUsed/>
    <w:rsid w:val="003F7E35"/>
    <w:pPr>
      <w:spacing w:line="240" w:lineRule="auto"/>
    </w:pPr>
    <w:rPr>
      <w:sz w:val="20"/>
      <w:szCs w:val="20"/>
    </w:rPr>
  </w:style>
  <w:style w:type="character" w:customStyle="1" w:styleId="CommentTextChar">
    <w:name w:val="Comment Text Char"/>
    <w:basedOn w:val="DefaultParagraphFont"/>
    <w:link w:val="CommentText"/>
    <w:uiPriority w:val="99"/>
    <w:rsid w:val="003F7E35"/>
    <w:rPr>
      <w:sz w:val="20"/>
      <w:szCs w:val="20"/>
    </w:rPr>
  </w:style>
  <w:style w:type="paragraph" w:styleId="CommentSubject">
    <w:name w:val="annotation subject"/>
    <w:basedOn w:val="CommentText"/>
    <w:next w:val="CommentText"/>
    <w:link w:val="CommentSubjectChar"/>
    <w:uiPriority w:val="99"/>
    <w:semiHidden/>
    <w:unhideWhenUsed/>
    <w:rsid w:val="003F7E35"/>
    <w:rPr>
      <w:b/>
      <w:bCs/>
    </w:rPr>
  </w:style>
  <w:style w:type="character" w:customStyle="1" w:styleId="CommentSubjectChar">
    <w:name w:val="Comment Subject Char"/>
    <w:basedOn w:val="CommentTextChar"/>
    <w:link w:val="CommentSubject"/>
    <w:uiPriority w:val="99"/>
    <w:semiHidden/>
    <w:rsid w:val="003F7E35"/>
    <w:rPr>
      <w:b/>
      <w:bCs/>
      <w:sz w:val="20"/>
      <w:szCs w:val="20"/>
    </w:rPr>
  </w:style>
  <w:style w:type="paragraph" w:styleId="Header">
    <w:name w:val="header"/>
    <w:basedOn w:val="Normal"/>
    <w:link w:val="HeaderChar"/>
    <w:uiPriority w:val="99"/>
    <w:unhideWhenUsed/>
    <w:rsid w:val="006731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105"/>
  </w:style>
  <w:style w:type="paragraph" w:styleId="Footer">
    <w:name w:val="footer"/>
    <w:basedOn w:val="Normal"/>
    <w:link w:val="FooterChar"/>
    <w:uiPriority w:val="99"/>
    <w:unhideWhenUsed/>
    <w:rsid w:val="006731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70165">
      <w:bodyDiv w:val="1"/>
      <w:marLeft w:val="0"/>
      <w:marRight w:val="0"/>
      <w:marTop w:val="0"/>
      <w:marBottom w:val="0"/>
      <w:divBdr>
        <w:top w:val="none" w:sz="0" w:space="0" w:color="auto"/>
        <w:left w:val="none" w:sz="0" w:space="0" w:color="auto"/>
        <w:bottom w:val="none" w:sz="0" w:space="0" w:color="auto"/>
        <w:right w:val="none" w:sz="0" w:space="0" w:color="auto"/>
      </w:divBdr>
    </w:div>
    <w:div w:id="949239655">
      <w:bodyDiv w:val="1"/>
      <w:marLeft w:val="0"/>
      <w:marRight w:val="0"/>
      <w:marTop w:val="0"/>
      <w:marBottom w:val="0"/>
      <w:divBdr>
        <w:top w:val="none" w:sz="0" w:space="0" w:color="auto"/>
        <w:left w:val="none" w:sz="0" w:space="0" w:color="auto"/>
        <w:bottom w:val="none" w:sz="0" w:space="0" w:color="auto"/>
        <w:right w:val="none" w:sz="0" w:space="0" w:color="auto"/>
      </w:divBdr>
    </w:div>
    <w:div w:id="1505782400">
      <w:bodyDiv w:val="1"/>
      <w:marLeft w:val="0"/>
      <w:marRight w:val="0"/>
      <w:marTop w:val="0"/>
      <w:marBottom w:val="0"/>
      <w:divBdr>
        <w:top w:val="none" w:sz="0" w:space="0" w:color="auto"/>
        <w:left w:val="none" w:sz="0" w:space="0" w:color="auto"/>
        <w:bottom w:val="none" w:sz="0" w:space="0" w:color="auto"/>
        <w:right w:val="none" w:sz="0" w:space="0" w:color="auto"/>
      </w:divBdr>
    </w:div>
    <w:div w:id="1611282942">
      <w:bodyDiv w:val="1"/>
      <w:marLeft w:val="0"/>
      <w:marRight w:val="0"/>
      <w:marTop w:val="0"/>
      <w:marBottom w:val="0"/>
      <w:divBdr>
        <w:top w:val="none" w:sz="0" w:space="0" w:color="auto"/>
        <w:left w:val="none" w:sz="0" w:space="0" w:color="auto"/>
        <w:bottom w:val="none" w:sz="0" w:space="0" w:color="auto"/>
        <w:right w:val="none" w:sz="0" w:space="0" w:color="auto"/>
      </w:divBdr>
    </w:div>
    <w:div w:id="1924874732">
      <w:bodyDiv w:val="1"/>
      <w:marLeft w:val="0"/>
      <w:marRight w:val="0"/>
      <w:marTop w:val="0"/>
      <w:marBottom w:val="0"/>
      <w:divBdr>
        <w:top w:val="none" w:sz="0" w:space="0" w:color="auto"/>
        <w:left w:val="none" w:sz="0" w:space="0" w:color="auto"/>
        <w:bottom w:val="none" w:sz="0" w:space="0" w:color="auto"/>
        <w:right w:val="none" w:sz="0" w:space="0" w:color="auto"/>
      </w:divBdr>
    </w:div>
    <w:div w:id="197991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flii.org/za/legis/consol_act/pa1969171/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lii.org/za/legis/consol_act/pa196917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legis/consol_act/pa1969171/index.html" TargetMode="External"/><Relationship Id="rId5" Type="http://schemas.openxmlformats.org/officeDocument/2006/relationships/webSettings" Target="webSettings.xml"/><Relationship Id="rId15" Type="http://schemas.openxmlformats.org/officeDocument/2006/relationships/hyperlink" Target="http://www.saflii.org/za/legis/consol_act/pa1969171/index.html" TargetMode="External"/><Relationship Id="rId10" Type="http://schemas.openxmlformats.org/officeDocument/2006/relationships/hyperlink" Target="http://www.saflii.org/za/legis/consol_act/pa1969171/index.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aflii.org/za/legis/consol_act/pa196917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aflii.org/cgi-bin/LawCite?cit=2001%20%281%29%20BCLR%20995" TargetMode="External"/><Relationship Id="rId3" Type="http://schemas.openxmlformats.org/officeDocument/2006/relationships/hyperlink" Target="http://www.saflii.org/cgi-bin/LawCite?cit=2006%20%281%29%20SA%20461" TargetMode="External"/><Relationship Id="rId7" Type="http://schemas.openxmlformats.org/officeDocument/2006/relationships/hyperlink" Target="http://www.saflii.org/cgi-bin/LawCite?cit=2001%20%284%29%20SA%20938" TargetMode="External"/><Relationship Id="rId12" Type="http://schemas.openxmlformats.org/officeDocument/2006/relationships/hyperlink" Target="http://www.saflii.org/cgi-bin/LawCite?cit=1989%20%284%29%20SA%201059" TargetMode="External"/><Relationship Id="rId2" Type="http://schemas.openxmlformats.org/officeDocument/2006/relationships/hyperlink" Target="http://www.saflii.org/za/cases/ZASCA/2005/73.html" TargetMode="External"/><Relationship Id="rId1" Type="http://schemas.openxmlformats.org/officeDocument/2006/relationships/hyperlink" Target="http://www.saflii.org/cgi-bin/LawCite?cit=2013%20%285%29%20SA%20325" TargetMode="External"/><Relationship Id="rId6" Type="http://schemas.openxmlformats.org/officeDocument/2006/relationships/hyperlink" Target="http://www.saflii.org/za/cases/ZACC/2001/22.html" TargetMode="External"/><Relationship Id="rId11" Type="http://schemas.openxmlformats.org/officeDocument/2006/relationships/hyperlink" Target="http://www.saflii.org/cgi-bin/LawCite?cit=%282006%29%20226%20ALR%20391" TargetMode="External"/><Relationship Id="rId5" Type="http://schemas.openxmlformats.org/officeDocument/2006/relationships/hyperlink" Target="http://www.saflii.org/cgi-bin/LawCite?cit=2013%20%282%29%20SA%20213" TargetMode="External"/><Relationship Id="rId10" Type="http://schemas.openxmlformats.org/officeDocument/2006/relationships/hyperlink" Target="http://www.saflii.org/cgi-bin/LawCite?cit=%282006%29%20226%20CLR%2052" TargetMode="External"/><Relationship Id="rId4" Type="http://schemas.openxmlformats.org/officeDocument/2006/relationships/hyperlink" Target="http://www.saflii.org/cgi-bin/LawCite?cit=%5b2012%5d%20ZASCA%20182" TargetMode="External"/><Relationship Id="rId9" Type="http://schemas.openxmlformats.org/officeDocument/2006/relationships/hyperlink" Target="http://www.austlii.edu.au/au/cases/cth/HCA/2006/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AE161-4D8F-4B32-B608-1BA90D2CD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4932</Words>
  <Characters>28119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Petronella Oosthuizen</dc:creator>
  <cp:keywords/>
  <dc:description/>
  <cp:lastModifiedBy>Ayanda Mdletshe</cp:lastModifiedBy>
  <cp:revision>2</cp:revision>
  <cp:lastPrinted>2022-05-19T08:27:00Z</cp:lastPrinted>
  <dcterms:created xsi:type="dcterms:W3CDTF">2022-05-20T08:10:00Z</dcterms:created>
  <dcterms:modified xsi:type="dcterms:W3CDTF">2022-05-20T08:10:00Z</dcterms:modified>
</cp:coreProperties>
</file>