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3F57F9" w14:textId="77777777" w:rsidR="00B149B5" w:rsidRPr="006F52DE" w:rsidRDefault="00B149B5" w:rsidP="00B149B5">
      <w:pPr>
        <w:jc w:val="center"/>
        <w:rPr>
          <w:b/>
          <w:bCs/>
          <w:sz w:val="28"/>
          <w:szCs w:val="28"/>
        </w:rPr>
      </w:pPr>
    </w:p>
    <w:p w14:paraId="761E9809" w14:textId="77777777" w:rsidR="00B149B5" w:rsidRPr="006F52DE" w:rsidRDefault="00B149B5" w:rsidP="00B149B5">
      <w:pPr>
        <w:jc w:val="center"/>
        <w:rPr>
          <w:b/>
          <w:bCs/>
          <w:sz w:val="28"/>
          <w:szCs w:val="28"/>
        </w:rPr>
      </w:pPr>
    </w:p>
    <w:p w14:paraId="0EBB9466" w14:textId="77777777" w:rsidR="00B149B5" w:rsidRPr="00D8118B" w:rsidRDefault="00B149B5" w:rsidP="00B149B5">
      <w:pPr>
        <w:jc w:val="center"/>
        <w:rPr>
          <w:b/>
          <w:bCs/>
          <w:sz w:val="28"/>
          <w:szCs w:val="28"/>
        </w:rPr>
      </w:pPr>
      <w:r w:rsidRPr="00D8118B">
        <w:rPr>
          <w:noProof/>
          <w:sz w:val="28"/>
          <w:szCs w:val="28"/>
          <w:lang w:val="en-ZA" w:eastAsia="en-ZA"/>
        </w:rPr>
        <w:drawing>
          <wp:anchor distT="0" distB="0" distL="114300" distR="114300" simplePos="0" relativeHeight="251658240" behindDoc="0" locked="0" layoutInCell="1" allowOverlap="1" wp14:anchorId="172E8E3E" wp14:editId="70138D07">
            <wp:simplePos x="0" y="0"/>
            <wp:positionH relativeFrom="margin">
              <wp:align>center</wp:align>
            </wp:positionH>
            <wp:positionV relativeFrom="paragraph">
              <wp:posOffset>-683895</wp:posOffset>
            </wp:positionV>
            <wp:extent cx="800100" cy="914400"/>
            <wp:effectExtent l="0" t="0" r="0" b="0"/>
            <wp:wrapSquare wrapText="bothSides"/>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pic:spPr>
                </pic:pic>
              </a:graphicData>
            </a:graphic>
            <wp14:sizeRelH relativeFrom="page">
              <wp14:pctWidth>0</wp14:pctWidth>
            </wp14:sizeRelH>
            <wp14:sizeRelV relativeFrom="page">
              <wp14:pctHeight>0</wp14:pctHeight>
            </wp14:sizeRelV>
          </wp:anchor>
        </w:drawing>
      </w:r>
    </w:p>
    <w:p w14:paraId="4D38C720" w14:textId="77777777" w:rsidR="00B149B5" w:rsidRPr="00D8118B" w:rsidRDefault="00B149B5" w:rsidP="00B149B5">
      <w:pPr>
        <w:jc w:val="center"/>
        <w:rPr>
          <w:b/>
          <w:bCs/>
          <w:sz w:val="28"/>
          <w:szCs w:val="28"/>
        </w:rPr>
      </w:pPr>
    </w:p>
    <w:p w14:paraId="163BE7B3" w14:textId="77777777" w:rsidR="00B149B5" w:rsidRPr="00D8118B" w:rsidRDefault="00B149B5" w:rsidP="00B042BE">
      <w:pPr>
        <w:jc w:val="center"/>
        <w:rPr>
          <w:b/>
          <w:bCs/>
          <w:sz w:val="28"/>
          <w:szCs w:val="28"/>
        </w:rPr>
      </w:pPr>
    </w:p>
    <w:p w14:paraId="13348609" w14:textId="2E26F2D2" w:rsidR="00B149B5" w:rsidRPr="00D8118B" w:rsidRDefault="00B149B5" w:rsidP="00B042BE">
      <w:pPr>
        <w:jc w:val="center"/>
        <w:rPr>
          <w:b/>
          <w:bCs/>
          <w:sz w:val="28"/>
          <w:szCs w:val="28"/>
        </w:rPr>
      </w:pPr>
      <w:r w:rsidRPr="00D8118B">
        <w:rPr>
          <w:b/>
          <w:bCs/>
          <w:sz w:val="28"/>
          <w:szCs w:val="28"/>
        </w:rPr>
        <w:t>THE SUPREME COURT OF APPEAL OF SOUTH AFRICA</w:t>
      </w:r>
    </w:p>
    <w:p w14:paraId="6106D019" w14:textId="77777777" w:rsidR="00B149B5" w:rsidRPr="00D8118B" w:rsidRDefault="00B149B5" w:rsidP="00B042BE">
      <w:pPr>
        <w:pStyle w:val="Heading3"/>
        <w:jc w:val="center"/>
        <w:rPr>
          <w:rFonts w:ascii="Times New Roman" w:hAnsi="Times New Roman" w:cs="Times New Roman"/>
          <w:b/>
          <w:i w:val="0"/>
          <w:szCs w:val="28"/>
        </w:rPr>
      </w:pPr>
      <w:r w:rsidRPr="00D8118B">
        <w:rPr>
          <w:rFonts w:ascii="Times New Roman" w:hAnsi="Times New Roman" w:cs="Times New Roman"/>
          <w:b/>
          <w:i w:val="0"/>
          <w:szCs w:val="28"/>
        </w:rPr>
        <w:t>JUDGMENT</w:t>
      </w:r>
    </w:p>
    <w:p w14:paraId="5D6A3E33" w14:textId="1761AB78" w:rsidR="00B149B5" w:rsidRPr="00D8118B" w:rsidRDefault="00B149B5" w:rsidP="00B042BE">
      <w:pPr>
        <w:spacing w:before="120"/>
        <w:jc w:val="right"/>
        <w:rPr>
          <w:b/>
          <w:sz w:val="28"/>
          <w:szCs w:val="28"/>
        </w:rPr>
      </w:pPr>
      <w:r w:rsidRPr="00D8118B">
        <w:rPr>
          <w:b/>
          <w:sz w:val="28"/>
          <w:szCs w:val="28"/>
        </w:rPr>
        <w:t>Not Reportable</w:t>
      </w:r>
    </w:p>
    <w:p w14:paraId="23A8FE2F" w14:textId="5A3254E5" w:rsidR="00A90F42" w:rsidRPr="00D8118B" w:rsidRDefault="00B149B5" w:rsidP="00B042BE">
      <w:pPr>
        <w:jc w:val="right"/>
        <w:rPr>
          <w:sz w:val="28"/>
          <w:szCs w:val="28"/>
        </w:rPr>
      </w:pPr>
      <w:r w:rsidRPr="00D8118B">
        <w:rPr>
          <w:sz w:val="28"/>
          <w:szCs w:val="28"/>
        </w:rPr>
        <w:t>Case no: 169/2021</w:t>
      </w:r>
    </w:p>
    <w:p w14:paraId="0896631F" w14:textId="77777777" w:rsidR="00B149B5" w:rsidRPr="00D8118B" w:rsidRDefault="00B149B5" w:rsidP="00093628">
      <w:pPr>
        <w:jc w:val="right"/>
        <w:rPr>
          <w:sz w:val="28"/>
          <w:szCs w:val="28"/>
        </w:rPr>
      </w:pPr>
    </w:p>
    <w:p w14:paraId="0C6561CC" w14:textId="77777777" w:rsidR="00B149B5" w:rsidRPr="00D8118B" w:rsidRDefault="00B149B5" w:rsidP="00B042BE">
      <w:pPr>
        <w:spacing w:after="120"/>
        <w:rPr>
          <w:sz w:val="28"/>
          <w:szCs w:val="28"/>
        </w:rPr>
      </w:pPr>
      <w:r w:rsidRPr="00D8118B">
        <w:rPr>
          <w:sz w:val="28"/>
          <w:szCs w:val="28"/>
        </w:rPr>
        <w:t>In the matter between:</w:t>
      </w:r>
    </w:p>
    <w:p w14:paraId="53BF459B" w14:textId="57EFBEFD" w:rsidR="00A90F42" w:rsidRPr="00D8118B" w:rsidRDefault="00B149B5" w:rsidP="00093628">
      <w:pPr>
        <w:tabs>
          <w:tab w:val="right" w:pos="8640"/>
        </w:tabs>
        <w:spacing w:line="276" w:lineRule="auto"/>
        <w:rPr>
          <w:bCs/>
          <w:sz w:val="28"/>
          <w:szCs w:val="28"/>
        </w:rPr>
      </w:pPr>
      <w:r w:rsidRPr="00D8118B">
        <w:rPr>
          <w:b/>
          <w:bCs/>
          <w:sz w:val="28"/>
          <w:szCs w:val="28"/>
        </w:rPr>
        <w:t xml:space="preserve">EXXARO COAL MPUMALANGA (PTY) LTD   </w:t>
      </w:r>
      <w:r w:rsidR="004E389C" w:rsidRPr="00D8118B">
        <w:rPr>
          <w:b/>
          <w:bCs/>
          <w:sz w:val="28"/>
          <w:szCs w:val="28"/>
        </w:rPr>
        <w:t xml:space="preserve">               APPLICANT</w:t>
      </w:r>
    </w:p>
    <w:p w14:paraId="722F77C5" w14:textId="77777777" w:rsidR="00A90F42" w:rsidRPr="00D8118B" w:rsidRDefault="00A90F42" w:rsidP="00093628">
      <w:pPr>
        <w:tabs>
          <w:tab w:val="right" w:pos="8640"/>
        </w:tabs>
        <w:spacing w:line="276" w:lineRule="auto"/>
        <w:rPr>
          <w:b/>
          <w:sz w:val="28"/>
          <w:szCs w:val="28"/>
        </w:rPr>
      </w:pPr>
    </w:p>
    <w:p w14:paraId="5C8B60EB" w14:textId="237EDC09" w:rsidR="00B149B5" w:rsidRPr="00D8118B" w:rsidRDefault="00A90F42" w:rsidP="00093628">
      <w:pPr>
        <w:tabs>
          <w:tab w:val="right" w:pos="8640"/>
        </w:tabs>
        <w:spacing w:line="276" w:lineRule="auto"/>
        <w:rPr>
          <w:bCs/>
          <w:sz w:val="28"/>
          <w:szCs w:val="28"/>
        </w:rPr>
      </w:pPr>
      <w:r w:rsidRPr="00D8118B">
        <w:rPr>
          <w:bCs/>
          <w:sz w:val="28"/>
          <w:szCs w:val="28"/>
        </w:rPr>
        <w:t>a</w:t>
      </w:r>
      <w:r w:rsidR="00B149B5" w:rsidRPr="00D8118B">
        <w:rPr>
          <w:bCs/>
          <w:sz w:val="28"/>
          <w:szCs w:val="28"/>
        </w:rPr>
        <w:t>nd</w:t>
      </w:r>
    </w:p>
    <w:p w14:paraId="6BDE37F4" w14:textId="77777777" w:rsidR="00A90F42" w:rsidRPr="00D8118B" w:rsidRDefault="00A90F42" w:rsidP="00093628">
      <w:pPr>
        <w:tabs>
          <w:tab w:val="right" w:pos="8640"/>
        </w:tabs>
        <w:spacing w:line="276" w:lineRule="auto"/>
        <w:rPr>
          <w:bCs/>
          <w:sz w:val="28"/>
          <w:szCs w:val="28"/>
        </w:rPr>
      </w:pPr>
    </w:p>
    <w:p w14:paraId="6A11F328" w14:textId="77777777" w:rsidR="00F9789F" w:rsidRPr="00D8118B" w:rsidRDefault="00B149B5" w:rsidP="00093628">
      <w:pPr>
        <w:spacing w:line="276" w:lineRule="auto"/>
        <w:rPr>
          <w:b/>
          <w:sz w:val="28"/>
          <w:szCs w:val="28"/>
        </w:rPr>
      </w:pPr>
      <w:r w:rsidRPr="00D8118B">
        <w:rPr>
          <w:b/>
          <w:sz w:val="28"/>
          <w:szCs w:val="28"/>
        </w:rPr>
        <w:t xml:space="preserve">TDS PROJECTS CONSTRUCTION AND </w:t>
      </w:r>
    </w:p>
    <w:p w14:paraId="1E96EEB2" w14:textId="1F4FE68D" w:rsidR="00432957" w:rsidRPr="00D8118B" w:rsidRDefault="00B149B5" w:rsidP="00093628">
      <w:pPr>
        <w:spacing w:line="276" w:lineRule="auto"/>
        <w:rPr>
          <w:b/>
          <w:sz w:val="28"/>
          <w:szCs w:val="28"/>
        </w:rPr>
      </w:pPr>
      <w:r w:rsidRPr="00D8118B">
        <w:rPr>
          <w:b/>
          <w:sz w:val="28"/>
          <w:szCs w:val="28"/>
        </w:rPr>
        <w:t>NEWRAK MINING JV (PTY) LTD</w:t>
      </w:r>
      <w:r w:rsidR="00F9789F" w:rsidRPr="00D8118B">
        <w:rPr>
          <w:b/>
          <w:sz w:val="28"/>
          <w:szCs w:val="28"/>
        </w:rPr>
        <w:t xml:space="preserve">  </w:t>
      </w:r>
      <w:r w:rsidRPr="00D8118B">
        <w:rPr>
          <w:b/>
          <w:sz w:val="28"/>
          <w:szCs w:val="28"/>
        </w:rPr>
        <w:t xml:space="preserve">                   FIRST RESPONDENT</w:t>
      </w:r>
    </w:p>
    <w:p w14:paraId="1F9D8523" w14:textId="77777777" w:rsidR="00A90F42" w:rsidRPr="00D8118B" w:rsidRDefault="00A90F42" w:rsidP="00093628">
      <w:pPr>
        <w:spacing w:line="276" w:lineRule="auto"/>
        <w:rPr>
          <w:b/>
          <w:sz w:val="28"/>
          <w:szCs w:val="28"/>
        </w:rPr>
      </w:pPr>
    </w:p>
    <w:p w14:paraId="15708F6F" w14:textId="4E862E43" w:rsidR="004E389C" w:rsidRPr="00D8118B" w:rsidRDefault="004E389C" w:rsidP="00093628">
      <w:pPr>
        <w:spacing w:line="276" w:lineRule="auto"/>
        <w:rPr>
          <w:b/>
          <w:sz w:val="28"/>
          <w:szCs w:val="28"/>
        </w:rPr>
      </w:pPr>
      <w:r w:rsidRPr="00D8118B">
        <w:rPr>
          <w:b/>
          <w:sz w:val="28"/>
          <w:szCs w:val="28"/>
        </w:rPr>
        <w:t xml:space="preserve">ABSA BANK LIMITED                                    </w:t>
      </w:r>
      <w:r w:rsidR="00F702F9">
        <w:rPr>
          <w:b/>
          <w:sz w:val="28"/>
          <w:szCs w:val="28"/>
        </w:rPr>
        <w:t xml:space="preserve">    </w:t>
      </w:r>
      <w:r w:rsidRPr="00D8118B">
        <w:rPr>
          <w:b/>
          <w:sz w:val="28"/>
          <w:szCs w:val="28"/>
        </w:rPr>
        <w:t xml:space="preserve">SECOND RESPONDENT </w:t>
      </w:r>
    </w:p>
    <w:p w14:paraId="1A3B46EE" w14:textId="77777777" w:rsidR="00B149B5" w:rsidRPr="00D8118B" w:rsidRDefault="00B149B5" w:rsidP="00093628">
      <w:pPr>
        <w:tabs>
          <w:tab w:val="right" w:pos="8640"/>
        </w:tabs>
        <w:rPr>
          <w:b/>
          <w:sz w:val="28"/>
          <w:szCs w:val="28"/>
        </w:rPr>
      </w:pPr>
    </w:p>
    <w:p w14:paraId="4032B791" w14:textId="2D2D349A" w:rsidR="00B149B5" w:rsidRPr="00D8118B" w:rsidRDefault="00B149B5" w:rsidP="00B042BE">
      <w:pPr>
        <w:ind w:left="2160" w:hanging="2160"/>
        <w:contextualSpacing/>
        <w:rPr>
          <w:bCs/>
          <w:sz w:val="28"/>
          <w:szCs w:val="28"/>
        </w:rPr>
      </w:pPr>
      <w:r w:rsidRPr="00D8118B">
        <w:rPr>
          <w:b/>
          <w:bCs/>
          <w:sz w:val="28"/>
          <w:szCs w:val="28"/>
        </w:rPr>
        <w:t>Neutral citation:</w:t>
      </w:r>
      <w:r w:rsidRPr="00D8118B">
        <w:rPr>
          <w:bCs/>
          <w:i/>
          <w:sz w:val="28"/>
          <w:szCs w:val="28"/>
        </w:rPr>
        <w:tab/>
      </w:r>
      <w:proofErr w:type="spellStart"/>
      <w:r w:rsidR="00CC7F37" w:rsidRPr="00D8118B">
        <w:rPr>
          <w:bCs/>
          <w:i/>
          <w:sz w:val="28"/>
          <w:szCs w:val="28"/>
        </w:rPr>
        <w:t>Exxaro</w:t>
      </w:r>
      <w:proofErr w:type="spellEnd"/>
      <w:r w:rsidR="00CC7F37" w:rsidRPr="00D8118B">
        <w:rPr>
          <w:bCs/>
          <w:i/>
          <w:sz w:val="28"/>
          <w:szCs w:val="28"/>
        </w:rPr>
        <w:t xml:space="preserve"> Coal Mpumalanga (Pty) Ltd v TDS Projects Construction and </w:t>
      </w:r>
      <w:proofErr w:type="spellStart"/>
      <w:r w:rsidR="00CC7F37" w:rsidRPr="00D8118B">
        <w:rPr>
          <w:bCs/>
          <w:i/>
          <w:sz w:val="28"/>
          <w:szCs w:val="28"/>
        </w:rPr>
        <w:t>Newrak</w:t>
      </w:r>
      <w:proofErr w:type="spellEnd"/>
      <w:r w:rsidR="00CC7F37" w:rsidRPr="00D8118B">
        <w:rPr>
          <w:bCs/>
          <w:i/>
          <w:sz w:val="28"/>
          <w:szCs w:val="28"/>
        </w:rPr>
        <w:t xml:space="preserve"> Mining JV (Pty) Ltd </w:t>
      </w:r>
      <w:r w:rsidR="006009E3" w:rsidRPr="00D8118B">
        <w:rPr>
          <w:bCs/>
          <w:i/>
          <w:sz w:val="28"/>
          <w:szCs w:val="28"/>
        </w:rPr>
        <w:t xml:space="preserve">and Another </w:t>
      </w:r>
      <w:r w:rsidRPr="00D21208">
        <w:rPr>
          <w:sz w:val="28"/>
          <w:szCs w:val="28"/>
        </w:rPr>
        <w:t>(C</w:t>
      </w:r>
      <w:r w:rsidRPr="00D8118B">
        <w:rPr>
          <w:bCs/>
          <w:sz w:val="28"/>
          <w:szCs w:val="28"/>
        </w:rPr>
        <w:t>ase no</w:t>
      </w:r>
      <w:r w:rsidR="00CC7F37" w:rsidRPr="00D8118B">
        <w:rPr>
          <w:bCs/>
          <w:sz w:val="28"/>
          <w:szCs w:val="28"/>
        </w:rPr>
        <w:t xml:space="preserve"> 169/2021)</w:t>
      </w:r>
      <w:r w:rsidRPr="00D8118B">
        <w:rPr>
          <w:bCs/>
          <w:sz w:val="28"/>
          <w:szCs w:val="28"/>
        </w:rPr>
        <w:t xml:space="preserve"> [202</w:t>
      </w:r>
      <w:r w:rsidR="00CC7F37" w:rsidRPr="00D8118B">
        <w:rPr>
          <w:bCs/>
          <w:sz w:val="28"/>
          <w:szCs w:val="28"/>
        </w:rPr>
        <w:t>2</w:t>
      </w:r>
      <w:r w:rsidRPr="00D8118B">
        <w:rPr>
          <w:bCs/>
          <w:sz w:val="28"/>
          <w:szCs w:val="28"/>
        </w:rPr>
        <w:t>] ZASCA</w:t>
      </w:r>
      <w:r w:rsidR="00D21208">
        <w:rPr>
          <w:bCs/>
          <w:sz w:val="28"/>
          <w:szCs w:val="28"/>
        </w:rPr>
        <w:t xml:space="preserve"> 76</w:t>
      </w:r>
      <w:r w:rsidRPr="00D8118B">
        <w:rPr>
          <w:bCs/>
          <w:sz w:val="28"/>
          <w:szCs w:val="28"/>
        </w:rPr>
        <w:t xml:space="preserve"> (</w:t>
      </w:r>
      <w:r w:rsidR="00D21208">
        <w:rPr>
          <w:bCs/>
          <w:sz w:val="28"/>
          <w:szCs w:val="28"/>
        </w:rPr>
        <w:t>27 May 2022</w:t>
      </w:r>
      <w:r w:rsidRPr="00D8118B">
        <w:rPr>
          <w:bCs/>
          <w:sz w:val="28"/>
          <w:szCs w:val="28"/>
        </w:rPr>
        <w:t>)</w:t>
      </w:r>
    </w:p>
    <w:p w14:paraId="777030D5" w14:textId="156F8AE9" w:rsidR="00B149B5" w:rsidRPr="00D8118B" w:rsidRDefault="00B149B5" w:rsidP="00B042BE">
      <w:pPr>
        <w:ind w:left="1440" w:hanging="1440"/>
        <w:contextualSpacing/>
        <w:rPr>
          <w:b/>
          <w:bCs/>
          <w:i/>
          <w:iCs/>
          <w:sz w:val="28"/>
          <w:szCs w:val="28"/>
        </w:rPr>
      </w:pPr>
      <w:r w:rsidRPr="00D8118B">
        <w:rPr>
          <w:b/>
          <w:bCs/>
          <w:sz w:val="28"/>
          <w:szCs w:val="28"/>
        </w:rPr>
        <w:t>Coram:</w:t>
      </w:r>
      <w:r w:rsidRPr="00D8118B">
        <w:rPr>
          <w:sz w:val="28"/>
          <w:szCs w:val="28"/>
        </w:rPr>
        <w:tab/>
      </w:r>
      <w:r w:rsidR="00CC7F37" w:rsidRPr="00D8118B">
        <w:rPr>
          <w:sz w:val="28"/>
          <w:szCs w:val="28"/>
        </w:rPr>
        <w:t>SCHIPPERS</w:t>
      </w:r>
      <w:r w:rsidRPr="00D8118B">
        <w:rPr>
          <w:sz w:val="28"/>
          <w:szCs w:val="28"/>
        </w:rPr>
        <w:t xml:space="preserve">, </w:t>
      </w:r>
      <w:r w:rsidR="00CC7F37" w:rsidRPr="00D8118B">
        <w:rPr>
          <w:sz w:val="28"/>
          <w:szCs w:val="28"/>
        </w:rPr>
        <w:t xml:space="preserve">NICHOLLS, GORVEN and </w:t>
      </w:r>
      <w:r w:rsidRPr="00D8118B">
        <w:rPr>
          <w:sz w:val="28"/>
          <w:szCs w:val="28"/>
        </w:rPr>
        <w:t>MABINDLA-BOQWANA JJA</w:t>
      </w:r>
      <w:r w:rsidR="00CC7F37" w:rsidRPr="00D8118B">
        <w:rPr>
          <w:sz w:val="28"/>
          <w:szCs w:val="28"/>
        </w:rPr>
        <w:t xml:space="preserve"> and MEYER AJA</w:t>
      </w:r>
    </w:p>
    <w:p w14:paraId="1043B039" w14:textId="33B10F9F" w:rsidR="00B149B5" w:rsidRPr="00D8118B" w:rsidRDefault="00B149B5" w:rsidP="00B042BE">
      <w:pPr>
        <w:contextualSpacing/>
        <w:rPr>
          <w:b/>
          <w:bCs/>
          <w:sz w:val="28"/>
          <w:szCs w:val="28"/>
        </w:rPr>
      </w:pPr>
      <w:r w:rsidRPr="00D8118B">
        <w:rPr>
          <w:b/>
          <w:bCs/>
          <w:sz w:val="28"/>
          <w:szCs w:val="28"/>
        </w:rPr>
        <w:t>Heard</w:t>
      </w:r>
      <w:r w:rsidRPr="00D8118B">
        <w:rPr>
          <w:b/>
          <w:sz w:val="28"/>
          <w:szCs w:val="28"/>
        </w:rPr>
        <w:t>:</w:t>
      </w:r>
      <w:r w:rsidRPr="00D8118B">
        <w:rPr>
          <w:sz w:val="28"/>
          <w:szCs w:val="28"/>
        </w:rPr>
        <w:tab/>
      </w:r>
      <w:r w:rsidR="00CC7F37" w:rsidRPr="00D8118B">
        <w:rPr>
          <w:sz w:val="28"/>
          <w:szCs w:val="28"/>
        </w:rPr>
        <w:t>6 May 2022</w:t>
      </w:r>
      <w:r w:rsidRPr="00D8118B">
        <w:rPr>
          <w:sz w:val="28"/>
          <w:szCs w:val="28"/>
        </w:rPr>
        <w:t xml:space="preserve"> </w:t>
      </w:r>
    </w:p>
    <w:p w14:paraId="28D21EB4" w14:textId="536651EC" w:rsidR="00B149B5" w:rsidRPr="00D8118B" w:rsidRDefault="00B149B5" w:rsidP="00B042BE">
      <w:pPr>
        <w:contextualSpacing/>
        <w:rPr>
          <w:sz w:val="28"/>
          <w:szCs w:val="28"/>
        </w:rPr>
      </w:pPr>
      <w:r w:rsidRPr="00D8118B">
        <w:rPr>
          <w:b/>
          <w:bCs/>
          <w:sz w:val="28"/>
          <w:szCs w:val="28"/>
        </w:rPr>
        <w:t>Delivered</w:t>
      </w:r>
      <w:r w:rsidRPr="00D8118B">
        <w:rPr>
          <w:b/>
          <w:sz w:val="28"/>
          <w:szCs w:val="28"/>
        </w:rPr>
        <w:t>:</w:t>
      </w:r>
      <w:r w:rsidRPr="00D8118B">
        <w:rPr>
          <w:sz w:val="28"/>
          <w:szCs w:val="28"/>
        </w:rPr>
        <w:tab/>
      </w:r>
      <w:r w:rsidR="00535BF7" w:rsidRPr="00D8118B">
        <w:rPr>
          <w:sz w:val="28"/>
          <w:szCs w:val="28"/>
        </w:rPr>
        <w:t xml:space="preserve">27 May </w:t>
      </w:r>
      <w:r w:rsidRPr="00D8118B">
        <w:rPr>
          <w:sz w:val="28"/>
          <w:szCs w:val="28"/>
        </w:rPr>
        <w:t>202</w:t>
      </w:r>
      <w:r w:rsidR="00F9789F" w:rsidRPr="00D8118B">
        <w:rPr>
          <w:sz w:val="28"/>
          <w:szCs w:val="28"/>
        </w:rPr>
        <w:t>2</w:t>
      </w:r>
    </w:p>
    <w:p w14:paraId="1FF09FD5" w14:textId="276356D5" w:rsidR="00D21208" w:rsidRDefault="00B149B5" w:rsidP="00B042BE">
      <w:pPr>
        <w:contextualSpacing/>
        <w:rPr>
          <w:bCs/>
          <w:sz w:val="28"/>
          <w:szCs w:val="28"/>
        </w:rPr>
      </w:pPr>
      <w:r w:rsidRPr="00D8118B">
        <w:rPr>
          <w:b/>
          <w:bCs/>
          <w:sz w:val="28"/>
          <w:szCs w:val="28"/>
        </w:rPr>
        <w:lastRenderedPageBreak/>
        <w:t>Summary:</w:t>
      </w:r>
      <w:r w:rsidR="00F702F9">
        <w:rPr>
          <w:b/>
          <w:bCs/>
          <w:sz w:val="28"/>
          <w:szCs w:val="28"/>
        </w:rPr>
        <w:tab/>
      </w:r>
      <w:r w:rsidR="00DF6D3A" w:rsidRPr="00D8118B">
        <w:rPr>
          <w:bCs/>
          <w:sz w:val="28"/>
          <w:szCs w:val="28"/>
        </w:rPr>
        <w:t>Civil Procedure –</w:t>
      </w:r>
      <w:r w:rsidR="00535BF7" w:rsidRPr="00D8118B">
        <w:rPr>
          <w:bCs/>
          <w:sz w:val="28"/>
          <w:szCs w:val="28"/>
        </w:rPr>
        <w:t xml:space="preserve"> </w:t>
      </w:r>
      <w:r w:rsidR="00DF6D3A" w:rsidRPr="00D8118B">
        <w:rPr>
          <w:bCs/>
          <w:sz w:val="28"/>
          <w:szCs w:val="28"/>
        </w:rPr>
        <w:t>interdict to stop payment of d</w:t>
      </w:r>
      <w:r w:rsidR="00A20A54" w:rsidRPr="00D8118B">
        <w:rPr>
          <w:bCs/>
          <w:sz w:val="28"/>
          <w:szCs w:val="28"/>
        </w:rPr>
        <w:t>emand guarantee</w:t>
      </w:r>
      <w:r w:rsidR="00535BF7" w:rsidRPr="00D8118B">
        <w:rPr>
          <w:bCs/>
          <w:sz w:val="28"/>
          <w:szCs w:val="28"/>
        </w:rPr>
        <w:t xml:space="preserve"> – </w:t>
      </w:r>
      <w:r w:rsidR="00A20A54" w:rsidRPr="00D8118B">
        <w:rPr>
          <w:bCs/>
          <w:sz w:val="28"/>
          <w:szCs w:val="28"/>
        </w:rPr>
        <w:t>whether requirements for a final interdict satisfied –</w:t>
      </w:r>
      <w:r w:rsidR="0091707B" w:rsidRPr="00D8118B">
        <w:rPr>
          <w:bCs/>
          <w:sz w:val="28"/>
          <w:szCs w:val="28"/>
        </w:rPr>
        <w:t xml:space="preserve"> </w:t>
      </w:r>
      <w:r w:rsidR="00A20A54" w:rsidRPr="00D8118B">
        <w:rPr>
          <w:bCs/>
          <w:sz w:val="28"/>
          <w:szCs w:val="28"/>
        </w:rPr>
        <w:t xml:space="preserve">injury not </w:t>
      </w:r>
      <w:r w:rsidR="00DF6D3A" w:rsidRPr="00D8118B">
        <w:rPr>
          <w:bCs/>
          <w:sz w:val="28"/>
          <w:szCs w:val="28"/>
        </w:rPr>
        <w:t xml:space="preserve">established </w:t>
      </w:r>
      <w:r w:rsidR="00A20A54" w:rsidRPr="00D8118B">
        <w:rPr>
          <w:bCs/>
          <w:sz w:val="28"/>
          <w:szCs w:val="28"/>
        </w:rPr>
        <w:t xml:space="preserve">– alternative satisfactory remedy available. </w:t>
      </w:r>
    </w:p>
    <w:p w14:paraId="6FA6E4EE" w14:textId="65BF8651" w:rsidR="00D64385" w:rsidRPr="00D21208" w:rsidRDefault="00D21208" w:rsidP="00B042BE">
      <w:pPr>
        <w:rPr>
          <w:bCs/>
          <w:sz w:val="28"/>
          <w:szCs w:val="28"/>
        </w:rPr>
      </w:pPr>
      <w:r>
        <w:rPr>
          <w:bCs/>
          <w:sz w:val="28"/>
          <w:szCs w:val="28"/>
        </w:rPr>
        <w:br w:type="page"/>
      </w:r>
    </w:p>
    <w:p w14:paraId="755D5243" w14:textId="57D58EC3" w:rsidR="00B149B5" w:rsidRPr="00D8118B" w:rsidRDefault="00B149B5" w:rsidP="00A20A54">
      <w:pPr>
        <w:pBdr>
          <w:bottom w:val="single" w:sz="12" w:space="1" w:color="auto"/>
        </w:pBdr>
        <w:rPr>
          <w:sz w:val="28"/>
          <w:szCs w:val="28"/>
        </w:rPr>
      </w:pPr>
      <w:r w:rsidRPr="00D8118B">
        <w:rPr>
          <w:noProof/>
          <w:lang w:val="en-ZA" w:eastAsia="en-ZA"/>
        </w:rPr>
        <w:lastRenderedPageBreak/>
        <mc:AlternateContent>
          <mc:Choice Requires="wps">
            <w:drawing>
              <wp:anchor distT="0" distB="0" distL="114300" distR="114300" simplePos="0" relativeHeight="251658241" behindDoc="0" locked="0" layoutInCell="1" allowOverlap="1" wp14:anchorId="391641B3" wp14:editId="25E3491E">
                <wp:simplePos x="0" y="0"/>
                <wp:positionH relativeFrom="column">
                  <wp:posOffset>0</wp:posOffset>
                </wp:positionH>
                <wp:positionV relativeFrom="paragraph">
                  <wp:posOffset>114300</wp:posOffset>
                </wp:positionV>
                <wp:extent cx="0" cy="0"/>
                <wp:effectExtent l="0" t="0" r="0" b="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D6BBD31" id="Line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">
                <o:lock v:ext="edit" shapetype="f"/>
              </v:line>
            </w:pict>
          </mc:Fallback>
        </mc:AlternateContent>
      </w:r>
    </w:p>
    <w:p w14:paraId="205FC3F9" w14:textId="77777777" w:rsidR="00A0539F" w:rsidRPr="00D8118B" w:rsidRDefault="00A0539F" w:rsidP="00B042BE">
      <w:pPr>
        <w:pStyle w:val="Heading3"/>
        <w:pBdr>
          <w:bottom w:val="single" w:sz="12" w:space="12" w:color="auto"/>
        </w:pBdr>
        <w:jc w:val="center"/>
        <w:rPr>
          <w:rFonts w:ascii="Times New Roman" w:hAnsi="Times New Roman" w:cs="Times New Roman"/>
          <w:b/>
          <w:i w:val="0"/>
          <w:szCs w:val="28"/>
        </w:rPr>
      </w:pPr>
    </w:p>
    <w:p w14:paraId="1829BD2B" w14:textId="5A2D8BF9" w:rsidR="00B149B5" w:rsidRPr="00D8118B" w:rsidRDefault="00B149B5" w:rsidP="00B042BE">
      <w:pPr>
        <w:pStyle w:val="Heading3"/>
        <w:pBdr>
          <w:bottom w:val="single" w:sz="12" w:space="12" w:color="auto"/>
        </w:pBdr>
        <w:jc w:val="center"/>
        <w:rPr>
          <w:rFonts w:ascii="Times New Roman" w:hAnsi="Times New Roman" w:cs="Times New Roman"/>
          <w:b/>
          <w:i w:val="0"/>
          <w:szCs w:val="28"/>
        </w:rPr>
      </w:pPr>
      <w:r w:rsidRPr="00D8118B">
        <w:rPr>
          <w:rFonts w:ascii="Times New Roman" w:hAnsi="Times New Roman" w:cs="Times New Roman"/>
          <w:b/>
          <w:i w:val="0"/>
          <w:szCs w:val="28"/>
        </w:rPr>
        <w:t>ORDER</w:t>
      </w:r>
    </w:p>
    <w:p w14:paraId="144AD298" w14:textId="77777777" w:rsidR="00B149B5" w:rsidRPr="00D8118B" w:rsidRDefault="00B149B5" w:rsidP="00B042BE">
      <w:pPr>
        <w:rPr>
          <w:sz w:val="28"/>
          <w:szCs w:val="28"/>
        </w:rPr>
      </w:pPr>
    </w:p>
    <w:p w14:paraId="157DDEFF" w14:textId="77777777" w:rsidR="00B149B5" w:rsidRPr="00D8118B" w:rsidRDefault="00B149B5" w:rsidP="00B042BE">
      <w:pPr>
        <w:rPr>
          <w:bCs/>
          <w:sz w:val="28"/>
          <w:szCs w:val="28"/>
        </w:rPr>
      </w:pPr>
      <w:r w:rsidRPr="00D8118B">
        <w:rPr>
          <w:b/>
          <w:bCs/>
          <w:sz w:val="28"/>
          <w:szCs w:val="28"/>
        </w:rPr>
        <w:t xml:space="preserve">On appeal from: </w:t>
      </w:r>
      <w:r w:rsidRPr="00D8118B">
        <w:rPr>
          <w:bCs/>
          <w:sz w:val="28"/>
          <w:szCs w:val="28"/>
        </w:rPr>
        <w:t xml:space="preserve">Gauteng Division of the High Court, </w:t>
      </w:r>
      <w:r w:rsidR="00E42851" w:rsidRPr="00D8118B">
        <w:rPr>
          <w:bCs/>
          <w:sz w:val="28"/>
          <w:szCs w:val="28"/>
        </w:rPr>
        <w:t xml:space="preserve">Johannesburg </w:t>
      </w:r>
      <w:r w:rsidRPr="00D8118B">
        <w:rPr>
          <w:bCs/>
          <w:sz w:val="28"/>
          <w:szCs w:val="28"/>
        </w:rPr>
        <w:t>(</w:t>
      </w:r>
      <w:r w:rsidR="00E42851" w:rsidRPr="00D8118B">
        <w:rPr>
          <w:bCs/>
          <w:sz w:val="28"/>
          <w:szCs w:val="28"/>
        </w:rPr>
        <w:t>Lamont</w:t>
      </w:r>
      <w:r w:rsidRPr="00D8118B">
        <w:rPr>
          <w:bCs/>
          <w:sz w:val="28"/>
          <w:szCs w:val="28"/>
        </w:rPr>
        <w:t xml:space="preserve"> J, sitting as a court of first instance): </w:t>
      </w:r>
    </w:p>
    <w:p w14:paraId="18E0A4F2" w14:textId="3849282A" w:rsidR="00B149B5" w:rsidRPr="00D8118B" w:rsidRDefault="002E3788" w:rsidP="00B042BE">
      <w:pPr>
        <w:spacing w:before="120"/>
        <w:rPr>
          <w:bCs/>
          <w:sz w:val="28"/>
          <w:szCs w:val="28"/>
        </w:rPr>
      </w:pPr>
      <w:r w:rsidRPr="00D8118B">
        <w:rPr>
          <w:bCs/>
          <w:sz w:val="28"/>
          <w:szCs w:val="28"/>
        </w:rPr>
        <w:t>1</w:t>
      </w:r>
      <w:r w:rsidR="006009E3" w:rsidRPr="00D8118B">
        <w:rPr>
          <w:bCs/>
          <w:sz w:val="28"/>
          <w:szCs w:val="28"/>
        </w:rPr>
        <w:tab/>
      </w:r>
      <w:r w:rsidR="00B149B5" w:rsidRPr="00D8118B">
        <w:rPr>
          <w:bCs/>
          <w:sz w:val="28"/>
          <w:szCs w:val="28"/>
        </w:rPr>
        <w:t xml:space="preserve">The </w:t>
      </w:r>
      <w:r w:rsidR="004E389C" w:rsidRPr="00D8118B">
        <w:rPr>
          <w:bCs/>
          <w:sz w:val="28"/>
          <w:szCs w:val="28"/>
        </w:rPr>
        <w:t xml:space="preserve">application for leave to appeal </w:t>
      </w:r>
      <w:r w:rsidR="00B149B5" w:rsidRPr="00D8118B">
        <w:rPr>
          <w:bCs/>
          <w:sz w:val="28"/>
          <w:szCs w:val="28"/>
        </w:rPr>
        <w:t>is</w:t>
      </w:r>
      <w:r w:rsidRPr="00D8118B">
        <w:rPr>
          <w:bCs/>
          <w:sz w:val="28"/>
          <w:szCs w:val="28"/>
        </w:rPr>
        <w:t xml:space="preserve"> granted</w:t>
      </w:r>
      <w:r w:rsidR="00B149B5" w:rsidRPr="00D8118B">
        <w:rPr>
          <w:bCs/>
          <w:sz w:val="28"/>
          <w:szCs w:val="28"/>
        </w:rPr>
        <w:t xml:space="preserve"> with costs.</w:t>
      </w:r>
    </w:p>
    <w:p w14:paraId="7D249640" w14:textId="6996A707" w:rsidR="002E3788" w:rsidRPr="00D8118B" w:rsidRDefault="002E3788" w:rsidP="00B042BE">
      <w:pPr>
        <w:spacing w:before="120"/>
        <w:rPr>
          <w:bCs/>
          <w:sz w:val="28"/>
          <w:szCs w:val="28"/>
        </w:rPr>
      </w:pPr>
      <w:r w:rsidRPr="00D8118B">
        <w:rPr>
          <w:bCs/>
          <w:sz w:val="28"/>
          <w:szCs w:val="28"/>
        </w:rPr>
        <w:t>2</w:t>
      </w:r>
      <w:r w:rsidR="006009E3" w:rsidRPr="00D8118B">
        <w:rPr>
          <w:bCs/>
          <w:sz w:val="28"/>
          <w:szCs w:val="28"/>
        </w:rPr>
        <w:tab/>
      </w:r>
      <w:r w:rsidRPr="00D8118B">
        <w:rPr>
          <w:bCs/>
          <w:sz w:val="28"/>
          <w:szCs w:val="28"/>
        </w:rPr>
        <w:t>The appeal is upheld with costs.</w:t>
      </w:r>
    </w:p>
    <w:p w14:paraId="7FA51A3F" w14:textId="5392943A" w:rsidR="002E3788" w:rsidRPr="00D8118B" w:rsidRDefault="002E3788" w:rsidP="00093628">
      <w:pPr>
        <w:spacing w:before="120"/>
        <w:ind w:left="720" w:hanging="720"/>
        <w:rPr>
          <w:bCs/>
          <w:sz w:val="28"/>
          <w:szCs w:val="28"/>
        </w:rPr>
      </w:pPr>
      <w:r w:rsidRPr="00D8118B">
        <w:rPr>
          <w:bCs/>
          <w:sz w:val="28"/>
          <w:szCs w:val="28"/>
        </w:rPr>
        <w:t>3</w:t>
      </w:r>
      <w:r w:rsidR="006009E3" w:rsidRPr="00D8118B">
        <w:rPr>
          <w:bCs/>
          <w:sz w:val="28"/>
          <w:szCs w:val="28"/>
        </w:rPr>
        <w:tab/>
      </w:r>
      <w:r w:rsidRPr="00D8118B">
        <w:rPr>
          <w:bCs/>
          <w:sz w:val="28"/>
          <w:szCs w:val="28"/>
        </w:rPr>
        <w:t>The order of the high court is set aside and replaced with the following order:</w:t>
      </w:r>
    </w:p>
    <w:p w14:paraId="7BECCC9B" w14:textId="77777777" w:rsidR="002E3788" w:rsidRPr="00D8118B" w:rsidRDefault="002E3788" w:rsidP="00425567">
      <w:pPr>
        <w:spacing w:before="120"/>
        <w:ind w:firstLine="720"/>
        <w:rPr>
          <w:bCs/>
          <w:sz w:val="28"/>
          <w:szCs w:val="28"/>
        </w:rPr>
      </w:pPr>
      <w:r w:rsidRPr="00D8118B">
        <w:rPr>
          <w:bCs/>
          <w:sz w:val="28"/>
          <w:szCs w:val="28"/>
        </w:rPr>
        <w:t>‘The application is dismissed with costs.’</w:t>
      </w:r>
    </w:p>
    <w:p w14:paraId="467261E6" w14:textId="54CBFCDE" w:rsidR="00B149B5" w:rsidRPr="00D8118B" w:rsidRDefault="00B149B5" w:rsidP="00B042BE">
      <w:pPr>
        <w:pBdr>
          <w:bottom w:val="single" w:sz="12" w:space="1" w:color="auto"/>
        </w:pBdr>
        <w:rPr>
          <w:sz w:val="28"/>
          <w:szCs w:val="28"/>
        </w:rPr>
      </w:pPr>
      <w:r w:rsidRPr="00D8118B">
        <w:rPr>
          <w:noProof/>
          <w:sz w:val="28"/>
          <w:szCs w:val="28"/>
          <w:lang w:val="en-ZA" w:eastAsia="en-ZA"/>
        </w:rPr>
        <mc:AlternateContent>
          <mc:Choice Requires="wps">
            <w:drawing>
              <wp:anchor distT="0" distB="0" distL="114300" distR="114300" simplePos="0" relativeHeight="251658242" behindDoc="0" locked="0" layoutInCell="1" allowOverlap="1" wp14:anchorId="1B78DC9E" wp14:editId="06B44F47">
                <wp:simplePos x="0" y="0"/>
                <wp:positionH relativeFrom="column">
                  <wp:posOffset>0</wp:posOffset>
                </wp:positionH>
                <wp:positionV relativeFrom="paragraph">
                  <wp:posOffset>114300</wp:posOffset>
                </wp:positionV>
                <wp:extent cx="0" cy="0"/>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BFBBD36" id="Line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">
                <o:lock v:ext="edit" shapetype="f"/>
              </v:line>
            </w:pict>
          </mc:Fallback>
        </mc:AlternateContent>
      </w:r>
    </w:p>
    <w:p w14:paraId="2D229DAE" w14:textId="77777777" w:rsidR="00B149B5" w:rsidRPr="00D8118B" w:rsidRDefault="00B149B5" w:rsidP="00B042BE">
      <w:pPr>
        <w:pStyle w:val="Heading3"/>
        <w:pBdr>
          <w:bottom w:val="single" w:sz="12" w:space="12" w:color="auto"/>
        </w:pBdr>
        <w:jc w:val="center"/>
        <w:rPr>
          <w:rFonts w:ascii="Times New Roman" w:hAnsi="Times New Roman" w:cs="Times New Roman"/>
          <w:b/>
          <w:i w:val="0"/>
          <w:szCs w:val="28"/>
        </w:rPr>
      </w:pPr>
    </w:p>
    <w:p w14:paraId="5F8E4CDE" w14:textId="646B3196" w:rsidR="00B149B5" w:rsidRPr="00D8118B" w:rsidRDefault="00B149B5" w:rsidP="00425567">
      <w:pPr>
        <w:pStyle w:val="Heading3"/>
        <w:pBdr>
          <w:bottom w:val="single" w:sz="12" w:space="12" w:color="auto"/>
        </w:pBdr>
        <w:jc w:val="center"/>
      </w:pPr>
      <w:r w:rsidRPr="00D8118B">
        <w:rPr>
          <w:rFonts w:ascii="Times New Roman" w:hAnsi="Times New Roman" w:cs="Times New Roman"/>
          <w:b/>
          <w:i w:val="0"/>
          <w:szCs w:val="28"/>
        </w:rPr>
        <w:t>JUDGMENT</w:t>
      </w:r>
    </w:p>
    <w:p w14:paraId="2020D16F" w14:textId="2EE8DF16" w:rsidR="00B900DD" w:rsidRPr="00D8118B" w:rsidRDefault="00B149B5" w:rsidP="00093628">
      <w:pPr>
        <w:spacing w:before="240"/>
        <w:rPr>
          <w:b/>
          <w:sz w:val="28"/>
          <w:szCs w:val="28"/>
        </w:rPr>
      </w:pPr>
      <w:r w:rsidRPr="00D8118B">
        <w:rPr>
          <w:b/>
          <w:sz w:val="28"/>
          <w:szCs w:val="28"/>
        </w:rPr>
        <w:t>Mabindla-Boqwana JA (</w:t>
      </w:r>
      <w:r w:rsidR="00D8118B">
        <w:rPr>
          <w:b/>
          <w:sz w:val="28"/>
          <w:szCs w:val="28"/>
        </w:rPr>
        <w:t>Schippers, Nicholls and Gorven JJA and Meyer AJA c</w:t>
      </w:r>
      <w:r w:rsidR="00A96A22" w:rsidRPr="00D8118B">
        <w:rPr>
          <w:b/>
          <w:sz w:val="28"/>
          <w:szCs w:val="28"/>
        </w:rPr>
        <w:t>oncurring</w:t>
      </w:r>
      <w:r w:rsidRPr="00D8118B">
        <w:rPr>
          <w:b/>
          <w:sz w:val="28"/>
          <w:szCs w:val="28"/>
        </w:rPr>
        <w:t>)</w:t>
      </w:r>
    </w:p>
    <w:p w14:paraId="0414BB8B" w14:textId="77777777" w:rsidR="008D22AC" w:rsidRPr="00D8118B" w:rsidRDefault="008D22AC" w:rsidP="00093628">
      <w:pPr>
        <w:spacing w:before="240"/>
        <w:rPr>
          <w:sz w:val="28"/>
          <w:szCs w:val="28"/>
        </w:rPr>
      </w:pPr>
    </w:p>
    <w:p w14:paraId="260F4580" w14:textId="03419DD4" w:rsidR="00E10F58" w:rsidRPr="00D8118B" w:rsidRDefault="00E10F58" w:rsidP="00B042BE">
      <w:pPr>
        <w:numPr>
          <w:ilvl w:val="0"/>
          <w:numId w:val="1"/>
        </w:numPr>
        <w:tabs>
          <w:tab w:val="left" w:pos="0"/>
        </w:tabs>
        <w:ind w:left="0"/>
        <w:rPr>
          <w:sz w:val="28"/>
          <w:szCs w:val="28"/>
        </w:rPr>
      </w:pPr>
      <w:r w:rsidRPr="00D8118B">
        <w:rPr>
          <w:color w:val="000000" w:themeColor="text1"/>
          <w:sz w:val="28"/>
          <w:szCs w:val="28"/>
        </w:rPr>
        <w:t xml:space="preserve">This is an application for leave to appeal </w:t>
      </w:r>
      <w:r w:rsidR="009E730D" w:rsidRPr="00D8118B">
        <w:rPr>
          <w:color w:val="000000" w:themeColor="text1"/>
          <w:sz w:val="28"/>
          <w:szCs w:val="28"/>
        </w:rPr>
        <w:t>by</w:t>
      </w:r>
      <w:r w:rsidR="002E48F1" w:rsidRPr="00D8118B">
        <w:rPr>
          <w:color w:val="000000" w:themeColor="text1"/>
          <w:sz w:val="28"/>
          <w:szCs w:val="28"/>
        </w:rPr>
        <w:t xml:space="preserve"> the applicant,</w:t>
      </w:r>
      <w:r w:rsidR="009E730D" w:rsidRPr="00D8118B">
        <w:rPr>
          <w:color w:val="000000" w:themeColor="text1"/>
          <w:sz w:val="28"/>
          <w:szCs w:val="28"/>
        </w:rPr>
        <w:t xml:space="preserve"> </w:t>
      </w:r>
      <w:proofErr w:type="spellStart"/>
      <w:r w:rsidR="009E730D" w:rsidRPr="00D8118B">
        <w:rPr>
          <w:color w:val="000000" w:themeColor="text1"/>
          <w:sz w:val="28"/>
          <w:szCs w:val="28"/>
        </w:rPr>
        <w:t>Exxaro</w:t>
      </w:r>
      <w:proofErr w:type="spellEnd"/>
      <w:r w:rsidR="009E730D" w:rsidRPr="00D8118B">
        <w:rPr>
          <w:color w:val="000000" w:themeColor="text1"/>
          <w:sz w:val="28"/>
          <w:szCs w:val="28"/>
        </w:rPr>
        <w:t xml:space="preserve"> Coal Mpumalanga (Pty) Ltd (</w:t>
      </w:r>
      <w:proofErr w:type="spellStart"/>
      <w:r w:rsidR="009E730D" w:rsidRPr="00D8118B">
        <w:rPr>
          <w:color w:val="000000" w:themeColor="text1"/>
          <w:sz w:val="28"/>
          <w:szCs w:val="28"/>
        </w:rPr>
        <w:t>Exxaro</w:t>
      </w:r>
      <w:proofErr w:type="spellEnd"/>
      <w:r w:rsidR="009E730D" w:rsidRPr="00D8118B">
        <w:rPr>
          <w:color w:val="000000" w:themeColor="text1"/>
          <w:sz w:val="28"/>
          <w:szCs w:val="28"/>
        </w:rPr>
        <w:t xml:space="preserve">) </w:t>
      </w:r>
      <w:r w:rsidRPr="00D8118B">
        <w:rPr>
          <w:color w:val="000000" w:themeColor="text1"/>
          <w:sz w:val="28"/>
          <w:szCs w:val="28"/>
        </w:rPr>
        <w:t>against the judgment of the Gauteng Division of the High Court, Johannesburg (</w:t>
      </w:r>
      <w:r w:rsidR="00432957" w:rsidRPr="00D8118B">
        <w:rPr>
          <w:color w:val="000000" w:themeColor="text1"/>
          <w:sz w:val="28"/>
          <w:szCs w:val="28"/>
        </w:rPr>
        <w:t xml:space="preserve">the </w:t>
      </w:r>
      <w:r w:rsidRPr="00D8118B">
        <w:rPr>
          <w:color w:val="000000" w:themeColor="text1"/>
          <w:sz w:val="28"/>
          <w:szCs w:val="28"/>
        </w:rPr>
        <w:t xml:space="preserve">high court) and, if successful, the determination of the appeal itself. The </w:t>
      </w:r>
      <w:r w:rsidRPr="00D8118B">
        <w:rPr>
          <w:sz w:val="28"/>
          <w:szCs w:val="28"/>
        </w:rPr>
        <w:t>application was referred for oral argument in terms of s</w:t>
      </w:r>
      <w:r w:rsidR="006009E3" w:rsidRPr="00D8118B">
        <w:rPr>
          <w:sz w:val="28"/>
          <w:szCs w:val="28"/>
        </w:rPr>
        <w:t> </w:t>
      </w:r>
      <w:r w:rsidRPr="00D8118B">
        <w:rPr>
          <w:sz w:val="28"/>
          <w:szCs w:val="28"/>
        </w:rPr>
        <w:t>17(2)</w:t>
      </w:r>
      <w:r w:rsidRPr="00D8118B">
        <w:rPr>
          <w:i/>
          <w:sz w:val="28"/>
          <w:szCs w:val="28"/>
        </w:rPr>
        <w:t>(d)</w:t>
      </w:r>
      <w:r w:rsidRPr="00D8118B">
        <w:rPr>
          <w:sz w:val="28"/>
          <w:szCs w:val="28"/>
        </w:rPr>
        <w:t xml:space="preserve"> of the Superior Courts Act 10 of 2013.</w:t>
      </w:r>
    </w:p>
    <w:p w14:paraId="32E9FF7D" w14:textId="77777777" w:rsidR="00E10F58" w:rsidRPr="00D8118B" w:rsidRDefault="00E10F58" w:rsidP="00B042BE">
      <w:pPr>
        <w:tabs>
          <w:tab w:val="left" w:pos="0"/>
        </w:tabs>
        <w:rPr>
          <w:sz w:val="28"/>
          <w:szCs w:val="28"/>
        </w:rPr>
      </w:pPr>
    </w:p>
    <w:p w14:paraId="55FB3CE5" w14:textId="05B35A92" w:rsidR="009E730D" w:rsidRPr="00D8118B" w:rsidRDefault="002E48F1" w:rsidP="00B042BE">
      <w:pPr>
        <w:numPr>
          <w:ilvl w:val="0"/>
          <w:numId w:val="1"/>
        </w:numPr>
        <w:tabs>
          <w:tab w:val="left" w:pos="0"/>
        </w:tabs>
        <w:ind w:left="0"/>
        <w:rPr>
          <w:sz w:val="28"/>
          <w:szCs w:val="28"/>
        </w:rPr>
      </w:pPr>
      <w:bookmarkStart w:id="0" w:name="_Hlk102991525"/>
      <w:r w:rsidRPr="00D8118B">
        <w:rPr>
          <w:sz w:val="28"/>
          <w:szCs w:val="28"/>
        </w:rPr>
        <w:lastRenderedPageBreak/>
        <w:t xml:space="preserve">The facts of this case are uncomplicated. </w:t>
      </w:r>
      <w:r w:rsidR="009E730D" w:rsidRPr="00D8118B">
        <w:rPr>
          <w:sz w:val="28"/>
          <w:szCs w:val="28"/>
        </w:rPr>
        <w:t xml:space="preserve">On 12 July 2018, </w:t>
      </w:r>
      <w:proofErr w:type="spellStart"/>
      <w:r w:rsidR="009E730D" w:rsidRPr="00D8118B">
        <w:rPr>
          <w:sz w:val="28"/>
          <w:szCs w:val="28"/>
        </w:rPr>
        <w:t>Exxaro</w:t>
      </w:r>
      <w:proofErr w:type="spellEnd"/>
      <w:r w:rsidR="009E730D" w:rsidRPr="00D8118B">
        <w:rPr>
          <w:sz w:val="28"/>
          <w:szCs w:val="28"/>
        </w:rPr>
        <w:t xml:space="preserve"> and the first respondent, </w:t>
      </w:r>
      <w:r w:rsidR="009E730D" w:rsidRPr="00D8118B">
        <w:rPr>
          <w:bCs/>
          <w:sz w:val="28"/>
          <w:szCs w:val="28"/>
        </w:rPr>
        <w:t xml:space="preserve">TDS Projects Construction and </w:t>
      </w:r>
      <w:proofErr w:type="spellStart"/>
      <w:r w:rsidR="009E730D" w:rsidRPr="00D8118B">
        <w:rPr>
          <w:bCs/>
          <w:sz w:val="28"/>
          <w:szCs w:val="28"/>
        </w:rPr>
        <w:t>Newrak</w:t>
      </w:r>
      <w:proofErr w:type="spellEnd"/>
      <w:r w:rsidR="009E730D" w:rsidRPr="00D8118B">
        <w:rPr>
          <w:bCs/>
          <w:sz w:val="28"/>
          <w:szCs w:val="28"/>
        </w:rPr>
        <w:t xml:space="preserve"> Mining JV (Pty) Ltd</w:t>
      </w:r>
      <w:r w:rsidR="009E730D" w:rsidRPr="00D8118B">
        <w:rPr>
          <w:sz w:val="28"/>
          <w:szCs w:val="28"/>
        </w:rPr>
        <w:t xml:space="preserve"> (TDS)</w:t>
      </w:r>
      <w:r w:rsidR="00432957" w:rsidRPr="00D8118B">
        <w:rPr>
          <w:sz w:val="28"/>
          <w:szCs w:val="28"/>
        </w:rPr>
        <w:t>,</w:t>
      </w:r>
      <w:r w:rsidR="009E730D" w:rsidRPr="00D8118B">
        <w:rPr>
          <w:sz w:val="28"/>
          <w:szCs w:val="28"/>
        </w:rPr>
        <w:t xml:space="preserve"> entered into a written agreement for the construction of the mechanical and electrical plant, civil, building and engineering works in respect of a project described as the ‘Tunnel Development (Drill and Blast) and Infrastructure Development’ </w:t>
      </w:r>
      <w:r w:rsidRPr="00D8118B">
        <w:rPr>
          <w:sz w:val="28"/>
          <w:szCs w:val="28"/>
        </w:rPr>
        <w:t xml:space="preserve">concerning </w:t>
      </w:r>
      <w:proofErr w:type="spellStart"/>
      <w:r w:rsidR="008D22AC" w:rsidRPr="00D8118B">
        <w:rPr>
          <w:sz w:val="28"/>
          <w:szCs w:val="28"/>
        </w:rPr>
        <w:t>Exxaro’s</w:t>
      </w:r>
      <w:proofErr w:type="spellEnd"/>
      <w:r w:rsidR="008D22AC" w:rsidRPr="00D8118B">
        <w:rPr>
          <w:sz w:val="28"/>
          <w:szCs w:val="28"/>
        </w:rPr>
        <w:t xml:space="preserve"> </w:t>
      </w:r>
      <w:proofErr w:type="spellStart"/>
      <w:r w:rsidR="009E730D" w:rsidRPr="00D8118B">
        <w:rPr>
          <w:sz w:val="28"/>
          <w:szCs w:val="28"/>
        </w:rPr>
        <w:t>Matla</w:t>
      </w:r>
      <w:proofErr w:type="spellEnd"/>
      <w:r w:rsidR="009E730D" w:rsidRPr="00D8118B">
        <w:rPr>
          <w:sz w:val="28"/>
          <w:szCs w:val="28"/>
        </w:rPr>
        <w:t xml:space="preserve"> Coal Mine North West Access Project (the contract). </w:t>
      </w:r>
    </w:p>
    <w:bookmarkEnd w:id="0"/>
    <w:p w14:paraId="225BF8E8" w14:textId="77777777" w:rsidR="009E730D" w:rsidRPr="00D8118B" w:rsidRDefault="009E730D" w:rsidP="00093628">
      <w:pPr>
        <w:rPr>
          <w:sz w:val="28"/>
          <w:szCs w:val="28"/>
        </w:rPr>
      </w:pPr>
    </w:p>
    <w:p w14:paraId="3D689C58" w14:textId="028B9252" w:rsidR="009E730D" w:rsidRPr="00D8118B" w:rsidRDefault="002E48F1" w:rsidP="00B042BE">
      <w:pPr>
        <w:numPr>
          <w:ilvl w:val="0"/>
          <w:numId w:val="1"/>
        </w:numPr>
        <w:tabs>
          <w:tab w:val="left" w:pos="0"/>
        </w:tabs>
        <w:ind w:left="0"/>
        <w:rPr>
          <w:sz w:val="28"/>
          <w:szCs w:val="28"/>
        </w:rPr>
      </w:pPr>
      <w:bookmarkStart w:id="1" w:name="_Hlk102991717"/>
      <w:r w:rsidRPr="00D8118B">
        <w:rPr>
          <w:sz w:val="28"/>
          <w:szCs w:val="28"/>
        </w:rPr>
        <w:t xml:space="preserve">TDS </w:t>
      </w:r>
      <w:r w:rsidR="00DA0CB4" w:rsidRPr="00D8118B">
        <w:rPr>
          <w:sz w:val="28"/>
          <w:szCs w:val="28"/>
        </w:rPr>
        <w:t>procured</w:t>
      </w:r>
      <w:r w:rsidR="009E730D" w:rsidRPr="00D8118B">
        <w:rPr>
          <w:sz w:val="28"/>
          <w:szCs w:val="28"/>
        </w:rPr>
        <w:t xml:space="preserve"> a performance guarantee </w:t>
      </w:r>
      <w:r w:rsidRPr="00D8118B">
        <w:rPr>
          <w:sz w:val="28"/>
          <w:szCs w:val="28"/>
        </w:rPr>
        <w:t xml:space="preserve">for the due fulfilment of its </w:t>
      </w:r>
      <w:r w:rsidR="00DA0CB4" w:rsidRPr="00D8118B">
        <w:rPr>
          <w:sz w:val="28"/>
          <w:szCs w:val="28"/>
        </w:rPr>
        <w:t>obligations in</w:t>
      </w:r>
      <w:r w:rsidR="009E730D" w:rsidRPr="00D8118B">
        <w:rPr>
          <w:sz w:val="28"/>
          <w:szCs w:val="28"/>
        </w:rPr>
        <w:t xml:space="preserve"> the amount of R32 082 012.90</w:t>
      </w:r>
      <w:r w:rsidR="00100237" w:rsidRPr="00D8118B">
        <w:rPr>
          <w:sz w:val="28"/>
          <w:szCs w:val="28"/>
        </w:rPr>
        <w:t>,</w:t>
      </w:r>
      <w:r w:rsidR="00080605" w:rsidRPr="00D8118B">
        <w:rPr>
          <w:sz w:val="28"/>
          <w:szCs w:val="28"/>
        </w:rPr>
        <w:t xml:space="preserve"> </w:t>
      </w:r>
      <w:r w:rsidR="00DA0CB4" w:rsidRPr="00D8118B">
        <w:rPr>
          <w:sz w:val="28"/>
          <w:szCs w:val="28"/>
        </w:rPr>
        <w:t>as required by the contract</w:t>
      </w:r>
      <w:r w:rsidR="00080605" w:rsidRPr="00D8118B">
        <w:rPr>
          <w:sz w:val="28"/>
          <w:szCs w:val="28"/>
        </w:rPr>
        <w:t xml:space="preserve">. </w:t>
      </w:r>
      <w:r w:rsidR="003B1857" w:rsidRPr="00D8118B">
        <w:rPr>
          <w:sz w:val="28"/>
          <w:szCs w:val="28"/>
        </w:rPr>
        <w:t xml:space="preserve">The guarantee </w:t>
      </w:r>
      <w:r w:rsidR="009E730D" w:rsidRPr="00D8118B">
        <w:rPr>
          <w:sz w:val="28"/>
          <w:szCs w:val="28"/>
        </w:rPr>
        <w:t>was issued by the second respondent, ABSA Bank Ltd (ABSA)</w:t>
      </w:r>
      <w:r w:rsidR="00432957" w:rsidRPr="00D8118B">
        <w:rPr>
          <w:sz w:val="28"/>
          <w:szCs w:val="28"/>
        </w:rPr>
        <w:t>,</w:t>
      </w:r>
      <w:r w:rsidR="009E730D" w:rsidRPr="00D8118B">
        <w:rPr>
          <w:sz w:val="28"/>
          <w:szCs w:val="28"/>
        </w:rPr>
        <w:t xml:space="preserve"> on 22 August 2018</w:t>
      </w:r>
      <w:r w:rsidR="00B74872" w:rsidRPr="00D8118B">
        <w:rPr>
          <w:sz w:val="28"/>
          <w:szCs w:val="28"/>
        </w:rPr>
        <w:t>,</w:t>
      </w:r>
      <w:r w:rsidR="00100237" w:rsidRPr="00D8118B">
        <w:rPr>
          <w:sz w:val="28"/>
          <w:szCs w:val="28"/>
        </w:rPr>
        <w:t xml:space="preserve"> </w:t>
      </w:r>
      <w:r w:rsidR="009E730D" w:rsidRPr="00D8118B">
        <w:rPr>
          <w:sz w:val="28"/>
          <w:szCs w:val="28"/>
        </w:rPr>
        <w:t xml:space="preserve">subject to the following material terms: (a) the guaranteed amount would be paid to </w:t>
      </w:r>
      <w:proofErr w:type="spellStart"/>
      <w:r w:rsidRPr="00D8118B">
        <w:rPr>
          <w:sz w:val="28"/>
          <w:szCs w:val="28"/>
        </w:rPr>
        <w:t>Exxaro</w:t>
      </w:r>
      <w:proofErr w:type="spellEnd"/>
      <w:r w:rsidRPr="00D8118B">
        <w:rPr>
          <w:sz w:val="28"/>
          <w:szCs w:val="28"/>
        </w:rPr>
        <w:t xml:space="preserve"> </w:t>
      </w:r>
      <w:r w:rsidR="009E730D" w:rsidRPr="00D8118B">
        <w:rPr>
          <w:sz w:val="28"/>
          <w:szCs w:val="28"/>
        </w:rPr>
        <w:t xml:space="preserve">on receipt by ABSA of a written demand stating that such an amount </w:t>
      </w:r>
      <w:r w:rsidR="00250A93" w:rsidRPr="00D8118B">
        <w:rPr>
          <w:sz w:val="28"/>
          <w:szCs w:val="28"/>
        </w:rPr>
        <w:t xml:space="preserve">was </w:t>
      </w:r>
      <w:r w:rsidR="009E730D" w:rsidRPr="00D8118B">
        <w:rPr>
          <w:sz w:val="28"/>
          <w:szCs w:val="28"/>
        </w:rPr>
        <w:t>due and payable; (b) written demands would be signed by a person who warrant</w:t>
      </w:r>
      <w:r w:rsidR="00A74D01" w:rsidRPr="00D8118B">
        <w:rPr>
          <w:sz w:val="28"/>
          <w:szCs w:val="28"/>
        </w:rPr>
        <w:t>ed</w:t>
      </w:r>
      <w:r w:rsidR="009E730D" w:rsidRPr="00D8118B">
        <w:rPr>
          <w:sz w:val="28"/>
          <w:szCs w:val="28"/>
        </w:rPr>
        <w:t xml:space="preserve"> that he/she </w:t>
      </w:r>
      <w:r w:rsidR="00250A93" w:rsidRPr="00D8118B">
        <w:rPr>
          <w:sz w:val="28"/>
          <w:szCs w:val="28"/>
        </w:rPr>
        <w:t xml:space="preserve">was </w:t>
      </w:r>
      <w:r w:rsidR="009E730D" w:rsidRPr="00D8118B">
        <w:rPr>
          <w:sz w:val="28"/>
          <w:szCs w:val="28"/>
        </w:rPr>
        <w:t>duly authorised to</w:t>
      </w:r>
      <w:r w:rsidR="00250A93" w:rsidRPr="00D8118B">
        <w:rPr>
          <w:sz w:val="28"/>
          <w:szCs w:val="28"/>
        </w:rPr>
        <w:t xml:space="preserve"> do so</w:t>
      </w:r>
      <w:r w:rsidR="009E730D" w:rsidRPr="00D8118B">
        <w:rPr>
          <w:sz w:val="28"/>
          <w:szCs w:val="28"/>
        </w:rPr>
        <w:t xml:space="preserve">; (c) the guarantee </w:t>
      </w:r>
      <w:r w:rsidR="00250A93" w:rsidRPr="00D8118B">
        <w:rPr>
          <w:sz w:val="28"/>
          <w:szCs w:val="28"/>
        </w:rPr>
        <w:t xml:space="preserve">would </w:t>
      </w:r>
      <w:r w:rsidR="009E730D" w:rsidRPr="00D8118B">
        <w:rPr>
          <w:sz w:val="28"/>
          <w:szCs w:val="28"/>
        </w:rPr>
        <w:t xml:space="preserve">expire on 19 June 2020 (the expiry date) and any claim and statement </w:t>
      </w:r>
      <w:r w:rsidR="00634DC6" w:rsidRPr="00D8118B">
        <w:rPr>
          <w:sz w:val="28"/>
          <w:szCs w:val="28"/>
        </w:rPr>
        <w:t xml:space="preserve">would have to be </w:t>
      </w:r>
      <w:r w:rsidR="009E730D" w:rsidRPr="00D8118B">
        <w:rPr>
          <w:sz w:val="28"/>
          <w:szCs w:val="28"/>
        </w:rPr>
        <w:t>received by ABSA before the expiry date;</w:t>
      </w:r>
      <w:r w:rsidR="006009E3" w:rsidRPr="00D8118B">
        <w:rPr>
          <w:sz w:val="28"/>
          <w:szCs w:val="28"/>
        </w:rPr>
        <w:t xml:space="preserve"> and</w:t>
      </w:r>
      <w:r w:rsidR="009E730D" w:rsidRPr="00D8118B">
        <w:rPr>
          <w:sz w:val="28"/>
          <w:szCs w:val="28"/>
        </w:rPr>
        <w:t xml:space="preserve"> (d) after the expiry date</w:t>
      </w:r>
      <w:r w:rsidR="00860AF1" w:rsidRPr="00D8118B">
        <w:rPr>
          <w:sz w:val="28"/>
          <w:szCs w:val="28"/>
        </w:rPr>
        <w:t>,</w:t>
      </w:r>
      <w:r w:rsidR="009E730D" w:rsidRPr="00D8118B">
        <w:rPr>
          <w:sz w:val="28"/>
          <w:szCs w:val="28"/>
        </w:rPr>
        <w:t xml:space="preserve"> the guarantee would lapse and any statement received </w:t>
      </w:r>
      <w:r w:rsidR="00634DC6" w:rsidRPr="00D8118B">
        <w:rPr>
          <w:sz w:val="28"/>
          <w:szCs w:val="28"/>
        </w:rPr>
        <w:t xml:space="preserve">thereafter </w:t>
      </w:r>
      <w:r w:rsidR="009E730D" w:rsidRPr="00D8118B">
        <w:rPr>
          <w:sz w:val="28"/>
          <w:szCs w:val="28"/>
        </w:rPr>
        <w:t xml:space="preserve">would be ineffective. </w:t>
      </w:r>
    </w:p>
    <w:bookmarkEnd w:id="1"/>
    <w:p w14:paraId="7142C16B" w14:textId="77777777" w:rsidR="009E730D" w:rsidRPr="00D8118B" w:rsidRDefault="009E730D" w:rsidP="00093628">
      <w:pPr>
        <w:rPr>
          <w:sz w:val="28"/>
          <w:szCs w:val="28"/>
        </w:rPr>
      </w:pPr>
    </w:p>
    <w:p w14:paraId="290323D4" w14:textId="55A0E2B2" w:rsidR="009E730D" w:rsidRPr="00D8118B" w:rsidRDefault="009E730D" w:rsidP="00B042BE">
      <w:pPr>
        <w:numPr>
          <w:ilvl w:val="0"/>
          <w:numId w:val="1"/>
        </w:numPr>
        <w:tabs>
          <w:tab w:val="left" w:pos="0"/>
        </w:tabs>
        <w:ind w:left="0"/>
        <w:rPr>
          <w:sz w:val="28"/>
          <w:szCs w:val="28"/>
        </w:rPr>
      </w:pPr>
      <w:bookmarkStart w:id="2" w:name="_Hlk102992120"/>
      <w:r w:rsidRPr="00D8118B">
        <w:rPr>
          <w:sz w:val="28"/>
          <w:szCs w:val="28"/>
        </w:rPr>
        <w:t xml:space="preserve">On 9 June 2020, </w:t>
      </w:r>
      <w:proofErr w:type="spellStart"/>
      <w:r w:rsidRPr="00D8118B">
        <w:rPr>
          <w:sz w:val="28"/>
          <w:szCs w:val="28"/>
        </w:rPr>
        <w:t>Exxaro</w:t>
      </w:r>
      <w:proofErr w:type="spellEnd"/>
      <w:r w:rsidRPr="00D8118B">
        <w:rPr>
          <w:sz w:val="28"/>
          <w:szCs w:val="28"/>
        </w:rPr>
        <w:t xml:space="preserve"> sent a letter to TDS terminating the contract with immediate effect on the basis that TDS had committed breaches which it failed to remedy. </w:t>
      </w:r>
      <w:r w:rsidR="002D708D" w:rsidRPr="00D8118B">
        <w:rPr>
          <w:sz w:val="28"/>
          <w:szCs w:val="28"/>
        </w:rPr>
        <w:t xml:space="preserve">TDS </w:t>
      </w:r>
      <w:r w:rsidR="0063373D" w:rsidRPr="00D8118B">
        <w:rPr>
          <w:sz w:val="28"/>
          <w:szCs w:val="28"/>
        </w:rPr>
        <w:t xml:space="preserve">denies having committed those breaches. </w:t>
      </w:r>
      <w:r w:rsidR="005F48D0" w:rsidRPr="00D8118B">
        <w:rPr>
          <w:sz w:val="28"/>
          <w:szCs w:val="28"/>
        </w:rPr>
        <w:t>The nature of those</w:t>
      </w:r>
      <w:r w:rsidR="001D4936" w:rsidRPr="00D8118B">
        <w:rPr>
          <w:sz w:val="28"/>
          <w:szCs w:val="28"/>
        </w:rPr>
        <w:t xml:space="preserve"> alleged</w:t>
      </w:r>
      <w:r w:rsidR="005F48D0" w:rsidRPr="00D8118B">
        <w:rPr>
          <w:sz w:val="28"/>
          <w:szCs w:val="28"/>
        </w:rPr>
        <w:t xml:space="preserve"> breaches </w:t>
      </w:r>
      <w:r w:rsidR="002D708D" w:rsidRPr="00D8118B">
        <w:rPr>
          <w:sz w:val="28"/>
          <w:szCs w:val="28"/>
        </w:rPr>
        <w:t>need not be dealt with in</w:t>
      </w:r>
      <w:r w:rsidR="005F48D0" w:rsidRPr="00D8118B">
        <w:rPr>
          <w:sz w:val="28"/>
          <w:szCs w:val="28"/>
        </w:rPr>
        <w:t xml:space="preserve"> this judgment. On 10 June 2020, </w:t>
      </w:r>
      <w:proofErr w:type="spellStart"/>
      <w:r w:rsidRPr="00D8118B">
        <w:rPr>
          <w:sz w:val="28"/>
          <w:szCs w:val="28"/>
        </w:rPr>
        <w:t>Exxaro</w:t>
      </w:r>
      <w:proofErr w:type="spellEnd"/>
      <w:r w:rsidRPr="00D8118B">
        <w:rPr>
          <w:sz w:val="28"/>
          <w:szCs w:val="28"/>
        </w:rPr>
        <w:t xml:space="preserve"> sought to invoke its rights under the guarantee</w:t>
      </w:r>
      <w:r w:rsidR="005F48D0" w:rsidRPr="00D8118B">
        <w:rPr>
          <w:sz w:val="28"/>
          <w:szCs w:val="28"/>
        </w:rPr>
        <w:t xml:space="preserve"> by sending </w:t>
      </w:r>
      <w:r w:rsidR="00550C5A" w:rsidRPr="00D8118B">
        <w:rPr>
          <w:sz w:val="28"/>
          <w:szCs w:val="28"/>
        </w:rPr>
        <w:t>a demand</w:t>
      </w:r>
      <w:r w:rsidR="005F48D0" w:rsidRPr="00D8118B">
        <w:rPr>
          <w:sz w:val="28"/>
          <w:szCs w:val="28"/>
        </w:rPr>
        <w:t xml:space="preserve"> to ABSA</w:t>
      </w:r>
      <w:r w:rsidR="00550C5A" w:rsidRPr="00D8118B">
        <w:rPr>
          <w:sz w:val="28"/>
          <w:szCs w:val="28"/>
        </w:rPr>
        <w:t xml:space="preserve"> claiming </w:t>
      </w:r>
      <w:r w:rsidR="005F48D0" w:rsidRPr="00D8118B">
        <w:rPr>
          <w:sz w:val="28"/>
          <w:szCs w:val="28"/>
        </w:rPr>
        <w:t xml:space="preserve">that </w:t>
      </w:r>
      <w:r w:rsidR="00550C5A" w:rsidRPr="00D8118B">
        <w:rPr>
          <w:sz w:val="28"/>
          <w:szCs w:val="28"/>
        </w:rPr>
        <w:t xml:space="preserve">the guaranteed amount </w:t>
      </w:r>
      <w:r w:rsidR="005F48D0" w:rsidRPr="00D8118B">
        <w:rPr>
          <w:sz w:val="28"/>
          <w:szCs w:val="28"/>
        </w:rPr>
        <w:t xml:space="preserve">had become </w:t>
      </w:r>
      <w:r w:rsidR="00550C5A" w:rsidRPr="00D8118B">
        <w:rPr>
          <w:sz w:val="28"/>
          <w:szCs w:val="28"/>
        </w:rPr>
        <w:t xml:space="preserve">payable </w:t>
      </w:r>
      <w:r w:rsidR="00550C5A" w:rsidRPr="00D8118B">
        <w:rPr>
          <w:sz w:val="28"/>
          <w:szCs w:val="28"/>
        </w:rPr>
        <w:lastRenderedPageBreak/>
        <w:t xml:space="preserve">as a result </w:t>
      </w:r>
      <w:r w:rsidR="00860AF1" w:rsidRPr="00D8118B">
        <w:rPr>
          <w:sz w:val="28"/>
          <w:szCs w:val="28"/>
        </w:rPr>
        <w:t xml:space="preserve">of </w:t>
      </w:r>
      <w:r w:rsidR="00550C5A" w:rsidRPr="00D8118B">
        <w:rPr>
          <w:sz w:val="28"/>
          <w:szCs w:val="28"/>
        </w:rPr>
        <w:t>TDS’s failure to perform in terms of the contract (</w:t>
      </w:r>
      <w:r w:rsidR="00AE05FB" w:rsidRPr="00D8118B">
        <w:rPr>
          <w:sz w:val="28"/>
          <w:szCs w:val="28"/>
        </w:rPr>
        <w:t xml:space="preserve">the </w:t>
      </w:r>
      <w:r w:rsidR="00550C5A" w:rsidRPr="00D8118B">
        <w:rPr>
          <w:sz w:val="28"/>
          <w:szCs w:val="28"/>
        </w:rPr>
        <w:t xml:space="preserve">first demand). </w:t>
      </w:r>
      <w:r w:rsidR="005F48D0" w:rsidRPr="00D8118B">
        <w:rPr>
          <w:sz w:val="28"/>
          <w:szCs w:val="28"/>
        </w:rPr>
        <w:t xml:space="preserve">In response, ABSA advised </w:t>
      </w:r>
      <w:proofErr w:type="spellStart"/>
      <w:r w:rsidR="005F48D0" w:rsidRPr="00D8118B">
        <w:rPr>
          <w:sz w:val="28"/>
          <w:szCs w:val="28"/>
        </w:rPr>
        <w:t>Exxaro</w:t>
      </w:r>
      <w:proofErr w:type="spellEnd"/>
      <w:r w:rsidR="005F48D0" w:rsidRPr="00D8118B">
        <w:rPr>
          <w:sz w:val="28"/>
          <w:szCs w:val="28"/>
        </w:rPr>
        <w:t xml:space="preserve"> that t</w:t>
      </w:r>
      <w:r w:rsidR="00550C5A" w:rsidRPr="00D8118B">
        <w:rPr>
          <w:sz w:val="28"/>
          <w:szCs w:val="28"/>
        </w:rPr>
        <w:t xml:space="preserve">he demand was </w:t>
      </w:r>
      <w:r w:rsidR="00A678E0" w:rsidRPr="00D8118B">
        <w:rPr>
          <w:sz w:val="28"/>
          <w:szCs w:val="28"/>
        </w:rPr>
        <w:t>‘</w:t>
      </w:r>
      <w:r w:rsidR="00550C5A" w:rsidRPr="00D8118B">
        <w:rPr>
          <w:sz w:val="28"/>
          <w:szCs w:val="28"/>
        </w:rPr>
        <w:t>deemed unfit</w:t>
      </w:r>
      <w:r w:rsidR="00A678E0" w:rsidRPr="00D8118B">
        <w:rPr>
          <w:sz w:val="28"/>
          <w:szCs w:val="28"/>
        </w:rPr>
        <w:t xml:space="preserve"> for processing’ by ABSA on various bases, which are </w:t>
      </w:r>
      <w:r w:rsidR="00100237" w:rsidRPr="00D8118B">
        <w:rPr>
          <w:sz w:val="28"/>
          <w:szCs w:val="28"/>
        </w:rPr>
        <w:t xml:space="preserve">also </w:t>
      </w:r>
      <w:r w:rsidR="00A678E0" w:rsidRPr="00D8118B">
        <w:rPr>
          <w:sz w:val="28"/>
          <w:szCs w:val="28"/>
        </w:rPr>
        <w:t xml:space="preserve">not necessary to </w:t>
      </w:r>
      <w:r w:rsidR="00100237" w:rsidRPr="00D8118B">
        <w:rPr>
          <w:sz w:val="28"/>
          <w:szCs w:val="28"/>
        </w:rPr>
        <w:t>state</w:t>
      </w:r>
      <w:r w:rsidR="00A678E0" w:rsidRPr="00D8118B">
        <w:rPr>
          <w:sz w:val="28"/>
          <w:szCs w:val="28"/>
        </w:rPr>
        <w:t xml:space="preserve">. </w:t>
      </w:r>
      <w:r w:rsidR="00943C05" w:rsidRPr="00D8118B">
        <w:rPr>
          <w:sz w:val="28"/>
          <w:szCs w:val="28"/>
        </w:rPr>
        <w:t xml:space="preserve">This was </w:t>
      </w:r>
      <w:r w:rsidR="00527D7A" w:rsidRPr="00D8118B">
        <w:rPr>
          <w:sz w:val="28"/>
          <w:szCs w:val="28"/>
        </w:rPr>
        <w:t xml:space="preserve">followed by </w:t>
      </w:r>
      <w:r w:rsidR="00943C05" w:rsidRPr="00D8118B">
        <w:rPr>
          <w:sz w:val="28"/>
          <w:szCs w:val="28"/>
        </w:rPr>
        <w:t xml:space="preserve">a letter from </w:t>
      </w:r>
      <w:proofErr w:type="spellStart"/>
      <w:r w:rsidR="00943C05" w:rsidRPr="00D8118B">
        <w:rPr>
          <w:sz w:val="28"/>
          <w:szCs w:val="28"/>
        </w:rPr>
        <w:t>Exxaro</w:t>
      </w:r>
      <w:proofErr w:type="spellEnd"/>
      <w:r w:rsidR="00943C05" w:rsidRPr="00D8118B">
        <w:rPr>
          <w:sz w:val="28"/>
          <w:szCs w:val="28"/>
        </w:rPr>
        <w:t xml:space="preserve"> suspending the</w:t>
      </w:r>
      <w:r w:rsidR="00AE05FB" w:rsidRPr="00D8118B">
        <w:rPr>
          <w:sz w:val="28"/>
          <w:szCs w:val="28"/>
        </w:rPr>
        <w:t xml:space="preserve"> first</w:t>
      </w:r>
      <w:r w:rsidR="00943C05" w:rsidRPr="00D8118B">
        <w:rPr>
          <w:sz w:val="28"/>
          <w:szCs w:val="28"/>
        </w:rPr>
        <w:t xml:space="preserve"> </w:t>
      </w:r>
      <w:r w:rsidR="00527D7A" w:rsidRPr="00D8118B">
        <w:rPr>
          <w:sz w:val="28"/>
          <w:szCs w:val="28"/>
        </w:rPr>
        <w:t>demand. On 19</w:t>
      </w:r>
      <w:r w:rsidR="00ED1C22" w:rsidRPr="00D8118B">
        <w:rPr>
          <w:sz w:val="28"/>
          <w:szCs w:val="28"/>
        </w:rPr>
        <w:t> </w:t>
      </w:r>
      <w:r w:rsidR="00527D7A" w:rsidRPr="00D8118B">
        <w:rPr>
          <w:sz w:val="28"/>
          <w:szCs w:val="28"/>
        </w:rPr>
        <w:t xml:space="preserve">June 2020, </w:t>
      </w:r>
      <w:proofErr w:type="spellStart"/>
      <w:r w:rsidR="00943C05" w:rsidRPr="00D8118B">
        <w:rPr>
          <w:sz w:val="28"/>
          <w:szCs w:val="28"/>
        </w:rPr>
        <w:t>Exxaro</w:t>
      </w:r>
      <w:proofErr w:type="spellEnd"/>
      <w:r w:rsidR="00443515" w:rsidRPr="00D8118B">
        <w:rPr>
          <w:sz w:val="28"/>
          <w:szCs w:val="28"/>
        </w:rPr>
        <w:t xml:space="preserve"> sent another </w:t>
      </w:r>
      <w:r w:rsidR="00924427" w:rsidRPr="00D8118B">
        <w:rPr>
          <w:sz w:val="28"/>
          <w:szCs w:val="28"/>
        </w:rPr>
        <w:t xml:space="preserve">letter </w:t>
      </w:r>
      <w:r w:rsidR="007E6D8C" w:rsidRPr="00D8118B">
        <w:rPr>
          <w:sz w:val="28"/>
          <w:szCs w:val="28"/>
        </w:rPr>
        <w:t xml:space="preserve">to ABSA </w:t>
      </w:r>
      <w:r w:rsidR="00443515" w:rsidRPr="00D8118B">
        <w:rPr>
          <w:sz w:val="28"/>
          <w:szCs w:val="28"/>
        </w:rPr>
        <w:t>retracting the suspension</w:t>
      </w:r>
      <w:r w:rsidR="00924427" w:rsidRPr="00D8118B">
        <w:rPr>
          <w:sz w:val="28"/>
          <w:szCs w:val="28"/>
        </w:rPr>
        <w:t xml:space="preserve"> and claiming a lesser amount of R22 165 055.66</w:t>
      </w:r>
      <w:r w:rsidR="00941A1E" w:rsidRPr="00D8118B">
        <w:rPr>
          <w:sz w:val="28"/>
          <w:szCs w:val="28"/>
        </w:rPr>
        <w:t xml:space="preserve"> (the second </w:t>
      </w:r>
      <w:r w:rsidR="0081193F" w:rsidRPr="00D8118B">
        <w:rPr>
          <w:sz w:val="28"/>
          <w:szCs w:val="28"/>
        </w:rPr>
        <w:t>demand</w:t>
      </w:r>
      <w:r w:rsidR="00941A1E" w:rsidRPr="00D8118B">
        <w:rPr>
          <w:sz w:val="28"/>
          <w:szCs w:val="28"/>
        </w:rPr>
        <w:t>)</w:t>
      </w:r>
      <w:r w:rsidR="00443515" w:rsidRPr="00D8118B">
        <w:rPr>
          <w:sz w:val="28"/>
          <w:szCs w:val="28"/>
        </w:rPr>
        <w:t xml:space="preserve">. Save for </w:t>
      </w:r>
      <w:r w:rsidR="00924427" w:rsidRPr="00D8118B">
        <w:rPr>
          <w:sz w:val="28"/>
          <w:szCs w:val="28"/>
        </w:rPr>
        <w:t xml:space="preserve">this </w:t>
      </w:r>
      <w:r w:rsidR="00443515" w:rsidRPr="00D8118B">
        <w:rPr>
          <w:sz w:val="28"/>
          <w:szCs w:val="28"/>
        </w:rPr>
        <w:t>lesser</w:t>
      </w:r>
      <w:r w:rsidR="00924427" w:rsidRPr="00D8118B">
        <w:rPr>
          <w:sz w:val="28"/>
          <w:szCs w:val="28"/>
        </w:rPr>
        <w:t xml:space="preserve"> amount</w:t>
      </w:r>
      <w:r w:rsidR="00443515" w:rsidRPr="00D8118B">
        <w:rPr>
          <w:sz w:val="28"/>
          <w:szCs w:val="28"/>
        </w:rPr>
        <w:t xml:space="preserve">, the second demand was identical to the first. </w:t>
      </w:r>
    </w:p>
    <w:bookmarkEnd w:id="2"/>
    <w:p w14:paraId="78823C87" w14:textId="77777777" w:rsidR="00443515" w:rsidRPr="00D8118B" w:rsidRDefault="00443515" w:rsidP="00093628">
      <w:pPr>
        <w:rPr>
          <w:sz w:val="28"/>
          <w:szCs w:val="28"/>
        </w:rPr>
      </w:pPr>
    </w:p>
    <w:p w14:paraId="3758EFF2" w14:textId="6811B2BB" w:rsidR="001E0957" w:rsidRPr="00D8118B" w:rsidRDefault="00924427" w:rsidP="00B042BE">
      <w:pPr>
        <w:numPr>
          <w:ilvl w:val="0"/>
          <w:numId w:val="1"/>
        </w:numPr>
        <w:tabs>
          <w:tab w:val="left" w:pos="0"/>
        </w:tabs>
        <w:ind w:left="0"/>
        <w:rPr>
          <w:sz w:val="28"/>
          <w:szCs w:val="28"/>
        </w:rPr>
      </w:pPr>
      <w:bookmarkStart w:id="3" w:name="_Hlk102992211"/>
      <w:r w:rsidRPr="00D8118B">
        <w:rPr>
          <w:color w:val="000000" w:themeColor="text1"/>
          <w:sz w:val="28"/>
          <w:szCs w:val="28"/>
        </w:rPr>
        <w:t>On 2</w:t>
      </w:r>
      <w:r w:rsidR="008A6F9E">
        <w:rPr>
          <w:color w:val="000000" w:themeColor="text1"/>
          <w:sz w:val="28"/>
          <w:szCs w:val="28"/>
        </w:rPr>
        <w:t>5</w:t>
      </w:r>
      <w:r w:rsidRPr="00D8118B">
        <w:rPr>
          <w:color w:val="000000" w:themeColor="text1"/>
          <w:sz w:val="28"/>
          <w:szCs w:val="28"/>
        </w:rPr>
        <w:t xml:space="preserve"> June 2020, T</w:t>
      </w:r>
      <w:r w:rsidR="00443515" w:rsidRPr="00D8118B">
        <w:rPr>
          <w:color w:val="000000" w:themeColor="text1"/>
          <w:sz w:val="28"/>
          <w:szCs w:val="28"/>
        </w:rPr>
        <w:t xml:space="preserve">DS </w:t>
      </w:r>
      <w:r w:rsidR="00AE05FB" w:rsidRPr="00D8118B">
        <w:rPr>
          <w:color w:val="000000" w:themeColor="text1"/>
          <w:sz w:val="28"/>
          <w:szCs w:val="28"/>
        </w:rPr>
        <w:t xml:space="preserve">applied to </w:t>
      </w:r>
      <w:r w:rsidR="00443515" w:rsidRPr="00D8118B">
        <w:rPr>
          <w:color w:val="000000" w:themeColor="text1"/>
          <w:sz w:val="28"/>
          <w:szCs w:val="28"/>
        </w:rPr>
        <w:t>the high court</w:t>
      </w:r>
      <w:r w:rsidR="00AE05FB" w:rsidRPr="00D8118B">
        <w:rPr>
          <w:color w:val="000000" w:themeColor="text1"/>
          <w:sz w:val="28"/>
          <w:szCs w:val="28"/>
        </w:rPr>
        <w:t xml:space="preserve"> for</w:t>
      </w:r>
      <w:r w:rsidR="00867968" w:rsidRPr="00D8118B">
        <w:rPr>
          <w:color w:val="000000" w:themeColor="text1"/>
          <w:sz w:val="28"/>
          <w:szCs w:val="28"/>
        </w:rPr>
        <w:t xml:space="preserve"> </w:t>
      </w:r>
      <w:r w:rsidR="00D316D5" w:rsidRPr="00D8118B">
        <w:rPr>
          <w:sz w:val="28"/>
          <w:szCs w:val="28"/>
        </w:rPr>
        <w:t>an</w:t>
      </w:r>
      <w:r w:rsidRPr="00D8118B">
        <w:rPr>
          <w:sz w:val="28"/>
          <w:szCs w:val="28"/>
        </w:rPr>
        <w:t xml:space="preserve"> </w:t>
      </w:r>
      <w:r w:rsidR="00831A57" w:rsidRPr="00D8118B">
        <w:rPr>
          <w:sz w:val="28"/>
          <w:szCs w:val="28"/>
        </w:rPr>
        <w:t xml:space="preserve">interim </w:t>
      </w:r>
      <w:r w:rsidRPr="00D8118B">
        <w:rPr>
          <w:sz w:val="28"/>
          <w:szCs w:val="28"/>
        </w:rPr>
        <w:t>order</w:t>
      </w:r>
      <w:r w:rsidR="00D316D5" w:rsidRPr="00D8118B">
        <w:rPr>
          <w:sz w:val="28"/>
          <w:szCs w:val="28"/>
        </w:rPr>
        <w:t xml:space="preserve"> interdict</w:t>
      </w:r>
      <w:r w:rsidRPr="00D8118B">
        <w:rPr>
          <w:sz w:val="28"/>
          <w:szCs w:val="28"/>
        </w:rPr>
        <w:t>ing</w:t>
      </w:r>
      <w:r w:rsidR="00D316D5" w:rsidRPr="00D8118B">
        <w:rPr>
          <w:sz w:val="28"/>
          <w:szCs w:val="28"/>
        </w:rPr>
        <w:t xml:space="preserve"> </w:t>
      </w:r>
      <w:proofErr w:type="spellStart"/>
      <w:r w:rsidR="0081193F" w:rsidRPr="00D8118B">
        <w:rPr>
          <w:sz w:val="28"/>
          <w:szCs w:val="28"/>
        </w:rPr>
        <w:t>Exxaro</w:t>
      </w:r>
      <w:proofErr w:type="spellEnd"/>
      <w:r w:rsidR="0081193F" w:rsidRPr="00D8118B">
        <w:rPr>
          <w:sz w:val="28"/>
          <w:szCs w:val="28"/>
        </w:rPr>
        <w:t xml:space="preserve"> from demanding</w:t>
      </w:r>
      <w:r w:rsidR="00E14DE5" w:rsidRPr="00D8118B">
        <w:rPr>
          <w:sz w:val="28"/>
          <w:szCs w:val="28"/>
        </w:rPr>
        <w:t>,</w:t>
      </w:r>
      <w:r w:rsidR="0081193F" w:rsidRPr="00D8118B">
        <w:rPr>
          <w:sz w:val="28"/>
          <w:szCs w:val="28"/>
        </w:rPr>
        <w:t xml:space="preserve"> and </w:t>
      </w:r>
      <w:r w:rsidR="00831A57" w:rsidRPr="00D8118B">
        <w:rPr>
          <w:sz w:val="28"/>
          <w:szCs w:val="28"/>
        </w:rPr>
        <w:t>ABSA from making</w:t>
      </w:r>
      <w:r w:rsidR="00390F78" w:rsidRPr="00D8118B">
        <w:rPr>
          <w:sz w:val="28"/>
          <w:szCs w:val="28"/>
        </w:rPr>
        <w:t xml:space="preserve"> payment</w:t>
      </w:r>
      <w:r w:rsidR="00D316D5" w:rsidRPr="00D8118B">
        <w:rPr>
          <w:sz w:val="28"/>
          <w:szCs w:val="28"/>
        </w:rPr>
        <w:t xml:space="preserve"> of</w:t>
      </w:r>
      <w:r w:rsidR="00831A57" w:rsidRPr="00D8118B">
        <w:rPr>
          <w:sz w:val="28"/>
          <w:szCs w:val="28"/>
        </w:rPr>
        <w:t xml:space="preserve"> any amount under</w:t>
      </w:r>
      <w:r w:rsidR="00D316D5" w:rsidRPr="00D8118B">
        <w:rPr>
          <w:sz w:val="28"/>
          <w:szCs w:val="28"/>
        </w:rPr>
        <w:t xml:space="preserve"> the guarantee </w:t>
      </w:r>
      <w:r w:rsidR="00AE05FB" w:rsidRPr="00D8118B">
        <w:rPr>
          <w:sz w:val="28"/>
          <w:szCs w:val="28"/>
        </w:rPr>
        <w:t xml:space="preserve">to </w:t>
      </w:r>
      <w:proofErr w:type="spellStart"/>
      <w:r w:rsidR="00AE05FB" w:rsidRPr="00D8118B">
        <w:rPr>
          <w:sz w:val="28"/>
          <w:szCs w:val="28"/>
        </w:rPr>
        <w:t>Exxaro</w:t>
      </w:r>
      <w:proofErr w:type="spellEnd"/>
      <w:r w:rsidR="00831A57" w:rsidRPr="00D8118B">
        <w:rPr>
          <w:sz w:val="28"/>
          <w:szCs w:val="28"/>
        </w:rPr>
        <w:t>, pending determination of the relief sought in Part B of the application.</w:t>
      </w:r>
      <w:r w:rsidR="00AE05FB" w:rsidRPr="00D8118B">
        <w:rPr>
          <w:sz w:val="28"/>
          <w:szCs w:val="28"/>
        </w:rPr>
        <w:t xml:space="preserve"> </w:t>
      </w:r>
      <w:r w:rsidR="00A7212E" w:rsidRPr="00D8118B">
        <w:rPr>
          <w:sz w:val="28"/>
          <w:szCs w:val="28"/>
        </w:rPr>
        <w:t>In Part B</w:t>
      </w:r>
      <w:r w:rsidR="00D41A9B" w:rsidRPr="00D8118B">
        <w:rPr>
          <w:sz w:val="28"/>
          <w:szCs w:val="28"/>
        </w:rPr>
        <w:t>,</w:t>
      </w:r>
      <w:r w:rsidR="00A7212E" w:rsidRPr="00D8118B">
        <w:rPr>
          <w:sz w:val="28"/>
          <w:szCs w:val="28"/>
        </w:rPr>
        <w:t xml:space="preserve"> TDS sought an order declaring that the demands made by </w:t>
      </w:r>
      <w:proofErr w:type="spellStart"/>
      <w:r w:rsidR="001E0957" w:rsidRPr="00D8118B">
        <w:rPr>
          <w:sz w:val="28"/>
          <w:szCs w:val="28"/>
        </w:rPr>
        <w:t>Exxaro</w:t>
      </w:r>
      <w:proofErr w:type="spellEnd"/>
      <w:r w:rsidR="001E0957" w:rsidRPr="00D8118B">
        <w:rPr>
          <w:sz w:val="28"/>
          <w:szCs w:val="28"/>
        </w:rPr>
        <w:t xml:space="preserve"> </w:t>
      </w:r>
      <w:r w:rsidR="00A7212E" w:rsidRPr="00D8118B">
        <w:rPr>
          <w:sz w:val="28"/>
          <w:szCs w:val="28"/>
        </w:rPr>
        <w:t xml:space="preserve">for payment of the guarantee were invalid, and a final interdict preventing ABSA from making payment of any amount under the guarantee. </w:t>
      </w:r>
      <w:proofErr w:type="spellStart"/>
      <w:r w:rsidR="00D41A9B" w:rsidRPr="00D8118B">
        <w:rPr>
          <w:sz w:val="28"/>
          <w:szCs w:val="28"/>
        </w:rPr>
        <w:t>Exxaro</w:t>
      </w:r>
      <w:proofErr w:type="spellEnd"/>
      <w:r w:rsidR="00D41A9B" w:rsidRPr="00D8118B">
        <w:rPr>
          <w:sz w:val="28"/>
          <w:szCs w:val="28"/>
        </w:rPr>
        <w:t xml:space="preserve"> </w:t>
      </w:r>
      <w:r w:rsidR="001E0957" w:rsidRPr="00D8118B">
        <w:rPr>
          <w:sz w:val="28"/>
          <w:szCs w:val="28"/>
        </w:rPr>
        <w:t>opposed the application</w:t>
      </w:r>
      <w:r w:rsidR="00550240" w:rsidRPr="00D8118B">
        <w:rPr>
          <w:sz w:val="28"/>
          <w:szCs w:val="28"/>
        </w:rPr>
        <w:t xml:space="preserve"> and</w:t>
      </w:r>
      <w:r w:rsidR="001E0957" w:rsidRPr="00D8118B">
        <w:rPr>
          <w:sz w:val="28"/>
          <w:szCs w:val="28"/>
        </w:rPr>
        <w:t xml:space="preserve"> </w:t>
      </w:r>
      <w:r w:rsidR="0019216B" w:rsidRPr="00D8118B">
        <w:rPr>
          <w:sz w:val="28"/>
          <w:szCs w:val="28"/>
        </w:rPr>
        <w:t>lodged a</w:t>
      </w:r>
      <w:r w:rsidR="00550240" w:rsidRPr="00D8118B">
        <w:rPr>
          <w:sz w:val="28"/>
          <w:szCs w:val="28"/>
        </w:rPr>
        <w:t xml:space="preserve"> c</w:t>
      </w:r>
      <w:r w:rsidR="001E0957" w:rsidRPr="00D8118B">
        <w:rPr>
          <w:sz w:val="28"/>
          <w:szCs w:val="28"/>
        </w:rPr>
        <w:t xml:space="preserve">ounter-application </w:t>
      </w:r>
      <w:r w:rsidR="003C4584" w:rsidRPr="00D8118B">
        <w:rPr>
          <w:sz w:val="28"/>
          <w:szCs w:val="28"/>
        </w:rPr>
        <w:t xml:space="preserve">to compel </w:t>
      </w:r>
      <w:r w:rsidR="007E6D8C" w:rsidRPr="00D8118B">
        <w:rPr>
          <w:sz w:val="28"/>
          <w:szCs w:val="28"/>
        </w:rPr>
        <w:t xml:space="preserve">TDS </w:t>
      </w:r>
      <w:r w:rsidR="003C4584" w:rsidRPr="00D8118B">
        <w:rPr>
          <w:sz w:val="28"/>
          <w:szCs w:val="28"/>
        </w:rPr>
        <w:t xml:space="preserve">to provide a new or revised guarantee </w:t>
      </w:r>
      <w:r w:rsidR="00550240" w:rsidRPr="00D8118B">
        <w:rPr>
          <w:sz w:val="28"/>
          <w:szCs w:val="28"/>
        </w:rPr>
        <w:t xml:space="preserve">on the basis </w:t>
      </w:r>
      <w:r w:rsidR="003C4584" w:rsidRPr="00D8118B">
        <w:rPr>
          <w:sz w:val="28"/>
          <w:szCs w:val="28"/>
        </w:rPr>
        <w:t xml:space="preserve">of an </w:t>
      </w:r>
      <w:r w:rsidR="002F3DAD" w:rsidRPr="00D8118B">
        <w:rPr>
          <w:sz w:val="28"/>
          <w:szCs w:val="28"/>
        </w:rPr>
        <w:t xml:space="preserve">alleged </w:t>
      </w:r>
      <w:r w:rsidR="003C4584" w:rsidRPr="00D8118B">
        <w:rPr>
          <w:sz w:val="28"/>
          <w:szCs w:val="28"/>
        </w:rPr>
        <w:t xml:space="preserve">agreement </w:t>
      </w:r>
      <w:r w:rsidR="00550240" w:rsidRPr="00D8118B">
        <w:rPr>
          <w:sz w:val="28"/>
          <w:szCs w:val="28"/>
        </w:rPr>
        <w:t xml:space="preserve">TDS </w:t>
      </w:r>
      <w:r w:rsidR="003C4584" w:rsidRPr="00D8118B">
        <w:rPr>
          <w:sz w:val="28"/>
          <w:szCs w:val="28"/>
        </w:rPr>
        <w:t xml:space="preserve">had </w:t>
      </w:r>
      <w:r w:rsidR="00C4214B" w:rsidRPr="00D8118B">
        <w:rPr>
          <w:sz w:val="28"/>
          <w:szCs w:val="28"/>
        </w:rPr>
        <w:t>allegedly</w:t>
      </w:r>
      <w:r w:rsidR="003C4584" w:rsidRPr="00D8118B">
        <w:rPr>
          <w:sz w:val="28"/>
          <w:szCs w:val="28"/>
        </w:rPr>
        <w:t xml:space="preserve"> reneged on. </w:t>
      </w:r>
      <w:r w:rsidR="00D316D5" w:rsidRPr="00D8118B">
        <w:rPr>
          <w:sz w:val="28"/>
          <w:szCs w:val="28"/>
        </w:rPr>
        <w:t xml:space="preserve">The high court </w:t>
      </w:r>
      <w:r w:rsidR="00B74872" w:rsidRPr="00D8118B">
        <w:rPr>
          <w:sz w:val="28"/>
          <w:szCs w:val="28"/>
        </w:rPr>
        <w:t xml:space="preserve">was only called upon </w:t>
      </w:r>
      <w:r w:rsidR="00550240" w:rsidRPr="00D8118B">
        <w:rPr>
          <w:sz w:val="28"/>
          <w:szCs w:val="28"/>
        </w:rPr>
        <w:t xml:space="preserve">to </w:t>
      </w:r>
      <w:r w:rsidR="00D316D5" w:rsidRPr="00D8118B">
        <w:rPr>
          <w:sz w:val="28"/>
          <w:szCs w:val="28"/>
        </w:rPr>
        <w:t>determin</w:t>
      </w:r>
      <w:r w:rsidR="00550240" w:rsidRPr="00D8118B">
        <w:rPr>
          <w:sz w:val="28"/>
          <w:szCs w:val="28"/>
        </w:rPr>
        <w:t>e</w:t>
      </w:r>
      <w:r w:rsidR="00366967" w:rsidRPr="00D8118B">
        <w:rPr>
          <w:sz w:val="28"/>
          <w:szCs w:val="28"/>
        </w:rPr>
        <w:t xml:space="preserve"> Part B of the application.</w:t>
      </w:r>
      <w:r w:rsidR="00D316D5" w:rsidRPr="00D8118B">
        <w:rPr>
          <w:sz w:val="28"/>
          <w:szCs w:val="28"/>
        </w:rPr>
        <w:t xml:space="preserve"> </w:t>
      </w:r>
      <w:r w:rsidR="009E1BA3" w:rsidRPr="00D8118B">
        <w:rPr>
          <w:sz w:val="28"/>
          <w:szCs w:val="28"/>
        </w:rPr>
        <w:t xml:space="preserve">Although ABSA abided the court’s decision, it filed an affidavit to state its position. </w:t>
      </w:r>
    </w:p>
    <w:bookmarkEnd w:id="3"/>
    <w:p w14:paraId="69F9D5C7" w14:textId="77777777" w:rsidR="001E0957" w:rsidRPr="00D8118B" w:rsidRDefault="001E0957" w:rsidP="00093628">
      <w:pPr>
        <w:rPr>
          <w:sz w:val="28"/>
          <w:szCs w:val="28"/>
        </w:rPr>
      </w:pPr>
    </w:p>
    <w:p w14:paraId="63CB28C5" w14:textId="50645E89" w:rsidR="00867968" w:rsidRPr="00D8118B" w:rsidRDefault="00C535C0" w:rsidP="00B042BE">
      <w:pPr>
        <w:numPr>
          <w:ilvl w:val="0"/>
          <w:numId w:val="1"/>
        </w:numPr>
        <w:tabs>
          <w:tab w:val="left" w:pos="0"/>
        </w:tabs>
        <w:ind w:left="0"/>
        <w:rPr>
          <w:color w:val="000000" w:themeColor="text1"/>
          <w:sz w:val="28"/>
          <w:szCs w:val="28"/>
        </w:rPr>
      </w:pPr>
      <w:r w:rsidRPr="00D8118B">
        <w:rPr>
          <w:color w:val="000000" w:themeColor="text1"/>
          <w:sz w:val="28"/>
          <w:szCs w:val="28"/>
        </w:rPr>
        <w:t>The grounds for the interdict were</w:t>
      </w:r>
      <w:r w:rsidR="0019216B" w:rsidRPr="00D8118B">
        <w:rPr>
          <w:color w:val="000000" w:themeColor="text1"/>
          <w:sz w:val="28"/>
          <w:szCs w:val="28"/>
        </w:rPr>
        <w:t xml:space="preserve"> as follows.</w:t>
      </w:r>
      <w:r w:rsidRPr="00D8118B">
        <w:rPr>
          <w:color w:val="000000" w:themeColor="text1"/>
          <w:sz w:val="28"/>
          <w:szCs w:val="28"/>
        </w:rPr>
        <w:t xml:space="preserve"> </w:t>
      </w:r>
      <w:r w:rsidR="001E0957" w:rsidRPr="00D8118B">
        <w:rPr>
          <w:color w:val="000000" w:themeColor="text1"/>
          <w:sz w:val="28"/>
          <w:szCs w:val="28"/>
        </w:rPr>
        <w:t>TDS</w:t>
      </w:r>
      <w:r w:rsidR="00837689" w:rsidRPr="00D8118B">
        <w:rPr>
          <w:color w:val="000000" w:themeColor="text1"/>
          <w:sz w:val="28"/>
          <w:szCs w:val="28"/>
        </w:rPr>
        <w:t xml:space="preserve"> </w:t>
      </w:r>
      <w:r w:rsidR="00D41A9B" w:rsidRPr="00D8118B">
        <w:rPr>
          <w:color w:val="000000" w:themeColor="text1"/>
          <w:sz w:val="28"/>
          <w:szCs w:val="28"/>
        </w:rPr>
        <w:t xml:space="preserve">alleged that </w:t>
      </w:r>
      <w:proofErr w:type="spellStart"/>
      <w:r w:rsidR="00D41A9B" w:rsidRPr="00D8118B">
        <w:rPr>
          <w:color w:val="000000" w:themeColor="text1"/>
          <w:sz w:val="28"/>
          <w:szCs w:val="28"/>
        </w:rPr>
        <w:t>‘the</w:t>
      </w:r>
      <w:proofErr w:type="spellEnd"/>
      <w:r w:rsidR="00D41A9B" w:rsidRPr="00D8118B">
        <w:rPr>
          <w:color w:val="000000" w:themeColor="text1"/>
          <w:sz w:val="28"/>
          <w:szCs w:val="28"/>
        </w:rPr>
        <w:t xml:space="preserve"> first and second demands were fraudulently made</w:t>
      </w:r>
      <w:r w:rsidR="007F2722">
        <w:rPr>
          <w:color w:val="000000" w:themeColor="text1"/>
          <w:sz w:val="28"/>
          <w:szCs w:val="28"/>
        </w:rPr>
        <w:t>’</w:t>
      </w:r>
      <w:r w:rsidR="00D41A9B" w:rsidRPr="00D8118B">
        <w:rPr>
          <w:color w:val="000000" w:themeColor="text1"/>
          <w:sz w:val="28"/>
          <w:szCs w:val="28"/>
        </w:rPr>
        <w:t xml:space="preserve"> and that it had </w:t>
      </w:r>
      <w:proofErr w:type="spellStart"/>
      <w:r w:rsidR="00D41A9B" w:rsidRPr="00D8118B">
        <w:rPr>
          <w:color w:val="000000" w:themeColor="text1"/>
          <w:sz w:val="28"/>
          <w:szCs w:val="28"/>
        </w:rPr>
        <w:t>‘a</w:t>
      </w:r>
      <w:proofErr w:type="spellEnd"/>
      <w:r w:rsidR="00D41A9B" w:rsidRPr="00D8118B">
        <w:rPr>
          <w:color w:val="000000" w:themeColor="text1"/>
          <w:sz w:val="28"/>
          <w:szCs w:val="28"/>
        </w:rPr>
        <w:t xml:space="preserve"> clear right to prevent [</w:t>
      </w:r>
      <w:proofErr w:type="spellStart"/>
      <w:r w:rsidR="00D41A9B" w:rsidRPr="00D8118B">
        <w:rPr>
          <w:color w:val="000000" w:themeColor="text1"/>
          <w:sz w:val="28"/>
          <w:szCs w:val="28"/>
        </w:rPr>
        <w:t>Exxaro</w:t>
      </w:r>
      <w:proofErr w:type="spellEnd"/>
      <w:r w:rsidR="00D41A9B" w:rsidRPr="00D8118B">
        <w:rPr>
          <w:color w:val="000000" w:themeColor="text1"/>
          <w:sz w:val="28"/>
          <w:szCs w:val="28"/>
        </w:rPr>
        <w:t xml:space="preserve">] from unlawfully benefiting under the guarantee’. </w:t>
      </w:r>
      <w:r w:rsidR="006C017B" w:rsidRPr="00D8118B">
        <w:rPr>
          <w:color w:val="000000" w:themeColor="text1"/>
          <w:sz w:val="28"/>
          <w:szCs w:val="28"/>
        </w:rPr>
        <w:t>It further alleged that the</w:t>
      </w:r>
      <w:r w:rsidR="001E0957" w:rsidRPr="00D8118B">
        <w:rPr>
          <w:color w:val="000000" w:themeColor="text1"/>
          <w:sz w:val="28"/>
          <w:szCs w:val="28"/>
        </w:rPr>
        <w:t xml:space="preserve"> demand</w:t>
      </w:r>
      <w:r w:rsidR="00063739" w:rsidRPr="00D8118B">
        <w:rPr>
          <w:color w:val="000000" w:themeColor="text1"/>
          <w:sz w:val="28"/>
          <w:szCs w:val="28"/>
        </w:rPr>
        <w:t>s</w:t>
      </w:r>
      <w:r w:rsidR="001E0957" w:rsidRPr="00D8118B">
        <w:rPr>
          <w:color w:val="000000" w:themeColor="text1"/>
          <w:sz w:val="28"/>
          <w:szCs w:val="28"/>
        </w:rPr>
        <w:t xml:space="preserve"> did not comply with the terms of the guarantee</w:t>
      </w:r>
      <w:r w:rsidRPr="00D8118B">
        <w:rPr>
          <w:color w:val="000000" w:themeColor="text1"/>
          <w:sz w:val="28"/>
          <w:szCs w:val="28"/>
        </w:rPr>
        <w:t xml:space="preserve"> </w:t>
      </w:r>
      <w:r w:rsidR="003C4584" w:rsidRPr="00D8118B">
        <w:rPr>
          <w:color w:val="000000" w:themeColor="text1"/>
          <w:sz w:val="28"/>
          <w:szCs w:val="28"/>
        </w:rPr>
        <w:t xml:space="preserve">in that </w:t>
      </w:r>
      <w:r w:rsidR="00063739" w:rsidRPr="00D8118B">
        <w:rPr>
          <w:color w:val="000000" w:themeColor="text1"/>
          <w:sz w:val="28"/>
          <w:szCs w:val="28"/>
        </w:rPr>
        <w:t xml:space="preserve">they </w:t>
      </w:r>
      <w:r w:rsidR="00B54E9C" w:rsidRPr="00D8118B">
        <w:rPr>
          <w:color w:val="000000" w:themeColor="text1"/>
          <w:sz w:val="28"/>
          <w:szCs w:val="28"/>
        </w:rPr>
        <w:t xml:space="preserve">were not signed by a person </w:t>
      </w:r>
      <w:r w:rsidR="0019216B" w:rsidRPr="00D8118B">
        <w:rPr>
          <w:color w:val="000000" w:themeColor="text1"/>
          <w:sz w:val="28"/>
          <w:szCs w:val="28"/>
        </w:rPr>
        <w:t xml:space="preserve">warranting that they </w:t>
      </w:r>
      <w:r w:rsidR="00EB67EE" w:rsidRPr="00D8118B">
        <w:rPr>
          <w:color w:val="000000" w:themeColor="text1"/>
          <w:sz w:val="28"/>
          <w:szCs w:val="28"/>
        </w:rPr>
        <w:t xml:space="preserve">had </w:t>
      </w:r>
      <w:r w:rsidR="0019216B" w:rsidRPr="00D8118B">
        <w:rPr>
          <w:color w:val="000000" w:themeColor="text1"/>
          <w:sz w:val="28"/>
          <w:szCs w:val="28"/>
        </w:rPr>
        <w:t>authori</w:t>
      </w:r>
      <w:r w:rsidR="00EB67EE" w:rsidRPr="00D8118B">
        <w:rPr>
          <w:color w:val="000000" w:themeColor="text1"/>
          <w:sz w:val="28"/>
          <w:szCs w:val="28"/>
        </w:rPr>
        <w:t>ty</w:t>
      </w:r>
      <w:r w:rsidR="0019216B" w:rsidRPr="00D8118B">
        <w:rPr>
          <w:color w:val="000000" w:themeColor="text1"/>
          <w:sz w:val="28"/>
          <w:szCs w:val="28"/>
        </w:rPr>
        <w:t xml:space="preserve"> to do </w:t>
      </w:r>
      <w:r w:rsidR="0019216B" w:rsidRPr="00D8118B">
        <w:rPr>
          <w:color w:val="000000" w:themeColor="text1"/>
          <w:sz w:val="28"/>
          <w:szCs w:val="28"/>
        </w:rPr>
        <w:lastRenderedPageBreak/>
        <w:t>so;</w:t>
      </w:r>
      <w:r w:rsidR="003C4584" w:rsidRPr="00D8118B">
        <w:rPr>
          <w:color w:val="000000" w:themeColor="text1"/>
          <w:sz w:val="28"/>
          <w:szCs w:val="28"/>
        </w:rPr>
        <w:t xml:space="preserve"> </w:t>
      </w:r>
      <w:r w:rsidR="00063739" w:rsidRPr="00D8118B">
        <w:rPr>
          <w:color w:val="000000" w:themeColor="text1"/>
          <w:sz w:val="28"/>
          <w:szCs w:val="28"/>
        </w:rPr>
        <w:t xml:space="preserve">they </w:t>
      </w:r>
      <w:r w:rsidR="003C4584" w:rsidRPr="00D8118B">
        <w:rPr>
          <w:color w:val="000000" w:themeColor="text1"/>
          <w:sz w:val="28"/>
          <w:szCs w:val="28"/>
        </w:rPr>
        <w:t>failed to state that the amount claimed was due and payable</w:t>
      </w:r>
      <w:r w:rsidR="004D0700" w:rsidRPr="00D8118B">
        <w:rPr>
          <w:color w:val="000000" w:themeColor="text1"/>
          <w:sz w:val="28"/>
          <w:szCs w:val="28"/>
        </w:rPr>
        <w:t>;</w:t>
      </w:r>
      <w:r w:rsidR="003C4584" w:rsidRPr="00D8118B">
        <w:rPr>
          <w:color w:val="000000" w:themeColor="text1"/>
          <w:sz w:val="28"/>
          <w:szCs w:val="28"/>
        </w:rPr>
        <w:t xml:space="preserve"> </w:t>
      </w:r>
      <w:r w:rsidR="004D0700" w:rsidRPr="00D8118B">
        <w:rPr>
          <w:color w:val="000000" w:themeColor="text1"/>
          <w:sz w:val="28"/>
          <w:szCs w:val="28"/>
        </w:rPr>
        <w:t>and</w:t>
      </w:r>
      <w:r w:rsidR="00837689" w:rsidRPr="00D8118B">
        <w:rPr>
          <w:color w:val="000000" w:themeColor="text1"/>
          <w:sz w:val="28"/>
          <w:szCs w:val="28"/>
        </w:rPr>
        <w:t xml:space="preserve"> </w:t>
      </w:r>
      <w:r w:rsidR="00063739" w:rsidRPr="00D8118B">
        <w:rPr>
          <w:color w:val="000000" w:themeColor="text1"/>
          <w:sz w:val="28"/>
          <w:szCs w:val="28"/>
        </w:rPr>
        <w:t xml:space="preserve">they </w:t>
      </w:r>
      <w:r w:rsidR="003C4584" w:rsidRPr="00D8118B">
        <w:rPr>
          <w:color w:val="000000" w:themeColor="text1"/>
          <w:sz w:val="28"/>
          <w:szCs w:val="28"/>
        </w:rPr>
        <w:t xml:space="preserve">did not indicate the respects in which TDS </w:t>
      </w:r>
      <w:r w:rsidR="00063739" w:rsidRPr="00D8118B">
        <w:rPr>
          <w:color w:val="000000" w:themeColor="text1"/>
          <w:sz w:val="28"/>
          <w:szCs w:val="28"/>
        </w:rPr>
        <w:t xml:space="preserve">had breached </w:t>
      </w:r>
      <w:r w:rsidR="003C4584" w:rsidRPr="00D8118B">
        <w:rPr>
          <w:color w:val="000000" w:themeColor="text1"/>
          <w:sz w:val="28"/>
          <w:szCs w:val="28"/>
        </w:rPr>
        <w:t xml:space="preserve">the contract. </w:t>
      </w:r>
      <w:r w:rsidR="00041704" w:rsidRPr="00D8118B">
        <w:rPr>
          <w:color w:val="000000" w:themeColor="text1"/>
          <w:sz w:val="28"/>
          <w:szCs w:val="28"/>
        </w:rPr>
        <w:t xml:space="preserve">As such, </w:t>
      </w:r>
      <w:r w:rsidR="00600F63" w:rsidRPr="00D8118B">
        <w:rPr>
          <w:color w:val="000000" w:themeColor="text1"/>
          <w:sz w:val="28"/>
          <w:szCs w:val="28"/>
        </w:rPr>
        <w:t>ABSA was not legally obliged to honour the guarantee since its terms governing the demand had not been met.</w:t>
      </w:r>
    </w:p>
    <w:p w14:paraId="06B8A7D7" w14:textId="77777777" w:rsidR="00073F71" w:rsidRPr="00D8118B" w:rsidRDefault="00073F71" w:rsidP="000C0334">
      <w:pPr>
        <w:tabs>
          <w:tab w:val="left" w:pos="0"/>
        </w:tabs>
        <w:rPr>
          <w:color w:val="000000" w:themeColor="text1"/>
          <w:sz w:val="28"/>
          <w:szCs w:val="28"/>
        </w:rPr>
      </w:pPr>
    </w:p>
    <w:p w14:paraId="3C6C995E" w14:textId="5C340989" w:rsidR="001C5A1F" w:rsidRPr="00D8118B" w:rsidRDefault="00073F71" w:rsidP="00CF68CE">
      <w:pPr>
        <w:numPr>
          <w:ilvl w:val="0"/>
          <w:numId w:val="1"/>
        </w:numPr>
        <w:tabs>
          <w:tab w:val="left" w:pos="0"/>
        </w:tabs>
        <w:ind w:left="0"/>
        <w:rPr>
          <w:color w:val="000000" w:themeColor="text1"/>
          <w:sz w:val="28"/>
          <w:szCs w:val="28"/>
        </w:rPr>
      </w:pPr>
      <w:r w:rsidRPr="00D8118B">
        <w:rPr>
          <w:color w:val="000000" w:themeColor="text1"/>
          <w:sz w:val="28"/>
          <w:szCs w:val="28"/>
        </w:rPr>
        <w:t>The harm or injury that TDS allegedly would suffer if the interdict was not granted, was stated as follows:</w:t>
      </w:r>
    </w:p>
    <w:p w14:paraId="215277FE" w14:textId="71910BDA" w:rsidR="001C5A1F" w:rsidRPr="00D8118B" w:rsidRDefault="001C5A1F" w:rsidP="001C5A1F">
      <w:pPr>
        <w:pStyle w:val="ListParagraph"/>
        <w:ind w:left="0"/>
      </w:pPr>
      <w:r w:rsidRPr="00D8118B">
        <w:t>‘[T]he second respondent [ABSA] will make payment of the full amount under the guarantee to the first respondent [</w:t>
      </w:r>
      <w:proofErr w:type="spellStart"/>
      <w:r w:rsidRPr="00D8118B">
        <w:t>Exxaro</w:t>
      </w:r>
      <w:proofErr w:type="spellEnd"/>
      <w:r w:rsidRPr="00D8118B">
        <w:t>], notwithstanding the absence of any entitlement whatsoever on the part of</w:t>
      </w:r>
      <w:r w:rsidR="0081193F" w:rsidRPr="00D8118B">
        <w:t xml:space="preserve"> </w:t>
      </w:r>
      <w:r w:rsidR="003A4DF2" w:rsidRPr="00D8118B">
        <w:t>[</w:t>
      </w:r>
      <w:proofErr w:type="spellStart"/>
      <w:r w:rsidR="003A4DF2" w:rsidRPr="00D8118B">
        <w:t>Exxaro</w:t>
      </w:r>
      <w:proofErr w:type="spellEnd"/>
      <w:r w:rsidR="003A4DF2" w:rsidRPr="00D8118B">
        <w:t>]</w:t>
      </w:r>
      <w:r w:rsidRPr="00D8118B">
        <w:t>;</w:t>
      </w:r>
    </w:p>
    <w:p w14:paraId="73D22077" w14:textId="1540C9F9" w:rsidR="001C5A1F" w:rsidRPr="00D8118B" w:rsidRDefault="00AB56D0" w:rsidP="001C5A1F">
      <w:r w:rsidRPr="00D8118B">
        <w:t xml:space="preserve">the applicant </w:t>
      </w:r>
      <w:r w:rsidR="001C5A1F" w:rsidRPr="00D8118B">
        <w:t xml:space="preserve">[TDS], having been subject to a fraudulent call, will suffer severe financial prejudice in relation to the trigger of counter-guarantees and immediate liability under circumstances where there would otherwise be none (and ought to be none having regard to the absence of an entitlement on the part of </w:t>
      </w:r>
      <w:r w:rsidR="0081193F" w:rsidRPr="00D8118B">
        <w:t>[</w:t>
      </w:r>
      <w:proofErr w:type="spellStart"/>
      <w:r w:rsidR="0081193F" w:rsidRPr="00D8118B">
        <w:t>Exxaro</w:t>
      </w:r>
      <w:proofErr w:type="spellEnd"/>
      <w:r w:rsidR="0081193F" w:rsidRPr="00D8118B">
        <w:t>]</w:t>
      </w:r>
      <w:r w:rsidR="001C5A1F" w:rsidRPr="00D8118B">
        <w:t>);</w:t>
      </w:r>
    </w:p>
    <w:p w14:paraId="50E96CCB" w14:textId="165CA239" w:rsidR="00413F55" w:rsidRPr="00D8118B" w:rsidRDefault="001C5A1F" w:rsidP="001C5A1F">
      <w:r w:rsidRPr="00D8118B">
        <w:t xml:space="preserve">the foregoing would trigger events of default in respect </w:t>
      </w:r>
      <w:r w:rsidR="00833700" w:rsidRPr="00D8118B">
        <w:t xml:space="preserve">of </w:t>
      </w:r>
      <w:r w:rsidR="00833700">
        <w:t>[</w:t>
      </w:r>
      <w:r w:rsidRPr="00D8118B">
        <w:t>TDS</w:t>
      </w:r>
      <w:r w:rsidR="00B74872" w:rsidRPr="00D8118B">
        <w:t>’s</w:t>
      </w:r>
      <w:r w:rsidRPr="00D8118B">
        <w:t>]</w:t>
      </w:r>
      <w:r w:rsidR="00B74872" w:rsidRPr="00D8118B">
        <w:t xml:space="preserve"> </w:t>
      </w:r>
      <w:r w:rsidRPr="00D8118B">
        <w:t>various facilities and/or contracts, the dire consequences of which would include the cancellation of such contracts and/or immediate calling up of such facilities when they would not otherwise have been an immediate liability…’</w:t>
      </w:r>
    </w:p>
    <w:p w14:paraId="4E3EFB9C" w14:textId="184E9DAF" w:rsidR="001C5A1F" w:rsidRPr="00D8118B" w:rsidRDefault="005272D2" w:rsidP="000C0334">
      <w:pPr>
        <w:tabs>
          <w:tab w:val="left" w:pos="0"/>
        </w:tabs>
        <w:rPr>
          <w:color w:val="000000" w:themeColor="text1"/>
          <w:sz w:val="28"/>
          <w:szCs w:val="28"/>
        </w:rPr>
      </w:pPr>
      <w:r w:rsidRPr="00D8118B">
        <w:rPr>
          <w:color w:val="000000" w:themeColor="text1"/>
          <w:sz w:val="28"/>
          <w:szCs w:val="28"/>
        </w:rPr>
        <w:t xml:space="preserve">This was all that was said. These assertions were not based on any evidence as to </w:t>
      </w:r>
      <w:r w:rsidR="004D0391" w:rsidRPr="00D8118B">
        <w:rPr>
          <w:color w:val="000000" w:themeColor="text1"/>
          <w:sz w:val="28"/>
          <w:szCs w:val="28"/>
        </w:rPr>
        <w:t>the consequences</w:t>
      </w:r>
      <w:r w:rsidR="00FA30F6" w:rsidRPr="00D8118B">
        <w:rPr>
          <w:color w:val="000000" w:themeColor="text1"/>
          <w:sz w:val="28"/>
          <w:szCs w:val="28"/>
        </w:rPr>
        <w:t xml:space="preserve">, if any, </w:t>
      </w:r>
      <w:r w:rsidR="004D0391" w:rsidRPr="00D8118B">
        <w:rPr>
          <w:color w:val="000000" w:themeColor="text1"/>
          <w:sz w:val="28"/>
          <w:szCs w:val="28"/>
        </w:rPr>
        <w:t>that</w:t>
      </w:r>
      <w:r w:rsidR="00FA30F6" w:rsidRPr="00D8118B">
        <w:rPr>
          <w:color w:val="000000" w:themeColor="text1"/>
          <w:sz w:val="28"/>
          <w:szCs w:val="28"/>
        </w:rPr>
        <w:t xml:space="preserve"> the honouring of the demand </w:t>
      </w:r>
      <w:r w:rsidR="004D0391" w:rsidRPr="00D8118B">
        <w:rPr>
          <w:color w:val="000000" w:themeColor="text1"/>
          <w:sz w:val="28"/>
          <w:szCs w:val="28"/>
        </w:rPr>
        <w:t xml:space="preserve">by ABSA </w:t>
      </w:r>
      <w:r w:rsidR="00FA30F6" w:rsidRPr="00D8118B">
        <w:rPr>
          <w:color w:val="000000" w:themeColor="text1"/>
          <w:sz w:val="28"/>
          <w:szCs w:val="28"/>
        </w:rPr>
        <w:t>would have on TDS.</w:t>
      </w:r>
    </w:p>
    <w:p w14:paraId="3806A2DA" w14:textId="77777777" w:rsidR="005272D2" w:rsidRPr="00D8118B" w:rsidRDefault="005272D2" w:rsidP="000C0334">
      <w:pPr>
        <w:tabs>
          <w:tab w:val="left" w:pos="0"/>
        </w:tabs>
        <w:rPr>
          <w:color w:val="000000" w:themeColor="text1"/>
          <w:sz w:val="28"/>
          <w:szCs w:val="28"/>
        </w:rPr>
      </w:pPr>
    </w:p>
    <w:p w14:paraId="7D569E21" w14:textId="2B5BF75A" w:rsidR="00413F55" w:rsidRPr="00D8118B" w:rsidRDefault="00413F55" w:rsidP="00093628">
      <w:pPr>
        <w:numPr>
          <w:ilvl w:val="0"/>
          <w:numId w:val="1"/>
        </w:numPr>
        <w:tabs>
          <w:tab w:val="left" w:pos="0"/>
        </w:tabs>
        <w:ind w:left="0"/>
        <w:rPr>
          <w:sz w:val="28"/>
          <w:szCs w:val="28"/>
        </w:rPr>
      </w:pPr>
      <w:bookmarkStart w:id="4" w:name="_Hlk102992539"/>
      <w:r w:rsidRPr="00D8118B">
        <w:rPr>
          <w:sz w:val="28"/>
          <w:szCs w:val="28"/>
        </w:rPr>
        <w:t>TDS then alleged that it had no other satisfactory remedy. It claimed that its damages, which were not confined to th</w:t>
      </w:r>
      <w:r w:rsidR="005E3CE9" w:rsidRPr="00D8118B">
        <w:rPr>
          <w:sz w:val="28"/>
          <w:szCs w:val="28"/>
        </w:rPr>
        <w:t>e</w:t>
      </w:r>
      <w:r w:rsidRPr="00D8118B">
        <w:rPr>
          <w:sz w:val="28"/>
          <w:szCs w:val="28"/>
        </w:rPr>
        <w:t xml:space="preserve"> amount paid under the guarantee</w:t>
      </w:r>
      <w:r w:rsidR="00B74872" w:rsidRPr="00D8118B">
        <w:rPr>
          <w:sz w:val="28"/>
          <w:szCs w:val="28"/>
        </w:rPr>
        <w:t>,</w:t>
      </w:r>
      <w:r w:rsidRPr="00D8118B">
        <w:rPr>
          <w:sz w:val="28"/>
          <w:szCs w:val="28"/>
        </w:rPr>
        <w:t xml:space="preserve"> w</w:t>
      </w:r>
      <w:r w:rsidR="00811351" w:rsidRPr="00D8118B">
        <w:rPr>
          <w:sz w:val="28"/>
          <w:szCs w:val="28"/>
        </w:rPr>
        <w:t>ere</w:t>
      </w:r>
      <w:r w:rsidRPr="00D8118B">
        <w:rPr>
          <w:sz w:val="28"/>
          <w:szCs w:val="28"/>
        </w:rPr>
        <w:t xml:space="preserve"> impossible</w:t>
      </w:r>
      <w:r w:rsidR="00B74872" w:rsidRPr="00D8118B">
        <w:rPr>
          <w:sz w:val="28"/>
          <w:szCs w:val="28"/>
        </w:rPr>
        <w:t xml:space="preserve"> </w:t>
      </w:r>
      <w:r w:rsidRPr="00D8118B">
        <w:rPr>
          <w:sz w:val="28"/>
          <w:szCs w:val="28"/>
        </w:rPr>
        <w:t>alternatively extremely difficult</w:t>
      </w:r>
      <w:r w:rsidR="00183D16" w:rsidRPr="00D8118B">
        <w:rPr>
          <w:sz w:val="28"/>
          <w:szCs w:val="28"/>
        </w:rPr>
        <w:t>,</w:t>
      </w:r>
      <w:r w:rsidRPr="00D8118B">
        <w:rPr>
          <w:sz w:val="28"/>
          <w:szCs w:val="28"/>
        </w:rPr>
        <w:t xml:space="preserve"> to quantify and would in all likelihood be recovered well into the distant future, </w:t>
      </w:r>
      <w:r w:rsidR="00084AEA" w:rsidRPr="00D8118B">
        <w:rPr>
          <w:sz w:val="28"/>
          <w:szCs w:val="28"/>
        </w:rPr>
        <w:t xml:space="preserve">whilst its business would be crippled or destroyed in the interim. </w:t>
      </w:r>
    </w:p>
    <w:p w14:paraId="5B3E80E7" w14:textId="77777777" w:rsidR="00112673" w:rsidRPr="00D8118B" w:rsidRDefault="00112673" w:rsidP="000C0334">
      <w:pPr>
        <w:tabs>
          <w:tab w:val="left" w:pos="0"/>
        </w:tabs>
        <w:rPr>
          <w:sz w:val="28"/>
          <w:szCs w:val="28"/>
        </w:rPr>
      </w:pPr>
    </w:p>
    <w:p w14:paraId="39F59F33" w14:textId="022D0D58" w:rsidR="007D3D32" w:rsidRPr="00D8118B" w:rsidRDefault="00284557" w:rsidP="00CF68CE">
      <w:pPr>
        <w:numPr>
          <w:ilvl w:val="0"/>
          <w:numId w:val="1"/>
        </w:numPr>
        <w:tabs>
          <w:tab w:val="left" w:pos="0"/>
        </w:tabs>
        <w:ind w:left="0"/>
        <w:rPr>
          <w:sz w:val="28"/>
          <w:szCs w:val="28"/>
        </w:rPr>
      </w:pPr>
      <w:r w:rsidRPr="00D8118B">
        <w:rPr>
          <w:sz w:val="28"/>
          <w:szCs w:val="28"/>
        </w:rPr>
        <w:lastRenderedPageBreak/>
        <w:t xml:space="preserve">The high court </w:t>
      </w:r>
      <w:r w:rsidR="0088217C" w:rsidRPr="00D8118B">
        <w:rPr>
          <w:sz w:val="28"/>
          <w:szCs w:val="28"/>
        </w:rPr>
        <w:t xml:space="preserve">stated that it was unnecessary to deal with the allegations that the demand for payment of the guarantee was fraudulently made, because the non-compliance with the terms of the guarantee was dispositive of the matter. </w:t>
      </w:r>
      <w:r w:rsidR="006C017B" w:rsidRPr="00D8118B">
        <w:rPr>
          <w:sz w:val="28"/>
          <w:szCs w:val="28"/>
        </w:rPr>
        <w:t xml:space="preserve">Relying on </w:t>
      </w:r>
      <w:r w:rsidR="006C017B" w:rsidRPr="00D8118B">
        <w:rPr>
          <w:i/>
          <w:sz w:val="28"/>
          <w:szCs w:val="28"/>
        </w:rPr>
        <w:t>State Bank of India and Another v Denel S</w:t>
      </w:r>
      <w:r w:rsidR="00860AF1" w:rsidRPr="00D8118B">
        <w:rPr>
          <w:i/>
          <w:sz w:val="28"/>
          <w:szCs w:val="28"/>
        </w:rPr>
        <w:t>OC</w:t>
      </w:r>
      <w:r w:rsidR="006C017B" w:rsidRPr="00D8118B">
        <w:rPr>
          <w:i/>
          <w:sz w:val="28"/>
          <w:szCs w:val="28"/>
        </w:rPr>
        <w:t xml:space="preserve"> Limited and Others</w:t>
      </w:r>
      <w:r w:rsidR="00A754D2" w:rsidRPr="00D8118B">
        <w:rPr>
          <w:i/>
          <w:sz w:val="28"/>
          <w:szCs w:val="28"/>
        </w:rPr>
        <w:t xml:space="preserve"> (State Bank of India)</w:t>
      </w:r>
      <w:r w:rsidR="00860AF1" w:rsidRPr="00D8118B">
        <w:rPr>
          <w:sz w:val="28"/>
          <w:szCs w:val="28"/>
        </w:rPr>
        <w:t>,</w:t>
      </w:r>
      <w:r w:rsidR="00C71353" w:rsidRPr="00D8118B">
        <w:rPr>
          <w:rStyle w:val="FootnoteReference"/>
          <w:sz w:val="28"/>
          <w:szCs w:val="28"/>
        </w:rPr>
        <w:footnoteReference w:id="2"/>
      </w:r>
      <w:r w:rsidR="00D308B0" w:rsidRPr="00D8118B">
        <w:rPr>
          <w:sz w:val="28"/>
          <w:szCs w:val="28"/>
        </w:rPr>
        <w:t xml:space="preserve"> </w:t>
      </w:r>
      <w:r w:rsidR="00811318" w:rsidRPr="00D8118B">
        <w:rPr>
          <w:sz w:val="28"/>
          <w:szCs w:val="28"/>
        </w:rPr>
        <w:t>the high court held</w:t>
      </w:r>
      <w:r w:rsidR="00D308B0" w:rsidRPr="00D8118B">
        <w:rPr>
          <w:sz w:val="28"/>
          <w:szCs w:val="28"/>
        </w:rPr>
        <w:t xml:space="preserve"> that</w:t>
      </w:r>
      <w:r w:rsidR="00EF5F1B" w:rsidRPr="00D8118B">
        <w:rPr>
          <w:i/>
          <w:sz w:val="28"/>
          <w:szCs w:val="28"/>
        </w:rPr>
        <w:t xml:space="preserve"> </w:t>
      </w:r>
      <w:r w:rsidR="00EF5F1B" w:rsidRPr="00D8118B">
        <w:rPr>
          <w:sz w:val="28"/>
          <w:szCs w:val="28"/>
        </w:rPr>
        <w:t xml:space="preserve">TDS </w:t>
      </w:r>
      <w:r w:rsidR="00811318" w:rsidRPr="00D8118B">
        <w:rPr>
          <w:sz w:val="28"/>
          <w:szCs w:val="28"/>
        </w:rPr>
        <w:t xml:space="preserve">was entitled to </w:t>
      </w:r>
      <w:r w:rsidR="00EF5F1B" w:rsidRPr="00D8118B">
        <w:rPr>
          <w:sz w:val="28"/>
          <w:szCs w:val="28"/>
        </w:rPr>
        <w:t xml:space="preserve">raise the issue of non-compliance </w:t>
      </w:r>
      <w:r w:rsidR="00811318" w:rsidRPr="00D8118B">
        <w:rPr>
          <w:sz w:val="28"/>
          <w:szCs w:val="28"/>
        </w:rPr>
        <w:t xml:space="preserve">with </w:t>
      </w:r>
      <w:r w:rsidR="00EF5F1B" w:rsidRPr="00D8118B">
        <w:rPr>
          <w:sz w:val="28"/>
          <w:szCs w:val="28"/>
        </w:rPr>
        <w:t>the demand</w:t>
      </w:r>
      <w:r w:rsidR="00051A85" w:rsidRPr="00D8118B">
        <w:rPr>
          <w:sz w:val="28"/>
          <w:szCs w:val="28"/>
        </w:rPr>
        <w:t xml:space="preserve">, on the basis of </w:t>
      </w:r>
      <w:r w:rsidR="001604DF" w:rsidRPr="00D8118B">
        <w:rPr>
          <w:sz w:val="28"/>
          <w:szCs w:val="28"/>
        </w:rPr>
        <w:t>a</w:t>
      </w:r>
      <w:r w:rsidR="00051A85" w:rsidRPr="00D8118B">
        <w:rPr>
          <w:sz w:val="28"/>
          <w:szCs w:val="28"/>
        </w:rPr>
        <w:t xml:space="preserve"> </w:t>
      </w:r>
      <w:r w:rsidR="00362CF1" w:rsidRPr="00D8118B">
        <w:rPr>
          <w:sz w:val="28"/>
          <w:szCs w:val="28"/>
        </w:rPr>
        <w:t xml:space="preserve">contract of mandate (the </w:t>
      </w:r>
      <w:r w:rsidR="00051A85" w:rsidRPr="00D8118B">
        <w:rPr>
          <w:sz w:val="28"/>
          <w:szCs w:val="28"/>
        </w:rPr>
        <w:t>banker-client relationship</w:t>
      </w:r>
      <w:r w:rsidR="00362CF1" w:rsidRPr="00D8118B">
        <w:rPr>
          <w:sz w:val="28"/>
          <w:szCs w:val="28"/>
        </w:rPr>
        <w:t>)</w:t>
      </w:r>
      <w:r w:rsidR="00973554" w:rsidRPr="00D8118B">
        <w:rPr>
          <w:sz w:val="28"/>
          <w:szCs w:val="28"/>
        </w:rPr>
        <w:t xml:space="preserve">. </w:t>
      </w:r>
      <w:r w:rsidR="001D12FA" w:rsidRPr="00D8118B">
        <w:rPr>
          <w:sz w:val="28"/>
          <w:szCs w:val="28"/>
        </w:rPr>
        <w:t>Consequently,</w:t>
      </w:r>
      <w:r w:rsidR="009140B1" w:rsidRPr="00D8118B">
        <w:rPr>
          <w:sz w:val="28"/>
          <w:szCs w:val="28"/>
        </w:rPr>
        <w:t xml:space="preserve"> </w:t>
      </w:r>
      <w:r w:rsidR="007D3D32" w:rsidRPr="00D8118B">
        <w:rPr>
          <w:sz w:val="28"/>
          <w:szCs w:val="28"/>
        </w:rPr>
        <w:t xml:space="preserve">the high court granted an order declaring the demands to be invalid and of no force or effect. It refused </w:t>
      </w:r>
      <w:proofErr w:type="spellStart"/>
      <w:r w:rsidR="007D3D32" w:rsidRPr="00D8118B">
        <w:rPr>
          <w:sz w:val="28"/>
          <w:szCs w:val="28"/>
        </w:rPr>
        <w:t>Exxaro’s</w:t>
      </w:r>
      <w:proofErr w:type="spellEnd"/>
      <w:r w:rsidR="007D3D32" w:rsidRPr="00D8118B">
        <w:rPr>
          <w:sz w:val="28"/>
          <w:szCs w:val="28"/>
        </w:rPr>
        <w:t xml:space="preserve"> counter-application on the basis that there were disputes of fact which could not be resolved on the papers and further, that there was an arbitration provision in the contract to deal with the dispute concerning the counter-</w:t>
      </w:r>
      <w:r w:rsidR="00631925" w:rsidRPr="00D8118B">
        <w:rPr>
          <w:sz w:val="28"/>
          <w:szCs w:val="28"/>
        </w:rPr>
        <w:t>application</w:t>
      </w:r>
      <w:r w:rsidR="003B715C" w:rsidRPr="00D8118B">
        <w:rPr>
          <w:sz w:val="28"/>
          <w:szCs w:val="28"/>
        </w:rPr>
        <w:t>.</w:t>
      </w:r>
      <w:r w:rsidR="007D3D32" w:rsidRPr="00D8118B">
        <w:rPr>
          <w:sz w:val="28"/>
          <w:szCs w:val="28"/>
        </w:rPr>
        <w:t xml:space="preserve"> </w:t>
      </w:r>
    </w:p>
    <w:p w14:paraId="1EE93A2D" w14:textId="77777777" w:rsidR="007D3D32" w:rsidRPr="00D8118B" w:rsidRDefault="007D3D32" w:rsidP="007D3D32">
      <w:pPr>
        <w:rPr>
          <w:sz w:val="28"/>
          <w:szCs w:val="28"/>
        </w:rPr>
      </w:pPr>
    </w:p>
    <w:p w14:paraId="0CED4A6B" w14:textId="4CBDF434" w:rsidR="005F1453" w:rsidRPr="00D8118B" w:rsidRDefault="005F1453" w:rsidP="00B042BE">
      <w:pPr>
        <w:numPr>
          <w:ilvl w:val="0"/>
          <w:numId w:val="1"/>
        </w:numPr>
        <w:tabs>
          <w:tab w:val="left" w:pos="0"/>
        </w:tabs>
        <w:ind w:left="0"/>
        <w:rPr>
          <w:sz w:val="28"/>
          <w:szCs w:val="28"/>
        </w:rPr>
      </w:pPr>
      <w:bookmarkStart w:id="5" w:name="_Hlk102992645"/>
      <w:bookmarkEnd w:id="4"/>
      <w:r w:rsidRPr="00D8118B">
        <w:rPr>
          <w:sz w:val="28"/>
          <w:szCs w:val="28"/>
        </w:rPr>
        <w:t xml:space="preserve">It was common cause between the parties that the performance guarantee issued by ABSA is a demand guarantee. As was held in </w:t>
      </w:r>
      <w:proofErr w:type="spellStart"/>
      <w:r w:rsidR="001E6F91" w:rsidRPr="00D8118B">
        <w:rPr>
          <w:i/>
          <w:sz w:val="28"/>
          <w:szCs w:val="28"/>
          <w:lang w:val="en-ZA"/>
        </w:rPr>
        <w:t>Loomcraft</w:t>
      </w:r>
      <w:proofErr w:type="spellEnd"/>
      <w:r w:rsidR="001E6F91" w:rsidRPr="00D8118B">
        <w:rPr>
          <w:i/>
          <w:sz w:val="28"/>
          <w:szCs w:val="28"/>
          <w:lang w:val="en-ZA"/>
        </w:rPr>
        <w:t xml:space="preserve"> Fabrics CC v Nedbank Ltd</w:t>
      </w:r>
      <w:r w:rsidR="001E6F91" w:rsidRPr="00D8118B">
        <w:rPr>
          <w:sz w:val="28"/>
          <w:szCs w:val="28"/>
          <w:lang w:val="en-ZA"/>
        </w:rPr>
        <w:t xml:space="preserve"> </w:t>
      </w:r>
      <w:r w:rsidR="001E6F91" w:rsidRPr="00D8118B">
        <w:rPr>
          <w:i/>
          <w:sz w:val="28"/>
          <w:szCs w:val="28"/>
          <w:lang w:val="en-ZA"/>
        </w:rPr>
        <w:t>and Another</w:t>
      </w:r>
      <w:r w:rsidR="00E80964">
        <w:rPr>
          <w:i/>
          <w:sz w:val="28"/>
          <w:szCs w:val="28"/>
          <w:lang w:val="en-ZA"/>
        </w:rPr>
        <w:t xml:space="preserve"> (</w:t>
      </w:r>
      <w:proofErr w:type="spellStart"/>
      <w:r w:rsidR="00E80964">
        <w:rPr>
          <w:i/>
          <w:sz w:val="28"/>
          <w:szCs w:val="28"/>
          <w:lang w:val="en-ZA"/>
        </w:rPr>
        <w:t>Loomcraft</w:t>
      </w:r>
      <w:proofErr w:type="spellEnd"/>
      <w:r w:rsidR="00E80964">
        <w:rPr>
          <w:i/>
          <w:sz w:val="28"/>
          <w:szCs w:val="28"/>
          <w:lang w:val="en-ZA"/>
        </w:rPr>
        <w:t>)</w:t>
      </w:r>
      <w:r w:rsidRPr="00D8118B">
        <w:rPr>
          <w:rStyle w:val="FootnoteReference"/>
          <w:sz w:val="28"/>
          <w:szCs w:val="28"/>
        </w:rPr>
        <w:footnoteReference w:id="3"/>
      </w:r>
      <w:r w:rsidRPr="00D8118B">
        <w:rPr>
          <w:sz w:val="28"/>
          <w:szCs w:val="28"/>
        </w:rPr>
        <w:t xml:space="preserve"> and numerous cases that followed it, a demand guarantee is akin to an irrevocable letter of credit, which establishes a contractual obligation on the part of the bank to pay the beneficiary on the occurrence of a specified event, and is wholly independent of the underlying contract of sale between the buyer and the seller. The bank will escape liability only upon proof of fraud on the part of the beneficiary.</w:t>
      </w:r>
      <w:r w:rsidRPr="00D8118B">
        <w:rPr>
          <w:rStyle w:val="FootnoteReference"/>
          <w:sz w:val="28"/>
          <w:szCs w:val="28"/>
        </w:rPr>
        <w:footnoteReference w:id="4"/>
      </w:r>
      <w:r w:rsidRPr="00D8118B">
        <w:rPr>
          <w:sz w:val="28"/>
          <w:szCs w:val="28"/>
        </w:rPr>
        <w:t xml:space="preserve"> </w:t>
      </w:r>
      <w:r w:rsidRPr="00D8118B">
        <w:rPr>
          <w:sz w:val="28"/>
          <w:szCs w:val="28"/>
        </w:rPr>
        <w:lastRenderedPageBreak/>
        <w:t xml:space="preserve">The importance of allowing banks to honour their obligations under irrevocable credits without judicial interference, was stressed in </w:t>
      </w:r>
      <w:proofErr w:type="spellStart"/>
      <w:r w:rsidRPr="00D8118B">
        <w:rPr>
          <w:i/>
          <w:sz w:val="28"/>
          <w:szCs w:val="28"/>
        </w:rPr>
        <w:t>Loomcraft</w:t>
      </w:r>
      <w:proofErr w:type="spellEnd"/>
      <w:r w:rsidR="004B4F31">
        <w:rPr>
          <w:i/>
          <w:sz w:val="28"/>
          <w:szCs w:val="28"/>
        </w:rPr>
        <w:t>,</w:t>
      </w:r>
      <w:r w:rsidR="00BD4EEB" w:rsidRPr="00D8118B">
        <w:rPr>
          <w:sz w:val="28"/>
          <w:szCs w:val="28"/>
        </w:rPr>
        <w:t xml:space="preserve"> where</w:t>
      </w:r>
      <w:r w:rsidRPr="00D8118B">
        <w:rPr>
          <w:sz w:val="28"/>
          <w:szCs w:val="28"/>
        </w:rPr>
        <w:t xml:space="preserve"> it was stated that an interdict by the buyer to restrain a bank from paying under a </w:t>
      </w:r>
      <w:r w:rsidR="00B74872" w:rsidRPr="00D8118B">
        <w:rPr>
          <w:sz w:val="28"/>
          <w:szCs w:val="28"/>
        </w:rPr>
        <w:t xml:space="preserve">letter of </w:t>
      </w:r>
      <w:r w:rsidRPr="00D8118B">
        <w:rPr>
          <w:sz w:val="28"/>
          <w:szCs w:val="28"/>
        </w:rPr>
        <w:t>credit would not be granted save in the most exceptional cases.</w:t>
      </w:r>
      <w:r w:rsidRPr="00D8118B">
        <w:rPr>
          <w:rStyle w:val="FootnoteReference"/>
          <w:sz w:val="28"/>
          <w:szCs w:val="28"/>
        </w:rPr>
        <w:footnoteReference w:id="5"/>
      </w:r>
      <w:r w:rsidRPr="00D8118B">
        <w:rPr>
          <w:sz w:val="28"/>
          <w:szCs w:val="28"/>
        </w:rPr>
        <w:t xml:space="preserve"> </w:t>
      </w:r>
    </w:p>
    <w:bookmarkEnd w:id="5"/>
    <w:p w14:paraId="4689F570" w14:textId="77777777" w:rsidR="005F1453" w:rsidRPr="00D8118B" w:rsidRDefault="005F1453" w:rsidP="0081193F">
      <w:pPr>
        <w:tabs>
          <w:tab w:val="left" w:pos="0"/>
        </w:tabs>
        <w:rPr>
          <w:sz w:val="28"/>
          <w:szCs w:val="28"/>
        </w:rPr>
      </w:pPr>
    </w:p>
    <w:p w14:paraId="6D2EFCB7" w14:textId="1D120826" w:rsidR="005F1453" w:rsidRPr="00D8118B" w:rsidRDefault="005F1453" w:rsidP="005F1453">
      <w:pPr>
        <w:numPr>
          <w:ilvl w:val="0"/>
          <w:numId w:val="1"/>
        </w:numPr>
        <w:tabs>
          <w:tab w:val="left" w:pos="0"/>
        </w:tabs>
        <w:ind w:left="0"/>
        <w:rPr>
          <w:sz w:val="28"/>
          <w:szCs w:val="28"/>
        </w:rPr>
      </w:pPr>
      <w:r w:rsidRPr="00D8118B">
        <w:rPr>
          <w:sz w:val="28"/>
          <w:szCs w:val="28"/>
        </w:rPr>
        <w:t xml:space="preserve">Counsel for TDS conceded that no case of fraud was made out in the founding affidavit. In its supplementary founding affidavit, TDS alleged that the focal point of the application was ‘whether there exists a compliant demand for payment under the guarantee’. Thus, the case made out by TDS was non-compliance by </w:t>
      </w:r>
      <w:proofErr w:type="spellStart"/>
      <w:r w:rsidRPr="00D8118B">
        <w:rPr>
          <w:sz w:val="28"/>
          <w:szCs w:val="28"/>
        </w:rPr>
        <w:t>Exxaro</w:t>
      </w:r>
      <w:proofErr w:type="spellEnd"/>
      <w:r w:rsidRPr="00D8118B">
        <w:rPr>
          <w:sz w:val="28"/>
          <w:szCs w:val="28"/>
        </w:rPr>
        <w:t xml:space="preserve"> with the terms of the guarantee.</w:t>
      </w:r>
    </w:p>
    <w:p w14:paraId="03D70DD8" w14:textId="77777777" w:rsidR="00495386" w:rsidRPr="00D8118B" w:rsidRDefault="00495386" w:rsidP="001F34B5">
      <w:pPr>
        <w:tabs>
          <w:tab w:val="left" w:pos="0"/>
        </w:tabs>
        <w:rPr>
          <w:sz w:val="28"/>
          <w:szCs w:val="28"/>
        </w:rPr>
      </w:pPr>
    </w:p>
    <w:p w14:paraId="34D1923F" w14:textId="22D9CDF2" w:rsidR="004E5535" w:rsidRPr="00D8118B" w:rsidRDefault="00495386" w:rsidP="00356BD7">
      <w:pPr>
        <w:numPr>
          <w:ilvl w:val="0"/>
          <w:numId w:val="1"/>
        </w:numPr>
        <w:tabs>
          <w:tab w:val="left" w:pos="0"/>
        </w:tabs>
        <w:ind w:left="0"/>
        <w:rPr>
          <w:sz w:val="28"/>
          <w:szCs w:val="28"/>
        </w:rPr>
      </w:pPr>
      <w:bookmarkStart w:id="6" w:name="_Hlk102992914"/>
      <w:r w:rsidRPr="00D8118B">
        <w:rPr>
          <w:sz w:val="28"/>
          <w:szCs w:val="28"/>
        </w:rPr>
        <w:t>The question</w:t>
      </w:r>
      <w:r w:rsidR="00CE132A" w:rsidRPr="00D8118B">
        <w:rPr>
          <w:sz w:val="28"/>
          <w:szCs w:val="28"/>
        </w:rPr>
        <w:t>, therefore,</w:t>
      </w:r>
      <w:r w:rsidRPr="00D8118B">
        <w:rPr>
          <w:sz w:val="28"/>
          <w:szCs w:val="28"/>
        </w:rPr>
        <w:t xml:space="preserve"> </w:t>
      </w:r>
      <w:r w:rsidR="001F34B5" w:rsidRPr="00D8118B">
        <w:rPr>
          <w:sz w:val="28"/>
          <w:szCs w:val="28"/>
        </w:rPr>
        <w:t xml:space="preserve">is </w:t>
      </w:r>
      <w:r w:rsidRPr="00D8118B">
        <w:rPr>
          <w:sz w:val="28"/>
          <w:szCs w:val="28"/>
        </w:rPr>
        <w:t>whether</w:t>
      </w:r>
      <w:r w:rsidR="001F34B5" w:rsidRPr="00D8118B">
        <w:rPr>
          <w:sz w:val="28"/>
          <w:szCs w:val="28"/>
        </w:rPr>
        <w:t xml:space="preserve"> TDS</w:t>
      </w:r>
      <w:r w:rsidRPr="00D8118B">
        <w:rPr>
          <w:sz w:val="28"/>
          <w:szCs w:val="28"/>
        </w:rPr>
        <w:t xml:space="preserve"> </w:t>
      </w:r>
      <w:r w:rsidR="001F34B5" w:rsidRPr="00D8118B">
        <w:rPr>
          <w:sz w:val="28"/>
          <w:szCs w:val="28"/>
        </w:rPr>
        <w:t>was entitled to an interdict on this basis</w:t>
      </w:r>
      <w:r w:rsidR="001E28FF" w:rsidRPr="00D8118B">
        <w:rPr>
          <w:sz w:val="28"/>
          <w:szCs w:val="28"/>
        </w:rPr>
        <w:t>.</w:t>
      </w:r>
      <w:r w:rsidR="00D1520C" w:rsidRPr="00D8118B">
        <w:rPr>
          <w:sz w:val="28"/>
          <w:szCs w:val="28"/>
        </w:rPr>
        <w:t xml:space="preserve"> </w:t>
      </w:r>
      <w:r w:rsidR="001E28FF" w:rsidRPr="00D8118B">
        <w:rPr>
          <w:sz w:val="28"/>
          <w:szCs w:val="28"/>
        </w:rPr>
        <w:t>T</w:t>
      </w:r>
      <w:r w:rsidR="00D1520C" w:rsidRPr="00D8118B">
        <w:rPr>
          <w:sz w:val="28"/>
          <w:szCs w:val="28"/>
        </w:rPr>
        <w:t xml:space="preserve">he requisites for the grant of a final interdict </w:t>
      </w:r>
      <w:r w:rsidR="001E28FF" w:rsidRPr="00D8118B">
        <w:rPr>
          <w:sz w:val="28"/>
          <w:szCs w:val="28"/>
        </w:rPr>
        <w:t>are</w:t>
      </w:r>
      <w:r w:rsidR="00D1520C" w:rsidRPr="00D8118B">
        <w:rPr>
          <w:sz w:val="28"/>
          <w:szCs w:val="28"/>
        </w:rPr>
        <w:t xml:space="preserve"> trite: a clear right; an injury actually committed or reasonably apprehended; and the absence of another adequate remedy.</w:t>
      </w:r>
      <w:r w:rsidR="00F23D0C" w:rsidRPr="00D8118B">
        <w:rPr>
          <w:rStyle w:val="FootnoteReference"/>
          <w:sz w:val="28"/>
          <w:szCs w:val="28"/>
        </w:rPr>
        <w:footnoteReference w:id="6"/>
      </w:r>
      <w:r w:rsidR="001F34B5" w:rsidRPr="00D8118B">
        <w:rPr>
          <w:sz w:val="28"/>
          <w:szCs w:val="28"/>
        </w:rPr>
        <w:t xml:space="preserve"> </w:t>
      </w:r>
    </w:p>
    <w:p w14:paraId="6ADE0D74" w14:textId="77777777" w:rsidR="004E5535" w:rsidRPr="00D8118B" w:rsidRDefault="004E5535" w:rsidP="000C0334">
      <w:pPr>
        <w:tabs>
          <w:tab w:val="left" w:pos="0"/>
        </w:tabs>
        <w:rPr>
          <w:sz w:val="28"/>
          <w:szCs w:val="28"/>
        </w:rPr>
      </w:pPr>
    </w:p>
    <w:p w14:paraId="1757A0F5" w14:textId="4B25CAD1" w:rsidR="003E1C54" w:rsidRPr="00D8118B" w:rsidRDefault="004E5535" w:rsidP="00356BD7">
      <w:pPr>
        <w:numPr>
          <w:ilvl w:val="0"/>
          <w:numId w:val="1"/>
        </w:numPr>
        <w:tabs>
          <w:tab w:val="left" w:pos="0"/>
        </w:tabs>
        <w:ind w:left="0"/>
        <w:rPr>
          <w:sz w:val="28"/>
          <w:szCs w:val="28"/>
        </w:rPr>
      </w:pPr>
      <w:r w:rsidRPr="00B73910">
        <w:rPr>
          <w:sz w:val="28"/>
          <w:szCs w:val="28"/>
        </w:rPr>
        <w:t xml:space="preserve">In my view, TDS failed to establish any injury </w:t>
      </w:r>
      <w:proofErr w:type="spellStart"/>
      <w:r w:rsidRPr="00B73910">
        <w:rPr>
          <w:sz w:val="28"/>
          <w:szCs w:val="28"/>
        </w:rPr>
        <w:t>ie</w:t>
      </w:r>
      <w:proofErr w:type="spellEnd"/>
      <w:r w:rsidRPr="00B73910">
        <w:rPr>
          <w:sz w:val="28"/>
          <w:szCs w:val="28"/>
        </w:rPr>
        <w:t xml:space="preserve"> ‘something actually done which is prejudicial to or interferes with the applicant’s right’.</w:t>
      </w:r>
      <w:r w:rsidRPr="00B73910">
        <w:rPr>
          <w:rStyle w:val="FootnoteReference"/>
          <w:sz w:val="28"/>
          <w:szCs w:val="28"/>
        </w:rPr>
        <w:footnoteReference w:id="7"/>
      </w:r>
      <w:r w:rsidR="003E1C54" w:rsidRPr="00B73910">
        <w:rPr>
          <w:sz w:val="28"/>
          <w:szCs w:val="28"/>
        </w:rPr>
        <w:t xml:space="preserve"> The alleged injury was firstly, founded on </w:t>
      </w:r>
      <w:proofErr w:type="spellStart"/>
      <w:r w:rsidR="003E1C54" w:rsidRPr="00B73910">
        <w:rPr>
          <w:sz w:val="28"/>
          <w:szCs w:val="28"/>
        </w:rPr>
        <w:t>‘a</w:t>
      </w:r>
      <w:proofErr w:type="spellEnd"/>
      <w:r w:rsidR="003E1C54" w:rsidRPr="00B73910">
        <w:rPr>
          <w:sz w:val="28"/>
          <w:szCs w:val="28"/>
        </w:rPr>
        <w:t xml:space="preserve"> fraudulent call’ on the guarantee, which</w:t>
      </w:r>
      <w:r w:rsidR="00282B31" w:rsidRPr="00B73910">
        <w:rPr>
          <w:sz w:val="28"/>
          <w:szCs w:val="28"/>
        </w:rPr>
        <w:t xml:space="preserve"> – it was conceded –</w:t>
      </w:r>
      <w:r w:rsidR="003E1C54" w:rsidRPr="00B73910">
        <w:rPr>
          <w:sz w:val="28"/>
          <w:szCs w:val="28"/>
        </w:rPr>
        <w:t xml:space="preserve"> had not been established. Secondly, the </w:t>
      </w:r>
      <w:r w:rsidR="00576029" w:rsidRPr="00B73910">
        <w:rPr>
          <w:sz w:val="28"/>
          <w:szCs w:val="28"/>
        </w:rPr>
        <w:t>terms of the bank</w:t>
      </w:r>
      <w:r w:rsidR="00FD22F0" w:rsidRPr="00B73910">
        <w:rPr>
          <w:sz w:val="28"/>
          <w:szCs w:val="28"/>
        </w:rPr>
        <w:t>er</w:t>
      </w:r>
      <w:r w:rsidR="00576029" w:rsidRPr="00B73910">
        <w:rPr>
          <w:sz w:val="28"/>
          <w:szCs w:val="28"/>
        </w:rPr>
        <w:t>-c</w:t>
      </w:r>
      <w:r w:rsidR="00FD22F0" w:rsidRPr="00B73910">
        <w:rPr>
          <w:sz w:val="28"/>
          <w:szCs w:val="28"/>
        </w:rPr>
        <w:t xml:space="preserve">ustomer </w:t>
      </w:r>
      <w:r w:rsidR="00576029" w:rsidRPr="00E80964">
        <w:rPr>
          <w:sz w:val="28"/>
          <w:szCs w:val="28"/>
        </w:rPr>
        <w:t>relationship</w:t>
      </w:r>
      <w:r w:rsidR="00FD22F0" w:rsidRPr="00E80964">
        <w:rPr>
          <w:sz w:val="28"/>
          <w:szCs w:val="28"/>
        </w:rPr>
        <w:t xml:space="preserve"> between TDS and ABSA</w:t>
      </w:r>
      <w:r w:rsidR="00D52C4C" w:rsidRPr="00E80964">
        <w:rPr>
          <w:sz w:val="28"/>
          <w:szCs w:val="28"/>
        </w:rPr>
        <w:t>,</w:t>
      </w:r>
      <w:r w:rsidR="00CF7E0F" w:rsidRPr="00E80964">
        <w:rPr>
          <w:sz w:val="28"/>
          <w:szCs w:val="28"/>
        </w:rPr>
        <w:t xml:space="preserve"> </w:t>
      </w:r>
      <w:r w:rsidR="00FD22F0" w:rsidRPr="00E80964">
        <w:rPr>
          <w:sz w:val="28"/>
          <w:szCs w:val="28"/>
        </w:rPr>
        <w:t xml:space="preserve">the </w:t>
      </w:r>
      <w:r w:rsidR="00A5421F" w:rsidRPr="00E80964">
        <w:rPr>
          <w:sz w:val="28"/>
          <w:szCs w:val="28"/>
        </w:rPr>
        <w:t>content of the</w:t>
      </w:r>
      <w:r w:rsidR="00A5421F" w:rsidRPr="00D8118B">
        <w:rPr>
          <w:sz w:val="28"/>
          <w:szCs w:val="28"/>
        </w:rPr>
        <w:t xml:space="preserve"> </w:t>
      </w:r>
      <w:r w:rsidR="00FD22F0" w:rsidRPr="00D8118B">
        <w:rPr>
          <w:sz w:val="28"/>
          <w:szCs w:val="28"/>
        </w:rPr>
        <w:t>counter-guarantees</w:t>
      </w:r>
      <w:r w:rsidR="00A5421F" w:rsidRPr="00D8118B">
        <w:rPr>
          <w:sz w:val="28"/>
          <w:szCs w:val="28"/>
        </w:rPr>
        <w:t xml:space="preserve"> that </w:t>
      </w:r>
      <w:r w:rsidR="00BC3D4A" w:rsidRPr="00D8118B">
        <w:rPr>
          <w:sz w:val="28"/>
          <w:szCs w:val="28"/>
        </w:rPr>
        <w:t>allegedly</w:t>
      </w:r>
      <w:r w:rsidR="00D52C4C" w:rsidRPr="00D8118B">
        <w:rPr>
          <w:sz w:val="28"/>
          <w:szCs w:val="28"/>
        </w:rPr>
        <w:t xml:space="preserve"> would</w:t>
      </w:r>
      <w:r w:rsidR="00BC3D4A" w:rsidRPr="00D8118B">
        <w:rPr>
          <w:sz w:val="28"/>
          <w:szCs w:val="28"/>
        </w:rPr>
        <w:t xml:space="preserve"> </w:t>
      </w:r>
      <w:r w:rsidR="00AB4388" w:rsidRPr="00D8118B">
        <w:rPr>
          <w:sz w:val="28"/>
          <w:szCs w:val="28"/>
        </w:rPr>
        <w:t xml:space="preserve">have </w:t>
      </w:r>
      <w:r w:rsidR="00A5421F" w:rsidRPr="00D8118B">
        <w:rPr>
          <w:sz w:val="28"/>
          <w:szCs w:val="28"/>
        </w:rPr>
        <w:t>result</w:t>
      </w:r>
      <w:r w:rsidR="00AB4388" w:rsidRPr="00D8118B">
        <w:rPr>
          <w:sz w:val="28"/>
          <w:szCs w:val="28"/>
        </w:rPr>
        <w:t>ed</w:t>
      </w:r>
      <w:r w:rsidR="00A5421F" w:rsidRPr="00D8118B">
        <w:rPr>
          <w:sz w:val="28"/>
          <w:szCs w:val="28"/>
        </w:rPr>
        <w:t xml:space="preserve"> in ‘immediate liability’ </w:t>
      </w:r>
      <w:r w:rsidR="00A5421F" w:rsidRPr="00D8118B">
        <w:rPr>
          <w:sz w:val="28"/>
          <w:szCs w:val="28"/>
        </w:rPr>
        <w:lastRenderedPageBreak/>
        <w:t>to TDS</w:t>
      </w:r>
      <w:r w:rsidR="00A529D9" w:rsidRPr="00D8118B">
        <w:rPr>
          <w:sz w:val="28"/>
          <w:szCs w:val="28"/>
        </w:rPr>
        <w:t xml:space="preserve">, </w:t>
      </w:r>
      <w:r w:rsidR="00D52C4C" w:rsidRPr="00D8118B">
        <w:rPr>
          <w:sz w:val="28"/>
          <w:szCs w:val="28"/>
        </w:rPr>
        <w:t xml:space="preserve">and the ‘default in respect of various facilities’ that would be triggered, </w:t>
      </w:r>
      <w:r w:rsidR="00A529D9" w:rsidRPr="00D8118B">
        <w:rPr>
          <w:sz w:val="28"/>
          <w:szCs w:val="28"/>
        </w:rPr>
        <w:t>were</w:t>
      </w:r>
      <w:r w:rsidR="00A5421F" w:rsidRPr="00D8118B">
        <w:rPr>
          <w:sz w:val="28"/>
          <w:szCs w:val="28"/>
        </w:rPr>
        <w:t xml:space="preserve"> not</w:t>
      </w:r>
      <w:r w:rsidR="00A529D9" w:rsidRPr="00D8118B">
        <w:rPr>
          <w:sz w:val="28"/>
          <w:szCs w:val="28"/>
        </w:rPr>
        <w:t xml:space="preserve"> pleaded.</w:t>
      </w:r>
      <w:r w:rsidR="00B74872" w:rsidRPr="00D8118B">
        <w:rPr>
          <w:sz w:val="28"/>
          <w:szCs w:val="28"/>
        </w:rPr>
        <w:t xml:space="preserve"> </w:t>
      </w:r>
      <w:r w:rsidR="00BD4EEB" w:rsidRPr="00D8118B">
        <w:rPr>
          <w:sz w:val="28"/>
          <w:szCs w:val="28"/>
        </w:rPr>
        <w:t>In short,</w:t>
      </w:r>
      <w:r w:rsidR="00A5421F" w:rsidRPr="00D8118B">
        <w:rPr>
          <w:sz w:val="28"/>
          <w:szCs w:val="28"/>
        </w:rPr>
        <w:t xml:space="preserve"> </w:t>
      </w:r>
      <w:r w:rsidR="00F96AE5" w:rsidRPr="00D8118B">
        <w:rPr>
          <w:sz w:val="28"/>
          <w:szCs w:val="28"/>
        </w:rPr>
        <w:t>n</w:t>
      </w:r>
      <w:r w:rsidR="005D7FB0" w:rsidRPr="00D8118B">
        <w:rPr>
          <w:sz w:val="28"/>
          <w:szCs w:val="28"/>
        </w:rPr>
        <w:t xml:space="preserve">o evidence was </w:t>
      </w:r>
      <w:r w:rsidR="00BD4EEB" w:rsidRPr="00D8118B">
        <w:rPr>
          <w:sz w:val="28"/>
          <w:szCs w:val="28"/>
        </w:rPr>
        <w:t xml:space="preserve">presented </w:t>
      </w:r>
      <w:r w:rsidR="005D7FB0" w:rsidRPr="00D8118B">
        <w:rPr>
          <w:sz w:val="28"/>
          <w:szCs w:val="28"/>
        </w:rPr>
        <w:t xml:space="preserve">as to </w:t>
      </w:r>
      <w:r w:rsidR="00F96AE5" w:rsidRPr="00D8118B">
        <w:rPr>
          <w:sz w:val="28"/>
          <w:szCs w:val="28"/>
        </w:rPr>
        <w:t xml:space="preserve">the existence or nature of </w:t>
      </w:r>
      <w:r w:rsidR="00F570C1" w:rsidRPr="00D8118B">
        <w:rPr>
          <w:sz w:val="28"/>
          <w:szCs w:val="28"/>
        </w:rPr>
        <w:t>the relationship between TDS and ABSA</w:t>
      </w:r>
      <w:r w:rsidR="00566FD8" w:rsidRPr="00D8118B">
        <w:rPr>
          <w:sz w:val="28"/>
          <w:szCs w:val="28"/>
        </w:rPr>
        <w:t>,</w:t>
      </w:r>
      <w:r w:rsidR="00F570C1" w:rsidRPr="00D8118B">
        <w:rPr>
          <w:sz w:val="28"/>
          <w:szCs w:val="28"/>
        </w:rPr>
        <w:t xml:space="preserve"> </w:t>
      </w:r>
      <w:r w:rsidR="00566FD8" w:rsidRPr="00D8118B">
        <w:rPr>
          <w:sz w:val="28"/>
          <w:szCs w:val="28"/>
        </w:rPr>
        <w:t>or what</w:t>
      </w:r>
      <w:r w:rsidR="005D7FB0" w:rsidRPr="00D8118B">
        <w:rPr>
          <w:sz w:val="28"/>
          <w:szCs w:val="28"/>
        </w:rPr>
        <w:t xml:space="preserve"> obligations </w:t>
      </w:r>
      <w:r w:rsidR="00BD4EEB" w:rsidRPr="00D8118B">
        <w:rPr>
          <w:sz w:val="28"/>
          <w:szCs w:val="28"/>
        </w:rPr>
        <w:t xml:space="preserve">would </w:t>
      </w:r>
      <w:r w:rsidR="00F570C1" w:rsidRPr="00D8118B">
        <w:rPr>
          <w:sz w:val="28"/>
          <w:szCs w:val="28"/>
        </w:rPr>
        <w:t>arise</w:t>
      </w:r>
      <w:r w:rsidR="005D7FB0" w:rsidRPr="00D8118B">
        <w:rPr>
          <w:sz w:val="28"/>
          <w:szCs w:val="28"/>
        </w:rPr>
        <w:t xml:space="preserve"> if ABSA </w:t>
      </w:r>
      <w:r w:rsidR="00F570C1" w:rsidRPr="00D8118B">
        <w:rPr>
          <w:sz w:val="28"/>
          <w:szCs w:val="28"/>
        </w:rPr>
        <w:t>honoured</w:t>
      </w:r>
      <w:r w:rsidR="005D7FB0" w:rsidRPr="00D8118B">
        <w:rPr>
          <w:sz w:val="28"/>
          <w:szCs w:val="28"/>
        </w:rPr>
        <w:t xml:space="preserve"> the performance guarantee. </w:t>
      </w:r>
    </w:p>
    <w:p w14:paraId="7D0BF8A9" w14:textId="77777777" w:rsidR="0091707B" w:rsidRPr="00D8118B" w:rsidRDefault="0091707B" w:rsidP="0091707B">
      <w:pPr>
        <w:pStyle w:val="ListParagraph"/>
        <w:rPr>
          <w:sz w:val="28"/>
          <w:szCs w:val="28"/>
        </w:rPr>
      </w:pPr>
    </w:p>
    <w:p w14:paraId="5BCA6A88" w14:textId="41FA6B27" w:rsidR="003E1C54" w:rsidRPr="00327E7A" w:rsidRDefault="005E25D1" w:rsidP="002F7366">
      <w:pPr>
        <w:numPr>
          <w:ilvl w:val="0"/>
          <w:numId w:val="1"/>
        </w:numPr>
        <w:tabs>
          <w:tab w:val="left" w:pos="0"/>
        </w:tabs>
        <w:ind w:left="0"/>
        <w:rPr>
          <w:sz w:val="28"/>
          <w:szCs w:val="28"/>
        </w:rPr>
      </w:pPr>
      <w:r w:rsidRPr="00327E7A">
        <w:rPr>
          <w:sz w:val="28"/>
          <w:szCs w:val="28"/>
        </w:rPr>
        <w:t>More f</w:t>
      </w:r>
      <w:r w:rsidR="002F7366" w:rsidRPr="00327E7A">
        <w:rPr>
          <w:sz w:val="28"/>
          <w:szCs w:val="28"/>
        </w:rPr>
        <w:t>undamentally</w:t>
      </w:r>
      <w:r w:rsidR="00EC4399" w:rsidRPr="00327E7A">
        <w:rPr>
          <w:sz w:val="28"/>
          <w:szCs w:val="28"/>
        </w:rPr>
        <w:t>,</w:t>
      </w:r>
      <w:r w:rsidR="002F7366" w:rsidRPr="00327E7A">
        <w:rPr>
          <w:sz w:val="28"/>
          <w:szCs w:val="28"/>
        </w:rPr>
        <w:t xml:space="preserve"> however, i</w:t>
      </w:r>
      <w:r w:rsidR="008D6A1F" w:rsidRPr="00327E7A">
        <w:rPr>
          <w:sz w:val="28"/>
          <w:szCs w:val="28"/>
        </w:rPr>
        <w:t xml:space="preserve">f ABSA </w:t>
      </w:r>
      <w:r w:rsidR="00B128CE" w:rsidRPr="00327E7A">
        <w:rPr>
          <w:sz w:val="28"/>
          <w:szCs w:val="28"/>
        </w:rPr>
        <w:t xml:space="preserve">were to </w:t>
      </w:r>
      <w:r w:rsidR="008D6A1F" w:rsidRPr="00327E7A">
        <w:rPr>
          <w:sz w:val="28"/>
          <w:szCs w:val="28"/>
        </w:rPr>
        <w:t xml:space="preserve">honour the guarantee </w:t>
      </w:r>
      <w:r w:rsidR="000E0929" w:rsidRPr="00327E7A">
        <w:rPr>
          <w:sz w:val="28"/>
          <w:szCs w:val="28"/>
        </w:rPr>
        <w:t xml:space="preserve">when the demand to do so did not comply with the terms of the guarantee, </w:t>
      </w:r>
      <w:r w:rsidR="008D6A1F" w:rsidRPr="00327E7A">
        <w:rPr>
          <w:sz w:val="28"/>
          <w:szCs w:val="28"/>
        </w:rPr>
        <w:t xml:space="preserve">TDS would have a complete defence </w:t>
      </w:r>
      <w:r w:rsidR="00EA0B68" w:rsidRPr="00327E7A">
        <w:rPr>
          <w:sz w:val="28"/>
          <w:szCs w:val="28"/>
        </w:rPr>
        <w:t xml:space="preserve">to a claim by ABSA based on its having </w:t>
      </w:r>
      <w:r w:rsidR="006F521D" w:rsidRPr="00327E7A">
        <w:rPr>
          <w:sz w:val="28"/>
          <w:szCs w:val="28"/>
        </w:rPr>
        <w:t>done so</w:t>
      </w:r>
      <w:r w:rsidR="005D7FB0" w:rsidRPr="00327E7A">
        <w:rPr>
          <w:sz w:val="28"/>
          <w:szCs w:val="28"/>
        </w:rPr>
        <w:t xml:space="preserve">. </w:t>
      </w:r>
      <w:r w:rsidRPr="00327E7A">
        <w:rPr>
          <w:sz w:val="28"/>
          <w:szCs w:val="28"/>
        </w:rPr>
        <w:t xml:space="preserve">The only basis on which </w:t>
      </w:r>
      <w:r w:rsidR="007E1400" w:rsidRPr="00327E7A">
        <w:rPr>
          <w:sz w:val="28"/>
          <w:szCs w:val="28"/>
        </w:rPr>
        <w:t xml:space="preserve">any liability of TDS might arise, whether to </w:t>
      </w:r>
      <w:r w:rsidRPr="00327E7A">
        <w:rPr>
          <w:sz w:val="28"/>
          <w:szCs w:val="28"/>
        </w:rPr>
        <w:t xml:space="preserve">ABSA or any other party, would be if ABSA was lawfully obliged to honour the guarantee. The entire </w:t>
      </w:r>
      <w:r w:rsidR="001E6D32" w:rsidRPr="00327E7A">
        <w:rPr>
          <w:sz w:val="28"/>
          <w:szCs w:val="28"/>
        </w:rPr>
        <w:t xml:space="preserve">argument </w:t>
      </w:r>
      <w:r w:rsidR="006B1C8F" w:rsidRPr="00327E7A">
        <w:rPr>
          <w:sz w:val="28"/>
          <w:szCs w:val="28"/>
        </w:rPr>
        <w:t xml:space="preserve">before us was that the demand made of ABSA was not lawful since it </w:t>
      </w:r>
      <w:r w:rsidR="001E6D32" w:rsidRPr="00327E7A">
        <w:rPr>
          <w:sz w:val="28"/>
          <w:szCs w:val="28"/>
        </w:rPr>
        <w:t>did</w:t>
      </w:r>
      <w:r w:rsidR="006B1C8F" w:rsidRPr="00327E7A">
        <w:rPr>
          <w:sz w:val="28"/>
          <w:szCs w:val="28"/>
        </w:rPr>
        <w:t xml:space="preserve"> not compl</w:t>
      </w:r>
      <w:r w:rsidR="001E6D32" w:rsidRPr="00327E7A">
        <w:rPr>
          <w:sz w:val="28"/>
          <w:szCs w:val="28"/>
        </w:rPr>
        <w:t>y</w:t>
      </w:r>
      <w:r w:rsidR="006B1C8F" w:rsidRPr="00327E7A">
        <w:rPr>
          <w:sz w:val="28"/>
          <w:szCs w:val="28"/>
        </w:rPr>
        <w:t xml:space="preserve"> with the terms of the guarantee. </w:t>
      </w:r>
      <w:r w:rsidR="00BA2E76" w:rsidRPr="00327E7A">
        <w:rPr>
          <w:sz w:val="28"/>
          <w:szCs w:val="28"/>
        </w:rPr>
        <w:t xml:space="preserve">Consequently, non-compliance with the terms of the guarantee by </w:t>
      </w:r>
      <w:proofErr w:type="spellStart"/>
      <w:r w:rsidR="00BA2E76" w:rsidRPr="00327E7A">
        <w:rPr>
          <w:sz w:val="28"/>
          <w:szCs w:val="28"/>
        </w:rPr>
        <w:t>Exxaro</w:t>
      </w:r>
      <w:proofErr w:type="spellEnd"/>
      <w:r w:rsidR="00E9317C" w:rsidRPr="00327E7A">
        <w:rPr>
          <w:sz w:val="28"/>
          <w:szCs w:val="28"/>
        </w:rPr>
        <w:t xml:space="preserve"> in making its demand</w:t>
      </w:r>
      <w:r w:rsidR="00BA2E76" w:rsidRPr="00327E7A">
        <w:rPr>
          <w:sz w:val="28"/>
          <w:szCs w:val="28"/>
        </w:rPr>
        <w:t xml:space="preserve"> is not a violation of any right of TDS. Neither will payment of the guarantee by ABSA result in a violation of a right of TDS. Indeed, this was conceded by counsel for TDS.</w:t>
      </w:r>
      <w:r w:rsidR="008D6A1F" w:rsidRPr="00327E7A">
        <w:rPr>
          <w:sz w:val="28"/>
          <w:szCs w:val="28"/>
        </w:rPr>
        <w:t xml:space="preserve"> </w:t>
      </w:r>
      <w:r w:rsidR="008E3DD5" w:rsidRPr="00327E7A">
        <w:rPr>
          <w:sz w:val="28"/>
          <w:szCs w:val="28"/>
        </w:rPr>
        <w:t>That being the case, TDS could not show that</w:t>
      </w:r>
      <w:r w:rsidR="00BE5710" w:rsidRPr="00327E7A">
        <w:rPr>
          <w:sz w:val="28"/>
          <w:szCs w:val="28"/>
        </w:rPr>
        <w:t xml:space="preserve"> it would sustain any injury if ABSA honoured the guarantee when not obliged to do so.</w:t>
      </w:r>
    </w:p>
    <w:p w14:paraId="79984C80" w14:textId="77777777" w:rsidR="00F046FD" w:rsidRPr="00D8118B" w:rsidRDefault="00F046FD" w:rsidP="00F046FD">
      <w:pPr>
        <w:tabs>
          <w:tab w:val="left" w:pos="0"/>
        </w:tabs>
        <w:rPr>
          <w:sz w:val="28"/>
          <w:szCs w:val="28"/>
        </w:rPr>
      </w:pPr>
    </w:p>
    <w:bookmarkEnd w:id="6"/>
    <w:p w14:paraId="2EEA8AD0" w14:textId="23490231" w:rsidR="00E12FB7" w:rsidRPr="00D8118B" w:rsidRDefault="00E36F2C" w:rsidP="00E12FB7">
      <w:pPr>
        <w:numPr>
          <w:ilvl w:val="0"/>
          <w:numId w:val="1"/>
        </w:numPr>
        <w:tabs>
          <w:tab w:val="left" w:pos="0"/>
        </w:tabs>
        <w:ind w:left="0"/>
        <w:rPr>
          <w:sz w:val="28"/>
          <w:szCs w:val="28"/>
        </w:rPr>
      </w:pPr>
      <w:r w:rsidRPr="00D8118B">
        <w:rPr>
          <w:sz w:val="28"/>
          <w:szCs w:val="28"/>
        </w:rPr>
        <w:t>What is more, any contractor that has given a performance guarantee and which is in the same position as TDS</w:t>
      </w:r>
      <w:r w:rsidR="00425567" w:rsidRPr="00D8118B">
        <w:rPr>
          <w:sz w:val="28"/>
          <w:szCs w:val="28"/>
        </w:rPr>
        <w:t>,</w:t>
      </w:r>
      <w:r w:rsidR="00452DCF" w:rsidRPr="00D8118B">
        <w:rPr>
          <w:sz w:val="28"/>
          <w:szCs w:val="28"/>
        </w:rPr>
        <w:t xml:space="preserve"> </w:t>
      </w:r>
      <w:r w:rsidRPr="00D8118B">
        <w:rPr>
          <w:sz w:val="28"/>
          <w:szCs w:val="28"/>
        </w:rPr>
        <w:t>‘</w:t>
      </w:r>
      <w:r w:rsidR="008B5E91" w:rsidRPr="00D8118B">
        <w:rPr>
          <w:sz w:val="28"/>
          <w:szCs w:val="28"/>
        </w:rPr>
        <w:t xml:space="preserve">. . . </w:t>
      </w:r>
      <w:r w:rsidRPr="00D8118B">
        <w:rPr>
          <w:sz w:val="28"/>
          <w:szCs w:val="28"/>
        </w:rPr>
        <w:t xml:space="preserve">would have its ordinary contractual remedy against </w:t>
      </w:r>
      <w:r w:rsidR="0052550C" w:rsidRPr="00D8118B">
        <w:rPr>
          <w:sz w:val="28"/>
          <w:szCs w:val="28"/>
        </w:rPr>
        <w:t>[</w:t>
      </w:r>
      <w:r w:rsidRPr="00D8118B">
        <w:rPr>
          <w:sz w:val="28"/>
          <w:szCs w:val="28"/>
        </w:rPr>
        <w:t>the guarantor</w:t>
      </w:r>
      <w:r w:rsidR="0052550C" w:rsidRPr="00D8118B">
        <w:rPr>
          <w:sz w:val="28"/>
          <w:szCs w:val="28"/>
        </w:rPr>
        <w:t>]</w:t>
      </w:r>
      <w:r w:rsidRPr="00D8118B">
        <w:rPr>
          <w:sz w:val="28"/>
          <w:szCs w:val="28"/>
        </w:rPr>
        <w:t>’</w:t>
      </w:r>
      <w:r w:rsidR="006216B3" w:rsidRPr="00D8118B">
        <w:rPr>
          <w:sz w:val="28"/>
          <w:szCs w:val="28"/>
        </w:rPr>
        <w:t>.</w:t>
      </w:r>
      <w:r w:rsidR="0052550C" w:rsidRPr="00D8118B">
        <w:rPr>
          <w:rStyle w:val="FootnoteReference"/>
          <w:sz w:val="28"/>
          <w:szCs w:val="28"/>
        </w:rPr>
        <w:footnoteReference w:id="8"/>
      </w:r>
      <w:r w:rsidRPr="00D8118B">
        <w:rPr>
          <w:sz w:val="28"/>
          <w:szCs w:val="28"/>
        </w:rPr>
        <w:t xml:space="preserve"> </w:t>
      </w:r>
      <w:r w:rsidR="00964C9C" w:rsidRPr="00D8118B">
        <w:rPr>
          <w:sz w:val="28"/>
          <w:szCs w:val="28"/>
        </w:rPr>
        <w:t xml:space="preserve">In this matter, </w:t>
      </w:r>
      <w:r w:rsidR="00FC54A4" w:rsidRPr="00D8118B">
        <w:rPr>
          <w:sz w:val="28"/>
          <w:szCs w:val="28"/>
        </w:rPr>
        <w:t xml:space="preserve">the remedy is a complete defence </w:t>
      </w:r>
      <w:r w:rsidR="00B74872" w:rsidRPr="00D8118B">
        <w:rPr>
          <w:sz w:val="28"/>
          <w:szCs w:val="28"/>
        </w:rPr>
        <w:t xml:space="preserve">to </w:t>
      </w:r>
      <w:r w:rsidR="00FC54A4" w:rsidRPr="00D8118B">
        <w:rPr>
          <w:sz w:val="28"/>
          <w:szCs w:val="28"/>
        </w:rPr>
        <w:t xml:space="preserve">any claim founded on the honouring of the guarantee when ABSA was not obliged to do so. </w:t>
      </w:r>
      <w:r w:rsidR="00435CF5" w:rsidRPr="00D8118B">
        <w:rPr>
          <w:sz w:val="28"/>
          <w:szCs w:val="28"/>
        </w:rPr>
        <w:t xml:space="preserve">This </w:t>
      </w:r>
      <w:r w:rsidR="00425567" w:rsidRPr="00D8118B">
        <w:rPr>
          <w:sz w:val="28"/>
          <w:szCs w:val="28"/>
        </w:rPr>
        <w:t xml:space="preserve">accords with </w:t>
      </w:r>
      <w:r w:rsidR="00435CF5" w:rsidRPr="00D8118B">
        <w:rPr>
          <w:sz w:val="28"/>
          <w:szCs w:val="28"/>
        </w:rPr>
        <w:t xml:space="preserve">the principle stated </w:t>
      </w:r>
      <w:r w:rsidR="00435CF5" w:rsidRPr="00D8118B">
        <w:rPr>
          <w:sz w:val="28"/>
          <w:szCs w:val="28"/>
        </w:rPr>
        <w:lastRenderedPageBreak/>
        <w:t xml:space="preserve">in </w:t>
      </w:r>
      <w:r w:rsidR="00435CF5" w:rsidRPr="00D8118B">
        <w:rPr>
          <w:i/>
          <w:sz w:val="28"/>
          <w:szCs w:val="28"/>
        </w:rPr>
        <w:t>State Bank of India</w:t>
      </w:r>
      <w:r w:rsidR="00435CF5" w:rsidRPr="00D8118B">
        <w:rPr>
          <w:rStyle w:val="FootnoteReference"/>
          <w:iCs/>
          <w:sz w:val="28"/>
          <w:szCs w:val="28"/>
        </w:rPr>
        <w:footnoteReference w:id="9"/>
      </w:r>
      <w:r w:rsidR="00435CF5" w:rsidRPr="00D8118B">
        <w:rPr>
          <w:sz w:val="28"/>
          <w:szCs w:val="28"/>
        </w:rPr>
        <w:t xml:space="preserve"> that ‘South African courts, like their international counterparts, should jealously guard the international practice that banks honour the obligations they have assumed in terms of guarantees issued by them’ save in exceptional cases where fraud is involved.</w:t>
      </w:r>
      <w:r w:rsidR="00A917E0" w:rsidRPr="00D8118B">
        <w:rPr>
          <w:sz w:val="28"/>
          <w:szCs w:val="28"/>
        </w:rPr>
        <w:t xml:space="preserve"> Otherwise viewed, it would mean that every contractor in the position of TDS, could simply seek an interdict in circumstances</w:t>
      </w:r>
      <w:r w:rsidR="00A32693" w:rsidRPr="00D8118B">
        <w:rPr>
          <w:sz w:val="28"/>
          <w:szCs w:val="28"/>
        </w:rPr>
        <w:t xml:space="preserve"> where it has a satisfactory remedy available to it. </w:t>
      </w:r>
      <w:bookmarkStart w:id="7" w:name="_Hlk102993399"/>
      <w:r w:rsidR="00A32693" w:rsidRPr="00D8118B">
        <w:rPr>
          <w:sz w:val="28"/>
          <w:szCs w:val="28"/>
        </w:rPr>
        <w:t xml:space="preserve">This is a further reason why the interdict ought not to have been granted. </w:t>
      </w:r>
      <w:r w:rsidR="00E12FB7" w:rsidRPr="00D8118B">
        <w:rPr>
          <w:sz w:val="28"/>
          <w:szCs w:val="28"/>
        </w:rPr>
        <w:t xml:space="preserve">In this regard the high court erred. </w:t>
      </w:r>
    </w:p>
    <w:p w14:paraId="7368340C" w14:textId="77777777" w:rsidR="00E12FB7" w:rsidRPr="00D8118B" w:rsidRDefault="00E12FB7" w:rsidP="00093628">
      <w:pPr>
        <w:rPr>
          <w:sz w:val="28"/>
          <w:szCs w:val="28"/>
        </w:rPr>
      </w:pPr>
    </w:p>
    <w:p w14:paraId="6E0EAE4F" w14:textId="1738D562" w:rsidR="00425567" w:rsidRPr="00D8118B" w:rsidRDefault="00E12FB7" w:rsidP="00425567">
      <w:pPr>
        <w:numPr>
          <w:ilvl w:val="0"/>
          <w:numId w:val="1"/>
        </w:numPr>
        <w:tabs>
          <w:tab w:val="left" w:pos="0"/>
        </w:tabs>
        <w:ind w:left="0"/>
        <w:rPr>
          <w:sz w:val="28"/>
          <w:szCs w:val="28"/>
        </w:rPr>
      </w:pPr>
      <w:r w:rsidRPr="00D8118B">
        <w:rPr>
          <w:sz w:val="28"/>
          <w:szCs w:val="28"/>
        </w:rPr>
        <w:t>By reason of the conclusion to which I have come, it is unnecessary to consider the counter</w:t>
      </w:r>
      <w:r w:rsidR="008B5E91" w:rsidRPr="00D8118B">
        <w:rPr>
          <w:sz w:val="28"/>
          <w:szCs w:val="28"/>
        </w:rPr>
        <w:t>-</w:t>
      </w:r>
      <w:r w:rsidRPr="00D8118B">
        <w:rPr>
          <w:sz w:val="28"/>
          <w:szCs w:val="28"/>
        </w:rPr>
        <w:t xml:space="preserve">application. There is no reason why costs should not follow the result. </w:t>
      </w:r>
    </w:p>
    <w:bookmarkEnd w:id="7"/>
    <w:p w14:paraId="50F6C274" w14:textId="77777777" w:rsidR="00A32693" w:rsidRPr="00D21208" w:rsidRDefault="00A32693" w:rsidP="00D21208">
      <w:pPr>
        <w:rPr>
          <w:sz w:val="28"/>
          <w:szCs w:val="28"/>
        </w:rPr>
      </w:pPr>
    </w:p>
    <w:p w14:paraId="258EAE44" w14:textId="1C0F70E4" w:rsidR="00A917E0" w:rsidRPr="00D8118B" w:rsidRDefault="00E12FB7" w:rsidP="00B042BE">
      <w:pPr>
        <w:numPr>
          <w:ilvl w:val="0"/>
          <w:numId w:val="1"/>
        </w:numPr>
        <w:tabs>
          <w:tab w:val="left" w:pos="0"/>
        </w:tabs>
        <w:ind w:left="0"/>
        <w:rPr>
          <w:sz w:val="28"/>
          <w:szCs w:val="28"/>
        </w:rPr>
      </w:pPr>
      <w:r w:rsidRPr="00D8118B">
        <w:rPr>
          <w:sz w:val="28"/>
          <w:szCs w:val="28"/>
        </w:rPr>
        <w:t>For those reasons,</w:t>
      </w:r>
      <w:r w:rsidR="00DC46BE" w:rsidRPr="00D8118B">
        <w:rPr>
          <w:sz w:val="28"/>
          <w:szCs w:val="28"/>
        </w:rPr>
        <w:t xml:space="preserve"> the following order is made:</w:t>
      </w:r>
    </w:p>
    <w:p w14:paraId="7E2C2335" w14:textId="492B14BC" w:rsidR="00E70981" w:rsidRPr="00D8118B" w:rsidRDefault="00E70981" w:rsidP="00B042BE">
      <w:pPr>
        <w:spacing w:before="120"/>
        <w:rPr>
          <w:bCs/>
          <w:sz w:val="28"/>
          <w:szCs w:val="28"/>
        </w:rPr>
      </w:pPr>
      <w:r w:rsidRPr="00D8118B">
        <w:rPr>
          <w:bCs/>
          <w:sz w:val="28"/>
          <w:szCs w:val="28"/>
        </w:rPr>
        <w:t>1</w:t>
      </w:r>
      <w:r w:rsidR="00D70BD5" w:rsidRPr="00D8118B">
        <w:rPr>
          <w:bCs/>
          <w:sz w:val="28"/>
          <w:szCs w:val="28"/>
        </w:rPr>
        <w:tab/>
      </w:r>
      <w:r w:rsidRPr="00D8118B">
        <w:rPr>
          <w:bCs/>
          <w:sz w:val="28"/>
          <w:szCs w:val="28"/>
        </w:rPr>
        <w:t>The application for leave to appeal is granted with costs.</w:t>
      </w:r>
    </w:p>
    <w:p w14:paraId="7E4F9CC4" w14:textId="7CDAA65C" w:rsidR="00E70981" w:rsidRPr="00D8118B" w:rsidRDefault="00E70981" w:rsidP="00B042BE">
      <w:pPr>
        <w:spacing w:before="120"/>
        <w:rPr>
          <w:bCs/>
          <w:sz w:val="28"/>
          <w:szCs w:val="28"/>
        </w:rPr>
      </w:pPr>
      <w:r w:rsidRPr="00D8118B">
        <w:rPr>
          <w:bCs/>
          <w:sz w:val="28"/>
          <w:szCs w:val="28"/>
        </w:rPr>
        <w:t>2</w:t>
      </w:r>
      <w:r w:rsidR="00D70BD5" w:rsidRPr="00D8118B">
        <w:rPr>
          <w:bCs/>
          <w:sz w:val="28"/>
          <w:szCs w:val="28"/>
        </w:rPr>
        <w:tab/>
      </w:r>
      <w:r w:rsidRPr="00D8118B">
        <w:rPr>
          <w:bCs/>
          <w:sz w:val="28"/>
          <w:szCs w:val="28"/>
        </w:rPr>
        <w:t>The appeal is upheld with costs.</w:t>
      </w:r>
    </w:p>
    <w:p w14:paraId="4F3DF66D" w14:textId="36143E4E" w:rsidR="00E70981" w:rsidRPr="00D8118B" w:rsidRDefault="00E70981" w:rsidP="000C0334">
      <w:pPr>
        <w:spacing w:before="120"/>
        <w:ind w:left="720" w:hanging="720"/>
        <w:rPr>
          <w:bCs/>
          <w:sz w:val="28"/>
          <w:szCs w:val="28"/>
        </w:rPr>
      </w:pPr>
      <w:r w:rsidRPr="00D8118B">
        <w:rPr>
          <w:bCs/>
          <w:sz w:val="28"/>
          <w:szCs w:val="28"/>
        </w:rPr>
        <w:t>3</w:t>
      </w:r>
      <w:r w:rsidR="00D70BD5" w:rsidRPr="00D8118B">
        <w:rPr>
          <w:bCs/>
          <w:sz w:val="28"/>
          <w:szCs w:val="28"/>
        </w:rPr>
        <w:tab/>
      </w:r>
      <w:r w:rsidRPr="00D8118B">
        <w:rPr>
          <w:bCs/>
          <w:sz w:val="28"/>
          <w:szCs w:val="28"/>
        </w:rPr>
        <w:t>The order of the high court is set aside and replaced with the following order:</w:t>
      </w:r>
    </w:p>
    <w:p w14:paraId="17238ABE" w14:textId="77777777" w:rsidR="00E70981" w:rsidRPr="00D8118B" w:rsidRDefault="00E70981" w:rsidP="00093628">
      <w:pPr>
        <w:spacing w:before="120"/>
        <w:ind w:firstLine="720"/>
        <w:rPr>
          <w:bCs/>
          <w:sz w:val="28"/>
          <w:szCs w:val="28"/>
        </w:rPr>
      </w:pPr>
      <w:r w:rsidRPr="00D8118B">
        <w:rPr>
          <w:bCs/>
          <w:sz w:val="28"/>
          <w:szCs w:val="28"/>
        </w:rPr>
        <w:t>‘The application is dismissed with costs.’</w:t>
      </w:r>
    </w:p>
    <w:p w14:paraId="498E5804" w14:textId="59B64FF1" w:rsidR="00DC46BE" w:rsidRDefault="00DC46BE" w:rsidP="00B042BE">
      <w:pPr>
        <w:tabs>
          <w:tab w:val="left" w:pos="0"/>
        </w:tabs>
        <w:rPr>
          <w:sz w:val="28"/>
          <w:szCs w:val="28"/>
        </w:rPr>
      </w:pPr>
    </w:p>
    <w:p w14:paraId="51D94D58" w14:textId="710A8B80" w:rsidR="00F702F9" w:rsidRPr="00D8118B" w:rsidRDefault="00F702F9" w:rsidP="00B042BE">
      <w:pPr>
        <w:tabs>
          <w:tab w:val="left" w:pos="0"/>
        </w:tabs>
        <w:rPr>
          <w:sz w:val="28"/>
          <w:szCs w:val="28"/>
        </w:rPr>
      </w:pPr>
      <w:bookmarkStart w:id="8" w:name="_GoBack"/>
      <w:bookmarkEnd w:id="8"/>
    </w:p>
    <w:p w14:paraId="40927041" w14:textId="77777777" w:rsidR="00B149B5" w:rsidRPr="00D8118B" w:rsidRDefault="00B149B5" w:rsidP="00B042BE">
      <w:pPr>
        <w:ind w:firstLine="4860"/>
        <w:jc w:val="right"/>
        <w:rPr>
          <w:sz w:val="28"/>
          <w:szCs w:val="28"/>
        </w:rPr>
      </w:pPr>
      <w:r w:rsidRPr="00D8118B">
        <w:rPr>
          <w:sz w:val="28"/>
          <w:szCs w:val="28"/>
        </w:rPr>
        <w:t>_________________________</w:t>
      </w:r>
    </w:p>
    <w:p w14:paraId="4CE93758" w14:textId="77777777" w:rsidR="00B149B5" w:rsidRPr="00D8118B" w:rsidRDefault="00B149B5" w:rsidP="00B042BE">
      <w:pPr>
        <w:ind w:firstLine="4860"/>
        <w:jc w:val="right"/>
        <w:rPr>
          <w:sz w:val="28"/>
          <w:szCs w:val="28"/>
        </w:rPr>
      </w:pPr>
      <w:r w:rsidRPr="00D8118B">
        <w:rPr>
          <w:sz w:val="28"/>
          <w:szCs w:val="28"/>
        </w:rPr>
        <w:t>N P MABINDLA-BOQWANA</w:t>
      </w:r>
    </w:p>
    <w:p w14:paraId="1CB7FECA" w14:textId="07D3F42B" w:rsidR="00F702F9" w:rsidRDefault="00B149B5" w:rsidP="00F702F9">
      <w:pPr>
        <w:jc w:val="right"/>
        <w:rPr>
          <w:sz w:val="28"/>
          <w:szCs w:val="28"/>
        </w:rPr>
      </w:pPr>
      <w:r w:rsidRPr="00D8118B">
        <w:rPr>
          <w:sz w:val="28"/>
          <w:szCs w:val="28"/>
        </w:rPr>
        <w:t>JUDGE OF APPEAL</w:t>
      </w:r>
    </w:p>
    <w:p w14:paraId="0C5E98BE" w14:textId="10977033" w:rsidR="00B149B5" w:rsidRPr="00D8118B" w:rsidRDefault="00B149B5" w:rsidP="00B042BE">
      <w:pPr>
        <w:rPr>
          <w:sz w:val="28"/>
          <w:szCs w:val="28"/>
        </w:rPr>
      </w:pPr>
      <w:r w:rsidRPr="00D8118B">
        <w:rPr>
          <w:sz w:val="28"/>
          <w:szCs w:val="28"/>
        </w:rPr>
        <w:lastRenderedPageBreak/>
        <w:t>A</w:t>
      </w:r>
      <w:r w:rsidR="00AF7B6B" w:rsidRPr="00D8118B">
        <w:rPr>
          <w:sz w:val="28"/>
          <w:szCs w:val="28"/>
        </w:rPr>
        <w:t>ppearances</w:t>
      </w:r>
      <w:r w:rsidR="008B5E91" w:rsidRPr="00D8118B">
        <w:rPr>
          <w:sz w:val="28"/>
          <w:szCs w:val="28"/>
        </w:rPr>
        <w:t>:</w:t>
      </w:r>
    </w:p>
    <w:p w14:paraId="24166BC5" w14:textId="77777777" w:rsidR="00B149B5" w:rsidRPr="00D8118B" w:rsidRDefault="00B149B5" w:rsidP="00B042BE">
      <w:pPr>
        <w:rPr>
          <w:sz w:val="28"/>
          <w:szCs w:val="28"/>
        </w:rPr>
      </w:pPr>
    </w:p>
    <w:p w14:paraId="7E8370AE" w14:textId="529B3EA3" w:rsidR="00AF7B6B" w:rsidRPr="00D8118B" w:rsidRDefault="00AF7B6B" w:rsidP="00AF7B6B">
      <w:pPr>
        <w:rPr>
          <w:sz w:val="28"/>
          <w:szCs w:val="28"/>
        </w:rPr>
      </w:pPr>
      <w:r w:rsidRPr="00D8118B">
        <w:rPr>
          <w:sz w:val="28"/>
          <w:szCs w:val="28"/>
        </w:rPr>
        <w:t>For app</w:t>
      </w:r>
      <w:r w:rsidR="0084286B" w:rsidRPr="00D8118B">
        <w:rPr>
          <w:sz w:val="28"/>
          <w:szCs w:val="28"/>
        </w:rPr>
        <w:t>licant</w:t>
      </w:r>
      <w:r w:rsidRPr="00D8118B">
        <w:rPr>
          <w:sz w:val="28"/>
          <w:szCs w:val="28"/>
        </w:rPr>
        <w:t>:</w:t>
      </w:r>
      <w:r w:rsidRPr="00D8118B">
        <w:rPr>
          <w:sz w:val="28"/>
          <w:szCs w:val="28"/>
        </w:rPr>
        <w:tab/>
      </w:r>
      <w:r w:rsidRPr="00D8118B">
        <w:rPr>
          <w:sz w:val="28"/>
          <w:szCs w:val="28"/>
        </w:rPr>
        <w:tab/>
      </w:r>
      <w:r w:rsidR="008B5E91" w:rsidRPr="00D8118B">
        <w:rPr>
          <w:sz w:val="28"/>
          <w:szCs w:val="28"/>
        </w:rPr>
        <w:tab/>
      </w:r>
      <w:r w:rsidR="00D21208">
        <w:rPr>
          <w:sz w:val="28"/>
          <w:szCs w:val="28"/>
        </w:rPr>
        <w:t>F G Barry</w:t>
      </w:r>
      <w:r w:rsidRPr="00D8118B">
        <w:rPr>
          <w:sz w:val="28"/>
          <w:szCs w:val="28"/>
        </w:rPr>
        <w:t xml:space="preserve"> SC</w:t>
      </w:r>
    </w:p>
    <w:p w14:paraId="1386B7A7" w14:textId="72876A53" w:rsidR="00AF7B6B" w:rsidRPr="00D8118B" w:rsidRDefault="00AF7B6B" w:rsidP="00AF7B6B">
      <w:pPr>
        <w:rPr>
          <w:bCs/>
          <w:sz w:val="28"/>
          <w:szCs w:val="28"/>
        </w:rPr>
      </w:pPr>
      <w:r w:rsidRPr="00D8118B">
        <w:rPr>
          <w:bCs/>
          <w:sz w:val="28"/>
          <w:szCs w:val="28"/>
        </w:rPr>
        <w:t>Instructed by:</w:t>
      </w:r>
      <w:r w:rsidRPr="00D8118B">
        <w:rPr>
          <w:bCs/>
          <w:sz w:val="28"/>
          <w:szCs w:val="28"/>
        </w:rPr>
        <w:tab/>
      </w:r>
      <w:r w:rsidRPr="00D8118B">
        <w:rPr>
          <w:bCs/>
          <w:sz w:val="28"/>
          <w:szCs w:val="28"/>
        </w:rPr>
        <w:tab/>
      </w:r>
      <w:r w:rsidR="008B5E91" w:rsidRPr="00D8118B">
        <w:rPr>
          <w:bCs/>
          <w:sz w:val="28"/>
          <w:szCs w:val="28"/>
        </w:rPr>
        <w:tab/>
      </w:r>
      <w:r w:rsidR="00B92378" w:rsidRPr="00D8118B">
        <w:rPr>
          <w:sz w:val="28"/>
          <w:szCs w:val="28"/>
        </w:rPr>
        <w:t xml:space="preserve">DLA Piper South Africa (RF) Inc, </w:t>
      </w:r>
      <w:proofErr w:type="spellStart"/>
      <w:r w:rsidR="00B92378" w:rsidRPr="00D8118B">
        <w:rPr>
          <w:sz w:val="28"/>
          <w:szCs w:val="28"/>
        </w:rPr>
        <w:t>Sandton</w:t>
      </w:r>
      <w:proofErr w:type="spellEnd"/>
      <w:r w:rsidRPr="00D8118B">
        <w:rPr>
          <w:sz w:val="28"/>
          <w:szCs w:val="28"/>
        </w:rPr>
        <w:t xml:space="preserve"> </w:t>
      </w:r>
    </w:p>
    <w:p w14:paraId="32403FA3" w14:textId="47DDBDE2" w:rsidR="00AF7B6B" w:rsidRPr="00D8118B" w:rsidRDefault="00B92378" w:rsidP="00093628">
      <w:pPr>
        <w:ind w:left="2880" w:firstLine="720"/>
        <w:rPr>
          <w:bCs/>
          <w:sz w:val="28"/>
          <w:szCs w:val="28"/>
        </w:rPr>
      </w:pPr>
      <w:r w:rsidRPr="00D8118B">
        <w:rPr>
          <w:bCs/>
          <w:sz w:val="28"/>
          <w:szCs w:val="28"/>
        </w:rPr>
        <w:t>Webbers</w:t>
      </w:r>
      <w:r w:rsidR="00F702F9">
        <w:rPr>
          <w:bCs/>
          <w:sz w:val="28"/>
          <w:szCs w:val="28"/>
        </w:rPr>
        <w:t xml:space="preserve"> Attorneys</w:t>
      </w:r>
      <w:r w:rsidR="00AF7B6B" w:rsidRPr="00D8118B">
        <w:rPr>
          <w:bCs/>
          <w:sz w:val="28"/>
          <w:szCs w:val="28"/>
        </w:rPr>
        <w:t>, Bloemfontein</w:t>
      </w:r>
      <w:r w:rsidR="008B5E91" w:rsidRPr="00D8118B">
        <w:rPr>
          <w:bCs/>
          <w:sz w:val="28"/>
          <w:szCs w:val="28"/>
        </w:rPr>
        <w:t>.</w:t>
      </w:r>
    </w:p>
    <w:p w14:paraId="65D60C01" w14:textId="77777777" w:rsidR="00AF7B6B" w:rsidRPr="00D8118B" w:rsidRDefault="00AF7B6B" w:rsidP="00AF7B6B">
      <w:pPr>
        <w:rPr>
          <w:bCs/>
          <w:sz w:val="28"/>
          <w:szCs w:val="28"/>
        </w:rPr>
      </w:pPr>
    </w:p>
    <w:p w14:paraId="5F97809E" w14:textId="1C02FFEF" w:rsidR="00AF7B6B" w:rsidRPr="00D8118B" w:rsidRDefault="00AF7B6B" w:rsidP="00AF7B6B">
      <w:pPr>
        <w:rPr>
          <w:sz w:val="28"/>
          <w:szCs w:val="28"/>
        </w:rPr>
      </w:pPr>
      <w:r w:rsidRPr="00D8118B">
        <w:rPr>
          <w:sz w:val="28"/>
          <w:szCs w:val="28"/>
        </w:rPr>
        <w:t xml:space="preserve">For </w:t>
      </w:r>
      <w:r w:rsidR="0084286B" w:rsidRPr="00D8118B">
        <w:rPr>
          <w:sz w:val="28"/>
          <w:szCs w:val="28"/>
        </w:rPr>
        <w:t xml:space="preserve">first </w:t>
      </w:r>
      <w:r w:rsidRPr="00D8118B">
        <w:rPr>
          <w:sz w:val="28"/>
          <w:szCs w:val="28"/>
        </w:rPr>
        <w:t>respondent:</w:t>
      </w:r>
      <w:r w:rsidRPr="00D8118B">
        <w:rPr>
          <w:sz w:val="28"/>
          <w:szCs w:val="28"/>
        </w:rPr>
        <w:tab/>
      </w:r>
      <w:r w:rsidR="008B5E91" w:rsidRPr="00D8118B">
        <w:rPr>
          <w:sz w:val="28"/>
          <w:szCs w:val="28"/>
        </w:rPr>
        <w:tab/>
      </w:r>
      <w:r w:rsidRPr="00D8118B">
        <w:rPr>
          <w:sz w:val="28"/>
          <w:szCs w:val="28"/>
        </w:rPr>
        <w:t>A Bester SC (with him D Hodge)</w:t>
      </w:r>
    </w:p>
    <w:p w14:paraId="522E09B6" w14:textId="3A212DD2" w:rsidR="00AF7B6B" w:rsidRPr="00D8118B" w:rsidRDefault="00AF7B6B" w:rsidP="00AF7B6B">
      <w:pPr>
        <w:rPr>
          <w:bCs/>
          <w:sz w:val="28"/>
          <w:szCs w:val="28"/>
        </w:rPr>
      </w:pPr>
      <w:r w:rsidRPr="00D8118B">
        <w:rPr>
          <w:bCs/>
          <w:sz w:val="28"/>
          <w:szCs w:val="28"/>
        </w:rPr>
        <w:t>Instructed by:</w:t>
      </w:r>
      <w:r w:rsidRPr="00D8118B">
        <w:rPr>
          <w:bCs/>
          <w:sz w:val="28"/>
          <w:szCs w:val="28"/>
        </w:rPr>
        <w:tab/>
      </w:r>
      <w:r w:rsidRPr="00D8118B">
        <w:rPr>
          <w:bCs/>
          <w:sz w:val="28"/>
          <w:szCs w:val="28"/>
        </w:rPr>
        <w:tab/>
      </w:r>
      <w:r w:rsidR="008B5E91" w:rsidRPr="00D8118B">
        <w:rPr>
          <w:bCs/>
          <w:sz w:val="28"/>
          <w:szCs w:val="28"/>
        </w:rPr>
        <w:tab/>
      </w:r>
      <w:proofErr w:type="spellStart"/>
      <w:r w:rsidR="00B92378" w:rsidRPr="00D8118B">
        <w:rPr>
          <w:sz w:val="28"/>
          <w:szCs w:val="28"/>
        </w:rPr>
        <w:t>Tiefen</w:t>
      </w:r>
      <w:r w:rsidR="003E5D51" w:rsidRPr="00D8118B">
        <w:rPr>
          <w:sz w:val="28"/>
          <w:szCs w:val="28"/>
        </w:rPr>
        <w:t>t</w:t>
      </w:r>
      <w:r w:rsidR="00B92378" w:rsidRPr="00D8118B">
        <w:rPr>
          <w:sz w:val="28"/>
          <w:szCs w:val="28"/>
        </w:rPr>
        <w:t>haler</w:t>
      </w:r>
      <w:proofErr w:type="spellEnd"/>
      <w:r w:rsidR="00B92378" w:rsidRPr="00D8118B">
        <w:rPr>
          <w:sz w:val="28"/>
          <w:szCs w:val="28"/>
        </w:rPr>
        <w:t xml:space="preserve"> Attorneys, Johannesburg</w:t>
      </w:r>
    </w:p>
    <w:p w14:paraId="75A7394C" w14:textId="63B24D8C" w:rsidR="00B149B5" w:rsidRPr="00B042BE" w:rsidRDefault="00B92378" w:rsidP="00D21208">
      <w:pPr>
        <w:ind w:left="2880" w:firstLine="720"/>
        <w:rPr>
          <w:sz w:val="28"/>
          <w:szCs w:val="28"/>
        </w:rPr>
      </w:pPr>
      <w:r w:rsidRPr="00D8118B">
        <w:rPr>
          <w:bCs/>
          <w:sz w:val="28"/>
          <w:szCs w:val="28"/>
        </w:rPr>
        <w:t>Honey Attorneys, Bloemfontein.</w:t>
      </w:r>
    </w:p>
    <w:p w14:paraId="3742C28E" w14:textId="77777777" w:rsidR="000B11D2" w:rsidRPr="00B042BE" w:rsidRDefault="000B11D2" w:rsidP="00B042BE"/>
    <w:sectPr w:rsidR="000B11D2" w:rsidRPr="00B042BE" w:rsidSect="00284557">
      <w:headerReference w:type="even" r:id="rId9"/>
      <w:headerReference w:type="default" r:id="rId10"/>
      <w:headerReference w:type="first" r:id="rId11"/>
      <w:pgSz w:w="12240" w:h="15840"/>
      <w:pgMar w:top="1440"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2A0D18" w14:textId="77777777" w:rsidR="002A74E4" w:rsidRDefault="002A74E4" w:rsidP="00B149B5">
      <w:r>
        <w:separator/>
      </w:r>
    </w:p>
  </w:endnote>
  <w:endnote w:type="continuationSeparator" w:id="0">
    <w:p w14:paraId="12FF8235" w14:textId="77777777" w:rsidR="002A74E4" w:rsidRDefault="002A74E4" w:rsidP="00B149B5">
      <w:r>
        <w:continuationSeparator/>
      </w:r>
    </w:p>
  </w:endnote>
  <w:endnote w:type="continuationNotice" w:id="1">
    <w:p w14:paraId="0F57E96F" w14:textId="77777777" w:rsidR="002A74E4" w:rsidRDefault="002A74E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DDAA16" w14:textId="77777777" w:rsidR="002A74E4" w:rsidRDefault="002A74E4" w:rsidP="00B149B5">
      <w:r>
        <w:separator/>
      </w:r>
    </w:p>
  </w:footnote>
  <w:footnote w:type="continuationSeparator" w:id="0">
    <w:p w14:paraId="09E70125" w14:textId="77777777" w:rsidR="002A74E4" w:rsidRDefault="002A74E4" w:rsidP="00B149B5">
      <w:r>
        <w:continuationSeparator/>
      </w:r>
    </w:p>
  </w:footnote>
  <w:footnote w:type="continuationNotice" w:id="1">
    <w:p w14:paraId="3624636D" w14:textId="77777777" w:rsidR="002A74E4" w:rsidRDefault="002A74E4">
      <w:pPr>
        <w:spacing w:line="240" w:lineRule="auto"/>
      </w:pPr>
    </w:p>
  </w:footnote>
  <w:footnote w:id="2">
    <w:p w14:paraId="02FE3D83" w14:textId="35FF7090" w:rsidR="00356BD7" w:rsidRPr="00C71353" w:rsidRDefault="00356BD7" w:rsidP="00CF68CE">
      <w:pPr>
        <w:pStyle w:val="FootnoteText"/>
        <w:spacing w:line="240" w:lineRule="auto"/>
        <w:rPr>
          <w:lang w:val="en-ZA"/>
        </w:rPr>
      </w:pPr>
      <w:r>
        <w:rPr>
          <w:rStyle w:val="FootnoteReference"/>
        </w:rPr>
        <w:footnoteRef/>
      </w:r>
      <w:r>
        <w:t xml:space="preserve"> </w:t>
      </w:r>
      <w:r w:rsidRPr="00DE4930">
        <w:rPr>
          <w:i/>
        </w:rPr>
        <w:t xml:space="preserve">State Bank of India </w:t>
      </w:r>
      <w:r w:rsidR="00A90F42">
        <w:rPr>
          <w:i/>
        </w:rPr>
        <w:t xml:space="preserve">and Another </w:t>
      </w:r>
      <w:r w:rsidRPr="00DE4930">
        <w:rPr>
          <w:i/>
        </w:rPr>
        <w:t>v Denel SOC Limite</w:t>
      </w:r>
      <w:r>
        <w:rPr>
          <w:i/>
        </w:rPr>
        <w:t xml:space="preserve">d </w:t>
      </w:r>
      <w:r w:rsidR="00A90F42">
        <w:rPr>
          <w:i/>
        </w:rPr>
        <w:t xml:space="preserve">and Others </w:t>
      </w:r>
      <w:r w:rsidRPr="00C71353">
        <w:rPr>
          <w:iCs/>
        </w:rPr>
        <w:t>[2014] ZASCA 212</w:t>
      </w:r>
      <w:r w:rsidRPr="001E30A3">
        <w:rPr>
          <w:i/>
        </w:rPr>
        <w:t xml:space="preserve">; </w:t>
      </w:r>
      <w:r w:rsidRPr="00DE4930">
        <w:t>[</w:t>
      </w:r>
      <w:r>
        <w:t>2015</w:t>
      </w:r>
      <w:r w:rsidRPr="00DE4930">
        <w:t>]</w:t>
      </w:r>
      <w:r>
        <w:t xml:space="preserve"> 2 All SA 152 (SCA) para 27. </w:t>
      </w:r>
    </w:p>
  </w:footnote>
  <w:footnote w:id="3">
    <w:p w14:paraId="5B2882DC" w14:textId="2682BFFA" w:rsidR="005F1453" w:rsidRPr="00BB7BFB" w:rsidRDefault="005F1453" w:rsidP="00CF68CE">
      <w:pPr>
        <w:pStyle w:val="FootnoteText"/>
        <w:spacing w:line="240" w:lineRule="auto"/>
        <w:rPr>
          <w:lang w:val="en-ZA"/>
        </w:rPr>
      </w:pPr>
      <w:r>
        <w:rPr>
          <w:rStyle w:val="FootnoteReference"/>
        </w:rPr>
        <w:footnoteRef/>
      </w:r>
      <w:r>
        <w:t xml:space="preserve"> </w:t>
      </w:r>
      <w:proofErr w:type="spellStart"/>
      <w:r w:rsidR="00774141" w:rsidRPr="0039451A">
        <w:rPr>
          <w:i/>
          <w:lang w:val="en-ZA"/>
        </w:rPr>
        <w:t>Loom</w:t>
      </w:r>
      <w:r w:rsidR="00774141">
        <w:rPr>
          <w:i/>
          <w:lang w:val="en-ZA"/>
        </w:rPr>
        <w:t>c</w:t>
      </w:r>
      <w:r w:rsidR="00774141" w:rsidRPr="0039451A">
        <w:rPr>
          <w:i/>
          <w:lang w:val="en-ZA"/>
        </w:rPr>
        <w:t>raft</w:t>
      </w:r>
      <w:proofErr w:type="spellEnd"/>
      <w:r w:rsidR="00774141" w:rsidRPr="0039451A">
        <w:rPr>
          <w:i/>
          <w:lang w:val="en-ZA"/>
        </w:rPr>
        <w:t xml:space="preserve"> Fabrics CC v Nedbank Ltd</w:t>
      </w:r>
      <w:r w:rsidR="00774141">
        <w:rPr>
          <w:lang w:val="en-ZA"/>
        </w:rPr>
        <w:t xml:space="preserve"> </w:t>
      </w:r>
      <w:r w:rsidR="00774141">
        <w:rPr>
          <w:i/>
          <w:lang w:val="en-ZA"/>
        </w:rPr>
        <w:t xml:space="preserve">and Another </w:t>
      </w:r>
      <w:r w:rsidR="00774141">
        <w:rPr>
          <w:lang w:val="en-ZA"/>
        </w:rPr>
        <w:t xml:space="preserve">[1996] 1 All SA 51 (A); 1996 (1) SA 812 (A) at 815G-J; </w:t>
      </w:r>
      <w:r w:rsidR="00774141" w:rsidRPr="00CF68CE">
        <w:rPr>
          <w:i/>
          <w:lang w:val="en-ZA"/>
        </w:rPr>
        <w:t xml:space="preserve">Lombard Insurance Co Ltd </w:t>
      </w:r>
      <w:proofErr w:type="gramStart"/>
      <w:r w:rsidR="00774141" w:rsidRPr="00CF68CE">
        <w:rPr>
          <w:i/>
          <w:lang w:val="en-ZA"/>
        </w:rPr>
        <w:t>v</w:t>
      </w:r>
      <w:proofErr w:type="gramEnd"/>
      <w:r w:rsidR="00774141" w:rsidRPr="00CF68CE">
        <w:rPr>
          <w:i/>
          <w:lang w:val="en-ZA"/>
        </w:rPr>
        <w:t xml:space="preserve"> Landmark Holdings (Pty) Ltd and Others</w:t>
      </w:r>
      <w:r w:rsidR="00774141">
        <w:rPr>
          <w:lang w:val="en-ZA"/>
        </w:rPr>
        <w:t xml:space="preserve"> 2010 (2) SA 86 (SCA) para 20; </w:t>
      </w:r>
      <w:proofErr w:type="spellStart"/>
      <w:r w:rsidR="00F5628C" w:rsidRPr="00CF68CE">
        <w:rPr>
          <w:i/>
          <w:lang w:val="en-ZA"/>
        </w:rPr>
        <w:t>Coface</w:t>
      </w:r>
      <w:proofErr w:type="spellEnd"/>
      <w:r w:rsidR="00F5628C" w:rsidRPr="00CF68CE">
        <w:rPr>
          <w:i/>
          <w:lang w:val="en-ZA"/>
        </w:rPr>
        <w:t xml:space="preserve"> South Africa Insurance Co Ltd v East London Own Haven t/a Own Haven Housing Association</w:t>
      </w:r>
      <w:r w:rsidR="00F5628C">
        <w:rPr>
          <w:lang w:val="en-ZA"/>
        </w:rPr>
        <w:t xml:space="preserve"> 2014 (2) SA 382 (SCA) para</w:t>
      </w:r>
      <w:r w:rsidR="00C4468B">
        <w:rPr>
          <w:lang w:val="en-ZA"/>
        </w:rPr>
        <w:t>s</w:t>
      </w:r>
      <w:r w:rsidR="00F5628C">
        <w:rPr>
          <w:lang w:val="en-ZA"/>
        </w:rPr>
        <w:t xml:space="preserve"> </w:t>
      </w:r>
      <w:r w:rsidR="00A418A6">
        <w:rPr>
          <w:lang w:val="en-ZA"/>
        </w:rPr>
        <w:t>10-13.</w:t>
      </w:r>
    </w:p>
  </w:footnote>
  <w:footnote w:id="4">
    <w:p w14:paraId="3C3124CA" w14:textId="180F072E" w:rsidR="005F1453" w:rsidRPr="00B35312" w:rsidRDefault="005F1453" w:rsidP="00D54DE5">
      <w:pPr>
        <w:pStyle w:val="FootnoteText"/>
        <w:spacing w:line="240" w:lineRule="auto"/>
        <w:rPr>
          <w:lang w:val="en-ZA"/>
        </w:rPr>
      </w:pPr>
      <w:r>
        <w:rPr>
          <w:rStyle w:val="FootnoteReference"/>
        </w:rPr>
        <w:footnoteRef/>
      </w:r>
      <w:r>
        <w:t xml:space="preserve"> </w:t>
      </w:r>
      <w:proofErr w:type="spellStart"/>
      <w:r w:rsidRPr="0039451A">
        <w:rPr>
          <w:i/>
          <w:lang w:val="en-ZA"/>
        </w:rPr>
        <w:t>Loom</w:t>
      </w:r>
      <w:r>
        <w:rPr>
          <w:i/>
          <w:lang w:val="en-ZA"/>
        </w:rPr>
        <w:t>c</w:t>
      </w:r>
      <w:r w:rsidR="00774141">
        <w:rPr>
          <w:i/>
          <w:lang w:val="en-ZA"/>
        </w:rPr>
        <w:t>raft</w:t>
      </w:r>
      <w:proofErr w:type="spellEnd"/>
      <w:r w:rsidR="00774141">
        <w:rPr>
          <w:i/>
          <w:lang w:val="en-ZA"/>
        </w:rPr>
        <w:t xml:space="preserve"> </w:t>
      </w:r>
      <w:proofErr w:type="spellStart"/>
      <w:r w:rsidR="00774141" w:rsidRPr="00CF68CE">
        <w:rPr>
          <w:lang w:val="en-ZA"/>
        </w:rPr>
        <w:t>fn</w:t>
      </w:r>
      <w:proofErr w:type="spellEnd"/>
      <w:r w:rsidR="00774141" w:rsidRPr="00CF68CE">
        <w:rPr>
          <w:lang w:val="en-ZA"/>
        </w:rPr>
        <w:t xml:space="preserve"> </w:t>
      </w:r>
      <w:r w:rsidR="00CF68CE">
        <w:rPr>
          <w:lang w:val="en-ZA"/>
        </w:rPr>
        <w:t>2</w:t>
      </w:r>
      <w:r w:rsidR="00E80964">
        <w:rPr>
          <w:lang w:val="en-ZA"/>
        </w:rPr>
        <w:t xml:space="preserve"> above</w:t>
      </w:r>
      <w:r w:rsidR="00774141" w:rsidRPr="00CF68CE">
        <w:rPr>
          <w:lang w:val="en-ZA"/>
        </w:rPr>
        <w:t>.</w:t>
      </w:r>
    </w:p>
  </w:footnote>
  <w:footnote w:id="5">
    <w:p w14:paraId="445D1E51" w14:textId="13933F96" w:rsidR="005F1453" w:rsidRPr="00BB7BFB" w:rsidRDefault="005F1453" w:rsidP="00D54DE5">
      <w:pPr>
        <w:pStyle w:val="FootnoteText"/>
        <w:spacing w:line="240" w:lineRule="auto"/>
        <w:rPr>
          <w:lang w:val="en-ZA"/>
        </w:rPr>
      </w:pPr>
      <w:r>
        <w:rPr>
          <w:rStyle w:val="FootnoteReference"/>
        </w:rPr>
        <w:footnoteRef/>
      </w:r>
      <w:r>
        <w:t xml:space="preserve"> </w:t>
      </w:r>
      <w:proofErr w:type="spellStart"/>
      <w:r w:rsidRPr="00BB7BFB">
        <w:rPr>
          <w:i/>
        </w:rPr>
        <w:t>Loomcraft</w:t>
      </w:r>
      <w:proofErr w:type="spellEnd"/>
      <w:r>
        <w:t xml:space="preserve"> </w:t>
      </w:r>
      <w:proofErr w:type="spellStart"/>
      <w:r>
        <w:t>fn</w:t>
      </w:r>
      <w:proofErr w:type="spellEnd"/>
      <w:r>
        <w:t xml:space="preserve"> </w:t>
      </w:r>
      <w:r w:rsidR="00C2685A">
        <w:t>2</w:t>
      </w:r>
      <w:r w:rsidR="00094AB7">
        <w:t xml:space="preserve"> </w:t>
      </w:r>
      <w:r w:rsidR="00E80964">
        <w:t xml:space="preserve">above </w:t>
      </w:r>
      <w:r>
        <w:t>at 816D-H.</w:t>
      </w:r>
    </w:p>
  </w:footnote>
  <w:footnote w:id="6">
    <w:p w14:paraId="32C85BC6" w14:textId="62E3B468" w:rsidR="00F23D0C" w:rsidRPr="00B74872" w:rsidRDefault="00F23D0C" w:rsidP="000C0334">
      <w:pPr>
        <w:pStyle w:val="FootnoteText"/>
        <w:spacing w:line="240" w:lineRule="auto"/>
        <w:rPr>
          <w:lang w:val="en-ZA"/>
        </w:rPr>
      </w:pPr>
      <w:r w:rsidRPr="00B74872">
        <w:rPr>
          <w:rStyle w:val="FootnoteReference"/>
        </w:rPr>
        <w:footnoteRef/>
      </w:r>
      <w:r w:rsidR="00390F78" w:rsidRPr="00B74872">
        <w:rPr>
          <w:i/>
          <w:iCs/>
        </w:rPr>
        <w:t xml:space="preserve"> </w:t>
      </w:r>
      <w:proofErr w:type="spellStart"/>
      <w:r w:rsidR="00390F78" w:rsidRPr="00B74872">
        <w:rPr>
          <w:i/>
          <w:iCs/>
        </w:rPr>
        <w:t>Setlogelo</w:t>
      </w:r>
      <w:proofErr w:type="spellEnd"/>
      <w:r w:rsidR="00390F78" w:rsidRPr="00B74872">
        <w:rPr>
          <w:i/>
          <w:iCs/>
        </w:rPr>
        <w:t xml:space="preserve"> v </w:t>
      </w:r>
      <w:proofErr w:type="spellStart"/>
      <w:r w:rsidR="00390F78" w:rsidRPr="00B74872">
        <w:rPr>
          <w:i/>
          <w:iCs/>
        </w:rPr>
        <w:t>Setlogelo</w:t>
      </w:r>
      <w:proofErr w:type="spellEnd"/>
      <w:r w:rsidR="00390F78" w:rsidRPr="00B74872">
        <w:t xml:space="preserve"> 1914 AD 221.</w:t>
      </w:r>
    </w:p>
  </w:footnote>
  <w:footnote w:id="7">
    <w:p w14:paraId="69FA9408" w14:textId="50416695" w:rsidR="004E5535" w:rsidRPr="000C0334" w:rsidRDefault="004E5535" w:rsidP="000C0334">
      <w:pPr>
        <w:pStyle w:val="FootnoteText"/>
        <w:spacing w:line="240" w:lineRule="auto"/>
        <w:rPr>
          <w:lang w:val="en-ZA"/>
        </w:rPr>
      </w:pPr>
      <w:r w:rsidRPr="00B74872">
        <w:rPr>
          <w:rStyle w:val="FootnoteReference"/>
        </w:rPr>
        <w:footnoteRef/>
      </w:r>
      <w:r w:rsidRPr="00B74872">
        <w:t xml:space="preserve"> </w:t>
      </w:r>
      <w:r w:rsidRPr="00B74872">
        <w:rPr>
          <w:i/>
          <w:lang w:val="en-ZA"/>
        </w:rPr>
        <w:t>V &amp; A Waterfront Properties (Pty) Ltd</w:t>
      </w:r>
      <w:r w:rsidRPr="000C0334">
        <w:rPr>
          <w:i/>
          <w:lang w:val="en-ZA"/>
        </w:rPr>
        <w:t xml:space="preserve"> and Another </w:t>
      </w:r>
      <w:proofErr w:type="gramStart"/>
      <w:r w:rsidRPr="000C0334">
        <w:rPr>
          <w:i/>
          <w:lang w:val="en-ZA"/>
        </w:rPr>
        <w:t>v</w:t>
      </w:r>
      <w:proofErr w:type="gramEnd"/>
      <w:r w:rsidRPr="000C0334">
        <w:rPr>
          <w:i/>
          <w:lang w:val="en-ZA"/>
        </w:rPr>
        <w:t xml:space="preserve"> Helicopter &amp; Marine Services (Pty) Ltd and Others </w:t>
      </w:r>
      <w:r>
        <w:rPr>
          <w:lang w:val="en-ZA"/>
        </w:rPr>
        <w:t>2006 (1) SA 252 (SCA) para 21.</w:t>
      </w:r>
    </w:p>
  </w:footnote>
  <w:footnote w:id="8">
    <w:p w14:paraId="4A0E4614" w14:textId="12FB2919" w:rsidR="00356BD7" w:rsidRPr="0052550C" w:rsidRDefault="00356BD7" w:rsidP="000C0334">
      <w:pPr>
        <w:pStyle w:val="FootnoteText"/>
        <w:spacing w:line="240" w:lineRule="auto"/>
        <w:rPr>
          <w:lang w:val="en-ZA"/>
        </w:rPr>
      </w:pPr>
      <w:r w:rsidRPr="00425567">
        <w:rPr>
          <w:rStyle w:val="FootnoteReference"/>
          <w:color w:val="000000" w:themeColor="text1"/>
        </w:rPr>
        <w:footnoteRef/>
      </w:r>
      <w:r w:rsidRPr="00425567">
        <w:rPr>
          <w:color w:val="000000" w:themeColor="text1"/>
        </w:rPr>
        <w:t xml:space="preserve"> </w:t>
      </w:r>
      <w:r w:rsidR="00236F01" w:rsidRPr="00425567">
        <w:rPr>
          <w:i/>
          <w:color w:val="000000" w:themeColor="text1"/>
        </w:rPr>
        <w:t>Loom</w:t>
      </w:r>
      <w:r w:rsidR="00236F01">
        <w:rPr>
          <w:i/>
          <w:color w:val="000000" w:themeColor="text1"/>
          <w:lang w:val="en-ZA"/>
        </w:rPr>
        <w:t>c</w:t>
      </w:r>
      <w:r w:rsidR="00236F01" w:rsidRPr="00425567">
        <w:rPr>
          <w:i/>
          <w:color w:val="000000" w:themeColor="text1"/>
          <w:lang w:val="en-ZA"/>
        </w:rPr>
        <w:t xml:space="preserve">raft </w:t>
      </w:r>
      <w:r w:rsidR="00236F01" w:rsidRPr="00236F01">
        <w:rPr>
          <w:color w:val="000000" w:themeColor="text1"/>
          <w:lang w:val="en-ZA"/>
        </w:rPr>
        <w:t>f</w:t>
      </w:r>
      <w:r w:rsidR="00E02645" w:rsidRPr="00236F01">
        <w:rPr>
          <w:color w:val="000000" w:themeColor="text1"/>
        </w:rPr>
        <w:t>n</w:t>
      </w:r>
      <w:r w:rsidR="00E02645">
        <w:rPr>
          <w:color w:val="000000" w:themeColor="text1"/>
        </w:rPr>
        <w:t xml:space="preserve"> 2 </w:t>
      </w:r>
      <w:r w:rsidR="00E80964">
        <w:rPr>
          <w:color w:val="000000" w:themeColor="text1"/>
        </w:rPr>
        <w:t xml:space="preserve">above </w:t>
      </w:r>
      <w:r w:rsidRPr="00425567">
        <w:rPr>
          <w:color w:val="000000" w:themeColor="text1"/>
        </w:rPr>
        <w:t>at 823H-823I</w:t>
      </w:r>
      <w:r w:rsidR="00E02645">
        <w:rPr>
          <w:color w:val="000000" w:themeColor="text1"/>
        </w:rPr>
        <w:t>.</w:t>
      </w:r>
    </w:p>
  </w:footnote>
  <w:footnote w:id="9">
    <w:p w14:paraId="20A35B6A" w14:textId="1EBDB1C0" w:rsidR="00356BD7" w:rsidRPr="00435CF5" w:rsidRDefault="00356BD7" w:rsidP="000C0334">
      <w:pPr>
        <w:pStyle w:val="FootnoteText"/>
        <w:spacing w:line="240" w:lineRule="auto"/>
        <w:rPr>
          <w:lang w:val="en-ZA"/>
        </w:rPr>
      </w:pPr>
      <w:r>
        <w:rPr>
          <w:rStyle w:val="FootnoteReference"/>
        </w:rPr>
        <w:footnoteRef/>
      </w:r>
      <w:r>
        <w:t xml:space="preserve"> </w:t>
      </w:r>
      <w:r w:rsidR="00236F01" w:rsidRPr="00236F01">
        <w:rPr>
          <w:i/>
        </w:rPr>
        <w:t>State Bank of India</w:t>
      </w:r>
      <w:r w:rsidR="00236F01">
        <w:t xml:space="preserve"> </w:t>
      </w:r>
      <w:proofErr w:type="spellStart"/>
      <w:r w:rsidR="00236F01">
        <w:t>f</w:t>
      </w:r>
      <w:r w:rsidR="00E02645">
        <w:t>n</w:t>
      </w:r>
      <w:proofErr w:type="spellEnd"/>
      <w:r w:rsidRPr="00F744AD">
        <w:rPr>
          <w:iCs/>
        </w:rPr>
        <w:t xml:space="preserve"> </w:t>
      </w:r>
      <w:r>
        <w:t>1</w:t>
      </w:r>
      <w:r w:rsidR="00E80964">
        <w:t xml:space="preserve"> above</w:t>
      </w:r>
      <w:r>
        <w:t xml:space="preserve"> paras 6-7.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66D43" w14:textId="77777777" w:rsidR="00356BD7" w:rsidRDefault="00356BD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FA92E8" w14:textId="77777777" w:rsidR="00356BD7" w:rsidRDefault="00356BD7">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0924425"/>
      <w:docPartObj>
        <w:docPartGallery w:val="Page Numbers (Top of Page)"/>
        <w:docPartUnique/>
      </w:docPartObj>
    </w:sdtPr>
    <w:sdtEndPr>
      <w:rPr>
        <w:noProof/>
      </w:rPr>
    </w:sdtEndPr>
    <w:sdtContent>
      <w:p w14:paraId="0C01C049" w14:textId="2885F2EF" w:rsidR="00356BD7" w:rsidRDefault="00356BD7">
        <w:pPr>
          <w:pStyle w:val="Header"/>
          <w:jc w:val="right"/>
        </w:pPr>
        <w:r>
          <w:fldChar w:fldCharType="begin"/>
        </w:r>
        <w:r>
          <w:instrText xml:space="preserve"> PAGE   \* MERGEFORMAT </w:instrText>
        </w:r>
        <w:r>
          <w:fldChar w:fldCharType="separate"/>
        </w:r>
        <w:r w:rsidR="00E237A7">
          <w:rPr>
            <w:noProof/>
          </w:rPr>
          <w:t>9</w:t>
        </w:r>
        <w:r>
          <w:rPr>
            <w:noProof/>
          </w:rPr>
          <w:fldChar w:fldCharType="end"/>
        </w:r>
      </w:p>
    </w:sdtContent>
  </w:sdt>
  <w:p w14:paraId="3A3A784D" w14:textId="77777777" w:rsidR="00356BD7" w:rsidRDefault="00356BD7">
    <w:pPr>
      <w:pStyle w:val="Header"/>
      <w:ind w:right="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3735714"/>
      <w:docPartObj>
        <w:docPartGallery w:val="Page Numbers (Top of Page)"/>
        <w:docPartUnique/>
      </w:docPartObj>
    </w:sdtPr>
    <w:sdtEndPr>
      <w:rPr>
        <w:noProof/>
      </w:rPr>
    </w:sdtEndPr>
    <w:sdtContent>
      <w:p w14:paraId="7C4B6B74" w14:textId="77777777" w:rsidR="00356BD7" w:rsidRDefault="002A74E4">
        <w:pPr>
          <w:pStyle w:val="Header"/>
          <w:jc w:val="right"/>
        </w:pPr>
      </w:p>
    </w:sdtContent>
  </w:sdt>
  <w:p w14:paraId="74664E87" w14:textId="77777777" w:rsidR="00356BD7" w:rsidRDefault="00356BD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E16B0"/>
    <w:multiLevelType w:val="hybridMultilevel"/>
    <w:tmpl w:val="D75C6126"/>
    <w:lvl w:ilvl="0" w:tplc="93AE13B2">
      <w:start w:val="1"/>
      <w:numFmt w:val="decimal"/>
      <w:lvlText w:val="%1"/>
      <w:lvlJc w:val="left"/>
      <w:pPr>
        <w:ind w:left="1110" w:hanging="7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FE7929"/>
    <w:multiLevelType w:val="hybridMultilevel"/>
    <w:tmpl w:val="CDACD8AE"/>
    <w:lvl w:ilvl="0" w:tplc="4A448992">
      <w:start w:val="1"/>
      <w:numFmt w:val="decimal"/>
      <w:lvlText w:val="[%1]"/>
      <w:lvlJc w:val="left"/>
      <w:pPr>
        <w:ind w:left="450" w:firstLine="0"/>
      </w:pPr>
      <w:rPr>
        <w:rFonts w:ascii="Times New Roman" w:hAnsi="Times New Roman" w:hint="default"/>
        <w:b w:val="0"/>
        <w:bCs w:val="0"/>
        <w:i w:val="0"/>
        <w:iCs w:val="0"/>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242539"/>
    <w:multiLevelType w:val="hybridMultilevel"/>
    <w:tmpl w:val="AB0EB77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5E65CD6"/>
    <w:multiLevelType w:val="hybridMultilevel"/>
    <w:tmpl w:val="26A639A4"/>
    <w:lvl w:ilvl="0" w:tplc="C8B43792">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4" w15:restartNumberingAfterBreak="0">
    <w:nsid w:val="176D63D2"/>
    <w:multiLevelType w:val="hybridMultilevel"/>
    <w:tmpl w:val="92A095F2"/>
    <w:lvl w:ilvl="0" w:tplc="4A448992">
      <w:start w:val="1"/>
      <w:numFmt w:val="decimal"/>
      <w:lvlText w:val="[%1]"/>
      <w:lvlJc w:val="left"/>
      <w:pPr>
        <w:ind w:left="360" w:hanging="360"/>
      </w:pPr>
      <w:rPr>
        <w:rFonts w:ascii="Times New Roman" w:hAnsi="Times New Roman" w:cs="Times New Roman" w:hint="default"/>
        <w:b w:val="0"/>
        <w:bCs w:val="0"/>
        <w:i w:val="0"/>
        <w:iCs w:val="0"/>
        <w:sz w:val="28"/>
        <w:szCs w:val="28"/>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5" w15:restartNumberingAfterBreak="0">
    <w:nsid w:val="1DC70603"/>
    <w:multiLevelType w:val="hybridMultilevel"/>
    <w:tmpl w:val="26A639A4"/>
    <w:lvl w:ilvl="0" w:tplc="C8B43792">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6" w15:restartNumberingAfterBreak="0">
    <w:nsid w:val="205B7E72"/>
    <w:multiLevelType w:val="hybridMultilevel"/>
    <w:tmpl w:val="22E2B4CC"/>
    <w:lvl w:ilvl="0" w:tplc="6B147C4E">
      <w:start w:val="1"/>
      <w:numFmt w:val="decimal"/>
      <w:lvlText w:val="%1"/>
      <w:lvlJc w:val="left"/>
      <w:pPr>
        <w:ind w:left="720" w:hanging="360"/>
      </w:pPr>
      <w:rPr>
        <w:rFonts w:ascii="Times New Roman" w:eastAsia="Times New Roman" w:hAnsi="Times New Roman"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8881F0C"/>
    <w:multiLevelType w:val="hybridMultilevel"/>
    <w:tmpl w:val="22E2B4CC"/>
    <w:lvl w:ilvl="0" w:tplc="6B147C4E">
      <w:start w:val="1"/>
      <w:numFmt w:val="decimal"/>
      <w:lvlText w:val="%1"/>
      <w:lvlJc w:val="left"/>
      <w:pPr>
        <w:ind w:left="720" w:hanging="360"/>
      </w:pPr>
      <w:rPr>
        <w:rFonts w:ascii="Times New Roman" w:eastAsia="Times New Roman" w:hAnsi="Times New Roman"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3BF14F6D"/>
    <w:multiLevelType w:val="multilevel"/>
    <w:tmpl w:val="A16EA6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F8A4AB8"/>
    <w:multiLevelType w:val="hybridMultilevel"/>
    <w:tmpl w:val="80060348"/>
    <w:lvl w:ilvl="0" w:tplc="3310727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42E26DF"/>
    <w:multiLevelType w:val="hybridMultilevel"/>
    <w:tmpl w:val="CDACD8AE"/>
    <w:lvl w:ilvl="0" w:tplc="4A448992">
      <w:start w:val="1"/>
      <w:numFmt w:val="decimal"/>
      <w:lvlText w:val="[%1]"/>
      <w:lvlJc w:val="left"/>
      <w:pPr>
        <w:ind w:left="450" w:firstLine="0"/>
      </w:pPr>
      <w:rPr>
        <w:rFonts w:ascii="Times New Roman" w:hAnsi="Times New Roman" w:hint="default"/>
        <w:b w:val="0"/>
        <w:bCs w:val="0"/>
        <w:i w:val="0"/>
        <w:iCs w:val="0"/>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F26C42"/>
    <w:multiLevelType w:val="hybridMultilevel"/>
    <w:tmpl w:val="EC68FEA0"/>
    <w:lvl w:ilvl="0" w:tplc="3310727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FFE2C73"/>
    <w:multiLevelType w:val="hybridMultilevel"/>
    <w:tmpl w:val="45727A72"/>
    <w:lvl w:ilvl="0" w:tplc="111CC7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9946EE"/>
    <w:multiLevelType w:val="hybridMultilevel"/>
    <w:tmpl w:val="D3F60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E15EB3"/>
    <w:multiLevelType w:val="hybridMultilevel"/>
    <w:tmpl w:val="80EE8930"/>
    <w:lvl w:ilvl="0" w:tplc="3310727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8D7FD7"/>
    <w:multiLevelType w:val="hybridMultilevel"/>
    <w:tmpl w:val="570E42F2"/>
    <w:lvl w:ilvl="0" w:tplc="C986BBAC">
      <w:start w:val="1"/>
      <w:numFmt w:val="decimal"/>
      <w:lvlText w:val="%1"/>
      <w:lvlJc w:val="left"/>
      <w:pPr>
        <w:ind w:left="1080" w:hanging="72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C848CF"/>
    <w:multiLevelType w:val="hybridMultilevel"/>
    <w:tmpl w:val="5B9A9862"/>
    <w:lvl w:ilvl="0" w:tplc="721AE13A">
      <w:start w:val="1"/>
      <w:numFmt w:val="decimal"/>
      <w:lvlText w:val="[%1]"/>
      <w:lvlJc w:val="left"/>
      <w:pPr>
        <w:ind w:left="360" w:hanging="360"/>
      </w:pPr>
      <w:rPr>
        <w:rFonts w:ascii="Arial" w:hAnsi="Arial" w:cs="Arial" w:hint="default"/>
        <w:b w:val="0"/>
        <w:sz w:val="24"/>
        <w:szCs w:val="24"/>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15"/>
  </w:num>
  <w:num w:numId="3">
    <w:abstractNumId w:val="7"/>
  </w:num>
  <w:num w:numId="4">
    <w:abstractNumId w:val="16"/>
  </w:num>
  <w:num w:numId="5">
    <w:abstractNumId w:val="2"/>
  </w:num>
  <w:num w:numId="6">
    <w:abstractNumId w:val="5"/>
  </w:num>
  <w:num w:numId="7">
    <w:abstractNumId w:val="6"/>
  </w:num>
  <w:num w:numId="8">
    <w:abstractNumId w:val="8"/>
    <w:lvlOverride w:ilvl="0">
      <w:startOverride w:val="89"/>
    </w:lvlOverride>
  </w:num>
  <w:num w:numId="9">
    <w:abstractNumId w:val="12"/>
  </w:num>
  <w:num w:numId="10">
    <w:abstractNumId w:val="3"/>
  </w:num>
  <w:num w:numId="11">
    <w:abstractNumId w:val="0"/>
  </w:num>
  <w:num w:numId="12">
    <w:abstractNumId w:val="13"/>
  </w:num>
  <w:num w:numId="13">
    <w:abstractNumId w:val="14"/>
  </w:num>
  <w:num w:numId="14">
    <w:abstractNumId w:val="11"/>
  </w:num>
  <w:num w:numId="15">
    <w:abstractNumId w:val="9"/>
  </w:num>
  <w:num w:numId="16">
    <w:abstractNumId w:val="1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B3B2E6F-841E-4D35-A979-9A8661F34A64}"/>
    <w:docVar w:name="dgnword-eventsink" w:val="2075648566640"/>
    <w:docVar w:name="dgnword-lastRevisionsView" w:val="0"/>
  </w:docVars>
  <w:rsids>
    <w:rsidRoot w:val="00B149B5"/>
    <w:rsid w:val="00012545"/>
    <w:rsid w:val="000133E9"/>
    <w:rsid w:val="000214ED"/>
    <w:rsid w:val="00024D30"/>
    <w:rsid w:val="0002543D"/>
    <w:rsid w:val="00030CAF"/>
    <w:rsid w:val="000342C9"/>
    <w:rsid w:val="00041704"/>
    <w:rsid w:val="00043801"/>
    <w:rsid w:val="00043BD7"/>
    <w:rsid w:val="00043CA1"/>
    <w:rsid w:val="00051A85"/>
    <w:rsid w:val="000535D1"/>
    <w:rsid w:val="00057D27"/>
    <w:rsid w:val="000634DA"/>
    <w:rsid w:val="00063739"/>
    <w:rsid w:val="00073F71"/>
    <w:rsid w:val="00080605"/>
    <w:rsid w:val="00084AEA"/>
    <w:rsid w:val="00093628"/>
    <w:rsid w:val="00094AB7"/>
    <w:rsid w:val="00095E06"/>
    <w:rsid w:val="000964F2"/>
    <w:rsid w:val="000A7873"/>
    <w:rsid w:val="000B11D2"/>
    <w:rsid w:val="000B29EA"/>
    <w:rsid w:val="000B3FEF"/>
    <w:rsid w:val="000C0334"/>
    <w:rsid w:val="000C6E3A"/>
    <w:rsid w:val="000C6F45"/>
    <w:rsid w:val="000D5732"/>
    <w:rsid w:val="000E0929"/>
    <w:rsid w:val="000E3F49"/>
    <w:rsid w:val="000E435A"/>
    <w:rsid w:val="000E55A8"/>
    <w:rsid w:val="000E79A7"/>
    <w:rsid w:val="000F2C14"/>
    <w:rsid w:val="000F73CC"/>
    <w:rsid w:val="00100237"/>
    <w:rsid w:val="00107C00"/>
    <w:rsid w:val="00112673"/>
    <w:rsid w:val="001476E6"/>
    <w:rsid w:val="0015110F"/>
    <w:rsid w:val="00155AF7"/>
    <w:rsid w:val="0015776A"/>
    <w:rsid w:val="001604DF"/>
    <w:rsid w:val="00177575"/>
    <w:rsid w:val="00183D16"/>
    <w:rsid w:val="00190B9B"/>
    <w:rsid w:val="0019216B"/>
    <w:rsid w:val="00195D55"/>
    <w:rsid w:val="001A6F2F"/>
    <w:rsid w:val="001C5A1F"/>
    <w:rsid w:val="001D12FA"/>
    <w:rsid w:val="001D17C9"/>
    <w:rsid w:val="001D4936"/>
    <w:rsid w:val="001E0957"/>
    <w:rsid w:val="001E28FF"/>
    <w:rsid w:val="001E30A3"/>
    <w:rsid w:val="001E6D32"/>
    <w:rsid w:val="001E6E5E"/>
    <w:rsid w:val="001E6F91"/>
    <w:rsid w:val="001F34B5"/>
    <w:rsid w:val="001F36EC"/>
    <w:rsid w:val="001F61EE"/>
    <w:rsid w:val="00225811"/>
    <w:rsid w:val="00236F01"/>
    <w:rsid w:val="00245A24"/>
    <w:rsid w:val="00250A93"/>
    <w:rsid w:val="0025136B"/>
    <w:rsid w:val="00253967"/>
    <w:rsid w:val="00262EF2"/>
    <w:rsid w:val="002756D3"/>
    <w:rsid w:val="00280D47"/>
    <w:rsid w:val="00282B31"/>
    <w:rsid w:val="00284557"/>
    <w:rsid w:val="002906A3"/>
    <w:rsid w:val="002A2746"/>
    <w:rsid w:val="002A74E4"/>
    <w:rsid w:val="002D708D"/>
    <w:rsid w:val="002E2CB2"/>
    <w:rsid w:val="002E3788"/>
    <w:rsid w:val="002E39A4"/>
    <w:rsid w:val="002E48F1"/>
    <w:rsid w:val="002F3DAD"/>
    <w:rsid w:val="002F7366"/>
    <w:rsid w:val="00306633"/>
    <w:rsid w:val="00311769"/>
    <w:rsid w:val="00311CFD"/>
    <w:rsid w:val="00327E7A"/>
    <w:rsid w:val="00356BD7"/>
    <w:rsid w:val="00356D0D"/>
    <w:rsid w:val="00362B2C"/>
    <w:rsid w:val="00362CF1"/>
    <w:rsid w:val="003650DF"/>
    <w:rsid w:val="00366967"/>
    <w:rsid w:val="003839AE"/>
    <w:rsid w:val="00383C02"/>
    <w:rsid w:val="00390F78"/>
    <w:rsid w:val="0039451A"/>
    <w:rsid w:val="003A36F5"/>
    <w:rsid w:val="003A4DF2"/>
    <w:rsid w:val="003B1857"/>
    <w:rsid w:val="003B715C"/>
    <w:rsid w:val="003C4584"/>
    <w:rsid w:val="003D3562"/>
    <w:rsid w:val="003D58E2"/>
    <w:rsid w:val="003E1C54"/>
    <w:rsid w:val="003E5D51"/>
    <w:rsid w:val="003F429C"/>
    <w:rsid w:val="004008AD"/>
    <w:rsid w:val="004017FB"/>
    <w:rsid w:val="00407B87"/>
    <w:rsid w:val="00413F55"/>
    <w:rsid w:val="00425567"/>
    <w:rsid w:val="00427A62"/>
    <w:rsid w:val="00432836"/>
    <w:rsid w:val="00432957"/>
    <w:rsid w:val="00435CF5"/>
    <w:rsid w:val="0043757F"/>
    <w:rsid w:val="00443515"/>
    <w:rsid w:val="00445D42"/>
    <w:rsid w:val="004521AF"/>
    <w:rsid w:val="00452DCF"/>
    <w:rsid w:val="00455952"/>
    <w:rsid w:val="00455A5C"/>
    <w:rsid w:val="004606EB"/>
    <w:rsid w:val="0046102F"/>
    <w:rsid w:val="00462D4D"/>
    <w:rsid w:val="0046715E"/>
    <w:rsid w:val="0047153E"/>
    <w:rsid w:val="004738BA"/>
    <w:rsid w:val="00480365"/>
    <w:rsid w:val="004856EC"/>
    <w:rsid w:val="00495386"/>
    <w:rsid w:val="004B4F31"/>
    <w:rsid w:val="004C7F8F"/>
    <w:rsid w:val="004D0391"/>
    <w:rsid w:val="004D0700"/>
    <w:rsid w:val="004E389C"/>
    <w:rsid w:val="004E5535"/>
    <w:rsid w:val="0051027D"/>
    <w:rsid w:val="0052550C"/>
    <w:rsid w:val="005272D2"/>
    <w:rsid w:val="005277CD"/>
    <w:rsid w:val="00527D7A"/>
    <w:rsid w:val="00530334"/>
    <w:rsid w:val="00534DED"/>
    <w:rsid w:val="00535BF7"/>
    <w:rsid w:val="00550240"/>
    <w:rsid w:val="00550C5A"/>
    <w:rsid w:val="00566FD8"/>
    <w:rsid w:val="00576029"/>
    <w:rsid w:val="005849D9"/>
    <w:rsid w:val="005B0FD9"/>
    <w:rsid w:val="005B125B"/>
    <w:rsid w:val="005C6E34"/>
    <w:rsid w:val="005D7FB0"/>
    <w:rsid w:val="005E2559"/>
    <w:rsid w:val="005E25D1"/>
    <w:rsid w:val="005E3CE9"/>
    <w:rsid w:val="005E4281"/>
    <w:rsid w:val="005F1453"/>
    <w:rsid w:val="005F48D0"/>
    <w:rsid w:val="005F7DE8"/>
    <w:rsid w:val="006009E3"/>
    <w:rsid w:val="00600F63"/>
    <w:rsid w:val="00611EB7"/>
    <w:rsid w:val="006216B3"/>
    <w:rsid w:val="00631925"/>
    <w:rsid w:val="0063373D"/>
    <w:rsid w:val="00633EE8"/>
    <w:rsid w:val="00634DC6"/>
    <w:rsid w:val="00637FA9"/>
    <w:rsid w:val="00640DB2"/>
    <w:rsid w:val="00641849"/>
    <w:rsid w:val="00641C58"/>
    <w:rsid w:val="00644F01"/>
    <w:rsid w:val="00654DD8"/>
    <w:rsid w:val="00663026"/>
    <w:rsid w:val="00664C06"/>
    <w:rsid w:val="006701C5"/>
    <w:rsid w:val="00675E18"/>
    <w:rsid w:val="006A3C5E"/>
    <w:rsid w:val="006A67FD"/>
    <w:rsid w:val="006A7120"/>
    <w:rsid w:val="006B1C8F"/>
    <w:rsid w:val="006B748A"/>
    <w:rsid w:val="006C017B"/>
    <w:rsid w:val="006D3D51"/>
    <w:rsid w:val="006D7302"/>
    <w:rsid w:val="006E4236"/>
    <w:rsid w:val="006E4710"/>
    <w:rsid w:val="006F0E21"/>
    <w:rsid w:val="006F299B"/>
    <w:rsid w:val="006F3F70"/>
    <w:rsid w:val="006F521D"/>
    <w:rsid w:val="006F56A6"/>
    <w:rsid w:val="006F7E8A"/>
    <w:rsid w:val="007111E4"/>
    <w:rsid w:val="00722A09"/>
    <w:rsid w:val="00723E6C"/>
    <w:rsid w:val="00774141"/>
    <w:rsid w:val="0078084F"/>
    <w:rsid w:val="007925C0"/>
    <w:rsid w:val="007948D2"/>
    <w:rsid w:val="007A7FB3"/>
    <w:rsid w:val="007C2870"/>
    <w:rsid w:val="007D3D32"/>
    <w:rsid w:val="007E1400"/>
    <w:rsid w:val="007E6D8C"/>
    <w:rsid w:val="007F2722"/>
    <w:rsid w:val="007F2AC5"/>
    <w:rsid w:val="008011F4"/>
    <w:rsid w:val="00806891"/>
    <w:rsid w:val="00811318"/>
    <w:rsid w:val="00811351"/>
    <w:rsid w:val="0081193F"/>
    <w:rsid w:val="00824960"/>
    <w:rsid w:val="00831A57"/>
    <w:rsid w:val="00833700"/>
    <w:rsid w:val="008356C2"/>
    <w:rsid w:val="00837689"/>
    <w:rsid w:val="0084286B"/>
    <w:rsid w:val="00860AF1"/>
    <w:rsid w:val="00867968"/>
    <w:rsid w:val="0088217C"/>
    <w:rsid w:val="00884505"/>
    <w:rsid w:val="008969BD"/>
    <w:rsid w:val="008A3608"/>
    <w:rsid w:val="008A429B"/>
    <w:rsid w:val="008A6F9E"/>
    <w:rsid w:val="008B07A6"/>
    <w:rsid w:val="008B5E91"/>
    <w:rsid w:val="008C1118"/>
    <w:rsid w:val="008D22AC"/>
    <w:rsid w:val="008D3E78"/>
    <w:rsid w:val="008D6A1F"/>
    <w:rsid w:val="008E3DD5"/>
    <w:rsid w:val="008F59AC"/>
    <w:rsid w:val="0090235A"/>
    <w:rsid w:val="009058E4"/>
    <w:rsid w:val="0091057D"/>
    <w:rsid w:val="009140B1"/>
    <w:rsid w:val="0091707B"/>
    <w:rsid w:val="00924427"/>
    <w:rsid w:val="00933712"/>
    <w:rsid w:val="00941A1E"/>
    <w:rsid w:val="009421B0"/>
    <w:rsid w:val="00943C05"/>
    <w:rsid w:val="00945ED6"/>
    <w:rsid w:val="00964C9C"/>
    <w:rsid w:val="00970F4F"/>
    <w:rsid w:val="009722EA"/>
    <w:rsid w:val="00973554"/>
    <w:rsid w:val="009768B7"/>
    <w:rsid w:val="009A25D1"/>
    <w:rsid w:val="009A6132"/>
    <w:rsid w:val="009C0896"/>
    <w:rsid w:val="009C5388"/>
    <w:rsid w:val="009C56D6"/>
    <w:rsid w:val="009D1DFB"/>
    <w:rsid w:val="009E119E"/>
    <w:rsid w:val="009E1BA3"/>
    <w:rsid w:val="009E51B8"/>
    <w:rsid w:val="009E6F9F"/>
    <w:rsid w:val="009E730D"/>
    <w:rsid w:val="009F4B66"/>
    <w:rsid w:val="00A0539F"/>
    <w:rsid w:val="00A15216"/>
    <w:rsid w:val="00A20A54"/>
    <w:rsid w:val="00A25FA3"/>
    <w:rsid w:val="00A300FB"/>
    <w:rsid w:val="00A32693"/>
    <w:rsid w:val="00A363E6"/>
    <w:rsid w:val="00A37DE3"/>
    <w:rsid w:val="00A418A6"/>
    <w:rsid w:val="00A529D9"/>
    <w:rsid w:val="00A5421F"/>
    <w:rsid w:val="00A556C6"/>
    <w:rsid w:val="00A570B7"/>
    <w:rsid w:val="00A64194"/>
    <w:rsid w:val="00A678E0"/>
    <w:rsid w:val="00A7212E"/>
    <w:rsid w:val="00A74D01"/>
    <w:rsid w:val="00A754D2"/>
    <w:rsid w:val="00A75F59"/>
    <w:rsid w:val="00A85A31"/>
    <w:rsid w:val="00A90F42"/>
    <w:rsid w:val="00A917E0"/>
    <w:rsid w:val="00A96A22"/>
    <w:rsid w:val="00AA0F68"/>
    <w:rsid w:val="00AA685E"/>
    <w:rsid w:val="00AB4388"/>
    <w:rsid w:val="00AB56D0"/>
    <w:rsid w:val="00AC17DC"/>
    <w:rsid w:val="00AD3919"/>
    <w:rsid w:val="00AD6241"/>
    <w:rsid w:val="00AD774D"/>
    <w:rsid w:val="00AD7882"/>
    <w:rsid w:val="00AE05FB"/>
    <w:rsid w:val="00AF7B6B"/>
    <w:rsid w:val="00B022FB"/>
    <w:rsid w:val="00B033E7"/>
    <w:rsid w:val="00B042BE"/>
    <w:rsid w:val="00B128CE"/>
    <w:rsid w:val="00B149B5"/>
    <w:rsid w:val="00B20C0E"/>
    <w:rsid w:val="00B24093"/>
    <w:rsid w:val="00B265FD"/>
    <w:rsid w:val="00B4339B"/>
    <w:rsid w:val="00B54E9C"/>
    <w:rsid w:val="00B5619B"/>
    <w:rsid w:val="00B612CB"/>
    <w:rsid w:val="00B61340"/>
    <w:rsid w:val="00B66870"/>
    <w:rsid w:val="00B73910"/>
    <w:rsid w:val="00B74872"/>
    <w:rsid w:val="00B82920"/>
    <w:rsid w:val="00B875AA"/>
    <w:rsid w:val="00B900DD"/>
    <w:rsid w:val="00B917B3"/>
    <w:rsid w:val="00B92378"/>
    <w:rsid w:val="00B930BC"/>
    <w:rsid w:val="00B9346A"/>
    <w:rsid w:val="00BA2E76"/>
    <w:rsid w:val="00BA3A54"/>
    <w:rsid w:val="00BA694C"/>
    <w:rsid w:val="00BC3D4A"/>
    <w:rsid w:val="00BD27A4"/>
    <w:rsid w:val="00BD4EEB"/>
    <w:rsid w:val="00BE5710"/>
    <w:rsid w:val="00BF45C0"/>
    <w:rsid w:val="00C05537"/>
    <w:rsid w:val="00C2685A"/>
    <w:rsid w:val="00C4214B"/>
    <w:rsid w:val="00C4468B"/>
    <w:rsid w:val="00C535C0"/>
    <w:rsid w:val="00C71353"/>
    <w:rsid w:val="00C94336"/>
    <w:rsid w:val="00CA0C0B"/>
    <w:rsid w:val="00CC7F37"/>
    <w:rsid w:val="00CE0F31"/>
    <w:rsid w:val="00CE132A"/>
    <w:rsid w:val="00CF68CE"/>
    <w:rsid w:val="00CF7E0F"/>
    <w:rsid w:val="00D1520C"/>
    <w:rsid w:val="00D21208"/>
    <w:rsid w:val="00D308B0"/>
    <w:rsid w:val="00D316D5"/>
    <w:rsid w:val="00D41A9B"/>
    <w:rsid w:val="00D41AC4"/>
    <w:rsid w:val="00D436ED"/>
    <w:rsid w:val="00D52C4C"/>
    <w:rsid w:val="00D54DE5"/>
    <w:rsid w:val="00D56064"/>
    <w:rsid w:val="00D64385"/>
    <w:rsid w:val="00D70BD5"/>
    <w:rsid w:val="00D8118B"/>
    <w:rsid w:val="00D81CEB"/>
    <w:rsid w:val="00D90662"/>
    <w:rsid w:val="00D906A0"/>
    <w:rsid w:val="00DA0CB4"/>
    <w:rsid w:val="00DA2DCC"/>
    <w:rsid w:val="00DB2146"/>
    <w:rsid w:val="00DC46BE"/>
    <w:rsid w:val="00DD2B97"/>
    <w:rsid w:val="00DE4930"/>
    <w:rsid w:val="00DE660E"/>
    <w:rsid w:val="00DF4F47"/>
    <w:rsid w:val="00DF6D3A"/>
    <w:rsid w:val="00E02645"/>
    <w:rsid w:val="00E10F58"/>
    <w:rsid w:val="00E12FB7"/>
    <w:rsid w:val="00E14DE5"/>
    <w:rsid w:val="00E237A7"/>
    <w:rsid w:val="00E36F2C"/>
    <w:rsid w:val="00E41ECC"/>
    <w:rsid w:val="00E42851"/>
    <w:rsid w:val="00E432A4"/>
    <w:rsid w:val="00E45CD8"/>
    <w:rsid w:val="00E557BC"/>
    <w:rsid w:val="00E70981"/>
    <w:rsid w:val="00E728FD"/>
    <w:rsid w:val="00E80964"/>
    <w:rsid w:val="00E82800"/>
    <w:rsid w:val="00E83B28"/>
    <w:rsid w:val="00E9317C"/>
    <w:rsid w:val="00EA0B68"/>
    <w:rsid w:val="00EA474E"/>
    <w:rsid w:val="00EB4773"/>
    <w:rsid w:val="00EB67EE"/>
    <w:rsid w:val="00EC21A1"/>
    <w:rsid w:val="00EC3F5A"/>
    <w:rsid w:val="00EC4399"/>
    <w:rsid w:val="00EC6725"/>
    <w:rsid w:val="00ED1C22"/>
    <w:rsid w:val="00ED26C5"/>
    <w:rsid w:val="00ED2A7D"/>
    <w:rsid w:val="00EE52B2"/>
    <w:rsid w:val="00EF5F1B"/>
    <w:rsid w:val="00F046FD"/>
    <w:rsid w:val="00F23D0C"/>
    <w:rsid w:val="00F26FCD"/>
    <w:rsid w:val="00F40ED1"/>
    <w:rsid w:val="00F50B74"/>
    <w:rsid w:val="00F5628C"/>
    <w:rsid w:val="00F570C1"/>
    <w:rsid w:val="00F6603F"/>
    <w:rsid w:val="00F702F9"/>
    <w:rsid w:val="00F744AD"/>
    <w:rsid w:val="00F765ED"/>
    <w:rsid w:val="00F84E33"/>
    <w:rsid w:val="00F94198"/>
    <w:rsid w:val="00F947F5"/>
    <w:rsid w:val="00F96AE5"/>
    <w:rsid w:val="00F9789F"/>
    <w:rsid w:val="00FA20FD"/>
    <w:rsid w:val="00FA30F6"/>
    <w:rsid w:val="00FB1669"/>
    <w:rsid w:val="00FC54A4"/>
    <w:rsid w:val="00FD14F7"/>
    <w:rsid w:val="00FD22F0"/>
    <w:rsid w:val="00FD78C8"/>
    <w:rsid w:val="00FF571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49E13"/>
  <w15:chartTrackingRefBased/>
  <w15:docId w15:val="{5F278535-DCEF-47E7-AE74-E4BFB405A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9B5"/>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B149B5"/>
    <w:pPr>
      <w:keepNext/>
      <w:outlineLvl w:val="0"/>
    </w:pPr>
    <w:rPr>
      <w:rFonts w:ascii="Arial" w:hAnsi="Arial" w:cs="Arial"/>
      <w:b/>
      <w:bCs/>
      <w:sz w:val="28"/>
    </w:rPr>
  </w:style>
  <w:style w:type="paragraph" w:styleId="Heading2">
    <w:name w:val="heading 2"/>
    <w:basedOn w:val="Normal"/>
    <w:next w:val="Normal"/>
    <w:link w:val="Heading2Char"/>
    <w:uiPriority w:val="9"/>
    <w:unhideWhenUsed/>
    <w:qFormat/>
    <w:rsid w:val="00B149B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B149B5"/>
    <w:pPr>
      <w:keepNext/>
      <w:outlineLvl w:val="2"/>
    </w:pPr>
    <w:rPr>
      <w:rFonts w:ascii="Arial" w:hAnsi="Arial" w:cs="Arial"/>
      <w:i/>
      <w:iCs/>
      <w:sz w:val="28"/>
    </w:rPr>
  </w:style>
  <w:style w:type="paragraph" w:styleId="Heading4">
    <w:name w:val="heading 4"/>
    <w:basedOn w:val="Normal"/>
    <w:next w:val="Normal"/>
    <w:link w:val="Heading4Char"/>
    <w:uiPriority w:val="9"/>
    <w:unhideWhenUsed/>
    <w:qFormat/>
    <w:rsid w:val="00B149B5"/>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49B5"/>
    <w:rPr>
      <w:rFonts w:ascii="Arial" w:eastAsia="Times New Roman" w:hAnsi="Arial" w:cs="Arial"/>
      <w:b/>
      <w:bCs/>
      <w:sz w:val="28"/>
      <w:szCs w:val="24"/>
      <w:lang w:val="en-GB"/>
    </w:rPr>
  </w:style>
  <w:style w:type="character" w:customStyle="1" w:styleId="Heading2Char">
    <w:name w:val="Heading 2 Char"/>
    <w:basedOn w:val="DefaultParagraphFont"/>
    <w:link w:val="Heading2"/>
    <w:uiPriority w:val="9"/>
    <w:rsid w:val="00B149B5"/>
    <w:rPr>
      <w:rFonts w:asciiTheme="majorHAnsi" w:eastAsiaTheme="majorEastAsia" w:hAnsiTheme="majorHAnsi" w:cstheme="majorBidi"/>
      <w:color w:val="2E74B5" w:themeColor="accent1" w:themeShade="BF"/>
      <w:sz w:val="26"/>
      <w:szCs w:val="26"/>
      <w:lang w:val="en-GB"/>
    </w:rPr>
  </w:style>
  <w:style w:type="character" w:customStyle="1" w:styleId="Heading3Char">
    <w:name w:val="Heading 3 Char"/>
    <w:basedOn w:val="DefaultParagraphFont"/>
    <w:link w:val="Heading3"/>
    <w:rsid w:val="00B149B5"/>
    <w:rPr>
      <w:rFonts w:ascii="Arial" w:eastAsia="Times New Roman" w:hAnsi="Arial" w:cs="Arial"/>
      <w:i/>
      <w:iCs/>
      <w:sz w:val="28"/>
      <w:szCs w:val="24"/>
      <w:lang w:val="en-GB"/>
    </w:rPr>
  </w:style>
  <w:style w:type="character" w:customStyle="1" w:styleId="Heading4Char">
    <w:name w:val="Heading 4 Char"/>
    <w:basedOn w:val="DefaultParagraphFont"/>
    <w:link w:val="Heading4"/>
    <w:uiPriority w:val="9"/>
    <w:rsid w:val="00B149B5"/>
    <w:rPr>
      <w:rFonts w:asciiTheme="majorHAnsi" w:eastAsiaTheme="majorEastAsia" w:hAnsiTheme="majorHAnsi" w:cstheme="majorBidi"/>
      <w:i/>
      <w:iCs/>
      <w:color w:val="2E74B5" w:themeColor="accent1" w:themeShade="BF"/>
      <w:sz w:val="24"/>
      <w:szCs w:val="24"/>
      <w:lang w:val="en-GB"/>
    </w:rPr>
  </w:style>
  <w:style w:type="paragraph" w:styleId="Header">
    <w:name w:val="header"/>
    <w:basedOn w:val="Normal"/>
    <w:link w:val="HeaderChar"/>
    <w:uiPriority w:val="99"/>
    <w:rsid w:val="00B149B5"/>
    <w:pPr>
      <w:tabs>
        <w:tab w:val="center" w:pos="4153"/>
        <w:tab w:val="right" w:pos="8306"/>
      </w:tabs>
    </w:pPr>
  </w:style>
  <w:style w:type="character" w:customStyle="1" w:styleId="HeaderChar">
    <w:name w:val="Header Char"/>
    <w:basedOn w:val="DefaultParagraphFont"/>
    <w:link w:val="Header"/>
    <w:uiPriority w:val="99"/>
    <w:rsid w:val="00B149B5"/>
    <w:rPr>
      <w:rFonts w:ascii="Times New Roman" w:eastAsia="Times New Roman" w:hAnsi="Times New Roman" w:cs="Times New Roman"/>
      <w:sz w:val="24"/>
      <w:szCs w:val="24"/>
      <w:lang w:val="en-GB"/>
    </w:rPr>
  </w:style>
  <w:style w:type="character" w:styleId="PageNumber">
    <w:name w:val="page number"/>
    <w:basedOn w:val="DefaultParagraphFont"/>
    <w:rsid w:val="00B149B5"/>
    <w:rPr>
      <w:rFonts w:cs="Times New Roman"/>
    </w:rPr>
  </w:style>
  <w:style w:type="paragraph" w:styleId="FootnoteText">
    <w:name w:val="footnote text"/>
    <w:basedOn w:val="Normal"/>
    <w:link w:val="FootnoteTextChar"/>
    <w:uiPriority w:val="99"/>
    <w:rsid w:val="00B149B5"/>
    <w:rPr>
      <w:sz w:val="20"/>
      <w:szCs w:val="20"/>
    </w:rPr>
  </w:style>
  <w:style w:type="character" w:customStyle="1" w:styleId="FootnoteTextChar">
    <w:name w:val="Footnote Text Char"/>
    <w:basedOn w:val="DefaultParagraphFont"/>
    <w:link w:val="FootnoteText"/>
    <w:uiPriority w:val="99"/>
    <w:rsid w:val="00B149B5"/>
    <w:rPr>
      <w:rFonts w:ascii="Times New Roman" w:eastAsia="Times New Roman" w:hAnsi="Times New Roman" w:cs="Times New Roman"/>
      <w:sz w:val="20"/>
      <w:szCs w:val="20"/>
      <w:lang w:val="en-GB"/>
    </w:rPr>
  </w:style>
  <w:style w:type="paragraph" w:customStyle="1" w:styleId="Pa3">
    <w:name w:val="Pa3"/>
    <w:basedOn w:val="Normal"/>
    <w:next w:val="Normal"/>
    <w:uiPriority w:val="99"/>
    <w:rsid w:val="00B149B5"/>
    <w:pPr>
      <w:autoSpaceDE w:val="0"/>
      <w:autoSpaceDN w:val="0"/>
      <w:adjustRightInd w:val="0"/>
      <w:spacing w:line="241" w:lineRule="atLeast"/>
    </w:pPr>
    <w:rPr>
      <w:rFonts w:ascii="Arial" w:hAnsi="Arial"/>
    </w:rPr>
  </w:style>
  <w:style w:type="paragraph" w:styleId="NormalIndent">
    <w:name w:val="Normal Indent"/>
    <w:basedOn w:val="Normal"/>
    <w:uiPriority w:val="99"/>
    <w:semiHidden/>
    <w:unhideWhenUsed/>
    <w:rsid w:val="00B149B5"/>
    <w:pPr>
      <w:spacing w:line="480" w:lineRule="auto"/>
      <w:ind w:left="720"/>
    </w:pPr>
    <w:rPr>
      <w:sz w:val="28"/>
      <w:szCs w:val="28"/>
    </w:rPr>
  </w:style>
  <w:style w:type="paragraph" w:styleId="ListParagraph">
    <w:name w:val="List Paragraph"/>
    <w:basedOn w:val="Normal"/>
    <w:uiPriority w:val="34"/>
    <w:qFormat/>
    <w:rsid w:val="00B149B5"/>
    <w:pPr>
      <w:ind w:left="720"/>
      <w:contextualSpacing/>
    </w:pPr>
  </w:style>
  <w:style w:type="paragraph" w:styleId="Footer">
    <w:name w:val="footer"/>
    <w:basedOn w:val="Normal"/>
    <w:link w:val="FooterChar"/>
    <w:uiPriority w:val="99"/>
    <w:unhideWhenUsed/>
    <w:rsid w:val="00B149B5"/>
    <w:pPr>
      <w:tabs>
        <w:tab w:val="center" w:pos="4513"/>
        <w:tab w:val="right" w:pos="9026"/>
      </w:tabs>
    </w:pPr>
  </w:style>
  <w:style w:type="character" w:customStyle="1" w:styleId="FooterChar">
    <w:name w:val="Footer Char"/>
    <w:basedOn w:val="DefaultParagraphFont"/>
    <w:link w:val="Footer"/>
    <w:uiPriority w:val="99"/>
    <w:rsid w:val="00B149B5"/>
    <w:rPr>
      <w:rFonts w:ascii="Times New Roman" w:eastAsia="Times New Roman" w:hAnsi="Times New Roman" w:cs="Times New Roman"/>
      <w:sz w:val="24"/>
      <w:szCs w:val="24"/>
      <w:lang w:val="en-GB"/>
    </w:rPr>
  </w:style>
  <w:style w:type="character" w:styleId="FootnoteReference">
    <w:name w:val="footnote reference"/>
    <w:basedOn w:val="DefaultParagraphFont"/>
    <w:uiPriority w:val="99"/>
    <w:semiHidden/>
    <w:unhideWhenUsed/>
    <w:rsid w:val="00B149B5"/>
    <w:rPr>
      <w:vertAlign w:val="superscript"/>
    </w:rPr>
  </w:style>
  <w:style w:type="character" w:customStyle="1" w:styleId="BalloonTextChar">
    <w:name w:val="Balloon Text Char"/>
    <w:basedOn w:val="DefaultParagraphFont"/>
    <w:link w:val="BalloonText"/>
    <w:uiPriority w:val="99"/>
    <w:semiHidden/>
    <w:rsid w:val="00B149B5"/>
    <w:rPr>
      <w:rFonts w:ascii="Segoe UI" w:eastAsia="Times New Roman" w:hAnsi="Segoe UI" w:cs="Segoe UI"/>
      <w:sz w:val="18"/>
      <w:szCs w:val="18"/>
      <w:lang w:val="en-GB"/>
    </w:rPr>
  </w:style>
  <w:style w:type="paragraph" w:styleId="BalloonText">
    <w:name w:val="Balloon Text"/>
    <w:basedOn w:val="Normal"/>
    <w:link w:val="BalloonTextChar"/>
    <w:uiPriority w:val="99"/>
    <w:semiHidden/>
    <w:unhideWhenUsed/>
    <w:rsid w:val="00B149B5"/>
    <w:rPr>
      <w:rFonts w:ascii="Segoe UI" w:hAnsi="Segoe UI" w:cs="Segoe UI"/>
      <w:sz w:val="18"/>
      <w:szCs w:val="18"/>
    </w:rPr>
  </w:style>
  <w:style w:type="paragraph" w:styleId="List">
    <w:name w:val="List"/>
    <w:basedOn w:val="Normal"/>
    <w:uiPriority w:val="99"/>
    <w:unhideWhenUsed/>
    <w:rsid w:val="00B149B5"/>
    <w:pPr>
      <w:ind w:left="360" w:hanging="360"/>
      <w:contextualSpacing/>
    </w:pPr>
  </w:style>
  <w:style w:type="paragraph" w:styleId="ListContinue">
    <w:name w:val="List Continue"/>
    <w:basedOn w:val="Normal"/>
    <w:uiPriority w:val="99"/>
    <w:unhideWhenUsed/>
    <w:rsid w:val="00B149B5"/>
    <w:pPr>
      <w:spacing w:after="120"/>
      <w:ind w:left="360"/>
      <w:contextualSpacing/>
    </w:pPr>
  </w:style>
  <w:style w:type="paragraph" w:styleId="Title">
    <w:name w:val="Title"/>
    <w:basedOn w:val="Normal"/>
    <w:next w:val="Normal"/>
    <w:link w:val="TitleChar"/>
    <w:uiPriority w:val="10"/>
    <w:qFormat/>
    <w:rsid w:val="00B149B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149B5"/>
    <w:rPr>
      <w:rFonts w:asciiTheme="majorHAnsi" w:eastAsiaTheme="majorEastAsia" w:hAnsiTheme="majorHAnsi" w:cstheme="majorBidi"/>
      <w:spacing w:val="-10"/>
      <w:kern w:val="28"/>
      <w:sz w:val="56"/>
      <w:szCs w:val="56"/>
      <w:lang w:val="en-GB"/>
    </w:rPr>
  </w:style>
  <w:style w:type="paragraph" w:styleId="BodyText">
    <w:name w:val="Body Text"/>
    <w:basedOn w:val="Normal"/>
    <w:link w:val="BodyTextChar"/>
    <w:uiPriority w:val="99"/>
    <w:unhideWhenUsed/>
    <w:rsid w:val="00B149B5"/>
    <w:pPr>
      <w:spacing w:after="120"/>
    </w:pPr>
  </w:style>
  <w:style w:type="character" w:customStyle="1" w:styleId="BodyTextChar">
    <w:name w:val="Body Text Char"/>
    <w:basedOn w:val="DefaultParagraphFont"/>
    <w:link w:val="BodyText"/>
    <w:uiPriority w:val="99"/>
    <w:rsid w:val="00B149B5"/>
    <w:rPr>
      <w:rFonts w:ascii="Times New Roman" w:eastAsia="Times New Roman" w:hAnsi="Times New Roman" w:cs="Times New Roman"/>
      <w:sz w:val="24"/>
      <w:szCs w:val="24"/>
      <w:lang w:val="en-GB"/>
    </w:rPr>
  </w:style>
  <w:style w:type="paragraph" w:styleId="BodyTextIndent">
    <w:name w:val="Body Text Indent"/>
    <w:basedOn w:val="Normal"/>
    <w:link w:val="BodyTextIndentChar"/>
    <w:uiPriority w:val="99"/>
    <w:semiHidden/>
    <w:unhideWhenUsed/>
    <w:rsid w:val="00B149B5"/>
    <w:pPr>
      <w:spacing w:after="120"/>
      <w:ind w:left="360"/>
    </w:pPr>
  </w:style>
  <w:style w:type="character" w:customStyle="1" w:styleId="BodyTextIndentChar">
    <w:name w:val="Body Text Indent Char"/>
    <w:basedOn w:val="DefaultParagraphFont"/>
    <w:link w:val="BodyTextIndent"/>
    <w:uiPriority w:val="99"/>
    <w:semiHidden/>
    <w:rsid w:val="00B149B5"/>
    <w:rPr>
      <w:rFonts w:ascii="Times New Roman" w:eastAsia="Times New Roman" w:hAnsi="Times New Roman" w:cs="Times New Roman"/>
      <w:sz w:val="24"/>
      <w:szCs w:val="24"/>
      <w:lang w:val="en-GB"/>
    </w:rPr>
  </w:style>
  <w:style w:type="paragraph" w:styleId="BodyTextFirstIndent2">
    <w:name w:val="Body Text First Indent 2"/>
    <w:basedOn w:val="BodyTextIndent"/>
    <w:link w:val="BodyTextFirstIndent2Char"/>
    <w:uiPriority w:val="99"/>
    <w:unhideWhenUsed/>
    <w:rsid w:val="00B149B5"/>
    <w:pPr>
      <w:spacing w:after="0"/>
      <w:ind w:firstLine="360"/>
    </w:pPr>
  </w:style>
  <w:style w:type="character" w:customStyle="1" w:styleId="BodyTextFirstIndent2Char">
    <w:name w:val="Body Text First Indent 2 Char"/>
    <w:basedOn w:val="BodyTextIndentChar"/>
    <w:link w:val="BodyTextFirstIndent2"/>
    <w:uiPriority w:val="99"/>
    <w:rsid w:val="00B149B5"/>
    <w:rPr>
      <w:rFonts w:ascii="Times New Roman" w:eastAsia="Times New Roman" w:hAnsi="Times New Roman" w:cs="Times New Roman"/>
      <w:sz w:val="24"/>
      <w:szCs w:val="24"/>
      <w:lang w:val="en-GB"/>
    </w:rPr>
  </w:style>
  <w:style w:type="paragraph" w:styleId="NormalWeb">
    <w:name w:val="Normal (Web)"/>
    <w:basedOn w:val="Normal"/>
    <w:uiPriority w:val="99"/>
    <w:unhideWhenUsed/>
    <w:rsid w:val="00B149B5"/>
    <w:pPr>
      <w:spacing w:before="100" w:beforeAutospacing="1" w:after="100" w:afterAutospacing="1"/>
    </w:pPr>
    <w:rPr>
      <w:lang w:val="en-US"/>
    </w:rPr>
  </w:style>
  <w:style w:type="character" w:styleId="Hyperlink">
    <w:name w:val="Hyperlink"/>
    <w:basedOn w:val="DefaultParagraphFont"/>
    <w:uiPriority w:val="99"/>
    <w:semiHidden/>
    <w:unhideWhenUsed/>
    <w:rsid w:val="00B149B5"/>
    <w:rPr>
      <w:color w:val="0000FF"/>
      <w:u w:val="single"/>
    </w:rPr>
  </w:style>
  <w:style w:type="character" w:customStyle="1" w:styleId="mc">
    <w:name w:val="mc"/>
    <w:basedOn w:val="DefaultParagraphFont"/>
    <w:rsid w:val="00B149B5"/>
  </w:style>
  <w:style w:type="paragraph" w:styleId="CommentText">
    <w:name w:val="annotation text"/>
    <w:basedOn w:val="Normal"/>
    <w:link w:val="CommentTextChar"/>
    <w:uiPriority w:val="99"/>
    <w:unhideWhenUsed/>
    <w:rsid w:val="00B149B5"/>
    <w:rPr>
      <w:sz w:val="20"/>
      <w:szCs w:val="20"/>
    </w:rPr>
  </w:style>
  <w:style w:type="character" w:customStyle="1" w:styleId="CommentTextChar">
    <w:name w:val="Comment Text Char"/>
    <w:basedOn w:val="DefaultParagraphFont"/>
    <w:link w:val="CommentText"/>
    <w:uiPriority w:val="99"/>
    <w:rsid w:val="00B149B5"/>
    <w:rPr>
      <w:rFonts w:ascii="Times New Roman" w:eastAsia="Times New Roman" w:hAnsi="Times New Roman" w:cs="Times New Roman"/>
      <w:sz w:val="20"/>
      <w:szCs w:val="20"/>
      <w:lang w:val="en-GB"/>
    </w:rPr>
  </w:style>
  <w:style w:type="character" w:customStyle="1" w:styleId="CommentSubjectChar">
    <w:name w:val="Comment Subject Char"/>
    <w:basedOn w:val="CommentTextChar"/>
    <w:link w:val="CommentSubject"/>
    <w:uiPriority w:val="99"/>
    <w:semiHidden/>
    <w:rsid w:val="00B149B5"/>
    <w:rPr>
      <w:rFonts w:ascii="Times New Roman" w:eastAsia="Times New Roman" w:hAnsi="Times New Roman" w:cs="Times New Roman"/>
      <w:b/>
      <w:bCs/>
      <w:sz w:val="20"/>
      <w:szCs w:val="20"/>
      <w:lang w:val="en-GB"/>
    </w:rPr>
  </w:style>
  <w:style w:type="paragraph" w:styleId="CommentSubject">
    <w:name w:val="annotation subject"/>
    <w:basedOn w:val="CommentText"/>
    <w:next w:val="CommentText"/>
    <w:link w:val="CommentSubjectChar"/>
    <w:uiPriority w:val="99"/>
    <w:semiHidden/>
    <w:unhideWhenUsed/>
    <w:rsid w:val="00B149B5"/>
    <w:rPr>
      <w:b/>
      <w:bCs/>
    </w:rPr>
  </w:style>
  <w:style w:type="paragraph" w:customStyle="1" w:styleId="com-para1quad">
    <w:name w:val="com-para1quad"/>
    <w:basedOn w:val="Normal"/>
    <w:rsid w:val="00B149B5"/>
    <w:pPr>
      <w:spacing w:before="100" w:beforeAutospacing="1" w:after="100" w:afterAutospacing="1"/>
    </w:pPr>
    <w:rPr>
      <w:lang w:val="en-ZA" w:eastAsia="en-GB"/>
    </w:rPr>
  </w:style>
  <w:style w:type="character" w:customStyle="1" w:styleId="g1">
    <w:name w:val="g1"/>
    <w:basedOn w:val="DefaultParagraphFont"/>
    <w:rsid w:val="00B149B5"/>
  </w:style>
  <w:style w:type="paragraph" w:customStyle="1" w:styleId="lg-section">
    <w:name w:val="lg-section"/>
    <w:basedOn w:val="Normal"/>
    <w:rsid w:val="00B149B5"/>
    <w:pPr>
      <w:spacing w:before="100" w:beforeAutospacing="1" w:after="100" w:afterAutospacing="1"/>
    </w:pPr>
    <w:rPr>
      <w:lang w:val="en-US"/>
    </w:rPr>
  </w:style>
  <w:style w:type="paragraph" w:customStyle="1" w:styleId="lg-a-1">
    <w:name w:val="lg-a-1"/>
    <w:basedOn w:val="Normal"/>
    <w:rsid w:val="00B149B5"/>
    <w:pPr>
      <w:spacing w:before="100" w:beforeAutospacing="1" w:after="100" w:afterAutospacing="1"/>
    </w:pPr>
    <w:rPr>
      <w:lang w:val="en-US"/>
    </w:rPr>
  </w:style>
  <w:style w:type="paragraph" w:customStyle="1" w:styleId="lg-i-a-1">
    <w:name w:val="lg-i-a-1"/>
    <w:basedOn w:val="Normal"/>
    <w:rsid w:val="00B149B5"/>
    <w:pPr>
      <w:spacing w:before="100" w:beforeAutospacing="1" w:after="100" w:afterAutospacing="1"/>
    </w:pPr>
    <w:rPr>
      <w:lang w:val="en-US"/>
    </w:rPr>
  </w:style>
  <w:style w:type="character" w:customStyle="1" w:styleId="popup-link">
    <w:name w:val="popup-link"/>
    <w:basedOn w:val="DefaultParagraphFont"/>
    <w:rsid w:val="00B149B5"/>
  </w:style>
  <w:style w:type="paragraph" w:customStyle="1" w:styleId="lg-para3">
    <w:name w:val="lg-para3"/>
    <w:basedOn w:val="Normal"/>
    <w:rsid w:val="00B149B5"/>
    <w:pPr>
      <w:spacing w:before="100" w:beforeAutospacing="1" w:after="100" w:afterAutospacing="1"/>
    </w:pPr>
    <w:rPr>
      <w:lang w:val="en-US"/>
    </w:rPr>
  </w:style>
  <w:style w:type="paragraph" w:customStyle="1" w:styleId="normal-text">
    <w:name w:val="normal-text"/>
    <w:basedOn w:val="Normal"/>
    <w:rsid w:val="00B149B5"/>
    <w:pPr>
      <w:spacing w:before="100" w:beforeAutospacing="1" w:after="100" w:afterAutospacing="1"/>
    </w:pPr>
    <w:rPr>
      <w:lang w:val="en-US"/>
    </w:rPr>
  </w:style>
  <w:style w:type="paragraph" w:customStyle="1" w:styleId="lg-definition">
    <w:name w:val="lg-definition"/>
    <w:basedOn w:val="Normal"/>
    <w:rsid w:val="00B149B5"/>
    <w:pPr>
      <w:spacing w:before="100" w:beforeAutospacing="1" w:after="100" w:afterAutospacing="1"/>
    </w:pPr>
    <w:rPr>
      <w:lang w:val="en-US"/>
    </w:rPr>
  </w:style>
  <w:style w:type="paragraph" w:styleId="Revision">
    <w:name w:val="Revision"/>
    <w:hidden/>
    <w:uiPriority w:val="99"/>
    <w:semiHidden/>
    <w:rsid w:val="00F50B74"/>
    <w:pPr>
      <w:spacing w:line="240" w:lineRule="auto"/>
    </w:pPr>
    <w:rPr>
      <w:rFonts w:ascii="Times New Roman" w:eastAsia="Times New Roman" w:hAnsi="Times New Roman" w:cs="Times New Roman"/>
      <w:sz w:val="24"/>
      <w:szCs w:val="24"/>
      <w:lang w:val="en-GB"/>
    </w:rPr>
  </w:style>
  <w:style w:type="character" w:styleId="CommentReference">
    <w:name w:val="annotation reference"/>
    <w:basedOn w:val="DefaultParagraphFont"/>
    <w:uiPriority w:val="99"/>
    <w:semiHidden/>
    <w:unhideWhenUsed/>
    <w:rsid w:val="006B748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DF1D3530-CCA6-4C7F-9716-89A535644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1875</Words>
  <Characters>10691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 Nolwazi Mabindla-Boqwana</dc:creator>
  <cp:keywords/>
  <dc:description/>
  <cp:lastModifiedBy>Ayanda Mdletshe</cp:lastModifiedBy>
  <cp:revision>3</cp:revision>
  <cp:lastPrinted>2022-05-27T07:00:00Z</cp:lastPrinted>
  <dcterms:created xsi:type="dcterms:W3CDTF">2022-05-27T08:39:00Z</dcterms:created>
  <dcterms:modified xsi:type="dcterms:W3CDTF">2022-05-27T08:39:00Z</dcterms:modified>
</cp:coreProperties>
</file>