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8D612" w14:textId="0D58C647" w:rsidR="00ED4C63" w:rsidRPr="00F152B9" w:rsidRDefault="002963C5" w:rsidP="00855DDC">
      <w:pPr>
        <w:rPr>
          <w:bCs/>
          <w:sz w:val="28"/>
          <w:szCs w:val="28"/>
        </w:rPr>
      </w:pPr>
      <w:r w:rsidRPr="00F152B9">
        <w:rPr>
          <w:noProof/>
          <w:lang w:val="en-ZA" w:eastAsia="en-ZA"/>
        </w:rPr>
        <w:drawing>
          <wp:anchor distT="0" distB="0" distL="114300" distR="114300" simplePos="0" relativeHeight="251666432" behindDoc="0" locked="0" layoutInCell="1" allowOverlap="1" wp14:anchorId="3BC73704" wp14:editId="3F92656B">
            <wp:simplePos x="0" y="0"/>
            <wp:positionH relativeFrom="column">
              <wp:posOffset>2494280</wp:posOffset>
            </wp:positionH>
            <wp:positionV relativeFrom="paragraph">
              <wp:posOffset>0</wp:posOffset>
            </wp:positionV>
            <wp:extent cx="800100" cy="914400"/>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66293B04" w14:textId="77777777" w:rsidR="00ED4C63" w:rsidRPr="00F152B9" w:rsidRDefault="00ED4C63" w:rsidP="00855DDC">
      <w:pPr>
        <w:jc w:val="center"/>
        <w:rPr>
          <w:b/>
          <w:bCs/>
          <w:sz w:val="28"/>
          <w:szCs w:val="28"/>
        </w:rPr>
      </w:pPr>
    </w:p>
    <w:p w14:paraId="56C9F76C" w14:textId="77777777" w:rsidR="00ED4C63" w:rsidRPr="00F152B9" w:rsidRDefault="00ED4C63" w:rsidP="00855DDC">
      <w:pPr>
        <w:jc w:val="center"/>
        <w:rPr>
          <w:b/>
          <w:bCs/>
          <w:sz w:val="28"/>
          <w:szCs w:val="28"/>
        </w:rPr>
      </w:pPr>
    </w:p>
    <w:p w14:paraId="1D25C473" w14:textId="33E5AE34" w:rsidR="00ED4C63" w:rsidRPr="00F152B9" w:rsidRDefault="00ED4C63" w:rsidP="00855DDC">
      <w:pPr>
        <w:jc w:val="center"/>
        <w:rPr>
          <w:b/>
          <w:bCs/>
          <w:sz w:val="28"/>
          <w:szCs w:val="28"/>
        </w:rPr>
      </w:pPr>
    </w:p>
    <w:p w14:paraId="4CEE3DED" w14:textId="77777777" w:rsidR="00093030" w:rsidRPr="00F152B9" w:rsidRDefault="00093030" w:rsidP="00855DDC">
      <w:pPr>
        <w:spacing w:line="360" w:lineRule="auto"/>
        <w:jc w:val="center"/>
        <w:rPr>
          <w:b/>
          <w:bCs/>
          <w:sz w:val="28"/>
          <w:szCs w:val="28"/>
        </w:rPr>
      </w:pPr>
    </w:p>
    <w:p w14:paraId="6ACA983E" w14:textId="77777777" w:rsidR="00093030" w:rsidRPr="00F152B9" w:rsidRDefault="00093030" w:rsidP="00BF65CD">
      <w:pPr>
        <w:jc w:val="center"/>
        <w:rPr>
          <w:rFonts w:ascii="Arial" w:hAnsi="Arial" w:cs="Arial"/>
          <w:b/>
          <w:bCs/>
        </w:rPr>
      </w:pPr>
      <w:r w:rsidRPr="00F152B9">
        <w:rPr>
          <w:rFonts w:ascii="Arial" w:hAnsi="Arial" w:cs="Arial"/>
          <w:b/>
          <w:bCs/>
        </w:rPr>
        <w:t>THE SUPREME COURT OF APPEAL OF SOUTH AFRICA</w:t>
      </w:r>
    </w:p>
    <w:p w14:paraId="793F78FB" w14:textId="77777777" w:rsidR="00093030" w:rsidRPr="00F152B9" w:rsidRDefault="00093030" w:rsidP="00BF65CD">
      <w:pPr>
        <w:pStyle w:val="Heading3"/>
        <w:spacing w:line="240" w:lineRule="auto"/>
        <w:jc w:val="center"/>
        <w:rPr>
          <w:rFonts w:ascii="Times New Roman" w:hAnsi="Times New Roman" w:cs="Times New Roman"/>
          <w:b/>
          <w:i w:val="0"/>
          <w:szCs w:val="28"/>
        </w:rPr>
      </w:pPr>
      <w:r w:rsidRPr="00F152B9">
        <w:rPr>
          <w:b/>
          <w:i w:val="0"/>
          <w:sz w:val="24"/>
        </w:rPr>
        <w:t>JUDGMENT</w:t>
      </w:r>
    </w:p>
    <w:p w14:paraId="13113C22" w14:textId="77777777" w:rsidR="00093030" w:rsidRPr="00F152B9" w:rsidRDefault="00093030" w:rsidP="00031EA4">
      <w:pPr>
        <w:jc w:val="center"/>
        <w:rPr>
          <w:rFonts w:ascii="Arial" w:hAnsi="Arial" w:cs="Arial"/>
          <w:b/>
          <w:bCs/>
        </w:rPr>
      </w:pPr>
      <w:r w:rsidRPr="00F152B9">
        <w:rPr>
          <w:rFonts w:ascii="Arial" w:hAnsi="Arial" w:cs="Arial"/>
        </w:rPr>
        <w:tab/>
      </w:r>
    </w:p>
    <w:p w14:paraId="173C9D13" w14:textId="31505740" w:rsidR="00093030" w:rsidRPr="00F152B9" w:rsidRDefault="00093030" w:rsidP="00031EA4">
      <w:pPr>
        <w:jc w:val="right"/>
        <w:rPr>
          <w:rFonts w:ascii="Arial" w:hAnsi="Arial" w:cs="Arial"/>
          <w:b/>
        </w:rPr>
      </w:pPr>
      <w:r w:rsidRPr="00F152B9">
        <w:rPr>
          <w:rFonts w:ascii="Arial" w:hAnsi="Arial" w:cs="Arial"/>
          <w:b/>
        </w:rPr>
        <w:t>Reportable</w:t>
      </w:r>
    </w:p>
    <w:p w14:paraId="0B62A8A3" w14:textId="79AC6B80" w:rsidR="001910E7" w:rsidRPr="00F152B9" w:rsidRDefault="000F13E9" w:rsidP="00031EA4">
      <w:pPr>
        <w:jc w:val="right"/>
        <w:rPr>
          <w:rFonts w:ascii="Arial" w:hAnsi="Arial" w:cs="Arial"/>
        </w:rPr>
      </w:pPr>
      <w:r w:rsidRPr="00F152B9">
        <w:rPr>
          <w:rFonts w:ascii="Arial" w:hAnsi="Arial" w:cs="Arial"/>
        </w:rPr>
        <w:t xml:space="preserve">Case no: </w:t>
      </w:r>
      <w:r w:rsidR="00084190">
        <w:rPr>
          <w:rFonts w:ascii="Arial" w:hAnsi="Arial" w:cs="Arial"/>
        </w:rPr>
        <w:t>207</w:t>
      </w:r>
      <w:r w:rsidR="00F2439E">
        <w:rPr>
          <w:rFonts w:ascii="Arial" w:hAnsi="Arial" w:cs="Arial"/>
        </w:rPr>
        <w:t>/2021</w:t>
      </w:r>
    </w:p>
    <w:p w14:paraId="62EC3AAC" w14:textId="77777777" w:rsidR="001910E7" w:rsidRPr="00F152B9" w:rsidRDefault="001910E7" w:rsidP="00031EA4">
      <w:pPr>
        <w:rPr>
          <w:rFonts w:ascii="Arial" w:hAnsi="Arial" w:cs="Arial"/>
        </w:rPr>
      </w:pPr>
    </w:p>
    <w:p w14:paraId="1B93C0F0" w14:textId="77777777" w:rsidR="001910E7" w:rsidRPr="00F152B9" w:rsidRDefault="001910E7" w:rsidP="00031EA4">
      <w:pPr>
        <w:rPr>
          <w:rFonts w:ascii="Arial" w:hAnsi="Arial" w:cs="Arial"/>
        </w:rPr>
      </w:pPr>
      <w:r w:rsidRPr="00F152B9">
        <w:rPr>
          <w:rFonts w:ascii="Arial" w:hAnsi="Arial" w:cs="Arial"/>
        </w:rPr>
        <w:t>In the matter between:</w:t>
      </w:r>
    </w:p>
    <w:p w14:paraId="0E5D729C" w14:textId="77777777" w:rsidR="006E2774" w:rsidRPr="00F152B9" w:rsidRDefault="006E2774" w:rsidP="00031EA4">
      <w:pPr>
        <w:widowControl w:val="0"/>
        <w:tabs>
          <w:tab w:val="right" w:pos="9360"/>
        </w:tabs>
        <w:autoSpaceDE w:val="0"/>
        <w:autoSpaceDN w:val="0"/>
        <w:adjustRightInd w:val="0"/>
        <w:rPr>
          <w:rFonts w:ascii="Arial" w:hAnsi="Arial" w:cs="Arial"/>
          <w:b/>
          <w:bCs/>
        </w:rPr>
      </w:pPr>
    </w:p>
    <w:p w14:paraId="7373D170" w14:textId="39EC494F" w:rsidR="00236C2D" w:rsidRPr="00F152B9" w:rsidRDefault="00084190" w:rsidP="00031EA4">
      <w:pPr>
        <w:widowControl w:val="0"/>
        <w:tabs>
          <w:tab w:val="right" w:pos="9360"/>
        </w:tabs>
        <w:autoSpaceDE w:val="0"/>
        <w:autoSpaceDN w:val="0"/>
        <w:adjustRightInd w:val="0"/>
        <w:rPr>
          <w:rFonts w:ascii="Arial" w:hAnsi="Arial" w:cs="Arial"/>
          <w:b/>
          <w:bCs/>
        </w:rPr>
      </w:pPr>
      <w:r>
        <w:rPr>
          <w:rFonts w:ascii="Arial" w:hAnsi="Arial" w:cs="Arial"/>
          <w:b/>
          <w:bCs/>
        </w:rPr>
        <w:t>RENNIES TRAVEL (PTY) LTD</w:t>
      </w:r>
      <w:r w:rsidR="00B625EE" w:rsidRPr="00F152B9">
        <w:rPr>
          <w:rFonts w:ascii="Arial" w:hAnsi="Arial" w:cs="Arial"/>
          <w:b/>
          <w:bCs/>
        </w:rPr>
        <w:t xml:space="preserve">                                     </w:t>
      </w:r>
      <w:r w:rsidR="00B625EE" w:rsidRPr="00F152B9">
        <w:rPr>
          <w:rFonts w:ascii="Arial" w:hAnsi="Arial" w:cs="Arial"/>
          <w:b/>
          <w:bCs/>
        </w:rPr>
        <w:tab/>
        <w:t xml:space="preserve"> APPELLANT</w:t>
      </w:r>
    </w:p>
    <w:p w14:paraId="3D36BCB5" w14:textId="3D449B27" w:rsidR="00236C2D" w:rsidRPr="00F152B9" w:rsidRDefault="00236C2D" w:rsidP="00031EA4">
      <w:pPr>
        <w:widowControl w:val="0"/>
        <w:tabs>
          <w:tab w:val="right" w:pos="9360"/>
        </w:tabs>
        <w:autoSpaceDE w:val="0"/>
        <w:autoSpaceDN w:val="0"/>
        <w:adjustRightInd w:val="0"/>
        <w:rPr>
          <w:rFonts w:ascii="Arial" w:hAnsi="Arial" w:cs="Arial"/>
          <w:b/>
          <w:bCs/>
        </w:rPr>
      </w:pPr>
    </w:p>
    <w:p w14:paraId="0C010B5A" w14:textId="77777777" w:rsidR="00B84DB2" w:rsidRPr="00F152B9" w:rsidRDefault="00B84DB2" w:rsidP="00031EA4">
      <w:pPr>
        <w:widowControl w:val="0"/>
        <w:tabs>
          <w:tab w:val="right" w:pos="9360"/>
        </w:tabs>
        <w:autoSpaceDE w:val="0"/>
        <w:autoSpaceDN w:val="0"/>
        <w:adjustRightInd w:val="0"/>
        <w:rPr>
          <w:rFonts w:ascii="Arial" w:hAnsi="Arial" w:cs="Arial"/>
          <w:b/>
          <w:bCs/>
        </w:rPr>
      </w:pPr>
    </w:p>
    <w:p w14:paraId="77F251E1" w14:textId="77777777" w:rsidR="007A0413" w:rsidRPr="00F152B9" w:rsidRDefault="007A0413" w:rsidP="00031EA4">
      <w:pPr>
        <w:widowControl w:val="0"/>
        <w:autoSpaceDE w:val="0"/>
        <w:autoSpaceDN w:val="0"/>
        <w:adjustRightInd w:val="0"/>
        <w:rPr>
          <w:rFonts w:ascii="Arial" w:hAnsi="Arial" w:cs="Arial"/>
          <w:bCs/>
          <w:iCs/>
        </w:rPr>
      </w:pPr>
      <w:r w:rsidRPr="00F152B9">
        <w:rPr>
          <w:rFonts w:ascii="Arial" w:hAnsi="Arial" w:cs="Arial"/>
          <w:bCs/>
          <w:iCs/>
        </w:rPr>
        <w:t>and</w:t>
      </w:r>
    </w:p>
    <w:p w14:paraId="263C14AF" w14:textId="5EBFD79E" w:rsidR="007A0413" w:rsidRPr="00F152B9" w:rsidRDefault="007A0413" w:rsidP="00031EA4">
      <w:pPr>
        <w:widowControl w:val="0"/>
        <w:autoSpaceDE w:val="0"/>
        <w:autoSpaceDN w:val="0"/>
        <w:adjustRightInd w:val="0"/>
        <w:rPr>
          <w:rFonts w:ascii="Arial" w:hAnsi="Arial" w:cs="Arial"/>
        </w:rPr>
      </w:pPr>
    </w:p>
    <w:p w14:paraId="00BFBEDD" w14:textId="77777777" w:rsidR="00B84DB2" w:rsidRPr="00F152B9" w:rsidRDefault="00B84DB2" w:rsidP="00031EA4">
      <w:pPr>
        <w:widowControl w:val="0"/>
        <w:autoSpaceDE w:val="0"/>
        <w:autoSpaceDN w:val="0"/>
        <w:adjustRightInd w:val="0"/>
        <w:rPr>
          <w:rFonts w:ascii="Arial" w:hAnsi="Arial" w:cs="Arial"/>
        </w:rPr>
      </w:pPr>
    </w:p>
    <w:p w14:paraId="0358EC7E" w14:textId="77777777" w:rsidR="00084190" w:rsidRDefault="00084190" w:rsidP="00031EA4">
      <w:pPr>
        <w:widowControl w:val="0"/>
        <w:tabs>
          <w:tab w:val="right" w:pos="9360"/>
        </w:tabs>
        <w:autoSpaceDE w:val="0"/>
        <w:autoSpaceDN w:val="0"/>
        <w:adjustRightInd w:val="0"/>
        <w:spacing w:after="120"/>
        <w:rPr>
          <w:rFonts w:ascii="Arial" w:hAnsi="Arial" w:cs="Arial"/>
          <w:b/>
          <w:bCs/>
        </w:rPr>
      </w:pPr>
      <w:r>
        <w:rPr>
          <w:rFonts w:ascii="Arial" w:hAnsi="Arial" w:cs="Arial"/>
          <w:b/>
          <w:bCs/>
        </w:rPr>
        <w:t xml:space="preserve">THE COMMISSIONER FOR THE SOUTH AFRICAN </w:t>
      </w:r>
    </w:p>
    <w:p w14:paraId="248C32BD" w14:textId="65D36D5E" w:rsidR="00B625EE" w:rsidRPr="00F152B9" w:rsidRDefault="00084190" w:rsidP="00031EA4">
      <w:pPr>
        <w:widowControl w:val="0"/>
        <w:tabs>
          <w:tab w:val="left" w:pos="7440"/>
          <w:tab w:val="right" w:pos="9360"/>
        </w:tabs>
        <w:autoSpaceDE w:val="0"/>
        <w:autoSpaceDN w:val="0"/>
        <w:adjustRightInd w:val="0"/>
        <w:spacing w:after="120"/>
        <w:rPr>
          <w:rFonts w:ascii="Arial" w:hAnsi="Arial" w:cs="Arial"/>
          <w:b/>
          <w:bCs/>
        </w:rPr>
      </w:pPr>
      <w:r>
        <w:rPr>
          <w:rFonts w:ascii="Arial" w:hAnsi="Arial" w:cs="Arial"/>
          <w:b/>
          <w:bCs/>
        </w:rPr>
        <w:t>REVENUE SERVICES</w:t>
      </w:r>
      <w:r w:rsidR="00855DDC">
        <w:rPr>
          <w:rFonts w:ascii="Arial" w:hAnsi="Arial" w:cs="Arial"/>
          <w:b/>
          <w:bCs/>
        </w:rPr>
        <w:tab/>
      </w:r>
      <w:r w:rsidRPr="00F152B9">
        <w:rPr>
          <w:rFonts w:ascii="Arial" w:hAnsi="Arial" w:cs="Arial"/>
          <w:b/>
          <w:bCs/>
        </w:rPr>
        <w:t>RESPONDENT</w:t>
      </w:r>
      <w:r>
        <w:rPr>
          <w:rFonts w:ascii="Arial" w:hAnsi="Arial" w:cs="Arial"/>
          <w:b/>
          <w:bCs/>
        </w:rPr>
        <w:tab/>
      </w:r>
      <w:r w:rsidR="00855DDC">
        <w:rPr>
          <w:rFonts w:ascii="Arial" w:hAnsi="Arial" w:cs="Arial"/>
          <w:b/>
          <w:bCs/>
        </w:rPr>
        <w:t xml:space="preserve">                              </w:t>
      </w:r>
      <w:r w:rsidR="00F2439E">
        <w:rPr>
          <w:rFonts w:ascii="Arial" w:hAnsi="Arial" w:cs="Arial"/>
          <w:b/>
          <w:bCs/>
        </w:rPr>
        <w:t xml:space="preserve">         </w:t>
      </w:r>
      <w:r w:rsidR="00E73F78" w:rsidRPr="00F152B9">
        <w:rPr>
          <w:rFonts w:ascii="Arial" w:hAnsi="Arial" w:cs="Arial"/>
          <w:b/>
          <w:bCs/>
        </w:rPr>
        <w:t xml:space="preserve">                    </w:t>
      </w:r>
      <w:r w:rsidR="00B625EE" w:rsidRPr="00F152B9">
        <w:rPr>
          <w:rFonts w:ascii="Arial" w:hAnsi="Arial" w:cs="Arial"/>
          <w:b/>
          <w:bCs/>
        </w:rPr>
        <w:t xml:space="preserve"> </w:t>
      </w:r>
      <w:r w:rsidR="00855DDC">
        <w:rPr>
          <w:rFonts w:ascii="Arial" w:hAnsi="Arial" w:cs="Arial"/>
          <w:b/>
          <w:bCs/>
        </w:rPr>
        <w:t xml:space="preserve">                     </w:t>
      </w:r>
    </w:p>
    <w:p w14:paraId="526281AA" w14:textId="066F46DF" w:rsidR="007A0413" w:rsidRPr="00F152B9" w:rsidRDefault="007A0413" w:rsidP="00031EA4">
      <w:pPr>
        <w:widowControl w:val="0"/>
        <w:tabs>
          <w:tab w:val="right" w:pos="9360"/>
        </w:tabs>
        <w:autoSpaceDE w:val="0"/>
        <w:autoSpaceDN w:val="0"/>
        <w:adjustRightInd w:val="0"/>
        <w:rPr>
          <w:rFonts w:ascii="Arial" w:hAnsi="Arial" w:cs="Arial"/>
          <w:bCs/>
        </w:rPr>
      </w:pPr>
    </w:p>
    <w:p w14:paraId="75FE945A" w14:textId="77777777" w:rsidR="00B84DB2" w:rsidRPr="00F152B9" w:rsidRDefault="00B84DB2" w:rsidP="00031EA4">
      <w:pPr>
        <w:widowControl w:val="0"/>
        <w:tabs>
          <w:tab w:val="right" w:pos="9360"/>
        </w:tabs>
        <w:autoSpaceDE w:val="0"/>
        <w:autoSpaceDN w:val="0"/>
        <w:adjustRightInd w:val="0"/>
        <w:rPr>
          <w:rFonts w:ascii="Arial" w:hAnsi="Arial" w:cs="Arial"/>
          <w:bCs/>
        </w:rPr>
      </w:pPr>
    </w:p>
    <w:p w14:paraId="28154893" w14:textId="1D865798" w:rsidR="001910E7" w:rsidRPr="00F152B9" w:rsidRDefault="001910E7" w:rsidP="00031EA4">
      <w:pPr>
        <w:spacing w:after="120" w:line="360" w:lineRule="auto"/>
        <w:jc w:val="both"/>
        <w:rPr>
          <w:rFonts w:ascii="Arial" w:hAnsi="Arial" w:cs="Arial"/>
        </w:rPr>
      </w:pPr>
      <w:r w:rsidRPr="00F152B9">
        <w:rPr>
          <w:rFonts w:ascii="Arial" w:hAnsi="Arial" w:cs="Arial"/>
          <w:b/>
          <w:bCs/>
        </w:rPr>
        <w:t>Neutral citation:</w:t>
      </w:r>
      <w:r w:rsidRPr="00F152B9">
        <w:rPr>
          <w:rFonts w:ascii="Arial" w:hAnsi="Arial" w:cs="Arial"/>
          <w:b/>
          <w:bCs/>
        </w:rPr>
        <w:tab/>
      </w:r>
      <w:r w:rsidR="00084190">
        <w:rPr>
          <w:rFonts w:ascii="Arial" w:hAnsi="Arial" w:cs="Arial"/>
          <w:bCs/>
          <w:i/>
        </w:rPr>
        <w:t xml:space="preserve">Rennies Travel (Pty) Ltd </w:t>
      </w:r>
      <w:r w:rsidR="00F2439E">
        <w:rPr>
          <w:rFonts w:ascii="Arial" w:hAnsi="Arial" w:cs="Arial"/>
          <w:bCs/>
          <w:i/>
        </w:rPr>
        <w:t xml:space="preserve">v </w:t>
      </w:r>
      <w:r w:rsidR="00084190">
        <w:rPr>
          <w:rFonts w:ascii="Arial" w:hAnsi="Arial" w:cs="Arial"/>
          <w:bCs/>
          <w:i/>
        </w:rPr>
        <w:t>SARS</w:t>
      </w:r>
      <w:r w:rsidR="009E2CB6" w:rsidRPr="00F152B9">
        <w:rPr>
          <w:rFonts w:ascii="Arial" w:hAnsi="Arial" w:cs="Arial"/>
          <w:bCs/>
          <w:i/>
        </w:rPr>
        <w:t xml:space="preserve"> </w:t>
      </w:r>
      <w:r w:rsidRPr="00F152B9">
        <w:rPr>
          <w:rFonts w:ascii="Arial" w:hAnsi="Arial" w:cs="Arial"/>
          <w:bCs/>
        </w:rPr>
        <w:t>(</w:t>
      </w:r>
      <w:r w:rsidR="00084190">
        <w:rPr>
          <w:rFonts w:ascii="Arial" w:hAnsi="Arial" w:cs="Arial"/>
          <w:bCs/>
        </w:rPr>
        <w:t>207</w:t>
      </w:r>
      <w:r w:rsidR="00F2439E">
        <w:rPr>
          <w:rFonts w:ascii="Arial" w:hAnsi="Arial" w:cs="Arial"/>
          <w:bCs/>
        </w:rPr>
        <w:t>/2021</w:t>
      </w:r>
      <w:r w:rsidR="00722A6E">
        <w:rPr>
          <w:rFonts w:ascii="Arial" w:hAnsi="Arial" w:cs="Arial"/>
          <w:bCs/>
        </w:rPr>
        <w:t>) [202</w:t>
      </w:r>
      <w:r w:rsidR="00084190">
        <w:rPr>
          <w:rFonts w:ascii="Arial" w:hAnsi="Arial" w:cs="Arial"/>
          <w:bCs/>
        </w:rPr>
        <w:t>2</w:t>
      </w:r>
      <w:r w:rsidR="00722A6E">
        <w:rPr>
          <w:rFonts w:ascii="Arial" w:hAnsi="Arial" w:cs="Arial"/>
          <w:bCs/>
        </w:rPr>
        <w:t xml:space="preserve">] </w:t>
      </w:r>
      <w:r w:rsidR="00BD108B">
        <w:rPr>
          <w:rFonts w:ascii="Arial" w:hAnsi="Arial" w:cs="Arial"/>
          <w:bCs/>
        </w:rPr>
        <w:t xml:space="preserve">ZASCA </w:t>
      </w:r>
      <w:r w:rsidR="00580FA0">
        <w:rPr>
          <w:rFonts w:ascii="Arial" w:hAnsi="Arial" w:cs="Arial"/>
          <w:bCs/>
        </w:rPr>
        <w:t>83</w:t>
      </w:r>
      <w:r w:rsidR="00520761">
        <w:rPr>
          <w:rFonts w:ascii="Arial" w:hAnsi="Arial" w:cs="Arial"/>
          <w:bCs/>
        </w:rPr>
        <w:t xml:space="preserve"> </w:t>
      </w:r>
      <w:r w:rsidRPr="00F152B9">
        <w:rPr>
          <w:rFonts w:ascii="Arial" w:hAnsi="Arial" w:cs="Arial"/>
          <w:bCs/>
        </w:rPr>
        <w:t>(</w:t>
      </w:r>
      <w:r w:rsidR="00580FA0">
        <w:rPr>
          <w:rFonts w:ascii="Arial" w:hAnsi="Arial" w:cs="Arial"/>
          <w:bCs/>
        </w:rPr>
        <w:t>6 June</w:t>
      </w:r>
      <w:r w:rsidR="00084190">
        <w:rPr>
          <w:rFonts w:ascii="Arial" w:hAnsi="Arial" w:cs="Arial"/>
          <w:bCs/>
        </w:rPr>
        <w:t xml:space="preserve"> 2022</w:t>
      </w:r>
      <w:r w:rsidRPr="00F152B9">
        <w:rPr>
          <w:rFonts w:ascii="Arial" w:hAnsi="Arial" w:cs="Arial"/>
          <w:bCs/>
        </w:rPr>
        <w:t>)</w:t>
      </w:r>
    </w:p>
    <w:p w14:paraId="0A840705" w14:textId="606D22D4" w:rsidR="001910E7" w:rsidRPr="00F152B9" w:rsidRDefault="001910E7" w:rsidP="00031EA4">
      <w:pPr>
        <w:spacing w:line="360" w:lineRule="auto"/>
        <w:jc w:val="both"/>
        <w:rPr>
          <w:rFonts w:ascii="Arial" w:hAnsi="Arial" w:cs="Arial"/>
          <w:b/>
          <w:bCs/>
          <w:i/>
          <w:iCs/>
        </w:rPr>
      </w:pPr>
      <w:r w:rsidRPr="00F152B9">
        <w:rPr>
          <w:rFonts w:ascii="Arial" w:hAnsi="Arial" w:cs="Arial"/>
          <w:b/>
          <w:bCs/>
        </w:rPr>
        <w:t>Coram:</w:t>
      </w:r>
      <w:r w:rsidR="002963C5" w:rsidRPr="00F152B9">
        <w:rPr>
          <w:rFonts w:ascii="Arial" w:hAnsi="Arial" w:cs="Arial"/>
        </w:rPr>
        <w:tab/>
      </w:r>
      <w:r w:rsidR="00084190">
        <w:rPr>
          <w:rFonts w:ascii="Arial" w:hAnsi="Arial" w:cs="Arial"/>
        </w:rPr>
        <w:t>VAN DER MERWE, PLASKET and HUGHES JJA and TSOKA and MUSI AJJA</w:t>
      </w:r>
    </w:p>
    <w:p w14:paraId="60DBC0AF" w14:textId="2FB47171" w:rsidR="001910E7" w:rsidRPr="00F152B9" w:rsidRDefault="001910E7" w:rsidP="00031EA4">
      <w:pPr>
        <w:tabs>
          <w:tab w:val="left" w:pos="851"/>
        </w:tabs>
        <w:spacing w:line="360" w:lineRule="auto"/>
        <w:rPr>
          <w:rFonts w:ascii="Arial" w:hAnsi="Arial" w:cs="Arial"/>
          <w:b/>
          <w:bCs/>
        </w:rPr>
      </w:pPr>
      <w:r w:rsidRPr="00F152B9">
        <w:rPr>
          <w:rFonts w:ascii="Arial" w:hAnsi="Arial" w:cs="Arial"/>
          <w:b/>
          <w:bCs/>
        </w:rPr>
        <w:t>Heard</w:t>
      </w:r>
      <w:r w:rsidR="00D35C26" w:rsidRPr="00F152B9">
        <w:rPr>
          <w:rFonts w:ascii="Arial" w:hAnsi="Arial" w:cs="Arial"/>
        </w:rPr>
        <w:t xml:space="preserve">:            </w:t>
      </w:r>
      <w:r w:rsidR="00084190">
        <w:rPr>
          <w:rFonts w:ascii="Arial" w:hAnsi="Arial" w:cs="Arial"/>
        </w:rPr>
        <w:t>3 May 2022</w:t>
      </w:r>
    </w:p>
    <w:p w14:paraId="52CE489D" w14:textId="1DA6941E" w:rsidR="001910E7" w:rsidRPr="00F152B9" w:rsidRDefault="001910E7" w:rsidP="00031EA4">
      <w:pPr>
        <w:spacing w:after="120" w:line="360" w:lineRule="auto"/>
        <w:jc w:val="both"/>
        <w:rPr>
          <w:rFonts w:ascii="Arial" w:hAnsi="Arial" w:cs="Arial"/>
        </w:rPr>
      </w:pPr>
      <w:r w:rsidRPr="00F152B9">
        <w:rPr>
          <w:rFonts w:ascii="Arial" w:hAnsi="Arial" w:cs="Arial"/>
          <w:b/>
          <w:bCs/>
        </w:rPr>
        <w:t>Delivered</w:t>
      </w:r>
      <w:r w:rsidR="000F325E" w:rsidRPr="00F152B9">
        <w:rPr>
          <w:rFonts w:ascii="Arial" w:hAnsi="Arial" w:cs="Arial"/>
        </w:rPr>
        <w:t>:</w:t>
      </w:r>
      <w:r w:rsidR="002963C5" w:rsidRPr="00F152B9">
        <w:rPr>
          <w:rFonts w:ascii="Arial" w:hAnsi="Arial" w:cs="Arial"/>
        </w:rPr>
        <w:tab/>
      </w:r>
      <w:r w:rsidR="008503FF">
        <w:rPr>
          <w:rFonts w:ascii="Arial" w:hAnsi="Arial" w:cs="Arial"/>
        </w:rPr>
        <w:t>6 June 2022</w:t>
      </w:r>
    </w:p>
    <w:p w14:paraId="01258D4B" w14:textId="4AFBB5C9" w:rsidR="00240AA7" w:rsidRDefault="001910E7" w:rsidP="00031EA4">
      <w:pPr>
        <w:tabs>
          <w:tab w:val="left" w:pos="709"/>
          <w:tab w:val="left" w:pos="1134"/>
        </w:tabs>
        <w:spacing w:line="360" w:lineRule="auto"/>
        <w:jc w:val="both"/>
        <w:rPr>
          <w:rFonts w:ascii="Arial" w:hAnsi="Arial" w:cs="Arial"/>
          <w:bCs/>
        </w:rPr>
      </w:pPr>
      <w:r w:rsidRPr="00F152B9">
        <w:rPr>
          <w:rFonts w:ascii="Arial" w:hAnsi="Arial" w:cs="Arial"/>
          <w:b/>
          <w:bCs/>
        </w:rPr>
        <w:t>Summary:</w:t>
      </w:r>
      <w:r w:rsidR="00B91C2D" w:rsidRPr="00F152B9">
        <w:rPr>
          <w:rFonts w:ascii="Arial" w:hAnsi="Arial" w:cs="Arial"/>
          <w:b/>
          <w:bCs/>
        </w:rPr>
        <w:tab/>
      </w:r>
      <w:r w:rsidR="00184A40">
        <w:rPr>
          <w:rFonts w:ascii="Arial" w:hAnsi="Arial" w:cs="Arial"/>
          <w:bCs/>
        </w:rPr>
        <w:t>Revenue – Value-Added Tax Act 89 of 1991 (VAT Act) – supplementary commission</w:t>
      </w:r>
      <w:r w:rsidR="0096360B">
        <w:rPr>
          <w:rFonts w:ascii="Arial" w:hAnsi="Arial" w:cs="Arial"/>
          <w:bCs/>
        </w:rPr>
        <w:t xml:space="preserve"> received by travel agency after </w:t>
      </w:r>
      <w:r w:rsidR="00BF65CD">
        <w:rPr>
          <w:rFonts w:ascii="Arial" w:hAnsi="Arial" w:cs="Arial"/>
          <w:bCs/>
        </w:rPr>
        <w:t xml:space="preserve">achieving </w:t>
      </w:r>
      <w:r w:rsidR="0096360B">
        <w:rPr>
          <w:rFonts w:ascii="Arial" w:hAnsi="Arial" w:cs="Arial"/>
          <w:bCs/>
        </w:rPr>
        <w:t>agreed sales targets of international airline tickets</w:t>
      </w:r>
      <w:r w:rsidR="004E7A78">
        <w:rPr>
          <w:rFonts w:ascii="Arial" w:hAnsi="Arial" w:cs="Arial"/>
          <w:bCs/>
        </w:rPr>
        <w:t xml:space="preserve"> </w:t>
      </w:r>
      <w:r w:rsidR="0096360B">
        <w:rPr>
          <w:rFonts w:ascii="Arial" w:hAnsi="Arial" w:cs="Arial"/>
          <w:bCs/>
        </w:rPr>
        <w:t>– constituted consideration for arranging transport</w:t>
      </w:r>
      <w:r w:rsidR="002A42D1">
        <w:rPr>
          <w:rFonts w:ascii="Arial" w:hAnsi="Arial" w:cs="Arial"/>
          <w:bCs/>
        </w:rPr>
        <w:t xml:space="preserve"> of international passengers – receipts had to be zero-rated under s 11(2)</w:t>
      </w:r>
      <w:r w:rsidR="002A42D1">
        <w:rPr>
          <w:rFonts w:ascii="Arial" w:hAnsi="Arial" w:cs="Arial"/>
          <w:bCs/>
          <w:i/>
        </w:rPr>
        <w:t>(a)</w:t>
      </w:r>
      <w:r w:rsidR="002A42D1">
        <w:rPr>
          <w:rFonts w:ascii="Arial" w:hAnsi="Arial" w:cs="Arial"/>
          <w:bCs/>
        </w:rPr>
        <w:t xml:space="preserve"> and </w:t>
      </w:r>
      <w:r w:rsidR="002A42D1">
        <w:rPr>
          <w:rFonts w:ascii="Arial" w:hAnsi="Arial" w:cs="Arial"/>
          <w:bCs/>
          <w:i/>
        </w:rPr>
        <w:t xml:space="preserve">(d) </w:t>
      </w:r>
      <w:r w:rsidR="002A42D1">
        <w:rPr>
          <w:rFonts w:ascii="Arial" w:hAnsi="Arial" w:cs="Arial"/>
          <w:bCs/>
        </w:rPr>
        <w:t>of VAT Act</w:t>
      </w:r>
      <w:r w:rsidR="00240AA7">
        <w:rPr>
          <w:rFonts w:ascii="Arial" w:hAnsi="Arial" w:cs="Arial"/>
          <w:bCs/>
        </w:rPr>
        <w:t>.</w:t>
      </w:r>
      <w:r w:rsidR="00C56F65">
        <w:rPr>
          <w:rFonts w:ascii="Arial" w:hAnsi="Arial" w:cs="Arial"/>
          <w:bCs/>
        </w:rPr>
        <w:t xml:space="preserve"> </w:t>
      </w:r>
    </w:p>
    <w:p w14:paraId="650A83BE" w14:textId="5D66E453" w:rsidR="00F243B3" w:rsidRPr="002A42D1" w:rsidRDefault="002A42D1" w:rsidP="00031EA4">
      <w:pPr>
        <w:tabs>
          <w:tab w:val="left" w:pos="709"/>
          <w:tab w:val="left" w:pos="1134"/>
        </w:tabs>
        <w:spacing w:line="360" w:lineRule="auto"/>
        <w:jc w:val="both"/>
        <w:rPr>
          <w:rFonts w:ascii="Arial" w:hAnsi="Arial" w:cs="Arial"/>
          <w:bCs/>
        </w:rPr>
      </w:pPr>
      <w:r>
        <w:rPr>
          <w:rFonts w:ascii="Arial" w:hAnsi="Arial" w:cs="Arial"/>
          <w:bCs/>
        </w:rPr>
        <w:t xml:space="preserve">Practice </w:t>
      </w:r>
      <w:r w:rsidR="00B14B4F">
        <w:rPr>
          <w:rFonts w:ascii="Arial" w:hAnsi="Arial" w:cs="Arial"/>
          <w:bCs/>
        </w:rPr>
        <w:t>–</w:t>
      </w:r>
      <w:r>
        <w:rPr>
          <w:rFonts w:ascii="Arial" w:hAnsi="Arial" w:cs="Arial"/>
          <w:bCs/>
        </w:rPr>
        <w:t xml:space="preserve"> </w:t>
      </w:r>
      <w:r w:rsidR="00B14B4F">
        <w:rPr>
          <w:rFonts w:ascii="Arial" w:hAnsi="Arial" w:cs="Arial"/>
          <w:bCs/>
        </w:rPr>
        <w:t xml:space="preserve">time for </w:t>
      </w:r>
      <w:r w:rsidR="008503FF">
        <w:rPr>
          <w:rFonts w:ascii="Arial" w:hAnsi="Arial" w:cs="Arial"/>
          <w:bCs/>
        </w:rPr>
        <w:t>lodgement</w:t>
      </w:r>
      <w:r w:rsidR="00B14B4F">
        <w:rPr>
          <w:rFonts w:ascii="Arial" w:hAnsi="Arial" w:cs="Arial"/>
          <w:bCs/>
        </w:rPr>
        <w:t xml:space="preserve"> of notice of appeal – conflict between provisions of Tax Administration Act 28 o</w:t>
      </w:r>
      <w:r w:rsidR="00BF65CD">
        <w:rPr>
          <w:rFonts w:ascii="Arial" w:hAnsi="Arial" w:cs="Arial"/>
          <w:bCs/>
        </w:rPr>
        <w:t>f</w:t>
      </w:r>
      <w:r w:rsidR="00B14B4F">
        <w:rPr>
          <w:rFonts w:ascii="Arial" w:hAnsi="Arial" w:cs="Arial"/>
          <w:bCs/>
        </w:rPr>
        <w:t xml:space="preserve"> 2011 and rules</w:t>
      </w:r>
      <w:r w:rsidR="00BF65CD">
        <w:rPr>
          <w:rFonts w:ascii="Arial" w:hAnsi="Arial" w:cs="Arial"/>
          <w:bCs/>
        </w:rPr>
        <w:t xml:space="preserve"> of Supreme Court of Appeal – la</w:t>
      </w:r>
      <w:r w:rsidR="00B14B4F">
        <w:rPr>
          <w:rFonts w:ascii="Arial" w:hAnsi="Arial" w:cs="Arial"/>
          <w:bCs/>
        </w:rPr>
        <w:t xml:space="preserve">tter subordinate legislation – provisions of Tax Administration Act prevail. </w:t>
      </w:r>
    </w:p>
    <w:p w14:paraId="79A45084" w14:textId="77777777" w:rsidR="00B625EE" w:rsidRPr="00F152B9" w:rsidRDefault="00B625EE" w:rsidP="00855DDC">
      <w:pPr>
        <w:pBdr>
          <w:bottom w:val="single" w:sz="12" w:space="1" w:color="auto"/>
        </w:pBdr>
        <w:rPr>
          <w:rFonts w:ascii="Arial" w:hAnsi="Arial" w:cs="Arial"/>
          <w:bCs/>
        </w:rPr>
      </w:pPr>
      <w:bookmarkStart w:id="0" w:name="_GoBack"/>
      <w:bookmarkEnd w:id="0"/>
    </w:p>
    <w:p w14:paraId="78752FFC" w14:textId="68566A32" w:rsidR="00B625EE" w:rsidRPr="00F152B9" w:rsidRDefault="00B625EE" w:rsidP="00855DDC">
      <w:pPr>
        <w:spacing w:line="360" w:lineRule="auto"/>
        <w:jc w:val="right"/>
        <w:rPr>
          <w:rFonts w:ascii="Arial" w:eastAsia="MS Mincho" w:hAnsi="Arial" w:cs="Arial"/>
        </w:rPr>
      </w:pPr>
    </w:p>
    <w:p w14:paraId="42BECD88" w14:textId="77777777" w:rsidR="00B625EE" w:rsidRPr="00F152B9" w:rsidRDefault="00B625EE" w:rsidP="003C53A7">
      <w:pPr>
        <w:pBdr>
          <w:bottom w:val="single" w:sz="12" w:space="1" w:color="auto"/>
        </w:pBdr>
        <w:spacing w:line="360" w:lineRule="auto"/>
        <w:jc w:val="center"/>
        <w:rPr>
          <w:rFonts w:ascii="Arial" w:eastAsia="MS Mincho" w:hAnsi="Arial" w:cs="Arial"/>
          <w:b/>
        </w:rPr>
      </w:pPr>
      <w:r w:rsidRPr="00F152B9">
        <w:rPr>
          <w:rFonts w:ascii="Arial" w:eastAsia="MS Mincho" w:hAnsi="Arial" w:cs="Arial"/>
          <w:b/>
        </w:rPr>
        <w:t xml:space="preserve">ORDER </w:t>
      </w:r>
    </w:p>
    <w:p w14:paraId="2CDFC555" w14:textId="77777777" w:rsidR="00B625EE" w:rsidRPr="00F152B9" w:rsidRDefault="00B625EE" w:rsidP="003C53A7">
      <w:pPr>
        <w:pBdr>
          <w:bottom w:val="single" w:sz="12" w:space="1" w:color="auto"/>
        </w:pBdr>
        <w:spacing w:line="360" w:lineRule="auto"/>
        <w:jc w:val="center"/>
        <w:rPr>
          <w:rFonts w:ascii="Arial" w:eastAsia="MS Mincho" w:hAnsi="Arial" w:cs="Arial"/>
          <w:b/>
          <w:sz w:val="16"/>
          <w:szCs w:val="16"/>
        </w:rPr>
      </w:pPr>
    </w:p>
    <w:p w14:paraId="1FA20913" w14:textId="77777777" w:rsidR="00B625EE" w:rsidRPr="00F152B9" w:rsidRDefault="00B625EE" w:rsidP="003C53A7">
      <w:pPr>
        <w:spacing w:line="360" w:lineRule="auto"/>
        <w:jc w:val="both"/>
        <w:rPr>
          <w:rFonts w:ascii="Arial" w:eastAsia="MS Mincho" w:hAnsi="Arial" w:cs="Arial"/>
          <w:b/>
        </w:rPr>
      </w:pPr>
    </w:p>
    <w:p w14:paraId="0D3BBB59" w14:textId="55AB2943" w:rsidR="00B625EE" w:rsidRDefault="00B625EE" w:rsidP="003C53A7">
      <w:pPr>
        <w:spacing w:after="120" w:line="360" w:lineRule="auto"/>
        <w:jc w:val="both"/>
        <w:rPr>
          <w:rFonts w:ascii="Arial" w:hAnsi="Arial" w:cs="Arial"/>
          <w:bCs/>
        </w:rPr>
      </w:pPr>
      <w:r w:rsidRPr="00F152B9">
        <w:rPr>
          <w:rFonts w:ascii="Arial" w:hAnsi="Arial" w:cs="Arial"/>
          <w:b/>
          <w:bCs/>
        </w:rPr>
        <w:t xml:space="preserve">On appeal from: </w:t>
      </w:r>
      <w:r w:rsidR="0073103F">
        <w:rPr>
          <w:rFonts w:ascii="Arial" w:hAnsi="Arial" w:cs="Arial"/>
          <w:bCs/>
        </w:rPr>
        <w:t>The Tax Court of South Africa, Johannesburg</w:t>
      </w:r>
      <w:r w:rsidRPr="00F152B9">
        <w:rPr>
          <w:rFonts w:ascii="Arial" w:hAnsi="Arial" w:cs="Arial"/>
          <w:bCs/>
        </w:rPr>
        <w:t xml:space="preserve"> (</w:t>
      </w:r>
      <w:r w:rsidR="002C6925">
        <w:rPr>
          <w:rFonts w:ascii="Arial" w:hAnsi="Arial" w:cs="Arial"/>
          <w:bCs/>
        </w:rPr>
        <w:t>Twala</w:t>
      </w:r>
      <w:r w:rsidR="0073103F">
        <w:rPr>
          <w:rFonts w:ascii="Arial" w:hAnsi="Arial" w:cs="Arial"/>
          <w:bCs/>
        </w:rPr>
        <w:t xml:space="preserve"> J</w:t>
      </w:r>
      <w:r w:rsidR="002C6925">
        <w:rPr>
          <w:rFonts w:ascii="Arial" w:hAnsi="Arial" w:cs="Arial"/>
          <w:bCs/>
        </w:rPr>
        <w:t xml:space="preserve"> presiding, sitting as court of</w:t>
      </w:r>
      <w:r w:rsidR="0073103F">
        <w:rPr>
          <w:rFonts w:ascii="Arial" w:hAnsi="Arial" w:cs="Arial"/>
          <w:bCs/>
        </w:rPr>
        <w:t xml:space="preserve"> </w:t>
      </w:r>
      <w:r w:rsidRPr="00F152B9">
        <w:rPr>
          <w:rFonts w:ascii="Arial" w:hAnsi="Arial" w:cs="Arial"/>
          <w:bCs/>
        </w:rPr>
        <w:t xml:space="preserve">first instance): </w:t>
      </w:r>
    </w:p>
    <w:p w14:paraId="1E25E408" w14:textId="34930E54" w:rsidR="0073103F" w:rsidRDefault="0073103F" w:rsidP="003C53A7">
      <w:pPr>
        <w:tabs>
          <w:tab w:val="left" w:pos="284"/>
          <w:tab w:val="left" w:pos="851"/>
          <w:tab w:val="left" w:pos="1134"/>
          <w:tab w:val="left" w:pos="1418"/>
          <w:tab w:val="left" w:pos="1985"/>
        </w:tabs>
        <w:spacing w:line="360" w:lineRule="auto"/>
        <w:jc w:val="both"/>
        <w:rPr>
          <w:rFonts w:ascii="Arial" w:hAnsi="Arial" w:cs="Arial"/>
        </w:rPr>
      </w:pPr>
      <w:r>
        <w:rPr>
          <w:rFonts w:ascii="Arial" w:hAnsi="Arial" w:cs="Arial"/>
        </w:rPr>
        <w:t>1</w:t>
      </w:r>
      <w:r>
        <w:rPr>
          <w:rFonts w:ascii="Arial" w:hAnsi="Arial" w:cs="Arial"/>
        </w:rPr>
        <w:tab/>
      </w:r>
      <w:r>
        <w:rPr>
          <w:rFonts w:ascii="Arial" w:hAnsi="Arial" w:cs="Arial"/>
        </w:rPr>
        <w:tab/>
        <w:t xml:space="preserve">The </w:t>
      </w:r>
      <w:r w:rsidR="00FB1697">
        <w:rPr>
          <w:rFonts w:ascii="Arial" w:hAnsi="Arial" w:cs="Arial"/>
        </w:rPr>
        <w:t>appeal is upheld with costs.</w:t>
      </w:r>
    </w:p>
    <w:p w14:paraId="2EA9BD88" w14:textId="77777777" w:rsidR="0073103F" w:rsidRDefault="0073103F" w:rsidP="003C53A7">
      <w:pPr>
        <w:tabs>
          <w:tab w:val="left" w:pos="284"/>
          <w:tab w:val="left" w:pos="851"/>
          <w:tab w:val="left" w:pos="1134"/>
          <w:tab w:val="left" w:pos="1418"/>
          <w:tab w:val="left" w:pos="1985"/>
        </w:tabs>
        <w:spacing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The order of the tax court is set aside and replaced with the following: </w:t>
      </w:r>
    </w:p>
    <w:p w14:paraId="40D8CDD8" w14:textId="77777777" w:rsidR="0073103F" w:rsidRPr="00344847" w:rsidRDefault="0073103F" w:rsidP="003C53A7">
      <w:pPr>
        <w:tabs>
          <w:tab w:val="left" w:pos="284"/>
          <w:tab w:val="left" w:pos="851"/>
          <w:tab w:val="left" w:pos="1134"/>
          <w:tab w:val="left" w:pos="1418"/>
          <w:tab w:val="left" w:pos="1985"/>
        </w:tabs>
        <w:spacing w:line="360" w:lineRule="auto"/>
        <w:jc w:val="both"/>
        <w:rPr>
          <w:rFonts w:ascii="Arial" w:hAnsi="Arial" w:cs="Arial"/>
        </w:rPr>
      </w:pPr>
      <w:r>
        <w:rPr>
          <w:rFonts w:ascii="Arial" w:hAnsi="Arial" w:cs="Arial"/>
        </w:rPr>
        <w:t>‘The additional VAT assessments in respect of the appellant’s February 2012 to December 2016 VAT periods, to the extent that they impose VAT at the standard rate on supplementary commission paid to the appellant, are set aside.’</w:t>
      </w:r>
    </w:p>
    <w:p w14:paraId="2DB9AE13" w14:textId="77777777" w:rsidR="00B625EE" w:rsidRPr="00F152B9" w:rsidRDefault="00B625EE" w:rsidP="003C53A7">
      <w:pPr>
        <w:pBdr>
          <w:bottom w:val="single" w:sz="12" w:space="1" w:color="auto"/>
        </w:pBdr>
        <w:spacing w:line="360" w:lineRule="auto"/>
        <w:contextualSpacing/>
        <w:jc w:val="both"/>
        <w:rPr>
          <w:rFonts w:ascii="Arial" w:hAnsi="Arial" w:cs="Arial"/>
          <w:sz w:val="16"/>
          <w:szCs w:val="16"/>
        </w:rPr>
      </w:pPr>
    </w:p>
    <w:p w14:paraId="4757D57C" w14:textId="77777777" w:rsidR="00B625EE" w:rsidRPr="00F152B9" w:rsidRDefault="00B625EE" w:rsidP="003C53A7">
      <w:pPr>
        <w:spacing w:line="360" w:lineRule="auto"/>
        <w:jc w:val="both"/>
        <w:rPr>
          <w:rFonts w:ascii="Arial" w:eastAsia="MS Mincho" w:hAnsi="Arial" w:cs="Arial"/>
          <w:b/>
          <w:sz w:val="20"/>
          <w:szCs w:val="20"/>
        </w:rPr>
      </w:pPr>
    </w:p>
    <w:p w14:paraId="0FA5D3EF" w14:textId="77777777" w:rsidR="00B625EE" w:rsidRPr="00F152B9" w:rsidRDefault="00B625EE" w:rsidP="003C53A7">
      <w:pPr>
        <w:pBdr>
          <w:bottom w:val="single" w:sz="12" w:space="1" w:color="auto"/>
        </w:pBdr>
        <w:spacing w:line="360" w:lineRule="auto"/>
        <w:jc w:val="center"/>
        <w:rPr>
          <w:rFonts w:ascii="Arial" w:hAnsi="Arial" w:cs="Arial"/>
          <w:b/>
        </w:rPr>
      </w:pPr>
      <w:r w:rsidRPr="00F152B9">
        <w:rPr>
          <w:rFonts w:ascii="Arial" w:hAnsi="Arial" w:cs="Arial"/>
          <w:b/>
        </w:rPr>
        <w:t>JUDGMENT</w:t>
      </w:r>
    </w:p>
    <w:p w14:paraId="67C04227" w14:textId="77777777" w:rsidR="00B625EE" w:rsidRPr="00F152B9" w:rsidRDefault="00B625EE" w:rsidP="003C53A7">
      <w:pPr>
        <w:pBdr>
          <w:bottom w:val="single" w:sz="12" w:space="1" w:color="auto"/>
        </w:pBdr>
        <w:spacing w:line="360" w:lineRule="auto"/>
        <w:jc w:val="center"/>
        <w:rPr>
          <w:rFonts w:ascii="Arial" w:hAnsi="Arial" w:cs="Arial"/>
          <w:b/>
          <w:sz w:val="16"/>
          <w:szCs w:val="16"/>
        </w:rPr>
      </w:pPr>
    </w:p>
    <w:p w14:paraId="55B6B333" w14:textId="77777777" w:rsidR="00B625EE" w:rsidRPr="00F152B9" w:rsidRDefault="00B625EE" w:rsidP="003C53A7">
      <w:pPr>
        <w:spacing w:line="360" w:lineRule="auto"/>
        <w:jc w:val="both"/>
        <w:rPr>
          <w:rFonts w:ascii="Arial" w:eastAsia="MS Mincho" w:hAnsi="Arial" w:cs="Arial"/>
          <w:b/>
          <w:sz w:val="16"/>
          <w:szCs w:val="16"/>
        </w:rPr>
      </w:pPr>
    </w:p>
    <w:p w14:paraId="0F44167C" w14:textId="1928AA8C" w:rsidR="00B625EE" w:rsidRPr="00F152B9" w:rsidRDefault="00B625EE" w:rsidP="003C53A7">
      <w:pPr>
        <w:spacing w:after="120" w:line="360" w:lineRule="auto"/>
        <w:jc w:val="both"/>
        <w:rPr>
          <w:rFonts w:ascii="Arial" w:hAnsi="Arial" w:cs="Arial"/>
          <w:b/>
          <w:lang w:val="en-ZA"/>
        </w:rPr>
      </w:pPr>
      <w:r w:rsidRPr="00F152B9">
        <w:rPr>
          <w:rFonts w:ascii="Arial" w:hAnsi="Arial" w:cs="Arial"/>
          <w:b/>
        </w:rPr>
        <w:t>Van der Merwe</w:t>
      </w:r>
      <w:r w:rsidR="005D0CD5" w:rsidRPr="00F152B9">
        <w:rPr>
          <w:rFonts w:ascii="Arial" w:hAnsi="Arial" w:cs="Arial"/>
          <w:b/>
        </w:rPr>
        <w:t xml:space="preserve"> JA</w:t>
      </w:r>
      <w:r w:rsidRPr="00F152B9">
        <w:rPr>
          <w:rFonts w:ascii="Arial" w:hAnsi="Arial" w:cs="Arial"/>
          <w:b/>
        </w:rPr>
        <w:t xml:space="preserve"> (</w:t>
      </w:r>
      <w:r w:rsidR="003C53A7">
        <w:rPr>
          <w:rFonts w:ascii="Arial" w:hAnsi="Arial" w:cs="Arial"/>
          <w:b/>
        </w:rPr>
        <w:t xml:space="preserve">Plasket and Hughes JJA and Tsoka and Musi AJJA </w:t>
      </w:r>
      <w:r w:rsidRPr="00F152B9">
        <w:rPr>
          <w:rFonts w:ascii="Arial" w:hAnsi="Arial" w:cs="Arial"/>
          <w:b/>
        </w:rPr>
        <w:t>concurring)</w:t>
      </w:r>
      <w:r w:rsidR="00BF27EE">
        <w:rPr>
          <w:rFonts w:ascii="Arial" w:hAnsi="Arial" w:cs="Arial"/>
          <w:b/>
        </w:rPr>
        <w:t>:</w:t>
      </w:r>
    </w:p>
    <w:p w14:paraId="5CD2C903" w14:textId="4A924722" w:rsidR="00F243B3" w:rsidRDefault="00F243B3" w:rsidP="003C53A7">
      <w:pPr>
        <w:tabs>
          <w:tab w:val="left" w:pos="284"/>
        </w:tabs>
        <w:spacing w:line="360" w:lineRule="auto"/>
        <w:jc w:val="both"/>
        <w:rPr>
          <w:rFonts w:ascii="Arial" w:hAnsi="Arial" w:cs="Arial"/>
        </w:rPr>
      </w:pPr>
      <w:r w:rsidRPr="00F152B9">
        <w:rPr>
          <w:rFonts w:ascii="Arial" w:hAnsi="Arial" w:cs="Arial"/>
        </w:rPr>
        <w:t>[1]</w:t>
      </w:r>
      <w:r w:rsidRPr="00F152B9">
        <w:rPr>
          <w:rFonts w:ascii="Arial" w:hAnsi="Arial" w:cs="Arial"/>
        </w:rPr>
        <w:tab/>
      </w:r>
      <w:r w:rsidR="00855DDC">
        <w:rPr>
          <w:rFonts w:ascii="Arial" w:hAnsi="Arial" w:cs="Arial"/>
        </w:rPr>
        <w:tab/>
      </w:r>
      <w:r w:rsidR="00D70539">
        <w:rPr>
          <w:rFonts w:ascii="Arial" w:hAnsi="Arial" w:cs="Arial"/>
        </w:rPr>
        <w:t>The appellant, Rennies Travel (Pty) Ltd, conducts a travel agency enterprise. Part of its business is to make arrangements for the international travels of its clients, including the sales of airline tickets for international flights. The appellant derives income in respect of this part of its business from three contractual sources, namely: a service fee charged to the client; a flat rate charged to the relevant airline in respect of the sale of an international airline ticket</w:t>
      </w:r>
      <w:r w:rsidR="00195E43">
        <w:rPr>
          <w:rFonts w:ascii="Arial" w:hAnsi="Arial" w:cs="Arial"/>
        </w:rPr>
        <w:t xml:space="preserve"> (standard commission); and additional or increased commission charged to the airline in the event of the appellant reaching targets of international airline ticket sales agreed with the airline (supplementary commission).</w:t>
      </w:r>
    </w:p>
    <w:p w14:paraId="68BFB70B" w14:textId="77777777" w:rsidR="00195E43" w:rsidRDefault="00195E43" w:rsidP="003C53A7">
      <w:pPr>
        <w:tabs>
          <w:tab w:val="left" w:pos="284"/>
        </w:tabs>
        <w:spacing w:line="360" w:lineRule="auto"/>
        <w:jc w:val="both"/>
        <w:rPr>
          <w:rFonts w:ascii="Arial" w:hAnsi="Arial" w:cs="Arial"/>
        </w:rPr>
      </w:pPr>
    </w:p>
    <w:p w14:paraId="4B59FF17" w14:textId="05F83349" w:rsidR="00195E43" w:rsidRDefault="00195E43" w:rsidP="003C53A7">
      <w:pPr>
        <w:tabs>
          <w:tab w:val="left" w:pos="284"/>
        </w:tabs>
        <w:spacing w:line="360" w:lineRule="auto"/>
        <w:jc w:val="both"/>
        <w:rPr>
          <w:rFonts w:ascii="Arial" w:hAnsi="Arial" w:cs="Arial"/>
        </w:rPr>
      </w:pPr>
      <w:r>
        <w:rPr>
          <w:rFonts w:ascii="Arial" w:hAnsi="Arial" w:cs="Arial"/>
        </w:rPr>
        <w:t>[2]</w:t>
      </w:r>
      <w:r>
        <w:rPr>
          <w:rFonts w:ascii="Arial" w:hAnsi="Arial" w:cs="Arial"/>
        </w:rPr>
        <w:tab/>
      </w:r>
      <w:r>
        <w:rPr>
          <w:rFonts w:ascii="Arial" w:hAnsi="Arial" w:cs="Arial"/>
        </w:rPr>
        <w:tab/>
        <w:t>The respondent</w:t>
      </w:r>
      <w:r w:rsidR="002C6925">
        <w:rPr>
          <w:rFonts w:ascii="Arial" w:hAnsi="Arial" w:cs="Arial"/>
        </w:rPr>
        <w:t>, t</w:t>
      </w:r>
      <w:r>
        <w:rPr>
          <w:rFonts w:ascii="Arial" w:hAnsi="Arial" w:cs="Arial"/>
        </w:rPr>
        <w:t>he Commissioner for the South African Revenue Services, determined that the</w:t>
      </w:r>
      <w:r w:rsidR="003C2F1C">
        <w:rPr>
          <w:rFonts w:ascii="Arial" w:hAnsi="Arial" w:cs="Arial"/>
        </w:rPr>
        <w:t xml:space="preserve"> appellant was liable for the payment of Value-Added Tax (VAT) on </w:t>
      </w:r>
      <w:r w:rsidR="003C2F1C">
        <w:rPr>
          <w:rFonts w:ascii="Arial" w:hAnsi="Arial" w:cs="Arial"/>
        </w:rPr>
        <w:lastRenderedPageBreak/>
        <w:t xml:space="preserve">the supplementary commission that it had earned during the period from February 2012 to December 2016 and accordingly issued additional VAT assessments to the appellant. The appellant maintained that the supplementary commission had been earned in respect of </w:t>
      </w:r>
      <w:r w:rsidR="00D006DE">
        <w:rPr>
          <w:rFonts w:ascii="Arial" w:hAnsi="Arial" w:cs="Arial"/>
        </w:rPr>
        <w:t>a</w:t>
      </w:r>
      <w:r w:rsidR="003C2F1C">
        <w:rPr>
          <w:rFonts w:ascii="Arial" w:hAnsi="Arial" w:cs="Arial"/>
        </w:rPr>
        <w:t xml:space="preserve"> supply of services that attracted VAT at zero per cent (zero-rate</w:t>
      </w:r>
      <w:r w:rsidR="00D006DE">
        <w:rPr>
          <w:rFonts w:ascii="Arial" w:hAnsi="Arial" w:cs="Arial"/>
        </w:rPr>
        <w:t>d</w:t>
      </w:r>
      <w:r w:rsidR="003C2F1C">
        <w:rPr>
          <w:rFonts w:ascii="Arial" w:hAnsi="Arial" w:cs="Arial"/>
        </w:rPr>
        <w:t>) under the Value-Added Tax Act 89 of 1991 (the VAT Act). This is</w:t>
      </w:r>
      <w:r w:rsidR="0002771A">
        <w:rPr>
          <w:rFonts w:ascii="Arial" w:hAnsi="Arial" w:cs="Arial"/>
        </w:rPr>
        <w:t>sue eventually came before the tax c</w:t>
      </w:r>
      <w:r w:rsidR="003C2F1C">
        <w:rPr>
          <w:rFonts w:ascii="Arial" w:hAnsi="Arial" w:cs="Arial"/>
        </w:rPr>
        <w:t>ourt (Twala J presiding). It held for the respondent</w:t>
      </w:r>
      <w:r w:rsidR="008E0429">
        <w:rPr>
          <w:rFonts w:ascii="Arial" w:hAnsi="Arial" w:cs="Arial"/>
        </w:rPr>
        <w:t xml:space="preserve">, but granted leave to the appellant to appeal to this court. </w:t>
      </w:r>
    </w:p>
    <w:p w14:paraId="5F02B135" w14:textId="77777777" w:rsidR="008E0429" w:rsidRDefault="008E0429" w:rsidP="003C53A7">
      <w:pPr>
        <w:tabs>
          <w:tab w:val="left" w:pos="284"/>
        </w:tabs>
        <w:spacing w:line="360" w:lineRule="auto"/>
        <w:jc w:val="both"/>
        <w:rPr>
          <w:rFonts w:ascii="Arial" w:hAnsi="Arial" w:cs="Arial"/>
        </w:rPr>
      </w:pPr>
    </w:p>
    <w:p w14:paraId="05552463" w14:textId="6F7205C9" w:rsidR="008E0429" w:rsidRDefault="008E0429" w:rsidP="003C53A7">
      <w:pPr>
        <w:tabs>
          <w:tab w:val="left" w:pos="284"/>
        </w:tabs>
        <w:spacing w:line="360" w:lineRule="auto"/>
        <w:jc w:val="both"/>
        <w:rPr>
          <w:rFonts w:ascii="Arial" w:hAnsi="Arial" w:cs="Arial"/>
          <w:b/>
        </w:rPr>
      </w:pPr>
      <w:r>
        <w:rPr>
          <w:rFonts w:ascii="Arial" w:hAnsi="Arial" w:cs="Arial"/>
          <w:b/>
        </w:rPr>
        <w:t>Notice of appeal</w:t>
      </w:r>
    </w:p>
    <w:p w14:paraId="0454D554" w14:textId="1304F9AD" w:rsidR="008E0429" w:rsidRDefault="0002771A" w:rsidP="003C53A7">
      <w:pPr>
        <w:tabs>
          <w:tab w:val="left" w:pos="284"/>
        </w:tabs>
        <w:spacing w:line="360" w:lineRule="auto"/>
        <w:jc w:val="both"/>
        <w:rPr>
          <w:rFonts w:ascii="Arial" w:hAnsi="Arial" w:cs="Arial"/>
        </w:rPr>
      </w:pPr>
      <w:r>
        <w:rPr>
          <w:rFonts w:ascii="Arial" w:hAnsi="Arial" w:cs="Arial"/>
        </w:rPr>
        <w:t>[3]</w:t>
      </w:r>
      <w:r>
        <w:rPr>
          <w:rFonts w:ascii="Arial" w:hAnsi="Arial" w:cs="Arial"/>
        </w:rPr>
        <w:tab/>
      </w:r>
      <w:r>
        <w:rPr>
          <w:rFonts w:ascii="Arial" w:hAnsi="Arial" w:cs="Arial"/>
        </w:rPr>
        <w:tab/>
        <w:t>The tax c</w:t>
      </w:r>
      <w:r w:rsidR="008E0429">
        <w:rPr>
          <w:rFonts w:ascii="Arial" w:hAnsi="Arial" w:cs="Arial"/>
        </w:rPr>
        <w:t>ourt granted leave to appeal on 11 January 2021. The appellant lodged its notice of appeal to this court on 24 February 2021. Rule 7(1)</w:t>
      </w:r>
      <w:r w:rsidR="008E0429" w:rsidRPr="00B16791">
        <w:rPr>
          <w:rFonts w:ascii="Arial" w:hAnsi="Arial" w:cs="Arial"/>
          <w:i/>
        </w:rPr>
        <w:t>(b)</w:t>
      </w:r>
      <w:r w:rsidR="008E0429">
        <w:rPr>
          <w:rFonts w:ascii="Arial" w:hAnsi="Arial" w:cs="Arial"/>
        </w:rPr>
        <w:t xml:space="preserve"> of the rules of this court (the SCA rules) provides that </w:t>
      </w:r>
      <w:r w:rsidR="00D006DE">
        <w:rPr>
          <w:rFonts w:ascii="Arial" w:hAnsi="Arial" w:cs="Arial"/>
        </w:rPr>
        <w:t>a</w:t>
      </w:r>
      <w:r w:rsidR="008E0429">
        <w:rPr>
          <w:rFonts w:ascii="Arial" w:hAnsi="Arial" w:cs="Arial"/>
        </w:rPr>
        <w:t xml:space="preserve"> notice of appeal shall be lodged within a month of the granting of </w:t>
      </w:r>
      <w:r w:rsidR="00867652">
        <w:rPr>
          <w:rFonts w:ascii="Arial" w:hAnsi="Arial" w:cs="Arial"/>
        </w:rPr>
        <w:t>leave to appe</w:t>
      </w:r>
      <w:r w:rsidR="00D006DE">
        <w:rPr>
          <w:rFonts w:ascii="Arial" w:hAnsi="Arial" w:cs="Arial"/>
        </w:rPr>
        <w:t>al. On the strength of this sub-</w:t>
      </w:r>
      <w:r w:rsidR="00867652">
        <w:rPr>
          <w:rFonts w:ascii="Arial" w:hAnsi="Arial" w:cs="Arial"/>
        </w:rPr>
        <w:t xml:space="preserve">rule, and having had regard to the </w:t>
      </w:r>
      <w:r w:rsidR="00867652" w:rsidRPr="00867652">
        <w:rPr>
          <w:rFonts w:ascii="Arial" w:hAnsi="Arial" w:cs="Arial"/>
          <w:i/>
        </w:rPr>
        <w:t>dies non</w:t>
      </w:r>
      <w:r w:rsidR="00867652">
        <w:rPr>
          <w:rFonts w:ascii="Arial" w:hAnsi="Arial" w:cs="Arial"/>
        </w:rPr>
        <w:t xml:space="preserve"> period provided for in rule 1(2)</w:t>
      </w:r>
      <w:r w:rsidR="00867652" w:rsidRPr="00B16791">
        <w:rPr>
          <w:rFonts w:ascii="Arial" w:hAnsi="Arial" w:cs="Arial"/>
          <w:i/>
        </w:rPr>
        <w:t>(b)</w:t>
      </w:r>
      <w:r w:rsidR="00867652">
        <w:rPr>
          <w:rFonts w:ascii="Arial" w:hAnsi="Arial" w:cs="Arial"/>
        </w:rPr>
        <w:t>, the registrar of this court reckoned that the notice of appeal had to be lodged by 16 February 2021. The registrar consequently advised the appellant that it had to apply for the condonation of the late lodgement of the notice of appeal. The appellant took the stance</w:t>
      </w:r>
      <w:r w:rsidR="00827D85">
        <w:rPr>
          <w:rFonts w:ascii="Arial" w:hAnsi="Arial" w:cs="Arial"/>
        </w:rPr>
        <w:t xml:space="preserve"> that the notice of appeal had been lodged timeously in terms of the provisions </w:t>
      </w:r>
      <w:r w:rsidR="00D006DE">
        <w:rPr>
          <w:rFonts w:ascii="Arial" w:hAnsi="Arial" w:cs="Arial"/>
        </w:rPr>
        <w:t>of the Tax Administration Act 28</w:t>
      </w:r>
      <w:r w:rsidR="00827D85">
        <w:rPr>
          <w:rFonts w:ascii="Arial" w:hAnsi="Arial" w:cs="Arial"/>
        </w:rPr>
        <w:t xml:space="preserve"> of 2011. It nevertheless lodged</w:t>
      </w:r>
      <w:r w:rsidR="00D006DE">
        <w:rPr>
          <w:rFonts w:ascii="Arial" w:hAnsi="Arial" w:cs="Arial"/>
        </w:rPr>
        <w:t xml:space="preserve"> an application for condonation</w:t>
      </w:r>
      <w:r w:rsidR="00827D85">
        <w:rPr>
          <w:rFonts w:ascii="Arial" w:hAnsi="Arial" w:cs="Arial"/>
        </w:rPr>
        <w:t xml:space="preserve"> conditional upon a finding that the notice of appeal had indeed been lodged out of time. </w:t>
      </w:r>
    </w:p>
    <w:p w14:paraId="550D09AF" w14:textId="77777777" w:rsidR="00827D85" w:rsidRDefault="00827D85" w:rsidP="003C53A7">
      <w:pPr>
        <w:tabs>
          <w:tab w:val="left" w:pos="284"/>
        </w:tabs>
        <w:spacing w:line="360" w:lineRule="auto"/>
        <w:jc w:val="both"/>
        <w:rPr>
          <w:rFonts w:ascii="Arial" w:hAnsi="Arial" w:cs="Arial"/>
        </w:rPr>
      </w:pPr>
    </w:p>
    <w:p w14:paraId="64BC5843" w14:textId="16477B32" w:rsidR="00827D85" w:rsidRDefault="00827D85" w:rsidP="003C53A7">
      <w:pPr>
        <w:tabs>
          <w:tab w:val="left" w:pos="284"/>
        </w:tabs>
        <w:spacing w:line="360" w:lineRule="auto"/>
        <w:jc w:val="both"/>
        <w:rPr>
          <w:rFonts w:ascii="Arial" w:hAnsi="Arial" w:cs="Arial"/>
        </w:rPr>
      </w:pPr>
      <w:r>
        <w:rPr>
          <w:rFonts w:ascii="Arial" w:hAnsi="Arial" w:cs="Arial"/>
        </w:rPr>
        <w:t>[4]</w:t>
      </w:r>
      <w:r>
        <w:rPr>
          <w:rFonts w:ascii="Arial" w:hAnsi="Arial" w:cs="Arial"/>
        </w:rPr>
        <w:tab/>
      </w:r>
      <w:r>
        <w:rPr>
          <w:rFonts w:ascii="Arial" w:hAnsi="Arial" w:cs="Arial"/>
        </w:rPr>
        <w:tab/>
        <w:t>The relevant provisions of the Tax Administration Act are the following. Section 134(1) essentially provides that a party who intends to ap</w:t>
      </w:r>
      <w:r w:rsidR="0002771A">
        <w:rPr>
          <w:rFonts w:ascii="Arial" w:hAnsi="Arial" w:cs="Arial"/>
        </w:rPr>
        <w:t>peal against a decision of the tax c</w:t>
      </w:r>
      <w:r>
        <w:rPr>
          <w:rFonts w:ascii="Arial" w:hAnsi="Arial" w:cs="Arial"/>
        </w:rPr>
        <w:t>ourt must, within 21 business days after the date</w:t>
      </w:r>
      <w:r w:rsidR="00142314">
        <w:rPr>
          <w:rFonts w:ascii="Arial" w:hAnsi="Arial" w:cs="Arial"/>
        </w:rPr>
        <w:t xml:space="preserve"> of the registrar’s notif</w:t>
      </w:r>
      <w:r w:rsidR="0002771A">
        <w:rPr>
          <w:rFonts w:ascii="Arial" w:hAnsi="Arial" w:cs="Arial"/>
        </w:rPr>
        <w:t>ication of the decision of the tax c</w:t>
      </w:r>
      <w:r w:rsidR="00142314">
        <w:rPr>
          <w:rFonts w:ascii="Arial" w:hAnsi="Arial" w:cs="Arial"/>
        </w:rPr>
        <w:t xml:space="preserve">ourt, give a notice of intention to appeal. In terms of s 134(2) the notice of intention to appeal must state, inter alia, in which court the appellant wishes the appeal to be heard. </w:t>
      </w:r>
      <w:r w:rsidR="00C31798">
        <w:rPr>
          <w:rFonts w:ascii="Arial" w:hAnsi="Arial" w:cs="Arial"/>
        </w:rPr>
        <w:t>Should the appellant wish to appeal to this court, the registrar must in terms of s 135 submit the notice of intention to appe</w:t>
      </w:r>
      <w:r w:rsidR="00D006DE">
        <w:rPr>
          <w:rFonts w:ascii="Arial" w:hAnsi="Arial" w:cs="Arial"/>
        </w:rPr>
        <w:t>al to the p</w:t>
      </w:r>
      <w:r w:rsidR="0002771A">
        <w:rPr>
          <w:rFonts w:ascii="Arial" w:hAnsi="Arial" w:cs="Arial"/>
        </w:rPr>
        <w:t>resident of the tax c</w:t>
      </w:r>
      <w:r w:rsidR="00C31798">
        <w:rPr>
          <w:rFonts w:ascii="Arial" w:hAnsi="Arial" w:cs="Arial"/>
        </w:rPr>
        <w:t>ourt, who must grant or refuse leave to appeal. Section 137(1)</w:t>
      </w:r>
      <w:r w:rsidR="00873C51" w:rsidRPr="00B16791">
        <w:rPr>
          <w:rFonts w:ascii="Arial" w:hAnsi="Arial" w:cs="Arial"/>
          <w:i/>
        </w:rPr>
        <w:t>(a)</w:t>
      </w:r>
      <w:r w:rsidR="00873C51">
        <w:rPr>
          <w:rFonts w:ascii="Arial" w:hAnsi="Arial" w:cs="Arial"/>
        </w:rPr>
        <w:t xml:space="preserve"> provides that should such leave to appeal be</w:t>
      </w:r>
      <w:r w:rsidR="00287BD0">
        <w:rPr>
          <w:rFonts w:ascii="Arial" w:hAnsi="Arial" w:cs="Arial"/>
        </w:rPr>
        <w:t xml:space="preserve"> granted, the registrar of the tax c</w:t>
      </w:r>
      <w:r w:rsidR="00873C51">
        <w:rPr>
          <w:rFonts w:ascii="Arial" w:hAnsi="Arial" w:cs="Arial"/>
        </w:rPr>
        <w:t xml:space="preserve">ourt must notify the appellant that the appeal must be noted within 21 business days of the date of that </w:t>
      </w:r>
      <w:r w:rsidR="00873C51">
        <w:rPr>
          <w:rFonts w:ascii="Arial" w:hAnsi="Arial" w:cs="Arial"/>
        </w:rPr>
        <w:lastRenderedPageBreak/>
        <w:t>notice. In terms of s 138(3) the notice of appeal must be lodged within the period referred to in s 137(1)</w:t>
      </w:r>
      <w:r w:rsidR="00873C51" w:rsidRPr="00244BEB">
        <w:rPr>
          <w:rFonts w:ascii="Arial" w:hAnsi="Arial" w:cs="Arial"/>
          <w:i/>
        </w:rPr>
        <w:t>(a)</w:t>
      </w:r>
      <w:r w:rsidR="00873C51">
        <w:rPr>
          <w:rFonts w:ascii="Arial" w:hAnsi="Arial" w:cs="Arial"/>
        </w:rPr>
        <w:t xml:space="preserve">, or within a longer period as may be allowed under the rules of the court to which the appeal is noted. </w:t>
      </w:r>
    </w:p>
    <w:p w14:paraId="5E47B0E7" w14:textId="77777777" w:rsidR="00873C51" w:rsidRDefault="00873C51" w:rsidP="003C53A7">
      <w:pPr>
        <w:tabs>
          <w:tab w:val="left" w:pos="284"/>
        </w:tabs>
        <w:spacing w:line="360" w:lineRule="auto"/>
        <w:jc w:val="both"/>
        <w:rPr>
          <w:rFonts w:ascii="Arial" w:hAnsi="Arial" w:cs="Arial"/>
        </w:rPr>
      </w:pPr>
    </w:p>
    <w:p w14:paraId="4BC3DE35" w14:textId="433D2A10" w:rsidR="00873C51" w:rsidRDefault="0002771A" w:rsidP="003C53A7">
      <w:pPr>
        <w:tabs>
          <w:tab w:val="left" w:pos="284"/>
        </w:tabs>
        <w:spacing w:line="360" w:lineRule="auto"/>
        <w:jc w:val="both"/>
        <w:rPr>
          <w:rFonts w:ascii="Arial" w:hAnsi="Arial" w:cs="Arial"/>
        </w:rPr>
      </w:pPr>
      <w:r>
        <w:rPr>
          <w:rFonts w:ascii="Arial" w:hAnsi="Arial" w:cs="Arial"/>
        </w:rPr>
        <w:t>[5]</w:t>
      </w:r>
      <w:r>
        <w:rPr>
          <w:rFonts w:ascii="Arial" w:hAnsi="Arial" w:cs="Arial"/>
        </w:rPr>
        <w:tab/>
      </w:r>
      <w:r>
        <w:rPr>
          <w:rFonts w:ascii="Arial" w:hAnsi="Arial" w:cs="Arial"/>
        </w:rPr>
        <w:tab/>
        <w:t>The registrar of the tax c</w:t>
      </w:r>
      <w:r w:rsidR="00873C51">
        <w:rPr>
          <w:rFonts w:ascii="Arial" w:hAnsi="Arial" w:cs="Arial"/>
        </w:rPr>
        <w:t>ourt gave notice in terms of s 137(1)</w:t>
      </w:r>
      <w:r w:rsidR="00873C51" w:rsidRPr="00244BEB">
        <w:rPr>
          <w:rFonts w:ascii="Arial" w:hAnsi="Arial" w:cs="Arial"/>
          <w:i/>
        </w:rPr>
        <w:t>(a)</w:t>
      </w:r>
      <w:r>
        <w:rPr>
          <w:rFonts w:ascii="Arial" w:hAnsi="Arial" w:cs="Arial"/>
        </w:rPr>
        <w:t xml:space="preserve"> of the T</w:t>
      </w:r>
      <w:r w:rsidR="00873C51">
        <w:rPr>
          <w:rFonts w:ascii="Arial" w:hAnsi="Arial" w:cs="Arial"/>
        </w:rPr>
        <w:t xml:space="preserve">ax Administration Act on 2 February 2021. The appellant lodged </w:t>
      </w:r>
      <w:r w:rsidR="005039A4">
        <w:rPr>
          <w:rFonts w:ascii="Arial" w:hAnsi="Arial" w:cs="Arial"/>
        </w:rPr>
        <w:t>the</w:t>
      </w:r>
      <w:r w:rsidR="00873C51">
        <w:rPr>
          <w:rFonts w:ascii="Arial" w:hAnsi="Arial" w:cs="Arial"/>
        </w:rPr>
        <w:t xml:space="preserve"> notice of appeal</w:t>
      </w:r>
      <w:r w:rsidR="004E08F1">
        <w:rPr>
          <w:rFonts w:ascii="Arial" w:hAnsi="Arial" w:cs="Arial"/>
        </w:rPr>
        <w:t xml:space="preserve"> within 21 business days thereafter. It follows that the application of the provisions of the Tax Administration Act and the SCA rules would produce different results as to whether the notice of appeal</w:t>
      </w:r>
      <w:r w:rsidR="00973B86">
        <w:rPr>
          <w:rFonts w:ascii="Arial" w:hAnsi="Arial" w:cs="Arial"/>
        </w:rPr>
        <w:t xml:space="preserve"> was late. The SCA rules, however, were made by the Rules Board in terms of s 6 of the Rules Board for Courts of Law Act 107 of 1985. As such, they constitute subordinate legislation. It is trite that in the event of conflict, national legislation must prevail over subordinate legislation. </w:t>
      </w:r>
      <w:r w:rsidR="008F1CE1">
        <w:rPr>
          <w:rFonts w:ascii="Arial" w:hAnsi="Arial" w:cs="Arial"/>
        </w:rPr>
        <w:t>(</w:t>
      </w:r>
      <w:r w:rsidR="00973B86">
        <w:rPr>
          <w:rFonts w:ascii="Arial" w:hAnsi="Arial" w:cs="Arial"/>
        </w:rPr>
        <w:t xml:space="preserve">See </w:t>
      </w:r>
      <w:r w:rsidR="00EE6C82">
        <w:rPr>
          <w:rFonts w:ascii="Arial" w:hAnsi="Arial" w:cs="Arial"/>
        </w:rPr>
        <w:t xml:space="preserve">25 </w:t>
      </w:r>
      <w:r w:rsidR="00EE6C82" w:rsidRPr="00EE6C82">
        <w:rPr>
          <w:rFonts w:ascii="Arial" w:hAnsi="Arial" w:cs="Arial"/>
          <w:i/>
        </w:rPr>
        <w:t>Lawsa</w:t>
      </w:r>
      <w:r w:rsidR="00973B86">
        <w:rPr>
          <w:rFonts w:ascii="Arial" w:hAnsi="Arial" w:cs="Arial"/>
        </w:rPr>
        <w:t xml:space="preserve"> 2</w:t>
      </w:r>
      <w:r w:rsidR="009C02F3">
        <w:rPr>
          <w:rFonts w:ascii="Arial" w:hAnsi="Arial" w:cs="Arial"/>
          <w:vertAlign w:val="superscript"/>
        </w:rPr>
        <w:t xml:space="preserve"> </w:t>
      </w:r>
      <w:r w:rsidR="00973B86">
        <w:rPr>
          <w:rFonts w:ascii="Arial" w:hAnsi="Arial" w:cs="Arial"/>
        </w:rPr>
        <w:t xml:space="preserve">ed </w:t>
      </w:r>
      <w:r w:rsidR="009C02F3">
        <w:rPr>
          <w:rFonts w:ascii="Arial" w:hAnsi="Arial" w:cs="Arial"/>
        </w:rPr>
        <w:t>P</w:t>
      </w:r>
      <w:r w:rsidR="008F1CE1">
        <w:rPr>
          <w:rFonts w:ascii="Arial" w:hAnsi="Arial" w:cs="Arial"/>
        </w:rPr>
        <w:t>art 1</w:t>
      </w:r>
      <w:r w:rsidR="00973B86">
        <w:rPr>
          <w:rFonts w:ascii="Arial" w:hAnsi="Arial" w:cs="Arial"/>
        </w:rPr>
        <w:t xml:space="preserve"> para 294</w:t>
      </w:r>
      <w:r w:rsidR="008F1CE1">
        <w:rPr>
          <w:rFonts w:ascii="Arial" w:hAnsi="Arial" w:cs="Arial"/>
        </w:rPr>
        <w:t>)</w:t>
      </w:r>
      <w:r w:rsidR="00973B86">
        <w:rPr>
          <w:rFonts w:ascii="Arial" w:hAnsi="Arial" w:cs="Arial"/>
        </w:rPr>
        <w:t xml:space="preserve">. Thus, the appellant’s notice of appeal was lodged timeously and condonation was not required. </w:t>
      </w:r>
    </w:p>
    <w:p w14:paraId="2768DA7F" w14:textId="77777777" w:rsidR="00973B86" w:rsidRDefault="00973B86" w:rsidP="003C53A7">
      <w:pPr>
        <w:tabs>
          <w:tab w:val="left" w:pos="284"/>
        </w:tabs>
        <w:spacing w:line="360" w:lineRule="auto"/>
        <w:jc w:val="both"/>
        <w:rPr>
          <w:rFonts w:ascii="Arial" w:hAnsi="Arial" w:cs="Arial"/>
        </w:rPr>
      </w:pPr>
    </w:p>
    <w:p w14:paraId="7C92F9D3" w14:textId="70327BA8" w:rsidR="00973B86" w:rsidRDefault="00973B86" w:rsidP="003C53A7">
      <w:pPr>
        <w:tabs>
          <w:tab w:val="left" w:pos="284"/>
        </w:tabs>
        <w:spacing w:line="360" w:lineRule="auto"/>
        <w:jc w:val="both"/>
        <w:rPr>
          <w:rFonts w:ascii="Arial" w:hAnsi="Arial" w:cs="Arial"/>
          <w:b/>
        </w:rPr>
      </w:pPr>
      <w:r>
        <w:rPr>
          <w:rFonts w:ascii="Arial" w:hAnsi="Arial" w:cs="Arial"/>
          <w:b/>
        </w:rPr>
        <w:t>VAT Act</w:t>
      </w:r>
    </w:p>
    <w:p w14:paraId="2AA3FD20" w14:textId="015FC659" w:rsidR="00973B86" w:rsidRDefault="00973B86" w:rsidP="003C53A7">
      <w:pPr>
        <w:tabs>
          <w:tab w:val="left" w:pos="284"/>
        </w:tabs>
        <w:spacing w:line="360" w:lineRule="auto"/>
        <w:jc w:val="both"/>
        <w:rPr>
          <w:rFonts w:ascii="Arial" w:hAnsi="Arial" w:cs="Arial"/>
        </w:rPr>
      </w:pPr>
      <w:r>
        <w:rPr>
          <w:rFonts w:ascii="Arial" w:hAnsi="Arial" w:cs="Arial"/>
        </w:rPr>
        <w:t>[6]</w:t>
      </w:r>
      <w:r>
        <w:rPr>
          <w:rFonts w:ascii="Arial" w:hAnsi="Arial" w:cs="Arial"/>
        </w:rPr>
        <w:tab/>
      </w:r>
      <w:r>
        <w:rPr>
          <w:rFonts w:ascii="Arial" w:hAnsi="Arial" w:cs="Arial"/>
        </w:rPr>
        <w:tab/>
        <w:t>Section 7(1)</w:t>
      </w:r>
      <w:r w:rsidRPr="00244BEB">
        <w:rPr>
          <w:rFonts w:ascii="Arial" w:hAnsi="Arial" w:cs="Arial"/>
          <w:i/>
        </w:rPr>
        <w:t>(a)</w:t>
      </w:r>
      <w:r>
        <w:rPr>
          <w:rFonts w:ascii="Arial" w:hAnsi="Arial" w:cs="Arial"/>
        </w:rPr>
        <w:t xml:space="preserve"> of the VAT </w:t>
      </w:r>
      <w:r w:rsidR="00EE6C82">
        <w:rPr>
          <w:rFonts w:ascii="Arial" w:hAnsi="Arial" w:cs="Arial"/>
        </w:rPr>
        <w:t>Act</w:t>
      </w:r>
      <w:r w:rsidR="009C02F3">
        <w:rPr>
          <w:rFonts w:ascii="Arial" w:hAnsi="Arial" w:cs="Arial"/>
        </w:rPr>
        <w:t xml:space="preserve"> at the relevant time provided: </w:t>
      </w:r>
    </w:p>
    <w:p w14:paraId="3EF99033" w14:textId="1FE3C849" w:rsidR="000A7FDB" w:rsidRPr="000A7FDB" w:rsidRDefault="000A7FDB" w:rsidP="003C53A7">
      <w:pPr>
        <w:tabs>
          <w:tab w:val="left" w:pos="284"/>
        </w:tabs>
        <w:spacing w:line="360" w:lineRule="auto"/>
        <w:jc w:val="both"/>
        <w:rPr>
          <w:rFonts w:ascii="Arial" w:hAnsi="Arial" w:cs="Arial"/>
          <w:sz w:val="22"/>
          <w:szCs w:val="22"/>
        </w:rPr>
      </w:pPr>
      <w:r>
        <w:rPr>
          <w:rFonts w:ascii="Arial" w:hAnsi="Arial" w:cs="Arial"/>
          <w:sz w:val="22"/>
          <w:szCs w:val="22"/>
        </w:rPr>
        <w:t>‘Subject to the exemptions, exceptions, deductions and adjustments provided for in this Act, there shall be levied and paid for the benefit of the National Revenue Fund a tax, to be known as the value-added</w:t>
      </w:r>
      <w:r w:rsidR="00CA4693">
        <w:rPr>
          <w:rFonts w:ascii="Arial" w:hAnsi="Arial" w:cs="Arial"/>
          <w:sz w:val="22"/>
          <w:szCs w:val="22"/>
        </w:rPr>
        <w:t xml:space="preserve"> tax-</w:t>
      </w:r>
      <w:r>
        <w:rPr>
          <w:rFonts w:ascii="Arial" w:hAnsi="Arial" w:cs="Arial"/>
          <w:sz w:val="22"/>
          <w:szCs w:val="22"/>
        </w:rPr>
        <w:t xml:space="preserve"> </w:t>
      </w:r>
    </w:p>
    <w:p w14:paraId="739A5CCC" w14:textId="00874D7F" w:rsidR="006B648C" w:rsidRDefault="00CA4693" w:rsidP="003C53A7">
      <w:pPr>
        <w:tabs>
          <w:tab w:val="left" w:pos="284"/>
        </w:tabs>
        <w:spacing w:line="360" w:lineRule="auto"/>
        <w:jc w:val="both"/>
        <w:rPr>
          <w:rFonts w:ascii="Arial" w:hAnsi="Arial" w:cs="Arial"/>
          <w:sz w:val="22"/>
          <w:szCs w:val="22"/>
        </w:rPr>
      </w:pPr>
      <w:r>
        <w:rPr>
          <w:rFonts w:ascii="Arial" w:hAnsi="Arial" w:cs="Arial"/>
          <w:i/>
          <w:sz w:val="22"/>
          <w:szCs w:val="22"/>
        </w:rPr>
        <w:tab/>
      </w:r>
      <w:r w:rsidR="00640B59" w:rsidRPr="00CA4693">
        <w:rPr>
          <w:rFonts w:ascii="Arial" w:hAnsi="Arial" w:cs="Arial"/>
          <w:i/>
          <w:sz w:val="22"/>
          <w:szCs w:val="22"/>
        </w:rPr>
        <w:t>(a)</w:t>
      </w:r>
      <w:r w:rsidR="00640B59">
        <w:rPr>
          <w:rFonts w:ascii="Arial" w:hAnsi="Arial" w:cs="Arial"/>
          <w:sz w:val="22"/>
          <w:szCs w:val="22"/>
        </w:rPr>
        <w:tab/>
      </w:r>
      <w:r w:rsidR="00035D9C">
        <w:rPr>
          <w:rFonts w:ascii="Arial" w:hAnsi="Arial" w:cs="Arial"/>
          <w:sz w:val="22"/>
          <w:szCs w:val="22"/>
        </w:rPr>
        <w:tab/>
      </w:r>
      <w:r w:rsidR="00640B59">
        <w:rPr>
          <w:rFonts w:ascii="Arial" w:hAnsi="Arial" w:cs="Arial"/>
          <w:sz w:val="22"/>
          <w:szCs w:val="22"/>
        </w:rPr>
        <w:t xml:space="preserve">on the supply by any vendor of goods or services supplied by him on or after the commencement date in the course or furtherance of any enterprise carried on by him; </w:t>
      </w:r>
    </w:p>
    <w:p w14:paraId="4DEDE7EE" w14:textId="61B4C4B8" w:rsidR="00640B59" w:rsidRDefault="00CA4693" w:rsidP="003C53A7">
      <w:pPr>
        <w:tabs>
          <w:tab w:val="left" w:pos="284"/>
        </w:tabs>
        <w:spacing w:line="360" w:lineRule="auto"/>
        <w:jc w:val="both"/>
        <w:rPr>
          <w:rFonts w:ascii="Arial" w:hAnsi="Arial" w:cs="Arial"/>
          <w:sz w:val="22"/>
          <w:szCs w:val="22"/>
        </w:rPr>
      </w:pPr>
      <w:r>
        <w:rPr>
          <w:rFonts w:ascii="Arial" w:hAnsi="Arial" w:cs="Arial"/>
          <w:i/>
          <w:sz w:val="22"/>
          <w:szCs w:val="22"/>
        </w:rPr>
        <w:tab/>
      </w:r>
      <w:r w:rsidR="00640B59" w:rsidRPr="00CA4693">
        <w:rPr>
          <w:rFonts w:ascii="Arial" w:hAnsi="Arial" w:cs="Arial"/>
          <w:i/>
          <w:sz w:val="22"/>
          <w:szCs w:val="22"/>
        </w:rPr>
        <w:t>(b)</w:t>
      </w:r>
      <w:r w:rsidR="00640B59">
        <w:rPr>
          <w:rFonts w:ascii="Arial" w:hAnsi="Arial" w:cs="Arial"/>
          <w:sz w:val="22"/>
          <w:szCs w:val="22"/>
        </w:rPr>
        <w:tab/>
      </w:r>
      <w:r w:rsidR="00640B59">
        <w:rPr>
          <w:rFonts w:ascii="Arial" w:hAnsi="Arial" w:cs="Arial"/>
          <w:sz w:val="22"/>
          <w:szCs w:val="22"/>
        </w:rPr>
        <w:tab/>
        <w:t>. . .</w:t>
      </w:r>
    </w:p>
    <w:p w14:paraId="3F8D9DE5" w14:textId="4995C61D" w:rsidR="00640B59" w:rsidRDefault="00AE4325" w:rsidP="003C53A7">
      <w:pPr>
        <w:tabs>
          <w:tab w:val="left" w:pos="284"/>
        </w:tabs>
        <w:spacing w:line="360" w:lineRule="auto"/>
        <w:jc w:val="both"/>
        <w:rPr>
          <w:rFonts w:ascii="Arial" w:hAnsi="Arial" w:cs="Arial"/>
          <w:sz w:val="22"/>
          <w:szCs w:val="22"/>
        </w:rPr>
      </w:pPr>
      <w:r>
        <w:rPr>
          <w:rFonts w:ascii="Arial" w:hAnsi="Arial" w:cs="Arial"/>
          <w:sz w:val="22"/>
          <w:szCs w:val="22"/>
        </w:rPr>
        <w:t>c</w:t>
      </w:r>
      <w:r w:rsidR="00640B59">
        <w:rPr>
          <w:rFonts w:ascii="Arial" w:hAnsi="Arial" w:cs="Arial"/>
          <w:sz w:val="22"/>
          <w:szCs w:val="22"/>
        </w:rPr>
        <w:t>alculated at the rate of 14 per cent on the value of the supply concerned. . .’</w:t>
      </w:r>
    </w:p>
    <w:p w14:paraId="725CD084" w14:textId="77777777" w:rsidR="00640B59" w:rsidRDefault="00640B59" w:rsidP="003C53A7">
      <w:pPr>
        <w:tabs>
          <w:tab w:val="left" w:pos="284"/>
        </w:tabs>
        <w:spacing w:line="360" w:lineRule="auto"/>
        <w:jc w:val="both"/>
        <w:rPr>
          <w:rFonts w:ascii="Arial" w:hAnsi="Arial" w:cs="Arial"/>
          <w:sz w:val="22"/>
          <w:szCs w:val="22"/>
        </w:rPr>
      </w:pPr>
    </w:p>
    <w:p w14:paraId="6DB8578E" w14:textId="3C495E85" w:rsidR="00640B59" w:rsidRDefault="00640B59" w:rsidP="003C53A7">
      <w:pPr>
        <w:tabs>
          <w:tab w:val="left" w:pos="284"/>
        </w:tabs>
        <w:spacing w:line="360" w:lineRule="auto"/>
        <w:jc w:val="both"/>
        <w:rPr>
          <w:rFonts w:ascii="Arial" w:hAnsi="Arial" w:cs="Arial"/>
        </w:rPr>
      </w:pPr>
      <w:r>
        <w:rPr>
          <w:rFonts w:ascii="Arial" w:hAnsi="Arial" w:cs="Arial"/>
        </w:rPr>
        <w:t>[7]</w:t>
      </w:r>
      <w:r>
        <w:rPr>
          <w:rFonts w:ascii="Arial" w:hAnsi="Arial" w:cs="Arial"/>
        </w:rPr>
        <w:tab/>
      </w:r>
      <w:r>
        <w:rPr>
          <w:rFonts w:ascii="Arial" w:hAnsi="Arial" w:cs="Arial"/>
        </w:rPr>
        <w:tab/>
        <w:t>The VAT Act defines ‘supply’ and ‘services’ in wide terms. The definition of ‘supply’ includes ‘</w:t>
      </w:r>
      <w:r w:rsidR="00AE4325">
        <w:rPr>
          <w:rFonts w:ascii="Arial" w:hAnsi="Arial" w:cs="Arial"/>
        </w:rPr>
        <w:t>performance in terms of a sal</w:t>
      </w:r>
      <w:r w:rsidR="00FC33F5">
        <w:rPr>
          <w:rFonts w:ascii="Arial" w:hAnsi="Arial" w:cs="Arial"/>
        </w:rPr>
        <w:t>e, rental agreement, instalment</w:t>
      </w:r>
      <w:r w:rsidR="00AE4325">
        <w:rPr>
          <w:rFonts w:ascii="Arial" w:hAnsi="Arial" w:cs="Arial"/>
        </w:rPr>
        <w:t xml:space="preserve"> credit agreement and all other forms of supply, whether voluntary, compulsory or by operation of law, irrespective of where the supply is effected’. According to the main part of the definition of ‘services’ it means ‘anything done or to be done’. Section 10 deals with the value of the supply of goods or services. In essence</w:t>
      </w:r>
      <w:r w:rsidR="00FE2D53">
        <w:rPr>
          <w:rFonts w:ascii="Arial" w:hAnsi="Arial" w:cs="Arial"/>
        </w:rPr>
        <w:t>,</w:t>
      </w:r>
      <w:r w:rsidR="00AE4325">
        <w:rPr>
          <w:rFonts w:ascii="Arial" w:hAnsi="Arial" w:cs="Arial"/>
        </w:rPr>
        <w:t xml:space="preserve"> that is </w:t>
      </w:r>
      <w:r w:rsidR="005039A4">
        <w:rPr>
          <w:rFonts w:ascii="Arial" w:hAnsi="Arial" w:cs="Arial"/>
        </w:rPr>
        <w:t>the</w:t>
      </w:r>
      <w:r w:rsidR="00AE4325">
        <w:rPr>
          <w:rFonts w:ascii="Arial" w:hAnsi="Arial" w:cs="Arial"/>
        </w:rPr>
        <w:t xml:space="preserve"> consideration for the </w:t>
      </w:r>
      <w:r w:rsidR="00AE4325">
        <w:rPr>
          <w:rFonts w:ascii="Arial" w:hAnsi="Arial" w:cs="Arial"/>
        </w:rPr>
        <w:lastRenderedPageBreak/>
        <w:t xml:space="preserve">supply, the definition of which, in turn, includes ‘any payment made or to be made . . . whether in money or otherwise’. </w:t>
      </w:r>
    </w:p>
    <w:p w14:paraId="0B70E41B" w14:textId="77777777" w:rsidR="00AE4325" w:rsidRDefault="00AE4325" w:rsidP="003C53A7">
      <w:pPr>
        <w:tabs>
          <w:tab w:val="left" w:pos="284"/>
        </w:tabs>
        <w:spacing w:line="360" w:lineRule="auto"/>
        <w:jc w:val="both"/>
        <w:rPr>
          <w:rFonts w:ascii="Arial" w:hAnsi="Arial" w:cs="Arial"/>
        </w:rPr>
      </w:pPr>
    </w:p>
    <w:p w14:paraId="04EB98FC" w14:textId="72A9060E" w:rsidR="00AE4325" w:rsidRDefault="00AE4325" w:rsidP="003C53A7">
      <w:pPr>
        <w:tabs>
          <w:tab w:val="left" w:pos="284"/>
          <w:tab w:val="left" w:pos="851"/>
        </w:tabs>
        <w:spacing w:line="360" w:lineRule="auto"/>
        <w:jc w:val="both"/>
        <w:rPr>
          <w:rFonts w:ascii="Arial" w:hAnsi="Arial" w:cs="Arial"/>
        </w:rPr>
      </w:pPr>
      <w:r>
        <w:rPr>
          <w:rFonts w:ascii="Arial" w:hAnsi="Arial" w:cs="Arial"/>
        </w:rPr>
        <w:t>[8]</w:t>
      </w:r>
      <w:r>
        <w:rPr>
          <w:rFonts w:ascii="Arial" w:hAnsi="Arial" w:cs="Arial"/>
        </w:rPr>
        <w:tab/>
      </w:r>
      <w:r>
        <w:rPr>
          <w:rFonts w:ascii="Arial" w:hAnsi="Arial" w:cs="Arial"/>
        </w:rPr>
        <w:tab/>
        <w:t>Section 11</w:t>
      </w:r>
      <w:r w:rsidR="005F0EFC">
        <w:rPr>
          <w:rFonts w:ascii="Arial" w:hAnsi="Arial" w:cs="Arial"/>
        </w:rPr>
        <w:t xml:space="preserve"> provides for zero-rating as one of the exceptions referred to in s 7. </w:t>
      </w:r>
      <w:r w:rsidR="00FC33F5">
        <w:rPr>
          <w:rFonts w:ascii="Arial" w:hAnsi="Arial" w:cs="Arial"/>
        </w:rPr>
        <w:t>Subsections</w:t>
      </w:r>
      <w:r w:rsidR="005F0EFC">
        <w:rPr>
          <w:rFonts w:ascii="Arial" w:hAnsi="Arial" w:cs="Arial"/>
        </w:rPr>
        <w:t xml:space="preserve"> </w:t>
      </w:r>
      <w:r w:rsidR="005F0EFC" w:rsidRPr="002632FB">
        <w:rPr>
          <w:rFonts w:ascii="Arial" w:hAnsi="Arial" w:cs="Arial"/>
        </w:rPr>
        <w:t>11(2)</w:t>
      </w:r>
      <w:r w:rsidR="005F0EFC" w:rsidRPr="002632FB">
        <w:rPr>
          <w:rFonts w:ascii="Arial" w:hAnsi="Arial" w:cs="Arial"/>
          <w:i/>
        </w:rPr>
        <w:t>(a)</w:t>
      </w:r>
      <w:r w:rsidR="00244BEB">
        <w:rPr>
          <w:rFonts w:ascii="Arial" w:hAnsi="Arial" w:cs="Arial"/>
        </w:rPr>
        <w:t xml:space="preserve"> and </w:t>
      </w:r>
      <w:r w:rsidR="00244BEB">
        <w:rPr>
          <w:rFonts w:ascii="Arial" w:hAnsi="Arial" w:cs="Arial"/>
          <w:i/>
        </w:rPr>
        <w:t xml:space="preserve">(d) </w:t>
      </w:r>
      <w:r w:rsidR="00244BEB">
        <w:rPr>
          <w:rFonts w:ascii="Arial" w:hAnsi="Arial" w:cs="Arial"/>
        </w:rPr>
        <w:t xml:space="preserve">are material to this matter. </w:t>
      </w:r>
      <w:r w:rsidR="00FC33F5">
        <w:rPr>
          <w:rFonts w:ascii="Arial" w:hAnsi="Arial" w:cs="Arial"/>
        </w:rPr>
        <w:t>T</w:t>
      </w:r>
      <w:r w:rsidR="00244BEB">
        <w:rPr>
          <w:rFonts w:ascii="Arial" w:hAnsi="Arial" w:cs="Arial"/>
        </w:rPr>
        <w:t xml:space="preserve">hey read as follows: </w:t>
      </w:r>
    </w:p>
    <w:p w14:paraId="47F811A7" w14:textId="1894A7FC" w:rsidR="00CA4693" w:rsidRDefault="00CA4693" w:rsidP="003C53A7">
      <w:pPr>
        <w:tabs>
          <w:tab w:val="left" w:pos="284"/>
        </w:tabs>
        <w:spacing w:line="360" w:lineRule="auto"/>
        <w:jc w:val="both"/>
        <w:rPr>
          <w:rFonts w:ascii="Arial" w:hAnsi="Arial" w:cs="Arial"/>
          <w:sz w:val="22"/>
          <w:szCs w:val="22"/>
        </w:rPr>
      </w:pPr>
      <w:r>
        <w:rPr>
          <w:rFonts w:ascii="Arial" w:hAnsi="Arial" w:cs="Arial"/>
          <w:sz w:val="22"/>
          <w:szCs w:val="22"/>
        </w:rPr>
        <w:t>‘Where, but for this section, a supply of services, other than services contemplated in section 11(2)</w:t>
      </w:r>
      <w:r>
        <w:rPr>
          <w:rFonts w:ascii="Arial" w:hAnsi="Arial" w:cs="Arial"/>
          <w:i/>
          <w:sz w:val="22"/>
          <w:szCs w:val="22"/>
        </w:rPr>
        <w:t>(k)</w:t>
      </w:r>
      <w:r>
        <w:rPr>
          <w:rFonts w:ascii="Arial" w:hAnsi="Arial" w:cs="Arial"/>
          <w:sz w:val="22"/>
          <w:szCs w:val="22"/>
        </w:rPr>
        <w:t xml:space="preserve"> that are electronic services, would be charged with tax at the rate referred to in section 7(1), such supply of services shall, subject to compliance with subsection (3) of this section, be charged with tax at the rate of zero per cent where-</w:t>
      </w:r>
    </w:p>
    <w:p w14:paraId="571BF885" w14:textId="62087EE3" w:rsidR="00CA4693" w:rsidRPr="00D24151" w:rsidRDefault="00CA4693" w:rsidP="003C53A7">
      <w:pPr>
        <w:pStyle w:val="ListParagraph"/>
        <w:numPr>
          <w:ilvl w:val="0"/>
          <w:numId w:val="12"/>
        </w:numPr>
        <w:tabs>
          <w:tab w:val="left" w:pos="284"/>
        </w:tabs>
        <w:spacing w:line="360" w:lineRule="auto"/>
        <w:jc w:val="both"/>
        <w:rPr>
          <w:rFonts w:ascii="Arial" w:hAnsi="Arial" w:cs="Arial"/>
          <w:i/>
          <w:sz w:val="22"/>
          <w:szCs w:val="22"/>
        </w:rPr>
      </w:pPr>
      <w:r>
        <w:rPr>
          <w:rFonts w:ascii="Arial" w:hAnsi="Arial" w:cs="Arial"/>
          <w:sz w:val="22"/>
          <w:szCs w:val="22"/>
        </w:rPr>
        <w:t xml:space="preserve">the services (not being ancillary transport services) comprise the transport of passengers or goods- </w:t>
      </w:r>
    </w:p>
    <w:p w14:paraId="06B605DA" w14:textId="21D76831" w:rsidR="00D24151" w:rsidRPr="00B14D66" w:rsidRDefault="00B14D66" w:rsidP="003C53A7">
      <w:pPr>
        <w:pStyle w:val="ListParagraph"/>
        <w:numPr>
          <w:ilvl w:val="0"/>
          <w:numId w:val="13"/>
        </w:numPr>
        <w:tabs>
          <w:tab w:val="left" w:pos="284"/>
        </w:tabs>
        <w:spacing w:line="360" w:lineRule="auto"/>
        <w:jc w:val="both"/>
        <w:rPr>
          <w:rFonts w:ascii="Arial" w:hAnsi="Arial" w:cs="Arial"/>
          <w:i/>
          <w:sz w:val="22"/>
          <w:szCs w:val="22"/>
        </w:rPr>
      </w:pPr>
      <w:r>
        <w:rPr>
          <w:rFonts w:ascii="Arial" w:hAnsi="Arial" w:cs="Arial"/>
          <w:sz w:val="22"/>
          <w:szCs w:val="22"/>
        </w:rPr>
        <w:t>from a place outside the Republic to another place outside the Republic; or</w:t>
      </w:r>
    </w:p>
    <w:p w14:paraId="550AFEA2" w14:textId="653156B1" w:rsidR="00B14D66" w:rsidRPr="00B14D66" w:rsidRDefault="00B14D66" w:rsidP="003C53A7">
      <w:pPr>
        <w:pStyle w:val="ListParagraph"/>
        <w:numPr>
          <w:ilvl w:val="0"/>
          <w:numId w:val="13"/>
        </w:numPr>
        <w:tabs>
          <w:tab w:val="left" w:pos="284"/>
        </w:tabs>
        <w:spacing w:line="360" w:lineRule="auto"/>
        <w:jc w:val="both"/>
        <w:rPr>
          <w:rFonts w:ascii="Arial" w:hAnsi="Arial" w:cs="Arial"/>
          <w:i/>
          <w:sz w:val="22"/>
          <w:szCs w:val="22"/>
        </w:rPr>
      </w:pPr>
      <w:r>
        <w:rPr>
          <w:rFonts w:ascii="Arial" w:hAnsi="Arial" w:cs="Arial"/>
          <w:sz w:val="22"/>
          <w:szCs w:val="22"/>
        </w:rPr>
        <w:t>from a place in the Republic to a place in an export country; or</w:t>
      </w:r>
    </w:p>
    <w:p w14:paraId="5711E955" w14:textId="1935E913" w:rsidR="00B14D66" w:rsidRPr="00B14D66" w:rsidRDefault="00B14D66" w:rsidP="003C53A7">
      <w:pPr>
        <w:pStyle w:val="ListParagraph"/>
        <w:numPr>
          <w:ilvl w:val="0"/>
          <w:numId w:val="13"/>
        </w:numPr>
        <w:tabs>
          <w:tab w:val="left" w:pos="284"/>
        </w:tabs>
        <w:spacing w:line="360" w:lineRule="auto"/>
        <w:jc w:val="both"/>
        <w:rPr>
          <w:rFonts w:ascii="Arial" w:hAnsi="Arial" w:cs="Arial"/>
          <w:i/>
          <w:sz w:val="22"/>
          <w:szCs w:val="22"/>
        </w:rPr>
      </w:pPr>
      <w:r>
        <w:rPr>
          <w:rFonts w:ascii="Arial" w:hAnsi="Arial" w:cs="Arial"/>
          <w:sz w:val="22"/>
          <w:szCs w:val="22"/>
        </w:rPr>
        <w:t>from a place in an export country to a place in the Republic; or . . .</w:t>
      </w:r>
    </w:p>
    <w:p w14:paraId="443B4A41" w14:textId="2F2A4057" w:rsidR="00B14D66" w:rsidRDefault="00B14D66" w:rsidP="003C53A7">
      <w:pPr>
        <w:tabs>
          <w:tab w:val="left" w:pos="284"/>
          <w:tab w:val="left" w:pos="567"/>
          <w:tab w:val="left" w:pos="709"/>
          <w:tab w:val="left" w:pos="1418"/>
        </w:tabs>
        <w:spacing w:line="360" w:lineRule="auto"/>
        <w:jc w:val="both"/>
        <w:rPr>
          <w:rFonts w:ascii="Arial" w:hAnsi="Arial" w:cs="Arial"/>
          <w:sz w:val="22"/>
          <w:szCs w:val="22"/>
        </w:rPr>
      </w:pPr>
      <w:r>
        <w:rPr>
          <w:rFonts w:ascii="Arial" w:hAnsi="Arial" w:cs="Arial"/>
          <w:i/>
          <w:sz w:val="22"/>
          <w:szCs w:val="22"/>
        </w:rPr>
        <w:tab/>
        <w:t>(d)</w:t>
      </w:r>
      <w:r>
        <w:rPr>
          <w:rFonts w:ascii="Arial" w:hAnsi="Arial" w:cs="Arial"/>
          <w:i/>
          <w:sz w:val="22"/>
          <w:szCs w:val="22"/>
        </w:rPr>
        <w:tab/>
      </w:r>
      <w:r w:rsidR="00F32A8E">
        <w:rPr>
          <w:rFonts w:ascii="Arial" w:hAnsi="Arial" w:cs="Arial"/>
          <w:i/>
          <w:sz w:val="22"/>
          <w:szCs w:val="22"/>
        </w:rPr>
        <w:tab/>
      </w:r>
      <w:r>
        <w:rPr>
          <w:rFonts w:ascii="Arial" w:hAnsi="Arial" w:cs="Arial"/>
          <w:i/>
          <w:sz w:val="22"/>
          <w:szCs w:val="22"/>
        </w:rPr>
        <w:t>(i)</w:t>
      </w:r>
      <w:r>
        <w:rPr>
          <w:rFonts w:ascii="Arial" w:hAnsi="Arial" w:cs="Arial"/>
          <w:i/>
          <w:sz w:val="22"/>
          <w:szCs w:val="22"/>
        </w:rPr>
        <w:tab/>
      </w:r>
      <w:r w:rsidR="00F32A8E">
        <w:rPr>
          <w:rFonts w:ascii="Arial" w:hAnsi="Arial" w:cs="Arial"/>
          <w:i/>
          <w:sz w:val="22"/>
          <w:szCs w:val="22"/>
        </w:rPr>
        <w:t xml:space="preserve"> </w:t>
      </w:r>
      <w:r>
        <w:rPr>
          <w:rFonts w:ascii="Arial" w:hAnsi="Arial" w:cs="Arial"/>
          <w:sz w:val="22"/>
          <w:szCs w:val="22"/>
        </w:rPr>
        <w:t>the services comprise the-</w:t>
      </w:r>
    </w:p>
    <w:p w14:paraId="533649D0" w14:textId="311D1E3D" w:rsidR="00B14D66" w:rsidRDefault="00B14D66" w:rsidP="003C53A7">
      <w:pPr>
        <w:tabs>
          <w:tab w:val="left" w:pos="284"/>
          <w:tab w:val="left" w:pos="1276"/>
          <w:tab w:val="left" w:pos="1418"/>
        </w:tabs>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F32A8E">
        <w:rPr>
          <w:rFonts w:ascii="Arial" w:hAnsi="Arial" w:cs="Arial"/>
          <w:sz w:val="22"/>
          <w:szCs w:val="22"/>
        </w:rPr>
        <w:t xml:space="preserve"> </w:t>
      </w:r>
      <w:r>
        <w:rPr>
          <w:rFonts w:ascii="Arial" w:hAnsi="Arial" w:cs="Arial"/>
          <w:i/>
          <w:sz w:val="22"/>
          <w:szCs w:val="22"/>
        </w:rPr>
        <w:t>(aa)</w:t>
      </w:r>
      <w:r>
        <w:rPr>
          <w:rFonts w:ascii="Arial" w:hAnsi="Arial" w:cs="Arial"/>
          <w:i/>
          <w:sz w:val="22"/>
          <w:szCs w:val="22"/>
        </w:rPr>
        <w:tab/>
      </w:r>
      <w:r>
        <w:rPr>
          <w:rFonts w:ascii="Arial" w:hAnsi="Arial" w:cs="Arial"/>
          <w:sz w:val="22"/>
          <w:szCs w:val="22"/>
        </w:rPr>
        <w:t xml:space="preserve">insuring; </w:t>
      </w:r>
    </w:p>
    <w:p w14:paraId="3AA0CBB0" w14:textId="2C11259A" w:rsidR="00B14D66" w:rsidRDefault="00B14D66" w:rsidP="003C53A7">
      <w:pPr>
        <w:tabs>
          <w:tab w:val="left" w:pos="284"/>
          <w:tab w:val="left" w:pos="1276"/>
          <w:tab w:val="left" w:pos="1418"/>
        </w:tabs>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F32A8E">
        <w:rPr>
          <w:rFonts w:ascii="Arial" w:hAnsi="Arial" w:cs="Arial"/>
          <w:sz w:val="22"/>
          <w:szCs w:val="22"/>
        </w:rPr>
        <w:t xml:space="preserve"> </w:t>
      </w:r>
      <w:r>
        <w:rPr>
          <w:rFonts w:ascii="Arial" w:hAnsi="Arial" w:cs="Arial"/>
          <w:i/>
          <w:sz w:val="22"/>
          <w:szCs w:val="22"/>
        </w:rPr>
        <w:t>(bb)</w:t>
      </w:r>
      <w:r>
        <w:rPr>
          <w:rFonts w:ascii="Arial" w:hAnsi="Arial" w:cs="Arial"/>
          <w:i/>
          <w:sz w:val="22"/>
          <w:szCs w:val="22"/>
        </w:rPr>
        <w:tab/>
      </w:r>
      <w:r>
        <w:rPr>
          <w:rFonts w:ascii="Arial" w:hAnsi="Arial" w:cs="Arial"/>
          <w:sz w:val="22"/>
          <w:szCs w:val="22"/>
        </w:rPr>
        <w:t>arranging of the insurance; or</w:t>
      </w:r>
    </w:p>
    <w:p w14:paraId="11A12298" w14:textId="3FE108E7" w:rsidR="00B14D66" w:rsidRDefault="00B14D66" w:rsidP="003C53A7">
      <w:pPr>
        <w:tabs>
          <w:tab w:val="left" w:pos="284"/>
          <w:tab w:val="left" w:pos="1134"/>
          <w:tab w:val="left" w:pos="1418"/>
        </w:tabs>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F32A8E">
        <w:rPr>
          <w:rFonts w:ascii="Arial" w:hAnsi="Arial" w:cs="Arial"/>
          <w:sz w:val="22"/>
          <w:szCs w:val="22"/>
        </w:rPr>
        <w:t xml:space="preserve"> </w:t>
      </w:r>
      <w:r>
        <w:rPr>
          <w:rFonts w:ascii="Arial" w:hAnsi="Arial" w:cs="Arial"/>
          <w:i/>
          <w:sz w:val="22"/>
          <w:szCs w:val="22"/>
        </w:rPr>
        <w:t>(cc)</w:t>
      </w:r>
      <w:r>
        <w:rPr>
          <w:rFonts w:ascii="Arial" w:hAnsi="Arial" w:cs="Arial"/>
          <w:i/>
          <w:sz w:val="22"/>
          <w:szCs w:val="22"/>
        </w:rPr>
        <w:tab/>
      </w:r>
      <w:r>
        <w:rPr>
          <w:rFonts w:ascii="Arial" w:hAnsi="Arial" w:cs="Arial"/>
          <w:sz w:val="22"/>
          <w:szCs w:val="22"/>
        </w:rPr>
        <w:t xml:space="preserve">arranging of the transport, </w:t>
      </w:r>
    </w:p>
    <w:p w14:paraId="4DC9D67E" w14:textId="371F50FF" w:rsidR="00F32A8E" w:rsidRDefault="00F32A8E" w:rsidP="003C53A7">
      <w:pPr>
        <w:tabs>
          <w:tab w:val="left" w:pos="284"/>
          <w:tab w:val="left" w:pos="1134"/>
          <w:tab w:val="left" w:pos="1418"/>
          <w:tab w:val="left" w:pos="1985"/>
        </w:tabs>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of passengers or goods to which any provisions of paragraph </w:t>
      </w:r>
      <w:r>
        <w:rPr>
          <w:rFonts w:ascii="Arial" w:hAnsi="Arial" w:cs="Arial"/>
          <w:i/>
          <w:sz w:val="22"/>
          <w:szCs w:val="22"/>
        </w:rPr>
        <w:t>(a)</w:t>
      </w:r>
      <w:r>
        <w:rPr>
          <w:rFonts w:ascii="Arial" w:hAnsi="Arial" w:cs="Arial"/>
          <w:sz w:val="22"/>
          <w:szCs w:val="22"/>
        </w:rPr>
        <w:t xml:space="preserve">, </w:t>
      </w:r>
      <w:r>
        <w:rPr>
          <w:rFonts w:ascii="Arial" w:hAnsi="Arial" w:cs="Arial"/>
          <w:i/>
          <w:sz w:val="22"/>
          <w:szCs w:val="22"/>
        </w:rPr>
        <w:t>(b)</w:t>
      </w:r>
      <w:r>
        <w:rPr>
          <w:rFonts w:ascii="Arial" w:hAnsi="Arial" w:cs="Arial"/>
          <w:sz w:val="22"/>
          <w:szCs w:val="22"/>
        </w:rPr>
        <w:t xml:space="preserve"> or </w:t>
      </w:r>
      <w:r>
        <w:rPr>
          <w:rFonts w:ascii="Arial" w:hAnsi="Arial" w:cs="Arial"/>
          <w:i/>
          <w:sz w:val="22"/>
          <w:szCs w:val="22"/>
        </w:rPr>
        <w:t>(c)</w:t>
      </w:r>
      <w:r>
        <w:rPr>
          <w:rFonts w:ascii="Arial" w:hAnsi="Arial" w:cs="Arial"/>
          <w:sz w:val="22"/>
          <w:szCs w:val="22"/>
        </w:rPr>
        <w:t xml:space="preserve"> apply; or . . .’</w:t>
      </w:r>
    </w:p>
    <w:p w14:paraId="7171DD27" w14:textId="2F7CE3BE" w:rsidR="008269D9" w:rsidRDefault="008269D9" w:rsidP="003C53A7">
      <w:pPr>
        <w:tabs>
          <w:tab w:val="left" w:pos="284"/>
          <w:tab w:val="left" w:pos="1134"/>
          <w:tab w:val="left" w:pos="1418"/>
          <w:tab w:val="left" w:pos="1985"/>
        </w:tabs>
        <w:spacing w:line="360" w:lineRule="auto"/>
        <w:jc w:val="both"/>
        <w:rPr>
          <w:rFonts w:ascii="Arial" w:hAnsi="Arial" w:cs="Arial"/>
        </w:rPr>
      </w:pPr>
      <w:r>
        <w:rPr>
          <w:rFonts w:ascii="Arial" w:hAnsi="Arial" w:cs="Arial"/>
        </w:rPr>
        <w:t xml:space="preserve">In short, in terms of these provisions the supply of the services of arranging of the transport of passengers for international travel is zero-rated. </w:t>
      </w:r>
    </w:p>
    <w:p w14:paraId="6539BCE6" w14:textId="77777777" w:rsidR="008269D9" w:rsidRPr="008269D9" w:rsidRDefault="008269D9" w:rsidP="003C53A7">
      <w:pPr>
        <w:tabs>
          <w:tab w:val="left" w:pos="284"/>
          <w:tab w:val="left" w:pos="1134"/>
          <w:tab w:val="left" w:pos="1418"/>
          <w:tab w:val="left" w:pos="1985"/>
        </w:tabs>
        <w:spacing w:line="360" w:lineRule="auto"/>
        <w:jc w:val="both"/>
        <w:rPr>
          <w:rFonts w:ascii="Arial" w:hAnsi="Arial" w:cs="Arial"/>
        </w:rPr>
      </w:pPr>
    </w:p>
    <w:p w14:paraId="2A602319" w14:textId="7370C77D" w:rsidR="00F921D2" w:rsidRPr="008269D9" w:rsidRDefault="008269D9" w:rsidP="003C53A7">
      <w:pPr>
        <w:tabs>
          <w:tab w:val="left" w:pos="284"/>
          <w:tab w:val="left" w:pos="1134"/>
          <w:tab w:val="left" w:pos="1418"/>
          <w:tab w:val="left" w:pos="1985"/>
        </w:tabs>
        <w:spacing w:line="360" w:lineRule="auto"/>
        <w:jc w:val="both"/>
        <w:rPr>
          <w:rFonts w:ascii="Arial" w:hAnsi="Arial" w:cs="Arial"/>
          <w:b/>
        </w:rPr>
      </w:pPr>
      <w:r w:rsidRPr="008269D9">
        <w:rPr>
          <w:rFonts w:ascii="Arial" w:hAnsi="Arial" w:cs="Arial"/>
          <w:b/>
        </w:rPr>
        <w:t>Undisputed facts</w:t>
      </w:r>
    </w:p>
    <w:p w14:paraId="312693F6" w14:textId="4134ADDE" w:rsidR="009F0F67" w:rsidRDefault="00F921D2" w:rsidP="003C53A7">
      <w:pPr>
        <w:tabs>
          <w:tab w:val="left" w:pos="284"/>
          <w:tab w:val="left" w:pos="851"/>
          <w:tab w:val="left" w:pos="1134"/>
          <w:tab w:val="left" w:pos="1418"/>
          <w:tab w:val="left" w:pos="1985"/>
        </w:tabs>
        <w:spacing w:line="360" w:lineRule="auto"/>
        <w:jc w:val="both"/>
        <w:rPr>
          <w:rFonts w:ascii="Arial" w:hAnsi="Arial" w:cs="Arial"/>
        </w:rPr>
      </w:pPr>
      <w:r>
        <w:rPr>
          <w:rFonts w:ascii="Arial" w:hAnsi="Arial" w:cs="Arial"/>
        </w:rPr>
        <w:t>[9]</w:t>
      </w:r>
      <w:r>
        <w:rPr>
          <w:rFonts w:ascii="Arial" w:hAnsi="Arial" w:cs="Arial"/>
        </w:rPr>
        <w:tab/>
      </w:r>
      <w:r w:rsidR="0017576B">
        <w:rPr>
          <w:rFonts w:ascii="Arial" w:hAnsi="Arial" w:cs="Arial"/>
        </w:rPr>
        <w:tab/>
        <w:t>The additional assessment</w:t>
      </w:r>
      <w:r w:rsidR="005039A4">
        <w:rPr>
          <w:rFonts w:ascii="Arial" w:hAnsi="Arial" w:cs="Arial"/>
        </w:rPr>
        <w:t>s</w:t>
      </w:r>
      <w:r w:rsidR="0017576B">
        <w:rPr>
          <w:rFonts w:ascii="Arial" w:hAnsi="Arial" w:cs="Arial"/>
        </w:rPr>
        <w:t xml:space="preserve"> that I have referred to, were issued pursuant to a tax audit conducted by the respondent. They related to both the standard commission and the supplementary commission that the appellant had received in respect of the period</w:t>
      </w:r>
      <w:r w:rsidR="009F0F67">
        <w:rPr>
          <w:rFonts w:ascii="Arial" w:hAnsi="Arial" w:cs="Arial"/>
        </w:rPr>
        <w:t xml:space="preserve"> in question from the three airlines mentioned below. The appellant lodged an objection to the additional assessments on the ground, </w:t>
      </w:r>
      <w:r w:rsidR="009F0F67" w:rsidRPr="008F1CE1">
        <w:rPr>
          <w:rFonts w:ascii="Arial" w:hAnsi="Arial" w:cs="Arial"/>
          <w:i/>
          <w:iCs/>
        </w:rPr>
        <w:t>inter alia</w:t>
      </w:r>
      <w:r w:rsidR="009F0F67">
        <w:rPr>
          <w:rFonts w:ascii="Arial" w:hAnsi="Arial" w:cs="Arial"/>
        </w:rPr>
        <w:t xml:space="preserve">, that </w:t>
      </w:r>
      <w:r w:rsidR="005039A4">
        <w:rPr>
          <w:rFonts w:ascii="Arial" w:hAnsi="Arial" w:cs="Arial"/>
        </w:rPr>
        <w:t>these</w:t>
      </w:r>
      <w:r w:rsidR="009F0F67">
        <w:rPr>
          <w:rFonts w:ascii="Arial" w:hAnsi="Arial" w:cs="Arial"/>
        </w:rPr>
        <w:t xml:space="preserve"> receipts had to be zero-rated under s 11(2)</w:t>
      </w:r>
      <w:r w:rsidR="009F0F67">
        <w:rPr>
          <w:rFonts w:ascii="Arial" w:hAnsi="Arial" w:cs="Arial"/>
          <w:i/>
        </w:rPr>
        <w:t xml:space="preserve">(a) </w:t>
      </w:r>
      <w:r w:rsidR="009F0F67">
        <w:rPr>
          <w:rFonts w:ascii="Arial" w:hAnsi="Arial" w:cs="Arial"/>
        </w:rPr>
        <w:t xml:space="preserve">and </w:t>
      </w:r>
      <w:r w:rsidR="009F0F67">
        <w:rPr>
          <w:rFonts w:ascii="Arial" w:hAnsi="Arial" w:cs="Arial"/>
          <w:i/>
        </w:rPr>
        <w:t>(d)</w:t>
      </w:r>
      <w:r w:rsidR="009F0F67">
        <w:rPr>
          <w:rFonts w:ascii="Arial" w:hAnsi="Arial" w:cs="Arial"/>
        </w:rPr>
        <w:t xml:space="preserve"> of the VAT Act. The respondent rejected this objection and the appellant noted an appeal under the Tax Administration Act. The hearing of the appeal was preceded by alternative dispute resolution proceedings. </w:t>
      </w:r>
      <w:r w:rsidR="009F0F67">
        <w:rPr>
          <w:rFonts w:ascii="Arial" w:hAnsi="Arial" w:cs="Arial"/>
        </w:rPr>
        <w:lastRenderedPageBreak/>
        <w:t xml:space="preserve">They resulted in a written settlement agreement between the parties in terms of which the standard commission in question would be zero-rated. In the result the appeal to the </w:t>
      </w:r>
      <w:r w:rsidR="00472E19">
        <w:rPr>
          <w:rFonts w:ascii="Arial" w:hAnsi="Arial" w:cs="Arial"/>
        </w:rPr>
        <w:t>t</w:t>
      </w:r>
      <w:r w:rsidR="009F0F67">
        <w:rPr>
          <w:rFonts w:ascii="Arial" w:hAnsi="Arial" w:cs="Arial"/>
        </w:rPr>
        <w:t xml:space="preserve">ax </w:t>
      </w:r>
      <w:r w:rsidR="00472E19">
        <w:rPr>
          <w:rFonts w:ascii="Arial" w:hAnsi="Arial" w:cs="Arial"/>
        </w:rPr>
        <w:t>c</w:t>
      </w:r>
      <w:r w:rsidR="009F0F67">
        <w:rPr>
          <w:rFonts w:ascii="Arial" w:hAnsi="Arial" w:cs="Arial"/>
        </w:rPr>
        <w:t xml:space="preserve">ourt concerned only the additional VAT assessments in respect of the supplementary commission and interest thereon. </w:t>
      </w:r>
    </w:p>
    <w:p w14:paraId="19BD4458" w14:textId="77777777" w:rsidR="009F0F67" w:rsidRDefault="009F0F67" w:rsidP="003C53A7">
      <w:pPr>
        <w:tabs>
          <w:tab w:val="left" w:pos="284"/>
          <w:tab w:val="left" w:pos="851"/>
          <w:tab w:val="left" w:pos="1134"/>
          <w:tab w:val="left" w:pos="1418"/>
          <w:tab w:val="left" w:pos="1985"/>
        </w:tabs>
        <w:spacing w:line="360" w:lineRule="auto"/>
        <w:jc w:val="both"/>
        <w:rPr>
          <w:rFonts w:ascii="Arial" w:hAnsi="Arial" w:cs="Arial"/>
        </w:rPr>
      </w:pPr>
    </w:p>
    <w:p w14:paraId="7648EE3C" w14:textId="6B617DD3" w:rsidR="00DC11A2" w:rsidRDefault="009F0F67" w:rsidP="003C53A7">
      <w:pPr>
        <w:tabs>
          <w:tab w:val="left" w:pos="284"/>
          <w:tab w:val="left" w:pos="851"/>
          <w:tab w:val="left" w:pos="1134"/>
          <w:tab w:val="left" w:pos="1418"/>
          <w:tab w:val="left" w:pos="1985"/>
        </w:tabs>
        <w:spacing w:line="360" w:lineRule="auto"/>
        <w:jc w:val="both"/>
        <w:rPr>
          <w:rFonts w:ascii="Arial" w:hAnsi="Arial" w:cs="Arial"/>
        </w:rPr>
      </w:pPr>
      <w:r>
        <w:rPr>
          <w:rFonts w:ascii="Arial" w:hAnsi="Arial" w:cs="Arial"/>
        </w:rPr>
        <w:t>[10]</w:t>
      </w:r>
      <w:r>
        <w:rPr>
          <w:rFonts w:ascii="Arial" w:hAnsi="Arial" w:cs="Arial"/>
        </w:rPr>
        <w:tab/>
        <w:t xml:space="preserve">The appellant </w:t>
      </w:r>
      <w:r w:rsidR="00F921D2">
        <w:rPr>
          <w:rFonts w:ascii="Arial" w:hAnsi="Arial" w:cs="Arial"/>
        </w:rPr>
        <w:tab/>
      </w:r>
      <w:r w:rsidR="00287BD0">
        <w:rPr>
          <w:rFonts w:ascii="Arial" w:hAnsi="Arial" w:cs="Arial"/>
        </w:rPr>
        <w:t>received payment of the supplementary commission in question in terms of three agreements (the incenti</w:t>
      </w:r>
      <w:r w:rsidR="009D160B">
        <w:rPr>
          <w:rFonts w:ascii="Arial" w:hAnsi="Arial" w:cs="Arial"/>
        </w:rPr>
        <w:t>ve agreements). They</w:t>
      </w:r>
      <w:r w:rsidR="00287BD0">
        <w:rPr>
          <w:rFonts w:ascii="Arial" w:hAnsi="Arial" w:cs="Arial"/>
        </w:rPr>
        <w:t xml:space="preserve"> were entered into with international airlines with </w:t>
      </w:r>
      <w:r w:rsidR="009D160B">
        <w:rPr>
          <w:rFonts w:ascii="Arial" w:hAnsi="Arial" w:cs="Arial"/>
        </w:rPr>
        <w:t>a</w:t>
      </w:r>
      <w:r w:rsidR="00287BD0">
        <w:rPr>
          <w:rFonts w:ascii="Arial" w:hAnsi="Arial" w:cs="Arial"/>
        </w:rPr>
        <w:t xml:space="preserve"> South African corporate presence</w:t>
      </w:r>
      <w:r w:rsidR="00DC11A2">
        <w:rPr>
          <w:rFonts w:ascii="Arial" w:hAnsi="Arial" w:cs="Arial"/>
        </w:rPr>
        <w:t xml:space="preserve">. </w:t>
      </w:r>
      <w:r w:rsidR="009D160B">
        <w:rPr>
          <w:rFonts w:ascii="Arial" w:hAnsi="Arial" w:cs="Arial"/>
        </w:rPr>
        <w:t>The incentive agreements were: a</w:t>
      </w:r>
      <w:r w:rsidR="00DC11A2">
        <w:rPr>
          <w:rFonts w:ascii="Arial" w:hAnsi="Arial" w:cs="Arial"/>
        </w:rPr>
        <w:t xml:space="preserve"> Retail International Supplementary Commission Agreement with South African Airways (SOC) Ltd (the SAA </w:t>
      </w:r>
      <w:r w:rsidR="00FB7AE9">
        <w:rPr>
          <w:rFonts w:ascii="Arial" w:hAnsi="Arial" w:cs="Arial"/>
        </w:rPr>
        <w:t>a</w:t>
      </w:r>
      <w:r w:rsidR="009D160B">
        <w:rPr>
          <w:rFonts w:ascii="Arial" w:hAnsi="Arial" w:cs="Arial"/>
        </w:rPr>
        <w:t>greement); an</w:t>
      </w:r>
      <w:r w:rsidR="00DC11A2">
        <w:rPr>
          <w:rFonts w:ascii="Arial" w:hAnsi="Arial" w:cs="Arial"/>
        </w:rPr>
        <w:t xml:space="preserve"> Incentive Agreement with Air Mauritius SA (Pty) Ltd (the Air Mauritius </w:t>
      </w:r>
      <w:r w:rsidR="00FB7AE9">
        <w:rPr>
          <w:rFonts w:ascii="Arial" w:hAnsi="Arial" w:cs="Arial"/>
        </w:rPr>
        <w:t>a</w:t>
      </w:r>
      <w:r w:rsidR="00DC11A2">
        <w:rPr>
          <w:rFonts w:ascii="Arial" w:hAnsi="Arial" w:cs="Arial"/>
        </w:rPr>
        <w:t xml:space="preserve">greement); and an Agent Incentive Agreement with Virgin Atlantic Airways Ltd (the Virgin Atlantic </w:t>
      </w:r>
      <w:r w:rsidR="00FB7AE9">
        <w:rPr>
          <w:rFonts w:ascii="Arial" w:hAnsi="Arial" w:cs="Arial"/>
        </w:rPr>
        <w:t>a</w:t>
      </w:r>
      <w:r w:rsidR="00DC11A2">
        <w:rPr>
          <w:rFonts w:ascii="Arial" w:hAnsi="Arial" w:cs="Arial"/>
        </w:rPr>
        <w:t xml:space="preserve">greement). The standard commission was payable under separate agreements with these airlines. </w:t>
      </w:r>
    </w:p>
    <w:p w14:paraId="7A86C60F" w14:textId="77777777" w:rsidR="00DC11A2" w:rsidRDefault="00DC11A2" w:rsidP="003C53A7">
      <w:pPr>
        <w:tabs>
          <w:tab w:val="left" w:pos="284"/>
          <w:tab w:val="left" w:pos="851"/>
          <w:tab w:val="left" w:pos="1134"/>
          <w:tab w:val="left" w:pos="1418"/>
          <w:tab w:val="left" w:pos="1985"/>
        </w:tabs>
        <w:spacing w:line="360" w:lineRule="auto"/>
        <w:jc w:val="both"/>
        <w:rPr>
          <w:rFonts w:ascii="Arial" w:hAnsi="Arial" w:cs="Arial"/>
        </w:rPr>
      </w:pPr>
    </w:p>
    <w:p w14:paraId="452F3E17" w14:textId="778E7C67" w:rsidR="00F921D2" w:rsidRDefault="00DC11A2" w:rsidP="003C53A7">
      <w:pPr>
        <w:tabs>
          <w:tab w:val="left" w:pos="284"/>
          <w:tab w:val="left" w:pos="851"/>
          <w:tab w:val="left" w:pos="1134"/>
          <w:tab w:val="left" w:pos="1418"/>
          <w:tab w:val="left" w:pos="1985"/>
        </w:tabs>
        <w:spacing w:line="360" w:lineRule="auto"/>
        <w:jc w:val="both"/>
        <w:rPr>
          <w:rFonts w:ascii="Arial" w:hAnsi="Arial" w:cs="Arial"/>
        </w:rPr>
      </w:pPr>
      <w:r>
        <w:rPr>
          <w:rFonts w:ascii="Arial" w:hAnsi="Arial" w:cs="Arial"/>
        </w:rPr>
        <w:t>[11]</w:t>
      </w:r>
      <w:r>
        <w:rPr>
          <w:rFonts w:ascii="Arial" w:hAnsi="Arial" w:cs="Arial"/>
        </w:rPr>
        <w:tab/>
        <w:t>The only witness</w:t>
      </w:r>
      <w:r w:rsidR="00974EAB">
        <w:rPr>
          <w:rFonts w:ascii="Arial" w:hAnsi="Arial" w:cs="Arial"/>
        </w:rPr>
        <w:t xml:space="preserve"> in the tax court was Mr Colin Mitchley. He previously served as the chief financial officer of the appellant and was called by the appellant. He explained the background to the incentive agreements in these terms: </w:t>
      </w:r>
    </w:p>
    <w:p w14:paraId="351492F5" w14:textId="3D30E4A3" w:rsidR="00974EAB" w:rsidRDefault="007938FF" w:rsidP="003C53A7">
      <w:pPr>
        <w:tabs>
          <w:tab w:val="left" w:pos="284"/>
          <w:tab w:val="left" w:pos="851"/>
          <w:tab w:val="left" w:pos="1134"/>
          <w:tab w:val="left" w:pos="1418"/>
          <w:tab w:val="left" w:pos="1985"/>
        </w:tabs>
        <w:spacing w:line="360" w:lineRule="auto"/>
        <w:jc w:val="both"/>
        <w:rPr>
          <w:rFonts w:ascii="Arial" w:hAnsi="Arial" w:cs="Arial"/>
          <w:sz w:val="22"/>
          <w:szCs w:val="22"/>
        </w:rPr>
      </w:pPr>
      <w:r>
        <w:rPr>
          <w:rFonts w:ascii="Arial" w:hAnsi="Arial" w:cs="Arial"/>
          <w:sz w:val="22"/>
          <w:szCs w:val="22"/>
        </w:rPr>
        <w:t>‘18.</w:t>
      </w:r>
      <w:r>
        <w:rPr>
          <w:rFonts w:ascii="Arial" w:hAnsi="Arial" w:cs="Arial"/>
          <w:sz w:val="22"/>
          <w:szCs w:val="22"/>
        </w:rPr>
        <w:tab/>
        <w:t xml:space="preserve">As regards the manner in which travel agents earn their income, the position has changed over time. </w:t>
      </w:r>
    </w:p>
    <w:p w14:paraId="15EB4C33" w14:textId="16C6AAFC" w:rsidR="007938FF" w:rsidRDefault="007938FF" w:rsidP="003C53A7">
      <w:pPr>
        <w:tabs>
          <w:tab w:val="left" w:pos="284"/>
          <w:tab w:val="left" w:pos="851"/>
          <w:tab w:val="left" w:pos="1134"/>
          <w:tab w:val="left" w:pos="1418"/>
          <w:tab w:val="left" w:pos="1985"/>
        </w:tabs>
        <w:spacing w:line="360" w:lineRule="auto"/>
        <w:jc w:val="both"/>
        <w:rPr>
          <w:rFonts w:ascii="Arial" w:hAnsi="Arial" w:cs="Arial"/>
          <w:sz w:val="22"/>
          <w:szCs w:val="22"/>
        </w:rPr>
      </w:pPr>
      <w:r>
        <w:rPr>
          <w:rFonts w:ascii="Arial" w:hAnsi="Arial" w:cs="Arial"/>
          <w:sz w:val="22"/>
          <w:szCs w:val="22"/>
        </w:rPr>
        <w:t>19.</w:t>
      </w:r>
      <w:r>
        <w:rPr>
          <w:rFonts w:ascii="Arial" w:hAnsi="Arial" w:cs="Arial"/>
          <w:sz w:val="22"/>
          <w:szCs w:val="22"/>
        </w:rPr>
        <w:tab/>
        <w:t xml:space="preserve">Up until about 2005, travel agents did not receive any fees or remuneration directly from customers. The entire income stream was earned by way of commissions paid by the suppliers or service providers (including airlines) with whom customers books. </w:t>
      </w:r>
    </w:p>
    <w:p w14:paraId="5E9A30B4" w14:textId="5EA60CFB" w:rsidR="007938FF" w:rsidRDefault="007938FF" w:rsidP="003C53A7">
      <w:pPr>
        <w:tabs>
          <w:tab w:val="left" w:pos="284"/>
          <w:tab w:val="left" w:pos="851"/>
          <w:tab w:val="left" w:pos="1134"/>
          <w:tab w:val="left" w:pos="1418"/>
          <w:tab w:val="left" w:pos="1985"/>
        </w:tabs>
        <w:spacing w:line="360" w:lineRule="auto"/>
        <w:jc w:val="both"/>
        <w:rPr>
          <w:rFonts w:ascii="Arial" w:hAnsi="Arial" w:cs="Arial"/>
          <w:sz w:val="22"/>
          <w:szCs w:val="22"/>
        </w:rPr>
      </w:pPr>
      <w:r>
        <w:rPr>
          <w:rFonts w:ascii="Arial" w:hAnsi="Arial" w:cs="Arial"/>
          <w:sz w:val="22"/>
          <w:szCs w:val="22"/>
        </w:rPr>
        <w:t xml:space="preserve">20. </w:t>
      </w:r>
      <w:r>
        <w:rPr>
          <w:rFonts w:ascii="Arial" w:hAnsi="Arial" w:cs="Arial"/>
          <w:sz w:val="22"/>
          <w:szCs w:val="22"/>
        </w:rPr>
        <w:tab/>
        <w:t xml:space="preserve">The industry standard in South Africa was for airlines to pay agents a commission of 7% of the value of flights arranged on their carrier. </w:t>
      </w:r>
    </w:p>
    <w:p w14:paraId="234CD07A" w14:textId="2FEDBCFE" w:rsidR="007938FF" w:rsidRDefault="007938FF" w:rsidP="003C53A7">
      <w:pPr>
        <w:tabs>
          <w:tab w:val="left" w:pos="284"/>
          <w:tab w:val="left" w:pos="851"/>
          <w:tab w:val="left" w:pos="1134"/>
          <w:tab w:val="left" w:pos="1418"/>
          <w:tab w:val="left" w:pos="1985"/>
        </w:tabs>
        <w:spacing w:line="360" w:lineRule="auto"/>
        <w:jc w:val="both"/>
        <w:rPr>
          <w:rFonts w:ascii="Arial" w:hAnsi="Arial" w:cs="Arial"/>
          <w:sz w:val="22"/>
          <w:szCs w:val="22"/>
        </w:rPr>
      </w:pPr>
      <w:r>
        <w:rPr>
          <w:rFonts w:ascii="Arial" w:hAnsi="Arial" w:cs="Arial"/>
          <w:sz w:val="22"/>
          <w:szCs w:val="22"/>
        </w:rPr>
        <w:t xml:space="preserve">21. </w:t>
      </w:r>
      <w:r>
        <w:rPr>
          <w:rFonts w:ascii="Arial" w:hAnsi="Arial" w:cs="Arial"/>
          <w:sz w:val="22"/>
          <w:szCs w:val="22"/>
        </w:rPr>
        <w:tab/>
      </w:r>
      <w:r w:rsidR="00A27657">
        <w:rPr>
          <w:rFonts w:ascii="Arial" w:hAnsi="Arial" w:cs="Arial"/>
          <w:sz w:val="22"/>
          <w:szCs w:val="22"/>
        </w:rPr>
        <w:t xml:space="preserve">By 2005 an international trend was developing to reduce the agent commission. SAA, as the dominant market player in South Africa, followed this trend and announced that it would reduce the standard commission to 1%. Other carriers followed suit. </w:t>
      </w:r>
    </w:p>
    <w:p w14:paraId="5A15C66A" w14:textId="2AA045F3" w:rsidR="00A821F1" w:rsidRDefault="00A821F1" w:rsidP="003C53A7">
      <w:pPr>
        <w:tabs>
          <w:tab w:val="left" w:pos="284"/>
          <w:tab w:val="left" w:pos="851"/>
          <w:tab w:val="left" w:pos="1134"/>
          <w:tab w:val="left" w:pos="1418"/>
          <w:tab w:val="left" w:pos="1985"/>
        </w:tabs>
        <w:spacing w:line="360" w:lineRule="auto"/>
        <w:jc w:val="both"/>
        <w:rPr>
          <w:rFonts w:ascii="Arial" w:hAnsi="Arial" w:cs="Arial"/>
          <w:sz w:val="22"/>
          <w:szCs w:val="22"/>
        </w:rPr>
      </w:pPr>
      <w:r>
        <w:rPr>
          <w:rFonts w:ascii="Arial" w:hAnsi="Arial" w:cs="Arial"/>
          <w:sz w:val="22"/>
          <w:szCs w:val="22"/>
        </w:rPr>
        <w:t xml:space="preserve">22. </w:t>
      </w:r>
      <w:r>
        <w:rPr>
          <w:rFonts w:ascii="Arial" w:hAnsi="Arial" w:cs="Arial"/>
          <w:sz w:val="22"/>
          <w:szCs w:val="22"/>
        </w:rPr>
        <w:tab/>
        <w:t xml:space="preserve">To ensure that the industry remained viable, travel agents started charging service fees directly to clients over and above the standard commissions earned. </w:t>
      </w:r>
    </w:p>
    <w:p w14:paraId="61A8368B" w14:textId="744ACA8C" w:rsidR="00A821F1" w:rsidRDefault="00A821F1" w:rsidP="003C53A7">
      <w:pPr>
        <w:tabs>
          <w:tab w:val="left" w:pos="284"/>
          <w:tab w:val="left" w:pos="851"/>
          <w:tab w:val="left" w:pos="1134"/>
          <w:tab w:val="left" w:pos="1418"/>
          <w:tab w:val="left" w:pos="1985"/>
        </w:tabs>
        <w:spacing w:line="360" w:lineRule="auto"/>
        <w:jc w:val="both"/>
        <w:rPr>
          <w:rFonts w:ascii="Arial" w:hAnsi="Arial" w:cs="Arial"/>
          <w:sz w:val="22"/>
          <w:szCs w:val="22"/>
        </w:rPr>
      </w:pPr>
      <w:r>
        <w:rPr>
          <w:rFonts w:ascii="Arial" w:hAnsi="Arial" w:cs="Arial"/>
          <w:sz w:val="22"/>
          <w:szCs w:val="22"/>
        </w:rPr>
        <w:t xml:space="preserve">23. </w:t>
      </w:r>
      <w:r>
        <w:rPr>
          <w:rFonts w:ascii="Arial" w:hAnsi="Arial" w:cs="Arial"/>
          <w:sz w:val="22"/>
          <w:szCs w:val="22"/>
        </w:rPr>
        <w:tab/>
        <w:t xml:space="preserve">At around the same time, there was an increase in volume-driven commission structures, which agents specifically negotiated on an airline-by-airline basis. Such agreements </w:t>
      </w:r>
      <w:r>
        <w:rPr>
          <w:rFonts w:ascii="Arial" w:hAnsi="Arial" w:cs="Arial"/>
          <w:sz w:val="22"/>
          <w:szCs w:val="22"/>
        </w:rPr>
        <w:lastRenderedPageBreak/>
        <w:t xml:space="preserve">were not unknown before 2005, but now they became prominent. They were based on meeting certain agreed targets of ticket sales revenue on that particular airline. </w:t>
      </w:r>
    </w:p>
    <w:p w14:paraId="3FADDCDC" w14:textId="32A6AE98" w:rsidR="00A71787" w:rsidRDefault="00A71787" w:rsidP="003C53A7">
      <w:pPr>
        <w:tabs>
          <w:tab w:val="left" w:pos="284"/>
          <w:tab w:val="left" w:pos="851"/>
          <w:tab w:val="left" w:pos="1134"/>
          <w:tab w:val="left" w:pos="1418"/>
          <w:tab w:val="left" w:pos="1985"/>
        </w:tabs>
        <w:spacing w:line="360" w:lineRule="auto"/>
        <w:jc w:val="both"/>
        <w:rPr>
          <w:rFonts w:ascii="Arial" w:hAnsi="Arial" w:cs="Arial"/>
          <w:sz w:val="22"/>
          <w:szCs w:val="22"/>
        </w:rPr>
      </w:pPr>
      <w:r>
        <w:rPr>
          <w:rFonts w:ascii="Arial" w:hAnsi="Arial" w:cs="Arial"/>
          <w:sz w:val="22"/>
          <w:szCs w:val="22"/>
        </w:rPr>
        <w:t xml:space="preserve">24. </w:t>
      </w:r>
      <w:r>
        <w:rPr>
          <w:rFonts w:ascii="Arial" w:hAnsi="Arial" w:cs="Arial"/>
          <w:sz w:val="22"/>
          <w:szCs w:val="22"/>
        </w:rPr>
        <w:tab/>
        <w:t xml:space="preserve">These types of arrangement – referred to as supplementary commission – also helped agents to make up what was lost when the percentage of standard commissions was reduced. </w:t>
      </w:r>
    </w:p>
    <w:p w14:paraId="3F84C021" w14:textId="4B795E93" w:rsidR="00A71787" w:rsidRDefault="00A71787" w:rsidP="003C53A7">
      <w:pPr>
        <w:tabs>
          <w:tab w:val="left" w:pos="284"/>
          <w:tab w:val="left" w:pos="851"/>
          <w:tab w:val="left" w:pos="1134"/>
          <w:tab w:val="left" w:pos="1418"/>
          <w:tab w:val="left" w:pos="1985"/>
        </w:tabs>
        <w:spacing w:line="360" w:lineRule="auto"/>
        <w:jc w:val="both"/>
        <w:rPr>
          <w:rFonts w:ascii="Arial" w:hAnsi="Arial" w:cs="Arial"/>
          <w:sz w:val="22"/>
          <w:szCs w:val="22"/>
        </w:rPr>
      </w:pPr>
      <w:r>
        <w:rPr>
          <w:rFonts w:ascii="Arial" w:hAnsi="Arial" w:cs="Arial"/>
          <w:sz w:val="22"/>
          <w:szCs w:val="22"/>
        </w:rPr>
        <w:t xml:space="preserve">25. </w:t>
      </w:r>
      <w:r>
        <w:rPr>
          <w:rFonts w:ascii="Arial" w:hAnsi="Arial" w:cs="Arial"/>
          <w:sz w:val="22"/>
          <w:szCs w:val="22"/>
        </w:rPr>
        <w:tab/>
        <w:t xml:space="preserve">In summary, what was an income stream comprising a 7% standard commission has been replaced by a lower standard commission, a negotiated supplementary commission based on volumes of sales, and a fee charged directly to clients.’ </w:t>
      </w:r>
    </w:p>
    <w:p w14:paraId="418B4465" w14:textId="6EB444AF" w:rsidR="007F75E2" w:rsidRDefault="007F75E2" w:rsidP="003C53A7">
      <w:pPr>
        <w:tabs>
          <w:tab w:val="left" w:pos="284"/>
          <w:tab w:val="left" w:pos="851"/>
          <w:tab w:val="left" w:pos="1134"/>
          <w:tab w:val="left" w:pos="1418"/>
          <w:tab w:val="left" w:pos="1985"/>
        </w:tabs>
        <w:spacing w:line="360" w:lineRule="auto"/>
        <w:jc w:val="both"/>
        <w:rPr>
          <w:rFonts w:ascii="Arial" w:hAnsi="Arial" w:cs="Arial"/>
        </w:rPr>
      </w:pPr>
      <w:r>
        <w:rPr>
          <w:rFonts w:ascii="Arial" w:hAnsi="Arial" w:cs="Arial"/>
        </w:rPr>
        <w:t>The witness emphasised that despite this change of the remuneration structure, the appellant</w:t>
      </w:r>
      <w:r w:rsidR="00FB7AE9">
        <w:rPr>
          <w:rFonts w:ascii="Arial" w:hAnsi="Arial" w:cs="Arial"/>
        </w:rPr>
        <w:t xml:space="preserve">’s services remained the same. </w:t>
      </w:r>
    </w:p>
    <w:p w14:paraId="08E2B9F1" w14:textId="77777777" w:rsidR="00FB7AE9" w:rsidRDefault="00FB7AE9" w:rsidP="003C53A7">
      <w:pPr>
        <w:tabs>
          <w:tab w:val="left" w:pos="284"/>
          <w:tab w:val="left" w:pos="851"/>
          <w:tab w:val="left" w:pos="1134"/>
          <w:tab w:val="left" w:pos="1418"/>
          <w:tab w:val="left" w:pos="1985"/>
        </w:tabs>
        <w:spacing w:line="360" w:lineRule="auto"/>
        <w:jc w:val="both"/>
        <w:rPr>
          <w:rFonts w:ascii="Arial" w:hAnsi="Arial" w:cs="Arial"/>
        </w:rPr>
      </w:pPr>
    </w:p>
    <w:p w14:paraId="7D03F65D" w14:textId="353F6144" w:rsidR="00FB7AE9" w:rsidRDefault="00FB7AE9" w:rsidP="003C53A7">
      <w:pPr>
        <w:tabs>
          <w:tab w:val="left" w:pos="284"/>
          <w:tab w:val="left" w:pos="851"/>
          <w:tab w:val="left" w:pos="1134"/>
          <w:tab w:val="left" w:pos="1418"/>
          <w:tab w:val="left" w:pos="1985"/>
        </w:tabs>
        <w:spacing w:line="360" w:lineRule="auto"/>
        <w:jc w:val="both"/>
        <w:rPr>
          <w:rFonts w:ascii="Arial" w:hAnsi="Arial" w:cs="Arial"/>
        </w:rPr>
      </w:pPr>
      <w:r>
        <w:rPr>
          <w:rFonts w:ascii="Arial" w:hAnsi="Arial" w:cs="Arial"/>
        </w:rPr>
        <w:t>[12]</w:t>
      </w:r>
      <w:r>
        <w:rPr>
          <w:rFonts w:ascii="Arial" w:hAnsi="Arial" w:cs="Arial"/>
        </w:rPr>
        <w:tab/>
        <w:t>The material terms of the incentive agreements were not identical. The Air Mauritius agreement and the Virgin Atlantic agreement wer</w:t>
      </w:r>
      <w:r w:rsidR="00E44B48">
        <w:rPr>
          <w:rFonts w:ascii="Arial" w:hAnsi="Arial" w:cs="Arial"/>
        </w:rPr>
        <w:t>e so-</w:t>
      </w:r>
      <w:r>
        <w:rPr>
          <w:rFonts w:ascii="Arial" w:hAnsi="Arial" w:cs="Arial"/>
        </w:rPr>
        <w:t>called ‘back to r</w:t>
      </w:r>
      <w:r w:rsidR="00333C97">
        <w:rPr>
          <w:rFonts w:ascii="Arial" w:hAnsi="Arial" w:cs="Arial"/>
        </w:rPr>
        <w:t>and</w:t>
      </w:r>
      <w:r>
        <w:rPr>
          <w:rFonts w:ascii="Arial" w:hAnsi="Arial" w:cs="Arial"/>
        </w:rPr>
        <w:t xml:space="preserve"> one’ agreements. Each provided, in essence, that once the agreed target in respect of international airline ticket sales was reached, supplementary commission would be payable to the appellant in respect of all </w:t>
      </w:r>
      <w:r w:rsidR="00333C97">
        <w:rPr>
          <w:rFonts w:ascii="Arial" w:hAnsi="Arial" w:cs="Arial"/>
        </w:rPr>
        <w:t xml:space="preserve">of </w:t>
      </w:r>
      <w:r>
        <w:rPr>
          <w:rFonts w:ascii="Arial" w:hAnsi="Arial" w:cs="Arial"/>
        </w:rPr>
        <w:t>the</w:t>
      </w:r>
      <w:r w:rsidR="00125B7C">
        <w:rPr>
          <w:rFonts w:ascii="Arial" w:hAnsi="Arial" w:cs="Arial"/>
        </w:rPr>
        <w:t>se</w:t>
      </w:r>
      <w:r>
        <w:rPr>
          <w:rFonts w:ascii="Arial" w:hAnsi="Arial" w:cs="Arial"/>
        </w:rPr>
        <w:t xml:space="preserve"> sales during the relevant period, in addition to the standard commission. The SAA agreement was not </w:t>
      </w:r>
      <w:r w:rsidR="00333C97">
        <w:rPr>
          <w:rFonts w:ascii="Arial" w:hAnsi="Arial" w:cs="Arial"/>
        </w:rPr>
        <w:t xml:space="preserve">a </w:t>
      </w:r>
      <w:r>
        <w:rPr>
          <w:rFonts w:ascii="Arial" w:hAnsi="Arial" w:cs="Arial"/>
        </w:rPr>
        <w:t>‘back to r</w:t>
      </w:r>
      <w:r w:rsidR="00333C97">
        <w:rPr>
          <w:rFonts w:ascii="Arial" w:hAnsi="Arial" w:cs="Arial"/>
        </w:rPr>
        <w:t>and</w:t>
      </w:r>
      <w:r>
        <w:rPr>
          <w:rFonts w:ascii="Arial" w:hAnsi="Arial" w:cs="Arial"/>
        </w:rPr>
        <w:t xml:space="preserve"> one’ agreement. In terms thereof, only supplementary commission would be payable in respect of sales of airline tickets after the target was reached. In other words, for airline tick</w:t>
      </w:r>
      <w:r w:rsidR="00F46A6A">
        <w:rPr>
          <w:rFonts w:ascii="Arial" w:hAnsi="Arial" w:cs="Arial"/>
        </w:rPr>
        <w:t>et</w:t>
      </w:r>
      <w:r>
        <w:rPr>
          <w:rFonts w:ascii="Arial" w:hAnsi="Arial" w:cs="Arial"/>
        </w:rPr>
        <w:t xml:space="preserve"> sales up to the target</w:t>
      </w:r>
      <w:r w:rsidR="00130C0F">
        <w:rPr>
          <w:rFonts w:ascii="Arial" w:hAnsi="Arial" w:cs="Arial"/>
        </w:rPr>
        <w:t>,</w:t>
      </w:r>
      <w:r>
        <w:rPr>
          <w:rFonts w:ascii="Arial" w:hAnsi="Arial" w:cs="Arial"/>
        </w:rPr>
        <w:t xml:space="preserve"> only the standard commission would be earned and for sales thereafter</w:t>
      </w:r>
      <w:r w:rsidR="00E904B0">
        <w:rPr>
          <w:rFonts w:ascii="Arial" w:hAnsi="Arial" w:cs="Arial"/>
        </w:rPr>
        <w:t>,</w:t>
      </w:r>
      <w:r>
        <w:rPr>
          <w:rFonts w:ascii="Arial" w:hAnsi="Arial" w:cs="Arial"/>
        </w:rPr>
        <w:t xml:space="preserve"> the appellant would only charge the supplementary commission. </w:t>
      </w:r>
    </w:p>
    <w:p w14:paraId="5724C616" w14:textId="77777777" w:rsidR="00FB7AE9" w:rsidRDefault="00FB7AE9" w:rsidP="003C53A7">
      <w:pPr>
        <w:tabs>
          <w:tab w:val="left" w:pos="284"/>
          <w:tab w:val="left" w:pos="851"/>
          <w:tab w:val="left" w:pos="1134"/>
          <w:tab w:val="left" w:pos="1418"/>
          <w:tab w:val="left" w:pos="1985"/>
        </w:tabs>
        <w:spacing w:line="360" w:lineRule="auto"/>
        <w:jc w:val="both"/>
        <w:rPr>
          <w:rFonts w:ascii="Arial" w:hAnsi="Arial" w:cs="Arial"/>
        </w:rPr>
      </w:pPr>
    </w:p>
    <w:p w14:paraId="38D02F1B" w14:textId="2C44DB80" w:rsidR="00FB7AE9" w:rsidRDefault="00FB7AE9" w:rsidP="003C53A7">
      <w:pPr>
        <w:tabs>
          <w:tab w:val="left" w:pos="284"/>
          <w:tab w:val="left" w:pos="851"/>
          <w:tab w:val="left" w:pos="1134"/>
          <w:tab w:val="left" w:pos="1418"/>
          <w:tab w:val="left" w:pos="1985"/>
        </w:tabs>
        <w:spacing w:line="360" w:lineRule="auto"/>
        <w:jc w:val="both"/>
        <w:rPr>
          <w:rFonts w:ascii="Arial" w:hAnsi="Arial" w:cs="Arial"/>
        </w:rPr>
      </w:pPr>
      <w:r>
        <w:rPr>
          <w:rFonts w:ascii="Arial" w:hAnsi="Arial" w:cs="Arial"/>
        </w:rPr>
        <w:t>[13]</w:t>
      </w:r>
      <w:r w:rsidR="004A38C5">
        <w:rPr>
          <w:rFonts w:ascii="Arial" w:hAnsi="Arial" w:cs="Arial"/>
        </w:rPr>
        <w:tab/>
        <w:t>Both the SAA agreement and the Virgin Atlantic agreement contained provisions in respect of marketing campaigns</w:t>
      </w:r>
      <w:r w:rsidR="00E44B48">
        <w:rPr>
          <w:rFonts w:ascii="Arial" w:hAnsi="Arial" w:cs="Arial"/>
        </w:rPr>
        <w:t xml:space="preserve"> to be conducted by the appellant. In terms of these provisions</w:t>
      </w:r>
      <w:r w:rsidR="00E904B0">
        <w:rPr>
          <w:rFonts w:ascii="Arial" w:hAnsi="Arial" w:cs="Arial"/>
        </w:rPr>
        <w:t>,</w:t>
      </w:r>
      <w:r w:rsidR="00E44B48">
        <w:rPr>
          <w:rFonts w:ascii="Arial" w:hAnsi="Arial" w:cs="Arial"/>
        </w:rPr>
        <w:t xml:space="preserve"> such marketing campaigns would be executed in accordance with agreed plans and budgets. The appellant accordingly charged separate fees, as well as VAT at the standard rate, for its services in respect of marketing campaigns. </w:t>
      </w:r>
    </w:p>
    <w:p w14:paraId="0EB629C2" w14:textId="77777777" w:rsidR="00E44B48" w:rsidRDefault="00E44B48" w:rsidP="003C53A7">
      <w:pPr>
        <w:tabs>
          <w:tab w:val="left" w:pos="284"/>
          <w:tab w:val="left" w:pos="851"/>
          <w:tab w:val="left" w:pos="1134"/>
          <w:tab w:val="left" w:pos="1418"/>
          <w:tab w:val="left" w:pos="1985"/>
        </w:tabs>
        <w:spacing w:line="360" w:lineRule="auto"/>
        <w:jc w:val="both"/>
        <w:rPr>
          <w:rFonts w:ascii="Arial" w:hAnsi="Arial" w:cs="Arial"/>
        </w:rPr>
      </w:pPr>
    </w:p>
    <w:p w14:paraId="7D6CA58E" w14:textId="38A3D332" w:rsidR="00E44B48" w:rsidRDefault="00E44B48" w:rsidP="003C53A7">
      <w:pPr>
        <w:tabs>
          <w:tab w:val="left" w:pos="284"/>
          <w:tab w:val="left" w:pos="851"/>
          <w:tab w:val="left" w:pos="1134"/>
          <w:tab w:val="left" w:pos="1418"/>
          <w:tab w:val="left" w:pos="1985"/>
        </w:tabs>
        <w:spacing w:line="360" w:lineRule="auto"/>
        <w:jc w:val="both"/>
        <w:rPr>
          <w:rFonts w:ascii="Arial" w:hAnsi="Arial" w:cs="Arial"/>
        </w:rPr>
      </w:pPr>
      <w:r>
        <w:rPr>
          <w:rFonts w:ascii="Arial" w:hAnsi="Arial" w:cs="Arial"/>
        </w:rPr>
        <w:t>[14]</w:t>
      </w:r>
      <w:r>
        <w:rPr>
          <w:rFonts w:ascii="Arial" w:hAnsi="Arial" w:cs="Arial"/>
        </w:rPr>
        <w:tab/>
        <w:t>In the pleadings in the tax court the respondent’s case was that the appellant had received supplementary commission as incentives for promoting the sales of international airline tickets above agreed targets, the payment of which was conditional upon the appellant achieving the predetermined sales targets. The cross-examination</w:t>
      </w:r>
      <w:r w:rsidR="00584925">
        <w:rPr>
          <w:rFonts w:ascii="Arial" w:hAnsi="Arial" w:cs="Arial"/>
        </w:rPr>
        <w:t xml:space="preserve"> </w:t>
      </w:r>
      <w:r w:rsidR="00584925">
        <w:rPr>
          <w:rFonts w:ascii="Arial" w:hAnsi="Arial" w:cs="Arial"/>
        </w:rPr>
        <w:lastRenderedPageBreak/>
        <w:t xml:space="preserve">of Mr Mitchley focused on this contention. The tax court, however, determined the matter on a basis that the respondent had not relied upon. It held that the supplementary commission had been paid for the supply of the services of marketing and promotion of </w:t>
      </w:r>
      <w:r w:rsidR="002655CD">
        <w:rPr>
          <w:rFonts w:ascii="Arial" w:hAnsi="Arial" w:cs="Arial"/>
        </w:rPr>
        <w:t xml:space="preserve">the sales of </w:t>
      </w:r>
      <w:r w:rsidR="00584925">
        <w:rPr>
          <w:rFonts w:ascii="Arial" w:hAnsi="Arial" w:cs="Arial"/>
        </w:rPr>
        <w:t xml:space="preserve">airline tickets for international travel. </w:t>
      </w:r>
      <w:r w:rsidR="002655CD">
        <w:rPr>
          <w:rFonts w:ascii="Arial" w:hAnsi="Arial" w:cs="Arial"/>
        </w:rPr>
        <w:t>It</w:t>
      </w:r>
      <w:r w:rsidR="00584925">
        <w:rPr>
          <w:rFonts w:ascii="Arial" w:hAnsi="Arial" w:cs="Arial"/>
        </w:rPr>
        <w:t xml:space="preserve"> said that the supplementary commission was payable because of successful marketing and promotion campaigns. This approach was impermissible and wrong. As I have demonstrated, the SAA and Virgin Atlantic agreements contained separate provisions in respect of marketing and promotional services and the Air Mauritius agreement made no such provision. </w:t>
      </w:r>
    </w:p>
    <w:p w14:paraId="4E75BD2C" w14:textId="77777777" w:rsidR="00FB1F0C" w:rsidRDefault="00FB1F0C" w:rsidP="003C53A7">
      <w:pPr>
        <w:tabs>
          <w:tab w:val="left" w:pos="284"/>
          <w:tab w:val="left" w:pos="851"/>
          <w:tab w:val="left" w:pos="1134"/>
          <w:tab w:val="left" w:pos="1418"/>
          <w:tab w:val="left" w:pos="1985"/>
        </w:tabs>
        <w:spacing w:line="360" w:lineRule="auto"/>
        <w:jc w:val="both"/>
        <w:rPr>
          <w:rFonts w:ascii="Arial" w:hAnsi="Arial" w:cs="Arial"/>
        </w:rPr>
      </w:pPr>
    </w:p>
    <w:p w14:paraId="61826901" w14:textId="64F0ED35" w:rsidR="00584925" w:rsidRPr="00584925" w:rsidRDefault="00584925" w:rsidP="003C53A7">
      <w:pPr>
        <w:tabs>
          <w:tab w:val="left" w:pos="284"/>
          <w:tab w:val="left" w:pos="851"/>
          <w:tab w:val="left" w:pos="1134"/>
          <w:tab w:val="left" w:pos="1418"/>
          <w:tab w:val="left" w:pos="1985"/>
        </w:tabs>
        <w:spacing w:line="360" w:lineRule="auto"/>
        <w:jc w:val="both"/>
        <w:rPr>
          <w:rFonts w:ascii="Arial" w:hAnsi="Arial" w:cs="Arial"/>
          <w:b/>
        </w:rPr>
      </w:pPr>
      <w:r w:rsidRPr="00584925">
        <w:rPr>
          <w:rFonts w:ascii="Arial" w:hAnsi="Arial" w:cs="Arial"/>
          <w:b/>
        </w:rPr>
        <w:t>Discussion</w:t>
      </w:r>
    </w:p>
    <w:p w14:paraId="4262D778" w14:textId="26915EF9" w:rsidR="00584925" w:rsidRDefault="00584925" w:rsidP="003C53A7">
      <w:pPr>
        <w:tabs>
          <w:tab w:val="left" w:pos="284"/>
          <w:tab w:val="left" w:pos="851"/>
          <w:tab w:val="left" w:pos="1134"/>
          <w:tab w:val="left" w:pos="1418"/>
          <w:tab w:val="left" w:pos="1985"/>
        </w:tabs>
        <w:spacing w:line="360" w:lineRule="auto"/>
        <w:jc w:val="both"/>
        <w:rPr>
          <w:rFonts w:ascii="Arial" w:hAnsi="Arial" w:cs="Arial"/>
        </w:rPr>
      </w:pPr>
      <w:r>
        <w:rPr>
          <w:rFonts w:ascii="Arial" w:hAnsi="Arial" w:cs="Arial"/>
        </w:rPr>
        <w:t>[15]</w:t>
      </w:r>
      <w:r w:rsidR="00687B9D">
        <w:rPr>
          <w:rFonts w:ascii="Arial" w:hAnsi="Arial" w:cs="Arial"/>
        </w:rPr>
        <w:tab/>
        <w:t>It is convenient to commence the analysis by stating the obvious, namely that in the context of this case VAT could only be paya</w:t>
      </w:r>
      <w:r w:rsidR="00082D79">
        <w:rPr>
          <w:rFonts w:ascii="Arial" w:hAnsi="Arial" w:cs="Arial"/>
        </w:rPr>
        <w:t>ble on a supply of services as defined in the VAT Act. If there was no such supply of services, there could be no liability for VAT at all. This takes care of the case of the respondent before the tax court, as well as the variation thereof presented before us. It will be recalled that in the tax court the respondent’s case was that the supplementary commission was an incentive for promoting sales of airline tickets, the payment of which was conditional upon the appellant achieving the predetermined sales targets. In this court the respondent submitted that the incentive was earned</w:t>
      </w:r>
      <w:r w:rsidR="00C703BF">
        <w:rPr>
          <w:rFonts w:ascii="Arial" w:hAnsi="Arial" w:cs="Arial"/>
        </w:rPr>
        <w:t xml:space="preserve"> on meeting the revenue targets and not for arranging the transport of passengers.</w:t>
      </w:r>
      <w:r w:rsidR="00082D79">
        <w:rPr>
          <w:rFonts w:ascii="Arial" w:hAnsi="Arial" w:cs="Arial"/>
        </w:rPr>
        <w:t xml:space="preserve"> But these contentions did not identify a supply of services for which the incentive</w:t>
      </w:r>
      <w:r w:rsidR="00965F75">
        <w:rPr>
          <w:rFonts w:ascii="Arial" w:hAnsi="Arial" w:cs="Arial"/>
        </w:rPr>
        <w:t xml:space="preserve"> was paid. The meeting of a revenue target is not </w:t>
      </w:r>
      <w:r w:rsidR="00C703BF">
        <w:rPr>
          <w:rFonts w:ascii="Arial" w:hAnsi="Arial" w:cs="Arial"/>
        </w:rPr>
        <w:t>a</w:t>
      </w:r>
      <w:r w:rsidR="00965F75">
        <w:rPr>
          <w:rFonts w:ascii="Arial" w:hAnsi="Arial" w:cs="Arial"/>
        </w:rPr>
        <w:t xml:space="preserve"> supply of services. That payment of supplementary commission was conditional upon reaching the targets, says nothing about </w:t>
      </w:r>
      <w:r w:rsidR="00C703BF">
        <w:rPr>
          <w:rFonts w:ascii="Arial" w:hAnsi="Arial" w:cs="Arial"/>
        </w:rPr>
        <w:t>the supply of services that</w:t>
      </w:r>
      <w:r w:rsidR="00965F75">
        <w:rPr>
          <w:rFonts w:ascii="Arial" w:hAnsi="Arial" w:cs="Arial"/>
        </w:rPr>
        <w:t xml:space="preserve"> it was paid for. </w:t>
      </w:r>
    </w:p>
    <w:p w14:paraId="7786FBD1" w14:textId="77777777" w:rsidR="00965F75" w:rsidRDefault="00965F75" w:rsidP="003C53A7">
      <w:pPr>
        <w:tabs>
          <w:tab w:val="left" w:pos="284"/>
          <w:tab w:val="left" w:pos="851"/>
          <w:tab w:val="left" w:pos="1134"/>
          <w:tab w:val="left" w:pos="1418"/>
          <w:tab w:val="left" w:pos="1985"/>
        </w:tabs>
        <w:spacing w:line="360" w:lineRule="auto"/>
        <w:jc w:val="both"/>
        <w:rPr>
          <w:rFonts w:ascii="Arial" w:hAnsi="Arial" w:cs="Arial"/>
        </w:rPr>
      </w:pPr>
    </w:p>
    <w:p w14:paraId="107781CE" w14:textId="4AD355EE" w:rsidR="00965F75" w:rsidRDefault="00965F75" w:rsidP="003C53A7">
      <w:pPr>
        <w:tabs>
          <w:tab w:val="left" w:pos="284"/>
          <w:tab w:val="left" w:pos="851"/>
          <w:tab w:val="left" w:pos="1134"/>
          <w:tab w:val="left" w:pos="1418"/>
          <w:tab w:val="left" w:pos="1985"/>
        </w:tabs>
        <w:spacing w:line="360" w:lineRule="auto"/>
        <w:jc w:val="both"/>
        <w:rPr>
          <w:rFonts w:ascii="Arial" w:hAnsi="Arial" w:cs="Arial"/>
        </w:rPr>
      </w:pPr>
      <w:r>
        <w:rPr>
          <w:rFonts w:ascii="Arial" w:hAnsi="Arial" w:cs="Arial"/>
        </w:rPr>
        <w:t>[16]</w:t>
      </w:r>
      <w:r>
        <w:rPr>
          <w:rFonts w:ascii="Arial" w:hAnsi="Arial" w:cs="Arial"/>
        </w:rPr>
        <w:tab/>
        <w:t xml:space="preserve">So, what was the supply of services for which the supplementary commission was paid? The respondent correctly accepted that the services of arranging of the transport of international passengers were rendered through the sales of airline tickets. That formed the basis of the concession that the standard commission was zero-rated under s 11(2) of the VAT Act. The facts of this matter make clear that the supplementary </w:t>
      </w:r>
      <w:r>
        <w:rPr>
          <w:rFonts w:ascii="Arial" w:hAnsi="Arial" w:cs="Arial"/>
        </w:rPr>
        <w:lastRenderedPageBreak/>
        <w:t xml:space="preserve">commission was earned for exactly the same supply of services than the standard commission. </w:t>
      </w:r>
    </w:p>
    <w:p w14:paraId="7251E537" w14:textId="77777777" w:rsidR="00965F75" w:rsidRDefault="00965F75" w:rsidP="003C53A7">
      <w:pPr>
        <w:tabs>
          <w:tab w:val="left" w:pos="284"/>
          <w:tab w:val="left" w:pos="851"/>
          <w:tab w:val="left" w:pos="1134"/>
          <w:tab w:val="left" w:pos="1418"/>
          <w:tab w:val="left" w:pos="1985"/>
        </w:tabs>
        <w:spacing w:line="360" w:lineRule="auto"/>
        <w:jc w:val="both"/>
        <w:rPr>
          <w:rFonts w:ascii="Arial" w:hAnsi="Arial" w:cs="Arial"/>
        </w:rPr>
      </w:pPr>
    </w:p>
    <w:p w14:paraId="28947B7B" w14:textId="41D85C1F" w:rsidR="00965F75" w:rsidRDefault="00965F75" w:rsidP="003C53A7">
      <w:pPr>
        <w:tabs>
          <w:tab w:val="left" w:pos="284"/>
          <w:tab w:val="left" w:pos="851"/>
          <w:tab w:val="left" w:pos="1134"/>
          <w:tab w:val="left" w:pos="1418"/>
          <w:tab w:val="left" w:pos="1985"/>
        </w:tabs>
        <w:spacing w:line="360" w:lineRule="auto"/>
        <w:jc w:val="both"/>
        <w:rPr>
          <w:rFonts w:ascii="Arial" w:hAnsi="Arial" w:cs="Arial"/>
        </w:rPr>
      </w:pPr>
      <w:r>
        <w:rPr>
          <w:rFonts w:ascii="Arial" w:hAnsi="Arial" w:cs="Arial"/>
        </w:rPr>
        <w:t>[17]</w:t>
      </w:r>
      <w:r>
        <w:rPr>
          <w:rFonts w:ascii="Arial" w:hAnsi="Arial" w:cs="Arial"/>
        </w:rPr>
        <w:tab/>
        <w:t>Under the SAA agreement, the supplementary commission was the only consideration for the sales of airline tickets</w:t>
      </w:r>
      <w:r w:rsidR="005C2262">
        <w:rPr>
          <w:rFonts w:ascii="Arial" w:hAnsi="Arial" w:cs="Arial"/>
        </w:rPr>
        <w:t xml:space="preserve"> after the target had been reached. In terms of the Air Mauritius and Virgin Atlantic agreements the supplementary commission constituted additional consideration </w:t>
      </w:r>
      <w:r w:rsidR="00D331CA">
        <w:rPr>
          <w:rFonts w:ascii="Arial" w:hAnsi="Arial" w:cs="Arial"/>
        </w:rPr>
        <w:t xml:space="preserve">for the </w:t>
      </w:r>
      <w:r w:rsidR="00C703BF">
        <w:rPr>
          <w:rFonts w:ascii="Arial" w:hAnsi="Arial" w:cs="Arial"/>
        </w:rPr>
        <w:t>sales</w:t>
      </w:r>
      <w:r w:rsidR="00D331CA">
        <w:rPr>
          <w:rFonts w:ascii="Arial" w:hAnsi="Arial" w:cs="Arial"/>
        </w:rPr>
        <w:t xml:space="preserve"> of airline tickets. Once the agreed threshold was reached, each ticket sold attracted both standard and supplementary commission. </w:t>
      </w:r>
      <w:r w:rsidR="00311DA7">
        <w:rPr>
          <w:rFonts w:ascii="Arial" w:hAnsi="Arial" w:cs="Arial"/>
        </w:rPr>
        <w:t xml:space="preserve">Put differently, in </w:t>
      </w:r>
      <w:r w:rsidR="00C703BF">
        <w:rPr>
          <w:rFonts w:ascii="Arial" w:hAnsi="Arial" w:cs="Arial"/>
        </w:rPr>
        <w:t>terms</w:t>
      </w:r>
      <w:r w:rsidR="00311DA7">
        <w:rPr>
          <w:rFonts w:ascii="Arial" w:hAnsi="Arial" w:cs="Arial"/>
        </w:rPr>
        <w:t xml:space="preserve"> of these agreements the supplementary commission was paid for the sale of a particular volume of airline tickets. That the same services gave rise to more than one type of consideration could not alter</w:t>
      </w:r>
      <w:r w:rsidR="00344847">
        <w:rPr>
          <w:rFonts w:ascii="Arial" w:hAnsi="Arial" w:cs="Arial"/>
        </w:rPr>
        <w:t xml:space="preserve"> the nature of the services. It follows that the supplementary commission </w:t>
      </w:r>
      <w:r w:rsidR="00C703BF">
        <w:rPr>
          <w:rFonts w:ascii="Arial" w:hAnsi="Arial" w:cs="Arial"/>
        </w:rPr>
        <w:t>falls</w:t>
      </w:r>
      <w:r w:rsidR="00344847">
        <w:rPr>
          <w:rFonts w:ascii="Arial" w:hAnsi="Arial" w:cs="Arial"/>
        </w:rPr>
        <w:t xml:space="preserve"> to be zero-rated under s 11(2) of the VAT Act and that the appeal has to succeed. The order of the tax court should be altered to set aside the additional assessments in respect of the supplementary commission in question. </w:t>
      </w:r>
    </w:p>
    <w:p w14:paraId="2452F37F" w14:textId="77777777" w:rsidR="00C703BF" w:rsidRDefault="00C703BF" w:rsidP="003C53A7">
      <w:pPr>
        <w:tabs>
          <w:tab w:val="left" w:pos="284"/>
          <w:tab w:val="left" w:pos="851"/>
          <w:tab w:val="left" w:pos="1134"/>
          <w:tab w:val="left" w:pos="1418"/>
          <w:tab w:val="left" w:pos="1985"/>
        </w:tabs>
        <w:spacing w:line="360" w:lineRule="auto"/>
        <w:jc w:val="both"/>
        <w:rPr>
          <w:rFonts w:ascii="Arial" w:hAnsi="Arial" w:cs="Arial"/>
        </w:rPr>
      </w:pPr>
    </w:p>
    <w:p w14:paraId="3EA2AE92" w14:textId="6B3BEE40" w:rsidR="00344847" w:rsidRPr="00C703BF" w:rsidRDefault="00C703BF" w:rsidP="003C53A7">
      <w:pPr>
        <w:tabs>
          <w:tab w:val="left" w:pos="284"/>
          <w:tab w:val="left" w:pos="851"/>
          <w:tab w:val="left" w:pos="1134"/>
          <w:tab w:val="left" w:pos="1418"/>
          <w:tab w:val="left" w:pos="1985"/>
        </w:tabs>
        <w:spacing w:line="360" w:lineRule="auto"/>
        <w:jc w:val="both"/>
        <w:rPr>
          <w:rFonts w:ascii="Arial" w:hAnsi="Arial" w:cs="Arial"/>
          <w:b/>
        </w:rPr>
      </w:pPr>
      <w:r w:rsidRPr="00C703BF">
        <w:rPr>
          <w:rFonts w:ascii="Arial" w:hAnsi="Arial" w:cs="Arial"/>
          <w:b/>
        </w:rPr>
        <w:t>Costs</w:t>
      </w:r>
    </w:p>
    <w:p w14:paraId="020FF1C8" w14:textId="4862112E" w:rsidR="00344847" w:rsidRDefault="00344847" w:rsidP="003C53A7">
      <w:pPr>
        <w:tabs>
          <w:tab w:val="left" w:pos="284"/>
          <w:tab w:val="left" w:pos="851"/>
          <w:tab w:val="left" w:pos="1134"/>
          <w:tab w:val="left" w:pos="1418"/>
          <w:tab w:val="left" w:pos="1985"/>
        </w:tabs>
        <w:spacing w:line="360" w:lineRule="auto"/>
        <w:jc w:val="both"/>
        <w:rPr>
          <w:rFonts w:ascii="Arial" w:hAnsi="Arial" w:cs="Arial"/>
        </w:rPr>
      </w:pPr>
      <w:r>
        <w:rPr>
          <w:rFonts w:ascii="Arial" w:hAnsi="Arial" w:cs="Arial"/>
        </w:rPr>
        <w:t>[18]</w:t>
      </w:r>
      <w:r>
        <w:rPr>
          <w:rFonts w:ascii="Arial" w:hAnsi="Arial" w:cs="Arial"/>
        </w:rPr>
        <w:tab/>
        <w:t>Costs of the appeal should follow this result. The appellant asked to be awarded its costs in the tax court. It contended that the grounds of the additional assessments in respect of the supplementary commission were unreasonable as contemplated in s 130(1)</w:t>
      </w:r>
      <w:r>
        <w:rPr>
          <w:rFonts w:ascii="Arial" w:hAnsi="Arial" w:cs="Arial"/>
          <w:i/>
        </w:rPr>
        <w:t xml:space="preserve">(a) </w:t>
      </w:r>
      <w:r>
        <w:rPr>
          <w:rFonts w:ascii="Arial" w:hAnsi="Arial" w:cs="Arial"/>
        </w:rPr>
        <w:t>of the Tax Administration Act. The mere fact that the grounds of the additional assessments did not subsequently withstand scrutiny, could not render them unreasonable. I am not persuaded that there is a proper foundation for a finding that they were unreasonable. Consequently</w:t>
      </w:r>
      <w:r w:rsidR="00C46CFB">
        <w:rPr>
          <w:rFonts w:ascii="Arial" w:hAnsi="Arial" w:cs="Arial"/>
        </w:rPr>
        <w:t>,</w:t>
      </w:r>
      <w:r>
        <w:rPr>
          <w:rFonts w:ascii="Arial" w:hAnsi="Arial" w:cs="Arial"/>
        </w:rPr>
        <w:t xml:space="preserve"> there should be no order as to the costs in the tax court. </w:t>
      </w:r>
    </w:p>
    <w:p w14:paraId="1F097E21" w14:textId="77777777" w:rsidR="00344847" w:rsidRDefault="00344847" w:rsidP="003C53A7">
      <w:pPr>
        <w:tabs>
          <w:tab w:val="left" w:pos="284"/>
          <w:tab w:val="left" w:pos="851"/>
          <w:tab w:val="left" w:pos="1134"/>
          <w:tab w:val="left" w:pos="1418"/>
          <w:tab w:val="left" w:pos="1985"/>
        </w:tabs>
        <w:spacing w:line="360" w:lineRule="auto"/>
        <w:jc w:val="both"/>
        <w:rPr>
          <w:rFonts w:ascii="Arial" w:hAnsi="Arial" w:cs="Arial"/>
        </w:rPr>
      </w:pPr>
    </w:p>
    <w:p w14:paraId="4A387820" w14:textId="4E83CA23" w:rsidR="00344847" w:rsidRDefault="00E07C79" w:rsidP="003C53A7">
      <w:pPr>
        <w:tabs>
          <w:tab w:val="left" w:pos="284"/>
          <w:tab w:val="left" w:pos="851"/>
          <w:tab w:val="left" w:pos="1134"/>
          <w:tab w:val="left" w:pos="1418"/>
          <w:tab w:val="left" w:pos="1985"/>
        </w:tabs>
        <w:spacing w:line="360" w:lineRule="auto"/>
        <w:jc w:val="both"/>
        <w:rPr>
          <w:rFonts w:ascii="Arial" w:hAnsi="Arial" w:cs="Arial"/>
        </w:rPr>
      </w:pPr>
      <w:r>
        <w:rPr>
          <w:rFonts w:ascii="Arial" w:hAnsi="Arial" w:cs="Arial"/>
        </w:rPr>
        <w:t>[19]</w:t>
      </w:r>
      <w:r>
        <w:rPr>
          <w:rFonts w:ascii="Arial" w:hAnsi="Arial" w:cs="Arial"/>
        </w:rPr>
        <w:tab/>
        <w:t xml:space="preserve">For these reasons the following order is issued: </w:t>
      </w:r>
    </w:p>
    <w:p w14:paraId="30EE7529" w14:textId="77777777" w:rsidR="00E07C79" w:rsidRDefault="00E07C79" w:rsidP="003C53A7">
      <w:pPr>
        <w:tabs>
          <w:tab w:val="left" w:pos="284"/>
          <w:tab w:val="left" w:pos="851"/>
          <w:tab w:val="left" w:pos="1134"/>
          <w:tab w:val="left" w:pos="1418"/>
          <w:tab w:val="left" w:pos="1985"/>
        </w:tabs>
        <w:spacing w:line="360" w:lineRule="auto"/>
        <w:jc w:val="both"/>
        <w:rPr>
          <w:rFonts w:ascii="Arial" w:hAnsi="Arial" w:cs="Arial"/>
        </w:rPr>
      </w:pPr>
    </w:p>
    <w:p w14:paraId="47117492" w14:textId="3512DADF" w:rsidR="00E07C79" w:rsidRDefault="00E07C79" w:rsidP="003C53A7">
      <w:pPr>
        <w:tabs>
          <w:tab w:val="left" w:pos="284"/>
          <w:tab w:val="left" w:pos="851"/>
          <w:tab w:val="left" w:pos="1134"/>
          <w:tab w:val="left" w:pos="1418"/>
          <w:tab w:val="left" w:pos="1985"/>
        </w:tabs>
        <w:spacing w:line="360" w:lineRule="auto"/>
        <w:jc w:val="both"/>
        <w:rPr>
          <w:rFonts w:ascii="Arial" w:hAnsi="Arial" w:cs="Arial"/>
        </w:rPr>
      </w:pPr>
      <w:r>
        <w:rPr>
          <w:rFonts w:ascii="Arial" w:hAnsi="Arial" w:cs="Arial"/>
        </w:rPr>
        <w:t>1</w:t>
      </w:r>
      <w:r>
        <w:rPr>
          <w:rFonts w:ascii="Arial" w:hAnsi="Arial" w:cs="Arial"/>
        </w:rPr>
        <w:tab/>
      </w:r>
      <w:r w:rsidR="005D53C5">
        <w:rPr>
          <w:rFonts w:ascii="Arial" w:hAnsi="Arial" w:cs="Arial"/>
        </w:rPr>
        <w:tab/>
      </w:r>
      <w:r>
        <w:rPr>
          <w:rFonts w:ascii="Arial" w:hAnsi="Arial" w:cs="Arial"/>
        </w:rPr>
        <w:t xml:space="preserve">The </w:t>
      </w:r>
      <w:r w:rsidR="00376094">
        <w:rPr>
          <w:rFonts w:ascii="Arial" w:hAnsi="Arial" w:cs="Arial"/>
        </w:rPr>
        <w:t>appeal is upheld with costs.</w:t>
      </w:r>
    </w:p>
    <w:p w14:paraId="0CA750A4" w14:textId="7FB6CB01" w:rsidR="00E07C79" w:rsidRDefault="00E07C79" w:rsidP="003C53A7">
      <w:pPr>
        <w:tabs>
          <w:tab w:val="left" w:pos="284"/>
          <w:tab w:val="left" w:pos="851"/>
          <w:tab w:val="left" w:pos="1134"/>
          <w:tab w:val="left" w:pos="1418"/>
          <w:tab w:val="left" w:pos="1985"/>
        </w:tabs>
        <w:spacing w:line="360" w:lineRule="auto"/>
        <w:jc w:val="both"/>
        <w:rPr>
          <w:rFonts w:ascii="Arial" w:hAnsi="Arial" w:cs="Arial"/>
        </w:rPr>
      </w:pPr>
      <w:r>
        <w:rPr>
          <w:rFonts w:ascii="Arial" w:hAnsi="Arial" w:cs="Arial"/>
        </w:rPr>
        <w:t>2</w:t>
      </w:r>
      <w:r>
        <w:rPr>
          <w:rFonts w:ascii="Arial" w:hAnsi="Arial" w:cs="Arial"/>
        </w:rPr>
        <w:tab/>
      </w:r>
      <w:r w:rsidR="005D53C5">
        <w:rPr>
          <w:rFonts w:ascii="Arial" w:hAnsi="Arial" w:cs="Arial"/>
        </w:rPr>
        <w:tab/>
      </w:r>
      <w:r>
        <w:rPr>
          <w:rFonts w:ascii="Arial" w:hAnsi="Arial" w:cs="Arial"/>
        </w:rPr>
        <w:t xml:space="preserve">The order of the tax court is set aside and replaced with the following: </w:t>
      </w:r>
    </w:p>
    <w:p w14:paraId="62B7320C" w14:textId="02EBEBE0" w:rsidR="00E07C79" w:rsidRPr="00344847" w:rsidRDefault="00E07C79" w:rsidP="003C53A7">
      <w:pPr>
        <w:tabs>
          <w:tab w:val="left" w:pos="284"/>
          <w:tab w:val="left" w:pos="851"/>
          <w:tab w:val="left" w:pos="1134"/>
          <w:tab w:val="left" w:pos="1418"/>
          <w:tab w:val="left" w:pos="1985"/>
        </w:tabs>
        <w:spacing w:line="360" w:lineRule="auto"/>
        <w:jc w:val="both"/>
        <w:rPr>
          <w:rFonts w:ascii="Arial" w:hAnsi="Arial" w:cs="Arial"/>
        </w:rPr>
      </w:pPr>
      <w:r>
        <w:rPr>
          <w:rFonts w:ascii="Arial" w:hAnsi="Arial" w:cs="Arial"/>
        </w:rPr>
        <w:lastRenderedPageBreak/>
        <w:t>‘</w:t>
      </w:r>
      <w:r w:rsidR="005D53C5">
        <w:rPr>
          <w:rFonts w:ascii="Arial" w:hAnsi="Arial" w:cs="Arial"/>
        </w:rPr>
        <w:t>The additional VAT assessments in respect of the appellant’s February 2012 to December 2016 VAT periods, to the extent that they impose VAT at the standard rate on supplementary commission paid to the appellant, are set aside.’</w:t>
      </w:r>
    </w:p>
    <w:p w14:paraId="418BB5D0" w14:textId="77777777" w:rsidR="00974EAB" w:rsidRPr="00F921D2" w:rsidRDefault="00974EAB" w:rsidP="003C53A7">
      <w:pPr>
        <w:tabs>
          <w:tab w:val="left" w:pos="284"/>
          <w:tab w:val="left" w:pos="851"/>
          <w:tab w:val="left" w:pos="1134"/>
          <w:tab w:val="left" w:pos="1418"/>
          <w:tab w:val="left" w:pos="1985"/>
        </w:tabs>
        <w:spacing w:line="360" w:lineRule="auto"/>
        <w:jc w:val="both"/>
        <w:rPr>
          <w:rFonts w:ascii="Arial" w:hAnsi="Arial" w:cs="Arial"/>
        </w:rPr>
      </w:pPr>
    </w:p>
    <w:p w14:paraId="23AC32A1" w14:textId="77777777" w:rsidR="00472DD6" w:rsidRPr="00B14D66" w:rsidRDefault="00472DD6" w:rsidP="003C53A7">
      <w:pPr>
        <w:tabs>
          <w:tab w:val="left" w:pos="284"/>
        </w:tabs>
        <w:spacing w:line="360" w:lineRule="auto"/>
        <w:jc w:val="both"/>
        <w:rPr>
          <w:rFonts w:ascii="Arial" w:hAnsi="Arial" w:cs="Arial"/>
          <w:sz w:val="22"/>
          <w:szCs w:val="22"/>
        </w:rPr>
      </w:pPr>
    </w:p>
    <w:p w14:paraId="3ED05351" w14:textId="4FF5FFAF" w:rsidR="00073E5C" w:rsidRPr="00F152B9" w:rsidRDefault="00722A6E" w:rsidP="003C53A7">
      <w:pPr>
        <w:tabs>
          <w:tab w:val="left" w:pos="284"/>
        </w:tabs>
        <w:spacing w:line="360" w:lineRule="auto"/>
        <w:jc w:val="right"/>
        <w:rPr>
          <w:rFonts w:ascii="Arial" w:hAnsi="Arial" w:cs="Arial"/>
        </w:rPr>
      </w:pPr>
      <w:r>
        <w:rPr>
          <w:rFonts w:ascii="Arial" w:hAnsi="Arial" w:cs="Arial"/>
        </w:rPr>
        <w:t xml:space="preserve">  </w:t>
      </w:r>
    </w:p>
    <w:p w14:paraId="1ACA8325" w14:textId="77777777" w:rsidR="00D94001" w:rsidRPr="00F152B9" w:rsidRDefault="00D94001" w:rsidP="003C53A7">
      <w:pPr>
        <w:spacing w:line="360" w:lineRule="auto"/>
        <w:ind w:right="-51"/>
        <w:contextualSpacing/>
        <w:jc w:val="right"/>
        <w:rPr>
          <w:rFonts w:ascii="Arial" w:eastAsia="MS Mincho" w:hAnsi="Arial" w:cs="Arial"/>
          <w:noProof/>
          <w:lang w:eastAsia="en-ZA"/>
        </w:rPr>
      </w:pPr>
      <w:r w:rsidRPr="00F152B9">
        <w:rPr>
          <w:rFonts w:ascii="Arial" w:eastAsia="MS Mincho" w:hAnsi="Arial" w:cs="Arial"/>
          <w:noProof/>
          <w:lang w:eastAsia="en-ZA"/>
        </w:rPr>
        <w:t>_______________________</w:t>
      </w:r>
    </w:p>
    <w:p w14:paraId="6615D52A" w14:textId="77777777" w:rsidR="00D94001" w:rsidRPr="00F152B9" w:rsidRDefault="00D94001" w:rsidP="003C53A7">
      <w:pPr>
        <w:spacing w:line="360" w:lineRule="auto"/>
        <w:ind w:right="-51"/>
        <w:contextualSpacing/>
        <w:jc w:val="right"/>
        <w:rPr>
          <w:rFonts w:ascii="Arial" w:eastAsia="MS Mincho" w:hAnsi="Arial" w:cs="Arial"/>
        </w:rPr>
      </w:pPr>
      <w:r w:rsidRPr="00F152B9">
        <w:rPr>
          <w:rFonts w:ascii="Arial" w:eastAsia="MS Mincho" w:hAnsi="Arial" w:cs="Arial"/>
        </w:rPr>
        <w:t>C H G VAN DER MERWE</w:t>
      </w:r>
    </w:p>
    <w:p w14:paraId="6E9FAB55" w14:textId="77777777" w:rsidR="00D94001" w:rsidRPr="00F152B9" w:rsidRDefault="00D94001" w:rsidP="003C53A7">
      <w:pPr>
        <w:spacing w:line="360" w:lineRule="auto"/>
        <w:ind w:right="-51"/>
        <w:contextualSpacing/>
        <w:jc w:val="right"/>
        <w:rPr>
          <w:rFonts w:ascii="Arial" w:hAnsi="Arial" w:cs="Arial"/>
          <w:i/>
        </w:rPr>
      </w:pPr>
      <w:r w:rsidRPr="00F152B9">
        <w:rPr>
          <w:rFonts w:ascii="Arial" w:eastAsia="MS Mincho" w:hAnsi="Arial" w:cs="Arial"/>
        </w:rPr>
        <w:t>JUDGE OF APPEAL</w:t>
      </w:r>
    </w:p>
    <w:p w14:paraId="5C942535" w14:textId="77777777" w:rsidR="00D94001" w:rsidRPr="00F152B9" w:rsidRDefault="00D94001" w:rsidP="003C53A7">
      <w:pPr>
        <w:spacing w:line="360" w:lineRule="auto"/>
        <w:rPr>
          <w:rFonts w:ascii="Arial" w:hAnsi="Arial" w:cs="Arial"/>
        </w:rPr>
      </w:pPr>
    </w:p>
    <w:p w14:paraId="5F4DBA96" w14:textId="77777777" w:rsidR="004337D7" w:rsidRPr="00F152B9" w:rsidRDefault="004337D7" w:rsidP="003C53A7">
      <w:pPr>
        <w:spacing w:line="360" w:lineRule="auto"/>
        <w:rPr>
          <w:rFonts w:ascii="Arial" w:hAnsi="Arial" w:cs="Arial"/>
        </w:rPr>
      </w:pPr>
      <w:r w:rsidRPr="00F152B9">
        <w:rPr>
          <w:rFonts w:ascii="Arial" w:hAnsi="Arial" w:cs="Arial"/>
        </w:rPr>
        <w:br w:type="page"/>
      </w:r>
    </w:p>
    <w:p w14:paraId="63CFC473" w14:textId="67CDDABF" w:rsidR="00093030" w:rsidRPr="00F152B9" w:rsidRDefault="00093030" w:rsidP="003C53A7">
      <w:pPr>
        <w:spacing w:line="360" w:lineRule="auto"/>
        <w:rPr>
          <w:rFonts w:ascii="Arial" w:hAnsi="Arial" w:cs="Arial"/>
        </w:rPr>
      </w:pPr>
      <w:r w:rsidRPr="00F152B9">
        <w:rPr>
          <w:rFonts w:ascii="Arial" w:hAnsi="Arial" w:cs="Arial"/>
        </w:rPr>
        <w:lastRenderedPageBreak/>
        <w:t>Appearances</w:t>
      </w:r>
      <w:r w:rsidR="00A262F5" w:rsidRPr="00F152B9">
        <w:rPr>
          <w:rFonts w:ascii="Arial" w:hAnsi="Arial" w:cs="Arial"/>
        </w:rPr>
        <w:t>:</w:t>
      </w:r>
    </w:p>
    <w:p w14:paraId="34B06EC8" w14:textId="77777777" w:rsidR="003B40A2" w:rsidRPr="00F152B9" w:rsidRDefault="003B40A2" w:rsidP="003C53A7">
      <w:pPr>
        <w:spacing w:line="360" w:lineRule="auto"/>
        <w:rPr>
          <w:rFonts w:ascii="Arial" w:hAnsi="Arial" w:cs="Arial"/>
        </w:rPr>
      </w:pPr>
    </w:p>
    <w:p w14:paraId="6F96C3EC" w14:textId="7DCB7CB6" w:rsidR="003B40A2" w:rsidRPr="00F152B9" w:rsidRDefault="003B40A2" w:rsidP="003C53A7">
      <w:pPr>
        <w:spacing w:line="360" w:lineRule="auto"/>
        <w:rPr>
          <w:rFonts w:ascii="Arial" w:hAnsi="Arial" w:cs="Arial"/>
        </w:rPr>
      </w:pPr>
      <w:r w:rsidRPr="00F152B9">
        <w:rPr>
          <w:rFonts w:ascii="Arial" w:hAnsi="Arial" w:cs="Arial"/>
        </w:rPr>
        <w:t>For appellant:</w:t>
      </w:r>
      <w:r w:rsidRPr="00F152B9">
        <w:rPr>
          <w:rFonts w:ascii="Arial" w:hAnsi="Arial" w:cs="Arial"/>
        </w:rPr>
        <w:tab/>
      </w:r>
      <w:r w:rsidR="00432F90" w:rsidRPr="00F152B9">
        <w:rPr>
          <w:rFonts w:ascii="Arial" w:hAnsi="Arial" w:cs="Arial"/>
        </w:rPr>
        <w:tab/>
      </w:r>
      <w:r w:rsidR="00257896" w:rsidRPr="00F152B9">
        <w:rPr>
          <w:rFonts w:ascii="Arial" w:hAnsi="Arial" w:cs="Arial"/>
        </w:rPr>
        <w:tab/>
      </w:r>
      <w:r w:rsidR="0060348A">
        <w:rPr>
          <w:rFonts w:ascii="Arial" w:hAnsi="Arial" w:cs="Arial"/>
        </w:rPr>
        <w:t>M W Janisch SC</w:t>
      </w:r>
    </w:p>
    <w:p w14:paraId="05E729B4" w14:textId="68B9CA16" w:rsidR="003B40A2" w:rsidRPr="00F152B9" w:rsidRDefault="00432F90" w:rsidP="003C53A7">
      <w:pPr>
        <w:spacing w:line="360" w:lineRule="auto"/>
        <w:rPr>
          <w:rFonts w:ascii="Arial" w:hAnsi="Arial" w:cs="Arial"/>
          <w:bCs/>
        </w:rPr>
      </w:pPr>
      <w:r w:rsidRPr="00F152B9">
        <w:rPr>
          <w:rFonts w:ascii="Arial" w:hAnsi="Arial" w:cs="Arial"/>
          <w:bCs/>
        </w:rPr>
        <w:t>Instructed by:</w:t>
      </w:r>
      <w:r w:rsidRPr="00F152B9">
        <w:rPr>
          <w:rFonts w:ascii="Arial" w:hAnsi="Arial" w:cs="Arial"/>
          <w:bCs/>
        </w:rPr>
        <w:tab/>
      </w:r>
      <w:r w:rsidRPr="00F152B9">
        <w:rPr>
          <w:rFonts w:ascii="Arial" w:hAnsi="Arial" w:cs="Arial"/>
          <w:bCs/>
        </w:rPr>
        <w:tab/>
      </w:r>
      <w:r w:rsidR="003B40A2" w:rsidRPr="00F152B9">
        <w:rPr>
          <w:rFonts w:ascii="Arial" w:hAnsi="Arial" w:cs="Arial"/>
          <w:bCs/>
        </w:rPr>
        <w:t xml:space="preserve"> </w:t>
      </w:r>
      <w:r w:rsidR="00B84DB2" w:rsidRPr="00F152B9">
        <w:rPr>
          <w:rFonts w:ascii="Arial" w:hAnsi="Arial" w:cs="Arial"/>
          <w:bCs/>
        </w:rPr>
        <w:tab/>
      </w:r>
      <w:r w:rsidR="00795047">
        <w:rPr>
          <w:rFonts w:ascii="Arial" w:hAnsi="Arial" w:cs="Arial"/>
          <w:bCs/>
        </w:rPr>
        <w:t>Werksmans</w:t>
      </w:r>
      <w:r w:rsidR="00855DDC">
        <w:rPr>
          <w:rFonts w:ascii="Arial" w:hAnsi="Arial" w:cs="Arial"/>
          <w:bCs/>
        </w:rPr>
        <w:t xml:space="preserve"> Attorneys, </w:t>
      </w:r>
      <w:r w:rsidR="00795047">
        <w:rPr>
          <w:rFonts w:ascii="Arial" w:hAnsi="Arial" w:cs="Arial"/>
          <w:bCs/>
        </w:rPr>
        <w:t>Johannesburg</w:t>
      </w:r>
    </w:p>
    <w:p w14:paraId="10378056" w14:textId="25640D44" w:rsidR="003B40A2" w:rsidRPr="00F152B9" w:rsidRDefault="009F57D6" w:rsidP="003C53A7">
      <w:pPr>
        <w:spacing w:line="360" w:lineRule="auto"/>
        <w:rPr>
          <w:rFonts w:ascii="Arial" w:hAnsi="Arial" w:cs="Arial"/>
          <w:bCs/>
        </w:rPr>
      </w:pPr>
      <w:r w:rsidRPr="00F152B9">
        <w:rPr>
          <w:rFonts w:ascii="Arial" w:hAnsi="Arial" w:cs="Arial"/>
          <w:bCs/>
        </w:rPr>
        <w:tab/>
      </w:r>
      <w:r w:rsidR="00B625EE" w:rsidRPr="00F152B9">
        <w:rPr>
          <w:rFonts w:ascii="Arial" w:hAnsi="Arial" w:cs="Arial"/>
          <w:bCs/>
        </w:rPr>
        <w:tab/>
      </w:r>
      <w:r w:rsidR="00B625EE" w:rsidRPr="00F152B9">
        <w:rPr>
          <w:rFonts w:ascii="Arial" w:hAnsi="Arial" w:cs="Arial"/>
          <w:bCs/>
        </w:rPr>
        <w:tab/>
      </w:r>
      <w:r w:rsidR="00257896" w:rsidRPr="00F152B9">
        <w:rPr>
          <w:rFonts w:ascii="Arial" w:hAnsi="Arial" w:cs="Arial"/>
          <w:bCs/>
        </w:rPr>
        <w:tab/>
      </w:r>
      <w:r w:rsidR="00795047">
        <w:rPr>
          <w:rFonts w:ascii="Arial" w:hAnsi="Arial" w:cs="Arial"/>
          <w:bCs/>
        </w:rPr>
        <w:t>Symington &amp; De Kok</w:t>
      </w:r>
      <w:r w:rsidR="00855DDC">
        <w:rPr>
          <w:rFonts w:ascii="Arial" w:hAnsi="Arial" w:cs="Arial"/>
          <w:bCs/>
        </w:rPr>
        <w:t xml:space="preserve"> Attorneys, </w:t>
      </w:r>
      <w:r w:rsidR="003B40A2" w:rsidRPr="00F152B9">
        <w:rPr>
          <w:rFonts w:ascii="Arial" w:hAnsi="Arial" w:cs="Arial"/>
          <w:bCs/>
        </w:rPr>
        <w:t>Bloemfontein</w:t>
      </w:r>
    </w:p>
    <w:p w14:paraId="3C432195" w14:textId="77777777" w:rsidR="003B40A2" w:rsidRPr="00F152B9" w:rsidRDefault="003B40A2" w:rsidP="003C53A7">
      <w:pPr>
        <w:spacing w:line="360" w:lineRule="auto"/>
        <w:rPr>
          <w:rFonts w:ascii="Arial" w:hAnsi="Arial" w:cs="Arial"/>
          <w:bCs/>
        </w:rPr>
      </w:pPr>
      <w:r w:rsidRPr="00F152B9">
        <w:rPr>
          <w:rFonts w:ascii="Arial" w:hAnsi="Arial" w:cs="Arial"/>
          <w:bCs/>
        </w:rPr>
        <w:t xml:space="preserve"> </w:t>
      </w:r>
    </w:p>
    <w:p w14:paraId="766C2FC3" w14:textId="3942FBE2" w:rsidR="003B40A2" w:rsidRPr="00F152B9" w:rsidRDefault="003B40A2" w:rsidP="003C53A7">
      <w:pPr>
        <w:spacing w:line="360" w:lineRule="auto"/>
        <w:rPr>
          <w:rFonts w:ascii="Arial" w:hAnsi="Arial" w:cs="Arial"/>
        </w:rPr>
      </w:pPr>
      <w:r w:rsidRPr="00F152B9">
        <w:rPr>
          <w:rFonts w:ascii="Arial" w:hAnsi="Arial" w:cs="Arial"/>
        </w:rPr>
        <w:t>For</w:t>
      </w:r>
      <w:r w:rsidR="00432F90" w:rsidRPr="00F152B9">
        <w:rPr>
          <w:rFonts w:ascii="Arial" w:hAnsi="Arial" w:cs="Arial"/>
        </w:rPr>
        <w:t xml:space="preserve"> </w:t>
      </w:r>
      <w:r w:rsidRPr="00F152B9">
        <w:rPr>
          <w:rFonts w:ascii="Arial" w:hAnsi="Arial" w:cs="Arial"/>
        </w:rPr>
        <w:t>respondent:</w:t>
      </w:r>
      <w:r w:rsidRPr="00F152B9">
        <w:rPr>
          <w:rFonts w:ascii="Arial" w:hAnsi="Arial" w:cs="Arial"/>
        </w:rPr>
        <w:tab/>
      </w:r>
      <w:r w:rsidR="00B625EE" w:rsidRPr="00F152B9">
        <w:rPr>
          <w:rFonts w:ascii="Arial" w:hAnsi="Arial" w:cs="Arial"/>
        </w:rPr>
        <w:tab/>
      </w:r>
      <w:r w:rsidR="0060348A">
        <w:rPr>
          <w:rFonts w:ascii="Arial" w:hAnsi="Arial" w:cs="Arial"/>
        </w:rPr>
        <w:t>A E Bham SC with N K Nxumalo</w:t>
      </w:r>
      <w:r w:rsidR="00257896" w:rsidRPr="00F152B9">
        <w:rPr>
          <w:rFonts w:ascii="Arial" w:hAnsi="Arial" w:cs="Arial"/>
        </w:rPr>
        <w:tab/>
      </w:r>
    </w:p>
    <w:p w14:paraId="2F71357D" w14:textId="7840C9DB" w:rsidR="00F2439E" w:rsidRDefault="003B40A2" w:rsidP="003C53A7">
      <w:pPr>
        <w:spacing w:line="360" w:lineRule="auto"/>
        <w:rPr>
          <w:rFonts w:ascii="Arial" w:hAnsi="Arial" w:cs="Arial"/>
          <w:bCs/>
        </w:rPr>
      </w:pPr>
      <w:r w:rsidRPr="00F152B9">
        <w:rPr>
          <w:rFonts w:ascii="Arial" w:hAnsi="Arial" w:cs="Arial"/>
          <w:bCs/>
        </w:rPr>
        <w:t>Instructed by:</w:t>
      </w:r>
      <w:r w:rsidRPr="00F152B9">
        <w:rPr>
          <w:rFonts w:ascii="Arial" w:hAnsi="Arial" w:cs="Arial"/>
          <w:bCs/>
        </w:rPr>
        <w:tab/>
      </w:r>
      <w:r w:rsidR="00432F90" w:rsidRPr="00F152B9">
        <w:rPr>
          <w:rFonts w:ascii="Arial" w:hAnsi="Arial" w:cs="Arial"/>
          <w:bCs/>
        </w:rPr>
        <w:tab/>
      </w:r>
      <w:r w:rsidR="00B84DB2" w:rsidRPr="00F152B9">
        <w:rPr>
          <w:rFonts w:ascii="Arial" w:hAnsi="Arial" w:cs="Arial"/>
          <w:bCs/>
        </w:rPr>
        <w:tab/>
      </w:r>
      <w:r w:rsidR="00795047">
        <w:rPr>
          <w:rFonts w:ascii="Arial" w:hAnsi="Arial" w:cs="Arial"/>
          <w:bCs/>
        </w:rPr>
        <w:t>The State Attorney</w:t>
      </w:r>
      <w:r w:rsidR="00855DDC">
        <w:rPr>
          <w:rFonts w:ascii="Arial" w:hAnsi="Arial" w:cs="Arial"/>
          <w:bCs/>
        </w:rPr>
        <w:t>, Johannesburg</w:t>
      </w:r>
    </w:p>
    <w:p w14:paraId="251DDABF" w14:textId="1F48A62C" w:rsidR="003B40A2" w:rsidRPr="00F152B9" w:rsidRDefault="00855DDC" w:rsidP="003C53A7">
      <w:pPr>
        <w:spacing w:line="360" w:lineRule="auto"/>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795047">
        <w:rPr>
          <w:rFonts w:ascii="Arial" w:hAnsi="Arial" w:cs="Arial"/>
          <w:bCs/>
        </w:rPr>
        <w:t>The State Attorney</w:t>
      </w:r>
      <w:r>
        <w:rPr>
          <w:rFonts w:ascii="Arial" w:hAnsi="Arial" w:cs="Arial"/>
          <w:bCs/>
        </w:rPr>
        <w:t xml:space="preserve">, </w:t>
      </w:r>
      <w:r w:rsidR="003B40A2" w:rsidRPr="00F152B9">
        <w:rPr>
          <w:rFonts w:ascii="Arial" w:hAnsi="Arial" w:cs="Arial"/>
          <w:bCs/>
        </w:rPr>
        <w:t>Bloemfontein</w:t>
      </w:r>
    </w:p>
    <w:p w14:paraId="73AFD690" w14:textId="57EBDE9A" w:rsidR="004D6BB8" w:rsidRPr="00F152B9" w:rsidRDefault="004D6BB8" w:rsidP="003C53A7">
      <w:pPr>
        <w:spacing w:line="360" w:lineRule="auto"/>
        <w:rPr>
          <w:rFonts w:ascii="Arial" w:hAnsi="Arial" w:cs="Arial"/>
          <w:bCs/>
        </w:rPr>
      </w:pPr>
    </w:p>
    <w:sectPr w:rsidR="004D6BB8" w:rsidRPr="00F152B9" w:rsidSect="00E00E01">
      <w:headerReference w:type="even" r:id="rId9"/>
      <w:headerReference w:type="default" r:id="rId10"/>
      <w:pgSz w:w="12240" w:h="15840"/>
      <w:pgMar w:top="993" w:right="1325" w:bottom="1843" w:left="180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F240A" w16cex:dateUtc="2022-05-30T09: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42E160" w16cid:durableId="263F240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531EE" w14:textId="77777777" w:rsidR="00957CB1" w:rsidRDefault="00957CB1">
      <w:r>
        <w:separator/>
      </w:r>
    </w:p>
  </w:endnote>
  <w:endnote w:type="continuationSeparator" w:id="0">
    <w:p w14:paraId="0F2D323C" w14:textId="77777777" w:rsidR="00957CB1" w:rsidRDefault="0095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5BB76" w14:textId="77777777" w:rsidR="00957CB1" w:rsidRDefault="00957CB1">
      <w:r>
        <w:separator/>
      </w:r>
    </w:p>
  </w:footnote>
  <w:footnote w:type="continuationSeparator" w:id="0">
    <w:p w14:paraId="1B942669" w14:textId="77777777" w:rsidR="00957CB1" w:rsidRDefault="00957C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D114D" w14:textId="77777777" w:rsidR="00687B9D" w:rsidRDefault="00687B9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1D9443" w14:textId="77777777" w:rsidR="00687B9D" w:rsidRDefault="00687B9D">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6943642"/>
      <w:docPartObj>
        <w:docPartGallery w:val="Page Numbers (Top of Page)"/>
        <w:docPartUnique/>
      </w:docPartObj>
    </w:sdtPr>
    <w:sdtEndPr>
      <w:rPr>
        <w:noProof/>
      </w:rPr>
    </w:sdtEndPr>
    <w:sdtContent>
      <w:p w14:paraId="7FD50DC9" w14:textId="7BFEF29E" w:rsidR="00687B9D" w:rsidRDefault="00687B9D">
        <w:pPr>
          <w:pStyle w:val="Header"/>
          <w:jc w:val="right"/>
        </w:pPr>
        <w:r>
          <w:fldChar w:fldCharType="begin"/>
        </w:r>
        <w:r>
          <w:instrText xml:space="preserve"> PAGE   \* MERGEFORMAT </w:instrText>
        </w:r>
        <w:r>
          <w:fldChar w:fldCharType="separate"/>
        </w:r>
        <w:r w:rsidR="000A0A8A">
          <w:rPr>
            <w:noProof/>
          </w:rPr>
          <w:t>10</w:t>
        </w:r>
        <w:r>
          <w:rPr>
            <w:noProof/>
          </w:rPr>
          <w:fldChar w:fldCharType="end"/>
        </w:r>
      </w:p>
    </w:sdtContent>
  </w:sdt>
  <w:p w14:paraId="1609F8FE" w14:textId="77777777" w:rsidR="00687B9D" w:rsidRPr="00E90B15" w:rsidRDefault="00687B9D">
    <w:pPr>
      <w:pStyle w:val="Header"/>
      <w:ind w:right="360"/>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E7929"/>
    <w:multiLevelType w:val="hybridMultilevel"/>
    <w:tmpl w:val="CDACD8AE"/>
    <w:lvl w:ilvl="0" w:tplc="4A448992">
      <w:start w:val="1"/>
      <w:numFmt w:val="decimal"/>
      <w:lvlText w:val="[%1]"/>
      <w:lvlJc w:val="left"/>
      <w:pPr>
        <w:ind w:left="0" w:firstLine="0"/>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65500"/>
    <w:multiLevelType w:val="hybridMultilevel"/>
    <w:tmpl w:val="913298EC"/>
    <w:lvl w:ilvl="0" w:tplc="A77CBF7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7251F20"/>
    <w:multiLevelType w:val="hybridMultilevel"/>
    <w:tmpl w:val="92EE4100"/>
    <w:lvl w:ilvl="0" w:tplc="D8C466B4">
      <w:start w:val="1"/>
      <w:numFmt w:val="low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32C7955"/>
    <w:multiLevelType w:val="hybridMultilevel"/>
    <w:tmpl w:val="FB92D934"/>
    <w:lvl w:ilvl="0" w:tplc="B906CE3A">
      <w:start w:val="1"/>
      <w:numFmt w:val="decimal"/>
      <w:lvlText w:val="%1"/>
      <w:lvlJc w:val="left"/>
      <w:pPr>
        <w:ind w:left="501" w:hanging="360"/>
      </w:pPr>
      <w:rPr>
        <w:rFonts w:hint="default"/>
      </w:rPr>
    </w:lvl>
    <w:lvl w:ilvl="1" w:tplc="1C090019" w:tentative="1">
      <w:start w:val="1"/>
      <w:numFmt w:val="lowerLetter"/>
      <w:lvlText w:val="%2."/>
      <w:lvlJc w:val="left"/>
      <w:pPr>
        <w:ind w:left="1221" w:hanging="360"/>
      </w:pPr>
    </w:lvl>
    <w:lvl w:ilvl="2" w:tplc="1C09001B" w:tentative="1">
      <w:start w:val="1"/>
      <w:numFmt w:val="lowerRoman"/>
      <w:lvlText w:val="%3."/>
      <w:lvlJc w:val="right"/>
      <w:pPr>
        <w:ind w:left="1941" w:hanging="180"/>
      </w:pPr>
    </w:lvl>
    <w:lvl w:ilvl="3" w:tplc="1C09000F" w:tentative="1">
      <w:start w:val="1"/>
      <w:numFmt w:val="decimal"/>
      <w:lvlText w:val="%4."/>
      <w:lvlJc w:val="left"/>
      <w:pPr>
        <w:ind w:left="2661" w:hanging="360"/>
      </w:pPr>
    </w:lvl>
    <w:lvl w:ilvl="4" w:tplc="1C090019" w:tentative="1">
      <w:start w:val="1"/>
      <w:numFmt w:val="lowerLetter"/>
      <w:lvlText w:val="%5."/>
      <w:lvlJc w:val="left"/>
      <w:pPr>
        <w:ind w:left="3381" w:hanging="360"/>
      </w:pPr>
    </w:lvl>
    <w:lvl w:ilvl="5" w:tplc="1C09001B" w:tentative="1">
      <w:start w:val="1"/>
      <w:numFmt w:val="lowerRoman"/>
      <w:lvlText w:val="%6."/>
      <w:lvlJc w:val="right"/>
      <w:pPr>
        <w:ind w:left="4101" w:hanging="180"/>
      </w:pPr>
    </w:lvl>
    <w:lvl w:ilvl="6" w:tplc="1C09000F" w:tentative="1">
      <w:start w:val="1"/>
      <w:numFmt w:val="decimal"/>
      <w:lvlText w:val="%7."/>
      <w:lvlJc w:val="left"/>
      <w:pPr>
        <w:ind w:left="4821" w:hanging="360"/>
      </w:pPr>
    </w:lvl>
    <w:lvl w:ilvl="7" w:tplc="1C090019" w:tentative="1">
      <w:start w:val="1"/>
      <w:numFmt w:val="lowerLetter"/>
      <w:lvlText w:val="%8."/>
      <w:lvlJc w:val="left"/>
      <w:pPr>
        <w:ind w:left="5541" w:hanging="360"/>
      </w:pPr>
    </w:lvl>
    <w:lvl w:ilvl="8" w:tplc="1C09001B" w:tentative="1">
      <w:start w:val="1"/>
      <w:numFmt w:val="lowerRoman"/>
      <w:lvlText w:val="%9."/>
      <w:lvlJc w:val="right"/>
      <w:pPr>
        <w:ind w:left="6261" w:hanging="180"/>
      </w:pPr>
    </w:lvl>
  </w:abstractNum>
  <w:abstractNum w:abstractNumId="4" w15:restartNumberingAfterBreak="0">
    <w:nsid w:val="291412E1"/>
    <w:multiLevelType w:val="hybridMultilevel"/>
    <w:tmpl w:val="72C4262A"/>
    <w:lvl w:ilvl="0" w:tplc="18548E3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E03575B"/>
    <w:multiLevelType w:val="hybridMultilevel"/>
    <w:tmpl w:val="3B3A7E88"/>
    <w:lvl w:ilvl="0" w:tplc="BC5489F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2E8B4551"/>
    <w:multiLevelType w:val="hybridMultilevel"/>
    <w:tmpl w:val="D1D448D2"/>
    <w:lvl w:ilvl="0" w:tplc="03C043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49960C6"/>
    <w:multiLevelType w:val="hybridMultilevel"/>
    <w:tmpl w:val="B6A80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040F31"/>
    <w:multiLevelType w:val="hybridMultilevel"/>
    <w:tmpl w:val="F4760C1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8AB7330"/>
    <w:multiLevelType w:val="hybridMultilevel"/>
    <w:tmpl w:val="968ACACE"/>
    <w:lvl w:ilvl="0" w:tplc="A4F4CE1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66087BCF"/>
    <w:multiLevelType w:val="hybridMultilevel"/>
    <w:tmpl w:val="0EA088AC"/>
    <w:lvl w:ilvl="0" w:tplc="27BA67C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773A3241"/>
    <w:multiLevelType w:val="hybridMultilevel"/>
    <w:tmpl w:val="3B383396"/>
    <w:lvl w:ilvl="0" w:tplc="4D68E90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7C8D7FD7"/>
    <w:multiLevelType w:val="hybridMultilevel"/>
    <w:tmpl w:val="570E42F2"/>
    <w:lvl w:ilvl="0" w:tplc="C986BBAC">
      <w:start w:val="1"/>
      <w:numFmt w:val="decimal"/>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0"/>
  </w:num>
  <w:num w:numId="5">
    <w:abstractNumId w:val="7"/>
  </w:num>
  <w:num w:numId="6">
    <w:abstractNumId w:val="4"/>
  </w:num>
  <w:num w:numId="7">
    <w:abstractNumId w:val="6"/>
  </w:num>
  <w:num w:numId="8">
    <w:abstractNumId w:val="2"/>
  </w:num>
  <w:num w:numId="9">
    <w:abstractNumId w:val="9"/>
  </w:num>
  <w:num w:numId="10">
    <w:abstractNumId w:val="11"/>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9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5F94AC4-3E37-45C9-9123-85A26A90B31B}"/>
    <w:docVar w:name="dgnword-eventsink" w:val="2084409187264"/>
  </w:docVars>
  <w:rsids>
    <w:rsidRoot w:val="00093030"/>
    <w:rsid w:val="00000DDF"/>
    <w:rsid w:val="00001193"/>
    <w:rsid w:val="000049B7"/>
    <w:rsid w:val="00004A38"/>
    <w:rsid w:val="00005095"/>
    <w:rsid w:val="0000616B"/>
    <w:rsid w:val="00006C1C"/>
    <w:rsid w:val="00011532"/>
    <w:rsid w:val="00013602"/>
    <w:rsid w:val="00023D16"/>
    <w:rsid w:val="0002608C"/>
    <w:rsid w:val="000266AC"/>
    <w:rsid w:val="0002709F"/>
    <w:rsid w:val="0002771A"/>
    <w:rsid w:val="00027C48"/>
    <w:rsid w:val="00031EA4"/>
    <w:rsid w:val="00032669"/>
    <w:rsid w:val="0003511F"/>
    <w:rsid w:val="00035D9C"/>
    <w:rsid w:val="0003646C"/>
    <w:rsid w:val="00037EE9"/>
    <w:rsid w:val="000450F7"/>
    <w:rsid w:val="00052FD2"/>
    <w:rsid w:val="000544D3"/>
    <w:rsid w:val="0006092F"/>
    <w:rsid w:val="00062146"/>
    <w:rsid w:val="00062BAE"/>
    <w:rsid w:val="00063FE4"/>
    <w:rsid w:val="00067A07"/>
    <w:rsid w:val="00067CF8"/>
    <w:rsid w:val="0007303C"/>
    <w:rsid w:val="0007319C"/>
    <w:rsid w:val="00073E5C"/>
    <w:rsid w:val="00074A73"/>
    <w:rsid w:val="00082D79"/>
    <w:rsid w:val="00084190"/>
    <w:rsid w:val="00093030"/>
    <w:rsid w:val="000943C6"/>
    <w:rsid w:val="000A0A8A"/>
    <w:rsid w:val="000A7FDB"/>
    <w:rsid w:val="000B1685"/>
    <w:rsid w:val="000B1799"/>
    <w:rsid w:val="000C16AA"/>
    <w:rsid w:val="000D10B8"/>
    <w:rsid w:val="000D4D7A"/>
    <w:rsid w:val="000D6DD4"/>
    <w:rsid w:val="000D71B8"/>
    <w:rsid w:val="000E03A7"/>
    <w:rsid w:val="000E07D7"/>
    <w:rsid w:val="000E3A05"/>
    <w:rsid w:val="000E4018"/>
    <w:rsid w:val="000E4C8A"/>
    <w:rsid w:val="000F012A"/>
    <w:rsid w:val="000F0ADB"/>
    <w:rsid w:val="000F13E9"/>
    <w:rsid w:val="000F1680"/>
    <w:rsid w:val="000F2D4B"/>
    <w:rsid w:val="000F325E"/>
    <w:rsid w:val="000F36A8"/>
    <w:rsid w:val="000F7403"/>
    <w:rsid w:val="001028B5"/>
    <w:rsid w:val="00102C8C"/>
    <w:rsid w:val="00107072"/>
    <w:rsid w:val="00107449"/>
    <w:rsid w:val="00107BC6"/>
    <w:rsid w:val="00116A08"/>
    <w:rsid w:val="001205BB"/>
    <w:rsid w:val="00120C7D"/>
    <w:rsid w:val="00123BD2"/>
    <w:rsid w:val="00125B7C"/>
    <w:rsid w:val="00127B00"/>
    <w:rsid w:val="00130454"/>
    <w:rsid w:val="00130C0F"/>
    <w:rsid w:val="00133AD0"/>
    <w:rsid w:val="00133EBC"/>
    <w:rsid w:val="001405B2"/>
    <w:rsid w:val="00142314"/>
    <w:rsid w:val="00145BF9"/>
    <w:rsid w:val="0014686F"/>
    <w:rsid w:val="00146E95"/>
    <w:rsid w:val="001536E7"/>
    <w:rsid w:val="00153BD0"/>
    <w:rsid w:val="00155979"/>
    <w:rsid w:val="00155F7E"/>
    <w:rsid w:val="001602BF"/>
    <w:rsid w:val="001603E8"/>
    <w:rsid w:val="00161722"/>
    <w:rsid w:val="001624C6"/>
    <w:rsid w:val="00165280"/>
    <w:rsid w:val="00167CF1"/>
    <w:rsid w:val="00175473"/>
    <w:rsid w:val="0017576B"/>
    <w:rsid w:val="00180441"/>
    <w:rsid w:val="0018188C"/>
    <w:rsid w:val="001834CD"/>
    <w:rsid w:val="00183ACB"/>
    <w:rsid w:val="00184A40"/>
    <w:rsid w:val="00185E39"/>
    <w:rsid w:val="00187B8A"/>
    <w:rsid w:val="001910E7"/>
    <w:rsid w:val="00191D15"/>
    <w:rsid w:val="00195E43"/>
    <w:rsid w:val="0019759D"/>
    <w:rsid w:val="001A2186"/>
    <w:rsid w:val="001B5808"/>
    <w:rsid w:val="001B5A79"/>
    <w:rsid w:val="001B7AD7"/>
    <w:rsid w:val="001B7F4B"/>
    <w:rsid w:val="001C01C3"/>
    <w:rsid w:val="001C48DD"/>
    <w:rsid w:val="001C5050"/>
    <w:rsid w:val="001C5729"/>
    <w:rsid w:val="001C6AE5"/>
    <w:rsid w:val="001C7DDB"/>
    <w:rsid w:val="001D05EE"/>
    <w:rsid w:val="001D5000"/>
    <w:rsid w:val="001D5248"/>
    <w:rsid w:val="001D5363"/>
    <w:rsid w:val="001E22C1"/>
    <w:rsid w:val="001E24ED"/>
    <w:rsid w:val="001E6119"/>
    <w:rsid w:val="001F1F0F"/>
    <w:rsid w:val="001F39B0"/>
    <w:rsid w:val="001F5BA5"/>
    <w:rsid w:val="001F79B3"/>
    <w:rsid w:val="001F7B80"/>
    <w:rsid w:val="00200121"/>
    <w:rsid w:val="00201A3E"/>
    <w:rsid w:val="00202B5A"/>
    <w:rsid w:val="00202C83"/>
    <w:rsid w:val="002044D1"/>
    <w:rsid w:val="00204958"/>
    <w:rsid w:val="00205595"/>
    <w:rsid w:val="0020601B"/>
    <w:rsid w:val="00220881"/>
    <w:rsid w:val="002235BD"/>
    <w:rsid w:val="00225BBC"/>
    <w:rsid w:val="00230082"/>
    <w:rsid w:val="0023283A"/>
    <w:rsid w:val="00232EBF"/>
    <w:rsid w:val="00233D66"/>
    <w:rsid w:val="002341A3"/>
    <w:rsid w:val="002349F8"/>
    <w:rsid w:val="00236C2D"/>
    <w:rsid w:val="00240AA7"/>
    <w:rsid w:val="00241863"/>
    <w:rsid w:val="002439D6"/>
    <w:rsid w:val="00244BEB"/>
    <w:rsid w:val="002467C8"/>
    <w:rsid w:val="002504A4"/>
    <w:rsid w:val="00252F95"/>
    <w:rsid w:val="0025430E"/>
    <w:rsid w:val="00256D1C"/>
    <w:rsid w:val="00257896"/>
    <w:rsid w:val="00260BA0"/>
    <w:rsid w:val="00260E0F"/>
    <w:rsid w:val="002632AB"/>
    <w:rsid w:val="002632FB"/>
    <w:rsid w:val="002655CD"/>
    <w:rsid w:val="00265865"/>
    <w:rsid w:val="00271F83"/>
    <w:rsid w:val="0027337F"/>
    <w:rsid w:val="00274EF3"/>
    <w:rsid w:val="00280F22"/>
    <w:rsid w:val="00281468"/>
    <w:rsid w:val="002856AB"/>
    <w:rsid w:val="00285944"/>
    <w:rsid w:val="002878A7"/>
    <w:rsid w:val="00287BD0"/>
    <w:rsid w:val="00290A48"/>
    <w:rsid w:val="00292053"/>
    <w:rsid w:val="00292DC0"/>
    <w:rsid w:val="002963C5"/>
    <w:rsid w:val="002A0965"/>
    <w:rsid w:val="002A42D1"/>
    <w:rsid w:val="002A4CF0"/>
    <w:rsid w:val="002A5121"/>
    <w:rsid w:val="002B1180"/>
    <w:rsid w:val="002B2C7F"/>
    <w:rsid w:val="002B529D"/>
    <w:rsid w:val="002B5C45"/>
    <w:rsid w:val="002B68BA"/>
    <w:rsid w:val="002C0533"/>
    <w:rsid w:val="002C6925"/>
    <w:rsid w:val="002C7593"/>
    <w:rsid w:val="002D2121"/>
    <w:rsid w:val="002D749D"/>
    <w:rsid w:val="002D7CE1"/>
    <w:rsid w:val="002E1A1B"/>
    <w:rsid w:val="002E3500"/>
    <w:rsid w:val="002E4B3D"/>
    <w:rsid w:val="002F65FE"/>
    <w:rsid w:val="002F797D"/>
    <w:rsid w:val="00300756"/>
    <w:rsid w:val="00304276"/>
    <w:rsid w:val="00304ACD"/>
    <w:rsid w:val="00305BAC"/>
    <w:rsid w:val="00310D00"/>
    <w:rsid w:val="00311DA7"/>
    <w:rsid w:val="00314E0C"/>
    <w:rsid w:val="00315704"/>
    <w:rsid w:val="00315CC1"/>
    <w:rsid w:val="0031737A"/>
    <w:rsid w:val="00322059"/>
    <w:rsid w:val="00322491"/>
    <w:rsid w:val="003225C8"/>
    <w:rsid w:val="0032305C"/>
    <w:rsid w:val="00323579"/>
    <w:rsid w:val="00325F9F"/>
    <w:rsid w:val="00333427"/>
    <w:rsid w:val="00333C97"/>
    <w:rsid w:val="0033563E"/>
    <w:rsid w:val="0034280C"/>
    <w:rsid w:val="00343ECA"/>
    <w:rsid w:val="00344264"/>
    <w:rsid w:val="00344847"/>
    <w:rsid w:val="00344FB1"/>
    <w:rsid w:val="00346F59"/>
    <w:rsid w:val="003516D2"/>
    <w:rsid w:val="00353B16"/>
    <w:rsid w:val="00356768"/>
    <w:rsid w:val="00362001"/>
    <w:rsid w:val="00371293"/>
    <w:rsid w:val="00375A98"/>
    <w:rsid w:val="00375AFD"/>
    <w:rsid w:val="00376094"/>
    <w:rsid w:val="003826D3"/>
    <w:rsid w:val="00382A78"/>
    <w:rsid w:val="00383461"/>
    <w:rsid w:val="00387552"/>
    <w:rsid w:val="00392ED9"/>
    <w:rsid w:val="0039647E"/>
    <w:rsid w:val="003974AD"/>
    <w:rsid w:val="003A29B8"/>
    <w:rsid w:val="003A3165"/>
    <w:rsid w:val="003A545B"/>
    <w:rsid w:val="003A6621"/>
    <w:rsid w:val="003B24E2"/>
    <w:rsid w:val="003B28E7"/>
    <w:rsid w:val="003B40A2"/>
    <w:rsid w:val="003B4203"/>
    <w:rsid w:val="003C2F1C"/>
    <w:rsid w:val="003C43A7"/>
    <w:rsid w:val="003C53A7"/>
    <w:rsid w:val="003C59DB"/>
    <w:rsid w:val="003C6743"/>
    <w:rsid w:val="003D4290"/>
    <w:rsid w:val="003D5438"/>
    <w:rsid w:val="003D573B"/>
    <w:rsid w:val="003D64FA"/>
    <w:rsid w:val="003D68B9"/>
    <w:rsid w:val="003E0255"/>
    <w:rsid w:val="003E10F0"/>
    <w:rsid w:val="003E4BF6"/>
    <w:rsid w:val="003E5065"/>
    <w:rsid w:val="003E5992"/>
    <w:rsid w:val="003F0B55"/>
    <w:rsid w:val="003F3243"/>
    <w:rsid w:val="003F3EA7"/>
    <w:rsid w:val="00401532"/>
    <w:rsid w:val="0040175B"/>
    <w:rsid w:val="00402AF4"/>
    <w:rsid w:val="00402CE2"/>
    <w:rsid w:val="0040480D"/>
    <w:rsid w:val="00404851"/>
    <w:rsid w:val="0040572E"/>
    <w:rsid w:val="00406576"/>
    <w:rsid w:val="0040727B"/>
    <w:rsid w:val="00407413"/>
    <w:rsid w:val="004101C3"/>
    <w:rsid w:val="0041180C"/>
    <w:rsid w:val="004122EA"/>
    <w:rsid w:val="00412851"/>
    <w:rsid w:val="00413647"/>
    <w:rsid w:val="00414DEB"/>
    <w:rsid w:val="004166AD"/>
    <w:rsid w:val="0041718C"/>
    <w:rsid w:val="00420828"/>
    <w:rsid w:val="00420852"/>
    <w:rsid w:val="004222EE"/>
    <w:rsid w:val="004226A5"/>
    <w:rsid w:val="00422FAE"/>
    <w:rsid w:val="004238B5"/>
    <w:rsid w:val="00425FC1"/>
    <w:rsid w:val="00432C2B"/>
    <w:rsid w:val="00432D09"/>
    <w:rsid w:val="00432F90"/>
    <w:rsid w:val="004337D7"/>
    <w:rsid w:val="00436887"/>
    <w:rsid w:val="00436BDE"/>
    <w:rsid w:val="004461E0"/>
    <w:rsid w:val="004520E7"/>
    <w:rsid w:val="004527E5"/>
    <w:rsid w:val="00453D6A"/>
    <w:rsid w:val="0045749D"/>
    <w:rsid w:val="00457C70"/>
    <w:rsid w:val="00460B39"/>
    <w:rsid w:val="00461E34"/>
    <w:rsid w:val="00461F7D"/>
    <w:rsid w:val="00463C61"/>
    <w:rsid w:val="004667E3"/>
    <w:rsid w:val="00471529"/>
    <w:rsid w:val="004719E8"/>
    <w:rsid w:val="00472DD6"/>
    <w:rsid w:val="00472E19"/>
    <w:rsid w:val="00476861"/>
    <w:rsid w:val="00481774"/>
    <w:rsid w:val="00483BA1"/>
    <w:rsid w:val="004845AA"/>
    <w:rsid w:val="00487172"/>
    <w:rsid w:val="00493BFC"/>
    <w:rsid w:val="0049401F"/>
    <w:rsid w:val="00494105"/>
    <w:rsid w:val="004A05E1"/>
    <w:rsid w:val="004A2349"/>
    <w:rsid w:val="004A279C"/>
    <w:rsid w:val="004A36DE"/>
    <w:rsid w:val="004A38C5"/>
    <w:rsid w:val="004A4475"/>
    <w:rsid w:val="004A4743"/>
    <w:rsid w:val="004A7C82"/>
    <w:rsid w:val="004B2B82"/>
    <w:rsid w:val="004B2ED1"/>
    <w:rsid w:val="004B54B1"/>
    <w:rsid w:val="004C0805"/>
    <w:rsid w:val="004C36DC"/>
    <w:rsid w:val="004C4EBE"/>
    <w:rsid w:val="004C6C92"/>
    <w:rsid w:val="004D2265"/>
    <w:rsid w:val="004D2673"/>
    <w:rsid w:val="004D355B"/>
    <w:rsid w:val="004D5D7E"/>
    <w:rsid w:val="004D6BB8"/>
    <w:rsid w:val="004D7874"/>
    <w:rsid w:val="004D7D31"/>
    <w:rsid w:val="004D7EF2"/>
    <w:rsid w:val="004E08F1"/>
    <w:rsid w:val="004E22D6"/>
    <w:rsid w:val="004E444A"/>
    <w:rsid w:val="004E469D"/>
    <w:rsid w:val="004E4E9D"/>
    <w:rsid w:val="004E5081"/>
    <w:rsid w:val="004E75C7"/>
    <w:rsid w:val="004E7A78"/>
    <w:rsid w:val="004F10C6"/>
    <w:rsid w:val="004F3287"/>
    <w:rsid w:val="005011FF"/>
    <w:rsid w:val="005016B6"/>
    <w:rsid w:val="005018BB"/>
    <w:rsid w:val="00501DF8"/>
    <w:rsid w:val="005039A4"/>
    <w:rsid w:val="00507868"/>
    <w:rsid w:val="00507A8F"/>
    <w:rsid w:val="00513FC0"/>
    <w:rsid w:val="005144B8"/>
    <w:rsid w:val="0051479D"/>
    <w:rsid w:val="00515B18"/>
    <w:rsid w:val="0051612A"/>
    <w:rsid w:val="00517E1C"/>
    <w:rsid w:val="00520761"/>
    <w:rsid w:val="00520FF2"/>
    <w:rsid w:val="00521DD2"/>
    <w:rsid w:val="0052219D"/>
    <w:rsid w:val="005221B5"/>
    <w:rsid w:val="00524E89"/>
    <w:rsid w:val="00525212"/>
    <w:rsid w:val="0052534E"/>
    <w:rsid w:val="00526F26"/>
    <w:rsid w:val="00527B5C"/>
    <w:rsid w:val="00535C0F"/>
    <w:rsid w:val="00535C2A"/>
    <w:rsid w:val="00535EF8"/>
    <w:rsid w:val="005423DB"/>
    <w:rsid w:val="0054282E"/>
    <w:rsid w:val="005441A8"/>
    <w:rsid w:val="005460EA"/>
    <w:rsid w:val="00547091"/>
    <w:rsid w:val="005510AF"/>
    <w:rsid w:val="005520C9"/>
    <w:rsid w:val="0055488E"/>
    <w:rsid w:val="0055507F"/>
    <w:rsid w:val="00555C2A"/>
    <w:rsid w:val="0056072F"/>
    <w:rsid w:val="005608BE"/>
    <w:rsid w:val="00562686"/>
    <w:rsid w:val="005711DB"/>
    <w:rsid w:val="005713E2"/>
    <w:rsid w:val="00571430"/>
    <w:rsid w:val="005737EE"/>
    <w:rsid w:val="00576C20"/>
    <w:rsid w:val="00576CE3"/>
    <w:rsid w:val="00577CB4"/>
    <w:rsid w:val="00580FA0"/>
    <w:rsid w:val="00581153"/>
    <w:rsid w:val="00582667"/>
    <w:rsid w:val="00584925"/>
    <w:rsid w:val="0058502F"/>
    <w:rsid w:val="005851F6"/>
    <w:rsid w:val="00585711"/>
    <w:rsid w:val="00591B51"/>
    <w:rsid w:val="00593BB6"/>
    <w:rsid w:val="00593F76"/>
    <w:rsid w:val="005952EA"/>
    <w:rsid w:val="0059598C"/>
    <w:rsid w:val="005A0DF6"/>
    <w:rsid w:val="005A1696"/>
    <w:rsid w:val="005A58C3"/>
    <w:rsid w:val="005A6BF5"/>
    <w:rsid w:val="005B00C5"/>
    <w:rsid w:val="005B0828"/>
    <w:rsid w:val="005B2D6A"/>
    <w:rsid w:val="005C086A"/>
    <w:rsid w:val="005C0A19"/>
    <w:rsid w:val="005C2262"/>
    <w:rsid w:val="005C27E6"/>
    <w:rsid w:val="005C4E46"/>
    <w:rsid w:val="005C4E8D"/>
    <w:rsid w:val="005C75AC"/>
    <w:rsid w:val="005C7F86"/>
    <w:rsid w:val="005D0CD5"/>
    <w:rsid w:val="005D24A5"/>
    <w:rsid w:val="005D275F"/>
    <w:rsid w:val="005D52D6"/>
    <w:rsid w:val="005D53C5"/>
    <w:rsid w:val="005D6967"/>
    <w:rsid w:val="005E28EC"/>
    <w:rsid w:val="005E31D8"/>
    <w:rsid w:val="005E693A"/>
    <w:rsid w:val="005F0EFC"/>
    <w:rsid w:val="0060348A"/>
    <w:rsid w:val="00606CA2"/>
    <w:rsid w:val="00606DBD"/>
    <w:rsid w:val="00610974"/>
    <w:rsid w:val="00611443"/>
    <w:rsid w:val="00611D93"/>
    <w:rsid w:val="00613BCC"/>
    <w:rsid w:val="00614449"/>
    <w:rsid w:val="0061489A"/>
    <w:rsid w:val="00615DCB"/>
    <w:rsid w:val="00617E09"/>
    <w:rsid w:val="00617F56"/>
    <w:rsid w:val="006236BD"/>
    <w:rsid w:val="00623893"/>
    <w:rsid w:val="0062637C"/>
    <w:rsid w:val="00627F4E"/>
    <w:rsid w:val="00631F7F"/>
    <w:rsid w:val="00632E6A"/>
    <w:rsid w:val="00632F67"/>
    <w:rsid w:val="00637C57"/>
    <w:rsid w:val="00640039"/>
    <w:rsid w:val="00640B59"/>
    <w:rsid w:val="0064124A"/>
    <w:rsid w:val="00643092"/>
    <w:rsid w:val="00645224"/>
    <w:rsid w:val="0065005D"/>
    <w:rsid w:val="006529D8"/>
    <w:rsid w:val="00657BE7"/>
    <w:rsid w:val="006641A4"/>
    <w:rsid w:val="00672C35"/>
    <w:rsid w:val="00674F7C"/>
    <w:rsid w:val="006770FC"/>
    <w:rsid w:val="00680A5A"/>
    <w:rsid w:val="00684049"/>
    <w:rsid w:val="006850AF"/>
    <w:rsid w:val="006852D4"/>
    <w:rsid w:val="00687B9D"/>
    <w:rsid w:val="00690872"/>
    <w:rsid w:val="006923B4"/>
    <w:rsid w:val="0069328B"/>
    <w:rsid w:val="00693ACF"/>
    <w:rsid w:val="00697435"/>
    <w:rsid w:val="006A0D38"/>
    <w:rsid w:val="006A3190"/>
    <w:rsid w:val="006A4D8F"/>
    <w:rsid w:val="006A5651"/>
    <w:rsid w:val="006A58AC"/>
    <w:rsid w:val="006A6DBF"/>
    <w:rsid w:val="006B2812"/>
    <w:rsid w:val="006B648C"/>
    <w:rsid w:val="006B759F"/>
    <w:rsid w:val="006C348B"/>
    <w:rsid w:val="006C4205"/>
    <w:rsid w:val="006D0426"/>
    <w:rsid w:val="006D455C"/>
    <w:rsid w:val="006D5984"/>
    <w:rsid w:val="006D5DB0"/>
    <w:rsid w:val="006D6A06"/>
    <w:rsid w:val="006D71AA"/>
    <w:rsid w:val="006E2774"/>
    <w:rsid w:val="006E37E1"/>
    <w:rsid w:val="006E56E3"/>
    <w:rsid w:val="006E5EBB"/>
    <w:rsid w:val="006F184A"/>
    <w:rsid w:val="006F4FD4"/>
    <w:rsid w:val="006F70FD"/>
    <w:rsid w:val="006F77CD"/>
    <w:rsid w:val="007052F5"/>
    <w:rsid w:val="007070A9"/>
    <w:rsid w:val="00707B8F"/>
    <w:rsid w:val="007138C9"/>
    <w:rsid w:val="00720B6C"/>
    <w:rsid w:val="00722431"/>
    <w:rsid w:val="00722A6E"/>
    <w:rsid w:val="00724D4A"/>
    <w:rsid w:val="007255D6"/>
    <w:rsid w:val="00725876"/>
    <w:rsid w:val="0073103F"/>
    <w:rsid w:val="00732B65"/>
    <w:rsid w:val="00733634"/>
    <w:rsid w:val="00733C87"/>
    <w:rsid w:val="00735EE8"/>
    <w:rsid w:val="00736D56"/>
    <w:rsid w:val="00741EFF"/>
    <w:rsid w:val="007479DD"/>
    <w:rsid w:val="00750832"/>
    <w:rsid w:val="00751747"/>
    <w:rsid w:val="00754E35"/>
    <w:rsid w:val="00756EA6"/>
    <w:rsid w:val="0075743F"/>
    <w:rsid w:val="00760F88"/>
    <w:rsid w:val="0076332B"/>
    <w:rsid w:val="00770D37"/>
    <w:rsid w:val="00772089"/>
    <w:rsid w:val="0077286E"/>
    <w:rsid w:val="00772F27"/>
    <w:rsid w:val="00774648"/>
    <w:rsid w:val="00780954"/>
    <w:rsid w:val="007817F4"/>
    <w:rsid w:val="007938FF"/>
    <w:rsid w:val="00793A9B"/>
    <w:rsid w:val="00795047"/>
    <w:rsid w:val="00797D13"/>
    <w:rsid w:val="007A0413"/>
    <w:rsid w:val="007A18DA"/>
    <w:rsid w:val="007A1F55"/>
    <w:rsid w:val="007A3175"/>
    <w:rsid w:val="007A633F"/>
    <w:rsid w:val="007A7440"/>
    <w:rsid w:val="007B3692"/>
    <w:rsid w:val="007B3CA4"/>
    <w:rsid w:val="007B45F0"/>
    <w:rsid w:val="007B5C09"/>
    <w:rsid w:val="007B623F"/>
    <w:rsid w:val="007C3599"/>
    <w:rsid w:val="007C3E99"/>
    <w:rsid w:val="007D29E1"/>
    <w:rsid w:val="007D77A7"/>
    <w:rsid w:val="007D78F7"/>
    <w:rsid w:val="007E35C8"/>
    <w:rsid w:val="007E71CA"/>
    <w:rsid w:val="007F0440"/>
    <w:rsid w:val="007F10D4"/>
    <w:rsid w:val="007F3DEA"/>
    <w:rsid w:val="007F45CF"/>
    <w:rsid w:val="007F69DE"/>
    <w:rsid w:val="007F6CE2"/>
    <w:rsid w:val="007F75E2"/>
    <w:rsid w:val="0080190D"/>
    <w:rsid w:val="00807DCF"/>
    <w:rsid w:val="00811073"/>
    <w:rsid w:val="008213A9"/>
    <w:rsid w:val="00821536"/>
    <w:rsid w:val="00822E92"/>
    <w:rsid w:val="00823D61"/>
    <w:rsid w:val="00824F3B"/>
    <w:rsid w:val="008269D9"/>
    <w:rsid w:val="00827D85"/>
    <w:rsid w:val="008307E9"/>
    <w:rsid w:val="00834EE5"/>
    <w:rsid w:val="0084056F"/>
    <w:rsid w:val="00840A7A"/>
    <w:rsid w:val="0084230F"/>
    <w:rsid w:val="008424BA"/>
    <w:rsid w:val="0084558B"/>
    <w:rsid w:val="008503FF"/>
    <w:rsid w:val="00851466"/>
    <w:rsid w:val="00851969"/>
    <w:rsid w:val="00854482"/>
    <w:rsid w:val="008548F2"/>
    <w:rsid w:val="00854A40"/>
    <w:rsid w:val="00855D0B"/>
    <w:rsid w:val="00855DDC"/>
    <w:rsid w:val="00857612"/>
    <w:rsid w:val="0086014D"/>
    <w:rsid w:val="008604B0"/>
    <w:rsid w:val="0086616F"/>
    <w:rsid w:val="00867652"/>
    <w:rsid w:val="00873C51"/>
    <w:rsid w:val="0087408D"/>
    <w:rsid w:val="008742B8"/>
    <w:rsid w:val="00880CAC"/>
    <w:rsid w:val="008810F3"/>
    <w:rsid w:val="008815E6"/>
    <w:rsid w:val="00882FF4"/>
    <w:rsid w:val="008839E5"/>
    <w:rsid w:val="0088444D"/>
    <w:rsid w:val="008869E1"/>
    <w:rsid w:val="00892CF6"/>
    <w:rsid w:val="00894922"/>
    <w:rsid w:val="00896F2B"/>
    <w:rsid w:val="008A364B"/>
    <w:rsid w:val="008A38D5"/>
    <w:rsid w:val="008A53E6"/>
    <w:rsid w:val="008A590D"/>
    <w:rsid w:val="008A76E1"/>
    <w:rsid w:val="008B02EE"/>
    <w:rsid w:val="008B1839"/>
    <w:rsid w:val="008B2116"/>
    <w:rsid w:val="008B23FE"/>
    <w:rsid w:val="008B25BB"/>
    <w:rsid w:val="008B2761"/>
    <w:rsid w:val="008B2E57"/>
    <w:rsid w:val="008B45FE"/>
    <w:rsid w:val="008B5DCD"/>
    <w:rsid w:val="008B67FB"/>
    <w:rsid w:val="008C337F"/>
    <w:rsid w:val="008C523E"/>
    <w:rsid w:val="008C52D4"/>
    <w:rsid w:val="008C574F"/>
    <w:rsid w:val="008C62BE"/>
    <w:rsid w:val="008C6F52"/>
    <w:rsid w:val="008C764B"/>
    <w:rsid w:val="008D0155"/>
    <w:rsid w:val="008D4AAA"/>
    <w:rsid w:val="008E0429"/>
    <w:rsid w:val="008E2564"/>
    <w:rsid w:val="008E2936"/>
    <w:rsid w:val="008E46AA"/>
    <w:rsid w:val="008E5BB6"/>
    <w:rsid w:val="008E6C69"/>
    <w:rsid w:val="008F0AA1"/>
    <w:rsid w:val="008F0ACC"/>
    <w:rsid w:val="008F1070"/>
    <w:rsid w:val="008F1177"/>
    <w:rsid w:val="008F1CE1"/>
    <w:rsid w:val="008F3E5B"/>
    <w:rsid w:val="00900CC0"/>
    <w:rsid w:val="009012AA"/>
    <w:rsid w:val="0090225E"/>
    <w:rsid w:val="0090251C"/>
    <w:rsid w:val="00904B1E"/>
    <w:rsid w:val="009054A4"/>
    <w:rsid w:val="00906403"/>
    <w:rsid w:val="009074D7"/>
    <w:rsid w:val="009105B7"/>
    <w:rsid w:val="00910E1B"/>
    <w:rsid w:val="009114B7"/>
    <w:rsid w:val="009119EC"/>
    <w:rsid w:val="009132D5"/>
    <w:rsid w:val="00915029"/>
    <w:rsid w:val="00915A24"/>
    <w:rsid w:val="0091618A"/>
    <w:rsid w:val="00916F5E"/>
    <w:rsid w:val="0092681D"/>
    <w:rsid w:val="00927190"/>
    <w:rsid w:val="00931833"/>
    <w:rsid w:val="00931933"/>
    <w:rsid w:val="00931A31"/>
    <w:rsid w:val="00931C1F"/>
    <w:rsid w:val="00931EA6"/>
    <w:rsid w:val="00931F7E"/>
    <w:rsid w:val="0093294A"/>
    <w:rsid w:val="009344C4"/>
    <w:rsid w:val="00935988"/>
    <w:rsid w:val="00936916"/>
    <w:rsid w:val="00940109"/>
    <w:rsid w:val="009419F6"/>
    <w:rsid w:val="009421F2"/>
    <w:rsid w:val="00942940"/>
    <w:rsid w:val="009435CF"/>
    <w:rsid w:val="00943917"/>
    <w:rsid w:val="0094406A"/>
    <w:rsid w:val="009440C6"/>
    <w:rsid w:val="00944739"/>
    <w:rsid w:val="009451D6"/>
    <w:rsid w:val="00947894"/>
    <w:rsid w:val="009503D4"/>
    <w:rsid w:val="0095118B"/>
    <w:rsid w:val="00951483"/>
    <w:rsid w:val="00953219"/>
    <w:rsid w:val="009543E9"/>
    <w:rsid w:val="00954677"/>
    <w:rsid w:val="00957CB1"/>
    <w:rsid w:val="009623EC"/>
    <w:rsid w:val="0096360B"/>
    <w:rsid w:val="009648AC"/>
    <w:rsid w:val="00965BAF"/>
    <w:rsid w:val="00965F75"/>
    <w:rsid w:val="00966544"/>
    <w:rsid w:val="009676B8"/>
    <w:rsid w:val="009732E6"/>
    <w:rsid w:val="00973B86"/>
    <w:rsid w:val="00974EAB"/>
    <w:rsid w:val="00977D10"/>
    <w:rsid w:val="009914F8"/>
    <w:rsid w:val="0099355C"/>
    <w:rsid w:val="0099533D"/>
    <w:rsid w:val="009A1AFF"/>
    <w:rsid w:val="009A278C"/>
    <w:rsid w:val="009A3876"/>
    <w:rsid w:val="009B6E07"/>
    <w:rsid w:val="009C02F3"/>
    <w:rsid w:val="009C1E94"/>
    <w:rsid w:val="009C3584"/>
    <w:rsid w:val="009C7EB6"/>
    <w:rsid w:val="009D0BD5"/>
    <w:rsid w:val="009D160B"/>
    <w:rsid w:val="009D2A8E"/>
    <w:rsid w:val="009D5061"/>
    <w:rsid w:val="009D7AA2"/>
    <w:rsid w:val="009E2CB6"/>
    <w:rsid w:val="009E3003"/>
    <w:rsid w:val="009E3A3C"/>
    <w:rsid w:val="009E703A"/>
    <w:rsid w:val="009F015E"/>
    <w:rsid w:val="009F0F67"/>
    <w:rsid w:val="009F168E"/>
    <w:rsid w:val="009F57D6"/>
    <w:rsid w:val="009F77A0"/>
    <w:rsid w:val="00A02155"/>
    <w:rsid w:val="00A034AC"/>
    <w:rsid w:val="00A0530B"/>
    <w:rsid w:val="00A05F0C"/>
    <w:rsid w:val="00A10D62"/>
    <w:rsid w:val="00A13D03"/>
    <w:rsid w:val="00A14022"/>
    <w:rsid w:val="00A213B1"/>
    <w:rsid w:val="00A23B01"/>
    <w:rsid w:val="00A23D93"/>
    <w:rsid w:val="00A262F5"/>
    <w:rsid w:val="00A27657"/>
    <w:rsid w:val="00A302B6"/>
    <w:rsid w:val="00A302D2"/>
    <w:rsid w:val="00A303B5"/>
    <w:rsid w:val="00A32737"/>
    <w:rsid w:val="00A34750"/>
    <w:rsid w:val="00A40AD7"/>
    <w:rsid w:val="00A41781"/>
    <w:rsid w:val="00A42358"/>
    <w:rsid w:val="00A5048F"/>
    <w:rsid w:val="00A51032"/>
    <w:rsid w:val="00A52A52"/>
    <w:rsid w:val="00A60286"/>
    <w:rsid w:val="00A61A94"/>
    <w:rsid w:val="00A70ECA"/>
    <w:rsid w:val="00A71787"/>
    <w:rsid w:val="00A74A64"/>
    <w:rsid w:val="00A7779D"/>
    <w:rsid w:val="00A80895"/>
    <w:rsid w:val="00A80F7D"/>
    <w:rsid w:val="00A815D7"/>
    <w:rsid w:val="00A81AA3"/>
    <w:rsid w:val="00A821F1"/>
    <w:rsid w:val="00A82241"/>
    <w:rsid w:val="00A8288E"/>
    <w:rsid w:val="00A83F34"/>
    <w:rsid w:val="00A86707"/>
    <w:rsid w:val="00A9022D"/>
    <w:rsid w:val="00A9431F"/>
    <w:rsid w:val="00A951C0"/>
    <w:rsid w:val="00A960E7"/>
    <w:rsid w:val="00A96C8B"/>
    <w:rsid w:val="00AA6187"/>
    <w:rsid w:val="00AB33AF"/>
    <w:rsid w:val="00AB5850"/>
    <w:rsid w:val="00AC05B6"/>
    <w:rsid w:val="00AC0F5E"/>
    <w:rsid w:val="00AC2403"/>
    <w:rsid w:val="00AC2DD0"/>
    <w:rsid w:val="00AC2FF7"/>
    <w:rsid w:val="00AC4133"/>
    <w:rsid w:val="00AC4F9D"/>
    <w:rsid w:val="00AC53AE"/>
    <w:rsid w:val="00AC551E"/>
    <w:rsid w:val="00AC5F9B"/>
    <w:rsid w:val="00AC66FC"/>
    <w:rsid w:val="00AC7B2D"/>
    <w:rsid w:val="00AD0EDB"/>
    <w:rsid w:val="00AD1272"/>
    <w:rsid w:val="00AD1FC0"/>
    <w:rsid w:val="00AD2534"/>
    <w:rsid w:val="00AD25AC"/>
    <w:rsid w:val="00AD3F3B"/>
    <w:rsid w:val="00AD5E6A"/>
    <w:rsid w:val="00AD721F"/>
    <w:rsid w:val="00AD7A38"/>
    <w:rsid w:val="00AE1852"/>
    <w:rsid w:val="00AE4325"/>
    <w:rsid w:val="00AE62C0"/>
    <w:rsid w:val="00AE681D"/>
    <w:rsid w:val="00AE75D1"/>
    <w:rsid w:val="00AE7655"/>
    <w:rsid w:val="00AE7715"/>
    <w:rsid w:val="00AF4244"/>
    <w:rsid w:val="00AF73B7"/>
    <w:rsid w:val="00B05A08"/>
    <w:rsid w:val="00B0769A"/>
    <w:rsid w:val="00B11D77"/>
    <w:rsid w:val="00B12BBF"/>
    <w:rsid w:val="00B13E9D"/>
    <w:rsid w:val="00B14B4F"/>
    <w:rsid w:val="00B14D66"/>
    <w:rsid w:val="00B14DB3"/>
    <w:rsid w:val="00B16791"/>
    <w:rsid w:val="00B16F39"/>
    <w:rsid w:val="00B20B7A"/>
    <w:rsid w:val="00B232C2"/>
    <w:rsid w:val="00B23305"/>
    <w:rsid w:val="00B247E8"/>
    <w:rsid w:val="00B24915"/>
    <w:rsid w:val="00B26BAD"/>
    <w:rsid w:val="00B2799D"/>
    <w:rsid w:val="00B304E1"/>
    <w:rsid w:val="00B319DA"/>
    <w:rsid w:val="00B3508A"/>
    <w:rsid w:val="00B5086F"/>
    <w:rsid w:val="00B5230F"/>
    <w:rsid w:val="00B53C0F"/>
    <w:rsid w:val="00B55207"/>
    <w:rsid w:val="00B572A4"/>
    <w:rsid w:val="00B60218"/>
    <w:rsid w:val="00B625EE"/>
    <w:rsid w:val="00B6451A"/>
    <w:rsid w:val="00B64F93"/>
    <w:rsid w:val="00B71EF5"/>
    <w:rsid w:val="00B72179"/>
    <w:rsid w:val="00B72687"/>
    <w:rsid w:val="00B8010F"/>
    <w:rsid w:val="00B80433"/>
    <w:rsid w:val="00B81091"/>
    <w:rsid w:val="00B835AF"/>
    <w:rsid w:val="00B84DB2"/>
    <w:rsid w:val="00B91139"/>
    <w:rsid w:val="00B91C2D"/>
    <w:rsid w:val="00B925C4"/>
    <w:rsid w:val="00BA0C39"/>
    <w:rsid w:val="00BA1906"/>
    <w:rsid w:val="00BA3A48"/>
    <w:rsid w:val="00BA46C1"/>
    <w:rsid w:val="00BA51BE"/>
    <w:rsid w:val="00BA5EB8"/>
    <w:rsid w:val="00BA6469"/>
    <w:rsid w:val="00BA6988"/>
    <w:rsid w:val="00BA7B86"/>
    <w:rsid w:val="00BB0D67"/>
    <w:rsid w:val="00BB51F1"/>
    <w:rsid w:val="00BB5239"/>
    <w:rsid w:val="00BC0EF6"/>
    <w:rsid w:val="00BC187D"/>
    <w:rsid w:val="00BC3776"/>
    <w:rsid w:val="00BC4979"/>
    <w:rsid w:val="00BC4A2B"/>
    <w:rsid w:val="00BC69BD"/>
    <w:rsid w:val="00BD066A"/>
    <w:rsid w:val="00BD108B"/>
    <w:rsid w:val="00BD24AD"/>
    <w:rsid w:val="00BD2A51"/>
    <w:rsid w:val="00BD3E06"/>
    <w:rsid w:val="00BD57B9"/>
    <w:rsid w:val="00BE11C2"/>
    <w:rsid w:val="00BE328F"/>
    <w:rsid w:val="00BE51F6"/>
    <w:rsid w:val="00BE76C0"/>
    <w:rsid w:val="00BF2777"/>
    <w:rsid w:val="00BF27EE"/>
    <w:rsid w:val="00BF39B0"/>
    <w:rsid w:val="00BF3FB4"/>
    <w:rsid w:val="00BF65CD"/>
    <w:rsid w:val="00BF6C9F"/>
    <w:rsid w:val="00C03942"/>
    <w:rsid w:val="00C0524F"/>
    <w:rsid w:val="00C05260"/>
    <w:rsid w:val="00C05486"/>
    <w:rsid w:val="00C054C8"/>
    <w:rsid w:val="00C11270"/>
    <w:rsid w:val="00C1196D"/>
    <w:rsid w:val="00C13282"/>
    <w:rsid w:val="00C1417E"/>
    <w:rsid w:val="00C147B6"/>
    <w:rsid w:val="00C17E75"/>
    <w:rsid w:val="00C2022E"/>
    <w:rsid w:val="00C21931"/>
    <w:rsid w:val="00C21FE8"/>
    <w:rsid w:val="00C23198"/>
    <w:rsid w:val="00C24CF4"/>
    <w:rsid w:val="00C2679F"/>
    <w:rsid w:val="00C268C7"/>
    <w:rsid w:val="00C31798"/>
    <w:rsid w:val="00C32405"/>
    <w:rsid w:val="00C336F9"/>
    <w:rsid w:val="00C3370B"/>
    <w:rsid w:val="00C3376F"/>
    <w:rsid w:val="00C376F3"/>
    <w:rsid w:val="00C378CD"/>
    <w:rsid w:val="00C409CA"/>
    <w:rsid w:val="00C40B19"/>
    <w:rsid w:val="00C40D3A"/>
    <w:rsid w:val="00C4624B"/>
    <w:rsid w:val="00C46B33"/>
    <w:rsid w:val="00C46CFB"/>
    <w:rsid w:val="00C4764A"/>
    <w:rsid w:val="00C516FD"/>
    <w:rsid w:val="00C5206C"/>
    <w:rsid w:val="00C538E7"/>
    <w:rsid w:val="00C55AE0"/>
    <w:rsid w:val="00C5694D"/>
    <w:rsid w:val="00C56F00"/>
    <w:rsid w:val="00C56F65"/>
    <w:rsid w:val="00C5757F"/>
    <w:rsid w:val="00C5789A"/>
    <w:rsid w:val="00C61BB1"/>
    <w:rsid w:val="00C61BC9"/>
    <w:rsid w:val="00C63086"/>
    <w:rsid w:val="00C6385F"/>
    <w:rsid w:val="00C649FD"/>
    <w:rsid w:val="00C67679"/>
    <w:rsid w:val="00C703BF"/>
    <w:rsid w:val="00C71566"/>
    <w:rsid w:val="00C7483A"/>
    <w:rsid w:val="00C75170"/>
    <w:rsid w:val="00C76CA7"/>
    <w:rsid w:val="00C776BB"/>
    <w:rsid w:val="00C81C25"/>
    <w:rsid w:val="00C82F66"/>
    <w:rsid w:val="00C8473B"/>
    <w:rsid w:val="00C85B7F"/>
    <w:rsid w:val="00C867DE"/>
    <w:rsid w:val="00C901BD"/>
    <w:rsid w:val="00C92D30"/>
    <w:rsid w:val="00C9365D"/>
    <w:rsid w:val="00CA10B8"/>
    <w:rsid w:val="00CA4693"/>
    <w:rsid w:val="00CB4921"/>
    <w:rsid w:val="00CB6EA1"/>
    <w:rsid w:val="00CC1132"/>
    <w:rsid w:val="00CC1ECC"/>
    <w:rsid w:val="00CC2E71"/>
    <w:rsid w:val="00CC3F9D"/>
    <w:rsid w:val="00CC4C9E"/>
    <w:rsid w:val="00CC6A69"/>
    <w:rsid w:val="00CD0A78"/>
    <w:rsid w:val="00CD243E"/>
    <w:rsid w:val="00CE0F74"/>
    <w:rsid w:val="00CE63B3"/>
    <w:rsid w:val="00CE66ED"/>
    <w:rsid w:val="00CE6F5E"/>
    <w:rsid w:val="00CF1B8F"/>
    <w:rsid w:val="00CF310A"/>
    <w:rsid w:val="00CF5A2B"/>
    <w:rsid w:val="00CF79C9"/>
    <w:rsid w:val="00D006DE"/>
    <w:rsid w:val="00D01CDA"/>
    <w:rsid w:val="00D02517"/>
    <w:rsid w:val="00D037AF"/>
    <w:rsid w:val="00D05CA1"/>
    <w:rsid w:val="00D125D8"/>
    <w:rsid w:val="00D169E4"/>
    <w:rsid w:val="00D23B25"/>
    <w:rsid w:val="00D24151"/>
    <w:rsid w:val="00D262BE"/>
    <w:rsid w:val="00D331CA"/>
    <w:rsid w:val="00D3366A"/>
    <w:rsid w:val="00D35C26"/>
    <w:rsid w:val="00D35C70"/>
    <w:rsid w:val="00D3748D"/>
    <w:rsid w:val="00D37547"/>
    <w:rsid w:val="00D37F8F"/>
    <w:rsid w:val="00D45159"/>
    <w:rsid w:val="00D45597"/>
    <w:rsid w:val="00D50D67"/>
    <w:rsid w:val="00D52794"/>
    <w:rsid w:val="00D5419A"/>
    <w:rsid w:val="00D5447D"/>
    <w:rsid w:val="00D60567"/>
    <w:rsid w:val="00D617EA"/>
    <w:rsid w:val="00D65EC3"/>
    <w:rsid w:val="00D66608"/>
    <w:rsid w:val="00D66DD3"/>
    <w:rsid w:val="00D70539"/>
    <w:rsid w:val="00D740D7"/>
    <w:rsid w:val="00D83E03"/>
    <w:rsid w:val="00D9242C"/>
    <w:rsid w:val="00D927EA"/>
    <w:rsid w:val="00D94001"/>
    <w:rsid w:val="00D95C49"/>
    <w:rsid w:val="00D978FA"/>
    <w:rsid w:val="00DA07D6"/>
    <w:rsid w:val="00DA30FD"/>
    <w:rsid w:val="00DA39FD"/>
    <w:rsid w:val="00DA466E"/>
    <w:rsid w:val="00DA7E96"/>
    <w:rsid w:val="00DB3DF8"/>
    <w:rsid w:val="00DC11A2"/>
    <w:rsid w:val="00DC5726"/>
    <w:rsid w:val="00DC7CB0"/>
    <w:rsid w:val="00DC7CD7"/>
    <w:rsid w:val="00DD221B"/>
    <w:rsid w:val="00DD27FA"/>
    <w:rsid w:val="00DD2B15"/>
    <w:rsid w:val="00DD645D"/>
    <w:rsid w:val="00DD64B3"/>
    <w:rsid w:val="00DD7A0B"/>
    <w:rsid w:val="00DE1189"/>
    <w:rsid w:val="00DE3F76"/>
    <w:rsid w:val="00DF0B3A"/>
    <w:rsid w:val="00DF104C"/>
    <w:rsid w:val="00DF3D9A"/>
    <w:rsid w:val="00DF4A4A"/>
    <w:rsid w:val="00DF6C70"/>
    <w:rsid w:val="00DF73A5"/>
    <w:rsid w:val="00E00E01"/>
    <w:rsid w:val="00E022D0"/>
    <w:rsid w:val="00E042C7"/>
    <w:rsid w:val="00E049FD"/>
    <w:rsid w:val="00E05863"/>
    <w:rsid w:val="00E07C79"/>
    <w:rsid w:val="00E11C79"/>
    <w:rsid w:val="00E156D5"/>
    <w:rsid w:val="00E3130D"/>
    <w:rsid w:val="00E31B86"/>
    <w:rsid w:val="00E3253C"/>
    <w:rsid w:val="00E34A54"/>
    <w:rsid w:val="00E366C1"/>
    <w:rsid w:val="00E42368"/>
    <w:rsid w:val="00E43592"/>
    <w:rsid w:val="00E447AF"/>
    <w:rsid w:val="00E44B48"/>
    <w:rsid w:val="00E47C34"/>
    <w:rsid w:val="00E47EE9"/>
    <w:rsid w:val="00E51923"/>
    <w:rsid w:val="00E52CFB"/>
    <w:rsid w:val="00E5502D"/>
    <w:rsid w:val="00E56CF5"/>
    <w:rsid w:val="00E61887"/>
    <w:rsid w:val="00E643B9"/>
    <w:rsid w:val="00E65012"/>
    <w:rsid w:val="00E6588F"/>
    <w:rsid w:val="00E70B47"/>
    <w:rsid w:val="00E73AB2"/>
    <w:rsid w:val="00E73BBB"/>
    <w:rsid w:val="00E73F78"/>
    <w:rsid w:val="00E74525"/>
    <w:rsid w:val="00E7661B"/>
    <w:rsid w:val="00E76BDF"/>
    <w:rsid w:val="00E77CC1"/>
    <w:rsid w:val="00E82162"/>
    <w:rsid w:val="00E833D5"/>
    <w:rsid w:val="00E8380B"/>
    <w:rsid w:val="00E839A3"/>
    <w:rsid w:val="00E85A27"/>
    <w:rsid w:val="00E85E6E"/>
    <w:rsid w:val="00E85F19"/>
    <w:rsid w:val="00E87C36"/>
    <w:rsid w:val="00E904B0"/>
    <w:rsid w:val="00E90B15"/>
    <w:rsid w:val="00E90DB6"/>
    <w:rsid w:val="00E93003"/>
    <w:rsid w:val="00E95890"/>
    <w:rsid w:val="00E967A2"/>
    <w:rsid w:val="00E9688D"/>
    <w:rsid w:val="00E97643"/>
    <w:rsid w:val="00EA69C9"/>
    <w:rsid w:val="00EB151E"/>
    <w:rsid w:val="00EB2C6C"/>
    <w:rsid w:val="00EB55AE"/>
    <w:rsid w:val="00EB5E55"/>
    <w:rsid w:val="00EC4BD8"/>
    <w:rsid w:val="00EC538A"/>
    <w:rsid w:val="00EC5F87"/>
    <w:rsid w:val="00EC6B99"/>
    <w:rsid w:val="00EC72EC"/>
    <w:rsid w:val="00ED0C75"/>
    <w:rsid w:val="00ED3347"/>
    <w:rsid w:val="00ED4C63"/>
    <w:rsid w:val="00ED533F"/>
    <w:rsid w:val="00ED74ED"/>
    <w:rsid w:val="00EE136C"/>
    <w:rsid w:val="00EE2EC9"/>
    <w:rsid w:val="00EE343B"/>
    <w:rsid w:val="00EE3C58"/>
    <w:rsid w:val="00EE434B"/>
    <w:rsid w:val="00EE4970"/>
    <w:rsid w:val="00EE4D20"/>
    <w:rsid w:val="00EE5D84"/>
    <w:rsid w:val="00EE6C82"/>
    <w:rsid w:val="00EE76AE"/>
    <w:rsid w:val="00EE7CCF"/>
    <w:rsid w:val="00EF03DB"/>
    <w:rsid w:val="00EF1051"/>
    <w:rsid w:val="00EF3C40"/>
    <w:rsid w:val="00EF536B"/>
    <w:rsid w:val="00EF6742"/>
    <w:rsid w:val="00F02805"/>
    <w:rsid w:val="00F043C7"/>
    <w:rsid w:val="00F05AA4"/>
    <w:rsid w:val="00F064F9"/>
    <w:rsid w:val="00F0676F"/>
    <w:rsid w:val="00F1059F"/>
    <w:rsid w:val="00F105A4"/>
    <w:rsid w:val="00F106B0"/>
    <w:rsid w:val="00F11D00"/>
    <w:rsid w:val="00F132D3"/>
    <w:rsid w:val="00F152B9"/>
    <w:rsid w:val="00F15BD7"/>
    <w:rsid w:val="00F207B6"/>
    <w:rsid w:val="00F23990"/>
    <w:rsid w:val="00F2439E"/>
    <w:rsid w:val="00F243B3"/>
    <w:rsid w:val="00F260C9"/>
    <w:rsid w:val="00F26734"/>
    <w:rsid w:val="00F26739"/>
    <w:rsid w:val="00F26E63"/>
    <w:rsid w:val="00F3041D"/>
    <w:rsid w:val="00F32A8E"/>
    <w:rsid w:val="00F427F8"/>
    <w:rsid w:val="00F4393A"/>
    <w:rsid w:val="00F46A6A"/>
    <w:rsid w:val="00F4796B"/>
    <w:rsid w:val="00F51EAC"/>
    <w:rsid w:val="00F5246B"/>
    <w:rsid w:val="00F5274C"/>
    <w:rsid w:val="00F54699"/>
    <w:rsid w:val="00F551E9"/>
    <w:rsid w:val="00F55DEE"/>
    <w:rsid w:val="00F56462"/>
    <w:rsid w:val="00F57E31"/>
    <w:rsid w:val="00F67695"/>
    <w:rsid w:val="00F762BD"/>
    <w:rsid w:val="00F77CCA"/>
    <w:rsid w:val="00F85F12"/>
    <w:rsid w:val="00F860D3"/>
    <w:rsid w:val="00F863EB"/>
    <w:rsid w:val="00F86A12"/>
    <w:rsid w:val="00F921D2"/>
    <w:rsid w:val="00F9320D"/>
    <w:rsid w:val="00F95313"/>
    <w:rsid w:val="00F954D4"/>
    <w:rsid w:val="00F955EF"/>
    <w:rsid w:val="00FA02C8"/>
    <w:rsid w:val="00FA40F6"/>
    <w:rsid w:val="00FB1697"/>
    <w:rsid w:val="00FB1F0C"/>
    <w:rsid w:val="00FB3597"/>
    <w:rsid w:val="00FB7AE9"/>
    <w:rsid w:val="00FC026E"/>
    <w:rsid w:val="00FC33F5"/>
    <w:rsid w:val="00FC670D"/>
    <w:rsid w:val="00FC6A6F"/>
    <w:rsid w:val="00FC6AD9"/>
    <w:rsid w:val="00FC7D19"/>
    <w:rsid w:val="00FD0C49"/>
    <w:rsid w:val="00FD2724"/>
    <w:rsid w:val="00FD388F"/>
    <w:rsid w:val="00FD68BA"/>
    <w:rsid w:val="00FD6AD2"/>
    <w:rsid w:val="00FE12EE"/>
    <w:rsid w:val="00FE280D"/>
    <w:rsid w:val="00FE2D53"/>
    <w:rsid w:val="00FF12E3"/>
    <w:rsid w:val="00FF5737"/>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E50EF"/>
  <w15:docId w15:val="{E78DD984-0D8B-4E42-8B1D-AE09DCE6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030"/>
    <w:rPr>
      <w:rFonts w:ascii="Times New Roman" w:eastAsia="Times New Roman" w:hAnsi="Times New Roman" w:cs="Times New Roman"/>
      <w:lang w:val="en-GB"/>
    </w:rPr>
  </w:style>
  <w:style w:type="paragraph" w:styleId="Heading1">
    <w:name w:val="heading 1"/>
    <w:basedOn w:val="Normal"/>
    <w:next w:val="Normal"/>
    <w:link w:val="Heading1Char"/>
    <w:qFormat/>
    <w:rsid w:val="00093030"/>
    <w:pPr>
      <w:keepNext/>
      <w:spacing w:line="360" w:lineRule="auto"/>
      <w:outlineLvl w:val="0"/>
    </w:pPr>
    <w:rPr>
      <w:rFonts w:ascii="Arial" w:hAnsi="Arial" w:cs="Arial"/>
      <w:b/>
      <w:bCs/>
      <w:sz w:val="28"/>
    </w:rPr>
  </w:style>
  <w:style w:type="paragraph" w:styleId="Heading2">
    <w:name w:val="heading 2"/>
    <w:basedOn w:val="Normal"/>
    <w:next w:val="Normal"/>
    <w:link w:val="Heading2Char"/>
    <w:uiPriority w:val="9"/>
    <w:semiHidden/>
    <w:unhideWhenUsed/>
    <w:qFormat/>
    <w:rsid w:val="008E5BB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093030"/>
    <w:pPr>
      <w:keepNext/>
      <w:spacing w:line="360" w:lineRule="auto"/>
      <w:jc w:val="both"/>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3030"/>
    <w:rPr>
      <w:rFonts w:ascii="Arial" w:eastAsia="Times New Roman" w:hAnsi="Arial" w:cs="Arial"/>
      <w:b/>
      <w:bCs/>
      <w:sz w:val="28"/>
      <w:lang w:val="en-GB"/>
    </w:rPr>
  </w:style>
  <w:style w:type="character" w:customStyle="1" w:styleId="Heading3Char">
    <w:name w:val="Heading 3 Char"/>
    <w:basedOn w:val="DefaultParagraphFont"/>
    <w:link w:val="Heading3"/>
    <w:rsid w:val="00093030"/>
    <w:rPr>
      <w:rFonts w:ascii="Arial" w:eastAsia="Times New Roman" w:hAnsi="Arial" w:cs="Arial"/>
      <w:i/>
      <w:iCs/>
      <w:sz w:val="28"/>
      <w:lang w:val="en-GB"/>
    </w:rPr>
  </w:style>
  <w:style w:type="paragraph" w:styleId="Header">
    <w:name w:val="header"/>
    <w:basedOn w:val="Normal"/>
    <w:link w:val="HeaderChar"/>
    <w:uiPriority w:val="99"/>
    <w:rsid w:val="00093030"/>
    <w:pPr>
      <w:tabs>
        <w:tab w:val="center" w:pos="4153"/>
        <w:tab w:val="right" w:pos="8306"/>
      </w:tabs>
    </w:pPr>
  </w:style>
  <w:style w:type="character" w:customStyle="1" w:styleId="HeaderChar">
    <w:name w:val="Header Char"/>
    <w:basedOn w:val="DefaultParagraphFont"/>
    <w:link w:val="Header"/>
    <w:uiPriority w:val="99"/>
    <w:rsid w:val="00093030"/>
    <w:rPr>
      <w:rFonts w:ascii="Times New Roman" w:eastAsia="Times New Roman" w:hAnsi="Times New Roman" w:cs="Times New Roman"/>
      <w:lang w:val="en-GB"/>
    </w:rPr>
  </w:style>
  <w:style w:type="character" w:styleId="PageNumber">
    <w:name w:val="page number"/>
    <w:basedOn w:val="DefaultParagraphFont"/>
    <w:rsid w:val="00093030"/>
    <w:rPr>
      <w:rFonts w:cs="Times New Roman"/>
    </w:rPr>
  </w:style>
  <w:style w:type="paragraph" w:styleId="FootnoteText">
    <w:name w:val="footnote text"/>
    <w:basedOn w:val="Normal"/>
    <w:link w:val="FootnoteTextChar"/>
    <w:uiPriority w:val="99"/>
    <w:rsid w:val="00093030"/>
    <w:rPr>
      <w:sz w:val="20"/>
      <w:szCs w:val="20"/>
    </w:rPr>
  </w:style>
  <w:style w:type="character" w:customStyle="1" w:styleId="FootnoteTextChar">
    <w:name w:val="Footnote Text Char"/>
    <w:basedOn w:val="DefaultParagraphFont"/>
    <w:link w:val="FootnoteText"/>
    <w:uiPriority w:val="99"/>
    <w:rsid w:val="00093030"/>
    <w:rPr>
      <w:rFonts w:ascii="Times New Roman" w:eastAsia="Times New Roman" w:hAnsi="Times New Roman" w:cs="Times New Roman"/>
      <w:sz w:val="20"/>
      <w:szCs w:val="20"/>
      <w:lang w:val="en-GB"/>
    </w:rPr>
  </w:style>
  <w:style w:type="paragraph" w:customStyle="1" w:styleId="Pa3">
    <w:name w:val="Pa3"/>
    <w:basedOn w:val="Normal"/>
    <w:next w:val="Normal"/>
    <w:uiPriority w:val="99"/>
    <w:rsid w:val="00093030"/>
    <w:pPr>
      <w:autoSpaceDE w:val="0"/>
      <w:autoSpaceDN w:val="0"/>
      <w:adjustRightInd w:val="0"/>
      <w:spacing w:line="241" w:lineRule="atLeast"/>
    </w:pPr>
    <w:rPr>
      <w:rFonts w:ascii="Arial" w:hAnsi="Arial"/>
    </w:rPr>
  </w:style>
  <w:style w:type="paragraph" w:styleId="NormalIndent">
    <w:name w:val="Normal Indent"/>
    <w:basedOn w:val="Normal"/>
    <w:uiPriority w:val="99"/>
    <w:semiHidden/>
    <w:unhideWhenUsed/>
    <w:rsid w:val="00093030"/>
    <w:pPr>
      <w:spacing w:line="480" w:lineRule="auto"/>
      <w:ind w:left="720"/>
      <w:jc w:val="both"/>
    </w:pPr>
    <w:rPr>
      <w:sz w:val="28"/>
      <w:szCs w:val="28"/>
    </w:rPr>
  </w:style>
  <w:style w:type="paragraph" w:styleId="ListParagraph">
    <w:name w:val="List Paragraph"/>
    <w:basedOn w:val="Normal"/>
    <w:uiPriority w:val="34"/>
    <w:qFormat/>
    <w:rsid w:val="00093030"/>
    <w:pPr>
      <w:ind w:left="720"/>
      <w:contextualSpacing/>
    </w:pPr>
  </w:style>
  <w:style w:type="paragraph" w:styleId="BalloonText">
    <w:name w:val="Balloon Text"/>
    <w:basedOn w:val="Normal"/>
    <w:link w:val="BalloonTextChar"/>
    <w:uiPriority w:val="99"/>
    <w:semiHidden/>
    <w:unhideWhenUsed/>
    <w:rsid w:val="001975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59D"/>
    <w:rPr>
      <w:rFonts w:ascii="Segoe UI" w:eastAsia="Times New Roman" w:hAnsi="Segoe UI" w:cs="Segoe UI"/>
      <w:sz w:val="18"/>
      <w:szCs w:val="18"/>
      <w:lang w:val="en-GB"/>
    </w:rPr>
  </w:style>
  <w:style w:type="character" w:styleId="FootnoteReference">
    <w:name w:val="footnote reference"/>
    <w:basedOn w:val="DefaultParagraphFont"/>
    <w:uiPriority w:val="99"/>
    <w:semiHidden/>
    <w:unhideWhenUsed/>
    <w:rsid w:val="0018188C"/>
    <w:rPr>
      <w:vertAlign w:val="superscript"/>
    </w:rPr>
  </w:style>
  <w:style w:type="paragraph" w:styleId="Footer">
    <w:name w:val="footer"/>
    <w:basedOn w:val="Normal"/>
    <w:link w:val="FooterChar"/>
    <w:uiPriority w:val="99"/>
    <w:unhideWhenUsed/>
    <w:rsid w:val="004527E5"/>
    <w:pPr>
      <w:tabs>
        <w:tab w:val="center" w:pos="4513"/>
        <w:tab w:val="right" w:pos="9026"/>
      </w:tabs>
    </w:pPr>
  </w:style>
  <w:style w:type="character" w:customStyle="1" w:styleId="FooterChar">
    <w:name w:val="Footer Char"/>
    <w:basedOn w:val="DefaultParagraphFont"/>
    <w:link w:val="Footer"/>
    <w:uiPriority w:val="99"/>
    <w:rsid w:val="004527E5"/>
    <w:rPr>
      <w:rFonts w:ascii="Times New Roman" w:eastAsia="Times New Roman" w:hAnsi="Times New Roman" w:cs="Times New Roman"/>
      <w:lang w:val="en-GB"/>
    </w:rPr>
  </w:style>
  <w:style w:type="character" w:styleId="CommentReference">
    <w:name w:val="annotation reference"/>
    <w:basedOn w:val="DefaultParagraphFont"/>
    <w:uiPriority w:val="99"/>
    <w:semiHidden/>
    <w:unhideWhenUsed/>
    <w:rsid w:val="00271F83"/>
    <w:rPr>
      <w:sz w:val="16"/>
      <w:szCs w:val="16"/>
    </w:rPr>
  </w:style>
  <w:style w:type="paragraph" w:styleId="CommentText">
    <w:name w:val="annotation text"/>
    <w:basedOn w:val="Normal"/>
    <w:link w:val="CommentTextChar"/>
    <w:uiPriority w:val="99"/>
    <w:semiHidden/>
    <w:unhideWhenUsed/>
    <w:rsid w:val="00271F83"/>
    <w:rPr>
      <w:sz w:val="20"/>
      <w:szCs w:val="20"/>
    </w:rPr>
  </w:style>
  <w:style w:type="character" w:customStyle="1" w:styleId="CommentTextChar">
    <w:name w:val="Comment Text Char"/>
    <w:basedOn w:val="DefaultParagraphFont"/>
    <w:link w:val="CommentText"/>
    <w:uiPriority w:val="99"/>
    <w:semiHidden/>
    <w:rsid w:val="00271F8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71F83"/>
    <w:rPr>
      <w:b/>
      <w:bCs/>
    </w:rPr>
  </w:style>
  <w:style w:type="character" w:customStyle="1" w:styleId="CommentSubjectChar">
    <w:name w:val="Comment Subject Char"/>
    <w:basedOn w:val="CommentTextChar"/>
    <w:link w:val="CommentSubject"/>
    <w:uiPriority w:val="99"/>
    <w:semiHidden/>
    <w:rsid w:val="00271F83"/>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C3376F"/>
    <w:rPr>
      <w:color w:val="0563C1" w:themeColor="hyperlink"/>
      <w:u w:val="single"/>
    </w:rPr>
  </w:style>
  <w:style w:type="character" w:customStyle="1" w:styleId="Heading2Char">
    <w:name w:val="Heading 2 Char"/>
    <w:basedOn w:val="DefaultParagraphFont"/>
    <w:link w:val="Heading2"/>
    <w:uiPriority w:val="9"/>
    <w:semiHidden/>
    <w:rsid w:val="008E5BB6"/>
    <w:rPr>
      <w:rFonts w:asciiTheme="majorHAnsi" w:eastAsiaTheme="majorEastAsia" w:hAnsiTheme="majorHAnsi" w:cstheme="majorBidi"/>
      <w:color w:val="2F5496" w:themeColor="accent1" w:themeShade="BF"/>
      <w:sz w:val="26"/>
      <w:szCs w:val="26"/>
      <w:lang w:val="en-GB"/>
    </w:rPr>
  </w:style>
  <w:style w:type="paragraph" w:styleId="Revision">
    <w:name w:val="Revision"/>
    <w:hidden/>
    <w:uiPriority w:val="99"/>
    <w:semiHidden/>
    <w:rsid w:val="009054A4"/>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98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AEF10-9313-43C0-A4CF-065E9EB79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2724</Words>
  <Characters>15529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Wallis</dc:creator>
  <cp:keywords/>
  <dc:description/>
  <cp:lastModifiedBy>Ayanda Mdletshe</cp:lastModifiedBy>
  <cp:revision>2</cp:revision>
  <cp:lastPrinted>2022-05-31T07:02:00Z</cp:lastPrinted>
  <dcterms:created xsi:type="dcterms:W3CDTF">2022-06-06T10:31:00Z</dcterms:created>
  <dcterms:modified xsi:type="dcterms:W3CDTF">2022-06-06T10:31:00Z</dcterms:modified>
</cp:coreProperties>
</file>