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BA249" w14:textId="77777777" w:rsidR="00D139A3" w:rsidRPr="002D3A2A" w:rsidRDefault="00D139A3" w:rsidP="00D139A3">
      <w:pPr>
        <w:autoSpaceDE w:val="0"/>
        <w:autoSpaceDN w:val="0"/>
        <w:adjustRightInd w:val="0"/>
        <w:spacing w:after="0" w:line="360" w:lineRule="auto"/>
        <w:rPr>
          <w:rFonts w:ascii="Times New Roman" w:eastAsia="Times New Roman" w:hAnsi="Times New Roman" w:cs="Times New Roman"/>
          <w:sz w:val="28"/>
          <w:szCs w:val="28"/>
          <w:lang w:val="en-US"/>
        </w:rPr>
      </w:pPr>
      <w:r w:rsidRPr="002D3A2A">
        <w:rPr>
          <w:noProof/>
          <w:lang w:eastAsia="en-ZA"/>
        </w:rPr>
        <w:drawing>
          <wp:anchor distT="0" distB="0" distL="114300" distR="114300" simplePos="0" relativeHeight="251659264" behindDoc="0" locked="0" layoutInCell="1" allowOverlap="1" wp14:anchorId="730B3E00" wp14:editId="11568C0D">
            <wp:simplePos x="0" y="0"/>
            <wp:positionH relativeFrom="column">
              <wp:posOffset>2590800</wp:posOffset>
            </wp:positionH>
            <wp:positionV relativeFrom="paragraph">
              <wp:posOffset>-342900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169DA449" w14:textId="77777777" w:rsidR="00D139A3" w:rsidRPr="002D3A2A" w:rsidRDefault="00D139A3" w:rsidP="00D139A3">
      <w:pPr>
        <w:spacing w:after="0" w:line="360" w:lineRule="auto"/>
        <w:jc w:val="both"/>
        <w:rPr>
          <w:rFonts w:ascii="Times New Roman" w:eastAsia="Times New Roman" w:hAnsi="Times New Roman" w:cs="Times New Roman"/>
          <w:sz w:val="28"/>
          <w:szCs w:val="28"/>
          <w:lang w:val="en-US"/>
        </w:rPr>
      </w:pPr>
    </w:p>
    <w:p w14:paraId="38B44F39" w14:textId="77777777" w:rsidR="00D139A3" w:rsidRPr="002D3A2A" w:rsidRDefault="00D139A3" w:rsidP="00D139A3">
      <w:pPr>
        <w:spacing w:after="0" w:line="360" w:lineRule="auto"/>
        <w:jc w:val="both"/>
        <w:rPr>
          <w:rFonts w:ascii="Times New Roman" w:eastAsia="Times New Roman" w:hAnsi="Times New Roman" w:cs="Times New Roman"/>
          <w:sz w:val="28"/>
          <w:szCs w:val="28"/>
          <w:lang w:val="en-US"/>
        </w:rPr>
      </w:pPr>
    </w:p>
    <w:p w14:paraId="78501B37" w14:textId="77777777" w:rsidR="00D139A3" w:rsidRPr="002D3A2A" w:rsidRDefault="00D139A3" w:rsidP="00FA6203">
      <w:pPr>
        <w:spacing w:after="0" w:line="276" w:lineRule="auto"/>
        <w:jc w:val="both"/>
        <w:rPr>
          <w:rFonts w:ascii="Times New Roman" w:eastAsia="Times New Roman" w:hAnsi="Times New Roman" w:cs="Times New Roman"/>
          <w:sz w:val="28"/>
          <w:szCs w:val="28"/>
          <w:lang w:val="en-US"/>
        </w:rPr>
      </w:pPr>
    </w:p>
    <w:p w14:paraId="34310132" w14:textId="77777777" w:rsidR="00D139A3" w:rsidRPr="002D3A2A" w:rsidRDefault="00D139A3" w:rsidP="00A02286">
      <w:pPr>
        <w:autoSpaceDE w:val="0"/>
        <w:autoSpaceDN w:val="0"/>
        <w:adjustRightInd w:val="0"/>
        <w:spacing w:after="0" w:line="240" w:lineRule="auto"/>
        <w:jc w:val="center"/>
        <w:rPr>
          <w:rFonts w:ascii="Times New Roman" w:eastAsia="Times New Roman" w:hAnsi="Times New Roman" w:cs="Times New Roman"/>
          <w:b/>
          <w:bCs/>
          <w:sz w:val="28"/>
          <w:szCs w:val="28"/>
          <w:lang w:val="en-US"/>
        </w:rPr>
      </w:pPr>
      <w:r w:rsidRPr="002D3A2A">
        <w:rPr>
          <w:rFonts w:ascii="Times New Roman" w:eastAsia="Times New Roman" w:hAnsi="Times New Roman" w:cs="Times New Roman"/>
          <w:b/>
          <w:bCs/>
          <w:sz w:val="28"/>
          <w:szCs w:val="28"/>
          <w:lang w:val="en-US"/>
        </w:rPr>
        <w:t xml:space="preserve">     THE SUPREME COURT OF APPEAL OF SOUTH AFRICA</w:t>
      </w:r>
    </w:p>
    <w:p w14:paraId="5707AA83" w14:textId="77777777" w:rsidR="00D139A3" w:rsidRPr="002D3A2A" w:rsidRDefault="00D139A3" w:rsidP="00A02286">
      <w:pPr>
        <w:spacing w:after="0" w:line="360" w:lineRule="auto"/>
        <w:jc w:val="center"/>
        <w:rPr>
          <w:rFonts w:ascii="Times New Roman" w:eastAsia="Times New Roman" w:hAnsi="Times New Roman" w:cs="Times New Roman"/>
          <w:b/>
          <w:bCs/>
          <w:sz w:val="28"/>
          <w:szCs w:val="28"/>
          <w:lang w:val="en-GB" w:eastAsia="en-GB"/>
        </w:rPr>
      </w:pPr>
      <w:r w:rsidRPr="002D3A2A">
        <w:rPr>
          <w:rFonts w:ascii="Times New Roman" w:eastAsia="Times New Roman" w:hAnsi="Times New Roman" w:cs="Times New Roman"/>
          <w:b/>
          <w:bCs/>
          <w:sz w:val="28"/>
          <w:szCs w:val="28"/>
          <w:lang w:val="en-GB" w:eastAsia="en-GB"/>
        </w:rPr>
        <w:t>JUDGMENT</w:t>
      </w:r>
    </w:p>
    <w:p w14:paraId="5C254B24" w14:textId="77777777" w:rsidR="00D139A3" w:rsidRPr="002D3A2A" w:rsidRDefault="00D139A3" w:rsidP="00A02286">
      <w:pPr>
        <w:spacing w:after="120" w:line="360" w:lineRule="auto"/>
        <w:jc w:val="right"/>
        <w:rPr>
          <w:rFonts w:ascii="Times New Roman" w:eastAsia="Times New Roman" w:hAnsi="Times New Roman" w:cs="Times New Roman"/>
          <w:b/>
          <w:bCs/>
          <w:sz w:val="28"/>
          <w:szCs w:val="28"/>
        </w:rPr>
      </w:pPr>
      <w:r w:rsidRPr="002D3A2A">
        <w:rPr>
          <w:rFonts w:ascii="Times New Roman" w:eastAsia="Times New Roman" w:hAnsi="Times New Roman" w:cs="Times New Roman"/>
          <w:b/>
          <w:sz w:val="28"/>
          <w:szCs w:val="28"/>
          <w:lang w:eastAsia="en-GB"/>
        </w:rPr>
        <w:t xml:space="preserve"> </w:t>
      </w:r>
      <w:r w:rsidR="008C560B" w:rsidRPr="002D3A2A">
        <w:rPr>
          <w:rFonts w:ascii="Times New Roman" w:eastAsia="Times New Roman" w:hAnsi="Times New Roman" w:cs="Times New Roman"/>
          <w:b/>
          <w:sz w:val="28"/>
          <w:szCs w:val="28"/>
          <w:lang w:eastAsia="en-GB"/>
        </w:rPr>
        <w:t>Reportable</w:t>
      </w:r>
    </w:p>
    <w:p w14:paraId="1DC07EF8" w14:textId="77777777" w:rsidR="00D139A3" w:rsidRPr="002D3A2A" w:rsidRDefault="00366509" w:rsidP="00482803">
      <w:pPr>
        <w:spacing w:line="360" w:lineRule="auto"/>
        <w:jc w:val="right"/>
        <w:rPr>
          <w:rFonts w:ascii="Times New Roman" w:eastAsia="Times New Roman" w:hAnsi="Times New Roman" w:cs="Times New Roman"/>
          <w:sz w:val="28"/>
          <w:szCs w:val="28"/>
          <w:lang w:eastAsia="en-GB"/>
        </w:rPr>
      </w:pPr>
      <w:r w:rsidRPr="002D3A2A">
        <w:rPr>
          <w:rFonts w:ascii="Times New Roman" w:eastAsia="Times New Roman" w:hAnsi="Times New Roman" w:cs="Times New Roman"/>
          <w:sz w:val="28"/>
          <w:szCs w:val="28"/>
          <w:lang w:val="en-GB" w:eastAsia="en-GB"/>
        </w:rPr>
        <w:t xml:space="preserve">Case No: </w:t>
      </w:r>
      <w:r w:rsidR="00E36C67" w:rsidRPr="002D3A2A">
        <w:rPr>
          <w:rFonts w:ascii="Times New Roman" w:eastAsia="Times New Roman" w:hAnsi="Times New Roman" w:cs="Times New Roman"/>
          <w:sz w:val="28"/>
          <w:szCs w:val="28"/>
          <w:lang w:val="en-GB" w:eastAsia="en-GB"/>
        </w:rPr>
        <w:t>7</w:t>
      </w:r>
      <w:r w:rsidR="00B55F85" w:rsidRPr="002D3A2A">
        <w:rPr>
          <w:rFonts w:ascii="Times New Roman" w:eastAsia="Times New Roman" w:hAnsi="Times New Roman" w:cs="Times New Roman"/>
          <w:sz w:val="28"/>
          <w:szCs w:val="28"/>
          <w:lang w:val="en-GB" w:eastAsia="en-GB"/>
        </w:rPr>
        <w:t>51</w:t>
      </w:r>
      <w:r w:rsidR="008C560B" w:rsidRPr="002D3A2A">
        <w:rPr>
          <w:rFonts w:ascii="Times New Roman" w:eastAsia="Times New Roman" w:hAnsi="Times New Roman" w:cs="Times New Roman"/>
          <w:sz w:val="28"/>
          <w:szCs w:val="28"/>
          <w:lang w:val="en-GB" w:eastAsia="en-GB"/>
        </w:rPr>
        <w:t>/21</w:t>
      </w:r>
    </w:p>
    <w:p w14:paraId="601CB3DA" w14:textId="77777777" w:rsidR="00D139A3" w:rsidRPr="002D3A2A" w:rsidRDefault="00D139A3" w:rsidP="00A02286">
      <w:pPr>
        <w:spacing w:after="0" w:line="360" w:lineRule="auto"/>
        <w:jc w:val="both"/>
        <w:rPr>
          <w:rFonts w:ascii="Times New Roman" w:eastAsia="Times New Roman" w:hAnsi="Times New Roman" w:cs="Times New Roman"/>
          <w:sz w:val="28"/>
          <w:szCs w:val="28"/>
          <w:lang w:val="en-GB" w:eastAsia="en-GB"/>
        </w:rPr>
      </w:pPr>
      <w:r w:rsidRPr="002D3A2A">
        <w:rPr>
          <w:rFonts w:ascii="Times New Roman" w:eastAsia="Times New Roman" w:hAnsi="Times New Roman" w:cs="Times New Roman"/>
          <w:sz w:val="28"/>
          <w:szCs w:val="28"/>
          <w:lang w:val="en-GB" w:eastAsia="en-GB"/>
        </w:rPr>
        <w:t>In the matter between:</w:t>
      </w:r>
    </w:p>
    <w:p w14:paraId="482CAC1A" w14:textId="77777777" w:rsidR="00D139A3" w:rsidRPr="002D3A2A" w:rsidRDefault="00D139A3" w:rsidP="00482803">
      <w:pPr>
        <w:spacing w:after="0" w:line="276" w:lineRule="auto"/>
        <w:jc w:val="both"/>
        <w:rPr>
          <w:rFonts w:ascii="Times New Roman" w:eastAsia="Times New Roman" w:hAnsi="Times New Roman" w:cs="Times New Roman"/>
          <w:b/>
          <w:sz w:val="28"/>
          <w:szCs w:val="28"/>
          <w:lang w:val="en-GB" w:eastAsia="en-GB"/>
        </w:rPr>
      </w:pPr>
    </w:p>
    <w:p w14:paraId="74D34F96" w14:textId="51017203" w:rsidR="00B55F85" w:rsidRPr="002D3A2A" w:rsidRDefault="00B55F85" w:rsidP="00A02286">
      <w:pPr>
        <w:tabs>
          <w:tab w:val="right" w:pos="9480"/>
        </w:tabs>
        <w:spacing w:after="0" w:line="360" w:lineRule="auto"/>
        <w:jc w:val="both"/>
        <w:rPr>
          <w:rFonts w:ascii="Times New Roman" w:eastAsia="Times New Roman" w:hAnsi="Times New Roman" w:cs="Times New Roman"/>
          <w:b/>
          <w:sz w:val="28"/>
          <w:szCs w:val="28"/>
          <w:lang w:eastAsia="en-GB"/>
        </w:rPr>
      </w:pPr>
      <w:r w:rsidRPr="002D3A2A">
        <w:rPr>
          <w:rFonts w:ascii="Times New Roman" w:eastAsia="Times New Roman" w:hAnsi="Times New Roman" w:cs="Times New Roman"/>
          <w:b/>
          <w:sz w:val="28"/>
          <w:szCs w:val="28"/>
          <w:lang w:eastAsia="en-GB"/>
        </w:rPr>
        <w:t>COMMISSIONER FOR THE SOUTH</w:t>
      </w:r>
      <w:r w:rsidR="008C560B" w:rsidRPr="002D3A2A">
        <w:rPr>
          <w:rFonts w:ascii="Times New Roman" w:eastAsia="Times New Roman" w:hAnsi="Times New Roman" w:cs="Times New Roman"/>
          <w:b/>
          <w:sz w:val="28"/>
          <w:szCs w:val="28"/>
          <w:lang w:eastAsia="en-GB"/>
        </w:rPr>
        <w:t xml:space="preserve">      </w:t>
      </w:r>
      <w:r w:rsidR="00712E70" w:rsidRPr="002D3A2A">
        <w:rPr>
          <w:rFonts w:ascii="Times New Roman" w:eastAsia="Times New Roman" w:hAnsi="Times New Roman" w:cs="Times New Roman"/>
          <w:b/>
          <w:sz w:val="28"/>
          <w:szCs w:val="28"/>
          <w:lang w:eastAsia="en-GB"/>
        </w:rPr>
        <w:t xml:space="preserve">      </w:t>
      </w:r>
    </w:p>
    <w:p w14:paraId="69A12E24" w14:textId="77777777" w:rsidR="00D139A3" w:rsidRPr="002D3A2A" w:rsidRDefault="00B55F85" w:rsidP="00A02286">
      <w:pPr>
        <w:tabs>
          <w:tab w:val="right" w:pos="9480"/>
        </w:tabs>
        <w:spacing w:after="0" w:line="360" w:lineRule="auto"/>
        <w:jc w:val="both"/>
        <w:rPr>
          <w:rFonts w:ascii="Times New Roman" w:eastAsia="Times New Roman" w:hAnsi="Times New Roman" w:cs="Times New Roman"/>
          <w:b/>
          <w:sz w:val="28"/>
          <w:szCs w:val="28"/>
          <w:lang w:val="en-GB" w:eastAsia="en-GB"/>
        </w:rPr>
      </w:pPr>
      <w:r w:rsidRPr="002D3A2A">
        <w:rPr>
          <w:rFonts w:ascii="Times New Roman" w:eastAsia="Times New Roman" w:hAnsi="Times New Roman" w:cs="Times New Roman"/>
          <w:b/>
          <w:sz w:val="28"/>
          <w:szCs w:val="28"/>
          <w:lang w:eastAsia="en-GB"/>
        </w:rPr>
        <w:t xml:space="preserve">AFRICAN REVENUE SERVICE                                    </w:t>
      </w:r>
      <w:r w:rsidR="008C560B" w:rsidRPr="002D3A2A">
        <w:rPr>
          <w:rFonts w:ascii="Times New Roman" w:eastAsia="Times New Roman" w:hAnsi="Times New Roman" w:cs="Times New Roman"/>
          <w:b/>
          <w:sz w:val="28"/>
          <w:szCs w:val="28"/>
          <w:lang w:eastAsia="en-GB"/>
        </w:rPr>
        <w:t xml:space="preserve">FIRST </w:t>
      </w:r>
      <w:r w:rsidR="00D139A3" w:rsidRPr="002D3A2A">
        <w:rPr>
          <w:rFonts w:ascii="Times New Roman" w:eastAsia="Times New Roman" w:hAnsi="Times New Roman" w:cs="Times New Roman"/>
          <w:b/>
          <w:sz w:val="28"/>
          <w:szCs w:val="28"/>
          <w:lang w:val="en-GB" w:eastAsia="en-GB"/>
        </w:rPr>
        <w:t>APPELLANT</w:t>
      </w:r>
    </w:p>
    <w:p w14:paraId="677416A2" w14:textId="074174C0" w:rsidR="00B55F85" w:rsidRPr="002D3A2A" w:rsidRDefault="00B55F85" w:rsidP="00A02286">
      <w:pPr>
        <w:tabs>
          <w:tab w:val="right" w:pos="9480"/>
        </w:tabs>
        <w:spacing w:after="0" w:line="360" w:lineRule="auto"/>
        <w:jc w:val="both"/>
        <w:rPr>
          <w:rFonts w:ascii="Times New Roman" w:eastAsia="Times New Roman" w:hAnsi="Times New Roman" w:cs="Times New Roman"/>
          <w:b/>
          <w:sz w:val="28"/>
          <w:szCs w:val="28"/>
          <w:lang w:val="en-GB" w:eastAsia="en-GB"/>
        </w:rPr>
      </w:pPr>
      <w:r w:rsidRPr="002D3A2A">
        <w:rPr>
          <w:rFonts w:ascii="Times New Roman" w:eastAsia="Times New Roman" w:hAnsi="Times New Roman" w:cs="Times New Roman"/>
          <w:b/>
          <w:sz w:val="28"/>
          <w:szCs w:val="28"/>
          <w:lang w:val="en-GB" w:eastAsia="en-GB"/>
        </w:rPr>
        <w:t>MINISTER FOR TRADE, INDUSTRY</w:t>
      </w:r>
      <w:r w:rsidR="00E36C67" w:rsidRPr="002D3A2A">
        <w:rPr>
          <w:rFonts w:ascii="Times New Roman" w:eastAsia="Times New Roman" w:hAnsi="Times New Roman" w:cs="Times New Roman"/>
          <w:b/>
          <w:sz w:val="28"/>
          <w:szCs w:val="28"/>
          <w:lang w:val="en-GB" w:eastAsia="en-GB"/>
        </w:rPr>
        <w:t xml:space="preserve"> </w:t>
      </w:r>
      <w:r w:rsidR="00F308F4" w:rsidRPr="002D3A2A">
        <w:rPr>
          <w:rFonts w:ascii="Times New Roman" w:eastAsia="Times New Roman" w:hAnsi="Times New Roman" w:cs="Times New Roman"/>
          <w:b/>
          <w:sz w:val="28"/>
          <w:szCs w:val="28"/>
          <w:lang w:val="en-GB" w:eastAsia="en-GB"/>
        </w:rPr>
        <w:t xml:space="preserve">                   </w:t>
      </w:r>
      <w:r w:rsidR="00E36C67" w:rsidRPr="002D3A2A">
        <w:rPr>
          <w:rFonts w:ascii="Times New Roman" w:eastAsia="Times New Roman" w:hAnsi="Times New Roman" w:cs="Times New Roman"/>
          <w:b/>
          <w:sz w:val="28"/>
          <w:szCs w:val="28"/>
          <w:lang w:val="en-GB" w:eastAsia="en-GB"/>
        </w:rPr>
        <w:t xml:space="preserve">  </w:t>
      </w:r>
    </w:p>
    <w:p w14:paraId="6B9532D8" w14:textId="77777777" w:rsidR="008C560B" w:rsidRPr="002D3A2A" w:rsidRDefault="00B55F85" w:rsidP="00A02286">
      <w:pPr>
        <w:tabs>
          <w:tab w:val="right" w:pos="9480"/>
        </w:tabs>
        <w:spacing w:after="0" w:line="360" w:lineRule="auto"/>
        <w:jc w:val="both"/>
        <w:rPr>
          <w:rFonts w:ascii="Times New Roman" w:eastAsia="Times New Roman" w:hAnsi="Times New Roman" w:cs="Times New Roman"/>
          <w:b/>
          <w:sz w:val="28"/>
          <w:szCs w:val="28"/>
          <w:lang w:val="en-GB" w:eastAsia="en-GB"/>
        </w:rPr>
      </w:pPr>
      <w:r w:rsidRPr="002D3A2A">
        <w:rPr>
          <w:rFonts w:ascii="Times New Roman" w:eastAsia="Times New Roman" w:hAnsi="Times New Roman" w:cs="Times New Roman"/>
          <w:b/>
          <w:sz w:val="28"/>
          <w:szCs w:val="28"/>
          <w:lang w:val="en-GB" w:eastAsia="en-GB"/>
        </w:rPr>
        <w:t xml:space="preserve">AND COMPETITION                                                  </w:t>
      </w:r>
      <w:r w:rsidR="00A02286" w:rsidRPr="002D3A2A">
        <w:rPr>
          <w:rFonts w:ascii="Times New Roman" w:eastAsia="Times New Roman" w:hAnsi="Times New Roman" w:cs="Times New Roman"/>
          <w:b/>
          <w:sz w:val="28"/>
          <w:szCs w:val="28"/>
          <w:lang w:val="en-GB" w:eastAsia="en-GB"/>
        </w:rPr>
        <w:t xml:space="preserve"> </w:t>
      </w:r>
      <w:r w:rsidR="008C560B" w:rsidRPr="002D3A2A">
        <w:rPr>
          <w:rFonts w:ascii="Times New Roman" w:eastAsia="Times New Roman" w:hAnsi="Times New Roman" w:cs="Times New Roman"/>
          <w:b/>
          <w:sz w:val="28"/>
          <w:szCs w:val="28"/>
          <w:lang w:val="en-GB" w:eastAsia="en-GB"/>
        </w:rPr>
        <w:t>SECOND APPELLANT</w:t>
      </w:r>
    </w:p>
    <w:p w14:paraId="55CC7B2F" w14:textId="69F6EDF4" w:rsidR="00B55F85" w:rsidRPr="002D3A2A" w:rsidRDefault="00B55F85" w:rsidP="00A02286">
      <w:pPr>
        <w:tabs>
          <w:tab w:val="right" w:pos="9480"/>
        </w:tabs>
        <w:spacing w:after="0" w:line="360" w:lineRule="auto"/>
        <w:jc w:val="both"/>
        <w:rPr>
          <w:rFonts w:ascii="Times New Roman" w:eastAsia="Times New Roman" w:hAnsi="Times New Roman" w:cs="Times New Roman"/>
          <w:b/>
          <w:sz w:val="28"/>
          <w:szCs w:val="28"/>
          <w:lang w:val="en-GB" w:eastAsia="en-GB"/>
        </w:rPr>
      </w:pPr>
      <w:r w:rsidRPr="002D3A2A">
        <w:rPr>
          <w:rFonts w:ascii="Times New Roman" w:eastAsia="Times New Roman" w:hAnsi="Times New Roman" w:cs="Times New Roman"/>
          <w:b/>
          <w:sz w:val="28"/>
          <w:szCs w:val="28"/>
          <w:lang w:val="en-GB" w:eastAsia="en-GB"/>
        </w:rPr>
        <w:t xml:space="preserve">SOUTH AFRICAN APPAREL </w:t>
      </w:r>
    </w:p>
    <w:p w14:paraId="209E9783" w14:textId="77777777" w:rsidR="00E36C67" w:rsidRPr="002D3A2A" w:rsidRDefault="00B55F85" w:rsidP="00A02286">
      <w:pPr>
        <w:tabs>
          <w:tab w:val="right" w:pos="9480"/>
        </w:tabs>
        <w:spacing w:after="0" w:line="360" w:lineRule="auto"/>
        <w:jc w:val="both"/>
        <w:rPr>
          <w:rFonts w:ascii="Times New Roman" w:eastAsia="Times New Roman" w:hAnsi="Times New Roman" w:cs="Times New Roman"/>
          <w:b/>
          <w:sz w:val="28"/>
          <w:szCs w:val="28"/>
          <w:lang w:val="en-GB" w:eastAsia="en-GB"/>
        </w:rPr>
      </w:pPr>
      <w:r w:rsidRPr="002D3A2A">
        <w:rPr>
          <w:rFonts w:ascii="Times New Roman" w:eastAsia="Times New Roman" w:hAnsi="Times New Roman" w:cs="Times New Roman"/>
          <w:b/>
          <w:sz w:val="28"/>
          <w:szCs w:val="28"/>
          <w:lang w:val="en-GB" w:eastAsia="en-GB"/>
        </w:rPr>
        <w:t>ASSOCIATION</w:t>
      </w:r>
      <w:r w:rsidR="00E36C67" w:rsidRPr="002D3A2A">
        <w:rPr>
          <w:rFonts w:ascii="Times New Roman" w:eastAsia="Times New Roman" w:hAnsi="Times New Roman" w:cs="Times New Roman"/>
          <w:b/>
          <w:sz w:val="28"/>
          <w:szCs w:val="28"/>
          <w:lang w:val="en-GB" w:eastAsia="en-GB"/>
        </w:rPr>
        <w:t xml:space="preserve">                        </w:t>
      </w:r>
      <w:r w:rsidRPr="002D3A2A">
        <w:rPr>
          <w:rFonts w:ascii="Times New Roman" w:eastAsia="Times New Roman" w:hAnsi="Times New Roman" w:cs="Times New Roman"/>
          <w:b/>
          <w:sz w:val="28"/>
          <w:szCs w:val="28"/>
          <w:lang w:val="en-GB" w:eastAsia="en-GB"/>
        </w:rPr>
        <w:t xml:space="preserve">                                         </w:t>
      </w:r>
      <w:r w:rsidR="00E36C67" w:rsidRPr="002D3A2A">
        <w:rPr>
          <w:rFonts w:ascii="Times New Roman" w:eastAsia="Times New Roman" w:hAnsi="Times New Roman" w:cs="Times New Roman"/>
          <w:b/>
          <w:sz w:val="28"/>
          <w:szCs w:val="28"/>
          <w:lang w:val="en-GB" w:eastAsia="en-GB"/>
        </w:rPr>
        <w:t>THIRD APPELLANT</w:t>
      </w:r>
    </w:p>
    <w:p w14:paraId="7F274378" w14:textId="77777777" w:rsidR="00B55F85" w:rsidRPr="002D3A2A" w:rsidRDefault="00B55F85" w:rsidP="00A02286">
      <w:pPr>
        <w:tabs>
          <w:tab w:val="right" w:pos="9480"/>
        </w:tabs>
        <w:spacing w:after="0" w:line="360" w:lineRule="auto"/>
        <w:jc w:val="both"/>
        <w:rPr>
          <w:rFonts w:ascii="Times New Roman" w:eastAsia="Times New Roman" w:hAnsi="Times New Roman" w:cs="Times New Roman"/>
          <w:b/>
          <w:sz w:val="28"/>
          <w:szCs w:val="28"/>
          <w:lang w:val="en-GB" w:eastAsia="en-GB"/>
        </w:rPr>
      </w:pPr>
      <w:r w:rsidRPr="002D3A2A">
        <w:rPr>
          <w:rFonts w:ascii="Times New Roman" w:eastAsia="Times New Roman" w:hAnsi="Times New Roman" w:cs="Times New Roman"/>
          <w:b/>
          <w:sz w:val="28"/>
          <w:szCs w:val="28"/>
          <w:lang w:val="en-GB" w:eastAsia="en-GB"/>
        </w:rPr>
        <w:t>APPAREL AND TEXTILE ASSOCIATION</w:t>
      </w:r>
    </w:p>
    <w:p w14:paraId="20544C5B" w14:textId="77777777" w:rsidR="00B55F85" w:rsidRPr="002D3A2A" w:rsidRDefault="00B55F85" w:rsidP="00A02286">
      <w:pPr>
        <w:tabs>
          <w:tab w:val="right" w:pos="9480"/>
        </w:tabs>
        <w:spacing w:after="0" w:line="360" w:lineRule="auto"/>
        <w:jc w:val="both"/>
        <w:rPr>
          <w:rFonts w:ascii="Times New Roman" w:eastAsia="Times New Roman" w:hAnsi="Times New Roman" w:cs="Times New Roman"/>
          <w:b/>
          <w:sz w:val="28"/>
          <w:szCs w:val="28"/>
          <w:lang w:val="en-GB" w:eastAsia="en-GB"/>
        </w:rPr>
      </w:pPr>
      <w:r w:rsidRPr="002D3A2A">
        <w:rPr>
          <w:rFonts w:ascii="Times New Roman" w:eastAsia="Times New Roman" w:hAnsi="Times New Roman" w:cs="Times New Roman"/>
          <w:b/>
          <w:sz w:val="28"/>
          <w:szCs w:val="28"/>
          <w:lang w:val="en-GB" w:eastAsia="en-GB"/>
        </w:rPr>
        <w:t>OF SOUTH AFRICA                                                   FOURTH APPELLANT</w:t>
      </w:r>
    </w:p>
    <w:p w14:paraId="5D01F8FA" w14:textId="77777777" w:rsidR="00B55F85" w:rsidRPr="002D3A2A" w:rsidRDefault="00B55F85" w:rsidP="00A02286">
      <w:pPr>
        <w:tabs>
          <w:tab w:val="right" w:pos="9480"/>
        </w:tabs>
        <w:spacing w:after="0" w:line="360" w:lineRule="auto"/>
        <w:jc w:val="both"/>
        <w:rPr>
          <w:rFonts w:ascii="Times New Roman" w:eastAsia="Times New Roman" w:hAnsi="Times New Roman" w:cs="Times New Roman"/>
          <w:b/>
          <w:sz w:val="28"/>
          <w:szCs w:val="28"/>
          <w:lang w:val="en-GB" w:eastAsia="en-GB"/>
        </w:rPr>
      </w:pPr>
      <w:r w:rsidRPr="002D3A2A">
        <w:rPr>
          <w:rFonts w:ascii="Times New Roman" w:eastAsia="Times New Roman" w:hAnsi="Times New Roman" w:cs="Times New Roman"/>
          <w:b/>
          <w:sz w:val="28"/>
          <w:szCs w:val="28"/>
          <w:lang w:val="en-GB" w:eastAsia="en-GB"/>
        </w:rPr>
        <w:t>SOUTHERN AFRICAN CLOTHING AND</w:t>
      </w:r>
    </w:p>
    <w:p w14:paraId="2FB97852" w14:textId="77777777" w:rsidR="00B55F85" w:rsidRPr="002D3A2A" w:rsidRDefault="00B55F85" w:rsidP="00A02286">
      <w:pPr>
        <w:tabs>
          <w:tab w:val="right" w:pos="9480"/>
        </w:tabs>
        <w:spacing w:after="0" w:line="240" w:lineRule="auto"/>
        <w:jc w:val="both"/>
        <w:rPr>
          <w:rFonts w:ascii="Times New Roman" w:eastAsia="Times New Roman" w:hAnsi="Times New Roman" w:cs="Times New Roman"/>
          <w:b/>
          <w:sz w:val="28"/>
          <w:szCs w:val="28"/>
          <w:lang w:val="en-GB" w:eastAsia="en-GB"/>
        </w:rPr>
      </w:pPr>
      <w:r w:rsidRPr="002D3A2A">
        <w:rPr>
          <w:rFonts w:ascii="Times New Roman" w:eastAsia="Times New Roman" w:hAnsi="Times New Roman" w:cs="Times New Roman"/>
          <w:b/>
          <w:sz w:val="28"/>
          <w:szCs w:val="28"/>
          <w:lang w:val="en-GB" w:eastAsia="en-GB"/>
        </w:rPr>
        <w:t>TEXTILE WORKERS UNION                                       FIFTH APPELLANT</w:t>
      </w:r>
    </w:p>
    <w:p w14:paraId="7949B209" w14:textId="77777777" w:rsidR="00D139A3" w:rsidRPr="002D3A2A" w:rsidRDefault="00D139A3" w:rsidP="00A02286">
      <w:pPr>
        <w:tabs>
          <w:tab w:val="right" w:pos="9480"/>
        </w:tabs>
        <w:spacing w:after="0" w:line="360" w:lineRule="auto"/>
        <w:jc w:val="both"/>
        <w:rPr>
          <w:rFonts w:ascii="Times New Roman" w:eastAsia="Times New Roman" w:hAnsi="Times New Roman" w:cs="Times New Roman"/>
          <w:b/>
          <w:sz w:val="28"/>
          <w:szCs w:val="28"/>
          <w:lang w:val="en-GB" w:eastAsia="en-GB"/>
        </w:rPr>
      </w:pPr>
    </w:p>
    <w:p w14:paraId="1B3FF1B7" w14:textId="77777777" w:rsidR="00D139A3" w:rsidRPr="002D3A2A" w:rsidRDefault="004B7CE4" w:rsidP="00A02286">
      <w:pPr>
        <w:tabs>
          <w:tab w:val="right" w:pos="9480"/>
        </w:tabs>
        <w:spacing w:after="0" w:line="240" w:lineRule="auto"/>
        <w:jc w:val="both"/>
        <w:rPr>
          <w:rFonts w:ascii="Times New Roman" w:eastAsia="Times New Roman" w:hAnsi="Times New Roman" w:cs="Times New Roman"/>
          <w:bCs/>
          <w:sz w:val="28"/>
          <w:szCs w:val="28"/>
          <w:lang w:val="en-GB" w:eastAsia="en-GB"/>
        </w:rPr>
      </w:pPr>
      <w:r w:rsidRPr="002D3A2A">
        <w:rPr>
          <w:rFonts w:ascii="Times New Roman" w:eastAsia="Times New Roman" w:hAnsi="Times New Roman" w:cs="Times New Roman"/>
          <w:bCs/>
          <w:sz w:val="28"/>
          <w:szCs w:val="28"/>
          <w:lang w:val="en-GB" w:eastAsia="en-GB"/>
        </w:rPr>
        <w:t>a</w:t>
      </w:r>
      <w:r w:rsidR="00D139A3" w:rsidRPr="002D3A2A">
        <w:rPr>
          <w:rFonts w:ascii="Times New Roman" w:eastAsia="Times New Roman" w:hAnsi="Times New Roman" w:cs="Times New Roman"/>
          <w:bCs/>
          <w:sz w:val="28"/>
          <w:szCs w:val="28"/>
          <w:lang w:val="en-GB" w:eastAsia="en-GB"/>
        </w:rPr>
        <w:t>nd</w:t>
      </w:r>
    </w:p>
    <w:p w14:paraId="7F28C96D" w14:textId="77777777" w:rsidR="00D139A3" w:rsidRPr="002D3A2A" w:rsidRDefault="00D139A3" w:rsidP="00A02286">
      <w:pPr>
        <w:tabs>
          <w:tab w:val="right" w:pos="9480"/>
        </w:tabs>
        <w:spacing w:after="0" w:line="360" w:lineRule="auto"/>
        <w:jc w:val="both"/>
        <w:rPr>
          <w:rFonts w:ascii="Times New Roman" w:eastAsia="Times New Roman" w:hAnsi="Times New Roman" w:cs="Times New Roman"/>
          <w:bCs/>
          <w:sz w:val="28"/>
          <w:szCs w:val="28"/>
          <w:lang w:val="en-GB" w:eastAsia="en-GB"/>
        </w:rPr>
      </w:pPr>
    </w:p>
    <w:p w14:paraId="5AC45388" w14:textId="77777777" w:rsidR="00D139A3" w:rsidRPr="002D3A2A" w:rsidRDefault="00B55F85" w:rsidP="00A02286">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2D3A2A">
        <w:rPr>
          <w:rFonts w:ascii="Times New Roman" w:eastAsia="Times New Roman" w:hAnsi="Times New Roman" w:cs="Times New Roman"/>
          <w:b/>
          <w:sz w:val="28"/>
          <w:szCs w:val="28"/>
          <w:lang w:eastAsia="en-GB"/>
        </w:rPr>
        <w:t xml:space="preserve">DRAGON FREIGHT (PTY) LTD </w:t>
      </w:r>
      <w:r w:rsidR="00E36C67" w:rsidRPr="002D3A2A">
        <w:rPr>
          <w:rFonts w:ascii="Times New Roman" w:eastAsia="Times New Roman" w:hAnsi="Times New Roman" w:cs="Times New Roman"/>
          <w:b/>
          <w:sz w:val="28"/>
          <w:szCs w:val="28"/>
          <w:lang w:eastAsia="en-GB"/>
        </w:rPr>
        <w:t xml:space="preserve">           </w:t>
      </w:r>
      <w:r w:rsidR="00F308F4" w:rsidRPr="002D3A2A">
        <w:rPr>
          <w:rFonts w:ascii="Times New Roman" w:eastAsia="Times New Roman" w:hAnsi="Times New Roman" w:cs="Times New Roman"/>
          <w:b/>
          <w:sz w:val="28"/>
          <w:szCs w:val="28"/>
          <w:lang w:eastAsia="en-GB"/>
        </w:rPr>
        <w:t xml:space="preserve">       </w:t>
      </w:r>
      <w:r w:rsidR="008C560B" w:rsidRPr="002D3A2A">
        <w:rPr>
          <w:rFonts w:ascii="Times New Roman" w:eastAsia="Times New Roman" w:hAnsi="Times New Roman" w:cs="Times New Roman"/>
          <w:b/>
          <w:sz w:val="28"/>
          <w:szCs w:val="28"/>
          <w:lang w:eastAsia="en-GB"/>
        </w:rPr>
        <w:t xml:space="preserve">                     </w:t>
      </w:r>
      <w:r w:rsidRPr="002D3A2A">
        <w:rPr>
          <w:rFonts w:ascii="Times New Roman" w:eastAsia="Times New Roman" w:hAnsi="Times New Roman" w:cs="Times New Roman"/>
          <w:b/>
          <w:sz w:val="28"/>
          <w:szCs w:val="28"/>
          <w:lang w:eastAsia="en-GB"/>
        </w:rPr>
        <w:t xml:space="preserve">FIRST </w:t>
      </w:r>
      <w:r w:rsidR="00D139A3" w:rsidRPr="002D3A2A">
        <w:rPr>
          <w:rFonts w:ascii="Times New Roman" w:eastAsia="Times New Roman" w:hAnsi="Times New Roman" w:cs="Times New Roman"/>
          <w:b/>
          <w:sz w:val="28"/>
          <w:szCs w:val="28"/>
          <w:lang w:val="en-GB" w:eastAsia="en-GB"/>
        </w:rPr>
        <w:t>RESPONDENT</w:t>
      </w:r>
    </w:p>
    <w:p w14:paraId="38C568D7" w14:textId="77777777" w:rsidR="00B55F85" w:rsidRPr="002D3A2A" w:rsidRDefault="00B55F85" w:rsidP="00A02286">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2D3A2A">
        <w:rPr>
          <w:rFonts w:ascii="Times New Roman" w:eastAsia="Times New Roman" w:hAnsi="Times New Roman" w:cs="Times New Roman"/>
          <w:b/>
          <w:sz w:val="28"/>
          <w:szCs w:val="28"/>
          <w:lang w:val="en-GB" w:eastAsia="en-GB"/>
        </w:rPr>
        <w:t>TIAN LE TRADING ENTERPRISE CC                    SECOND RESPONDENT</w:t>
      </w:r>
    </w:p>
    <w:p w14:paraId="0853D12E" w14:textId="77777777" w:rsidR="001669FA" w:rsidRPr="002D3A2A" w:rsidRDefault="001669FA" w:rsidP="00A02286">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2D3A2A">
        <w:rPr>
          <w:rFonts w:ascii="Times New Roman" w:eastAsia="Times New Roman" w:hAnsi="Times New Roman" w:cs="Times New Roman"/>
          <w:b/>
          <w:sz w:val="28"/>
          <w:szCs w:val="28"/>
          <w:lang w:val="en-GB" w:eastAsia="en-GB"/>
        </w:rPr>
        <w:t xml:space="preserve">NEW FEELING FASHION DESIGN (PTY) LTD   </w:t>
      </w:r>
      <w:r w:rsidR="003039F9" w:rsidRPr="002D3A2A">
        <w:rPr>
          <w:rFonts w:ascii="Times New Roman" w:eastAsia="Times New Roman" w:hAnsi="Times New Roman" w:cs="Times New Roman"/>
          <w:b/>
          <w:sz w:val="28"/>
          <w:szCs w:val="28"/>
          <w:lang w:val="en-GB" w:eastAsia="en-GB"/>
        </w:rPr>
        <w:t xml:space="preserve"> </w:t>
      </w:r>
      <w:r w:rsidRPr="002D3A2A">
        <w:rPr>
          <w:rFonts w:ascii="Times New Roman" w:eastAsia="Times New Roman" w:hAnsi="Times New Roman" w:cs="Times New Roman"/>
          <w:b/>
          <w:sz w:val="28"/>
          <w:szCs w:val="28"/>
          <w:lang w:val="en-GB" w:eastAsia="en-GB"/>
        </w:rPr>
        <w:t>THIRD RESPONDENT</w:t>
      </w:r>
    </w:p>
    <w:p w14:paraId="128C99B8" w14:textId="77777777" w:rsidR="001669FA" w:rsidRPr="002D3A2A" w:rsidRDefault="001669FA" w:rsidP="00A02286">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2D3A2A">
        <w:rPr>
          <w:rFonts w:ascii="Times New Roman" w:eastAsia="Times New Roman" w:hAnsi="Times New Roman" w:cs="Times New Roman"/>
          <w:b/>
          <w:sz w:val="28"/>
          <w:szCs w:val="28"/>
          <w:lang w:val="en-GB" w:eastAsia="en-GB"/>
        </w:rPr>
        <w:t xml:space="preserve">TINGTING SECRET BEAUTY (PTY) LTD        </w:t>
      </w:r>
      <w:r w:rsidR="003039F9" w:rsidRPr="002D3A2A">
        <w:rPr>
          <w:rFonts w:ascii="Times New Roman" w:eastAsia="Times New Roman" w:hAnsi="Times New Roman" w:cs="Times New Roman"/>
          <w:b/>
          <w:sz w:val="28"/>
          <w:szCs w:val="28"/>
          <w:lang w:val="en-GB" w:eastAsia="en-GB"/>
        </w:rPr>
        <w:t xml:space="preserve"> </w:t>
      </w:r>
      <w:r w:rsidRPr="002D3A2A">
        <w:rPr>
          <w:rFonts w:ascii="Times New Roman" w:eastAsia="Times New Roman" w:hAnsi="Times New Roman" w:cs="Times New Roman"/>
          <w:b/>
          <w:sz w:val="28"/>
          <w:szCs w:val="28"/>
          <w:lang w:val="en-GB" w:eastAsia="en-GB"/>
        </w:rPr>
        <w:t>FOURTH RESPONDENT</w:t>
      </w:r>
    </w:p>
    <w:p w14:paraId="36F1F0AD" w14:textId="77777777" w:rsidR="001669FA" w:rsidRPr="002D3A2A" w:rsidRDefault="001669FA" w:rsidP="00A02286">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2D3A2A">
        <w:rPr>
          <w:rFonts w:ascii="Times New Roman" w:eastAsia="Times New Roman" w:hAnsi="Times New Roman" w:cs="Times New Roman"/>
          <w:b/>
          <w:sz w:val="28"/>
          <w:szCs w:val="28"/>
          <w:lang w:val="en-GB" w:eastAsia="en-GB"/>
        </w:rPr>
        <w:t xml:space="preserve">HIQ PACIFIC TRADING CC                                    </w:t>
      </w:r>
      <w:r w:rsidR="003039F9" w:rsidRPr="002D3A2A">
        <w:rPr>
          <w:rFonts w:ascii="Times New Roman" w:eastAsia="Times New Roman" w:hAnsi="Times New Roman" w:cs="Times New Roman"/>
          <w:b/>
          <w:sz w:val="28"/>
          <w:szCs w:val="28"/>
          <w:lang w:val="en-GB" w:eastAsia="en-GB"/>
        </w:rPr>
        <w:t xml:space="preserve"> </w:t>
      </w:r>
      <w:r w:rsidRPr="002D3A2A">
        <w:rPr>
          <w:rFonts w:ascii="Times New Roman" w:eastAsia="Times New Roman" w:hAnsi="Times New Roman" w:cs="Times New Roman"/>
          <w:b/>
          <w:sz w:val="28"/>
          <w:szCs w:val="28"/>
          <w:lang w:val="en-GB" w:eastAsia="en-GB"/>
        </w:rPr>
        <w:t>FIFTH RESPONDENT</w:t>
      </w:r>
    </w:p>
    <w:p w14:paraId="7AAAE59A" w14:textId="77777777" w:rsidR="001669FA" w:rsidRPr="002D3A2A" w:rsidRDefault="001669FA" w:rsidP="00A02286">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2D3A2A">
        <w:rPr>
          <w:rFonts w:ascii="Times New Roman" w:eastAsia="Times New Roman" w:hAnsi="Times New Roman" w:cs="Times New Roman"/>
          <w:b/>
          <w:sz w:val="28"/>
          <w:szCs w:val="28"/>
          <w:lang w:val="en-GB" w:eastAsia="en-GB"/>
        </w:rPr>
        <w:t xml:space="preserve">FFB IMPORT-EXPORT CC                                        </w:t>
      </w:r>
      <w:r w:rsidR="003039F9" w:rsidRPr="002D3A2A">
        <w:rPr>
          <w:rFonts w:ascii="Times New Roman" w:eastAsia="Times New Roman" w:hAnsi="Times New Roman" w:cs="Times New Roman"/>
          <w:b/>
          <w:sz w:val="28"/>
          <w:szCs w:val="28"/>
          <w:lang w:val="en-GB" w:eastAsia="en-GB"/>
        </w:rPr>
        <w:t xml:space="preserve"> </w:t>
      </w:r>
      <w:r w:rsidRPr="002D3A2A">
        <w:rPr>
          <w:rFonts w:ascii="Times New Roman" w:eastAsia="Times New Roman" w:hAnsi="Times New Roman" w:cs="Times New Roman"/>
          <w:b/>
          <w:sz w:val="28"/>
          <w:szCs w:val="28"/>
          <w:lang w:val="en-GB" w:eastAsia="en-GB"/>
        </w:rPr>
        <w:t>SIXTH RESPONDENT</w:t>
      </w:r>
    </w:p>
    <w:p w14:paraId="09372D19" w14:textId="77777777" w:rsidR="003039F9" w:rsidRPr="002D3A2A" w:rsidRDefault="003039F9" w:rsidP="00A02286">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2D3A2A">
        <w:rPr>
          <w:rFonts w:ascii="Times New Roman" w:eastAsia="Times New Roman" w:hAnsi="Times New Roman" w:cs="Times New Roman"/>
          <w:b/>
          <w:sz w:val="28"/>
          <w:szCs w:val="28"/>
          <w:lang w:val="en-GB" w:eastAsia="en-GB"/>
        </w:rPr>
        <w:t>CALLA TRADING (PTY) LTD                            SEVENTH RESPONDENT</w:t>
      </w:r>
    </w:p>
    <w:p w14:paraId="24C9DE24" w14:textId="47F62FE4" w:rsidR="00D139A3" w:rsidRPr="002D3A2A" w:rsidRDefault="00D139A3" w:rsidP="00A02286">
      <w:pPr>
        <w:spacing w:after="0" w:line="360" w:lineRule="auto"/>
        <w:ind w:left="2160" w:hanging="2160"/>
        <w:jc w:val="both"/>
        <w:rPr>
          <w:rFonts w:ascii="Times New Roman" w:eastAsia="Times New Roman" w:hAnsi="Times New Roman" w:cs="Times New Roman"/>
          <w:b/>
          <w:bCs/>
          <w:sz w:val="28"/>
          <w:szCs w:val="28"/>
          <w:u w:val="single"/>
          <w:lang w:val="en-GB" w:eastAsia="en-GB"/>
        </w:rPr>
      </w:pPr>
      <w:r w:rsidRPr="002D3A2A">
        <w:rPr>
          <w:rFonts w:ascii="Times New Roman" w:eastAsia="Times New Roman" w:hAnsi="Times New Roman" w:cs="Times New Roman"/>
          <w:b/>
          <w:bCs/>
          <w:sz w:val="28"/>
          <w:szCs w:val="28"/>
          <w:lang w:val="en-GB" w:eastAsia="en-GB"/>
        </w:rPr>
        <w:lastRenderedPageBreak/>
        <w:t>Neutral citation:</w:t>
      </w:r>
      <w:r w:rsidRPr="002D3A2A">
        <w:rPr>
          <w:rFonts w:ascii="Times New Roman" w:eastAsia="Times New Roman" w:hAnsi="Times New Roman" w:cs="Times New Roman"/>
          <w:b/>
          <w:bCs/>
          <w:sz w:val="28"/>
          <w:szCs w:val="28"/>
          <w:lang w:val="en-GB" w:eastAsia="en-GB"/>
        </w:rPr>
        <w:tab/>
      </w:r>
      <w:bookmarkStart w:id="0" w:name="_GoBack"/>
      <w:r w:rsidR="00010F78" w:rsidRPr="002D3A2A">
        <w:rPr>
          <w:rFonts w:ascii="Times New Roman" w:eastAsia="Times New Roman" w:hAnsi="Times New Roman" w:cs="Times New Roman"/>
          <w:i/>
          <w:iCs/>
          <w:sz w:val="28"/>
          <w:szCs w:val="28"/>
          <w:lang w:eastAsia="en-GB"/>
        </w:rPr>
        <w:t xml:space="preserve">The Commissioner for the South African Revenue Service and Others v Dragon Freight </w:t>
      </w:r>
      <w:bookmarkEnd w:id="0"/>
      <w:r w:rsidR="00010F78" w:rsidRPr="002D3A2A">
        <w:rPr>
          <w:rFonts w:ascii="Times New Roman" w:eastAsia="Times New Roman" w:hAnsi="Times New Roman" w:cs="Times New Roman"/>
          <w:i/>
          <w:iCs/>
          <w:sz w:val="28"/>
          <w:szCs w:val="28"/>
          <w:lang w:eastAsia="en-GB"/>
        </w:rPr>
        <w:t>(Pty) Ltd and Others</w:t>
      </w:r>
      <w:r w:rsidR="00712E70" w:rsidRPr="002D3A2A">
        <w:rPr>
          <w:rFonts w:ascii="Times New Roman" w:eastAsia="Times New Roman" w:hAnsi="Times New Roman" w:cs="Times New Roman"/>
          <w:bCs/>
          <w:i/>
          <w:sz w:val="28"/>
          <w:szCs w:val="28"/>
          <w:lang w:val="en-GB" w:eastAsia="en-GB"/>
        </w:rPr>
        <w:t xml:space="preserve"> </w:t>
      </w:r>
      <w:r w:rsidR="00836A9E" w:rsidRPr="002D3A2A">
        <w:rPr>
          <w:rFonts w:ascii="Times New Roman" w:eastAsia="Times New Roman" w:hAnsi="Times New Roman" w:cs="Times New Roman"/>
          <w:bCs/>
          <w:sz w:val="28"/>
          <w:szCs w:val="28"/>
          <w:lang w:val="en-GB" w:eastAsia="en-GB"/>
        </w:rPr>
        <w:t xml:space="preserve">(case no </w:t>
      </w:r>
      <w:r w:rsidR="00FA6203" w:rsidRPr="002D3A2A">
        <w:rPr>
          <w:rFonts w:ascii="Times New Roman" w:eastAsia="Times New Roman" w:hAnsi="Times New Roman" w:cs="Times New Roman"/>
          <w:bCs/>
          <w:sz w:val="28"/>
          <w:szCs w:val="28"/>
          <w:lang w:val="en-GB" w:eastAsia="en-GB"/>
        </w:rPr>
        <w:t>7</w:t>
      </w:r>
      <w:r w:rsidR="00010F78" w:rsidRPr="002D3A2A">
        <w:rPr>
          <w:rFonts w:ascii="Times New Roman" w:eastAsia="Times New Roman" w:hAnsi="Times New Roman" w:cs="Times New Roman"/>
          <w:bCs/>
          <w:sz w:val="28"/>
          <w:szCs w:val="28"/>
          <w:lang w:val="en-GB" w:eastAsia="en-GB"/>
        </w:rPr>
        <w:t>51</w:t>
      </w:r>
      <w:r w:rsidR="00712E70" w:rsidRPr="002D3A2A">
        <w:rPr>
          <w:rFonts w:ascii="Times New Roman" w:eastAsia="Times New Roman" w:hAnsi="Times New Roman" w:cs="Times New Roman"/>
          <w:bCs/>
          <w:sz w:val="28"/>
          <w:szCs w:val="28"/>
          <w:lang w:val="en-GB" w:eastAsia="en-GB"/>
        </w:rPr>
        <w:t>/21</w:t>
      </w:r>
      <w:r w:rsidRPr="002D3A2A">
        <w:rPr>
          <w:rFonts w:ascii="Times New Roman" w:eastAsia="Times New Roman" w:hAnsi="Times New Roman" w:cs="Times New Roman"/>
          <w:bCs/>
          <w:sz w:val="28"/>
          <w:szCs w:val="28"/>
          <w:lang w:val="en-GB" w:eastAsia="en-GB"/>
        </w:rPr>
        <w:t>)</w:t>
      </w:r>
      <w:r w:rsidRPr="002D3A2A">
        <w:rPr>
          <w:rFonts w:ascii="Times New Roman" w:eastAsia="Times New Roman" w:hAnsi="Times New Roman" w:cs="Times New Roman"/>
          <w:bCs/>
          <w:i/>
          <w:sz w:val="28"/>
          <w:szCs w:val="28"/>
          <w:lang w:val="en-GB" w:eastAsia="en-GB"/>
        </w:rPr>
        <w:t xml:space="preserve"> </w:t>
      </w:r>
      <w:r w:rsidRPr="002D3A2A">
        <w:rPr>
          <w:rFonts w:ascii="Times New Roman" w:eastAsia="Times New Roman" w:hAnsi="Times New Roman" w:cs="Times New Roman"/>
          <w:bCs/>
          <w:sz w:val="28"/>
          <w:szCs w:val="28"/>
          <w:lang w:val="en-GB" w:eastAsia="en-GB"/>
        </w:rPr>
        <w:t>[202</w:t>
      </w:r>
      <w:r w:rsidR="00712E70" w:rsidRPr="002D3A2A">
        <w:rPr>
          <w:rFonts w:ascii="Times New Roman" w:eastAsia="Times New Roman" w:hAnsi="Times New Roman" w:cs="Times New Roman"/>
          <w:bCs/>
          <w:sz w:val="28"/>
          <w:szCs w:val="28"/>
          <w:lang w:val="en-GB" w:eastAsia="en-GB"/>
        </w:rPr>
        <w:t>2</w:t>
      </w:r>
      <w:r w:rsidRPr="002D3A2A">
        <w:rPr>
          <w:rFonts w:ascii="Times New Roman" w:eastAsia="Times New Roman" w:hAnsi="Times New Roman" w:cs="Times New Roman"/>
          <w:bCs/>
          <w:sz w:val="28"/>
          <w:szCs w:val="28"/>
          <w:lang w:val="en-GB" w:eastAsia="en-GB"/>
        </w:rPr>
        <w:t>] ZASCA</w:t>
      </w:r>
      <w:r w:rsidRPr="002D3A2A">
        <w:rPr>
          <w:rFonts w:ascii="Times New Roman" w:eastAsia="Times New Roman" w:hAnsi="Times New Roman" w:cs="Times New Roman"/>
          <w:bCs/>
          <w:i/>
          <w:sz w:val="28"/>
          <w:szCs w:val="28"/>
          <w:lang w:val="en-GB" w:eastAsia="en-GB"/>
        </w:rPr>
        <w:t xml:space="preserve"> </w:t>
      </w:r>
      <w:r w:rsidR="0078459A" w:rsidRPr="002D3A2A">
        <w:rPr>
          <w:rFonts w:ascii="Times New Roman" w:eastAsia="Times New Roman" w:hAnsi="Times New Roman" w:cs="Times New Roman"/>
          <w:bCs/>
          <w:sz w:val="28"/>
          <w:szCs w:val="28"/>
          <w:lang w:eastAsia="en-GB"/>
        </w:rPr>
        <w:t>84</w:t>
      </w:r>
      <w:r w:rsidRPr="002D3A2A">
        <w:rPr>
          <w:rFonts w:ascii="Times New Roman" w:eastAsia="Times New Roman" w:hAnsi="Times New Roman" w:cs="Times New Roman"/>
          <w:bCs/>
          <w:sz w:val="28"/>
          <w:szCs w:val="28"/>
          <w:lang w:val="en-GB" w:eastAsia="en-GB"/>
        </w:rPr>
        <w:t xml:space="preserve"> (</w:t>
      </w:r>
      <w:r w:rsidR="0078459A" w:rsidRPr="002D3A2A">
        <w:rPr>
          <w:rFonts w:ascii="Times New Roman" w:eastAsia="Times New Roman" w:hAnsi="Times New Roman" w:cs="Times New Roman"/>
          <w:bCs/>
          <w:sz w:val="28"/>
          <w:szCs w:val="28"/>
          <w:lang w:val="en-GB" w:eastAsia="en-GB"/>
        </w:rPr>
        <w:t>7 June</w:t>
      </w:r>
      <w:r w:rsidR="00350549" w:rsidRPr="002D3A2A">
        <w:rPr>
          <w:rFonts w:ascii="Times New Roman" w:eastAsia="Times New Roman" w:hAnsi="Times New Roman" w:cs="Times New Roman"/>
          <w:bCs/>
          <w:sz w:val="28"/>
          <w:szCs w:val="28"/>
          <w:lang w:eastAsia="en-GB"/>
        </w:rPr>
        <w:t xml:space="preserve"> </w:t>
      </w:r>
      <w:r w:rsidRPr="002D3A2A">
        <w:rPr>
          <w:rFonts w:ascii="Times New Roman" w:eastAsia="Times New Roman" w:hAnsi="Times New Roman" w:cs="Times New Roman"/>
          <w:bCs/>
          <w:sz w:val="28"/>
          <w:szCs w:val="28"/>
          <w:lang w:val="en-GB" w:eastAsia="en-GB"/>
        </w:rPr>
        <w:t>202</w:t>
      </w:r>
      <w:r w:rsidR="00712E70" w:rsidRPr="002D3A2A">
        <w:rPr>
          <w:rFonts w:ascii="Times New Roman" w:eastAsia="Times New Roman" w:hAnsi="Times New Roman" w:cs="Times New Roman"/>
          <w:bCs/>
          <w:sz w:val="28"/>
          <w:szCs w:val="28"/>
          <w:lang w:val="en-GB" w:eastAsia="en-GB"/>
        </w:rPr>
        <w:t>2</w:t>
      </w:r>
      <w:r w:rsidRPr="002D3A2A">
        <w:rPr>
          <w:rFonts w:ascii="Times New Roman" w:eastAsia="Times New Roman" w:hAnsi="Times New Roman" w:cs="Times New Roman"/>
          <w:bCs/>
          <w:sz w:val="28"/>
          <w:szCs w:val="28"/>
          <w:lang w:val="en-GB" w:eastAsia="en-GB"/>
        </w:rPr>
        <w:t>)</w:t>
      </w:r>
      <w:r w:rsidRPr="002D3A2A">
        <w:rPr>
          <w:rFonts w:ascii="Times New Roman" w:eastAsia="Times New Roman" w:hAnsi="Times New Roman" w:cs="Times New Roman"/>
          <w:b/>
          <w:bCs/>
          <w:sz w:val="28"/>
          <w:szCs w:val="28"/>
          <w:u w:val="single"/>
          <w:lang w:val="en-GB" w:eastAsia="en-GB"/>
        </w:rPr>
        <w:t xml:space="preserve"> </w:t>
      </w:r>
    </w:p>
    <w:p w14:paraId="6F5BDE8C" w14:textId="77777777" w:rsidR="00D139A3" w:rsidRPr="002D3A2A" w:rsidRDefault="00D139A3" w:rsidP="00BB26B4">
      <w:pPr>
        <w:spacing w:after="0" w:line="360" w:lineRule="auto"/>
        <w:ind w:left="2160" w:hanging="2160"/>
        <w:jc w:val="both"/>
        <w:rPr>
          <w:rFonts w:ascii="Times New Roman" w:eastAsia="Times New Roman" w:hAnsi="Times New Roman" w:cs="Times New Roman"/>
          <w:b/>
          <w:bCs/>
          <w:sz w:val="28"/>
          <w:szCs w:val="28"/>
          <w:u w:val="single"/>
          <w:lang w:val="en-GB" w:eastAsia="en-GB"/>
        </w:rPr>
      </w:pPr>
      <w:r w:rsidRPr="002D3A2A">
        <w:rPr>
          <w:rFonts w:ascii="Times New Roman" w:eastAsia="Times New Roman" w:hAnsi="Times New Roman" w:cs="Times New Roman"/>
          <w:b/>
          <w:bCs/>
          <w:sz w:val="28"/>
          <w:szCs w:val="28"/>
          <w:lang w:val="en-GB" w:eastAsia="en-GB"/>
        </w:rPr>
        <w:t>Coram:</w:t>
      </w:r>
      <w:r w:rsidRPr="002D3A2A">
        <w:rPr>
          <w:rFonts w:ascii="Times New Roman" w:eastAsia="Times New Roman" w:hAnsi="Times New Roman" w:cs="Times New Roman"/>
          <w:b/>
          <w:bCs/>
          <w:sz w:val="28"/>
          <w:szCs w:val="28"/>
          <w:lang w:val="en-GB" w:eastAsia="en-GB"/>
        </w:rPr>
        <w:tab/>
      </w:r>
      <w:r w:rsidR="005D09F0" w:rsidRPr="002D3A2A">
        <w:rPr>
          <w:rFonts w:ascii="Times New Roman" w:eastAsia="Times New Roman" w:hAnsi="Times New Roman" w:cs="Times New Roman"/>
          <w:bCs/>
          <w:sz w:val="28"/>
          <w:szCs w:val="28"/>
          <w:lang w:val="en-GB" w:eastAsia="en-GB"/>
        </w:rPr>
        <w:t>SCHIPPERS</w:t>
      </w:r>
      <w:r w:rsidR="00FA6203" w:rsidRPr="002D3A2A">
        <w:rPr>
          <w:rFonts w:ascii="Times New Roman" w:eastAsia="Times New Roman" w:hAnsi="Times New Roman" w:cs="Times New Roman"/>
          <w:bCs/>
          <w:sz w:val="28"/>
          <w:szCs w:val="28"/>
          <w:lang w:val="en-GB" w:eastAsia="en-GB"/>
        </w:rPr>
        <w:t>,</w:t>
      </w:r>
      <w:r w:rsidR="008C560B" w:rsidRPr="002D3A2A">
        <w:rPr>
          <w:rFonts w:ascii="Times New Roman" w:eastAsia="Times New Roman" w:hAnsi="Times New Roman" w:cs="Times New Roman"/>
          <w:bCs/>
          <w:sz w:val="28"/>
          <w:szCs w:val="28"/>
          <w:lang w:val="en-GB" w:eastAsia="en-GB"/>
        </w:rPr>
        <w:t xml:space="preserve"> PLASKET</w:t>
      </w:r>
      <w:r w:rsidR="00FA6203" w:rsidRPr="002D3A2A">
        <w:rPr>
          <w:rFonts w:ascii="Times New Roman" w:eastAsia="Times New Roman" w:hAnsi="Times New Roman" w:cs="Times New Roman"/>
          <w:bCs/>
          <w:sz w:val="28"/>
          <w:szCs w:val="28"/>
          <w:lang w:val="en-GB" w:eastAsia="en-GB"/>
        </w:rPr>
        <w:t xml:space="preserve"> and HUGHES</w:t>
      </w:r>
      <w:r w:rsidR="005D09F0" w:rsidRPr="002D3A2A">
        <w:rPr>
          <w:rFonts w:ascii="Times New Roman" w:eastAsia="Times New Roman" w:hAnsi="Times New Roman" w:cs="Times New Roman"/>
          <w:bCs/>
          <w:sz w:val="28"/>
          <w:szCs w:val="28"/>
          <w:lang w:val="en-GB" w:eastAsia="en-GB"/>
        </w:rPr>
        <w:t xml:space="preserve"> JJA and </w:t>
      </w:r>
      <w:r w:rsidR="00030D5D" w:rsidRPr="002D3A2A">
        <w:rPr>
          <w:rFonts w:ascii="Times New Roman" w:eastAsia="Times New Roman" w:hAnsi="Times New Roman" w:cs="Times New Roman"/>
          <w:bCs/>
          <w:sz w:val="28"/>
          <w:szCs w:val="28"/>
          <w:lang w:val="en-GB" w:eastAsia="en-GB"/>
        </w:rPr>
        <w:t>TSOKA and SALIE-HLOPHE</w:t>
      </w:r>
      <w:r w:rsidRPr="002D3A2A">
        <w:rPr>
          <w:rFonts w:ascii="Times New Roman" w:eastAsia="Times New Roman" w:hAnsi="Times New Roman" w:cs="Times New Roman"/>
          <w:bCs/>
          <w:sz w:val="28"/>
          <w:szCs w:val="28"/>
          <w:lang w:val="en-GB" w:eastAsia="en-GB"/>
        </w:rPr>
        <w:t xml:space="preserve"> A</w:t>
      </w:r>
      <w:r w:rsidR="00030D5D" w:rsidRPr="002D3A2A">
        <w:rPr>
          <w:rFonts w:ascii="Times New Roman" w:eastAsia="Times New Roman" w:hAnsi="Times New Roman" w:cs="Times New Roman"/>
          <w:bCs/>
          <w:sz w:val="28"/>
          <w:szCs w:val="28"/>
          <w:lang w:val="en-GB" w:eastAsia="en-GB"/>
        </w:rPr>
        <w:t>J</w:t>
      </w:r>
      <w:r w:rsidRPr="002D3A2A">
        <w:rPr>
          <w:rFonts w:ascii="Times New Roman" w:eastAsia="Times New Roman" w:hAnsi="Times New Roman" w:cs="Times New Roman"/>
          <w:bCs/>
          <w:sz w:val="28"/>
          <w:szCs w:val="28"/>
          <w:lang w:val="en-GB" w:eastAsia="en-GB"/>
        </w:rPr>
        <w:t>JA</w:t>
      </w:r>
    </w:p>
    <w:p w14:paraId="32758809" w14:textId="77777777" w:rsidR="00D139A3" w:rsidRPr="002D3A2A" w:rsidRDefault="009C279C" w:rsidP="00BB26B4">
      <w:pPr>
        <w:spacing w:after="0" w:line="360" w:lineRule="auto"/>
        <w:jc w:val="both"/>
        <w:rPr>
          <w:rFonts w:ascii="Times New Roman" w:eastAsia="Times New Roman" w:hAnsi="Times New Roman" w:cs="Times New Roman"/>
          <w:bCs/>
          <w:sz w:val="28"/>
          <w:szCs w:val="28"/>
          <w:lang w:val="en-GB" w:eastAsia="en-GB"/>
        </w:rPr>
      </w:pPr>
      <w:r w:rsidRPr="002D3A2A">
        <w:rPr>
          <w:rFonts w:ascii="Times New Roman" w:eastAsia="Times New Roman" w:hAnsi="Times New Roman" w:cs="Times New Roman"/>
          <w:b/>
          <w:bCs/>
          <w:sz w:val="28"/>
          <w:szCs w:val="28"/>
          <w:lang w:val="en-GB" w:eastAsia="en-GB"/>
        </w:rPr>
        <w:t>Heard:</w:t>
      </w:r>
      <w:r w:rsidRPr="002D3A2A">
        <w:rPr>
          <w:rFonts w:ascii="Times New Roman" w:eastAsia="Times New Roman" w:hAnsi="Times New Roman" w:cs="Times New Roman"/>
          <w:b/>
          <w:bCs/>
          <w:sz w:val="28"/>
          <w:szCs w:val="28"/>
          <w:lang w:val="en-GB" w:eastAsia="en-GB"/>
        </w:rPr>
        <w:tab/>
      </w:r>
      <w:r w:rsidRPr="002D3A2A">
        <w:rPr>
          <w:rFonts w:ascii="Times New Roman" w:eastAsia="Times New Roman" w:hAnsi="Times New Roman" w:cs="Times New Roman"/>
          <w:b/>
          <w:bCs/>
          <w:sz w:val="28"/>
          <w:szCs w:val="28"/>
          <w:lang w:val="en-GB" w:eastAsia="en-GB"/>
        </w:rPr>
        <w:tab/>
      </w:r>
      <w:r w:rsidRPr="002D3A2A">
        <w:rPr>
          <w:rFonts w:ascii="Times New Roman" w:eastAsia="Times New Roman" w:hAnsi="Times New Roman" w:cs="Times New Roman"/>
          <w:bCs/>
          <w:sz w:val="28"/>
          <w:szCs w:val="28"/>
          <w:lang w:val="en-GB" w:eastAsia="en-GB"/>
        </w:rPr>
        <w:t>24 May</w:t>
      </w:r>
      <w:r w:rsidR="008C560B" w:rsidRPr="002D3A2A">
        <w:rPr>
          <w:rFonts w:ascii="Times New Roman" w:eastAsia="Times New Roman" w:hAnsi="Times New Roman" w:cs="Times New Roman"/>
          <w:bCs/>
          <w:sz w:val="28"/>
          <w:szCs w:val="28"/>
          <w:lang w:val="en-GB" w:eastAsia="en-GB"/>
        </w:rPr>
        <w:t xml:space="preserve"> 2022</w:t>
      </w:r>
    </w:p>
    <w:p w14:paraId="61F09FC1" w14:textId="352B4B48" w:rsidR="00D139A3" w:rsidRPr="002D3A2A" w:rsidRDefault="00D139A3" w:rsidP="0078459A">
      <w:pPr>
        <w:spacing w:after="0" w:line="360" w:lineRule="auto"/>
        <w:jc w:val="both"/>
        <w:outlineLvl w:val="0"/>
        <w:rPr>
          <w:rFonts w:ascii="Times New Roman" w:eastAsia="Times New Roman" w:hAnsi="Times New Roman" w:cs="Times New Roman"/>
          <w:sz w:val="28"/>
          <w:szCs w:val="28"/>
          <w:lang w:val="en-US" w:eastAsia="en-ZA"/>
        </w:rPr>
      </w:pPr>
      <w:r w:rsidRPr="002D3A2A">
        <w:rPr>
          <w:rFonts w:ascii="Times New Roman" w:eastAsia="Times New Roman" w:hAnsi="Times New Roman" w:cs="Times New Roman"/>
          <w:b/>
          <w:bCs/>
          <w:sz w:val="28"/>
          <w:szCs w:val="28"/>
          <w:lang w:val="en-GB" w:eastAsia="en-GB"/>
        </w:rPr>
        <w:t xml:space="preserve">Delivered:            </w:t>
      </w:r>
      <w:r w:rsidR="0078459A" w:rsidRPr="002D3A2A">
        <w:rPr>
          <w:rFonts w:ascii="Times New Roman" w:eastAsia="Times New Roman" w:hAnsi="Times New Roman" w:cs="Times New Roman"/>
          <w:bCs/>
          <w:sz w:val="28"/>
          <w:szCs w:val="28"/>
          <w:lang w:val="en-GB" w:eastAsia="en-GB"/>
        </w:rPr>
        <w:t>7 June 2022</w:t>
      </w:r>
    </w:p>
    <w:p w14:paraId="672D8AD3" w14:textId="3D999BDB" w:rsidR="00C521D4" w:rsidRPr="002D3A2A" w:rsidRDefault="00D139A3" w:rsidP="00284187">
      <w:pPr>
        <w:spacing w:before="120" w:after="0" w:line="360" w:lineRule="auto"/>
        <w:jc w:val="both"/>
        <w:rPr>
          <w:rFonts w:ascii="Times New Roman" w:eastAsia="Times New Roman" w:hAnsi="Times New Roman" w:cs="Times New Roman"/>
          <w:b/>
          <w:sz w:val="28"/>
          <w:szCs w:val="28"/>
          <w:lang w:eastAsia="en-GB"/>
        </w:rPr>
      </w:pPr>
      <w:r w:rsidRPr="002D3A2A">
        <w:rPr>
          <w:rFonts w:ascii="Times New Roman" w:eastAsia="Times New Roman" w:hAnsi="Times New Roman" w:cs="Times New Roman"/>
          <w:b/>
          <w:sz w:val="28"/>
          <w:szCs w:val="28"/>
          <w:lang w:eastAsia="en-GB"/>
        </w:rPr>
        <w:t xml:space="preserve">Summary: </w:t>
      </w:r>
      <w:r w:rsidR="009D3221" w:rsidRPr="002D3A2A">
        <w:rPr>
          <w:rFonts w:ascii="Times New Roman" w:eastAsia="Times New Roman" w:hAnsi="Times New Roman" w:cs="Times New Roman"/>
          <w:sz w:val="28"/>
          <w:szCs w:val="28"/>
          <w:lang w:eastAsia="en-GB"/>
        </w:rPr>
        <w:t>Administrative Law –</w:t>
      </w:r>
      <w:r w:rsidR="00284187" w:rsidRPr="002D3A2A">
        <w:rPr>
          <w:rFonts w:ascii="Times New Roman" w:eastAsia="Times New Roman" w:hAnsi="Times New Roman" w:cs="Times New Roman"/>
          <w:sz w:val="28"/>
          <w:szCs w:val="28"/>
          <w:lang w:eastAsia="en-GB"/>
        </w:rPr>
        <w:t xml:space="preserve"> </w:t>
      </w:r>
      <w:r w:rsidR="00F6066B" w:rsidRPr="002D3A2A">
        <w:rPr>
          <w:rFonts w:ascii="Times New Roman" w:eastAsia="Times New Roman" w:hAnsi="Times New Roman" w:cs="Times New Roman"/>
          <w:sz w:val="28"/>
          <w:szCs w:val="28"/>
          <w:lang w:eastAsia="en-GB"/>
        </w:rPr>
        <w:t>review</w:t>
      </w:r>
      <w:r w:rsidR="009B5B81" w:rsidRPr="002D3A2A">
        <w:rPr>
          <w:rFonts w:ascii="Times New Roman" w:eastAsia="Times New Roman" w:hAnsi="Times New Roman" w:cs="Times New Roman"/>
          <w:sz w:val="28"/>
          <w:szCs w:val="28"/>
          <w:lang w:eastAsia="en-GB"/>
        </w:rPr>
        <w:t xml:space="preserve"> of </w:t>
      </w:r>
      <w:r w:rsidR="009D3221" w:rsidRPr="002D3A2A">
        <w:rPr>
          <w:rFonts w:ascii="Times New Roman" w:eastAsia="Times New Roman" w:hAnsi="Times New Roman" w:cs="Times New Roman"/>
          <w:sz w:val="28"/>
          <w:szCs w:val="28"/>
          <w:lang w:eastAsia="en-GB"/>
        </w:rPr>
        <w:t>decision to seize goods under s</w:t>
      </w:r>
      <w:r w:rsidR="009B5B81" w:rsidRPr="002D3A2A">
        <w:rPr>
          <w:rFonts w:ascii="Times New Roman" w:eastAsia="Times New Roman" w:hAnsi="Times New Roman" w:cs="Times New Roman"/>
          <w:sz w:val="28"/>
          <w:szCs w:val="28"/>
          <w:lang w:eastAsia="en-GB"/>
        </w:rPr>
        <w:t> </w:t>
      </w:r>
      <w:r w:rsidR="009D3221" w:rsidRPr="002D3A2A">
        <w:rPr>
          <w:rFonts w:ascii="Times New Roman" w:eastAsia="Times New Roman" w:hAnsi="Times New Roman" w:cs="Times New Roman"/>
          <w:sz w:val="28"/>
          <w:szCs w:val="28"/>
          <w:lang w:eastAsia="en-GB"/>
        </w:rPr>
        <w:t>88(1)</w:t>
      </w:r>
      <w:r w:rsidR="009D3221" w:rsidRPr="002D3A2A">
        <w:rPr>
          <w:rFonts w:ascii="Times New Roman" w:eastAsia="Times New Roman" w:hAnsi="Times New Roman" w:cs="Times New Roman"/>
          <w:i/>
          <w:sz w:val="28"/>
          <w:szCs w:val="28"/>
          <w:lang w:eastAsia="en-GB"/>
        </w:rPr>
        <w:t>(c)</w:t>
      </w:r>
      <w:r w:rsidR="009D3221" w:rsidRPr="002D3A2A">
        <w:rPr>
          <w:rFonts w:ascii="Times New Roman" w:eastAsia="Times New Roman" w:hAnsi="Times New Roman" w:cs="Times New Roman"/>
          <w:sz w:val="28"/>
          <w:szCs w:val="28"/>
          <w:lang w:eastAsia="en-GB"/>
        </w:rPr>
        <w:t xml:space="preserve"> of the Customs and Excise </w:t>
      </w:r>
      <w:r w:rsidR="007E7EC4" w:rsidRPr="002D3A2A">
        <w:rPr>
          <w:rFonts w:ascii="Times New Roman" w:eastAsia="Times New Roman" w:hAnsi="Times New Roman" w:cs="Times New Roman"/>
          <w:sz w:val="28"/>
          <w:szCs w:val="28"/>
          <w:lang w:eastAsia="en-GB"/>
        </w:rPr>
        <w:t>A</w:t>
      </w:r>
      <w:r w:rsidR="009D3221" w:rsidRPr="002D3A2A">
        <w:rPr>
          <w:rFonts w:ascii="Times New Roman" w:eastAsia="Times New Roman" w:hAnsi="Times New Roman" w:cs="Times New Roman"/>
          <w:sz w:val="28"/>
          <w:szCs w:val="28"/>
          <w:lang w:eastAsia="en-GB"/>
        </w:rPr>
        <w:t>ct 91 of 1964 (the Act) –</w:t>
      </w:r>
      <w:r w:rsidR="00284187" w:rsidRPr="002D3A2A">
        <w:rPr>
          <w:rFonts w:ascii="Times New Roman" w:eastAsia="Times New Roman" w:hAnsi="Times New Roman" w:cs="Times New Roman"/>
          <w:sz w:val="28"/>
          <w:szCs w:val="28"/>
          <w:lang w:eastAsia="en-GB"/>
        </w:rPr>
        <w:t xml:space="preserve"> </w:t>
      </w:r>
      <w:r w:rsidR="009B5B81" w:rsidRPr="002D3A2A">
        <w:rPr>
          <w:rFonts w:ascii="Times New Roman" w:eastAsia="Times New Roman" w:hAnsi="Times New Roman" w:cs="Times New Roman"/>
          <w:sz w:val="28"/>
          <w:szCs w:val="28"/>
          <w:lang w:eastAsia="en-GB"/>
        </w:rPr>
        <w:t>transaction</w:t>
      </w:r>
      <w:r w:rsidR="009D3221" w:rsidRPr="002D3A2A">
        <w:rPr>
          <w:rFonts w:ascii="Times New Roman" w:eastAsia="Times New Roman" w:hAnsi="Times New Roman" w:cs="Times New Roman"/>
          <w:sz w:val="28"/>
          <w:szCs w:val="28"/>
          <w:lang w:eastAsia="en-GB"/>
        </w:rPr>
        <w:t xml:space="preserve"> value </w:t>
      </w:r>
      <w:r w:rsidR="00284187" w:rsidRPr="002D3A2A">
        <w:rPr>
          <w:rFonts w:ascii="Times New Roman" w:eastAsia="Times New Roman" w:hAnsi="Times New Roman" w:cs="Times New Roman"/>
          <w:sz w:val="28"/>
          <w:szCs w:val="28"/>
          <w:lang w:eastAsia="en-GB"/>
        </w:rPr>
        <w:t xml:space="preserve">of goods under-declared </w:t>
      </w:r>
      <w:r w:rsidR="006E09E2" w:rsidRPr="002D3A2A">
        <w:rPr>
          <w:rFonts w:ascii="Times New Roman" w:eastAsia="Times New Roman" w:hAnsi="Times New Roman" w:cs="Times New Roman"/>
          <w:sz w:val="28"/>
          <w:szCs w:val="28"/>
          <w:lang w:eastAsia="en-GB"/>
        </w:rPr>
        <w:t>–</w:t>
      </w:r>
      <w:r w:rsidR="00F9150E">
        <w:rPr>
          <w:rFonts w:ascii="Times New Roman" w:eastAsia="Times New Roman" w:hAnsi="Times New Roman" w:cs="Times New Roman"/>
          <w:sz w:val="28"/>
          <w:szCs w:val="28"/>
          <w:lang w:eastAsia="en-GB"/>
        </w:rPr>
        <w:t xml:space="preserve"> </w:t>
      </w:r>
      <w:r w:rsidR="00284187" w:rsidRPr="002D3A2A">
        <w:rPr>
          <w:rFonts w:ascii="Times New Roman" w:eastAsia="Times New Roman" w:hAnsi="Times New Roman" w:cs="Times New Roman"/>
          <w:sz w:val="28"/>
          <w:szCs w:val="28"/>
          <w:lang w:eastAsia="en-GB"/>
        </w:rPr>
        <w:t>decision lawful</w:t>
      </w:r>
      <w:r w:rsidR="00EB4803" w:rsidRPr="002D3A2A">
        <w:rPr>
          <w:rFonts w:ascii="Times New Roman" w:eastAsia="Times New Roman" w:hAnsi="Times New Roman" w:cs="Times New Roman"/>
          <w:sz w:val="28"/>
          <w:szCs w:val="28"/>
          <w:lang w:eastAsia="en-GB"/>
        </w:rPr>
        <w:t>, reasonable and procedurally fair</w:t>
      </w:r>
      <w:r w:rsidR="00284187" w:rsidRPr="002D3A2A">
        <w:rPr>
          <w:rFonts w:ascii="Times New Roman" w:eastAsia="Times New Roman" w:hAnsi="Times New Roman" w:cs="Times New Roman"/>
          <w:sz w:val="28"/>
          <w:szCs w:val="28"/>
          <w:lang w:eastAsia="en-GB"/>
        </w:rPr>
        <w:t xml:space="preserve"> –interpretation of s 96(1)</w:t>
      </w:r>
      <w:r w:rsidR="00284187" w:rsidRPr="002D3A2A">
        <w:rPr>
          <w:rFonts w:ascii="Times New Roman" w:eastAsia="Times New Roman" w:hAnsi="Times New Roman" w:cs="Times New Roman"/>
          <w:i/>
          <w:sz w:val="28"/>
          <w:szCs w:val="28"/>
          <w:lang w:eastAsia="en-GB"/>
        </w:rPr>
        <w:t>(a)</w:t>
      </w:r>
      <w:r w:rsidR="00284187" w:rsidRPr="002D3A2A">
        <w:rPr>
          <w:rFonts w:ascii="Times New Roman" w:eastAsia="Times New Roman" w:hAnsi="Times New Roman" w:cs="Times New Roman"/>
          <w:sz w:val="28"/>
          <w:szCs w:val="28"/>
          <w:lang w:eastAsia="en-GB"/>
        </w:rPr>
        <w:t xml:space="preserve"> of the Act – </w:t>
      </w:r>
      <w:r w:rsidR="000C62C0" w:rsidRPr="002D3A2A">
        <w:rPr>
          <w:rFonts w:ascii="Times New Roman" w:eastAsia="Times New Roman" w:hAnsi="Times New Roman" w:cs="Times New Roman"/>
          <w:sz w:val="28"/>
          <w:szCs w:val="28"/>
          <w:lang w:eastAsia="en-GB"/>
        </w:rPr>
        <w:t xml:space="preserve">notice of legal proceedings – </w:t>
      </w:r>
      <w:r w:rsidR="00E63B1A" w:rsidRPr="002D3A2A">
        <w:rPr>
          <w:rFonts w:ascii="Times New Roman" w:eastAsia="Times New Roman" w:hAnsi="Times New Roman" w:cs="Times New Roman"/>
          <w:sz w:val="28"/>
          <w:szCs w:val="28"/>
          <w:lang w:eastAsia="en-GB"/>
        </w:rPr>
        <w:t>requirements peremptory – cause of action must be set out – notice in anticipation of</w:t>
      </w:r>
      <w:r w:rsidR="00C00579" w:rsidRPr="002D3A2A">
        <w:rPr>
          <w:rFonts w:ascii="Times New Roman" w:eastAsia="Times New Roman" w:hAnsi="Times New Roman" w:cs="Times New Roman"/>
          <w:sz w:val="28"/>
          <w:szCs w:val="28"/>
          <w:lang w:eastAsia="en-GB"/>
        </w:rPr>
        <w:t xml:space="preserve"> decision not yet taken invalid.</w:t>
      </w:r>
      <w:r w:rsidR="000C62C0" w:rsidRPr="002D3A2A">
        <w:rPr>
          <w:rFonts w:ascii="Times New Roman" w:eastAsia="Times New Roman" w:hAnsi="Times New Roman" w:cs="Times New Roman"/>
          <w:sz w:val="28"/>
          <w:szCs w:val="28"/>
          <w:lang w:eastAsia="en-GB"/>
        </w:rPr>
        <w:t xml:space="preserve"> </w:t>
      </w:r>
    </w:p>
    <w:p w14:paraId="5933A714" w14:textId="77777777" w:rsidR="00FA6203" w:rsidRPr="002D3A2A" w:rsidRDefault="00FA6203" w:rsidP="00FA6203">
      <w:pPr>
        <w:spacing w:before="120" w:after="0" w:line="276" w:lineRule="auto"/>
        <w:jc w:val="both"/>
        <w:rPr>
          <w:rFonts w:ascii="Times New Roman" w:eastAsia="Times New Roman" w:hAnsi="Times New Roman" w:cs="Times New Roman"/>
          <w:b/>
          <w:sz w:val="28"/>
          <w:szCs w:val="28"/>
          <w:lang w:eastAsia="en-GB"/>
        </w:rPr>
      </w:pPr>
    </w:p>
    <w:p w14:paraId="2D9D8FB8" w14:textId="77777777" w:rsidR="00FA6203" w:rsidRPr="002D3A2A" w:rsidRDefault="00FA6203" w:rsidP="006636FD">
      <w:pPr>
        <w:spacing w:before="120" w:after="0" w:line="360" w:lineRule="auto"/>
        <w:jc w:val="both"/>
        <w:rPr>
          <w:rFonts w:ascii="Times New Roman" w:hAnsi="Times New Roman" w:cs="Times New Roman"/>
          <w:sz w:val="28"/>
          <w:szCs w:val="28"/>
        </w:rPr>
      </w:pPr>
    </w:p>
    <w:p w14:paraId="109F5D70" w14:textId="77777777" w:rsidR="00FA6203" w:rsidRPr="002D3A2A" w:rsidRDefault="00FA6203" w:rsidP="006636FD">
      <w:pPr>
        <w:spacing w:before="120" w:after="0" w:line="360" w:lineRule="auto"/>
        <w:jc w:val="both"/>
        <w:rPr>
          <w:rFonts w:ascii="Times New Roman" w:hAnsi="Times New Roman" w:cs="Times New Roman"/>
          <w:sz w:val="28"/>
          <w:szCs w:val="28"/>
        </w:rPr>
      </w:pPr>
    </w:p>
    <w:p w14:paraId="4CD05220" w14:textId="77777777" w:rsidR="00550353" w:rsidRPr="002D3A2A" w:rsidRDefault="00550353" w:rsidP="006636FD">
      <w:pPr>
        <w:spacing w:before="120" w:after="0" w:line="360" w:lineRule="auto"/>
        <w:jc w:val="both"/>
        <w:rPr>
          <w:rFonts w:ascii="Times New Roman" w:hAnsi="Times New Roman" w:cs="Times New Roman"/>
          <w:sz w:val="28"/>
          <w:szCs w:val="28"/>
        </w:rPr>
      </w:pPr>
    </w:p>
    <w:p w14:paraId="6EEB778E" w14:textId="77777777" w:rsidR="00550353" w:rsidRPr="002D3A2A" w:rsidRDefault="00550353" w:rsidP="006636FD">
      <w:pPr>
        <w:spacing w:before="120" w:after="0" w:line="360" w:lineRule="auto"/>
        <w:jc w:val="both"/>
        <w:rPr>
          <w:rFonts w:ascii="Times New Roman" w:hAnsi="Times New Roman" w:cs="Times New Roman"/>
          <w:sz w:val="28"/>
          <w:szCs w:val="28"/>
        </w:rPr>
      </w:pPr>
    </w:p>
    <w:p w14:paraId="5A566BEF" w14:textId="77777777" w:rsidR="00550353" w:rsidRPr="002D3A2A" w:rsidRDefault="00550353" w:rsidP="006636FD">
      <w:pPr>
        <w:spacing w:before="120" w:after="0" w:line="360" w:lineRule="auto"/>
        <w:jc w:val="both"/>
        <w:rPr>
          <w:rFonts w:ascii="Times New Roman" w:hAnsi="Times New Roman" w:cs="Times New Roman"/>
          <w:sz w:val="28"/>
          <w:szCs w:val="28"/>
        </w:rPr>
      </w:pPr>
    </w:p>
    <w:p w14:paraId="407798A6" w14:textId="77777777" w:rsidR="00550353" w:rsidRPr="002D3A2A" w:rsidRDefault="00550353" w:rsidP="006636FD">
      <w:pPr>
        <w:spacing w:before="120" w:after="0" w:line="360" w:lineRule="auto"/>
        <w:jc w:val="both"/>
        <w:rPr>
          <w:rFonts w:ascii="Times New Roman" w:hAnsi="Times New Roman" w:cs="Times New Roman"/>
          <w:sz w:val="28"/>
          <w:szCs w:val="28"/>
        </w:rPr>
      </w:pPr>
    </w:p>
    <w:p w14:paraId="4727F690" w14:textId="77777777" w:rsidR="00550353" w:rsidRPr="002D3A2A" w:rsidRDefault="00550353" w:rsidP="006636FD">
      <w:pPr>
        <w:spacing w:before="120" w:after="0" w:line="360" w:lineRule="auto"/>
        <w:jc w:val="both"/>
        <w:rPr>
          <w:rFonts w:ascii="Times New Roman" w:hAnsi="Times New Roman" w:cs="Times New Roman"/>
          <w:sz w:val="28"/>
          <w:szCs w:val="28"/>
        </w:rPr>
      </w:pPr>
    </w:p>
    <w:p w14:paraId="632ADF7B" w14:textId="77777777" w:rsidR="00550353" w:rsidRPr="002D3A2A" w:rsidRDefault="00550353" w:rsidP="006636FD">
      <w:pPr>
        <w:spacing w:before="120" w:after="0" w:line="360" w:lineRule="auto"/>
        <w:jc w:val="both"/>
        <w:rPr>
          <w:rFonts w:ascii="Times New Roman" w:hAnsi="Times New Roman" w:cs="Times New Roman"/>
          <w:sz w:val="28"/>
          <w:szCs w:val="28"/>
        </w:rPr>
      </w:pPr>
    </w:p>
    <w:p w14:paraId="7ECC6478" w14:textId="77777777" w:rsidR="00550353" w:rsidRPr="002D3A2A" w:rsidRDefault="00550353" w:rsidP="006636FD">
      <w:pPr>
        <w:spacing w:before="120" w:after="0" w:line="360" w:lineRule="auto"/>
        <w:jc w:val="both"/>
        <w:rPr>
          <w:rFonts w:ascii="Times New Roman" w:hAnsi="Times New Roman" w:cs="Times New Roman"/>
          <w:sz w:val="28"/>
          <w:szCs w:val="28"/>
        </w:rPr>
      </w:pPr>
    </w:p>
    <w:p w14:paraId="02375A4A" w14:textId="77777777" w:rsidR="00550353" w:rsidRPr="002D3A2A" w:rsidRDefault="00550353" w:rsidP="006636FD">
      <w:pPr>
        <w:spacing w:before="120" w:after="0" w:line="360" w:lineRule="auto"/>
        <w:jc w:val="both"/>
        <w:rPr>
          <w:rFonts w:ascii="Times New Roman" w:hAnsi="Times New Roman" w:cs="Times New Roman"/>
          <w:sz w:val="28"/>
          <w:szCs w:val="28"/>
        </w:rPr>
      </w:pPr>
    </w:p>
    <w:p w14:paraId="208F84C1" w14:textId="048588B5" w:rsidR="00550353" w:rsidRDefault="00550353" w:rsidP="006636FD">
      <w:pPr>
        <w:spacing w:before="120" w:after="0" w:line="360" w:lineRule="auto"/>
        <w:jc w:val="both"/>
        <w:rPr>
          <w:rFonts w:ascii="Times New Roman" w:hAnsi="Times New Roman" w:cs="Times New Roman"/>
          <w:sz w:val="28"/>
          <w:szCs w:val="28"/>
        </w:rPr>
      </w:pPr>
    </w:p>
    <w:p w14:paraId="11DA4C3E" w14:textId="77777777" w:rsidR="00EE4293" w:rsidRPr="002D3A2A" w:rsidRDefault="00EE4293" w:rsidP="006636FD">
      <w:pPr>
        <w:spacing w:before="120" w:after="0" w:line="360" w:lineRule="auto"/>
        <w:jc w:val="both"/>
        <w:rPr>
          <w:rFonts w:ascii="Times New Roman" w:hAnsi="Times New Roman" w:cs="Times New Roman"/>
          <w:sz w:val="28"/>
          <w:szCs w:val="28"/>
        </w:rPr>
      </w:pPr>
    </w:p>
    <w:p w14:paraId="3CE4989D" w14:textId="77777777" w:rsidR="00712E70" w:rsidRPr="002D3A2A" w:rsidRDefault="00712E70" w:rsidP="00D36346">
      <w:pPr>
        <w:shd w:val="clear" w:color="auto" w:fill="FFFFFF"/>
        <w:tabs>
          <w:tab w:val="left" w:pos="900"/>
        </w:tabs>
        <w:spacing w:before="120" w:after="0" w:line="360" w:lineRule="auto"/>
        <w:jc w:val="center"/>
        <w:rPr>
          <w:rFonts w:ascii="Times New Roman" w:eastAsia="Times New Roman" w:hAnsi="Times New Roman" w:cs="Times New Roman"/>
          <w:b/>
          <w:bCs/>
          <w:sz w:val="28"/>
          <w:szCs w:val="28"/>
          <w:lang w:val="en-US"/>
        </w:rPr>
      </w:pPr>
      <w:r w:rsidRPr="002D3A2A">
        <w:rPr>
          <w:rFonts w:ascii="Times New Roman" w:eastAsia="Times New Roman" w:hAnsi="Times New Roman" w:cs="Times New Roman"/>
          <w:b/>
          <w:bCs/>
          <w:sz w:val="28"/>
          <w:szCs w:val="28"/>
          <w:lang w:val="en-US"/>
        </w:rPr>
        <w:lastRenderedPageBreak/>
        <w:t>____________________________________________</w:t>
      </w:r>
      <w:r w:rsidR="00323365" w:rsidRPr="002D3A2A">
        <w:rPr>
          <w:rFonts w:ascii="Times New Roman" w:eastAsia="Times New Roman" w:hAnsi="Times New Roman" w:cs="Times New Roman"/>
          <w:b/>
          <w:bCs/>
          <w:sz w:val="28"/>
          <w:szCs w:val="28"/>
          <w:lang w:val="en-US"/>
        </w:rPr>
        <w:t>____________________</w:t>
      </w:r>
    </w:p>
    <w:p w14:paraId="28BF87DE" w14:textId="77777777" w:rsidR="00D36346" w:rsidRPr="002D3A2A" w:rsidRDefault="00D36346" w:rsidP="00637BC4">
      <w:pPr>
        <w:shd w:val="clear" w:color="auto" w:fill="FFFFFF"/>
        <w:tabs>
          <w:tab w:val="left" w:pos="900"/>
        </w:tabs>
        <w:spacing w:before="120" w:after="0" w:line="276" w:lineRule="auto"/>
        <w:jc w:val="center"/>
        <w:rPr>
          <w:rFonts w:ascii="Times New Roman" w:eastAsia="Times New Roman" w:hAnsi="Times New Roman" w:cs="Times New Roman"/>
          <w:b/>
          <w:bCs/>
          <w:sz w:val="28"/>
          <w:szCs w:val="28"/>
          <w:lang w:val="en-US"/>
        </w:rPr>
      </w:pPr>
      <w:r w:rsidRPr="002D3A2A">
        <w:rPr>
          <w:rFonts w:ascii="Times New Roman" w:eastAsia="Times New Roman" w:hAnsi="Times New Roman" w:cs="Times New Roman"/>
          <w:b/>
          <w:bCs/>
          <w:sz w:val="28"/>
          <w:szCs w:val="28"/>
          <w:lang w:val="en-US"/>
        </w:rPr>
        <w:t>ORDER</w:t>
      </w:r>
    </w:p>
    <w:p w14:paraId="56CC1867" w14:textId="77777777" w:rsidR="00323365" w:rsidRPr="002D3A2A" w:rsidRDefault="00323365" w:rsidP="00637BC4">
      <w:pPr>
        <w:shd w:val="clear" w:color="auto" w:fill="FFFFFF"/>
        <w:tabs>
          <w:tab w:val="left" w:pos="900"/>
        </w:tabs>
        <w:spacing w:after="0" w:line="276" w:lineRule="auto"/>
        <w:jc w:val="center"/>
        <w:rPr>
          <w:rFonts w:ascii="Times New Roman" w:eastAsia="Times New Roman" w:hAnsi="Times New Roman" w:cs="Times New Roman"/>
          <w:b/>
          <w:bCs/>
          <w:sz w:val="28"/>
          <w:szCs w:val="28"/>
          <w:lang w:val="en-US"/>
        </w:rPr>
      </w:pPr>
      <w:r w:rsidRPr="002D3A2A">
        <w:rPr>
          <w:rFonts w:ascii="Times New Roman" w:eastAsia="Times New Roman" w:hAnsi="Times New Roman" w:cs="Times New Roman"/>
          <w:b/>
          <w:bCs/>
          <w:sz w:val="28"/>
          <w:szCs w:val="28"/>
          <w:lang w:val="en-US"/>
        </w:rPr>
        <w:t>________________________________________________________________</w:t>
      </w:r>
    </w:p>
    <w:p w14:paraId="6ED10F91" w14:textId="77777777" w:rsidR="00D36346" w:rsidRPr="002D3A2A" w:rsidRDefault="00D36346" w:rsidP="00D936AB">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p>
    <w:p w14:paraId="654F19F2" w14:textId="77777777" w:rsidR="00D36346" w:rsidRPr="002D3A2A" w:rsidRDefault="00D36346" w:rsidP="00D36346">
      <w:pPr>
        <w:shd w:val="clear" w:color="auto" w:fill="FFFFFF"/>
        <w:tabs>
          <w:tab w:val="left" w:pos="900"/>
        </w:tabs>
        <w:spacing w:after="120" w:line="360" w:lineRule="auto"/>
        <w:jc w:val="both"/>
        <w:rPr>
          <w:rFonts w:ascii="Times New Roman" w:eastAsia="Times New Roman" w:hAnsi="Times New Roman" w:cs="Times New Roman"/>
          <w:bCs/>
          <w:sz w:val="28"/>
          <w:szCs w:val="28"/>
          <w:lang w:val="en-US"/>
        </w:rPr>
      </w:pPr>
      <w:r w:rsidRPr="002D3A2A">
        <w:rPr>
          <w:rFonts w:ascii="Times New Roman" w:eastAsia="Times New Roman" w:hAnsi="Times New Roman" w:cs="Times New Roman"/>
          <w:b/>
          <w:bCs/>
          <w:sz w:val="28"/>
          <w:szCs w:val="28"/>
          <w:lang w:val="en-US"/>
        </w:rPr>
        <w:t>On appeal from:</w:t>
      </w:r>
      <w:r w:rsidRPr="002D3A2A">
        <w:rPr>
          <w:rFonts w:ascii="Times New Roman" w:eastAsia="Times New Roman" w:hAnsi="Times New Roman" w:cs="Times New Roman"/>
          <w:bCs/>
          <w:sz w:val="28"/>
          <w:szCs w:val="28"/>
          <w:lang w:val="en-US"/>
        </w:rPr>
        <w:t xml:space="preserve"> </w:t>
      </w:r>
      <w:r w:rsidR="004F6FA5" w:rsidRPr="002D3A2A">
        <w:rPr>
          <w:rFonts w:ascii="Times New Roman" w:eastAsia="Times New Roman" w:hAnsi="Times New Roman" w:cs="Times New Roman"/>
          <w:bCs/>
          <w:sz w:val="28"/>
          <w:szCs w:val="28"/>
          <w:lang w:val="en-US"/>
        </w:rPr>
        <w:t>Gauteng</w:t>
      </w:r>
      <w:r w:rsidRPr="002D3A2A">
        <w:rPr>
          <w:rFonts w:ascii="Times New Roman" w:eastAsia="Times New Roman" w:hAnsi="Times New Roman" w:cs="Times New Roman"/>
          <w:bCs/>
          <w:sz w:val="28"/>
          <w:szCs w:val="28"/>
          <w:lang w:val="en-US"/>
        </w:rPr>
        <w:t xml:space="preserve"> Division of the High Court, </w:t>
      </w:r>
      <w:r w:rsidR="00F0180A" w:rsidRPr="002D3A2A">
        <w:rPr>
          <w:rFonts w:ascii="Times New Roman" w:eastAsia="Times New Roman" w:hAnsi="Times New Roman" w:cs="Times New Roman"/>
          <w:bCs/>
          <w:sz w:val="28"/>
          <w:szCs w:val="28"/>
          <w:lang w:val="en-US"/>
        </w:rPr>
        <w:t>Pretoria</w:t>
      </w:r>
      <w:r w:rsidR="001552EC" w:rsidRPr="002D3A2A">
        <w:rPr>
          <w:rFonts w:ascii="Times New Roman" w:eastAsia="Times New Roman" w:hAnsi="Times New Roman" w:cs="Times New Roman"/>
          <w:bCs/>
          <w:sz w:val="28"/>
          <w:szCs w:val="28"/>
          <w:lang w:val="en-US"/>
        </w:rPr>
        <w:t xml:space="preserve"> (</w:t>
      </w:r>
      <w:r w:rsidR="00F0180A" w:rsidRPr="002D3A2A">
        <w:rPr>
          <w:rFonts w:ascii="Times New Roman" w:eastAsia="Times New Roman" w:hAnsi="Times New Roman" w:cs="Times New Roman"/>
          <w:bCs/>
          <w:sz w:val="28"/>
          <w:szCs w:val="28"/>
          <w:lang w:val="en-US"/>
        </w:rPr>
        <w:t>Baqwa</w:t>
      </w:r>
      <w:r w:rsidR="001959BD" w:rsidRPr="002D3A2A">
        <w:rPr>
          <w:rFonts w:ascii="Times New Roman" w:eastAsia="Times New Roman" w:hAnsi="Times New Roman" w:cs="Times New Roman"/>
          <w:bCs/>
          <w:sz w:val="28"/>
          <w:szCs w:val="28"/>
          <w:lang w:val="en-US"/>
        </w:rPr>
        <w:t xml:space="preserve"> </w:t>
      </w:r>
      <w:r w:rsidRPr="002D3A2A">
        <w:rPr>
          <w:rFonts w:ascii="Times New Roman" w:eastAsia="Times New Roman" w:hAnsi="Times New Roman" w:cs="Times New Roman"/>
          <w:bCs/>
          <w:sz w:val="28"/>
          <w:szCs w:val="28"/>
          <w:lang w:val="en-US"/>
        </w:rPr>
        <w:t>J</w:t>
      </w:r>
      <w:r w:rsidR="005F5B42" w:rsidRPr="002D3A2A">
        <w:rPr>
          <w:rFonts w:ascii="Times New Roman" w:eastAsia="Times New Roman" w:hAnsi="Times New Roman" w:cs="Times New Roman"/>
          <w:bCs/>
          <w:sz w:val="28"/>
          <w:szCs w:val="28"/>
          <w:lang w:val="en-US"/>
        </w:rPr>
        <w:t xml:space="preserve"> </w:t>
      </w:r>
      <w:r w:rsidRPr="002D3A2A">
        <w:rPr>
          <w:rFonts w:ascii="Times New Roman" w:eastAsia="Times New Roman" w:hAnsi="Times New Roman" w:cs="Times New Roman"/>
          <w:bCs/>
          <w:sz w:val="28"/>
          <w:szCs w:val="28"/>
          <w:lang w:val="en-US"/>
        </w:rPr>
        <w:t>sitting as court of first instance):</w:t>
      </w:r>
    </w:p>
    <w:p w14:paraId="28A040D0" w14:textId="77777777" w:rsidR="00A05576" w:rsidRPr="002D3A2A" w:rsidRDefault="00A05576" w:rsidP="00A05576">
      <w:pPr>
        <w:shd w:val="clear" w:color="auto" w:fill="FFFFFF"/>
        <w:tabs>
          <w:tab w:val="left" w:pos="567"/>
        </w:tabs>
        <w:spacing w:after="120" w:line="360" w:lineRule="auto"/>
        <w:ind w:left="567" w:hanging="567"/>
        <w:jc w:val="both"/>
        <w:rPr>
          <w:rFonts w:ascii="Times New Roman" w:eastAsia="Times New Roman" w:hAnsi="Times New Roman" w:cs="Times New Roman"/>
          <w:bCs/>
          <w:sz w:val="28"/>
          <w:szCs w:val="28"/>
          <w:lang w:val="en-US"/>
        </w:rPr>
      </w:pPr>
      <w:r w:rsidRPr="002D3A2A">
        <w:rPr>
          <w:rFonts w:ascii="Times New Roman" w:eastAsia="Times New Roman" w:hAnsi="Times New Roman" w:cs="Times New Roman"/>
          <w:bCs/>
          <w:sz w:val="28"/>
          <w:szCs w:val="28"/>
          <w:lang w:val="en-US"/>
        </w:rPr>
        <w:t>1</w:t>
      </w:r>
      <w:r w:rsidRPr="002D3A2A">
        <w:rPr>
          <w:rFonts w:ascii="Times New Roman" w:eastAsia="Times New Roman" w:hAnsi="Times New Roman" w:cs="Times New Roman"/>
          <w:bCs/>
          <w:sz w:val="28"/>
          <w:szCs w:val="28"/>
          <w:lang w:val="en-US"/>
        </w:rPr>
        <w:tab/>
        <w:t>The application for intervention by the Southern African Textile and Clothing Workers’ Union is struck from the roll with costs. Such costs shall include the costs of only one junior counsel.</w:t>
      </w:r>
    </w:p>
    <w:p w14:paraId="26E3293B" w14:textId="7A47D049" w:rsidR="00A05576" w:rsidRPr="002D3A2A" w:rsidRDefault="00A05576" w:rsidP="00A05576">
      <w:pPr>
        <w:shd w:val="clear" w:color="auto" w:fill="FFFFFF"/>
        <w:tabs>
          <w:tab w:val="left" w:pos="567"/>
        </w:tabs>
        <w:spacing w:after="120" w:line="360" w:lineRule="auto"/>
        <w:ind w:left="567" w:hanging="567"/>
        <w:jc w:val="both"/>
        <w:rPr>
          <w:rFonts w:ascii="Times New Roman" w:eastAsia="Times New Roman" w:hAnsi="Times New Roman" w:cs="Times New Roman"/>
          <w:bCs/>
          <w:sz w:val="28"/>
          <w:szCs w:val="28"/>
          <w:lang w:val="en-US"/>
        </w:rPr>
      </w:pPr>
      <w:r w:rsidRPr="002D3A2A">
        <w:rPr>
          <w:rFonts w:ascii="Times New Roman" w:eastAsia="Times New Roman" w:hAnsi="Times New Roman" w:cs="Times New Roman"/>
          <w:bCs/>
          <w:sz w:val="28"/>
          <w:szCs w:val="28"/>
          <w:lang w:val="en-US"/>
        </w:rPr>
        <w:t>2</w:t>
      </w:r>
      <w:r w:rsidRPr="002D3A2A">
        <w:rPr>
          <w:rFonts w:ascii="Times New Roman" w:eastAsia="Times New Roman" w:hAnsi="Times New Roman" w:cs="Times New Roman"/>
          <w:bCs/>
          <w:sz w:val="28"/>
          <w:szCs w:val="28"/>
          <w:lang w:val="en-US"/>
        </w:rPr>
        <w:tab/>
        <w:t xml:space="preserve">The appeal is upheld with costs, including the costs of two counsel where so employed. Such costs shall be paid by the respondents jointly and severally, </w:t>
      </w:r>
      <w:r w:rsidR="00FE7063">
        <w:rPr>
          <w:rFonts w:ascii="Times New Roman" w:eastAsia="Times New Roman" w:hAnsi="Times New Roman" w:cs="Times New Roman"/>
          <w:bCs/>
          <w:sz w:val="28"/>
          <w:szCs w:val="28"/>
          <w:lang w:val="en-US"/>
        </w:rPr>
        <w:t xml:space="preserve">the </w:t>
      </w:r>
      <w:r w:rsidRPr="002D3A2A">
        <w:rPr>
          <w:rFonts w:ascii="Times New Roman" w:eastAsia="Times New Roman" w:hAnsi="Times New Roman" w:cs="Times New Roman"/>
          <w:bCs/>
          <w:sz w:val="28"/>
          <w:szCs w:val="28"/>
          <w:lang w:val="en-US"/>
        </w:rPr>
        <w:t>one paying the others to be absolved.</w:t>
      </w:r>
    </w:p>
    <w:p w14:paraId="73B182B7" w14:textId="77777777" w:rsidR="00A05576" w:rsidRPr="002D3A2A" w:rsidRDefault="00A05576" w:rsidP="00A05576">
      <w:pPr>
        <w:shd w:val="clear" w:color="auto" w:fill="FFFFFF"/>
        <w:tabs>
          <w:tab w:val="left" w:pos="567"/>
        </w:tabs>
        <w:spacing w:after="120" w:line="360" w:lineRule="auto"/>
        <w:jc w:val="both"/>
        <w:rPr>
          <w:rFonts w:ascii="Times New Roman" w:eastAsia="Times New Roman" w:hAnsi="Times New Roman" w:cs="Times New Roman"/>
          <w:bCs/>
          <w:sz w:val="28"/>
          <w:szCs w:val="28"/>
          <w:lang w:val="en-US"/>
        </w:rPr>
      </w:pPr>
      <w:r w:rsidRPr="002D3A2A">
        <w:rPr>
          <w:rFonts w:ascii="Times New Roman" w:eastAsia="Times New Roman" w:hAnsi="Times New Roman" w:cs="Times New Roman"/>
          <w:bCs/>
          <w:sz w:val="28"/>
          <w:szCs w:val="28"/>
          <w:lang w:val="en-US"/>
        </w:rPr>
        <w:t>3</w:t>
      </w:r>
      <w:r w:rsidRPr="002D3A2A">
        <w:rPr>
          <w:rFonts w:ascii="Times New Roman" w:eastAsia="Times New Roman" w:hAnsi="Times New Roman" w:cs="Times New Roman"/>
          <w:bCs/>
          <w:sz w:val="28"/>
          <w:szCs w:val="28"/>
          <w:lang w:val="en-US"/>
        </w:rPr>
        <w:tab/>
        <w:t>The order of the high court is set aside and replaced by the following:</w:t>
      </w:r>
    </w:p>
    <w:p w14:paraId="7BF08EDA" w14:textId="77777777" w:rsidR="00A05576" w:rsidRPr="002D3A2A" w:rsidRDefault="00A05576" w:rsidP="00A05576">
      <w:pPr>
        <w:pStyle w:val="ListParagraph"/>
        <w:spacing w:after="0" w:line="360" w:lineRule="auto"/>
        <w:ind w:left="567" w:hanging="720"/>
        <w:jc w:val="both"/>
        <w:rPr>
          <w:rFonts w:ascii="Times New Roman" w:hAnsi="Times New Roman" w:cs="Times New Roman"/>
          <w:sz w:val="28"/>
          <w:szCs w:val="28"/>
        </w:rPr>
      </w:pPr>
      <w:r w:rsidRPr="002D3A2A">
        <w:rPr>
          <w:rFonts w:ascii="Times New Roman" w:eastAsia="Times New Roman" w:hAnsi="Times New Roman" w:cs="Times New Roman"/>
          <w:bCs/>
          <w:sz w:val="28"/>
          <w:szCs w:val="28"/>
          <w:lang w:val="en-US"/>
        </w:rPr>
        <w:tab/>
        <w:t>‘The application is dismissed. The applicants are directed to pay the costs of the application, including the costs of two counsel where so employed, jointly and severally, the one paying the others to be absolved.’</w:t>
      </w:r>
    </w:p>
    <w:p w14:paraId="69A7FC8F" w14:textId="77777777" w:rsidR="001552EC" w:rsidRPr="002D3A2A" w:rsidRDefault="001552EC" w:rsidP="00D36346">
      <w:pPr>
        <w:shd w:val="clear" w:color="auto" w:fill="FFFFFF"/>
        <w:tabs>
          <w:tab w:val="left" w:pos="900"/>
        </w:tabs>
        <w:spacing w:after="120" w:line="360" w:lineRule="auto"/>
        <w:jc w:val="both"/>
        <w:rPr>
          <w:rFonts w:ascii="Times New Roman" w:eastAsia="Times New Roman" w:hAnsi="Times New Roman" w:cs="Times New Roman"/>
          <w:bCs/>
          <w:sz w:val="28"/>
          <w:szCs w:val="28"/>
          <w:lang w:val="en-US"/>
        </w:rPr>
      </w:pPr>
    </w:p>
    <w:p w14:paraId="6C90ED09" w14:textId="77777777" w:rsidR="001552EC" w:rsidRPr="002D3A2A" w:rsidRDefault="001552EC" w:rsidP="00D36346">
      <w:pPr>
        <w:shd w:val="clear" w:color="auto" w:fill="FFFFFF"/>
        <w:tabs>
          <w:tab w:val="left" w:pos="900"/>
        </w:tabs>
        <w:spacing w:after="120" w:line="360" w:lineRule="auto"/>
        <w:jc w:val="both"/>
        <w:rPr>
          <w:rFonts w:ascii="Times New Roman" w:eastAsia="Times New Roman" w:hAnsi="Times New Roman" w:cs="Times New Roman"/>
          <w:bCs/>
          <w:sz w:val="28"/>
          <w:szCs w:val="28"/>
          <w:lang w:val="en-US"/>
        </w:rPr>
      </w:pPr>
    </w:p>
    <w:p w14:paraId="0EE2727A" w14:textId="77777777" w:rsidR="0070277F" w:rsidRPr="002D3A2A" w:rsidRDefault="0070277F" w:rsidP="00D36346">
      <w:pPr>
        <w:shd w:val="clear" w:color="auto" w:fill="FFFFFF"/>
        <w:tabs>
          <w:tab w:val="left" w:pos="900"/>
        </w:tabs>
        <w:spacing w:after="120" w:line="360" w:lineRule="auto"/>
        <w:jc w:val="both"/>
        <w:rPr>
          <w:rFonts w:ascii="Times New Roman" w:eastAsia="Times New Roman" w:hAnsi="Times New Roman" w:cs="Times New Roman"/>
          <w:bCs/>
          <w:sz w:val="28"/>
          <w:szCs w:val="28"/>
          <w:lang w:val="en-US"/>
        </w:rPr>
      </w:pPr>
    </w:p>
    <w:p w14:paraId="204E5DB5" w14:textId="77777777" w:rsidR="0070277F" w:rsidRPr="002D3A2A" w:rsidRDefault="0070277F" w:rsidP="00D36346">
      <w:pPr>
        <w:shd w:val="clear" w:color="auto" w:fill="FFFFFF"/>
        <w:tabs>
          <w:tab w:val="left" w:pos="900"/>
        </w:tabs>
        <w:spacing w:after="120" w:line="360" w:lineRule="auto"/>
        <w:jc w:val="both"/>
        <w:rPr>
          <w:rFonts w:ascii="Times New Roman" w:eastAsia="Times New Roman" w:hAnsi="Times New Roman" w:cs="Times New Roman"/>
          <w:bCs/>
          <w:sz w:val="28"/>
          <w:szCs w:val="28"/>
          <w:lang w:val="en-US"/>
        </w:rPr>
      </w:pPr>
    </w:p>
    <w:p w14:paraId="796DA2BF" w14:textId="77777777" w:rsidR="00AA63C5" w:rsidRPr="002D3A2A" w:rsidRDefault="00AA63C5" w:rsidP="00D36346">
      <w:pPr>
        <w:shd w:val="clear" w:color="auto" w:fill="FFFFFF"/>
        <w:tabs>
          <w:tab w:val="left" w:pos="900"/>
        </w:tabs>
        <w:spacing w:after="120" w:line="360" w:lineRule="auto"/>
        <w:jc w:val="both"/>
        <w:rPr>
          <w:rFonts w:ascii="Times New Roman" w:eastAsia="Times New Roman" w:hAnsi="Times New Roman" w:cs="Times New Roman"/>
          <w:bCs/>
          <w:sz w:val="28"/>
          <w:szCs w:val="28"/>
          <w:lang w:val="en-US"/>
        </w:rPr>
      </w:pPr>
    </w:p>
    <w:p w14:paraId="7E0969DA" w14:textId="77777777" w:rsidR="00AA63C5" w:rsidRPr="002D3A2A" w:rsidRDefault="00AA63C5" w:rsidP="00D36346">
      <w:pPr>
        <w:shd w:val="clear" w:color="auto" w:fill="FFFFFF"/>
        <w:tabs>
          <w:tab w:val="left" w:pos="900"/>
        </w:tabs>
        <w:spacing w:after="120" w:line="360" w:lineRule="auto"/>
        <w:jc w:val="both"/>
        <w:rPr>
          <w:rFonts w:ascii="Times New Roman" w:eastAsia="Times New Roman" w:hAnsi="Times New Roman" w:cs="Times New Roman"/>
          <w:bCs/>
          <w:sz w:val="28"/>
          <w:szCs w:val="28"/>
          <w:lang w:val="en-US"/>
        </w:rPr>
      </w:pPr>
    </w:p>
    <w:p w14:paraId="4A2EC2C3" w14:textId="77777777" w:rsidR="00AA63C5" w:rsidRPr="002D3A2A" w:rsidRDefault="00AA63C5" w:rsidP="00D36346">
      <w:pPr>
        <w:shd w:val="clear" w:color="auto" w:fill="FFFFFF"/>
        <w:tabs>
          <w:tab w:val="left" w:pos="900"/>
        </w:tabs>
        <w:spacing w:after="120" w:line="360" w:lineRule="auto"/>
        <w:jc w:val="both"/>
        <w:rPr>
          <w:rFonts w:ascii="Times New Roman" w:eastAsia="Times New Roman" w:hAnsi="Times New Roman" w:cs="Times New Roman"/>
          <w:bCs/>
          <w:sz w:val="28"/>
          <w:szCs w:val="28"/>
          <w:lang w:val="en-US"/>
        </w:rPr>
      </w:pPr>
    </w:p>
    <w:p w14:paraId="7EF28256" w14:textId="77777777" w:rsidR="00AA63C5" w:rsidRPr="002D3A2A" w:rsidRDefault="00AA63C5" w:rsidP="00D36346">
      <w:pPr>
        <w:shd w:val="clear" w:color="auto" w:fill="FFFFFF"/>
        <w:tabs>
          <w:tab w:val="left" w:pos="900"/>
        </w:tabs>
        <w:spacing w:after="120" w:line="360" w:lineRule="auto"/>
        <w:jc w:val="both"/>
        <w:rPr>
          <w:rFonts w:ascii="Times New Roman" w:eastAsia="Times New Roman" w:hAnsi="Times New Roman" w:cs="Times New Roman"/>
          <w:bCs/>
          <w:sz w:val="28"/>
          <w:szCs w:val="28"/>
          <w:lang w:val="en-US"/>
        </w:rPr>
      </w:pPr>
    </w:p>
    <w:p w14:paraId="387F12BB" w14:textId="3CA7B2A3" w:rsidR="008A524C" w:rsidRPr="002D3A2A" w:rsidRDefault="008A524C" w:rsidP="008A524C">
      <w:pPr>
        <w:shd w:val="clear" w:color="auto" w:fill="FFFFFF"/>
        <w:tabs>
          <w:tab w:val="left" w:pos="900"/>
        </w:tabs>
        <w:spacing w:after="0" w:line="360" w:lineRule="auto"/>
        <w:jc w:val="both"/>
        <w:rPr>
          <w:rFonts w:ascii="Times New Roman" w:eastAsia="Times New Roman" w:hAnsi="Times New Roman" w:cs="Times New Roman"/>
          <w:bCs/>
          <w:sz w:val="28"/>
          <w:szCs w:val="28"/>
          <w:lang w:val="en-US"/>
        </w:rPr>
      </w:pPr>
    </w:p>
    <w:p w14:paraId="087CE7EB" w14:textId="77777777" w:rsidR="007B005D" w:rsidRPr="002D3A2A" w:rsidRDefault="007B005D" w:rsidP="008A524C">
      <w:pPr>
        <w:shd w:val="clear" w:color="auto" w:fill="FFFFFF"/>
        <w:tabs>
          <w:tab w:val="left" w:pos="900"/>
        </w:tabs>
        <w:spacing w:after="0" w:line="360" w:lineRule="auto"/>
        <w:jc w:val="both"/>
        <w:rPr>
          <w:rFonts w:ascii="Times New Roman" w:eastAsia="Times New Roman" w:hAnsi="Times New Roman" w:cs="Times New Roman"/>
          <w:bCs/>
          <w:sz w:val="28"/>
          <w:szCs w:val="28"/>
          <w:lang w:val="en-US"/>
        </w:rPr>
      </w:pPr>
    </w:p>
    <w:p w14:paraId="7DFE6293" w14:textId="77777777" w:rsidR="00507AB0" w:rsidRPr="002D3A2A" w:rsidRDefault="00323365" w:rsidP="002744EA">
      <w:pPr>
        <w:spacing w:line="360" w:lineRule="auto"/>
        <w:rPr>
          <w:rFonts w:ascii="Times New Roman" w:eastAsia="Times New Roman" w:hAnsi="Times New Roman" w:cs="Times New Roman"/>
          <w:sz w:val="28"/>
          <w:szCs w:val="28"/>
          <w:lang w:eastAsia="en-GB"/>
        </w:rPr>
      </w:pPr>
      <w:r w:rsidRPr="002D3A2A">
        <w:rPr>
          <w:rFonts w:ascii="Times New Roman" w:eastAsia="Times New Roman" w:hAnsi="Times New Roman" w:cs="Times New Roman"/>
          <w:sz w:val="28"/>
          <w:szCs w:val="28"/>
          <w:lang w:eastAsia="en-GB"/>
        </w:rPr>
        <w:lastRenderedPageBreak/>
        <w:t>________________________________________________________________</w:t>
      </w:r>
    </w:p>
    <w:p w14:paraId="2318AF05" w14:textId="77777777" w:rsidR="00507AB0" w:rsidRPr="002D3A2A" w:rsidRDefault="00507AB0" w:rsidP="00323365">
      <w:pPr>
        <w:shd w:val="clear" w:color="auto" w:fill="FFFFFF"/>
        <w:tabs>
          <w:tab w:val="left" w:pos="900"/>
        </w:tabs>
        <w:spacing w:before="120" w:after="0" w:line="276" w:lineRule="auto"/>
        <w:jc w:val="center"/>
        <w:rPr>
          <w:rFonts w:ascii="Times New Roman" w:eastAsia="Times New Roman" w:hAnsi="Times New Roman" w:cs="Times New Roman"/>
          <w:b/>
          <w:bCs/>
          <w:sz w:val="28"/>
          <w:szCs w:val="28"/>
          <w:lang w:val="en-US"/>
        </w:rPr>
      </w:pPr>
      <w:r w:rsidRPr="002D3A2A">
        <w:rPr>
          <w:rFonts w:ascii="Times New Roman" w:eastAsia="Times New Roman" w:hAnsi="Times New Roman" w:cs="Times New Roman"/>
          <w:b/>
          <w:bCs/>
          <w:sz w:val="28"/>
          <w:szCs w:val="28"/>
          <w:lang w:val="en-US"/>
        </w:rPr>
        <w:t>JUDGMENT</w:t>
      </w:r>
    </w:p>
    <w:p w14:paraId="04FF11FC" w14:textId="77777777" w:rsidR="00323365" w:rsidRPr="007B4B93" w:rsidRDefault="00323365" w:rsidP="00323365">
      <w:pPr>
        <w:shd w:val="clear" w:color="auto" w:fill="FFFFFF"/>
        <w:tabs>
          <w:tab w:val="left" w:pos="900"/>
        </w:tabs>
        <w:spacing w:after="0" w:line="360" w:lineRule="auto"/>
        <w:jc w:val="center"/>
        <w:rPr>
          <w:rFonts w:ascii="Times New Roman" w:eastAsia="Times New Roman" w:hAnsi="Times New Roman" w:cs="Times New Roman"/>
          <w:bCs/>
          <w:sz w:val="28"/>
          <w:szCs w:val="28"/>
          <w:lang w:val="en-US"/>
        </w:rPr>
      </w:pPr>
      <w:r w:rsidRPr="007B4B93">
        <w:rPr>
          <w:rFonts w:ascii="Times New Roman" w:eastAsia="Times New Roman" w:hAnsi="Times New Roman" w:cs="Times New Roman"/>
          <w:bCs/>
          <w:sz w:val="28"/>
          <w:szCs w:val="28"/>
          <w:lang w:val="en-US"/>
        </w:rPr>
        <w:t>________________________________________________________________</w:t>
      </w:r>
    </w:p>
    <w:p w14:paraId="4861A8BE" w14:textId="57BDA7BE" w:rsidR="000D2B94" w:rsidRPr="002D3A2A" w:rsidRDefault="00686B67" w:rsidP="000D2B94">
      <w:pPr>
        <w:spacing w:after="0" w:line="360" w:lineRule="auto"/>
        <w:jc w:val="both"/>
        <w:rPr>
          <w:rFonts w:ascii="Times New Roman" w:hAnsi="Times New Roman" w:cs="Times New Roman"/>
          <w:sz w:val="28"/>
          <w:szCs w:val="28"/>
        </w:rPr>
      </w:pPr>
      <w:r w:rsidRPr="002D3A2A">
        <w:rPr>
          <w:rFonts w:ascii="Times New Roman" w:eastAsia="Times New Roman" w:hAnsi="Times New Roman" w:cs="Times New Roman"/>
          <w:b/>
          <w:sz w:val="28"/>
          <w:szCs w:val="28"/>
          <w:lang w:val="en-GB"/>
        </w:rPr>
        <w:t xml:space="preserve">Schippers JA </w:t>
      </w:r>
      <w:r w:rsidR="008E126A" w:rsidRPr="002D3A2A">
        <w:rPr>
          <w:rFonts w:ascii="Times New Roman" w:eastAsia="Times New Roman" w:hAnsi="Times New Roman" w:cs="Times New Roman"/>
          <w:b/>
          <w:sz w:val="28"/>
          <w:szCs w:val="28"/>
          <w:lang w:val="en-GB"/>
        </w:rPr>
        <w:t>(</w:t>
      </w:r>
      <w:r w:rsidR="00DA0339" w:rsidRPr="002D3A2A">
        <w:rPr>
          <w:rFonts w:ascii="Times New Roman" w:eastAsia="Times New Roman" w:hAnsi="Times New Roman" w:cs="Times New Roman"/>
          <w:b/>
          <w:sz w:val="28"/>
          <w:szCs w:val="28"/>
          <w:lang w:val="en-GB"/>
        </w:rPr>
        <w:t>Plasket and Hughes JJA and Tsoka and Salie-Hlophe AJJA</w:t>
      </w:r>
      <w:r w:rsidR="00703C4E" w:rsidRPr="002D3A2A">
        <w:rPr>
          <w:rFonts w:ascii="Times New Roman" w:eastAsia="Times New Roman" w:hAnsi="Times New Roman" w:cs="Times New Roman"/>
          <w:b/>
          <w:sz w:val="28"/>
          <w:szCs w:val="28"/>
          <w:lang w:val="en-GB"/>
        </w:rPr>
        <w:t xml:space="preserve"> concurring</w:t>
      </w:r>
      <w:r w:rsidR="00801266" w:rsidRPr="002D3A2A">
        <w:rPr>
          <w:rFonts w:ascii="Times New Roman" w:eastAsia="Times New Roman" w:hAnsi="Times New Roman" w:cs="Times New Roman"/>
          <w:b/>
          <w:sz w:val="28"/>
          <w:szCs w:val="28"/>
          <w:lang w:val="en-GB"/>
        </w:rPr>
        <w:t>)</w:t>
      </w:r>
      <w:r w:rsidR="000D2B94" w:rsidRPr="002D3A2A">
        <w:rPr>
          <w:rFonts w:ascii="Times New Roman" w:hAnsi="Times New Roman" w:cs="Times New Roman"/>
          <w:sz w:val="28"/>
          <w:szCs w:val="28"/>
        </w:rPr>
        <w:t xml:space="preserve"> </w:t>
      </w:r>
    </w:p>
    <w:p w14:paraId="659363B4" w14:textId="77777777" w:rsidR="00C76ECD" w:rsidRPr="002D3A2A" w:rsidRDefault="00C76ECD" w:rsidP="000D2B94">
      <w:pPr>
        <w:spacing w:after="0" w:line="360" w:lineRule="auto"/>
        <w:jc w:val="both"/>
        <w:rPr>
          <w:rFonts w:ascii="Times New Roman" w:hAnsi="Times New Roman" w:cs="Times New Roman"/>
          <w:sz w:val="28"/>
          <w:szCs w:val="28"/>
        </w:rPr>
      </w:pPr>
    </w:p>
    <w:p w14:paraId="6264D2B2" w14:textId="77777777" w:rsidR="00DD26B8" w:rsidRPr="002D3A2A" w:rsidRDefault="00DF142A" w:rsidP="005310D1">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The main issue in this appeal</w:t>
      </w:r>
      <w:r w:rsidR="005E6709" w:rsidRPr="002D3A2A">
        <w:rPr>
          <w:rFonts w:ascii="Times New Roman" w:hAnsi="Times New Roman" w:cs="Times New Roman"/>
          <w:sz w:val="28"/>
          <w:szCs w:val="28"/>
        </w:rPr>
        <w:t xml:space="preserve"> </w:t>
      </w:r>
      <w:r w:rsidRPr="002D3A2A">
        <w:rPr>
          <w:rFonts w:ascii="Times New Roman" w:hAnsi="Times New Roman" w:cs="Times New Roman"/>
          <w:sz w:val="28"/>
          <w:szCs w:val="28"/>
        </w:rPr>
        <w:t xml:space="preserve">concerns </w:t>
      </w:r>
      <w:r w:rsidR="00EA2DC3" w:rsidRPr="002D3A2A">
        <w:rPr>
          <w:rFonts w:ascii="Times New Roman" w:hAnsi="Times New Roman" w:cs="Times New Roman"/>
          <w:sz w:val="28"/>
          <w:szCs w:val="28"/>
        </w:rPr>
        <w:t xml:space="preserve">the lawfulness of </w:t>
      </w:r>
      <w:r w:rsidRPr="002D3A2A">
        <w:rPr>
          <w:rFonts w:ascii="Times New Roman" w:hAnsi="Times New Roman" w:cs="Times New Roman"/>
          <w:sz w:val="28"/>
          <w:szCs w:val="28"/>
        </w:rPr>
        <w:t xml:space="preserve">a decision </w:t>
      </w:r>
      <w:r w:rsidR="004554FC" w:rsidRPr="002D3A2A">
        <w:rPr>
          <w:rFonts w:ascii="Times New Roman" w:hAnsi="Times New Roman" w:cs="Times New Roman"/>
          <w:sz w:val="28"/>
          <w:szCs w:val="28"/>
        </w:rPr>
        <w:t xml:space="preserve">taken </w:t>
      </w:r>
      <w:r w:rsidRPr="002D3A2A">
        <w:rPr>
          <w:rFonts w:ascii="Times New Roman" w:hAnsi="Times New Roman" w:cs="Times New Roman"/>
          <w:sz w:val="28"/>
          <w:szCs w:val="28"/>
        </w:rPr>
        <w:t>by the</w:t>
      </w:r>
      <w:r w:rsidR="00004A6E" w:rsidRPr="002D3A2A">
        <w:rPr>
          <w:rFonts w:ascii="Times New Roman" w:hAnsi="Times New Roman" w:cs="Times New Roman"/>
          <w:sz w:val="28"/>
          <w:szCs w:val="28"/>
        </w:rPr>
        <w:t xml:space="preserve"> first appellant, the Commissioner for the South African Revenue Service (</w:t>
      </w:r>
      <w:r w:rsidR="00731CBF" w:rsidRPr="002D3A2A">
        <w:rPr>
          <w:rFonts w:ascii="Times New Roman" w:hAnsi="Times New Roman" w:cs="Times New Roman"/>
          <w:sz w:val="28"/>
          <w:szCs w:val="28"/>
        </w:rPr>
        <w:t>the Commissioner</w:t>
      </w:r>
      <w:r w:rsidR="005E3830" w:rsidRPr="002D3A2A">
        <w:rPr>
          <w:rFonts w:ascii="Times New Roman" w:hAnsi="Times New Roman" w:cs="Times New Roman"/>
          <w:sz w:val="28"/>
          <w:szCs w:val="28"/>
        </w:rPr>
        <w:t>,</w:t>
      </w:r>
      <w:r w:rsidR="00731CBF" w:rsidRPr="002D3A2A">
        <w:rPr>
          <w:rFonts w:ascii="Times New Roman" w:hAnsi="Times New Roman" w:cs="Times New Roman"/>
          <w:sz w:val="28"/>
          <w:szCs w:val="28"/>
        </w:rPr>
        <w:t xml:space="preserve"> or SARS</w:t>
      </w:r>
      <w:r w:rsidR="00004A6E" w:rsidRPr="002D3A2A">
        <w:rPr>
          <w:rFonts w:ascii="Times New Roman" w:hAnsi="Times New Roman" w:cs="Times New Roman"/>
          <w:sz w:val="28"/>
          <w:szCs w:val="28"/>
        </w:rPr>
        <w:t>)</w:t>
      </w:r>
      <w:r w:rsidR="004554FC" w:rsidRPr="002D3A2A">
        <w:rPr>
          <w:rFonts w:ascii="Times New Roman" w:hAnsi="Times New Roman" w:cs="Times New Roman"/>
          <w:sz w:val="28"/>
          <w:szCs w:val="28"/>
        </w:rPr>
        <w:t>, to seize 19 containers of clothing (the goods), in terms of section 88(1)</w:t>
      </w:r>
      <w:r w:rsidR="004554FC" w:rsidRPr="002D3A2A">
        <w:rPr>
          <w:rFonts w:ascii="Times New Roman" w:hAnsi="Times New Roman" w:cs="Times New Roman"/>
          <w:i/>
          <w:sz w:val="28"/>
          <w:szCs w:val="28"/>
        </w:rPr>
        <w:t>(c)</w:t>
      </w:r>
      <w:r w:rsidR="004554FC" w:rsidRPr="002D3A2A">
        <w:rPr>
          <w:rFonts w:ascii="Times New Roman" w:hAnsi="Times New Roman" w:cs="Times New Roman"/>
          <w:sz w:val="28"/>
          <w:szCs w:val="28"/>
        </w:rPr>
        <w:t xml:space="preserve"> of the Customs and Excise Act 91 of 1964 (the Act).</w:t>
      </w:r>
      <w:r w:rsidR="006F6939" w:rsidRPr="002D3A2A">
        <w:rPr>
          <w:rStyle w:val="FootnoteReference"/>
          <w:rFonts w:ascii="Times New Roman" w:hAnsi="Times New Roman" w:cs="Times New Roman"/>
          <w:sz w:val="28"/>
          <w:szCs w:val="28"/>
        </w:rPr>
        <w:footnoteReference w:id="1"/>
      </w:r>
      <w:r w:rsidR="004554FC" w:rsidRPr="002D3A2A">
        <w:rPr>
          <w:rFonts w:ascii="Times New Roman" w:hAnsi="Times New Roman" w:cs="Times New Roman"/>
          <w:sz w:val="28"/>
          <w:szCs w:val="28"/>
        </w:rPr>
        <w:t xml:space="preserve"> </w:t>
      </w:r>
      <w:r w:rsidR="00741909" w:rsidRPr="002D3A2A">
        <w:rPr>
          <w:rFonts w:ascii="Times New Roman" w:hAnsi="Times New Roman" w:cs="Times New Roman"/>
          <w:sz w:val="28"/>
          <w:szCs w:val="28"/>
        </w:rPr>
        <w:t xml:space="preserve">The goods were seized </w:t>
      </w:r>
      <w:r w:rsidR="002822B0" w:rsidRPr="002D3A2A">
        <w:rPr>
          <w:rFonts w:ascii="Times New Roman" w:hAnsi="Times New Roman" w:cs="Times New Roman"/>
          <w:sz w:val="28"/>
          <w:szCs w:val="28"/>
        </w:rPr>
        <w:t>on the basis that the respondents had under-declared their transaction value – the price actually paid for the goods when sold for export to this country –</w:t>
      </w:r>
      <w:r w:rsidR="005E6709" w:rsidRPr="002D3A2A">
        <w:rPr>
          <w:rFonts w:ascii="Times New Roman" w:hAnsi="Times New Roman" w:cs="Times New Roman"/>
          <w:sz w:val="28"/>
          <w:szCs w:val="28"/>
        </w:rPr>
        <w:t xml:space="preserve"> which enabled the respondents </w:t>
      </w:r>
      <w:r w:rsidR="002822B0" w:rsidRPr="002D3A2A">
        <w:rPr>
          <w:rFonts w:ascii="Times New Roman" w:hAnsi="Times New Roman" w:cs="Times New Roman"/>
          <w:sz w:val="28"/>
          <w:szCs w:val="28"/>
        </w:rPr>
        <w:t>to pay less customs duty than they were lawfully required to pay.</w:t>
      </w:r>
      <w:r w:rsidR="006A4925" w:rsidRPr="002D3A2A">
        <w:rPr>
          <w:rFonts w:ascii="Times New Roman" w:hAnsi="Times New Roman" w:cs="Times New Roman"/>
          <w:sz w:val="28"/>
          <w:szCs w:val="28"/>
        </w:rPr>
        <w:t xml:space="preserve"> </w:t>
      </w:r>
      <w:r w:rsidR="00DD26B8" w:rsidRPr="002D3A2A">
        <w:rPr>
          <w:rFonts w:ascii="Times New Roman" w:hAnsi="Times New Roman" w:cs="Times New Roman"/>
          <w:sz w:val="28"/>
          <w:szCs w:val="28"/>
        </w:rPr>
        <w:t>A</w:t>
      </w:r>
      <w:r w:rsidR="00541FCF" w:rsidRPr="002D3A2A">
        <w:rPr>
          <w:rFonts w:ascii="Times New Roman" w:hAnsi="Times New Roman" w:cs="Times New Roman"/>
          <w:sz w:val="28"/>
          <w:szCs w:val="28"/>
        </w:rPr>
        <w:t xml:space="preserve"> related </w:t>
      </w:r>
      <w:r w:rsidR="00DD26B8" w:rsidRPr="002D3A2A">
        <w:rPr>
          <w:rFonts w:ascii="Times New Roman" w:hAnsi="Times New Roman" w:cs="Times New Roman"/>
          <w:sz w:val="28"/>
          <w:szCs w:val="28"/>
        </w:rPr>
        <w:t>issue is whether</w:t>
      </w:r>
      <w:r w:rsidR="006A4925" w:rsidRPr="002D3A2A">
        <w:rPr>
          <w:rFonts w:ascii="Times New Roman" w:hAnsi="Times New Roman" w:cs="Times New Roman"/>
          <w:sz w:val="28"/>
          <w:szCs w:val="28"/>
        </w:rPr>
        <w:t xml:space="preserve"> the respondents c</w:t>
      </w:r>
      <w:r w:rsidR="00201C4C" w:rsidRPr="002D3A2A">
        <w:rPr>
          <w:rFonts w:ascii="Times New Roman" w:hAnsi="Times New Roman" w:cs="Times New Roman"/>
          <w:sz w:val="28"/>
          <w:szCs w:val="28"/>
        </w:rPr>
        <w:t>omplied with s 96(1) of the Act</w:t>
      </w:r>
      <w:r w:rsidR="006A4925" w:rsidRPr="002D3A2A">
        <w:rPr>
          <w:rFonts w:ascii="Times New Roman" w:hAnsi="Times New Roman" w:cs="Times New Roman"/>
          <w:sz w:val="28"/>
          <w:szCs w:val="28"/>
        </w:rPr>
        <w:t xml:space="preserve"> </w:t>
      </w:r>
      <w:r w:rsidR="00C619C8" w:rsidRPr="002D3A2A">
        <w:rPr>
          <w:rFonts w:ascii="Times New Roman" w:hAnsi="Times New Roman" w:cs="Times New Roman"/>
          <w:sz w:val="28"/>
          <w:szCs w:val="28"/>
        </w:rPr>
        <w:t xml:space="preserve">which </w:t>
      </w:r>
      <w:r w:rsidR="00731CBF" w:rsidRPr="002D3A2A">
        <w:rPr>
          <w:rFonts w:ascii="Times New Roman" w:hAnsi="Times New Roman" w:cs="Times New Roman"/>
          <w:sz w:val="28"/>
          <w:szCs w:val="28"/>
        </w:rPr>
        <w:t>proscribes the institution of legal proceedi</w:t>
      </w:r>
      <w:r w:rsidR="008B4F4E" w:rsidRPr="002D3A2A">
        <w:rPr>
          <w:rFonts w:ascii="Times New Roman" w:hAnsi="Times New Roman" w:cs="Times New Roman"/>
          <w:sz w:val="28"/>
          <w:szCs w:val="28"/>
        </w:rPr>
        <w:t xml:space="preserve">ngs against the </w:t>
      </w:r>
      <w:r w:rsidR="00731CBF" w:rsidRPr="002D3A2A">
        <w:rPr>
          <w:rFonts w:ascii="Times New Roman" w:hAnsi="Times New Roman" w:cs="Times New Roman"/>
          <w:sz w:val="28"/>
          <w:szCs w:val="28"/>
        </w:rPr>
        <w:t xml:space="preserve">Commissioner, </w:t>
      </w:r>
      <w:r w:rsidR="00AA1A88" w:rsidRPr="002D3A2A">
        <w:rPr>
          <w:rFonts w:ascii="Times New Roman" w:hAnsi="Times New Roman" w:cs="Times New Roman"/>
          <w:sz w:val="28"/>
          <w:szCs w:val="28"/>
        </w:rPr>
        <w:t xml:space="preserve">unless the litigant delivers </w:t>
      </w:r>
      <w:r w:rsidR="009F76CC" w:rsidRPr="002D3A2A">
        <w:rPr>
          <w:rFonts w:ascii="Times New Roman" w:hAnsi="Times New Roman" w:cs="Times New Roman"/>
          <w:sz w:val="28"/>
          <w:szCs w:val="28"/>
        </w:rPr>
        <w:t xml:space="preserve">a </w:t>
      </w:r>
      <w:r w:rsidR="00AA1A88" w:rsidRPr="002D3A2A">
        <w:rPr>
          <w:rFonts w:ascii="Times New Roman" w:hAnsi="Times New Roman" w:cs="Times New Roman"/>
          <w:sz w:val="28"/>
          <w:szCs w:val="28"/>
        </w:rPr>
        <w:t xml:space="preserve">written </w:t>
      </w:r>
      <w:r w:rsidR="00731CBF" w:rsidRPr="002D3A2A">
        <w:rPr>
          <w:rFonts w:ascii="Times New Roman" w:hAnsi="Times New Roman" w:cs="Times New Roman"/>
          <w:sz w:val="28"/>
          <w:szCs w:val="28"/>
        </w:rPr>
        <w:t xml:space="preserve">notice </w:t>
      </w:r>
      <w:r w:rsidR="00201C4C" w:rsidRPr="002D3A2A">
        <w:rPr>
          <w:rFonts w:ascii="Times New Roman" w:hAnsi="Times New Roman" w:cs="Times New Roman"/>
          <w:sz w:val="28"/>
          <w:szCs w:val="28"/>
        </w:rPr>
        <w:t xml:space="preserve">setting out its cause of action </w:t>
      </w:r>
      <w:r w:rsidR="00731CBF" w:rsidRPr="002D3A2A">
        <w:rPr>
          <w:rFonts w:ascii="Times New Roman" w:hAnsi="Times New Roman" w:cs="Times New Roman"/>
          <w:sz w:val="28"/>
          <w:szCs w:val="28"/>
        </w:rPr>
        <w:t>at least one month before instituting those proceedings</w:t>
      </w:r>
      <w:r w:rsidR="00625580" w:rsidRPr="002D3A2A">
        <w:rPr>
          <w:rFonts w:ascii="Times New Roman" w:hAnsi="Times New Roman" w:cs="Times New Roman"/>
          <w:sz w:val="28"/>
          <w:szCs w:val="28"/>
        </w:rPr>
        <w:t>.</w:t>
      </w:r>
      <w:r w:rsidR="005E6709" w:rsidRPr="002D3A2A">
        <w:rPr>
          <w:rFonts w:ascii="Times New Roman" w:hAnsi="Times New Roman" w:cs="Times New Roman"/>
          <w:sz w:val="28"/>
          <w:szCs w:val="28"/>
        </w:rPr>
        <w:t xml:space="preserve"> The appeal is before us with the leave of this Court. </w:t>
      </w:r>
      <w:r w:rsidR="006A4925" w:rsidRPr="002D3A2A">
        <w:rPr>
          <w:rFonts w:ascii="Times New Roman" w:hAnsi="Times New Roman" w:cs="Times New Roman"/>
          <w:sz w:val="28"/>
          <w:szCs w:val="28"/>
        </w:rPr>
        <w:t xml:space="preserve"> </w:t>
      </w:r>
    </w:p>
    <w:p w14:paraId="50F3DC7E" w14:textId="77777777" w:rsidR="00DD26B8" w:rsidRPr="002D3A2A" w:rsidRDefault="00DD26B8" w:rsidP="00DD26B8">
      <w:pPr>
        <w:pStyle w:val="ListParagraph"/>
        <w:spacing w:after="0" w:line="360" w:lineRule="auto"/>
        <w:ind w:left="0"/>
        <w:jc w:val="both"/>
        <w:rPr>
          <w:rFonts w:ascii="Times New Roman" w:hAnsi="Times New Roman" w:cs="Times New Roman"/>
          <w:sz w:val="28"/>
          <w:szCs w:val="28"/>
        </w:rPr>
      </w:pPr>
    </w:p>
    <w:p w14:paraId="365EA1D8" w14:textId="58F7749B" w:rsidR="007B0E43" w:rsidRPr="002D3A2A" w:rsidRDefault="007D79E4" w:rsidP="00D20E5B">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 second appellant, the Minister of Trade, Industry and Competition (the Minister), intervened in </w:t>
      </w:r>
      <w:r w:rsidR="00BF61EA" w:rsidRPr="002D3A2A">
        <w:rPr>
          <w:rFonts w:ascii="Times New Roman" w:hAnsi="Times New Roman" w:cs="Times New Roman"/>
          <w:sz w:val="28"/>
          <w:szCs w:val="28"/>
        </w:rPr>
        <w:t xml:space="preserve">an application by </w:t>
      </w:r>
      <w:r w:rsidRPr="002D3A2A">
        <w:rPr>
          <w:rFonts w:ascii="Times New Roman" w:hAnsi="Times New Roman" w:cs="Times New Roman"/>
          <w:sz w:val="28"/>
          <w:szCs w:val="28"/>
        </w:rPr>
        <w:t xml:space="preserve">the respondents to review and set aside the </w:t>
      </w:r>
      <w:r w:rsidRPr="002D3A2A">
        <w:rPr>
          <w:rFonts w:ascii="Times New Roman" w:eastAsia="Times New Roman" w:hAnsi="Times New Roman" w:cs="Times New Roman"/>
          <w:bCs/>
          <w:sz w:val="28"/>
          <w:szCs w:val="28"/>
          <w:lang w:val="en-US"/>
        </w:rPr>
        <w:t>decision by SARS on 13 August 2020, to seize the goods in terms of s 88(1)</w:t>
      </w:r>
      <w:r w:rsidRPr="002D3A2A">
        <w:rPr>
          <w:rFonts w:ascii="Times New Roman" w:eastAsia="Times New Roman" w:hAnsi="Times New Roman" w:cs="Times New Roman"/>
          <w:bCs/>
          <w:i/>
          <w:sz w:val="28"/>
          <w:szCs w:val="28"/>
          <w:lang w:val="en-US"/>
        </w:rPr>
        <w:t>(c)</w:t>
      </w:r>
      <w:r w:rsidRPr="002D3A2A">
        <w:rPr>
          <w:rFonts w:ascii="Times New Roman" w:eastAsia="Times New Roman" w:hAnsi="Times New Roman" w:cs="Times New Roman"/>
          <w:bCs/>
          <w:sz w:val="28"/>
          <w:szCs w:val="28"/>
          <w:lang w:val="en-US"/>
        </w:rPr>
        <w:t xml:space="preserve"> of the Act (the impugned decision). The basic ground for the Minister’s intervention is that </w:t>
      </w:r>
      <w:r w:rsidRPr="002D3A2A">
        <w:rPr>
          <w:rFonts w:ascii="Times New Roman" w:hAnsi="Times New Roman" w:cs="Times New Roman"/>
          <w:sz w:val="28"/>
          <w:szCs w:val="28"/>
        </w:rPr>
        <w:t xml:space="preserve">customs fraud, particularly in relation to clothing imported from China, is a systemic problem in South Africa. </w:t>
      </w:r>
      <w:r w:rsidR="00D20E5B" w:rsidRPr="002D3A2A">
        <w:rPr>
          <w:rFonts w:ascii="Times New Roman" w:hAnsi="Times New Roman" w:cs="Times New Roman"/>
          <w:sz w:val="28"/>
          <w:szCs w:val="28"/>
        </w:rPr>
        <w:t>This problem is illustrated in t</w:t>
      </w:r>
      <w:r w:rsidRPr="002D3A2A">
        <w:rPr>
          <w:rFonts w:ascii="Times New Roman" w:hAnsi="Times New Roman" w:cs="Times New Roman"/>
          <w:sz w:val="28"/>
          <w:szCs w:val="28"/>
        </w:rPr>
        <w:t>he Minister’s affidavit</w:t>
      </w:r>
      <w:r w:rsidR="00D20E5B" w:rsidRPr="002D3A2A">
        <w:rPr>
          <w:rFonts w:ascii="Times New Roman" w:hAnsi="Times New Roman" w:cs="Times New Roman"/>
          <w:sz w:val="28"/>
          <w:szCs w:val="28"/>
        </w:rPr>
        <w:t>: in 2018 the value of the exports of textiles and clothing goods</w:t>
      </w:r>
      <w:r w:rsidRPr="002D3A2A">
        <w:rPr>
          <w:rFonts w:ascii="Times New Roman" w:hAnsi="Times New Roman" w:cs="Times New Roman"/>
          <w:sz w:val="28"/>
          <w:szCs w:val="28"/>
        </w:rPr>
        <w:t xml:space="preserve"> </w:t>
      </w:r>
      <w:r w:rsidR="00D20E5B" w:rsidRPr="002D3A2A">
        <w:rPr>
          <w:rFonts w:ascii="Times New Roman" w:hAnsi="Times New Roman" w:cs="Times New Roman"/>
          <w:sz w:val="28"/>
          <w:szCs w:val="28"/>
        </w:rPr>
        <w:t xml:space="preserve">from China to South Africa, as reported by the </w:t>
      </w:r>
      <w:r w:rsidR="005F2F23" w:rsidRPr="002D3A2A">
        <w:rPr>
          <w:rFonts w:ascii="Times New Roman" w:hAnsi="Times New Roman" w:cs="Times New Roman"/>
          <w:sz w:val="28"/>
          <w:szCs w:val="28"/>
        </w:rPr>
        <w:t xml:space="preserve">General Administration of </w:t>
      </w:r>
      <w:r w:rsidR="005F2F23" w:rsidRPr="002D3A2A">
        <w:rPr>
          <w:rFonts w:ascii="Times New Roman" w:hAnsi="Times New Roman" w:cs="Times New Roman"/>
          <w:sz w:val="28"/>
          <w:szCs w:val="28"/>
        </w:rPr>
        <w:lastRenderedPageBreak/>
        <w:t>Customs of the People’s Republic of China</w:t>
      </w:r>
      <w:r w:rsidR="00D20E5B" w:rsidRPr="002D3A2A">
        <w:rPr>
          <w:rFonts w:ascii="Times New Roman" w:hAnsi="Times New Roman" w:cs="Times New Roman"/>
          <w:sz w:val="28"/>
          <w:szCs w:val="28"/>
        </w:rPr>
        <w:t xml:space="preserve"> (GACC) to the United Nations, was US$ 2.4 billion, whereas the value of the imports of textiles and clothing goods into South Africa from China, as reported by SARS to the United Nations, was US$</w:t>
      </w:r>
      <w:r w:rsidR="007B0E43" w:rsidRPr="002D3A2A">
        <w:rPr>
          <w:rFonts w:ascii="Times New Roman" w:hAnsi="Times New Roman" w:cs="Times New Roman"/>
          <w:sz w:val="28"/>
          <w:szCs w:val="28"/>
        </w:rPr>
        <w:t>1.5 billion – a difference of US$900 million</w:t>
      </w:r>
      <w:r w:rsidR="009E6DB6" w:rsidRPr="002D3A2A">
        <w:rPr>
          <w:rFonts w:ascii="Times New Roman" w:hAnsi="Times New Roman" w:cs="Times New Roman"/>
          <w:sz w:val="28"/>
          <w:szCs w:val="28"/>
        </w:rPr>
        <w:t>,</w:t>
      </w:r>
      <w:r w:rsidR="007B0E43" w:rsidRPr="002D3A2A">
        <w:rPr>
          <w:rFonts w:ascii="Times New Roman" w:hAnsi="Times New Roman" w:cs="Times New Roman"/>
          <w:sz w:val="28"/>
          <w:szCs w:val="28"/>
        </w:rPr>
        <w:t xml:space="preserve"> even though the two values should be substantially the same. Customs fraud</w:t>
      </w:r>
      <w:r w:rsidRPr="002D3A2A">
        <w:rPr>
          <w:rFonts w:ascii="Times New Roman" w:hAnsi="Times New Roman" w:cs="Times New Roman"/>
          <w:sz w:val="28"/>
          <w:szCs w:val="28"/>
        </w:rPr>
        <w:t xml:space="preserve"> has significantly contributed to the displacement of locally manufactured goods which has resulted in the loss of domestic production, market share, sales, profits and jobs. </w:t>
      </w:r>
    </w:p>
    <w:p w14:paraId="6773ADAA" w14:textId="77777777" w:rsidR="009258E0" w:rsidRPr="002D3A2A" w:rsidRDefault="009258E0" w:rsidP="009258E0">
      <w:pPr>
        <w:pStyle w:val="ListParagraph"/>
        <w:spacing w:after="0" w:line="360" w:lineRule="auto"/>
        <w:ind w:left="0"/>
        <w:jc w:val="both"/>
        <w:rPr>
          <w:rFonts w:ascii="Times New Roman" w:hAnsi="Times New Roman" w:cs="Times New Roman"/>
          <w:sz w:val="28"/>
          <w:szCs w:val="28"/>
        </w:rPr>
      </w:pPr>
    </w:p>
    <w:p w14:paraId="5BDA3690" w14:textId="77777777" w:rsidR="007B0E43" w:rsidRPr="002D3A2A" w:rsidRDefault="00FA5F58" w:rsidP="00CC0952">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The third appellant, the South African Apparel Associat</w:t>
      </w:r>
      <w:r w:rsidR="009E6DB6" w:rsidRPr="002D3A2A">
        <w:rPr>
          <w:rFonts w:ascii="Times New Roman" w:hAnsi="Times New Roman" w:cs="Times New Roman"/>
          <w:sz w:val="28"/>
          <w:szCs w:val="28"/>
        </w:rPr>
        <w:t xml:space="preserve">ion (SAAA), and the fourth </w:t>
      </w:r>
      <w:r w:rsidRPr="002D3A2A">
        <w:rPr>
          <w:rFonts w:ascii="Times New Roman" w:hAnsi="Times New Roman" w:cs="Times New Roman"/>
          <w:sz w:val="28"/>
          <w:szCs w:val="28"/>
        </w:rPr>
        <w:t>appellant, the Apparel and Textile Association of South Africa (ATASA), are</w:t>
      </w:r>
      <w:r w:rsidR="00340206" w:rsidRPr="002D3A2A">
        <w:rPr>
          <w:rFonts w:ascii="Times New Roman" w:hAnsi="Times New Roman" w:cs="Times New Roman"/>
          <w:sz w:val="28"/>
          <w:szCs w:val="28"/>
        </w:rPr>
        <w:t xml:space="preserve"> employers’ organisations registered under t</w:t>
      </w:r>
      <w:r w:rsidR="00224EBB" w:rsidRPr="002D3A2A">
        <w:rPr>
          <w:rFonts w:ascii="Times New Roman" w:hAnsi="Times New Roman" w:cs="Times New Roman"/>
          <w:sz w:val="28"/>
          <w:szCs w:val="28"/>
        </w:rPr>
        <w:t>he Labour Relations Act 66</w:t>
      </w:r>
      <w:r w:rsidR="007B0E43" w:rsidRPr="002D3A2A">
        <w:rPr>
          <w:rFonts w:ascii="Times New Roman" w:hAnsi="Times New Roman" w:cs="Times New Roman"/>
          <w:sz w:val="28"/>
          <w:szCs w:val="28"/>
        </w:rPr>
        <w:t xml:space="preserve"> of 1995. </w:t>
      </w:r>
      <w:r w:rsidR="003D78DD" w:rsidRPr="002D3A2A">
        <w:rPr>
          <w:rFonts w:ascii="Times New Roman" w:hAnsi="Times New Roman" w:cs="Times New Roman"/>
          <w:sz w:val="28"/>
          <w:szCs w:val="28"/>
        </w:rPr>
        <w:t>T</w:t>
      </w:r>
      <w:r w:rsidR="00340206" w:rsidRPr="002D3A2A">
        <w:rPr>
          <w:rFonts w:ascii="Times New Roman" w:hAnsi="Times New Roman" w:cs="Times New Roman"/>
          <w:sz w:val="28"/>
          <w:szCs w:val="28"/>
        </w:rPr>
        <w:t xml:space="preserve">hey represent </w:t>
      </w:r>
      <w:r w:rsidR="005310D1" w:rsidRPr="002D3A2A">
        <w:rPr>
          <w:rFonts w:ascii="Times New Roman" w:hAnsi="Times New Roman" w:cs="Times New Roman"/>
          <w:sz w:val="28"/>
          <w:szCs w:val="28"/>
        </w:rPr>
        <w:t>the l</w:t>
      </w:r>
      <w:r w:rsidR="00340206" w:rsidRPr="002D3A2A">
        <w:rPr>
          <w:rFonts w:ascii="Times New Roman" w:hAnsi="Times New Roman" w:cs="Times New Roman"/>
          <w:sz w:val="28"/>
          <w:szCs w:val="28"/>
        </w:rPr>
        <w:t>abour interests of a large nu</w:t>
      </w:r>
      <w:r w:rsidR="005310D1" w:rsidRPr="002D3A2A">
        <w:rPr>
          <w:rFonts w:ascii="Times New Roman" w:hAnsi="Times New Roman" w:cs="Times New Roman"/>
          <w:sz w:val="28"/>
          <w:szCs w:val="28"/>
        </w:rPr>
        <w:t>mber of employers in South Africa</w:t>
      </w:r>
      <w:r w:rsidR="00340206" w:rsidRPr="002D3A2A">
        <w:rPr>
          <w:rFonts w:ascii="Times New Roman" w:hAnsi="Times New Roman" w:cs="Times New Roman"/>
          <w:sz w:val="28"/>
          <w:szCs w:val="28"/>
        </w:rPr>
        <w:t xml:space="preserve"> in the clothing and textiles industry. </w:t>
      </w:r>
      <w:r w:rsidR="00CC0952" w:rsidRPr="002D3A2A">
        <w:rPr>
          <w:rFonts w:ascii="Times New Roman" w:hAnsi="Times New Roman" w:cs="Times New Roman"/>
          <w:sz w:val="28"/>
          <w:szCs w:val="28"/>
        </w:rPr>
        <w:t>They opposed the</w:t>
      </w:r>
      <w:r w:rsidR="00CE112C" w:rsidRPr="002D3A2A">
        <w:rPr>
          <w:rFonts w:ascii="Times New Roman" w:hAnsi="Times New Roman" w:cs="Times New Roman"/>
          <w:sz w:val="28"/>
          <w:szCs w:val="28"/>
        </w:rPr>
        <w:t xml:space="preserve"> review application on the ground</w:t>
      </w:r>
      <w:r w:rsidR="00CC0952" w:rsidRPr="002D3A2A">
        <w:rPr>
          <w:rFonts w:ascii="Times New Roman" w:hAnsi="Times New Roman" w:cs="Times New Roman"/>
          <w:sz w:val="28"/>
          <w:szCs w:val="28"/>
        </w:rPr>
        <w:t xml:space="preserve"> that </w:t>
      </w:r>
      <w:r w:rsidR="00A849FC" w:rsidRPr="002D3A2A">
        <w:rPr>
          <w:rFonts w:ascii="Times New Roman" w:hAnsi="Times New Roman" w:cs="Times New Roman"/>
          <w:sz w:val="28"/>
          <w:szCs w:val="28"/>
        </w:rPr>
        <w:t xml:space="preserve">the </w:t>
      </w:r>
      <w:r w:rsidR="00FA63A4" w:rsidRPr="002D3A2A">
        <w:rPr>
          <w:rFonts w:ascii="Times New Roman" w:hAnsi="Times New Roman" w:cs="Times New Roman"/>
          <w:sz w:val="28"/>
          <w:szCs w:val="28"/>
        </w:rPr>
        <w:t xml:space="preserve">values or </w:t>
      </w:r>
      <w:r w:rsidR="00A849FC" w:rsidRPr="002D3A2A">
        <w:rPr>
          <w:rFonts w:ascii="Times New Roman" w:hAnsi="Times New Roman" w:cs="Times New Roman"/>
          <w:sz w:val="28"/>
          <w:szCs w:val="28"/>
        </w:rPr>
        <w:t>prices of the goo</w:t>
      </w:r>
      <w:r w:rsidR="00CC0952" w:rsidRPr="002D3A2A">
        <w:rPr>
          <w:rFonts w:ascii="Times New Roman" w:hAnsi="Times New Roman" w:cs="Times New Roman"/>
          <w:sz w:val="28"/>
          <w:szCs w:val="28"/>
        </w:rPr>
        <w:t xml:space="preserve">ds declared by the respondents </w:t>
      </w:r>
      <w:r w:rsidR="00CE112C" w:rsidRPr="002D3A2A">
        <w:rPr>
          <w:rFonts w:ascii="Times New Roman" w:hAnsi="Times New Roman" w:cs="Times New Roman"/>
          <w:sz w:val="28"/>
          <w:szCs w:val="28"/>
        </w:rPr>
        <w:t>on importation</w:t>
      </w:r>
      <w:r w:rsidR="00224EBB" w:rsidRPr="002D3A2A">
        <w:rPr>
          <w:rFonts w:ascii="Times New Roman" w:hAnsi="Times New Roman" w:cs="Times New Roman"/>
          <w:sz w:val="28"/>
          <w:szCs w:val="28"/>
        </w:rPr>
        <w:t xml:space="preserve"> – some 1000% less than the </w:t>
      </w:r>
      <w:r w:rsidR="006D376D" w:rsidRPr="002D3A2A">
        <w:rPr>
          <w:rFonts w:ascii="Times New Roman" w:hAnsi="Times New Roman" w:cs="Times New Roman"/>
          <w:sz w:val="28"/>
          <w:szCs w:val="28"/>
        </w:rPr>
        <w:t>pric</w:t>
      </w:r>
      <w:r w:rsidR="00224EBB" w:rsidRPr="002D3A2A">
        <w:rPr>
          <w:rFonts w:ascii="Times New Roman" w:hAnsi="Times New Roman" w:cs="Times New Roman"/>
          <w:sz w:val="28"/>
          <w:szCs w:val="28"/>
        </w:rPr>
        <w:t>e</w:t>
      </w:r>
      <w:r w:rsidR="006D376D" w:rsidRPr="002D3A2A">
        <w:rPr>
          <w:rFonts w:ascii="Times New Roman" w:hAnsi="Times New Roman" w:cs="Times New Roman"/>
          <w:sz w:val="28"/>
          <w:szCs w:val="28"/>
        </w:rPr>
        <w:t>s</w:t>
      </w:r>
      <w:r w:rsidR="00224EBB" w:rsidRPr="002D3A2A">
        <w:rPr>
          <w:rFonts w:ascii="Times New Roman" w:hAnsi="Times New Roman" w:cs="Times New Roman"/>
          <w:sz w:val="28"/>
          <w:szCs w:val="28"/>
        </w:rPr>
        <w:t xml:space="preserve"> of </w:t>
      </w:r>
      <w:r w:rsidR="006D376D" w:rsidRPr="002D3A2A">
        <w:rPr>
          <w:rFonts w:ascii="Times New Roman" w:hAnsi="Times New Roman" w:cs="Times New Roman"/>
          <w:sz w:val="28"/>
          <w:szCs w:val="28"/>
        </w:rPr>
        <w:t xml:space="preserve">similar </w:t>
      </w:r>
      <w:r w:rsidR="00224EBB" w:rsidRPr="002D3A2A">
        <w:rPr>
          <w:rFonts w:ascii="Times New Roman" w:hAnsi="Times New Roman" w:cs="Times New Roman"/>
          <w:sz w:val="28"/>
          <w:szCs w:val="28"/>
        </w:rPr>
        <w:t>clothing</w:t>
      </w:r>
      <w:r w:rsidR="006D376D" w:rsidRPr="002D3A2A">
        <w:rPr>
          <w:rFonts w:ascii="Times New Roman" w:hAnsi="Times New Roman" w:cs="Times New Roman"/>
          <w:sz w:val="28"/>
          <w:szCs w:val="28"/>
        </w:rPr>
        <w:t xml:space="preserve"> declared to the </w:t>
      </w:r>
      <w:r w:rsidR="007B0E43" w:rsidRPr="002D3A2A">
        <w:rPr>
          <w:rFonts w:ascii="Times New Roman" w:hAnsi="Times New Roman" w:cs="Times New Roman"/>
          <w:sz w:val="28"/>
          <w:szCs w:val="28"/>
        </w:rPr>
        <w:t>GACC</w:t>
      </w:r>
      <w:r w:rsidR="006D376D" w:rsidRPr="002D3A2A">
        <w:rPr>
          <w:rFonts w:ascii="Times New Roman" w:hAnsi="Times New Roman" w:cs="Times New Roman"/>
          <w:sz w:val="28"/>
          <w:szCs w:val="28"/>
        </w:rPr>
        <w:t xml:space="preserve"> in a previous consignment imported by the respondents</w:t>
      </w:r>
      <w:r w:rsidR="0070277F" w:rsidRPr="002D3A2A">
        <w:rPr>
          <w:rFonts w:ascii="Times New Roman" w:hAnsi="Times New Roman" w:cs="Times New Roman"/>
          <w:sz w:val="28"/>
          <w:szCs w:val="28"/>
        </w:rPr>
        <w:t xml:space="preserve"> from the same suppliers</w:t>
      </w:r>
      <w:r w:rsidR="006D376D" w:rsidRPr="002D3A2A">
        <w:rPr>
          <w:rFonts w:ascii="Times New Roman" w:hAnsi="Times New Roman" w:cs="Times New Roman"/>
          <w:sz w:val="28"/>
          <w:szCs w:val="28"/>
        </w:rPr>
        <w:t xml:space="preserve"> – </w:t>
      </w:r>
      <w:r w:rsidR="009E6DB6" w:rsidRPr="002D3A2A">
        <w:rPr>
          <w:rFonts w:ascii="Times New Roman" w:hAnsi="Times New Roman" w:cs="Times New Roman"/>
          <w:sz w:val="28"/>
          <w:szCs w:val="28"/>
        </w:rPr>
        <w:t>ar</w:t>
      </w:r>
      <w:r w:rsidR="00A849FC" w:rsidRPr="002D3A2A">
        <w:rPr>
          <w:rFonts w:ascii="Times New Roman" w:hAnsi="Times New Roman" w:cs="Times New Roman"/>
          <w:sz w:val="28"/>
          <w:szCs w:val="28"/>
        </w:rPr>
        <w:t>e unrealistic and unattainable.</w:t>
      </w:r>
    </w:p>
    <w:p w14:paraId="5D6C0A0D" w14:textId="77777777" w:rsidR="007B0E43" w:rsidRPr="002D3A2A" w:rsidRDefault="007B0E43" w:rsidP="007B0E43">
      <w:pPr>
        <w:pStyle w:val="ListParagraph"/>
        <w:spacing w:after="0" w:line="360" w:lineRule="auto"/>
        <w:ind w:left="0"/>
        <w:jc w:val="both"/>
        <w:rPr>
          <w:rFonts w:ascii="Times New Roman" w:hAnsi="Times New Roman" w:cs="Times New Roman"/>
          <w:sz w:val="28"/>
          <w:szCs w:val="28"/>
        </w:rPr>
      </w:pPr>
    </w:p>
    <w:p w14:paraId="14CA8977" w14:textId="77777777" w:rsidR="007B0E43" w:rsidRPr="002D3A2A" w:rsidRDefault="007B0E43" w:rsidP="007B0E43">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The first respondent, Dragon Freight (Pty) Ltd (Dragon Freight), is a clearing agent. The second to seventh respondents imported the goods from China. Where appropriate, they are collectively referred to as ‘the respondents’.</w:t>
      </w:r>
    </w:p>
    <w:p w14:paraId="39084D8F" w14:textId="77777777" w:rsidR="007B0E43" w:rsidRPr="002D3A2A" w:rsidRDefault="007B0E43" w:rsidP="007B0E43">
      <w:pPr>
        <w:pStyle w:val="ListParagraph"/>
        <w:spacing w:after="0" w:line="360" w:lineRule="auto"/>
        <w:ind w:left="0"/>
        <w:jc w:val="both"/>
        <w:rPr>
          <w:rFonts w:ascii="Times New Roman" w:hAnsi="Times New Roman" w:cs="Times New Roman"/>
          <w:sz w:val="28"/>
          <w:szCs w:val="28"/>
        </w:rPr>
      </w:pPr>
    </w:p>
    <w:p w14:paraId="65365D34" w14:textId="36B8C3F3" w:rsidR="009E6DB6" w:rsidRPr="002D3A2A" w:rsidRDefault="007B0E43" w:rsidP="001C0D8E">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eastAsia="Times New Roman" w:hAnsi="Times New Roman" w:cs="Times New Roman"/>
          <w:bCs/>
          <w:sz w:val="28"/>
          <w:szCs w:val="28"/>
          <w:lang w:val="en-US"/>
        </w:rPr>
        <w:t xml:space="preserve">The impugned decision was reviewed and set aside by Baqwa J in the Gauteng Division of the High Court, Pretoria (the high court). </w:t>
      </w:r>
      <w:r w:rsidR="002171C1" w:rsidRPr="002D3A2A">
        <w:rPr>
          <w:rFonts w:ascii="Times New Roman" w:hAnsi="Times New Roman" w:cs="Times New Roman"/>
          <w:sz w:val="28"/>
          <w:szCs w:val="28"/>
        </w:rPr>
        <w:t xml:space="preserve">The court directed SARS to immediately release the goods upon payment of the applicable customs duties and fees, calculated in accordance with the respondents’ declared transaction values to SARS. </w:t>
      </w:r>
      <w:r w:rsidR="00891294" w:rsidRPr="002D3A2A">
        <w:rPr>
          <w:rFonts w:ascii="Times New Roman" w:hAnsi="Times New Roman" w:cs="Times New Roman"/>
          <w:sz w:val="28"/>
          <w:szCs w:val="28"/>
        </w:rPr>
        <w:t>The appellants were ordered to pay the costs of the application</w:t>
      </w:r>
      <w:r w:rsidR="00B52725" w:rsidRPr="002D3A2A">
        <w:rPr>
          <w:rFonts w:ascii="Times New Roman" w:hAnsi="Times New Roman" w:cs="Times New Roman"/>
          <w:sz w:val="28"/>
          <w:szCs w:val="28"/>
        </w:rPr>
        <w:t>, jointly and severally</w:t>
      </w:r>
      <w:r w:rsidR="00891294" w:rsidRPr="002D3A2A">
        <w:rPr>
          <w:rFonts w:ascii="Times New Roman" w:hAnsi="Times New Roman" w:cs="Times New Roman"/>
          <w:sz w:val="28"/>
          <w:szCs w:val="28"/>
        </w:rPr>
        <w:t xml:space="preserve">. </w:t>
      </w:r>
    </w:p>
    <w:p w14:paraId="71A287BA" w14:textId="77777777" w:rsidR="00684519" w:rsidRPr="002D3A2A" w:rsidRDefault="00A849FC" w:rsidP="009E6DB6">
      <w:pPr>
        <w:pStyle w:val="ListParagraph"/>
        <w:spacing w:after="0" w:line="360" w:lineRule="auto"/>
        <w:ind w:left="0"/>
        <w:jc w:val="both"/>
        <w:rPr>
          <w:rFonts w:ascii="Times New Roman" w:hAnsi="Times New Roman" w:cs="Times New Roman"/>
          <w:sz w:val="28"/>
          <w:szCs w:val="28"/>
        </w:rPr>
      </w:pPr>
      <w:r w:rsidRPr="002D3A2A">
        <w:rPr>
          <w:rFonts w:ascii="Times New Roman" w:hAnsi="Times New Roman" w:cs="Times New Roman"/>
          <w:sz w:val="28"/>
          <w:szCs w:val="28"/>
        </w:rPr>
        <w:t xml:space="preserve"> </w:t>
      </w:r>
    </w:p>
    <w:p w14:paraId="78564BD4" w14:textId="77777777" w:rsidR="001F69C4" w:rsidRPr="002D3A2A" w:rsidRDefault="005E3830" w:rsidP="001F69C4">
      <w:pPr>
        <w:pStyle w:val="ListParagraph"/>
        <w:spacing w:after="0" w:line="360" w:lineRule="auto"/>
        <w:ind w:left="0"/>
        <w:jc w:val="both"/>
        <w:rPr>
          <w:rFonts w:ascii="Times New Roman" w:hAnsi="Times New Roman" w:cs="Times New Roman"/>
          <w:b/>
          <w:sz w:val="28"/>
          <w:szCs w:val="28"/>
        </w:rPr>
      </w:pPr>
      <w:r w:rsidRPr="002D3A2A">
        <w:rPr>
          <w:rFonts w:ascii="Times New Roman" w:hAnsi="Times New Roman" w:cs="Times New Roman"/>
          <w:b/>
          <w:sz w:val="28"/>
          <w:szCs w:val="28"/>
        </w:rPr>
        <w:lastRenderedPageBreak/>
        <w:t>The f</w:t>
      </w:r>
      <w:r w:rsidR="006A46BD" w:rsidRPr="002D3A2A">
        <w:rPr>
          <w:rFonts w:ascii="Times New Roman" w:hAnsi="Times New Roman" w:cs="Times New Roman"/>
          <w:b/>
          <w:sz w:val="28"/>
          <w:szCs w:val="28"/>
        </w:rPr>
        <w:t>actual background</w:t>
      </w:r>
    </w:p>
    <w:p w14:paraId="21A80E7D" w14:textId="77777777" w:rsidR="00CC0952" w:rsidRPr="002D3A2A" w:rsidRDefault="009258E0" w:rsidP="00987B0D">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This</w:t>
      </w:r>
      <w:r w:rsidR="001F69C4" w:rsidRPr="002D3A2A">
        <w:rPr>
          <w:rFonts w:ascii="Times New Roman" w:hAnsi="Times New Roman" w:cs="Times New Roman"/>
          <w:sz w:val="28"/>
          <w:szCs w:val="28"/>
        </w:rPr>
        <w:t xml:space="preserve"> </w:t>
      </w:r>
      <w:r w:rsidRPr="002D3A2A">
        <w:rPr>
          <w:rFonts w:ascii="Times New Roman" w:hAnsi="Times New Roman" w:cs="Times New Roman"/>
          <w:sz w:val="28"/>
          <w:szCs w:val="28"/>
        </w:rPr>
        <w:t xml:space="preserve">litigation </w:t>
      </w:r>
      <w:r w:rsidR="001F69C4" w:rsidRPr="002D3A2A">
        <w:rPr>
          <w:rFonts w:ascii="Times New Roman" w:hAnsi="Times New Roman" w:cs="Times New Roman"/>
          <w:sz w:val="28"/>
          <w:szCs w:val="28"/>
        </w:rPr>
        <w:t>has its origin in an earlier application</w:t>
      </w:r>
      <w:r w:rsidRPr="002D3A2A">
        <w:rPr>
          <w:rFonts w:ascii="Times New Roman" w:hAnsi="Times New Roman" w:cs="Times New Roman"/>
          <w:sz w:val="28"/>
          <w:szCs w:val="28"/>
        </w:rPr>
        <w:t xml:space="preserve"> </w:t>
      </w:r>
      <w:r w:rsidR="00CC0952" w:rsidRPr="002D3A2A">
        <w:rPr>
          <w:rFonts w:ascii="Times New Roman" w:hAnsi="Times New Roman" w:cs="Times New Roman"/>
          <w:sz w:val="28"/>
          <w:szCs w:val="28"/>
        </w:rPr>
        <w:t xml:space="preserve">which the respondents </w:t>
      </w:r>
      <w:r w:rsidR="00E95E52" w:rsidRPr="002D3A2A">
        <w:rPr>
          <w:rFonts w:ascii="Times New Roman" w:hAnsi="Times New Roman" w:cs="Times New Roman"/>
          <w:sz w:val="28"/>
          <w:szCs w:val="28"/>
        </w:rPr>
        <w:t xml:space="preserve">launched </w:t>
      </w:r>
      <w:r w:rsidR="00CC0952" w:rsidRPr="002D3A2A">
        <w:rPr>
          <w:rFonts w:ascii="Times New Roman" w:hAnsi="Times New Roman" w:cs="Times New Roman"/>
          <w:sz w:val="28"/>
          <w:szCs w:val="28"/>
        </w:rPr>
        <w:t xml:space="preserve">in the high court </w:t>
      </w:r>
      <w:r w:rsidR="001F69C4" w:rsidRPr="002D3A2A">
        <w:rPr>
          <w:rFonts w:ascii="Times New Roman" w:hAnsi="Times New Roman" w:cs="Times New Roman"/>
          <w:sz w:val="28"/>
          <w:szCs w:val="28"/>
        </w:rPr>
        <w:t>in November 2019</w:t>
      </w:r>
      <w:r w:rsidR="00E91A7A" w:rsidRPr="002D3A2A">
        <w:rPr>
          <w:rFonts w:ascii="Times New Roman" w:hAnsi="Times New Roman" w:cs="Times New Roman"/>
          <w:sz w:val="28"/>
          <w:szCs w:val="28"/>
        </w:rPr>
        <w:t xml:space="preserve">, in which they successfully </w:t>
      </w:r>
      <w:r w:rsidR="001F69C4" w:rsidRPr="002D3A2A">
        <w:rPr>
          <w:rFonts w:ascii="Times New Roman" w:hAnsi="Times New Roman" w:cs="Times New Roman"/>
          <w:sz w:val="28"/>
          <w:szCs w:val="28"/>
        </w:rPr>
        <w:t>review</w:t>
      </w:r>
      <w:r w:rsidR="00E91A7A" w:rsidRPr="002D3A2A">
        <w:rPr>
          <w:rFonts w:ascii="Times New Roman" w:hAnsi="Times New Roman" w:cs="Times New Roman"/>
          <w:sz w:val="28"/>
          <w:szCs w:val="28"/>
        </w:rPr>
        <w:t>ed</w:t>
      </w:r>
      <w:r w:rsidR="001F69C4" w:rsidRPr="002D3A2A">
        <w:rPr>
          <w:rFonts w:ascii="Times New Roman" w:hAnsi="Times New Roman" w:cs="Times New Roman"/>
          <w:sz w:val="28"/>
          <w:szCs w:val="28"/>
        </w:rPr>
        <w:t xml:space="preserve"> and set aside SARS’ decision to sei</w:t>
      </w:r>
      <w:r w:rsidR="00E95E52" w:rsidRPr="002D3A2A">
        <w:rPr>
          <w:rFonts w:ascii="Times New Roman" w:hAnsi="Times New Roman" w:cs="Times New Roman"/>
          <w:sz w:val="28"/>
          <w:szCs w:val="28"/>
        </w:rPr>
        <w:t xml:space="preserve">ze 11 containers of clothing </w:t>
      </w:r>
      <w:r w:rsidR="00E91A7A" w:rsidRPr="002D3A2A">
        <w:rPr>
          <w:rFonts w:ascii="Times New Roman" w:hAnsi="Times New Roman" w:cs="Times New Roman"/>
          <w:sz w:val="28"/>
          <w:szCs w:val="28"/>
        </w:rPr>
        <w:t xml:space="preserve">(the </w:t>
      </w:r>
      <w:r w:rsidR="00E95E52" w:rsidRPr="002D3A2A">
        <w:rPr>
          <w:rFonts w:ascii="Times New Roman" w:hAnsi="Times New Roman" w:cs="Times New Roman"/>
          <w:sz w:val="28"/>
          <w:szCs w:val="28"/>
        </w:rPr>
        <w:t>first application).</w:t>
      </w:r>
      <w:r w:rsidR="00647F2F" w:rsidRPr="002D3A2A">
        <w:rPr>
          <w:rFonts w:ascii="Times New Roman" w:hAnsi="Times New Roman" w:cs="Times New Roman"/>
          <w:sz w:val="28"/>
          <w:szCs w:val="28"/>
        </w:rPr>
        <w:t xml:space="preserve"> In that</w:t>
      </w:r>
      <w:r w:rsidR="00A849FC" w:rsidRPr="002D3A2A">
        <w:rPr>
          <w:rFonts w:ascii="Times New Roman" w:hAnsi="Times New Roman" w:cs="Times New Roman"/>
          <w:sz w:val="28"/>
          <w:szCs w:val="28"/>
        </w:rPr>
        <w:t xml:space="preserve"> application, </w:t>
      </w:r>
      <w:r w:rsidR="0070277F" w:rsidRPr="002D3A2A">
        <w:rPr>
          <w:rFonts w:ascii="Times New Roman" w:hAnsi="Times New Roman" w:cs="Times New Roman"/>
          <w:sz w:val="28"/>
          <w:szCs w:val="28"/>
        </w:rPr>
        <w:t xml:space="preserve">which was decided by </w:t>
      </w:r>
      <w:r w:rsidR="00647F2F" w:rsidRPr="002D3A2A">
        <w:rPr>
          <w:rFonts w:ascii="Times New Roman" w:hAnsi="Times New Roman" w:cs="Times New Roman"/>
          <w:sz w:val="28"/>
          <w:szCs w:val="28"/>
        </w:rPr>
        <w:t xml:space="preserve">Tuchten J, the respondents </w:t>
      </w:r>
      <w:r w:rsidR="00DE1662" w:rsidRPr="002D3A2A">
        <w:rPr>
          <w:rFonts w:ascii="Times New Roman" w:hAnsi="Times New Roman" w:cs="Times New Roman"/>
          <w:sz w:val="28"/>
          <w:szCs w:val="28"/>
        </w:rPr>
        <w:t xml:space="preserve">pre-emptively </w:t>
      </w:r>
      <w:r w:rsidR="00647F2F" w:rsidRPr="002D3A2A">
        <w:rPr>
          <w:rFonts w:ascii="Times New Roman" w:hAnsi="Times New Roman" w:cs="Times New Roman"/>
          <w:sz w:val="28"/>
          <w:szCs w:val="28"/>
        </w:rPr>
        <w:t xml:space="preserve">sought </w:t>
      </w:r>
      <w:r w:rsidR="00DE1662" w:rsidRPr="002D3A2A">
        <w:rPr>
          <w:rFonts w:ascii="Times New Roman" w:hAnsi="Times New Roman" w:cs="Times New Roman"/>
          <w:sz w:val="28"/>
          <w:szCs w:val="28"/>
        </w:rPr>
        <w:t xml:space="preserve">an </w:t>
      </w:r>
      <w:r w:rsidR="00647F2F" w:rsidRPr="002D3A2A">
        <w:rPr>
          <w:rFonts w:ascii="Times New Roman" w:hAnsi="Times New Roman" w:cs="Times New Roman"/>
          <w:sz w:val="28"/>
          <w:szCs w:val="28"/>
        </w:rPr>
        <w:t xml:space="preserve">order to review and set aside a </w:t>
      </w:r>
      <w:r w:rsidR="00E91A7A" w:rsidRPr="002D3A2A">
        <w:rPr>
          <w:rFonts w:ascii="Times New Roman" w:hAnsi="Times New Roman" w:cs="Times New Roman"/>
          <w:sz w:val="28"/>
          <w:szCs w:val="28"/>
        </w:rPr>
        <w:t>decision by SARS to seize the goods, in the event of that decision being taken.</w:t>
      </w:r>
      <w:r w:rsidR="00647F2F" w:rsidRPr="002D3A2A">
        <w:rPr>
          <w:rFonts w:ascii="Times New Roman" w:hAnsi="Times New Roman" w:cs="Times New Roman"/>
          <w:sz w:val="28"/>
          <w:szCs w:val="28"/>
        </w:rPr>
        <w:t xml:space="preserve"> </w:t>
      </w:r>
      <w:r w:rsidR="00BE425A" w:rsidRPr="002D3A2A">
        <w:rPr>
          <w:rFonts w:ascii="Times New Roman" w:hAnsi="Times New Roman" w:cs="Times New Roman"/>
          <w:sz w:val="28"/>
          <w:szCs w:val="28"/>
        </w:rPr>
        <w:t>However, they did not persist in seeking t</w:t>
      </w:r>
      <w:r w:rsidR="00647F2F" w:rsidRPr="002D3A2A">
        <w:rPr>
          <w:rFonts w:ascii="Times New Roman" w:hAnsi="Times New Roman" w:cs="Times New Roman"/>
          <w:sz w:val="28"/>
          <w:szCs w:val="28"/>
        </w:rPr>
        <w:t xml:space="preserve">hat order </w:t>
      </w:r>
      <w:r w:rsidR="00EE0539" w:rsidRPr="002D3A2A">
        <w:rPr>
          <w:rFonts w:ascii="Times New Roman" w:hAnsi="Times New Roman" w:cs="Times New Roman"/>
          <w:sz w:val="28"/>
          <w:szCs w:val="28"/>
        </w:rPr>
        <w:t>because it</w:t>
      </w:r>
      <w:r w:rsidR="003B5845" w:rsidRPr="002D3A2A">
        <w:rPr>
          <w:rFonts w:ascii="Times New Roman" w:hAnsi="Times New Roman" w:cs="Times New Roman"/>
          <w:sz w:val="28"/>
          <w:szCs w:val="28"/>
        </w:rPr>
        <w:t xml:space="preserve"> concerned</w:t>
      </w:r>
      <w:r w:rsidR="00201C4C" w:rsidRPr="002D3A2A">
        <w:rPr>
          <w:rFonts w:ascii="Times New Roman" w:hAnsi="Times New Roman" w:cs="Times New Roman"/>
          <w:sz w:val="28"/>
          <w:szCs w:val="28"/>
        </w:rPr>
        <w:t>,</w:t>
      </w:r>
      <w:r w:rsidR="00EE0539" w:rsidRPr="002D3A2A">
        <w:rPr>
          <w:rFonts w:ascii="Times New Roman" w:hAnsi="Times New Roman" w:cs="Times New Roman"/>
          <w:sz w:val="28"/>
          <w:szCs w:val="28"/>
        </w:rPr>
        <w:t xml:space="preserve"> as they put it, ‘future importations and the containers were still on </w:t>
      </w:r>
      <w:r w:rsidR="00243C4E" w:rsidRPr="002D3A2A">
        <w:rPr>
          <w:rFonts w:ascii="Times New Roman" w:hAnsi="Times New Roman" w:cs="Times New Roman"/>
          <w:sz w:val="28"/>
          <w:szCs w:val="28"/>
        </w:rPr>
        <w:t>the water’.</w:t>
      </w:r>
    </w:p>
    <w:p w14:paraId="47408F60" w14:textId="77777777" w:rsidR="00CC0952" w:rsidRPr="002D3A2A" w:rsidRDefault="00CC0952" w:rsidP="00CC0952">
      <w:pPr>
        <w:pStyle w:val="ListParagraph"/>
        <w:spacing w:after="0" w:line="360" w:lineRule="auto"/>
        <w:ind w:left="0"/>
        <w:jc w:val="both"/>
        <w:rPr>
          <w:rFonts w:ascii="Times New Roman" w:hAnsi="Times New Roman" w:cs="Times New Roman"/>
          <w:sz w:val="28"/>
          <w:szCs w:val="28"/>
        </w:rPr>
      </w:pPr>
    </w:p>
    <w:p w14:paraId="12C93809" w14:textId="0E7B6B6A" w:rsidR="00201C4C" w:rsidRPr="002D3A2A" w:rsidRDefault="00243C4E" w:rsidP="00A1728F">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It is </w:t>
      </w:r>
      <w:r w:rsidR="00536EF8" w:rsidRPr="002D3A2A">
        <w:rPr>
          <w:rFonts w:ascii="Times New Roman" w:hAnsi="Times New Roman" w:cs="Times New Roman"/>
          <w:sz w:val="28"/>
          <w:szCs w:val="28"/>
        </w:rPr>
        <w:t xml:space="preserve">not in dispute </w:t>
      </w:r>
      <w:r w:rsidR="00005963" w:rsidRPr="002D3A2A">
        <w:rPr>
          <w:rFonts w:ascii="Times New Roman" w:hAnsi="Times New Roman" w:cs="Times New Roman"/>
          <w:sz w:val="28"/>
          <w:szCs w:val="28"/>
        </w:rPr>
        <w:t xml:space="preserve">that the </w:t>
      </w:r>
      <w:r w:rsidR="00201C4C" w:rsidRPr="002D3A2A">
        <w:rPr>
          <w:rFonts w:ascii="Times New Roman" w:hAnsi="Times New Roman" w:cs="Times New Roman"/>
          <w:sz w:val="28"/>
          <w:szCs w:val="28"/>
        </w:rPr>
        <w:t>contents of the containers in the first application were the same as the contents of the 19 containers in the present case</w:t>
      </w:r>
      <w:r w:rsidR="008B12B0" w:rsidRPr="002D3A2A">
        <w:rPr>
          <w:rFonts w:ascii="Times New Roman" w:hAnsi="Times New Roman" w:cs="Times New Roman"/>
          <w:sz w:val="28"/>
          <w:szCs w:val="28"/>
        </w:rPr>
        <w:t>, namely</w:t>
      </w:r>
      <w:r w:rsidR="00201C4C" w:rsidRPr="002D3A2A">
        <w:rPr>
          <w:rFonts w:ascii="Times New Roman" w:hAnsi="Times New Roman" w:cs="Times New Roman"/>
          <w:sz w:val="28"/>
          <w:szCs w:val="28"/>
        </w:rPr>
        <w:t xml:space="preserve"> </w:t>
      </w:r>
      <w:r w:rsidR="00005963" w:rsidRPr="002D3A2A">
        <w:rPr>
          <w:rFonts w:ascii="Times New Roman" w:hAnsi="Times New Roman" w:cs="Times New Roman"/>
          <w:sz w:val="28"/>
          <w:szCs w:val="28"/>
        </w:rPr>
        <w:t xml:space="preserve">clothing </w:t>
      </w:r>
      <w:r w:rsidRPr="002D3A2A">
        <w:rPr>
          <w:rFonts w:ascii="Times New Roman" w:hAnsi="Times New Roman" w:cs="Times New Roman"/>
          <w:sz w:val="28"/>
          <w:szCs w:val="28"/>
        </w:rPr>
        <w:t xml:space="preserve">and textile </w:t>
      </w:r>
      <w:r w:rsidR="00201C4C" w:rsidRPr="002D3A2A">
        <w:rPr>
          <w:rFonts w:ascii="Times New Roman" w:hAnsi="Times New Roman" w:cs="Times New Roman"/>
          <w:sz w:val="28"/>
          <w:szCs w:val="28"/>
        </w:rPr>
        <w:t>goods imported from China</w:t>
      </w:r>
      <w:r w:rsidR="00625580" w:rsidRPr="002D3A2A">
        <w:rPr>
          <w:rFonts w:ascii="Times New Roman" w:hAnsi="Times New Roman" w:cs="Times New Roman"/>
          <w:sz w:val="28"/>
          <w:szCs w:val="28"/>
        </w:rPr>
        <w:t>,</w:t>
      </w:r>
      <w:r w:rsidR="00201C4C" w:rsidRPr="002D3A2A">
        <w:rPr>
          <w:rFonts w:ascii="Times New Roman" w:hAnsi="Times New Roman" w:cs="Times New Roman"/>
          <w:sz w:val="28"/>
          <w:szCs w:val="28"/>
        </w:rPr>
        <w:t xml:space="preserve"> and that both consignments involved the same </w:t>
      </w:r>
      <w:r w:rsidR="00536EF8" w:rsidRPr="002D3A2A">
        <w:rPr>
          <w:rFonts w:ascii="Times New Roman" w:hAnsi="Times New Roman" w:cs="Times New Roman"/>
          <w:sz w:val="28"/>
          <w:szCs w:val="28"/>
        </w:rPr>
        <w:t xml:space="preserve">exporters and </w:t>
      </w:r>
      <w:r w:rsidR="00201C4C" w:rsidRPr="002D3A2A">
        <w:rPr>
          <w:rFonts w:ascii="Times New Roman" w:hAnsi="Times New Roman" w:cs="Times New Roman"/>
          <w:sz w:val="28"/>
          <w:szCs w:val="28"/>
        </w:rPr>
        <w:t>importers.</w:t>
      </w:r>
      <w:r w:rsidR="00536EF8" w:rsidRPr="002D3A2A">
        <w:rPr>
          <w:rFonts w:ascii="Times New Roman" w:hAnsi="Times New Roman" w:cs="Times New Roman"/>
          <w:sz w:val="28"/>
          <w:szCs w:val="28"/>
        </w:rPr>
        <w:t xml:space="preserve"> The answering papers in the first application stated that SARS had approached the Chinese customs authorities </w:t>
      </w:r>
      <w:r w:rsidR="0070277F" w:rsidRPr="002D3A2A">
        <w:rPr>
          <w:rFonts w:ascii="Times New Roman" w:hAnsi="Times New Roman" w:cs="Times New Roman"/>
          <w:sz w:val="28"/>
          <w:szCs w:val="28"/>
        </w:rPr>
        <w:t xml:space="preserve">for assistance </w:t>
      </w:r>
      <w:r w:rsidR="00536EF8" w:rsidRPr="002D3A2A">
        <w:rPr>
          <w:rFonts w:ascii="Times New Roman" w:hAnsi="Times New Roman" w:cs="Times New Roman"/>
          <w:sz w:val="28"/>
          <w:szCs w:val="28"/>
        </w:rPr>
        <w:t xml:space="preserve">concerning the clothing exported </w:t>
      </w:r>
      <w:r w:rsidR="00072996" w:rsidRPr="002D3A2A">
        <w:rPr>
          <w:rFonts w:ascii="Times New Roman" w:hAnsi="Times New Roman" w:cs="Times New Roman"/>
          <w:sz w:val="28"/>
          <w:szCs w:val="28"/>
        </w:rPr>
        <w:t xml:space="preserve">in that application. </w:t>
      </w:r>
      <w:r w:rsidR="00536EF8" w:rsidRPr="002D3A2A">
        <w:rPr>
          <w:rFonts w:ascii="Times New Roman" w:hAnsi="Times New Roman" w:cs="Times New Roman"/>
          <w:sz w:val="28"/>
          <w:szCs w:val="28"/>
        </w:rPr>
        <w:t xml:space="preserve">Tuchten J recorded in his judgment that </w:t>
      </w:r>
      <w:r w:rsidR="00911D5B" w:rsidRPr="002D3A2A">
        <w:rPr>
          <w:rFonts w:ascii="Times New Roman" w:hAnsi="Times New Roman" w:cs="Times New Roman"/>
          <w:sz w:val="28"/>
          <w:szCs w:val="28"/>
        </w:rPr>
        <w:t xml:space="preserve">when the first application was decided, </w:t>
      </w:r>
      <w:r w:rsidR="00536EF8" w:rsidRPr="002D3A2A">
        <w:rPr>
          <w:rFonts w:ascii="Times New Roman" w:hAnsi="Times New Roman" w:cs="Times New Roman"/>
          <w:sz w:val="28"/>
          <w:szCs w:val="28"/>
        </w:rPr>
        <w:t>the Chinese export authorities had not responded</w:t>
      </w:r>
      <w:r w:rsidR="00072996" w:rsidRPr="002D3A2A">
        <w:rPr>
          <w:rFonts w:ascii="Times New Roman" w:hAnsi="Times New Roman" w:cs="Times New Roman"/>
          <w:sz w:val="28"/>
          <w:szCs w:val="28"/>
        </w:rPr>
        <w:t xml:space="preserve"> to the request for information, and that SARS might still be able to produce evidence to contradict the respondents’ version.</w:t>
      </w:r>
    </w:p>
    <w:p w14:paraId="4C7762CC" w14:textId="77777777" w:rsidR="00201C4C" w:rsidRPr="002D3A2A" w:rsidRDefault="00201C4C" w:rsidP="00201C4C">
      <w:pPr>
        <w:pStyle w:val="ListParagraph"/>
        <w:spacing w:after="0" w:line="360" w:lineRule="auto"/>
        <w:ind w:left="0"/>
        <w:jc w:val="both"/>
        <w:rPr>
          <w:rFonts w:ascii="Times New Roman" w:hAnsi="Times New Roman" w:cs="Times New Roman"/>
          <w:sz w:val="28"/>
          <w:szCs w:val="28"/>
        </w:rPr>
      </w:pPr>
    </w:p>
    <w:p w14:paraId="1B16086C" w14:textId="69421053" w:rsidR="00D91AB7" w:rsidRPr="002D3A2A" w:rsidRDefault="00F04C92" w:rsidP="008E367D">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In order to counter customs fraud and other illegal activities, SARS </w:t>
      </w:r>
      <w:r w:rsidR="00AA510B" w:rsidRPr="002D3A2A">
        <w:rPr>
          <w:rFonts w:ascii="Times New Roman" w:hAnsi="Times New Roman" w:cs="Times New Roman"/>
          <w:sz w:val="28"/>
          <w:szCs w:val="28"/>
        </w:rPr>
        <w:t xml:space="preserve">uses a </w:t>
      </w:r>
      <w:r w:rsidR="00A1711E" w:rsidRPr="002D3A2A">
        <w:rPr>
          <w:rFonts w:ascii="Times New Roman" w:hAnsi="Times New Roman" w:cs="Times New Roman"/>
          <w:sz w:val="28"/>
          <w:szCs w:val="28"/>
        </w:rPr>
        <w:t xml:space="preserve">customs </w:t>
      </w:r>
      <w:r w:rsidR="00AA510B" w:rsidRPr="002D3A2A">
        <w:rPr>
          <w:rFonts w:ascii="Times New Roman" w:hAnsi="Times New Roman" w:cs="Times New Roman"/>
          <w:sz w:val="28"/>
          <w:szCs w:val="28"/>
        </w:rPr>
        <w:t>electronic system</w:t>
      </w:r>
      <w:r w:rsidR="00A1711E" w:rsidRPr="002D3A2A">
        <w:rPr>
          <w:rFonts w:ascii="Times New Roman" w:hAnsi="Times New Roman" w:cs="Times New Roman"/>
          <w:sz w:val="28"/>
          <w:szCs w:val="28"/>
        </w:rPr>
        <w:t xml:space="preserve"> with built-in risk and identification analysis capabilities.</w:t>
      </w:r>
      <w:r w:rsidR="00AA510B" w:rsidRPr="002D3A2A">
        <w:rPr>
          <w:rFonts w:ascii="Times New Roman" w:hAnsi="Times New Roman" w:cs="Times New Roman"/>
          <w:sz w:val="28"/>
          <w:szCs w:val="28"/>
        </w:rPr>
        <w:t xml:space="preserve"> This system</w:t>
      </w:r>
      <w:r w:rsidR="00A1711E" w:rsidRPr="002D3A2A">
        <w:rPr>
          <w:rFonts w:ascii="Times New Roman" w:hAnsi="Times New Roman" w:cs="Times New Roman"/>
          <w:sz w:val="28"/>
          <w:szCs w:val="28"/>
        </w:rPr>
        <w:t xml:space="preserve"> utilise</w:t>
      </w:r>
      <w:r w:rsidR="00AA510B" w:rsidRPr="002D3A2A">
        <w:rPr>
          <w:rFonts w:ascii="Times New Roman" w:hAnsi="Times New Roman" w:cs="Times New Roman"/>
          <w:sz w:val="28"/>
          <w:szCs w:val="28"/>
        </w:rPr>
        <w:t>s</w:t>
      </w:r>
      <w:r w:rsidR="00A1711E" w:rsidRPr="002D3A2A">
        <w:rPr>
          <w:rFonts w:ascii="Times New Roman" w:hAnsi="Times New Roman" w:cs="Times New Roman"/>
          <w:sz w:val="28"/>
          <w:szCs w:val="28"/>
        </w:rPr>
        <w:t xml:space="preserve"> information furnished in</w:t>
      </w:r>
      <w:r w:rsidR="00AA510B" w:rsidRPr="002D3A2A">
        <w:rPr>
          <w:rFonts w:ascii="Times New Roman" w:hAnsi="Times New Roman" w:cs="Times New Roman"/>
          <w:sz w:val="28"/>
          <w:szCs w:val="28"/>
        </w:rPr>
        <w:t>,</w:t>
      </w:r>
      <w:r w:rsidR="00A1711E" w:rsidRPr="002D3A2A">
        <w:rPr>
          <w:rFonts w:ascii="Times New Roman" w:hAnsi="Times New Roman" w:cs="Times New Roman"/>
          <w:sz w:val="28"/>
          <w:szCs w:val="28"/>
        </w:rPr>
        <w:t xml:space="preserve"> amongst others, customs declarations to identify potential risks. For example, the system</w:t>
      </w:r>
      <w:r w:rsidR="00AA510B" w:rsidRPr="002D3A2A">
        <w:rPr>
          <w:rFonts w:ascii="Times New Roman" w:hAnsi="Times New Roman" w:cs="Times New Roman"/>
          <w:sz w:val="28"/>
          <w:szCs w:val="28"/>
        </w:rPr>
        <w:t xml:space="preserve"> compares the declared value of a </w:t>
      </w:r>
      <w:r w:rsidR="00A1711E" w:rsidRPr="002D3A2A">
        <w:rPr>
          <w:rFonts w:ascii="Times New Roman" w:hAnsi="Times New Roman" w:cs="Times New Roman"/>
          <w:sz w:val="28"/>
          <w:szCs w:val="28"/>
        </w:rPr>
        <w:t>product with the international price of the</w:t>
      </w:r>
      <w:r w:rsidR="00AA510B" w:rsidRPr="002D3A2A">
        <w:rPr>
          <w:rFonts w:ascii="Times New Roman" w:hAnsi="Times New Roman" w:cs="Times New Roman"/>
          <w:sz w:val="28"/>
          <w:szCs w:val="28"/>
        </w:rPr>
        <w:t xml:space="preserve"> yarn used to produce the constituent materials of that product. A declared customs value lower than the risk price will automatically flag the consignment on the SARS system for further investigation. The </w:t>
      </w:r>
      <w:r w:rsidR="00D91AB7" w:rsidRPr="002D3A2A">
        <w:rPr>
          <w:rFonts w:ascii="Times New Roman" w:hAnsi="Times New Roman" w:cs="Times New Roman"/>
          <w:sz w:val="28"/>
          <w:szCs w:val="28"/>
        </w:rPr>
        <w:t xml:space="preserve">19 containers were so flagged and </w:t>
      </w:r>
      <w:r w:rsidR="00D91AB7" w:rsidRPr="002D3A2A">
        <w:rPr>
          <w:rFonts w:ascii="Times New Roman" w:hAnsi="Times New Roman" w:cs="Times New Roman"/>
          <w:sz w:val="28"/>
          <w:szCs w:val="28"/>
        </w:rPr>
        <w:lastRenderedPageBreak/>
        <w:t>consequently detained under s 88(1)</w:t>
      </w:r>
      <w:r w:rsidR="00D91AB7" w:rsidRPr="002D3A2A">
        <w:rPr>
          <w:rFonts w:ascii="Times New Roman" w:hAnsi="Times New Roman" w:cs="Times New Roman"/>
          <w:i/>
          <w:sz w:val="28"/>
          <w:szCs w:val="28"/>
        </w:rPr>
        <w:t>(a)</w:t>
      </w:r>
      <w:r w:rsidR="00D91AB7" w:rsidRPr="002D3A2A">
        <w:rPr>
          <w:rFonts w:ascii="Times New Roman" w:hAnsi="Times New Roman" w:cs="Times New Roman"/>
          <w:sz w:val="28"/>
          <w:szCs w:val="28"/>
        </w:rPr>
        <w:t xml:space="preserve"> of the Act, between 4 November and 20</w:t>
      </w:r>
      <w:r w:rsidR="009E3EC1" w:rsidRPr="002D3A2A">
        <w:rPr>
          <w:rFonts w:ascii="Times New Roman" w:hAnsi="Times New Roman" w:cs="Times New Roman"/>
          <w:sz w:val="28"/>
          <w:szCs w:val="28"/>
        </w:rPr>
        <w:t> </w:t>
      </w:r>
      <w:r w:rsidR="00D91AB7" w:rsidRPr="002D3A2A">
        <w:rPr>
          <w:rFonts w:ascii="Times New Roman" w:hAnsi="Times New Roman" w:cs="Times New Roman"/>
          <w:sz w:val="28"/>
          <w:szCs w:val="28"/>
        </w:rPr>
        <w:t xml:space="preserve">December 2019. </w:t>
      </w:r>
    </w:p>
    <w:p w14:paraId="374DE8AF" w14:textId="77777777" w:rsidR="00D91AB7" w:rsidRPr="002D3A2A" w:rsidRDefault="00D91AB7" w:rsidP="00D91AB7">
      <w:pPr>
        <w:pStyle w:val="ListParagraph"/>
        <w:spacing w:after="0" w:line="360" w:lineRule="auto"/>
        <w:ind w:left="0"/>
        <w:jc w:val="both"/>
        <w:rPr>
          <w:rFonts w:ascii="Times New Roman" w:hAnsi="Times New Roman" w:cs="Times New Roman"/>
          <w:sz w:val="28"/>
          <w:szCs w:val="28"/>
        </w:rPr>
      </w:pPr>
    </w:p>
    <w:p w14:paraId="42E4460F" w14:textId="77777777" w:rsidR="00A2673D" w:rsidRPr="002D3A2A" w:rsidRDefault="008E367D" w:rsidP="008E367D">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 goods were detained by SARS because it suspected that the respondents had under-declared their value. SARS proceeded to investigate and engage with the respondents in order to determine whether the goods were liable to seizure. They </w:t>
      </w:r>
      <w:r w:rsidR="00D91AB7" w:rsidRPr="002D3A2A">
        <w:rPr>
          <w:rFonts w:ascii="Times New Roman" w:hAnsi="Times New Roman" w:cs="Times New Roman"/>
          <w:sz w:val="28"/>
          <w:szCs w:val="28"/>
        </w:rPr>
        <w:t>were requested to complete SARS’ standard Trader Questionnaire</w:t>
      </w:r>
      <w:r w:rsidR="00A2673D" w:rsidRPr="002D3A2A">
        <w:rPr>
          <w:rFonts w:ascii="Times New Roman" w:hAnsi="Times New Roman" w:cs="Times New Roman"/>
          <w:sz w:val="28"/>
          <w:szCs w:val="28"/>
        </w:rPr>
        <w:t xml:space="preserve"> – a request for information in terms of s 4 of the Act. The respondents were asked to furnish the following information: </w:t>
      </w:r>
    </w:p>
    <w:p w14:paraId="4A60880A" w14:textId="77777777" w:rsidR="00A2673D" w:rsidRPr="002D3A2A" w:rsidRDefault="00646924" w:rsidP="00A2673D">
      <w:pPr>
        <w:pStyle w:val="ListParagraph"/>
        <w:spacing w:after="0" w:line="360" w:lineRule="auto"/>
        <w:ind w:left="0"/>
        <w:jc w:val="both"/>
        <w:rPr>
          <w:rFonts w:ascii="Times New Roman" w:hAnsi="Times New Roman" w:cs="Times New Roman"/>
          <w:sz w:val="24"/>
          <w:szCs w:val="24"/>
        </w:rPr>
      </w:pPr>
      <w:r w:rsidRPr="002D3A2A">
        <w:rPr>
          <w:rFonts w:ascii="Times New Roman" w:hAnsi="Times New Roman" w:cs="Times New Roman"/>
          <w:sz w:val="24"/>
          <w:szCs w:val="24"/>
        </w:rPr>
        <w:t>‘</w:t>
      </w:r>
      <w:r w:rsidR="00A2673D" w:rsidRPr="002D3A2A">
        <w:rPr>
          <w:rFonts w:ascii="Times New Roman" w:hAnsi="Times New Roman" w:cs="Times New Roman"/>
          <w:sz w:val="24"/>
          <w:szCs w:val="24"/>
        </w:rPr>
        <w:t>8.</w:t>
      </w:r>
      <w:r w:rsidR="00A2673D" w:rsidRPr="002D3A2A">
        <w:rPr>
          <w:rFonts w:ascii="Times New Roman" w:hAnsi="Times New Roman" w:cs="Times New Roman"/>
          <w:sz w:val="24"/>
          <w:szCs w:val="24"/>
        </w:rPr>
        <w:tab/>
        <w:t xml:space="preserve">How did the importer source </w:t>
      </w:r>
      <w:r w:rsidRPr="002D3A2A">
        <w:rPr>
          <w:rFonts w:ascii="Times New Roman" w:hAnsi="Times New Roman" w:cs="Times New Roman"/>
          <w:sz w:val="24"/>
          <w:szCs w:val="24"/>
        </w:rPr>
        <w:t xml:space="preserve">this foreign supplier and establish a </w:t>
      </w:r>
      <w:r w:rsidR="00A2673D" w:rsidRPr="002D3A2A">
        <w:rPr>
          <w:rFonts w:ascii="Times New Roman" w:hAnsi="Times New Roman" w:cs="Times New Roman"/>
          <w:sz w:val="24"/>
          <w:szCs w:val="24"/>
        </w:rPr>
        <w:t xml:space="preserve">trading relationship? </w:t>
      </w:r>
    </w:p>
    <w:p w14:paraId="744FB242" w14:textId="338C9C52" w:rsidR="00A2673D" w:rsidRPr="002D3A2A" w:rsidRDefault="00A2673D" w:rsidP="00646924">
      <w:pPr>
        <w:pStyle w:val="ListParagraph"/>
        <w:spacing w:after="0" w:line="360" w:lineRule="auto"/>
        <w:ind w:hanging="720"/>
        <w:jc w:val="both"/>
        <w:rPr>
          <w:rFonts w:ascii="Times New Roman" w:hAnsi="Times New Roman" w:cs="Times New Roman"/>
          <w:sz w:val="24"/>
          <w:szCs w:val="24"/>
        </w:rPr>
      </w:pPr>
      <w:r w:rsidRPr="002D3A2A">
        <w:rPr>
          <w:rFonts w:ascii="Times New Roman" w:hAnsi="Times New Roman" w:cs="Times New Roman"/>
          <w:sz w:val="24"/>
          <w:szCs w:val="24"/>
        </w:rPr>
        <w:t>9</w:t>
      </w:r>
      <w:r w:rsidR="00BB0880" w:rsidRPr="002D3A2A">
        <w:rPr>
          <w:rFonts w:ascii="Times New Roman" w:hAnsi="Times New Roman" w:cs="Times New Roman"/>
          <w:sz w:val="24"/>
          <w:szCs w:val="24"/>
        </w:rPr>
        <w:t>.</w:t>
      </w:r>
      <w:r w:rsidRPr="002D3A2A">
        <w:rPr>
          <w:rFonts w:ascii="Times New Roman" w:hAnsi="Times New Roman" w:cs="Times New Roman"/>
          <w:sz w:val="24"/>
          <w:szCs w:val="24"/>
        </w:rPr>
        <w:tab/>
      </w:r>
      <w:r w:rsidR="00646924" w:rsidRPr="002D3A2A">
        <w:rPr>
          <w:rFonts w:ascii="Times New Roman" w:hAnsi="Times New Roman" w:cs="Times New Roman"/>
          <w:sz w:val="24"/>
          <w:szCs w:val="24"/>
        </w:rPr>
        <w:t>T</w:t>
      </w:r>
      <w:r w:rsidRPr="002D3A2A">
        <w:rPr>
          <w:rFonts w:ascii="Times New Roman" w:hAnsi="Times New Roman" w:cs="Times New Roman"/>
          <w:sz w:val="24"/>
          <w:szCs w:val="24"/>
        </w:rPr>
        <w:t xml:space="preserve">rips abroad to negotiate trade must be substantiated with a copy of the importers/buyers passport showing </w:t>
      </w:r>
      <w:r w:rsidR="00646924" w:rsidRPr="002D3A2A">
        <w:rPr>
          <w:rFonts w:ascii="Times New Roman" w:hAnsi="Times New Roman" w:cs="Times New Roman"/>
          <w:sz w:val="24"/>
          <w:szCs w:val="24"/>
        </w:rPr>
        <w:t xml:space="preserve">all his trips </w:t>
      </w:r>
      <w:r w:rsidRPr="002D3A2A">
        <w:rPr>
          <w:rFonts w:ascii="Times New Roman" w:hAnsi="Times New Roman" w:cs="Times New Roman"/>
          <w:sz w:val="24"/>
          <w:szCs w:val="24"/>
        </w:rPr>
        <w:t>overseas to meet with the suppliers.</w:t>
      </w:r>
    </w:p>
    <w:p w14:paraId="30768AE2" w14:textId="77777777" w:rsidR="00A2673D" w:rsidRPr="002D3A2A" w:rsidRDefault="00A2673D" w:rsidP="00646924">
      <w:pPr>
        <w:pStyle w:val="ListParagraph"/>
        <w:spacing w:after="0" w:line="360" w:lineRule="auto"/>
        <w:jc w:val="both"/>
        <w:rPr>
          <w:rFonts w:ascii="Times New Roman" w:hAnsi="Times New Roman" w:cs="Times New Roman"/>
          <w:sz w:val="28"/>
          <w:szCs w:val="28"/>
        </w:rPr>
      </w:pPr>
      <w:r w:rsidRPr="002D3A2A">
        <w:rPr>
          <w:rFonts w:ascii="Times New Roman" w:hAnsi="Times New Roman" w:cs="Times New Roman"/>
          <w:sz w:val="24"/>
          <w:szCs w:val="24"/>
        </w:rPr>
        <w:t>Copi</w:t>
      </w:r>
      <w:r w:rsidR="00646924" w:rsidRPr="002D3A2A">
        <w:rPr>
          <w:rFonts w:ascii="Times New Roman" w:hAnsi="Times New Roman" w:cs="Times New Roman"/>
          <w:sz w:val="24"/>
          <w:szCs w:val="24"/>
        </w:rPr>
        <w:t xml:space="preserve">es of all correspondence with the </w:t>
      </w:r>
      <w:r w:rsidRPr="002D3A2A">
        <w:rPr>
          <w:rFonts w:ascii="Times New Roman" w:hAnsi="Times New Roman" w:cs="Times New Roman"/>
          <w:sz w:val="24"/>
          <w:szCs w:val="24"/>
        </w:rPr>
        <w:t>foreign supplier in terms of negotiating the price, quality and terms and conditions of sale must be presented.’</w:t>
      </w:r>
    </w:p>
    <w:p w14:paraId="4EBAD226" w14:textId="77777777" w:rsidR="002318AD" w:rsidRPr="002D3A2A" w:rsidRDefault="00A2673D" w:rsidP="008E367D">
      <w:pPr>
        <w:pStyle w:val="ListParagraph"/>
        <w:spacing w:after="0" w:line="360" w:lineRule="auto"/>
        <w:ind w:left="0"/>
        <w:jc w:val="both"/>
        <w:rPr>
          <w:rFonts w:ascii="Times New Roman" w:hAnsi="Times New Roman" w:cs="Times New Roman"/>
          <w:sz w:val="28"/>
          <w:szCs w:val="28"/>
        </w:rPr>
      </w:pPr>
      <w:r w:rsidRPr="002D3A2A">
        <w:rPr>
          <w:rFonts w:ascii="Times New Roman" w:hAnsi="Times New Roman" w:cs="Times New Roman"/>
          <w:sz w:val="28"/>
          <w:szCs w:val="28"/>
        </w:rPr>
        <w:t xml:space="preserve"> </w:t>
      </w:r>
      <w:r w:rsidR="00AA510B" w:rsidRPr="002D3A2A">
        <w:rPr>
          <w:rFonts w:ascii="Times New Roman" w:hAnsi="Times New Roman" w:cs="Times New Roman"/>
          <w:sz w:val="28"/>
          <w:szCs w:val="28"/>
        </w:rPr>
        <w:t xml:space="preserve">  </w:t>
      </w:r>
    </w:p>
    <w:p w14:paraId="701CD1AB" w14:textId="14E9A8EB" w:rsidR="00F235AF" w:rsidRPr="002D3A2A" w:rsidRDefault="005310D1" w:rsidP="00987B0D">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 </w:t>
      </w:r>
      <w:r w:rsidR="008E367D" w:rsidRPr="002D3A2A">
        <w:rPr>
          <w:rFonts w:ascii="Times New Roman" w:hAnsi="Times New Roman" w:cs="Times New Roman"/>
          <w:sz w:val="28"/>
          <w:szCs w:val="28"/>
        </w:rPr>
        <w:t xml:space="preserve">respondents did not answer questions 8 and 9. They simply replied </w:t>
      </w:r>
      <w:r w:rsidR="000D547B" w:rsidRPr="002D3A2A">
        <w:rPr>
          <w:rFonts w:ascii="Times New Roman" w:hAnsi="Times New Roman" w:cs="Times New Roman"/>
          <w:sz w:val="28"/>
          <w:szCs w:val="28"/>
        </w:rPr>
        <w:t xml:space="preserve">that the importer acquired suppliers during his trips abroad and that </w:t>
      </w:r>
      <w:r w:rsidR="00EF77D8" w:rsidRPr="002D3A2A">
        <w:rPr>
          <w:rFonts w:ascii="Times New Roman" w:hAnsi="Times New Roman" w:cs="Times New Roman"/>
          <w:sz w:val="28"/>
          <w:szCs w:val="28"/>
        </w:rPr>
        <w:t xml:space="preserve">they were unable to obtain a </w:t>
      </w:r>
      <w:r w:rsidR="000D547B" w:rsidRPr="002D3A2A">
        <w:rPr>
          <w:rFonts w:ascii="Times New Roman" w:hAnsi="Times New Roman" w:cs="Times New Roman"/>
          <w:sz w:val="28"/>
          <w:szCs w:val="28"/>
        </w:rPr>
        <w:t xml:space="preserve">copy of passport evidence </w:t>
      </w:r>
      <w:r w:rsidR="00EF77D8" w:rsidRPr="002D3A2A">
        <w:rPr>
          <w:rFonts w:ascii="Times New Roman" w:hAnsi="Times New Roman" w:cs="Times New Roman"/>
          <w:sz w:val="28"/>
          <w:szCs w:val="28"/>
        </w:rPr>
        <w:t>at the time</w:t>
      </w:r>
      <w:r w:rsidR="000D547B" w:rsidRPr="002D3A2A">
        <w:rPr>
          <w:rFonts w:ascii="Times New Roman" w:hAnsi="Times New Roman" w:cs="Times New Roman"/>
          <w:sz w:val="28"/>
          <w:szCs w:val="28"/>
        </w:rPr>
        <w:t>.</w:t>
      </w:r>
      <w:r w:rsidR="003F49DE" w:rsidRPr="002D3A2A">
        <w:rPr>
          <w:rFonts w:ascii="Times New Roman" w:hAnsi="Times New Roman" w:cs="Times New Roman"/>
          <w:sz w:val="28"/>
          <w:szCs w:val="28"/>
        </w:rPr>
        <w:t xml:space="preserve"> </w:t>
      </w:r>
      <w:r w:rsidR="008E367D" w:rsidRPr="002D3A2A">
        <w:rPr>
          <w:rFonts w:ascii="Times New Roman" w:hAnsi="Times New Roman" w:cs="Times New Roman"/>
          <w:sz w:val="28"/>
          <w:szCs w:val="28"/>
        </w:rPr>
        <w:t>T</w:t>
      </w:r>
      <w:r w:rsidR="00DF521D" w:rsidRPr="002D3A2A">
        <w:rPr>
          <w:rFonts w:ascii="Times New Roman" w:hAnsi="Times New Roman" w:cs="Times New Roman"/>
          <w:sz w:val="28"/>
          <w:szCs w:val="28"/>
        </w:rPr>
        <w:t>his failure to respond</w:t>
      </w:r>
      <w:r w:rsidR="008E367D" w:rsidRPr="002D3A2A">
        <w:rPr>
          <w:rFonts w:ascii="Times New Roman" w:hAnsi="Times New Roman" w:cs="Times New Roman"/>
          <w:sz w:val="28"/>
          <w:szCs w:val="28"/>
        </w:rPr>
        <w:t xml:space="preserve"> </w:t>
      </w:r>
      <w:r w:rsidR="00A65969" w:rsidRPr="002D3A2A">
        <w:rPr>
          <w:rFonts w:ascii="Times New Roman" w:hAnsi="Times New Roman" w:cs="Times New Roman"/>
          <w:sz w:val="28"/>
          <w:szCs w:val="28"/>
        </w:rPr>
        <w:t xml:space="preserve">must be seen </w:t>
      </w:r>
      <w:r w:rsidR="00D03F34" w:rsidRPr="002D3A2A">
        <w:rPr>
          <w:rFonts w:ascii="Times New Roman" w:hAnsi="Times New Roman" w:cs="Times New Roman"/>
          <w:sz w:val="28"/>
          <w:szCs w:val="28"/>
        </w:rPr>
        <w:t xml:space="preserve">in the light of </w:t>
      </w:r>
      <w:r w:rsidR="000D69B5" w:rsidRPr="002D3A2A">
        <w:rPr>
          <w:rFonts w:ascii="Times New Roman" w:hAnsi="Times New Roman" w:cs="Times New Roman"/>
          <w:sz w:val="28"/>
          <w:szCs w:val="28"/>
        </w:rPr>
        <w:t>further</w:t>
      </w:r>
      <w:r w:rsidR="00D03F34" w:rsidRPr="002D3A2A">
        <w:rPr>
          <w:rFonts w:ascii="Times New Roman" w:hAnsi="Times New Roman" w:cs="Times New Roman"/>
          <w:sz w:val="28"/>
          <w:szCs w:val="28"/>
        </w:rPr>
        <w:t xml:space="preserve"> </w:t>
      </w:r>
      <w:r w:rsidR="008E367D" w:rsidRPr="002D3A2A">
        <w:rPr>
          <w:rFonts w:ascii="Times New Roman" w:hAnsi="Times New Roman" w:cs="Times New Roman"/>
          <w:sz w:val="28"/>
          <w:szCs w:val="28"/>
        </w:rPr>
        <w:t xml:space="preserve">allegations in the </w:t>
      </w:r>
      <w:r w:rsidR="003F49DE" w:rsidRPr="002D3A2A">
        <w:rPr>
          <w:rFonts w:ascii="Times New Roman" w:hAnsi="Times New Roman" w:cs="Times New Roman"/>
          <w:sz w:val="28"/>
          <w:szCs w:val="28"/>
        </w:rPr>
        <w:t>founding papers</w:t>
      </w:r>
      <w:r w:rsidR="00D03F34" w:rsidRPr="002D3A2A">
        <w:rPr>
          <w:rFonts w:ascii="Times New Roman" w:hAnsi="Times New Roman" w:cs="Times New Roman"/>
          <w:sz w:val="28"/>
          <w:szCs w:val="28"/>
        </w:rPr>
        <w:t xml:space="preserve"> that employees</w:t>
      </w:r>
      <w:r w:rsidR="009D359F" w:rsidRPr="002D3A2A">
        <w:rPr>
          <w:rFonts w:ascii="Times New Roman" w:hAnsi="Times New Roman" w:cs="Times New Roman"/>
          <w:sz w:val="28"/>
          <w:szCs w:val="28"/>
        </w:rPr>
        <w:t xml:space="preserve"> of the importers</w:t>
      </w:r>
      <w:r w:rsidR="00D03F34" w:rsidRPr="002D3A2A">
        <w:rPr>
          <w:rFonts w:ascii="Times New Roman" w:hAnsi="Times New Roman" w:cs="Times New Roman"/>
          <w:sz w:val="28"/>
          <w:szCs w:val="28"/>
        </w:rPr>
        <w:t xml:space="preserve"> </w:t>
      </w:r>
      <w:r w:rsidR="00B2453F" w:rsidRPr="002D3A2A">
        <w:rPr>
          <w:rFonts w:ascii="Times New Roman" w:hAnsi="Times New Roman" w:cs="Times New Roman"/>
          <w:sz w:val="28"/>
          <w:szCs w:val="28"/>
        </w:rPr>
        <w:t xml:space="preserve">obtained clothing at reduced prices from factories </w:t>
      </w:r>
      <w:r w:rsidR="009258E0" w:rsidRPr="002D3A2A">
        <w:rPr>
          <w:rFonts w:ascii="Times New Roman" w:hAnsi="Times New Roman" w:cs="Times New Roman"/>
          <w:sz w:val="28"/>
          <w:szCs w:val="28"/>
        </w:rPr>
        <w:t xml:space="preserve">in China which </w:t>
      </w:r>
      <w:r w:rsidR="00B2453F" w:rsidRPr="002D3A2A">
        <w:rPr>
          <w:rFonts w:ascii="Times New Roman" w:hAnsi="Times New Roman" w:cs="Times New Roman"/>
          <w:sz w:val="28"/>
          <w:szCs w:val="28"/>
        </w:rPr>
        <w:t>were closing down and trying to get rid of stock; that they bought ‘old’ stock (clothing out of season); and that they also bought clothing</w:t>
      </w:r>
      <w:r w:rsidR="00AF1086" w:rsidRPr="002D3A2A">
        <w:rPr>
          <w:rFonts w:ascii="Times New Roman" w:hAnsi="Times New Roman" w:cs="Times New Roman"/>
          <w:sz w:val="28"/>
          <w:szCs w:val="28"/>
        </w:rPr>
        <w:t>,</w:t>
      </w:r>
      <w:r w:rsidR="00B2453F" w:rsidRPr="002D3A2A">
        <w:rPr>
          <w:rFonts w:ascii="Times New Roman" w:hAnsi="Times New Roman" w:cs="Times New Roman"/>
          <w:sz w:val="28"/>
          <w:szCs w:val="28"/>
        </w:rPr>
        <w:t xml:space="preserve"> at substantially reduced prices</w:t>
      </w:r>
      <w:r w:rsidR="00AF1086" w:rsidRPr="002D3A2A">
        <w:rPr>
          <w:rFonts w:ascii="Times New Roman" w:hAnsi="Times New Roman" w:cs="Times New Roman"/>
          <w:sz w:val="28"/>
          <w:szCs w:val="28"/>
        </w:rPr>
        <w:t>,</w:t>
      </w:r>
      <w:r w:rsidR="00B2453F" w:rsidRPr="002D3A2A">
        <w:rPr>
          <w:rFonts w:ascii="Times New Roman" w:hAnsi="Times New Roman" w:cs="Times New Roman"/>
          <w:sz w:val="28"/>
          <w:szCs w:val="28"/>
        </w:rPr>
        <w:t xml:space="preserve"> from manufacturers and sellers whose orders had been cancelled at the last minute. </w:t>
      </w:r>
    </w:p>
    <w:p w14:paraId="1CA49378" w14:textId="77777777" w:rsidR="00F235AF" w:rsidRPr="002D3A2A" w:rsidRDefault="00F235AF" w:rsidP="00F235AF">
      <w:pPr>
        <w:pStyle w:val="ListParagraph"/>
        <w:spacing w:after="0" w:line="360" w:lineRule="auto"/>
        <w:ind w:left="0"/>
        <w:jc w:val="both"/>
        <w:rPr>
          <w:rFonts w:ascii="Times New Roman" w:hAnsi="Times New Roman" w:cs="Times New Roman"/>
          <w:sz w:val="28"/>
          <w:szCs w:val="28"/>
        </w:rPr>
      </w:pPr>
    </w:p>
    <w:p w14:paraId="70BA304B" w14:textId="77777777" w:rsidR="00DD26C1" w:rsidRPr="002D3A2A" w:rsidRDefault="006852F2" w:rsidP="00202D41">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 respondents never </w:t>
      </w:r>
      <w:r w:rsidR="00771904" w:rsidRPr="002D3A2A">
        <w:rPr>
          <w:rFonts w:ascii="Times New Roman" w:hAnsi="Times New Roman" w:cs="Times New Roman"/>
          <w:sz w:val="28"/>
          <w:szCs w:val="28"/>
        </w:rPr>
        <w:t>provide</w:t>
      </w:r>
      <w:r w:rsidRPr="002D3A2A">
        <w:rPr>
          <w:rFonts w:ascii="Times New Roman" w:hAnsi="Times New Roman" w:cs="Times New Roman"/>
          <w:sz w:val="28"/>
          <w:szCs w:val="28"/>
        </w:rPr>
        <w:t>d</w:t>
      </w:r>
      <w:r w:rsidR="00771904" w:rsidRPr="002D3A2A">
        <w:rPr>
          <w:rFonts w:ascii="Times New Roman" w:hAnsi="Times New Roman" w:cs="Times New Roman"/>
          <w:sz w:val="28"/>
          <w:szCs w:val="28"/>
        </w:rPr>
        <w:t xml:space="preserve"> </w:t>
      </w:r>
      <w:r w:rsidR="00F235AF" w:rsidRPr="002D3A2A">
        <w:rPr>
          <w:rFonts w:ascii="Times New Roman" w:hAnsi="Times New Roman" w:cs="Times New Roman"/>
          <w:sz w:val="28"/>
          <w:szCs w:val="28"/>
        </w:rPr>
        <w:t xml:space="preserve">any </w:t>
      </w:r>
      <w:r w:rsidR="00771904" w:rsidRPr="002D3A2A">
        <w:rPr>
          <w:rFonts w:ascii="Times New Roman" w:hAnsi="Times New Roman" w:cs="Times New Roman"/>
          <w:sz w:val="28"/>
          <w:szCs w:val="28"/>
        </w:rPr>
        <w:t>passport evidence of the trips to China to purchase the goods.</w:t>
      </w:r>
      <w:r w:rsidR="00F235AF" w:rsidRPr="002D3A2A">
        <w:rPr>
          <w:rFonts w:ascii="Times New Roman" w:hAnsi="Times New Roman" w:cs="Times New Roman"/>
          <w:sz w:val="28"/>
          <w:szCs w:val="28"/>
        </w:rPr>
        <w:t xml:space="preserve"> </w:t>
      </w:r>
      <w:r w:rsidR="000831B3" w:rsidRPr="002D3A2A">
        <w:rPr>
          <w:rFonts w:ascii="Times New Roman" w:hAnsi="Times New Roman" w:cs="Times New Roman"/>
          <w:sz w:val="28"/>
          <w:szCs w:val="28"/>
        </w:rPr>
        <w:t xml:space="preserve">When </w:t>
      </w:r>
      <w:r w:rsidR="00F235AF" w:rsidRPr="002D3A2A">
        <w:rPr>
          <w:rFonts w:ascii="Times New Roman" w:hAnsi="Times New Roman" w:cs="Times New Roman"/>
          <w:sz w:val="28"/>
          <w:szCs w:val="28"/>
        </w:rPr>
        <w:t>questioned on this issue, the</w:t>
      </w:r>
      <w:r w:rsidR="000831B3" w:rsidRPr="002D3A2A">
        <w:rPr>
          <w:rFonts w:ascii="Times New Roman" w:hAnsi="Times New Roman" w:cs="Times New Roman"/>
          <w:sz w:val="28"/>
          <w:szCs w:val="28"/>
        </w:rPr>
        <w:t>y</w:t>
      </w:r>
      <w:r w:rsidR="00F235AF" w:rsidRPr="002D3A2A">
        <w:rPr>
          <w:rFonts w:ascii="Times New Roman" w:hAnsi="Times New Roman" w:cs="Times New Roman"/>
          <w:sz w:val="28"/>
          <w:szCs w:val="28"/>
        </w:rPr>
        <w:t xml:space="preserve"> conceded that the goods were sourced from only three suppli</w:t>
      </w:r>
      <w:r w:rsidR="003B5845" w:rsidRPr="002D3A2A">
        <w:rPr>
          <w:rFonts w:ascii="Times New Roman" w:hAnsi="Times New Roman" w:cs="Times New Roman"/>
          <w:sz w:val="28"/>
          <w:szCs w:val="28"/>
        </w:rPr>
        <w:t>ers that were named in the sale</w:t>
      </w:r>
      <w:r w:rsidR="00F235AF" w:rsidRPr="002D3A2A">
        <w:rPr>
          <w:rFonts w:ascii="Times New Roman" w:hAnsi="Times New Roman" w:cs="Times New Roman"/>
          <w:sz w:val="28"/>
          <w:szCs w:val="28"/>
        </w:rPr>
        <w:t xml:space="preserve"> </w:t>
      </w:r>
      <w:r w:rsidR="003B5845" w:rsidRPr="002D3A2A">
        <w:rPr>
          <w:rFonts w:ascii="Times New Roman" w:hAnsi="Times New Roman" w:cs="Times New Roman"/>
          <w:sz w:val="28"/>
          <w:szCs w:val="28"/>
        </w:rPr>
        <w:t>agreements</w:t>
      </w:r>
      <w:r w:rsidR="000831B3" w:rsidRPr="002D3A2A">
        <w:rPr>
          <w:rFonts w:ascii="Times New Roman" w:hAnsi="Times New Roman" w:cs="Times New Roman"/>
          <w:sz w:val="28"/>
          <w:szCs w:val="28"/>
        </w:rPr>
        <w:t>. T</w:t>
      </w:r>
      <w:r w:rsidR="00182007" w:rsidRPr="002D3A2A">
        <w:rPr>
          <w:rFonts w:ascii="Times New Roman" w:hAnsi="Times New Roman" w:cs="Times New Roman"/>
          <w:sz w:val="28"/>
          <w:szCs w:val="28"/>
        </w:rPr>
        <w:t>his concession</w:t>
      </w:r>
      <w:r w:rsidR="000831B3" w:rsidRPr="002D3A2A">
        <w:rPr>
          <w:rFonts w:ascii="Times New Roman" w:hAnsi="Times New Roman" w:cs="Times New Roman"/>
          <w:sz w:val="28"/>
          <w:szCs w:val="28"/>
        </w:rPr>
        <w:t xml:space="preserve"> contradicted the respondents’ initial explanation </w:t>
      </w:r>
      <w:r w:rsidR="000831B3" w:rsidRPr="002D3A2A">
        <w:rPr>
          <w:rFonts w:ascii="Times New Roman" w:hAnsi="Times New Roman" w:cs="Times New Roman"/>
          <w:sz w:val="28"/>
          <w:szCs w:val="28"/>
        </w:rPr>
        <w:lastRenderedPageBreak/>
        <w:t xml:space="preserve">that their employees had bought the goods at various markets in China at very low prices. </w:t>
      </w:r>
    </w:p>
    <w:p w14:paraId="31DB94F3" w14:textId="77777777" w:rsidR="00202D41" w:rsidRPr="002D3A2A" w:rsidRDefault="00202D41" w:rsidP="00202D41">
      <w:pPr>
        <w:pStyle w:val="ListParagraph"/>
        <w:spacing w:after="0" w:line="360" w:lineRule="auto"/>
        <w:ind w:left="0"/>
        <w:jc w:val="both"/>
        <w:rPr>
          <w:rFonts w:ascii="Times New Roman" w:hAnsi="Times New Roman" w:cs="Times New Roman"/>
          <w:sz w:val="28"/>
          <w:szCs w:val="28"/>
        </w:rPr>
      </w:pPr>
    </w:p>
    <w:p w14:paraId="4FEDF0BD" w14:textId="752FCDD4" w:rsidR="00906DA5" w:rsidRPr="002D3A2A" w:rsidRDefault="007545E3" w:rsidP="006D435C">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On 21 January 2020 and in terms of a customs mutual assistance agreement, the GACC</w:t>
      </w:r>
      <w:r w:rsidR="00A849FC" w:rsidRPr="002D3A2A">
        <w:rPr>
          <w:rFonts w:ascii="Times New Roman" w:hAnsi="Times New Roman" w:cs="Times New Roman"/>
          <w:sz w:val="28"/>
          <w:szCs w:val="28"/>
        </w:rPr>
        <w:t>,</w:t>
      </w:r>
      <w:r w:rsidRPr="002D3A2A">
        <w:rPr>
          <w:rFonts w:ascii="Times New Roman" w:hAnsi="Times New Roman" w:cs="Times New Roman"/>
          <w:sz w:val="28"/>
          <w:szCs w:val="28"/>
        </w:rPr>
        <w:t xml:space="preserve"> provided SARS with </w:t>
      </w:r>
      <w:r w:rsidR="00FB6799" w:rsidRPr="002D3A2A">
        <w:rPr>
          <w:rFonts w:ascii="Times New Roman" w:hAnsi="Times New Roman" w:cs="Times New Roman"/>
          <w:sz w:val="28"/>
          <w:szCs w:val="28"/>
        </w:rPr>
        <w:t>the Chinese export dec</w:t>
      </w:r>
      <w:r w:rsidR="00A849FC" w:rsidRPr="002D3A2A">
        <w:rPr>
          <w:rFonts w:ascii="Times New Roman" w:hAnsi="Times New Roman" w:cs="Times New Roman"/>
          <w:sz w:val="28"/>
          <w:szCs w:val="28"/>
        </w:rPr>
        <w:t>larations submitted to the GACC</w:t>
      </w:r>
      <w:r w:rsidR="00FB6799" w:rsidRPr="002D3A2A">
        <w:rPr>
          <w:rFonts w:ascii="Times New Roman" w:hAnsi="Times New Roman" w:cs="Times New Roman"/>
          <w:sz w:val="28"/>
          <w:szCs w:val="28"/>
        </w:rPr>
        <w:t xml:space="preserve"> </w:t>
      </w:r>
      <w:r w:rsidR="00D634CF" w:rsidRPr="002D3A2A">
        <w:rPr>
          <w:rFonts w:ascii="Times New Roman" w:hAnsi="Times New Roman" w:cs="Times New Roman"/>
          <w:sz w:val="28"/>
          <w:szCs w:val="28"/>
        </w:rPr>
        <w:t>in relation to</w:t>
      </w:r>
      <w:r w:rsidR="00FB6799" w:rsidRPr="002D3A2A">
        <w:rPr>
          <w:rFonts w:ascii="Times New Roman" w:hAnsi="Times New Roman" w:cs="Times New Roman"/>
          <w:sz w:val="28"/>
          <w:szCs w:val="28"/>
        </w:rPr>
        <w:t xml:space="preserve"> eight of the </w:t>
      </w:r>
      <w:r w:rsidR="009B5855" w:rsidRPr="002D3A2A">
        <w:rPr>
          <w:rFonts w:ascii="Times New Roman" w:hAnsi="Times New Roman" w:cs="Times New Roman"/>
          <w:sz w:val="28"/>
          <w:szCs w:val="28"/>
        </w:rPr>
        <w:t xml:space="preserve">11 </w:t>
      </w:r>
      <w:r w:rsidR="00FB6799" w:rsidRPr="002D3A2A">
        <w:rPr>
          <w:rFonts w:ascii="Times New Roman" w:hAnsi="Times New Roman" w:cs="Times New Roman"/>
          <w:sz w:val="28"/>
          <w:szCs w:val="28"/>
        </w:rPr>
        <w:t xml:space="preserve">containers in the first application (the export declarations). These </w:t>
      </w:r>
      <w:r w:rsidR="00446C1D" w:rsidRPr="002D3A2A">
        <w:rPr>
          <w:rFonts w:ascii="Times New Roman" w:hAnsi="Times New Roman" w:cs="Times New Roman"/>
          <w:sz w:val="28"/>
          <w:szCs w:val="28"/>
        </w:rPr>
        <w:t xml:space="preserve">declarations </w:t>
      </w:r>
      <w:r w:rsidR="00FB6799" w:rsidRPr="002D3A2A">
        <w:rPr>
          <w:rFonts w:ascii="Times New Roman" w:hAnsi="Times New Roman" w:cs="Times New Roman"/>
          <w:sz w:val="28"/>
          <w:szCs w:val="28"/>
        </w:rPr>
        <w:t>showed that the invoice prices furnished by the respondents to SARS were impossibly low – the prices stated in the export declarations were</w:t>
      </w:r>
      <w:r w:rsidR="006852F2" w:rsidRPr="002D3A2A">
        <w:rPr>
          <w:rFonts w:ascii="Times New Roman" w:hAnsi="Times New Roman" w:cs="Times New Roman"/>
          <w:sz w:val="28"/>
          <w:szCs w:val="28"/>
        </w:rPr>
        <w:t xml:space="preserve"> </w:t>
      </w:r>
      <w:r w:rsidR="00FB6799" w:rsidRPr="002D3A2A">
        <w:rPr>
          <w:rFonts w:ascii="Times New Roman" w:hAnsi="Times New Roman" w:cs="Times New Roman"/>
          <w:sz w:val="28"/>
          <w:szCs w:val="28"/>
        </w:rPr>
        <w:t>1000%</w:t>
      </w:r>
      <w:r w:rsidR="00924CBA" w:rsidRPr="002D3A2A">
        <w:rPr>
          <w:rFonts w:ascii="Times New Roman" w:hAnsi="Times New Roman" w:cs="Times New Roman"/>
          <w:sz w:val="28"/>
          <w:szCs w:val="28"/>
        </w:rPr>
        <w:t xml:space="preserve"> </w:t>
      </w:r>
      <w:r w:rsidR="009258E0" w:rsidRPr="002D3A2A">
        <w:rPr>
          <w:rFonts w:ascii="Times New Roman" w:hAnsi="Times New Roman" w:cs="Times New Roman"/>
          <w:sz w:val="28"/>
          <w:szCs w:val="28"/>
        </w:rPr>
        <w:t xml:space="preserve">more than the prices </w:t>
      </w:r>
      <w:r w:rsidR="00924CBA" w:rsidRPr="002D3A2A">
        <w:rPr>
          <w:rFonts w:ascii="Times New Roman" w:hAnsi="Times New Roman" w:cs="Times New Roman"/>
          <w:sz w:val="28"/>
          <w:szCs w:val="28"/>
        </w:rPr>
        <w:t>declared to SARS</w:t>
      </w:r>
      <w:r w:rsidR="00FB6799" w:rsidRPr="002D3A2A">
        <w:rPr>
          <w:rFonts w:ascii="Times New Roman" w:hAnsi="Times New Roman" w:cs="Times New Roman"/>
          <w:sz w:val="28"/>
          <w:szCs w:val="28"/>
        </w:rPr>
        <w:t>.</w:t>
      </w:r>
      <w:r w:rsidR="0041338D" w:rsidRPr="002D3A2A">
        <w:rPr>
          <w:rFonts w:ascii="Times New Roman" w:hAnsi="Times New Roman" w:cs="Times New Roman"/>
          <w:sz w:val="28"/>
          <w:szCs w:val="28"/>
        </w:rPr>
        <w:t xml:space="preserve"> It wa</w:t>
      </w:r>
      <w:r w:rsidR="00447B1E" w:rsidRPr="002D3A2A">
        <w:rPr>
          <w:rFonts w:ascii="Times New Roman" w:hAnsi="Times New Roman" w:cs="Times New Roman"/>
          <w:sz w:val="28"/>
          <w:szCs w:val="28"/>
        </w:rPr>
        <w:t xml:space="preserve">s not disputed that the export declarations relate to </w:t>
      </w:r>
      <w:r w:rsidR="009C5EB4" w:rsidRPr="002D3A2A">
        <w:rPr>
          <w:rFonts w:ascii="Times New Roman" w:hAnsi="Times New Roman" w:cs="Times New Roman"/>
          <w:sz w:val="28"/>
          <w:szCs w:val="28"/>
        </w:rPr>
        <w:t>eight</w:t>
      </w:r>
      <w:r w:rsidR="00447B1E" w:rsidRPr="002D3A2A">
        <w:rPr>
          <w:rFonts w:ascii="Times New Roman" w:hAnsi="Times New Roman" w:cs="Times New Roman"/>
          <w:sz w:val="28"/>
          <w:szCs w:val="28"/>
        </w:rPr>
        <w:t xml:space="preserve"> containers that formed the subject matter of the first application. </w:t>
      </w:r>
    </w:p>
    <w:p w14:paraId="763960EB" w14:textId="77777777" w:rsidR="00906DA5" w:rsidRPr="002D3A2A" w:rsidRDefault="00906DA5" w:rsidP="00906DA5">
      <w:pPr>
        <w:pStyle w:val="ListParagraph"/>
        <w:spacing w:after="0" w:line="360" w:lineRule="auto"/>
        <w:ind w:left="0"/>
        <w:jc w:val="both"/>
        <w:rPr>
          <w:rFonts w:ascii="Times New Roman" w:hAnsi="Times New Roman" w:cs="Times New Roman"/>
          <w:sz w:val="28"/>
          <w:szCs w:val="28"/>
        </w:rPr>
      </w:pPr>
    </w:p>
    <w:p w14:paraId="1248048B" w14:textId="77777777" w:rsidR="007B1B37" w:rsidRPr="002D3A2A" w:rsidRDefault="00C54DC2" w:rsidP="006D435C">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On </w:t>
      </w:r>
      <w:r w:rsidR="007B1B37" w:rsidRPr="002D3A2A">
        <w:rPr>
          <w:rFonts w:ascii="Times New Roman" w:hAnsi="Times New Roman" w:cs="Times New Roman"/>
          <w:sz w:val="28"/>
          <w:szCs w:val="28"/>
        </w:rPr>
        <w:t xml:space="preserve">24 February 2020 the respondents </w:t>
      </w:r>
      <w:r w:rsidRPr="002D3A2A">
        <w:rPr>
          <w:rFonts w:ascii="Times New Roman" w:hAnsi="Times New Roman" w:cs="Times New Roman"/>
          <w:sz w:val="28"/>
          <w:szCs w:val="28"/>
        </w:rPr>
        <w:t>launched an application in the high c</w:t>
      </w:r>
      <w:r w:rsidR="007B1B37" w:rsidRPr="002D3A2A">
        <w:rPr>
          <w:rFonts w:ascii="Times New Roman" w:hAnsi="Times New Roman" w:cs="Times New Roman"/>
          <w:sz w:val="28"/>
          <w:szCs w:val="28"/>
        </w:rPr>
        <w:t>ourt to</w:t>
      </w:r>
      <w:r w:rsidRPr="002D3A2A">
        <w:rPr>
          <w:rFonts w:ascii="Times New Roman" w:hAnsi="Times New Roman" w:cs="Times New Roman"/>
          <w:sz w:val="28"/>
          <w:szCs w:val="28"/>
        </w:rPr>
        <w:t xml:space="preserve"> review and set aside SARS’ decision to detain the 19 containers, and that it be ordered to release the goods. They also sought an order that the one-month period specified in s 96(1)</w:t>
      </w:r>
      <w:r w:rsidRPr="002D3A2A">
        <w:rPr>
          <w:rFonts w:ascii="Times New Roman" w:hAnsi="Times New Roman" w:cs="Times New Roman"/>
          <w:i/>
          <w:sz w:val="28"/>
          <w:szCs w:val="28"/>
        </w:rPr>
        <w:t>(a)</w:t>
      </w:r>
      <w:r w:rsidRPr="002D3A2A">
        <w:rPr>
          <w:rFonts w:ascii="Times New Roman" w:hAnsi="Times New Roman" w:cs="Times New Roman"/>
          <w:sz w:val="28"/>
          <w:szCs w:val="28"/>
        </w:rPr>
        <w:t xml:space="preserve">(i) of the Act be reduced so as to render the application compliant with that provision, alternatively that non-compliance with the time period be condoned. </w:t>
      </w:r>
    </w:p>
    <w:p w14:paraId="6FE314FF" w14:textId="77777777" w:rsidR="00C54DC2" w:rsidRPr="002D3A2A" w:rsidRDefault="00C54DC2" w:rsidP="00C54DC2">
      <w:pPr>
        <w:pStyle w:val="ListParagraph"/>
        <w:spacing w:after="0" w:line="360" w:lineRule="auto"/>
        <w:ind w:left="0"/>
        <w:jc w:val="both"/>
        <w:rPr>
          <w:rFonts w:ascii="Times New Roman" w:hAnsi="Times New Roman" w:cs="Times New Roman"/>
          <w:sz w:val="28"/>
          <w:szCs w:val="28"/>
        </w:rPr>
      </w:pPr>
    </w:p>
    <w:p w14:paraId="75A965EE" w14:textId="7425C348" w:rsidR="00447B1E" w:rsidRPr="002D3A2A" w:rsidRDefault="00906DA5" w:rsidP="006D435C">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On 6 March 2020 the export declarations were furnished to the respondents as attachments to notices of intent </w:t>
      </w:r>
      <w:r w:rsidR="00DC75B5" w:rsidRPr="002D3A2A">
        <w:rPr>
          <w:rFonts w:ascii="Times New Roman" w:hAnsi="Times New Roman" w:cs="Times New Roman"/>
          <w:sz w:val="28"/>
          <w:szCs w:val="28"/>
        </w:rPr>
        <w:t xml:space="preserve">in relation to the containers in the first application. The respondents were informed that </w:t>
      </w:r>
      <w:r w:rsidRPr="002D3A2A">
        <w:rPr>
          <w:rFonts w:ascii="Times New Roman" w:hAnsi="Times New Roman" w:cs="Times New Roman"/>
          <w:sz w:val="28"/>
          <w:szCs w:val="28"/>
        </w:rPr>
        <w:t xml:space="preserve">SARS </w:t>
      </w:r>
      <w:r w:rsidR="00DC75B5" w:rsidRPr="002D3A2A">
        <w:rPr>
          <w:rFonts w:ascii="Times New Roman" w:hAnsi="Times New Roman" w:cs="Times New Roman"/>
          <w:sz w:val="28"/>
          <w:szCs w:val="28"/>
        </w:rPr>
        <w:t xml:space="preserve">intended </w:t>
      </w:r>
      <w:r w:rsidRPr="002D3A2A">
        <w:rPr>
          <w:rFonts w:ascii="Times New Roman" w:hAnsi="Times New Roman" w:cs="Times New Roman"/>
          <w:sz w:val="28"/>
          <w:szCs w:val="28"/>
        </w:rPr>
        <w:t xml:space="preserve">to hold them liable for underpaid customs duty and VAT, to declare the goods liable to forfeiture under s 87 of the Act, and to </w:t>
      </w:r>
      <w:r w:rsidR="00091327" w:rsidRPr="002D3A2A">
        <w:rPr>
          <w:rFonts w:ascii="Times New Roman" w:hAnsi="Times New Roman" w:cs="Times New Roman"/>
          <w:sz w:val="28"/>
          <w:szCs w:val="28"/>
        </w:rPr>
        <w:t>impose an amount in lieu of forfeiture in terms of s 88(2) of the Act. They were given an opportunity to submit evidence and make submissions concerning the intended action</w:t>
      </w:r>
      <w:r w:rsidR="00447B1E" w:rsidRPr="002D3A2A">
        <w:rPr>
          <w:rFonts w:ascii="Times New Roman" w:hAnsi="Times New Roman" w:cs="Times New Roman"/>
          <w:sz w:val="28"/>
          <w:szCs w:val="28"/>
        </w:rPr>
        <w:t xml:space="preserve">. Their </w:t>
      </w:r>
      <w:r w:rsidR="00091327" w:rsidRPr="002D3A2A">
        <w:rPr>
          <w:rFonts w:ascii="Times New Roman" w:hAnsi="Times New Roman" w:cs="Times New Roman"/>
          <w:sz w:val="28"/>
          <w:szCs w:val="28"/>
        </w:rPr>
        <w:t xml:space="preserve">attention was drawn to the reverse onus provisions in s 102(4) of the Act, namely that in any dispute </w:t>
      </w:r>
      <w:r w:rsidR="00091327" w:rsidRPr="002D3A2A">
        <w:rPr>
          <w:rFonts w:ascii="Times New Roman" w:hAnsi="Times New Roman" w:cs="Times New Roman"/>
          <w:sz w:val="28"/>
          <w:szCs w:val="28"/>
        </w:rPr>
        <w:lastRenderedPageBreak/>
        <w:t xml:space="preserve">as to whether the proper duty has been paid, </w:t>
      </w:r>
      <w:r w:rsidR="00447B1E" w:rsidRPr="002D3A2A">
        <w:rPr>
          <w:rFonts w:ascii="Times New Roman" w:hAnsi="Times New Roman" w:cs="Times New Roman"/>
          <w:sz w:val="28"/>
          <w:szCs w:val="28"/>
        </w:rPr>
        <w:t>it shall be presumed that such duty has not been paid,</w:t>
      </w:r>
      <w:r w:rsidR="00410369" w:rsidRPr="002D3A2A">
        <w:rPr>
          <w:rFonts w:ascii="Times New Roman" w:hAnsi="Times New Roman" w:cs="Times New Roman"/>
          <w:sz w:val="28"/>
          <w:szCs w:val="28"/>
        </w:rPr>
        <w:t xml:space="preserve"> unless the contrary is proved.</w:t>
      </w:r>
      <w:r w:rsidR="00410369" w:rsidRPr="002D3A2A">
        <w:rPr>
          <w:rStyle w:val="FootnoteReference"/>
          <w:rFonts w:ascii="Times New Roman" w:hAnsi="Times New Roman" w:cs="Times New Roman"/>
          <w:sz w:val="28"/>
          <w:szCs w:val="28"/>
        </w:rPr>
        <w:footnoteReference w:id="2"/>
      </w:r>
      <w:r w:rsidR="00CB1CA4" w:rsidRPr="002D3A2A">
        <w:rPr>
          <w:rFonts w:ascii="Times New Roman" w:hAnsi="Times New Roman" w:cs="Times New Roman"/>
          <w:sz w:val="28"/>
          <w:szCs w:val="28"/>
        </w:rPr>
        <w:t xml:space="preserve"> </w:t>
      </w:r>
    </w:p>
    <w:p w14:paraId="7EB85FDB" w14:textId="77777777" w:rsidR="00447B1E" w:rsidRPr="002D3A2A" w:rsidRDefault="00447B1E" w:rsidP="00447B1E">
      <w:pPr>
        <w:pStyle w:val="ListParagraph"/>
        <w:spacing w:after="0" w:line="360" w:lineRule="auto"/>
        <w:ind w:left="0"/>
        <w:jc w:val="both"/>
        <w:rPr>
          <w:rFonts w:ascii="Times New Roman" w:hAnsi="Times New Roman" w:cs="Times New Roman"/>
          <w:sz w:val="28"/>
          <w:szCs w:val="28"/>
        </w:rPr>
      </w:pPr>
    </w:p>
    <w:p w14:paraId="02425344" w14:textId="45F82FAF" w:rsidR="000D547B" w:rsidRPr="002D3A2A" w:rsidRDefault="00DC75B5" w:rsidP="00FC165F">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On 13 March 2020 SARS received a report by </w:t>
      </w:r>
      <w:r w:rsidR="006D435C" w:rsidRPr="002D3A2A">
        <w:rPr>
          <w:rFonts w:ascii="Times New Roman" w:hAnsi="Times New Roman" w:cs="Times New Roman"/>
          <w:sz w:val="28"/>
          <w:szCs w:val="28"/>
        </w:rPr>
        <w:t xml:space="preserve">Dr </w:t>
      </w:r>
      <w:r w:rsidR="007B0DB7" w:rsidRPr="002D3A2A">
        <w:rPr>
          <w:rFonts w:ascii="Times New Roman" w:hAnsi="Times New Roman" w:cs="Times New Roman"/>
          <w:sz w:val="28"/>
          <w:szCs w:val="28"/>
        </w:rPr>
        <w:t>Jaywant Irkhede, an expert in tex</w:t>
      </w:r>
      <w:r w:rsidR="006D435C" w:rsidRPr="002D3A2A">
        <w:rPr>
          <w:rFonts w:ascii="Times New Roman" w:hAnsi="Times New Roman" w:cs="Times New Roman"/>
          <w:sz w:val="28"/>
          <w:szCs w:val="28"/>
        </w:rPr>
        <w:t xml:space="preserve">tile </w:t>
      </w:r>
      <w:r w:rsidR="007B0DB7" w:rsidRPr="002D3A2A">
        <w:rPr>
          <w:rFonts w:ascii="Times New Roman" w:hAnsi="Times New Roman" w:cs="Times New Roman"/>
          <w:sz w:val="28"/>
          <w:szCs w:val="28"/>
        </w:rPr>
        <w:t>technology</w:t>
      </w:r>
      <w:r w:rsidR="00FC2385" w:rsidRPr="002D3A2A">
        <w:rPr>
          <w:rFonts w:ascii="Times New Roman" w:hAnsi="Times New Roman" w:cs="Times New Roman"/>
          <w:sz w:val="28"/>
          <w:szCs w:val="28"/>
        </w:rPr>
        <w:t xml:space="preserve">. He was </w:t>
      </w:r>
      <w:r w:rsidRPr="002D3A2A">
        <w:rPr>
          <w:rFonts w:ascii="Times New Roman" w:hAnsi="Times New Roman" w:cs="Times New Roman"/>
          <w:sz w:val="28"/>
          <w:szCs w:val="28"/>
        </w:rPr>
        <w:t xml:space="preserve">instructed </w:t>
      </w:r>
      <w:r w:rsidR="006D435C" w:rsidRPr="002D3A2A">
        <w:rPr>
          <w:rFonts w:ascii="Times New Roman" w:hAnsi="Times New Roman" w:cs="Times New Roman"/>
          <w:sz w:val="28"/>
          <w:szCs w:val="28"/>
        </w:rPr>
        <w:t>to ex</w:t>
      </w:r>
      <w:r w:rsidR="007B0DB7" w:rsidRPr="002D3A2A">
        <w:rPr>
          <w:rFonts w:ascii="Times New Roman" w:hAnsi="Times New Roman" w:cs="Times New Roman"/>
          <w:sz w:val="28"/>
          <w:szCs w:val="28"/>
        </w:rPr>
        <w:t xml:space="preserve">amine </w:t>
      </w:r>
      <w:r w:rsidR="00FC2385" w:rsidRPr="002D3A2A">
        <w:rPr>
          <w:rFonts w:ascii="Times New Roman" w:hAnsi="Times New Roman" w:cs="Times New Roman"/>
          <w:sz w:val="28"/>
          <w:szCs w:val="28"/>
        </w:rPr>
        <w:t xml:space="preserve">and compare </w:t>
      </w:r>
      <w:r w:rsidR="007B0DB7" w:rsidRPr="002D3A2A">
        <w:rPr>
          <w:rFonts w:ascii="Times New Roman" w:hAnsi="Times New Roman" w:cs="Times New Roman"/>
          <w:sz w:val="28"/>
          <w:szCs w:val="28"/>
        </w:rPr>
        <w:t xml:space="preserve">samples of clothing </w:t>
      </w:r>
      <w:r w:rsidR="00FC2385" w:rsidRPr="002D3A2A">
        <w:rPr>
          <w:rFonts w:ascii="Times New Roman" w:hAnsi="Times New Roman" w:cs="Times New Roman"/>
          <w:sz w:val="28"/>
          <w:szCs w:val="28"/>
        </w:rPr>
        <w:t>taken from each of the 19 containers with samples previously taken from eight containers in the first application, to determine whether they were similar</w:t>
      </w:r>
      <w:r w:rsidR="00C6564A" w:rsidRPr="002D3A2A">
        <w:rPr>
          <w:rFonts w:ascii="Times New Roman" w:hAnsi="Times New Roman" w:cs="Times New Roman"/>
          <w:sz w:val="28"/>
          <w:szCs w:val="28"/>
        </w:rPr>
        <w:t>,</w:t>
      </w:r>
      <w:r w:rsidR="00FC2385" w:rsidRPr="002D3A2A">
        <w:rPr>
          <w:rFonts w:ascii="Times New Roman" w:hAnsi="Times New Roman" w:cs="Times New Roman"/>
          <w:sz w:val="28"/>
          <w:szCs w:val="28"/>
        </w:rPr>
        <w:t xml:space="preserve"> and to assess their value. </w:t>
      </w:r>
      <w:r w:rsidRPr="002D3A2A">
        <w:rPr>
          <w:rFonts w:ascii="Times New Roman" w:hAnsi="Times New Roman" w:cs="Times New Roman"/>
          <w:sz w:val="28"/>
          <w:szCs w:val="28"/>
        </w:rPr>
        <w:t>Dr Irkhede</w:t>
      </w:r>
      <w:r w:rsidR="00FC165F" w:rsidRPr="002D3A2A">
        <w:rPr>
          <w:rFonts w:ascii="Times New Roman" w:hAnsi="Times New Roman" w:cs="Times New Roman"/>
          <w:sz w:val="28"/>
          <w:szCs w:val="28"/>
        </w:rPr>
        <w:t xml:space="preserve"> concluded </w:t>
      </w:r>
      <w:r w:rsidR="00FC2385" w:rsidRPr="002D3A2A">
        <w:rPr>
          <w:rFonts w:ascii="Times New Roman" w:hAnsi="Times New Roman" w:cs="Times New Roman"/>
          <w:sz w:val="28"/>
          <w:szCs w:val="28"/>
        </w:rPr>
        <w:t xml:space="preserve">that the samples of the two consignments were similar, and that the values which he had determined were similar </w:t>
      </w:r>
      <w:r w:rsidR="00FC165F" w:rsidRPr="002D3A2A">
        <w:rPr>
          <w:rFonts w:ascii="Times New Roman" w:hAnsi="Times New Roman" w:cs="Times New Roman"/>
          <w:sz w:val="28"/>
          <w:szCs w:val="28"/>
        </w:rPr>
        <w:t xml:space="preserve">to </w:t>
      </w:r>
      <w:r w:rsidR="00FC2385" w:rsidRPr="002D3A2A">
        <w:rPr>
          <w:rFonts w:ascii="Times New Roman" w:hAnsi="Times New Roman" w:cs="Times New Roman"/>
          <w:sz w:val="28"/>
          <w:szCs w:val="28"/>
        </w:rPr>
        <w:t xml:space="preserve">or in the same range as the prices or values declared in the Chinese </w:t>
      </w:r>
      <w:r w:rsidR="006D435C" w:rsidRPr="002D3A2A">
        <w:rPr>
          <w:rFonts w:ascii="Times New Roman" w:hAnsi="Times New Roman" w:cs="Times New Roman"/>
          <w:sz w:val="28"/>
          <w:szCs w:val="28"/>
        </w:rPr>
        <w:t xml:space="preserve">export declarations. </w:t>
      </w:r>
      <w:r w:rsidR="00FC165F" w:rsidRPr="002D3A2A">
        <w:rPr>
          <w:rFonts w:ascii="Times New Roman" w:hAnsi="Times New Roman" w:cs="Times New Roman"/>
          <w:sz w:val="28"/>
          <w:szCs w:val="28"/>
        </w:rPr>
        <w:t xml:space="preserve">Dr Irkhede’s valuation was prepared independently of the export declarations. </w:t>
      </w:r>
    </w:p>
    <w:p w14:paraId="4581112C" w14:textId="77777777" w:rsidR="00A51E0E" w:rsidRPr="002D3A2A" w:rsidRDefault="00A51E0E" w:rsidP="00A51E0E">
      <w:pPr>
        <w:pStyle w:val="ListParagraph"/>
        <w:spacing w:after="0" w:line="360" w:lineRule="auto"/>
        <w:ind w:left="0"/>
        <w:jc w:val="both"/>
        <w:rPr>
          <w:rFonts w:ascii="Times New Roman" w:hAnsi="Times New Roman" w:cs="Times New Roman"/>
          <w:sz w:val="28"/>
          <w:szCs w:val="28"/>
        </w:rPr>
      </w:pPr>
    </w:p>
    <w:p w14:paraId="037CAB0B" w14:textId="09C57A82" w:rsidR="007B1B37" w:rsidRPr="002D3A2A" w:rsidRDefault="00733C78" w:rsidP="00530FAC">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On 16 March 2020 </w:t>
      </w:r>
      <w:r w:rsidR="00981327" w:rsidRPr="002D3A2A">
        <w:rPr>
          <w:rFonts w:ascii="Times New Roman" w:hAnsi="Times New Roman" w:cs="Times New Roman"/>
          <w:sz w:val="28"/>
          <w:szCs w:val="28"/>
        </w:rPr>
        <w:t xml:space="preserve">the respondents </w:t>
      </w:r>
      <w:r w:rsidR="007B1B37" w:rsidRPr="002D3A2A">
        <w:rPr>
          <w:rFonts w:ascii="Times New Roman" w:hAnsi="Times New Roman" w:cs="Times New Roman"/>
          <w:sz w:val="28"/>
          <w:szCs w:val="28"/>
        </w:rPr>
        <w:t xml:space="preserve">were issued with </w:t>
      </w:r>
      <w:r w:rsidR="00981327" w:rsidRPr="002D3A2A">
        <w:rPr>
          <w:rFonts w:ascii="Times New Roman" w:hAnsi="Times New Roman" w:cs="Times New Roman"/>
          <w:sz w:val="28"/>
          <w:szCs w:val="28"/>
        </w:rPr>
        <w:t>a second notice of intent</w:t>
      </w:r>
      <w:r w:rsidRPr="002D3A2A">
        <w:rPr>
          <w:rFonts w:ascii="Times New Roman" w:hAnsi="Times New Roman" w:cs="Times New Roman"/>
          <w:sz w:val="28"/>
          <w:szCs w:val="28"/>
        </w:rPr>
        <w:t xml:space="preserve"> concerning the 19 containers. They were informed </w:t>
      </w:r>
      <w:r w:rsidR="00EB50C7" w:rsidRPr="002D3A2A">
        <w:rPr>
          <w:rFonts w:ascii="Times New Roman" w:hAnsi="Times New Roman" w:cs="Times New Roman"/>
          <w:sz w:val="28"/>
          <w:szCs w:val="28"/>
        </w:rPr>
        <w:t>of</w:t>
      </w:r>
      <w:r w:rsidRPr="002D3A2A">
        <w:rPr>
          <w:rFonts w:ascii="Times New Roman" w:hAnsi="Times New Roman" w:cs="Times New Roman"/>
          <w:sz w:val="28"/>
          <w:szCs w:val="28"/>
        </w:rPr>
        <w:t xml:space="preserve"> SARS inten</w:t>
      </w:r>
      <w:r w:rsidR="00EB50C7" w:rsidRPr="002D3A2A">
        <w:rPr>
          <w:rFonts w:ascii="Times New Roman" w:hAnsi="Times New Roman" w:cs="Times New Roman"/>
          <w:sz w:val="28"/>
          <w:szCs w:val="28"/>
        </w:rPr>
        <w:t>tion</w:t>
      </w:r>
      <w:r w:rsidRPr="002D3A2A">
        <w:rPr>
          <w:rFonts w:ascii="Times New Roman" w:hAnsi="Times New Roman" w:cs="Times New Roman"/>
          <w:sz w:val="28"/>
          <w:szCs w:val="28"/>
        </w:rPr>
        <w:t xml:space="preserve"> to seize the goods in terms of s 88(1)</w:t>
      </w:r>
      <w:r w:rsidRPr="002D3A2A">
        <w:rPr>
          <w:rFonts w:ascii="Times New Roman" w:hAnsi="Times New Roman" w:cs="Times New Roman"/>
          <w:i/>
          <w:sz w:val="28"/>
          <w:szCs w:val="28"/>
        </w:rPr>
        <w:t>(c)</w:t>
      </w:r>
      <w:r w:rsidR="00EB50C7" w:rsidRPr="002D3A2A">
        <w:rPr>
          <w:rFonts w:ascii="Times New Roman" w:hAnsi="Times New Roman" w:cs="Times New Roman"/>
          <w:sz w:val="28"/>
          <w:szCs w:val="28"/>
        </w:rPr>
        <w:t xml:space="preserve"> of the Act.</w:t>
      </w:r>
      <w:r w:rsidRPr="002D3A2A">
        <w:rPr>
          <w:rFonts w:ascii="Times New Roman" w:hAnsi="Times New Roman" w:cs="Times New Roman"/>
          <w:sz w:val="28"/>
          <w:szCs w:val="28"/>
        </w:rPr>
        <w:t xml:space="preserve"> As</w:t>
      </w:r>
      <w:r w:rsidR="007B1B37" w:rsidRPr="002D3A2A">
        <w:rPr>
          <w:rFonts w:ascii="Times New Roman" w:hAnsi="Times New Roman" w:cs="Times New Roman"/>
          <w:sz w:val="28"/>
          <w:szCs w:val="28"/>
        </w:rPr>
        <w:t xml:space="preserve"> with the first </w:t>
      </w:r>
      <w:r w:rsidRPr="002D3A2A">
        <w:rPr>
          <w:rFonts w:ascii="Times New Roman" w:hAnsi="Times New Roman" w:cs="Times New Roman"/>
          <w:sz w:val="28"/>
          <w:szCs w:val="28"/>
        </w:rPr>
        <w:t>notice of intent, the respondents were given an opportunity to present evidence</w:t>
      </w:r>
      <w:r w:rsidR="007B1B37" w:rsidRPr="002D3A2A">
        <w:rPr>
          <w:rFonts w:ascii="Times New Roman" w:hAnsi="Times New Roman" w:cs="Times New Roman"/>
          <w:sz w:val="28"/>
          <w:szCs w:val="28"/>
        </w:rPr>
        <w:t xml:space="preserve">, </w:t>
      </w:r>
      <w:r w:rsidRPr="002D3A2A">
        <w:rPr>
          <w:rFonts w:ascii="Times New Roman" w:hAnsi="Times New Roman" w:cs="Times New Roman"/>
          <w:sz w:val="28"/>
          <w:szCs w:val="28"/>
        </w:rPr>
        <w:t>make written submissions</w:t>
      </w:r>
      <w:r w:rsidR="00020273" w:rsidRPr="002D3A2A">
        <w:rPr>
          <w:rFonts w:ascii="Times New Roman" w:hAnsi="Times New Roman" w:cs="Times New Roman"/>
          <w:sz w:val="28"/>
          <w:szCs w:val="28"/>
        </w:rPr>
        <w:t>,</w:t>
      </w:r>
      <w:r w:rsidRPr="002D3A2A">
        <w:rPr>
          <w:rFonts w:ascii="Times New Roman" w:hAnsi="Times New Roman" w:cs="Times New Roman"/>
          <w:sz w:val="28"/>
          <w:szCs w:val="28"/>
        </w:rPr>
        <w:t xml:space="preserve"> </w:t>
      </w:r>
      <w:r w:rsidR="007B1B37" w:rsidRPr="002D3A2A">
        <w:rPr>
          <w:rFonts w:ascii="Times New Roman" w:hAnsi="Times New Roman" w:cs="Times New Roman"/>
          <w:sz w:val="28"/>
          <w:szCs w:val="28"/>
        </w:rPr>
        <w:t>and referred to s 102(4) of the Act.</w:t>
      </w:r>
    </w:p>
    <w:p w14:paraId="60BA783F" w14:textId="77777777" w:rsidR="007B1B37" w:rsidRPr="002D3A2A" w:rsidRDefault="007B1B37" w:rsidP="007B1B37">
      <w:pPr>
        <w:pStyle w:val="ListParagraph"/>
        <w:spacing w:after="0" w:line="360" w:lineRule="auto"/>
        <w:ind w:left="0"/>
        <w:jc w:val="both"/>
        <w:rPr>
          <w:rFonts w:ascii="Times New Roman" w:hAnsi="Times New Roman" w:cs="Times New Roman"/>
          <w:sz w:val="28"/>
          <w:szCs w:val="28"/>
        </w:rPr>
      </w:pPr>
    </w:p>
    <w:p w14:paraId="6CA3EC04" w14:textId="7E1B5FEC" w:rsidR="00032E83" w:rsidRPr="002D3A2A" w:rsidRDefault="007F5616" w:rsidP="00530FAC">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On </w:t>
      </w:r>
      <w:r w:rsidR="007B1B37" w:rsidRPr="002D3A2A">
        <w:rPr>
          <w:rFonts w:ascii="Times New Roman" w:hAnsi="Times New Roman" w:cs="Times New Roman"/>
          <w:sz w:val="28"/>
          <w:szCs w:val="28"/>
        </w:rPr>
        <w:t xml:space="preserve">30 March 2020 the respondents’ attorney </w:t>
      </w:r>
      <w:r w:rsidR="00C54DC2" w:rsidRPr="002D3A2A">
        <w:rPr>
          <w:rFonts w:ascii="Times New Roman" w:hAnsi="Times New Roman" w:cs="Times New Roman"/>
          <w:sz w:val="28"/>
          <w:szCs w:val="28"/>
        </w:rPr>
        <w:t xml:space="preserve">made written representations in respect of </w:t>
      </w:r>
      <w:r w:rsidR="007B1B37" w:rsidRPr="002D3A2A">
        <w:rPr>
          <w:rFonts w:ascii="Times New Roman" w:hAnsi="Times New Roman" w:cs="Times New Roman"/>
          <w:sz w:val="28"/>
          <w:szCs w:val="28"/>
        </w:rPr>
        <w:t xml:space="preserve">both notices of intent. </w:t>
      </w:r>
      <w:r w:rsidR="00C54DC2" w:rsidRPr="002D3A2A">
        <w:rPr>
          <w:rFonts w:ascii="Times New Roman" w:hAnsi="Times New Roman" w:cs="Times New Roman"/>
          <w:sz w:val="28"/>
          <w:szCs w:val="28"/>
        </w:rPr>
        <w:t>S</w:t>
      </w:r>
      <w:r w:rsidR="007B1B37" w:rsidRPr="002D3A2A">
        <w:rPr>
          <w:rFonts w:ascii="Times New Roman" w:hAnsi="Times New Roman" w:cs="Times New Roman"/>
          <w:sz w:val="28"/>
          <w:szCs w:val="28"/>
        </w:rPr>
        <w:t>tatements</w:t>
      </w:r>
      <w:r w:rsidR="00704D73" w:rsidRPr="002D3A2A">
        <w:rPr>
          <w:rFonts w:ascii="Times New Roman" w:hAnsi="Times New Roman" w:cs="Times New Roman"/>
          <w:sz w:val="28"/>
          <w:szCs w:val="28"/>
        </w:rPr>
        <w:t xml:space="preserve"> and affidavits by the </w:t>
      </w:r>
      <w:r w:rsidR="007B1B37" w:rsidRPr="002D3A2A">
        <w:rPr>
          <w:rFonts w:ascii="Times New Roman" w:hAnsi="Times New Roman" w:cs="Times New Roman"/>
          <w:sz w:val="28"/>
          <w:szCs w:val="28"/>
        </w:rPr>
        <w:t xml:space="preserve">Chinese </w:t>
      </w:r>
      <w:r w:rsidR="00704D73" w:rsidRPr="002D3A2A">
        <w:rPr>
          <w:rFonts w:ascii="Times New Roman" w:hAnsi="Times New Roman" w:cs="Times New Roman"/>
          <w:sz w:val="28"/>
          <w:szCs w:val="28"/>
        </w:rPr>
        <w:t xml:space="preserve">suppliers </w:t>
      </w:r>
      <w:r w:rsidR="00C54DC2" w:rsidRPr="002D3A2A">
        <w:rPr>
          <w:rFonts w:ascii="Times New Roman" w:hAnsi="Times New Roman" w:cs="Times New Roman"/>
          <w:sz w:val="28"/>
          <w:szCs w:val="28"/>
        </w:rPr>
        <w:t xml:space="preserve">were attached to the representations. </w:t>
      </w:r>
      <w:r w:rsidR="00EC62F5" w:rsidRPr="002D3A2A">
        <w:rPr>
          <w:rFonts w:ascii="Times New Roman" w:hAnsi="Times New Roman" w:cs="Times New Roman"/>
          <w:sz w:val="28"/>
          <w:szCs w:val="28"/>
        </w:rPr>
        <w:t>It was clear from these affidavits that the Chinese suppliers were wi</w:t>
      </w:r>
      <w:r w:rsidR="00032E83" w:rsidRPr="002D3A2A">
        <w:rPr>
          <w:rFonts w:ascii="Times New Roman" w:hAnsi="Times New Roman" w:cs="Times New Roman"/>
          <w:sz w:val="28"/>
          <w:szCs w:val="28"/>
        </w:rPr>
        <w:t xml:space="preserve">lling to assist the respondents, and </w:t>
      </w:r>
      <w:r w:rsidR="00762F78" w:rsidRPr="002D3A2A">
        <w:rPr>
          <w:rFonts w:ascii="Times New Roman" w:hAnsi="Times New Roman" w:cs="Times New Roman"/>
          <w:sz w:val="28"/>
          <w:szCs w:val="28"/>
        </w:rPr>
        <w:t xml:space="preserve">the </w:t>
      </w:r>
      <w:r w:rsidR="00032E83" w:rsidRPr="002D3A2A">
        <w:rPr>
          <w:rFonts w:ascii="Times New Roman" w:hAnsi="Times New Roman" w:cs="Times New Roman"/>
          <w:sz w:val="28"/>
          <w:szCs w:val="28"/>
        </w:rPr>
        <w:t xml:space="preserve">agreements allegedly concluded between </w:t>
      </w:r>
      <w:r w:rsidR="00762F78" w:rsidRPr="002D3A2A">
        <w:rPr>
          <w:rFonts w:ascii="Times New Roman" w:hAnsi="Times New Roman" w:cs="Times New Roman"/>
          <w:sz w:val="28"/>
          <w:szCs w:val="28"/>
        </w:rPr>
        <w:t xml:space="preserve">the suppliers </w:t>
      </w:r>
      <w:r w:rsidR="00032E83" w:rsidRPr="002D3A2A">
        <w:rPr>
          <w:rFonts w:ascii="Times New Roman" w:hAnsi="Times New Roman" w:cs="Times New Roman"/>
          <w:sz w:val="28"/>
          <w:szCs w:val="28"/>
        </w:rPr>
        <w:t xml:space="preserve">and the importers were </w:t>
      </w:r>
      <w:r w:rsidR="00032E83" w:rsidRPr="002D3A2A">
        <w:rPr>
          <w:rFonts w:ascii="Times New Roman" w:hAnsi="Times New Roman" w:cs="Times New Roman"/>
          <w:sz w:val="28"/>
          <w:szCs w:val="28"/>
        </w:rPr>
        <w:lastRenderedPageBreak/>
        <w:t xml:space="preserve">furnished to SARS. </w:t>
      </w:r>
      <w:r w:rsidR="00704D73" w:rsidRPr="002D3A2A">
        <w:rPr>
          <w:rFonts w:ascii="Times New Roman" w:hAnsi="Times New Roman" w:cs="Times New Roman"/>
          <w:sz w:val="28"/>
          <w:szCs w:val="28"/>
        </w:rPr>
        <w:t xml:space="preserve">The suppliers alleged that the importers did not pay the higher values in the export declarations. </w:t>
      </w:r>
      <w:r w:rsidR="009B5855" w:rsidRPr="002D3A2A">
        <w:rPr>
          <w:rFonts w:ascii="Times New Roman" w:hAnsi="Times New Roman" w:cs="Times New Roman"/>
          <w:sz w:val="28"/>
          <w:szCs w:val="28"/>
        </w:rPr>
        <w:t xml:space="preserve">In their representations the respondents </w:t>
      </w:r>
      <w:r w:rsidR="00C54DC2" w:rsidRPr="002D3A2A">
        <w:rPr>
          <w:rFonts w:ascii="Times New Roman" w:hAnsi="Times New Roman" w:cs="Times New Roman"/>
          <w:sz w:val="28"/>
          <w:szCs w:val="28"/>
        </w:rPr>
        <w:t>contended that the export declarations</w:t>
      </w:r>
      <w:r w:rsidR="0041338D" w:rsidRPr="002D3A2A">
        <w:rPr>
          <w:rFonts w:ascii="Times New Roman" w:hAnsi="Times New Roman" w:cs="Times New Roman"/>
          <w:sz w:val="28"/>
          <w:szCs w:val="28"/>
        </w:rPr>
        <w:t xml:space="preserve"> were ‘demonstrably false’ and ‘inadmissible and irrelevant’ for various reasons. </w:t>
      </w:r>
    </w:p>
    <w:p w14:paraId="67A23B34" w14:textId="77777777" w:rsidR="00032E83" w:rsidRPr="002D3A2A" w:rsidRDefault="00032E83" w:rsidP="00032E83">
      <w:pPr>
        <w:pStyle w:val="ListParagraph"/>
        <w:spacing w:after="0" w:line="360" w:lineRule="auto"/>
        <w:ind w:left="0"/>
        <w:jc w:val="both"/>
        <w:rPr>
          <w:rFonts w:ascii="Times New Roman" w:hAnsi="Times New Roman" w:cs="Times New Roman"/>
          <w:sz w:val="28"/>
          <w:szCs w:val="28"/>
        </w:rPr>
      </w:pPr>
    </w:p>
    <w:p w14:paraId="55C62D81" w14:textId="7B3BD53F" w:rsidR="0041338D" w:rsidRPr="002D3A2A" w:rsidRDefault="00341918" w:rsidP="00530FAC">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 reason given </w:t>
      </w:r>
      <w:r w:rsidR="00BC5699" w:rsidRPr="002D3A2A">
        <w:rPr>
          <w:rFonts w:ascii="Times New Roman" w:hAnsi="Times New Roman" w:cs="Times New Roman"/>
          <w:sz w:val="28"/>
          <w:szCs w:val="28"/>
        </w:rPr>
        <w:t xml:space="preserve">by the respondents </w:t>
      </w:r>
      <w:r w:rsidRPr="002D3A2A">
        <w:rPr>
          <w:rFonts w:ascii="Times New Roman" w:hAnsi="Times New Roman" w:cs="Times New Roman"/>
          <w:sz w:val="28"/>
          <w:szCs w:val="28"/>
        </w:rPr>
        <w:t xml:space="preserve">for the </w:t>
      </w:r>
      <w:r w:rsidR="00446C1D" w:rsidRPr="002D3A2A">
        <w:rPr>
          <w:rFonts w:ascii="Times New Roman" w:hAnsi="Times New Roman" w:cs="Times New Roman"/>
          <w:sz w:val="28"/>
          <w:szCs w:val="28"/>
        </w:rPr>
        <w:t xml:space="preserve">vast </w:t>
      </w:r>
      <w:r w:rsidRPr="002D3A2A">
        <w:rPr>
          <w:rFonts w:ascii="Times New Roman" w:hAnsi="Times New Roman" w:cs="Times New Roman"/>
          <w:sz w:val="28"/>
          <w:szCs w:val="28"/>
        </w:rPr>
        <w:t xml:space="preserve">difference between the Chinese export values and the </w:t>
      </w:r>
      <w:r w:rsidR="00DA7DD9" w:rsidRPr="002D3A2A">
        <w:rPr>
          <w:rFonts w:ascii="Times New Roman" w:hAnsi="Times New Roman" w:cs="Times New Roman"/>
          <w:sz w:val="28"/>
          <w:szCs w:val="28"/>
        </w:rPr>
        <w:t xml:space="preserve">values </w:t>
      </w:r>
      <w:r w:rsidRPr="002D3A2A">
        <w:rPr>
          <w:rFonts w:ascii="Times New Roman" w:hAnsi="Times New Roman" w:cs="Times New Roman"/>
          <w:sz w:val="28"/>
          <w:szCs w:val="28"/>
        </w:rPr>
        <w:t>declared to SARS,</w:t>
      </w:r>
      <w:r w:rsidR="0041338D" w:rsidRPr="002D3A2A">
        <w:rPr>
          <w:rFonts w:ascii="Times New Roman" w:hAnsi="Times New Roman" w:cs="Times New Roman"/>
          <w:sz w:val="28"/>
          <w:szCs w:val="28"/>
        </w:rPr>
        <w:t xml:space="preserve"> was this:</w:t>
      </w:r>
    </w:p>
    <w:p w14:paraId="2ECC921E" w14:textId="77777777" w:rsidR="0041338D" w:rsidRPr="002D3A2A" w:rsidRDefault="0041338D" w:rsidP="0041338D">
      <w:pPr>
        <w:pStyle w:val="ListParagraph"/>
        <w:spacing w:after="0" w:line="360" w:lineRule="auto"/>
        <w:ind w:left="0"/>
        <w:jc w:val="both"/>
        <w:rPr>
          <w:rFonts w:ascii="Times New Roman" w:hAnsi="Times New Roman" w:cs="Times New Roman"/>
          <w:sz w:val="24"/>
          <w:szCs w:val="24"/>
        </w:rPr>
      </w:pPr>
      <w:r w:rsidRPr="002D3A2A">
        <w:rPr>
          <w:rFonts w:ascii="Times New Roman" w:hAnsi="Times New Roman" w:cs="Times New Roman"/>
          <w:sz w:val="24"/>
          <w:szCs w:val="24"/>
        </w:rPr>
        <w:t>‘SARS knows, or should know,</w:t>
      </w:r>
      <w:r w:rsidR="00F83798" w:rsidRPr="002D3A2A">
        <w:rPr>
          <w:rFonts w:ascii="Times New Roman" w:hAnsi="Times New Roman" w:cs="Times New Roman"/>
          <w:sz w:val="24"/>
          <w:szCs w:val="24"/>
        </w:rPr>
        <w:t xml:space="preserve"> for it is a notorious fact, that</w:t>
      </w:r>
      <w:r w:rsidRPr="002D3A2A">
        <w:rPr>
          <w:rFonts w:ascii="Times New Roman" w:hAnsi="Times New Roman" w:cs="Times New Roman"/>
          <w:sz w:val="24"/>
          <w:szCs w:val="24"/>
        </w:rPr>
        <w:t xml:space="preserve"> many Chinese export agents inflate the pricing of exported goods when declaring to the General Administration of Customs of the People’s Republic of China. The purpose of inflating the price on the export declarations is for applying for loans from the banks as well as receiving national export tax rebates from the Chinese government, calculated </w:t>
      </w:r>
      <w:r w:rsidR="00F83798" w:rsidRPr="002D3A2A">
        <w:rPr>
          <w:rFonts w:ascii="Times New Roman" w:hAnsi="Times New Roman" w:cs="Times New Roman"/>
          <w:sz w:val="24"/>
          <w:szCs w:val="24"/>
        </w:rPr>
        <w:t xml:space="preserve">at </w:t>
      </w:r>
      <w:r w:rsidRPr="002D3A2A">
        <w:rPr>
          <w:rFonts w:ascii="Times New Roman" w:hAnsi="Times New Roman" w:cs="Times New Roman"/>
          <w:sz w:val="24"/>
          <w:szCs w:val="24"/>
        </w:rPr>
        <w:t>16% of the declared export price on the export declarations. In consequence, SARS should have been alerted to the prospect of this kind of fraud before jumping to the conclusions it did before issuing its letters of intent.’</w:t>
      </w:r>
    </w:p>
    <w:p w14:paraId="790E6415" w14:textId="77777777" w:rsidR="00D839B6" w:rsidRPr="002D3A2A" w:rsidRDefault="00D839B6" w:rsidP="00032E83">
      <w:pPr>
        <w:pStyle w:val="ListParagraph"/>
        <w:spacing w:after="0" w:line="360" w:lineRule="auto"/>
        <w:ind w:left="0"/>
        <w:jc w:val="both"/>
        <w:rPr>
          <w:rFonts w:ascii="Times New Roman" w:hAnsi="Times New Roman" w:cs="Times New Roman"/>
          <w:sz w:val="28"/>
          <w:szCs w:val="28"/>
        </w:rPr>
      </w:pPr>
      <w:r w:rsidRPr="002D3A2A">
        <w:rPr>
          <w:rFonts w:ascii="Times New Roman" w:hAnsi="Times New Roman" w:cs="Times New Roman"/>
          <w:sz w:val="28"/>
          <w:szCs w:val="28"/>
        </w:rPr>
        <w:t xml:space="preserve">The respondents went on to say: </w:t>
      </w:r>
    </w:p>
    <w:p w14:paraId="38227C01" w14:textId="77777777" w:rsidR="00D839B6" w:rsidRPr="002D3A2A" w:rsidRDefault="00D839B6" w:rsidP="00D839B6">
      <w:pPr>
        <w:pStyle w:val="ListParagraph"/>
        <w:spacing w:after="0" w:line="360" w:lineRule="auto"/>
        <w:ind w:left="0"/>
        <w:jc w:val="both"/>
        <w:rPr>
          <w:rFonts w:ascii="Times New Roman" w:hAnsi="Times New Roman" w:cs="Times New Roman"/>
          <w:sz w:val="24"/>
          <w:szCs w:val="24"/>
        </w:rPr>
      </w:pPr>
      <w:r w:rsidRPr="002D3A2A">
        <w:rPr>
          <w:rFonts w:ascii="Times New Roman" w:hAnsi="Times New Roman" w:cs="Times New Roman"/>
          <w:sz w:val="24"/>
          <w:szCs w:val="24"/>
        </w:rPr>
        <w:t>‘The Importers are aware of the 16% export tax rebate and they are aware that export agents sometimes inflate the value on the export documents in order to obtain larger rebates. We enclose hereto an affidavit of a Chinese/South African importer and exporter – Mr Li Xinzhu and wherein he describes in detail the inflation of the value on exports from China in order for export agents to obtain export tax rebates from the Chinese government.’</w:t>
      </w:r>
    </w:p>
    <w:p w14:paraId="1DFC0E4D" w14:textId="77777777" w:rsidR="00BF5D0E" w:rsidRPr="002D3A2A" w:rsidRDefault="00BF5D0E" w:rsidP="006A46BD">
      <w:pPr>
        <w:pStyle w:val="ListParagraph"/>
        <w:spacing w:after="0" w:line="360" w:lineRule="auto"/>
        <w:ind w:left="0"/>
        <w:jc w:val="both"/>
        <w:rPr>
          <w:rFonts w:ascii="Times New Roman" w:hAnsi="Times New Roman" w:cs="Times New Roman"/>
          <w:sz w:val="28"/>
          <w:szCs w:val="28"/>
        </w:rPr>
      </w:pPr>
    </w:p>
    <w:p w14:paraId="69BD74F0" w14:textId="77777777" w:rsidR="00D839B6" w:rsidRPr="002D3A2A" w:rsidRDefault="00D839B6" w:rsidP="00530FAC">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In support of these assertions all three Chinese exporters involved made affidavits in which they said:</w:t>
      </w:r>
    </w:p>
    <w:p w14:paraId="243C1AA4" w14:textId="77777777" w:rsidR="00D839B6" w:rsidRPr="002D3A2A" w:rsidRDefault="00D839B6" w:rsidP="00D839B6">
      <w:pPr>
        <w:pStyle w:val="ListParagraph"/>
        <w:spacing w:after="0" w:line="360" w:lineRule="auto"/>
        <w:ind w:left="0"/>
        <w:jc w:val="both"/>
        <w:rPr>
          <w:rFonts w:ascii="Times New Roman" w:hAnsi="Times New Roman" w:cs="Times New Roman"/>
          <w:sz w:val="28"/>
          <w:szCs w:val="28"/>
        </w:rPr>
      </w:pPr>
      <w:r w:rsidRPr="002D3A2A">
        <w:rPr>
          <w:rFonts w:ascii="Times New Roman" w:hAnsi="Times New Roman" w:cs="Times New Roman"/>
          <w:sz w:val="24"/>
          <w:szCs w:val="24"/>
        </w:rPr>
        <w:t xml:space="preserve">‘The </w:t>
      </w:r>
      <w:r w:rsidRPr="002D3A2A">
        <w:rPr>
          <w:rFonts w:ascii="Times New Roman" w:hAnsi="Times New Roman" w:cs="Times New Roman"/>
          <w:sz w:val="24"/>
          <w:szCs w:val="24"/>
          <w:u w:val="single"/>
        </w:rPr>
        <w:t>Chinese export agent industry</w:t>
      </w:r>
      <w:r w:rsidRPr="002D3A2A">
        <w:rPr>
          <w:rFonts w:ascii="Times New Roman" w:hAnsi="Times New Roman" w:cs="Times New Roman"/>
          <w:sz w:val="24"/>
          <w:szCs w:val="24"/>
        </w:rPr>
        <w:t xml:space="preserve"> often “inflate[s]” the actual price of the commercial invoices for the purposes of applying for loans from banks as well as receiving export tax rebates from our Chinese government.’</w:t>
      </w:r>
      <w:r w:rsidRPr="002D3A2A">
        <w:rPr>
          <w:rFonts w:ascii="Times New Roman" w:hAnsi="Times New Roman" w:cs="Times New Roman"/>
          <w:sz w:val="28"/>
          <w:szCs w:val="28"/>
        </w:rPr>
        <w:t xml:space="preserve"> </w:t>
      </w:r>
      <w:r w:rsidRPr="002D3A2A">
        <w:rPr>
          <w:rFonts w:ascii="Times New Roman" w:hAnsi="Times New Roman" w:cs="Times New Roman"/>
          <w:sz w:val="24"/>
          <w:szCs w:val="24"/>
        </w:rPr>
        <w:t>(Emphasis in the original.)</w:t>
      </w:r>
    </w:p>
    <w:p w14:paraId="30D6DE4B" w14:textId="77777777" w:rsidR="006A46BD" w:rsidRPr="002D3A2A" w:rsidRDefault="0024198E" w:rsidP="006A46BD">
      <w:pPr>
        <w:pStyle w:val="ListParagraph"/>
        <w:spacing w:after="0" w:line="360" w:lineRule="auto"/>
        <w:ind w:left="0"/>
        <w:jc w:val="both"/>
        <w:rPr>
          <w:rFonts w:ascii="Times New Roman" w:hAnsi="Times New Roman" w:cs="Times New Roman"/>
          <w:sz w:val="28"/>
          <w:szCs w:val="28"/>
        </w:rPr>
      </w:pPr>
      <w:r w:rsidRPr="002D3A2A">
        <w:rPr>
          <w:rFonts w:ascii="Times New Roman" w:hAnsi="Times New Roman" w:cs="Times New Roman"/>
          <w:sz w:val="28"/>
          <w:szCs w:val="28"/>
        </w:rPr>
        <w:t>The exporters gave general and similar explanations for the low selling prices. These were that at the end of a season, unsold clothing stock is sold at reduced prices; overruns and order cancellations a</w:t>
      </w:r>
      <w:r w:rsidR="006A46BD" w:rsidRPr="002D3A2A">
        <w:rPr>
          <w:rFonts w:ascii="Times New Roman" w:hAnsi="Times New Roman" w:cs="Times New Roman"/>
          <w:sz w:val="28"/>
          <w:szCs w:val="28"/>
        </w:rPr>
        <w:t xml:space="preserve">re also sold cheaply; and ‘dead </w:t>
      </w:r>
      <w:r w:rsidRPr="002D3A2A">
        <w:rPr>
          <w:rFonts w:ascii="Times New Roman" w:hAnsi="Times New Roman" w:cs="Times New Roman"/>
          <w:sz w:val="28"/>
          <w:szCs w:val="28"/>
        </w:rPr>
        <w:t xml:space="preserve">stock’ </w:t>
      </w:r>
      <w:r w:rsidR="00C22641" w:rsidRPr="002D3A2A">
        <w:rPr>
          <w:rFonts w:ascii="Times New Roman" w:hAnsi="Times New Roman" w:cs="Times New Roman"/>
          <w:sz w:val="28"/>
          <w:szCs w:val="28"/>
        </w:rPr>
        <w:t>is often sold at prices well below the cost of production.</w:t>
      </w:r>
    </w:p>
    <w:p w14:paraId="2330C287" w14:textId="2D4A14E9" w:rsidR="002130BF" w:rsidRPr="002D3A2A" w:rsidRDefault="006A46BD" w:rsidP="00530FAC">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lastRenderedPageBreak/>
        <w:t xml:space="preserve">The difficulty with the respondents’ new explanation </w:t>
      </w:r>
      <w:r w:rsidR="006C3480" w:rsidRPr="002D3A2A">
        <w:rPr>
          <w:rFonts w:ascii="Times New Roman" w:hAnsi="Times New Roman" w:cs="Times New Roman"/>
          <w:sz w:val="28"/>
          <w:szCs w:val="28"/>
        </w:rPr>
        <w:t xml:space="preserve">for the low prices of the goods </w:t>
      </w:r>
      <w:r w:rsidRPr="002D3A2A">
        <w:rPr>
          <w:rFonts w:ascii="Times New Roman" w:hAnsi="Times New Roman" w:cs="Times New Roman"/>
          <w:sz w:val="28"/>
          <w:szCs w:val="28"/>
        </w:rPr>
        <w:t xml:space="preserve">– fraud by Chinese export agents – was immediately apparent. Any export tax rebate would accrue to Chinese exporters, not their agents. </w:t>
      </w:r>
      <w:r w:rsidR="007901FA" w:rsidRPr="002D3A2A">
        <w:rPr>
          <w:rFonts w:ascii="Times New Roman" w:hAnsi="Times New Roman" w:cs="Times New Roman"/>
          <w:sz w:val="28"/>
          <w:szCs w:val="28"/>
        </w:rPr>
        <w:t xml:space="preserve">That </w:t>
      </w:r>
      <w:r w:rsidR="00D2552D" w:rsidRPr="002D3A2A">
        <w:rPr>
          <w:rFonts w:ascii="Times New Roman" w:hAnsi="Times New Roman" w:cs="Times New Roman"/>
          <w:sz w:val="28"/>
          <w:szCs w:val="28"/>
        </w:rPr>
        <w:t>much is</w:t>
      </w:r>
      <w:r w:rsidR="007901FA" w:rsidRPr="002D3A2A">
        <w:rPr>
          <w:rFonts w:ascii="Times New Roman" w:hAnsi="Times New Roman" w:cs="Times New Roman"/>
          <w:sz w:val="28"/>
          <w:szCs w:val="28"/>
        </w:rPr>
        <w:t xml:space="preserve"> clear from Mr Xin</w:t>
      </w:r>
      <w:r w:rsidR="00250352" w:rsidRPr="002D3A2A">
        <w:rPr>
          <w:rFonts w:ascii="Times New Roman" w:hAnsi="Times New Roman" w:cs="Times New Roman"/>
          <w:sz w:val="28"/>
          <w:szCs w:val="28"/>
        </w:rPr>
        <w:t>z</w:t>
      </w:r>
      <w:r w:rsidR="007901FA" w:rsidRPr="002D3A2A">
        <w:rPr>
          <w:rFonts w:ascii="Times New Roman" w:hAnsi="Times New Roman" w:cs="Times New Roman"/>
          <w:sz w:val="28"/>
          <w:szCs w:val="28"/>
        </w:rPr>
        <w:t xml:space="preserve">hu’s affidavit. He said that </w:t>
      </w:r>
      <w:r w:rsidR="003B5845" w:rsidRPr="002D3A2A">
        <w:rPr>
          <w:rFonts w:ascii="Times New Roman" w:hAnsi="Times New Roman" w:cs="Times New Roman"/>
          <w:sz w:val="28"/>
          <w:szCs w:val="28"/>
        </w:rPr>
        <w:t xml:space="preserve">in China, </w:t>
      </w:r>
      <w:r w:rsidR="007901FA" w:rsidRPr="002D3A2A">
        <w:rPr>
          <w:rFonts w:ascii="Times New Roman" w:hAnsi="Times New Roman" w:cs="Times New Roman"/>
          <w:sz w:val="28"/>
          <w:szCs w:val="28"/>
        </w:rPr>
        <w:t xml:space="preserve">exported goods are subject to a zero tax rate and that VAT paid to the State by upstream enterprises during the domestic circulation of export goods must be refunded to the export enterprise at the export stage. </w:t>
      </w:r>
      <w:r w:rsidRPr="002D3A2A">
        <w:rPr>
          <w:rFonts w:ascii="Times New Roman" w:hAnsi="Times New Roman" w:cs="Times New Roman"/>
          <w:sz w:val="28"/>
          <w:szCs w:val="28"/>
        </w:rPr>
        <w:t xml:space="preserve">Further, it </w:t>
      </w:r>
      <w:r w:rsidR="00D2552D" w:rsidRPr="002D3A2A">
        <w:rPr>
          <w:rFonts w:ascii="Times New Roman" w:hAnsi="Times New Roman" w:cs="Times New Roman"/>
          <w:sz w:val="28"/>
          <w:szCs w:val="28"/>
        </w:rPr>
        <w:t xml:space="preserve">is </w:t>
      </w:r>
      <w:r w:rsidRPr="002D3A2A">
        <w:rPr>
          <w:rFonts w:ascii="Times New Roman" w:hAnsi="Times New Roman" w:cs="Times New Roman"/>
          <w:sz w:val="28"/>
          <w:szCs w:val="28"/>
        </w:rPr>
        <w:t xml:space="preserve">unlikely that by committing fraud, export agents would be able to obtain loans from banks. </w:t>
      </w:r>
    </w:p>
    <w:p w14:paraId="20A37DA7" w14:textId="77777777" w:rsidR="002130BF" w:rsidRPr="002D3A2A" w:rsidRDefault="002130BF" w:rsidP="002130BF">
      <w:pPr>
        <w:pStyle w:val="ListParagraph"/>
        <w:spacing w:after="0" w:line="360" w:lineRule="auto"/>
        <w:ind w:left="0"/>
        <w:jc w:val="both"/>
        <w:rPr>
          <w:rFonts w:ascii="Times New Roman" w:hAnsi="Times New Roman" w:cs="Times New Roman"/>
          <w:sz w:val="28"/>
          <w:szCs w:val="28"/>
        </w:rPr>
      </w:pPr>
    </w:p>
    <w:p w14:paraId="3B182385" w14:textId="3624D297" w:rsidR="006525E9" w:rsidRPr="002D3A2A" w:rsidRDefault="006A46BD" w:rsidP="00530FAC">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SARS therefore</w:t>
      </w:r>
      <w:r w:rsidR="0022496B" w:rsidRPr="002D3A2A">
        <w:rPr>
          <w:rFonts w:ascii="Times New Roman" w:hAnsi="Times New Roman" w:cs="Times New Roman"/>
          <w:sz w:val="28"/>
          <w:szCs w:val="28"/>
        </w:rPr>
        <w:t>,</w:t>
      </w:r>
      <w:r w:rsidRPr="002D3A2A">
        <w:rPr>
          <w:rFonts w:ascii="Times New Roman" w:hAnsi="Times New Roman" w:cs="Times New Roman"/>
          <w:sz w:val="28"/>
          <w:szCs w:val="28"/>
        </w:rPr>
        <w:t xml:space="preserve"> </w:t>
      </w:r>
      <w:r w:rsidR="00D2552D" w:rsidRPr="002D3A2A">
        <w:rPr>
          <w:rFonts w:ascii="Times New Roman" w:hAnsi="Times New Roman" w:cs="Times New Roman"/>
          <w:sz w:val="28"/>
          <w:szCs w:val="28"/>
        </w:rPr>
        <w:t>on 29 May 2020</w:t>
      </w:r>
      <w:r w:rsidR="007F5616" w:rsidRPr="002D3A2A">
        <w:rPr>
          <w:rFonts w:ascii="Times New Roman" w:hAnsi="Times New Roman" w:cs="Times New Roman"/>
          <w:sz w:val="28"/>
          <w:szCs w:val="28"/>
        </w:rPr>
        <w:t>,</w:t>
      </w:r>
      <w:r w:rsidR="00D2552D" w:rsidRPr="002D3A2A">
        <w:rPr>
          <w:rFonts w:ascii="Times New Roman" w:hAnsi="Times New Roman" w:cs="Times New Roman"/>
          <w:sz w:val="28"/>
          <w:szCs w:val="28"/>
        </w:rPr>
        <w:t xml:space="preserve"> </w:t>
      </w:r>
      <w:r w:rsidRPr="002D3A2A">
        <w:rPr>
          <w:rFonts w:ascii="Times New Roman" w:hAnsi="Times New Roman" w:cs="Times New Roman"/>
          <w:sz w:val="28"/>
          <w:szCs w:val="28"/>
        </w:rPr>
        <w:t xml:space="preserve">requested </w:t>
      </w:r>
      <w:r w:rsidR="00D2552D" w:rsidRPr="002D3A2A">
        <w:rPr>
          <w:rFonts w:ascii="Times New Roman" w:hAnsi="Times New Roman" w:cs="Times New Roman"/>
          <w:sz w:val="28"/>
          <w:szCs w:val="28"/>
        </w:rPr>
        <w:t xml:space="preserve">further </w:t>
      </w:r>
      <w:r w:rsidR="009B5855" w:rsidRPr="002D3A2A">
        <w:rPr>
          <w:rFonts w:ascii="Times New Roman" w:hAnsi="Times New Roman" w:cs="Times New Roman"/>
          <w:sz w:val="28"/>
          <w:szCs w:val="28"/>
        </w:rPr>
        <w:t xml:space="preserve">particulars and documents </w:t>
      </w:r>
      <w:r w:rsidR="00D2552D" w:rsidRPr="002D3A2A">
        <w:rPr>
          <w:rFonts w:ascii="Times New Roman" w:hAnsi="Times New Roman" w:cs="Times New Roman"/>
          <w:sz w:val="28"/>
          <w:szCs w:val="28"/>
        </w:rPr>
        <w:t xml:space="preserve">from the </w:t>
      </w:r>
      <w:r w:rsidR="0022496B" w:rsidRPr="002D3A2A">
        <w:rPr>
          <w:rFonts w:ascii="Times New Roman" w:hAnsi="Times New Roman" w:cs="Times New Roman"/>
          <w:sz w:val="28"/>
          <w:szCs w:val="28"/>
        </w:rPr>
        <w:t>respondents, which included the following</w:t>
      </w:r>
      <w:r w:rsidR="007F5616" w:rsidRPr="002D3A2A">
        <w:rPr>
          <w:rFonts w:ascii="Times New Roman" w:hAnsi="Times New Roman" w:cs="Times New Roman"/>
          <w:sz w:val="28"/>
          <w:szCs w:val="28"/>
        </w:rPr>
        <w:t>:</w:t>
      </w:r>
      <w:r w:rsidR="0022496B" w:rsidRPr="002D3A2A">
        <w:rPr>
          <w:rFonts w:ascii="Times New Roman" w:hAnsi="Times New Roman" w:cs="Times New Roman"/>
          <w:sz w:val="28"/>
          <w:szCs w:val="28"/>
        </w:rPr>
        <w:t xml:space="preserve"> </w:t>
      </w:r>
      <w:r w:rsidR="007F5616" w:rsidRPr="002D3A2A">
        <w:rPr>
          <w:rFonts w:ascii="Times New Roman" w:hAnsi="Times New Roman" w:cs="Times New Roman"/>
          <w:sz w:val="28"/>
          <w:szCs w:val="28"/>
        </w:rPr>
        <w:t>a</w:t>
      </w:r>
      <w:r w:rsidR="0022496B" w:rsidRPr="002D3A2A">
        <w:rPr>
          <w:rFonts w:ascii="Times New Roman" w:hAnsi="Times New Roman" w:cs="Times New Roman"/>
          <w:sz w:val="28"/>
          <w:szCs w:val="28"/>
        </w:rPr>
        <w:t>n explanation for the identical format, font and terms of the written agreements</w:t>
      </w:r>
      <w:r w:rsidR="00EA6A39" w:rsidRPr="002D3A2A">
        <w:rPr>
          <w:rFonts w:ascii="Times New Roman" w:hAnsi="Times New Roman" w:cs="Times New Roman"/>
          <w:sz w:val="28"/>
          <w:szCs w:val="28"/>
        </w:rPr>
        <w:t xml:space="preserve"> in respect of both consignments (the eight containers relating to the export declarations and the 19 containers) concluded between </w:t>
      </w:r>
      <w:r w:rsidR="0022496B" w:rsidRPr="002D3A2A">
        <w:rPr>
          <w:rFonts w:ascii="Times New Roman" w:hAnsi="Times New Roman" w:cs="Times New Roman"/>
          <w:sz w:val="28"/>
          <w:szCs w:val="28"/>
        </w:rPr>
        <w:t>three different suppliers</w:t>
      </w:r>
      <w:r w:rsidR="00EA6A39" w:rsidRPr="002D3A2A">
        <w:rPr>
          <w:rFonts w:ascii="Times New Roman" w:hAnsi="Times New Roman" w:cs="Times New Roman"/>
          <w:sz w:val="28"/>
          <w:szCs w:val="28"/>
        </w:rPr>
        <w:t xml:space="preserve"> and the importers</w:t>
      </w:r>
      <w:r w:rsidR="004A00A9" w:rsidRPr="002D3A2A">
        <w:rPr>
          <w:rFonts w:ascii="Times New Roman" w:hAnsi="Times New Roman" w:cs="Times New Roman"/>
          <w:sz w:val="28"/>
          <w:szCs w:val="28"/>
        </w:rPr>
        <w:t>;</w:t>
      </w:r>
      <w:r w:rsidR="00EA6A39" w:rsidRPr="002D3A2A">
        <w:rPr>
          <w:rFonts w:ascii="Times New Roman" w:hAnsi="Times New Roman" w:cs="Times New Roman"/>
          <w:sz w:val="28"/>
          <w:szCs w:val="28"/>
        </w:rPr>
        <w:t xml:space="preserve"> </w:t>
      </w:r>
      <w:r w:rsidR="004A00A9" w:rsidRPr="002D3A2A">
        <w:rPr>
          <w:rFonts w:ascii="Times New Roman" w:hAnsi="Times New Roman" w:cs="Times New Roman"/>
          <w:sz w:val="28"/>
          <w:szCs w:val="28"/>
        </w:rPr>
        <w:t>t</w:t>
      </w:r>
      <w:r w:rsidR="00EA6A39" w:rsidRPr="002D3A2A">
        <w:rPr>
          <w:rFonts w:ascii="Times New Roman" w:hAnsi="Times New Roman" w:cs="Times New Roman"/>
          <w:sz w:val="28"/>
          <w:szCs w:val="28"/>
        </w:rPr>
        <w:t>he originals or copies of each of the three agreements</w:t>
      </w:r>
      <w:r w:rsidR="004A00A9" w:rsidRPr="002D3A2A">
        <w:rPr>
          <w:rFonts w:ascii="Times New Roman" w:hAnsi="Times New Roman" w:cs="Times New Roman"/>
          <w:sz w:val="28"/>
          <w:szCs w:val="28"/>
        </w:rPr>
        <w:t>;</w:t>
      </w:r>
      <w:r w:rsidR="00EA6A39" w:rsidRPr="002D3A2A">
        <w:rPr>
          <w:rFonts w:ascii="Times New Roman" w:hAnsi="Times New Roman" w:cs="Times New Roman"/>
          <w:sz w:val="28"/>
          <w:szCs w:val="28"/>
        </w:rPr>
        <w:t xml:space="preserve"> </w:t>
      </w:r>
      <w:r w:rsidR="004A00A9" w:rsidRPr="002D3A2A">
        <w:rPr>
          <w:rFonts w:ascii="Times New Roman" w:hAnsi="Times New Roman" w:cs="Times New Roman"/>
          <w:sz w:val="28"/>
          <w:szCs w:val="28"/>
        </w:rPr>
        <w:t>t</w:t>
      </w:r>
      <w:r w:rsidR="00EA6A39" w:rsidRPr="002D3A2A">
        <w:rPr>
          <w:rFonts w:ascii="Times New Roman" w:hAnsi="Times New Roman" w:cs="Times New Roman"/>
          <w:sz w:val="28"/>
          <w:szCs w:val="28"/>
        </w:rPr>
        <w:t>he particulars of the individuals who signed each agreement on behalf of the Chinese supplier and the importer, and their identity and passport numbers</w:t>
      </w:r>
      <w:r w:rsidR="004A00A9" w:rsidRPr="002D3A2A">
        <w:rPr>
          <w:rFonts w:ascii="Times New Roman" w:hAnsi="Times New Roman" w:cs="Times New Roman"/>
          <w:sz w:val="28"/>
          <w:szCs w:val="28"/>
        </w:rPr>
        <w:t xml:space="preserve">; </w:t>
      </w:r>
      <w:r w:rsidR="00251FC8" w:rsidRPr="002D3A2A">
        <w:rPr>
          <w:rFonts w:ascii="Times New Roman" w:hAnsi="Times New Roman" w:cs="Times New Roman"/>
          <w:sz w:val="28"/>
          <w:szCs w:val="28"/>
        </w:rPr>
        <w:t>and d</w:t>
      </w:r>
      <w:r w:rsidR="006525E9" w:rsidRPr="002D3A2A">
        <w:rPr>
          <w:rFonts w:ascii="Times New Roman" w:hAnsi="Times New Roman" w:cs="Times New Roman"/>
          <w:sz w:val="28"/>
          <w:szCs w:val="28"/>
        </w:rPr>
        <w:t xml:space="preserve">etails of the invoices issued by the suppliers in respect of each of the consignments and how they were rendered to the importers. </w:t>
      </w:r>
    </w:p>
    <w:p w14:paraId="28177378" w14:textId="77777777" w:rsidR="006525E9" w:rsidRPr="002D3A2A" w:rsidRDefault="006525E9" w:rsidP="006525E9">
      <w:pPr>
        <w:pStyle w:val="ListParagraph"/>
        <w:spacing w:after="0" w:line="360" w:lineRule="auto"/>
        <w:ind w:left="0"/>
        <w:jc w:val="both"/>
        <w:rPr>
          <w:rFonts w:ascii="Times New Roman" w:hAnsi="Times New Roman" w:cs="Times New Roman"/>
          <w:sz w:val="28"/>
          <w:szCs w:val="28"/>
        </w:rPr>
      </w:pPr>
    </w:p>
    <w:p w14:paraId="26B58761" w14:textId="77777777" w:rsidR="00905F67" w:rsidRPr="002D3A2A" w:rsidRDefault="001818F8" w:rsidP="00530FAC">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In their reply </w:t>
      </w:r>
      <w:r w:rsidR="000E0F41" w:rsidRPr="002D3A2A">
        <w:rPr>
          <w:rFonts w:ascii="Times New Roman" w:hAnsi="Times New Roman" w:cs="Times New Roman"/>
          <w:sz w:val="28"/>
          <w:szCs w:val="28"/>
        </w:rPr>
        <w:t xml:space="preserve">dated 12 June 2020, </w:t>
      </w:r>
      <w:r w:rsidRPr="002D3A2A">
        <w:rPr>
          <w:rFonts w:ascii="Times New Roman" w:hAnsi="Times New Roman" w:cs="Times New Roman"/>
          <w:sz w:val="28"/>
          <w:szCs w:val="28"/>
        </w:rPr>
        <w:t xml:space="preserve">the respondents </w:t>
      </w:r>
      <w:r w:rsidR="0055049C" w:rsidRPr="002D3A2A">
        <w:rPr>
          <w:rFonts w:ascii="Times New Roman" w:hAnsi="Times New Roman" w:cs="Times New Roman"/>
          <w:sz w:val="28"/>
          <w:szCs w:val="28"/>
        </w:rPr>
        <w:t>contended that</w:t>
      </w:r>
      <w:r w:rsidR="009B5855" w:rsidRPr="002D3A2A">
        <w:rPr>
          <w:rFonts w:ascii="Times New Roman" w:hAnsi="Times New Roman" w:cs="Times New Roman"/>
          <w:sz w:val="28"/>
          <w:szCs w:val="28"/>
        </w:rPr>
        <w:t xml:space="preserve"> </w:t>
      </w:r>
      <w:r w:rsidR="00446C1D" w:rsidRPr="002D3A2A">
        <w:rPr>
          <w:rFonts w:ascii="Times New Roman" w:hAnsi="Times New Roman" w:cs="Times New Roman"/>
          <w:sz w:val="28"/>
          <w:szCs w:val="28"/>
        </w:rPr>
        <w:t xml:space="preserve">the </w:t>
      </w:r>
      <w:r w:rsidR="009B5855" w:rsidRPr="002D3A2A">
        <w:rPr>
          <w:rFonts w:ascii="Times New Roman" w:hAnsi="Times New Roman" w:cs="Times New Roman"/>
          <w:sz w:val="28"/>
          <w:szCs w:val="28"/>
        </w:rPr>
        <w:t>request for further particulars</w:t>
      </w:r>
      <w:r w:rsidR="0055049C" w:rsidRPr="002D3A2A">
        <w:rPr>
          <w:rFonts w:ascii="Times New Roman" w:hAnsi="Times New Roman" w:cs="Times New Roman"/>
          <w:sz w:val="28"/>
          <w:szCs w:val="28"/>
        </w:rPr>
        <w:t xml:space="preserve"> was ‘unlawful’. They </w:t>
      </w:r>
      <w:r w:rsidR="00905F67" w:rsidRPr="002D3A2A">
        <w:rPr>
          <w:rFonts w:ascii="Times New Roman" w:hAnsi="Times New Roman" w:cs="Times New Roman"/>
          <w:sz w:val="28"/>
          <w:szCs w:val="28"/>
        </w:rPr>
        <w:t>refuse</w:t>
      </w:r>
      <w:r w:rsidR="0055049C" w:rsidRPr="002D3A2A">
        <w:rPr>
          <w:rFonts w:ascii="Times New Roman" w:hAnsi="Times New Roman" w:cs="Times New Roman"/>
          <w:sz w:val="28"/>
          <w:szCs w:val="28"/>
        </w:rPr>
        <w:t>d to</w:t>
      </w:r>
      <w:r w:rsidR="00446C1D" w:rsidRPr="002D3A2A">
        <w:rPr>
          <w:rFonts w:ascii="Times New Roman" w:hAnsi="Times New Roman" w:cs="Times New Roman"/>
          <w:sz w:val="28"/>
          <w:szCs w:val="28"/>
        </w:rPr>
        <w:t xml:space="preserve"> provide</w:t>
      </w:r>
      <w:r w:rsidR="00905F67" w:rsidRPr="002D3A2A">
        <w:rPr>
          <w:rFonts w:ascii="Times New Roman" w:hAnsi="Times New Roman" w:cs="Times New Roman"/>
          <w:sz w:val="28"/>
          <w:szCs w:val="28"/>
        </w:rPr>
        <w:t xml:space="preserve"> </w:t>
      </w:r>
      <w:r w:rsidR="0055049C" w:rsidRPr="002D3A2A">
        <w:rPr>
          <w:rFonts w:ascii="Times New Roman" w:hAnsi="Times New Roman" w:cs="Times New Roman"/>
          <w:sz w:val="28"/>
          <w:szCs w:val="28"/>
        </w:rPr>
        <w:t>an explanation for</w:t>
      </w:r>
      <w:r w:rsidR="00905F67" w:rsidRPr="002D3A2A">
        <w:rPr>
          <w:rFonts w:ascii="Times New Roman" w:hAnsi="Times New Roman" w:cs="Times New Roman"/>
          <w:sz w:val="28"/>
          <w:szCs w:val="28"/>
        </w:rPr>
        <w:t xml:space="preserve"> </w:t>
      </w:r>
      <w:r w:rsidR="0055049C" w:rsidRPr="002D3A2A">
        <w:rPr>
          <w:rFonts w:ascii="Times New Roman" w:hAnsi="Times New Roman" w:cs="Times New Roman"/>
          <w:sz w:val="28"/>
          <w:szCs w:val="28"/>
        </w:rPr>
        <w:t>the</w:t>
      </w:r>
      <w:r w:rsidR="00905F67" w:rsidRPr="002D3A2A">
        <w:rPr>
          <w:rFonts w:ascii="Times New Roman" w:hAnsi="Times New Roman" w:cs="Times New Roman"/>
          <w:sz w:val="28"/>
          <w:szCs w:val="28"/>
        </w:rPr>
        <w:t xml:space="preserve"> identical format, font and </w:t>
      </w:r>
      <w:r w:rsidR="0055049C" w:rsidRPr="002D3A2A">
        <w:rPr>
          <w:rFonts w:ascii="Times New Roman" w:hAnsi="Times New Roman" w:cs="Times New Roman"/>
          <w:sz w:val="28"/>
          <w:szCs w:val="28"/>
        </w:rPr>
        <w:t>terms of the written agreements</w:t>
      </w:r>
      <w:r w:rsidR="00446C1D" w:rsidRPr="002D3A2A">
        <w:rPr>
          <w:rFonts w:ascii="Times New Roman" w:hAnsi="Times New Roman" w:cs="Times New Roman"/>
          <w:sz w:val="28"/>
          <w:szCs w:val="28"/>
        </w:rPr>
        <w:t>,</w:t>
      </w:r>
      <w:r w:rsidR="0055049C" w:rsidRPr="002D3A2A">
        <w:rPr>
          <w:rFonts w:ascii="Times New Roman" w:hAnsi="Times New Roman" w:cs="Times New Roman"/>
          <w:sz w:val="28"/>
          <w:szCs w:val="28"/>
        </w:rPr>
        <w:t xml:space="preserve"> the particulars of the sellers and buyers who signed the</w:t>
      </w:r>
      <w:r w:rsidR="00446C1D" w:rsidRPr="002D3A2A">
        <w:rPr>
          <w:rFonts w:ascii="Times New Roman" w:hAnsi="Times New Roman" w:cs="Times New Roman"/>
          <w:sz w:val="28"/>
          <w:szCs w:val="28"/>
        </w:rPr>
        <w:t>m,</w:t>
      </w:r>
      <w:r w:rsidR="00905F67" w:rsidRPr="002D3A2A">
        <w:rPr>
          <w:rFonts w:ascii="Times New Roman" w:hAnsi="Times New Roman" w:cs="Times New Roman"/>
          <w:sz w:val="28"/>
          <w:szCs w:val="28"/>
        </w:rPr>
        <w:t xml:space="preserve"> and any details regarding the invoices issued by the suppliers. </w:t>
      </w:r>
    </w:p>
    <w:p w14:paraId="1D176457" w14:textId="77777777" w:rsidR="00905F67" w:rsidRPr="002D3A2A" w:rsidRDefault="00905F67" w:rsidP="00905F67">
      <w:pPr>
        <w:pStyle w:val="ListParagraph"/>
        <w:spacing w:after="0" w:line="360" w:lineRule="auto"/>
        <w:ind w:left="0"/>
        <w:jc w:val="both"/>
        <w:rPr>
          <w:rFonts w:ascii="Times New Roman" w:hAnsi="Times New Roman" w:cs="Times New Roman"/>
          <w:sz w:val="28"/>
          <w:szCs w:val="28"/>
        </w:rPr>
      </w:pPr>
    </w:p>
    <w:p w14:paraId="257117C0" w14:textId="6D60965C" w:rsidR="000F1B9F" w:rsidRPr="002D3A2A" w:rsidRDefault="00170648" w:rsidP="00530FAC">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Upon receipt of the three agreements furnished by the respondents, </w:t>
      </w:r>
      <w:r w:rsidR="001818F8" w:rsidRPr="002D3A2A">
        <w:rPr>
          <w:rFonts w:ascii="Times New Roman" w:hAnsi="Times New Roman" w:cs="Times New Roman"/>
          <w:sz w:val="28"/>
          <w:szCs w:val="28"/>
        </w:rPr>
        <w:t xml:space="preserve">SARS engaged the services of Mr Jannie Bester, a forensic document examiner, to ascertain whether the </w:t>
      </w:r>
      <w:r w:rsidR="00FF1784" w:rsidRPr="002D3A2A">
        <w:rPr>
          <w:rFonts w:ascii="Times New Roman" w:hAnsi="Times New Roman" w:cs="Times New Roman"/>
          <w:sz w:val="28"/>
          <w:szCs w:val="28"/>
        </w:rPr>
        <w:t>signatures on the agreements</w:t>
      </w:r>
      <w:r w:rsidR="000F1B9F" w:rsidRPr="002D3A2A">
        <w:rPr>
          <w:rFonts w:ascii="Times New Roman" w:hAnsi="Times New Roman" w:cs="Times New Roman"/>
          <w:sz w:val="28"/>
          <w:szCs w:val="28"/>
        </w:rPr>
        <w:t xml:space="preserve"> </w:t>
      </w:r>
      <w:r w:rsidR="006C3480" w:rsidRPr="002D3A2A">
        <w:rPr>
          <w:rFonts w:ascii="Times New Roman" w:hAnsi="Times New Roman" w:cs="Times New Roman"/>
          <w:sz w:val="28"/>
          <w:szCs w:val="28"/>
        </w:rPr>
        <w:t xml:space="preserve">had been appended </w:t>
      </w:r>
      <w:r w:rsidR="006C3480" w:rsidRPr="002D3A2A">
        <w:rPr>
          <w:rFonts w:ascii="Times New Roman" w:hAnsi="Times New Roman" w:cs="Times New Roman"/>
          <w:sz w:val="28"/>
          <w:szCs w:val="28"/>
        </w:rPr>
        <w:lastRenderedPageBreak/>
        <w:t xml:space="preserve">individually. </w:t>
      </w:r>
      <w:r w:rsidR="000E0F41" w:rsidRPr="002D3A2A">
        <w:rPr>
          <w:rFonts w:ascii="Times New Roman" w:hAnsi="Times New Roman" w:cs="Times New Roman"/>
          <w:sz w:val="28"/>
          <w:szCs w:val="28"/>
        </w:rPr>
        <w:t xml:space="preserve">Mr Bester </w:t>
      </w:r>
      <w:r w:rsidR="00FF1784" w:rsidRPr="002D3A2A">
        <w:rPr>
          <w:rFonts w:ascii="Times New Roman" w:hAnsi="Times New Roman" w:cs="Times New Roman"/>
          <w:sz w:val="28"/>
          <w:szCs w:val="28"/>
        </w:rPr>
        <w:t>identified identical handwriting similarities in the signatures of the buyer and seller</w:t>
      </w:r>
      <w:r w:rsidR="000E0F41" w:rsidRPr="002D3A2A">
        <w:rPr>
          <w:rFonts w:ascii="Times New Roman" w:hAnsi="Times New Roman" w:cs="Times New Roman"/>
          <w:sz w:val="28"/>
          <w:szCs w:val="28"/>
        </w:rPr>
        <w:t xml:space="preserve">, and concluded that </w:t>
      </w:r>
      <w:r w:rsidR="006C3480" w:rsidRPr="002D3A2A">
        <w:rPr>
          <w:rFonts w:ascii="Times New Roman" w:hAnsi="Times New Roman" w:cs="Times New Roman"/>
          <w:sz w:val="28"/>
          <w:szCs w:val="28"/>
        </w:rPr>
        <w:t xml:space="preserve">the </w:t>
      </w:r>
      <w:r w:rsidR="000E0F41" w:rsidRPr="002D3A2A">
        <w:rPr>
          <w:rFonts w:ascii="Times New Roman" w:hAnsi="Times New Roman" w:cs="Times New Roman"/>
          <w:sz w:val="28"/>
          <w:szCs w:val="28"/>
        </w:rPr>
        <w:t>agreements originated from the same source document</w:t>
      </w:r>
      <w:r w:rsidR="006C3480" w:rsidRPr="002D3A2A">
        <w:rPr>
          <w:rFonts w:ascii="Times New Roman" w:hAnsi="Times New Roman" w:cs="Times New Roman"/>
          <w:sz w:val="28"/>
          <w:szCs w:val="28"/>
        </w:rPr>
        <w:t>,</w:t>
      </w:r>
      <w:r w:rsidR="000E0F41" w:rsidRPr="002D3A2A">
        <w:rPr>
          <w:rFonts w:ascii="Times New Roman" w:hAnsi="Times New Roman" w:cs="Times New Roman"/>
          <w:sz w:val="28"/>
          <w:szCs w:val="28"/>
        </w:rPr>
        <w:t xml:space="preserve"> because they contain the same spelling and spacing errors. </w:t>
      </w:r>
      <w:r w:rsidR="001818F8" w:rsidRPr="002D3A2A">
        <w:rPr>
          <w:rFonts w:ascii="Times New Roman" w:hAnsi="Times New Roman" w:cs="Times New Roman"/>
          <w:sz w:val="28"/>
          <w:szCs w:val="28"/>
        </w:rPr>
        <w:t>Mr Bester’s reports were given to the respondents</w:t>
      </w:r>
      <w:r w:rsidR="00905F67" w:rsidRPr="002D3A2A">
        <w:rPr>
          <w:rFonts w:ascii="Times New Roman" w:hAnsi="Times New Roman" w:cs="Times New Roman"/>
          <w:sz w:val="28"/>
          <w:szCs w:val="28"/>
        </w:rPr>
        <w:t xml:space="preserve"> on 19 June 2020</w:t>
      </w:r>
      <w:r w:rsidR="001818F8" w:rsidRPr="002D3A2A">
        <w:rPr>
          <w:rFonts w:ascii="Times New Roman" w:hAnsi="Times New Roman" w:cs="Times New Roman"/>
          <w:sz w:val="28"/>
          <w:szCs w:val="28"/>
        </w:rPr>
        <w:t>.</w:t>
      </w:r>
    </w:p>
    <w:p w14:paraId="7EA8F8CA" w14:textId="77777777" w:rsidR="001818F8" w:rsidRPr="002D3A2A" w:rsidRDefault="001818F8" w:rsidP="000F1B9F">
      <w:pPr>
        <w:pStyle w:val="ListParagraph"/>
        <w:spacing w:after="0" w:line="360" w:lineRule="auto"/>
        <w:ind w:left="0"/>
        <w:jc w:val="both"/>
        <w:rPr>
          <w:rFonts w:ascii="Times New Roman" w:hAnsi="Times New Roman" w:cs="Times New Roman"/>
          <w:sz w:val="28"/>
          <w:szCs w:val="28"/>
        </w:rPr>
      </w:pPr>
      <w:r w:rsidRPr="002D3A2A">
        <w:rPr>
          <w:rFonts w:ascii="Times New Roman" w:hAnsi="Times New Roman" w:cs="Times New Roman"/>
          <w:sz w:val="28"/>
          <w:szCs w:val="28"/>
        </w:rPr>
        <w:t xml:space="preserve"> </w:t>
      </w:r>
    </w:p>
    <w:p w14:paraId="335D47A2" w14:textId="2279AA1A" w:rsidR="007B1DA2" w:rsidRPr="002D3A2A" w:rsidRDefault="006C3480" w:rsidP="00530FAC">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On 10 July 2020 the respondents provided SARS with an affidavit by</w:t>
      </w:r>
      <w:r w:rsidR="007B1DA2" w:rsidRPr="002D3A2A">
        <w:rPr>
          <w:rFonts w:ascii="Times New Roman" w:hAnsi="Times New Roman" w:cs="Times New Roman"/>
          <w:sz w:val="28"/>
          <w:szCs w:val="28"/>
        </w:rPr>
        <w:t xml:space="preserve"> their own document examiner</w:t>
      </w:r>
      <w:r w:rsidRPr="002D3A2A">
        <w:rPr>
          <w:rFonts w:ascii="Times New Roman" w:hAnsi="Times New Roman" w:cs="Times New Roman"/>
          <w:sz w:val="28"/>
          <w:szCs w:val="28"/>
        </w:rPr>
        <w:t>, Mr L</w:t>
      </w:r>
      <w:r w:rsidR="007B1DA2" w:rsidRPr="002D3A2A">
        <w:rPr>
          <w:rFonts w:ascii="Times New Roman" w:hAnsi="Times New Roman" w:cs="Times New Roman"/>
          <w:sz w:val="28"/>
          <w:szCs w:val="28"/>
        </w:rPr>
        <w:t>udwig</w:t>
      </w:r>
      <w:r w:rsidRPr="002D3A2A">
        <w:rPr>
          <w:rFonts w:ascii="Times New Roman" w:hAnsi="Times New Roman" w:cs="Times New Roman"/>
          <w:sz w:val="28"/>
          <w:szCs w:val="28"/>
        </w:rPr>
        <w:t xml:space="preserve"> Du Toit. </w:t>
      </w:r>
      <w:r w:rsidR="007B1DA2" w:rsidRPr="002D3A2A">
        <w:rPr>
          <w:rFonts w:ascii="Times New Roman" w:hAnsi="Times New Roman" w:cs="Times New Roman"/>
          <w:sz w:val="28"/>
          <w:szCs w:val="28"/>
        </w:rPr>
        <w:t>He considered Mr Bester’s reports and conclud</w:t>
      </w:r>
      <w:r w:rsidR="000009DE">
        <w:rPr>
          <w:rFonts w:ascii="Times New Roman" w:hAnsi="Times New Roman" w:cs="Times New Roman"/>
          <w:sz w:val="28"/>
          <w:szCs w:val="28"/>
        </w:rPr>
        <w:t>ed that the identical signature of the buyer</w:t>
      </w:r>
      <w:r w:rsidR="007B1DA2" w:rsidRPr="002D3A2A">
        <w:rPr>
          <w:rFonts w:ascii="Times New Roman" w:hAnsi="Times New Roman" w:cs="Times New Roman"/>
          <w:sz w:val="28"/>
          <w:szCs w:val="28"/>
        </w:rPr>
        <w:t xml:space="preserve"> </w:t>
      </w:r>
      <w:r w:rsidR="000009DE">
        <w:rPr>
          <w:rFonts w:ascii="Times New Roman" w:hAnsi="Times New Roman" w:cs="Times New Roman"/>
          <w:sz w:val="28"/>
          <w:szCs w:val="28"/>
        </w:rPr>
        <w:t>and seller</w:t>
      </w:r>
      <w:r w:rsidR="00B521E2">
        <w:rPr>
          <w:rFonts w:ascii="Times New Roman" w:hAnsi="Times New Roman" w:cs="Times New Roman"/>
          <w:sz w:val="28"/>
          <w:szCs w:val="28"/>
        </w:rPr>
        <w:t>,</w:t>
      </w:r>
      <w:r w:rsidR="000009DE">
        <w:rPr>
          <w:rFonts w:ascii="Times New Roman" w:hAnsi="Times New Roman" w:cs="Times New Roman"/>
          <w:sz w:val="28"/>
          <w:szCs w:val="28"/>
        </w:rPr>
        <w:t xml:space="preserve"> which appeared </w:t>
      </w:r>
      <w:r w:rsidR="007B1DA2" w:rsidRPr="002D3A2A">
        <w:rPr>
          <w:rFonts w:ascii="Times New Roman" w:hAnsi="Times New Roman" w:cs="Times New Roman"/>
          <w:sz w:val="28"/>
          <w:szCs w:val="28"/>
        </w:rPr>
        <w:t>on</w:t>
      </w:r>
      <w:r w:rsidR="000009DE">
        <w:rPr>
          <w:rFonts w:ascii="Times New Roman" w:hAnsi="Times New Roman" w:cs="Times New Roman"/>
          <w:sz w:val="28"/>
          <w:szCs w:val="28"/>
        </w:rPr>
        <w:t xml:space="preserve"> each of</w:t>
      </w:r>
      <w:r w:rsidR="007B1DA2" w:rsidRPr="002D3A2A">
        <w:rPr>
          <w:rFonts w:ascii="Times New Roman" w:hAnsi="Times New Roman" w:cs="Times New Roman"/>
          <w:sz w:val="28"/>
          <w:szCs w:val="28"/>
        </w:rPr>
        <w:t xml:space="preserve"> the agreements of </w:t>
      </w:r>
      <w:r w:rsidR="00E31740">
        <w:rPr>
          <w:rFonts w:ascii="Times New Roman" w:hAnsi="Times New Roman" w:cs="Times New Roman"/>
          <w:sz w:val="28"/>
          <w:szCs w:val="28"/>
        </w:rPr>
        <w:t xml:space="preserve">the </w:t>
      </w:r>
      <w:r w:rsidR="007B1DA2" w:rsidRPr="002D3A2A">
        <w:rPr>
          <w:rFonts w:ascii="Times New Roman" w:hAnsi="Times New Roman" w:cs="Times New Roman"/>
          <w:sz w:val="28"/>
          <w:szCs w:val="28"/>
        </w:rPr>
        <w:t>different importers</w:t>
      </w:r>
      <w:r w:rsidR="00057888" w:rsidRPr="002D3A2A">
        <w:rPr>
          <w:rFonts w:ascii="Times New Roman" w:hAnsi="Times New Roman" w:cs="Times New Roman"/>
          <w:sz w:val="28"/>
          <w:szCs w:val="28"/>
        </w:rPr>
        <w:t>,</w:t>
      </w:r>
      <w:r w:rsidR="007B1DA2" w:rsidRPr="002D3A2A">
        <w:rPr>
          <w:rFonts w:ascii="Times New Roman" w:hAnsi="Times New Roman" w:cs="Times New Roman"/>
          <w:sz w:val="28"/>
          <w:szCs w:val="28"/>
        </w:rPr>
        <w:t xml:space="preserve"> w</w:t>
      </w:r>
      <w:r w:rsidR="000009DE">
        <w:rPr>
          <w:rFonts w:ascii="Times New Roman" w:hAnsi="Times New Roman" w:cs="Times New Roman"/>
          <w:sz w:val="28"/>
          <w:szCs w:val="28"/>
        </w:rPr>
        <w:t>as</w:t>
      </w:r>
      <w:r w:rsidR="007B1DA2" w:rsidRPr="002D3A2A">
        <w:rPr>
          <w:rFonts w:ascii="Times New Roman" w:hAnsi="Times New Roman" w:cs="Times New Roman"/>
          <w:sz w:val="28"/>
          <w:szCs w:val="28"/>
        </w:rPr>
        <w:t xml:space="preserve"> </w:t>
      </w:r>
      <w:r w:rsidR="000009DE">
        <w:rPr>
          <w:rFonts w:ascii="Times New Roman" w:hAnsi="Times New Roman" w:cs="Times New Roman"/>
          <w:sz w:val="28"/>
          <w:szCs w:val="28"/>
        </w:rPr>
        <w:t>an electronic signature</w:t>
      </w:r>
      <w:r w:rsidR="007B1DA2" w:rsidRPr="002D3A2A">
        <w:rPr>
          <w:rFonts w:ascii="Times New Roman" w:hAnsi="Times New Roman" w:cs="Times New Roman"/>
          <w:sz w:val="28"/>
          <w:szCs w:val="28"/>
        </w:rPr>
        <w:t xml:space="preserve">. Mr Du Toit </w:t>
      </w:r>
      <w:r w:rsidR="00665299" w:rsidRPr="002D3A2A">
        <w:rPr>
          <w:rFonts w:ascii="Times New Roman" w:hAnsi="Times New Roman" w:cs="Times New Roman"/>
          <w:sz w:val="28"/>
          <w:szCs w:val="28"/>
        </w:rPr>
        <w:t xml:space="preserve">however </w:t>
      </w:r>
      <w:r w:rsidR="007B1DA2" w:rsidRPr="002D3A2A">
        <w:rPr>
          <w:rFonts w:ascii="Times New Roman" w:hAnsi="Times New Roman" w:cs="Times New Roman"/>
          <w:sz w:val="28"/>
          <w:szCs w:val="28"/>
        </w:rPr>
        <w:t xml:space="preserve">did not </w:t>
      </w:r>
      <w:r w:rsidR="000F1B9F" w:rsidRPr="002D3A2A">
        <w:rPr>
          <w:rFonts w:ascii="Times New Roman" w:hAnsi="Times New Roman" w:cs="Times New Roman"/>
          <w:sz w:val="28"/>
          <w:szCs w:val="28"/>
        </w:rPr>
        <w:t>challenge</w:t>
      </w:r>
      <w:r w:rsidR="007B1DA2" w:rsidRPr="002D3A2A">
        <w:rPr>
          <w:rFonts w:ascii="Times New Roman" w:hAnsi="Times New Roman" w:cs="Times New Roman"/>
          <w:sz w:val="28"/>
          <w:szCs w:val="28"/>
        </w:rPr>
        <w:t xml:space="preserve"> Mr Bester’s conclusion that </w:t>
      </w:r>
      <w:r w:rsidR="000B0F82" w:rsidRPr="002D3A2A">
        <w:rPr>
          <w:rFonts w:ascii="Times New Roman" w:hAnsi="Times New Roman" w:cs="Times New Roman"/>
          <w:sz w:val="28"/>
          <w:szCs w:val="28"/>
        </w:rPr>
        <w:t>all three</w:t>
      </w:r>
      <w:r w:rsidR="007B1DA2" w:rsidRPr="002D3A2A">
        <w:rPr>
          <w:rFonts w:ascii="Times New Roman" w:hAnsi="Times New Roman" w:cs="Times New Roman"/>
          <w:sz w:val="28"/>
          <w:szCs w:val="28"/>
        </w:rPr>
        <w:t xml:space="preserve"> agreements originated from the same source</w:t>
      </w:r>
      <w:r w:rsidR="00B337FD" w:rsidRPr="002D3A2A">
        <w:rPr>
          <w:rFonts w:ascii="Times New Roman" w:hAnsi="Times New Roman" w:cs="Times New Roman"/>
          <w:sz w:val="28"/>
          <w:szCs w:val="28"/>
        </w:rPr>
        <w:t xml:space="preserve"> document</w:t>
      </w:r>
      <w:r w:rsidR="007B1DA2" w:rsidRPr="002D3A2A">
        <w:rPr>
          <w:rFonts w:ascii="Times New Roman" w:hAnsi="Times New Roman" w:cs="Times New Roman"/>
          <w:sz w:val="28"/>
          <w:szCs w:val="28"/>
        </w:rPr>
        <w:t xml:space="preserve">. </w:t>
      </w:r>
    </w:p>
    <w:p w14:paraId="1C91DB35" w14:textId="77777777" w:rsidR="007B1DA2" w:rsidRPr="002D3A2A" w:rsidRDefault="007B1DA2" w:rsidP="007B1DA2">
      <w:pPr>
        <w:pStyle w:val="ListParagraph"/>
        <w:spacing w:after="0" w:line="360" w:lineRule="auto"/>
        <w:ind w:left="0"/>
        <w:jc w:val="both"/>
        <w:rPr>
          <w:rFonts w:ascii="Times New Roman" w:hAnsi="Times New Roman" w:cs="Times New Roman"/>
          <w:sz w:val="28"/>
          <w:szCs w:val="28"/>
        </w:rPr>
      </w:pPr>
    </w:p>
    <w:p w14:paraId="2293536D" w14:textId="77777777" w:rsidR="000B0F82" w:rsidRPr="002D3A2A" w:rsidRDefault="007B1DA2" w:rsidP="00530FAC">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On 13 August 2020 </w:t>
      </w:r>
      <w:r w:rsidR="00BB1204" w:rsidRPr="002D3A2A">
        <w:rPr>
          <w:rFonts w:ascii="Times New Roman" w:hAnsi="Times New Roman" w:cs="Times New Roman"/>
          <w:sz w:val="28"/>
          <w:szCs w:val="28"/>
        </w:rPr>
        <w:t>SARS</w:t>
      </w:r>
      <w:r w:rsidR="000F1B9F" w:rsidRPr="002D3A2A">
        <w:rPr>
          <w:rFonts w:ascii="Times New Roman" w:hAnsi="Times New Roman" w:cs="Times New Roman"/>
          <w:sz w:val="28"/>
          <w:szCs w:val="28"/>
        </w:rPr>
        <w:t xml:space="preserve"> informed Dragon Freight of the </w:t>
      </w:r>
      <w:r w:rsidR="009B5B81" w:rsidRPr="002D3A2A">
        <w:rPr>
          <w:rFonts w:ascii="Times New Roman" w:hAnsi="Times New Roman" w:cs="Times New Roman"/>
          <w:sz w:val="28"/>
          <w:szCs w:val="28"/>
        </w:rPr>
        <w:t>impugned decision</w:t>
      </w:r>
      <w:r w:rsidR="000F1B9F" w:rsidRPr="002D3A2A">
        <w:rPr>
          <w:rFonts w:ascii="Times New Roman" w:hAnsi="Times New Roman" w:cs="Times New Roman"/>
          <w:sz w:val="28"/>
          <w:szCs w:val="28"/>
        </w:rPr>
        <w:t>.</w:t>
      </w:r>
      <w:r w:rsidR="00BB1204" w:rsidRPr="002D3A2A">
        <w:rPr>
          <w:rFonts w:ascii="Times New Roman" w:hAnsi="Times New Roman" w:cs="Times New Roman"/>
          <w:sz w:val="28"/>
          <w:szCs w:val="28"/>
        </w:rPr>
        <w:t xml:space="preserve"> The reason given was that SARS had considered the evidence and submissions by the respondents and was satisfied that the goods had not been entered as required by ss 38(1), 39(1), 40(1) and (2) read with ss 65(1) and 66 of the Act. Consequently, the goods and the containers in which they were imported were liable to forfeiture as contemplated in s 87(1) and (2) of the Act. </w:t>
      </w:r>
      <w:r w:rsidR="000B0F82" w:rsidRPr="002D3A2A">
        <w:rPr>
          <w:rFonts w:ascii="Times New Roman" w:hAnsi="Times New Roman" w:cs="Times New Roman"/>
          <w:sz w:val="28"/>
          <w:szCs w:val="28"/>
        </w:rPr>
        <w:t xml:space="preserve">Dragon Freight was also informed that it was entitled to written reasons for the </w:t>
      </w:r>
      <w:r w:rsidR="009B5B81" w:rsidRPr="002D3A2A">
        <w:rPr>
          <w:rFonts w:ascii="Times New Roman" w:hAnsi="Times New Roman" w:cs="Times New Roman"/>
          <w:sz w:val="28"/>
          <w:szCs w:val="28"/>
        </w:rPr>
        <w:t>impugned decision</w:t>
      </w:r>
      <w:r w:rsidR="000B0F82" w:rsidRPr="002D3A2A">
        <w:rPr>
          <w:rFonts w:ascii="Times New Roman" w:hAnsi="Times New Roman" w:cs="Times New Roman"/>
          <w:sz w:val="28"/>
          <w:szCs w:val="28"/>
        </w:rPr>
        <w:t xml:space="preserve">. The respondents however did not request written reasons for the decision. </w:t>
      </w:r>
    </w:p>
    <w:p w14:paraId="08F447E7" w14:textId="77777777" w:rsidR="000B0F82" w:rsidRPr="002D3A2A" w:rsidRDefault="000B0F82" w:rsidP="000B0F82">
      <w:pPr>
        <w:pStyle w:val="ListParagraph"/>
        <w:spacing w:after="0" w:line="360" w:lineRule="auto"/>
        <w:ind w:left="0"/>
        <w:jc w:val="both"/>
        <w:rPr>
          <w:rFonts w:ascii="Times New Roman" w:hAnsi="Times New Roman" w:cs="Times New Roman"/>
          <w:sz w:val="28"/>
          <w:szCs w:val="28"/>
        </w:rPr>
      </w:pPr>
    </w:p>
    <w:p w14:paraId="64F5A473" w14:textId="09CE16A9" w:rsidR="00017D30" w:rsidRPr="002D3A2A" w:rsidRDefault="00AA27F5" w:rsidP="00C76277">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On 10 September 2020 the respondent</w:t>
      </w:r>
      <w:r w:rsidR="00030BEC" w:rsidRPr="002D3A2A">
        <w:rPr>
          <w:rFonts w:ascii="Times New Roman" w:hAnsi="Times New Roman" w:cs="Times New Roman"/>
          <w:sz w:val="28"/>
          <w:szCs w:val="28"/>
        </w:rPr>
        <w:t>s</w:t>
      </w:r>
      <w:r w:rsidRPr="002D3A2A">
        <w:rPr>
          <w:rFonts w:ascii="Times New Roman" w:hAnsi="Times New Roman" w:cs="Times New Roman"/>
          <w:sz w:val="28"/>
          <w:szCs w:val="28"/>
        </w:rPr>
        <w:t xml:space="preserve"> delivered a supplementary affidavit in support of the relief foreshadowed in paragraph 4 of the notice of motion, namely that </w:t>
      </w:r>
      <w:r w:rsidR="0090043D" w:rsidRPr="002D3A2A">
        <w:rPr>
          <w:rFonts w:ascii="Times New Roman" w:hAnsi="Times New Roman" w:cs="Times New Roman"/>
          <w:sz w:val="28"/>
          <w:szCs w:val="28"/>
        </w:rPr>
        <w:t xml:space="preserve">the </w:t>
      </w:r>
      <w:r w:rsidRPr="002D3A2A">
        <w:rPr>
          <w:rFonts w:ascii="Times New Roman" w:hAnsi="Times New Roman" w:cs="Times New Roman"/>
          <w:sz w:val="28"/>
          <w:szCs w:val="28"/>
        </w:rPr>
        <w:t xml:space="preserve">decision to seize any of the containers referred to </w:t>
      </w:r>
      <w:r w:rsidR="0090043D" w:rsidRPr="002D3A2A">
        <w:rPr>
          <w:rFonts w:ascii="Times New Roman" w:hAnsi="Times New Roman" w:cs="Times New Roman"/>
          <w:sz w:val="28"/>
          <w:szCs w:val="28"/>
        </w:rPr>
        <w:t xml:space="preserve">in the founding papers, where </w:t>
      </w:r>
      <w:r w:rsidRPr="002D3A2A">
        <w:rPr>
          <w:rFonts w:ascii="Times New Roman" w:hAnsi="Times New Roman" w:cs="Times New Roman"/>
          <w:sz w:val="28"/>
          <w:szCs w:val="28"/>
        </w:rPr>
        <w:t>applicable, be reviewed and set aside</w:t>
      </w:r>
      <w:r w:rsidR="0090043D" w:rsidRPr="002D3A2A">
        <w:rPr>
          <w:rFonts w:ascii="Times New Roman" w:hAnsi="Times New Roman" w:cs="Times New Roman"/>
          <w:sz w:val="28"/>
          <w:szCs w:val="28"/>
        </w:rPr>
        <w:t>, and that SARS be ordered to immediately release the 19 containers and the goods contained therein.</w:t>
      </w:r>
      <w:r w:rsidR="00C76277" w:rsidRPr="002D3A2A">
        <w:rPr>
          <w:rFonts w:ascii="Times New Roman" w:hAnsi="Times New Roman" w:cs="Times New Roman"/>
          <w:sz w:val="28"/>
          <w:szCs w:val="28"/>
        </w:rPr>
        <w:t xml:space="preserve"> </w:t>
      </w:r>
      <w:r w:rsidR="002171C1" w:rsidRPr="002D3A2A">
        <w:rPr>
          <w:rFonts w:ascii="Times New Roman" w:hAnsi="Times New Roman" w:cs="Times New Roman"/>
          <w:sz w:val="28"/>
          <w:szCs w:val="28"/>
        </w:rPr>
        <w:t>As stated earlier, t</w:t>
      </w:r>
      <w:r w:rsidR="00182007" w:rsidRPr="002D3A2A">
        <w:rPr>
          <w:rFonts w:ascii="Times New Roman" w:hAnsi="Times New Roman" w:cs="Times New Roman"/>
          <w:sz w:val="28"/>
          <w:szCs w:val="28"/>
        </w:rPr>
        <w:t xml:space="preserve">he </w:t>
      </w:r>
      <w:r w:rsidR="00BE4CB4" w:rsidRPr="002D3A2A">
        <w:rPr>
          <w:rFonts w:ascii="Times New Roman" w:hAnsi="Times New Roman" w:cs="Times New Roman"/>
          <w:sz w:val="28"/>
          <w:szCs w:val="28"/>
        </w:rPr>
        <w:t xml:space="preserve">high court </w:t>
      </w:r>
      <w:r w:rsidR="002171C1" w:rsidRPr="002D3A2A">
        <w:rPr>
          <w:rFonts w:ascii="Times New Roman" w:hAnsi="Times New Roman" w:cs="Times New Roman"/>
          <w:sz w:val="28"/>
          <w:szCs w:val="28"/>
        </w:rPr>
        <w:t>granted th</w:t>
      </w:r>
      <w:r w:rsidR="007230FB" w:rsidRPr="002D3A2A">
        <w:rPr>
          <w:rFonts w:ascii="Times New Roman" w:hAnsi="Times New Roman" w:cs="Times New Roman"/>
          <w:sz w:val="28"/>
          <w:szCs w:val="28"/>
        </w:rPr>
        <w:t xml:space="preserve">ese </w:t>
      </w:r>
      <w:r w:rsidR="004B5372" w:rsidRPr="002D3A2A">
        <w:rPr>
          <w:rFonts w:ascii="Times New Roman" w:hAnsi="Times New Roman" w:cs="Times New Roman"/>
          <w:sz w:val="28"/>
          <w:szCs w:val="28"/>
        </w:rPr>
        <w:t>order</w:t>
      </w:r>
      <w:r w:rsidR="007230FB" w:rsidRPr="002D3A2A">
        <w:rPr>
          <w:rFonts w:ascii="Times New Roman" w:hAnsi="Times New Roman" w:cs="Times New Roman"/>
          <w:sz w:val="28"/>
          <w:szCs w:val="28"/>
        </w:rPr>
        <w:t>s, together with costs.</w:t>
      </w:r>
      <w:r w:rsidR="00696C7A" w:rsidRPr="002D3A2A">
        <w:rPr>
          <w:rFonts w:ascii="Times New Roman" w:hAnsi="Times New Roman" w:cs="Times New Roman"/>
          <w:sz w:val="28"/>
          <w:szCs w:val="28"/>
        </w:rPr>
        <w:t xml:space="preserve"> </w:t>
      </w:r>
      <w:r w:rsidR="00E913B6" w:rsidRPr="002D3A2A">
        <w:rPr>
          <w:rFonts w:ascii="Times New Roman" w:hAnsi="Times New Roman" w:cs="Times New Roman"/>
          <w:sz w:val="28"/>
          <w:szCs w:val="28"/>
        </w:rPr>
        <w:t xml:space="preserve">The </w:t>
      </w:r>
      <w:r w:rsidR="00E913B6" w:rsidRPr="002D3A2A">
        <w:rPr>
          <w:rFonts w:ascii="Times New Roman" w:hAnsi="Times New Roman" w:cs="Times New Roman"/>
          <w:sz w:val="28"/>
          <w:szCs w:val="28"/>
        </w:rPr>
        <w:lastRenderedPageBreak/>
        <w:t>appellants contend that the orders a</w:t>
      </w:r>
      <w:r w:rsidR="00CC5942" w:rsidRPr="002D3A2A">
        <w:rPr>
          <w:rFonts w:ascii="Times New Roman" w:hAnsi="Times New Roman" w:cs="Times New Roman"/>
          <w:sz w:val="28"/>
          <w:szCs w:val="28"/>
        </w:rPr>
        <w:t>re incompetent because the respondents failed to comply with</w:t>
      </w:r>
      <w:r w:rsidR="0090043D" w:rsidRPr="002D3A2A">
        <w:rPr>
          <w:rFonts w:ascii="Times New Roman" w:hAnsi="Times New Roman" w:cs="Times New Roman"/>
          <w:sz w:val="28"/>
          <w:szCs w:val="28"/>
        </w:rPr>
        <w:t xml:space="preserve"> the peremptory provisions of s</w:t>
      </w:r>
      <w:r w:rsidR="00DB0E03" w:rsidRPr="002D3A2A">
        <w:rPr>
          <w:rFonts w:ascii="Times New Roman" w:hAnsi="Times New Roman" w:cs="Times New Roman"/>
          <w:sz w:val="28"/>
          <w:szCs w:val="28"/>
        </w:rPr>
        <w:t> </w:t>
      </w:r>
      <w:r w:rsidR="00CC5942" w:rsidRPr="002D3A2A">
        <w:rPr>
          <w:rFonts w:ascii="Times New Roman" w:hAnsi="Times New Roman" w:cs="Times New Roman"/>
          <w:sz w:val="28"/>
          <w:szCs w:val="28"/>
        </w:rPr>
        <w:t>96(1) of the Act</w:t>
      </w:r>
      <w:r w:rsidR="0090043D" w:rsidRPr="002D3A2A">
        <w:rPr>
          <w:rFonts w:ascii="Times New Roman" w:hAnsi="Times New Roman" w:cs="Times New Roman"/>
          <w:sz w:val="28"/>
          <w:szCs w:val="28"/>
        </w:rPr>
        <w:t>.</w:t>
      </w:r>
      <w:r w:rsidR="00CC5942" w:rsidRPr="002D3A2A">
        <w:rPr>
          <w:rFonts w:ascii="Times New Roman" w:hAnsi="Times New Roman" w:cs="Times New Roman"/>
          <w:sz w:val="28"/>
          <w:szCs w:val="28"/>
        </w:rPr>
        <w:t xml:space="preserve"> </w:t>
      </w:r>
    </w:p>
    <w:p w14:paraId="3EB2BA8D" w14:textId="77777777" w:rsidR="00E35D66" w:rsidRPr="002D3A2A" w:rsidRDefault="00E35D66" w:rsidP="00E35D66">
      <w:pPr>
        <w:pStyle w:val="ListParagraph"/>
        <w:spacing w:after="0" w:line="360" w:lineRule="auto"/>
        <w:ind w:left="0"/>
        <w:jc w:val="both"/>
        <w:rPr>
          <w:rFonts w:ascii="Times New Roman" w:hAnsi="Times New Roman" w:cs="Times New Roman"/>
          <w:sz w:val="28"/>
          <w:szCs w:val="28"/>
        </w:rPr>
      </w:pPr>
    </w:p>
    <w:p w14:paraId="69AB86D7" w14:textId="63E545A2" w:rsidR="00EF77D8" w:rsidRPr="002D3A2A" w:rsidRDefault="00EF77D8" w:rsidP="000D547B">
      <w:pPr>
        <w:pStyle w:val="ListParagraph"/>
        <w:spacing w:after="0" w:line="360" w:lineRule="auto"/>
        <w:ind w:left="0"/>
        <w:jc w:val="both"/>
        <w:rPr>
          <w:rFonts w:ascii="Times New Roman" w:hAnsi="Times New Roman" w:cs="Times New Roman"/>
          <w:b/>
          <w:sz w:val="28"/>
          <w:szCs w:val="28"/>
        </w:rPr>
      </w:pPr>
      <w:r w:rsidRPr="002D3A2A">
        <w:rPr>
          <w:rFonts w:ascii="Times New Roman" w:hAnsi="Times New Roman" w:cs="Times New Roman"/>
          <w:b/>
          <w:sz w:val="28"/>
          <w:szCs w:val="28"/>
        </w:rPr>
        <w:t>Section 96(1) of the Act</w:t>
      </w:r>
    </w:p>
    <w:p w14:paraId="7460DB37" w14:textId="77777777" w:rsidR="00CC5942" w:rsidRPr="002D3A2A" w:rsidRDefault="00CC5942" w:rsidP="00DE1662">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Section 96(1)</w:t>
      </w:r>
      <w:r w:rsidR="00956B28" w:rsidRPr="002D3A2A">
        <w:rPr>
          <w:rFonts w:ascii="Times New Roman" w:hAnsi="Times New Roman" w:cs="Times New Roman"/>
          <w:i/>
          <w:sz w:val="28"/>
          <w:szCs w:val="28"/>
        </w:rPr>
        <w:t xml:space="preserve"> </w:t>
      </w:r>
      <w:r w:rsidR="00440AB3" w:rsidRPr="002D3A2A">
        <w:rPr>
          <w:rFonts w:ascii="Times New Roman" w:hAnsi="Times New Roman" w:cs="Times New Roman"/>
          <w:sz w:val="28"/>
          <w:szCs w:val="28"/>
        </w:rPr>
        <w:t xml:space="preserve">of the Act, so far as is relevant, </w:t>
      </w:r>
      <w:r w:rsidRPr="002D3A2A">
        <w:rPr>
          <w:rFonts w:ascii="Times New Roman" w:hAnsi="Times New Roman" w:cs="Times New Roman"/>
          <w:sz w:val="28"/>
          <w:szCs w:val="28"/>
        </w:rPr>
        <w:t>provides:</w:t>
      </w:r>
    </w:p>
    <w:p w14:paraId="42C6C983" w14:textId="77777777" w:rsidR="000D547B" w:rsidRPr="002D3A2A" w:rsidRDefault="00CC5942" w:rsidP="00CC5942">
      <w:pPr>
        <w:pStyle w:val="ListParagraph"/>
        <w:spacing w:after="0" w:line="360" w:lineRule="auto"/>
        <w:ind w:left="0"/>
        <w:jc w:val="both"/>
        <w:rPr>
          <w:rFonts w:ascii="Times New Roman" w:hAnsi="Times New Roman" w:cs="Times New Roman"/>
          <w:sz w:val="24"/>
          <w:szCs w:val="24"/>
        </w:rPr>
      </w:pPr>
      <w:r w:rsidRPr="002D3A2A">
        <w:rPr>
          <w:rFonts w:ascii="Times New Roman" w:hAnsi="Times New Roman" w:cs="Times New Roman"/>
          <w:sz w:val="24"/>
          <w:szCs w:val="24"/>
        </w:rPr>
        <w:t>‘</w:t>
      </w:r>
      <w:r w:rsidR="00956B28" w:rsidRPr="002D3A2A">
        <w:rPr>
          <w:rFonts w:ascii="Times New Roman" w:hAnsi="Times New Roman" w:cs="Times New Roman"/>
          <w:sz w:val="24"/>
          <w:szCs w:val="24"/>
        </w:rPr>
        <w:t>(1)</w:t>
      </w:r>
      <w:r w:rsidR="00956B28" w:rsidRPr="002D3A2A">
        <w:rPr>
          <w:rFonts w:ascii="Times New Roman" w:hAnsi="Times New Roman" w:cs="Times New Roman"/>
          <w:i/>
          <w:sz w:val="24"/>
          <w:szCs w:val="24"/>
        </w:rPr>
        <w:t>(a)</w:t>
      </w:r>
      <w:r w:rsidR="00956B28" w:rsidRPr="002D3A2A">
        <w:rPr>
          <w:rFonts w:ascii="Times New Roman" w:hAnsi="Times New Roman" w:cs="Times New Roman"/>
          <w:sz w:val="24"/>
          <w:szCs w:val="24"/>
        </w:rPr>
        <w:t xml:space="preserve">(i) </w:t>
      </w:r>
      <w:r w:rsidRPr="002D3A2A">
        <w:rPr>
          <w:rFonts w:ascii="Times New Roman" w:hAnsi="Times New Roman" w:cs="Times New Roman"/>
          <w:sz w:val="24"/>
          <w:szCs w:val="24"/>
        </w:rPr>
        <w:t xml:space="preserve">No process by which any legal proceedings are instituted against the State, the Minister, the Commissioner or an officer for anything done in pursuance of this Act may be served before the expiry of the period of one month after delivery of a notice in writing setting forth clearly and explicitly the cause </w:t>
      </w:r>
      <w:r w:rsidR="005B1799" w:rsidRPr="002D3A2A">
        <w:rPr>
          <w:rFonts w:ascii="Times New Roman" w:hAnsi="Times New Roman" w:cs="Times New Roman"/>
          <w:sz w:val="24"/>
          <w:szCs w:val="24"/>
        </w:rPr>
        <w:t>of action, the name and</w:t>
      </w:r>
      <w:r w:rsidRPr="002D3A2A">
        <w:rPr>
          <w:rFonts w:ascii="Times New Roman" w:hAnsi="Times New Roman" w:cs="Times New Roman"/>
          <w:sz w:val="24"/>
          <w:szCs w:val="24"/>
        </w:rPr>
        <w:t xml:space="preserve"> place of abode of the person who is to institute such proceedings (in this section referred to as the “litigant”) and the name and address of his or her attorney or agent </w:t>
      </w:r>
      <w:r w:rsidR="005B1799" w:rsidRPr="002D3A2A">
        <w:rPr>
          <w:rFonts w:ascii="Times New Roman" w:hAnsi="Times New Roman" w:cs="Times New Roman"/>
          <w:sz w:val="24"/>
          <w:szCs w:val="24"/>
        </w:rPr>
        <w:t>if any</w:t>
      </w:r>
      <w:r w:rsidR="00440AB3" w:rsidRPr="002D3A2A">
        <w:rPr>
          <w:rFonts w:ascii="Times New Roman" w:hAnsi="Times New Roman" w:cs="Times New Roman"/>
          <w:sz w:val="24"/>
          <w:szCs w:val="24"/>
        </w:rPr>
        <w:t>.</w:t>
      </w:r>
    </w:p>
    <w:p w14:paraId="5F2D7C3B" w14:textId="77777777" w:rsidR="00956B28" w:rsidRPr="002D3A2A" w:rsidRDefault="00956B28" w:rsidP="00CC5942">
      <w:pPr>
        <w:pStyle w:val="ListParagraph"/>
        <w:spacing w:after="0" w:line="360" w:lineRule="auto"/>
        <w:ind w:left="0"/>
        <w:jc w:val="both"/>
        <w:rPr>
          <w:rFonts w:ascii="Times New Roman" w:hAnsi="Times New Roman" w:cs="Times New Roman"/>
          <w:sz w:val="24"/>
          <w:szCs w:val="24"/>
        </w:rPr>
      </w:pPr>
      <w:r w:rsidRPr="002D3A2A">
        <w:rPr>
          <w:rFonts w:ascii="Times New Roman" w:hAnsi="Times New Roman" w:cs="Times New Roman"/>
          <w:sz w:val="24"/>
          <w:szCs w:val="24"/>
        </w:rPr>
        <w:t xml:space="preserve">. . . </w:t>
      </w:r>
    </w:p>
    <w:p w14:paraId="6F03D4DF" w14:textId="787297E0" w:rsidR="007E4210" w:rsidRPr="002D3A2A" w:rsidRDefault="007E4210" w:rsidP="00CC5942">
      <w:pPr>
        <w:pStyle w:val="ListParagraph"/>
        <w:spacing w:after="0" w:line="360" w:lineRule="auto"/>
        <w:ind w:left="0"/>
        <w:jc w:val="both"/>
        <w:rPr>
          <w:rFonts w:ascii="Times New Roman" w:hAnsi="Times New Roman" w:cs="Times New Roman"/>
          <w:sz w:val="24"/>
          <w:szCs w:val="24"/>
        </w:rPr>
      </w:pPr>
      <w:r w:rsidRPr="002D3A2A">
        <w:rPr>
          <w:rFonts w:ascii="Times New Roman" w:hAnsi="Times New Roman" w:cs="Times New Roman"/>
          <w:sz w:val="24"/>
          <w:szCs w:val="24"/>
        </w:rPr>
        <w:t>(iii)</w:t>
      </w:r>
      <w:r w:rsidRPr="002D3A2A">
        <w:rPr>
          <w:rFonts w:ascii="Times New Roman" w:hAnsi="Times New Roman" w:cs="Times New Roman"/>
          <w:sz w:val="24"/>
          <w:szCs w:val="24"/>
        </w:rPr>
        <w:tab/>
      </w:r>
      <w:r w:rsidR="00E863B4" w:rsidRPr="002D3A2A">
        <w:rPr>
          <w:rFonts w:ascii="Times New Roman" w:hAnsi="Times New Roman" w:cs="Times New Roman"/>
          <w:sz w:val="24"/>
          <w:szCs w:val="24"/>
        </w:rPr>
        <w:t>N</w:t>
      </w:r>
      <w:r w:rsidRPr="002D3A2A">
        <w:rPr>
          <w:rFonts w:ascii="Times New Roman" w:hAnsi="Times New Roman" w:cs="Times New Roman"/>
          <w:sz w:val="24"/>
          <w:szCs w:val="24"/>
        </w:rPr>
        <w:t>o such notice shall be valid unless it complies with the requirements prescribed in the section . . .’.</w:t>
      </w:r>
    </w:p>
    <w:p w14:paraId="010A6F5E" w14:textId="77777777" w:rsidR="007E4210" w:rsidRPr="002D3A2A" w:rsidRDefault="007E4210" w:rsidP="00CC5942">
      <w:pPr>
        <w:pStyle w:val="ListParagraph"/>
        <w:spacing w:after="0" w:line="360" w:lineRule="auto"/>
        <w:ind w:left="0"/>
        <w:jc w:val="both"/>
        <w:rPr>
          <w:rFonts w:ascii="Times New Roman" w:hAnsi="Times New Roman" w:cs="Times New Roman"/>
          <w:sz w:val="24"/>
          <w:szCs w:val="24"/>
        </w:rPr>
      </w:pPr>
      <w:r w:rsidRPr="002D3A2A">
        <w:rPr>
          <w:rFonts w:ascii="Times New Roman" w:hAnsi="Times New Roman" w:cs="Times New Roman"/>
          <w:sz w:val="24"/>
          <w:szCs w:val="24"/>
        </w:rPr>
        <w:t xml:space="preserve">. . . </w:t>
      </w:r>
    </w:p>
    <w:p w14:paraId="085F2279" w14:textId="77777777" w:rsidR="00956B28" w:rsidRPr="002D3A2A" w:rsidRDefault="00956B28" w:rsidP="00CC5942">
      <w:pPr>
        <w:pStyle w:val="ListParagraph"/>
        <w:spacing w:after="0" w:line="360" w:lineRule="auto"/>
        <w:ind w:left="0"/>
        <w:jc w:val="both"/>
        <w:rPr>
          <w:rFonts w:ascii="Times New Roman" w:hAnsi="Times New Roman" w:cs="Times New Roman"/>
          <w:sz w:val="24"/>
          <w:szCs w:val="24"/>
        </w:rPr>
      </w:pPr>
      <w:r w:rsidRPr="002D3A2A">
        <w:rPr>
          <w:rFonts w:ascii="Times New Roman" w:hAnsi="Times New Roman" w:cs="Times New Roman"/>
          <w:i/>
          <w:iCs/>
          <w:sz w:val="24"/>
          <w:szCs w:val="24"/>
        </w:rPr>
        <w:t>(c)</w:t>
      </w:r>
      <w:r w:rsidRPr="002D3A2A">
        <w:rPr>
          <w:rFonts w:ascii="Times New Roman" w:hAnsi="Times New Roman" w:cs="Times New Roman"/>
          <w:sz w:val="24"/>
          <w:szCs w:val="24"/>
        </w:rPr>
        <w:t>(i)</w:t>
      </w:r>
      <w:r w:rsidR="00440AB3" w:rsidRPr="002D3A2A">
        <w:rPr>
          <w:rFonts w:ascii="Times New Roman" w:hAnsi="Times New Roman" w:cs="Times New Roman"/>
          <w:sz w:val="24"/>
          <w:szCs w:val="24"/>
        </w:rPr>
        <w:tab/>
      </w:r>
      <w:r w:rsidRPr="002D3A2A">
        <w:rPr>
          <w:rFonts w:ascii="Times New Roman" w:hAnsi="Times New Roman" w:cs="Times New Roman"/>
          <w:sz w:val="24"/>
          <w:szCs w:val="24"/>
        </w:rPr>
        <w:t xml:space="preserve">The State, the Minister, the Commissioner an officer may on good cause shown reduce the period specified in paragraph </w:t>
      </w:r>
      <w:r w:rsidRPr="002D3A2A">
        <w:rPr>
          <w:rFonts w:ascii="Times New Roman" w:hAnsi="Times New Roman" w:cs="Times New Roman"/>
          <w:i/>
          <w:iCs/>
          <w:sz w:val="24"/>
          <w:szCs w:val="24"/>
        </w:rPr>
        <w:t>(a)</w:t>
      </w:r>
      <w:r w:rsidRPr="002D3A2A">
        <w:rPr>
          <w:rFonts w:ascii="Times New Roman" w:hAnsi="Times New Roman" w:cs="Times New Roman"/>
          <w:sz w:val="24"/>
          <w:szCs w:val="24"/>
        </w:rPr>
        <w:t xml:space="preserve"> . . . </w:t>
      </w:r>
    </w:p>
    <w:p w14:paraId="44BA2DB6" w14:textId="77777777" w:rsidR="00440AB3" w:rsidRPr="002D3A2A" w:rsidRDefault="00956B28" w:rsidP="00CC5942">
      <w:pPr>
        <w:pStyle w:val="ListParagraph"/>
        <w:spacing w:after="0" w:line="360" w:lineRule="auto"/>
        <w:ind w:left="0"/>
        <w:jc w:val="both"/>
        <w:rPr>
          <w:rFonts w:ascii="Times New Roman" w:hAnsi="Times New Roman" w:cs="Times New Roman"/>
          <w:sz w:val="28"/>
          <w:szCs w:val="28"/>
        </w:rPr>
      </w:pPr>
      <w:r w:rsidRPr="002D3A2A">
        <w:rPr>
          <w:rFonts w:ascii="Times New Roman" w:hAnsi="Times New Roman" w:cs="Times New Roman"/>
          <w:sz w:val="24"/>
          <w:szCs w:val="24"/>
        </w:rPr>
        <w:t>(ii)</w:t>
      </w:r>
      <w:r w:rsidRPr="002D3A2A">
        <w:rPr>
          <w:rFonts w:ascii="Times New Roman" w:hAnsi="Times New Roman" w:cs="Times New Roman"/>
          <w:sz w:val="24"/>
          <w:szCs w:val="24"/>
        </w:rPr>
        <w:tab/>
        <w:t>I</w:t>
      </w:r>
      <w:r w:rsidR="007E4210" w:rsidRPr="002D3A2A">
        <w:rPr>
          <w:rFonts w:ascii="Times New Roman" w:hAnsi="Times New Roman" w:cs="Times New Roman"/>
          <w:sz w:val="24"/>
          <w:szCs w:val="24"/>
        </w:rPr>
        <w:t>f the S</w:t>
      </w:r>
      <w:r w:rsidRPr="002D3A2A">
        <w:rPr>
          <w:rFonts w:ascii="Times New Roman" w:hAnsi="Times New Roman" w:cs="Times New Roman"/>
          <w:sz w:val="24"/>
          <w:szCs w:val="24"/>
        </w:rPr>
        <w:t>tate, the Minister, the Commissioner or an officer refuses to reduce any period as contemplated in subparagraph (i), a High Court having jurisdiction may upon application of the lit</w:t>
      </w:r>
      <w:r w:rsidR="00E863B4" w:rsidRPr="002D3A2A">
        <w:rPr>
          <w:rFonts w:ascii="Times New Roman" w:hAnsi="Times New Roman" w:cs="Times New Roman"/>
          <w:sz w:val="24"/>
          <w:szCs w:val="24"/>
        </w:rPr>
        <w:t>i</w:t>
      </w:r>
      <w:r w:rsidRPr="002D3A2A">
        <w:rPr>
          <w:rFonts w:ascii="Times New Roman" w:hAnsi="Times New Roman" w:cs="Times New Roman"/>
          <w:sz w:val="24"/>
          <w:szCs w:val="24"/>
        </w:rPr>
        <w:t>gant, reduce or extend any such period where the interests of justice so requires.’</w:t>
      </w:r>
    </w:p>
    <w:p w14:paraId="35787579" w14:textId="77777777" w:rsidR="000D547B" w:rsidRPr="002D3A2A" w:rsidRDefault="000D547B" w:rsidP="000D547B">
      <w:pPr>
        <w:pStyle w:val="ListParagraph"/>
        <w:spacing w:after="0" w:line="360" w:lineRule="auto"/>
        <w:ind w:left="0"/>
        <w:jc w:val="both"/>
        <w:rPr>
          <w:rFonts w:ascii="Times New Roman" w:hAnsi="Times New Roman" w:cs="Times New Roman"/>
          <w:sz w:val="28"/>
          <w:szCs w:val="28"/>
        </w:rPr>
      </w:pPr>
    </w:p>
    <w:p w14:paraId="693F76BA" w14:textId="1C1B997F" w:rsidR="005B1799" w:rsidRPr="002D3A2A" w:rsidRDefault="001D2D45" w:rsidP="00DE1662">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 </w:t>
      </w:r>
      <w:r w:rsidR="004A78F8" w:rsidRPr="002D3A2A">
        <w:rPr>
          <w:rFonts w:ascii="Times New Roman" w:hAnsi="Times New Roman" w:cs="Times New Roman"/>
          <w:sz w:val="28"/>
          <w:szCs w:val="28"/>
        </w:rPr>
        <w:t xml:space="preserve">respondents </w:t>
      </w:r>
      <w:r w:rsidRPr="002D3A2A">
        <w:rPr>
          <w:rFonts w:ascii="Times New Roman" w:hAnsi="Times New Roman" w:cs="Times New Roman"/>
          <w:sz w:val="28"/>
          <w:szCs w:val="28"/>
        </w:rPr>
        <w:t xml:space="preserve">did not </w:t>
      </w:r>
      <w:r w:rsidR="004A78F8" w:rsidRPr="002D3A2A">
        <w:rPr>
          <w:rFonts w:ascii="Times New Roman" w:hAnsi="Times New Roman" w:cs="Times New Roman"/>
          <w:sz w:val="28"/>
          <w:szCs w:val="28"/>
        </w:rPr>
        <w:t xml:space="preserve">deliver </w:t>
      </w:r>
      <w:r w:rsidRPr="002D3A2A">
        <w:rPr>
          <w:rFonts w:ascii="Times New Roman" w:hAnsi="Times New Roman" w:cs="Times New Roman"/>
          <w:sz w:val="28"/>
          <w:szCs w:val="28"/>
        </w:rPr>
        <w:t>a s 96</w:t>
      </w:r>
      <w:r w:rsidR="00440AB3" w:rsidRPr="002D3A2A">
        <w:rPr>
          <w:rFonts w:ascii="Times New Roman" w:hAnsi="Times New Roman" w:cs="Times New Roman"/>
          <w:sz w:val="28"/>
          <w:szCs w:val="28"/>
        </w:rPr>
        <w:t>(1)</w:t>
      </w:r>
      <w:r w:rsidRPr="002D3A2A">
        <w:rPr>
          <w:rFonts w:ascii="Times New Roman" w:hAnsi="Times New Roman" w:cs="Times New Roman"/>
          <w:sz w:val="28"/>
          <w:szCs w:val="28"/>
        </w:rPr>
        <w:t xml:space="preserve"> </w:t>
      </w:r>
      <w:r w:rsidR="0089123A" w:rsidRPr="002D3A2A">
        <w:rPr>
          <w:rFonts w:ascii="Times New Roman" w:hAnsi="Times New Roman" w:cs="Times New Roman"/>
          <w:sz w:val="28"/>
          <w:szCs w:val="28"/>
        </w:rPr>
        <w:t xml:space="preserve">notice </w:t>
      </w:r>
      <w:r w:rsidRPr="002D3A2A">
        <w:rPr>
          <w:rFonts w:ascii="Times New Roman" w:hAnsi="Times New Roman" w:cs="Times New Roman"/>
          <w:sz w:val="28"/>
          <w:szCs w:val="28"/>
        </w:rPr>
        <w:t xml:space="preserve">of their intention to review </w:t>
      </w:r>
      <w:r w:rsidR="0089123A" w:rsidRPr="002D3A2A">
        <w:rPr>
          <w:rFonts w:ascii="Times New Roman" w:hAnsi="Times New Roman" w:cs="Times New Roman"/>
          <w:sz w:val="28"/>
          <w:szCs w:val="28"/>
        </w:rPr>
        <w:t xml:space="preserve">the impugned </w:t>
      </w:r>
      <w:r w:rsidRPr="002D3A2A">
        <w:rPr>
          <w:rFonts w:ascii="Times New Roman" w:hAnsi="Times New Roman" w:cs="Times New Roman"/>
          <w:sz w:val="28"/>
          <w:szCs w:val="28"/>
        </w:rPr>
        <w:t xml:space="preserve">decision. Instead, they relied on a notice by Dragon Freight to SARS dated </w:t>
      </w:r>
      <w:r w:rsidR="005B1799" w:rsidRPr="002D3A2A">
        <w:rPr>
          <w:rFonts w:ascii="Times New Roman" w:hAnsi="Times New Roman" w:cs="Times New Roman"/>
          <w:sz w:val="28"/>
          <w:szCs w:val="28"/>
        </w:rPr>
        <w:t>17</w:t>
      </w:r>
      <w:r w:rsidR="003F7F0A" w:rsidRPr="002D3A2A">
        <w:rPr>
          <w:rFonts w:ascii="Times New Roman" w:hAnsi="Times New Roman" w:cs="Times New Roman"/>
          <w:sz w:val="28"/>
          <w:szCs w:val="28"/>
        </w:rPr>
        <w:t> </w:t>
      </w:r>
      <w:r w:rsidR="005B1799" w:rsidRPr="002D3A2A">
        <w:rPr>
          <w:rFonts w:ascii="Times New Roman" w:hAnsi="Times New Roman" w:cs="Times New Roman"/>
          <w:sz w:val="28"/>
          <w:szCs w:val="28"/>
        </w:rPr>
        <w:t xml:space="preserve">February 2020, </w:t>
      </w:r>
      <w:r w:rsidR="00B22898" w:rsidRPr="002D3A2A">
        <w:rPr>
          <w:rFonts w:ascii="Times New Roman" w:hAnsi="Times New Roman" w:cs="Times New Roman"/>
          <w:sz w:val="28"/>
          <w:szCs w:val="28"/>
        </w:rPr>
        <w:t xml:space="preserve">of its intention </w:t>
      </w:r>
      <w:r w:rsidR="005B1799" w:rsidRPr="002D3A2A">
        <w:rPr>
          <w:rFonts w:ascii="Times New Roman" w:hAnsi="Times New Roman" w:cs="Times New Roman"/>
          <w:sz w:val="28"/>
          <w:szCs w:val="28"/>
        </w:rPr>
        <w:t xml:space="preserve">to bring legal proceedings against SARS (the </w:t>
      </w:r>
      <w:r w:rsidR="00CF4DC4" w:rsidRPr="002D3A2A">
        <w:rPr>
          <w:rFonts w:ascii="Times New Roman" w:hAnsi="Times New Roman" w:cs="Times New Roman"/>
          <w:sz w:val="28"/>
          <w:szCs w:val="28"/>
        </w:rPr>
        <w:t xml:space="preserve">February </w:t>
      </w:r>
      <w:r w:rsidR="005B1799" w:rsidRPr="002D3A2A">
        <w:rPr>
          <w:rFonts w:ascii="Times New Roman" w:hAnsi="Times New Roman" w:cs="Times New Roman"/>
          <w:sz w:val="28"/>
          <w:szCs w:val="28"/>
        </w:rPr>
        <w:t>notice)</w:t>
      </w:r>
      <w:r w:rsidR="00B22898" w:rsidRPr="002D3A2A">
        <w:rPr>
          <w:rFonts w:ascii="Times New Roman" w:hAnsi="Times New Roman" w:cs="Times New Roman"/>
          <w:sz w:val="28"/>
          <w:szCs w:val="28"/>
        </w:rPr>
        <w:t>. It read:</w:t>
      </w:r>
      <w:r w:rsidR="005B1799" w:rsidRPr="002D3A2A">
        <w:rPr>
          <w:rFonts w:ascii="Times New Roman" w:hAnsi="Times New Roman" w:cs="Times New Roman"/>
          <w:sz w:val="28"/>
          <w:szCs w:val="28"/>
        </w:rPr>
        <w:t xml:space="preserve"> </w:t>
      </w:r>
    </w:p>
    <w:p w14:paraId="42BA9A42" w14:textId="77777777" w:rsidR="005B1799" w:rsidRPr="002D3A2A" w:rsidRDefault="005B1799" w:rsidP="005B1799">
      <w:pPr>
        <w:pStyle w:val="ListParagraph"/>
        <w:spacing w:after="0" w:line="360" w:lineRule="auto"/>
        <w:ind w:left="0"/>
        <w:jc w:val="both"/>
        <w:rPr>
          <w:rFonts w:ascii="Times New Roman" w:hAnsi="Times New Roman" w:cs="Times New Roman"/>
          <w:sz w:val="24"/>
          <w:szCs w:val="24"/>
        </w:rPr>
      </w:pPr>
      <w:r w:rsidRPr="002D3A2A">
        <w:rPr>
          <w:rFonts w:ascii="Times New Roman" w:hAnsi="Times New Roman" w:cs="Times New Roman"/>
          <w:sz w:val="24"/>
          <w:szCs w:val="24"/>
        </w:rPr>
        <w:t xml:space="preserve">‘In the event of the detained containers having been seized by </w:t>
      </w:r>
      <w:r w:rsidR="00737FD6" w:rsidRPr="002D3A2A">
        <w:rPr>
          <w:rFonts w:ascii="Times New Roman" w:hAnsi="Times New Roman" w:cs="Times New Roman"/>
          <w:sz w:val="24"/>
          <w:szCs w:val="24"/>
        </w:rPr>
        <w:t xml:space="preserve">SARS or at any stage </w:t>
      </w:r>
      <w:r w:rsidRPr="002D3A2A">
        <w:rPr>
          <w:rFonts w:ascii="Times New Roman" w:hAnsi="Times New Roman" w:cs="Times New Roman"/>
          <w:sz w:val="24"/>
          <w:szCs w:val="24"/>
        </w:rPr>
        <w:t xml:space="preserve">hereafter, </w:t>
      </w:r>
      <w:r w:rsidR="00737FD6" w:rsidRPr="002D3A2A">
        <w:rPr>
          <w:rFonts w:ascii="Times New Roman" w:hAnsi="Times New Roman" w:cs="Times New Roman"/>
          <w:sz w:val="24"/>
          <w:szCs w:val="24"/>
        </w:rPr>
        <w:t>the A</w:t>
      </w:r>
      <w:r w:rsidRPr="002D3A2A">
        <w:rPr>
          <w:rFonts w:ascii="Times New Roman" w:hAnsi="Times New Roman" w:cs="Times New Roman"/>
          <w:sz w:val="24"/>
          <w:szCs w:val="24"/>
        </w:rPr>
        <w:t>pplicant</w:t>
      </w:r>
      <w:r w:rsidR="00737FD6" w:rsidRPr="002D3A2A">
        <w:rPr>
          <w:rFonts w:ascii="Times New Roman" w:hAnsi="Times New Roman" w:cs="Times New Roman"/>
          <w:sz w:val="24"/>
          <w:szCs w:val="24"/>
        </w:rPr>
        <w:t>s claim that such seizure</w:t>
      </w:r>
      <w:r w:rsidRPr="002D3A2A">
        <w:rPr>
          <w:rFonts w:ascii="Times New Roman" w:hAnsi="Times New Roman" w:cs="Times New Roman"/>
          <w:sz w:val="24"/>
          <w:szCs w:val="24"/>
        </w:rPr>
        <w:t xml:space="preserve">(s) </w:t>
      </w:r>
      <w:r w:rsidR="00737FD6" w:rsidRPr="002D3A2A">
        <w:rPr>
          <w:rFonts w:ascii="Times New Roman" w:hAnsi="Times New Roman" w:cs="Times New Roman"/>
          <w:sz w:val="24"/>
          <w:szCs w:val="24"/>
        </w:rPr>
        <w:t xml:space="preserve">be </w:t>
      </w:r>
      <w:r w:rsidRPr="002D3A2A">
        <w:rPr>
          <w:rFonts w:ascii="Times New Roman" w:hAnsi="Times New Roman" w:cs="Times New Roman"/>
          <w:sz w:val="24"/>
          <w:szCs w:val="24"/>
        </w:rPr>
        <w:t xml:space="preserve">reviewed and set aside and that it be ordered that the goods overseas be released immediately </w:t>
      </w:r>
      <w:r w:rsidR="00737FD6" w:rsidRPr="002D3A2A">
        <w:rPr>
          <w:rFonts w:ascii="Times New Roman" w:hAnsi="Times New Roman" w:cs="Times New Roman"/>
          <w:sz w:val="24"/>
          <w:szCs w:val="24"/>
        </w:rPr>
        <w:t>by the R</w:t>
      </w:r>
      <w:r w:rsidRPr="002D3A2A">
        <w:rPr>
          <w:rFonts w:ascii="Times New Roman" w:hAnsi="Times New Roman" w:cs="Times New Roman"/>
          <w:sz w:val="24"/>
          <w:szCs w:val="24"/>
        </w:rPr>
        <w:t>espondent.’</w:t>
      </w:r>
    </w:p>
    <w:p w14:paraId="0BBCA3E8" w14:textId="77777777" w:rsidR="002318AD" w:rsidRPr="002D3A2A" w:rsidRDefault="002318AD" w:rsidP="005B1799">
      <w:pPr>
        <w:pStyle w:val="ListParagraph"/>
        <w:spacing w:after="0" w:line="360" w:lineRule="auto"/>
        <w:ind w:left="0"/>
        <w:jc w:val="both"/>
        <w:rPr>
          <w:rFonts w:ascii="Times New Roman" w:hAnsi="Times New Roman" w:cs="Times New Roman"/>
          <w:sz w:val="28"/>
          <w:szCs w:val="28"/>
        </w:rPr>
      </w:pPr>
    </w:p>
    <w:p w14:paraId="08AA1E2E" w14:textId="1FDFAA86" w:rsidR="003974CA" w:rsidRPr="002D3A2A" w:rsidRDefault="003969AF" w:rsidP="001C0D8E">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In the notice of motion, the respondents asked for an order that the one-month period in s 96(1)</w:t>
      </w:r>
      <w:r w:rsidRPr="002D3A2A">
        <w:rPr>
          <w:rFonts w:ascii="Times New Roman" w:hAnsi="Times New Roman" w:cs="Times New Roman"/>
          <w:i/>
          <w:sz w:val="28"/>
          <w:szCs w:val="28"/>
        </w:rPr>
        <w:t>(a)</w:t>
      </w:r>
      <w:r w:rsidRPr="002D3A2A">
        <w:rPr>
          <w:rFonts w:ascii="Times New Roman" w:hAnsi="Times New Roman" w:cs="Times New Roman"/>
          <w:sz w:val="28"/>
          <w:szCs w:val="28"/>
        </w:rPr>
        <w:t xml:space="preserve">(i) be reduced; alternatively, that their failure to comply </w:t>
      </w:r>
      <w:r w:rsidRPr="002D3A2A">
        <w:rPr>
          <w:rFonts w:ascii="Times New Roman" w:hAnsi="Times New Roman" w:cs="Times New Roman"/>
          <w:sz w:val="28"/>
          <w:szCs w:val="28"/>
        </w:rPr>
        <w:lastRenderedPageBreak/>
        <w:t xml:space="preserve">with the requirements of the section be condoned. </w:t>
      </w:r>
      <w:r w:rsidR="00E863B4" w:rsidRPr="002D3A2A">
        <w:rPr>
          <w:rFonts w:ascii="Times New Roman" w:hAnsi="Times New Roman" w:cs="Times New Roman"/>
          <w:sz w:val="28"/>
          <w:szCs w:val="28"/>
        </w:rPr>
        <w:t>The high court granted this relief</w:t>
      </w:r>
      <w:r w:rsidR="00AD78A9" w:rsidRPr="002D3A2A">
        <w:rPr>
          <w:rFonts w:ascii="Times New Roman" w:hAnsi="Times New Roman" w:cs="Times New Roman"/>
          <w:sz w:val="28"/>
          <w:szCs w:val="28"/>
        </w:rPr>
        <w:t>.</w:t>
      </w:r>
      <w:r w:rsidR="00E863B4" w:rsidRPr="002D3A2A">
        <w:rPr>
          <w:rFonts w:ascii="Times New Roman" w:hAnsi="Times New Roman" w:cs="Times New Roman"/>
          <w:sz w:val="28"/>
          <w:szCs w:val="28"/>
        </w:rPr>
        <w:t xml:space="preserve"> </w:t>
      </w:r>
      <w:r w:rsidR="00AD78A9" w:rsidRPr="002D3A2A">
        <w:rPr>
          <w:rFonts w:ascii="Times New Roman" w:hAnsi="Times New Roman" w:cs="Times New Roman"/>
          <w:sz w:val="28"/>
          <w:szCs w:val="28"/>
        </w:rPr>
        <w:t>I</w:t>
      </w:r>
      <w:r w:rsidR="00E863B4" w:rsidRPr="002D3A2A">
        <w:rPr>
          <w:rFonts w:ascii="Times New Roman" w:hAnsi="Times New Roman" w:cs="Times New Roman"/>
          <w:sz w:val="28"/>
          <w:szCs w:val="28"/>
        </w:rPr>
        <w:t>t made an order that the one-month notice period</w:t>
      </w:r>
      <w:r w:rsidR="003974CA" w:rsidRPr="002D3A2A">
        <w:rPr>
          <w:rFonts w:ascii="Times New Roman" w:hAnsi="Times New Roman" w:cs="Times New Roman"/>
          <w:sz w:val="28"/>
          <w:szCs w:val="28"/>
        </w:rPr>
        <w:t xml:space="preserve">, </w:t>
      </w:r>
    </w:p>
    <w:p w14:paraId="5EE8AB29" w14:textId="3B72EE7B" w:rsidR="00210C10" w:rsidRPr="002D3A2A" w:rsidRDefault="00E863B4" w:rsidP="001C0D8E">
      <w:pPr>
        <w:pStyle w:val="ListParagraph"/>
        <w:spacing w:after="0" w:line="360" w:lineRule="auto"/>
        <w:ind w:left="0"/>
        <w:jc w:val="both"/>
        <w:rPr>
          <w:rFonts w:ascii="Times New Roman" w:hAnsi="Times New Roman" w:cs="Times New Roman"/>
          <w:sz w:val="24"/>
          <w:szCs w:val="24"/>
        </w:rPr>
      </w:pPr>
      <w:r w:rsidRPr="002D3A2A">
        <w:rPr>
          <w:rFonts w:ascii="Times New Roman" w:hAnsi="Times New Roman" w:cs="Times New Roman"/>
          <w:sz w:val="24"/>
          <w:szCs w:val="24"/>
        </w:rPr>
        <w:t>‘be reduced to such an extent that this application is then construed as being compliant with section 96 of the Act; alternatively, that non-compliance with the time period specified in section</w:t>
      </w:r>
      <w:r w:rsidR="00196EE4" w:rsidRPr="002D3A2A">
        <w:rPr>
          <w:rFonts w:ascii="Times New Roman" w:hAnsi="Times New Roman" w:cs="Times New Roman"/>
          <w:sz w:val="24"/>
          <w:szCs w:val="24"/>
        </w:rPr>
        <w:t xml:space="preserve"> 96(1)</w:t>
      </w:r>
      <w:r w:rsidR="00196EE4" w:rsidRPr="002D3A2A">
        <w:rPr>
          <w:rFonts w:ascii="Times New Roman" w:hAnsi="Times New Roman" w:cs="Times New Roman"/>
          <w:i/>
          <w:sz w:val="24"/>
          <w:szCs w:val="24"/>
        </w:rPr>
        <w:t>(a)</w:t>
      </w:r>
      <w:r w:rsidR="00196EE4" w:rsidRPr="002D3A2A">
        <w:rPr>
          <w:rFonts w:ascii="Times New Roman" w:hAnsi="Times New Roman" w:cs="Times New Roman"/>
          <w:sz w:val="24"/>
          <w:szCs w:val="24"/>
        </w:rPr>
        <w:t>(i)</w:t>
      </w:r>
      <w:r w:rsidRPr="002D3A2A">
        <w:rPr>
          <w:rFonts w:ascii="Times New Roman" w:hAnsi="Times New Roman" w:cs="Times New Roman"/>
          <w:sz w:val="24"/>
          <w:szCs w:val="24"/>
        </w:rPr>
        <w:t xml:space="preserve"> be condoned</w:t>
      </w:r>
      <w:r w:rsidR="00196EE4" w:rsidRPr="002D3A2A">
        <w:rPr>
          <w:rFonts w:ascii="Times New Roman" w:hAnsi="Times New Roman" w:cs="Times New Roman"/>
          <w:sz w:val="24"/>
          <w:szCs w:val="24"/>
        </w:rPr>
        <w:t>’</w:t>
      </w:r>
      <w:r w:rsidRPr="002D3A2A">
        <w:rPr>
          <w:rFonts w:ascii="Times New Roman" w:hAnsi="Times New Roman" w:cs="Times New Roman"/>
          <w:sz w:val="24"/>
          <w:szCs w:val="24"/>
        </w:rPr>
        <w:t>.</w:t>
      </w:r>
      <w:r w:rsidR="000E0DED" w:rsidRPr="002D3A2A">
        <w:rPr>
          <w:rFonts w:ascii="Times New Roman" w:hAnsi="Times New Roman" w:cs="Times New Roman"/>
          <w:sz w:val="24"/>
          <w:szCs w:val="24"/>
        </w:rPr>
        <w:t xml:space="preserve"> </w:t>
      </w:r>
    </w:p>
    <w:p w14:paraId="1EFB205C" w14:textId="77777777" w:rsidR="00210C10" w:rsidRPr="002D3A2A" w:rsidRDefault="00210C10" w:rsidP="003969AF">
      <w:pPr>
        <w:pStyle w:val="ListParagraph"/>
        <w:spacing w:after="0" w:line="360" w:lineRule="auto"/>
        <w:ind w:left="0"/>
        <w:jc w:val="both"/>
        <w:rPr>
          <w:rFonts w:ascii="Times New Roman" w:hAnsi="Times New Roman" w:cs="Times New Roman"/>
          <w:sz w:val="28"/>
          <w:szCs w:val="28"/>
        </w:rPr>
      </w:pPr>
    </w:p>
    <w:p w14:paraId="1A2D4E90" w14:textId="7C014415" w:rsidR="00487C1C" w:rsidRPr="002D3A2A" w:rsidRDefault="003969AF" w:rsidP="003969AF">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The starting point for an understanding of the meaning and effect of s 96(1) is the language of the provision, in the light of its context and purpose.</w:t>
      </w:r>
      <w:r w:rsidR="001E168E" w:rsidRPr="002D3A2A">
        <w:rPr>
          <w:rStyle w:val="FootnoteReference"/>
          <w:rFonts w:ascii="Times New Roman" w:hAnsi="Times New Roman" w:cs="Times New Roman"/>
          <w:sz w:val="28"/>
          <w:szCs w:val="28"/>
        </w:rPr>
        <w:footnoteReference w:id="3"/>
      </w:r>
      <w:r w:rsidRPr="002D3A2A">
        <w:rPr>
          <w:rFonts w:ascii="Times New Roman" w:hAnsi="Times New Roman" w:cs="Times New Roman"/>
          <w:sz w:val="28"/>
          <w:szCs w:val="28"/>
        </w:rPr>
        <w:t xml:space="preserve"> </w:t>
      </w:r>
      <w:r w:rsidR="00487C1C" w:rsidRPr="002D3A2A">
        <w:rPr>
          <w:rFonts w:ascii="Times New Roman" w:hAnsi="Times New Roman" w:cs="Times New Roman"/>
          <w:sz w:val="28"/>
          <w:szCs w:val="28"/>
        </w:rPr>
        <w:t xml:space="preserve">In this regard the dictum of Unterhalter AJA in </w:t>
      </w:r>
      <w:r w:rsidR="00487C1C" w:rsidRPr="002D3A2A">
        <w:rPr>
          <w:rFonts w:ascii="Times New Roman" w:hAnsi="Times New Roman" w:cs="Times New Roman"/>
          <w:i/>
          <w:sz w:val="28"/>
          <w:szCs w:val="28"/>
        </w:rPr>
        <w:t>Capitec Bank Holdings Limited</w:t>
      </w:r>
      <w:r w:rsidR="000F0FC3" w:rsidRPr="002D3A2A">
        <w:rPr>
          <w:rFonts w:ascii="Times New Roman" w:hAnsi="Times New Roman" w:cs="Times New Roman"/>
          <w:sz w:val="28"/>
          <w:szCs w:val="28"/>
        </w:rPr>
        <w:t>,</w:t>
      </w:r>
      <w:r w:rsidR="00487C1C" w:rsidRPr="002D3A2A">
        <w:rPr>
          <w:rStyle w:val="FootnoteReference"/>
          <w:rFonts w:ascii="Times New Roman" w:hAnsi="Times New Roman" w:cs="Times New Roman"/>
          <w:sz w:val="28"/>
          <w:szCs w:val="28"/>
        </w:rPr>
        <w:footnoteReference w:id="4"/>
      </w:r>
      <w:r w:rsidR="00487C1C" w:rsidRPr="002D3A2A">
        <w:rPr>
          <w:rFonts w:ascii="Times New Roman" w:hAnsi="Times New Roman" w:cs="Times New Roman"/>
          <w:sz w:val="28"/>
          <w:szCs w:val="28"/>
        </w:rPr>
        <w:t xml:space="preserve"> bears repetition:</w:t>
      </w:r>
    </w:p>
    <w:p w14:paraId="7702434E" w14:textId="77777777" w:rsidR="006A5024" w:rsidRPr="002D3A2A" w:rsidRDefault="00487C1C" w:rsidP="001C0D8E">
      <w:pPr>
        <w:pStyle w:val="ListParagraph"/>
        <w:spacing w:after="0" w:line="360" w:lineRule="auto"/>
        <w:ind w:left="0"/>
        <w:jc w:val="both"/>
        <w:rPr>
          <w:rFonts w:ascii="Times New Roman" w:hAnsi="Times New Roman" w:cs="Times New Roman"/>
          <w:sz w:val="24"/>
          <w:szCs w:val="24"/>
        </w:rPr>
      </w:pPr>
      <w:r w:rsidRPr="002D3A2A">
        <w:rPr>
          <w:rFonts w:ascii="Times New Roman" w:hAnsi="Times New Roman" w:cs="Times New Roman"/>
          <w:color w:val="000000"/>
          <w:sz w:val="24"/>
          <w:szCs w:val="24"/>
          <w:shd w:val="clear" w:color="auto" w:fill="FFFFFF"/>
        </w:rPr>
        <w:t>‘The much-cited passages from </w:t>
      </w:r>
      <w:r w:rsidRPr="002D3A2A">
        <w:rPr>
          <w:rFonts w:ascii="Times New Roman" w:hAnsi="Times New Roman" w:cs="Times New Roman"/>
          <w:i/>
          <w:iCs/>
          <w:color w:val="000000"/>
          <w:sz w:val="24"/>
          <w:szCs w:val="24"/>
          <w:shd w:val="clear" w:color="auto" w:fill="FFFFFF"/>
        </w:rPr>
        <w:t>Natal Joint Municipal Pension Fund v Endumeni Municipality </w:t>
      </w:r>
      <w:r w:rsidRPr="002D3A2A">
        <w:rPr>
          <w:rFonts w:ascii="Times New Roman" w:hAnsi="Times New Roman" w:cs="Times New Roman"/>
          <w:color w:val="000000"/>
          <w:sz w:val="24"/>
          <w:szCs w:val="24"/>
          <w:shd w:val="clear" w:color="auto" w:fill="FFFFFF"/>
        </w:rPr>
        <w:t>(“</w:t>
      </w:r>
      <w:r w:rsidRPr="002D3A2A">
        <w:rPr>
          <w:rFonts w:ascii="Times New Roman" w:hAnsi="Times New Roman" w:cs="Times New Roman"/>
          <w:i/>
          <w:iCs/>
          <w:color w:val="000000"/>
          <w:sz w:val="24"/>
          <w:szCs w:val="24"/>
          <w:shd w:val="clear" w:color="auto" w:fill="FFFFFF"/>
        </w:rPr>
        <w:t>Endumeni</w:t>
      </w:r>
      <w:r w:rsidRPr="002D3A2A">
        <w:rPr>
          <w:rFonts w:ascii="Times New Roman" w:hAnsi="Times New Roman" w:cs="Times New Roman"/>
          <w:color w:val="000000"/>
          <w:sz w:val="24"/>
          <w:szCs w:val="24"/>
          <w:shd w:val="clear" w:color="auto" w:fill="FFFFFF"/>
        </w:rPr>
        <w:t>”) offer guidance as to how to approach the interpretation of the words used in a document. It is the language used, understood in the context in which it is used, and having regard to the purpose of the provision that constitutes the unitary exercise of interpretation. 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constitutes the enterprise by recourse to which a coherent and salient interpretation is determined. As </w:t>
      </w:r>
      <w:r w:rsidRPr="002D3A2A">
        <w:rPr>
          <w:rFonts w:ascii="Times New Roman" w:hAnsi="Times New Roman" w:cs="Times New Roman"/>
          <w:i/>
          <w:iCs/>
          <w:color w:val="000000"/>
          <w:sz w:val="24"/>
          <w:szCs w:val="24"/>
          <w:shd w:val="clear" w:color="auto" w:fill="FFFFFF"/>
        </w:rPr>
        <w:t>Endumeni </w:t>
      </w:r>
      <w:r w:rsidRPr="002D3A2A">
        <w:rPr>
          <w:rFonts w:ascii="Times New Roman" w:hAnsi="Times New Roman" w:cs="Times New Roman"/>
          <w:color w:val="000000"/>
          <w:sz w:val="24"/>
          <w:szCs w:val="24"/>
          <w:shd w:val="clear" w:color="auto" w:fill="FFFFFF"/>
        </w:rPr>
        <w:t>emphasised, citing well-known cases, “[t]he inevitable point of departure is the language of the provision itself”.</w:t>
      </w:r>
      <w:r w:rsidR="006A5024" w:rsidRPr="002D3A2A">
        <w:rPr>
          <w:rFonts w:ascii="Times New Roman" w:hAnsi="Times New Roman" w:cs="Times New Roman"/>
          <w:color w:val="000000"/>
          <w:sz w:val="24"/>
          <w:szCs w:val="24"/>
          <w:shd w:val="clear" w:color="auto" w:fill="FFFFFF"/>
        </w:rPr>
        <w:t>’</w:t>
      </w:r>
      <w:r w:rsidRPr="002D3A2A">
        <w:rPr>
          <w:rFonts w:ascii="Times New Roman" w:hAnsi="Times New Roman" w:cs="Times New Roman"/>
          <w:sz w:val="24"/>
          <w:szCs w:val="24"/>
        </w:rPr>
        <w:t xml:space="preserve"> </w:t>
      </w:r>
    </w:p>
    <w:p w14:paraId="34770E8D" w14:textId="77777777" w:rsidR="006A5024" w:rsidRPr="002D3A2A" w:rsidRDefault="006A5024" w:rsidP="001C0D8E">
      <w:pPr>
        <w:pStyle w:val="ListParagraph"/>
        <w:spacing w:after="0" w:line="360" w:lineRule="auto"/>
        <w:ind w:left="0"/>
        <w:jc w:val="both"/>
        <w:rPr>
          <w:rFonts w:ascii="Times New Roman" w:hAnsi="Times New Roman" w:cs="Times New Roman"/>
          <w:sz w:val="24"/>
          <w:szCs w:val="24"/>
        </w:rPr>
      </w:pPr>
    </w:p>
    <w:p w14:paraId="23152272" w14:textId="2026EF36" w:rsidR="003969AF" w:rsidRPr="002D3A2A" w:rsidRDefault="006A5024" w:rsidP="006A5024">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Section 96(1)</w:t>
      </w:r>
      <w:r w:rsidRPr="002D3A2A">
        <w:rPr>
          <w:rFonts w:ascii="Times New Roman" w:hAnsi="Times New Roman" w:cs="Times New Roman"/>
          <w:i/>
          <w:sz w:val="28"/>
          <w:szCs w:val="28"/>
        </w:rPr>
        <w:t>(a)</w:t>
      </w:r>
      <w:r w:rsidRPr="002D3A2A">
        <w:rPr>
          <w:rFonts w:ascii="Times New Roman" w:hAnsi="Times New Roman" w:cs="Times New Roman"/>
          <w:sz w:val="28"/>
          <w:szCs w:val="28"/>
        </w:rPr>
        <w:t>(i), on its plain language, proscribes the institution of any proceedings unless one-month’s</w:t>
      </w:r>
      <w:r w:rsidR="003969AF" w:rsidRPr="002D3A2A">
        <w:rPr>
          <w:rFonts w:ascii="Times New Roman" w:hAnsi="Times New Roman" w:cs="Times New Roman"/>
          <w:sz w:val="28"/>
          <w:szCs w:val="28"/>
        </w:rPr>
        <w:t xml:space="preserve"> writ</w:t>
      </w:r>
      <w:r w:rsidR="00F4156E" w:rsidRPr="002D3A2A">
        <w:rPr>
          <w:rFonts w:ascii="Times New Roman" w:hAnsi="Times New Roman" w:cs="Times New Roman"/>
          <w:sz w:val="28"/>
          <w:szCs w:val="28"/>
        </w:rPr>
        <w:t xml:space="preserve">ten notice, </w:t>
      </w:r>
      <w:r w:rsidR="00CD6E14" w:rsidRPr="002D3A2A">
        <w:rPr>
          <w:rFonts w:ascii="Times New Roman" w:hAnsi="Times New Roman" w:cs="Times New Roman"/>
          <w:sz w:val="28"/>
          <w:szCs w:val="28"/>
        </w:rPr>
        <w:t xml:space="preserve">‘setting forth clearly and explicitly </w:t>
      </w:r>
      <w:r w:rsidR="003969AF" w:rsidRPr="002D3A2A">
        <w:rPr>
          <w:rFonts w:ascii="Times New Roman" w:hAnsi="Times New Roman" w:cs="Times New Roman"/>
          <w:sz w:val="28"/>
          <w:szCs w:val="28"/>
        </w:rPr>
        <w:t>the cause of action</w:t>
      </w:r>
      <w:r w:rsidR="00CD6E14" w:rsidRPr="002D3A2A">
        <w:rPr>
          <w:rFonts w:ascii="Times New Roman" w:hAnsi="Times New Roman" w:cs="Times New Roman"/>
          <w:sz w:val="28"/>
          <w:szCs w:val="28"/>
        </w:rPr>
        <w:t>’</w:t>
      </w:r>
      <w:r w:rsidR="003969AF" w:rsidRPr="002D3A2A">
        <w:rPr>
          <w:rFonts w:ascii="Times New Roman" w:hAnsi="Times New Roman" w:cs="Times New Roman"/>
          <w:sz w:val="28"/>
          <w:szCs w:val="28"/>
        </w:rPr>
        <w:t xml:space="preserve">, is given to </w:t>
      </w:r>
      <w:r w:rsidRPr="002D3A2A">
        <w:rPr>
          <w:rFonts w:ascii="Times New Roman" w:hAnsi="Times New Roman" w:cs="Times New Roman"/>
          <w:sz w:val="28"/>
          <w:szCs w:val="28"/>
        </w:rPr>
        <w:t>the Commissioner</w:t>
      </w:r>
      <w:r w:rsidR="003969AF" w:rsidRPr="002D3A2A">
        <w:rPr>
          <w:rFonts w:ascii="Times New Roman" w:hAnsi="Times New Roman" w:cs="Times New Roman"/>
          <w:sz w:val="28"/>
          <w:szCs w:val="28"/>
        </w:rPr>
        <w:t xml:space="preserve">. That is made clear by the introductory words that no process </w:t>
      </w:r>
      <w:r w:rsidR="00B04055" w:rsidRPr="002D3A2A">
        <w:rPr>
          <w:rFonts w:ascii="Times New Roman" w:hAnsi="Times New Roman" w:cs="Times New Roman"/>
          <w:sz w:val="28"/>
          <w:szCs w:val="28"/>
        </w:rPr>
        <w:t xml:space="preserve">by which legal proceedings are instituted, </w:t>
      </w:r>
      <w:r w:rsidR="003969AF" w:rsidRPr="002D3A2A">
        <w:rPr>
          <w:rFonts w:ascii="Times New Roman" w:hAnsi="Times New Roman" w:cs="Times New Roman"/>
          <w:sz w:val="28"/>
          <w:szCs w:val="28"/>
        </w:rPr>
        <w:t>may be served before the expiry of the</w:t>
      </w:r>
      <w:r w:rsidR="00996D7B" w:rsidRPr="002D3A2A">
        <w:rPr>
          <w:rFonts w:ascii="Times New Roman" w:hAnsi="Times New Roman" w:cs="Times New Roman"/>
          <w:sz w:val="28"/>
          <w:szCs w:val="28"/>
        </w:rPr>
        <w:t xml:space="preserve"> one-month</w:t>
      </w:r>
      <w:r w:rsidR="003969AF" w:rsidRPr="002D3A2A">
        <w:rPr>
          <w:rFonts w:ascii="Times New Roman" w:hAnsi="Times New Roman" w:cs="Times New Roman"/>
          <w:sz w:val="28"/>
          <w:szCs w:val="28"/>
        </w:rPr>
        <w:t xml:space="preserve"> notic</w:t>
      </w:r>
      <w:r w:rsidR="00996D7B" w:rsidRPr="002D3A2A">
        <w:rPr>
          <w:rFonts w:ascii="Times New Roman" w:hAnsi="Times New Roman" w:cs="Times New Roman"/>
          <w:sz w:val="28"/>
          <w:szCs w:val="28"/>
        </w:rPr>
        <w:t>e period</w:t>
      </w:r>
      <w:r w:rsidR="00B0410A" w:rsidRPr="002D3A2A">
        <w:rPr>
          <w:rFonts w:ascii="Times New Roman" w:hAnsi="Times New Roman" w:cs="Times New Roman"/>
          <w:sz w:val="28"/>
          <w:szCs w:val="28"/>
        </w:rPr>
        <w:t>.</w:t>
      </w:r>
      <w:r w:rsidR="003969AF" w:rsidRPr="002D3A2A">
        <w:rPr>
          <w:rFonts w:ascii="Times New Roman" w:hAnsi="Times New Roman" w:cs="Times New Roman"/>
          <w:sz w:val="28"/>
          <w:szCs w:val="28"/>
        </w:rPr>
        <w:t xml:space="preserve"> </w:t>
      </w:r>
      <w:r w:rsidR="00B0410A" w:rsidRPr="002D3A2A">
        <w:rPr>
          <w:rFonts w:ascii="Times New Roman" w:hAnsi="Times New Roman" w:cs="Times New Roman"/>
          <w:sz w:val="28"/>
          <w:szCs w:val="28"/>
        </w:rPr>
        <w:t xml:space="preserve">It is reinforced by </w:t>
      </w:r>
      <w:r w:rsidR="003969AF" w:rsidRPr="002D3A2A">
        <w:rPr>
          <w:rFonts w:ascii="Times New Roman" w:hAnsi="Times New Roman" w:cs="Times New Roman"/>
          <w:sz w:val="28"/>
          <w:szCs w:val="28"/>
        </w:rPr>
        <w:t>s</w:t>
      </w:r>
      <w:r w:rsidR="009D4D39" w:rsidRPr="002D3A2A">
        <w:rPr>
          <w:rFonts w:ascii="Times New Roman" w:hAnsi="Times New Roman" w:cs="Times New Roman"/>
          <w:sz w:val="28"/>
          <w:szCs w:val="28"/>
        </w:rPr>
        <w:t xml:space="preserve"> 96(1)</w:t>
      </w:r>
      <w:r w:rsidR="003969AF" w:rsidRPr="002D3A2A">
        <w:rPr>
          <w:rFonts w:ascii="Times New Roman" w:hAnsi="Times New Roman" w:cs="Times New Roman"/>
          <w:i/>
          <w:sz w:val="28"/>
          <w:szCs w:val="28"/>
        </w:rPr>
        <w:t>(a)</w:t>
      </w:r>
      <w:r w:rsidR="003969AF" w:rsidRPr="002D3A2A">
        <w:rPr>
          <w:rFonts w:ascii="Times New Roman" w:hAnsi="Times New Roman" w:cs="Times New Roman"/>
          <w:sz w:val="28"/>
          <w:szCs w:val="28"/>
        </w:rPr>
        <w:t xml:space="preserve">(iii), which states that </w:t>
      </w:r>
      <w:r w:rsidR="009D4D39" w:rsidRPr="002D3A2A">
        <w:rPr>
          <w:rFonts w:ascii="Times New Roman" w:hAnsi="Times New Roman" w:cs="Times New Roman"/>
          <w:sz w:val="28"/>
          <w:szCs w:val="28"/>
        </w:rPr>
        <w:t>a</w:t>
      </w:r>
      <w:r w:rsidR="003969AF" w:rsidRPr="002D3A2A">
        <w:rPr>
          <w:rFonts w:ascii="Times New Roman" w:hAnsi="Times New Roman" w:cs="Times New Roman"/>
          <w:sz w:val="28"/>
          <w:szCs w:val="28"/>
        </w:rPr>
        <w:t xml:space="preserve"> notice </w:t>
      </w:r>
      <w:r w:rsidR="009D4D39" w:rsidRPr="002D3A2A">
        <w:rPr>
          <w:rFonts w:ascii="Times New Roman" w:hAnsi="Times New Roman" w:cs="Times New Roman"/>
          <w:sz w:val="28"/>
          <w:szCs w:val="28"/>
        </w:rPr>
        <w:t xml:space="preserve">that does not comply </w:t>
      </w:r>
      <w:r w:rsidR="003969AF" w:rsidRPr="002D3A2A">
        <w:rPr>
          <w:rFonts w:ascii="Times New Roman" w:hAnsi="Times New Roman" w:cs="Times New Roman"/>
          <w:sz w:val="28"/>
          <w:szCs w:val="28"/>
        </w:rPr>
        <w:t>with the requirements of the section</w:t>
      </w:r>
      <w:r w:rsidR="009D4D39" w:rsidRPr="002D3A2A">
        <w:rPr>
          <w:rFonts w:ascii="Times New Roman" w:hAnsi="Times New Roman" w:cs="Times New Roman"/>
          <w:sz w:val="28"/>
          <w:szCs w:val="28"/>
        </w:rPr>
        <w:t>, is invalid</w:t>
      </w:r>
      <w:r w:rsidR="003969AF" w:rsidRPr="002D3A2A">
        <w:rPr>
          <w:rFonts w:ascii="Times New Roman" w:hAnsi="Times New Roman" w:cs="Times New Roman"/>
          <w:sz w:val="28"/>
          <w:szCs w:val="28"/>
        </w:rPr>
        <w:t>.</w:t>
      </w:r>
    </w:p>
    <w:p w14:paraId="65B2A75E" w14:textId="7358E349" w:rsidR="00210C10" w:rsidRPr="002D3A2A" w:rsidRDefault="003969AF" w:rsidP="003969AF">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lastRenderedPageBreak/>
        <w:t xml:space="preserve"> In </w:t>
      </w:r>
      <w:r w:rsidRPr="002D3A2A">
        <w:rPr>
          <w:rFonts w:ascii="Times New Roman" w:hAnsi="Times New Roman" w:cs="Times New Roman"/>
          <w:i/>
          <w:sz w:val="28"/>
          <w:szCs w:val="28"/>
        </w:rPr>
        <w:t>Evins v Shield Insurance</w:t>
      </w:r>
      <w:r w:rsidRPr="002D3A2A">
        <w:rPr>
          <w:rFonts w:ascii="Times New Roman" w:hAnsi="Times New Roman" w:cs="Times New Roman"/>
          <w:sz w:val="28"/>
          <w:szCs w:val="28"/>
        </w:rPr>
        <w:t>,</w:t>
      </w:r>
      <w:r w:rsidRPr="002D3A2A">
        <w:rPr>
          <w:rStyle w:val="FootnoteReference"/>
          <w:rFonts w:ascii="Times New Roman" w:hAnsi="Times New Roman" w:cs="Times New Roman"/>
          <w:sz w:val="28"/>
          <w:szCs w:val="28"/>
        </w:rPr>
        <w:footnoteReference w:id="5"/>
      </w:r>
      <w:r w:rsidRPr="002D3A2A">
        <w:rPr>
          <w:rFonts w:ascii="Times New Roman" w:hAnsi="Times New Roman" w:cs="Times New Roman"/>
          <w:sz w:val="28"/>
          <w:szCs w:val="28"/>
        </w:rPr>
        <w:t xml:space="preserve"> Corbett JA defined a cause of action as the ‘material facts which must be proved in order to enable the plaintiff to sue’. Applied to the present case, it means that </w:t>
      </w:r>
      <w:r w:rsidR="00CB54BC" w:rsidRPr="002D3A2A">
        <w:rPr>
          <w:rFonts w:ascii="Times New Roman" w:hAnsi="Times New Roman" w:cs="Times New Roman"/>
          <w:sz w:val="28"/>
          <w:szCs w:val="28"/>
        </w:rPr>
        <w:t xml:space="preserve">when a notice under s 96(1) is delivered to SARS, the litigant must be able to </w:t>
      </w:r>
      <w:r w:rsidRPr="002D3A2A">
        <w:rPr>
          <w:rFonts w:ascii="Times New Roman" w:hAnsi="Times New Roman" w:cs="Times New Roman"/>
          <w:sz w:val="28"/>
          <w:szCs w:val="28"/>
        </w:rPr>
        <w:t xml:space="preserve">make out a </w:t>
      </w:r>
      <w:r w:rsidR="00CB54BC" w:rsidRPr="002D3A2A">
        <w:rPr>
          <w:rFonts w:ascii="Times New Roman" w:hAnsi="Times New Roman" w:cs="Times New Roman"/>
          <w:sz w:val="28"/>
          <w:szCs w:val="28"/>
        </w:rPr>
        <w:t>cause of action:</w:t>
      </w:r>
      <w:r w:rsidRPr="002D3A2A">
        <w:rPr>
          <w:rFonts w:ascii="Times New Roman" w:hAnsi="Times New Roman" w:cs="Times New Roman"/>
          <w:sz w:val="28"/>
          <w:szCs w:val="28"/>
        </w:rPr>
        <w:t xml:space="preserve"> </w:t>
      </w:r>
      <w:r w:rsidR="00CB54BC" w:rsidRPr="002D3A2A">
        <w:rPr>
          <w:rFonts w:ascii="Times New Roman" w:hAnsi="Times New Roman" w:cs="Times New Roman"/>
          <w:sz w:val="28"/>
          <w:szCs w:val="28"/>
        </w:rPr>
        <w:t xml:space="preserve">it </w:t>
      </w:r>
      <w:r w:rsidR="0031784C" w:rsidRPr="002D3A2A">
        <w:rPr>
          <w:rFonts w:ascii="Times New Roman" w:hAnsi="Times New Roman" w:cs="Times New Roman"/>
          <w:sz w:val="28"/>
          <w:szCs w:val="28"/>
        </w:rPr>
        <w:t xml:space="preserve">must assert </w:t>
      </w:r>
      <w:r w:rsidRPr="002D3A2A">
        <w:rPr>
          <w:rFonts w:ascii="Times New Roman" w:hAnsi="Times New Roman" w:cs="Times New Roman"/>
          <w:sz w:val="28"/>
          <w:szCs w:val="28"/>
        </w:rPr>
        <w:t>facts which</w:t>
      </w:r>
      <w:r w:rsidR="0031784C" w:rsidRPr="002D3A2A">
        <w:rPr>
          <w:rFonts w:ascii="Times New Roman" w:hAnsi="Times New Roman" w:cs="Times New Roman"/>
          <w:sz w:val="28"/>
          <w:szCs w:val="28"/>
        </w:rPr>
        <w:t xml:space="preserve"> it would be necessary to prove</w:t>
      </w:r>
      <w:r w:rsidRPr="002D3A2A">
        <w:rPr>
          <w:rFonts w:ascii="Times New Roman" w:hAnsi="Times New Roman" w:cs="Times New Roman"/>
          <w:sz w:val="28"/>
          <w:szCs w:val="28"/>
        </w:rPr>
        <w:t xml:space="preserve">, if traversed, </w:t>
      </w:r>
      <w:r w:rsidR="0031784C" w:rsidRPr="002D3A2A">
        <w:rPr>
          <w:rFonts w:ascii="Times New Roman" w:hAnsi="Times New Roman" w:cs="Times New Roman"/>
          <w:sz w:val="28"/>
          <w:szCs w:val="28"/>
        </w:rPr>
        <w:t xml:space="preserve">to support its right to the judgment of the court. </w:t>
      </w:r>
      <w:r w:rsidR="00736C79" w:rsidRPr="002D3A2A">
        <w:rPr>
          <w:rFonts w:ascii="Times New Roman" w:hAnsi="Times New Roman" w:cs="Times New Roman"/>
          <w:sz w:val="28"/>
          <w:szCs w:val="28"/>
        </w:rPr>
        <w:t>The respondents however had no cause of action when they delivered the February notice. T</w:t>
      </w:r>
      <w:r w:rsidR="00C11256" w:rsidRPr="002D3A2A">
        <w:rPr>
          <w:rFonts w:ascii="Times New Roman" w:hAnsi="Times New Roman" w:cs="Times New Roman"/>
          <w:sz w:val="28"/>
          <w:szCs w:val="28"/>
        </w:rPr>
        <w:t>hat thi</w:t>
      </w:r>
      <w:r w:rsidR="00736C79" w:rsidRPr="002D3A2A">
        <w:rPr>
          <w:rFonts w:ascii="Times New Roman" w:hAnsi="Times New Roman" w:cs="Times New Roman"/>
          <w:sz w:val="28"/>
          <w:szCs w:val="28"/>
        </w:rPr>
        <w:t>s</w:t>
      </w:r>
      <w:r w:rsidR="00250352" w:rsidRPr="002D3A2A">
        <w:rPr>
          <w:rFonts w:ascii="Times New Roman" w:hAnsi="Times New Roman" w:cs="Times New Roman"/>
          <w:sz w:val="28"/>
          <w:szCs w:val="28"/>
        </w:rPr>
        <w:t xml:space="preserve"> is</w:t>
      </w:r>
      <w:r w:rsidR="00736C79" w:rsidRPr="002D3A2A">
        <w:rPr>
          <w:rFonts w:ascii="Times New Roman" w:hAnsi="Times New Roman" w:cs="Times New Roman"/>
          <w:sz w:val="28"/>
          <w:szCs w:val="28"/>
        </w:rPr>
        <w:t xml:space="preserve"> a prerequisite is underscored by </w:t>
      </w:r>
      <w:r w:rsidR="00C11256" w:rsidRPr="002D3A2A">
        <w:rPr>
          <w:rFonts w:ascii="Times New Roman" w:hAnsi="Times New Roman" w:cs="Times New Roman"/>
          <w:sz w:val="28"/>
          <w:szCs w:val="28"/>
        </w:rPr>
        <w:t xml:space="preserve">the phrase ‘anything </w:t>
      </w:r>
      <w:r w:rsidR="00E913B6" w:rsidRPr="002D3A2A">
        <w:rPr>
          <w:rFonts w:ascii="Times New Roman" w:hAnsi="Times New Roman" w:cs="Times New Roman"/>
          <w:sz w:val="28"/>
          <w:szCs w:val="28"/>
        </w:rPr>
        <w:t xml:space="preserve">done in pursuance of this Act’ </w:t>
      </w:r>
      <w:r w:rsidR="000D3EBE" w:rsidRPr="002D3A2A">
        <w:rPr>
          <w:rFonts w:ascii="Times New Roman" w:hAnsi="Times New Roman" w:cs="Times New Roman"/>
          <w:sz w:val="28"/>
          <w:szCs w:val="28"/>
        </w:rPr>
        <w:t>in s 96(1)</w:t>
      </w:r>
      <w:r w:rsidR="000D3EBE" w:rsidRPr="002D3A2A">
        <w:rPr>
          <w:rFonts w:ascii="Times New Roman" w:hAnsi="Times New Roman" w:cs="Times New Roman"/>
          <w:i/>
          <w:sz w:val="28"/>
          <w:szCs w:val="28"/>
        </w:rPr>
        <w:t>(a)</w:t>
      </w:r>
      <w:r w:rsidR="000D3EBE" w:rsidRPr="002D3A2A">
        <w:rPr>
          <w:rFonts w:ascii="Times New Roman" w:hAnsi="Times New Roman" w:cs="Times New Roman"/>
          <w:sz w:val="28"/>
          <w:szCs w:val="28"/>
        </w:rPr>
        <w:t xml:space="preserve">(i) </w:t>
      </w:r>
      <w:r w:rsidR="00E913B6" w:rsidRPr="002D3A2A">
        <w:rPr>
          <w:rFonts w:ascii="Times New Roman" w:hAnsi="Times New Roman" w:cs="Times New Roman"/>
          <w:sz w:val="28"/>
          <w:szCs w:val="28"/>
        </w:rPr>
        <w:t xml:space="preserve">– </w:t>
      </w:r>
      <w:r w:rsidR="00CD6E14" w:rsidRPr="002D3A2A">
        <w:rPr>
          <w:rFonts w:ascii="Times New Roman" w:hAnsi="Times New Roman" w:cs="Times New Roman"/>
          <w:sz w:val="28"/>
          <w:szCs w:val="28"/>
        </w:rPr>
        <w:t xml:space="preserve">it </w:t>
      </w:r>
      <w:r w:rsidR="00DE76DC" w:rsidRPr="002D3A2A">
        <w:rPr>
          <w:rFonts w:ascii="Times New Roman" w:hAnsi="Times New Roman" w:cs="Times New Roman"/>
          <w:sz w:val="28"/>
          <w:szCs w:val="28"/>
        </w:rPr>
        <w:t xml:space="preserve">clearly </w:t>
      </w:r>
      <w:r w:rsidR="00C11256" w:rsidRPr="002D3A2A">
        <w:rPr>
          <w:rFonts w:ascii="Times New Roman" w:hAnsi="Times New Roman" w:cs="Times New Roman"/>
          <w:sz w:val="28"/>
          <w:szCs w:val="28"/>
        </w:rPr>
        <w:t xml:space="preserve">envisages action already taken. </w:t>
      </w:r>
    </w:p>
    <w:p w14:paraId="11CBAB2D" w14:textId="77777777" w:rsidR="00210C10" w:rsidRPr="002D3A2A" w:rsidRDefault="00210C10" w:rsidP="003F739E">
      <w:pPr>
        <w:pStyle w:val="ListParagraph"/>
        <w:spacing w:after="0" w:line="360" w:lineRule="auto"/>
        <w:ind w:left="0"/>
        <w:jc w:val="both"/>
        <w:rPr>
          <w:rFonts w:ascii="Times New Roman" w:hAnsi="Times New Roman" w:cs="Times New Roman"/>
          <w:sz w:val="28"/>
          <w:szCs w:val="28"/>
        </w:rPr>
      </w:pPr>
    </w:p>
    <w:p w14:paraId="4D7291A6" w14:textId="77777777" w:rsidR="00CD6E14" w:rsidRPr="002D3A2A" w:rsidRDefault="003F739E" w:rsidP="008D58C8">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 purpose of </w:t>
      </w:r>
      <w:r w:rsidR="000D3EBE" w:rsidRPr="002D3A2A">
        <w:rPr>
          <w:rFonts w:ascii="Times New Roman" w:hAnsi="Times New Roman" w:cs="Times New Roman"/>
          <w:sz w:val="28"/>
          <w:szCs w:val="28"/>
        </w:rPr>
        <w:t>s 96(1)</w:t>
      </w:r>
      <w:r w:rsidR="00F07945" w:rsidRPr="002D3A2A">
        <w:rPr>
          <w:rFonts w:ascii="Times New Roman" w:hAnsi="Times New Roman" w:cs="Times New Roman"/>
          <w:sz w:val="28"/>
          <w:szCs w:val="28"/>
        </w:rPr>
        <w:t xml:space="preserve"> </w:t>
      </w:r>
      <w:r w:rsidRPr="002D3A2A">
        <w:rPr>
          <w:rFonts w:ascii="Times New Roman" w:hAnsi="Times New Roman" w:cs="Times New Roman"/>
          <w:sz w:val="28"/>
          <w:szCs w:val="28"/>
        </w:rPr>
        <w:t>is self-evident:</w:t>
      </w:r>
      <w:r w:rsidR="009714D5" w:rsidRPr="002D3A2A">
        <w:rPr>
          <w:rFonts w:ascii="Times New Roman" w:hAnsi="Times New Roman" w:cs="Times New Roman"/>
          <w:sz w:val="28"/>
          <w:szCs w:val="28"/>
        </w:rPr>
        <w:t xml:space="preserve"> to allow</w:t>
      </w:r>
      <w:r w:rsidRPr="002D3A2A">
        <w:rPr>
          <w:rFonts w:ascii="Times New Roman" w:hAnsi="Times New Roman" w:cs="Times New Roman"/>
          <w:sz w:val="28"/>
          <w:szCs w:val="28"/>
        </w:rPr>
        <w:t xml:space="preserve"> </w:t>
      </w:r>
      <w:r w:rsidR="00F41DEC" w:rsidRPr="002D3A2A">
        <w:rPr>
          <w:rFonts w:ascii="Times New Roman" w:hAnsi="Times New Roman" w:cs="Times New Roman"/>
          <w:sz w:val="28"/>
          <w:szCs w:val="28"/>
        </w:rPr>
        <w:t>SARS, the</w:t>
      </w:r>
      <w:r w:rsidR="008E435A" w:rsidRPr="002D3A2A">
        <w:rPr>
          <w:rFonts w:ascii="Times New Roman" w:hAnsi="Times New Roman" w:cs="Times New Roman"/>
          <w:sz w:val="28"/>
          <w:szCs w:val="28"/>
        </w:rPr>
        <w:t xml:space="preserve"> organ of </w:t>
      </w:r>
      <w:r w:rsidR="00F07945" w:rsidRPr="002D3A2A">
        <w:rPr>
          <w:rFonts w:ascii="Times New Roman" w:hAnsi="Times New Roman" w:cs="Times New Roman"/>
          <w:sz w:val="28"/>
          <w:szCs w:val="28"/>
        </w:rPr>
        <w:t>s</w:t>
      </w:r>
      <w:r w:rsidR="008E435A" w:rsidRPr="002D3A2A">
        <w:rPr>
          <w:rFonts w:ascii="Times New Roman" w:hAnsi="Times New Roman" w:cs="Times New Roman"/>
          <w:sz w:val="28"/>
          <w:szCs w:val="28"/>
        </w:rPr>
        <w:t>tate charged with the administration of the A</w:t>
      </w:r>
      <w:r w:rsidR="00F07945" w:rsidRPr="002D3A2A">
        <w:rPr>
          <w:rFonts w:ascii="Times New Roman" w:hAnsi="Times New Roman" w:cs="Times New Roman"/>
          <w:sz w:val="28"/>
          <w:szCs w:val="28"/>
        </w:rPr>
        <w:t>ct, to investigate or review the merits of the intended legal proceedings and</w:t>
      </w:r>
      <w:r w:rsidR="007F5E6F" w:rsidRPr="002D3A2A">
        <w:rPr>
          <w:rFonts w:ascii="Times New Roman" w:hAnsi="Times New Roman" w:cs="Times New Roman"/>
          <w:sz w:val="28"/>
          <w:szCs w:val="28"/>
        </w:rPr>
        <w:t xml:space="preserve"> decide what position to adopt in relation thereto. </w:t>
      </w:r>
      <w:r w:rsidR="009714D5" w:rsidRPr="002D3A2A">
        <w:rPr>
          <w:rFonts w:ascii="Times New Roman" w:hAnsi="Times New Roman" w:cs="Times New Roman"/>
          <w:sz w:val="28"/>
          <w:szCs w:val="28"/>
        </w:rPr>
        <w:t xml:space="preserve">It </w:t>
      </w:r>
      <w:r w:rsidR="007F5E6F" w:rsidRPr="002D3A2A">
        <w:rPr>
          <w:rFonts w:ascii="Times New Roman" w:hAnsi="Times New Roman" w:cs="Times New Roman"/>
          <w:sz w:val="28"/>
          <w:szCs w:val="28"/>
        </w:rPr>
        <w:t>may, for example</w:t>
      </w:r>
      <w:r w:rsidR="00F41DEC" w:rsidRPr="002D3A2A">
        <w:rPr>
          <w:rFonts w:ascii="Times New Roman" w:hAnsi="Times New Roman" w:cs="Times New Roman"/>
          <w:sz w:val="28"/>
          <w:szCs w:val="28"/>
        </w:rPr>
        <w:t xml:space="preserve">, </w:t>
      </w:r>
      <w:r w:rsidR="007F5E6F" w:rsidRPr="002D3A2A">
        <w:rPr>
          <w:rFonts w:ascii="Times New Roman" w:hAnsi="Times New Roman" w:cs="Times New Roman"/>
          <w:sz w:val="28"/>
          <w:szCs w:val="28"/>
        </w:rPr>
        <w:t xml:space="preserve">in an </w:t>
      </w:r>
      <w:r w:rsidR="00F41DEC" w:rsidRPr="002D3A2A">
        <w:rPr>
          <w:rFonts w:ascii="Times New Roman" w:hAnsi="Times New Roman" w:cs="Times New Roman"/>
          <w:sz w:val="28"/>
          <w:szCs w:val="28"/>
        </w:rPr>
        <w:t>appropriate</w:t>
      </w:r>
      <w:r w:rsidR="007F5E6F" w:rsidRPr="002D3A2A">
        <w:rPr>
          <w:rFonts w:ascii="Times New Roman" w:hAnsi="Times New Roman" w:cs="Times New Roman"/>
          <w:sz w:val="28"/>
          <w:szCs w:val="28"/>
        </w:rPr>
        <w:t xml:space="preserve"> case decide</w:t>
      </w:r>
      <w:r w:rsidR="00F41DEC" w:rsidRPr="002D3A2A">
        <w:rPr>
          <w:rFonts w:ascii="Times New Roman" w:hAnsi="Times New Roman" w:cs="Times New Roman"/>
          <w:sz w:val="28"/>
          <w:szCs w:val="28"/>
        </w:rPr>
        <w:t xml:space="preserve"> to resolve the dispute before </w:t>
      </w:r>
      <w:r w:rsidR="007F5E6F" w:rsidRPr="002D3A2A">
        <w:rPr>
          <w:rFonts w:ascii="Times New Roman" w:hAnsi="Times New Roman" w:cs="Times New Roman"/>
          <w:sz w:val="28"/>
          <w:szCs w:val="28"/>
        </w:rPr>
        <w:t xml:space="preserve">the institution of legal </w:t>
      </w:r>
      <w:r w:rsidR="00F41DEC" w:rsidRPr="002D3A2A">
        <w:rPr>
          <w:rFonts w:ascii="Times New Roman" w:hAnsi="Times New Roman" w:cs="Times New Roman"/>
          <w:sz w:val="28"/>
          <w:szCs w:val="28"/>
        </w:rPr>
        <w:t>proceedings</w:t>
      </w:r>
      <w:r w:rsidR="007F5E6F" w:rsidRPr="002D3A2A">
        <w:rPr>
          <w:rFonts w:ascii="Times New Roman" w:hAnsi="Times New Roman" w:cs="Times New Roman"/>
          <w:sz w:val="28"/>
          <w:szCs w:val="28"/>
        </w:rPr>
        <w:t>,</w:t>
      </w:r>
      <w:r w:rsidR="00F41DEC" w:rsidRPr="002D3A2A">
        <w:rPr>
          <w:rFonts w:ascii="Times New Roman" w:hAnsi="Times New Roman" w:cs="Times New Roman"/>
          <w:sz w:val="28"/>
          <w:szCs w:val="28"/>
        </w:rPr>
        <w:t xml:space="preserve"> so as to avoid unnecessary and costly litigation</w:t>
      </w:r>
      <w:r w:rsidR="00AD2CF5" w:rsidRPr="002D3A2A">
        <w:rPr>
          <w:rFonts w:ascii="Times New Roman" w:hAnsi="Times New Roman" w:cs="Times New Roman"/>
          <w:sz w:val="28"/>
          <w:szCs w:val="28"/>
        </w:rPr>
        <w:t xml:space="preserve"> at public expense</w:t>
      </w:r>
      <w:r w:rsidR="00F41DEC" w:rsidRPr="002D3A2A">
        <w:rPr>
          <w:rFonts w:ascii="Times New Roman" w:hAnsi="Times New Roman" w:cs="Times New Roman"/>
          <w:sz w:val="28"/>
          <w:szCs w:val="28"/>
        </w:rPr>
        <w:t>.</w:t>
      </w:r>
      <w:r w:rsidR="00AD2CF5" w:rsidRPr="002D3A2A">
        <w:rPr>
          <w:rStyle w:val="FootnoteReference"/>
          <w:rFonts w:ascii="Times New Roman" w:hAnsi="Times New Roman" w:cs="Times New Roman"/>
          <w:sz w:val="28"/>
          <w:szCs w:val="28"/>
        </w:rPr>
        <w:footnoteReference w:id="6"/>
      </w:r>
      <w:r w:rsidR="00F41DEC" w:rsidRPr="002D3A2A">
        <w:rPr>
          <w:rFonts w:ascii="Times New Roman" w:hAnsi="Times New Roman" w:cs="Times New Roman"/>
          <w:sz w:val="28"/>
          <w:szCs w:val="28"/>
        </w:rPr>
        <w:t xml:space="preserve"> </w:t>
      </w:r>
    </w:p>
    <w:p w14:paraId="3F4A5EE7" w14:textId="77777777" w:rsidR="00CD6E14" w:rsidRPr="002D3A2A" w:rsidRDefault="00CD6E14" w:rsidP="00CD6E14">
      <w:pPr>
        <w:pStyle w:val="ListParagraph"/>
        <w:spacing w:after="0" w:line="360" w:lineRule="auto"/>
        <w:ind w:left="0"/>
        <w:jc w:val="both"/>
        <w:rPr>
          <w:rFonts w:ascii="Times New Roman" w:hAnsi="Times New Roman" w:cs="Times New Roman"/>
          <w:sz w:val="28"/>
          <w:szCs w:val="28"/>
        </w:rPr>
      </w:pPr>
    </w:p>
    <w:p w14:paraId="23279657" w14:textId="6E775552" w:rsidR="00996D7B" w:rsidRPr="002D3A2A" w:rsidRDefault="00F41DEC" w:rsidP="008D58C8">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SARS is a large and complex institution with </w:t>
      </w:r>
      <w:r w:rsidR="00D749B6" w:rsidRPr="002D3A2A">
        <w:rPr>
          <w:rFonts w:ascii="Times New Roman" w:hAnsi="Times New Roman" w:cs="Times New Roman"/>
          <w:sz w:val="28"/>
          <w:szCs w:val="28"/>
        </w:rPr>
        <w:t>extensive administrative responsibilities</w:t>
      </w:r>
      <w:r w:rsidRPr="002D3A2A">
        <w:rPr>
          <w:rFonts w:ascii="Times New Roman" w:hAnsi="Times New Roman" w:cs="Times New Roman"/>
          <w:sz w:val="28"/>
          <w:szCs w:val="28"/>
        </w:rPr>
        <w:t xml:space="preserve"> and high workloads. Its functions </w:t>
      </w:r>
      <w:r w:rsidR="00C11256" w:rsidRPr="002D3A2A">
        <w:rPr>
          <w:rFonts w:ascii="Times New Roman" w:hAnsi="Times New Roman" w:cs="Times New Roman"/>
          <w:sz w:val="28"/>
          <w:szCs w:val="28"/>
        </w:rPr>
        <w:t xml:space="preserve">are not confined to </w:t>
      </w:r>
      <w:r w:rsidR="007C2B13" w:rsidRPr="002D3A2A">
        <w:rPr>
          <w:rFonts w:ascii="Times New Roman" w:hAnsi="Times New Roman" w:cs="Times New Roman"/>
          <w:sz w:val="28"/>
          <w:szCs w:val="28"/>
        </w:rPr>
        <w:t xml:space="preserve">the </w:t>
      </w:r>
      <w:r w:rsidR="0061213A" w:rsidRPr="002D3A2A">
        <w:rPr>
          <w:rFonts w:ascii="Times New Roman" w:hAnsi="Times New Roman" w:cs="Times New Roman"/>
          <w:sz w:val="28"/>
          <w:szCs w:val="28"/>
        </w:rPr>
        <w:t xml:space="preserve">levying of customs and excise duties under </w:t>
      </w:r>
      <w:r w:rsidR="00C11256" w:rsidRPr="002D3A2A">
        <w:rPr>
          <w:rFonts w:ascii="Times New Roman" w:hAnsi="Times New Roman" w:cs="Times New Roman"/>
          <w:sz w:val="28"/>
          <w:szCs w:val="28"/>
        </w:rPr>
        <w:t>the Act, but include</w:t>
      </w:r>
      <w:r w:rsidR="00B766F6" w:rsidRPr="002D3A2A">
        <w:rPr>
          <w:rFonts w:ascii="Times New Roman" w:hAnsi="Times New Roman" w:cs="Times New Roman"/>
          <w:sz w:val="28"/>
          <w:szCs w:val="28"/>
        </w:rPr>
        <w:t xml:space="preserve"> the </w:t>
      </w:r>
      <w:r w:rsidR="0011799E" w:rsidRPr="002D3A2A">
        <w:rPr>
          <w:rFonts w:ascii="Times New Roman" w:hAnsi="Times New Roman" w:cs="Times New Roman"/>
          <w:sz w:val="28"/>
          <w:szCs w:val="28"/>
        </w:rPr>
        <w:t xml:space="preserve">recovery of taxes under the Income Tax Act 58 of 1962 and the </w:t>
      </w:r>
      <w:r w:rsidR="00D749B6" w:rsidRPr="002D3A2A">
        <w:rPr>
          <w:rFonts w:ascii="Times New Roman" w:hAnsi="Times New Roman" w:cs="Times New Roman"/>
          <w:sz w:val="28"/>
          <w:szCs w:val="28"/>
        </w:rPr>
        <w:t xml:space="preserve">administration of the </w:t>
      </w:r>
      <w:r w:rsidR="0011799E" w:rsidRPr="002D3A2A">
        <w:rPr>
          <w:rFonts w:ascii="Times New Roman" w:hAnsi="Times New Roman" w:cs="Times New Roman"/>
          <w:sz w:val="28"/>
          <w:szCs w:val="28"/>
        </w:rPr>
        <w:t>V</w:t>
      </w:r>
      <w:r w:rsidR="00D749B6" w:rsidRPr="002D3A2A">
        <w:rPr>
          <w:rFonts w:ascii="Times New Roman" w:hAnsi="Times New Roman" w:cs="Times New Roman"/>
          <w:sz w:val="28"/>
          <w:szCs w:val="28"/>
        </w:rPr>
        <w:t>alue-</w:t>
      </w:r>
      <w:r w:rsidR="0011799E" w:rsidRPr="002D3A2A">
        <w:rPr>
          <w:rFonts w:ascii="Times New Roman" w:hAnsi="Times New Roman" w:cs="Times New Roman"/>
          <w:sz w:val="28"/>
          <w:szCs w:val="28"/>
        </w:rPr>
        <w:t xml:space="preserve">Added Tax </w:t>
      </w:r>
      <w:r w:rsidR="00D749B6" w:rsidRPr="002D3A2A">
        <w:rPr>
          <w:rFonts w:ascii="Times New Roman" w:hAnsi="Times New Roman" w:cs="Times New Roman"/>
          <w:sz w:val="28"/>
          <w:szCs w:val="28"/>
        </w:rPr>
        <w:t xml:space="preserve">Act 89 of 1991. </w:t>
      </w:r>
      <w:r w:rsidR="004D565A" w:rsidRPr="002D3A2A">
        <w:rPr>
          <w:rFonts w:ascii="Times New Roman" w:hAnsi="Times New Roman" w:cs="Times New Roman"/>
          <w:sz w:val="28"/>
          <w:szCs w:val="28"/>
        </w:rPr>
        <w:t>The s 96(1) notice enab</w:t>
      </w:r>
      <w:r w:rsidR="0061213A" w:rsidRPr="002D3A2A">
        <w:rPr>
          <w:rFonts w:ascii="Times New Roman" w:hAnsi="Times New Roman" w:cs="Times New Roman"/>
          <w:sz w:val="28"/>
          <w:szCs w:val="28"/>
        </w:rPr>
        <w:t xml:space="preserve">les SARS to ensure that a </w:t>
      </w:r>
      <w:r w:rsidR="004D565A" w:rsidRPr="002D3A2A">
        <w:rPr>
          <w:rFonts w:ascii="Times New Roman" w:hAnsi="Times New Roman" w:cs="Times New Roman"/>
          <w:sz w:val="28"/>
          <w:szCs w:val="28"/>
        </w:rPr>
        <w:t xml:space="preserve">matter is brought </w:t>
      </w:r>
      <w:r w:rsidR="000643FB" w:rsidRPr="002D3A2A">
        <w:rPr>
          <w:rFonts w:ascii="Times New Roman" w:hAnsi="Times New Roman" w:cs="Times New Roman"/>
          <w:sz w:val="28"/>
          <w:szCs w:val="28"/>
        </w:rPr>
        <w:t xml:space="preserve">timeously </w:t>
      </w:r>
      <w:r w:rsidR="004D565A" w:rsidRPr="002D3A2A">
        <w:rPr>
          <w:rFonts w:ascii="Times New Roman" w:hAnsi="Times New Roman" w:cs="Times New Roman"/>
          <w:sz w:val="28"/>
          <w:szCs w:val="28"/>
        </w:rPr>
        <w:t>to the attention of the appropriate official for investigation or review</w:t>
      </w:r>
      <w:r w:rsidR="00996D7B" w:rsidRPr="002D3A2A">
        <w:rPr>
          <w:rFonts w:ascii="Times New Roman" w:hAnsi="Times New Roman" w:cs="Times New Roman"/>
          <w:sz w:val="28"/>
          <w:szCs w:val="28"/>
        </w:rPr>
        <w:t xml:space="preserve">. </w:t>
      </w:r>
      <w:r w:rsidR="00F37113" w:rsidRPr="002D3A2A">
        <w:rPr>
          <w:rFonts w:ascii="Times New Roman" w:hAnsi="Times New Roman" w:cs="Times New Roman"/>
          <w:sz w:val="28"/>
          <w:szCs w:val="28"/>
        </w:rPr>
        <w:t>In my opinion</w:t>
      </w:r>
      <w:r w:rsidR="002F5653" w:rsidRPr="002D3A2A">
        <w:rPr>
          <w:rFonts w:ascii="Times New Roman" w:hAnsi="Times New Roman" w:cs="Times New Roman"/>
          <w:sz w:val="28"/>
          <w:szCs w:val="28"/>
        </w:rPr>
        <w:t xml:space="preserve">, </w:t>
      </w:r>
      <w:r w:rsidR="00996D7B" w:rsidRPr="002D3A2A">
        <w:rPr>
          <w:rFonts w:ascii="Times New Roman" w:hAnsi="Times New Roman" w:cs="Times New Roman"/>
          <w:sz w:val="28"/>
          <w:szCs w:val="28"/>
        </w:rPr>
        <w:t>s 96(1)</w:t>
      </w:r>
      <w:r w:rsidR="00996D7B" w:rsidRPr="002D3A2A">
        <w:rPr>
          <w:rFonts w:ascii="Times New Roman" w:hAnsi="Times New Roman" w:cs="Times New Roman"/>
          <w:i/>
          <w:sz w:val="28"/>
          <w:szCs w:val="28"/>
        </w:rPr>
        <w:t>(a)</w:t>
      </w:r>
      <w:r w:rsidR="00CF4DC4" w:rsidRPr="002D3A2A">
        <w:rPr>
          <w:rFonts w:ascii="Times New Roman" w:hAnsi="Times New Roman" w:cs="Times New Roman"/>
          <w:sz w:val="28"/>
          <w:szCs w:val="28"/>
        </w:rPr>
        <w:t xml:space="preserve"> </w:t>
      </w:r>
      <w:r w:rsidR="00996D7B" w:rsidRPr="002D3A2A">
        <w:rPr>
          <w:rFonts w:ascii="Times New Roman" w:hAnsi="Times New Roman" w:cs="Times New Roman"/>
          <w:sz w:val="28"/>
          <w:szCs w:val="28"/>
        </w:rPr>
        <w:t xml:space="preserve">of the Act </w:t>
      </w:r>
      <w:r w:rsidR="004D565A" w:rsidRPr="002D3A2A">
        <w:rPr>
          <w:rFonts w:ascii="Times New Roman" w:hAnsi="Times New Roman" w:cs="Times New Roman"/>
          <w:sz w:val="28"/>
          <w:szCs w:val="28"/>
        </w:rPr>
        <w:t xml:space="preserve">promotes </w:t>
      </w:r>
      <w:r w:rsidR="000D3EBE" w:rsidRPr="002D3A2A">
        <w:rPr>
          <w:rFonts w:ascii="Times New Roman" w:hAnsi="Times New Roman" w:cs="Times New Roman"/>
          <w:sz w:val="28"/>
          <w:szCs w:val="28"/>
        </w:rPr>
        <w:t xml:space="preserve">the </w:t>
      </w:r>
      <w:r w:rsidR="004D565A" w:rsidRPr="002D3A2A">
        <w:rPr>
          <w:rFonts w:ascii="Times New Roman" w:hAnsi="Times New Roman" w:cs="Times New Roman"/>
          <w:sz w:val="28"/>
          <w:szCs w:val="28"/>
        </w:rPr>
        <w:t xml:space="preserve">efficient and economic </w:t>
      </w:r>
      <w:r w:rsidR="004D565A" w:rsidRPr="002D3A2A">
        <w:rPr>
          <w:rFonts w:ascii="Times New Roman" w:hAnsi="Times New Roman" w:cs="Times New Roman"/>
          <w:sz w:val="28"/>
          <w:szCs w:val="28"/>
        </w:rPr>
        <w:lastRenderedPageBreak/>
        <w:t>use of res</w:t>
      </w:r>
      <w:r w:rsidR="00996D7B" w:rsidRPr="002D3A2A">
        <w:rPr>
          <w:rFonts w:ascii="Times New Roman" w:hAnsi="Times New Roman" w:cs="Times New Roman"/>
          <w:sz w:val="28"/>
          <w:szCs w:val="28"/>
        </w:rPr>
        <w:t>ources</w:t>
      </w:r>
      <w:r w:rsidR="00F37113" w:rsidRPr="002D3A2A">
        <w:rPr>
          <w:rFonts w:ascii="Times New Roman" w:hAnsi="Times New Roman" w:cs="Times New Roman"/>
          <w:sz w:val="28"/>
          <w:szCs w:val="28"/>
        </w:rPr>
        <w:t>,</w:t>
      </w:r>
      <w:r w:rsidR="00996D7B" w:rsidRPr="002D3A2A">
        <w:rPr>
          <w:rFonts w:ascii="Times New Roman" w:hAnsi="Times New Roman" w:cs="Times New Roman"/>
          <w:sz w:val="28"/>
          <w:szCs w:val="28"/>
        </w:rPr>
        <w:t xml:space="preserve"> in accordance with the basic values and principles governing public administration set out in s 195 of the Constitution.</w:t>
      </w:r>
      <w:r w:rsidR="000643FB" w:rsidRPr="002D3A2A">
        <w:rPr>
          <w:rStyle w:val="FootnoteReference"/>
          <w:rFonts w:ascii="Times New Roman" w:hAnsi="Times New Roman" w:cs="Times New Roman"/>
          <w:sz w:val="28"/>
          <w:szCs w:val="28"/>
        </w:rPr>
        <w:footnoteReference w:id="7"/>
      </w:r>
    </w:p>
    <w:p w14:paraId="40BF59F4" w14:textId="77777777" w:rsidR="00996D7B" w:rsidRPr="002D3A2A" w:rsidRDefault="00996D7B" w:rsidP="00996D7B">
      <w:pPr>
        <w:pStyle w:val="ListParagraph"/>
        <w:spacing w:after="0" w:line="360" w:lineRule="auto"/>
        <w:ind w:left="0"/>
        <w:jc w:val="both"/>
        <w:rPr>
          <w:rFonts w:ascii="Times New Roman" w:hAnsi="Times New Roman" w:cs="Times New Roman"/>
          <w:sz w:val="28"/>
          <w:szCs w:val="28"/>
        </w:rPr>
      </w:pPr>
    </w:p>
    <w:p w14:paraId="07EAB106" w14:textId="237C2321" w:rsidR="00F448EE" w:rsidRPr="002D3A2A" w:rsidRDefault="00CF4DC4" w:rsidP="0099594F">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The impugned decision had not been taken when the February notice was delivered to SARS. It was thus impossible for the respondents to set out any cause of action in that notice</w:t>
      </w:r>
      <w:r w:rsidR="008252A9" w:rsidRPr="002D3A2A">
        <w:rPr>
          <w:rFonts w:ascii="Times New Roman" w:hAnsi="Times New Roman" w:cs="Times New Roman"/>
          <w:sz w:val="28"/>
          <w:szCs w:val="28"/>
        </w:rPr>
        <w:t>: there was none</w:t>
      </w:r>
      <w:r w:rsidRPr="002D3A2A">
        <w:rPr>
          <w:rFonts w:ascii="Times New Roman" w:hAnsi="Times New Roman" w:cs="Times New Roman"/>
          <w:sz w:val="28"/>
          <w:szCs w:val="28"/>
        </w:rPr>
        <w:t xml:space="preserve">. </w:t>
      </w:r>
      <w:r w:rsidR="009849B8" w:rsidRPr="002D3A2A">
        <w:rPr>
          <w:rFonts w:ascii="Times New Roman" w:hAnsi="Times New Roman" w:cs="Times New Roman"/>
          <w:sz w:val="28"/>
          <w:szCs w:val="28"/>
        </w:rPr>
        <w:t>Section 96(1)</w:t>
      </w:r>
      <w:r w:rsidR="009849B8" w:rsidRPr="002D3A2A">
        <w:rPr>
          <w:rFonts w:ascii="Times New Roman" w:hAnsi="Times New Roman" w:cs="Times New Roman"/>
          <w:i/>
          <w:sz w:val="28"/>
          <w:szCs w:val="28"/>
        </w:rPr>
        <w:t>(a)</w:t>
      </w:r>
      <w:r w:rsidR="009849B8" w:rsidRPr="002D3A2A">
        <w:rPr>
          <w:rFonts w:ascii="Times New Roman" w:hAnsi="Times New Roman" w:cs="Times New Roman"/>
          <w:sz w:val="28"/>
          <w:szCs w:val="28"/>
        </w:rPr>
        <w:t>(i) of the Act does not permit a notice in anticipation of a decision not yet taken, by the functionaries referred to in th</w:t>
      </w:r>
      <w:r w:rsidR="00F448EE" w:rsidRPr="002D3A2A">
        <w:rPr>
          <w:rFonts w:ascii="Times New Roman" w:hAnsi="Times New Roman" w:cs="Times New Roman"/>
          <w:sz w:val="28"/>
          <w:szCs w:val="28"/>
        </w:rPr>
        <w:t>at</w:t>
      </w:r>
      <w:r w:rsidR="009849B8" w:rsidRPr="002D3A2A">
        <w:rPr>
          <w:rFonts w:ascii="Times New Roman" w:hAnsi="Times New Roman" w:cs="Times New Roman"/>
          <w:sz w:val="28"/>
          <w:szCs w:val="28"/>
        </w:rPr>
        <w:t xml:space="preserve"> provision</w:t>
      </w:r>
      <w:r w:rsidR="0099594F" w:rsidRPr="002D3A2A">
        <w:rPr>
          <w:rFonts w:ascii="Times New Roman" w:hAnsi="Times New Roman" w:cs="Times New Roman"/>
          <w:sz w:val="28"/>
          <w:szCs w:val="28"/>
        </w:rPr>
        <w:t>.</w:t>
      </w:r>
      <w:r w:rsidR="00F448EE" w:rsidRPr="002D3A2A">
        <w:rPr>
          <w:rFonts w:ascii="Times New Roman" w:hAnsi="Times New Roman" w:cs="Times New Roman"/>
          <w:sz w:val="28"/>
          <w:szCs w:val="28"/>
        </w:rPr>
        <w:t xml:space="preserve"> Such</w:t>
      </w:r>
      <w:r w:rsidR="008252A9" w:rsidRPr="002D3A2A">
        <w:rPr>
          <w:rFonts w:ascii="Times New Roman" w:hAnsi="Times New Roman" w:cs="Times New Roman"/>
          <w:sz w:val="28"/>
          <w:szCs w:val="28"/>
        </w:rPr>
        <w:t xml:space="preserve"> a construction would nullify </w:t>
      </w:r>
      <w:r w:rsidR="00F448EE" w:rsidRPr="002D3A2A">
        <w:rPr>
          <w:rFonts w:ascii="Times New Roman" w:hAnsi="Times New Roman" w:cs="Times New Roman"/>
          <w:sz w:val="28"/>
          <w:szCs w:val="28"/>
        </w:rPr>
        <w:t>its purpose</w:t>
      </w:r>
      <w:r w:rsidR="000D3EBE" w:rsidRPr="002D3A2A">
        <w:rPr>
          <w:rFonts w:ascii="Times New Roman" w:hAnsi="Times New Roman" w:cs="Times New Roman"/>
          <w:sz w:val="28"/>
          <w:szCs w:val="28"/>
        </w:rPr>
        <w:t xml:space="preserve"> and </w:t>
      </w:r>
      <w:r w:rsidR="001A01B7" w:rsidRPr="002D3A2A">
        <w:rPr>
          <w:rFonts w:ascii="Times New Roman" w:hAnsi="Times New Roman" w:cs="Times New Roman"/>
          <w:sz w:val="28"/>
          <w:szCs w:val="28"/>
        </w:rPr>
        <w:t>render</w:t>
      </w:r>
      <w:r w:rsidR="000D3EBE" w:rsidRPr="002D3A2A">
        <w:rPr>
          <w:rFonts w:ascii="Times New Roman" w:hAnsi="Times New Roman" w:cs="Times New Roman"/>
          <w:sz w:val="28"/>
          <w:szCs w:val="28"/>
        </w:rPr>
        <w:t xml:space="preserve"> the sanction of invalidity in </w:t>
      </w:r>
      <w:r w:rsidR="00243208" w:rsidRPr="002D3A2A">
        <w:rPr>
          <w:rFonts w:ascii="Times New Roman" w:hAnsi="Times New Roman" w:cs="Times New Roman"/>
          <w:sz w:val="28"/>
          <w:szCs w:val="28"/>
        </w:rPr>
        <w:t xml:space="preserve">s </w:t>
      </w:r>
      <w:r w:rsidR="000D3EBE" w:rsidRPr="002D3A2A">
        <w:rPr>
          <w:rFonts w:ascii="Times New Roman" w:hAnsi="Times New Roman" w:cs="Times New Roman"/>
          <w:sz w:val="28"/>
          <w:szCs w:val="28"/>
        </w:rPr>
        <w:t>96(1)</w:t>
      </w:r>
      <w:r w:rsidR="000D3EBE" w:rsidRPr="002D3A2A">
        <w:rPr>
          <w:rFonts w:ascii="Times New Roman" w:hAnsi="Times New Roman" w:cs="Times New Roman"/>
          <w:i/>
          <w:sz w:val="28"/>
          <w:szCs w:val="28"/>
        </w:rPr>
        <w:t>(a)</w:t>
      </w:r>
      <w:r w:rsidR="000D3EBE" w:rsidRPr="002D3A2A">
        <w:rPr>
          <w:rFonts w:ascii="Times New Roman" w:hAnsi="Times New Roman" w:cs="Times New Roman"/>
          <w:sz w:val="28"/>
          <w:szCs w:val="28"/>
        </w:rPr>
        <w:t>(iii)</w:t>
      </w:r>
      <w:r w:rsidR="001A01B7" w:rsidRPr="002D3A2A">
        <w:rPr>
          <w:rFonts w:ascii="Times New Roman" w:hAnsi="Times New Roman" w:cs="Times New Roman"/>
          <w:sz w:val="28"/>
          <w:szCs w:val="28"/>
        </w:rPr>
        <w:t>, nugatory</w:t>
      </w:r>
      <w:r w:rsidR="000D3EBE" w:rsidRPr="002D3A2A">
        <w:rPr>
          <w:rFonts w:ascii="Times New Roman" w:hAnsi="Times New Roman" w:cs="Times New Roman"/>
          <w:sz w:val="28"/>
          <w:szCs w:val="28"/>
        </w:rPr>
        <w:t>.</w:t>
      </w:r>
    </w:p>
    <w:p w14:paraId="5195DC51" w14:textId="77777777" w:rsidR="00F448EE" w:rsidRPr="002D3A2A" w:rsidRDefault="00F448EE" w:rsidP="00F448EE">
      <w:pPr>
        <w:pStyle w:val="ListParagraph"/>
        <w:spacing w:after="0" w:line="360" w:lineRule="auto"/>
        <w:ind w:left="0"/>
        <w:jc w:val="both"/>
        <w:rPr>
          <w:rFonts w:ascii="Times New Roman" w:hAnsi="Times New Roman" w:cs="Times New Roman"/>
          <w:sz w:val="28"/>
          <w:szCs w:val="28"/>
        </w:rPr>
      </w:pPr>
    </w:p>
    <w:p w14:paraId="7D31DE8C" w14:textId="6CD3B620" w:rsidR="00B179B9" w:rsidRPr="002D3A2A" w:rsidRDefault="0099594F" w:rsidP="0099594F">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What is more, when the February notice was delivered, no </w:t>
      </w:r>
      <w:r w:rsidR="008D4DD9" w:rsidRPr="002D3A2A">
        <w:rPr>
          <w:rFonts w:ascii="Times New Roman" w:hAnsi="Times New Roman" w:cs="Times New Roman"/>
          <w:sz w:val="28"/>
          <w:szCs w:val="28"/>
        </w:rPr>
        <w:t>‘</w:t>
      </w:r>
      <w:r w:rsidR="00F448EE" w:rsidRPr="002D3A2A">
        <w:rPr>
          <w:rFonts w:ascii="Times New Roman" w:hAnsi="Times New Roman" w:cs="Times New Roman"/>
          <w:sz w:val="28"/>
          <w:szCs w:val="28"/>
        </w:rPr>
        <w:t>admin</w:t>
      </w:r>
      <w:r w:rsidR="008D4DD9" w:rsidRPr="002D3A2A">
        <w:rPr>
          <w:rFonts w:ascii="Times New Roman" w:hAnsi="Times New Roman" w:cs="Times New Roman"/>
          <w:sz w:val="28"/>
          <w:szCs w:val="28"/>
        </w:rPr>
        <w:t>i</w:t>
      </w:r>
      <w:r w:rsidR="00F448EE" w:rsidRPr="002D3A2A">
        <w:rPr>
          <w:rFonts w:ascii="Times New Roman" w:hAnsi="Times New Roman" w:cs="Times New Roman"/>
          <w:sz w:val="28"/>
          <w:szCs w:val="28"/>
        </w:rPr>
        <w:t>strative action</w:t>
      </w:r>
      <w:r w:rsidR="008D4DD9" w:rsidRPr="002D3A2A">
        <w:rPr>
          <w:rFonts w:ascii="Times New Roman" w:hAnsi="Times New Roman" w:cs="Times New Roman"/>
          <w:sz w:val="28"/>
          <w:szCs w:val="28"/>
        </w:rPr>
        <w:t>’</w:t>
      </w:r>
      <w:r w:rsidR="00F448EE" w:rsidRPr="002D3A2A">
        <w:rPr>
          <w:rFonts w:ascii="Times New Roman" w:hAnsi="Times New Roman" w:cs="Times New Roman"/>
          <w:sz w:val="28"/>
          <w:szCs w:val="28"/>
        </w:rPr>
        <w:t xml:space="preserve"> as </w:t>
      </w:r>
      <w:r w:rsidR="008D4DD9" w:rsidRPr="002D3A2A">
        <w:rPr>
          <w:rFonts w:ascii="Times New Roman" w:hAnsi="Times New Roman" w:cs="Times New Roman"/>
          <w:sz w:val="28"/>
          <w:szCs w:val="28"/>
        </w:rPr>
        <w:t>defin</w:t>
      </w:r>
      <w:r w:rsidR="00F448EE" w:rsidRPr="002D3A2A">
        <w:rPr>
          <w:rFonts w:ascii="Times New Roman" w:hAnsi="Times New Roman" w:cs="Times New Roman"/>
          <w:sz w:val="28"/>
          <w:szCs w:val="28"/>
        </w:rPr>
        <w:t xml:space="preserve">ed in </w:t>
      </w:r>
      <w:r w:rsidR="00F25030" w:rsidRPr="002D3A2A">
        <w:rPr>
          <w:rFonts w:ascii="Times New Roman" w:hAnsi="Times New Roman" w:cs="Times New Roman"/>
          <w:sz w:val="28"/>
          <w:szCs w:val="28"/>
        </w:rPr>
        <w:t>the Promotion of Administrative Justice Act 3 of 2000 (</w:t>
      </w:r>
      <w:r w:rsidR="00F448EE" w:rsidRPr="002D3A2A">
        <w:rPr>
          <w:rFonts w:ascii="Times New Roman" w:hAnsi="Times New Roman" w:cs="Times New Roman"/>
          <w:sz w:val="28"/>
          <w:szCs w:val="28"/>
        </w:rPr>
        <w:t>PAJA</w:t>
      </w:r>
      <w:r w:rsidR="00F25030" w:rsidRPr="002D3A2A">
        <w:rPr>
          <w:rFonts w:ascii="Times New Roman" w:hAnsi="Times New Roman" w:cs="Times New Roman"/>
          <w:sz w:val="28"/>
          <w:szCs w:val="28"/>
        </w:rPr>
        <w:t>)</w:t>
      </w:r>
      <w:r w:rsidR="00F47784" w:rsidRPr="002D3A2A">
        <w:rPr>
          <w:rFonts w:ascii="Times New Roman" w:hAnsi="Times New Roman" w:cs="Times New Roman"/>
          <w:sz w:val="28"/>
          <w:szCs w:val="28"/>
        </w:rPr>
        <w:t xml:space="preserve">, </w:t>
      </w:r>
      <w:r w:rsidR="00F448EE" w:rsidRPr="002D3A2A">
        <w:rPr>
          <w:rFonts w:ascii="Times New Roman" w:hAnsi="Times New Roman" w:cs="Times New Roman"/>
          <w:sz w:val="28"/>
          <w:szCs w:val="28"/>
        </w:rPr>
        <w:t>had been taken.</w:t>
      </w:r>
      <w:r w:rsidR="008D4DD9" w:rsidRPr="002D3A2A">
        <w:rPr>
          <w:rFonts w:ascii="Times New Roman" w:hAnsi="Times New Roman" w:cs="Times New Roman"/>
          <w:sz w:val="28"/>
          <w:szCs w:val="28"/>
        </w:rPr>
        <w:t xml:space="preserve"> That definition includes a decision taken by an organ of state when exercising a public power </w:t>
      </w:r>
      <w:r w:rsidR="00F4156E" w:rsidRPr="002D3A2A">
        <w:rPr>
          <w:rFonts w:ascii="Times New Roman" w:hAnsi="Times New Roman" w:cs="Times New Roman"/>
          <w:sz w:val="28"/>
          <w:szCs w:val="28"/>
        </w:rPr>
        <w:t xml:space="preserve">or </w:t>
      </w:r>
      <w:r w:rsidR="008D4DD9" w:rsidRPr="002D3A2A">
        <w:rPr>
          <w:rFonts w:ascii="Times New Roman" w:hAnsi="Times New Roman" w:cs="Times New Roman"/>
          <w:sz w:val="28"/>
          <w:szCs w:val="28"/>
        </w:rPr>
        <w:t xml:space="preserve">performing a public function in terms of any legislation ‘which adversely affects the rights of any person and which has a direct, external legal effect’. This merely reinforces the </w:t>
      </w:r>
      <w:r w:rsidR="00F25030" w:rsidRPr="002D3A2A">
        <w:rPr>
          <w:rFonts w:ascii="Times New Roman" w:hAnsi="Times New Roman" w:cs="Times New Roman"/>
          <w:sz w:val="28"/>
          <w:szCs w:val="28"/>
        </w:rPr>
        <w:t>absence</w:t>
      </w:r>
      <w:r w:rsidR="008D4DD9" w:rsidRPr="002D3A2A">
        <w:rPr>
          <w:rFonts w:ascii="Times New Roman" w:hAnsi="Times New Roman" w:cs="Times New Roman"/>
          <w:sz w:val="28"/>
          <w:szCs w:val="28"/>
        </w:rPr>
        <w:t xml:space="preserve"> of any cause of action </w:t>
      </w:r>
      <w:r w:rsidR="00F25030" w:rsidRPr="002D3A2A">
        <w:rPr>
          <w:rFonts w:ascii="Times New Roman" w:hAnsi="Times New Roman" w:cs="Times New Roman"/>
          <w:sz w:val="28"/>
          <w:szCs w:val="28"/>
        </w:rPr>
        <w:t xml:space="preserve">when </w:t>
      </w:r>
      <w:r w:rsidR="00B179B9" w:rsidRPr="002D3A2A">
        <w:rPr>
          <w:rFonts w:ascii="Times New Roman" w:hAnsi="Times New Roman" w:cs="Times New Roman"/>
          <w:sz w:val="28"/>
          <w:szCs w:val="28"/>
        </w:rPr>
        <w:t>the February notice</w:t>
      </w:r>
      <w:r w:rsidR="00F25030" w:rsidRPr="002D3A2A">
        <w:rPr>
          <w:rFonts w:ascii="Times New Roman" w:hAnsi="Times New Roman" w:cs="Times New Roman"/>
          <w:sz w:val="28"/>
          <w:szCs w:val="28"/>
        </w:rPr>
        <w:t xml:space="preserve"> was delivered</w:t>
      </w:r>
      <w:r w:rsidR="00B179B9" w:rsidRPr="002D3A2A">
        <w:rPr>
          <w:rFonts w:ascii="Times New Roman" w:hAnsi="Times New Roman" w:cs="Times New Roman"/>
          <w:sz w:val="28"/>
          <w:szCs w:val="28"/>
        </w:rPr>
        <w:t>.</w:t>
      </w:r>
    </w:p>
    <w:p w14:paraId="7D3399DD" w14:textId="77777777" w:rsidR="00B179B9" w:rsidRPr="002D3A2A" w:rsidRDefault="00B179B9" w:rsidP="00B179B9">
      <w:pPr>
        <w:pStyle w:val="ListParagraph"/>
        <w:spacing w:after="0" w:line="360" w:lineRule="auto"/>
        <w:ind w:left="0"/>
        <w:jc w:val="both"/>
        <w:rPr>
          <w:rFonts w:ascii="Times New Roman" w:hAnsi="Times New Roman" w:cs="Times New Roman"/>
          <w:sz w:val="28"/>
          <w:szCs w:val="28"/>
        </w:rPr>
      </w:pPr>
    </w:p>
    <w:p w14:paraId="3FA2C0FA" w14:textId="17E4748F" w:rsidR="00021415" w:rsidRPr="002D3A2A" w:rsidRDefault="00030BEC" w:rsidP="0099594F">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In </w:t>
      </w:r>
      <w:r w:rsidRPr="002D3A2A">
        <w:rPr>
          <w:rFonts w:ascii="Times New Roman" w:hAnsi="Times New Roman" w:cs="Times New Roman"/>
          <w:i/>
          <w:sz w:val="28"/>
          <w:szCs w:val="28"/>
        </w:rPr>
        <w:t>SARS v Prudence Forwarding</w:t>
      </w:r>
      <w:r w:rsidRPr="002D3A2A">
        <w:rPr>
          <w:rFonts w:ascii="Times New Roman" w:hAnsi="Times New Roman" w:cs="Times New Roman"/>
          <w:sz w:val="28"/>
          <w:szCs w:val="28"/>
        </w:rPr>
        <w:t>,</w:t>
      </w:r>
      <w:r w:rsidRPr="002D3A2A">
        <w:rPr>
          <w:rStyle w:val="FootnoteReference"/>
          <w:rFonts w:ascii="Times New Roman" w:hAnsi="Times New Roman" w:cs="Times New Roman"/>
          <w:sz w:val="28"/>
          <w:szCs w:val="28"/>
        </w:rPr>
        <w:footnoteReference w:id="8"/>
      </w:r>
      <w:r w:rsidRPr="002D3A2A">
        <w:rPr>
          <w:rFonts w:ascii="Times New Roman" w:hAnsi="Times New Roman" w:cs="Times New Roman"/>
          <w:sz w:val="28"/>
          <w:szCs w:val="28"/>
        </w:rPr>
        <w:t xml:space="preserve"> </w:t>
      </w:r>
      <w:r w:rsidR="001C33E5" w:rsidRPr="002D3A2A">
        <w:rPr>
          <w:rFonts w:ascii="Times New Roman" w:hAnsi="Times New Roman" w:cs="Times New Roman"/>
          <w:sz w:val="28"/>
          <w:szCs w:val="28"/>
        </w:rPr>
        <w:t>the facts were essentially the same as those in the present case. The Commissioner detained a container of blankets imported from China on the basis that the transaction value of the goods had been under-declared. The importers delivered a written notice in terms of s</w:t>
      </w:r>
      <w:r w:rsidR="007633DA" w:rsidRPr="002D3A2A">
        <w:rPr>
          <w:rFonts w:ascii="Times New Roman" w:hAnsi="Times New Roman" w:cs="Times New Roman"/>
          <w:sz w:val="28"/>
          <w:szCs w:val="28"/>
        </w:rPr>
        <w:t> </w:t>
      </w:r>
      <w:r w:rsidR="001C33E5" w:rsidRPr="002D3A2A">
        <w:rPr>
          <w:rFonts w:ascii="Times New Roman" w:hAnsi="Times New Roman" w:cs="Times New Roman"/>
          <w:sz w:val="28"/>
          <w:szCs w:val="28"/>
        </w:rPr>
        <w:t xml:space="preserve">96(1) of the Act, of their intention to apply to the high court for an interim order directing SARS to release the goods against </w:t>
      </w:r>
      <w:r w:rsidR="001A4AEA" w:rsidRPr="002D3A2A">
        <w:rPr>
          <w:rFonts w:ascii="Times New Roman" w:hAnsi="Times New Roman" w:cs="Times New Roman"/>
          <w:sz w:val="28"/>
          <w:szCs w:val="28"/>
        </w:rPr>
        <w:t>payment of a provisional amount of customs duty.</w:t>
      </w:r>
      <w:r w:rsidR="001C33E5" w:rsidRPr="002D3A2A">
        <w:rPr>
          <w:rFonts w:ascii="Times New Roman" w:hAnsi="Times New Roman" w:cs="Times New Roman"/>
          <w:sz w:val="28"/>
          <w:szCs w:val="28"/>
        </w:rPr>
        <w:t xml:space="preserve"> The importers launched that application in November 2013. </w:t>
      </w:r>
      <w:r w:rsidR="00811528" w:rsidRPr="002D3A2A">
        <w:rPr>
          <w:rFonts w:ascii="Times New Roman" w:hAnsi="Times New Roman" w:cs="Times New Roman"/>
          <w:sz w:val="28"/>
          <w:szCs w:val="28"/>
        </w:rPr>
        <w:t xml:space="preserve">Subsequently, the Commissioner made a decision to seize the goods. The importers then </w:t>
      </w:r>
      <w:r w:rsidR="00811528" w:rsidRPr="002D3A2A">
        <w:rPr>
          <w:rFonts w:ascii="Times New Roman" w:hAnsi="Times New Roman" w:cs="Times New Roman"/>
          <w:sz w:val="28"/>
          <w:szCs w:val="28"/>
        </w:rPr>
        <w:lastRenderedPageBreak/>
        <w:t xml:space="preserve">amended their notice of motion and sought an order reviewing and setting aside the seizure decision, without delivering a s 96(1) notice in relation to that decision. </w:t>
      </w:r>
      <w:r w:rsidR="00021415" w:rsidRPr="002D3A2A">
        <w:rPr>
          <w:rFonts w:ascii="Times New Roman" w:hAnsi="Times New Roman" w:cs="Times New Roman"/>
          <w:sz w:val="28"/>
          <w:szCs w:val="28"/>
        </w:rPr>
        <w:t>The high court reviewed and set aside the seizure decision</w:t>
      </w:r>
      <w:r w:rsidR="0006512A" w:rsidRPr="002D3A2A">
        <w:rPr>
          <w:rFonts w:ascii="Times New Roman" w:hAnsi="Times New Roman" w:cs="Times New Roman"/>
          <w:sz w:val="28"/>
          <w:szCs w:val="28"/>
        </w:rPr>
        <w:t xml:space="preserve"> and order</w:t>
      </w:r>
      <w:r w:rsidR="001A4AEA" w:rsidRPr="002D3A2A">
        <w:rPr>
          <w:rFonts w:ascii="Times New Roman" w:hAnsi="Times New Roman" w:cs="Times New Roman"/>
          <w:sz w:val="28"/>
          <w:szCs w:val="28"/>
        </w:rPr>
        <w:t>ed</w:t>
      </w:r>
      <w:r w:rsidR="0006512A" w:rsidRPr="002D3A2A">
        <w:rPr>
          <w:rFonts w:ascii="Times New Roman" w:hAnsi="Times New Roman" w:cs="Times New Roman"/>
          <w:sz w:val="28"/>
          <w:szCs w:val="28"/>
        </w:rPr>
        <w:t xml:space="preserve"> the release of the goods against payment of a provisional amount of customs duty</w:t>
      </w:r>
      <w:r w:rsidR="00021415" w:rsidRPr="002D3A2A">
        <w:rPr>
          <w:rFonts w:ascii="Times New Roman" w:hAnsi="Times New Roman" w:cs="Times New Roman"/>
          <w:sz w:val="28"/>
          <w:szCs w:val="28"/>
        </w:rPr>
        <w:t>. The Commissioner appealed th</w:t>
      </w:r>
      <w:r w:rsidR="00164524" w:rsidRPr="002D3A2A">
        <w:rPr>
          <w:rFonts w:ascii="Times New Roman" w:hAnsi="Times New Roman" w:cs="Times New Roman"/>
          <w:sz w:val="28"/>
          <w:szCs w:val="28"/>
        </w:rPr>
        <w:t>is</w:t>
      </w:r>
      <w:r w:rsidR="00021415" w:rsidRPr="002D3A2A">
        <w:rPr>
          <w:rFonts w:ascii="Times New Roman" w:hAnsi="Times New Roman" w:cs="Times New Roman"/>
          <w:sz w:val="28"/>
          <w:szCs w:val="28"/>
        </w:rPr>
        <w:t xml:space="preserve"> order.</w:t>
      </w:r>
    </w:p>
    <w:p w14:paraId="61D1FCE0" w14:textId="77777777" w:rsidR="00021415" w:rsidRPr="002D3A2A" w:rsidRDefault="00021415" w:rsidP="00021415">
      <w:pPr>
        <w:pStyle w:val="ListParagraph"/>
        <w:spacing w:after="0" w:line="360" w:lineRule="auto"/>
        <w:ind w:left="0"/>
        <w:jc w:val="both"/>
        <w:rPr>
          <w:rFonts w:ascii="Times New Roman" w:hAnsi="Times New Roman" w:cs="Times New Roman"/>
          <w:sz w:val="28"/>
          <w:szCs w:val="28"/>
        </w:rPr>
      </w:pPr>
    </w:p>
    <w:p w14:paraId="4FDF1735" w14:textId="0D95D050" w:rsidR="0035138D" w:rsidRPr="002D3A2A" w:rsidRDefault="00021415" w:rsidP="0099594F">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A full bench of the high court </w:t>
      </w:r>
      <w:r w:rsidR="00C472C8" w:rsidRPr="002D3A2A">
        <w:rPr>
          <w:rFonts w:ascii="Times New Roman" w:hAnsi="Times New Roman" w:cs="Times New Roman"/>
          <w:sz w:val="28"/>
          <w:szCs w:val="28"/>
        </w:rPr>
        <w:t xml:space="preserve">upheld the appeal. </w:t>
      </w:r>
      <w:r w:rsidR="0035138D" w:rsidRPr="002D3A2A">
        <w:rPr>
          <w:rFonts w:ascii="Times New Roman" w:hAnsi="Times New Roman" w:cs="Times New Roman"/>
          <w:sz w:val="28"/>
          <w:szCs w:val="28"/>
        </w:rPr>
        <w:t xml:space="preserve">The </w:t>
      </w:r>
      <w:r w:rsidR="00513F45" w:rsidRPr="002D3A2A">
        <w:rPr>
          <w:rFonts w:ascii="Times New Roman" w:hAnsi="Times New Roman" w:cs="Times New Roman"/>
          <w:sz w:val="28"/>
          <w:szCs w:val="28"/>
        </w:rPr>
        <w:t xml:space="preserve">full </w:t>
      </w:r>
      <w:r w:rsidR="0035138D" w:rsidRPr="002D3A2A">
        <w:rPr>
          <w:rFonts w:ascii="Times New Roman" w:hAnsi="Times New Roman" w:cs="Times New Roman"/>
          <w:sz w:val="28"/>
          <w:szCs w:val="28"/>
        </w:rPr>
        <w:t>court</w:t>
      </w:r>
      <w:r w:rsidR="00AA63C5" w:rsidRPr="002D3A2A">
        <w:rPr>
          <w:rFonts w:ascii="Times New Roman" w:hAnsi="Times New Roman" w:cs="Times New Roman"/>
          <w:sz w:val="28"/>
          <w:szCs w:val="28"/>
        </w:rPr>
        <w:t>,</w:t>
      </w:r>
      <w:r w:rsidR="0035138D" w:rsidRPr="002D3A2A">
        <w:rPr>
          <w:rFonts w:ascii="Times New Roman" w:hAnsi="Times New Roman" w:cs="Times New Roman"/>
          <w:sz w:val="28"/>
          <w:szCs w:val="28"/>
        </w:rPr>
        <w:t xml:space="preserve"> </w:t>
      </w:r>
      <w:r w:rsidR="00AA63C5" w:rsidRPr="002D3A2A">
        <w:rPr>
          <w:rFonts w:ascii="Times New Roman" w:hAnsi="Times New Roman" w:cs="Times New Roman"/>
          <w:sz w:val="28"/>
          <w:szCs w:val="28"/>
        </w:rPr>
        <w:t>correct</w:t>
      </w:r>
      <w:r w:rsidR="00264341" w:rsidRPr="002D3A2A">
        <w:rPr>
          <w:rFonts w:ascii="Times New Roman" w:hAnsi="Times New Roman" w:cs="Times New Roman"/>
          <w:sz w:val="28"/>
          <w:szCs w:val="28"/>
        </w:rPr>
        <w:t>ly</w:t>
      </w:r>
      <w:r w:rsidR="00AA63C5" w:rsidRPr="002D3A2A">
        <w:rPr>
          <w:rFonts w:ascii="Times New Roman" w:hAnsi="Times New Roman" w:cs="Times New Roman"/>
          <w:sz w:val="28"/>
          <w:szCs w:val="28"/>
        </w:rPr>
        <w:t xml:space="preserve"> in my view,</w:t>
      </w:r>
      <w:r w:rsidR="00264341" w:rsidRPr="002D3A2A">
        <w:rPr>
          <w:rFonts w:ascii="Times New Roman" w:hAnsi="Times New Roman" w:cs="Times New Roman"/>
          <w:sz w:val="28"/>
          <w:szCs w:val="28"/>
        </w:rPr>
        <w:t xml:space="preserve"> held</w:t>
      </w:r>
      <w:r w:rsidR="00AA63C5" w:rsidRPr="002D3A2A">
        <w:rPr>
          <w:rFonts w:ascii="Times New Roman" w:hAnsi="Times New Roman" w:cs="Times New Roman"/>
          <w:sz w:val="28"/>
          <w:szCs w:val="28"/>
        </w:rPr>
        <w:t xml:space="preserve"> as follows</w:t>
      </w:r>
      <w:r w:rsidR="0035138D" w:rsidRPr="002D3A2A">
        <w:rPr>
          <w:rFonts w:ascii="Times New Roman" w:hAnsi="Times New Roman" w:cs="Times New Roman"/>
          <w:sz w:val="28"/>
          <w:szCs w:val="28"/>
        </w:rPr>
        <w:t>:</w:t>
      </w:r>
    </w:p>
    <w:p w14:paraId="3C8A336E" w14:textId="75603BF2" w:rsidR="0035138D" w:rsidRPr="002D3A2A" w:rsidRDefault="0035138D" w:rsidP="0035138D">
      <w:pPr>
        <w:pStyle w:val="ListParagraph"/>
        <w:spacing w:after="0" w:line="360" w:lineRule="auto"/>
        <w:ind w:left="0"/>
        <w:jc w:val="both"/>
        <w:rPr>
          <w:rFonts w:ascii="Times New Roman" w:hAnsi="Times New Roman" w:cs="Times New Roman"/>
          <w:sz w:val="24"/>
          <w:szCs w:val="24"/>
        </w:rPr>
      </w:pPr>
      <w:r w:rsidRPr="002D3A2A">
        <w:rPr>
          <w:rFonts w:ascii="Times New Roman" w:hAnsi="Times New Roman" w:cs="Times New Roman"/>
          <w:sz w:val="24"/>
          <w:szCs w:val="24"/>
        </w:rPr>
        <w:t xml:space="preserve">‘It was therefore incumbent upon </w:t>
      </w:r>
      <w:r w:rsidR="00AA63C5" w:rsidRPr="002D3A2A">
        <w:rPr>
          <w:rFonts w:ascii="Times New Roman" w:hAnsi="Times New Roman" w:cs="Times New Roman"/>
          <w:sz w:val="24"/>
          <w:szCs w:val="24"/>
        </w:rPr>
        <w:t>[the respondents]</w:t>
      </w:r>
      <w:r w:rsidRPr="002D3A2A">
        <w:rPr>
          <w:rFonts w:ascii="Times New Roman" w:hAnsi="Times New Roman" w:cs="Times New Roman"/>
          <w:sz w:val="24"/>
          <w:szCs w:val="24"/>
        </w:rPr>
        <w:t xml:space="preserve"> </w:t>
      </w:r>
      <w:r w:rsidR="00B527E1" w:rsidRPr="002D3A2A">
        <w:rPr>
          <w:rFonts w:ascii="Times New Roman" w:hAnsi="Times New Roman" w:cs="Times New Roman"/>
          <w:sz w:val="24"/>
          <w:szCs w:val="24"/>
        </w:rPr>
        <w:t>to serve</w:t>
      </w:r>
      <w:r w:rsidRPr="002D3A2A">
        <w:rPr>
          <w:rFonts w:ascii="Times New Roman" w:hAnsi="Times New Roman" w:cs="Times New Roman"/>
          <w:sz w:val="24"/>
          <w:szCs w:val="24"/>
        </w:rPr>
        <w:t xml:space="preserve"> the relevant notice and to obtain the </w:t>
      </w:r>
      <w:r w:rsidR="00B527E1" w:rsidRPr="002D3A2A">
        <w:rPr>
          <w:rFonts w:ascii="Times New Roman" w:hAnsi="Times New Roman" w:cs="Times New Roman"/>
          <w:sz w:val="24"/>
          <w:szCs w:val="24"/>
        </w:rPr>
        <w:t>agreement of the Commissioner or</w:t>
      </w:r>
      <w:r w:rsidRPr="002D3A2A">
        <w:rPr>
          <w:rFonts w:ascii="Times New Roman" w:hAnsi="Times New Roman" w:cs="Times New Roman"/>
          <w:sz w:val="24"/>
          <w:szCs w:val="24"/>
        </w:rPr>
        <w:t xml:space="preserve"> the sanction of the court to reduce the one-month period in respect of the new cause of action involving a review of the seizure decision. This was not done. The respondent</w:t>
      </w:r>
      <w:r w:rsidR="00513F45" w:rsidRPr="002D3A2A">
        <w:rPr>
          <w:rFonts w:ascii="Times New Roman" w:hAnsi="Times New Roman" w:cs="Times New Roman"/>
          <w:sz w:val="24"/>
          <w:szCs w:val="24"/>
        </w:rPr>
        <w:t>s</w:t>
      </w:r>
      <w:r w:rsidRPr="002D3A2A">
        <w:rPr>
          <w:rFonts w:ascii="Times New Roman" w:hAnsi="Times New Roman" w:cs="Times New Roman"/>
          <w:sz w:val="24"/>
          <w:szCs w:val="24"/>
        </w:rPr>
        <w:t xml:space="preserve"> could not rely on the notice they served to obtain the release of the goods from detention.</w:t>
      </w:r>
      <w:r w:rsidR="00B527E1" w:rsidRPr="002D3A2A">
        <w:rPr>
          <w:rFonts w:ascii="Times New Roman" w:hAnsi="Times New Roman" w:cs="Times New Roman"/>
          <w:sz w:val="24"/>
          <w:szCs w:val="24"/>
        </w:rPr>
        <w:t xml:space="preserve"> Section 96(1)</w:t>
      </w:r>
      <w:r w:rsidR="00B527E1" w:rsidRPr="002D3A2A">
        <w:rPr>
          <w:rFonts w:ascii="Times New Roman" w:hAnsi="Times New Roman" w:cs="Times New Roman"/>
          <w:i/>
          <w:sz w:val="24"/>
          <w:szCs w:val="24"/>
        </w:rPr>
        <w:t>(a)</w:t>
      </w:r>
      <w:r w:rsidR="00B527E1" w:rsidRPr="002D3A2A">
        <w:rPr>
          <w:rFonts w:ascii="Times New Roman" w:hAnsi="Times New Roman" w:cs="Times New Roman"/>
          <w:sz w:val="24"/>
          <w:szCs w:val="24"/>
        </w:rPr>
        <w:t>(i) of the Act makes it plain that the notice must relate to a specific cause of action, which is required to be set forth “clearly and explicitly” in the written notice. And section 96(1)</w:t>
      </w:r>
      <w:r w:rsidR="00B527E1" w:rsidRPr="002D3A2A">
        <w:rPr>
          <w:rFonts w:ascii="Times New Roman" w:hAnsi="Times New Roman" w:cs="Times New Roman"/>
          <w:i/>
          <w:sz w:val="24"/>
          <w:szCs w:val="24"/>
        </w:rPr>
        <w:t>(a)</w:t>
      </w:r>
      <w:r w:rsidR="00B527E1" w:rsidRPr="002D3A2A">
        <w:rPr>
          <w:rFonts w:ascii="Times New Roman" w:hAnsi="Times New Roman" w:cs="Times New Roman"/>
          <w:sz w:val="24"/>
          <w:szCs w:val="24"/>
        </w:rPr>
        <w:t>(iii) provides that no notice shall be valid unless it complies with the req</w:t>
      </w:r>
      <w:r w:rsidR="00AA63C5" w:rsidRPr="002D3A2A">
        <w:rPr>
          <w:rFonts w:ascii="Times New Roman" w:hAnsi="Times New Roman" w:cs="Times New Roman"/>
          <w:sz w:val="24"/>
          <w:szCs w:val="24"/>
        </w:rPr>
        <w:t xml:space="preserve">uirements prescribed in </w:t>
      </w:r>
      <w:r w:rsidR="00513F45" w:rsidRPr="002D3A2A">
        <w:rPr>
          <w:rFonts w:ascii="Times New Roman" w:hAnsi="Times New Roman" w:cs="Times New Roman"/>
          <w:sz w:val="24"/>
          <w:szCs w:val="24"/>
        </w:rPr>
        <w:t xml:space="preserve">the </w:t>
      </w:r>
      <w:r w:rsidR="00AA63C5" w:rsidRPr="002D3A2A">
        <w:rPr>
          <w:rFonts w:ascii="Times New Roman" w:hAnsi="Times New Roman" w:cs="Times New Roman"/>
          <w:sz w:val="24"/>
          <w:szCs w:val="24"/>
        </w:rPr>
        <w:t>section.</w:t>
      </w:r>
      <w:r w:rsidR="00513F45" w:rsidRPr="002D3A2A">
        <w:rPr>
          <w:rFonts w:ascii="Times New Roman" w:hAnsi="Times New Roman" w:cs="Times New Roman"/>
          <w:sz w:val="24"/>
          <w:szCs w:val="24"/>
        </w:rPr>
        <w:t xml:space="preserve"> Thus, since no notice was delivered in respect of the review, and neither the Commissioner or the court agreed to a reduced period, the jurisdictional conditions precedent were not fulfilled, and the court accordingly lacked jurisdiction to grant the final relief it granted, in the form of an order setting aside the seizure of the goods. For that reason alone, the appeal must succeed.’</w:t>
      </w:r>
      <w:r w:rsidR="00F03E4E" w:rsidRPr="002D3A2A">
        <w:rPr>
          <w:rStyle w:val="FootnoteReference"/>
          <w:rFonts w:ascii="Times New Roman" w:hAnsi="Times New Roman" w:cs="Times New Roman"/>
          <w:sz w:val="24"/>
          <w:szCs w:val="24"/>
        </w:rPr>
        <w:footnoteReference w:id="9"/>
      </w:r>
    </w:p>
    <w:p w14:paraId="1CE3E160" w14:textId="77777777" w:rsidR="00B527E1" w:rsidRPr="002D3A2A" w:rsidRDefault="00B527E1" w:rsidP="0035138D">
      <w:pPr>
        <w:pStyle w:val="ListParagraph"/>
        <w:spacing w:after="0" w:line="360" w:lineRule="auto"/>
        <w:ind w:left="0"/>
        <w:jc w:val="both"/>
        <w:rPr>
          <w:rFonts w:ascii="Times New Roman" w:hAnsi="Times New Roman" w:cs="Times New Roman"/>
          <w:sz w:val="28"/>
          <w:szCs w:val="28"/>
        </w:rPr>
      </w:pPr>
    </w:p>
    <w:p w14:paraId="6D49CE41" w14:textId="541199B4" w:rsidR="007E4210" w:rsidRPr="002D3A2A" w:rsidRDefault="00DA1096" w:rsidP="0099594F">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 high court </w:t>
      </w:r>
      <w:r w:rsidR="00AD2CF5" w:rsidRPr="002D3A2A">
        <w:rPr>
          <w:rFonts w:ascii="Times New Roman" w:hAnsi="Times New Roman" w:cs="Times New Roman"/>
          <w:sz w:val="28"/>
          <w:szCs w:val="28"/>
        </w:rPr>
        <w:t xml:space="preserve">however </w:t>
      </w:r>
      <w:r w:rsidRPr="002D3A2A">
        <w:rPr>
          <w:rFonts w:ascii="Times New Roman" w:hAnsi="Times New Roman" w:cs="Times New Roman"/>
          <w:sz w:val="28"/>
          <w:szCs w:val="28"/>
        </w:rPr>
        <w:t xml:space="preserve">distinguished </w:t>
      </w:r>
      <w:r w:rsidRPr="002D3A2A">
        <w:rPr>
          <w:rFonts w:ascii="Times New Roman" w:hAnsi="Times New Roman" w:cs="Times New Roman"/>
          <w:i/>
          <w:sz w:val="28"/>
          <w:szCs w:val="28"/>
        </w:rPr>
        <w:t xml:space="preserve">Prudence </w:t>
      </w:r>
      <w:r w:rsidR="00513F45" w:rsidRPr="002D3A2A">
        <w:rPr>
          <w:rFonts w:ascii="Times New Roman" w:hAnsi="Times New Roman" w:cs="Times New Roman"/>
          <w:i/>
          <w:sz w:val="28"/>
          <w:szCs w:val="28"/>
        </w:rPr>
        <w:t>Forwarding</w:t>
      </w:r>
      <w:r w:rsidRPr="002D3A2A">
        <w:rPr>
          <w:rFonts w:ascii="Times New Roman" w:hAnsi="Times New Roman" w:cs="Times New Roman"/>
          <w:sz w:val="28"/>
          <w:szCs w:val="28"/>
        </w:rPr>
        <w:t xml:space="preserve"> on the basis that the February notice and the notice of motion provide</w:t>
      </w:r>
      <w:r w:rsidR="008A1805" w:rsidRPr="002D3A2A">
        <w:rPr>
          <w:rFonts w:ascii="Times New Roman" w:hAnsi="Times New Roman" w:cs="Times New Roman"/>
          <w:sz w:val="28"/>
          <w:szCs w:val="28"/>
        </w:rPr>
        <w:t xml:space="preserve">d for the review of both the decisions </w:t>
      </w:r>
      <w:r w:rsidRPr="002D3A2A">
        <w:rPr>
          <w:rFonts w:ascii="Times New Roman" w:hAnsi="Times New Roman" w:cs="Times New Roman"/>
          <w:sz w:val="28"/>
          <w:szCs w:val="28"/>
        </w:rPr>
        <w:t>to detain</w:t>
      </w:r>
      <w:r w:rsidR="008A1805" w:rsidRPr="002D3A2A">
        <w:rPr>
          <w:rFonts w:ascii="Times New Roman" w:hAnsi="Times New Roman" w:cs="Times New Roman"/>
          <w:sz w:val="28"/>
          <w:szCs w:val="28"/>
        </w:rPr>
        <w:t xml:space="preserve"> and </w:t>
      </w:r>
      <w:r w:rsidRPr="002D3A2A">
        <w:rPr>
          <w:rFonts w:ascii="Times New Roman" w:hAnsi="Times New Roman" w:cs="Times New Roman"/>
          <w:sz w:val="28"/>
          <w:szCs w:val="28"/>
        </w:rPr>
        <w:t>seize the containers. However, the February notice</w:t>
      </w:r>
      <w:r w:rsidR="002B1344" w:rsidRPr="002D3A2A">
        <w:rPr>
          <w:rFonts w:ascii="Times New Roman" w:hAnsi="Times New Roman" w:cs="Times New Roman"/>
          <w:sz w:val="28"/>
          <w:szCs w:val="28"/>
        </w:rPr>
        <w:t xml:space="preserve"> did not </w:t>
      </w:r>
      <w:r w:rsidRPr="002D3A2A">
        <w:rPr>
          <w:rFonts w:ascii="Times New Roman" w:hAnsi="Times New Roman" w:cs="Times New Roman"/>
          <w:sz w:val="28"/>
          <w:szCs w:val="28"/>
        </w:rPr>
        <w:t>comply with s 96(1)</w:t>
      </w:r>
      <w:r w:rsidRPr="002D3A2A">
        <w:rPr>
          <w:rFonts w:ascii="Times New Roman" w:hAnsi="Times New Roman" w:cs="Times New Roman"/>
          <w:i/>
          <w:sz w:val="28"/>
          <w:szCs w:val="28"/>
        </w:rPr>
        <w:t>(a)</w:t>
      </w:r>
      <w:r w:rsidRPr="002D3A2A">
        <w:rPr>
          <w:rFonts w:ascii="Times New Roman" w:hAnsi="Times New Roman" w:cs="Times New Roman"/>
          <w:sz w:val="28"/>
          <w:szCs w:val="28"/>
        </w:rPr>
        <w:t>(i)</w:t>
      </w:r>
      <w:r w:rsidR="002B1344" w:rsidRPr="002D3A2A">
        <w:rPr>
          <w:rFonts w:ascii="Times New Roman" w:hAnsi="Times New Roman" w:cs="Times New Roman"/>
          <w:sz w:val="28"/>
          <w:szCs w:val="28"/>
        </w:rPr>
        <w:t xml:space="preserve"> of the Act,</w:t>
      </w:r>
      <w:r w:rsidRPr="002D3A2A">
        <w:rPr>
          <w:rFonts w:ascii="Times New Roman" w:hAnsi="Times New Roman" w:cs="Times New Roman"/>
          <w:sz w:val="28"/>
          <w:szCs w:val="28"/>
        </w:rPr>
        <w:t xml:space="preserve"> in that</w:t>
      </w:r>
      <w:r w:rsidR="002B1344" w:rsidRPr="002D3A2A">
        <w:rPr>
          <w:rFonts w:ascii="Times New Roman" w:hAnsi="Times New Roman" w:cs="Times New Roman"/>
          <w:sz w:val="28"/>
          <w:szCs w:val="28"/>
        </w:rPr>
        <w:t xml:space="preserve"> it </w:t>
      </w:r>
      <w:r w:rsidR="00AD2CF5" w:rsidRPr="002D3A2A">
        <w:rPr>
          <w:rFonts w:ascii="Times New Roman" w:hAnsi="Times New Roman" w:cs="Times New Roman"/>
          <w:sz w:val="28"/>
          <w:szCs w:val="28"/>
        </w:rPr>
        <w:t xml:space="preserve">did not, and could </w:t>
      </w:r>
      <w:r w:rsidR="002B1344" w:rsidRPr="002D3A2A">
        <w:rPr>
          <w:rFonts w:ascii="Times New Roman" w:hAnsi="Times New Roman" w:cs="Times New Roman"/>
          <w:sz w:val="28"/>
          <w:szCs w:val="28"/>
        </w:rPr>
        <w:t xml:space="preserve">not, explicitly set out a cause of action because the </w:t>
      </w:r>
      <w:r w:rsidR="009B5B81" w:rsidRPr="002D3A2A">
        <w:rPr>
          <w:rFonts w:ascii="Times New Roman" w:hAnsi="Times New Roman" w:cs="Times New Roman"/>
          <w:sz w:val="28"/>
          <w:szCs w:val="28"/>
        </w:rPr>
        <w:t>impugned decision</w:t>
      </w:r>
      <w:r w:rsidR="002B1344" w:rsidRPr="002D3A2A">
        <w:rPr>
          <w:rFonts w:ascii="Times New Roman" w:hAnsi="Times New Roman" w:cs="Times New Roman"/>
          <w:sz w:val="28"/>
          <w:szCs w:val="28"/>
        </w:rPr>
        <w:t xml:space="preserve"> had not been taken. For the same reason, the relief sought in the notice of motion that the court reduce the one-month period </w:t>
      </w:r>
      <w:r w:rsidR="007E4210" w:rsidRPr="002D3A2A">
        <w:rPr>
          <w:rFonts w:ascii="Times New Roman" w:hAnsi="Times New Roman" w:cs="Times New Roman"/>
          <w:sz w:val="28"/>
          <w:szCs w:val="28"/>
        </w:rPr>
        <w:t>specified in s</w:t>
      </w:r>
      <w:r w:rsidR="0044622A" w:rsidRPr="002D3A2A">
        <w:rPr>
          <w:rFonts w:ascii="Times New Roman" w:hAnsi="Times New Roman" w:cs="Times New Roman"/>
          <w:sz w:val="28"/>
          <w:szCs w:val="28"/>
        </w:rPr>
        <w:t> </w:t>
      </w:r>
      <w:r w:rsidR="007E4210" w:rsidRPr="002D3A2A">
        <w:rPr>
          <w:rFonts w:ascii="Times New Roman" w:hAnsi="Times New Roman" w:cs="Times New Roman"/>
          <w:sz w:val="28"/>
          <w:szCs w:val="28"/>
        </w:rPr>
        <w:t>96(1)</w:t>
      </w:r>
      <w:r w:rsidR="007E4210" w:rsidRPr="002D3A2A">
        <w:rPr>
          <w:rFonts w:ascii="Times New Roman" w:hAnsi="Times New Roman" w:cs="Times New Roman"/>
          <w:i/>
          <w:sz w:val="28"/>
          <w:szCs w:val="28"/>
        </w:rPr>
        <w:t>(a)</w:t>
      </w:r>
      <w:r w:rsidR="007E4210" w:rsidRPr="002D3A2A">
        <w:rPr>
          <w:rFonts w:ascii="Times New Roman" w:hAnsi="Times New Roman" w:cs="Times New Roman"/>
          <w:sz w:val="28"/>
          <w:szCs w:val="28"/>
        </w:rPr>
        <w:t xml:space="preserve">(i) in relation to the impugned decision, </w:t>
      </w:r>
      <w:r w:rsidR="007E4210" w:rsidRPr="002D3A2A">
        <w:rPr>
          <w:rFonts w:ascii="Times New Roman" w:hAnsi="Times New Roman" w:cs="Times New Roman"/>
          <w:sz w:val="28"/>
          <w:szCs w:val="28"/>
        </w:rPr>
        <w:lastRenderedPageBreak/>
        <w:t>was incompetent.</w:t>
      </w:r>
      <w:r w:rsidR="00264341" w:rsidRPr="002D3A2A">
        <w:rPr>
          <w:rFonts w:ascii="Times New Roman" w:hAnsi="Times New Roman" w:cs="Times New Roman"/>
          <w:sz w:val="28"/>
          <w:szCs w:val="28"/>
        </w:rPr>
        <w:t xml:space="preserve"> And there is no </w:t>
      </w:r>
      <w:r w:rsidR="00FB32DC" w:rsidRPr="002D3A2A">
        <w:rPr>
          <w:rFonts w:ascii="Times New Roman" w:hAnsi="Times New Roman" w:cs="Times New Roman"/>
          <w:sz w:val="28"/>
          <w:szCs w:val="28"/>
        </w:rPr>
        <w:t>power in the Act to condone non-compliance with th</w:t>
      </w:r>
      <w:r w:rsidR="00364965" w:rsidRPr="002D3A2A">
        <w:rPr>
          <w:rFonts w:ascii="Times New Roman" w:hAnsi="Times New Roman" w:cs="Times New Roman"/>
          <w:sz w:val="28"/>
          <w:szCs w:val="28"/>
        </w:rPr>
        <w:t>is</w:t>
      </w:r>
      <w:r w:rsidR="00FB32DC" w:rsidRPr="002D3A2A">
        <w:rPr>
          <w:rFonts w:ascii="Times New Roman" w:hAnsi="Times New Roman" w:cs="Times New Roman"/>
          <w:sz w:val="28"/>
          <w:szCs w:val="28"/>
        </w:rPr>
        <w:t xml:space="preserve"> provision.</w:t>
      </w:r>
    </w:p>
    <w:p w14:paraId="437A7E29" w14:textId="77777777" w:rsidR="007E4210" w:rsidRPr="002D3A2A" w:rsidRDefault="007E4210" w:rsidP="007E4210">
      <w:pPr>
        <w:pStyle w:val="ListParagraph"/>
        <w:spacing w:after="0" w:line="360" w:lineRule="auto"/>
        <w:ind w:left="0"/>
        <w:jc w:val="both"/>
        <w:rPr>
          <w:rFonts w:ascii="Times New Roman" w:hAnsi="Times New Roman" w:cs="Times New Roman"/>
          <w:sz w:val="28"/>
          <w:szCs w:val="28"/>
        </w:rPr>
      </w:pPr>
    </w:p>
    <w:p w14:paraId="4D46D01F" w14:textId="77777777" w:rsidR="00FB32DC" w:rsidRPr="002D3A2A" w:rsidRDefault="00076806" w:rsidP="00FB32DC">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In the notice advising the respondents of the </w:t>
      </w:r>
      <w:r w:rsidR="009B5B81" w:rsidRPr="002D3A2A">
        <w:rPr>
          <w:rFonts w:ascii="Times New Roman" w:hAnsi="Times New Roman" w:cs="Times New Roman"/>
          <w:sz w:val="28"/>
          <w:szCs w:val="28"/>
        </w:rPr>
        <w:t>impugned decision</w:t>
      </w:r>
      <w:r w:rsidRPr="002D3A2A">
        <w:rPr>
          <w:rFonts w:ascii="Times New Roman" w:hAnsi="Times New Roman" w:cs="Times New Roman"/>
          <w:sz w:val="28"/>
          <w:szCs w:val="28"/>
        </w:rPr>
        <w:t>, they were specifically informed of the peremptory notice to SARS in s 96(1) of the Act. They chose to ignore it. The high court erred in its inter</w:t>
      </w:r>
      <w:r w:rsidR="009833B4" w:rsidRPr="002D3A2A">
        <w:rPr>
          <w:rFonts w:ascii="Times New Roman" w:hAnsi="Times New Roman" w:cs="Times New Roman"/>
          <w:sz w:val="28"/>
          <w:szCs w:val="28"/>
        </w:rPr>
        <w:t xml:space="preserve">pretation and application of s </w:t>
      </w:r>
      <w:r w:rsidRPr="002D3A2A">
        <w:rPr>
          <w:rFonts w:ascii="Times New Roman" w:hAnsi="Times New Roman" w:cs="Times New Roman"/>
          <w:sz w:val="28"/>
          <w:szCs w:val="28"/>
        </w:rPr>
        <w:t>96(1)</w:t>
      </w:r>
      <w:r w:rsidR="008016C3" w:rsidRPr="002D3A2A">
        <w:rPr>
          <w:rFonts w:ascii="Times New Roman" w:hAnsi="Times New Roman" w:cs="Times New Roman"/>
          <w:i/>
          <w:sz w:val="28"/>
          <w:szCs w:val="28"/>
        </w:rPr>
        <w:t xml:space="preserve"> </w:t>
      </w:r>
      <w:r w:rsidR="00FB32DC" w:rsidRPr="002D3A2A">
        <w:rPr>
          <w:rFonts w:ascii="Times New Roman" w:hAnsi="Times New Roman" w:cs="Times New Roman"/>
          <w:sz w:val="28"/>
          <w:szCs w:val="28"/>
        </w:rPr>
        <w:t>of the Act</w:t>
      </w:r>
      <w:r w:rsidR="00264341" w:rsidRPr="002D3A2A">
        <w:rPr>
          <w:rFonts w:ascii="Times New Roman" w:hAnsi="Times New Roman" w:cs="Times New Roman"/>
          <w:sz w:val="28"/>
          <w:szCs w:val="28"/>
        </w:rPr>
        <w:t xml:space="preserve"> </w:t>
      </w:r>
      <w:r w:rsidRPr="002D3A2A">
        <w:rPr>
          <w:rFonts w:ascii="Times New Roman" w:hAnsi="Times New Roman" w:cs="Times New Roman"/>
          <w:sz w:val="28"/>
          <w:szCs w:val="28"/>
        </w:rPr>
        <w:t xml:space="preserve">and on this basis alone, the appeal must </w:t>
      </w:r>
      <w:r w:rsidR="004D338B" w:rsidRPr="002D3A2A">
        <w:rPr>
          <w:rFonts w:ascii="Times New Roman" w:hAnsi="Times New Roman" w:cs="Times New Roman"/>
          <w:sz w:val="28"/>
          <w:szCs w:val="28"/>
        </w:rPr>
        <w:t>be upheld.</w:t>
      </w:r>
    </w:p>
    <w:p w14:paraId="30AB1E50" w14:textId="77777777" w:rsidR="00446534" w:rsidRPr="002D3A2A" w:rsidRDefault="00446534" w:rsidP="00523C49">
      <w:pPr>
        <w:pStyle w:val="ListParagraph"/>
        <w:spacing w:after="0" w:line="360" w:lineRule="auto"/>
        <w:ind w:left="0"/>
        <w:jc w:val="both"/>
        <w:rPr>
          <w:rFonts w:ascii="Times New Roman" w:hAnsi="Times New Roman" w:cs="Times New Roman"/>
          <w:sz w:val="28"/>
          <w:szCs w:val="28"/>
        </w:rPr>
      </w:pPr>
    </w:p>
    <w:p w14:paraId="2FB6AFDE" w14:textId="77777777" w:rsidR="00523C49" w:rsidRPr="002D3A2A" w:rsidRDefault="00523C49" w:rsidP="00523C49">
      <w:pPr>
        <w:pStyle w:val="ListParagraph"/>
        <w:spacing w:after="0" w:line="360" w:lineRule="auto"/>
        <w:ind w:left="0"/>
        <w:jc w:val="both"/>
        <w:rPr>
          <w:rFonts w:ascii="Times New Roman" w:hAnsi="Times New Roman" w:cs="Times New Roman"/>
          <w:b/>
          <w:sz w:val="28"/>
          <w:szCs w:val="28"/>
        </w:rPr>
      </w:pPr>
      <w:r w:rsidRPr="002D3A2A">
        <w:rPr>
          <w:rFonts w:ascii="Times New Roman" w:hAnsi="Times New Roman" w:cs="Times New Roman"/>
          <w:b/>
          <w:sz w:val="28"/>
          <w:szCs w:val="28"/>
        </w:rPr>
        <w:t>The</w:t>
      </w:r>
      <w:r w:rsidR="00EA0E63" w:rsidRPr="002D3A2A">
        <w:rPr>
          <w:rFonts w:ascii="Times New Roman" w:hAnsi="Times New Roman" w:cs="Times New Roman"/>
          <w:b/>
          <w:sz w:val="28"/>
          <w:szCs w:val="28"/>
        </w:rPr>
        <w:t xml:space="preserve"> decision to detain the goods</w:t>
      </w:r>
    </w:p>
    <w:p w14:paraId="0E859219" w14:textId="3EDB847B" w:rsidR="00A66F39" w:rsidRPr="002D3A2A" w:rsidRDefault="00EA0E63" w:rsidP="008D58C8">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 high court reviewed and set aside SARS’ decision not to release the 19 containers and ordered SARS to immediately release </w:t>
      </w:r>
      <w:r w:rsidR="00A66F39" w:rsidRPr="002D3A2A">
        <w:rPr>
          <w:rFonts w:ascii="Times New Roman" w:hAnsi="Times New Roman" w:cs="Times New Roman"/>
          <w:sz w:val="28"/>
          <w:szCs w:val="28"/>
        </w:rPr>
        <w:t xml:space="preserve">those containers and the goods held in them. This order should not have been granted because the decision to detain the goods had been overtaken by the </w:t>
      </w:r>
      <w:r w:rsidR="009B5B81" w:rsidRPr="002D3A2A">
        <w:rPr>
          <w:rFonts w:ascii="Times New Roman" w:hAnsi="Times New Roman" w:cs="Times New Roman"/>
          <w:sz w:val="28"/>
          <w:szCs w:val="28"/>
        </w:rPr>
        <w:t>impugned decision.</w:t>
      </w:r>
      <w:r w:rsidR="00A66F39" w:rsidRPr="002D3A2A">
        <w:rPr>
          <w:rFonts w:ascii="Times New Roman" w:hAnsi="Times New Roman" w:cs="Times New Roman"/>
          <w:sz w:val="28"/>
          <w:szCs w:val="28"/>
        </w:rPr>
        <w:t xml:space="preserve"> </w:t>
      </w:r>
    </w:p>
    <w:p w14:paraId="35427045" w14:textId="77777777" w:rsidR="00A66F39" w:rsidRPr="002D3A2A" w:rsidRDefault="00A66F39" w:rsidP="00A66F39">
      <w:pPr>
        <w:pStyle w:val="ListParagraph"/>
        <w:spacing w:after="0" w:line="360" w:lineRule="auto"/>
        <w:ind w:left="0"/>
        <w:jc w:val="both"/>
        <w:rPr>
          <w:rFonts w:ascii="Times New Roman" w:hAnsi="Times New Roman" w:cs="Times New Roman"/>
          <w:sz w:val="28"/>
          <w:szCs w:val="28"/>
        </w:rPr>
      </w:pPr>
    </w:p>
    <w:p w14:paraId="50D9E0D4" w14:textId="77777777" w:rsidR="00A66F39" w:rsidRPr="002D3A2A" w:rsidRDefault="00A66F39" w:rsidP="008D58C8">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 SARS’ powers of detention and its powers of seizure </w:t>
      </w:r>
      <w:r w:rsidR="0016558D" w:rsidRPr="002D3A2A">
        <w:rPr>
          <w:rFonts w:ascii="Times New Roman" w:hAnsi="Times New Roman" w:cs="Times New Roman"/>
          <w:sz w:val="28"/>
          <w:szCs w:val="28"/>
        </w:rPr>
        <w:t xml:space="preserve">are </w:t>
      </w:r>
      <w:r w:rsidRPr="002D3A2A">
        <w:rPr>
          <w:rFonts w:ascii="Times New Roman" w:hAnsi="Times New Roman" w:cs="Times New Roman"/>
          <w:sz w:val="28"/>
          <w:szCs w:val="28"/>
        </w:rPr>
        <w:t>set out under different provisions of the Act. Section 88(1)</w:t>
      </w:r>
      <w:r w:rsidRPr="002D3A2A">
        <w:rPr>
          <w:rFonts w:ascii="Times New Roman" w:hAnsi="Times New Roman" w:cs="Times New Roman"/>
          <w:i/>
          <w:sz w:val="28"/>
          <w:szCs w:val="28"/>
        </w:rPr>
        <w:t>(a)</w:t>
      </w:r>
      <w:r w:rsidRPr="002D3A2A">
        <w:rPr>
          <w:rFonts w:ascii="Times New Roman" w:hAnsi="Times New Roman" w:cs="Times New Roman"/>
          <w:sz w:val="28"/>
          <w:szCs w:val="28"/>
        </w:rPr>
        <w:t xml:space="preserve"> provides: </w:t>
      </w:r>
    </w:p>
    <w:p w14:paraId="51931615" w14:textId="0909A052" w:rsidR="00A66F39" w:rsidRPr="002D3A2A" w:rsidRDefault="00A66F39" w:rsidP="00A66F39">
      <w:pPr>
        <w:pStyle w:val="ListParagraph"/>
        <w:spacing w:after="0" w:line="360" w:lineRule="auto"/>
        <w:ind w:left="0"/>
        <w:jc w:val="both"/>
        <w:rPr>
          <w:rFonts w:ascii="Times New Roman" w:hAnsi="Times New Roman" w:cs="Times New Roman"/>
          <w:sz w:val="24"/>
          <w:szCs w:val="24"/>
        </w:rPr>
      </w:pPr>
      <w:r w:rsidRPr="002D3A2A">
        <w:rPr>
          <w:rFonts w:ascii="Times New Roman" w:hAnsi="Times New Roman" w:cs="Times New Roman"/>
          <w:sz w:val="24"/>
          <w:szCs w:val="24"/>
        </w:rPr>
        <w:t xml:space="preserve">‘An officer, magistrate or member of the police force </w:t>
      </w:r>
      <w:r w:rsidRPr="002D3A2A">
        <w:rPr>
          <w:rFonts w:ascii="Times New Roman" w:hAnsi="Times New Roman" w:cs="Times New Roman"/>
          <w:i/>
          <w:sz w:val="24"/>
          <w:szCs w:val="24"/>
        </w:rPr>
        <w:t>may detain</w:t>
      </w:r>
      <w:r w:rsidRPr="002D3A2A">
        <w:rPr>
          <w:rFonts w:ascii="Times New Roman" w:hAnsi="Times New Roman" w:cs="Times New Roman"/>
          <w:sz w:val="24"/>
          <w:szCs w:val="24"/>
        </w:rPr>
        <w:t xml:space="preserve"> any ship, vehicle, plant, material or goods at any place </w:t>
      </w:r>
      <w:r w:rsidR="004E5BA4" w:rsidRPr="002D3A2A">
        <w:rPr>
          <w:rFonts w:ascii="Times New Roman" w:hAnsi="Times New Roman" w:cs="Times New Roman"/>
          <w:sz w:val="24"/>
          <w:szCs w:val="24"/>
        </w:rPr>
        <w:t xml:space="preserve">for </w:t>
      </w:r>
      <w:r w:rsidRPr="002D3A2A">
        <w:rPr>
          <w:rFonts w:ascii="Times New Roman" w:hAnsi="Times New Roman" w:cs="Times New Roman"/>
          <w:sz w:val="24"/>
          <w:szCs w:val="24"/>
        </w:rPr>
        <w:t xml:space="preserve">the purpose of establishing whether that ship, vehicle, plant, material or goods </w:t>
      </w:r>
      <w:r w:rsidR="002D4A5F" w:rsidRPr="002D3A2A">
        <w:rPr>
          <w:rFonts w:ascii="Times New Roman" w:hAnsi="Times New Roman" w:cs="Times New Roman"/>
          <w:sz w:val="24"/>
          <w:szCs w:val="24"/>
        </w:rPr>
        <w:t xml:space="preserve">are </w:t>
      </w:r>
      <w:r w:rsidRPr="002D3A2A">
        <w:rPr>
          <w:rFonts w:ascii="Times New Roman" w:hAnsi="Times New Roman" w:cs="Times New Roman"/>
          <w:sz w:val="24"/>
          <w:szCs w:val="24"/>
        </w:rPr>
        <w:t>liable to forfeiture under this Act.’</w:t>
      </w:r>
      <w:r w:rsidR="0032166D" w:rsidRPr="002D3A2A">
        <w:rPr>
          <w:rFonts w:ascii="Times New Roman" w:hAnsi="Times New Roman" w:cs="Times New Roman"/>
          <w:sz w:val="24"/>
          <w:szCs w:val="24"/>
        </w:rPr>
        <w:t xml:space="preserve"> (Emphasis added.)</w:t>
      </w:r>
    </w:p>
    <w:p w14:paraId="12C30124" w14:textId="77777777" w:rsidR="00A66F39" w:rsidRPr="002D3A2A" w:rsidRDefault="00A66F39" w:rsidP="00A66F39">
      <w:pPr>
        <w:pStyle w:val="ListParagraph"/>
        <w:spacing w:after="0" w:line="360" w:lineRule="auto"/>
        <w:ind w:left="0"/>
        <w:jc w:val="both"/>
        <w:rPr>
          <w:rFonts w:ascii="Times New Roman" w:hAnsi="Times New Roman" w:cs="Times New Roman"/>
          <w:sz w:val="28"/>
          <w:szCs w:val="28"/>
        </w:rPr>
      </w:pPr>
    </w:p>
    <w:p w14:paraId="5E0F8FED" w14:textId="77777777" w:rsidR="00A66F39" w:rsidRPr="002D3A2A" w:rsidRDefault="00A66F39" w:rsidP="00A66F39">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By contrast, s 88(1)</w:t>
      </w:r>
      <w:r w:rsidRPr="002D3A2A">
        <w:rPr>
          <w:rFonts w:ascii="Times New Roman" w:hAnsi="Times New Roman" w:cs="Times New Roman"/>
          <w:i/>
          <w:sz w:val="28"/>
          <w:szCs w:val="28"/>
        </w:rPr>
        <w:t>(c)</w:t>
      </w:r>
      <w:r w:rsidRPr="002D3A2A">
        <w:rPr>
          <w:rFonts w:ascii="Times New Roman" w:hAnsi="Times New Roman" w:cs="Times New Roman"/>
          <w:sz w:val="28"/>
          <w:szCs w:val="28"/>
        </w:rPr>
        <w:t xml:space="preserve"> reads:</w:t>
      </w:r>
    </w:p>
    <w:p w14:paraId="16116CBD" w14:textId="77777777" w:rsidR="0057259E" w:rsidRPr="002D3A2A" w:rsidRDefault="00A66F39" w:rsidP="00A66F39">
      <w:pPr>
        <w:pStyle w:val="ListParagraph"/>
        <w:spacing w:after="0" w:line="360" w:lineRule="auto"/>
        <w:ind w:left="0"/>
        <w:jc w:val="both"/>
        <w:rPr>
          <w:rFonts w:ascii="Times New Roman" w:hAnsi="Times New Roman" w:cs="Times New Roman"/>
          <w:sz w:val="24"/>
          <w:szCs w:val="24"/>
        </w:rPr>
      </w:pPr>
      <w:r w:rsidRPr="002D3A2A">
        <w:rPr>
          <w:rFonts w:ascii="Times New Roman" w:hAnsi="Times New Roman" w:cs="Times New Roman"/>
          <w:sz w:val="24"/>
          <w:szCs w:val="24"/>
        </w:rPr>
        <w:t>‘</w:t>
      </w:r>
      <w:r w:rsidR="0057259E" w:rsidRPr="002D3A2A">
        <w:rPr>
          <w:rFonts w:ascii="Times New Roman" w:hAnsi="Times New Roman" w:cs="Times New Roman"/>
          <w:sz w:val="24"/>
          <w:szCs w:val="24"/>
        </w:rPr>
        <w:t xml:space="preserve">If such ship, vehicle, plant, material or goods are liable to forfeiture under this </w:t>
      </w:r>
      <w:r w:rsidR="0032166D" w:rsidRPr="002D3A2A">
        <w:rPr>
          <w:rFonts w:ascii="Times New Roman" w:hAnsi="Times New Roman" w:cs="Times New Roman"/>
          <w:sz w:val="24"/>
          <w:szCs w:val="24"/>
        </w:rPr>
        <w:t>A</w:t>
      </w:r>
      <w:r w:rsidR="0057259E" w:rsidRPr="002D3A2A">
        <w:rPr>
          <w:rFonts w:ascii="Times New Roman" w:hAnsi="Times New Roman" w:cs="Times New Roman"/>
          <w:sz w:val="24"/>
          <w:szCs w:val="24"/>
        </w:rPr>
        <w:t xml:space="preserve">ct the Commissioner </w:t>
      </w:r>
      <w:r w:rsidR="0057259E" w:rsidRPr="002D3A2A">
        <w:rPr>
          <w:rFonts w:ascii="Times New Roman" w:hAnsi="Times New Roman" w:cs="Times New Roman"/>
          <w:i/>
          <w:sz w:val="24"/>
          <w:szCs w:val="24"/>
        </w:rPr>
        <w:t>may seize</w:t>
      </w:r>
      <w:r w:rsidR="0057259E" w:rsidRPr="002D3A2A">
        <w:rPr>
          <w:rFonts w:ascii="Times New Roman" w:hAnsi="Times New Roman" w:cs="Times New Roman"/>
          <w:sz w:val="24"/>
          <w:szCs w:val="24"/>
        </w:rPr>
        <w:t xml:space="preserve"> that ship, vehicle, plant, material or goods.’</w:t>
      </w:r>
      <w:r w:rsidR="0032166D" w:rsidRPr="002D3A2A">
        <w:rPr>
          <w:rFonts w:ascii="Times New Roman" w:hAnsi="Times New Roman" w:cs="Times New Roman"/>
          <w:sz w:val="24"/>
          <w:szCs w:val="24"/>
        </w:rPr>
        <w:t xml:space="preserve"> (Emphasis added.)</w:t>
      </w:r>
    </w:p>
    <w:p w14:paraId="358548E1" w14:textId="77777777" w:rsidR="0057259E" w:rsidRPr="002D3A2A" w:rsidRDefault="0057259E" w:rsidP="00A66F39">
      <w:pPr>
        <w:pStyle w:val="ListParagraph"/>
        <w:spacing w:after="0" w:line="360" w:lineRule="auto"/>
        <w:ind w:left="0"/>
        <w:jc w:val="both"/>
        <w:rPr>
          <w:rFonts w:ascii="Times New Roman" w:hAnsi="Times New Roman" w:cs="Times New Roman"/>
          <w:sz w:val="28"/>
          <w:szCs w:val="28"/>
        </w:rPr>
      </w:pPr>
    </w:p>
    <w:p w14:paraId="5549BEBF" w14:textId="77777777" w:rsidR="0057259E" w:rsidRPr="002D3A2A" w:rsidRDefault="0057259E" w:rsidP="0057259E">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 power to detain and the power to seize are discrete administrative acts, which require two separate decisions. </w:t>
      </w:r>
      <w:r w:rsidR="004456EE" w:rsidRPr="002D3A2A">
        <w:rPr>
          <w:rFonts w:ascii="Times New Roman" w:hAnsi="Times New Roman" w:cs="Times New Roman"/>
          <w:sz w:val="28"/>
          <w:szCs w:val="28"/>
        </w:rPr>
        <w:t xml:space="preserve">Detention is a temporary assertion of control over the goods, which does not necessarily </w:t>
      </w:r>
      <w:r w:rsidR="004E5BA4" w:rsidRPr="002D3A2A">
        <w:rPr>
          <w:rFonts w:ascii="Times New Roman" w:hAnsi="Times New Roman" w:cs="Times New Roman"/>
          <w:sz w:val="28"/>
          <w:szCs w:val="28"/>
        </w:rPr>
        <w:t xml:space="preserve">result in </w:t>
      </w:r>
      <w:r w:rsidR="004456EE" w:rsidRPr="002D3A2A">
        <w:rPr>
          <w:rFonts w:ascii="Times New Roman" w:hAnsi="Times New Roman" w:cs="Times New Roman"/>
          <w:sz w:val="28"/>
          <w:szCs w:val="28"/>
        </w:rPr>
        <w:t xml:space="preserve">any seizure with a view to ultimate forfeiture. </w:t>
      </w:r>
      <w:r w:rsidR="00FD5C2F" w:rsidRPr="002D3A2A">
        <w:rPr>
          <w:rFonts w:ascii="Times New Roman" w:hAnsi="Times New Roman" w:cs="Times New Roman"/>
          <w:sz w:val="28"/>
          <w:szCs w:val="28"/>
        </w:rPr>
        <w:t xml:space="preserve">The stated purpose of the power to detain in s </w:t>
      </w:r>
      <w:r w:rsidRPr="002D3A2A">
        <w:rPr>
          <w:rFonts w:ascii="Times New Roman" w:hAnsi="Times New Roman" w:cs="Times New Roman"/>
          <w:sz w:val="28"/>
          <w:szCs w:val="28"/>
        </w:rPr>
        <w:t>88(1)</w:t>
      </w:r>
      <w:r w:rsidR="0031784C" w:rsidRPr="002D3A2A">
        <w:rPr>
          <w:rFonts w:ascii="Times New Roman" w:hAnsi="Times New Roman" w:cs="Times New Roman"/>
          <w:i/>
          <w:sz w:val="28"/>
          <w:szCs w:val="28"/>
        </w:rPr>
        <w:t>(a)</w:t>
      </w:r>
      <w:r w:rsidRPr="002D3A2A">
        <w:rPr>
          <w:rFonts w:ascii="Times New Roman" w:hAnsi="Times New Roman" w:cs="Times New Roman"/>
          <w:sz w:val="28"/>
          <w:szCs w:val="28"/>
        </w:rPr>
        <w:t xml:space="preserve"> </w:t>
      </w:r>
      <w:r w:rsidR="00FD5C2F" w:rsidRPr="002D3A2A">
        <w:rPr>
          <w:rFonts w:ascii="Times New Roman" w:hAnsi="Times New Roman" w:cs="Times New Roman"/>
          <w:sz w:val="28"/>
          <w:szCs w:val="28"/>
        </w:rPr>
        <w:t>of the Act, is to establish whether</w:t>
      </w:r>
      <w:r w:rsidR="00631D79" w:rsidRPr="002D3A2A">
        <w:rPr>
          <w:rFonts w:ascii="Times New Roman" w:hAnsi="Times New Roman" w:cs="Times New Roman"/>
          <w:sz w:val="28"/>
          <w:szCs w:val="28"/>
        </w:rPr>
        <w:t xml:space="preserve"> </w:t>
      </w:r>
      <w:r w:rsidR="004E5BA4" w:rsidRPr="002D3A2A">
        <w:rPr>
          <w:rFonts w:ascii="Times New Roman" w:hAnsi="Times New Roman" w:cs="Times New Roman"/>
          <w:sz w:val="28"/>
          <w:szCs w:val="28"/>
        </w:rPr>
        <w:t xml:space="preserve">the </w:t>
      </w:r>
      <w:r w:rsidR="00FD5C2F" w:rsidRPr="002D3A2A">
        <w:rPr>
          <w:rFonts w:ascii="Times New Roman" w:hAnsi="Times New Roman" w:cs="Times New Roman"/>
          <w:sz w:val="28"/>
          <w:szCs w:val="28"/>
        </w:rPr>
        <w:t xml:space="preserve">goods are liable to forfeiture. The provision thus </w:t>
      </w:r>
      <w:r w:rsidR="004456EE" w:rsidRPr="002D3A2A">
        <w:rPr>
          <w:rFonts w:ascii="Times New Roman" w:hAnsi="Times New Roman" w:cs="Times New Roman"/>
          <w:sz w:val="28"/>
          <w:szCs w:val="28"/>
        </w:rPr>
        <w:t>enable</w:t>
      </w:r>
      <w:r w:rsidR="00FD5C2F" w:rsidRPr="002D3A2A">
        <w:rPr>
          <w:rFonts w:ascii="Times New Roman" w:hAnsi="Times New Roman" w:cs="Times New Roman"/>
          <w:sz w:val="28"/>
          <w:szCs w:val="28"/>
        </w:rPr>
        <w:t>s</w:t>
      </w:r>
      <w:r w:rsidR="004456EE" w:rsidRPr="002D3A2A">
        <w:rPr>
          <w:rFonts w:ascii="Times New Roman" w:hAnsi="Times New Roman" w:cs="Times New Roman"/>
          <w:sz w:val="28"/>
          <w:szCs w:val="28"/>
        </w:rPr>
        <w:t xml:space="preserve"> SARS to examine or secure the goods, pending </w:t>
      </w:r>
      <w:r w:rsidR="00FD5C2F" w:rsidRPr="002D3A2A">
        <w:rPr>
          <w:rFonts w:ascii="Times New Roman" w:hAnsi="Times New Roman" w:cs="Times New Roman"/>
          <w:sz w:val="28"/>
          <w:szCs w:val="28"/>
        </w:rPr>
        <w:t>an investigation</w:t>
      </w:r>
      <w:r w:rsidR="004456EE" w:rsidRPr="002D3A2A">
        <w:rPr>
          <w:rFonts w:ascii="Times New Roman" w:hAnsi="Times New Roman" w:cs="Times New Roman"/>
          <w:sz w:val="28"/>
          <w:szCs w:val="28"/>
        </w:rPr>
        <w:t xml:space="preserve"> to </w:t>
      </w:r>
      <w:r w:rsidRPr="002D3A2A">
        <w:rPr>
          <w:rFonts w:ascii="Times New Roman" w:hAnsi="Times New Roman" w:cs="Times New Roman"/>
          <w:sz w:val="28"/>
          <w:szCs w:val="28"/>
        </w:rPr>
        <w:lastRenderedPageBreak/>
        <w:t xml:space="preserve">establish </w:t>
      </w:r>
      <w:r w:rsidR="0032166D" w:rsidRPr="002D3A2A">
        <w:rPr>
          <w:rFonts w:ascii="Times New Roman" w:hAnsi="Times New Roman" w:cs="Times New Roman"/>
          <w:sz w:val="28"/>
          <w:szCs w:val="28"/>
        </w:rPr>
        <w:t xml:space="preserve">whether </w:t>
      </w:r>
      <w:r w:rsidR="004456EE" w:rsidRPr="002D3A2A">
        <w:rPr>
          <w:rFonts w:ascii="Times New Roman" w:hAnsi="Times New Roman" w:cs="Times New Roman"/>
          <w:sz w:val="28"/>
          <w:szCs w:val="28"/>
        </w:rPr>
        <w:t xml:space="preserve">they </w:t>
      </w:r>
      <w:r w:rsidRPr="002D3A2A">
        <w:rPr>
          <w:rFonts w:ascii="Times New Roman" w:hAnsi="Times New Roman" w:cs="Times New Roman"/>
          <w:sz w:val="28"/>
          <w:szCs w:val="28"/>
        </w:rPr>
        <w:t>are liable to forfeiture</w:t>
      </w:r>
      <w:r w:rsidR="00FD5C2F" w:rsidRPr="002D3A2A">
        <w:rPr>
          <w:rFonts w:ascii="Times New Roman" w:hAnsi="Times New Roman" w:cs="Times New Roman"/>
          <w:sz w:val="28"/>
          <w:szCs w:val="28"/>
        </w:rPr>
        <w:t>, as happened in this case.</w:t>
      </w:r>
      <w:r w:rsidRPr="002D3A2A">
        <w:rPr>
          <w:rFonts w:ascii="Times New Roman" w:hAnsi="Times New Roman" w:cs="Times New Roman"/>
          <w:sz w:val="28"/>
          <w:szCs w:val="28"/>
        </w:rPr>
        <w:t xml:space="preserve"> It is only once it has subsequently been established that the goods in question are </w:t>
      </w:r>
      <w:r w:rsidR="00631D79" w:rsidRPr="002D3A2A">
        <w:rPr>
          <w:rFonts w:ascii="Times New Roman" w:hAnsi="Times New Roman" w:cs="Times New Roman"/>
          <w:sz w:val="28"/>
          <w:szCs w:val="28"/>
        </w:rPr>
        <w:t>liable</w:t>
      </w:r>
      <w:r w:rsidRPr="002D3A2A">
        <w:rPr>
          <w:rFonts w:ascii="Times New Roman" w:hAnsi="Times New Roman" w:cs="Times New Roman"/>
          <w:sz w:val="28"/>
          <w:szCs w:val="28"/>
        </w:rPr>
        <w:t xml:space="preserve"> to forfeiture, that SARS may then seize the</w:t>
      </w:r>
      <w:r w:rsidR="00671669" w:rsidRPr="002D3A2A">
        <w:rPr>
          <w:rFonts w:ascii="Times New Roman" w:hAnsi="Times New Roman" w:cs="Times New Roman"/>
          <w:sz w:val="28"/>
          <w:szCs w:val="28"/>
        </w:rPr>
        <w:t xml:space="preserve"> goods</w:t>
      </w:r>
      <w:r w:rsidRPr="002D3A2A">
        <w:rPr>
          <w:rFonts w:ascii="Times New Roman" w:hAnsi="Times New Roman" w:cs="Times New Roman"/>
          <w:sz w:val="28"/>
          <w:szCs w:val="28"/>
        </w:rPr>
        <w:t xml:space="preserve">. Put differently, seizure flows from detention if liability for forfeiture is established. The </w:t>
      </w:r>
      <w:r w:rsidR="00FD5C2F" w:rsidRPr="002D3A2A">
        <w:rPr>
          <w:rFonts w:ascii="Times New Roman" w:hAnsi="Times New Roman" w:cs="Times New Roman"/>
          <w:sz w:val="28"/>
          <w:szCs w:val="28"/>
        </w:rPr>
        <w:t xml:space="preserve">decision to </w:t>
      </w:r>
      <w:r w:rsidRPr="002D3A2A">
        <w:rPr>
          <w:rFonts w:ascii="Times New Roman" w:hAnsi="Times New Roman" w:cs="Times New Roman"/>
          <w:sz w:val="28"/>
          <w:szCs w:val="28"/>
        </w:rPr>
        <w:t>detain the goods is then overtaken by a new decision to seize.</w:t>
      </w:r>
    </w:p>
    <w:p w14:paraId="09278B85" w14:textId="77777777" w:rsidR="0057259E" w:rsidRPr="002D3A2A" w:rsidRDefault="0057259E" w:rsidP="0057259E">
      <w:pPr>
        <w:pStyle w:val="ListParagraph"/>
        <w:spacing w:after="0" w:line="360" w:lineRule="auto"/>
        <w:ind w:left="0"/>
        <w:jc w:val="both"/>
        <w:rPr>
          <w:rFonts w:ascii="Times New Roman" w:hAnsi="Times New Roman" w:cs="Times New Roman"/>
          <w:sz w:val="28"/>
          <w:szCs w:val="28"/>
        </w:rPr>
      </w:pPr>
    </w:p>
    <w:p w14:paraId="6227197B" w14:textId="13A7796A" w:rsidR="00DD5F2A" w:rsidRPr="002D3A2A" w:rsidRDefault="0057259E" w:rsidP="001C0D8E">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 </w:t>
      </w:r>
      <w:r w:rsidR="0032166D" w:rsidRPr="002D3A2A">
        <w:rPr>
          <w:rFonts w:ascii="Times New Roman" w:hAnsi="Times New Roman" w:cs="Times New Roman"/>
          <w:sz w:val="28"/>
          <w:szCs w:val="28"/>
        </w:rPr>
        <w:t>In prayer 3 of the notice of motion the respondents sought an order that the decision not to release the 19 containers (</w:t>
      </w:r>
      <w:r w:rsidR="0016558D" w:rsidRPr="002D3A2A">
        <w:rPr>
          <w:rFonts w:ascii="Times New Roman" w:hAnsi="Times New Roman" w:cs="Times New Roman"/>
          <w:sz w:val="28"/>
          <w:szCs w:val="28"/>
        </w:rPr>
        <w:t xml:space="preserve">the </w:t>
      </w:r>
      <w:r w:rsidR="008019F4" w:rsidRPr="002D3A2A">
        <w:rPr>
          <w:rFonts w:ascii="Times New Roman" w:hAnsi="Times New Roman" w:cs="Times New Roman"/>
          <w:sz w:val="28"/>
          <w:szCs w:val="28"/>
        </w:rPr>
        <w:t xml:space="preserve">detention </w:t>
      </w:r>
      <w:r w:rsidR="0016558D" w:rsidRPr="002D3A2A">
        <w:rPr>
          <w:rFonts w:ascii="Times New Roman" w:hAnsi="Times New Roman" w:cs="Times New Roman"/>
          <w:sz w:val="28"/>
          <w:szCs w:val="28"/>
        </w:rPr>
        <w:t xml:space="preserve">of the goods </w:t>
      </w:r>
      <w:r w:rsidR="008019F4" w:rsidRPr="002D3A2A">
        <w:rPr>
          <w:rFonts w:ascii="Times New Roman" w:hAnsi="Times New Roman" w:cs="Times New Roman"/>
          <w:sz w:val="28"/>
          <w:szCs w:val="28"/>
        </w:rPr>
        <w:t>under s</w:t>
      </w:r>
      <w:r w:rsidR="0016558D" w:rsidRPr="002D3A2A">
        <w:rPr>
          <w:rFonts w:ascii="Times New Roman" w:hAnsi="Times New Roman" w:cs="Times New Roman"/>
          <w:sz w:val="28"/>
          <w:szCs w:val="28"/>
        </w:rPr>
        <w:t> </w:t>
      </w:r>
      <w:r w:rsidR="008019F4" w:rsidRPr="002D3A2A">
        <w:rPr>
          <w:rFonts w:ascii="Times New Roman" w:hAnsi="Times New Roman" w:cs="Times New Roman"/>
          <w:sz w:val="28"/>
          <w:szCs w:val="28"/>
        </w:rPr>
        <w:t>88(1)</w:t>
      </w:r>
      <w:r w:rsidR="008019F4" w:rsidRPr="002D3A2A">
        <w:rPr>
          <w:rFonts w:ascii="Times New Roman" w:hAnsi="Times New Roman" w:cs="Times New Roman"/>
          <w:i/>
          <w:sz w:val="28"/>
          <w:szCs w:val="28"/>
        </w:rPr>
        <w:t>(a)</w:t>
      </w:r>
      <w:r w:rsidR="008019F4" w:rsidRPr="002D3A2A">
        <w:rPr>
          <w:rFonts w:ascii="Times New Roman" w:hAnsi="Times New Roman" w:cs="Times New Roman"/>
          <w:sz w:val="28"/>
          <w:szCs w:val="28"/>
        </w:rPr>
        <w:t>)</w:t>
      </w:r>
      <w:r w:rsidR="0032166D" w:rsidRPr="002D3A2A">
        <w:rPr>
          <w:rFonts w:ascii="Times New Roman" w:hAnsi="Times New Roman" w:cs="Times New Roman"/>
          <w:sz w:val="28"/>
          <w:szCs w:val="28"/>
        </w:rPr>
        <w:t>, be reviewed and set aside.</w:t>
      </w:r>
      <w:r w:rsidR="008019F4" w:rsidRPr="002D3A2A">
        <w:rPr>
          <w:rFonts w:ascii="Times New Roman" w:hAnsi="Times New Roman" w:cs="Times New Roman"/>
          <w:sz w:val="28"/>
          <w:szCs w:val="28"/>
        </w:rPr>
        <w:t xml:space="preserve"> In prayer 4 they sought an order reviewing and setting aside the decision to seize any of the containers, ‘where applicable’. Until there was a </w:t>
      </w:r>
      <w:r w:rsidR="009B5B81" w:rsidRPr="002D3A2A">
        <w:rPr>
          <w:rFonts w:ascii="Times New Roman" w:hAnsi="Times New Roman" w:cs="Times New Roman"/>
          <w:sz w:val="28"/>
          <w:szCs w:val="28"/>
        </w:rPr>
        <w:t xml:space="preserve">decision to </w:t>
      </w:r>
      <w:r w:rsidR="002D1CCF" w:rsidRPr="002D3A2A">
        <w:rPr>
          <w:rFonts w:ascii="Times New Roman" w:hAnsi="Times New Roman" w:cs="Times New Roman"/>
          <w:sz w:val="28"/>
          <w:szCs w:val="28"/>
        </w:rPr>
        <w:t>seize the goods</w:t>
      </w:r>
      <w:r w:rsidR="008019F4" w:rsidRPr="002D3A2A">
        <w:rPr>
          <w:rFonts w:ascii="Times New Roman" w:hAnsi="Times New Roman" w:cs="Times New Roman"/>
          <w:sz w:val="28"/>
          <w:szCs w:val="28"/>
        </w:rPr>
        <w:t>, prayer 3 remained operative</w:t>
      </w:r>
      <w:r w:rsidR="0044622A" w:rsidRPr="002D3A2A">
        <w:rPr>
          <w:rFonts w:ascii="Times New Roman" w:hAnsi="Times New Roman" w:cs="Times New Roman"/>
          <w:sz w:val="28"/>
          <w:szCs w:val="28"/>
        </w:rPr>
        <w:t>, as long as the goods were detained for a reasonable period of time in order to establish whether they were liable to forfeiture.</w:t>
      </w:r>
      <w:r w:rsidR="0044622A" w:rsidRPr="002D3A2A">
        <w:rPr>
          <w:rStyle w:val="FootnoteReference"/>
          <w:rFonts w:ascii="Times New Roman" w:hAnsi="Times New Roman" w:cs="Times New Roman"/>
          <w:sz w:val="28"/>
          <w:szCs w:val="28"/>
        </w:rPr>
        <w:footnoteReference w:id="10"/>
      </w:r>
      <w:r w:rsidR="0044622A" w:rsidRPr="002D3A2A">
        <w:rPr>
          <w:rFonts w:ascii="Times New Roman" w:hAnsi="Times New Roman" w:cs="Times New Roman"/>
          <w:sz w:val="28"/>
          <w:szCs w:val="28"/>
        </w:rPr>
        <w:t xml:space="preserve"> </w:t>
      </w:r>
      <w:r w:rsidR="008019F4" w:rsidRPr="002D3A2A">
        <w:rPr>
          <w:rFonts w:ascii="Times New Roman" w:hAnsi="Times New Roman" w:cs="Times New Roman"/>
          <w:sz w:val="28"/>
          <w:szCs w:val="28"/>
        </w:rPr>
        <w:t xml:space="preserve"> </w:t>
      </w:r>
    </w:p>
    <w:p w14:paraId="1AE99088" w14:textId="77777777" w:rsidR="000F347D" w:rsidRPr="002D3A2A" w:rsidRDefault="000F347D" w:rsidP="000F347D">
      <w:pPr>
        <w:pStyle w:val="ListParagraph"/>
        <w:spacing w:after="0" w:line="360" w:lineRule="auto"/>
        <w:ind w:left="0"/>
        <w:jc w:val="both"/>
        <w:rPr>
          <w:rFonts w:ascii="Times New Roman" w:hAnsi="Times New Roman" w:cs="Times New Roman"/>
          <w:sz w:val="28"/>
          <w:szCs w:val="28"/>
        </w:rPr>
      </w:pPr>
    </w:p>
    <w:p w14:paraId="110968FD" w14:textId="346E4ACA" w:rsidR="008C4294" w:rsidRPr="002D3A2A" w:rsidRDefault="0057259E" w:rsidP="0057259E">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 high court conflated the decision to detain the goods with the subsequent </w:t>
      </w:r>
      <w:r w:rsidR="009B5B81" w:rsidRPr="002D3A2A">
        <w:rPr>
          <w:rFonts w:ascii="Times New Roman" w:hAnsi="Times New Roman" w:cs="Times New Roman"/>
          <w:sz w:val="28"/>
          <w:szCs w:val="28"/>
        </w:rPr>
        <w:t>impugned decision</w:t>
      </w:r>
      <w:r w:rsidRPr="002D3A2A">
        <w:rPr>
          <w:rFonts w:ascii="Times New Roman" w:hAnsi="Times New Roman" w:cs="Times New Roman"/>
          <w:sz w:val="28"/>
          <w:szCs w:val="28"/>
        </w:rPr>
        <w:t xml:space="preserve">. In </w:t>
      </w:r>
      <w:r w:rsidR="00DD5F2A" w:rsidRPr="002D3A2A">
        <w:rPr>
          <w:rFonts w:ascii="Times New Roman" w:hAnsi="Times New Roman" w:cs="Times New Roman"/>
          <w:sz w:val="28"/>
          <w:szCs w:val="28"/>
        </w:rPr>
        <w:t xml:space="preserve">so doing </w:t>
      </w:r>
      <w:r w:rsidRPr="002D3A2A">
        <w:rPr>
          <w:rFonts w:ascii="Times New Roman" w:hAnsi="Times New Roman" w:cs="Times New Roman"/>
          <w:sz w:val="28"/>
          <w:szCs w:val="28"/>
        </w:rPr>
        <w:t xml:space="preserve">the court failed to appreciate that </w:t>
      </w:r>
      <w:r w:rsidR="00DD5F2A" w:rsidRPr="002D3A2A">
        <w:rPr>
          <w:rFonts w:ascii="Times New Roman" w:hAnsi="Times New Roman" w:cs="Times New Roman"/>
          <w:sz w:val="28"/>
          <w:szCs w:val="28"/>
        </w:rPr>
        <w:t xml:space="preserve">once the </w:t>
      </w:r>
      <w:r w:rsidR="009B5B81" w:rsidRPr="002D3A2A">
        <w:rPr>
          <w:rFonts w:ascii="Times New Roman" w:hAnsi="Times New Roman" w:cs="Times New Roman"/>
          <w:sz w:val="28"/>
          <w:szCs w:val="28"/>
        </w:rPr>
        <w:t>impugned decision</w:t>
      </w:r>
      <w:r w:rsidR="002D1CCF" w:rsidRPr="002D3A2A">
        <w:rPr>
          <w:rFonts w:ascii="Times New Roman" w:hAnsi="Times New Roman" w:cs="Times New Roman"/>
          <w:sz w:val="28"/>
          <w:szCs w:val="28"/>
        </w:rPr>
        <w:t xml:space="preserve"> had been </w:t>
      </w:r>
      <w:r w:rsidRPr="002D3A2A">
        <w:rPr>
          <w:rFonts w:ascii="Times New Roman" w:hAnsi="Times New Roman" w:cs="Times New Roman"/>
          <w:sz w:val="28"/>
          <w:szCs w:val="28"/>
        </w:rPr>
        <w:t xml:space="preserve">taken, the separate issue of detention </w:t>
      </w:r>
      <w:r w:rsidR="008016C3" w:rsidRPr="002D3A2A">
        <w:rPr>
          <w:rFonts w:ascii="Times New Roman" w:hAnsi="Times New Roman" w:cs="Times New Roman"/>
          <w:sz w:val="28"/>
          <w:szCs w:val="28"/>
        </w:rPr>
        <w:t xml:space="preserve">was rendered </w:t>
      </w:r>
      <w:r w:rsidR="008C4294" w:rsidRPr="002D3A2A">
        <w:rPr>
          <w:rFonts w:ascii="Times New Roman" w:hAnsi="Times New Roman" w:cs="Times New Roman"/>
          <w:sz w:val="28"/>
          <w:szCs w:val="28"/>
        </w:rPr>
        <w:t>moot.</w:t>
      </w:r>
      <w:r w:rsidR="008C4294" w:rsidRPr="002D3A2A">
        <w:rPr>
          <w:rStyle w:val="FootnoteReference"/>
          <w:rFonts w:ascii="Times New Roman" w:hAnsi="Times New Roman" w:cs="Times New Roman"/>
          <w:sz w:val="28"/>
          <w:szCs w:val="28"/>
        </w:rPr>
        <w:footnoteReference w:id="11"/>
      </w:r>
      <w:r w:rsidR="008C4294" w:rsidRPr="002D3A2A">
        <w:rPr>
          <w:rStyle w:val="FootnoteReference"/>
          <w:rFonts w:ascii="Times New Roman" w:hAnsi="Times New Roman" w:cs="Times New Roman"/>
          <w:sz w:val="28"/>
          <w:szCs w:val="28"/>
        </w:rPr>
        <w:t xml:space="preserve"> </w:t>
      </w:r>
      <w:r w:rsidR="0016558D" w:rsidRPr="002D3A2A">
        <w:rPr>
          <w:rFonts w:ascii="Times New Roman" w:hAnsi="Times New Roman" w:cs="Times New Roman"/>
          <w:sz w:val="28"/>
          <w:szCs w:val="28"/>
        </w:rPr>
        <w:t xml:space="preserve"> </w:t>
      </w:r>
      <w:r w:rsidR="00DD5F2A" w:rsidRPr="002D3A2A">
        <w:rPr>
          <w:rFonts w:ascii="Times New Roman" w:hAnsi="Times New Roman" w:cs="Times New Roman"/>
          <w:sz w:val="28"/>
          <w:szCs w:val="28"/>
        </w:rPr>
        <w:t xml:space="preserve">The fate of the goods </w:t>
      </w:r>
      <w:r w:rsidR="0068777E" w:rsidRPr="002D3A2A">
        <w:rPr>
          <w:rFonts w:ascii="Times New Roman" w:hAnsi="Times New Roman" w:cs="Times New Roman"/>
          <w:sz w:val="28"/>
          <w:szCs w:val="28"/>
        </w:rPr>
        <w:t xml:space="preserve">then </w:t>
      </w:r>
      <w:r w:rsidR="00DD5F2A" w:rsidRPr="002D3A2A">
        <w:rPr>
          <w:rFonts w:ascii="Times New Roman" w:hAnsi="Times New Roman" w:cs="Times New Roman"/>
          <w:sz w:val="28"/>
          <w:szCs w:val="28"/>
        </w:rPr>
        <w:t>had to be decided with reference to s</w:t>
      </w:r>
      <w:r w:rsidR="002D1CCF" w:rsidRPr="002D3A2A">
        <w:rPr>
          <w:rFonts w:ascii="Times New Roman" w:hAnsi="Times New Roman" w:cs="Times New Roman"/>
          <w:sz w:val="28"/>
          <w:szCs w:val="28"/>
        </w:rPr>
        <w:t> </w:t>
      </w:r>
      <w:r w:rsidR="00DD5F2A" w:rsidRPr="002D3A2A">
        <w:rPr>
          <w:rFonts w:ascii="Times New Roman" w:hAnsi="Times New Roman" w:cs="Times New Roman"/>
          <w:sz w:val="28"/>
          <w:szCs w:val="28"/>
        </w:rPr>
        <w:t>88(1)</w:t>
      </w:r>
      <w:r w:rsidR="00DD5F2A" w:rsidRPr="002D3A2A">
        <w:rPr>
          <w:rFonts w:ascii="Times New Roman" w:hAnsi="Times New Roman" w:cs="Times New Roman"/>
          <w:i/>
          <w:sz w:val="28"/>
          <w:szCs w:val="28"/>
        </w:rPr>
        <w:t>(c)</w:t>
      </w:r>
      <w:r w:rsidR="00DD5F2A" w:rsidRPr="002D3A2A">
        <w:rPr>
          <w:rFonts w:ascii="Times New Roman" w:hAnsi="Times New Roman" w:cs="Times New Roman"/>
          <w:sz w:val="28"/>
          <w:szCs w:val="28"/>
        </w:rPr>
        <w:t xml:space="preserve"> </w:t>
      </w:r>
      <w:r w:rsidR="008C4294" w:rsidRPr="002D3A2A">
        <w:rPr>
          <w:rFonts w:ascii="Times New Roman" w:hAnsi="Times New Roman" w:cs="Times New Roman"/>
          <w:sz w:val="28"/>
          <w:szCs w:val="28"/>
        </w:rPr>
        <w:t xml:space="preserve">of the Act </w:t>
      </w:r>
      <w:r w:rsidR="00DD5F2A" w:rsidRPr="002D3A2A">
        <w:rPr>
          <w:rFonts w:ascii="Times New Roman" w:hAnsi="Times New Roman" w:cs="Times New Roman"/>
          <w:sz w:val="28"/>
          <w:szCs w:val="28"/>
        </w:rPr>
        <w:t>and not s 88(1)</w:t>
      </w:r>
      <w:r w:rsidR="00DD5F2A" w:rsidRPr="002D3A2A">
        <w:rPr>
          <w:rFonts w:ascii="Times New Roman" w:hAnsi="Times New Roman" w:cs="Times New Roman"/>
          <w:i/>
          <w:sz w:val="28"/>
          <w:szCs w:val="28"/>
        </w:rPr>
        <w:t>(a)</w:t>
      </w:r>
      <w:r w:rsidR="008C4294" w:rsidRPr="002D3A2A">
        <w:rPr>
          <w:rFonts w:ascii="Times New Roman" w:hAnsi="Times New Roman" w:cs="Times New Roman"/>
          <w:sz w:val="28"/>
          <w:szCs w:val="28"/>
        </w:rPr>
        <w:t xml:space="preserve">. </w:t>
      </w:r>
    </w:p>
    <w:p w14:paraId="310D7B91" w14:textId="77777777" w:rsidR="008C4294" w:rsidRPr="002D3A2A" w:rsidRDefault="008C4294" w:rsidP="008C4294">
      <w:pPr>
        <w:pStyle w:val="ListParagraph"/>
        <w:spacing w:after="0" w:line="360" w:lineRule="auto"/>
        <w:ind w:left="0"/>
        <w:jc w:val="both"/>
        <w:rPr>
          <w:rFonts w:ascii="Times New Roman" w:hAnsi="Times New Roman" w:cs="Times New Roman"/>
          <w:sz w:val="28"/>
          <w:szCs w:val="28"/>
        </w:rPr>
      </w:pPr>
    </w:p>
    <w:p w14:paraId="6D4A325B" w14:textId="77777777" w:rsidR="008C4294" w:rsidRPr="002D3A2A" w:rsidRDefault="008C4294" w:rsidP="0057259E">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 only relevance of the detention relief concerns the question of costs, but in the present case there is no basis for a separate costs award in relation to that relief. The costs pertaining thereto should follow the result of the appeal. </w:t>
      </w:r>
    </w:p>
    <w:p w14:paraId="527AAE3D" w14:textId="77777777" w:rsidR="008C4294" w:rsidRPr="002D3A2A" w:rsidRDefault="008C4294" w:rsidP="008C4294">
      <w:pPr>
        <w:pStyle w:val="ListParagraph"/>
        <w:spacing w:after="0" w:line="360" w:lineRule="auto"/>
        <w:ind w:left="0"/>
        <w:jc w:val="both"/>
        <w:rPr>
          <w:rFonts w:ascii="Times New Roman" w:hAnsi="Times New Roman" w:cs="Times New Roman"/>
          <w:sz w:val="28"/>
          <w:szCs w:val="28"/>
        </w:rPr>
      </w:pPr>
    </w:p>
    <w:p w14:paraId="477B4AA1" w14:textId="77777777" w:rsidR="008C4294" w:rsidRPr="002D3A2A" w:rsidRDefault="008C4294" w:rsidP="008C4294">
      <w:pPr>
        <w:pStyle w:val="ListParagraph"/>
        <w:spacing w:after="0" w:line="360" w:lineRule="auto"/>
        <w:ind w:left="0"/>
        <w:jc w:val="both"/>
        <w:rPr>
          <w:rFonts w:ascii="Times New Roman" w:hAnsi="Times New Roman" w:cs="Times New Roman"/>
          <w:b/>
          <w:sz w:val="28"/>
          <w:szCs w:val="28"/>
        </w:rPr>
      </w:pPr>
      <w:r w:rsidRPr="002D3A2A">
        <w:rPr>
          <w:rFonts w:ascii="Times New Roman" w:hAnsi="Times New Roman" w:cs="Times New Roman"/>
          <w:b/>
          <w:sz w:val="28"/>
          <w:szCs w:val="28"/>
        </w:rPr>
        <w:t>The review</w:t>
      </w:r>
    </w:p>
    <w:p w14:paraId="5FEACE9D" w14:textId="77777777" w:rsidR="00894906" w:rsidRPr="002D3A2A" w:rsidRDefault="00376752" w:rsidP="00CF16D6">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I</w:t>
      </w:r>
      <w:r w:rsidR="00D6331D" w:rsidRPr="002D3A2A">
        <w:rPr>
          <w:rFonts w:ascii="Times New Roman" w:hAnsi="Times New Roman" w:cs="Times New Roman"/>
          <w:sz w:val="28"/>
          <w:szCs w:val="28"/>
        </w:rPr>
        <w:t xml:space="preserve">n the founding papers </w:t>
      </w:r>
      <w:r w:rsidRPr="002D3A2A">
        <w:rPr>
          <w:rFonts w:ascii="Times New Roman" w:hAnsi="Times New Roman" w:cs="Times New Roman"/>
          <w:sz w:val="28"/>
          <w:szCs w:val="28"/>
        </w:rPr>
        <w:t xml:space="preserve">the </w:t>
      </w:r>
      <w:r w:rsidR="00775744" w:rsidRPr="002D3A2A">
        <w:rPr>
          <w:rFonts w:ascii="Times New Roman" w:hAnsi="Times New Roman" w:cs="Times New Roman"/>
          <w:sz w:val="28"/>
          <w:szCs w:val="28"/>
        </w:rPr>
        <w:t xml:space="preserve">respondents </w:t>
      </w:r>
      <w:r w:rsidRPr="002D3A2A">
        <w:rPr>
          <w:rFonts w:ascii="Times New Roman" w:hAnsi="Times New Roman" w:cs="Times New Roman"/>
          <w:sz w:val="28"/>
          <w:szCs w:val="28"/>
        </w:rPr>
        <w:t xml:space="preserve">alleged that the decision to detain the goods was reviewable </w:t>
      </w:r>
      <w:r w:rsidR="0090043D" w:rsidRPr="002D3A2A">
        <w:rPr>
          <w:rFonts w:ascii="Times New Roman" w:hAnsi="Times New Roman" w:cs="Times New Roman"/>
          <w:sz w:val="28"/>
          <w:szCs w:val="28"/>
        </w:rPr>
        <w:t>on ‘any and all the grounds’ in s 6(2) of the P</w:t>
      </w:r>
      <w:r w:rsidR="00775744" w:rsidRPr="002D3A2A">
        <w:rPr>
          <w:rFonts w:ascii="Times New Roman" w:hAnsi="Times New Roman" w:cs="Times New Roman"/>
          <w:sz w:val="28"/>
          <w:szCs w:val="28"/>
        </w:rPr>
        <w:t xml:space="preserve">AJA, </w:t>
      </w:r>
      <w:r w:rsidR="00775744" w:rsidRPr="002D3A2A">
        <w:rPr>
          <w:rFonts w:ascii="Times New Roman" w:hAnsi="Times New Roman" w:cs="Times New Roman"/>
          <w:sz w:val="28"/>
          <w:szCs w:val="28"/>
        </w:rPr>
        <w:lastRenderedPageBreak/>
        <w:t xml:space="preserve">which tend to overlap. </w:t>
      </w:r>
      <w:r w:rsidRPr="002D3A2A">
        <w:rPr>
          <w:rFonts w:ascii="Times New Roman" w:hAnsi="Times New Roman" w:cs="Times New Roman"/>
          <w:sz w:val="28"/>
          <w:szCs w:val="28"/>
        </w:rPr>
        <w:t>These grounds include</w:t>
      </w:r>
      <w:r w:rsidR="0090043D" w:rsidRPr="002D3A2A">
        <w:rPr>
          <w:rFonts w:ascii="Times New Roman" w:hAnsi="Times New Roman" w:cs="Times New Roman"/>
          <w:sz w:val="28"/>
          <w:szCs w:val="28"/>
        </w:rPr>
        <w:t xml:space="preserve"> bias, </w:t>
      </w:r>
      <w:r w:rsidR="00D6331D" w:rsidRPr="002D3A2A">
        <w:rPr>
          <w:rFonts w:ascii="Times New Roman" w:hAnsi="Times New Roman" w:cs="Times New Roman"/>
          <w:sz w:val="28"/>
          <w:szCs w:val="28"/>
        </w:rPr>
        <w:t xml:space="preserve">ulterior purpose, </w:t>
      </w:r>
      <w:r w:rsidR="0090043D" w:rsidRPr="002D3A2A">
        <w:rPr>
          <w:rFonts w:ascii="Times New Roman" w:hAnsi="Times New Roman" w:cs="Times New Roman"/>
          <w:sz w:val="28"/>
          <w:szCs w:val="28"/>
        </w:rPr>
        <w:t>procedural unfairness, arbitrariness, unreasonableness, and that the impugned decision was otherwise unconstitutional and unlawful.</w:t>
      </w:r>
      <w:r w:rsidR="00775744" w:rsidRPr="002D3A2A">
        <w:rPr>
          <w:rFonts w:ascii="Times New Roman" w:hAnsi="Times New Roman" w:cs="Times New Roman"/>
          <w:sz w:val="28"/>
          <w:szCs w:val="28"/>
        </w:rPr>
        <w:t xml:space="preserve"> </w:t>
      </w:r>
      <w:r w:rsidR="00D6331D" w:rsidRPr="002D3A2A">
        <w:rPr>
          <w:rFonts w:ascii="Times New Roman" w:hAnsi="Times New Roman" w:cs="Times New Roman"/>
          <w:sz w:val="28"/>
          <w:szCs w:val="28"/>
        </w:rPr>
        <w:t xml:space="preserve">However, the challenge to the </w:t>
      </w:r>
      <w:r w:rsidR="009B5B81" w:rsidRPr="002D3A2A">
        <w:rPr>
          <w:rFonts w:ascii="Times New Roman" w:hAnsi="Times New Roman" w:cs="Times New Roman"/>
          <w:sz w:val="28"/>
          <w:szCs w:val="28"/>
        </w:rPr>
        <w:t>impugned decision</w:t>
      </w:r>
      <w:r w:rsidR="00D6331D" w:rsidRPr="002D3A2A">
        <w:rPr>
          <w:rFonts w:ascii="Times New Roman" w:hAnsi="Times New Roman" w:cs="Times New Roman"/>
          <w:sz w:val="28"/>
          <w:szCs w:val="28"/>
        </w:rPr>
        <w:t xml:space="preserve"> on the grounds </w:t>
      </w:r>
      <w:r w:rsidR="003A4873" w:rsidRPr="002D3A2A">
        <w:rPr>
          <w:rFonts w:ascii="Times New Roman" w:hAnsi="Times New Roman" w:cs="Times New Roman"/>
          <w:sz w:val="28"/>
          <w:szCs w:val="28"/>
        </w:rPr>
        <w:t xml:space="preserve">that the Commissioner </w:t>
      </w:r>
      <w:r w:rsidR="00D6331D" w:rsidRPr="002D3A2A">
        <w:rPr>
          <w:rFonts w:ascii="Times New Roman" w:hAnsi="Times New Roman" w:cs="Times New Roman"/>
          <w:sz w:val="28"/>
          <w:szCs w:val="28"/>
        </w:rPr>
        <w:t xml:space="preserve">was biased or that the </w:t>
      </w:r>
      <w:r w:rsidR="002D1CCF" w:rsidRPr="002D3A2A">
        <w:rPr>
          <w:rFonts w:ascii="Times New Roman" w:hAnsi="Times New Roman" w:cs="Times New Roman"/>
          <w:sz w:val="28"/>
          <w:szCs w:val="28"/>
        </w:rPr>
        <w:t>d</w:t>
      </w:r>
      <w:r w:rsidR="009B5B81" w:rsidRPr="002D3A2A">
        <w:rPr>
          <w:rFonts w:ascii="Times New Roman" w:hAnsi="Times New Roman" w:cs="Times New Roman"/>
          <w:sz w:val="28"/>
          <w:szCs w:val="28"/>
        </w:rPr>
        <w:t>ecision</w:t>
      </w:r>
      <w:r w:rsidR="003A4873" w:rsidRPr="002D3A2A">
        <w:rPr>
          <w:rFonts w:ascii="Times New Roman" w:hAnsi="Times New Roman" w:cs="Times New Roman"/>
          <w:sz w:val="28"/>
          <w:szCs w:val="28"/>
        </w:rPr>
        <w:t xml:space="preserve"> </w:t>
      </w:r>
      <w:r w:rsidR="00D6331D" w:rsidRPr="002D3A2A">
        <w:rPr>
          <w:rFonts w:ascii="Times New Roman" w:hAnsi="Times New Roman" w:cs="Times New Roman"/>
          <w:sz w:val="28"/>
          <w:szCs w:val="28"/>
        </w:rPr>
        <w:t>wa</w:t>
      </w:r>
      <w:r w:rsidR="00CB15D1" w:rsidRPr="002D3A2A">
        <w:rPr>
          <w:rFonts w:ascii="Times New Roman" w:hAnsi="Times New Roman" w:cs="Times New Roman"/>
          <w:sz w:val="28"/>
          <w:szCs w:val="28"/>
        </w:rPr>
        <w:t xml:space="preserve">s taken for an ulterior purpose, has no basis in the evidence. </w:t>
      </w:r>
    </w:p>
    <w:p w14:paraId="4E054BDB" w14:textId="77777777" w:rsidR="00894906" w:rsidRPr="002D3A2A" w:rsidRDefault="00894906" w:rsidP="00894906">
      <w:pPr>
        <w:pStyle w:val="ListParagraph"/>
        <w:spacing w:after="0" w:line="360" w:lineRule="auto"/>
        <w:ind w:left="0"/>
        <w:jc w:val="both"/>
        <w:rPr>
          <w:rFonts w:ascii="Times New Roman" w:hAnsi="Times New Roman" w:cs="Times New Roman"/>
          <w:sz w:val="28"/>
          <w:szCs w:val="28"/>
        </w:rPr>
      </w:pPr>
    </w:p>
    <w:p w14:paraId="3C3BDCD6" w14:textId="307A7974" w:rsidR="004E5BA4" w:rsidRPr="002D3A2A" w:rsidRDefault="00775744" w:rsidP="003A4873">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T</w:t>
      </w:r>
      <w:r w:rsidR="00894906" w:rsidRPr="002D3A2A">
        <w:rPr>
          <w:rFonts w:ascii="Times New Roman" w:hAnsi="Times New Roman" w:cs="Times New Roman"/>
          <w:sz w:val="28"/>
          <w:szCs w:val="28"/>
        </w:rPr>
        <w:t>he respondents</w:t>
      </w:r>
      <w:r w:rsidR="00CB15D1" w:rsidRPr="002D3A2A">
        <w:rPr>
          <w:rFonts w:ascii="Times New Roman" w:hAnsi="Times New Roman" w:cs="Times New Roman"/>
          <w:sz w:val="28"/>
          <w:szCs w:val="28"/>
        </w:rPr>
        <w:t>’</w:t>
      </w:r>
      <w:r w:rsidR="00CF16D6" w:rsidRPr="002D3A2A">
        <w:rPr>
          <w:rFonts w:ascii="Times New Roman" w:hAnsi="Times New Roman" w:cs="Times New Roman"/>
          <w:sz w:val="28"/>
          <w:szCs w:val="28"/>
        </w:rPr>
        <w:t xml:space="preserve"> case in the supplementary founding affidavit </w:t>
      </w:r>
      <w:r w:rsidRPr="002D3A2A">
        <w:rPr>
          <w:rFonts w:ascii="Times New Roman" w:hAnsi="Times New Roman" w:cs="Times New Roman"/>
          <w:sz w:val="28"/>
          <w:szCs w:val="28"/>
        </w:rPr>
        <w:t xml:space="preserve">was </w:t>
      </w:r>
      <w:r w:rsidR="00CB15D1" w:rsidRPr="002D3A2A">
        <w:rPr>
          <w:rFonts w:ascii="Times New Roman" w:hAnsi="Times New Roman" w:cs="Times New Roman"/>
          <w:sz w:val="28"/>
          <w:szCs w:val="28"/>
        </w:rPr>
        <w:t xml:space="preserve">essentially </w:t>
      </w:r>
      <w:r w:rsidRPr="002D3A2A">
        <w:rPr>
          <w:rFonts w:ascii="Times New Roman" w:hAnsi="Times New Roman" w:cs="Times New Roman"/>
          <w:sz w:val="28"/>
          <w:szCs w:val="28"/>
        </w:rPr>
        <w:t xml:space="preserve">that the </w:t>
      </w:r>
      <w:r w:rsidR="009B5B81" w:rsidRPr="002D3A2A">
        <w:rPr>
          <w:rFonts w:ascii="Times New Roman" w:hAnsi="Times New Roman" w:cs="Times New Roman"/>
          <w:sz w:val="28"/>
          <w:szCs w:val="28"/>
        </w:rPr>
        <w:t>impugned decision</w:t>
      </w:r>
      <w:r w:rsidRPr="002D3A2A">
        <w:rPr>
          <w:rFonts w:ascii="Times New Roman" w:hAnsi="Times New Roman" w:cs="Times New Roman"/>
          <w:sz w:val="28"/>
          <w:szCs w:val="28"/>
        </w:rPr>
        <w:t xml:space="preserve"> fell to be set</w:t>
      </w:r>
      <w:r w:rsidR="00376752" w:rsidRPr="002D3A2A">
        <w:rPr>
          <w:rFonts w:ascii="Times New Roman" w:hAnsi="Times New Roman" w:cs="Times New Roman"/>
          <w:sz w:val="28"/>
          <w:szCs w:val="28"/>
        </w:rPr>
        <w:t xml:space="preserve"> aside on the ground of </w:t>
      </w:r>
      <w:r w:rsidR="00D1383E" w:rsidRPr="002D3A2A">
        <w:rPr>
          <w:rFonts w:ascii="Times New Roman" w:hAnsi="Times New Roman" w:cs="Times New Roman"/>
          <w:sz w:val="28"/>
          <w:szCs w:val="28"/>
        </w:rPr>
        <w:t>procedural unfairness</w:t>
      </w:r>
      <w:r w:rsidR="00F75306" w:rsidRPr="002D3A2A">
        <w:rPr>
          <w:rFonts w:ascii="Times New Roman" w:hAnsi="Times New Roman" w:cs="Times New Roman"/>
          <w:sz w:val="28"/>
          <w:szCs w:val="28"/>
        </w:rPr>
        <w:t xml:space="preserve">, </w:t>
      </w:r>
      <w:r w:rsidR="00CB15D1" w:rsidRPr="002D3A2A">
        <w:rPr>
          <w:rFonts w:ascii="Times New Roman" w:hAnsi="Times New Roman" w:cs="Times New Roman"/>
          <w:sz w:val="28"/>
          <w:szCs w:val="28"/>
        </w:rPr>
        <w:t>irrationality and unreasonableness</w:t>
      </w:r>
      <w:r w:rsidR="002A66CE" w:rsidRPr="002D3A2A">
        <w:rPr>
          <w:rFonts w:ascii="Times New Roman" w:hAnsi="Times New Roman" w:cs="Times New Roman"/>
          <w:sz w:val="28"/>
          <w:szCs w:val="28"/>
        </w:rPr>
        <w:t>. It should be noted</w:t>
      </w:r>
      <w:r w:rsidR="00CB15D1" w:rsidRPr="002D3A2A">
        <w:rPr>
          <w:rFonts w:ascii="Times New Roman" w:hAnsi="Times New Roman" w:cs="Times New Roman"/>
          <w:sz w:val="28"/>
          <w:szCs w:val="28"/>
        </w:rPr>
        <w:t xml:space="preserve"> </w:t>
      </w:r>
      <w:r w:rsidR="005A1987" w:rsidRPr="002D3A2A">
        <w:rPr>
          <w:rFonts w:ascii="Times New Roman" w:hAnsi="Times New Roman" w:cs="Times New Roman"/>
          <w:sz w:val="28"/>
          <w:szCs w:val="28"/>
        </w:rPr>
        <w:t xml:space="preserve">that </w:t>
      </w:r>
      <w:r w:rsidR="004E5BA4" w:rsidRPr="002D3A2A">
        <w:rPr>
          <w:rFonts w:ascii="Times New Roman" w:hAnsi="Times New Roman" w:cs="Times New Roman"/>
          <w:sz w:val="28"/>
          <w:szCs w:val="28"/>
        </w:rPr>
        <w:t>when these grounds were formulated</w:t>
      </w:r>
      <w:r w:rsidR="007B4135" w:rsidRPr="002D3A2A">
        <w:rPr>
          <w:rFonts w:ascii="Times New Roman" w:hAnsi="Times New Roman" w:cs="Times New Roman"/>
          <w:sz w:val="28"/>
          <w:szCs w:val="28"/>
        </w:rPr>
        <w:t>, the respondents did not have the reasons for the decision</w:t>
      </w:r>
      <w:r w:rsidR="005A1987" w:rsidRPr="002D3A2A">
        <w:rPr>
          <w:rFonts w:ascii="Times New Roman" w:hAnsi="Times New Roman" w:cs="Times New Roman"/>
          <w:sz w:val="28"/>
          <w:szCs w:val="28"/>
        </w:rPr>
        <w:t xml:space="preserve">. They chose not to ask for </w:t>
      </w:r>
      <w:r w:rsidR="003F7041" w:rsidRPr="002D3A2A">
        <w:rPr>
          <w:rFonts w:ascii="Times New Roman" w:hAnsi="Times New Roman" w:cs="Times New Roman"/>
          <w:sz w:val="28"/>
          <w:szCs w:val="28"/>
        </w:rPr>
        <w:t>the reasons</w:t>
      </w:r>
      <w:r w:rsidR="005A1987" w:rsidRPr="002D3A2A">
        <w:rPr>
          <w:rFonts w:ascii="Times New Roman" w:hAnsi="Times New Roman" w:cs="Times New Roman"/>
          <w:sz w:val="28"/>
          <w:szCs w:val="28"/>
        </w:rPr>
        <w:t>,</w:t>
      </w:r>
      <w:r w:rsidR="003A4873" w:rsidRPr="002D3A2A">
        <w:rPr>
          <w:rFonts w:ascii="Times New Roman" w:hAnsi="Times New Roman" w:cs="Times New Roman"/>
          <w:sz w:val="28"/>
          <w:szCs w:val="28"/>
        </w:rPr>
        <w:t xml:space="preserve"> despite being informed of their right to do so. </w:t>
      </w:r>
    </w:p>
    <w:p w14:paraId="5F93D422" w14:textId="77777777" w:rsidR="004E5BA4" w:rsidRPr="002D3A2A" w:rsidRDefault="004E5BA4" w:rsidP="004E5BA4">
      <w:pPr>
        <w:pStyle w:val="ListParagraph"/>
        <w:spacing w:after="0" w:line="360" w:lineRule="auto"/>
        <w:ind w:left="0"/>
        <w:jc w:val="both"/>
        <w:rPr>
          <w:rFonts w:ascii="Times New Roman" w:hAnsi="Times New Roman" w:cs="Times New Roman"/>
          <w:sz w:val="28"/>
          <w:szCs w:val="28"/>
        </w:rPr>
      </w:pPr>
    </w:p>
    <w:p w14:paraId="3FC1B666" w14:textId="77777777" w:rsidR="00EC5442" w:rsidRPr="002D3A2A" w:rsidRDefault="00962117" w:rsidP="004E5BA4">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 attack on the ground of procedural </w:t>
      </w:r>
      <w:r w:rsidR="00622540" w:rsidRPr="002D3A2A">
        <w:rPr>
          <w:rFonts w:ascii="Times New Roman" w:hAnsi="Times New Roman" w:cs="Times New Roman"/>
          <w:sz w:val="28"/>
          <w:szCs w:val="28"/>
        </w:rPr>
        <w:t>un</w:t>
      </w:r>
      <w:r w:rsidRPr="002D3A2A">
        <w:rPr>
          <w:rFonts w:ascii="Times New Roman" w:hAnsi="Times New Roman" w:cs="Times New Roman"/>
          <w:sz w:val="28"/>
          <w:szCs w:val="28"/>
        </w:rPr>
        <w:t>fairness can be dealt with briefly. It has no merit.</w:t>
      </w:r>
      <w:r w:rsidR="004E5BA4" w:rsidRPr="002D3A2A">
        <w:rPr>
          <w:rFonts w:ascii="Times New Roman" w:hAnsi="Times New Roman" w:cs="Times New Roman"/>
          <w:sz w:val="28"/>
          <w:szCs w:val="28"/>
        </w:rPr>
        <w:t xml:space="preserve"> </w:t>
      </w:r>
      <w:r w:rsidR="00CF143C" w:rsidRPr="002D3A2A">
        <w:rPr>
          <w:rFonts w:ascii="Times New Roman" w:hAnsi="Times New Roman" w:cs="Times New Roman"/>
          <w:sz w:val="28"/>
          <w:szCs w:val="28"/>
        </w:rPr>
        <w:t xml:space="preserve">Throughout the course of the complex administrative process that led to the seizure, the respondents were given adequate notice of the administrative action that SARS was considering taking and a reasonable opportunity to make representations before any decision was taken. </w:t>
      </w:r>
    </w:p>
    <w:p w14:paraId="7FB5FF9D" w14:textId="77777777" w:rsidR="00EC5442" w:rsidRPr="002D3A2A" w:rsidRDefault="00EC5442" w:rsidP="00EC5442">
      <w:pPr>
        <w:pStyle w:val="ListParagraph"/>
        <w:spacing w:after="0" w:line="360" w:lineRule="auto"/>
        <w:ind w:left="0"/>
        <w:jc w:val="both"/>
        <w:rPr>
          <w:rFonts w:ascii="Times New Roman" w:hAnsi="Times New Roman" w:cs="Times New Roman"/>
          <w:sz w:val="28"/>
          <w:szCs w:val="28"/>
        </w:rPr>
      </w:pPr>
    </w:p>
    <w:p w14:paraId="453E06C0" w14:textId="1CE58F4C" w:rsidR="005770D1" w:rsidRPr="002D3A2A" w:rsidRDefault="007826C3" w:rsidP="00EC5442">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 </w:t>
      </w:r>
      <w:r w:rsidR="00962117" w:rsidRPr="002D3A2A">
        <w:rPr>
          <w:rFonts w:ascii="Times New Roman" w:hAnsi="Times New Roman" w:cs="Times New Roman"/>
          <w:sz w:val="28"/>
          <w:szCs w:val="28"/>
        </w:rPr>
        <w:t>supplementary founding affidavit</w:t>
      </w:r>
      <w:r w:rsidRPr="002D3A2A">
        <w:rPr>
          <w:rFonts w:ascii="Times New Roman" w:hAnsi="Times New Roman" w:cs="Times New Roman"/>
          <w:sz w:val="28"/>
          <w:szCs w:val="28"/>
        </w:rPr>
        <w:t xml:space="preserve"> states that the respondents were ‘left totally uninformed as to why SARS made the decision to seize the containers’, and that there ‘has been no fairness, accountability and transparency’.</w:t>
      </w:r>
      <w:r w:rsidR="005770D1" w:rsidRPr="002D3A2A">
        <w:rPr>
          <w:rFonts w:ascii="Times New Roman" w:hAnsi="Times New Roman" w:cs="Times New Roman"/>
          <w:sz w:val="28"/>
          <w:szCs w:val="28"/>
        </w:rPr>
        <w:t xml:space="preserve"> In the supplementary replying affidavit</w:t>
      </w:r>
      <w:r w:rsidR="00076275" w:rsidRPr="002D3A2A">
        <w:rPr>
          <w:rFonts w:ascii="Times New Roman" w:hAnsi="Times New Roman" w:cs="Times New Roman"/>
          <w:sz w:val="28"/>
          <w:szCs w:val="28"/>
        </w:rPr>
        <w:t>,</w:t>
      </w:r>
      <w:r w:rsidR="005770D1" w:rsidRPr="002D3A2A">
        <w:rPr>
          <w:rFonts w:ascii="Times New Roman" w:hAnsi="Times New Roman" w:cs="Times New Roman"/>
          <w:sz w:val="28"/>
          <w:szCs w:val="28"/>
        </w:rPr>
        <w:t xml:space="preserve"> the following allegation is made:</w:t>
      </w:r>
    </w:p>
    <w:p w14:paraId="7795CAE3" w14:textId="77777777" w:rsidR="00076275" w:rsidRPr="002D3A2A" w:rsidRDefault="005770D1" w:rsidP="005770D1">
      <w:pPr>
        <w:pStyle w:val="ListParagraph"/>
        <w:spacing w:after="0" w:line="360" w:lineRule="auto"/>
        <w:ind w:left="0"/>
        <w:jc w:val="both"/>
        <w:rPr>
          <w:rFonts w:ascii="Times New Roman" w:hAnsi="Times New Roman" w:cs="Times New Roman"/>
          <w:sz w:val="24"/>
          <w:szCs w:val="24"/>
        </w:rPr>
      </w:pPr>
      <w:r w:rsidRPr="002D3A2A">
        <w:rPr>
          <w:rFonts w:ascii="Times New Roman" w:hAnsi="Times New Roman" w:cs="Times New Roman"/>
          <w:sz w:val="24"/>
          <w:szCs w:val="24"/>
        </w:rPr>
        <w:t xml:space="preserve">‘SARS admits </w:t>
      </w:r>
      <w:r w:rsidR="00076275" w:rsidRPr="002D3A2A">
        <w:rPr>
          <w:rFonts w:ascii="Times New Roman" w:hAnsi="Times New Roman" w:cs="Times New Roman"/>
          <w:sz w:val="24"/>
          <w:szCs w:val="24"/>
        </w:rPr>
        <w:t>that it has taken an administrative decision and has failed to provide the Applicants with any reasons therefor. The decision to seize the 19 containers is therefore unlawful and ought to be set aside on review.’</w:t>
      </w:r>
    </w:p>
    <w:p w14:paraId="4895702F" w14:textId="77777777" w:rsidR="00076275" w:rsidRPr="002D3A2A" w:rsidRDefault="00076275" w:rsidP="005770D1">
      <w:pPr>
        <w:pStyle w:val="ListParagraph"/>
        <w:spacing w:after="0" w:line="360" w:lineRule="auto"/>
        <w:ind w:left="0"/>
        <w:jc w:val="both"/>
        <w:rPr>
          <w:rFonts w:ascii="Times New Roman" w:hAnsi="Times New Roman" w:cs="Times New Roman"/>
          <w:sz w:val="28"/>
          <w:szCs w:val="28"/>
        </w:rPr>
      </w:pPr>
    </w:p>
    <w:p w14:paraId="35D31B88" w14:textId="658AEDFD" w:rsidR="00CF143C" w:rsidRPr="002D3A2A" w:rsidRDefault="00076275" w:rsidP="00EC5442">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These allegations are false. </w:t>
      </w:r>
      <w:r w:rsidR="003A4873" w:rsidRPr="002D3A2A">
        <w:rPr>
          <w:rFonts w:ascii="Times New Roman" w:hAnsi="Times New Roman" w:cs="Times New Roman"/>
          <w:sz w:val="28"/>
          <w:szCs w:val="28"/>
        </w:rPr>
        <w:t>De</w:t>
      </w:r>
      <w:r w:rsidRPr="002D3A2A">
        <w:rPr>
          <w:rFonts w:ascii="Times New Roman" w:hAnsi="Times New Roman" w:cs="Times New Roman"/>
          <w:sz w:val="28"/>
          <w:szCs w:val="28"/>
        </w:rPr>
        <w:t xml:space="preserve">tailed reasons for the </w:t>
      </w:r>
      <w:r w:rsidR="009B5B81" w:rsidRPr="002D3A2A">
        <w:rPr>
          <w:rFonts w:ascii="Times New Roman" w:hAnsi="Times New Roman" w:cs="Times New Roman"/>
          <w:sz w:val="28"/>
          <w:szCs w:val="28"/>
        </w:rPr>
        <w:t>impugned decision</w:t>
      </w:r>
      <w:r w:rsidR="00EC62F5" w:rsidRPr="002D3A2A">
        <w:rPr>
          <w:rFonts w:ascii="Times New Roman" w:hAnsi="Times New Roman" w:cs="Times New Roman"/>
          <w:sz w:val="28"/>
          <w:szCs w:val="28"/>
        </w:rPr>
        <w:t xml:space="preserve"> are recorded in SARS’ supplementary answering affidavit.</w:t>
      </w:r>
      <w:r w:rsidR="00E35D66" w:rsidRPr="002D3A2A">
        <w:rPr>
          <w:rFonts w:ascii="Times New Roman" w:hAnsi="Times New Roman" w:cs="Times New Roman"/>
          <w:sz w:val="28"/>
          <w:szCs w:val="28"/>
        </w:rPr>
        <w:t xml:space="preserve"> </w:t>
      </w:r>
      <w:r w:rsidR="004E5BA4" w:rsidRPr="002D3A2A">
        <w:rPr>
          <w:rFonts w:ascii="Times New Roman" w:hAnsi="Times New Roman" w:cs="Times New Roman"/>
          <w:sz w:val="28"/>
          <w:szCs w:val="28"/>
        </w:rPr>
        <w:t>The reasons, in sum</w:t>
      </w:r>
      <w:r w:rsidR="00F016F2" w:rsidRPr="002D3A2A">
        <w:rPr>
          <w:rFonts w:ascii="Times New Roman" w:hAnsi="Times New Roman" w:cs="Times New Roman"/>
          <w:sz w:val="28"/>
          <w:szCs w:val="28"/>
        </w:rPr>
        <w:t>,</w:t>
      </w:r>
      <w:r w:rsidR="004F45C5" w:rsidRPr="002D3A2A">
        <w:rPr>
          <w:rFonts w:ascii="Times New Roman" w:hAnsi="Times New Roman" w:cs="Times New Roman"/>
          <w:sz w:val="28"/>
          <w:szCs w:val="28"/>
        </w:rPr>
        <w:t xml:space="preserve"> a</w:t>
      </w:r>
      <w:r w:rsidR="00F016F2" w:rsidRPr="002D3A2A">
        <w:rPr>
          <w:rFonts w:ascii="Times New Roman" w:hAnsi="Times New Roman" w:cs="Times New Roman"/>
          <w:sz w:val="28"/>
          <w:szCs w:val="28"/>
        </w:rPr>
        <w:t>re these. The Commissioner considered</w:t>
      </w:r>
      <w:r w:rsidR="004F45C5" w:rsidRPr="002D3A2A">
        <w:rPr>
          <w:rFonts w:ascii="Times New Roman" w:hAnsi="Times New Roman" w:cs="Times New Roman"/>
          <w:sz w:val="28"/>
          <w:szCs w:val="28"/>
        </w:rPr>
        <w:t xml:space="preserve"> </w:t>
      </w:r>
      <w:r w:rsidR="00F016F2" w:rsidRPr="002D3A2A">
        <w:rPr>
          <w:rFonts w:ascii="Times New Roman" w:hAnsi="Times New Roman" w:cs="Times New Roman"/>
          <w:sz w:val="28"/>
          <w:szCs w:val="28"/>
        </w:rPr>
        <w:t xml:space="preserve">all the evidence and the respondents’ failure </w:t>
      </w:r>
      <w:r w:rsidR="00F016F2" w:rsidRPr="002D3A2A">
        <w:rPr>
          <w:rFonts w:ascii="Times New Roman" w:hAnsi="Times New Roman" w:cs="Times New Roman"/>
          <w:sz w:val="28"/>
          <w:szCs w:val="28"/>
        </w:rPr>
        <w:lastRenderedPageBreak/>
        <w:t>to respond to requests for information</w:t>
      </w:r>
      <w:r w:rsidR="003A4873" w:rsidRPr="002D3A2A">
        <w:rPr>
          <w:rFonts w:ascii="Times New Roman" w:hAnsi="Times New Roman" w:cs="Times New Roman"/>
          <w:sz w:val="28"/>
          <w:szCs w:val="28"/>
        </w:rPr>
        <w:t>,</w:t>
      </w:r>
      <w:r w:rsidR="00F016F2" w:rsidRPr="002D3A2A">
        <w:rPr>
          <w:rFonts w:ascii="Times New Roman" w:hAnsi="Times New Roman" w:cs="Times New Roman"/>
          <w:sz w:val="28"/>
          <w:szCs w:val="28"/>
        </w:rPr>
        <w:t xml:space="preserve"> and concluded that the written agreements submitted by the respondents could not be relied upon as proof of the prices actually paid for the goods. The evidence demonstrated that the agreements were false and that the values of the goods had been under-declared. </w:t>
      </w:r>
      <w:r w:rsidR="005F63FE" w:rsidRPr="002D3A2A">
        <w:rPr>
          <w:rFonts w:ascii="Times New Roman" w:hAnsi="Times New Roman" w:cs="Times New Roman"/>
          <w:sz w:val="28"/>
          <w:szCs w:val="28"/>
        </w:rPr>
        <w:t xml:space="preserve">The evidence supporting </w:t>
      </w:r>
      <w:r w:rsidR="004E5BA4" w:rsidRPr="002D3A2A">
        <w:rPr>
          <w:rFonts w:ascii="Times New Roman" w:hAnsi="Times New Roman" w:cs="Times New Roman"/>
          <w:sz w:val="28"/>
          <w:szCs w:val="28"/>
        </w:rPr>
        <w:t>these reasons</w:t>
      </w:r>
      <w:r w:rsidR="005F63FE" w:rsidRPr="002D3A2A">
        <w:rPr>
          <w:rFonts w:ascii="Times New Roman" w:hAnsi="Times New Roman" w:cs="Times New Roman"/>
          <w:sz w:val="28"/>
          <w:szCs w:val="28"/>
        </w:rPr>
        <w:t xml:space="preserve"> is dealt with below. </w:t>
      </w:r>
    </w:p>
    <w:p w14:paraId="1DD8DEA0" w14:textId="77777777" w:rsidR="00CF143C" w:rsidRPr="002D3A2A" w:rsidRDefault="00CF143C" w:rsidP="00CF143C">
      <w:pPr>
        <w:pStyle w:val="ListParagraph"/>
        <w:spacing w:after="0" w:line="360" w:lineRule="auto"/>
        <w:ind w:left="0"/>
        <w:jc w:val="both"/>
        <w:rPr>
          <w:rFonts w:ascii="Times New Roman" w:hAnsi="Times New Roman" w:cs="Times New Roman"/>
          <w:sz w:val="28"/>
          <w:szCs w:val="28"/>
        </w:rPr>
      </w:pPr>
    </w:p>
    <w:p w14:paraId="1BA7727A" w14:textId="2AEA06D2" w:rsidR="00EC3CB3" w:rsidRPr="002D3A2A" w:rsidRDefault="005F1CD6" w:rsidP="00F94E6B">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 </w:t>
      </w:r>
      <w:r w:rsidR="004F45C5" w:rsidRPr="002D3A2A">
        <w:rPr>
          <w:rFonts w:ascii="Times New Roman" w:hAnsi="Times New Roman" w:cs="Times New Roman"/>
          <w:sz w:val="28"/>
          <w:szCs w:val="28"/>
        </w:rPr>
        <w:t>respondent</w:t>
      </w:r>
      <w:r w:rsidRPr="002D3A2A">
        <w:rPr>
          <w:rFonts w:ascii="Times New Roman" w:hAnsi="Times New Roman" w:cs="Times New Roman"/>
          <w:sz w:val="28"/>
          <w:szCs w:val="28"/>
        </w:rPr>
        <w:t xml:space="preserve">s, in their </w:t>
      </w:r>
      <w:r w:rsidR="003A4873" w:rsidRPr="002D3A2A">
        <w:rPr>
          <w:rFonts w:ascii="Times New Roman" w:hAnsi="Times New Roman" w:cs="Times New Roman"/>
          <w:sz w:val="28"/>
          <w:szCs w:val="28"/>
        </w:rPr>
        <w:t xml:space="preserve">supplementary </w:t>
      </w:r>
      <w:r w:rsidR="004B366D" w:rsidRPr="002D3A2A">
        <w:rPr>
          <w:rFonts w:ascii="Times New Roman" w:hAnsi="Times New Roman" w:cs="Times New Roman"/>
          <w:sz w:val="28"/>
          <w:szCs w:val="28"/>
        </w:rPr>
        <w:t xml:space="preserve">replying </w:t>
      </w:r>
      <w:r w:rsidR="003A4873" w:rsidRPr="002D3A2A">
        <w:rPr>
          <w:rFonts w:ascii="Times New Roman" w:hAnsi="Times New Roman" w:cs="Times New Roman"/>
          <w:sz w:val="28"/>
          <w:szCs w:val="28"/>
        </w:rPr>
        <w:t>affidavit</w:t>
      </w:r>
      <w:r w:rsidRPr="002D3A2A">
        <w:rPr>
          <w:rFonts w:ascii="Times New Roman" w:hAnsi="Times New Roman" w:cs="Times New Roman"/>
          <w:sz w:val="28"/>
          <w:szCs w:val="28"/>
        </w:rPr>
        <w:t xml:space="preserve"> and heads of argument, submitted </w:t>
      </w:r>
      <w:r w:rsidR="004F45C5" w:rsidRPr="002D3A2A">
        <w:rPr>
          <w:rFonts w:ascii="Times New Roman" w:hAnsi="Times New Roman" w:cs="Times New Roman"/>
          <w:sz w:val="28"/>
          <w:szCs w:val="28"/>
        </w:rPr>
        <w:t xml:space="preserve">that it was insufficient that the seizure notice informed them of their right to request </w:t>
      </w:r>
      <w:r w:rsidR="003A4873" w:rsidRPr="002D3A2A">
        <w:rPr>
          <w:rFonts w:ascii="Times New Roman" w:hAnsi="Times New Roman" w:cs="Times New Roman"/>
          <w:sz w:val="28"/>
          <w:szCs w:val="28"/>
        </w:rPr>
        <w:t xml:space="preserve">written </w:t>
      </w:r>
      <w:r w:rsidR="004F45C5" w:rsidRPr="002D3A2A">
        <w:rPr>
          <w:rFonts w:ascii="Times New Roman" w:hAnsi="Times New Roman" w:cs="Times New Roman"/>
          <w:sz w:val="28"/>
          <w:szCs w:val="28"/>
        </w:rPr>
        <w:t xml:space="preserve">reasons, ‘as both PAJA </w:t>
      </w:r>
      <w:r w:rsidR="00E966D9" w:rsidRPr="002D3A2A">
        <w:rPr>
          <w:rFonts w:ascii="Times New Roman" w:hAnsi="Times New Roman" w:cs="Times New Roman"/>
          <w:sz w:val="28"/>
          <w:szCs w:val="28"/>
        </w:rPr>
        <w:t>as well as the C</w:t>
      </w:r>
      <w:r w:rsidR="004F45C5" w:rsidRPr="002D3A2A">
        <w:rPr>
          <w:rFonts w:ascii="Times New Roman" w:hAnsi="Times New Roman" w:cs="Times New Roman"/>
          <w:sz w:val="28"/>
          <w:szCs w:val="28"/>
        </w:rPr>
        <w:t>onstitution require SARS to give reasons when taking an administrative decision’</w:t>
      </w:r>
      <w:r w:rsidR="005831FE" w:rsidRPr="002D3A2A">
        <w:rPr>
          <w:rFonts w:ascii="Times New Roman" w:hAnsi="Times New Roman" w:cs="Times New Roman"/>
          <w:sz w:val="28"/>
          <w:szCs w:val="28"/>
        </w:rPr>
        <w:t>,</w:t>
      </w:r>
      <w:r w:rsidR="004B366D" w:rsidRPr="002D3A2A">
        <w:rPr>
          <w:rFonts w:ascii="Times New Roman" w:hAnsi="Times New Roman" w:cs="Times New Roman"/>
          <w:sz w:val="28"/>
          <w:szCs w:val="28"/>
        </w:rPr>
        <w:t xml:space="preserve"> and </w:t>
      </w:r>
      <w:r w:rsidR="00EC3CB3" w:rsidRPr="002D3A2A">
        <w:rPr>
          <w:rFonts w:ascii="Times New Roman" w:hAnsi="Times New Roman" w:cs="Times New Roman"/>
          <w:sz w:val="28"/>
          <w:szCs w:val="28"/>
        </w:rPr>
        <w:t>that if there were no reasons when the decision was taken</w:t>
      </w:r>
      <w:r w:rsidR="00894906" w:rsidRPr="002D3A2A">
        <w:rPr>
          <w:rFonts w:ascii="Times New Roman" w:hAnsi="Times New Roman" w:cs="Times New Roman"/>
          <w:sz w:val="28"/>
          <w:szCs w:val="28"/>
        </w:rPr>
        <w:t>,</w:t>
      </w:r>
      <w:r w:rsidR="004B366D" w:rsidRPr="002D3A2A">
        <w:rPr>
          <w:rFonts w:ascii="Times New Roman" w:hAnsi="Times New Roman" w:cs="Times New Roman"/>
          <w:sz w:val="28"/>
          <w:szCs w:val="28"/>
        </w:rPr>
        <w:t xml:space="preserve"> </w:t>
      </w:r>
      <w:r w:rsidR="005A1987" w:rsidRPr="002D3A2A">
        <w:rPr>
          <w:rFonts w:ascii="Times New Roman" w:hAnsi="Times New Roman" w:cs="Times New Roman"/>
          <w:sz w:val="28"/>
          <w:szCs w:val="28"/>
        </w:rPr>
        <w:t xml:space="preserve">then </w:t>
      </w:r>
      <w:r w:rsidR="004B366D" w:rsidRPr="002D3A2A">
        <w:rPr>
          <w:rFonts w:ascii="Times New Roman" w:hAnsi="Times New Roman" w:cs="Times New Roman"/>
          <w:sz w:val="28"/>
          <w:szCs w:val="28"/>
        </w:rPr>
        <w:t>the de</w:t>
      </w:r>
      <w:r w:rsidR="005A1987" w:rsidRPr="002D3A2A">
        <w:rPr>
          <w:rFonts w:ascii="Times New Roman" w:hAnsi="Times New Roman" w:cs="Times New Roman"/>
          <w:sz w:val="28"/>
          <w:szCs w:val="28"/>
        </w:rPr>
        <w:t>cision is unlawful since</w:t>
      </w:r>
      <w:r w:rsidR="00EC3CB3" w:rsidRPr="002D3A2A">
        <w:rPr>
          <w:rFonts w:ascii="Times New Roman" w:hAnsi="Times New Roman" w:cs="Times New Roman"/>
          <w:sz w:val="28"/>
          <w:szCs w:val="28"/>
        </w:rPr>
        <w:t xml:space="preserve"> </w:t>
      </w:r>
      <w:r w:rsidR="004B366D" w:rsidRPr="002D3A2A">
        <w:rPr>
          <w:rFonts w:ascii="Times New Roman" w:hAnsi="Times New Roman" w:cs="Times New Roman"/>
          <w:sz w:val="28"/>
          <w:szCs w:val="28"/>
        </w:rPr>
        <w:t>‘[</w:t>
      </w:r>
      <w:r w:rsidR="00EC3CB3" w:rsidRPr="002D3A2A">
        <w:rPr>
          <w:rFonts w:ascii="Times New Roman" w:hAnsi="Times New Roman" w:cs="Times New Roman"/>
          <w:sz w:val="28"/>
          <w:szCs w:val="28"/>
        </w:rPr>
        <w:t>i</w:t>
      </w:r>
      <w:r w:rsidR="004B366D" w:rsidRPr="002D3A2A">
        <w:rPr>
          <w:rFonts w:ascii="Times New Roman" w:hAnsi="Times New Roman" w:cs="Times New Roman"/>
          <w:sz w:val="28"/>
          <w:szCs w:val="28"/>
        </w:rPr>
        <w:t>]</w:t>
      </w:r>
      <w:r w:rsidR="00EC3CB3" w:rsidRPr="002D3A2A">
        <w:rPr>
          <w:rFonts w:ascii="Times New Roman" w:hAnsi="Times New Roman" w:cs="Times New Roman"/>
          <w:sz w:val="28"/>
          <w:szCs w:val="28"/>
        </w:rPr>
        <w:t>t is not permissible to retrofit reasons after the event’</w:t>
      </w:r>
      <w:r w:rsidR="00241D25" w:rsidRPr="002D3A2A">
        <w:rPr>
          <w:rFonts w:ascii="Times New Roman" w:hAnsi="Times New Roman" w:cs="Times New Roman"/>
          <w:sz w:val="28"/>
          <w:szCs w:val="28"/>
        </w:rPr>
        <w:t xml:space="preserve">. It was further submitted, in </w:t>
      </w:r>
      <w:r w:rsidR="005A1987" w:rsidRPr="002D3A2A">
        <w:rPr>
          <w:rFonts w:ascii="Times New Roman" w:hAnsi="Times New Roman" w:cs="Times New Roman"/>
          <w:sz w:val="28"/>
          <w:szCs w:val="28"/>
        </w:rPr>
        <w:t xml:space="preserve">reliance </w:t>
      </w:r>
      <w:r w:rsidR="00241D25" w:rsidRPr="002D3A2A">
        <w:rPr>
          <w:rFonts w:ascii="Times New Roman" w:hAnsi="Times New Roman" w:cs="Times New Roman"/>
          <w:sz w:val="28"/>
          <w:szCs w:val="28"/>
        </w:rPr>
        <w:t>on s 5(3) of the PAJA,</w:t>
      </w:r>
      <w:r w:rsidR="00295483" w:rsidRPr="002D3A2A">
        <w:rPr>
          <w:rFonts w:ascii="Times New Roman" w:hAnsi="Times New Roman" w:cs="Times New Roman"/>
          <w:sz w:val="28"/>
          <w:szCs w:val="28"/>
        </w:rPr>
        <w:t xml:space="preserve"> </w:t>
      </w:r>
      <w:r w:rsidR="00241D25" w:rsidRPr="002D3A2A">
        <w:rPr>
          <w:rFonts w:ascii="Times New Roman" w:hAnsi="Times New Roman" w:cs="Times New Roman"/>
          <w:sz w:val="28"/>
          <w:szCs w:val="28"/>
        </w:rPr>
        <w:t xml:space="preserve">that ‘on account of SARS’ admitted failure to provide reasons and in the absence of proof to the contrary’, </w:t>
      </w:r>
      <w:r w:rsidR="006176C3" w:rsidRPr="002D3A2A">
        <w:rPr>
          <w:rFonts w:ascii="Times New Roman" w:hAnsi="Times New Roman" w:cs="Times New Roman"/>
          <w:sz w:val="28"/>
          <w:szCs w:val="28"/>
        </w:rPr>
        <w:t xml:space="preserve">it should be presumed that </w:t>
      </w:r>
      <w:r w:rsidR="00241D25" w:rsidRPr="002D3A2A">
        <w:rPr>
          <w:rFonts w:ascii="Times New Roman" w:hAnsi="Times New Roman" w:cs="Times New Roman"/>
          <w:sz w:val="28"/>
          <w:szCs w:val="28"/>
        </w:rPr>
        <w:t xml:space="preserve">the </w:t>
      </w:r>
      <w:r w:rsidR="009B5B81" w:rsidRPr="002D3A2A">
        <w:rPr>
          <w:rFonts w:ascii="Times New Roman" w:hAnsi="Times New Roman" w:cs="Times New Roman"/>
          <w:sz w:val="28"/>
          <w:szCs w:val="28"/>
        </w:rPr>
        <w:t>impugned decision</w:t>
      </w:r>
      <w:r w:rsidR="00241D25" w:rsidRPr="002D3A2A">
        <w:rPr>
          <w:rFonts w:ascii="Times New Roman" w:hAnsi="Times New Roman" w:cs="Times New Roman"/>
          <w:sz w:val="28"/>
          <w:szCs w:val="28"/>
        </w:rPr>
        <w:t xml:space="preserve"> </w:t>
      </w:r>
      <w:r w:rsidR="006176C3" w:rsidRPr="002D3A2A">
        <w:rPr>
          <w:rFonts w:ascii="Times New Roman" w:hAnsi="Times New Roman" w:cs="Times New Roman"/>
          <w:sz w:val="28"/>
          <w:szCs w:val="28"/>
        </w:rPr>
        <w:t xml:space="preserve">was </w:t>
      </w:r>
      <w:r w:rsidR="00241D25" w:rsidRPr="002D3A2A">
        <w:rPr>
          <w:rFonts w:ascii="Times New Roman" w:hAnsi="Times New Roman" w:cs="Times New Roman"/>
          <w:sz w:val="28"/>
          <w:szCs w:val="28"/>
        </w:rPr>
        <w:t>taken without reason.</w:t>
      </w:r>
      <w:r w:rsidR="001717FA" w:rsidRPr="002D3A2A">
        <w:rPr>
          <w:rStyle w:val="FootnoteReference"/>
          <w:rFonts w:ascii="Times New Roman" w:hAnsi="Times New Roman" w:cs="Times New Roman"/>
          <w:sz w:val="28"/>
          <w:szCs w:val="28"/>
        </w:rPr>
        <w:footnoteReference w:id="12"/>
      </w:r>
    </w:p>
    <w:p w14:paraId="01DF6593" w14:textId="77777777" w:rsidR="00EC3CB3" w:rsidRPr="002D3A2A" w:rsidRDefault="00EC3CB3" w:rsidP="00EC3CB3">
      <w:pPr>
        <w:pStyle w:val="ListParagraph"/>
        <w:spacing w:after="0" w:line="360" w:lineRule="auto"/>
        <w:ind w:left="0"/>
        <w:jc w:val="both"/>
        <w:rPr>
          <w:rFonts w:ascii="Times New Roman" w:hAnsi="Times New Roman" w:cs="Times New Roman"/>
          <w:sz w:val="28"/>
          <w:szCs w:val="28"/>
        </w:rPr>
      </w:pPr>
    </w:p>
    <w:p w14:paraId="7248752B" w14:textId="77777777" w:rsidR="00076275" w:rsidRPr="002D3A2A" w:rsidRDefault="00EC3CB3" w:rsidP="00F94E6B">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These </w:t>
      </w:r>
      <w:r w:rsidR="005F1CD6" w:rsidRPr="002D3A2A">
        <w:rPr>
          <w:rFonts w:ascii="Times New Roman" w:hAnsi="Times New Roman" w:cs="Times New Roman"/>
          <w:sz w:val="28"/>
          <w:szCs w:val="28"/>
        </w:rPr>
        <w:t>submissi</w:t>
      </w:r>
      <w:r w:rsidRPr="002D3A2A">
        <w:rPr>
          <w:rFonts w:ascii="Times New Roman" w:hAnsi="Times New Roman" w:cs="Times New Roman"/>
          <w:sz w:val="28"/>
          <w:szCs w:val="28"/>
        </w:rPr>
        <w:t xml:space="preserve">ons are baseless. Section 5(1) and (2) of the PAJA make it clear that the reasons for </w:t>
      </w:r>
      <w:r w:rsidR="002D1CCF" w:rsidRPr="002D3A2A">
        <w:rPr>
          <w:rFonts w:ascii="Times New Roman" w:hAnsi="Times New Roman" w:cs="Times New Roman"/>
          <w:sz w:val="28"/>
          <w:szCs w:val="28"/>
        </w:rPr>
        <w:t xml:space="preserve">an </w:t>
      </w:r>
      <w:r w:rsidRPr="002D3A2A">
        <w:rPr>
          <w:rFonts w:ascii="Times New Roman" w:hAnsi="Times New Roman" w:cs="Times New Roman"/>
          <w:sz w:val="28"/>
          <w:szCs w:val="28"/>
        </w:rPr>
        <w:t xml:space="preserve">administrative </w:t>
      </w:r>
      <w:r w:rsidR="002D1CCF" w:rsidRPr="002D3A2A">
        <w:rPr>
          <w:rFonts w:ascii="Times New Roman" w:hAnsi="Times New Roman" w:cs="Times New Roman"/>
          <w:sz w:val="28"/>
          <w:szCs w:val="28"/>
        </w:rPr>
        <w:t>decision</w:t>
      </w:r>
      <w:r w:rsidRPr="002D3A2A">
        <w:rPr>
          <w:rFonts w:ascii="Times New Roman" w:hAnsi="Times New Roman" w:cs="Times New Roman"/>
          <w:sz w:val="28"/>
          <w:szCs w:val="28"/>
        </w:rPr>
        <w:t xml:space="preserve"> need not be given simultaneously </w:t>
      </w:r>
      <w:r w:rsidR="002D1CCF" w:rsidRPr="002D3A2A">
        <w:rPr>
          <w:rFonts w:ascii="Times New Roman" w:hAnsi="Times New Roman" w:cs="Times New Roman"/>
          <w:sz w:val="28"/>
          <w:szCs w:val="28"/>
        </w:rPr>
        <w:t>with the notice of that decision to the affected party</w:t>
      </w:r>
      <w:r w:rsidRPr="002D3A2A">
        <w:rPr>
          <w:rFonts w:ascii="Times New Roman" w:hAnsi="Times New Roman" w:cs="Times New Roman"/>
          <w:sz w:val="28"/>
          <w:szCs w:val="28"/>
        </w:rPr>
        <w:t>.</w:t>
      </w:r>
      <w:r w:rsidRPr="002D3A2A">
        <w:rPr>
          <w:rStyle w:val="FootnoteReference"/>
          <w:rFonts w:ascii="Times New Roman" w:hAnsi="Times New Roman" w:cs="Times New Roman"/>
          <w:sz w:val="28"/>
          <w:szCs w:val="28"/>
        </w:rPr>
        <w:footnoteReference w:id="13"/>
      </w:r>
      <w:r w:rsidR="003B0CD9" w:rsidRPr="002D3A2A">
        <w:rPr>
          <w:rFonts w:ascii="Times New Roman" w:hAnsi="Times New Roman" w:cs="Times New Roman"/>
          <w:sz w:val="28"/>
          <w:szCs w:val="28"/>
        </w:rPr>
        <w:t xml:space="preserve"> </w:t>
      </w:r>
      <w:r w:rsidR="00295483" w:rsidRPr="002D3A2A">
        <w:rPr>
          <w:rFonts w:ascii="Times New Roman" w:hAnsi="Times New Roman" w:cs="Times New Roman"/>
          <w:sz w:val="28"/>
          <w:szCs w:val="28"/>
        </w:rPr>
        <w:t>And t</w:t>
      </w:r>
      <w:r w:rsidR="00242980" w:rsidRPr="002D3A2A">
        <w:rPr>
          <w:rFonts w:ascii="Times New Roman" w:hAnsi="Times New Roman" w:cs="Times New Roman"/>
          <w:sz w:val="28"/>
          <w:szCs w:val="28"/>
        </w:rPr>
        <w:t xml:space="preserve">here is not a shred of evidence to show that when the </w:t>
      </w:r>
      <w:r w:rsidR="009B5B81" w:rsidRPr="002D3A2A">
        <w:rPr>
          <w:rFonts w:ascii="Times New Roman" w:hAnsi="Times New Roman" w:cs="Times New Roman"/>
          <w:sz w:val="28"/>
          <w:szCs w:val="28"/>
        </w:rPr>
        <w:t>impugned decision</w:t>
      </w:r>
      <w:r w:rsidR="00242980" w:rsidRPr="002D3A2A">
        <w:rPr>
          <w:rFonts w:ascii="Times New Roman" w:hAnsi="Times New Roman" w:cs="Times New Roman"/>
          <w:sz w:val="28"/>
          <w:szCs w:val="28"/>
        </w:rPr>
        <w:t xml:space="preserve"> was taken, there were no reasons for it.</w:t>
      </w:r>
      <w:r w:rsidR="009E726C" w:rsidRPr="002D3A2A">
        <w:rPr>
          <w:rFonts w:ascii="Times New Roman" w:hAnsi="Times New Roman" w:cs="Times New Roman"/>
          <w:sz w:val="28"/>
          <w:szCs w:val="28"/>
        </w:rPr>
        <w:t xml:space="preserve"> In these circumstances, the respondents’ so-called retrofit argument is startling.</w:t>
      </w:r>
    </w:p>
    <w:p w14:paraId="60C3D860" w14:textId="77777777" w:rsidR="00076275" w:rsidRPr="002D3A2A" w:rsidRDefault="00076275" w:rsidP="00242980">
      <w:pPr>
        <w:pStyle w:val="ListParagraph"/>
        <w:spacing w:after="0" w:line="360" w:lineRule="auto"/>
        <w:ind w:left="0"/>
        <w:jc w:val="both"/>
        <w:rPr>
          <w:rFonts w:ascii="Times New Roman" w:hAnsi="Times New Roman" w:cs="Times New Roman"/>
          <w:sz w:val="28"/>
          <w:szCs w:val="28"/>
        </w:rPr>
      </w:pPr>
    </w:p>
    <w:p w14:paraId="5450BF0E" w14:textId="3F8BB06B" w:rsidR="008909EA" w:rsidRPr="002D3A2A" w:rsidRDefault="00677178" w:rsidP="00F94E6B">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lastRenderedPageBreak/>
        <w:t>T</w:t>
      </w:r>
      <w:r w:rsidR="00242980" w:rsidRPr="002D3A2A">
        <w:rPr>
          <w:rFonts w:ascii="Times New Roman" w:hAnsi="Times New Roman" w:cs="Times New Roman"/>
          <w:sz w:val="28"/>
          <w:szCs w:val="28"/>
        </w:rPr>
        <w:t>he respondents’ challenge</w:t>
      </w:r>
      <w:r w:rsidR="00746570" w:rsidRPr="002D3A2A">
        <w:rPr>
          <w:rFonts w:ascii="Times New Roman" w:hAnsi="Times New Roman" w:cs="Times New Roman"/>
          <w:sz w:val="28"/>
          <w:szCs w:val="28"/>
        </w:rPr>
        <w:t xml:space="preserve"> </w:t>
      </w:r>
      <w:r w:rsidR="0055373B" w:rsidRPr="002D3A2A">
        <w:rPr>
          <w:rFonts w:ascii="Times New Roman" w:hAnsi="Times New Roman" w:cs="Times New Roman"/>
          <w:sz w:val="28"/>
          <w:szCs w:val="28"/>
        </w:rPr>
        <w:t xml:space="preserve">of </w:t>
      </w:r>
      <w:r w:rsidRPr="002D3A2A">
        <w:rPr>
          <w:rFonts w:ascii="Times New Roman" w:hAnsi="Times New Roman" w:cs="Times New Roman"/>
          <w:sz w:val="28"/>
          <w:szCs w:val="28"/>
        </w:rPr>
        <w:t xml:space="preserve">irrationality </w:t>
      </w:r>
      <w:r w:rsidR="0055373B" w:rsidRPr="002D3A2A">
        <w:rPr>
          <w:rFonts w:ascii="Times New Roman" w:hAnsi="Times New Roman" w:cs="Times New Roman"/>
          <w:sz w:val="28"/>
          <w:szCs w:val="28"/>
        </w:rPr>
        <w:t xml:space="preserve">is </w:t>
      </w:r>
      <w:r w:rsidRPr="002D3A2A">
        <w:rPr>
          <w:rFonts w:ascii="Times New Roman" w:hAnsi="Times New Roman" w:cs="Times New Roman"/>
          <w:sz w:val="28"/>
          <w:szCs w:val="28"/>
        </w:rPr>
        <w:t>based on s 6(2)</w:t>
      </w:r>
      <w:r w:rsidRPr="002D3A2A">
        <w:rPr>
          <w:rFonts w:ascii="Times New Roman" w:hAnsi="Times New Roman" w:cs="Times New Roman"/>
          <w:i/>
          <w:sz w:val="28"/>
          <w:szCs w:val="28"/>
        </w:rPr>
        <w:t>(f)</w:t>
      </w:r>
      <w:r w:rsidRPr="002D3A2A">
        <w:rPr>
          <w:rFonts w:ascii="Times New Roman" w:hAnsi="Times New Roman" w:cs="Times New Roman"/>
          <w:sz w:val="28"/>
          <w:szCs w:val="28"/>
        </w:rPr>
        <w:t xml:space="preserve">(ii) of the PAJA, namely that the </w:t>
      </w:r>
      <w:r w:rsidR="009B5B81" w:rsidRPr="002D3A2A">
        <w:rPr>
          <w:rFonts w:ascii="Times New Roman" w:hAnsi="Times New Roman" w:cs="Times New Roman"/>
          <w:sz w:val="28"/>
          <w:szCs w:val="28"/>
        </w:rPr>
        <w:t>impugned decision</w:t>
      </w:r>
      <w:r w:rsidRPr="002D3A2A">
        <w:rPr>
          <w:rFonts w:ascii="Times New Roman" w:hAnsi="Times New Roman" w:cs="Times New Roman"/>
          <w:sz w:val="28"/>
          <w:szCs w:val="28"/>
        </w:rPr>
        <w:t xml:space="preserve"> is not rationally connected to the purpose for which it was taken; the purpose of empowering provision; the information before the decision-maker; and the reasons given for it</w:t>
      </w:r>
      <w:r w:rsidR="0055373B" w:rsidRPr="002D3A2A">
        <w:rPr>
          <w:rFonts w:ascii="Times New Roman" w:hAnsi="Times New Roman" w:cs="Times New Roman"/>
          <w:sz w:val="28"/>
          <w:szCs w:val="28"/>
        </w:rPr>
        <w:t>.</w:t>
      </w:r>
      <w:r w:rsidR="00D16582" w:rsidRPr="002D3A2A">
        <w:rPr>
          <w:rStyle w:val="FootnoteReference"/>
          <w:rFonts w:ascii="Times New Roman" w:hAnsi="Times New Roman" w:cs="Times New Roman"/>
          <w:sz w:val="28"/>
          <w:szCs w:val="28"/>
        </w:rPr>
        <w:footnoteReference w:id="14"/>
      </w:r>
      <w:r w:rsidR="0055373B" w:rsidRPr="002D3A2A">
        <w:rPr>
          <w:rFonts w:ascii="Times New Roman" w:hAnsi="Times New Roman" w:cs="Times New Roman"/>
          <w:sz w:val="28"/>
          <w:szCs w:val="28"/>
        </w:rPr>
        <w:t xml:space="preserve"> The </w:t>
      </w:r>
      <w:r w:rsidR="00746570" w:rsidRPr="002D3A2A">
        <w:rPr>
          <w:rFonts w:ascii="Times New Roman" w:hAnsi="Times New Roman" w:cs="Times New Roman"/>
          <w:sz w:val="28"/>
          <w:szCs w:val="28"/>
        </w:rPr>
        <w:t xml:space="preserve">supplementary founding affidavit states that in the notices of intent, </w:t>
      </w:r>
      <w:r w:rsidR="00295483" w:rsidRPr="002D3A2A">
        <w:rPr>
          <w:rFonts w:ascii="Times New Roman" w:hAnsi="Times New Roman" w:cs="Times New Roman"/>
          <w:sz w:val="28"/>
          <w:szCs w:val="28"/>
        </w:rPr>
        <w:t xml:space="preserve">the </w:t>
      </w:r>
      <w:r w:rsidR="00746570" w:rsidRPr="002D3A2A">
        <w:rPr>
          <w:rFonts w:ascii="Times New Roman" w:hAnsi="Times New Roman" w:cs="Times New Roman"/>
          <w:sz w:val="28"/>
          <w:szCs w:val="28"/>
        </w:rPr>
        <w:t xml:space="preserve">request for further particulars and </w:t>
      </w:r>
      <w:r w:rsidR="000A53BF" w:rsidRPr="002D3A2A">
        <w:rPr>
          <w:rFonts w:ascii="Times New Roman" w:hAnsi="Times New Roman" w:cs="Times New Roman"/>
          <w:sz w:val="28"/>
          <w:szCs w:val="28"/>
        </w:rPr>
        <w:t xml:space="preserve">the </w:t>
      </w:r>
      <w:r w:rsidR="00746570" w:rsidRPr="002D3A2A">
        <w:rPr>
          <w:rFonts w:ascii="Times New Roman" w:hAnsi="Times New Roman" w:cs="Times New Roman"/>
          <w:sz w:val="28"/>
          <w:szCs w:val="28"/>
        </w:rPr>
        <w:t xml:space="preserve">expert reports, SARS relied on two new issues, namely the export declarations and an expert’s opinion that the signatures on the agreements were forgeries. </w:t>
      </w:r>
    </w:p>
    <w:p w14:paraId="38BE504E" w14:textId="77777777" w:rsidR="008909EA" w:rsidRPr="002D3A2A" w:rsidRDefault="008909EA" w:rsidP="008909EA">
      <w:pPr>
        <w:pStyle w:val="ListParagraph"/>
        <w:spacing w:after="0" w:line="360" w:lineRule="auto"/>
        <w:ind w:left="0"/>
        <w:jc w:val="both"/>
        <w:rPr>
          <w:rFonts w:ascii="Times New Roman" w:hAnsi="Times New Roman" w:cs="Times New Roman"/>
          <w:sz w:val="28"/>
          <w:szCs w:val="28"/>
        </w:rPr>
      </w:pPr>
    </w:p>
    <w:p w14:paraId="781BA077" w14:textId="15D921BA" w:rsidR="004E4316" w:rsidRPr="002D3A2A" w:rsidRDefault="003F7041" w:rsidP="00F94E6B">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 </w:t>
      </w:r>
      <w:r w:rsidR="004A44A0" w:rsidRPr="002D3A2A">
        <w:rPr>
          <w:rFonts w:ascii="Times New Roman" w:hAnsi="Times New Roman" w:cs="Times New Roman"/>
          <w:sz w:val="28"/>
          <w:szCs w:val="28"/>
        </w:rPr>
        <w:t xml:space="preserve">basic grounds for the irrationality challenge may be summarised as follows. The </w:t>
      </w:r>
      <w:r w:rsidR="00997875" w:rsidRPr="002D3A2A">
        <w:rPr>
          <w:rFonts w:ascii="Times New Roman" w:hAnsi="Times New Roman" w:cs="Times New Roman"/>
          <w:sz w:val="28"/>
          <w:szCs w:val="28"/>
        </w:rPr>
        <w:t xml:space="preserve">export declarations </w:t>
      </w:r>
      <w:r w:rsidR="004A44A0" w:rsidRPr="002D3A2A">
        <w:rPr>
          <w:rFonts w:ascii="Times New Roman" w:hAnsi="Times New Roman" w:cs="Times New Roman"/>
          <w:sz w:val="28"/>
          <w:szCs w:val="28"/>
        </w:rPr>
        <w:t>are</w:t>
      </w:r>
      <w:r w:rsidR="00997875" w:rsidRPr="002D3A2A">
        <w:rPr>
          <w:rFonts w:ascii="Times New Roman" w:hAnsi="Times New Roman" w:cs="Times New Roman"/>
          <w:sz w:val="28"/>
          <w:szCs w:val="28"/>
        </w:rPr>
        <w:t xml:space="preserve"> ‘inadmissible and irrelevant’, </w:t>
      </w:r>
      <w:r w:rsidR="004A44A0" w:rsidRPr="002D3A2A">
        <w:rPr>
          <w:rFonts w:ascii="Times New Roman" w:hAnsi="Times New Roman" w:cs="Times New Roman"/>
          <w:sz w:val="28"/>
          <w:szCs w:val="28"/>
        </w:rPr>
        <w:t xml:space="preserve">illegible and </w:t>
      </w:r>
      <w:r w:rsidR="00997875" w:rsidRPr="002D3A2A">
        <w:rPr>
          <w:rFonts w:ascii="Times New Roman" w:hAnsi="Times New Roman" w:cs="Times New Roman"/>
          <w:sz w:val="28"/>
          <w:szCs w:val="28"/>
        </w:rPr>
        <w:t>‘demonstrably false’. SARS’ requ</w:t>
      </w:r>
      <w:r w:rsidR="004A44A0" w:rsidRPr="002D3A2A">
        <w:rPr>
          <w:rFonts w:ascii="Times New Roman" w:hAnsi="Times New Roman" w:cs="Times New Roman"/>
          <w:sz w:val="28"/>
          <w:szCs w:val="28"/>
        </w:rPr>
        <w:t xml:space="preserve">est for further particulars </w:t>
      </w:r>
      <w:r w:rsidR="006567FB" w:rsidRPr="002D3A2A">
        <w:rPr>
          <w:rFonts w:ascii="Times New Roman" w:hAnsi="Times New Roman" w:cs="Times New Roman"/>
          <w:sz w:val="28"/>
          <w:szCs w:val="28"/>
        </w:rPr>
        <w:t xml:space="preserve">is </w:t>
      </w:r>
      <w:r w:rsidR="004A44A0" w:rsidRPr="002D3A2A">
        <w:rPr>
          <w:rFonts w:ascii="Times New Roman" w:hAnsi="Times New Roman" w:cs="Times New Roman"/>
          <w:sz w:val="28"/>
          <w:szCs w:val="28"/>
        </w:rPr>
        <w:t>not authorised by the Act and unlawful.</w:t>
      </w:r>
      <w:r w:rsidR="006567FB" w:rsidRPr="002D3A2A">
        <w:rPr>
          <w:rFonts w:ascii="Times New Roman" w:hAnsi="Times New Roman" w:cs="Times New Roman"/>
          <w:sz w:val="28"/>
          <w:szCs w:val="28"/>
        </w:rPr>
        <w:t xml:space="preserve"> Had SARS in fact considered all the evidence presented by the respondents, </w:t>
      </w:r>
      <w:r w:rsidR="00F265E6" w:rsidRPr="002D3A2A">
        <w:rPr>
          <w:rFonts w:ascii="Times New Roman" w:hAnsi="Times New Roman" w:cs="Times New Roman"/>
          <w:sz w:val="28"/>
          <w:szCs w:val="28"/>
        </w:rPr>
        <w:t>it would have concluded that the respondents</w:t>
      </w:r>
      <w:r w:rsidR="00085254" w:rsidRPr="002D3A2A">
        <w:rPr>
          <w:rFonts w:ascii="Times New Roman" w:hAnsi="Times New Roman" w:cs="Times New Roman"/>
          <w:sz w:val="28"/>
          <w:szCs w:val="28"/>
        </w:rPr>
        <w:t>’</w:t>
      </w:r>
      <w:r w:rsidR="00F265E6" w:rsidRPr="002D3A2A">
        <w:rPr>
          <w:rFonts w:ascii="Times New Roman" w:hAnsi="Times New Roman" w:cs="Times New Roman"/>
          <w:sz w:val="28"/>
          <w:szCs w:val="28"/>
        </w:rPr>
        <w:t xml:space="preserve"> evidence was a rebuttal of SARS’ prima facie finding</w:t>
      </w:r>
      <w:r w:rsidR="001735E9" w:rsidRPr="002D3A2A">
        <w:rPr>
          <w:rFonts w:ascii="Times New Roman" w:hAnsi="Times New Roman" w:cs="Times New Roman"/>
          <w:sz w:val="28"/>
          <w:szCs w:val="28"/>
        </w:rPr>
        <w:t>s in the notice</w:t>
      </w:r>
      <w:r w:rsidR="004E4316" w:rsidRPr="002D3A2A">
        <w:rPr>
          <w:rFonts w:ascii="Times New Roman" w:hAnsi="Times New Roman" w:cs="Times New Roman"/>
          <w:sz w:val="28"/>
          <w:szCs w:val="28"/>
        </w:rPr>
        <w:t xml:space="preserve"> of intent</w:t>
      </w:r>
      <w:r w:rsidR="00E859A7" w:rsidRPr="002D3A2A">
        <w:rPr>
          <w:rFonts w:ascii="Times New Roman" w:hAnsi="Times New Roman" w:cs="Times New Roman"/>
          <w:sz w:val="28"/>
          <w:szCs w:val="28"/>
        </w:rPr>
        <w:t xml:space="preserve"> (that </w:t>
      </w:r>
      <w:r w:rsidR="001735E9" w:rsidRPr="002D3A2A">
        <w:rPr>
          <w:rFonts w:ascii="Times New Roman" w:hAnsi="Times New Roman" w:cs="Times New Roman"/>
          <w:sz w:val="28"/>
          <w:szCs w:val="28"/>
        </w:rPr>
        <w:t>the respondent</w:t>
      </w:r>
      <w:r w:rsidR="00E859A7" w:rsidRPr="002D3A2A">
        <w:rPr>
          <w:rFonts w:ascii="Times New Roman" w:hAnsi="Times New Roman" w:cs="Times New Roman"/>
          <w:sz w:val="28"/>
          <w:szCs w:val="28"/>
        </w:rPr>
        <w:t>s</w:t>
      </w:r>
      <w:r w:rsidR="001735E9" w:rsidRPr="002D3A2A">
        <w:rPr>
          <w:rFonts w:ascii="Times New Roman" w:hAnsi="Times New Roman" w:cs="Times New Roman"/>
          <w:sz w:val="28"/>
          <w:szCs w:val="28"/>
        </w:rPr>
        <w:t xml:space="preserve"> </w:t>
      </w:r>
      <w:r w:rsidR="00E859A7" w:rsidRPr="002D3A2A">
        <w:rPr>
          <w:rFonts w:ascii="Times New Roman" w:hAnsi="Times New Roman" w:cs="Times New Roman"/>
          <w:sz w:val="28"/>
          <w:szCs w:val="28"/>
        </w:rPr>
        <w:t xml:space="preserve">dealt with the goods irregularly, </w:t>
      </w:r>
      <w:r w:rsidR="008909EA" w:rsidRPr="002D3A2A">
        <w:rPr>
          <w:rFonts w:ascii="Times New Roman" w:hAnsi="Times New Roman" w:cs="Times New Roman"/>
          <w:sz w:val="28"/>
          <w:szCs w:val="28"/>
        </w:rPr>
        <w:t xml:space="preserve">thereby </w:t>
      </w:r>
      <w:r w:rsidR="006176C3" w:rsidRPr="002D3A2A">
        <w:rPr>
          <w:rFonts w:ascii="Times New Roman" w:hAnsi="Times New Roman" w:cs="Times New Roman"/>
          <w:sz w:val="28"/>
          <w:szCs w:val="28"/>
        </w:rPr>
        <w:t>rendering them</w:t>
      </w:r>
      <w:r w:rsidR="00992BEF" w:rsidRPr="002D3A2A">
        <w:rPr>
          <w:rFonts w:ascii="Times New Roman" w:hAnsi="Times New Roman" w:cs="Times New Roman"/>
          <w:sz w:val="28"/>
          <w:szCs w:val="28"/>
        </w:rPr>
        <w:t xml:space="preserve"> liable to forfeiture).</w:t>
      </w:r>
    </w:p>
    <w:p w14:paraId="1C44C008" w14:textId="77777777" w:rsidR="00992BEF" w:rsidRPr="002D3A2A" w:rsidRDefault="00992BEF" w:rsidP="00992BEF">
      <w:pPr>
        <w:spacing w:after="0" w:line="360" w:lineRule="auto"/>
        <w:jc w:val="both"/>
        <w:rPr>
          <w:rFonts w:ascii="Times New Roman" w:hAnsi="Times New Roman" w:cs="Times New Roman"/>
          <w:i/>
          <w:sz w:val="28"/>
          <w:szCs w:val="28"/>
        </w:rPr>
      </w:pPr>
    </w:p>
    <w:p w14:paraId="3B31DBD2" w14:textId="77777777" w:rsidR="00D6303B" w:rsidRPr="002D3A2A" w:rsidRDefault="004B2BA5" w:rsidP="006C24BD">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 notice of seizure </w:t>
      </w:r>
      <w:r w:rsidR="00992BEF" w:rsidRPr="002D3A2A">
        <w:rPr>
          <w:rFonts w:ascii="Times New Roman" w:hAnsi="Times New Roman" w:cs="Times New Roman"/>
          <w:sz w:val="28"/>
          <w:szCs w:val="28"/>
        </w:rPr>
        <w:t>states that the impugned decision was taken in terms of s 88(1)</w:t>
      </w:r>
      <w:r w:rsidR="00992BEF" w:rsidRPr="002D3A2A">
        <w:rPr>
          <w:rFonts w:ascii="Times New Roman" w:hAnsi="Times New Roman" w:cs="Times New Roman"/>
          <w:i/>
          <w:sz w:val="28"/>
          <w:szCs w:val="28"/>
        </w:rPr>
        <w:t>(c)</w:t>
      </w:r>
      <w:r w:rsidR="00992BEF" w:rsidRPr="002D3A2A">
        <w:rPr>
          <w:rFonts w:ascii="Times New Roman" w:hAnsi="Times New Roman" w:cs="Times New Roman"/>
          <w:sz w:val="28"/>
          <w:szCs w:val="28"/>
        </w:rPr>
        <w:t xml:space="preserve"> of the Act. In </w:t>
      </w:r>
      <w:r w:rsidR="00992BEF" w:rsidRPr="002D3A2A">
        <w:rPr>
          <w:rFonts w:ascii="Times New Roman" w:hAnsi="Times New Roman" w:cs="Times New Roman"/>
          <w:i/>
          <w:sz w:val="28"/>
          <w:szCs w:val="28"/>
        </w:rPr>
        <w:t>Saleem</w:t>
      </w:r>
      <w:r w:rsidR="00992BEF" w:rsidRPr="002D3A2A">
        <w:rPr>
          <w:rStyle w:val="FootnoteReference"/>
          <w:rFonts w:ascii="Times New Roman" w:hAnsi="Times New Roman" w:cs="Times New Roman"/>
          <w:sz w:val="28"/>
          <w:szCs w:val="28"/>
        </w:rPr>
        <w:footnoteReference w:id="15"/>
      </w:r>
      <w:r w:rsidR="00992BEF" w:rsidRPr="002D3A2A">
        <w:rPr>
          <w:rFonts w:ascii="Times New Roman" w:hAnsi="Times New Roman" w:cs="Times New Roman"/>
          <w:sz w:val="28"/>
          <w:szCs w:val="28"/>
        </w:rPr>
        <w:t xml:space="preserve"> this Court held that an officer seizing goods in terms of s 88(1)</w:t>
      </w:r>
      <w:r w:rsidR="00992BEF" w:rsidRPr="002D3A2A">
        <w:rPr>
          <w:rFonts w:ascii="Times New Roman" w:hAnsi="Times New Roman" w:cs="Times New Roman"/>
          <w:i/>
          <w:sz w:val="28"/>
          <w:szCs w:val="28"/>
        </w:rPr>
        <w:t>(c)</w:t>
      </w:r>
      <w:r w:rsidR="00992BEF" w:rsidRPr="002D3A2A">
        <w:rPr>
          <w:rFonts w:ascii="Times New Roman" w:hAnsi="Times New Roman" w:cs="Times New Roman"/>
          <w:sz w:val="28"/>
          <w:szCs w:val="28"/>
        </w:rPr>
        <w:t xml:space="preserve"> is required to hold a suspicion on reasonable grounds that such goods are imported goods; that they have been imported without compliance with the provisions of the Act; and that they are liable to forfeiture. The notice further </w:t>
      </w:r>
      <w:r w:rsidRPr="002D3A2A">
        <w:rPr>
          <w:rFonts w:ascii="Times New Roman" w:hAnsi="Times New Roman" w:cs="Times New Roman"/>
          <w:sz w:val="28"/>
          <w:szCs w:val="28"/>
        </w:rPr>
        <w:t>states that the goods are liable to forfeiture as envisaged in s 87(1) and (2) of the Act, since respondents failed to establish that the goods were imported in accordance with the provisions of the Act. Section</w:t>
      </w:r>
      <w:r w:rsidR="003F2B4F" w:rsidRPr="002D3A2A">
        <w:rPr>
          <w:rFonts w:ascii="Times New Roman" w:hAnsi="Times New Roman" w:cs="Times New Roman"/>
          <w:sz w:val="28"/>
          <w:szCs w:val="28"/>
        </w:rPr>
        <w:t> </w:t>
      </w:r>
      <w:r w:rsidRPr="002D3A2A">
        <w:rPr>
          <w:rFonts w:ascii="Times New Roman" w:hAnsi="Times New Roman" w:cs="Times New Roman"/>
          <w:sz w:val="28"/>
          <w:szCs w:val="28"/>
        </w:rPr>
        <w:t xml:space="preserve">87(1) of the </w:t>
      </w:r>
      <w:r w:rsidR="009B625C" w:rsidRPr="002D3A2A">
        <w:rPr>
          <w:rFonts w:ascii="Times New Roman" w:hAnsi="Times New Roman" w:cs="Times New Roman"/>
          <w:sz w:val="28"/>
          <w:szCs w:val="28"/>
        </w:rPr>
        <w:t xml:space="preserve">Act provides that any goods imported or otherwise dealt with contrary to the provisions of the Act, are liable to forfeiture. </w:t>
      </w:r>
      <w:r w:rsidR="003F2B4F" w:rsidRPr="002D3A2A">
        <w:rPr>
          <w:rFonts w:ascii="Times New Roman" w:hAnsi="Times New Roman" w:cs="Times New Roman"/>
          <w:sz w:val="28"/>
          <w:szCs w:val="28"/>
        </w:rPr>
        <w:t xml:space="preserve">In short, goods brought into the country without declaring </w:t>
      </w:r>
      <w:r w:rsidR="003F2B4F" w:rsidRPr="002D3A2A">
        <w:rPr>
          <w:rFonts w:ascii="Times New Roman" w:hAnsi="Times New Roman" w:cs="Times New Roman"/>
          <w:sz w:val="28"/>
          <w:szCs w:val="28"/>
        </w:rPr>
        <w:lastRenderedPageBreak/>
        <w:t xml:space="preserve">them or paying the necessary customs duty </w:t>
      </w:r>
      <w:r w:rsidR="00B76F65" w:rsidRPr="002D3A2A">
        <w:rPr>
          <w:rFonts w:ascii="Times New Roman" w:hAnsi="Times New Roman" w:cs="Times New Roman"/>
          <w:sz w:val="28"/>
          <w:szCs w:val="28"/>
        </w:rPr>
        <w:t>are liable to forfeiture.</w:t>
      </w:r>
      <w:r w:rsidR="00B76F65" w:rsidRPr="002D3A2A">
        <w:rPr>
          <w:rStyle w:val="FootnoteReference"/>
          <w:rFonts w:ascii="Times New Roman" w:hAnsi="Times New Roman" w:cs="Times New Roman"/>
          <w:sz w:val="28"/>
          <w:szCs w:val="28"/>
        </w:rPr>
        <w:footnoteReference w:id="16"/>
      </w:r>
      <w:r w:rsidR="003F2B4F" w:rsidRPr="002D3A2A">
        <w:rPr>
          <w:rFonts w:ascii="Times New Roman" w:hAnsi="Times New Roman" w:cs="Times New Roman"/>
          <w:sz w:val="28"/>
          <w:szCs w:val="28"/>
        </w:rPr>
        <w:t xml:space="preserve"> </w:t>
      </w:r>
      <w:r w:rsidR="009B625C" w:rsidRPr="002D3A2A">
        <w:rPr>
          <w:rFonts w:ascii="Times New Roman" w:hAnsi="Times New Roman" w:cs="Times New Roman"/>
          <w:sz w:val="28"/>
          <w:szCs w:val="28"/>
        </w:rPr>
        <w:t>Section 87(2) renders any ship, vehicle, container or other transport equipment used in the carriage of goods, liable to forfeiture.</w:t>
      </w:r>
      <w:r w:rsidR="009B625C" w:rsidRPr="002D3A2A">
        <w:rPr>
          <w:rStyle w:val="FootnoteReference"/>
          <w:rFonts w:ascii="Times New Roman" w:hAnsi="Times New Roman" w:cs="Times New Roman"/>
          <w:sz w:val="28"/>
          <w:szCs w:val="28"/>
        </w:rPr>
        <w:footnoteReference w:id="17"/>
      </w:r>
    </w:p>
    <w:p w14:paraId="02CAE1CE" w14:textId="77777777" w:rsidR="00D6303B" w:rsidRPr="002D3A2A" w:rsidRDefault="00D6303B" w:rsidP="00D6303B">
      <w:pPr>
        <w:pStyle w:val="ListParagraph"/>
        <w:rPr>
          <w:rFonts w:ascii="Times New Roman" w:hAnsi="Times New Roman" w:cs="Times New Roman"/>
          <w:sz w:val="28"/>
          <w:szCs w:val="28"/>
        </w:rPr>
      </w:pPr>
    </w:p>
    <w:p w14:paraId="53DF5136" w14:textId="0135C081" w:rsidR="00973784" w:rsidRPr="002D3A2A" w:rsidRDefault="007B7FD6" w:rsidP="001C0D8E">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 </w:t>
      </w:r>
      <w:r w:rsidR="00B2695F" w:rsidRPr="002D3A2A">
        <w:rPr>
          <w:rFonts w:ascii="Times New Roman" w:hAnsi="Times New Roman" w:cs="Times New Roman"/>
          <w:sz w:val="28"/>
          <w:szCs w:val="28"/>
        </w:rPr>
        <w:t>Constitutional Court has held that where a decision is challenged on the grounds of rationality, ‘the decision must be rationally related to the purpose for which power was conferred’, otherwise the exercise of the power would be arbitrary.</w:t>
      </w:r>
      <w:r w:rsidR="00B2695F" w:rsidRPr="002D3A2A">
        <w:rPr>
          <w:rStyle w:val="FootnoteReference"/>
          <w:rFonts w:ascii="Times New Roman" w:hAnsi="Times New Roman" w:cs="Times New Roman"/>
          <w:sz w:val="28"/>
          <w:szCs w:val="28"/>
        </w:rPr>
        <w:footnoteReference w:id="18"/>
      </w:r>
      <w:r w:rsidR="00B2695F" w:rsidRPr="002D3A2A">
        <w:rPr>
          <w:rFonts w:ascii="Times New Roman" w:hAnsi="Times New Roman" w:cs="Times New Roman"/>
          <w:sz w:val="28"/>
          <w:szCs w:val="28"/>
        </w:rPr>
        <w:t xml:space="preserve"> </w:t>
      </w:r>
      <w:r w:rsidR="00A3145A" w:rsidRPr="002D3A2A">
        <w:rPr>
          <w:rFonts w:ascii="Times New Roman" w:hAnsi="Times New Roman" w:cs="Times New Roman"/>
          <w:sz w:val="28"/>
          <w:szCs w:val="28"/>
        </w:rPr>
        <w:t>The q</w:t>
      </w:r>
      <w:r w:rsidRPr="002D3A2A">
        <w:rPr>
          <w:rFonts w:ascii="Times New Roman" w:hAnsi="Times New Roman" w:cs="Times New Roman"/>
          <w:sz w:val="28"/>
          <w:szCs w:val="28"/>
        </w:rPr>
        <w:t xml:space="preserve">uestion then, </w:t>
      </w:r>
      <w:r w:rsidR="00DF7BF0" w:rsidRPr="002D3A2A">
        <w:rPr>
          <w:rFonts w:ascii="Times New Roman" w:hAnsi="Times New Roman" w:cs="Times New Roman"/>
          <w:sz w:val="28"/>
          <w:szCs w:val="28"/>
        </w:rPr>
        <w:t>simply</w:t>
      </w:r>
      <w:r w:rsidRPr="002D3A2A">
        <w:rPr>
          <w:rFonts w:ascii="Times New Roman" w:hAnsi="Times New Roman" w:cs="Times New Roman"/>
          <w:sz w:val="28"/>
          <w:szCs w:val="28"/>
        </w:rPr>
        <w:t xml:space="preserve"> put</w:t>
      </w:r>
      <w:r w:rsidR="00DF7BF0" w:rsidRPr="002D3A2A">
        <w:rPr>
          <w:rFonts w:ascii="Times New Roman" w:hAnsi="Times New Roman" w:cs="Times New Roman"/>
          <w:sz w:val="28"/>
          <w:szCs w:val="28"/>
        </w:rPr>
        <w:t xml:space="preserve">, </w:t>
      </w:r>
      <w:r w:rsidR="009B625C" w:rsidRPr="002D3A2A">
        <w:rPr>
          <w:rFonts w:ascii="Times New Roman" w:hAnsi="Times New Roman" w:cs="Times New Roman"/>
          <w:sz w:val="28"/>
          <w:szCs w:val="28"/>
        </w:rPr>
        <w:t>is whether</w:t>
      </w:r>
      <w:r w:rsidR="00D16827" w:rsidRPr="002D3A2A">
        <w:rPr>
          <w:rFonts w:ascii="Times New Roman" w:hAnsi="Times New Roman" w:cs="Times New Roman"/>
          <w:sz w:val="28"/>
          <w:szCs w:val="28"/>
        </w:rPr>
        <w:t xml:space="preserve"> the impugned decision is justified</w:t>
      </w:r>
      <w:r w:rsidR="00FD1049" w:rsidRPr="002D3A2A">
        <w:rPr>
          <w:rFonts w:ascii="Times New Roman" w:hAnsi="Times New Roman" w:cs="Times New Roman"/>
          <w:sz w:val="28"/>
          <w:szCs w:val="28"/>
        </w:rPr>
        <w:t>, having regard to the purpose of s 88(1)</w:t>
      </w:r>
      <w:r w:rsidR="00FD1049" w:rsidRPr="002D3A2A">
        <w:rPr>
          <w:rFonts w:ascii="Times New Roman" w:hAnsi="Times New Roman" w:cs="Times New Roman"/>
          <w:i/>
          <w:sz w:val="28"/>
          <w:szCs w:val="28"/>
        </w:rPr>
        <w:t>(c)</w:t>
      </w:r>
      <w:r w:rsidR="00FD1049" w:rsidRPr="002D3A2A">
        <w:rPr>
          <w:rFonts w:ascii="Times New Roman" w:hAnsi="Times New Roman" w:cs="Times New Roman"/>
          <w:sz w:val="28"/>
          <w:szCs w:val="28"/>
        </w:rPr>
        <w:t xml:space="preserve"> of the A</w:t>
      </w:r>
      <w:r w:rsidR="00FB5A5F" w:rsidRPr="002D3A2A">
        <w:rPr>
          <w:rFonts w:ascii="Times New Roman" w:hAnsi="Times New Roman" w:cs="Times New Roman"/>
          <w:sz w:val="28"/>
          <w:szCs w:val="28"/>
        </w:rPr>
        <w:t>ct</w:t>
      </w:r>
      <w:r w:rsidR="00CB1CA4" w:rsidRPr="002D3A2A">
        <w:rPr>
          <w:rFonts w:ascii="Times New Roman" w:hAnsi="Times New Roman" w:cs="Times New Roman"/>
          <w:sz w:val="28"/>
          <w:szCs w:val="28"/>
        </w:rPr>
        <w:t xml:space="preserve">, </w:t>
      </w:r>
      <w:r w:rsidR="00FD1049" w:rsidRPr="002D3A2A">
        <w:rPr>
          <w:rFonts w:ascii="Times New Roman" w:hAnsi="Times New Roman" w:cs="Times New Roman"/>
          <w:sz w:val="28"/>
          <w:szCs w:val="28"/>
        </w:rPr>
        <w:t xml:space="preserve">the </w:t>
      </w:r>
      <w:r w:rsidR="00DF7BF0" w:rsidRPr="002D3A2A">
        <w:rPr>
          <w:rFonts w:ascii="Times New Roman" w:hAnsi="Times New Roman" w:cs="Times New Roman"/>
          <w:sz w:val="28"/>
          <w:szCs w:val="28"/>
        </w:rPr>
        <w:t>information before the Commissioner</w:t>
      </w:r>
      <w:r w:rsidR="00CB1CA4" w:rsidRPr="002D3A2A">
        <w:rPr>
          <w:rFonts w:ascii="Times New Roman" w:hAnsi="Times New Roman" w:cs="Times New Roman"/>
          <w:sz w:val="28"/>
          <w:szCs w:val="28"/>
        </w:rPr>
        <w:t xml:space="preserve"> and the reasons given</w:t>
      </w:r>
      <w:r w:rsidR="008F0DA8" w:rsidRPr="002D3A2A">
        <w:rPr>
          <w:rFonts w:ascii="Times New Roman" w:hAnsi="Times New Roman" w:cs="Times New Roman"/>
          <w:sz w:val="28"/>
          <w:szCs w:val="28"/>
        </w:rPr>
        <w:t xml:space="preserve"> for it.</w:t>
      </w:r>
      <w:r w:rsidR="00090D90" w:rsidRPr="002D3A2A">
        <w:rPr>
          <w:rStyle w:val="FootnoteReference"/>
          <w:rFonts w:ascii="Times New Roman" w:hAnsi="Times New Roman" w:cs="Times New Roman"/>
          <w:sz w:val="28"/>
          <w:szCs w:val="28"/>
        </w:rPr>
        <w:footnoteReference w:id="19"/>
      </w:r>
      <w:r w:rsidR="00DF7BF0" w:rsidRPr="002D3A2A">
        <w:rPr>
          <w:rFonts w:ascii="Times New Roman" w:hAnsi="Times New Roman" w:cs="Times New Roman"/>
          <w:sz w:val="28"/>
          <w:szCs w:val="28"/>
        </w:rPr>
        <w:t xml:space="preserve"> </w:t>
      </w:r>
    </w:p>
    <w:p w14:paraId="2423C01D" w14:textId="77777777" w:rsidR="000477E8" w:rsidRPr="002D3A2A" w:rsidRDefault="000477E8" w:rsidP="000477E8">
      <w:pPr>
        <w:pStyle w:val="ListParagraph"/>
        <w:spacing w:after="0" w:line="360" w:lineRule="auto"/>
        <w:ind w:left="0"/>
        <w:jc w:val="both"/>
        <w:rPr>
          <w:rFonts w:ascii="Times New Roman" w:hAnsi="Times New Roman" w:cs="Times New Roman"/>
          <w:sz w:val="28"/>
          <w:szCs w:val="28"/>
        </w:rPr>
      </w:pPr>
    </w:p>
    <w:p w14:paraId="393B795B" w14:textId="77777777" w:rsidR="00880270" w:rsidRPr="002D3A2A" w:rsidRDefault="0037485C" w:rsidP="00F94E6B">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T</w:t>
      </w:r>
      <w:r w:rsidR="009108CF" w:rsidRPr="002D3A2A">
        <w:rPr>
          <w:rFonts w:ascii="Times New Roman" w:hAnsi="Times New Roman" w:cs="Times New Roman"/>
          <w:sz w:val="28"/>
          <w:szCs w:val="28"/>
        </w:rPr>
        <w:t xml:space="preserve">he </w:t>
      </w:r>
      <w:r w:rsidR="006C76BA" w:rsidRPr="002D3A2A">
        <w:rPr>
          <w:rFonts w:ascii="Times New Roman" w:hAnsi="Times New Roman" w:cs="Times New Roman"/>
          <w:sz w:val="28"/>
          <w:szCs w:val="28"/>
        </w:rPr>
        <w:t xml:space="preserve">impugned decision was taken because the </w:t>
      </w:r>
      <w:r w:rsidR="009108CF" w:rsidRPr="002D3A2A">
        <w:rPr>
          <w:rFonts w:ascii="Times New Roman" w:hAnsi="Times New Roman" w:cs="Times New Roman"/>
          <w:sz w:val="28"/>
          <w:szCs w:val="28"/>
        </w:rPr>
        <w:t>agreements submitted by the respondents and consequently, the transaction values of the goods</w:t>
      </w:r>
      <w:r w:rsidR="00041E06" w:rsidRPr="002D3A2A">
        <w:rPr>
          <w:rFonts w:ascii="Times New Roman" w:hAnsi="Times New Roman" w:cs="Times New Roman"/>
          <w:sz w:val="28"/>
          <w:szCs w:val="28"/>
        </w:rPr>
        <w:t xml:space="preserve"> declared, </w:t>
      </w:r>
      <w:r w:rsidR="00233D2B" w:rsidRPr="002D3A2A">
        <w:rPr>
          <w:rFonts w:ascii="Times New Roman" w:hAnsi="Times New Roman" w:cs="Times New Roman"/>
          <w:sz w:val="28"/>
          <w:szCs w:val="28"/>
        </w:rPr>
        <w:t>a</w:t>
      </w:r>
      <w:r w:rsidR="009108CF" w:rsidRPr="002D3A2A">
        <w:rPr>
          <w:rFonts w:ascii="Times New Roman" w:hAnsi="Times New Roman" w:cs="Times New Roman"/>
          <w:sz w:val="28"/>
          <w:szCs w:val="28"/>
        </w:rPr>
        <w:t>re false</w:t>
      </w:r>
      <w:r w:rsidR="00233D2B" w:rsidRPr="002D3A2A">
        <w:rPr>
          <w:rFonts w:ascii="Times New Roman" w:hAnsi="Times New Roman" w:cs="Times New Roman"/>
          <w:sz w:val="28"/>
          <w:szCs w:val="28"/>
        </w:rPr>
        <w:t>.</w:t>
      </w:r>
      <w:r w:rsidR="000E0DED" w:rsidRPr="002D3A2A">
        <w:rPr>
          <w:rFonts w:ascii="Times New Roman" w:hAnsi="Times New Roman" w:cs="Times New Roman"/>
          <w:sz w:val="28"/>
          <w:szCs w:val="28"/>
        </w:rPr>
        <w:t xml:space="preserve"> In the result, the respondents failed to comply with ss </w:t>
      </w:r>
      <w:r w:rsidR="00E13932" w:rsidRPr="002D3A2A">
        <w:rPr>
          <w:rFonts w:ascii="Times New Roman" w:hAnsi="Times New Roman" w:cs="Times New Roman"/>
          <w:sz w:val="28"/>
          <w:szCs w:val="28"/>
        </w:rPr>
        <w:t xml:space="preserve">38(1), 39(1), 40(1) and (2) read with ss 65(1) and 66 of the Act. This conduct also constitutes an offence in terms of s 84 of the Act. It provides that any person who makes a false statement in connection with any matter dealt with in the Act, or makes use of a declaration or document containing any such statement </w:t>
      </w:r>
      <w:r w:rsidR="00880270" w:rsidRPr="002D3A2A">
        <w:rPr>
          <w:rFonts w:ascii="Times New Roman" w:hAnsi="Times New Roman" w:cs="Times New Roman"/>
          <w:sz w:val="28"/>
          <w:szCs w:val="28"/>
        </w:rPr>
        <w:t>for the purposes of the Act, s</w:t>
      </w:r>
      <w:r w:rsidR="00E13932" w:rsidRPr="002D3A2A">
        <w:rPr>
          <w:rFonts w:ascii="Times New Roman" w:hAnsi="Times New Roman" w:cs="Times New Roman"/>
          <w:sz w:val="28"/>
          <w:szCs w:val="28"/>
        </w:rPr>
        <w:t>hall be guilty of an offence</w:t>
      </w:r>
      <w:r w:rsidR="00880270" w:rsidRPr="002D3A2A">
        <w:rPr>
          <w:rFonts w:ascii="Times New Roman" w:hAnsi="Times New Roman" w:cs="Times New Roman"/>
          <w:sz w:val="28"/>
          <w:szCs w:val="28"/>
        </w:rPr>
        <w:t>.</w:t>
      </w:r>
      <w:r w:rsidR="00880270" w:rsidRPr="002D3A2A">
        <w:rPr>
          <w:rStyle w:val="FootnoteReference"/>
          <w:rFonts w:ascii="Times New Roman" w:hAnsi="Times New Roman" w:cs="Times New Roman"/>
          <w:sz w:val="28"/>
          <w:szCs w:val="28"/>
        </w:rPr>
        <w:footnoteReference w:id="20"/>
      </w:r>
    </w:p>
    <w:p w14:paraId="0137967D" w14:textId="77777777" w:rsidR="0037485C" w:rsidRPr="002D3A2A" w:rsidRDefault="00FB5A5F" w:rsidP="00F94E6B">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lastRenderedPageBreak/>
        <w:t>As to the purpose of the empowering provision, s</w:t>
      </w:r>
      <w:r w:rsidR="00233D2B" w:rsidRPr="002D3A2A">
        <w:rPr>
          <w:rFonts w:ascii="Times New Roman" w:hAnsi="Times New Roman" w:cs="Times New Roman"/>
          <w:sz w:val="28"/>
          <w:szCs w:val="28"/>
        </w:rPr>
        <w:t xml:space="preserve"> 65(1) </w:t>
      </w:r>
      <w:r w:rsidR="00493B0C" w:rsidRPr="002D3A2A">
        <w:rPr>
          <w:rFonts w:ascii="Times New Roman" w:hAnsi="Times New Roman" w:cs="Times New Roman"/>
          <w:sz w:val="28"/>
          <w:szCs w:val="28"/>
        </w:rPr>
        <w:t>of the</w:t>
      </w:r>
      <w:r w:rsidR="004C5247" w:rsidRPr="002D3A2A">
        <w:rPr>
          <w:rFonts w:ascii="Times New Roman" w:hAnsi="Times New Roman" w:cs="Times New Roman"/>
          <w:sz w:val="28"/>
          <w:szCs w:val="28"/>
        </w:rPr>
        <w:t xml:space="preserve"> </w:t>
      </w:r>
      <w:r w:rsidR="00493B0C" w:rsidRPr="002D3A2A">
        <w:rPr>
          <w:rFonts w:ascii="Times New Roman" w:hAnsi="Times New Roman" w:cs="Times New Roman"/>
          <w:sz w:val="28"/>
          <w:szCs w:val="28"/>
        </w:rPr>
        <w:t>A</w:t>
      </w:r>
      <w:r w:rsidR="00233D2B" w:rsidRPr="002D3A2A">
        <w:rPr>
          <w:rFonts w:ascii="Times New Roman" w:hAnsi="Times New Roman" w:cs="Times New Roman"/>
          <w:sz w:val="28"/>
          <w:szCs w:val="28"/>
        </w:rPr>
        <w:t xml:space="preserve">ct states that ‘the value for customs duty purposes of any imported goods shall, at the time of entry for home consumption, </w:t>
      </w:r>
      <w:r w:rsidR="0037485C" w:rsidRPr="002D3A2A">
        <w:rPr>
          <w:rFonts w:ascii="Times New Roman" w:hAnsi="Times New Roman" w:cs="Times New Roman"/>
          <w:sz w:val="28"/>
          <w:szCs w:val="28"/>
        </w:rPr>
        <w:t xml:space="preserve">be the transaction value thereof, within the meaning of section 66’. Section 66(1) provides that ‘the transaction value of any imported goods shall be the price actually paid or payable for the goods when sold for export to the Republic’. </w:t>
      </w:r>
    </w:p>
    <w:p w14:paraId="4C94F4AE" w14:textId="77777777" w:rsidR="0037485C" w:rsidRPr="002D3A2A" w:rsidRDefault="0037485C" w:rsidP="0037485C">
      <w:pPr>
        <w:pStyle w:val="ListParagraph"/>
        <w:spacing w:after="0" w:line="360" w:lineRule="auto"/>
        <w:ind w:left="0"/>
        <w:jc w:val="both"/>
        <w:rPr>
          <w:rFonts w:ascii="Times New Roman" w:hAnsi="Times New Roman" w:cs="Times New Roman"/>
          <w:sz w:val="28"/>
          <w:szCs w:val="28"/>
        </w:rPr>
      </w:pPr>
    </w:p>
    <w:p w14:paraId="097B84B1" w14:textId="77777777" w:rsidR="00E15AD3" w:rsidRPr="002D3A2A" w:rsidRDefault="00E15AD3" w:rsidP="008909EA">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Section 74A(1) of the Act provides that the interpretation of ss 65, 66 and 67 of the Act shall be subject to the Agreement on Implementation of Article VII of the General Agreement on Tariffs and Trade (the Customs Valuation Agreement), the interpretive notes thereto, the advisory opinions, commentaries and explanatory notes, case studies and studies issued under the Customs Valuation Agreement.</w:t>
      </w:r>
    </w:p>
    <w:p w14:paraId="629E3232" w14:textId="77777777" w:rsidR="00E15AD3" w:rsidRPr="002D3A2A" w:rsidRDefault="00E15AD3" w:rsidP="00E15AD3">
      <w:pPr>
        <w:pStyle w:val="ListParagraph"/>
        <w:spacing w:after="0" w:line="360" w:lineRule="auto"/>
        <w:ind w:left="0"/>
        <w:jc w:val="both"/>
        <w:rPr>
          <w:rFonts w:ascii="Times New Roman" w:hAnsi="Times New Roman" w:cs="Times New Roman"/>
          <w:sz w:val="28"/>
          <w:szCs w:val="28"/>
        </w:rPr>
      </w:pPr>
    </w:p>
    <w:p w14:paraId="69F89555" w14:textId="267DF462" w:rsidR="00E15AD3" w:rsidRPr="002D3A2A" w:rsidRDefault="004A7624" w:rsidP="008909EA">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Generally, the actual price paid or payable for imported goods should be reflected on the invoice</w:t>
      </w:r>
      <w:r w:rsidR="00FB5A5F" w:rsidRPr="002D3A2A">
        <w:rPr>
          <w:rFonts w:ascii="Times New Roman" w:hAnsi="Times New Roman" w:cs="Times New Roman"/>
          <w:sz w:val="28"/>
          <w:szCs w:val="28"/>
        </w:rPr>
        <w:t xml:space="preserve">s </w:t>
      </w:r>
      <w:r w:rsidRPr="002D3A2A">
        <w:rPr>
          <w:rFonts w:ascii="Times New Roman" w:hAnsi="Times New Roman" w:cs="Times New Roman"/>
          <w:sz w:val="28"/>
          <w:szCs w:val="28"/>
        </w:rPr>
        <w:t>issued</w:t>
      </w:r>
      <w:r w:rsidR="00FB5A5F" w:rsidRPr="002D3A2A">
        <w:rPr>
          <w:rFonts w:ascii="Times New Roman" w:hAnsi="Times New Roman" w:cs="Times New Roman"/>
          <w:sz w:val="28"/>
          <w:szCs w:val="28"/>
        </w:rPr>
        <w:t xml:space="preserve">, which </w:t>
      </w:r>
      <w:r w:rsidRPr="002D3A2A">
        <w:rPr>
          <w:rFonts w:ascii="Times New Roman" w:hAnsi="Times New Roman" w:cs="Times New Roman"/>
          <w:sz w:val="28"/>
          <w:szCs w:val="28"/>
        </w:rPr>
        <w:t xml:space="preserve">are held by the importers. Thus, the transaction value method is largely dependent on the information that importers </w:t>
      </w:r>
      <w:r w:rsidR="00F17DE1" w:rsidRPr="002D3A2A">
        <w:rPr>
          <w:rFonts w:ascii="Times New Roman" w:hAnsi="Times New Roman" w:cs="Times New Roman"/>
          <w:sz w:val="28"/>
          <w:szCs w:val="28"/>
        </w:rPr>
        <w:t xml:space="preserve">provide. However, importers have an obvious commercial incentive to manipulate </w:t>
      </w:r>
      <w:r w:rsidR="008148FB" w:rsidRPr="002D3A2A">
        <w:rPr>
          <w:rFonts w:ascii="Times New Roman" w:hAnsi="Times New Roman" w:cs="Times New Roman"/>
          <w:sz w:val="28"/>
          <w:szCs w:val="28"/>
        </w:rPr>
        <w:t xml:space="preserve">the </w:t>
      </w:r>
      <w:r w:rsidR="00F17DE1" w:rsidRPr="002D3A2A">
        <w:rPr>
          <w:rFonts w:ascii="Times New Roman" w:hAnsi="Times New Roman" w:cs="Times New Roman"/>
          <w:sz w:val="28"/>
          <w:szCs w:val="28"/>
        </w:rPr>
        <w:t xml:space="preserve">transaction value. The </w:t>
      </w:r>
      <w:r w:rsidRPr="002D3A2A">
        <w:rPr>
          <w:rFonts w:ascii="Times New Roman" w:hAnsi="Times New Roman" w:cs="Times New Roman"/>
          <w:sz w:val="28"/>
          <w:szCs w:val="28"/>
        </w:rPr>
        <w:t xml:space="preserve">possibility of customs fraud is </w:t>
      </w:r>
      <w:r w:rsidR="00F17DE1" w:rsidRPr="002D3A2A">
        <w:rPr>
          <w:rFonts w:ascii="Times New Roman" w:hAnsi="Times New Roman" w:cs="Times New Roman"/>
          <w:sz w:val="28"/>
          <w:szCs w:val="28"/>
        </w:rPr>
        <w:t xml:space="preserve">therefore </w:t>
      </w:r>
      <w:r w:rsidRPr="002D3A2A">
        <w:rPr>
          <w:rFonts w:ascii="Times New Roman" w:hAnsi="Times New Roman" w:cs="Times New Roman"/>
          <w:sz w:val="28"/>
          <w:szCs w:val="28"/>
        </w:rPr>
        <w:t xml:space="preserve">an inherent risk in </w:t>
      </w:r>
      <w:r w:rsidR="00CF0E0F" w:rsidRPr="002D3A2A">
        <w:rPr>
          <w:rFonts w:ascii="Times New Roman" w:hAnsi="Times New Roman" w:cs="Times New Roman"/>
          <w:sz w:val="28"/>
          <w:szCs w:val="28"/>
        </w:rPr>
        <w:t xml:space="preserve">a system of self-accounting and </w:t>
      </w:r>
      <w:r w:rsidR="00E15AD3" w:rsidRPr="002D3A2A">
        <w:rPr>
          <w:rFonts w:ascii="Times New Roman" w:hAnsi="Times New Roman" w:cs="Times New Roman"/>
          <w:sz w:val="28"/>
          <w:szCs w:val="28"/>
        </w:rPr>
        <w:t xml:space="preserve">self-assessment </w:t>
      </w:r>
      <w:r w:rsidR="00CF0E0F" w:rsidRPr="002D3A2A">
        <w:rPr>
          <w:rFonts w:ascii="Times New Roman" w:hAnsi="Times New Roman" w:cs="Times New Roman"/>
          <w:sz w:val="28"/>
          <w:szCs w:val="28"/>
        </w:rPr>
        <w:t>upon which the Act is based.</w:t>
      </w:r>
      <w:r w:rsidR="00E15AD3" w:rsidRPr="002D3A2A">
        <w:rPr>
          <w:rStyle w:val="FootnoteReference"/>
          <w:rFonts w:ascii="Times New Roman" w:hAnsi="Times New Roman" w:cs="Times New Roman"/>
          <w:sz w:val="28"/>
          <w:szCs w:val="28"/>
        </w:rPr>
        <w:footnoteReference w:id="21"/>
      </w:r>
      <w:r w:rsidR="00E15AD3" w:rsidRPr="002D3A2A">
        <w:rPr>
          <w:rFonts w:ascii="Times New Roman" w:hAnsi="Times New Roman" w:cs="Times New Roman"/>
          <w:sz w:val="28"/>
          <w:szCs w:val="28"/>
        </w:rPr>
        <w:t xml:space="preserve"> </w:t>
      </w:r>
    </w:p>
    <w:p w14:paraId="0085D0AC" w14:textId="77777777" w:rsidR="00E15AD3" w:rsidRPr="002D3A2A" w:rsidRDefault="00E15AD3" w:rsidP="00F17DE1">
      <w:pPr>
        <w:pStyle w:val="ListParagraph"/>
        <w:spacing w:after="0" w:line="360" w:lineRule="auto"/>
        <w:ind w:left="0"/>
        <w:jc w:val="both"/>
        <w:rPr>
          <w:rFonts w:ascii="Times New Roman" w:hAnsi="Times New Roman" w:cs="Times New Roman"/>
          <w:sz w:val="28"/>
          <w:szCs w:val="28"/>
        </w:rPr>
      </w:pPr>
    </w:p>
    <w:p w14:paraId="28A31474" w14:textId="77777777" w:rsidR="006156D6" w:rsidRPr="002D3A2A" w:rsidRDefault="00CB1CA4" w:rsidP="008909EA">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Article 17 of the Customs Valuation A</w:t>
      </w:r>
      <w:r w:rsidR="00F17DE1" w:rsidRPr="002D3A2A">
        <w:rPr>
          <w:rFonts w:ascii="Times New Roman" w:hAnsi="Times New Roman" w:cs="Times New Roman"/>
          <w:sz w:val="28"/>
          <w:szCs w:val="28"/>
        </w:rPr>
        <w:t>greement is designed to address this risk. It provides that ‘[n]othing in this Agreement shall be construed as restricting or calling into question the right of customs administrations to satisfy themselves as to the truth or accuracy of any statement, document or declaration presented for customs valuation purposes</w:t>
      </w:r>
      <w:r w:rsidRPr="002D3A2A">
        <w:rPr>
          <w:rFonts w:ascii="Times New Roman" w:hAnsi="Times New Roman" w:cs="Times New Roman"/>
          <w:sz w:val="28"/>
          <w:szCs w:val="28"/>
        </w:rPr>
        <w:t>’</w:t>
      </w:r>
      <w:r w:rsidR="00F17DE1" w:rsidRPr="002D3A2A">
        <w:rPr>
          <w:rFonts w:ascii="Times New Roman" w:hAnsi="Times New Roman" w:cs="Times New Roman"/>
          <w:sz w:val="28"/>
          <w:szCs w:val="28"/>
        </w:rPr>
        <w:t>.</w:t>
      </w:r>
      <w:r w:rsidR="00041E06" w:rsidRPr="002D3A2A">
        <w:rPr>
          <w:rFonts w:ascii="Times New Roman" w:hAnsi="Times New Roman" w:cs="Times New Roman"/>
          <w:sz w:val="28"/>
          <w:szCs w:val="28"/>
        </w:rPr>
        <w:t xml:space="preserve"> </w:t>
      </w:r>
      <w:r w:rsidR="008016C3" w:rsidRPr="002D3A2A">
        <w:rPr>
          <w:rFonts w:ascii="Times New Roman" w:hAnsi="Times New Roman" w:cs="Times New Roman"/>
          <w:sz w:val="28"/>
          <w:szCs w:val="28"/>
        </w:rPr>
        <w:t xml:space="preserve">It is precisely this right that SARS has exercised </w:t>
      </w:r>
      <w:r w:rsidR="00041E06" w:rsidRPr="002D3A2A">
        <w:rPr>
          <w:rFonts w:ascii="Times New Roman" w:hAnsi="Times New Roman" w:cs="Times New Roman"/>
          <w:sz w:val="28"/>
          <w:szCs w:val="28"/>
        </w:rPr>
        <w:lastRenderedPageBreak/>
        <w:t xml:space="preserve">in this case. There is nothing in the </w:t>
      </w:r>
      <w:r w:rsidR="002C6FB0" w:rsidRPr="002D3A2A">
        <w:rPr>
          <w:rFonts w:ascii="Times New Roman" w:hAnsi="Times New Roman" w:cs="Times New Roman"/>
          <w:sz w:val="28"/>
          <w:szCs w:val="28"/>
        </w:rPr>
        <w:t xml:space="preserve">Act or the </w:t>
      </w:r>
      <w:r w:rsidR="00041E06" w:rsidRPr="002D3A2A">
        <w:rPr>
          <w:rFonts w:ascii="Times New Roman" w:hAnsi="Times New Roman" w:cs="Times New Roman"/>
          <w:sz w:val="28"/>
          <w:szCs w:val="28"/>
        </w:rPr>
        <w:t>Customs Valuation A</w:t>
      </w:r>
      <w:r w:rsidR="00BD30F5" w:rsidRPr="002D3A2A">
        <w:rPr>
          <w:rFonts w:ascii="Times New Roman" w:hAnsi="Times New Roman" w:cs="Times New Roman"/>
          <w:sz w:val="28"/>
          <w:szCs w:val="28"/>
        </w:rPr>
        <w:t xml:space="preserve">greement that precludes SARS from taking robust enforcement measures against customs fraud. </w:t>
      </w:r>
    </w:p>
    <w:p w14:paraId="135461F0" w14:textId="77777777" w:rsidR="00AD12B7" w:rsidRPr="002D3A2A" w:rsidRDefault="00AD12B7" w:rsidP="00041E06">
      <w:pPr>
        <w:pStyle w:val="ListParagraph"/>
        <w:spacing w:after="0" w:line="360" w:lineRule="auto"/>
        <w:ind w:left="0"/>
        <w:jc w:val="both"/>
        <w:rPr>
          <w:rFonts w:ascii="Times New Roman" w:hAnsi="Times New Roman" w:cs="Times New Roman"/>
          <w:sz w:val="28"/>
          <w:szCs w:val="28"/>
        </w:rPr>
      </w:pPr>
    </w:p>
    <w:p w14:paraId="273DF138" w14:textId="0ED7D054" w:rsidR="009E27D9" w:rsidRPr="002D3A2A" w:rsidRDefault="007D3F46" w:rsidP="00EB2788">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That brings me to the reasons for the impugned decision. In sum</w:t>
      </w:r>
      <w:r w:rsidR="00573BD0" w:rsidRPr="002D3A2A">
        <w:rPr>
          <w:rFonts w:ascii="Times New Roman" w:hAnsi="Times New Roman" w:cs="Times New Roman"/>
          <w:sz w:val="28"/>
          <w:szCs w:val="28"/>
        </w:rPr>
        <w:t>mary</w:t>
      </w:r>
      <w:r w:rsidR="00A91BE9" w:rsidRPr="002D3A2A">
        <w:rPr>
          <w:rFonts w:ascii="Times New Roman" w:hAnsi="Times New Roman" w:cs="Times New Roman"/>
          <w:sz w:val="28"/>
          <w:szCs w:val="28"/>
        </w:rPr>
        <w:t>, they are the following</w:t>
      </w:r>
      <w:r w:rsidRPr="002D3A2A">
        <w:rPr>
          <w:rFonts w:ascii="Times New Roman" w:hAnsi="Times New Roman" w:cs="Times New Roman"/>
          <w:sz w:val="28"/>
          <w:szCs w:val="28"/>
        </w:rPr>
        <w:t xml:space="preserve">. </w:t>
      </w:r>
      <w:r w:rsidR="004D092B" w:rsidRPr="002D3A2A">
        <w:rPr>
          <w:rFonts w:ascii="Times New Roman" w:hAnsi="Times New Roman" w:cs="Times New Roman"/>
          <w:sz w:val="28"/>
          <w:szCs w:val="28"/>
        </w:rPr>
        <w:t>There was no credible explanation for the unbelievably low prices charged by the suppliers of the goods</w:t>
      </w:r>
      <w:r w:rsidR="00A223B2" w:rsidRPr="002D3A2A">
        <w:rPr>
          <w:rFonts w:ascii="Times New Roman" w:hAnsi="Times New Roman" w:cs="Times New Roman"/>
          <w:sz w:val="28"/>
          <w:szCs w:val="28"/>
        </w:rPr>
        <w:t xml:space="preserve">. </w:t>
      </w:r>
      <w:r w:rsidR="00277D7D" w:rsidRPr="002D3A2A">
        <w:rPr>
          <w:rFonts w:ascii="Times New Roman" w:hAnsi="Times New Roman" w:cs="Times New Roman"/>
          <w:sz w:val="28"/>
          <w:szCs w:val="28"/>
        </w:rPr>
        <w:t xml:space="preserve">The </w:t>
      </w:r>
      <w:r w:rsidR="009E09D5" w:rsidRPr="002D3A2A">
        <w:rPr>
          <w:rFonts w:ascii="Times New Roman" w:hAnsi="Times New Roman" w:cs="Times New Roman"/>
          <w:sz w:val="28"/>
          <w:szCs w:val="28"/>
        </w:rPr>
        <w:t>initial explanation</w:t>
      </w:r>
      <w:r w:rsidR="00C626B7" w:rsidRPr="002D3A2A">
        <w:rPr>
          <w:rFonts w:ascii="Times New Roman" w:hAnsi="Times New Roman" w:cs="Times New Roman"/>
          <w:sz w:val="28"/>
          <w:szCs w:val="28"/>
        </w:rPr>
        <w:t xml:space="preserve"> </w:t>
      </w:r>
      <w:r w:rsidR="003D3C69" w:rsidRPr="002D3A2A">
        <w:rPr>
          <w:rFonts w:ascii="Times New Roman" w:hAnsi="Times New Roman" w:cs="Times New Roman"/>
          <w:sz w:val="28"/>
          <w:szCs w:val="28"/>
        </w:rPr>
        <w:t>that an employee of the importers bought the goods at very low prices at various markets in China</w:t>
      </w:r>
      <w:r w:rsidR="00FC357C" w:rsidRPr="002D3A2A">
        <w:rPr>
          <w:rFonts w:ascii="Times New Roman" w:hAnsi="Times New Roman" w:cs="Times New Roman"/>
          <w:sz w:val="28"/>
          <w:szCs w:val="28"/>
        </w:rPr>
        <w:t xml:space="preserve"> is </w:t>
      </w:r>
      <w:r w:rsidR="00B22ECF" w:rsidRPr="002D3A2A">
        <w:rPr>
          <w:rFonts w:ascii="Times New Roman" w:hAnsi="Times New Roman" w:cs="Times New Roman"/>
          <w:sz w:val="28"/>
          <w:szCs w:val="28"/>
        </w:rPr>
        <w:t>false</w:t>
      </w:r>
      <w:r w:rsidR="00FB5A5F" w:rsidRPr="002D3A2A">
        <w:rPr>
          <w:rFonts w:ascii="Times New Roman" w:hAnsi="Times New Roman" w:cs="Times New Roman"/>
          <w:sz w:val="28"/>
          <w:szCs w:val="28"/>
        </w:rPr>
        <w:t xml:space="preserve">. So too, the importers’ </w:t>
      </w:r>
      <w:r w:rsidR="009E09D5" w:rsidRPr="002D3A2A">
        <w:rPr>
          <w:rFonts w:ascii="Times New Roman" w:hAnsi="Times New Roman" w:cs="Times New Roman"/>
          <w:sz w:val="28"/>
          <w:szCs w:val="28"/>
        </w:rPr>
        <w:t xml:space="preserve">assertions that the low prices </w:t>
      </w:r>
      <w:r w:rsidR="0003734A" w:rsidRPr="002D3A2A">
        <w:rPr>
          <w:rFonts w:ascii="Times New Roman" w:hAnsi="Times New Roman" w:cs="Times New Roman"/>
          <w:sz w:val="28"/>
          <w:szCs w:val="28"/>
        </w:rPr>
        <w:t>were obtained because they were able to e</w:t>
      </w:r>
      <w:r w:rsidR="009E09D5" w:rsidRPr="002D3A2A">
        <w:rPr>
          <w:rFonts w:ascii="Times New Roman" w:hAnsi="Times New Roman" w:cs="Times New Roman"/>
          <w:sz w:val="28"/>
          <w:szCs w:val="28"/>
        </w:rPr>
        <w:t>xploit the ‘trade war’ between the United States and China;</w:t>
      </w:r>
      <w:r w:rsidR="0003734A" w:rsidRPr="002D3A2A">
        <w:rPr>
          <w:rFonts w:ascii="Times New Roman" w:hAnsi="Times New Roman" w:cs="Times New Roman"/>
          <w:sz w:val="28"/>
          <w:szCs w:val="28"/>
        </w:rPr>
        <w:t xml:space="preserve"> </w:t>
      </w:r>
      <w:r w:rsidR="009E27D9" w:rsidRPr="002D3A2A">
        <w:rPr>
          <w:rFonts w:ascii="Times New Roman" w:hAnsi="Times New Roman" w:cs="Times New Roman"/>
          <w:sz w:val="28"/>
          <w:szCs w:val="28"/>
        </w:rPr>
        <w:t xml:space="preserve">that </w:t>
      </w:r>
      <w:r w:rsidR="00CF691C" w:rsidRPr="002D3A2A">
        <w:rPr>
          <w:rFonts w:ascii="Times New Roman" w:hAnsi="Times New Roman" w:cs="Times New Roman"/>
          <w:sz w:val="28"/>
          <w:szCs w:val="28"/>
        </w:rPr>
        <w:t xml:space="preserve">the goods comprised </w:t>
      </w:r>
      <w:r w:rsidR="0003734A" w:rsidRPr="002D3A2A">
        <w:rPr>
          <w:rFonts w:ascii="Times New Roman" w:hAnsi="Times New Roman" w:cs="Times New Roman"/>
          <w:sz w:val="28"/>
          <w:szCs w:val="28"/>
        </w:rPr>
        <w:t>old or ‘dead</w:t>
      </w:r>
      <w:r w:rsidR="00CF691C" w:rsidRPr="002D3A2A">
        <w:rPr>
          <w:rFonts w:ascii="Times New Roman" w:hAnsi="Times New Roman" w:cs="Times New Roman"/>
          <w:sz w:val="28"/>
          <w:szCs w:val="28"/>
        </w:rPr>
        <w:t>’</w:t>
      </w:r>
      <w:r w:rsidR="0003734A" w:rsidRPr="002D3A2A">
        <w:rPr>
          <w:rFonts w:ascii="Times New Roman" w:hAnsi="Times New Roman" w:cs="Times New Roman"/>
          <w:sz w:val="28"/>
          <w:szCs w:val="28"/>
        </w:rPr>
        <w:t xml:space="preserve"> stock, </w:t>
      </w:r>
      <w:r w:rsidR="009E27D9" w:rsidRPr="002D3A2A">
        <w:rPr>
          <w:rFonts w:ascii="Times New Roman" w:hAnsi="Times New Roman" w:cs="Times New Roman"/>
          <w:sz w:val="28"/>
          <w:szCs w:val="28"/>
        </w:rPr>
        <w:t xml:space="preserve">or clothing </w:t>
      </w:r>
      <w:r w:rsidR="0003734A" w:rsidRPr="002D3A2A">
        <w:rPr>
          <w:rFonts w:ascii="Times New Roman" w:hAnsi="Times New Roman" w:cs="Times New Roman"/>
          <w:sz w:val="28"/>
          <w:szCs w:val="28"/>
        </w:rPr>
        <w:t xml:space="preserve">not in demand in China; </w:t>
      </w:r>
      <w:r w:rsidR="009E27D9" w:rsidRPr="002D3A2A">
        <w:rPr>
          <w:rFonts w:ascii="Times New Roman" w:hAnsi="Times New Roman" w:cs="Times New Roman"/>
          <w:sz w:val="28"/>
          <w:szCs w:val="28"/>
        </w:rPr>
        <w:t xml:space="preserve">and that </w:t>
      </w:r>
      <w:r w:rsidR="00CB1CA4" w:rsidRPr="002D3A2A">
        <w:rPr>
          <w:rFonts w:ascii="Times New Roman" w:hAnsi="Times New Roman" w:cs="Times New Roman"/>
          <w:sz w:val="28"/>
          <w:szCs w:val="28"/>
        </w:rPr>
        <w:t xml:space="preserve">the goods could be </w:t>
      </w:r>
      <w:r w:rsidR="009E27D9" w:rsidRPr="002D3A2A">
        <w:rPr>
          <w:rFonts w:ascii="Times New Roman" w:hAnsi="Times New Roman" w:cs="Times New Roman"/>
          <w:sz w:val="28"/>
          <w:szCs w:val="28"/>
        </w:rPr>
        <w:t xml:space="preserve">purchased </w:t>
      </w:r>
      <w:r w:rsidR="009F5518" w:rsidRPr="002D3A2A">
        <w:rPr>
          <w:rFonts w:ascii="Times New Roman" w:hAnsi="Times New Roman" w:cs="Times New Roman"/>
          <w:sz w:val="28"/>
          <w:szCs w:val="28"/>
        </w:rPr>
        <w:t xml:space="preserve">at ridiculously low prices </w:t>
      </w:r>
      <w:r w:rsidR="009E27D9" w:rsidRPr="002D3A2A">
        <w:rPr>
          <w:rFonts w:ascii="Times New Roman" w:hAnsi="Times New Roman" w:cs="Times New Roman"/>
          <w:sz w:val="28"/>
          <w:szCs w:val="28"/>
        </w:rPr>
        <w:t>on the Alibaba website.</w:t>
      </w:r>
      <w:r w:rsidR="00EB2788" w:rsidRPr="002D3A2A">
        <w:rPr>
          <w:rFonts w:ascii="Times New Roman" w:hAnsi="Times New Roman" w:cs="Times New Roman"/>
          <w:sz w:val="28"/>
          <w:szCs w:val="28"/>
        </w:rPr>
        <w:t xml:space="preserve"> The evidence of the expert, Dr</w:t>
      </w:r>
      <w:r w:rsidR="002D1EE3" w:rsidRPr="002D3A2A">
        <w:rPr>
          <w:rFonts w:ascii="Times New Roman" w:hAnsi="Times New Roman" w:cs="Times New Roman"/>
          <w:sz w:val="28"/>
          <w:szCs w:val="28"/>
        </w:rPr>
        <w:t> </w:t>
      </w:r>
      <w:r w:rsidR="00EB2788" w:rsidRPr="002D3A2A">
        <w:rPr>
          <w:rFonts w:ascii="Times New Roman" w:hAnsi="Times New Roman" w:cs="Times New Roman"/>
          <w:sz w:val="28"/>
          <w:szCs w:val="28"/>
        </w:rPr>
        <w:t>Irkhede</w:t>
      </w:r>
      <w:r w:rsidR="005F298B" w:rsidRPr="002D3A2A">
        <w:rPr>
          <w:rFonts w:ascii="Times New Roman" w:hAnsi="Times New Roman" w:cs="Times New Roman"/>
          <w:sz w:val="28"/>
          <w:szCs w:val="28"/>
        </w:rPr>
        <w:t>, and that of SAAA and ATASA</w:t>
      </w:r>
      <w:r w:rsidR="006431B8" w:rsidRPr="002D3A2A">
        <w:rPr>
          <w:rFonts w:ascii="Times New Roman" w:hAnsi="Times New Roman" w:cs="Times New Roman"/>
          <w:sz w:val="28"/>
          <w:szCs w:val="28"/>
        </w:rPr>
        <w:t>,</w:t>
      </w:r>
      <w:r w:rsidR="005F298B" w:rsidRPr="002D3A2A">
        <w:rPr>
          <w:rFonts w:ascii="Times New Roman" w:hAnsi="Times New Roman" w:cs="Times New Roman"/>
          <w:sz w:val="28"/>
          <w:szCs w:val="28"/>
        </w:rPr>
        <w:t xml:space="preserve"> mak</w:t>
      </w:r>
      <w:r w:rsidR="00EB2788" w:rsidRPr="002D3A2A">
        <w:rPr>
          <w:rFonts w:ascii="Times New Roman" w:hAnsi="Times New Roman" w:cs="Times New Roman"/>
          <w:sz w:val="28"/>
          <w:szCs w:val="28"/>
        </w:rPr>
        <w:t>e</w:t>
      </w:r>
      <w:r w:rsidR="006431B8" w:rsidRPr="002D3A2A">
        <w:rPr>
          <w:rFonts w:ascii="Times New Roman" w:hAnsi="Times New Roman" w:cs="Times New Roman"/>
          <w:sz w:val="28"/>
          <w:szCs w:val="28"/>
        </w:rPr>
        <w:t>s</w:t>
      </w:r>
      <w:r w:rsidR="00EB2788" w:rsidRPr="002D3A2A">
        <w:rPr>
          <w:rFonts w:ascii="Times New Roman" w:hAnsi="Times New Roman" w:cs="Times New Roman"/>
          <w:sz w:val="28"/>
          <w:szCs w:val="28"/>
        </w:rPr>
        <w:t xml:space="preserve"> it clear that the prices declared by the importers were unrealistic and unattainable.</w:t>
      </w:r>
    </w:p>
    <w:p w14:paraId="0E5BB5F2" w14:textId="77777777" w:rsidR="009E27D9" w:rsidRPr="002D3A2A" w:rsidRDefault="009E27D9" w:rsidP="009E27D9">
      <w:pPr>
        <w:pStyle w:val="ListParagraph"/>
        <w:spacing w:after="0" w:line="360" w:lineRule="auto"/>
        <w:ind w:left="0"/>
        <w:jc w:val="both"/>
        <w:rPr>
          <w:rFonts w:ascii="Times New Roman" w:hAnsi="Times New Roman" w:cs="Times New Roman"/>
          <w:sz w:val="28"/>
          <w:szCs w:val="28"/>
        </w:rPr>
      </w:pPr>
    </w:p>
    <w:p w14:paraId="6F5FB068" w14:textId="77777777" w:rsidR="00CA1060" w:rsidRPr="002D3A2A" w:rsidRDefault="00A223B2" w:rsidP="009E27D9">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 goods were </w:t>
      </w:r>
      <w:r w:rsidR="00FC357C" w:rsidRPr="002D3A2A">
        <w:rPr>
          <w:rFonts w:ascii="Times New Roman" w:hAnsi="Times New Roman" w:cs="Times New Roman"/>
          <w:sz w:val="28"/>
          <w:szCs w:val="28"/>
        </w:rPr>
        <w:t xml:space="preserve">allegedly bought </w:t>
      </w:r>
      <w:r w:rsidRPr="002D3A2A">
        <w:rPr>
          <w:rFonts w:ascii="Times New Roman" w:hAnsi="Times New Roman" w:cs="Times New Roman"/>
          <w:sz w:val="28"/>
          <w:szCs w:val="28"/>
        </w:rPr>
        <w:t xml:space="preserve">from only three </w:t>
      </w:r>
      <w:r w:rsidR="0096558D" w:rsidRPr="002D3A2A">
        <w:rPr>
          <w:rFonts w:ascii="Times New Roman" w:hAnsi="Times New Roman" w:cs="Times New Roman"/>
          <w:sz w:val="28"/>
          <w:szCs w:val="28"/>
        </w:rPr>
        <w:t xml:space="preserve">separate </w:t>
      </w:r>
      <w:r w:rsidRPr="002D3A2A">
        <w:rPr>
          <w:rFonts w:ascii="Times New Roman" w:hAnsi="Times New Roman" w:cs="Times New Roman"/>
          <w:sz w:val="28"/>
          <w:szCs w:val="28"/>
        </w:rPr>
        <w:t xml:space="preserve">Chinese suppliers, which contradicted the </w:t>
      </w:r>
      <w:r w:rsidR="009E27D9" w:rsidRPr="002D3A2A">
        <w:rPr>
          <w:rFonts w:ascii="Times New Roman" w:hAnsi="Times New Roman" w:cs="Times New Roman"/>
          <w:sz w:val="28"/>
          <w:szCs w:val="28"/>
        </w:rPr>
        <w:t xml:space="preserve">importers’ initial explanation. </w:t>
      </w:r>
      <w:r w:rsidR="0096558D" w:rsidRPr="002D3A2A">
        <w:rPr>
          <w:rFonts w:ascii="Times New Roman" w:hAnsi="Times New Roman" w:cs="Times New Roman"/>
          <w:sz w:val="28"/>
          <w:szCs w:val="28"/>
        </w:rPr>
        <w:t>No explanation was furnished for the identical prices charged by the three suppliers.</w:t>
      </w:r>
      <w:r w:rsidR="009E27D9" w:rsidRPr="002D3A2A">
        <w:rPr>
          <w:rFonts w:ascii="Times New Roman" w:hAnsi="Times New Roman" w:cs="Times New Roman"/>
          <w:sz w:val="28"/>
          <w:szCs w:val="28"/>
        </w:rPr>
        <w:t xml:space="preserve"> </w:t>
      </w:r>
      <w:r w:rsidR="0096558D" w:rsidRPr="002D3A2A">
        <w:rPr>
          <w:rFonts w:ascii="Times New Roman" w:hAnsi="Times New Roman" w:cs="Times New Roman"/>
          <w:sz w:val="28"/>
          <w:szCs w:val="28"/>
        </w:rPr>
        <w:t>The</w:t>
      </w:r>
      <w:r w:rsidR="007F4E6A" w:rsidRPr="002D3A2A">
        <w:rPr>
          <w:rFonts w:ascii="Times New Roman" w:hAnsi="Times New Roman" w:cs="Times New Roman"/>
          <w:sz w:val="28"/>
          <w:szCs w:val="28"/>
        </w:rPr>
        <w:t xml:space="preserve"> importers’</w:t>
      </w:r>
      <w:r w:rsidR="0096558D" w:rsidRPr="002D3A2A">
        <w:rPr>
          <w:rFonts w:ascii="Times New Roman" w:hAnsi="Times New Roman" w:cs="Times New Roman"/>
          <w:sz w:val="28"/>
          <w:szCs w:val="28"/>
        </w:rPr>
        <w:t xml:space="preserve"> claim that the</w:t>
      </w:r>
      <w:r w:rsidR="007F4E6A" w:rsidRPr="002D3A2A">
        <w:rPr>
          <w:rFonts w:ascii="Times New Roman" w:hAnsi="Times New Roman" w:cs="Times New Roman"/>
          <w:sz w:val="28"/>
          <w:szCs w:val="28"/>
        </w:rPr>
        <w:t>y are not related in any way was</w:t>
      </w:r>
      <w:r w:rsidR="0096558D" w:rsidRPr="002D3A2A">
        <w:rPr>
          <w:rFonts w:ascii="Times New Roman" w:hAnsi="Times New Roman" w:cs="Times New Roman"/>
          <w:sz w:val="28"/>
          <w:szCs w:val="28"/>
        </w:rPr>
        <w:t xml:space="preserve"> not borne out by the evidence</w:t>
      </w:r>
      <w:r w:rsidR="00CA1060" w:rsidRPr="002D3A2A">
        <w:rPr>
          <w:rFonts w:ascii="Times New Roman" w:hAnsi="Times New Roman" w:cs="Times New Roman"/>
          <w:sz w:val="28"/>
          <w:szCs w:val="28"/>
        </w:rPr>
        <w:t>. Their modus operandi to source and buy clothing was the same. They obtained their stock from the same Chinese suppliers. The agreements allegedly concluded wi</w:t>
      </w:r>
      <w:r w:rsidR="007F4E6A" w:rsidRPr="002D3A2A">
        <w:rPr>
          <w:rFonts w:ascii="Times New Roman" w:hAnsi="Times New Roman" w:cs="Times New Roman"/>
          <w:sz w:val="28"/>
          <w:szCs w:val="28"/>
        </w:rPr>
        <w:t>th different Chinese suppliers a</w:t>
      </w:r>
      <w:r w:rsidR="00CA1060" w:rsidRPr="002D3A2A">
        <w:rPr>
          <w:rFonts w:ascii="Times New Roman" w:hAnsi="Times New Roman" w:cs="Times New Roman"/>
          <w:sz w:val="28"/>
          <w:szCs w:val="28"/>
        </w:rPr>
        <w:t xml:space="preserve">re identical. The declared prices of clothing are in the same price bracket. They used the same agents in China and the same clearing agent in </w:t>
      </w:r>
      <w:r w:rsidR="009F5518" w:rsidRPr="002D3A2A">
        <w:rPr>
          <w:rFonts w:ascii="Times New Roman" w:hAnsi="Times New Roman" w:cs="Times New Roman"/>
          <w:sz w:val="28"/>
          <w:szCs w:val="28"/>
        </w:rPr>
        <w:t xml:space="preserve">this country. </w:t>
      </w:r>
      <w:r w:rsidR="007F4E6A" w:rsidRPr="002D3A2A">
        <w:rPr>
          <w:rFonts w:ascii="Times New Roman" w:hAnsi="Times New Roman" w:cs="Times New Roman"/>
          <w:sz w:val="28"/>
          <w:szCs w:val="28"/>
        </w:rPr>
        <w:t>All of this cast</w:t>
      </w:r>
      <w:r w:rsidR="00CA1060" w:rsidRPr="002D3A2A">
        <w:rPr>
          <w:rFonts w:ascii="Times New Roman" w:hAnsi="Times New Roman" w:cs="Times New Roman"/>
          <w:sz w:val="28"/>
          <w:szCs w:val="28"/>
        </w:rPr>
        <w:t xml:space="preserve"> serious doubt on the declared prices of the goods.</w:t>
      </w:r>
    </w:p>
    <w:p w14:paraId="44FF83C6" w14:textId="77777777" w:rsidR="00B22ECF" w:rsidRPr="002D3A2A" w:rsidRDefault="00B22ECF" w:rsidP="00B22ECF">
      <w:pPr>
        <w:pStyle w:val="ListParagraph"/>
        <w:spacing w:after="0" w:line="360" w:lineRule="auto"/>
        <w:ind w:left="0"/>
        <w:jc w:val="both"/>
        <w:rPr>
          <w:rFonts w:ascii="Times New Roman" w:hAnsi="Times New Roman" w:cs="Times New Roman"/>
          <w:sz w:val="28"/>
          <w:szCs w:val="28"/>
        </w:rPr>
      </w:pPr>
    </w:p>
    <w:p w14:paraId="196F1A13" w14:textId="77777777" w:rsidR="00FC357C" w:rsidRPr="002D3A2A" w:rsidRDefault="00F17A59" w:rsidP="008238B8">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The format, font and terms of the agreements are identical.</w:t>
      </w:r>
      <w:r w:rsidR="008238B8" w:rsidRPr="002D3A2A">
        <w:rPr>
          <w:rFonts w:ascii="Times New Roman" w:hAnsi="Times New Roman" w:cs="Times New Roman"/>
          <w:sz w:val="28"/>
          <w:szCs w:val="28"/>
        </w:rPr>
        <w:t xml:space="preserve"> All the sale agreements record the payment terms as 90 days after receipt of the goods by </w:t>
      </w:r>
      <w:r w:rsidR="00FB5A5F" w:rsidRPr="002D3A2A">
        <w:rPr>
          <w:rFonts w:ascii="Times New Roman" w:hAnsi="Times New Roman" w:cs="Times New Roman"/>
          <w:sz w:val="28"/>
          <w:szCs w:val="28"/>
        </w:rPr>
        <w:t>the importer. This is illogical</w:t>
      </w:r>
      <w:r w:rsidR="008238B8" w:rsidRPr="002D3A2A">
        <w:rPr>
          <w:rFonts w:ascii="Times New Roman" w:hAnsi="Times New Roman" w:cs="Times New Roman"/>
          <w:sz w:val="28"/>
          <w:szCs w:val="28"/>
        </w:rPr>
        <w:t xml:space="preserve"> since no exporter would render payment subject to </w:t>
      </w:r>
      <w:r w:rsidR="008238B8" w:rsidRPr="002D3A2A">
        <w:rPr>
          <w:rFonts w:ascii="Times New Roman" w:hAnsi="Times New Roman" w:cs="Times New Roman"/>
          <w:sz w:val="28"/>
          <w:szCs w:val="28"/>
        </w:rPr>
        <w:lastRenderedPageBreak/>
        <w:t xml:space="preserve">conditions over which it had no control, in another country. </w:t>
      </w:r>
      <w:r w:rsidR="0055012D" w:rsidRPr="002D3A2A">
        <w:rPr>
          <w:rFonts w:ascii="Times New Roman" w:hAnsi="Times New Roman" w:cs="Times New Roman"/>
          <w:sz w:val="28"/>
          <w:szCs w:val="28"/>
        </w:rPr>
        <w:t>The respondents refused to provide information concerning the conclusion of the sale agreements: who signed them</w:t>
      </w:r>
      <w:r w:rsidR="007F4E6A" w:rsidRPr="002D3A2A">
        <w:rPr>
          <w:rFonts w:ascii="Times New Roman" w:hAnsi="Times New Roman" w:cs="Times New Roman"/>
          <w:sz w:val="28"/>
          <w:szCs w:val="28"/>
        </w:rPr>
        <w:t>, and when</w:t>
      </w:r>
      <w:r w:rsidR="0055012D" w:rsidRPr="002D3A2A">
        <w:rPr>
          <w:rFonts w:ascii="Times New Roman" w:hAnsi="Times New Roman" w:cs="Times New Roman"/>
          <w:sz w:val="28"/>
          <w:szCs w:val="28"/>
        </w:rPr>
        <w:t xml:space="preserve"> and where they were signed. When confronted with the expert</w:t>
      </w:r>
      <w:r w:rsidR="00A131F3" w:rsidRPr="002D3A2A">
        <w:rPr>
          <w:rFonts w:ascii="Times New Roman" w:hAnsi="Times New Roman" w:cs="Times New Roman"/>
          <w:sz w:val="28"/>
          <w:szCs w:val="28"/>
        </w:rPr>
        <w:t xml:space="preserve">’s </w:t>
      </w:r>
      <w:r w:rsidR="0055012D" w:rsidRPr="002D3A2A">
        <w:rPr>
          <w:rFonts w:ascii="Times New Roman" w:hAnsi="Times New Roman" w:cs="Times New Roman"/>
          <w:sz w:val="28"/>
          <w:szCs w:val="28"/>
        </w:rPr>
        <w:t xml:space="preserve">report </w:t>
      </w:r>
      <w:r w:rsidR="00A131F3" w:rsidRPr="002D3A2A">
        <w:rPr>
          <w:rFonts w:ascii="Times New Roman" w:hAnsi="Times New Roman" w:cs="Times New Roman"/>
          <w:sz w:val="28"/>
          <w:szCs w:val="28"/>
        </w:rPr>
        <w:t>on the agreements (</w:t>
      </w:r>
      <w:r w:rsidR="0055012D" w:rsidRPr="002D3A2A">
        <w:rPr>
          <w:rFonts w:ascii="Times New Roman" w:hAnsi="Times New Roman" w:cs="Times New Roman"/>
          <w:sz w:val="28"/>
          <w:szCs w:val="28"/>
        </w:rPr>
        <w:t>by Mr Bester</w:t>
      </w:r>
      <w:r w:rsidR="00A131F3" w:rsidRPr="002D3A2A">
        <w:rPr>
          <w:rFonts w:ascii="Times New Roman" w:hAnsi="Times New Roman" w:cs="Times New Roman"/>
          <w:sz w:val="28"/>
          <w:szCs w:val="28"/>
        </w:rPr>
        <w:t>)</w:t>
      </w:r>
      <w:r w:rsidR="0055012D" w:rsidRPr="002D3A2A">
        <w:rPr>
          <w:rFonts w:ascii="Times New Roman" w:hAnsi="Times New Roman" w:cs="Times New Roman"/>
          <w:sz w:val="28"/>
          <w:szCs w:val="28"/>
        </w:rPr>
        <w:t xml:space="preserve">, they said that the purchaser’s signature on the agreements was electronically </w:t>
      </w:r>
      <w:r w:rsidR="006E4C31" w:rsidRPr="002D3A2A">
        <w:rPr>
          <w:rFonts w:ascii="Times New Roman" w:hAnsi="Times New Roman" w:cs="Times New Roman"/>
          <w:sz w:val="28"/>
          <w:szCs w:val="28"/>
        </w:rPr>
        <w:t>e</w:t>
      </w:r>
      <w:r w:rsidR="0055012D" w:rsidRPr="002D3A2A">
        <w:rPr>
          <w:rFonts w:ascii="Times New Roman" w:hAnsi="Times New Roman" w:cs="Times New Roman"/>
          <w:sz w:val="28"/>
          <w:szCs w:val="28"/>
        </w:rPr>
        <w:t xml:space="preserve">ffected by Chinese agents who represented them ‘from time to time’. </w:t>
      </w:r>
      <w:r w:rsidR="00A16D02" w:rsidRPr="002D3A2A">
        <w:rPr>
          <w:rFonts w:ascii="Times New Roman" w:hAnsi="Times New Roman" w:cs="Times New Roman"/>
          <w:sz w:val="28"/>
          <w:szCs w:val="28"/>
        </w:rPr>
        <w:t xml:space="preserve">They never mentioned Chinese agents before. </w:t>
      </w:r>
      <w:r w:rsidR="00CC1746" w:rsidRPr="002D3A2A">
        <w:rPr>
          <w:rFonts w:ascii="Times New Roman" w:hAnsi="Times New Roman" w:cs="Times New Roman"/>
          <w:sz w:val="28"/>
          <w:szCs w:val="28"/>
        </w:rPr>
        <w:t>And i</w:t>
      </w:r>
      <w:r w:rsidR="0055012D" w:rsidRPr="002D3A2A">
        <w:rPr>
          <w:rFonts w:ascii="Times New Roman" w:hAnsi="Times New Roman" w:cs="Times New Roman"/>
          <w:sz w:val="28"/>
          <w:szCs w:val="28"/>
        </w:rPr>
        <w:t>f th</w:t>
      </w:r>
      <w:r w:rsidR="006E4C31" w:rsidRPr="002D3A2A">
        <w:rPr>
          <w:rFonts w:ascii="Times New Roman" w:hAnsi="Times New Roman" w:cs="Times New Roman"/>
          <w:sz w:val="28"/>
          <w:szCs w:val="28"/>
        </w:rPr>
        <w:t xml:space="preserve">e agreements were electronically concluded, </w:t>
      </w:r>
      <w:r w:rsidR="0055012D" w:rsidRPr="002D3A2A">
        <w:rPr>
          <w:rFonts w:ascii="Times New Roman" w:hAnsi="Times New Roman" w:cs="Times New Roman"/>
          <w:sz w:val="28"/>
          <w:szCs w:val="28"/>
        </w:rPr>
        <w:t xml:space="preserve">there was no reason </w:t>
      </w:r>
      <w:r w:rsidR="006E4C31" w:rsidRPr="002D3A2A">
        <w:rPr>
          <w:rFonts w:ascii="Times New Roman" w:hAnsi="Times New Roman" w:cs="Times New Roman"/>
          <w:sz w:val="28"/>
          <w:szCs w:val="28"/>
        </w:rPr>
        <w:t>why they could not have been concluded directly between the suppliers and the importers.</w:t>
      </w:r>
      <w:r w:rsidR="00A16D02" w:rsidRPr="002D3A2A">
        <w:rPr>
          <w:rFonts w:ascii="Times New Roman" w:hAnsi="Times New Roman" w:cs="Times New Roman"/>
          <w:sz w:val="28"/>
          <w:szCs w:val="28"/>
        </w:rPr>
        <w:t xml:space="preserve"> </w:t>
      </w:r>
      <w:r w:rsidR="00B22ECF" w:rsidRPr="002D3A2A">
        <w:rPr>
          <w:rFonts w:ascii="Times New Roman" w:hAnsi="Times New Roman" w:cs="Times New Roman"/>
          <w:sz w:val="28"/>
          <w:szCs w:val="28"/>
        </w:rPr>
        <w:t xml:space="preserve">The ineluctable inference is that the agreements were created by the importers to support the entries, </w:t>
      </w:r>
      <w:r w:rsidR="00FC357C" w:rsidRPr="002D3A2A">
        <w:rPr>
          <w:rFonts w:ascii="Times New Roman" w:hAnsi="Times New Roman" w:cs="Times New Roman"/>
          <w:sz w:val="28"/>
          <w:szCs w:val="28"/>
        </w:rPr>
        <w:t xml:space="preserve">and the explanation </w:t>
      </w:r>
      <w:r w:rsidR="00A16D02" w:rsidRPr="002D3A2A">
        <w:rPr>
          <w:rFonts w:ascii="Times New Roman" w:hAnsi="Times New Roman" w:cs="Times New Roman"/>
          <w:sz w:val="28"/>
          <w:szCs w:val="28"/>
        </w:rPr>
        <w:t>regarding the signatures</w:t>
      </w:r>
      <w:r w:rsidR="00FC357C" w:rsidRPr="002D3A2A">
        <w:rPr>
          <w:rFonts w:ascii="Times New Roman" w:hAnsi="Times New Roman" w:cs="Times New Roman"/>
          <w:sz w:val="28"/>
          <w:szCs w:val="28"/>
        </w:rPr>
        <w:t>, is</w:t>
      </w:r>
      <w:r w:rsidR="00A16D02" w:rsidRPr="002D3A2A">
        <w:rPr>
          <w:rFonts w:ascii="Times New Roman" w:hAnsi="Times New Roman" w:cs="Times New Roman"/>
          <w:sz w:val="28"/>
          <w:szCs w:val="28"/>
        </w:rPr>
        <w:t xml:space="preserve"> false.</w:t>
      </w:r>
    </w:p>
    <w:p w14:paraId="564807E5" w14:textId="77777777" w:rsidR="00FC357C" w:rsidRPr="002D3A2A" w:rsidRDefault="00FC357C" w:rsidP="00FC357C">
      <w:pPr>
        <w:pStyle w:val="ListParagraph"/>
        <w:spacing w:after="0" w:line="360" w:lineRule="auto"/>
        <w:ind w:left="0"/>
        <w:jc w:val="both"/>
        <w:rPr>
          <w:rFonts w:ascii="Times New Roman" w:hAnsi="Times New Roman" w:cs="Times New Roman"/>
          <w:sz w:val="28"/>
          <w:szCs w:val="28"/>
        </w:rPr>
      </w:pPr>
    </w:p>
    <w:p w14:paraId="320D682F" w14:textId="26EF9EB7" w:rsidR="00701E71" w:rsidRPr="002D3A2A" w:rsidRDefault="00F32443" w:rsidP="00FC357C">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There is no evidence to support the respondents’ claim that Chinese export agents inflated prices on commercial invoices</w:t>
      </w:r>
      <w:r w:rsidR="00BB77C1" w:rsidRPr="002D3A2A">
        <w:rPr>
          <w:rFonts w:ascii="Times New Roman" w:hAnsi="Times New Roman" w:cs="Times New Roman"/>
          <w:sz w:val="28"/>
          <w:szCs w:val="28"/>
        </w:rPr>
        <w:t>. The importers refused to identify the Chinese export agency which prepared and submitted the declarations to the Chinese customs authorities, or to furnish the export documentation given by the suppliers to the export agent</w:t>
      </w:r>
      <w:r w:rsidR="00A131F3" w:rsidRPr="002D3A2A">
        <w:rPr>
          <w:rFonts w:ascii="Times New Roman" w:hAnsi="Times New Roman" w:cs="Times New Roman"/>
          <w:sz w:val="28"/>
          <w:szCs w:val="28"/>
        </w:rPr>
        <w:t>s</w:t>
      </w:r>
      <w:r w:rsidR="00BB77C1" w:rsidRPr="002D3A2A">
        <w:rPr>
          <w:rFonts w:ascii="Times New Roman" w:hAnsi="Times New Roman" w:cs="Times New Roman"/>
          <w:sz w:val="28"/>
          <w:szCs w:val="28"/>
        </w:rPr>
        <w:t>.</w:t>
      </w:r>
      <w:r w:rsidR="00A131F3" w:rsidRPr="002D3A2A">
        <w:rPr>
          <w:rFonts w:ascii="Times New Roman" w:hAnsi="Times New Roman" w:cs="Times New Roman"/>
          <w:sz w:val="28"/>
          <w:szCs w:val="28"/>
        </w:rPr>
        <w:t xml:space="preserve"> The Chinese suppliers were prepared to assist the respondents, </w:t>
      </w:r>
      <w:r w:rsidR="0024630F" w:rsidRPr="002D3A2A">
        <w:rPr>
          <w:rFonts w:ascii="Times New Roman" w:hAnsi="Times New Roman" w:cs="Times New Roman"/>
          <w:sz w:val="28"/>
          <w:szCs w:val="28"/>
        </w:rPr>
        <w:t xml:space="preserve">who were in a position </w:t>
      </w:r>
      <w:r w:rsidR="00A131F3" w:rsidRPr="002D3A2A">
        <w:rPr>
          <w:rFonts w:ascii="Times New Roman" w:hAnsi="Times New Roman" w:cs="Times New Roman"/>
          <w:sz w:val="28"/>
          <w:szCs w:val="28"/>
        </w:rPr>
        <w:t xml:space="preserve">to provide objective evidence to support their assertion that the export declarations </w:t>
      </w:r>
      <w:r w:rsidR="009F5518" w:rsidRPr="002D3A2A">
        <w:rPr>
          <w:rFonts w:ascii="Times New Roman" w:hAnsi="Times New Roman" w:cs="Times New Roman"/>
          <w:sz w:val="28"/>
          <w:szCs w:val="28"/>
        </w:rPr>
        <w:t xml:space="preserve">concerning the first application, </w:t>
      </w:r>
      <w:r w:rsidR="00A131F3" w:rsidRPr="002D3A2A">
        <w:rPr>
          <w:rFonts w:ascii="Times New Roman" w:hAnsi="Times New Roman" w:cs="Times New Roman"/>
          <w:sz w:val="28"/>
          <w:szCs w:val="28"/>
        </w:rPr>
        <w:t>were false</w:t>
      </w:r>
      <w:r w:rsidR="002E50C6" w:rsidRPr="002D3A2A">
        <w:rPr>
          <w:rFonts w:ascii="Times New Roman" w:hAnsi="Times New Roman" w:cs="Times New Roman"/>
          <w:sz w:val="28"/>
          <w:szCs w:val="28"/>
        </w:rPr>
        <w:t>. They failed to provide this evidence</w:t>
      </w:r>
      <w:r w:rsidR="00A131F3" w:rsidRPr="002D3A2A">
        <w:rPr>
          <w:rFonts w:ascii="Times New Roman" w:hAnsi="Times New Roman" w:cs="Times New Roman"/>
          <w:sz w:val="28"/>
          <w:szCs w:val="28"/>
        </w:rPr>
        <w:t>.</w:t>
      </w:r>
      <w:r w:rsidR="00D333AE" w:rsidRPr="002D3A2A">
        <w:rPr>
          <w:rFonts w:ascii="Times New Roman" w:hAnsi="Times New Roman" w:cs="Times New Roman"/>
          <w:sz w:val="28"/>
          <w:szCs w:val="28"/>
        </w:rPr>
        <w:t xml:space="preserve"> </w:t>
      </w:r>
    </w:p>
    <w:p w14:paraId="6C8A7B72" w14:textId="77777777" w:rsidR="00701E71" w:rsidRPr="002D3A2A" w:rsidRDefault="00701E71" w:rsidP="001C0D8E">
      <w:pPr>
        <w:pStyle w:val="ListParagraph"/>
        <w:spacing w:after="0" w:line="360" w:lineRule="auto"/>
        <w:ind w:left="0"/>
        <w:jc w:val="both"/>
        <w:rPr>
          <w:rFonts w:ascii="Times New Roman" w:hAnsi="Times New Roman" w:cs="Times New Roman"/>
          <w:sz w:val="28"/>
          <w:szCs w:val="28"/>
        </w:rPr>
      </w:pPr>
    </w:p>
    <w:p w14:paraId="2463B07D" w14:textId="488F06FD" w:rsidR="00FC357C" w:rsidRPr="002D3A2A" w:rsidRDefault="001F3184" w:rsidP="00FC357C">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And, of course, the true transaction value</w:t>
      </w:r>
      <w:r w:rsidR="00CC1746" w:rsidRPr="002D3A2A">
        <w:rPr>
          <w:rFonts w:ascii="Times New Roman" w:hAnsi="Times New Roman" w:cs="Times New Roman"/>
          <w:sz w:val="28"/>
          <w:szCs w:val="28"/>
        </w:rPr>
        <w:t>s</w:t>
      </w:r>
      <w:r w:rsidRPr="002D3A2A">
        <w:rPr>
          <w:rFonts w:ascii="Times New Roman" w:hAnsi="Times New Roman" w:cs="Times New Roman"/>
          <w:sz w:val="28"/>
          <w:szCs w:val="28"/>
        </w:rPr>
        <w:t xml:space="preserve"> </w:t>
      </w:r>
      <w:r w:rsidR="009D01C3" w:rsidRPr="002D3A2A">
        <w:rPr>
          <w:rFonts w:ascii="Times New Roman" w:hAnsi="Times New Roman" w:cs="Times New Roman"/>
          <w:sz w:val="28"/>
          <w:szCs w:val="28"/>
        </w:rPr>
        <w:t xml:space="preserve">of the goods </w:t>
      </w:r>
      <w:r w:rsidRPr="002D3A2A">
        <w:rPr>
          <w:rFonts w:ascii="Times New Roman" w:hAnsi="Times New Roman" w:cs="Times New Roman"/>
          <w:sz w:val="28"/>
          <w:szCs w:val="28"/>
        </w:rPr>
        <w:t xml:space="preserve">could have been placed beyond question by </w:t>
      </w:r>
      <w:r w:rsidR="005F298B" w:rsidRPr="002D3A2A">
        <w:rPr>
          <w:rFonts w:ascii="Times New Roman" w:hAnsi="Times New Roman" w:cs="Times New Roman"/>
          <w:sz w:val="28"/>
          <w:szCs w:val="28"/>
        </w:rPr>
        <w:t xml:space="preserve">simply </w:t>
      </w:r>
      <w:r w:rsidRPr="002D3A2A">
        <w:rPr>
          <w:rFonts w:ascii="Times New Roman" w:hAnsi="Times New Roman" w:cs="Times New Roman"/>
          <w:sz w:val="28"/>
          <w:szCs w:val="28"/>
        </w:rPr>
        <w:t xml:space="preserve">producing the export declarations relating to the 19 containers, submitted </w:t>
      </w:r>
      <w:r w:rsidR="00CC1746" w:rsidRPr="002D3A2A">
        <w:rPr>
          <w:rFonts w:ascii="Times New Roman" w:hAnsi="Times New Roman" w:cs="Times New Roman"/>
          <w:sz w:val="28"/>
          <w:szCs w:val="28"/>
        </w:rPr>
        <w:t xml:space="preserve">to the Chinese customs authorities </w:t>
      </w:r>
      <w:r w:rsidRPr="002D3A2A">
        <w:rPr>
          <w:rFonts w:ascii="Times New Roman" w:hAnsi="Times New Roman" w:cs="Times New Roman"/>
          <w:sz w:val="28"/>
          <w:szCs w:val="28"/>
        </w:rPr>
        <w:t xml:space="preserve">by the three exporters. </w:t>
      </w:r>
      <w:r w:rsidR="00D333AE" w:rsidRPr="002D3A2A">
        <w:rPr>
          <w:rFonts w:ascii="Times New Roman" w:hAnsi="Times New Roman" w:cs="Times New Roman"/>
          <w:sz w:val="28"/>
          <w:szCs w:val="28"/>
        </w:rPr>
        <w:t>The respondents failed to produce this evidence</w:t>
      </w:r>
      <w:r w:rsidRPr="002D3A2A">
        <w:rPr>
          <w:rFonts w:ascii="Times New Roman" w:hAnsi="Times New Roman" w:cs="Times New Roman"/>
          <w:sz w:val="28"/>
          <w:szCs w:val="28"/>
        </w:rPr>
        <w:t xml:space="preserve">, despite being </w:t>
      </w:r>
      <w:r w:rsidR="009D01C3" w:rsidRPr="002D3A2A">
        <w:rPr>
          <w:rFonts w:ascii="Times New Roman" w:hAnsi="Times New Roman" w:cs="Times New Roman"/>
          <w:sz w:val="28"/>
          <w:szCs w:val="28"/>
        </w:rPr>
        <w:t xml:space="preserve">called upon </w:t>
      </w:r>
      <w:r w:rsidRPr="002D3A2A">
        <w:rPr>
          <w:rFonts w:ascii="Times New Roman" w:hAnsi="Times New Roman" w:cs="Times New Roman"/>
          <w:sz w:val="28"/>
          <w:szCs w:val="28"/>
        </w:rPr>
        <w:t>to do so</w:t>
      </w:r>
      <w:r w:rsidR="00D333AE" w:rsidRPr="002D3A2A">
        <w:rPr>
          <w:rFonts w:ascii="Times New Roman" w:hAnsi="Times New Roman" w:cs="Times New Roman"/>
          <w:sz w:val="28"/>
          <w:szCs w:val="28"/>
        </w:rPr>
        <w:t>.</w:t>
      </w:r>
    </w:p>
    <w:p w14:paraId="1F766C27" w14:textId="77777777" w:rsidR="00F00C97" w:rsidRPr="002D3A2A" w:rsidRDefault="00F00C97" w:rsidP="00F00C97">
      <w:pPr>
        <w:pStyle w:val="ListParagraph"/>
        <w:spacing w:after="0" w:line="360" w:lineRule="auto"/>
        <w:ind w:left="0"/>
        <w:jc w:val="both"/>
        <w:rPr>
          <w:rFonts w:ascii="Times New Roman" w:hAnsi="Times New Roman" w:cs="Times New Roman"/>
          <w:sz w:val="28"/>
          <w:szCs w:val="28"/>
        </w:rPr>
      </w:pPr>
    </w:p>
    <w:p w14:paraId="1D1FC540" w14:textId="6F5111AA" w:rsidR="00B7302C" w:rsidRPr="002D3A2A" w:rsidRDefault="00067A86" w:rsidP="00FC357C">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For all these reasons, </w:t>
      </w:r>
      <w:r w:rsidR="00F00C97" w:rsidRPr="002D3A2A">
        <w:rPr>
          <w:rFonts w:ascii="Times New Roman" w:hAnsi="Times New Roman" w:cs="Times New Roman"/>
          <w:sz w:val="28"/>
          <w:szCs w:val="28"/>
        </w:rPr>
        <w:t xml:space="preserve">the Commissioner was satisfied that the respondents failed to prove that the goods were entered as prescribed by the provisions of the </w:t>
      </w:r>
      <w:r w:rsidR="00F00C97" w:rsidRPr="002D3A2A">
        <w:rPr>
          <w:rFonts w:ascii="Times New Roman" w:hAnsi="Times New Roman" w:cs="Times New Roman"/>
          <w:sz w:val="28"/>
          <w:szCs w:val="28"/>
        </w:rPr>
        <w:lastRenderedPageBreak/>
        <w:t>Act</w:t>
      </w:r>
      <w:r w:rsidR="009F5518" w:rsidRPr="002D3A2A">
        <w:rPr>
          <w:rFonts w:ascii="Times New Roman" w:hAnsi="Times New Roman" w:cs="Times New Roman"/>
          <w:sz w:val="28"/>
          <w:szCs w:val="28"/>
        </w:rPr>
        <w:t xml:space="preserve">, </w:t>
      </w:r>
      <w:r w:rsidR="00F00C97" w:rsidRPr="002D3A2A">
        <w:rPr>
          <w:rFonts w:ascii="Times New Roman" w:hAnsi="Times New Roman" w:cs="Times New Roman"/>
          <w:sz w:val="28"/>
          <w:szCs w:val="28"/>
        </w:rPr>
        <w:t>as they were required to do under s 102(4)</w:t>
      </w:r>
      <w:r w:rsidR="009F5518" w:rsidRPr="002D3A2A">
        <w:rPr>
          <w:rFonts w:ascii="Times New Roman" w:hAnsi="Times New Roman" w:cs="Times New Roman"/>
          <w:sz w:val="28"/>
          <w:szCs w:val="28"/>
        </w:rPr>
        <w:t xml:space="preserve">. Consequently, </w:t>
      </w:r>
      <w:r w:rsidR="00A631E1" w:rsidRPr="002D3A2A">
        <w:rPr>
          <w:rFonts w:ascii="Times New Roman" w:hAnsi="Times New Roman" w:cs="Times New Roman"/>
          <w:sz w:val="28"/>
          <w:szCs w:val="28"/>
        </w:rPr>
        <w:t>the goods and the containers in which they were imported</w:t>
      </w:r>
      <w:r w:rsidR="00AA4FB7" w:rsidRPr="002D3A2A">
        <w:rPr>
          <w:rFonts w:ascii="Times New Roman" w:hAnsi="Times New Roman" w:cs="Times New Roman"/>
          <w:sz w:val="28"/>
          <w:szCs w:val="28"/>
        </w:rPr>
        <w:t>,</w:t>
      </w:r>
      <w:r w:rsidR="00A631E1" w:rsidRPr="002D3A2A">
        <w:rPr>
          <w:rFonts w:ascii="Times New Roman" w:hAnsi="Times New Roman" w:cs="Times New Roman"/>
          <w:sz w:val="28"/>
          <w:szCs w:val="28"/>
        </w:rPr>
        <w:t xml:space="preserve"> were liable to forfeiture.</w:t>
      </w:r>
      <w:r w:rsidR="009F5518" w:rsidRPr="002D3A2A">
        <w:rPr>
          <w:rFonts w:ascii="Times New Roman" w:hAnsi="Times New Roman" w:cs="Times New Roman"/>
          <w:sz w:val="28"/>
          <w:szCs w:val="28"/>
        </w:rPr>
        <w:t xml:space="preserve"> Before us, counsel for the respondents conceded, correctly, that s</w:t>
      </w:r>
      <w:r w:rsidR="00555887" w:rsidRPr="002D3A2A">
        <w:rPr>
          <w:rFonts w:ascii="Times New Roman" w:hAnsi="Times New Roman" w:cs="Times New Roman"/>
          <w:sz w:val="28"/>
          <w:szCs w:val="28"/>
        </w:rPr>
        <w:t> </w:t>
      </w:r>
      <w:r w:rsidR="009F5518" w:rsidRPr="002D3A2A">
        <w:rPr>
          <w:rFonts w:ascii="Times New Roman" w:hAnsi="Times New Roman" w:cs="Times New Roman"/>
          <w:sz w:val="28"/>
          <w:szCs w:val="28"/>
        </w:rPr>
        <w:t>102(4) applied in the instant case.</w:t>
      </w:r>
      <w:r w:rsidR="00A631E1" w:rsidRPr="002D3A2A">
        <w:rPr>
          <w:rFonts w:ascii="Times New Roman" w:hAnsi="Times New Roman" w:cs="Times New Roman"/>
          <w:sz w:val="28"/>
          <w:szCs w:val="28"/>
        </w:rPr>
        <w:t xml:space="preserve"> </w:t>
      </w:r>
    </w:p>
    <w:p w14:paraId="141FAAB6" w14:textId="77777777" w:rsidR="00972B80" w:rsidRPr="002D3A2A" w:rsidRDefault="00972B80" w:rsidP="00972B80">
      <w:pPr>
        <w:pStyle w:val="ListParagraph"/>
        <w:spacing w:after="0" w:line="360" w:lineRule="auto"/>
        <w:ind w:left="0"/>
        <w:jc w:val="both"/>
        <w:rPr>
          <w:rFonts w:ascii="Times New Roman" w:hAnsi="Times New Roman" w:cs="Times New Roman"/>
          <w:sz w:val="28"/>
          <w:szCs w:val="28"/>
        </w:rPr>
      </w:pPr>
    </w:p>
    <w:p w14:paraId="0E7AE1ED" w14:textId="264759DA" w:rsidR="005574B6" w:rsidRPr="002D3A2A" w:rsidRDefault="005935BB" w:rsidP="00DF75BF">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In the circumstances, </w:t>
      </w:r>
      <w:r w:rsidR="00B7302C" w:rsidRPr="002D3A2A">
        <w:rPr>
          <w:rFonts w:ascii="Times New Roman" w:hAnsi="Times New Roman" w:cs="Times New Roman"/>
          <w:sz w:val="28"/>
          <w:szCs w:val="28"/>
        </w:rPr>
        <w:t xml:space="preserve">can it be said that </w:t>
      </w:r>
      <w:r w:rsidR="001626F0" w:rsidRPr="002D3A2A">
        <w:rPr>
          <w:rFonts w:ascii="Times New Roman" w:hAnsi="Times New Roman" w:cs="Times New Roman"/>
          <w:sz w:val="28"/>
          <w:szCs w:val="28"/>
        </w:rPr>
        <w:t>having regard to the purpose of s 88(1)</w:t>
      </w:r>
      <w:r w:rsidR="001626F0" w:rsidRPr="002D3A2A">
        <w:rPr>
          <w:rFonts w:ascii="Times New Roman" w:hAnsi="Times New Roman" w:cs="Times New Roman"/>
          <w:i/>
          <w:sz w:val="28"/>
          <w:szCs w:val="28"/>
        </w:rPr>
        <w:t>(c)</w:t>
      </w:r>
      <w:r w:rsidR="001626F0" w:rsidRPr="002D3A2A">
        <w:rPr>
          <w:rFonts w:ascii="Times New Roman" w:hAnsi="Times New Roman" w:cs="Times New Roman"/>
          <w:sz w:val="28"/>
          <w:szCs w:val="28"/>
        </w:rPr>
        <w:t xml:space="preserve"> of the Act</w:t>
      </w:r>
      <w:r w:rsidR="00197C2F" w:rsidRPr="002D3A2A">
        <w:rPr>
          <w:rFonts w:ascii="Times New Roman" w:hAnsi="Times New Roman" w:cs="Times New Roman"/>
          <w:sz w:val="28"/>
          <w:szCs w:val="28"/>
        </w:rPr>
        <w:t xml:space="preserve">, </w:t>
      </w:r>
      <w:r w:rsidR="001626F0" w:rsidRPr="002D3A2A">
        <w:rPr>
          <w:rFonts w:ascii="Times New Roman" w:hAnsi="Times New Roman" w:cs="Times New Roman"/>
          <w:sz w:val="28"/>
          <w:szCs w:val="28"/>
        </w:rPr>
        <w:t>the information before the Commissio</w:t>
      </w:r>
      <w:r w:rsidR="00197C2F" w:rsidRPr="002D3A2A">
        <w:rPr>
          <w:rFonts w:ascii="Times New Roman" w:hAnsi="Times New Roman" w:cs="Times New Roman"/>
          <w:sz w:val="28"/>
          <w:szCs w:val="28"/>
        </w:rPr>
        <w:t>ner and the reas</w:t>
      </w:r>
      <w:r w:rsidR="009D12E3" w:rsidRPr="002D3A2A">
        <w:rPr>
          <w:rFonts w:ascii="Times New Roman" w:hAnsi="Times New Roman" w:cs="Times New Roman"/>
          <w:sz w:val="28"/>
          <w:szCs w:val="28"/>
        </w:rPr>
        <w:t xml:space="preserve">ons given, the impugned decision is </w:t>
      </w:r>
      <w:r w:rsidR="002C5DCE" w:rsidRPr="002D3A2A">
        <w:rPr>
          <w:rFonts w:ascii="Times New Roman" w:hAnsi="Times New Roman" w:cs="Times New Roman"/>
          <w:sz w:val="28"/>
          <w:szCs w:val="28"/>
        </w:rPr>
        <w:t>unjustified</w:t>
      </w:r>
      <w:r w:rsidR="001626F0" w:rsidRPr="002D3A2A">
        <w:rPr>
          <w:rFonts w:ascii="Times New Roman" w:hAnsi="Times New Roman" w:cs="Times New Roman"/>
          <w:sz w:val="28"/>
          <w:szCs w:val="28"/>
        </w:rPr>
        <w:t xml:space="preserve">? I think not. </w:t>
      </w:r>
      <w:r w:rsidR="009D12E3" w:rsidRPr="002D3A2A">
        <w:rPr>
          <w:rFonts w:ascii="Times New Roman" w:hAnsi="Times New Roman" w:cs="Times New Roman"/>
          <w:sz w:val="28"/>
          <w:szCs w:val="28"/>
        </w:rPr>
        <w:t xml:space="preserve">It follows that the </w:t>
      </w:r>
      <w:r w:rsidR="001626F0" w:rsidRPr="002D3A2A">
        <w:rPr>
          <w:rFonts w:ascii="Times New Roman" w:hAnsi="Times New Roman" w:cs="Times New Roman"/>
          <w:sz w:val="28"/>
          <w:szCs w:val="28"/>
        </w:rPr>
        <w:t>decision was not arbitrary</w:t>
      </w:r>
      <w:r w:rsidR="00D61148" w:rsidRPr="002D3A2A">
        <w:rPr>
          <w:rFonts w:ascii="Times New Roman" w:hAnsi="Times New Roman" w:cs="Times New Roman"/>
          <w:sz w:val="28"/>
          <w:szCs w:val="28"/>
        </w:rPr>
        <w:t>.</w:t>
      </w:r>
      <w:r w:rsidR="00523FC9" w:rsidRPr="002D3A2A">
        <w:rPr>
          <w:rFonts w:ascii="Times New Roman" w:hAnsi="Times New Roman" w:cs="Times New Roman"/>
          <w:sz w:val="28"/>
          <w:szCs w:val="28"/>
        </w:rPr>
        <w:t xml:space="preserve"> </w:t>
      </w:r>
      <w:r w:rsidR="00D61148" w:rsidRPr="002D3A2A">
        <w:rPr>
          <w:rFonts w:ascii="Times New Roman" w:hAnsi="Times New Roman" w:cs="Times New Roman"/>
          <w:sz w:val="28"/>
          <w:szCs w:val="28"/>
        </w:rPr>
        <w:t>The</w:t>
      </w:r>
      <w:r w:rsidR="005574B6" w:rsidRPr="002D3A2A">
        <w:rPr>
          <w:rFonts w:ascii="Times New Roman" w:hAnsi="Times New Roman" w:cs="Times New Roman"/>
          <w:sz w:val="28"/>
          <w:szCs w:val="28"/>
        </w:rPr>
        <w:t xml:space="preserve"> high court’s finding that ‘it was common cause that SARS had been presented with the requisite documents by the applicants in terms of the Act’, is incorrect. This was not common cause but specifically disputed. SARS’</w:t>
      </w:r>
      <w:r w:rsidR="005245AC" w:rsidRPr="002D3A2A">
        <w:rPr>
          <w:rFonts w:ascii="Times New Roman" w:hAnsi="Times New Roman" w:cs="Times New Roman"/>
          <w:sz w:val="28"/>
          <w:szCs w:val="28"/>
        </w:rPr>
        <w:t xml:space="preserve"> </w:t>
      </w:r>
      <w:r w:rsidR="005574B6" w:rsidRPr="002D3A2A">
        <w:rPr>
          <w:rFonts w:ascii="Times New Roman" w:hAnsi="Times New Roman" w:cs="Times New Roman"/>
          <w:sz w:val="28"/>
          <w:szCs w:val="28"/>
        </w:rPr>
        <w:t xml:space="preserve">reasons for disputing the documents presented by the respondents were amply explained. The high court </w:t>
      </w:r>
      <w:r w:rsidR="00833615" w:rsidRPr="002D3A2A">
        <w:rPr>
          <w:rFonts w:ascii="Times New Roman" w:hAnsi="Times New Roman" w:cs="Times New Roman"/>
          <w:sz w:val="28"/>
          <w:szCs w:val="28"/>
        </w:rPr>
        <w:t xml:space="preserve">erred in disregarding </w:t>
      </w:r>
      <w:r w:rsidR="00272782" w:rsidRPr="002D3A2A">
        <w:rPr>
          <w:rFonts w:ascii="Times New Roman" w:hAnsi="Times New Roman" w:cs="Times New Roman"/>
          <w:sz w:val="28"/>
          <w:szCs w:val="28"/>
        </w:rPr>
        <w:t xml:space="preserve">not only </w:t>
      </w:r>
      <w:r w:rsidR="005574B6" w:rsidRPr="002D3A2A">
        <w:rPr>
          <w:rFonts w:ascii="Times New Roman" w:hAnsi="Times New Roman" w:cs="Times New Roman"/>
          <w:sz w:val="28"/>
          <w:szCs w:val="28"/>
        </w:rPr>
        <w:t xml:space="preserve">the evidence showing that the agreements were false, </w:t>
      </w:r>
      <w:r w:rsidR="00272782" w:rsidRPr="002D3A2A">
        <w:rPr>
          <w:rFonts w:ascii="Times New Roman" w:hAnsi="Times New Roman" w:cs="Times New Roman"/>
          <w:sz w:val="28"/>
          <w:szCs w:val="28"/>
        </w:rPr>
        <w:t>but also</w:t>
      </w:r>
      <w:r w:rsidR="005574B6" w:rsidRPr="002D3A2A">
        <w:rPr>
          <w:rFonts w:ascii="Times New Roman" w:hAnsi="Times New Roman" w:cs="Times New Roman"/>
          <w:sz w:val="28"/>
          <w:szCs w:val="28"/>
        </w:rPr>
        <w:t xml:space="preserve"> the reasons for the impugn</w:t>
      </w:r>
      <w:r w:rsidR="00272782" w:rsidRPr="002D3A2A">
        <w:rPr>
          <w:rFonts w:ascii="Times New Roman" w:hAnsi="Times New Roman" w:cs="Times New Roman"/>
          <w:sz w:val="28"/>
          <w:szCs w:val="28"/>
        </w:rPr>
        <w:t>ed decision, despite quoting those</w:t>
      </w:r>
      <w:r w:rsidR="005574B6" w:rsidRPr="002D3A2A">
        <w:rPr>
          <w:rFonts w:ascii="Times New Roman" w:hAnsi="Times New Roman" w:cs="Times New Roman"/>
          <w:sz w:val="28"/>
          <w:szCs w:val="28"/>
        </w:rPr>
        <w:t xml:space="preserve"> reasons verbatim in its judgment. </w:t>
      </w:r>
    </w:p>
    <w:p w14:paraId="1B3A0356" w14:textId="77777777" w:rsidR="005574B6" w:rsidRPr="002D3A2A" w:rsidRDefault="003B6F25" w:rsidP="005574B6">
      <w:pPr>
        <w:pStyle w:val="ListParagraph"/>
        <w:spacing w:after="0" w:line="360" w:lineRule="auto"/>
        <w:ind w:left="0"/>
        <w:jc w:val="both"/>
        <w:rPr>
          <w:rFonts w:ascii="Times New Roman" w:hAnsi="Times New Roman" w:cs="Times New Roman"/>
          <w:sz w:val="28"/>
          <w:szCs w:val="28"/>
        </w:rPr>
      </w:pPr>
      <w:r w:rsidRPr="002D3A2A">
        <w:rPr>
          <w:rFonts w:ascii="Times New Roman" w:hAnsi="Times New Roman" w:cs="Times New Roman"/>
          <w:sz w:val="28"/>
          <w:szCs w:val="28"/>
        </w:rPr>
        <w:t xml:space="preserve"> </w:t>
      </w:r>
    </w:p>
    <w:p w14:paraId="1B9EC399" w14:textId="761F7A6D" w:rsidR="00323435" w:rsidRPr="002D3A2A" w:rsidRDefault="000D5699" w:rsidP="00DF75BF">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 </w:t>
      </w:r>
      <w:r w:rsidR="00F46962" w:rsidRPr="002D3A2A">
        <w:rPr>
          <w:rFonts w:ascii="Times New Roman" w:hAnsi="Times New Roman" w:cs="Times New Roman"/>
          <w:sz w:val="28"/>
          <w:szCs w:val="28"/>
        </w:rPr>
        <w:t xml:space="preserve">findings that the </w:t>
      </w:r>
      <w:r w:rsidRPr="002D3A2A">
        <w:rPr>
          <w:rFonts w:ascii="Times New Roman" w:hAnsi="Times New Roman" w:cs="Times New Roman"/>
          <w:sz w:val="28"/>
          <w:szCs w:val="28"/>
        </w:rPr>
        <w:t xml:space="preserve">export </w:t>
      </w:r>
      <w:r w:rsidR="00F46962" w:rsidRPr="002D3A2A">
        <w:rPr>
          <w:rFonts w:ascii="Times New Roman" w:hAnsi="Times New Roman" w:cs="Times New Roman"/>
          <w:sz w:val="28"/>
          <w:szCs w:val="28"/>
        </w:rPr>
        <w:t xml:space="preserve">declarations </w:t>
      </w:r>
      <w:r w:rsidRPr="002D3A2A">
        <w:rPr>
          <w:rFonts w:ascii="Times New Roman" w:hAnsi="Times New Roman" w:cs="Times New Roman"/>
          <w:sz w:val="28"/>
          <w:szCs w:val="28"/>
        </w:rPr>
        <w:t xml:space="preserve">‘were of poor quality and illegible’; that ‘they </w:t>
      </w:r>
      <w:r w:rsidR="00F46962" w:rsidRPr="002D3A2A">
        <w:rPr>
          <w:rFonts w:ascii="Times New Roman" w:hAnsi="Times New Roman" w:cs="Times New Roman"/>
          <w:sz w:val="28"/>
          <w:szCs w:val="28"/>
        </w:rPr>
        <w:t xml:space="preserve">had nothing to do with the 19 containers’; and that ‘SARS was wrong . . . to rely on the Export Declarations in order to reach the seizure decisions’, are </w:t>
      </w:r>
      <w:r w:rsidR="00ED60AE" w:rsidRPr="002D3A2A">
        <w:rPr>
          <w:rFonts w:ascii="Times New Roman" w:hAnsi="Times New Roman" w:cs="Times New Roman"/>
          <w:sz w:val="28"/>
          <w:szCs w:val="28"/>
        </w:rPr>
        <w:t>unsustainable on the evidence</w:t>
      </w:r>
      <w:r w:rsidR="00F46962" w:rsidRPr="002D3A2A">
        <w:rPr>
          <w:rFonts w:ascii="Times New Roman" w:hAnsi="Times New Roman" w:cs="Times New Roman"/>
          <w:sz w:val="28"/>
          <w:szCs w:val="28"/>
        </w:rPr>
        <w:t xml:space="preserve">. The </w:t>
      </w:r>
      <w:r w:rsidR="008016C3" w:rsidRPr="002D3A2A">
        <w:rPr>
          <w:rFonts w:ascii="Times New Roman" w:hAnsi="Times New Roman" w:cs="Times New Roman"/>
          <w:sz w:val="28"/>
          <w:szCs w:val="28"/>
        </w:rPr>
        <w:t xml:space="preserve">high </w:t>
      </w:r>
      <w:r w:rsidRPr="002D3A2A">
        <w:rPr>
          <w:rFonts w:ascii="Times New Roman" w:hAnsi="Times New Roman" w:cs="Times New Roman"/>
          <w:sz w:val="28"/>
          <w:szCs w:val="28"/>
        </w:rPr>
        <w:t>court ignored the fact that the respondents were provided with legible, translated versions of the export declarations. Further, it dismissed the respondents’ application to strike out the export declarations</w:t>
      </w:r>
      <w:r w:rsidR="008016C3" w:rsidRPr="002D3A2A">
        <w:rPr>
          <w:rFonts w:ascii="Times New Roman" w:hAnsi="Times New Roman" w:cs="Times New Roman"/>
          <w:sz w:val="28"/>
          <w:szCs w:val="28"/>
        </w:rPr>
        <w:t xml:space="preserve"> </w:t>
      </w:r>
      <w:r w:rsidR="005937B7" w:rsidRPr="002D3A2A">
        <w:rPr>
          <w:rFonts w:ascii="Times New Roman" w:hAnsi="Times New Roman" w:cs="Times New Roman"/>
          <w:sz w:val="28"/>
          <w:szCs w:val="28"/>
        </w:rPr>
        <w:t>on the basis that they were inadmissible</w:t>
      </w:r>
      <w:r w:rsidR="00323435" w:rsidRPr="002D3A2A">
        <w:rPr>
          <w:rFonts w:ascii="Times New Roman" w:hAnsi="Times New Roman" w:cs="Times New Roman"/>
          <w:sz w:val="28"/>
          <w:szCs w:val="28"/>
        </w:rPr>
        <w:t>. In so doing, the court confirmed that the translator had been enrolled as a sworn translator from Chinese into English and vice versa</w:t>
      </w:r>
      <w:r w:rsidR="00CD1418" w:rsidRPr="002D3A2A">
        <w:rPr>
          <w:rFonts w:ascii="Times New Roman" w:hAnsi="Times New Roman" w:cs="Times New Roman"/>
          <w:sz w:val="28"/>
          <w:szCs w:val="28"/>
        </w:rPr>
        <w:t>, and consequently, that the declarations were understandable</w:t>
      </w:r>
      <w:r w:rsidR="00323435" w:rsidRPr="002D3A2A">
        <w:rPr>
          <w:rFonts w:ascii="Times New Roman" w:hAnsi="Times New Roman" w:cs="Times New Roman"/>
          <w:sz w:val="28"/>
          <w:szCs w:val="28"/>
        </w:rPr>
        <w:t xml:space="preserve">.  </w:t>
      </w:r>
    </w:p>
    <w:p w14:paraId="34C297C1" w14:textId="77777777" w:rsidR="00323435" w:rsidRPr="002D3A2A" w:rsidRDefault="00323435" w:rsidP="00323435">
      <w:pPr>
        <w:pStyle w:val="ListParagraph"/>
        <w:spacing w:after="0" w:line="360" w:lineRule="auto"/>
        <w:ind w:left="0"/>
        <w:jc w:val="both"/>
        <w:rPr>
          <w:rFonts w:ascii="Times New Roman" w:hAnsi="Times New Roman" w:cs="Times New Roman"/>
          <w:sz w:val="28"/>
          <w:szCs w:val="28"/>
        </w:rPr>
      </w:pPr>
    </w:p>
    <w:p w14:paraId="2844926B" w14:textId="3EA06BCE" w:rsidR="00ED4182" w:rsidRPr="002D3A2A" w:rsidRDefault="00323435" w:rsidP="00ED4182">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The export declarations </w:t>
      </w:r>
      <w:r w:rsidR="00BA3515" w:rsidRPr="002D3A2A">
        <w:rPr>
          <w:rFonts w:ascii="Times New Roman" w:hAnsi="Times New Roman" w:cs="Times New Roman"/>
          <w:sz w:val="28"/>
          <w:szCs w:val="28"/>
        </w:rPr>
        <w:t xml:space="preserve">relating to eight containers in the first application, </w:t>
      </w:r>
      <w:r w:rsidRPr="002D3A2A">
        <w:rPr>
          <w:rFonts w:ascii="Times New Roman" w:hAnsi="Times New Roman" w:cs="Times New Roman"/>
          <w:sz w:val="28"/>
          <w:szCs w:val="28"/>
        </w:rPr>
        <w:t>were highly relevant</w:t>
      </w:r>
      <w:r w:rsidR="00272782" w:rsidRPr="002D3A2A">
        <w:rPr>
          <w:rFonts w:ascii="Times New Roman" w:hAnsi="Times New Roman" w:cs="Times New Roman"/>
          <w:sz w:val="28"/>
          <w:szCs w:val="28"/>
        </w:rPr>
        <w:t xml:space="preserve"> to the decision to seize the goods</w:t>
      </w:r>
      <w:r w:rsidR="003A29B4" w:rsidRPr="002D3A2A">
        <w:rPr>
          <w:rFonts w:ascii="Times New Roman" w:hAnsi="Times New Roman" w:cs="Times New Roman"/>
          <w:sz w:val="28"/>
          <w:szCs w:val="28"/>
        </w:rPr>
        <w:t xml:space="preserve">. </w:t>
      </w:r>
      <w:r w:rsidR="00FF35A5" w:rsidRPr="002D3A2A">
        <w:rPr>
          <w:rFonts w:ascii="Times New Roman" w:hAnsi="Times New Roman" w:cs="Times New Roman"/>
          <w:sz w:val="28"/>
          <w:szCs w:val="28"/>
        </w:rPr>
        <w:t xml:space="preserve">SARS </w:t>
      </w:r>
      <w:r w:rsidR="003A29B4" w:rsidRPr="002D3A2A">
        <w:rPr>
          <w:rFonts w:ascii="Times New Roman" w:hAnsi="Times New Roman" w:cs="Times New Roman"/>
          <w:sz w:val="28"/>
          <w:szCs w:val="28"/>
        </w:rPr>
        <w:t xml:space="preserve">was entitled </w:t>
      </w:r>
      <w:r w:rsidR="00197C2F" w:rsidRPr="002D3A2A">
        <w:rPr>
          <w:rFonts w:ascii="Times New Roman" w:hAnsi="Times New Roman" w:cs="Times New Roman"/>
          <w:sz w:val="28"/>
          <w:szCs w:val="28"/>
        </w:rPr>
        <w:t xml:space="preserve">to take </w:t>
      </w:r>
      <w:r w:rsidR="00197C2F" w:rsidRPr="002D3A2A">
        <w:rPr>
          <w:rFonts w:ascii="Times New Roman" w:hAnsi="Times New Roman" w:cs="Times New Roman"/>
          <w:sz w:val="28"/>
          <w:szCs w:val="28"/>
        </w:rPr>
        <w:lastRenderedPageBreak/>
        <w:t>those declarations into account</w:t>
      </w:r>
      <w:r w:rsidR="003A29B4" w:rsidRPr="002D3A2A">
        <w:rPr>
          <w:rFonts w:ascii="Times New Roman" w:hAnsi="Times New Roman" w:cs="Times New Roman"/>
          <w:sz w:val="28"/>
          <w:szCs w:val="28"/>
        </w:rPr>
        <w:t xml:space="preserve"> in arriving at its decision, and as a specialist administrator, to decide what weight should be given to them</w:t>
      </w:r>
      <w:r w:rsidR="00715380" w:rsidRPr="002D3A2A">
        <w:rPr>
          <w:rFonts w:ascii="Times New Roman" w:hAnsi="Times New Roman" w:cs="Times New Roman"/>
          <w:sz w:val="28"/>
          <w:szCs w:val="28"/>
        </w:rPr>
        <w:t>, for the following reasons. T</w:t>
      </w:r>
      <w:r w:rsidRPr="002D3A2A">
        <w:rPr>
          <w:rFonts w:ascii="Times New Roman" w:hAnsi="Times New Roman" w:cs="Times New Roman"/>
          <w:sz w:val="28"/>
          <w:szCs w:val="28"/>
        </w:rPr>
        <w:t xml:space="preserve">he clothing </w:t>
      </w:r>
      <w:r w:rsidR="00BA3515" w:rsidRPr="002D3A2A">
        <w:rPr>
          <w:rFonts w:ascii="Times New Roman" w:hAnsi="Times New Roman" w:cs="Times New Roman"/>
          <w:sz w:val="28"/>
          <w:szCs w:val="28"/>
        </w:rPr>
        <w:t xml:space="preserve">covered </w:t>
      </w:r>
      <w:r w:rsidR="00AA5E5E" w:rsidRPr="002D3A2A">
        <w:rPr>
          <w:rFonts w:ascii="Times New Roman" w:hAnsi="Times New Roman" w:cs="Times New Roman"/>
          <w:sz w:val="28"/>
          <w:szCs w:val="28"/>
        </w:rPr>
        <w:t>b</w:t>
      </w:r>
      <w:r w:rsidR="00197C2F" w:rsidRPr="002D3A2A">
        <w:rPr>
          <w:rFonts w:ascii="Times New Roman" w:hAnsi="Times New Roman" w:cs="Times New Roman"/>
          <w:sz w:val="28"/>
          <w:szCs w:val="28"/>
        </w:rPr>
        <w:t>y the export</w:t>
      </w:r>
      <w:r w:rsidR="00BA3515" w:rsidRPr="002D3A2A">
        <w:rPr>
          <w:rFonts w:ascii="Times New Roman" w:hAnsi="Times New Roman" w:cs="Times New Roman"/>
          <w:sz w:val="28"/>
          <w:szCs w:val="28"/>
        </w:rPr>
        <w:t xml:space="preserve"> declarations </w:t>
      </w:r>
      <w:r w:rsidR="00767E61" w:rsidRPr="002D3A2A">
        <w:rPr>
          <w:rFonts w:ascii="Times New Roman" w:hAnsi="Times New Roman" w:cs="Times New Roman"/>
          <w:sz w:val="28"/>
          <w:szCs w:val="28"/>
        </w:rPr>
        <w:t>was</w:t>
      </w:r>
      <w:r w:rsidRPr="002D3A2A">
        <w:rPr>
          <w:rFonts w:ascii="Times New Roman" w:hAnsi="Times New Roman" w:cs="Times New Roman"/>
          <w:sz w:val="28"/>
          <w:szCs w:val="28"/>
        </w:rPr>
        <w:t xml:space="preserve"> materially similar </w:t>
      </w:r>
      <w:r w:rsidR="00BA3515" w:rsidRPr="002D3A2A">
        <w:rPr>
          <w:rFonts w:ascii="Times New Roman" w:hAnsi="Times New Roman" w:cs="Times New Roman"/>
          <w:sz w:val="28"/>
          <w:szCs w:val="28"/>
        </w:rPr>
        <w:t>to the clothing</w:t>
      </w:r>
      <w:r w:rsidRPr="002D3A2A">
        <w:rPr>
          <w:rFonts w:ascii="Times New Roman" w:hAnsi="Times New Roman" w:cs="Times New Roman"/>
          <w:sz w:val="28"/>
          <w:szCs w:val="28"/>
        </w:rPr>
        <w:t xml:space="preserve"> in the 19 </w:t>
      </w:r>
      <w:r w:rsidR="00BA3515" w:rsidRPr="002D3A2A">
        <w:rPr>
          <w:rFonts w:ascii="Times New Roman" w:hAnsi="Times New Roman" w:cs="Times New Roman"/>
          <w:sz w:val="28"/>
          <w:szCs w:val="28"/>
        </w:rPr>
        <w:t xml:space="preserve">containers. </w:t>
      </w:r>
      <w:r w:rsidR="00767E61" w:rsidRPr="002D3A2A">
        <w:rPr>
          <w:rFonts w:ascii="Times New Roman" w:hAnsi="Times New Roman" w:cs="Times New Roman"/>
          <w:sz w:val="28"/>
          <w:szCs w:val="28"/>
        </w:rPr>
        <w:t>I</w:t>
      </w:r>
      <w:r w:rsidR="005937B7" w:rsidRPr="002D3A2A">
        <w:rPr>
          <w:rFonts w:ascii="Times New Roman" w:hAnsi="Times New Roman" w:cs="Times New Roman"/>
          <w:sz w:val="28"/>
          <w:szCs w:val="28"/>
        </w:rPr>
        <w:t xml:space="preserve">t was not disputed that the </w:t>
      </w:r>
      <w:r w:rsidR="00BA3515" w:rsidRPr="002D3A2A">
        <w:rPr>
          <w:rFonts w:ascii="Times New Roman" w:hAnsi="Times New Roman" w:cs="Times New Roman"/>
          <w:sz w:val="28"/>
          <w:szCs w:val="28"/>
        </w:rPr>
        <w:t xml:space="preserve">export declarations </w:t>
      </w:r>
      <w:r w:rsidR="00767E61" w:rsidRPr="002D3A2A">
        <w:rPr>
          <w:rFonts w:ascii="Times New Roman" w:hAnsi="Times New Roman" w:cs="Times New Roman"/>
          <w:sz w:val="28"/>
          <w:szCs w:val="28"/>
        </w:rPr>
        <w:t xml:space="preserve">reflect the export values </w:t>
      </w:r>
      <w:r w:rsidR="00715380" w:rsidRPr="002D3A2A">
        <w:rPr>
          <w:rFonts w:ascii="Times New Roman" w:hAnsi="Times New Roman" w:cs="Times New Roman"/>
          <w:sz w:val="28"/>
          <w:szCs w:val="28"/>
        </w:rPr>
        <w:t xml:space="preserve">stated therein – more than 1000% of the values declared on importation into this country by </w:t>
      </w:r>
      <w:r w:rsidR="003A29B4" w:rsidRPr="002D3A2A">
        <w:rPr>
          <w:rFonts w:ascii="Times New Roman" w:hAnsi="Times New Roman" w:cs="Times New Roman"/>
          <w:sz w:val="28"/>
          <w:szCs w:val="28"/>
        </w:rPr>
        <w:t xml:space="preserve">the </w:t>
      </w:r>
      <w:r w:rsidR="00715380" w:rsidRPr="002D3A2A">
        <w:rPr>
          <w:rFonts w:ascii="Times New Roman" w:hAnsi="Times New Roman" w:cs="Times New Roman"/>
          <w:sz w:val="28"/>
          <w:szCs w:val="28"/>
        </w:rPr>
        <w:t xml:space="preserve">same exporters and importers in relation to similar goods. The </w:t>
      </w:r>
      <w:r w:rsidR="00D863FC" w:rsidRPr="002D3A2A">
        <w:rPr>
          <w:rFonts w:ascii="Times New Roman" w:hAnsi="Times New Roman" w:cs="Times New Roman"/>
          <w:sz w:val="28"/>
          <w:szCs w:val="28"/>
        </w:rPr>
        <w:t xml:space="preserve">respondents’ </w:t>
      </w:r>
      <w:r w:rsidR="00715380" w:rsidRPr="002D3A2A">
        <w:rPr>
          <w:rFonts w:ascii="Times New Roman" w:hAnsi="Times New Roman" w:cs="Times New Roman"/>
          <w:sz w:val="28"/>
          <w:szCs w:val="28"/>
        </w:rPr>
        <w:t>explanation</w:t>
      </w:r>
      <w:r w:rsidR="005B1AF5" w:rsidRPr="002D3A2A">
        <w:rPr>
          <w:rFonts w:ascii="Times New Roman" w:hAnsi="Times New Roman" w:cs="Times New Roman"/>
          <w:sz w:val="28"/>
          <w:szCs w:val="28"/>
        </w:rPr>
        <w:t xml:space="preserve"> for this</w:t>
      </w:r>
      <w:r w:rsidR="00715380" w:rsidRPr="002D3A2A">
        <w:rPr>
          <w:rFonts w:ascii="Times New Roman" w:hAnsi="Times New Roman" w:cs="Times New Roman"/>
          <w:sz w:val="28"/>
          <w:szCs w:val="28"/>
        </w:rPr>
        <w:t xml:space="preserve"> – </w:t>
      </w:r>
      <w:r w:rsidR="00767E61" w:rsidRPr="002D3A2A">
        <w:rPr>
          <w:rFonts w:ascii="Times New Roman" w:hAnsi="Times New Roman" w:cs="Times New Roman"/>
          <w:sz w:val="28"/>
          <w:szCs w:val="28"/>
        </w:rPr>
        <w:t xml:space="preserve">fraud </w:t>
      </w:r>
      <w:r w:rsidR="00BA40BA" w:rsidRPr="002D3A2A">
        <w:rPr>
          <w:rFonts w:ascii="Times New Roman" w:hAnsi="Times New Roman" w:cs="Times New Roman"/>
          <w:sz w:val="28"/>
          <w:szCs w:val="28"/>
        </w:rPr>
        <w:t>by</w:t>
      </w:r>
      <w:r w:rsidR="00767E61" w:rsidRPr="002D3A2A">
        <w:rPr>
          <w:rFonts w:ascii="Times New Roman" w:hAnsi="Times New Roman" w:cs="Times New Roman"/>
          <w:sz w:val="28"/>
          <w:szCs w:val="28"/>
        </w:rPr>
        <w:t xml:space="preserve"> C</w:t>
      </w:r>
      <w:r w:rsidR="00F841C4" w:rsidRPr="002D3A2A">
        <w:rPr>
          <w:rFonts w:ascii="Times New Roman" w:hAnsi="Times New Roman" w:cs="Times New Roman"/>
          <w:sz w:val="28"/>
          <w:szCs w:val="28"/>
        </w:rPr>
        <w:t>hinese export agents</w:t>
      </w:r>
      <w:r w:rsidR="005B1AF5" w:rsidRPr="002D3A2A">
        <w:rPr>
          <w:rFonts w:ascii="Times New Roman" w:hAnsi="Times New Roman" w:cs="Times New Roman"/>
          <w:sz w:val="28"/>
          <w:szCs w:val="28"/>
        </w:rPr>
        <w:t xml:space="preserve"> – is false</w:t>
      </w:r>
      <w:r w:rsidR="00F841C4" w:rsidRPr="002D3A2A">
        <w:rPr>
          <w:rFonts w:ascii="Times New Roman" w:hAnsi="Times New Roman" w:cs="Times New Roman"/>
          <w:sz w:val="28"/>
          <w:szCs w:val="28"/>
        </w:rPr>
        <w:t>.</w:t>
      </w:r>
      <w:r w:rsidR="00767E61" w:rsidRPr="002D3A2A">
        <w:rPr>
          <w:rFonts w:ascii="Times New Roman" w:hAnsi="Times New Roman" w:cs="Times New Roman"/>
          <w:sz w:val="28"/>
          <w:szCs w:val="28"/>
        </w:rPr>
        <w:t xml:space="preserve"> </w:t>
      </w:r>
      <w:r w:rsidR="001B32D9" w:rsidRPr="002D3A2A">
        <w:rPr>
          <w:rFonts w:ascii="Times New Roman" w:hAnsi="Times New Roman" w:cs="Times New Roman"/>
          <w:sz w:val="28"/>
          <w:szCs w:val="28"/>
        </w:rPr>
        <w:t xml:space="preserve">What is </w:t>
      </w:r>
      <w:r w:rsidR="00D863FC" w:rsidRPr="002D3A2A">
        <w:rPr>
          <w:rFonts w:ascii="Times New Roman" w:hAnsi="Times New Roman" w:cs="Times New Roman"/>
          <w:sz w:val="28"/>
          <w:szCs w:val="28"/>
        </w:rPr>
        <w:t>more, the respondents’</w:t>
      </w:r>
      <w:r w:rsidR="001B32D9" w:rsidRPr="002D3A2A">
        <w:rPr>
          <w:rFonts w:ascii="Times New Roman" w:hAnsi="Times New Roman" w:cs="Times New Roman"/>
          <w:sz w:val="28"/>
          <w:szCs w:val="28"/>
        </w:rPr>
        <w:t xml:space="preserve"> own import documentation corroborates the export declarations. The Minister explained the reasons for this in his supplementary answering affidavit, to which was attached a schedule containing a detailed analysis for each of the eight containers. The respondent</w:t>
      </w:r>
      <w:r w:rsidR="006176C3" w:rsidRPr="002D3A2A">
        <w:rPr>
          <w:rFonts w:ascii="Times New Roman" w:hAnsi="Times New Roman" w:cs="Times New Roman"/>
          <w:sz w:val="28"/>
          <w:szCs w:val="28"/>
        </w:rPr>
        <w:t>s</w:t>
      </w:r>
      <w:r w:rsidR="001B32D9" w:rsidRPr="002D3A2A">
        <w:rPr>
          <w:rFonts w:ascii="Times New Roman" w:hAnsi="Times New Roman" w:cs="Times New Roman"/>
          <w:sz w:val="28"/>
          <w:szCs w:val="28"/>
        </w:rPr>
        <w:t xml:space="preserve"> did not deal with the </w:t>
      </w:r>
      <w:r w:rsidR="006176C3" w:rsidRPr="002D3A2A">
        <w:rPr>
          <w:rFonts w:ascii="Times New Roman" w:hAnsi="Times New Roman" w:cs="Times New Roman"/>
          <w:sz w:val="28"/>
          <w:szCs w:val="28"/>
        </w:rPr>
        <w:t xml:space="preserve">Minister’s evidence in reply. </w:t>
      </w:r>
    </w:p>
    <w:p w14:paraId="69B1DB66" w14:textId="77777777" w:rsidR="00ED4182" w:rsidRPr="002D3A2A" w:rsidRDefault="00ED4182" w:rsidP="00ED4182">
      <w:pPr>
        <w:pStyle w:val="ListParagraph"/>
        <w:spacing w:after="0" w:line="360" w:lineRule="auto"/>
        <w:ind w:left="0"/>
        <w:jc w:val="both"/>
        <w:rPr>
          <w:rFonts w:ascii="Times New Roman" w:hAnsi="Times New Roman" w:cs="Times New Roman"/>
          <w:sz w:val="28"/>
          <w:szCs w:val="28"/>
        </w:rPr>
      </w:pPr>
    </w:p>
    <w:p w14:paraId="673AD1A9" w14:textId="55F5FEA3" w:rsidR="007F04BE" w:rsidRPr="002D3A2A" w:rsidRDefault="001B32D9" w:rsidP="00DF75BF">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 </w:t>
      </w:r>
      <w:r w:rsidR="003A29B4" w:rsidRPr="002D3A2A">
        <w:rPr>
          <w:rFonts w:ascii="Times New Roman" w:hAnsi="Times New Roman" w:cs="Times New Roman"/>
          <w:sz w:val="28"/>
          <w:szCs w:val="28"/>
        </w:rPr>
        <w:t>The high court’s conclusion that the respondents provided the relevant information prior to requests by SARS</w:t>
      </w:r>
      <w:r w:rsidR="00600A4F" w:rsidRPr="002D3A2A">
        <w:rPr>
          <w:rFonts w:ascii="Times New Roman" w:hAnsi="Times New Roman" w:cs="Times New Roman"/>
          <w:sz w:val="28"/>
          <w:szCs w:val="28"/>
        </w:rPr>
        <w:t>, and that they ‘responded copiously’ to requests for information which SARS ‘</w:t>
      </w:r>
      <w:r w:rsidR="00FC165F" w:rsidRPr="002D3A2A">
        <w:rPr>
          <w:rFonts w:ascii="Times New Roman" w:hAnsi="Times New Roman" w:cs="Times New Roman"/>
          <w:sz w:val="28"/>
          <w:szCs w:val="28"/>
        </w:rPr>
        <w:t xml:space="preserve">chose to ignore </w:t>
      </w:r>
      <w:r w:rsidR="00600A4F" w:rsidRPr="002D3A2A">
        <w:rPr>
          <w:rFonts w:ascii="Times New Roman" w:hAnsi="Times New Roman" w:cs="Times New Roman"/>
          <w:sz w:val="28"/>
          <w:szCs w:val="28"/>
        </w:rPr>
        <w:t>. . . as inadequate</w:t>
      </w:r>
      <w:r w:rsidR="00F841C4" w:rsidRPr="002D3A2A">
        <w:rPr>
          <w:rFonts w:ascii="Times New Roman" w:hAnsi="Times New Roman" w:cs="Times New Roman"/>
          <w:sz w:val="28"/>
          <w:szCs w:val="28"/>
        </w:rPr>
        <w:t>’</w:t>
      </w:r>
      <w:r w:rsidR="00600A4F" w:rsidRPr="002D3A2A">
        <w:rPr>
          <w:rFonts w:ascii="Times New Roman" w:hAnsi="Times New Roman" w:cs="Times New Roman"/>
          <w:sz w:val="28"/>
          <w:szCs w:val="28"/>
        </w:rPr>
        <w:t xml:space="preserve">, is likewise </w:t>
      </w:r>
      <w:r w:rsidR="005F2A11" w:rsidRPr="002D3A2A">
        <w:rPr>
          <w:rFonts w:ascii="Times New Roman" w:hAnsi="Times New Roman" w:cs="Times New Roman"/>
          <w:sz w:val="28"/>
          <w:szCs w:val="28"/>
        </w:rPr>
        <w:t>incorrect</w:t>
      </w:r>
      <w:r w:rsidR="00600A4F" w:rsidRPr="002D3A2A">
        <w:rPr>
          <w:rFonts w:ascii="Times New Roman" w:hAnsi="Times New Roman" w:cs="Times New Roman"/>
          <w:sz w:val="28"/>
          <w:szCs w:val="28"/>
        </w:rPr>
        <w:t xml:space="preserve">. </w:t>
      </w:r>
      <w:r w:rsidR="00F841C4" w:rsidRPr="002D3A2A">
        <w:rPr>
          <w:rFonts w:ascii="Times New Roman" w:hAnsi="Times New Roman" w:cs="Times New Roman"/>
          <w:sz w:val="28"/>
          <w:szCs w:val="28"/>
        </w:rPr>
        <w:t>This conclusion is based on a landscape table furnished by the respondents</w:t>
      </w:r>
      <w:r w:rsidR="00BA40BA" w:rsidRPr="002D3A2A">
        <w:rPr>
          <w:rFonts w:ascii="Times New Roman" w:hAnsi="Times New Roman" w:cs="Times New Roman"/>
          <w:sz w:val="28"/>
          <w:szCs w:val="28"/>
        </w:rPr>
        <w:t xml:space="preserve"> and reproduced in the judgment</w:t>
      </w:r>
      <w:r w:rsidR="00F841C4" w:rsidRPr="002D3A2A">
        <w:rPr>
          <w:rFonts w:ascii="Times New Roman" w:hAnsi="Times New Roman" w:cs="Times New Roman"/>
          <w:sz w:val="28"/>
          <w:szCs w:val="28"/>
        </w:rPr>
        <w:t>. However, a comparison between this table and SARS’ request for particulars</w:t>
      </w:r>
      <w:r w:rsidR="00BA40BA" w:rsidRPr="002D3A2A">
        <w:rPr>
          <w:rFonts w:ascii="Times New Roman" w:hAnsi="Times New Roman" w:cs="Times New Roman"/>
          <w:sz w:val="28"/>
          <w:szCs w:val="28"/>
        </w:rPr>
        <w:t xml:space="preserve"> and documentation</w:t>
      </w:r>
      <w:r w:rsidR="00F841C4" w:rsidRPr="002D3A2A">
        <w:rPr>
          <w:rFonts w:ascii="Times New Roman" w:hAnsi="Times New Roman" w:cs="Times New Roman"/>
          <w:sz w:val="28"/>
          <w:szCs w:val="28"/>
        </w:rPr>
        <w:t xml:space="preserve">, </w:t>
      </w:r>
      <w:r w:rsidR="00BA40BA" w:rsidRPr="002D3A2A">
        <w:rPr>
          <w:rFonts w:ascii="Times New Roman" w:hAnsi="Times New Roman" w:cs="Times New Roman"/>
          <w:sz w:val="28"/>
          <w:szCs w:val="28"/>
        </w:rPr>
        <w:t>and the respondents’ replies</w:t>
      </w:r>
      <w:r w:rsidR="00D3229E" w:rsidRPr="002D3A2A">
        <w:rPr>
          <w:rFonts w:ascii="Times New Roman" w:hAnsi="Times New Roman" w:cs="Times New Roman"/>
          <w:sz w:val="28"/>
          <w:szCs w:val="28"/>
        </w:rPr>
        <w:t xml:space="preserve"> (which form part of </w:t>
      </w:r>
      <w:r w:rsidR="005B1AF5" w:rsidRPr="002D3A2A">
        <w:rPr>
          <w:rFonts w:ascii="Times New Roman" w:hAnsi="Times New Roman" w:cs="Times New Roman"/>
          <w:sz w:val="28"/>
          <w:szCs w:val="28"/>
        </w:rPr>
        <w:t xml:space="preserve">the </w:t>
      </w:r>
      <w:r w:rsidR="00F841C4" w:rsidRPr="002D3A2A">
        <w:rPr>
          <w:rFonts w:ascii="Times New Roman" w:hAnsi="Times New Roman" w:cs="Times New Roman"/>
          <w:sz w:val="28"/>
          <w:szCs w:val="28"/>
        </w:rPr>
        <w:t>reasons for the impugned decision</w:t>
      </w:r>
      <w:r w:rsidR="00D3229E" w:rsidRPr="002D3A2A">
        <w:rPr>
          <w:rFonts w:ascii="Times New Roman" w:hAnsi="Times New Roman" w:cs="Times New Roman"/>
          <w:sz w:val="28"/>
          <w:szCs w:val="28"/>
        </w:rPr>
        <w:t>)</w:t>
      </w:r>
      <w:r w:rsidR="00F841C4" w:rsidRPr="002D3A2A">
        <w:rPr>
          <w:rFonts w:ascii="Times New Roman" w:hAnsi="Times New Roman" w:cs="Times New Roman"/>
          <w:sz w:val="28"/>
          <w:szCs w:val="28"/>
        </w:rPr>
        <w:t>, show</w:t>
      </w:r>
      <w:r w:rsidR="00D3229E" w:rsidRPr="002D3A2A">
        <w:rPr>
          <w:rFonts w:ascii="Times New Roman" w:hAnsi="Times New Roman" w:cs="Times New Roman"/>
          <w:sz w:val="28"/>
          <w:szCs w:val="28"/>
        </w:rPr>
        <w:t>s</w:t>
      </w:r>
      <w:r w:rsidR="00F841C4" w:rsidRPr="002D3A2A">
        <w:rPr>
          <w:rFonts w:ascii="Times New Roman" w:hAnsi="Times New Roman" w:cs="Times New Roman"/>
          <w:sz w:val="28"/>
          <w:szCs w:val="28"/>
        </w:rPr>
        <w:t xml:space="preserve"> that the respondents </w:t>
      </w:r>
      <w:r w:rsidR="007F04BE" w:rsidRPr="002D3A2A">
        <w:rPr>
          <w:rFonts w:ascii="Times New Roman" w:hAnsi="Times New Roman" w:cs="Times New Roman"/>
          <w:sz w:val="28"/>
          <w:szCs w:val="28"/>
        </w:rPr>
        <w:t xml:space="preserve">declined to answer or provide satisfactory answers to </w:t>
      </w:r>
      <w:r w:rsidR="005B1AF5" w:rsidRPr="002D3A2A">
        <w:rPr>
          <w:rFonts w:ascii="Times New Roman" w:hAnsi="Times New Roman" w:cs="Times New Roman"/>
          <w:sz w:val="28"/>
          <w:szCs w:val="28"/>
        </w:rPr>
        <w:t>a number of pertinent</w:t>
      </w:r>
      <w:r w:rsidR="007F04BE" w:rsidRPr="002D3A2A">
        <w:rPr>
          <w:rFonts w:ascii="Times New Roman" w:hAnsi="Times New Roman" w:cs="Times New Roman"/>
          <w:sz w:val="28"/>
          <w:szCs w:val="28"/>
        </w:rPr>
        <w:t xml:space="preserve"> questions posed by SARS.</w:t>
      </w:r>
    </w:p>
    <w:p w14:paraId="568A3907" w14:textId="77777777" w:rsidR="007F04BE" w:rsidRPr="002D3A2A" w:rsidRDefault="007F04BE" w:rsidP="007F04BE">
      <w:pPr>
        <w:pStyle w:val="ListParagraph"/>
        <w:spacing w:after="0" w:line="360" w:lineRule="auto"/>
        <w:ind w:left="0"/>
        <w:jc w:val="both"/>
        <w:rPr>
          <w:rFonts w:ascii="Times New Roman" w:hAnsi="Times New Roman" w:cs="Times New Roman"/>
          <w:sz w:val="28"/>
          <w:szCs w:val="28"/>
        </w:rPr>
      </w:pPr>
    </w:p>
    <w:p w14:paraId="0FBAAC52" w14:textId="4A7FABFB" w:rsidR="003B6F25" w:rsidRPr="002D3A2A" w:rsidRDefault="005574B6" w:rsidP="00DF75BF">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Given that the impugned decision was not arbitrary, </w:t>
      </w:r>
      <w:r w:rsidR="003B6F25" w:rsidRPr="002D3A2A">
        <w:rPr>
          <w:rFonts w:ascii="Times New Roman" w:hAnsi="Times New Roman" w:cs="Times New Roman"/>
          <w:sz w:val="28"/>
          <w:szCs w:val="28"/>
        </w:rPr>
        <w:t>the respondent</w:t>
      </w:r>
      <w:r w:rsidR="002E56C1">
        <w:rPr>
          <w:rFonts w:ascii="Times New Roman" w:hAnsi="Times New Roman" w:cs="Times New Roman"/>
          <w:sz w:val="28"/>
          <w:szCs w:val="28"/>
        </w:rPr>
        <w:t>s’</w:t>
      </w:r>
      <w:r w:rsidR="003B6F25" w:rsidRPr="002D3A2A">
        <w:rPr>
          <w:rFonts w:ascii="Times New Roman" w:hAnsi="Times New Roman" w:cs="Times New Roman"/>
          <w:sz w:val="28"/>
          <w:szCs w:val="28"/>
        </w:rPr>
        <w:t xml:space="preserve"> remaining challenge based on unreasonableness in</w:t>
      </w:r>
      <w:r w:rsidR="009072E5" w:rsidRPr="002D3A2A">
        <w:rPr>
          <w:rFonts w:ascii="Times New Roman" w:hAnsi="Times New Roman" w:cs="Times New Roman"/>
          <w:sz w:val="28"/>
          <w:szCs w:val="28"/>
        </w:rPr>
        <w:t xml:space="preserve"> terms of </w:t>
      </w:r>
      <w:r w:rsidR="003B6F25" w:rsidRPr="002D3A2A">
        <w:rPr>
          <w:rFonts w:ascii="Times New Roman" w:hAnsi="Times New Roman" w:cs="Times New Roman"/>
          <w:sz w:val="28"/>
          <w:szCs w:val="28"/>
        </w:rPr>
        <w:t>s 6(2)</w:t>
      </w:r>
      <w:r w:rsidR="003B6F25" w:rsidRPr="002D3A2A">
        <w:rPr>
          <w:rFonts w:ascii="Times New Roman" w:hAnsi="Times New Roman" w:cs="Times New Roman"/>
          <w:i/>
          <w:sz w:val="28"/>
          <w:szCs w:val="28"/>
        </w:rPr>
        <w:t>(h)</w:t>
      </w:r>
      <w:r w:rsidR="003B6F25" w:rsidRPr="002D3A2A">
        <w:rPr>
          <w:rFonts w:ascii="Times New Roman" w:hAnsi="Times New Roman" w:cs="Times New Roman"/>
          <w:sz w:val="28"/>
          <w:szCs w:val="28"/>
        </w:rPr>
        <w:t xml:space="preserve"> of the PAJA, must fail. The decision is </w:t>
      </w:r>
      <w:r w:rsidR="00DF75BF" w:rsidRPr="002D3A2A">
        <w:rPr>
          <w:rFonts w:ascii="Times New Roman" w:hAnsi="Times New Roman" w:cs="Times New Roman"/>
          <w:sz w:val="28"/>
          <w:szCs w:val="28"/>
        </w:rPr>
        <w:t xml:space="preserve">not </w:t>
      </w:r>
      <w:r w:rsidR="003B6F25" w:rsidRPr="002D3A2A">
        <w:rPr>
          <w:rFonts w:ascii="Times New Roman" w:hAnsi="Times New Roman" w:cs="Times New Roman"/>
          <w:sz w:val="28"/>
          <w:szCs w:val="28"/>
        </w:rPr>
        <w:t xml:space="preserve">one that a reasonable decision-maker could </w:t>
      </w:r>
      <w:r w:rsidR="00DF75BF" w:rsidRPr="002D3A2A">
        <w:rPr>
          <w:rFonts w:ascii="Times New Roman" w:hAnsi="Times New Roman" w:cs="Times New Roman"/>
          <w:sz w:val="28"/>
          <w:szCs w:val="28"/>
        </w:rPr>
        <w:t xml:space="preserve">not </w:t>
      </w:r>
      <w:r w:rsidR="003B6F25" w:rsidRPr="002D3A2A">
        <w:rPr>
          <w:rFonts w:ascii="Times New Roman" w:hAnsi="Times New Roman" w:cs="Times New Roman"/>
          <w:sz w:val="28"/>
          <w:szCs w:val="28"/>
        </w:rPr>
        <w:t>reach.</w:t>
      </w:r>
      <w:r w:rsidR="003B6F25" w:rsidRPr="002D3A2A">
        <w:rPr>
          <w:rStyle w:val="FootnoteReference"/>
          <w:rFonts w:ascii="Times New Roman" w:hAnsi="Times New Roman" w:cs="Times New Roman"/>
          <w:sz w:val="28"/>
          <w:szCs w:val="28"/>
        </w:rPr>
        <w:footnoteReference w:id="22"/>
      </w:r>
    </w:p>
    <w:p w14:paraId="2657621C" w14:textId="13C45B98" w:rsidR="003B6F25" w:rsidRPr="002D3A2A" w:rsidRDefault="00A91BE9" w:rsidP="008A75C0">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lastRenderedPageBreak/>
        <w:t xml:space="preserve">Moreover, </w:t>
      </w:r>
      <w:r w:rsidR="00DF75BF" w:rsidRPr="002D3A2A">
        <w:rPr>
          <w:rFonts w:ascii="Times New Roman" w:hAnsi="Times New Roman" w:cs="Times New Roman"/>
          <w:sz w:val="28"/>
          <w:szCs w:val="28"/>
        </w:rPr>
        <w:t xml:space="preserve">SARS made </w:t>
      </w:r>
      <w:r w:rsidR="00161A7D" w:rsidRPr="002D3A2A">
        <w:rPr>
          <w:rFonts w:ascii="Times New Roman" w:hAnsi="Times New Roman" w:cs="Times New Roman"/>
          <w:sz w:val="28"/>
          <w:szCs w:val="28"/>
        </w:rPr>
        <w:t xml:space="preserve">the </w:t>
      </w:r>
      <w:r w:rsidR="00DF75BF" w:rsidRPr="002D3A2A">
        <w:rPr>
          <w:rFonts w:ascii="Times New Roman" w:hAnsi="Times New Roman" w:cs="Times New Roman"/>
          <w:sz w:val="28"/>
          <w:szCs w:val="28"/>
        </w:rPr>
        <w:t>impugned decision in its capacity as a specialist administrator</w:t>
      </w:r>
      <w:r w:rsidRPr="002D3A2A">
        <w:rPr>
          <w:rFonts w:ascii="Times New Roman" w:hAnsi="Times New Roman" w:cs="Times New Roman"/>
          <w:sz w:val="28"/>
          <w:szCs w:val="28"/>
        </w:rPr>
        <w:t xml:space="preserve"> with specific expertise i</w:t>
      </w:r>
      <w:r w:rsidR="00161A7D" w:rsidRPr="002D3A2A">
        <w:rPr>
          <w:rFonts w:ascii="Times New Roman" w:hAnsi="Times New Roman" w:cs="Times New Roman"/>
          <w:sz w:val="28"/>
          <w:szCs w:val="28"/>
        </w:rPr>
        <w:t>n the levying of customs duties</w:t>
      </w:r>
      <w:r w:rsidR="00DF75BF" w:rsidRPr="002D3A2A">
        <w:rPr>
          <w:rFonts w:ascii="Times New Roman" w:hAnsi="Times New Roman" w:cs="Times New Roman"/>
          <w:sz w:val="28"/>
          <w:szCs w:val="28"/>
        </w:rPr>
        <w:t>. It is a settled principle that</w:t>
      </w:r>
      <w:r w:rsidRPr="002D3A2A">
        <w:rPr>
          <w:rFonts w:ascii="Times New Roman" w:hAnsi="Times New Roman" w:cs="Times New Roman"/>
          <w:sz w:val="28"/>
          <w:szCs w:val="28"/>
        </w:rPr>
        <w:t xml:space="preserve"> the distinction between appeals and reviews remains significant</w:t>
      </w:r>
      <w:r w:rsidR="00161A7D" w:rsidRPr="002D3A2A">
        <w:rPr>
          <w:rFonts w:ascii="Times New Roman" w:hAnsi="Times New Roman" w:cs="Times New Roman"/>
          <w:sz w:val="28"/>
          <w:szCs w:val="28"/>
        </w:rPr>
        <w:t xml:space="preserve"> and </w:t>
      </w:r>
      <w:r w:rsidRPr="002D3A2A">
        <w:rPr>
          <w:rFonts w:ascii="Times New Roman" w:hAnsi="Times New Roman" w:cs="Times New Roman"/>
          <w:sz w:val="28"/>
          <w:szCs w:val="28"/>
        </w:rPr>
        <w:t>that courts</w:t>
      </w:r>
      <w:r w:rsidR="009D01C3" w:rsidRPr="002D3A2A">
        <w:rPr>
          <w:rFonts w:ascii="Times New Roman" w:hAnsi="Times New Roman" w:cs="Times New Roman"/>
          <w:sz w:val="28"/>
          <w:szCs w:val="28"/>
        </w:rPr>
        <w:t xml:space="preserve"> should be </w:t>
      </w:r>
      <w:r w:rsidR="00161A7D" w:rsidRPr="002D3A2A">
        <w:rPr>
          <w:rFonts w:ascii="Times New Roman" w:hAnsi="Times New Roman" w:cs="Times New Roman"/>
          <w:sz w:val="28"/>
          <w:szCs w:val="28"/>
        </w:rPr>
        <w:t>care</w:t>
      </w:r>
      <w:r w:rsidR="009D01C3" w:rsidRPr="002D3A2A">
        <w:rPr>
          <w:rFonts w:ascii="Times New Roman" w:hAnsi="Times New Roman" w:cs="Times New Roman"/>
          <w:sz w:val="28"/>
          <w:szCs w:val="28"/>
        </w:rPr>
        <w:t>ful</w:t>
      </w:r>
      <w:r w:rsidR="00161A7D" w:rsidRPr="002D3A2A">
        <w:rPr>
          <w:rFonts w:ascii="Times New Roman" w:hAnsi="Times New Roman" w:cs="Times New Roman"/>
          <w:sz w:val="28"/>
          <w:szCs w:val="28"/>
        </w:rPr>
        <w:t xml:space="preserve"> not to usurp</w:t>
      </w:r>
      <w:r w:rsidRPr="002D3A2A">
        <w:rPr>
          <w:rFonts w:ascii="Times New Roman" w:hAnsi="Times New Roman" w:cs="Times New Roman"/>
          <w:sz w:val="28"/>
          <w:szCs w:val="28"/>
        </w:rPr>
        <w:t xml:space="preserve"> the functions of administrative agencies.</w:t>
      </w:r>
      <w:r w:rsidR="00161A7D" w:rsidRPr="002D3A2A">
        <w:rPr>
          <w:rStyle w:val="FootnoteReference"/>
          <w:rFonts w:ascii="Times New Roman" w:hAnsi="Times New Roman" w:cs="Times New Roman"/>
          <w:sz w:val="28"/>
          <w:szCs w:val="28"/>
        </w:rPr>
        <w:footnoteReference w:id="23"/>
      </w:r>
      <w:r w:rsidR="00161A7D" w:rsidRPr="002D3A2A">
        <w:rPr>
          <w:rFonts w:ascii="Times New Roman" w:hAnsi="Times New Roman" w:cs="Times New Roman"/>
          <w:sz w:val="28"/>
          <w:szCs w:val="28"/>
        </w:rPr>
        <w:t xml:space="preserve"> In </w:t>
      </w:r>
      <w:r w:rsidRPr="002D3A2A">
        <w:rPr>
          <w:rFonts w:ascii="Times New Roman" w:hAnsi="Times New Roman" w:cs="Times New Roman"/>
          <w:i/>
          <w:sz w:val="28"/>
          <w:szCs w:val="28"/>
        </w:rPr>
        <w:t>Bato Star</w:t>
      </w:r>
      <w:r w:rsidR="00B74AC5" w:rsidRPr="002D3A2A">
        <w:rPr>
          <w:rFonts w:ascii="Times New Roman" w:hAnsi="Times New Roman" w:cs="Times New Roman"/>
          <w:i/>
          <w:sz w:val="28"/>
          <w:szCs w:val="28"/>
        </w:rPr>
        <w:t xml:space="preserve"> </w:t>
      </w:r>
      <w:r w:rsidR="005B1AF5" w:rsidRPr="002D3A2A">
        <w:rPr>
          <w:rFonts w:ascii="Times New Roman" w:hAnsi="Times New Roman" w:cs="Times New Roman"/>
          <w:sz w:val="28"/>
          <w:szCs w:val="28"/>
        </w:rPr>
        <w:t xml:space="preserve">O’ Regan J described </w:t>
      </w:r>
      <w:r w:rsidR="00161A7D" w:rsidRPr="002D3A2A">
        <w:rPr>
          <w:rFonts w:ascii="Times New Roman" w:hAnsi="Times New Roman" w:cs="Times New Roman"/>
          <w:sz w:val="28"/>
          <w:szCs w:val="28"/>
        </w:rPr>
        <w:t>judicial deference as follows</w:t>
      </w:r>
      <w:r w:rsidRPr="002D3A2A">
        <w:rPr>
          <w:rFonts w:ascii="Times New Roman" w:hAnsi="Times New Roman" w:cs="Times New Roman"/>
          <w:sz w:val="28"/>
          <w:szCs w:val="28"/>
        </w:rPr>
        <w:t>:</w:t>
      </w:r>
      <w:r w:rsidR="00161A7D" w:rsidRPr="002D3A2A">
        <w:rPr>
          <w:rStyle w:val="FootnoteReference"/>
          <w:rFonts w:ascii="Times New Roman" w:hAnsi="Times New Roman" w:cs="Times New Roman"/>
          <w:sz w:val="28"/>
          <w:szCs w:val="28"/>
        </w:rPr>
        <w:footnoteReference w:id="24"/>
      </w:r>
    </w:p>
    <w:p w14:paraId="015BA258" w14:textId="77777777" w:rsidR="00161A7D" w:rsidRPr="002D3A2A" w:rsidRDefault="00161A7D" w:rsidP="00161A7D">
      <w:pPr>
        <w:pStyle w:val="ListParagraph"/>
        <w:spacing w:after="0" w:line="360" w:lineRule="auto"/>
        <w:ind w:left="0"/>
        <w:jc w:val="both"/>
        <w:rPr>
          <w:rFonts w:ascii="Times New Roman" w:hAnsi="Times New Roman" w:cs="Times New Roman"/>
          <w:sz w:val="24"/>
          <w:szCs w:val="24"/>
        </w:rPr>
      </w:pPr>
      <w:r w:rsidRPr="002D3A2A">
        <w:rPr>
          <w:rFonts w:ascii="Times New Roman" w:hAnsi="Times New Roman" w:cs="Times New Roman"/>
          <w:sz w:val="24"/>
          <w:szCs w:val="24"/>
        </w:rPr>
        <w:t xml:space="preserve">‘[A] judicial willingness to appreciate the legitimate and constitutionally-ordained province of administrative agencies; to admit the </w:t>
      </w:r>
      <w:r w:rsidR="009D01C3" w:rsidRPr="002D3A2A">
        <w:rPr>
          <w:rFonts w:ascii="Times New Roman" w:hAnsi="Times New Roman" w:cs="Times New Roman"/>
          <w:sz w:val="24"/>
          <w:szCs w:val="24"/>
        </w:rPr>
        <w:t xml:space="preserve">expertise of those agencies in </w:t>
      </w:r>
      <w:r w:rsidRPr="002D3A2A">
        <w:rPr>
          <w:rFonts w:ascii="Times New Roman" w:hAnsi="Times New Roman" w:cs="Times New Roman"/>
          <w:sz w:val="24"/>
          <w:szCs w:val="24"/>
        </w:rPr>
        <w:t>policy laden or polycentric issues, to accord the interpretations of fact and law due respect; and to be sensitive in general to the interests legitimately pursued by administrative bodies and the practical and financial constraints under which they operate.</w:t>
      </w:r>
      <w:r w:rsidR="009D01C3" w:rsidRPr="002D3A2A">
        <w:rPr>
          <w:rFonts w:ascii="Times New Roman" w:hAnsi="Times New Roman" w:cs="Times New Roman"/>
          <w:sz w:val="24"/>
          <w:szCs w:val="24"/>
        </w:rPr>
        <w:t xml:space="preserve"> This type of de</w:t>
      </w:r>
      <w:r w:rsidRPr="002D3A2A">
        <w:rPr>
          <w:rFonts w:ascii="Times New Roman" w:hAnsi="Times New Roman" w:cs="Times New Roman"/>
          <w:sz w:val="24"/>
          <w:szCs w:val="24"/>
        </w:rPr>
        <w:t>ference is perfectly consistent with a concern for individual rights and a refusal to tolerate corruption and maladministration. It ought to be shaped . . .</w:t>
      </w:r>
      <w:r w:rsidR="009D01C3" w:rsidRPr="002D3A2A">
        <w:rPr>
          <w:rFonts w:ascii="Times New Roman" w:hAnsi="Times New Roman" w:cs="Times New Roman"/>
          <w:sz w:val="24"/>
          <w:szCs w:val="24"/>
        </w:rPr>
        <w:t xml:space="preserve"> by a careful weighing up of the need for – and the consequences of – judicial intervention. Above all, it ought to be shaped by a conscious determination not to usurp the functions of administrative agencies; not to cross over from review to appeal.’</w:t>
      </w:r>
      <w:r w:rsidRPr="002D3A2A">
        <w:rPr>
          <w:rFonts w:ascii="Times New Roman" w:hAnsi="Times New Roman" w:cs="Times New Roman"/>
          <w:sz w:val="24"/>
          <w:szCs w:val="24"/>
        </w:rPr>
        <w:t xml:space="preserve"> </w:t>
      </w:r>
    </w:p>
    <w:p w14:paraId="336FB91A" w14:textId="77777777" w:rsidR="009D01C3" w:rsidRPr="002D3A2A" w:rsidRDefault="009D01C3" w:rsidP="00161A7D">
      <w:pPr>
        <w:pStyle w:val="ListParagraph"/>
        <w:spacing w:after="0" w:line="360" w:lineRule="auto"/>
        <w:ind w:left="0"/>
        <w:jc w:val="both"/>
        <w:rPr>
          <w:rFonts w:ascii="Times New Roman" w:hAnsi="Times New Roman" w:cs="Times New Roman"/>
          <w:sz w:val="28"/>
          <w:szCs w:val="28"/>
        </w:rPr>
      </w:pPr>
    </w:p>
    <w:p w14:paraId="601CD796" w14:textId="6EFA8340" w:rsidR="000D22F2" w:rsidRPr="002D3A2A" w:rsidRDefault="005B1AF5" w:rsidP="009D12E3">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For </w:t>
      </w:r>
      <w:r w:rsidR="009D12E3" w:rsidRPr="002D3A2A">
        <w:rPr>
          <w:rFonts w:ascii="Times New Roman" w:hAnsi="Times New Roman" w:cs="Times New Roman"/>
          <w:sz w:val="28"/>
          <w:szCs w:val="28"/>
        </w:rPr>
        <w:t>the reasons set out above,</w:t>
      </w:r>
      <w:r w:rsidR="000D22F2" w:rsidRPr="002D3A2A">
        <w:rPr>
          <w:rFonts w:ascii="Times New Roman" w:hAnsi="Times New Roman" w:cs="Times New Roman"/>
          <w:sz w:val="28"/>
          <w:szCs w:val="28"/>
        </w:rPr>
        <w:t xml:space="preserve"> the high court erred in holding that the impugned decision was </w:t>
      </w:r>
      <w:r w:rsidR="00BA40BA" w:rsidRPr="002D3A2A">
        <w:rPr>
          <w:rFonts w:ascii="Times New Roman" w:hAnsi="Times New Roman" w:cs="Times New Roman"/>
          <w:sz w:val="28"/>
          <w:szCs w:val="28"/>
        </w:rPr>
        <w:t xml:space="preserve">unlawful </w:t>
      </w:r>
      <w:r w:rsidR="000D22F2" w:rsidRPr="002D3A2A">
        <w:rPr>
          <w:rFonts w:ascii="Times New Roman" w:hAnsi="Times New Roman" w:cs="Times New Roman"/>
          <w:sz w:val="28"/>
          <w:szCs w:val="28"/>
        </w:rPr>
        <w:t>and thus reviewable. It follows that the appeal must succeed.</w:t>
      </w:r>
    </w:p>
    <w:p w14:paraId="4D878339" w14:textId="77777777" w:rsidR="009D12E3" w:rsidRPr="002D3A2A" w:rsidRDefault="000D22F2" w:rsidP="000D22F2">
      <w:pPr>
        <w:pStyle w:val="ListParagraph"/>
        <w:spacing w:after="0" w:line="360" w:lineRule="auto"/>
        <w:ind w:left="0"/>
        <w:jc w:val="both"/>
        <w:rPr>
          <w:rFonts w:ascii="Times New Roman" w:hAnsi="Times New Roman" w:cs="Times New Roman"/>
          <w:sz w:val="28"/>
          <w:szCs w:val="28"/>
        </w:rPr>
      </w:pPr>
      <w:r w:rsidRPr="002D3A2A">
        <w:rPr>
          <w:rFonts w:ascii="Times New Roman" w:hAnsi="Times New Roman" w:cs="Times New Roman"/>
          <w:sz w:val="28"/>
          <w:szCs w:val="28"/>
        </w:rPr>
        <w:t xml:space="preserve"> </w:t>
      </w:r>
    </w:p>
    <w:p w14:paraId="409B151D" w14:textId="77777777" w:rsidR="00E20026" w:rsidRPr="002D3A2A" w:rsidRDefault="00E20026" w:rsidP="00E20026">
      <w:pPr>
        <w:pStyle w:val="ListParagraph"/>
        <w:spacing w:after="0" w:line="360" w:lineRule="auto"/>
        <w:ind w:left="0"/>
        <w:jc w:val="both"/>
        <w:rPr>
          <w:rFonts w:ascii="Times New Roman" w:hAnsi="Times New Roman" w:cs="Times New Roman"/>
          <w:b/>
          <w:sz w:val="28"/>
          <w:szCs w:val="28"/>
        </w:rPr>
      </w:pPr>
      <w:r w:rsidRPr="002D3A2A">
        <w:rPr>
          <w:rFonts w:ascii="Times New Roman" w:hAnsi="Times New Roman" w:cs="Times New Roman"/>
          <w:b/>
          <w:sz w:val="28"/>
          <w:szCs w:val="28"/>
        </w:rPr>
        <w:t>The intervention application</w:t>
      </w:r>
    </w:p>
    <w:p w14:paraId="1885C810" w14:textId="77777777" w:rsidR="00E20026" w:rsidRPr="002D3A2A" w:rsidRDefault="00E20026" w:rsidP="00E20026">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At the hearing of this appeal, an application filed in this Court in August 2021 by the Southern African Clothing and Textile Workers Union (SACTWU), for leave to intervene as an appellant in these proceedings, was refused with costs. SACTWU was advised that the reasons for that order would be given in this judgment. These are the reasons. </w:t>
      </w:r>
    </w:p>
    <w:p w14:paraId="5F58CF13" w14:textId="77777777" w:rsidR="00E20026" w:rsidRPr="002D3A2A" w:rsidRDefault="00E20026" w:rsidP="00E20026">
      <w:pPr>
        <w:pStyle w:val="ListParagraph"/>
        <w:spacing w:after="0" w:line="360" w:lineRule="auto"/>
        <w:ind w:left="0"/>
        <w:jc w:val="both"/>
        <w:rPr>
          <w:rFonts w:ascii="Times New Roman" w:hAnsi="Times New Roman" w:cs="Times New Roman"/>
          <w:sz w:val="28"/>
          <w:szCs w:val="28"/>
        </w:rPr>
      </w:pPr>
    </w:p>
    <w:p w14:paraId="6D0CEDC2" w14:textId="77777777" w:rsidR="00E20026" w:rsidRPr="002D3A2A" w:rsidRDefault="00E20026" w:rsidP="00E20026">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SACTWU’s intervention application is in effect a disguised application to this Court for leave to appeal. It was a party in the review application in the high </w:t>
      </w:r>
      <w:r w:rsidRPr="002D3A2A">
        <w:rPr>
          <w:rFonts w:ascii="Times New Roman" w:hAnsi="Times New Roman" w:cs="Times New Roman"/>
          <w:sz w:val="28"/>
          <w:szCs w:val="28"/>
        </w:rPr>
        <w:lastRenderedPageBreak/>
        <w:t>court. However, it failed to file an application for leave to appeal that court’s order. Its explanation for this failure was that it needed to assess its financial position as a result of the effects of Covid-19 on its resources. This explanation however is superficial and unconvincing. More fundamentally, the refusal of an application for leave to appeal under s 17(2)</w:t>
      </w:r>
      <w:r w:rsidRPr="002D3A2A">
        <w:rPr>
          <w:rFonts w:ascii="Times New Roman" w:hAnsi="Times New Roman" w:cs="Times New Roman"/>
          <w:i/>
          <w:sz w:val="28"/>
          <w:szCs w:val="28"/>
        </w:rPr>
        <w:t>(a)</w:t>
      </w:r>
      <w:r w:rsidRPr="002D3A2A">
        <w:rPr>
          <w:rFonts w:ascii="Times New Roman" w:hAnsi="Times New Roman" w:cs="Times New Roman"/>
          <w:sz w:val="28"/>
          <w:szCs w:val="28"/>
        </w:rPr>
        <w:t xml:space="preserve"> of the Superior Courts Act 10 of 2013, is a jurisdictional fact for an appeal to this Court.</w:t>
      </w:r>
      <w:r w:rsidRPr="002D3A2A">
        <w:rPr>
          <w:rStyle w:val="FootnoteReference"/>
          <w:rFonts w:ascii="Times New Roman" w:hAnsi="Times New Roman" w:cs="Times New Roman"/>
          <w:sz w:val="28"/>
          <w:szCs w:val="28"/>
        </w:rPr>
        <w:footnoteReference w:id="25"/>
      </w:r>
      <w:r w:rsidRPr="002D3A2A">
        <w:rPr>
          <w:rFonts w:ascii="Times New Roman" w:hAnsi="Times New Roman" w:cs="Times New Roman"/>
          <w:sz w:val="28"/>
          <w:szCs w:val="28"/>
        </w:rPr>
        <w:t xml:space="preserve"> In terms of s 17(2)</w:t>
      </w:r>
      <w:r w:rsidRPr="002D3A2A">
        <w:rPr>
          <w:rFonts w:ascii="Times New Roman" w:hAnsi="Times New Roman" w:cs="Times New Roman"/>
          <w:i/>
          <w:sz w:val="28"/>
          <w:szCs w:val="28"/>
        </w:rPr>
        <w:t>(b)</w:t>
      </w:r>
      <w:r w:rsidRPr="002D3A2A">
        <w:rPr>
          <w:rFonts w:ascii="Times New Roman" w:hAnsi="Times New Roman" w:cs="Times New Roman"/>
          <w:sz w:val="28"/>
          <w:szCs w:val="28"/>
        </w:rPr>
        <w:t xml:space="preserve"> of that Act, this Court’s jurisdiction to grant leave itself is dependent on the court below having refused leave to appeal.</w:t>
      </w:r>
      <w:r w:rsidRPr="002D3A2A">
        <w:rPr>
          <w:rStyle w:val="FootnoteReference"/>
          <w:rFonts w:ascii="Times New Roman" w:hAnsi="Times New Roman" w:cs="Times New Roman"/>
          <w:sz w:val="28"/>
          <w:szCs w:val="28"/>
        </w:rPr>
        <w:footnoteReference w:id="26"/>
      </w:r>
      <w:r w:rsidRPr="002D3A2A">
        <w:rPr>
          <w:rFonts w:ascii="Times New Roman" w:hAnsi="Times New Roman" w:cs="Times New Roman"/>
          <w:sz w:val="28"/>
          <w:szCs w:val="28"/>
        </w:rPr>
        <w:t xml:space="preserve"> Thus, s 17(2)</w:t>
      </w:r>
      <w:r w:rsidRPr="002D3A2A">
        <w:rPr>
          <w:rFonts w:ascii="Times New Roman" w:hAnsi="Times New Roman" w:cs="Times New Roman"/>
          <w:i/>
          <w:sz w:val="28"/>
          <w:szCs w:val="28"/>
        </w:rPr>
        <w:t>(b)</w:t>
      </w:r>
      <w:r w:rsidRPr="002D3A2A">
        <w:rPr>
          <w:rFonts w:ascii="Times New Roman" w:hAnsi="Times New Roman" w:cs="Times New Roman"/>
          <w:sz w:val="28"/>
          <w:szCs w:val="28"/>
        </w:rPr>
        <w:t xml:space="preserve"> not only prescribes the proper procedure, but also defines the jurisdiction of this Court to entertain an application for leave to appeal. </w:t>
      </w:r>
    </w:p>
    <w:p w14:paraId="240A0DDC" w14:textId="77777777" w:rsidR="00E20026" w:rsidRPr="002D3A2A" w:rsidRDefault="00E20026" w:rsidP="00E20026">
      <w:pPr>
        <w:pStyle w:val="ListParagraph"/>
        <w:spacing w:after="0" w:line="360" w:lineRule="auto"/>
        <w:ind w:left="0"/>
        <w:jc w:val="both"/>
        <w:rPr>
          <w:rFonts w:ascii="Times New Roman" w:hAnsi="Times New Roman" w:cs="Times New Roman"/>
          <w:sz w:val="28"/>
          <w:szCs w:val="28"/>
        </w:rPr>
      </w:pPr>
    </w:p>
    <w:p w14:paraId="30C2776E" w14:textId="1112CEEE" w:rsidR="00E20026" w:rsidRPr="002D3A2A" w:rsidRDefault="00E20026" w:rsidP="00E20026">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Apart from this, SACTWU has not shown that it has a legal interest in the subject matter of the appeal which may be affected by the decision of this Court.</w:t>
      </w:r>
      <w:r w:rsidRPr="002D3A2A">
        <w:rPr>
          <w:rStyle w:val="FootnoteReference"/>
          <w:rFonts w:ascii="Times New Roman" w:hAnsi="Times New Roman" w:cs="Times New Roman"/>
          <w:sz w:val="28"/>
          <w:szCs w:val="28"/>
        </w:rPr>
        <w:footnoteReference w:id="27"/>
      </w:r>
      <w:r w:rsidRPr="002D3A2A">
        <w:rPr>
          <w:rFonts w:ascii="Times New Roman" w:hAnsi="Times New Roman" w:cs="Times New Roman"/>
          <w:sz w:val="28"/>
          <w:szCs w:val="28"/>
        </w:rPr>
        <w:t xml:space="preserve"> This appeal is against the high court’s order reviewing and setting aside the impugned decision. Any order that this Court might make will have no effect on SACTWU or its avowed interest of protecting the local clothing and textile industries. For these reasons, SACTWU’s intervention application could not be </w:t>
      </w:r>
      <w:r w:rsidR="00194961" w:rsidRPr="002D3A2A">
        <w:rPr>
          <w:rFonts w:ascii="Times New Roman" w:hAnsi="Times New Roman" w:cs="Times New Roman"/>
          <w:sz w:val="28"/>
          <w:szCs w:val="28"/>
        </w:rPr>
        <w:t>entertained</w:t>
      </w:r>
      <w:r w:rsidRPr="002D3A2A">
        <w:rPr>
          <w:rFonts w:ascii="Times New Roman" w:hAnsi="Times New Roman" w:cs="Times New Roman"/>
          <w:sz w:val="28"/>
          <w:szCs w:val="28"/>
        </w:rPr>
        <w:t xml:space="preserve"> and was thus refused with costs.</w:t>
      </w:r>
    </w:p>
    <w:p w14:paraId="2F6C8DE1" w14:textId="77777777" w:rsidR="00E20026" w:rsidRPr="002D3A2A" w:rsidRDefault="00E20026" w:rsidP="00E20026">
      <w:pPr>
        <w:pStyle w:val="ListParagraph"/>
        <w:spacing w:after="0" w:line="360" w:lineRule="auto"/>
        <w:ind w:left="0"/>
        <w:jc w:val="both"/>
        <w:rPr>
          <w:rFonts w:ascii="Times New Roman" w:hAnsi="Times New Roman" w:cs="Times New Roman"/>
          <w:sz w:val="28"/>
          <w:szCs w:val="28"/>
        </w:rPr>
      </w:pPr>
    </w:p>
    <w:p w14:paraId="728BBF2F" w14:textId="77777777" w:rsidR="00E20026" w:rsidRPr="002D3A2A" w:rsidRDefault="00E20026" w:rsidP="00E20026">
      <w:pPr>
        <w:pStyle w:val="ListParagraph"/>
        <w:spacing w:after="0" w:line="360" w:lineRule="auto"/>
        <w:ind w:left="0"/>
        <w:jc w:val="both"/>
        <w:rPr>
          <w:rFonts w:ascii="Times New Roman" w:hAnsi="Times New Roman" w:cs="Times New Roman"/>
          <w:b/>
          <w:sz w:val="28"/>
          <w:szCs w:val="28"/>
        </w:rPr>
      </w:pPr>
      <w:r w:rsidRPr="002D3A2A">
        <w:rPr>
          <w:rFonts w:ascii="Times New Roman" w:hAnsi="Times New Roman" w:cs="Times New Roman"/>
          <w:b/>
          <w:sz w:val="28"/>
          <w:szCs w:val="28"/>
        </w:rPr>
        <w:t>The order</w:t>
      </w:r>
    </w:p>
    <w:p w14:paraId="76327518" w14:textId="77777777" w:rsidR="00E20026" w:rsidRPr="002D3A2A" w:rsidRDefault="00E20026" w:rsidP="00E20026">
      <w:pPr>
        <w:pStyle w:val="ListParagraph"/>
        <w:numPr>
          <w:ilvl w:val="0"/>
          <w:numId w:val="19"/>
        </w:numPr>
        <w:spacing w:after="0" w:line="360" w:lineRule="auto"/>
        <w:ind w:left="0" w:firstLine="0"/>
        <w:jc w:val="both"/>
        <w:rPr>
          <w:rFonts w:ascii="Times New Roman" w:hAnsi="Times New Roman" w:cs="Times New Roman"/>
          <w:sz w:val="28"/>
          <w:szCs w:val="28"/>
        </w:rPr>
      </w:pPr>
      <w:r w:rsidRPr="002D3A2A">
        <w:rPr>
          <w:rFonts w:ascii="Times New Roman" w:hAnsi="Times New Roman" w:cs="Times New Roman"/>
          <w:sz w:val="28"/>
          <w:szCs w:val="28"/>
        </w:rPr>
        <w:t xml:space="preserve"> In the result the following order is issued: </w:t>
      </w:r>
    </w:p>
    <w:p w14:paraId="08C2FFDA" w14:textId="61EFF782" w:rsidR="00E20026" w:rsidRPr="002D3A2A" w:rsidRDefault="00E20026" w:rsidP="00E20026">
      <w:pPr>
        <w:shd w:val="clear" w:color="auto" w:fill="FFFFFF"/>
        <w:tabs>
          <w:tab w:val="left" w:pos="567"/>
        </w:tabs>
        <w:spacing w:after="120" w:line="360" w:lineRule="auto"/>
        <w:ind w:left="567" w:hanging="567"/>
        <w:jc w:val="both"/>
        <w:rPr>
          <w:rFonts w:ascii="Times New Roman" w:eastAsia="Times New Roman" w:hAnsi="Times New Roman" w:cs="Times New Roman"/>
          <w:bCs/>
          <w:sz w:val="28"/>
          <w:szCs w:val="28"/>
          <w:lang w:val="en-US"/>
        </w:rPr>
      </w:pPr>
      <w:r w:rsidRPr="002D3A2A">
        <w:rPr>
          <w:rFonts w:ascii="Times New Roman" w:eastAsia="Times New Roman" w:hAnsi="Times New Roman" w:cs="Times New Roman"/>
          <w:bCs/>
          <w:sz w:val="28"/>
          <w:szCs w:val="28"/>
          <w:lang w:val="en-US"/>
        </w:rPr>
        <w:lastRenderedPageBreak/>
        <w:t>1</w:t>
      </w:r>
      <w:r w:rsidRPr="002D3A2A">
        <w:rPr>
          <w:rFonts w:ascii="Times New Roman" w:eastAsia="Times New Roman" w:hAnsi="Times New Roman" w:cs="Times New Roman"/>
          <w:bCs/>
          <w:sz w:val="28"/>
          <w:szCs w:val="28"/>
          <w:lang w:val="en-US"/>
        </w:rPr>
        <w:tab/>
        <w:t>The application for intervention by the Southern African Textile and Clothing Workers’ Union is struck from the roll with costs. Such costs shall include the costs of only one junior counsel.</w:t>
      </w:r>
    </w:p>
    <w:p w14:paraId="3BDDF17D" w14:textId="0FB2F626" w:rsidR="00E20026" w:rsidRPr="002D3A2A" w:rsidRDefault="00E20026" w:rsidP="00E20026">
      <w:pPr>
        <w:shd w:val="clear" w:color="auto" w:fill="FFFFFF"/>
        <w:tabs>
          <w:tab w:val="left" w:pos="567"/>
        </w:tabs>
        <w:spacing w:after="120" w:line="360" w:lineRule="auto"/>
        <w:ind w:left="567" w:hanging="567"/>
        <w:jc w:val="both"/>
        <w:rPr>
          <w:rFonts w:ascii="Times New Roman" w:eastAsia="Times New Roman" w:hAnsi="Times New Roman" w:cs="Times New Roman"/>
          <w:bCs/>
          <w:sz w:val="28"/>
          <w:szCs w:val="28"/>
          <w:lang w:val="en-US"/>
        </w:rPr>
      </w:pPr>
      <w:r w:rsidRPr="002D3A2A">
        <w:rPr>
          <w:rFonts w:ascii="Times New Roman" w:eastAsia="Times New Roman" w:hAnsi="Times New Roman" w:cs="Times New Roman"/>
          <w:bCs/>
          <w:sz w:val="28"/>
          <w:szCs w:val="28"/>
          <w:lang w:val="en-US"/>
        </w:rPr>
        <w:t>2</w:t>
      </w:r>
      <w:r w:rsidRPr="002D3A2A">
        <w:rPr>
          <w:rFonts w:ascii="Times New Roman" w:eastAsia="Times New Roman" w:hAnsi="Times New Roman" w:cs="Times New Roman"/>
          <w:bCs/>
          <w:sz w:val="28"/>
          <w:szCs w:val="28"/>
          <w:lang w:val="en-US"/>
        </w:rPr>
        <w:tab/>
        <w:t xml:space="preserve">The appeal is upheld with costs, including the costs of two counsel where so employed. Such costs shall be paid by the respondents jointly and severally, </w:t>
      </w:r>
      <w:r w:rsidR="00895CAB">
        <w:rPr>
          <w:rFonts w:ascii="Times New Roman" w:eastAsia="Times New Roman" w:hAnsi="Times New Roman" w:cs="Times New Roman"/>
          <w:bCs/>
          <w:sz w:val="28"/>
          <w:szCs w:val="28"/>
          <w:lang w:val="en-US"/>
        </w:rPr>
        <w:t xml:space="preserve">the </w:t>
      </w:r>
      <w:r w:rsidRPr="002D3A2A">
        <w:rPr>
          <w:rFonts w:ascii="Times New Roman" w:eastAsia="Times New Roman" w:hAnsi="Times New Roman" w:cs="Times New Roman"/>
          <w:bCs/>
          <w:sz w:val="28"/>
          <w:szCs w:val="28"/>
          <w:lang w:val="en-US"/>
        </w:rPr>
        <w:t>one paying the others to be absolved.</w:t>
      </w:r>
    </w:p>
    <w:p w14:paraId="4C861117" w14:textId="77777777" w:rsidR="00E20026" w:rsidRPr="002D3A2A" w:rsidRDefault="00E20026" w:rsidP="00E20026">
      <w:pPr>
        <w:shd w:val="clear" w:color="auto" w:fill="FFFFFF"/>
        <w:tabs>
          <w:tab w:val="left" w:pos="567"/>
        </w:tabs>
        <w:spacing w:after="120" w:line="360" w:lineRule="auto"/>
        <w:jc w:val="both"/>
        <w:rPr>
          <w:rFonts w:ascii="Times New Roman" w:eastAsia="Times New Roman" w:hAnsi="Times New Roman" w:cs="Times New Roman"/>
          <w:bCs/>
          <w:sz w:val="28"/>
          <w:szCs w:val="28"/>
          <w:lang w:val="en-US"/>
        </w:rPr>
      </w:pPr>
      <w:r w:rsidRPr="002D3A2A">
        <w:rPr>
          <w:rFonts w:ascii="Times New Roman" w:eastAsia="Times New Roman" w:hAnsi="Times New Roman" w:cs="Times New Roman"/>
          <w:bCs/>
          <w:sz w:val="28"/>
          <w:szCs w:val="28"/>
          <w:lang w:val="en-US"/>
        </w:rPr>
        <w:t>3</w:t>
      </w:r>
      <w:r w:rsidRPr="002D3A2A">
        <w:rPr>
          <w:rFonts w:ascii="Times New Roman" w:eastAsia="Times New Roman" w:hAnsi="Times New Roman" w:cs="Times New Roman"/>
          <w:bCs/>
          <w:sz w:val="28"/>
          <w:szCs w:val="28"/>
          <w:lang w:val="en-US"/>
        </w:rPr>
        <w:tab/>
        <w:t>The order of the high court is set aside and replaced by the following:</w:t>
      </w:r>
    </w:p>
    <w:p w14:paraId="4E4A8089" w14:textId="77777777" w:rsidR="00E20026" w:rsidRPr="002D3A2A" w:rsidRDefault="00E20026" w:rsidP="00CC2654">
      <w:pPr>
        <w:pStyle w:val="ListParagraph"/>
        <w:spacing w:after="0" w:line="360" w:lineRule="auto"/>
        <w:ind w:left="567" w:hanging="720"/>
        <w:jc w:val="both"/>
        <w:rPr>
          <w:rFonts w:ascii="Times New Roman" w:hAnsi="Times New Roman" w:cs="Times New Roman"/>
          <w:sz w:val="28"/>
          <w:szCs w:val="28"/>
        </w:rPr>
      </w:pPr>
      <w:r w:rsidRPr="002D3A2A">
        <w:rPr>
          <w:rFonts w:ascii="Times New Roman" w:eastAsia="Times New Roman" w:hAnsi="Times New Roman" w:cs="Times New Roman"/>
          <w:bCs/>
          <w:sz w:val="28"/>
          <w:szCs w:val="28"/>
          <w:lang w:val="en-US"/>
        </w:rPr>
        <w:tab/>
        <w:t>‘The application is dismissed. The applicants are directed to pay the costs of the application, including the costs of two counsel where so employed, jointly and severally, the one paying the others to be absolved.’</w:t>
      </w:r>
    </w:p>
    <w:p w14:paraId="1B31F82A" w14:textId="77777777" w:rsidR="00E20026" w:rsidRPr="002D3A2A" w:rsidRDefault="00E20026" w:rsidP="00E20026">
      <w:pPr>
        <w:spacing w:after="0" w:line="360" w:lineRule="auto"/>
        <w:jc w:val="both"/>
        <w:rPr>
          <w:rFonts w:ascii="Times New Roman" w:hAnsi="Times New Roman" w:cs="Times New Roman"/>
          <w:sz w:val="28"/>
          <w:szCs w:val="28"/>
        </w:rPr>
      </w:pPr>
    </w:p>
    <w:p w14:paraId="670A286A" w14:textId="77777777" w:rsidR="00E20026" w:rsidRPr="002D3A2A" w:rsidRDefault="00E20026" w:rsidP="00E20026">
      <w:pPr>
        <w:spacing w:after="0" w:line="360" w:lineRule="auto"/>
        <w:jc w:val="both"/>
        <w:rPr>
          <w:rFonts w:ascii="Times New Roman" w:hAnsi="Times New Roman" w:cs="Times New Roman"/>
          <w:sz w:val="28"/>
          <w:szCs w:val="28"/>
        </w:rPr>
      </w:pPr>
    </w:p>
    <w:p w14:paraId="0BBD5D74" w14:textId="77777777" w:rsidR="00E20026" w:rsidRPr="002D3A2A" w:rsidRDefault="00E20026" w:rsidP="00E20026">
      <w:pPr>
        <w:spacing w:after="0" w:line="360" w:lineRule="auto"/>
        <w:jc w:val="both"/>
        <w:rPr>
          <w:rFonts w:ascii="Times New Roman" w:hAnsi="Times New Roman" w:cs="Times New Roman"/>
          <w:sz w:val="28"/>
          <w:szCs w:val="28"/>
        </w:rPr>
      </w:pPr>
    </w:p>
    <w:p w14:paraId="7AB6D0AD" w14:textId="77777777" w:rsidR="00E20026" w:rsidRPr="002D3A2A" w:rsidRDefault="00E20026" w:rsidP="00E20026">
      <w:pPr>
        <w:spacing w:after="0" w:line="360" w:lineRule="auto"/>
        <w:jc w:val="both"/>
        <w:rPr>
          <w:rFonts w:ascii="Times New Roman" w:hAnsi="Times New Roman" w:cs="Times New Roman"/>
          <w:sz w:val="28"/>
          <w:szCs w:val="28"/>
        </w:rPr>
      </w:pPr>
    </w:p>
    <w:p w14:paraId="52707D20" w14:textId="77777777" w:rsidR="00E20026" w:rsidRPr="002D3A2A" w:rsidRDefault="00E20026" w:rsidP="00E20026">
      <w:pPr>
        <w:spacing w:after="0" w:line="360" w:lineRule="auto"/>
        <w:jc w:val="both"/>
        <w:rPr>
          <w:rFonts w:ascii="Times New Roman" w:hAnsi="Times New Roman" w:cs="Times New Roman"/>
          <w:sz w:val="28"/>
          <w:szCs w:val="28"/>
        </w:rPr>
      </w:pPr>
    </w:p>
    <w:p w14:paraId="407D0D44" w14:textId="77777777" w:rsidR="00E20026" w:rsidRPr="002D3A2A" w:rsidRDefault="00E20026" w:rsidP="00E20026">
      <w:pPr>
        <w:spacing w:after="0" w:line="360" w:lineRule="auto"/>
        <w:jc w:val="both"/>
        <w:rPr>
          <w:rFonts w:ascii="Times New Roman" w:hAnsi="Times New Roman" w:cs="Times New Roman"/>
          <w:sz w:val="28"/>
          <w:szCs w:val="28"/>
        </w:rPr>
      </w:pPr>
    </w:p>
    <w:p w14:paraId="1872BEF9" w14:textId="77777777" w:rsidR="00E20026" w:rsidRPr="002D3A2A" w:rsidRDefault="00E20026" w:rsidP="00E20026">
      <w:pPr>
        <w:spacing w:after="0" w:line="360" w:lineRule="auto"/>
        <w:jc w:val="right"/>
        <w:rPr>
          <w:rFonts w:ascii="Arial" w:eastAsia="Times New Roman" w:hAnsi="Arial" w:cs="Arial"/>
          <w:sz w:val="24"/>
          <w:szCs w:val="24"/>
          <w:lang w:val="en-US" w:eastAsia="en-ZA"/>
        </w:rPr>
      </w:pPr>
      <w:r w:rsidRPr="002D3A2A">
        <w:rPr>
          <w:rFonts w:ascii="Arial" w:eastAsia="Times New Roman" w:hAnsi="Arial" w:cs="Arial"/>
          <w:sz w:val="24"/>
          <w:szCs w:val="24"/>
          <w:lang w:val="en-US" w:eastAsia="en-ZA"/>
        </w:rPr>
        <w:t>___________________</w:t>
      </w:r>
    </w:p>
    <w:p w14:paraId="05152510" w14:textId="77777777" w:rsidR="00E20026" w:rsidRPr="002D3A2A" w:rsidRDefault="00E20026" w:rsidP="00E20026">
      <w:pPr>
        <w:spacing w:after="0" w:line="360" w:lineRule="auto"/>
        <w:jc w:val="right"/>
        <w:rPr>
          <w:rFonts w:ascii="Times New Roman" w:eastAsia="Times New Roman" w:hAnsi="Times New Roman" w:cs="Times New Roman"/>
          <w:bCs/>
          <w:sz w:val="28"/>
          <w:szCs w:val="28"/>
          <w:lang w:val="en-US" w:eastAsia="en-ZA"/>
        </w:rPr>
      </w:pPr>
      <w:r w:rsidRPr="002D3A2A">
        <w:rPr>
          <w:rFonts w:ascii="Times New Roman" w:eastAsia="Times New Roman" w:hAnsi="Times New Roman" w:cs="Times New Roman"/>
          <w:bCs/>
          <w:sz w:val="28"/>
          <w:szCs w:val="28"/>
          <w:lang w:val="en-US" w:eastAsia="en-ZA"/>
        </w:rPr>
        <w:t>A SCHIPPERS</w:t>
      </w:r>
    </w:p>
    <w:p w14:paraId="173B78AF" w14:textId="77777777" w:rsidR="00E20026" w:rsidRPr="002D3A2A" w:rsidRDefault="00E20026" w:rsidP="00E20026">
      <w:pPr>
        <w:spacing w:after="0" w:line="360" w:lineRule="auto"/>
        <w:jc w:val="right"/>
        <w:rPr>
          <w:rFonts w:ascii="Times New Roman" w:eastAsia="Times New Roman" w:hAnsi="Times New Roman" w:cs="Times New Roman"/>
          <w:sz w:val="28"/>
          <w:szCs w:val="28"/>
          <w:lang w:val="en-US" w:eastAsia="en-ZA"/>
        </w:rPr>
      </w:pPr>
      <w:r w:rsidRPr="002D3A2A">
        <w:rPr>
          <w:rFonts w:ascii="Times New Roman" w:eastAsia="Times New Roman" w:hAnsi="Times New Roman" w:cs="Times New Roman"/>
          <w:sz w:val="28"/>
          <w:szCs w:val="28"/>
          <w:lang w:val="en-US" w:eastAsia="en-ZA"/>
        </w:rPr>
        <w:t>JUDGE OF APPEAL</w:t>
      </w:r>
    </w:p>
    <w:p w14:paraId="5F9188F2" w14:textId="77777777" w:rsidR="00E20026" w:rsidRPr="002D3A2A" w:rsidRDefault="00E20026" w:rsidP="00E20026">
      <w:pPr>
        <w:spacing w:after="0" w:line="360" w:lineRule="auto"/>
        <w:jc w:val="both"/>
        <w:rPr>
          <w:rFonts w:ascii="Times New Roman" w:eastAsia="Times New Roman" w:hAnsi="Times New Roman" w:cs="Times New Roman"/>
          <w:sz w:val="28"/>
          <w:szCs w:val="28"/>
          <w:lang w:val="en-GB" w:eastAsia="en-GB"/>
        </w:rPr>
      </w:pPr>
    </w:p>
    <w:p w14:paraId="6D3F8EAB" w14:textId="77777777" w:rsidR="00E20026" w:rsidRPr="002D3A2A" w:rsidRDefault="00E20026" w:rsidP="00E20026">
      <w:pPr>
        <w:rPr>
          <w:rFonts w:ascii="Times New Roman" w:eastAsia="Times New Roman" w:hAnsi="Times New Roman" w:cs="Times New Roman"/>
          <w:sz w:val="28"/>
          <w:szCs w:val="28"/>
          <w:lang w:val="en-GB" w:eastAsia="en-GB"/>
        </w:rPr>
      </w:pPr>
      <w:r w:rsidRPr="002D3A2A">
        <w:rPr>
          <w:rFonts w:ascii="Times New Roman" w:eastAsia="Times New Roman" w:hAnsi="Times New Roman" w:cs="Times New Roman"/>
          <w:sz w:val="28"/>
          <w:szCs w:val="28"/>
          <w:lang w:val="en-GB" w:eastAsia="en-GB"/>
        </w:rPr>
        <w:br w:type="page"/>
      </w:r>
    </w:p>
    <w:p w14:paraId="3A511F65" w14:textId="77777777" w:rsidR="00E20026" w:rsidRPr="002D3A2A" w:rsidRDefault="00E20026" w:rsidP="00E20026">
      <w:pPr>
        <w:spacing w:after="0" w:line="360" w:lineRule="auto"/>
        <w:jc w:val="both"/>
        <w:rPr>
          <w:rFonts w:ascii="Times New Roman" w:eastAsia="Times New Roman" w:hAnsi="Times New Roman" w:cs="Times New Roman"/>
          <w:sz w:val="28"/>
          <w:szCs w:val="28"/>
          <w:lang w:val="en-GB" w:eastAsia="en-ZA"/>
        </w:rPr>
      </w:pPr>
      <w:r w:rsidRPr="002D3A2A">
        <w:rPr>
          <w:rFonts w:ascii="Times New Roman" w:eastAsia="Times New Roman" w:hAnsi="Times New Roman" w:cs="Times New Roman"/>
          <w:sz w:val="28"/>
          <w:szCs w:val="28"/>
          <w:lang w:val="en-GB" w:eastAsia="en-GB"/>
        </w:rPr>
        <w:lastRenderedPageBreak/>
        <w:t>Appearances:</w:t>
      </w:r>
    </w:p>
    <w:p w14:paraId="552E4779" w14:textId="77777777" w:rsidR="00E20026" w:rsidRPr="002D3A2A" w:rsidRDefault="00E20026" w:rsidP="00E20026">
      <w:pPr>
        <w:spacing w:after="0" w:line="360" w:lineRule="auto"/>
        <w:jc w:val="both"/>
        <w:rPr>
          <w:rFonts w:ascii="Times New Roman" w:eastAsia="Times New Roman" w:hAnsi="Times New Roman" w:cs="Times New Roman"/>
          <w:sz w:val="28"/>
          <w:szCs w:val="28"/>
          <w:lang w:val="en-GB" w:eastAsia="en-GB"/>
        </w:rPr>
      </w:pPr>
    </w:p>
    <w:p w14:paraId="6B78C85E" w14:textId="253F4E15" w:rsidR="00E20026" w:rsidRPr="002D3A2A" w:rsidRDefault="00E20026" w:rsidP="00E20026">
      <w:pPr>
        <w:spacing w:after="0" w:line="360" w:lineRule="auto"/>
        <w:ind w:left="2880" w:hanging="2880"/>
        <w:jc w:val="both"/>
        <w:rPr>
          <w:rFonts w:ascii="Times New Roman" w:eastAsia="Times New Roman" w:hAnsi="Times New Roman" w:cs="Times New Roman"/>
          <w:sz w:val="28"/>
          <w:szCs w:val="28"/>
          <w:lang w:eastAsia="en-GB"/>
        </w:rPr>
      </w:pPr>
      <w:r w:rsidRPr="002D3A2A">
        <w:rPr>
          <w:rFonts w:ascii="Times New Roman" w:eastAsia="Times New Roman" w:hAnsi="Times New Roman" w:cs="Times New Roman"/>
          <w:sz w:val="28"/>
          <w:szCs w:val="28"/>
          <w:lang w:val="en-GB" w:eastAsia="en-GB"/>
        </w:rPr>
        <w:t>For first appellant:</w:t>
      </w:r>
      <w:r w:rsidRPr="002D3A2A">
        <w:rPr>
          <w:rFonts w:ascii="Times New Roman" w:eastAsia="Times New Roman" w:hAnsi="Times New Roman" w:cs="Times New Roman"/>
          <w:sz w:val="28"/>
          <w:szCs w:val="28"/>
          <w:lang w:val="en-GB" w:eastAsia="en-GB"/>
        </w:rPr>
        <w:tab/>
      </w:r>
      <w:r w:rsidR="00DE2DBD" w:rsidRPr="002D3A2A">
        <w:rPr>
          <w:rFonts w:ascii="Times New Roman" w:eastAsia="Times New Roman" w:hAnsi="Times New Roman" w:cs="Times New Roman"/>
          <w:sz w:val="28"/>
          <w:szCs w:val="28"/>
          <w:lang w:val="en-GB" w:eastAsia="en-GB"/>
        </w:rPr>
        <w:t>B H Swart SC (with him J A Meyer SC)</w:t>
      </w:r>
    </w:p>
    <w:p w14:paraId="13ABAF12" w14:textId="77777777" w:rsidR="00E20026" w:rsidRPr="002D3A2A" w:rsidRDefault="00E20026" w:rsidP="00E20026">
      <w:pPr>
        <w:spacing w:after="0" w:line="360" w:lineRule="auto"/>
        <w:ind w:left="2880" w:hanging="2880"/>
        <w:jc w:val="both"/>
        <w:rPr>
          <w:rFonts w:ascii="Times New Roman" w:eastAsia="Times New Roman" w:hAnsi="Times New Roman" w:cs="Times New Roman"/>
          <w:sz w:val="28"/>
          <w:szCs w:val="28"/>
          <w:lang w:eastAsia="en-GB"/>
        </w:rPr>
      </w:pPr>
      <w:r w:rsidRPr="002D3A2A">
        <w:rPr>
          <w:rFonts w:ascii="Times New Roman" w:eastAsia="Times New Roman" w:hAnsi="Times New Roman" w:cs="Times New Roman"/>
          <w:sz w:val="28"/>
          <w:szCs w:val="28"/>
          <w:lang w:eastAsia="en-GB"/>
        </w:rPr>
        <w:t>Instructed by:</w:t>
      </w:r>
      <w:r w:rsidRPr="002D3A2A">
        <w:rPr>
          <w:rFonts w:ascii="Times New Roman" w:eastAsia="Times New Roman" w:hAnsi="Times New Roman" w:cs="Times New Roman"/>
          <w:sz w:val="28"/>
          <w:szCs w:val="28"/>
          <w:lang w:eastAsia="en-GB"/>
        </w:rPr>
        <w:tab/>
        <w:t>Klagsbrun Edelstein Bosman &amp; Du Plessis</w:t>
      </w:r>
    </w:p>
    <w:p w14:paraId="3C67EED3" w14:textId="77777777" w:rsidR="00E20026" w:rsidRPr="002D3A2A" w:rsidRDefault="00E20026" w:rsidP="00E20026">
      <w:pPr>
        <w:spacing w:after="0" w:line="360" w:lineRule="auto"/>
        <w:ind w:left="2880"/>
        <w:jc w:val="both"/>
        <w:rPr>
          <w:rFonts w:ascii="Times New Roman" w:eastAsia="Times New Roman" w:hAnsi="Times New Roman" w:cs="Times New Roman"/>
          <w:sz w:val="28"/>
          <w:szCs w:val="28"/>
          <w:lang w:eastAsia="en-GB"/>
        </w:rPr>
      </w:pPr>
      <w:r w:rsidRPr="002D3A2A">
        <w:rPr>
          <w:rFonts w:ascii="Times New Roman" w:eastAsia="Times New Roman" w:hAnsi="Times New Roman" w:cs="Times New Roman"/>
          <w:sz w:val="28"/>
          <w:szCs w:val="28"/>
          <w:lang w:eastAsia="en-GB"/>
        </w:rPr>
        <w:t>Attorneys, Pretoria</w:t>
      </w:r>
    </w:p>
    <w:p w14:paraId="7A41F1B6" w14:textId="77777777" w:rsidR="00E20026" w:rsidRPr="002D3A2A" w:rsidRDefault="00E20026" w:rsidP="00E20026">
      <w:pPr>
        <w:spacing w:after="0" w:line="360" w:lineRule="auto"/>
        <w:jc w:val="both"/>
        <w:rPr>
          <w:rFonts w:ascii="Times New Roman" w:eastAsia="Times New Roman" w:hAnsi="Times New Roman" w:cs="Times New Roman"/>
          <w:sz w:val="28"/>
          <w:szCs w:val="28"/>
          <w:lang w:eastAsia="en-GB"/>
        </w:rPr>
      </w:pPr>
      <w:r w:rsidRPr="002D3A2A">
        <w:rPr>
          <w:rFonts w:ascii="Times New Roman" w:eastAsia="Times New Roman" w:hAnsi="Times New Roman" w:cs="Times New Roman"/>
          <w:sz w:val="28"/>
          <w:szCs w:val="28"/>
          <w:lang w:eastAsia="en-GB"/>
        </w:rPr>
        <w:tab/>
      </w:r>
      <w:r w:rsidRPr="002D3A2A">
        <w:rPr>
          <w:rFonts w:ascii="Times New Roman" w:eastAsia="Times New Roman" w:hAnsi="Times New Roman" w:cs="Times New Roman"/>
          <w:sz w:val="28"/>
          <w:szCs w:val="28"/>
          <w:lang w:eastAsia="en-GB"/>
        </w:rPr>
        <w:tab/>
      </w:r>
      <w:r w:rsidRPr="002D3A2A">
        <w:rPr>
          <w:rFonts w:ascii="Times New Roman" w:eastAsia="Times New Roman" w:hAnsi="Times New Roman" w:cs="Times New Roman"/>
          <w:sz w:val="28"/>
          <w:szCs w:val="28"/>
          <w:lang w:eastAsia="en-GB"/>
        </w:rPr>
        <w:tab/>
      </w:r>
      <w:r w:rsidRPr="002D3A2A">
        <w:rPr>
          <w:rFonts w:ascii="Times New Roman" w:eastAsia="Times New Roman" w:hAnsi="Times New Roman" w:cs="Times New Roman"/>
          <w:sz w:val="28"/>
          <w:szCs w:val="28"/>
          <w:lang w:eastAsia="en-GB"/>
        </w:rPr>
        <w:tab/>
        <w:t>Symington De Kok Attorneys, Bloemfontein</w:t>
      </w:r>
    </w:p>
    <w:p w14:paraId="4EE2C3E2" w14:textId="77777777" w:rsidR="00E20026" w:rsidRPr="002D3A2A" w:rsidRDefault="00E20026" w:rsidP="00E20026">
      <w:pPr>
        <w:spacing w:after="0" w:line="360" w:lineRule="auto"/>
        <w:jc w:val="both"/>
        <w:rPr>
          <w:rFonts w:ascii="Times New Roman" w:eastAsia="Times New Roman" w:hAnsi="Times New Roman" w:cs="Times New Roman"/>
          <w:sz w:val="28"/>
          <w:szCs w:val="28"/>
          <w:lang w:eastAsia="en-GB"/>
        </w:rPr>
      </w:pPr>
      <w:r w:rsidRPr="002D3A2A">
        <w:rPr>
          <w:rFonts w:ascii="Times New Roman" w:eastAsia="Times New Roman" w:hAnsi="Times New Roman" w:cs="Times New Roman"/>
          <w:sz w:val="28"/>
          <w:szCs w:val="28"/>
          <w:lang w:eastAsia="en-GB"/>
        </w:rPr>
        <w:t xml:space="preserve">                                     </w:t>
      </w:r>
    </w:p>
    <w:p w14:paraId="6C819D2D" w14:textId="52A22DD4" w:rsidR="00E20026" w:rsidRPr="002D3A2A" w:rsidRDefault="00E20026" w:rsidP="00E20026">
      <w:pPr>
        <w:spacing w:after="0" w:line="360" w:lineRule="auto"/>
        <w:jc w:val="both"/>
        <w:rPr>
          <w:rFonts w:ascii="Times New Roman" w:eastAsia="Times New Roman" w:hAnsi="Times New Roman" w:cs="Times New Roman"/>
          <w:sz w:val="28"/>
          <w:szCs w:val="28"/>
          <w:lang w:eastAsia="en-GB"/>
        </w:rPr>
      </w:pPr>
      <w:r w:rsidRPr="002D3A2A">
        <w:rPr>
          <w:rFonts w:ascii="Times New Roman" w:eastAsia="Times New Roman" w:hAnsi="Times New Roman" w:cs="Times New Roman"/>
          <w:sz w:val="28"/>
          <w:szCs w:val="28"/>
          <w:lang w:val="en-GB" w:eastAsia="en-GB"/>
        </w:rPr>
        <w:t>For second appellant:</w:t>
      </w:r>
      <w:r w:rsidRPr="002D3A2A">
        <w:rPr>
          <w:rFonts w:ascii="Times New Roman" w:eastAsia="Times New Roman" w:hAnsi="Times New Roman" w:cs="Times New Roman"/>
          <w:sz w:val="28"/>
          <w:szCs w:val="28"/>
          <w:lang w:val="en-GB" w:eastAsia="en-GB"/>
        </w:rPr>
        <w:tab/>
      </w:r>
      <w:r w:rsidR="00C17E47" w:rsidRPr="002D3A2A">
        <w:rPr>
          <w:rFonts w:ascii="Times New Roman" w:eastAsia="Times New Roman" w:hAnsi="Times New Roman" w:cs="Times New Roman"/>
          <w:sz w:val="28"/>
          <w:szCs w:val="28"/>
          <w:lang w:eastAsia="en-GB"/>
        </w:rPr>
        <w:t xml:space="preserve">A Cockrell SC (with him </w:t>
      </w:r>
      <w:r w:rsidR="00DD47CF" w:rsidRPr="002D3A2A">
        <w:rPr>
          <w:rFonts w:ascii="Times New Roman" w:eastAsia="Times New Roman" w:hAnsi="Times New Roman" w:cs="Times New Roman"/>
          <w:sz w:val="28"/>
          <w:szCs w:val="28"/>
          <w:lang w:eastAsia="en-GB"/>
        </w:rPr>
        <w:t>M Stubbs)</w:t>
      </w:r>
    </w:p>
    <w:p w14:paraId="4377ACA7" w14:textId="77777777" w:rsidR="00E20026" w:rsidRPr="002D3A2A" w:rsidRDefault="00E20026" w:rsidP="00E20026">
      <w:pPr>
        <w:spacing w:after="0" w:line="360" w:lineRule="auto"/>
        <w:jc w:val="both"/>
        <w:rPr>
          <w:rFonts w:ascii="Times New Roman" w:eastAsia="Times New Roman" w:hAnsi="Times New Roman" w:cs="Times New Roman"/>
          <w:sz w:val="28"/>
          <w:szCs w:val="28"/>
          <w:lang w:eastAsia="en-GB"/>
        </w:rPr>
      </w:pPr>
      <w:r w:rsidRPr="002D3A2A">
        <w:rPr>
          <w:rFonts w:ascii="Times New Roman" w:eastAsia="Times New Roman" w:hAnsi="Times New Roman" w:cs="Times New Roman"/>
          <w:sz w:val="28"/>
          <w:szCs w:val="28"/>
          <w:lang w:val="en-GB" w:eastAsia="en-GB"/>
        </w:rPr>
        <w:t>Instructed by:</w:t>
      </w:r>
      <w:r w:rsidRPr="002D3A2A">
        <w:rPr>
          <w:rFonts w:ascii="Times New Roman" w:eastAsia="Times New Roman" w:hAnsi="Times New Roman" w:cs="Times New Roman"/>
          <w:sz w:val="28"/>
          <w:szCs w:val="28"/>
          <w:lang w:val="en-GB" w:eastAsia="en-GB"/>
        </w:rPr>
        <w:tab/>
      </w:r>
      <w:r w:rsidRPr="002D3A2A">
        <w:rPr>
          <w:rFonts w:ascii="Times New Roman" w:eastAsia="Times New Roman" w:hAnsi="Times New Roman" w:cs="Times New Roman"/>
          <w:sz w:val="28"/>
          <w:szCs w:val="28"/>
          <w:lang w:val="en-GB" w:eastAsia="en-GB"/>
        </w:rPr>
        <w:tab/>
      </w:r>
      <w:r w:rsidRPr="002D3A2A">
        <w:rPr>
          <w:rFonts w:ascii="Times New Roman" w:eastAsia="Times New Roman" w:hAnsi="Times New Roman" w:cs="Times New Roman"/>
          <w:sz w:val="28"/>
          <w:szCs w:val="28"/>
          <w:lang w:eastAsia="en-GB"/>
        </w:rPr>
        <w:t>Webber Wentzel, Pretoria</w:t>
      </w:r>
    </w:p>
    <w:p w14:paraId="61274C52" w14:textId="77777777" w:rsidR="00E20026" w:rsidRPr="002D3A2A" w:rsidRDefault="00E20026" w:rsidP="00E20026">
      <w:pPr>
        <w:spacing w:after="0" w:line="360" w:lineRule="auto"/>
        <w:jc w:val="both"/>
        <w:rPr>
          <w:rFonts w:ascii="Times New Roman" w:eastAsia="Times New Roman" w:hAnsi="Times New Roman" w:cs="Times New Roman"/>
          <w:sz w:val="28"/>
          <w:szCs w:val="28"/>
          <w:lang w:eastAsia="en-GB"/>
        </w:rPr>
      </w:pPr>
      <w:r w:rsidRPr="002D3A2A">
        <w:rPr>
          <w:rFonts w:ascii="Times New Roman" w:eastAsia="Times New Roman" w:hAnsi="Times New Roman" w:cs="Times New Roman"/>
          <w:sz w:val="28"/>
          <w:szCs w:val="28"/>
          <w:lang w:eastAsia="en-GB"/>
        </w:rPr>
        <w:tab/>
      </w:r>
      <w:r w:rsidRPr="002D3A2A">
        <w:rPr>
          <w:rFonts w:ascii="Times New Roman" w:eastAsia="Times New Roman" w:hAnsi="Times New Roman" w:cs="Times New Roman"/>
          <w:sz w:val="28"/>
          <w:szCs w:val="28"/>
          <w:lang w:eastAsia="en-GB"/>
        </w:rPr>
        <w:tab/>
      </w:r>
      <w:r w:rsidRPr="002D3A2A">
        <w:rPr>
          <w:rFonts w:ascii="Times New Roman" w:eastAsia="Times New Roman" w:hAnsi="Times New Roman" w:cs="Times New Roman"/>
          <w:sz w:val="28"/>
          <w:szCs w:val="28"/>
          <w:lang w:eastAsia="en-GB"/>
        </w:rPr>
        <w:tab/>
        <w:t xml:space="preserve"> </w:t>
      </w:r>
      <w:r w:rsidRPr="002D3A2A">
        <w:rPr>
          <w:rFonts w:ascii="Times New Roman" w:eastAsia="Times New Roman" w:hAnsi="Times New Roman" w:cs="Times New Roman"/>
          <w:sz w:val="28"/>
          <w:szCs w:val="28"/>
          <w:lang w:eastAsia="en-GB"/>
        </w:rPr>
        <w:tab/>
        <w:t>Symington De Kok Attorneys, Bloemfontein</w:t>
      </w:r>
    </w:p>
    <w:p w14:paraId="3BA7D4D5" w14:textId="77777777" w:rsidR="00E20026" w:rsidRPr="002D3A2A" w:rsidRDefault="00E20026" w:rsidP="00E20026">
      <w:pPr>
        <w:spacing w:after="0" w:line="360" w:lineRule="auto"/>
        <w:jc w:val="both"/>
        <w:rPr>
          <w:rFonts w:ascii="Times New Roman" w:eastAsia="Times New Roman" w:hAnsi="Times New Roman" w:cs="Times New Roman"/>
          <w:sz w:val="28"/>
          <w:szCs w:val="28"/>
          <w:lang w:eastAsia="en-GB"/>
        </w:rPr>
      </w:pPr>
    </w:p>
    <w:p w14:paraId="309CD090" w14:textId="77777777" w:rsidR="00E20026" w:rsidRPr="002D3A2A" w:rsidRDefault="00E20026" w:rsidP="00E20026">
      <w:pPr>
        <w:spacing w:after="0" w:line="360" w:lineRule="auto"/>
        <w:jc w:val="both"/>
        <w:rPr>
          <w:rFonts w:ascii="Times New Roman" w:eastAsia="Times New Roman" w:hAnsi="Times New Roman" w:cs="Times New Roman"/>
          <w:sz w:val="28"/>
          <w:szCs w:val="28"/>
          <w:lang w:eastAsia="en-GB"/>
        </w:rPr>
      </w:pPr>
      <w:r w:rsidRPr="002D3A2A">
        <w:rPr>
          <w:rFonts w:ascii="Times New Roman" w:eastAsia="Times New Roman" w:hAnsi="Times New Roman" w:cs="Times New Roman"/>
          <w:sz w:val="28"/>
          <w:szCs w:val="28"/>
          <w:lang w:eastAsia="en-GB"/>
        </w:rPr>
        <w:t>For third and fourth</w:t>
      </w:r>
    </w:p>
    <w:p w14:paraId="0AF9EE58" w14:textId="3E0ED533" w:rsidR="00E20026" w:rsidRPr="002D3A2A" w:rsidRDefault="00E20026" w:rsidP="00E20026">
      <w:pPr>
        <w:spacing w:after="0" w:line="360" w:lineRule="auto"/>
        <w:jc w:val="both"/>
        <w:rPr>
          <w:rFonts w:ascii="Times New Roman" w:eastAsia="Times New Roman" w:hAnsi="Times New Roman" w:cs="Times New Roman"/>
          <w:sz w:val="28"/>
          <w:szCs w:val="28"/>
          <w:lang w:eastAsia="en-GB"/>
        </w:rPr>
      </w:pPr>
      <w:r w:rsidRPr="002D3A2A">
        <w:rPr>
          <w:rFonts w:ascii="Times New Roman" w:eastAsia="Times New Roman" w:hAnsi="Times New Roman" w:cs="Times New Roman"/>
          <w:sz w:val="28"/>
          <w:szCs w:val="28"/>
          <w:lang w:eastAsia="en-GB"/>
        </w:rPr>
        <w:t>appellants:</w:t>
      </w:r>
      <w:r w:rsidRPr="002D3A2A">
        <w:rPr>
          <w:rFonts w:ascii="Times New Roman" w:eastAsia="Times New Roman" w:hAnsi="Times New Roman" w:cs="Times New Roman"/>
          <w:sz w:val="28"/>
          <w:szCs w:val="28"/>
          <w:lang w:eastAsia="en-GB"/>
        </w:rPr>
        <w:tab/>
      </w:r>
      <w:r w:rsidRPr="002D3A2A">
        <w:rPr>
          <w:rFonts w:ascii="Times New Roman" w:eastAsia="Times New Roman" w:hAnsi="Times New Roman" w:cs="Times New Roman"/>
          <w:sz w:val="28"/>
          <w:szCs w:val="28"/>
          <w:lang w:eastAsia="en-GB"/>
        </w:rPr>
        <w:tab/>
      </w:r>
      <w:r w:rsidRPr="002D3A2A">
        <w:rPr>
          <w:rFonts w:ascii="Times New Roman" w:eastAsia="Times New Roman" w:hAnsi="Times New Roman" w:cs="Times New Roman"/>
          <w:sz w:val="28"/>
          <w:szCs w:val="28"/>
          <w:lang w:eastAsia="en-GB"/>
        </w:rPr>
        <w:tab/>
      </w:r>
      <w:r w:rsidR="003927D3" w:rsidRPr="002D3A2A">
        <w:rPr>
          <w:rFonts w:ascii="Times New Roman" w:eastAsia="Times New Roman" w:hAnsi="Times New Roman" w:cs="Times New Roman"/>
          <w:sz w:val="28"/>
          <w:szCs w:val="28"/>
          <w:lang w:eastAsia="en-GB"/>
        </w:rPr>
        <w:t>E Webber</w:t>
      </w:r>
    </w:p>
    <w:p w14:paraId="31396B21" w14:textId="77777777" w:rsidR="00E20026" w:rsidRPr="002D3A2A" w:rsidRDefault="00E20026" w:rsidP="00E20026">
      <w:pPr>
        <w:spacing w:after="0" w:line="360" w:lineRule="auto"/>
        <w:jc w:val="both"/>
        <w:rPr>
          <w:rFonts w:ascii="Times New Roman" w:eastAsia="Times New Roman" w:hAnsi="Times New Roman" w:cs="Times New Roman"/>
          <w:sz w:val="28"/>
          <w:szCs w:val="28"/>
          <w:lang w:eastAsia="en-GB"/>
        </w:rPr>
      </w:pPr>
      <w:r w:rsidRPr="002D3A2A">
        <w:rPr>
          <w:rFonts w:ascii="Times New Roman" w:eastAsia="Times New Roman" w:hAnsi="Times New Roman" w:cs="Times New Roman"/>
          <w:sz w:val="28"/>
          <w:szCs w:val="28"/>
          <w:lang w:eastAsia="en-GB"/>
        </w:rPr>
        <w:t>Instructed by:</w:t>
      </w:r>
      <w:r w:rsidRPr="002D3A2A">
        <w:rPr>
          <w:rFonts w:ascii="Times New Roman" w:eastAsia="Times New Roman" w:hAnsi="Times New Roman" w:cs="Times New Roman"/>
          <w:sz w:val="28"/>
          <w:szCs w:val="28"/>
          <w:lang w:eastAsia="en-GB"/>
        </w:rPr>
        <w:tab/>
      </w:r>
      <w:r w:rsidRPr="002D3A2A">
        <w:rPr>
          <w:rFonts w:ascii="Times New Roman" w:eastAsia="Times New Roman" w:hAnsi="Times New Roman" w:cs="Times New Roman"/>
          <w:sz w:val="28"/>
          <w:szCs w:val="28"/>
          <w:lang w:eastAsia="en-GB"/>
        </w:rPr>
        <w:tab/>
        <w:t>Norton Rose Fulbright, Pretoria</w:t>
      </w:r>
    </w:p>
    <w:p w14:paraId="02CF9D92" w14:textId="77777777" w:rsidR="00E20026" w:rsidRPr="002D3A2A" w:rsidRDefault="00E20026" w:rsidP="00E20026">
      <w:pPr>
        <w:spacing w:after="0" w:line="360" w:lineRule="auto"/>
        <w:jc w:val="both"/>
        <w:rPr>
          <w:rFonts w:ascii="Times New Roman" w:eastAsia="Times New Roman" w:hAnsi="Times New Roman" w:cs="Times New Roman"/>
          <w:sz w:val="28"/>
          <w:szCs w:val="28"/>
          <w:lang w:eastAsia="en-GB"/>
        </w:rPr>
      </w:pPr>
      <w:r w:rsidRPr="002D3A2A">
        <w:rPr>
          <w:rFonts w:ascii="Times New Roman" w:eastAsia="Times New Roman" w:hAnsi="Times New Roman" w:cs="Times New Roman"/>
          <w:sz w:val="28"/>
          <w:szCs w:val="28"/>
          <w:lang w:eastAsia="en-GB"/>
        </w:rPr>
        <w:tab/>
      </w:r>
      <w:r w:rsidRPr="002D3A2A">
        <w:rPr>
          <w:rFonts w:ascii="Times New Roman" w:eastAsia="Times New Roman" w:hAnsi="Times New Roman" w:cs="Times New Roman"/>
          <w:sz w:val="28"/>
          <w:szCs w:val="28"/>
          <w:lang w:eastAsia="en-GB"/>
        </w:rPr>
        <w:tab/>
      </w:r>
      <w:r w:rsidRPr="002D3A2A">
        <w:rPr>
          <w:rFonts w:ascii="Times New Roman" w:eastAsia="Times New Roman" w:hAnsi="Times New Roman" w:cs="Times New Roman"/>
          <w:sz w:val="28"/>
          <w:szCs w:val="28"/>
          <w:lang w:eastAsia="en-GB"/>
        </w:rPr>
        <w:tab/>
      </w:r>
      <w:r w:rsidRPr="002D3A2A">
        <w:rPr>
          <w:rFonts w:ascii="Times New Roman" w:eastAsia="Times New Roman" w:hAnsi="Times New Roman" w:cs="Times New Roman"/>
          <w:sz w:val="28"/>
          <w:szCs w:val="28"/>
          <w:lang w:eastAsia="en-GB"/>
        </w:rPr>
        <w:tab/>
        <w:t>Lovius Block, Bloemfontein</w:t>
      </w:r>
    </w:p>
    <w:p w14:paraId="71DC8F93" w14:textId="77777777" w:rsidR="00E20026" w:rsidRPr="002D3A2A" w:rsidRDefault="00E20026" w:rsidP="00E20026">
      <w:pPr>
        <w:spacing w:after="0" w:line="360" w:lineRule="auto"/>
        <w:jc w:val="both"/>
        <w:rPr>
          <w:rFonts w:ascii="Times New Roman" w:eastAsia="Times New Roman" w:hAnsi="Times New Roman" w:cs="Times New Roman"/>
          <w:sz w:val="28"/>
          <w:szCs w:val="28"/>
          <w:lang w:eastAsia="en-GB"/>
        </w:rPr>
      </w:pPr>
    </w:p>
    <w:p w14:paraId="357CFAAF" w14:textId="77777777" w:rsidR="00E20026" w:rsidRPr="002D3A2A" w:rsidRDefault="00E20026" w:rsidP="00E20026">
      <w:pPr>
        <w:spacing w:after="0" w:line="360" w:lineRule="auto"/>
        <w:jc w:val="both"/>
        <w:rPr>
          <w:rFonts w:ascii="Times New Roman" w:hAnsi="Times New Roman" w:cs="Times New Roman"/>
          <w:sz w:val="28"/>
          <w:szCs w:val="28"/>
        </w:rPr>
      </w:pPr>
      <w:r w:rsidRPr="002D3A2A">
        <w:rPr>
          <w:rFonts w:ascii="Times New Roman" w:hAnsi="Times New Roman" w:cs="Times New Roman"/>
          <w:sz w:val="28"/>
          <w:szCs w:val="28"/>
        </w:rPr>
        <w:t>For first to seventh</w:t>
      </w:r>
    </w:p>
    <w:p w14:paraId="25DD3C4B" w14:textId="0D64D059" w:rsidR="00040552" w:rsidRPr="002D3A2A" w:rsidRDefault="00E20026" w:rsidP="00E20026">
      <w:pPr>
        <w:spacing w:after="0" w:line="360" w:lineRule="auto"/>
        <w:jc w:val="both"/>
        <w:rPr>
          <w:rFonts w:ascii="Times New Roman" w:eastAsia="Times New Roman" w:hAnsi="Times New Roman" w:cs="Times New Roman"/>
          <w:sz w:val="28"/>
          <w:szCs w:val="28"/>
          <w:lang w:eastAsia="en-GB"/>
        </w:rPr>
      </w:pPr>
      <w:r w:rsidRPr="002D3A2A">
        <w:rPr>
          <w:rFonts w:ascii="Times New Roman" w:hAnsi="Times New Roman" w:cs="Times New Roman"/>
          <w:sz w:val="28"/>
          <w:szCs w:val="28"/>
        </w:rPr>
        <w:t>respondents:</w:t>
      </w:r>
      <w:r w:rsidRPr="002D3A2A">
        <w:rPr>
          <w:rFonts w:ascii="Times New Roman" w:hAnsi="Times New Roman" w:cs="Times New Roman"/>
          <w:sz w:val="28"/>
          <w:szCs w:val="28"/>
        </w:rPr>
        <w:tab/>
      </w:r>
      <w:r w:rsidRPr="002D3A2A">
        <w:rPr>
          <w:rFonts w:ascii="Times New Roman" w:hAnsi="Times New Roman" w:cs="Times New Roman"/>
          <w:sz w:val="28"/>
          <w:szCs w:val="28"/>
        </w:rPr>
        <w:tab/>
      </w:r>
      <w:r w:rsidR="00BB38FD" w:rsidRPr="002D3A2A">
        <w:rPr>
          <w:rFonts w:ascii="Times New Roman" w:hAnsi="Times New Roman" w:cs="Times New Roman"/>
          <w:sz w:val="28"/>
          <w:szCs w:val="28"/>
        </w:rPr>
        <w:tab/>
      </w:r>
      <w:r w:rsidR="00040552" w:rsidRPr="002D3A2A">
        <w:rPr>
          <w:rFonts w:ascii="Times New Roman" w:eastAsia="Times New Roman" w:hAnsi="Times New Roman" w:cs="Times New Roman"/>
          <w:sz w:val="28"/>
          <w:szCs w:val="28"/>
          <w:lang w:eastAsia="en-GB"/>
        </w:rPr>
        <w:t>A P Joubert SC (with him L F Laughland)</w:t>
      </w:r>
    </w:p>
    <w:p w14:paraId="0C5A81A3" w14:textId="08CC6F79" w:rsidR="00E20026" w:rsidRPr="002D3A2A" w:rsidRDefault="00E20026" w:rsidP="00E20026">
      <w:pPr>
        <w:spacing w:after="0" w:line="360" w:lineRule="auto"/>
        <w:jc w:val="both"/>
        <w:rPr>
          <w:rFonts w:ascii="Times New Roman" w:hAnsi="Times New Roman" w:cs="Times New Roman"/>
          <w:sz w:val="28"/>
          <w:szCs w:val="28"/>
        </w:rPr>
      </w:pPr>
      <w:r w:rsidRPr="002D3A2A">
        <w:rPr>
          <w:rFonts w:ascii="Times New Roman" w:hAnsi="Times New Roman" w:cs="Times New Roman"/>
          <w:sz w:val="28"/>
          <w:szCs w:val="28"/>
        </w:rPr>
        <w:t>Instructed by:</w:t>
      </w:r>
      <w:r w:rsidRPr="002D3A2A">
        <w:rPr>
          <w:rFonts w:ascii="Times New Roman" w:hAnsi="Times New Roman" w:cs="Times New Roman"/>
          <w:sz w:val="28"/>
          <w:szCs w:val="28"/>
        </w:rPr>
        <w:tab/>
      </w:r>
      <w:r w:rsidRPr="002D3A2A">
        <w:rPr>
          <w:rFonts w:ascii="Times New Roman" w:hAnsi="Times New Roman" w:cs="Times New Roman"/>
          <w:sz w:val="28"/>
          <w:szCs w:val="28"/>
        </w:rPr>
        <w:tab/>
        <w:t>Richard Meaden &amp; Associates, Pretoria</w:t>
      </w:r>
    </w:p>
    <w:p w14:paraId="072BEF29" w14:textId="77777777" w:rsidR="00E20026" w:rsidRPr="00970D60" w:rsidRDefault="00E20026" w:rsidP="00E20026">
      <w:pPr>
        <w:spacing w:after="0" w:line="360" w:lineRule="auto"/>
        <w:jc w:val="both"/>
        <w:rPr>
          <w:rFonts w:ascii="Times New Roman" w:hAnsi="Times New Roman" w:cs="Times New Roman"/>
          <w:sz w:val="28"/>
          <w:szCs w:val="28"/>
        </w:rPr>
      </w:pPr>
      <w:r w:rsidRPr="002D3A2A">
        <w:rPr>
          <w:rFonts w:ascii="Times New Roman" w:hAnsi="Times New Roman" w:cs="Times New Roman"/>
          <w:sz w:val="28"/>
          <w:szCs w:val="28"/>
        </w:rPr>
        <w:tab/>
      </w:r>
      <w:r w:rsidRPr="002D3A2A">
        <w:rPr>
          <w:rFonts w:ascii="Times New Roman" w:hAnsi="Times New Roman" w:cs="Times New Roman"/>
          <w:sz w:val="28"/>
          <w:szCs w:val="28"/>
        </w:rPr>
        <w:tab/>
      </w:r>
      <w:r w:rsidRPr="002D3A2A">
        <w:rPr>
          <w:rFonts w:ascii="Times New Roman" w:hAnsi="Times New Roman" w:cs="Times New Roman"/>
          <w:sz w:val="28"/>
          <w:szCs w:val="28"/>
        </w:rPr>
        <w:tab/>
      </w:r>
      <w:r w:rsidRPr="002D3A2A">
        <w:rPr>
          <w:rFonts w:ascii="Times New Roman" w:hAnsi="Times New Roman" w:cs="Times New Roman"/>
          <w:sz w:val="28"/>
          <w:szCs w:val="28"/>
        </w:rPr>
        <w:tab/>
        <w:t>Webbers Attorneys, Bloemfontein</w:t>
      </w:r>
    </w:p>
    <w:p w14:paraId="3B829A10" w14:textId="77777777" w:rsidR="00E20026" w:rsidRDefault="00E20026" w:rsidP="00E20026"/>
    <w:p w14:paraId="7EC195E0" w14:textId="77777777" w:rsidR="002318AD" w:rsidRDefault="002318AD" w:rsidP="000D2B94">
      <w:pPr>
        <w:spacing w:after="0" w:line="360" w:lineRule="auto"/>
        <w:jc w:val="both"/>
        <w:rPr>
          <w:rFonts w:ascii="Times New Roman" w:hAnsi="Times New Roman" w:cs="Times New Roman"/>
          <w:sz w:val="28"/>
          <w:szCs w:val="28"/>
        </w:rPr>
      </w:pPr>
    </w:p>
    <w:p w14:paraId="639FA77C" w14:textId="77777777" w:rsidR="002318AD" w:rsidRDefault="002318AD" w:rsidP="000D2B94">
      <w:pPr>
        <w:spacing w:after="0" w:line="360" w:lineRule="auto"/>
        <w:jc w:val="both"/>
        <w:rPr>
          <w:rFonts w:ascii="Times New Roman" w:hAnsi="Times New Roman" w:cs="Times New Roman"/>
          <w:sz w:val="28"/>
          <w:szCs w:val="28"/>
        </w:rPr>
      </w:pPr>
    </w:p>
    <w:p w14:paraId="7EE93CA6" w14:textId="77777777" w:rsidR="002318AD" w:rsidRDefault="002318AD" w:rsidP="000D2B94">
      <w:pPr>
        <w:spacing w:after="0" w:line="360" w:lineRule="auto"/>
        <w:jc w:val="both"/>
        <w:rPr>
          <w:rFonts w:ascii="Times New Roman" w:hAnsi="Times New Roman" w:cs="Times New Roman"/>
          <w:sz w:val="28"/>
          <w:szCs w:val="28"/>
        </w:rPr>
      </w:pPr>
    </w:p>
    <w:p w14:paraId="54C8AF21" w14:textId="77777777" w:rsidR="002318AD" w:rsidRDefault="002318AD" w:rsidP="000D2B94">
      <w:pPr>
        <w:spacing w:after="0" w:line="360" w:lineRule="auto"/>
        <w:jc w:val="both"/>
        <w:rPr>
          <w:rFonts w:ascii="Times New Roman" w:hAnsi="Times New Roman" w:cs="Times New Roman"/>
          <w:sz w:val="28"/>
          <w:szCs w:val="28"/>
        </w:rPr>
      </w:pPr>
    </w:p>
    <w:p w14:paraId="31F36486" w14:textId="77777777" w:rsidR="002318AD" w:rsidRPr="00970D60" w:rsidRDefault="002318AD" w:rsidP="000D2B94">
      <w:pPr>
        <w:spacing w:after="0" w:line="360" w:lineRule="auto"/>
        <w:jc w:val="both"/>
        <w:rPr>
          <w:rFonts w:ascii="Times New Roman" w:hAnsi="Times New Roman" w:cs="Times New Roman"/>
          <w:sz w:val="28"/>
          <w:szCs w:val="28"/>
        </w:rPr>
      </w:pPr>
    </w:p>
    <w:p w14:paraId="6F6BF5D1" w14:textId="77777777" w:rsidR="004F6FA5" w:rsidRDefault="004F6FA5" w:rsidP="00C90B17">
      <w:pPr>
        <w:spacing w:after="0" w:line="360" w:lineRule="auto"/>
        <w:jc w:val="both"/>
        <w:rPr>
          <w:rFonts w:ascii="Times New Roman" w:eastAsia="Times New Roman" w:hAnsi="Times New Roman" w:cs="Times New Roman"/>
          <w:sz w:val="28"/>
          <w:szCs w:val="28"/>
          <w:lang w:val="en-GB" w:eastAsia="en-GB"/>
        </w:rPr>
      </w:pPr>
    </w:p>
    <w:sectPr w:rsidR="004F6FA5" w:rsidSect="004728DA">
      <w:headerReference w:type="default" r:id="rId9"/>
      <w:footerReference w:type="default" r:id="rId10"/>
      <w:headerReference w:type="first" r:id="rId11"/>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1E9EC" w14:textId="77777777" w:rsidR="003F52DC" w:rsidRDefault="003F52DC" w:rsidP="005F2683">
      <w:pPr>
        <w:spacing w:after="0" w:line="240" w:lineRule="auto"/>
      </w:pPr>
      <w:r>
        <w:separator/>
      </w:r>
    </w:p>
  </w:endnote>
  <w:endnote w:type="continuationSeparator" w:id="0">
    <w:p w14:paraId="215E64B0" w14:textId="77777777" w:rsidR="003F52DC" w:rsidRDefault="003F52DC" w:rsidP="005F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4DD0F" w14:textId="77777777" w:rsidR="00BA40BA" w:rsidRDefault="00BA40BA" w:rsidP="005F2683">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3D5D7" w14:textId="77777777" w:rsidR="003F52DC" w:rsidRDefault="003F52DC" w:rsidP="005F2683">
      <w:pPr>
        <w:spacing w:after="0" w:line="240" w:lineRule="auto"/>
      </w:pPr>
      <w:r>
        <w:separator/>
      </w:r>
    </w:p>
  </w:footnote>
  <w:footnote w:type="continuationSeparator" w:id="0">
    <w:p w14:paraId="6EB768B6" w14:textId="77777777" w:rsidR="003F52DC" w:rsidRDefault="003F52DC" w:rsidP="005F2683">
      <w:pPr>
        <w:spacing w:after="0" w:line="240" w:lineRule="auto"/>
      </w:pPr>
      <w:r>
        <w:continuationSeparator/>
      </w:r>
    </w:p>
  </w:footnote>
  <w:footnote w:id="1">
    <w:p w14:paraId="376E3596" w14:textId="77777777" w:rsidR="00BA40BA" w:rsidRPr="006F6939" w:rsidRDefault="00BA40BA" w:rsidP="006F6939">
      <w:pPr>
        <w:pStyle w:val="FootnoteText"/>
        <w:jc w:val="both"/>
        <w:rPr>
          <w:rFonts w:ascii="Times New Roman" w:hAnsi="Times New Roman" w:cs="Times New Roman"/>
        </w:rPr>
      </w:pPr>
      <w:r w:rsidRPr="006F6939">
        <w:rPr>
          <w:rStyle w:val="FootnoteReference"/>
          <w:rFonts w:ascii="Times New Roman" w:hAnsi="Times New Roman" w:cs="Times New Roman"/>
        </w:rPr>
        <w:footnoteRef/>
      </w:r>
      <w:r w:rsidRPr="006F6939">
        <w:rPr>
          <w:rFonts w:ascii="Times New Roman" w:hAnsi="Times New Roman" w:cs="Times New Roman"/>
        </w:rPr>
        <w:t xml:space="preserve"> Section 88(1)</w:t>
      </w:r>
      <w:r w:rsidRPr="006F6939">
        <w:rPr>
          <w:rFonts w:ascii="Times New Roman" w:hAnsi="Times New Roman" w:cs="Times New Roman"/>
          <w:i/>
        </w:rPr>
        <w:t xml:space="preserve">(c) </w:t>
      </w:r>
      <w:r>
        <w:rPr>
          <w:rFonts w:ascii="Times New Roman" w:hAnsi="Times New Roman" w:cs="Times New Roman"/>
        </w:rPr>
        <w:t xml:space="preserve">states that if goods are liable to forfeiture under the Act, </w:t>
      </w:r>
      <w:r w:rsidRPr="006F6939">
        <w:rPr>
          <w:rFonts w:ascii="Times New Roman" w:hAnsi="Times New Roman" w:cs="Times New Roman"/>
        </w:rPr>
        <w:t>the Commissioner may seize those goods.</w:t>
      </w:r>
    </w:p>
  </w:footnote>
  <w:footnote w:id="2">
    <w:p w14:paraId="1A0A8FA4" w14:textId="77777777" w:rsidR="00BA40BA" w:rsidRPr="00410369" w:rsidRDefault="00BA40BA" w:rsidP="00410369">
      <w:pPr>
        <w:pStyle w:val="FootnoteText"/>
        <w:jc w:val="both"/>
        <w:rPr>
          <w:rFonts w:ascii="Times New Roman" w:hAnsi="Times New Roman" w:cs="Times New Roman"/>
        </w:rPr>
      </w:pPr>
      <w:r w:rsidRPr="00410369">
        <w:rPr>
          <w:rStyle w:val="FootnoteReference"/>
          <w:rFonts w:ascii="Times New Roman" w:hAnsi="Times New Roman" w:cs="Times New Roman"/>
        </w:rPr>
        <w:footnoteRef/>
      </w:r>
      <w:r w:rsidRPr="00410369">
        <w:rPr>
          <w:rFonts w:ascii="Times New Roman" w:hAnsi="Times New Roman" w:cs="Times New Roman"/>
        </w:rPr>
        <w:t xml:space="preserve"> Section 102(4) of the Act states:</w:t>
      </w:r>
    </w:p>
    <w:p w14:paraId="22353962" w14:textId="77777777" w:rsidR="00BA40BA" w:rsidRDefault="00BA40BA" w:rsidP="00410369">
      <w:pPr>
        <w:pStyle w:val="FootnoteText"/>
        <w:jc w:val="both"/>
      </w:pPr>
      <w:r w:rsidRPr="00410369">
        <w:rPr>
          <w:rFonts w:ascii="Times New Roman" w:hAnsi="Times New Roman" w:cs="Times New Roman"/>
        </w:rPr>
        <w:t>‘If</w:t>
      </w:r>
      <w:r>
        <w:rPr>
          <w:rFonts w:ascii="Times New Roman" w:hAnsi="Times New Roman" w:cs="Times New Roman"/>
        </w:rPr>
        <w:t xml:space="preserve"> in any prosecution under this A</w:t>
      </w:r>
      <w:r w:rsidRPr="00410369">
        <w:rPr>
          <w:rFonts w:ascii="Times New Roman" w:hAnsi="Times New Roman" w:cs="Times New Roman"/>
        </w:rPr>
        <w:t xml:space="preserve">ct </w:t>
      </w:r>
      <w:r>
        <w:rPr>
          <w:rFonts w:ascii="Times New Roman" w:hAnsi="Times New Roman" w:cs="Times New Roman"/>
        </w:rPr>
        <w:t>or in any dispute in which the S</w:t>
      </w:r>
      <w:r w:rsidRPr="00410369">
        <w:rPr>
          <w:rFonts w:ascii="Times New Roman" w:hAnsi="Times New Roman" w:cs="Times New Roman"/>
        </w:rPr>
        <w:t xml:space="preserve">tate, the Minister or the Commissioner or an officer is a party, the question arises whether the proper duty has been paid or whether any goods or plant have been lawfully used, imported, exported, manufactured, removed or otherwise dealt with </w:t>
      </w:r>
      <w:r>
        <w:rPr>
          <w:rFonts w:ascii="Times New Roman" w:hAnsi="Times New Roman" w:cs="Times New Roman"/>
        </w:rPr>
        <w:t xml:space="preserve">or </w:t>
      </w:r>
      <w:r w:rsidRPr="00410369">
        <w:rPr>
          <w:rFonts w:ascii="Times New Roman" w:hAnsi="Times New Roman" w:cs="Times New Roman"/>
        </w:rPr>
        <w:t>in, or whether any books, accounts, documents, forms or invoices required by rule to be completed and kept, exist or have been duly completed and kept or have been furnished to any officer, it shall be presumed that such duty has not been paid or that such goods or plant have not been lawfully used, imported, exported, manufactured, removed or otherwise dealt with or in, or that such books, accounts, documents, forms o</w:t>
      </w:r>
      <w:r>
        <w:rPr>
          <w:rFonts w:ascii="Times New Roman" w:hAnsi="Times New Roman" w:cs="Times New Roman"/>
        </w:rPr>
        <w:t>r</w:t>
      </w:r>
      <w:r w:rsidRPr="00410369">
        <w:rPr>
          <w:rFonts w:ascii="Times New Roman" w:hAnsi="Times New Roman" w:cs="Times New Roman"/>
        </w:rPr>
        <w:t xml:space="preserve"> invoices do not exist or have not been duly completed and kept or have not been so furnished, as the case may be, unless the contrary is proved.</w:t>
      </w:r>
      <w:r>
        <w:rPr>
          <w:rFonts w:ascii="Times New Roman" w:hAnsi="Times New Roman" w:cs="Times New Roman"/>
        </w:rPr>
        <w:t>’</w:t>
      </w:r>
    </w:p>
  </w:footnote>
  <w:footnote w:id="3">
    <w:p w14:paraId="6EE71DEB" w14:textId="58AAAA50" w:rsidR="00BA40BA" w:rsidRPr="00F4156E" w:rsidRDefault="00BA40BA" w:rsidP="001C0D8E">
      <w:pPr>
        <w:pStyle w:val="FootnoteText"/>
        <w:jc w:val="both"/>
        <w:rPr>
          <w:rFonts w:ascii="Times New Roman" w:hAnsi="Times New Roman" w:cs="Times New Roman"/>
        </w:rPr>
      </w:pPr>
      <w:r w:rsidRPr="00F4156E">
        <w:rPr>
          <w:rStyle w:val="FootnoteReference"/>
          <w:rFonts w:ascii="Times New Roman" w:hAnsi="Times New Roman" w:cs="Times New Roman"/>
        </w:rPr>
        <w:footnoteRef/>
      </w:r>
      <w:r w:rsidRPr="00F4156E">
        <w:rPr>
          <w:rFonts w:ascii="Times New Roman" w:hAnsi="Times New Roman" w:cs="Times New Roman"/>
        </w:rPr>
        <w:t xml:space="preserve"> </w:t>
      </w:r>
      <w:r>
        <w:rPr>
          <w:rFonts w:ascii="Times New Roman" w:hAnsi="Times New Roman" w:cs="Times New Roman"/>
          <w:i/>
          <w:iCs/>
        </w:rPr>
        <w:t xml:space="preserve">Natal Joint Municipality Pension Fund v Endumeni Municipality </w:t>
      </w:r>
      <w:r>
        <w:rPr>
          <w:rFonts w:ascii="Times New Roman" w:hAnsi="Times New Roman" w:cs="Times New Roman"/>
        </w:rPr>
        <w:t>[2012] ZASCA 13; 2012 (4) SA 593 para 18</w:t>
      </w:r>
      <w:r w:rsidRPr="00F4156E">
        <w:rPr>
          <w:rFonts w:ascii="Times New Roman" w:hAnsi="Times New Roman" w:cs="Times New Roman"/>
        </w:rPr>
        <w:t xml:space="preserve">, affirmed by the Constitutional Court </w:t>
      </w:r>
      <w:r w:rsidRPr="00D60016">
        <w:rPr>
          <w:rFonts w:ascii="Times New Roman" w:hAnsi="Times New Roman" w:cs="Times New Roman"/>
        </w:rPr>
        <w:t xml:space="preserve">in </w:t>
      </w:r>
      <w:r w:rsidRPr="00D60016">
        <w:rPr>
          <w:rFonts w:ascii="Times New Roman" w:hAnsi="Times New Roman" w:cs="Times New Roman"/>
          <w:i/>
          <w:iCs/>
        </w:rPr>
        <w:t>Airports Company South Africa v Big Five Duty Free (Pty) Ltd and Others</w:t>
      </w:r>
      <w:r w:rsidRPr="00AD78A9">
        <w:rPr>
          <w:rFonts w:ascii="Times New Roman" w:hAnsi="Times New Roman" w:cs="Times New Roman"/>
          <w:i/>
          <w:iCs/>
        </w:rPr>
        <w:t xml:space="preserve"> </w:t>
      </w:r>
      <w:r>
        <w:rPr>
          <w:rFonts w:ascii="Times New Roman" w:hAnsi="Times New Roman" w:cs="Times New Roman"/>
        </w:rPr>
        <w:t>[2018] ZACC 33; 2019 (5) SA 1 (CC) para 29.</w:t>
      </w:r>
      <w:r w:rsidRPr="00F4156E">
        <w:rPr>
          <w:rFonts w:ascii="Times New Roman" w:hAnsi="Times New Roman" w:cs="Times New Roman"/>
        </w:rPr>
        <w:t xml:space="preserve"> </w:t>
      </w:r>
    </w:p>
  </w:footnote>
  <w:footnote w:id="4">
    <w:p w14:paraId="64FA11BD" w14:textId="662A2C77" w:rsidR="00BA40BA" w:rsidRPr="001C0D8E" w:rsidRDefault="00BA40BA" w:rsidP="001C0D8E">
      <w:pPr>
        <w:pStyle w:val="FootnoteText"/>
        <w:jc w:val="both"/>
        <w:rPr>
          <w:rFonts w:ascii="Times New Roman" w:hAnsi="Times New Roman" w:cs="Times New Roman"/>
        </w:rPr>
      </w:pPr>
      <w:r w:rsidRPr="001C0D8E">
        <w:rPr>
          <w:rStyle w:val="FootnoteReference"/>
          <w:rFonts w:ascii="Times New Roman" w:hAnsi="Times New Roman" w:cs="Times New Roman"/>
        </w:rPr>
        <w:footnoteRef/>
      </w:r>
      <w:r w:rsidRPr="001C0D8E">
        <w:rPr>
          <w:rFonts w:ascii="Times New Roman" w:hAnsi="Times New Roman" w:cs="Times New Roman"/>
        </w:rPr>
        <w:t xml:space="preserve"> </w:t>
      </w:r>
      <w:r w:rsidRPr="001C0D8E">
        <w:rPr>
          <w:rFonts w:ascii="Times New Roman" w:hAnsi="Times New Roman" w:cs="Times New Roman"/>
          <w:i/>
        </w:rPr>
        <w:t>Capitec Bank Holdings Limited v Coral Lagoon Investments 194 (Pty) Ltd</w:t>
      </w:r>
      <w:r w:rsidRPr="001C0D8E">
        <w:rPr>
          <w:rFonts w:ascii="Times New Roman" w:hAnsi="Times New Roman" w:cs="Times New Roman"/>
        </w:rPr>
        <w:t xml:space="preserve"> [2021] 3 All SA 647 para 25</w:t>
      </w:r>
      <w:r>
        <w:rPr>
          <w:rFonts w:ascii="Times New Roman" w:hAnsi="Times New Roman" w:cs="Times New Roman"/>
        </w:rPr>
        <w:t xml:space="preserve">, footnotes </w:t>
      </w:r>
      <w:r w:rsidR="009610E7">
        <w:rPr>
          <w:rFonts w:ascii="Times New Roman" w:hAnsi="Times New Roman" w:cs="Times New Roman"/>
        </w:rPr>
        <w:t>omitted</w:t>
      </w:r>
      <w:r w:rsidRPr="001C0D8E">
        <w:rPr>
          <w:rFonts w:ascii="Times New Roman" w:hAnsi="Times New Roman" w:cs="Times New Roman"/>
        </w:rPr>
        <w:t>.</w:t>
      </w:r>
    </w:p>
  </w:footnote>
  <w:footnote w:id="5">
    <w:p w14:paraId="3373BEDA" w14:textId="77777777" w:rsidR="00BA40BA" w:rsidRPr="00306D20" w:rsidRDefault="00BA40BA" w:rsidP="003969AF">
      <w:pPr>
        <w:pStyle w:val="FootnoteText"/>
        <w:rPr>
          <w:rFonts w:ascii="Times New Roman" w:hAnsi="Times New Roman" w:cs="Times New Roman"/>
        </w:rPr>
      </w:pPr>
      <w:r w:rsidRPr="00306D20">
        <w:rPr>
          <w:rStyle w:val="FootnoteReference"/>
          <w:rFonts w:ascii="Times New Roman" w:hAnsi="Times New Roman" w:cs="Times New Roman"/>
        </w:rPr>
        <w:footnoteRef/>
      </w:r>
      <w:r w:rsidRPr="00306D20">
        <w:rPr>
          <w:rFonts w:ascii="Times New Roman" w:hAnsi="Times New Roman" w:cs="Times New Roman"/>
        </w:rPr>
        <w:t xml:space="preserve"> </w:t>
      </w:r>
      <w:r w:rsidRPr="009714D5">
        <w:rPr>
          <w:rFonts w:ascii="Times New Roman" w:hAnsi="Times New Roman" w:cs="Times New Roman"/>
          <w:i/>
        </w:rPr>
        <w:t>Evins v Shield Insurance Co Ltd</w:t>
      </w:r>
      <w:r w:rsidRPr="00306D20">
        <w:rPr>
          <w:rFonts w:ascii="Times New Roman" w:hAnsi="Times New Roman" w:cs="Times New Roman"/>
        </w:rPr>
        <w:t xml:space="preserve"> 1980 (2) SA 814 (A) at 838H-839A.</w:t>
      </w:r>
    </w:p>
  </w:footnote>
  <w:footnote w:id="6">
    <w:p w14:paraId="7A6D7C0C" w14:textId="7736C810" w:rsidR="00BA40BA" w:rsidRPr="00E94B5B" w:rsidRDefault="00BA40BA" w:rsidP="00E94B5B">
      <w:pPr>
        <w:pStyle w:val="FootnoteText"/>
        <w:jc w:val="both"/>
        <w:rPr>
          <w:rFonts w:ascii="Times New Roman" w:hAnsi="Times New Roman" w:cs="Times New Roman"/>
        </w:rPr>
      </w:pPr>
      <w:r w:rsidRPr="00E94B5B">
        <w:rPr>
          <w:rStyle w:val="FootnoteReference"/>
          <w:rFonts w:ascii="Times New Roman" w:hAnsi="Times New Roman" w:cs="Times New Roman"/>
        </w:rPr>
        <w:footnoteRef/>
      </w:r>
      <w:r w:rsidRPr="00E94B5B">
        <w:rPr>
          <w:rFonts w:ascii="Times New Roman" w:hAnsi="Times New Roman" w:cs="Times New Roman"/>
        </w:rPr>
        <w:t xml:space="preserve"> See </w:t>
      </w:r>
      <w:r w:rsidRPr="00E94B5B">
        <w:rPr>
          <w:rFonts w:ascii="Times New Roman" w:hAnsi="Times New Roman" w:cs="Times New Roman"/>
          <w:i/>
        </w:rPr>
        <w:t>Mohlomi v Minister of Defence</w:t>
      </w:r>
      <w:r w:rsidRPr="00E94B5B">
        <w:rPr>
          <w:rFonts w:ascii="Times New Roman" w:hAnsi="Times New Roman" w:cs="Times New Roman"/>
        </w:rPr>
        <w:t xml:space="preserve"> </w:t>
      </w:r>
      <w:r>
        <w:rPr>
          <w:rFonts w:ascii="Times New Roman" w:hAnsi="Times New Roman" w:cs="Times New Roman"/>
        </w:rPr>
        <w:t xml:space="preserve">[1996] ZACC 20; </w:t>
      </w:r>
      <w:r w:rsidRPr="00E94B5B">
        <w:rPr>
          <w:rFonts w:ascii="Times New Roman" w:hAnsi="Times New Roman" w:cs="Times New Roman"/>
        </w:rPr>
        <w:t>1997 (1) SA 124 (CC) para 9</w:t>
      </w:r>
      <w:r>
        <w:rPr>
          <w:rFonts w:ascii="Times New Roman" w:hAnsi="Times New Roman" w:cs="Times New Roman"/>
        </w:rPr>
        <w:t xml:space="preserve">, regarding the purpose of a </w:t>
      </w:r>
      <w:r w:rsidRPr="00E94B5B">
        <w:rPr>
          <w:rFonts w:ascii="Times New Roman" w:hAnsi="Times New Roman" w:cs="Times New Roman"/>
        </w:rPr>
        <w:t>notice of intended legal proceedings under the Defence Act 44 of 1957.</w:t>
      </w:r>
    </w:p>
  </w:footnote>
  <w:footnote w:id="7">
    <w:p w14:paraId="553CC3CE" w14:textId="77777777" w:rsidR="00BA40BA" w:rsidRPr="00CF4DC4" w:rsidRDefault="00BA40BA" w:rsidP="00CF4DC4">
      <w:pPr>
        <w:pStyle w:val="FootnoteText"/>
        <w:jc w:val="both"/>
        <w:rPr>
          <w:rFonts w:ascii="Times New Roman" w:hAnsi="Times New Roman" w:cs="Times New Roman"/>
        </w:rPr>
      </w:pPr>
      <w:r w:rsidRPr="00CF4DC4">
        <w:rPr>
          <w:rStyle w:val="FootnoteReference"/>
          <w:rFonts w:ascii="Times New Roman" w:hAnsi="Times New Roman" w:cs="Times New Roman"/>
        </w:rPr>
        <w:footnoteRef/>
      </w:r>
      <w:r w:rsidRPr="00CF4DC4">
        <w:rPr>
          <w:rFonts w:ascii="Times New Roman" w:hAnsi="Times New Roman" w:cs="Times New Roman"/>
        </w:rPr>
        <w:t xml:space="preserve"> Section 195(1)</w:t>
      </w:r>
      <w:r w:rsidRPr="001C0D8E">
        <w:rPr>
          <w:rFonts w:ascii="Times New Roman" w:hAnsi="Times New Roman" w:cs="Times New Roman"/>
          <w:i/>
          <w:iCs/>
        </w:rPr>
        <w:t>(b)</w:t>
      </w:r>
      <w:r>
        <w:rPr>
          <w:rFonts w:ascii="Times New Roman" w:hAnsi="Times New Roman" w:cs="Times New Roman"/>
        </w:rPr>
        <w:t xml:space="preserve"> </w:t>
      </w:r>
      <w:r w:rsidRPr="00CF4DC4">
        <w:rPr>
          <w:rFonts w:ascii="Times New Roman" w:hAnsi="Times New Roman" w:cs="Times New Roman"/>
        </w:rPr>
        <w:t>of the Constitution provides that public administration must be governed by democratic values and principles</w:t>
      </w:r>
      <w:r>
        <w:rPr>
          <w:rFonts w:ascii="Times New Roman" w:hAnsi="Times New Roman" w:cs="Times New Roman"/>
        </w:rPr>
        <w:t xml:space="preserve"> enshrined in the C</w:t>
      </w:r>
      <w:r w:rsidRPr="00CF4DC4">
        <w:rPr>
          <w:rFonts w:ascii="Times New Roman" w:hAnsi="Times New Roman" w:cs="Times New Roman"/>
        </w:rPr>
        <w:t xml:space="preserve">onstitution, </w:t>
      </w:r>
      <w:r>
        <w:rPr>
          <w:rFonts w:ascii="Times New Roman" w:hAnsi="Times New Roman" w:cs="Times New Roman"/>
        </w:rPr>
        <w:t>including the promotion of e</w:t>
      </w:r>
      <w:r w:rsidRPr="00CF4DC4">
        <w:rPr>
          <w:rFonts w:ascii="Times New Roman" w:hAnsi="Times New Roman" w:cs="Times New Roman"/>
        </w:rPr>
        <w:t>fficient, economic and effective use of resources</w:t>
      </w:r>
      <w:r>
        <w:rPr>
          <w:rFonts w:ascii="Times New Roman" w:hAnsi="Times New Roman" w:cs="Times New Roman"/>
        </w:rPr>
        <w:t>.</w:t>
      </w:r>
    </w:p>
  </w:footnote>
  <w:footnote w:id="8">
    <w:p w14:paraId="1730A1F6" w14:textId="16C8441A" w:rsidR="00BA40BA" w:rsidRPr="009B5B81" w:rsidRDefault="00BA40BA" w:rsidP="00030BEC">
      <w:pPr>
        <w:pStyle w:val="FootnoteText"/>
        <w:jc w:val="both"/>
        <w:rPr>
          <w:rFonts w:ascii="Times New Roman" w:hAnsi="Times New Roman" w:cs="Times New Roman"/>
        </w:rPr>
      </w:pPr>
      <w:r w:rsidRPr="009B5B81">
        <w:rPr>
          <w:rStyle w:val="FootnoteReference"/>
          <w:rFonts w:ascii="Times New Roman" w:hAnsi="Times New Roman" w:cs="Times New Roman"/>
        </w:rPr>
        <w:footnoteRef/>
      </w:r>
      <w:r w:rsidRPr="009B5B81">
        <w:rPr>
          <w:rFonts w:ascii="Times New Roman" w:hAnsi="Times New Roman" w:cs="Times New Roman"/>
        </w:rPr>
        <w:t xml:space="preserve"> </w:t>
      </w:r>
      <w:r w:rsidRPr="001C0D8E">
        <w:rPr>
          <w:rFonts w:ascii="Times New Roman" w:hAnsi="Times New Roman" w:cs="Times New Roman"/>
          <w:i/>
        </w:rPr>
        <w:t>The Commissioner for the South African Revenue Service v Prudence Forwarding (Pty) Ltd</w:t>
      </w:r>
      <w:r w:rsidRPr="009B5B81">
        <w:rPr>
          <w:rFonts w:ascii="Times New Roman" w:hAnsi="Times New Roman" w:cs="Times New Roman"/>
        </w:rPr>
        <w:t xml:space="preserve"> </w:t>
      </w:r>
      <w:r>
        <w:rPr>
          <w:rFonts w:ascii="Times New Roman" w:hAnsi="Times New Roman" w:cs="Times New Roman"/>
        </w:rPr>
        <w:t>2015 JDR 2545 (GP).</w:t>
      </w:r>
    </w:p>
  </w:footnote>
  <w:footnote w:id="9">
    <w:p w14:paraId="4E9E78EB" w14:textId="15B8EDD8" w:rsidR="00BA40BA" w:rsidRPr="001C0D8E" w:rsidRDefault="00BA40BA">
      <w:pPr>
        <w:pStyle w:val="FootnoteText"/>
        <w:rPr>
          <w:rFonts w:ascii="Times New Roman" w:hAnsi="Times New Roman" w:cs="Times New Roman"/>
        </w:rPr>
      </w:pPr>
      <w:r w:rsidRPr="001C0D8E">
        <w:rPr>
          <w:rStyle w:val="FootnoteReference"/>
          <w:rFonts w:ascii="Times New Roman" w:hAnsi="Times New Roman" w:cs="Times New Roman"/>
        </w:rPr>
        <w:footnoteRef/>
      </w:r>
      <w:r w:rsidRPr="001C0D8E">
        <w:rPr>
          <w:rFonts w:ascii="Times New Roman" w:hAnsi="Times New Roman" w:cs="Times New Roman"/>
        </w:rPr>
        <w:t xml:space="preserve"> Ibid para 28.</w:t>
      </w:r>
    </w:p>
  </w:footnote>
  <w:footnote w:id="10">
    <w:p w14:paraId="59EAAA45" w14:textId="651C3947" w:rsidR="00BA40BA" w:rsidRPr="0044622A" w:rsidRDefault="00BA40BA" w:rsidP="00C07F4B">
      <w:pPr>
        <w:pStyle w:val="FootnoteText"/>
        <w:jc w:val="both"/>
      </w:pPr>
      <w:r>
        <w:rPr>
          <w:rStyle w:val="FootnoteReference"/>
        </w:rPr>
        <w:footnoteRef/>
      </w:r>
      <w:r>
        <w:t xml:space="preserve"> </w:t>
      </w:r>
      <w:r w:rsidRPr="00BF19FD">
        <w:rPr>
          <w:rFonts w:ascii="Times New Roman" w:hAnsi="Times New Roman" w:cs="Times New Roman"/>
          <w:i/>
        </w:rPr>
        <w:t>Commissioner, South African Revenue Service v Trend Finance (Pty) Ltd and Another</w:t>
      </w:r>
      <w:r w:rsidRPr="00BF19FD">
        <w:rPr>
          <w:rFonts w:ascii="Times New Roman" w:hAnsi="Times New Roman" w:cs="Times New Roman"/>
        </w:rPr>
        <w:t xml:space="preserve"> </w:t>
      </w:r>
      <w:r w:rsidR="00D16582">
        <w:rPr>
          <w:rFonts w:ascii="Times New Roman" w:hAnsi="Times New Roman" w:cs="Times New Roman"/>
        </w:rPr>
        <w:t>2007 (6)</w:t>
      </w:r>
      <w:r w:rsidR="00C07F4B">
        <w:rPr>
          <w:rFonts w:ascii="Times New Roman" w:hAnsi="Times New Roman" w:cs="Times New Roman"/>
        </w:rPr>
        <w:t xml:space="preserve"> SA 117 (SCA) para</w:t>
      </w:r>
      <w:r>
        <w:rPr>
          <w:rFonts w:ascii="Times New Roman" w:hAnsi="Times New Roman" w:cs="Times New Roman"/>
        </w:rPr>
        <w:t xml:space="preserve"> 29.</w:t>
      </w:r>
    </w:p>
  </w:footnote>
  <w:footnote w:id="11">
    <w:p w14:paraId="13380208" w14:textId="30C23556" w:rsidR="00BA40BA" w:rsidRPr="008C4294" w:rsidRDefault="00BA40BA" w:rsidP="00C07F4B">
      <w:pPr>
        <w:pStyle w:val="FootnoteText"/>
        <w:jc w:val="both"/>
        <w:rPr>
          <w:rFonts w:ascii="Times New Roman" w:hAnsi="Times New Roman" w:cs="Times New Roman"/>
        </w:rPr>
      </w:pPr>
      <w:r w:rsidRPr="008C4294">
        <w:rPr>
          <w:rStyle w:val="FootnoteReference"/>
          <w:rFonts w:ascii="Times New Roman" w:hAnsi="Times New Roman" w:cs="Times New Roman"/>
        </w:rPr>
        <w:footnoteRef/>
      </w:r>
      <w:r w:rsidRPr="008C4294">
        <w:rPr>
          <w:rFonts w:ascii="Times New Roman" w:hAnsi="Times New Roman" w:cs="Times New Roman"/>
        </w:rPr>
        <w:t xml:space="preserve"> </w:t>
      </w:r>
      <w:r w:rsidRPr="008C4294">
        <w:rPr>
          <w:rFonts w:ascii="Times New Roman" w:hAnsi="Times New Roman" w:cs="Times New Roman"/>
          <w:i/>
        </w:rPr>
        <w:t>Commissioner: South African Revenue Service and Another v Alves</w:t>
      </w:r>
      <w:r w:rsidRPr="008C4294">
        <w:rPr>
          <w:rFonts w:ascii="Times New Roman" w:hAnsi="Times New Roman" w:cs="Times New Roman"/>
        </w:rPr>
        <w:t xml:space="preserve"> </w:t>
      </w:r>
      <w:r>
        <w:rPr>
          <w:rFonts w:ascii="Times New Roman" w:hAnsi="Times New Roman" w:cs="Times New Roman"/>
        </w:rPr>
        <w:t>[2020] ZAFSHC 123</w:t>
      </w:r>
      <w:r w:rsidRPr="008C4294">
        <w:rPr>
          <w:rFonts w:ascii="Times New Roman" w:hAnsi="Times New Roman" w:cs="Times New Roman"/>
        </w:rPr>
        <w:t xml:space="preserve"> para </w:t>
      </w:r>
      <w:r>
        <w:rPr>
          <w:rFonts w:ascii="Times New Roman" w:hAnsi="Times New Roman" w:cs="Times New Roman"/>
        </w:rPr>
        <w:t>11.</w:t>
      </w:r>
    </w:p>
  </w:footnote>
  <w:footnote w:id="12">
    <w:p w14:paraId="66B2A374" w14:textId="77777777" w:rsidR="00BA40BA" w:rsidRPr="001717FA" w:rsidRDefault="00BA40BA" w:rsidP="001717FA">
      <w:pPr>
        <w:pStyle w:val="FootnoteText"/>
        <w:jc w:val="both"/>
        <w:rPr>
          <w:rFonts w:ascii="Times New Roman" w:hAnsi="Times New Roman" w:cs="Times New Roman"/>
        </w:rPr>
      </w:pPr>
      <w:r w:rsidRPr="001717FA">
        <w:rPr>
          <w:rStyle w:val="FootnoteReference"/>
          <w:rFonts w:ascii="Times New Roman" w:hAnsi="Times New Roman" w:cs="Times New Roman"/>
        </w:rPr>
        <w:footnoteRef/>
      </w:r>
      <w:r w:rsidRPr="001717FA">
        <w:rPr>
          <w:rFonts w:ascii="Times New Roman" w:hAnsi="Times New Roman" w:cs="Times New Roman"/>
        </w:rPr>
        <w:t xml:space="preserve"> Section 5(3) of the PAJA reads:</w:t>
      </w:r>
    </w:p>
    <w:p w14:paraId="6E357BF8" w14:textId="77777777" w:rsidR="00BA40BA" w:rsidRDefault="00BA40BA" w:rsidP="001717FA">
      <w:pPr>
        <w:pStyle w:val="FootnoteText"/>
        <w:jc w:val="both"/>
      </w:pPr>
      <w:r w:rsidRPr="001717FA">
        <w:rPr>
          <w:rFonts w:ascii="Times New Roman" w:hAnsi="Times New Roman" w:cs="Times New Roman"/>
        </w:rPr>
        <w:t>‘If an administrator fails to furnish adequate reasons for an administrative action it must, subject to subsection (4) and in the absence of proof to the contrary, be presumed in any proceedings for judicial review that the administrative action was taken without good reason.’</w:t>
      </w:r>
    </w:p>
  </w:footnote>
  <w:footnote w:id="13">
    <w:p w14:paraId="14E1C957" w14:textId="77777777" w:rsidR="00BA40BA" w:rsidRPr="003B0CD9" w:rsidRDefault="00BA40BA" w:rsidP="003B0CD9">
      <w:pPr>
        <w:pStyle w:val="FootnoteText"/>
        <w:jc w:val="both"/>
        <w:rPr>
          <w:rFonts w:ascii="Times New Roman" w:hAnsi="Times New Roman" w:cs="Times New Roman"/>
        </w:rPr>
      </w:pPr>
      <w:r w:rsidRPr="003B0CD9">
        <w:rPr>
          <w:rStyle w:val="FootnoteReference"/>
          <w:rFonts w:ascii="Times New Roman" w:hAnsi="Times New Roman" w:cs="Times New Roman"/>
        </w:rPr>
        <w:footnoteRef/>
      </w:r>
      <w:r w:rsidRPr="003B0CD9">
        <w:rPr>
          <w:rFonts w:ascii="Times New Roman" w:hAnsi="Times New Roman" w:cs="Times New Roman"/>
        </w:rPr>
        <w:t xml:space="preserve"> Section 5 of the PAJA, in relevant part, provides:</w:t>
      </w:r>
    </w:p>
    <w:p w14:paraId="34F5C5FA" w14:textId="77777777" w:rsidR="00BA40BA" w:rsidRPr="003B0CD9" w:rsidRDefault="00BA40BA" w:rsidP="003B0CD9">
      <w:pPr>
        <w:pStyle w:val="FootnoteText"/>
        <w:jc w:val="both"/>
        <w:rPr>
          <w:rFonts w:ascii="Times New Roman" w:hAnsi="Times New Roman" w:cs="Times New Roman"/>
        </w:rPr>
      </w:pPr>
      <w:r w:rsidRPr="003B0CD9">
        <w:rPr>
          <w:rFonts w:ascii="Times New Roman" w:hAnsi="Times New Roman" w:cs="Times New Roman"/>
        </w:rPr>
        <w:t>‘(1) Any person whose rights have been materially and adversely affected by administrative action and who has not been given reasons for the action may, within 90 days after the date on which that person became aware of the action or might reasonably have been expected to have become aware of the action, request that the administrator concerned furnish written reasons for the action.</w:t>
      </w:r>
    </w:p>
    <w:p w14:paraId="53B8EA93" w14:textId="77777777" w:rsidR="00BA40BA" w:rsidRDefault="00BA40BA" w:rsidP="003B0CD9">
      <w:pPr>
        <w:pStyle w:val="FootnoteText"/>
        <w:jc w:val="both"/>
      </w:pPr>
      <w:r w:rsidRPr="003B0CD9">
        <w:rPr>
          <w:rFonts w:ascii="Times New Roman" w:hAnsi="Times New Roman" w:cs="Times New Roman"/>
        </w:rPr>
        <w:t>(2) The administrator to whom the request is made must, within 90 days after receiving the request, give that person adequate reasons in writing for the administrative action.</w:t>
      </w:r>
    </w:p>
  </w:footnote>
  <w:footnote w:id="14">
    <w:p w14:paraId="75F5B78F" w14:textId="56F3E9C4" w:rsidR="00D16582" w:rsidRPr="00973784" w:rsidRDefault="00D16582" w:rsidP="00D16582">
      <w:pPr>
        <w:pStyle w:val="FootnoteText"/>
        <w:jc w:val="both"/>
        <w:rPr>
          <w:rFonts w:ascii="Times New Roman" w:hAnsi="Times New Roman" w:cs="Times New Roman"/>
        </w:rPr>
      </w:pPr>
      <w:r w:rsidRPr="00973784">
        <w:rPr>
          <w:rStyle w:val="FootnoteReference"/>
          <w:rFonts w:ascii="Times New Roman" w:hAnsi="Times New Roman" w:cs="Times New Roman"/>
        </w:rPr>
        <w:footnoteRef/>
      </w:r>
      <w:r w:rsidRPr="00973784">
        <w:rPr>
          <w:rFonts w:ascii="Times New Roman" w:hAnsi="Times New Roman" w:cs="Times New Roman"/>
        </w:rPr>
        <w:t xml:space="preserve"> C Hoexter and G Penfold: </w:t>
      </w:r>
      <w:r w:rsidRPr="00973784">
        <w:rPr>
          <w:rFonts w:ascii="Times New Roman" w:hAnsi="Times New Roman" w:cs="Times New Roman"/>
          <w:i/>
        </w:rPr>
        <w:t>Administrative Law in South Africa</w:t>
      </w:r>
      <w:r>
        <w:rPr>
          <w:rFonts w:ascii="Times New Roman" w:hAnsi="Times New Roman" w:cs="Times New Roman"/>
        </w:rPr>
        <w:t xml:space="preserve"> (3 ed 2021) at 464-465 and 497. </w:t>
      </w:r>
    </w:p>
  </w:footnote>
  <w:footnote w:id="15">
    <w:p w14:paraId="7A19BC89" w14:textId="003BB8D3" w:rsidR="00992BEF" w:rsidRPr="0022631C" w:rsidRDefault="00992BEF" w:rsidP="006A44DE">
      <w:pPr>
        <w:pStyle w:val="FootnoteText"/>
        <w:rPr>
          <w:rFonts w:ascii="Times New Roman" w:hAnsi="Times New Roman" w:cs="Times New Roman"/>
        </w:rPr>
      </w:pPr>
      <w:r w:rsidRPr="0022631C">
        <w:rPr>
          <w:rStyle w:val="FootnoteReference"/>
          <w:rFonts w:ascii="Times New Roman" w:hAnsi="Times New Roman" w:cs="Times New Roman"/>
        </w:rPr>
        <w:footnoteRef/>
      </w:r>
      <w:r w:rsidRPr="0022631C">
        <w:rPr>
          <w:rFonts w:ascii="Times New Roman" w:hAnsi="Times New Roman" w:cs="Times New Roman"/>
        </w:rPr>
        <w:t>.</w:t>
      </w:r>
      <w:r w:rsidRPr="00992BEF">
        <w:rPr>
          <w:rFonts w:ascii="Times New Roman" w:hAnsi="Times New Roman" w:cs="Times New Roman"/>
          <w:i/>
        </w:rPr>
        <w:t xml:space="preserve"> </w:t>
      </w:r>
      <w:r w:rsidRPr="00B76F65">
        <w:rPr>
          <w:rFonts w:ascii="Times New Roman" w:hAnsi="Times New Roman" w:cs="Times New Roman"/>
          <w:i/>
        </w:rPr>
        <w:t>Commissioner, South African Revenue Service v Saleem</w:t>
      </w:r>
      <w:r w:rsidRPr="00B76F65">
        <w:rPr>
          <w:rFonts w:ascii="Times New Roman" w:hAnsi="Times New Roman" w:cs="Times New Roman"/>
        </w:rPr>
        <w:t xml:space="preserve"> 2008 (3) SA 655 (SCA) para</w:t>
      </w:r>
      <w:r>
        <w:rPr>
          <w:rFonts w:ascii="Times New Roman" w:hAnsi="Times New Roman" w:cs="Times New Roman"/>
        </w:rPr>
        <w:t xml:space="preserve"> 9.</w:t>
      </w:r>
    </w:p>
  </w:footnote>
  <w:footnote w:id="16">
    <w:p w14:paraId="20F189CE" w14:textId="3EAD9DB4" w:rsidR="00B76F65" w:rsidRPr="00992BEF" w:rsidRDefault="00B76F65" w:rsidP="006A44DE">
      <w:pPr>
        <w:pStyle w:val="ListParagraph"/>
        <w:spacing w:after="0" w:line="240" w:lineRule="auto"/>
        <w:ind w:left="0"/>
        <w:jc w:val="both"/>
        <w:rPr>
          <w:rFonts w:ascii="Times New Roman" w:hAnsi="Times New Roman" w:cs="Times New Roman"/>
          <w:sz w:val="20"/>
          <w:szCs w:val="20"/>
        </w:rPr>
      </w:pPr>
      <w:r w:rsidRPr="00992BEF">
        <w:rPr>
          <w:rStyle w:val="FootnoteReference"/>
          <w:rFonts w:ascii="Times New Roman" w:hAnsi="Times New Roman" w:cs="Times New Roman"/>
          <w:sz w:val="20"/>
          <w:szCs w:val="20"/>
        </w:rPr>
        <w:footnoteRef/>
      </w:r>
      <w:r w:rsidRPr="00992BEF">
        <w:rPr>
          <w:rFonts w:ascii="Times New Roman" w:hAnsi="Times New Roman" w:cs="Times New Roman"/>
          <w:sz w:val="20"/>
          <w:szCs w:val="20"/>
        </w:rPr>
        <w:t xml:space="preserve"> </w:t>
      </w:r>
      <w:r w:rsidR="00992BEF" w:rsidRPr="00992BEF">
        <w:rPr>
          <w:rFonts w:ascii="Times New Roman" w:hAnsi="Times New Roman" w:cs="Times New Roman"/>
          <w:i/>
          <w:sz w:val="20"/>
          <w:szCs w:val="20"/>
        </w:rPr>
        <w:t>CSARS v Saleem</w:t>
      </w:r>
      <w:r w:rsidR="00992BEF" w:rsidRPr="00992BEF">
        <w:rPr>
          <w:rFonts w:ascii="Times New Roman" w:hAnsi="Times New Roman" w:cs="Times New Roman"/>
          <w:sz w:val="20"/>
          <w:szCs w:val="20"/>
        </w:rPr>
        <w:t xml:space="preserve"> fn 14 para 9</w:t>
      </w:r>
      <w:r w:rsidR="006A44DE">
        <w:rPr>
          <w:rFonts w:ascii="Times New Roman" w:hAnsi="Times New Roman" w:cs="Times New Roman"/>
          <w:sz w:val="20"/>
          <w:szCs w:val="20"/>
        </w:rPr>
        <w:t>.</w:t>
      </w:r>
    </w:p>
  </w:footnote>
  <w:footnote w:id="17">
    <w:p w14:paraId="780BF2AC" w14:textId="5A36B0BA" w:rsidR="00BA40BA" w:rsidRPr="001C0D8E" w:rsidRDefault="00BA40BA" w:rsidP="006A44DE">
      <w:pPr>
        <w:pStyle w:val="FootnoteText"/>
        <w:jc w:val="both"/>
        <w:rPr>
          <w:rFonts w:ascii="Times New Roman" w:hAnsi="Times New Roman" w:cs="Times New Roman"/>
        </w:rPr>
      </w:pPr>
      <w:r w:rsidRPr="001C0D8E">
        <w:rPr>
          <w:rStyle w:val="FootnoteReference"/>
          <w:rFonts w:ascii="Times New Roman" w:hAnsi="Times New Roman" w:cs="Times New Roman"/>
        </w:rPr>
        <w:footnoteRef/>
      </w:r>
      <w:r w:rsidRPr="001C0D8E">
        <w:rPr>
          <w:rFonts w:ascii="Times New Roman" w:hAnsi="Times New Roman" w:cs="Times New Roman"/>
        </w:rPr>
        <w:t xml:space="preserve"> Section 87(2) reads: ‘(2) Any— </w:t>
      </w:r>
      <w:r w:rsidRPr="001C0D8E">
        <w:rPr>
          <w:rFonts w:ascii="Times New Roman" w:hAnsi="Times New Roman" w:cs="Times New Roman"/>
          <w:i/>
          <w:iCs/>
        </w:rPr>
        <w:t>(a)</w:t>
      </w:r>
      <w:r w:rsidRPr="001C0D8E">
        <w:rPr>
          <w:rFonts w:ascii="Times New Roman" w:hAnsi="Times New Roman" w:cs="Times New Roman"/>
        </w:rPr>
        <w:t xml:space="preserve"> ship, vehicle, container or other transport equipment used in removal or carriage of any goods liable to forfeiture under this Act or constructed, adapted, altered or fitted in any manner for the purpose of concealing goods; </w:t>
      </w:r>
      <w:r w:rsidRPr="001C0D8E">
        <w:rPr>
          <w:rFonts w:ascii="Times New Roman" w:hAnsi="Times New Roman" w:cs="Times New Roman"/>
          <w:i/>
          <w:iCs/>
        </w:rPr>
        <w:t>(b)</w:t>
      </w:r>
      <w:r w:rsidRPr="001C0D8E">
        <w:rPr>
          <w:rFonts w:ascii="Times New Roman" w:hAnsi="Times New Roman" w:cs="Times New Roman"/>
        </w:rPr>
        <w:t xml:space="preserve"> goods conveyed, mixed, packed, or found with any goods liable to forfeiture under this Act on or in any such ship, vehicle, container or other transport equipment; and </w:t>
      </w:r>
      <w:r w:rsidRPr="001C0D8E">
        <w:rPr>
          <w:rFonts w:ascii="Times New Roman" w:hAnsi="Times New Roman" w:cs="Times New Roman"/>
          <w:i/>
          <w:iCs/>
        </w:rPr>
        <w:t>(c)</w:t>
      </w:r>
      <w:r w:rsidRPr="001C0D8E">
        <w:rPr>
          <w:rFonts w:ascii="Times New Roman" w:hAnsi="Times New Roman" w:cs="Times New Roman"/>
        </w:rPr>
        <w:t xml:space="preserve"> ship, vehicle, machine, machinery, plant, equipment </w:t>
      </w:r>
      <w:r w:rsidRPr="00567BB7">
        <w:rPr>
          <w:rFonts w:ascii="Times New Roman" w:hAnsi="Times New Roman" w:cs="Times New Roman"/>
        </w:rPr>
        <w:t>or apparatus classifiable under any heading or subheading of Chapters 84 to 87 and 89 of Part 1 of Schedule No. 1 in which</w:t>
      </w:r>
      <w:r w:rsidRPr="001C0D8E">
        <w:rPr>
          <w:rFonts w:ascii="Times New Roman" w:hAnsi="Times New Roman" w:cs="Times New Roman"/>
        </w:rPr>
        <w:t xml:space="preserve"> goods liable to forfeiture under this Act are used as fuel or in any other manner, shall be liable to forfeiture wheresoever and in possession of whomsoever found.’</w:t>
      </w:r>
      <w:r w:rsidRPr="001C0D8E">
        <w:rPr>
          <w:rFonts w:ascii="Times New Roman" w:hAnsi="Times New Roman" w:cs="Times New Roman"/>
          <w:i/>
          <w:iCs/>
        </w:rPr>
        <w:t xml:space="preserve"> </w:t>
      </w:r>
    </w:p>
  </w:footnote>
  <w:footnote w:id="18">
    <w:p w14:paraId="7D69B88D" w14:textId="664E0C84" w:rsidR="00BA40BA" w:rsidRPr="00B2695F" w:rsidRDefault="00BA40BA" w:rsidP="00B2695F">
      <w:pPr>
        <w:pStyle w:val="FootnoteText"/>
        <w:jc w:val="both"/>
        <w:rPr>
          <w:rFonts w:ascii="Times New Roman" w:hAnsi="Times New Roman" w:cs="Times New Roman"/>
        </w:rPr>
      </w:pPr>
      <w:r w:rsidRPr="00B2695F">
        <w:rPr>
          <w:rStyle w:val="FootnoteReference"/>
          <w:rFonts w:ascii="Times New Roman" w:hAnsi="Times New Roman" w:cs="Times New Roman"/>
        </w:rPr>
        <w:footnoteRef/>
      </w:r>
      <w:r w:rsidRPr="00B2695F">
        <w:rPr>
          <w:rFonts w:ascii="Times New Roman" w:hAnsi="Times New Roman" w:cs="Times New Roman"/>
        </w:rPr>
        <w:t xml:space="preserve"> </w:t>
      </w:r>
      <w:r w:rsidRPr="00487C51">
        <w:rPr>
          <w:rFonts w:ascii="Times New Roman" w:hAnsi="Times New Roman" w:cs="Times New Roman"/>
          <w:i/>
        </w:rPr>
        <w:t>Democratic Alliance v President of the Republic of South Africa</w:t>
      </w:r>
      <w:r>
        <w:rPr>
          <w:rFonts w:ascii="Times New Roman" w:hAnsi="Times New Roman" w:cs="Times New Roman"/>
        </w:rPr>
        <w:t xml:space="preserve"> [2012] ZACC 24; 2013 (1) SA 248 (CC) paras 27 and 29-32 (</w:t>
      </w:r>
      <w:r>
        <w:rPr>
          <w:rFonts w:ascii="Times New Roman" w:hAnsi="Times New Roman" w:cs="Times New Roman"/>
          <w:i/>
          <w:iCs/>
        </w:rPr>
        <w:t>Democratic Alliance</w:t>
      </w:r>
      <w:r w:rsidRPr="001C0D8E">
        <w:rPr>
          <w:rFonts w:ascii="Times New Roman" w:hAnsi="Times New Roman" w:cs="Times New Roman"/>
        </w:rPr>
        <w:t>)</w:t>
      </w:r>
      <w:r>
        <w:rPr>
          <w:rFonts w:ascii="Times New Roman" w:hAnsi="Times New Roman" w:cs="Times New Roman"/>
        </w:rPr>
        <w:t xml:space="preserve">; </w:t>
      </w:r>
      <w:r w:rsidRPr="00B2695F">
        <w:rPr>
          <w:rFonts w:ascii="Times New Roman" w:hAnsi="Times New Roman" w:cs="Times New Roman"/>
          <w:i/>
        </w:rPr>
        <w:t>Albutt v Centre for the Study of Violence and Reconciliation and Others</w:t>
      </w:r>
      <w:r w:rsidRPr="00B2695F">
        <w:rPr>
          <w:rFonts w:ascii="Times New Roman" w:hAnsi="Times New Roman" w:cs="Times New Roman"/>
        </w:rPr>
        <w:t xml:space="preserve"> [2010] ZACC 4; 2010 (3) SA 293 (CC) para </w:t>
      </w:r>
      <w:r>
        <w:rPr>
          <w:rFonts w:ascii="Times New Roman" w:hAnsi="Times New Roman" w:cs="Times New Roman"/>
        </w:rPr>
        <w:t xml:space="preserve">51; </w:t>
      </w:r>
      <w:r w:rsidRPr="00487C51">
        <w:rPr>
          <w:rFonts w:ascii="Times New Roman" w:hAnsi="Times New Roman" w:cs="Times New Roman"/>
          <w:i/>
        </w:rPr>
        <w:t>Minister of Defence and Military Veterans v Motau</w:t>
      </w:r>
      <w:r>
        <w:rPr>
          <w:rFonts w:ascii="Times New Roman" w:hAnsi="Times New Roman" w:cs="Times New Roman"/>
        </w:rPr>
        <w:t xml:space="preserve"> [2014] ZACC 18; 2014 (5) SA 69 (CC) para 69 (</w:t>
      </w:r>
      <w:r>
        <w:rPr>
          <w:rFonts w:ascii="Times New Roman" w:hAnsi="Times New Roman" w:cs="Times New Roman"/>
          <w:i/>
          <w:iCs/>
        </w:rPr>
        <w:t>Motau</w:t>
      </w:r>
      <w:r>
        <w:rPr>
          <w:rFonts w:ascii="Times New Roman" w:hAnsi="Times New Roman" w:cs="Times New Roman"/>
        </w:rPr>
        <w:t>).</w:t>
      </w:r>
    </w:p>
  </w:footnote>
  <w:footnote w:id="19">
    <w:p w14:paraId="0626CBA4" w14:textId="428E30F3" w:rsidR="00090D90" w:rsidRPr="00090D90" w:rsidRDefault="00090D90">
      <w:pPr>
        <w:pStyle w:val="FootnoteText"/>
        <w:rPr>
          <w:rFonts w:ascii="Times New Roman" w:hAnsi="Times New Roman" w:cs="Times New Roman"/>
        </w:rPr>
      </w:pPr>
      <w:r w:rsidRPr="00090D90">
        <w:rPr>
          <w:rStyle w:val="FootnoteReference"/>
          <w:rFonts w:ascii="Times New Roman" w:hAnsi="Times New Roman" w:cs="Times New Roman"/>
        </w:rPr>
        <w:footnoteRef/>
      </w:r>
      <w:r w:rsidRPr="00090D90">
        <w:rPr>
          <w:rFonts w:ascii="Times New Roman" w:hAnsi="Times New Roman" w:cs="Times New Roman"/>
        </w:rPr>
        <w:t xml:space="preserve"> </w:t>
      </w:r>
      <w:r w:rsidRPr="00090D90">
        <w:rPr>
          <w:rFonts w:ascii="Times New Roman" w:hAnsi="Times New Roman" w:cs="Times New Roman"/>
          <w:i/>
        </w:rPr>
        <w:t xml:space="preserve">Democratic Alliance </w:t>
      </w:r>
      <w:r>
        <w:rPr>
          <w:rFonts w:ascii="Times New Roman" w:hAnsi="Times New Roman" w:cs="Times New Roman"/>
        </w:rPr>
        <w:t xml:space="preserve">fn 18 </w:t>
      </w:r>
      <w:r w:rsidRPr="00090D90">
        <w:rPr>
          <w:rFonts w:ascii="Times New Roman" w:hAnsi="Times New Roman" w:cs="Times New Roman"/>
        </w:rPr>
        <w:t xml:space="preserve">paras 29 and 32; </w:t>
      </w:r>
      <w:r w:rsidRPr="00090D90">
        <w:rPr>
          <w:rFonts w:ascii="Times New Roman" w:hAnsi="Times New Roman" w:cs="Times New Roman"/>
          <w:i/>
        </w:rPr>
        <w:t>Motau</w:t>
      </w:r>
      <w:r w:rsidRPr="00090D90">
        <w:rPr>
          <w:rFonts w:ascii="Times New Roman" w:hAnsi="Times New Roman" w:cs="Times New Roman"/>
        </w:rPr>
        <w:t xml:space="preserve"> 2014 (5) SA 69 (CC) </w:t>
      </w:r>
      <w:r>
        <w:rPr>
          <w:rFonts w:ascii="Times New Roman" w:hAnsi="Times New Roman" w:cs="Times New Roman"/>
        </w:rPr>
        <w:t xml:space="preserve">fn 18 </w:t>
      </w:r>
      <w:r w:rsidRPr="00090D90">
        <w:rPr>
          <w:rFonts w:ascii="Times New Roman" w:hAnsi="Times New Roman" w:cs="Times New Roman"/>
        </w:rPr>
        <w:t>para 69</w:t>
      </w:r>
      <w:r>
        <w:rPr>
          <w:rFonts w:ascii="Times New Roman" w:hAnsi="Times New Roman" w:cs="Times New Roman"/>
        </w:rPr>
        <w:t>.</w:t>
      </w:r>
    </w:p>
  </w:footnote>
  <w:footnote w:id="20">
    <w:p w14:paraId="5373A5A8" w14:textId="77777777" w:rsidR="00BA40BA" w:rsidRPr="00880270" w:rsidRDefault="00BA40BA">
      <w:pPr>
        <w:pStyle w:val="FootnoteText"/>
        <w:rPr>
          <w:rFonts w:ascii="Times New Roman" w:hAnsi="Times New Roman" w:cs="Times New Roman"/>
        </w:rPr>
      </w:pPr>
      <w:r w:rsidRPr="00880270">
        <w:rPr>
          <w:rStyle w:val="FootnoteReference"/>
          <w:rFonts w:ascii="Times New Roman" w:hAnsi="Times New Roman" w:cs="Times New Roman"/>
        </w:rPr>
        <w:footnoteRef/>
      </w:r>
      <w:r w:rsidRPr="00880270">
        <w:rPr>
          <w:rFonts w:ascii="Times New Roman" w:hAnsi="Times New Roman" w:cs="Times New Roman"/>
        </w:rPr>
        <w:t xml:space="preserve"> Section 84(1) of the Act provides:</w:t>
      </w:r>
    </w:p>
    <w:p w14:paraId="16A6F434" w14:textId="77777777" w:rsidR="00BA40BA" w:rsidRDefault="00BA40BA" w:rsidP="00E15AD3">
      <w:pPr>
        <w:pStyle w:val="FootnoteText"/>
        <w:jc w:val="both"/>
      </w:pPr>
      <w:r w:rsidRPr="00880270">
        <w:rPr>
          <w:rFonts w:ascii="Times New Roman" w:hAnsi="Times New Roman" w:cs="Times New Roman"/>
        </w:rPr>
        <w:t>‘Any person who makes a false statement in connection with any matter dealt with in this Act, or makes use for the purposes of this Act of a declaration or document containing any such statement shall, unless he proves that he was ignorant of the falsity of such statement and that such ignorance was not due to negligence on his part, be guilty of an offence and liable on conviction to a fine not exceeding R40 000 or treble the value of the goods to which such statement, declaration or document relates, whichever is the greater, or to imprisonment for a period not exceeding ten years, or to both such fine and such imprisonment, and the goods in respect of which such false statement was made or such false declaration or document was used shall be liable to forfeiture.’</w:t>
      </w:r>
    </w:p>
  </w:footnote>
  <w:footnote w:id="21">
    <w:p w14:paraId="1DF31E06" w14:textId="6F11697D" w:rsidR="00BA40BA" w:rsidRPr="00E15AD3" w:rsidRDefault="00BA40BA">
      <w:pPr>
        <w:pStyle w:val="FootnoteText"/>
        <w:rPr>
          <w:rFonts w:ascii="Times New Roman" w:hAnsi="Times New Roman" w:cs="Times New Roman"/>
        </w:rPr>
      </w:pPr>
      <w:r w:rsidRPr="00E15AD3">
        <w:rPr>
          <w:rStyle w:val="FootnoteReference"/>
          <w:rFonts w:ascii="Times New Roman" w:hAnsi="Times New Roman" w:cs="Times New Roman"/>
        </w:rPr>
        <w:footnoteRef/>
      </w:r>
      <w:r w:rsidRPr="00E15AD3">
        <w:rPr>
          <w:rFonts w:ascii="Times New Roman" w:hAnsi="Times New Roman" w:cs="Times New Roman"/>
        </w:rPr>
        <w:t xml:space="preserve"> </w:t>
      </w:r>
      <w:r w:rsidRPr="00E15AD3">
        <w:rPr>
          <w:rFonts w:ascii="Times New Roman" w:hAnsi="Times New Roman" w:cs="Times New Roman"/>
          <w:i/>
        </w:rPr>
        <w:t>F</w:t>
      </w:r>
      <w:r>
        <w:rPr>
          <w:rFonts w:ascii="Times New Roman" w:hAnsi="Times New Roman" w:cs="Times New Roman"/>
          <w:i/>
        </w:rPr>
        <w:t xml:space="preserve">irst </w:t>
      </w:r>
      <w:r w:rsidRPr="00E15AD3">
        <w:rPr>
          <w:rFonts w:ascii="Times New Roman" w:hAnsi="Times New Roman" w:cs="Times New Roman"/>
          <w:i/>
        </w:rPr>
        <w:t>N</w:t>
      </w:r>
      <w:r>
        <w:rPr>
          <w:rFonts w:ascii="Times New Roman" w:hAnsi="Times New Roman" w:cs="Times New Roman"/>
          <w:i/>
        </w:rPr>
        <w:t xml:space="preserve">ational </w:t>
      </w:r>
      <w:r w:rsidRPr="00E15AD3">
        <w:rPr>
          <w:rFonts w:ascii="Times New Roman" w:hAnsi="Times New Roman" w:cs="Times New Roman"/>
          <w:i/>
        </w:rPr>
        <w:t>B</w:t>
      </w:r>
      <w:r>
        <w:rPr>
          <w:rFonts w:ascii="Times New Roman" w:hAnsi="Times New Roman" w:cs="Times New Roman"/>
          <w:i/>
        </w:rPr>
        <w:t xml:space="preserve">ank of South Africa t/a Wesbank v Commissioner South African Revenue Service and Another </w:t>
      </w:r>
      <w:r>
        <w:rPr>
          <w:rFonts w:ascii="Times New Roman" w:hAnsi="Times New Roman" w:cs="Times New Roman"/>
          <w:iCs/>
        </w:rPr>
        <w:t>[2002] ZACC 5; 2002 (4) SA 768 (CC)</w:t>
      </w:r>
      <w:r w:rsidRPr="00E15AD3">
        <w:rPr>
          <w:rFonts w:ascii="Times New Roman" w:hAnsi="Times New Roman" w:cs="Times New Roman"/>
        </w:rPr>
        <w:t xml:space="preserve"> para 15.</w:t>
      </w:r>
    </w:p>
  </w:footnote>
  <w:footnote w:id="22">
    <w:p w14:paraId="12D38953" w14:textId="6207A83D" w:rsidR="00BA40BA" w:rsidRPr="00DF75BF" w:rsidRDefault="00BA40BA" w:rsidP="005E3830">
      <w:pPr>
        <w:pStyle w:val="FootnoteText"/>
        <w:jc w:val="both"/>
        <w:rPr>
          <w:rFonts w:ascii="Times New Roman" w:hAnsi="Times New Roman" w:cs="Times New Roman"/>
        </w:rPr>
      </w:pPr>
      <w:r w:rsidRPr="00DF75BF">
        <w:rPr>
          <w:rStyle w:val="FootnoteReference"/>
          <w:rFonts w:ascii="Times New Roman" w:hAnsi="Times New Roman" w:cs="Times New Roman"/>
        </w:rPr>
        <w:footnoteRef/>
      </w:r>
      <w:r w:rsidRPr="00DF75BF">
        <w:rPr>
          <w:rFonts w:ascii="Times New Roman" w:hAnsi="Times New Roman" w:cs="Times New Roman"/>
        </w:rPr>
        <w:t xml:space="preserve"> </w:t>
      </w:r>
      <w:r w:rsidRPr="00DF75BF">
        <w:rPr>
          <w:rFonts w:ascii="Times New Roman" w:hAnsi="Times New Roman" w:cs="Times New Roman"/>
          <w:i/>
        </w:rPr>
        <w:t>Bato Star Fishing (Pty) Ltd v Minister of Environmental Affairs and Others</w:t>
      </w:r>
      <w:r w:rsidRPr="00DF75BF">
        <w:rPr>
          <w:rFonts w:ascii="Times New Roman" w:hAnsi="Times New Roman" w:cs="Times New Roman"/>
        </w:rPr>
        <w:t xml:space="preserve"> </w:t>
      </w:r>
      <w:r>
        <w:rPr>
          <w:rFonts w:ascii="Times New Roman" w:hAnsi="Times New Roman" w:cs="Times New Roman"/>
        </w:rPr>
        <w:t xml:space="preserve">[2004] ZACC 15; </w:t>
      </w:r>
      <w:r w:rsidRPr="00DF75BF">
        <w:rPr>
          <w:rFonts w:ascii="Times New Roman" w:hAnsi="Times New Roman" w:cs="Times New Roman"/>
        </w:rPr>
        <w:t>2004 (4) SA</w:t>
      </w:r>
      <w:r>
        <w:rPr>
          <w:rFonts w:ascii="Times New Roman" w:hAnsi="Times New Roman" w:cs="Times New Roman"/>
        </w:rPr>
        <w:t xml:space="preserve"> </w:t>
      </w:r>
      <w:r w:rsidRPr="00DF75BF">
        <w:rPr>
          <w:rFonts w:ascii="Times New Roman" w:hAnsi="Times New Roman" w:cs="Times New Roman"/>
        </w:rPr>
        <w:t xml:space="preserve">490 (CC) para </w:t>
      </w:r>
      <w:r>
        <w:rPr>
          <w:rFonts w:ascii="Times New Roman" w:hAnsi="Times New Roman" w:cs="Times New Roman"/>
        </w:rPr>
        <w:t>44.</w:t>
      </w:r>
    </w:p>
  </w:footnote>
  <w:footnote w:id="23">
    <w:p w14:paraId="5847F105" w14:textId="030632C1" w:rsidR="00BA40BA" w:rsidRPr="00161A7D" w:rsidRDefault="00BA40BA">
      <w:pPr>
        <w:pStyle w:val="FootnoteText"/>
        <w:rPr>
          <w:rFonts w:ascii="Times New Roman" w:hAnsi="Times New Roman" w:cs="Times New Roman"/>
        </w:rPr>
      </w:pPr>
      <w:r w:rsidRPr="00161A7D">
        <w:rPr>
          <w:rStyle w:val="FootnoteReference"/>
          <w:rFonts w:ascii="Times New Roman" w:hAnsi="Times New Roman" w:cs="Times New Roman"/>
        </w:rPr>
        <w:footnoteRef/>
      </w:r>
      <w:r w:rsidRPr="00161A7D">
        <w:rPr>
          <w:rFonts w:ascii="Times New Roman" w:hAnsi="Times New Roman" w:cs="Times New Roman"/>
        </w:rPr>
        <w:t xml:space="preserve"> </w:t>
      </w:r>
      <w:r w:rsidR="00635364" w:rsidRPr="00635364">
        <w:rPr>
          <w:rFonts w:ascii="Times New Roman" w:hAnsi="Times New Roman" w:cs="Times New Roman"/>
          <w:i/>
        </w:rPr>
        <w:t>Bato Star</w:t>
      </w:r>
      <w:r w:rsidRPr="00161A7D">
        <w:rPr>
          <w:rFonts w:ascii="Times New Roman" w:hAnsi="Times New Roman" w:cs="Times New Roman"/>
        </w:rPr>
        <w:t xml:space="preserve"> para 45.</w:t>
      </w:r>
      <w:r w:rsidR="00864B47">
        <w:rPr>
          <w:rFonts w:ascii="Times New Roman" w:hAnsi="Times New Roman" w:cs="Times New Roman"/>
        </w:rPr>
        <w:t xml:space="preserve"> </w:t>
      </w:r>
    </w:p>
  </w:footnote>
  <w:footnote w:id="24">
    <w:p w14:paraId="5AF62BAD" w14:textId="6253E912" w:rsidR="00BA40BA" w:rsidRPr="00161A7D" w:rsidRDefault="00BA40BA">
      <w:pPr>
        <w:pStyle w:val="FootnoteText"/>
        <w:rPr>
          <w:rFonts w:ascii="Times New Roman" w:hAnsi="Times New Roman" w:cs="Times New Roman"/>
        </w:rPr>
      </w:pPr>
      <w:r w:rsidRPr="00161A7D">
        <w:rPr>
          <w:rStyle w:val="FootnoteReference"/>
          <w:rFonts w:ascii="Times New Roman" w:hAnsi="Times New Roman" w:cs="Times New Roman"/>
        </w:rPr>
        <w:footnoteRef/>
      </w:r>
      <w:r w:rsidRPr="00161A7D">
        <w:rPr>
          <w:rFonts w:ascii="Times New Roman" w:hAnsi="Times New Roman" w:cs="Times New Roman"/>
        </w:rPr>
        <w:t xml:space="preserve"> </w:t>
      </w:r>
      <w:r w:rsidR="00635364" w:rsidRPr="00635364">
        <w:rPr>
          <w:rFonts w:ascii="Times New Roman" w:hAnsi="Times New Roman" w:cs="Times New Roman"/>
          <w:i/>
        </w:rPr>
        <w:t>Bato Star</w:t>
      </w:r>
      <w:r w:rsidRPr="00161A7D">
        <w:rPr>
          <w:rFonts w:ascii="Times New Roman" w:hAnsi="Times New Roman" w:cs="Times New Roman"/>
        </w:rPr>
        <w:t xml:space="preserve"> para 46.</w:t>
      </w:r>
    </w:p>
  </w:footnote>
  <w:footnote w:id="25">
    <w:p w14:paraId="1C5D2B0F" w14:textId="4A3C60B0" w:rsidR="00E20026" w:rsidRPr="00E10C38" w:rsidRDefault="00E20026" w:rsidP="00E20026">
      <w:pPr>
        <w:pStyle w:val="FootnoteText"/>
        <w:jc w:val="both"/>
        <w:rPr>
          <w:rFonts w:ascii="Times New Roman" w:hAnsi="Times New Roman" w:cs="Times New Roman"/>
        </w:rPr>
      </w:pPr>
      <w:r w:rsidRPr="00E10C38">
        <w:rPr>
          <w:rStyle w:val="FootnoteReference"/>
          <w:rFonts w:ascii="Times New Roman" w:hAnsi="Times New Roman" w:cs="Times New Roman"/>
        </w:rPr>
        <w:footnoteRef/>
      </w:r>
      <w:r w:rsidRPr="00E10C38">
        <w:rPr>
          <w:rFonts w:ascii="Times New Roman" w:hAnsi="Times New Roman" w:cs="Times New Roman"/>
        </w:rPr>
        <w:t xml:space="preserve"> </w:t>
      </w:r>
      <w:r w:rsidRPr="00E10C38">
        <w:rPr>
          <w:rFonts w:ascii="Times New Roman" w:hAnsi="Times New Roman" w:cs="Times New Roman"/>
          <w:i/>
        </w:rPr>
        <w:t xml:space="preserve">National Union of Metalworkers of South Africa v Jumbo Products CC </w:t>
      </w:r>
      <w:r>
        <w:rPr>
          <w:rFonts w:ascii="Times New Roman" w:hAnsi="Times New Roman" w:cs="Times New Roman"/>
          <w:iCs/>
        </w:rPr>
        <w:t xml:space="preserve">[1996] ZASCA 87; </w:t>
      </w:r>
      <w:r w:rsidRPr="00E10C38">
        <w:rPr>
          <w:rFonts w:ascii="Times New Roman" w:hAnsi="Times New Roman" w:cs="Times New Roman"/>
        </w:rPr>
        <w:t xml:space="preserve">1996 (4) SA 735 (A) at 740A-D; </w:t>
      </w:r>
      <w:r w:rsidRPr="00E10C38">
        <w:rPr>
          <w:rFonts w:ascii="Times New Roman" w:hAnsi="Times New Roman" w:cs="Times New Roman"/>
          <w:i/>
        </w:rPr>
        <w:t>Pharmaceutical Society of South Africa and Others v Tshabalala-Msimang and Another NNO</w:t>
      </w:r>
      <w:r w:rsidRPr="00E10C38">
        <w:rPr>
          <w:rFonts w:ascii="Times New Roman" w:hAnsi="Times New Roman" w:cs="Times New Roman"/>
        </w:rPr>
        <w:t xml:space="preserve">; </w:t>
      </w:r>
      <w:r w:rsidRPr="00E10C38">
        <w:rPr>
          <w:rFonts w:ascii="Times New Roman" w:hAnsi="Times New Roman" w:cs="Times New Roman"/>
          <w:i/>
        </w:rPr>
        <w:t xml:space="preserve">New Clicks South Africa (Pty) Ltd </w:t>
      </w:r>
      <w:r>
        <w:rPr>
          <w:rFonts w:ascii="Times New Roman" w:hAnsi="Times New Roman" w:cs="Times New Roman"/>
          <w:i/>
        </w:rPr>
        <w:t>v</w:t>
      </w:r>
      <w:r w:rsidRPr="00E10C38">
        <w:rPr>
          <w:rFonts w:ascii="Times New Roman" w:hAnsi="Times New Roman" w:cs="Times New Roman"/>
          <w:i/>
        </w:rPr>
        <w:t xml:space="preserve"> Minister of Health and Another</w:t>
      </w:r>
      <w:r w:rsidRPr="00E10C38">
        <w:rPr>
          <w:rFonts w:ascii="Times New Roman" w:hAnsi="Times New Roman" w:cs="Times New Roman"/>
        </w:rPr>
        <w:t xml:space="preserve"> </w:t>
      </w:r>
      <w:r>
        <w:rPr>
          <w:rFonts w:ascii="Times New Roman" w:hAnsi="Times New Roman" w:cs="Times New Roman"/>
        </w:rPr>
        <w:t xml:space="preserve">[2004] ZASCA 122; </w:t>
      </w:r>
      <w:r w:rsidRPr="00E10C38">
        <w:rPr>
          <w:rFonts w:ascii="Times New Roman" w:hAnsi="Times New Roman" w:cs="Times New Roman"/>
        </w:rPr>
        <w:t xml:space="preserve">2005 (3) SA 238 (SCA) para 22. </w:t>
      </w:r>
    </w:p>
  </w:footnote>
  <w:footnote w:id="26">
    <w:p w14:paraId="3D49B0B9" w14:textId="77777777" w:rsidR="00E20026" w:rsidRPr="00C171D0" w:rsidRDefault="00E20026" w:rsidP="00E20026">
      <w:pPr>
        <w:pStyle w:val="FootnoteText"/>
        <w:jc w:val="both"/>
        <w:rPr>
          <w:rFonts w:ascii="Times New Roman" w:hAnsi="Times New Roman" w:cs="Times New Roman"/>
        </w:rPr>
      </w:pPr>
      <w:r w:rsidRPr="00C171D0">
        <w:rPr>
          <w:rStyle w:val="FootnoteReference"/>
          <w:rFonts w:ascii="Times New Roman" w:hAnsi="Times New Roman" w:cs="Times New Roman"/>
        </w:rPr>
        <w:footnoteRef/>
      </w:r>
      <w:r w:rsidRPr="00C171D0">
        <w:rPr>
          <w:rFonts w:ascii="Times New Roman" w:hAnsi="Times New Roman" w:cs="Times New Roman"/>
        </w:rPr>
        <w:t xml:space="preserve"> Section 17(2) of the Superior Courts Act provides:</w:t>
      </w:r>
    </w:p>
    <w:p w14:paraId="4F0D6D9E" w14:textId="77777777" w:rsidR="00E20026" w:rsidRPr="00C171D0" w:rsidRDefault="00E20026" w:rsidP="00E20026">
      <w:pPr>
        <w:pStyle w:val="FootnoteText"/>
        <w:jc w:val="both"/>
        <w:rPr>
          <w:rFonts w:ascii="Times New Roman" w:hAnsi="Times New Roman" w:cs="Times New Roman"/>
        </w:rPr>
      </w:pPr>
      <w:r>
        <w:rPr>
          <w:rFonts w:ascii="Times New Roman" w:hAnsi="Times New Roman" w:cs="Times New Roman"/>
        </w:rPr>
        <w:t>‘</w:t>
      </w:r>
      <w:r w:rsidRPr="00C171D0">
        <w:rPr>
          <w:rFonts w:ascii="Times New Roman" w:hAnsi="Times New Roman" w:cs="Times New Roman"/>
        </w:rPr>
        <w:t>(a) Leave to appeal may be granted by the judge or judges against whose decision an appeal is to be made or, if not readily available, by any other judge or judges of the same court or Division.</w:t>
      </w:r>
    </w:p>
    <w:p w14:paraId="51331A05" w14:textId="77777777" w:rsidR="00E20026" w:rsidRDefault="00E20026" w:rsidP="00E20026">
      <w:pPr>
        <w:pStyle w:val="FootnoteText"/>
        <w:jc w:val="both"/>
      </w:pPr>
      <w:r w:rsidRPr="00C171D0">
        <w:rPr>
          <w:rFonts w:ascii="Times New Roman" w:hAnsi="Times New Roman" w:cs="Times New Roman"/>
        </w:rPr>
        <w:t>(b) If leave to appeal in terms of paragraph (a) is refused, it may be granted by the Supreme Court of Appeal on application filed with the registrar of that court within one month after such refusal, or such longer period as may on good cause be allowed, and the Supreme Court of Appeal may vary any order as to costs made by the judge or judges concerned in refusing leave.’</w:t>
      </w:r>
    </w:p>
  </w:footnote>
  <w:footnote w:id="27">
    <w:p w14:paraId="307A0091" w14:textId="77777777" w:rsidR="00E20026" w:rsidRPr="00C21765" w:rsidRDefault="00E20026" w:rsidP="00E20026">
      <w:pPr>
        <w:pStyle w:val="FootnoteText"/>
        <w:jc w:val="both"/>
        <w:rPr>
          <w:rFonts w:ascii="Times New Roman" w:hAnsi="Times New Roman" w:cs="Times New Roman"/>
        </w:rPr>
      </w:pPr>
      <w:r w:rsidRPr="00C21765">
        <w:rPr>
          <w:rStyle w:val="FootnoteReference"/>
          <w:rFonts w:ascii="Times New Roman" w:hAnsi="Times New Roman" w:cs="Times New Roman"/>
        </w:rPr>
        <w:footnoteRef/>
      </w:r>
      <w:r w:rsidRPr="00C21765">
        <w:rPr>
          <w:rFonts w:ascii="Times New Roman" w:hAnsi="Times New Roman" w:cs="Times New Roman"/>
        </w:rPr>
        <w:t xml:space="preserve"> </w:t>
      </w:r>
      <w:r w:rsidRPr="00C21765">
        <w:rPr>
          <w:rFonts w:ascii="Times New Roman" w:hAnsi="Times New Roman" w:cs="Times New Roman"/>
          <w:i/>
        </w:rPr>
        <w:t>Amalgamated Engineering Union v Minister of Labour</w:t>
      </w:r>
      <w:r w:rsidRPr="00C21765">
        <w:rPr>
          <w:rFonts w:ascii="Times New Roman" w:hAnsi="Times New Roman" w:cs="Times New Roman"/>
        </w:rPr>
        <w:t xml:space="preserve"> 1949 (3) SA 637 (A) at </w:t>
      </w:r>
      <w:r>
        <w:rPr>
          <w:rFonts w:ascii="Times New Roman" w:hAnsi="Times New Roman" w:cs="Times New Roman"/>
        </w:rPr>
        <w:t>659</w:t>
      </w:r>
      <w:r w:rsidRPr="00C21765">
        <w:rPr>
          <w:rFonts w:ascii="Times New Roman" w:hAnsi="Times New Roman" w:cs="Times New Roman"/>
        </w:rPr>
        <w:t xml:space="preserve">, affirmed </w:t>
      </w:r>
      <w:r w:rsidRPr="008A6CC2">
        <w:rPr>
          <w:rFonts w:ascii="Times New Roman" w:hAnsi="Times New Roman" w:cs="Times New Roman"/>
          <w:i/>
        </w:rPr>
        <w:t>Pheko and Others v Ekurhuleni Municipality (No 2)</w:t>
      </w:r>
      <w:r w:rsidRPr="00C21765">
        <w:rPr>
          <w:rFonts w:ascii="Times New Roman" w:hAnsi="Times New Roman" w:cs="Times New Roman"/>
        </w:rPr>
        <w:t xml:space="preserve"> [2015] ZACC 10</w:t>
      </w:r>
      <w:r>
        <w:rPr>
          <w:rFonts w:ascii="Times New Roman" w:hAnsi="Times New Roman" w:cs="Times New Roman"/>
        </w:rPr>
        <w:t>; 2015 (5) SA 600 (CC)</w:t>
      </w:r>
      <w:r w:rsidRPr="00C21765">
        <w:rPr>
          <w:rFonts w:ascii="Times New Roman" w:hAnsi="Times New Roman" w:cs="Times New Roman"/>
        </w:rPr>
        <w:t xml:space="preserve"> para 56.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444375"/>
      <w:docPartObj>
        <w:docPartGallery w:val="Page Numbers (Top of Page)"/>
        <w:docPartUnique/>
      </w:docPartObj>
    </w:sdtPr>
    <w:sdtEndPr>
      <w:rPr>
        <w:noProof/>
      </w:rPr>
    </w:sdtEndPr>
    <w:sdtContent>
      <w:p w14:paraId="549749D6" w14:textId="4E02B28A" w:rsidR="004728DA" w:rsidRDefault="004728DA">
        <w:pPr>
          <w:pStyle w:val="Header"/>
          <w:jc w:val="right"/>
        </w:pPr>
        <w:r>
          <w:fldChar w:fldCharType="begin"/>
        </w:r>
        <w:r>
          <w:instrText xml:space="preserve"> PAGE   \* MERGEFORMAT </w:instrText>
        </w:r>
        <w:r>
          <w:fldChar w:fldCharType="separate"/>
        </w:r>
        <w:r w:rsidR="00FE5B7A">
          <w:rPr>
            <w:noProof/>
          </w:rPr>
          <w:t>2</w:t>
        </w:r>
        <w:r>
          <w:rPr>
            <w:noProof/>
          </w:rPr>
          <w:fldChar w:fldCharType="end"/>
        </w:r>
      </w:p>
    </w:sdtContent>
  </w:sdt>
  <w:p w14:paraId="0AE49D20" w14:textId="77777777" w:rsidR="00BA40BA" w:rsidRDefault="00BA40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0B23" w14:textId="3C9BCD36" w:rsidR="004728DA" w:rsidRDefault="004728DA">
    <w:pPr>
      <w:pStyle w:val="Header"/>
      <w:jc w:val="right"/>
    </w:pPr>
  </w:p>
  <w:p w14:paraId="4DE0E45F" w14:textId="77777777" w:rsidR="004728DA" w:rsidRDefault="004728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749"/>
    <w:multiLevelType w:val="hybridMultilevel"/>
    <w:tmpl w:val="1F5A345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E9B7973"/>
    <w:multiLevelType w:val="hybridMultilevel"/>
    <w:tmpl w:val="FC086D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B43926"/>
    <w:multiLevelType w:val="hybridMultilevel"/>
    <w:tmpl w:val="3DA6605A"/>
    <w:lvl w:ilvl="0" w:tplc="BC50E052">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116793"/>
    <w:multiLevelType w:val="hybridMultilevel"/>
    <w:tmpl w:val="5B4270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660263"/>
    <w:multiLevelType w:val="hybridMultilevel"/>
    <w:tmpl w:val="836AFC7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255E49DC"/>
    <w:multiLevelType w:val="hybridMultilevel"/>
    <w:tmpl w:val="44E20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1E976DE"/>
    <w:multiLevelType w:val="hybridMultilevel"/>
    <w:tmpl w:val="8E864896"/>
    <w:lvl w:ilvl="0" w:tplc="21DA29D8">
      <w:start w:val="1"/>
      <w:numFmt w:val="decimal"/>
      <w:lvlText w:val="[%1]"/>
      <w:lvlJc w:val="left"/>
      <w:pPr>
        <w:ind w:left="720" w:hanging="360"/>
      </w:pPr>
      <w:rPr>
        <w:rFonts w:ascii="Times New Roman" w:hAnsi="Times New Roman" w:cs="Times New Roman" w:hint="default"/>
        <w:b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39B005B"/>
    <w:multiLevelType w:val="hybridMultilevel"/>
    <w:tmpl w:val="79AE954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39C1EC4"/>
    <w:multiLevelType w:val="hybridMultilevel"/>
    <w:tmpl w:val="E438F3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3E45EB0"/>
    <w:multiLevelType w:val="hybridMultilevel"/>
    <w:tmpl w:val="5A2016DC"/>
    <w:lvl w:ilvl="0" w:tplc="7D44F698">
      <w:start w:val="1"/>
      <w:numFmt w:val="decimal"/>
      <w:lvlText w:val="%1"/>
      <w:lvlJc w:val="left"/>
      <w:pPr>
        <w:ind w:left="360" w:hanging="360"/>
      </w:pPr>
      <w:rPr>
        <w:rFonts w:ascii="Times New Roman" w:eastAsia="Times New Roman"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FE158C4"/>
    <w:multiLevelType w:val="hybridMultilevel"/>
    <w:tmpl w:val="44E20F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91025AD"/>
    <w:multiLevelType w:val="hybridMultilevel"/>
    <w:tmpl w:val="44E20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EC4047F"/>
    <w:multiLevelType w:val="hybridMultilevel"/>
    <w:tmpl w:val="3EF0DA48"/>
    <w:lvl w:ilvl="0" w:tplc="94201008">
      <w:start w:val="1"/>
      <w:numFmt w:val="decimal"/>
      <w:lvlText w:val="%1"/>
      <w:lvlJc w:val="left"/>
      <w:pPr>
        <w:ind w:left="360" w:hanging="360"/>
      </w:pPr>
      <w:rPr>
        <w:rFonts w:ascii="Times New Roman" w:eastAsia="Times New Roman"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5723152A"/>
    <w:multiLevelType w:val="multilevel"/>
    <w:tmpl w:val="3B78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229FF"/>
    <w:multiLevelType w:val="hybridMultilevel"/>
    <w:tmpl w:val="44E20F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02E6593"/>
    <w:multiLevelType w:val="hybridMultilevel"/>
    <w:tmpl w:val="0ECCEE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CC848CF"/>
    <w:multiLevelType w:val="hybridMultilevel"/>
    <w:tmpl w:val="46602D6C"/>
    <w:lvl w:ilvl="0" w:tplc="21DA29D8">
      <w:start w:val="1"/>
      <w:numFmt w:val="decimal"/>
      <w:lvlText w:val="[%1]"/>
      <w:lvlJc w:val="left"/>
      <w:pPr>
        <w:ind w:left="360" w:hanging="360"/>
      </w:pPr>
      <w:rPr>
        <w:rFonts w:ascii="Times New Roman" w:hAnsi="Times New Roman" w:cs="Times New Roman" w:hint="default"/>
        <w:b w:val="0"/>
        <w:sz w:val="28"/>
        <w:szCs w:val="28"/>
      </w:rPr>
    </w:lvl>
    <w:lvl w:ilvl="1" w:tplc="142070B0">
      <w:start w:val="1"/>
      <w:numFmt w:val="lowerLetter"/>
      <w:lvlText w:val="%2."/>
      <w:lvlJc w:val="left"/>
      <w:pPr>
        <w:ind w:left="1440" w:hanging="360"/>
      </w:pPr>
      <w:rPr>
        <w:sz w:val="24"/>
        <w:szCs w:val="24"/>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E35103C"/>
    <w:multiLevelType w:val="multilevel"/>
    <w:tmpl w:val="FE246B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4"/>
  </w:num>
  <w:num w:numId="6">
    <w:abstractNumId w:val="5"/>
  </w:num>
  <w:num w:numId="7">
    <w:abstractNumId w:val="10"/>
  </w:num>
  <w:num w:numId="8">
    <w:abstractNumId w:val="14"/>
  </w:num>
  <w:num w:numId="9">
    <w:abstractNumId w:val="11"/>
  </w:num>
  <w:num w:numId="10">
    <w:abstractNumId w:val="12"/>
  </w:num>
  <w:num w:numId="11">
    <w:abstractNumId w:val="16"/>
  </w:num>
  <w:num w:numId="12">
    <w:abstractNumId w:val="7"/>
  </w:num>
  <w:num w:numId="13">
    <w:abstractNumId w:val="8"/>
  </w:num>
  <w:num w:numId="14">
    <w:abstractNumId w:val="3"/>
  </w:num>
  <w:num w:numId="15">
    <w:abstractNumId w:val="15"/>
  </w:num>
  <w:num w:numId="16">
    <w:abstractNumId w:val="0"/>
  </w:num>
  <w:num w:numId="17">
    <w:abstractNumId w:val="1"/>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668D40-C43C-4A75-8609-0CD05B393249}"/>
    <w:docVar w:name="dgnword-eventsink" w:val="2098184100560"/>
  </w:docVars>
  <w:rsids>
    <w:rsidRoot w:val="00ED59D4"/>
    <w:rsid w:val="000009DE"/>
    <w:rsid w:val="00001961"/>
    <w:rsid w:val="00003B45"/>
    <w:rsid w:val="00003FE0"/>
    <w:rsid w:val="00004870"/>
    <w:rsid w:val="00004A6E"/>
    <w:rsid w:val="00005963"/>
    <w:rsid w:val="0001031D"/>
    <w:rsid w:val="00010ABE"/>
    <w:rsid w:val="00010F78"/>
    <w:rsid w:val="00011965"/>
    <w:rsid w:val="0001232E"/>
    <w:rsid w:val="0001371E"/>
    <w:rsid w:val="00013FFB"/>
    <w:rsid w:val="00017D30"/>
    <w:rsid w:val="00020273"/>
    <w:rsid w:val="00021415"/>
    <w:rsid w:val="00021E0F"/>
    <w:rsid w:val="00022F70"/>
    <w:rsid w:val="00024440"/>
    <w:rsid w:val="00024B87"/>
    <w:rsid w:val="00025DE8"/>
    <w:rsid w:val="000307BF"/>
    <w:rsid w:val="00030BEC"/>
    <w:rsid w:val="00030D5D"/>
    <w:rsid w:val="00031345"/>
    <w:rsid w:val="00032E83"/>
    <w:rsid w:val="00033771"/>
    <w:rsid w:val="00033C48"/>
    <w:rsid w:val="00034B22"/>
    <w:rsid w:val="000355AD"/>
    <w:rsid w:val="0003734A"/>
    <w:rsid w:val="00037C53"/>
    <w:rsid w:val="00040552"/>
    <w:rsid w:val="00040BA5"/>
    <w:rsid w:val="00041E06"/>
    <w:rsid w:val="000425B9"/>
    <w:rsid w:val="00044265"/>
    <w:rsid w:val="000442E1"/>
    <w:rsid w:val="000464F4"/>
    <w:rsid w:val="000477E8"/>
    <w:rsid w:val="00050607"/>
    <w:rsid w:val="00052946"/>
    <w:rsid w:val="00055B97"/>
    <w:rsid w:val="00056A1E"/>
    <w:rsid w:val="00056B88"/>
    <w:rsid w:val="00057888"/>
    <w:rsid w:val="000579F8"/>
    <w:rsid w:val="00061062"/>
    <w:rsid w:val="00062B18"/>
    <w:rsid w:val="00062F75"/>
    <w:rsid w:val="000643FB"/>
    <w:rsid w:val="0006512A"/>
    <w:rsid w:val="0006665F"/>
    <w:rsid w:val="00067A86"/>
    <w:rsid w:val="00072996"/>
    <w:rsid w:val="00072B46"/>
    <w:rsid w:val="00072FB2"/>
    <w:rsid w:val="00073AF8"/>
    <w:rsid w:val="00076275"/>
    <w:rsid w:val="00076806"/>
    <w:rsid w:val="00080926"/>
    <w:rsid w:val="0008175A"/>
    <w:rsid w:val="000831B3"/>
    <w:rsid w:val="00083F39"/>
    <w:rsid w:val="00085254"/>
    <w:rsid w:val="00090D90"/>
    <w:rsid w:val="00091327"/>
    <w:rsid w:val="000924F9"/>
    <w:rsid w:val="000952F3"/>
    <w:rsid w:val="00096988"/>
    <w:rsid w:val="000976A2"/>
    <w:rsid w:val="000A1E2B"/>
    <w:rsid w:val="000A1ECC"/>
    <w:rsid w:val="000A301C"/>
    <w:rsid w:val="000A53BF"/>
    <w:rsid w:val="000A5572"/>
    <w:rsid w:val="000A65A8"/>
    <w:rsid w:val="000A7D28"/>
    <w:rsid w:val="000A7E48"/>
    <w:rsid w:val="000B0F82"/>
    <w:rsid w:val="000B500E"/>
    <w:rsid w:val="000B569C"/>
    <w:rsid w:val="000B586F"/>
    <w:rsid w:val="000B5876"/>
    <w:rsid w:val="000B71B3"/>
    <w:rsid w:val="000C01CF"/>
    <w:rsid w:val="000C07F6"/>
    <w:rsid w:val="000C0928"/>
    <w:rsid w:val="000C1AB4"/>
    <w:rsid w:val="000C2357"/>
    <w:rsid w:val="000C38BC"/>
    <w:rsid w:val="000C5120"/>
    <w:rsid w:val="000C60BE"/>
    <w:rsid w:val="000C62C0"/>
    <w:rsid w:val="000C642A"/>
    <w:rsid w:val="000C68B7"/>
    <w:rsid w:val="000C78FB"/>
    <w:rsid w:val="000D0ADD"/>
    <w:rsid w:val="000D0DF2"/>
    <w:rsid w:val="000D1F33"/>
    <w:rsid w:val="000D223C"/>
    <w:rsid w:val="000D22F2"/>
    <w:rsid w:val="000D2B94"/>
    <w:rsid w:val="000D3E4C"/>
    <w:rsid w:val="000D3EBE"/>
    <w:rsid w:val="000D49B2"/>
    <w:rsid w:val="000D547B"/>
    <w:rsid w:val="000D5699"/>
    <w:rsid w:val="000D5B09"/>
    <w:rsid w:val="000D672F"/>
    <w:rsid w:val="000D69B5"/>
    <w:rsid w:val="000D6C21"/>
    <w:rsid w:val="000D6E17"/>
    <w:rsid w:val="000E0528"/>
    <w:rsid w:val="000E0D9D"/>
    <w:rsid w:val="000E0DED"/>
    <w:rsid w:val="000E0F41"/>
    <w:rsid w:val="000E10B4"/>
    <w:rsid w:val="000E14A6"/>
    <w:rsid w:val="000E264C"/>
    <w:rsid w:val="000E384A"/>
    <w:rsid w:val="000E3966"/>
    <w:rsid w:val="000E4EB6"/>
    <w:rsid w:val="000E79C9"/>
    <w:rsid w:val="000F06A2"/>
    <w:rsid w:val="000F0FC3"/>
    <w:rsid w:val="000F1161"/>
    <w:rsid w:val="000F1B9F"/>
    <w:rsid w:val="000F347D"/>
    <w:rsid w:val="000F34FA"/>
    <w:rsid w:val="000F3874"/>
    <w:rsid w:val="000F3954"/>
    <w:rsid w:val="000F3E3E"/>
    <w:rsid w:val="000F4292"/>
    <w:rsid w:val="000F4B45"/>
    <w:rsid w:val="000F5E33"/>
    <w:rsid w:val="000F61EC"/>
    <w:rsid w:val="000F76C9"/>
    <w:rsid w:val="001015C0"/>
    <w:rsid w:val="00102A96"/>
    <w:rsid w:val="00106D05"/>
    <w:rsid w:val="00107333"/>
    <w:rsid w:val="00107521"/>
    <w:rsid w:val="001117C0"/>
    <w:rsid w:val="001124F8"/>
    <w:rsid w:val="00112D44"/>
    <w:rsid w:val="00113100"/>
    <w:rsid w:val="001133AD"/>
    <w:rsid w:val="00115A21"/>
    <w:rsid w:val="00115F1A"/>
    <w:rsid w:val="0011648A"/>
    <w:rsid w:val="00116C2B"/>
    <w:rsid w:val="001171FD"/>
    <w:rsid w:val="0011799E"/>
    <w:rsid w:val="00122338"/>
    <w:rsid w:val="00137897"/>
    <w:rsid w:val="00140ADE"/>
    <w:rsid w:val="00140C04"/>
    <w:rsid w:val="00141763"/>
    <w:rsid w:val="00141C04"/>
    <w:rsid w:val="001421E4"/>
    <w:rsid w:val="0014245E"/>
    <w:rsid w:val="001434C5"/>
    <w:rsid w:val="00143D55"/>
    <w:rsid w:val="00144CCE"/>
    <w:rsid w:val="00146AB7"/>
    <w:rsid w:val="00147422"/>
    <w:rsid w:val="00147ADA"/>
    <w:rsid w:val="00150553"/>
    <w:rsid w:val="00152340"/>
    <w:rsid w:val="001552EC"/>
    <w:rsid w:val="00155AD9"/>
    <w:rsid w:val="001610FC"/>
    <w:rsid w:val="00161A7D"/>
    <w:rsid w:val="001626F0"/>
    <w:rsid w:val="001629A1"/>
    <w:rsid w:val="00162DB6"/>
    <w:rsid w:val="00163EDF"/>
    <w:rsid w:val="00164524"/>
    <w:rsid w:val="00164856"/>
    <w:rsid w:val="0016558D"/>
    <w:rsid w:val="00165874"/>
    <w:rsid w:val="001669FA"/>
    <w:rsid w:val="00170648"/>
    <w:rsid w:val="00170D7B"/>
    <w:rsid w:val="001717FA"/>
    <w:rsid w:val="001718E2"/>
    <w:rsid w:val="00171CF4"/>
    <w:rsid w:val="001735E9"/>
    <w:rsid w:val="00173D92"/>
    <w:rsid w:val="00174A24"/>
    <w:rsid w:val="001751EE"/>
    <w:rsid w:val="0017557F"/>
    <w:rsid w:val="001758AB"/>
    <w:rsid w:val="00180C16"/>
    <w:rsid w:val="001818F8"/>
    <w:rsid w:val="00182007"/>
    <w:rsid w:val="00182EF3"/>
    <w:rsid w:val="0018443B"/>
    <w:rsid w:val="001850CE"/>
    <w:rsid w:val="00185823"/>
    <w:rsid w:val="001879F1"/>
    <w:rsid w:val="001902BE"/>
    <w:rsid w:val="00191E2C"/>
    <w:rsid w:val="00192683"/>
    <w:rsid w:val="00194530"/>
    <w:rsid w:val="00194961"/>
    <w:rsid w:val="001959BD"/>
    <w:rsid w:val="0019615D"/>
    <w:rsid w:val="00196CBE"/>
    <w:rsid w:val="00196EE4"/>
    <w:rsid w:val="00197407"/>
    <w:rsid w:val="00197C2F"/>
    <w:rsid w:val="001A01B7"/>
    <w:rsid w:val="001A0EEF"/>
    <w:rsid w:val="001A4222"/>
    <w:rsid w:val="001A431E"/>
    <w:rsid w:val="001A4AEA"/>
    <w:rsid w:val="001A5C98"/>
    <w:rsid w:val="001A674D"/>
    <w:rsid w:val="001A677B"/>
    <w:rsid w:val="001A6962"/>
    <w:rsid w:val="001B09F0"/>
    <w:rsid w:val="001B1B86"/>
    <w:rsid w:val="001B1BC4"/>
    <w:rsid w:val="001B29C4"/>
    <w:rsid w:val="001B32D9"/>
    <w:rsid w:val="001B4153"/>
    <w:rsid w:val="001B4364"/>
    <w:rsid w:val="001C0D8E"/>
    <w:rsid w:val="001C1632"/>
    <w:rsid w:val="001C1D4A"/>
    <w:rsid w:val="001C2274"/>
    <w:rsid w:val="001C33E5"/>
    <w:rsid w:val="001C3510"/>
    <w:rsid w:val="001C391A"/>
    <w:rsid w:val="001C4F59"/>
    <w:rsid w:val="001C70B1"/>
    <w:rsid w:val="001D05E1"/>
    <w:rsid w:val="001D1801"/>
    <w:rsid w:val="001D2D45"/>
    <w:rsid w:val="001D42FB"/>
    <w:rsid w:val="001D6C51"/>
    <w:rsid w:val="001D7DC4"/>
    <w:rsid w:val="001E168E"/>
    <w:rsid w:val="001E29B4"/>
    <w:rsid w:val="001E2D94"/>
    <w:rsid w:val="001E6D21"/>
    <w:rsid w:val="001F0F41"/>
    <w:rsid w:val="001F1014"/>
    <w:rsid w:val="001F3184"/>
    <w:rsid w:val="001F4B27"/>
    <w:rsid w:val="001F66E5"/>
    <w:rsid w:val="001F69C4"/>
    <w:rsid w:val="001F69DC"/>
    <w:rsid w:val="00200F95"/>
    <w:rsid w:val="0020127B"/>
    <w:rsid w:val="00201C4C"/>
    <w:rsid w:val="0020235D"/>
    <w:rsid w:val="00202D41"/>
    <w:rsid w:val="00205D1E"/>
    <w:rsid w:val="00207ECE"/>
    <w:rsid w:val="0021005C"/>
    <w:rsid w:val="002104FE"/>
    <w:rsid w:val="00210C10"/>
    <w:rsid w:val="002130BF"/>
    <w:rsid w:val="00213468"/>
    <w:rsid w:val="00215B2D"/>
    <w:rsid w:val="00215B4E"/>
    <w:rsid w:val="0021603D"/>
    <w:rsid w:val="002171C1"/>
    <w:rsid w:val="0022028C"/>
    <w:rsid w:val="002227A3"/>
    <w:rsid w:val="0022496B"/>
    <w:rsid w:val="00224EBB"/>
    <w:rsid w:val="0022548E"/>
    <w:rsid w:val="0022555C"/>
    <w:rsid w:val="00225BA8"/>
    <w:rsid w:val="0022631C"/>
    <w:rsid w:val="0022677B"/>
    <w:rsid w:val="00227BDE"/>
    <w:rsid w:val="002318AD"/>
    <w:rsid w:val="00233D2B"/>
    <w:rsid w:val="00234AB7"/>
    <w:rsid w:val="00236027"/>
    <w:rsid w:val="00240ECD"/>
    <w:rsid w:val="0024134A"/>
    <w:rsid w:val="002418D3"/>
    <w:rsid w:val="0024198E"/>
    <w:rsid w:val="00241D25"/>
    <w:rsid w:val="00242980"/>
    <w:rsid w:val="00242ED0"/>
    <w:rsid w:val="00243208"/>
    <w:rsid w:val="00243C4E"/>
    <w:rsid w:val="00244B80"/>
    <w:rsid w:val="00245310"/>
    <w:rsid w:val="00246197"/>
    <w:rsid w:val="0024630F"/>
    <w:rsid w:val="00247FCE"/>
    <w:rsid w:val="00250352"/>
    <w:rsid w:val="0025138C"/>
    <w:rsid w:val="002515C1"/>
    <w:rsid w:val="00251FC8"/>
    <w:rsid w:val="00252299"/>
    <w:rsid w:val="002552D9"/>
    <w:rsid w:val="0025585A"/>
    <w:rsid w:val="00261C7D"/>
    <w:rsid w:val="002620B5"/>
    <w:rsid w:val="00264341"/>
    <w:rsid w:val="00267F8E"/>
    <w:rsid w:val="00272782"/>
    <w:rsid w:val="002744EA"/>
    <w:rsid w:val="0027657B"/>
    <w:rsid w:val="0027731C"/>
    <w:rsid w:val="00277D7D"/>
    <w:rsid w:val="00281012"/>
    <w:rsid w:val="002822B0"/>
    <w:rsid w:val="00282B97"/>
    <w:rsid w:val="00282CB1"/>
    <w:rsid w:val="00284187"/>
    <w:rsid w:val="002847FF"/>
    <w:rsid w:val="00284BDF"/>
    <w:rsid w:val="002856A4"/>
    <w:rsid w:val="0028663B"/>
    <w:rsid w:val="00290E05"/>
    <w:rsid w:val="0029394E"/>
    <w:rsid w:val="0029467D"/>
    <w:rsid w:val="00295483"/>
    <w:rsid w:val="00296845"/>
    <w:rsid w:val="00296C5D"/>
    <w:rsid w:val="002A00DC"/>
    <w:rsid w:val="002A1884"/>
    <w:rsid w:val="002A66CE"/>
    <w:rsid w:val="002A7D8B"/>
    <w:rsid w:val="002B0BED"/>
    <w:rsid w:val="002B0FB0"/>
    <w:rsid w:val="002B1344"/>
    <w:rsid w:val="002B3A16"/>
    <w:rsid w:val="002B4ACC"/>
    <w:rsid w:val="002B699B"/>
    <w:rsid w:val="002C0343"/>
    <w:rsid w:val="002C3B7C"/>
    <w:rsid w:val="002C3F26"/>
    <w:rsid w:val="002C40E3"/>
    <w:rsid w:val="002C5DCE"/>
    <w:rsid w:val="002C6FB0"/>
    <w:rsid w:val="002C7123"/>
    <w:rsid w:val="002D0100"/>
    <w:rsid w:val="002D1CCF"/>
    <w:rsid w:val="002D1EE3"/>
    <w:rsid w:val="002D3021"/>
    <w:rsid w:val="002D3A2A"/>
    <w:rsid w:val="002D4086"/>
    <w:rsid w:val="002D4A5F"/>
    <w:rsid w:val="002D5CBA"/>
    <w:rsid w:val="002D6814"/>
    <w:rsid w:val="002D75B9"/>
    <w:rsid w:val="002E50C6"/>
    <w:rsid w:val="002E5504"/>
    <w:rsid w:val="002E56C1"/>
    <w:rsid w:val="002E5A16"/>
    <w:rsid w:val="002E5B7E"/>
    <w:rsid w:val="002E5F47"/>
    <w:rsid w:val="002F0B5D"/>
    <w:rsid w:val="002F1478"/>
    <w:rsid w:val="002F1D01"/>
    <w:rsid w:val="002F1DDF"/>
    <w:rsid w:val="002F25A6"/>
    <w:rsid w:val="002F2C16"/>
    <w:rsid w:val="002F31B7"/>
    <w:rsid w:val="002F5483"/>
    <w:rsid w:val="002F554B"/>
    <w:rsid w:val="002F5653"/>
    <w:rsid w:val="003012E9"/>
    <w:rsid w:val="003023D0"/>
    <w:rsid w:val="00302FB0"/>
    <w:rsid w:val="003039F9"/>
    <w:rsid w:val="00304165"/>
    <w:rsid w:val="003061AA"/>
    <w:rsid w:val="00306D20"/>
    <w:rsid w:val="003101E7"/>
    <w:rsid w:val="00311D48"/>
    <w:rsid w:val="00311DCD"/>
    <w:rsid w:val="00312043"/>
    <w:rsid w:val="003125E4"/>
    <w:rsid w:val="0031377E"/>
    <w:rsid w:val="00313E0F"/>
    <w:rsid w:val="003177E6"/>
    <w:rsid w:val="0031784C"/>
    <w:rsid w:val="0031790E"/>
    <w:rsid w:val="0032166D"/>
    <w:rsid w:val="00323365"/>
    <w:rsid w:val="00323435"/>
    <w:rsid w:val="0032635E"/>
    <w:rsid w:val="00327020"/>
    <w:rsid w:val="00327AD4"/>
    <w:rsid w:val="00330323"/>
    <w:rsid w:val="003307B7"/>
    <w:rsid w:val="00331200"/>
    <w:rsid w:val="00332FB3"/>
    <w:rsid w:val="00333702"/>
    <w:rsid w:val="0033719D"/>
    <w:rsid w:val="00340137"/>
    <w:rsid w:val="00340206"/>
    <w:rsid w:val="00340967"/>
    <w:rsid w:val="00341918"/>
    <w:rsid w:val="003432BA"/>
    <w:rsid w:val="00344FEF"/>
    <w:rsid w:val="003451A5"/>
    <w:rsid w:val="003454B0"/>
    <w:rsid w:val="00347504"/>
    <w:rsid w:val="00350549"/>
    <w:rsid w:val="0035138D"/>
    <w:rsid w:val="00352C0E"/>
    <w:rsid w:val="00353449"/>
    <w:rsid w:val="0035382F"/>
    <w:rsid w:val="003552C3"/>
    <w:rsid w:val="003553E1"/>
    <w:rsid w:val="00355EEE"/>
    <w:rsid w:val="00355F50"/>
    <w:rsid w:val="00356974"/>
    <w:rsid w:val="00357148"/>
    <w:rsid w:val="00360D19"/>
    <w:rsid w:val="0036111A"/>
    <w:rsid w:val="00363031"/>
    <w:rsid w:val="00364965"/>
    <w:rsid w:val="00364FE7"/>
    <w:rsid w:val="00366509"/>
    <w:rsid w:val="00370ADB"/>
    <w:rsid w:val="00371276"/>
    <w:rsid w:val="00371AB9"/>
    <w:rsid w:val="0037315B"/>
    <w:rsid w:val="00373BA9"/>
    <w:rsid w:val="0037485C"/>
    <w:rsid w:val="00374CF2"/>
    <w:rsid w:val="00375041"/>
    <w:rsid w:val="003754A4"/>
    <w:rsid w:val="00376752"/>
    <w:rsid w:val="003806A1"/>
    <w:rsid w:val="00383822"/>
    <w:rsid w:val="00383AFA"/>
    <w:rsid w:val="0038533D"/>
    <w:rsid w:val="00385A75"/>
    <w:rsid w:val="003869D4"/>
    <w:rsid w:val="00390338"/>
    <w:rsid w:val="00391816"/>
    <w:rsid w:val="003927D3"/>
    <w:rsid w:val="003935E3"/>
    <w:rsid w:val="00395EA3"/>
    <w:rsid w:val="003969AF"/>
    <w:rsid w:val="00396D51"/>
    <w:rsid w:val="003970FC"/>
    <w:rsid w:val="00397124"/>
    <w:rsid w:val="003974CA"/>
    <w:rsid w:val="003A29B4"/>
    <w:rsid w:val="003A4873"/>
    <w:rsid w:val="003A4DEF"/>
    <w:rsid w:val="003A5D8B"/>
    <w:rsid w:val="003A6D9E"/>
    <w:rsid w:val="003A6EC7"/>
    <w:rsid w:val="003B0CD9"/>
    <w:rsid w:val="003B2402"/>
    <w:rsid w:val="003B2419"/>
    <w:rsid w:val="003B3CAA"/>
    <w:rsid w:val="003B3DA3"/>
    <w:rsid w:val="003B49EC"/>
    <w:rsid w:val="003B5845"/>
    <w:rsid w:val="003B5EE7"/>
    <w:rsid w:val="003B6F25"/>
    <w:rsid w:val="003B73E9"/>
    <w:rsid w:val="003C07C6"/>
    <w:rsid w:val="003C4E9B"/>
    <w:rsid w:val="003C7BA6"/>
    <w:rsid w:val="003D0312"/>
    <w:rsid w:val="003D07EB"/>
    <w:rsid w:val="003D3C69"/>
    <w:rsid w:val="003D46F6"/>
    <w:rsid w:val="003D4719"/>
    <w:rsid w:val="003D4CD9"/>
    <w:rsid w:val="003D6E48"/>
    <w:rsid w:val="003D78DD"/>
    <w:rsid w:val="003E13E6"/>
    <w:rsid w:val="003E2878"/>
    <w:rsid w:val="003E2D01"/>
    <w:rsid w:val="003E411B"/>
    <w:rsid w:val="003E5187"/>
    <w:rsid w:val="003E7E20"/>
    <w:rsid w:val="003F0019"/>
    <w:rsid w:val="003F287F"/>
    <w:rsid w:val="003F2B4F"/>
    <w:rsid w:val="003F49DE"/>
    <w:rsid w:val="003F52DC"/>
    <w:rsid w:val="003F59E1"/>
    <w:rsid w:val="003F6787"/>
    <w:rsid w:val="003F67D3"/>
    <w:rsid w:val="003F7041"/>
    <w:rsid w:val="003F739E"/>
    <w:rsid w:val="003F7F0A"/>
    <w:rsid w:val="004009D1"/>
    <w:rsid w:val="004040FC"/>
    <w:rsid w:val="00406BE2"/>
    <w:rsid w:val="00406CDE"/>
    <w:rsid w:val="00407EC8"/>
    <w:rsid w:val="00410369"/>
    <w:rsid w:val="0041325F"/>
    <w:rsid w:val="0041338D"/>
    <w:rsid w:val="00413AA1"/>
    <w:rsid w:val="0041516C"/>
    <w:rsid w:val="004174B2"/>
    <w:rsid w:val="004178B2"/>
    <w:rsid w:val="004203FF"/>
    <w:rsid w:val="004250B6"/>
    <w:rsid w:val="004269AF"/>
    <w:rsid w:val="0042737E"/>
    <w:rsid w:val="00427982"/>
    <w:rsid w:val="00431528"/>
    <w:rsid w:val="004328AF"/>
    <w:rsid w:val="004334CA"/>
    <w:rsid w:val="004334F1"/>
    <w:rsid w:val="0043523B"/>
    <w:rsid w:val="004356E9"/>
    <w:rsid w:val="00435971"/>
    <w:rsid w:val="00436E75"/>
    <w:rsid w:val="004374B0"/>
    <w:rsid w:val="00440732"/>
    <w:rsid w:val="00440AB3"/>
    <w:rsid w:val="00442E01"/>
    <w:rsid w:val="004456EE"/>
    <w:rsid w:val="0044622A"/>
    <w:rsid w:val="00446534"/>
    <w:rsid w:val="00446C1D"/>
    <w:rsid w:val="00446D63"/>
    <w:rsid w:val="00447B1E"/>
    <w:rsid w:val="004554FC"/>
    <w:rsid w:val="004567C2"/>
    <w:rsid w:val="00456F4A"/>
    <w:rsid w:val="00460093"/>
    <w:rsid w:val="00460361"/>
    <w:rsid w:val="00465B5B"/>
    <w:rsid w:val="00465D3F"/>
    <w:rsid w:val="0046665E"/>
    <w:rsid w:val="00466B38"/>
    <w:rsid w:val="00471406"/>
    <w:rsid w:val="00471610"/>
    <w:rsid w:val="00471651"/>
    <w:rsid w:val="004728DA"/>
    <w:rsid w:val="0047375E"/>
    <w:rsid w:val="00474B08"/>
    <w:rsid w:val="00475739"/>
    <w:rsid w:val="00480AD9"/>
    <w:rsid w:val="004811EA"/>
    <w:rsid w:val="00481B8A"/>
    <w:rsid w:val="00482803"/>
    <w:rsid w:val="00487AEC"/>
    <w:rsid w:val="00487C1C"/>
    <w:rsid w:val="00487C51"/>
    <w:rsid w:val="004938EA"/>
    <w:rsid w:val="00493B0C"/>
    <w:rsid w:val="00495F2F"/>
    <w:rsid w:val="00496033"/>
    <w:rsid w:val="004A00A9"/>
    <w:rsid w:val="004A0611"/>
    <w:rsid w:val="004A08E4"/>
    <w:rsid w:val="004A13F4"/>
    <w:rsid w:val="004A2B33"/>
    <w:rsid w:val="004A3C6D"/>
    <w:rsid w:val="004A44A0"/>
    <w:rsid w:val="004A6423"/>
    <w:rsid w:val="004A7624"/>
    <w:rsid w:val="004A78F8"/>
    <w:rsid w:val="004A7CB8"/>
    <w:rsid w:val="004B08D4"/>
    <w:rsid w:val="004B2BA5"/>
    <w:rsid w:val="004B3106"/>
    <w:rsid w:val="004B316A"/>
    <w:rsid w:val="004B366D"/>
    <w:rsid w:val="004B5168"/>
    <w:rsid w:val="004B5372"/>
    <w:rsid w:val="004B5928"/>
    <w:rsid w:val="004B5CDF"/>
    <w:rsid w:val="004B72F8"/>
    <w:rsid w:val="004B782F"/>
    <w:rsid w:val="004B7CE4"/>
    <w:rsid w:val="004C5247"/>
    <w:rsid w:val="004C6A9B"/>
    <w:rsid w:val="004D0297"/>
    <w:rsid w:val="004D092B"/>
    <w:rsid w:val="004D293D"/>
    <w:rsid w:val="004D2F15"/>
    <w:rsid w:val="004D304A"/>
    <w:rsid w:val="004D338B"/>
    <w:rsid w:val="004D3A33"/>
    <w:rsid w:val="004D565A"/>
    <w:rsid w:val="004E13F2"/>
    <w:rsid w:val="004E1BDE"/>
    <w:rsid w:val="004E1D5A"/>
    <w:rsid w:val="004E2A4B"/>
    <w:rsid w:val="004E38CB"/>
    <w:rsid w:val="004E4316"/>
    <w:rsid w:val="004E5BA4"/>
    <w:rsid w:val="004E6A81"/>
    <w:rsid w:val="004E6BB9"/>
    <w:rsid w:val="004F0B22"/>
    <w:rsid w:val="004F1400"/>
    <w:rsid w:val="004F19CF"/>
    <w:rsid w:val="004F206B"/>
    <w:rsid w:val="004F28AB"/>
    <w:rsid w:val="004F4172"/>
    <w:rsid w:val="004F4276"/>
    <w:rsid w:val="004F45C5"/>
    <w:rsid w:val="004F6235"/>
    <w:rsid w:val="004F6FA5"/>
    <w:rsid w:val="004F75DA"/>
    <w:rsid w:val="00501A74"/>
    <w:rsid w:val="005032B2"/>
    <w:rsid w:val="00505361"/>
    <w:rsid w:val="0050542B"/>
    <w:rsid w:val="00505989"/>
    <w:rsid w:val="00505B2E"/>
    <w:rsid w:val="00507AB0"/>
    <w:rsid w:val="00510865"/>
    <w:rsid w:val="005112D3"/>
    <w:rsid w:val="0051293E"/>
    <w:rsid w:val="00512CEC"/>
    <w:rsid w:val="00513F45"/>
    <w:rsid w:val="00515E97"/>
    <w:rsid w:val="00516234"/>
    <w:rsid w:val="005203E0"/>
    <w:rsid w:val="00520B14"/>
    <w:rsid w:val="005220EA"/>
    <w:rsid w:val="00522720"/>
    <w:rsid w:val="005231F7"/>
    <w:rsid w:val="00523C49"/>
    <w:rsid w:val="00523FC9"/>
    <w:rsid w:val="005245AC"/>
    <w:rsid w:val="0052719C"/>
    <w:rsid w:val="005303F9"/>
    <w:rsid w:val="00530FAC"/>
    <w:rsid w:val="005310D1"/>
    <w:rsid w:val="00531A9C"/>
    <w:rsid w:val="00532451"/>
    <w:rsid w:val="005326C5"/>
    <w:rsid w:val="0053276C"/>
    <w:rsid w:val="00533347"/>
    <w:rsid w:val="005341D7"/>
    <w:rsid w:val="00534D1F"/>
    <w:rsid w:val="00535367"/>
    <w:rsid w:val="00535517"/>
    <w:rsid w:val="00536EF8"/>
    <w:rsid w:val="00541330"/>
    <w:rsid w:val="00541698"/>
    <w:rsid w:val="00541FCF"/>
    <w:rsid w:val="00543823"/>
    <w:rsid w:val="0054415A"/>
    <w:rsid w:val="0055012D"/>
    <w:rsid w:val="00550353"/>
    <w:rsid w:val="0055043C"/>
    <w:rsid w:val="0055049C"/>
    <w:rsid w:val="0055373B"/>
    <w:rsid w:val="00555887"/>
    <w:rsid w:val="005562E5"/>
    <w:rsid w:val="005574B6"/>
    <w:rsid w:val="00562FDF"/>
    <w:rsid w:val="005659A0"/>
    <w:rsid w:val="00566127"/>
    <w:rsid w:val="00567BB7"/>
    <w:rsid w:val="00570690"/>
    <w:rsid w:val="005708B4"/>
    <w:rsid w:val="00571CD1"/>
    <w:rsid w:val="0057259E"/>
    <w:rsid w:val="00573351"/>
    <w:rsid w:val="00573BD0"/>
    <w:rsid w:val="00575531"/>
    <w:rsid w:val="00576F36"/>
    <w:rsid w:val="005770A1"/>
    <w:rsid w:val="005770D1"/>
    <w:rsid w:val="00580EB2"/>
    <w:rsid w:val="00581286"/>
    <w:rsid w:val="0058196B"/>
    <w:rsid w:val="005831FE"/>
    <w:rsid w:val="00583B4D"/>
    <w:rsid w:val="00583E4C"/>
    <w:rsid w:val="00585485"/>
    <w:rsid w:val="0058663A"/>
    <w:rsid w:val="00587122"/>
    <w:rsid w:val="005878E7"/>
    <w:rsid w:val="005917B1"/>
    <w:rsid w:val="00592914"/>
    <w:rsid w:val="005935BB"/>
    <w:rsid w:val="005937B7"/>
    <w:rsid w:val="00595612"/>
    <w:rsid w:val="00596AFA"/>
    <w:rsid w:val="005A0543"/>
    <w:rsid w:val="005A0626"/>
    <w:rsid w:val="005A1987"/>
    <w:rsid w:val="005A1A56"/>
    <w:rsid w:val="005A26A5"/>
    <w:rsid w:val="005A2F43"/>
    <w:rsid w:val="005A2FA5"/>
    <w:rsid w:val="005A6947"/>
    <w:rsid w:val="005B1799"/>
    <w:rsid w:val="005B1AF5"/>
    <w:rsid w:val="005B6D38"/>
    <w:rsid w:val="005C1336"/>
    <w:rsid w:val="005C4412"/>
    <w:rsid w:val="005C502D"/>
    <w:rsid w:val="005D09F0"/>
    <w:rsid w:val="005D2F32"/>
    <w:rsid w:val="005D3987"/>
    <w:rsid w:val="005D5BDA"/>
    <w:rsid w:val="005D75AC"/>
    <w:rsid w:val="005E3585"/>
    <w:rsid w:val="005E3830"/>
    <w:rsid w:val="005E467D"/>
    <w:rsid w:val="005E6709"/>
    <w:rsid w:val="005F1CD6"/>
    <w:rsid w:val="005F2683"/>
    <w:rsid w:val="005F298B"/>
    <w:rsid w:val="005F2A11"/>
    <w:rsid w:val="005F2F23"/>
    <w:rsid w:val="005F3694"/>
    <w:rsid w:val="005F4102"/>
    <w:rsid w:val="005F44BD"/>
    <w:rsid w:val="005F5B42"/>
    <w:rsid w:val="005F63FE"/>
    <w:rsid w:val="005F6BB9"/>
    <w:rsid w:val="005F712D"/>
    <w:rsid w:val="005F7CFE"/>
    <w:rsid w:val="0060010D"/>
    <w:rsid w:val="00600A4F"/>
    <w:rsid w:val="0060228C"/>
    <w:rsid w:val="006025AD"/>
    <w:rsid w:val="00602605"/>
    <w:rsid w:val="00603886"/>
    <w:rsid w:val="00606115"/>
    <w:rsid w:val="00610B77"/>
    <w:rsid w:val="0061213A"/>
    <w:rsid w:val="0061221C"/>
    <w:rsid w:val="00612B00"/>
    <w:rsid w:val="00612D7B"/>
    <w:rsid w:val="00613EF8"/>
    <w:rsid w:val="00614FE6"/>
    <w:rsid w:val="0061502E"/>
    <w:rsid w:val="006156D6"/>
    <w:rsid w:val="006176C3"/>
    <w:rsid w:val="00620BFD"/>
    <w:rsid w:val="00620C6E"/>
    <w:rsid w:val="006217BD"/>
    <w:rsid w:val="0062203B"/>
    <w:rsid w:val="00622540"/>
    <w:rsid w:val="00624DF8"/>
    <w:rsid w:val="00625580"/>
    <w:rsid w:val="00625CBD"/>
    <w:rsid w:val="00627605"/>
    <w:rsid w:val="00627AE4"/>
    <w:rsid w:val="00627CF9"/>
    <w:rsid w:val="00631D79"/>
    <w:rsid w:val="006327BE"/>
    <w:rsid w:val="006339D0"/>
    <w:rsid w:val="00635364"/>
    <w:rsid w:val="00636F03"/>
    <w:rsid w:val="00637BC4"/>
    <w:rsid w:val="006410C4"/>
    <w:rsid w:val="006412D0"/>
    <w:rsid w:val="00642B5F"/>
    <w:rsid w:val="006431B8"/>
    <w:rsid w:val="00646924"/>
    <w:rsid w:val="00647707"/>
    <w:rsid w:val="00647F2F"/>
    <w:rsid w:val="00650564"/>
    <w:rsid w:val="00650E4A"/>
    <w:rsid w:val="00652382"/>
    <w:rsid w:val="006525E9"/>
    <w:rsid w:val="00652AA2"/>
    <w:rsid w:val="006536F7"/>
    <w:rsid w:val="00654F75"/>
    <w:rsid w:val="006553D7"/>
    <w:rsid w:val="00656460"/>
    <w:rsid w:val="006567FB"/>
    <w:rsid w:val="006570E4"/>
    <w:rsid w:val="0066033C"/>
    <w:rsid w:val="006610AB"/>
    <w:rsid w:val="006612C9"/>
    <w:rsid w:val="00663147"/>
    <w:rsid w:val="006636FD"/>
    <w:rsid w:val="00663733"/>
    <w:rsid w:val="006647EF"/>
    <w:rsid w:val="00665299"/>
    <w:rsid w:val="0066606C"/>
    <w:rsid w:val="00666682"/>
    <w:rsid w:val="00667FBC"/>
    <w:rsid w:val="00670A3D"/>
    <w:rsid w:val="00671022"/>
    <w:rsid w:val="00671669"/>
    <w:rsid w:val="00672F85"/>
    <w:rsid w:val="00673350"/>
    <w:rsid w:val="00673E59"/>
    <w:rsid w:val="00675BE0"/>
    <w:rsid w:val="00677178"/>
    <w:rsid w:val="0068129A"/>
    <w:rsid w:val="00683A03"/>
    <w:rsid w:val="00684519"/>
    <w:rsid w:val="006852F2"/>
    <w:rsid w:val="00685FE5"/>
    <w:rsid w:val="00686B67"/>
    <w:rsid w:val="0068777E"/>
    <w:rsid w:val="0069001E"/>
    <w:rsid w:val="00690FEB"/>
    <w:rsid w:val="00693E09"/>
    <w:rsid w:val="0069441D"/>
    <w:rsid w:val="00694843"/>
    <w:rsid w:val="00695D38"/>
    <w:rsid w:val="00696811"/>
    <w:rsid w:val="006969A5"/>
    <w:rsid w:val="00696C7A"/>
    <w:rsid w:val="006A0798"/>
    <w:rsid w:val="006A1E50"/>
    <w:rsid w:val="006A3C45"/>
    <w:rsid w:val="006A44DE"/>
    <w:rsid w:val="006A46BD"/>
    <w:rsid w:val="006A46D1"/>
    <w:rsid w:val="006A4925"/>
    <w:rsid w:val="006A4CF1"/>
    <w:rsid w:val="006A5024"/>
    <w:rsid w:val="006B0714"/>
    <w:rsid w:val="006B116E"/>
    <w:rsid w:val="006B11E0"/>
    <w:rsid w:val="006B5852"/>
    <w:rsid w:val="006B5981"/>
    <w:rsid w:val="006B6631"/>
    <w:rsid w:val="006C077D"/>
    <w:rsid w:val="006C12D6"/>
    <w:rsid w:val="006C18DD"/>
    <w:rsid w:val="006C2C66"/>
    <w:rsid w:val="006C3480"/>
    <w:rsid w:val="006C494C"/>
    <w:rsid w:val="006C4B4D"/>
    <w:rsid w:val="006C4D4C"/>
    <w:rsid w:val="006C76BA"/>
    <w:rsid w:val="006D091A"/>
    <w:rsid w:val="006D0D33"/>
    <w:rsid w:val="006D148B"/>
    <w:rsid w:val="006D36DA"/>
    <w:rsid w:val="006D376D"/>
    <w:rsid w:val="006D3A0E"/>
    <w:rsid w:val="006D3AA2"/>
    <w:rsid w:val="006D421A"/>
    <w:rsid w:val="006D435C"/>
    <w:rsid w:val="006D51D2"/>
    <w:rsid w:val="006D5B9D"/>
    <w:rsid w:val="006E09E2"/>
    <w:rsid w:val="006E145C"/>
    <w:rsid w:val="006E3B8C"/>
    <w:rsid w:val="006E3F59"/>
    <w:rsid w:val="006E4C31"/>
    <w:rsid w:val="006E6152"/>
    <w:rsid w:val="006F3684"/>
    <w:rsid w:val="006F38C2"/>
    <w:rsid w:val="006F547D"/>
    <w:rsid w:val="006F6939"/>
    <w:rsid w:val="006F71F2"/>
    <w:rsid w:val="007010C7"/>
    <w:rsid w:val="00701E71"/>
    <w:rsid w:val="0070277F"/>
    <w:rsid w:val="00703C4E"/>
    <w:rsid w:val="00704D73"/>
    <w:rsid w:val="00712E70"/>
    <w:rsid w:val="00713A3F"/>
    <w:rsid w:val="00715380"/>
    <w:rsid w:val="00720E99"/>
    <w:rsid w:val="00721232"/>
    <w:rsid w:val="007216F0"/>
    <w:rsid w:val="00721BA2"/>
    <w:rsid w:val="007230FB"/>
    <w:rsid w:val="007233E5"/>
    <w:rsid w:val="00724DB6"/>
    <w:rsid w:val="00727003"/>
    <w:rsid w:val="0073054F"/>
    <w:rsid w:val="007319C1"/>
    <w:rsid w:val="00731CBF"/>
    <w:rsid w:val="00733C78"/>
    <w:rsid w:val="0073406F"/>
    <w:rsid w:val="00736C79"/>
    <w:rsid w:val="00736DB8"/>
    <w:rsid w:val="00737215"/>
    <w:rsid w:val="00737FD6"/>
    <w:rsid w:val="00740DC9"/>
    <w:rsid w:val="00741909"/>
    <w:rsid w:val="00743EF6"/>
    <w:rsid w:val="00744CD8"/>
    <w:rsid w:val="00746570"/>
    <w:rsid w:val="00747E52"/>
    <w:rsid w:val="00747E5E"/>
    <w:rsid w:val="0075148E"/>
    <w:rsid w:val="00753893"/>
    <w:rsid w:val="007545E3"/>
    <w:rsid w:val="007567DC"/>
    <w:rsid w:val="00757BF9"/>
    <w:rsid w:val="0076040F"/>
    <w:rsid w:val="00760AFD"/>
    <w:rsid w:val="00760C86"/>
    <w:rsid w:val="007610E2"/>
    <w:rsid w:val="00761582"/>
    <w:rsid w:val="007625EA"/>
    <w:rsid w:val="00762F78"/>
    <w:rsid w:val="007633DA"/>
    <w:rsid w:val="00763599"/>
    <w:rsid w:val="00764599"/>
    <w:rsid w:val="00764B13"/>
    <w:rsid w:val="00765949"/>
    <w:rsid w:val="00767E61"/>
    <w:rsid w:val="00770337"/>
    <w:rsid w:val="00771904"/>
    <w:rsid w:val="007732D3"/>
    <w:rsid w:val="00773EAD"/>
    <w:rsid w:val="00774E8F"/>
    <w:rsid w:val="007750DC"/>
    <w:rsid w:val="00775744"/>
    <w:rsid w:val="0077748C"/>
    <w:rsid w:val="0078064C"/>
    <w:rsid w:val="00781754"/>
    <w:rsid w:val="007826C3"/>
    <w:rsid w:val="007842C6"/>
    <w:rsid w:val="0078459A"/>
    <w:rsid w:val="007850E6"/>
    <w:rsid w:val="00785CD0"/>
    <w:rsid w:val="0078631A"/>
    <w:rsid w:val="007901FA"/>
    <w:rsid w:val="00790F0A"/>
    <w:rsid w:val="007926C1"/>
    <w:rsid w:val="00795D1C"/>
    <w:rsid w:val="00796D62"/>
    <w:rsid w:val="007A07FE"/>
    <w:rsid w:val="007A1330"/>
    <w:rsid w:val="007A1C74"/>
    <w:rsid w:val="007A2068"/>
    <w:rsid w:val="007A2F04"/>
    <w:rsid w:val="007A390D"/>
    <w:rsid w:val="007A3DA8"/>
    <w:rsid w:val="007A3E7D"/>
    <w:rsid w:val="007A7F42"/>
    <w:rsid w:val="007B005D"/>
    <w:rsid w:val="007B0600"/>
    <w:rsid w:val="007B0DB7"/>
    <w:rsid w:val="007B0E43"/>
    <w:rsid w:val="007B1B37"/>
    <w:rsid w:val="007B1DA2"/>
    <w:rsid w:val="007B3423"/>
    <w:rsid w:val="007B404E"/>
    <w:rsid w:val="007B4135"/>
    <w:rsid w:val="007B4B93"/>
    <w:rsid w:val="007B7FD6"/>
    <w:rsid w:val="007C1B77"/>
    <w:rsid w:val="007C29A5"/>
    <w:rsid w:val="007C2B13"/>
    <w:rsid w:val="007C5F51"/>
    <w:rsid w:val="007C6C1F"/>
    <w:rsid w:val="007D1AFD"/>
    <w:rsid w:val="007D2358"/>
    <w:rsid w:val="007D3286"/>
    <w:rsid w:val="007D351F"/>
    <w:rsid w:val="007D3F46"/>
    <w:rsid w:val="007D4146"/>
    <w:rsid w:val="007D6A2B"/>
    <w:rsid w:val="007D7559"/>
    <w:rsid w:val="007D79E4"/>
    <w:rsid w:val="007E00BC"/>
    <w:rsid w:val="007E0D61"/>
    <w:rsid w:val="007E2489"/>
    <w:rsid w:val="007E4210"/>
    <w:rsid w:val="007E665D"/>
    <w:rsid w:val="007E76C0"/>
    <w:rsid w:val="007E7936"/>
    <w:rsid w:val="007E7EC4"/>
    <w:rsid w:val="007F04BE"/>
    <w:rsid w:val="007F34CC"/>
    <w:rsid w:val="007F4E6A"/>
    <w:rsid w:val="007F5616"/>
    <w:rsid w:val="007F5643"/>
    <w:rsid w:val="007F5E6F"/>
    <w:rsid w:val="007F6028"/>
    <w:rsid w:val="007F6B17"/>
    <w:rsid w:val="00800A06"/>
    <w:rsid w:val="00801266"/>
    <w:rsid w:val="008016C3"/>
    <w:rsid w:val="00801903"/>
    <w:rsid w:val="008019F4"/>
    <w:rsid w:val="00801B08"/>
    <w:rsid w:val="00801FBE"/>
    <w:rsid w:val="00802562"/>
    <w:rsid w:val="0080311E"/>
    <w:rsid w:val="00803AF4"/>
    <w:rsid w:val="008041EA"/>
    <w:rsid w:val="00805FE0"/>
    <w:rsid w:val="00811528"/>
    <w:rsid w:val="00813255"/>
    <w:rsid w:val="008148FB"/>
    <w:rsid w:val="0082087B"/>
    <w:rsid w:val="00820E24"/>
    <w:rsid w:val="008238B8"/>
    <w:rsid w:val="008251F9"/>
    <w:rsid w:val="008252A9"/>
    <w:rsid w:val="008273F1"/>
    <w:rsid w:val="00830ABE"/>
    <w:rsid w:val="008313DC"/>
    <w:rsid w:val="008324C1"/>
    <w:rsid w:val="0083258F"/>
    <w:rsid w:val="00833615"/>
    <w:rsid w:val="00836A9E"/>
    <w:rsid w:val="00837C1C"/>
    <w:rsid w:val="00840309"/>
    <w:rsid w:val="00840724"/>
    <w:rsid w:val="00840CD5"/>
    <w:rsid w:val="00841171"/>
    <w:rsid w:val="0084149A"/>
    <w:rsid w:val="0084446A"/>
    <w:rsid w:val="00844E96"/>
    <w:rsid w:val="00847A65"/>
    <w:rsid w:val="00847B45"/>
    <w:rsid w:val="00850D7A"/>
    <w:rsid w:val="00851AAF"/>
    <w:rsid w:val="00855372"/>
    <w:rsid w:val="0086030C"/>
    <w:rsid w:val="00860C0C"/>
    <w:rsid w:val="00861DFE"/>
    <w:rsid w:val="00862124"/>
    <w:rsid w:val="00864B47"/>
    <w:rsid w:val="00866210"/>
    <w:rsid w:val="00871804"/>
    <w:rsid w:val="008727B8"/>
    <w:rsid w:val="008742BF"/>
    <w:rsid w:val="0087616E"/>
    <w:rsid w:val="008765D4"/>
    <w:rsid w:val="00877C56"/>
    <w:rsid w:val="00880270"/>
    <w:rsid w:val="0088073E"/>
    <w:rsid w:val="008825EE"/>
    <w:rsid w:val="00882B48"/>
    <w:rsid w:val="00882EAD"/>
    <w:rsid w:val="00884CAC"/>
    <w:rsid w:val="00884EBF"/>
    <w:rsid w:val="008877CC"/>
    <w:rsid w:val="008909EA"/>
    <w:rsid w:val="00890F32"/>
    <w:rsid w:val="0089123A"/>
    <w:rsid w:val="00891294"/>
    <w:rsid w:val="00894400"/>
    <w:rsid w:val="00894906"/>
    <w:rsid w:val="00894B8B"/>
    <w:rsid w:val="00895CAB"/>
    <w:rsid w:val="008974D5"/>
    <w:rsid w:val="00897C3F"/>
    <w:rsid w:val="008A092C"/>
    <w:rsid w:val="008A0F63"/>
    <w:rsid w:val="008A1805"/>
    <w:rsid w:val="008A2402"/>
    <w:rsid w:val="008A3B99"/>
    <w:rsid w:val="008A522A"/>
    <w:rsid w:val="008A524C"/>
    <w:rsid w:val="008A557F"/>
    <w:rsid w:val="008A66DD"/>
    <w:rsid w:val="008A677A"/>
    <w:rsid w:val="008A7186"/>
    <w:rsid w:val="008A75C0"/>
    <w:rsid w:val="008B034F"/>
    <w:rsid w:val="008B09EC"/>
    <w:rsid w:val="008B12B0"/>
    <w:rsid w:val="008B1FC0"/>
    <w:rsid w:val="008B4F4E"/>
    <w:rsid w:val="008B5132"/>
    <w:rsid w:val="008B74DE"/>
    <w:rsid w:val="008C09B2"/>
    <w:rsid w:val="008C1864"/>
    <w:rsid w:val="008C1C29"/>
    <w:rsid w:val="008C2A7C"/>
    <w:rsid w:val="008C4294"/>
    <w:rsid w:val="008C44F5"/>
    <w:rsid w:val="008C560B"/>
    <w:rsid w:val="008C60E8"/>
    <w:rsid w:val="008D00C5"/>
    <w:rsid w:val="008D080C"/>
    <w:rsid w:val="008D0911"/>
    <w:rsid w:val="008D2064"/>
    <w:rsid w:val="008D2BCF"/>
    <w:rsid w:val="008D357B"/>
    <w:rsid w:val="008D4C86"/>
    <w:rsid w:val="008D4DD9"/>
    <w:rsid w:val="008D4E57"/>
    <w:rsid w:val="008D58C8"/>
    <w:rsid w:val="008D63E7"/>
    <w:rsid w:val="008D6877"/>
    <w:rsid w:val="008D6B37"/>
    <w:rsid w:val="008E07C3"/>
    <w:rsid w:val="008E126A"/>
    <w:rsid w:val="008E23B7"/>
    <w:rsid w:val="008E367D"/>
    <w:rsid w:val="008E435A"/>
    <w:rsid w:val="008E576A"/>
    <w:rsid w:val="008E607F"/>
    <w:rsid w:val="008E6FB3"/>
    <w:rsid w:val="008E79BB"/>
    <w:rsid w:val="008E7F1C"/>
    <w:rsid w:val="008F0AA6"/>
    <w:rsid w:val="008F0DA8"/>
    <w:rsid w:val="008F22FE"/>
    <w:rsid w:val="008F2B5D"/>
    <w:rsid w:val="008F55E1"/>
    <w:rsid w:val="0090043D"/>
    <w:rsid w:val="009013D7"/>
    <w:rsid w:val="009016B1"/>
    <w:rsid w:val="0090208E"/>
    <w:rsid w:val="009025BF"/>
    <w:rsid w:val="00902809"/>
    <w:rsid w:val="00904166"/>
    <w:rsid w:val="00905F67"/>
    <w:rsid w:val="00906B28"/>
    <w:rsid w:val="00906DA5"/>
    <w:rsid w:val="009072E5"/>
    <w:rsid w:val="0091016C"/>
    <w:rsid w:val="009108CF"/>
    <w:rsid w:val="00910D79"/>
    <w:rsid w:val="00911507"/>
    <w:rsid w:val="00911D5B"/>
    <w:rsid w:val="00914200"/>
    <w:rsid w:val="0091544E"/>
    <w:rsid w:val="00924B63"/>
    <w:rsid w:val="00924CBA"/>
    <w:rsid w:val="009258E0"/>
    <w:rsid w:val="0092670A"/>
    <w:rsid w:val="0092711A"/>
    <w:rsid w:val="00930F49"/>
    <w:rsid w:val="00931B04"/>
    <w:rsid w:val="00932FD2"/>
    <w:rsid w:val="0093421D"/>
    <w:rsid w:val="009362EC"/>
    <w:rsid w:val="00942BD5"/>
    <w:rsid w:val="00943EE1"/>
    <w:rsid w:val="00947700"/>
    <w:rsid w:val="00951A3A"/>
    <w:rsid w:val="00952277"/>
    <w:rsid w:val="009528DC"/>
    <w:rsid w:val="0095599C"/>
    <w:rsid w:val="00956B28"/>
    <w:rsid w:val="009576FF"/>
    <w:rsid w:val="00957A0C"/>
    <w:rsid w:val="00960962"/>
    <w:rsid w:val="009610E7"/>
    <w:rsid w:val="00962117"/>
    <w:rsid w:val="0096262E"/>
    <w:rsid w:val="0096276D"/>
    <w:rsid w:val="00963ABC"/>
    <w:rsid w:val="00964310"/>
    <w:rsid w:val="0096558D"/>
    <w:rsid w:val="00965E3D"/>
    <w:rsid w:val="0096705F"/>
    <w:rsid w:val="0096728E"/>
    <w:rsid w:val="00967320"/>
    <w:rsid w:val="00970D26"/>
    <w:rsid w:val="00970D60"/>
    <w:rsid w:val="009714D5"/>
    <w:rsid w:val="009715A3"/>
    <w:rsid w:val="00971C9A"/>
    <w:rsid w:val="0097227D"/>
    <w:rsid w:val="00972B80"/>
    <w:rsid w:val="00973784"/>
    <w:rsid w:val="00973B63"/>
    <w:rsid w:val="009741B4"/>
    <w:rsid w:val="00976010"/>
    <w:rsid w:val="009777FB"/>
    <w:rsid w:val="00977B55"/>
    <w:rsid w:val="00977BAA"/>
    <w:rsid w:val="00980F87"/>
    <w:rsid w:val="00981327"/>
    <w:rsid w:val="00981E4B"/>
    <w:rsid w:val="00982A8A"/>
    <w:rsid w:val="009833B4"/>
    <w:rsid w:val="009849B8"/>
    <w:rsid w:val="00984BE7"/>
    <w:rsid w:val="00984CE2"/>
    <w:rsid w:val="009853C8"/>
    <w:rsid w:val="00985A9F"/>
    <w:rsid w:val="00987B0D"/>
    <w:rsid w:val="0099042A"/>
    <w:rsid w:val="00991166"/>
    <w:rsid w:val="00992BEF"/>
    <w:rsid w:val="0099389A"/>
    <w:rsid w:val="00993B29"/>
    <w:rsid w:val="0099416A"/>
    <w:rsid w:val="0099594F"/>
    <w:rsid w:val="00996D7B"/>
    <w:rsid w:val="00997875"/>
    <w:rsid w:val="00997DB4"/>
    <w:rsid w:val="009A139D"/>
    <w:rsid w:val="009A152A"/>
    <w:rsid w:val="009A5C9A"/>
    <w:rsid w:val="009A6ED9"/>
    <w:rsid w:val="009A75FD"/>
    <w:rsid w:val="009A7A74"/>
    <w:rsid w:val="009B3465"/>
    <w:rsid w:val="009B4A5D"/>
    <w:rsid w:val="009B4B3C"/>
    <w:rsid w:val="009B503E"/>
    <w:rsid w:val="009B5855"/>
    <w:rsid w:val="009B5B81"/>
    <w:rsid w:val="009B625C"/>
    <w:rsid w:val="009B7516"/>
    <w:rsid w:val="009C279C"/>
    <w:rsid w:val="009C30AB"/>
    <w:rsid w:val="009C3DDF"/>
    <w:rsid w:val="009C45A6"/>
    <w:rsid w:val="009C5BD8"/>
    <w:rsid w:val="009C5EB4"/>
    <w:rsid w:val="009C7024"/>
    <w:rsid w:val="009D01C3"/>
    <w:rsid w:val="009D12E3"/>
    <w:rsid w:val="009D24B3"/>
    <w:rsid w:val="009D3221"/>
    <w:rsid w:val="009D359F"/>
    <w:rsid w:val="009D3A36"/>
    <w:rsid w:val="009D4D39"/>
    <w:rsid w:val="009D4FC9"/>
    <w:rsid w:val="009E013A"/>
    <w:rsid w:val="009E09D5"/>
    <w:rsid w:val="009E192B"/>
    <w:rsid w:val="009E27D9"/>
    <w:rsid w:val="009E39BA"/>
    <w:rsid w:val="009E3EC1"/>
    <w:rsid w:val="009E4DBA"/>
    <w:rsid w:val="009E6518"/>
    <w:rsid w:val="009E684B"/>
    <w:rsid w:val="009E6DB6"/>
    <w:rsid w:val="009E6FDF"/>
    <w:rsid w:val="009E726C"/>
    <w:rsid w:val="009E7566"/>
    <w:rsid w:val="009E7C61"/>
    <w:rsid w:val="009F0443"/>
    <w:rsid w:val="009F05B2"/>
    <w:rsid w:val="009F38FB"/>
    <w:rsid w:val="009F3FF2"/>
    <w:rsid w:val="009F48E4"/>
    <w:rsid w:val="009F5314"/>
    <w:rsid w:val="009F5518"/>
    <w:rsid w:val="009F6694"/>
    <w:rsid w:val="009F76CC"/>
    <w:rsid w:val="00A02286"/>
    <w:rsid w:val="00A03D51"/>
    <w:rsid w:val="00A04E97"/>
    <w:rsid w:val="00A0529A"/>
    <w:rsid w:val="00A05576"/>
    <w:rsid w:val="00A0631B"/>
    <w:rsid w:val="00A06E11"/>
    <w:rsid w:val="00A07D9E"/>
    <w:rsid w:val="00A120B8"/>
    <w:rsid w:val="00A12D0A"/>
    <w:rsid w:val="00A12F3B"/>
    <w:rsid w:val="00A131F3"/>
    <w:rsid w:val="00A13A12"/>
    <w:rsid w:val="00A14C10"/>
    <w:rsid w:val="00A16D02"/>
    <w:rsid w:val="00A1711E"/>
    <w:rsid w:val="00A1728F"/>
    <w:rsid w:val="00A20108"/>
    <w:rsid w:val="00A223B2"/>
    <w:rsid w:val="00A22A70"/>
    <w:rsid w:val="00A242AB"/>
    <w:rsid w:val="00A2466F"/>
    <w:rsid w:val="00A26015"/>
    <w:rsid w:val="00A2673D"/>
    <w:rsid w:val="00A3145A"/>
    <w:rsid w:val="00A33221"/>
    <w:rsid w:val="00A33711"/>
    <w:rsid w:val="00A35252"/>
    <w:rsid w:val="00A36AA1"/>
    <w:rsid w:val="00A40C94"/>
    <w:rsid w:val="00A457CA"/>
    <w:rsid w:val="00A4770B"/>
    <w:rsid w:val="00A51E0E"/>
    <w:rsid w:val="00A52EBD"/>
    <w:rsid w:val="00A60D3C"/>
    <w:rsid w:val="00A63099"/>
    <w:rsid w:val="00A631E1"/>
    <w:rsid w:val="00A65969"/>
    <w:rsid w:val="00A6667A"/>
    <w:rsid w:val="00A66F39"/>
    <w:rsid w:val="00A67257"/>
    <w:rsid w:val="00A67E8C"/>
    <w:rsid w:val="00A704E2"/>
    <w:rsid w:val="00A70914"/>
    <w:rsid w:val="00A70917"/>
    <w:rsid w:val="00A712CB"/>
    <w:rsid w:val="00A71E63"/>
    <w:rsid w:val="00A725F3"/>
    <w:rsid w:val="00A766A0"/>
    <w:rsid w:val="00A811A5"/>
    <w:rsid w:val="00A81FB1"/>
    <w:rsid w:val="00A849FC"/>
    <w:rsid w:val="00A84D2A"/>
    <w:rsid w:val="00A85FD0"/>
    <w:rsid w:val="00A861BD"/>
    <w:rsid w:val="00A90AC8"/>
    <w:rsid w:val="00A91AC5"/>
    <w:rsid w:val="00A91BE9"/>
    <w:rsid w:val="00A92EA7"/>
    <w:rsid w:val="00A93CBE"/>
    <w:rsid w:val="00A96382"/>
    <w:rsid w:val="00A9689C"/>
    <w:rsid w:val="00AA008A"/>
    <w:rsid w:val="00AA0C01"/>
    <w:rsid w:val="00AA1A88"/>
    <w:rsid w:val="00AA27F5"/>
    <w:rsid w:val="00AA4FB7"/>
    <w:rsid w:val="00AA510B"/>
    <w:rsid w:val="00AA5B28"/>
    <w:rsid w:val="00AA5E5E"/>
    <w:rsid w:val="00AA63C5"/>
    <w:rsid w:val="00AA67D0"/>
    <w:rsid w:val="00AA7126"/>
    <w:rsid w:val="00AA7C73"/>
    <w:rsid w:val="00AB0AE8"/>
    <w:rsid w:val="00AB1451"/>
    <w:rsid w:val="00AB2159"/>
    <w:rsid w:val="00AB21E8"/>
    <w:rsid w:val="00AB2DF4"/>
    <w:rsid w:val="00AB33DC"/>
    <w:rsid w:val="00AB6F30"/>
    <w:rsid w:val="00AC16AC"/>
    <w:rsid w:val="00AC40F2"/>
    <w:rsid w:val="00AC4233"/>
    <w:rsid w:val="00AC42B1"/>
    <w:rsid w:val="00AC55CC"/>
    <w:rsid w:val="00AC74F6"/>
    <w:rsid w:val="00AC7B38"/>
    <w:rsid w:val="00AC7D8F"/>
    <w:rsid w:val="00AC7E61"/>
    <w:rsid w:val="00AD0661"/>
    <w:rsid w:val="00AD12B7"/>
    <w:rsid w:val="00AD17EC"/>
    <w:rsid w:val="00AD1F8E"/>
    <w:rsid w:val="00AD2CF5"/>
    <w:rsid w:val="00AD4D72"/>
    <w:rsid w:val="00AD585B"/>
    <w:rsid w:val="00AD727E"/>
    <w:rsid w:val="00AD78A9"/>
    <w:rsid w:val="00AE220F"/>
    <w:rsid w:val="00AE365A"/>
    <w:rsid w:val="00AE3A02"/>
    <w:rsid w:val="00AF1086"/>
    <w:rsid w:val="00AF1E78"/>
    <w:rsid w:val="00AF1FB9"/>
    <w:rsid w:val="00AF2649"/>
    <w:rsid w:val="00AF663D"/>
    <w:rsid w:val="00AF7F8A"/>
    <w:rsid w:val="00B003B8"/>
    <w:rsid w:val="00B018EC"/>
    <w:rsid w:val="00B037AC"/>
    <w:rsid w:val="00B04055"/>
    <w:rsid w:val="00B0410A"/>
    <w:rsid w:val="00B047AC"/>
    <w:rsid w:val="00B04862"/>
    <w:rsid w:val="00B0500C"/>
    <w:rsid w:val="00B0642C"/>
    <w:rsid w:val="00B10D81"/>
    <w:rsid w:val="00B10E77"/>
    <w:rsid w:val="00B16AD4"/>
    <w:rsid w:val="00B179B9"/>
    <w:rsid w:val="00B20958"/>
    <w:rsid w:val="00B2107C"/>
    <w:rsid w:val="00B21227"/>
    <w:rsid w:val="00B22898"/>
    <w:rsid w:val="00B22ECF"/>
    <w:rsid w:val="00B230D3"/>
    <w:rsid w:val="00B2453F"/>
    <w:rsid w:val="00B2474A"/>
    <w:rsid w:val="00B24B7A"/>
    <w:rsid w:val="00B24E45"/>
    <w:rsid w:val="00B25D46"/>
    <w:rsid w:val="00B2695F"/>
    <w:rsid w:val="00B306B3"/>
    <w:rsid w:val="00B32EB7"/>
    <w:rsid w:val="00B337FD"/>
    <w:rsid w:val="00B3745C"/>
    <w:rsid w:val="00B37A5E"/>
    <w:rsid w:val="00B40381"/>
    <w:rsid w:val="00B40E5F"/>
    <w:rsid w:val="00B47B23"/>
    <w:rsid w:val="00B51B22"/>
    <w:rsid w:val="00B521E2"/>
    <w:rsid w:val="00B52725"/>
    <w:rsid w:val="00B527E1"/>
    <w:rsid w:val="00B549E0"/>
    <w:rsid w:val="00B552C7"/>
    <w:rsid w:val="00B55F85"/>
    <w:rsid w:val="00B570C3"/>
    <w:rsid w:val="00B5732A"/>
    <w:rsid w:val="00B57AF1"/>
    <w:rsid w:val="00B6010B"/>
    <w:rsid w:val="00B60AA3"/>
    <w:rsid w:val="00B6451E"/>
    <w:rsid w:val="00B64C5F"/>
    <w:rsid w:val="00B70D8B"/>
    <w:rsid w:val="00B72E65"/>
    <w:rsid w:val="00B72F0B"/>
    <w:rsid w:val="00B7302C"/>
    <w:rsid w:val="00B73A4E"/>
    <w:rsid w:val="00B7478A"/>
    <w:rsid w:val="00B74AC5"/>
    <w:rsid w:val="00B74F9A"/>
    <w:rsid w:val="00B75875"/>
    <w:rsid w:val="00B766F6"/>
    <w:rsid w:val="00B76F65"/>
    <w:rsid w:val="00B77D99"/>
    <w:rsid w:val="00B8442A"/>
    <w:rsid w:val="00B85BB3"/>
    <w:rsid w:val="00B86907"/>
    <w:rsid w:val="00B9255C"/>
    <w:rsid w:val="00B92A12"/>
    <w:rsid w:val="00B92D88"/>
    <w:rsid w:val="00B92F35"/>
    <w:rsid w:val="00B96A84"/>
    <w:rsid w:val="00BA1596"/>
    <w:rsid w:val="00BA2EB3"/>
    <w:rsid w:val="00BA3515"/>
    <w:rsid w:val="00BA40BA"/>
    <w:rsid w:val="00BA7847"/>
    <w:rsid w:val="00BB0880"/>
    <w:rsid w:val="00BB1204"/>
    <w:rsid w:val="00BB1B0B"/>
    <w:rsid w:val="00BB26B4"/>
    <w:rsid w:val="00BB2A9F"/>
    <w:rsid w:val="00BB312C"/>
    <w:rsid w:val="00BB342B"/>
    <w:rsid w:val="00BB38FD"/>
    <w:rsid w:val="00BB3FF2"/>
    <w:rsid w:val="00BB4073"/>
    <w:rsid w:val="00BB4F5C"/>
    <w:rsid w:val="00BB77C1"/>
    <w:rsid w:val="00BC184A"/>
    <w:rsid w:val="00BC3782"/>
    <w:rsid w:val="00BC3B67"/>
    <w:rsid w:val="00BC504C"/>
    <w:rsid w:val="00BC5699"/>
    <w:rsid w:val="00BC5803"/>
    <w:rsid w:val="00BC7AFA"/>
    <w:rsid w:val="00BD07AC"/>
    <w:rsid w:val="00BD0969"/>
    <w:rsid w:val="00BD215C"/>
    <w:rsid w:val="00BD30F5"/>
    <w:rsid w:val="00BD3A3F"/>
    <w:rsid w:val="00BD3C03"/>
    <w:rsid w:val="00BD5036"/>
    <w:rsid w:val="00BE0121"/>
    <w:rsid w:val="00BE02F7"/>
    <w:rsid w:val="00BE09AC"/>
    <w:rsid w:val="00BE0C48"/>
    <w:rsid w:val="00BE2951"/>
    <w:rsid w:val="00BE375D"/>
    <w:rsid w:val="00BE425A"/>
    <w:rsid w:val="00BE4950"/>
    <w:rsid w:val="00BE4CB4"/>
    <w:rsid w:val="00BE5B15"/>
    <w:rsid w:val="00BE7160"/>
    <w:rsid w:val="00BF1106"/>
    <w:rsid w:val="00BF19FD"/>
    <w:rsid w:val="00BF1B33"/>
    <w:rsid w:val="00BF3F3B"/>
    <w:rsid w:val="00BF46D3"/>
    <w:rsid w:val="00BF5D0E"/>
    <w:rsid w:val="00BF61EA"/>
    <w:rsid w:val="00BF6DC9"/>
    <w:rsid w:val="00BF6E34"/>
    <w:rsid w:val="00C003C6"/>
    <w:rsid w:val="00C00579"/>
    <w:rsid w:val="00C01B4A"/>
    <w:rsid w:val="00C02F00"/>
    <w:rsid w:val="00C03C5F"/>
    <w:rsid w:val="00C07BE8"/>
    <w:rsid w:val="00C07F4B"/>
    <w:rsid w:val="00C11256"/>
    <w:rsid w:val="00C124B5"/>
    <w:rsid w:val="00C156E9"/>
    <w:rsid w:val="00C15E84"/>
    <w:rsid w:val="00C16B9F"/>
    <w:rsid w:val="00C16E26"/>
    <w:rsid w:val="00C17017"/>
    <w:rsid w:val="00C171EB"/>
    <w:rsid w:val="00C17E47"/>
    <w:rsid w:val="00C223F8"/>
    <w:rsid w:val="00C22641"/>
    <w:rsid w:val="00C226EA"/>
    <w:rsid w:val="00C24E0A"/>
    <w:rsid w:val="00C25493"/>
    <w:rsid w:val="00C2721B"/>
    <w:rsid w:val="00C27351"/>
    <w:rsid w:val="00C30E39"/>
    <w:rsid w:val="00C340A6"/>
    <w:rsid w:val="00C34516"/>
    <w:rsid w:val="00C34B54"/>
    <w:rsid w:val="00C34DE4"/>
    <w:rsid w:val="00C4071E"/>
    <w:rsid w:val="00C41447"/>
    <w:rsid w:val="00C4207B"/>
    <w:rsid w:val="00C428DA"/>
    <w:rsid w:val="00C46C39"/>
    <w:rsid w:val="00C46D14"/>
    <w:rsid w:val="00C472C8"/>
    <w:rsid w:val="00C4772D"/>
    <w:rsid w:val="00C50A99"/>
    <w:rsid w:val="00C50EC4"/>
    <w:rsid w:val="00C520D8"/>
    <w:rsid w:val="00C521D4"/>
    <w:rsid w:val="00C54DC2"/>
    <w:rsid w:val="00C54FE5"/>
    <w:rsid w:val="00C56348"/>
    <w:rsid w:val="00C57922"/>
    <w:rsid w:val="00C619C8"/>
    <w:rsid w:val="00C61FD9"/>
    <w:rsid w:val="00C626B7"/>
    <w:rsid w:val="00C6564A"/>
    <w:rsid w:val="00C67AC4"/>
    <w:rsid w:val="00C704E3"/>
    <w:rsid w:val="00C733F1"/>
    <w:rsid w:val="00C738DF"/>
    <w:rsid w:val="00C76277"/>
    <w:rsid w:val="00C76ECD"/>
    <w:rsid w:val="00C772FB"/>
    <w:rsid w:val="00C80B9A"/>
    <w:rsid w:val="00C80C38"/>
    <w:rsid w:val="00C900B9"/>
    <w:rsid w:val="00C90B17"/>
    <w:rsid w:val="00C927F2"/>
    <w:rsid w:val="00C92B37"/>
    <w:rsid w:val="00C95EA6"/>
    <w:rsid w:val="00CA0DB8"/>
    <w:rsid w:val="00CA1060"/>
    <w:rsid w:val="00CA124D"/>
    <w:rsid w:val="00CA1420"/>
    <w:rsid w:val="00CA30E2"/>
    <w:rsid w:val="00CA3768"/>
    <w:rsid w:val="00CA42E8"/>
    <w:rsid w:val="00CA7DCE"/>
    <w:rsid w:val="00CB1266"/>
    <w:rsid w:val="00CB15D1"/>
    <w:rsid w:val="00CB1AB6"/>
    <w:rsid w:val="00CB1AEA"/>
    <w:rsid w:val="00CB1CA4"/>
    <w:rsid w:val="00CB2285"/>
    <w:rsid w:val="00CB23C8"/>
    <w:rsid w:val="00CB505C"/>
    <w:rsid w:val="00CB54BC"/>
    <w:rsid w:val="00CB6002"/>
    <w:rsid w:val="00CB742D"/>
    <w:rsid w:val="00CB7604"/>
    <w:rsid w:val="00CC0254"/>
    <w:rsid w:val="00CC0952"/>
    <w:rsid w:val="00CC1351"/>
    <w:rsid w:val="00CC1746"/>
    <w:rsid w:val="00CC1FC6"/>
    <w:rsid w:val="00CC2654"/>
    <w:rsid w:val="00CC3694"/>
    <w:rsid w:val="00CC3C96"/>
    <w:rsid w:val="00CC3FF8"/>
    <w:rsid w:val="00CC5942"/>
    <w:rsid w:val="00CC6A92"/>
    <w:rsid w:val="00CC7112"/>
    <w:rsid w:val="00CC7519"/>
    <w:rsid w:val="00CC79E0"/>
    <w:rsid w:val="00CC7B44"/>
    <w:rsid w:val="00CD0860"/>
    <w:rsid w:val="00CD0C9A"/>
    <w:rsid w:val="00CD1418"/>
    <w:rsid w:val="00CD6E14"/>
    <w:rsid w:val="00CE112C"/>
    <w:rsid w:val="00CE2FF3"/>
    <w:rsid w:val="00CE52F1"/>
    <w:rsid w:val="00CE7287"/>
    <w:rsid w:val="00CF0E0F"/>
    <w:rsid w:val="00CF12B3"/>
    <w:rsid w:val="00CF143C"/>
    <w:rsid w:val="00CF16D6"/>
    <w:rsid w:val="00CF2C83"/>
    <w:rsid w:val="00CF3E6B"/>
    <w:rsid w:val="00CF4DC4"/>
    <w:rsid w:val="00CF5B4C"/>
    <w:rsid w:val="00CF6356"/>
    <w:rsid w:val="00CF691C"/>
    <w:rsid w:val="00D00708"/>
    <w:rsid w:val="00D01574"/>
    <w:rsid w:val="00D018CF"/>
    <w:rsid w:val="00D01EB8"/>
    <w:rsid w:val="00D03DCB"/>
    <w:rsid w:val="00D03F34"/>
    <w:rsid w:val="00D04329"/>
    <w:rsid w:val="00D04CD9"/>
    <w:rsid w:val="00D0615A"/>
    <w:rsid w:val="00D06845"/>
    <w:rsid w:val="00D1383E"/>
    <w:rsid w:val="00D139A3"/>
    <w:rsid w:val="00D1414E"/>
    <w:rsid w:val="00D14D45"/>
    <w:rsid w:val="00D16582"/>
    <w:rsid w:val="00D16827"/>
    <w:rsid w:val="00D20AB3"/>
    <w:rsid w:val="00D20E5B"/>
    <w:rsid w:val="00D23042"/>
    <w:rsid w:val="00D24097"/>
    <w:rsid w:val="00D24A90"/>
    <w:rsid w:val="00D2552D"/>
    <w:rsid w:val="00D257AB"/>
    <w:rsid w:val="00D26E92"/>
    <w:rsid w:val="00D30662"/>
    <w:rsid w:val="00D3134B"/>
    <w:rsid w:val="00D31866"/>
    <w:rsid w:val="00D3229E"/>
    <w:rsid w:val="00D32510"/>
    <w:rsid w:val="00D333AE"/>
    <w:rsid w:val="00D36346"/>
    <w:rsid w:val="00D37E19"/>
    <w:rsid w:val="00D4161D"/>
    <w:rsid w:val="00D41B1C"/>
    <w:rsid w:val="00D45F65"/>
    <w:rsid w:val="00D5319E"/>
    <w:rsid w:val="00D53ADD"/>
    <w:rsid w:val="00D548AF"/>
    <w:rsid w:val="00D56092"/>
    <w:rsid w:val="00D57686"/>
    <w:rsid w:val="00D57AAF"/>
    <w:rsid w:val="00D60016"/>
    <w:rsid w:val="00D600C0"/>
    <w:rsid w:val="00D61148"/>
    <w:rsid w:val="00D6303B"/>
    <w:rsid w:val="00D6331D"/>
    <w:rsid w:val="00D634CF"/>
    <w:rsid w:val="00D644AF"/>
    <w:rsid w:val="00D64785"/>
    <w:rsid w:val="00D65290"/>
    <w:rsid w:val="00D65373"/>
    <w:rsid w:val="00D65C3B"/>
    <w:rsid w:val="00D66F8E"/>
    <w:rsid w:val="00D71E65"/>
    <w:rsid w:val="00D73AAB"/>
    <w:rsid w:val="00D74542"/>
    <w:rsid w:val="00D749B6"/>
    <w:rsid w:val="00D77E8F"/>
    <w:rsid w:val="00D81D11"/>
    <w:rsid w:val="00D8238C"/>
    <w:rsid w:val="00D839B6"/>
    <w:rsid w:val="00D863FC"/>
    <w:rsid w:val="00D864C5"/>
    <w:rsid w:val="00D9059E"/>
    <w:rsid w:val="00D90AB1"/>
    <w:rsid w:val="00D91701"/>
    <w:rsid w:val="00D91AB7"/>
    <w:rsid w:val="00D936AB"/>
    <w:rsid w:val="00D93D5E"/>
    <w:rsid w:val="00D9562B"/>
    <w:rsid w:val="00D96750"/>
    <w:rsid w:val="00D977EA"/>
    <w:rsid w:val="00D9781C"/>
    <w:rsid w:val="00DA0339"/>
    <w:rsid w:val="00DA1096"/>
    <w:rsid w:val="00DA3074"/>
    <w:rsid w:val="00DA370B"/>
    <w:rsid w:val="00DA3996"/>
    <w:rsid w:val="00DA7DD9"/>
    <w:rsid w:val="00DA7EBD"/>
    <w:rsid w:val="00DB005D"/>
    <w:rsid w:val="00DB0094"/>
    <w:rsid w:val="00DB0E03"/>
    <w:rsid w:val="00DB3F94"/>
    <w:rsid w:val="00DB44B3"/>
    <w:rsid w:val="00DB7AE3"/>
    <w:rsid w:val="00DC1ED8"/>
    <w:rsid w:val="00DC3CB3"/>
    <w:rsid w:val="00DC6FE7"/>
    <w:rsid w:val="00DC75B5"/>
    <w:rsid w:val="00DC7BEC"/>
    <w:rsid w:val="00DD0FAB"/>
    <w:rsid w:val="00DD23A6"/>
    <w:rsid w:val="00DD26B8"/>
    <w:rsid w:val="00DD26C1"/>
    <w:rsid w:val="00DD2C90"/>
    <w:rsid w:val="00DD323B"/>
    <w:rsid w:val="00DD47CF"/>
    <w:rsid w:val="00DD5525"/>
    <w:rsid w:val="00DD5767"/>
    <w:rsid w:val="00DD5C29"/>
    <w:rsid w:val="00DD5F2A"/>
    <w:rsid w:val="00DD6961"/>
    <w:rsid w:val="00DD7706"/>
    <w:rsid w:val="00DD7A02"/>
    <w:rsid w:val="00DD7C2A"/>
    <w:rsid w:val="00DE1662"/>
    <w:rsid w:val="00DE183E"/>
    <w:rsid w:val="00DE2229"/>
    <w:rsid w:val="00DE2DBD"/>
    <w:rsid w:val="00DE3733"/>
    <w:rsid w:val="00DE6C94"/>
    <w:rsid w:val="00DE76AB"/>
    <w:rsid w:val="00DE76DC"/>
    <w:rsid w:val="00DF0605"/>
    <w:rsid w:val="00DF142A"/>
    <w:rsid w:val="00DF21D3"/>
    <w:rsid w:val="00DF45A6"/>
    <w:rsid w:val="00DF4E06"/>
    <w:rsid w:val="00DF521D"/>
    <w:rsid w:val="00DF75BF"/>
    <w:rsid w:val="00DF75DF"/>
    <w:rsid w:val="00DF7BF0"/>
    <w:rsid w:val="00E0039E"/>
    <w:rsid w:val="00E00952"/>
    <w:rsid w:val="00E01AAC"/>
    <w:rsid w:val="00E01B35"/>
    <w:rsid w:val="00E06716"/>
    <w:rsid w:val="00E07564"/>
    <w:rsid w:val="00E077D3"/>
    <w:rsid w:val="00E11DDC"/>
    <w:rsid w:val="00E13932"/>
    <w:rsid w:val="00E14381"/>
    <w:rsid w:val="00E15AD3"/>
    <w:rsid w:val="00E15C6F"/>
    <w:rsid w:val="00E17BC0"/>
    <w:rsid w:val="00E20026"/>
    <w:rsid w:val="00E223F1"/>
    <w:rsid w:val="00E243EE"/>
    <w:rsid w:val="00E24858"/>
    <w:rsid w:val="00E264A9"/>
    <w:rsid w:val="00E305BD"/>
    <w:rsid w:val="00E31520"/>
    <w:rsid w:val="00E31740"/>
    <w:rsid w:val="00E32B62"/>
    <w:rsid w:val="00E337ED"/>
    <w:rsid w:val="00E359E8"/>
    <w:rsid w:val="00E35D66"/>
    <w:rsid w:val="00E362A6"/>
    <w:rsid w:val="00E363DA"/>
    <w:rsid w:val="00E36C67"/>
    <w:rsid w:val="00E40139"/>
    <w:rsid w:val="00E407A5"/>
    <w:rsid w:val="00E41037"/>
    <w:rsid w:val="00E4346D"/>
    <w:rsid w:val="00E44571"/>
    <w:rsid w:val="00E4578C"/>
    <w:rsid w:val="00E46F15"/>
    <w:rsid w:val="00E50CB9"/>
    <w:rsid w:val="00E52E9F"/>
    <w:rsid w:val="00E54B2D"/>
    <w:rsid w:val="00E55BFB"/>
    <w:rsid w:val="00E55E68"/>
    <w:rsid w:val="00E57B9C"/>
    <w:rsid w:val="00E63B1A"/>
    <w:rsid w:val="00E650D2"/>
    <w:rsid w:val="00E654A9"/>
    <w:rsid w:val="00E65AF8"/>
    <w:rsid w:val="00E66AEA"/>
    <w:rsid w:val="00E67B5C"/>
    <w:rsid w:val="00E67C5F"/>
    <w:rsid w:val="00E70B0B"/>
    <w:rsid w:val="00E71590"/>
    <w:rsid w:val="00E72837"/>
    <w:rsid w:val="00E859A7"/>
    <w:rsid w:val="00E863B4"/>
    <w:rsid w:val="00E86B78"/>
    <w:rsid w:val="00E90287"/>
    <w:rsid w:val="00E90717"/>
    <w:rsid w:val="00E90C8F"/>
    <w:rsid w:val="00E90ED7"/>
    <w:rsid w:val="00E90F9C"/>
    <w:rsid w:val="00E913B6"/>
    <w:rsid w:val="00E91A7A"/>
    <w:rsid w:val="00E93EAC"/>
    <w:rsid w:val="00E94B5B"/>
    <w:rsid w:val="00E95E52"/>
    <w:rsid w:val="00E966D9"/>
    <w:rsid w:val="00EA0054"/>
    <w:rsid w:val="00EA0672"/>
    <w:rsid w:val="00EA0E09"/>
    <w:rsid w:val="00EA0E63"/>
    <w:rsid w:val="00EA2DC3"/>
    <w:rsid w:val="00EA30C2"/>
    <w:rsid w:val="00EA32D7"/>
    <w:rsid w:val="00EA457E"/>
    <w:rsid w:val="00EA4778"/>
    <w:rsid w:val="00EA479E"/>
    <w:rsid w:val="00EA53F1"/>
    <w:rsid w:val="00EA6A39"/>
    <w:rsid w:val="00EB1C53"/>
    <w:rsid w:val="00EB2788"/>
    <w:rsid w:val="00EB454B"/>
    <w:rsid w:val="00EB4803"/>
    <w:rsid w:val="00EB50C7"/>
    <w:rsid w:val="00EB5734"/>
    <w:rsid w:val="00EB5C21"/>
    <w:rsid w:val="00EC0339"/>
    <w:rsid w:val="00EC2450"/>
    <w:rsid w:val="00EC30A3"/>
    <w:rsid w:val="00EC3A38"/>
    <w:rsid w:val="00EC3CB3"/>
    <w:rsid w:val="00EC413D"/>
    <w:rsid w:val="00EC5442"/>
    <w:rsid w:val="00EC62F5"/>
    <w:rsid w:val="00ED0045"/>
    <w:rsid w:val="00ED14EA"/>
    <w:rsid w:val="00ED323B"/>
    <w:rsid w:val="00ED3B93"/>
    <w:rsid w:val="00ED4182"/>
    <w:rsid w:val="00ED4A61"/>
    <w:rsid w:val="00ED5318"/>
    <w:rsid w:val="00ED59D4"/>
    <w:rsid w:val="00ED60AE"/>
    <w:rsid w:val="00ED664F"/>
    <w:rsid w:val="00ED6FD0"/>
    <w:rsid w:val="00ED716A"/>
    <w:rsid w:val="00EE0539"/>
    <w:rsid w:val="00EE10C1"/>
    <w:rsid w:val="00EE4293"/>
    <w:rsid w:val="00EE6C0C"/>
    <w:rsid w:val="00EF0AB5"/>
    <w:rsid w:val="00EF14D1"/>
    <w:rsid w:val="00EF178A"/>
    <w:rsid w:val="00EF2538"/>
    <w:rsid w:val="00EF2E9E"/>
    <w:rsid w:val="00EF3208"/>
    <w:rsid w:val="00EF3653"/>
    <w:rsid w:val="00EF3D5C"/>
    <w:rsid w:val="00EF695A"/>
    <w:rsid w:val="00EF77D8"/>
    <w:rsid w:val="00F00C97"/>
    <w:rsid w:val="00F00EC7"/>
    <w:rsid w:val="00F016F2"/>
    <w:rsid w:val="00F0180A"/>
    <w:rsid w:val="00F0339B"/>
    <w:rsid w:val="00F03AFB"/>
    <w:rsid w:val="00F03E4E"/>
    <w:rsid w:val="00F04C92"/>
    <w:rsid w:val="00F04E8C"/>
    <w:rsid w:val="00F05099"/>
    <w:rsid w:val="00F05718"/>
    <w:rsid w:val="00F07945"/>
    <w:rsid w:val="00F10735"/>
    <w:rsid w:val="00F126C3"/>
    <w:rsid w:val="00F12F4E"/>
    <w:rsid w:val="00F13BDB"/>
    <w:rsid w:val="00F149EE"/>
    <w:rsid w:val="00F157D1"/>
    <w:rsid w:val="00F168E7"/>
    <w:rsid w:val="00F17A59"/>
    <w:rsid w:val="00F17DE1"/>
    <w:rsid w:val="00F2028E"/>
    <w:rsid w:val="00F20347"/>
    <w:rsid w:val="00F21B80"/>
    <w:rsid w:val="00F235AF"/>
    <w:rsid w:val="00F25030"/>
    <w:rsid w:val="00F25069"/>
    <w:rsid w:val="00F25201"/>
    <w:rsid w:val="00F25370"/>
    <w:rsid w:val="00F25F24"/>
    <w:rsid w:val="00F26426"/>
    <w:rsid w:val="00F265E6"/>
    <w:rsid w:val="00F308F4"/>
    <w:rsid w:val="00F31327"/>
    <w:rsid w:val="00F32174"/>
    <w:rsid w:val="00F32443"/>
    <w:rsid w:val="00F34E18"/>
    <w:rsid w:val="00F34EC2"/>
    <w:rsid w:val="00F37113"/>
    <w:rsid w:val="00F376C0"/>
    <w:rsid w:val="00F402D5"/>
    <w:rsid w:val="00F4156E"/>
    <w:rsid w:val="00F41DEC"/>
    <w:rsid w:val="00F4297F"/>
    <w:rsid w:val="00F44117"/>
    <w:rsid w:val="00F448EE"/>
    <w:rsid w:val="00F4584C"/>
    <w:rsid w:val="00F46962"/>
    <w:rsid w:val="00F47784"/>
    <w:rsid w:val="00F51161"/>
    <w:rsid w:val="00F52D9B"/>
    <w:rsid w:val="00F53674"/>
    <w:rsid w:val="00F53864"/>
    <w:rsid w:val="00F53B62"/>
    <w:rsid w:val="00F53F95"/>
    <w:rsid w:val="00F5514C"/>
    <w:rsid w:val="00F557E0"/>
    <w:rsid w:val="00F55D34"/>
    <w:rsid w:val="00F57515"/>
    <w:rsid w:val="00F60558"/>
    <w:rsid w:val="00F6066B"/>
    <w:rsid w:val="00F61800"/>
    <w:rsid w:val="00F61837"/>
    <w:rsid w:val="00F627B8"/>
    <w:rsid w:val="00F63225"/>
    <w:rsid w:val="00F67887"/>
    <w:rsid w:val="00F72BD3"/>
    <w:rsid w:val="00F737C3"/>
    <w:rsid w:val="00F73A5F"/>
    <w:rsid w:val="00F74588"/>
    <w:rsid w:val="00F75306"/>
    <w:rsid w:val="00F76C3F"/>
    <w:rsid w:val="00F779F0"/>
    <w:rsid w:val="00F77EB8"/>
    <w:rsid w:val="00F83580"/>
    <w:rsid w:val="00F83798"/>
    <w:rsid w:val="00F841C4"/>
    <w:rsid w:val="00F843D4"/>
    <w:rsid w:val="00F847D6"/>
    <w:rsid w:val="00F85EAE"/>
    <w:rsid w:val="00F867E0"/>
    <w:rsid w:val="00F90061"/>
    <w:rsid w:val="00F901C8"/>
    <w:rsid w:val="00F9150E"/>
    <w:rsid w:val="00F94E6B"/>
    <w:rsid w:val="00F967D8"/>
    <w:rsid w:val="00F96962"/>
    <w:rsid w:val="00FA0D25"/>
    <w:rsid w:val="00FA4659"/>
    <w:rsid w:val="00FA5F58"/>
    <w:rsid w:val="00FA6203"/>
    <w:rsid w:val="00FA63A4"/>
    <w:rsid w:val="00FA7ECE"/>
    <w:rsid w:val="00FB32DC"/>
    <w:rsid w:val="00FB5A5F"/>
    <w:rsid w:val="00FB648B"/>
    <w:rsid w:val="00FB6799"/>
    <w:rsid w:val="00FB6D5A"/>
    <w:rsid w:val="00FB6D7E"/>
    <w:rsid w:val="00FC1016"/>
    <w:rsid w:val="00FC165F"/>
    <w:rsid w:val="00FC2385"/>
    <w:rsid w:val="00FC2AEA"/>
    <w:rsid w:val="00FC357C"/>
    <w:rsid w:val="00FC41FD"/>
    <w:rsid w:val="00FC4CFB"/>
    <w:rsid w:val="00FC6ABA"/>
    <w:rsid w:val="00FC6B48"/>
    <w:rsid w:val="00FC7025"/>
    <w:rsid w:val="00FC7562"/>
    <w:rsid w:val="00FC7669"/>
    <w:rsid w:val="00FD01B6"/>
    <w:rsid w:val="00FD0B3E"/>
    <w:rsid w:val="00FD0F17"/>
    <w:rsid w:val="00FD1049"/>
    <w:rsid w:val="00FD1C13"/>
    <w:rsid w:val="00FD2913"/>
    <w:rsid w:val="00FD5C2F"/>
    <w:rsid w:val="00FD700D"/>
    <w:rsid w:val="00FD73A1"/>
    <w:rsid w:val="00FD75C4"/>
    <w:rsid w:val="00FD7C0C"/>
    <w:rsid w:val="00FE461F"/>
    <w:rsid w:val="00FE48D3"/>
    <w:rsid w:val="00FE5944"/>
    <w:rsid w:val="00FE5B7A"/>
    <w:rsid w:val="00FE7063"/>
    <w:rsid w:val="00FE7742"/>
    <w:rsid w:val="00FF08E6"/>
    <w:rsid w:val="00FF1784"/>
    <w:rsid w:val="00FF35A5"/>
    <w:rsid w:val="00FF5E59"/>
    <w:rsid w:val="00FF6E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3A78"/>
  <w15:chartTrackingRefBased/>
  <w15:docId w15:val="{9830F5A9-CE74-4421-BC70-1EB266D6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0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A20108"/>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83E4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583E4C"/>
    <w:rPr>
      <w:color w:val="0000FF"/>
      <w:u w:val="single"/>
    </w:rPr>
  </w:style>
  <w:style w:type="character" w:customStyle="1" w:styleId="Heading1Char">
    <w:name w:val="Heading 1 Char"/>
    <w:basedOn w:val="DefaultParagraphFont"/>
    <w:link w:val="Heading1"/>
    <w:uiPriority w:val="9"/>
    <w:rsid w:val="00A20108"/>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A20108"/>
    <w:rPr>
      <w:rFonts w:ascii="Times New Roman" w:eastAsia="Times New Roman" w:hAnsi="Times New Roman" w:cs="Times New Roman"/>
      <w:b/>
      <w:bCs/>
      <w:sz w:val="36"/>
      <w:szCs w:val="36"/>
      <w:lang w:eastAsia="en-ZA"/>
    </w:rPr>
  </w:style>
  <w:style w:type="paragraph" w:styleId="ListParagraph">
    <w:name w:val="List Paragraph"/>
    <w:basedOn w:val="Normal"/>
    <w:uiPriority w:val="34"/>
    <w:qFormat/>
    <w:rsid w:val="008A677A"/>
    <w:pPr>
      <w:spacing w:line="256" w:lineRule="auto"/>
      <w:ind w:left="720"/>
      <w:contextualSpacing/>
    </w:pPr>
  </w:style>
  <w:style w:type="character" w:styleId="CommentReference">
    <w:name w:val="annotation reference"/>
    <w:basedOn w:val="DefaultParagraphFont"/>
    <w:uiPriority w:val="99"/>
    <w:semiHidden/>
    <w:unhideWhenUsed/>
    <w:rsid w:val="008A677A"/>
    <w:rPr>
      <w:sz w:val="16"/>
      <w:szCs w:val="16"/>
    </w:rPr>
  </w:style>
  <w:style w:type="paragraph" w:styleId="CommentText">
    <w:name w:val="annotation text"/>
    <w:basedOn w:val="Normal"/>
    <w:link w:val="CommentTextChar"/>
    <w:uiPriority w:val="99"/>
    <w:semiHidden/>
    <w:unhideWhenUsed/>
    <w:rsid w:val="008A677A"/>
    <w:pPr>
      <w:spacing w:line="240" w:lineRule="auto"/>
    </w:pPr>
    <w:rPr>
      <w:sz w:val="20"/>
      <w:szCs w:val="20"/>
    </w:rPr>
  </w:style>
  <w:style w:type="character" w:customStyle="1" w:styleId="CommentTextChar">
    <w:name w:val="Comment Text Char"/>
    <w:basedOn w:val="DefaultParagraphFont"/>
    <w:link w:val="CommentText"/>
    <w:uiPriority w:val="99"/>
    <w:semiHidden/>
    <w:rsid w:val="008A677A"/>
    <w:rPr>
      <w:sz w:val="20"/>
      <w:szCs w:val="20"/>
    </w:rPr>
  </w:style>
  <w:style w:type="paragraph" w:styleId="BalloonText">
    <w:name w:val="Balloon Text"/>
    <w:basedOn w:val="Normal"/>
    <w:link w:val="BalloonTextChar"/>
    <w:uiPriority w:val="99"/>
    <w:semiHidden/>
    <w:unhideWhenUsed/>
    <w:rsid w:val="001B4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53"/>
    <w:rPr>
      <w:rFonts w:ascii="Segoe UI" w:hAnsi="Segoe UI" w:cs="Segoe UI"/>
      <w:sz w:val="18"/>
      <w:szCs w:val="18"/>
    </w:rPr>
  </w:style>
  <w:style w:type="paragraph" w:styleId="NormalWeb">
    <w:name w:val="Normal (Web)"/>
    <w:basedOn w:val="Normal"/>
    <w:uiPriority w:val="99"/>
    <w:unhideWhenUsed/>
    <w:rsid w:val="00A3525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5F2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683"/>
  </w:style>
  <w:style w:type="paragraph" w:styleId="Footer">
    <w:name w:val="footer"/>
    <w:basedOn w:val="Normal"/>
    <w:link w:val="FooterChar"/>
    <w:uiPriority w:val="99"/>
    <w:unhideWhenUsed/>
    <w:rsid w:val="005F2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683"/>
  </w:style>
  <w:style w:type="character" w:customStyle="1" w:styleId="g1">
    <w:name w:val="g1"/>
    <w:basedOn w:val="DefaultParagraphFont"/>
    <w:rsid w:val="00E31520"/>
  </w:style>
  <w:style w:type="character" w:customStyle="1" w:styleId="fnotenum">
    <w:name w:val="fnotenum"/>
    <w:basedOn w:val="DefaultParagraphFont"/>
    <w:rsid w:val="00F843D4"/>
  </w:style>
  <w:style w:type="paragraph" w:styleId="FootnoteText">
    <w:name w:val="footnote text"/>
    <w:basedOn w:val="Normal"/>
    <w:link w:val="FootnoteTextChar"/>
    <w:uiPriority w:val="99"/>
    <w:semiHidden/>
    <w:unhideWhenUsed/>
    <w:rsid w:val="008D08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80C"/>
    <w:rPr>
      <w:sz w:val="20"/>
      <w:szCs w:val="20"/>
    </w:rPr>
  </w:style>
  <w:style w:type="character" w:styleId="FootnoteReference">
    <w:name w:val="footnote reference"/>
    <w:basedOn w:val="DefaultParagraphFont"/>
    <w:uiPriority w:val="99"/>
    <w:semiHidden/>
    <w:unhideWhenUsed/>
    <w:rsid w:val="008D080C"/>
    <w:rPr>
      <w:vertAlign w:val="superscript"/>
    </w:rPr>
  </w:style>
  <w:style w:type="paragraph" w:styleId="CommentSubject">
    <w:name w:val="annotation subject"/>
    <w:basedOn w:val="CommentText"/>
    <w:next w:val="CommentText"/>
    <w:link w:val="CommentSubjectChar"/>
    <w:uiPriority w:val="99"/>
    <w:semiHidden/>
    <w:unhideWhenUsed/>
    <w:rsid w:val="002F0B5D"/>
    <w:rPr>
      <w:b/>
      <w:bCs/>
    </w:rPr>
  </w:style>
  <w:style w:type="character" w:customStyle="1" w:styleId="CommentSubjectChar">
    <w:name w:val="Comment Subject Char"/>
    <w:basedOn w:val="CommentTextChar"/>
    <w:link w:val="CommentSubject"/>
    <w:uiPriority w:val="99"/>
    <w:semiHidden/>
    <w:rsid w:val="002F0B5D"/>
    <w:rPr>
      <w:b/>
      <w:bCs/>
      <w:sz w:val="20"/>
      <w:szCs w:val="20"/>
    </w:rPr>
  </w:style>
  <w:style w:type="paragraph" w:styleId="Revision">
    <w:name w:val="Revision"/>
    <w:hidden/>
    <w:uiPriority w:val="99"/>
    <w:semiHidden/>
    <w:rsid w:val="003D07EB"/>
    <w:pPr>
      <w:spacing w:after="0" w:line="240" w:lineRule="auto"/>
    </w:pPr>
  </w:style>
  <w:style w:type="character" w:customStyle="1" w:styleId="footnote-link">
    <w:name w:val="footnote-link"/>
    <w:basedOn w:val="DefaultParagraphFont"/>
    <w:rsid w:val="00487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31948">
      <w:bodyDiv w:val="1"/>
      <w:marLeft w:val="0"/>
      <w:marRight w:val="0"/>
      <w:marTop w:val="0"/>
      <w:marBottom w:val="0"/>
      <w:divBdr>
        <w:top w:val="none" w:sz="0" w:space="0" w:color="auto"/>
        <w:left w:val="none" w:sz="0" w:space="0" w:color="auto"/>
        <w:bottom w:val="none" w:sz="0" w:space="0" w:color="auto"/>
        <w:right w:val="none" w:sz="0" w:space="0" w:color="auto"/>
      </w:divBdr>
    </w:div>
    <w:div w:id="645476649">
      <w:bodyDiv w:val="1"/>
      <w:marLeft w:val="0"/>
      <w:marRight w:val="0"/>
      <w:marTop w:val="0"/>
      <w:marBottom w:val="0"/>
      <w:divBdr>
        <w:top w:val="none" w:sz="0" w:space="0" w:color="auto"/>
        <w:left w:val="none" w:sz="0" w:space="0" w:color="auto"/>
        <w:bottom w:val="none" w:sz="0" w:space="0" w:color="auto"/>
        <w:right w:val="none" w:sz="0" w:space="0" w:color="auto"/>
      </w:divBdr>
    </w:div>
    <w:div w:id="942298306">
      <w:bodyDiv w:val="1"/>
      <w:marLeft w:val="0"/>
      <w:marRight w:val="0"/>
      <w:marTop w:val="0"/>
      <w:marBottom w:val="0"/>
      <w:divBdr>
        <w:top w:val="none" w:sz="0" w:space="0" w:color="auto"/>
        <w:left w:val="none" w:sz="0" w:space="0" w:color="auto"/>
        <w:bottom w:val="none" w:sz="0" w:space="0" w:color="auto"/>
        <w:right w:val="none" w:sz="0" w:space="0" w:color="auto"/>
      </w:divBdr>
    </w:div>
    <w:div w:id="947158749">
      <w:bodyDiv w:val="1"/>
      <w:marLeft w:val="0"/>
      <w:marRight w:val="0"/>
      <w:marTop w:val="0"/>
      <w:marBottom w:val="0"/>
      <w:divBdr>
        <w:top w:val="none" w:sz="0" w:space="0" w:color="auto"/>
        <w:left w:val="none" w:sz="0" w:space="0" w:color="auto"/>
        <w:bottom w:val="none" w:sz="0" w:space="0" w:color="auto"/>
        <w:right w:val="none" w:sz="0" w:space="0" w:color="auto"/>
      </w:divBdr>
    </w:div>
    <w:div w:id="992372062">
      <w:bodyDiv w:val="1"/>
      <w:marLeft w:val="0"/>
      <w:marRight w:val="0"/>
      <w:marTop w:val="0"/>
      <w:marBottom w:val="0"/>
      <w:divBdr>
        <w:top w:val="none" w:sz="0" w:space="0" w:color="auto"/>
        <w:left w:val="none" w:sz="0" w:space="0" w:color="auto"/>
        <w:bottom w:val="none" w:sz="0" w:space="0" w:color="auto"/>
        <w:right w:val="none" w:sz="0" w:space="0" w:color="auto"/>
      </w:divBdr>
    </w:div>
    <w:div w:id="1092386473">
      <w:bodyDiv w:val="1"/>
      <w:marLeft w:val="0"/>
      <w:marRight w:val="0"/>
      <w:marTop w:val="0"/>
      <w:marBottom w:val="0"/>
      <w:divBdr>
        <w:top w:val="none" w:sz="0" w:space="0" w:color="auto"/>
        <w:left w:val="none" w:sz="0" w:space="0" w:color="auto"/>
        <w:bottom w:val="none" w:sz="0" w:space="0" w:color="auto"/>
        <w:right w:val="none" w:sz="0" w:space="0" w:color="auto"/>
      </w:divBdr>
      <w:divsChild>
        <w:div w:id="1613051238">
          <w:marLeft w:val="0"/>
          <w:marRight w:val="0"/>
          <w:marTop w:val="120"/>
          <w:marBottom w:val="0"/>
          <w:divBdr>
            <w:top w:val="none" w:sz="0" w:space="0" w:color="auto"/>
            <w:left w:val="none" w:sz="0" w:space="0" w:color="auto"/>
            <w:bottom w:val="none" w:sz="0" w:space="0" w:color="auto"/>
            <w:right w:val="none" w:sz="0" w:space="0" w:color="auto"/>
          </w:divBdr>
        </w:div>
        <w:div w:id="392462316">
          <w:marLeft w:val="567"/>
          <w:marRight w:val="0"/>
          <w:marTop w:val="60"/>
          <w:marBottom w:val="0"/>
          <w:divBdr>
            <w:top w:val="none" w:sz="0" w:space="0" w:color="auto"/>
            <w:left w:val="none" w:sz="0" w:space="0" w:color="auto"/>
            <w:bottom w:val="none" w:sz="0" w:space="0" w:color="auto"/>
            <w:right w:val="none" w:sz="0" w:space="0" w:color="auto"/>
          </w:divBdr>
        </w:div>
      </w:divsChild>
    </w:div>
    <w:div w:id="1278367475">
      <w:bodyDiv w:val="1"/>
      <w:marLeft w:val="0"/>
      <w:marRight w:val="0"/>
      <w:marTop w:val="0"/>
      <w:marBottom w:val="0"/>
      <w:divBdr>
        <w:top w:val="none" w:sz="0" w:space="0" w:color="auto"/>
        <w:left w:val="none" w:sz="0" w:space="0" w:color="auto"/>
        <w:bottom w:val="none" w:sz="0" w:space="0" w:color="auto"/>
        <w:right w:val="none" w:sz="0" w:space="0" w:color="auto"/>
      </w:divBdr>
      <w:divsChild>
        <w:div w:id="1161430537">
          <w:marLeft w:val="0"/>
          <w:marRight w:val="0"/>
          <w:marTop w:val="120"/>
          <w:marBottom w:val="0"/>
          <w:divBdr>
            <w:top w:val="none" w:sz="0" w:space="0" w:color="auto"/>
            <w:left w:val="none" w:sz="0" w:space="0" w:color="auto"/>
            <w:bottom w:val="none" w:sz="0" w:space="0" w:color="auto"/>
            <w:right w:val="none" w:sz="0" w:space="0" w:color="auto"/>
          </w:divBdr>
        </w:div>
        <w:div w:id="113985789">
          <w:marLeft w:val="0"/>
          <w:marRight w:val="0"/>
          <w:marTop w:val="180"/>
          <w:marBottom w:val="60"/>
          <w:divBdr>
            <w:top w:val="single" w:sz="8" w:space="1" w:color="808080"/>
            <w:left w:val="none" w:sz="0" w:space="0" w:color="auto"/>
            <w:bottom w:val="none" w:sz="0" w:space="0" w:color="auto"/>
            <w:right w:val="none" w:sz="0" w:space="0" w:color="auto"/>
          </w:divBdr>
        </w:div>
        <w:div w:id="862672673">
          <w:marLeft w:val="0"/>
          <w:marRight w:val="0"/>
          <w:marTop w:val="120"/>
          <w:marBottom w:val="0"/>
          <w:divBdr>
            <w:top w:val="none" w:sz="0" w:space="0" w:color="auto"/>
            <w:left w:val="none" w:sz="0" w:space="0" w:color="auto"/>
            <w:bottom w:val="none" w:sz="0" w:space="0" w:color="auto"/>
            <w:right w:val="none" w:sz="0" w:space="0" w:color="auto"/>
          </w:divBdr>
        </w:div>
        <w:div w:id="1108500149">
          <w:marLeft w:val="0"/>
          <w:marRight w:val="0"/>
          <w:marTop w:val="180"/>
          <w:marBottom w:val="60"/>
          <w:divBdr>
            <w:top w:val="single" w:sz="8" w:space="1" w:color="808080"/>
            <w:left w:val="none" w:sz="0" w:space="0" w:color="auto"/>
            <w:bottom w:val="none" w:sz="0" w:space="0" w:color="auto"/>
            <w:right w:val="none" w:sz="0" w:space="0" w:color="auto"/>
          </w:divBdr>
        </w:div>
        <w:div w:id="1891112388">
          <w:marLeft w:val="0"/>
          <w:marRight w:val="0"/>
          <w:marTop w:val="120"/>
          <w:marBottom w:val="0"/>
          <w:divBdr>
            <w:top w:val="none" w:sz="0" w:space="0" w:color="auto"/>
            <w:left w:val="none" w:sz="0" w:space="0" w:color="auto"/>
            <w:bottom w:val="none" w:sz="0" w:space="0" w:color="auto"/>
            <w:right w:val="none" w:sz="0" w:space="0" w:color="auto"/>
          </w:divBdr>
        </w:div>
        <w:div w:id="469633637">
          <w:marLeft w:val="0"/>
          <w:marRight w:val="0"/>
          <w:marTop w:val="180"/>
          <w:marBottom w:val="60"/>
          <w:divBdr>
            <w:top w:val="single" w:sz="8" w:space="1" w:color="808080"/>
            <w:left w:val="none" w:sz="0" w:space="0" w:color="auto"/>
            <w:bottom w:val="none" w:sz="0" w:space="0" w:color="auto"/>
            <w:right w:val="none" w:sz="0" w:space="0" w:color="auto"/>
          </w:divBdr>
        </w:div>
        <w:div w:id="1559122655">
          <w:marLeft w:val="0"/>
          <w:marRight w:val="0"/>
          <w:marTop w:val="120"/>
          <w:marBottom w:val="0"/>
          <w:divBdr>
            <w:top w:val="none" w:sz="0" w:space="0" w:color="auto"/>
            <w:left w:val="none" w:sz="0" w:space="0" w:color="auto"/>
            <w:bottom w:val="none" w:sz="0" w:space="0" w:color="auto"/>
            <w:right w:val="none" w:sz="0" w:space="0" w:color="auto"/>
          </w:divBdr>
        </w:div>
        <w:div w:id="1232891886">
          <w:marLeft w:val="0"/>
          <w:marRight w:val="0"/>
          <w:marTop w:val="180"/>
          <w:marBottom w:val="60"/>
          <w:divBdr>
            <w:top w:val="single" w:sz="8" w:space="1" w:color="808080"/>
            <w:left w:val="none" w:sz="0" w:space="0" w:color="auto"/>
            <w:bottom w:val="none" w:sz="0" w:space="0" w:color="auto"/>
            <w:right w:val="none" w:sz="0" w:space="0" w:color="auto"/>
          </w:divBdr>
        </w:div>
        <w:div w:id="599148755">
          <w:marLeft w:val="0"/>
          <w:marRight w:val="0"/>
          <w:marTop w:val="120"/>
          <w:marBottom w:val="0"/>
          <w:divBdr>
            <w:top w:val="none" w:sz="0" w:space="0" w:color="auto"/>
            <w:left w:val="none" w:sz="0" w:space="0" w:color="auto"/>
            <w:bottom w:val="none" w:sz="0" w:space="0" w:color="auto"/>
            <w:right w:val="none" w:sz="0" w:space="0" w:color="auto"/>
          </w:divBdr>
        </w:div>
        <w:div w:id="1957985270">
          <w:marLeft w:val="0"/>
          <w:marRight w:val="0"/>
          <w:marTop w:val="120"/>
          <w:marBottom w:val="0"/>
          <w:divBdr>
            <w:top w:val="none" w:sz="0" w:space="0" w:color="auto"/>
            <w:left w:val="none" w:sz="0" w:space="0" w:color="auto"/>
            <w:bottom w:val="none" w:sz="0" w:space="0" w:color="auto"/>
            <w:right w:val="none" w:sz="0" w:space="0" w:color="auto"/>
          </w:divBdr>
        </w:div>
      </w:divsChild>
    </w:div>
    <w:div w:id="1692415321">
      <w:bodyDiv w:val="1"/>
      <w:marLeft w:val="0"/>
      <w:marRight w:val="0"/>
      <w:marTop w:val="0"/>
      <w:marBottom w:val="0"/>
      <w:divBdr>
        <w:top w:val="none" w:sz="0" w:space="0" w:color="auto"/>
        <w:left w:val="none" w:sz="0" w:space="0" w:color="auto"/>
        <w:bottom w:val="none" w:sz="0" w:space="0" w:color="auto"/>
        <w:right w:val="none" w:sz="0" w:space="0" w:color="auto"/>
      </w:divBdr>
    </w:div>
    <w:div w:id="1715158780">
      <w:bodyDiv w:val="1"/>
      <w:marLeft w:val="0"/>
      <w:marRight w:val="0"/>
      <w:marTop w:val="0"/>
      <w:marBottom w:val="0"/>
      <w:divBdr>
        <w:top w:val="none" w:sz="0" w:space="0" w:color="auto"/>
        <w:left w:val="none" w:sz="0" w:space="0" w:color="auto"/>
        <w:bottom w:val="none" w:sz="0" w:space="0" w:color="auto"/>
        <w:right w:val="none" w:sz="0" w:space="0" w:color="auto"/>
      </w:divBdr>
      <w:divsChild>
        <w:div w:id="1206019806">
          <w:marLeft w:val="567"/>
          <w:marRight w:val="0"/>
          <w:marTop w:val="40"/>
          <w:marBottom w:val="0"/>
          <w:divBdr>
            <w:top w:val="none" w:sz="0" w:space="0" w:color="auto"/>
            <w:left w:val="none" w:sz="0" w:space="0" w:color="auto"/>
            <w:bottom w:val="none" w:sz="0" w:space="0" w:color="auto"/>
            <w:right w:val="none" w:sz="0" w:space="0" w:color="auto"/>
          </w:divBdr>
        </w:div>
        <w:div w:id="1897735076">
          <w:marLeft w:val="567"/>
          <w:marRight w:val="0"/>
          <w:marTop w:val="40"/>
          <w:marBottom w:val="0"/>
          <w:divBdr>
            <w:top w:val="none" w:sz="0" w:space="0" w:color="auto"/>
            <w:left w:val="none" w:sz="0" w:space="0" w:color="auto"/>
            <w:bottom w:val="none" w:sz="0" w:space="0" w:color="auto"/>
            <w:right w:val="none" w:sz="0" w:space="0" w:color="auto"/>
          </w:divBdr>
        </w:div>
      </w:divsChild>
    </w:div>
    <w:div w:id="1716737585">
      <w:bodyDiv w:val="1"/>
      <w:marLeft w:val="0"/>
      <w:marRight w:val="0"/>
      <w:marTop w:val="0"/>
      <w:marBottom w:val="0"/>
      <w:divBdr>
        <w:top w:val="none" w:sz="0" w:space="0" w:color="auto"/>
        <w:left w:val="none" w:sz="0" w:space="0" w:color="auto"/>
        <w:bottom w:val="none" w:sz="0" w:space="0" w:color="auto"/>
        <w:right w:val="none" w:sz="0" w:space="0" w:color="auto"/>
      </w:divBdr>
    </w:div>
    <w:div w:id="1769808435">
      <w:bodyDiv w:val="1"/>
      <w:marLeft w:val="0"/>
      <w:marRight w:val="0"/>
      <w:marTop w:val="0"/>
      <w:marBottom w:val="0"/>
      <w:divBdr>
        <w:top w:val="none" w:sz="0" w:space="0" w:color="auto"/>
        <w:left w:val="none" w:sz="0" w:space="0" w:color="auto"/>
        <w:bottom w:val="none" w:sz="0" w:space="0" w:color="auto"/>
        <w:right w:val="none" w:sz="0" w:space="0" w:color="auto"/>
      </w:divBdr>
    </w:div>
    <w:div w:id="1846633599">
      <w:bodyDiv w:val="1"/>
      <w:marLeft w:val="0"/>
      <w:marRight w:val="0"/>
      <w:marTop w:val="0"/>
      <w:marBottom w:val="0"/>
      <w:divBdr>
        <w:top w:val="none" w:sz="0" w:space="0" w:color="auto"/>
        <w:left w:val="none" w:sz="0" w:space="0" w:color="auto"/>
        <w:bottom w:val="none" w:sz="0" w:space="0" w:color="auto"/>
        <w:right w:val="none" w:sz="0" w:space="0" w:color="auto"/>
      </w:divBdr>
    </w:div>
    <w:div w:id="1946304125">
      <w:bodyDiv w:val="1"/>
      <w:marLeft w:val="0"/>
      <w:marRight w:val="0"/>
      <w:marTop w:val="0"/>
      <w:marBottom w:val="0"/>
      <w:divBdr>
        <w:top w:val="none" w:sz="0" w:space="0" w:color="auto"/>
        <w:left w:val="none" w:sz="0" w:space="0" w:color="auto"/>
        <w:bottom w:val="none" w:sz="0" w:space="0" w:color="auto"/>
        <w:right w:val="none" w:sz="0" w:space="0" w:color="auto"/>
      </w:divBdr>
    </w:div>
    <w:div w:id="2117870053">
      <w:bodyDiv w:val="1"/>
      <w:marLeft w:val="0"/>
      <w:marRight w:val="0"/>
      <w:marTop w:val="0"/>
      <w:marBottom w:val="0"/>
      <w:divBdr>
        <w:top w:val="none" w:sz="0" w:space="0" w:color="auto"/>
        <w:left w:val="none" w:sz="0" w:space="0" w:color="auto"/>
        <w:bottom w:val="none" w:sz="0" w:space="0" w:color="auto"/>
        <w:right w:val="none" w:sz="0" w:space="0" w:color="auto"/>
      </w:divBdr>
      <w:divsChild>
        <w:div w:id="1672683571">
          <w:marLeft w:val="0"/>
          <w:marRight w:val="0"/>
          <w:marTop w:val="0"/>
          <w:marBottom w:val="225"/>
          <w:divBdr>
            <w:top w:val="single" w:sz="24" w:space="0" w:color="auto"/>
            <w:left w:val="single" w:sz="24" w:space="0" w:color="auto"/>
            <w:bottom w:val="single" w:sz="36" w:space="0" w:color="003300"/>
            <w:right w:val="single" w:sz="24" w:space="0" w:color="auto"/>
          </w:divBdr>
          <w:divsChild>
            <w:div w:id="845168029">
              <w:marLeft w:val="0"/>
              <w:marRight w:val="0"/>
              <w:marTop w:val="0"/>
              <w:marBottom w:val="0"/>
              <w:divBdr>
                <w:top w:val="none" w:sz="0" w:space="0" w:color="auto"/>
                <w:left w:val="none" w:sz="0" w:space="0" w:color="auto"/>
                <w:bottom w:val="none" w:sz="0" w:space="0" w:color="auto"/>
                <w:right w:val="none" w:sz="0" w:space="0" w:color="auto"/>
              </w:divBdr>
            </w:div>
          </w:divsChild>
        </w:div>
        <w:div w:id="97989449">
          <w:marLeft w:val="0"/>
          <w:marRight w:val="0"/>
          <w:marTop w:val="0"/>
          <w:marBottom w:val="0"/>
          <w:divBdr>
            <w:top w:val="none" w:sz="0" w:space="0" w:color="auto"/>
            <w:left w:val="none" w:sz="0" w:space="0" w:color="auto"/>
            <w:bottom w:val="none" w:sz="0" w:space="0" w:color="auto"/>
            <w:right w:val="none" w:sz="0" w:space="0" w:color="auto"/>
          </w:divBdr>
          <w:divsChild>
            <w:div w:id="63530481">
              <w:marLeft w:val="0"/>
              <w:marRight w:val="0"/>
              <w:marTop w:val="0"/>
              <w:marBottom w:val="0"/>
              <w:divBdr>
                <w:top w:val="none" w:sz="0" w:space="0" w:color="auto"/>
                <w:left w:val="none" w:sz="0" w:space="0" w:color="auto"/>
                <w:bottom w:val="none" w:sz="0" w:space="0" w:color="auto"/>
                <w:right w:val="none" w:sz="0" w:space="0" w:color="auto"/>
              </w:divBdr>
              <w:divsChild>
                <w:div w:id="580256121">
                  <w:marLeft w:val="0"/>
                  <w:marRight w:val="0"/>
                  <w:marTop w:val="0"/>
                  <w:marBottom w:val="0"/>
                  <w:divBdr>
                    <w:top w:val="none" w:sz="0" w:space="0" w:color="auto"/>
                    <w:left w:val="none" w:sz="0" w:space="0" w:color="auto"/>
                    <w:bottom w:val="none" w:sz="0" w:space="0" w:color="auto"/>
                    <w:right w:val="none" w:sz="0" w:space="0" w:color="auto"/>
                  </w:divBdr>
                  <w:divsChild>
                    <w:div w:id="14977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41564-29B9-43D6-82A3-1DE4A989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7954</Words>
  <Characters>45340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Judge-Sulet Potterill</dc:creator>
  <cp:keywords/>
  <dc:description/>
  <cp:lastModifiedBy>Ayanda Mdletshe</cp:lastModifiedBy>
  <cp:revision>2</cp:revision>
  <cp:lastPrinted>2022-06-07T07:51:00Z</cp:lastPrinted>
  <dcterms:created xsi:type="dcterms:W3CDTF">2022-06-07T08:25:00Z</dcterms:created>
  <dcterms:modified xsi:type="dcterms:W3CDTF">2022-06-07T08:25:00Z</dcterms:modified>
</cp:coreProperties>
</file>