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86D6" w14:textId="77777777" w:rsidR="002923EB" w:rsidRPr="005E67B9" w:rsidRDefault="00422D8D" w:rsidP="002923EB">
      <w:pPr>
        <w:pStyle w:val="Pa3"/>
        <w:jc w:val="center"/>
        <w:rPr>
          <w:rStyle w:val="A0"/>
          <w:rFonts w:cs="Arial"/>
          <w:b w:val="0"/>
          <w:sz w:val="24"/>
        </w:rPr>
      </w:pPr>
      <w:bookmarkStart w:id="0" w:name="OLE_LINK1"/>
      <w:bookmarkStart w:id="1" w:name="_GoBack"/>
      <w:bookmarkEnd w:id="1"/>
      <w:r w:rsidRPr="00422D8D">
        <w:rPr>
          <w:noProof/>
          <w:lang w:val="en-ZA" w:eastAsia="en-ZA"/>
        </w:rPr>
        <w:drawing>
          <wp:inline distT="0" distB="0" distL="0" distR="0" wp14:anchorId="5E0F50F0" wp14:editId="0CA0F6AF">
            <wp:extent cx="781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inline>
        </w:drawing>
      </w:r>
    </w:p>
    <w:p w14:paraId="32256E46" w14:textId="77777777" w:rsidR="002923EB" w:rsidRPr="005E67B9" w:rsidRDefault="002923EB" w:rsidP="002923EB">
      <w:pPr>
        <w:pStyle w:val="Pa3"/>
        <w:jc w:val="center"/>
        <w:rPr>
          <w:rStyle w:val="A0"/>
          <w:rFonts w:cs="Arial"/>
          <w:b w:val="0"/>
          <w:sz w:val="24"/>
        </w:rPr>
      </w:pPr>
    </w:p>
    <w:p w14:paraId="6104458D" w14:textId="77777777" w:rsidR="002923EB" w:rsidRPr="005E67B9" w:rsidRDefault="002923EB" w:rsidP="00A714B2">
      <w:pPr>
        <w:pStyle w:val="Pa3"/>
        <w:spacing w:line="360" w:lineRule="auto"/>
        <w:jc w:val="center"/>
        <w:rPr>
          <w:rStyle w:val="A0"/>
          <w:rFonts w:ascii="Times New Roman" w:hAnsi="Times New Roman"/>
          <w:bCs/>
          <w:sz w:val="28"/>
          <w:szCs w:val="28"/>
        </w:rPr>
      </w:pPr>
      <w:r w:rsidRPr="005E67B9">
        <w:rPr>
          <w:rStyle w:val="A0"/>
          <w:rFonts w:ascii="Times New Roman" w:hAnsi="Times New Roman"/>
          <w:sz w:val="28"/>
          <w:szCs w:val="28"/>
        </w:rPr>
        <w:t>THE SUPREME COURT OF APPEAL</w:t>
      </w:r>
      <w:r w:rsidR="009123F0" w:rsidRPr="005E67B9">
        <w:rPr>
          <w:rStyle w:val="A0"/>
          <w:rFonts w:ascii="Times New Roman" w:hAnsi="Times New Roman"/>
          <w:sz w:val="28"/>
          <w:szCs w:val="28"/>
        </w:rPr>
        <w:t xml:space="preserve"> </w:t>
      </w:r>
      <w:r w:rsidRPr="005E67B9">
        <w:rPr>
          <w:rStyle w:val="A0"/>
          <w:rFonts w:ascii="Times New Roman" w:hAnsi="Times New Roman"/>
          <w:bCs/>
          <w:sz w:val="28"/>
          <w:szCs w:val="28"/>
        </w:rPr>
        <w:t>OF SOUTH AFRICA</w:t>
      </w:r>
    </w:p>
    <w:p w14:paraId="7BED0F0E" w14:textId="77777777" w:rsidR="002923EB" w:rsidRPr="005E67B9" w:rsidRDefault="009123F0" w:rsidP="00A33334">
      <w:pPr>
        <w:jc w:val="center"/>
        <w:rPr>
          <w:rFonts w:ascii="Times New Roman" w:hAnsi="Times New Roman" w:cs="Times New Roman"/>
          <w:b/>
          <w:sz w:val="16"/>
          <w:szCs w:val="16"/>
        </w:rPr>
      </w:pPr>
      <w:r w:rsidRPr="005E67B9">
        <w:rPr>
          <w:rFonts w:ascii="Times New Roman" w:hAnsi="Times New Roman" w:cs="Times New Roman"/>
          <w:b/>
          <w:szCs w:val="28"/>
        </w:rPr>
        <w:t>JUDGMENT</w:t>
      </w:r>
    </w:p>
    <w:p w14:paraId="50678E50" w14:textId="77777777" w:rsidR="00312DBB" w:rsidRPr="005E67B9" w:rsidRDefault="00312DBB" w:rsidP="00A33334">
      <w:pPr>
        <w:jc w:val="center"/>
        <w:rPr>
          <w:rFonts w:ascii="Times New Roman" w:hAnsi="Times New Roman" w:cs="Times New Roman"/>
          <w:sz w:val="16"/>
          <w:szCs w:val="16"/>
        </w:rPr>
      </w:pPr>
    </w:p>
    <w:bookmarkEnd w:id="0"/>
    <w:p w14:paraId="2FCB6137" w14:textId="77777777" w:rsidR="0058036E" w:rsidRPr="005E67B9" w:rsidRDefault="0084044A" w:rsidP="00A33334">
      <w:pPr>
        <w:ind w:right="26"/>
        <w:jc w:val="right"/>
        <w:rPr>
          <w:rFonts w:ascii="Times New Roman" w:hAnsi="Times New Roman" w:cs="Times New Roman"/>
          <w:b/>
          <w:szCs w:val="28"/>
        </w:rPr>
      </w:pPr>
      <w:r>
        <w:rPr>
          <w:rFonts w:ascii="Times New Roman" w:hAnsi="Times New Roman" w:cs="Times New Roman"/>
          <w:b/>
          <w:bCs/>
          <w:szCs w:val="28"/>
        </w:rPr>
        <w:t xml:space="preserve">Not </w:t>
      </w:r>
      <w:r w:rsidR="00FB3C17" w:rsidRPr="005E67B9">
        <w:rPr>
          <w:rFonts w:ascii="Times New Roman" w:hAnsi="Times New Roman" w:cs="Times New Roman"/>
          <w:b/>
          <w:bCs/>
          <w:szCs w:val="28"/>
        </w:rPr>
        <w:t>Reportable</w:t>
      </w:r>
    </w:p>
    <w:p w14:paraId="285D3FC4" w14:textId="53739234" w:rsidR="002533B8" w:rsidRPr="005E67B9" w:rsidRDefault="002533B8" w:rsidP="00A33334">
      <w:pPr>
        <w:ind w:right="26"/>
        <w:jc w:val="right"/>
        <w:rPr>
          <w:rFonts w:ascii="Times New Roman" w:hAnsi="Times New Roman" w:cs="Times New Roman"/>
          <w:szCs w:val="28"/>
        </w:rPr>
      </w:pPr>
      <w:r w:rsidRPr="005E67B9">
        <w:rPr>
          <w:rFonts w:ascii="Times New Roman" w:hAnsi="Times New Roman" w:cs="Times New Roman"/>
          <w:b/>
          <w:szCs w:val="28"/>
        </w:rPr>
        <w:tab/>
      </w:r>
      <w:r w:rsidRPr="005E67B9">
        <w:rPr>
          <w:rFonts w:ascii="Times New Roman" w:hAnsi="Times New Roman" w:cs="Times New Roman"/>
          <w:szCs w:val="28"/>
        </w:rPr>
        <w:t xml:space="preserve">Case No: </w:t>
      </w:r>
      <w:r w:rsidR="008A0CCE">
        <w:rPr>
          <w:rFonts w:ascii="Times New Roman" w:hAnsi="Times New Roman" w:cs="Times New Roman"/>
          <w:szCs w:val="28"/>
        </w:rPr>
        <w:t>1120</w:t>
      </w:r>
      <w:r w:rsidR="00312DBB" w:rsidRPr="005E67B9">
        <w:rPr>
          <w:rFonts w:ascii="Times New Roman" w:hAnsi="Times New Roman" w:cs="Times New Roman"/>
          <w:szCs w:val="28"/>
        </w:rPr>
        <w:t>/20</w:t>
      </w:r>
      <w:r w:rsidR="00CA1C1B" w:rsidRPr="005E67B9">
        <w:rPr>
          <w:rFonts w:ascii="Times New Roman" w:hAnsi="Times New Roman" w:cs="Times New Roman"/>
          <w:szCs w:val="28"/>
        </w:rPr>
        <w:t>2</w:t>
      </w:r>
      <w:r w:rsidR="008A0CCE">
        <w:rPr>
          <w:rFonts w:ascii="Times New Roman" w:hAnsi="Times New Roman" w:cs="Times New Roman"/>
          <w:szCs w:val="28"/>
        </w:rPr>
        <w:t>0</w:t>
      </w:r>
    </w:p>
    <w:p w14:paraId="1C64124E" w14:textId="77777777" w:rsidR="00312DBB" w:rsidRPr="005E67B9" w:rsidRDefault="00312DBB" w:rsidP="00A33334">
      <w:pPr>
        <w:spacing w:line="276" w:lineRule="auto"/>
        <w:ind w:right="-328"/>
        <w:rPr>
          <w:rFonts w:ascii="Times New Roman" w:hAnsi="Times New Roman" w:cs="Times New Roman"/>
          <w:bCs/>
          <w:szCs w:val="28"/>
        </w:rPr>
      </w:pPr>
    </w:p>
    <w:p w14:paraId="461EF47B" w14:textId="77777777" w:rsidR="002533B8" w:rsidRPr="0084179D" w:rsidRDefault="009123F0" w:rsidP="00A33334">
      <w:pPr>
        <w:spacing w:line="276" w:lineRule="auto"/>
        <w:ind w:right="-328"/>
        <w:rPr>
          <w:bCs/>
          <w:sz w:val="24"/>
        </w:rPr>
      </w:pPr>
      <w:r w:rsidRPr="0084179D">
        <w:rPr>
          <w:bCs/>
          <w:sz w:val="24"/>
        </w:rPr>
        <w:t>In the matter between:</w:t>
      </w:r>
    </w:p>
    <w:p w14:paraId="2C95EABA" w14:textId="77777777" w:rsidR="0058036E" w:rsidRPr="0084179D" w:rsidRDefault="0058036E" w:rsidP="00A33334">
      <w:pPr>
        <w:tabs>
          <w:tab w:val="right" w:pos="8900"/>
        </w:tabs>
        <w:spacing w:line="276" w:lineRule="auto"/>
        <w:ind w:right="-328"/>
        <w:rPr>
          <w:bCs/>
          <w:sz w:val="24"/>
        </w:rPr>
      </w:pPr>
    </w:p>
    <w:p w14:paraId="0E5AA575" w14:textId="450587F7" w:rsidR="00EB728F" w:rsidRPr="0084179D" w:rsidRDefault="008A0CCE" w:rsidP="00291E22">
      <w:pPr>
        <w:tabs>
          <w:tab w:val="right" w:pos="8931"/>
        </w:tabs>
        <w:spacing w:line="276" w:lineRule="auto"/>
        <w:ind w:right="26"/>
        <w:rPr>
          <w:b/>
          <w:sz w:val="24"/>
        </w:rPr>
      </w:pPr>
      <w:r w:rsidRPr="0084179D">
        <w:rPr>
          <w:b/>
          <w:sz w:val="24"/>
        </w:rPr>
        <w:t>THEMBINKOS</w:t>
      </w:r>
      <w:r w:rsidR="00970B3A" w:rsidRPr="0084179D">
        <w:rPr>
          <w:b/>
          <w:sz w:val="24"/>
        </w:rPr>
        <w:t xml:space="preserve">I </w:t>
      </w:r>
      <w:r w:rsidRPr="0084179D">
        <w:rPr>
          <w:b/>
          <w:sz w:val="24"/>
        </w:rPr>
        <w:t>MEKUTO</w:t>
      </w:r>
      <w:r w:rsidR="005B0694" w:rsidRPr="0084179D">
        <w:rPr>
          <w:b/>
          <w:sz w:val="24"/>
        </w:rPr>
        <w:t xml:space="preserve">                                         </w:t>
      </w:r>
      <w:r w:rsidR="00A55FFB" w:rsidRPr="0084179D">
        <w:rPr>
          <w:b/>
          <w:sz w:val="24"/>
        </w:rPr>
        <w:t xml:space="preserve">  </w:t>
      </w:r>
      <w:r w:rsidR="005B0694" w:rsidRPr="0084179D">
        <w:rPr>
          <w:b/>
          <w:sz w:val="24"/>
        </w:rPr>
        <w:t xml:space="preserve">   </w:t>
      </w:r>
      <w:r w:rsidR="00A55FFB" w:rsidRPr="0084179D">
        <w:rPr>
          <w:b/>
          <w:sz w:val="24"/>
        </w:rPr>
        <w:t xml:space="preserve"> </w:t>
      </w:r>
      <w:r w:rsidR="005B0694" w:rsidRPr="0084179D">
        <w:rPr>
          <w:b/>
          <w:sz w:val="24"/>
        </w:rPr>
        <w:t xml:space="preserve"> </w:t>
      </w:r>
      <w:r w:rsidR="00F32239" w:rsidRPr="0084179D">
        <w:rPr>
          <w:b/>
          <w:sz w:val="24"/>
        </w:rPr>
        <w:t xml:space="preserve">      </w:t>
      </w:r>
      <w:r w:rsidR="0092433F">
        <w:rPr>
          <w:b/>
          <w:sz w:val="24"/>
        </w:rPr>
        <w:tab/>
      </w:r>
      <w:r w:rsidR="0072349F" w:rsidRPr="0084179D">
        <w:rPr>
          <w:b/>
          <w:sz w:val="24"/>
        </w:rPr>
        <w:t>APP</w:t>
      </w:r>
      <w:r w:rsidR="0092433F">
        <w:rPr>
          <w:b/>
          <w:sz w:val="24"/>
        </w:rPr>
        <w:t>LICANT</w:t>
      </w:r>
    </w:p>
    <w:p w14:paraId="468A42B5" w14:textId="77777777" w:rsidR="005B0694" w:rsidRPr="0084179D" w:rsidRDefault="005B0694" w:rsidP="00A33334">
      <w:pPr>
        <w:tabs>
          <w:tab w:val="right" w:pos="8280"/>
        </w:tabs>
        <w:spacing w:line="276" w:lineRule="auto"/>
        <w:ind w:right="26"/>
        <w:rPr>
          <w:b/>
          <w:sz w:val="24"/>
        </w:rPr>
      </w:pPr>
    </w:p>
    <w:p w14:paraId="412E055A" w14:textId="77777777" w:rsidR="0058036E" w:rsidRPr="0084179D" w:rsidRDefault="00A55FFB" w:rsidP="00A33334">
      <w:pPr>
        <w:tabs>
          <w:tab w:val="right" w:pos="8280"/>
        </w:tabs>
        <w:spacing w:line="276" w:lineRule="auto"/>
        <w:ind w:right="26"/>
        <w:rPr>
          <w:sz w:val="24"/>
        </w:rPr>
      </w:pPr>
      <w:r w:rsidRPr="0084179D">
        <w:rPr>
          <w:sz w:val="24"/>
        </w:rPr>
        <w:t>a</w:t>
      </w:r>
      <w:r w:rsidR="004309F0" w:rsidRPr="0084179D">
        <w:rPr>
          <w:sz w:val="24"/>
        </w:rPr>
        <w:t>nd</w:t>
      </w:r>
    </w:p>
    <w:p w14:paraId="1D90213E" w14:textId="77777777" w:rsidR="00312DBB" w:rsidRPr="0084179D" w:rsidRDefault="00312DBB" w:rsidP="00A33334">
      <w:pPr>
        <w:tabs>
          <w:tab w:val="right" w:pos="8280"/>
        </w:tabs>
        <w:spacing w:line="276" w:lineRule="auto"/>
        <w:ind w:right="26"/>
        <w:rPr>
          <w:sz w:val="24"/>
        </w:rPr>
      </w:pPr>
    </w:p>
    <w:p w14:paraId="3D580F4E" w14:textId="2A9EBF6C" w:rsidR="005F44B6" w:rsidRPr="0084179D" w:rsidRDefault="005B0694" w:rsidP="00291E22">
      <w:pPr>
        <w:tabs>
          <w:tab w:val="right" w:pos="8931"/>
        </w:tabs>
        <w:spacing w:line="276" w:lineRule="auto"/>
        <w:rPr>
          <w:b/>
          <w:sz w:val="24"/>
        </w:rPr>
      </w:pPr>
      <w:r w:rsidRPr="0084179D">
        <w:rPr>
          <w:b/>
          <w:sz w:val="24"/>
        </w:rPr>
        <w:t>THE</w:t>
      </w:r>
      <w:r w:rsidR="00970B3A" w:rsidRPr="0084179D">
        <w:rPr>
          <w:b/>
          <w:sz w:val="24"/>
        </w:rPr>
        <w:t xml:space="preserve"> </w:t>
      </w:r>
      <w:r w:rsidRPr="0084179D">
        <w:rPr>
          <w:b/>
          <w:sz w:val="24"/>
        </w:rPr>
        <w:t>STATE</w:t>
      </w:r>
      <w:r w:rsidR="004309F0" w:rsidRPr="0084179D">
        <w:rPr>
          <w:b/>
          <w:sz w:val="24"/>
        </w:rPr>
        <w:t xml:space="preserve">  </w:t>
      </w:r>
      <w:r w:rsidR="00F32239" w:rsidRPr="0084179D">
        <w:rPr>
          <w:b/>
          <w:sz w:val="24"/>
        </w:rPr>
        <w:t xml:space="preserve">                                                                            </w:t>
      </w:r>
      <w:r w:rsidR="00291E22">
        <w:rPr>
          <w:b/>
          <w:sz w:val="24"/>
        </w:rPr>
        <w:tab/>
      </w:r>
      <w:r w:rsidR="005F44B6" w:rsidRPr="0084179D">
        <w:rPr>
          <w:b/>
          <w:sz w:val="24"/>
        </w:rPr>
        <w:t>RESPONDENT</w:t>
      </w:r>
    </w:p>
    <w:p w14:paraId="764FFD9F" w14:textId="5C4BE791" w:rsidR="005E67B9" w:rsidRPr="0084179D" w:rsidRDefault="005E67B9" w:rsidP="00443FA8">
      <w:pPr>
        <w:tabs>
          <w:tab w:val="right" w:pos="8280"/>
        </w:tabs>
        <w:rPr>
          <w:b/>
          <w:sz w:val="24"/>
        </w:rPr>
      </w:pPr>
    </w:p>
    <w:p w14:paraId="75C1B83E" w14:textId="66FF9671" w:rsidR="008C251F" w:rsidRPr="0084179D" w:rsidRDefault="008C251F" w:rsidP="00A33334">
      <w:pPr>
        <w:tabs>
          <w:tab w:val="right" w:pos="8280"/>
        </w:tabs>
        <w:rPr>
          <w:b/>
          <w:sz w:val="24"/>
        </w:rPr>
      </w:pPr>
    </w:p>
    <w:p w14:paraId="23C6098D" w14:textId="69A53F9B" w:rsidR="002533B8" w:rsidRPr="0084179D" w:rsidRDefault="00B57EC6" w:rsidP="00A33334">
      <w:pPr>
        <w:tabs>
          <w:tab w:val="left" w:pos="2268"/>
        </w:tabs>
        <w:spacing w:line="276" w:lineRule="auto"/>
        <w:ind w:left="2160" w:right="26" w:hanging="2160"/>
        <w:rPr>
          <w:bCs/>
          <w:sz w:val="24"/>
        </w:rPr>
      </w:pPr>
      <w:r w:rsidRPr="0084179D">
        <w:rPr>
          <w:b/>
          <w:bCs/>
          <w:sz w:val="24"/>
        </w:rPr>
        <w:t>Neutral C</w:t>
      </w:r>
      <w:r w:rsidR="002533B8" w:rsidRPr="0084179D">
        <w:rPr>
          <w:b/>
          <w:bCs/>
          <w:sz w:val="24"/>
        </w:rPr>
        <w:t>itation:</w:t>
      </w:r>
      <w:r w:rsidR="002533B8" w:rsidRPr="0084179D">
        <w:rPr>
          <w:bCs/>
          <w:sz w:val="24"/>
        </w:rPr>
        <w:tab/>
      </w:r>
      <w:bookmarkStart w:id="2" w:name="_Hlk99623357"/>
      <w:r w:rsidR="00970B3A" w:rsidRPr="00DE4295">
        <w:rPr>
          <w:bCs/>
          <w:i/>
          <w:sz w:val="24"/>
        </w:rPr>
        <w:t>Thembinkosi Mekuto</w:t>
      </w:r>
      <w:r w:rsidR="00970B3A" w:rsidRPr="0084179D">
        <w:rPr>
          <w:bCs/>
          <w:sz w:val="24"/>
        </w:rPr>
        <w:t xml:space="preserve"> </w:t>
      </w:r>
      <w:r w:rsidR="00CA1C1B" w:rsidRPr="0084179D">
        <w:rPr>
          <w:bCs/>
          <w:i/>
          <w:sz w:val="24"/>
        </w:rPr>
        <w:t>v The State</w:t>
      </w:r>
      <w:bookmarkEnd w:id="2"/>
      <w:r w:rsidR="00AF3EBA" w:rsidRPr="0084179D">
        <w:rPr>
          <w:bCs/>
          <w:sz w:val="24"/>
        </w:rPr>
        <w:t xml:space="preserve"> </w:t>
      </w:r>
      <w:r w:rsidR="00312DBB" w:rsidRPr="0084179D">
        <w:rPr>
          <w:bCs/>
          <w:sz w:val="24"/>
        </w:rPr>
        <w:t>(</w:t>
      </w:r>
      <w:r w:rsidR="00536A0A">
        <w:rPr>
          <w:bCs/>
          <w:sz w:val="24"/>
        </w:rPr>
        <w:t>1120/2020</w:t>
      </w:r>
      <w:r w:rsidR="00312DBB" w:rsidRPr="0084179D">
        <w:rPr>
          <w:bCs/>
          <w:sz w:val="24"/>
        </w:rPr>
        <w:t xml:space="preserve">) </w:t>
      </w:r>
      <w:r w:rsidR="00AF3EBA" w:rsidRPr="0084179D">
        <w:rPr>
          <w:bCs/>
          <w:sz w:val="24"/>
        </w:rPr>
        <w:t>[20</w:t>
      </w:r>
      <w:r w:rsidR="008C251F" w:rsidRPr="0084179D">
        <w:rPr>
          <w:bCs/>
          <w:sz w:val="24"/>
        </w:rPr>
        <w:t>2</w:t>
      </w:r>
      <w:r w:rsidR="006B32C5" w:rsidRPr="0084179D">
        <w:rPr>
          <w:bCs/>
          <w:sz w:val="24"/>
        </w:rPr>
        <w:t>2</w:t>
      </w:r>
      <w:r w:rsidR="002533B8" w:rsidRPr="0084179D">
        <w:rPr>
          <w:bCs/>
          <w:sz w:val="24"/>
        </w:rPr>
        <w:t>] ZASCA</w:t>
      </w:r>
      <w:r w:rsidR="00FD09D6" w:rsidRPr="0084179D">
        <w:rPr>
          <w:bCs/>
          <w:sz w:val="24"/>
        </w:rPr>
        <w:t xml:space="preserve"> </w:t>
      </w:r>
      <w:r w:rsidR="00536A0A">
        <w:rPr>
          <w:bCs/>
          <w:sz w:val="24"/>
        </w:rPr>
        <w:t xml:space="preserve">86 </w:t>
      </w:r>
      <w:r w:rsidR="00536A0A" w:rsidRPr="0084179D">
        <w:rPr>
          <w:bCs/>
          <w:sz w:val="24"/>
        </w:rPr>
        <w:t>(</w:t>
      </w:r>
      <w:r w:rsidR="00291E22">
        <w:rPr>
          <w:bCs/>
          <w:sz w:val="24"/>
        </w:rPr>
        <w:t>08</w:t>
      </w:r>
      <w:r w:rsidR="00536A0A">
        <w:rPr>
          <w:bCs/>
          <w:sz w:val="24"/>
        </w:rPr>
        <w:t xml:space="preserve"> June</w:t>
      </w:r>
      <w:r w:rsidR="00AB4D6C" w:rsidRPr="0084179D">
        <w:rPr>
          <w:bCs/>
          <w:sz w:val="24"/>
        </w:rPr>
        <w:t xml:space="preserve"> </w:t>
      </w:r>
      <w:r w:rsidR="00AC7EDF" w:rsidRPr="0084179D">
        <w:rPr>
          <w:bCs/>
          <w:sz w:val="24"/>
        </w:rPr>
        <w:t>2022</w:t>
      </w:r>
      <w:r w:rsidR="002533B8" w:rsidRPr="0084179D">
        <w:rPr>
          <w:bCs/>
          <w:sz w:val="24"/>
        </w:rPr>
        <w:t>)</w:t>
      </w:r>
    </w:p>
    <w:p w14:paraId="7F6936C4" w14:textId="77777777" w:rsidR="00DB2F75" w:rsidRPr="0084179D" w:rsidRDefault="00DB2F75" w:rsidP="00A33334">
      <w:pPr>
        <w:tabs>
          <w:tab w:val="left" w:pos="2268"/>
        </w:tabs>
        <w:ind w:left="2160" w:right="28" w:hanging="2160"/>
        <w:rPr>
          <w:bCs/>
          <w:sz w:val="24"/>
        </w:rPr>
      </w:pPr>
    </w:p>
    <w:p w14:paraId="02670786" w14:textId="77777777" w:rsidR="002533B8" w:rsidRPr="0084179D" w:rsidRDefault="002533B8" w:rsidP="00A33334">
      <w:pPr>
        <w:tabs>
          <w:tab w:val="left" w:pos="-1440"/>
        </w:tabs>
        <w:spacing w:before="120" w:line="276" w:lineRule="auto"/>
        <w:ind w:left="2160" w:right="28" w:hanging="2160"/>
        <w:rPr>
          <w:bCs/>
          <w:sz w:val="24"/>
        </w:rPr>
      </w:pPr>
      <w:r w:rsidRPr="0084179D">
        <w:rPr>
          <w:b/>
          <w:bCs/>
          <w:sz w:val="24"/>
        </w:rPr>
        <w:t>Coram:</w:t>
      </w:r>
      <w:r w:rsidR="00FA61D2" w:rsidRPr="0084179D">
        <w:rPr>
          <w:bCs/>
          <w:sz w:val="24"/>
        </w:rPr>
        <w:tab/>
      </w:r>
      <w:r w:rsidR="00CA1C1B" w:rsidRPr="0084179D">
        <w:rPr>
          <w:bCs/>
          <w:sz w:val="24"/>
        </w:rPr>
        <w:t xml:space="preserve">MOLEMELA, </w:t>
      </w:r>
      <w:r w:rsidR="00AB4D6C" w:rsidRPr="0084179D">
        <w:rPr>
          <w:bCs/>
          <w:sz w:val="24"/>
        </w:rPr>
        <w:t>GORVEN</w:t>
      </w:r>
      <w:r w:rsidR="00442CCB" w:rsidRPr="0084179D">
        <w:rPr>
          <w:bCs/>
          <w:sz w:val="24"/>
        </w:rPr>
        <w:t xml:space="preserve"> and </w:t>
      </w:r>
      <w:r w:rsidR="0009798F" w:rsidRPr="0084179D">
        <w:rPr>
          <w:bCs/>
          <w:sz w:val="24"/>
        </w:rPr>
        <w:t>HUGHES</w:t>
      </w:r>
      <w:r w:rsidR="00CA1C1B" w:rsidRPr="0084179D">
        <w:rPr>
          <w:bCs/>
          <w:sz w:val="24"/>
        </w:rPr>
        <w:t xml:space="preserve"> </w:t>
      </w:r>
      <w:r w:rsidR="00F116D0" w:rsidRPr="0084179D">
        <w:rPr>
          <w:bCs/>
          <w:sz w:val="24"/>
        </w:rPr>
        <w:t xml:space="preserve">JJA </w:t>
      </w:r>
      <w:r w:rsidR="00CA1C1B" w:rsidRPr="0084179D">
        <w:rPr>
          <w:bCs/>
          <w:sz w:val="24"/>
        </w:rPr>
        <w:t xml:space="preserve">and </w:t>
      </w:r>
      <w:r w:rsidR="00F116D0" w:rsidRPr="0084179D">
        <w:rPr>
          <w:bCs/>
          <w:sz w:val="24"/>
        </w:rPr>
        <w:t>TSOKA a</w:t>
      </w:r>
      <w:r w:rsidR="00CA1C1B" w:rsidRPr="0084179D">
        <w:rPr>
          <w:bCs/>
          <w:sz w:val="24"/>
        </w:rPr>
        <w:t xml:space="preserve">nd </w:t>
      </w:r>
      <w:r w:rsidR="00F116D0" w:rsidRPr="0084179D">
        <w:rPr>
          <w:bCs/>
          <w:sz w:val="24"/>
        </w:rPr>
        <w:t xml:space="preserve">MUSI </w:t>
      </w:r>
      <w:r w:rsidR="00442CCB" w:rsidRPr="0084179D">
        <w:rPr>
          <w:bCs/>
          <w:sz w:val="24"/>
        </w:rPr>
        <w:t>A</w:t>
      </w:r>
      <w:r w:rsidR="00CA1C1B" w:rsidRPr="0084179D">
        <w:rPr>
          <w:bCs/>
          <w:sz w:val="24"/>
        </w:rPr>
        <w:t>JJA</w:t>
      </w:r>
    </w:p>
    <w:p w14:paraId="45985F25" w14:textId="77777777" w:rsidR="00BC658B" w:rsidRPr="0084179D" w:rsidRDefault="00BC658B" w:rsidP="00A33334">
      <w:pPr>
        <w:tabs>
          <w:tab w:val="left" w:pos="-1440"/>
        </w:tabs>
        <w:ind w:left="2160" w:right="28" w:hanging="2160"/>
        <w:rPr>
          <w:bCs/>
          <w:sz w:val="24"/>
        </w:rPr>
      </w:pPr>
    </w:p>
    <w:p w14:paraId="0186E284" w14:textId="00E2626A" w:rsidR="002533B8" w:rsidRPr="0084179D" w:rsidRDefault="002533B8" w:rsidP="00291E22">
      <w:pPr>
        <w:tabs>
          <w:tab w:val="left" w:pos="-1440"/>
        </w:tabs>
        <w:spacing w:before="120" w:line="276" w:lineRule="auto"/>
        <w:ind w:right="-46"/>
        <w:rPr>
          <w:bCs/>
          <w:sz w:val="24"/>
        </w:rPr>
      </w:pPr>
      <w:r w:rsidRPr="0084179D">
        <w:rPr>
          <w:b/>
          <w:bCs/>
          <w:sz w:val="24"/>
        </w:rPr>
        <w:t>Heard:</w:t>
      </w:r>
      <w:r w:rsidRPr="0084179D">
        <w:rPr>
          <w:bCs/>
          <w:sz w:val="24"/>
        </w:rPr>
        <w:tab/>
      </w:r>
      <w:r w:rsidR="00190F4C" w:rsidRPr="0084179D">
        <w:rPr>
          <w:bCs/>
          <w:sz w:val="24"/>
        </w:rPr>
        <w:tab/>
      </w:r>
      <w:r w:rsidR="001531DB">
        <w:rPr>
          <w:bCs/>
          <w:sz w:val="24"/>
        </w:rPr>
        <w:t>This matter was finalised with</w:t>
      </w:r>
      <w:r w:rsidR="00927DC0">
        <w:rPr>
          <w:bCs/>
          <w:sz w:val="24"/>
        </w:rPr>
        <w:t>out oral argument in terms of s </w:t>
      </w:r>
      <w:r w:rsidR="001531DB">
        <w:rPr>
          <w:bCs/>
          <w:sz w:val="24"/>
        </w:rPr>
        <w:t>19</w:t>
      </w:r>
      <w:r w:rsidR="001531DB" w:rsidRPr="00AF388E">
        <w:rPr>
          <w:bCs/>
          <w:i/>
          <w:iCs/>
          <w:sz w:val="24"/>
        </w:rPr>
        <w:t>(a)</w:t>
      </w:r>
      <w:r w:rsidR="002E032B">
        <w:rPr>
          <w:bCs/>
          <w:sz w:val="24"/>
        </w:rPr>
        <w:t xml:space="preserve"> of the Superior Courts Act 10 of 2013</w:t>
      </w:r>
    </w:p>
    <w:p w14:paraId="2EACA4CA" w14:textId="77777777" w:rsidR="00C85755" w:rsidRPr="0084179D" w:rsidRDefault="00C85755" w:rsidP="00A33334">
      <w:pPr>
        <w:tabs>
          <w:tab w:val="left" w:pos="-1440"/>
        </w:tabs>
        <w:ind w:right="-329"/>
        <w:rPr>
          <w:bCs/>
          <w:sz w:val="24"/>
        </w:rPr>
      </w:pPr>
    </w:p>
    <w:p w14:paraId="303AB420" w14:textId="2CAD3F36" w:rsidR="002533B8" w:rsidRPr="0084179D" w:rsidRDefault="002533B8" w:rsidP="00A33334">
      <w:pPr>
        <w:tabs>
          <w:tab w:val="left" w:pos="-1440"/>
        </w:tabs>
        <w:spacing w:before="120"/>
        <w:ind w:right="26"/>
        <w:rPr>
          <w:sz w:val="24"/>
        </w:rPr>
      </w:pPr>
      <w:r w:rsidRPr="0084179D">
        <w:rPr>
          <w:b/>
          <w:bCs/>
          <w:sz w:val="24"/>
        </w:rPr>
        <w:t>Delivered:</w:t>
      </w:r>
      <w:r w:rsidR="00312DBB" w:rsidRPr="0084179D">
        <w:rPr>
          <w:b/>
          <w:bCs/>
          <w:sz w:val="24"/>
        </w:rPr>
        <w:tab/>
      </w:r>
      <w:r w:rsidR="00784357" w:rsidRPr="0054227B">
        <w:rPr>
          <w:sz w:val="24"/>
        </w:rPr>
        <w:tab/>
      </w:r>
      <w:r w:rsidR="00386CEF">
        <w:rPr>
          <w:sz w:val="24"/>
        </w:rPr>
        <w:t>08</w:t>
      </w:r>
      <w:r w:rsidR="0054227B" w:rsidRPr="0054227B">
        <w:rPr>
          <w:sz w:val="24"/>
        </w:rPr>
        <w:t xml:space="preserve"> </w:t>
      </w:r>
      <w:r w:rsidR="00AF388E">
        <w:rPr>
          <w:sz w:val="24"/>
        </w:rPr>
        <w:t>June</w:t>
      </w:r>
      <w:r w:rsidR="00AF388E" w:rsidRPr="0054227B">
        <w:rPr>
          <w:sz w:val="24"/>
        </w:rPr>
        <w:t xml:space="preserve"> </w:t>
      </w:r>
      <w:r w:rsidR="00C4369E" w:rsidRPr="0084179D">
        <w:rPr>
          <w:sz w:val="24"/>
        </w:rPr>
        <w:t>2022</w:t>
      </w:r>
    </w:p>
    <w:p w14:paraId="571CED54" w14:textId="77777777" w:rsidR="005E67B9" w:rsidRPr="0084179D" w:rsidRDefault="005E67B9" w:rsidP="00A33334">
      <w:pPr>
        <w:tabs>
          <w:tab w:val="left" w:pos="-1440"/>
        </w:tabs>
        <w:spacing w:before="120"/>
        <w:ind w:right="26"/>
        <w:rPr>
          <w:sz w:val="24"/>
        </w:rPr>
      </w:pPr>
    </w:p>
    <w:p w14:paraId="0BC98C78" w14:textId="77777777" w:rsidR="006E755B" w:rsidRDefault="002533B8" w:rsidP="006E755B">
      <w:pPr>
        <w:ind w:right="32"/>
        <w:contextualSpacing/>
        <w:rPr>
          <w:bCs/>
          <w:sz w:val="24"/>
        </w:rPr>
      </w:pPr>
      <w:r w:rsidRPr="0084179D">
        <w:rPr>
          <w:b/>
          <w:bCs/>
          <w:sz w:val="24"/>
        </w:rPr>
        <w:t>Summary:</w:t>
      </w:r>
      <w:r w:rsidR="00FA61D2" w:rsidRPr="0084179D">
        <w:rPr>
          <w:b/>
          <w:bCs/>
          <w:sz w:val="24"/>
        </w:rPr>
        <w:tab/>
      </w:r>
      <w:r w:rsidR="006E755B" w:rsidRPr="0084179D">
        <w:rPr>
          <w:bCs/>
          <w:sz w:val="24"/>
        </w:rPr>
        <w:t xml:space="preserve">Criminal </w:t>
      </w:r>
      <w:r w:rsidR="006E755B">
        <w:rPr>
          <w:bCs/>
          <w:sz w:val="24"/>
        </w:rPr>
        <w:t>l</w:t>
      </w:r>
      <w:r w:rsidR="006E755B" w:rsidRPr="0084179D">
        <w:rPr>
          <w:bCs/>
          <w:sz w:val="24"/>
        </w:rPr>
        <w:t xml:space="preserve">aw and </w:t>
      </w:r>
      <w:r w:rsidR="006E755B">
        <w:rPr>
          <w:bCs/>
          <w:sz w:val="24"/>
        </w:rPr>
        <w:t>p</w:t>
      </w:r>
      <w:r w:rsidR="006E755B" w:rsidRPr="0084179D">
        <w:rPr>
          <w:bCs/>
          <w:sz w:val="24"/>
        </w:rPr>
        <w:t xml:space="preserve">rocedure – </w:t>
      </w:r>
      <w:r w:rsidR="006E755B">
        <w:rPr>
          <w:bCs/>
          <w:sz w:val="24"/>
        </w:rPr>
        <w:t xml:space="preserve">reconsideration of an order refusing leave by two judges of the SCA – whether the court below and the two SCA judges, ought to have granted leave or not – applicant showed special circumstances only in respect of the attempted murder charge – </w:t>
      </w:r>
      <w:r w:rsidR="006E755B" w:rsidRPr="0084179D">
        <w:rPr>
          <w:bCs/>
          <w:sz w:val="24"/>
        </w:rPr>
        <w:t>sentence of 15 years</w:t>
      </w:r>
      <w:r w:rsidR="006E755B">
        <w:rPr>
          <w:bCs/>
          <w:sz w:val="24"/>
        </w:rPr>
        <w:t>’</w:t>
      </w:r>
      <w:r w:rsidR="006E755B" w:rsidRPr="0084179D">
        <w:rPr>
          <w:bCs/>
          <w:sz w:val="24"/>
        </w:rPr>
        <w:t xml:space="preserve"> imprisonment </w:t>
      </w:r>
      <w:r w:rsidR="006E755B">
        <w:rPr>
          <w:bCs/>
          <w:sz w:val="24"/>
        </w:rPr>
        <w:t xml:space="preserve">imposed for attempted murder </w:t>
      </w:r>
      <w:r w:rsidR="006E755B" w:rsidRPr="0084179D">
        <w:rPr>
          <w:bCs/>
          <w:sz w:val="24"/>
        </w:rPr>
        <w:t>set aside and replaced with 10 years</w:t>
      </w:r>
      <w:r w:rsidR="006E755B">
        <w:rPr>
          <w:bCs/>
          <w:sz w:val="24"/>
        </w:rPr>
        <w:t xml:space="preserve">’ imprisonment. </w:t>
      </w:r>
    </w:p>
    <w:p w14:paraId="4E1E8466" w14:textId="77777777" w:rsidR="00786DB8" w:rsidRDefault="00786DB8" w:rsidP="00A33334">
      <w:pPr>
        <w:ind w:right="32"/>
        <w:contextualSpacing/>
        <w:rPr>
          <w:bCs/>
          <w:sz w:val="24"/>
        </w:rPr>
      </w:pPr>
    </w:p>
    <w:p w14:paraId="03CA2EBA" w14:textId="11E20C43" w:rsidR="009123F0" w:rsidRPr="0084179D" w:rsidRDefault="009123F0" w:rsidP="004D2C17">
      <w:pPr>
        <w:spacing w:line="240" w:lineRule="auto"/>
        <w:ind w:right="-46"/>
        <w:rPr>
          <w:b/>
          <w:bCs/>
          <w:sz w:val="24"/>
        </w:rPr>
      </w:pPr>
      <w:r w:rsidRPr="0084179D">
        <w:rPr>
          <w:b/>
          <w:bCs/>
          <w:sz w:val="24"/>
        </w:rPr>
        <w:t>_</w:t>
      </w:r>
      <w:r w:rsidR="004D2C17">
        <w:rPr>
          <w:b/>
          <w:bCs/>
          <w:sz w:val="24"/>
        </w:rPr>
        <w:t>____</w:t>
      </w:r>
      <w:r w:rsidRPr="0084179D">
        <w:rPr>
          <w:b/>
          <w:bCs/>
          <w:sz w:val="24"/>
        </w:rPr>
        <w:t>______________________________________</w:t>
      </w:r>
      <w:r w:rsidR="00B77B45" w:rsidRPr="0084179D">
        <w:rPr>
          <w:b/>
          <w:bCs/>
          <w:sz w:val="24"/>
        </w:rPr>
        <w:t>____________________</w:t>
      </w:r>
      <w:r w:rsidR="00FB471F" w:rsidRPr="0084179D">
        <w:rPr>
          <w:b/>
          <w:bCs/>
          <w:sz w:val="24"/>
        </w:rPr>
        <w:t>___</w:t>
      </w:r>
      <w:r w:rsidR="00A714B2" w:rsidRPr="0084179D">
        <w:rPr>
          <w:b/>
          <w:bCs/>
          <w:sz w:val="24"/>
        </w:rPr>
        <w:t>_</w:t>
      </w:r>
    </w:p>
    <w:p w14:paraId="7E6F37BC" w14:textId="77777777" w:rsidR="009123F0" w:rsidRPr="0084179D" w:rsidRDefault="009123F0" w:rsidP="00312DBB">
      <w:pPr>
        <w:spacing w:line="240" w:lineRule="auto"/>
        <w:ind w:left="720" w:right="26" w:hanging="720"/>
        <w:rPr>
          <w:b/>
          <w:bCs/>
          <w:sz w:val="24"/>
        </w:rPr>
      </w:pPr>
    </w:p>
    <w:p w14:paraId="0BBA20E9" w14:textId="77777777" w:rsidR="002533B8" w:rsidRPr="0084179D" w:rsidRDefault="002533B8" w:rsidP="00312DBB">
      <w:pPr>
        <w:tabs>
          <w:tab w:val="right" w:pos="8197"/>
        </w:tabs>
        <w:spacing w:line="240" w:lineRule="auto"/>
        <w:ind w:left="720" w:right="26" w:hanging="720"/>
        <w:jc w:val="center"/>
        <w:rPr>
          <w:b/>
          <w:bCs/>
          <w:sz w:val="24"/>
        </w:rPr>
      </w:pPr>
      <w:r w:rsidRPr="0084179D">
        <w:rPr>
          <w:b/>
          <w:bCs/>
          <w:sz w:val="24"/>
        </w:rPr>
        <w:t>ORDER</w:t>
      </w:r>
    </w:p>
    <w:p w14:paraId="7E8D36A0" w14:textId="0F25BF93" w:rsidR="009123F0" w:rsidRPr="0084179D" w:rsidRDefault="009123F0" w:rsidP="00312DBB">
      <w:pPr>
        <w:spacing w:line="240" w:lineRule="auto"/>
        <w:ind w:right="26"/>
        <w:rPr>
          <w:bCs/>
          <w:sz w:val="24"/>
        </w:rPr>
      </w:pPr>
      <w:r w:rsidRPr="0084179D">
        <w:rPr>
          <w:b/>
          <w:bCs/>
          <w:sz w:val="24"/>
        </w:rPr>
        <w:t>_____</w:t>
      </w:r>
      <w:r w:rsidR="004D2C17">
        <w:rPr>
          <w:b/>
          <w:bCs/>
          <w:sz w:val="24"/>
        </w:rPr>
        <w:t>___</w:t>
      </w:r>
      <w:r w:rsidRPr="0084179D">
        <w:rPr>
          <w:b/>
          <w:bCs/>
          <w:sz w:val="24"/>
        </w:rPr>
        <w:t>__________________________________</w:t>
      </w:r>
      <w:r w:rsidR="00B77B45" w:rsidRPr="0084179D">
        <w:rPr>
          <w:b/>
          <w:bCs/>
          <w:sz w:val="24"/>
        </w:rPr>
        <w:t>____________________</w:t>
      </w:r>
      <w:r w:rsidR="00FB471F" w:rsidRPr="0084179D">
        <w:rPr>
          <w:b/>
          <w:bCs/>
          <w:sz w:val="24"/>
        </w:rPr>
        <w:t>___</w:t>
      </w:r>
      <w:r w:rsidR="00A714B2" w:rsidRPr="0084179D">
        <w:rPr>
          <w:b/>
          <w:bCs/>
          <w:sz w:val="24"/>
        </w:rPr>
        <w:t>__</w:t>
      </w:r>
    </w:p>
    <w:p w14:paraId="0A7589DF" w14:textId="77777777" w:rsidR="002533B8" w:rsidRPr="0084179D" w:rsidRDefault="002533B8" w:rsidP="006E3CBF">
      <w:pPr>
        <w:spacing w:line="240" w:lineRule="auto"/>
        <w:rPr>
          <w:sz w:val="24"/>
        </w:rPr>
      </w:pPr>
    </w:p>
    <w:p w14:paraId="5A36D94C" w14:textId="77777777" w:rsidR="00A714B2" w:rsidRPr="00C16315" w:rsidRDefault="0084574A" w:rsidP="00CA29C6">
      <w:pPr>
        <w:rPr>
          <w:sz w:val="24"/>
        </w:rPr>
      </w:pPr>
      <w:r w:rsidRPr="00C16315">
        <w:rPr>
          <w:b/>
          <w:sz w:val="24"/>
        </w:rPr>
        <w:t>On appeal from</w:t>
      </w:r>
      <w:r w:rsidR="00BF5112" w:rsidRPr="00C16315">
        <w:rPr>
          <w:sz w:val="24"/>
        </w:rPr>
        <w:t>:</w:t>
      </w:r>
      <w:r w:rsidR="00F81523" w:rsidRPr="00C16315">
        <w:rPr>
          <w:sz w:val="24"/>
        </w:rPr>
        <w:t xml:space="preserve"> </w:t>
      </w:r>
      <w:r w:rsidR="00CA1C1B" w:rsidRPr="00C16315">
        <w:rPr>
          <w:sz w:val="24"/>
        </w:rPr>
        <w:t>Western Cape</w:t>
      </w:r>
      <w:r w:rsidR="00274675" w:rsidRPr="00C16315">
        <w:rPr>
          <w:sz w:val="24"/>
        </w:rPr>
        <w:t xml:space="preserve"> </w:t>
      </w:r>
      <w:r w:rsidR="00A05001" w:rsidRPr="00C16315">
        <w:rPr>
          <w:sz w:val="24"/>
        </w:rPr>
        <w:t xml:space="preserve">Division of the </w:t>
      </w:r>
      <w:r w:rsidR="006559A5" w:rsidRPr="00C16315">
        <w:rPr>
          <w:sz w:val="24"/>
        </w:rPr>
        <w:t>High Court</w:t>
      </w:r>
      <w:r w:rsidR="00274675" w:rsidRPr="00C16315">
        <w:rPr>
          <w:sz w:val="24"/>
        </w:rPr>
        <w:t>,</w:t>
      </w:r>
      <w:r w:rsidR="00043ED0" w:rsidRPr="00C16315">
        <w:rPr>
          <w:sz w:val="24"/>
        </w:rPr>
        <w:t xml:space="preserve"> </w:t>
      </w:r>
      <w:r w:rsidR="00CA1C1B" w:rsidRPr="00C16315">
        <w:rPr>
          <w:sz w:val="24"/>
        </w:rPr>
        <w:t>Cape Town</w:t>
      </w:r>
      <w:r w:rsidR="00F81523" w:rsidRPr="00C16315">
        <w:rPr>
          <w:sz w:val="24"/>
        </w:rPr>
        <w:t xml:space="preserve"> (</w:t>
      </w:r>
      <w:r w:rsidR="00CA1C1B" w:rsidRPr="00C16315">
        <w:rPr>
          <w:sz w:val="24"/>
        </w:rPr>
        <w:t>Davis</w:t>
      </w:r>
      <w:r w:rsidR="00B802B2" w:rsidRPr="00C16315">
        <w:rPr>
          <w:sz w:val="24"/>
        </w:rPr>
        <w:t>, Goliath and Henney</w:t>
      </w:r>
      <w:r w:rsidR="00CA1C1B" w:rsidRPr="00C16315">
        <w:rPr>
          <w:sz w:val="24"/>
        </w:rPr>
        <w:t xml:space="preserve"> J</w:t>
      </w:r>
      <w:r w:rsidR="00B802B2" w:rsidRPr="00C16315">
        <w:rPr>
          <w:sz w:val="24"/>
        </w:rPr>
        <w:t>J,</w:t>
      </w:r>
      <w:r w:rsidR="00274675" w:rsidRPr="00C16315">
        <w:rPr>
          <w:sz w:val="24"/>
        </w:rPr>
        <w:t xml:space="preserve"> </w:t>
      </w:r>
      <w:r w:rsidR="00F81523" w:rsidRPr="00C16315">
        <w:rPr>
          <w:sz w:val="24"/>
        </w:rPr>
        <w:t xml:space="preserve">sitting as court of </w:t>
      </w:r>
      <w:r w:rsidR="00B802B2" w:rsidRPr="00C16315">
        <w:rPr>
          <w:sz w:val="24"/>
        </w:rPr>
        <w:t>appeal</w:t>
      </w:r>
      <w:r w:rsidR="00F81523" w:rsidRPr="00C16315">
        <w:rPr>
          <w:sz w:val="24"/>
        </w:rPr>
        <w:t>):</w:t>
      </w:r>
    </w:p>
    <w:p w14:paraId="053B15AD" w14:textId="77777777" w:rsidR="00C922CE" w:rsidRPr="00D404D8" w:rsidRDefault="00C922CE" w:rsidP="00C922CE">
      <w:pPr>
        <w:pStyle w:val="ListParagraph"/>
        <w:numPr>
          <w:ilvl w:val="0"/>
          <w:numId w:val="38"/>
        </w:numPr>
        <w:tabs>
          <w:tab w:val="clear" w:pos="1134"/>
        </w:tabs>
        <w:spacing w:line="360" w:lineRule="auto"/>
        <w:rPr>
          <w:sz w:val="24"/>
          <w:szCs w:val="24"/>
          <w:lang w:val="en-US"/>
        </w:rPr>
      </w:pPr>
      <w:r w:rsidRPr="00D404D8">
        <w:rPr>
          <w:sz w:val="24"/>
          <w:szCs w:val="24"/>
          <w:lang w:val="en-US"/>
        </w:rPr>
        <w:t>The application for condonation of the late filing of the application for reconsideration in terms of s 17(2)</w:t>
      </w:r>
      <w:r w:rsidRPr="00D404D8">
        <w:rPr>
          <w:i/>
          <w:iCs/>
          <w:sz w:val="24"/>
          <w:szCs w:val="24"/>
          <w:lang w:val="en-US"/>
        </w:rPr>
        <w:t>(f)</w:t>
      </w:r>
      <w:r w:rsidRPr="00D404D8">
        <w:rPr>
          <w:sz w:val="24"/>
          <w:szCs w:val="24"/>
          <w:lang w:val="en-US"/>
        </w:rPr>
        <w:t xml:space="preserve"> of the Superior Courts Act is granted.</w:t>
      </w:r>
    </w:p>
    <w:p w14:paraId="46BB31E3" w14:textId="77777777" w:rsidR="00C922CE" w:rsidRPr="00996A9E" w:rsidRDefault="00C922CE" w:rsidP="00C922CE">
      <w:pPr>
        <w:pStyle w:val="ListParagraph"/>
        <w:numPr>
          <w:ilvl w:val="0"/>
          <w:numId w:val="38"/>
        </w:numPr>
        <w:tabs>
          <w:tab w:val="clear" w:pos="1134"/>
        </w:tabs>
        <w:spacing w:line="360" w:lineRule="auto"/>
        <w:rPr>
          <w:sz w:val="24"/>
          <w:szCs w:val="24"/>
          <w:lang w:val="en-US"/>
        </w:rPr>
      </w:pPr>
      <w:r w:rsidRPr="00D404D8">
        <w:rPr>
          <w:sz w:val="24"/>
          <w:szCs w:val="24"/>
          <w:lang w:val="en-US"/>
        </w:rPr>
        <w:t xml:space="preserve">The application for reconsideration is granted in respect of the sentence imposed on count 3, and the order of the two judges of the SCA refusing leave to appeal is </w:t>
      </w:r>
      <w:r w:rsidRPr="00996A9E">
        <w:rPr>
          <w:sz w:val="24"/>
          <w:szCs w:val="24"/>
          <w:lang w:val="en-US"/>
        </w:rPr>
        <w:t>varied and replaced with one granting the applicant leave to appeal on that aspect.</w:t>
      </w:r>
    </w:p>
    <w:p w14:paraId="1675B978" w14:textId="77777777" w:rsidR="00C922CE" w:rsidRPr="00996A9E" w:rsidRDefault="00C922CE" w:rsidP="00C922CE">
      <w:pPr>
        <w:pStyle w:val="ListParagraph"/>
        <w:numPr>
          <w:ilvl w:val="0"/>
          <w:numId w:val="38"/>
        </w:numPr>
        <w:rPr>
          <w:sz w:val="24"/>
          <w:lang w:val="en-US"/>
        </w:rPr>
      </w:pPr>
      <w:r w:rsidRPr="00996A9E">
        <w:rPr>
          <w:sz w:val="24"/>
          <w:lang w:val="en-US"/>
        </w:rPr>
        <w:t>Save for paragraph 2 hereof, the application for reconsideration is dismissed.</w:t>
      </w:r>
    </w:p>
    <w:p w14:paraId="3D58E891" w14:textId="77777777" w:rsidR="00C922CE" w:rsidRPr="00D404D8" w:rsidRDefault="00C922CE" w:rsidP="00C922CE">
      <w:pPr>
        <w:pStyle w:val="ListParagraph"/>
        <w:numPr>
          <w:ilvl w:val="0"/>
          <w:numId w:val="38"/>
        </w:numPr>
        <w:rPr>
          <w:sz w:val="24"/>
          <w:lang w:val="en-US"/>
        </w:rPr>
      </w:pPr>
      <w:r w:rsidRPr="00996A9E">
        <w:rPr>
          <w:sz w:val="24"/>
          <w:lang w:val="en-US"/>
        </w:rPr>
        <w:t>The appeal in respect of the sentence</w:t>
      </w:r>
      <w:r w:rsidRPr="00D404D8">
        <w:rPr>
          <w:sz w:val="24"/>
          <w:lang w:val="en-US"/>
        </w:rPr>
        <w:t xml:space="preserve"> imposed on count 3 is upheld and the order of the full court is set aside and replaced with the following:</w:t>
      </w:r>
    </w:p>
    <w:p w14:paraId="16DED074" w14:textId="77777777" w:rsidR="00C922CE" w:rsidRPr="00D404D8" w:rsidRDefault="00C922CE" w:rsidP="00C922CE">
      <w:pPr>
        <w:pStyle w:val="ListParagraph"/>
        <w:numPr>
          <w:ilvl w:val="0"/>
          <w:numId w:val="0"/>
        </w:numPr>
        <w:tabs>
          <w:tab w:val="clear" w:pos="1134"/>
        </w:tabs>
        <w:spacing w:line="360" w:lineRule="auto"/>
        <w:ind w:left="-11"/>
        <w:rPr>
          <w:sz w:val="24"/>
          <w:szCs w:val="24"/>
          <w:lang w:val="en-US"/>
        </w:rPr>
      </w:pPr>
      <w:r w:rsidRPr="00D404D8">
        <w:rPr>
          <w:sz w:val="24"/>
          <w:szCs w:val="24"/>
          <w:lang w:val="en-US"/>
        </w:rPr>
        <w:t xml:space="preserve">‘(a) </w:t>
      </w:r>
      <w:r w:rsidRPr="00D404D8">
        <w:rPr>
          <w:sz w:val="24"/>
          <w:szCs w:val="24"/>
          <w:lang w:val="en-US"/>
        </w:rPr>
        <w:tab/>
        <w:t xml:space="preserve">The appeal against the sentence imposed in respect of count three, attempted murder, is upheld. </w:t>
      </w:r>
    </w:p>
    <w:p w14:paraId="7CEFBA71" w14:textId="77777777" w:rsidR="00C922CE" w:rsidRPr="00D404D8" w:rsidRDefault="00C922CE" w:rsidP="00C922CE">
      <w:pPr>
        <w:pStyle w:val="ListParagraph"/>
        <w:numPr>
          <w:ilvl w:val="0"/>
          <w:numId w:val="0"/>
        </w:numPr>
        <w:tabs>
          <w:tab w:val="clear" w:pos="1134"/>
        </w:tabs>
        <w:spacing w:line="360" w:lineRule="auto"/>
        <w:ind w:left="-11"/>
        <w:rPr>
          <w:sz w:val="24"/>
          <w:szCs w:val="24"/>
          <w:lang w:val="en-US"/>
        </w:rPr>
      </w:pPr>
      <w:r w:rsidRPr="00D404D8">
        <w:rPr>
          <w:sz w:val="24"/>
          <w:szCs w:val="24"/>
          <w:lang w:val="en-US"/>
        </w:rPr>
        <w:t xml:space="preserve">(b) </w:t>
      </w:r>
      <w:r w:rsidRPr="00D404D8">
        <w:rPr>
          <w:sz w:val="24"/>
          <w:szCs w:val="24"/>
          <w:lang w:val="en-US"/>
        </w:rPr>
        <w:tab/>
        <w:t>The sentence imposed by the trial court in respect of count three, attempted murder, is set aside and replaced with the following:</w:t>
      </w:r>
    </w:p>
    <w:p w14:paraId="13D08C1F" w14:textId="77777777" w:rsidR="00C922CE" w:rsidRPr="00D404D8" w:rsidRDefault="00C922CE" w:rsidP="00C922CE">
      <w:pPr>
        <w:pStyle w:val="ListParagraph"/>
        <w:numPr>
          <w:ilvl w:val="0"/>
          <w:numId w:val="0"/>
        </w:numPr>
        <w:tabs>
          <w:tab w:val="clear" w:pos="1134"/>
        </w:tabs>
        <w:spacing w:line="360" w:lineRule="auto"/>
        <w:ind w:left="-11"/>
        <w:rPr>
          <w:sz w:val="24"/>
          <w:szCs w:val="24"/>
          <w:lang w:val="en-US"/>
        </w:rPr>
      </w:pPr>
      <w:r w:rsidRPr="00D404D8">
        <w:rPr>
          <w:sz w:val="24"/>
          <w:szCs w:val="24"/>
          <w:lang w:val="en-US"/>
        </w:rPr>
        <w:t>‘The accused is sentenced to 10 years’ imprisonment; this sentence is antedated to 15 December 2010.</w:t>
      </w:r>
      <w:r w:rsidR="00B158FA">
        <w:rPr>
          <w:sz w:val="24"/>
          <w:szCs w:val="24"/>
          <w:lang w:val="en-US"/>
        </w:rPr>
        <w:t>’</w:t>
      </w:r>
    </w:p>
    <w:p w14:paraId="429C3988" w14:textId="77777777" w:rsidR="00C922CE" w:rsidRPr="00D404D8" w:rsidRDefault="00C922CE" w:rsidP="00C922CE">
      <w:pPr>
        <w:rPr>
          <w:sz w:val="24"/>
        </w:rPr>
      </w:pPr>
    </w:p>
    <w:p w14:paraId="7E58000D" w14:textId="77777777" w:rsidR="00312DBB" w:rsidRDefault="00312DBB" w:rsidP="00CA29C6">
      <w:pPr>
        <w:rPr>
          <w:sz w:val="24"/>
        </w:rPr>
      </w:pPr>
    </w:p>
    <w:p w14:paraId="1106F746" w14:textId="77777777" w:rsidR="00B44CB4" w:rsidRDefault="00B44CB4" w:rsidP="00CA29C6">
      <w:pPr>
        <w:rPr>
          <w:sz w:val="24"/>
        </w:rPr>
      </w:pPr>
    </w:p>
    <w:p w14:paraId="5348F858" w14:textId="77777777" w:rsidR="00B44CB4" w:rsidRDefault="00B44CB4" w:rsidP="00CA29C6">
      <w:pPr>
        <w:rPr>
          <w:sz w:val="24"/>
        </w:rPr>
      </w:pPr>
    </w:p>
    <w:p w14:paraId="316C1F7C" w14:textId="77777777" w:rsidR="00B44CB4" w:rsidRDefault="00B44CB4" w:rsidP="00CA29C6">
      <w:pPr>
        <w:rPr>
          <w:sz w:val="24"/>
        </w:rPr>
      </w:pPr>
    </w:p>
    <w:p w14:paraId="1C00B7E2" w14:textId="77777777" w:rsidR="00B44CB4" w:rsidRDefault="00B44CB4" w:rsidP="00CA29C6">
      <w:pPr>
        <w:rPr>
          <w:sz w:val="24"/>
        </w:rPr>
      </w:pPr>
    </w:p>
    <w:p w14:paraId="629B18CA" w14:textId="77777777" w:rsidR="00B44CB4" w:rsidRDefault="00B44CB4" w:rsidP="00CA29C6">
      <w:pPr>
        <w:rPr>
          <w:sz w:val="24"/>
        </w:rPr>
      </w:pPr>
    </w:p>
    <w:p w14:paraId="7312E65B" w14:textId="77777777" w:rsidR="00B44CB4" w:rsidRDefault="00B44CB4" w:rsidP="00CA29C6">
      <w:pPr>
        <w:rPr>
          <w:sz w:val="24"/>
        </w:rPr>
      </w:pPr>
    </w:p>
    <w:p w14:paraId="371C1D42" w14:textId="77777777" w:rsidR="00B44CB4" w:rsidRDefault="00B44CB4" w:rsidP="00CA29C6">
      <w:pPr>
        <w:rPr>
          <w:sz w:val="24"/>
        </w:rPr>
      </w:pPr>
    </w:p>
    <w:p w14:paraId="4C9B2B8B" w14:textId="77777777" w:rsidR="00B44CB4" w:rsidRDefault="00B44CB4" w:rsidP="00CA29C6">
      <w:pPr>
        <w:rPr>
          <w:sz w:val="24"/>
        </w:rPr>
      </w:pPr>
    </w:p>
    <w:p w14:paraId="77E240AB" w14:textId="77777777" w:rsidR="00B44CB4" w:rsidRDefault="00B44CB4" w:rsidP="00CA29C6">
      <w:pPr>
        <w:rPr>
          <w:sz w:val="24"/>
        </w:rPr>
      </w:pPr>
    </w:p>
    <w:p w14:paraId="3DD7E3C5" w14:textId="77777777" w:rsidR="00B44CB4" w:rsidRDefault="00B44CB4" w:rsidP="00CA29C6">
      <w:pPr>
        <w:rPr>
          <w:sz w:val="24"/>
        </w:rPr>
      </w:pPr>
    </w:p>
    <w:p w14:paraId="1E49DBF4" w14:textId="27FD3371" w:rsidR="009123F0" w:rsidRPr="00C16315" w:rsidRDefault="009123F0" w:rsidP="00312DBB">
      <w:pPr>
        <w:spacing w:line="240" w:lineRule="auto"/>
        <w:rPr>
          <w:b/>
          <w:bCs/>
          <w:sz w:val="24"/>
        </w:rPr>
      </w:pPr>
      <w:r w:rsidRPr="00C16315">
        <w:rPr>
          <w:b/>
          <w:bCs/>
          <w:sz w:val="24"/>
        </w:rPr>
        <w:lastRenderedPageBreak/>
        <w:t>____________________________</w:t>
      </w:r>
      <w:r w:rsidR="004D2C17">
        <w:rPr>
          <w:b/>
          <w:bCs/>
          <w:sz w:val="24"/>
        </w:rPr>
        <w:t>___</w:t>
      </w:r>
      <w:r w:rsidRPr="00C16315">
        <w:rPr>
          <w:b/>
          <w:bCs/>
          <w:sz w:val="24"/>
        </w:rPr>
        <w:t>___________</w:t>
      </w:r>
      <w:r w:rsidR="00B77B45" w:rsidRPr="00C16315">
        <w:rPr>
          <w:b/>
          <w:bCs/>
          <w:sz w:val="24"/>
        </w:rPr>
        <w:t>____________________</w:t>
      </w:r>
      <w:r w:rsidR="00FB471F" w:rsidRPr="00C16315">
        <w:rPr>
          <w:b/>
          <w:bCs/>
          <w:sz w:val="24"/>
        </w:rPr>
        <w:t>___</w:t>
      </w:r>
      <w:r w:rsidR="00A714B2" w:rsidRPr="00C16315">
        <w:rPr>
          <w:b/>
          <w:bCs/>
          <w:sz w:val="24"/>
        </w:rPr>
        <w:t>__</w:t>
      </w:r>
    </w:p>
    <w:p w14:paraId="1287DBE3" w14:textId="77777777" w:rsidR="002533B8" w:rsidRPr="00C16315" w:rsidRDefault="002533B8" w:rsidP="00312DBB">
      <w:pPr>
        <w:tabs>
          <w:tab w:val="right" w:pos="8197"/>
        </w:tabs>
        <w:spacing w:line="240" w:lineRule="auto"/>
        <w:ind w:left="720" w:right="26" w:hanging="720"/>
        <w:rPr>
          <w:b/>
          <w:bCs/>
          <w:sz w:val="24"/>
        </w:rPr>
      </w:pPr>
    </w:p>
    <w:p w14:paraId="010B4871" w14:textId="77777777" w:rsidR="002533B8" w:rsidRPr="00C16315" w:rsidRDefault="002533B8" w:rsidP="00312DBB">
      <w:pPr>
        <w:tabs>
          <w:tab w:val="right" w:pos="8197"/>
        </w:tabs>
        <w:spacing w:line="240" w:lineRule="auto"/>
        <w:ind w:left="720" w:right="26" w:hanging="720"/>
        <w:jc w:val="center"/>
        <w:rPr>
          <w:b/>
          <w:bCs/>
          <w:sz w:val="24"/>
        </w:rPr>
      </w:pPr>
      <w:r w:rsidRPr="00C16315">
        <w:rPr>
          <w:b/>
          <w:bCs/>
          <w:sz w:val="24"/>
        </w:rPr>
        <w:t>JUDGMENT</w:t>
      </w:r>
    </w:p>
    <w:p w14:paraId="28E6DAA3" w14:textId="37AB4C5E" w:rsidR="009123F0" w:rsidRPr="00C16315" w:rsidRDefault="009123F0" w:rsidP="00312DBB">
      <w:pPr>
        <w:spacing w:line="240" w:lineRule="auto"/>
        <w:ind w:right="26"/>
        <w:rPr>
          <w:bCs/>
          <w:sz w:val="24"/>
        </w:rPr>
      </w:pPr>
      <w:r w:rsidRPr="00C16315">
        <w:rPr>
          <w:b/>
          <w:bCs/>
          <w:sz w:val="24"/>
        </w:rPr>
        <w:t>_______________________________</w:t>
      </w:r>
      <w:r w:rsidR="004D2C17">
        <w:rPr>
          <w:b/>
          <w:bCs/>
          <w:sz w:val="24"/>
        </w:rPr>
        <w:t>___</w:t>
      </w:r>
      <w:r w:rsidRPr="00C16315">
        <w:rPr>
          <w:b/>
          <w:bCs/>
          <w:sz w:val="24"/>
        </w:rPr>
        <w:t>________</w:t>
      </w:r>
      <w:r w:rsidR="00B77B45" w:rsidRPr="00C16315">
        <w:rPr>
          <w:b/>
          <w:bCs/>
          <w:sz w:val="24"/>
        </w:rPr>
        <w:t>____________________</w:t>
      </w:r>
      <w:r w:rsidR="00FB471F" w:rsidRPr="00C16315">
        <w:rPr>
          <w:b/>
          <w:bCs/>
          <w:sz w:val="24"/>
        </w:rPr>
        <w:t>___</w:t>
      </w:r>
      <w:r w:rsidR="00A714B2" w:rsidRPr="00C16315">
        <w:rPr>
          <w:b/>
          <w:bCs/>
          <w:sz w:val="24"/>
        </w:rPr>
        <w:t>__</w:t>
      </w:r>
    </w:p>
    <w:p w14:paraId="3B5E72E9" w14:textId="77777777" w:rsidR="00F05373" w:rsidRPr="00C16315" w:rsidRDefault="00F05373" w:rsidP="00AE7F52">
      <w:pPr>
        <w:tabs>
          <w:tab w:val="left" w:pos="-1440"/>
        </w:tabs>
        <w:spacing w:line="240" w:lineRule="auto"/>
        <w:ind w:right="-329"/>
        <w:rPr>
          <w:sz w:val="24"/>
        </w:rPr>
      </w:pPr>
    </w:p>
    <w:p w14:paraId="316B35DD" w14:textId="77777777" w:rsidR="00A7400E" w:rsidRPr="00C16315" w:rsidRDefault="001D1381" w:rsidP="00156429">
      <w:pPr>
        <w:rPr>
          <w:b/>
          <w:sz w:val="24"/>
          <w:lang w:val="en-ZA"/>
        </w:rPr>
      </w:pPr>
      <w:r w:rsidRPr="00C16315">
        <w:rPr>
          <w:b/>
          <w:sz w:val="24"/>
          <w:lang w:val="en-ZA"/>
        </w:rPr>
        <w:t>Molemela</w:t>
      </w:r>
      <w:r w:rsidR="00274675" w:rsidRPr="00C16315">
        <w:rPr>
          <w:b/>
          <w:sz w:val="24"/>
          <w:lang w:val="en-ZA"/>
        </w:rPr>
        <w:t xml:space="preserve"> </w:t>
      </w:r>
      <w:r w:rsidR="002317E0" w:rsidRPr="00C16315">
        <w:rPr>
          <w:b/>
          <w:sz w:val="24"/>
          <w:lang w:val="en-ZA"/>
        </w:rPr>
        <w:t>JA (</w:t>
      </w:r>
      <w:r w:rsidRPr="00C16315">
        <w:rPr>
          <w:b/>
          <w:sz w:val="24"/>
          <w:lang w:val="en-ZA"/>
        </w:rPr>
        <w:t>Gorven</w:t>
      </w:r>
      <w:r w:rsidR="00776E2C" w:rsidRPr="00C16315">
        <w:rPr>
          <w:b/>
          <w:sz w:val="24"/>
          <w:lang w:val="en-ZA"/>
        </w:rPr>
        <w:t xml:space="preserve"> and Hughes </w:t>
      </w:r>
      <w:r w:rsidR="005E67B9" w:rsidRPr="00C16315">
        <w:rPr>
          <w:b/>
          <w:sz w:val="24"/>
          <w:lang w:val="en-ZA"/>
        </w:rPr>
        <w:t xml:space="preserve">JJA and </w:t>
      </w:r>
      <w:r w:rsidR="00D961CD" w:rsidRPr="00C16315">
        <w:rPr>
          <w:b/>
          <w:sz w:val="24"/>
          <w:lang w:val="en-ZA"/>
        </w:rPr>
        <w:t xml:space="preserve">Tsoka </w:t>
      </w:r>
      <w:r w:rsidR="005E67B9" w:rsidRPr="00C16315">
        <w:rPr>
          <w:b/>
          <w:sz w:val="24"/>
          <w:lang w:val="en-ZA"/>
        </w:rPr>
        <w:t xml:space="preserve">and </w:t>
      </w:r>
      <w:r w:rsidR="00D961CD" w:rsidRPr="00C16315">
        <w:rPr>
          <w:b/>
          <w:sz w:val="24"/>
          <w:lang w:val="en-ZA"/>
        </w:rPr>
        <w:t xml:space="preserve">Musi </w:t>
      </w:r>
      <w:r w:rsidR="005E67B9" w:rsidRPr="00C16315">
        <w:rPr>
          <w:b/>
          <w:sz w:val="24"/>
          <w:lang w:val="en-ZA"/>
        </w:rPr>
        <w:t>AJJA</w:t>
      </w:r>
      <w:r w:rsidR="00312DBB" w:rsidRPr="00C16315">
        <w:rPr>
          <w:b/>
          <w:sz w:val="24"/>
          <w:lang w:val="en-ZA"/>
        </w:rPr>
        <w:t xml:space="preserve"> </w:t>
      </w:r>
      <w:r w:rsidR="002317E0" w:rsidRPr="00C16315">
        <w:rPr>
          <w:b/>
          <w:sz w:val="24"/>
          <w:lang w:val="en-ZA"/>
        </w:rPr>
        <w:t>concurring)</w:t>
      </w:r>
    </w:p>
    <w:p w14:paraId="78FE3FF1" w14:textId="77777777" w:rsidR="00156429" w:rsidRPr="00C16315" w:rsidRDefault="00156429" w:rsidP="00EC037B">
      <w:pPr>
        <w:spacing w:before="240"/>
        <w:rPr>
          <w:b/>
          <w:sz w:val="24"/>
          <w:lang w:val="en-ZA"/>
        </w:rPr>
      </w:pPr>
    </w:p>
    <w:p w14:paraId="4CE7E687" w14:textId="77777777" w:rsidR="00C639F7" w:rsidRDefault="00387A6D" w:rsidP="00C639F7">
      <w:pPr>
        <w:rPr>
          <w:sz w:val="24"/>
          <w:lang w:val="en-ZA"/>
        </w:rPr>
      </w:pPr>
      <w:r w:rsidRPr="00C16315">
        <w:rPr>
          <w:sz w:val="24"/>
          <w:lang w:val="en-ZA"/>
        </w:rPr>
        <w:t>[1]</w:t>
      </w:r>
      <w:r w:rsidRPr="00C16315">
        <w:rPr>
          <w:sz w:val="24"/>
          <w:lang w:val="en-ZA"/>
        </w:rPr>
        <w:tab/>
        <w:t xml:space="preserve">Mr </w:t>
      </w:r>
      <w:r w:rsidR="00923AED" w:rsidRPr="00C16315">
        <w:rPr>
          <w:sz w:val="24"/>
          <w:lang w:val="en-ZA"/>
        </w:rPr>
        <w:t xml:space="preserve">Thembinkosi Mekuto </w:t>
      </w:r>
      <w:r w:rsidR="00AE5D4A" w:rsidRPr="00C16315">
        <w:rPr>
          <w:sz w:val="24"/>
          <w:lang w:val="en-ZA"/>
        </w:rPr>
        <w:t xml:space="preserve">(the applicant) </w:t>
      </w:r>
      <w:r w:rsidR="00923AED" w:rsidRPr="00C16315">
        <w:rPr>
          <w:sz w:val="24"/>
          <w:lang w:val="en-ZA"/>
        </w:rPr>
        <w:t xml:space="preserve">and four other persons were arraigned </w:t>
      </w:r>
      <w:r w:rsidRPr="00C16315">
        <w:rPr>
          <w:sz w:val="24"/>
          <w:lang w:val="en-ZA"/>
        </w:rPr>
        <w:t>in the Western Cape Division of the High Court, Cape Town</w:t>
      </w:r>
      <w:r w:rsidR="00417EFE" w:rsidRPr="00C16315">
        <w:rPr>
          <w:sz w:val="24"/>
          <w:lang w:val="en-ZA"/>
        </w:rPr>
        <w:t xml:space="preserve"> (the trial court)</w:t>
      </w:r>
      <w:r w:rsidR="00C639F7">
        <w:rPr>
          <w:sz w:val="24"/>
          <w:lang w:val="en-ZA"/>
        </w:rPr>
        <w:t xml:space="preserve">. </w:t>
      </w:r>
      <w:r w:rsidR="005F3C3C">
        <w:rPr>
          <w:sz w:val="24"/>
          <w:lang w:val="en-ZA"/>
        </w:rPr>
        <w:t xml:space="preserve">The applicant was </w:t>
      </w:r>
      <w:r w:rsidR="00946A20">
        <w:rPr>
          <w:sz w:val="24"/>
          <w:lang w:val="en-ZA"/>
        </w:rPr>
        <w:t xml:space="preserve">accused no 2 in the trial court. </w:t>
      </w:r>
      <w:r w:rsidR="00C639F7" w:rsidRPr="00C16315">
        <w:rPr>
          <w:sz w:val="24"/>
          <w:lang w:val="en-ZA"/>
        </w:rPr>
        <w:t xml:space="preserve">The facts that led to the applicant’s conviction by the trial court </w:t>
      </w:r>
      <w:r w:rsidR="00C639F7">
        <w:rPr>
          <w:sz w:val="24"/>
          <w:lang w:val="en-ZA"/>
        </w:rPr>
        <w:t>are undisputed.</w:t>
      </w:r>
      <w:r w:rsidR="00C639F7" w:rsidRPr="00C16315">
        <w:rPr>
          <w:sz w:val="24"/>
          <w:lang w:val="en-ZA"/>
        </w:rPr>
        <w:t xml:space="preserve"> On </w:t>
      </w:r>
      <w:r w:rsidR="00C639F7">
        <w:rPr>
          <w:sz w:val="24"/>
          <w:lang w:val="en-ZA"/>
        </w:rPr>
        <w:t xml:space="preserve">the morning of </w:t>
      </w:r>
      <w:r w:rsidR="00C639F7" w:rsidRPr="00C16315">
        <w:rPr>
          <w:sz w:val="24"/>
          <w:lang w:val="en-ZA"/>
        </w:rPr>
        <w:t xml:space="preserve">18 December 2007, two security officers deployed to </w:t>
      </w:r>
      <w:r w:rsidR="00C639F7">
        <w:rPr>
          <w:sz w:val="24"/>
          <w:lang w:val="en-ZA"/>
        </w:rPr>
        <w:t xml:space="preserve">transport money </w:t>
      </w:r>
      <w:r w:rsidR="00354751">
        <w:rPr>
          <w:sz w:val="24"/>
          <w:lang w:val="en-ZA"/>
        </w:rPr>
        <w:t>from</w:t>
      </w:r>
      <w:r w:rsidR="00C639F7" w:rsidRPr="00C16315">
        <w:rPr>
          <w:sz w:val="24"/>
          <w:lang w:val="en-ZA"/>
        </w:rPr>
        <w:t xml:space="preserve"> Pick n Pay Supermarket to Absa Bank in </w:t>
      </w:r>
      <w:r w:rsidR="00C639F7">
        <w:rPr>
          <w:sz w:val="24"/>
          <w:lang w:val="en-ZA"/>
        </w:rPr>
        <w:t xml:space="preserve">Hermanus </w:t>
      </w:r>
      <w:r w:rsidR="00C639F7" w:rsidRPr="00C16315">
        <w:rPr>
          <w:sz w:val="24"/>
          <w:lang w:val="en-ZA"/>
        </w:rPr>
        <w:t xml:space="preserve">came under fire from a group of </w:t>
      </w:r>
      <w:r w:rsidR="00C639F7">
        <w:rPr>
          <w:sz w:val="24"/>
          <w:lang w:val="en-ZA"/>
        </w:rPr>
        <w:t xml:space="preserve">armed </w:t>
      </w:r>
      <w:r w:rsidR="00C639F7" w:rsidRPr="00C16315">
        <w:rPr>
          <w:sz w:val="24"/>
          <w:lang w:val="en-ZA"/>
        </w:rPr>
        <w:t xml:space="preserve">robbers. The robbers ordered them to drop the money bags on the floor. </w:t>
      </w:r>
      <w:r w:rsidR="00C639F7">
        <w:rPr>
          <w:sz w:val="24"/>
          <w:lang w:val="en-ZA"/>
        </w:rPr>
        <w:t xml:space="preserve">The security guards duly dropped the money bags. Despite complying with the orders of the robbers, the robbers shot at the security guards at </w:t>
      </w:r>
      <w:r w:rsidR="00C639F7" w:rsidRPr="00C16315">
        <w:rPr>
          <w:sz w:val="24"/>
          <w:lang w:val="en-ZA"/>
        </w:rPr>
        <w:t>close range</w:t>
      </w:r>
      <w:r w:rsidR="00C639F7">
        <w:rPr>
          <w:sz w:val="24"/>
          <w:lang w:val="en-ZA"/>
        </w:rPr>
        <w:t>. One</w:t>
      </w:r>
      <w:r w:rsidR="00C639F7" w:rsidRPr="00C16315">
        <w:rPr>
          <w:sz w:val="24"/>
          <w:lang w:val="en-ZA"/>
        </w:rPr>
        <w:t xml:space="preserve"> of the security officers, Mr Norawuzana (the deceased), </w:t>
      </w:r>
      <w:r w:rsidR="00C639F7">
        <w:rPr>
          <w:sz w:val="24"/>
          <w:lang w:val="en-ZA"/>
        </w:rPr>
        <w:t xml:space="preserve">was fatally injured. He died on the scene. The </w:t>
      </w:r>
      <w:r w:rsidR="00C639F7" w:rsidRPr="00C16315">
        <w:rPr>
          <w:sz w:val="24"/>
          <w:lang w:val="en-ZA"/>
        </w:rPr>
        <w:t>other</w:t>
      </w:r>
      <w:r w:rsidR="00C639F7">
        <w:rPr>
          <w:sz w:val="24"/>
          <w:lang w:val="en-ZA"/>
        </w:rPr>
        <w:t xml:space="preserve"> </w:t>
      </w:r>
      <w:r w:rsidR="006D1065">
        <w:rPr>
          <w:sz w:val="24"/>
          <w:lang w:val="en-ZA"/>
        </w:rPr>
        <w:t xml:space="preserve">security </w:t>
      </w:r>
      <w:r w:rsidR="00C639F7">
        <w:rPr>
          <w:sz w:val="24"/>
          <w:lang w:val="en-ZA"/>
        </w:rPr>
        <w:t>guard</w:t>
      </w:r>
      <w:r w:rsidR="00C639F7" w:rsidRPr="00C16315">
        <w:rPr>
          <w:sz w:val="24"/>
          <w:lang w:val="en-ZA"/>
        </w:rPr>
        <w:t>, Mr Mab</w:t>
      </w:r>
      <w:r w:rsidR="007F0AAA">
        <w:rPr>
          <w:sz w:val="24"/>
          <w:lang w:val="en-ZA"/>
        </w:rPr>
        <w:t>h</w:t>
      </w:r>
      <w:r w:rsidR="00C639F7" w:rsidRPr="00C16315">
        <w:rPr>
          <w:sz w:val="24"/>
          <w:lang w:val="en-ZA"/>
        </w:rPr>
        <w:t xml:space="preserve">ikwana, was </w:t>
      </w:r>
      <w:r w:rsidR="00C639F7">
        <w:rPr>
          <w:sz w:val="24"/>
          <w:lang w:val="en-ZA"/>
        </w:rPr>
        <w:t xml:space="preserve">apparently </w:t>
      </w:r>
      <w:r w:rsidR="00C639F7" w:rsidRPr="00C16315">
        <w:rPr>
          <w:sz w:val="24"/>
          <w:lang w:val="en-ZA"/>
        </w:rPr>
        <w:t xml:space="preserve">saved by the metal </w:t>
      </w:r>
      <w:r w:rsidR="00242BF4">
        <w:rPr>
          <w:sz w:val="24"/>
          <w:lang w:val="en-ZA"/>
        </w:rPr>
        <w:t>plate</w:t>
      </w:r>
      <w:r w:rsidR="00C639F7" w:rsidRPr="00C16315">
        <w:rPr>
          <w:sz w:val="24"/>
          <w:lang w:val="en-ZA"/>
        </w:rPr>
        <w:t xml:space="preserve"> of his bulletproof vest. This enabled him to run away and seek cover in one of the shops. </w:t>
      </w:r>
    </w:p>
    <w:p w14:paraId="7783AB1F" w14:textId="77777777" w:rsidR="00354751" w:rsidRPr="00C16315" w:rsidRDefault="00354751" w:rsidP="00C639F7">
      <w:pPr>
        <w:rPr>
          <w:sz w:val="24"/>
          <w:lang w:val="en-ZA"/>
        </w:rPr>
      </w:pPr>
    </w:p>
    <w:p w14:paraId="1148BB8D" w14:textId="77777777" w:rsidR="00387A6D" w:rsidRDefault="00C639F7" w:rsidP="00264892">
      <w:pPr>
        <w:rPr>
          <w:sz w:val="24"/>
          <w:lang w:val="en-ZA"/>
        </w:rPr>
      </w:pPr>
      <w:r w:rsidRPr="00C16315">
        <w:rPr>
          <w:sz w:val="24"/>
          <w:lang w:val="en-ZA"/>
        </w:rPr>
        <w:t>[</w:t>
      </w:r>
      <w:r w:rsidR="00A94B61">
        <w:rPr>
          <w:sz w:val="24"/>
          <w:lang w:val="en-ZA"/>
        </w:rPr>
        <w:t>2</w:t>
      </w:r>
      <w:r w:rsidRPr="00C16315">
        <w:rPr>
          <w:sz w:val="24"/>
          <w:lang w:val="en-ZA"/>
        </w:rPr>
        <w:t>]</w:t>
      </w:r>
      <w:r w:rsidRPr="00C16315">
        <w:rPr>
          <w:sz w:val="24"/>
          <w:lang w:val="en-ZA"/>
        </w:rPr>
        <w:tab/>
      </w:r>
      <w:r>
        <w:rPr>
          <w:sz w:val="24"/>
          <w:lang w:val="en-ZA"/>
        </w:rPr>
        <w:t>T</w:t>
      </w:r>
      <w:r w:rsidRPr="00C16315">
        <w:rPr>
          <w:sz w:val="24"/>
          <w:lang w:val="en-ZA"/>
        </w:rPr>
        <w:t xml:space="preserve">he robbers took the money bags and drove off in a getaway motor vehicle. </w:t>
      </w:r>
      <w:r>
        <w:rPr>
          <w:sz w:val="24"/>
          <w:lang w:val="en-ZA"/>
        </w:rPr>
        <w:t>T</w:t>
      </w:r>
      <w:r w:rsidRPr="00C16315">
        <w:rPr>
          <w:sz w:val="24"/>
          <w:lang w:val="en-ZA"/>
        </w:rPr>
        <w:t xml:space="preserve">heir motor vehicle collided with a </w:t>
      </w:r>
      <w:r>
        <w:rPr>
          <w:sz w:val="24"/>
          <w:lang w:val="en-ZA"/>
        </w:rPr>
        <w:t>kerb</w:t>
      </w:r>
      <w:r w:rsidRPr="00C16315">
        <w:rPr>
          <w:sz w:val="24"/>
          <w:lang w:val="en-ZA"/>
        </w:rPr>
        <w:t xml:space="preserve"> a few kilometres from the crime scene. The motor vehicle was abandoned by the robbers, who fled on foot in different directions. As they fled from the crashed motor vehicle, they were spotted and pursued by civilians who kept them in sight </w:t>
      </w:r>
      <w:r w:rsidR="00242BF4">
        <w:rPr>
          <w:sz w:val="24"/>
          <w:lang w:val="en-ZA"/>
        </w:rPr>
        <w:t xml:space="preserve">and communicated their movements to the police. </w:t>
      </w:r>
      <w:r>
        <w:rPr>
          <w:sz w:val="24"/>
          <w:lang w:val="en-ZA"/>
        </w:rPr>
        <w:t xml:space="preserve">Four of the </w:t>
      </w:r>
      <w:r w:rsidRPr="00C16315">
        <w:rPr>
          <w:sz w:val="24"/>
          <w:lang w:val="en-ZA"/>
        </w:rPr>
        <w:t>robbers</w:t>
      </w:r>
      <w:r w:rsidR="00EB7AF6">
        <w:rPr>
          <w:sz w:val="24"/>
          <w:lang w:val="en-ZA"/>
        </w:rPr>
        <w:t>, including the applicant,</w:t>
      </w:r>
      <w:r w:rsidRPr="00C16315">
        <w:rPr>
          <w:sz w:val="24"/>
          <w:lang w:val="en-ZA"/>
        </w:rPr>
        <w:t xml:space="preserve"> were arrested in the immediate vicinity of the abandoned motor vehicle. The bags containing the money </w:t>
      </w:r>
      <w:r>
        <w:rPr>
          <w:sz w:val="24"/>
          <w:lang w:val="en-ZA"/>
        </w:rPr>
        <w:t xml:space="preserve">and the firearms </w:t>
      </w:r>
      <w:r w:rsidRPr="00C16315">
        <w:rPr>
          <w:sz w:val="24"/>
          <w:lang w:val="en-ZA"/>
        </w:rPr>
        <w:t xml:space="preserve">were recovered. </w:t>
      </w:r>
      <w:r>
        <w:rPr>
          <w:sz w:val="24"/>
          <w:lang w:val="en-ZA"/>
        </w:rPr>
        <w:t xml:space="preserve">Another suspect subsequently handed himself over to the police. All five </w:t>
      </w:r>
      <w:r w:rsidR="00E73B92">
        <w:rPr>
          <w:sz w:val="24"/>
          <w:lang w:val="en-ZA"/>
        </w:rPr>
        <w:t xml:space="preserve">suspects </w:t>
      </w:r>
      <w:r>
        <w:rPr>
          <w:sz w:val="24"/>
          <w:lang w:val="en-ZA"/>
        </w:rPr>
        <w:t xml:space="preserve">were charged with </w:t>
      </w:r>
      <w:r w:rsidR="00387A6D" w:rsidRPr="00C16315">
        <w:rPr>
          <w:sz w:val="24"/>
          <w:lang w:val="en-ZA"/>
        </w:rPr>
        <w:t>robbery with aggravating circumstances (count one), murder (count two), attempted murder (count three), possession of unlicensed firearms (count four) and illegal possession of ammunition (count five</w:t>
      </w:r>
      <w:r w:rsidR="00473224">
        <w:rPr>
          <w:sz w:val="24"/>
          <w:lang w:val="en-ZA"/>
        </w:rPr>
        <w:t>).</w:t>
      </w:r>
      <w:r w:rsidR="00264892">
        <w:rPr>
          <w:sz w:val="24"/>
          <w:lang w:val="en-ZA"/>
        </w:rPr>
        <w:t xml:space="preserve"> Two of them were also charged with car theft. The applicant was not indicted on that charge.</w:t>
      </w:r>
      <w:r w:rsidR="00090E23">
        <w:rPr>
          <w:sz w:val="24"/>
          <w:lang w:val="en-ZA"/>
        </w:rPr>
        <w:t xml:space="preserve"> All the accused persons were legally represented.</w:t>
      </w:r>
    </w:p>
    <w:p w14:paraId="2E4FCA4B" w14:textId="77777777" w:rsidR="00320BFF" w:rsidRPr="00C16315" w:rsidRDefault="00320BFF" w:rsidP="00264892">
      <w:pPr>
        <w:rPr>
          <w:sz w:val="24"/>
          <w:lang w:val="en-ZA"/>
        </w:rPr>
      </w:pPr>
    </w:p>
    <w:p w14:paraId="46107052" w14:textId="45F33988" w:rsidR="006E3CBF" w:rsidRDefault="006E3CBF" w:rsidP="00CA29C6">
      <w:pPr>
        <w:rPr>
          <w:sz w:val="24"/>
          <w:lang w:val="en-ZA"/>
        </w:rPr>
      </w:pPr>
      <w:r w:rsidRPr="00C16315">
        <w:rPr>
          <w:sz w:val="24"/>
          <w:lang w:val="en-ZA"/>
        </w:rPr>
        <w:lastRenderedPageBreak/>
        <w:t>[</w:t>
      </w:r>
      <w:r w:rsidR="00D81419">
        <w:rPr>
          <w:sz w:val="24"/>
          <w:lang w:val="en-ZA"/>
        </w:rPr>
        <w:t>3</w:t>
      </w:r>
      <w:r w:rsidRPr="00C16315">
        <w:rPr>
          <w:sz w:val="24"/>
          <w:lang w:val="en-ZA"/>
        </w:rPr>
        <w:t>]</w:t>
      </w:r>
      <w:r w:rsidRPr="00C16315">
        <w:rPr>
          <w:sz w:val="24"/>
          <w:lang w:val="en-ZA"/>
        </w:rPr>
        <w:tab/>
      </w:r>
      <w:r w:rsidR="00AE5D4A" w:rsidRPr="00C16315">
        <w:rPr>
          <w:sz w:val="24"/>
          <w:lang w:val="en-ZA"/>
        </w:rPr>
        <w:t xml:space="preserve">The applicant and his co-accused </w:t>
      </w:r>
      <w:r w:rsidR="00B4145B" w:rsidRPr="00C16315">
        <w:rPr>
          <w:sz w:val="24"/>
          <w:lang w:val="en-ZA"/>
        </w:rPr>
        <w:t xml:space="preserve">were </w:t>
      </w:r>
      <w:r w:rsidR="00AE5D4A" w:rsidRPr="00C16315">
        <w:rPr>
          <w:sz w:val="24"/>
          <w:lang w:val="en-ZA"/>
        </w:rPr>
        <w:t xml:space="preserve">all </w:t>
      </w:r>
      <w:r w:rsidR="00B4145B" w:rsidRPr="00C16315">
        <w:rPr>
          <w:sz w:val="24"/>
          <w:lang w:val="en-ZA"/>
        </w:rPr>
        <w:t xml:space="preserve">convicted as charged. </w:t>
      </w:r>
      <w:r w:rsidRPr="00C16315">
        <w:rPr>
          <w:sz w:val="24"/>
          <w:lang w:val="en-ZA"/>
        </w:rPr>
        <w:t xml:space="preserve">The trial court found no substantial and compelling circumstances that warranted a deviation from the minimum sentences prescribed in terms of the </w:t>
      </w:r>
      <w:r w:rsidR="00E0487F" w:rsidRPr="000C4B6A">
        <w:rPr>
          <w:sz w:val="24"/>
        </w:rPr>
        <w:t>Criminal Law Amendment Act 105 of 1997</w:t>
      </w:r>
      <w:r w:rsidR="00E0487F">
        <w:rPr>
          <w:sz w:val="24"/>
        </w:rPr>
        <w:t xml:space="preserve"> (</w:t>
      </w:r>
      <w:r w:rsidRPr="00C16315">
        <w:rPr>
          <w:sz w:val="24"/>
          <w:lang w:val="en-ZA"/>
        </w:rPr>
        <w:t>CLAA</w:t>
      </w:r>
      <w:r w:rsidR="00E0487F">
        <w:rPr>
          <w:sz w:val="24"/>
          <w:lang w:val="en-ZA"/>
        </w:rPr>
        <w:t>)</w:t>
      </w:r>
      <w:r w:rsidRPr="00C16315">
        <w:rPr>
          <w:sz w:val="24"/>
          <w:lang w:val="en-ZA"/>
        </w:rPr>
        <w:t xml:space="preserve"> in respect of counts one, two and four. </w:t>
      </w:r>
      <w:r w:rsidR="00FB442B" w:rsidRPr="00C16315">
        <w:rPr>
          <w:sz w:val="24"/>
          <w:lang w:val="en-ZA"/>
        </w:rPr>
        <w:t xml:space="preserve">It accordingly </w:t>
      </w:r>
      <w:r w:rsidRPr="00C16315">
        <w:rPr>
          <w:sz w:val="24"/>
          <w:lang w:val="en-ZA"/>
        </w:rPr>
        <w:t xml:space="preserve">sentenced </w:t>
      </w:r>
      <w:r w:rsidR="00FB442B" w:rsidRPr="00C16315">
        <w:rPr>
          <w:sz w:val="24"/>
          <w:lang w:val="en-ZA"/>
        </w:rPr>
        <w:t xml:space="preserve">all the accused persons </w:t>
      </w:r>
      <w:r w:rsidRPr="00C16315">
        <w:rPr>
          <w:sz w:val="24"/>
          <w:lang w:val="en-ZA"/>
        </w:rPr>
        <w:t xml:space="preserve">to 15 years’ imprisonment in respect of </w:t>
      </w:r>
      <w:r w:rsidR="008D2FCB" w:rsidRPr="00C16315">
        <w:rPr>
          <w:sz w:val="24"/>
          <w:lang w:val="en-ZA"/>
        </w:rPr>
        <w:t>robbery with aggravating circumstances</w:t>
      </w:r>
      <w:r w:rsidRPr="00C16315">
        <w:rPr>
          <w:sz w:val="24"/>
          <w:lang w:val="en-ZA"/>
        </w:rPr>
        <w:t xml:space="preserve">, life imprisonment in respect of </w:t>
      </w:r>
      <w:r w:rsidR="009A0A9C" w:rsidRPr="00C16315">
        <w:rPr>
          <w:sz w:val="24"/>
          <w:lang w:val="en-ZA"/>
        </w:rPr>
        <w:t xml:space="preserve">the </w:t>
      </w:r>
      <w:r w:rsidR="008D2FCB" w:rsidRPr="00C16315">
        <w:rPr>
          <w:sz w:val="24"/>
          <w:lang w:val="en-ZA"/>
        </w:rPr>
        <w:t>murder</w:t>
      </w:r>
      <w:r w:rsidR="009A0A9C" w:rsidRPr="00C16315">
        <w:rPr>
          <w:sz w:val="24"/>
          <w:lang w:val="en-ZA"/>
        </w:rPr>
        <w:t xml:space="preserve"> charge</w:t>
      </w:r>
      <w:r w:rsidR="008D2FCB" w:rsidRPr="00C16315">
        <w:rPr>
          <w:sz w:val="24"/>
          <w:lang w:val="en-ZA"/>
        </w:rPr>
        <w:t>,</w:t>
      </w:r>
      <w:r w:rsidRPr="00C16315">
        <w:rPr>
          <w:sz w:val="24"/>
          <w:lang w:val="en-ZA"/>
        </w:rPr>
        <w:t xml:space="preserve"> </w:t>
      </w:r>
      <w:r w:rsidRPr="00C16315">
        <w:rPr>
          <w:sz w:val="24"/>
          <w:lang w:val="en-US"/>
        </w:rPr>
        <w:t>and</w:t>
      </w:r>
      <w:r w:rsidRPr="00C16315">
        <w:rPr>
          <w:sz w:val="24"/>
          <w:lang w:val="en-ZA"/>
        </w:rPr>
        <w:t xml:space="preserve"> 15 years’ imprisonment on </w:t>
      </w:r>
      <w:r w:rsidR="001A1233" w:rsidRPr="00C16315">
        <w:rPr>
          <w:sz w:val="24"/>
          <w:lang w:val="en-ZA"/>
        </w:rPr>
        <w:t>the count</w:t>
      </w:r>
      <w:r w:rsidR="009A0A9C" w:rsidRPr="00C16315">
        <w:rPr>
          <w:sz w:val="24"/>
          <w:lang w:val="en-ZA"/>
        </w:rPr>
        <w:t xml:space="preserve">s relating to the unlawful possession of </w:t>
      </w:r>
      <w:r w:rsidR="006368AB" w:rsidRPr="00C16315">
        <w:rPr>
          <w:sz w:val="24"/>
          <w:lang w:val="en-ZA"/>
        </w:rPr>
        <w:t>firearms and ammunition, w</w:t>
      </w:r>
      <w:r w:rsidRPr="00C16315">
        <w:rPr>
          <w:sz w:val="24"/>
          <w:lang w:val="en-ZA"/>
        </w:rPr>
        <w:t xml:space="preserve">hich were taken together for purposes of sentence. </w:t>
      </w:r>
      <w:r w:rsidR="003744CB" w:rsidRPr="00C16315">
        <w:rPr>
          <w:sz w:val="24"/>
          <w:lang w:val="en-ZA"/>
        </w:rPr>
        <w:t>A sentence of 15 years’ imprisonment was imposed in</w:t>
      </w:r>
      <w:r w:rsidRPr="00C16315">
        <w:rPr>
          <w:sz w:val="24"/>
          <w:lang w:val="en-ZA"/>
        </w:rPr>
        <w:t xml:space="preserve"> respect of the attempted murder </w:t>
      </w:r>
      <w:r w:rsidR="006368AB" w:rsidRPr="00C16315">
        <w:rPr>
          <w:sz w:val="24"/>
          <w:lang w:val="en-ZA"/>
        </w:rPr>
        <w:t>charge</w:t>
      </w:r>
      <w:r w:rsidR="003744CB" w:rsidRPr="00C16315">
        <w:rPr>
          <w:sz w:val="24"/>
          <w:lang w:val="en-ZA"/>
        </w:rPr>
        <w:t xml:space="preserve">. </w:t>
      </w:r>
      <w:r w:rsidRPr="00C16315">
        <w:rPr>
          <w:sz w:val="24"/>
          <w:lang w:val="en-ZA"/>
        </w:rPr>
        <w:t xml:space="preserve"> </w:t>
      </w:r>
    </w:p>
    <w:p w14:paraId="7FB1C1CB" w14:textId="77777777" w:rsidR="00320BFF" w:rsidRPr="00C16315" w:rsidRDefault="00320BFF" w:rsidP="00CA29C6">
      <w:pPr>
        <w:rPr>
          <w:sz w:val="24"/>
          <w:lang w:val="en-ZA"/>
        </w:rPr>
      </w:pPr>
    </w:p>
    <w:p w14:paraId="616477F0" w14:textId="77777777" w:rsidR="007A0AE9" w:rsidRDefault="00D302E7" w:rsidP="00CA29C6">
      <w:pPr>
        <w:rPr>
          <w:sz w:val="24"/>
          <w:lang w:val="en-ZA"/>
        </w:rPr>
      </w:pPr>
      <w:r w:rsidRPr="00C16315">
        <w:rPr>
          <w:sz w:val="24"/>
          <w:lang w:val="en-ZA"/>
        </w:rPr>
        <w:t>[</w:t>
      </w:r>
      <w:r w:rsidR="00D81419">
        <w:rPr>
          <w:sz w:val="24"/>
          <w:lang w:val="en-ZA"/>
        </w:rPr>
        <w:t>4</w:t>
      </w:r>
      <w:r w:rsidRPr="00C16315">
        <w:rPr>
          <w:sz w:val="24"/>
          <w:lang w:val="en-ZA"/>
        </w:rPr>
        <w:t>]</w:t>
      </w:r>
      <w:r w:rsidRPr="00C16315">
        <w:rPr>
          <w:sz w:val="24"/>
          <w:lang w:val="en-ZA"/>
        </w:rPr>
        <w:tab/>
        <w:t>Aggrieved by this result, the app</w:t>
      </w:r>
      <w:r w:rsidR="00417C95" w:rsidRPr="00C16315">
        <w:rPr>
          <w:sz w:val="24"/>
          <w:lang w:val="en-ZA"/>
        </w:rPr>
        <w:t xml:space="preserve">licant </w:t>
      </w:r>
      <w:r w:rsidR="00753366">
        <w:rPr>
          <w:sz w:val="24"/>
          <w:lang w:val="en-ZA"/>
        </w:rPr>
        <w:t xml:space="preserve">and his co-accused </w:t>
      </w:r>
      <w:r w:rsidRPr="00C16315">
        <w:rPr>
          <w:sz w:val="24"/>
          <w:lang w:val="en-ZA"/>
        </w:rPr>
        <w:t xml:space="preserve">applied for leave to appeal against </w:t>
      </w:r>
      <w:r w:rsidR="00D005F3">
        <w:rPr>
          <w:sz w:val="24"/>
          <w:lang w:val="en-ZA"/>
        </w:rPr>
        <w:t xml:space="preserve">all of his </w:t>
      </w:r>
      <w:r w:rsidRPr="00C16315">
        <w:rPr>
          <w:sz w:val="24"/>
          <w:lang w:val="en-ZA"/>
        </w:rPr>
        <w:t xml:space="preserve">convictions and sentences to the full court. The trial court granted </w:t>
      </w:r>
      <w:r w:rsidR="001F1B5A">
        <w:rPr>
          <w:sz w:val="24"/>
          <w:lang w:val="en-ZA"/>
        </w:rPr>
        <w:t>the erstwhile accused no 1</w:t>
      </w:r>
      <w:r w:rsidR="00E71C94">
        <w:rPr>
          <w:sz w:val="24"/>
          <w:lang w:val="en-ZA"/>
        </w:rPr>
        <w:t xml:space="preserve"> (first appellant)</w:t>
      </w:r>
      <w:r w:rsidR="00F26B6A">
        <w:rPr>
          <w:sz w:val="24"/>
          <w:lang w:val="en-ZA"/>
        </w:rPr>
        <w:t xml:space="preserve"> leave to appeal against convictions and sentences</w:t>
      </w:r>
      <w:r w:rsidR="00654FFF">
        <w:rPr>
          <w:sz w:val="24"/>
          <w:lang w:val="en-ZA"/>
        </w:rPr>
        <w:t>, while t</w:t>
      </w:r>
      <w:r w:rsidR="006C46A2">
        <w:rPr>
          <w:sz w:val="24"/>
          <w:lang w:val="en-ZA"/>
        </w:rPr>
        <w:t xml:space="preserve">he applicant and </w:t>
      </w:r>
      <w:r w:rsidR="00A61C34">
        <w:rPr>
          <w:sz w:val="24"/>
          <w:lang w:val="en-ZA"/>
        </w:rPr>
        <w:t>his other co-accused</w:t>
      </w:r>
      <w:r w:rsidR="001F1B5A">
        <w:rPr>
          <w:sz w:val="24"/>
          <w:lang w:val="en-ZA"/>
        </w:rPr>
        <w:t xml:space="preserve"> </w:t>
      </w:r>
      <w:r w:rsidR="00A61C34">
        <w:rPr>
          <w:sz w:val="24"/>
          <w:lang w:val="en-ZA"/>
        </w:rPr>
        <w:t xml:space="preserve">persons were granted </w:t>
      </w:r>
      <w:r w:rsidR="006C46A2">
        <w:rPr>
          <w:sz w:val="24"/>
          <w:lang w:val="en-ZA"/>
        </w:rPr>
        <w:t>leave to appeal against sentence</w:t>
      </w:r>
      <w:r w:rsidR="00A61C34">
        <w:rPr>
          <w:sz w:val="24"/>
          <w:lang w:val="en-ZA"/>
        </w:rPr>
        <w:t xml:space="preserve">s only. </w:t>
      </w:r>
      <w:r w:rsidR="00E71C94">
        <w:rPr>
          <w:sz w:val="24"/>
          <w:lang w:val="en-ZA"/>
        </w:rPr>
        <w:t xml:space="preserve">The first appellant’s appeal was upheld and the convictions and sentences were set aside. </w:t>
      </w:r>
      <w:r w:rsidR="00B44B0F">
        <w:rPr>
          <w:sz w:val="24"/>
          <w:lang w:val="en-ZA"/>
        </w:rPr>
        <w:t xml:space="preserve">The appeals of the applicant and the other co-accused </w:t>
      </w:r>
      <w:r w:rsidR="00F26B6A">
        <w:rPr>
          <w:sz w:val="24"/>
          <w:lang w:val="en-ZA"/>
        </w:rPr>
        <w:t xml:space="preserve">persons were </w:t>
      </w:r>
      <w:r w:rsidR="00694EFC">
        <w:rPr>
          <w:sz w:val="24"/>
          <w:lang w:val="en-ZA"/>
        </w:rPr>
        <w:t>unsucces</w:t>
      </w:r>
      <w:r w:rsidR="002B158B">
        <w:rPr>
          <w:sz w:val="24"/>
          <w:lang w:val="en-ZA"/>
        </w:rPr>
        <w:t>s</w:t>
      </w:r>
      <w:r w:rsidR="00694EFC">
        <w:rPr>
          <w:sz w:val="24"/>
          <w:lang w:val="en-ZA"/>
        </w:rPr>
        <w:t>ful</w:t>
      </w:r>
      <w:r w:rsidR="007A0AE9">
        <w:rPr>
          <w:sz w:val="24"/>
          <w:lang w:val="en-ZA"/>
        </w:rPr>
        <w:t>.</w:t>
      </w:r>
      <w:r w:rsidR="009F72C4" w:rsidRPr="00C16315">
        <w:rPr>
          <w:sz w:val="24"/>
          <w:lang w:val="en-ZA"/>
        </w:rPr>
        <w:t xml:space="preserve"> </w:t>
      </w:r>
      <w:r w:rsidR="00DF584F">
        <w:rPr>
          <w:sz w:val="24"/>
          <w:lang w:val="en-ZA"/>
        </w:rPr>
        <w:t>The applicant then applied to this Court for special leave to appeal</w:t>
      </w:r>
      <w:r w:rsidR="00D43581">
        <w:rPr>
          <w:sz w:val="24"/>
          <w:lang w:val="en-ZA"/>
        </w:rPr>
        <w:t xml:space="preserve"> and also applied for the late filing of his application to be condoned. </w:t>
      </w:r>
      <w:r w:rsidR="009D0BB2">
        <w:rPr>
          <w:sz w:val="24"/>
          <w:lang w:val="en-ZA"/>
        </w:rPr>
        <w:t>Although this Court granted him condonation, his ap</w:t>
      </w:r>
      <w:r w:rsidR="00D43581">
        <w:rPr>
          <w:sz w:val="24"/>
          <w:lang w:val="en-ZA"/>
        </w:rPr>
        <w:t xml:space="preserve">plication for leave to appeal was </w:t>
      </w:r>
      <w:r w:rsidR="00802ADE" w:rsidRPr="00C16315">
        <w:rPr>
          <w:sz w:val="24"/>
          <w:lang w:val="en-ZA"/>
        </w:rPr>
        <w:t>dismissed on 12 November 2020</w:t>
      </w:r>
      <w:r w:rsidR="009F72C4" w:rsidRPr="00C16315">
        <w:rPr>
          <w:sz w:val="24"/>
          <w:lang w:val="en-ZA"/>
        </w:rPr>
        <w:t xml:space="preserve">. </w:t>
      </w:r>
    </w:p>
    <w:p w14:paraId="665A214E" w14:textId="77777777" w:rsidR="007277CA" w:rsidRDefault="007277CA" w:rsidP="00E05849">
      <w:pPr>
        <w:rPr>
          <w:sz w:val="24"/>
          <w:lang w:val="en-ZA"/>
        </w:rPr>
      </w:pPr>
    </w:p>
    <w:p w14:paraId="2ABC957D" w14:textId="77777777" w:rsidR="00E05849" w:rsidRDefault="007A0AE9" w:rsidP="00E05849">
      <w:pPr>
        <w:rPr>
          <w:sz w:val="24"/>
          <w:lang w:val="en-ZA"/>
        </w:rPr>
      </w:pPr>
      <w:r>
        <w:rPr>
          <w:sz w:val="24"/>
          <w:lang w:val="en-ZA"/>
        </w:rPr>
        <w:t>[5]</w:t>
      </w:r>
      <w:r>
        <w:rPr>
          <w:sz w:val="24"/>
          <w:lang w:val="en-ZA"/>
        </w:rPr>
        <w:tab/>
      </w:r>
      <w:r w:rsidR="00985764">
        <w:rPr>
          <w:sz w:val="24"/>
          <w:lang w:val="en-ZA"/>
        </w:rPr>
        <w:t>I</w:t>
      </w:r>
      <w:r w:rsidR="00BB5A39">
        <w:rPr>
          <w:sz w:val="24"/>
          <w:lang w:val="en-ZA"/>
        </w:rPr>
        <w:t xml:space="preserve">t </w:t>
      </w:r>
      <w:r w:rsidR="00E769F9">
        <w:rPr>
          <w:sz w:val="24"/>
          <w:lang w:val="en-ZA"/>
        </w:rPr>
        <w:t xml:space="preserve">appears that when the applicant learned that </w:t>
      </w:r>
      <w:r w:rsidR="008A66F1">
        <w:rPr>
          <w:sz w:val="24"/>
          <w:lang w:val="en-ZA"/>
        </w:rPr>
        <w:t xml:space="preserve">his erstwhile co-accused, </w:t>
      </w:r>
      <w:r w:rsidR="008A66F1" w:rsidRPr="00C16315">
        <w:rPr>
          <w:sz w:val="24"/>
          <w:lang w:val="en-ZA"/>
        </w:rPr>
        <w:t xml:space="preserve">Mr </w:t>
      </w:r>
      <w:r w:rsidR="008A66F1">
        <w:rPr>
          <w:sz w:val="24"/>
          <w:lang w:val="en-ZA"/>
        </w:rPr>
        <w:t xml:space="preserve">Sibongile Luphumlo </w:t>
      </w:r>
      <w:r w:rsidR="008A66F1" w:rsidRPr="00C16315">
        <w:rPr>
          <w:sz w:val="24"/>
          <w:lang w:val="en-ZA"/>
        </w:rPr>
        <w:t>Mpuqe</w:t>
      </w:r>
      <w:r w:rsidR="008A66F1">
        <w:rPr>
          <w:sz w:val="24"/>
          <w:lang w:val="en-ZA"/>
        </w:rPr>
        <w:t xml:space="preserve"> (Mr Mpuqe) had been granted special leave to appeal</w:t>
      </w:r>
      <w:r w:rsidR="00AC6A1D">
        <w:rPr>
          <w:sz w:val="24"/>
          <w:lang w:val="en-ZA"/>
        </w:rPr>
        <w:t xml:space="preserve"> </w:t>
      </w:r>
      <w:r w:rsidR="00841B2B">
        <w:rPr>
          <w:sz w:val="24"/>
          <w:lang w:val="en-ZA"/>
        </w:rPr>
        <w:t xml:space="preserve">against his sentences </w:t>
      </w:r>
      <w:r w:rsidR="008A66F1">
        <w:rPr>
          <w:sz w:val="24"/>
          <w:lang w:val="en-ZA"/>
        </w:rPr>
        <w:t>to</w:t>
      </w:r>
      <w:r w:rsidR="00841B2B">
        <w:rPr>
          <w:sz w:val="24"/>
          <w:lang w:val="en-ZA"/>
        </w:rPr>
        <w:t xml:space="preserve"> this Court, he decided t</w:t>
      </w:r>
      <w:r w:rsidR="0062393D">
        <w:rPr>
          <w:sz w:val="24"/>
          <w:lang w:val="en-ZA"/>
        </w:rPr>
        <w:t>o</w:t>
      </w:r>
      <w:r w:rsidR="00841B2B">
        <w:rPr>
          <w:sz w:val="24"/>
          <w:lang w:val="en-ZA"/>
        </w:rPr>
        <w:t xml:space="preserve"> bring an application </w:t>
      </w:r>
      <w:r w:rsidR="00D837DC">
        <w:rPr>
          <w:sz w:val="24"/>
          <w:lang w:val="en-ZA"/>
        </w:rPr>
        <w:t xml:space="preserve">in terms of </w:t>
      </w:r>
      <w:r w:rsidR="0062393D">
        <w:rPr>
          <w:sz w:val="24"/>
          <w:lang w:val="en-ZA"/>
        </w:rPr>
        <w:t>s 17(2)</w:t>
      </w:r>
      <w:r w:rsidR="0062393D">
        <w:rPr>
          <w:i/>
          <w:iCs/>
          <w:sz w:val="24"/>
          <w:lang w:val="en-ZA"/>
        </w:rPr>
        <w:t xml:space="preserve">(f) </w:t>
      </w:r>
      <w:r w:rsidR="0062393D">
        <w:rPr>
          <w:sz w:val="24"/>
          <w:lang w:val="en-ZA"/>
        </w:rPr>
        <w:t xml:space="preserve">of the Superior Courts Act 10 of 2013 </w:t>
      </w:r>
      <w:r w:rsidR="00BB53AE">
        <w:rPr>
          <w:sz w:val="24"/>
          <w:lang w:val="en-ZA"/>
        </w:rPr>
        <w:t>(s 17(2)</w:t>
      </w:r>
      <w:r w:rsidR="00BB53AE">
        <w:rPr>
          <w:i/>
          <w:iCs/>
          <w:sz w:val="24"/>
          <w:lang w:val="en-ZA"/>
        </w:rPr>
        <w:t xml:space="preserve">(f) </w:t>
      </w:r>
      <w:r w:rsidR="00951FFB">
        <w:rPr>
          <w:sz w:val="24"/>
          <w:lang w:val="en-ZA"/>
        </w:rPr>
        <w:t xml:space="preserve">application) </w:t>
      </w:r>
      <w:r w:rsidR="00841B2B">
        <w:rPr>
          <w:sz w:val="24"/>
          <w:lang w:val="en-ZA"/>
        </w:rPr>
        <w:t xml:space="preserve">for </w:t>
      </w:r>
      <w:r w:rsidR="009A2D9F">
        <w:rPr>
          <w:sz w:val="24"/>
          <w:lang w:val="en-ZA"/>
        </w:rPr>
        <w:t xml:space="preserve">the </w:t>
      </w:r>
      <w:r w:rsidR="00841B2B">
        <w:rPr>
          <w:sz w:val="24"/>
          <w:lang w:val="en-ZA"/>
        </w:rPr>
        <w:t>reconsideration and, if necessary, variation of th</w:t>
      </w:r>
      <w:r w:rsidR="009A2D9F">
        <w:rPr>
          <w:sz w:val="24"/>
          <w:lang w:val="en-ZA"/>
        </w:rPr>
        <w:t xml:space="preserve">e decision of the two judges who dismissed his application for special leave to appeal. </w:t>
      </w:r>
      <w:r w:rsidR="00C62AB3">
        <w:rPr>
          <w:sz w:val="24"/>
          <w:lang w:val="en-ZA"/>
        </w:rPr>
        <w:t xml:space="preserve">The basis of his application was that </w:t>
      </w:r>
      <w:r w:rsidR="005A027E">
        <w:rPr>
          <w:sz w:val="24"/>
          <w:lang w:val="en-ZA"/>
        </w:rPr>
        <w:t xml:space="preserve">there was disparity in </w:t>
      </w:r>
      <w:r w:rsidR="00C62AB3">
        <w:rPr>
          <w:sz w:val="24"/>
          <w:lang w:val="en-ZA"/>
        </w:rPr>
        <w:t xml:space="preserve">the manner in which </w:t>
      </w:r>
      <w:r w:rsidR="00AC6A1D">
        <w:rPr>
          <w:sz w:val="24"/>
          <w:lang w:val="en-ZA"/>
        </w:rPr>
        <w:t xml:space="preserve">his and Mr Mpuqe’s </w:t>
      </w:r>
      <w:r w:rsidR="005A027E">
        <w:rPr>
          <w:sz w:val="24"/>
          <w:lang w:val="en-ZA"/>
        </w:rPr>
        <w:t xml:space="preserve">applications for </w:t>
      </w:r>
      <w:r w:rsidR="00AC6A1D">
        <w:rPr>
          <w:sz w:val="24"/>
          <w:lang w:val="en-ZA"/>
        </w:rPr>
        <w:t xml:space="preserve">special </w:t>
      </w:r>
      <w:r w:rsidR="005A027E">
        <w:rPr>
          <w:sz w:val="24"/>
          <w:lang w:val="en-ZA"/>
        </w:rPr>
        <w:t>leave to appeal were dealt with by this Court. O</w:t>
      </w:r>
      <w:r w:rsidR="00A771B6">
        <w:rPr>
          <w:sz w:val="24"/>
          <w:lang w:val="en-ZA"/>
        </w:rPr>
        <w:t>n</w:t>
      </w:r>
      <w:r w:rsidR="00614236">
        <w:rPr>
          <w:sz w:val="24"/>
          <w:lang w:val="en-ZA"/>
        </w:rPr>
        <w:t xml:space="preserve"> 31 March 2021</w:t>
      </w:r>
      <w:r w:rsidR="00A771B6">
        <w:rPr>
          <w:sz w:val="24"/>
          <w:lang w:val="en-ZA"/>
        </w:rPr>
        <w:t>, the d</w:t>
      </w:r>
      <w:r w:rsidR="00E40C96">
        <w:rPr>
          <w:sz w:val="24"/>
          <w:lang w:val="en-ZA"/>
        </w:rPr>
        <w:t xml:space="preserve">ecision to dismiss </w:t>
      </w:r>
      <w:r w:rsidR="00A771B6">
        <w:rPr>
          <w:sz w:val="24"/>
          <w:lang w:val="en-ZA"/>
        </w:rPr>
        <w:t>the applicant’s application for leave to appeal was</w:t>
      </w:r>
      <w:r w:rsidR="00814D1E">
        <w:rPr>
          <w:sz w:val="24"/>
          <w:lang w:val="en-ZA"/>
        </w:rPr>
        <w:t xml:space="preserve"> </w:t>
      </w:r>
      <w:r w:rsidR="00A771B6">
        <w:rPr>
          <w:sz w:val="24"/>
          <w:lang w:val="en-ZA"/>
        </w:rPr>
        <w:t>referred</w:t>
      </w:r>
      <w:r w:rsidR="00A80647">
        <w:rPr>
          <w:sz w:val="24"/>
          <w:lang w:val="en-ZA"/>
        </w:rPr>
        <w:t xml:space="preserve"> to </w:t>
      </w:r>
      <w:r w:rsidR="006A3F63">
        <w:rPr>
          <w:sz w:val="24"/>
          <w:lang w:val="en-ZA"/>
        </w:rPr>
        <w:t>th</w:t>
      </w:r>
      <w:r w:rsidR="00E05849">
        <w:rPr>
          <w:sz w:val="24"/>
          <w:lang w:val="en-ZA"/>
        </w:rPr>
        <w:t>is C</w:t>
      </w:r>
      <w:r w:rsidR="00A80647">
        <w:rPr>
          <w:sz w:val="24"/>
          <w:lang w:val="en-ZA"/>
        </w:rPr>
        <w:t>ourt for reconsideration, and if necessary, variation</w:t>
      </w:r>
      <w:r w:rsidR="00E40C96">
        <w:rPr>
          <w:sz w:val="24"/>
          <w:lang w:val="en-ZA"/>
        </w:rPr>
        <w:t xml:space="preserve"> as envisaged in </w:t>
      </w:r>
      <w:r w:rsidR="00E40C96" w:rsidRPr="00C16315">
        <w:rPr>
          <w:sz w:val="24"/>
          <w:lang w:val="en-ZA"/>
        </w:rPr>
        <w:t>s 17(2)</w:t>
      </w:r>
      <w:r w:rsidR="00E40C96" w:rsidRPr="00C16315">
        <w:rPr>
          <w:i/>
          <w:iCs/>
          <w:sz w:val="24"/>
          <w:lang w:val="en-ZA"/>
        </w:rPr>
        <w:t>(f)</w:t>
      </w:r>
      <w:r w:rsidR="008A33F2">
        <w:rPr>
          <w:sz w:val="24"/>
          <w:lang w:val="en-ZA"/>
        </w:rPr>
        <w:t>.</w:t>
      </w:r>
      <w:r w:rsidR="001A6CB6">
        <w:rPr>
          <w:sz w:val="24"/>
          <w:lang w:val="en-ZA"/>
        </w:rPr>
        <w:t xml:space="preserve"> </w:t>
      </w:r>
      <w:r w:rsidR="009965AE">
        <w:rPr>
          <w:sz w:val="24"/>
          <w:lang w:val="en-ZA"/>
        </w:rPr>
        <w:t xml:space="preserve">In the same order, his application for </w:t>
      </w:r>
      <w:r w:rsidR="001674B3">
        <w:rPr>
          <w:sz w:val="24"/>
          <w:lang w:val="en-ZA"/>
        </w:rPr>
        <w:t xml:space="preserve">special </w:t>
      </w:r>
      <w:r w:rsidR="009965AE">
        <w:rPr>
          <w:sz w:val="24"/>
          <w:lang w:val="en-ZA"/>
        </w:rPr>
        <w:t>leave to appeal and condonation w</w:t>
      </w:r>
      <w:r w:rsidR="001674B3">
        <w:rPr>
          <w:sz w:val="24"/>
          <w:lang w:val="en-ZA"/>
        </w:rPr>
        <w:t>ere</w:t>
      </w:r>
      <w:r w:rsidR="009965AE">
        <w:rPr>
          <w:sz w:val="24"/>
          <w:lang w:val="en-ZA"/>
        </w:rPr>
        <w:t xml:space="preserve"> referred for oral submissions in terms of </w:t>
      </w:r>
      <w:r w:rsidR="00F25268">
        <w:rPr>
          <w:sz w:val="24"/>
          <w:lang w:val="en-ZA"/>
        </w:rPr>
        <w:t>17(2)</w:t>
      </w:r>
      <w:r w:rsidR="00F25268">
        <w:rPr>
          <w:i/>
          <w:iCs/>
          <w:sz w:val="24"/>
          <w:lang w:val="en-ZA"/>
        </w:rPr>
        <w:t>(d)</w:t>
      </w:r>
      <w:r w:rsidR="009965AE">
        <w:rPr>
          <w:sz w:val="24"/>
          <w:lang w:val="en-ZA"/>
        </w:rPr>
        <w:t xml:space="preserve"> </w:t>
      </w:r>
      <w:r w:rsidR="00F25268">
        <w:rPr>
          <w:sz w:val="24"/>
          <w:lang w:val="en-ZA"/>
        </w:rPr>
        <w:t>of the Superior Courts Act.</w:t>
      </w:r>
      <w:r w:rsidR="00E05849">
        <w:rPr>
          <w:sz w:val="24"/>
          <w:lang w:val="en-ZA"/>
        </w:rPr>
        <w:t xml:space="preserve"> The order required </w:t>
      </w:r>
      <w:r w:rsidR="00E05849">
        <w:rPr>
          <w:sz w:val="24"/>
          <w:lang w:val="en-ZA"/>
        </w:rPr>
        <w:lastRenderedPageBreak/>
        <w:t>the parties to be prepared to argue the merits of the appeal is special leave was granted.</w:t>
      </w:r>
    </w:p>
    <w:p w14:paraId="1FBFA252" w14:textId="77777777" w:rsidR="001674B3" w:rsidRDefault="00F25268" w:rsidP="001A6CB6">
      <w:pPr>
        <w:rPr>
          <w:sz w:val="24"/>
          <w:lang w:val="en-ZA"/>
        </w:rPr>
      </w:pPr>
      <w:r>
        <w:rPr>
          <w:sz w:val="24"/>
          <w:lang w:val="en-ZA"/>
        </w:rPr>
        <w:t xml:space="preserve"> </w:t>
      </w:r>
    </w:p>
    <w:p w14:paraId="15C2E953" w14:textId="77777777" w:rsidR="00985212" w:rsidRDefault="001674B3" w:rsidP="00F1022E">
      <w:pPr>
        <w:rPr>
          <w:sz w:val="24"/>
          <w:lang w:val="en-ZA"/>
        </w:rPr>
      </w:pPr>
      <w:r>
        <w:rPr>
          <w:sz w:val="24"/>
          <w:lang w:val="en-ZA"/>
        </w:rPr>
        <w:t>[6]</w:t>
      </w:r>
      <w:r>
        <w:rPr>
          <w:sz w:val="24"/>
          <w:lang w:val="en-ZA"/>
        </w:rPr>
        <w:tab/>
      </w:r>
      <w:r w:rsidR="005819F0">
        <w:rPr>
          <w:sz w:val="24"/>
          <w:lang w:val="en-ZA"/>
        </w:rPr>
        <w:t>In</w:t>
      </w:r>
      <w:r w:rsidR="001A6CB6" w:rsidRPr="00C16315">
        <w:rPr>
          <w:sz w:val="24"/>
          <w:lang w:val="en-ZA"/>
        </w:rPr>
        <w:t xml:space="preserve"> the intervening period, Mr Mpuqe’s appeal against sentence succeeded in respect of the attempted murder charge</w:t>
      </w:r>
      <w:r w:rsidR="001A6CB6">
        <w:rPr>
          <w:sz w:val="24"/>
          <w:lang w:val="en-ZA"/>
        </w:rPr>
        <w:t>. In the judgment</w:t>
      </w:r>
      <w:r w:rsidR="001A6CB6" w:rsidRPr="00C16315">
        <w:rPr>
          <w:sz w:val="24"/>
          <w:lang w:val="en-ZA"/>
        </w:rPr>
        <w:t xml:space="preserve"> </w:t>
      </w:r>
      <w:r w:rsidR="001A6CB6" w:rsidRPr="00935124">
        <w:rPr>
          <w:i/>
          <w:iCs/>
          <w:sz w:val="24"/>
          <w:lang w:val="en-ZA"/>
        </w:rPr>
        <w:t xml:space="preserve">Mpuqe v S </w:t>
      </w:r>
      <w:r w:rsidR="001A6CB6">
        <w:rPr>
          <w:sz w:val="24"/>
          <w:lang w:val="en-ZA"/>
        </w:rPr>
        <w:t>(</w:t>
      </w:r>
      <w:r w:rsidR="001A6CB6" w:rsidRPr="00935124">
        <w:rPr>
          <w:i/>
          <w:iCs/>
          <w:sz w:val="24"/>
          <w:lang w:val="en-ZA"/>
        </w:rPr>
        <w:t>Mpuqe</w:t>
      </w:r>
      <w:r w:rsidR="001A6CB6">
        <w:rPr>
          <w:sz w:val="24"/>
          <w:lang w:val="en-ZA"/>
        </w:rPr>
        <w:t>)</w:t>
      </w:r>
      <w:r w:rsidR="001A6CB6" w:rsidRPr="00C16315">
        <w:rPr>
          <w:sz w:val="24"/>
          <w:lang w:val="en-ZA"/>
        </w:rPr>
        <w:t>,</w:t>
      </w:r>
      <w:r w:rsidR="001A6CB6" w:rsidRPr="00C16315">
        <w:rPr>
          <w:rStyle w:val="FootnoteReference"/>
          <w:rFonts w:cs="Arial"/>
          <w:sz w:val="24"/>
          <w:lang w:val="en-ZA"/>
        </w:rPr>
        <w:footnoteReference w:id="1"/>
      </w:r>
      <w:r w:rsidR="001A6CB6" w:rsidRPr="00C16315">
        <w:rPr>
          <w:sz w:val="24"/>
          <w:lang w:val="en-ZA"/>
        </w:rPr>
        <w:t xml:space="preserve"> </w:t>
      </w:r>
      <w:r w:rsidR="001A6CB6">
        <w:rPr>
          <w:sz w:val="24"/>
          <w:lang w:val="en-ZA"/>
        </w:rPr>
        <w:t xml:space="preserve">this Court </w:t>
      </w:r>
      <w:r w:rsidR="001A6CB6" w:rsidRPr="00C16315">
        <w:rPr>
          <w:sz w:val="24"/>
          <w:lang w:val="en-ZA"/>
        </w:rPr>
        <w:t xml:space="preserve">set aside the order of the full court and replaced the sentence imposed by the trial court </w:t>
      </w:r>
      <w:r w:rsidR="001A6CB6">
        <w:rPr>
          <w:sz w:val="24"/>
          <w:lang w:val="en-ZA"/>
        </w:rPr>
        <w:t xml:space="preserve">on that count </w:t>
      </w:r>
      <w:r w:rsidR="001A6CB6" w:rsidRPr="00C16315">
        <w:rPr>
          <w:sz w:val="24"/>
          <w:lang w:val="en-ZA"/>
        </w:rPr>
        <w:t xml:space="preserve">with a sentence of 10 years’ imprisonment. </w:t>
      </w:r>
      <w:r>
        <w:rPr>
          <w:sz w:val="24"/>
          <w:lang w:val="en-ZA"/>
        </w:rPr>
        <w:t xml:space="preserve">An important aspect to bear in mind is that </w:t>
      </w:r>
      <w:r w:rsidR="00C66116">
        <w:rPr>
          <w:sz w:val="24"/>
          <w:lang w:val="en-ZA"/>
        </w:rPr>
        <w:t xml:space="preserve">in </w:t>
      </w:r>
      <w:r w:rsidR="00C66116" w:rsidRPr="005D03B8">
        <w:rPr>
          <w:i/>
          <w:iCs/>
          <w:sz w:val="24"/>
          <w:lang w:val="en-ZA"/>
        </w:rPr>
        <w:t>Mpuqe</w:t>
      </w:r>
      <w:r w:rsidR="005D03B8">
        <w:rPr>
          <w:sz w:val="24"/>
          <w:lang w:val="en-ZA"/>
        </w:rPr>
        <w:t xml:space="preserve">, </w:t>
      </w:r>
      <w:r w:rsidR="00C66116">
        <w:rPr>
          <w:sz w:val="24"/>
          <w:lang w:val="en-ZA"/>
        </w:rPr>
        <w:t xml:space="preserve">leave to appeal </w:t>
      </w:r>
      <w:r w:rsidR="00773B51">
        <w:rPr>
          <w:sz w:val="24"/>
          <w:lang w:val="en-ZA"/>
        </w:rPr>
        <w:t xml:space="preserve">against the sentences </w:t>
      </w:r>
      <w:r w:rsidR="00C66116">
        <w:rPr>
          <w:sz w:val="24"/>
          <w:lang w:val="en-ZA"/>
        </w:rPr>
        <w:t xml:space="preserve">had </w:t>
      </w:r>
      <w:r w:rsidR="0033252C">
        <w:rPr>
          <w:sz w:val="24"/>
          <w:lang w:val="en-ZA"/>
        </w:rPr>
        <w:t xml:space="preserve">already </w:t>
      </w:r>
      <w:r w:rsidR="00C66116">
        <w:rPr>
          <w:sz w:val="24"/>
          <w:lang w:val="en-ZA"/>
        </w:rPr>
        <w:t xml:space="preserve">been granted </w:t>
      </w:r>
      <w:r w:rsidR="00D0445C">
        <w:rPr>
          <w:sz w:val="24"/>
          <w:lang w:val="en-ZA"/>
        </w:rPr>
        <w:t>by this Court</w:t>
      </w:r>
      <w:r w:rsidR="009C56C6">
        <w:rPr>
          <w:sz w:val="24"/>
          <w:lang w:val="en-ZA"/>
        </w:rPr>
        <w:t xml:space="preserve">. </w:t>
      </w:r>
      <w:r w:rsidR="00773B51">
        <w:rPr>
          <w:sz w:val="24"/>
          <w:lang w:val="en-ZA"/>
        </w:rPr>
        <w:t>I</w:t>
      </w:r>
      <w:r w:rsidR="005A2653">
        <w:rPr>
          <w:sz w:val="24"/>
          <w:lang w:val="en-ZA"/>
        </w:rPr>
        <w:t>n this matter</w:t>
      </w:r>
      <w:r w:rsidR="00D0445C">
        <w:rPr>
          <w:sz w:val="24"/>
          <w:lang w:val="en-ZA"/>
        </w:rPr>
        <w:t xml:space="preserve">, </w:t>
      </w:r>
      <w:r w:rsidR="009F360A">
        <w:rPr>
          <w:sz w:val="24"/>
          <w:lang w:val="en-ZA"/>
        </w:rPr>
        <w:t xml:space="preserve">what is before us </w:t>
      </w:r>
      <w:r w:rsidR="005A7AB4">
        <w:rPr>
          <w:sz w:val="24"/>
          <w:lang w:val="en-ZA"/>
        </w:rPr>
        <w:t xml:space="preserve">for adjudication </w:t>
      </w:r>
      <w:r w:rsidR="009F360A">
        <w:rPr>
          <w:sz w:val="24"/>
          <w:lang w:val="en-ZA"/>
        </w:rPr>
        <w:t>is whether to reconsider</w:t>
      </w:r>
      <w:r w:rsidR="006E5DB2">
        <w:rPr>
          <w:sz w:val="24"/>
          <w:lang w:val="en-ZA"/>
        </w:rPr>
        <w:t xml:space="preserve"> and, if necessary, vary</w:t>
      </w:r>
      <w:r w:rsidR="009F360A">
        <w:rPr>
          <w:sz w:val="24"/>
          <w:lang w:val="en-ZA"/>
        </w:rPr>
        <w:t xml:space="preserve"> the decision </w:t>
      </w:r>
      <w:r w:rsidR="00155E59">
        <w:rPr>
          <w:sz w:val="24"/>
          <w:lang w:val="en-ZA"/>
        </w:rPr>
        <w:t>to refuse to grant special leave to appeal</w:t>
      </w:r>
      <w:r w:rsidR="009C56C6">
        <w:rPr>
          <w:sz w:val="24"/>
          <w:lang w:val="en-ZA"/>
        </w:rPr>
        <w:t>,</w:t>
      </w:r>
      <w:r w:rsidR="00155E59">
        <w:rPr>
          <w:sz w:val="24"/>
          <w:lang w:val="en-ZA"/>
        </w:rPr>
        <w:t xml:space="preserve"> and to </w:t>
      </w:r>
      <w:r w:rsidR="005A7AB4">
        <w:rPr>
          <w:sz w:val="24"/>
          <w:lang w:val="en-ZA"/>
        </w:rPr>
        <w:t xml:space="preserve">consider </w:t>
      </w:r>
      <w:r w:rsidR="00155E59">
        <w:rPr>
          <w:sz w:val="24"/>
          <w:lang w:val="en-ZA"/>
        </w:rPr>
        <w:t xml:space="preserve">the application for special leave to appeal. </w:t>
      </w:r>
      <w:r w:rsidR="00627D36">
        <w:rPr>
          <w:sz w:val="24"/>
          <w:lang w:val="en-ZA"/>
        </w:rPr>
        <w:t>B</w:t>
      </w:r>
      <w:r w:rsidR="00627D36" w:rsidRPr="00C16315">
        <w:rPr>
          <w:sz w:val="24"/>
          <w:lang w:val="en-ZA"/>
        </w:rPr>
        <w:t>oth parties agreed that th</w:t>
      </w:r>
      <w:r w:rsidR="00627D36">
        <w:rPr>
          <w:sz w:val="24"/>
          <w:lang w:val="en-ZA"/>
        </w:rPr>
        <w:t xml:space="preserve">is Court may dispose of the matter </w:t>
      </w:r>
      <w:r w:rsidR="00627D36" w:rsidRPr="00C16315">
        <w:rPr>
          <w:sz w:val="24"/>
          <w:lang w:val="en-ZA"/>
        </w:rPr>
        <w:t>without oral argument within the contemplation of s 19</w:t>
      </w:r>
      <w:r w:rsidR="00627D36" w:rsidRPr="00C16315">
        <w:rPr>
          <w:i/>
          <w:iCs/>
          <w:sz w:val="24"/>
          <w:lang w:val="en-ZA"/>
        </w:rPr>
        <w:t>(a)</w:t>
      </w:r>
      <w:r w:rsidR="00627D36" w:rsidRPr="00C16315">
        <w:rPr>
          <w:sz w:val="24"/>
          <w:lang w:val="en-ZA"/>
        </w:rPr>
        <w:t xml:space="preserve"> of the Superior Courts Act.</w:t>
      </w:r>
      <w:r w:rsidR="00627D36">
        <w:rPr>
          <w:sz w:val="24"/>
          <w:lang w:val="en-ZA"/>
        </w:rPr>
        <w:t xml:space="preserve"> </w:t>
      </w:r>
    </w:p>
    <w:p w14:paraId="717DDE34" w14:textId="77777777" w:rsidR="00DF2706" w:rsidRDefault="00DF2706" w:rsidP="00F1022E">
      <w:pPr>
        <w:rPr>
          <w:sz w:val="24"/>
          <w:lang w:val="en-ZA"/>
        </w:rPr>
      </w:pPr>
    </w:p>
    <w:p w14:paraId="04C274EB" w14:textId="77777777" w:rsidR="00F1022E" w:rsidRDefault="00985212" w:rsidP="00F1022E">
      <w:pPr>
        <w:rPr>
          <w:sz w:val="24"/>
          <w:lang w:val="en-ZA"/>
        </w:rPr>
      </w:pPr>
      <w:r>
        <w:rPr>
          <w:sz w:val="24"/>
          <w:lang w:val="en-ZA"/>
        </w:rPr>
        <w:t>[7]</w:t>
      </w:r>
      <w:r>
        <w:rPr>
          <w:sz w:val="24"/>
          <w:lang w:val="en-ZA"/>
        </w:rPr>
        <w:tab/>
      </w:r>
      <w:r w:rsidR="002F52BB">
        <w:rPr>
          <w:sz w:val="24"/>
          <w:lang w:val="en-ZA"/>
        </w:rPr>
        <w:t xml:space="preserve">A preliminary issue before </w:t>
      </w:r>
      <w:r w:rsidR="001C361C">
        <w:rPr>
          <w:sz w:val="24"/>
          <w:lang w:val="en-ZA"/>
        </w:rPr>
        <w:t xml:space="preserve">us </w:t>
      </w:r>
      <w:r w:rsidR="002F52BB">
        <w:rPr>
          <w:sz w:val="24"/>
          <w:lang w:val="en-ZA"/>
        </w:rPr>
        <w:t xml:space="preserve">is whether to condone the delay in bringing the </w:t>
      </w:r>
      <w:r w:rsidR="001C361C">
        <w:rPr>
          <w:sz w:val="24"/>
          <w:lang w:val="en-ZA"/>
        </w:rPr>
        <w:t>s 17(2)</w:t>
      </w:r>
      <w:r w:rsidR="001C361C">
        <w:rPr>
          <w:i/>
          <w:iCs/>
          <w:sz w:val="24"/>
          <w:lang w:val="en-ZA"/>
        </w:rPr>
        <w:t xml:space="preserve">(f) </w:t>
      </w:r>
      <w:r w:rsidR="002F52BB">
        <w:rPr>
          <w:sz w:val="24"/>
          <w:lang w:val="en-ZA"/>
        </w:rPr>
        <w:t>application</w:t>
      </w:r>
      <w:r w:rsidR="001C361C">
        <w:rPr>
          <w:sz w:val="24"/>
          <w:lang w:val="en-ZA"/>
        </w:rPr>
        <w:t>.</w:t>
      </w:r>
      <w:r w:rsidR="00062BF3">
        <w:rPr>
          <w:sz w:val="24"/>
          <w:lang w:val="en-ZA"/>
        </w:rPr>
        <w:t xml:space="preserve"> </w:t>
      </w:r>
      <w:r w:rsidR="004901DA">
        <w:rPr>
          <w:sz w:val="24"/>
          <w:lang w:val="en-ZA"/>
        </w:rPr>
        <w:t xml:space="preserve">The State </w:t>
      </w:r>
      <w:r w:rsidR="00A51368">
        <w:rPr>
          <w:sz w:val="24"/>
          <w:lang w:val="en-ZA"/>
        </w:rPr>
        <w:t xml:space="preserve">did not </w:t>
      </w:r>
      <w:r w:rsidR="004901DA">
        <w:rPr>
          <w:sz w:val="24"/>
          <w:lang w:val="en-ZA"/>
        </w:rPr>
        <w:t>oppose this application</w:t>
      </w:r>
      <w:r w:rsidR="00A51368">
        <w:rPr>
          <w:sz w:val="24"/>
          <w:lang w:val="en-ZA"/>
        </w:rPr>
        <w:t>. Having considered the circumstances that led to the application being brought at a late stage,</w:t>
      </w:r>
      <w:r w:rsidR="004901DA">
        <w:rPr>
          <w:sz w:val="24"/>
          <w:lang w:val="en-ZA"/>
        </w:rPr>
        <w:t xml:space="preserve"> </w:t>
      </w:r>
      <w:r w:rsidR="00A51368">
        <w:rPr>
          <w:sz w:val="24"/>
          <w:lang w:val="en-ZA"/>
        </w:rPr>
        <w:t>i</w:t>
      </w:r>
      <w:r w:rsidR="004901DA">
        <w:rPr>
          <w:sz w:val="24"/>
          <w:lang w:val="en-ZA"/>
        </w:rPr>
        <w:t xml:space="preserve">t </w:t>
      </w:r>
      <w:r w:rsidR="00A51368">
        <w:rPr>
          <w:sz w:val="24"/>
          <w:lang w:val="en-ZA"/>
        </w:rPr>
        <w:t xml:space="preserve">is </w:t>
      </w:r>
      <w:r w:rsidR="004901DA">
        <w:rPr>
          <w:sz w:val="24"/>
          <w:lang w:val="en-ZA"/>
        </w:rPr>
        <w:t xml:space="preserve">in the interests of justice to grant it. </w:t>
      </w:r>
      <w:r w:rsidR="00D96178">
        <w:rPr>
          <w:sz w:val="24"/>
          <w:lang w:val="en-ZA"/>
        </w:rPr>
        <w:t>What remains as an issue before us for adjudication is the reconsideration and, if necessary, variation of the decision of the two judges who dismissed the application for special leave.</w:t>
      </w:r>
      <w:r w:rsidR="000E6B3B">
        <w:rPr>
          <w:sz w:val="24"/>
          <w:lang w:val="en-ZA"/>
        </w:rPr>
        <w:t xml:space="preserve"> In essence, this Court has to decide whether or not the two </w:t>
      </w:r>
      <w:r w:rsidR="0075267F">
        <w:rPr>
          <w:sz w:val="24"/>
          <w:lang w:val="en-ZA"/>
        </w:rPr>
        <w:t xml:space="preserve">judges of the SCA </w:t>
      </w:r>
      <w:r w:rsidR="000E6B3B">
        <w:rPr>
          <w:sz w:val="24"/>
          <w:lang w:val="en-ZA"/>
        </w:rPr>
        <w:t xml:space="preserve">ought to have found that </w:t>
      </w:r>
      <w:r w:rsidR="002D243C">
        <w:rPr>
          <w:sz w:val="24"/>
          <w:lang w:val="en-ZA"/>
        </w:rPr>
        <w:t xml:space="preserve">there were </w:t>
      </w:r>
      <w:r w:rsidR="000E6B3B">
        <w:rPr>
          <w:sz w:val="24"/>
          <w:lang w:val="en-ZA"/>
        </w:rPr>
        <w:t xml:space="preserve">reasonable prospects of success </w:t>
      </w:r>
      <w:r w:rsidR="005819F0">
        <w:rPr>
          <w:sz w:val="24"/>
          <w:lang w:val="en-ZA"/>
        </w:rPr>
        <w:t xml:space="preserve">and exceptional circumstances </w:t>
      </w:r>
      <w:r w:rsidR="00A974A1">
        <w:rPr>
          <w:sz w:val="24"/>
          <w:lang w:val="en-ZA"/>
        </w:rPr>
        <w:t xml:space="preserve">warranting the </w:t>
      </w:r>
      <w:r w:rsidR="002D243C">
        <w:rPr>
          <w:sz w:val="24"/>
          <w:lang w:val="en-ZA"/>
        </w:rPr>
        <w:t>gra</w:t>
      </w:r>
      <w:r w:rsidR="000E6B3B">
        <w:rPr>
          <w:sz w:val="24"/>
          <w:lang w:val="en-ZA"/>
        </w:rPr>
        <w:t>nt</w:t>
      </w:r>
      <w:r w:rsidR="002D243C">
        <w:rPr>
          <w:sz w:val="24"/>
          <w:lang w:val="en-ZA"/>
        </w:rPr>
        <w:t>ing</w:t>
      </w:r>
      <w:r w:rsidR="000E6B3B">
        <w:rPr>
          <w:sz w:val="24"/>
          <w:lang w:val="en-ZA"/>
        </w:rPr>
        <w:t xml:space="preserve"> </w:t>
      </w:r>
      <w:r w:rsidR="00A974A1">
        <w:rPr>
          <w:sz w:val="24"/>
          <w:lang w:val="en-ZA"/>
        </w:rPr>
        <w:t xml:space="preserve">of </w:t>
      </w:r>
      <w:r w:rsidR="000E6B3B">
        <w:rPr>
          <w:sz w:val="24"/>
          <w:lang w:val="en-ZA"/>
        </w:rPr>
        <w:t>special leave to appeal against the sentences imposed on the applicant.</w:t>
      </w:r>
      <w:r w:rsidR="006215EF">
        <w:rPr>
          <w:rStyle w:val="FootnoteReference"/>
          <w:sz w:val="24"/>
          <w:lang w:val="en-ZA"/>
        </w:rPr>
        <w:footnoteReference w:id="2"/>
      </w:r>
    </w:p>
    <w:p w14:paraId="330C10F2" w14:textId="77777777" w:rsidR="00F1022E" w:rsidRDefault="00F1022E" w:rsidP="00F1022E">
      <w:pPr>
        <w:rPr>
          <w:sz w:val="24"/>
          <w:lang w:val="en-ZA"/>
        </w:rPr>
      </w:pPr>
    </w:p>
    <w:p w14:paraId="70F2E8E1" w14:textId="5D77601E" w:rsidR="00E73E7D" w:rsidRDefault="00D9693A" w:rsidP="00E73E7D">
      <w:pPr>
        <w:rPr>
          <w:sz w:val="24"/>
          <w:lang w:val="en-ZA"/>
        </w:rPr>
      </w:pPr>
      <w:r>
        <w:rPr>
          <w:sz w:val="24"/>
          <w:lang w:val="en-ZA"/>
        </w:rPr>
        <w:t>[</w:t>
      </w:r>
      <w:r w:rsidR="00985212">
        <w:rPr>
          <w:sz w:val="24"/>
          <w:lang w:val="en-ZA"/>
        </w:rPr>
        <w:t>8</w:t>
      </w:r>
      <w:r>
        <w:rPr>
          <w:sz w:val="24"/>
          <w:lang w:val="en-ZA"/>
        </w:rPr>
        <w:t>]</w:t>
      </w:r>
      <w:r>
        <w:rPr>
          <w:sz w:val="24"/>
          <w:lang w:val="en-ZA"/>
        </w:rPr>
        <w:tab/>
      </w:r>
      <w:r w:rsidR="00D96178">
        <w:rPr>
          <w:sz w:val="24"/>
          <w:lang w:val="en-ZA"/>
        </w:rPr>
        <w:t>The applicant conceded that both the statutory requirements of ‘special leave’ and justification for reconsider</w:t>
      </w:r>
      <w:r w:rsidR="000E6B3B">
        <w:rPr>
          <w:sz w:val="24"/>
          <w:lang w:val="en-ZA"/>
        </w:rPr>
        <w:t>ation of a prior order of the SCA refusing leave entai</w:t>
      </w:r>
      <w:r w:rsidR="00A13CA7">
        <w:rPr>
          <w:sz w:val="24"/>
          <w:lang w:val="en-ZA"/>
        </w:rPr>
        <w:t>l</w:t>
      </w:r>
      <w:r w:rsidR="000E6B3B">
        <w:rPr>
          <w:sz w:val="24"/>
          <w:lang w:val="en-ZA"/>
        </w:rPr>
        <w:t xml:space="preserve"> the applicant showing </w:t>
      </w:r>
      <w:r w:rsidR="00A13CA7">
        <w:rPr>
          <w:sz w:val="24"/>
          <w:lang w:val="en-ZA"/>
        </w:rPr>
        <w:t>the existence of grounds that are out of the ordinary.</w:t>
      </w:r>
      <w:r w:rsidR="002967C2">
        <w:rPr>
          <w:rStyle w:val="FootnoteReference"/>
          <w:sz w:val="24"/>
          <w:lang w:val="en-ZA"/>
        </w:rPr>
        <w:footnoteReference w:id="3"/>
      </w:r>
      <w:r w:rsidR="00A13CA7">
        <w:rPr>
          <w:sz w:val="24"/>
          <w:lang w:val="en-ZA"/>
        </w:rPr>
        <w:t xml:space="preserve"> This </w:t>
      </w:r>
      <w:r w:rsidR="00A13CA7">
        <w:rPr>
          <w:sz w:val="24"/>
          <w:lang w:val="en-ZA"/>
        </w:rPr>
        <w:lastRenderedPageBreak/>
        <w:t>concession was correctly made.</w:t>
      </w:r>
      <w:r w:rsidR="0039734A">
        <w:rPr>
          <w:rStyle w:val="FootnoteReference"/>
          <w:sz w:val="24"/>
          <w:lang w:val="en-ZA"/>
        </w:rPr>
        <w:footnoteReference w:id="4"/>
      </w:r>
      <w:r w:rsidR="00A13CA7">
        <w:rPr>
          <w:sz w:val="24"/>
          <w:lang w:val="en-ZA"/>
        </w:rPr>
        <w:t xml:space="preserve"> </w:t>
      </w:r>
      <w:r w:rsidR="00780374">
        <w:rPr>
          <w:sz w:val="24"/>
          <w:lang w:val="en-ZA"/>
        </w:rPr>
        <w:t>Of significance is that w</w:t>
      </w:r>
      <w:r w:rsidR="00627D36">
        <w:rPr>
          <w:sz w:val="24"/>
          <w:lang w:val="en-ZA"/>
        </w:rPr>
        <w:t>hat is before us is not an appeal on the merits against the sentences but a reconsideration of the decision refusing special leave to appeal.</w:t>
      </w:r>
      <w:r w:rsidR="00627D36">
        <w:rPr>
          <w:rStyle w:val="FootnoteReference"/>
          <w:sz w:val="24"/>
          <w:lang w:val="en-ZA"/>
        </w:rPr>
        <w:footnoteReference w:id="5"/>
      </w:r>
      <w:r w:rsidR="00627D36">
        <w:rPr>
          <w:sz w:val="24"/>
          <w:lang w:val="en-ZA"/>
        </w:rPr>
        <w:t xml:space="preserve"> </w:t>
      </w:r>
      <w:r w:rsidR="00E73E7D">
        <w:rPr>
          <w:sz w:val="24"/>
          <w:lang w:val="en-ZA"/>
        </w:rPr>
        <w:t>It is to that issue that I now turn.</w:t>
      </w:r>
    </w:p>
    <w:p w14:paraId="31DCFF31" w14:textId="77777777" w:rsidR="006557A8" w:rsidRDefault="006557A8" w:rsidP="00E73E7D">
      <w:pPr>
        <w:rPr>
          <w:sz w:val="24"/>
          <w:lang w:val="en-ZA"/>
        </w:rPr>
      </w:pPr>
    </w:p>
    <w:p w14:paraId="0636D398" w14:textId="77777777" w:rsidR="006557A8" w:rsidRPr="00EC299C" w:rsidRDefault="006557A8" w:rsidP="00E73E7D">
      <w:pPr>
        <w:rPr>
          <w:b/>
          <w:bCs/>
          <w:sz w:val="24"/>
          <w:lang w:val="en-ZA"/>
        </w:rPr>
      </w:pPr>
      <w:r w:rsidRPr="00EC299C">
        <w:rPr>
          <w:b/>
          <w:bCs/>
          <w:sz w:val="24"/>
          <w:lang w:val="en-ZA"/>
        </w:rPr>
        <w:t>Should leave to appeal against the sentences imposed on the applicant have been granted?</w:t>
      </w:r>
    </w:p>
    <w:p w14:paraId="00602B11" w14:textId="77777777" w:rsidR="005F3383" w:rsidRPr="00EC299C" w:rsidRDefault="005F3383" w:rsidP="00EC299C">
      <w:pPr>
        <w:rPr>
          <w:b/>
          <w:iCs/>
          <w:sz w:val="24"/>
        </w:rPr>
      </w:pPr>
      <w:r w:rsidRPr="00EC299C">
        <w:rPr>
          <w:b/>
          <w:iCs/>
          <w:sz w:val="24"/>
        </w:rPr>
        <w:t>Robbery</w:t>
      </w:r>
      <w:r w:rsidR="006557A8" w:rsidRPr="00EC299C">
        <w:rPr>
          <w:b/>
          <w:iCs/>
          <w:sz w:val="24"/>
        </w:rPr>
        <w:t xml:space="preserve"> with aggravating circumstances (count one)</w:t>
      </w:r>
    </w:p>
    <w:p w14:paraId="0460CB2D" w14:textId="149438AC" w:rsidR="00332F6E" w:rsidRPr="001E0BCA" w:rsidRDefault="001B26CE" w:rsidP="00332F6E">
      <w:pPr>
        <w:rPr>
          <w:sz w:val="24"/>
          <w:lang w:val="en-ZA"/>
        </w:rPr>
      </w:pPr>
      <w:r>
        <w:rPr>
          <w:sz w:val="24"/>
          <w:lang w:val="en-ZA"/>
        </w:rPr>
        <w:t>[</w:t>
      </w:r>
      <w:r w:rsidR="00985212">
        <w:rPr>
          <w:sz w:val="24"/>
          <w:lang w:val="en-ZA"/>
        </w:rPr>
        <w:t>9</w:t>
      </w:r>
      <w:r>
        <w:rPr>
          <w:sz w:val="24"/>
          <w:lang w:val="en-ZA"/>
        </w:rPr>
        <w:t>]</w:t>
      </w:r>
      <w:r>
        <w:rPr>
          <w:sz w:val="24"/>
          <w:lang w:val="en-ZA"/>
        </w:rPr>
        <w:tab/>
      </w:r>
      <w:r w:rsidR="0086083F">
        <w:rPr>
          <w:sz w:val="24"/>
          <w:lang w:val="en-ZA"/>
        </w:rPr>
        <w:t xml:space="preserve">There was no direct attack aimed at the </w:t>
      </w:r>
      <w:r w:rsidR="00FE0AF1">
        <w:rPr>
          <w:sz w:val="24"/>
          <w:lang w:val="en-ZA"/>
        </w:rPr>
        <w:t xml:space="preserve">sentence imposed in respect of the </w:t>
      </w:r>
      <w:r w:rsidR="0086083F">
        <w:rPr>
          <w:sz w:val="24"/>
          <w:lang w:val="en-ZA"/>
        </w:rPr>
        <w:t xml:space="preserve">charge of </w:t>
      </w:r>
      <w:r w:rsidR="008E743D">
        <w:rPr>
          <w:sz w:val="24"/>
          <w:lang w:val="en-ZA"/>
        </w:rPr>
        <w:t>robbery with aggravating circumstances.</w:t>
      </w:r>
      <w:r w:rsidR="0086083F">
        <w:rPr>
          <w:sz w:val="24"/>
          <w:lang w:val="en-ZA"/>
        </w:rPr>
        <w:t xml:space="preserve"> </w:t>
      </w:r>
      <w:r w:rsidR="008E743D">
        <w:rPr>
          <w:sz w:val="24"/>
          <w:lang w:val="en-ZA"/>
        </w:rPr>
        <w:t>Thus, n</w:t>
      </w:r>
      <w:r w:rsidR="005A2F87" w:rsidRPr="00C16315">
        <w:rPr>
          <w:sz w:val="24"/>
          <w:lang w:val="en-ZA"/>
        </w:rPr>
        <w:t xml:space="preserve">o </w:t>
      </w:r>
      <w:r w:rsidR="007978FF">
        <w:rPr>
          <w:sz w:val="24"/>
          <w:lang w:val="en-ZA"/>
        </w:rPr>
        <w:t xml:space="preserve">specific </w:t>
      </w:r>
      <w:r w:rsidR="005A2F87" w:rsidRPr="00C16315">
        <w:rPr>
          <w:sz w:val="24"/>
          <w:lang w:val="en-ZA"/>
        </w:rPr>
        <w:t>submissions w</w:t>
      </w:r>
      <w:r w:rsidR="003D33AF" w:rsidRPr="00C16315">
        <w:rPr>
          <w:sz w:val="24"/>
          <w:lang w:val="en-ZA"/>
        </w:rPr>
        <w:t xml:space="preserve">ere made regarding why </w:t>
      </w:r>
      <w:r w:rsidR="00E43811">
        <w:rPr>
          <w:sz w:val="24"/>
          <w:lang w:val="en-ZA"/>
        </w:rPr>
        <w:t xml:space="preserve">there were any prospects of success in respect of </w:t>
      </w:r>
      <w:r w:rsidR="003D33AF" w:rsidRPr="00C16315">
        <w:rPr>
          <w:sz w:val="24"/>
          <w:lang w:val="en-ZA"/>
        </w:rPr>
        <w:t xml:space="preserve">the sentence imposed </w:t>
      </w:r>
      <w:r w:rsidR="000A415C">
        <w:rPr>
          <w:sz w:val="24"/>
          <w:lang w:val="en-ZA"/>
        </w:rPr>
        <w:t xml:space="preserve">on the applicant </w:t>
      </w:r>
      <w:r w:rsidR="00426633">
        <w:rPr>
          <w:sz w:val="24"/>
          <w:lang w:val="en-ZA"/>
        </w:rPr>
        <w:t xml:space="preserve">on </w:t>
      </w:r>
      <w:r w:rsidR="003D33AF" w:rsidRPr="00C16315">
        <w:rPr>
          <w:sz w:val="24"/>
          <w:lang w:val="en-ZA"/>
        </w:rPr>
        <w:t>th</w:t>
      </w:r>
      <w:r w:rsidR="008E743D">
        <w:rPr>
          <w:sz w:val="24"/>
          <w:lang w:val="en-ZA"/>
        </w:rPr>
        <w:t>is c</w:t>
      </w:r>
      <w:r w:rsidR="003D33AF" w:rsidRPr="00C16315">
        <w:rPr>
          <w:sz w:val="24"/>
          <w:lang w:val="en-ZA"/>
        </w:rPr>
        <w:t>harge</w:t>
      </w:r>
      <w:r w:rsidR="00426633">
        <w:rPr>
          <w:sz w:val="24"/>
          <w:lang w:val="en-ZA"/>
        </w:rPr>
        <w:t xml:space="preserve">. </w:t>
      </w:r>
      <w:r w:rsidR="00EB7D8F" w:rsidRPr="00C16315">
        <w:rPr>
          <w:sz w:val="24"/>
          <w:lang w:val="en-ZA"/>
        </w:rPr>
        <w:t xml:space="preserve">It </w:t>
      </w:r>
      <w:r w:rsidR="00174A6A">
        <w:rPr>
          <w:sz w:val="24"/>
          <w:lang w:val="en-ZA"/>
        </w:rPr>
        <w:t>wa</w:t>
      </w:r>
      <w:r w:rsidR="00EB7D8F" w:rsidRPr="00C16315">
        <w:rPr>
          <w:sz w:val="24"/>
          <w:lang w:val="en-ZA"/>
        </w:rPr>
        <w:t xml:space="preserve">s not disputed that </w:t>
      </w:r>
      <w:r w:rsidR="00426633">
        <w:rPr>
          <w:sz w:val="24"/>
          <w:lang w:val="en-ZA"/>
        </w:rPr>
        <w:t>t</w:t>
      </w:r>
      <w:r w:rsidR="00EB7D8F" w:rsidRPr="00C16315">
        <w:rPr>
          <w:sz w:val="24"/>
          <w:lang w:val="en-ZA"/>
        </w:rPr>
        <w:t xml:space="preserve">he indictment correctly categorised the offence </w:t>
      </w:r>
      <w:r w:rsidR="00426633">
        <w:rPr>
          <w:sz w:val="24"/>
          <w:lang w:val="en-ZA"/>
        </w:rPr>
        <w:t xml:space="preserve">of robbery with aggravating circumstances </w:t>
      </w:r>
      <w:r w:rsidR="00EB7D8F" w:rsidRPr="00C16315">
        <w:rPr>
          <w:sz w:val="24"/>
          <w:lang w:val="en-ZA"/>
        </w:rPr>
        <w:t xml:space="preserve">as one </w:t>
      </w:r>
      <w:r w:rsidR="009776AB">
        <w:rPr>
          <w:sz w:val="24"/>
          <w:lang w:val="en-ZA"/>
        </w:rPr>
        <w:t xml:space="preserve">falling within the purview of s 51(2) of the CLAA, </w:t>
      </w:r>
      <w:r w:rsidR="00EB7D8F" w:rsidRPr="00C16315">
        <w:rPr>
          <w:sz w:val="24"/>
          <w:lang w:val="en-ZA"/>
        </w:rPr>
        <w:t>in respect of which the sentence of 15 years</w:t>
      </w:r>
      <w:r w:rsidR="00015810">
        <w:rPr>
          <w:sz w:val="24"/>
          <w:lang w:val="en-ZA"/>
        </w:rPr>
        <w:t>’</w:t>
      </w:r>
      <w:r w:rsidR="00EB7D8F" w:rsidRPr="00C16315">
        <w:rPr>
          <w:sz w:val="24"/>
          <w:lang w:val="en-ZA"/>
        </w:rPr>
        <w:t xml:space="preserve"> imprisonment is the prescribed sentence for a first offender.</w:t>
      </w:r>
      <w:r w:rsidR="00F32E5B">
        <w:rPr>
          <w:sz w:val="24"/>
          <w:lang w:val="en-ZA"/>
        </w:rPr>
        <w:t xml:space="preserve"> </w:t>
      </w:r>
      <w:r w:rsidR="009776AB">
        <w:rPr>
          <w:sz w:val="24"/>
          <w:lang w:val="en-ZA"/>
        </w:rPr>
        <w:t xml:space="preserve">Significantly, it was conceded that the indictment </w:t>
      </w:r>
      <w:r w:rsidR="00121E22">
        <w:rPr>
          <w:sz w:val="24"/>
          <w:lang w:val="en-ZA"/>
        </w:rPr>
        <w:t>gave</w:t>
      </w:r>
      <w:r w:rsidR="009776AB">
        <w:rPr>
          <w:sz w:val="24"/>
          <w:lang w:val="en-ZA"/>
        </w:rPr>
        <w:t xml:space="preserve"> an ‘extensive description’</w:t>
      </w:r>
      <w:r w:rsidR="00121E22">
        <w:rPr>
          <w:sz w:val="24"/>
          <w:lang w:val="en-ZA"/>
        </w:rPr>
        <w:t xml:space="preserve"> of the circumstances giving rise to the robbery charge. </w:t>
      </w:r>
      <w:r w:rsidR="00332F6E" w:rsidRPr="00153497">
        <w:rPr>
          <w:sz w:val="24"/>
        </w:rPr>
        <w:t>An appeal court is only at large to interfere with a sentence imposed by a trial court if there has been a material misdirection or the sentence is so grossly disproportionate as to induce a sense of shock.</w:t>
      </w:r>
      <w:r w:rsidR="000536F3">
        <w:rPr>
          <w:rStyle w:val="FootnoteReference"/>
          <w:sz w:val="24"/>
        </w:rPr>
        <w:footnoteReference w:id="6"/>
      </w:r>
      <w:r w:rsidR="00332F6E" w:rsidRPr="00153497">
        <w:rPr>
          <w:sz w:val="24"/>
        </w:rPr>
        <w:t xml:space="preserve"> </w:t>
      </w:r>
      <w:r w:rsidR="00332F6E">
        <w:rPr>
          <w:sz w:val="24"/>
        </w:rPr>
        <w:t xml:space="preserve">Unless submissions are made which raise these features, it cannot be said that leave to appeal should have been granted on this count. </w:t>
      </w:r>
      <w:r w:rsidR="00332F6E" w:rsidRPr="00153497">
        <w:rPr>
          <w:sz w:val="24"/>
        </w:rPr>
        <w:t>Since no such submissions were made on count 1, nothing more need be said</w:t>
      </w:r>
      <w:r w:rsidR="00332F6E">
        <w:rPr>
          <w:sz w:val="24"/>
        </w:rPr>
        <w:t xml:space="preserve"> on</w:t>
      </w:r>
      <w:r w:rsidR="00332F6E" w:rsidRPr="00153497">
        <w:rPr>
          <w:sz w:val="24"/>
        </w:rPr>
        <w:t xml:space="preserve"> this count.</w:t>
      </w:r>
      <w:r w:rsidR="00332F6E" w:rsidRPr="0066458C">
        <w:rPr>
          <w:b/>
          <w:bCs/>
          <w:sz w:val="24"/>
          <w:lang w:val="en-ZA"/>
        </w:rPr>
        <w:t xml:space="preserve"> </w:t>
      </w:r>
    </w:p>
    <w:p w14:paraId="105F1FF8" w14:textId="77777777" w:rsidR="00A057F7" w:rsidRPr="0066458C" w:rsidRDefault="00A057F7" w:rsidP="00387A6D">
      <w:pPr>
        <w:rPr>
          <w:b/>
          <w:bCs/>
          <w:sz w:val="24"/>
          <w:lang w:val="en-ZA"/>
        </w:rPr>
      </w:pPr>
    </w:p>
    <w:p w14:paraId="2C5A2BCC" w14:textId="77777777" w:rsidR="001D4F21" w:rsidRDefault="00A057F7" w:rsidP="00387A6D">
      <w:pPr>
        <w:rPr>
          <w:sz w:val="24"/>
          <w:lang w:val="en-ZA"/>
        </w:rPr>
      </w:pPr>
      <w:r>
        <w:rPr>
          <w:sz w:val="24"/>
          <w:lang w:val="en-ZA"/>
        </w:rPr>
        <w:t>[</w:t>
      </w:r>
      <w:r w:rsidR="00985212">
        <w:rPr>
          <w:sz w:val="24"/>
          <w:lang w:val="en-ZA"/>
        </w:rPr>
        <w:t>10</w:t>
      </w:r>
      <w:r>
        <w:rPr>
          <w:sz w:val="24"/>
          <w:lang w:val="en-ZA"/>
        </w:rPr>
        <w:t>]</w:t>
      </w:r>
      <w:r>
        <w:rPr>
          <w:sz w:val="24"/>
          <w:lang w:val="en-ZA"/>
        </w:rPr>
        <w:tab/>
      </w:r>
      <w:r w:rsidR="00781E8A">
        <w:rPr>
          <w:sz w:val="24"/>
          <w:lang w:val="en-ZA"/>
        </w:rPr>
        <w:t xml:space="preserve">In any event, </w:t>
      </w:r>
      <w:r w:rsidR="00DC18B4">
        <w:rPr>
          <w:sz w:val="24"/>
          <w:lang w:val="en-ZA"/>
        </w:rPr>
        <w:t xml:space="preserve">I have not detected any misdirection committed by the trial court in respect of the minimum sentence imposed on the applicant. </w:t>
      </w:r>
      <w:r w:rsidR="007978FF">
        <w:rPr>
          <w:sz w:val="24"/>
          <w:lang w:val="en-ZA"/>
        </w:rPr>
        <w:t>In my view, t</w:t>
      </w:r>
      <w:r w:rsidR="002F56C2" w:rsidRPr="00C16315">
        <w:rPr>
          <w:sz w:val="24"/>
          <w:lang w:val="en-ZA"/>
        </w:rPr>
        <w:t xml:space="preserve">here are no substantial and compelling circumstances that warrant deviating from the applicable minimum sentence of </w:t>
      </w:r>
      <w:r w:rsidR="00044FB6" w:rsidRPr="00C16315">
        <w:rPr>
          <w:sz w:val="24"/>
          <w:lang w:val="en-ZA"/>
        </w:rPr>
        <w:t>15 years</w:t>
      </w:r>
      <w:r w:rsidR="00015810">
        <w:rPr>
          <w:sz w:val="24"/>
          <w:lang w:val="en-ZA"/>
        </w:rPr>
        <w:t>’</w:t>
      </w:r>
      <w:r w:rsidR="00044FB6" w:rsidRPr="00C16315">
        <w:rPr>
          <w:sz w:val="24"/>
          <w:lang w:val="en-ZA"/>
        </w:rPr>
        <w:t xml:space="preserve"> imprisonment imposed on the applicant. </w:t>
      </w:r>
      <w:r w:rsidR="00F16FF0">
        <w:rPr>
          <w:sz w:val="24"/>
          <w:lang w:val="en-ZA"/>
        </w:rPr>
        <w:t xml:space="preserve">The full court </w:t>
      </w:r>
      <w:r w:rsidR="00273CE9">
        <w:rPr>
          <w:sz w:val="24"/>
          <w:lang w:val="en-ZA"/>
        </w:rPr>
        <w:t xml:space="preserve">justifiably </w:t>
      </w:r>
      <w:r w:rsidR="00F16FF0">
        <w:rPr>
          <w:sz w:val="24"/>
          <w:lang w:val="en-ZA"/>
        </w:rPr>
        <w:t xml:space="preserve">dismissed the appeal directed at this sentence. </w:t>
      </w:r>
      <w:r w:rsidR="00044FB6" w:rsidRPr="00C16315">
        <w:rPr>
          <w:sz w:val="24"/>
          <w:lang w:val="en-ZA"/>
        </w:rPr>
        <w:t xml:space="preserve">It follows that </w:t>
      </w:r>
      <w:r w:rsidR="003B31D5">
        <w:rPr>
          <w:sz w:val="24"/>
          <w:lang w:val="en-ZA"/>
        </w:rPr>
        <w:t xml:space="preserve">the </w:t>
      </w:r>
      <w:r w:rsidR="007E61D5">
        <w:rPr>
          <w:sz w:val="24"/>
          <w:lang w:val="en-ZA"/>
        </w:rPr>
        <w:t xml:space="preserve">two judges who considered the </w:t>
      </w:r>
      <w:r w:rsidR="003B31D5">
        <w:rPr>
          <w:sz w:val="24"/>
          <w:lang w:val="en-ZA"/>
        </w:rPr>
        <w:t xml:space="preserve">applicant’s </w:t>
      </w:r>
      <w:r w:rsidR="00044FB6" w:rsidRPr="00C16315">
        <w:rPr>
          <w:sz w:val="24"/>
          <w:lang w:val="en-ZA"/>
        </w:rPr>
        <w:t xml:space="preserve">application for </w:t>
      </w:r>
      <w:r w:rsidR="007E61D5">
        <w:rPr>
          <w:sz w:val="24"/>
          <w:lang w:val="en-ZA"/>
        </w:rPr>
        <w:t xml:space="preserve">special </w:t>
      </w:r>
      <w:r w:rsidR="00044FB6" w:rsidRPr="00C16315">
        <w:rPr>
          <w:sz w:val="24"/>
          <w:lang w:val="en-ZA"/>
        </w:rPr>
        <w:t xml:space="preserve">leave to appeal against this sentence </w:t>
      </w:r>
      <w:r w:rsidR="007E61D5">
        <w:rPr>
          <w:sz w:val="24"/>
          <w:lang w:val="en-ZA"/>
        </w:rPr>
        <w:t>correctly dismissed th</w:t>
      </w:r>
      <w:r w:rsidR="007E122E">
        <w:rPr>
          <w:sz w:val="24"/>
          <w:lang w:val="en-ZA"/>
        </w:rPr>
        <w:t xml:space="preserve">e </w:t>
      </w:r>
      <w:r w:rsidR="007E61D5">
        <w:rPr>
          <w:sz w:val="24"/>
          <w:lang w:val="en-ZA"/>
        </w:rPr>
        <w:t>application</w:t>
      </w:r>
      <w:r w:rsidR="007E122E">
        <w:rPr>
          <w:sz w:val="24"/>
          <w:lang w:val="en-ZA"/>
        </w:rPr>
        <w:t xml:space="preserve"> in relation to count 1</w:t>
      </w:r>
      <w:r w:rsidR="007E61D5">
        <w:rPr>
          <w:sz w:val="24"/>
          <w:lang w:val="en-ZA"/>
        </w:rPr>
        <w:t xml:space="preserve">. </w:t>
      </w:r>
    </w:p>
    <w:p w14:paraId="1A4EF556" w14:textId="77777777" w:rsidR="00320BFF" w:rsidRPr="00C16315" w:rsidRDefault="00320BFF" w:rsidP="00387A6D">
      <w:pPr>
        <w:rPr>
          <w:sz w:val="24"/>
          <w:lang w:val="en-ZA"/>
        </w:rPr>
      </w:pPr>
    </w:p>
    <w:p w14:paraId="62269342" w14:textId="77777777" w:rsidR="001D4F21" w:rsidRPr="00452211" w:rsidRDefault="008668EE" w:rsidP="00387A6D">
      <w:pPr>
        <w:rPr>
          <w:b/>
          <w:iCs/>
          <w:sz w:val="24"/>
          <w:lang w:val="en-ZA"/>
        </w:rPr>
      </w:pPr>
      <w:r w:rsidRPr="00452211">
        <w:rPr>
          <w:b/>
          <w:iCs/>
          <w:sz w:val="24"/>
          <w:lang w:val="en-ZA"/>
        </w:rPr>
        <w:lastRenderedPageBreak/>
        <w:t>Murder</w:t>
      </w:r>
      <w:r w:rsidR="006557A8">
        <w:rPr>
          <w:b/>
          <w:iCs/>
          <w:sz w:val="24"/>
          <w:lang w:val="en-ZA"/>
        </w:rPr>
        <w:t xml:space="preserve"> (count two)</w:t>
      </w:r>
    </w:p>
    <w:p w14:paraId="7CEC3735" w14:textId="51C59071" w:rsidR="00BC3F52" w:rsidRDefault="00D31C0D" w:rsidP="00387A6D">
      <w:pPr>
        <w:rPr>
          <w:sz w:val="24"/>
          <w:lang w:val="en-ZA"/>
        </w:rPr>
      </w:pPr>
      <w:r w:rsidRPr="00C16315">
        <w:rPr>
          <w:sz w:val="24"/>
          <w:lang w:val="en-ZA"/>
        </w:rPr>
        <w:t>[</w:t>
      </w:r>
      <w:r w:rsidR="002924E4">
        <w:rPr>
          <w:sz w:val="24"/>
          <w:lang w:val="en-ZA"/>
        </w:rPr>
        <w:t>1</w:t>
      </w:r>
      <w:r w:rsidR="002970B8">
        <w:rPr>
          <w:sz w:val="24"/>
          <w:lang w:val="en-ZA"/>
        </w:rPr>
        <w:t>1</w:t>
      </w:r>
      <w:r w:rsidRPr="00C16315">
        <w:rPr>
          <w:sz w:val="24"/>
          <w:lang w:val="en-ZA"/>
        </w:rPr>
        <w:t>]</w:t>
      </w:r>
      <w:r w:rsidRPr="00C16315">
        <w:rPr>
          <w:sz w:val="24"/>
          <w:lang w:val="en-ZA"/>
        </w:rPr>
        <w:tab/>
      </w:r>
      <w:r w:rsidR="00B802B2" w:rsidRPr="00C16315">
        <w:rPr>
          <w:sz w:val="24"/>
          <w:lang w:val="en-ZA"/>
        </w:rPr>
        <w:t xml:space="preserve">In respect of </w:t>
      </w:r>
      <w:r w:rsidR="00573FBC" w:rsidRPr="00C16315">
        <w:rPr>
          <w:sz w:val="24"/>
          <w:lang w:val="en-ZA"/>
        </w:rPr>
        <w:t xml:space="preserve">the </w:t>
      </w:r>
      <w:r w:rsidR="00B802B2" w:rsidRPr="00C16315">
        <w:rPr>
          <w:sz w:val="24"/>
          <w:lang w:val="en-ZA"/>
        </w:rPr>
        <w:t>murder</w:t>
      </w:r>
      <w:r w:rsidR="00573FBC" w:rsidRPr="00C16315">
        <w:rPr>
          <w:sz w:val="24"/>
          <w:lang w:val="en-ZA"/>
        </w:rPr>
        <w:t xml:space="preserve"> conviction</w:t>
      </w:r>
      <w:r w:rsidR="00B802B2" w:rsidRPr="00C16315">
        <w:rPr>
          <w:sz w:val="24"/>
          <w:lang w:val="en-ZA"/>
        </w:rPr>
        <w:t>, t</w:t>
      </w:r>
      <w:r w:rsidRPr="00C16315">
        <w:rPr>
          <w:sz w:val="24"/>
          <w:lang w:val="en-ZA"/>
        </w:rPr>
        <w:t>he app</w:t>
      </w:r>
      <w:r w:rsidR="003C253A" w:rsidRPr="00C16315">
        <w:rPr>
          <w:sz w:val="24"/>
          <w:lang w:val="en-ZA"/>
        </w:rPr>
        <w:t xml:space="preserve">licant </w:t>
      </w:r>
      <w:r w:rsidRPr="00C16315">
        <w:rPr>
          <w:sz w:val="24"/>
          <w:lang w:val="en-ZA"/>
        </w:rPr>
        <w:t>was</w:t>
      </w:r>
      <w:r w:rsidR="00B05C85" w:rsidRPr="00C16315">
        <w:rPr>
          <w:sz w:val="24"/>
          <w:lang w:val="en-ZA"/>
        </w:rPr>
        <w:t xml:space="preserve"> </w:t>
      </w:r>
      <w:r w:rsidRPr="00C16315">
        <w:rPr>
          <w:sz w:val="24"/>
          <w:lang w:val="en-ZA"/>
        </w:rPr>
        <w:t xml:space="preserve">sentenced to life imprisonment </w:t>
      </w:r>
      <w:r w:rsidR="00D0687B" w:rsidRPr="00C16315">
        <w:rPr>
          <w:sz w:val="24"/>
          <w:lang w:val="en-ZA"/>
        </w:rPr>
        <w:t xml:space="preserve">as envisaged in </w:t>
      </w:r>
      <w:r w:rsidRPr="00C16315">
        <w:rPr>
          <w:sz w:val="24"/>
          <w:lang w:val="en-ZA"/>
        </w:rPr>
        <w:t xml:space="preserve">s 51(1) of the CLAA. </w:t>
      </w:r>
      <w:r w:rsidR="00E4669D" w:rsidRPr="00C16315">
        <w:rPr>
          <w:sz w:val="24"/>
          <w:lang w:val="en-ZA"/>
        </w:rPr>
        <w:t>However, t</w:t>
      </w:r>
      <w:r w:rsidRPr="00C16315">
        <w:rPr>
          <w:sz w:val="24"/>
          <w:lang w:val="en-ZA"/>
        </w:rPr>
        <w:t xml:space="preserve">he indictment </w:t>
      </w:r>
      <w:r w:rsidR="003D6F85">
        <w:rPr>
          <w:sz w:val="24"/>
          <w:lang w:val="en-ZA"/>
        </w:rPr>
        <w:t xml:space="preserve">described the murder as one envisaged in </w:t>
      </w:r>
      <w:r w:rsidRPr="00C16315">
        <w:rPr>
          <w:sz w:val="24"/>
          <w:lang w:val="en-ZA"/>
        </w:rPr>
        <w:t xml:space="preserve">s 51(2) of the CLAA. </w:t>
      </w:r>
      <w:r w:rsidR="00D566EE" w:rsidRPr="00C16315">
        <w:rPr>
          <w:sz w:val="24"/>
          <w:lang w:val="en-ZA"/>
        </w:rPr>
        <w:t>I</w:t>
      </w:r>
      <w:r w:rsidRPr="00C16315">
        <w:rPr>
          <w:sz w:val="24"/>
          <w:lang w:val="en-ZA"/>
        </w:rPr>
        <w:t xml:space="preserve">n dismissing the </w:t>
      </w:r>
      <w:r w:rsidR="00FF0A88" w:rsidRPr="00C16315">
        <w:rPr>
          <w:sz w:val="24"/>
          <w:lang w:val="en-ZA"/>
        </w:rPr>
        <w:t xml:space="preserve">applicant’s </w:t>
      </w:r>
      <w:r w:rsidRPr="00C16315">
        <w:rPr>
          <w:sz w:val="24"/>
          <w:lang w:val="en-ZA"/>
        </w:rPr>
        <w:t xml:space="preserve">appeal </w:t>
      </w:r>
      <w:r w:rsidR="00FF0A88" w:rsidRPr="00C16315">
        <w:rPr>
          <w:sz w:val="24"/>
          <w:lang w:val="en-ZA"/>
        </w:rPr>
        <w:t xml:space="preserve">in respect of this count, </w:t>
      </w:r>
      <w:r w:rsidR="00D566EE" w:rsidRPr="00C16315">
        <w:rPr>
          <w:sz w:val="24"/>
          <w:lang w:val="en-ZA"/>
        </w:rPr>
        <w:t xml:space="preserve">the </w:t>
      </w:r>
      <w:r w:rsidR="00FF0A88" w:rsidRPr="00C16315">
        <w:rPr>
          <w:sz w:val="24"/>
          <w:lang w:val="en-ZA"/>
        </w:rPr>
        <w:t xml:space="preserve">full </w:t>
      </w:r>
      <w:r w:rsidR="00585283">
        <w:rPr>
          <w:sz w:val="24"/>
          <w:lang w:val="en-ZA"/>
        </w:rPr>
        <w:t>court</w:t>
      </w:r>
      <w:r w:rsidR="00585283" w:rsidRPr="00C16315">
        <w:rPr>
          <w:sz w:val="24"/>
          <w:lang w:val="en-ZA"/>
        </w:rPr>
        <w:t xml:space="preserve"> </w:t>
      </w:r>
      <w:r w:rsidR="00B7459B" w:rsidRPr="00C16315">
        <w:rPr>
          <w:sz w:val="24"/>
          <w:lang w:val="en-ZA"/>
        </w:rPr>
        <w:t>foun</w:t>
      </w:r>
      <w:r w:rsidRPr="00C16315">
        <w:rPr>
          <w:sz w:val="24"/>
          <w:lang w:val="en-ZA"/>
        </w:rPr>
        <w:t xml:space="preserve">d that </w:t>
      </w:r>
      <w:r w:rsidR="00A32DB6">
        <w:rPr>
          <w:sz w:val="24"/>
          <w:lang w:val="en-ZA"/>
        </w:rPr>
        <w:t>despite the indictment categorising the murder as one envisaged in s 51(2) of the CLAA, the applicant</w:t>
      </w:r>
      <w:r w:rsidR="008C6B1E">
        <w:rPr>
          <w:sz w:val="24"/>
          <w:lang w:val="en-ZA"/>
        </w:rPr>
        <w:t xml:space="preserve">’s </w:t>
      </w:r>
      <w:r w:rsidR="00320324">
        <w:rPr>
          <w:sz w:val="24"/>
          <w:lang w:val="en-ZA"/>
        </w:rPr>
        <w:t xml:space="preserve">right to a fair trial was not compromised by the fact that the trial court imposed a sentence </w:t>
      </w:r>
      <w:r w:rsidR="0045511D">
        <w:rPr>
          <w:sz w:val="24"/>
          <w:lang w:val="en-ZA"/>
        </w:rPr>
        <w:t xml:space="preserve">considered to be a minimum sentence within the contemplation of </w:t>
      </w:r>
      <w:r w:rsidRPr="00C16315">
        <w:rPr>
          <w:sz w:val="24"/>
          <w:lang w:val="en-ZA"/>
        </w:rPr>
        <w:t>s 51(1) of CLAA</w:t>
      </w:r>
      <w:r w:rsidR="0045511D">
        <w:rPr>
          <w:sz w:val="24"/>
          <w:lang w:val="en-ZA"/>
        </w:rPr>
        <w:t>, namely life imprisonment.</w:t>
      </w:r>
      <w:r w:rsidRPr="00C16315">
        <w:rPr>
          <w:sz w:val="24"/>
          <w:lang w:val="en-ZA"/>
        </w:rPr>
        <w:t xml:space="preserve">  </w:t>
      </w:r>
      <w:r w:rsidR="002A6851" w:rsidRPr="00C16315">
        <w:rPr>
          <w:sz w:val="24"/>
          <w:lang w:val="en-ZA"/>
        </w:rPr>
        <w:t>It</w:t>
      </w:r>
      <w:r w:rsidR="00D15051">
        <w:rPr>
          <w:sz w:val="24"/>
          <w:lang w:val="en-ZA"/>
        </w:rPr>
        <w:t xml:space="preserve"> had</w:t>
      </w:r>
      <w:r w:rsidR="00462494" w:rsidRPr="00462494">
        <w:rPr>
          <w:sz w:val="24"/>
          <w:lang w:val="en-ZA"/>
        </w:rPr>
        <w:t>,</w:t>
      </w:r>
      <w:r w:rsidR="002A6851" w:rsidRPr="00462494">
        <w:rPr>
          <w:sz w:val="24"/>
          <w:lang w:val="en-ZA"/>
        </w:rPr>
        <w:t xml:space="preserve"> </w:t>
      </w:r>
      <w:r w:rsidR="00D15051" w:rsidRPr="00462494">
        <w:rPr>
          <w:sz w:val="24"/>
          <w:lang w:val="en-ZA"/>
        </w:rPr>
        <w:t>inter alia</w:t>
      </w:r>
      <w:r w:rsidR="00462494" w:rsidRPr="00462494">
        <w:rPr>
          <w:sz w:val="24"/>
          <w:lang w:val="en-ZA"/>
        </w:rPr>
        <w:t>,</w:t>
      </w:r>
      <w:r w:rsidR="00D15051">
        <w:rPr>
          <w:sz w:val="24"/>
          <w:lang w:val="en-ZA"/>
        </w:rPr>
        <w:t xml:space="preserve"> </w:t>
      </w:r>
      <w:r w:rsidR="002A6851" w:rsidRPr="00C16315">
        <w:rPr>
          <w:sz w:val="24"/>
          <w:lang w:val="en-ZA"/>
        </w:rPr>
        <w:t xml:space="preserve">noted that </w:t>
      </w:r>
      <w:r w:rsidR="002211E4" w:rsidRPr="00C16315">
        <w:rPr>
          <w:sz w:val="24"/>
          <w:lang w:val="en-ZA"/>
        </w:rPr>
        <w:t xml:space="preserve">at the time when </w:t>
      </w:r>
      <w:r w:rsidR="0065311E">
        <w:rPr>
          <w:sz w:val="24"/>
          <w:lang w:val="en-ZA"/>
        </w:rPr>
        <w:t>the first appellant</w:t>
      </w:r>
      <w:r w:rsidR="00F736E1" w:rsidRPr="00C16315">
        <w:rPr>
          <w:sz w:val="24"/>
          <w:lang w:val="en-ZA"/>
        </w:rPr>
        <w:t xml:space="preserve"> </w:t>
      </w:r>
      <w:r w:rsidR="00AD21FE">
        <w:rPr>
          <w:sz w:val="24"/>
          <w:lang w:val="en-ZA"/>
        </w:rPr>
        <w:t xml:space="preserve">before it </w:t>
      </w:r>
      <w:r w:rsidR="00F736E1" w:rsidRPr="00C16315">
        <w:rPr>
          <w:sz w:val="24"/>
          <w:lang w:val="en-ZA"/>
        </w:rPr>
        <w:t xml:space="preserve">was required to record his </w:t>
      </w:r>
      <w:r w:rsidR="002211E4" w:rsidRPr="00C16315">
        <w:rPr>
          <w:sz w:val="24"/>
          <w:lang w:val="en-ZA"/>
        </w:rPr>
        <w:t xml:space="preserve">plea in respect of the different counts, the trial court had asked </w:t>
      </w:r>
      <w:r w:rsidR="00F736E1" w:rsidRPr="00C16315">
        <w:rPr>
          <w:sz w:val="24"/>
          <w:lang w:val="en-ZA"/>
        </w:rPr>
        <w:t xml:space="preserve">his </w:t>
      </w:r>
      <w:r w:rsidR="002211E4" w:rsidRPr="00C16315">
        <w:rPr>
          <w:sz w:val="24"/>
          <w:lang w:val="en-ZA"/>
        </w:rPr>
        <w:t xml:space="preserve">counsel whether </w:t>
      </w:r>
      <w:r w:rsidR="00F736E1" w:rsidRPr="00C16315">
        <w:rPr>
          <w:sz w:val="24"/>
          <w:lang w:val="en-ZA"/>
        </w:rPr>
        <w:t xml:space="preserve">he </w:t>
      </w:r>
      <w:r w:rsidR="00D15051">
        <w:rPr>
          <w:sz w:val="24"/>
          <w:lang w:val="en-ZA"/>
        </w:rPr>
        <w:t xml:space="preserve">(the first appellant) </w:t>
      </w:r>
      <w:r w:rsidR="006A6D02">
        <w:rPr>
          <w:sz w:val="24"/>
          <w:lang w:val="en-ZA"/>
        </w:rPr>
        <w:t xml:space="preserve">understood the law relating to minimum sentences. </w:t>
      </w:r>
      <w:r w:rsidR="00011F16" w:rsidRPr="00C16315">
        <w:rPr>
          <w:sz w:val="24"/>
          <w:lang w:val="en-ZA"/>
        </w:rPr>
        <w:t xml:space="preserve"> </w:t>
      </w:r>
      <w:r w:rsidR="006A6D02">
        <w:rPr>
          <w:sz w:val="24"/>
          <w:lang w:val="en-ZA"/>
        </w:rPr>
        <w:t>When the first appellant answered in the negative</w:t>
      </w:r>
      <w:r w:rsidR="00A61325">
        <w:rPr>
          <w:sz w:val="24"/>
          <w:lang w:val="en-ZA"/>
        </w:rPr>
        <w:t>,</w:t>
      </w:r>
      <w:r w:rsidR="002A6851" w:rsidRPr="00C16315">
        <w:rPr>
          <w:sz w:val="24"/>
          <w:lang w:val="en-ZA"/>
        </w:rPr>
        <w:t xml:space="preserve"> the trial court </w:t>
      </w:r>
      <w:r w:rsidR="00011F16" w:rsidRPr="00C16315">
        <w:rPr>
          <w:sz w:val="24"/>
          <w:lang w:val="en-ZA"/>
        </w:rPr>
        <w:t xml:space="preserve">had then </w:t>
      </w:r>
      <w:r w:rsidR="002A6851" w:rsidRPr="00C16315">
        <w:rPr>
          <w:sz w:val="24"/>
          <w:lang w:val="en-ZA"/>
        </w:rPr>
        <w:t>afforded hi</w:t>
      </w:r>
      <w:r w:rsidR="00A61325">
        <w:rPr>
          <w:sz w:val="24"/>
          <w:lang w:val="en-ZA"/>
        </w:rPr>
        <w:t>s</w:t>
      </w:r>
      <w:r w:rsidR="002A6851" w:rsidRPr="00C16315">
        <w:rPr>
          <w:sz w:val="24"/>
          <w:lang w:val="en-ZA"/>
        </w:rPr>
        <w:t xml:space="preserve"> </w:t>
      </w:r>
      <w:r w:rsidR="00A61325">
        <w:rPr>
          <w:sz w:val="24"/>
          <w:lang w:val="en-ZA"/>
        </w:rPr>
        <w:t xml:space="preserve">counsel </w:t>
      </w:r>
      <w:r w:rsidR="002A6851" w:rsidRPr="00C16315">
        <w:rPr>
          <w:sz w:val="24"/>
          <w:lang w:val="en-ZA"/>
        </w:rPr>
        <w:t xml:space="preserve">an opportunity to explain </w:t>
      </w:r>
      <w:r w:rsidR="00A61325">
        <w:rPr>
          <w:sz w:val="24"/>
          <w:lang w:val="en-ZA"/>
        </w:rPr>
        <w:t>what the law pertaining to minimum sentences entailed.</w:t>
      </w:r>
      <w:r w:rsidR="002A6851" w:rsidRPr="00C16315">
        <w:rPr>
          <w:sz w:val="24"/>
          <w:lang w:val="en-ZA"/>
        </w:rPr>
        <w:t xml:space="preserve"> </w:t>
      </w:r>
    </w:p>
    <w:p w14:paraId="0D0EE7E4" w14:textId="77777777" w:rsidR="00414763" w:rsidRDefault="00414763" w:rsidP="00387A6D">
      <w:pPr>
        <w:rPr>
          <w:sz w:val="24"/>
          <w:lang w:val="en-ZA"/>
        </w:rPr>
      </w:pPr>
    </w:p>
    <w:p w14:paraId="0FE2BE38" w14:textId="77777777" w:rsidR="00D31C0D" w:rsidRPr="00C16315" w:rsidRDefault="00BC3F52" w:rsidP="00387A6D">
      <w:pPr>
        <w:rPr>
          <w:sz w:val="24"/>
          <w:lang w:val="en-ZA"/>
        </w:rPr>
      </w:pPr>
      <w:r>
        <w:rPr>
          <w:sz w:val="24"/>
          <w:lang w:val="en-ZA"/>
        </w:rPr>
        <w:t>[1</w:t>
      </w:r>
      <w:r w:rsidR="002970B8">
        <w:rPr>
          <w:sz w:val="24"/>
          <w:lang w:val="en-ZA"/>
        </w:rPr>
        <w:t>2</w:t>
      </w:r>
      <w:r>
        <w:rPr>
          <w:sz w:val="24"/>
          <w:lang w:val="en-ZA"/>
        </w:rPr>
        <w:t>]</w:t>
      </w:r>
      <w:r>
        <w:rPr>
          <w:sz w:val="24"/>
          <w:lang w:val="en-ZA"/>
        </w:rPr>
        <w:tab/>
      </w:r>
      <w:r w:rsidR="002A6851" w:rsidRPr="00C16315">
        <w:rPr>
          <w:sz w:val="24"/>
          <w:lang w:val="en-ZA"/>
        </w:rPr>
        <w:t xml:space="preserve">The full court accepted that at that stage, the legal representatives representing the rest of the accused persons would in all probability have taken advantage of that opportunity to </w:t>
      </w:r>
      <w:r w:rsidR="00743D1F" w:rsidRPr="00C16315">
        <w:rPr>
          <w:sz w:val="24"/>
          <w:lang w:val="en-ZA"/>
        </w:rPr>
        <w:t xml:space="preserve">individually </w:t>
      </w:r>
      <w:r w:rsidR="002A6851" w:rsidRPr="00C16315">
        <w:rPr>
          <w:sz w:val="24"/>
          <w:lang w:val="en-ZA"/>
        </w:rPr>
        <w:t xml:space="preserve">explain to their own clients </w:t>
      </w:r>
      <w:r w:rsidR="005967BD" w:rsidRPr="00C16315">
        <w:rPr>
          <w:sz w:val="24"/>
          <w:lang w:val="en-ZA"/>
        </w:rPr>
        <w:t xml:space="preserve">about </w:t>
      </w:r>
      <w:r w:rsidR="002A6851" w:rsidRPr="00C16315">
        <w:rPr>
          <w:sz w:val="24"/>
          <w:lang w:val="en-ZA"/>
        </w:rPr>
        <w:t>the applicable minimum sentences</w:t>
      </w:r>
      <w:r w:rsidR="00806953" w:rsidRPr="00C16315">
        <w:rPr>
          <w:sz w:val="24"/>
          <w:lang w:val="en-ZA"/>
        </w:rPr>
        <w:t>.</w:t>
      </w:r>
      <w:r w:rsidR="00573FBC" w:rsidRPr="00C16315">
        <w:rPr>
          <w:sz w:val="24"/>
          <w:lang w:val="en-ZA"/>
        </w:rPr>
        <w:t xml:space="preserve"> </w:t>
      </w:r>
      <w:r w:rsidR="0011744C">
        <w:rPr>
          <w:sz w:val="24"/>
          <w:lang w:val="en-ZA"/>
        </w:rPr>
        <w:t xml:space="preserve">It </w:t>
      </w:r>
      <w:r w:rsidR="00AD21FE">
        <w:rPr>
          <w:sz w:val="24"/>
          <w:lang w:val="en-ZA"/>
        </w:rPr>
        <w:t xml:space="preserve">considered that opinion to be </w:t>
      </w:r>
      <w:r w:rsidR="0011744C">
        <w:rPr>
          <w:sz w:val="24"/>
          <w:lang w:val="en-ZA"/>
        </w:rPr>
        <w:t xml:space="preserve">bolstered by the </w:t>
      </w:r>
      <w:r w:rsidR="00145AE7">
        <w:rPr>
          <w:sz w:val="24"/>
          <w:lang w:val="en-ZA"/>
        </w:rPr>
        <w:t xml:space="preserve">absence of any objection </w:t>
      </w:r>
      <w:r w:rsidR="00E34B59">
        <w:rPr>
          <w:sz w:val="24"/>
          <w:lang w:val="en-ZA"/>
        </w:rPr>
        <w:t xml:space="preserve">from any of the </w:t>
      </w:r>
      <w:r w:rsidR="00145AE7">
        <w:rPr>
          <w:sz w:val="24"/>
          <w:lang w:val="en-ZA"/>
        </w:rPr>
        <w:t>appellants</w:t>
      </w:r>
      <w:r w:rsidR="00E34B59">
        <w:rPr>
          <w:sz w:val="24"/>
          <w:lang w:val="en-ZA"/>
        </w:rPr>
        <w:t>’ counsel</w:t>
      </w:r>
      <w:r w:rsidR="00145AE7">
        <w:rPr>
          <w:sz w:val="24"/>
          <w:lang w:val="en-ZA"/>
        </w:rPr>
        <w:t xml:space="preserve"> </w:t>
      </w:r>
      <w:r w:rsidR="00E34B59">
        <w:rPr>
          <w:sz w:val="24"/>
          <w:lang w:val="en-ZA"/>
        </w:rPr>
        <w:t xml:space="preserve">regarding </w:t>
      </w:r>
      <w:r w:rsidR="00145AE7">
        <w:rPr>
          <w:sz w:val="24"/>
          <w:lang w:val="en-ZA"/>
        </w:rPr>
        <w:t>the applicability of life imprisonment as a minimum sentence</w:t>
      </w:r>
      <w:r w:rsidR="004E6E01">
        <w:rPr>
          <w:sz w:val="24"/>
          <w:lang w:val="en-ZA"/>
        </w:rPr>
        <w:t>.</w:t>
      </w:r>
      <w:r w:rsidR="00891D89">
        <w:rPr>
          <w:sz w:val="24"/>
          <w:lang w:val="en-ZA"/>
        </w:rPr>
        <w:t xml:space="preserve"> </w:t>
      </w:r>
    </w:p>
    <w:p w14:paraId="08A81A27" w14:textId="77777777" w:rsidR="00FD0BA4" w:rsidRDefault="00FD0BA4" w:rsidP="00502B1A">
      <w:pPr>
        <w:rPr>
          <w:sz w:val="24"/>
          <w:lang w:val="en-ZA"/>
        </w:rPr>
      </w:pPr>
    </w:p>
    <w:p w14:paraId="33FFF94D" w14:textId="77777777" w:rsidR="004F4673" w:rsidRPr="00683F24" w:rsidRDefault="00E21CF6" w:rsidP="004F4673">
      <w:pPr>
        <w:rPr>
          <w:sz w:val="24"/>
          <w:lang w:val="en-ZA"/>
        </w:rPr>
      </w:pPr>
      <w:r w:rsidRPr="00C16315">
        <w:rPr>
          <w:sz w:val="24"/>
          <w:lang w:val="en-ZA"/>
        </w:rPr>
        <w:t>[1</w:t>
      </w:r>
      <w:r w:rsidR="002970B8">
        <w:rPr>
          <w:sz w:val="24"/>
          <w:lang w:val="en-ZA"/>
        </w:rPr>
        <w:t>3</w:t>
      </w:r>
      <w:r w:rsidRPr="00C16315">
        <w:rPr>
          <w:sz w:val="24"/>
          <w:lang w:val="en-ZA"/>
        </w:rPr>
        <w:t>]</w:t>
      </w:r>
      <w:r w:rsidRPr="00C16315">
        <w:rPr>
          <w:sz w:val="24"/>
          <w:lang w:val="en-ZA"/>
        </w:rPr>
        <w:tab/>
      </w:r>
      <w:r w:rsidR="004F4673">
        <w:rPr>
          <w:sz w:val="24"/>
          <w:lang w:val="en-ZA"/>
        </w:rPr>
        <w:t>I</w:t>
      </w:r>
      <w:r w:rsidR="004F4673" w:rsidRPr="00271720">
        <w:rPr>
          <w:sz w:val="24"/>
          <w:lang w:val="en-ZA"/>
        </w:rPr>
        <w:t xml:space="preserve">n </w:t>
      </w:r>
      <w:r w:rsidR="004F4673" w:rsidRPr="00271720">
        <w:rPr>
          <w:i/>
          <w:iCs/>
          <w:sz w:val="24"/>
          <w:lang w:val="en-ZA"/>
        </w:rPr>
        <w:t>S v Legoa</w:t>
      </w:r>
      <w:r w:rsidR="004F4673" w:rsidRPr="00271720">
        <w:rPr>
          <w:sz w:val="24"/>
          <w:lang w:val="en-ZA"/>
        </w:rPr>
        <w:t>,</w:t>
      </w:r>
      <w:r w:rsidR="004F4673">
        <w:rPr>
          <w:rStyle w:val="FootnoteReference"/>
          <w:sz w:val="24"/>
          <w:lang w:val="en-ZA"/>
        </w:rPr>
        <w:footnoteReference w:id="7"/>
      </w:r>
      <w:r w:rsidR="004F4673" w:rsidRPr="00271720">
        <w:rPr>
          <w:sz w:val="24"/>
          <w:lang w:val="en-ZA"/>
        </w:rPr>
        <w:t xml:space="preserve"> the following was stated:</w:t>
      </w:r>
    </w:p>
    <w:p w14:paraId="7E0BBC1C" w14:textId="77777777" w:rsidR="004F4673" w:rsidRPr="00E27876" w:rsidRDefault="004F4673" w:rsidP="004F4673">
      <w:pPr>
        <w:rPr>
          <w:sz w:val="24"/>
          <w:lang w:val="en-ZA"/>
        </w:rPr>
      </w:pPr>
      <w:r w:rsidRPr="00271720">
        <w:rPr>
          <w:sz w:val="22"/>
          <w:szCs w:val="22"/>
          <w:lang w:val="en-ZA"/>
        </w:rPr>
        <w:t>‘</w:t>
      </w:r>
      <w:r>
        <w:rPr>
          <w:sz w:val="22"/>
          <w:szCs w:val="22"/>
          <w:lang w:val="en-ZA"/>
        </w:rPr>
        <w:t>T</w:t>
      </w:r>
      <w:r w:rsidRPr="00271720">
        <w:rPr>
          <w:sz w:val="22"/>
          <w:szCs w:val="22"/>
          <w:lang w:val="en-ZA"/>
        </w:rPr>
        <w:t xml:space="preserve">he matter </w:t>
      </w:r>
      <w:r>
        <w:rPr>
          <w:sz w:val="22"/>
          <w:szCs w:val="22"/>
          <w:lang w:val="en-ZA"/>
        </w:rPr>
        <w:t>i</w:t>
      </w:r>
      <w:r w:rsidRPr="00271720">
        <w:rPr>
          <w:sz w:val="22"/>
          <w:szCs w:val="22"/>
          <w:lang w:val="en-ZA"/>
        </w:rPr>
        <w:t xml:space="preserve">s, however, one of substance and not form, and I would be reluctant to lay down a general rule that the charge must in every case recite either the specific form of the scheduled offence with which the accused is charged, or the facts the State intends to prove to establish it. … The accused might in any event acquire the requisite knowledge from particulars furnished to the charge or, in a </w:t>
      </w:r>
      <w:r>
        <w:rPr>
          <w:sz w:val="22"/>
          <w:szCs w:val="22"/>
          <w:lang w:val="en-ZA"/>
        </w:rPr>
        <w:t>s</w:t>
      </w:r>
      <w:r w:rsidRPr="00271720">
        <w:rPr>
          <w:sz w:val="22"/>
          <w:szCs w:val="22"/>
          <w:lang w:val="en-ZA"/>
        </w:rPr>
        <w:t xml:space="preserve">uperior </w:t>
      </w:r>
      <w:r>
        <w:rPr>
          <w:sz w:val="22"/>
          <w:szCs w:val="22"/>
          <w:lang w:val="en-ZA"/>
        </w:rPr>
        <w:t>c</w:t>
      </w:r>
      <w:r w:rsidRPr="00271720">
        <w:rPr>
          <w:sz w:val="22"/>
          <w:szCs w:val="22"/>
          <w:lang w:val="en-ZA"/>
        </w:rPr>
        <w:t>ourt, from the summary of substantial facts the State is obliged to furnish. Whether the accused’s substantive fair trial right, including his ability to answer the charge</w:t>
      </w:r>
      <w:r>
        <w:rPr>
          <w:sz w:val="22"/>
          <w:szCs w:val="22"/>
          <w:lang w:val="en-ZA"/>
        </w:rPr>
        <w:t>,</w:t>
      </w:r>
      <w:r w:rsidRPr="00271720">
        <w:rPr>
          <w:sz w:val="22"/>
          <w:szCs w:val="22"/>
          <w:lang w:val="en-ZA"/>
        </w:rPr>
        <w:t xml:space="preserve"> has been impaired, will therefore depend on a </w:t>
      </w:r>
      <w:r w:rsidRPr="00E27876">
        <w:rPr>
          <w:i/>
          <w:iCs/>
          <w:sz w:val="22"/>
          <w:szCs w:val="22"/>
          <w:lang w:val="en-ZA"/>
        </w:rPr>
        <w:t>vigilant examination of the relevant circumstances</w:t>
      </w:r>
      <w:r w:rsidRPr="00271720">
        <w:rPr>
          <w:sz w:val="22"/>
          <w:szCs w:val="22"/>
          <w:lang w:val="en-ZA"/>
        </w:rPr>
        <w:t xml:space="preserve">.’ </w:t>
      </w:r>
      <w:r w:rsidR="00E27876" w:rsidRPr="00E27876">
        <w:rPr>
          <w:sz w:val="24"/>
          <w:lang w:val="en-ZA"/>
        </w:rPr>
        <w:t>(Own emphasis).</w:t>
      </w:r>
    </w:p>
    <w:p w14:paraId="233C86C5" w14:textId="77777777" w:rsidR="004F4673" w:rsidRDefault="004F4673" w:rsidP="00387A6D">
      <w:pPr>
        <w:rPr>
          <w:sz w:val="24"/>
          <w:lang w:val="en-ZA"/>
        </w:rPr>
      </w:pPr>
    </w:p>
    <w:p w14:paraId="640AEC23" w14:textId="77777777" w:rsidR="00FD0BA4" w:rsidRDefault="004F4673" w:rsidP="00387A6D">
      <w:pPr>
        <w:rPr>
          <w:sz w:val="24"/>
          <w:lang w:val="en-ZA"/>
        </w:rPr>
      </w:pPr>
      <w:r>
        <w:rPr>
          <w:sz w:val="24"/>
          <w:lang w:val="en-ZA"/>
        </w:rPr>
        <w:lastRenderedPageBreak/>
        <w:t>[</w:t>
      </w:r>
      <w:r w:rsidR="00414763">
        <w:rPr>
          <w:sz w:val="24"/>
          <w:lang w:val="en-ZA"/>
        </w:rPr>
        <w:t>1</w:t>
      </w:r>
      <w:r w:rsidR="002970B8">
        <w:rPr>
          <w:sz w:val="24"/>
          <w:lang w:val="en-ZA"/>
        </w:rPr>
        <w:t>4</w:t>
      </w:r>
      <w:r>
        <w:rPr>
          <w:sz w:val="24"/>
          <w:lang w:val="en-ZA"/>
        </w:rPr>
        <w:t>]</w:t>
      </w:r>
      <w:r>
        <w:rPr>
          <w:sz w:val="24"/>
          <w:lang w:val="en-ZA"/>
        </w:rPr>
        <w:tab/>
      </w:r>
      <w:r w:rsidR="00E64499" w:rsidRPr="00C16315">
        <w:rPr>
          <w:sz w:val="24"/>
          <w:lang w:val="en-ZA"/>
        </w:rPr>
        <w:t xml:space="preserve">In </w:t>
      </w:r>
      <w:r w:rsidR="00E64499" w:rsidRPr="00C16315">
        <w:rPr>
          <w:i/>
          <w:sz w:val="24"/>
          <w:lang w:val="en-ZA"/>
        </w:rPr>
        <w:t>Kolea v S,</w:t>
      </w:r>
      <w:r w:rsidR="00E64499" w:rsidRPr="00C16315">
        <w:rPr>
          <w:rStyle w:val="FootnoteReference"/>
          <w:rFonts w:cs="Arial"/>
          <w:sz w:val="24"/>
          <w:lang w:val="en-ZA"/>
        </w:rPr>
        <w:footnoteReference w:id="8"/>
      </w:r>
      <w:r w:rsidR="00E64499" w:rsidRPr="00C16315">
        <w:rPr>
          <w:sz w:val="24"/>
          <w:lang w:val="en-ZA"/>
        </w:rPr>
        <w:t xml:space="preserve"> this Court emphatically stated that the CLAA does not create new offences.</w:t>
      </w:r>
      <w:r w:rsidR="00EA6DA9">
        <w:rPr>
          <w:sz w:val="24"/>
          <w:lang w:val="en-ZA"/>
        </w:rPr>
        <w:t xml:space="preserve"> It held that a</w:t>
      </w:r>
      <w:r w:rsidR="00E64499" w:rsidRPr="00C16315">
        <w:rPr>
          <w:sz w:val="24"/>
          <w:lang w:val="en-ZA"/>
        </w:rPr>
        <w:t xml:space="preserve"> formal application to amend the charge is not always required. The test is whether the accused suffered any prejudice</w:t>
      </w:r>
      <w:r w:rsidR="00F0104A" w:rsidRPr="00C16315">
        <w:rPr>
          <w:sz w:val="24"/>
          <w:lang w:val="en-ZA"/>
        </w:rPr>
        <w:t xml:space="preserve"> which impacted this or her right to a fair trial</w:t>
      </w:r>
      <w:r w:rsidR="00E64499" w:rsidRPr="00C16315">
        <w:rPr>
          <w:sz w:val="24"/>
          <w:lang w:val="en-ZA"/>
        </w:rPr>
        <w:t xml:space="preserve">. </w:t>
      </w:r>
    </w:p>
    <w:p w14:paraId="1211D9E0" w14:textId="77777777" w:rsidR="00F27FE1" w:rsidRDefault="00E64499" w:rsidP="00D45A53">
      <w:pPr>
        <w:rPr>
          <w:sz w:val="24"/>
          <w:lang w:val="en-ZA"/>
        </w:rPr>
      </w:pPr>
      <w:r w:rsidRPr="00C16315">
        <w:rPr>
          <w:sz w:val="24"/>
          <w:lang w:val="en-ZA"/>
        </w:rPr>
        <w:t>[</w:t>
      </w:r>
      <w:r w:rsidR="0014478E">
        <w:rPr>
          <w:sz w:val="24"/>
          <w:lang w:val="en-ZA"/>
        </w:rPr>
        <w:t>1</w:t>
      </w:r>
      <w:r w:rsidR="002970B8">
        <w:rPr>
          <w:sz w:val="24"/>
          <w:lang w:val="en-ZA"/>
        </w:rPr>
        <w:t>5</w:t>
      </w:r>
      <w:r w:rsidRPr="00C16315">
        <w:rPr>
          <w:sz w:val="24"/>
          <w:lang w:val="en-ZA"/>
        </w:rPr>
        <w:t>]</w:t>
      </w:r>
      <w:r w:rsidRPr="00C16315">
        <w:rPr>
          <w:sz w:val="24"/>
          <w:lang w:val="en-ZA"/>
        </w:rPr>
        <w:tab/>
      </w:r>
      <w:r w:rsidR="00FF7C35">
        <w:rPr>
          <w:sz w:val="24"/>
          <w:lang w:val="en-ZA"/>
        </w:rPr>
        <w:t xml:space="preserve">In relation to </w:t>
      </w:r>
      <w:r w:rsidR="00FF7C35" w:rsidRPr="00622FD5">
        <w:rPr>
          <w:i/>
          <w:iCs/>
          <w:sz w:val="24"/>
          <w:lang w:val="en-ZA"/>
        </w:rPr>
        <w:t>Mpuqe</w:t>
      </w:r>
      <w:r w:rsidR="00FF7C35">
        <w:rPr>
          <w:sz w:val="24"/>
          <w:lang w:val="en-ZA"/>
        </w:rPr>
        <w:t xml:space="preserve">, it was evident from the trial court’s judgment that </w:t>
      </w:r>
      <w:r w:rsidR="00622FD5">
        <w:rPr>
          <w:sz w:val="24"/>
          <w:lang w:val="en-ZA"/>
        </w:rPr>
        <w:t>Mr Mpuqe</w:t>
      </w:r>
      <w:r w:rsidR="00FF7C35">
        <w:rPr>
          <w:sz w:val="24"/>
          <w:lang w:val="en-ZA"/>
        </w:rPr>
        <w:t xml:space="preserve"> had made a confession which was found to be admissible, and that his counsel had, before the closing of the state case, agreed that the evidence led at the trial-within-a-trial be regarded as evidence in the main trial.</w:t>
      </w:r>
      <w:r w:rsidR="00940005">
        <w:rPr>
          <w:sz w:val="24"/>
          <w:lang w:val="en-ZA"/>
        </w:rPr>
        <w:t xml:space="preserve"> </w:t>
      </w:r>
      <w:r w:rsidRPr="00C16315">
        <w:rPr>
          <w:sz w:val="24"/>
          <w:lang w:val="en-ZA"/>
        </w:rPr>
        <w:t xml:space="preserve">In considering Mr Mpuqe’s appeal in relation to the charge of murder, </w:t>
      </w:r>
      <w:r w:rsidR="00866F06" w:rsidRPr="00C16315">
        <w:rPr>
          <w:sz w:val="24"/>
          <w:lang w:val="en-ZA"/>
        </w:rPr>
        <w:t xml:space="preserve">this Court </w:t>
      </w:r>
      <w:r w:rsidR="00FD0BA4">
        <w:rPr>
          <w:sz w:val="24"/>
          <w:lang w:val="en-ZA"/>
        </w:rPr>
        <w:t xml:space="preserve">took into account that </w:t>
      </w:r>
      <w:r w:rsidR="00011CEB" w:rsidRPr="00C16315">
        <w:rPr>
          <w:sz w:val="24"/>
          <w:lang w:val="en-ZA"/>
        </w:rPr>
        <w:t xml:space="preserve">the trial court </w:t>
      </w:r>
      <w:r w:rsidR="00FD0BA4">
        <w:rPr>
          <w:sz w:val="24"/>
          <w:lang w:val="en-ZA"/>
        </w:rPr>
        <w:t xml:space="preserve">had </w:t>
      </w:r>
      <w:r w:rsidR="00654D9E">
        <w:rPr>
          <w:sz w:val="24"/>
          <w:lang w:val="en-ZA"/>
        </w:rPr>
        <w:t xml:space="preserve">specified that it was </w:t>
      </w:r>
      <w:r w:rsidR="008908E9" w:rsidRPr="00C16315">
        <w:rPr>
          <w:sz w:val="24"/>
          <w:lang w:val="en-ZA"/>
        </w:rPr>
        <w:t>convic</w:t>
      </w:r>
      <w:r w:rsidR="00011CEB" w:rsidRPr="00C16315">
        <w:rPr>
          <w:sz w:val="24"/>
          <w:lang w:val="en-ZA"/>
        </w:rPr>
        <w:t>t</w:t>
      </w:r>
      <w:r w:rsidR="00654D9E">
        <w:rPr>
          <w:sz w:val="24"/>
          <w:lang w:val="en-ZA"/>
        </w:rPr>
        <w:t>ing</w:t>
      </w:r>
      <w:r w:rsidR="00011CEB" w:rsidRPr="00C16315">
        <w:rPr>
          <w:sz w:val="24"/>
          <w:lang w:val="en-ZA"/>
        </w:rPr>
        <w:t xml:space="preserve"> </w:t>
      </w:r>
      <w:r w:rsidR="00940005">
        <w:rPr>
          <w:sz w:val="24"/>
          <w:lang w:val="en-ZA"/>
        </w:rPr>
        <w:t>him</w:t>
      </w:r>
      <w:r w:rsidR="00BC1FCD">
        <w:rPr>
          <w:sz w:val="24"/>
          <w:lang w:val="en-ZA"/>
        </w:rPr>
        <w:t xml:space="preserve"> </w:t>
      </w:r>
      <w:r w:rsidR="00F95B39" w:rsidRPr="00C16315">
        <w:rPr>
          <w:sz w:val="24"/>
          <w:lang w:val="en-ZA"/>
        </w:rPr>
        <w:t xml:space="preserve">in circumstances where </w:t>
      </w:r>
      <w:r w:rsidR="003D72CE" w:rsidRPr="00C16315">
        <w:rPr>
          <w:sz w:val="24"/>
          <w:lang w:val="en-ZA"/>
        </w:rPr>
        <w:t>t</w:t>
      </w:r>
      <w:r w:rsidR="00F22B64" w:rsidRPr="00C16315">
        <w:rPr>
          <w:sz w:val="24"/>
          <w:lang w:val="en-ZA"/>
        </w:rPr>
        <w:t xml:space="preserve">he murder count </w:t>
      </w:r>
      <w:r w:rsidR="00115081">
        <w:rPr>
          <w:sz w:val="24"/>
          <w:lang w:val="en-ZA"/>
        </w:rPr>
        <w:t>was</w:t>
      </w:r>
      <w:r w:rsidR="000133FD">
        <w:rPr>
          <w:sz w:val="24"/>
          <w:lang w:val="en-ZA"/>
        </w:rPr>
        <w:t xml:space="preserve"> </w:t>
      </w:r>
      <w:r w:rsidR="00F22B64" w:rsidRPr="00C16315">
        <w:rPr>
          <w:sz w:val="24"/>
          <w:lang w:val="en-ZA"/>
        </w:rPr>
        <w:t>committed by persons acting in furtherance of a common purpose</w:t>
      </w:r>
      <w:r w:rsidR="00DB6DE6">
        <w:rPr>
          <w:sz w:val="24"/>
          <w:lang w:val="en-ZA"/>
        </w:rPr>
        <w:t xml:space="preserve"> </w:t>
      </w:r>
      <w:r w:rsidR="000A7AB3">
        <w:rPr>
          <w:sz w:val="24"/>
          <w:lang w:val="en-ZA"/>
        </w:rPr>
        <w:t>(as contemplated in Part I</w:t>
      </w:r>
      <w:r w:rsidR="000A7AB3" w:rsidRPr="002129BE">
        <w:rPr>
          <w:i/>
          <w:sz w:val="24"/>
          <w:lang w:val="en-ZA"/>
        </w:rPr>
        <w:t>(d)</w:t>
      </w:r>
      <w:r w:rsidR="000A7AB3">
        <w:rPr>
          <w:sz w:val="24"/>
          <w:lang w:val="en-ZA"/>
        </w:rPr>
        <w:t xml:space="preserve"> of Schedule 2)</w:t>
      </w:r>
      <w:r w:rsidR="006304C7">
        <w:rPr>
          <w:sz w:val="24"/>
          <w:lang w:val="en-ZA"/>
        </w:rPr>
        <w:t>,</w:t>
      </w:r>
      <w:r w:rsidR="000A7AB3">
        <w:rPr>
          <w:sz w:val="24"/>
          <w:lang w:val="en-ZA"/>
        </w:rPr>
        <w:t xml:space="preserve"> and </w:t>
      </w:r>
      <w:r w:rsidR="006304C7">
        <w:rPr>
          <w:sz w:val="24"/>
          <w:lang w:val="en-ZA"/>
        </w:rPr>
        <w:t xml:space="preserve">also </w:t>
      </w:r>
      <w:r w:rsidR="00DB6DE6">
        <w:rPr>
          <w:sz w:val="24"/>
          <w:lang w:val="en-ZA"/>
        </w:rPr>
        <w:t xml:space="preserve">that the murder </w:t>
      </w:r>
      <w:r w:rsidR="007B7A51">
        <w:rPr>
          <w:sz w:val="24"/>
          <w:lang w:val="en-ZA"/>
        </w:rPr>
        <w:t xml:space="preserve">was one incidental to the commission of a robbery </w:t>
      </w:r>
      <w:r w:rsidR="0001186B">
        <w:rPr>
          <w:sz w:val="24"/>
          <w:lang w:val="en-ZA"/>
        </w:rPr>
        <w:t>(</w:t>
      </w:r>
      <w:r w:rsidR="00DB6DE6">
        <w:rPr>
          <w:sz w:val="24"/>
          <w:lang w:val="en-ZA"/>
        </w:rPr>
        <w:t xml:space="preserve">as contemplated in </w:t>
      </w:r>
      <w:r w:rsidR="006C4CF0">
        <w:rPr>
          <w:sz w:val="24"/>
          <w:lang w:val="en-ZA"/>
        </w:rPr>
        <w:t>P</w:t>
      </w:r>
      <w:r w:rsidR="00DB6DE6">
        <w:rPr>
          <w:sz w:val="24"/>
          <w:lang w:val="en-ZA"/>
        </w:rPr>
        <w:t>art I</w:t>
      </w:r>
      <w:r w:rsidR="00DB6DE6" w:rsidRPr="002129BE">
        <w:rPr>
          <w:i/>
          <w:sz w:val="24"/>
          <w:lang w:val="en-ZA"/>
        </w:rPr>
        <w:t>(</w:t>
      </w:r>
      <w:r w:rsidR="000A7AB3" w:rsidRPr="002129BE">
        <w:rPr>
          <w:i/>
          <w:sz w:val="24"/>
          <w:lang w:val="en-ZA"/>
        </w:rPr>
        <w:t>c</w:t>
      </w:r>
      <w:r w:rsidR="00E46F9B" w:rsidRPr="002129BE">
        <w:rPr>
          <w:i/>
          <w:sz w:val="24"/>
          <w:lang w:val="en-ZA"/>
        </w:rPr>
        <w:t>)</w:t>
      </w:r>
      <w:r w:rsidR="000A7AB3" w:rsidRPr="002F5F39">
        <w:rPr>
          <w:sz w:val="24"/>
          <w:lang w:val="en-ZA"/>
        </w:rPr>
        <w:t>(</w:t>
      </w:r>
      <w:r w:rsidR="000A7AB3">
        <w:rPr>
          <w:sz w:val="24"/>
          <w:lang w:val="en-ZA"/>
        </w:rPr>
        <w:t>ii</w:t>
      </w:r>
      <w:r w:rsidR="000133FD">
        <w:rPr>
          <w:sz w:val="24"/>
          <w:lang w:val="en-ZA"/>
        </w:rPr>
        <w:t>) of Schedule 2</w:t>
      </w:r>
      <w:r w:rsidR="0001186B">
        <w:rPr>
          <w:sz w:val="24"/>
          <w:lang w:val="en-ZA"/>
        </w:rPr>
        <w:t>)</w:t>
      </w:r>
      <w:r w:rsidR="005748C7">
        <w:rPr>
          <w:sz w:val="24"/>
          <w:lang w:val="en-ZA"/>
        </w:rPr>
        <w:t xml:space="preserve">. Those </w:t>
      </w:r>
      <w:r w:rsidR="00CC6C89">
        <w:rPr>
          <w:sz w:val="24"/>
          <w:lang w:val="en-ZA"/>
        </w:rPr>
        <w:t xml:space="preserve">aspects brought the murder charge within the provisions of </w:t>
      </w:r>
      <w:r w:rsidR="00F22B64" w:rsidRPr="00C16315">
        <w:rPr>
          <w:sz w:val="24"/>
          <w:lang w:val="en-ZA"/>
        </w:rPr>
        <w:t>s 51(1)</w:t>
      </w:r>
      <w:r w:rsidR="00062426" w:rsidRPr="00C16315">
        <w:rPr>
          <w:sz w:val="24"/>
          <w:lang w:val="en-ZA"/>
        </w:rPr>
        <w:t xml:space="preserve"> of the CLAA, which</w:t>
      </w:r>
      <w:r w:rsidR="00F22B64" w:rsidRPr="00C16315">
        <w:rPr>
          <w:sz w:val="24"/>
          <w:lang w:val="en-ZA"/>
        </w:rPr>
        <w:t xml:space="preserve"> </w:t>
      </w:r>
      <w:r w:rsidR="00062426" w:rsidRPr="00C16315">
        <w:rPr>
          <w:sz w:val="24"/>
          <w:lang w:val="en-ZA"/>
        </w:rPr>
        <w:t xml:space="preserve">stipulates a mandatory sentence of </w:t>
      </w:r>
      <w:r w:rsidR="00F22B64" w:rsidRPr="00C16315">
        <w:rPr>
          <w:sz w:val="24"/>
          <w:lang w:val="en-ZA"/>
        </w:rPr>
        <w:t>life imprisonment.</w:t>
      </w:r>
      <w:r w:rsidR="00915C29">
        <w:rPr>
          <w:sz w:val="24"/>
          <w:lang w:val="en-ZA"/>
        </w:rPr>
        <w:t xml:space="preserve"> </w:t>
      </w:r>
      <w:r w:rsidR="00C02252" w:rsidRPr="00C16315">
        <w:rPr>
          <w:sz w:val="24"/>
          <w:lang w:val="en-ZA"/>
        </w:rPr>
        <w:t xml:space="preserve"> </w:t>
      </w:r>
    </w:p>
    <w:p w14:paraId="51E03413" w14:textId="77777777" w:rsidR="007277CA" w:rsidRDefault="007277CA" w:rsidP="00D45A53">
      <w:pPr>
        <w:rPr>
          <w:sz w:val="24"/>
          <w:lang w:val="en-ZA"/>
        </w:rPr>
      </w:pPr>
    </w:p>
    <w:p w14:paraId="213AA49B" w14:textId="4E636AE9" w:rsidR="00D45A53" w:rsidRDefault="00F27FE1" w:rsidP="00D45A53">
      <w:pPr>
        <w:rPr>
          <w:sz w:val="24"/>
          <w:lang w:val="en-ZA"/>
        </w:rPr>
      </w:pPr>
      <w:r>
        <w:rPr>
          <w:sz w:val="24"/>
          <w:lang w:val="en-ZA"/>
        </w:rPr>
        <w:t>[1</w:t>
      </w:r>
      <w:r w:rsidR="002970B8">
        <w:rPr>
          <w:sz w:val="24"/>
          <w:lang w:val="en-ZA"/>
        </w:rPr>
        <w:t>6</w:t>
      </w:r>
      <w:r>
        <w:rPr>
          <w:sz w:val="24"/>
          <w:lang w:val="en-ZA"/>
        </w:rPr>
        <w:t>]</w:t>
      </w:r>
      <w:r>
        <w:rPr>
          <w:sz w:val="24"/>
          <w:lang w:val="en-ZA"/>
        </w:rPr>
        <w:tab/>
      </w:r>
      <w:r w:rsidR="002B59D2">
        <w:rPr>
          <w:sz w:val="24"/>
          <w:lang w:val="en-ZA"/>
        </w:rPr>
        <w:t>Cognisance was also taken of t</w:t>
      </w:r>
      <w:r w:rsidR="008F3D48" w:rsidRPr="00C16315">
        <w:rPr>
          <w:sz w:val="24"/>
          <w:lang w:val="en-ZA"/>
        </w:rPr>
        <w:t>h</w:t>
      </w:r>
      <w:r w:rsidR="00351BDA">
        <w:rPr>
          <w:sz w:val="24"/>
          <w:lang w:val="en-ZA"/>
        </w:rPr>
        <w:t xml:space="preserve">e statements made by </w:t>
      </w:r>
      <w:r w:rsidR="008F3D48" w:rsidRPr="00C16315">
        <w:rPr>
          <w:sz w:val="24"/>
          <w:lang w:val="en-ZA"/>
        </w:rPr>
        <w:t>Mr Mpuqe</w:t>
      </w:r>
      <w:r w:rsidR="008F3D48">
        <w:rPr>
          <w:sz w:val="24"/>
          <w:lang w:val="en-ZA"/>
        </w:rPr>
        <w:t>’s counsel</w:t>
      </w:r>
      <w:r w:rsidR="008F3D48" w:rsidRPr="00C16315">
        <w:rPr>
          <w:sz w:val="24"/>
          <w:lang w:val="en-ZA"/>
        </w:rPr>
        <w:t xml:space="preserve"> when addressing the court </w:t>
      </w:r>
      <w:r w:rsidR="008F3D48">
        <w:rPr>
          <w:sz w:val="24"/>
          <w:lang w:val="en-ZA"/>
        </w:rPr>
        <w:t xml:space="preserve">in mitigation of sentence, </w:t>
      </w:r>
      <w:r w:rsidR="00351BDA">
        <w:rPr>
          <w:sz w:val="24"/>
          <w:lang w:val="en-ZA"/>
        </w:rPr>
        <w:t xml:space="preserve">which </w:t>
      </w:r>
      <w:r w:rsidR="008F3D48" w:rsidRPr="00C16315">
        <w:rPr>
          <w:sz w:val="24"/>
          <w:lang w:val="en-ZA"/>
        </w:rPr>
        <w:t>acknowledged the applicab</w:t>
      </w:r>
      <w:r w:rsidR="00351BDA">
        <w:rPr>
          <w:sz w:val="24"/>
          <w:lang w:val="en-ZA"/>
        </w:rPr>
        <w:t>ility of</w:t>
      </w:r>
      <w:r w:rsidR="008F3D48" w:rsidRPr="00C16315">
        <w:rPr>
          <w:sz w:val="24"/>
          <w:lang w:val="en-ZA"/>
        </w:rPr>
        <w:t xml:space="preserve"> </w:t>
      </w:r>
      <w:r w:rsidR="00351BDA">
        <w:rPr>
          <w:sz w:val="24"/>
          <w:lang w:val="en-ZA"/>
        </w:rPr>
        <w:t xml:space="preserve">life imprisonment as the </w:t>
      </w:r>
      <w:r w:rsidR="008F3D48" w:rsidRPr="00C16315">
        <w:rPr>
          <w:sz w:val="24"/>
          <w:lang w:val="en-ZA"/>
        </w:rPr>
        <w:t>minimum sentence</w:t>
      </w:r>
      <w:r w:rsidR="002B59D2">
        <w:rPr>
          <w:sz w:val="24"/>
          <w:lang w:val="en-ZA"/>
        </w:rPr>
        <w:t xml:space="preserve">. </w:t>
      </w:r>
      <w:r w:rsidR="00555FD3" w:rsidRPr="00C16315">
        <w:rPr>
          <w:sz w:val="24"/>
          <w:lang w:val="en-ZA"/>
        </w:rPr>
        <w:t xml:space="preserve">Having </w:t>
      </w:r>
      <w:r w:rsidR="005D1DC7" w:rsidRPr="00C16315">
        <w:rPr>
          <w:sz w:val="24"/>
          <w:lang w:val="en-ZA"/>
        </w:rPr>
        <w:t xml:space="preserve">considered </w:t>
      </w:r>
      <w:r w:rsidR="00555FD3" w:rsidRPr="00C16315">
        <w:rPr>
          <w:sz w:val="24"/>
          <w:lang w:val="en-ZA"/>
        </w:rPr>
        <w:t>all the</w:t>
      </w:r>
      <w:r w:rsidR="00DB0149">
        <w:rPr>
          <w:sz w:val="24"/>
          <w:lang w:val="en-ZA"/>
        </w:rPr>
        <w:t xml:space="preserve"> relevant</w:t>
      </w:r>
      <w:r w:rsidR="00555FD3" w:rsidRPr="00C16315">
        <w:rPr>
          <w:sz w:val="24"/>
          <w:lang w:val="en-ZA"/>
        </w:rPr>
        <w:t xml:space="preserve"> circumstances</w:t>
      </w:r>
      <w:r w:rsidR="005D1DC7" w:rsidRPr="00C16315">
        <w:rPr>
          <w:sz w:val="24"/>
          <w:lang w:val="en-ZA"/>
        </w:rPr>
        <w:t xml:space="preserve">, </w:t>
      </w:r>
      <w:r w:rsidR="0048018C">
        <w:rPr>
          <w:sz w:val="24"/>
          <w:lang w:val="en-ZA"/>
        </w:rPr>
        <w:t>and being of the view that life imprisonment sentence was, in any event the only app</w:t>
      </w:r>
      <w:r w:rsidR="00F065C2">
        <w:rPr>
          <w:sz w:val="24"/>
          <w:lang w:val="en-ZA"/>
        </w:rPr>
        <w:t xml:space="preserve">ropriate sentence, </w:t>
      </w:r>
      <w:r w:rsidR="005D1DC7" w:rsidRPr="00C16315">
        <w:rPr>
          <w:sz w:val="24"/>
          <w:lang w:val="en-ZA"/>
        </w:rPr>
        <w:t>this Court</w:t>
      </w:r>
      <w:r w:rsidR="00AF49A6">
        <w:rPr>
          <w:sz w:val="24"/>
          <w:lang w:val="en-ZA"/>
        </w:rPr>
        <w:t xml:space="preserve"> </w:t>
      </w:r>
      <w:r w:rsidR="003A1685" w:rsidRPr="00C16315">
        <w:rPr>
          <w:sz w:val="24"/>
          <w:lang w:val="en-ZA"/>
        </w:rPr>
        <w:t xml:space="preserve">concluded that Mr Mpuqe’s </w:t>
      </w:r>
      <w:r w:rsidR="002207C0" w:rsidRPr="00C16315">
        <w:rPr>
          <w:sz w:val="24"/>
          <w:lang w:val="en-ZA"/>
        </w:rPr>
        <w:t>right to a fair trial</w:t>
      </w:r>
      <w:r w:rsidR="00555FD3" w:rsidRPr="00C16315">
        <w:rPr>
          <w:sz w:val="24"/>
          <w:lang w:val="en-ZA"/>
        </w:rPr>
        <w:t xml:space="preserve"> had not been infringed</w:t>
      </w:r>
      <w:r w:rsidR="004C78A4" w:rsidRPr="00C16315">
        <w:rPr>
          <w:sz w:val="24"/>
          <w:lang w:val="en-ZA"/>
        </w:rPr>
        <w:t xml:space="preserve"> </w:t>
      </w:r>
      <w:r w:rsidR="00B73E63">
        <w:rPr>
          <w:sz w:val="24"/>
          <w:lang w:val="en-ZA"/>
        </w:rPr>
        <w:t xml:space="preserve">by the fact that </w:t>
      </w:r>
      <w:r w:rsidR="00A454E4">
        <w:rPr>
          <w:sz w:val="24"/>
          <w:lang w:val="en-ZA"/>
        </w:rPr>
        <w:t xml:space="preserve">a life sentence was imposed on him despite the </w:t>
      </w:r>
      <w:r w:rsidR="00B73E63">
        <w:rPr>
          <w:sz w:val="24"/>
          <w:lang w:val="en-ZA"/>
        </w:rPr>
        <w:t xml:space="preserve">indictment </w:t>
      </w:r>
      <w:r w:rsidR="00F065C2">
        <w:rPr>
          <w:sz w:val="24"/>
          <w:lang w:val="en-ZA"/>
        </w:rPr>
        <w:t xml:space="preserve">having </w:t>
      </w:r>
      <w:r w:rsidR="00B8609C">
        <w:rPr>
          <w:sz w:val="24"/>
          <w:lang w:val="en-ZA"/>
        </w:rPr>
        <w:t xml:space="preserve">categorised the murder as one </w:t>
      </w:r>
      <w:r w:rsidR="00B73E63">
        <w:rPr>
          <w:sz w:val="24"/>
          <w:lang w:val="en-ZA"/>
        </w:rPr>
        <w:t>referred to s 51(2) of the CLAA.</w:t>
      </w:r>
    </w:p>
    <w:p w14:paraId="57094968" w14:textId="77777777" w:rsidR="000B713D" w:rsidRDefault="000B713D" w:rsidP="00D45A53">
      <w:pPr>
        <w:rPr>
          <w:sz w:val="24"/>
          <w:lang w:val="en-ZA"/>
        </w:rPr>
      </w:pPr>
    </w:p>
    <w:p w14:paraId="61C990C5" w14:textId="77777777" w:rsidR="00D31775" w:rsidRDefault="003D0E61" w:rsidP="00D31775">
      <w:pPr>
        <w:rPr>
          <w:sz w:val="24"/>
          <w:lang w:val="en-ZA"/>
        </w:rPr>
      </w:pPr>
      <w:r w:rsidRPr="00C16315">
        <w:rPr>
          <w:sz w:val="24"/>
          <w:lang w:val="en-ZA"/>
        </w:rPr>
        <w:t>[</w:t>
      </w:r>
      <w:r w:rsidR="00BC0F35" w:rsidRPr="00C16315">
        <w:rPr>
          <w:sz w:val="24"/>
          <w:lang w:val="en-ZA"/>
        </w:rPr>
        <w:t>1</w:t>
      </w:r>
      <w:r w:rsidR="002970B8">
        <w:rPr>
          <w:sz w:val="24"/>
          <w:lang w:val="en-ZA"/>
        </w:rPr>
        <w:t>7</w:t>
      </w:r>
      <w:r w:rsidRPr="00C16315">
        <w:rPr>
          <w:sz w:val="24"/>
          <w:lang w:val="en-ZA"/>
        </w:rPr>
        <w:t>]</w:t>
      </w:r>
      <w:r w:rsidRPr="00C16315">
        <w:rPr>
          <w:sz w:val="24"/>
          <w:lang w:val="en-ZA"/>
        </w:rPr>
        <w:tab/>
      </w:r>
      <w:r w:rsidR="00D31775">
        <w:rPr>
          <w:sz w:val="24"/>
          <w:lang w:val="en-ZA"/>
        </w:rPr>
        <w:t xml:space="preserve">In </w:t>
      </w:r>
      <w:r w:rsidR="00D31775" w:rsidRPr="00DE5651">
        <w:rPr>
          <w:i/>
          <w:iCs/>
          <w:sz w:val="24"/>
        </w:rPr>
        <w:t>M T v The State; A S B v The State; Johannes September v The State</w:t>
      </w:r>
      <w:r w:rsidR="00D31775">
        <w:rPr>
          <w:sz w:val="24"/>
        </w:rPr>
        <w:t>,</w:t>
      </w:r>
      <w:r w:rsidR="00D31775">
        <w:rPr>
          <w:rStyle w:val="FootnoteReference"/>
          <w:sz w:val="24"/>
        </w:rPr>
        <w:footnoteReference w:id="9"/>
      </w:r>
      <w:r w:rsidR="00D31775">
        <w:rPr>
          <w:sz w:val="24"/>
        </w:rPr>
        <w:t xml:space="preserve"> </w:t>
      </w:r>
      <w:r w:rsidR="00D31775">
        <w:rPr>
          <w:sz w:val="24"/>
          <w:lang w:val="en-ZA"/>
        </w:rPr>
        <w:t>the Constitutional Court stated that although it is desirable that the indictment refer to the relevant penal provision of the CLAA, this should not be understood as an absolute rule. It also reaffirmed the trite principle that each case must be judged on its particular facts.</w:t>
      </w:r>
      <w:r w:rsidR="00D31775">
        <w:rPr>
          <w:rStyle w:val="FootnoteReference"/>
          <w:sz w:val="24"/>
          <w:lang w:val="en-ZA"/>
        </w:rPr>
        <w:footnoteReference w:id="10"/>
      </w:r>
      <w:r w:rsidR="00D31775">
        <w:rPr>
          <w:sz w:val="24"/>
          <w:lang w:val="en-ZA"/>
        </w:rPr>
        <w:t xml:space="preserve"> </w:t>
      </w:r>
    </w:p>
    <w:p w14:paraId="0CC3B3D4" w14:textId="77777777" w:rsidR="00D31775" w:rsidRDefault="00D31775" w:rsidP="00292D6C">
      <w:pPr>
        <w:rPr>
          <w:sz w:val="24"/>
          <w:lang w:val="en-ZA"/>
        </w:rPr>
      </w:pPr>
    </w:p>
    <w:p w14:paraId="4AD692D3" w14:textId="77777777" w:rsidR="0013224A" w:rsidRDefault="00E35C38" w:rsidP="00292D6C">
      <w:pPr>
        <w:rPr>
          <w:sz w:val="24"/>
          <w:lang w:val="en-ZA"/>
        </w:rPr>
      </w:pPr>
      <w:r>
        <w:rPr>
          <w:sz w:val="24"/>
          <w:lang w:val="en-ZA"/>
        </w:rPr>
        <w:t>[18]</w:t>
      </w:r>
      <w:r>
        <w:rPr>
          <w:sz w:val="24"/>
          <w:lang w:val="en-ZA"/>
        </w:rPr>
        <w:tab/>
      </w:r>
      <w:r w:rsidR="003839D5">
        <w:rPr>
          <w:sz w:val="24"/>
          <w:lang w:val="en-ZA"/>
        </w:rPr>
        <w:t xml:space="preserve">In </w:t>
      </w:r>
      <w:r w:rsidR="007725C8">
        <w:rPr>
          <w:sz w:val="24"/>
          <w:lang w:val="en-ZA"/>
        </w:rPr>
        <w:t xml:space="preserve">relation to </w:t>
      </w:r>
      <w:r w:rsidR="00052A90">
        <w:rPr>
          <w:sz w:val="24"/>
          <w:lang w:val="en-ZA"/>
        </w:rPr>
        <w:t>this matter, it is important to note that the applicant</w:t>
      </w:r>
      <w:r w:rsidR="00605CD2">
        <w:rPr>
          <w:sz w:val="24"/>
          <w:lang w:val="en-ZA"/>
        </w:rPr>
        <w:t xml:space="preserve"> </w:t>
      </w:r>
      <w:r w:rsidR="00A6424A">
        <w:rPr>
          <w:sz w:val="24"/>
          <w:lang w:val="en-ZA"/>
        </w:rPr>
        <w:t xml:space="preserve">faced </w:t>
      </w:r>
      <w:r w:rsidR="00052A90">
        <w:rPr>
          <w:sz w:val="24"/>
          <w:lang w:val="en-ZA"/>
        </w:rPr>
        <w:t xml:space="preserve">exactly </w:t>
      </w:r>
      <w:r w:rsidR="00A6424A">
        <w:rPr>
          <w:sz w:val="24"/>
          <w:lang w:val="en-ZA"/>
        </w:rPr>
        <w:t xml:space="preserve">the same charges as </w:t>
      </w:r>
      <w:r w:rsidR="00043B09">
        <w:rPr>
          <w:sz w:val="24"/>
          <w:lang w:val="en-ZA"/>
        </w:rPr>
        <w:t>Mr Mpuqe</w:t>
      </w:r>
      <w:r w:rsidR="00052A90">
        <w:rPr>
          <w:sz w:val="24"/>
          <w:lang w:val="en-ZA"/>
        </w:rPr>
        <w:t xml:space="preserve">. </w:t>
      </w:r>
      <w:r>
        <w:rPr>
          <w:sz w:val="24"/>
          <w:lang w:val="en-ZA"/>
        </w:rPr>
        <w:t>Section 51(1) read with Part I</w:t>
      </w:r>
      <w:r>
        <w:rPr>
          <w:i/>
          <w:iCs/>
          <w:sz w:val="24"/>
          <w:lang w:val="en-ZA"/>
        </w:rPr>
        <w:t>(c)</w:t>
      </w:r>
      <w:r>
        <w:rPr>
          <w:sz w:val="24"/>
          <w:lang w:val="en-ZA"/>
        </w:rPr>
        <w:t xml:space="preserve">(ii) of Schedule 2 of the CLAA prescribes the imposition of life imprisonment for a murder committed in the course of committing a robbery with aggravating circumstances. </w:t>
      </w:r>
      <w:r w:rsidR="00FA3D60">
        <w:rPr>
          <w:sz w:val="24"/>
          <w:lang w:val="en-ZA"/>
        </w:rPr>
        <w:t xml:space="preserve">The </w:t>
      </w:r>
      <w:r w:rsidR="00D62D0B">
        <w:rPr>
          <w:sz w:val="24"/>
          <w:lang w:val="en-ZA"/>
        </w:rPr>
        <w:t>applicant conceded that</w:t>
      </w:r>
      <w:r w:rsidR="00176F13">
        <w:rPr>
          <w:sz w:val="24"/>
          <w:lang w:val="en-ZA"/>
        </w:rPr>
        <w:t>, as regards the</w:t>
      </w:r>
      <w:r w:rsidR="00D62D0B">
        <w:rPr>
          <w:sz w:val="24"/>
          <w:lang w:val="en-ZA"/>
        </w:rPr>
        <w:t xml:space="preserve"> robbery charge</w:t>
      </w:r>
      <w:r w:rsidR="00176F13">
        <w:rPr>
          <w:sz w:val="24"/>
          <w:lang w:val="en-ZA"/>
        </w:rPr>
        <w:t xml:space="preserve">, the indictment gave an extensive description of the circumstances in which the offence was committed. </w:t>
      </w:r>
      <w:r w:rsidR="00AD6B1F">
        <w:rPr>
          <w:sz w:val="24"/>
          <w:lang w:val="en-ZA"/>
        </w:rPr>
        <w:t xml:space="preserve">The person named as the deceased in the murder charge </w:t>
      </w:r>
      <w:r w:rsidR="005075C0">
        <w:rPr>
          <w:sz w:val="24"/>
          <w:lang w:val="en-ZA"/>
        </w:rPr>
        <w:t>wa</w:t>
      </w:r>
      <w:r w:rsidR="00AD6B1F">
        <w:rPr>
          <w:sz w:val="24"/>
          <w:lang w:val="en-ZA"/>
        </w:rPr>
        <w:t>s the same person that was ment</w:t>
      </w:r>
      <w:r w:rsidR="007725C8">
        <w:rPr>
          <w:sz w:val="24"/>
          <w:lang w:val="en-ZA"/>
        </w:rPr>
        <w:t xml:space="preserve">ioned as the victim of the robbery. </w:t>
      </w:r>
      <w:r w:rsidR="001706CE">
        <w:rPr>
          <w:sz w:val="24"/>
          <w:lang w:val="en-ZA"/>
        </w:rPr>
        <w:t>The</w:t>
      </w:r>
      <w:r w:rsidR="00426BA1">
        <w:rPr>
          <w:sz w:val="24"/>
          <w:lang w:val="en-ZA"/>
        </w:rPr>
        <w:t>re</w:t>
      </w:r>
      <w:r w:rsidR="001706CE">
        <w:rPr>
          <w:sz w:val="24"/>
          <w:lang w:val="en-ZA"/>
        </w:rPr>
        <w:t xml:space="preserve"> </w:t>
      </w:r>
      <w:r w:rsidR="00426BA1">
        <w:rPr>
          <w:sz w:val="24"/>
          <w:lang w:val="en-ZA"/>
        </w:rPr>
        <w:t xml:space="preserve">could not have been any doubt that the </w:t>
      </w:r>
      <w:r w:rsidR="001706CE">
        <w:rPr>
          <w:sz w:val="24"/>
          <w:lang w:val="en-ZA"/>
        </w:rPr>
        <w:t xml:space="preserve">murder </w:t>
      </w:r>
      <w:r w:rsidR="00426BA1">
        <w:rPr>
          <w:sz w:val="24"/>
          <w:lang w:val="en-ZA"/>
        </w:rPr>
        <w:t xml:space="preserve">described in the indictment </w:t>
      </w:r>
      <w:r w:rsidR="001706CE">
        <w:rPr>
          <w:sz w:val="24"/>
          <w:lang w:val="en-ZA"/>
        </w:rPr>
        <w:t xml:space="preserve">fell squarely within the </w:t>
      </w:r>
      <w:r w:rsidR="00245292">
        <w:rPr>
          <w:sz w:val="24"/>
          <w:lang w:val="en-ZA"/>
        </w:rPr>
        <w:t xml:space="preserve">purview </w:t>
      </w:r>
      <w:r w:rsidR="009209A1">
        <w:rPr>
          <w:sz w:val="24"/>
          <w:lang w:val="en-ZA"/>
        </w:rPr>
        <w:t xml:space="preserve">of </w:t>
      </w:r>
      <w:r w:rsidR="005075C0">
        <w:rPr>
          <w:sz w:val="24"/>
          <w:lang w:val="en-ZA"/>
        </w:rPr>
        <w:t>Part I</w:t>
      </w:r>
      <w:r w:rsidR="005075C0">
        <w:rPr>
          <w:i/>
          <w:iCs/>
          <w:sz w:val="24"/>
          <w:lang w:val="en-ZA"/>
        </w:rPr>
        <w:t>(c)</w:t>
      </w:r>
      <w:r w:rsidR="005075C0">
        <w:rPr>
          <w:sz w:val="24"/>
          <w:lang w:val="en-ZA"/>
        </w:rPr>
        <w:t xml:space="preserve">(ii) of Schedule 2 </w:t>
      </w:r>
      <w:r w:rsidR="00245292">
        <w:rPr>
          <w:sz w:val="24"/>
          <w:lang w:val="en-ZA"/>
        </w:rPr>
        <w:t xml:space="preserve">of the CLAA, in respect of which the prescribed minimum sentence is </w:t>
      </w:r>
      <w:r w:rsidR="00AA7A1B">
        <w:rPr>
          <w:sz w:val="24"/>
          <w:lang w:val="en-ZA"/>
        </w:rPr>
        <w:t xml:space="preserve">life imprisonment within the contemplation </w:t>
      </w:r>
      <w:r w:rsidR="00DA52A9">
        <w:rPr>
          <w:sz w:val="24"/>
          <w:lang w:val="en-ZA"/>
        </w:rPr>
        <w:t xml:space="preserve">of </w:t>
      </w:r>
      <w:r w:rsidR="009209A1">
        <w:rPr>
          <w:sz w:val="24"/>
          <w:lang w:val="en-ZA"/>
        </w:rPr>
        <w:t xml:space="preserve">s 51(1) of the CLAA. </w:t>
      </w:r>
      <w:r w:rsidR="0013224A">
        <w:rPr>
          <w:sz w:val="24"/>
          <w:lang w:val="en-ZA"/>
        </w:rPr>
        <w:t>Under those circumstances, i</w:t>
      </w:r>
      <w:r w:rsidR="0007241C">
        <w:rPr>
          <w:sz w:val="24"/>
          <w:lang w:val="en-ZA"/>
        </w:rPr>
        <w:t xml:space="preserve">t is indeed difficult to understand how any of </w:t>
      </w:r>
      <w:r w:rsidR="007F7656">
        <w:rPr>
          <w:sz w:val="24"/>
          <w:lang w:val="en-ZA"/>
        </w:rPr>
        <w:t xml:space="preserve">the defence </w:t>
      </w:r>
      <w:r w:rsidR="0007241C">
        <w:rPr>
          <w:sz w:val="24"/>
          <w:lang w:val="en-ZA"/>
        </w:rPr>
        <w:t>counsel could have laboured under the impression (and consequently informed their client) that the applicable minimum sentence for the murder charge they were facing was 15 years’ imprisonment as contemplated in s 51(2) of the CLAA and not life imprisonment contemplated in s 51(1) of the CLAA.</w:t>
      </w:r>
      <w:r w:rsidR="008D1A63">
        <w:rPr>
          <w:sz w:val="24"/>
          <w:lang w:val="en-ZA"/>
        </w:rPr>
        <w:t xml:space="preserve"> </w:t>
      </w:r>
    </w:p>
    <w:p w14:paraId="24CB7515" w14:textId="77777777" w:rsidR="007358AC" w:rsidRDefault="007358AC" w:rsidP="00292D6C">
      <w:pPr>
        <w:rPr>
          <w:sz w:val="24"/>
          <w:lang w:val="en-ZA"/>
        </w:rPr>
      </w:pPr>
    </w:p>
    <w:p w14:paraId="2C576499" w14:textId="77777777" w:rsidR="003170E9" w:rsidRPr="00D44790" w:rsidRDefault="00D55100" w:rsidP="00292D6C">
      <w:pPr>
        <w:rPr>
          <w:sz w:val="24"/>
        </w:rPr>
      </w:pPr>
      <w:r>
        <w:rPr>
          <w:sz w:val="24"/>
          <w:lang w:val="en-ZA"/>
        </w:rPr>
        <w:t>[</w:t>
      </w:r>
      <w:r w:rsidR="002970B8">
        <w:rPr>
          <w:sz w:val="24"/>
          <w:lang w:val="en-ZA"/>
        </w:rPr>
        <w:t>19</w:t>
      </w:r>
      <w:r>
        <w:rPr>
          <w:sz w:val="24"/>
          <w:lang w:val="en-ZA"/>
        </w:rPr>
        <w:t>]</w:t>
      </w:r>
      <w:r>
        <w:rPr>
          <w:sz w:val="24"/>
          <w:lang w:val="en-ZA"/>
        </w:rPr>
        <w:tab/>
      </w:r>
      <w:r w:rsidR="004349EE">
        <w:rPr>
          <w:sz w:val="24"/>
          <w:lang w:val="en-ZA"/>
        </w:rPr>
        <w:t xml:space="preserve">It was contended on behalf of the applicant that </w:t>
      </w:r>
      <w:r w:rsidR="005A610B">
        <w:rPr>
          <w:sz w:val="24"/>
          <w:lang w:val="en-ZA"/>
        </w:rPr>
        <w:t>there is no factual basis from which the full court could possibly infer that the applicant’s own counsel had explain</w:t>
      </w:r>
      <w:r w:rsidR="004349EE">
        <w:rPr>
          <w:sz w:val="24"/>
          <w:lang w:val="en-ZA"/>
        </w:rPr>
        <w:t>ed</w:t>
      </w:r>
      <w:r w:rsidR="005A610B">
        <w:rPr>
          <w:sz w:val="24"/>
          <w:lang w:val="en-ZA"/>
        </w:rPr>
        <w:t xml:space="preserve"> the meaning of the minimum sentence provisions to him</w:t>
      </w:r>
      <w:r w:rsidR="004349EE">
        <w:rPr>
          <w:sz w:val="24"/>
          <w:lang w:val="en-ZA"/>
        </w:rPr>
        <w:t xml:space="preserve">. </w:t>
      </w:r>
      <w:r w:rsidR="009C621A">
        <w:rPr>
          <w:sz w:val="24"/>
          <w:lang w:val="en-ZA"/>
        </w:rPr>
        <w:t>T</w:t>
      </w:r>
      <w:r w:rsidR="004349EE">
        <w:rPr>
          <w:sz w:val="24"/>
          <w:lang w:val="en-ZA"/>
        </w:rPr>
        <w:t xml:space="preserve">he following statement made </w:t>
      </w:r>
      <w:r w:rsidR="002A14DD">
        <w:rPr>
          <w:sz w:val="24"/>
          <w:lang w:val="en-ZA"/>
        </w:rPr>
        <w:t xml:space="preserve">by </w:t>
      </w:r>
      <w:r w:rsidR="004349EE">
        <w:rPr>
          <w:sz w:val="24"/>
          <w:lang w:val="en-ZA"/>
        </w:rPr>
        <w:t xml:space="preserve">the applicant’s counsel in court </w:t>
      </w:r>
      <w:r w:rsidR="005E61D7">
        <w:rPr>
          <w:sz w:val="24"/>
          <w:lang w:val="en-ZA"/>
        </w:rPr>
        <w:t xml:space="preserve">speaks for itself: </w:t>
      </w:r>
    </w:p>
    <w:p w14:paraId="2FBAFD60" w14:textId="1A50B117" w:rsidR="00292D6C" w:rsidRPr="002A14DD" w:rsidRDefault="003170E9" w:rsidP="00292D6C">
      <w:pPr>
        <w:rPr>
          <w:sz w:val="24"/>
          <w:lang w:val="en-ZA"/>
        </w:rPr>
      </w:pPr>
      <w:r w:rsidRPr="00AC2F7D">
        <w:rPr>
          <w:sz w:val="22"/>
          <w:szCs w:val="22"/>
          <w:lang w:val="en-ZA"/>
        </w:rPr>
        <w:t>‘</w:t>
      </w:r>
      <w:r w:rsidR="00B34AF3" w:rsidRPr="00F64C97">
        <w:rPr>
          <w:sz w:val="22"/>
          <w:szCs w:val="22"/>
          <w:lang w:val="en-ZA"/>
        </w:rPr>
        <w:t xml:space="preserve">Then, furthermore, Your Lordship, it is – we have agreed on, </w:t>
      </w:r>
      <w:r w:rsidR="00B34AF3" w:rsidRPr="002A14DD">
        <w:rPr>
          <w:i/>
          <w:iCs/>
          <w:sz w:val="22"/>
          <w:szCs w:val="22"/>
          <w:lang w:val="en-ZA"/>
        </w:rPr>
        <w:t>right at the beginning</w:t>
      </w:r>
      <w:r w:rsidR="002F6184" w:rsidRPr="00F64C97">
        <w:rPr>
          <w:sz w:val="22"/>
          <w:szCs w:val="22"/>
          <w:lang w:val="en-ZA"/>
        </w:rPr>
        <w:t>, that this is, indeed – the minimum sentences are applicable.</w:t>
      </w:r>
      <w:r w:rsidR="00D75F9F">
        <w:rPr>
          <w:sz w:val="22"/>
          <w:szCs w:val="22"/>
          <w:lang w:val="en-ZA"/>
        </w:rPr>
        <w:t xml:space="preserve"> </w:t>
      </w:r>
      <w:r w:rsidR="002F6184" w:rsidRPr="00F64C97">
        <w:rPr>
          <w:sz w:val="22"/>
          <w:szCs w:val="22"/>
          <w:lang w:val="en-ZA"/>
        </w:rPr>
        <w:t xml:space="preserve">… </w:t>
      </w:r>
      <w:r w:rsidR="007D6967">
        <w:rPr>
          <w:sz w:val="22"/>
          <w:szCs w:val="22"/>
          <w:lang w:val="en-ZA"/>
        </w:rPr>
        <w:t xml:space="preserve">We further submit, M’Lord, that there are sufficient reasons and justification for the Court to deviate </w:t>
      </w:r>
      <w:r w:rsidR="001526ED">
        <w:rPr>
          <w:sz w:val="22"/>
          <w:szCs w:val="22"/>
          <w:lang w:val="en-ZA"/>
        </w:rPr>
        <w:t>from imposing this minimum sentence imposed by the law, and that the Court not impose a minimum sentence</w:t>
      </w:r>
      <w:r w:rsidR="007A7871">
        <w:rPr>
          <w:sz w:val="22"/>
          <w:szCs w:val="22"/>
          <w:lang w:val="en-ZA"/>
        </w:rPr>
        <w:t>, but a much lesser sentence than life imprisonment, M’Lord. That is all, M’Lord.’</w:t>
      </w:r>
      <w:r w:rsidR="007D6967">
        <w:rPr>
          <w:sz w:val="22"/>
          <w:szCs w:val="22"/>
          <w:lang w:val="en-ZA"/>
        </w:rPr>
        <w:t xml:space="preserve"> </w:t>
      </w:r>
      <w:r w:rsidR="00CA7AB8">
        <w:rPr>
          <w:sz w:val="24"/>
          <w:lang w:val="en-ZA"/>
        </w:rPr>
        <w:t>(Own emphasis).</w:t>
      </w:r>
    </w:p>
    <w:p w14:paraId="339723C4" w14:textId="77777777" w:rsidR="00320BFF" w:rsidRDefault="00320BFF" w:rsidP="00387A6D">
      <w:pPr>
        <w:rPr>
          <w:sz w:val="24"/>
          <w:lang w:val="en-ZA"/>
        </w:rPr>
      </w:pPr>
    </w:p>
    <w:p w14:paraId="4843F284" w14:textId="77777777" w:rsidR="00900EAF" w:rsidRDefault="00BA06BE" w:rsidP="00B0680F">
      <w:pPr>
        <w:pStyle w:val="CommentText"/>
      </w:pPr>
      <w:r>
        <w:rPr>
          <w:lang w:val="en-ZA"/>
        </w:rPr>
        <w:t>[</w:t>
      </w:r>
      <w:r w:rsidR="008D1A63">
        <w:rPr>
          <w:lang w:val="en-ZA"/>
        </w:rPr>
        <w:t>2</w:t>
      </w:r>
      <w:r w:rsidR="002970B8">
        <w:rPr>
          <w:lang w:val="en-ZA"/>
        </w:rPr>
        <w:t>0</w:t>
      </w:r>
      <w:r>
        <w:rPr>
          <w:lang w:val="en-ZA"/>
        </w:rPr>
        <w:t>]</w:t>
      </w:r>
      <w:r w:rsidR="00E0182D">
        <w:rPr>
          <w:lang w:val="en-ZA"/>
        </w:rPr>
        <w:tab/>
      </w:r>
      <w:r w:rsidR="00EA4B3F">
        <w:t xml:space="preserve">Notwithstanding the statement </w:t>
      </w:r>
      <w:r w:rsidR="00E0182D">
        <w:t xml:space="preserve">in the </w:t>
      </w:r>
      <w:r w:rsidR="00EA4B3F">
        <w:t>above</w:t>
      </w:r>
      <w:r w:rsidR="00E0182D">
        <w:t xml:space="preserve"> passage</w:t>
      </w:r>
      <w:r w:rsidR="00EA4B3F">
        <w:t xml:space="preserve">, I am prepared to accept that there is </w:t>
      </w:r>
      <w:r w:rsidR="00753276">
        <w:t xml:space="preserve">no clear evidence that the applicant's counsel explained </w:t>
      </w:r>
      <w:r w:rsidR="00EA4B3F">
        <w:t xml:space="preserve">to him </w:t>
      </w:r>
      <w:r w:rsidR="00753276">
        <w:t xml:space="preserve">that a minimum sentence of life imprisonment would be imposed if he was convicted on this count. In the circumstances, I am </w:t>
      </w:r>
      <w:r w:rsidR="003F0738">
        <w:t xml:space="preserve">constrained </w:t>
      </w:r>
      <w:r w:rsidR="00753276">
        <w:t xml:space="preserve">to accept that he </w:t>
      </w:r>
      <w:r w:rsidR="003F0738">
        <w:t xml:space="preserve">might </w:t>
      </w:r>
      <w:r w:rsidR="00753276">
        <w:t xml:space="preserve">not </w:t>
      </w:r>
      <w:r w:rsidR="003F0738">
        <w:t xml:space="preserve">have </w:t>
      </w:r>
      <w:r w:rsidR="00753276">
        <w:t>know</w:t>
      </w:r>
      <w:r w:rsidR="003F0738">
        <w:t>n</w:t>
      </w:r>
      <w:r w:rsidR="00753276">
        <w:t xml:space="preserve"> of this. Sentencing on the basis of the CLAA would, in those circumstances, amount to a misdirection</w:t>
      </w:r>
      <w:r w:rsidR="00DA764F">
        <w:rPr>
          <w:lang w:val="en-ZA"/>
        </w:rPr>
        <w:t xml:space="preserve">. </w:t>
      </w:r>
      <w:r w:rsidR="006F6D31">
        <w:rPr>
          <w:lang w:val="en-ZA"/>
        </w:rPr>
        <w:t xml:space="preserve">In those circumstances, an appeal court </w:t>
      </w:r>
      <w:r w:rsidR="00900EAF">
        <w:t xml:space="preserve">would approach sentencing </w:t>
      </w:r>
      <w:r w:rsidR="00900EAF">
        <w:lastRenderedPageBreak/>
        <w:t>on the basis of the common law</w:t>
      </w:r>
      <w:r w:rsidR="00B0680F">
        <w:t>,</w:t>
      </w:r>
      <w:r w:rsidR="00900EAF">
        <w:t xml:space="preserve"> </w:t>
      </w:r>
      <w:r w:rsidR="0032223A">
        <w:t xml:space="preserve">taking into account the well-known triad of sentence as </w:t>
      </w:r>
      <w:r w:rsidR="00900EAF">
        <w:t xml:space="preserve">set out in </w:t>
      </w:r>
      <w:r w:rsidR="00900EAF" w:rsidRPr="00B0680F">
        <w:rPr>
          <w:i/>
          <w:iCs/>
        </w:rPr>
        <w:t>S v Zinn</w:t>
      </w:r>
      <w:r w:rsidR="00F33771">
        <w:t>,</w:t>
      </w:r>
      <w:r w:rsidR="00241E19">
        <w:rPr>
          <w:rStyle w:val="FootnoteReference"/>
        </w:rPr>
        <w:footnoteReference w:id="11"/>
      </w:r>
      <w:r w:rsidR="003357F7">
        <w:t xml:space="preserve"> </w:t>
      </w:r>
      <w:r w:rsidR="003357F7" w:rsidRPr="00985F5A">
        <w:rPr>
          <w:lang w:val="en-ZA"/>
        </w:rPr>
        <w:t xml:space="preserve">namely, the nature of the offence, the offender </w:t>
      </w:r>
      <w:r w:rsidR="003357F7">
        <w:rPr>
          <w:lang w:val="en-ZA"/>
        </w:rPr>
        <w:t xml:space="preserve">and </w:t>
      </w:r>
      <w:r w:rsidR="003357F7" w:rsidRPr="00985F5A">
        <w:rPr>
          <w:lang w:val="en-ZA"/>
        </w:rPr>
        <w:t>the interests of society</w:t>
      </w:r>
      <w:r w:rsidR="003357F7">
        <w:rPr>
          <w:lang w:val="en-ZA"/>
        </w:rPr>
        <w:t>.</w:t>
      </w:r>
    </w:p>
    <w:p w14:paraId="71BB8366" w14:textId="77777777" w:rsidR="00320BFF" w:rsidRDefault="00320BFF" w:rsidP="00387A6D">
      <w:pPr>
        <w:rPr>
          <w:sz w:val="24"/>
          <w:lang w:val="en-ZA"/>
        </w:rPr>
      </w:pPr>
    </w:p>
    <w:p w14:paraId="41ACCAE7" w14:textId="7A82FC76" w:rsidR="00587288" w:rsidRDefault="0040335F" w:rsidP="00266CA0">
      <w:pPr>
        <w:pStyle w:val="CommentText"/>
        <w:rPr>
          <w:lang w:val="en-ZA"/>
        </w:rPr>
      </w:pPr>
      <w:r>
        <w:rPr>
          <w:lang w:val="en-ZA"/>
        </w:rPr>
        <w:t>[</w:t>
      </w:r>
      <w:r w:rsidR="003B11DB">
        <w:rPr>
          <w:lang w:val="en-ZA"/>
        </w:rPr>
        <w:t>2</w:t>
      </w:r>
      <w:r w:rsidR="002970B8">
        <w:rPr>
          <w:lang w:val="en-ZA"/>
        </w:rPr>
        <w:t>1</w:t>
      </w:r>
      <w:r>
        <w:rPr>
          <w:lang w:val="en-ZA"/>
        </w:rPr>
        <w:t>]</w:t>
      </w:r>
      <w:r>
        <w:rPr>
          <w:lang w:val="en-ZA"/>
        </w:rPr>
        <w:tab/>
      </w:r>
      <w:r w:rsidR="0099768C">
        <w:rPr>
          <w:lang w:val="en-ZA"/>
        </w:rPr>
        <w:t xml:space="preserve">Bearing in mind that </w:t>
      </w:r>
      <w:r w:rsidR="0099768C">
        <w:t>the high court has the inherent jurisdiction to, within its discretion, impose life imprisonment in appropriate circumstances</w:t>
      </w:r>
      <w:r w:rsidR="003F03CD">
        <w:t>,</w:t>
      </w:r>
      <w:r w:rsidR="00F05399">
        <w:rPr>
          <w:rStyle w:val="FootnoteReference"/>
        </w:rPr>
        <w:footnoteReference w:id="12"/>
      </w:r>
      <w:r w:rsidR="003F03CD">
        <w:t xml:space="preserve"> </w:t>
      </w:r>
      <w:r w:rsidR="0069424B">
        <w:rPr>
          <w:lang w:val="en-ZA"/>
        </w:rPr>
        <w:t xml:space="preserve">a sentence of life imprisonment </w:t>
      </w:r>
      <w:r w:rsidR="008110F9">
        <w:rPr>
          <w:lang w:val="en-ZA"/>
        </w:rPr>
        <w:t xml:space="preserve">in the circumstances of this case </w:t>
      </w:r>
      <w:r w:rsidR="0069424B">
        <w:rPr>
          <w:lang w:val="en-ZA"/>
        </w:rPr>
        <w:t>does not engender a</w:t>
      </w:r>
      <w:r w:rsidR="00E26F71">
        <w:rPr>
          <w:lang w:val="en-ZA"/>
        </w:rPr>
        <w:t xml:space="preserve"> sense of shock. </w:t>
      </w:r>
      <w:r w:rsidR="00891D9A">
        <w:rPr>
          <w:lang w:val="en-ZA"/>
        </w:rPr>
        <w:t xml:space="preserve">A balanced consideration of the triad of sentence leaves me with the impression that life imprisonment was the only appropriate </w:t>
      </w:r>
      <w:r w:rsidR="00176970">
        <w:rPr>
          <w:lang w:val="en-ZA"/>
        </w:rPr>
        <w:t xml:space="preserve">sentence, under the circumstances. </w:t>
      </w:r>
      <w:r w:rsidR="00587288">
        <w:rPr>
          <w:lang w:val="en-ZA"/>
        </w:rPr>
        <w:t>The applicant’s personal circumstances, which must obviously be taken into account in respect of all the charges, are that at the time of sentencing, he was a 35</w:t>
      </w:r>
      <w:r w:rsidR="00F33771">
        <w:rPr>
          <w:lang w:val="en-ZA"/>
        </w:rPr>
        <w:t xml:space="preserve"> </w:t>
      </w:r>
      <w:r w:rsidR="00587288">
        <w:rPr>
          <w:lang w:val="en-ZA"/>
        </w:rPr>
        <w:t>year</w:t>
      </w:r>
      <w:r w:rsidR="00F33771">
        <w:rPr>
          <w:lang w:val="en-ZA"/>
        </w:rPr>
        <w:t xml:space="preserve"> </w:t>
      </w:r>
      <w:r w:rsidR="00587288">
        <w:rPr>
          <w:lang w:val="en-ZA"/>
        </w:rPr>
        <w:t xml:space="preserve">old man, employed as a taxi driver, married with two children aged eight; he was also the father of two other children born from another relationship. </w:t>
      </w:r>
      <w:r w:rsidR="00176970">
        <w:rPr>
          <w:lang w:val="en-ZA"/>
        </w:rPr>
        <w:t>I consider next the nature of the offence</w:t>
      </w:r>
      <w:r w:rsidR="00855E7E">
        <w:rPr>
          <w:lang w:val="en-ZA"/>
        </w:rPr>
        <w:t>.</w:t>
      </w:r>
    </w:p>
    <w:p w14:paraId="1CF0DAA9" w14:textId="77777777" w:rsidR="00855E7E" w:rsidRDefault="00855E7E" w:rsidP="00587288">
      <w:pPr>
        <w:rPr>
          <w:sz w:val="24"/>
          <w:lang w:val="en-ZA"/>
        </w:rPr>
      </w:pPr>
    </w:p>
    <w:p w14:paraId="5F013798" w14:textId="77777777" w:rsidR="00A358A9" w:rsidRDefault="00855E7E" w:rsidP="00855E7E">
      <w:pPr>
        <w:rPr>
          <w:sz w:val="24"/>
          <w:lang w:val="en-ZA"/>
        </w:rPr>
      </w:pPr>
      <w:r>
        <w:rPr>
          <w:sz w:val="24"/>
          <w:lang w:val="en-ZA"/>
        </w:rPr>
        <w:t>[</w:t>
      </w:r>
      <w:r w:rsidR="002970B8">
        <w:rPr>
          <w:sz w:val="24"/>
          <w:lang w:val="en-ZA"/>
        </w:rPr>
        <w:t>22</w:t>
      </w:r>
      <w:r>
        <w:rPr>
          <w:sz w:val="24"/>
          <w:lang w:val="en-ZA"/>
        </w:rPr>
        <w:t>]</w:t>
      </w:r>
      <w:r>
        <w:rPr>
          <w:sz w:val="24"/>
          <w:lang w:val="en-ZA"/>
        </w:rPr>
        <w:tab/>
      </w:r>
      <w:r w:rsidR="004A5CC4">
        <w:rPr>
          <w:sz w:val="24"/>
          <w:lang w:val="en-ZA"/>
        </w:rPr>
        <w:t xml:space="preserve">As stated before, the murder was committed by persons acting with a common purpose. It was committed in the course of </w:t>
      </w:r>
      <w:r w:rsidR="002E5DA4">
        <w:rPr>
          <w:sz w:val="24"/>
          <w:lang w:val="en-ZA"/>
        </w:rPr>
        <w:t xml:space="preserve">the commission of robbery with aggravating circumstances. </w:t>
      </w:r>
      <w:r>
        <w:rPr>
          <w:sz w:val="24"/>
          <w:lang w:val="en-ZA"/>
        </w:rPr>
        <w:t>As correctly observed by the trial court, t</w:t>
      </w:r>
      <w:r w:rsidRPr="00C16315">
        <w:rPr>
          <w:sz w:val="24"/>
          <w:lang w:val="en-ZA"/>
        </w:rPr>
        <w:t>he evidence revealed that the robbery was carefully planned</w:t>
      </w:r>
      <w:r>
        <w:rPr>
          <w:sz w:val="24"/>
          <w:lang w:val="en-ZA"/>
        </w:rPr>
        <w:t>, and its success depended on the killing of the security guards</w:t>
      </w:r>
      <w:r w:rsidRPr="00C16315">
        <w:rPr>
          <w:sz w:val="24"/>
          <w:lang w:val="en-ZA"/>
        </w:rPr>
        <w:t xml:space="preserve">. </w:t>
      </w:r>
      <w:r>
        <w:rPr>
          <w:sz w:val="24"/>
          <w:lang w:val="en-ZA"/>
        </w:rPr>
        <w:t xml:space="preserve">The callous killing of the deceased was executed in full view of members of the public, with no regard for the sanctity of life. Several fatal shots were directed at the deceased at close range, aimed at parts of the body where death would be instant. </w:t>
      </w:r>
      <w:r w:rsidR="00A358A9">
        <w:rPr>
          <w:sz w:val="24"/>
          <w:lang w:val="en-ZA"/>
        </w:rPr>
        <w:t>These are serious aggravating factors.</w:t>
      </w:r>
    </w:p>
    <w:p w14:paraId="4CBEB6E2" w14:textId="77777777" w:rsidR="00A358A9" w:rsidRDefault="00A358A9" w:rsidP="00855E7E">
      <w:pPr>
        <w:rPr>
          <w:sz w:val="24"/>
          <w:lang w:val="en-ZA"/>
        </w:rPr>
      </w:pPr>
    </w:p>
    <w:p w14:paraId="4B7ACED2" w14:textId="77777777" w:rsidR="00855E7E" w:rsidRPr="00C16315" w:rsidRDefault="00A358A9" w:rsidP="00855E7E">
      <w:pPr>
        <w:rPr>
          <w:sz w:val="22"/>
          <w:szCs w:val="22"/>
          <w:lang w:val="en-ZA"/>
        </w:rPr>
      </w:pPr>
      <w:r>
        <w:rPr>
          <w:sz w:val="24"/>
          <w:lang w:val="en-ZA"/>
        </w:rPr>
        <w:t>[</w:t>
      </w:r>
      <w:r w:rsidR="002970B8">
        <w:rPr>
          <w:sz w:val="24"/>
          <w:lang w:val="en-ZA"/>
        </w:rPr>
        <w:t>23</w:t>
      </w:r>
      <w:r>
        <w:rPr>
          <w:sz w:val="24"/>
          <w:lang w:val="en-ZA"/>
        </w:rPr>
        <w:t>]</w:t>
      </w:r>
      <w:r>
        <w:rPr>
          <w:sz w:val="24"/>
          <w:lang w:val="en-ZA"/>
        </w:rPr>
        <w:tab/>
      </w:r>
      <w:r w:rsidR="00855E7E">
        <w:rPr>
          <w:sz w:val="24"/>
          <w:lang w:val="en-ZA"/>
        </w:rPr>
        <w:t>Moreover, it is evident that the motivation for this gruesome killing of the deceased was greed. In contrast, the deceased was killed while he was performing his duties. He was the sole breadwinner in his home</w:t>
      </w:r>
      <w:r w:rsidR="00A86E71">
        <w:rPr>
          <w:sz w:val="24"/>
          <w:lang w:val="en-ZA"/>
        </w:rPr>
        <w:t>. H</w:t>
      </w:r>
      <w:r w:rsidR="00855E7E">
        <w:rPr>
          <w:sz w:val="24"/>
          <w:lang w:val="en-ZA"/>
        </w:rPr>
        <w:t>is death not only traumatised his wife and children but also caused his family enormous financial hardship, as they had to ask for financial assistance in order to transport his body to his hometown for burial.</w:t>
      </w:r>
    </w:p>
    <w:p w14:paraId="415D3C82" w14:textId="77777777" w:rsidR="00D70CB9" w:rsidRDefault="00D70CB9" w:rsidP="00D70CB9">
      <w:pPr>
        <w:rPr>
          <w:sz w:val="24"/>
          <w:lang w:val="en-ZA"/>
        </w:rPr>
      </w:pPr>
    </w:p>
    <w:p w14:paraId="30E7287C" w14:textId="637686A4" w:rsidR="0028376A" w:rsidRDefault="00D70CB9" w:rsidP="00D06BF1">
      <w:pPr>
        <w:rPr>
          <w:sz w:val="24"/>
          <w:lang w:val="en-ZA"/>
        </w:rPr>
      </w:pPr>
      <w:r>
        <w:rPr>
          <w:sz w:val="24"/>
          <w:lang w:val="en-ZA"/>
        </w:rPr>
        <w:lastRenderedPageBreak/>
        <w:t>[</w:t>
      </w:r>
      <w:r w:rsidR="00AB1225">
        <w:rPr>
          <w:sz w:val="24"/>
          <w:lang w:val="en-ZA"/>
        </w:rPr>
        <w:t>24</w:t>
      </w:r>
      <w:r>
        <w:rPr>
          <w:sz w:val="24"/>
          <w:lang w:val="en-ZA"/>
        </w:rPr>
        <w:t>]</w:t>
      </w:r>
      <w:r>
        <w:rPr>
          <w:sz w:val="24"/>
          <w:lang w:val="en-ZA"/>
        </w:rPr>
        <w:tab/>
        <w:t xml:space="preserve">With regard to the </w:t>
      </w:r>
      <w:r w:rsidR="00A86E71">
        <w:rPr>
          <w:sz w:val="24"/>
          <w:lang w:val="en-ZA"/>
        </w:rPr>
        <w:t xml:space="preserve">legitimate </w:t>
      </w:r>
      <w:r w:rsidR="007069BB">
        <w:rPr>
          <w:sz w:val="24"/>
          <w:lang w:val="en-ZA"/>
        </w:rPr>
        <w:t xml:space="preserve">needs </w:t>
      </w:r>
      <w:r>
        <w:rPr>
          <w:sz w:val="24"/>
          <w:lang w:val="en-ZA"/>
        </w:rPr>
        <w:t xml:space="preserve">of society, it must be borne in mind that </w:t>
      </w:r>
      <w:r w:rsidR="007069BB">
        <w:rPr>
          <w:sz w:val="24"/>
          <w:lang w:val="en-ZA"/>
        </w:rPr>
        <w:t xml:space="preserve">offences </w:t>
      </w:r>
      <w:r w:rsidRPr="00C16315">
        <w:rPr>
          <w:sz w:val="24"/>
          <w:lang w:val="en-ZA"/>
        </w:rPr>
        <w:t xml:space="preserve">of this nature have reached alarming proportions. </w:t>
      </w:r>
      <w:r w:rsidR="00522276" w:rsidRPr="00C16315">
        <w:rPr>
          <w:sz w:val="24"/>
          <w:lang w:val="en-ZA"/>
        </w:rPr>
        <w:t>It is a crying shame that the brutal killing of persons in full view of the public has become common-place</w:t>
      </w:r>
      <w:r w:rsidR="00AC5131">
        <w:rPr>
          <w:sz w:val="24"/>
          <w:lang w:val="en-ZA"/>
        </w:rPr>
        <w:t>.</w:t>
      </w:r>
      <w:r w:rsidR="003D1B61">
        <w:rPr>
          <w:sz w:val="24"/>
          <w:lang w:val="en-ZA"/>
        </w:rPr>
        <w:t xml:space="preserve"> </w:t>
      </w:r>
      <w:r w:rsidR="00D55AD6">
        <w:rPr>
          <w:sz w:val="24"/>
          <w:lang w:val="en-ZA"/>
        </w:rPr>
        <w:t xml:space="preserve">Society is justifiably outraged by </w:t>
      </w:r>
      <w:r w:rsidR="00712C4C">
        <w:rPr>
          <w:sz w:val="24"/>
          <w:lang w:val="en-ZA"/>
        </w:rPr>
        <w:t>th</w:t>
      </w:r>
      <w:r w:rsidR="004611CA">
        <w:rPr>
          <w:sz w:val="24"/>
          <w:lang w:val="en-ZA"/>
        </w:rPr>
        <w:t>is abhorrent crime</w:t>
      </w:r>
      <w:r w:rsidR="00D44091">
        <w:rPr>
          <w:sz w:val="24"/>
          <w:lang w:val="en-ZA"/>
        </w:rPr>
        <w:t>,</w:t>
      </w:r>
      <w:r w:rsidR="004611CA">
        <w:rPr>
          <w:sz w:val="24"/>
          <w:lang w:val="en-ZA"/>
        </w:rPr>
        <w:t xml:space="preserve"> </w:t>
      </w:r>
      <w:r w:rsidR="00B109F1">
        <w:rPr>
          <w:sz w:val="24"/>
          <w:lang w:val="en-ZA"/>
        </w:rPr>
        <w:t>which has seriously impacted the enjoyment of the constitutionally protected right to life</w:t>
      </w:r>
      <w:r w:rsidR="00D55AD6">
        <w:rPr>
          <w:sz w:val="24"/>
          <w:lang w:val="en-ZA"/>
        </w:rPr>
        <w:t xml:space="preserve">. </w:t>
      </w:r>
      <w:r w:rsidR="00D0439C">
        <w:rPr>
          <w:sz w:val="24"/>
          <w:lang w:val="en-ZA"/>
        </w:rPr>
        <w:t xml:space="preserve">While rehabilitation is an important objective of punishment, </w:t>
      </w:r>
      <w:r w:rsidR="00713358">
        <w:rPr>
          <w:sz w:val="24"/>
          <w:lang w:val="en-ZA"/>
        </w:rPr>
        <w:t>it is manifest that v</w:t>
      </w:r>
      <w:r w:rsidR="00D55AD6">
        <w:rPr>
          <w:sz w:val="24"/>
          <w:lang w:val="en-ZA"/>
        </w:rPr>
        <w:t>iolent crimes</w:t>
      </w:r>
      <w:r w:rsidR="00B109F1">
        <w:rPr>
          <w:sz w:val="24"/>
          <w:lang w:val="en-ZA"/>
        </w:rPr>
        <w:t xml:space="preserve"> </w:t>
      </w:r>
      <w:r w:rsidR="00D82116">
        <w:rPr>
          <w:sz w:val="24"/>
          <w:lang w:val="en-ZA"/>
        </w:rPr>
        <w:t xml:space="preserve">will </w:t>
      </w:r>
      <w:r w:rsidR="00712C4C" w:rsidRPr="00C16315">
        <w:rPr>
          <w:sz w:val="24"/>
          <w:lang w:val="en-ZA"/>
        </w:rPr>
        <w:t>be stemmed</w:t>
      </w:r>
      <w:r w:rsidR="00906A0B">
        <w:rPr>
          <w:sz w:val="24"/>
          <w:lang w:val="en-ZA"/>
        </w:rPr>
        <w:t xml:space="preserve"> only if </w:t>
      </w:r>
      <w:r w:rsidR="007D1BD5">
        <w:rPr>
          <w:sz w:val="24"/>
          <w:lang w:val="en-ZA"/>
        </w:rPr>
        <w:t xml:space="preserve">the punishment objectives of deterrence and retribution are </w:t>
      </w:r>
      <w:r w:rsidR="00D44091">
        <w:rPr>
          <w:sz w:val="24"/>
          <w:lang w:val="en-ZA"/>
        </w:rPr>
        <w:t xml:space="preserve">consistently </w:t>
      </w:r>
      <w:r w:rsidR="007D1BD5">
        <w:rPr>
          <w:sz w:val="24"/>
          <w:lang w:val="en-ZA"/>
        </w:rPr>
        <w:t>brought to the fore</w:t>
      </w:r>
      <w:r w:rsidR="00D82116">
        <w:rPr>
          <w:sz w:val="24"/>
          <w:lang w:val="en-ZA"/>
        </w:rPr>
        <w:t xml:space="preserve"> when imposing sentence</w:t>
      </w:r>
      <w:r w:rsidR="001C0BC7">
        <w:rPr>
          <w:sz w:val="24"/>
          <w:lang w:val="en-ZA"/>
        </w:rPr>
        <w:t>.</w:t>
      </w:r>
      <w:r w:rsidR="001C0BC7">
        <w:rPr>
          <w:rStyle w:val="FootnoteReference"/>
          <w:rFonts w:cs="Arial"/>
          <w:sz w:val="24"/>
          <w:lang w:val="en-ZA"/>
        </w:rPr>
        <w:footnoteReference w:id="13"/>
      </w:r>
      <w:r w:rsidR="001C0BC7">
        <w:rPr>
          <w:sz w:val="24"/>
          <w:lang w:val="en-ZA"/>
        </w:rPr>
        <w:t xml:space="preserve"> </w:t>
      </w:r>
      <w:r w:rsidR="00EB6C2B" w:rsidRPr="00C16315">
        <w:rPr>
          <w:sz w:val="24"/>
          <w:lang w:val="en-ZA"/>
        </w:rPr>
        <w:t xml:space="preserve">Not only must </w:t>
      </w:r>
      <w:r w:rsidR="00EB6C2B">
        <w:rPr>
          <w:sz w:val="24"/>
          <w:lang w:val="en-ZA"/>
        </w:rPr>
        <w:t xml:space="preserve">it be made clear to criminals that crime will not benefit them, </w:t>
      </w:r>
      <w:r w:rsidR="00EB6C2B" w:rsidRPr="00C16315">
        <w:rPr>
          <w:sz w:val="24"/>
          <w:lang w:val="en-ZA"/>
        </w:rPr>
        <w:t xml:space="preserve">but </w:t>
      </w:r>
      <w:r w:rsidR="00EB6C2B">
        <w:rPr>
          <w:sz w:val="24"/>
          <w:lang w:val="en-ZA"/>
        </w:rPr>
        <w:t xml:space="preserve">would-be perpetrators, too, </w:t>
      </w:r>
      <w:r w:rsidR="00EB6C2B" w:rsidRPr="00C16315">
        <w:rPr>
          <w:sz w:val="24"/>
          <w:lang w:val="en-ZA"/>
        </w:rPr>
        <w:t xml:space="preserve">must </w:t>
      </w:r>
      <w:r w:rsidR="00EB6C2B">
        <w:rPr>
          <w:sz w:val="24"/>
          <w:lang w:val="en-ZA"/>
        </w:rPr>
        <w:t xml:space="preserve">similarly </w:t>
      </w:r>
      <w:r w:rsidR="00EB6C2B" w:rsidRPr="00C16315">
        <w:rPr>
          <w:sz w:val="24"/>
          <w:lang w:val="en-ZA"/>
        </w:rPr>
        <w:t xml:space="preserve">be deterred by the realisation that </w:t>
      </w:r>
      <w:r w:rsidR="00EB6C2B">
        <w:rPr>
          <w:sz w:val="24"/>
          <w:lang w:val="en-ZA"/>
        </w:rPr>
        <w:t xml:space="preserve">violent crimes </w:t>
      </w:r>
      <w:r w:rsidR="00EB6C2B" w:rsidRPr="00C16315">
        <w:rPr>
          <w:sz w:val="24"/>
          <w:lang w:val="en-ZA"/>
        </w:rPr>
        <w:t xml:space="preserve">are deservedly visited with severe sentences. </w:t>
      </w:r>
    </w:p>
    <w:p w14:paraId="55183305" w14:textId="77777777" w:rsidR="00816FCC" w:rsidRDefault="00816FCC" w:rsidP="00D06BF1">
      <w:pPr>
        <w:rPr>
          <w:sz w:val="24"/>
          <w:lang w:val="en-ZA"/>
        </w:rPr>
      </w:pPr>
    </w:p>
    <w:p w14:paraId="2F08EE0C" w14:textId="77777777" w:rsidR="00D06BF1" w:rsidRDefault="0028376A" w:rsidP="00D06BF1">
      <w:pPr>
        <w:rPr>
          <w:sz w:val="24"/>
          <w:lang w:val="en-ZA"/>
        </w:rPr>
      </w:pPr>
      <w:r>
        <w:rPr>
          <w:sz w:val="24"/>
          <w:lang w:val="en-ZA"/>
        </w:rPr>
        <w:t>[</w:t>
      </w:r>
      <w:r w:rsidR="00AB1225">
        <w:rPr>
          <w:sz w:val="24"/>
          <w:lang w:val="en-ZA"/>
        </w:rPr>
        <w:t>25</w:t>
      </w:r>
      <w:r>
        <w:rPr>
          <w:sz w:val="24"/>
          <w:lang w:val="en-ZA"/>
        </w:rPr>
        <w:t>]</w:t>
      </w:r>
      <w:r>
        <w:rPr>
          <w:sz w:val="24"/>
          <w:lang w:val="en-ZA"/>
        </w:rPr>
        <w:tab/>
      </w:r>
      <w:r w:rsidR="00663479">
        <w:rPr>
          <w:sz w:val="24"/>
          <w:lang w:val="en-ZA"/>
        </w:rPr>
        <w:t xml:space="preserve">For all the reasons mentioned above, </w:t>
      </w:r>
      <w:r w:rsidR="00C7442B">
        <w:rPr>
          <w:sz w:val="24"/>
          <w:lang w:val="en-ZA"/>
        </w:rPr>
        <w:t xml:space="preserve">I am satisfied that </w:t>
      </w:r>
      <w:r w:rsidR="00DA371D">
        <w:rPr>
          <w:sz w:val="24"/>
          <w:lang w:val="en-ZA"/>
        </w:rPr>
        <w:t>a balanced consideration of the triad of sentence call</w:t>
      </w:r>
      <w:r w:rsidR="00C7442B">
        <w:rPr>
          <w:sz w:val="24"/>
          <w:lang w:val="en-ZA"/>
        </w:rPr>
        <w:t>ed</w:t>
      </w:r>
      <w:r w:rsidR="00DA371D">
        <w:rPr>
          <w:sz w:val="24"/>
          <w:lang w:val="en-ZA"/>
        </w:rPr>
        <w:t xml:space="preserve"> for the imposition of a sentence of life imprisonment. </w:t>
      </w:r>
      <w:r w:rsidR="00C7442B">
        <w:rPr>
          <w:sz w:val="24"/>
          <w:lang w:val="en-ZA"/>
        </w:rPr>
        <w:t xml:space="preserve">This therefore means that </w:t>
      </w:r>
      <w:r w:rsidR="00665298">
        <w:rPr>
          <w:sz w:val="24"/>
          <w:lang w:val="en-ZA"/>
        </w:rPr>
        <w:t xml:space="preserve">in the </w:t>
      </w:r>
      <w:r w:rsidR="00663479">
        <w:rPr>
          <w:sz w:val="24"/>
          <w:lang w:val="en-ZA"/>
        </w:rPr>
        <w:t xml:space="preserve">specific </w:t>
      </w:r>
      <w:r w:rsidR="00665298">
        <w:rPr>
          <w:sz w:val="24"/>
          <w:lang w:val="en-ZA"/>
        </w:rPr>
        <w:t xml:space="preserve">circumstances of this case, a </w:t>
      </w:r>
      <w:r w:rsidR="00D06BF1" w:rsidRPr="00C16315">
        <w:rPr>
          <w:sz w:val="24"/>
          <w:lang w:val="en-ZA"/>
        </w:rPr>
        <w:t xml:space="preserve">sentence of life </w:t>
      </w:r>
      <w:r w:rsidR="00D06BF1">
        <w:rPr>
          <w:sz w:val="24"/>
          <w:lang w:val="en-ZA"/>
        </w:rPr>
        <w:t>imprisonment</w:t>
      </w:r>
      <w:r w:rsidR="00D06BF1" w:rsidRPr="00C16315">
        <w:rPr>
          <w:sz w:val="24"/>
          <w:lang w:val="en-ZA"/>
        </w:rPr>
        <w:t xml:space="preserve"> was the only appropriate sentence for the applicant</w:t>
      </w:r>
      <w:r w:rsidR="00D06BF1">
        <w:rPr>
          <w:sz w:val="24"/>
          <w:lang w:val="en-ZA"/>
        </w:rPr>
        <w:t>, regardless of the applicability of the CLAA</w:t>
      </w:r>
      <w:r w:rsidR="00D06BF1" w:rsidRPr="00C16315">
        <w:rPr>
          <w:sz w:val="24"/>
          <w:lang w:val="en-ZA"/>
        </w:rPr>
        <w:t xml:space="preserve">. </w:t>
      </w:r>
      <w:r w:rsidR="00665298">
        <w:rPr>
          <w:sz w:val="24"/>
          <w:lang w:val="en-ZA"/>
        </w:rPr>
        <w:t xml:space="preserve">In </w:t>
      </w:r>
      <w:r w:rsidR="00287806">
        <w:rPr>
          <w:sz w:val="24"/>
          <w:lang w:val="en-ZA"/>
        </w:rPr>
        <w:t xml:space="preserve">circumstances </w:t>
      </w:r>
      <w:r w:rsidR="00D06BF1">
        <w:rPr>
          <w:sz w:val="24"/>
          <w:lang w:val="en-ZA"/>
        </w:rPr>
        <w:t xml:space="preserve">where a sentence of life imprisonment is considered the only appropriate sentence, granting special leave to appeal against that sentence merely because the indictment stipulated that s </w:t>
      </w:r>
      <w:r w:rsidR="00D06BF1" w:rsidRPr="00400B3E">
        <w:rPr>
          <w:sz w:val="24"/>
          <w:lang w:val="en-ZA"/>
        </w:rPr>
        <w:t xml:space="preserve">51(2) </w:t>
      </w:r>
      <w:r w:rsidR="00D06BF1" w:rsidRPr="00195468">
        <w:rPr>
          <w:sz w:val="24"/>
          <w:lang w:val="en-ZA"/>
        </w:rPr>
        <w:t xml:space="preserve">was applicable would be a text book example of putting form above substance. </w:t>
      </w:r>
      <w:r w:rsidR="003D11C0" w:rsidRPr="00195468">
        <w:rPr>
          <w:sz w:val="24"/>
          <w:lang w:val="en-ZA"/>
        </w:rPr>
        <w:t xml:space="preserve">Of significance is that given all the aggravating factors alluded to, earlier, </w:t>
      </w:r>
      <w:r w:rsidR="003D11C0" w:rsidRPr="00195468">
        <w:rPr>
          <w:sz w:val="24"/>
        </w:rPr>
        <w:t>an appeal court would be unlikely to tamper with the sentence.</w:t>
      </w:r>
      <w:r w:rsidR="00400B3E" w:rsidRPr="00400B3E">
        <w:rPr>
          <w:sz w:val="24"/>
        </w:rPr>
        <w:t xml:space="preserve"> Thus,</w:t>
      </w:r>
      <w:r w:rsidR="00400B3E">
        <w:t xml:space="preserve"> </w:t>
      </w:r>
      <w:r w:rsidR="00D06BF1">
        <w:rPr>
          <w:sz w:val="24"/>
          <w:lang w:val="en-ZA"/>
        </w:rPr>
        <w:t xml:space="preserve">the applicant’s </w:t>
      </w:r>
      <w:r w:rsidR="00D06BF1" w:rsidRPr="00C16315">
        <w:rPr>
          <w:sz w:val="24"/>
          <w:lang w:val="en-ZA"/>
        </w:rPr>
        <w:t xml:space="preserve">application for </w:t>
      </w:r>
      <w:r w:rsidR="00D06BF1">
        <w:rPr>
          <w:sz w:val="24"/>
          <w:lang w:val="en-ZA"/>
        </w:rPr>
        <w:t xml:space="preserve">special </w:t>
      </w:r>
      <w:r w:rsidR="00D06BF1" w:rsidRPr="00C16315">
        <w:rPr>
          <w:sz w:val="24"/>
          <w:lang w:val="en-ZA"/>
        </w:rPr>
        <w:t xml:space="preserve">leave </w:t>
      </w:r>
      <w:r w:rsidR="00D06BF1">
        <w:rPr>
          <w:sz w:val="24"/>
          <w:lang w:val="en-ZA"/>
        </w:rPr>
        <w:t>to appeal against the sentence of life imprisonment was justifiably dismissed by the two judges of this Court. It follows that there is no compelling reason why we should reconsider or vary the refusal of leave to appeal against the sentence imposed in respect of count two.</w:t>
      </w:r>
    </w:p>
    <w:p w14:paraId="04A10367" w14:textId="77777777" w:rsidR="006D1A1E" w:rsidRDefault="006D1A1E" w:rsidP="00387A6D">
      <w:pPr>
        <w:rPr>
          <w:sz w:val="24"/>
          <w:lang w:val="en-ZA"/>
        </w:rPr>
      </w:pPr>
    </w:p>
    <w:p w14:paraId="300C2D02" w14:textId="77777777" w:rsidR="00176A4C" w:rsidRPr="00E37421" w:rsidRDefault="00134552" w:rsidP="00387A6D">
      <w:pPr>
        <w:rPr>
          <w:b/>
          <w:bCs/>
          <w:sz w:val="24"/>
          <w:lang w:val="en-ZA"/>
        </w:rPr>
      </w:pPr>
      <w:r>
        <w:rPr>
          <w:b/>
          <w:bCs/>
          <w:sz w:val="24"/>
          <w:lang w:val="en-ZA"/>
        </w:rPr>
        <w:t>P</w:t>
      </w:r>
      <w:r w:rsidR="006D1A1E" w:rsidRPr="00E37421">
        <w:rPr>
          <w:b/>
          <w:bCs/>
          <w:sz w:val="24"/>
          <w:lang w:val="en-ZA"/>
        </w:rPr>
        <w:t xml:space="preserve">ossession of </w:t>
      </w:r>
      <w:r w:rsidR="00E37421" w:rsidRPr="00E37421">
        <w:rPr>
          <w:b/>
          <w:bCs/>
          <w:sz w:val="24"/>
          <w:lang w:val="en-ZA"/>
        </w:rPr>
        <w:t>firearms and ammunition</w:t>
      </w:r>
      <w:r w:rsidR="00E37421">
        <w:rPr>
          <w:b/>
          <w:bCs/>
          <w:sz w:val="24"/>
          <w:lang w:val="en-ZA"/>
        </w:rPr>
        <w:t xml:space="preserve"> </w:t>
      </w:r>
      <w:r w:rsidR="00F77D7F">
        <w:rPr>
          <w:b/>
          <w:bCs/>
          <w:sz w:val="24"/>
          <w:lang w:val="en-ZA"/>
        </w:rPr>
        <w:t xml:space="preserve">without a licence </w:t>
      </w:r>
      <w:r w:rsidR="00E37421">
        <w:rPr>
          <w:b/>
          <w:bCs/>
          <w:sz w:val="24"/>
          <w:lang w:val="en-ZA"/>
        </w:rPr>
        <w:t>(counts four and five)</w:t>
      </w:r>
      <w:r w:rsidR="00106FFF" w:rsidRPr="00E37421">
        <w:rPr>
          <w:b/>
          <w:bCs/>
          <w:sz w:val="24"/>
          <w:lang w:val="en-ZA"/>
        </w:rPr>
        <w:t xml:space="preserve"> </w:t>
      </w:r>
    </w:p>
    <w:p w14:paraId="5E276E1B" w14:textId="77777777" w:rsidR="00814C24" w:rsidRDefault="00814C24" w:rsidP="00E954CF">
      <w:pPr>
        <w:rPr>
          <w:sz w:val="24"/>
          <w:lang w:val="en-ZA"/>
        </w:rPr>
      </w:pPr>
    </w:p>
    <w:p w14:paraId="29B7ED7B" w14:textId="77777777" w:rsidR="00E954CF" w:rsidRPr="00C16315" w:rsidRDefault="00AB1796" w:rsidP="00E954CF">
      <w:pPr>
        <w:rPr>
          <w:sz w:val="24"/>
          <w:lang w:val="en-ZA"/>
        </w:rPr>
      </w:pPr>
      <w:r w:rsidRPr="00C16315">
        <w:rPr>
          <w:sz w:val="24"/>
          <w:lang w:val="en-ZA"/>
        </w:rPr>
        <w:t>[</w:t>
      </w:r>
      <w:r w:rsidR="003B11DB">
        <w:rPr>
          <w:sz w:val="24"/>
          <w:lang w:val="en-ZA"/>
        </w:rPr>
        <w:t>2</w:t>
      </w:r>
      <w:r w:rsidR="00C554A4">
        <w:rPr>
          <w:sz w:val="24"/>
          <w:lang w:val="en-ZA"/>
        </w:rPr>
        <w:t>6</w:t>
      </w:r>
      <w:r w:rsidRPr="00C16315">
        <w:rPr>
          <w:sz w:val="24"/>
          <w:lang w:val="en-ZA"/>
        </w:rPr>
        <w:t>]</w:t>
      </w:r>
      <w:r w:rsidRPr="00C16315">
        <w:rPr>
          <w:sz w:val="24"/>
          <w:lang w:val="en-ZA"/>
        </w:rPr>
        <w:tab/>
      </w:r>
      <w:r w:rsidR="00134552">
        <w:rPr>
          <w:sz w:val="24"/>
          <w:lang w:val="en-ZA"/>
        </w:rPr>
        <w:t xml:space="preserve">Section </w:t>
      </w:r>
      <w:r w:rsidR="00E954CF" w:rsidRPr="00C16315">
        <w:rPr>
          <w:sz w:val="24"/>
          <w:lang w:val="en-ZA"/>
        </w:rPr>
        <w:t>3(1) of the</w:t>
      </w:r>
      <w:r w:rsidR="001E7A3E">
        <w:rPr>
          <w:sz w:val="24"/>
          <w:lang w:val="en-ZA"/>
        </w:rPr>
        <w:t xml:space="preserve"> Fire Arms Control Act</w:t>
      </w:r>
      <w:r w:rsidR="00E954CF" w:rsidRPr="00C16315">
        <w:rPr>
          <w:sz w:val="24"/>
          <w:lang w:val="en-ZA"/>
        </w:rPr>
        <w:t xml:space="preserve"> </w:t>
      </w:r>
      <w:r w:rsidR="001E7A3E">
        <w:rPr>
          <w:sz w:val="24"/>
          <w:lang w:val="en-ZA"/>
        </w:rPr>
        <w:t>60 of 2000 (</w:t>
      </w:r>
      <w:r w:rsidR="00E954CF" w:rsidRPr="00C16315">
        <w:rPr>
          <w:sz w:val="24"/>
          <w:lang w:val="en-ZA"/>
        </w:rPr>
        <w:t>FCA</w:t>
      </w:r>
      <w:r w:rsidR="001E7A3E">
        <w:rPr>
          <w:sz w:val="24"/>
          <w:lang w:val="en-ZA"/>
        </w:rPr>
        <w:t>)</w:t>
      </w:r>
      <w:r w:rsidR="00E954CF" w:rsidRPr="00C16315">
        <w:rPr>
          <w:sz w:val="24"/>
          <w:lang w:val="en-ZA"/>
        </w:rPr>
        <w:t xml:space="preserve"> provides that:</w:t>
      </w:r>
    </w:p>
    <w:p w14:paraId="101E6233" w14:textId="77777777" w:rsidR="00E954CF" w:rsidRPr="00814C24" w:rsidRDefault="00E954CF" w:rsidP="00E954CF">
      <w:pPr>
        <w:rPr>
          <w:sz w:val="22"/>
          <w:szCs w:val="22"/>
          <w:lang w:val="en-ZA"/>
        </w:rPr>
      </w:pPr>
      <w:r w:rsidRPr="00814C24">
        <w:rPr>
          <w:sz w:val="22"/>
          <w:szCs w:val="22"/>
          <w:lang w:val="en-ZA"/>
        </w:rPr>
        <w:t>‘No person may possess a firearm unless he or she holds for that firearm –</w:t>
      </w:r>
    </w:p>
    <w:p w14:paraId="78AA022F" w14:textId="77777777" w:rsidR="00E954CF" w:rsidRPr="00814C24" w:rsidRDefault="00E954CF" w:rsidP="00E954CF">
      <w:pPr>
        <w:rPr>
          <w:sz w:val="22"/>
          <w:szCs w:val="22"/>
          <w:lang w:val="en-ZA"/>
        </w:rPr>
      </w:pPr>
      <w:r w:rsidRPr="00814C24">
        <w:rPr>
          <w:i/>
          <w:iCs/>
          <w:sz w:val="22"/>
          <w:szCs w:val="22"/>
          <w:lang w:val="en-ZA"/>
        </w:rPr>
        <w:t>(a)</w:t>
      </w:r>
      <w:r w:rsidRPr="00814C24">
        <w:rPr>
          <w:sz w:val="22"/>
          <w:szCs w:val="22"/>
          <w:lang w:val="en-ZA"/>
        </w:rPr>
        <w:tab/>
        <w:t>a licence, permit or authorisation issued in terms of this Act; or</w:t>
      </w:r>
    </w:p>
    <w:p w14:paraId="2D22C61A" w14:textId="77777777" w:rsidR="00E954CF" w:rsidRPr="00814C24" w:rsidRDefault="00E954CF" w:rsidP="00E954CF">
      <w:pPr>
        <w:rPr>
          <w:sz w:val="22"/>
          <w:szCs w:val="22"/>
          <w:lang w:val="en-ZA"/>
        </w:rPr>
      </w:pPr>
      <w:r w:rsidRPr="00814C24">
        <w:rPr>
          <w:sz w:val="22"/>
          <w:szCs w:val="22"/>
          <w:lang w:val="en-ZA"/>
        </w:rPr>
        <w:lastRenderedPageBreak/>
        <w:t>(</w:t>
      </w:r>
      <w:r w:rsidRPr="00814C24">
        <w:rPr>
          <w:i/>
          <w:sz w:val="22"/>
          <w:szCs w:val="22"/>
          <w:lang w:val="en-ZA"/>
        </w:rPr>
        <w:t>b</w:t>
      </w:r>
      <w:r w:rsidRPr="00814C24">
        <w:rPr>
          <w:sz w:val="22"/>
          <w:szCs w:val="22"/>
          <w:lang w:val="en-ZA"/>
        </w:rPr>
        <w:t>)</w:t>
      </w:r>
      <w:r w:rsidRPr="00814C24">
        <w:rPr>
          <w:sz w:val="22"/>
          <w:szCs w:val="22"/>
          <w:lang w:val="en-ZA"/>
        </w:rPr>
        <w:tab/>
        <w:t>a licence, permit authorisation or registration certificate contemplated in item 1, 2, 3, 4, 4A or 5 of Schedule 1.’</w:t>
      </w:r>
    </w:p>
    <w:p w14:paraId="2A16A532" w14:textId="77777777" w:rsidR="00E954CF" w:rsidRPr="00016359" w:rsidRDefault="00E954CF" w:rsidP="00E954CF">
      <w:pPr>
        <w:rPr>
          <w:sz w:val="24"/>
          <w:lang w:val="en-ZA"/>
        </w:rPr>
      </w:pPr>
      <w:r w:rsidRPr="00016359">
        <w:rPr>
          <w:sz w:val="24"/>
          <w:lang w:val="en-ZA"/>
        </w:rPr>
        <w:t xml:space="preserve">In </w:t>
      </w:r>
      <w:r w:rsidR="00A8033C" w:rsidRPr="00016359">
        <w:rPr>
          <w:sz w:val="24"/>
          <w:lang w:val="en-ZA"/>
        </w:rPr>
        <w:t xml:space="preserve">similar </w:t>
      </w:r>
      <w:r w:rsidRPr="00016359">
        <w:rPr>
          <w:sz w:val="24"/>
          <w:lang w:val="en-ZA"/>
        </w:rPr>
        <w:t>vein, s 90 of the F</w:t>
      </w:r>
      <w:r w:rsidR="0015091B" w:rsidRPr="00016359">
        <w:rPr>
          <w:sz w:val="24"/>
          <w:lang w:val="en-ZA"/>
        </w:rPr>
        <w:t xml:space="preserve">CA </w:t>
      </w:r>
      <w:r w:rsidRPr="00016359">
        <w:rPr>
          <w:sz w:val="24"/>
          <w:lang w:val="en-ZA"/>
        </w:rPr>
        <w:t xml:space="preserve">prohibits possession of ammunition without a licence. </w:t>
      </w:r>
    </w:p>
    <w:p w14:paraId="41CC2929" w14:textId="77777777" w:rsidR="00814C24" w:rsidRDefault="00814C24" w:rsidP="00F17D13">
      <w:pPr>
        <w:rPr>
          <w:sz w:val="24"/>
          <w:lang w:val="en-ZA"/>
        </w:rPr>
      </w:pPr>
    </w:p>
    <w:p w14:paraId="5053D3FF" w14:textId="77777777" w:rsidR="00F17D13" w:rsidRPr="00016359" w:rsidRDefault="00E954CF" w:rsidP="00F17D13">
      <w:pPr>
        <w:rPr>
          <w:sz w:val="24"/>
          <w:lang w:val="en-ZA"/>
        </w:rPr>
      </w:pPr>
      <w:r w:rsidRPr="00016359">
        <w:rPr>
          <w:sz w:val="24"/>
          <w:lang w:val="en-ZA"/>
        </w:rPr>
        <w:t>[</w:t>
      </w:r>
      <w:r w:rsidR="00814C24">
        <w:rPr>
          <w:sz w:val="24"/>
          <w:lang w:val="en-ZA"/>
        </w:rPr>
        <w:t>2</w:t>
      </w:r>
      <w:r w:rsidR="00C554A4">
        <w:rPr>
          <w:sz w:val="24"/>
          <w:lang w:val="en-ZA"/>
        </w:rPr>
        <w:t>7</w:t>
      </w:r>
      <w:r w:rsidRPr="00016359">
        <w:rPr>
          <w:sz w:val="24"/>
          <w:lang w:val="en-ZA"/>
        </w:rPr>
        <w:t>]</w:t>
      </w:r>
      <w:r w:rsidRPr="00016359">
        <w:rPr>
          <w:sz w:val="24"/>
          <w:lang w:val="en-ZA"/>
        </w:rPr>
        <w:tab/>
      </w:r>
      <w:r w:rsidR="00F90868" w:rsidRPr="00016359">
        <w:rPr>
          <w:sz w:val="24"/>
          <w:lang w:val="en-ZA"/>
        </w:rPr>
        <w:t xml:space="preserve">The indictment </w:t>
      </w:r>
      <w:r w:rsidR="003817B3" w:rsidRPr="00016359">
        <w:rPr>
          <w:sz w:val="24"/>
          <w:lang w:val="en-ZA"/>
        </w:rPr>
        <w:t xml:space="preserve">in relation to the unlawful possession of the firearms </w:t>
      </w:r>
      <w:r w:rsidR="00F90868" w:rsidRPr="00016359">
        <w:rPr>
          <w:sz w:val="24"/>
          <w:lang w:val="en-ZA"/>
        </w:rPr>
        <w:t xml:space="preserve">pertinently </w:t>
      </w:r>
      <w:r w:rsidR="00754C99">
        <w:rPr>
          <w:sz w:val="24"/>
          <w:lang w:val="en-ZA"/>
        </w:rPr>
        <w:t xml:space="preserve">described the firearms possessed by the applicant and his co-accused as semi-automatic and </w:t>
      </w:r>
      <w:r w:rsidR="00672A57">
        <w:rPr>
          <w:sz w:val="24"/>
          <w:lang w:val="en-ZA"/>
        </w:rPr>
        <w:t xml:space="preserve">mentioned the applicability of </w:t>
      </w:r>
      <w:r w:rsidR="00F90868" w:rsidRPr="00016359">
        <w:rPr>
          <w:sz w:val="24"/>
          <w:lang w:val="en-ZA"/>
        </w:rPr>
        <w:t xml:space="preserve">s 51(2) of the CLAA. </w:t>
      </w:r>
      <w:r w:rsidR="00A86778">
        <w:rPr>
          <w:sz w:val="24"/>
          <w:lang w:val="en-ZA"/>
        </w:rPr>
        <w:t>Section</w:t>
      </w:r>
      <w:r w:rsidR="00F17D13" w:rsidRPr="00016359">
        <w:rPr>
          <w:sz w:val="24"/>
          <w:lang w:val="en-ZA"/>
        </w:rPr>
        <w:t xml:space="preserve"> 51(2)</w:t>
      </w:r>
      <w:r w:rsidR="00F17D13" w:rsidRPr="00016359">
        <w:rPr>
          <w:i/>
          <w:sz w:val="24"/>
          <w:lang w:val="en-ZA"/>
        </w:rPr>
        <w:t xml:space="preserve">(a) </w:t>
      </w:r>
      <w:r w:rsidR="00F17D13" w:rsidRPr="00016359">
        <w:rPr>
          <w:sz w:val="24"/>
          <w:lang w:val="en-ZA"/>
        </w:rPr>
        <w:t xml:space="preserve">of Part 2 of Schedule 2 provides as follows: </w:t>
      </w:r>
    </w:p>
    <w:p w14:paraId="3AF8D021" w14:textId="77777777" w:rsidR="00F17D13" w:rsidRPr="00DF50CB" w:rsidRDefault="00F17D13" w:rsidP="00F17D13">
      <w:pPr>
        <w:rPr>
          <w:sz w:val="22"/>
          <w:szCs w:val="22"/>
          <w:lang w:val="en-US"/>
        </w:rPr>
      </w:pPr>
      <w:r w:rsidRPr="00DE4295">
        <w:rPr>
          <w:sz w:val="22"/>
          <w:szCs w:val="22"/>
          <w:lang w:val="en-US"/>
        </w:rPr>
        <w:t>‘</w:t>
      </w:r>
      <w:r w:rsidRPr="00DF50CB">
        <w:rPr>
          <w:sz w:val="22"/>
          <w:szCs w:val="22"/>
          <w:lang w:val="en-US"/>
        </w:rPr>
        <w:t xml:space="preserve">Notwithstanding any other law but subject to subsections (3) and (6), a regional court or a High Court shall sentence a person who has been convicted of an offence referred to in </w:t>
      </w:r>
      <w:r w:rsidRPr="00DE4295">
        <w:rPr>
          <w:sz w:val="22"/>
          <w:szCs w:val="22"/>
          <w:lang w:val="en-US"/>
        </w:rPr>
        <w:t>—</w:t>
      </w:r>
      <w:r w:rsidRPr="00DF50CB">
        <w:rPr>
          <w:sz w:val="22"/>
          <w:szCs w:val="22"/>
          <w:lang w:val="en-US"/>
        </w:rPr>
        <w:t xml:space="preserve"> </w:t>
      </w:r>
    </w:p>
    <w:p w14:paraId="76554A71" w14:textId="77777777" w:rsidR="00F17D13" w:rsidRPr="00DF50CB" w:rsidRDefault="00F17D13" w:rsidP="00F17D13">
      <w:pPr>
        <w:rPr>
          <w:sz w:val="22"/>
          <w:szCs w:val="22"/>
          <w:lang w:val="en-US"/>
        </w:rPr>
      </w:pPr>
      <w:r w:rsidRPr="00DF50CB">
        <w:rPr>
          <w:i/>
          <w:iCs/>
          <w:sz w:val="22"/>
          <w:szCs w:val="22"/>
          <w:lang w:val="en-US"/>
        </w:rPr>
        <w:t>(a)</w:t>
      </w:r>
      <w:r w:rsidRPr="00DE4295">
        <w:rPr>
          <w:i/>
          <w:iCs/>
          <w:sz w:val="22"/>
          <w:szCs w:val="22"/>
          <w:lang w:val="en-US"/>
        </w:rPr>
        <w:tab/>
      </w:r>
      <w:r w:rsidRPr="00DF50CB">
        <w:rPr>
          <w:sz w:val="22"/>
          <w:szCs w:val="22"/>
          <w:lang w:val="en-US"/>
        </w:rPr>
        <w:t xml:space="preserve"> Part II of Schedule 2, in the case of</w:t>
      </w:r>
      <w:r w:rsidRPr="00DE4295">
        <w:rPr>
          <w:sz w:val="22"/>
          <w:szCs w:val="22"/>
          <w:lang w:val="en-US"/>
        </w:rPr>
        <w:t>—</w:t>
      </w:r>
    </w:p>
    <w:p w14:paraId="4115C3B1" w14:textId="77777777" w:rsidR="00F17D13" w:rsidRPr="00DF50CB" w:rsidRDefault="00F17D13" w:rsidP="00F17D13">
      <w:pPr>
        <w:ind w:firstLine="720"/>
        <w:rPr>
          <w:sz w:val="22"/>
          <w:szCs w:val="22"/>
          <w:lang w:val="en-US"/>
        </w:rPr>
      </w:pPr>
      <w:r w:rsidRPr="00DF50CB">
        <w:rPr>
          <w:sz w:val="22"/>
          <w:szCs w:val="22"/>
          <w:lang w:val="en-US"/>
        </w:rPr>
        <w:t xml:space="preserve">(i) a first offender, to imprisonment for a period not less than 15 years; </w:t>
      </w:r>
    </w:p>
    <w:p w14:paraId="7B0133D7" w14:textId="77777777" w:rsidR="00F17D13" w:rsidRPr="00DF50CB" w:rsidRDefault="00F17D13" w:rsidP="00F17D13">
      <w:pPr>
        <w:ind w:left="720"/>
        <w:rPr>
          <w:sz w:val="22"/>
          <w:szCs w:val="22"/>
          <w:lang w:val="en-US"/>
        </w:rPr>
      </w:pPr>
      <w:r w:rsidRPr="00DF50CB">
        <w:rPr>
          <w:sz w:val="22"/>
          <w:szCs w:val="22"/>
          <w:lang w:val="en-US"/>
        </w:rPr>
        <w:t xml:space="preserve">(ii) a second offender of any such offence, to imprisonment for a period not less than 20 years; and </w:t>
      </w:r>
    </w:p>
    <w:p w14:paraId="782EB770" w14:textId="77777777" w:rsidR="00F17D13" w:rsidRPr="00DF50CB" w:rsidRDefault="00F17D13" w:rsidP="00F17D13">
      <w:pPr>
        <w:ind w:firstLine="720"/>
        <w:rPr>
          <w:sz w:val="22"/>
          <w:szCs w:val="22"/>
          <w:lang w:val="en-US"/>
        </w:rPr>
      </w:pPr>
      <w:r w:rsidRPr="00DF50CB">
        <w:rPr>
          <w:sz w:val="22"/>
          <w:szCs w:val="22"/>
          <w:lang w:val="en-US"/>
        </w:rPr>
        <w:t xml:space="preserve">(iii) a third or subsequent offender of any such offence, to imprisonment for a </w:t>
      </w:r>
      <w:r w:rsidRPr="00DE4295">
        <w:rPr>
          <w:sz w:val="22"/>
          <w:szCs w:val="22"/>
          <w:lang w:val="en-US"/>
        </w:rPr>
        <w:tab/>
      </w:r>
      <w:r w:rsidRPr="00DF50CB">
        <w:rPr>
          <w:sz w:val="22"/>
          <w:szCs w:val="22"/>
          <w:lang w:val="en-US"/>
        </w:rPr>
        <w:t>period not less than 25 years.</w:t>
      </w:r>
      <w:r w:rsidRPr="00DE4295">
        <w:rPr>
          <w:sz w:val="22"/>
          <w:szCs w:val="22"/>
          <w:lang w:val="en-US"/>
        </w:rPr>
        <w:t>’</w:t>
      </w:r>
      <w:r w:rsidRPr="00DE4295">
        <w:rPr>
          <w:rStyle w:val="FootnoteReference"/>
          <w:rFonts w:cs="Arial"/>
          <w:sz w:val="22"/>
          <w:szCs w:val="22"/>
          <w:lang w:val="en-US"/>
        </w:rPr>
        <w:footnoteReference w:id="14"/>
      </w:r>
    </w:p>
    <w:p w14:paraId="3340391A" w14:textId="77777777" w:rsidR="0054183C" w:rsidRPr="00016359" w:rsidRDefault="0054183C" w:rsidP="000B68F2">
      <w:pPr>
        <w:rPr>
          <w:sz w:val="24"/>
          <w:lang w:val="en-ZA"/>
        </w:rPr>
      </w:pPr>
    </w:p>
    <w:p w14:paraId="41DB6633" w14:textId="77777777" w:rsidR="009F2A50" w:rsidRPr="00594457" w:rsidRDefault="0054183C" w:rsidP="000B68F2">
      <w:pPr>
        <w:rPr>
          <w:sz w:val="24"/>
          <w:lang w:val="en-ZA"/>
        </w:rPr>
      </w:pPr>
      <w:r w:rsidRPr="00594457">
        <w:rPr>
          <w:sz w:val="24"/>
          <w:lang w:val="en-ZA"/>
        </w:rPr>
        <w:t>[</w:t>
      </w:r>
      <w:r w:rsidR="00594457" w:rsidRPr="00594457">
        <w:rPr>
          <w:sz w:val="24"/>
          <w:lang w:val="en-ZA"/>
        </w:rPr>
        <w:t>2</w:t>
      </w:r>
      <w:r w:rsidR="00C554A4">
        <w:rPr>
          <w:sz w:val="24"/>
          <w:lang w:val="en-ZA"/>
        </w:rPr>
        <w:t>8</w:t>
      </w:r>
      <w:r w:rsidRPr="00594457">
        <w:rPr>
          <w:sz w:val="24"/>
          <w:lang w:val="en-ZA"/>
        </w:rPr>
        <w:t>]</w:t>
      </w:r>
      <w:r w:rsidRPr="00594457">
        <w:rPr>
          <w:sz w:val="24"/>
          <w:lang w:val="en-ZA"/>
        </w:rPr>
        <w:tab/>
      </w:r>
      <w:r w:rsidR="00E65917" w:rsidRPr="00594457">
        <w:rPr>
          <w:sz w:val="24"/>
          <w:lang w:val="en-ZA"/>
        </w:rPr>
        <w:t>I</w:t>
      </w:r>
      <w:r w:rsidR="00A752D8" w:rsidRPr="00594457">
        <w:rPr>
          <w:sz w:val="24"/>
          <w:lang w:val="en-ZA"/>
        </w:rPr>
        <w:t>t</w:t>
      </w:r>
      <w:r w:rsidR="00A2163C" w:rsidRPr="00594457">
        <w:rPr>
          <w:sz w:val="24"/>
          <w:lang w:val="en-ZA"/>
        </w:rPr>
        <w:t xml:space="preserve"> was contended on behalf of the app</w:t>
      </w:r>
      <w:r w:rsidR="00DF782C" w:rsidRPr="00594457">
        <w:rPr>
          <w:sz w:val="24"/>
          <w:lang w:val="en-ZA"/>
        </w:rPr>
        <w:t xml:space="preserve">licant </w:t>
      </w:r>
      <w:r w:rsidR="00A2163C" w:rsidRPr="00594457">
        <w:rPr>
          <w:sz w:val="24"/>
          <w:lang w:val="en-ZA"/>
        </w:rPr>
        <w:t xml:space="preserve">that the </w:t>
      </w:r>
      <w:r w:rsidR="00C36886" w:rsidRPr="00594457">
        <w:rPr>
          <w:sz w:val="24"/>
          <w:lang w:val="en-ZA"/>
        </w:rPr>
        <w:t xml:space="preserve">sentence of </w:t>
      </w:r>
      <w:r w:rsidR="00A2163C" w:rsidRPr="00594457">
        <w:rPr>
          <w:sz w:val="24"/>
          <w:lang w:val="en-ZA"/>
        </w:rPr>
        <w:t>15 years</w:t>
      </w:r>
      <w:r w:rsidR="00472990">
        <w:rPr>
          <w:sz w:val="24"/>
          <w:lang w:val="en-ZA"/>
        </w:rPr>
        <w:t>’</w:t>
      </w:r>
      <w:r w:rsidR="00A2163C" w:rsidRPr="00594457">
        <w:rPr>
          <w:sz w:val="24"/>
          <w:lang w:val="en-ZA"/>
        </w:rPr>
        <w:t xml:space="preserve"> </w:t>
      </w:r>
      <w:r w:rsidR="00C36886" w:rsidRPr="00594457">
        <w:rPr>
          <w:sz w:val="24"/>
          <w:lang w:val="en-ZA"/>
        </w:rPr>
        <w:t xml:space="preserve">imprisonment </w:t>
      </w:r>
      <w:r w:rsidR="00A2163C" w:rsidRPr="00594457">
        <w:rPr>
          <w:sz w:val="24"/>
          <w:lang w:val="en-ZA"/>
        </w:rPr>
        <w:t xml:space="preserve">imposed by the trial court should have been regarded as a maximum sentence </w:t>
      </w:r>
      <w:r w:rsidR="00AB10D3" w:rsidRPr="00594457">
        <w:rPr>
          <w:sz w:val="24"/>
          <w:lang w:val="en-ZA"/>
        </w:rPr>
        <w:t xml:space="preserve">in accordance with the provisions of s 3 of the </w:t>
      </w:r>
      <w:r w:rsidR="00565509" w:rsidRPr="00594457">
        <w:rPr>
          <w:sz w:val="24"/>
          <w:lang w:val="en-ZA"/>
        </w:rPr>
        <w:t>F</w:t>
      </w:r>
      <w:r w:rsidR="00A2163C" w:rsidRPr="00594457">
        <w:rPr>
          <w:sz w:val="24"/>
          <w:lang w:val="en-ZA"/>
        </w:rPr>
        <w:t xml:space="preserve">irearms </w:t>
      </w:r>
      <w:r w:rsidR="00836D30" w:rsidRPr="00594457">
        <w:rPr>
          <w:sz w:val="24"/>
          <w:lang w:val="en-ZA"/>
        </w:rPr>
        <w:t xml:space="preserve">Control </w:t>
      </w:r>
      <w:r w:rsidR="00A2163C" w:rsidRPr="00594457">
        <w:rPr>
          <w:sz w:val="24"/>
          <w:lang w:val="en-ZA"/>
        </w:rPr>
        <w:t>Act</w:t>
      </w:r>
      <w:r w:rsidR="00836D30" w:rsidRPr="00594457">
        <w:rPr>
          <w:sz w:val="24"/>
          <w:lang w:val="en-ZA"/>
        </w:rPr>
        <w:t xml:space="preserve"> </w:t>
      </w:r>
      <w:r w:rsidR="004A6522" w:rsidRPr="00594457">
        <w:rPr>
          <w:sz w:val="24"/>
          <w:lang w:val="en-ZA"/>
        </w:rPr>
        <w:t xml:space="preserve">60 of 2000 </w:t>
      </w:r>
      <w:r w:rsidR="00836D30" w:rsidRPr="00594457">
        <w:rPr>
          <w:sz w:val="24"/>
          <w:lang w:val="en-ZA"/>
        </w:rPr>
        <w:t>(the F</w:t>
      </w:r>
      <w:r w:rsidR="0015091B" w:rsidRPr="00594457">
        <w:rPr>
          <w:sz w:val="24"/>
          <w:lang w:val="en-ZA"/>
        </w:rPr>
        <w:t>CA</w:t>
      </w:r>
      <w:r w:rsidR="00836D30" w:rsidRPr="00594457">
        <w:rPr>
          <w:sz w:val="24"/>
          <w:lang w:val="en-ZA"/>
        </w:rPr>
        <w:t>)</w:t>
      </w:r>
      <w:r w:rsidR="00AB10D3" w:rsidRPr="00594457">
        <w:rPr>
          <w:sz w:val="24"/>
          <w:lang w:val="en-ZA"/>
        </w:rPr>
        <w:t xml:space="preserve">. </w:t>
      </w:r>
      <w:r w:rsidR="00037533">
        <w:rPr>
          <w:sz w:val="24"/>
          <w:lang w:val="en-ZA"/>
        </w:rPr>
        <w:t xml:space="preserve">It was also contended that the aforementioned provision </w:t>
      </w:r>
      <w:r w:rsidR="0013022B" w:rsidRPr="00594457">
        <w:rPr>
          <w:sz w:val="24"/>
          <w:lang w:val="en-ZA"/>
        </w:rPr>
        <w:t xml:space="preserve">appears to be </w:t>
      </w:r>
      <w:r w:rsidR="001F4300" w:rsidRPr="00594457">
        <w:rPr>
          <w:sz w:val="24"/>
          <w:lang w:val="en-ZA"/>
        </w:rPr>
        <w:t xml:space="preserve">at odds with </w:t>
      </w:r>
      <w:r w:rsidR="00A2163C" w:rsidRPr="00594457">
        <w:rPr>
          <w:sz w:val="24"/>
          <w:lang w:val="en-ZA"/>
        </w:rPr>
        <w:t>the</w:t>
      </w:r>
      <w:r w:rsidR="00A752D8" w:rsidRPr="00594457">
        <w:rPr>
          <w:sz w:val="24"/>
          <w:lang w:val="en-ZA"/>
        </w:rPr>
        <w:t xml:space="preserve"> provisions of s 51(2)</w:t>
      </w:r>
      <w:r w:rsidR="00A752D8" w:rsidRPr="00594457">
        <w:rPr>
          <w:i/>
          <w:iCs/>
          <w:sz w:val="24"/>
          <w:lang w:val="en-ZA"/>
        </w:rPr>
        <w:t xml:space="preserve">(a) </w:t>
      </w:r>
      <w:r w:rsidR="00A752D8" w:rsidRPr="00594457">
        <w:rPr>
          <w:sz w:val="24"/>
          <w:lang w:val="en-ZA"/>
        </w:rPr>
        <w:t xml:space="preserve">of the </w:t>
      </w:r>
      <w:r w:rsidR="00A2163C" w:rsidRPr="00594457">
        <w:rPr>
          <w:sz w:val="24"/>
          <w:lang w:val="en-ZA"/>
        </w:rPr>
        <w:t>CLAA</w:t>
      </w:r>
      <w:r w:rsidR="0013022B" w:rsidRPr="00594457">
        <w:rPr>
          <w:sz w:val="24"/>
          <w:lang w:val="en-ZA"/>
        </w:rPr>
        <w:t>,</w:t>
      </w:r>
      <w:r w:rsidR="00A2163C" w:rsidRPr="00594457">
        <w:rPr>
          <w:sz w:val="24"/>
          <w:lang w:val="en-ZA"/>
        </w:rPr>
        <w:t xml:space="preserve"> </w:t>
      </w:r>
      <w:r w:rsidR="0013022B" w:rsidRPr="00594457">
        <w:rPr>
          <w:sz w:val="24"/>
          <w:lang w:val="en-ZA"/>
        </w:rPr>
        <w:t>set out above</w:t>
      </w:r>
      <w:r w:rsidR="00727EC0" w:rsidRPr="00594457">
        <w:rPr>
          <w:sz w:val="24"/>
          <w:lang w:val="en-ZA"/>
        </w:rPr>
        <w:t>, which prescribe the same period of imprisonment as a minimum sentence</w:t>
      </w:r>
      <w:r w:rsidR="0013022B" w:rsidRPr="00594457">
        <w:rPr>
          <w:sz w:val="24"/>
          <w:lang w:val="en-ZA"/>
        </w:rPr>
        <w:t xml:space="preserve">. </w:t>
      </w:r>
    </w:p>
    <w:p w14:paraId="18EC7E82" w14:textId="77777777" w:rsidR="009F2A50" w:rsidRPr="00594457" w:rsidRDefault="009F2A50" w:rsidP="000B68F2">
      <w:pPr>
        <w:rPr>
          <w:sz w:val="24"/>
          <w:lang w:val="en-ZA"/>
        </w:rPr>
      </w:pPr>
    </w:p>
    <w:p w14:paraId="43BDFBBF" w14:textId="77777777" w:rsidR="00A2163C" w:rsidRDefault="009F2A50" w:rsidP="000B68F2">
      <w:pPr>
        <w:rPr>
          <w:sz w:val="24"/>
          <w:lang w:val="en-ZA"/>
        </w:rPr>
      </w:pPr>
      <w:r w:rsidRPr="00594457">
        <w:rPr>
          <w:sz w:val="24"/>
          <w:lang w:val="en-ZA"/>
        </w:rPr>
        <w:t>[</w:t>
      </w:r>
      <w:r w:rsidR="00594457" w:rsidRPr="00594457">
        <w:rPr>
          <w:sz w:val="24"/>
          <w:lang w:val="en-ZA"/>
        </w:rPr>
        <w:t>2</w:t>
      </w:r>
      <w:r w:rsidR="00C554A4">
        <w:rPr>
          <w:sz w:val="24"/>
          <w:lang w:val="en-ZA"/>
        </w:rPr>
        <w:t>9</w:t>
      </w:r>
      <w:r w:rsidRPr="00594457">
        <w:rPr>
          <w:sz w:val="24"/>
          <w:lang w:val="en-ZA"/>
        </w:rPr>
        <w:t>]</w:t>
      </w:r>
      <w:r w:rsidRPr="00594457">
        <w:rPr>
          <w:sz w:val="24"/>
          <w:lang w:val="en-ZA"/>
        </w:rPr>
        <w:tab/>
      </w:r>
      <w:r w:rsidR="0083115F" w:rsidRPr="00594457">
        <w:rPr>
          <w:sz w:val="24"/>
          <w:lang w:val="en-ZA"/>
        </w:rPr>
        <w:t>The court</w:t>
      </w:r>
      <w:r w:rsidR="0083115F" w:rsidRPr="00016359">
        <w:rPr>
          <w:sz w:val="24"/>
          <w:lang w:val="en-ZA"/>
        </w:rPr>
        <w:t xml:space="preserve"> i</w:t>
      </w:r>
      <w:r w:rsidR="00A2163C" w:rsidRPr="00016359">
        <w:rPr>
          <w:sz w:val="24"/>
          <w:lang w:val="en-ZA"/>
        </w:rPr>
        <w:t xml:space="preserve">n </w:t>
      </w:r>
      <w:r w:rsidR="00A2163C" w:rsidRPr="00016359">
        <w:rPr>
          <w:i/>
          <w:sz w:val="24"/>
          <w:lang w:val="en-ZA"/>
        </w:rPr>
        <w:t>Swartz v S</w:t>
      </w:r>
      <w:r w:rsidR="00962319" w:rsidRPr="00016359">
        <w:rPr>
          <w:rStyle w:val="FootnoteReference"/>
          <w:rFonts w:cs="Arial"/>
          <w:sz w:val="24"/>
          <w:lang w:val="en-ZA"/>
        </w:rPr>
        <w:footnoteReference w:id="15"/>
      </w:r>
      <w:r w:rsidR="00A2163C" w:rsidRPr="00016359">
        <w:rPr>
          <w:i/>
          <w:sz w:val="24"/>
          <w:lang w:val="en-ZA"/>
        </w:rPr>
        <w:t xml:space="preserve"> </w:t>
      </w:r>
      <w:r w:rsidR="00A2163C" w:rsidRPr="00016359">
        <w:rPr>
          <w:sz w:val="24"/>
          <w:lang w:val="en-ZA"/>
        </w:rPr>
        <w:t>held that when s 51 of the CLAA was substituted in terms of s 1 of the Criminal Law (Sentencing) Amendment Act 38 of 2007, the legislature’s use of the phrase ‘notwithstanding any other law’ meant that the minimum sentences were intended to supersede the general penalty provisions of the F</w:t>
      </w:r>
      <w:r w:rsidR="00B75738" w:rsidRPr="00016359">
        <w:rPr>
          <w:sz w:val="24"/>
          <w:lang w:val="en-ZA"/>
        </w:rPr>
        <w:t>CA</w:t>
      </w:r>
      <w:r w:rsidR="00A2163C" w:rsidRPr="00016359">
        <w:rPr>
          <w:sz w:val="24"/>
          <w:lang w:val="en-ZA"/>
        </w:rPr>
        <w:t>. Th</w:t>
      </w:r>
      <w:r w:rsidR="00187C8B" w:rsidRPr="00016359">
        <w:rPr>
          <w:sz w:val="24"/>
          <w:lang w:val="en-ZA"/>
        </w:rPr>
        <w:t xml:space="preserve">is </w:t>
      </w:r>
      <w:r w:rsidR="00A2163C" w:rsidRPr="00016359">
        <w:rPr>
          <w:sz w:val="24"/>
          <w:lang w:val="en-ZA"/>
        </w:rPr>
        <w:t xml:space="preserve">finding </w:t>
      </w:r>
      <w:r w:rsidR="00187C8B" w:rsidRPr="00016359">
        <w:rPr>
          <w:sz w:val="24"/>
          <w:lang w:val="en-ZA"/>
        </w:rPr>
        <w:t xml:space="preserve">found </w:t>
      </w:r>
      <w:r w:rsidR="00A76A95" w:rsidRPr="00016359">
        <w:rPr>
          <w:sz w:val="24"/>
          <w:lang w:val="en-ZA"/>
        </w:rPr>
        <w:t xml:space="preserve">this Court’s </w:t>
      </w:r>
      <w:r w:rsidR="00187C8B" w:rsidRPr="00016359">
        <w:rPr>
          <w:sz w:val="24"/>
          <w:lang w:val="en-ZA"/>
        </w:rPr>
        <w:t xml:space="preserve">approval </w:t>
      </w:r>
      <w:r w:rsidR="00A2163C" w:rsidRPr="00016359">
        <w:rPr>
          <w:sz w:val="24"/>
          <w:lang w:val="en-ZA"/>
        </w:rPr>
        <w:t xml:space="preserve">in </w:t>
      </w:r>
      <w:r w:rsidR="00351696" w:rsidRPr="00016359">
        <w:rPr>
          <w:i/>
          <w:iCs/>
          <w:sz w:val="24"/>
          <w:lang w:val="en-ZA"/>
        </w:rPr>
        <w:t xml:space="preserve">S v </w:t>
      </w:r>
      <w:r w:rsidR="00A2163C" w:rsidRPr="00016359">
        <w:rPr>
          <w:i/>
          <w:sz w:val="24"/>
          <w:lang w:val="en-ZA"/>
        </w:rPr>
        <w:t>Thembalethu</w:t>
      </w:r>
      <w:r w:rsidR="004A6522" w:rsidRPr="00016359">
        <w:rPr>
          <w:iCs/>
          <w:sz w:val="24"/>
          <w:lang w:val="en-ZA"/>
        </w:rPr>
        <w:t>,</w:t>
      </w:r>
      <w:r w:rsidR="004A6522" w:rsidRPr="00016359">
        <w:rPr>
          <w:rStyle w:val="FootnoteReference"/>
          <w:rFonts w:cs="Arial"/>
          <w:iCs/>
          <w:sz w:val="24"/>
          <w:lang w:val="en-ZA"/>
        </w:rPr>
        <w:footnoteReference w:id="16"/>
      </w:r>
      <w:r w:rsidR="0030555F" w:rsidRPr="00016359">
        <w:rPr>
          <w:sz w:val="24"/>
          <w:lang w:val="en-ZA"/>
        </w:rPr>
        <w:t xml:space="preserve"> </w:t>
      </w:r>
      <w:r w:rsidR="003F36BF" w:rsidRPr="00016359">
        <w:rPr>
          <w:sz w:val="24"/>
          <w:lang w:val="en-ZA"/>
        </w:rPr>
        <w:t xml:space="preserve">where </w:t>
      </w:r>
      <w:r w:rsidR="00A76A95" w:rsidRPr="00016359">
        <w:rPr>
          <w:sz w:val="24"/>
          <w:lang w:val="en-ZA"/>
        </w:rPr>
        <w:t>it was held t</w:t>
      </w:r>
      <w:r w:rsidR="003F36BF" w:rsidRPr="00016359">
        <w:rPr>
          <w:sz w:val="24"/>
          <w:lang w:val="en-ZA"/>
        </w:rPr>
        <w:t xml:space="preserve">hat the </w:t>
      </w:r>
      <w:r w:rsidR="00A76A95" w:rsidRPr="00016359">
        <w:rPr>
          <w:sz w:val="24"/>
          <w:lang w:val="en-ZA"/>
        </w:rPr>
        <w:t xml:space="preserve">phrase </w:t>
      </w:r>
      <w:r w:rsidR="003F36BF" w:rsidRPr="00016359">
        <w:rPr>
          <w:sz w:val="24"/>
          <w:lang w:val="en-ZA"/>
        </w:rPr>
        <w:t xml:space="preserve">‘notwithstanding any other law’ </w:t>
      </w:r>
      <w:r w:rsidR="00A76A95" w:rsidRPr="00016359">
        <w:rPr>
          <w:sz w:val="24"/>
          <w:lang w:val="en-ZA"/>
        </w:rPr>
        <w:t xml:space="preserve">words in s 51(2) </w:t>
      </w:r>
      <w:r w:rsidR="003F36BF" w:rsidRPr="00016359">
        <w:rPr>
          <w:sz w:val="24"/>
          <w:lang w:val="en-ZA"/>
        </w:rPr>
        <w:t xml:space="preserve">meant that the sentencing </w:t>
      </w:r>
      <w:r w:rsidR="003F36BF" w:rsidRPr="00016359">
        <w:rPr>
          <w:sz w:val="24"/>
          <w:lang w:val="en-ZA"/>
        </w:rPr>
        <w:lastRenderedPageBreak/>
        <w:t>regime in the CLAA took precedence over that laid down in the Arms and Ammunition Act 75 of 1969.</w:t>
      </w:r>
      <w:r w:rsidR="00390C19">
        <w:rPr>
          <w:sz w:val="24"/>
          <w:lang w:val="en-ZA"/>
        </w:rPr>
        <w:t xml:space="preserve"> This Court also held that:</w:t>
      </w:r>
    </w:p>
    <w:p w14:paraId="6A6FA2E7" w14:textId="77777777" w:rsidR="00390C19" w:rsidRPr="00814C24" w:rsidRDefault="00390C19" w:rsidP="000B68F2">
      <w:pPr>
        <w:rPr>
          <w:sz w:val="22"/>
          <w:szCs w:val="22"/>
          <w:lang w:val="en-ZA"/>
        </w:rPr>
      </w:pPr>
      <w:r w:rsidRPr="00814C24">
        <w:rPr>
          <w:sz w:val="22"/>
          <w:szCs w:val="22"/>
          <w:lang w:val="en-ZA"/>
        </w:rPr>
        <w:t>‘In my view</w:t>
      </w:r>
      <w:r w:rsidR="003817CA" w:rsidRPr="00814C24">
        <w:rPr>
          <w:sz w:val="22"/>
          <w:szCs w:val="22"/>
          <w:lang w:val="en-ZA"/>
        </w:rPr>
        <w:t xml:space="preserve"> once it is proved in a trial that an accused is guilty of an offence in terms of which he or she unlawfully possessed a firearm . . . and it is proved or admitted that the firearm was </w:t>
      </w:r>
      <w:r w:rsidR="0017438D" w:rsidRPr="00814C24">
        <w:rPr>
          <w:sz w:val="22"/>
          <w:szCs w:val="22"/>
          <w:lang w:val="en-ZA"/>
        </w:rPr>
        <w:t>“</w:t>
      </w:r>
      <w:r w:rsidR="003817CA" w:rsidRPr="00814C24">
        <w:rPr>
          <w:sz w:val="22"/>
          <w:szCs w:val="22"/>
          <w:lang w:val="en-ZA"/>
        </w:rPr>
        <w:t>semi-automatic</w:t>
      </w:r>
      <w:r w:rsidR="0017438D" w:rsidRPr="00814C24">
        <w:rPr>
          <w:sz w:val="22"/>
          <w:szCs w:val="22"/>
          <w:lang w:val="en-ZA"/>
        </w:rPr>
        <w:t>” the application of its provisions relating to sentencing is triggered.</w:t>
      </w:r>
      <w:r w:rsidR="007A141B">
        <w:rPr>
          <w:sz w:val="22"/>
          <w:szCs w:val="22"/>
          <w:lang w:val="en-ZA"/>
        </w:rPr>
        <w:t xml:space="preserve"> . . .</w:t>
      </w:r>
      <w:r w:rsidR="00F23AA1" w:rsidRPr="00814C24">
        <w:rPr>
          <w:sz w:val="22"/>
          <w:szCs w:val="22"/>
          <w:lang w:val="en-ZA"/>
        </w:rPr>
        <w:t>’</w:t>
      </w:r>
      <w:r w:rsidR="007A141B">
        <w:rPr>
          <w:rStyle w:val="FootnoteReference"/>
          <w:sz w:val="22"/>
          <w:szCs w:val="22"/>
          <w:lang w:val="en-ZA"/>
        </w:rPr>
        <w:footnoteReference w:id="17"/>
      </w:r>
    </w:p>
    <w:p w14:paraId="57C973EC" w14:textId="77777777" w:rsidR="00BF4130" w:rsidRDefault="0027161A" w:rsidP="00775F3A">
      <w:pPr>
        <w:rPr>
          <w:sz w:val="24"/>
          <w:lang w:val="en-ZA"/>
        </w:rPr>
      </w:pPr>
      <w:r>
        <w:rPr>
          <w:sz w:val="24"/>
          <w:lang w:val="en-ZA"/>
        </w:rPr>
        <w:t xml:space="preserve">It being undisputed that </w:t>
      </w:r>
      <w:r w:rsidR="004254B5">
        <w:rPr>
          <w:sz w:val="24"/>
          <w:lang w:val="en-ZA"/>
        </w:rPr>
        <w:t xml:space="preserve">the weapons used in the robbery were semi-automatic firearms, the </w:t>
      </w:r>
      <w:r w:rsidR="00F23AA1">
        <w:rPr>
          <w:sz w:val="24"/>
          <w:lang w:val="en-ZA"/>
        </w:rPr>
        <w:t>finding</w:t>
      </w:r>
      <w:r w:rsidR="00854C98">
        <w:rPr>
          <w:sz w:val="24"/>
          <w:lang w:val="en-ZA"/>
        </w:rPr>
        <w:t xml:space="preserve"> made in the passage </w:t>
      </w:r>
      <w:r w:rsidR="00814C24">
        <w:rPr>
          <w:sz w:val="24"/>
          <w:lang w:val="en-ZA"/>
        </w:rPr>
        <w:t xml:space="preserve">above </w:t>
      </w:r>
      <w:r w:rsidR="00F23AA1">
        <w:rPr>
          <w:sz w:val="24"/>
          <w:lang w:val="en-ZA"/>
        </w:rPr>
        <w:t xml:space="preserve">puts paid to the applicant’s submissions regarding the perceived conflict between the sentencing regime </w:t>
      </w:r>
      <w:r w:rsidR="009D1D73">
        <w:rPr>
          <w:sz w:val="24"/>
          <w:lang w:val="en-ZA"/>
        </w:rPr>
        <w:t xml:space="preserve">envisaged in </w:t>
      </w:r>
      <w:r w:rsidR="00F424FD">
        <w:rPr>
          <w:sz w:val="24"/>
          <w:lang w:val="en-ZA"/>
        </w:rPr>
        <w:t xml:space="preserve">the FCA </w:t>
      </w:r>
      <w:r w:rsidR="009D1D73">
        <w:rPr>
          <w:sz w:val="24"/>
          <w:lang w:val="en-ZA"/>
        </w:rPr>
        <w:t xml:space="preserve">and the CLAA. </w:t>
      </w:r>
    </w:p>
    <w:p w14:paraId="6671162C" w14:textId="77777777" w:rsidR="003A16B7" w:rsidRDefault="003A16B7" w:rsidP="00775F3A">
      <w:pPr>
        <w:rPr>
          <w:sz w:val="24"/>
          <w:lang w:val="en-US"/>
        </w:rPr>
      </w:pPr>
    </w:p>
    <w:p w14:paraId="1B6C9657" w14:textId="5ADD21E3" w:rsidR="002114CD" w:rsidRDefault="003A16B7" w:rsidP="003A16B7">
      <w:pPr>
        <w:rPr>
          <w:sz w:val="24"/>
          <w:lang w:val="en-US"/>
        </w:rPr>
      </w:pPr>
      <w:r>
        <w:rPr>
          <w:sz w:val="24"/>
          <w:lang w:val="en-US"/>
        </w:rPr>
        <w:t>[</w:t>
      </w:r>
      <w:r w:rsidR="00C554A4">
        <w:rPr>
          <w:sz w:val="24"/>
          <w:lang w:val="en-US"/>
        </w:rPr>
        <w:t>30</w:t>
      </w:r>
      <w:r>
        <w:rPr>
          <w:sz w:val="24"/>
          <w:lang w:val="en-US"/>
        </w:rPr>
        <w:t>]</w:t>
      </w:r>
      <w:r>
        <w:rPr>
          <w:sz w:val="24"/>
          <w:lang w:val="en-US"/>
        </w:rPr>
        <w:tab/>
      </w:r>
      <w:r w:rsidR="00364784">
        <w:rPr>
          <w:sz w:val="24"/>
          <w:lang w:val="en-US"/>
        </w:rPr>
        <w:t>In this matter, t</w:t>
      </w:r>
      <w:r w:rsidR="00D300AD">
        <w:rPr>
          <w:sz w:val="24"/>
          <w:lang w:val="en-US"/>
        </w:rPr>
        <w:t xml:space="preserve">he trial court found that there were no </w:t>
      </w:r>
      <w:r w:rsidR="000D1DE9">
        <w:rPr>
          <w:sz w:val="24"/>
          <w:lang w:val="en-US"/>
        </w:rPr>
        <w:t xml:space="preserve">substantial and </w:t>
      </w:r>
      <w:r w:rsidR="00D300AD">
        <w:rPr>
          <w:sz w:val="24"/>
          <w:lang w:val="en-US"/>
        </w:rPr>
        <w:t xml:space="preserve">compelling circumstances </w:t>
      </w:r>
      <w:r w:rsidR="00854C98">
        <w:rPr>
          <w:sz w:val="24"/>
          <w:lang w:val="en-US"/>
        </w:rPr>
        <w:t xml:space="preserve">justifying the imposition of a lesser sentence than </w:t>
      </w:r>
      <w:r w:rsidR="00D300AD">
        <w:rPr>
          <w:sz w:val="24"/>
          <w:lang w:val="en-US"/>
        </w:rPr>
        <w:t>the applicable minimum sentence</w:t>
      </w:r>
      <w:r w:rsidR="00C61839">
        <w:rPr>
          <w:sz w:val="24"/>
          <w:lang w:val="en-US"/>
        </w:rPr>
        <w:t xml:space="preserve"> of 15 years’ imprisonment in respect of the </w:t>
      </w:r>
      <w:r w:rsidR="00F44B1E">
        <w:rPr>
          <w:sz w:val="24"/>
          <w:lang w:val="en-US"/>
        </w:rPr>
        <w:t>charge of unlawful possession of firearms</w:t>
      </w:r>
      <w:r w:rsidR="005C73A7">
        <w:rPr>
          <w:sz w:val="24"/>
          <w:lang w:val="en-US"/>
        </w:rPr>
        <w:t xml:space="preserve">. </w:t>
      </w:r>
      <w:r w:rsidR="00841D6C">
        <w:rPr>
          <w:sz w:val="24"/>
          <w:lang w:val="en-US"/>
        </w:rPr>
        <w:t>Many horrific offences are committed with the aid of unlicensed firearms and ammunition.</w:t>
      </w:r>
      <w:r w:rsidR="00841D6C" w:rsidRPr="00C16315">
        <w:rPr>
          <w:sz w:val="24"/>
          <w:lang w:val="en-US"/>
        </w:rPr>
        <w:t xml:space="preserve"> </w:t>
      </w:r>
      <w:r w:rsidR="004B5648" w:rsidRPr="00C16315">
        <w:rPr>
          <w:sz w:val="24"/>
          <w:lang w:val="en-US"/>
        </w:rPr>
        <w:t xml:space="preserve">A major consideration </w:t>
      </w:r>
      <w:r w:rsidR="004B5648">
        <w:rPr>
          <w:sz w:val="24"/>
          <w:lang w:val="en-US"/>
        </w:rPr>
        <w:t xml:space="preserve">in this matter </w:t>
      </w:r>
      <w:r w:rsidR="004B5648" w:rsidRPr="00C16315">
        <w:rPr>
          <w:sz w:val="24"/>
          <w:lang w:val="en-US"/>
        </w:rPr>
        <w:t>is that the semi-automatic firearms and ammunition were not merely possessed, they were actually used in the commission of a cold-blooded murder and attempted murder without any consideration for the safety of members of the public.</w:t>
      </w:r>
      <w:r w:rsidR="00775F3A" w:rsidRPr="00016359">
        <w:rPr>
          <w:sz w:val="24"/>
          <w:lang w:val="en-US"/>
        </w:rPr>
        <w:tab/>
      </w:r>
      <w:r w:rsidR="006E21FF">
        <w:rPr>
          <w:sz w:val="24"/>
          <w:lang w:val="en-US"/>
        </w:rPr>
        <w:t xml:space="preserve">Some of the shots aimed at the fleeing security guard hit a parked vehicle. </w:t>
      </w:r>
      <w:r w:rsidR="001E6ED6" w:rsidRPr="00C16315">
        <w:rPr>
          <w:sz w:val="24"/>
          <w:lang w:val="en-US"/>
        </w:rPr>
        <w:t xml:space="preserve">That more </w:t>
      </w:r>
      <w:r w:rsidR="004C6959" w:rsidRPr="00C16315">
        <w:rPr>
          <w:sz w:val="24"/>
          <w:lang w:val="en-US"/>
        </w:rPr>
        <w:t xml:space="preserve">casualties were not claimed </w:t>
      </w:r>
      <w:r w:rsidR="00EF4B32" w:rsidRPr="00C16315">
        <w:rPr>
          <w:sz w:val="24"/>
          <w:lang w:val="en-US"/>
        </w:rPr>
        <w:t xml:space="preserve">in the incident </w:t>
      </w:r>
      <w:r w:rsidR="004C6959" w:rsidRPr="00C16315">
        <w:rPr>
          <w:sz w:val="24"/>
          <w:lang w:val="en-US"/>
        </w:rPr>
        <w:t xml:space="preserve">can only be attributed </w:t>
      </w:r>
      <w:r w:rsidR="00FC234D" w:rsidRPr="00C16315">
        <w:rPr>
          <w:sz w:val="24"/>
          <w:lang w:val="en-US"/>
        </w:rPr>
        <w:t xml:space="preserve">to sheer luck. </w:t>
      </w:r>
    </w:p>
    <w:p w14:paraId="2FD040DA" w14:textId="77777777" w:rsidR="002114CD" w:rsidRDefault="002114CD" w:rsidP="003A16B7">
      <w:pPr>
        <w:rPr>
          <w:sz w:val="24"/>
          <w:lang w:val="en-US"/>
        </w:rPr>
      </w:pPr>
    </w:p>
    <w:p w14:paraId="6354BC57" w14:textId="77777777" w:rsidR="00697D5B" w:rsidRDefault="00E029E6" w:rsidP="00775F3A">
      <w:pPr>
        <w:rPr>
          <w:sz w:val="24"/>
          <w:lang w:val="en-US"/>
        </w:rPr>
      </w:pPr>
      <w:r>
        <w:rPr>
          <w:sz w:val="24"/>
          <w:lang w:val="en-US"/>
        </w:rPr>
        <w:t>[</w:t>
      </w:r>
      <w:r w:rsidR="00841D6C">
        <w:rPr>
          <w:sz w:val="24"/>
          <w:lang w:val="en-US"/>
        </w:rPr>
        <w:t>3</w:t>
      </w:r>
      <w:r w:rsidR="000E0A7D">
        <w:rPr>
          <w:sz w:val="24"/>
          <w:lang w:val="en-US"/>
        </w:rPr>
        <w:t>1</w:t>
      </w:r>
      <w:r>
        <w:rPr>
          <w:sz w:val="24"/>
          <w:lang w:val="en-US"/>
        </w:rPr>
        <w:t xml:space="preserve">] </w:t>
      </w:r>
      <w:r w:rsidR="00814C24">
        <w:rPr>
          <w:sz w:val="24"/>
          <w:lang w:val="en-US"/>
        </w:rPr>
        <w:tab/>
      </w:r>
      <w:r w:rsidR="0089030F">
        <w:rPr>
          <w:sz w:val="24"/>
          <w:lang w:val="en-US"/>
        </w:rPr>
        <w:t xml:space="preserve">As stated before, the applicable minimum sentence for the unlawful possession of semi-automatic firearms is 15 years’ imprisonment. </w:t>
      </w:r>
      <w:r w:rsidR="00E82C96">
        <w:rPr>
          <w:sz w:val="24"/>
          <w:lang w:val="en-US"/>
        </w:rPr>
        <w:t>Bearing all material consideration</w:t>
      </w:r>
      <w:r w:rsidR="002114CD">
        <w:rPr>
          <w:sz w:val="24"/>
          <w:lang w:val="en-US"/>
        </w:rPr>
        <w:t>s</w:t>
      </w:r>
      <w:r w:rsidR="00E82C96">
        <w:rPr>
          <w:sz w:val="24"/>
          <w:lang w:val="en-US"/>
        </w:rPr>
        <w:t xml:space="preserve"> in mind, </w:t>
      </w:r>
      <w:r w:rsidR="00E82C96" w:rsidRPr="00C16315">
        <w:rPr>
          <w:sz w:val="24"/>
          <w:lang w:val="en-US"/>
        </w:rPr>
        <w:t xml:space="preserve">I am not persuaded that there was any error or misdirection on the part of the trial court in </w:t>
      </w:r>
      <w:r w:rsidR="00E82C96">
        <w:rPr>
          <w:sz w:val="24"/>
          <w:lang w:val="en-US"/>
        </w:rPr>
        <w:t xml:space="preserve">imposing </w:t>
      </w:r>
      <w:r w:rsidR="002114CD">
        <w:rPr>
          <w:sz w:val="24"/>
          <w:lang w:val="en-US"/>
        </w:rPr>
        <w:t xml:space="preserve">the </w:t>
      </w:r>
      <w:r w:rsidR="00E82C96" w:rsidRPr="00C16315">
        <w:rPr>
          <w:sz w:val="24"/>
          <w:lang w:val="en-US"/>
        </w:rPr>
        <w:t>15 years’ imprisonment</w:t>
      </w:r>
      <w:r w:rsidR="00E82C96">
        <w:rPr>
          <w:sz w:val="24"/>
          <w:lang w:val="en-US"/>
        </w:rPr>
        <w:t xml:space="preserve"> on counts</w:t>
      </w:r>
      <w:r w:rsidR="00103B8C">
        <w:rPr>
          <w:sz w:val="24"/>
          <w:lang w:val="en-US"/>
        </w:rPr>
        <w:t xml:space="preserve"> four</w:t>
      </w:r>
      <w:r w:rsidR="00E82C96" w:rsidRPr="00C16315">
        <w:rPr>
          <w:sz w:val="24"/>
          <w:lang w:val="en-US"/>
        </w:rPr>
        <w:t xml:space="preserve"> and </w:t>
      </w:r>
      <w:r w:rsidR="00103B8C">
        <w:rPr>
          <w:sz w:val="24"/>
          <w:lang w:val="en-US"/>
        </w:rPr>
        <w:t>five</w:t>
      </w:r>
      <w:r w:rsidR="00E82C96">
        <w:rPr>
          <w:sz w:val="24"/>
          <w:lang w:val="en-US"/>
        </w:rPr>
        <w:t xml:space="preserve">. </w:t>
      </w:r>
      <w:r w:rsidR="009B0D18">
        <w:rPr>
          <w:sz w:val="24"/>
          <w:lang w:val="en-US"/>
        </w:rPr>
        <w:t xml:space="preserve">The fact that both counts were taken together for purposes of sentence is a clear sign that the trial court tempered with what could </w:t>
      </w:r>
      <w:r w:rsidR="005A79E2">
        <w:rPr>
          <w:sz w:val="24"/>
          <w:lang w:val="en-US"/>
        </w:rPr>
        <w:t xml:space="preserve">otherwise </w:t>
      </w:r>
      <w:r w:rsidR="009B0D18">
        <w:rPr>
          <w:sz w:val="24"/>
          <w:lang w:val="en-US"/>
        </w:rPr>
        <w:t xml:space="preserve">have been perceived as a harsh </w:t>
      </w:r>
      <w:r w:rsidR="005A79E2">
        <w:rPr>
          <w:sz w:val="24"/>
          <w:lang w:val="en-US"/>
        </w:rPr>
        <w:t xml:space="preserve">sentence. </w:t>
      </w:r>
      <w:r w:rsidR="00E82C96">
        <w:rPr>
          <w:sz w:val="24"/>
          <w:lang w:val="en-US"/>
        </w:rPr>
        <w:t>The</w:t>
      </w:r>
      <w:r w:rsidR="00E40E4F">
        <w:rPr>
          <w:sz w:val="24"/>
          <w:lang w:val="en-US"/>
        </w:rPr>
        <w:t xml:space="preserve"> full court correctly refused to </w:t>
      </w:r>
      <w:r w:rsidR="00A34336" w:rsidRPr="00C16315">
        <w:rPr>
          <w:sz w:val="24"/>
          <w:lang w:val="en-US"/>
        </w:rPr>
        <w:t>interfer</w:t>
      </w:r>
      <w:r w:rsidR="00E40E4F">
        <w:rPr>
          <w:sz w:val="24"/>
          <w:lang w:val="en-US"/>
        </w:rPr>
        <w:t xml:space="preserve">e </w:t>
      </w:r>
      <w:r w:rsidR="00A34336" w:rsidRPr="00C16315">
        <w:rPr>
          <w:sz w:val="24"/>
          <w:lang w:val="en-US"/>
        </w:rPr>
        <w:t xml:space="preserve">with the sentence </w:t>
      </w:r>
      <w:r w:rsidR="00546EBF" w:rsidRPr="00C16315">
        <w:rPr>
          <w:sz w:val="24"/>
          <w:lang w:val="en-US"/>
        </w:rPr>
        <w:t xml:space="preserve">imposed </w:t>
      </w:r>
      <w:r w:rsidR="00F558C1" w:rsidRPr="00C16315">
        <w:rPr>
          <w:sz w:val="24"/>
          <w:lang w:val="en-US"/>
        </w:rPr>
        <w:t xml:space="preserve">by the trial </w:t>
      </w:r>
      <w:r w:rsidR="00697D5B">
        <w:rPr>
          <w:sz w:val="24"/>
          <w:lang w:val="en-US"/>
        </w:rPr>
        <w:t xml:space="preserve">court </w:t>
      </w:r>
      <w:r w:rsidR="00A34336" w:rsidRPr="00C16315">
        <w:rPr>
          <w:sz w:val="24"/>
          <w:lang w:val="en-US"/>
        </w:rPr>
        <w:t>in counts four and five</w:t>
      </w:r>
      <w:r w:rsidR="00E82C96">
        <w:rPr>
          <w:sz w:val="24"/>
          <w:lang w:val="en-US"/>
        </w:rPr>
        <w:t xml:space="preserve">. </w:t>
      </w:r>
      <w:r w:rsidR="00905651" w:rsidRPr="00C16315">
        <w:rPr>
          <w:sz w:val="24"/>
          <w:lang w:val="en-US"/>
        </w:rPr>
        <w:t xml:space="preserve">It follows that </w:t>
      </w:r>
      <w:r w:rsidR="00DC3093">
        <w:rPr>
          <w:sz w:val="24"/>
          <w:lang w:val="en-US"/>
        </w:rPr>
        <w:t xml:space="preserve">the </w:t>
      </w:r>
      <w:r w:rsidR="00E56D90">
        <w:rPr>
          <w:sz w:val="24"/>
          <w:lang w:val="en-US"/>
        </w:rPr>
        <w:t xml:space="preserve">two judges of this Court correctly refused the applicant’s application for leave to appeal against the sentence imposed in respect of this charge. Consequently, there </w:t>
      </w:r>
      <w:r w:rsidR="00DC3093">
        <w:rPr>
          <w:sz w:val="24"/>
          <w:lang w:val="en-US"/>
        </w:rPr>
        <w:t xml:space="preserve">is no valid reason why their </w:t>
      </w:r>
      <w:r w:rsidR="00DC3093">
        <w:rPr>
          <w:sz w:val="24"/>
          <w:lang w:val="en-US"/>
        </w:rPr>
        <w:lastRenderedPageBreak/>
        <w:t>decision</w:t>
      </w:r>
      <w:r w:rsidR="006C7F77">
        <w:rPr>
          <w:sz w:val="24"/>
          <w:lang w:val="en-US"/>
        </w:rPr>
        <w:t xml:space="preserve"> to refuse leave in respect of counts four and five</w:t>
      </w:r>
      <w:r w:rsidR="00DC3093">
        <w:rPr>
          <w:sz w:val="24"/>
          <w:lang w:val="en-US"/>
        </w:rPr>
        <w:t xml:space="preserve"> </w:t>
      </w:r>
      <w:r w:rsidR="0030506E">
        <w:rPr>
          <w:sz w:val="24"/>
          <w:lang w:val="en-US"/>
        </w:rPr>
        <w:t xml:space="preserve">should be reconsidered or varied. </w:t>
      </w:r>
    </w:p>
    <w:p w14:paraId="44CA4AF1" w14:textId="77777777" w:rsidR="00697D5B" w:rsidRDefault="00697D5B" w:rsidP="00775F3A">
      <w:pPr>
        <w:rPr>
          <w:sz w:val="24"/>
          <w:lang w:val="en-US"/>
        </w:rPr>
      </w:pPr>
    </w:p>
    <w:p w14:paraId="1FA9EAA0" w14:textId="77777777" w:rsidR="00AB7FB5" w:rsidRDefault="00697D5B" w:rsidP="00775F3A">
      <w:pPr>
        <w:rPr>
          <w:sz w:val="24"/>
          <w:lang w:val="en-US"/>
        </w:rPr>
      </w:pPr>
      <w:r>
        <w:rPr>
          <w:sz w:val="24"/>
          <w:lang w:val="en-US"/>
        </w:rPr>
        <w:t>[3</w:t>
      </w:r>
      <w:r w:rsidR="000E0A7D">
        <w:rPr>
          <w:sz w:val="24"/>
          <w:lang w:val="en-US"/>
        </w:rPr>
        <w:t>2</w:t>
      </w:r>
      <w:r>
        <w:rPr>
          <w:sz w:val="24"/>
          <w:lang w:val="en-US"/>
        </w:rPr>
        <w:t>]</w:t>
      </w:r>
      <w:r>
        <w:rPr>
          <w:sz w:val="24"/>
          <w:lang w:val="en-US"/>
        </w:rPr>
        <w:tab/>
      </w:r>
      <w:r w:rsidR="00B0534E">
        <w:rPr>
          <w:sz w:val="24"/>
          <w:lang w:val="en-US"/>
        </w:rPr>
        <w:t xml:space="preserve">The upshot of the preceding paragraphs is that </w:t>
      </w:r>
      <w:r w:rsidR="00BC293F">
        <w:rPr>
          <w:sz w:val="24"/>
          <w:lang w:val="en-US"/>
        </w:rPr>
        <w:t>in relation to count one, two, four and five,</w:t>
      </w:r>
      <w:r w:rsidR="00B0534E">
        <w:rPr>
          <w:sz w:val="24"/>
          <w:lang w:val="en-US"/>
        </w:rPr>
        <w:t xml:space="preserve"> the applicant has failed </w:t>
      </w:r>
      <w:r w:rsidR="00CF57E3">
        <w:rPr>
          <w:sz w:val="24"/>
          <w:lang w:val="en-US"/>
        </w:rPr>
        <w:t>to demonstrate any special circumstances which merit a further appeal to this Court</w:t>
      </w:r>
      <w:r w:rsidR="002D07B1">
        <w:rPr>
          <w:sz w:val="24"/>
          <w:lang w:val="en-US"/>
        </w:rPr>
        <w:t>. This means that special leave</w:t>
      </w:r>
      <w:r w:rsidR="00AB7FB5">
        <w:rPr>
          <w:sz w:val="24"/>
          <w:lang w:val="en-US"/>
        </w:rPr>
        <w:t xml:space="preserve"> to appeal to this Court was correctly refused in relation to those specific counts.</w:t>
      </w:r>
      <w:r w:rsidR="008904D5">
        <w:rPr>
          <w:sz w:val="24"/>
          <w:lang w:val="en-US"/>
        </w:rPr>
        <w:t xml:space="preserve"> The charge of attempted murder is, however, on a different footing.</w:t>
      </w:r>
    </w:p>
    <w:p w14:paraId="549AC541" w14:textId="77777777" w:rsidR="00BC293F" w:rsidRPr="00C16315" w:rsidRDefault="00B0534E" w:rsidP="00775F3A">
      <w:pPr>
        <w:rPr>
          <w:sz w:val="24"/>
          <w:lang w:val="en-US"/>
        </w:rPr>
      </w:pPr>
      <w:r>
        <w:rPr>
          <w:sz w:val="24"/>
          <w:lang w:val="en-US"/>
        </w:rPr>
        <w:t xml:space="preserve"> </w:t>
      </w:r>
      <w:r w:rsidR="00BC293F">
        <w:rPr>
          <w:sz w:val="24"/>
          <w:lang w:val="en-US"/>
        </w:rPr>
        <w:t xml:space="preserve"> </w:t>
      </w:r>
    </w:p>
    <w:p w14:paraId="508E333E" w14:textId="77777777" w:rsidR="006F2F6F" w:rsidRPr="003A3F50" w:rsidRDefault="003A3F50" w:rsidP="00BC0F35">
      <w:pPr>
        <w:rPr>
          <w:b/>
          <w:bCs/>
          <w:sz w:val="24"/>
          <w:lang w:val="en-ZA"/>
        </w:rPr>
      </w:pPr>
      <w:r w:rsidRPr="003A3F50">
        <w:rPr>
          <w:b/>
          <w:bCs/>
          <w:sz w:val="24"/>
          <w:lang w:val="en-ZA"/>
        </w:rPr>
        <w:t>Attempted murder</w:t>
      </w:r>
      <w:r w:rsidR="008904D5">
        <w:rPr>
          <w:b/>
          <w:bCs/>
          <w:sz w:val="24"/>
          <w:lang w:val="en-ZA"/>
        </w:rPr>
        <w:t xml:space="preserve"> (count three)</w:t>
      </w:r>
    </w:p>
    <w:p w14:paraId="7A50A930" w14:textId="66210311" w:rsidR="00BC0F35" w:rsidRDefault="00BC0F35" w:rsidP="00BC0F35">
      <w:pPr>
        <w:rPr>
          <w:sz w:val="24"/>
        </w:rPr>
      </w:pPr>
      <w:r w:rsidRPr="00C16315">
        <w:rPr>
          <w:sz w:val="24"/>
          <w:lang w:val="en-ZA"/>
        </w:rPr>
        <w:t>[</w:t>
      </w:r>
      <w:r w:rsidR="00697D5B">
        <w:rPr>
          <w:sz w:val="24"/>
          <w:lang w:val="en-ZA"/>
        </w:rPr>
        <w:t>3</w:t>
      </w:r>
      <w:r w:rsidR="000E0A7D">
        <w:rPr>
          <w:sz w:val="24"/>
          <w:lang w:val="en-ZA"/>
        </w:rPr>
        <w:t>3</w:t>
      </w:r>
      <w:r w:rsidRPr="00C16315">
        <w:rPr>
          <w:sz w:val="24"/>
          <w:lang w:val="en-ZA"/>
        </w:rPr>
        <w:t>]</w:t>
      </w:r>
      <w:r w:rsidRPr="00C16315">
        <w:rPr>
          <w:sz w:val="24"/>
          <w:lang w:val="en-ZA"/>
        </w:rPr>
        <w:tab/>
        <w:t>I</w:t>
      </w:r>
      <w:r w:rsidR="00CB1254">
        <w:rPr>
          <w:sz w:val="24"/>
          <w:lang w:val="en-ZA"/>
        </w:rPr>
        <w:t>t is</w:t>
      </w:r>
      <w:r w:rsidR="006F2F6F" w:rsidRPr="00C16315">
        <w:rPr>
          <w:sz w:val="24"/>
          <w:lang w:val="en-ZA"/>
        </w:rPr>
        <w:t xml:space="preserve"> </w:t>
      </w:r>
      <w:r w:rsidR="00CB1254" w:rsidRPr="000C2A2E">
        <w:rPr>
          <w:sz w:val="24"/>
          <w:lang w:val="en-ZA"/>
        </w:rPr>
        <w:t xml:space="preserve">convenient to </w:t>
      </w:r>
      <w:r w:rsidR="00D6532F" w:rsidRPr="000C2A2E">
        <w:rPr>
          <w:sz w:val="24"/>
          <w:lang w:val="en-ZA"/>
        </w:rPr>
        <w:t xml:space="preserve">now </w:t>
      </w:r>
      <w:r w:rsidR="006F2F6F" w:rsidRPr="000C2A2E">
        <w:rPr>
          <w:sz w:val="24"/>
          <w:lang w:val="en-ZA"/>
        </w:rPr>
        <w:t xml:space="preserve">turn my attention to the charge </w:t>
      </w:r>
      <w:r w:rsidRPr="000C2A2E">
        <w:rPr>
          <w:sz w:val="24"/>
          <w:lang w:val="en-ZA"/>
        </w:rPr>
        <w:t xml:space="preserve">of attempted murder. </w:t>
      </w:r>
      <w:r w:rsidR="003A3F50" w:rsidRPr="000C2A2E">
        <w:rPr>
          <w:sz w:val="24"/>
          <w:lang w:val="en-ZA"/>
        </w:rPr>
        <w:t xml:space="preserve">Attempted murder </w:t>
      </w:r>
      <w:r w:rsidR="00645EF1" w:rsidRPr="000C2A2E">
        <w:rPr>
          <w:sz w:val="24"/>
          <w:lang w:val="en-ZA"/>
        </w:rPr>
        <w:t xml:space="preserve">is </w:t>
      </w:r>
      <w:r w:rsidR="006B2920" w:rsidRPr="000C2A2E">
        <w:rPr>
          <w:sz w:val="24"/>
          <w:lang w:val="en-ZA"/>
        </w:rPr>
        <w:t>a common-law offence</w:t>
      </w:r>
      <w:r w:rsidRPr="000C2A2E">
        <w:rPr>
          <w:sz w:val="24"/>
          <w:lang w:val="en-ZA"/>
        </w:rPr>
        <w:t xml:space="preserve"> </w:t>
      </w:r>
      <w:r w:rsidR="00256D6E" w:rsidRPr="000C2A2E">
        <w:rPr>
          <w:sz w:val="24"/>
          <w:lang w:val="en-ZA"/>
        </w:rPr>
        <w:t>in respect of which the trial court was at large to impose a sentence it considered appropriate.</w:t>
      </w:r>
      <w:r w:rsidRPr="000C2A2E">
        <w:rPr>
          <w:sz w:val="24"/>
          <w:lang w:val="en-ZA"/>
        </w:rPr>
        <w:t xml:space="preserve"> </w:t>
      </w:r>
      <w:r w:rsidRPr="000C2A2E">
        <w:rPr>
          <w:sz w:val="24"/>
        </w:rPr>
        <w:t>It is a trite principle of our law that the imposition</w:t>
      </w:r>
      <w:r w:rsidRPr="00C16315">
        <w:rPr>
          <w:sz w:val="24"/>
        </w:rPr>
        <w:t xml:space="preserve"> of sentence is </w:t>
      </w:r>
      <w:r w:rsidR="00256D6E" w:rsidRPr="00C16315">
        <w:rPr>
          <w:sz w:val="24"/>
        </w:rPr>
        <w:t xml:space="preserve">pre-eminently </w:t>
      </w:r>
      <w:r w:rsidRPr="00C16315">
        <w:rPr>
          <w:sz w:val="24"/>
        </w:rPr>
        <w:t xml:space="preserve">the prerogative of the trial court. </w:t>
      </w:r>
      <w:r w:rsidR="00287F0E" w:rsidRPr="00C16315">
        <w:rPr>
          <w:sz w:val="24"/>
        </w:rPr>
        <w:t>To justify interference on appeal, the a</w:t>
      </w:r>
      <w:r w:rsidRPr="00C16315">
        <w:rPr>
          <w:sz w:val="24"/>
        </w:rPr>
        <w:t xml:space="preserve">ppellate court must be satisfied that the trial court committed a misdirection of such a nature, degree and seriousness that shows that it did not exercise its sentencing discretion at all or exercised it improperly or unreasonably when imposing it. </w:t>
      </w:r>
      <w:r w:rsidR="00073310" w:rsidRPr="00C16315">
        <w:rPr>
          <w:sz w:val="24"/>
        </w:rPr>
        <w:t>I</w:t>
      </w:r>
      <w:r w:rsidRPr="00C16315">
        <w:rPr>
          <w:sz w:val="24"/>
        </w:rPr>
        <w:t>nterference is justified only where there exists a ‘striking’ or ‘startling’ or ‘disturbing’ disparity between the trial court’s sentence and that which the appellate court would have imposed.</w:t>
      </w:r>
    </w:p>
    <w:p w14:paraId="03778436" w14:textId="77777777" w:rsidR="00320BFF" w:rsidRPr="00C16315" w:rsidRDefault="00320BFF" w:rsidP="00BC0F35">
      <w:pPr>
        <w:rPr>
          <w:szCs w:val="28"/>
          <w:lang w:val="en-ZA"/>
        </w:rPr>
      </w:pPr>
    </w:p>
    <w:p w14:paraId="1B17C324" w14:textId="4242030A" w:rsidR="006257E3" w:rsidRDefault="005636BB" w:rsidP="006257E3">
      <w:pPr>
        <w:rPr>
          <w:sz w:val="24"/>
          <w:lang w:val="en-ZA"/>
        </w:rPr>
      </w:pPr>
      <w:r w:rsidRPr="00985F5A">
        <w:rPr>
          <w:sz w:val="24"/>
          <w:lang w:val="en-ZA"/>
        </w:rPr>
        <w:t>[</w:t>
      </w:r>
      <w:r w:rsidR="003B11DB">
        <w:rPr>
          <w:sz w:val="24"/>
          <w:lang w:val="en-ZA"/>
        </w:rPr>
        <w:t>3</w:t>
      </w:r>
      <w:r w:rsidR="000E0A7D">
        <w:rPr>
          <w:sz w:val="24"/>
          <w:lang w:val="en-ZA"/>
        </w:rPr>
        <w:t>4</w:t>
      </w:r>
      <w:r w:rsidRPr="00985F5A">
        <w:rPr>
          <w:sz w:val="24"/>
          <w:lang w:val="en-ZA"/>
        </w:rPr>
        <w:t>]</w:t>
      </w:r>
      <w:r w:rsidRPr="00985F5A">
        <w:rPr>
          <w:sz w:val="24"/>
          <w:lang w:val="en-ZA"/>
        </w:rPr>
        <w:tab/>
        <w:t>It was contended on behalf of the app</w:t>
      </w:r>
      <w:r w:rsidR="0069755D" w:rsidRPr="00985F5A">
        <w:rPr>
          <w:sz w:val="24"/>
          <w:lang w:val="en-ZA"/>
        </w:rPr>
        <w:t>licant</w:t>
      </w:r>
      <w:r w:rsidRPr="00985F5A">
        <w:rPr>
          <w:sz w:val="24"/>
          <w:lang w:val="en-ZA"/>
        </w:rPr>
        <w:t xml:space="preserve"> that </w:t>
      </w:r>
      <w:r w:rsidR="00E01E6D">
        <w:rPr>
          <w:sz w:val="24"/>
          <w:lang w:val="en-ZA"/>
        </w:rPr>
        <w:t xml:space="preserve">an important consideration is that in respect of this count, the sentence imposed on Mr Mpuqe was set aside and replaced with a sentence of 10 years’ imprisonment. </w:t>
      </w:r>
      <w:r w:rsidR="00E175CE">
        <w:rPr>
          <w:sz w:val="24"/>
          <w:lang w:val="en-ZA"/>
        </w:rPr>
        <w:t xml:space="preserve">This, in my view, does not detract from the trite principle that </w:t>
      </w:r>
      <w:r w:rsidRPr="00985F5A">
        <w:rPr>
          <w:sz w:val="24"/>
          <w:lang w:val="en-ZA"/>
        </w:rPr>
        <w:t xml:space="preserve">each case must be decided on its merits. </w:t>
      </w:r>
      <w:r w:rsidR="004105F7">
        <w:rPr>
          <w:sz w:val="24"/>
          <w:lang w:val="en-ZA"/>
        </w:rPr>
        <w:t>An examination of the circumstances relevant to this specific charge is necessary.</w:t>
      </w:r>
      <w:r w:rsidR="006257E3">
        <w:rPr>
          <w:sz w:val="24"/>
          <w:lang w:val="en-ZA"/>
        </w:rPr>
        <w:t xml:space="preserve"> T</w:t>
      </w:r>
      <w:r w:rsidR="006257E3" w:rsidRPr="00985F5A">
        <w:rPr>
          <w:sz w:val="24"/>
          <w:lang w:val="en-ZA"/>
        </w:rPr>
        <w:t xml:space="preserve">he triad of sentence, namely, the nature of the offence, the offender </w:t>
      </w:r>
      <w:r w:rsidR="004D16C3">
        <w:rPr>
          <w:sz w:val="24"/>
          <w:lang w:val="en-ZA"/>
        </w:rPr>
        <w:t xml:space="preserve">and </w:t>
      </w:r>
      <w:r w:rsidR="006257E3" w:rsidRPr="00985F5A">
        <w:rPr>
          <w:sz w:val="24"/>
          <w:lang w:val="en-ZA"/>
        </w:rPr>
        <w:t xml:space="preserve">the interests of society </w:t>
      </w:r>
      <w:r w:rsidR="004D16C3">
        <w:rPr>
          <w:sz w:val="24"/>
          <w:lang w:val="en-ZA"/>
        </w:rPr>
        <w:t>will therefore be taken into account</w:t>
      </w:r>
      <w:r w:rsidR="006257E3" w:rsidRPr="00985F5A">
        <w:rPr>
          <w:sz w:val="24"/>
          <w:lang w:val="en-ZA"/>
        </w:rPr>
        <w:t>.</w:t>
      </w:r>
      <w:r w:rsidR="006257E3" w:rsidRPr="00985F5A">
        <w:rPr>
          <w:rStyle w:val="FootnoteReference"/>
          <w:rFonts w:cs="Arial"/>
          <w:sz w:val="24"/>
          <w:lang w:val="en-ZA"/>
        </w:rPr>
        <w:footnoteReference w:id="18"/>
      </w:r>
      <w:r w:rsidR="006257E3" w:rsidRPr="00985F5A">
        <w:rPr>
          <w:sz w:val="24"/>
          <w:lang w:val="en-ZA"/>
        </w:rPr>
        <w:t xml:space="preserve"> </w:t>
      </w:r>
    </w:p>
    <w:p w14:paraId="79A60667" w14:textId="77777777" w:rsidR="00E1346B" w:rsidRDefault="00E1346B" w:rsidP="006257E3">
      <w:pPr>
        <w:rPr>
          <w:sz w:val="24"/>
          <w:lang w:val="en-ZA"/>
        </w:rPr>
      </w:pPr>
    </w:p>
    <w:p w14:paraId="7150A4D0" w14:textId="77777777" w:rsidR="00E1346B" w:rsidRDefault="00E1346B" w:rsidP="006257E3">
      <w:pPr>
        <w:rPr>
          <w:sz w:val="24"/>
          <w:lang w:val="en-ZA"/>
        </w:rPr>
      </w:pPr>
      <w:r>
        <w:rPr>
          <w:sz w:val="24"/>
          <w:lang w:val="en-ZA"/>
        </w:rPr>
        <w:t>[</w:t>
      </w:r>
      <w:r w:rsidR="00697D5B">
        <w:rPr>
          <w:sz w:val="24"/>
          <w:lang w:val="en-ZA"/>
        </w:rPr>
        <w:t>3</w:t>
      </w:r>
      <w:r w:rsidR="000E0A7D">
        <w:rPr>
          <w:sz w:val="24"/>
          <w:lang w:val="en-ZA"/>
        </w:rPr>
        <w:t>5</w:t>
      </w:r>
      <w:r>
        <w:rPr>
          <w:sz w:val="24"/>
          <w:lang w:val="en-ZA"/>
        </w:rPr>
        <w:t>]</w:t>
      </w:r>
      <w:r>
        <w:rPr>
          <w:sz w:val="24"/>
          <w:lang w:val="en-ZA"/>
        </w:rPr>
        <w:tab/>
        <w:t xml:space="preserve">I have noted that the circumstances under which the applicant committed this offence are identical to those of Mr Mpuqe. It has not been shown that the applicant’s </w:t>
      </w:r>
      <w:r>
        <w:rPr>
          <w:sz w:val="24"/>
          <w:lang w:val="en-ZA"/>
        </w:rPr>
        <w:lastRenderedPageBreak/>
        <w:t xml:space="preserve">level of participation in relation to the commission of attempted robbery was more culpable than that of Mr Mpuqe. Furthermore, the personal circumstances of the applicant are not much different from those of Mr Mpuqe. Thus, there is no reason why the applicant’s sentence ought to be more severe than that of Mr Mpuqe. There are therefore special circumstances that impel this Court to reconsider and vary the decision to refuse leave to appeal in respect of count three.  In my view, a proper case has been made for the granting of special leave in respect of the </w:t>
      </w:r>
      <w:r w:rsidR="008A7CEF">
        <w:rPr>
          <w:sz w:val="24"/>
          <w:lang w:val="en-ZA"/>
        </w:rPr>
        <w:t xml:space="preserve">sentence imposed for </w:t>
      </w:r>
      <w:r>
        <w:rPr>
          <w:sz w:val="24"/>
          <w:lang w:val="en-ZA"/>
        </w:rPr>
        <w:t>the attempted murder charge</w:t>
      </w:r>
      <w:r w:rsidR="008A7CEF">
        <w:rPr>
          <w:sz w:val="24"/>
          <w:lang w:val="en-ZA"/>
        </w:rPr>
        <w:t xml:space="preserve">. As special leave could only have been </w:t>
      </w:r>
      <w:r>
        <w:rPr>
          <w:sz w:val="24"/>
          <w:lang w:val="en-ZA"/>
        </w:rPr>
        <w:t>granted to this Court</w:t>
      </w:r>
      <w:r w:rsidR="008A7CEF">
        <w:rPr>
          <w:sz w:val="24"/>
          <w:lang w:val="en-ZA"/>
        </w:rPr>
        <w:t xml:space="preserve">, we are </w:t>
      </w:r>
      <w:r>
        <w:rPr>
          <w:sz w:val="24"/>
          <w:lang w:val="en-ZA"/>
        </w:rPr>
        <w:t xml:space="preserve">therefore at large to consider the sentence in respect of count three afresh. </w:t>
      </w:r>
    </w:p>
    <w:p w14:paraId="3DCFA218" w14:textId="77777777" w:rsidR="003238FA" w:rsidRDefault="003238FA" w:rsidP="005636BB">
      <w:pPr>
        <w:rPr>
          <w:sz w:val="24"/>
          <w:lang w:val="en-ZA"/>
        </w:rPr>
      </w:pPr>
    </w:p>
    <w:p w14:paraId="618A4729" w14:textId="331AF81D" w:rsidR="003238FA" w:rsidRPr="000C2A2E" w:rsidRDefault="003238FA" w:rsidP="00BC0F35">
      <w:pPr>
        <w:rPr>
          <w:sz w:val="24"/>
          <w:lang w:val="en-ZA"/>
        </w:rPr>
      </w:pPr>
      <w:r>
        <w:rPr>
          <w:sz w:val="24"/>
          <w:lang w:val="en-ZA"/>
        </w:rPr>
        <w:t>[</w:t>
      </w:r>
      <w:r w:rsidR="003B11DB">
        <w:rPr>
          <w:sz w:val="24"/>
          <w:lang w:val="en-ZA"/>
        </w:rPr>
        <w:t>3</w:t>
      </w:r>
      <w:r w:rsidR="000E0A7D">
        <w:rPr>
          <w:sz w:val="24"/>
          <w:lang w:val="en-ZA"/>
        </w:rPr>
        <w:t>6</w:t>
      </w:r>
      <w:r>
        <w:rPr>
          <w:sz w:val="24"/>
          <w:lang w:val="en-ZA"/>
        </w:rPr>
        <w:t>]</w:t>
      </w:r>
      <w:r>
        <w:rPr>
          <w:sz w:val="24"/>
          <w:lang w:val="en-ZA"/>
        </w:rPr>
        <w:tab/>
      </w:r>
      <w:r w:rsidR="00B12A74" w:rsidRPr="00985F5A">
        <w:rPr>
          <w:sz w:val="24"/>
          <w:lang w:val="en-ZA"/>
        </w:rPr>
        <w:t xml:space="preserve">An important consideration in this matter is that the </w:t>
      </w:r>
      <w:r w:rsidR="008D3EE8" w:rsidRPr="00985F5A">
        <w:rPr>
          <w:sz w:val="24"/>
          <w:lang w:val="en-ZA"/>
        </w:rPr>
        <w:t>complainant in this charge, Mr Mab</w:t>
      </w:r>
      <w:r w:rsidR="007F0AAA">
        <w:rPr>
          <w:sz w:val="24"/>
          <w:lang w:val="en-ZA"/>
        </w:rPr>
        <w:t>h</w:t>
      </w:r>
      <w:r w:rsidR="008D3EE8" w:rsidRPr="00985F5A">
        <w:rPr>
          <w:sz w:val="24"/>
          <w:lang w:val="en-ZA"/>
        </w:rPr>
        <w:t>ikwan</w:t>
      </w:r>
      <w:r w:rsidR="00641A0A">
        <w:rPr>
          <w:sz w:val="24"/>
          <w:lang w:val="en-ZA"/>
        </w:rPr>
        <w:t>a</w:t>
      </w:r>
      <w:r w:rsidR="008D3EE8" w:rsidRPr="00985F5A">
        <w:rPr>
          <w:sz w:val="24"/>
          <w:lang w:val="en-ZA"/>
        </w:rPr>
        <w:t>,</w:t>
      </w:r>
      <w:r w:rsidR="005636BB" w:rsidRPr="00985F5A">
        <w:rPr>
          <w:sz w:val="24"/>
          <w:lang w:val="en-ZA"/>
        </w:rPr>
        <w:t xml:space="preserve"> did not sustain any injuries</w:t>
      </w:r>
      <w:r w:rsidR="008D3F01" w:rsidRPr="00985F5A">
        <w:rPr>
          <w:sz w:val="24"/>
          <w:lang w:val="en-ZA"/>
        </w:rPr>
        <w:t xml:space="preserve">, thanks to the </w:t>
      </w:r>
      <w:r w:rsidR="005F5236">
        <w:rPr>
          <w:sz w:val="24"/>
          <w:lang w:val="en-ZA"/>
        </w:rPr>
        <w:t xml:space="preserve">metal plate underneath the </w:t>
      </w:r>
      <w:r w:rsidR="008D3F01" w:rsidRPr="00985F5A">
        <w:rPr>
          <w:sz w:val="24"/>
          <w:lang w:val="en-ZA"/>
        </w:rPr>
        <w:t>bullet-proof vest that he was wearing</w:t>
      </w:r>
      <w:r w:rsidR="005636BB" w:rsidRPr="00985F5A">
        <w:rPr>
          <w:sz w:val="24"/>
          <w:lang w:val="en-ZA"/>
        </w:rPr>
        <w:t xml:space="preserve">. </w:t>
      </w:r>
      <w:r w:rsidR="00FC7861" w:rsidRPr="00985F5A">
        <w:rPr>
          <w:sz w:val="24"/>
          <w:lang w:val="en-ZA"/>
        </w:rPr>
        <w:t xml:space="preserve">It is quite striking that the sentence imposed on this charge is </w:t>
      </w:r>
      <w:r w:rsidR="00A6484E" w:rsidRPr="00985F5A">
        <w:rPr>
          <w:sz w:val="24"/>
          <w:lang w:val="en-ZA"/>
        </w:rPr>
        <w:t xml:space="preserve">the prescribed </w:t>
      </w:r>
      <w:r w:rsidR="00C41043" w:rsidRPr="00985F5A">
        <w:rPr>
          <w:sz w:val="24"/>
          <w:lang w:val="en-ZA"/>
        </w:rPr>
        <w:t xml:space="preserve">minimum </w:t>
      </w:r>
      <w:r w:rsidR="00A6484E" w:rsidRPr="00985F5A">
        <w:rPr>
          <w:sz w:val="24"/>
          <w:lang w:val="en-ZA"/>
        </w:rPr>
        <w:t xml:space="preserve">sentence </w:t>
      </w:r>
      <w:r w:rsidR="00C41043" w:rsidRPr="00985F5A">
        <w:rPr>
          <w:sz w:val="24"/>
          <w:lang w:val="en-ZA"/>
        </w:rPr>
        <w:t xml:space="preserve">for an actual </w:t>
      </w:r>
      <w:r w:rsidR="00A6484E" w:rsidRPr="00985F5A">
        <w:rPr>
          <w:sz w:val="24"/>
          <w:lang w:val="en-ZA"/>
        </w:rPr>
        <w:t>murder falling within the purview of s 51(2)</w:t>
      </w:r>
      <w:r w:rsidR="00C41043" w:rsidRPr="00985F5A">
        <w:rPr>
          <w:sz w:val="24"/>
          <w:lang w:val="en-ZA"/>
        </w:rPr>
        <w:t xml:space="preserve"> of the CLAA. </w:t>
      </w:r>
      <w:r w:rsidR="00181306">
        <w:rPr>
          <w:sz w:val="24"/>
          <w:lang w:val="en-ZA"/>
        </w:rPr>
        <w:t xml:space="preserve">The applicant’s personal circumstances have already been alluded to. </w:t>
      </w:r>
      <w:r w:rsidR="00BC0F35" w:rsidRPr="00985F5A">
        <w:rPr>
          <w:sz w:val="24"/>
          <w:lang w:val="en-ZA"/>
        </w:rPr>
        <w:t>The offence committed by the app</w:t>
      </w:r>
      <w:r w:rsidR="0069755D" w:rsidRPr="00985F5A">
        <w:rPr>
          <w:sz w:val="24"/>
          <w:lang w:val="en-ZA"/>
        </w:rPr>
        <w:t xml:space="preserve">licant </w:t>
      </w:r>
      <w:r w:rsidR="00BC0F35" w:rsidRPr="00985F5A">
        <w:rPr>
          <w:sz w:val="24"/>
          <w:lang w:val="en-ZA"/>
        </w:rPr>
        <w:t>remains a serious offence</w:t>
      </w:r>
      <w:r w:rsidR="00DC1F0E" w:rsidRPr="00985F5A">
        <w:rPr>
          <w:sz w:val="24"/>
          <w:lang w:val="en-ZA"/>
        </w:rPr>
        <w:t xml:space="preserve"> that involves violence. </w:t>
      </w:r>
      <w:r w:rsidR="002600F2" w:rsidRPr="00985F5A">
        <w:rPr>
          <w:sz w:val="24"/>
          <w:lang w:val="en-ZA"/>
        </w:rPr>
        <w:t xml:space="preserve">What is </w:t>
      </w:r>
      <w:r w:rsidR="0084631A" w:rsidRPr="00985F5A">
        <w:rPr>
          <w:sz w:val="24"/>
          <w:lang w:val="en-ZA"/>
        </w:rPr>
        <w:t xml:space="preserve">more </w:t>
      </w:r>
      <w:r w:rsidR="002600F2" w:rsidRPr="00985F5A">
        <w:rPr>
          <w:sz w:val="24"/>
          <w:lang w:val="en-ZA"/>
        </w:rPr>
        <w:t xml:space="preserve">aggravating is that several shots were fired </w:t>
      </w:r>
      <w:r w:rsidR="003F7960" w:rsidRPr="00985F5A">
        <w:rPr>
          <w:sz w:val="24"/>
          <w:lang w:val="en-ZA"/>
        </w:rPr>
        <w:t xml:space="preserve">at the complainant despite the fact that he </w:t>
      </w:r>
      <w:r w:rsidR="00453419">
        <w:rPr>
          <w:sz w:val="24"/>
          <w:lang w:val="en-ZA"/>
        </w:rPr>
        <w:t xml:space="preserve">offered no resistance </w:t>
      </w:r>
      <w:r w:rsidR="003F7960" w:rsidRPr="00985F5A">
        <w:rPr>
          <w:sz w:val="24"/>
          <w:lang w:val="en-ZA"/>
        </w:rPr>
        <w:t>to his a</w:t>
      </w:r>
      <w:r w:rsidR="001215BC" w:rsidRPr="00985F5A">
        <w:rPr>
          <w:sz w:val="24"/>
          <w:lang w:val="en-ZA"/>
        </w:rPr>
        <w:t>s</w:t>
      </w:r>
      <w:r w:rsidR="003F7960" w:rsidRPr="00985F5A">
        <w:rPr>
          <w:sz w:val="24"/>
          <w:lang w:val="en-ZA"/>
        </w:rPr>
        <w:t xml:space="preserve">sailants. </w:t>
      </w:r>
      <w:r w:rsidR="00A728F2">
        <w:rPr>
          <w:sz w:val="24"/>
          <w:lang w:val="en-ZA"/>
        </w:rPr>
        <w:t>As stated before, s</w:t>
      </w:r>
      <w:r w:rsidR="00B143B6">
        <w:rPr>
          <w:sz w:val="24"/>
          <w:lang w:val="en-ZA"/>
        </w:rPr>
        <w:t xml:space="preserve">ome of the shots directed at </w:t>
      </w:r>
      <w:r w:rsidR="00A728F2">
        <w:rPr>
          <w:sz w:val="24"/>
          <w:lang w:val="en-ZA"/>
        </w:rPr>
        <w:t xml:space="preserve">the security guard who survived the ordeal </w:t>
      </w:r>
      <w:r w:rsidR="00FE3171">
        <w:rPr>
          <w:sz w:val="24"/>
          <w:lang w:val="en-ZA"/>
        </w:rPr>
        <w:t xml:space="preserve">missed him and </w:t>
      </w:r>
      <w:r w:rsidR="00B143B6">
        <w:rPr>
          <w:sz w:val="24"/>
          <w:lang w:val="en-ZA"/>
        </w:rPr>
        <w:t xml:space="preserve">hit a </w:t>
      </w:r>
      <w:r w:rsidR="005C6CAF">
        <w:rPr>
          <w:sz w:val="24"/>
          <w:lang w:val="en-ZA"/>
        </w:rPr>
        <w:t xml:space="preserve">parked motor vehicle. </w:t>
      </w:r>
      <w:r w:rsidR="001215BC" w:rsidRPr="00985F5A">
        <w:rPr>
          <w:sz w:val="24"/>
          <w:lang w:val="en-ZA"/>
        </w:rPr>
        <w:t xml:space="preserve">These aggravating factors have a bearing on the sentence that </w:t>
      </w:r>
      <w:r w:rsidR="0090320B">
        <w:rPr>
          <w:sz w:val="24"/>
          <w:lang w:val="en-ZA"/>
        </w:rPr>
        <w:t>is considered appropriate</w:t>
      </w:r>
      <w:r w:rsidR="00D30679">
        <w:rPr>
          <w:sz w:val="24"/>
          <w:lang w:val="en-ZA"/>
        </w:rPr>
        <w:t xml:space="preserve"> for attempted </w:t>
      </w:r>
      <w:r w:rsidR="00D30679" w:rsidRPr="000C2A2E">
        <w:rPr>
          <w:sz w:val="24"/>
          <w:lang w:val="en-ZA"/>
        </w:rPr>
        <w:t>murder</w:t>
      </w:r>
      <w:r w:rsidR="0090320B" w:rsidRPr="000C2A2E">
        <w:rPr>
          <w:sz w:val="24"/>
          <w:lang w:val="en-ZA"/>
        </w:rPr>
        <w:t>.</w:t>
      </w:r>
    </w:p>
    <w:p w14:paraId="10D8E4F0" w14:textId="77777777" w:rsidR="00DA04CE" w:rsidRPr="000C2A2E" w:rsidRDefault="00DA04CE" w:rsidP="00BC0F35">
      <w:pPr>
        <w:rPr>
          <w:sz w:val="24"/>
          <w:lang w:val="en-ZA"/>
        </w:rPr>
      </w:pPr>
    </w:p>
    <w:p w14:paraId="6BD37405" w14:textId="143DDBA6" w:rsidR="00BC0F35" w:rsidRPr="000C2A2E" w:rsidRDefault="003238FA" w:rsidP="00BC0F35">
      <w:pPr>
        <w:rPr>
          <w:sz w:val="24"/>
          <w:lang w:val="en-ZA"/>
        </w:rPr>
      </w:pPr>
      <w:r w:rsidRPr="000C2A2E">
        <w:rPr>
          <w:sz w:val="24"/>
          <w:lang w:val="en-ZA"/>
        </w:rPr>
        <w:t>[</w:t>
      </w:r>
      <w:r w:rsidR="00372C73" w:rsidRPr="000C2A2E">
        <w:rPr>
          <w:sz w:val="24"/>
          <w:lang w:val="en-ZA"/>
        </w:rPr>
        <w:t>3</w:t>
      </w:r>
      <w:r w:rsidR="000E0A7D" w:rsidRPr="000C2A2E">
        <w:rPr>
          <w:sz w:val="24"/>
          <w:lang w:val="en-ZA"/>
        </w:rPr>
        <w:t>7</w:t>
      </w:r>
      <w:r w:rsidRPr="000C2A2E">
        <w:rPr>
          <w:sz w:val="24"/>
          <w:lang w:val="en-ZA"/>
        </w:rPr>
        <w:t>]</w:t>
      </w:r>
      <w:r w:rsidRPr="000C2A2E">
        <w:rPr>
          <w:sz w:val="24"/>
          <w:lang w:val="en-ZA"/>
        </w:rPr>
        <w:tab/>
      </w:r>
      <w:r w:rsidR="007030AF" w:rsidRPr="000C2A2E">
        <w:rPr>
          <w:sz w:val="24"/>
          <w:lang w:val="en-ZA"/>
        </w:rPr>
        <w:t>I am of the view that t</w:t>
      </w:r>
      <w:r w:rsidR="00BC0F35" w:rsidRPr="000C2A2E">
        <w:rPr>
          <w:sz w:val="24"/>
          <w:lang w:val="en-ZA"/>
        </w:rPr>
        <w:t>he</w:t>
      </w:r>
      <w:r w:rsidR="00643588" w:rsidRPr="000C2A2E">
        <w:rPr>
          <w:sz w:val="24"/>
          <w:lang w:val="en-ZA"/>
        </w:rPr>
        <w:t xml:space="preserve"> sentence </w:t>
      </w:r>
      <w:r w:rsidR="007030AF" w:rsidRPr="000C2A2E">
        <w:rPr>
          <w:sz w:val="24"/>
          <w:lang w:val="en-ZA"/>
        </w:rPr>
        <w:t>that is warranted is one that</w:t>
      </w:r>
      <w:r w:rsidR="00643588" w:rsidRPr="000C2A2E">
        <w:rPr>
          <w:sz w:val="24"/>
          <w:lang w:val="en-ZA"/>
        </w:rPr>
        <w:t xml:space="preserve"> </w:t>
      </w:r>
      <w:r w:rsidR="00E52F8F" w:rsidRPr="000C2A2E">
        <w:rPr>
          <w:sz w:val="24"/>
          <w:lang w:val="en-ZA"/>
        </w:rPr>
        <w:t>reflect</w:t>
      </w:r>
      <w:r w:rsidR="007030AF" w:rsidRPr="000C2A2E">
        <w:rPr>
          <w:sz w:val="24"/>
          <w:lang w:val="en-ZA"/>
        </w:rPr>
        <w:t>s</w:t>
      </w:r>
      <w:r w:rsidR="00E52F8F" w:rsidRPr="000C2A2E">
        <w:rPr>
          <w:sz w:val="24"/>
          <w:lang w:val="en-ZA"/>
        </w:rPr>
        <w:t xml:space="preserve"> society’s </w:t>
      </w:r>
      <w:r w:rsidR="005C2D7B" w:rsidRPr="000C2A2E">
        <w:rPr>
          <w:sz w:val="24"/>
          <w:lang w:val="en-ZA"/>
        </w:rPr>
        <w:t xml:space="preserve">revulsion </w:t>
      </w:r>
      <w:r w:rsidR="0060338F" w:rsidRPr="000C2A2E">
        <w:rPr>
          <w:sz w:val="24"/>
          <w:lang w:val="en-ZA"/>
        </w:rPr>
        <w:t>at the prevalence of violent crimes</w:t>
      </w:r>
      <w:r w:rsidR="0022087B" w:rsidRPr="000C2A2E">
        <w:rPr>
          <w:sz w:val="24"/>
          <w:lang w:val="en-ZA"/>
        </w:rPr>
        <w:t xml:space="preserve"> committed</w:t>
      </w:r>
      <w:r w:rsidR="002533BF" w:rsidRPr="000C2A2E">
        <w:rPr>
          <w:sz w:val="24"/>
          <w:lang w:val="en-ZA"/>
        </w:rPr>
        <w:t xml:space="preserve"> in such a brazen fashion</w:t>
      </w:r>
      <w:r w:rsidR="001C224C" w:rsidRPr="000C2A2E">
        <w:rPr>
          <w:sz w:val="24"/>
          <w:lang w:val="en-ZA"/>
        </w:rPr>
        <w:t>.</w:t>
      </w:r>
      <w:r w:rsidR="00F542F5" w:rsidRPr="000C2A2E">
        <w:rPr>
          <w:sz w:val="24"/>
          <w:lang w:val="en-ZA"/>
        </w:rPr>
        <w:t xml:space="preserve"> </w:t>
      </w:r>
      <w:r w:rsidR="00836E36" w:rsidRPr="000C2A2E">
        <w:rPr>
          <w:sz w:val="24"/>
          <w:lang w:val="en-ZA"/>
        </w:rPr>
        <w:t xml:space="preserve">In my view, </w:t>
      </w:r>
      <w:r w:rsidR="0021271E" w:rsidRPr="000C2A2E">
        <w:rPr>
          <w:sz w:val="24"/>
          <w:lang w:val="en-ZA"/>
        </w:rPr>
        <w:t xml:space="preserve">an appropriate sentence </w:t>
      </w:r>
      <w:r w:rsidR="006554CC" w:rsidRPr="000C2A2E">
        <w:rPr>
          <w:sz w:val="24"/>
          <w:lang w:val="en-ZA"/>
        </w:rPr>
        <w:t xml:space="preserve">for the applicant </w:t>
      </w:r>
      <w:r w:rsidR="00C24DE0" w:rsidRPr="000C2A2E">
        <w:rPr>
          <w:sz w:val="24"/>
          <w:lang w:val="en-ZA"/>
        </w:rPr>
        <w:t xml:space="preserve">in relation to </w:t>
      </w:r>
      <w:r w:rsidR="00AA2376" w:rsidRPr="000C2A2E">
        <w:rPr>
          <w:sz w:val="24"/>
          <w:lang w:val="en-ZA"/>
        </w:rPr>
        <w:t xml:space="preserve">the </w:t>
      </w:r>
      <w:r w:rsidR="00C24DE0" w:rsidRPr="000C2A2E">
        <w:rPr>
          <w:sz w:val="24"/>
          <w:lang w:val="en-ZA"/>
        </w:rPr>
        <w:t xml:space="preserve">attempted murder </w:t>
      </w:r>
      <w:r w:rsidR="0021271E" w:rsidRPr="000C2A2E">
        <w:rPr>
          <w:sz w:val="24"/>
          <w:lang w:val="en-ZA"/>
        </w:rPr>
        <w:t xml:space="preserve">is 10 years’ imprisonment. </w:t>
      </w:r>
      <w:r w:rsidR="00BC0F35" w:rsidRPr="000C2A2E">
        <w:rPr>
          <w:sz w:val="24"/>
          <w:lang w:val="en-ZA"/>
        </w:rPr>
        <w:t xml:space="preserve"> </w:t>
      </w:r>
    </w:p>
    <w:p w14:paraId="2A16E3CC" w14:textId="77777777" w:rsidR="00320BFF" w:rsidRPr="000C2A2E" w:rsidRDefault="00320BFF" w:rsidP="00BC0F35">
      <w:pPr>
        <w:rPr>
          <w:sz w:val="24"/>
          <w:lang w:val="en-US"/>
        </w:rPr>
      </w:pPr>
    </w:p>
    <w:p w14:paraId="4B2DC5E0" w14:textId="77777777" w:rsidR="00FA10FD" w:rsidRPr="00985F5A" w:rsidRDefault="00775F3A" w:rsidP="00C05A37">
      <w:pPr>
        <w:rPr>
          <w:sz w:val="24"/>
          <w:lang w:val="en-US"/>
        </w:rPr>
      </w:pPr>
      <w:r w:rsidRPr="000C2A2E">
        <w:rPr>
          <w:sz w:val="24"/>
          <w:lang w:val="en-US"/>
        </w:rPr>
        <w:t>[</w:t>
      </w:r>
      <w:r w:rsidR="007C7A5E" w:rsidRPr="000C2A2E">
        <w:rPr>
          <w:sz w:val="24"/>
          <w:lang w:val="en-US"/>
        </w:rPr>
        <w:t>3</w:t>
      </w:r>
      <w:r w:rsidR="000E0A7D" w:rsidRPr="000C2A2E">
        <w:rPr>
          <w:sz w:val="24"/>
          <w:lang w:val="en-US"/>
        </w:rPr>
        <w:t>8</w:t>
      </w:r>
      <w:r w:rsidRPr="000C2A2E">
        <w:rPr>
          <w:sz w:val="24"/>
          <w:lang w:val="en-US"/>
        </w:rPr>
        <w:t>]</w:t>
      </w:r>
      <w:r w:rsidRPr="000C2A2E">
        <w:rPr>
          <w:sz w:val="24"/>
          <w:lang w:val="en-US"/>
        </w:rPr>
        <w:tab/>
      </w:r>
      <w:r w:rsidR="001D6A4B" w:rsidRPr="000C2A2E">
        <w:rPr>
          <w:sz w:val="24"/>
          <w:lang w:val="en-US"/>
        </w:rPr>
        <w:t>In the result, the following order is made:</w:t>
      </w:r>
    </w:p>
    <w:p w14:paraId="360D0821" w14:textId="77777777" w:rsidR="0015318B" w:rsidRPr="00E27F90" w:rsidRDefault="0015318B" w:rsidP="00E04E28">
      <w:pPr>
        <w:pStyle w:val="ListParagraph"/>
        <w:numPr>
          <w:ilvl w:val="0"/>
          <w:numId w:val="40"/>
        </w:numPr>
        <w:spacing w:line="360" w:lineRule="auto"/>
        <w:rPr>
          <w:sz w:val="24"/>
          <w:lang w:val="en-US"/>
        </w:rPr>
      </w:pPr>
      <w:r w:rsidRPr="00E27F90">
        <w:rPr>
          <w:sz w:val="24"/>
          <w:lang w:val="en-US"/>
        </w:rPr>
        <w:t>The application for condonation of the late filing of the application for reconsideration in terms of s 17(2)</w:t>
      </w:r>
      <w:r w:rsidRPr="00E27F90">
        <w:rPr>
          <w:i/>
          <w:iCs/>
          <w:sz w:val="24"/>
          <w:lang w:val="en-US"/>
        </w:rPr>
        <w:t>(f)</w:t>
      </w:r>
      <w:r w:rsidRPr="00E27F90">
        <w:rPr>
          <w:sz w:val="24"/>
          <w:lang w:val="en-US"/>
        </w:rPr>
        <w:t xml:space="preserve"> of the Superior Courts Act is granted.</w:t>
      </w:r>
    </w:p>
    <w:p w14:paraId="2CFDA717" w14:textId="77777777" w:rsidR="0015318B" w:rsidRPr="000C2A2E" w:rsidRDefault="0015318B" w:rsidP="00E04E28">
      <w:pPr>
        <w:pStyle w:val="ListParagraph"/>
        <w:numPr>
          <w:ilvl w:val="0"/>
          <w:numId w:val="40"/>
        </w:numPr>
        <w:tabs>
          <w:tab w:val="clear" w:pos="1134"/>
        </w:tabs>
        <w:spacing w:line="360" w:lineRule="auto"/>
        <w:rPr>
          <w:sz w:val="24"/>
          <w:szCs w:val="24"/>
          <w:lang w:val="en-US"/>
        </w:rPr>
      </w:pPr>
      <w:r w:rsidRPr="00D404D8">
        <w:rPr>
          <w:sz w:val="24"/>
          <w:szCs w:val="24"/>
          <w:lang w:val="en-US"/>
        </w:rPr>
        <w:t xml:space="preserve">The application for reconsideration is granted in respect of the sentence imposed on count 3, and the order of the two judges of the SCA refusing leave </w:t>
      </w:r>
      <w:r w:rsidRPr="00D404D8">
        <w:rPr>
          <w:sz w:val="24"/>
          <w:szCs w:val="24"/>
          <w:lang w:val="en-US"/>
        </w:rPr>
        <w:lastRenderedPageBreak/>
        <w:t xml:space="preserve">to </w:t>
      </w:r>
      <w:r w:rsidRPr="000C2A2E">
        <w:rPr>
          <w:sz w:val="24"/>
          <w:szCs w:val="24"/>
          <w:lang w:val="en-US"/>
        </w:rPr>
        <w:t>appeal is varied and replaced with one granting the applicant leave to appeal on that aspect.</w:t>
      </w:r>
    </w:p>
    <w:p w14:paraId="19FFF3AD" w14:textId="77777777" w:rsidR="0015318B" w:rsidRPr="000C2A2E" w:rsidRDefault="0015318B" w:rsidP="00E27F90">
      <w:pPr>
        <w:pStyle w:val="ListParagraph"/>
        <w:numPr>
          <w:ilvl w:val="0"/>
          <w:numId w:val="40"/>
        </w:numPr>
        <w:rPr>
          <w:sz w:val="24"/>
          <w:lang w:val="en-US"/>
        </w:rPr>
      </w:pPr>
      <w:r w:rsidRPr="000C2A2E">
        <w:rPr>
          <w:sz w:val="24"/>
          <w:lang w:val="en-US"/>
        </w:rPr>
        <w:t>Save for paragraph 2 hereof, the application for reconsideration is dismissed.</w:t>
      </w:r>
    </w:p>
    <w:p w14:paraId="0B33F0EB" w14:textId="77777777" w:rsidR="0015318B" w:rsidRPr="00D404D8" w:rsidRDefault="0015318B" w:rsidP="00E04E28">
      <w:pPr>
        <w:pStyle w:val="ListParagraph"/>
        <w:numPr>
          <w:ilvl w:val="0"/>
          <w:numId w:val="40"/>
        </w:numPr>
        <w:spacing w:line="360" w:lineRule="auto"/>
        <w:rPr>
          <w:sz w:val="24"/>
          <w:lang w:val="en-US"/>
        </w:rPr>
      </w:pPr>
      <w:r w:rsidRPr="00D404D8">
        <w:rPr>
          <w:sz w:val="24"/>
          <w:lang w:val="en-US"/>
        </w:rPr>
        <w:t>The appeal in respect of the sentence imposed on count 3 is upheld and the order of the full court is set aside and replaced with the following:</w:t>
      </w:r>
    </w:p>
    <w:p w14:paraId="62AE1C45" w14:textId="77777777" w:rsidR="0015318B" w:rsidRPr="00D404D8" w:rsidRDefault="0015318B" w:rsidP="00E04E28">
      <w:pPr>
        <w:pStyle w:val="ListParagraph"/>
        <w:numPr>
          <w:ilvl w:val="0"/>
          <w:numId w:val="0"/>
        </w:numPr>
        <w:tabs>
          <w:tab w:val="clear" w:pos="1134"/>
        </w:tabs>
        <w:spacing w:line="360" w:lineRule="auto"/>
        <w:ind w:left="360"/>
        <w:rPr>
          <w:sz w:val="24"/>
          <w:szCs w:val="24"/>
          <w:lang w:val="en-US"/>
        </w:rPr>
      </w:pPr>
      <w:r w:rsidRPr="00D404D8">
        <w:rPr>
          <w:sz w:val="24"/>
          <w:szCs w:val="24"/>
          <w:lang w:val="en-US"/>
        </w:rPr>
        <w:t xml:space="preserve">‘(a) </w:t>
      </w:r>
      <w:r w:rsidRPr="00D404D8">
        <w:rPr>
          <w:sz w:val="24"/>
          <w:szCs w:val="24"/>
          <w:lang w:val="en-US"/>
        </w:rPr>
        <w:tab/>
        <w:t xml:space="preserve">The appeal against the sentence imposed in respect of count three, attempted murder, is upheld. </w:t>
      </w:r>
    </w:p>
    <w:p w14:paraId="4C7F660C" w14:textId="77777777" w:rsidR="0015318B" w:rsidRPr="00D404D8" w:rsidRDefault="0015318B" w:rsidP="00E04E28">
      <w:pPr>
        <w:pStyle w:val="ListParagraph"/>
        <w:numPr>
          <w:ilvl w:val="0"/>
          <w:numId w:val="0"/>
        </w:numPr>
        <w:tabs>
          <w:tab w:val="clear" w:pos="1134"/>
        </w:tabs>
        <w:spacing w:line="360" w:lineRule="auto"/>
        <w:ind w:left="360"/>
        <w:rPr>
          <w:sz w:val="24"/>
          <w:szCs w:val="24"/>
          <w:lang w:val="en-US"/>
        </w:rPr>
      </w:pPr>
      <w:r w:rsidRPr="00D404D8">
        <w:rPr>
          <w:sz w:val="24"/>
          <w:szCs w:val="24"/>
          <w:lang w:val="en-US"/>
        </w:rPr>
        <w:t xml:space="preserve">(b) </w:t>
      </w:r>
      <w:r w:rsidRPr="00D404D8">
        <w:rPr>
          <w:sz w:val="24"/>
          <w:szCs w:val="24"/>
          <w:lang w:val="en-US"/>
        </w:rPr>
        <w:tab/>
        <w:t>The sentence imposed by the trial court in respect of count three, attempted murder, is set aside and replaced with the following:</w:t>
      </w:r>
    </w:p>
    <w:p w14:paraId="4E7AB22D" w14:textId="77777777" w:rsidR="0015318B" w:rsidRPr="00D404D8" w:rsidRDefault="0015318B" w:rsidP="00E04E28">
      <w:pPr>
        <w:pStyle w:val="ListParagraph"/>
        <w:numPr>
          <w:ilvl w:val="0"/>
          <w:numId w:val="0"/>
        </w:numPr>
        <w:tabs>
          <w:tab w:val="clear" w:pos="1134"/>
        </w:tabs>
        <w:spacing w:line="360" w:lineRule="auto"/>
        <w:ind w:left="360"/>
        <w:rPr>
          <w:sz w:val="24"/>
          <w:szCs w:val="24"/>
          <w:lang w:val="en-US"/>
        </w:rPr>
      </w:pPr>
      <w:r w:rsidRPr="00D404D8">
        <w:rPr>
          <w:sz w:val="24"/>
          <w:szCs w:val="24"/>
          <w:lang w:val="en-US"/>
        </w:rPr>
        <w:t>‘The accused is sentenced to 10 years’ imprisonment; this sentence is antedated to 15 December 2010.</w:t>
      </w:r>
      <w:r w:rsidR="00B158FA">
        <w:rPr>
          <w:sz w:val="24"/>
          <w:szCs w:val="24"/>
          <w:lang w:val="en-US"/>
        </w:rPr>
        <w:t>’</w:t>
      </w:r>
    </w:p>
    <w:p w14:paraId="54123DB1" w14:textId="77777777" w:rsidR="0015318B" w:rsidRPr="00D404D8" w:rsidRDefault="0015318B" w:rsidP="0015318B">
      <w:pPr>
        <w:rPr>
          <w:sz w:val="24"/>
        </w:rPr>
      </w:pPr>
    </w:p>
    <w:p w14:paraId="5AD584DE" w14:textId="77777777" w:rsidR="0015318B" w:rsidRDefault="0015318B" w:rsidP="0015318B">
      <w:pPr>
        <w:pStyle w:val="ListParagraph"/>
        <w:numPr>
          <w:ilvl w:val="0"/>
          <w:numId w:val="0"/>
        </w:numPr>
        <w:spacing w:after="0" w:line="360" w:lineRule="auto"/>
        <w:ind w:right="32"/>
        <w:rPr>
          <w:sz w:val="24"/>
          <w:szCs w:val="24"/>
        </w:rPr>
      </w:pPr>
    </w:p>
    <w:p w14:paraId="4C57231F" w14:textId="77777777" w:rsidR="00A7400E" w:rsidRPr="00C67CD1" w:rsidRDefault="00A7400E" w:rsidP="003E63E7">
      <w:pPr>
        <w:pStyle w:val="ListParagraph"/>
        <w:numPr>
          <w:ilvl w:val="0"/>
          <w:numId w:val="0"/>
        </w:numPr>
        <w:spacing w:after="0" w:line="360" w:lineRule="auto"/>
        <w:ind w:right="32"/>
        <w:jc w:val="right"/>
        <w:rPr>
          <w:i/>
          <w:sz w:val="24"/>
          <w:szCs w:val="24"/>
        </w:rPr>
      </w:pPr>
      <w:r w:rsidRPr="00C67CD1">
        <w:rPr>
          <w:sz w:val="24"/>
          <w:szCs w:val="24"/>
        </w:rPr>
        <w:t>______________________</w:t>
      </w:r>
    </w:p>
    <w:p w14:paraId="45EB3A5F" w14:textId="77777777" w:rsidR="00A7400E" w:rsidRPr="00C67CD1" w:rsidRDefault="000D642B" w:rsidP="003E63E7">
      <w:pPr>
        <w:ind w:right="32"/>
        <w:jc w:val="right"/>
        <w:rPr>
          <w:sz w:val="24"/>
          <w:lang w:val="en-ZA"/>
        </w:rPr>
      </w:pPr>
      <w:r w:rsidRPr="00C67CD1">
        <w:rPr>
          <w:sz w:val="24"/>
          <w:lang w:val="en-ZA"/>
        </w:rPr>
        <w:t>M B MOLEMELA</w:t>
      </w:r>
    </w:p>
    <w:p w14:paraId="6C2B2DBE" w14:textId="77777777" w:rsidR="001D4F21" w:rsidRPr="00C16315" w:rsidRDefault="005C52C2" w:rsidP="003E63E7">
      <w:pPr>
        <w:ind w:right="32"/>
        <w:jc w:val="right"/>
        <w:rPr>
          <w:szCs w:val="28"/>
          <w:lang w:val="en-ZA"/>
        </w:rPr>
      </w:pPr>
      <w:r w:rsidRPr="00C67CD1">
        <w:rPr>
          <w:sz w:val="24"/>
          <w:lang w:val="en-ZA"/>
        </w:rPr>
        <w:t>JUDGE OF APPEAL</w:t>
      </w:r>
    </w:p>
    <w:p w14:paraId="5F393FE6" w14:textId="1BF13300" w:rsidR="002533B8" w:rsidRPr="00C16315" w:rsidRDefault="00386CEF" w:rsidP="00386CEF">
      <w:pPr>
        <w:rPr>
          <w:sz w:val="24"/>
        </w:rPr>
      </w:pPr>
      <w:r>
        <w:rPr>
          <w:szCs w:val="28"/>
          <w:lang w:val="en-ZA"/>
        </w:rPr>
        <w:br w:type="page"/>
      </w:r>
      <w:r w:rsidRPr="00C16315">
        <w:rPr>
          <w:sz w:val="24"/>
        </w:rPr>
        <w:lastRenderedPageBreak/>
        <w:t>Appearances</w:t>
      </w:r>
      <w:r w:rsidR="002533B8" w:rsidRPr="00C16315">
        <w:rPr>
          <w:sz w:val="24"/>
        </w:rPr>
        <w:t>:</w:t>
      </w:r>
    </w:p>
    <w:p w14:paraId="32553B70" w14:textId="77777777" w:rsidR="002533B8" w:rsidRPr="00C16315" w:rsidRDefault="002533B8" w:rsidP="00C05A37">
      <w:pPr>
        <w:widowControl w:val="0"/>
        <w:autoSpaceDE w:val="0"/>
        <w:autoSpaceDN w:val="0"/>
        <w:adjustRightInd w:val="0"/>
        <w:rPr>
          <w:sz w:val="24"/>
        </w:rPr>
      </w:pPr>
    </w:p>
    <w:p w14:paraId="5FEA33B6" w14:textId="52CCB2AA" w:rsidR="00CC248B" w:rsidRPr="00C16315" w:rsidRDefault="002533B8" w:rsidP="00A33334">
      <w:pPr>
        <w:widowControl w:val="0"/>
        <w:tabs>
          <w:tab w:val="left" w:pos="2127"/>
        </w:tabs>
        <w:autoSpaceDE w:val="0"/>
        <w:autoSpaceDN w:val="0"/>
        <w:adjustRightInd w:val="0"/>
        <w:rPr>
          <w:sz w:val="24"/>
        </w:rPr>
      </w:pPr>
      <w:r w:rsidRPr="00C16315">
        <w:rPr>
          <w:sz w:val="24"/>
        </w:rPr>
        <w:t xml:space="preserve">For </w:t>
      </w:r>
      <w:r w:rsidR="00312DBB" w:rsidRPr="00C16315">
        <w:rPr>
          <w:sz w:val="24"/>
        </w:rPr>
        <w:t>App</w:t>
      </w:r>
      <w:r w:rsidR="0069755D" w:rsidRPr="00C16315">
        <w:rPr>
          <w:sz w:val="24"/>
        </w:rPr>
        <w:t>licant</w:t>
      </w:r>
      <w:r w:rsidR="001E5774" w:rsidRPr="00C16315">
        <w:rPr>
          <w:sz w:val="24"/>
        </w:rPr>
        <w:t>:</w:t>
      </w:r>
      <w:r w:rsidR="00651C2B" w:rsidRPr="00C16315">
        <w:rPr>
          <w:sz w:val="24"/>
        </w:rPr>
        <w:tab/>
      </w:r>
      <w:r w:rsidR="00651C2B" w:rsidRPr="00C16315">
        <w:rPr>
          <w:sz w:val="24"/>
        </w:rPr>
        <w:tab/>
      </w:r>
      <w:r w:rsidR="00173BBF" w:rsidRPr="00C16315">
        <w:rPr>
          <w:sz w:val="24"/>
        </w:rPr>
        <w:tab/>
      </w:r>
      <w:r w:rsidR="00312DBB" w:rsidRPr="00C16315">
        <w:rPr>
          <w:sz w:val="24"/>
        </w:rPr>
        <w:tab/>
      </w:r>
      <w:r w:rsidR="000B3C5B">
        <w:rPr>
          <w:sz w:val="24"/>
        </w:rPr>
        <w:t>None</w:t>
      </w:r>
    </w:p>
    <w:p w14:paraId="36CEC4A1" w14:textId="77777777" w:rsidR="00312DBB" w:rsidRPr="00C16315" w:rsidRDefault="00312DBB" w:rsidP="00A33334">
      <w:pPr>
        <w:widowControl w:val="0"/>
        <w:tabs>
          <w:tab w:val="left" w:pos="2127"/>
        </w:tabs>
        <w:autoSpaceDE w:val="0"/>
        <w:autoSpaceDN w:val="0"/>
        <w:adjustRightInd w:val="0"/>
        <w:rPr>
          <w:sz w:val="24"/>
        </w:rPr>
      </w:pPr>
    </w:p>
    <w:p w14:paraId="355A2377" w14:textId="77777777" w:rsidR="00651C2B" w:rsidRPr="00C16315" w:rsidRDefault="00510B11" w:rsidP="0092433F">
      <w:pPr>
        <w:widowControl w:val="0"/>
        <w:tabs>
          <w:tab w:val="left" w:pos="2127"/>
        </w:tabs>
        <w:autoSpaceDE w:val="0"/>
        <w:autoSpaceDN w:val="0"/>
        <w:adjustRightInd w:val="0"/>
        <w:rPr>
          <w:bCs/>
          <w:sz w:val="24"/>
        </w:rPr>
      </w:pPr>
      <w:r w:rsidRPr="00C16315">
        <w:rPr>
          <w:sz w:val="24"/>
        </w:rPr>
        <w:t xml:space="preserve">For </w:t>
      </w:r>
      <w:r w:rsidR="00312DBB" w:rsidRPr="00C16315">
        <w:rPr>
          <w:sz w:val="24"/>
        </w:rPr>
        <w:t>Respondent</w:t>
      </w:r>
      <w:r w:rsidR="00AA525E" w:rsidRPr="00C16315">
        <w:rPr>
          <w:sz w:val="24"/>
        </w:rPr>
        <w:t>:</w:t>
      </w:r>
      <w:r w:rsidR="00AA525E" w:rsidRPr="00C16315">
        <w:rPr>
          <w:sz w:val="24"/>
        </w:rPr>
        <w:tab/>
      </w:r>
      <w:r w:rsidR="00AA525E" w:rsidRPr="00C16315">
        <w:rPr>
          <w:sz w:val="24"/>
        </w:rPr>
        <w:tab/>
      </w:r>
      <w:r w:rsidR="00AA525E" w:rsidRPr="00C16315">
        <w:rPr>
          <w:sz w:val="24"/>
        </w:rPr>
        <w:tab/>
      </w:r>
      <w:r w:rsidR="00AA525E" w:rsidRPr="00C16315">
        <w:rPr>
          <w:sz w:val="24"/>
        </w:rPr>
        <w:tab/>
      </w:r>
      <w:r w:rsidR="0092433F" w:rsidRPr="00C16315">
        <w:rPr>
          <w:sz w:val="24"/>
        </w:rPr>
        <w:t>None</w:t>
      </w:r>
    </w:p>
    <w:sectPr w:rsidR="00651C2B" w:rsidRPr="00C16315" w:rsidSect="00C15920">
      <w:headerReference w:type="even" r:id="rId9"/>
      <w:headerReference w:type="default" r:id="rId10"/>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01CD" w14:textId="77777777" w:rsidR="00D954F8" w:rsidRDefault="00D954F8">
      <w:r>
        <w:separator/>
      </w:r>
    </w:p>
  </w:endnote>
  <w:endnote w:type="continuationSeparator" w:id="0">
    <w:p w14:paraId="2DA0AB1B" w14:textId="77777777" w:rsidR="00D954F8" w:rsidRDefault="00D9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954B" w14:textId="77777777" w:rsidR="00D954F8" w:rsidRDefault="00D954F8">
      <w:r>
        <w:separator/>
      </w:r>
    </w:p>
  </w:footnote>
  <w:footnote w:type="continuationSeparator" w:id="0">
    <w:p w14:paraId="704A3890" w14:textId="77777777" w:rsidR="00D954F8" w:rsidRDefault="00D954F8">
      <w:r>
        <w:continuationSeparator/>
      </w:r>
    </w:p>
  </w:footnote>
  <w:footnote w:id="1">
    <w:p w14:paraId="00D93C6F" w14:textId="77777777" w:rsidR="00516C2B" w:rsidRPr="000212EB" w:rsidRDefault="001A6CB6" w:rsidP="000212EB">
      <w:pPr>
        <w:pStyle w:val="FootnoteText"/>
        <w:spacing w:line="240" w:lineRule="auto"/>
        <w:rPr>
          <w:rFonts w:ascii="Arial" w:hAnsi="Arial" w:cs="Arial"/>
        </w:rPr>
      </w:pPr>
      <w:r w:rsidRPr="000212EB">
        <w:rPr>
          <w:rStyle w:val="FootnoteReference"/>
          <w:rFonts w:ascii="Arial" w:hAnsi="Arial" w:cs="Arial"/>
        </w:rPr>
        <w:footnoteRef/>
      </w:r>
      <w:r w:rsidRPr="000212EB">
        <w:rPr>
          <w:rFonts w:ascii="Arial" w:hAnsi="Arial" w:cs="Arial"/>
        </w:rPr>
        <w:t xml:space="preserve"> </w:t>
      </w:r>
      <w:r w:rsidRPr="000212EB">
        <w:rPr>
          <w:rFonts w:ascii="Arial" w:hAnsi="Arial" w:cs="Arial"/>
          <w:i/>
          <w:iCs/>
          <w:lang w:val="en-ZA"/>
        </w:rPr>
        <w:t>Mpuqe v S</w:t>
      </w:r>
      <w:r w:rsidRPr="000212EB">
        <w:rPr>
          <w:rFonts w:ascii="Arial" w:hAnsi="Arial" w:cs="Arial"/>
          <w:lang w:val="en-ZA"/>
        </w:rPr>
        <w:t xml:space="preserve"> (53/2021) [2022] ZASCA 37 (4 April 2022).</w:t>
      </w:r>
    </w:p>
  </w:footnote>
  <w:footnote w:id="2">
    <w:p w14:paraId="28F0270C" w14:textId="77777777" w:rsidR="00516C2B" w:rsidRPr="000212EB" w:rsidRDefault="006215EF" w:rsidP="000212EB">
      <w:pPr>
        <w:pStyle w:val="FootnoteText"/>
        <w:spacing w:line="240" w:lineRule="auto"/>
        <w:rPr>
          <w:rFonts w:ascii="Arial" w:hAnsi="Arial" w:cs="Arial"/>
        </w:rPr>
      </w:pPr>
      <w:r w:rsidRPr="000212EB">
        <w:rPr>
          <w:rStyle w:val="FootnoteReference"/>
          <w:rFonts w:ascii="Arial" w:hAnsi="Arial" w:cs="Arial"/>
        </w:rPr>
        <w:footnoteRef/>
      </w:r>
      <w:r w:rsidRPr="000212EB">
        <w:rPr>
          <w:rFonts w:ascii="Arial" w:hAnsi="Arial" w:cs="Arial"/>
        </w:rPr>
        <w:t xml:space="preserve"> </w:t>
      </w:r>
      <w:r w:rsidRPr="000212EB">
        <w:rPr>
          <w:rFonts w:ascii="Arial" w:hAnsi="Arial" w:cs="Arial"/>
          <w:i/>
          <w:iCs/>
          <w:lang w:val="en-ZA"/>
        </w:rPr>
        <w:t>Notshokovu v The State</w:t>
      </w:r>
      <w:r w:rsidRPr="000212EB">
        <w:rPr>
          <w:rFonts w:ascii="Arial" w:hAnsi="Arial" w:cs="Arial"/>
          <w:lang w:val="en-ZA"/>
        </w:rPr>
        <w:t xml:space="preserve"> [2016] ZACS</w:t>
      </w:r>
      <w:r w:rsidR="00332F6E" w:rsidRPr="000212EB">
        <w:rPr>
          <w:rFonts w:ascii="Arial" w:hAnsi="Arial" w:cs="Arial"/>
          <w:lang w:val="en-ZA"/>
        </w:rPr>
        <w:t>A</w:t>
      </w:r>
      <w:r w:rsidRPr="000212EB">
        <w:rPr>
          <w:rFonts w:ascii="Arial" w:hAnsi="Arial" w:cs="Arial"/>
          <w:lang w:val="en-ZA"/>
        </w:rPr>
        <w:t xml:space="preserve"> 112</w:t>
      </w:r>
      <w:r w:rsidR="008602A5" w:rsidRPr="000212EB">
        <w:rPr>
          <w:rFonts w:ascii="Arial" w:hAnsi="Arial" w:cs="Arial"/>
          <w:lang w:val="en-ZA"/>
        </w:rPr>
        <w:t xml:space="preserve"> para 2</w:t>
      </w:r>
      <w:r w:rsidR="008B4168" w:rsidRPr="000212EB">
        <w:rPr>
          <w:rFonts w:ascii="Arial" w:hAnsi="Arial" w:cs="Arial"/>
          <w:lang w:val="en-ZA"/>
        </w:rPr>
        <w:t>.</w:t>
      </w:r>
    </w:p>
  </w:footnote>
  <w:footnote w:id="3">
    <w:p w14:paraId="47AF397D" w14:textId="665C86D1" w:rsidR="002967C2" w:rsidRPr="000212EB" w:rsidRDefault="002967C2" w:rsidP="000212EB">
      <w:pPr>
        <w:pStyle w:val="FootnoteText"/>
        <w:spacing w:line="240" w:lineRule="auto"/>
        <w:rPr>
          <w:lang w:val="en-ZA"/>
        </w:rPr>
      </w:pPr>
      <w:r w:rsidRPr="000212EB">
        <w:rPr>
          <w:rStyle w:val="FootnoteReference"/>
          <w:rFonts w:ascii="Arial" w:hAnsi="Arial" w:cs="Arial"/>
        </w:rPr>
        <w:footnoteRef/>
      </w:r>
      <w:r w:rsidRPr="000212EB">
        <w:rPr>
          <w:rFonts w:ascii="Arial" w:hAnsi="Arial" w:cs="Arial"/>
        </w:rPr>
        <w:t xml:space="preserve"> In </w:t>
      </w:r>
      <w:r w:rsidRPr="000212EB">
        <w:rPr>
          <w:rFonts w:ascii="Arial" w:hAnsi="Arial" w:cs="Arial"/>
          <w:i/>
        </w:rPr>
        <w:t>Smith v S</w:t>
      </w:r>
      <w:r w:rsidRPr="000212EB">
        <w:rPr>
          <w:rFonts w:ascii="Arial" w:hAnsi="Arial" w:cs="Arial"/>
        </w:rPr>
        <w:t xml:space="preserve"> </w:t>
      </w:r>
      <w:r w:rsidRPr="000212EB">
        <w:rPr>
          <w:rFonts w:ascii="Arial" w:hAnsi="Arial" w:cs="Arial"/>
          <w:lang w:val="en-ZA"/>
        </w:rPr>
        <w:t xml:space="preserve">[2011] ZASCA 15, </w:t>
      </w:r>
      <w:r w:rsidRPr="000212EB">
        <w:rPr>
          <w:rFonts w:ascii="Arial" w:hAnsi="Arial" w:cs="Arial"/>
        </w:rPr>
        <w:t>the test for the granting of special leave to appeal was formulated as follows: ‘</w:t>
      </w:r>
      <w:r w:rsidRPr="000212EB">
        <w:rPr>
          <w:rFonts w:ascii="Arial" w:hAnsi="Arial" w:cs="Arial"/>
          <w:lang w:val="af-ZA"/>
        </w:rPr>
        <w:t>What the test of reasonable prospects of success postulates is a dispassionate decision, based on the facts and the law, that a court of appeal could reasonably arrive at a conclusion different to that of the trial court.</w:t>
      </w:r>
      <w:r w:rsidRPr="000212EB">
        <w:rPr>
          <w:rStyle w:val="FootnoteReference"/>
          <w:rFonts w:ascii="Arial" w:hAnsi="Arial" w:cs="Arial"/>
          <w:lang w:val="af-ZA"/>
        </w:rPr>
        <w:footnoteRef/>
      </w:r>
      <w:r w:rsidRPr="000212EB">
        <w:rPr>
          <w:rFonts w:ascii="Arial" w:hAnsi="Arial" w:cs="Arial"/>
          <w:lang w:val="af-ZA"/>
        </w:rPr>
        <w:t xml:space="preserve"> In order to succeed, therefore, the appellant must convince this court on proper</w:t>
      </w:r>
      <w:r w:rsidRPr="00986FC1">
        <w:rPr>
          <w:rFonts w:ascii="Arial" w:hAnsi="Arial" w:cs="Arial"/>
          <w:lang w:val="af-ZA"/>
        </w:rPr>
        <w:t xml:space="preserve"> grounds that he has prospects of success on appeal and that those prospects are not remote but have a realistic chance of succeeding.</w:t>
      </w:r>
      <w:r>
        <w:rPr>
          <w:rFonts w:ascii="Arial" w:hAnsi="Arial" w:cs="Arial"/>
          <w:lang w:val="af-ZA"/>
        </w:rPr>
        <w:t>’</w:t>
      </w:r>
    </w:p>
  </w:footnote>
  <w:footnote w:id="4">
    <w:p w14:paraId="2016BE18" w14:textId="201C28C2" w:rsidR="00516C2B" w:rsidRDefault="0039734A" w:rsidP="005C336E">
      <w:pPr>
        <w:pStyle w:val="FootnoteText"/>
        <w:spacing w:line="240" w:lineRule="auto"/>
      </w:pPr>
      <w:r w:rsidRPr="008B4168">
        <w:rPr>
          <w:rStyle w:val="FootnoteReference"/>
          <w:rFonts w:ascii="Arial" w:hAnsi="Arial" w:cs="Arial"/>
        </w:rPr>
        <w:footnoteRef/>
      </w:r>
      <w:r w:rsidR="005C336E" w:rsidRPr="008D77D6">
        <w:rPr>
          <w:rFonts w:ascii="Arial" w:hAnsi="Arial" w:cs="Arial"/>
          <w:lang w:val="af-ZA"/>
        </w:rPr>
        <w:t xml:space="preserve">  </w:t>
      </w:r>
      <w:r w:rsidR="002967C2" w:rsidRPr="008B4168">
        <w:rPr>
          <w:rFonts w:ascii="Arial" w:hAnsi="Arial" w:cs="Arial"/>
          <w:i/>
          <w:iCs/>
          <w:lang w:val="en-ZA"/>
        </w:rPr>
        <w:t>Notshokovu v The State</w:t>
      </w:r>
      <w:r w:rsidR="002967C2" w:rsidRPr="008B4168">
        <w:rPr>
          <w:rFonts w:ascii="Arial" w:hAnsi="Arial" w:cs="Arial"/>
          <w:lang w:val="en-ZA"/>
        </w:rPr>
        <w:t xml:space="preserve"> </w:t>
      </w:r>
      <w:r w:rsidR="004959BE">
        <w:rPr>
          <w:rFonts w:ascii="Arial" w:hAnsi="Arial" w:cs="Arial"/>
          <w:lang w:val="en-ZA"/>
        </w:rPr>
        <w:t xml:space="preserve">fn 2 above </w:t>
      </w:r>
      <w:r w:rsidR="002967C2">
        <w:rPr>
          <w:rFonts w:ascii="Arial" w:hAnsi="Arial" w:cs="Arial"/>
          <w:lang w:val="en-ZA"/>
        </w:rPr>
        <w:t>para 9.</w:t>
      </w:r>
    </w:p>
  </w:footnote>
  <w:footnote w:id="5">
    <w:p w14:paraId="23876FAE" w14:textId="082A8E2E" w:rsidR="00516C2B" w:rsidRDefault="00627D36" w:rsidP="006215EF">
      <w:pPr>
        <w:pStyle w:val="FootnoteText"/>
        <w:spacing w:line="240" w:lineRule="auto"/>
      </w:pPr>
      <w:r w:rsidRPr="008B4168">
        <w:rPr>
          <w:rStyle w:val="FootnoteReference"/>
          <w:rFonts w:ascii="Arial" w:hAnsi="Arial" w:cs="Arial"/>
        </w:rPr>
        <w:footnoteRef/>
      </w:r>
      <w:r w:rsidRPr="008B4168">
        <w:rPr>
          <w:rFonts w:ascii="Arial" w:hAnsi="Arial" w:cs="Arial"/>
        </w:rPr>
        <w:t xml:space="preserve"> </w:t>
      </w:r>
      <w:r w:rsidR="004959BE">
        <w:rPr>
          <w:rFonts w:ascii="Arial" w:hAnsi="Arial" w:cs="Arial"/>
          <w:lang w:val="en-ZA"/>
        </w:rPr>
        <w:t xml:space="preserve">Ibid </w:t>
      </w:r>
      <w:r w:rsidR="008B4168" w:rsidRPr="008B4168">
        <w:rPr>
          <w:rFonts w:ascii="Arial" w:hAnsi="Arial" w:cs="Arial"/>
          <w:lang w:val="en-ZA"/>
        </w:rPr>
        <w:t xml:space="preserve">para </w:t>
      </w:r>
      <w:r w:rsidR="00FC349D">
        <w:rPr>
          <w:rFonts w:ascii="Arial" w:hAnsi="Arial" w:cs="Arial"/>
          <w:lang w:val="en-ZA"/>
        </w:rPr>
        <w:t>2</w:t>
      </w:r>
      <w:r w:rsidR="008B4168" w:rsidRPr="008B4168">
        <w:rPr>
          <w:rFonts w:ascii="Arial" w:hAnsi="Arial" w:cs="Arial"/>
          <w:lang w:val="en-ZA"/>
        </w:rPr>
        <w:t>.</w:t>
      </w:r>
    </w:p>
  </w:footnote>
  <w:footnote w:id="6">
    <w:p w14:paraId="1DD436F3" w14:textId="77777777" w:rsidR="00516C2B" w:rsidRDefault="000536F3">
      <w:pPr>
        <w:pStyle w:val="FootnoteText"/>
      </w:pPr>
      <w:r w:rsidRPr="00727167">
        <w:rPr>
          <w:rStyle w:val="FootnoteReference"/>
          <w:rFonts w:ascii="Arial" w:hAnsi="Arial" w:cs="Arial"/>
        </w:rPr>
        <w:footnoteRef/>
      </w:r>
      <w:r w:rsidRPr="00727167">
        <w:rPr>
          <w:rFonts w:ascii="Arial" w:hAnsi="Arial" w:cs="Arial"/>
        </w:rPr>
        <w:t xml:space="preserve"> </w:t>
      </w:r>
      <w:r w:rsidRPr="00727167">
        <w:rPr>
          <w:rFonts w:ascii="Arial" w:hAnsi="Arial" w:cs="Arial"/>
          <w:i/>
        </w:rPr>
        <w:t>S v Sadler</w:t>
      </w:r>
      <w:r w:rsidRPr="00727167">
        <w:rPr>
          <w:rFonts w:ascii="Arial" w:hAnsi="Arial" w:cs="Arial"/>
        </w:rPr>
        <w:t xml:space="preserve"> [2000] ZASCA 13; [2000] 2 All SA 121 (A) para 8.</w:t>
      </w:r>
    </w:p>
  </w:footnote>
  <w:footnote w:id="7">
    <w:p w14:paraId="714CC41B" w14:textId="77777777" w:rsidR="00516C2B" w:rsidRDefault="004F4673" w:rsidP="00CE41B0">
      <w:pPr>
        <w:pStyle w:val="FootnoteText"/>
        <w:spacing w:line="240" w:lineRule="auto"/>
      </w:pPr>
      <w:r w:rsidRPr="00DD07C0">
        <w:rPr>
          <w:rStyle w:val="FootnoteReference"/>
          <w:rFonts w:ascii="Arial" w:hAnsi="Arial" w:cs="Arial"/>
        </w:rPr>
        <w:footnoteRef/>
      </w:r>
      <w:r w:rsidRPr="00DD07C0">
        <w:rPr>
          <w:rFonts w:ascii="Arial" w:hAnsi="Arial" w:cs="Arial"/>
        </w:rPr>
        <w:t xml:space="preserve"> </w:t>
      </w:r>
      <w:r w:rsidRPr="00382A46">
        <w:rPr>
          <w:rFonts w:ascii="Arial" w:hAnsi="Arial" w:cs="Arial"/>
          <w:i/>
          <w:iCs/>
          <w:lang w:val="en-ZA"/>
        </w:rPr>
        <w:t>S v Legoa</w:t>
      </w:r>
      <w:r w:rsidRPr="00DD07C0">
        <w:rPr>
          <w:rFonts w:ascii="Arial" w:hAnsi="Arial" w:cs="Arial"/>
          <w:lang w:val="en-ZA"/>
        </w:rPr>
        <w:t xml:space="preserve"> 2003 (1) SACR 13 (SCA) para 2</w:t>
      </w:r>
      <w:r>
        <w:rPr>
          <w:rFonts w:ascii="Arial" w:hAnsi="Arial" w:cs="Arial"/>
          <w:lang w:val="en-ZA"/>
        </w:rPr>
        <w:t>1</w:t>
      </w:r>
      <w:r w:rsidRPr="00DD07C0">
        <w:rPr>
          <w:rFonts w:ascii="Arial" w:hAnsi="Arial" w:cs="Arial"/>
          <w:lang w:val="en-ZA"/>
        </w:rPr>
        <w:t>.</w:t>
      </w:r>
    </w:p>
  </w:footnote>
  <w:footnote w:id="8">
    <w:p w14:paraId="290C2E5E" w14:textId="77777777" w:rsidR="00516C2B" w:rsidRDefault="00E64499" w:rsidP="00CE41B0">
      <w:pPr>
        <w:pStyle w:val="FootnoteText"/>
        <w:spacing w:line="240" w:lineRule="auto"/>
      </w:pPr>
      <w:r w:rsidRPr="00177302">
        <w:rPr>
          <w:rStyle w:val="FootnoteReference"/>
          <w:rFonts w:ascii="Arial" w:hAnsi="Arial" w:cs="Arial"/>
        </w:rPr>
        <w:footnoteRef/>
      </w:r>
      <w:r w:rsidRPr="00177302">
        <w:rPr>
          <w:rFonts w:ascii="Arial" w:hAnsi="Arial" w:cs="Arial"/>
        </w:rPr>
        <w:t xml:space="preserve"> </w:t>
      </w:r>
      <w:r w:rsidR="00946097" w:rsidRPr="00782CB3">
        <w:rPr>
          <w:rFonts w:ascii="Arial" w:hAnsi="Arial" w:cs="Arial"/>
          <w:i/>
          <w:iCs/>
        </w:rPr>
        <w:t xml:space="preserve">S v </w:t>
      </w:r>
      <w:r w:rsidRPr="00782CB3">
        <w:rPr>
          <w:rFonts w:ascii="Arial" w:hAnsi="Arial" w:cs="Arial"/>
          <w:i/>
          <w:iCs/>
        </w:rPr>
        <w:t>Kolea</w:t>
      </w:r>
      <w:r w:rsidRPr="00946097">
        <w:rPr>
          <w:rFonts w:ascii="Arial" w:hAnsi="Arial" w:cs="Arial"/>
          <w:i/>
          <w:iCs/>
        </w:rPr>
        <w:t xml:space="preserve"> </w:t>
      </w:r>
      <w:r w:rsidR="00782CB3">
        <w:rPr>
          <w:rFonts w:ascii="Arial" w:hAnsi="Arial" w:cs="Arial"/>
        </w:rPr>
        <w:t>[2012] ZASCA 199;</w:t>
      </w:r>
      <w:r w:rsidR="00946097">
        <w:rPr>
          <w:rFonts w:ascii="Arial" w:hAnsi="Arial" w:cs="Arial"/>
        </w:rPr>
        <w:t xml:space="preserve"> </w:t>
      </w:r>
      <w:r w:rsidR="00782CB3">
        <w:rPr>
          <w:rFonts w:ascii="Arial" w:hAnsi="Arial" w:cs="Arial"/>
        </w:rPr>
        <w:t xml:space="preserve">2013 </w:t>
      </w:r>
      <w:r w:rsidR="0054264A">
        <w:rPr>
          <w:rFonts w:ascii="Arial" w:hAnsi="Arial" w:cs="Arial"/>
        </w:rPr>
        <w:t>(</w:t>
      </w:r>
      <w:r w:rsidR="00946097">
        <w:rPr>
          <w:rFonts w:ascii="Arial" w:hAnsi="Arial" w:cs="Arial"/>
        </w:rPr>
        <w:t>1</w:t>
      </w:r>
      <w:r w:rsidR="0054264A">
        <w:rPr>
          <w:rFonts w:ascii="Arial" w:hAnsi="Arial" w:cs="Arial"/>
        </w:rPr>
        <w:t>)</w:t>
      </w:r>
      <w:r w:rsidR="00946097">
        <w:rPr>
          <w:rFonts w:ascii="Arial" w:hAnsi="Arial" w:cs="Arial"/>
        </w:rPr>
        <w:t xml:space="preserve"> SACR 409 (</w:t>
      </w:r>
      <w:r w:rsidR="00930BFB">
        <w:rPr>
          <w:rFonts w:ascii="Arial" w:hAnsi="Arial" w:cs="Arial"/>
        </w:rPr>
        <w:t>SCA</w:t>
      </w:r>
      <w:r w:rsidR="00946097">
        <w:rPr>
          <w:rFonts w:ascii="Arial" w:hAnsi="Arial" w:cs="Arial"/>
        </w:rPr>
        <w:t xml:space="preserve">) </w:t>
      </w:r>
      <w:r w:rsidRPr="00177302">
        <w:rPr>
          <w:rFonts w:ascii="Arial" w:hAnsi="Arial" w:cs="Arial"/>
        </w:rPr>
        <w:t xml:space="preserve">para </w:t>
      </w:r>
      <w:r w:rsidR="00526DAB">
        <w:rPr>
          <w:rFonts w:ascii="Arial" w:hAnsi="Arial" w:cs="Arial"/>
        </w:rPr>
        <w:t>18</w:t>
      </w:r>
      <w:r w:rsidRPr="00177302">
        <w:rPr>
          <w:rFonts w:ascii="Arial" w:hAnsi="Arial" w:cs="Arial"/>
        </w:rPr>
        <w:t xml:space="preserve">. </w:t>
      </w:r>
    </w:p>
  </w:footnote>
  <w:footnote w:id="9">
    <w:p w14:paraId="535B9341" w14:textId="77777777" w:rsidR="00516C2B" w:rsidRDefault="00D31775" w:rsidP="00D31775">
      <w:pPr>
        <w:pStyle w:val="FootnoteText"/>
        <w:spacing w:line="240" w:lineRule="auto"/>
      </w:pPr>
      <w:r w:rsidRPr="0089490E">
        <w:rPr>
          <w:rStyle w:val="FootnoteReference"/>
          <w:rFonts w:ascii="Arial" w:hAnsi="Arial" w:cs="Arial"/>
        </w:rPr>
        <w:footnoteRef/>
      </w:r>
      <w:r w:rsidRPr="0089490E">
        <w:rPr>
          <w:rFonts w:ascii="Arial" w:hAnsi="Arial" w:cs="Arial"/>
        </w:rPr>
        <w:t xml:space="preserve"> </w:t>
      </w:r>
      <w:r w:rsidRPr="0089490E">
        <w:rPr>
          <w:rFonts w:ascii="Arial" w:hAnsi="Arial" w:cs="Arial"/>
          <w:i/>
          <w:iCs/>
        </w:rPr>
        <w:t>M T v The State; A S B v The State; Johannes September v The State</w:t>
      </w:r>
      <w:r w:rsidRPr="0089490E">
        <w:rPr>
          <w:rFonts w:ascii="Arial" w:hAnsi="Arial" w:cs="Arial"/>
        </w:rPr>
        <w:t xml:space="preserve"> [2018] ZACC.</w:t>
      </w:r>
    </w:p>
  </w:footnote>
  <w:footnote w:id="10">
    <w:p w14:paraId="7B2D0CE9" w14:textId="77777777" w:rsidR="00516C2B" w:rsidRDefault="00D31775" w:rsidP="00D31775">
      <w:pPr>
        <w:pStyle w:val="FootnoteText"/>
        <w:spacing w:line="240" w:lineRule="auto"/>
      </w:pPr>
      <w:r w:rsidRPr="0089490E">
        <w:rPr>
          <w:rStyle w:val="FootnoteReference"/>
          <w:rFonts w:ascii="Arial" w:hAnsi="Arial" w:cs="Arial"/>
        </w:rPr>
        <w:footnoteRef/>
      </w:r>
      <w:r w:rsidRPr="0089490E">
        <w:rPr>
          <w:rFonts w:ascii="Arial" w:hAnsi="Arial" w:cs="Arial"/>
        </w:rPr>
        <w:t xml:space="preserve"> </w:t>
      </w:r>
      <w:r>
        <w:rPr>
          <w:rFonts w:ascii="Arial" w:hAnsi="Arial" w:cs="Arial"/>
        </w:rPr>
        <w:t xml:space="preserve">Ibid </w:t>
      </w:r>
      <w:r w:rsidRPr="0089490E">
        <w:rPr>
          <w:rFonts w:ascii="Arial" w:hAnsi="Arial" w:cs="Arial"/>
          <w:lang w:val="en-ZA"/>
        </w:rPr>
        <w:t>para 40</w:t>
      </w:r>
      <w:r>
        <w:rPr>
          <w:rFonts w:ascii="Arial" w:hAnsi="Arial" w:cs="Arial"/>
          <w:lang w:val="en-ZA"/>
        </w:rPr>
        <w:t>.</w:t>
      </w:r>
    </w:p>
  </w:footnote>
  <w:footnote w:id="11">
    <w:p w14:paraId="0A5540DB" w14:textId="77777777" w:rsidR="00516C2B" w:rsidRDefault="00241E19" w:rsidP="00F05399">
      <w:pPr>
        <w:pStyle w:val="FootnoteText"/>
        <w:spacing w:line="240" w:lineRule="auto"/>
      </w:pPr>
      <w:r w:rsidRPr="00F05399">
        <w:rPr>
          <w:rStyle w:val="FootnoteReference"/>
          <w:rFonts w:ascii="Arial" w:hAnsi="Arial" w:cs="Arial"/>
        </w:rPr>
        <w:footnoteRef/>
      </w:r>
      <w:r w:rsidRPr="00F05399">
        <w:rPr>
          <w:rFonts w:ascii="Arial" w:hAnsi="Arial" w:cs="Arial"/>
        </w:rPr>
        <w:t xml:space="preserve"> </w:t>
      </w:r>
      <w:r w:rsidR="00FD206C" w:rsidRPr="00F05399">
        <w:rPr>
          <w:rFonts w:ascii="Arial" w:hAnsi="Arial" w:cs="Arial"/>
          <w:i/>
        </w:rPr>
        <w:t>S v Zinn</w:t>
      </w:r>
      <w:r w:rsidR="00FD206C" w:rsidRPr="00F05399">
        <w:rPr>
          <w:rFonts w:ascii="Arial" w:hAnsi="Arial" w:cs="Arial"/>
        </w:rPr>
        <w:t xml:space="preserve"> 1969 (2) SA 537 (A) at 540G.</w:t>
      </w:r>
    </w:p>
  </w:footnote>
  <w:footnote w:id="12">
    <w:p w14:paraId="03A5CEEE" w14:textId="77777777" w:rsidR="00516C2B" w:rsidRDefault="00F05399" w:rsidP="00F05399">
      <w:pPr>
        <w:pStyle w:val="FootnoteText"/>
        <w:spacing w:line="240" w:lineRule="auto"/>
      </w:pPr>
      <w:r w:rsidRPr="00F05399">
        <w:rPr>
          <w:rStyle w:val="FootnoteReference"/>
          <w:rFonts w:ascii="Arial" w:hAnsi="Arial" w:cs="Arial"/>
        </w:rPr>
        <w:footnoteRef/>
      </w:r>
      <w:r w:rsidRPr="00F05399">
        <w:rPr>
          <w:rFonts w:ascii="Arial" w:hAnsi="Arial" w:cs="Arial"/>
        </w:rPr>
        <w:t xml:space="preserve"> </w:t>
      </w:r>
      <w:r w:rsidRPr="00F05399">
        <w:rPr>
          <w:rFonts w:ascii="Arial" w:hAnsi="Arial" w:cs="Arial"/>
          <w:i/>
          <w:iCs/>
          <w:lang w:val="en-ZA"/>
        </w:rPr>
        <w:t xml:space="preserve">Kekana v The State </w:t>
      </w:r>
      <w:r w:rsidRPr="00F05399">
        <w:rPr>
          <w:rFonts w:ascii="Arial" w:hAnsi="Arial" w:cs="Arial"/>
          <w:iCs/>
          <w:lang w:val="en-ZA"/>
        </w:rPr>
        <w:t>[2018] ZASCA 148; 2019 (1) SACR 1 (SCA); [2019] 1 All SA 67 (SCA)</w:t>
      </w:r>
      <w:r w:rsidRPr="00F05399">
        <w:rPr>
          <w:rFonts w:ascii="Arial" w:hAnsi="Arial" w:cs="Arial"/>
          <w:i/>
          <w:iCs/>
          <w:lang w:val="en-ZA"/>
        </w:rPr>
        <w:t xml:space="preserve"> </w:t>
      </w:r>
      <w:r w:rsidRPr="00F05399">
        <w:rPr>
          <w:rFonts w:ascii="Arial" w:hAnsi="Arial" w:cs="Arial"/>
          <w:lang w:val="en-ZA"/>
        </w:rPr>
        <w:t>para 28.</w:t>
      </w:r>
    </w:p>
  </w:footnote>
  <w:footnote w:id="13">
    <w:p w14:paraId="0B002AE0" w14:textId="77777777" w:rsidR="00516C2B" w:rsidRDefault="001C0BC7" w:rsidP="00A1015F">
      <w:pPr>
        <w:pStyle w:val="FootnoteText"/>
        <w:spacing w:line="240" w:lineRule="auto"/>
      </w:pPr>
      <w:r w:rsidRPr="004730B4">
        <w:rPr>
          <w:rStyle w:val="FootnoteReference"/>
          <w:rFonts w:ascii="Arial" w:hAnsi="Arial" w:cs="Arial"/>
        </w:rPr>
        <w:footnoteRef/>
      </w:r>
      <w:r w:rsidRPr="004730B4">
        <w:rPr>
          <w:rFonts w:ascii="Arial" w:hAnsi="Arial" w:cs="Arial"/>
        </w:rPr>
        <w:t xml:space="preserve"> </w:t>
      </w:r>
      <w:r w:rsidRPr="004730B4">
        <w:rPr>
          <w:rFonts w:ascii="Arial" w:hAnsi="Arial" w:cs="Arial"/>
          <w:i/>
          <w:iCs/>
        </w:rPr>
        <w:t xml:space="preserve">S v </w:t>
      </w:r>
      <w:r w:rsidRPr="004730B4">
        <w:rPr>
          <w:rFonts w:ascii="Arial" w:hAnsi="Arial" w:cs="Arial"/>
          <w:i/>
          <w:iCs/>
          <w:lang w:val="en-ZA"/>
        </w:rPr>
        <w:t xml:space="preserve">Mhlakaza </w:t>
      </w:r>
      <w:r w:rsidR="0004409E">
        <w:rPr>
          <w:rFonts w:ascii="Arial" w:hAnsi="Arial" w:cs="Arial"/>
          <w:i/>
          <w:iCs/>
          <w:lang w:val="en-ZA"/>
        </w:rPr>
        <w:t xml:space="preserve">and Another </w:t>
      </w:r>
      <w:r w:rsidR="0004409E">
        <w:rPr>
          <w:rFonts w:ascii="Arial" w:hAnsi="Arial" w:cs="Arial"/>
          <w:iCs/>
          <w:lang w:val="en-ZA"/>
        </w:rPr>
        <w:t>[1997]</w:t>
      </w:r>
      <w:r w:rsidR="002414C4">
        <w:rPr>
          <w:rFonts w:ascii="Arial" w:hAnsi="Arial" w:cs="Arial"/>
          <w:iCs/>
          <w:lang w:val="en-ZA"/>
        </w:rPr>
        <w:t xml:space="preserve"> ZASCA 7; [1997] 2 All SA 185 (A);</w:t>
      </w:r>
      <w:r w:rsidRPr="004730B4">
        <w:rPr>
          <w:rFonts w:ascii="Arial" w:hAnsi="Arial" w:cs="Arial"/>
          <w:lang w:val="en-ZA"/>
        </w:rPr>
        <w:t xml:space="preserve"> 1997 (1) SACR 515 (SCA)</w:t>
      </w:r>
      <w:r w:rsidR="002414C4">
        <w:rPr>
          <w:rFonts w:ascii="Arial" w:hAnsi="Arial" w:cs="Arial"/>
          <w:lang w:val="en-ZA"/>
        </w:rPr>
        <w:t xml:space="preserve"> para 10.</w:t>
      </w:r>
    </w:p>
  </w:footnote>
  <w:footnote w:id="14">
    <w:p w14:paraId="20797F83" w14:textId="77777777" w:rsidR="00516C2B" w:rsidRDefault="00F17D13" w:rsidP="00F17D13">
      <w:pPr>
        <w:pStyle w:val="FootnoteText"/>
        <w:spacing w:line="240" w:lineRule="auto"/>
      </w:pPr>
      <w:r w:rsidRPr="00594457">
        <w:rPr>
          <w:rStyle w:val="FootnoteReference"/>
          <w:rFonts w:ascii="Arial" w:hAnsi="Arial" w:cs="Arial"/>
        </w:rPr>
        <w:footnoteRef/>
      </w:r>
      <w:r w:rsidRPr="00594457">
        <w:rPr>
          <w:rFonts w:ascii="Arial" w:hAnsi="Arial" w:cs="Arial"/>
        </w:rPr>
        <w:t xml:space="preserve"> Although this is not the only offence covered there, part II of Schedule 2 of the CLAA refers to any offence relating to possession of an automatic or semi-automatic firearms which is dealt with in this case.</w:t>
      </w:r>
    </w:p>
  </w:footnote>
  <w:footnote w:id="15">
    <w:p w14:paraId="701D778A" w14:textId="77777777" w:rsidR="00516C2B" w:rsidRDefault="00962319" w:rsidP="0030555F">
      <w:pPr>
        <w:pStyle w:val="FootnoteText"/>
        <w:spacing w:line="240" w:lineRule="auto"/>
      </w:pPr>
      <w:r w:rsidRPr="00594457">
        <w:rPr>
          <w:rStyle w:val="FootnoteReference"/>
          <w:rFonts w:ascii="Arial" w:hAnsi="Arial" w:cs="Arial"/>
        </w:rPr>
        <w:footnoteRef/>
      </w:r>
      <w:r w:rsidRPr="00594457">
        <w:rPr>
          <w:rFonts w:ascii="Arial" w:hAnsi="Arial" w:cs="Arial"/>
        </w:rPr>
        <w:t xml:space="preserve"> </w:t>
      </w:r>
      <w:r w:rsidRPr="00594457">
        <w:rPr>
          <w:rFonts w:ascii="Arial" w:hAnsi="Arial" w:cs="Arial"/>
          <w:i/>
        </w:rPr>
        <w:t>Swartz v S</w:t>
      </w:r>
      <w:r w:rsidRPr="00594457">
        <w:rPr>
          <w:rFonts w:ascii="Arial" w:hAnsi="Arial" w:cs="Arial"/>
        </w:rPr>
        <w:t xml:space="preserve"> [2014] ZAWCHC 113; 2016 (2) SACR 268 (WCC) </w:t>
      </w:r>
      <w:r w:rsidR="00A8235D">
        <w:rPr>
          <w:rFonts w:ascii="Arial" w:hAnsi="Arial" w:cs="Arial"/>
        </w:rPr>
        <w:t>para 8</w:t>
      </w:r>
      <w:r w:rsidRPr="00594457">
        <w:rPr>
          <w:rFonts w:ascii="Arial" w:hAnsi="Arial" w:cs="Arial"/>
        </w:rPr>
        <w:t xml:space="preserve">. </w:t>
      </w:r>
    </w:p>
  </w:footnote>
  <w:footnote w:id="16">
    <w:p w14:paraId="357FD6C1" w14:textId="77777777" w:rsidR="00516C2B" w:rsidRDefault="004A6522" w:rsidP="00AB1225">
      <w:pPr>
        <w:pStyle w:val="FootnoteText"/>
        <w:spacing w:line="240" w:lineRule="auto"/>
      </w:pPr>
      <w:r w:rsidRPr="00594457">
        <w:rPr>
          <w:rStyle w:val="FootnoteReference"/>
          <w:rFonts w:ascii="Arial" w:hAnsi="Arial" w:cs="Arial"/>
        </w:rPr>
        <w:footnoteRef/>
      </w:r>
      <w:r w:rsidRPr="00594457">
        <w:rPr>
          <w:rFonts w:ascii="Arial" w:hAnsi="Arial" w:cs="Arial"/>
        </w:rPr>
        <w:t xml:space="preserve"> </w:t>
      </w:r>
      <w:r w:rsidRPr="00594457">
        <w:rPr>
          <w:rFonts w:ascii="Arial" w:hAnsi="Arial" w:cs="Arial"/>
          <w:i/>
        </w:rPr>
        <w:t>S v Thembalethu</w:t>
      </w:r>
      <w:r w:rsidRPr="00594457">
        <w:rPr>
          <w:rFonts w:ascii="Arial" w:hAnsi="Arial" w:cs="Arial"/>
        </w:rPr>
        <w:t xml:space="preserve"> 2009 (1) SACR 50 (SCA)</w:t>
      </w:r>
      <w:r w:rsidR="00390C19">
        <w:rPr>
          <w:rFonts w:ascii="Arial" w:hAnsi="Arial" w:cs="Arial"/>
        </w:rPr>
        <w:t xml:space="preserve"> para 6</w:t>
      </w:r>
      <w:r w:rsidRPr="00594457">
        <w:rPr>
          <w:rFonts w:ascii="Arial" w:hAnsi="Arial" w:cs="Arial"/>
        </w:rPr>
        <w:t xml:space="preserve">. </w:t>
      </w:r>
    </w:p>
  </w:footnote>
  <w:footnote w:id="17">
    <w:p w14:paraId="045E7A11" w14:textId="4F55DB9A" w:rsidR="00516C2B" w:rsidRDefault="007A141B" w:rsidP="00AB1225">
      <w:pPr>
        <w:pStyle w:val="FootnoteText"/>
        <w:spacing w:line="240" w:lineRule="auto"/>
      </w:pPr>
      <w:r w:rsidRPr="00DE4295">
        <w:rPr>
          <w:rStyle w:val="FootnoteReference"/>
          <w:rFonts w:ascii="Arial" w:hAnsi="Arial" w:cs="Arial"/>
        </w:rPr>
        <w:footnoteRef/>
      </w:r>
      <w:r w:rsidRPr="00DF50CB">
        <w:rPr>
          <w:rFonts w:ascii="Arial" w:hAnsi="Arial" w:cs="Arial"/>
        </w:rPr>
        <w:t xml:space="preserve"> </w:t>
      </w:r>
      <w:r w:rsidR="00B44606" w:rsidRPr="00B44606">
        <w:rPr>
          <w:rFonts w:ascii="Arial" w:hAnsi="Arial" w:cs="Arial"/>
          <w:i/>
        </w:rPr>
        <w:t xml:space="preserve"> </w:t>
      </w:r>
      <w:r w:rsidR="00B44606" w:rsidRPr="00594457">
        <w:rPr>
          <w:rFonts w:ascii="Arial" w:hAnsi="Arial" w:cs="Arial"/>
          <w:i/>
        </w:rPr>
        <w:t>S v Thembalethu</w:t>
      </w:r>
      <w:r w:rsidRPr="00DF50CB">
        <w:rPr>
          <w:rFonts w:ascii="Arial" w:hAnsi="Arial" w:cs="Arial"/>
          <w:lang w:val="en-ZA"/>
        </w:rPr>
        <w:t xml:space="preserve"> fn 1</w:t>
      </w:r>
      <w:r w:rsidR="00B44606">
        <w:rPr>
          <w:rFonts w:ascii="Arial" w:hAnsi="Arial" w:cs="Arial"/>
          <w:lang w:val="en-ZA"/>
        </w:rPr>
        <w:t>6</w:t>
      </w:r>
      <w:r w:rsidRPr="00DF50CB">
        <w:rPr>
          <w:rFonts w:ascii="Arial" w:hAnsi="Arial" w:cs="Arial"/>
          <w:lang w:val="en-ZA"/>
        </w:rPr>
        <w:t xml:space="preserve"> para 7.</w:t>
      </w:r>
    </w:p>
  </w:footnote>
  <w:footnote w:id="18">
    <w:p w14:paraId="377D8A62" w14:textId="32239AAE" w:rsidR="00516C2B" w:rsidRDefault="006257E3" w:rsidP="00E27F90">
      <w:pPr>
        <w:pStyle w:val="FootnoteText"/>
        <w:spacing w:line="240" w:lineRule="auto"/>
      </w:pPr>
      <w:r w:rsidRPr="00F144C4">
        <w:rPr>
          <w:rStyle w:val="FootnoteReference"/>
          <w:rFonts w:ascii="Arial" w:hAnsi="Arial" w:cs="Arial"/>
        </w:rPr>
        <w:footnoteRef/>
      </w:r>
      <w:r w:rsidRPr="00F144C4">
        <w:rPr>
          <w:rFonts w:ascii="Arial" w:hAnsi="Arial" w:cs="Arial"/>
        </w:rPr>
        <w:t xml:space="preserve"> </w:t>
      </w:r>
      <w:r w:rsidRPr="00F144C4">
        <w:rPr>
          <w:rFonts w:ascii="Arial" w:hAnsi="Arial" w:cs="Arial"/>
          <w:i/>
        </w:rPr>
        <w:t>S v Zinn</w:t>
      </w:r>
      <w:r w:rsidRPr="00F144C4">
        <w:rPr>
          <w:rFonts w:ascii="Arial" w:hAnsi="Arial" w:cs="Arial"/>
        </w:rPr>
        <w:t xml:space="preserve"> </w:t>
      </w:r>
      <w:r w:rsidR="00C24A2D">
        <w:rPr>
          <w:rFonts w:ascii="Arial" w:hAnsi="Arial" w:cs="Arial"/>
        </w:rPr>
        <w:t>fn 1</w:t>
      </w:r>
      <w:r w:rsidR="00B44606">
        <w:rPr>
          <w:rFonts w:ascii="Arial" w:hAnsi="Arial" w:cs="Arial"/>
        </w:rPr>
        <w:t>1</w:t>
      </w:r>
      <w:r w:rsidR="00C24A2D">
        <w:rPr>
          <w:rFonts w:ascii="Arial" w:hAnsi="Arial" w:cs="Arial"/>
        </w:rPr>
        <w:t xml:space="preserve"> above</w:t>
      </w:r>
      <w:r w:rsidRPr="00F144C4">
        <w:rPr>
          <w:rFonts w:ascii="Arial" w:hAnsi="Arial" w:cs="Arial"/>
        </w:rPr>
        <w:t>.</w:t>
      </w:r>
      <w:r w:rsidR="00816FCC">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82B0" w14:textId="77777777" w:rsidR="00781A47" w:rsidRDefault="00781A47" w:rsidP="006E6EF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4F98DDB" w14:textId="77777777" w:rsidR="00781A47" w:rsidRDefault="00781A47"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5112" w14:textId="3832E9DA" w:rsidR="00781A47" w:rsidRPr="003A1840" w:rsidRDefault="00781A47" w:rsidP="003A1840">
    <w:pPr>
      <w:pStyle w:val="Header"/>
      <w:framePr w:wrap="around" w:vAnchor="text" w:hAnchor="page" w:x="10190" w:y="-54"/>
      <w:rPr>
        <w:rStyle w:val="PageNumber"/>
        <w:rFonts w:cs="Arial"/>
        <w:sz w:val="24"/>
      </w:rPr>
    </w:pPr>
    <w:r w:rsidRPr="003A1840">
      <w:rPr>
        <w:rStyle w:val="PageNumber"/>
        <w:rFonts w:cs="Arial"/>
        <w:sz w:val="24"/>
      </w:rPr>
      <w:fldChar w:fldCharType="begin"/>
    </w:r>
    <w:r w:rsidRPr="003A1840">
      <w:rPr>
        <w:rStyle w:val="PageNumber"/>
        <w:rFonts w:cs="Arial"/>
        <w:sz w:val="24"/>
      </w:rPr>
      <w:instrText xml:space="preserve">PAGE  </w:instrText>
    </w:r>
    <w:r w:rsidRPr="003A1840">
      <w:rPr>
        <w:rStyle w:val="PageNumber"/>
        <w:rFonts w:cs="Arial"/>
        <w:sz w:val="24"/>
      </w:rPr>
      <w:fldChar w:fldCharType="separate"/>
    </w:r>
    <w:r w:rsidR="001032DF">
      <w:rPr>
        <w:rStyle w:val="PageNumber"/>
        <w:rFonts w:cs="Arial"/>
        <w:noProof/>
        <w:sz w:val="24"/>
      </w:rPr>
      <w:t>2</w:t>
    </w:r>
    <w:r w:rsidRPr="003A1840">
      <w:rPr>
        <w:rStyle w:val="PageNumber"/>
        <w:rFonts w:cs="Arial"/>
        <w:sz w:val="24"/>
      </w:rPr>
      <w:fldChar w:fldCharType="end"/>
    </w:r>
  </w:p>
  <w:p w14:paraId="2E41FD0D" w14:textId="77777777" w:rsidR="00781A47" w:rsidRPr="002533B8" w:rsidRDefault="00781A47"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6EC37C8"/>
    <w:multiLevelType w:val="hybridMultilevel"/>
    <w:tmpl w:val="FFFFFFFF"/>
    <w:lvl w:ilvl="0" w:tplc="848E9D0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8654467"/>
    <w:multiLevelType w:val="hybridMultilevel"/>
    <w:tmpl w:val="FFFFFFFF"/>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ACF4FEE"/>
    <w:multiLevelType w:val="hybridMultilevel"/>
    <w:tmpl w:val="FFFFFFFF"/>
    <w:lvl w:ilvl="0" w:tplc="FFFFFFFF">
      <w:start w:val="1"/>
      <w:numFmt w:val="decimal"/>
      <w:lvlText w:val="%1"/>
      <w:lvlJc w:val="left"/>
      <w:pPr>
        <w:ind w:left="1288" w:hanging="72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6753900"/>
    <w:multiLevelType w:val="hybridMultilevel"/>
    <w:tmpl w:val="FFFFFFFF"/>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A0787D"/>
    <w:multiLevelType w:val="hybridMultilevel"/>
    <w:tmpl w:val="FFFFFFFF"/>
    <w:lvl w:ilvl="0" w:tplc="D7402EC6">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1A1960E8"/>
    <w:multiLevelType w:val="hybridMultilevel"/>
    <w:tmpl w:val="FFFFFFFF"/>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03CD0"/>
    <w:multiLevelType w:val="hybridMultilevel"/>
    <w:tmpl w:val="FFFFFFFF"/>
    <w:lvl w:ilvl="0" w:tplc="2906399E">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9" w15:restartNumberingAfterBreak="0">
    <w:nsid w:val="245A489B"/>
    <w:multiLevelType w:val="multilevel"/>
    <w:tmpl w:val="FFFFFFFF"/>
    <w:lvl w:ilvl="0">
      <w:start w:val="1"/>
      <w:numFmt w:val="decimal"/>
      <w:lvlRestart w:val="0"/>
      <w:lvlText w:val="%1."/>
      <w:lvlJc w:val="center"/>
      <w:pPr>
        <w:tabs>
          <w:tab w:val="num" w:pos="-1983"/>
        </w:tabs>
        <w:ind w:left="-1813" w:firstLine="2097"/>
      </w:pPr>
      <w:rPr>
        <w:rFonts w:cs="Times New Roman" w:hint="default"/>
      </w:rPr>
    </w:lvl>
    <w:lvl w:ilvl="1">
      <w:start w:val="1"/>
      <w:numFmt w:val="decimal"/>
      <w:lvlText w:val="%1.%2"/>
      <w:lvlJc w:val="left"/>
      <w:pPr>
        <w:tabs>
          <w:tab w:val="num" w:pos="1417"/>
        </w:tabs>
        <w:ind w:left="1417" w:hanging="1417"/>
      </w:pPr>
      <w:rPr>
        <w:rFonts w:cs="Times New Roman" w:hint="default"/>
      </w:rPr>
    </w:lvl>
    <w:lvl w:ilvl="2">
      <w:start w:val="1"/>
      <w:numFmt w:val="decimal"/>
      <w:lvlText w:val="%1.%2.%3"/>
      <w:lvlJc w:val="left"/>
      <w:pPr>
        <w:tabs>
          <w:tab w:val="num" w:pos="1984"/>
        </w:tabs>
        <w:ind w:left="2154" w:hanging="2154"/>
      </w:pPr>
      <w:rPr>
        <w:rFonts w:cs="Times New Roman" w:hint="default"/>
      </w:rPr>
    </w:lvl>
    <w:lvl w:ilvl="3">
      <w:start w:val="1"/>
      <w:numFmt w:val="decimal"/>
      <w:lvlText w:val="%1.%2.%3.%4"/>
      <w:lvlJc w:val="left"/>
      <w:pPr>
        <w:tabs>
          <w:tab w:val="num" w:pos="2211"/>
        </w:tabs>
        <w:ind w:left="2891" w:hanging="2891"/>
      </w:pPr>
      <w:rPr>
        <w:rFonts w:cs="Times New Roman" w:hint="default"/>
      </w:rPr>
    </w:lvl>
    <w:lvl w:ilvl="4">
      <w:start w:val="1"/>
      <w:numFmt w:val="decimal"/>
      <w:lvlText w:val="%1.%2.%3.%4.%5"/>
      <w:lvlJc w:val="left"/>
      <w:pPr>
        <w:tabs>
          <w:tab w:val="num" w:pos="2608"/>
        </w:tabs>
        <w:ind w:left="2608" w:hanging="2608"/>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797"/>
        </w:tabs>
        <w:ind w:left="1797" w:hanging="1797"/>
      </w:pPr>
      <w:rPr>
        <w:rFonts w:cs="Times New Roman" w:hint="default"/>
      </w:rPr>
    </w:lvl>
    <w:lvl w:ilvl="7">
      <w:start w:val="1"/>
      <w:numFmt w:val="decimal"/>
      <w:lvlText w:val="%1.%2.%3.%4.%5.%6.%7.%8"/>
      <w:lvlJc w:val="left"/>
      <w:pPr>
        <w:tabs>
          <w:tab w:val="num" w:pos="1797"/>
        </w:tabs>
        <w:ind w:left="1797" w:hanging="1797"/>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9E44270"/>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2BA05222"/>
    <w:multiLevelType w:val="hybridMultilevel"/>
    <w:tmpl w:val="FFFFFFFF"/>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48781A"/>
    <w:multiLevelType w:val="hybridMultilevel"/>
    <w:tmpl w:val="FFFFFFFF"/>
    <w:lvl w:ilvl="0" w:tplc="AD88D8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15:restartNumberingAfterBreak="0">
    <w:nsid w:val="31F25972"/>
    <w:multiLevelType w:val="hybridMultilevel"/>
    <w:tmpl w:val="FFFFFFFF"/>
    <w:lvl w:ilvl="0" w:tplc="99CEFE1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15:restartNumberingAfterBreak="0">
    <w:nsid w:val="36441564"/>
    <w:multiLevelType w:val="hybridMultilevel"/>
    <w:tmpl w:val="FFFFFFFF"/>
    <w:lvl w:ilvl="0" w:tplc="7604F3F0">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15:restartNumberingAfterBreak="0">
    <w:nsid w:val="39204806"/>
    <w:multiLevelType w:val="hybridMultilevel"/>
    <w:tmpl w:val="FFFFFFFF"/>
    <w:lvl w:ilvl="0" w:tplc="3FA896CE">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15:restartNumberingAfterBreak="0">
    <w:nsid w:val="39E42BAD"/>
    <w:multiLevelType w:val="hybridMultilevel"/>
    <w:tmpl w:val="FFFFFFFF"/>
    <w:lvl w:ilvl="0" w:tplc="3DB4995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15:restartNumberingAfterBreak="0">
    <w:nsid w:val="3F887743"/>
    <w:multiLevelType w:val="hybridMultilevel"/>
    <w:tmpl w:val="FFFFFFFF"/>
    <w:lvl w:ilvl="0" w:tplc="3798361C">
      <w:start w:val="1"/>
      <w:numFmt w:val="decimal"/>
      <w:lvlText w:val="%1."/>
      <w:lvlJc w:val="left"/>
      <w:pPr>
        <w:ind w:left="1211" w:hanging="360"/>
      </w:pPr>
      <w:rPr>
        <w:rFonts w:cs="Times New Roman" w:hint="default"/>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8" w15:restartNumberingAfterBreak="0">
    <w:nsid w:val="42D07AAE"/>
    <w:multiLevelType w:val="hybridMultilevel"/>
    <w:tmpl w:val="FFFFFFFF"/>
    <w:lvl w:ilvl="0" w:tplc="FDB0F36C">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15:restartNumberingAfterBreak="0">
    <w:nsid w:val="455D5125"/>
    <w:multiLevelType w:val="hybridMultilevel"/>
    <w:tmpl w:val="FFFFFFFF"/>
    <w:lvl w:ilvl="0" w:tplc="F9CA722A">
      <w:start w:val="1"/>
      <w:numFmt w:val="decimal"/>
      <w:lvlText w:val="%1."/>
      <w:lvlJc w:val="left"/>
      <w:pPr>
        <w:ind w:left="1794" w:hanging="360"/>
      </w:pPr>
      <w:rPr>
        <w:rFonts w:cs="Times New Roman" w:hint="default"/>
      </w:rPr>
    </w:lvl>
    <w:lvl w:ilvl="1" w:tplc="04090019" w:tentative="1">
      <w:start w:val="1"/>
      <w:numFmt w:val="lowerLetter"/>
      <w:lvlText w:val="%2."/>
      <w:lvlJc w:val="left"/>
      <w:pPr>
        <w:ind w:left="2514" w:hanging="360"/>
      </w:pPr>
      <w:rPr>
        <w:rFonts w:cs="Times New Roman"/>
      </w:rPr>
    </w:lvl>
    <w:lvl w:ilvl="2" w:tplc="0409001B" w:tentative="1">
      <w:start w:val="1"/>
      <w:numFmt w:val="lowerRoman"/>
      <w:lvlText w:val="%3."/>
      <w:lvlJc w:val="right"/>
      <w:pPr>
        <w:ind w:left="3234" w:hanging="180"/>
      </w:pPr>
      <w:rPr>
        <w:rFonts w:cs="Times New Roman"/>
      </w:rPr>
    </w:lvl>
    <w:lvl w:ilvl="3" w:tplc="0409000F" w:tentative="1">
      <w:start w:val="1"/>
      <w:numFmt w:val="decimal"/>
      <w:lvlText w:val="%4."/>
      <w:lvlJc w:val="left"/>
      <w:pPr>
        <w:ind w:left="3954" w:hanging="360"/>
      </w:pPr>
      <w:rPr>
        <w:rFonts w:cs="Times New Roman"/>
      </w:rPr>
    </w:lvl>
    <w:lvl w:ilvl="4" w:tplc="04090019" w:tentative="1">
      <w:start w:val="1"/>
      <w:numFmt w:val="lowerLetter"/>
      <w:lvlText w:val="%5."/>
      <w:lvlJc w:val="left"/>
      <w:pPr>
        <w:ind w:left="4674" w:hanging="360"/>
      </w:pPr>
      <w:rPr>
        <w:rFonts w:cs="Times New Roman"/>
      </w:rPr>
    </w:lvl>
    <w:lvl w:ilvl="5" w:tplc="0409001B" w:tentative="1">
      <w:start w:val="1"/>
      <w:numFmt w:val="lowerRoman"/>
      <w:lvlText w:val="%6."/>
      <w:lvlJc w:val="right"/>
      <w:pPr>
        <w:ind w:left="5394" w:hanging="180"/>
      </w:pPr>
      <w:rPr>
        <w:rFonts w:cs="Times New Roman"/>
      </w:rPr>
    </w:lvl>
    <w:lvl w:ilvl="6" w:tplc="0409000F" w:tentative="1">
      <w:start w:val="1"/>
      <w:numFmt w:val="decimal"/>
      <w:lvlText w:val="%7."/>
      <w:lvlJc w:val="left"/>
      <w:pPr>
        <w:ind w:left="6114" w:hanging="360"/>
      </w:pPr>
      <w:rPr>
        <w:rFonts w:cs="Times New Roman"/>
      </w:rPr>
    </w:lvl>
    <w:lvl w:ilvl="7" w:tplc="04090019" w:tentative="1">
      <w:start w:val="1"/>
      <w:numFmt w:val="lowerLetter"/>
      <w:lvlText w:val="%8."/>
      <w:lvlJc w:val="left"/>
      <w:pPr>
        <w:ind w:left="6834" w:hanging="360"/>
      </w:pPr>
      <w:rPr>
        <w:rFonts w:cs="Times New Roman"/>
      </w:rPr>
    </w:lvl>
    <w:lvl w:ilvl="8" w:tplc="0409001B" w:tentative="1">
      <w:start w:val="1"/>
      <w:numFmt w:val="lowerRoman"/>
      <w:lvlText w:val="%9."/>
      <w:lvlJc w:val="right"/>
      <w:pPr>
        <w:ind w:left="7554" w:hanging="180"/>
      </w:pPr>
      <w:rPr>
        <w:rFonts w:cs="Times New Roman"/>
      </w:rPr>
    </w:lvl>
  </w:abstractNum>
  <w:abstractNum w:abstractNumId="20" w15:restartNumberingAfterBreak="0">
    <w:nsid w:val="46C5417D"/>
    <w:multiLevelType w:val="hybridMultilevel"/>
    <w:tmpl w:val="FFFFFFFF"/>
    <w:lvl w:ilvl="0" w:tplc="6712BEA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526A6E10"/>
    <w:multiLevelType w:val="multilevel"/>
    <w:tmpl w:val="FFFFFFFF"/>
    <w:lvl w:ilvl="0">
      <w:start w:val="1"/>
      <w:numFmt w:val="decimal"/>
      <w:pStyle w:val="ListParagraph"/>
      <w:lvlText w:val="[%1]"/>
      <w:lvlJc w:val="left"/>
      <w:pPr>
        <w:ind w:left="5274" w:hanging="1134"/>
      </w:pPr>
      <w:rPr>
        <w:rFonts w:ascii="Arial" w:hAnsi="Arial" w:cs="Times New Roman" w:hint="default"/>
        <w:i w:val="0"/>
        <w:sz w:val="25"/>
      </w:rPr>
    </w:lvl>
    <w:lvl w:ilvl="1">
      <w:start w:val="1"/>
      <w:numFmt w:val="decimal"/>
      <w:lvlText w:val="[%1.%2]"/>
      <w:lvlJc w:val="left"/>
      <w:pPr>
        <w:ind w:left="5274" w:hanging="1134"/>
      </w:pPr>
      <w:rPr>
        <w:rFonts w:ascii="Arial" w:hAnsi="Arial" w:cs="Times New Roman" w:hint="default"/>
        <w:i w:val="0"/>
        <w:sz w:val="25"/>
      </w:rPr>
    </w:lvl>
    <w:lvl w:ilvl="2">
      <w:start w:val="1"/>
      <w:numFmt w:val="decimal"/>
      <w:lvlText w:val="[%1.%2.%3]"/>
      <w:lvlJc w:val="left"/>
      <w:pPr>
        <w:ind w:left="5841" w:hanging="1701"/>
      </w:pPr>
      <w:rPr>
        <w:rFonts w:ascii="Arial" w:hAnsi="Arial" w:cs="Times New Roman" w:hint="default"/>
        <w:sz w:val="25"/>
      </w:rPr>
    </w:lvl>
    <w:lvl w:ilvl="3">
      <w:start w:val="1"/>
      <w:numFmt w:val="decimal"/>
      <w:lvlText w:val="[%1.%2.%3.%4]"/>
      <w:lvlJc w:val="left"/>
      <w:pPr>
        <w:ind w:left="6125" w:hanging="1985"/>
      </w:pPr>
      <w:rPr>
        <w:rFonts w:ascii="Arial" w:hAnsi="Arial" w:cs="Times New Roman" w:hint="default"/>
        <w:sz w:val="25"/>
      </w:rPr>
    </w:lvl>
    <w:lvl w:ilvl="4">
      <w:start w:val="1"/>
      <w:numFmt w:val="decimal"/>
      <w:lvlText w:val="[%1.%2.%3.%4.%5]"/>
      <w:lvlJc w:val="left"/>
      <w:pPr>
        <w:ind w:left="6125" w:hanging="1985"/>
      </w:pPr>
      <w:rPr>
        <w:rFonts w:ascii="Arial" w:hAnsi="Arial" w:cs="Times New Roman" w:hint="default"/>
        <w:sz w:val="25"/>
      </w:rPr>
    </w:lvl>
    <w:lvl w:ilvl="5">
      <w:start w:val="1"/>
      <w:numFmt w:val="decimal"/>
      <w:lvlText w:val="[%1.%2.%3.%4.%5.%6]"/>
      <w:lvlJc w:val="left"/>
      <w:pPr>
        <w:ind w:left="5292" w:hanging="1152"/>
      </w:pPr>
      <w:rPr>
        <w:rFonts w:ascii="Arial" w:hAnsi="Arial" w:cs="Times New Roman" w:hint="default"/>
        <w:sz w:val="25"/>
      </w:rPr>
    </w:lvl>
    <w:lvl w:ilvl="6">
      <w:start w:val="1"/>
      <w:numFmt w:val="decimal"/>
      <w:lvlText w:val="[%1.%2.%3.%4.%5.%6.%7]"/>
      <w:lvlJc w:val="left"/>
      <w:pPr>
        <w:ind w:left="5436" w:hanging="1296"/>
      </w:pPr>
      <w:rPr>
        <w:rFonts w:cs="Times New Roman" w:hint="default"/>
      </w:rPr>
    </w:lvl>
    <w:lvl w:ilvl="7">
      <w:start w:val="1"/>
      <w:numFmt w:val="decimal"/>
      <w:lvlText w:val="%1.%2.%3.%4.%5.%6.%7.%8"/>
      <w:lvlJc w:val="left"/>
      <w:pPr>
        <w:ind w:left="5580" w:hanging="1440"/>
      </w:pPr>
      <w:rPr>
        <w:rFonts w:cs="Times New Roman" w:hint="default"/>
      </w:rPr>
    </w:lvl>
    <w:lvl w:ilvl="8">
      <w:start w:val="1"/>
      <w:numFmt w:val="decimal"/>
      <w:lvlText w:val="%1.%2.%3.%4.%5.%6.%7.%8.%9"/>
      <w:lvlJc w:val="left"/>
      <w:pPr>
        <w:ind w:left="5724" w:hanging="1584"/>
      </w:pPr>
      <w:rPr>
        <w:rFonts w:cs="Times New Roman" w:hint="default"/>
      </w:rPr>
    </w:lvl>
  </w:abstractNum>
  <w:abstractNum w:abstractNumId="22" w15:restartNumberingAfterBreak="0">
    <w:nsid w:val="55710D06"/>
    <w:multiLevelType w:val="hybridMultilevel"/>
    <w:tmpl w:val="FFFFFFFF"/>
    <w:lvl w:ilvl="0" w:tplc="7604F3F0">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5C7A76FB"/>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15:restartNumberingAfterBreak="0">
    <w:nsid w:val="5D10060A"/>
    <w:multiLevelType w:val="hybridMultilevel"/>
    <w:tmpl w:val="FFFFFFFF"/>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F7C696E"/>
    <w:multiLevelType w:val="hybridMultilevel"/>
    <w:tmpl w:val="FFFFFFFF"/>
    <w:lvl w:ilvl="0" w:tplc="6ED8EAEA">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26" w15:restartNumberingAfterBreak="0">
    <w:nsid w:val="65EF4606"/>
    <w:multiLevelType w:val="hybridMultilevel"/>
    <w:tmpl w:val="FFFFFFFF"/>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68540A2"/>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15:restartNumberingAfterBreak="0">
    <w:nsid w:val="67E17674"/>
    <w:multiLevelType w:val="hybridMultilevel"/>
    <w:tmpl w:val="FFFFFFFF"/>
    <w:lvl w:ilvl="0" w:tplc="436030B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9454102"/>
    <w:multiLevelType w:val="hybridMultilevel"/>
    <w:tmpl w:val="FFFFFFFF"/>
    <w:lvl w:ilvl="0" w:tplc="1C09000F">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15:restartNumberingAfterBreak="0">
    <w:nsid w:val="6B613053"/>
    <w:multiLevelType w:val="hybridMultilevel"/>
    <w:tmpl w:val="FFFFFFFF"/>
    <w:lvl w:ilvl="0" w:tplc="8864028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15:restartNumberingAfterBreak="0">
    <w:nsid w:val="6E270D5E"/>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15:restartNumberingAfterBreak="0">
    <w:nsid w:val="707921D6"/>
    <w:multiLevelType w:val="hybridMultilevel"/>
    <w:tmpl w:val="FFFFFFFF"/>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71297C7F"/>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15:restartNumberingAfterBreak="0">
    <w:nsid w:val="729C1CDD"/>
    <w:multiLevelType w:val="hybridMultilevel"/>
    <w:tmpl w:val="FFFFFFFF"/>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6C471E"/>
    <w:multiLevelType w:val="hybridMultilevel"/>
    <w:tmpl w:val="FFFFFFFF"/>
    <w:lvl w:ilvl="0" w:tplc="FDC63FE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15:restartNumberingAfterBreak="0">
    <w:nsid w:val="73BC3CF0"/>
    <w:multiLevelType w:val="hybridMultilevel"/>
    <w:tmpl w:val="FFFFFFFF"/>
    <w:lvl w:ilvl="0" w:tplc="44E8EE5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15:restartNumberingAfterBreak="0">
    <w:nsid w:val="7605618E"/>
    <w:multiLevelType w:val="hybridMultilevel"/>
    <w:tmpl w:val="FFFFFFFF"/>
    <w:lvl w:ilvl="0" w:tplc="0D560E02">
      <w:start w:val="1"/>
      <w:numFmt w:val="lowerLetter"/>
      <w:lvlText w:val="(%1)"/>
      <w:lvlJc w:val="left"/>
      <w:pPr>
        <w:ind w:left="218" w:hanging="360"/>
      </w:pPr>
      <w:rPr>
        <w:rFonts w:cs="Times New Roman" w:hint="default"/>
      </w:rPr>
    </w:lvl>
    <w:lvl w:ilvl="1" w:tplc="1C090019" w:tentative="1">
      <w:start w:val="1"/>
      <w:numFmt w:val="lowerLetter"/>
      <w:lvlText w:val="%2."/>
      <w:lvlJc w:val="left"/>
      <w:pPr>
        <w:ind w:left="938" w:hanging="360"/>
      </w:pPr>
      <w:rPr>
        <w:rFonts w:cs="Times New Roman"/>
      </w:rPr>
    </w:lvl>
    <w:lvl w:ilvl="2" w:tplc="1C09001B" w:tentative="1">
      <w:start w:val="1"/>
      <w:numFmt w:val="lowerRoman"/>
      <w:lvlText w:val="%3."/>
      <w:lvlJc w:val="right"/>
      <w:pPr>
        <w:ind w:left="1658" w:hanging="180"/>
      </w:pPr>
      <w:rPr>
        <w:rFonts w:cs="Times New Roman"/>
      </w:rPr>
    </w:lvl>
    <w:lvl w:ilvl="3" w:tplc="1C09000F" w:tentative="1">
      <w:start w:val="1"/>
      <w:numFmt w:val="decimal"/>
      <w:lvlText w:val="%4."/>
      <w:lvlJc w:val="left"/>
      <w:pPr>
        <w:ind w:left="2378" w:hanging="360"/>
      </w:pPr>
      <w:rPr>
        <w:rFonts w:cs="Times New Roman"/>
      </w:rPr>
    </w:lvl>
    <w:lvl w:ilvl="4" w:tplc="1C090019" w:tentative="1">
      <w:start w:val="1"/>
      <w:numFmt w:val="lowerLetter"/>
      <w:lvlText w:val="%5."/>
      <w:lvlJc w:val="left"/>
      <w:pPr>
        <w:ind w:left="3098" w:hanging="360"/>
      </w:pPr>
      <w:rPr>
        <w:rFonts w:cs="Times New Roman"/>
      </w:rPr>
    </w:lvl>
    <w:lvl w:ilvl="5" w:tplc="1C09001B" w:tentative="1">
      <w:start w:val="1"/>
      <w:numFmt w:val="lowerRoman"/>
      <w:lvlText w:val="%6."/>
      <w:lvlJc w:val="right"/>
      <w:pPr>
        <w:ind w:left="3818" w:hanging="180"/>
      </w:pPr>
      <w:rPr>
        <w:rFonts w:cs="Times New Roman"/>
      </w:rPr>
    </w:lvl>
    <w:lvl w:ilvl="6" w:tplc="1C09000F" w:tentative="1">
      <w:start w:val="1"/>
      <w:numFmt w:val="decimal"/>
      <w:lvlText w:val="%7."/>
      <w:lvlJc w:val="left"/>
      <w:pPr>
        <w:ind w:left="4538" w:hanging="360"/>
      </w:pPr>
      <w:rPr>
        <w:rFonts w:cs="Times New Roman"/>
      </w:rPr>
    </w:lvl>
    <w:lvl w:ilvl="7" w:tplc="1C090019" w:tentative="1">
      <w:start w:val="1"/>
      <w:numFmt w:val="lowerLetter"/>
      <w:lvlText w:val="%8."/>
      <w:lvlJc w:val="left"/>
      <w:pPr>
        <w:ind w:left="5258" w:hanging="360"/>
      </w:pPr>
      <w:rPr>
        <w:rFonts w:cs="Times New Roman"/>
      </w:rPr>
    </w:lvl>
    <w:lvl w:ilvl="8" w:tplc="1C09001B" w:tentative="1">
      <w:start w:val="1"/>
      <w:numFmt w:val="lowerRoman"/>
      <w:lvlText w:val="%9."/>
      <w:lvlJc w:val="right"/>
      <w:pPr>
        <w:ind w:left="5978" w:hanging="180"/>
      </w:pPr>
      <w:rPr>
        <w:rFonts w:cs="Times New Roman"/>
      </w:rPr>
    </w:lvl>
  </w:abstractNum>
  <w:abstractNum w:abstractNumId="38" w15:restartNumberingAfterBreak="0">
    <w:nsid w:val="76C242BB"/>
    <w:multiLevelType w:val="hybridMultilevel"/>
    <w:tmpl w:val="FFFFFFFF"/>
    <w:lvl w:ilvl="0" w:tplc="5BDCA044">
      <w:start w:val="1"/>
      <w:numFmt w:val="decimal"/>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39" w15:restartNumberingAfterBreak="0">
    <w:nsid w:val="7E652F11"/>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2"/>
  </w:num>
  <w:num w:numId="2">
    <w:abstractNumId w:val="3"/>
  </w:num>
  <w:num w:numId="3">
    <w:abstractNumId w:val="24"/>
  </w:num>
  <w:num w:numId="4">
    <w:abstractNumId w:val="7"/>
  </w:num>
  <w:num w:numId="5">
    <w:abstractNumId w:val="34"/>
  </w:num>
  <w:num w:numId="6">
    <w:abstractNumId w:val="11"/>
  </w:num>
  <w:num w:numId="7">
    <w:abstractNumId w:val="26"/>
  </w:num>
  <w:num w:numId="8">
    <w:abstractNumId w:val="1"/>
  </w:num>
  <w:num w:numId="9">
    <w:abstractNumId w:val="23"/>
  </w:num>
  <w:num w:numId="10">
    <w:abstractNumId w:val="38"/>
  </w:num>
  <w:num w:numId="11">
    <w:abstractNumId w:val="29"/>
  </w:num>
  <w:num w:numId="12">
    <w:abstractNumId w:val="35"/>
  </w:num>
  <w:num w:numId="13">
    <w:abstractNumId w:val="5"/>
  </w:num>
  <w:num w:numId="14">
    <w:abstractNumId w:val="31"/>
  </w:num>
  <w:num w:numId="15">
    <w:abstractNumId w:val="33"/>
  </w:num>
  <w:num w:numId="16">
    <w:abstractNumId w:val="27"/>
  </w:num>
  <w:num w:numId="17">
    <w:abstractNumId w:val="39"/>
  </w:num>
  <w:num w:numId="18">
    <w:abstractNumId w:val="0"/>
  </w:num>
  <w:num w:numId="19">
    <w:abstractNumId w:val="28"/>
  </w:num>
  <w:num w:numId="20">
    <w:abstractNumId w:val="9"/>
  </w:num>
  <w:num w:numId="21">
    <w:abstractNumId w:val="19"/>
  </w:num>
  <w:num w:numId="22">
    <w:abstractNumId w:val="21"/>
  </w:num>
  <w:num w:numId="23">
    <w:abstractNumId w:val="10"/>
  </w:num>
  <w:num w:numId="24">
    <w:abstractNumId w:val="37"/>
  </w:num>
  <w:num w:numId="25">
    <w:abstractNumId w:val="36"/>
  </w:num>
  <w:num w:numId="26">
    <w:abstractNumId w:val="18"/>
  </w:num>
  <w:num w:numId="27">
    <w:abstractNumId w:val="14"/>
  </w:num>
  <w:num w:numId="28">
    <w:abstractNumId w:val="22"/>
  </w:num>
  <w:num w:numId="29">
    <w:abstractNumId w:val="12"/>
  </w:num>
  <w:num w:numId="30">
    <w:abstractNumId w:val="13"/>
  </w:num>
  <w:num w:numId="31">
    <w:abstractNumId w:val="17"/>
  </w:num>
  <w:num w:numId="32">
    <w:abstractNumId w:val="8"/>
  </w:num>
  <w:num w:numId="33">
    <w:abstractNumId w:val="15"/>
  </w:num>
  <w:num w:numId="34">
    <w:abstractNumId w:val="6"/>
  </w:num>
  <w:num w:numId="35">
    <w:abstractNumId w:val="4"/>
  </w:num>
  <w:num w:numId="36">
    <w:abstractNumId w:val="16"/>
  </w:num>
  <w:num w:numId="37">
    <w:abstractNumId w:val="2"/>
  </w:num>
  <w:num w:numId="38">
    <w:abstractNumId w:val="25"/>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NzaxMDEzMwYyTZV0lIJTi4sz8/NACsxrAV25qAosAAAA"/>
  </w:docVars>
  <w:rsids>
    <w:rsidRoot w:val="00352B53"/>
    <w:rsid w:val="0000084B"/>
    <w:rsid w:val="00000D39"/>
    <w:rsid w:val="00001378"/>
    <w:rsid w:val="00002A84"/>
    <w:rsid w:val="00002C99"/>
    <w:rsid w:val="00002CCC"/>
    <w:rsid w:val="00003107"/>
    <w:rsid w:val="00003FDC"/>
    <w:rsid w:val="000041E5"/>
    <w:rsid w:val="00004BC6"/>
    <w:rsid w:val="00004DB6"/>
    <w:rsid w:val="00005C7D"/>
    <w:rsid w:val="00005DA3"/>
    <w:rsid w:val="000072E4"/>
    <w:rsid w:val="00007A21"/>
    <w:rsid w:val="0001186B"/>
    <w:rsid w:val="00011CEB"/>
    <w:rsid w:val="00011F16"/>
    <w:rsid w:val="000120B2"/>
    <w:rsid w:val="000133FD"/>
    <w:rsid w:val="00013A09"/>
    <w:rsid w:val="00014191"/>
    <w:rsid w:val="000143C7"/>
    <w:rsid w:val="000149AA"/>
    <w:rsid w:val="00014A07"/>
    <w:rsid w:val="00014DE2"/>
    <w:rsid w:val="0001554A"/>
    <w:rsid w:val="00015692"/>
    <w:rsid w:val="00015810"/>
    <w:rsid w:val="00015AD2"/>
    <w:rsid w:val="00015CBB"/>
    <w:rsid w:val="00016359"/>
    <w:rsid w:val="00017F9A"/>
    <w:rsid w:val="000204F5"/>
    <w:rsid w:val="000206E0"/>
    <w:rsid w:val="000212EB"/>
    <w:rsid w:val="00021330"/>
    <w:rsid w:val="00021D0C"/>
    <w:rsid w:val="00021D79"/>
    <w:rsid w:val="00022022"/>
    <w:rsid w:val="00022B7B"/>
    <w:rsid w:val="0002311F"/>
    <w:rsid w:val="00024355"/>
    <w:rsid w:val="00024DEC"/>
    <w:rsid w:val="0002649E"/>
    <w:rsid w:val="000268F9"/>
    <w:rsid w:val="00026C55"/>
    <w:rsid w:val="0003116F"/>
    <w:rsid w:val="000326E5"/>
    <w:rsid w:val="00034E4E"/>
    <w:rsid w:val="000372B2"/>
    <w:rsid w:val="00037533"/>
    <w:rsid w:val="00037C1B"/>
    <w:rsid w:val="00037DA1"/>
    <w:rsid w:val="000402CB"/>
    <w:rsid w:val="000403B5"/>
    <w:rsid w:val="000438B2"/>
    <w:rsid w:val="00043B09"/>
    <w:rsid w:val="00043ED0"/>
    <w:rsid w:val="0004409E"/>
    <w:rsid w:val="000447C3"/>
    <w:rsid w:val="00044D02"/>
    <w:rsid w:val="00044FB6"/>
    <w:rsid w:val="00045AF9"/>
    <w:rsid w:val="00045C2A"/>
    <w:rsid w:val="0004631F"/>
    <w:rsid w:val="00046409"/>
    <w:rsid w:val="00046CC1"/>
    <w:rsid w:val="000476AB"/>
    <w:rsid w:val="000478A4"/>
    <w:rsid w:val="00047B51"/>
    <w:rsid w:val="00047B88"/>
    <w:rsid w:val="00050775"/>
    <w:rsid w:val="00050F80"/>
    <w:rsid w:val="00052A90"/>
    <w:rsid w:val="00053428"/>
    <w:rsid w:val="000536F3"/>
    <w:rsid w:val="00053B31"/>
    <w:rsid w:val="00054192"/>
    <w:rsid w:val="00054DF6"/>
    <w:rsid w:val="000559DC"/>
    <w:rsid w:val="000577A4"/>
    <w:rsid w:val="00057BB6"/>
    <w:rsid w:val="00061B06"/>
    <w:rsid w:val="00062426"/>
    <w:rsid w:val="00062A55"/>
    <w:rsid w:val="00062BF3"/>
    <w:rsid w:val="0006357A"/>
    <w:rsid w:val="000639E6"/>
    <w:rsid w:val="000640A9"/>
    <w:rsid w:val="00064F6C"/>
    <w:rsid w:val="0006570E"/>
    <w:rsid w:val="000657C6"/>
    <w:rsid w:val="00065BA7"/>
    <w:rsid w:val="00065CA7"/>
    <w:rsid w:val="00065E1C"/>
    <w:rsid w:val="00066162"/>
    <w:rsid w:val="00066CD8"/>
    <w:rsid w:val="000671FB"/>
    <w:rsid w:val="00067947"/>
    <w:rsid w:val="00071D57"/>
    <w:rsid w:val="0007241C"/>
    <w:rsid w:val="00073310"/>
    <w:rsid w:val="00073644"/>
    <w:rsid w:val="00073A64"/>
    <w:rsid w:val="00073AA7"/>
    <w:rsid w:val="0007691C"/>
    <w:rsid w:val="000776C7"/>
    <w:rsid w:val="000776CE"/>
    <w:rsid w:val="000807BE"/>
    <w:rsid w:val="000807F9"/>
    <w:rsid w:val="00080C57"/>
    <w:rsid w:val="00081901"/>
    <w:rsid w:val="00082505"/>
    <w:rsid w:val="00082ED2"/>
    <w:rsid w:val="000837F1"/>
    <w:rsid w:val="00083A24"/>
    <w:rsid w:val="00083EB5"/>
    <w:rsid w:val="000840AE"/>
    <w:rsid w:val="00084C73"/>
    <w:rsid w:val="00084D14"/>
    <w:rsid w:val="000855D3"/>
    <w:rsid w:val="00085720"/>
    <w:rsid w:val="0008572E"/>
    <w:rsid w:val="000858E9"/>
    <w:rsid w:val="00086111"/>
    <w:rsid w:val="0008613D"/>
    <w:rsid w:val="0008698F"/>
    <w:rsid w:val="00086CC1"/>
    <w:rsid w:val="00087276"/>
    <w:rsid w:val="00090E23"/>
    <w:rsid w:val="000919AE"/>
    <w:rsid w:val="000922D1"/>
    <w:rsid w:val="0009281E"/>
    <w:rsid w:val="0009367E"/>
    <w:rsid w:val="0009418E"/>
    <w:rsid w:val="00094B00"/>
    <w:rsid w:val="0009734C"/>
    <w:rsid w:val="0009798F"/>
    <w:rsid w:val="00097A05"/>
    <w:rsid w:val="000A0314"/>
    <w:rsid w:val="000A16F3"/>
    <w:rsid w:val="000A20EB"/>
    <w:rsid w:val="000A265C"/>
    <w:rsid w:val="000A2E61"/>
    <w:rsid w:val="000A38B3"/>
    <w:rsid w:val="000A3B66"/>
    <w:rsid w:val="000A415C"/>
    <w:rsid w:val="000A48F6"/>
    <w:rsid w:val="000A5581"/>
    <w:rsid w:val="000A559D"/>
    <w:rsid w:val="000A56AE"/>
    <w:rsid w:val="000A62CA"/>
    <w:rsid w:val="000A65D1"/>
    <w:rsid w:val="000A699A"/>
    <w:rsid w:val="000A6ABA"/>
    <w:rsid w:val="000A7771"/>
    <w:rsid w:val="000A7AB3"/>
    <w:rsid w:val="000B178A"/>
    <w:rsid w:val="000B1E0E"/>
    <w:rsid w:val="000B1FC7"/>
    <w:rsid w:val="000B2145"/>
    <w:rsid w:val="000B39DE"/>
    <w:rsid w:val="000B3C5B"/>
    <w:rsid w:val="000B4223"/>
    <w:rsid w:val="000B4B5D"/>
    <w:rsid w:val="000B4E15"/>
    <w:rsid w:val="000B5169"/>
    <w:rsid w:val="000B5178"/>
    <w:rsid w:val="000B5A9D"/>
    <w:rsid w:val="000B68F2"/>
    <w:rsid w:val="000B6DC0"/>
    <w:rsid w:val="000B713D"/>
    <w:rsid w:val="000C015D"/>
    <w:rsid w:val="000C0739"/>
    <w:rsid w:val="000C1FF2"/>
    <w:rsid w:val="000C2425"/>
    <w:rsid w:val="000C2A2E"/>
    <w:rsid w:val="000C2BAE"/>
    <w:rsid w:val="000C4975"/>
    <w:rsid w:val="000C533C"/>
    <w:rsid w:val="000C67F7"/>
    <w:rsid w:val="000C6C6F"/>
    <w:rsid w:val="000C75C4"/>
    <w:rsid w:val="000D12EB"/>
    <w:rsid w:val="000D1913"/>
    <w:rsid w:val="000D1BD4"/>
    <w:rsid w:val="000D1DE9"/>
    <w:rsid w:val="000D4B60"/>
    <w:rsid w:val="000D642B"/>
    <w:rsid w:val="000D6781"/>
    <w:rsid w:val="000D6A7F"/>
    <w:rsid w:val="000D6B27"/>
    <w:rsid w:val="000D6DA5"/>
    <w:rsid w:val="000D724C"/>
    <w:rsid w:val="000D72EF"/>
    <w:rsid w:val="000D73BC"/>
    <w:rsid w:val="000E0A7D"/>
    <w:rsid w:val="000E1A90"/>
    <w:rsid w:val="000E256F"/>
    <w:rsid w:val="000E2EE2"/>
    <w:rsid w:val="000E3544"/>
    <w:rsid w:val="000E4F25"/>
    <w:rsid w:val="000E53E4"/>
    <w:rsid w:val="000E5670"/>
    <w:rsid w:val="000E6B3B"/>
    <w:rsid w:val="000E703C"/>
    <w:rsid w:val="000F01F8"/>
    <w:rsid w:val="000F1112"/>
    <w:rsid w:val="000F1E06"/>
    <w:rsid w:val="000F3456"/>
    <w:rsid w:val="000F5479"/>
    <w:rsid w:val="000F583A"/>
    <w:rsid w:val="000F5B4A"/>
    <w:rsid w:val="000F5E9C"/>
    <w:rsid w:val="000F60CB"/>
    <w:rsid w:val="000F766A"/>
    <w:rsid w:val="000F7F39"/>
    <w:rsid w:val="00100A87"/>
    <w:rsid w:val="00100FBC"/>
    <w:rsid w:val="00101C51"/>
    <w:rsid w:val="00102D33"/>
    <w:rsid w:val="001032DF"/>
    <w:rsid w:val="00103560"/>
    <w:rsid w:val="00103965"/>
    <w:rsid w:val="00103B60"/>
    <w:rsid w:val="00103B8C"/>
    <w:rsid w:val="00104044"/>
    <w:rsid w:val="00104713"/>
    <w:rsid w:val="0010535E"/>
    <w:rsid w:val="0010546D"/>
    <w:rsid w:val="001055CC"/>
    <w:rsid w:val="00105FF0"/>
    <w:rsid w:val="00106381"/>
    <w:rsid w:val="001065B5"/>
    <w:rsid w:val="00106FFF"/>
    <w:rsid w:val="00107576"/>
    <w:rsid w:val="0011179A"/>
    <w:rsid w:val="00111A2C"/>
    <w:rsid w:val="0011212E"/>
    <w:rsid w:val="00112289"/>
    <w:rsid w:val="0011250B"/>
    <w:rsid w:val="00112E36"/>
    <w:rsid w:val="001130AD"/>
    <w:rsid w:val="001137CA"/>
    <w:rsid w:val="00113935"/>
    <w:rsid w:val="00113AA3"/>
    <w:rsid w:val="00115081"/>
    <w:rsid w:val="00115161"/>
    <w:rsid w:val="001154F3"/>
    <w:rsid w:val="00115976"/>
    <w:rsid w:val="00116D7C"/>
    <w:rsid w:val="0011744C"/>
    <w:rsid w:val="001174B8"/>
    <w:rsid w:val="00117C45"/>
    <w:rsid w:val="00117ED1"/>
    <w:rsid w:val="001202E5"/>
    <w:rsid w:val="00120866"/>
    <w:rsid w:val="001215BC"/>
    <w:rsid w:val="0012164C"/>
    <w:rsid w:val="0012180E"/>
    <w:rsid w:val="00121BA3"/>
    <w:rsid w:val="00121E22"/>
    <w:rsid w:val="001223C6"/>
    <w:rsid w:val="0012489B"/>
    <w:rsid w:val="0012501D"/>
    <w:rsid w:val="001251DA"/>
    <w:rsid w:val="00125714"/>
    <w:rsid w:val="00125F09"/>
    <w:rsid w:val="00126D56"/>
    <w:rsid w:val="001271E8"/>
    <w:rsid w:val="00127555"/>
    <w:rsid w:val="0013022B"/>
    <w:rsid w:val="00130849"/>
    <w:rsid w:val="00130858"/>
    <w:rsid w:val="00130F1D"/>
    <w:rsid w:val="00131358"/>
    <w:rsid w:val="00131D54"/>
    <w:rsid w:val="0013224A"/>
    <w:rsid w:val="0013235D"/>
    <w:rsid w:val="001326C9"/>
    <w:rsid w:val="0013399C"/>
    <w:rsid w:val="00133AEC"/>
    <w:rsid w:val="00134552"/>
    <w:rsid w:val="00134659"/>
    <w:rsid w:val="00134811"/>
    <w:rsid w:val="00140170"/>
    <w:rsid w:val="00140356"/>
    <w:rsid w:val="00140EE0"/>
    <w:rsid w:val="001428EE"/>
    <w:rsid w:val="00142F2C"/>
    <w:rsid w:val="0014478E"/>
    <w:rsid w:val="0014571F"/>
    <w:rsid w:val="00145AE7"/>
    <w:rsid w:val="00145F23"/>
    <w:rsid w:val="001466DC"/>
    <w:rsid w:val="00147914"/>
    <w:rsid w:val="00147B0C"/>
    <w:rsid w:val="00147D88"/>
    <w:rsid w:val="0015019F"/>
    <w:rsid w:val="0015091B"/>
    <w:rsid w:val="00150A7D"/>
    <w:rsid w:val="001510CA"/>
    <w:rsid w:val="0015146C"/>
    <w:rsid w:val="00151A5D"/>
    <w:rsid w:val="001526ED"/>
    <w:rsid w:val="0015318B"/>
    <w:rsid w:val="001531DB"/>
    <w:rsid w:val="00153497"/>
    <w:rsid w:val="001537FB"/>
    <w:rsid w:val="001539CC"/>
    <w:rsid w:val="001546C3"/>
    <w:rsid w:val="00154759"/>
    <w:rsid w:val="0015523A"/>
    <w:rsid w:val="00155E59"/>
    <w:rsid w:val="00156429"/>
    <w:rsid w:val="00156AC1"/>
    <w:rsid w:val="00160C6D"/>
    <w:rsid w:val="00161437"/>
    <w:rsid w:val="00161914"/>
    <w:rsid w:val="00162633"/>
    <w:rsid w:val="0016296F"/>
    <w:rsid w:val="00163273"/>
    <w:rsid w:val="00163432"/>
    <w:rsid w:val="00163D12"/>
    <w:rsid w:val="00163E5B"/>
    <w:rsid w:val="00164860"/>
    <w:rsid w:val="001650E3"/>
    <w:rsid w:val="00165E98"/>
    <w:rsid w:val="00166FD3"/>
    <w:rsid w:val="0016740A"/>
    <w:rsid w:val="001674B3"/>
    <w:rsid w:val="001700D8"/>
    <w:rsid w:val="00170123"/>
    <w:rsid w:val="00170496"/>
    <w:rsid w:val="001706CE"/>
    <w:rsid w:val="00170C6E"/>
    <w:rsid w:val="00170D4F"/>
    <w:rsid w:val="00171A27"/>
    <w:rsid w:val="00172706"/>
    <w:rsid w:val="0017292D"/>
    <w:rsid w:val="00172FDF"/>
    <w:rsid w:val="001734BF"/>
    <w:rsid w:val="00173866"/>
    <w:rsid w:val="00173BBF"/>
    <w:rsid w:val="00173D0A"/>
    <w:rsid w:val="0017438D"/>
    <w:rsid w:val="00174392"/>
    <w:rsid w:val="001743C5"/>
    <w:rsid w:val="001743D6"/>
    <w:rsid w:val="00174A6A"/>
    <w:rsid w:val="00174FC5"/>
    <w:rsid w:val="001752AB"/>
    <w:rsid w:val="00176970"/>
    <w:rsid w:val="001769EF"/>
    <w:rsid w:val="00176A4C"/>
    <w:rsid w:val="00176F13"/>
    <w:rsid w:val="00177302"/>
    <w:rsid w:val="00177662"/>
    <w:rsid w:val="00177E02"/>
    <w:rsid w:val="00180418"/>
    <w:rsid w:val="00180980"/>
    <w:rsid w:val="00181306"/>
    <w:rsid w:val="00181F40"/>
    <w:rsid w:val="0018267B"/>
    <w:rsid w:val="001833E1"/>
    <w:rsid w:val="00183BED"/>
    <w:rsid w:val="0018406B"/>
    <w:rsid w:val="0018491C"/>
    <w:rsid w:val="00184E4B"/>
    <w:rsid w:val="001850B5"/>
    <w:rsid w:val="00185B08"/>
    <w:rsid w:val="0018607B"/>
    <w:rsid w:val="0018663D"/>
    <w:rsid w:val="00187400"/>
    <w:rsid w:val="00187C8B"/>
    <w:rsid w:val="00187D24"/>
    <w:rsid w:val="00190F39"/>
    <w:rsid w:val="00190F4C"/>
    <w:rsid w:val="00191601"/>
    <w:rsid w:val="001919D2"/>
    <w:rsid w:val="00192287"/>
    <w:rsid w:val="00193100"/>
    <w:rsid w:val="00193927"/>
    <w:rsid w:val="00195468"/>
    <w:rsid w:val="00195772"/>
    <w:rsid w:val="0019615D"/>
    <w:rsid w:val="001961E2"/>
    <w:rsid w:val="00196384"/>
    <w:rsid w:val="00196EA5"/>
    <w:rsid w:val="00197469"/>
    <w:rsid w:val="001978C9"/>
    <w:rsid w:val="00197AD1"/>
    <w:rsid w:val="00197FFB"/>
    <w:rsid w:val="001A03A4"/>
    <w:rsid w:val="001A1233"/>
    <w:rsid w:val="001A16F6"/>
    <w:rsid w:val="001A1FF3"/>
    <w:rsid w:val="001A22B5"/>
    <w:rsid w:val="001A3642"/>
    <w:rsid w:val="001A3745"/>
    <w:rsid w:val="001A3CF5"/>
    <w:rsid w:val="001A3DD8"/>
    <w:rsid w:val="001A5E7E"/>
    <w:rsid w:val="001A6C75"/>
    <w:rsid w:val="001A6CB6"/>
    <w:rsid w:val="001A6EFF"/>
    <w:rsid w:val="001A6F09"/>
    <w:rsid w:val="001A6FDE"/>
    <w:rsid w:val="001A7183"/>
    <w:rsid w:val="001A74C0"/>
    <w:rsid w:val="001B0019"/>
    <w:rsid w:val="001B04A4"/>
    <w:rsid w:val="001B0720"/>
    <w:rsid w:val="001B1E5D"/>
    <w:rsid w:val="001B255F"/>
    <w:rsid w:val="001B26CE"/>
    <w:rsid w:val="001B3135"/>
    <w:rsid w:val="001B357F"/>
    <w:rsid w:val="001B5C8E"/>
    <w:rsid w:val="001B5C9F"/>
    <w:rsid w:val="001B65EC"/>
    <w:rsid w:val="001B79AD"/>
    <w:rsid w:val="001B7DA0"/>
    <w:rsid w:val="001C00ED"/>
    <w:rsid w:val="001C0BC7"/>
    <w:rsid w:val="001C0EFF"/>
    <w:rsid w:val="001C111C"/>
    <w:rsid w:val="001C1F60"/>
    <w:rsid w:val="001C224C"/>
    <w:rsid w:val="001C361C"/>
    <w:rsid w:val="001C3F3D"/>
    <w:rsid w:val="001C3F89"/>
    <w:rsid w:val="001C4381"/>
    <w:rsid w:val="001C46BC"/>
    <w:rsid w:val="001C4D70"/>
    <w:rsid w:val="001C55AA"/>
    <w:rsid w:val="001C63DA"/>
    <w:rsid w:val="001C7E7F"/>
    <w:rsid w:val="001C7FFD"/>
    <w:rsid w:val="001D1381"/>
    <w:rsid w:val="001D1F70"/>
    <w:rsid w:val="001D2842"/>
    <w:rsid w:val="001D29FB"/>
    <w:rsid w:val="001D2C3A"/>
    <w:rsid w:val="001D2DE0"/>
    <w:rsid w:val="001D35BF"/>
    <w:rsid w:val="001D3D8A"/>
    <w:rsid w:val="001D4225"/>
    <w:rsid w:val="001D4B9B"/>
    <w:rsid w:val="001D4F21"/>
    <w:rsid w:val="001D5D64"/>
    <w:rsid w:val="001D6A4B"/>
    <w:rsid w:val="001D7B78"/>
    <w:rsid w:val="001E031A"/>
    <w:rsid w:val="001E09E2"/>
    <w:rsid w:val="001E0BCA"/>
    <w:rsid w:val="001E0DCC"/>
    <w:rsid w:val="001E0E42"/>
    <w:rsid w:val="001E1212"/>
    <w:rsid w:val="001E1899"/>
    <w:rsid w:val="001E1C58"/>
    <w:rsid w:val="001E3045"/>
    <w:rsid w:val="001E3687"/>
    <w:rsid w:val="001E4DF3"/>
    <w:rsid w:val="001E554F"/>
    <w:rsid w:val="001E5774"/>
    <w:rsid w:val="001E6401"/>
    <w:rsid w:val="001E65B4"/>
    <w:rsid w:val="001E6E14"/>
    <w:rsid w:val="001E6ED6"/>
    <w:rsid w:val="001E766A"/>
    <w:rsid w:val="001E7A3E"/>
    <w:rsid w:val="001E7D38"/>
    <w:rsid w:val="001F1137"/>
    <w:rsid w:val="001F13BF"/>
    <w:rsid w:val="001F1405"/>
    <w:rsid w:val="001F1B5A"/>
    <w:rsid w:val="001F2722"/>
    <w:rsid w:val="001F2782"/>
    <w:rsid w:val="001F3BF0"/>
    <w:rsid w:val="001F42E3"/>
    <w:rsid w:val="001F4300"/>
    <w:rsid w:val="001F4BF7"/>
    <w:rsid w:val="001F4E27"/>
    <w:rsid w:val="001F54BD"/>
    <w:rsid w:val="001F5F3D"/>
    <w:rsid w:val="001F5FE7"/>
    <w:rsid w:val="001F689A"/>
    <w:rsid w:val="001F72DE"/>
    <w:rsid w:val="001F7C48"/>
    <w:rsid w:val="002014E8"/>
    <w:rsid w:val="0020202F"/>
    <w:rsid w:val="00202A7F"/>
    <w:rsid w:val="00202BF3"/>
    <w:rsid w:val="00204510"/>
    <w:rsid w:val="0020633C"/>
    <w:rsid w:val="00206D51"/>
    <w:rsid w:val="00207145"/>
    <w:rsid w:val="002073D0"/>
    <w:rsid w:val="00207D10"/>
    <w:rsid w:val="002101BB"/>
    <w:rsid w:val="002114CD"/>
    <w:rsid w:val="00211B12"/>
    <w:rsid w:val="00211E8A"/>
    <w:rsid w:val="00212194"/>
    <w:rsid w:val="002126AB"/>
    <w:rsid w:val="0021271E"/>
    <w:rsid w:val="002129BE"/>
    <w:rsid w:val="002141BA"/>
    <w:rsid w:val="002144B5"/>
    <w:rsid w:val="00214DA3"/>
    <w:rsid w:val="00215034"/>
    <w:rsid w:val="00215266"/>
    <w:rsid w:val="00215C50"/>
    <w:rsid w:val="00215C8D"/>
    <w:rsid w:val="00216593"/>
    <w:rsid w:val="002169EB"/>
    <w:rsid w:val="00217E61"/>
    <w:rsid w:val="00220496"/>
    <w:rsid w:val="002207C0"/>
    <w:rsid w:val="0022087B"/>
    <w:rsid w:val="00220DAB"/>
    <w:rsid w:val="002211E4"/>
    <w:rsid w:val="002216B0"/>
    <w:rsid w:val="002223A9"/>
    <w:rsid w:val="002229BF"/>
    <w:rsid w:val="00223293"/>
    <w:rsid w:val="002243FD"/>
    <w:rsid w:val="00224562"/>
    <w:rsid w:val="00224981"/>
    <w:rsid w:val="0022533E"/>
    <w:rsid w:val="002261F3"/>
    <w:rsid w:val="00226C1E"/>
    <w:rsid w:val="0022733B"/>
    <w:rsid w:val="002306BB"/>
    <w:rsid w:val="0023169D"/>
    <w:rsid w:val="002317E0"/>
    <w:rsid w:val="00231956"/>
    <w:rsid w:val="00232AA6"/>
    <w:rsid w:val="00234246"/>
    <w:rsid w:val="002347BA"/>
    <w:rsid w:val="00234BD0"/>
    <w:rsid w:val="00234CA2"/>
    <w:rsid w:val="002352E0"/>
    <w:rsid w:val="0023576B"/>
    <w:rsid w:val="0023578A"/>
    <w:rsid w:val="0023636B"/>
    <w:rsid w:val="00236596"/>
    <w:rsid w:val="002373CD"/>
    <w:rsid w:val="002414C4"/>
    <w:rsid w:val="002418C9"/>
    <w:rsid w:val="00241AAC"/>
    <w:rsid w:val="00241E19"/>
    <w:rsid w:val="0024209B"/>
    <w:rsid w:val="00242AC4"/>
    <w:rsid w:val="00242BF4"/>
    <w:rsid w:val="00242D7A"/>
    <w:rsid w:val="002432E0"/>
    <w:rsid w:val="00243520"/>
    <w:rsid w:val="00243629"/>
    <w:rsid w:val="00243BD2"/>
    <w:rsid w:val="00243C76"/>
    <w:rsid w:val="0024473A"/>
    <w:rsid w:val="00245292"/>
    <w:rsid w:val="002457B3"/>
    <w:rsid w:val="00245839"/>
    <w:rsid w:val="0024605B"/>
    <w:rsid w:val="00246E71"/>
    <w:rsid w:val="00247559"/>
    <w:rsid w:val="002509E7"/>
    <w:rsid w:val="002529ED"/>
    <w:rsid w:val="002533B8"/>
    <w:rsid w:val="002533BF"/>
    <w:rsid w:val="0025418C"/>
    <w:rsid w:val="00256158"/>
    <w:rsid w:val="0025621B"/>
    <w:rsid w:val="002568CF"/>
    <w:rsid w:val="00256BD8"/>
    <w:rsid w:val="00256D6E"/>
    <w:rsid w:val="002574C7"/>
    <w:rsid w:val="002600F2"/>
    <w:rsid w:val="002632F4"/>
    <w:rsid w:val="00263377"/>
    <w:rsid w:val="002636E4"/>
    <w:rsid w:val="00263723"/>
    <w:rsid w:val="0026394D"/>
    <w:rsid w:val="00263F8B"/>
    <w:rsid w:val="002642B8"/>
    <w:rsid w:val="00264892"/>
    <w:rsid w:val="00265268"/>
    <w:rsid w:val="00265525"/>
    <w:rsid w:val="002659C5"/>
    <w:rsid w:val="0026674B"/>
    <w:rsid w:val="00266CA0"/>
    <w:rsid w:val="0026799C"/>
    <w:rsid w:val="00270412"/>
    <w:rsid w:val="00270F02"/>
    <w:rsid w:val="00270F42"/>
    <w:rsid w:val="0027161A"/>
    <w:rsid w:val="00271720"/>
    <w:rsid w:val="00271C87"/>
    <w:rsid w:val="0027255E"/>
    <w:rsid w:val="00272FA8"/>
    <w:rsid w:val="002730D2"/>
    <w:rsid w:val="002734E4"/>
    <w:rsid w:val="002735AB"/>
    <w:rsid w:val="00273CE9"/>
    <w:rsid w:val="00273D03"/>
    <w:rsid w:val="00273ECC"/>
    <w:rsid w:val="00274675"/>
    <w:rsid w:val="00274DB8"/>
    <w:rsid w:val="00275293"/>
    <w:rsid w:val="002763ED"/>
    <w:rsid w:val="0027648C"/>
    <w:rsid w:val="002773A1"/>
    <w:rsid w:val="00277429"/>
    <w:rsid w:val="00277930"/>
    <w:rsid w:val="00280A68"/>
    <w:rsid w:val="00281D2D"/>
    <w:rsid w:val="00281DEB"/>
    <w:rsid w:val="00283162"/>
    <w:rsid w:val="0028376A"/>
    <w:rsid w:val="002837D3"/>
    <w:rsid w:val="00283DAF"/>
    <w:rsid w:val="00283EB0"/>
    <w:rsid w:val="00285FAA"/>
    <w:rsid w:val="002867E6"/>
    <w:rsid w:val="00286B6B"/>
    <w:rsid w:val="0028743D"/>
    <w:rsid w:val="00287806"/>
    <w:rsid w:val="00287F0E"/>
    <w:rsid w:val="002903B0"/>
    <w:rsid w:val="00290C42"/>
    <w:rsid w:val="002912F4"/>
    <w:rsid w:val="00291390"/>
    <w:rsid w:val="00291A80"/>
    <w:rsid w:val="00291AFB"/>
    <w:rsid w:val="00291C14"/>
    <w:rsid w:val="00291E22"/>
    <w:rsid w:val="002923EB"/>
    <w:rsid w:val="002924E4"/>
    <w:rsid w:val="002924E9"/>
    <w:rsid w:val="00292D6C"/>
    <w:rsid w:val="002958A8"/>
    <w:rsid w:val="00296224"/>
    <w:rsid w:val="00296644"/>
    <w:rsid w:val="002967C2"/>
    <w:rsid w:val="00296FA1"/>
    <w:rsid w:val="002970B8"/>
    <w:rsid w:val="00297183"/>
    <w:rsid w:val="0029730C"/>
    <w:rsid w:val="00297CD0"/>
    <w:rsid w:val="002A0FD8"/>
    <w:rsid w:val="002A14DD"/>
    <w:rsid w:val="002A225C"/>
    <w:rsid w:val="002A24A5"/>
    <w:rsid w:val="002A2684"/>
    <w:rsid w:val="002A2EDC"/>
    <w:rsid w:val="002A30ED"/>
    <w:rsid w:val="002A38CB"/>
    <w:rsid w:val="002A4A52"/>
    <w:rsid w:val="002A5DB0"/>
    <w:rsid w:val="002A5FF6"/>
    <w:rsid w:val="002A6851"/>
    <w:rsid w:val="002A7B17"/>
    <w:rsid w:val="002A7C9B"/>
    <w:rsid w:val="002B06A4"/>
    <w:rsid w:val="002B08F7"/>
    <w:rsid w:val="002B0A69"/>
    <w:rsid w:val="002B0C02"/>
    <w:rsid w:val="002B158B"/>
    <w:rsid w:val="002B245A"/>
    <w:rsid w:val="002B29E4"/>
    <w:rsid w:val="002B2C82"/>
    <w:rsid w:val="002B4BA6"/>
    <w:rsid w:val="002B58B9"/>
    <w:rsid w:val="002B5942"/>
    <w:rsid w:val="002B59D2"/>
    <w:rsid w:val="002B5E09"/>
    <w:rsid w:val="002B5F05"/>
    <w:rsid w:val="002B7AD0"/>
    <w:rsid w:val="002C079D"/>
    <w:rsid w:val="002C0BE0"/>
    <w:rsid w:val="002C0C3E"/>
    <w:rsid w:val="002C0DEB"/>
    <w:rsid w:val="002C0E35"/>
    <w:rsid w:val="002C0ED2"/>
    <w:rsid w:val="002C10A3"/>
    <w:rsid w:val="002C35E9"/>
    <w:rsid w:val="002C3C64"/>
    <w:rsid w:val="002C4344"/>
    <w:rsid w:val="002C53F3"/>
    <w:rsid w:val="002C53F9"/>
    <w:rsid w:val="002C6CDF"/>
    <w:rsid w:val="002D07B1"/>
    <w:rsid w:val="002D09EC"/>
    <w:rsid w:val="002D1969"/>
    <w:rsid w:val="002D243C"/>
    <w:rsid w:val="002D3BE7"/>
    <w:rsid w:val="002D3CFD"/>
    <w:rsid w:val="002D4743"/>
    <w:rsid w:val="002D48E7"/>
    <w:rsid w:val="002D64B4"/>
    <w:rsid w:val="002D7196"/>
    <w:rsid w:val="002D74F0"/>
    <w:rsid w:val="002E032B"/>
    <w:rsid w:val="002E0A34"/>
    <w:rsid w:val="002E0B35"/>
    <w:rsid w:val="002E0CCD"/>
    <w:rsid w:val="002E0FEA"/>
    <w:rsid w:val="002E18EE"/>
    <w:rsid w:val="002E1EC6"/>
    <w:rsid w:val="002E1ED7"/>
    <w:rsid w:val="002E20D2"/>
    <w:rsid w:val="002E2318"/>
    <w:rsid w:val="002E25A1"/>
    <w:rsid w:val="002E2631"/>
    <w:rsid w:val="002E344E"/>
    <w:rsid w:val="002E3D9B"/>
    <w:rsid w:val="002E468A"/>
    <w:rsid w:val="002E4A90"/>
    <w:rsid w:val="002E4ED4"/>
    <w:rsid w:val="002E54E7"/>
    <w:rsid w:val="002E5DA4"/>
    <w:rsid w:val="002E67B5"/>
    <w:rsid w:val="002F08D4"/>
    <w:rsid w:val="002F0A80"/>
    <w:rsid w:val="002F1998"/>
    <w:rsid w:val="002F2C46"/>
    <w:rsid w:val="002F3BC8"/>
    <w:rsid w:val="002F40CC"/>
    <w:rsid w:val="002F4AAC"/>
    <w:rsid w:val="002F4DB7"/>
    <w:rsid w:val="002F52BB"/>
    <w:rsid w:val="002F56C2"/>
    <w:rsid w:val="002F5AF7"/>
    <w:rsid w:val="002F5F39"/>
    <w:rsid w:val="002F6184"/>
    <w:rsid w:val="002F6392"/>
    <w:rsid w:val="002F6848"/>
    <w:rsid w:val="002F7707"/>
    <w:rsid w:val="0030143E"/>
    <w:rsid w:val="0030174B"/>
    <w:rsid w:val="00301B68"/>
    <w:rsid w:val="0030418D"/>
    <w:rsid w:val="00304810"/>
    <w:rsid w:val="0030506E"/>
    <w:rsid w:val="00305298"/>
    <w:rsid w:val="0030555F"/>
    <w:rsid w:val="00305ABB"/>
    <w:rsid w:val="00310A33"/>
    <w:rsid w:val="00310EA7"/>
    <w:rsid w:val="0031119A"/>
    <w:rsid w:val="00312DBB"/>
    <w:rsid w:val="00314AB4"/>
    <w:rsid w:val="00315F29"/>
    <w:rsid w:val="0031641D"/>
    <w:rsid w:val="00316B49"/>
    <w:rsid w:val="00316E46"/>
    <w:rsid w:val="003170E9"/>
    <w:rsid w:val="00317F49"/>
    <w:rsid w:val="00317F62"/>
    <w:rsid w:val="00320324"/>
    <w:rsid w:val="00320378"/>
    <w:rsid w:val="003204A1"/>
    <w:rsid w:val="00320BB1"/>
    <w:rsid w:val="00320BFF"/>
    <w:rsid w:val="0032223A"/>
    <w:rsid w:val="00322944"/>
    <w:rsid w:val="00322B52"/>
    <w:rsid w:val="00322C14"/>
    <w:rsid w:val="0032386A"/>
    <w:rsid w:val="003238FA"/>
    <w:rsid w:val="0032471E"/>
    <w:rsid w:val="003249FD"/>
    <w:rsid w:val="00324AEB"/>
    <w:rsid w:val="00324C2A"/>
    <w:rsid w:val="00324D3C"/>
    <w:rsid w:val="003258AD"/>
    <w:rsid w:val="00325DF6"/>
    <w:rsid w:val="00326E83"/>
    <w:rsid w:val="00326F81"/>
    <w:rsid w:val="003272E0"/>
    <w:rsid w:val="003272F4"/>
    <w:rsid w:val="00327637"/>
    <w:rsid w:val="00327CCB"/>
    <w:rsid w:val="00330BED"/>
    <w:rsid w:val="00330D50"/>
    <w:rsid w:val="0033140F"/>
    <w:rsid w:val="0033252C"/>
    <w:rsid w:val="00332661"/>
    <w:rsid w:val="00332F6E"/>
    <w:rsid w:val="003333A6"/>
    <w:rsid w:val="00333C6B"/>
    <w:rsid w:val="003352DC"/>
    <w:rsid w:val="003357F7"/>
    <w:rsid w:val="00335969"/>
    <w:rsid w:val="00336A3E"/>
    <w:rsid w:val="00340F93"/>
    <w:rsid w:val="0034109A"/>
    <w:rsid w:val="003424C2"/>
    <w:rsid w:val="00342739"/>
    <w:rsid w:val="00342D46"/>
    <w:rsid w:val="00343569"/>
    <w:rsid w:val="00343C11"/>
    <w:rsid w:val="00345382"/>
    <w:rsid w:val="00346E14"/>
    <w:rsid w:val="003470B5"/>
    <w:rsid w:val="00347663"/>
    <w:rsid w:val="0035076E"/>
    <w:rsid w:val="00350EB8"/>
    <w:rsid w:val="00351609"/>
    <w:rsid w:val="00351696"/>
    <w:rsid w:val="00351AA1"/>
    <w:rsid w:val="00351BDA"/>
    <w:rsid w:val="00352266"/>
    <w:rsid w:val="00352B53"/>
    <w:rsid w:val="003533AE"/>
    <w:rsid w:val="003536CF"/>
    <w:rsid w:val="0035384E"/>
    <w:rsid w:val="00353B10"/>
    <w:rsid w:val="00353D13"/>
    <w:rsid w:val="00354751"/>
    <w:rsid w:val="00354CB7"/>
    <w:rsid w:val="00354D73"/>
    <w:rsid w:val="003550D4"/>
    <w:rsid w:val="003557A9"/>
    <w:rsid w:val="00360659"/>
    <w:rsid w:val="00360958"/>
    <w:rsid w:val="00361EB3"/>
    <w:rsid w:val="00362412"/>
    <w:rsid w:val="0036258F"/>
    <w:rsid w:val="003636CB"/>
    <w:rsid w:val="003639DB"/>
    <w:rsid w:val="0036418C"/>
    <w:rsid w:val="00364351"/>
    <w:rsid w:val="0036468B"/>
    <w:rsid w:val="00364784"/>
    <w:rsid w:val="0036554E"/>
    <w:rsid w:val="0036575B"/>
    <w:rsid w:val="00365F49"/>
    <w:rsid w:val="00366A49"/>
    <w:rsid w:val="00367396"/>
    <w:rsid w:val="003676D7"/>
    <w:rsid w:val="0037087F"/>
    <w:rsid w:val="00370D3E"/>
    <w:rsid w:val="00370F26"/>
    <w:rsid w:val="003712A1"/>
    <w:rsid w:val="00371A4C"/>
    <w:rsid w:val="00372C73"/>
    <w:rsid w:val="00373168"/>
    <w:rsid w:val="00373558"/>
    <w:rsid w:val="0037364E"/>
    <w:rsid w:val="0037437C"/>
    <w:rsid w:val="003743AE"/>
    <w:rsid w:val="003744CB"/>
    <w:rsid w:val="003749E0"/>
    <w:rsid w:val="00374B8A"/>
    <w:rsid w:val="00375D75"/>
    <w:rsid w:val="003762A0"/>
    <w:rsid w:val="00376475"/>
    <w:rsid w:val="00376F14"/>
    <w:rsid w:val="0037726F"/>
    <w:rsid w:val="003800F0"/>
    <w:rsid w:val="003812F7"/>
    <w:rsid w:val="00381767"/>
    <w:rsid w:val="003817B3"/>
    <w:rsid w:val="003817CA"/>
    <w:rsid w:val="00381F40"/>
    <w:rsid w:val="003823FF"/>
    <w:rsid w:val="00382A46"/>
    <w:rsid w:val="00382CDD"/>
    <w:rsid w:val="00382FA3"/>
    <w:rsid w:val="003839D5"/>
    <w:rsid w:val="003841D6"/>
    <w:rsid w:val="0038486F"/>
    <w:rsid w:val="00384DD2"/>
    <w:rsid w:val="003854D2"/>
    <w:rsid w:val="003864F1"/>
    <w:rsid w:val="00386CEF"/>
    <w:rsid w:val="0038712C"/>
    <w:rsid w:val="00387A6D"/>
    <w:rsid w:val="00390C19"/>
    <w:rsid w:val="00390E82"/>
    <w:rsid w:val="00391FC1"/>
    <w:rsid w:val="0039224E"/>
    <w:rsid w:val="0039407A"/>
    <w:rsid w:val="00394655"/>
    <w:rsid w:val="00394B7C"/>
    <w:rsid w:val="00395245"/>
    <w:rsid w:val="0039533A"/>
    <w:rsid w:val="003968E2"/>
    <w:rsid w:val="00396DBA"/>
    <w:rsid w:val="0039711C"/>
    <w:rsid w:val="0039734A"/>
    <w:rsid w:val="0039752E"/>
    <w:rsid w:val="003978AB"/>
    <w:rsid w:val="003A0BC9"/>
    <w:rsid w:val="003A1685"/>
    <w:rsid w:val="003A168C"/>
    <w:rsid w:val="003A16B7"/>
    <w:rsid w:val="003A17D4"/>
    <w:rsid w:val="003A1840"/>
    <w:rsid w:val="003A198F"/>
    <w:rsid w:val="003A1FF7"/>
    <w:rsid w:val="003A277E"/>
    <w:rsid w:val="003A3DE7"/>
    <w:rsid w:val="003A3F50"/>
    <w:rsid w:val="003A41DD"/>
    <w:rsid w:val="003A436B"/>
    <w:rsid w:val="003A5333"/>
    <w:rsid w:val="003A537A"/>
    <w:rsid w:val="003A719F"/>
    <w:rsid w:val="003A76B6"/>
    <w:rsid w:val="003A76D3"/>
    <w:rsid w:val="003A7790"/>
    <w:rsid w:val="003A7BF3"/>
    <w:rsid w:val="003B058E"/>
    <w:rsid w:val="003B05DA"/>
    <w:rsid w:val="003B05EC"/>
    <w:rsid w:val="003B09BC"/>
    <w:rsid w:val="003B10CC"/>
    <w:rsid w:val="003B11DB"/>
    <w:rsid w:val="003B16F3"/>
    <w:rsid w:val="003B233A"/>
    <w:rsid w:val="003B246A"/>
    <w:rsid w:val="003B2896"/>
    <w:rsid w:val="003B31D5"/>
    <w:rsid w:val="003B3797"/>
    <w:rsid w:val="003B50C6"/>
    <w:rsid w:val="003B54CB"/>
    <w:rsid w:val="003B5B8D"/>
    <w:rsid w:val="003B6205"/>
    <w:rsid w:val="003B6527"/>
    <w:rsid w:val="003B6D3A"/>
    <w:rsid w:val="003C075C"/>
    <w:rsid w:val="003C0AC4"/>
    <w:rsid w:val="003C0B45"/>
    <w:rsid w:val="003C139B"/>
    <w:rsid w:val="003C1912"/>
    <w:rsid w:val="003C253A"/>
    <w:rsid w:val="003C2C09"/>
    <w:rsid w:val="003C33AF"/>
    <w:rsid w:val="003C384F"/>
    <w:rsid w:val="003C402D"/>
    <w:rsid w:val="003C4D26"/>
    <w:rsid w:val="003C4D2B"/>
    <w:rsid w:val="003C53BA"/>
    <w:rsid w:val="003C6623"/>
    <w:rsid w:val="003C7D4F"/>
    <w:rsid w:val="003D0B51"/>
    <w:rsid w:val="003D0E61"/>
    <w:rsid w:val="003D11C0"/>
    <w:rsid w:val="003D1B61"/>
    <w:rsid w:val="003D1C06"/>
    <w:rsid w:val="003D1F86"/>
    <w:rsid w:val="003D2365"/>
    <w:rsid w:val="003D30A8"/>
    <w:rsid w:val="003D33AF"/>
    <w:rsid w:val="003D43B7"/>
    <w:rsid w:val="003D4518"/>
    <w:rsid w:val="003D4A26"/>
    <w:rsid w:val="003D56FB"/>
    <w:rsid w:val="003D6F85"/>
    <w:rsid w:val="003D72CE"/>
    <w:rsid w:val="003D75DA"/>
    <w:rsid w:val="003D7A3C"/>
    <w:rsid w:val="003D7CF8"/>
    <w:rsid w:val="003D7F95"/>
    <w:rsid w:val="003E018C"/>
    <w:rsid w:val="003E0477"/>
    <w:rsid w:val="003E0580"/>
    <w:rsid w:val="003E1216"/>
    <w:rsid w:val="003E17DF"/>
    <w:rsid w:val="003E24DA"/>
    <w:rsid w:val="003E26F9"/>
    <w:rsid w:val="003E276E"/>
    <w:rsid w:val="003E2B5F"/>
    <w:rsid w:val="003E36F6"/>
    <w:rsid w:val="003E3D0E"/>
    <w:rsid w:val="003E446C"/>
    <w:rsid w:val="003E49D7"/>
    <w:rsid w:val="003E4C03"/>
    <w:rsid w:val="003E5108"/>
    <w:rsid w:val="003E57A4"/>
    <w:rsid w:val="003E63E7"/>
    <w:rsid w:val="003E6743"/>
    <w:rsid w:val="003E6787"/>
    <w:rsid w:val="003E70FB"/>
    <w:rsid w:val="003F03CD"/>
    <w:rsid w:val="003F0738"/>
    <w:rsid w:val="003F1C90"/>
    <w:rsid w:val="003F2F95"/>
    <w:rsid w:val="003F36BF"/>
    <w:rsid w:val="003F3862"/>
    <w:rsid w:val="003F38C1"/>
    <w:rsid w:val="003F4299"/>
    <w:rsid w:val="003F4EB3"/>
    <w:rsid w:val="003F4F08"/>
    <w:rsid w:val="003F742C"/>
    <w:rsid w:val="003F7960"/>
    <w:rsid w:val="00400B3E"/>
    <w:rsid w:val="004021AC"/>
    <w:rsid w:val="004022D5"/>
    <w:rsid w:val="00402C4C"/>
    <w:rsid w:val="004032BA"/>
    <w:rsid w:val="0040335F"/>
    <w:rsid w:val="00403632"/>
    <w:rsid w:val="0040367F"/>
    <w:rsid w:val="004041D5"/>
    <w:rsid w:val="004048EA"/>
    <w:rsid w:val="00405CBF"/>
    <w:rsid w:val="004067A0"/>
    <w:rsid w:val="00407F9B"/>
    <w:rsid w:val="004103FA"/>
    <w:rsid w:val="004105F7"/>
    <w:rsid w:val="00410A1E"/>
    <w:rsid w:val="00410A77"/>
    <w:rsid w:val="00410AF1"/>
    <w:rsid w:val="00411771"/>
    <w:rsid w:val="00411C89"/>
    <w:rsid w:val="004137B1"/>
    <w:rsid w:val="0041392F"/>
    <w:rsid w:val="004146B7"/>
    <w:rsid w:val="00414763"/>
    <w:rsid w:val="00414A1A"/>
    <w:rsid w:val="00414A52"/>
    <w:rsid w:val="00414C08"/>
    <w:rsid w:val="00414D26"/>
    <w:rsid w:val="00415687"/>
    <w:rsid w:val="00415FC8"/>
    <w:rsid w:val="00416D32"/>
    <w:rsid w:val="00416D57"/>
    <w:rsid w:val="00417C95"/>
    <w:rsid w:val="00417EFE"/>
    <w:rsid w:val="00420285"/>
    <w:rsid w:val="00421708"/>
    <w:rsid w:val="0042172E"/>
    <w:rsid w:val="00422679"/>
    <w:rsid w:val="00422D8D"/>
    <w:rsid w:val="00423E68"/>
    <w:rsid w:val="004254B5"/>
    <w:rsid w:val="00426633"/>
    <w:rsid w:val="00426BA1"/>
    <w:rsid w:val="0042704F"/>
    <w:rsid w:val="00430539"/>
    <w:rsid w:val="004309F0"/>
    <w:rsid w:val="0043134B"/>
    <w:rsid w:val="00431578"/>
    <w:rsid w:val="00432A15"/>
    <w:rsid w:val="00432A17"/>
    <w:rsid w:val="00432C1F"/>
    <w:rsid w:val="004341ED"/>
    <w:rsid w:val="00434262"/>
    <w:rsid w:val="00434371"/>
    <w:rsid w:val="004348B4"/>
    <w:rsid w:val="004349EE"/>
    <w:rsid w:val="00434D39"/>
    <w:rsid w:val="004352E0"/>
    <w:rsid w:val="00436479"/>
    <w:rsid w:val="00440741"/>
    <w:rsid w:val="00440D61"/>
    <w:rsid w:val="00442CCB"/>
    <w:rsid w:val="00443F80"/>
    <w:rsid w:val="00443FA8"/>
    <w:rsid w:val="004442F6"/>
    <w:rsid w:val="00444317"/>
    <w:rsid w:val="00444F74"/>
    <w:rsid w:val="004451CA"/>
    <w:rsid w:val="00445249"/>
    <w:rsid w:val="004455FF"/>
    <w:rsid w:val="00445B93"/>
    <w:rsid w:val="00445C17"/>
    <w:rsid w:val="00447713"/>
    <w:rsid w:val="00447993"/>
    <w:rsid w:val="00447D58"/>
    <w:rsid w:val="0045071C"/>
    <w:rsid w:val="004509F5"/>
    <w:rsid w:val="00450B14"/>
    <w:rsid w:val="004517CA"/>
    <w:rsid w:val="00451A5D"/>
    <w:rsid w:val="00452211"/>
    <w:rsid w:val="00453419"/>
    <w:rsid w:val="00453BE1"/>
    <w:rsid w:val="00453CC9"/>
    <w:rsid w:val="00454A7F"/>
    <w:rsid w:val="0045511D"/>
    <w:rsid w:val="00455253"/>
    <w:rsid w:val="00455CBE"/>
    <w:rsid w:val="00456468"/>
    <w:rsid w:val="00456965"/>
    <w:rsid w:val="00456CCC"/>
    <w:rsid w:val="0045757B"/>
    <w:rsid w:val="004576F4"/>
    <w:rsid w:val="00457B9A"/>
    <w:rsid w:val="004600F6"/>
    <w:rsid w:val="004611CA"/>
    <w:rsid w:val="00462494"/>
    <w:rsid w:val="00463E18"/>
    <w:rsid w:val="004645D6"/>
    <w:rsid w:val="00464703"/>
    <w:rsid w:val="004653E5"/>
    <w:rsid w:val="00465409"/>
    <w:rsid w:val="004657E5"/>
    <w:rsid w:val="0046584B"/>
    <w:rsid w:val="00466392"/>
    <w:rsid w:val="00466FBC"/>
    <w:rsid w:val="00467A31"/>
    <w:rsid w:val="00467BF1"/>
    <w:rsid w:val="00470021"/>
    <w:rsid w:val="00470BD4"/>
    <w:rsid w:val="00472990"/>
    <w:rsid w:val="004730B4"/>
    <w:rsid w:val="00473224"/>
    <w:rsid w:val="004732BE"/>
    <w:rsid w:val="00473B80"/>
    <w:rsid w:val="00473D0A"/>
    <w:rsid w:val="0047558E"/>
    <w:rsid w:val="004768CD"/>
    <w:rsid w:val="00476A54"/>
    <w:rsid w:val="00476B11"/>
    <w:rsid w:val="00477349"/>
    <w:rsid w:val="0048018C"/>
    <w:rsid w:val="00481228"/>
    <w:rsid w:val="00481273"/>
    <w:rsid w:val="00481D92"/>
    <w:rsid w:val="00481F20"/>
    <w:rsid w:val="00482320"/>
    <w:rsid w:val="00482D80"/>
    <w:rsid w:val="00483C8D"/>
    <w:rsid w:val="004845D8"/>
    <w:rsid w:val="00486C8D"/>
    <w:rsid w:val="004871FB"/>
    <w:rsid w:val="004877F8"/>
    <w:rsid w:val="00487F74"/>
    <w:rsid w:val="004901DA"/>
    <w:rsid w:val="004908D1"/>
    <w:rsid w:val="00492274"/>
    <w:rsid w:val="004924B9"/>
    <w:rsid w:val="00492BA4"/>
    <w:rsid w:val="00492DE4"/>
    <w:rsid w:val="004930E8"/>
    <w:rsid w:val="00493204"/>
    <w:rsid w:val="00493A2A"/>
    <w:rsid w:val="00493C35"/>
    <w:rsid w:val="00494082"/>
    <w:rsid w:val="004959BE"/>
    <w:rsid w:val="00496365"/>
    <w:rsid w:val="00496667"/>
    <w:rsid w:val="00496756"/>
    <w:rsid w:val="004969F7"/>
    <w:rsid w:val="00496A1D"/>
    <w:rsid w:val="004978D6"/>
    <w:rsid w:val="00497C3B"/>
    <w:rsid w:val="004A1267"/>
    <w:rsid w:val="004A1351"/>
    <w:rsid w:val="004A34EE"/>
    <w:rsid w:val="004A410A"/>
    <w:rsid w:val="004A50DB"/>
    <w:rsid w:val="004A563F"/>
    <w:rsid w:val="004A5CC4"/>
    <w:rsid w:val="004A5EC4"/>
    <w:rsid w:val="004A6522"/>
    <w:rsid w:val="004A6934"/>
    <w:rsid w:val="004A6A5C"/>
    <w:rsid w:val="004B06B1"/>
    <w:rsid w:val="004B1526"/>
    <w:rsid w:val="004B1958"/>
    <w:rsid w:val="004B3B05"/>
    <w:rsid w:val="004B5648"/>
    <w:rsid w:val="004B5926"/>
    <w:rsid w:val="004B671D"/>
    <w:rsid w:val="004B70E5"/>
    <w:rsid w:val="004B7169"/>
    <w:rsid w:val="004B7212"/>
    <w:rsid w:val="004C00C9"/>
    <w:rsid w:val="004C03BE"/>
    <w:rsid w:val="004C08CB"/>
    <w:rsid w:val="004C17F1"/>
    <w:rsid w:val="004C1DDF"/>
    <w:rsid w:val="004C282E"/>
    <w:rsid w:val="004C2962"/>
    <w:rsid w:val="004C32B5"/>
    <w:rsid w:val="004C366E"/>
    <w:rsid w:val="004C4915"/>
    <w:rsid w:val="004C4DD8"/>
    <w:rsid w:val="004C505B"/>
    <w:rsid w:val="004C6164"/>
    <w:rsid w:val="004C6959"/>
    <w:rsid w:val="004C6CE4"/>
    <w:rsid w:val="004C74EC"/>
    <w:rsid w:val="004C78A4"/>
    <w:rsid w:val="004D0AD4"/>
    <w:rsid w:val="004D16C3"/>
    <w:rsid w:val="004D1C66"/>
    <w:rsid w:val="004D2C17"/>
    <w:rsid w:val="004D2CDC"/>
    <w:rsid w:val="004D2EEC"/>
    <w:rsid w:val="004D59D0"/>
    <w:rsid w:val="004D5F33"/>
    <w:rsid w:val="004D6F45"/>
    <w:rsid w:val="004D6F93"/>
    <w:rsid w:val="004D78DA"/>
    <w:rsid w:val="004D79BE"/>
    <w:rsid w:val="004E074E"/>
    <w:rsid w:val="004E0849"/>
    <w:rsid w:val="004E0C81"/>
    <w:rsid w:val="004E3544"/>
    <w:rsid w:val="004E35D1"/>
    <w:rsid w:val="004E4451"/>
    <w:rsid w:val="004E508C"/>
    <w:rsid w:val="004E56B7"/>
    <w:rsid w:val="004E6253"/>
    <w:rsid w:val="004E6B6E"/>
    <w:rsid w:val="004E6E01"/>
    <w:rsid w:val="004F0BF6"/>
    <w:rsid w:val="004F0F14"/>
    <w:rsid w:val="004F1633"/>
    <w:rsid w:val="004F16CC"/>
    <w:rsid w:val="004F1EED"/>
    <w:rsid w:val="004F345C"/>
    <w:rsid w:val="004F38C3"/>
    <w:rsid w:val="004F4673"/>
    <w:rsid w:val="004F48E5"/>
    <w:rsid w:val="004F49E8"/>
    <w:rsid w:val="004F5D83"/>
    <w:rsid w:val="004F7012"/>
    <w:rsid w:val="004F728E"/>
    <w:rsid w:val="004F72DD"/>
    <w:rsid w:val="005007BA"/>
    <w:rsid w:val="00500C1C"/>
    <w:rsid w:val="00500E94"/>
    <w:rsid w:val="00501794"/>
    <w:rsid w:val="00501D54"/>
    <w:rsid w:val="005029D2"/>
    <w:rsid w:val="00502B1A"/>
    <w:rsid w:val="00504ABF"/>
    <w:rsid w:val="00504C17"/>
    <w:rsid w:val="00505477"/>
    <w:rsid w:val="00505F0C"/>
    <w:rsid w:val="00506417"/>
    <w:rsid w:val="00507122"/>
    <w:rsid w:val="00507263"/>
    <w:rsid w:val="005075C0"/>
    <w:rsid w:val="00507C03"/>
    <w:rsid w:val="0051021D"/>
    <w:rsid w:val="00510B11"/>
    <w:rsid w:val="00511B3E"/>
    <w:rsid w:val="0051296B"/>
    <w:rsid w:val="00513184"/>
    <w:rsid w:val="005131B6"/>
    <w:rsid w:val="00513337"/>
    <w:rsid w:val="00513991"/>
    <w:rsid w:val="00513D97"/>
    <w:rsid w:val="0051465C"/>
    <w:rsid w:val="00515DCE"/>
    <w:rsid w:val="00515EDF"/>
    <w:rsid w:val="00516570"/>
    <w:rsid w:val="00516C2B"/>
    <w:rsid w:val="0051769C"/>
    <w:rsid w:val="00517A8A"/>
    <w:rsid w:val="005200ED"/>
    <w:rsid w:val="00520498"/>
    <w:rsid w:val="00521448"/>
    <w:rsid w:val="005215B5"/>
    <w:rsid w:val="00521941"/>
    <w:rsid w:val="00522276"/>
    <w:rsid w:val="00522550"/>
    <w:rsid w:val="0052259E"/>
    <w:rsid w:val="005233D5"/>
    <w:rsid w:val="00525EC3"/>
    <w:rsid w:val="00525F70"/>
    <w:rsid w:val="0052630E"/>
    <w:rsid w:val="005263FA"/>
    <w:rsid w:val="00526993"/>
    <w:rsid w:val="00526DAB"/>
    <w:rsid w:val="00530093"/>
    <w:rsid w:val="005304AE"/>
    <w:rsid w:val="00530D3F"/>
    <w:rsid w:val="00531397"/>
    <w:rsid w:val="005327ED"/>
    <w:rsid w:val="0053304B"/>
    <w:rsid w:val="005333D7"/>
    <w:rsid w:val="00533E22"/>
    <w:rsid w:val="005340E3"/>
    <w:rsid w:val="005342F2"/>
    <w:rsid w:val="0053490B"/>
    <w:rsid w:val="00536A0A"/>
    <w:rsid w:val="00536CF2"/>
    <w:rsid w:val="00536F92"/>
    <w:rsid w:val="00537D6A"/>
    <w:rsid w:val="0054062D"/>
    <w:rsid w:val="0054154D"/>
    <w:rsid w:val="0054183C"/>
    <w:rsid w:val="00541C70"/>
    <w:rsid w:val="00541DD8"/>
    <w:rsid w:val="00541ECD"/>
    <w:rsid w:val="0054227B"/>
    <w:rsid w:val="0054264A"/>
    <w:rsid w:val="0054411D"/>
    <w:rsid w:val="00544235"/>
    <w:rsid w:val="00544AB9"/>
    <w:rsid w:val="00545351"/>
    <w:rsid w:val="00545F05"/>
    <w:rsid w:val="005460DA"/>
    <w:rsid w:val="00546305"/>
    <w:rsid w:val="00546910"/>
    <w:rsid w:val="00546EBF"/>
    <w:rsid w:val="00546FC0"/>
    <w:rsid w:val="00547580"/>
    <w:rsid w:val="005518CC"/>
    <w:rsid w:val="00552441"/>
    <w:rsid w:val="00552535"/>
    <w:rsid w:val="00552FBA"/>
    <w:rsid w:val="005530C6"/>
    <w:rsid w:val="005539DC"/>
    <w:rsid w:val="00553B39"/>
    <w:rsid w:val="005543A0"/>
    <w:rsid w:val="00555FD3"/>
    <w:rsid w:val="0055646F"/>
    <w:rsid w:val="005565F0"/>
    <w:rsid w:val="00556E30"/>
    <w:rsid w:val="00557550"/>
    <w:rsid w:val="00557A00"/>
    <w:rsid w:val="0056081E"/>
    <w:rsid w:val="00561A7A"/>
    <w:rsid w:val="00562627"/>
    <w:rsid w:val="0056334A"/>
    <w:rsid w:val="0056360C"/>
    <w:rsid w:val="005636BB"/>
    <w:rsid w:val="0056373D"/>
    <w:rsid w:val="005637FC"/>
    <w:rsid w:val="005638D9"/>
    <w:rsid w:val="005641CC"/>
    <w:rsid w:val="005651C6"/>
    <w:rsid w:val="005652B6"/>
    <w:rsid w:val="005653D0"/>
    <w:rsid w:val="00565442"/>
    <w:rsid w:val="00565455"/>
    <w:rsid w:val="00565509"/>
    <w:rsid w:val="00565F50"/>
    <w:rsid w:val="00565FA2"/>
    <w:rsid w:val="00566176"/>
    <w:rsid w:val="0056665C"/>
    <w:rsid w:val="005667A2"/>
    <w:rsid w:val="00570CEE"/>
    <w:rsid w:val="00573FBC"/>
    <w:rsid w:val="005743CD"/>
    <w:rsid w:val="005748C7"/>
    <w:rsid w:val="00574D0D"/>
    <w:rsid w:val="00575BCF"/>
    <w:rsid w:val="00575CE1"/>
    <w:rsid w:val="00576689"/>
    <w:rsid w:val="00577189"/>
    <w:rsid w:val="005777A5"/>
    <w:rsid w:val="00577B4E"/>
    <w:rsid w:val="0058036E"/>
    <w:rsid w:val="00580C26"/>
    <w:rsid w:val="005819F0"/>
    <w:rsid w:val="0058309E"/>
    <w:rsid w:val="0058341F"/>
    <w:rsid w:val="00583424"/>
    <w:rsid w:val="00584615"/>
    <w:rsid w:val="00585155"/>
    <w:rsid w:val="00585272"/>
    <w:rsid w:val="00585283"/>
    <w:rsid w:val="00585580"/>
    <w:rsid w:val="00585F11"/>
    <w:rsid w:val="00586129"/>
    <w:rsid w:val="00586627"/>
    <w:rsid w:val="00586844"/>
    <w:rsid w:val="00586FBF"/>
    <w:rsid w:val="005871E1"/>
    <w:rsid w:val="00587288"/>
    <w:rsid w:val="0059045A"/>
    <w:rsid w:val="00590F14"/>
    <w:rsid w:val="005916B3"/>
    <w:rsid w:val="00592555"/>
    <w:rsid w:val="00592FC5"/>
    <w:rsid w:val="00593D75"/>
    <w:rsid w:val="00594457"/>
    <w:rsid w:val="00594671"/>
    <w:rsid w:val="005949CF"/>
    <w:rsid w:val="0059506A"/>
    <w:rsid w:val="00595294"/>
    <w:rsid w:val="00595B48"/>
    <w:rsid w:val="005967BD"/>
    <w:rsid w:val="00596FA9"/>
    <w:rsid w:val="005971D9"/>
    <w:rsid w:val="005A027E"/>
    <w:rsid w:val="005A0E13"/>
    <w:rsid w:val="005A0EDD"/>
    <w:rsid w:val="005A11C4"/>
    <w:rsid w:val="005A182E"/>
    <w:rsid w:val="005A2138"/>
    <w:rsid w:val="005A2653"/>
    <w:rsid w:val="005A2ACE"/>
    <w:rsid w:val="005A2F87"/>
    <w:rsid w:val="005A36C3"/>
    <w:rsid w:val="005A485F"/>
    <w:rsid w:val="005A4B91"/>
    <w:rsid w:val="005A4BE7"/>
    <w:rsid w:val="005A5111"/>
    <w:rsid w:val="005A5160"/>
    <w:rsid w:val="005A53D9"/>
    <w:rsid w:val="005A5B01"/>
    <w:rsid w:val="005A610B"/>
    <w:rsid w:val="005A72A6"/>
    <w:rsid w:val="005A776E"/>
    <w:rsid w:val="005A79E2"/>
    <w:rsid w:val="005A7AB4"/>
    <w:rsid w:val="005B0694"/>
    <w:rsid w:val="005B1B71"/>
    <w:rsid w:val="005B1F7B"/>
    <w:rsid w:val="005B243A"/>
    <w:rsid w:val="005B2539"/>
    <w:rsid w:val="005B2810"/>
    <w:rsid w:val="005B2BC2"/>
    <w:rsid w:val="005B3517"/>
    <w:rsid w:val="005B372F"/>
    <w:rsid w:val="005B4A17"/>
    <w:rsid w:val="005B7A41"/>
    <w:rsid w:val="005B7D06"/>
    <w:rsid w:val="005B7D6A"/>
    <w:rsid w:val="005C025F"/>
    <w:rsid w:val="005C05C5"/>
    <w:rsid w:val="005C0BCD"/>
    <w:rsid w:val="005C1199"/>
    <w:rsid w:val="005C15DD"/>
    <w:rsid w:val="005C2D7B"/>
    <w:rsid w:val="005C2F76"/>
    <w:rsid w:val="005C336E"/>
    <w:rsid w:val="005C3CEF"/>
    <w:rsid w:val="005C48F3"/>
    <w:rsid w:val="005C52A5"/>
    <w:rsid w:val="005C52C2"/>
    <w:rsid w:val="005C5315"/>
    <w:rsid w:val="005C5BE6"/>
    <w:rsid w:val="005C6517"/>
    <w:rsid w:val="005C667D"/>
    <w:rsid w:val="005C6CAF"/>
    <w:rsid w:val="005C70EE"/>
    <w:rsid w:val="005C73A7"/>
    <w:rsid w:val="005C7453"/>
    <w:rsid w:val="005C76EF"/>
    <w:rsid w:val="005C7BCE"/>
    <w:rsid w:val="005D0163"/>
    <w:rsid w:val="005D03B8"/>
    <w:rsid w:val="005D0997"/>
    <w:rsid w:val="005D1272"/>
    <w:rsid w:val="005D187A"/>
    <w:rsid w:val="005D1BF2"/>
    <w:rsid w:val="005D1DC7"/>
    <w:rsid w:val="005D28F0"/>
    <w:rsid w:val="005D34DA"/>
    <w:rsid w:val="005D3576"/>
    <w:rsid w:val="005D42EA"/>
    <w:rsid w:val="005D484A"/>
    <w:rsid w:val="005D4CD7"/>
    <w:rsid w:val="005D4F10"/>
    <w:rsid w:val="005D53CF"/>
    <w:rsid w:val="005D5C98"/>
    <w:rsid w:val="005D669D"/>
    <w:rsid w:val="005E1307"/>
    <w:rsid w:val="005E13E7"/>
    <w:rsid w:val="005E2104"/>
    <w:rsid w:val="005E26DC"/>
    <w:rsid w:val="005E2920"/>
    <w:rsid w:val="005E2A8D"/>
    <w:rsid w:val="005E2FC6"/>
    <w:rsid w:val="005E46C0"/>
    <w:rsid w:val="005E4DEC"/>
    <w:rsid w:val="005E539F"/>
    <w:rsid w:val="005E5774"/>
    <w:rsid w:val="005E61D7"/>
    <w:rsid w:val="005E61FC"/>
    <w:rsid w:val="005E645D"/>
    <w:rsid w:val="005E67B9"/>
    <w:rsid w:val="005E765A"/>
    <w:rsid w:val="005E7857"/>
    <w:rsid w:val="005E78AB"/>
    <w:rsid w:val="005E7FA0"/>
    <w:rsid w:val="005F0DEA"/>
    <w:rsid w:val="005F139A"/>
    <w:rsid w:val="005F1CFC"/>
    <w:rsid w:val="005F3383"/>
    <w:rsid w:val="005F358F"/>
    <w:rsid w:val="005F3BE7"/>
    <w:rsid w:val="005F3C3C"/>
    <w:rsid w:val="005F44B6"/>
    <w:rsid w:val="005F4595"/>
    <w:rsid w:val="005F4E4F"/>
    <w:rsid w:val="005F5236"/>
    <w:rsid w:val="005F5709"/>
    <w:rsid w:val="005F595D"/>
    <w:rsid w:val="005F5BB6"/>
    <w:rsid w:val="005F6260"/>
    <w:rsid w:val="005F62C4"/>
    <w:rsid w:val="006019A8"/>
    <w:rsid w:val="00602649"/>
    <w:rsid w:val="00603049"/>
    <w:rsid w:val="006032D4"/>
    <w:rsid w:val="0060338F"/>
    <w:rsid w:val="006039D6"/>
    <w:rsid w:val="00603BC5"/>
    <w:rsid w:val="00604432"/>
    <w:rsid w:val="00605834"/>
    <w:rsid w:val="00605C8F"/>
    <w:rsid w:val="00605CD2"/>
    <w:rsid w:val="0060620A"/>
    <w:rsid w:val="00606B2A"/>
    <w:rsid w:val="00606DC2"/>
    <w:rsid w:val="00607C93"/>
    <w:rsid w:val="00610352"/>
    <w:rsid w:val="00610EB1"/>
    <w:rsid w:val="006115DA"/>
    <w:rsid w:val="006136B7"/>
    <w:rsid w:val="00614236"/>
    <w:rsid w:val="006150CF"/>
    <w:rsid w:val="00615F27"/>
    <w:rsid w:val="006166F4"/>
    <w:rsid w:val="00616B2B"/>
    <w:rsid w:val="00617061"/>
    <w:rsid w:val="00617A8F"/>
    <w:rsid w:val="00620889"/>
    <w:rsid w:val="00620B12"/>
    <w:rsid w:val="006215EF"/>
    <w:rsid w:val="00622017"/>
    <w:rsid w:val="00622FD5"/>
    <w:rsid w:val="00623868"/>
    <w:rsid w:val="0062393D"/>
    <w:rsid w:val="00624593"/>
    <w:rsid w:val="00624867"/>
    <w:rsid w:val="00624B7F"/>
    <w:rsid w:val="006251B0"/>
    <w:rsid w:val="006257E3"/>
    <w:rsid w:val="00625A43"/>
    <w:rsid w:val="006264E9"/>
    <w:rsid w:val="00626E39"/>
    <w:rsid w:val="00627AC3"/>
    <w:rsid w:val="00627B1F"/>
    <w:rsid w:val="00627BEB"/>
    <w:rsid w:val="00627D36"/>
    <w:rsid w:val="00627E05"/>
    <w:rsid w:val="00627F0D"/>
    <w:rsid w:val="00630449"/>
    <w:rsid w:val="006304C7"/>
    <w:rsid w:val="006307F5"/>
    <w:rsid w:val="00630C57"/>
    <w:rsid w:val="00630E2F"/>
    <w:rsid w:val="0063144E"/>
    <w:rsid w:val="00631BB3"/>
    <w:rsid w:val="00631DBB"/>
    <w:rsid w:val="00631DEF"/>
    <w:rsid w:val="00631FF0"/>
    <w:rsid w:val="006320B8"/>
    <w:rsid w:val="00632AA7"/>
    <w:rsid w:val="006334A7"/>
    <w:rsid w:val="00633721"/>
    <w:rsid w:val="006350DA"/>
    <w:rsid w:val="006368AB"/>
    <w:rsid w:val="00636A00"/>
    <w:rsid w:val="006375E5"/>
    <w:rsid w:val="006378EF"/>
    <w:rsid w:val="00637902"/>
    <w:rsid w:val="006417BB"/>
    <w:rsid w:val="006419FB"/>
    <w:rsid w:val="00641A0A"/>
    <w:rsid w:val="00641A19"/>
    <w:rsid w:val="00643083"/>
    <w:rsid w:val="00643588"/>
    <w:rsid w:val="00645EF1"/>
    <w:rsid w:val="0064627D"/>
    <w:rsid w:val="0064638E"/>
    <w:rsid w:val="00650D74"/>
    <w:rsid w:val="00651784"/>
    <w:rsid w:val="006519DA"/>
    <w:rsid w:val="00651C1F"/>
    <w:rsid w:val="00651C2B"/>
    <w:rsid w:val="00651E2E"/>
    <w:rsid w:val="0065311E"/>
    <w:rsid w:val="00654D9E"/>
    <w:rsid w:val="00654FFF"/>
    <w:rsid w:val="006550B4"/>
    <w:rsid w:val="006554CC"/>
    <w:rsid w:val="00655714"/>
    <w:rsid w:val="006557A8"/>
    <w:rsid w:val="006559A5"/>
    <w:rsid w:val="00655E41"/>
    <w:rsid w:val="00655E65"/>
    <w:rsid w:val="006567A7"/>
    <w:rsid w:val="00656864"/>
    <w:rsid w:val="0065759D"/>
    <w:rsid w:val="0066001C"/>
    <w:rsid w:val="00660495"/>
    <w:rsid w:val="0066162F"/>
    <w:rsid w:val="0066168F"/>
    <w:rsid w:val="00661DFA"/>
    <w:rsid w:val="00662A75"/>
    <w:rsid w:val="00662CA4"/>
    <w:rsid w:val="00663479"/>
    <w:rsid w:val="006634AB"/>
    <w:rsid w:val="0066387E"/>
    <w:rsid w:val="00663B49"/>
    <w:rsid w:val="00663F40"/>
    <w:rsid w:val="0066458C"/>
    <w:rsid w:val="00664B2C"/>
    <w:rsid w:val="00664BC4"/>
    <w:rsid w:val="00665206"/>
    <w:rsid w:val="00665298"/>
    <w:rsid w:val="00665A95"/>
    <w:rsid w:val="00665C0B"/>
    <w:rsid w:val="006662DC"/>
    <w:rsid w:val="00667210"/>
    <w:rsid w:val="006673C0"/>
    <w:rsid w:val="00670263"/>
    <w:rsid w:val="00670857"/>
    <w:rsid w:val="00670B76"/>
    <w:rsid w:val="00670EC9"/>
    <w:rsid w:val="00671C6B"/>
    <w:rsid w:val="006721F8"/>
    <w:rsid w:val="00672580"/>
    <w:rsid w:val="00672609"/>
    <w:rsid w:val="00672A57"/>
    <w:rsid w:val="00672D10"/>
    <w:rsid w:val="00672D57"/>
    <w:rsid w:val="0067309A"/>
    <w:rsid w:val="00674C75"/>
    <w:rsid w:val="00675345"/>
    <w:rsid w:val="00675D1D"/>
    <w:rsid w:val="00676087"/>
    <w:rsid w:val="006809F1"/>
    <w:rsid w:val="00681614"/>
    <w:rsid w:val="00681839"/>
    <w:rsid w:val="00681968"/>
    <w:rsid w:val="00682266"/>
    <w:rsid w:val="00682300"/>
    <w:rsid w:val="006834A6"/>
    <w:rsid w:val="0068352A"/>
    <w:rsid w:val="00683F24"/>
    <w:rsid w:val="006840BF"/>
    <w:rsid w:val="00684E37"/>
    <w:rsid w:val="00684FA1"/>
    <w:rsid w:val="00685332"/>
    <w:rsid w:val="006860D8"/>
    <w:rsid w:val="006865A0"/>
    <w:rsid w:val="00686A4F"/>
    <w:rsid w:val="0069134E"/>
    <w:rsid w:val="0069138A"/>
    <w:rsid w:val="00692009"/>
    <w:rsid w:val="0069290F"/>
    <w:rsid w:val="006931D0"/>
    <w:rsid w:val="00693CF4"/>
    <w:rsid w:val="0069424B"/>
    <w:rsid w:val="00694EFC"/>
    <w:rsid w:val="0069530E"/>
    <w:rsid w:val="00695439"/>
    <w:rsid w:val="006958EA"/>
    <w:rsid w:val="00695C53"/>
    <w:rsid w:val="00695E1E"/>
    <w:rsid w:val="00696016"/>
    <w:rsid w:val="006964B5"/>
    <w:rsid w:val="00696F5D"/>
    <w:rsid w:val="0069755D"/>
    <w:rsid w:val="0069785E"/>
    <w:rsid w:val="00697C71"/>
    <w:rsid w:val="00697D5B"/>
    <w:rsid w:val="006A025C"/>
    <w:rsid w:val="006A16EB"/>
    <w:rsid w:val="006A21EC"/>
    <w:rsid w:val="006A291F"/>
    <w:rsid w:val="006A2C3C"/>
    <w:rsid w:val="006A2ECD"/>
    <w:rsid w:val="006A35F4"/>
    <w:rsid w:val="006A3736"/>
    <w:rsid w:val="006A3F63"/>
    <w:rsid w:val="006A402E"/>
    <w:rsid w:val="006A5860"/>
    <w:rsid w:val="006A5D2B"/>
    <w:rsid w:val="006A623A"/>
    <w:rsid w:val="006A6C96"/>
    <w:rsid w:val="006A6D02"/>
    <w:rsid w:val="006A6E34"/>
    <w:rsid w:val="006A735F"/>
    <w:rsid w:val="006A748B"/>
    <w:rsid w:val="006A763D"/>
    <w:rsid w:val="006A7C7C"/>
    <w:rsid w:val="006B004B"/>
    <w:rsid w:val="006B15A8"/>
    <w:rsid w:val="006B1B30"/>
    <w:rsid w:val="006B2630"/>
    <w:rsid w:val="006B2920"/>
    <w:rsid w:val="006B32C5"/>
    <w:rsid w:val="006B3C6A"/>
    <w:rsid w:val="006B503A"/>
    <w:rsid w:val="006B524B"/>
    <w:rsid w:val="006B557D"/>
    <w:rsid w:val="006B564E"/>
    <w:rsid w:val="006B72D0"/>
    <w:rsid w:val="006B7C13"/>
    <w:rsid w:val="006C00EB"/>
    <w:rsid w:val="006C0BDE"/>
    <w:rsid w:val="006C1034"/>
    <w:rsid w:val="006C13CD"/>
    <w:rsid w:val="006C17ED"/>
    <w:rsid w:val="006C20AC"/>
    <w:rsid w:val="006C2603"/>
    <w:rsid w:val="006C38E0"/>
    <w:rsid w:val="006C46A2"/>
    <w:rsid w:val="006C4CF0"/>
    <w:rsid w:val="006C7EF9"/>
    <w:rsid w:val="006C7F77"/>
    <w:rsid w:val="006D02B3"/>
    <w:rsid w:val="006D06FE"/>
    <w:rsid w:val="006D0FC4"/>
    <w:rsid w:val="006D1065"/>
    <w:rsid w:val="006D1A1E"/>
    <w:rsid w:val="006D1A9B"/>
    <w:rsid w:val="006D1FA9"/>
    <w:rsid w:val="006D3241"/>
    <w:rsid w:val="006D41DE"/>
    <w:rsid w:val="006D4688"/>
    <w:rsid w:val="006D48D1"/>
    <w:rsid w:val="006D4F69"/>
    <w:rsid w:val="006D6809"/>
    <w:rsid w:val="006D73A0"/>
    <w:rsid w:val="006D7A2F"/>
    <w:rsid w:val="006D7FE5"/>
    <w:rsid w:val="006E1ED3"/>
    <w:rsid w:val="006E21FF"/>
    <w:rsid w:val="006E250C"/>
    <w:rsid w:val="006E3CBF"/>
    <w:rsid w:val="006E3EDF"/>
    <w:rsid w:val="006E5DB2"/>
    <w:rsid w:val="006E6387"/>
    <w:rsid w:val="006E66B2"/>
    <w:rsid w:val="006E6EFD"/>
    <w:rsid w:val="006E7342"/>
    <w:rsid w:val="006E755B"/>
    <w:rsid w:val="006E78F8"/>
    <w:rsid w:val="006F15C1"/>
    <w:rsid w:val="006F19AC"/>
    <w:rsid w:val="006F1FC9"/>
    <w:rsid w:val="006F26A9"/>
    <w:rsid w:val="006F2A37"/>
    <w:rsid w:val="006F2F6F"/>
    <w:rsid w:val="006F4402"/>
    <w:rsid w:val="006F4807"/>
    <w:rsid w:val="006F490D"/>
    <w:rsid w:val="006F4AAD"/>
    <w:rsid w:val="006F4D14"/>
    <w:rsid w:val="006F5BD1"/>
    <w:rsid w:val="006F60C2"/>
    <w:rsid w:val="006F6D31"/>
    <w:rsid w:val="006F75B1"/>
    <w:rsid w:val="007003B5"/>
    <w:rsid w:val="00702384"/>
    <w:rsid w:val="007025B1"/>
    <w:rsid w:val="007030AF"/>
    <w:rsid w:val="0070417E"/>
    <w:rsid w:val="007045C4"/>
    <w:rsid w:val="007047FB"/>
    <w:rsid w:val="007057D0"/>
    <w:rsid w:val="00706666"/>
    <w:rsid w:val="007069BB"/>
    <w:rsid w:val="00707486"/>
    <w:rsid w:val="00707B28"/>
    <w:rsid w:val="00707C1B"/>
    <w:rsid w:val="0071004D"/>
    <w:rsid w:val="007105C5"/>
    <w:rsid w:val="00710B0E"/>
    <w:rsid w:val="00711403"/>
    <w:rsid w:val="00712A94"/>
    <w:rsid w:val="00712C4C"/>
    <w:rsid w:val="00712D62"/>
    <w:rsid w:val="00713358"/>
    <w:rsid w:val="007134B2"/>
    <w:rsid w:val="0071368B"/>
    <w:rsid w:val="00713A75"/>
    <w:rsid w:val="00713E31"/>
    <w:rsid w:val="00715D16"/>
    <w:rsid w:val="007165E8"/>
    <w:rsid w:val="00716EE2"/>
    <w:rsid w:val="007177BA"/>
    <w:rsid w:val="00720925"/>
    <w:rsid w:val="0072310F"/>
    <w:rsid w:val="007233F3"/>
    <w:rsid w:val="0072349F"/>
    <w:rsid w:val="00724713"/>
    <w:rsid w:val="0072629D"/>
    <w:rsid w:val="00726F39"/>
    <w:rsid w:val="00727167"/>
    <w:rsid w:val="007277CA"/>
    <w:rsid w:val="00727E2F"/>
    <w:rsid w:val="00727E92"/>
    <w:rsid w:val="00727EC0"/>
    <w:rsid w:val="00730800"/>
    <w:rsid w:val="00731F54"/>
    <w:rsid w:val="007327F2"/>
    <w:rsid w:val="00732AC2"/>
    <w:rsid w:val="00733E45"/>
    <w:rsid w:val="00734445"/>
    <w:rsid w:val="007348A2"/>
    <w:rsid w:val="00734A15"/>
    <w:rsid w:val="00734A1D"/>
    <w:rsid w:val="00734F25"/>
    <w:rsid w:val="007358AC"/>
    <w:rsid w:val="00735C54"/>
    <w:rsid w:val="00736950"/>
    <w:rsid w:val="00737DB4"/>
    <w:rsid w:val="00742595"/>
    <w:rsid w:val="0074273A"/>
    <w:rsid w:val="00743D1F"/>
    <w:rsid w:val="007444E8"/>
    <w:rsid w:val="00744991"/>
    <w:rsid w:val="00745D78"/>
    <w:rsid w:val="007478B5"/>
    <w:rsid w:val="00750A48"/>
    <w:rsid w:val="007517F2"/>
    <w:rsid w:val="007522C8"/>
    <w:rsid w:val="00752359"/>
    <w:rsid w:val="0075267F"/>
    <w:rsid w:val="007526A8"/>
    <w:rsid w:val="00752B70"/>
    <w:rsid w:val="00753226"/>
    <w:rsid w:val="00753276"/>
    <w:rsid w:val="007532E6"/>
    <w:rsid w:val="00753366"/>
    <w:rsid w:val="007536F3"/>
    <w:rsid w:val="00753DE2"/>
    <w:rsid w:val="00754048"/>
    <w:rsid w:val="00754B1E"/>
    <w:rsid w:val="00754BA7"/>
    <w:rsid w:val="00754C99"/>
    <w:rsid w:val="00755168"/>
    <w:rsid w:val="0075530C"/>
    <w:rsid w:val="00757823"/>
    <w:rsid w:val="00760A97"/>
    <w:rsid w:val="00760E13"/>
    <w:rsid w:val="007613FC"/>
    <w:rsid w:val="00762DBB"/>
    <w:rsid w:val="007638F6"/>
    <w:rsid w:val="007647DA"/>
    <w:rsid w:val="00764E8E"/>
    <w:rsid w:val="0076511A"/>
    <w:rsid w:val="007654F7"/>
    <w:rsid w:val="00765C7D"/>
    <w:rsid w:val="00765D57"/>
    <w:rsid w:val="00765F21"/>
    <w:rsid w:val="007661E4"/>
    <w:rsid w:val="007667C2"/>
    <w:rsid w:val="0076694D"/>
    <w:rsid w:val="00766B7A"/>
    <w:rsid w:val="00766E0B"/>
    <w:rsid w:val="007670D7"/>
    <w:rsid w:val="00770618"/>
    <w:rsid w:val="0077110A"/>
    <w:rsid w:val="00771D95"/>
    <w:rsid w:val="007725C8"/>
    <w:rsid w:val="00772D3F"/>
    <w:rsid w:val="007739A8"/>
    <w:rsid w:val="00773B51"/>
    <w:rsid w:val="00773BA6"/>
    <w:rsid w:val="00773EB5"/>
    <w:rsid w:val="00774992"/>
    <w:rsid w:val="007755B0"/>
    <w:rsid w:val="00775CBE"/>
    <w:rsid w:val="00775F3A"/>
    <w:rsid w:val="00776212"/>
    <w:rsid w:val="00776E2C"/>
    <w:rsid w:val="0078030A"/>
    <w:rsid w:val="00780374"/>
    <w:rsid w:val="00780FC8"/>
    <w:rsid w:val="00781345"/>
    <w:rsid w:val="00781414"/>
    <w:rsid w:val="007818ED"/>
    <w:rsid w:val="00781A47"/>
    <w:rsid w:val="00781D9B"/>
    <w:rsid w:val="00781E8A"/>
    <w:rsid w:val="00782086"/>
    <w:rsid w:val="00782847"/>
    <w:rsid w:val="00782CB3"/>
    <w:rsid w:val="00782F06"/>
    <w:rsid w:val="0078336B"/>
    <w:rsid w:val="00783A01"/>
    <w:rsid w:val="00784357"/>
    <w:rsid w:val="00785148"/>
    <w:rsid w:val="007855BD"/>
    <w:rsid w:val="00785969"/>
    <w:rsid w:val="00785FAE"/>
    <w:rsid w:val="00786CF9"/>
    <w:rsid w:val="00786D4B"/>
    <w:rsid w:val="00786DB8"/>
    <w:rsid w:val="00786E55"/>
    <w:rsid w:val="00787156"/>
    <w:rsid w:val="0078743A"/>
    <w:rsid w:val="00790681"/>
    <w:rsid w:val="00790D5D"/>
    <w:rsid w:val="00791893"/>
    <w:rsid w:val="00791ED3"/>
    <w:rsid w:val="00793B08"/>
    <w:rsid w:val="0079430E"/>
    <w:rsid w:val="00794474"/>
    <w:rsid w:val="00794943"/>
    <w:rsid w:val="007956DD"/>
    <w:rsid w:val="00795710"/>
    <w:rsid w:val="00796440"/>
    <w:rsid w:val="00796E29"/>
    <w:rsid w:val="00796F11"/>
    <w:rsid w:val="007974E0"/>
    <w:rsid w:val="007978FF"/>
    <w:rsid w:val="007A0AB0"/>
    <w:rsid w:val="007A0AE9"/>
    <w:rsid w:val="007A141B"/>
    <w:rsid w:val="007A191E"/>
    <w:rsid w:val="007A268E"/>
    <w:rsid w:val="007A35BA"/>
    <w:rsid w:val="007A3D7F"/>
    <w:rsid w:val="007A4A15"/>
    <w:rsid w:val="007A5AE9"/>
    <w:rsid w:val="007A73AB"/>
    <w:rsid w:val="007A7871"/>
    <w:rsid w:val="007A7FA7"/>
    <w:rsid w:val="007A7FF4"/>
    <w:rsid w:val="007B043C"/>
    <w:rsid w:val="007B16F4"/>
    <w:rsid w:val="007B1705"/>
    <w:rsid w:val="007B1D0D"/>
    <w:rsid w:val="007B245C"/>
    <w:rsid w:val="007B317A"/>
    <w:rsid w:val="007B522C"/>
    <w:rsid w:val="007B5377"/>
    <w:rsid w:val="007B5C40"/>
    <w:rsid w:val="007B626C"/>
    <w:rsid w:val="007B6872"/>
    <w:rsid w:val="007B770A"/>
    <w:rsid w:val="007B7A28"/>
    <w:rsid w:val="007B7A51"/>
    <w:rsid w:val="007C07C4"/>
    <w:rsid w:val="007C1CA0"/>
    <w:rsid w:val="007C2FCA"/>
    <w:rsid w:val="007C33BF"/>
    <w:rsid w:val="007C3695"/>
    <w:rsid w:val="007C50C9"/>
    <w:rsid w:val="007C5D04"/>
    <w:rsid w:val="007C5D64"/>
    <w:rsid w:val="007C6C5F"/>
    <w:rsid w:val="007C769A"/>
    <w:rsid w:val="007C7A5E"/>
    <w:rsid w:val="007C7EF7"/>
    <w:rsid w:val="007D0A60"/>
    <w:rsid w:val="007D0C22"/>
    <w:rsid w:val="007D1818"/>
    <w:rsid w:val="007D1BD5"/>
    <w:rsid w:val="007D38CD"/>
    <w:rsid w:val="007D397C"/>
    <w:rsid w:val="007D4B91"/>
    <w:rsid w:val="007D4CAA"/>
    <w:rsid w:val="007D6967"/>
    <w:rsid w:val="007D755B"/>
    <w:rsid w:val="007D77A3"/>
    <w:rsid w:val="007E01A1"/>
    <w:rsid w:val="007E064E"/>
    <w:rsid w:val="007E0705"/>
    <w:rsid w:val="007E0720"/>
    <w:rsid w:val="007E072B"/>
    <w:rsid w:val="007E088E"/>
    <w:rsid w:val="007E122E"/>
    <w:rsid w:val="007E1705"/>
    <w:rsid w:val="007E17B2"/>
    <w:rsid w:val="007E1965"/>
    <w:rsid w:val="007E1F99"/>
    <w:rsid w:val="007E3228"/>
    <w:rsid w:val="007E34D1"/>
    <w:rsid w:val="007E39B1"/>
    <w:rsid w:val="007E4623"/>
    <w:rsid w:val="007E4B1D"/>
    <w:rsid w:val="007E4DEB"/>
    <w:rsid w:val="007E5008"/>
    <w:rsid w:val="007E5186"/>
    <w:rsid w:val="007E542C"/>
    <w:rsid w:val="007E55A0"/>
    <w:rsid w:val="007E598D"/>
    <w:rsid w:val="007E5E77"/>
    <w:rsid w:val="007E61D5"/>
    <w:rsid w:val="007E6B55"/>
    <w:rsid w:val="007E70AD"/>
    <w:rsid w:val="007E7DE8"/>
    <w:rsid w:val="007E7E53"/>
    <w:rsid w:val="007F0A4C"/>
    <w:rsid w:val="007F0AAA"/>
    <w:rsid w:val="007F17E1"/>
    <w:rsid w:val="007F26BF"/>
    <w:rsid w:val="007F2E06"/>
    <w:rsid w:val="007F2F63"/>
    <w:rsid w:val="007F4E45"/>
    <w:rsid w:val="007F5357"/>
    <w:rsid w:val="007F5720"/>
    <w:rsid w:val="007F5F23"/>
    <w:rsid w:val="007F6A15"/>
    <w:rsid w:val="007F717A"/>
    <w:rsid w:val="007F7656"/>
    <w:rsid w:val="007F784D"/>
    <w:rsid w:val="0080000F"/>
    <w:rsid w:val="0080079B"/>
    <w:rsid w:val="008007D3"/>
    <w:rsid w:val="008007E2"/>
    <w:rsid w:val="0080085F"/>
    <w:rsid w:val="00800D94"/>
    <w:rsid w:val="00802757"/>
    <w:rsid w:val="00802ADE"/>
    <w:rsid w:val="00803572"/>
    <w:rsid w:val="00803DBD"/>
    <w:rsid w:val="00804D70"/>
    <w:rsid w:val="008052FC"/>
    <w:rsid w:val="00805B1E"/>
    <w:rsid w:val="00805E38"/>
    <w:rsid w:val="008060E2"/>
    <w:rsid w:val="008064A2"/>
    <w:rsid w:val="00806953"/>
    <w:rsid w:val="008073F2"/>
    <w:rsid w:val="00807D5A"/>
    <w:rsid w:val="00810862"/>
    <w:rsid w:val="008110F9"/>
    <w:rsid w:val="00812A62"/>
    <w:rsid w:val="00814647"/>
    <w:rsid w:val="00814C24"/>
    <w:rsid w:val="00814D1E"/>
    <w:rsid w:val="0081587C"/>
    <w:rsid w:val="00816E43"/>
    <w:rsid w:val="00816FCC"/>
    <w:rsid w:val="00820166"/>
    <w:rsid w:val="00820B40"/>
    <w:rsid w:val="0082251F"/>
    <w:rsid w:val="00822D7F"/>
    <w:rsid w:val="008241D8"/>
    <w:rsid w:val="0082524D"/>
    <w:rsid w:val="00825AE6"/>
    <w:rsid w:val="00826630"/>
    <w:rsid w:val="00826BB3"/>
    <w:rsid w:val="00827119"/>
    <w:rsid w:val="00827ACF"/>
    <w:rsid w:val="0083041D"/>
    <w:rsid w:val="0083115F"/>
    <w:rsid w:val="00831234"/>
    <w:rsid w:val="00834985"/>
    <w:rsid w:val="00834BB1"/>
    <w:rsid w:val="00836654"/>
    <w:rsid w:val="00836845"/>
    <w:rsid w:val="00836D30"/>
    <w:rsid w:val="00836E36"/>
    <w:rsid w:val="00837E40"/>
    <w:rsid w:val="0084044A"/>
    <w:rsid w:val="0084179D"/>
    <w:rsid w:val="0084181F"/>
    <w:rsid w:val="0084189C"/>
    <w:rsid w:val="00841B2B"/>
    <w:rsid w:val="00841D6C"/>
    <w:rsid w:val="008422DF"/>
    <w:rsid w:val="00842B46"/>
    <w:rsid w:val="00843E2F"/>
    <w:rsid w:val="0084574A"/>
    <w:rsid w:val="00846032"/>
    <w:rsid w:val="0084631A"/>
    <w:rsid w:val="008476BE"/>
    <w:rsid w:val="00847F7F"/>
    <w:rsid w:val="0085014D"/>
    <w:rsid w:val="00850762"/>
    <w:rsid w:val="00850BBC"/>
    <w:rsid w:val="00851A80"/>
    <w:rsid w:val="00852AD0"/>
    <w:rsid w:val="00852BCB"/>
    <w:rsid w:val="008533B3"/>
    <w:rsid w:val="008547D6"/>
    <w:rsid w:val="0085488E"/>
    <w:rsid w:val="008549CC"/>
    <w:rsid w:val="00854C98"/>
    <w:rsid w:val="008558E2"/>
    <w:rsid w:val="008558F5"/>
    <w:rsid w:val="00855E7E"/>
    <w:rsid w:val="00856285"/>
    <w:rsid w:val="008566B4"/>
    <w:rsid w:val="008566C6"/>
    <w:rsid w:val="008602A5"/>
    <w:rsid w:val="00860482"/>
    <w:rsid w:val="0086083F"/>
    <w:rsid w:val="00860929"/>
    <w:rsid w:val="0086118C"/>
    <w:rsid w:val="0086146D"/>
    <w:rsid w:val="008614A4"/>
    <w:rsid w:val="008626BB"/>
    <w:rsid w:val="00862709"/>
    <w:rsid w:val="00863DF4"/>
    <w:rsid w:val="008647ED"/>
    <w:rsid w:val="00865375"/>
    <w:rsid w:val="008668EE"/>
    <w:rsid w:val="00866F06"/>
    <w:rsid w:val="008675B9"/>
    <w:rsid w:val="00867B9C"/>
    <w:rsid w:val="00867DD6"/>
    <w:rsid w:val="00870270"/>
    <w:rsid w:val="00870768"/>
    <w:rsid w:val="00870D45"/>
    <w:rsid w:val="00870F53"/>
    <w:rsid w:val="008717B7"/>
    <w:rsid w:val="00872213"/>
    <w:rsid w:val="00872ED4"/>
    <w:rsid w:val="008734CE"/>
    <w:rsid w:val="00873539"/>
    <w:rsid w:val="00873C7B"/>
    <w:rsid w:val="00873E75"/>
    <w:rsid w:val="00874FC7"/>
    <w:rsid w:val="008757D4"/>
    <w:rsid w:val="008757EF"/>
    <w:rsid w:val="00875E13"/>
    <w:rsid w:val="008769D7"/>
    <w:rsid w:val="008771AC"/>
    <w:rsid w:val="0087748E"/>
    <w:rsid w:val="00877980"/>
    <w:rsid w:val="00877CF7"/>
    <w:rsid w:val="0088338C"/>
    <w:rsid w:val="00883462"/>
    <w:rsid w:val="00885A38"/>
    <w:rsid w:val="00885E88"/>
    <w:rsid w:val="008900B9"/>
    <w:rsid w:val="0089030F"/>
    <w:rsid w:val="008904D5"/>
    <w:rsid w:val="008908E9"/>
    <w:rsid w:val="00891085"/>
    <w:rsid w:val="00891B8A"/>
    <w:rsid w:val="00891D89"/>
    <w:rsid w:val="00891D9A"/>
    <w:rsid w:val="00891E68"/>
    <w:rsid w:val="00893316"/>
    <w:rsid w:val="00893431"/>
    <w:rsid w:val="008939FE"/>
    <w:rsid w:val="00893B19"/>
    <w:rsid w:val="00893CC3"/>
    <w:rsid w:val="0089457E"/>
    <w:rsid w:val="0089490E"/>
    <w:rsid w:val="00896E63"/>
    <w:rsid w:val="00897551"/>
    <w:rsid w:val="008A05EE"/>
    <w:rsid w:val="008A0CCE"/>
    <w:rsid w:val="008A0E44"/>
    <w:rsid w:val="008A104E"/>
    <w:rsid w:val="008A16A7"/>
    <w:rsid w:val="008A1BE2"/>
    <w:rsid w:val="008A3041"/>
    <w:rsid w:val="008A33F2"/>
    <w:rsid w:val="008A359B"/>
    <w:rsid w:val="008A4057"/>
    <w:rsid w:val="008A5A6A"/>
    <w:rsid w:val="008A6405"/>
    <w:rsid w:val="008A66F1"/>
    <w:rsid w:val="008A7417"/>
    <w:rsid w:val="008A7BE0"/>
    <w:rsid w:val="008A7CEF"/>
    <w:rsid w:val="008B09C2"/>
    <w:rsid w:val="008B11F9"/>
    <w:rsid w:val="008B2AE3"/>
    <w:rsid w:val="008B31BC"/>
    <w:rsid w:val="008B4168"/>
    <w:rsid w:val="008B4792"/>
    <w:rsid w:val="008B47A0"/>
    <w:rsid w:val="008B4983"/>
    <w:rsid w:val="008B50AD"/>
    <w:rsid w:val="008B552E"/>
    <w:rsid w:val="008B6176"/>
    <w:rsid w:val="008B6F0B"/>
    <w:rsid w:val="008C02D0"/>
    <w:rsid w:val="008C0932"/>
    <w:rsid w:val="008C10B6"/>
    <w:rsid w:val="008C1926"/>
    <w:rsid w:val="008C248F"/>
    <w:rsid w:val="008C251F"/>
    <w:rsid w:val="008C2B10"/>
    <w:rsid w:val="008C3356"/>
    <w:rsid w:val="008C3613"/>
    <w:rsid w:val="008C437F"/>
    <w:rsid w:val="008C4AF4"/>
    <w:rsid w:val="008C5465"/>
    <w:rsid w:val="008C64B4"/>
    <w:rsid w:val="008C6B1E"/>
    <w:rsid w:val="008C6B6F"/>
    <w:rsid w:val="008C707F"/>
    <w:rsid w:val="008D0387"/>
    <w:rsid w:val="008D05B1"/>
    <w:rsid w:val="008D1A63"/>
    <w:rsid w:val="008D24E4"/>
    <w:rsid w:val="008D2C76"/>
    <w:rsid w:val="008D2E29"/>
    <w:rsid w:val="008D2FCB"/>
    <w:rsid w:val="008D303B"/>
    <w:rsid w:val="008D3442"/>
    <w:rsid w:val="008D3EE8"/>
    <w:rsid w:val="008D3F01"/>
    <w:rsid w:val="008D4E51"/>
    <w:rsid w:val="008D53E8"/>
    <w:rsid w:val="008D5AB8"/>
    <w:rsid w:val="008D5C15"/>
    <w:rsid w:val="008D623F"/>
    <w:rsid w:val="008D6720"/>
    <w:rsid w:val="008D6832"/>
    <w:rsid w:val="008D6CBE"/>
    <w:rsid w:val="008D7502"/>
    <w:rsid w:val="008D750C"/>
    <w:rsid w:val="008E0052"/>
    <w:rsid w:val="008E09E1"/>
    <w:rsid w:val="008E13A7"/>
    <w:rsid w:val="008E31A6"/>
    <w:rsid w:val="008E360B"/>
    <w:rsid w:val="008E4A9A"/>
    <w:rsid w:val="008E4BAD"/>
    <w:rsid w:val="008E4CCE"/>
    <w:rsid w:val="008E511D"/>
    <w:rsid w:val="008E59CA"/>
    <w:rsid w:val="008E5F06"/>
    <w:rsid w:val="008E5F77"/>
    <w:rsid w:val="008E6680"/>
    <w:rsid w:val="008E6BF2"/>
    <w:rsid w:val="008E6EBD"/>
    <w:rsid w:val="008E743D"/>
    <w:rsid w:val="008E7E9B"/>
    <w:rsid w:val="008F0C6F"/>
    <w:rsid w:val="008F0FE6"/>
    <w:rsid w:val="008F1D85"/>
    <w:rsid w:val="008F2C43"/>
    <w:rsid w:val="008F2D56"/>
    <w:rsid w:val="008F2FF8"/>
    <w:rsid w:val="008F3105"/>
    <w:rsid w:val="008F3177"/>
    <w:rsid w:val="008F3D48"/>
    <w:rsid w:val="008F46DE"/>
    <w:rsid w:val="008F4F09"/>
    <w:rsid w:val="008F4F11"/>
    <w:rsid w:val="008F5249"/>
    <w:rsid w:val="008F6211"/>
    <w:rsid w:val="008F66D7"/>
    <w:rsid w:val="008F702D"/>
    <w:rsid w:val="008F7206"/>
    <w:rsid w:val="008F72D2"/>
    <w:rsid w:val="008F7909"/>
    <w:rsid w:val="009004E0"/>
    <w:rsid w:val="00900EAF"/>
    <w:rsid w:val="009015B3"/>
    <w:rsid w:val="00902233"/>
    <w:rsid w:val="0090320B"/>
    <w:rsid w:val="00905651"/>
    <w:rsid w:val="009062B4"/>
    <w:rsid w:val="0090640A"/>
    <w:rsid w:val="00906A0B"/>
    <w:rsid w:val="00910556"/>
    <w:rsid w:val="00910EFD"/>
    <w:rsid w:val="00911F48"/>
    <w:rsid w:val="009123F0"/>
    <w:rsid w:val="0091299D"/>
    <w:rsid w:val="00913665"/>
    <w:rsid w:val="00913669"/>
    <w:rsid w:val="009138EE"/>
    <w:rsid w:val="00913962"/>
    <w:rsid w:val="00913C00"/>
    <w:rsid w:val="00914679"/>
    <w:rsid w:val="00915C29"/>
    <w:rsid w:val="009165D6"/>
    <w:rsid w:val="00917D2A"/>
    <w:rsid w:val="009209A1"/>
    <w:rsid w:val="00921C5D"/>
    <w:rsid w:val="00921CD1"/>
    <w:rsid w:val="00923AED"/>
    <w:rsid w:val="0092433F"/>
    <w:rsid w:val="00926772"/>
    <w:rsid w:val="00926786"/>
    <w:rsid w:val="00927DC0"/>
    <w:rsid w:val="0093017F"/>
    <w:rsid w:val="00930BFB"/>
    <w:rsid w:val="009336C1"/>
    <w:rsid w:val="00933B1C"/>
    <w:rsid w:val="00934A28"/>
    <w:rsid w:val="00935124"/>
    <w:rsid w:val="00936B39"/>
    <w:rsid w:val="009371C8"/>
    <w:rsid w:val="0093736D"/>
    <w:rsid w:val="00940005"/>
    <w:rsid w:val="00940447"/>
    <w:rsid w:val="00940741"/>
    <w:rsid w:val="009411B0"/>
    <w:rsid w:val="00941D96"/>
    <w:rsid w:val="00941F99"/>
    <w:rsid w:val="0094215D"/>
    <w:rsid w:val="00943858"/>
    <w:rsid w:val="009450D6"/>
    <w:rsid w:val="00946097"/>
    <w:rsid w:val="00946A20"/>
    <w:rsid w:val="00947D5F"/>
    <w:rsid w:val="0095082F"/>
    <w:rsid w:val="0095084A"/>
    <w:rsid w:val="00951BF2"/>
    <w:rsid w:val="00951FFB"/>
    <w:rsid w:val="009522BD"/>
    <w:rsid w:val="00952A3B"/>
    <w:rsid w:val="0095333B"/>
    <w:rsid w:val="00954105"/>
    <w:rsid w:val="0095460D"/>
    <w:rsid w:val="00956566"/>
    <w:rsid w:val="0095785F"/>
    <w:rsid w:val="00957FB6"/>
    <w:rsid w:val="00960AF4"/>
    <w:rsid w:val="00961F5A"/>
    <w:rsid w:val="00962319"/>
    <w:rsid w:val="00963766"/>
    <w:rsid w:val="00963D96"/>
    <w:rsid w:val="0096414B"/>
    <w:rsid w:val="00964B6A"/>
    <w:rsid w:val="009652DC"/>
    <w:rsid w:val="00965722"/>
    <w:rsid w:val="009669B6"/>
    <w:rsid w:val="00966D14"/>
    <w:rsid w:val="00966EFF"/>
    <w:rsid w:val="009672F3"/>
    <w:rsid w:val="0096778A"/>
    <w:rsid w:val="00967A7D"/>
    <w:rsid w:val="00970649"/>
    <w:rsid w:val="00970B3A"/>
    <w:rsid w:val="009713F3"/>
    <w:rsid w:val="009714FB"/>
    <w:rsid w:val="009720BB"/>
    <w:rsid w:val="009721F0"/>
    <w:rsid w:val="009722E1"/>
    <w:rsid w:val="00972E70"/>
    <w:rsid w:val="00973ACE"/>
    <w:rsid w:val="00973C0B"/>
    <w:rsid w:val="00974D0D"/>
    <w:rsid w:val="009752CD"/>
    <w:rsid w:val="00975A01"/>
    <w:rsid w:val="00976132"/>
    <w:rsid w:val="009776AB"/>
    <w:rsid w:val="00977897"/>
    <w:rsid w:val="009809CB"/>
    <w:rsid w:val="00980ADA"/>
    <w:rsid w:val="00981B56"/>
    <w:rsid w:val="0098294E"/>
    <w:rsid w:val="00982A31"/>
    <w:rsid w:val="00982C4A"/>
    <w:rsid w:val="0098418E"/>
    <w:rsid w:val="00984827"/>
    <w:rsid w:val="00985212"/>
    <w:rsid w:val="00985764"/>
    <w:rsid w:val="00985F5A"/>
    <w:rsid w:val="00986753"/>
    <w:rsid w:val="0098690C"/>
    <w:rsid w:val="00986BAF"/>
    <w:rsid w:val="00986F22"/>
    <w:rsid w:val="009915AE"/>
    <w:rsid w:val="00992232"/>
    <w:rsid w:val="00993937"/>
    <w:rsid w:val="00994726"/>
    <w:rsid w:val="00994A27"/>
    <w:rsid w:val="00994D29"/>
    <w:rsid w:val="00995256"/>
    <w:rsid w:val="009965AE"/>
    <w:rsid w:val="00996A9E"/>
    <w:rsid w:val="00997442"/>
    <w:rsid w:val="0099768C"/>
    <w:rsid w:val="00997847"/>
    <w:rsid w:val="00997C1F"/>
    <w:rsid w:val="009A01AC"/>
    <w:rsid w:val="009A0A9C"/>
    <w:rsid w:val="009A0B49"/>
    <w:rsid w:val="009A11BF"/>
    <w:rsid w:val="009A2D9F"/>
    <w:rsid w:val="009A2FF5"/>
    <w:rsid w:val="009A3154"/>
    <w:rsid w:val="009A3A3D"/>
    <w:rsid w:val="009A4160"/>
    <w:rsid w:val="009A41B5"/>
    <w:rsid w:val="009A466B"/>
    <w:rsid w:val="009A47D3"/>
    <w:rsid w:val="009A5EDA"/>
    <w:rsid w:val="009A779D"/>
    <w:rsid w:val="009B07F3"/>
    <w:rsid w:val="009B0D18"/>
    <w:rsid w:val="009B0D85"/>
    <w:rsid w:val="009B145E"/>
    <w:rsid w:val="009B229A"/>
    <w:rsid w:val="009B3FA4"/>
    <w:rsid w:val="009B4A34"/>
    <w:rsid w:val="009B4A3A"/>
    <w:rsid w:val="009B4BE5"/>
    <w:rsid w:val="009B52D1"/>
    <w:rsid w:val="009B5AC1"/>
    <w:rsid w:val="009B5CC0"/>
    <w:rsid w:val="009B6B14"/>
    <w:rsid w:val="009B6DA1"/>
    <w:rsid w:val="009B7241"/>
    <w:rsid w:val="009B7432"/>
    <w:rsid w:val="009B7F79"/>
    <w:rsid w:val="009C0278"/>
    <w:rsid w:val="009C0891"/>
    <w:rsid w:val="009C0E54"/>
    <w:rsid w:val="009C1AC3"/>
    <w:rsid w:val="009C2AA7"/>
    <w:rsid w:val="009C361D"/>
    <w:rsid w:val="009C3C27"/>
    <w:rsid w:val="009C4157"/>
    <w:rsid w:val="009C49C2"/>
    <w:rsid w:val="009C534D"/>
    <w:rsid w:val="009C56C6"/>
    <w:rsid w:val="009C60C5"/>
    <w:rsid w:val="009C621A"/>
    <w:rsid w:val="009C6FA7"/>
    <w:rsid w:val="009C7235"/>
    <w:rsid w:val="009C7509"/>
    <w:rsid w:val="009C76A9"/>
    <w:rsid w:val="009D08FB"/>
    <w:rsid w:val="009D0BB2"/>
    <w:rsid w:val="009D0BEB"/>
    <w:rsid w:val="009D1426"/>
    <w:rsid w:val="009D1D73"/>
    <w:rsid w:val="009D1F73"/>
    <w:rsid w:val="009D1FF9"/>
    <w:rsid w:val="009D38BD"/>
    <w:rsid w:val="009D5852"/>
    <w:rsid w:val="009D7342"/>
    <w:rsid w:val="009D7553"/>
    <w:rsid w:val="009E1C2A"/>
    <w:rsid w:val="009E2725"/>
    <w:rsid w:val="009E3DA1"/>
    <w:rsid w:val="009E45EF"/>
    <w:rsid w:val="009E47A7"/>
    <w:rsid w:val="009E586A"/>
    <w:rsid w:val="009E5F7E"/>
    <w:rsid w:val="009E64C6"/>
    <w:rsid w:val="009F1141"/>
    <w:rsid w:val="009F22CB"/>
    <w:rsid w:val="009F2A50"/>
    <w:rsid w:val="009F360A"/>
    <w:rsid w:val="009F3FDB"/>
    <w:rsid w:val="009F4DCD"/>
    <w:rsid w:val="009F4F86"/>
    <w:rsid w:val="009F501F"/>
    <w:rsid w:val="009F52B8"/>
    <w:rsid w:val="009F5F9A"/>
    <w:rsid w:val="009F5FF8"/>
    <w:rsid w:val="009F602C"/>
    <w:rsid w:val="009F6C4B"/>
    <w:rsid w:val="009F6CCF"/>
    <w:rsid w:val="009F6DE5"/>
    <w:rsid w:val="009F72C4"/>
    <w:rsid w:val="009F79C6"/>
    <w:rsid w:val="009F7F1D"/>
    <w:rsid w:val="009F7F35"/>
    <w:rsid w:val="00A0100B"/>
    <w:rsid w:val="00A01423"/>
    <w:rsid w:val="00A01823"/>
    <w:rsid w:val="00A019CA"/>
    <w:rsid w:val="00A02417"/>
    <w:rsid w:val="00A0261A"/>
    <w:rsid w:val="00A03875"/>
    <w:rsid w:val="00A03ACD"/>
    <w:rsid w:val="00A04760"/>
    <w:rsid w:val="00A0486E"/>
    <w:rsid w:val="00A05001"/>
    <w:rsid w:val="00A05404"/>
    <w:rsid w:val="00A057F7"/>
    <w:rsid w:val="00A0594A"/>
    <w:rsid w:val="00A05F6B"/>
    <w:rsid w:val="00A05FEC"/>
    <w:rsid w:val="00A0689A"/>
    <w:rsid w:val="00A07106"/>
    <w:rsid w:val="00A07EA8"/>
    <w:rsid w:val="00A1015F"/>
    <w:rsid w:val="00A10537"/>
    <w:rsid w:val="00A10D33"/>
    <w:rsid w:val="00A1151A"/>
    <w:rsid w:val="00A12DF3"/>
    <w:rsid w:val="00A12E59"/>
    <w:rsid w:val="00A13CA7"/>
    <w:rsid w:val="00A142B8"/>
    <w:rsid w:val="00A14D60"/>
    <w:rsid w:val="00A152B5"/>
    <w:rsid w:val="00A157F0"/>
    <w:rsid w:val="00A15A80"/>
    <w:rsid w:val="00A16085"/>
    <w:rsid w:val="00A16402"/>
    <w:rsid w:val="00A16DD3"/>
    <w:rsid w:val="00A16E2B"/>
    <w:rsid w:val="00A2088C"/>
    <w:rsid w:val="00A20BF6"/>
    <w:rsid w:val="00A214EC"/>
    <w:rsid w:val="00A2163C"/>
    <w:rsid w:val="00A2277F"/>
    <w:rsid w:val="00A241C4"/>
    <w:rsid w:val="00A2568E"/>
    <w:rsid w:val="00A277F7"/>
    <w:rsid w:val="00A27E36"/>
    <w:rsid w:val="00A302AA"/>
    <w:rsid w:val="00A3137A"/>
    <w:rsid w:val="00A31970"/>
    <w:rsid w:val="00A3206E"/>
    <w:rsid w:val="00A323FF"/>
    <w:rsid w:val="00A32DB6"/>
    <w:rsid w:val="00A330BF"/>
    <w:rsid w:val="00A33334"/>
    <w:rsid w:val="00A34336"/>
    <w:rsid w:val="00A3549A"/>
    <w:rsid w:val="00A358A9"/>
    <w:rsid w:val="00A36314"/>
    <w:rsid w:val="00A36DD7"/>
    <w:rsid w:val="00A36ED7"/>
    <w:rsid w:val="00A3757E"/>
    <w:rsid w:val="00A37849"/>
    <w:rsid w:val="00A37AC6"/>
    <w:rsid w:val="00A417DD"/>
    <w:rsid w:val="00A41DB9"/>
    <w:rsid w:val="00A41EE4"/>
    <w:rsid w:val="00A4274D"/>
    <w:rsid w:val="00A42DB3"/>
    <w:rsid w:val="00A43252"/>
    <w:rsid w:val="00A43B41"/>
    <w:rsid w:val="00A454E4"/>
    <w:rsid w:val="00A45940"/>
    <w:rsid w:val="00A4694C"/>
    <w:rsid w:val="00A475E8"/>
    <w:rsid w:val="00A509D4"/>
    <w:rsid w:val="00A5102A"/>
    <w:rsid w:val="00A51368"/>
    <w:rsid w:val="00A51AC5"/>
    <w:rsid w:val="00A521CC"/>
    <w:rsid w:val="00A523DC"/>
    <w:rsid w:val="00A541E3"/>
    <w:rsid w:val="00A555E3"/>
    <w:rsid w:val="00A55BEE"/>
    <w:rsid w:val="00A55FFB"/>
    <w:rsid w:val="00A56EA8"/>
    <w:rsid w:val="00A57651"/>
    <w:rsid w:val="00A60FCF"/>
    <w:rsid w:val="00A61325"/>
    <w:rsid w:val="00A61C34"/>
    <w:rsid w:val="00A62B08"/>
    <w:rsid w:val="00A63BFD"/>
    <w:rsid w:val="00A63D77"/>
    <w:rsid w:val="00A641BE"/>
    <w:rsid w:val="00A6424A"/>
    <w:rsid w:val="00A64487"/>
    <w:rsid w:val="00A6484E"/>
    <w:rsid w:val="00A649B4"/>
    <w:rsid w:val="00A65301"/>
    <w:rsid w:val="00A66BBF"/>
    <w:rsid w:val="00A66E94"/>
    <w:rsid w:val="00A66EDC"/>
    <w:rsid w:val="00A67AE6"/>
    <w:rsid w:val="00A714B2"/>
    <w:rsid w:val="00A726A6"/>
    <w:rsid w:val="00A728F2"/>
    <w:rsid w:val="00A73C03"/>
    <w:rsid w:val="00A7400E"/>
    <w:rsid w:val="00A740D1"/>
    <w:rsid w:val="00A7494E"/>
    <w:rsid w:val="00A75276"/>
    <w:rsid w:val="00A752D8"/>
    <w:rsid w:val="00A75E93"/>
    <w:rsid w:val="00A76068"/>
    <w:rsid w:val="00A76941"/>
    <w:rsid w:val="00A76A95"/>
    <w:rsid w:val="00A771B6"/>
    <w:rsid w:val="00A77C04"/>
    <w:rsid w:val="00A77C49"/>
    <w:rsid w:val="00A8033C"/>
    <w:rsid w:val="00A80647"/>
    <w:rsid w:val="00A80799"/>
    <w:rsid w:val="00A8180E"/>
    <w:rsid w:val="00A8235D"/>
    <w:rsid w:val="00A823C2"/>
    <w:rsid w:val="00A845F7"/>
    <w:rsid w:val="00A8577B"/>
    <w:rsid w:val="00A86778"/>
    <w:rsid w:val="00A86E71"/>
    <w:rsid w:val="00A87BED"/>
    <w:rsid w:val="00A87C7E"/>
    <w:rsid w:val="00A911D2"/>
    <w:rsid w:val="00A91E39"/>
    <w:rsid w:val="00A92965"/>
    <w:rsid w:val="00A940BD"/>
    <w:rsid w:val="00A940FD"/>
    <w:rsid w:val="00A94131"/>
    <w:rsid w:val="00A943E3"/>
    <w:rsid w:val="00A94B61"/>
    <w:rsid w:val="00A94CC5"/>
    <w:rsid w:val="00A94D92"/>
    <w:rsid w:val="00A95529"/>
    <w:rsid w:val="00A9599D"/>
    <w:rsid w:val="00A974A1"/>
    <w:rsid w:val="00AA120D"/>
    <w:rsid w:val="00AA1230"/>
    <w:rsid w:val="00AA174D"/>
    <w:rsid w:val="00AA1A7F"/>
    <w:rsid w:val="00AA2376"/>
    <w:rsid w:val="00AA272C"/>
    <w:rsid w:val="00AA2E74"/>
    <w:rsid w:val="00AA46DB"/>
    <w:rsid w:val="00AA5207"/>
    <w:rsid w:val="00AA525E"/>
    <w:rsid w:val="00AA53DE"/>
    <w:rsid w:val="00AA5D29"/>
    <w:rsid w:val="00AA62EA"/>
    <w:rsid w:val="00AA74F5"/>
    <w:rsid w:val="00AA7506"/>
    <w:rsid w:val="00AA7A1B"/>
    <w:rsid w:val="00AA7D79"/>
    <w:rsid w:val="00AB1058"/>
    <w:rsid w:val="00AB10D3"/>
    <w:rsid w:val="00AB1225"/>
    <w:rsid w:val="00AB1796"/>
    <w:rsid w:val="00AB27BE"/>
    <w:rsid w:val="00AB2CDD"/>
    <w:rsid w:val="00AB305A"/>
    <w:rsid w:val="00AB365E"/>
    <w:rsid w:val="00AB4299"/>
    <w:rsid w:val="00AB48DD"/>
    <w:rsid w:val="00AB4D6C"/>
    <w:rsid w:val="00AB5044"/>
    <w:rsid w:val="00AB547E"/>
    <w:rsid w:val="00AB6019"/>
    <w:rsid w:val="00AB7871"/>
    <w:rsid w:val="00AB7926"/>
    <w:rsid w:val="00AB7FB5"/>
    <w:rsid w:val="00AC0AD4"/>
    <w:rsid w:val="00AC14AC"/>
    <w:rsid w:val="00AC1565"/>
    <w:rsid w:val="00AC2CBC"/>
    <w:rsid w:val="00AC2DB6"/>
    <w:rsid w:val="00AC2E06"/>
    <w:rsid w:val="00AC2F7D"/>
    <w:rsid w:val="00AC3100"/>
    <w:rsid w:val="00AC31D9"/>
    <w:rsid w:val="00AC3344"/>
    <w:rsid w:val="00AC3732"/>
    <w:rsid w:val="00AC4212"/>
    <w:rsid w:val="00AC4DB1"/>
    <w:rsid w:val="00AC5068"/>
    <w:rsid w:val="00AC5131"/>
    <w:rsid w:val="00AC554E"/>
    <w:rsid w:val="00AC56A9"/>
    <w:rsid w:val="00AC695A"/>
    <w:rsid w:val="00AC6A1D"/>
    <w:rsid w:val="00AC7063"/>
    <w:rsid w:val="00AC7EDF"/>
    <w:rsid w:val="00AD0393"/>
    <w:rsid w:val="00AD0620"/>
    <w:rsid w:val="00AD1074"/>
    <w:rsid w:val="00AD14BD"/>
    <w:rsid w:val="00AD1693"/>
    <w:rsid w:val="00AD1750"/>
    <w:rsid w:val="00AD21FE"/>
    <w:rsid w:val="00AD4183"/>
    <w:rsid w:val="00AD418C"/>
    <w:rsid w:val="00AD5996"/>
    <w:rsid w:val="00AD5B19"/>
    <w:rsid w:val="00AD6A22"/>
    <w:rsid w:val="00AD6B1F"/>
    <w:rsid w:val="00AD795A"/>
    <w:rsid w:val="00AE02DB"/>
    <w:rsid w:val="00AE0B85"/>
    <w:rsid w:val="00AE0F2E"/>
    <w:rsid w:val="00AE1CB2"/>
    <w:rsid w:val="00AE1CDC"/>
    <w:rsid w:val="00AE1FF5"/>
    <w:rsid w:val="00AE2115"/>
    <w:rsid w:val="00AE25D2"/>
    <w:rsid w:val="00AE2ED8"/>
    <w:rsid w:val="00AE3610"/>
    <w:rsid w:val="00AE378A"/>
    <w:rsid w:val="00AE38B9"/>
    <w:rsid w:val="00AE3E25"/>
    <w:rsid w:val="00AE4115"/>
    <w:rsid w:val="00AE41FD"/>
    <w:rsid w:val="00AE50E6"/>
    <w:rsid w:val="00AE56C7"/>
    <w:rsid w:val="00AE5D4A"/>
    <w:rsid w:val="00AE7531"/>
    <w:rsid w:val="00AE768F"/>
    <w:rsid w:val="00AE7F52"/>
    <w:rsid w:val="00AE7FD7"/>
    <w:rsid w:val="00AF08FD"/>
    <w:rsid w:val="00AF1D50"/>
    <w:rsid w:val="00AF26CE"/>
    <w:rsid w:val="00AF2E3C"/>
    <w:rsid w:val="00AF3070"/>
    <w:rsid w:val="00AF35AB"/>
    <w:rsid w:val="00AF388E"/>
    <w:rsid w:val="00AF3ADB"/>
    <w:rsid w:val="00AF3D16"/>
    <w:rsid w:val="00AF3EBA"/>
    <w:rsid w:val="00AF49A6"/>
    <w:rsid w:val="00AF4FB5"/>
    <w:rsid w:val="00AF5662"/>
    <w:rsid w:val="00AF70CF"/>
    <w:rsid w:val="00AF75C2"/>
    <w:rsid w:val="00AF7A48"/>
    <w:rsid w:val="00AF7DFC"/>
    <w:rsid w:val="00B011E0"/>
    <w:rsid w:val="00B01456"/>
    <w:rsid w:val="00B01BCA"/>
    <w:rsid w:val="00B02A84"/>
    <w:rsid w:val="00B032AB"/>
    <w:rsid w:val="00B0332B"/>
    <w:rsid w:val="00B038BD"/>
    <w:rsid w:val="00B03E1B"/>
    <w:rsid w:val="00B04788"/>
    <w:rsid w:val="00B048FE"/>
    <w:rsid w:val="00B04A9E"/>
    <w:rsid w:val="00B0534E"/>
    <w:rsid w:val="00B05A34"/>
    <w:rsid w:val="00B05C85"/>
    <w:rsid w:val="00B0680F"/>
    <w:rsid w:val="00B06854"/>
    <w:rsid w:val="00B06F99"/>
    <w:rsid w:val="00B0731F"/>
    <w:rsid w:val="00B07C09"/>
    <w:rsid w:val="00B109F1"/>
    <w:rsid w:val="00B10B45"/>
    <w:rsid w:val="00B11063"/>
    <w:rsid w:val="00B11E8B"/>
    <w:rsid w:val="00B125DA"/>
    <w:rsid w:val="00B12A74"/>
    <w:rsid w:val="00B13058"/>
    <w:rsid w:val="00B13712"/>
    <w:rsid w:val="00B143B6"/>
    <w:rsid w:val="00B145D0"/>
    <w:rsid w:val="00B145D1"/>
    <w:rsid w:val="00B156A4"/>
    <w:rsid w:val="00B158FA"/>
    <w:rsid w:val="00B15FE7"/>
    <w:rsid w:val="00B1621B"/>
    <w:rsid w:val="00B209BC"/>
    <w:rsid w:val="00B21FB1"/>
    <w:rsid w:val="00B2292D"/>
    <w:rsid w:val="00B22E17"/>
    <w:rsid w:val="00B233F1"/>
    <w:rsid w:val="00B248F6"/>
    <w:rsid w:val="00B26758"/>
    <w:rsid w:val="00B2694E"/>
    <w:rsid w:val="00B2706C"/>
    <w:rsid w:val="00B2785C"/>
    <w:rsid w:val="00B27899"/>
    <w:rsid w:val="00B30573"/>
    <w:rsid w:val="00B3088B"/>
    <w:rsid w:val="00B31002"/>
    <w:rsid w:val="00B316BB"/>
    <w:rsid w:val="00B33382"/>
    <w:rsid w:val="00B33AEB"/>
    <w:rsid w:val="00B33F23"/>
    <w:rsid w:val="00B3456D"/>
    <w:rsid w:val="00B34AF3"/>
    <w:rsid w:val="00B3571A"/>
    <w:rsid w:val="00B3608E"/>
    <w:rsid w:val="00B36BC4"/>
    <w:rsid w:val="00B37856"/>
    <w:rsid w:val="00B4001B"/>
    <w:rsid w:val="00B40356"/>
    <w:rsid w:val="00B40EA6"/>
    <w:rsid w:val="00B4145B"/>
    <w:rsid w:val="00B424AC"/>
    <w:rsid w:val="00B43C3B"/>
    <w:rsid w:val="00B44321"/>
    <w:rsid w:val="00B44606"/>
    <w:rsid w:val="00B4497D"/>
    <w:rsid w:val="00B44A87"/>
    <w:rsid w:val="00B44B0F"/>
    <w:rsid w:val="00B44CB4"/>
    <w:rsid w:val="00B4634C"/>
    <w:rsid w:val="00B46360"/>
    <w:rsid w:val="00B466DC"/>
    <w:rsid w:val="00B46B40"/>
    <w:rsid w:val="00B47DAD"/>
    <w:rsid w:val="00B50148"/>
    <w:rsid w:val="00B5017F"/>
    <w:rsid w:val="00B501FD"/>
    <w:rsid w:val="00B502F5"/>
    <w:rsid w:val="00B503EC"/>
    <w:rsid w:val="00B50726"/>
    <w:rsid w:val="00B5086F"/>
    <w:rsid w:val="00B51E29"/>
    <w:rsid w:val="00B52138"/>
    <w:rsid w:val="00B52236"/>
    <w:rsid w:val="00B527A5"/>
    <w:rsid w:val="00B530A0"/>
    <w:rsid w:val="00B5310E"/>
    <w:rsid w:val="00B53410"/>
    <w:rsid w:val="00B53427"/>
    <w:rsid w:val="00B5354D"/>
    <w:rsid w:val="00B535C3"/>
    <w:rsid w:val="00B5419A"/>
    <w:rsid w:val="00B5461F"/>
    <w:rsid w:val="00B54E5F"/>
    <w:rsid w:val="00B54F5A"/>
    <w:rsid w:val="00B550BB"/>
    <w:rsid w:val="00B55553"/>
    <w:rsid w:val="00B55D72"/>
    <w:rsid w:val="00B567CB"/>
    <w:rsid w:val="00B57258"/>
    <w:rsid w:val="00B57E63"/>
    <w:rsid w:val="00B57EC6"/>
    <w:rsid w:val="00B60099"/>
    <w:rsid w:val="00B6116C"/>
    <w:rsid w:val="00B61CDA"/>
    <w:rsid w:val="00B61F6C"/>
    <w:rsid w:val="00B622DD"/>
    <w:rsid w:val="00B6345F"/>
    <w:rsid w:val="00B65CD1"/>
    <w:rsid w:val="00B6603D"/>
    <w:rsid w:val="00B660C5"/>
    <w:rsid w:val="00B6740D"/>
    <w:rsid w:val="00B7038E"/>
    <w:rsid w:val="00B70980"/>
    <w:rsid w:val="00B71065"/>
    <w:rsid w:val="00B716A4"/>
    <w:rsid w:val="00B71F68"/>
    <w:rsid w:val="00B7336C"/>
    <w:rsid w:val="00B73B81"/>
    <w:rsid w:val="00B73E63"/>
    <w:rsid w:val="00B7459B"/>
    <w:rsid w:val="00B7525D"/>
    <w:rsid w:val="00B755E6"/>
    <w:rsid w:val="00B75738"/>
    <w:rsid w:val="00B757F6"/>
    <w:rsid w:val="00B75A1F"/>
    <w:rsid w:val="00B76646"/>
    <w:rsid w:val="00B76FAE"/>
    <w:rsid w:val="00B7730E"/>
    <w:rsid w:val="00B7745F"/>
    <w:rsid w:val="00B77B45"/>
    <w:rsid w:val="00B77FD9"/>
    <w:rsid w:val="00B802B2"/>
    <w:rsid w:val="00B802CF"/>
    <w:rsid w:val="00B80AFC"/>
    <w:rsid w:val="00B80F41"/>
    <w:rsid w:val="00B8106A"/>
    <w:rsid w:val="00B82C89"/>
    <w:rsid w:val="00B82FC7"/>
    <w:rsid w:val="00B83AD3"/>
    <w:rsid w:val="00B83F49"/>
    <w:rsid w:val="00B84123"/>
    <w:rsid w:val="00B847D9"/>
    <w:rsid w:val="00B85195"/>
    <w:rsid w:val="00B8609C"/>
    <w:rsid w:val="00B86BC5"/>
    <w:rsid w:val="00B902BE"/>
    <w:rsid w:val="00B90CB4"/>
    <w:rsid w:val="00B91D43"/>
    <w:rsid w:val="00B93452"/>
    <w:rsid w:val="00B939AD"/>
    <w:rsid w:val="00B943D8"/>
    <w:rsid w:val="00B94BA9"/>
    <w:rsid w:val="00B950C4"/>
    <w:rsid w:val="00B95CAC"/>
    <w:rsid w:val="00B95E75"/>
    <w:rsid w:val="00B96501"/>
    <w:rsid w:val="00BA0225"/>
    <w:rsid w:val="00BA06BE"/>
    <w:rsid w:val="00BA0DA6"/>
    <w:rsid w:val="00BA2077"/>
    <w:rsid w:val="00BA2610"/>
    <w:rsid w:val="00BA299B"/>
    <w:rsid w:val="00BA2C19"/>
    <w:rsid w:val="00BA2E31"/>
    <w:rsid w:val="00BA3776"/>
    <w:rsid w:val="00BA39D1"/>
    <w:rsid w:val="00BA3A06"/>
    <w:rsid w:val="00BA3C3D"/>
    <w:rsid w:val="00BA4525"/>
    <w:rsid w:val="00BA475B"/>
    <w:rsid w:val="00BA4773"/>
    <w:rsid w:val="00BA4852"/>
    <w:rsid w:val="00BA66AA"/>
    <w:rsid w:val="00BA6DB8"/>
    <w:rsid w:val="00BA7D33"/>
    <w:rsid w:val="00BA7FF9"/>
    <w:rsid w:val="00BB008D"/>
    <w:rsid w:val="00BB0D8F"/>
    <w:rsid w:val="00BB3324"/>
    <w:rsid w:val="00BB339C"/>
    <w:rsid w:val="00BB4D9C"/>
    <w:rsid w:val="00BB4EF2"/>
    <w:rsid w:val="00BB53AE"/>
    <w:rsid w:val="00BB5A39"/>
    <w:rsid w:val="00BC0B3A"/>
    <w:rsid w:val="00BC0F35"/>
    <w:rsid w:val="00BC1B98"/>
    <w:rsid w:val="00BC1FCD"/>
    <w:rsid w:val="00BC2429"/>
    <w:rsid w:val="00BC2822"/>
    <w:rsid w:val="00BC293F"/>
    <w:rsid w:val="00BC2CF3"/>
    <w:rsid w:val="00BC2D3B"/>
    <w:rsid w:val="00BC3571"/>
    <w:rsid w:val="00BC377D"/>
    <w:rsid w:val="00BC388D"/>
    <w:rsid w:val="00BC3CB2"/>
    <w:rsid w:val="00BC3F52"/>
    <w:rsid w:val="00BC51D6"/>
    <w:rsid w:val="00BC5236"/>
    <w:rsid w:val="00BC558B"/>
    <w:rsid w:val="00BC5AF6"/>
    <w:rsid w:val="00BC5FAF"/>
    <w:rsid w:val="00BC658B"/>
    <w:rsid w:val="00BC70CE"/>
    <w:rsid w:val="00BC7E71"/>
    <w:rsid w:val="00BD03DA"/>
    <w:rsid w:val="00BD042C"/>
    <w:rsid w:val="00BD1031"/>
    <w:rsid w:val="00BD286D"/>
    <w:rsid w:val="00BD3DC2"/>
    <w:rsid w:val="00BD3F35"/>
    <w:rsid w:val="00BD66F3"/>
    <w:rsid w:val="00BD79E3"/>
    <w:rsid w:val="00BE009E"/>
    <w:rsid w:val="00BE1240"/>
    <w:rsid w:val="00BE1643"/>
    <w:rsid w:val="00BE2DA9"/>
    <w:rsid w:val="00BE4354"/>
    <w:rsid w:val="00BE5228"/>
    <w:rsid w:val="00BE67EC"/>
    <w:rsid w:val="00BE7AF9"/>
    <w:rsid w:val="00BE7E44"/>
    <w:rsid w:val="00BF025C"/>
    <w:rsid w:val="00BF05AF"/>
    <w:rsid w:val="00BF151B"/>
    <w:rsid w:val="00BF1E41"/>
    <w:rsid w:val="00BF2BE6"/>
    <w:rsid w:val="00BF2F80"/>
    <w:rsid w:val="00BF3119"/>
    <w:rsid w:val="00BF32DA"/>
    <w:rsid w:val="00BF3833"/>
    <w:rsid w:val="00BF4130"/>
    <w:rsid w:val="00BF4CEE"/>
    <w:rsid w:val="00BF4D3E"/>
    <w:rsid w:val="00BF5112"/>
    <w:rsid w:val="00BF5444"/>
    <w:rsid w:val="00BF59D3"/>
    <w:rsid w:val="00BF6E00"/>
    <w:rsid w:val="00BF7915"/>
    <w:rsid w:val="00BF7C4B"/>
    <w:rsid w:val="00BF7E2D"/>
    <w:rsid w:val="00C0106D"/>
    <w:rsid w:val="00C014CB"/>
    <w:rsid w:val="00C01DBF"/>
    <w:rsid w:val="00C02252"/>
    <w:rsid w:val="00C02978"/>
    <w:rsid w:val="00C02C78"/>
    <w:rsid w:val="00C03C03"/>
    <w:rsid w:val="00C03FA7"/>
    <w:rsid w:val="00C0545B"/>
    <w:rsid w:val="00C05A37"/>
    <w:rsid w:val="00C06483"/>
    <w:rsid w:val="00C066D1"/>
    <w:rsid w:val="00C06B11"/>
    <w:rsid w:val="00C070F2"/>
    <w:rsid w:val="00C072EF"/>
    <w:rsid w:val="00C0766F"/>
    <w:rsid w:val="00C1033D"/>
    <w:rsid w:val="00C10724"/>
    <w:rsid w:val="00C10ACC"/>
    <w:rsid w:val="00C118EB"/>
    <w:rsid w:val="00C11C68"/>
    <w:rsid w:val="00C13063"/>
    <w:rsid w:val="00C135DC"/>
    <w:rsid w:val="00C13662"/>
    <w:rsid w:val="00C13DBF"/>
    <w:rsid w:val="00C14C8E"/>
    <w:rsid w:val="00C15441"/>
    <w:rsid w:val="00C15920"/>
    <w:rsid w:val="00C15954"/>
    <w:rsid w:val="00C16315"/>
    <w:rsid w:val="00C16696"/>
    <w:rsid w:val="00C16C8B"/>
    <w:rsid w:val="00C16FAF"/>
    <w:rsid w:val="00C202F7"/>
    <w:rsid w:val="00C21E0A"/>
    <w:rsid w:val="00C22337"/>
    <w:rsid w:val="00C22352"/>
    <w:rsid w:val="00C230A3"/>
    <w:rsid w:val="00C23415"/>
    <w:rsid w:val="00C24225"/>
    <w:rsid w:val="00C24802"/>
    <w:rsid w:val="00C24923"/>
    <w:rsid w:val="00C24A2D"/>
    <w:rsid w:val="00C24BB8"/>
    <w:rsid w:val="00C24DE0"/>
    <w:rsid w:val="00C255E0"/>
    <w:rsid w:val="00C25915"/>
    <w:rsid w:val="00C25D78"/>
    <w:rsid w:val="00C25E6D"/>
    <w:rsid w:val="00C25E97"/>
    <w:rsid w:val="00C2689E"/>
    <w:rsid w:val="00C268BF"/>
    <w:rsid w:val="00C26C88"/>
    <w:rsid w:val="00C270F1"/>
    <w:rsid w:val="00C2747F"/>
    <w:rsid w:val="00C309E5"/>
    <w:rsid w:val="00C31041"/>
    <w:rsid w:val="00C3145B"/>
    <w:rsid w:val="00C31C0A"/>
    <w:rsid w:val="00C32222"/>
    <w:rsid w:val="00C326C4"/>
    <w:rsid w:val="00C32A37"/>
    <w:rsid w:val="00C32E2E"/>
    <w:rsid w:val="00C32F65"/>
    <w:rsid w:val="00C3333C"/>
    <w:rsid w:val="00C3414E"/>
    <w:rsid w:val="00C343E9"/>
    <w:rsid w:val="00C34798"/>
    <w:rsid w:val="00C34D57"/>
    <w:rsid w:val="00C35123"/>
    <w:rsid w:val="00C35E6D"/>
    <w:rsid w:val="00C36886"/>
    <w:rsid w:val="00C4042D"/>
    <w:rsid w:val="00C40446"/>
    <w:rsid w:val="00C40593"/>
    <w:rsid w:val="00C40DF1"/>
    <w:rsid w:val="00C40F25"/>
    <w:rsid w:val="00C41043"/>
    <w:rsid w:val="00C410C0"/>
    <w:rsid w:val="00C4210E"/>
    <w:rsid w:val="00C4369E"/>
    <w:rsid w:val="00C438E4"/>
    <w:rsid w:val="00C4399C"/>
    <w:rsid w:val="00C445F4"/>
    <w:rsid w:val="00C44DA6"/>
    <w:rsid w:val="00C45177"/>
    <w:rsid w:val="00C458F8"/>
    <w:rsid w:val="00C46290"/>
    <w:rsid w:val="00C46897"/>
    <w:rsid w:val="00C47555"/>
    <w:rsid w:val="00C479AE"/>
    <w:rsid w:val="00C50A95"/>
    <w:rsid w:val="00C50C06"/>
    <w:rsid w:val="00C53B7A"/>
    <w:rsid w:val="00C549DE"/>
    <w:rsid w:val="00C54D47"/>
    <w:rsid w:val="00C554A4"/>
    <w:rsid w:val="00C55E57"/>
    <w:rsid w:val="00C55EBC"/>
    <w:rsid w:val="00C56701"/>
    <w:rsid w:val="00C602FF"/>
    <w:rsid w:val="00C61839"/>
    <w:rsid w:val="00C62898"/>
    <w:rsid w:val="00C628A1"/>
    <w:rsid w:val="00C62AB3"/>
    <w:rsid w:val="00C6312A"/>
    <w:rsid w:val="00C631EC"/>
    <w:rsid w:val="00C639F7"/>
    <w:rsid w:val="00C63C97"/>
    <w:rsid w:val="00C63F88"/>
    <w:rsid w:val="00C641B5"/>
    <w:rsid w:val="00C6429A"/>
    <w:rsid w:val="00C6512F"/>
    <w:rsid w:val="00C65684"/>
    <w:rsid w:val="00C66116"/>
    <w:rsid w:val="00C676FA"/>
    <w:rsid w:val="00C67CD1"/>
    <w:rsid w:val="00C70B45"/>
    <w:rsid w:val="00C70F38"/>
    <w:rsid w:val="00C71B53"/>
    <w:rsid w:val="00C71F77"/>
    <w:rsid w:val="00C72933"/>
    <w:rsid w:val="00C7306F"/>
    <w:rsid w:val="00C73225"/>
    <w:rsid w:val="00C73316"/>
    <w:rsid w:val="00C741C8"/>
    <w:rsid w:val="00C7442B"/>
    <w:rsid w:val="00C747B8"/>
    <w:rsid w:val="00C74A6E"/>
    <w:rsid w:val="00C75338"/>
    <w:rsid w:val="00C7593A"/>
    <w:rsid w:val="00C767F5"/>
    <w:rsid w:val="00C80CE8"/>
    <w:rsid w:val="00C82C46"/>
    <w:rsid w:val="00C8425A"/>
    <w:rsid w:val="00C85625"/>
    <w:rsid w:val="00C85755"/>
    <w:rsid w:val="00C85B0F"/>
    <w:rsid w:val="00C85E07"/>
    <w:rsid w:val="00C87F4B"/>
    <w:rsid w:val="00C904EE"/>
    <w:rsid w:val="00C9057C"/>
    <w:rsid w:val="00C9067D"/>
    <w:rsid w:val="00C91551"/>
    <w:rsid w:val="00C922CE"/>
    <w:rsid w:val="00C927DE"/>
    <w:rsid w:val="00C92821"/>
    <w:rsid w:val="00C92EBD"/>
    <w:rsid w:val="00C9416E"/>
    <w:rsid w:val="00C94AF1"/>
    <w:rsid w:val="00C9560A"/>
    <w:rsid w:val="00C95AEC"/>
    <w:rsid w:val="00C962B7"/>
    <w:rsid w:val="00C973FE"/>
    <w:rsid w:val="00C97584"/>
    <w:rsid w:val="00C9775E"/>
    <w:rsid w:val="00C97C32"/>
    <w:rsid w:val="00CA02B9"/>
    <w:rsid w:val="00CA0AB3"/>
    <w:rsid w:val="00CA0B7F"/>
    <w:rsid w:val="00CA0D62"/>
    <w:rsid w:val="00CA1C1B"/>
    <w:rsid w:val="00CA29C6"/>
    <w:rsid w:val="00CA2E21"/>
    <w:rsid w:val="00CA3B3D"/>
    <w:rsid w:val="00CA41FD"/>
    <w:rsid w:val="00CA616C"/>
    <w:rsid w:val="00CA6E56"/>
    <w:rsid w:val="00CA6EAF"/>
    <w:rsid w:val="00CA7171"/>
    <w:rsid w:val="00CA7AB8"/>
    <w:rsid w:val="00CA7F2D"/>
    <w:rsid w:val="00CB1254"/>
    <w:rsid w:val="00CB1BD1"/>
    <w:rsid w:val="00CB298F"/>
    <w:rsid w:val="00CB3DF4"/>
    <w:rsid w:val="00CB4C58"/>
    <w:rsid w:val="00CB4D18"/>
    <w:rsid w:val="00CB4D42"/>
    <w:rsid w:val="00CB4E85"/>
    <w:rsid w:val="00CB5458"/>
    <w:rsid w:val="00CB571F"/>
    <w:rsid w:val="00CB5C77"/>
    <w:rsid w:val="00CB5FB1"/>
    <w:rsid w:val="00CB6786"/>
    <w:rsid w:val="00CB6BF3"/>
    <w:rsid w:val="00CB7680"/>
    <w:rsid w:val="00CC0919"/>
    <w:rsid w:val="00CC0E71"/>
    <w:rsid w:val="00CC2218"/>
    <w:rsid w:val="00CC248B"/>
    <w:rsid w:val="00CC28EC"/>
    <w:rsid w:val="00CC3C58"/>
    <w:rsid w:val="00CC48CD"/>
    <w:rsid w:val="00CC6429"/>
    <w:rsid w:val="00CC6B07"/>
    <w:rsid w:val="00CC6B69"/>
    <w:rsid w:val="00CC6C89"/>
    <w:rsid w:val="00CC7703"/>
    <w:rsid w:val="00CD138E"/>
    <w:rsid w:val="00CD13C9"/>
    <w:rsid w:val="00CD1B17"/>
    <w:rsid w:val="00CD1B70"/>
    <w:rsid w:val="00CD225B"/>
    <w:rsid w:val="00CD24C4"/>
    <w:rsid w:val="00CD359C"/>
    <w:rsid w:val="00CD3CEF"/>
    <w:rsid w:val="00CD3F6E"/>
    <w:rsid w:val="00CD4ED1"/>
    <w:rsid w:val="00CD6B7F"/>
    <w:rsid w:val="00CD6F68"/>
    <w:rsid w:val="00CD73C2"/>
    <w:rsid w:val="00CE0D4A"/>
    <w:rsid w:val="00CE1B01"/>
    <w:rsid w:val="00CE1DA4"/>
    <w:rsid w:val="00CE2CE1"/>
    <w:rsid w:val="00CE2EB4"/>
    <w:rsid w:val="00CE3273"/>
    <w:rsid w:val="00CE36AD"/>
    <w:rsid w:val="00CE394F"/>
    <w:rsid w:val="00CE3D57"/>
    <w:rsid w:val="00CE41B0"/>
    <w:rsid w:val="00CE6705"/>
    <w:rsid w:val="00CE76A0"/>
    <w:rsid w:val="00CE7B8A"/>
    <w:rsid w:val="00CE7F56"/>
    <w:rsid w:val="00CF0434"/>
    <w:rsid w:val="00CF1047"/>
    <w:rsid w:val="00CF27BA"/>
    <w:rsid w:val="00CF3C35"/>
    <w:rsid w:val="00CF4193"/>
    <w:rsid w:val="00CF4593"/>
    <w:rsid w:val="00CF57E3"/>
    <w:rsid w:val="00CF73A8"/>
    <w:rsid w:val="00D0002A"/>
    <w:rsid w:val="00D005F3"/>
    <w:rsid w:val="00D014B0"/>
    <w:rsid w:val="00D022DA"/>
    <w:rsid w:val="00D0252B"/>
    <w:rsid w:val="00D026EF"/>
    <w:rsid w:val="00D02FA3"/>
    <w:rsid w:val="00D0302E"/>
    <w:rsid w:val="00D0371B"/>
    <w:rsid w:val="00D04137"/>
    <w:rsid w:val="00D0439C"/>
    <w:rsid w:val="00D0445C"/>
    <w:rsid w:val="00D049E7"/>
    <w:rsid w:val="00D049F1"/>
    <w:rsid w:val="00D04F81"/>
    <w:rsid w:val="00D0530A"/>
    <w:rsid w:val="00D0597A"/>
    <w:rsid w:val="00D05A08"/>
    <w:rsid w:val="00D06423"/>
    <w:rsid w:val="00D06804"/>
    <w:rsid w:val="00D06838"/>
    <w:rsid w:val="00D0687B"/>
    <w:rsid w:val="00D06BF1"/>
    <w:rsid w:val="00D06FAF"/>
    <w:rsid w:val="00D12C62"/>
    <w:rsid w:val="00D12FBC"/>
    <w:rsid w:val="00D13413"/>
    <w:rsid w:val="00D13765"/>
    <w:rsid w:val="00D13B0E"/>
    <w:rsid w:val="00D15051"/>
    <w:rsid w:val="00D15290"/>
    <w:rsid w:val="00D15B79"/>
    <w:rsid w:val="00D15C69"/>
    <w:rsid w:val="00D15EDF"/>
    <w:rsid w:val="00D1637F"/>
    <w:rsid w:val="00D16E6B"/>
    <w:rsid w:val="00D1752F"/>
    <w:rsid w:val="00D17D04"/>
    <w:rsid w:val="00D20D8E"/>
    <w:rsid w:val="00D20E31"/>
    <w:rsid w:val="00D21101"/>
    <w:rsid w:val="00D21371"/>
    <w:rsid w:val="00D21677"/>
    <w:rsid w:val="00D218B3"/>
    <w:rsid w:val="00D24303"/>
    <w:rsid w:val="00D24757"/>
    <w:rsid w:val="00D24C06"/>
    <w:rsid w:val="00D2539A"/>
    <w:rsid w:val="00D25CEA"/>
    <w:rsid w:val="00D27414"/>
    <w:rsid w:val="00D27F5E"/>
    <w:rsid w:val="00D300AD"/>
    <w:rsid w:val="00D302E7"/>
    <w:rsid w:val="00D30431"/>
    <w:rsid w:val="00D30679"/>
    <w:rsid w:val="00D31775"/>
    <w:rsid w:val="00D31984"/>
    <w:rsid w:val="00D31C0D"/>
    <w:rsid w:val="00D31D78"/>
    <w:rsid w:val="00D320E0"/>
    <w:rsid w:val="00D328D8"/>
    <w:rsid w:val="00D32FE5"/>
    <w:rsid w:val="00D330B6"/>
    <w:rsid w:val="00D33669"/>
    <w:rsid w:val="00D33E96"/>
    <w:rsid w:val="00D343F6"/>
    <w:rsid w:val="00D34772"/>
    <w:rsid w:val="00D3491A"/>
    <w:rsid w:val="00D34DC0"/>
    <w:rsid w:val="00D356A4"/>
    <w:rsid w:val="00D358D0"/>
    <w:rsid w:val="00D35AC5"/>
    <w:rsid w:val="00D36EAB"/>
    <w:rsid w:val="00D37778"/>
    <w:rsid w:val="00D40139"/>
    <w:rsid w:val="00D40445"/>
    <w:rsid w:val="00D404D8"/>
    <w:rsid w:val="00D4129E"/>
    <w:rsid w:val="00D4145C"/>
    <w:rsid w:val="00D42672"/>
    <w:rsid w:val="00D4277C"/>
    <w:rsid w:val="00D43581"/>
    <w:rsid w:val="00D43994"/>
    <w:rsid w:val="00D43CC3"/>
    <w:rsid w:val="00D44091"/>
    <w:rsid w:val="00D4434F"/>
    <w:rsid w:val="00D44790"/>
    <w:rsid w:val="00D44FDF"/>
    <w:rsid w:val="00D45671"/>
    <w:rsid w:val="00D45A53"/>
    <w:rsid w:val="00D45B02"/>
    <w:rsid w:val="00D464FC"/>
    <w:rsid w:val="00D46C22"/>
    <w:rsid w:val="00D46D0A"/>
    <w:rsid w:val="00D46DAD"/>
    <w:rsid w:val="00D47628"/>
    <w:rsid w:val="00D47FCD"/>
    <w:rsid w:val="00D52D2C"/>
    <w:rsid w:val="00D5312E"/>
    <w:rsid w:val="00D533EC"/>
    <w:rsid w:val="00D5383F"/>
    <w:rsid w:val="00D5419D"/>
    <w:rsid w:val="00D54F34"/>
    <w:rsid w:val="00D55100"/>
    <w:rsid w:val="00D552ED"/>
    <w:rsid w:val="00D55AD6"/>
    <w:rsid w:val="00D566EE"/>
    <w:rsid w:val="00D56BF1"/>
    <w:rsid w:val="00D56CCC"/>
    <w:rsid w:val="00D56F5F"/>
    <w:rsid w:val="00D573D4"/>
    <w:rsid w:val="00D577D8"/>
    <w:rsid w:val="00D5785F"/>
    <w:rsid w:val="00D57B4B"/>
    <w:rsid w:val="00D602F1"/>
    <w:rsid w:val="00D61280"/>
    <w:rsid w:val="00D614C8"/>
    <w:rsid w:val="00D61C18"/>
    <w:rsid w:val="00D61E5D"/>
    <w:rsid w:val="00D6210D"/>
    <w:rsid w:val="00D62D0B"/>
    <w:rsid w:val="00D62EF8"/>
    <w:rsid w:val="00D62F01"/>
    <w:rsid w:val="00D6319B"/>
    <w:rsid w:val="00D6378F"/>
    <w:rsid w:val="00D63B86"/>
    <w:rsid w:val="00D6532F"/>
    <w:rsid w:val="00D65667"/>
    <w:rsid w:val="00D6576A"/>
    <w:rsid w:val="00D6580D"/>
    <w:rsid w:val="00D65C0E"/>
    <w:rsid w:val="00D66B1C"/>
    <w:rsid w:val="00D6778E"/>
    <w:rsid w:val="00D67792"/>
    <w:rsid w:val="00D67AF8"/>
    <w:rsid w:val="00D70200"/>
    <w:rsid w:val="00D70CB9"/>
    <w:rsid w:val="00D725F8"/>
    <w:rsid w:val="00D72CFD"/>
    <w:rsid w:val="00D744FB"/>
    <w:rsid w:val="00D745EB"/>
    <w:rsid w:val="00D74AB0"/>
    <w:rsid w:val="00D75F9F"/>
    <w:rsid w:val="00D7645E"/>
    <w:rsid w:val="00D76F80"/>
    <w:rsid w:val="00D77858"/>
    <w:rsid w:val="00D77B3C"/>
    <w:rsid w:val="00D8138B"/>
    <w:rsid w:val="00D81419"/>
    <w:rsid w:val="00D81FC0"/>
    <w:rsid w:val="00D82116"/>
    <w:rsid w:val="00D82555"/>
    <w:rsid w:val="00D830C0"/>
    <w:rsid w:val="00D83275"/>
    <w:rsid w:val="00D83305"/>
    <w:rsid w:val="00D837DC"/>
    <w:rsid w:val="00D83FEF"/>
    <w:rsid w:val="00D844AC"/>
    <w:rsid w:val="00D84566"/>
    <w:rsid w:val="00D84C6B"/>
    <w:rsid w:val="00D8694E"/>
    <w:rsid w:val="00D90518"/>
    <w:rsid w:val="00D90C83"/>
    <w:rsid w:val="00D924CB"/>
    <w:rsid w:val="00D92836"/>
    <w:rsid w:val="00D930AF"/>
    <w:rsid w:val="00D933CF"/>
    <w:rsid w:val="00D94244"/>
    <w:rsid w:val="00D94303"/>
    <w:rsid w:val="00D9449A"/>
    <w:rsid w:val="00D954F8"/>
    <w:rsid w:val="00D95761"/>
    <w:rsid w:val="00D95D73"/>
    <w:rsid w:val="00D96178"/>
    <w:rsid w:val="00D961CD"/>
    <w:rsid w:val="00D9693A"/>
    <w:rsid w:val="00D96E84"/>
    <w:rsid w:val="00DA03EF"/>
    <w:rsid w:val="00DA03F6"/>
    <w:rsid w:val="00DA04CE"/>
    <w:rsid w:val="00DA0907"/>
    <w:rsid w:val="00DA248F"/>
    <w:rsid w:val="00DA285C"/>
    <w:rsid w:val="00DA2906"/>
    <w:rsid w:val="00DA299C"/>
    <w:rsid w:val="00DA2AD1"/>
    <w:rsid w:val="00DA2C95"/>
    <w:rsid w:val="00DA2E32"/>
    <w:rsid w:val="00DA32FF"/>
    <w:rsid w:val="00DA371D"/>
    <w:rsid w:val="00DA3767"/>
    <w:rsid w:val="00DA41DD"/>
    <w:rsid w:val="00DA5202"/>
    <w:rsid w:val="00DA52A9"/>
    <w:rsid w:val="00DA666F"/>
    <w:rsid w:val="00DA6BC8"/>
    <w:rsid w:val="00DA764F"/>
    <w:rsid w:val="00DB009A"/>
    <w:rsid w:val="00DB0149"/>
    <w:rsid w:val="00DB0D07"/>
    <w:rsid w:val="00DB2A8A"/>
    <w:rsid w:val="00DB2CF9"/>
    <w:rsid w:val="00DB2F75"/>
    <w:rsid w:val="00DB3C88"/>
    <w:rsid w:val="00DB410D"/>
    <w:rsid w:val="00DB4B03"/>
    <w:rsid w:val="00DB4EF7"/>
    <w:rsid w:val="00DB577C"/>
    <w:rsid w:val="00DB6504"/>
    <w:rsid w:val="00DB6665"/>
    <w:rsid w:val="00DB6802"/>
    <w:rsid w:val="00DB6DE6"/>
    <w:rsid w:val="00DB6F08"/>
    <w:rsid w:val="00DB7BA6"/>
    <w:rsid w:val="00DC0248"/>
    <w:rsid w:val="00DC047A"/>
    <w:rsid w:val="00DC07CD"/>
    <w:rsid w:val="00DC0813"/>
    <w:rsid w:val="00DC0A4E"/>
    <w:rsid w:val="00DC18B4"/>
    <w:rsid w:val="00DC18BC"/>
    <w:rsid w:val="00DC1907"/>
    <w:rsid w:val="00DC1F0E"/>
    <w:rsid w:val="00DC2A16"/>
    <w:rsid w:val="00DC3093"/>
    <w:rsid w:val="00DC3A22"/>
    <w:rsid w:val="00DC3B85"/>
    <w:rsid w:val="00DC4B0E"/>
    <w:rsid w:val="00DC4D4E"/>
    <w:rsid w:val="00DC4E0E"/>
    <w:rsid w:val="00DC4EDA"/>
    <w:rsid w:val="00DC5841"/>
    <w:rsid w:val="00DC681A"/>
    <w:rsid w:val="00DC6E71"/>
    <w:rsid w:val="00DC6ECD"/>
    <w:rsid w:val="00DC77BA"/>
    <w:rsid w:val="00DC7D49"/>
    <w:rsid w:val="00DD06F0"/>
    <w:rsid w:val="00DD0711"/>
    <w:rsid w:val="00DD07C0"/>
    <w:rsid w:val="00DD0D65"/>
    <w:rsid w:val="00DD15CF"/>
    <w:rsid w:val="00DD2574"/>
    <w:rsid w:val="00DD39A9"/>
    <w:rsid w:val="00DD4A2C"/>
    <w:rsid w:val="00DD56E8"/>
    <w:rsid w:val="00DD57D7"/>
    <w:rsid w:val="00DD5A75"/>
    <w:rsid w:val="00DD79C2"/>
    <w:rsid w:val="00DD7D0E"/>
    <w:rsid w:val="00DE0255"/>
    <w:rsid w:val="00DE073D"/>
    <w:rsid w:val="00DE1C3A"/>
    <w:rsid w:val="00DE22F9"/>
    <w:rsid w:val="00DE24B9"/>
    <w:rsid w:val="00DE279D"/>
    <w:rsid w:val="00DE2CA4"/>
    <w:rsid w:val="00DE3152"/>
    <w:rsid w:val="00DE3C3E"/>
    <w:rsid w:val="00DE4295"/>
    <w:rsid w:val="00DE46AC"/>
    <w:rsid w:val="00DE5651"/>
    <w:rsid w:val="00DE59CD"/>
    <w:rsid w:val="00DE6001"/>
    <w:rsid w:val="00DE6485"/>
    <w:rsid w:val="00DE656E"/>
    <w:rsid w:val="00DE74F4"/>
    <w:rsid w:val="00DE7A38"/>
    <w:rsid w:val="00DF0F0D"/>
    <w:rsid w:val="00DF123E"/>
    <w:rsid w:val="00DF12AD"/>
    <w:rsid w:val="00DF15B9"/>
    <w:rsid w:val="00DF240B"/>
    <w:rsid w:val="00DF2706"/>
    <w:rsid w:val="00DF2A6A"/>
    <w:rsid w:val="00DF50CB"/>
    <w:rsid w:val="00DF57FF"/>
    <w:rsid w:val="00DF584F"/>
    <w:rsid w:val="00DF66BB"/>
    <w:rsid w:val="00DF714F"/>
    <w:rsid w:val="00DF735A"/>
    <w:rsid w:val="00DF782C"/>
    <w:rsid w:val="00DF7C5E"/>
    <w:rsid w:val="00E00197"/>
    <w:rsid w:val="00E01568"/>
    <w:rsid w:val="00E015D7"/>
    <w:rsid w:val="00E0182D"/>
    <w:rsid w:val="00E01AB9"/>
    <w:rsid w:val="00E01E6D"/>
    <w:rsid w:val="00E029E6"/>
    <w:rsid w:val="00E035C0"/>
    <w:rsid w:val="00E0468A"/>
    <w:rsid w:val="00E0487F"/>
    <w:rsid w:val="00E04E28"/>
    <w:rsid w:val="00E04F86"/>
    <w:rsid w:val="00E05849"/>
    <w:rsid w:val="00E058CF"/>
    <w:rsid w:val="00E05A31"/>
    <w:rsid w:val="00E05D2C"/>
    <w:rsid w:val="00E05E72"/>
    <w:rsid w:val="00E0733E"/>
    <w:rsid w:val="00E07739"/>
    <w:rsid w:val="00E07991"/>
    <w:rsid w:val="00E07BB3"/>
    <w:rsid w:val="00E115C7"/>
    <w:rsid w:val="00E11834"/>
    <w:rsid w:val="00E121A6"/>
    <w:rsid w:val="00E1266B"/>
    <w:rsid w:val="00E1346B"/>
    <w:rsid w:val="00E146B2"/>
    <w:rsid w:val="00E150DC"/>
    <w:rsid w:val="00E1597F"/>
    <w:rsid w:val="00E15DF9"/>
    <w:rsid w:val="00E164C3"/>
    <w:rsid w:val="00E16513"/>
    <w:rsid w:val="00E1666F"/>
    <w:rsid w:val="00E1710F"/>
    <w:rsid w:val="00E175CE"/>
    <w:rsid w:val="00E17B4C"/>
    <w:rsid w:val="00E20871"/>
    <w:rsid w:val="00E208A3"/>
    <w:rsid w:val="00E20922"/>
    <w:rsid w:val="00E21CF6"/>
    <w:rsid w:val="00E22992"/>
    <w:rsid w:val="00E23E03"/>
    <w:rsid w:val="00E258A2"/>
    <w:rsid w:val="00E25B1D"/>
    <w:rsid w:val="00E25E6A"/>
    <w:rsid w:val="00E261B7"/>
    <w:rsid w:val="00E26317"/>
    <w:rsid w:val="00E26F71"/>
    <w:rsid w:val="00E26FE0"/>
    <w:rsid w:val="00E27736"/>
    <w:rsid w:val="00E27876"/>
    <w:rsid w:val="00E27CE6"/>
    <w:rsid w:val="00E27E08"/>
    <w:rsid w:val="00E27F90"/>
    <w:rsid w:val="00E27FA9"/>
    <w:rsid w:val="00E303D1"/>
    <w:rsid w:val="00E30CDA"/>
    <w:rsid w:val="00E31661"/>
    <w:rsid w:val="00E31797"/>
    <w:rsid w:val="00E31AA0"/>
    <w:rsid w:val="00E31E2F"/>
    <w:rsid w:val="00E324B6"/>
    <w:rsid w:val="00E32B90"/>
    <w:rsid w:val="00E32EDB"/>
    <w:rsid w:val="00E33431"/>
    <w:rsid w:val="00E3386F"/>
    <w:rsid w:val="00E33D68"/>
    <w:rsid w:val="00E33ECA"/>
    <w:rsid w:val="00E34885"/>
    <w:rsid w:val="00E34B59"/>
    <w:rsid w:val="00E35878"/>
    <w:rsid w:val="00E35C38"/>
    <w:rsid w:val="00E35D7D"/>
    <w:rsid w:val="00E3721F"/>
    <w:rsid w:val="00E373FC"/>
    <w:rsid w:val="00E37421"/>
    <w:rsid w:val="00E3780E"/>
    <w:rsid w:val="00E4054F"/>
    <w:rsid w:val="00E4080A"/>
    <w:rsid w:val="00E40C96"/>
    <w:rsid w:val="00E40E4F"/>
    <w:rsid w:val="00E412B1"/>
    <w:rsid w:val="00E415ED"/>
    <w:rsid w:val="00E41614"/>
    <w:rsid w:val="00E4175B"/>
    <w:rsid w:val="00E41A37"/>
    <w:rsid w:val="00E41C06"/>
    <w:rsid w:val="00E41DA4"/>
    <w:rsid w:val="00E42F10"/>
    <w:rsid w:val="00E43373"/>
    <w:rsid w:val="00E43811"/>
    <w:rsid w:val="00E43D4F"/>
    <w:rsid w:val="00E43D9A"/>
    <w:rsid w:val="00E44B1C"/>
    <w:rsid w:val="00E4663D"/>
    <w:rsid w:val="00E4669D"/>
    <w:rsid w:val="00E46C8B"/>
    <w:rsid w:val="00E46F9B"/>
    <w:rsid w:val="00E50027"/>
    <w:rsid w:val="00E504EB"/>
    <w:rsid w:val="00E519C2"/>
    <w:rsid w:val="00E52039"/>
    <w:rsid w:val="00E526AB"/>
    <w:rsid w:val="00E52F8F"/>
    <w:rsid w:val="00E530D5"/>
    <w:rsid w:val="00E5356E"/>
    <w:rsid w:val="00E53F22"/>
    <w:rsid w:val="00E540F9"/>
    <w:rsid w:val="00E54A31"/>
    <w:rsid w:val="00E56000"/>
    <w:rsid w:val="00E56D90"/>
    <w:rsid w:val="00E575FE"/>
    <w:rsid w:val="00E577A0"/>
    <w:rsid w:val="00E60835"/>
    <w:rsid w:val="00E60B6B"/>
    <w:rsid w:val="00E60B80"/>
    <w:rsid w:val="00E60CD0"/>
    <w:rsid w:val="00E61689"/>
    <w:rsid w:val="00E61954"/>
    <w:rsid w:val="00E61A04"/>
    <w:rsid w:val="00E62574"/>
    <w:rsid w:val="00E63463"/>
    <w:rsid w:val="00E63D06"/>
    <w:rsid w:val="00E63DCF"/>
    <w:rsid w:val="00E64499"/>
    <w:rsid w:val="00E64B7E"/>
    <w:rsid w:val="00E64BFE"/>
    <w:rsid w:val="00E65917"/>
    <w:rsid w:val="00E66400"/>
    <w:rsid w:val="00E66498"/>
    <w:rsid w:val="00E678AD"/>
    <w:rsid w:val="00E6793F"/>
    <w:rsid w:val="00E67B6C"/>
    <w:rsid w:val="00E67D57"/>
    <w:rsid w:val="00E7016C"/>
    <w:rsid w:val="00E70D08"/>
    <w:rsid w:val="00E71C94"/>
    <w:rsid w:val="00E72E94"/>
    <w:rsid w:val="00E730C3"/>
    <w:rsid w:val="00E7345A"/>
    <w:rsid w:val="00E73B92"/>
    <w:rsid w:val="00E73E7D"/>
    <w:rsid w:val="00E7426E"/>
    <w:rsid w:val="00E74CC7"/>
    <w:rsid w:val="00E76238"/>
    <w:rsid w:val="00E76505"/>
    <w:rsid w:val="00E7672E"/>
    <w:rsid w:val="00E7699C"/>
    <w:rsid w:val="00E769F9"/>
    <w:rsid w:val="00E76BA2"/>
    <w:rsid w:val="00E76C34"/>
    <w:rsid w:val="00E76E9A"/>
    <w:rsid w:val="00E80AC5"/>
    <w:rsid w:val="00E8296B"/>
    <w:rsid w:val="00E82C96"/>
    <w:rsid w:val="00E83DF5"/>
    <w:rsid w:val="00E84528"/>
    <w:rsid w:val="00E84F27"/>
    <w:rsid w:val="00E84FE8"/>
    <w:rsid w:val="00E86229"/>
    <w:rsid w:val="00E87C06"/>
    <w:rsid w:val="00E87F96"/>
    <w:rsid w:val="00E901F5"/>
    <w:rsid w:val="00E9039B"/>
    <w:rsid w:val="00E90717"/>
    <w:rsid w:val="00E90D2E"/>
    <w:rsid w:val="00E9446F"/>
    <w:rsid w:val="00E94528"/>
    <w:rsid w:val="00E9492D"/>
    <w:rsid w:val="00E954CF"/>
    <w:rsid w:val="00E960CF"/>
    <w:rsid w:val="00E9666E"/>
    <w:rsid w:val="00E9678F"/>
    <w:rsid w:val="00E9679A"/>
    <w:rsid w:val="00E967F3"/>
    <w:rsid w:val="00E9764C"/>
    <w:rsid w:val="00EA0226"/>
    <w:rsid w:val="00EA03E5"/>
    <w:rsid w:val="00EA0B00"/>
    <w:rsid w:val="00EA34AD"/>
    <w:rsid w:val="00EA448A"/>
    <w:rsid w:val="00EA4B3F"/>
    <w:rsid w:val="00EA51AC"/>
    <w:rsid w:val="00EA570F"/>
    <w:rsid w:val="00EA6D12"/>
    <w:rsid w:val="00EA6DA9"/>
    <w:rsid w:val="00EA753F"/>
    <w:rsid w:val="00EB078C"/>
    <w:rsid w:val="00EB11B9"/>
    <w:rsid w:val="00EB2E42"/>
    <w:rsid w:val="00EB4249"/>
    <w:rsid w:val="00EB432C"/>
    <w:rsid w:val="00EB48CD"/>
    <w:rsid w:val="00EB5239"/>
    <w:rsid w:val="00EB52E7"/>
    <w:rsid w:val="00EB5498"/>
    <w:rsid w:val="00EB549A"/>
    <w:rsid w:val="00EB55F9"/>
    <w:rsid w:val="00EB610D"/>
    <w:rsid w:val="00EB693B"/>
    <w:rsid w:val="00EB6A6F"/>
    <w:rsid w:val="00EB6C2B"/>
    <w:rsid w:val="00EB70CB"/>
    <w:rsid w:val="00EB728F"/>
    <w:rsid w:val="00EB762C"/>
    <w:rsid w:val="00EB77DA"/>
    <w:rsid w:val="00EB7AF6"/>
    <w:rsid w:val="00EB7D8F"/>
    <w:rsid w:val="00EC002C"/>
    <w:rsid w:val="00EC037B"/>
    <w:rsid w:val="00EC1D18"/>
    <w:rsid w:val="00EC1ECB"/>
    <w:rsid w:val="00EC2742"/>
    <w:rsid w:val="00EC299C"/>
    <w:rsid w:val="00EC3037"/>
    <w:rsid w:val="00EC4BB9"/>
    <w:rsid w:val="00EC51E2"/>
    <w:rsid w:val="00EC562E"/>
    <w:rsid w:val="00EC5850"/>
    <w:rsid w:val="00EC58C4"/>
    <w:rsid w:val="00EC711F"/>
    <w:rsid w:val="00EC795D"/>
    <w:rsid w:val="00EC7A65"/>
    <w:rsid w:val="00ED02CB"/>
    <w:rsid w:val="00ED068D"/>
    <w:rsid w:val="00ED0BCC"/>
    <w:rsid w:val="00ED304F"/>
    <w:rsid w:val="00ED38CD"/>
    <w:rsid w:val="00ED3DFC"/>
    <w:rsid w:val="00ED3EB0"/>
    <w:rsid w:val="00ED50E8"/>
    <w:rsid w:val="00ED5484"/>
    <w:rsid w:val="00ED59D8"/>
    <w:rsid w:val="00ED5CED"/>
    <w:rsid w:val="00ED6B09"/>
    <w:rsid w:val="00ED7A3A"/>
    <w:rsid w:val="00EE24BE"/>
    <w:rsid w:val="00EE2879"/>
    <w:rsid w:val="00EE2A39"/>
    <w:rsid w:val="00EE2FD8"/>
    <w:rsid w:val="00EE369D"/>
    <w:rsid w:val="00EE3CB0"/>
    <w:rsid w:val="00EE3DA6"/>
    <w:rsid w:val="00EE3DE9"/>
    <w:rsid w:val="00EE3FA2"/>
    <w:rsid w:val="00EE4444"/>
    <w:rsid w:val="00EE478D"/>
    <w:rsid w:val="00EE4EC2"/>
    <w:rsid w:val="00EE53B4"/>
    <w:rsid w:val="00EE5FA8"/>
    <w:rsid w:val="00EE5FDD"/>
    <w:rsid w:val="00EF0EB5"/>
    <w:rsid w:val="00EF15FC"/>
    <w:rsid w:val="00EF1B8C"/>
    <w:rsid w:val="00EF2E9A"/>
    <w:rsid w:val="00EF3089"/>
    <w:rsid w:val="00EF358E"/>
    <w:rsid w:val="00EF3A9D"/>
    <w:rsid w:val="00EF3F5D"/>
    <w:rsid w:val="00EF3F78"/>
    <w:rsid w:val="00EF4615"/>
    <w:rsid w:val="00EF49AD"/>
    <w:rsid w:val="00EF4B32"/>
    <w:rsid w:val="00EF4D7E"/>
    <w:rsid w:val="00EF500D"/>
    <w:rsid w:val="00EF5485"/>
    <w:rsid w:val="00EF588A"/>
    <w:rsid w:val="00EF5E23"/>
    <w:rsid w:val="00F0104A"/>
    <w:rsid w:val="00F02E63"/>
    <w:rsid w:val="00F03003"/>
    <w:rsid w:val="00F04528"/>
    <w:rsid w:val="00F04CD2"/>
    <w:rsid w:val="00F05373"/>
    <w:rsid w:val="00F05399"/>
    <w:rsid w:val="00F06430"/>
    <w:rsid w:val="00F065C2"/>
    <w:rsid w:val="00F06CD5"/>
    <w:rsid w:val="00F073A6"/>
    <w:rsid w:val="00F07E31"/>
    <w:rsid w:val="00F1022E"/>
    <w:rsid w:val="00F116D0"/>
    <w:rsid w:val="00F124F3"/>
    <w:rsid w:val="00F12A93"/>
    <w:rsid w:val="00F12E42"/>
    <w:rsid w:val="00F12F59"/>
    <w:rsid w:val="00F144C4"/>
    <w:rsid w:val="00F14BB7"/>
    <w:rsid w:val="00F14D41"/>
    <w:rsid w:val="00F14ED4"/>
    <w:rsid w:val="00F15F5A"/>
    <w:rsid w:val="00F15FBF"/>
    <w:rsid w:val="00F16DBB"/>
    <w:rsid w:val="00F16FF0"/>
    <w:rsid w:val="00F17C4A"/>
    <w:rsid w:val="00F17D13"/>
    <w:rsid w:val="00F21577"/>
    <w:rsid w:val="00F22B64"/>
    <w:rsid w:val="00F236FF"/>
    <w:rsid w:val="00F23AA1"/>
    <w:rsid w:val="00F25268"/>
    <w:rsid w:val="00F258C9"/>
    <w:rsid w:val="00F2676A"/>
    <w:rsid w:val="00F26B6A"/>
    <w:rsid w:val="00F26D86"/>
    <w:rsid w:val="00F27156"/>
    <w:rsid w:val="00F2731E"/>
    <w:rsid w:val="00F27FE1"/>
    <w:rsid w:val="00F3072B"/>
    <w:rsid w:val="00F31613"/>
    <w:rsid w:val="00F31A1B"/>
    <w:rsid w:val="00F31C4F"/>
    <w:rsid w:val="00F32239"/>
    <w:rsid w:val="00F32554"/>
    <w:rsid w:val="00F325C9"/>
    <w:rsid w:val="00F329F4"/>
    <w:rsid w:val="00F32E5B"/>
    <w:rsid w:val="00F33163"/>
    <w:rsid w:val="00F3376D"/>
    <w:rsid w:val="00F33771"/>
    <w:rsid w:val="00F33E54"/>
    <w:rsid w:val="00F34FD0"/>
    <w:rsid w:val="00F353B8"/>
    <w:rsid w:val="00F35541"/>
    <w:rsid w:val="00F35C56"/>
    <w:rsid w:val="00F36458"/>
    <w:rsid w:val="00F36C52"/>
    <w:rsid w:val="00F40698"/>
    <w:rsid w:val="00F41264"/>
    <w:rsid w:val="00F41800"/>
    <w:rsid w:val="00F41D45"/>
    <w:rsid w:val="00F424FD"/>
    <w:rsid w:val="00F42F58"/>
    <w:rsid w:val="00F43493"/>
    <w:rsid w:val="00F43AB9"/>
    <w:rsid w:val="00F43DE7"/>
    <w:rsid w:val="00F4412C"/>
    <w:rsid w:val="00F44253"/>
    <w:rsid w:val="00F44B1E"/>
    <w:rsid w:val="00F44C9D"/>
    <w:rsid w:val="00F46667"/>
    <w:rsid w:val="00F469AC"/>
    <w:rsid w:val="00F46AB2"/>
    <w:rsid w:val="00F46AE6"/>
    <w:rsid w:val="00F479D4"/>
    <w:rsid w:val="00F479ED"/>
    <w:rsid w:val="00F47B77"/>
    <w:rsid w:val="00F513A8"/>
    <w:rsid w:val="00F51C9B"/>
    <w:rsid w:val="00F542F5"/>
    <w:rsid w:val="00F544C2"/>
    <w:rsid w:val="00F546B4"/>
    <w:rsid w:val="00F55335"/>
    <w:rsid w:val="00F558C1"/>
    <w:rsid w:val="00F55901"/>
    <w:rsid w:val="00F55BA1"/>
    <w:rsid w:val="00F55DD0"/>
    <w:rsid w:val="00F571F0"/>
    <w:rsid w:val="00F60106"/>
    <w:rsid w:val="00F6042B"/>
    <w:rsid w:val="00F609BC"/>
    <w:rsid w:val="00F60AA1"/>
    <w:rsid w:val="00F61423"/>
    <w:rsid w:val="00F6332F"/>
    <w:rsid w:val="00F63334"/>
    <w:rsid w:val="00F64C97"/>
    <w:rsid w:val="00F66D28"/>
    <w:rsid w:val="00F6720F"/>
    <w:rsid w:val="00F67904"/>
    <w:rsid w:val="00F67B25"/>
    <w:rsid w:val="00F71936"/>
    <w:rsid w:val="00F71A7C"/>
    <w:rsid w:val="00F72A0C"/>
    <w:rsid w:val="00F72DD9"/>
    <w:rsid w:val="00F732F1"/>
    <w:rsid w:val="00F736E1"/>
    <w:rsid w:val="00F73CB6"/>
    <w:rsid w:val="00F73CC2"/>
    <w:rsid w:val="00F7439E"/>
    <w:rsid w:val="00F74EA4"/>
    <w:rsid w:val="00F75318"/>
    <w:rsid w:val="00F75748"/>
    <w:rsid w:val="00F763D3"/>
    <w:rsid w:val="00F76461"/>
    <w:rsid w:val="00F76C2D"/>
    <w:rsid w:val="00F77D7F"/>
    <w:rsid w:val="00F80008"/>
    <w:rsid w:val="00F803F2"/>
    <w:rsid w:val="00F8111E"/>
    <w:rsid w:val="00F812BF"/>
    <w:rsid w:val="00F81523"/>
    <w:rsid w:val="00F81B84"/>
    <w:rsid w:val="00F8385C"/>
    <w:rsid w:val="00F83DF3"/>
    <w:rsid w:val="00F83EA0"/>
    <w:rsid w:val="00F847B1"/>
    <w:rsid w:val="00F84F78"/>
    <w:rsid w:val="00F850F4"/>
    <w:rsid w:val="00F85EDC"/>
    <w:rsid w:val="00F8692F"/>
    <w:rsid w:val="00F8694C"/>
    <w:rsid w:val="00F87657"/>
    <w:rsid w:val="00F9025D"/>
    <w:rsid w:val="00F90868"/>
    <w:rsid w:val="00F90B09"/>
    <w:rsid w:val="00F922C7"/>
    <w:rsid w:val="00F92B21"/>
    <w:rsid w:val="00F9339E"/>
    <w:rsid w:val="00F94140"/>
    <w:rsid w:val="00F95B39"/>
    <w:rsid w:val="00F95DA2"/>
    <w:rsid w:val="00F979B6"/>
    <w:rsid w:val="00F97D69"/>
    <w:rsid w:val="00FA0845"/>
    <w:rsid w:val="00FA0EC4"/>
    <w:rsid w:val="00FA109E"/>
    <w:rsid w:val="00FA10FD"/>
    <w:rsid w:val="00FA1585"/>
    <w:rsid w:val="00FA252C"/>
    <w:rsid w:val="00FA2D25"/>
    <w:rsid w:val="00FA2F44"/>
    <w:rsid w:val="00FA3A48"/>
    <w:rsid w:val="00FA3D60"/>
    <w:rsid w:val="00FA3E8C"/>
    <w:rsid w:val="00FA413D"/>
    <w:rsid w:val="00FA4F85"/>
    <w:rsid w:val="00FA54AD"/>
    <w:rsid w:val="00FA61D2"/>
    <w:rsid w:val="00FA668F"/>
    <w:rsid w:val="00FA7349"/>
    <w:rsid w:val="00FB0006"/>
    <w:rsid w:val="00FB11E2"/>
    <w:rsid w:val="00FB1F7D"/>
    <w:rsid w:val="00FB27DA"/>
    <w:rsid w:val="00FB3BAA"/>
    <w:rsid w:val="00FB3C17"/>
    <w:rsid w:val="00FB3CFE"/>
    <w:rsid w:val="00FB442B"/>
    <w:rsid w:val="00FB471F"/>
    <w:rsid w:val="00FB49C8"/>
    <w:rsid w:val="00FB5269"/>
    <w:rsid w:val="00FB582B"/>
    <w:rsid w:val="00FB59CA"/>
    <w:rsid w:val="00FB5C97"/>
    <w:rsid w:val="00FB60E1"/>
    <w:rsid w:val="00FB7CB1"/>
    <w:rsid w:val="00FC0BE4"/>
    <w:rsid w:val="00FC234D"/>
    <w:rsid w:val="00FC349D"/>
    <w:rsid w:val="00FC34FE"/>
    <w:rsid w:val="00FC3C50"/>
    <w:rsid w:val="00FC411D"/>
    <w:rsid w:val="00FC453F"/>
    <w:rsid w:val="00FC4682"/>
    <w:rsid w:val="00FC5761"/>
    <w:rsid w:val="00FC601B"/>
    <w:rsid w:val="00FC656A"/>
    <w:rsid w:val="00FC68AA"/>
    <w:rsid w:val="00FC6986"/>
    <w:rsid w:val="00FC7861"/>
    <w:rsid w:val="00FC7AB0"/>
    <w:rsid w:val="00FD03FD"/>
    <w:rsid w:val="00FD09D6"/>
    <w:rsid w:val="00FD0BA4"/>
    <w:rsid w:val="00FD0CF5"/>
    <w:rsid w:val="00FD17E6"/>
    <w:rsid w:val="00FD206C"/>
    <w:rsid w:val="00FD2A4B"/>
    <w:rsid w:val="00FD3E35"/>
    <w:rsid w:val="00FD41C5"/>
    <w:rsid w:val="00FD44AA"/>
    <w:rsid w:val="00FD4890"/>
    <w:rsid w:val="00FD4D26"/>
    <w:rsid w:val="00FD5AA4"/>
    <w:rsid w:val="00FD5F83"/>
    <w:rsid w:val="00FD7EB5"/>
    <w:rsid w:val="00FE0AF1"/>
    <w:rsid w:val="00FE0E44"/>
    <w:rsid w:val="00FE0FFA"/>
    <w:rsid w:val="00FE263B"/>
    <w:rsid w:val="00FE2D73"/>
    <w:rsid w:val="00FE3171"/>
    <w:rsid w:val="00FE424B"/>
    <w:rsid w:val="00FE4F7D"/>
    <w:rsid w:val="00FE6362"/>
    <w:rsid w:val="00FE6D16"/>
    <w:rsid w:val="00FE7C5B"/>
    <w:rsid w:val="00FF0635"/>
    <w:rsid w:val="00FF0871"/>
    <w:rsid w:val="00FF0A88"/>
    <w:rsid w:val="00FF135C"/>
    <w:rsid w:val="00FF1AD2"/>
    <w:rsid w:val="00FF1D26"/>
    <w:rsid w:val="00FF3F1D"/>
    <w:rsid w:val="00FF73B4"/>
    <w:rsid w:val="00FF7C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62832"/>
  <w14:defaultImageDpi w14:val="0"/>
  <w15:docId w15:val="{3175739E-94D5-4BAB-82FC-E3D2A528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link w:val="Heading1Char"/>
    <w:uiPriority w:val="9"/>
    <w:qFormat/>
    <w:rsid w:val="00352B53"/>
    <w:pPr>
      <w:keepNext/>
      <w:jc w:val="center"/>
      <w:outlineLvl w:val="0"/>
    </w:pPr>
    <w:rPr>
      <w:b/>
      <w:bCs/>
      <w:i/>
      <w:iCs/>
      <w:sz w:val="44"/>
    </w:rPr>
  </w:style>
  <w:style w:type="paragraph" w:styleId="Heading2">
    <w:name w:val="heading 2"/>
    <w:basedOn w:val="Normal"/>
    <w:next w:val="Normal"/>
    <w:link w:val="Heading2Char"/>
    <w:uiPriority w:val="9"/>
    <w:semiHidden/>
    <w:unhideWhenUsed/>
    <w:qFormat/>
    <w:rsid w:val="00AF70CF"/>
    <w:pPr>
      <w:keepNext/>
      <w:keepLines/>
      <w:spacing w:before="40"/>
      <w:outlineLvl w:val="1"/>
    </w:pPr>
    <w:rPr>
      <w:rFonts w:asciiTheme="majorHAnsi" w:eastAsiaTheme="majorEastAsia" w:hAnsiTheme="majorHAnsi" w:cs="Times New Roman"/>
      <w:color w:val="2F5496" w:themeColor="accent1" w:themeShade="BF"/>
      <w:sz w:val="26"/>
      <w:szCs w:val="26"/>
    </w:rPr>
  </w:style>
  <w:style w:type="paragraph" w:styleId="Heading8">
    <w:name w:val="heading 8"/>
    <w:basedOn w:val="Normal"/>
    <w:next w:val="Normal"/>
    <w:link w:val="Heading8Char"/>
    <w:uiPriority w:val="9"/>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sid w:val="00AF70CF"/>
    <w:rPr>
      <w:rFonts w:asciiTheme="majorHAnsi" w:eastAsiaTheme="majorEastAsia" w:hAnsiTheme="majorHAnsi" w:cs="Times New Roman"/>
      <w:color w:val="2F5496" w:themeColor="accent1" w:themeShade="BF"/>
      <w:sz w:val="26"/>
      <w:szCs w:val="26"/>
      <w:lang w:val="en-GB"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US"/>
    </w:rPr>
  </w:style>
  <w:style w:type="paragraph" w:styleId="BodyTextIndent">
    <w:name w:val="Body Text Indent"/>
    <w:basedOn w:val="Normal"/>
    <w:link w:val="BodyTextIndentChar"/>
    <w:uiPriority w:val="99"/>
    <w:rsid w:val="00352B53"/>
    <w:pPr>
      <w:widowControl w:val="0"/>
      <w:autoSpaceDE w:val="0"/>
      <w:autoSpaceDN w:val="0"/>
      <w:adjustRightInd w:val="0"/>
      <w:spacing w:line="720" w:lineRule="auto"/>
    </w:pPr>
    <w:rPr>
      <w:szCs w:val="28"/>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US"/>
    </w:rPr>
  </w:style>
  <w:style w:type="paragraph" w:styleId="Header">
    <w:name w:val="header"/>
    <w:basedOn w:val="Normal"/>
    <w:link w:val="HeaderChar"/>
    <w:uiPriority w:val="99"/>
    <w:rsid w:val="00F71936"/>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US"/>
    </w:rPr>
  </w:style>
  <w:style w:type="character" w:styleId="PageNumber">
    <w:name w:val="page number"/>
    <w:basedOn w:val="DefaultParagraphFont"/>
    <w:uiPriority w:val="99"/>
    <w:rsid w:val="00F71936"/>
    <w:rPr>
      <w:rFonts w:cs="Times New Roman"/>
    </w:rPr>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b/>
      <w:color w:val="221E1F"/>
      <w:sz w:val="20"/>
    </w:rPr>
  </w:style>
  <w:style w:type="paragraph" w:styleId="Footer">
    <w:name w:val="footer"/>
    <w:basedOn w:val="Normal"/>
    <w:link w:val="FooterChar"/>
    <w:uiPriority w:val="99"/>
    <w:rsid w:val="002533B8"/>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US"/>
    </w:rPr>
  </w:style>
  <w:style w:type="paragraph" w:styleId="FootnoteText">
    <w:name w:val="footnote text"/>
    <w:basedOn w:val="Normal"/>
    <w:link w:val="FootnoteTextChar"/>
    <w:uiPriority w:val="99"/>
    <w:rsid w:val="007045C4"/>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locked/>
    <w:rsid w:val="007045C4"/>
    <w:rPr>
      <w:lang w:val="en-US" w:eastAsia="en-US"/>
    </w:rPr>
  </w:style>
  <w:style w:type="character" w:customStyle="1" w:styleId="mc1">
    <w:name w:val="mc1"/>
    <w:rsid w:val="00D358D0"/>
    <w:rPr>
      <w:rFonts w:ascii="Verdana" w:hAnsi="Verdana"/>
      <w:color w:val="000000"/>
      <w:sz w:val="17"/>
      <w:shd w:val="clear" w:color="auto" w:fill="C0C0C0"/>
    </w:rPr>
  </w:style>
  <w:style w:type="paragraph" w:styleId="BalloonText">
    <w:name w:val="Balloon Text"/>
    <w:basedOn w:val="Normal"/>
    <w:link w:val="BalloonTextChar"/>
    <w:uiPriority w:val="99"/>
    <w:semiHidden/>
    <w:rsid w:val="00D27F5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GB" w:eastAsia="en-US"/>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character" w:styleId="FootnoteReference">
    <w:name w:val="footnote reference"/>
    <w:basedOn w:val="DefaultParagraphFont"/>
    <w:uiPriority w:val="99"/>
    <w:rsid w:val="007045C4"/>
    <w:rPr>
      <w:rFonts w:cs="Times New Roman"/>
      <w:vertAlign w:val="superscript"/>
    </w:rPr>
  </w:style>
  <w:style w:type="character" w:styleId="Strong">
    <w:name w:val="Strong"/>
    <w:basedOn w:val="DefaultParagraphFont"/>
    <w:uiPriority w:val="22"/>
    <w:qFormat/>
    <w:rsid w:val="00A05F6B"/>
    <w:rPr>
      <w:rFonts w:cs="Times New Roman"/>
      <w:b/>
    </w:rPr>
  </w:style>
  <w:style w:type="character" w:styleId="CommentReference">
    <w:name w:val="annotation reference"/>
    <w:basedOn w:val="DefaultParagraphFont"/>
    <w:uiPriority w:val="99"/>
    <w:rsid w:val="00163273"/>
    <w:rPr>
      <w:rFonts w:cs="Times New Roman"/>
      <w:sz w:val="18"/>
    </w:rPr>
  </w:style>
  <w:style w:type="paragraph" w:styleId="CommentText">
    <w:name w:val="annotation text"/>
    <w:basedOn w:val="Normal"/>
    <w:link w:val="CommentTextChar"/>
    <w:uiPriority w:val="99"/>
    <w:rsid w:val="00163273"/>
    <w:rPr>
      <w:sz w:val="24"/>
    </w:rPr>
  </w:style>
  <w:style w:type="character" w:customStyle="1" w:styleId="CommentTextChar">
    <w:name w:val="Comment Text Char"/>
    <w:basedOn w:val="DefaultParagraphFont"/>
    <w:link w:val="CommentText"/>
    <w:uiPriority w:val="99"/>
    <w:locked/>
    <w:rsid w:val="00163273"/>
    <w:rPr>
      <w:rFonts w:ascii="Arial" w:hAnsi="Arial" w:cs="Times New Roman"/>
      <w:sz w:val="24"/>
      <w:lang w:val="en-GB" w:eastAsia="x-none"/>
    </w:rPr>
  </w:style>
  <w:style w:type="paragraph" w:styleId="CommentSubject">
    <w:name w:val="annotation subject"/>
    <w:basedOn w:val="CommentText"/>
    <w:next w:val="CommentText"/>
    <w:link w:val="CommentSubjectChar"/>
    <w:uiPriority w:val="99"/>
    <w:rsid w:val="00163273"/>
    <w:rPr>
      <w:b/>
      <w:bCs/>
      <w:sz w:val="20"/>
      <w:szCs w:val="20"/>
    </w:rPr>
  </w:style>
  <w:style w:type="character" w:customStyle="1" w:styleId="CommentSubjectChar">
    <w:name w:val="Comment Subject Char"/>
    <w:basedOn w:val="CommentTextChar"/>
    <w:link w:val="CommentSubject"/>
    <w:uiPriority w:val="99"/>
    <w:locked/>
    <w:rsid w:val="00163273"/>
    <w:rPr>
      <w:rFonts w:ascii="Arial" w:hAnsi="Arial" w:cs="Times New Roman"/>
      <w:b/>
      <w:sz w:val="24"/>
      <w:lang w:val="en-GB" w:eastAsia="x-none"/>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 w:type="paragraph" w:customStyle="1" w:styleId="footnotes00">
    <w:name w:val="footnotes00"/>
    <w:basedOn w:val="Normal"/>
    <w:uiPriority w:val="99"/>
    <w:rsid w:val="00FB1F7D"/>
    <w:pPr>
      <w:spacing w:line="240" w:lineRule="auto"/>
      <w:ind w:left="567" w:hanging="567"/>
    </w:pPr>
    <w:rPr>
      <w:rFonts w:ascii="Verdana" w:hAnsi="Verdana" w:cs="Times New Roman"/>
      <w:color w:val="000000"/>
      <w:sz w:val="16"/>
      <w:szCs w:val="16"/>
      <w:lang w:val="en-ZA" w:eastAsia="en-ZA"/>
    </w:rPr>
  </w:style>
  <w:style w:type="paragraph" w:styleId="NormalWeb">
    <w:name w:val="Normal (Web)"/>
    <w:basedOn w:val="Normal"/>
    <w:uiPriority w:val="99"/>
    <w:unhideWhenUsed/>
    <w:rsid w:val="00627E05"/>
    <w:pPr>
      <w:spacing w:before="100" w:beforeAutospacing="1" w:after="100" w:afterAutospacing="1" w:line="240" w:lineRule="auto"/>
      <w:jc w:val="left"/>
    </w:pPr>
    <w:rPr>
      <w:rFonts w:ascii="Times New Roman" w:hAnsi="Times New Roman" w:cs="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1673">
      <w:marLeft w:val="0"/>
      <w:marRight w:val="0"/>
      <w:marTop w:val="0"/>
      <w:marBottom w:val="0"/>
      <w:divBdr>
        <w:top w:val="none" w:sz="0" w:space="0" w:color="auto"/>
        <w:left w:val="none" w:sz="0" w:space="0" w:color="auto"/>
        <w:bottom w:val="none" w:sz="0" w:space="0" w:color="auto"/>
        <w:right w:val="none" w:sz="0" w:space="0" w:color="auto"/>
      </w:divBdr>
    </w:div>
    <w:div w:id="1144541678">
      <w:marLeft w:val="0"/>
      <w:marRight w:val="0"/>
      <w:marTop w:val="0"/>
      <w:marBottom w:val="0"/>
      <w:divBdr>
        <w:top w:val="none" w:sz="0" w:space="0" w:color="auto"/>
        <w:left w:val="none" w:sz="0" w:space="0" w:color="auto"/>
        <w:bottom w:val="none" w:sz="0" w:space="0" w:color="auto"/>
        <w:right w:val="none" w:sz="0" w:space="0" w:color="auto"/>
      </w:divBdr>
    </w:div>
    <w:div w:id="1144541683">
      <w:marLeft w:val="360"/>
      <w:marRight w:val="360"/>
      <w:marTop w:val="0"/>
      <w:marBottom w:val="0"/>
      <w:divBdr>
        <w:top w:val="none" w:sz="0" w:space="0" w:color="auto"/>
        <w:left w:val="none" w:sz="0" w:space="0" w:color="auto"/>
        <w:bottom w:val="none" w:sz="0" w:space="0" w:color="auto"/>
        <w:right w:val="none" w:sz="0" w:space="0" w:color="auto"/>
      </w:divBdr>
      <w:divsChild>
        <w:div w:id="1144541674">
          <w:marLeft w:val="1293"/>
          <w:marRight w:val="0"/>
          <w:marTop w:val="0"/>
          <w:marBottom w:val="180"/>
          <w:divBdr>
            <w:top w:val="none" w:sz="0" w:space="0" w:color="auto"/>
            <w:left w:val="none" w:sz="0" w:space="0" w:color="auto"/>
            <w:bottom w:val="none" w:sz="0" w:space="0" w:color="auto"/>
            <w:right w:val="none" w:sz="0" w:space="0" w:color="auto"/>
          </w:divBdr>
        </w:div>
        <w:div w:id="1144541675">
          <w:marLeft w:val="0"/>
          <w:marRight w:val="0"/>
          <w:marTop w:val="120"/>
          <w:marBottom w:val="0"/>
          <w:divBdr>
            <w:top w:val="none" w:sz="0" w:space="0" w:color="auto"/>
            <w:left w:val="none" w:sz="0" w:space="0" w:color="auto"/>
            <w:bottom w:val="none" w:sz="0" w:space="0" w:color="auto"/>
            <w:right w:val="none" w:sz="0" w:space="0" w:color="auto"/>
          </w:divBdr>
        </w:div>
        <w:div w:id="1144541676">
          <w:marLeft w:val="1984"/>
          <w:marRight w:val="0"/>
          <w:marTop w:val="0"/>
          <w:marBottom w:val="180"/>
          <w:divBdr>
            <w:top w:val="none" w:sz="0" w:space="0" w:color="auto"/>
            <w:left w:val="none" w:sz="0" w:space="0" w:color="auto"/>
            <w:bottom w:val="none" w:sz="0" w:space="0" w:color="auto"/>
            <w:right w:val="none" w:sz="0" w:space="0" w:color="auto"/>
          </w:divBdr>
        </w:div>
        <w:div w:id="1144541677">
          <w:marLeft w:val="1293"/>
          <w:marRight w:val="0"/>
          <w:marTop w:val="0"/>
          <w:marBottom w:val="180"/>
          <w:divBdr>
            <w:top w:val="none" w:sz="0" w:space="0" w:color="auto"/>
            <w:left w:val="none" w:sz="0" w:space="0" w:color="auto"/>
            <w:bottom w:val="none" w:sz="0" w:space="0" w:color="auto"/>
            <w:right w:val="none" w:sz="0" w:space="0" w:color="auto"/>
          </w:divBdr>
        </w:div>
        <w:div w:id="1144541679">
          <w:marLeft w:val="0"/>
          <w:marRight w:val="0"/>
          <w:marTop w:val="120"/>
          <w:marBottom w:val="0"/>
          <w:divBdr>
            <w:top w:val="none" w:sz="0" w:space="0" w:color="auto"/>
            <w:left w:val="none" w:sz="0" w:space="0" w:color="auto"/>
            <w:bottom w:val="none" w:sz="0" w:space="0" w:color="auto"/>
            <w:right w:val="none" w:sz="0" w:space="0" w:color="auto"/>
          </w:divBdr>
        </w:div>
        <w:div w:id="1144541680">
          <w:marLeft w:val="0"/>
          <w:marRight w:val="0"/>
          <w:marTop w:val="288"/>
          <w:marBottom w:val="0"/>
          <w:divBdr>
            <w:top w:val="single" w:sz="8" w:space="2" w:color="808080"/>
            <w:left w:val="none" w:sz="0" w:space="0" w:color="auto"/>
            <w:bottom w:val="none" w:sz="0" w:space="0" w:color="auto"/>
            <w:right w:val="none" w:sz="0" w:space="0" w:color="auto"/>
          </w:divBdr>
        </w:div>
        <w:div w:id="1144541681">
          <w:marLeft w:val="1293"/>
          <w:marRight w:val="0"/>
          <w:marTop w:val="0"/>
          <w:marBottom w:val="180"/>
          <w:divBdr>
            <w:top w:val="none" w:sz="0" w:space="0" w:color="auto"/>
            <w:left w:val="none" w:sz="0" w:space="0" w:color="auto"/>
            <w:bottom w:val="none" w:sz="0" w:space="0" w:color="auto"/>
            <w:right w:val="none" w:sz="0" w:space="0" w:color="auto"/>
          </w:divBdr>
        </w:div>
        <w:div w:id="1144541684">
          <w:marLeft w:val="1293"/>
          <w:marRight w:val="0"/>
          <w:marTop w:val="0"/>
          <w:marBottom w:val="180"/>
          <w:divBdr>
            <w:top w:val="none" w:sz="0" w:space="0" w:color="auto"/>
            <w:left w:val="none" w:sz="0" w:space="0" w:color="auto"/>
            <w:bottom w:val="none" w:sz="0" w:space="0" w:color="auto"/>
            <w:right w:val="none" w:sz="0" w:space="0" w:color="auto"/>
          </w:divBdr>
        </w:div>
        <w:div w:id="1144541688">
          <w:marLeft w:val="567"/>
          <w:marRight w:val="0"/>
          <w:marTop w:val="120"/>
          <w:marBottom w:val="20"/>
          <w:divBdr>
            <w:top w:val="none" w:sz="0" w:space="0" w:color="auto"/>
            <w:left w:val="none" w:sz="0" w:space="0" w:color="auto"/>
            <w:bottom w:val="none" w:sz="0" w:space="0" w:color="auto"/>
            <w:right w:val="none" w:sz="0" w:space="0" w:color="auto"/>
          </w:divBdr>
        </w:div>
        <w:div w:id="1144541692">
          <w:marLeft w:val="1984"/>
          <w:marRight w:val="0"/>
          <w:marTop w:val="0"/>
          <w:marBottom w:val="180"/>
          <w:divBdr>
            <w:top w:val="none" w:sz="0" w:space="0" w:color="auto"/>
            <w:left w:val="none" w:sz="0" w:space="0" w:color="auto"/>
            <w:bottom w:val="none" w:sz="0" w:space="0" w:color="auto"/>
            <w:right w:val="none" w:sz="0" w:space="0" w:color="auto"/>
          </w:divBdr>
        </w:div>
        <w:div w:id="1144541694">
          <w:marLeft w:val="1984"/>
          <w:marRight w:val="0"/>
          <w:marTop w:val="0"/>
          <w:marBottom w:val="180"/>
          <w:divBdr>
            <w:top w:val="none" w:sz="0" w:space="0" w:color="auto"/>
            <w:left w:val="none" w:sz="0" w:space="0" w:color="auto"/>
            <w:bottom w:val="none" w:sz="0" w:space="0" w:color="auto"/>
            <w:right w:val="none" w:sz="0" w:space="0" w:color="auto"/>
          </w:divBdr>
        </w:div>
        <w:div w:id="1144541696">
          <w:marLeft w:val="1984"/>
          <w:marRight w:val="0"/>
          <w:marTop w:val="0"/>
          <w:marBottom w:val="180"/>
          <w:divBdr>
            <w:top w:val="none" w:sz="0" w:space="0" w:color="auto"/>
            <w:left w:val="none" w:sz="0" w:space="0" w:color="auto"/>
            <w:bottom w:val="none" w:sz="0" w:space="0" w:color="auto"/>
            <w:right w:val="none" w:sz="0" w:space="0" w:color="auto"/>
          </w:divBdr>
        </w:div>
      </w:divsChild>
    </w:div>
    <w:div w:id="1144541685">
      <w:marLeft w:val="0"/>
      <w:marRight w:val="0"/>
      <w:marTop w:val="0"/>
      <w:marBottom w:val="0"/>
      <w:divBdr>
        <w:top w:val="none" w:sz="0" w:space="0" w:color="auto"/>
        <w:left w:val="none" w:sz="0" w:space="0" w:color="auto"/>
        <w:bottom w:val="none" w:sz="0" w:space="0" w:color="auto"/>
        <w:right w:val="none" w:sz="0" w:space="0" w:color="auto"/>
      </w:divBdr>
    </w:div>
    <w:div w:id="1144541689">
      <w:marLeft w:val="360"/>
      <w:marRight w:val="360"/>
      <w:marTop w:val="0"/>
      <w:marBottom w:val="0"/>
      <w:divBdr>
        <w:top w:val="none" w:sz="0" w:space="0" w:color="auto"/>
        <w:left w:val="none" w:sz="0" w:space="0" w:color="auto"/>
        <w:bottom w:val="none" w:sz="0" w:space="0" w:color="auto"/>
        <w:right w:val="none" w:sz="0" w:space="0" w:color="auto"/>
      </w:divBdr>
      <w:divsChild>
        <w:div w:id="1144541682">
          <w:marLeft w:val="0"/>
          <w:marRight w:val="0"/>
          <w:marTop w:val="120"/>
          <w:marBottom w:val="0"/>
          <w:divBdr>
            <w:top w:val="none" w:sz="0" w:space="0" w:color="auto"/>
            <w:left w:val="none" w:sz="0" w:space="0" w:color="auto"/>
            <w:bottom w:val="none" w:sz="0" w:space="0" w:color="auto"/>
            <w:right w:val="none" w:sz="0" w:space="0" w:color="auto"/>
          </w:divBdr>
        </w:div>
        <w:div w:id="1144541686">
          <w:marLeft w:val="1293"/>
          <w:marRight w:val="0"/>
          <w:marTop w:val="0"/>
          <w:marBottom w:val="180"/>
          <w:divBdr>
            <w:top w:val="none" w:sz="0" w:space="0" w:color="auto"/>
            <w:left w:val="none" w:sz="0" w:space="0" w:color="auto"/>
            <w:bottom w:val="none" w:sz="0" w:space="0" w:color="auto"/>
            <w:right w:val="none" w:sz="0" w:space="0" w:color="auto"/>
          </w:divBdr>
        </w:div>
        <w:div w:id="1144541687">
          <w:marLeft w:val="1293"/>
          <w:marRight w:val="0"/>
          <w:marTop w:val="0"/>
          <w:marBottom w:val="180"/>
          <w:divBdr>
            <w:top w:val="none" w:sz="0" w:space="0" w:color="auto"/>
            <w:left w:val="none" w:sz="0" w:space="0" w:color="auto"/>
            <w:bottom w:val="none" w:sz="0" w:space="0" w:color="auto"/>
            <w:right w:val="none" w:sz="0" w:space="0" w:color="auto"/>
          </w:divBdr>
        </w:div>
        <w:div w:id="1144541690">
          <w:marLeft w:val="567"/>
          <w:marRight w:val="0"/>
          <w:marTop w:val="120"/>
          <w:marBottom w:val="20"/>
          <w:divBdr>
            <w:top w:val="none" w:sz="0" w:space="0" w:color="auto"/>
            <w:left w:val="none" w:sz="0" w:space="0" w:color="auto"/>
            <w:bottom w:val="none" w:sz="0" w:space="0" w:color="auto"/>
            <w:right w:val="none" w:sz="0" w:space="0" w:color="auto"/>
          </w:divBdr>
        </w:div>
        <w:div w:id="1144541691">
          <w:marLeft w:val="1293"/>
          <w:marRight w:val="0"/>
          <w:marTop w:val="0"/>
          <w:marBottom w:val="180"/>
          <w:divBdr>
            <w:top w:val="none" w:sz="0" w:space="0" w:color="auto"/>
            <w:left w:val="none" w:sz="0" w:space="0" w:color="auto"/>
            <w:bottom w:val="none" w:sz="0" w:space="0" w:color="auto"/>
            <w:right w:val="none" w:sz="0" w:space="0" w:color="auto"/>
          </w:divBdr>
        </w:div>
        <w:div w:id="1144541693">
          <w:marLeft w:val="567"/>
          <w:marRight w:val="0"/>
          <w:marTop w:val="120"/>
          <w:marBottom w:val="20"/>
          <w:divBdr>
            <w:top w:val="none" w:sz="0" w:space="0" w:color="auto"/>
            <w:left w:val="none" w:sz="0" w:space="0" w:color="auto"/>
            <w:bottom w:val="none" w:sz="0" w:space="0" w:color="auto"/>
            <w:right w:val="none" w:sz="0" w:space="0" w:color="auto"/>
          </w:divBdr>
        </w:div>
        <w:div w:id="1144541695">
          <w:marLeft w:val="567"/>
          <w:marRight w:val="0"/>
          <w:marTop w:val="120"/>
          <w:marBottom w:val="20"/>
          <w:divBdr>
            <w:top w:val="none" w:sz="0" w:space="0" w:color="auto"/>
            <w:left w:val="none" w:sz="0" w:space="0" w:color="auto"/>
            <w:bottom w:val="none" w:sz="0" w:space="0" w:color="auto"/>
            <w:right w:val="none" w:sz="0" w:space="0" w:color="auto"/>
          </w:divBdr>
        </w:div>
      </w:divsChild>
    </w:div>
    <w:div w:id="1144541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4938-C01F-4A1C-A6F8-7C5E9EB3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dc:description/>
  <cp:lastModifiedBy>Ayanda Mdletshe</cp:lastModifiedBy>
  <cp:revision>2</cp:revision>
  <cp:lastPrinted>2022-06-08T06:36:00Z</cp:lastPrinted>
  <dcterms:created xsi:type="dcterms:W3CDTF">2022-06-08T10:37:00Z</dcterms:created>
  <dcterms:modified xsi:type="dcterms:W3CDTF">2022-06-08T10:37:00Z</dcterms:modified>
</cp:coreProperties>
</file>