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878D0" w14:textId="77777777" w:rsidR="00E96990" w:rsidRPr="002676CC" w:rsidRDefault="00E96990" w:rsidP="00866287">
      <w:pPr>
        <w:rPr>
          <w:rFonts w:ascii="Arial" w:hAnsi="Arial"/>
          <w:bCs/>
        </w:rPr>
      </w:pPr>
      <w:r w:rsidRPr="002676CC">
        <w:rPr>
          <w:rFonts w:ascii="Arial" w:hAnsi="Arial"/>
        </w:rPr>
        <w:tab/>
      </w:r>
      <w:r w:rsidRPr="002676CC">
        <w:rPr>
          <w:rFonts w:ascii="Arial" w:hAnsi="Arial"/>
        </w:rPr>
        <w:tab/>
      </w:r>
      <w:r w:rsidRPr="002676CC">
        <w:rPr>
          <w:rFonts w:ascii="Arial" w:hAnsi="Arial"/>
        </w:rPr>
        <w:tab/>
      </w:r>
    </w:p>
    <w:p w14:paraId="3C5FC317" w14:textId="77777777" w:rsidR="00E96990" w:rsidRPr="002676CC" w:rsidRDefault="00E96990" w:rsidP="00866287">
      <w:pPr>
        <w:rPr>
          <w:rFonts w:ascii="Arial" w:hAnsi="Arial"/>
          <w:bCs/>
          <w:szCs w:val="28"/>
        </w:rPr>
      </w:pPr>
    </w:p>
    <w:p w14:paraId="40CC290A" w14:textId="77777777" w:rsidR="00E96990" w:rsidRPr="002676CC" w:rsidRDefault="00E96990" w:rsidP="00866287">
      <w:pPr>
        <w:rPr>
          <w:rFonts w:ascii="Arial" w:hAnsi="Arial"/>
          <w:bCs/>
          <w:szCs w:val="28"/>
        </w:rPr>
      </w:pPr>
    </w:p>
    <w:p w14:paraId="41DA5C9B" w14:textId="14741813" w:rsidR="00E96990" w:rsidRPr="002676CC" w:rsidRDefault="00E96990" w:rsidP="00866287">
      <w:pPr>
        <w:rPr>
          <w:rFonts w:ascii="Arial" w:hAnsi="Arial"/>
          <w:bCs/>
          <w:szCs w:val="28"/>
        </w:rPr>
      </w:pPr>
      <w:r w:rsidRPr="002676CC">
        <w:rPr>
          <w:rFonts w:ascii="Arial" w:hAnsi="Arial"/>
          <w:noProof/>
          <w:lang w:val="en-ZA" w:eastAsia="en-ZA"/>
        </w:rPr>
        <w:drawing>
          <wp:anchor distT="0" distB="0" distL="114300" distR="114300" simplePos="0" relativeHeight="251659264" behindDoc="0" locked="0" layoutInCell="1" allowOverlap="1" wp14:anchorId="2DA4AD9A" wp14:editId="258B9993">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711F6B77" w14:textId="77777777" w:rsidR="00E96990" w:rsidRPr="002676CC" w:rsidRDefault="00E96990" w:rsidP="006938E5">
      <w:pPr>
        <w:spacing w:before="240"/>
        <w:jc w:val="center"/>
        <w:rPr>
          <w:rFonts w:ascii="Arial" w:hAnsi="Arial"/>
          <w:b/>
          <w:bCs/>
          <w:szCs w:val="28"/>
        </w:rPr>
      </w:pPr>
      <w:r w:rsidRPr="002676CC">
        <w:rPr>
          <w:rFonts w:ascii="Arial" w:hAnsi="Arial"/>
          <w:b/>
          <w:bCs/>
          <w:szCs w:val="28"/>
        </w:rPr>
        <w:t>THE SUPREME COURT OF APPEAL OF SOUTH AFRICA</w:t>
      </w:r>
    </w:p>
    <w:p w14:paraId="5F9C0F09" w14:textId="23F35DE8" w:rsidR="00E96990" w:rsidRPr="002676CC" w:rsidRDefault="00E96990" w:rsidP="008C41BC">
      <w:pPr>
        <w:pStyle w:val="Heading3"/>
        <w:jc w:val="center"/>
      </w:pPr>
      <w:r w:rsidRPr="002676CC">
        <w:rPr>
          <w:rFonts w:cs="Times New Roman"/>
          <w:b/>
          <w:i w:val="0"/>
          <w:sz w:val="24"/>
          <w:szCs w:val="28"/>
        </w:rPr>
        <w:t>JUDGMENT</w:t>
      </w:r>
    </w:p>
    <w:p w14:paraId="00F9B420" w14:textId="04B8C4B9" w:rsidR="00E96990" w:rsidRPr="002676CC" w:rsidRDefault="00DE5BCB" w:rsidP="003761B4">
      <w:pPr>
        <w:jc w:val="right"/>
        <w:rPr>
          <w:rFonts w:ascii="Arial" w:hAnsi="Arial"/>
          <w:b/>
          <w:szCs w:val="28"/>
        </w:rPr>
      </w:pPr>
      <w:r w:rsidRPr="002676CC">
        <w:rPr>
          <w:rFonts w:ascii="Arial" w:hAnsi="Arial"/>
          <w:b/>
          <w:szCs w:val="28"/>
        </w:rPr>
        <w:t>Not Reportable</w:t>
      </w:r>
    </w:p>
    <w:p w14:paraId="71CDFE69" w14:textId="4A665117" w:rsidR="00E96990" w:rsidRPr="002676CC" w:rsidRDefault="00E96990" w:rsidP="008C41BC">
      <w:pPr>
        <w:jc w:val="right"/>
        <w:rPr>
          <w:rFonts w:ascii="Arial" w:hAnsi="Arial"/>
          <w:szCs w:val="28"/>
        </w:rPr>
      </w:pPr>
      <w:r w:rsidRPr="002676CC">
        <w:rPr>
          <w:rFonts w:ascii="Arial" w:hAnsi="Arial"/>
          <w:szCs w:val="28"/>
        </w:rPr>
        <w:t xml:space="preserve">Case no: </w:t>
      </w:r>
      <w:r w:rsidR="00A60FE1" w:rsidRPr="002676CC">
        <w:rPr>
          <w:rFonts w:ascii="Arial" w:hAnsi="Arial"/>
          <w:szCs w:val="28"/>
        </w:rPr>
        <w:t>343</w:t>
      </w:r>
      <w:r w:rsidRPr="002676CC">
        <w:rPr>
          <w:rFonts w:ascii="Arial" w:hAnsi="Arial"/>
          <w:szCs w:val="28"/>
        </w:rPr>
        <w:t>/20</w:t>
      </w:r>
      <w:r w:rsidR="00A60FE1" w:rsidRPr="002676CC">
        <w:rPr>
          <w:rFonts w:ascii="Arial" w:hAnsi="Arial"/>
          <w:szCs w:val="28"/>
        </w:rPr>
        <w:t>21</w:t>
      </w:r>
    </w:p>
    <w:p w14:paraId="06A5FB91" w14:textId="77777777" w:rsidR="00E96990" w:rsidRPr="002676CC" w:rsidRDefault="00E96990" w:rsidP="00DB0431">
      <w:pPr>
        <w:rPr>
          <w:rFonts w:ascii="Arial" w:hAnsi="Arial"/>
          <w:szCs w:val="28"/>
        </w:rPr>
      </w:pPr>
      <w:r w:rsidRPr="002676CC">
        <w:rPr>
          <w:rFonts w:ascii="Arial" w:hAnsi="Arial"/>
          <w:szCs w:val="28"/>
        </w:rPr>
        <w:t>In the matter between:</w:t>
      </w:r>
    </w:p>
    <w:p w14:paraId="188A09DD" w14:textId="5241C7F4" w:rsidR="00E96990" w:rsidRPr="002676CC" w:rsidRDefault="00BB3422" w:rsidP="006938E5">
      <w:pPr>
        <w:spacing w:before="240"/>
        <w:rPr>
          <w:rFonts w:ascii="Arial" w:hAnsi="Arial"/>
          <w:bCs/>
          <w:szCs w:val="28"/>
        </w:rPr>
      </w:pPr>
      <w:r w:rsidRPr="002676CC">
        <w:rPr>
          <w:rFonts w:ascii="Arial" w:hAnsi="Arial"/>
          <w:b/>
          <w:bCs/>
          <w:szCs w:val="28"/>
        </w:rPr>
        <w:t>DION RADEMEYER</w:t>
      </w:r>
      <w:r w:rsidRPr="002676CC">
        <w:rPr>
          <w:rFonts w:ascii="Arial" w:hAnsi="Arial"/>
          <w:b/>
          <w:bCs/>
          <w:szCs w:val="28"/>
        </w:rPr>
        <w:tab/>
      </w:r>
      <w:r w:rsidRPr="002676CC">
        <w:rPr>
          <w:rFonts w:ascii="Arial" w:hAnsi="Arial"/>
          <w:b/>
          <w:bCs/>
          <w:szCs w:val="28"/>
        </w:rPr>
        <w:tab/>
      </w:r>
      <w:r w:rsidRPr="002676CC">
        <w:rPr>
          <w:rFonts w:ascii="Arial" w:hAnsi="Arial"/>
          <w:b/>
          <w:bCs/>
          <w:szCs w:val="28"/>
        </w:rPr>
        <w:tab/>
      </w:r>
      <w:r w:rsidR="00E96990" w:rsidRPr="002676CC">
        <w:rPr>
          <w:rFonts w:ascii="Arial" w:hAnsi="Arial"/>
          <w:b/>
          <w:bCs/>
          <w:szCs w:val="28"/>
        </w:rPr>
        <w:tab/>
        <w:t xml:space="preserve">                </w:t>
      </w:r>
      <w:r w:rsidR="00ED5EA9" w:rsidRPr="002676CC">
        <w:rPr>
          <w:rFonts w:ascii="Arial" w:hAnsi="Arial"/>
          <w:b/>
          <w:bCs/>
          <w:szCs w:val="28"/>
        </w:rPr>
        <w:t xml:space="preserve">          </w:t>
      </w:r>
      <w:r w:rsidRPr="002676CC">
        <w:rPr>
          <w:rFonts w:ascii="Arial" w:hAnsi="Arial"/>
          <w:b/>
          <w:bCs/>
          <w:szCs w:val="28"/>
        </w:rPr>
        <w:t xml:space="preserve"> </w:t>
      </w:r>
      <w:r w:rsidR="00DE5BCB" w:rsidRPr="002676CC">
        <w:rPr>
          <w:rFonts w:ascii="Arial" w:hAnsi="Arial"/>
          <w:b/>
          <w:bCs/>
          <w:szCs w:val="28"/>
        </w:rPr>
        <w:tab/>
      </w:r>
      <w:r w:rsidR="003815A4" w:rsidRPr="002676CC">
        <w:rPr>
          <w:rFonts w:ascii="Arial" w:hAnsi="Arial"/>
          <w:b/>
          <w:szCs w:val="28"/>
        </w:rPr>
        <w:t>APPELLANT</w:t>
      </w:r>
    </w:p>
    <w:p w14:paraId="2EE5E140" w14:textId="40A0CB5C" w:rsidR="001C7E56" w:rsidRPr="002676CC" w:rsidRDefault="001C7E56" w:rsidP="006938E5">
      <w:pPr>
        <w:spacing w:before="240"/>
        <w:rPr>
          <w:rFonts w:ascii="Arial" w:hAnsi="Arial"/>
          <w:bCs/>
          <w:szCs w:val="28"/>
        </w:rPr>
      </w:pPr>
      <w:r w:rsidRPr="002676CC">
        <w:rPr>
          <w:rFonts w:ascii="Arial" w:hAnsi="Arial"/>
          <w:bCs/>
          <w:szCs w:val="28"/>
        </w:rPr>
        <w:t>a</w:t>
      </w:r>
      <w:r w:rsidR="00E96990" w:rsidRPr="002676CC">
        <w:rPr>
          <w:rFonts w:ascii="Arial" w:hAnsi="Arial"/>
          <w:bCs/>
          <w:szCs w:val="28"/>
        </w:rPr>
        <w:t>nd</w:t>
      </w:r>
    </w:p>
    <w:p w14:paraId="2C498CDC" w14:textId="45B2FA53" w:rsidR="00ED5EA9" w:rsidRPr="002676CC" w:rsidRDefault="00BB3422" w:rsidP="006938E5">
      <w:pPr>
        <w:spacing w:before="240"/>
        <w:rPr>
          <w:rFonts w:ascii="Arial" w:hAnsi="Arial"/>
          <w:b/>
          <w:bCs/>
          <w:szCs w:val="28"/>
        </w:rPr>
      </w:pPr>
      <w:r w:rsidRPr="002676CC">
        <w:rPr>
          <w:rFonts w:ascii="Arial" w:hAnsi="Arial"/>
          <w:b/>
          <w:bCs/>
          <w:szCs w:val="28"/>
        </w:rPr>
        <w:t>THOMAS IGNATIUS FERREIRA</w:t>
      </w:r>
      <w:r w:rsidRPr="002676CC">
        <w:rPr>
          <w:rFonts w:ascii="Arial" w:hAnsi="Arial"/>
          <w:b/>
          <w:bCs/>
          <w:szCs w:val="28"/>
        </w:rPr>
        <w:tab/>
      </w:r>
      <w:r w:rsidRPr="002676CC">
        <w:rPr>
          <w:rFonts w:ascii="Arial" w:hAnsi="Arial"/>
          <w:b/>
          <w:bCs/>
          <w:szCs w:val="28"/>
        </w:rPr>
        <w:tab/>
        <w:t xml:space="preserve">      </w:t>
      </w:r>
      <w:r w:rsidR="00465771" w:rsidRPr="002676CC">
        <w:rPr>
          <w:rFonts w:ascii="Arial" w:hAnsi="Arial"/>
          <w:b/>
          <w:bCs/>
          <w:szCs w:val="28"/>
        </w:rPr>
        <w:t xml:space="preserve">                  </w:t>
      </w:r>
      <w:r w:rsidR="00DE5BCB" w:rsidRPr="002676CC">
        <w:rPr>
          <w:rFonts w:ascii="Arial" w:hAnsi="Arial"/>
          <w:b/>
          <w:bCs/>
          <w:szCs w:val="28"/>
        </w:rPr>
        <w:tab/>
        <w:t xml:space="preserve">       </w:t>
      </w:r>
      <w:r w:rsidR="00465771" w:rsidRPr="002676CC">
        <w:rPr>
          <w:rFonts w:ascii="Arial" w:hAnsi="Arial"/>
          <w:b/>
          <w:bCs/>
          <w:szCs w:val="28"/>
        </w:rPr>
        <w:t>RESPONDENT</w:t>
      </w:r>
    </w:p>
    <w:p w14:paraId="7E3A2CFF" w14:textId="77777777" w:rsidR="00400B16" w:rsidRPr="002676CC" w:rsidRDefault="00400B16" w:rsidP="008C41BC">
      <w:pPr>
        <w:rPr>
          <w:rFonts w:ascii="Arial" w:hAnsi="Arial"/>
          <w:bCs/>
          <w:szCs w:val="28"/>
        </w:rPr>
      </w:pPr>
    </w:p>
    <w:p w14:paraId="1CADA7C5" w14:textId="5C367C9D" w:rsidR="00E96990" w:rsidRDefault="00E96990" w:rsidP="00A50C4E">
      <w:pPr>
        <w:ind w:left="2160" w:hanging="2160"/>
        <w:rPr>
          <w:rFonts w:ascii="Arial" w:hAnsi="Arial"/>
          <w:bCs/>
          <w:szCs w:val="28"/>
        </w:rPr>
      </w:pPr>
      <w:r w:rsidRPr="002676CC">
        <w:rPr>
          <w:rFonts w:ascii="Arial" w:hAnsi="Arial"/>
          <w:b/>
          <w:bCs/>
          <w:szCs w:val="28"/>
        </w:rPr>
        <w:t>Neutral citation:</w:t>
      </w:r>
      <w:r w:rsidRPr="002676CC">
        <w:rPr>
          <w:rFonts w:ascii="Arial" w:hAnsi="Arial"/>
          <w:bCs/>
          <w:szCs w:val="28"/>
        </w:rPr>
        <w:tab/>
      </w:r>
      <w:bookmarkStart w:id="0" w:name="_GoBack"/>
      <w:r w:rsidR="00BB3422" w:rsidRPr="002676CC">
        <w:rPr>
          <w:rFonts w:ascii="Arial" w:hAnsi="Arial"/>
          <w:bCs/>
          <w:i/>
          <w:szCs w:val="28"/>
        </w:rPr>
        <w:t>Rademeyer</w:t>
      </w:r>
      <w:r w:rsidR="00ED5EA9" w:rsidRPr="002676CC">
        <w:rPr>
          <w:rFonts w:ascii="Arial" w:hAnsi="Arial"/>
          <w:bCs/>
          <w:i/>
          <w:szCs w:val="28"/>
        </w:rPr>
        <w:t xml:space="preserve"> </w:t>
      </w:r>
      <w:r w:rsidR="00175B91" w:rsidRPr="002676CC">
        <w:rPr>
          <w:rFonts w:ascii="Arial" w:hAnsi="Arial"/>
          <w:bCs/>
          <w:i/>
          <w:szCs w:val="28"/>
        </w:rPr>
        <w:t xml:space="preserve">v </w:t>
      </w:r>
      <w:r w:rsidR="00BB3422" w:rsidRPr="002676CC">
        <w:rPr>
          <w:rFonts w:ascii="Arial" w:hAnsi="Arial"/>
          <w:bCs/>
          <w:i/>
          <w:szCs w:val="28"/>
        </w:rPr>
        <w:t>Ferreira</w:t>
      </w:r>
      <w:r w:rsidR="00175B91" w:rsidRPr="002676CC">
        <w:rPr>
          <w:rFonts w:ascii="Arial" w:hAnsi="Arial"/>
          <w:bCs/>
          <w:i/>
          <w:szCs w:val="28"/>
        </w:rPr>
        <w:t xml:space="preserve"> </w:t>
      </w:r>
      <w:bookmarkEnd w:id="0"/>
      <w:r w:rsidRPr="002676CC">
        <w:rPr>
          <w:rFonts w:ascii="Arial" w:hAnsi="Arial"/>
          <w:bCs/>
          <w:szCs w:val="28"/>
        </w:rPr>
        <w:t>(</w:t>
      </w:r>
      <w:r w:rsidR="00BB3422" w:rsidRPr="002676CC">
        <w:rPr>
          <w:rFonts w:ascii="Arial" w:hAnsi="Arial"/>
          <w:bCs/>
          <w:szCs w:val="28"/>
        </w:rPr>
        <w:t>343/</w:t>
      </w:r>
      <w:r w:rsidR="002676CC">
        <w:rPr>
          <w:rFonts w:ascii="Arial" w:hAnsi="Arial"/>
          <w:bCs/>
          <w:szCs w:val="28"/>
        </w:rPr>
        <w:t>20</w:t>
      </w:r>
      <w:r w:rsidR="00BB3422" w:rsidRPr="002676CC">
        <w:rPr>
          <w:rFonts w:ascii="Arial" w:hAnsi="Arial"/>
          <w:bCs/>
          <w:szCs w:val="28"/>
        </w:rPr>
        <w:t>21</w:t>
      </w:r>
      <w:r w:rsidRPr="002676CC">
        <w:rPr>
          <w:rFonts w:ascii="Arial" w:hAnsi="Arial"/>
          <w:bCs/>
          <w:szCs w:val="28"/>
        </w:rPr>
        <w:t>)</w:t>
      </w:r>
      <w:r w:rsidR="002860F0" w:rsidRPr="002676CC">
        <w:rPr>
          <w:rFonts w:ascii="Arial" w:hAnsi="Arial"/>
          <w:bCs/>
          <w:szCs w:val="28"/>
        </w:rPr>
        <w:t xml:space="preserve"> </w:t>
      </w:r>
      <w:r w:rsidRPr="002676CC">
        <w:rPr>
          <w:rFonts w:ascii="Arial" w:hAnsi="Arial"/>
          <w:bCs/>
          <w:szCs w:val="28"/>
        </w:rPr>
        <w:t>[20</w:t>
      </w:r>
      <w:r w:rsidR="00C23AAC">
        <w:rPr>
          <w:rFonts w:ascii="Arial" w:hAnsi="Arial"/>
          <w:bCs/>
          <w:szCs w:val="28"/>
        </w:rPr>
        <w:t>22] ZASCA 92</w:t>
      </w:r>
      <w:r w:rsidRPr="002676CC">
        <w:rPr>
          <w:rFonts w:ascii="Arial" w:hAnsi="Arial"/>
          <w:bCs/>
          <w:szCs w:val="28"/>
        </w:rPr>
        <w:t xml:space="preserve"> </w:t>
      </w:r>
      <w:r w:rsidR="002860F0" w:rsidRPr="002676CC">
        <w:rPr>
          <w:rFonts w:ascii="Arial" w:hAnsi="Arial"/>
          <w:bCs/>
          <w:szCs w:val="28"/>
        </w:rPr>
        <w:t>(</w:t>
      </w:r>
      <w:r w:rsidR="00611140" w:rsidRPr="002676CC">
        <w:rPr>
          <w:rFonts w:ascii="Arial" w:hAnsi="Arial"/>
          <w:bCs/>
          <w:szCs w:val="28"/>
        </w:rPr>
        <w:t>17</w:t>
      </w:r>
      <w:r w:rsidR="00400B16" w:rsidRPr="002676CC">
        <w:rPr>
          <w:rFonts w:ascii="Arial" w:hAnsi="Arial"/>
          <w:bCs/>
          <w:szCs w:val="28"/>
        </w:rPr>
        <w:t xml:space="preserve"> </w:t>
      </w:r>
      <w:r w:rsidR="00BB3422" w:rsidRPr="002676CC">
        <w:rPr>
          <w:rFonts w:ascii="Arial" w:hAnsi="Arial"/>
          <w:bCs/>
          <w:szCs w:val="28"/>
        </w:rPr>
        <w:t>June 2022</w:t>
      </w:r>
      <w:r w:rsidRPr="002676CC">
        <w:rPr>
          <w:rFonts w:ascii="Arial" w:hAnsi="Arial"/>
          <w:bCs/>
          <w:szCs w:val="28"/>
        </w:rPr>
        <w:t>)</w:t>
      </w:r>
    </w:p>
    <w:p w14:paraId="2B8BE3FC" w14:textId="77777777" w:rsidR="002676CC" w:rsidRPr="002676CC" w:rsidRDefault="002676CC" w:rsidP="00A50C4E">
      <w:pPr>
        <w:ind w:left="2160" w:hanging="2160"/>
        <w:rPr>
          <w:rFonts w:ascii="Arial" w:hAnsi="Arial"/>
          <w:szCs w:val="28"/>
        </w:rPr>
      </w:pPr>
    </w:p>
    <w:p w14:paraId="4D09EDDB" w14:textId="7BE1EF9E" w:rsidR="00E96990" w:rsidRDefault="00E96990" w:rsidP="00E443A0">
      <w:pPr>
        <w:ind w:left="1440" w:hanging="1440"/>
        <w:rPr>
          <w:rFonts w:ascii="Arial" w:hAnsi="Arial"/>
          <w:szCs w:val="28"/>
        </w:rPr>
      </w:pPr>
      <w:r w:rsidRPr="002676CC">
        <w:rPr>
          <w:rFonts w:ascii="Arial" w:hAnsi="Arial"/>
          <w:b/>
          <w:bCs/>
          <w:szCs w:val="28"/>
        </w:rPr>
        <w:t>Coram:</w:t>
      </w:r>
      <w:r w:rsidRPr="002676CC">
        <w:rPr>
          <w:rFonts w:ascii="Arial" w:hAnsi="Arial"/>
          <w:szCs w:val="28"/>
        </w:rPr>
        <w:tab/>
      </w:r>
      <w:r w:rsidR="00C04EF6" w:rsidRPr="002676CC">
        <w:rPr>
          <w:rFonts w:ascii="Arial" w:hAnsi="Arial"/>
          <w:szCs w:val="28"/>
        </w:rPr>
        <w:t>MAKGOKA, PLASKET</w:t>
      </w:r>
      <w:r w:rsidR="009526BD" w:rsidRPr="002676CC">
        <w:rPr>
          <w:rFonts w:ascii="Arial" w:hAnsi="Arial"/>
          <w:szCs w:val="28"/>
        </w:rPr>
        <w:t xml:space="preserve"> and</w:t>
      </w:r>
      <w:r w:rsidRPr="002676CC">
        <w:rPr>
          <w:rFonts w:ascii="Arial" w:hAnsi="Arial"/>
          <w:szCs w:val="28"/>
        </w:rPr>
        <w:t xml:space="preserve"> </w:t>
      </w:r>
      <w:r w:rsidR="00C04EF6" w:rsidRPr="002676CC">
        <w:rPr>
          <w:rFonts w:ascii="Arial" w:hAnsi="Arial"/>
          <w:szCs w:val="28"/>
        </w:rPr>
        <w:t>GORVEN</w:t>
      </w:r>
      <w:r w:rsidRPr="002676CC">
        <w:rPr>
          <w:rFonts w:ascii="Arial" w:hAnsi="Arial"/>
          <w:szCs w:val="28"/>
        </w:rPr>
        <w:t xml:space="preserve"> JJA and </w:t>
      </w:r>
      <w:r w:rsidR="00C04EF6" w:rsidRPr="002676CC">
        <w:rPr>
          <w:rFonts w:ascii="Arial" w:hAnsi="Arial"/>
          <w:szCs w:val="28"/>
        </w:rPr>
        <w:t>MATOJANE</w:t>
      </w:r>
      <w:r w:rsidRPr="002676CC">
        <w:rPr>
          <w:rFonts w:ascii="Arial" w:hAnsi="Arial"/>
          <w:szCs w:val="28"/>
        </w:rPr>
        <w:t xml:space="preserve"> and </w:t>
      </w:r>
      <w:r w:rsidR="00C04EF6" w:rsidRPr="002676CC">
        <w:rPr>
          <w:rFonts w:ascii="Arial" w:hAnsi="Arial"/>
          <w:szCs w:val="28"/>
        </w:rPr>
        <w:t xml:space="preserve">SMITH </w:t>
      </w:r>
      <w:r w:rsidRPr="002676CC">
        <w:rPr>
          <w:rFonts w:ascii="Arial" w:hAnsi="Arial"/>
          <w:szCs w:val="28"/>
        </w:rPr>
        <w:t>AJJA</w:t>
      </w:r>
    </w:p>
    <w:p w14:paraId="25B26E18" w14:textId="77777777" w:rsidR="002676CC" w:rsidRPr="002676CC" w:rsidRDefault="002676CC" w:rsidP="00E443A0">
      <w:pPr>
        <w:ind w:left="1440" w:hanging="1440"/>
        <w:rPr>
          <w:rFonts w:ascii="Arial" w:hAnsi="Arial"/>
          <w:bCs/>
          <w:iCs/>
          <w:szCs w:val="28"/>
        </w:rPr>
      </w:pPr>
    </w:p>
    <w:p w14:paraId="7A1D9B75" w14:textId="77777777" w:rsidR="002676CC" w:rsidRDefault="00E96990" w:rsidP="00611140">
      <w:pPr>
        <w:rPr>
          <w:rFonts w:ascii="Arial" w:hAnsi="Arial"/>
          <w:szCs w:val="28"/>
        </w:rPr>
      </w:pPr>
      <w:r w:rsidRPr="002676CC">
        <w:rPr>
          <w:rFonts w:ascii="Arial" w:hAnsi="Arial"/>
          <w:b/>
          <w:bCs/>
          <w:szCs w:val="28"/>
        </w:rPr>
        <w:t>Heard</w:t>
      </w:r>
      <w:r w:rsidRPr="002676CC">
        <w:rPr>
          <w:rFonts w:ascii="Arial" w:hAnsi="Arial"/>
          <w:b/>
          <w:szCs w:val="28"/>
        </w:rPr>
        <w:t>:</w:t>
      </w:r>
      <w:r w:rsidRPr="002676CC">
        <w:rPr>
          <w:rFonts w:ascii="Arial" w:hAnsi="Arial"/>
          <w:szCs w:val="28"/>
        </w:rPr>
        <w:tab/>
      </w:r>
      <w:r w:rsidR="00554E1C" w:rsidRPr="002676CC">
        <w:rPr>
          <w:rFonts w:ascii="Arial" w:hAnsi="Arial"/>
          <w:szCs w:val="28"/>
        </w:rPr>
        <w:t xml:space="preserve">10 </w:t>
      </w:r>
      <w:r w:rsidR="00B52630" w:rsidRPr="002676CC">
        <w:rPr>
          <w:rFonts w:ascii="Arial" w:hAnsi="Arial"/>
          <w:szCs w:val="28"/>
        </w:rPr>
        <w:t>May</w:t>
      </w:r>
      <w:r w:rsidR="00C04EF6" w:rsidRPr="002676CC">
        <w:rPr>
          <w:rFonts w:ascii="Arial" w:hAnsi="Arial"/>
          <w:szCs w:val="28"/>
        </w:rPr>
        <w:t xml:space="preserve"> 2022</w:t>
      </w:r>
    </w:p>
    <w:p w14:paraId="10F6DABB" w14:textId="1CA82845" w:rsidR="00E96990" w:rsidRPr="002676CC" w:rsidRDefault="00E96990" w:rsidP="00611140">
      <w:pPr>
        <w:rPr>
          <w:rFonts w:ascii="Arial" w:hAnsi="Arial"/>
          <w:bCs/>
          <w:szCs w:val="28"/>
        </w:rPr>
      </w:pPr>
      <w:r w:rsidRPr="002676CC">
        <w:rPr>
          <w:rFonts w:ascii="Arial" w:hAnsi="Arial"/>
          <w:szCs w:val="28"/>
        </w:rPr>
        <w:t xml:space="preserve"> </w:t>
      </w:r>
    </w:p>
    <w:p w14:paraId="5ECB4C63" w14:textId="1A00AD1D" w:rsidR="00C04EF6" w:rsidRDefault="00E96990" w:rsidP="00B1403F">
      <w:pPr>
        <w:rPr>
          <w:rFonts w:ascii="Arial" w:hAnsi="Arial"/>
          <w:b/>
          <w:szCs w:val="28"/>
        </w:rPr>
      </w:pPr>
      <w:r w:rsidRPr="002676CC">
        <w:rPr>
          <w:rFonts w:ascii="Arial" w:hAnsi="Arial"/>
          <w:b/>
          <w:bCs/>
          <w:szCs w:val="28"/>
        </w:rPr>
        <w:t>Delivered</w:t>
      </w:r>
      <w:r w:rsidRPr="002676CC">
        <w:rPr>
          <w:rFonts w:ascii="Arial" w:hAnsi="Arial"/>
          <w:b/>
          <w:szCs w:val="28"/>
        </w:rPr>
        <w:t>:</w:t>
      </w:r>
      <w:r w:rsidRPr="002676CC">
        <w:rPr>
          <w:rFonts w:ascii="Arial" w:hAnsi="Arial"/>
          <w:b/>
          <w:szCs w:val="28"/>
        </w:rPr>
        <w:tab/>
      </w:r>
      <w:r w:rsidR="00611140" w:rsidRPr="002676CC">
        <w:rPr>
          <w:rFonts w:ascii="Arial" w:hAnsi="Arial"/>
          <w:b/>
          <w:szCs w:val="28"/>
        </w:rPr>
        <w:t>17</w:t>
      </w:r>
      <w:r w:rsidR="00A50C4E" w:rsidRPr="002676CC">
        <w:rPr>
          <w:rFonts w:ascii="Arial" w:hAnsi="Arial"/>
          <w:b/>
          <w:szCs w:val="28"/>
        </w:rPr>
        <w:t xml:space="preserve"> June 2022</w:t>
      </w:r>
    </w:p>
    <w:p w14:paraId="26FDE982" w14:textId="77777777" w:rsidR="002676CC" w:rsidRPr="002676CC" w:rsidRDefault="002676CC" w:rsidP="00B1403F">
      <w:pPr>
        <w:rPr>
          <w:rFonts w:ascii="Arial" w:hAnsi="Arial"/>
          <w:bCs/>
          <w:szCs w:val="28"/>
        </w:rPr>
      </w:pPr>
    </w:p>
    <w:p w14:paraId="4214CB9E" w14:textId="6ECC27DA" w:rsidR="00775EA5" w:rsidRPr="002676CC" w:rsidRDefault="00E96990" w:rsidP="002F1672">
      <w:pPr>
        <w:rPr>
          <w:rFonts w:ascii="Arial" w:hAnsi="Arial"/>
          <w:bCs/>
          <w:szCs w:val="28"/>
        </w:rPr>
      </w:pPr>
      <w:r w:rsidRPr="002676CC">
        <w:rPr>
          <w:rFonts w:ascii="Arial" w:hAnsi="Arial"/>
          <w:b/>
          <w:bCs/>
          <w:szCs w:val="28"/>
        </w:rPr>
        <w:t>Summary:</w:t>
      </w:r>
      <w:r w:rsidRPr="002676CC">
        <w:rPr>
          <w:rFonts w:ascii="Arial" w:hAnsi="Arial"/>
          <w:bCs/>
          <w:szCs w:val="28"/>
        </w:rPr>
        <w:t xml:space="preserve"> </w:t>
      </w:r>
      <w:r w:rsidR="00DD0205" w:rsidRPr="002676CC">
        <w:rPr>
          <w:rFonts w:ascii="Arial" w:hAnsi="Arial"/>
          <w:bCs/>
          <w:szCs w:val="28"/>
        </w:rPr>
        <w:tab/>
      </w:r>
      <w:r w:rsidR="00C04EF6" w:rsidRPr="002676CC">
        <w:rPr>
          <w:rFonts w:ascii="Arial" w:hAnsi="Arial"/>
          <w:bCs/>
          <w:szCs w:val="28"/>
          <w:lang w:val="en-ZA"/>
        </w:rPr>
        <w:t xml:space="preserve">Civil procedure – prescription – contract – agreement of sale – whether the </w:t>
      </w:r>
      <w:r w:rsidR="00A61E6B" w:rsidRPr="002676CC">
        <w:rPr>
          <w:rFonts w:ascii="Arial" w:hAnsi="Arial"/>
          <w:bCs/>
          <w:szCs w:val="28"/>
          <w:lang w:val="en-ZA"/>
        </w:rPr>
        <w:t>respondent's</w:t>
      </w:r>
      <w:r w:rsidR="00C04EF6" w:rsidRPr="002676CC">
        <w:rPr>
          <w:rFonts w:ascii="Arial" w:hAnsi="Arial"/>
          <w:bCs/>
          <w:szCs w:val="28"/>
          <w:lang w:val="en-ZA"/>
        </w:rPr>
        <w:t xml:space="preserve"> claim instituted by action proceedings </w:t>
      </w:r>
      <w:r w:rsidR="0061708B" w:rsidRPr="002676CC">
        <w:rPr>
          <w:rFonts w:ascii="Arial" w:hAnsi="Arial"/>
          <w:bCs/>
          <w:szCs w:val="28"/>
          <w:lang w:val="en-ZA"/>
        </w:rPr>
        <w:t>i</w:t>
      </w:r>
      <w:r w:rsidR="00C04EF6" w:rsidRPr="002676CC">
        <w:rPr>
          <w:rFonts w:ascii="Arial" w:hAnsi="Arial"/>
          <w:bCs/>
          <w:szCs w:val="28"/>
          <w:lang w:val="en-ZA"/>
        </w:rPr>
        <w:t>n April 2016 had prescribed</w:t>
      </w:r>
      <w:r w:rsidR="00EE0341" w:rsidRPr="002676CC">
        <w:rPr>
          <w:rFonts w:ascii="Arial" w:hAnsi="Arial"/>
          <w:bCs/>
          <w:szCs w:val="28"/>
          <w:lang w:val="en-ZA"/>
        </w:rPr>
        <w:t xml:space="preserve"> </w:t>
      </w:r>
      <w:r w:rsidR="00C04EF6" w:rsidRPr="002676CC">
        <w:rPr>
          <w:rFonts w:ascii="Arial" w:hAnsi="Arial"/>
          <w:bCs/>
          <w:szCs w:val="28"/>
          <w:lang w:val="en-ZA"/>
        </w:rPr>
        <w:t>– whether</w:t>
      </w:r>
      <w:r w:rsidR="008C41BC" w:rsidRPr="002676CC">
        <w:rPr>
          <w:rFonts w:ascii="Arial" w:hAnsi="Arial"/>
          <w:bCs/>
          <w:szCs w:val="28"/>
          <w:lang w:val="en-ZA"/>
        </w:rPr>
        <w:t xml:space="preserve"> </w:t>
      </w:r>
      <w:r w:rsidR="00C04EF6" w:rsidRPr="002676CC">
        <w:rPr>
          <w:rFonts w:ascii="Arial" w:hAnsi="Arial"/>
          <w:bCs/>
          <w:szCs w:val="28"/>
          <w:lang w:val="en-ZA"/>
        </w:rPr>
        <w:t>a claim for cancellation</w:t>
      </w:r>
      <w:r w:rsidR="008C41BC" w:rsidRPr="002676CC">
        <w:rPr>
          <w:rFonts w:ascii="Arial" w:hAnsi="Arial"/>
          <w:bCs/>
          <w:szCs w:val="28"/>
          <w:lang w:val="en-ZA"/>
        </w:rPr>
        <w:t xml:space="preserve"> of a contract</w:t>
      </w:r>
      <w:r w:rsidR="002C3A04" w:rsidRPr="002676CC">
        <w:rPr>
          <w:rFonts w:ascii="Arial" w:hAnsi="Arial"/>
          <w:bCs/>
          <w:szCs w:val="28"/>
          <w:lang w:val="en-ZA"/>
        </w:rPr>
        <w:t xml:space="preserve"> and consequential damages</w:t>
      </w:r>
      <w:r w:rsidR="008C41BC" w:rsidRPr="002676CC">
        <w:rPr>
          <w:rFonts w:ascii="Arial" w:hAnsi="Arial"/>
          <w:bCs/>
          <w:szCs w:val="28"/>
          <w:lang w:val="en-ZA"/>
        </w:rPr>
        <w:t xml:space="preserve"> action instituted under </w:t>
      </w:r>
      <w:r w:rsidR="00990BF2" w:rsidRPr="002676CC">
        <w:rPr>
          <w:rFonts w:ascii="Arial" w:hAnsi="Arial"/>
          <w:bCs/>
          <w:szCs w:val="28"/>
          <w:lang w:val="en-ZA"/>
        </w:rPr>
        <w:t xml:space="preserve">a </w:t>
      </w:r>
      <w:r w:rsidR="008C41BC" w:rsidRPr="002676CC">
        <w:rPr>
          <w:rFonts w:ascii="Arial" w:hAnsi="Arial"/>
          <w:bCs/>
          <w:szCs w:val="28"/>
          <w:lang w:val="en-ZA"/>
        </w:rPr>
        <w:t>different case number</w:t>
      </w:r>
      <w:r w:rsidR="00C04EF6" w:rsidRPr="002676CC">
        <w:rPr>
          <w:rFonts w:ascii="Arial" w:hAnsi="Arial"/>
          <w:bCs/>
          <w:szCs w:val="28"/>
          <w:lang w:val="en-ZA"/>
        </w:rPr>
        <w:t xml:space="preserve"> </w:t>
      </w:r>
      <w:r w:rsidR="00D3284E" w:rsidRPr="002676CC">
        <w:rPr>
          <w:rFonts w:ascii="Arial" w:hAnsi="Arial"/>
          <w:bCs/>
          <w:szCs w:val="28"/>
          <w:lang w:val="en-ZA"/>
        </w:rPr>
        <w:t xml:space="preserve">constituted a </w:t>
      </w:r>
      <w:r w:rsidR="00A61E6B" w:rsidRPr="002676CC">
        <w:rPr>
          <w:rFonts w:ascii="Arial" w:hAnsi="Arial"/>
          <w:bCs/>
          <w:szCs w:val="28"/>
          <w:lang w:val="en-ZA"/>
        </w:rPr>
        <w:t>'</w:t>
      </w:r>
      <w:r w:rsidR="00D3284E" w:rsidRPr="002676CC">
        <w:rPr>
          <w:rFonts w:ascii="Arial" w:hAnsi="Arial"/>
          <w:bCs/>
          <w:szCs w:val="28"/>
          <w:lang w:val="en-ZA"/>
        </w:rPr>
        <w:t>step</w:t>
      </w:r>
      <w:r w:rsidR="00A61E6B" w:rsidRPr="002676CC">
        <w:rPr>
          <w:rFonts w:ascii="Arial" w:hAnsi="Arial"/>
          <w:bCs/>
          <w:szCs w:val="28"/>
          <w:lang w:val="en-ZA"/>
        </w:rPr>
        <w:t>'</w:t>
      </w:r>
      <w:r w:rsidR="00D3284E" w:rsidRPr="002676CC">
        <w:rPr>
          <w:rFonts w:ascii="Arial" w:hAnsi="Arial"/>
          <w:bCs/>
          <w:szCs w:val="28"/>
          <w:lang w:val="en-ZA"/>
        </w:rPr>
        <w:t xml:space="preserve"> in the enforcement of a claim for payment of a </w:t>
      </w:r>
      <w:r w:rsidR="00001CFC" w:rsidRPr="002676CC">
        <w:rPr>
          <w:rFonts w:ascii="Arial" w:hAnsi="Arial"/>
          <w:bCs/>
          <w:szCs w:val="28"/>
          <w:lang w:val="en-ZA"/>
        </w:rPr>
        <w:t>debt.</w:t>
      </w:r>
      <w:r w:rsidR="00775EA5" w:rsidRPr="002676CC">
        <w:rPr>
          <w:rFonts w:ascii="Arial" w:hAnsi="Arial"/>
          <w:bCs/>
          <w:szCs w:val="28"/>
        </w:rPr>
        <w:br w:type="page"/>
      </w:r>
    </w:p>
    <w:p w14:paraId="73561E04" w14:textId="3568FE6B" w:rsidR="00B7190C" w:rsidRPr="002676CC" w:rsidRDefault="00B7190C" w:rsidP="003761B4">
      <w:pPr>
        <w:pBdr>
          <w:bottom w:val="single" w:sz="12" w:space="1" w:color="auto"/>
        </w:pBdr>
        <w:rPr>
          <w:rFonts w:ascii="Arial" w:hAnsi="Arial"/>
        </w:rPr>
      </w:pPr>
      <w:r w:rsidRPr="002676CC">
        <w:rPr>
          <w:rFonts w:ascii="Arial" w:hAnsi="Arial" w:cs="Arial"/>
          <w:noProof/>
          <w:lang w:val="en-ZA" w:eastAsia="en-ZA"/>
        </w:rPr>
        <w:lastRenderedPageBreak/>
        <mc:AlternateContent>
          <mc:Choice Requires="wps">
            <w:drawing>
              <wp:anchor distT="0" distB="0" distL="114300" distR="114300" simplePos="0" relativeHeight="251666432" behindDoc="0" locked="0" layoutInCell="1" allowOverlap="1" wp14:anchorId="487F294C" wp14:editId="51601AA8">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AF97BE"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2bYo2dkAAAAIAQAADwAAAGRycy9kb3ducmV2LnhtbExPwU7CQBC9m/APmyHhQmQrJoaUbgkBe+Mi&#10;aLwO3bFt7M6W7gLVr3cMB728yZuXefNethpcqy7Uh8azgYdZAoq49LbhysDrobhfgAoR2WLrmQx8&#10;UYBVPrrLMLX+yi902cdKiQmHFA3UMXap1qGsyWGY+Y5YtA/fO4xC+0rbHq9i7lo9T5In7bBh+VBj&#10;R5uays/92RkIxRudiu9pOU3eHytP89N294zGTMbDdimwXoKKNMS/C/jtIPkhl2BHf2YbVGtA2kTZ&#10;LmSKKni8MZ1n+n+B/AcAAP//AwBQSwECLQAUAAYACAAAACEAtoM4kv4AAADhAQAAEwAAAAAAAAAA&#10;AAAAAAAAAAAAW0NvbnRlbnRfVHlwZXNdLnhtbFBLAQItABQABgAIAAAAIQA4/SH/1gAAAJQBAAAL&#10;AAAAAAAAAAAAAAAAAC8BAABfcmVscy8ucmVsc1BLAQItABQABgAIAAAAIQANKP26mgEAACwDAAAO&#10;AAAAAAAAAAAAAAAAAC4CAABkcnMvZTJvRG9jLnhtbFBLAQItABQABgAIAAAAIQDZtijZ2QAAAAgB&#10;AAAPAAAAAAAAAAAAAAAAAPQDAABkcnMvZG93bnJldi54bWxQSwUGAAAAAAQABADzAAAA+gQAAAAA&#10;">
                <o:lock v:ext="edit" shapetype="f"/>
              </v:line>
            </w:pict>
          </mc:Fallback>
        </mc:AlternateContent>
      </w:r>
    </w:p>
    <w:p w14:paraId="49CA63EF" w14:textId="77777777" w:rsidR="00CD510F" w:rsidRPr="002676CC" w:rsidRDefault="00CD510F" w:rsidP="00DE5BCB">
      <w:pPr>
        <w:pStyle w:val="Heading3"/>
        <w:pBdr>
          <w:bottom w:val="single" w:sz="12" w:space="12" w:color="auto"/>
        </w:pBdr>
        <w:rPr>
          <w:rFonts w:cs="Times New Roman"/>
          <w:i w:val="0"/>
          <w:sz w:val="24"/>
          <w:szCs w:val="28"/>
        </w:rPr>
      </w:pPr>
    </w:p>
    <w:p w14:paraId="746891A0" w14:textId="77777777" w:rsidR="00B7190C" w:rsidRPr="002676CC" w:rsidRDefault="00B7190C" w:rsidP="003761B4">
      <w:pPr>
        <w:pStyle w:val="Heading3"/>
        <w:pBdr>
          <w:bottom w:val="single" w:sz="12" w:space="12" w:color="auto"/>
        </w:pBdr>
        <w:jc w:val="center"/>
        <w:rPr>
          <w:rFonts w:cs="Times New Roman"/>
          <w:b/>
          <w:i w:val="0"/>
          <w:sz w:val="24"/>
          <w:szCs w:val="28"/>
        </w:rPr>
      </w:pPr>
      <w:r w:rsidRPr="002676CC">
        <w:rPr>
          <w:rFonts w:cs="Times New Roman"/>
          <w:b/>
          <w:i w:val="0"/>
          <w:sz w:val="24"/>
          <w:szCs w:val="28"/>
        </w:rPr>
        <w:t>ORDER</w:t>
      </w:r>
    </w:p>
    <w:p w14:paraId="6AA7A41A" w14:textId="77777777" w:rsidR="00B7190C" w:rsidRPr="002676CC" w:rsidRDefault="00B7190C" w:rsidP="003761B4">
      <w:pPr>
        <w:rPr>
          <w:rFonts w:ascii="Arial" w:hAnsi="Arial"/>
        </w:rPr>
      </w:pPr>
    </w:p>
    <w:p w14:paraId="530AC064" w14:textId="7E31712D" w:rsidR="000B08F0" w:rsidRPr="002676CC" w:rsidRDefault="000B08F0" w:rsidP="000B08F0">
      <w:pPr>
        <w:contextualSpacing/>
        <w:rPr>
          <w:rFonts w:ascii="Arial" w:hAnsi="Arial"/>
          <w:bCs/>
          <w:szCs w:val="28"/>
        </w:rPr>
      </w:pPr>
      <w:r w:rsidRPr="006938E5">
        <w:rPr>
          <w:rFonts w:ascii="Arial" w:hAnsi="Arial"/>
          <w:b/>
          <w:bCs/>
          <w:szCs w:val="28"/>
        </w:rPr>
        <w:t>On appeal from:</w:t>
      </w:r>
      <w:r w:rsidRPr="002676CC">
        <w:rPr>
          <w:rFonts w:ascii="Arial" w:hAnsi="Arial"/>
          <w:bCs/>
          <w:szCs w:val="28"/>
        </w:rPr>
        <w:t xml:space="preserve"> Eastern Cape Division of the High Court, Port Elizabeth (Govindjee AJ, sitting as a court of first instance): </w:t>
      </w:r>
    </w:p>
    <w:p w14:paraId="49CFD4EA" w14:textId="77777777" w:rsidR="003339E0" w:rsidRPr="002676CC" w:rsidRDefault="003339E0" w:rsidP="000B08F0">
      <w:pPr>
        <w:contextualSpacing/>
        <w:rPr>
          <w:rFonts w:ascii="Arial" w:hAnsi="Arial"/>
          <w:bCs/>
          <w:szCs w:val="28"/>
        </w:rPr>
      </w:pPr>
    </w:p>
    <w:p w14:paraId="5E839AE3" w14:textId="407EF646" w:rsidR="000B08F0" w:rsidRPr="002676CC" w:rsidRDefault="000B08F0" w:rsidP="000B08F0">
      <w:pPr>
        <w:rPr>
          <w:rFonts w:ascii="Arial" w:hAnsi="Arial"/>
          <w:bCs/>
          <w:szCs w:val="28"/>
          <w:lang w:val="en-US"/>
        </w:rPr>
      </w:pPr>
      <w:r w:rsidRPr="002676CC">
        <w:rPr>
          <w:rFonts w:ascii="Arial" w:hAnsi="Arial"/>
          <w:bCs/>
          <w:szCs w:val="28"/>
          <w:lang w:val="en-US"/>
        </w:rPr>
        <w:t>The appeal is dismissed</w:t>
      </w:r>
      <w:r w:rsidR="006A46D3" w:rsidRPr="002676CC">
        <w:rPr>
          <w:rFonts w:ascii="Arial" w:hAnsi="Arial"/>
          <w:bCs/>
          <w:szCs w:val="28"/>
          <w:lang w:val="en-US"/>
        </w:rPr>
        <w:t xml:space="preserve"> with costs</w:t>
      </w:r>
      <w:r w:rsidRPr="002676CC">
        <w:rPr>
          <w:rFonts w:ascii="Arial" w:hAnsi="Arial"/>
          <w:bCs/>
          <w:szCs w:val="28"/>
          <w:lang w:val="en-US"/>
        </w:rPr>
        <w:t>.</w:t>
      </w:r>
    </w:p>
    <w:p w14:paraId="7F028968" w14:textId="0F08A4CE" w:rsidR="00B7190C" w:rsidRPr="002676CC" w:rsidRDefault="00B7190C" w:rsidP="003761B4">
      <w:pPr>
        <w:pBdr>
          <w:bottom w:val="single" w:sz="12" w:space="1" w:color="auto"/>
        </w:pBdr>
        <w:rPr>
          <w:rFonts w:ascii="Arial" w:hAnsi="Arial"/>
        </w:rPr>
      </w:pPr>
      <w:r w:rsidRPr="002676CC">
        <w:rPr>
          <w:rFonts w:ascii="Arial" w:hAnsi="Arial" w:cs="Arial"/>
          <w:noProof/>
          <w:lang w:val="en-ZA" w:eastAsia="en-ZA"/>
        </w:rPr>
        <mc:AlternateContent>
          <mc:Choice Requires="wps">
            <w:drawing>
              <wp:anchor distT="0" distB="0" distL="114300" distR="114300" simplePos="0" relativeHeight="251668480" behindDoc="0" locked="0" layoutInCell="1" allowOverlap="1" wp14:anchorId="6EEB74E6" wp14:editId="59F07B89">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BEA080"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2bYo2dkAAAAIAQAADwAAAGRycy9kb3ducmV2LnhtbExPwU7CQBC9m/APmyHhQmQrJoaUbgkBe+Mi&#10;aLwO3bFt7M6W7gLVr3cMB728yZuXefNethpcqy7Uh8azgYdZAoq49LbhysDrobhfgAoR2WLrmQx8&#10;UYBVPrrLMLX+yi902cdKiQmHFA3UMXap1qGsyWGY+Y5YtA/fO4xC+0rbHq9i7lo9T5In7bBh+VBj&#10;R5uays/92RkIxRudiu9pOU3eHytP89N294zGTMbDdimwXoKKNMS/C/jtIPkhl2BHf2YbVGtA2kTZ&#10;LmSKKni8MZ1n+n+B/AcAAP//AwBQSwECLQAUAAYACAAAACEAtoM4kv4AAADhAQAAEwAAAAAAAAAA&#10;AAAAAAAAAAAAW0NvbnRlbnRfVHlwZXNdLnhtbFBLAQItABQABgAIAAAAIQA4/SH/1gAAAJQBAAAL&#10;AAAAAAAAAAAAAAAAAC8BAABfcmVscy8ucmVsc1BLAQItABQABgAIAAAAIQANKP26mgEAACwDAAAO&#10;AAAAAAAAAAAAAAAAAC4CAABkcnMvZTJvRG9jLnhtbFBLAQItABQABgAIAAAAIQDZtijZ2QAAAAgB&#10;AAAPAAAAAAAAAAAAAAAAAPQDAABkcnMvZG93bnJldi54bWxQSwUGAAAAAAQABADzAAAA+gQAAAAA&#10;">
                <o:lock v:ext="edit" shapetype="f"/>
              </v:line>
            </w:pict>
          </mc:Fallback>
        </mc:AlternateContent>
      </w:r>
    </w:p>
    <w:p w14:paraId="1F5E50CC" w14:textId="77777777" w:rsidR="00F66449" w:rsidRPr="002676CC" w:rsidRDefault="00F66449" w:rsidP="00DE5BCB">
      <w:pPr>
        <w:pStyle w:val="Heading3"/>
        <w:pBdr>
          <w:bottom w:val="single" w:sz="12" w:space="12" w:color="auto"/>
        </w:pBdr>
        <w:rPr>
          <w:rFonts w:cs="Times New Roman"/>
          <w:i w:val="0"/>
          <w:sz w:val="24"/>
          <w:szCs w:val="28"/>
        </w:rPr>
      </w:pPr>
    </w:p>
    <w:p w14:paraId="58B4A779" w14:textId="0F3778A6" w:rsidR="00B7190C" w:rsidRPr="002676CC" w:rsidRDefault="00B7190C" w:rsidP="00C14AD4">
      <w:pPr>
        <w:pStyle w:val="Heading3"/>
        <w:pBdr>
          <w:bottom w:val="single" w:sz="12" w:space="12" w:color="auto"/>
        </w:pBdr>
        <w:jc w:val="center"/>
      </w:pPr>
      <w:r w:rsidRPr="002676CC">
        <w:rPr>
          <w:rFonts w:cs="Times New Roman"/>
          <w:b/>
          <w:i w:val="0"/>
          <w:sz w:val="24"/>
          <w:szCs w:val="28"/>
        </w:rPr>
        <w:t>JUDGMENT</w:t>
      </w:r>
    </w:p>
    <w:p w14:paraId="0D34D022" w14:textId="7FC37DAC" w:rsidR="0023652D" w:rsidRPr="005D3003" w:rsidRDefault="00006900" w:rsidP="005D3003">
      <w:pPr>
        <w:spacing w:before="240"/>
        <w:rPr>
          <w:rFonts w:ascii="Arial" w:hAnsi="Arial"/>
          <w:b/>
          <w:szCs w:val="28"/>
        </w:rPr>
      </w:pPr>
      <w:r w:rsidRPr="002676CC">
        <w:rPr>
          <w:rFonts w:ascii="Arial" w:hAnsi="Arial"/>
          <w:b/>
          <w:szCs w:val="28"/>
        </w:rPr>
        <w:t>Matojane AJA (Makgoka, Plasket and Gorven JJA and Smith</w:t>
      </w:r>
      <w:r w:rsidR="004F40DA" w:rsidRPr="002676CC">
        <w:rPr>
          <w:rFonts w:ascii="Arial" w:hAnsi="Arial"/>
          <w:b/>
          <w:szCs w:val="28"/>
        </w:rPr>
        <w:t xml:space="preserve"> AJA</w:t>
      </w:r>
      <w:r w:rsidR="004551EC" w:rsidRPr="002676CC">
        <w:rPr>
          <w:rFonts w:ascii="Arial" w:hAnsi="Arial"/>
          <w:b/>
          <w:szCs w:val="28"/>
        </w:rPr>
        <w:t xml:space="preserve"> concurring</w:t>
      </w:r>
      <w:r w:rsidR="00E96990" w:rsidRPr="002676CC">
        <w:rPr>
          <w:rFonts w:ascii="Arial" w:hAnsi="Arial"/>
          <w:b/>
          <w:szCs w:val="28"/>
        </w:rPr>
        <w:t>)</w:t>
      </w:r>
      <w:r w:rsidR="002676CC">
        <w:rPr>
          <w:rFonts w:ascii="Arial" w:hAnsi="Arial"/>
          <w:b/>
          <w:szCs w:val="28"/>
        </w:rPr>
        <w:t>:</w:t>
      </w:r>
    </w:p>
    <w:p w14:paraId="7C7FD7AD" w14:textId="0285D672" w:rsidR="000B08F0" w:rsidRPr="00770ADA" w:rsidRDefault="000B08F0" w:rsidP="005D3003">
      <w:pPr>
        <w:pStyle w:val="ListParagraph"/>
        <w:numPr>
          <w:ilvl w:val="0"/>
          <w:numId w:val="28"/>
        </w:numPr>
        <w:spacing w:before="240"/>
        <w:ind w:left="0" w:firstLine="0"/>
        <w:rPr>
          <w:rFonts w:ascii="Arial" w:hAnsi="Arial" w:cs="Arial"/>
          <w:bCs/>
          <w:szCs w:val="28"/>
          <w:lang w:val="en-ZA"/>
        </w:rPr>
      </w:pPr>
      <w:r w:rsidRPr="00770ADA">
        <w:rPr>
          <w:rFonts w:ascii="Arial" w:hAnsi="Arial" w:cs="Arial"/>
          <w:bCs/>
          <w:szCs w:val="28"/>
          <w:lang w:val="en-ZA"/>
        </w:rPr>
        <w:t>This is an appeal against the judgment of the Eastern Cape Division of the High Court, Port Elizabet</w:t>
      </w:r>
      <w:r w:rsidR="00110823" w:rsidRPr="00770ADA">
        <w:rPr>
          <w:rFonts w:ascii="Arial" w:hAnsi="Arial" w:cs="Arial"/>
          <w:bCs/>
          <w:szCs w:val="28"/>
          <w:lang w:val="en-ZA"/>
        </w:rPr>
        <w:t>h (</w:t>
      </w:r>
      <w:r w:rsidRPr="00770ADA">
        <w:rPr>
          <w:rFonts w:ascii="Arial" w:hAnsi="Arial" w:cs="Arial"/>
          <w:bCs/>
          <w:szCs w:val="28"/>
          <w:lang w:val="en-ZA"/>
        </w:rPr>
        <w:t xml:space="preserve">the </w:t>
      </w:r>
      <w:r w:rsidR="002676CC" w:rsidRPr="00770ADA">
        <w:rPr>
          <w:rFonts w:ascii="Arial" w:hAnsi="Arial" w:cs="Arial"/>
          <w:bCs/>
          <w:szCs w:val="28"/>
          <w:lang w:val="en-ZA"/>
        </w:rPr>
        <w:t>h</w:t>
      </w:r>
      <w:r w:rsidRPr="00770ADA">
        <w:rPr>
          <w:rFonts w:ascii="Arial" w:hAnsi="Arial" w:cs="Arial"/>
          <w:bCs/>
          <w:szCs w:val="28"/>
          <w:lang w:val="en-ZA"/>
        </w:rPr>
        <w:t xml:space="preserve">igh </w:t>
      </w:r>
      <w:r w:rsidR="002676CC" w:rsidRPr="00770ADA">
        <w:rPr>
          <w:rFonts w:ascii="Arial" w:hAnsi="Arial" w:cs="Arial"/>
          <w:bCs/>
          <w:szCs w:val="28"/>
          <w:lang w:val="en-ZA"/>
        </w:rPr>
        <w:t>c</w:t>
      </w:r>
      <w:r w:rsidRPr="00770ADA">
        <w:rPr>
          <w:rFonts w:ascii="Arial" w:hAnsi="Arial" w:cs="Arial"/>
          <w:bCs/>
          <w:szCs w:val="28"/>
          <w:lang w:val="en-ZA"/>
        </w:rPr>
        <w:t xml:space="preserve">ourt), in which the </w:t>
      </w:r>
      <w:r w:rsidR="00A61E6B" w:rsidRPr="00770ADA">
        <w:rPr>
          <w:rFonts w:ascii="Arial" w:hAnsi="Arial" w:cs="Arial"/>
          <w:bCs/>
          <w:szCs w:val="28"/>
          <w:lang w:val="en-ZA"/>
        </w:rPr>
        <w:t>appellant's</w:t>
      </w:r>
      <w:r w:rsidRPr="00770ADA">
        <w:rPr>
          <w:rFonts w:ascii="Arial" w:hAnsi="Arial" w:cs="Arial"/>
          <w:bCs/>
          <w:szCs w:val="28"/>
          <w:lang w:val="en-ZA"/>
        </w:rPr>
        <w:t xml:space="preserve"> special plea of prescription was dismissed with costs. The appeal is</w:t>
      </w:r>
      <w:r w:rsidR="00110823" w:rsidRPr="00770ADA">
        <w:rPr>
          <w:rFonts w:ascii="Arial" w:hAnsi="Arial" w:cs="Arial"/>
          <w:bCs/>
          <w:szCs w:val="28"/>
          <w:lang w:val="en-ZA"/>
        </w:rPr>
        <w:t xml:space="preserve"> before us with the </w:t>
      </w:r>
      <w:r w:rsidRPr="00770ADA">
        <w:rPr>
          <w:rFonts w:ascii="Arial" w:hAnsi="Arial" w:cs="Arial"/>
          <w:bCs/>
          <w:szCs w:val="28"/>
          <w:lang w:val="en-ZA"/>
        </w:rPr>
        <w:t xml:space="preserve">leave of the </w:t>
      </w:r>
      <w:r w:rsidR="002676CC" w:rsidRPr="00770ADA">
        <w:rPr>
          <w:rFonts w:ascii="Arial" w:hAnsi="Arial" w:cs="Arial"/>
          <w:bCs/>
          <w:szCs w:val="28"/>
          <w:lang w:val="en-ZA"/>
        </w:rPr>
        <w:t>h</w:t>
      </w:r>
      <w:r w:rsidRPr="00770ADA">
        <w:rPr>
          <w:rFonts w:ascii="Arial" w:hAnsi="Arial" w:cs="Arial"/>
          <w:bCs/>
          <w:szCs w:val="28"/>
          <w:lang w:val="en-ZA"/>
        </w:rPr>
        <w:t xml:space="preserve">igh </w:t>
      </w:r>
      <w:r w:rsidR="002676CC" w:rsidRPr="00770ADA">
        <w:rPr>
          <w:rFonts w:ascii="Arial" w:hAnsi="Arial" w:cs="Arial"/>
          <w:bCs/>
          <w:szCs w:val="28"/>
          <w:lang w:val="en-ZA"/>
        </w:rPr>
        <w:t>c</w:t>
      </w:r>
      <w:r w:rsidRPr="00770ADA">
        <w:rPr>
          <w:rFonts w:ascii="Arial" w:hAnsi="Arial" w:cs="Arial"/>
          <w:bCs/>
          <w:szCs w:val="28"/>
          <w:lang w:val="en-ZA"/>
        </w:rPr>
        <w:t>ourt.</w:t>
      </w:r>
    </w:p>
    <w:p w14:paraId="09A27706" w14:textId="77777777" w:rsidR="00603D32" w:rsidRPr="00770ADA" w:rsidRDefault="00603D32" w:rsidP="00770ADA">
      <w:pPr>
        <w:rPr>
          <w:rFonts w:ascii="Arial" w:hAnsi="Arial" w:cs="Arial"/>
          <w:bCs/>
          <w:szCs w:val="28"/>
          <w:lang w:val="en-ZA"/>
        </w:rPr>
      </w:pPr>
    </w:p>
    <w:p w14:paraId="0217CD65" w14:textId="65170B8D" w:rsidR="00976662" w:rsidRPr="00770ADA" w:rsidRDefault="00976662" w:rsidP="00770ADA">
      <w:pPr>
        <w:pStyle w:val="ListParagraph"/>
        <w:numPr>
          <w:ilvl w:val="0"/>
          <w:numId w:val="28"/>
        </w:numPr>
        <w:ind w:left="0" w:firstLine="0"/>
        <w:rPr>
          <w:rFonts w:ascii="Arial" w:hAnsi="Arial" w:cs="Arial"/>
          <w:bCs/>
          <w:szCs w:val="28"/>
          <w:lang w:val="en-ZA"/>
        </w:rPr>
      </w:pPr>
      <w:r w:rsidRPr="00770ADA">
        <w:rPr>
          <w:rFonts w:ascii="Arial" w:hAnsi="Arial" w:cs="Arial"/>
          <w:bCs/>
          <w:szCs w:val="28"/>
          <w:lang w:val="en-ZA"/>
        </w:rPr>
        <w:t xml:space="preserve">On </w:t>
      </w:r>
      <w:r w:rsidR="00554E1C" w:rsidRPr="00770ADA">
        <w:rPr>
          <w:rFonts w:ascii="Arial" w:hAnsi="Arial" w:cs="Arial"/>
          <w:bCs/>
          <w:szCs w:val="28"/>
          <w:lang w:val="en-ZA"/>
        </w:rPr>
        <w:t>27 August</w:t>
      </w:r>
      <w:r w:rsidRPr="00770ADA">
        <w:rPr>
          <w:rFonts w:ascii="Arial" w:hAnsi="Arial" w:cs="Arial"/>
          <w:bCs/>
          <w:szCs w:val="28"/>
          <w:lang w:val="en-ZA"/>
        </w:rPr>
        <w:t xml:space="preserve"> 2008</w:t>
      </w:r>
      <w:r w:rsidR="00554E1C" w:rsidRPr="00770ADA">
        <w:rPr>
          <w:rFonts w:ascii="Arial" w:hAnsi="Arial" w:cs="Arial"/>
          <w:bCs/>
          <w:szCs w:val="28"/>
          <w:lang w:val="en-ZA"/>
        </w:rPr>
        <w:t>,</w:t>
      </w:r>
      <w:r w:rsidRPr="00770ADA">
        <w:rPr>
          <w:rFonts w:ascii="Arial" w:hAnsi="Arial" w:cs="Arial"/>
          <w:bCs/>
          <w:szCs w:val="28"/>
          <w:lang w:val="en-ZA"/>
        </w:rPr>
        <w:t xml:space="preserve"> the parties concluded a written agreement of sale</w:t>
      </w:r>
      <w:r w:rsidR="00793F95" w:rsidRPr="00770ADA">
        <w:rPr>
          <w:rFonts w:ascii="Arial" w:hAnsi="Arial" w:cs="Arial"/>
          <w:bCs/>
          <w:szCs w:val="28"/>
          <w:lang w:val="en-ZA"/>
        </w:rPr>
        <w:t>. The</w:t>
      </w:r>
      <w:r w:rsidRPr="00770ADA">
        <w:rPr>
          <w:rFonts w:ascii="Arial" w:hAnsi="Arial" w:cs="Arial"/>
          <w:bCs/>
          <w:szCs w:val="28"/>
          <w:lang w:val="en-ZA"/>
        </w:rPr>
        <w:t xml:space="preserve"> </w:t>
      </w:r>
      <w:r w:rsidR="00001CFC" w:rsidRPr="00770ADA">
        <w:rPr>
          <w:rFonts w:ascii="Arial" w:hAnsi="Arial" w:cs="Arial"/>
          <w:bCs/>
          <w:szCs w:val="28"/>
          <w:lang w:val="en-ZA"/>
        </w:rPr>
        <w:t>a</w:t>
      </w:r>
      <w:r w:rsidR="003815A4" w:rsidRPr="00770ADA">
        <w:rPr>
          <w:rFonts w:ascii="Arial" w:hAnsi="Arial" w:cs="Arial"/>
          <w:bCs/>
          <w:szCs w:val="28"/>
          <w:lang w:val="en-ZA"/>
        </w:rPr>
        <w:t>ppellant</w:t>
      </w:r>
      <w:r w:rsidR="00FC5E71" w:rsidRPr="00770ADA">
        <w:rPr>
          <w:rFonts w:ascii="Arial" w:hAnsi="Arial" w:cs="Arial"/>
          <w:bCs/>
          <w:szCs w:val="28"/>
          <w:lang w:val="en-ZA"/>
        </w:rPr>
        <w:t>, Mr Rademeyer,</w:t>
      </w:r>
      <w:r w:rsidRPr="00770ADA">
        <w:rPr>
          <w:rFonts w:ascii="Arial" w:hAnsi="Arial" w:cs="Arial"/>
          <w:bCs/>
          <w:szCs w:val="28"/>
          <w:lang w:val="en-ZA"/>
        </w:rPr>
        <w:t xml:space="preserve"> purchased a</w:t>
      </w:r>
      <w:r w:rsidR="00110823" w:rsidRPr="00770ADA">
        <w:rPr>
          <w:rFonts w:ascii="Arial" w:hAnsi="Arial" w:cs="Arial"/>
          <w:bCs/>
          <w:szCs w:val="28"/>
          <w:lang w:val="en-ZA"/>
        </w:rPr>
        <w:t>n</w:t>
      </w:r>
      <w:r w:rsidRPr="00770ADA">
        <w:rPr>
          <w:rFonts w:ascii="Arial" w:hAnsi="Arial" w:cs="Arial"/>
          <w:bCs/>
          <w:szCs w:val="28"/>
          <w:lang w:val="en-ZA"/>
        </w:rPr>
        <w:t xml:space="preserve"> immovable property from the </w:t>
      </w:r>
      <w:r w:rsidR="00001CFC" w:rsidRPr="00770ADA">
        <w:rPr>
          <w:rFonts w:ascii="Arial" w:hAnsi="Arial" w:cs="Arial"/>
          <w:bCs/>
          <w:szCs w:val="28"/>
          <w:lang w:val="en-ZA"/>
        </w:rPr>
        <w:t>r</w:t>
      </w:r>
      <w:r w:rsidR="00A66B01" w:rsidRPr="00770ADA">
        <w:rPr>
          <w:rFonts w:ascii="Arial" w:hAnsi="Arial" w:cs="Arial"/>
          <w:bCs/>
          <w:szCs w:val="28"/>
          <w:lang w:val="en-ZA"/>
        </w:rPr>
        <w:t>espondent</w:t>
      </w:r>
      <w:r w:rsidR="00FC5E71" w:rsidRPr="00770ADA">
        <w:rPr>
          <w:rFonts w:ascii="Arial" w:hAnsi="Arial" w:cs="Arial"/>
          <w:bCs/>
          <w:szCs w:val="28"/>
          <w:lang w:val="en-ZA"/>
        </w:rPr>
        <w:t>, Mr Ferreira,</w:t>
      </w:r>
      <w:r w:rsidR="00793F95" w:rsidRPr="00770ADA">
        <w:rPr>
          <w:rFonts w:ascii="Arial" w:hAnsi="Arial" w:cs="Arial"/>
          <w:bCs/>
          <w:szCs w:val="28"/>
          <w:lang w:val="en-ZA"/>
        </w:rPr>
        <w:t xml:space="preserve"> fo</w:t>
      </w:r>
      <w:r w:rsidR="00110823" w:rsidRPr="00770ADA">
        <w:rPr>
          <w:rFonts w:ascii="Arial" w:hAnsi="Arial" w:cs="Arial"/>
          <w:bCs/>
          <w:szCs w:val="28"/>
          <w:lang w:val="en-ZA"/>
        </w:rPr>
        <w:t>r R</w:t>
      </w:r>
      <w:r w:rsidR="00956168" w:rsidRPr="00770ADA">
        <w:rPr>
          <w:rFonts w:ascii="Arial" w:hAnsi="Arial" w:cs="Arial"/>
          <w:bCs/>
          <w:szCs w:val="28"/>
          <w:lang w:val="en-ZA"/>
        </w:rPr>
        <w:t>950</w:t>
      </w:r>
      <w:r w:rsidR="002C3A04" w:rsidRPr="00770ADA">
        <w:rPr>
          <w:rFonts w:ascii="Arial" w:hAnsi="Arial" w:cs="Arial"/>
          <w:bCs/>
          <w:szCs w:val="28"/>
          <w:lang w:val="en-ZA"/>
        </w:rPr>
        <w:t> </w:t>
      </w:r>
      <w:r w:rsidR="00956168" w:rsidRPr="00770ADA">
        <w:rPr>
          <w:rFonts w:ascii="Arial" w:hAnsi="Arial" w:cs="Arial"/>
          <w:bCs/>
          <w:szCs w:val="28"/>
          <w:lang w:val="en-ZA"/>
        </w:rPr>
        <w:t>000</w:t>
      </w:r>
      <w:r w:rsidR="002C3A04" w:rsidRPr="00770ADA">
        <w:rPr>
          <w:rFonts w:ascii="Arial" w:hAnsi="Arial" w:cs="Arial"/>
          <w:bCs/>
          <w:szCs w:val="28"/>
          <w:lang w:val="en-ZA"/>
        </w:rPr>
        <w:t>.</w:t>
      </w:r>
      <w:r w:rsidRPr="00770ADA">
        <w:rPr>
          <w:rFonts w:ascii="Arial" w:hAnsi="Arial" w:cs="Arial"/>
          <w:bCs/>
          <w:szCs w:val="28"/>
          <w:lang w:val="en-ZA"/>
        </w:rPr>
        <w:t xml:space="preserve"> </w:t>
      </w:r>
      <w:r w:rsidR="00BA2BAF" w:rsidRPr="00770ADA">
        <w:rPr>
          <w:rFonts w:ascii="Arial" w:hAnsi="Arial" w:cs="Arial"/>
          <w:bCs/>
          <w:szCs w:val="28"/>
          <w:lang w:val="en-ZA"/>
        </w:rPr>
        <w:t xml:space="preserve">The </w:t>
      </w:r>
      <w:r w:rsidR="00001CFC" w:rsidRPr="00770ADA">
        <w:rPr>
          <w:rFonts w:ascii="Arial" w:hAnsi="Arial" w:cs="Arial"/>
          <w:bCs/>
          <w:szCs w:val="28"/>
          <w:lang w:val="en-ZA"/>
        </w:rPr>
        <w:t>a</w:t>
      </w:r>
      <w:r w:rsidR="003815A4" w:rsidRPr="00770ADA">
        <w:rPr>
          <w:rFonts w:ascii="Arial" w:hAnsi="Arial" w:cs="Arial"/>
          <w:bCs/>
          <w:szCs w:val="28"/>
          <w:lang w:val="en-ZA"/>
        </w:rPr>
        <w:t>ppellant</w:t>
      </w:r>
      <w:r w:rsidR="00BA2BAF" w:rsidRPr="00770ADA">
        <w:rPr>
          <w:rFonts w:ascii="Arial" w:hAnsi="Arial" w:cs="Arial"/>
          <w:bCs/>
          <w:szCs w:val="28"/>
          <w:lang w:val="en-ZA"/>
        </w:rPr>
        <w:t xml:space="preserve"> pai</w:t>
      </w:r>
      <w:r w:rsidR="00110823" w:rsidRPr="00770ADA">
        <w:rPr>
          <w:rFonts w:ascii="Arial" w:hAnsi="Arial" w:cs="Arial"/>
          <w:bCs/>
          <w:szCs w:val="28"/>
          <w:lang w:val="en-ZA"/>
        </w:rPr>
        <w:t xml:space="preserve">d </w:t>
      </w:r>
      <w:r w:rsidR="00990BF2" w:rsidRPr="00770ADA">
        <w:rPr>
          <w:rFonts w:ascii="Arial" w:hAnsi="Arial" w:cs="Arial"/>
          <w:bCs/>
          <w:szCs w:val="28"/>
          <w:lang w:val="en-ZA"/>
        </w:rPr>
        <w:t>R</w:t>
      </w:r>
      <w:r w:rsidR="00956168" w:rsidRPr="00770ADA">
        <w:rPr>
          <w:rFonts w:ascii="Arial" w:hAnsi="Arial" w:cs="Arial"/>
          <w:bCs/>
          <w:szCs w:val="28"/>
          <w:lang w:val="en-ZA"/>
        </w:rPr>
        <w:t xml:space="preserve">190 000 as a </w:t>
      </w:r>
      <w:r w:rsidR="00BA2BAF" w:rsidRPr="00770ADA">
        <w:rPr>
          <w:rFonts w:ascii="Arial" w:hAnsi="Arial" w:cs="Arial"/>
          <w:bCs/>
          <w:szCs w:val="28"/>
          <w:lang w:val="en-ZA"/>
        </w:rPr>
        <w:t>deposit</w:t>
      </w:r>
      <w:r w:rsidR="00FC5E71" w:rsidRPr="00770ADA">
        <w:rPr>
          <w:rFonts w:ascii="Arial" w:hAnsi="Arial" w:cs="Arial"/>
          <w:bCs/>
          <w:szCs w:val="28"/>
          <w:lang w:val="en-ZA"/>
        </w:rPr>
        <w:t xml:space="preserve">. However, he </w:t>
      </w:r>
      <w:r w:rsidR="00956168" w:rsidRPr="00770ADA">
        <w:rPr>
          <w:rFonts w:ascii="Arial" w:hAnsi="Arial" w:cs="Arial"/>
          <w:bCs/>
          <w:szCs w:val="28"/>
          <w:lang w:val="en-ZA"/>
        </w:rPr>
        <w:t xml:space="preserve">refused to sign the required documents to effect </w:t>
      </w:r>
      <w:r w:rsidR="006A6411" w:rsidRPr="00770ADA">
        <w:rPr>
          <w:rFonts w:ascii="Arial" w:hAnsi="Arial" w:cs="Arial"/>
          <w:bCs/>
          <w:szCs w:val="28"/>
          <w:lang w:val="en-ZA"/>
        </w:rPr>
        <w:t>the transfer registration</w:t>
      </w:r>
      <w:r w:rsidR="00956168" w:rsidRPr="00770ADA">
        <w:rPr>
          <w:rFonts w:ascii="Arial" w:hAnsi="Arial" w:cs="Arial"/>
          <w:bCs/>
          <w:szCs w:val="28"/>
          <w:lang w:val="en-ZA"/>
        </w:rPr>
        <w:t xml:space="preserve"> into his name </w:t>
      </w:r>
      <w:r w:rsidR="00D23365" w:rsidRPr="00770ADA">
        <w:rPr>
          <w:rFonts w:ascii="Arial" w:hAnsi="Arial" w:cs="Arial"/>
          <w:bCs/>
          <w:szCs w:val="28"/>
          <w:lang w:val="en-ZA"/>
        </w:rPr>
        <w:t>and</w:t>
      </w:r>
      <w:r w:rsidR="00956168" w:rsidRPr="00770ADA">
        <w:rPr>
          <w:rFonts w:ascii="Arial" w:hAnsi="Arial" w:cs="Arial"/>
          <w:bCs/>
          <w:szCs w:val="28"/>
          <w:lang w:val="en-ZA"/>
        </w:rPr>
        <w:t xml:space="preserve"> furnish guarantees fo</w:t>
      </w:r>
      <w:r w:rsidR="00110823" w:rsidRPr="00770ADA">
        <w:rPr>
          <w:rFonts w:ascii="Arial" w:hAnsi="Arial" w:cs="Arial"/>
          <w:bCs/>
          <w:szCs w:val="28"/>
          <w:lang w:val="en-ZA"/>
        </w:rPr>
        <w:t>r pa</w:t>
      </w:r>
      <w:r w:rsidR="00956168" w:rsidRPr="00770ADA">
        <w:rPr>
          <w:rFonts w:ascii="Arial" w:hAnsi="Arial" w:cs="Arial"/>
          <w:bCs/>
          <w:szCs w:val="28"/>
          <w:lang w:val="en-ZA"/>
        </w:rPr>
        <w:t>yment of the</w:t>
      </w:r>
      <w:r w:rsidR="006A6411" w:rsidRPr="00770ADA">
        <w:rPr>
          <w:rFonts w:ascii="Arial" w:hAnsi="Arial" w:cs="Arial"/>
          <w:bCs/>
          <w:szCs w:val="28"/>
          <w:lang w:val="en-ZA"/>
        </w:rPr>
        <w:t xml:space="preserve"> </w:t>
      </w:r>
      <w:r w:rsidR="00A61E6B" w:rsidRPr="00770ADA">
        <w:rPr>
          <w:rFonts w:ascii="Arial" w:hAnsi="Arial" w:cs="Arial"/>
          <w:bCs/>
          <w:szCs w:val="28"/>
          <w:lang w:val="en-ZA"/>
        </w:rPr>
        <w:t>purchase price balance</w:t>
      </w:r>
      <w:r w:rsidR="00956168" w:rsidRPr="00770ADA">
        <w:rPr>
          <w:rFonts w:ascii="Arial" w:hAnsi="Arial" w:cs="Arial"/>
          <w:bCs/>
          <w:szCs w:val="28"/>
          <w:lang w:val="en-ZA"/>
        </w:rPr>
        <w:t>.</w:t>
      </w:r>
      <w:r w:rsidR="00BA2BAF" w:rsidRPr="00770ADA">
        <w:rPr>
          <w:rFonts w:ascii="Arial" w:hAnsi="Arial" w:cs="Arial"/>
          <w:bCs/>
          <w:szCs w:val="28"/>
          <w:lang w:val="en-ZA"/>
        </w:rPr>
        <w:t xml:space="preserve"> </w:t>
      </w:r>
    </w:p>
    <w:p w14:paraId="41C321DD" w14:textId="77777777" w:rsidR="00976662" w:rsidRPr="00770ADA" w:rsidRDefault="00976662" w:rsidP="00770ADA">
      <w:pPr>
        <w:rPr>
          <w:rFonts w:ascii="Arial" w:hAnsi="Arial" w:cs="Arial"/>
          <w:bCs/>
          <w:szCs w:val="28"/>
          <w:lang w:val="en-ZA"/>
        </w:rPr>
      </w:pPr>
    </w:p>
    <w:p w14:paraId="2CE6C8CA" w14:textId="546A8E83" w:rsidR="0076576C" w:rsidRPr="00770ADA" w:rsidRDefault="00FF376D" w:rsidP="00770ADA">
      <w:pPr>
        <w:pStyle w:val="ListParagraph"/>
        <w:numPr>
          <w:ilvl w:val="0"/>
          <w:numId w:val="28"/>
        </w:numPr>
        <w:ind w:left="0" w:firstLine="0"/>
        <w:rPr>
          <w:rFonts w:ascii="Arial" w:hAnsi="Arial" w:cs="Arial"/>
          <w:bCs/>
          <w:szCs w:val="28"/>
          <w:lang w:val="en-ZA"/>
        </w:rPr>
      </w:pPr>
      <w:r w:rsidRPr="00770ADA">
        <w:rPr>
          <w:rFonts w:ascii="Arial" w:hAnsi="Arial" w:cs="Arial"/>
          <w:bCs/>
          <w:szCs w:val="28"/>
          <w:lang w:val="en-ZA"/>
        </w:rPr>
        <w:t>As</w:t>
      </w:r>
      <w:r w:rsidR="00A00DB6" w:rsidRPr="00770ADA">
        <w:rPr>
          <w:rFonts w:ascii="Arial" w:hAnsi="Arial" w:cs="Arial"/>
          <w:bCs/>
          <w:szCs w:val="28"/>
          <w:lang w:val="en-ZA"/>
        </w:rPr>
        <w:t xml:space="preserve"> </w:t>
      </w:r>
      <w:r w:rsidR="00031E1D" w:rsidRPr="00770ADA">
        <w:rPr>
          <w:rFonts w:ascii="Arial" w:hAnsi="Arial" w:cs="Arial"/>
          <w:bCs/>
          <w:szCs w:val="28"/>
          <w:lang w:val="en-ZA"/>
        </w:rPr>
        <w:t>the</w:t>
      </w:r>
      <w:r w:rsidR="00E17C8C" w:rsidRPr="00770ADA">
        <w:rPr>
          <w:rFonts w:ascii="Arial" w:hAnsi="Arial" w:cs="Arial"/>
          <w:bCs/>
          <w:szCs w:val="28"/>
          <w:lang w:val="en-ZA"/>
        </w:rPr>
        <w:t xml:space="preserve"> </w:t>
      </w:r>
      <w:r w:rsidR="0043335A" w:rsidRPr="00770ADA">
        <w:rPr>
          <w:rFonts w:ascii="Arial" w:hAnsi="Arial" w:cs="Arial"/>
          <w:bCs/>
          <w:szCs w:val="28"/>
          <w:lang w:val="en-ZA"/>
        </w:rPr>
        <w:t xml:space="preserve">applicant in the </w:t>
      </w:r>
      <w:r w:rsidR="00A849C0" w:rsidRPr="00770ADA">
        <w:rPr>
          <w:rFonts w:ascii="Arial" w:hAnsi="Arial" w:cs="Arial"/>
          <w:bCs/>
          <w:szCs w:val="28"/>
          <w:lang w:val="en-ZA"/>
        </w:rPr>
        <w:t>h</w:t>
      </w:r>
      <w:r w:rsidR="00A61E6B" w:rsidRPr="00770ADA">
        <w:rPr>
          <w:rFonts w:ascii="Arial" w:hAnsi="Arial" w:cs="Arial"/>
          <w:bCs/>
          <w:szCs w:val="28"/>
          <w:lang w:val="en-ZA"/>
        </w:rPr>
        <w:t>igh</w:t>
      </w:r>
      <w:r w:rsidR="00FC5E71" w:rsidRPr="00770ADA">
        <w:rPr>
          <w:rFonts w:ascii="Arial" w:hAnsi="Arial" w:cs="Arial"/>
          <w:bCs/>
          <w:szCs w:val="28"/>
          <w:lang w:val="en-ZA"/>
        </w:rPr>
        <w:t xml:space="preserve"> </w:t>
      </w:r>
      <w:r w:rsidR="00A849C0" w:rsidRPr="00770ADA">
        <w:rPr>
          <w:rFonts w:ascii="Arial" w:hAnsi="Arial" w:cs="Arial"/>
          <w:bCs/>
          <w:szCs w:val="28"/>
          <w:lang w:val="en-ZA"/>
        </w:rPr>
        <w:t>c</w:t>
      </w:r>
      <w:r w:rsidR="00A61E6B" w:rsidRPr="00770ADA">
        <w:rPr>
          <w:rFonts w:ascii="Arial" w:hAnsi="Arial" w:cs="Arial"/>
          <w:bCs/>
          <w:szCs w:val="28"/>
          <w:lang w:val="en-ZA"/>
        </w:rPr>
        <w:t>ourt</w:t>
      </w:r>
      <w:r w:rsidR="00603D32" w:rsidRPr="00770ADA">
        <w:rPr>
          <w:rFonts w:ascii="Arial" w:hAnsi="Arial" w:cs="Arial"/>
          <w:bCs/>
          <w:szCs w:val="28"/>
          <w:lang w:val="en-ZA"/>
        </w:rPr>
        <w:t>,</w:t>
      </w:r>
      <w:r w:rsidR="0043335A" w:rsidRPr="00770ADA">
        <w:rPr>
          <w:rFonts w:ascii="Arial" w:hAnsi="Arial" w:cs="Arial"/>
          <w:bCs/>
          <w:i/>
          <w:iCs/>
          <w:szCs w:val="28"/>
          <w:lang w:val="en-ZA"/>
        </w:rPr>
        <w:t xml:space="preserve"> </w:t>
      </w:r>
      <w:r w:rsidRPr="00770ADA">
        <w:rPr>
          <w:rFonts w:ascii="Arial" w:hAnsi="Arial" w:cs="Arial"/>
          <w:bCs/>
          <w:szCs w:val="28"/>
          <w:lang w:val="en-ZA"/>
        </w:rPr>
        <w:t>the respondent brought an application for</w:t>
      </w:r>
      <w:r w:rsidR="00293676" w:rsidRPr="00770ADA">
        <w:rPr>
          <w:rFonts w:ascii="Arial" w:hAnsi="Arial" w:cs="Arial"/>
          <w:bCs/>
          <w:szCs w:val="28"/>
          <w:lang w:val="en-ZA"/>
        </w:rPr>
        <w:t xml:space="preserve"> </w:t>
      </w:r>
      <w:r w:rsidR="002E0902" w:rsidRPr="00770ADA">
        <w:rPr>
          <w:rFonts w:ascii="Arial" w:hAnsi="Arial" w:cs="Arial"/>
          <w:bCs/>
          <w:szCs w:val="28"/>
          <w:lang w:val="en-ZA"/>
        </w:rPr>
        <w:t xml:space="preserve">rectification of the </w:t>
      </w:r>
      <w:r w:rsidR="00001CFC" w:rsidRPr="00770ADA">
        <w:rPr>
          <w:rFonts w:ascii="Arial" w:hAnsi="Arial" w:cs="Arial"/>
          <w:bCs/>
          <w:szCs w:val="28"/>
          <w:lang w:val="en-ZA"/>
        </w:rPr>
        <w:t>d</w:t>
      </w:r>
      <w:r w:rsidR="002E0902" w:rsidRPr="00770ADA">
        <w:rPr>
          <w:rFonts w:ascii="Arial" w:hAnsi="Arial" w:cs="Arial"/>
          <w:bCs/>
          <w:szCs w:val="28"/>
          <w:lang w:val="en-ZA"/>
        </w:rPr>
        <w:t xml:space="preserve">eed of </w:t>
      </w:r>
      <w:r w:rsidR="00001CFC" w:rsidRPr="00770ADA">
        <w:rPr>
          <w:rFonts w:ascii="Arial" w:hAnsi="Arial" w:cs="Arial"/>
          <w:bCs/>
          <w:szCs w:val="28"/>
          <w:lang w:val="en-ZA"/>
        </w:rPr>
        <w:t>s</w:t>
      </w:r>
      <w:r w:rsidR="002E0902" w:rsidRPr="00770ADA">
        <w:rPr>
          <w:rFonts w:ascii="Arial" w:hAnsi="Arial" w:cs="Arial"/>
          <w:bCs/>
          <w:szCs w:val="28"/>
          <w:lang w:val="en-ZA"/>
        </w:rPr>
        <w:t>ale</w:t>
      </w:r>
      <w:r w:rsidR="00110823" w:rsidRPr="00770ADA">
        <w:rPr>
          <w:rFonts w:ascii="Arial" w:hAnsi="Arial" w:cs="Arial"/>
          <w:bCs/>
          <w:szCs w:val="28"/>
          <w:lang w:val="en-ZA"/>
        </w:rPr>
        <w:t xml:space="preserve"> </w:t>
      </w:r>
      <w:r w:rsidR="00A61E6B" w:rsidRPr="00770ADA">
        <w:rPr>
          <w:rFonts w:ascii="Arial" w:hAnsi="Arial" w:cs="Arial"/>
          <w:bCs/>
          <w:szCs w:val="28"/>
          <w:lang w:val="en-ZA"/>
        </w:rPr>
        <w:t>and</w:t>
      </w:r>
      <w:r w:rsidR="00110823" w:rsidRPr="00770ADA">
        <w:rPr>
          <w:rFonts w:ascii="Arial" w:hAnsi="Arial" w:cs="Arial"/>
          <w:bCs/>
          <w:szCs w:val="28"/>
          <w:lang w:val="en-ZA"/>
        </w:rPr>
        <w:t xml:space="preserve"> an</w:t>
      </w:r>
      <w:r w:rsidR="001860CD" w:rsidRPr="00770ADA">
        <w:rPr>
          <w:rFonts w:ascii="Arial" w:hAnsi="Arial" w:cs="Arial"/>
          <w:bCs/>
          <w:szCs w:val="28"/>
          <w:lang w:val="en-ZA"/>
        </w:rPr>
        <w:t xml:space="preserve"> order</w:t>
      </w:r>
      <w:r w:rsidR="00D23365" w:rsidRPr="00770ADA">
        <w:rPr>
          <w:rFonts w:ascii="Arial" w:hAnsi="Arial" w:cs="Arial"/>
          <w:bCs/>
          <w:szCs w:val="28"/>
          <w:lang w:val="en-ZA"/>
        </w:rPr>
        <w:t xml:space="preserve"> </w:t>
      </w:r>
      <w:r w:rsidR="001860CD" w:rsidRPr="00770ADA">
        <w:rPr>
          <w:rFonts w:ascii="Arial" w:hAnsi="Arial" w:cs="Arial"/>
          <w:bCs/>
          <w:szCs w:val="28"/>
          <w:lang w:val="en-ZA"/>
        </w:rPr>
        <w:t xml:space="preserve">compelling the </w:t>
      </w:r>
      <w:r w:rsidR="00FC5E71" w:rsidRPr="00770ADA">
        <w:rPr>
          <w:rFonts w:ascii="Arial" w:hAnsi="Arial" w:cs="Arial"/>
          <w:bCs/>
          <w:szCs w:val="28"/>
          <w:lang w:val="en-ZA"/>
        </w:rPr>
        <w:t>appellant</w:t>
      </w:r>
      <w:r w:rsidR="00793F95" w:rsidRPr="00770ADA">
        <w:rPr>
          <w:rFonts w:ascii="Arial" w:hAnsi="Arial" w:cs="Arial"/>
          <w:bCs/>
          <w:szCs w:val="28"/>
          <w:lang w:val="en-ZA"/>
        </w:rPr>
        <w:t xml:space="preserve"> to</w:t>
      </w:r>
      <w:r w:rsidR="001860CD" w:rsidRPr="00770ADA">
        <w:rPr>
          <w:rFonts w:ascii="Arial" w:hAnsi="Arial" w:cs="Arial"/>
          <w:bCs/>
          <w:szCs w:val="28"/>
          <w:lang w:val="en-ZA"/>
        </w:rPr>
        <w:t xml:space="preserve"> sign </w:t>
      </w:r>
      <w:r w:rsidR="0011171B" w:rsidRPr="00770ADA">
        <w:rPr>
          <w:rFonts w:ascii="Arial" w:hAnsi="Arial" w:cs="Arial"/>
          <w:bCs/>
          <w:szCs w:val="28"/>
          <w:lang w:val="en-ZA"/>
        </w:rPr>
        <w:t xml:space="preserve">the </w:t>
      </w:r>
      <w:r w:rsidR="00131B47" w:rsidRPr="00770ADA">
        <w:rPr>
          <w:rFonts w:ascii="Arial" w:hAnsi="Arial" w:cs="Arial"/>
          <w:bCs/>
          <w:szCs w:val="28"/>
          <w:lang w:val="en-ZA"/>
        </w:rPr>
        <w:t xml:space="preserve">necessary </w:t>
      </w:r>
      <w:r w:rsidR="001860CD" w:rsidRPr="00770ADA">
        <w:rPr>
          <w:rFonts w:ascii="Arial" w:hAnsi="Arial" w:cs="Arial"/>
          <w:bCs/>
          <w:szCs w:val="28"/>
          <w:lang w:val="en-ZA"/>
        </w:rPr>
        <w:t>transfer documents to effect registration of transfer</w:t>
      </w:r>
      <w:r w:rsidR="002E0902" w:rsidRPr="00770ADA">
        <w:rPr>
          <w:rFonts w:ascii="Arial" w:hAnsi="Arial" w:cs="Arial"/>
          <w:bCs/>
          <w:szCs w:val="28"/>
          <w:lang w:val="en-ZA"/>
        </w:rPr>
        <w:t xml:space="preserve"> of the property</w:t>
      </w:r>
      <w:r w:rsidR="001860CD" w:rsidRPr="00770ADA">
        <w:rPr>
          <w:rFonts w:ascii="Arial" w:hAnsi="Arial" w:cs="Arial"/>
          <w:bCs/>
          <w:szCs w:val="28"/>
          <w:lang w:val="en-ZA"/>
        </w:rPr>
        <w:t xml:space="preserve"> into his name</w:t>
      </w:r>
      <w:r w:rsidR="00D23365" w:rsidRPr="00770ADA">
        <w:rPr>
          <w:rFonts w:ascii="Arial" w:hAnsi="Arial" w:cs="Arial"/>
          <w:bCs/>
          <w:szCs w:val="28"/>
          <w:lang w:val="en-ZA"/>
        </w:rPr>
        <w:t>.</w:t>
      </w:r>
      <w:r w:rsidR="00131B47" w:rsidRPr="00770ADA">
        <w:rPr>
          <w:rFonts w:ascii="Arial" w:hAnsi="Arial" w:cs="Arial"/>
          <w:bCs/>
          <w:szCs w:val="28"/>
          <w:lang w:val="en-ZA"/>
        </w:rPr>
        <w:t xml:space="preserve"> </w:t>
      </w:r>
      <w:r w:rsidR="005D54EA" w:rsidRPr="00770ADA">
        <w:rPr>
          <w:rFonts w:ascii="Arial" w:hAnsi="Arial" w:cs="Arial"/>
          <w:bCs/>
          <w:szCs w:val="28"/>
          <w:lang w:val="en-ZA"/>
        </w:rPr>
        <w:t>Furthermore, the respondent sought an order</w:t>
      </w:r>
      <w:r w:rsidR="002E0902" w:rsidRPr="00770ADA">
        <w:rPr>
          <w:rFonts w:ascii="Arial" w:hAnsi="Arial" w:cs="Arial"/>
          <w:bCs/>
          <w:szCs w:val="28"/>
          <w:lang w:val="en-ZA"/>
        </w:rPr>
        <w:t xml:space="preserve"> that</w:t>
      </w:r>
      <w:r w:rsidR="00C22772" w:rsidRPr="00770ADA">
        <w:rPr>
          <w:rFonts w:ascii="Arial" w:hAnsi="Arial" w:cs="Arial"/>
          <w:bCs/>
          <w:szCs w:val="28"/>
          <w:lang w:val="en-ZA"/>
        </w:rPr>
        <w:t>,</w:t>
      </w:r>
      <w:r w:rsidR="002E0902" w:rsidRPr="00770ADA">
        <w:rPr>
          <w:rFonts w:ascii="Arial" w:hAnsi="Arial" w:cs="Arial"/>
          <w:bCs/>
          <w:szCs w:val="28"/>
          <w:lang w:val="en-ZA"/>
        </w:rPr>
        <w:t xml:space="preserve"> i</w:t>
      </w:r>
      <w:r w:rsidR="00D23365" w:rsidRPr="00770ADA">
        <w:rPr>
          <w:rFonts w:ascii="Arial" w:hAnsi="Arial" w:cs="Arial"/>
          <w:bCs/>
          <w:szCs w:val="28"/>
          <w:lang w:val="en-ZA"/>
        </w:rPr>
        <w:t xml:space="preserve">n the event </w:t>
      </w:r>
      <w:r w:rsidR="005E1A5C" w:rsidRPr="00770ADA">
        <w:rPr>
          <w:rFonts w:ascii="Arial" w:hAnsi="Arial" w:cs="Arial"/>
          <w:bCs/>
          <w:szCs w:val="28"/>
          <w:lang w:val="en-ZA"/>
        </w:rPr>
        <w:t>of</w:t>
      </w:r>
      <w:r w:rsidR="00554E1C" w:rsidRPr="00770ADA">
        <w:rPr>
          <w:rFonts w:ascii="Arial" w:hAnsi="Arial" w:cs="Arial"/>
          <w:bCs/>
          <w:szCs w:val="28"/>
          <w:lang w:val="en-ZA"/>
        </w:rPr>
        <w:t xml:space="preserve"> </w:t>
      </w:r>
      <w:r w:rsidR="00D23365" w:rsidRPr="00770ADA">
        <w:rPr>
          <w:rFonts w:ascii="Arial" w:hAnsi="Arial" w:cs="Arial"/>
          <w:bCs/>
          <w:szCs w:val="28"/>
          <w:lang w:val="en-ZA"/>
        </w:rPr>
        <w:t xml:space="preserve">the </w:t>
      </w:r>
      <w:r w:rsidR="006D1B50" w:rsidRPr="00770ADA">
        <w:rPr>
          <w:rFonts w:ascii="Arial" w:hAnsi="Arial" w:cs="Arial"/>
          <w:bCs/>
          <w:szCs w:val="28"/>
          <w:lang w:val="en-ZA"/>
        </w:rPr>
        <w:lastRenderedPageBreak/>
        <w:t>appellant</w:t>
      </w:r>
      <w:r w:rsidR="00793F95" w:rsidRPr="00770ADA">
        <w:rPr>
          <w:rFonts w:ascii="Arial" w:hAnsi="Arial" w:cs="Arial"/>
          <w:bCs/>
          <w:szCs w:val="28"/>
          <w:lang w:val="en-ZA"/>
        </w:rPr>
        <w:t xml:space="preserve"> </w:t>
      </w:r>
      <w:r w:rsidR="002E0902" w:rsidRPr="00770ADA">
        <w:rPr>
          <w:rFonts w:ascii="Arial" w:hAnsi="Arial" w:cs="Arial"/>
          <w:bCs/>
          <w:szCs w:val="28"/>
          <w:lang w:val="en-ZA"/>
        </w:rPr>
        <w:t xml:space="preserve">failing to comply with his obligations within </w:t>
      </w:r>
      <w:r w:rsidR="00554E1C" w:rsidRPr="00770ADA">
        <w:rPr>
          <w:rFonts w:ascii="Arial" w:hAnsi="Arial" w:cs="Arial"/>
          <w:bCs/>
          <w:szCs w:val="28"/>
          <w:lang w:val="en-ZA"/>
        </w:rPr>
        <w:t>five</w:t>
      </w:r>
      <w:r w:rsidR="002E0902" w:rsidRPr="00770ADA">
        <w:rPr>
          <w:rFonts w:ascii="Arial" w:hAnsi="Arial" w:cs="Arial"/>
          <w:bCs/>
          <w:szCs w:val="28"/>
          <w:lang w:val="en-ZA"/>
        </w:rPr>
        <w:t xml:space="preserve"> days of the service of the order upon </w:t>
      </w:r>
      <w:r w:rsidR="005E1A5C" w:rsidRPr="00770ADA">
        <w:rPr>
          <w:rFonts w:ascii="Arial" w:hAnsi="Arial" w:cs="Arial"/>
          <w:bCs/>
          <w:szCs w:val="28"/>
          <w:lang w:val="en-ZA"/>
        </w:rPr>
        <w:t>him</w:t>
      </w:r>
      <w:r w:rsidR="002E0902" w:rsidRPr="00770ADA">
        <w:rPr>
          <w:rFonts w:ascii="Arial" w:hAnsi="Arial" w:cs="Arial"/>
          <w:bCs/>
          <w:szCs w:val="28"/>
          <w:lang w:val="en-ZA"/>
        </w:rPr>
        <w:t xml:space="preserve">, </w:t>
      </w:r>
      <w:r w:rsidR="006D1B50" w:rsidRPr="00770ADA">
        <w:rPr>
          <w:rFonts w:ascii="Arial" w:hAnsi="Arial" w:cs="Arial"/>
          <w:bCs/>
          <w:szCs w:val="28"/>
          <w:lang w:val="en-ZA"/>
        </w:rPr>
        <w:t xml:space="preserve">the agreement would be </w:t>
      </w:r>
      <w:r w:rsidR="002E0902" w:rsidRPr="00770ADA">
        <w:rPr>
          <w:rFonts w:ascii="Arial" w:hAnsi="Arial" w:cs="Arial"/>
          <w:bCs/>
          <w:szCs w:val="28"/>
          <w:lang w:val="en-ZA"/>
        </w:rPr>
        <w:t>cancell</w:t>
      </w:r>
      <w:r w:rsidR="006D1B50" w:rsidRPr="00770ADA">
        <w:rPr>
          <w:rFonts w:ascii="Arial" w:hAnsi="Arial" w:cs="Arial"/>
          <w:bCs/>
          <w:szCs w:val="28"/>
          <w:lang w:val="en-ZA"/>
        </w:rPr>
        <w:t>ed</w:t>
      </w:r>
      <w:r w:rsidR="00C22772" w:rsidRPr="00770ADA">
        <w:rPr>
          <w:rFonts w:ascii="Arial" w:hAnsi="Arial" w:cs="Arial"/>
          <w:bCs/>
          <w:szCs w:val="28"/>
          <w:lang w:val="en-ZA"/>
        </w:rPr>
        <w:t>,</w:t>
      </w:r>
      <w:r w:rsidR="006D1B50" w:rsidRPr="00770ADA">
        <w:rPr>
          <w:rFonts w:ascii="Arial" w:hAnsi="Arial" w:cs="Arial"/>
          <w:bCs/>
          <w:szCs w:val="28"/>
          <w:lang w:val="en-ZA"/>
        </w:rPr>
        <w:t xml:space="preserve"> and the respondents would </w:t>
      </w:r>
      <w:r w:rsidR="00131B47" w:rsidRPr="00770ADA">
        <w:rPr>
          <w:rFonts w:ascii="Arial" w:hAnsi="Arial" w:cs="Arial"/>
          <w:bCs/>
          <w:szCs w:val="28"/>
          <w:lang w:val="en-ZA"/>
        </w:rPr>
        <w:t xml:space="preserve">be entitled to </w:t>
      </w:r>
      <w:r w:rsidR="006D1B50" w:rsidRPr="00770ADA">
        <w:rPr>
          <w:rFonts w:ascii="Arial" w:hAnsi="Arial" w:cs="Arial"/>
          <w:bCs/>
          <w:szCs w:val="28"/>
          <w:lang w:val="en-ZA"/>
        </w:rPr>
        <w:t>claim damages</w:t>
      </w:r>
      <w:r w:rsidR="00131B47" w:rsidRPr="00770ADA">
        <w:rPr>
          <w:rFonts w:ascii="Arial" w:hAnsi="Arial" w:cs="Arial"/>
          <w:bCs/>
          <w:szCs w:val="28"/>
          <w:lang w:val="en-ZA"/>
        </w:rPr>
        <w:t>.</w:t>
      </w:r>
      <w:r w:rsidR="006D1B50" w:rsidRPr="00770ADA">
        <w:rPr>
          <w:rFonts w:ascii="Arial" w:hAnsi="Arial" w:cs="Arial"/>
          <w:bCs/>
          <w:szCs w:val="28"/>
          <w:lang w:val="en-ZA"/>
        </w:rPr>
        <w:t xml:space="preserve"> </w:t>
      </w:r>
    </w:p>
    <w:p w14:paraId="108B777A" w14:textId="77777777" w:rsidR="001860CD" w:rsidRPr="00770ADA" w:rsidRDefault="001860CD" w:rsidP="00770ADA">
      <w:pPr>
        <w:rPr>
          <w:rFonts w:ascii="Arial" w:hAnsi="Arial" w:cs="Arial"/>
          <w:bCs/>
          <w:sz w:val="22"/>
          <w:szCs w:val="22"/>
          <w:lang w:val="en-ZA"/>
        </w:rPr>
      </w:pPr>
    </w:p>
    <w:p w14:paraId="4AD4CF9F" w14:textId="16EA0E49" w:rsidR="005D54EA" w:rsidRPr="006938E5" w:rsidRDefault="00BA2BAF" w:rsidP="006938E5">
      <w:pPr>
        <w:pStyle w:val="ListParagraph"/>
        <w:numPr>
          <w:ilvl w:val="0"/>
          <w:numId w:val="28"/>
        </w:numPr>
        <w:ind w:left="0" w:firstLine="0"/>
        <w:rPr>
          <w:rFonts w:ascii="Arial" w:hAnsi="Arial" w:cs="Arial"/>
          <w:bCs/>
          <w:szCs w:val="28"/>
          <w:lang w:val="en-ZA"/>
        </w:rPr>
      </w:pPr>
      <w:r w:rsidRPr="00770ADA">
        <w:rPr>
          <w:rFonts w:ascii="Arial" w:hAnsi="Arial" w:cs="Arial"/>
          <w:bCs/>
          <w:szCs w:val="28"/>
          <w:lang w:val="en-ZA"/>
        </w:rPr>
        <w:t xml:space="preserve">On </w:t>
      </w:r>
      <w:r w:rsidR="00554E1C" w:rsidRPr="00770ADA">
        <w:rPr>
          <w:rFonts w:ascii="Arial" w:hAnsi="Arial" w:cs="Arial"/>
          <w:bCs/>
          <w:szCs w:val="28"/>
          <w:lang w:val="en-ZA"/>
        </w:rPr>
        <w:t>7 August</w:t>
      </w:r>
      <w:r w:rsidRPr="00770ADA">
        <w:rPr>
          <w:rFonts w:ascii="Arial" w:hAnsi="Arial" w:cs="Arial"/>
          <w:bCs/>
          <w:szCs w:val="28"/>
          <w:lang w:val="en-ZA"/>
        </w:rPr>
        <w:t xml:space="preserve"> 2012</w:t>
      </w:r>
      <w:r w:rsidR="00554E1C" w:rsidRPr="00770ADA">
        <w:rPr>
          <w:rFonts w:ascii="Arial" w:hAnsi="Arial" w:cs="Arial"/>
          <w:bCs/>
          <w:szCs w:val="28"/>
          <w:lang w:val="en-ZA"/>
        </w:rPr>
        <w:t>,</w:t>
      </w:r>
      <w:r w:rsidRPr="00770ADA">
        <w:rPr>
          <w:rFonts w:ascii="Arial" w:hAnsi="Arial" w:cs="Arial"/>
          <w:bCs/>
          <w:szCs w:val="28"/>
          <w:lang w:val="en-ZA"/>
        </w:rPr>
        <w:t xml:space="preserve"> Pickering J granted the </w:t>
      </w:r>
      <w:r w:rsidR="005E1A5C" w:rsidRPr="00770ADA">
        <w:rPr>
          <w:rFonts w:ascii="Arial" w:hAnsi="Arial" w:cs="Arial"/>
          <w:bCs/>
          <w:szCs w:val="28"/>
          <w:lang w:val="en-ZA"/>
        </w:rPr>
        <w:t xml:space="preserve">relief sought by the </w:t>
      </w:r>
      <w:r w:rsidR="00001CFC" w:rsidRPr="00770ADA">
        <w:rPr>
          <w:rFonts w:ascii="Arial" w:hAnsi="Arial" w:cs="Arial"/>
          <w:bCs/>
          <w:szCs w:val="28"/>
          <w:lang w:val="en-ZA"/>
        </w:rPr>
        <w:t>r</w:t>
      </w:r>
      <w:r w:rsidR="00A66B01" w:rsidRPr="00770ADA">
        <w:rPr>
          <w:rFonts w:ascii="Arial" w:hAnsi="Arial" w:cs="Arial"/>
          <w:bCs/>
          <w:szCs w:val="28"/>
          <w:lang w:val="en-ZA"/>
        </w:rPr>
        <w:t>espondent</w:t>
      </w:r>
      <w:r w:rsidR="00244B8D" w:rsidRPr="00770ADA">
        <w:rPr>
          <w:rFonts w:ascii="Arial" w:hAnsi="Arial" w:cs="Arial"/>
          <w:bCs/>
          <w:szCs w:val="28"/>
          <w:lang w:val="en-ZA"/>
        </w:rPr>
        <w:t xml:space="preserve"> as per the notice of motion</w:t>
      </w:r>
      <w:r w:rsidR="00FA1E63" w:rsidRPr="00770ADA">
        <w:rPr>
          <w:rFonts w:ascii="Arial" w:hAnsi="Arial" w:cs="Arial"/>
          <w:bCs/>
          <w:szCs w:val="28"/>
          <w:lang w:val="en-ZA"/>
        </w:rPr>
        <w:t>.</w:t>
      </w:r>
      <w:r w:rsidR="00F36BD6" w:rsidRPr="00770ADA">
        <w:rPr>
          <w:rFonts w:ascii="Arial" w:hAnsi="Arial" w:cs="Arial"/>
          <w:bCs/>
          <w:szCs w:val="28"/>
          <w:lang w:val="en-ZA"/>
        </w:rPr>
        <w:t xml:space="preserve"> Th</w:t>
      </w:r>
      <w:r w:rsidR="00AB7B0F" w:rsidRPr="00770ADA">
        <w:rPr>
          <w:rFonts w:ascii="Arial" w:hAnsi="Arial" w:cs="Arial"/>
          <w:bCs/>
          <w:szCs w:val="28"/>
          <w:lang w:val="en-ZA"/>
        </w:rPr>
        <w:t>is part of the relief sought</w:t>
      </w:r>
      <w:r w:rsidR="00F36BD6" w:rsidRPr="00770ADA">
        <w:rPr>
          <w:rFonts w:ascii="Arial" w:hAnsi="Arial" w:cs="Arial"/>
          <w:bCs/>
          <w:szCs w:val="28"/>
          <w:lang w:val="en-ZA"/>
        </w:rPr>
        <w:t xml:space="preserve"> read as follows:</w:t>
      </w:r>
      <w:r w:rsidR="00526FDE" w:rsidRPr="00770ADA">
        <w:rPr>
          <w:rFonts w:ascii="Arial" w:hAnsi="Arial" w:cs="Arial"/>
          <w:bCs/>
          <w:szCs w:val="28"/>
          <w:lang w:val="en-ZA"/>
        </w:rPr>
        <w:t xml:space="preserve"> </w:t>
      </w:r>
    </w:p>
    <w:p w14:paraId="29EA9851" w14:textId="21825A3C" w:rsidR="00F36BD6" w:rsidRPr="00770ADA" w:rsidRDefault="00A849C0" w:rsidP="00770ADA">
      <w:pPr>
        <w:pStyle w:val="ListParagraph"/>
        <w:ind w:left="0"/>
        <w:rPr>
          <w:rFonts w:ascii="Arial" w:hAnsi="Arial" w:cs="Arial"/>
          <w:bCs/>
          <w:sz w:val="22"/>
          <w:szCs w:val="22"/>
          <w:lang w:val="en-US"/>
        </w:rPr>
      </w:pPr>
      <w:r w:rsidRPr="00770ADA">
        <w:rPr>
          <w:rFonts w:ascii="Arial" w:hAnsi="Arial" w:cs="Arial"/>
          <w:bCs/>
          <w:szCs w:val="28"/>
          <w:lang w:val="en-ZA"/>
        </w:rPr>
        <w:t>‘</w:t>
      </w:r>
      <w:r w:rsidR="00F36BD6" w:rsidRPr="00770ADA">
        <w:rPr>
          <w:rFonts w:ascii="Arial" w:hAnsi="Arial" w:cs="Arial"/>
          <w:bCs/>
          <w:sz w:val="22"/>
          <w:szCs w:val="22"/>
          <w:lang w:val="en-ZA"/>
        </w:rPr>
        <w:t>4</w:t>
      </w:r>
      <w:r w:rsidRPr="00770ADA">
        <w:rPr>
          <w:rFonts w:ascii="Arial" w:hAnsi="Arial" w:cs="Arial"/>
          <w:bCs/>
          <w:sz w:val="22"/>
          <w:szCs w:val="22"/>
          <w:lang w:val="en-ZA"/>
        </w:rPr>
        <w:t>.</w:t>
      </w:r>
      <w:r w:rsidR="00F36BD6" w:rsidRPr="00770ADA">
        <w:rPr>
          <w:rFonts w:ascii="Arial" w:hAnsi="Arial" w:cs="Arial"/>
          <w:bCs/>
          <w:sz w:val="22"/>
          <w:szCs w:val="22"/>
          <w:lang w:val="en-ZA"/>
        </w:rPr>
        <w:tab/>
      </w:r>
      <w:r w:rsidRPr="00770ADA">
        <w:rPr>
          <w:rFonts w:ascii="Arial" w:hAnsi="Arial" w:cs="Arial"/>
          <w:bCs/>
          <w:sz w:val="22"/>
          <w:szCs w:val="22"/>
          <w:lang w:val="en-US"/>
        </w:rPr>
        <w:t>T</w:t>
      </w:r>
      <w:r w:rsidR="00F36BD6" w:rsidRPr="00770ADA">
        <w:rPr>
          <w:rFonts w:ascii="Arial" w:hAnsi="Arial" w:cs="Arial"/>
          <w:bCs/>
          <w:sz w:val="22"/>
          <w:szCs w:val="22"/>
          <w:lang w:val="en-US"/>
        </w:rPr>
        <w:t>hat in the event of the Respondent failing to comply with his obligations within five (5) days of service of this order upon the Respondent, cancellation of the said agreement of sale and damages.</w:t>
      </w:r>
      <w:r w:rsidRPr="00770ADA">
        <w:rPr>
          <w:rFonts w:ascii="Arial" w:hAnsi="Arial" w:cs="Arial"/>
          <w:bCs/>
          <w:sz w:val="22"/>
          <w:szCs w:val="22"/>
          <w:lang w:val="en-US"/>
        </w:rPr>
        <w:t>’</w:t>
      </w:r>
    </w:p>
    <w:p w14:paraId="177C281D" w14:textId="77777777" w:rsidR="00352B4A" w:rsidRPr="00770ADA" w:rsidRDefault="00352B4A" w:rsidP="00770ADA">
      <w:pPr>
        <w:rPr>
          <w:rFonts w:ascii="Arial" w:hAnsi="Arial" w:cs="Arial"/>
          <w:bCs/>
          <w:sz w:val="22"/>
          <w:szCs w:val="22"/>
          <w:lang w:val="en-US"/>
        </w:rPr>
      </w:pPr>
    </w:p>
    <w:p w14:paraId="16CC6612" w14:textId="20CC7602" w:rsidR="003E7D02" w:rsidRPr="00770ADA" w:rsidRDefault="00352B4A" w:rsidP="00770ADA">
      <w:pPr>
        <w:pStyle w:val="ListParagraph"/>
        <w:numPr>
          <w:ilvl w:val="0"/>
          <w:numId w:val="28"/>
        </w:numPr>
        <w:ind w:left="0" w:firstLine="0"/>
        <w:rPr>
          <w:rFonts w:ascii="Arial" w:hAnsi="Arial" w:cs="Arial"/>
          <w:bCs/>
          <w:lang w:val="en-US"/>
        </w:rPr>
      </w:pPr>
      <w:r w:rsidRPr="00770ADA">
        <w:rPr>
          <w:rFonts w:ascii="Arial" w:hAnsi="Arial" w:cs="Arial"/>
          <w:bCs/>
          <w:lang w:val="en-US"/>
        </w:rPr>
        <w:t xml:space="preserve">The appellant failed to comply with the above order. In 2016, and under the same case number and in the same application, the respondent applied for amended relief for payment of damages as a result of the </w:t>
      </w:r>
      <w:r w:rsidR="00A61E6B" w:rsidRPr="00770ADA">
        <w:rPr>
          <w:rFonts w:ascii="Arial" w:hAnsi="Arial" w:cs="Arial"/>
          <w:bCs/>
          <w:lang w:val="en-US"/>
        </w:rPr>
        <w:t>appellant's</w:t>
      </w:r>
      <w:r w:rsidRPr="00770ADA">
        <w:rPr>
          <w:rFonts w:ascii="Arial" w:hAnsi="Arial" w:cs="Arial"/>
          <w:bCs/>
          <w:lang w:val="en-US"/>
        </w:rPr>
        <w:t xml:space="preserve"> failure to comply with the order of Pickering J. </w:t>
      </w:r>
      <w:r w:rsidR="00A849C0" w:rsidRPr="00770ADA">
        <w:rPr>
          <w:rFonts w:ascii="Arial" w:hAnsi="Arial" w:cs="Arial"/>
          <w:bCs/>
          <w:lang w:val="en-US"/>
        </w:rPr>
        <w:t>Thereafter, the</w:t>
      </w:r>
      <w:r w:rsidRPr="00770ADA">
        <w:rPr>
          <w:rFonts w:ascii="Arial" w:hAnsi="Arial" w:cs="Arial"/>
          <w:bCs/>
          <w:lang w:val="en-US"/>
        </w:rPr>
        <w:t xml:space="preserve"> appellant filed a rule 30(1) notice contending that the order of Pickering J was a final order</w:t>
      </w:r>
      <w:r w:rsidR="00A849C0" w:rsidRPr="00770ADA">
        <w:rPr>
          <w:rFonts w:ascii="Arial" w:hAnsi="Arial" w:cs="Arial"/>
          <w:bCs/>
          <w:lang w:val="en-US"/>
        </w:rPr>
        <w:t>,</w:t>
      </w:r>
      <w:r w:rsidRPr="00770ADA">
        <w:rPr>
          <w:rFonts w:ascii="Arial" w:hAnsi="Arial" w:cs="Arial"/>
          <w:bCs/>
          <w:lang w:val="en-US"/>
        </w:rPr>
        <w:t xml:space="preserve"> as it disposed of all the relief set out in the first application. </w:t>
      </w:r>
    </w:p>
    <w:p w14:paraId="48EEA890" w14:textId="77777777" w:rsidR="003E7D02" w:rsidRPr="00770ADA" w:rsidRDefault="003E7D02" w:rsidP="00770ADA">
      <w:pPr>
        <w:rPr>
          <w:rFonts w:ascii="Arial" w:hAnsi="Arial" w:cs="Arial"/>
          <w:bCs/>
          <w:szCs w:val="28"/>
          <w:lang w:val="en-US"/>
        </w:rPr>
      </w:pPr>
    </w:p>
    <w:p w14:paraId="30CAE271" w14:textId="3174B464" w:rsidR="00352B4A" w:rsidRPr="00770ADA" w:rsidRDefault="00352B4A"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 xml:space="preserve">As a </w:t>
      </w:r>
      <w:r w:rsidR="003E7D02" w:rsidRPr="00770ADA">
        <w:rPr>
          <w:rFonts w:ascii="Arial" w:hAnsi="Arial" w:cs="Arial"/>
          <w:bCs/>
          <w:szCs w:val="28"/>
          <w:lang w:val="en-US"/>
        </w:rPr>
        <w:t xml:space="preserve">result </w:t>
      </w:r>
      <w:r w:rsidRPr="00770ADA">
        <w:rPr>
          <w:rFonts w:ascii="Arial" w:hAnsi="Arial" w:cs="Arial"/>
          <w:bCs/>
          <w:szCs w:val="28"/>
          <w:lang w:val="en-US"/>
        </w:rPr>
        <w:t xml:space="preserve">of the objection, and in March 2016, the respondent withdrew the interlocutory application and issued fresh summons under a new case number, in which the respondent sought payment of the sum of R854 182.20 as damages arising from the </w:t>
      </w:r>
      <w:r w:rsidR="00A61E6B" w:rsidRPr="00770ADA">
        <w:rPr>
          <w:rFonts w:ascii="Arial" w:hAnsi="Arial" w:cs="Arial"/>
          <w:bCs/>
          <w:szCs w:val="28"/>
          <w:lang w:val="en-US"/>
        </w:rPr>
        <w:t>appellant's</w:t>
      </w:r>
      <w:r w:rsidRPr="00770ADA">
        <w:rPr>
          <w:rFonts w:ascii="Arial" w:hAnsi="Arial" w:cs="Arial"/>
          <w:bCs/>
          <w:szCs w:val="28"/>
          <w:lang w:val="en-US"/>
        </w:rPr>
        <w:t xml:space="preserve"> failure to comply with the original order of Pickering J and cancellation of the agreement.</w:t>
      </w:r>
    </w:p>
    <w:p w14:paraId="725DE596" w14:textId="77777777" w:rsidR="00352B4A" w:rsidRPr="00770ADA" w:rsidRDefault="00352B4A" w:rsidP="00770ADA">
      <w:pPr>
        <w:rPr>
          <w:rFonts w:ascii="Arial" w:hAnsi="Arial" w:cs="Arial"/>
          <w:bCs/>
          <w:szCs w:val="28"/>
          <w:lang w:val="en-US"/>
        </w:rPr>
      </w:pPr>
    </w:p>
    <w:p w14:paraId="173D91D9" w14:textId="749A4E86" w:rsidR="00352B4A" w:rsidRPr="00770ADA" w:rsidRDefault="00352B4A"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The appellant filed a special plea to this claim contending that the claim had become prescribed</w:t>
      </w:r>
      <w:r w:rsidR="00A849C0" w:rsidRPr="00770ADA">
        <w:rPr>
          <w:rFonts w:ascii="Arial" w:hAnsi="Arial" w:cs="Arial"/>
          <w:bCs/>
          <w:szCs w:val="28"/>
          <w:lang w:val="en-US"/>
        </w:rPr>
        <w:t>,</w:t>
      </w:r>
      <w:r w:rsidRPr="00770ADA">
        <w:rPr>
          <w:rFonts w:ascii="Arial" w:hAnsi="Arial" w:cs="Arial"/>
          <w:bCs/>
          <w:szCs w:val="28"/>
          <w:lang w:val="en-US"/>
        </w:rPr>
        <w:t xml:space="preserve"> as the respondent failed to institute the action by 23 August 2015, which </w:t>
      </w:r>
      <w:r w:rsidR="00E239AD" w:rsidRPr="00770ADA">
        <w:rPr>
          <w:rFonts w:ascii="Arial" w:hAnsi="Arial" w:cs="Arial"/>
          <w:bCs/>
          <w:szCs w:val="28"/>
          <w:lang w:val="en-US"/>
        </w:rPr>
        <w:t>was</w:t>
      </w:r>
      <w:r w:rsidRPr="00770ADA">
        <w:rPr>
          <w:rFonts w:ascii="Arial" w:hAnsi="Arial" w:cs="Arial"/>
          <w:bCs/>
          <w:szCs w:val="28"/>
          <w:lang w:val="en-US"/>
        </w:rPr>
        <w:t xml:space="preserve"> three years from the date on which the order of Pickering J was granted plus five days.</w:t>
      </w:r>
    </w:p>
    <w:p w14:paraId="5F186789" w14:textId="77777777" w:rsidR="00FA1E63" w:rsidRPr="00770ADA" w:rsidRDefault="00FA1E63" w:rsidP="00770ADA">
      <w:pPr>
        <w:rPr>
          <w:rFonts w:ascii="Arial" w:hAnsi="Arial" w:cs="Arial"/>
          <w:bCs/>
          <w:szCs w:val="28"/>
          <w:lang w:val="en-ZA"/>
        </w:rPr>
      </w:pPr>
    </w:p>
    <w:p w14:paraId="5AFD1954" w14:textId="31EC34D1" w:rsidR="0072476E" w:rsidRPr="00770ADA" w:rsidRDefault="00FA1E63"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 xml:space="preserve">The special plea of prescription was argued before the </w:t>
      </w:r>
      <w:r w:rsidR="00A849C0" w:rsidRPr="00770ADA">
        <w:rPr>
          <w:rFonts w:ascii="Arial" w:hAnsi="Arial" w:cs="Arial"/>
          <w:bCs/>
          <w:iCs/>
          <w:szCs w:val="28"/>
          <w:lang w:val="en-US"/>
        </w:rPr>
        <w:t>h</w:t>
      </w:r>
      <w:r w:rsidR="00A61E6B" w:rsidRPr="00770ADA">
        <w:rPr>
          <w:rFonts w:ascii="Arial" w:hAnsi="Arial" w:cs="Arial"/>
          <w:bCs/>
          <w:iCs/>
          <w:szCs w:val="28"/>
          <w:lang w:val="en-US"/>
        </w:rPr>
        <w:t>igh</w:t>
      </w:r>
      <w:r w:rsidR="006D1B50" w:rsidRPr="00770ADA">
        <w:rPr>
          <w:rFonts w:ascii="Arial" w:hAnsi="Arial" w:cs="Arial"/>
          <w:bCs/>
          <w:iCs/>
          <w:szCs w:val="28"/>
          <w:lang w:val="en-US"/>
        </w:rPr>
        <w:t xml:space="preserve"> </w:t>
      </w:r>
      <w:r w:rsidR="00A849C0" w:rsidRPr="00770ADA">
        <w:rPr>
          <w:rFonts w:ascii="Arial" w:hAnsi="Arial" w:cs="Arial"/>
          <w:bCs/>
          <w:iCs/>
          <w:szCs w:val="28"/>
          <w:lang w:val="en-US"/>
        </w:rPr>
        <w:t>c</w:t>
      </w:r>
      <w:r w:rsidR="00A61E6B" w:rsidRPr="00770ADA">
        <w:rPr>
          <w:rFonts w:ascii="Arial" w:hAnsi="Arial" w:cs="Arial"/>
          <w:bCs/>
          <w:iCs/>
          <w:szCs w:val="28"/>
          <w:lang w:val="en-US"/>
        </w:rPr>
        <w:t>ourt</w:t>
      </w:r>
      <w:r w:rsidRPr="00770ADA">
        <w:rPr>
          <w:rFonts w:ascii="Arial" w:hAnsi="Arial" w:cs="Arial"/>
          <w:bCs/>
          <w:iCs/>
          <w:szCs w:val="28"/>
          <w:lang w:val="en-US"/>
        </w:rPr>
        <w:t xml:space="preserve"> </w:t>
      </w:r>
      <w:r w:rsidRPr="00770ADA">
        <w:rPr>
          <w:rFonts w:ascii="Arial" w:hAnsi="Arial" w:cs="Arial"/>
          <w:bCs/>
          <w:szCs w:val="28"/>
          <w:lang w:val="en-US"/>
        </w:rPr>
        <w:t xml:space="preserve">and adjudicated </w:t>
      </w:r>
      <w:r w:rsidR="00A61E6B" w:rsidRPr="00770ADA">
        <w:rPr>
          <w:rFonts w:ascii="Arial" w:hAnsi="Arial" w:cs="Arial"/>
          <w:bCs/>
          <w:szCs w:val="28"/>
          <w:lang w:val="en-US"/>
        </w:rPr>
        <w:t>based on</w:t>
      </w:r>
      <w:r w:rsidRPr="00770ADA">
        <w:rPr>
          <w:rFonts w:ascii="Arial" w:hAnsi="Arial" w:cs="Arial"/>
          <w:bCs/>
          <w:szCs w:val="28"/>
          <w:lang w:val="en-US"/>
        </w:rPr>
        <w:t xml:space="preserve"> a</w:t>
      </w:r>
      <w:r w:rsidR="006A46D3" w:rsidRPr="00770ADA">
        <w:rPr>
          <w:rFonts w:ascii="Arial" w:hAnsi="Arial" w:cs="Arial"/>
          <w:bCs/>
          <w:szCs w:val="28"/>
          <w:lang w:val="en-US"/>
        </w:rPr>
        <w:t>n</w:t>
      </w:r>
      <w:r w:rsidRPr="00770ADA">
        <w:rPr>
          <w:rFonts w:ascii="Arial" w:hAnsi="Arial" w:cs="Arial"/>
          <w:bCs/>
          <w:szCs w:val="28"/>
          <w:lang w:val="en-US"/>
        </w:rPr>
        <w:t xml:space="preserve"> </w:t>
      </w:r>
      <w:r w:rsidR="006A46D3" w:rsidRPr="00770ADA">
        <w:rPr>
          <w:rFonts w:ascii="Arial" w:hAnsi="Arial" w:cs="Arial"/>
          <w:bCs/>
          <w:szCs w:val="28"/>
          <w:lang w:val="en-US"/>
        </w:rPr>
        <w:t>agreed</w:t>
      </w:r>
      <w:r w:rsidRPr="00770ADA">
        <w:rPr>
          <w:rFonts w:ascii="Arial" w:hAnsi="Arial" w:cs="Arial"/>
          <w:bCs/>
          <w:szCs w:val="28"/>
          <w:lang w:val="en-US"/>
        </w:rPr>
        <w:t xml:space="preserve"> statement of facts in the form of a special case in accordance with the provisions of </w:t>
      </w:r>
      <w:r w:rsidR="00A9243D" w:rsidRPr="00770ADA">
        <w:rPr>
          <w:rFonts w:ascii="Arial" w:hAnsi="Arial" w:cs="Arial"/>
          <w:bCs/>
          <w:szCs w:val="28"/>
          <w:lang w:val="en-US"/>
        </w:rPr>
        <w:t>r</w:t>
      </w:r>
      <w:r w:rsidRPr="00770ADA">
        <w:rPr>
          <w:rFonts w:ascii="Arial" w:hAnsi="Arial" w:cs="Arial"/>
          <w:bCs/>
          <w:szCs w:val="28"/>
          <w:lang w:val="en-US"/>
        </w:rPr>
        <w:t>ule 33(1)</w:t>
      </w:r>
      <w:r w:rsidR="00A849C0" w:rsidRPr="00770ADA">
        <w:rPr>
          <w:rFonts w:ascii="Arial" w:hAnsi="Arial" w:cs="Arial"/>
          <w:bCs/>
          <w:szCs w:val="28"/>
          <w:lang w:val="en-US"/>
        </w:rPr>
        <w:t xml:space="preserve"> of the Uniform Rules of Court.</w:t>
      </w:r>
      <w:r w:rsidR="00A849C0" w:rsidRPr="00770ADA">
        <w:rPr>
          <w:rFonts w:ascii="Arial" w:hAnsi="Arial" w:cs="Arial"/>
          <w:bCs/>
          <w:szCs w:val="28"/>
          <w:lang w:val="en-ZA"/>
        </w:rPr>
        <w:t xml:space="preserve"> </w:t>
      </w:r>
      <w:r w:rsidR="004673D6" w:rsidRPr="00770ADA">
        <w:rPr>
          <w:rFonts w:ascii="Arial" w:hAnsi="Arial" w:cs="Arial"/>
          <w:bCs/>
          <w:szCs w:val="28"/>
          <w:lang w:val="en-ZA"/>
        </w:rPr>
        <w:t xml:space="preserve">The </w:t>
      </w:r>
      <w:r w:rsidR="00A849C0" w:rsidRPr="00770ADA">
        <w:rPr>
          <w:rFonts w:ascii="Arial" w:hAnsi="Arial" w:cs="Arial"/>
          <w:bCs/>
          <w:szCs w:val="28"/>
          <w:lang w:val="en-ZA"/>
        </w:rPr>
        <w:lastRenderedPageBreak/>
        <w:t>h</w:t>
      </w:r>
      <w:r w:rsidR="00A61E6B" w:rsidRPr="00770ADA">
        <w:rPr>
          <w:rFonts w:ascii="Arial" w:hAnsi="Arial" w:cs="Arial"/>
          <w:bCs/>
          <w:szCs w:val="28"/>
          <w:lang w:val="en-ZA"/>
        </w:rPr>
        <w:t>igh</w:t>
      </w:r>
      <w:r w:rsidR="004673D6" w:rsidRPr="00770ADA">
        <w:rPr>
          <w:rFonts w:ascii="Arial" w:hAnsi="Arial" w:cs="Arial"/>
          <w:bCs/>
          <w:szCs w:val="28"/>
          <w:lang w:val="en-ZA"/>
        </w:rPr>
        <w:t xml:space="preserve"> </w:t>
      </w:r>
      <w:r w:rsidR="00A849C0" w:rsidRPr="00770ADA">
        <w:rPr>
          <w:rFonts w:ascii="Arial" w:hAnsi="Arial" w:cs="Arial"/>
          <w:bCs/>
          <w:szCs w:val="28"/>
          <w:lang w:val="en-ZA"/>
        </w:rPr>
        <w:t>c</w:t>
      </w:r>
      <w:r w:rsidR="00A61E6B" w:rsidRPr="00770ADA">
        <w:rPr>
          <w:rFonts w:ascii="Arial" w:hAnsi="Arial" w:cs="Arial"/>
          <w:bCs/>
          <w:szCs w:val="28"/>
          <w:lang w:val="en-ZA"/>
        </w:rPr>
        <w:t>ourt</w:t>
      </w:r>
      <w:r w:rsidR="004673D6" w:rsidRPr="00770ADA">
        <w:rPr>
          <w:rFonts w:ascii="Arial" w:hAnsi="Arial" w:cs="Arial"/>
          <w:bCs/>
          <w:szCs w:val="28"/>
          <w:lang w:val="en-ZA"/>
        </w:rPr>
        <w:t xml:space="preserve"> </w:t>
      </w:r>
      <w:r w:rsidR="00D164D3" w:rsidRPr="00770ADA">
        <w:rPr>
          <w:rFonts w:ascii="Arial" w:hAnsi="Arial" w:cs="Arial"/>
          <w:bCs/>
          <w:szCs w:val="28"/>
          <w:lang w:val="en-ZA"/>
        </w:rPr>
        <w:t>found</w:t>
      </w:r>
      <w:r w:rsidR="00554E1C" w:rsidRPr="00770ADA">
        <w:rPr>
          <w:rFonts w:ascii="Arial" w:hAnsi="Arial" w:cs="Arial"/>
          <w:bCs/>
          <w:szCs w:val="28"/>
          <w:lang w:val="en-ZA"/>
        </w:rPr>
        <w:t xml:space="preserve"> for</w:t>
      </w:r>
      <w:r w:rsidR="00D164D3" w:rsidRPr="00770ADA">
        <w:rPr>
          <w:rFonts w:ascii="Arial" w:hAnsi="Arial" w:cs="Arial"/>
          <w:bCs/>
          <w:szCs w:val="28"/>
          <w:lang w:val="en-ZA"/>
        </w:rPr>
        <w:t xml:space="preserve"> the </w:t>
      </w:r>
      <w:r w:rsidR="00001CFC" w:rsidRPr="00770ADA">
        <w:rPr>
          <w:rFonts w:ascii="Arial" w:hAnsi="Arial" w:cs="Arial"/>
          <w:bCs/>
          <w:szCs w:val="28"/>
          <w:lang w:val="en-ZA"/>
        </w:rPr>
        <w:t>r</w:t>
      </w:r>
      <w:r w:rsidR="00793F95" w:rsidRPr="00770ADA">
        <w:rPr>
          <w:rFonts w:ascii="Arial" w:hAnsi="Arial" w:cs="Arial"/>
          <w:bCs/>
          <w:szCs w:val="28"/>
          <w:lang w:val="en-ZA"/>
        </w:rPr>
        <w:t>espondent</w:t>
      </w:r>
      <w:r w:rsidR="00C06419" w:rsidRPr="00770ADA">
        <w:rPr>
          <w:rFonts w:ascii="Arial" w:hAnsi="Arial" w:cs="Arial"/>
          <w:bCs/>
          <w:szCs w:val="28"/>
          <w:lang w:val="en-ZA"/>
        </w:rPr>
        <w:t xml:space="preserve"> </w:t>
      </w:r>
      <w:r w:rsidR="006D1B50" w:rsidRPr="00770ADA">
        <w:rPr>
          <w:rFonts w:ascii="Arial" w:hAnsi="Arial" w:cs="Arial"/>
          <w:bCs/>
          <w:szCs w:val="28"/>
          <w:lang w:val="en-ZA"/>
        </w:rPr>
        <w:t xml:space="preserve">on </w:t>
      </w:r>
      <w:r w:rsidR="00C06419" w:rsidRPr="00770ADA">
        <w:rPr>
          <w:rFonts w:ascii="Arial" w:hAnsi="Arial" w:cs="Arial"/>
          <w:bCs/>
          <w:szCs w:val="28"/>
          <w:lang w:val="en-ZA"/>
        </w:rPr>
        <w:t>three grounds</w:t>
      </w:r>
      <w:r w:rsidR="00EF451A" w:rsidRPr="00770ADA">
        <w:rPr>
          <w:rFonts w:ascii="Arial" w:hAnsi="Arial" w:cs="Arial"/>
          <w:bCs/>
          <w:szCs w:val="28"/>
          <w:lang w:val="en-ZA"/>
        </w:rPr>
        <w:t>. First</w:t>
      </w:r>
      <w:r w:rsidR="00A849C0" w:rsidRPr="00770ADA">
        <w:rPr>
          <w:rFonts w:ascii="Arial" w:hAnsi="Arial" w:cs="Arial"/>
          <w:bCs/>
          <w:szCs w:val="28"/>
          <w:lang w:val="en-ZA"/>
        </w:rPr>
        <w:t>ly</w:t>
      </w:r>
      <w:r w:rsidR="00C06419" w:rsidRPr="00770ADA">
        <w:rPr>
          <w:rFonts w:ascii="Arial" w:hAnsi="Arial" w:cs="Arial"/>
          <w:bCs/>
          <w:szCs w:val="28"/>
          <w:lang w:val="en-ZA"/>
        </w:rPr>
        <w:t xml:space="preserve">, </w:t>
      </w:r>
      <w:r w:rsidR="004673D6" w:rsidRPr="00770ADA">
        <w:rPr>
          <w:rFonts w:ascii="Arial" w:hAnsi="Arial" w:cs="Arial"/>
          <w:bCs/>
          <w:szCs w:val="28"/>
          <w:lang w:val="en-ZA"/>
        </w:rPr>
        <w:t xml:space="preserve">it </w:t>
      </w:r>
      <w:r w:rsidR="00C06419" w:rsidRPr="00770ADA">
        <w:rPr>
          <w:rFonts w:ascii="Arial" w:hAnsi="Arial" w:cs="Arial"/>
          <w:bCs/>
          <w:szCs w:val="28"/>
          <w:lang w:val="en-ZA"/>
        </w:rPr>
        <w:t xml:space="preserve">held that the service of the </w:t>
      </w:r>
      <w:r w:rsidR="00587730" w:rsidRPr="00770ADA">
        <w:rPr>
          <w:rFonts w:ascii="Arial" w:hAnsi="Arial" w:cs="Arial"/>
          <w:bCs/>
          <w:szCs w:val="28"/>
          <w:lang w:val="en-ZA"/>
        </w:rPr>
        <w:t>notice of motion</w:t>
      </w:r>
      <w:r w:rsidR="00C06419" w:rsidRPr="00770ADA">
        <w:rPr>
          <w:rFonts w:ascii="Arial" w:hAnsi="Arial" w:cs="Arial"/>
          <w:bCs/>
          <w:szCs w:val="28"/>
          <w:lang w:val="en-ZA"/>
        </w:rPr>
        <w:t xml:space="preserve"> on the </w:t>
      </w:r>
      <w:r w:rsidR="006D1B50" w:rsidRPr="00770ADA">
        <w:rPr>
          <w:rFonts w:ascii="Arial" w:hAnsi="Arial" w:cs="Arial"/>
          <w:bCs/>
          <w:szCs w:val="28"/>
          <w:lang w:val="en-ZA"/>
        </w:rPr>
        <w:t>a</w:t>
      </w:r>
      <w:r w:rsidR="003815A4" w:rsidRPr="00770ADA">
        <w:rPr>
          <w:rFonts w:ascii="Arial" w:hAnsi="Arial" w:cs="Arial"/>
          <w:bCs/>
          <w:szCs w:val="28"/>
          <w:lang w:val="en-ZA"/>
        </w:rPr>
        <w:t>ppellant</w:t>
      </w:r>
      <w:r w:rsidR="00EF451A" w:rsidRPr="00770ADA">
        <w:rPr>
          <w:rFonts w:ascii="Arial" w:hAnsi="Arial" w:cs="Arial"/>
          <w:bCs/>
          <w:szCs w:val="28"/>
          <w:lang w:val="en-ZA"/>
        </w:rPr>
        <w:t>,</w:t>
      </w:r>
      <w:r w:rsidR="00C06419" w:rsidRPr="00770ADA">
        <w:rPr>
          <w:rFonts w:ascii="Arial" w:hAnsi="Arial" w:cs="Arial"/>
          <w:bCs/>
          <w:szCs w:val="28"/>
          <w:lang w:val="en-ZA"/>
        </w:rPr>
        <w:t xml:space="preserve"> which included a claim for cancellation and damages, interrupted prescription</w:t>
      </w:r>
      <w:r w:rsidR="006A46D3" w:rsidRPr="00770ADA">
        <w:rPr>
          <w:rFonts w:ascii="Arial" w:hAnsi="Arial" w:cs="Arial"/>
          <w:bCs/>
          <w:szCs w:val="28"/>
          <w:lang w:val="en-ZA"/>
        </w:rPr>
        <w:t>;</w:t>
      </w:r>
      <w:r w:rsidR="005D72BF" w:rsidRPr="00770ADA">
        <w:rPr>
          <w:rFonts w:ascii="Arial" w:hAnsi="Arial" w:cs="Arial"/>
          <w:bCs/>
          <w:szCs w:val="28"/>
          <w:lang w:val="en-ZA"/>
        </w:rPr>
        <w:t xml:space="preserve"> s</w:t>
      </w:r>
      <w:r w:rsidR="00554E1C" w:rsidRPr="00770ADA">
        <w:rPr>
          <w:rFonts w:ascii="Arial" w:hAnsi="Arial" w:cs="Arial"/>
          <w:bCs/>
          <w:szCs w:val="28"/>
          <w:lang w:val="en-ZA"/>
        </w:rPr>
        <w:t>econd</w:t>
      </w:r>
      <w:r w:rsidR="00E113FC" w:rsidRPr="00770ADA">
        <w:rPr>
          <w:rFonts w:ascii="Arial" w:hAnsi="Arial" w:cs="Arial"/>
          <w:bCs/>
          <w:szCs w:val="28"/>
          <w:lang w:val="en-ZA"/>
        </w:rPr>
        <w:t>ly</w:t>
      </w:r>
      <w:r w:rsidR="00C06419" w:rsidRPr="00770ADA">
        <w:rPr>
          <w:rFonts w:ascii="Arial" w:hAnsi="Arial" w:cs="Arial"/>
          <w:bCs/>
          <w:szCs w:val="28"/>
          <w:lang w:val="en-ZA"/>
        </w:rPr>
        <w:t xml:space="preserve">, that </w:t>
      </w:r>
      <w:r w:rsidR="004D76E6" w:rsidRPr="00770ADA">
        <w:rPr>
          <w:rFonts w:ascii="Arial" w:hAnsi="Arial" w:cs="Arial"/>
          <w:bCs/>
          <w:szCs w:val="28"/>
          <w:lang w:val="en-ZA"/>
        </w:rPr>
        <w:t xml:space="preserve">the </w:t>
      </w:r>
      <w:r w:rsidR="00C06419" w:rsidRPr="00770ADA">
        <w:rPr>
          <w:rFonts w:ascii="Arial" w:hAnsi="Arial" w:cs="Arial"/>
          <w:bCs/>
          <w:szCs w:val="28"/>
          <w:lang w:val="en-ZA"/>
        </w:rPr>
        <w:t xml:space="preserve">interruption </w:t>
      </w:r>
      <w:r w:rsidR="004D76E6" w:rsidRPr="00770ADA">
        <w:rPr>
          <w:rFonts w:ascii="Arial" w:hAnsi="Arial" w:cs="Arial"/>
          <w:bCs/>
          <w:szCs w:val="28"/>
          <w:lang w:val="en-ZA"/>
        </w:rPr>
        <w:t xml:space="preserve">of prescription </w:t>
      </w:r>
      <w:r w:rsidR="00C06419" w:rsidRPr="00770ADA">
        <w:rPr>
          <w:rFonts w:ascii="Arial" w:hAnsi="Arial" w:cs="Arial"/>
          <w:bCs/>
          <w:szCs w:val="28"/>
          <w:lang w:val="en-ZA"/>
        </w:rPr>
        <w:t>ha</w:t>
      </w:r>
      <w:r w:rsidR="006A46D3" w:rsidRPr="00770ADA">
        <w:rPr>
          <w:rFonts w:ascii="Arial" w:hAnsi="Arial" w:cs="Arial"/>
          <w:bCs/>
          <w:szCs w:val="28"/>
          <w:lang w:val="en-ZA"/>
        </w:rPr>
        <w:t>d</w:t>
      </w:r>
      <w:r w:rsidR="00C06419" w:rsidRPr="00770ADA">
        <w:rPr>
          <w:rFonts w:ascii="Arial" w:hAnsi="Arial" w:cs="Arial"/>
          <w:bCs/>
          <w:szCs w:val="28"/>
          <w:lang w:val="en-ZA"/>
        </w:rPr>
        <w:t xml:space="preserve"> not lapsed</w:t>
      </w:r>
      <w:r w:rsidR="00A849C0" w:rsidRPr="00770ADA">
        <w:rPr>
          <w:rFonts w:ascii="Arial" w:hAnsi="Arial" w:cs="Arial"/>
          <w:bCs/>
          <w:szCs w:val="28"/>
          <w:lang w:val="en-ZA"/>
        </w:rPr>
        <w:t>,</w:t>
      </w:r>
      <w:r w:rsidR="00C06419" w:rsidRPr="00770ADA">
        <w:rPr>
          <w:rFonts w:ascii="Arial" w:hAnsi="Arial" w:cs="Arial"/>
          <w:bCs/>
          <w:szCs w:val="28"/>
          <w:lang w:val="en-ZA"/>
        </w:rPr>
        <w:t xml:space="preserve"> as the two processes dealt with the same cause of action</w:t>
      </w:r>
      <w:r w:rsidR="006A46D3" w:rsidRPr="00770ADA">
        <w:rPr>
          <w:rFonts w:ascii="Arial" w:hAnsi="Arial" w:cs="Arial"/>
          <w:bCs/>
          <w:szCs w:val="28"/>
          <w:lang w:val="en-ZA"/>
        </w:rPr>
        <w:t>; and</w:t>
      </w:r>
      <w:r w:rsidR="00793F95" w:rsidRPr="00770ADA">
        <w:rPr>
          <w:rFonts w:ascii="Arial" w:hAnsi="Arial" w:cs="Arial"/>
          <w:bCs/>
          <w:szCs w:val="28"/>
          <w:lang w:val="en-ZA"/>
        </w:rPr>
        <w:t xml:space="preserve"> </w:t>
      </w:r>
      <w:r w:rsidR="006A46D3" w:rsidRPr="00770ADA">
        <w:rPr>
          <w:rFonts w:ascii="Arial" w:hAnsi="Arial" w:cs="Arial"/>
          <w:bCs/>
          <w:szCs w:val="28"/>
          <w:lang w:val="en-ZA"/>
        </w:rPr>
        <w:t>l</w:t>
      </w:r>
      <w:r w:rsidR="00793F95" w:rsidRPr="00770ADA">
        <w:rPr>
          <w:rFonts w:ascii="Arial" w:hAnsi="Arial" w:cs="Arial"/>
          <w:bCs/>
          <w:szCs w:val="28"/>
          <w:lang w:val="en-ZA"/>
        </w:rPr>
        <w:t>astly</w:t>
      </w:r>
      <w:r w:rsidR="004D76E6" w:rsidRPr="00770ADA">
        <w:rPr>
          <w:rFonts w:ascii="Arial" w:hAnsi="Arial" w:cs="Arial"/>
          <w:bCs/>
          <w:szCs w:val="28"/>
          <w:lang w:val="en-ZA"/>
        </w:rPr>
        <w:t xml:space="preserve"> that</w:t>
      </w:r>
      <w:r w:rsidR="00554E1C" w:rsidRPr="00770ADA">
        <w:rPr>
          <w:rFonts w:ascii="Arial" w:hAnsi="Arial" w:cs="Arial"/>
          <w:bCs/>
          <w:szCs w:val="28"/>
          <w:lang w:val="en-ZA"/>
        </w:rPr>
        <w:t xml:space="preserve"> </w:t>
      </w:r>
      <w:r w:rsidR="00C06419" w:rsidRPr="00770ADA">
        <w:rPr>
          <w:rFonts w:ascii="Arial" w:hAnsi="Arial" w:cs="Arial"/>
          <w:bCs/>
          <w:szCs w:val="28"/>
          <w:lang w:val="en-ZA"/>
        </w:rPr>
        <w:t>the second step</w:t>
      </w:r>
      <w:r w:rsidR="006A46D3" w:rsidRPr="00770ADA">
        <w:rPr>
          <w:rFonts w:ascii="Arial" w:hAnsi="Arial" w:cs="Arial"/>
          <w:bCs/>
          <w:szCs w:val="28"/>
          <w:lang w:val="en-ZA"/>
        </w:rPr>
        <w:t>,</w:t>
      </w:r>
      <w:r w:rsidR="00587730" w:rsidRPr="00770ADA">
        <w:rPr>
          <w:rFonts w:ascii="Arial" w:hAnsi="Arial" w:cs="Arial"/>
          <w:bCs/>
          <w:szCs w:val="28"/>
          <w:lang w:val="en-ZA"/>
        </w:rPr>
        <w:t xml:space="preserve"> that is</w:t>
      </w:r>
      <w:r w:rsidR="00800235" w:rsidRPr="00770ADA">
        <w:rPr>
          <w:rFonts w:ascii="Arial" w:hAnsi="Arial" w:cs="Arial"/>
          <w:bCs/>
          <w:szCs w:val="28"/>
          <w:lang w:val="en-ZA"/>
        </w:rPr>
        <w:t xml:space="preserve"> the cancellation of the agreement and the claim for damages,</w:t>
      </w:r>
      <w:r w:rsidR="00C06419" w:rsidRPr="00770ADA">
        <w:rPr>
          <w:rFonts w:ascii="Arial" w:hAnsi="Arial" w:cs="Arial"/>
          <w:bCs/>
          <w:szCs w:val="28"/>
          <w:lang w:val="en-ZA"/>
        </w:rPr>
        <w:t xml:space="preserve"> did not have to take place within </w:t>
      </w:r>
      <w:r w:rsidR="00EF451A" w:rsidRPr="00770ADA">
        <w:rPr>
          <w:rFonts w:ascii="Arial" w:hAnsi="Arial" w:cs="Arial"/>
          <w:bCs/>
          <w:szCs w:val="28"/>
          <w:lang w:val="en-ZA"/>
        </w:rPr>
        <w:t>three</w:t>
      </w:r>
      <w:r w:rsidR="00C06419" w:rsidRPr="00770ADA">
        <w:rPr>
          <w:rFonts w:ascii="Arial" w:hAnsi="Arial" w:cs="Arial"/>
          <w:bCs/>
          <w:szCs w:val="28"/>
          <w:lang w:val="en-ZA"/>
        </w:rPr>
        <w:t xml:space="preserve"> years of the order </w:t>
      </w:r>
      <w:r w:rsidR="008A4C56" w:rsidRPr="00770ADA">
        <w:rPr>
          <w:rFonts w:ascii="Arial" w:hAnsi="Arial" w:cs="Arial"/>
          <w:bCs/>
          <w:szCs w:val="28"/>
          <w:lang w:val="en-ZA"/>
        </w:rPr>
        <w:t xml:space="preserve">granted </w:t>
      </w:r>
      <w:r w:rsidR="00C06419" w:rsidRPr="00770ADA">
        <w:rPr>
          <w:rFonts w:ascii="Arial" w:hAnsi="Arial" w:cs="Arial"/>
          <w:bCs/>
          <w:szCs w:val="28"/>
          <w:lang w:val="en-ZA"/>
        </w:rPr>
        <w:t>by Pickering J.</w:t>
      </w:r>
    </w:p>
    <w:p w14:paraId="7E12B646" w14:textId="42FB694C" w:rsidR="00CB17FF" w:rsidRPr="00770ADA" w:rsidRDefault="00CB17FF" w:rsidP="00770ADA">
      <w:pPr>
        <w:rPr>
          <w:rFonts w:ascii="Arial" w:hAnsi="Arial" w:cs="Arial"/>
          <w:bCs/>
          <w:szCs w:val="28"/>
          <w:lang w:val="en-US"/>
        </w:rPr>
      </w:pPr>
    </w:p>
    <w:p w14:paraId="29D0A3A5" w14:textId="2F29ABA7" w:rsidR="00DE5C93" w:rsidRPr="00770ADA" w:rsidRDefault="00194938"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 xml:space="preserve">In this </w:t>
      </w:r>
      <w:r w:rsidR="00A61E6B" w:rsidRPr="00770ADA">
        <w:rPr>
          <w:rFonts w:ascii="Arial" w:hAnsi="Arial" w:cs="Arial"/>
          <w:bCs/>
          <w:szCs w:val="28"/>
          <w:lang w:val="en-US"/>
        </w:rPr>
        <w:t>Court</w:t>
      </w:r>
      <w:r w:rsidRPr="00770ADA">
        <w:rPr>
          <w:rFonts w:ascii="Arial" w:hAnsi="Arial" w:cs="Arial"/>
          <w:bCs/>
          <w:szCs w:val="28"/>
          <w:lang w:val="en-US"/>
        </w:rPr>
        <w:t xml:space="preserve">, </w:t>
      </w:r>
      <w:r w:rsidR="0072476E" w:rsidRPr="00770ADA">
        <w:rPr>
          <w:rFonts w:ascii="Arial" w:hAnsi="Arial" w:cs="Arial"/>
          <w:bCs/>
          <w:szCs w:val="28"/>
          <w:lang w:val="en-US"/>
        </w:rPr>
        <w:t xml:space="preserve">the </w:t>
      </w:r>
      <w:r w:rsidR="00365A19" w:rsidRPr="00770ADA">
        <w:rPr>
          <w:rFonts w:ascii="Arial" w:hAnsi="Arial" w:cs="Arial"/>
          <w:bCs/>
          <w:szCs w:val="28"/>
          <w:lang w:val="en-US"/>
        </w:rPr>
        <w:t>respondent</w:t>
      </w:r>
      <w:r w:rsidR="0072476E" w:rsidRPr="00770ADA">
        <w:rPr>
          <w:rFonts w:ascii="Arial" w:hAnsi="Arial" w:cs="Arial"/>
          <w:bCs/>
          <w:szCs w:val="28"/>
          <w:lang w:val="en-US"/>
        </w:rPr>
        <w:t xml:space="preserve"> </w:t>
      </w:r>
      <w:r w:rsidRPr="00770ADA">
        <w:rPr>
          <w:rFonts w:ascii="Arial" w:hAnsi="Arial" w:cs="Arial"/>
          <w:bCs/>
          <w:szCs w:val="28"/>
          <w:lang w:val="en-US"/>
        </w:rPr>
        <w:t xml:space="preserve">abandoned </w:t>
      </w:r>
      <w:r w:rsidR="00584636" w:rsidRPr="00770ADA">
        <w:rPr>
          <w:rFonts w:ascii="Arial" w:hAnsi="Arial" w:cs="Arial"/>
          <w:bCs/>
          <w:szCs w:val="28"/>
          <w:lang w:val="en-US"/>
        </w:rPr>
        <w:t xml:space="preserve">his </w:t>
      </w:r>
      <w:r w:rsidRPr="00770ADA">
        <w:rPr>
          <w:rFonts w:ascii="Arial" w:hAnsi="Arial" w:cs="Arial"/>
          <w:bCs/>
          <w:szCs w:val="28"/>
          <w:lang w:val="en-US"/>
        </w:rPr>
        <w:t xml:space="preserve">earlier </w:t>
      </w:r>
      <w:r w:rsidR="0094650A" w:rsidRPr="00770ADA">
        <w:rPr>
          <w:rFonts w:ascii="Arial" w:hAnsi="Arial" w:cs="Arial"/>
          <w:bCs/>
          <w:szCs w:val="28"/>
          <w:lang w:val="en-US"/>
        </w:rPr>
        <w:t xml:space="preserve">assertion </w:t>
      </w:r>
      <w:r w:rsidRPr="00770ADA">
        <w:rPr>
          <w:rFonts w:ascii="Arial" w:hAnsi="Arial" w:cs="Arial"/>
          <w:bCs/>
          <w:szCs w:val="28"/>
          <w:lang w:val="en-US"/>
        </w:rPr>
        <w:t>that the order of Pickering J constitutes a judgment debt in terms of s 11</w:t>
      </w:r>
      <w:r w:rsidRPr="006938E5">
        <w:rPr>
          <w:rFonts w:ascii="Arial" w:hAnsi="Arial" w:cs="Arial"/>
          <w:bCs/>
          <w:i/>
          <w:szCs w:val="28"/>
          <w:lang w:val="en-US"/>
        </w:rPr>
        <w:t>(</w:t>
      </w:r>
      <w:r w:rsidRPr="006938E5">
        <w:rPr>
          <w:rFonts w:ascii="Arial" w:hAnsi="Arial" w:cs="Arial"/>
          <w:bCs/>
          <w:i/>
          <w:iCs/>
          <w:szCs w:val="28"/>
          <w:lang w:val="en-US"/>
        </w:rPr>
        <w:t>a</w:t>
      </w:r>
      <w:r w:rsidRPr="006938E5">
        <w:rPr>
          <w:rFonts w:ascii="Arial" w:hAnsi="Arial" w:cs="Arial"/>
          <w:bCs/>
          <w:i/>
          <w:szCs w:val="28"/>
          <w:lang w:val="en-US"/>
        </w:rPr>
        <w:t>)</w:t>
      </w:r>
      <w:r w:rsidRPr="006938E5">
        <w:rPr>
          <w:rFonts w:ascii="Arial" w:hAnsi="Arial" w:cs="Arial"/>
          <w:bCs/>
          <w:szCs w:val="28"/>
          <w:lang w:val="en-US"/>
        </w:rPr>
        <w:t>(ii)</w:t>
      </w:r>
      <w:r w:rsidRPr="00770ADA">
        <w:rPr>
          <w:rFonts w:ascii="Arial" w:hAnsi="Arial" w:cs="Arial"/>
          <w:bCs/>
          <w:szCs w:val="28"/>
          <w:lang w:val="en-US"/>
        </w:rPr>
        <w:t xml:space="preserve"> of the Prescription Act 68 of 1969 (the Act)</w:t>
      </w:r>
      <w:r w:rsidR="00FF376D" w:rsidRPr="00770ADA">
        <w:rPr>
          <w:rFonts w:ascii="Arial" w:hAnsi="Arial" w:cs="Arial"/>
          <w:bCs/>
          <w:szCs w:val="28"/>
          <w:lang w:val="en-US"/>
        </w:rPr>
        <w:t>,</w:t>
      </w:r>
      <w:r w:rsidR="00365A19" w:rsidRPr="00770ADA">
        <w:rPr>
          <w:rFonts w:ascii="Arial" w:hAnsi="Arial" w:cs="Arial"/>
          <w:bCs/>
          <w:szCs w:val="28"/>
          <w:lang w:val="en-US"/>
        </w:rPr>
        <w:t xml:space="preserve"> which provides that the prescripti</w:t>
      </w:r>
      <w:r w:rsidR="00B52630" w:rsidRPr="00770ADA">
        <w:rPr>
          <w:rFonts w:ascii="Arial" w:hAnsi="Arial" w:cs="Arial"/>
          <w:bCs/>
          <w:szCs w:val="28"/>
          <w:lang w:val="en-US"/>
        </w:rPr>
        <w:t>ve</w:t>
      </w:r>
      <w:r w:rsidR="00365A19" w:rsidRPr="00770ADA">
        <w:rPr>
          <w:rFonts w:ascii="Arial" w:hAnsi="Arial" w:cs="Arial"/>
          <w:bCs/>
          <w:szCs w:val="28"/>
          <w:lang w:val="en-US"/>
        </w:rPr>
        <w:t xml:space="preserve"> period for a judgment debt is 30 years</w:t>
      </w:r>
      <w:r w:rsidRPr="00770ADA">
        <w:rPr>
          <w:rFonts w:ascii="Arial" w:hAnsi="Arial" w:cs="Arial"/>
          <w:bCs/>
          <w:szCs w:val="28"/>
          <w:lang w:val="en-US"/>
        </w:rPr>
        <w:t xml:space="preserve">. </w:t>
      </w:r>
      <w:r w:rsidR="00DE5C93" w:rsidRPr="00770ADA">
        <w:rPr>
          <w:rFonts w:ascii="Arial" w:hAnsi="Arial" w:cs="Arial"/>
          <w:bCs/>
          <w:szCs w:val="28"/>
          <w:lang w:val="en-US"/>
        </w:rPr>
        <w:t xml:space="preserve">While the order of Pickering J constitutes a </w:t>
      </w:r>
      <w:r w:rsidR="00A61E6B" w:rsidRPr="00770ADA">
        <w:rPr>
          <w:rFonts w:ascii="Arial" w:hAnsi="Arial" w:cs="Arial"/>
          <w:bCs/>
          <w:szCs w:val="28"/>
          <w:lang w:val="en-US"/>
        </w:rPr>
        <w:t>'</w:t>
      </w:r>
      <w:r w:rsidR="00DE5C93" w:rsidRPr="00770ADA">
        <w:rPr>
          <w:rFonts w:ascii="Arial" w:hAnsi="Arial" w:cs="Arial"/>
          <w:bCs/>
          <w:szCs w:val="28"/>
          <w:lang w:val="en-US"/>
        </w:rPr>
        <w:t>debt</w:t>
      </w:r>
      <w:r w:rsidR="00A61E6B" w:rsidRPr="00770ADA">
        <w:rPr>
          <w:rFonts w:ascii="Arial" w:hAnsi="Arial" w:cs="Arial"/>
          <w:bCs/>
          <w:szCs w:val="28"/>
          <w:lang w:val="en-US"/>
        </w:rPr>
        <w:t>'</w:t>
      </w:r>
      <w:r w:rsidR="00DE5C93" w:rsidRPr="00770ADA">
        <w:rPr>
          <w:rFonts w:ascii="Arial" w:hAnsi="Arial" w:cs="Arial"/>
          <w:bCs/>
          <w:szCs w:val="28"/>
          <w:lang w:val="en-US"/>
        </w:rPr>
        <w:t xml:space="preserve"> for the purposes of s 11</w:t>
      </w:r>
      <w:r w:rsidR="00DE5C93" w:rsidRPr="006938E5">
        <w:rPr>
          <w:rFonts w:ascii="Arial" w:hAnsi="Arial" w:cs="Arial"/>
          <w:bCs/>
          <w:i/>
          <w:szCs w:val="28"/>
          <w:lang w:val="en-US"/>
        </w:rPr>
        <w:t>(d)</w:t>
      </w:r>
      <w:r w:rsidR="00DE5C93" w:rsidRPr="00770ADA">
        <w:rPr>
          <w:rFonts w:ascii="Arial" w:hAnsi="Arial" w:cs="Arial"/>
          <w:bCs/>
          <w:szCs w:val="28"/>
          <w:lang w:val="en-US"/>
        </w:rPr>
        <w:t xml:space="preserve"> of </w:t>
      </w:r>
      <w:r w:rsidR="00C24240" w:rsidRPr="00770ADA">
        <w:rPr>
          <w:rFonts w:ascii="Arial" w:hAnsi="Arial" w:cs="Arial"/>
          <w:bCs/>
          <w:szCs w:val="28"/>
          <w:lang w:val="en-US"/>
        </w:rPr>
        <w:t>the Act</w:t>
      </w:r>
      <w:r w:rsidR="00FF376D" w:rsidRPr="00770ADA">
        <w:rPr>
          <w:rFonts w:ascii="Arial" w:hAnsi="Arial" w:cs="Arial"/>
          <w:bCs/>
          <w:szCs w:val="28"/>
          <w:lang w:val="en-US"/>
        </w:rPr>
        <w:t>,</w:t>
      </w:r>
      <w:r w:rsidR="00C24240" w:rsidRPr="00770ADA">
        <w:rPr>
          <w:rFonts w:ascii="Arial" w:hAnsi="Arial" w:cs="Arial"/>
          <w:bCs/>
          <w:szCs w:val="28"/>
          <w:lang w:val="en-US"/>
        </w:rPr>
        <w:t xml:space="preserve"> it does not constitute </w:t>
      </w:r>
      <w:r w:rsidR="00A61E6B" w:rsidRPr="00770ADA">
        <w:rPr>
          <w:rFonts w:ascii="Arial" w:hAnsi="Arial" w:cs="Arial"/>
          <w:bCs/>
          <w:szCs w:val="28"/>
          <w:lang w:val="en-US"/>
        </w:rPr>
        <w:t>'a</w:t>
      </w:r>
      <w:r w:rsidR="00C24240" w:rsidRPr="00770ADA">
        <w:rPr>
          <w:rFonts w:ascii="Arial" w:hAnsi="Arial" w:cs="Arial"/>
          <w:bCs/>
          <w:szCs w:val="28"/>
          <w:lang w:val="en-US"/>
        </w:rPr>
        <w:t xml:space="preserve"> judgment debt</w:t>
      </w:r>
      <w:r w:rsidR="00A61E6B" w:rsidRPr="00770ADA">
        <w:rPr>
          <w:rFonts w:ascii="Arial" w:hAnsi="Arial" w:cs="Arial"/>
          <w:bCs/>
          <w:szCs w:val="28"/>
          <w:lang w:val="en-US"/>
        </w:rPr>
        <w:t>'</w:t>
      </w:r>
      <w:r w:rsidR="00C24240" w:rsidRPr="00770ADA">
        <w:rPr>
          <w:rFonts w:ascii="Arial" w:hAnsi="Arial" w:cs="Arial"/>
          <w:bCs/>
          <w:szCs w:val="28"/>
          <w:lang w:val="en-US"/>
        </w:rPr>
        <w:t xml:space="preserve"> as envisaged in s 11</w:t>
      </w:r>
      <w:r w:rsidR="00C24240" w:rsidRPr="006938E5">
        <w:rPr>
          <w:rFonts w:ascii="Arial" w:hAnsi="Arial" w:cs="Arial"/>
          <w:bCs/>
          <w:i/>
          <w:szCs w:val="28"/>
          <w:lang w:val="en-US"/>
        </w:rPr>
        <w:t>(a)</w:t>
      </w:r>
      <w:r w:rsidR="00C24240" w:rsidRPr="006938E5">
        <w:rPr>
          <w:rFonts w:ascii="Arial" w:hAnsi="Arial" w:cs="Arial"/>
          <w:bCs/>
          <w:szCs w:val="28"/>
          <w:lang w:val="en-US"/>
        </w:rPr>
        <w:t>(ii)</w:t>
      </w:r>
      <w:r w:rsidR="00C24240" w:rsidRPr="00770ADA">
        <w:rPr>
          <w:rFonts w:ascii="Arial" w:hAnsi="Arial" w:cs="Arial"/>
          <w:bCs/>
          <w:szCs w:val="28"/>
          <w:lang w:val="en-US"/>
        </w:rPr>
        <w:t xml:space="preserve"> of the Act</w:t>
      </w:r>
      <w:r w:rsidR="00A849C0" w:rsidRPr="00770ADA">
        <w:rPr>
          <w:rFonts w:ascii="Arial" w:hAnsi="Arial" w:cs="Arial"/>
          <w:bCs/>
          <w:szCs w:val="28"/>
          <w:lang w:val="en-US"/>
        </w:rPr>
        <w:t>,</w:t>
      </w:r>
      <w:r w:rsidR="00C24240" w:rsidRPr="00770ADA">
        <w:rPr>
          <w:rFonts w:ascii="Arial" w:hAnsi="Arial" w:cs="Arial"/>
          <w:bCs/>
          <w:szCs w:val="28"/>
          <w:lang w:val="en-US"/>
        </w:rPr>
        <w:t xml:space="preserve"> as it is not final in effect.</w:t>
      </w:r>
    </w:p>
    <w:p w14:paraId="64CEB1D7" w14:textId="77777777" w:rsidR="00793F95" w:rsidRPr="00770ADA" w:rsidRDefault="00793F95" w:rsidP="00770ADA">
      <w:pPr>
        <w:rPr>
          <w:rFonts w:ascii="Arial" w:hAnsi="Arial" w:cs="Arial"/>
          <w:bCs/>
          <w:lang w:val="en-US"/>
        </w:rPr>
      </w:pPr>
    </w:p>
    <w:p w14:paraId="13FD0932" w14:textId="6448D9B7" w:rsidR="00C24240" w:rsidRPr="00770ADA" w:rsidRDefault="00584636"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 xml:space="preserve">Section 10 of the Act provides that a debt shall be extinguished by prescription after the lapse of the period that applies in respect of such debt. </w:t>
      </w:r>
    </w:p>
    <w:p w14:paraId="2BC9E3F4" w14:textId="77777777" w:rsidR="00C24240" w:rsidRPr="00770ADA" w:rsidRDefault="00C24240" w:rsidP="00770ADA">
      <w:pPr>
        <w:rPr>
          <w:rFonts w:ascii="Arial" w:hAnsi="Arial" w:cs="Arial"/>
          <w:bCs/>
          <w:szCs w:val="28"/>
          <w:lang w:val="en-US"/>
        </w:rPr>
      </w:pPr>
    </w:p>
    <w:p w14:paraId="1CDD7DE0" w14:textId="4DB2FD2F" w:rsidR="00C24240" w:rsidRPr="006938E5" w:rsidRDefault="00584636" w:rsidP="006938E5">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Section 11</w:t>
      </w:r>
      <w:r w:rsidRPr="006938E5">
        <w:rPr>
          <w:rFonts w:ascii="Arial" w:hAnsi="Arial" w:cs="Arial"/>
          <w:bCs/>
          <w:i/>
          <w:szCs w:val="28"/>
          <w:lang w:val="en-US"/>
        </w:rPr>
        <w:t>(d)</w:t>
      </w:r>
      <w:r w:rsidRPr="00770ADA">
        <w:rPr>
          <w:rFonts w:ascii="Arial" w:hAnsi="Arial" w:cs="Arial"/>
          <w:bCs/>
          <w:szCs w:val="28"/>
          <w:lang w:val="en-US"/>
        </w:rPr>
        <w:t xml:space="preserve"> </w:t>
      </w:r>
      <w:r w:rsidR="00A849C0" w:rsidRPr="00770ADA">
        <w:rPr>
          <w:rFonts w:ascii="Arial" w:hAnsi="Arial" w:cs="Arial"/>
          <w:bCs/>
          <w:szCs w:val="28"/>
          <w:lang w:val="en-US"/>
        </w:rPr>
        <w:t xml:space="preserve">of the Act </w:t>
      </w:r>
      <w:r w:rsidRPr="00770ADA">
        <w:rPr>
          <w:rFonts w:ascii="Arial" w:hAnsi="Arial" w:cs="Arial"/>
          <w:bCs/>
          <w:szCs w:val="28"/>
          <w:lang w:val="en-US"/>
        </w:rPr>
        <w:t>provides as follows:</w:t>
      </w:r>
    </w:p>
    <w:p w14:paraId="3755AEC3" w14:textId="2094C631" w:rsidR="00584636" w:rsidRPr="006938E5" w:rsidRDefault="00A61E6B" w:rsidP="006938E5">
      <w:pPr>
        <w:rPr>
          <w:rFonts w:ascii="Arial" w:hAnsi="Arial" w:cs="Arial"/>
          <w:bCs/>
          <w:sz w:val="22"/>
          <w:szCs w:val="22"/>
          <w:lang w:val="en-US"/>
        </w:rPr>
      </w:pPr>
      <w:r w:rsidRPr="006938E5">
        <w:rPr>
          <w:rFonts w:ascii="Arial" w:hAnsi="Arial" w:cs="Arial"/>
          <w:bCs/>
          <w:sz w:val="22"/>
          <w:szCs w:val="22"/>
          <w:lang w:val="en-US"/>
        </w:rPr>
        <w:t>'</w:t>
      </w:r>
      <w:r w:rsidR="00A849C0" w:rsidRPr="00770ADA">
        <w:rPr>
          <w:rFonts w:ascii="Arial" w:hAnsi="Arial" w:cs="Arial"/>
          <w:bCs/>
          <w:sz w:val="22"/>
          <w:szCs w:val="22"/>
          <w:lang w:val="en-US"/>
        </w:rPr>
        <w:t>(11)</w:t>
      </w:r>
      <w:r w:rsidR="00A849C0" w:rsidRPr="00770ADA">
        <w:rPr>
          <w:rFonts w:ascii="Arial" w:hAnsi="Arial" w:cs="Arial"/>
          <w:bCs/>
          <w:sz w:val="22"/>
          <w:szCs w:val="22"/>
          <w:lang w:val="en-US"/>
        </w:rPr>
        <w:tab/>
      </w:r>
      <w:r w:rsidR="00584636" w:rsidRPr="006938E5">
        <w:rPr>
          <w:rFonts w:ascii="Arial" w:hAnsi="Arial" w:cs="Arial"/>
          <w:bCs/>
          <w:sz w:val="22"/>
          <w:szCs w:val="22"/>
          <w:lang w:val="en-US"/>
        </w:rPr>
        <w:t>The periods of prescription of debts shall be the following:</w:t>
      </w:r>
    </w:p>
    <w:p w14:paraId="6D1E43CE" w14:textId="77777777" w:rsidR="00584636" w:rsidRPr="006938E5" w:rsidRDefault="00584636" w:rsidP="006938E5">
      <w:pPr>
        <w:rPr>
          <w:rFonts w:ascii="Arial" w:hAnsi="Arial" w:cs="Arial"/>
          <w:bCs/>
          <w:sz w:val="22"/>
          <w:szCs w:val="22"/>
          <w:lang w:val="en-US"/>
        </w:rPr>
      </w:pPr>
      <w:r w:rsidRPr="006938E5">
        <w:rPr>
          <w:rFonts w:ascii="Arial" w:hAnsi="Arial" w:cs="Arial"/>
          <w:bCs/>
          <w:sz w:val="22"/>
          <w:szCs w:val="22"/>
          <w:lang w:val="en-US"/>
        </w:rPr>
        <w:t xml:space="preserve">. . . </w:t>
      </w:r>
    </w:p>
    <w:p w14:paraId="3D1C354A" w14:textId="173E7230" w:rsidR="00584636" w:rsidRPr="006938E5" w:rsidRDefault="00584636" w:rsidP="006938E5">
      <w:pPr>
        <w:rPr>
          <w:rFonts w:ascii="Arial" w:hAnsi="Arial" w:cs="Arial"/>
          <w:bCs/>
          <w:sz w:val="22"/>
          <w:szCs w:val="22"/>
          <w:lang w:val="en-US"/>
        </w:rPr>
      </w:pPr>
      <w:r w:rsidRPr="006938E5">
        <w:rPr>
          <w:rFonts w:ascii="Arial" w:hAnsi="Arial" w:cs="Arial"/>
          <w:bCs/>
          <w:i/>
          <w:sz w:val="22"/>
          <w:szCs w:val="22"/>
          <w:lang w:val="en-US"/>
        </w:rPr>
        <w:t>(d)</w:t>
      </w:r>
      <w:r w:rsidRPr="006938E5">
        <w:rPr>
          <w:rFonts w:ascii="Arial" w:hAnsi="Arial" w:cs="Arial"/>
          <w:bCs/>
          <w:sz w:val="22"/>
          <w:szCs w:val="22"/>
          <w:lang w:val="en-US"/>
        </w:rPr>
        <w:t xml:space="preserve"> </w:t>
      </w:r>
      <w:r w:rsidR="00A849C0" w:rsidRPr="00770ADA">
        <w:rPr>
          <w:rFonts w:ascii="Arial" w:hAnsi="Arial" w:cs="Arial"/>
          <w:bCs/>
          <w:sz w:val="22"/>
          <w:szCs w:val="22"/>
          <w:lang w:val="en-US"/>
        </w:rPr>
        <w:tab/>
      </w:r>
      <w:r w:rsidRPr="006938E5">
        <w:rPr>
          <w:rFonts w:ascii="Arial" w:hAnsi="Arial" w:cs="Arial"/>
          <w:bCs/>
          <w:sz w:val="22"/>
          <w:szCs w:val="22"/>
          <w:lang w:val="en-US"/>
        </w:rPr>
        <w:t>save where an Act of Parliament provides otherwise, three years in respect of any other debt.</w:t>
      </w:r>
      <w:r w:rsidR="00A61E6B" w:rsidRPr="006938E5">
        <w:rPr>
          <w:rFonts w:ascii="Arial" w:hAnsi="Arial" w:cs="Arial"/>
          <w:bCs/>
          <w:sz w:val="22"/>
          <w:szCs w:val="22"/>
          <w:lang w:val="en-US"/>
        </w:rPr>
        <w:t>'</w:t>
      </w:r>
    </w:p>
    <w:p w14:paraId="7E3530AB" w14:textId="77777777" w:rsidR="00584636" w:rsidRPr="00770ADA" w:rsidRDefault="00584636" w:rsidP="00770ADA">
      <w:pPr>
        <w:rPr>
          <w:rFonts w:ascii="Arial" w:hAnsi="Arial" w:cs="Arial"/>
          <w:bCs/>
          <w:sz w:val="22"/>
          <w:szCs w:val="22"/>
          <w:lang w:val="en-US"/>
        </w:rPr>
      </w:pPr>
    </w:p>
    <w:p w14:paraId="5631884A" w14:textId="698B6633" w:rsidR="009A0443" w:rsidRPr="006938E5" w:rsidRDefault="00584636" w:rsidP="006938E5">
      <w:pPr>
        <w:pStyle w:val="ListParagraph"/>
        <w:numPr>
          <w:ilvl w:val="0"/>
          <w:numId w:val="28"/>
        </w:numPr>
        <w:ind w:left="0" w:firstLine="0"/>
        <w:rPr>
          <w:rFonts w:ascii="Arial" w:hAnsi="Arial" w:cs="Arial"/>
          <w:bCs/>
          <w:szCs w:val="28"/>
          <w:lang w:val="en-ZA"/>
        </w:rPr>
      </w:pPr>
      <w:r w:rsidRPr="00770ADA">
        <w:rPr>
          <w:rFonts w:ascii="Arial" w:hAnsi="Arial" w:cs="Arial"/>
          <w:bCs/>
          <w:szCs w:val="28"/>
          <w:lang w:val="en-ZA"/>
        </w:rPr>
        <w:t xml:space="preserve">Section 15 of the Act is headed </w:t>
      </w:r>
      <w:r w:rsidR="00A849C0" w:rsidRPr="00770ADA">
        <w:rPr>
          <w:rFonts w:ascii="Arial" w:hAnsi="Arial" w:cs="Arial"/>
          <w:bCs/>
          <w:szCs w:val="28"/>
          <w:lang w:val="en-ZA"/>
        </w:rPr>
        <w:t>‘</w:t>
      </w:r>
      <w:r w:rsidRPr="00770ADA">
        <w:rPr>
          <w:rFonts w:ascii="Arial" w:hAnsi="Arial" w:cs="Arial"/>
          <w:bCs/>
          <w:szCs w:val="28"/>
          <w:lang w:val="en-ZA"/>
        </w:rPr>
        <w:t xml:space="preserve">Judicial </w:t>
      </w:r>
      <w:r w:rsidR="00A849C0" w:rsidRPr="00770ADA">
        <w:rPr>
          <w:rFonts w:ascii="Arial" w:hAnsi="Arial" w:cs="Arial"/>
          <w:bCs/>
          <w:szCs w:val="28"/>
          <w:lang w:val="en-ZA"/>
        </w:rPr>
        <w:t>i</w:t>
      </w:r>
      <w:r w:rsidRPr="00770ADA">
        <w:rPr>
          <w:rFonts w:ascii="Arial" w:hAnsi="Arial" w:cs="Arial"/>
          <w:bCs/>
          <w:szCs w:val="28"/>
          <w:lang w:val="en-ZA"/>
        </w:rPr>
        <w:t xml:space="preserve">nterruption of </w:t>
      </w:r>
      <w:r w:rsidR="00A849C0" w:rsidRPr="00770ADA">
        <w:rPr>
          <w:rFonts w:ascii="Arial" w:hAnsi="Arial" w:cs="Arial"/>
          <w:bCs/>
          <w:szCs w:val="28"/>
          <w:lang w:val="en-ZA"/>
        </w:rPr>
        <w:t>p</w:t>
      </w:r>
      <w:r w:rsidRPr="00770ADA">
        <w:rPr>
          <w:rFonts w:ascii="Arial" w:hAnsi="Arial" w:cs="Arial"/>
          <w:bCs/>
          <w:szCs w:val="28"/>
          <w:lang w:val="en-ZA"/>
        </w:rPr>
        <w:t>rescription</w:t>
      </w:r>
      <w:r w:rsidR="00A849C0" w:rsidRPr="00770ADA">
        <w:rPr>
          <w:rFonts w:ascii="Arial" w:hAnsi="Arial" w:cs="Arial"/>
          <w:bCs/>
          <w:szCs w:val="28"/>
          <w:lang w:val="en-ZA"/>
        </w:rPr>
        <w:t>’</w:t>
      </w:r>
      <w:r w:rsidRPr="00770ADA">
        <w:rPr>
          <w:rFonts w:ascii="Arial" w:hAnsi="Arial" w:cs="Arial"/>
          <w:bCs/>
          <w:szCs w:val="28"/>
          <w:lang w:val="en-ZA"/>
        </w:rPr>
        <w:t xml:space="preserve"> and provides in relevant part as follows:</w:t>
      </w:r>
    </w:p>
    <w:p w14:paraId="5DFA396F" w14:textId="39363CE8" w:rsidR="00C24240" w:rsidRPr="00770ADA" w:rsidRDefault="00A61E6B" w:rsidP="00770ADA">
      <w:pPr>
        <w:pStyle w:val="ListParagraph"/>
        <w:ind w:left="0"/>
        <w:rPr>
          <w:rFonts w:ascii="Arial" w:hAnsi="Arial" w:cs="Arial"/>
          <w:bCs/>
          <w:sz w:val="22"/>
          <w:szCs w:val="22"/>
          <w:lang w:val="en-ZA"/>
        </w:rPr>
      </w:pPr>
      <w:r w:rsidRPr="00770ADA">
        <w:rPr>
          <w:rFonts w:ascii="Arial" w:hAnsi="Arial" w:cs="Arial"/>
          <w:bCs/>
          <w:sz w:val="22"/>
          <w:szCs w:val="22"/>
          <w:lang w:val="en-ZA"/>
        </w:rPr>
        <w:t>'</w:t>
      </w:r>
      <w:r w:rsidR="00584636" w:rsidRPr="00770ADA">
        <w:rPr>
          <w:rFonts w:ascii="Arial" w:hAnsi="Arial" w:cs="Arial"/>
          <w:bCs/>
          <w:sz w:val="22"/>
          <w:szCs w:val="22"/>
          <w:lang w:val="en-ZA"/>
        </w:rPr>
        <w:t xml:space="preserve">(1) </w:t>
      </w:r>
      <w:r w:rsidR="00A849C0" w:rsidRPr="00770ADA">
        <w:rPr>
          <w:rFonts w:ascii="Arial" w:hAnsi="Arial" w:cs="Arial"/>
          <w:bCs/>
          <w:sz w:val="22"/>
          <w:szCs w:val="22"/>
          <w:lang w:val="en-ZA"/>
        </w:rPr>
        <w:tab/>
      </w:r>
      <w:r w:rsidR="00584636" w:rsidRPr="00770ADA">
        <w:rPr>
          <w:rFonts w:ascii="Arial" w:hAnsi="Arial" w:cs="Arial"/>
          <w:bCs/>
          <w:sz w:val="22"/>
          <w:szCs w:val="22"/>
          <w:lang w:val="en-ZA"/>
        </w:rPr>
        <w:t>The running of prescription shall, subject to the provisions of subsection (2), be interrupted by the service on the debtor of any process whereby the creditor claims payment of the debt.</w:t>
      </w:r>
    </w:p>
    <w:p w14:paraId="555E5960" w14:textId="1FEBEC8B" w:rsidR="00584636" w:rsidRPr="00770ADA" w:rsidRDefault="00584636" w:rsidP="00770ADA">
      <w:pPr>
        <w:pStyle w:val="ListParagraph"/>
        <w:ind w:left="0"/>
        <w:rPr>
          <w:rFonts w:ascii="Arial" w:hAnsi="Arial" w:cs="Arial"/>
          <w:bCs/>
          <w:sz w:val="22"/>
          <w:szCs w:val="22"/>
          <w:lang w:val="en-ZA"/>
        </w:rPr>
      </w:pPr>
      <w:r w:rsidRPr="00770ADA">
        <w:rPr>
          <w:rFonts w:ascii="Arial" w:hAnsi="Arial" w:cs="Arial"/>
          <w:bCs/>
          <w:sz w:val="22"/>
          <w:szCs w:val="22"/>
          <w:lang w:val="en-ZA"/>
        </w:rPr>
        <w:t xml:space="preserve">(2) </w:t>
      </w:r>
      <w:r w:rsidR="00A849C0" w:rsidRPr="00770ADA">
        <w:rPr>
          <w:rFonts w:ascii="Arial" w:hAnsi="Arial" w:cs="Arial"/>
          <w:bCs/>
          <w:sz w:val="22"/>
          <w:szCs w:val="22"/>
          <w:lang w:val="en-ZA"/>
        </w:rPr>
        <w:tab/>
      </w:r>
      <w:r w:rsidRPr="00770ADA">
        <w:rPr>
          <w:rFonts w:ascii="Arial" w:hAnsi="Arial" w:cs="Arial"/>
          <w:bCs/>
          <w:sz w:val="22"/>
          <w:szCs w:val="22"/>
          <w:lang w:val="en-ZA"/>
        </w:rPr>
        <w:t>Unless the debtor acknowledges liability, the interruption of prescription in terms of subsection (1) shall lapse, and the running of prescription shall not be deemed to have been interrupted</w:t>
      </w:r>
      <w:r w:rsidR="00505EDC" w:rsidRPr="00770ADA">
        <w:rPr>
          <w:rFonts w:ascii="Arial" w:hAnsi="Arial" w:cs="Arial"/>
          <w:bCs/>
          <w:sz w:val="22"/>
          <w:szCs w:val="22"/>
          <w:lang w:val="en-ZA"/>
        </w:rPr>
        <w:t>,</w:t>
      </w:r>
      <w:r w:rsidRPr="00770ADA">
        <w:rPr>
          <w:rFonts w:ascii="Arial" w:hAnsi="Arial" w:cs="Arial"/>
          <w:bCs/>
          <w:sz w:val="22"/>
          <w:szCs w:val="22"/>
          <w:lang w:val="en-ZA"/>
        </w:rPr>
        <w:t xml:space="preserve"> if the creditor does not successfully prosecute his claim under the </w:t>
      </w:r>
      <w:r w:rsidRPr="00770ADA">
        <w:rPr>
          <w:rFonts w:ascii="Arial" w:hAnsi="Arial" w:cs="Arial"/>
          <w:bCs/>
          <w:sz w:val="22"/>
          <w:szCs w:val="22"/>
          <w:lang w:val="en-ZA"/>
        </w:rPr>
        <w:lastRenderedPageBreak/>
        <w:t>process in question to final judgment or if he does so prosecute his claim but abandons the judgment or the judgment is set aside.</w:t>
      </w:r>
    </w:p>
    <w:p w14:paraId="1F978E92" w14:textId="1EF5534B" w:rsidR="00584636" w:rsidRPr="00770ADA" w:rsidRDefault="00584636" w:rsidP="00770ADA">
      <w:pPr>
        <w:pStyle w:val="ListParagraph"/>
        <w:ind w:left="0"/>
        <w:rPr>
          <w:rFonts w:ascii="Arial" w:hAnsi="Arial" w:cs="Arial"/>
          <w:bCs/>
          <w:sz w:val="22"/>
          <w:szCs w:val="22"/>
          <w:lang w:val="en-ZA"/>
        </w:rPr>
      </w:pPr>
      <w:r w:rsidRPr="00770ADA">
        <w:rPr>
          <w:rFonts w:ascii="Arial" w:hAnsi="Arial" w:cs="Arial"/>
          <w:bCs/>
          <w:sz w:val="22"/>
          <w:szCs w:val="22"/>
          <w:lang w:val="en-ZA"/>
        </w:rPr>
        <w:t xml:space="preserve">(3) </w:t>
      </w:r>
      <w:r w:rsidR="00A849C0" w:rsidRPr="00770ADA">
        <w:rPr>
          <w:rFonts w:ascii="Arial" w:hAnsi="Arial" w:cs="Arial"/>
          <w:bCs/>
          <w:sz w:val="22"/>
          <w:szCs w:val="22"/>
          <w:lang w:val="en-ZA"/>
        </w:rPr>
        <w:tab/>
      </w:r>
      <w:r w:rsidRPr="00770ADA">
        <w:rPr>
          <w:rFonts w:ascii="Arial" w:hAnsi="Arial" w:cs="Arial"/>
          <w:bCs/>
          <w:sz w:val="22"/>
          <w:szCs w:val="22"/>
          <w:lang w:val="en-ZA"/>
        </w:rPr>
        <w:t xml:space="preserve">. . . </w:t>
      </w:r>
    </w:p>
    <w:p w14:paraId="14453096" w14:textId="63D8AC14" w:rsidR="00584636" w:rsidRPr="00770ADA" w:rsidRDefault="00584636" w:rsidP="00770ADA">
      <w:pPr>
        <w:pStyle w:val="ListParagraph"/>
        <w:ind w:left="0"/>
        <w:rPr>
          <w:rFonts w:ascii="Arial" w:hAnsi="Arial" w:cs="Arial"/>
          <w:bCs/>
          <w:sz w:val="22"/>
          <w:szCs w:val="22"/>
          <w:lang w:val="en-ZA"/>
        </w:rPr>
      </w:pPr>
      <w:r w:rsidRPr="00770ADA">
        <w:rPr>
          <w:rFonts w:ascii="Arial" w:hAnsi="Arial" w:cs="Arial"/>
          <w:bCs/>
          <w:sz w:val="22"/>
          <w:szCs w:val="22"/>
          <w:lang w:val="en-ZA"/>
        </w:rPr>
        <w:t xml:space="preserve">(4) </w:t>
      </w:r>
      <w:r w:rsidR="00A849C0" w:rsidRPr="00770ADA">
        <w:rPr>
          <w:rFonts w:ascii="Arial" w:hAnsi="Arial" w:cs="Arial"/>
          <w:bCs/>
          <w:sz w:val="22"/>
          <w:szCs w:val="22"/>
          <w:lang w:val="en-ZA"/>
        </w:rPr>
        <w:tab/>
      </w:r>
      <w:r w:rsidRPr="00770ADA">
        <w:rPr>
          <w:rFonts w:ascii="Arial" w:hAnsi="Arial" w:cs="Arial"/>
          <w:bCs/>
          <w:sz w:val="22"/>
          <w:szCs w:val="22"/>
          <w:lang w:val="en-ZA"/>
        </w:rPr>
        <w:t xml:space="preserve">If the running of prescription is interrupted as contemplated in subsection (1) and the creditor successfully prosecutes his claim under the process in question to final judgment and the interruption does not lapse in terms of subsection (2), prescription shall commence to run afresh on the day on which the judgment of the </w:t>
      </w:r>
      <w:r w:rsidR="00505EDC" w:rsidRPr="00770ADA">
        <w:rPr>
          <w:rFonts w:ascii="Arial" w:hAnsi="Arial" w:cs="Arial"/>
          <w:bCs/>
          <w:sz w:val="22"/>
          <w:szCs w:val="22"/>
          <w:lang w:val="en-ZA"/>
        </w:rPr>
        <w:t>c</w:t>
      </w:r>
      <w:r w:rsidR="00A61E6B" w:rsidRPr="00770ADA">
        <w:rPr>
          <w:rFonts w:ascii="Arial" w:hAnsi="Arial" w:cs="Arial"/>
          <w:bCs/>
          <w:sz w:val="22"/>
          <w:szCs w:val="22"/>
          <w:lang w:val="en-ZA"/>
        </w:rPr>
        <w:t>ourt</w:t>
      </w:r>
      <w:r w:rsidRPr="00770ADA">
        <w:rPr>
          <w:rFonts w:ascii="Arial" w:hAnsi="Arial" w:cs="Arial"/>
          <w:bCs/>
          <w:sz w:val="22"/>
          <w:szCs w:val="22"/>
          <w:lang w:val="en-ZA"/>
        </w:rPr>
        <w:t xml:space="preserve"> becomes executable.</w:t>
      </w:r>
    </w:p>
    <w:p w14:paraId="3D65B126" w14:textId="4507BC2D" w:rsidR="00584636" w:rsidRPr="00770ADA" w:rsidRDefault="00584636" w:rsidP="00770ADA">
      <w:pPr>
        <w:pStyle w:val="ListParagraph"/>
        <w:ind w:left="0"/>
        <w:rPr>
          <w:rFonts w:ascii="Arial" w:hAnsi="Arial" w:cs="Arial"/>
          <w:bCs/>
          <w:sz w:val="22"/>
          <w:szCs w:val="22"/>
          <w:lang w:val="en-ZA"/>
        </w:rPr>
      </w:pPr>
      <w:r w:rsidRPr="00770ADA">
        <w:rPr>
          <w:rFonts w:ascii="Arial" w:hAnsi="Arial" w:cs="Arial"/>
          <w:bCs/>
          <w:sz w:val="22"/>
          <w:szCs w:val="22"/>
          <w:lang w:val="en-ZA"/>
        </w:rPr>
        <w:t xml:space="preserve">(5) </w:t>
      </w:r>
      <w:r w:rsidR="00A849C0" w:rsidRPr="00770ADA">
        <w:rPr>
          <w:rFonts w:ascii="Arial" w:hAnsi="Arial" w:cs="Arial"/>
          <w:bCs/>
          <w:sz w:val="22"/>
          <w:szCs w:val="22"/>
          <w:lang w:val="en-ZA"/>
        </w:rPr>
        <w:tab/>
      </w:r>
      <w:r w:rsidRPr="00770ADA">
        <w:rPr>
          <w:rFonts w:ascii="Arial" w:hAnsi="Arial" w:cs="Arial"/>
          <w:bCs/>
          <w:sz w:val="22"/>
          <w:szCs w:val="22"/>
          <w:lang w:val="en-ZA"/>
        </w:rPr>
        <w:t xml:space="preserve">. . . </w:t>
      </w:r>
    </w:p>
    <w:p w14:paraId="0149E3AA" w14:textId="5767517A" w:rsidR="00584636" w:rsidRPr="00770ADA" w:rsidRDefault="00584636" w:rsidP="00770ADA">
      <w:pPr>
        <w:pStyle w:val="ListParagraph"/>
        <w:ind w:left="0"/>
        <w:rPr>
          <w:rFonts w:ascii="Arial" w:hAnsi="Arial" w:cs="Arial"/>
          <w:bCs/>
          <w:sz w:val="22"/>
          <w:szCs w:val="22"/>
          <w:lang w:val="en-ZA"/>
        </w:rPr>
      </w:pPr>
      <w:r w:rsidRPr="00770ADA">
        <w:rPr>
          <w:rFonts w:ascii="Arial" w:hAnsi="Arial" w:cs="Arial"/>
          <w:bCs/>
          <w:sz w:val="22"/>
          <w:szCs w:val="22"/>
          <w:lang w:val="en-ZA"/>
        </w:rPr>
        <w:t xml:space="preserve">(6) </w:t>
      </w:r>
      <w:r w:rsidR="00A849C0" w:rsidRPr="00770ADA">
        <w:rPr>
          <w:rFonts w:ascii="Arial" w:hAnsi="Arial" w:cs="Arial"/>
          <w:bCs/>
          <w:sz w:val="22"/>
          <w:szCs w:val="22"/>
          <w:lang w:val="en-ZA"/>
        </w:rPr>
        <w:tab/>
      </w:r>
      <w:r w:rsidRPr="00770ADA">
        <w:rPr>
          <w:rFonts w:ascii="Arial" w:hAnsi="Arial" w:cs="Arial"/>
          <w:bCs/>
          <w:sz w:val="22"/>
          <w:szCs w:val="22"/>
          <w:lang w:val="en-ZA"/>
        </w:rPr>
        <w:t xml:space="preserve">For the purposes of this section, </w:t>
      </w:r>
      <w:r w:rsidR="00A849C0" w:rsidRPr="00770ADA">
        <w:rPr>
          <w:rFonts w:ascii="Arial" w:hAnsi="Arial" w:cs="Arial"/>
          <w:bCs/>
          <w:sz w:val="22"/>
          <w:szCs w:val="22"/>
          <w:lang w:val="en-ZA"/>
        </w:rPr>
        <w:t>“</w:t>
      </w:r>
      <w:r w:rsidRPr="00770ADA">
        <w:rPr>
          <w:rFonts w:ascii="Arial" w:hAnsi="Arial" w:cs="Arial"/>
          <w:bCs/>
          <w:sz w:val="22"/>
          <w:szCs w:val="22"/>
          <w:lang w:val="en-ZA"/>
        </w:rPr>
        <w:t>process</w:t>
      </w:r>
      <w:r w:rsidR="00A849C0" w:rsidRPr="00770ADA">
        <w:rPr>
          <w:rFonts w:ascii="Arial" w:hAnsi="Arial" w:cs="Arial"/>
          <w:bCs/>
          <w:sz w:val="22"/>
          <w:szCs w:val="22"/>
          <w:lang w:val="en-ZA"/>
        </w:rPr>
        <w:t>”</w:t>
      </w:r>
      <w:r w:rsidRPr="00770ADA">
        <w:rPr>
          <w:rFonts w:ascii="Arial" w:hAnsi="Arial" w:cs="Arial"/>
          <w:bCs/>
          <w:sz w:val="22"/>
          <w:szCs w:val="22"/>
          <w:lang w:val="en-ZA"/>
        </w:rPr>
        <w:t xml:space="preserve"> includes a petition, a notice of motion, a rule </w:t>
      </w:r>
      <w:r w:rsidRPr="00770ADA">
        <w:rPr>
          <w:rFonts w:ascii="Arial" w:hAnsi="Arial" w:cs="Arial"/>
          <w:bCs/>
          <w:i/>
          <w:iCs/>
          <w:sz w:val="22"/>
          <w:szCs w:val="22"/>
          <w:lang w:val="en-ZA"/>
        </w:rPr>
        <w:t>nisi</w:t>
      </w:r>
      <w:r w:rsidRPr="00770ADA">
        <w:rPr>
          <w:rFonts w:ascii="Arial" w:hAnsi="Arial" w:cs="Arial"/>
          <w:bCs/>
          <w:sz w:val="22"/>
          <w:szCs w:val="22"/>
          <w:lang w:val="en-ZA"/>
        </w:rPr>
        <w:t xml:space="preserve">, a pleading in reconvention, a third party notice referred to in any rule of </w:t>
      </w:r>
      <w:r w:rsidR="00505EDC" w:rsidRPr="00770ADA">
        <w:rPr>
          <w:rFonts w:ascii="Arial" w:hAnsi="Arial" w:cs="Arial"/>
          <w:bCs/>
          <w:sz w:val="22"/>
          <w:szCs w:val="22"/>
          <w:lang w:val="en-ZA"/>
        </w:rPr>
        <w:t>c</w:t>
      </w:r>
      <w:r w:rsidR="00A61E6B" w:rsidRPr="00770ADA">
        <w:rPr>
          <w:rFonts w:ascii="Arial" w:hAnsi="Arial" w:cs="Arial"/>
          <w:bCs/>
          <w:sz w:val="22"/>
          <w:szCs w:val="22"/>
          <w:lang w:val="en-ZA"/>
        </w:rPr>
        <w:t>ourt</w:t>
      </w:r>
      <w:r w:rsidRPr="00770ADA">
        <w:rPr>
          <w:rFonts w:ascii="Arial" w:hAnsi="Arial" w:cs="Arial"/>
          <w:bCs/>
          <w:sz w:val="22"/>
          <w:szCs w:val="22"/>
          <w:lang w:val="en-ZA"/>
        </w:rPr>
        <w:t>, and any document whereby legal proceedings are commenced.</w:t>
      </w:r>
      <w:r w:rsidR="00A61E6B" w:rsidRPr="00770ADA">
        <w:rPr>
          <w:rFonts w:ascii="Arial" w:hAnsi="Arial" w:cs="Arial"/>
          <w:bCs/>
          <w:sz w:val="22"/>
          <w:szCs w:val="22"/>
          <w:lang w:val="en-ZA"/>
        </w:rPr>
        <w:t>'</w:t>
      </w:r>
    </w:p>
    <w:p w14:paraId="446A18E4" w14:textId="77777777" w:rsidR="00584636" w:rsidRPr="00770ADA" w:rsidRDefault="00584636" w:rsidP="00770ADA">
      <w:pPr>
        <w:rPr>
          <w:rFonts w:ascii="Arial" w:hAnsi="Arial" w:cs="Arial"/>
          <w:bCs/>
          <w:szCs w:val="28"/>
          <w:lang w:val="en-US"/>
        </w:rPr>
      </w:pPr>
    </w:p>
    <w:p w14:paraId="2A8C6526" w14:textId="35E84498" w:rsidR="00316929" w:rsidRPr="00770ADA" w:rsidRDefault="006A46D3" w:rsidP="00770ADA">
      <w:pPr>
        <w:pStyle w:val="ListParagraph"/>
        <w:numPr>
          <w:ilvl w:val="0"/>
          <w:numId w:val="28"/>
        </w:numPr>
        <w:ind w:left="0" w:firstLine="0"/>
        <w:rPr>
          <w:rFonts w:ascii="Arial" w:hAnsi="Arial" w:cs="Arial"/>
          <w:sz w:val="22"/>
          <w:szCs w:val="22"/>
          <w:lang w:val="en-US"/>
        </w:rPr>
      </w:pPr>
      <w:r w:rsidRPr="00770ADA">
        <w:rPr>
          <w:rFonts w:ascii="Arial" w:hAnsi="Arial" w:cs="Arial"/>
          <w:bCs/>
          <w:szCs w:val="28"/>
          <w:lang w:val="en-US"/>
        </w:rPr>
        <w:t>C</w:t>
      </w:r>
      <w:r w:rsidR="00360303" w:rsidRPr="00770ADA">
        <w:rPr>
          <w:rFonts w:ascii="Arial" w:hAnsi="Arial" w:cs="Arial"/>
          <w:bCs/>
          <w:szCs w:val="28"/>
          <w:lang w:val="en-US"/>
        </w:rPr>
        <w:t xml:space="preserve">ounsel </w:t>
      </w:r>
      <w:r w:rsidR="009E192D" w:rsidRPr="00770ADA">
        <w:rPr>
          <w:rFonts w:ascii="Arial" w:hAnsi="Arial" w:cs="Arial"/>
          <w:bCs/>
          <w:szCs w:val="28"/>
          <w:lang w:val="en-US"/>
        </w:rPr>
        <w:t xml:space="preserve">for the appellant </w:t>
      </w:r>
      <w:r w:rsidR="005C2C64" w:rsidRPr="00770ADA">
        <w:rPr>
          <w:rFonts w:ascii="Arial" w:hAnsi="Arial" w:cs="Arial"/>
          <w:bCs/>
          <w:szCs w:val="28"/>
          <w:lang w:val="en-US"/>
        </w:rPr>
        <w:t xml:space="preserve">submitted </w:t>
      </w:r>
      <w:r w:rsidR="00360303" w:rsidRPr="00770ADA">
        <w:rPr>
          <w:rFonts w:ascii="Arial" w:hAnsi="Arial" w:cs="Arial"/>
          <w:bCs/>
          <w:szCs w:val="28"/>
          <w:lang w:val="en-US"/>
        </w:rPr>
        <w:t xml:space="preserve">that the </w:t>
      </w:r>
      <w:r w:rsidR="00FC0ED7" w:rsidRPr="00770ADA">
        <w:rPr>
          <w:rFonts w:ascii="Arial" w:hAnsi="Arial" w:cs="Arial"/>
          <w:bCs/>
          <w:szCs w:val="28"/>
          <w:lang w:val="en-US"/>
        </w:rPr>
        <w:t>r</w:t>
      </w:r>
      <w:r w:rsidR="00A66B01" w:rsidRPr="00770ADA">
        <w:rPr>
          <w:rFonts w:ascii="Arial" w:hAnsi="Arial" w:cs="Arial"/>
          <w:bCs/>
          <w:szCs w:val="28"/>
          <w:lang w:val="en-US"/>
        </w:rPr>
        <w:t>espondent</w:t>
      </w:r>
      <w:r w:rsidR="00793F95" w:rsidRPr="00770ADA">
        <w:rPr>
          <w:rFonts w:ascii="Arial" w:hAnsi="Arial" w:cs="Arial"/>
          <w:bCs/>
          <w:szCs w:val="28"/>
          <w:lang w:val="en-US"/>
        </w:rPr>
        <w:t xml:space="preserve"> </w:t>
      </w:r>
      <w:r w:rsidR="00B93DA3" w:rsidRPr="00770ADA">
        <w:rPr>
          <w:rFonts w:ascii="Arial" w:hAnsi="Arial" w:cs="Arial"/>
          <w:bCs/>
          <w:szCs w:val="28"/>
          <w:lang w:val="en-US"/>
        </w:rPr>
        <w:t>did not pursue the relevant relief in the prior application to its logical conclusion</w:t>
      </w:r>
      <w:r w:rsidR="00505EDC" w:rsidRPr="00770ADA">
        <w:rPr>
          <w:rFonts w:ascii="Arial" w:hAnsi="Arial" w:cs="Arial"/>
          <w:bCs/>
          <w:szCs w:val="28"/>
          <w:lang w:val="en-US"/>
        </w:rPr>
        <w:t>,</w:t>
      </w:r>
      <w:r w:rsidR="00B93DA3" w:rsidRPr="00770ADA">
        <w:rPr>
          <w:rFonts w:ascii="Arial" w:hAnsi="Arial" w:cs="Arial"/>
          <w:bCs/>
          <w:szCs w:val="28"/>
          <w:lang w:val="en-US"/>
        </w:rPr>
        <w:t xml:space="preserve"> as the </w:t>
      </w:r>
      <w:r w:rsidR="00FC0ED7" w:rsidRPr="00770ADA">
        <w:rPr>
          <w:rFonts w:ascii="Arial" w:hAnsi="Arial" w:cs="Arial"/>
          <w:bCs/>
          <w:szCs w:val="28"/>
          <w:lang w:val="en-US"/>
        </w:rPr>
        <w:t>r</w:t>
      </w:r>
      <w:r w:rsidR="00A66B01" w:rsidRPr="00770ADA">
        <w:rPr>
          <w:rFonts w:ascii="Arial" w:hAnsi="Arial" w:cs="Arial"/>
          <w:bCs/>
          <w:szCs w:val="28"/>
          <w:lang w:val="en-US"/>
        </w:rPr>
        <w:t>espondent</w:t>
      </w:r>
      <w:r w:rsidR="00237B9B" w:rsidRPr="00770ADA">
        <w:rPr>
          <w:rFonts w:ascii="Arial" w:hAnsi="Arial" w:cs="Arial"/>
          <w:bCs/>
          <w:szCs w:val="28"/>
          <w:lang w:val="en-US"/>
        </w:rPr>
        <w:t xml:space="preserve"> </w:t>
      </w:r>
      <w:r w:rsidR="00B93DA3" w:rsidRPr="00770ADA">
        <w:rPr>
          <w:rFonts w:ascii="Arial" w:hAnsi="Arial" w:cs="Arial"/>
          <w:bCs/>
          <w:szCs w:val="28"/>
          <w:lang w:val="en-US"/>
        </w:rPr>
        <w:t xml:space="preserve">abandoned and withdrew that application. He </w:t>
      </w:r>
      <w:r w:rsidR="005C2C64" w:rsidRPr="00770ADA">
        <w:rPr>
          <w:rFonts w:ascii="Arial" w:hAnsi="Arial" w:cs="Arial"/>
          <w:bCs/>
          <w:szCs w:val="28"/>
          <w:lang w:val="en-US"/>
        </w:rPr>
        <w:t xml:space="preserve">contended </w:t>
      </w:r>
      <w:r w:rsidR="00B93DA3" w:rsidRPr="00770ADA">
        <w:rPr>
          <w:rFonts w:ascii="Arial" w:hAnsi="Arial" w:cs="Arial"/>
          <w:bCs/>
          <w:szCs w:val="28"/>
          <w:lang w:val="en-US"/>
        </w:rPr>
        <w:t xml:space="preserve">that the present proceedings </w:t>
      </w:r>
      <w:r w:rsidR="0076576C" w:rsidRPr="00770ADA">
        <w:rPr>
          <w:rFonts w:ascii="Arial" w:hAnsi="Arial" w:cs="Arial"/>
          <w:bCs/>
          <w:szCs w:val="28"/>
          <w:lang w:val="en-US"/>
        </w:rPr>
        <w:t>were</w:t>
      </w:r>
      <w:r w:rsidR="00B93DA3" w:rsidRPr="00770ADA">
        <w:rPr>
          <w:rFonts w:ascii="Arial" w:hAnsi="Arial" w:cs="Arial"/>
          <w:bCs/>
          <w:szCs w:val="28"/>
          <w:lang w:val="en-US"/>
        </w:rPr>
        <w:t xml:space="preserve"> new and </w:t>
      </w:r>
      <w:r w:rsidR="00793F95" w:rsidRPr="00770ADA">
        <w:rPr>
          <w:rFonts w:ascii="Arial" w:hAnsi="Arial" w:cs="Arial"/>
          <w:bCs/>
          <w:szCs w:val="28"/>
          <w:lang w:val="en-US"/>
        </w:rPr>
        <w:t>were</w:t>
      </w:r>
      <w:r w:rsidR="00B93DA3" w:rsidRPr="00770ADA">
        <w:rPr>
          <w:rFonts w:ascii="Arial" w:hAnsi="Arial" w:cs="Arial"/>
          <w:bCs/>
          <w:szCs w:val="28"/>
          <w:lang w:val="en-US"/>
        </w:rPr>
        <w:t xml:space="preserve"> not instituted within the </w:t>
      </w:r>
      <w:r w:rsidR="00793F95" w:rsidRPr="00770ADA">
        <w:rPr>
          <w:rFonts w:ascii="Arial" w:hAnsi="Arial" w:cs="Arial"/>
          <w:bCs/>
          <w:szCs w:val="28"/>
          <w:lang w:val="en-US"/>
        </w:rPr>
        <w:t>three-year</w:t>
      </w:r>
      <w:r w:rsidR="00B93DA3" w:rsidRPr="00770ADA">
        <w:rPr>
          <w:rFonts w:ascii="Arial" w:hAnsi="Arial" w:cs="Arial"/>
          <w:bCs/>
          <w:szCs w:val="28"/>
          <w:lang w:val="en-US"/>
        </w:rPr>
        <w:t xml:space="preserve"> prescriptive period</w:t>
      </w:r>
      <w:r w:rsidR="00505EDC" w:rsidRPr="00770ADA">
        <w:rPr>
          <w:rFonts w:ascii="Arial" w:hAnsi="Arial" w:cs="Arial"/>
          <w:bCs/>
          <w:szCs w:val="28"/>
          <w:lang w:val="en-US"/>
        </w:rPr>
        <w:t>,</w:t>
      </w:r>
      <w:r w:rsidR="005C2C64" w:rsidRPr="00770ADA">
        <w:rPr>
          <w:rFonts w:ascii="Arial" w:hAnsi="Arial" w:cs="Arial"/>
          <w:bCs/>
          <w:szCs w:val="28"/>
          <w:lang w:val="en-US"/>
        </w:rPr>
        <w:t xml:space="preserve"> and had thus become prescribed</w:t>
      </w:r>
      <w:r w:rsidR="00B93DA3" w:rsidRPr="00770ADA">
        <w:rPr>
          <w:rFonts w:ascii="Arial" w:hAnsi="Arial" w:cs="Arial"/>
          <w:bCs/>
          <w:szCs w:val="28"/>
          <w:lang w:val="en-US"/>
        </w:rPr>
        <w:t>.</w:t>
      </w:r>
      <w:r w:rsidR="00741EA8" w:rsidRPr="00770ADA">
        <w:rPr>
          <w:rFonts w:ascii="Arial" w:hAnsi="Arial" w:cs="Arial"/>
          <w:bCs/>
          <w:szCs w:val="28"/>
          <w:lang w:val="en-US"/>
        </w:rPr>
        <w:t xml:space="preserve"> </w:t>
      </w:r>
      <w:r w:rsidR="007D1748" w:rsidRPr="00770ADA">
        <w:rPr>
          <w:rFonts w:ascii="Arial" w:hAnsi="Arial" w:cs="Arial"/>
          <w:bCs/>
          <w:szCs w:val="28"/>
          <w:lang w:val="en-US"/>
        </w:rPr>
        <w:t>On the other hand, c</w:t>
      </w:r>
      <w:r w:rsidR="0072476E" w:rsidRPr="00770ADA">
        <w:rPr>
          <w:rFonts w:ascii="Arial" w:hAnsi="Arial" w:cs="Arial"/>
          <w:bCs/>
          <w:szCs w:val="28"/>
          <w:lang w:val="en-US"/>
        </w:rPr>
        <w:t xml:space="preserve">ounsel for the </w:t>
      </w:r>
      <w:r w:rsidR="00FC0ED7" w:rsidRPr="00770ADA">
        <w:rPr>
          <w:rFonts w:ascii="Arial" w:hAnsi="Arial" w:cs="Arial"/>
          <w:bCs/>
          <w:szCs w:val="28"/>
          <w:lang w:val="en-US"/>
        </w:rPr>
        <w:t>r</w:t>
      </w:r>
      <w:r w:rsidR="00793F95" w:rsidRPr="00770ADA">
        <w:rPr>
          <w:rFonts w:ascii="Arial" w:hAnsi="Arial" w:cs="Arial"/>
          <w:bCs/>
          <w:szCs w:val="28"/>
          <w:lang w:val="en-US"/>
        </w:rPr>
        <w:t>espondent</w:t>
      </w:r>
      <w:r w:rsidR="0072476E" w:rsidRPr="00770ADA">
        <w:rPr>
          <w:rFonts w:ascii="Arial" w:hAnsi="Arial" w:cs="Arial"/>
          <w:bCs/>
          <w:szCs w:val="28"/>
          <w:lang w:val="en-US"/>
        </w:rPr>
        <w:t xml:space="preserve"> </w:t>
      </w:r>
      <w:r w:rsidR="00CB591F" w:rsidRPr="00770ADA">
        <w:rPr>
          <w:rFonts w:ascii="Arial" w:hAnsi="Arial" w:cs="Arial"/>
          <w:bCs/>
          <w:szCs w:val="28"/>
          <w:lang w:val="en-US"/>
        </w:rPr>
        <w:t xml:space="preserve">submitted that service of </w:t>
      </w:r>
      <w:r w:rsidR="001E4D33" w:rsidRPr="00770ADA">
        <w:rPr>
          <w:rFonts w:ascii="Arial" w:hAnsi="Arial" w:cs="Arial"/>
          <w:bCs/>
          <w:szCs w:val="28"/>
          <w:lang w:val="en-US"/>
        </w:rPr>
        <w:t>the notice of motion</w:t>
      </w:r>
      <w:r w:rsidR="00CB591F" w:rsidRPr="00770ADA">
        <w:rPr>
          <w:rFonts w:ascii="Arial" w:hAnsi="Arial" w:cs="Arial"/>
          <w:bCs/>
          <w:szCs w:val="28"/>
          <w:lang w:val="en-US"/>
        </w:rPr>
        <w:t xml:space="preserve"> </w:t>
      </w:r>
      <w:r w:rsidR="00B52630" w:rsidRPr="00770ADA">
        <w:rPr>
          <w:rFonts w:ascii="Arial" w:hAnsi="Arial" w:cs="Arial"/>
          <w:bCs/>
          <w:szCs w:val="28"/>
          <w:lang w:val="en-US"/>
        </w:rPr>
        <w:t xml:space="preserve">on the appellant </w:t>
      </w:r>
      <w:r w:rsidR="00CB591F" w:rsidRPr="00770ADA">
        <w:rPr>
          <w:rFonts w:ascii="Arial" w:hAnsi="Arial" w:cs="Arial"/>
          <w:bCs/>
          <w:szCs w:val="28"/>
          <w:lang w:val="en-US"/>
        </w:rPr>
        <w:t xml:space="preserve">in the initial application in 2012 interrupted prescription in respect of the </w:t>
      </w:r>
      <w:r w:rsidR="00A61E6B" w:rsidRPr="00770ADA">
        <w:rPr>
          <w:rFonts w:ascii="Arial" w:hAnsi="Arial" w:cs="Arial"/>
          <w:bCs/>
          <w:szCs w:val="28"/>
          <w:lang w:val="en-US"/>
        </w:rPr>
        <w:t>respondent's</w:t>
      </w:r>
      <w:r w:rsidR="00CB591F" w:rsidRPr="00770ADA">
        <w:rPr>
          <w:rFonts w:ascii="Arial" w:hAnsi="Arial" w:cs="Arial"/>
          <w:bCs/>
          <w:szCs w:val="28"/>
          <w:lang w:val="en-US"/>
        </w:rPr>
        <w:t xml:space="preserve"> cause of action</w:t>
      </w:r>
      <w:r w:rsidR="00793F95" w:rsidRPr="00770ADA">
        <w:rPr>
          <w:rFonts w:ascii="Arial" w:hAnsi="Arial" w:cs="Arial"/>
          <w:bCs/>
          <w:szCs w:val="28"/>
          <w:lang w:val="en-US"/>
        </w:rPr>
        <w:t>,</w:t>
      </w:r>
      <w:r w:rsidR="00CB591F" w:rsidRPr="00770ADA">
        <w:rPr>
          <w:rFonts w:ascii="Arial" w:hAnsi="Arial" w:cs="Arial"/>
          <w:bCs/>
          <w:szCs w:val="28"/>
          <w:lang w:val="en-US"/>
        </w:rPr>
        <w:t xml:space="preserve"> including the cause of action in respect of </w:t>
      </w:r>
      <w:r w:rsidR="001E4D33" w:rsidRPr="00770ADA">
        <w:rPr>
          <w:rFonts w:ascii="Arial" w:hAnsi="Arial" w:cs="Arial"/>
          <w:bCs/>
          <w:szCs w:val="28"/>
          <w:lang w:val="en-US"/>
        </w:rPr>
        <w:t xml:space="preserve">the </w:t>
      </w:r>
      <w:r w:rsidR="00CB591F" w:rsidRPr="00770ADA">
        <w:rPr>
          <w:rFonts w:ascii="Arial" w:hAnsi="Arial" w:cs="Arial"/>
          <w:bCs/>
          <w:szCs w:val="28"/>
          <w:lang w:val="en-US"/>
        </w:rPr>
        <w:t xml:space="preserve">damages claim. He </w:t>
      </w:r>
      <w:r w:rsidR="005C2C64" w:rsidRPr="00770ADA">
        <w:rPr>
          <w:rFonts w:ascii="Arial" w:hAnsi="Arial" w:cs="Arial"/>
          <w:bCs/>
          <w:szCs w:val="28"/>
          <w:lang w:val="en-US"/>
        </w:rPr>
        <w:t xml:space="preserve">further submitted </w:t>
      </w:r>
      <w:r w:rsidR="00CB591F" w:rsidRPr="00770ADA">
        <w:rPr>
          <w:rFonts w:ascii="Arial" w:hAnsi="Arial" w:cs="Arial"/>
          <w:bCs/>
          <w:szCs w:val="28"/>
          <w:lang w:val="en-US"/>
        </w:rPr>
        <w:t>that the claim in respect of damages relate</w:t>
      </w:r>
      <w:r w:rsidR="005C2C64" w:rsidRPr="00770ADA">
        <w:rPr>
          <w:rFonts w:ascii="Arial" w:hAnsi="Arial" w:cs="Arial"/>
          <w:bCs/>
          <w:szCs w:val="28"/>
          <w:lang w:val="en-US"/>
        </w:rPr>
        <w:t>d</w:t>
      </w:r>
      <w:r w:rsidR="00CB591F" w:rsidRPr="00770ADA">
        <w:rPr>
          <w:rFonts w:ascii="Arial" w:hAnsi="Arial" w:cs="Arial"/>
          <w:bCs/>
          <w:szCs w:val="28"/>
          <w:lang w:val="en-US"/>
        </w:rPr>
        <w:t xml:space="preserve"> to the same cause of action</w:t>
      </w:r>
      <w:r w:rsidR="00793F95" w:rsidRPr="00770ADA">
        <w:rPr>
          <w:rFonts w:ascii="Arial" w:hAnsi="Arial" w:cs="Arial"/>
          <w:bCs/>
          <w:szCs w:val="28"/>
          <w:lang w:val="en-US"/>
        </w:rPr>
        <w:t>,</w:t>
      </w:r>
      <w:r w:rsidR="00CB591F" w:rsidRPr="00770ADA">
        <w:rPr>
          <w:rFonts w:ascii="Arial" w:hAnsi="Arial" w:cs="Arial"/>
          <w:bCs/>
          <w:szCs w:val="28"/>
          <w:lang w:val="en-US"/>
        </w:rPr>
        <w:t xml:space="preserve"> which was </w:t>
      </w:r>
      <w:r w:rsidR="00316929" w:rsidRPr="00770ADA">
        <w:rPr>
          <w:rFonts w:ascii="Arial" w:hAnsi="Arial" w:cs="Arial"/>
          <w:bCs/>
          <w:szCs w:val="28"/>
          <w:lang w:val="en-US"/>
        </w:rPr>
        <w:t xml:space="preserve">interrupted by prescription when the 2012 </w:t>
      </w:r>
      <w:r w:rsidR="001E4D33" w:rsidRPr="00770ADA">
        <w:rPr>
          <w:rFonts w:ascii="Arial" w:hAnsi="Arial" w:cs="Arial"/>
          <w:bCs/>
          <w:szCs w:val="28"/>
          <w:lang w:val="en-US"/>
        </w:rPr>
        <w:t>notice of motion</w:t>
      </w:r>
      <w:r w:rsidR="00316929" w:rsidRPr="00770ADA">
        <w:rPr>
          <w:rFonts w:ascii="Arial" w:hAnsi="Arial" w:cs="Arial"/>
          <w:bCs/>
          <w:szCs w:val="28"/>
          <w:lang w:val="en-US"/>
        </w:rPr>
        <w:t xml:space="preserve"> was served on the </w:t>
      </w:r>
      <w:r w:rsidR="00FC0ED7" w:rsidRPr="00770ADA">
        <w:rPr>
          <w:rFonts w:ascii="Arial" w:hAnsi="Arial" w:cs="Arial"/>
          <w:bCs/>
          <w:szCs w:val="28"/>
          <w:lang w:val="en-US"/>
        </w:rPr>
        <w:t>a</w:t>
      </w:r>
      <w:r w:rsidR="003815A4" w:rsidRPr="00770ADA">
        <w:rPr>
          <w:rFonts w:ascii="Arial" w:hAnsi="Arial" w:cs="Arial"/>
          <w:bCs/>
          <w:szCs w:val="28"/>
          <w:lang w:val="en-US"/>
        </w:rPr>
        <w:t>ppellant</w:t>
      </w:r>
      <w:r w:rsidR="00FC0ED7" w:rsidRPr="00770ADA">
        <w:rPr>
          <w:rFonts w:ascii="Arial" w:hAnsi="Arial" w:cs="Arial"/>
          <w:bCs/>
          <w:szCs w:val="28"/>
          <w:lang w:val="en-US"/>
        </w:rPr>
        <w:t>.</w:t>
      </w:r>
    </w:p>
    <w:p w14:paraId="7AB625DA" w14:textId="77777777" w:rsidR="0072476E" w:rsidRPr="00770ADA" w:rsidRDefault="0072476E" w:rsidP="00770ADA">
      <w:pPr>
        <w:rPr>
          <w:rFonts w:ascii="Arial" w:hAnsi="Arial" w:cs="Arial"/>
          <w:bCs/>
          <w:sz w:val="20"/>
          <w:szCs w:val="20"/>
          <w:lang w:val="en-US"/>
        </w:rPr>
      </w:pPr>
    </w:p>
    <w:p w14:paraId="26BD1E80" w14:textId="0636E605" w:rsidR="005D0EF8" w:rsidRPr="00770ADA" w:rsidRDefault="005D0EF8"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 xml:space="preserve">The </w:t>
      </w:r>
      <w:r w:rsidR="006061B9" w:rsidRPr="00770ADA">
        <w:rPr>
          <w:rFonts w:ascii="Arial" w:hAnsi="Arial" w:cs="Arial"/>
          <w:bCs/>
          <w:szCs w:val="28"/>
          <w:lang w:val="en-US"/>
        </w:rPr>
        <w:t xml:space="preserve">crucial </w:t>
      </w:r>
      <w:r w:rsidRPr="00770ADA">
        <w:rPr>
          <w:rFonts w:ascii="Arial" w:hAnsi="Arial" w:cs="Arial"/>
          <w:bCs/>
          <w:szCs w:val="28"/>
          <w:lang w:val="en-US"/>
        </w:rPr>
        <w:t>question that arise</w:t>
      </w:r>
      <w:r w:rsidR="0094650A" w:rsidRPr="00770ADA">
        <w:rPr>
          <w:rFonts w:ascii="Arial" w:hAnsi="Arial" w:cs="Arial"/>
          <w:bCs/>
          <w:szCs w:val="28"/>
          <w:lang w:val="en-US"/>
        </w:rPr>
        <w:t>s</w:t>
      </w:r>
      <w:r w:rsidRPr="00770ADA">
        <w:rPr>
          <w:rFonts w:ascii="Arial" w:hAnsi="Arial" w:cs="Arial"/>
          <w:bCs/>
          <w:szCs w:val="28"/>
          <w:lang w:val="en-US"/>
        </w:rPr>
        <w:t xml:space="preserve"> for decision </w:t>
      </w:r>
      <w:r w:rsidR="0094650A" w:rsidRPr="00770ADA">
        <w:rPr>
          <w:rFonts w:ascii="Arial" w:hAnsi="Arial" w:cs="Arial"/>
          <w:bCs/>
          <w:szCs w:val="28"/>
          <w:lang w:val="en-US"/>
        </w:rPr>
        <w:t>is two-fold. First</w:t>
      </w:r>
      <w:r w:rsidR="00505EDC" w:rsidRPr="00770ADA">
        <w:rPr>
          <w:rFonts w:ascii="Arial" w:hAnsi="Arial" w:cs="Arial"/>
          <w:bCs/>
          <w:szCs w:val="28"/>
          <w:lang w:val="en-US"/>
        </w:rPr>
        <w:t>ly</w:t>
      </w:r>
      <w:r w:rsidR="0094650A" w:rsidRPr="00770ADA">
        <w:rPr>
          <w:rFonts w:ascii="Arial" w:hAnsi="Arial" w:cs="Arial"/>
          <w:bCs/>
          <w:szCs w:val="28"/>
          <w:lang w:val="en-US"/>
        </w:rPr>
        <w:t xml:space="preserve">, </w:t>
      </w:r>
      <w:r w:rsidRPr="00770ADA">
        <w:rPr>
          <w:rFonts w:ascii="Arial" w:hAnsi="Arial" w:cs="Arial"/>
          <w:bCs/>
          <w:szCs w:val="28"/>
          <w:lang w:val="en-US"/>
        </w:rPr>
        <w:t xml:space="preserve">whether service of the notice of motion </w:t>
      </w:r>
      <w:r w:rsidR="00E13C03" w:rsidRPr="00770ADA">
        <w:rPr>
          <w:rFonts w:ascii="Arial" w:hAnsi="Arial" w:cs="Arial"/>
          <w:bCs/>
          <w:szCs w:val="28"/>
          <w:lang w:val="en-US"/>
        </w:rPr>
        <w:t>in 20</w:t>
      </w:r>
      <w:r w:rsidRPr="00770ADA">
        <w:rPr>
          <w:rFonts w:ascii="Arial" w:hAnsi="Arial" w:cs="Arial"/>
          <w:bCs/>
          <w:szCs w:val="28"/>
          <w:lang w:val="en-US"/>
        </w:rPr>
        <w:t xml:space="preserve">12 constituted </w:t>
      </w:r>
      <w:r w:rsidR="00A61E6B" w:rsidRPr="00770ADA">
        <w:rPr>
          <w:rFonts w:ascii="Arial" w:hAnsi="Arial" w:cs="Arial"/>
          <w:bCs/>
          <w:szCs w:val="28"/>
          <w:lang w:val="en-US"/>
        </w:rPr>
        <w:t>'a</w:t>
      </w:r>
      <w:r w:rsidRPr="00770ADA">
        <w:rPr>
          <w:rFonts w:ascii="Arial" w:hAnsi="Arial" w:cs="Arial"/>
          <w:bCs/>
          <w:szCs w:val="28"/>
          <w:lang w:val="en-US"/>
        </w:rPr>
        <w:t xml:space="preserve"> process whereby the creditor claims payment of the debt</w:t>
      </w:r>
      <w:r w:rsidR="00A61E6B" w:rsidRPr="00770ADA">
        <w:rPr>
          <w:rFonts w:ascii="Arial" w:hAnsi="Arial" w:cs="Arial"/>
          <w:bCs/>
          <w:szCs w:val="28"/>
          <w:lang w:val="en-US"/>
        </w:rPr>
        <w:t>'</w:t>
      </w:r>
      <w:r w:rsidRPr="00770ADA">
        <w:rPr>
          <w:rFonts w:ascii="Arial" w:hAnsi="Arial" w:cs="Arial"/>
          <w:bCs/>
          <w:szCs w:val="28"/>
          <w:lang w:val="en-US"/>
        </w:rPr>
        <w:t xml:space="preserve"> within the meaning of </w:t>
      </w:r>
      <w:r w:rsidR="005E6CBA" w:rsidRPr="00770ADA">
        <w:rPr>
          <w:rFonts w:ascii="Arial" w:hAnsi="Arial" w:cs="Arial"/>
          <w:bCs/>
          <w:szCs w:val="28"/>
          <w:lang w:val="en-US"/>
        </w:rPr>
        <w:t>s </w:t>
      </w:r>
      <w:r w:rsidRPr="00770ADA">
        <w:rPr>
          <w:rFonts w:ascii="Arial" w:hAnsi="Arial" w:cs="Arial"/>
          <w:bCs/>
          <w:szCs w:val="28"/>
          <w:lang w:val="en-US"/>
        </w:rPr>
        <w:t>15(1)</w:t>
      </w:r>
      <w:r w:rsidR="00505EDC" w:rsidRPr="00770ADA">
        <w:rPr>
          <w:rFonts w:ascii="Arial" w:hAnsi="Arial" w:cs="Arial"/>
          <w:bCs/>
          <w:szCs w:val="28"/>
          <w:lang w:val="en-US"/>
        </w:rPr>
        <w:t xml:space="preserve"> of the Act</w:t>
      </w:r>
      <w:r w:rsidR="0094650A" w:rsidRPr="00770ADA">
        <w:rPr>
          <w:rFonts w:ascii="Arial" w:hAnsi="Arial" w:cs="Arial"/>
          <w:bCs/>
          <w:szCs w:val="28"/>
          <w:lang w:val="en-US"/>
        </w:rPr>
        <w:t>. Secondly,</w:t>
      </w:r>
      <w:r w:rsidR="002C3A04" w:rsidRPr="00770ADA">
        <w:rPr>
          <w:rFonts w:ascii="Arial" w:hAnsi="Arial" w:cs="Arial"/>
          <w:bCs/>
          <w:szCs w:val="28"/>
          <w:lang w:val="en-US"/>
        </w:rPr>
        <w:t xml:space="preserve"> whether the issuing of summons </w:t>
      </w:r>
      <w:r w:rsidR="00C22772" w:rsidRPr="00770ADA">
        <w:rPr>
          <w:rFonts w:ascii="Arial" w:hAnsi="Arial" w:cs="Arial"/>
          <w:bCs/>
          <w:szCs w:val="28"/>
          <w:lang w:val="en-US"/>
        </w:rPr>
        <w:t>claiming</w:t>
      </w:r>
      <w:r w:rsidR="002C3A04" w:rsidRPr="00770ADA">
        <w:rPr>
          <w:rFonts w:ascii="Arial" w:hAnsi="Arial" w:cs="Arial"/>
          <w:bCs/>
          <w:szCs w:val="28"/>
          <w:lang w:val="en-US"/>
        </w:rPr>
        <w:t xml:space="preserve"> damages under a different case number </w:t>
      </w:r>
      <w:r w:rsidR="006A6411" w:rsidRPr="00770ADA">
        <w:rPr>
          <w:rFonts w:ascii="Arial" w:hAnsi="Arial" w:cs="Arial"/>
          <w:bCs/>
          <w:szCs w:val="28"/>
          <w:lang w:val="en-US"/>
        </w:rPr>
        <w:t xml:space="preserve">amounted to </w:t>
      </w:r>
      <w:r w:rsidR="00C22772" w:rsidRPr="00770ADA">
        <w:rPr>
          <w:rFonts w:ascii="Arial" w:hAnsi="Arial" w:cs="Arial"/>
          <w:bCs/>
          <w:szCs w:val="28"/>
          <w:lang w:val="en-US"/>
        </w:rPr>
        <w:t xml:space="preserve">the </w:t>
      </w:r>
      <w:r w:rsidR="006A6411" w:rsidRPr="00770ADA">
        <w:rPr>
          <w:rFonts w:ascii="Arial" w:hAnsi="Arial" w:cs="Arial"/>
          <w:bCs/>
          <w:szCs w:val="28"/>
          <w:lang w:val="en-US"/>
        </w:rPr>
        <w:t xml:space="preserve">prosecution of </w:t>
      </w:r>
      <w:r w:rsidR="00A61E6B" w:rsidRPr="00770ADA">
        <w:rPr>
          <w:rFonts w:ascii="Arial" w:hAnsi="Arial" w:cs="Arial"/>
          <w:bCs/>
          <w:szCs w:val="28"/>
          <w:lang w:val="en-US"/>
        </w:rPr>
        <w:t>'</w:t>
      </w:r>
      <w:r w:rsidR="006A6411" w:rsidRPr="00770ADA">
        <w:rPr>
          <w:rFonts w:ascii="Arial" w:hAnsi="Arial" w:cs="Arial"/>
          <w:bCs/>
          <w:szCs w:val="28"/>
          <w:lang w:val="en-US"/>
        </w:rPr>
        <w:t>the process in question</w:t>
      </w:r>
      <w:r w:rsidR="00A61E6B" w:rsidRPr="00770ADA">
        <w:rPr>
          <w:rFonts w:ascii="Arial" w:hAnsi="Arial" w:cs="Arial"/>
          <w:bCs/>
          <w:szCs w:val="28"/>
          <w:lang w:val="en-US"/>
        </w:rPr>
        <w:t>'</w:t>
      </w:r>
      <w:r w:rsidR="006A6411" w:rsidRPr="00770ADA">
        <w:rPr>
          <w:rFonts w:ascii="Arial" w:hAnsi="Arial" w:cs="Arial"/>
          <w:bCs/>
          <w:szCs w:val="28"/>
          <w:lang w:val="en-US"/>
        </w:rPr>
        <w:t xml:space="preserve"> as contemplated by s</w:t>
      </w:r>
      <w:r w:rsidR="005A2E41" w:rsidRPr="00770ADA">
        <w:rPr>
          <w:rFonts w:ascii="Arial" w:hAnsi="Arial" w:cs="Arial"/>
          <w:bCs/>
          <w:szCs w:val="28"/>
          <w:lang w:val="en-US"/>
        </w:rPr>
        <w:t> </w:t>
      </w:r>
      <w:r w:rsidR="006A6411" w:rsidRPr="00770ADA">
        <w:rPr>
          <w:rFonts w:ascii="Arial" w:hAnsi="Arial" w:cs="Arial"/>
          <w:bCs/>
          <w:szCs w:val="28"/>
          <w:lang w:val="en-US"/>
        </w:rPr>
        <w:t>15</w:t>
      </w:r>
      <w:r w:rsidR="00C22772" w:rsidRPr="00770ADA">
        <w:rPr>
          <w:rFonts w:ascii="Arial" w:hAnsi="Arial" w:cs="Arial"/>
          <w:bCs/>
          <w:szCs w:val="28"/>
          <w:lang w:val="en-US"/>
        </w:rPr>
        <w:t xml:space="preserve"> (</w:t>
      </w:r>
      <w:r w:rsidR="006A6411" w:rsidRPr="00770ADA">
        <w:rPr>
          <w:rFonts w:ascii="Arial" w:hAnsi="Arial" w:cs="Arial"/>
          <w:bCs/>
          <w:szCs w:val="28"/>
          <w:lang w:val="en-US"/>
        </w:rPr>
        <w:t>4)</w:t>
      </w:r>
      <w:r w:rsidR="00505EDC" w:rsidRPr="00770ADA">
        <w:rPr>
          <w:rFonts w:ascii="Arial" w:hAnsi="Arial" w:cs="Arial"/>
          <w:bCs/>
          <w:szCs w:val="28"/>
          <w:lang w:val="en-US"/>
        </w:rPr>
        <w:t xml:space="preserve"> of the Act</w:t>
      </w:r>
      <w:r w:rsidR="006A6411" w:rsidRPr="00770ADA">
        <w:rPr>
          <w:rFonts w:ascii="Arial" w:hAnsi="Arial" w:cs="Arial"/>
          <w:bCs/>
          <w:szCs w:val="28"/>
          <w:lang w:val="en-US"/>
        </w:rPr>
        <w:t>.</w:t>
      </w:r>
      <w:r w:rsidR="00C22772" w:rsidRPr="00770ADA">
        <w:rPr>
          <w:rFonts w:ascii="Arial" w:hAnsi="Arial" w:cs="Arial"/>
          <w:bCs/>
          <w:szCs w:val="28"/>
          <w:lang w:val="en-US"/>
        </w:rPr>
        <w:t xml:space="preserve"> </w:t>
      </w:r>
      <w:r w:rsidRPr="00770ADA">
        <w:rPr>
          <w:rFonts w:ascii="Arial" w:hAnsi="Arial" w:cs="Arial"/>
          <w:bCs/>
          <w:szCs w:val="28"/>
          <w:lang w:val="en-US"/>
        </w:rPr>
        <w:t xml:space="preserve">It bears mentioning that </w:t>
      </w:r>
      <w:r w:rsidR="00EA326C" w:rsidRPr="00770ADA">
        <w:rPr>
          <w:rFonts w:ascii="Arial" w:hAnsi="Arial" w:cs="Arial"/>
          <w:bCs/>
          <w:szCs w:val="28"/>
          <w:lang w:val="en-US"/>
        </w:rPr>
        <w:t>s </w:t>
      </w:r>
      <w:r w:rsidRPr="00770ADA">
        <w:rPr>
          <w:rFonts w:ascii="Arial" w:hAnsi="Arial" w:cs="Arial"/>
          <w:bCs/>
          <w:szCs w:val="28"/>
          <w:lang w:val="en-US"/>
        </w:rPr>
        <w:t xml:space="preserve">15(1) does not refer to a </w:t>
      </w:r>
      <w:r w:rsidR="00794FDD" w:rsidRPr="00770ADA">
        <w:rPr>
          <w:rFonts w:ascii="Arial" w:hAnsi="Arial" w:cs="Arial"/>
          <w:bCs/>
          <w:szCs w:val="28"/>
          <w:lang w:val="en-US"/>
        </w:rPr>
        <w:t>cause</w:t>
      </w:r>
      <w:r w:rsidRPr="00770ADA">
        <w:rPr>
          <w:rFonts w:ascii="Arial" w:hAnsi="Arial" w:cs="Arial"/>
          <w:bCs/>
          <w:szCs w:val="28"/>
          <w:lang w:val="en-US"/>
        </w:rPr>
        <w:t xml:space="preserve"> of action</w:t>
      </w:r>
      <w:r w:rsidR="00505EDC" w:rsidRPr="00770ADA">
        <w:rPr>
          <w:rFonts w:ascii="Arial" w:hAnsi="Arial" w:cs="Arial"/>
          <w:bCs/>
          <w:szCs w:val="28"/>
          <w:lang w:val="en-US"/>
        </w:rPr>
        <w:t>,</w:t>
      </w:r>
      <w:r w:rsidRPr="00770ADA">
        <w:rPr>
          <w:rFonts w:ascii="Arial" w:hAnsi="Arial" w:cs="Arial"/>
          <w:bCs/>
          <w:szCs w:val="28"/>
          <w:lang w:val="en-US"/>
        </w:rPr>
        <w:t xml:space="preserve"> but </w:t>
      </w:r>
      <w:r w:rsidR="00611140" w:rsidRPr="00770ADA">
        <w:rPr>
          <w:rFonts w:ascii="Arial" w:hAnsi="Arial" w:cs="Arial"/>
          <w:bCs/>
          <w:szCs w:val="28"/>
          <w:lang w:val="en-US"/>
        </w:rPr>
        <w:t xml:space="preserve">to </w:t>
      </w:r>
      <w:r w:rsidRPr="00770ADA">
        <w:rPr>
          <w:rFonts w:ascii="Arial" w:hAnsi="Arial" w:cs="Arial"/>
          <w:bCs/>
          <w:szCs w:val="28"/>
          <w:lang w:val="en-US"/>
        </w:rPr>
        <w:t xml:space="preserve">claiming of a </w:t>
      </w:r>
      <w:r w:rsidR="00A61E6B" w:rsidRPr="00770ADA">
        <w:rPr>
          <w:rFonts w:ascii="Arial" w:hAnsi="Arial" w:cs="Arial"/>
          <w:bCs/>
          <w:szCs w:val="28"/>
          <w:lang w:val="en-US"/>
        </w:rPr>
        <w:t>'</w:t>
      </w:r>
      <w:r w:rsidRPr="00770ADA">
        <w:rPr>
          <w:rFonts w:ascii="Arial" w:hAnsi="Arial" w:cs="Arial"/>
          <w:bCs/>
          <w:szCs w:val="28"/>
          <w:lang w:val="en-US"/>
        </w:rPr>
        <w:t>debt</w:t>
      </w:r>
      <w:r w:rsidR="00A61E6B" w:rsidRPr="00770ADA">
        <w:rPr>
          <w:rFonts w:ascii="Arial" w:hAnsi="Arial" w:cs="Arial"/>
          <w:bCs/>
          <w:szCs w:val="28"/>
          <w:lang w:val="en-US"/>
        </w:rPr>
        <w:t>'</w:t>
      </w:r>
      <w:r w:rsidRPr="00770ADA">
        <w:rPr>
          <w:rFonts w:ascii="Arial" w:hAnsi="Arial" w:cs="Arial"/>
          <w:bCs/>
          <w:szCs w:val="28"/>
          <w:lang w:val="en-US"/>
        </w:rPr>
        <w:t xml:space="preserve">. Therefore, in order for prescription to be interrupted, </w:t>
      </w:r>
      <w:r w:rsidRPr="00770ADA">
        <w:rPr>
          <w:rFonts w:ascii="Arial" w:hAnsi="Arial" w:cs="Arial"/>
          <w:bCs/>
          <w:szCs w:val="28"/>
          <w:lang w:val="en-US"/>
        </w:rPr>
        <w:lastRenderedPageBreak/>
        <w:t>there must be a right enforceable against the debtor in respect of which prescription is running</w:t>
      </w:r>
      <w:r w:rsidR="00873990" w:rsidRPr="00770ADA">
        <w:rPr>
          <w:rFonts w:ascii="Arial" w:hAnsi="Arial" w:cs="Arial"/>
          <w:bCs/>
          <w:szCs w:val="28"/>
          <w:lang w:val="en-US"/>
        </w:rPr>
        <w:t>,</w:t>
      </w:r>
      <w:r w:rsidR="00B706D1" w:rsidRPr="00770ADA">
        <w:rPr>
          <w:rFonts w:ascii="Arial" w:hAnsi="Arial" w:cs="Arial"/>
          <w:bCs/>
          <w:szCs w:val="28"/>
          <w:lang w:val="en-US"/>
        </w:rPr>
        <w:t xml:space="preserve"> and the process served on the debtor instituting legal proceedings must be to enforce that right</w:t>
      </w:r>
      <w:r w:rsidR="00D17CC8" w:rsidRPr="00770ADA">
        <w:rPr>
          <w:rFonts w:ascii="Arial" w:hAnsi="Arial" w:cs="Arial"/>
          <w:bCs/>
          <w:szCs w:val="28"/>
          <w:lang w:val="en-US"/>
        </w:rPr>
        <w:t>.</w:t>
      </w:r>
      <w:r w:rsidRPr="006938E5">
        <w:rPr>
          <w:rFonts w:ascii="Arial" w:hAnsi="Arial" w:cs="Arial"/>
          <w:vertAlign w:val="superscript"/>
          <w:lang w:val="en-US"/>
        </w:rPr>
        <w:footnoteReference w:id="2"/>
      </w:r>
      <w:r w:rsidRPr="006938E5">
        <w:rPr>
          <w:rFonts w:ascii="Arial" w:hAnsi="Arial" w:cs="Arial"/>
          <w:bCs/>
          <w:szCs w:val="28"/>
          <w:lang w:val="en-US"/>
        </w:rPr>
        <w:t xml:space="preserve"> </w:t>
      </w:r>
    </w:p>
    <w:p w14:paraId="1EE63B71" w14:textId="77777777" w:rsidR="005D0EF8" w:rsidRPr="00770ADA" w:rsidRDefault="005D0EF8" w:rsidP="00770ADA">
      <w:pPr>
        <w:rPr>
          <w:rFonts w:ascii="Arial" w:hAnsi="Arial" w:cs="Arial"/>
          <w:bCs/>
          <w:szCs w:val="28"/>
          <w:lang w:val="en-US"/>
        </w:rPr>
      </w:pPr>
    </w:p>
    <w:p w14:paraId="07D0584B" w14:textId="02CA2307" w:rsidR="008539DC" w:rsidRPr="006938E5" w:rsidRDefault="0085144D" w:rsidP="006938E5">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T</w:t>
      </w:r>
      <w:r w:rsidR="0072476E" w:rsidRPr="00770ADA">
        <w:rPr>
          <w:rFonts w:ascii="Arial" w:hAnsi="Arial" w:cs="Arial"/>
          <w:bCs/>
          <w:szCs w:val="28"/>
          <w:lang w:val="en-US"/>
        </w:rPr>
        <w:t xml:space="preserve">he phrase </w:t>
      </w:r>
      <w:r w:rsidR="00A61E6B" w:rsidRPr="00770ADA">
        <w:rPr>
          <w:rFonts w:ascii="Arial" w:hAnsi="Arial" w:cs="Arial"/>
          <w:bCs/>
          <w:szCs w:val="28"/>
          <w:lang w:val="en-US"/>
        </w:rPr>
        <w:t>'</w:t>
      </w:r>
      <w:r w:rsidRPr="00770ADA">
        <w:rPr>
          <w:rFonts w:ascii="Arial" w:hAnsi="Arial" w:cs="Arial"/>
          <w:bCs/>
          <w:szCs w:val="28"/>
          <w:lang w:val="en-US"/>
        </w:rPr>
        <w:t xml:space="preserve">any </w:t>
      </w:r>
      <w:r w:rsidR="0072476E" w:rsidRPr="00770ADA">
        <w:rPr>
          <w:rFonts w:ascii="Arial" w:hAnsi="Arial" w:cs="Arial"/>
          <w:bCs/>
          <w:szCs w:val="28"/>
          <w:lang w:val="en-US"/>
        </w:rPr>
        <w:t>process</w:t>
      </w:r>
      <w:r w:rsidR="00A61E6B" w:rsidRPr="00770ADA">
        <w:rPr>
          <w:rFonts w:ascii="Arial" w:hAnsi="Arial" w:cs="Arial"/>
          <w:bCs/>
          <w:szCs w:val="28"/>
          <w:lang w:val="en-US"/>
        </w:rPr>
        <w:t>'</w:t>
      </w:r>
      <w:r w:rsidR="0072476E" w:rsidRPr="00770ADA">
        <w:rPr>
          <w:rFonts w:ascii="Arial" w:hAnsi="Arial" w:cs="Arial"/>
          <w:bCs/>
          <w:szCs w:val="28"/>
          <w:lang w:val="en-US"/>
        </w:rPr>
        <w:t xml:space="preserve"> contained in s</w:t>
      </w:r>
      <w:r w:rsidR="00231EC9" w:rsidRPr="00770ADA">
        <w:rPr>
          <w:rFonts w:ascii="Arial" w:hAnsi="Arial" w:cs="Arial"/>
          <w:bCs/>
          <w:szCs w:val="28"/>
          <w:lang w:val="en-US"/>
        </w:rPr>
        <w:t> </w:t>
      </w:r>
      <w:r w:rsidR="0072476E" w:rsidRPr="00770ADA">
        <w:rPr>
          <w:rFonts w:ascii="Arial" w:hAnsi="Arial" w:cs="Arial"/>
          <w:bCs/>
          <w:szCs w:val="28"/>
          <w:lang w:val="en-US"/>
        </w:rPr>
        <w:t xml:space="preserve">15(1) </w:t>
      </w:r>
      <w:r w:rsidRPr="00770ADA">
        <w:rPr>
          <w:rFonts w:ascii="Arial" w:hAnsi="Arial" w:cs="Arial"/>
          <w:bCs/>
          <w:szCs w:val="28"/>
          <w:lang w:val="en-US"/>
        </w:rPr>
        <w:t>is clearly that by which prescription was originally interrupted. It is that process which must be successfully prosecuted to final judgment by the creditor</w:t>
      </w:r>
      <w:r w:rsidR="00BA59AD" w:rsidRPr="00770ADA">
        <w:rPr>
          <w:rFonts w:ascii="Arial" w:hAnsi="Arial" w:cs="Arial"/>
          <w:bCs/>
          <w:szCs w:val="28"/>
          <w:lang w:val="en-US"/>
        </w:rPr>
        <w:t>.</w:t>
      </w:r>
      <w:r w:rsidRPr="006938E5">
        <w:rPr>
          <w:rFonts w:ascii="Arial" w:hAnsi="Arial" w:cs="Arial"/>
          <w:vertAlign w:val="superscript"/>
          <w:lang w:val="en-US"/>
        </w:rPr>
        <w:footnoteReference w:id="3"/>
      </w:r>
      <w:r w:rsidR="00BA59AD" w:rsidRPr="00770ADA">
        <w:rPr>
          <w:rFonts w:ascii="Arial" w:hAnsi="Arial" w:cs="Arial"/>
          <w:bCs/>
          <w:szCs w:val="28"/>
          <w:lang w:val="en-US"/>
        </w:rPr>
        <w:t xml:space="preserve"> </w:t>
      </w:r>
      <w:r w:rsidR="0072476E" w:rsidRPr="00770ADA">
        <w:rPr>
          <w:rFonts w:ascii="Arial" w:hAnsi="Arial" w:cs="Arial"/>
          <w:bCs/>
          <w:szCs w:val="28"/>
          <w:lang w:val="en-US"/>
        </w:rPr>
        <w:t xml:space="preserve">The </w:t>
      </w:r>
      <w:r w:rsidR="00A61E6B" w:rsidRPr="00770ADA">
        <w:rPr>
          <w:rFonts w:ascii="Arial" w:hAnsi="Arial" w:cs="Arial"/>
          <w:bCs/>
          <w:szCs w:val="28"/>
          <w:lang w:val="en-US"/>
        </w:rPr>
        <w:t xml:space="preserve">expression </w:t>
      </w:r>
      <w:r w:rsidR="008806A1" w:rsidRPr="00770ADA">
        <w:rPr>
          <w:rFonts w:ascii="Arial" w:hAnsi="Arial" w:cs="Arial"/>
          <w:bCs/>
          <w:szCs w:val="28"/>
          <w:lang w:val="en-US"/>
        </w:rPr>
        <w:t>‘</w:t>
      </w:r>
      <w:r w:rsidR="00C43C7E" w:rsidRPr="00770ADA">
        <w:rPr>
          <w:rFonts w:ascii="Arial" w:hAnsi="Arial" w:cs="Arial"/>
          <w:bCs/>
          <w:szCs w:val="28"/>
          <w:lang w:val="en-US"/>
        </w:rPr>
        <w:t>claims payment of the debt</w:t>
      </w:r>
      <w:r w:rsidR="00A61E6B" w:rsidRPr="00770ADA">
        <w:rPr>
          <w:rFonts w:ascii="Arial" w:hAnsi="Arial" w:cs="Arial"/>
          <w:bCs/>
          <w:szCs w:val="28"/>
          <w:lang w:val="en-US"/>
        </w:rPr>
        <w:t>'</w:t>
      </w:r>
      <w:r w:rsidR="00C81C90" w:rsidRPr="00770ADA">
        <w:rPr>
          <w:rFonts w:ascii="Arial" w:hAnsi="Arial" w:cs="Arial"/>
          <w:bCs/>
          <w:szCs w:val="28"/>
          <w:lang w:val="en-US"/>
        </w:rPr>
        <w:t xml:space="preserve"> in s</w:t>
      </w:r>
      <w:r w:rsidR="001A29CF" w:rsidRPr="00770ADA">
        <w:rPr>
          <w:rFonts w:ascii="Arial" w:hAnsi="Arial" w:cs="Arial"/>
          <w:bCs/>
          <w:szCs w:val="28"/>
          <w:lang w:val="en-US"/>
        </w:rPr>
        <w:t> </w:t>
      </w:r>
      <w:r w:rsidR="00C81C90" w:rsidRPr="00770ADA">
        <w:rPr>
          <w:rFonts w:ascii="Arial" w:hAnsi="Arial" w:cs="Arial"/>
          <w:bCs/>
          <w:szCs w:val="28"/>
          <w:lang w:val="en-US"/>
        </w:rPr>
        <w:t xml:space="preserve">15(1) was </w:t>
      </w:r>
      <w:r w:rsidR="0072476E" w:rsidRPr="00770ADA">
        <w:rPr>
          <w:rFonts w:ascii="Arial" w:hAnsi="Arial" w:cs="Arial"/>
          <w:bCs/>
          <w:szCs w:val="28"/>
          <w:lang w:val="en-US"/>
        </w:rPr>
        <w:t xml:space="preserve">considered in </w:t>
      </w:r>
      <w:r w:rsidR="008539DC" w:rsidRPr="00770ADA">
        <w:rPr>
          <w:rFonts w:ascii="Arial" w:hAnsi="Arial" w:cs="Arial"/>
          <w:bCs/>
          <w:i/>
          <w:iCs/>
          <w:szCs w:val="28"/>
          <w:lang w:val="en-US"/>
        </w:rPr>
        <w:t>Cape Town Municipality and Another v Allian</w:t>
      </w:r>
      <w:r w:rsidR="00505EDC" w:rsidRPr="00770ADA">
        <w:rPr>
          <w:rFonts w:ascii="Arial" w:hAnsi="Arial" w:cs="Arial"/>
          <w:bCs/>
          <w:i/>
          <w:iCs/>
          <w:szCs w:val="28"/>
          <w:lang w:val="en-US"/>
        </w:rPr>
        <w:t>z</w:t>
      </w:r>
      <w:r w:rsidR="008539DC" w:rsidRPr="00770ADA">
        <w:rPr>
          <w:rFonts w:ascii="Arial" w:hAnsi="Arial" w:cs="Arial"/>
          <w:bCs/>
          <w:i/>
          <w:iCs/>
          <w:szCs w:val="28"/>
          <w:lang w:val="en-US"/>
        </w:rPr>
        <w:t xml:space="preserve"> Insurance Co Ltd</w:t>
      </w:r>
      <w:r w:rsidR="00C81C90" w:rsidRPr="00770ADA">
        <w:rPr>
          <w:rStyle w:val="FootnoteReference"/>
          <w:rFonts w:ascii="Arial" w:hAnsi="Arial" w:cs="Arial"/>
          <w:bCs/>
          <w:szCs w:val="28"/>
          <w:lang w:val="en-US"/>
        </w:rPr>
        <w:footnoteReference w:id="4"/>
      </w:r>
      <w:r w:rsidR="0072476E" w:rsidRPr="00770ADA">
        <w:rPr>
          <w:rFonts w:ascii="Arial" w:hAnsi="Arial" w:cs="Arial"/>
          <w:bCs/>
          <w:szCs w:val="28"/>
          <w:lang w:val="en-US"/>
        </w:rPr>
        <w:t xml:space="preserve"> by Howie J</w:t>
      </w:r>
      <w:r w:rsidR="00873990" w:rsidRPr="00770ADA">
        <w:rPr>
          <w:rFonts w:ascii="Arial" w:hAnsi="Arial" w:cs="Arial"/>
          <w:bCs/>
          <w:szCs w:val="28"/>
          <w:lang w:val="en-US"/>
        </w:rPr>
        <w:t>,</w:t>
      </w:r>
      <w:r w:rsidR="0072476E" w:rsidRPr="00770ADA">
        <w:rPr>
          <w:rFonts w:ascii="Arial" w:hAnsi="Arial" w:cs="Arial"/>
          <w:bCs/>
          <w:szCs w:val="28"/>
          <w:lang w:val="en-US"/>
        </w:rPr>
        <w:t xml:space="preserve"> who</w:t>
      </w:r>
      <w:r w:rsidR="0059092A" w:rsidRPr="00770ADA">
        <w:rPr>
          <w:rFonts w:ascii="Arial" w:hAnsi="Arial" w:cs="Arial"/>
          <w:bCs/>
          <w:szCs w:val="28"/>
          <w:lang w:val="en-US"/>
        </w:rPr>
        <w:t>,</w:t>
      </w:r>
      <w:r w:rsidR="0072476E" w:rsidRPr="00770ADA">
        <w:rPr>
          <w:rFonts w:ascii="Arial" w:hAnsi="Arial" w:cs="Arial"/>
          <w:bCs/>
          <w:szCs w:val="28"/>
          <w:lang w:val="en-US"/>
        </w:rPr>
        <w:t xml:space="preserve"> with reference to s</w:t>
      </w:r>
      <w:r w:rsidR="00AA60B5" w:rsidRPr="00770ADA">
        <w:rPr>
          <w:rFonts w:ascii="Arial" w:hAnsi="Arial" w:cs="Arial"/>
          <w:bCs/>
          <w:szCs w:val="28"/>
          <w:lang w:val="en-US"/>
        </w:rPr>
        <w:t> </w:t>
      </w:r>
      <w:r w:rsidR="0072476E" w:rsidRPr="00770ADA">
        <w:rPr>
          <w:rFonts w:ascii="Arial" w:hAnsi="Arial" w:cs="Arial"/>
          <w:bCs/>
          <w:szCs w:val="28"/>
          <w:lang w:val="en-US"/>
        </w:rPr>
        <w:t>15(2) of the Act, stated that:</w:t>
      </w:r>
    </w:p>
    <w:p w14:paraId="74731F9E" w14:textId="1FAE7333" w:rsidR="0072476E" w:rsidRPr="00770ADA" w:rsidRDefault="00A61E6B" w:rsidP="00770ADA">
      <w:pPr>
        <w:pStyle w:val="ListParagraph"/>
        <w:ind w:left="0"/>
        <w:rPr>
          <w:rFonts w:ascii="Arial" w:hAnsi="Arial" w:cs="Arial"/>
          <w:bCs/>
          <w:sz w:val="22"/>
          <w:szCs w:val="22"/>
          <w:lang w:val="en-US"/>
        </w:rPr>
      </w:pPr>
      <w:r w:rsidRPr="00770ADA">
        <w:rPr>
          <w:rFonts w:ascii="Arial" w:hAnsi="Arial" w:cs="Arial"/>
          <w:bCs/>
          <w:sz w:val="22"/>
          <w:szCs w:val="22"/>
          <w:lang w:val="en-US"/>
        </w:rPr>
        <w:t>'</w:t>
      </w:r>
      <w:r w:rsidR="0072476E" w:rsidRPr="00770ADA">
        <w:rPr>
          <w:rFonts w:ascii="Arial" w:hAnsi="Arial" w:cs="Arial"/>
          <w:bCs/>
          <w:sz w:val="22"/>
          <w:szCs w:val="22"/>
          <w:lang w:val="en-US"/>
        </w:rPr>
        <w:t xml:space="preserve">To return to the expression </w:t>
      </w:r>
      <w:r w:rsidRPr="00770ADA">
        <w:rPr>
          <w:rFonts w:ascii="Arial" w:hAnsi="Arial" w:cs="Arial"/>
          <w:bCs/>
          <w:sz w:val="22"/>
          <w:szCs w:val="22"/>
          <w:lang w:val="en-US"/>
        </w:rPr>
        <w:t>"</w:t>
      </w:r>
      <w:r w:rsidR="0072476E" w:rsidRPr="00770ADA">
        <w:rPr>
          <w:rFonts w:ascii="Arial" w:hAnsi="Arial" w:cs="Arial"/>
          <w:bCs/>
          <w:sz w:val="22"/>
          <w:szCs w:val="22"/>
          <w:lang w:val="en-US"/>
        </w:rPr>
        <w:t>under the process in question</w:t>
      </w:r>
      <w:r w:rsidRPr="00770ADA">
        <w:rPr>
          <w:rFonts w:ascii="Arial" w:hAnsi="Arial" w:cs="Arial"/>
          <w:bCs/>
          <w:sz w:val="22"/>
          <w:szCs w:val="22"/>
          <w:lang w:val="en-US"/>
        </w:rPr>
        <w:t>"</w:t>
      </w:r>
      <w:r w:rsidR="0072476E" w:rsidRPr="00770ADA">
        <w:rPr>
          <w:rFonts w:ascii="Arial" w:hAnsi="Arial" w:cs="Arial"/>
          <w:bCs/>
          <w:sz w:val="22"/>
          <w:szCs w:val="22"/>
          <w:lang w:val="en-US"/>
        </w:rPr>
        <w:t xml:space="preserve">, clearly a final executable judgment will be obtained </w:t>
      </w:r>
      <w:r w:rsidRPr="00770ADA">
        <w:rPr>
          <w:rFonts w:ascii="Arial" w:hAnsi="Arial" w:cs="Arial"/>
          <w:bCs/>
          <w:sz w:val="22"/>
          <w:szCs w:val="22"/>
          <w:lang w:val="en-US"/>
        </w:rPr>
        <w:t>"</w:t>
      </w:r>
      <w:r w:rsidR="0072476E" w:rsidRPr="00770ADA">
        <w:rPr>
          <w:rFonts w:ascii="Arial" w:hAnsi="Arial" w:cs="Arial"/>
          <w:bCs/>
          <w:sz w:val="22"/>
          <w:szCs w:val="22"/>
          <w:lang w:val="en-US"/>
        </w:rPr>
        <w:t>under</w:t>
      </w:r>
      <w:r w:rsidRPr="00770ADA">
        <w:rPr>
          <w:rFonts w:ascii="Arial" w:hAnsi="Arial" w:cs="Arial"/>
          <w:bCs/>
          <w:sz w:val="22"/>
          <w:szCs w:val="22"/>
          <w:lang w:val="en-US"/>
        </w:rPr>
        <w:t>"</w:t>
      </w:r>
      <w:r w:rsidR="0072476E" w:rsidRPr="00770ADA">
        <w:rPr>
          <w:rFonts w:ascii="Arial" w:hAnsi="Arial" w:cs="Arial"/>
          <w:bCs/>
          <w:sz w:val="22"/>
          <w:szCs w:val="22"/>
          <w:lang w:val="en-US"/>
        </w:rPr>
        <w:t xml:space="preserve"> a process where process and judgment constitute the beginning and </w:t>
      </w:r>
      <w:r w:rsidR="00505EDC" w:rsidRPr="00770ADA">
        <w:rPr>
          <w:rFonts w:ascii="Arial" w:hAnsi="Arial" w:cs="Arial"/>
          <w:bCs/>
          <w:sz w:val="22"/>
          <w:szCs w:val="22"/>
          <w:lang w:val="en-US"/>
        </w:rPr>
        <w:t xml:space="preserve">the </w:t>
      </w:r>
      <w:r w:rsidR="0072476E" w:rsidRPr="00770ADA">
        <w:rPr>
          <w:rFonts w:ascii="Arial" w:hAnsi="Arial" w:cs="Arial"/>
          <w:bCs/>
          <w:sz w:val="22"/>
          <w:szCs w:val="22"/>
          <w:lang w:val="en-US"/>
        </w:rPr>
        <w:t>end of one and the same action.</w:t>
      </w:r>
      <w:r w:rsidRPr="00770ADA">
        <w:rPr>
          <w:rFonts w:ascii="Arial" w:hAnsi="Arial" w:cs="Arial"/>
          <w:bCs/>
          <w:sz w:val="22"/>
          <w:szCs w:val="22"/>
          <w:lang w:val="en-US"/>
        </w:rPr>
        <w:t>'</w:t>
      </w:r>
      <w:r w:rsidR="0072476E" w:rsidRPr="006938E5">
        <w:rPr>
          <w:rFonts w:ascii="Arial" w:hAnsi="Arial" w:cs="Arial"/>
          <w:sz w:val="22"/>
          <w:szCs w:val="22"/>
          <w:vertAlign w:val="superscript"/>
          <w:lang w:val="en-US"/>
        </w:rPr>
        <w:footnoteReference w:id="5"/>
      </w:r>
      <w:r w:rsidR="0072476E" w:rsidRPr="00770ADA">
        <w:rPr>
          <w:rFonts w:ascii="Arial" w:hAnsi="Arial" w:cs="Arial"/>
          <w:bCs/>
          <w:sz w:val="22"/>
          <w:szCs w:val="22"/>
          <w:lang w:val="en-US"/>
        </w:rPr>
        <w:t xml:space="preserve"> </w:t>
      </w:r>
    </w:p>
    <w:p w14:paraId="7F90F8EA" w14:textId="77777777" w:rsidR="0072476E" w:rsidRPr="00770ADA" w:rsidRDefault="0072476E" w:rsidP="00770ADA">
      <w:pPr>
        <w:rPr>
          <w:rFonts w:ascii="Arial" w:hAnsi="Arial" w:cs="Arial"/>
          <w:bCs/>
          <w:szCs w:val="28"/>
          <w:lang w:val="en-US"/>
        </w:rPr>
      </w:pPr>
    </w:p>
    <w:p w14:paraId="29B28FA5" w14:textId="7162AF60" w:rsidR="00FA4B46" w:rsidRPr="00770ADA" w:rsidRDefault="00716CBF"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There were t</w:t>
      </w:r>
      <w:r w:rsidR="00C22772" w:rsidRPr="00770ADA">
        <w:rPr>
          <w:rFonts w:ascii="Arial" w:hAnsi="Arial" w:cs="Arial"/>
          <w:bCs/>
          <w:szCs w:val="28"/>
          <w:lang w:val="en-US"/>
        </w:rPr>
        <w:t>wo different case numbers</w:t>
      </w:r>
      <w:r w:rsidR="00933D3D" w:rsidRPr="00770ADA">
        <w:rPr>
          <w:rFonts w:ascii="Arial" w:hAnsi="Arial" w:cs="Arial"/>
          <w:bCs/>
          <w:szCs w:val="28"/>
          <w:lang w:val="en-US"/>
        </w:rPr>
        <w:t xml:space="preserve"> </w:t>
      </w:r>
      <w:r w:rsidRPr="00770ADA">
        <w:rPr>
          <w:rFonts w:ascii="Arial" w:hAnsi="Arial" w:cs="Arial"/>
          <w:bCs/>
          <w:szCs w:val="28"/>
          <w:lang w:val="en-US"/>
        </w:rPr>
        <w:t xml:space="preserve">which </w:t>
      </w:r>
      <w:r w:rsidR="00933D3D" w:rsidRPr="00770ADA">
        <w:rPr>
          <w:rFonts w:ascii="Arial" w:hAnsi="Arial" w:cs="Arial"/>
          <w:bCs/>
          <w:szCs w:val="28"/>
          <w:lang w:val="en-US"/>
        </w:rPr>
        <w:t>sought to</w:t>
      </w:r>
      <w:r w:rsidR="00C22772" w:rsidRPr="00770ADA">
        <w:rPr>
          <w:rFonts w:ascii="Arial" w:hAnsi="Arial" w:cs="Arial"/>
          <w:bCs/>
          <w:szCs w:val="28"/>
          <w:lang w:val="en-US"/>
        </w:rPr>
        <w:t xml:space="preserve"> </w:t>
      </w:r>
      <w:r w:rsidR="00933D3D" w:rsidRPr="00770ADA">
        <w:rPr>
          <w:rFonts w:ascii="Arial" w:hAnsi="Arial" w:cs="Arial"/>
          <w:bCs/>
          <w:szCs w:val="28"/>
          <w:lang w:val="en-US"/>
        </w:rPr>
        <w:t xml:space="preserve">enforce the debt </w:t>
      </w:r>
      <w:r w:rsidR="00FA4B46" w:rsidRPr="00770ADA">
        <w:rPr>
          <w:rFonts w:ascii="Arial" w:hAnsi="Arial" w:cs="Arial"/>
          <w:bCs/>
          <w:szCs w:val="28"/>
          <w:lang w:val="en-US"/>
        </w:rPr>
        <w:t>in the current instance. One</w:t>
      </w:r>
      <w:r w:rsidR="00933D3D" w:rsidRPr="00770ADA">
        <w:rPr>
          <w:rFonts w:ascii="Arial" w:hAnsi="Arial" w:cs="Arial"/>
          <w:bCs/>
          <w:szCs w:val="28"/>
          <w:lang w:val="en-US"/>
        </w:rPr>
        <w:t xml:space="preserve"> was the application</w:t>
      </w:r>
      <w:r w:rsidR="00FA4B46" w:rsidRPr="00770ADA">
        <w:rPr>
          <w:rFonts w:ascii="Arial" w:hAnsi="Arial" w:cs="Arial"/>
          <w:bCs/>
          <w:szCs w:val="28"/>
          <w:lang w:val="en-US"/>
        </w:rPr>
        <w:t xml:space="preserve"> seeking a declaratory order in 2012</w:t>
      </w:r>
      <w:r w:rsidR="00933D3D" w:rsidRPr="00770ADA">
        <w:rPr>
          <w:rFonts w:ascii="Arial" w:hAnsi="Arial" w:cs="Arial"/>
          <w:bCs/>
          <w:szCs w:val="28"/>
          <w:lang w:val="en-US"/>
        </w:rPr>
        <w:t xml:space="preserve"> and enforcement of the contract as a result with an alternative claim for damages. </w:t>
      </w:r>
      <w:r w:rsidR="00FA4B46" w:rsidRPr="00770ADA">
        <w:rPr>
          <w:rFonts w:ascii="Arial" w:hAnsi="Arial" w:cs="Arial"/>
          <w:bCs/>
          <w:szCs w:val="28"/>
          <w:lang w:val="en-US"/>
        </w:rPr>
        <w:t xml:space="preserve">The other </w:t>
      </w:r>
      <w:r w:rsidR="00933D3D" w:rsidRPr="00770ADA">
        <w:rPr>
          <w:rFonts w:ascii="Arial" w:hAnsi="Arial" w:cs="Arial"/>
          <w:bCs/>
          <w:szCs w:val="28"/>
          <w:lang w:val="en-US"/>
        </w:rPr>
        <w:t>was the issue of summons</w:t>
      </w:r>
      <w:r w:rsidR="00C22772" w:rsidRPr="00770ADA">
        <w:rPr>
          <w:rFonts w:ascii="Arial" w:hAnsi="Arial" w:cs="Arial"/>
          <w:bCs/>
          <w:szCs w:val="28"/>
          <w:lang w:val="en-US"/>
        </w:rPr>
        <w:t xml:space="preserve"> </w:t>
      </w:r>
      <w:r w:rsidR="00FA4B46" w:rsidRPr="00770ADA">
        <w:rPr>
          <w:rFonts w:ascii="Arial" w:hAnsi="Arial" w:cs="Arial"/>
          <w:bCs/>
          <w:szCs w:val="28"/>
          <w:lang w:val="en-US"/>
        </w:rPr>
        <w:t>in 2016</w:t>
      </w:r>
      <w:r w:rsidR="00FF376D" w:rsidRPr="00770ADA">
        <w:rPr>
          <w:rFonts w:ascii="Arial" w:hAnsi="Arial" w:cs="Arial"/>
          <w:bCs/>
          <w:szCs w:val="28"/>
          <w:lang w:val="en-US"/>
        </w:rPr>
        <w:t>,</w:t>
      </w:r>
      <w:r w:rsidR="00FA4B46" w:rsidRPr="00770ADA">
        <w:rPr>
          <w:rFonts w:ascii="Arial" w:hAnsi="Arial" w:cs="Arial"/>
          <w:bCs/>
          <w:szCs w:val="28"/>
          <w:lang w:val="en-US"/>
        </w:rPr>
        <w:t xml:space="preserve"> in which the respondent sought to quantify his damages consequent to the</w:t>
      </w:r>
      <w:r w:rsidR="00933D3D" w:rsidRPr="00770ADA">
        <w:rPr>
          <w:rFonts w:ascii="Arial" w:hAnsi="Arial" w:cs="Arial"/>
          <w:bCs/>
          <w:szCs w:val="28"/>
          <w:lang w:val="en-US"/>
        </w:rPr>
        <w:t xml:space="preserve"> alternative part of the</w:t>
      </w:r>
      <w:r w:rsidR="00FA4B46" w:rsidRPr="00770ADA">
        <w:rPr>
          <w:rFonts w:ascii="Arial" w:hAnsi="Arial" w:cs="Arial"/>
          <w:bCs/>
          <w:szCs w:val="28"/>
          <w:lang w:val="en-US"/>
        </w:rPr>
        <w:t xml:space="preserve"> said order</w:t>
      </w:r>
      <w:r w:rsidR="00505EDC" w:rsidRPr="00770ADA">
        <w:rPr>
          <w:rFonts w:ascii="Arial" w:hAnsi="Arial" w:cs="Arial"/>
          <w:bCs/>
          <w:szCs w:val="28"/>
          <w:lang w:val="en-US"/>
        </w:rPr>
        <w:t>,</w:t>
      </w:r>
      <w:r w:rsidR="004F2C29" w:rsidRPr="00770ADA">
        <w:rPr>
          <w:rFonts w:ascii="Arial" w:hAnsi="Arial" w:cs="Arial"/>
          <w:bCs/>
          <w:szCs w:val="28"/>
          <w:lang w:val="en-US"/>
        </w:rPr>
        <w:t xml:space="preserve"> since it had not been complied with. </w:t>
      </w:r>
      <w:r w:rsidR="00FA4B46" w:rsidRPr="00770ADA">
        <w:rPr>
          <w:rFonts w:ascii="Arial" w:hAnsi="Arial" w:cs="Arial"/>
          <w:bCs/>
          <w:szCs w:val="28"/>
          <w:lang w:val="en-US"/>
        </w:rPr>
        <w:t>It bears mentioning that</w:t>
      </w:r>
      <w:r w:rsidR="00505EDC" w:rsidRPr="00770ADA">
        <w:rPr>
          <w:rFonts w:ascii="Arial" w:hAnsi="Arial" w:cs="Arial"/>
          <w:bCs/>
          <w:szCs w:val="28"/>
          <w:lang w:val="en-US"/>
        </w:rPr>
        <w:t>,</w:t>
      </w:r>
      <w:r w:rsidR="00FA4B46" w:rsidRPr="00770ADA">
        <w:rPr>
          <w:rFonts w:ascii="Arial" w:hAnsi="Arial" w:cs="Arial"/>
          <w:bCs/>
          <w:szCs w:val="28"/>
          <w:lang w:val="en-US"/>
        </w:rPr>
        <w:t xml:space="preserve"> ordinarily, damages claim</w:t>
      </w:r>
      <w:r w:rsidRPr="00770ADA">
        <w:rPr>
          <w:rFonts w:ascii="Arial" w:hAnsi="Arial" w:cs="Arial"/>
          <w:bCs/>
          <w:szCs w:val="28"/>
          <w:lang w:val="en-US"/>
        </w:rPr>
        <w:t>s</w:t>
      </w:r>
      <w:r w:rsidR="00FA4B46" w:rsidRPr="00770ADA">
        <w:rPr>
          <w:rFonts w:ascii="Arial" w:hAnsi="Arial" w:cs="Arial"/>
          <w:bCs/>
          <w:szCs w:val="28"/>
          <w:lang w:val="en-US"/>
        </w:rPr>
        <w:t xml:space="preserve"> </w:t>
      </w:r>
      <w:r w:rsidR="008539DC" w:rsidRPr="00770ADA">
        <w:rPr>
          <w:rFonts w:ascii="Arial" w:hAnsi="Arial" w:cs="Arial"/>
          <w:bCs/>
          <w:szCs w:val="28"/>
          <w:lang w:val="en-US"/>
        </w:rPr>
        <w:t>are</w:t>
      </w:r>
      <w:r w:rsidR="00FA4B46" w:rsidRPr="00770ADA">
        <w:rPr>
          <w:rFonts w:ascii="Arial" w:hAnsi="Arial" w:cs="Arial"/>
          <w:bCs/>
          <w:szCs w:val="28"/>
          <w:lang w:val="en-US"/>
        </w:rPr>
        <w:t xml:space="preserve"> pursued by way of summons. In contrast, a declaratory order is ordinarily pursued by way of notice of motion. This raises the question of whether the</w:t>
      </w:r>
      <w:r w:rsidR="004F2C29" w:rsidRPr="00770ADA">
        <w:rPr>
          <w:rFonts w:ascii="Arial" w:hAnsi="Arial" w:cs="Arial"/>
          <w:bCs/>
          <w:szCs w:val="28"/>
          <w:lang w:val="en-US"/>
        </w:rPr>
        <w:t>se</w:t>
      </w:r>
      <w:r w:rsidR="00FA4B46" w:rsidRPr="00770ADA">
        <w:rPr>
          <w:rFonts w:ascii="Arial" w:hAnsi="Arial" w:cs="Arial"/>
          <w:bCs/>
          <w:szCs w:val="28"/>
          <w:lang w:val="en-US"/>
        </w:rPr>
        <w:t xml:space="preserve"> two </w:t>
      </w:r>
      <w:r w:rsidR="004F2C29" w:rsidRPr="00770ADA">
        <w:rPr>
          <w:rFonts w:ascii="Arial" w:hAnsi="Arial" w:cs="Arial"/>
          <w:bCs/>
          <w:szCs w:val="28"/>
          <w:lang w:val="en-US"/>
        </w:rPr>
        <w:t>steps were steps in the enforcement of the same debt</w:t>
      </w:r>
      <w:r w:rsidR="00505EDC" w:rsidRPr="00770ADA">
        <w:rPr>
          <w:rFonts w:ascii="Arial" w:hAnsi="Arial" w:cs="Arial"/>
          <w:bCs/>
          <w:szCs w:val="28"/>
          <w:lang w:val="en-US"/>
        </w:rPr>
        <w:t>,</w:t>
      </w:r>
      <w:r w:rsidR="004F2C29" w:rsidRPr="00770ADA">
        <w:rPr>
          <w:rFonts w:ascii="Arial" w:hAnsi="Arial" w:cs="Arial"/>
          <w:bCs/>
          <w:szCs w:val="28"/>
          <w:lang w:val="en-US"/>
        </w:rPr>
        <w:t xml:space="preserve"> or</w:t>
      </w:r>
      <w:r w:rsidR="00C22772" w:rsidRPr="00770ADA">
        <w:rPr>
          <w:rFonts w:ascii="Arial" w:hAnsi="Arial" w:cs="Arial"/>
          <w:bCs/>
          <w:szCs w:val="28"/>
          <w:lang w:val="en-US"/>
        </w:rPr>
        <w:t xml:space="preserve"> </w:t>
      </w:r>
      <w:r w:rsidR="00FA4B46" w:rsidRPr="00770ADA">
        <w:rPr>
          <w:rFonts w:ascii="Arial" w:hAnsi="Arial" w:cs="Arial"/>
          <w:bCs/>
          <w:szCs w:val="28"/>
          <w:lang w:val="en-US"/>
        </w:rPr>
        <w:t xml:space="preserve">conflict with the </w:t>
      </w:r>
      <w:r w:rsidR="00505EDC" w:rsidRPr="00770ADA">
        <w:rPr>
          <w:rFonts w:ascii="Arial" w:hAnsi="Arial" w:cs="Arial"/>
          <w:bCs/>
          <w:szCs w:val="28"/>
          <w:lang w:val="en-US"/>
        </w:rPr>
        <w:t>‘</w:t>
      </w:r>
      <w:r w:rsidR="00FA4B46" w:rsidRPr="00770ADA">
        <w:rPr>
          <w:rFonts w:ascii="Arial" w:hAnsi="Arial" w:cs="Arial"/>
          <w:bCs/>
          <w:szCs w:val="28"/>
          <w:lang w:val="en-US"/>
        </w:rPr>
        <w:t>once and for all rule</w:t>
      </w:r>
      <w:r w:rsidR="00505EDC" w:rsidRPr="00770ADA">
        <w:rPr>
          <w:rFonts w:ascii="Arial" w:hAnsi="Arial" w:cs="Arial"/>
          <w:bCs/>
          <w:szCs w:val="28"/>
          <w:lang w:val="en-US"/>
        </w:rPr>
        <w:t>’</w:t>
      </w:r>
      <w:r w:rsidR="005959FE" w:rsidRPr="00770ADA">
        <w:rPr>
          <w:rFonts w:ascii="Arial" w:hAnsi="Arial" w:cs="Arial"/>
          <w:bCs/>
          <w:szCs w:val="28"/>
          <w:lang w:val="en-US"/>
        </w:rPr>
        <w:t>.</w:t>
      </w:r>
    </w:p>
    <w:p w14:paraId="4A5AE799" w14:textId="43CBC991" w:rsidR="00AE3AB3" w:rsidRPr="00770ADA" w:rsidRDefault="00AE3AB3" w:rsidP="00770ADA">
      <w:pPr>
        <w:rPr>
          <w:rFonts w:ascii="Arial" w:hAnsi="Arial" w:cs="Arial"/>
          <w:bCs/>
          <w:szCs w:val="28"/>
          <w:lang w:val="en-US"/>
        </w:rPr>
      </w:pPr>
    </w:p>
    <w:p w14:paraId="15F641E4" w14:textId="772CA878" w:rsidR="00EB7F28" w:rsidRPr="00770ADA" w:rsidRDefault="00613ED5"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lastRenderedPageBreak/>
        <w:t>There is guidance</w:t>
      </w:r>
      <w:r w:rsidR="00716CBF" w:rsidRPr="00770ADA">
        <w:rPr>
          <w:rFonts w:ascii="Arial" w:hAnsi="Arial" w:cs="Arial"/>
          <w:bCs/>
          <w:szCs w:val="28"/>
          <w:lang w:val="en-US"/>
        </w:rPr>
        <w:t xml:space="preserve"> </w:t>
      </w:r>
      <w:r w:rsidR="00CD150F" w:rsidRPr="00770ADA">
        <w:rPr>
          <w:rFonts w:ascii="Arial" w:hAnsi="Arial" w:cs="Arial"/>
          <w:bCs/>
          <w:szCs w:val="28"/>
          <w:lang w:val="en-US"/>
        </w:rPr>
        <w:t xml:space="preserve">in </w:t>
      </w:r>
      <w:r w:rsidR="00A8059A" w:rsidRPr="00770ADA">
        <w:rPr>
          <w:rFonts w:ascii="Arial" w:hAnsi="Arial" w:cs="Arial"/>
          <w:bCs/>
          <w:i/>
          <w:szCs w:val="28"/>
          <w:lang w:val="en-US"/>
        </w:rPr>
        <w:t>Allianz</w:t>
      </w:r>
      <w:r w:rsidR="00505EDC" w:rsidRPr="00770ADA">
        <w:rPr>
          <w:rFonts w:ascii="Arial" w:hAnsi="Arial" w:cs="Arial"/>
          <w:bCs/>
          <w:i/>
          <w:szCs w:val="28"/>
          <w:lang w:val="en-US"/>
        </w:rPr>
        <w:t xml:space="preserve"> Insurance</w:t>
      </w:r>
      <w:r w:rsidR="00312B88" w:rsidRPr="006938E5">
        <w:rPr>
          <w:rFonts w:ascii="Arial" w:hAnsi="Arial" w:cs="Arial"/>
          <w:bCs/>
          <w:szCs w:val="28"/>
          <w:lang w:val="en-US"/>
        </w:rPr>
        <w:t>,</w:t>
      </w:r>
      <w:r w:rsidR="00CD150F" w:rsidRPr="00770ADA">
        <w:rPr>
          <w:rStyle w:val="FootnoteReference"/>
          <w:rFonts w:ascii="Arial" w:hAnsi="Arial" w:cs="Arial"/>
          <w:bCs/>
          <w:szCs w:val="28"/>
          <w:lang w:val="en-US"/>
        </w:rPr>
        <w:footnoteReference w:id="6"/>
      </w:r>
      <w:r w:rsidR="00CD150F" w:rsidRPr="00770ADA">
        <w:rPr>
          <w:rFonts w:ascii="Arial" w:hAnsi="Arial" w:cs="Arial"/>
          <w:bCs/>
          <w:szCs w:val="28"/>
          <w:lang w:val="en-US"/>
        </w:rPr>
        <w:t xml:space="preserve"> where Howie J was called upon to decide whether </w:t>
      </w:r>
      <w:r w:rsidR="00FF376D" w:rsidRPr="00770ADA">
        <w:rPr>
          <w:rFonts w:ascii="Arial" w:hAnsi="Arial" w:cs="Arial"/>
          <w:bCs/>
          <w:szCs w:val="28"/>
          <w:lang w:val="en-US"/>
        </w:rPr>
        <w:t xml:space="preserve">the </w:t>
      </w:r>
      <w:r w:rsidR="00CD150F" w:rsidRPr="00770ADA">
        <w:rPr>
          <w:rFonts w:ascii="Arial" w:hAnsi="Arial" w:cs="Arial"/>
          <w:bCs/>
          <w:szCs w:val="28"/>
          <w:lang w:val="en-US"/>
        </w:rPr>
        <w:t>service of a process</w:t>
      </w:r>
      <w:r w:rsidR="00505EDC" w:rsidRPr="00770ADA">
        <w:rPr>
          <w:rFonts w:ascii="Arial" w:hAnsi="Arial" w:cs="Arial"/>
          <w:bCs/>
          <w:szCs w:val="28"/>
          <w:lang w:val="en-US"/>
        </w:rPr>
        <w:t>,</w:t>
      </w:r>
      <w:r w:rsidR="00CD150F" w:rsidRPr="00770ADA">
        <w:rPr>
          <w:rFonts w:ascii="Arial" w:hAnsi="Arial" w:cs="Arial"/>
          <w:bCs/>
          <w:szCs w:val="28"/>
          <w:lang w:val="en-US"/>
        </w:rPr>
        <w:t xml:space="preserve"> whereby the plaintiffs claimed a declaratory order that the defendant was liable to indemnify them</w:t>
      </w:r>
      <w:r w:rsidR="00505EDC" w:rsidRPr="00770ADA">
        <w:rPr>
          <w:rFonts w:ascii="Arial" w:hAnsi="Arial" w:cs="Arial"/>
          <w:bCs/>
          <w:szCs w:val="28"/>
          <w:lang w:val="en-US"/>
        </w:rPr>
        <w:t>,</w:t>
      </w:r>
      <w:r w:rsidR="00CD150F" w:rsidRPr="00770ADA">
        <w:rPr>
          <w:rFonts w:ascii="Arial" w:hAnsi="Arial" w:cs="Arial"/>
          <w:bCs/>
          <w:szCs w:val="28"/>
          <w:lang w:val="en-US"/>
        </w:rPr>
        <w:t xml:space="preserve"> interrupted the running of prescription. The defendant argued that the proceedings for a declaratory order would fall foul of the once and for all rule</w:t>
      </w:r>
      <w:r w:rsidR="0055281B" w:rsidRPr="00770ADA">
        <w:rPr>
          <w:rFonts w:ascii="Arial" w:hAnsi="Arial" w:cs="Arial"/>
          <w:bCs/>
          <w:szCs w:val="28"/>
          <w:lang w:val="en-US"/>
        </w:rPr>
        <w:t>,</w:t>
      </w:r>
      <w:r w:rsidR="00CD150F" w:rsidRPr="00770ADA">
        <w:rPr>
          <w:rFonts w:ascii="Arial" w:hAnsi="Arial" w:cs="Arial"/>
          <w:bCs/>
          <w:szCs w:val="28"/>
          <w:lang w:val="en-US"/>
        </w:rPr>
        <w:t xml:space="preserve"> as it would mean that </w:t>
      </w:r>
      <w:r w:rsidR="00EB7F28" w:rsidRPr="00770ADA">
        <w:rPr>
          <w:rFonts w:ascii="Arial" w:hAnsi="Arial" w:cs="Arial"/>
          <w:bCs/>
          <w:szCs w:val="28"/>
          <w:lang w:val="en-US"/>
        </w:rPr>
        <w:t xml:space="preserve">if the defendant failed to make payment of the </w:t>
      </w:r>
      <w:r w:rsidR="00A61E6B" w:rsidRPr="00770ADA">
        <w:rPr>
          <w:rFonts w:ascii="Arial" w:hAnsi="Arial" w:cs="Arial"/>
          <w:bCs/>
          <w:szCs w:val="28"/>
          <w:lang w:val="en-US"/>
        </w:rPr>
        <w:t>plaintiff's</w:t>
      </w:r>
      <w:r w:rsidR="00EB7F28" w:rsidRPr="00770ADA">
        <w:rPr>
          <w:rFonts w:ascii="Arial" w:hAnsi="Arial" w:cs="Arial"/>
          <w:bCs/>
          <w:szCs w:val="28"/>
          <w:lang w:val="en-US"/>
        </w:rPr>
        <w:t xml:space="preserve"> claim </w:t>
      </w:r>
      <w:r w:rsidR="00787C84" w:rsidRPr="00770ADA">
        <w:rPr>
          <w:rFonts w:ascii="Arial" w:hAnsi="Arial" w:cs="Arial"/>
          <w:bCs/>
          <w:szCs w:val="28"/>
          <w:lang w:val="en-US"/>
        </w:rPr>
        <w:t>after</w:t>
      </w:r>
      <w:r w:rsidR="00EB7F28" w:rsidRPr="00770ADA">
        <w:rPr>
          <w:rFonts w:ascii="Arial" w:hAnsi="Arial" w:cs="Arial"/>
          <w:bCs/>
          <w:szCs w:val="28"/>
          <w:lang w:val="en-US"/>
        </w:rPr>
        <w:t xml:space="preserve"> the grant of such a declaratory order</w:t>
      </w:r>
      <w:r w:rsidR="00787C84" w:rsidRPr="00770ADA">
        <w:rPr>
          <w:rFonts w:ascii="Arial" w:hAnsi="Arial" w:cs="Arial"/>
          <w:bCs/>
          <w:szCs w:val="28"/>
          <w:lang w:val="en-US"/>
        </w:rPr>
        <w:t>,</w:t>
      </w:r>
      <w:r w:rsidR="00EB7F28" w:rsidRPr="00770ADA">
        <w:rPr>
          <w:rFonts w:ascii="Arial" w:hAnsi="Arial" w:cs="Arial"/>
          <w:bCs/>
          <w:szCs w:val="28"/>
          <w:lang w:val="en-US"/>
        </w:rPr>
        <w:t xml:space="preserve"> the plaintiff would have to institute a fresh action for payment of the money</w:t>
      </w:r>
      <w:r w:rsidR="0055281B" w:rsidRPr="00770ADA">
        <w:rPr>
          <w:rFonts w:ascii="Arial" w:hAnsi="Arial" w:cs="Arial"/>
          <w:bCs/>
          <w:szCs w:val="28"/>
          <w:lang w:val="en-US"/>
        </w:rPr>
        <w:t>,</w:t>
      </w:r>
      <w:r w:rsidR="00EB7F28" w:rsidRPr="00770ADA">
        <w:rPr>
          <w:rFonts w:ascii="Arial" w:hAnsi="Arial" w:cs="Arial"/>
          <w:bCs/>
          <w:szCs w:val="28"/>
          <w:lang w:val="en-US"/>
        </w:rPr>
        <w:t xml:space="preserve"> in which action the quantum of the damages claim might well be in issue.</w:t>
      </w:r>
    </w:p>
    <w:p w14:paraId="5C69207E" w14:textId="77777777" w:rsidR="00E405CB" w:rsidRPr="00770ADA" w:rsidRDefault="00E405CB" w:rsidP="00770ADA">
      <w:pPr>
        <w:rPr>
          <w:rFonts w:ascii="Arial" w:hAnsi="Arial" w:cs="Arial"/>
          <w:bCs/>
          <w:szCs w:val="28"/>
          <w:lang w:val="en-US"/>
        </w:rPr>
      </w:pPr>
    </w:p>
    <w:p w14:paraId="3D6A15F4" w14:textId="5E170D3A" w:rsidR="00CC68BA" w:rsidRPr="006938E5" w:rsidRDefault="00FA0CCA" w:rsidP="006938E5">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While acknowledging the undesirability of piecemeal litigation</w:t>
      </w:r>
      <w:r w:rsidR="00787C84" w:rsidRPr="00770ADA">
        <w:rPr>
          <w:rFonts w:ascii="Arial" w:hAnsi="Arial" w:cs="Arial"/>
          <w:bCs/>
          <w:szCs w:val="28"/>
          <w:lang w:val="en-US"/>
        </w:rPr>
        <w:t>,</w:t>
      </w:r>
      <w:r w:rsidRPr="00770ADA">
        <w:rPr>
          <w:rFonts w:ascii="Arial" w:hAnsi="Arial" w:cs="Arial"/>
          <w:bCs/>
          <w:szCs w:val="28"/>
          <w:lang w:val="en-US"/>
        </w:rPr>
        <w:t xml:space="preserve"> </w:t>
      </w:r>
      <w:r w:rsidR="00975D97" w:rsidRPr="00770ADA">
        <w:rPr>
          <w:rFonts w:ascii="Arial" w:hAnsi="Arial" w:cs="Arial"/>
          <w:bCs/>
          <w:szCs w:val="28"/>
          <w:lang w:val="en-US"/>
        </w:rPr>
        <w:t>Howie J</w:t>
      </w:r>
      <w:r w:rsidRPr="00770ADA">
        <w:rPr>
          <w:rFonts w:ascii="Arial" w:hAnsi="Arial" w:cs="Arial"/>
          <w:bCs/>
          <w:szCs w:val="28"/>
          <w:lang w:val="en-US"/>
        </w:rPr>
        <w:t xml:space="preserve"> </w:t>
      </w:r>
      <w:r w:rsidR="00E405CB" w:rsidRPr="00770ADA">
        <w:rPr>
          <w:rFonts w:ascii="Arial" w:hAnsi="Arial" w:cs="Arial"/>
          <w:bCs/>
          <w:szCs w:val="28"/>
          <w:lang w:val="en-US"/>
        </w:rPr>
        <w:t xml:space="preserve">stated that the </w:t>
      </w:r>
      <w:r w:rsidR="00A61E6B" w:rsidRPr="00770ADA">
        <w:rPr>
          <w:rFonts w:ascii="Arial" w:hAnsi="Arial" w:cs="Arial"/>
          <w:bCs/>
          <w:szCs w:val="28"/>
          <w:lang w:val="en-US"/>
        </w:rPr>
        <w:t xml:space="preserve">words </w:t>
      </w:r>
      <w:r w:rsidR="0055281B" w:rsidRPr="00770ADA">
        <w:rPr>
          <w:rFonts w:ascii="Arial" w:hAnsi="Arial" w:cs="Arial"/>
          <w:bCs/>
          <w:szCs w:val="28"/>
          <w:lang w:val="en-US"/>
        </w:rPr>
        <w:t>‘</w:t>
      </w:r>
      <w:r w:rsidR="00E405CB" w:rsidRPr="00770ADA">
        <w:rPr>
          <w:rFonts w:ascii="Arial" w:hAnsi="Arial" w:cs="Arial"/>
          <w:bCs/>
          <w:szCs w:val="28"/>
          <w:lang w:val="en-US"/>
        </w:rPr>
        <w:t>debt</w:t>
      </w:r>
      <w:r w:rsidR="0055281B" w:rsidRPr="00770ADA">
        <w:rPr>
          <w:rFonts w:ascii="Arial" w:hAnsi="Arial" w:cs="Arial"/>
          <w:bCs/>
          <w:szCs w:val="28"/>
          <w:lang w:val="en-US"/>
        </w:rPr>
        <w:t>’</w:t>
      </w:r>
      <w:r w:rsidR="00E405CB" w:rsidRPr="00770ADA">
        <w:rPr>
          <w:rFonts w:ascii="Arial" w:hAnsi="Arial" w:cs="Arial"/>
          <w:bCs/>
          <w:szCs w:val="28"/>
          <w:lang w:val="en-US"/>
        </w:rPr>
        <w:t xml:space="preserve"> and </w:t>
      </w:r>
      <w:r w:rsidR="00A61E6B" w:rsidRPr="00770ADA">
        <w:rPr>
          <w:rFonts w:ascii="Arial" w:hAnsi="Arial" w:cs="Arial"/>
          <w:bCs/>
          <w:szCs w:val="28"/>
          <w:lang w:val="en-US"/>
        </w:rPr>
        <w:t>'</w:t>
      </w:r>
      <w:r w:rsidR="00E405CB" w:rsidRPr="00770ADA">
        <w:rPr>
          <w:rFonts w:ascii="Arial" w:hAnsi="Arial" w:cs="Arial"/>
          <w:bCs/>
          <w:szCs w:val="28"/>
          <w:lang w:val="en-US"/>
        </w:rPr>
        <w:t>payment</w:t>
      </w:r>
      <w:r w:rsidR="00A61E6B" w:rsidRPr="00770ADA">
        <w:rPr>
          <w:rFonts w:ascii="Arial" w:hAnsi="Arial" w:cs="Arial"/>
          <w:bCs/>
          <w:szCs w:val="28"/>
          <w:lang w:val="en-US"/>
        </w:rPr>
        <w:t>'</w:t>
      </w:r>
      <w:r w:rsidR="00E405CB" w:rsidRPr="00770ADA">
        <w:rPr>
          <w:rFonts w:ascii="Arial" w:hAnsi="Arial" w:cs="Arial"/>
          <w:bCs/>
          <w:szCs w:val="28"/>
          <w:lang w:val="en-US"/>
        </w:rPr>
        <w:t xml:space="preserve"> in s</w:t>
      </w:r>
      <w:r w:rsidR="0038296A" w:rsidRPr="00770ADA">
        <w:rPr>
          <w:rFonts w:ascii="Arial" w:hAnsi="Arial" w:cs="Arial"/>
          <w:bCs/>
          <w:szCs w:val="28"/>
          <w:lang w:val="en-US"/>
        </w:rPr>
        <w:t xml:space="preserve"> </w:t>
      </w:r>
      <w:r w:rsidR="00E405CB" w:rsidRPr="00770ADA">
        <w:rPr>
          <w:rFonts w:ascii="Arial" w:hAnsi="Arial" w:cs="Arial"/>
          <w:bCs/>
          <w:szCs w:val="28"/>
          <w:lang w:val="en-US"/>
        </w:rPr>
        <w:t>15(1) were used in a wide and general sense</w:t>
      </w:r>
      <w:r w:rsidR="0055281B" w:rsidRPr="00770ADA">
        <w:rPr>
          <w:rFonts w:ascii="Arial" w:hAnsi="Arial" w:cs="Arial"/>
          <w:bCs/>
          <w:szCs w:val="28"/>
          <w:lang w:val="en-US"/>
        </w:rPr>
        <w:t>,</w:t>
      </w:r>
      <w:r w:rsidR="00E405CB" w:rsidRPr="00770ADA">
        <w:rPr>
          <w:rFonts w:ascii="Arial" w:hAnsi="Arial" w:cs="Arial"/>
          <w:bCs/>
          <w:szCs w:val="28"/>
          <w:lang w:val="en-US"/>
        </w:rPr>
        <w:t xml:space="preserve"> and that claiming payment of a debt is no different in principle from enforcing the right to payment of the debt.</w:t>
      </w:r>
      <w:r w:rsidR="00E405CB" w:rsidRPr="00770ADA">
        <w:rPr>
          <w:rStyle w:val="FootnoteReference"/>
          <w:rFonts w:ascii="Arial" w:hAnsi="Arial" w:cs="Arial"/>
          <w:bCs/>
          <w:szCs w:val="28"/>
          <w:lang w:val="en-US"/>
        </w:rPr>
        <w:footnoteReference w:id="7"/>
      </w:r>
      <w:r w:rsidR="00680356" w:rsidRPr="00770ADA">
        <w:rPr>
          <w:rFonts w:ascii="Arial" w:hAnsi="Arial" w:cs="Arial"/>
          <w:bCs/>
          <w:szCs w:val="28"/>
          <w:lang w:val="en-US"/>
        </w:rPr>
        <w:t xml:space="preserve"> </w:t>
      </w:r>
      <w:r w:rsidR="00454F1D" w:rsidRPr="00770ADA">
        <w:rPr>
          <w:rFonts w:ascii="Arial" w:hAnsi="Arial" w:cs="Arial"/>
          <w:bCs/>
          <w:szCs w:val="28"/>
          <w:lang w:val="en-US"/>
        </w:rPr>
        <w:t>He</w:t>
      </w:r>
      <w:r w:rsidR="00455E29" w:rsidRPr="00770ADA">
        <w:rPr>
          <w:rFonts w:ascii="Arial" w:hAnsi="Arial" w:cs="Arial"/>
          <w:bCs/>
          <w:szCs w:val="28"/>
          <w:lang w:val="en-US"/>
        </w:rPr>
        <w:t xml:space="preserve"> </w:t>
      </w:r>
      <w:r w:rsidR="00F763DA" w:rsidRPr="00770ADA">
        <w:rPr>
          <w:rFonts w:ascii="Arial" w:hAnsi="Arial" w:cs="Arial"/>
          <w:bCs/>
          <w:szCs w:val="28"/>
          <w:lang w:val="en-US"/>
        </w:rPr>
        <w:t>reasoned</w:t>
      </w:r>
      <w:r w:rsidR="00455E29" w:rsidRPr="00770ADA">
        <w:rPr>
          <w:rFonts w:ascii="Arial" w:hAnsi="Arial" w:cs="Arial"/>
          <w:bCs/>
          <w:szCs w:val="28"/>
          <w:lang w:val="en-US"/>
        </w:rPr>
        <w:t xml:space="preserve"> </w:t>
      </w:r>
      <w:r w:rsidR="00D66D27" w:rsidRPr="00770ADA">
        <w:rPr>
          <w:rFonts w:ascii="Arial" w:hAnsi="Arial" w:cs="Arial"/>
          <w:bCs/>
          <w:szCs w:val="28"/>
          <w:lang w:val="en-US"/>
        </w:rPr>
        <w:t xml:space="preserve">that if the declaratory order was to succeed </w:t>
      </w:r>
      <w:r w:rsidR="00787C84" w:rsidRPr="00770ADA">
        <w:rPr>
          <w:rFonts w:ascii="Arial" w:hAnsi="Arial" w:cs="Arial"/>
          <w:bCs/>
          <w:szCs w:val="28"/>
          <w:lang w:val="en-US"/>
        </w:rPr>
        <w:t>and damages</w:t>
      </w:r>
      <w:r w:rsidR="00D66D27" w:rsidRPr="00770ADA">
        <w:rPr>
          <w:rFonts w:ascii="Arial" w:hAnsi="Arial" w:cs="Arial"/>
          <w:bCs/>
          <w:szCs w:val="28"/>
          <w:lang w:val="en-US"/>
        </w:rPr>
        <w:t xml:space="preserve"> claim</w:t>
      </w:r>
      <w:r w:rsidR="00715CAB" w:rsidRPr="00770ADA">
        <w:rPr>
          <w:rFonts w:ascii="Arial" w:hAnsi="Arial" w:cs="Arial"/>
          <w:bCs/>
          <w:szCs w:val="28"/>
          <w:lang w:val="en-US"/>
        </w:rPr>
        <w:t>s</w:t>
      </w:r>
      <w:r w:rsidR="00D66D27" w:rsidRPr="00770ADA">
        <w:rPr>
          <w:rFonts w:ascii="Arial" w:hAnsi="Arial" w:cs="Arial"/>
          <w:bCs/>
          <w:szCs w:val="28"/>
          <w:lang w:val="en-US"/>
        </w:rPr>
        <w:t xml:space="preserve"> </w:t>
      </w:r>
      <w:r w:rsidR="00F51094" w:rsidRPr="00770ADA">
        <w:rPr>
          <w:rFonts w:ascii="Arial" w:hAnsi="Arial" w:cs="Arial"/>
          <w:bCs/>
          <w:szCs w:val="28"/>
          <w:lang w:val="en-US"/>
        </w:rPr>
        <w:t>after that</w:t>
      </w:r>
      <w:r w:rsidR="00D66D27" w:rsidRPr="00770ADA">
        <w:rPr>
          <w:rFonts w:ascii="Arial" w:hAnsi="Arial" w:cs="Arial"/>
          <w:bCs/>
          <w:szCs w:val="28"/>
          <w:lang w:val="en-US"/>
        </w:rPr>
        <w:t xml:space="preserve"> </w:t>
      </w:r>
      <w:r w:rsidR="0038296A" w:rsidRPr="00770ADA">
        <w:rPr>
          <w:rFonts w:ascii="Arial" w:hAnsi="Arial" w:cs="Arial"/>
          <w:bCs/>
          <w:szCs w:val="28"/>
          <w:lang w:val="en-US"/>
        </w:rPr>
        <w:t xml:space="preserve">were </w:t>
      </w:r>
      <w:r w:rsidR="00D66D27" w:rsidRPr="00770ADA">
        <w:rPr>
          <w:rFonts w:ascii="Arial" w:hAnsi="Arial" w:cs="Arial"/>
          <w:bCs/>
          <w:szCs w:val="28"/>
          <w:lang w:val="en-US"/>
        </w:rPr>
        <w:t>instituted, although the relief sought in the two sets of proceedings would be different, both claims would be based on the same cause of action</w:t>
      </w:r>
      <w:r w:rsidR="00F45528" w:rsidRPr="00770ADA">
        <w:rPr>
          <w:rFonts w:ascii="Arial" w:hAnsi="Arial" w:cs="Arial"/>
          <w:bCs/>
          <w:szCs w:val="28"/>
          <w:lang w:val="en-US"/>
        </w:rPr>
        <w:t>.</w:t>
      </w:r>
      <w:r w:rsidR="00CA69DD" w:rsidRPr="00770ADA">
        <w:rPr>
          <w:rFonts w:ascii="Arial" w:hAnsi="Arial" w:cs="Arial"/>
          <w:bCs/>
          <w:szCs w:val="28"/>
          <w:lang w:val="en-US"/>
        </w:rPr>
        <w:t xml:space="preserve"> He concluded that:</w:t>
      </w:r>
    </w:p>
    <w:p w14:paraId="1BAA776A" w14:textId="5CDBD123" w:rsidR="00F11DAB" w:rsidRPr="00770ADA" w:rsidRDefault="00A61E6B" w:rsidP="006938E5">
      <w:pPr>
        <w:pStyle w:val="ListParagraph"/>
        <w:ind w:left="0"/>
        <w:rPr>
          <w:rFonts w:ascii="Arial" w:hAnsi="Arial" w:cs="Arial"/>
          <w:lang w:val="en-US"/>
        </w:rPr>
      </w:pPr>
      <w:r w:rsidRPr="00770ADA">
        <w:rPr>
          <w:rFonts w:ascii="Arial" w:hAnsi="Arial" w:cs="Arial"/>
          <w:bCs/>
          <w:sz w:val="22"/>
          <w:szCs w:val="22"/>
          <w:lang w:val="en-US"/>
        </w:rPr>
        <w:t>'</w:t>
      </w:r>
      <w:r w:rsidR="00454F1D" w:rsidRPr="00770ADA">
        <w:rPr>
          <w:rFonts w:ascii="Arial" w:hAnsi="Arial" w:cs="Arial"/>
          <w:bCs/>
          <w:sz w:val="22"/>
          <w:szCs w:val="22"/>
          <w:lang w:val="en-US"/>
        </w:rPr>
        <w:t>1</w:t>
      </w:r>
      <w:r w:rsidR="0055281B" w:rsidRPr="00770ADA">
        <w:rPr>
          <w:rFonts w:ascii="Arial" w:hAnsi="Arial" w:cs="Arial"/>
          <w:bCs/>
          <w:sz w:val="22"/>
          <w:szCs w:val="22"/>
          <w:lang w:val="en-US"/>
        </w:rPr>
        <w:t>.</w:t>
      </w:r>
      <w:r w:rsidR="006E7CE0" w:rsidRPr="00770ADA">
        <w:rPr>
          <w:rFonts w:ascii="Arial" w:hAnsi="Arial" w:cs="Arial"/>
          <w:bCs/>
          <w:sz w:val="22"/>
          <w:szCs w:val="22"/>
          <w:lang w:val="en-US"/>
        </w:rPr>
        <w:t xml:space="preserve"> </w:t>
      </w:r>
      <w:r w:rsidR="0055281B" w:rsidRPr="00770ADA">
        <w:rPr>
          <w:rFonts w:ascii="Arial" w:hAnsi="Arial" w:cs="Arial"/>
          <w:bCs/>
          <w:sz w:val="22"/>
          <w:szCs w:val="22"/>
          <w:lang w:val="en-US"/>
        </w:rPr>
        <w:tab/>
      </w:r>
      <w:r w:rsidR="00454F1D" w:rsidRPr="00770ADA">
        <w:rPr>
          <w:rFonts w:ascii="Arial" w:hAnsi="Arial" w:cs="Arial"/>
          <w:bCs/>
          <w:sz w:val="22"/>
          <w:szCs w:val="22"/>
          <w:lang w:val="en-US"/>
        </w:rPr>
        <w:t>It is sufficient for the purposes of interrupting prescription if the process to be served is one whereby the proceedings begun thereunder are instituted as a step in the enforcement of a claim for payment of the debt.</w:t>
      </w:r>
    </w:p>
    <w:p w14:paraId="10A872BF" w14:textId="419EC4F5" w:rsidR="00454F1D" w:rsidRPr="00770ADA" w:rsidRDefault="00454F1D" w:rsidP="00770ADA">
      <w:pPr>
        <w:pStyle w:val="ListParagraph"/>
        <w:ind w:left="0"/>
        <w:rPr>
          <w:rFonts w:ascii="Arial" w:hAnsi="Arial" w:cs="Arial"/>
          <w:bCs/>
          <w:sz w:val="22"/>
          <w:szCs w:val="22"/>
          <w:lang w:val="en-US"/>
        </w:rPr>
      </w:pPr>
      <w:r w:rsidRPr="00770ADA">
        <w:rPr>
          <w:rFonts w:ascii="Arial" w:hAnsi="Arial" w:cs="Arial"/>
          <w:bCs/>
          <w:sz w:val="22"/>
          <w:szCs w:val="22"/>
          <w:lang w:val="en-US"/>
        </w:rPr>
        <w:t>2</w:t>
      </w:r>
      <w:r w:rsidR="0055281B" w:rsidRPr="00770ADA">
        <w:rPr>
          <w:rFonts w:ascii="Arial" w:hAnsi="Arial" w:cs="Arial"/>
          <w:bCs/>
          <w:sz w:val="22"/>
          <w:szCs w:val="22"/>
          <w:lang w:val="en-US"/>
        </w:rPr>
        <w:t>.</w:t>
      </w:r>
      <w:r w:rsidR="006E7CE0" w:rsidRPr="00770ADA">
        <w:rPr>
          <w:rFonts w:ascii="Arial" w:hAnsi="Arial" w:cs="Arial"/>
          <w:bCs/>
          <w:sz w:val="22"/>
          <w:szCs w:val="22"/>
          <w:lang w:val="en-US"/>
        </w:rPr>
        <w:t xml:space="preserve"> </w:t>
      </w:r>
      <w:r w:rsidR="0055281B" w:rsidRPr="00770ADA">
        <w:rPr>
          <w:rFonts w:ascii="Arial" w:hAnsi="Arial" w:cs="Arial"/>
          <w:bCs/>
          <w:sz w:val="22"/>
          <w:szCs w:val="22"/>
          <w:lang w:val="en-US"/>
        </w:rPr>
        <w:tab/>
      </w:r>
      <w:r w:rsidRPr="00770ADA">
        <w:rPr>
          <w:rFonts w:ascii="Arial" w:hAnsi="Arial" w:cs="Arial"/>
          <w:bCs/>
          <w:sz w:val="22"/>
          <w:szCs w:val="22"/>
          <w:lang w:val="en-US"/>
        </w:rPr>
        <w:t>A creditor prosecutes his claim under that process to final, executable judgment, not only when the process and the judgment constitute the beginning and end of the same action, but also when the process initiates an action, judgment in which finally disposes of some elements of the claim, and where the remaining elements are disposed of in supplementary action instituted pursuant to and dependent upon that judgment.</w:t>
      </w:r>
      <w:r w:rsidR="00A61E6B" w:rsidRPr="00770ADA">
        <w:rPr>
          <w:rFonts w:ascii="Arial" w:hAnsi="Arial" w:cs="Arial"/>
          <w:bCs/>
          <w:sz w:val="22"/>
          <w:szCs w:val="22"/>
          <w:lang w:val="en-US"/>
        </w:rPr>
        <w:t>'</w:t>
      </w:r>
      <w:r w:rsidR="00CA69DD" w:rsidRPr="00770ADA">
        <w:rPr>
          <w:rStyle w:val="FootnoteReference"/>
          <w:rFonts w:ascii="Arial" w:hAnsi="Arial" w:cs="Arial"/>
          <w:bCs/>
          <w:sz w:val="22"/>
          <w:szCs w:val="22"/>
          <w:lang w:val="en-US"/>
        </w:rPr>
        <w:footnoteReference w:id="8"/>
      </w:r>
    </w:p>
    <w:p w14:paraId="12F71096" w14:textId="77777777" w:rsidR="00F11DAB" w:rsidRPr="00770ADA" w:rsidRDefault="00F11DAB" w:rsidP="00770ADA">
      <w:pPr>
        <w:rPr>
          <w:rFonts w:ascii="Arial" w:hAnsi="Arial" w:cs="Arial"/>
          <w:bCs/>
          <w:sz w:val="22"/>
          <w:szCs w:val="22"/>
          <w:lang w:val="en-US"/>
        </w:rPr>
      </w:pPr>
    </w:p>
    <w:p w14:paraId="12A316F3" w14:textId="4A30E40F" w:rsidR="00715CAB" w:rsidRPr="00770ADA" w:rsidRDefault="00312B88"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lastRenderedPageBreak/>
        <w:t>Th</w:t>
      </w:r>
      <w:r w:rsidR="00716CBF" w:rsidRPr="00770ADA">
        <w:rPr>
          <w:rFonts w:ascii="Arial" w:hAnsi="Arial" w:cs="Arial"/>
          <w:bCs/>
          <w:szCs w:val="28"/>
          <w:lang w:val="en-US"/>
        </w:rPr>
        <w:t xml:space="preserve">e approach </w:t>
      </w:r>
      <w:r w:rsidR="00CA19C4" w:rsidRPr="00770ADA">
        <w:rPr>
          <w:rFonts w:ascii="Arial" w:hAnsi="Arial" w:cs="Arial"/>
          <w:bCs/>
          <w:szCs w:val="28"/>
          <w:lang w:val="en-US"/>
        </w:rPr>
        <w:t>by</w:t>
      </w:r>
      <w:r w:rsidRPr="00770ADA">
        <w:rPr>
          <w:rFonts w:ascii="Arial" w:hAnsi="Arial" w:cs="Arial"/>
          <w:bCs/>
          <w:szCs w:val="28"/>
          <w:lang w:val="en-US"/>
        </w:rPr>
        <w:t xml:space="preserve"> </w:t>
      </w:r>
      <w:r w:rsidR="00CA19C4" w:rsidRPr="00770ADA">
        <w:rPr>
          <w:rFonts w:ascii="Arial" w:hAnsi="Arial" w:cs="Arial"/>
          <w:bCs/>
          <w:szCs w:val="28"/>
          <w:lang w:val="en-US"/>
        </w:rPr>
        <w:t xml:space="preserve">Howie J was </w:t>
      </w:r>
      <w:r w:rsidRPr="00770ADA">
        <w:rPr>
          <w:rFonts w:ascii="Arial" w:hAnsi="Arial" w:cs="Arial"/>
          <w:bCs/>
          <w:szCs w:val="28"/>
          <w:lang w:val="en-US"/>
        </w:rPr>
        <w:t>approved</w:t>
      </w:r>
      <w:r w:rsidR="00715CAB" w:rsidRPr="00770ADA">
        <w:rPr>
          <w:rFonts w:ascii="Arial" w:hAnsi="Arial" w:cs="Arial"/>
          <w:bCs/>
          <w:szCs w:val="28"/>
          <w:lang w:val="en-US"/>
        </w:rPr>
        <w:t xml:space="preserve"> </w:t>
      </w:r>
      <w:r w:rsidR="00F8386F" w:rsidRPr="00770ADA">
        <w:rPr>
          <w:rFonts w:ascii="Arial" w:hAnsi="Arial" w:cs="Arial"/>
          <w:bCs/>
          <w:szCs w:val="28"/>
          <w:lang w:val="en-US"/>
        </w:rPr>
        <w:t xml:space="preserve">by this Court </w:t>
      </w:r>
      <w:r w:rsidR="00715CAB" w:rsidRPr="00770ADA">
        <w:rPr>
          <w:rFonts w:ascii="Arial" w:hAnsi="Arial" w:cs="Arial"/>
          <w:bCs/>
          <w:szCs w:val="28"/>
          <w:lang w:val="en-US"/>
        </w:rPr>
        <w:t xml:space="preserve">in </w:t>
      </w:r>
      <w:r w:rsidR="00715CAB" w:rsidRPr="00770ADA">
        <w:rPr>
          <w:rFonts w:ascii="Arial" w:hAnsi="Arial" w:cs="Arial"/>
          <w:bCs/>
          <w:i/>
          <w:szCs w:val="28"/>
          <w:lang w:val="en-US"/>
        </w:rPr>
        <w:t>Cadac</w:t>
      </w:r>
      <w:r w:rsidR="00F36961" w:rsidRPr="00770ADA">
        <w:rPr>
          <w:rFonts w:ascii="Arial" w:hAnsi="Arial" w:cs="Arial"/>
          <w:bCs/>
          <w:i/>
          <w:szCs w:val="28"/>
          <w:lang w:val="en-US"/>
        </w:rPr>
        <w:t xml:space="preserve"> (Pty) Ltd v Weber-Stephen Products Company and Others</w:t>
      </w:r>
      <w:r w:rsidR="00F36961" w:rsidRPr="00770ADA">
        <w:rPr>
          <w:rStyle w:val="FootnoteReference"/>
          <w:rFonts w:ascii="Arial" w:hAnsi="Arial" w:cs="Arial"/>
          <w:bCs/>
          <w:szCs w:val="28"/>
          <w:lang w:val="en-US"/>
        </w:rPr>
        <w:footnoteReference w:id="9"/>
      </w:r>
      <w:r w:rsidR="00F36961" w:rsidRPr="00770ADA">
        <w:rPr>
          <w:rFonts w:ascii="Arial" w:hAnsi="Arial" w:cs="Arial"/>
          <w:bCs/>
          <w:szCs w:val="28"/>
          <w:lang w:val="en-US"/>
        </w:rPr>
        <w:t xml:space="preserve"> and </w:t>
      </w:r>
      <w:r w:rsidR="00F36961" w:rsidRPr="00770ADA">
        <w:rPr>
          <w:rFonts w:ascii="Arial" w:hAnsi="Arial" w:cs="Arial"/>
          <w:bCs/>
          <w:i/>
          <w:szCs w:val="28"/>
          <w:lang w:val="en-US"/>
        </w:rPr>
        <w:t>Peter Taylor &amp; Associates v Bell Estates (Pty) Ltd</w:t>
      </w:r>
      <w:r w:rsidR="00F36961" w:rsidRPr="00770ADA">
        <w:rPr>
          <w:rFonts w:ascii="Arial" w:hAnsi="Arial" w:cs="Arial"/>
          <w:bCs/>
          <w:szCs w:val="28"/>
          <w:lang w:val="en-US"/>
        </w:rPr>
        <w:t>.</w:t>
      </w:r>
      <w:r w:rsidR="00F36961" w:rsidRPr="00770ADA">
        <w:rPr>
          <w:rStyle w:val="FootnoteReference"/>
          <w:rFonts w:ascii="Arial" w:hAnsi="Arial" w:cs="Arial"/>
          <w:bCs/>
          <w:szCs w:val="28"/>
          <w:lang w:val="en-US"/>
        </w:rPr>
        <w:footnoteReference w:id="10"/>
      </w:r>
    </w:p>
    <w:p w14:paraId="2B23C07E" w14:textId="77777777" w:rsidR="00F36961" w:rsidRPr="00770ADA" w:rsidRDefault="00F36961" w:rsidP="00770ADA">
      <w:pPr>
        <w:rPr>
          <w:rFonts w:ascii="Arial" w:hAnsi="Arial" w:cs="Arial"/>
          <w:bCs/>
          <w:szCs w:val="28"/>
          <w:lang w:val="en-US"/>
        </w:rPr>
      </w:pPr>
    </w:p>
    <w:p w14:paraId="03A5ED8E" w14:textId="6A3E4A6D" w:rsidR="009F3B12" w:rsidRPr="00770ADA" w:rsidRDefault="00F11DAB"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As indicated above</w:t>
      </w:r>
      <w:r w:rsidR="00312B88" w:rsidRPr="00770ADA">
        <w:rPr>
          <w:rFonts w:ascii="Arial" w:hAnsi="Arial" w:cs="Arial"/>
          <w:bCs/>
          <w:szCs w:val="28"/>
          <w:lang w:val="en-US"/>
        </w:rPr>
        <w:t>,</w:t>
      </w:r>
      <w:r w:rsidRPr="00770ADA">
        <w:rPr>
          <w:rFonts w:ascii="Arial" w:hAnsi="Arial" w:cs="Arial"/>
          <w:bCs/>
          <w:szCs w:val="28"/>
          <w:lang w:val="en-US"/>
        </w:rPr>
        <w:t xml:space="preserve"> this </w:t>
      </w:r>
      <w:r w:rsidR="00A61E6B" w:rsidRPr="00770ADA">
        <w:rPr>
          <w:rFonts w:ascii="Arial" w:hAnsi="Arial" w:cs="Arial"/>
          <w:bCs/>
          <w:szCs w:val="28"/>
          <w:lang w:val="en-US"/>
        </w:rPr>
        <w:t>Court</w:t>
      </w:r>
      <w:r w:rsidRPr="00770ADA">
        <w:rPr>
          <w:rFonts w:ascii="Arial" w:hAnsi="Arial" w:cs="Arial"/>
          <w:bCs/>
          <w:szCs w:val="28"/>
          <w:lang w:val="en-US"/>
        </w:rPr>
        <w:t xml:space="preserve"> has</w:t>
      </w:r>
      <w:r w:rsidR="0072476E" w:rsidRPr="00770ADA">
        <w:rPr>
          <w:rFonts w:ascii="Arial" w:hAnsi="Arial" w:cs="Arial"/>
          <w:bCs/>
          <w:szCs w:val="28"/>
          <w:lang w:val="en-US"/>
        </w:rPr>
        <w:t xml:space="preserve"> to </w:t>
      </w:r>
      <w:r w:rsidR="00F013CB" w:rsidRPr="00770ADA">
        <w:rPr>
          <w:rFonts w:ascii="Arial" w:hAnsi="Arial" w:cs="Arial"/>
          <w:bCs/>
          <w:szCs w:val="28"/>
          <w:lang w:val="en-US"/>
        </w:rPr>
        <w:t>consider whether</w:t>
      </w:r>
      <w:r w:rsidR="0072476E" w:rsidRPr="00770ADA">
        <w:rPr>
          <w:rFonts w:ascii="Arial" w:hAnsi="Arial" w:cs="Arial"/>
          <w:bCs/>
          <w:szCs w:val="28"/>
          <w:lang w:val="en-US"/>
        </w:rPr>
        <w:t xml:space="preserve"> </w:t>
      </w:r>
      <w:r w:rsidR="009F3B12" w:rsidRPr="00770ADA">
        <w:rPr>
          <w:rFonts w:ascii="Arial" w:hAnsi="Arial" w:cs="Arial"/>
          <w:bCs/>
          <w:szCs w:val="28"/>
          <w:lang w:val="en-US"/>
        </w:rPr>
        <w:t xml:space="preserve">the institution of the application </w:t>
      </w:r>
      <w:r w:rsidR="00FF376D" w:rsidRPr="00770ADA">
        <w:rPr>
          <w:rFonts w:ascii="Arial" w:hAnsi="Arial" w:cs="Arial"/>
          <w:bCs/>
          <w:szCs w:val="28"/>
          <w:lang w:val="en-US"/>
        </w:rPr>
        <w:t>procedure</w:t>
      </w:r>
      <w:r w:rsidR="009F3B12" w:rsidRPr="00770ADA">
        <w:rPr>
          <w:rFonts w:ascii="Arial" w:hAnsi="Arial" w:cs="Arial"/>
          <w:bCs/>
          <w:szCs w:val="28"/>
          <w:lang w:val="en-US"/>
        </w:rPr>
        <w:t xml:space="preserve"> in 2012 interrupted the running of prescription in relation to the claim that </w:t>
      </w:r>
      <w:r w:rsidR="00787C84" w:rsidRPr="00770ADA">
        <w:rPr>
          <w:rFonts w:ascii="Arial" w:hAnsi="Arial" w:cs="Arial"/>
          <w:bCs/>
          <w:szCs w:val="28"/>
          <w:lang w:val="en-US"/>
        </w:rPr>
        <w:t>form</w:t>
      </w:r>
      <w:r w:rsidR="00F36961" w:rsidRPr="00770ADA">
        <w:rPr>
          <w:rFonts w:ascii="Arial" w:hAnsi="Arial" w:cs="Arial"/>
          <w:bCs/>
          <w:szCs w:val="28"/>
          <w:lang w:val="en-US"/>
        </w:rPr>
        <w:t>s</w:t>
      </w:r>
      <w:r w:rsidR="009F3B12" w:rsidRPr="00770ADA">
        <w:rPr>
          <w:rFonts w:ascii="Arial" w:hAnsi="Arial" w:cs="Arial"/>
          <w:bCs/>
          <w:szCs w:val="28"/>
          <w:lang w:val="en-US"/>
        </w:rPr>
        <w:t xml:space="preserve"> the basis of the present proceedings.</w:t>
      </w:r>
      <w:r w:rsidR="0072476E" w:rsidRPr="00770ADA">
        <w:rPr>
          <w:rFonts w:ascii="Arial" w:hAnsi="Arial" w:cs="Arial"/>
          <w:bCs/>
          <w:szCs w:val="28"/>
          <w:lang w:val="en-US"/>
        </w:rPr>
        <w:t xml:space="preserve"> </w:t>
      </w:r>
      <w:r w:rsidR="009F3B12" w:rsidRPr="00770ADA">
        <w:rPr>
          <w:rFonts w:ascii="Arial" w:hAnsi="Arial" w:cs="Arial"/>
          <w:bCs/>
          <w:szCs w:val="28"/>
          <w:lang w:val="en-US"/>
        </w:rPr>
        <w:t>To answer this question, it must be determined</w:t>
      </w:r>
      <w:r w:rsidR="0055281B" w:rsidRPr="00770ADA">
        <w:rPr>
          <w:rFonts w:ascii="Arial" w:hAnsi="Arial" w:cs="Arial"/>
          <w:bCs/>
          <w:szCs w:val="28"/>
          <w:lang w:val="en-US"/>
        </w:rPr>
        <w:t>,</w:t>
      </w:r>
      <w:r w:rsidR="009F3B12" w:rsidRPr="00770ADA">
        <w:rPr>
          <w:rFonts w:ascii="Arial" w:hAnsi="Arial" w:cs="Arial"/>
          <w:bCs/>
          <w:szCs w:val="28"/>
          <w:lang w:val="en-US"/>
        </w:rPr>
        <w:t xml:space="preserve"> </w:t>
      </w:r>
      <w:r w:rsidR="00CD546A" w:rsidRPr="00770ADA">
        <w:rPr>
          <w:rFonts w:ascii="Arial" w:hAnsi="Arial" w:cs="Arial"/>
          <w:bCs/>
          <w:szCs w:val="28"/>
          <w:lang w:val="en-US"/>
        </w:rPr>
        <w:t>first</w:t>
      </w:r>
      <w:r w:rsidR="0055281B" w:rsidRPr="00770ADA">
        <w:rPr>
          <w:rFonts w:ascii="Arial" w:hAnsi="Arial" w:cs="Arial"/>
          <w:bCs/>
          <w:szCs w:val="28"/>
          <w:lang w:val="en-US"/>
        </w:rPr>
        <w:t>ly,</w:t>
      </w:r>
      <w:r w:rsidR="00CD546A" w:rsidRPr="00770ADA">
        <w:rPr>
          <w:rFonts w:ascii="Arial" w:hAnsi="Arial" w:cs="Arial"/>
          <w:bCs/>
          <w:szCs w:val="28"/>
          <w:lang w:val="en-US"/>
        </w:rPr>
        <w:t xml:space="preserve"> </w:t>
      </w:r>
      <w:r w:rsidR="009F3B12" w:rsidRPr="00770ADA">
        <w:rPr>
          <w:rFonts w:ascii="Arial" w:hAnsi="Arial" w:cs="Arial"/>
          <w:bCs/>
          <w:szCs w:val="28"/>
          <w:lang w:val="en-US"/>
        </w:rPr>
        <w:t>whether the basis o</w:t>
      </w:r>
      <w:r w:rsidR="00833A85" w:rsidRPr="00770ADA">
        <w:rPr>
          <w:rFonts w:ascii="Arial" w:hAnsi="Arial" w:cs="Arial"/>
          <w:bCs/>
          <w:szCs w:val="28"/>
          <w:lang w:val="en-US"/>
        </w:rPr>
        <w:t>f</w:t>
      </w:r>
      <w:r w:rsidR="009F3B12" w:rsidRPr="00770ADA">
        <w:rPr>
          <w:rFonts w:ascii="Arial" w:hAnsi="Arial" w:cs="Arial"/>
          <w:bCs/>
          <w:szCs w:val="28"/>
          <w:lang w:val="en-US"/>
        </w:rPr>
        <w:t xml:space="preserve"> the claim in the application </w:t>
      </w:r>
      <w:r w:rsidR="00312B88" w:rsidRPr="00770ADA">
        <w:rPr>
          <w:rFonts w:ascii="Arial" w:hAnsi="Arial" w:cs="Arial"/>
          <w:bCs/>
          <w:szCs w:val="28"/>
          <w:lang w:val="en-US"/>
        </w:rPr>
        <w:t>procedure</w:t>
      </w:r>
      <w:r w:rsidR="00833A85" w:rsidRPr="00770ADA">
        <w:rPr>
          <w:rFonts w:ascii="Arial" w:hAnsi="Arial" w:cs="Arial"/>
          <w:bCs/>
          <w:szCs w:val="28"/>
          <w:lang w:val="en-US"/>
        </w:rPr>
        <w:t xml:space="preserve"> in 2012</w:t>
      </w:r>
      <w:r w:rsidR="009F3B12" w:rsidRPr="00770ADA">
        <w:rPr>
          <w:rFonts w:ascii="Arial" w:hAnsi="Arial" w:cs="Arial"/>
          <w:bCs/>
          <w:szCs w:val="28"/>
          <w:lang w:val="en-US"/>
        </w:rPr>
        <w:t xml:space="preserve"> was the same as </w:t>
      </w:r>
      <w:r w:rsidR="00833A85" w:rsidRPr="00770ADA">
        <w:rPr>
          <w:rFonts w:ascii="Arial" w:hAnsi="Arial" w:cs="Arial"/>
          <w:bCs/>
          <w:szCs w:val="28"/>
          <w:lang w:val="en-US"/>
        </w:rPr>
        <w:t>the basis of the claim in the present proceedings</w:t>
      </w:r>
      <w:r w:rsidR="00CD546A" w:rsidRPr="00770ADA">
        <w:rPr>
          <w:rFonts w:ascii="Arial" w:hAnsi="Arial" w:cs="Arial"/>
          <w:bCs/>
          <w:szCs w:val="28"/>
          <w:lang w:val="en-US"/>
        </w:rPr>
        <w:t>;</w:t>
      </w:r>
      <w:r w:rsidR="00833A85" w:rsidRPr="00770ADA">
        <w:rPr>
          <w:rFonts w:ascii="Arial" w:hAnsi="Arial" w:cs="Arial"/>
          <w:bCs/>
          <w:szCs w:val="28"/>
          <w:lang w:val="en-US"/>
        </w:rPr>
        <w:t xml:space="preserve"> secondly, whether the application proceedings were a </w:t>
      </w:r>
      <w:r w:rsidR="00A61E6B" w:rsidRPr="00770ADA">
        <w:rPr>
          <w:rFonts w:ascii="Arial" w:hAnsi="Arial" w:cs="Arial"/>
          <w:bCs/>
          <w:szCs w:val="28"/>
          <w:lang w:val="en-US"/>
        </w:rPr>
        <w:t>'</w:t>
      </w:r>
      <w:r w:rsidR="00833A85" w:rsidRPr="00770ADA">
        <w:rPr>
          <w:rFonts w:ascii="Arial" w:hAnsi="Arial" w:cs="Arial"/>
          <w:bCs/>
          <w:szCs w:val="28"/>
          <w:lang w:val="en-US"/>
        </w:rPr>
        <w:t>step in the enforcement of a claim for the payment of a debt</w:t>
      </w:r>
      <w:r w:rsidR="00A61E6B" w:rsidRPr="00770ADA">
        <w:rPr>
          <w:rFonts w:ascii="Arial" w:hAnsi="Arial" w:cs="Arial"/>
          <w:bCs/>
          <w:szCs w:val="28"/>
          <w:lang w:val="en-US"/>
        </w:rPr>
        <w:t>'</w:t>
      </w:r>
      <w:r w:rsidR="00CD546A" w:rsidRPr="00770ADA">
        <w:rPr>
          <w:rFonts w:ascii="Arial" w:hAnsi="Arial" w:cs="Arial"/>
          <w:bCs/>
          <w:szCs w:val="28"/>
          <w:lang w:val="en-US"/>
        </w:rPr>
        <w:t>;</w:t>
      </w:r>
      <w:r w:rsidR="00833A85" w:rsidRPr="00770ADA">
        <w:rPr>
          <w:rFonts w:ascii="Arial" w:hAnsi="Arial" w:cs="Arial"/>
          <w:bCs/>
          <w:szCs w:val="28"/>
          <w:lang w:val="en-US"/>
        </w:rPr>
        <w:t xml:space="preserve"> and lastly, whether the application proceedings disposed of some element of the claim in the current action. </w:t>
      </w:r>
    </w:p>
    <w:p w14:paraId="054A195F" w14:textId="06BBF64E" w:rsidR="00833A85" w:rsidRPr="00770ADA" w:rsidRDefault="00833A85" w:rsidP="00770ADA">
      <w:pPr>
        <w:rPr>
          <w:rFonts w:ascii="Arial" w:hAnsi="Arial" w:cs="Arial"/>
          <w:bCs/>
          <w:szCs w:val="28"/>
          <w:lang w:val="en-US"/>
        </w:rPr>
      </w:pPr>
    </w:p>
    <w:p w14:paraId="7C1FB45D" w14:textId="51DD8245" w:rsidR="005A5AB8" w:rsidRPr="00770ADA" w:rsidRDefault="00271B8A"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 xml:space="preserve">The current claim for damages is based on </w:t>
      </w:r>
      <w:r w:rsidR="00F013CB" w:rsidRPr="00770ADA">
        <w:rPr>
          <w:rFonts w:ascii="Arial" w:hAnsi="Arial" w:cs="Arial"/>
          <w:bCs/>
          <w:szCs w:val="28"/>
          <w:lang w:val="en-US"/>
        </w:rPr>
        <w:t xml:space="preserve">the alternative relief in the event of </w:t>
      </w:r>
      <w:r w:rsidRPr="00770ADA">
        <w:rPr>
          <w:rFonts w:ascii="Arial" w:hAnsi="Arial" w:cs="Arial"/>
          <w:bCs/>
          <w:szCs w:val="28"/>
          <w:lang w:val="en-US"/>
        </w:rPr>
        <w:t>non-compliance with the order of Pickering J. The</w:t>
      </w:r>
      <w:r w:rsidR="005A5AB8" w:rsidRPr="00770ADA">
        <w:rPr>
          <w:rFonts w:ascii="Arial" w:hAnsi="Arial" w:cs="Arial"/>
          <w:bCs/>
          <w:szCs w:val="28"/>
          <w:lang w:val="en-US"/>
        </w:rPr>
        <w:t xml:space="preserve"> basis of the action for damages is the same as the basis for a claim for specific performance</w:t>
      </w:r>
      <w:r w:rsidR="0055281B" w:rsidRPr="00770ADA">
        <w:rPr>
          <w:rFonts w:ascii="Arial" w:hAnsi="Arial" w:cs="Arial"/>
          <w:bCs/>
          <w:szCs w:val="28"/>
          <w:lang w:val="en-US"/>
        </w:rPr>
        <w:t>,</w:t>
      </w:r>
      <w:r w:rsidR="005A5AB8" w:rsidRPr="00770ADA">
        <w:rPr>
          <w:rFonts w:ascii="Arial" w:hAnsi="Arial" w:cs="Arial"/>
          <w:bCs/>
          <w:szCs w:val="28"/>
          <w:lang w:val="en-US"/>
        </w:rPr>
        <w:t xml:space="preserve"> in that it arose from the</w:t>
      </w:r>
      <w:r w:rsidR="00FE51FA" w:rsidRPr="00770ADA">
        <w:rPr>
          <w:rFonts w:ascii="Arial" w:hAnsi="Arial" w:cs="Arial"/>
          <w:bCs/>
          <w:szCs w:val="28"/>
          <w:lang w:val="en-US"/>
        </w:rPr>
        <w:t xml:space="preserve"> same</w:t>
      </w:r>
      <w:r w:rsidR="005A5AB8" w:rsidRPr="00770ADA">
        <w:rPr>
          <w:rFonts w:ascii="Arial" w:hAnsi="Arial" w:cs="Arial"/>
          <w:bCs/>
          <w:szCs w:val="28"/>
          <w:lang w:val="en-US"/>
        </w:rPr>
        <w:t xml:space="preserve"> facts. </w:t>
      </w:r>
      <w:r w:rsidR="00F013CB" w:rsidRPr="00770ADA">
        <w:rPr>
          <w:rFonts w:ascii="Arial" w:hAnsi="Arial" w:cs="Arial"/>
          <w:bCs/>
          <w:szCs w:val="28"/>
          <w:lang w:val="en-US"/>
        </w:rPr>
        <w:t>In fact,</w:t>
      </w:r>
      <w:r w:rsidR="00312B88" w:rsidRPr="00770ADA">
        <w:rPr>
          <w:rFonts w:ascii="Arial" w:hAnsi="Arial" w:cs="Arial"/>
          <w:bCs/>
          <w:szCs w:val="28"/>
          <w:lang w:val="en-US"/>
        </w:rPr>
        <w:t xml:space="preserve"> </w:t>
      </w:r>
      <w:r w:rsidR="00F013CB" w:rsidRPr="00770ADA">
        <w:rPr>
          <w:rFonts w:ascii="Arial" w:hAnsi="Arial" w:cs="Arial"/>
          <w:bCs/>
          <w:szCs w:val="28"/>
          <w:lang w:val="en-US"/>
        </w:rPr>
        <w:t>t</w:t>
      </w:r>
      <w:r w:rsidR="001B3F9F" w:rsidRPr="00770ADA">
        <w:rPr>
          <w:rFonts w:ascii="Arial" w:hAnsi="Arial" w:cs="Arial"/>
          <w:bCs/>
          <w:szCs w:val="28"/>
          <w:lang w:val="en-US"/>
        </w:rPr>
        <w:t xml:space="preserve">he </w:t>
      </w:r>
      <w:r w:rsidR="00F013CB" w:rsidRPr="00770ADA">
        <w:rPr>
          <w:rFonts w:ascii="Arial" w:hAnsi="Arial" w:cs="Arial"/>
          <w:bCs/>
          <w:szCs w:val="28"/>
          <w:lang w:val="en-US"/>
        </w:rPr>
        <w:t xml:space="preserve">right to claim damages formed part of that order. The </w:t>
      </w:r>
      <w:r w:rsidR="001B3F9F" w:rsidRPr="00770ADA">
        <w:rPr>
          <w:rFonts w:ascii="Arial" w:hAnsi="Arial" w:cs="Arial"/>
          <w:bCs/>
          <w:szCs w:val="28"/>
          <w:lang w:val="en-US"/>
        </w:rPr>
        <w:t xml:space="preserve">respondent sought to </w:t>
      </w:r>
      <w:r w:rsidR="00FE51FA" w:rsidRPr="00770ADA">
        <w:rPr>
          <w:rFonts w:ascii="Arial" w:hAnsi="Arial" w:cs="Arial"/>
          <w:bCs/>
          <w:szCs w:val="28"/>
          <w:lang w:val="en-US"/>
        </w:rPr>
        <w:t xml:space="preserve">quantify his damages consequent </w:t>
      </w:r>
      <w:r w:rsidR="00433D99" w:rsidRPr="00770ADA">
        <w:rPr>
          <w:rFonts w:ascii="Arial" w:hAnsi="Arial" w:cs="Arial"/>
          <w:bCs/>
          <w:szCs w:val="28"/>
          <w:lang w:val="en-US"/>
        </w:rPr>
        <w:t>to</w:t>
      </w:r>
      <w:r w:rsidR="00FE51FA" w:rsidRPr="00770ADA">
        <w:rPr>
          <w:rFonts w:ascii="Arial" w:hAnsi="Arial" w:cs="Arial"/>
          <w:bCs/>
          <w:szCs w:val="28"/>
          <w:lang w:val="en-US"/>
        </w:rPr>
        <w:t xml:space="preserve"> the cancellation of the </w:t>
      </w:r>
      <w:r w:rsidR="00433D99" w:rsidRPr="00770ADA">
        <w:rPr>
          <w:rFonts w:ascii="Arial" w:hAnsi="Arial" w:cs="Arial"/>
          <w:bCs/>
          <w:szCs w:val="28"/>
          <w:lang w:val="en-US"/>
        </w:rPr>
        <w:t>d</w:t>
      </w:r>
      <w:r w:rsidR="00FE51FA" w:rsidRPr="00770ADA">
        <w:rPr>
          <w:rFonts w:ascii="Arial" w:hAnsi="Arial" w:cs="Arial"/>
          <w:bCs/>
          <w:szCs w:val="28"/>
          <w:lang w:val="en-US"/>
        </w:rPr>
        <w:t xml:space="preserve">eed of </w:t>
      </w:r>
      <w:r w:rsidR="00433D99" w:rsidRPr="00770ADA">
        <w:rPr>
          <w:rFonts w:ascii="Arial" w:hAnsi="Arial" w:cs="Arial"/>
          <w:bCs/>
          <w:szCs w:val="28"/>
          <w:lang w:val="en-US"/>
        </w:rPr>
        <w:t>s</w:t>
      </w:r>
      <w:r w:rsidR="00FE51FA" w:rsidRPr="00770ADA">
        <w:rPr>
          <w:rFonts w:ascii="Arial" w:hAnsi="Arial" w:cs="Arial"/>
          <w:bCs/>
          <w:szCs w:val="28"/>
          <w:lang w:val="en-US"/>
        </w:rPr>
        <w:t>ale</w:t>
      </w:r>
      <w:r w:rsidR="00F013CB" w:rsidRPr="00770ADA">
        <w:rPr>
          <w:rFonts w:ascii="Arial" w:hAnsi="Arial" w:cs="Arial"/>
          <w:bCs/>
          <w:szCs w:val="28"/>
          <w:lang w:val="en-US"/>
        </w:rPr>
        <w:t xml:space="preserve"> when the </w:t>
      </w:r>
      <w:r w:rsidR="008706AB" w:rsidRPr="00770ADA">
        <w:rPr>
          <w:rFonts w:ascii="Arial" w:hAnsi="Arial" w:cs="Arial"/>
          <w:bCs/>
          <w:szCs w:val="28"/>
          <w:lang w:val="en-US"/>
        </w:rPr>
        <w:t>appellant</w:t>
      </w:r>
      <w:r w:rsidR="00F013CB" w:rsidRPr="00770ADA">
        <w:rPr>
          <w:rFonts w:ascii="Arial" w:hAnsi="Arial" w:cs="Arial"/>
          <w:bCs/>
          <w:szCs w:val="28"/>
          <w:lang w:val="en-US"/>
        </w:rPr>
        <w:t xml:space="preserve"> failed to comply with the main part of the order.</w:t>
      </w:r>
      <w:r w:rsidR="00FE51FA" w:rsidRPr="00770ADA">
        <w:rPr>
          <w:rFonts w:ascii="Arial" w:hAnsi="Arial" w:cs="Arial"/>
          <w:bCs/>
          <w:szCs w:val="28"/>
          <w:lang w:val="en-US"/>
        </w:rPr>
        <w:t xml:space="preserve"> He could not have succeeded in the damages claim without first establishing the </w:t>
      </w:r>
      <w:r w:rsidR="00A61E6B" w:rsidRPr="00770ADA">
        <w:rPr>
          <w:rFonts w:ascii="Arial" w:hAnsi="Arial" w:cs="Arial"/>
          <w:bCs/>
          <w:szCs w:val="28"/>
          <w:lang w:val="en-US"/>
        </w:rPr>
        <w:t>appellant's</w:t>
      </w:r>
      <w:r w:rsidR="00FE51FA" w:rsidRPr="00770ADA">
        <w:rPr>
          <w:rFonts w:ascii="Arial" w:hAnsi="Arial" w:cs="Arial"/>
          <w:bCs/>
          <w:szCs w:val="28"/>
          <w:lang w:val="en-US"/>
        </w:rPr>
        <w:t xml:space="preserve"> liability for the damages he suffered.</w:t>
      </w:r>
      <w:r w:rsidR="008539DC" w:rsidRPr="00770ADA">
        <w:rPr>
          <w:rFonts w:ascii="Arial" w:hAnsi="Arial" w:cs="Arial"/>
          <w:bCs/>
          <w:szCs w:val="28"/>
          <w:lang w:val="en-US"/>
        </w:rPr>
        <w:t xml:space="preserve"> That liability for damages was established by way of that order when the appellant failed to comply within the requisite period.</w:t>
      </w:r>
    </w:p>
    <w:p w14:paraId="30348F25" w14:textId="4303597A" w:rsidR="009F3B12" w:rsidRPr="00770ADA" w:rsidRDefault="009F3B12" w:rsidP="00770ADA">
      <w:pPr>
        <w:rPr>
          <w:rFonts w:ascii="Arial" w:hAnsi="Arial" w:cs="Arial"/>
          <w:bCs/>
          <w:szCs w:val="28"/>
          <w:lang w:val="en-US"/>
        </w:rPr>
      </w:pPr>
    </w:p>
    <w:p w14:paraId="075DE388" w14:textId="5C3D5645" w:rsidR="00D41E72" w:rsidRPr="00770ADA" w:rsidRDefault="00F013CB"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 xml:space="preserve">Next comes the </w:t>
      </w:r>
      <w:r w:rsidR="000773FA" w:rsidRPr="00770ADA">
        <w:rPr>
          <w:rFonts w:ascii="Arial" w:hAnsi="Arial" w:cs="Arial"/>
          <w:bCs/>
          <w:szCs w:val="28"/>
          <w:lang w:val="en-US"/>
        </w:rPr>
        <w:t xml:space="preserve">question </w:t>
      </w:r>
      <w:r w:rsidR="00787C84" w:rsidRPr="00770ADA">
        <w:rPr>
          <w:rFonts w:ascii="Arial" w:hAnsi="Arial" w:cs="Arial"/>
          <w:bCs/>
          <w:szCs w:val="28"/>
          <w:lang w:val="en-US"/>
        </w:rPr>
        <w:t xml:space="preserve">of </w:t>
      </w:r>
      <w:r w:rsidR="000773FA" w:rsidRPr="00770ADA">
        <w:rPr>
          <w:rFonts w:ascii="Arial" w:hAnsi="Arial" w:cs="Arial"/>
          <w:bCs/>
          <w:szCs w:val="28"/>
          <w:lang w:val="en-US"/>
        </w:rPr>
        <w:t>whether</w:t>
      </w:r>
      <w:r w:rsidR="00BC0A4F" w:rsidRPr="00770ADA">
        <w:rPr>
          <w:rFonts w:ascii="Arial" w:hAnsi="Arial" w:cs="Arial"/>
          <w:bCs/>
          <w:szCs w:val="28"/>
          <w:lang w:val="en-US"/>
        </w:rPr>
        <w:t xml:space="preserve"> the service of the </w:t>
      </w:r>
      <w:r w:rsidR="000773FA" w:rsidRPr="00770ADA">
        <w:rPr>
          <w:rFonts w:ascii="Arial" w:hAnsi="Arial" w:cs="Arial"/>
          <w:bCs/>
          <w:szCs w:val="28"/>
          <w:lang w:val="en-US"/>
        </w:rPr>
        <w:t>initial application in 2012</w:t>
      </w:r>
      <w:r w:rsidR="00BC0A4F" w:rsidRPr="00770ADA">
        <w:rPr>
          <w:rFonts w:ascii="Arial" w:hAnsi="Arial" w:cs="Arial"/>
          <w:bCs/>
          <w:szCs w:val="28"/>
          <w:lang w:val="en-US"/>
        </w:rPr>
        <w:t xml:space="preserve"> constituted a </w:t>
      </w:r>
      <w:r w:rsidR="00A61E6B" w:rsidRPr="00770ADA">
        <w:rPr>
          <w:rFonts w:ascii="Arial" w:hAnsi="Arial" w:cs="Arial"/>
          <w:bCs/>
          <w:szCs w:val="28"/>
          <w:lang w:val="en-US"/>
        </w:rPr>
        <w:t>'</w:t>
      </w:r>
      <w:r w:rsidR="00BC0A4F" w:rsidRPr="00770ADA">
        <w:rPr>
          <w:rFonts w:ascii="Arial" w:hAnsi="Arial" w:cs="Arial"/>
          <w:bCs/>
          <w:szCs w:val="28"/>
          <w:lang w:val="en-US"/>
        </w:rPr>
        <w:t>step</w:t>
      </w:r>
      <w:r w:rsidR="00A61E6B" w:rsidRPr="00770ADA">
        <w:rPr>
          <w:rFonts w:ascii="Arial" w:hAnsi="Arial" w:cs="Arial"/>
          <w:bCs/>
          <w:szCs w:val="28"/>
          <w:lang w:val="en-US"/>
        </w:rPr>
        <w:t>'</w:t>
      </w:r>
      <w:r w:rsidR="00BC0A4F" w:rsidRPr="00770ADA">
        <w:rPr>
          <w:rFonts w:ascii="Arial" w:hAnsi="Arial" w:cs="Arial"/>
          <w:bCs/>
          <w:szCs w:val="28"/>
          <w:lang w:val="en-US"/>
        </w:rPr>
        <w:t xml:space="preserve"> in </w:t>
      </w:r>
      <w:r w:rsidR="00D3284E" w:rsidRPr="00770ADA">
        <w:rPr>
          <w:rFonts w:ascii="Arial" w:hAnsi="Arial" w:cs="Arial"/>
          <w:bCs/>
          <w:szCs w:val="28"/>
          <w:lang w:val="en-US"/>
        </w:rPr>
        <w:t>enforcing</w:t>
      </w:r>
      <w:r w:rsidR="00BC0A4F" w:rsidRPr="00770ADA">
        <w:rPr>
          <w:rFonts w:ascii="Arial" w:hAnsi="Arial" w:cs="Arial"/>
          <w:bCs/>
          <w:szCs w:val="28"/>
          <w:lang w:val="en-US"/>
        </w:rPr>
        <w:t xml:space="preserve"> a claim for payment of a debt</w:t>
      </w:r>
      <w:r w:rsidR="00312B88" w:rsidRPr="00770ADA">
        <w:rPr>
          <w:rFonts w:ascii="Arial" w:hAnsi="Arial" w:cs="Arial"/>
          <w:bCs/>
          <w:szCs w:val="28"/>
          <w:lang w:val="en-US"/>
        </w:rPr>
        <w:t xml:space="preserve">. </w:t>
      </w:r>
      <w:r w:rsidR="00B854E7" w:rsidRPr="00770ADA">
        <w:rPr>
          <w:rFonts w:ascii="Arial" w:hAnsi="Arial" w:cs="Arial"/>
          <w:bCs/>
          <w:szCs w:val="28"/>
          <w:lang w:val="en-US"/>
        </w:rPr>
        <w:t xml:space="preserve">It is clear that </w:t>
      </w:r>
      <w:r w:rsidR="004719E7" w:rsidRPr="00770ADA">
        <w:rPr>
          <w:rFonts w:ascii="Arial" w:hAnsi="Arial" w:cs="Arial"/>
          <w:bCs/>
          <w:szCs w:val="28"/>
          <w:lang w:val="en-US"/>
        </w:rPr>
        <w:lastRenderedPageBreak/>
        <w:t xml:space="preserve">declaratory order </w:t>
      </w:r>
      <w:r w:rsidR="00E33847" w:rsidRPr="00770ADA">
        <w:rPr>
          <w:rFonts w:ascii="Arial" w:hAnsi="Arial" w:cs="Arial"/>
          <w:bCs/>
          <w:szCs w:val="28"/>
          <w:lang w:val="en-US"/>
        </w:rPr>
        <w:t>granted by Pickering</w:t>
      </w:r>
      <w:r w:rsidR="00F36961" w:rsidRPr="00770ADA">
        <w:rPr>
          <w:rFonts w:ascii="Arial" w:hAnsi="Arial" w:cs="Arial"/>
          <w:bCs/>
          <w:szCs w:val="28"/>
          <w:lang w:val="en-US"/>
        </w:rPr>
        <w:t xml:space="preserve"> J</w:t>
      </w:r>
      <w:r w:rsidR="00E33847" w:rsidRPr="00770ADA">
        <w:rPr>
          <w:rFonts w:ascii="Arial" w:hAnsi="Arial" w:cs="Arial"/>
          <w:bCs/>
          <w:szCs w:val="28"/>
          <w:lang w:val="en-US"/>
        </w:rPr>
        <w:t xml:space="preserve"> determined a key issue that arises in the damages claim, </w:t>
      </w:r>
      <w:r w:rsidR="006A6411" w:rsidRPr="00770ADA">
        <w:rPr>
          <w:rFonts w:ascii="Arial" w:hAnsi="Arial" w:cs="Arial"/>
          <w:bCs/>
          <w:szCs w:val="28"/>
          <w:lang w:val="en-US"/>
        </w:rPr>
        <w:t xml:space="preserve">namely </w:t>
      </w:r>
      <w:r w:rsidR="00E33847" w:rsidRPr="00770ADA">
        <w:rPr>
          <w:rFonts w:ascii="Arial" w:hAnsi="Arial" w:cs="Arial"/>
          <w:bCs/>
          <w:szCs w:val="28"/>
          <w:lang w:val="en-US"/>
        </w:rPr>
        <w:t xml:space="preserve">whether the appellant was liable for damages suffered by the </w:t>
      </w:r>
      <w:r w:rsidR="00433D99" w:rsidRPr="00770ADA">
        <w:rPr>
          <w:rFonts w:ascii="Arial" w:hAnsi="Arial" w:cs="Arial"/>
          <w:bCs/>
          <w:szCs w:val="28"/>
          <w:lang w:val="en-US"/>
        </w:rPr>
        <w:t>respondent</w:t>
      </w:r>
      <w:r w:rsidR="00E33847" w:rsidRPr="00770ADA">
        <w:rPr>
          <w:rFonts w:ascii="Arial" w:hAnsi="Arial" w:cs="Arial"/>
          <w:bCs/>
          <w:szCs w:val="28"/>
          <w:lang w:val="en-US"/>
        </w:rPr>
        <w:t xml:space="preserve">. </w:t>
      </w:r>
      <w:r w:rsidR="001B3F9F" w:rsidRPr="00770ADA">
        <w:rPr>
          <w:rFonts w:ascii="Arial" w:hAnsi="Arial" w:cs="Arial"/>
          <w:bCs/>
          <w:szCs w:val="28"/>
          <w:lang w:val="en-US"/>
        </w:rPr>
        <w:t>The respondent could not succeed in his damages claim without first establi</w:t>
      </w:r>
      <w:r w:rsidR="00433D99" w:rsidRPr="00770ADA">
        <w:rPr>
          <w:rFonts w:ascii="Arial" w:hAnsi="Arial" w:cs="Arial"/>
          <w:bCs/>
          <w:szCs w:val="28"/>
          <w:lang w:val="en-US"/>
        </w:rPr>
        <w:t>shi</w:t>
      </w:r>
      <w:r w:rsidR="001B3F9F" w:rsidRPr="00770ADA">
        <w:rPr>
          <w:rFonts w:ascii="Arial" w:hAnsi="Arial" w:cs="Arial"/>
          <w:bCs/>
          <w:szCs w:val="28"/>
          <w:lang w:val="en-US"/>
        </w:rPr>
        <w:t xml:space="preserve">ng that the appellant was liable for his damages. </w:t>
      </w:r>
      <w:r w:rsidR="004719E7" w:rsidRPr="00770ADA">
        <w:rPr>
          <w:rFonts w:ascii="Arial" w:hAnsi="Arial" w:cs="Arial"/>
          <w:bCs/>
          <w:szCs w:val="28"/>
          <w:lang w:val="en-US"/>
        </w:rPr>
        <w:t>The claim for specific performance</w:t>
      </w:r>
      <w:r w:rsidR="002C4B16" w:rsidRPr="00770ADA">
        <w:rPr>
          <w:rFonts w:ascii="Arial" w:hAnsi="Arial" w:cs="Arial"/>
          <w:bCs/>
          <w:szCs w:val="28"/>
          <w:lang w:val="en-US"/>
        </w:rPr>
        <w:t>, alternatively damages</w:t>
      </w:r>
      <w:r w:rsidR="00F0537B" w:rsidRPr="00770ADA">
        <w:rPr>
          <w:rFonts w:ascii="Arial" w:hAnsi="Arial" w:cs="Arial"/>
          <w:bCs/>
          <w:szCs w:val="28"/>
          <w:lang w:val="en-US"/>
        </w:rPr>
        <w:t>,</w:t>
      </w:r>
      <w:r w:rsidR="002C4B16" w:rsidRPr="00770ADA">
        <w:rPr>
          <w:rFonts w:ascii="Arial" w:hAnsi="Arial" w:cs="Arial"/>
          <w:bCs/>
          <w:szCs w:val="28"/>
          <w:lang w:val="en-US"/>
        </w:rPr>
        <w:t xml:space="preserve"> before Pickering J </w:t>
      </w:r>
      <w:r w:rsidR="004719E7" w:rsidRPr="00770ADA">
        <w:rPr>
          <w:rFonts w:ascii="Arial" w:hAnsi="Arial" w:cs="Arial"/>
          <w:bCs/>
          <w:szCs w:val="28"/>
          <w:lang w:val="en-US"/>
        </w:rPr>
        <w:t xml:space="preserve">accordingly constituted a crucial step in the process of </w:t>
      </w:r>
      <w:r w:rsidR="00C6462F" w:rsidRPr="00770ADA">
        <w:rPr>
          <w:rFonts w:ascii="Arial" w:hAnsi="Arial" w:cs="Arial"/>
          <w:bCs/>
          <w:szCs w:val="28"/>
          <w:lang w:val="en-US"/>
        </w:rPr>
        <w:t xml:space="preserve">recovering </w:t>
      </w:r>
      <w:r w:rsidR="002C4B16" w:rsidRPr="00770ADA">
        <w:rPr>
          <w:rFonts w:ascii="Arial" w:hAnsi="Arial" w:cs="Arial"/>
          <w:bCs/>
          <w:szCs w:val="28"/>
          <w:lang w:val="en-US"/>
        </w:rPr>
        <w:t>the</w:t>
      </w:r>
      <w:r w:rsidR="00C6462F" w:rsidRPr="00770ADA">
        <w:rPr>
          <w:rFonts w:ascii="Arial" w:hAnsi="Arial" w:cs="Arial"/>
          <w:bCs/>
          <w:szCs w:val="28"/>
          <w:lang w:val="en-US"/>
        </w:rPr>
        <w:t xml:space="preserve"> debt</w:t>
      </w:r>
      <w:r w:rsidR="004719E7" w:rsidRPr="00770ADA">
        <w:rPr>
          <w:rFonts w:ascii="Arial" w:hAnsi="Arial" w:cs="Arial"/>
          <w:bCs/>
          <w:szCs w:val="28"/>
          <w:lang w:val="en-US"/>
        </w:rPr>
        <w:t xml:space="preserve">. </w:t>
      </w:r>
    </w:p>
    <w:p w14:paraId="109586C0" w14:textId="535F378F" w:rsidR="00D015CD" w:rsidRPr="00770ADA" w:rsidRDefault="00D015CD" w:rsidP="00770ADA">
      <w:pPr>
        <w:rPr>
          <w:rFonts w:ascii="Arial" w:hAnsi="Arial" w:cs="Arial"/>
          <w:bCs/>
          <w:szCs w:val="28"/>
          <w:lang w:val="en-US"/>
        </w:rPr>
      </w:pPr>
    </w:p>
    <w:p w14:paraId="2C2AAFD2" w14:textId="68F9A785" w:rsidR="00062348" w:rsidRPr="00770ADA" w:rsidRDefault="00C6462F"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Applying the above interpretation</w:t>
      </w:r>
      <w:r w:rsidR="00D015CD" w:rsidRPr="00770ADA">
        <w:rPr>
          <w:rFonts w:ascii="Arial" w:hAnsi="Arial" w:cs="Arial"/>
          <w:bCs/>
          <w:szCs w:val="28"/>
          <w:lang w:val="en-US"/>
        </w:rPr>
        <w:t xml:space="preserve">, </w:t>
      </w:r>
      <w:r w:rsidRPr="00770ADA">
        <w:rPr>
          <w:rFonts w:ascii="Arial" w:hAnsi="Arial" w:cs="Arial"/>
          <w:bCs/>
          <w:szCs w:val="28"/>
          <w:lang w:val="en-US"/>
        </w:rPr>
        <w:t>it follows</w:t>
      </w:r>
      <w:r w:rsidR="00D015CD" w:rsidRPr="00770ADA">
        <w:rPr>
          <w:rFonts w:ascii="Arial" w:hAnsi="Arial" w:cs="Arial"/>
          <w:bCs/>
          <w:szCs w:val="28"/>
          <w:lang w:val="en-US"/>
        </w:rPr>
        <w:t xml:space="preserve"> that the </w:t>
      </w:r>
      <w:r w:rsidR="001C6380" w:rsidRPr="00770ADA">
        <w:rPr>
          <w:rFonts w:ascii="Arial" w:hAnsi="Arial" w:cs="Arial"/>
          <w:bCs/>
          <w:szCs w:val="28"/>
          <w:lang w:val="en-US"/>
        </w:rPr>
        <w:t xml:space="preserve">service of the notice of motion in the application for a </w:t>
      </w:r>
      <w:r w:rsidR="00C14AD4" w:rsidRPr="00770ADA">
        <w:rPr>
          <w:rFonts w:ascii="Arial" w:hAnsi="Arial" w:cs="Arial"/>
          <w:bCs/>
          <w:szCs w:val="28"/>
          <w:lang w:val="en-US"/>
        </w:rPr>
        <w:t>declaratory order</w:t>
      </w:r>
      <w:r w:rsidR="00F87716" w:rsidRPr="00770ADA">
        <w:rPr>
          <w:rFonts w:ascii="Arial" w:hAnsi="Arial" w:cs="Arial"/>
          <w:bCs/>
          <w:szCs w:val="28"/>
          <w:lang w:val="en-US"/>
        </w:rPr>
        <w:t>, alternatively damages,</w:t>
      </w:r>
      <w:r w:rsidR="001C6380" w:rsidRPr="00770ADA">
        <w:rPr>
          <w:rFonts w:ascii="Arial" w:hAnsi="Arial" w:cs="Arial"/>
          <w:bCs/>
          <w:szCs w:val="28"/>
          <w:lang w:val="en-US"/>
        </w:rPr>
        <w:t xml:space="preserve"> in </w:t>
      </w:r>
      <w:r w:rsidR="00D015CD" w:rsidRPr="00770ADA">
        <w:rPr>
          <w:rFonts w:ascii="Arial" w:hAnsi="Arial" w:cs="Arial"/>
          <w:bCs/>
          <w:szCs w:val="28"/>
          <w:lang w:val="en-US"/>
        </w:rPr>
        <w:t>2012 had the effect of interrupting the running of prescription as provided for s</w:t>
      </w:r>
      <w:r w:rsidR="00F93592" w:rsidRPr="00770ADA">
        <w:rPr>
          <w:rFonts w:ascii="Arial" w:hAnsi="Arial" w:cs="Arial"/>
          <w:bCs/>
          <w:szCs w:val="28"/>
          <w:lang w:val="en-US"/>
        </w:rPr>
        <w:t> </w:t>
      </w:r>
      <w:r w:rsidR="00D015CD" w:rsidRPr="00770ADA">
        <w:rPr>
          <w:rFonts w:ascii="Arial" w:hAnsi="Arial" w:cs="Arial"/>
          <w:bCs/>
          <w:szCs w:val="28"/>
          <w:lang w:val="en-US"/>
        </w:rPr>
        <w:t>15(1) of the Act</w:t>
      </w:r>
      <w:r w:rsidR="001C6380" w:rsidRPr="00770ADA">
        <w:rPr>
          <w:rFonts w:ascii="Arial" w:hAnsi="Arial" w:cs="Arial"/>
          <w:bCs/>
          <w:szCs w:val="28"/>
          <w:lang w:val="en-US"/>
        </w:rPr>
        <w:t xml:space="preserve"> in relation to the damages claim in this case</w:t>
      </w:r>
      <w:r w:rsidR="00B56A66" w:rsidRPr="00770ADA">
        <w:rPr>
          <w:rFonts w:ascii="Arial" w:hAnsi="Arial" w:cs="Arial"/>
          <w:bCs/>
          <w:szCs w:val="28"/>
          <w:lang w:val="en-US"/>
        </w:rPr>
        <w:t xml:space="preserve">. </w:t>
      </w:r>
      <w:r w:rsidR="00062348" w:rsidRPr="00770ADA">
        <w:rPr>
          <w:rFonts w:ascii="Arial" w:hAnsi="Arial" w:cs="Arial"/>
          <w:bCs/>
          <w:szCs w:val="28"/>
          <w:lang w:val="en-US"/>
        </w:rPr>
        <w:t>Prescription stands interrupted unless the judgment is abandoned or set aside on appeal</w:t>
      </w:r>
      <w:r w:rsidR="00800235" w:rsidRPr="00770ADA">
        <w:rPr>
          <w:rFonts w:ascii="Arial" w:hAnsi="Arial" w:cs="Arial"/>
          <w:bCs/>
          <w:szCs w:val="28"/>
          <w:lang w:val="en-US"/>
        </w:rPr>
        <w:t>.</w:t>
      </w:r>
      <w:r w:rsidR="00062348" w:rsidRPr="00770ADA">
        <w:rPr>
          <w:rStyle w:val="FootnoteReference"/>
          <w:rFonts w:ascii="Arial" w:hAnsi="Arial" w:cs="Arial"/>
          <w:bCs/>
          <w:szCs w:val="28"/>
          <w:lang w:val="en-US"/>
        </w:rPr>
        <w:footnoteReference w:id="11"/>
      </w:r>
      <w:r w:rsidR="001C6380" w:rsidRPr="00770ADA">
        <w:rPr>
          <w:rFonts w:ascii="Arial" w:hAnsi="Arial" w:cs="Arial"/>
          <w:bCs/>
          <w:szCs w:val="28"/>
          <w:lang w:val="en-US"/>
        </w:rPr>
        <w:t xml:space="preserve"> </w:t>
      </w:r>
      <w:r w:rsidRPr="00770ADA">
        <w:rPr>
          <w:rFonts w:ascii="Arial" w:hAnsi="Arial" w:cs="Arial"/>
          <w:bCs/>
          <w:szCs w:val="28"/>
          <w:lang w:val="en-US"/>
        </w:rPr>
        <w:t xml:space="preserve">The judgment of Pickering J was never abandoned. </w:t>
      </w:r>
      <w:r w:rsidR="001C6380" w:rsidRPr="00770ADA">
        <w:rPr>
          <w:rFonts w:ascii="Arial" w:hAnsi="Arial" w:cs="Arial"/>
          <w:bCs/>
          <w:szCs w:val="28"/>
          <w:lang w:val="en-US"/>
        </w:rPr>
        <w:t xml:space="preserve">This conclusion makes it unnecessary to consider the other arguments raised by the </w:t>
      </w:r>
      <w:r w:rsidR="00800235" w:rsidRPr="00770ADA">
        <w:rPr>
          <w:rFonts w:ascii="Arial" w:hAnsi="Arial" w:cs="Arial"/>
          <w:bCs/>
          <w:szCs w:val="28"/>
          <w:lang w:val="en-US"/>
        </w:rPr>
        <w:t>a</w:t>
      </w:r>
      <w:r w:rsidR="00D3284E" w:rsidRPr="00770ADA">
        <w:rPr>
          <w:rFonts w:ascii="Arial" w:hAnsi="Arial" w:cs="Arial"/>
          <w:bCs/>
          <w:szCs w:val="28"/>
          <w:lang w:val="en-US"/>
        </w:rPr>
        <w:t>ppellant</w:t>
      </w:r>
      <w:r w:rsidR="001C6380" w:rsidRPr="00770ADA">
        <w:rPr>
          <w:rFonts w:ascii="Arial" w:hAnsi="Arial" w:cs="Arial"/>
          <w:bCs/>
          <w:szCs w:val="28"/>
          <w:lang w:val="en-US"/>
        </w:rPr>
        <w:t>.</w:t>
      </w:r>
    </w:p>
    <w:p w14:paraId="4C847D66" w14:textId="77777777" w:rsidR="00062348" w:rsidRPr="00770ADA" w:rsidRDefault="00062348" w:rsidP="00770ADA">
      <w:pPr>
        <w:rPr>
          <w:rFonts w:ascii="Arial" w:hAnsi="Arial" w:cs="Arial"/>
          <w:bCs/>
          <w:szCs w:val="28"/>
          <w:lang w:val="en-US"/>
        </w:rPr>
      </w:pPr>
    </w:p>
    <w:p w14:paraId="21663EAE" w14:textId="24E60020" w:rsidR="00800235" w:rsidRPr="00770ADA" w:rsidRDefault="001C6380" w:rsidP="00770ADA">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 xml:space="preserve">The </w:t>
      </w:r>
      <w:r w:rsidR="00F36961" w:rsidRPr="00770ADA">
        <w:rPr>
          <w:rFonts w:ascii="Arial" w:hAnsi="Arial" w:cs="Arial"/>
          <w:bCs/>
          <w:szCs w:val="28"/>
          <w:lang w:val="en-US"/>
        </w:rPr>
        <w:t>appeal must therefore fail. Costs will follow that result</w:t>
      </w:r>
      <w:r w:rsidR="00312B88" w:rsidRPr="00770ADA">
        <w:rPr>
          <w:rFonts w:ascii="Arial" w:hAnsi="Arial" w:cs="Arial"/>
          <w:bCs/>
          <w:szCs w:val="28"/>
          <w:lang w:val="en-US"/>
        </w:rPr>
        <w:t>,</w:t>
      </w:r>
      <w:r w:rsidR="00F36961" w:rsidRPr="00770ADA">
        <w:rPr>
          <w:rFonts w:ascii="Arial" w:hAnsi="Arial" w:cs="Arial"/>
          <w:bCs/>
          <w:szCs w:val="28"/>
          <w:lang w:val="en-US"/>
        </w:rPr>
        <w:t xml:space="preserve"> but given the simplici</w:t>
      </w:r>
      <w:r w:rsidR="00A94C23" w:rsidRPr="00770ADA">
        <w:rPr>
          <w:rFonts w:ascii="Arial" w:hAnsi="Arial" w:cs="Arial"/>
          <w:bCs/>
          <w:szCs w:val="28"/>
          <w:lang w:val="en-US"/>
        </w:rPr>
        <w:t xml:space="preserve">ty of the matter, the costs of two counsel </w:t>
      </w:r>
      <w:r w:rsidR="00602826" w:rsidRPr="00770ADA">
        <w:rPr>
          <w:rFonts w:ascii="Arial" w:hAnsi="Arial" w:cs="Arial"/>
          <w:bCs/>
          <w:szCs w:val="28"/>
          <w:lang w:val="en-US"/>
        </w:rPr>
        <w:t xml:space="preserve">are </w:t>
      </w:r>
      <w:r w:rsidR="00A94C23" w:rsidRPr="00770ADA">
        <w:rPr>
          <w:rFonts w:ascii="Arial" w:hAnsi="Arial" w:cs="Arial"/>
          <w:bCs/>
          <w:szCs w:val="28"/>
          <w:lang w:val="en-US"/>
        </w:rPr>
        <w:t>not justified.</w:t>
      </w:r>
    </w:p>
    <w:p w14:paraId="35D8121F" w14:textId="77777777" w:rsidR="00800235" w:rsidRPr="00770ADA" w:rsidRDefault="00800235" w:rsidP="00770ADA">
      <w:pPr>
        <w:rPr>
          <w:rFonts w:ascii="Arial" w:hAnsi="Arial" w:cs="Arial"/>
          <w:bCs/>
          <w:szCs w:val="28"/>
          <w:lang w:val="en-US"/>
        </w:rPr>
      </w:pPr>
    </w:p>
    <w:p w14:paraId="4D00C39E" w14:textId="02F6B4F6" w:rsidR="00B52630" w:rsidRPr="006938E5" w:rsidRDefault="002F1672" w:rsidP="006938E5">
      <w:pPr>
        <w:pStyle w:val="ListParagraph"/>
        <w:numPr>
          <w:ilvl w:val="0"/>
          <w:numId w:val="28"/>
        </w:numPr>
        <w:ind w:left="0" w:firstLine="0"/>
        <w:rPr>
          <w:rFonts w:ascii="Arial" w:hAnsi="Arial" w:cs="Arial"/>
          <w:bCs/>
          <w:szCs w:val="28"/>
          <w:lang w:val="en-US"/>
        </w:rPr>
      </w:pPr>
      <w:r w:rsidRPr="00770ADA">
        <w:rPr>
          <w:rFonts w:ascii="Arial" w:hAnsi="Arial" w:cs="Arial"/>
          <w:bCs/>
          <w:szCs w:val="28"/>
          <w:lang w:val="en-US"/>
        </w:rPr>
        <w:t>In the result, the following order is made:</w:t>
      </w:r>
    </w:p>
    <w:p w14:paraId="5DB31F37" w14:textId="51F83887" w:rsidR="00847E93" w:rsidRPr="00770ADA" w:rsidRDefault="002F1672" w:rsidP="00770ADA">
      <w:pPr>
        <w:rPr>
          <w:rFonts w:ascii="Arial" w:hAnsi="Arial" w:cs="Arial"/>
          <w:bCs/>
          <w:szCs w:val="28"/>
          <w:lang w:val="en-US"/>
        </w:rPr>
      </w:pPr>
      <w:r w:rsidRPr="00770ADA">
        <w:rPr>
          <w:rFonts w:ascii="Arial" w:hAnsi="Arial" w:cs="Arial"/>
          <w:bCs/>
          <w:szCs w:val="28"/>
          <w:lang w:val="en-US"/>
        </w:rPr>
        <w:t>The appeal is dismissed</w:t>
      </w:r>
      <w:r w:rsidR="00A94C23" w:rsidRPr="00770ADA">
        <w:rPr>
          <w:rFonts w:ascii="Arial" w:hAnsi="Arial" w:cs="Arial"/>
          <w:bCs/>
          <w:szCs w:val="28"/>
          <w:lang w:val="en-US"/>
        </w:rPr>
        <w:t xml:space="preserve"> with costs</w:t>
      </w:r>
      <w:r w:rsidRPr="00770ADA">
        <w:rPr>
          <w:rFonts w:ascii="Arial" w:hAnsi="Arial" w:cs="Arial"/>
          <w:bCs/>
          <w:szCs w:val="28"/>
          <w:lang w:val="en-US"/>
        </w:rPr>
        <w:t>.</w:t>
      </w:r>
    </w:p>
    <w:p w14:paraId="7BCDB22A" w14:textId="547E00A3" w:rsidR="00C85767" w:rsidRPr="00770ADA" w:rsidRDefault="00C85767" w:rsidP="00770ADA">
      <w:pPr>
        <w:rPr>
          <w:rFonts w:ascii="Arial" w:hAnsi="Arial" w:cs="Arial"/>
          <w:bCs/>
          <w:szCs w:val="28"/>
          <w:lang w:val="en-US"/>
        </w:rPr>
      </w:pPr>
    </w:p>
    <w:p w14:paraId="00EB458F" w14:textId="74ADE612" w:rsidR="00C85767" w:rsidRPr="00770ADA" w:rsidRDefault="00C85767" w:rsidP="00770ADA">
      <w:pPr>
        <w:rPr>
          <w:rFonts w:ascii="Arial" w:hAnsi="Arial" w:cs="Arial"/>
          <w:bCs/>
          <w:szCs w:val="28"/>
          <w:lang w:val="en-US"/>
        </w:rPr>
      </w:pPr>
    </w:p>
    <w:p w14:paraId="4E602E26" w14:textId="77777777" w:rsidR="00C85767" w:rsidRPr="00770ADA" w:rsidRDefault="00C85767" w:rsidP="00770ADA">
      <w:pPr>
        <w:rPr>
          <w:rFonts w:ascii="Arial" w:hAnsi="Arial" w:cs="Arial"/>
          <w:bCs/>
          <w:szCs w:val="28"/>
          <w:lang w:val="en-US"/>
        </w:rPr>
      </w:pPr>
    </w:p>
    <w:p w14:paraId="2F79AB92" w14:textId="1BC0E1A7" w:rsidR="00847E93" w:rsidRPr="00770ADA" w:rsidRDefault="00486DCB" w:rsidP="006938E5">
      <w:pPr>
        <w:ind w:left="4320" w:firstLine="540"/>
        <w:jc w:val="right"/>
        <w:rPr>
          <w:rFonts w:ascii="Arial" w:hAnsi="Arial" w:cs="Arial"/>
          <w:szCs w:val="28"/>
        </w:rPr>
      </w:pPr>
      <w:r w:rsidRPr="00770ADA">
        <w:rPr>
          <w:rFonts w:ascii="Arial" w:hAnsi="Arial" w:cs="Arial"/>
          <w:szCs w:val="28"/>
        </w:rPr>
        <w:t xml:space="preserve">________________________ </w:t>
      </w:r>
    </w:p>
    <w:p w14:paraId="3D365794" w14:textId="225EBEF5" w:rsidR="00E96990" w:rsidRPr="00770ADA" w:rsidRDefault="00602826" w:rsidP="006938E5">
      <w:pPr>
        <w:ind w:firstLine="4860"/>
        <w:jc w:val="right"/>
        <w:rPr>
          <w:rFonts w:ascii="Arial" w:hAnsi="Arial" w:cs="Arial"/>
          <w:szCs w:val="28"/>
        </w:rPr>
      </w:pPr>
      <w:r w:rsidRPr="00770ADA">
        <w:rPr>
          <w:rFonts w:ascii="Arial" w:hAnsi="Arial" w:cs="Arial"/>
          <w:szCs w:val="28"/>
        </w:rPr>
        <w:t xml:space="preserve">                              </w:t>
      </w:r>
      <w:r w:rsidR="00006900" w:rsidRPr="00770ADA">
        <w:rPr>
          <w:rFonts w:ascii="Arial" w:hAnsi="Arial" w:cs="Arial"/>
          <w:szCs w:val="28"/>
        </w:rPr>
        <w:t>K E MATOJANE</w:t>
      </w:r>
    </w:p>
    <w:p w14:paraId="552A4F5B" w14:textId="40F0653E" w:rsidR="00E96990" w:rsidRPr="002676CC" w:rsidRDefault="00602826" w:rsidP="006938E5">
      <w:pPr>
        <w:ind w:firstLine="4860"/>
        <w:jc w:val="right"/>
        <w:rPr>
          <w:rFonts w:ascii="Arial" w:hAnsi="Arial"/>
          <w:szCs w:val="28"/>
        </w:rPr>
      </w:pPr>
      <w:r w:rsidRPr="00770ADA">
        <w:rPr>
          <w:rFonts w:ascii="Arial" w:hAnsi="Arial" w:cs="Arial"/>
          <w:szCs w:val="28"/>
        </w:rPr>
        <w:t xml:space="preserve">        </w:t>
      </w:r>
      <w:r w:rsidR="00E96990" w:rsidRPr="00770ADA">
        <w:rPr>
          <w:rFonts w:ascii="Arial" w:hAnsi="Arial" w:cs="Arial"/>
          <w:szCs w:val="28"/>
        </w:rPr>
        <w:t>ACTING JUDGE OF APPEAL</w:t>
      </w:r>
    </w:p>
    <w:p w14:paraId="4136BD1E" w14:textId="77777777" w:rsidR="00F0537B" w:rsidRDefault="00F0537B" w:rsidP="00866287">
      <w:pPr>
        <w:spacing w:after="160" w:line="259" w:lineRule="auto"/>
        <w:rPr>
          <w:rFonts w:ascii="Arial" w:hAnsi="Arial"/>
          <w:szCs w:val="28"/>
        </w:rPr>
      </w:pPr>
    </w:p>
    <w:p w14:paraId="4622FB7E" w14:textId="77777777" w:rsidR="00770ADA" w:rsidRDefault="00770ADA" w:rsidP="00770ADA">
      <w:pPr>
        <w:rPr>
          <w:rFonts w:ascii="Arial" w:hAnsi="Arial"/>
          <w:szCs w:val="28"/>
        </w:rPr>
      </w:pPr>
    </w:p>
    <w:p w14:paraId="6BA66E89" w14:textId="77777777" w:rsidR="00770ADA" w:rsidRDefault="00770ADA" w:rsidP="00770ADA">
      <w:pPr>
        <w:rPr>
          <w:rFonts w:ascii="Arial" w:hAnsi="Arial"/>
          <w:szCs w:val="28"/>
        </w:rPr>
      </w:pPr>
    </w:p>
    <w:p w14:paraId="67A7F2A9" w14:textId="3C142399" w:rsidR="00F0537B" w:rsidRDefault="00602826" w:rsidP="006938E5">
      <w:pPr>
        <w:rPr>
          <w:rFonts w:ascii="Arial" w:hAnsi="Arial"/>
          <w:szCs w:val="28"/>
        </w:rPr>
      </w:pPr>
      <w:r w:rsidRPr="002676CC">
        <w:rPr>
          <w:rFonts w:ascii="Arial" w:hAnsi="Arial"/>
          <w:szCs w:val="28"/>
        </w:rPr>
        <w:lastRenderedPageBreak/>
        <w:t>APPEARANCES</w:t>
      </w:r>
    </w:p>
    <w:p w14:paraId="4801DF4A" w14:textId="6168CED8" w:rsidR="00800235" w:rsidRPr="002676CC" w:rsidRDefault="00800235" w:rsidP="006938E5">
      <w:pPr>
        <w:rPr>
          <w:rFonts w:ascii="Arial" w:hAnsi="Arial"/>
          <w:szCs w:val="28"/>
        </w:rPr>
      </w:pPr>
    </w:p>
    <w:p w14:paraId="4E7C907E" w14:textId="2452A6B3" w:rsidR="00E96990" w:rsidRPr="002676CC" w:rsidRDefault="00E96990">
      <w:pPr>
        <w:rPr>
          <w:rFonts w:ascii="Arial" w:hAnsi="Arial"/>
          <w:szCs w:val="28"/>
        </w:rPr>
      </w:pPr>
      <w:r w:rsidRPr="002676CC">
        <w:rPr>
          <w:rFonts w:ascii="Arial" w:hAnsi="Arial"/>
          <w:szCs w:val="28"/>
        </w:rPr>
        <w:t xml:space="preserve">For </w:t>
      </w:r>
      <w:r w:rsidR="00602826" w:rsidRPr="002676CC">
        <w:rPr>
          <w:rFonts w:ascii="Arial" w:hAnsi="Arial"/>
          <w:szCs w:val="28"/>
        </w:rPr>
        <w:t>a</w:t>
      </w:r>
      <w:r w:rsidR="00D3284E" w:rsidRPr="002676CC">
        <w:rPr>
          <w:rFonts w:ascii="Arial" w:hAnsi="Arial"/>
          <w:szCs w:val="28"/>
        </w:rPr>
        <w:t>ppellant</w:t>
      </w:r>
      <w:r w:rsidRPr="002676CC">
        <w:rPr>
          <w:rFonts w:ascii="Arial" w:hAnsi="Arial"/>
          <w:szCs w:val="28"/>
        </w:rPr>
        <w:t>:</w:t>
      </w:r>
      <w:r w:rsidR="00800235" w:rsidRPr="002676CC">
        <w:rPr>
          <w:rFonts w:ascii="Arial" w:hAnsi="Arial"/>
          <w:szCs w:val="28"/>
        </w:rPr>
        <w:tab/>
      </w:r>
      <w:r w:rsidR="00800235" w:rsidRPr="002676CC">
        <w:rPr>
          <w:rFonts w:ascii="Arial" w:hAnsi="Arial"/>
          <w:szCs w:val="28"/>
        </w:rPr>
        <w:tab/>
      </w:r>
      <w:r w:rsidR="00800235" w:rsidRPr="002676CC">
        <w:rPr>
          <w:rFonts w:ascii="Arial" w:hAnsi="Arial"/>
          <w:szCs w:val="28"/>
        </w:rPr>
        <w:tab/>
      </w:r>
      <w:r w:rsidR="00F2087A" w:rsidRPr="002676CC">
        <w:rPr>
          <w:rFonts w:ascii="Arial" w:hAnsi="Arial"/>
          <w:szCs w:val="28"/>
        </w:rPr>
        <w:t>R G Buchanan</w:t>
      </w:r>
      <w:r w:rsidR="00F01F32" w:rsidRPr="002676CC">
        <w:rPr>
          <w:rFonts w:ascii="Arial" w:hAnsi="Arial"/>
          <w:szCs w:val="28"/>
        </w:rPr>
        <w:t xml:space="preserve"> SC </w:t>
      </w:r>
    </w:p>
    <w:p w14:paraId="1BC014E8" w14:textId="33925E75" w:rsidR="00E96990" w:rsidRPr="002676CC" w:rsidRDefault="00E96990">
      <w:pPr>
        <w:rPr>
          <w:rFonts w:ascii="Arial" w:hAnsi="Arial"/>
          <w:szCs w:val="28"/>
        </w:rPr>
      </w:pPr>
      <w:r w:rsidRPr="002676CC">
        <w:rPr>
          <w:rFonts w:ascii="Arial" w:hAnsi="Arial"/>
          <w:szCs w:val="28"/>
        </w:rPr>
        <w:t>Instructed by:</w:t>
      </w:r>
      <w:r w:rsidR="00800235" w:rsidRPr="002676CC">
        <w:rPr>
          <w:rFonts w:ascii="Arial" w:hAnsi="Arial"/>
          <w:szCs w:val="28"/>
        </w:rPr>
        <w:tab/>
      </w:r>
      <w:r w:rsidR="00800235" w:rsidRPr="002676CC">
        <w:rPr>
          <w:rFonts w:ascii="Arial" w:hAnsi="Arial"/>
          <w:szCs w:val="28"/>
        </w:rPr>
        <w:tab/>
      </w:r>
      <w:r w:rsidR="00800235" w:rsidRPr="002676CC">
        <w:rPr>
          <w:rFonts w:ascii="Arial" w:hAnsi="Arial"/>
          <w:szCs w:val="28"/>
        </w:rPr>
        <w:tab/>
      </w:r>
      <w:r w:rsidR="00D836C3" w:rsidRPr="002676CC">
        <w:rPr>
          <w:rFonts w:ascii="Arial" w:hAnsi="Arial"/>
          <w:szCs w:val="28"/>
        </w:rPr>
        <w:t xml:space="preserve">Manilal Brewis </w:t>
      </w:r>
      <w:r w:rsidR="00E425A7" w:rsidRPr="002676CC">
        <w:rPr>
          <w:rFonts w:ascii="Arial" w:hAnsi="Arial"/>
          <w:szCs w:val="28"/>
        </w:rPr>
        <w:t>Attorneys</w:t>
      </w:r>
      <w:r w:rsidR="00680129" w:rsidRPr="002676CC">
        <w:rPr>
          <w:rFonts w:ascii="Arial" w:hAnsi="Arial"/>
          <w:szCs w:val="28"/>
        </w:rPr>
        <w:t xml:space="preserve">, </w:t>
      </w:r>
      <w:r w:rsidR="00D836C3" w:rsidRPr="002676CC">
        <w:rPr>
          <w:rFonts w:ascii="Arial" w:hAnsi="Arial"/>
          <w:szCs w:val="28"/>
        </w:rPr>
        <w:t>Port Elizabeth</w:t>
      </w:r>
    </w:p>
    <w:p w14:paraId="32EEC7AC" w14:textId="0CD40DB6" w:rsidR="00F01F32" w:rsidRPr="002676CC" w:rsidRDefault="00D836C3">
      <w:pPr>
        <w:ind w:left="3600"/>
        <w:rPr>
          <w:rFonts w:ascii="Arial" w:hAnsi="Arial"/>
          <w:szCs w:val="28"/>
        </w:rPr>
      </w:pPr>
      <w:r w:rsidRPr="002676CC">
        <w:rPr>
          <w:rFonts w:ascii="Arial" w:hAnsi="Arial"/>
          <w:szCs w:val="28"/>
        </w:rPr>
        <w:t>Symington &amp; De Kok</w:t>
      </w:r>
      <w:r w:rsidR="00F01F32" w:rsidRPr="002676CC">
        <w:rPr>
          <w:rFonts w:ascii="Arial" w:hAnsi="Arial"/>
          <w:szCs w:val="28"/>
        </w:rPr>
        <w:t>, Bloemfontein</w:t>
      </w:r>
    </w:p>
    <w:p w14:paraId="5F01A843" w14:textId="77777777" w:rsidR="00A36151" w:rsidRPr="002676CC" w:rsidRDefault="00A36151">
      <w:pPr>
        <w:rPr>
          <w:rFonts w:ascii="Arial" w:hAnsi="Arial"/>
          <w:szCs w:val="28"/>
        </w:rPr>
      </w:pPr>
    </w:p>
    <w:p w14:paraId="0D6EDE97" w14:textId="3D16A4E7" w:rsidR="00E96990" w:rsidRPr="002676CC" w:rsidRDefault="008A0562">
      <w:pPr>
        <w:tabs>
          <w:tab w:val="left" w:pos="2340"/>
        </w:tabs>
        <w:rPr>
          <w:rFonts w:ascii="Arial" w:hAnsi="Arial"/>
          <w:szCs w:val="28"/>
        </w:rPr>
      </w:pPr>
      <w:r w:rsidRPr="002676CC">
        <w:rPr>
          <w:rFonts w:ascii="Arial" w:hAnsi="Arial"/>
          <w:szCs w:val="28"/>
        </w:rPr>
        <w:t xml:space="preserve">For </w:t>
      </w:r>
      <w:r w:rsidR="00602826" w:rsidRPr="002676CC">
        <w:rPr>
          <w:rFonts w:ascii="Arial" w:hAnsi="Arial"/>
          <w:szCs w:val="28"/>
        </w:rPr>
        <w:t>r</w:t>
      </w:r>
      <w:r w:rsidR="00793F95" w:rsidRPr="002676CC">
        <w:rPr>
          <w:rFonts w:ascii="Arial" w:hAnsi="Arial"/>
          <w:szCs w:val="28"/>
        </w:rPr>
        <w:t>espondent</w:t>
      </w:r>
      <w:r w:rsidRPr="002676CC">
        <w:rPr>
          <w:rFonts w:ascii="Arial" w:hAnsi="Arial"/>
          <w:szCs w:val="28"/>
        </w:rPr>
        <w:t>:</w:t>
      </w:r>
      <w:r w:rsidR="00800235" w:rsidRPr="002676CC">
        <w:rPr>
          <w:rFonts w:ascii="Arial" w:hAnsi="Arial"/>
          <w:szCs w:val="28"/>
        </w:rPr>
        <w:tab/>
      </w:r>
      <w:r w:rsidR="00800235" w:rsidRPr="002676CC">
        <w:rPr>
          <w:rFonts w:ascii="Arial" w:hAnsi="Arial"/>
          <w:szCs w:val="28"/>
        </w:rPr>
        <w:tab/>
      </w:r>
      <w:r w:rsidR="00800235" w:rsidRPr="002676CC">
        <w:rPr>
          <w:rFonts w:ascii="Arial" w:hAnsi="Arial"/>
          <w:szCs w:val="28"/>
        </w:rPr>
        <w:tab/>
      </w:r>
      <w:r w:rsidR="009E36CD" w:rsidRPr="002676CC">
        <w:rPr>
          <w:rFonts w:ascii="Arial" w:hAnsi="Arial"/>
          <w:szCs w:val="28"/>
        </w:rPr>
        <w:t>A Beyleveld SC (with T</w:t>
      </w:r>
      <w:r w:rsidR="00680129" w:rsidRPr="002676CC">
        <w:rPr>
          <w:rFonts w:ascii="Arial" w:hAnsi="Arial"/>
          <w:szCs w:val="28"/>
        </w:rPr>
        <w:t xml:space="preserve"> </w:t>
      </w:r>
      <w:r w:rsidR="009E36CD" w:rsidRPr="002676CC">
        <w:rPr>
          <w:rFonts w:ascii="Arial" w:hAnsi="Arial"/>
          <w:szCs w:val="28"/>
        </w:rPr>
        <w:t>Rossi</w:t>
      </w:r>
      <w:r w:rsidR="00680129" w:rsidRPr="002676CC">
        <w:rPr>
          <w:rFonts w:ascii="Arial" w:hAnsi="Arial"/>
          <w:szCs w:val="28"/>
        </w:rPr>
        <w:t xml:space="preserve">) </w:t>
      </w:r>
    </w:p>
    <w:p w14:paraId="715DF6CF" w14:textId="0A5B2541" w:rsidR="00DD641B" w:rsidRPr="002676CC" w:rsidRDefault="00F01F32">
      <w:pPr>
        <w:rPr>
          <w:rFonts w:ascii="Arial" w:hAnsi="Arial"/>
          <w:szCs w:val="28"/>
        </w:rPr>
      </w:pPr>
      <w:r w:rsidRPr="002676CC">
        <w:rPr>
          <w:rFonts w:ascii="Arial" w:hAnsi="Arial"/>
          <w:szCs w:val="28"/>
        </w:rPr>
        <w:t>Instructed by:</w:t>
      </w:r>
      <w:r w:rsidR="00800235" w:rsidRPr="002676CC">
        <w:rPr>
          <w:rFonts w:ascii="Arial" w:hAnsi="Arial"/>
          <w:szCs w:val="28"/>
        </w:rPr>
        <w:tab/>
      </w:r>
      <w:r w:rsidR="00800235" w:rsidRPr="002676CC">
        <w:rPr>
          <w:rFonts w:ascii="Arial" w:hAnsi="Arial"/>
          <w:szCs w:val="28"/>
        </w:rPr>
        <w:tab/>
      </w:r>
      <w:r w:rsidR="00800235" w:rsidRPr="002676CC">
        <w:rPr>
          <w:rFonts w:ascii="Arial" w:hAnsi="Arial"/>
          <w:szCs w:val="28"/>
        </w:rPr>
        <w:tab/>
      </w:r>
      <w:r w:rsidR="00421A93" w:rsidRPr="002676CC">
        <w:rPr>
          <w:rFonts w:ascii="Arial" w:hAnsi="Arial"/>
          <w:szCs w:val="28"/>
        </w:rPr>
        <w:t>Friedman Scheckter</w:t>
      </w:r>
      <w:r w:rsidR="00DD641B" w:rsidRPr="002676CC">
        <w:rPr>
          <w:rFonts w:ascii="Arial" w:hAnsi="Arial"/>
          <w:szCs w:val="28"/>
        </w:rPr>
        <w:t xml:space="preserve">, </w:t>
      </w:r>
      <w:r w:rsidR="00421A93" w:rsidRPr="002676CC">
        <w:rPr>
          <w:rFonts w:ascii="Arial" w:hAnsi="Arial"/>
          <w:szCs w:val="28"/>
        </w:rPr>
        <w:t>Port Elizabeth</w:t>
      </w:r>
    </w:p>
    <w:p w14:paraId="3CD246A1" w14:textId="2639B986" w:rsidR="00680129" w:rsidRPr="002676CC" w:rsidRDefault="00421A93">
      <w:pPr>
        <w:ind w:left="3600"/>
        <w:rPr>
          <w:rFonts w:ascii="Arial" w:hAnsi="Arial"/>
          <w:szCs w:val="28"/>
        </w:rPr>
      </w:pPr>
      <w:r w:rsidRPr="002676CC">
        <w:rPr>
          <w:rFonts w:ascii="Arial" w:hAnsi="Arial"/>
          <w:szCs w:val="28"/>
        </w:rPr>
        <w:t xml:space="preserve">McIntyre </w:t>
      </w:r>
      <w:r w:rsidR="006107BD">
        <w:rPr>
          <w:rFonts w:ascii="Arial" w:hAnsi="Arial"/>
          <w:szCs w:val="28"/>
        </w:rPr>
        <w:t>V</w:t>
      </w:r>
      <w:r w:rsidRPr="002676CC">
        <w:rPr>
          <w:rFonts w:ascii="Arial" w:hAnsi="Arial"/>
          <w:szCs w:val="28"/>
        </w:rPr>
        <w:t>an der Post</w:t>
      </w:r>
      <w:r w:rsidR="00680129" w:rsidRPr="002676CC">
        <w:rPr>
          <w:rFonts w:ascii="Arial" w:hAnsi="Arial"/>
          <w:szCs w:val="28"/>
        </w:rPr>
        <w:t>, Bloemfontein</w:t>
      </w:r>
    </w:p>
    <w:p w14:paraId="69EC69D3" w14:textId="77777777" w:rsidR="00E96990" w:rsidRPr="002676CC" w:rsidRDefault="00E96990" w:rsidP="00866287">
      <w:pPr>
        <w:rPr>
          <w:rFonts w:ascii="Arial" w:hAnsi="Arial"/>
          <w:szCs w:val="28"/>
        </w:rPr>
      </w:pPr>
      <w:r w:rsidRPr="002676CC">
        <w:rPr>
          <w:rFonts w:ascii="Arial" w:hAnsi="Arial"/>
          <w:szCs w:val="28"/>
        </w:rPr>
        <w:t xml:space="preserve"> </w:t>
      </w:r>
    </w:p>
    <w:sectPr w:rsidR="00E96990" w:rsidRPr="002676CC" w:rsidSect="00FA5553">
      <w:headerReference w:type="even" r:id="rId9"/>
      <w:headerReference w:type="default" r:id="rId10"/>
      <w:head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76139" w14:textId="77777777" w:rsidR="000F5878" w:rsidRDefault="000F5878" w:rsidP="00E96990">
      <w:r>
        <w:separator/>
      </w:r>
    </w:p>
  </w:endnote>
  <w:endnote w:type="continuationSeparator" w:id="0">
    <w:p w14:paraId="314EAF3C" w14:textId="77777777" w:rsidR="000F5878" w:rsidRDefault="000F5878" w:rsidP="00E96990">
      <w:r>
        <w:continuationSeparator/>
      </w:r>
    </w:p>
  </w:endnote>
  <w:endnote w:type="continuationNotice" w:id="1">
    <w:p w14:paraId="0B9787D1" w14:textId="77777777" w:rsidR="000F5878" w:rsidRDefault="000F5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133F3" w14:textId="77777777" w:rsidR="000F5878" w:rsidRDefault="000F5878" w:rsidP="00E96990">
      <w:r>
        <w:separator/>
      </w:r>
    </w:p>
  </w:footnote>
  <w:footnote w:type="continuationSeparator" w:id="0">
    <w:p w14:paraId="560688CA" w14:textId="77777777" w:rsidR="000F5878" w:rsidRDefault="000F5878" w:rsidP="00E96990">
      <w:r>
        <w:continuationSeparator/>
      </w:r>
    </w:p>
  </w:footnote>
  <w:footnote w:type="continuationNotice" w:id="1">
    <w:p w14:paraId="35866B85" w14:textId="77777777" w:rsidR="000F5878" w:rsidRDefault="000F5878"/>
  </w:footnote>
  <w:footnote w:id="2">
    <w:p w14:paraId="32638CDA" w14:textId="28C10158" w:rsidR="0038296A" w:rsidRPr="00673A3F" w:rsidRDefault="0038296A" w:rsidP="00770ADA">
      <w:pPr>
        <w:pStyle w:val="FootnoteText"/>
        <w:spacing w:line="240" w:lineRule="auto"/>
        <w:rPr>
          <w:rFonts w:ascii="Arial" w:hAnsi="Arial" w:cs="Arial"/>
          <w:lang w:val="en-US"/>
        </w:rPr>
      </w:pPr>
      <w:r w:rsidRPr="00A22ACC">
        <w:rPr>
          <w:rStyle w:val="FootnoteReference"/>
          <w:rFonts w:ascii="Arial" w:hAnsi="Arial" w:cs="Arial"/>
        </w:rPr>
        <w:footnoteRef/>
      </w:r>
      <w:r w:rsidRPr="00A22ACC">
        <w:rPr>
          <w:rFonts w:ascii="Arial" w:hAnsi="Arial" w:cs="Arial"/>
        </w:rPr>
        <w:t xml:space="preserve"> </w:t>
      </w:r>
      <w:r w:rsidRPr="00673A3F">
        <w:rPr>
          <w:rFonts w:ascii="Arial" w:hAnsi="Arial" w:cs="Arial"/>
          <w:i/>
          <w:lang w:val="en-US"/>
        </w:rPr>
        <w:t>Du Bruyn v Joubert</w:t>
      </w:r>
      <w:r w:rsidRPr="00673A3F">
        <w:rPr>
          <w:rFonts w:ascii="Arial" w:hAnsi="Arial" w:cs="Arial"/>
          <w:lang w:val="en-US"/>
        </w:rPr>
        <w:t xml:space="preserve"> 1982 (4) SA 691 </w:t>
      </w:r>
      <w:r w:rsidR="00A8059A" w:rsidRPr="00673A3F">
        <w:rPr>
          <w:rFonts w:ascii="Arial" w:hAnsi="Arial" w:cs="Arial"/>
          <w:lang w:val="en-US"/>
        </w:rPr>
        <w:t xml:space="preserve">(W) </w:t>
      </w:r>
      <w:r w:rsidRPr="00673A3F">
        <w:rPr>
          <w:rFonts w:ascii="Arial" w:hAnsi="Arial" w:cs="Arial"/>
          <w:lang w:val="en-US"/>
        </w:rPr>
        <w:t>at 695H-696B</w:t>
      </w:r>
      <w:r w:rsidR="00FE5FBD" w:rsidRPr="00673A3F">
        <w:rPr>
          <w:rFonts w:ascii="Arial" w:hAnsi="Arial" w:cs="Arial"/>
          <w:lang w:val="en-US"/>
        </w:rPr>
        <w:t>;</w:t>
      </w:r>
      <w:r w:rsidRPr="00673A3F">
        <w:rPr>
          <w:rFonts w:ascii="Arial" w:hAnsi="Arial" w:cs="Arial"/>
          <w:lang w:val="en-US"/>
        </w:rPr>
        <w:t xml:space="preserve"> </w:t>
      </w:r>
      <w:r w:rsidRPr="00673A3F">
        <w:rPr>
          <w:rFonts w:ascii="Arial" w:hAnsi="Arial" w:cs="Arial"/>
          <w:i/>
          <w:lang w:val="en-US"/>
        </w:rPr>
        <w:t>Neon and Cold Cathode Illuminations (Pty) Ltd v Ephron</w:t>
      </w:r>
      <w:r w:rsidRPr="00673A3F">
        <w:rPr>
          <w:rFonts w:ascii="Arial" w:hAnsi="Arial" w:cs="Arial"/>
          <w:lang w:val="en-US"/>
        </w:rPr>
        <w:t xml:space="preserve"> 1978 (1) SA 46</w:t>
      </w:r>
      <w:r w:rsidR="00A8059A" w:rsidRPr="00673A3F">
        <w:rPr>
          <w:rFonts w:ascii="Arial" w:hAnsi="Arial" w:cs="Arial"/>
          <w:lang w:val="en-US"/>
        </w:rPr>
        <w:t>3</w:t>
      </w:r>
      <w:r w:rsidRPr="00673A3F">
        <w:rPr>
          <w:rFonts w:ascii="Arial" w:hAnsi="Arial" w:cs="Arial"/>
          <w:lang w:val="en-US"/>
        </w:rPr>
        <w:t xml:space="preserve"> (A) at 470-471</w:t>
      </w:r>
      <w:r w:rsidR="00A8059A" w:rsidRPr="00673A3F">
        <w:rPr>
          <w:rFonts w:ascii="Arial" w:hAnsi="Arial" w:cs="Arial"/>
          <w:lang w:val="en-US"/>
        </w:rPr>
        <w:t>H</w:t>
      </w:r>
      <w:r w:rsidRPr="00673A3F">
        <w:rPr>
          <w:rFonts w:ascii="Arial" w:hAnsi="Arial" w:cs="Arial"/>
          <w:lang w:val="en-US"/>
        </w:rPr>
        <w:t>.</w:t>
      </w:r>
    </w:p>
  </w:footnote>
  <w:footnote w:id="3">
    <w:p w14:paraId="333A65D2" w14:textId="1D176965" w:rsidR="0038296A" w:rsidRPr="00673A3F" w:rsidRDefault="0038296A" w:rsidP="00770ADA">
      <w:pPr>
        <w:pStyle w:val="FootnoteText"/>
        <w:spacing w:line="240" w:lineRule="auto"/>
        <w:rPr>
          <w:rFonts w:ascii="Arial" w:hAnsi="Arial" w:cs="Arial"/>
          <w:lang w:val="en-US"/>
        </w:rPr>
      </w:pPr>
      <w:r w:rsidRPr="00673A3F">
        <w:rPr>
          <w:rStyle w:val="FootnoteReference"/>
          <w:rFonts w:ascii="Arial" w:hAnsi="Arial" w:cs="Arial"/>
        </w:rPr>
        <w:footnoteRef/>
      </w:r>
      <w:r w:rsidRPr="00673A3F">
        <w:rPr>
          <w:rFonts w:ascii="Arial" w:hAnsi="Arial" w:cs="Arial"/>
        </w:rPr>
        <w:t xml:space="preserve"> </w:t>
      </w:r>
      <w:r w:rsidRPr="00673A3F">
        <w:rPr>
          <w:rFonts w:ascii="Arial" w:hAnsi="Arial" w:cs="Arial"/>
          <w:i/>
          <w:lang w:val="en-US"/>
        </w:rPr>
        <w:t>Van der Merwe v Protea Insurance Co Ltd</w:t>
      </w:r>
      <w:r w:rsidRPr="00673A3F">
        <w:rPr>
          <w:rFonts w:ascii="Arial" w:hAnsi="Arial" w:cs="Arial"/>
          <w:lang w:val="en-US"/>
        </w:rPr>
        <w:t xml:space="preserve"> 1982</w:t>
      </w:r>
      <w:r w:rsidR="00A8059A" w:rsidRPr="00673A3F">
        <w:rPr>
          <w:rFonts w:ascii="Arial" w:hAnsi="Arial" w:cs="Arial"/>
          <w:lang w:val="en-US"/>
        </w:rPr>
        <w:t xml:space="preserve"> </w:t>
      </w:r>
      <w:r w:rsidRPr="00673A3F">
        <w:rPr>
          <w:rFonts w:ascii="Arial" w:hAnsi="Arial" w:cs="Arial"/>
          <w:lang w:val="en-US"/>
        </w:rPr>
        <w:t>(1) SA 770 (E) at 773C</w:t>
      </w:r>
      <w:r w:rsidR="00715CAB" w:rsidRPr="00673A3F">
        <w:rPr>
          <w:rFonts w:ascii="Arial" w:hAnsi="Arial" w:cs="Arial"/>
          <w:lang w:val="en-US"/>
        </w:rPr>
        <w:t xml:space="preserve"> </w:t>
      </w:r>
      <w:r w:rsidR="00715CAB" w:rsidRPr="006938E5">
        <w:rPr>
          <w:rFonts w:ascii="Arial" w:hAnsi="Arial" w:cs="Arial"/>
          <w:lang w:val="en-US"/>
        </w:rPr>
        <w:t>(</w:t>
      </w:r>
      <w:r w:rsidR="00715CAB" w:rsidRPr="00673A3F">
        <w:rPr>
          <w:rFonts w:ascii="Arial" w:hAnsi="Arial" w:cs="Arial"/>
          <w:i/>
          <w:lang w:val="en-US"/>
        </w:rPr>
        <w:t>Protea Insurance</w:t>
      </w:r>
      <w:r w:rsidR="00715CAB" w:rsidRPr="006938E5">
        <w:rPr>
          <w:rFonts w:ascii="Arial" w:hAnsi="Arial" w:cs="Arial"/>
          <w:lang w:val="en-US"/>
        </w:rPr>
        <w:t>)</w:t>
      </w:r>
      <w:r w:rsidR="00A22ACC" w:rsidRPr="00673A3F">
        <w:rPr>
          <w:rFonts w:ascii="Arial" w:hAnsi="Arial" w:cs="Arial"/>
          <w:lang w:val="en-US"/>
        </w:rPr>
        <w:t>.</w:t>
      </w:r>
    </w:p>
  </w:footnote>
  <w:footnote w:id="4">
    <w:p w14:paraId="3DF09B4C" w14:textId="26331ACA" w:rsidR="0038296A" w:rsidRPr="00673A3F" w:rsidRDefault="0038296A" w:rsidP="00770ADA">
      <w:pPr>
        <w:pStyle w:val="FootnoteText"/>
        <w:spacing w:line="240" w:lineRule="auto"/>
        <w:rPr>
          <w:rFonts w:ascii="Arial" w:hAnsi="Arial" w:cs="Arial"/>
          <w:lang w:val="en-US"/>
        </w:rPr>
      </w:pPr>
      <w:r w:rsidRPr="00673A3F">
        <w:rPr>
          <w:rStyle w:val="FootnoteReference"/>
          <w:rFonts w:ascii="Arial" w:hAnsi="Arial" w:cs="Arial"/>
        </w:rPr>
        <w:footnoteRef/>
      </w:r>
      <w:r w:rsidRPr="00673A3F">
        <w:rPr>
          <w:rFonts w:ascii="Arial" w:hAnsi="Arial" w:cs="Arial"/>
        </w:rPr>
        <w:t xml:space="preserve"> </w:t>
      </w:r>
      <w:r w:rsidRPr="00673A3F">
        <w:rPr>
          <w:rFonts w:ascii="Arial" w:hAnsi="Arial" w:cs="Arial"/>
          <w:i/>
          <w:lang w:val="en-US"/>
        </w:rPr>
        <w:t xml:space="preserve">Cape Town Municipality and Another v Allianz </w:t>
      </w:r>
      <w:r w:rsidR="00A8059A" w:rsidRPr="00673A3F">
        <w:rPr>
          <w:rFonts w:ascii="Arial" w:hAnsi="Arial" w:cs="Arial"/>
          <w:i/>
          <w:lang w:val="en-US"/>
        </w:rPr>
        <w:t xml:space="preserve">Insurance </w:t>
      </w:r>
      <w:r w:rsidRPr="00673A3F">
        <w:rPr>
          <w:rFonts w:ascii="Arial" w:hAnsi="Arial" w:cs="Arial"/>
          <w:i/>
          <w:lang w:val="en-US"/>
        </w:rPr>
        <w:t>Co Ltd</w:t>
      </w:r>
      <w:r w:rsidRPr="00673A3F">
        <w:rPr>
          <w:rFonts w:ascii="Arial" w:hAnsi="Arial" w:cs="Arial"/>
          <w:lang w:val="en-US"/>
        </w:rPr>
        <w:t xml:space="preserve"> 1990 (1) SA 311 (C)</w:t>
      </w:r>
      <w:r w:rsidR="00715CAB" w:rsidRPr="00673A3F">
        <w:rPr>
          <w:rFonts w:ascii="Arial" w:hAnsi="Arial" w:cs="Arial"/>
          <w:lang w:val="en-US"/>
        </w:rPr>
        <w:t xml:space="preserve"> </w:t>
      </w:r>
      <w:r w:rsidR="00715CAB" w:rsidRPr="006938E5">
        <w:rPr>
          <w:rFonts w:ascii="Arial" w:hAnsi="Arial" w:cs="Arial"/>
          <w:lang w:val="en-US"/>
        </w:rPr>
        <w:t>(</w:t>
      </w:r>
      <w:r w:rsidR="00715CAB" w:rsidRPr="00673A3F">
        <w:rPr>
          <w:rFonts w:ascii="Arial" w:hAnsi="Arial" w:cs="Arial"/>
          <w:i/>
          <w:lang w:val="en-US"/>
        </w:rPr>
        <w:t>Allianz Insurance</w:t>
      </w:r>
      <w:r w:rsidR="00715CAB" w:rsidRPr="006938E5">
        <w:rPr>
          <w:rFonts w:ascii="Arial" w:hAnsi="Arial" w:cs="Arial"/>
          <w:lang w:val="en-US"/>
        </w:rPr>
        <w:t>)</w:t>
      </w:r>
      <w:r w:rsidRPr="00673A3F">
        <w:rPr>
          <w:rFonts w:ascii="Arial" w:hAnsi="Arial" w:cs="Arial"/>
          <w:lang w:val="en-US"/>
        </w:rPr>
        <w:t xml:space="preserve">. </w:t>
      </w:r>
    </w:p>
  </w:footnote>
  <w:footnote w:id="5">
    <w:p w14:paraId="4B33B25A" w14:textId="5330A375" w:rsidR="0038296A" w:rsidRPr="00673A3F" w:rsidRDefault="0038296A" w:rsidP="00770ADA">
      <w:pPr>
        <w:pStyle w:val="FootnoteText"/>
        <w:spacing w:line="240" w:lineRule="auto"/>
        <w:rPr>
          <w:rFonts w:ascii="Arial" w:hAnsi="Arial" w:cs="Arial"/>
        </w:rPr>
      </w:pPr>
      <w:r w:rsidRPr="00673A3F">
        <w:rPr>
          <w:rStyle w:val="FootnoteReference"/>
          <w:rFonts w:ascii="Arial" w:hAnsi="Arial" w:cs="Arial"/>
        </w:rPr>
        <w:footnoteRef/>
      </w:r>
      <w:r w:rsidRPr="00673A3F">
        <w:rPr>
          <w:rFonts w:ascii="Arial" w:hAnsi="Arial" w:cs="Arial"/>
        </w:rPr>
        <w:t xml:space="preserve"> </w:t>
      </w:r>
      <w:r w:rsidRPr="00673A3F">
        <w:rPr>
          <w:rFonts w:ascii="Arial" w:hAnsi="Arial" w:cs="Arial"/>
          <w:iCs/>
        </w:rPr>
        <w:t>Ibid</w:t>
      </w:r>
      <w:r w:rsidRPr="00673A3F">
        <w:rPr>
          <w:rFonts w:ascii="Arial" w:hAnsi="Arial" w:cs="Arial"/>
          <w:i/>
        </w:rPr>
        <w:t xml:space="preserve"> </w:t>
      </w:r>
      <w:r w:rsidR="00A8059A" w:rsidRPr="00673A3F">
        <w:rPr>
          <w:rFonts w:ascii="Arial" w:hAnsi="Arial" w:cs="Arial"/>
        </w:rPr>
        <w:t xml:space="preserve">at </w:t>
      </w:r>
      <w:r w:rsidRPr="00673A3F">
        <w:rPr>
          <w:rFonts w:ascii="Arial" w:hAnsi="Arial" w:cs="Arial"/>
        </w:rPr>
        <w:t>333G.</w:t>
      </w:r>
    </w:p>
  </w:footnote>
  <w:footnote w:id="6">
    <w:p w14:paraId="4BF79A10" w14:textId="7612CB5F" w:rsidR="0038296A" w:rsidRPr="00A22ACC" w:rsidRDefault="0038296A" w:rsidP="00770ADA">
      <w:pPr>
        <w:pStyle w:val="FootnoteText"/>
        <w:spacing w:line="240" w:lineRule="auto"/>
        <w:rPr>
          <w:rFonts w:ascii="Arial" w:hAnsi="Arial" w:cs="Arial"/>
          <w:lang w:val="en-US"/>
        </w:rPr>
      </w:pPr>
      <w:r w:rsidRPr="00C14AD4">
        <w:rPr>
          <w:rStyle w:val="FootnoteReference"/>
          <w:rFonts w:ascii="Arial" w:hAnsi="Arial" w:cs="Arial"/>
        </w:rPr>
        <w:footnoteRef/>
      </w:r>
      <w:r w:rsidRPr="00C14AD4">
        <w:rPr>
          <w:rFonts w:ascii="Arial" w:hAnsi="Arial" w:cs="Arial"/>
        </w:rPr>
        <w:t xml:space="preserve"> </w:t>
      </w:r>
      <w:r w:rsidR="00A8059A" w:rsidRPr="00A22ACC">
        <w:rPr>
          <w:rFonts w:ascii="Arial" w:hAnsi="Arial" w:cs="Arial"/>
          <w:lang w:val="en-US"/>
        </w:rPr>
        <w:t>Ibid</w:t>
      </w:r>
      <w:r w:rsidRPr="00A22ACC">
        <w:rPr>
          <w:rFonts w:ascii="Arial" w:hAnsi="Arial" w:cs="Arial"/>
          <w:lang w:val="en-US"/>
        </w:rPr>
        <w:t>.</w:t>
      </w:r>
    </w:p>
  </w:footnote>
  <w:footnote w:id="7">
    <w:p w14:paraId="64D6AEAC" w14:textId="52AABD7C" w:rsidR="0038296A" w:rsidRPr="00C14AD4" w:rsidRDefault="0038296A" w:rsidP="00770ADA">
      <w:pPr>
        <w:pStyle w:val="FootnoteText"/>
        <w:spacing w:line="240" w:lineRule="auto"/>
        <w:rPr>
          <w:rFonts w:ascii="Arial" w:hAnsi="Arial" w:cs="Arial"/>
          <w:lang w:val="en-ZA"/>
        </w:rPr>
      </w:pPr>
      <w:r w:rsidRPr="00C14AD4">
        <w:rPr>
          <w:rStyle w:val="FootnoteReference"/>
          <w:rFonts w:ascii="Arial" w:hAnsi="Arial" w:cs="Arial"/>
        </w:rPr>
        <w:footnoteRef/>
      </w:r>
      <w:r w:rsidRPr="00C14AD4">
        <w:rPr>
          <w:rFonts w:ascii="Arial" w:hAnsi="Arial" w:cs="Arial"/>
        </w:rPr>
        <w:t xml:space="preserve"> </w:t>
      </w:r>
      <w:r w:rsidR="00A8059A" w:rsidRPr="00A22ACC">
        <w:rPr>
          <w:rFonts w:ascii="Arial" w:hAnsi="Arial" w:cs="Arial"/>
          <w:i/>
          <w:lang w:val="en-US"/>
        </w:rPr>
        <w:t xml:space="preserve">Allianz Insurance </w:t>
      </w:r>
      <w:r w:rsidR="00A22ACC" w:rsidRPr="00A22ACC">
        <w:rPr>
          <w:rFonts w:ascii="Arial" w:hAnsi="Arial" w:cs="Arial"/>
          <w:lang w:val="en-US"/>
        </w:rPr>
        <w:t>fn 5 above.</w:t>
      </w:r>
    </w:p>
  </w:footnote>
  <w:footnote w:id="8">
    <w:p w14:paraId="4EBB6938" w14:textId="07C82564" w:rsidR="0038296A" w:rsidRPr="00611140" w:rsidRDefault="0038296A" w:rsidP="00770ADA">
      <w:pPr>
        <w:pStyle w:val="FootnoteText"/>
        <w:spacing w:line="240" w:lineRule="auto"/>
        <w:rPr>
          <w:rFonts w:ascii="Arial" w:hAnsi="Arial" w:cs="Arial"/>
          <w:lang w:val="en-ZA"/>
        </w:rPr>
      </w:pPr>
      <w:r w:rsidRPr="00E27EB5">
        <w:rPr>
          <w:rStyle w:val="FootnoteReference"/>
          <w:rFonts w:ascii="Arial" w:hAnsi="Arial" w:cs="Arial"/>
        </w:rPr>
        <w:footnoteRef/>
      </w:r>
      <w:r w:rsidRPr="00E27EB5">
        <w:rPr>
          <w:rFonts w:ascii="Arial" w:hAnsi="Arial" w:cs="Arial"/>
        </w:rPr>
        <w:t xml:space="preserve"> </w:t>
      </w:r>
      <w:r w:rsidR="00A22ACC" w:rsidRPr="00E27EB5">
        <w:rPr>
          <w:rFonts w:ascii="Arial" w:hAnsi="Arial" w:cs="Arial"/>
          <w:lang w:val="en-US"/>
        </w:rPr>
        <w:t>Ibid at</w:t>
      </w:r>
      <w:r w:rsidRPr="00611140">
        <w:rPr>
          <w:rFonts w:ascii="Arial" w:hAnsi="Arial" w:cs="Arial"/>
          <w:lang w:val="en-US"/>
        </w:rPr>
        <w:t xml:space="preserve"> 334H-J.</w:t>
      </w:r>
    </w:p>
  </w:footnote>
  <w:footnote w:id="9">
    <w:p w14:paraId="12BEA4BF" w14:textId="13BDD537" w:rsidR="00F36961" w:rsidRPr="00611140" w:rsidRDefault="00F36961" w:rsidP="00770ADA">
      <w:pPr>
        <w:pStyle w:val="FootnoteText"/>
        <w:spacing w:line="240" w:lineRule="auto"/>
        <w:rPr>
          <w:rFonts w:ascii="Arial" w:hAnsi="Arial" w:cs="Arial"/>
          <w:lang w:val="en-ZA"/>
        </w:rPr>
      </w:pPr>
      <w:r w:rsidRPr="00B1403F">
        <w:rPr>
          <w:rStyle w:val="FootnoteReference"/>
          <w:rFonts w:ascii="Arial" w:hAnsi="Arial" w:cs="Arial"/>
        </w:rPr>
        <w:footnoteRef/>
      </w:r>
      <w:r w:rsidRPr="00B1403F">
        <w:rPr>
          <w:rFonts w:ascii="Arial" w:hAnsi="Arial" w:cs="Arial"/>
        </w:rPr>
        <w:t xml:space="preserve"> </w:t>
      </w:r>
      <w:r w:rsidRPr="00E27EB5">
        <w:rPr>
          <w:rFonts w:ascii="Arial" w:hAnsi="Arial" w:cs="Arial"/>
          <w:i/>
          <w:lang w:val="en-ZA"/>
        </w:rPr>
        <w:t>Cadac (Pty) Ltd v Weber-Stephen Products Company and Others</w:t>
      </w:r>
      <w:r w:rsidRPr="00611140">
        <w:rPr>
          <w:rFonts w:ascii="Arial" w:hAnsi="Arial" w:cs="Arial"/>
          <w:lang w:val="en-ZA"/>
        </w:rPr>
        <w:t xml:space="preserve"> </w:t>
      </w:r>
      <w:r w:rsidR="0055281B">
        <w:rPr>
          <w:rFonts w:ascii="Arial" w:hAnsi="Arial" w:cs="Arial"/>
          <w:lang w:val="en-ZA"/>
        </w:rPr>
        <w:t>[</w:t>
      </w:r>
      <w:r w:rsidR="0055281B" w:rsidRPr="0055281B">
        <w:rPr>
          <w:rFonts w:ascii="Arial" w:hAnsi="Arial" w:cs="Arial"/>
          <w:lang w:val="en-ZA"/>
        </w:rPr>
        <w:t>2010] ZASCA 105; [2011] 1 All SA 343 (SCA);</w:t>
      </w:r>
      <w:r w:rsidR="0055281B">
        <w:rPr>
          <w:rFonts w:ascii="Arial" w:hAnsi="Arial" w:cs="Arial"/>
          <w:lang w:val="en-ZA"/>
        </w:rPr>
        <w:t xml:space="preserve"> </w:t>
      </w:r>
      <w:r w:rsidRPr="00611140">
        <w:rPr>
          <w:rFonts w:ascii="Arial" w:hAnsi="Arial" w:cs="Arial"/>
          <w:lang w:val="en-ZA"/>
        </w:rPr>
        <w:t>2011 (3) SA 570 (SCA) para 19.</w:t>
      </w:r>
    </w:p>
  </w:footnote>
  <w:footnote w:id="10">
    <w:p w14:paraId="6B44A0E3" w14:textId="7EDC143E" w:rsidR="00F36961" w:rsidRPr="00611140" w:rsidRDefault="00F36961" w:rsidP="00770ADA">
      <w:pPr>
        <w:pStyle w:val="FootnoteText"/>
        <w:spacing w:line="240" w:lineRule="auto"/>
        <w:rPr>
          <w:rFonts w:ascii="Arial" w:hAnsi="Arial" w:cs="Arial"/>
          <w:lang w:val="en-ZA"/>
        </w:rPr>
      </w:pPr>
      <w:r w:rsidRPr="00B1403F">
        <w:rPr>
          <w:rStyle w:val="FootnoteReference"/>
          <w:rFonts w:ascii="Arial" w:hAnsi="Arial" w:cs="Arial"/>
        </w:rPr>
        <w:footnoteRef/>
      </w:r>
      <w:r w:rsidRPr="00B1403F">
        <w:rPr>
          <w:rFonts w:ascii="Arial" w:hAnsi="Arial" w:cs="Arial"/>
        </w:rPr>
        <w:t xml:space="preserve"> </w:t>
      </w:r>
      <w:r w:rsidRPr="00E27EB5">
        <w:rPr>
          <w:rFonts w:ascii="Arial" w:hAnsi="Arial" w:cs="Arial"/>
          <w:i/>
          <w:lang w:val="en-ZA"/>
        </w:rPr>
        <w:t>Peter Taylor &amp; Associates v Bell Estates (Pty) Ltd</w:t>
      </w:r>
      <w:r w:rsidRPr="00E27EB5">
        <w:rPr>
          <w:rFonts w:ascii="Arial" w:hAnsi="Arial" w:cs="Arial"/>
          <w:lang w:val="en-ZA"/>
        </w:rPr>
        <w:t xml:space="preserve"> </w:t>
      </w:r>
      <w:r w:rsidR="0055281B">
        <w:rPr>
          <w:rFonts w:ascii="Arial" w:hAnsi="Arial" w:cs="Arial"/>
          <w:i/>
          <w:lang w:val="en-ZA"/>
        </w:rPr>
        <w:t xml:space="preserve">and Another </w:t>
      </w:r>
      <w:r w:rsidR="0055281B" w:rsidRPr="00484C04">
        <w:rPr>
          <w:rFonts w:ascii="Arial" w:hAnsi="Arial" w:cs="Arial"/>
          <w:lang w:val="en-ZA"/>
        </w:rPr>
        <w:t>[2013] ZASCA 94;</w:t>
      </w:r>
      <w:r w:rsidR="0055281B">
        <w:rPr>
          <w:rFonts w:ascii="Arial" w:hAnsi="Arial" w:cs="Arial"/>
          <w:lang w:val="en-ZA"/>
        </w:rPr>
        <w:t xml:space="preserve"> </w:t>
      </w:r>
      <w:r w:rsidRPr="00E27EB5">
        <w:rPr>
          <w:rFonts w:ascii="Arial" w:hAnsi="Arial" w:cs="Arial"/>
          <w:lang w:val="en-ZA"/>
        </w:rPr>
        <w:t>2014 (2) SA 312 (SCA) paras 12-16.</w:t>
      </w:r>
    </w:p>
  </w:footnote>
  <w:footnote w:id="11">
    <w:p w14:paraId="14D4A9BF" w14:textId="0F8F0B3F" w:rsidR="0038296A" w:rsidRPr="00A22ACC" w:rsidRDefault="0038296A" w:rsidP="00770ADA">
      <w:pPr>
        <w:pStyle w:val="FootnoteText"/>
        <w:spacing w:line="240" w:lineRule="auto"/>
        <w:rPr>
          <w:rFonts w:ascii="Arial" w:hAnsi="Arial" w:cs="Arial"/>
          <w:lang w:val="en-US"/>
        </w:rPr>
      </w:pPr>
      <w:r w:rsidRPr="00A22ACC">
        <w:rPr>
          <w:rStyle w:val="FootnoteReference"/>
          <w:rFonts w:ascii="Arial" w:hAnsi="Arial" w:cs="Arial"/>
        </w:rPr>
        <w:footnoteRef/>
      </w:r>
      <w:r w:rsidRPr="00A22ACC">
        <w:rPr>
          <w:rFonts w:ascii="Arial" w:hAnsi="Arial" w:cs="Arial"/>
        </w:rPr>
        <w:t xml:space="preserve"> </w:t>
      </w:r>
      <w:r w:rsidRPr="00A22ACC">
        <w:rPr>
          <w:rFonts w:ascii="Arial" w:hAnsi="Arial" w:cs="Arial"/>
          <w:i/>
          <w:lang w:val="en-US"/>
        </w:rPr>
        <w:t xml:space="preserve">Protea Insurance </w:t>
      </w:r>
      <w:r w:rsidR="00A22ACC" w:rsidRPr="00A22ACC">
        <w:rPr>
          <w:rFonts w:ascii="Arial" w:hAnsi="Arial" w:cs="Arial"/>
          <w:lang w:val="en-US"/>
        </w:rPr>
        <w:t xml:space="preserve">fn </w:t>
      </w:r>
      <w:r w:rsidR="00F0537B">
        <w:rPr>
          <w:rFonts w:ascii="Arial" w:hAnsi="Arial" w:cs="Arial"/>
          <w:lang w:val="en-US"/>
        </w:rPr>
        <w:t>2</w:t>
      </w:r>
      <w:r w:rsidR="00A22ACC" w:rsidRPr="00A22ACC">
        <w:rPr>
          <w:rFonts w:ascii="Arial" w:hAnsi="Arial" w:cs="Arial"/>
          <w:lang w:val="en-US"/>
        </w:rPr>
        <w:t xml:space="preserve"> above.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9D5A" w14:textId="77777777" w:rsidR="0038296A" w:rsidRDefault="003829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C5BB6" w14:textId="77777777" w:rsidR="0038296A" w:rsidRDefault="0038296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4425"/>
      <w:docPartObj>
        <w:docPartGallery w:val="Page Numbers (Top of Page)"/>
        <w:docPartUnique/>
      </w:docPartObj>
    </w:sdtPr>
    <w:sdtEndPr>
      <w:rPr>
        <w:noProof/>
      </w:rPr>
    </w:sdtEndPr>
    <w:sdtContent>
      <w:p w14:paraId="10539C05" w14:textId="207208B4" w:rsidR="0038296A" w:rsidRDefault="0038296A">
        <w:pPr>
          <w:pStyle w:val="Header"/>
          <w:jc w:val="right"/>
        </w:pPr>
        <w:r>
          <w:fldChar w:fldCharType="begin"/>
        </w:r>
        <w:r>
          <w:instrText xml:space="preserve"> PAGE   \* MERGEFORMAT </w:instrText>
        </w:r>
        <w:r>
          <w:fldChar w:fldCharType="separate"/>
        </w:r>
        <w:r w:rsidR="00763CC8">
          <w:rPr>
            <w:noProof/>
          </w:rPr>
          <w:t>2</w:t>
        </w:r>
        <w:r>
          <w:rPr>
            <w:noProof/>
          </w:rPr>
          <w:fldChar w:fldCharType="end"/>
        </w:r>
      </w:p>
    </w:sdtContent>
  </w:sdt>
  <w:p w14:paraId="729526EF" w14:textId="77777777" w:rsidR="0038296A" w:rsidRDefault="0038296A">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2507AE9C" w14:textId="77777777" w:rsidR="0038296A" w:rsidRDefault="000F5878">
        <w:pPr>
          <w:pStyle w:val="Header"/>
          <w:jc w:val="right"/>
        </w:pPr>
      </w:p>
    </w:sdtContent>
  </w:sdt>
  <w:p w14:paraId="32C264C0" w14:textId="77777777" w:rsidR="0038296A" w:rsidRDefault="003829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C10"/>
    <w:multiLevelType w:val="multilevel"/>
    <w:tmpl w:val="C51C6B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9FE7929"/>
    <w:multiLevelType w:val="hybridMultilevel"/>
    <w:tmpl w:val="6780EFDC"/>
    <w:lvl w:ilvl="0" w:tplc="4A448992">
      <w:start w:val="1"/>
      <w:numFmt w:val="decimal"/>
      <w:lvlText w:val="[%1]"/>
      <w:lvlJc w:val="left"/>
      <w:pPr>
        <w:ind w:left="45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6F22"/>
    <w:multiLevelType w:val="hybridMultilevel"/>
    <w:tmpl w:val="041E308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242539"/>
    <w:multiLevelType w:val="hybridMultilevel"/>
    <w:tmpl w:val="AB0EB7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13329F"/>
    <w:multiLevelType w:val="hybridMultilevel"/>
    <w:tmpl w:val="C91E2C50"/>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EF21F0"/>
    <w:multiLevelType w:val="multilevel"/>
    <w:tmpl w:val="67FA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F1A9B"/>
    <w:multiLevelType w:val="multilevel"/>
    <w:tmpl w:val="67FA7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5059D"/>
    <w:multiLevelType w:val="hybridMultilevel"/>
    <w:tmpl w:val="293AEB5A"/>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C70603"/>
    <w:multiLevelType w:val="hybridMultilevel"/>
    <w:tmpl w:val="26A639A4"/>
    <w:lvl w:ilvl="0" w:tplc="C8B4379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205B7E72"/>
    <w:multiLevelType w:val="hybridMultilevel"/>
    <w:tmpl w:val="22E2B4CC"/>
    <w:lvl w:ilvl="0" w:tplc="6B147C4E">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A47E08"/>
    <w:multiLevelType w:val="hybridMultilevel"/>
    <w:tmpl w:val="B8E47664"/>
    <w:lvl w:ilvl="0" w:tplc="04090001">
      <w:start w:val="1"/>
      <w:numFmt w:val="bullet"/>
      <w:lvlText w:val=""/>
      <w:lvlJc w:val="left"/>
      <w:pPr>
        <w:ind w:left="450" w:firstLine="0"/>
      </w:pPr>
      <w:rPr>
        <w:rFonts w:ascii="Symbol" w:hAnsi="Symbol"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81F0C"/>
    <w:multiLevelType w:val="hybridMultilevel"/>
    <w:tmpl w:val="22E2B4CC"/>
    <w:lvl w:ilvl="0" w:tplc="6B147C4E">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59C5D2C"/>
    <w:multiLevelType w:val="multilevel"/>
    <w:tmpl w:val="67FA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F14F6D"/>
    <w:multiLevelType w:val="multilevel"/>
    <w:tmpl w:val="A16E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83466"/>
    <w:multiLevelType w:val="hybridMultilevel"/>
    <w:tmpl w:val="81FACA6E"/>
    <w:lvl w:ilvl="0" w:tplc="BDB0C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D4561"/>
    <w:multiLevelType w:val="multilevel"/>
    <w:tmpl w:val="67FA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2A420B"/>
    <w:multiLevelType w:val="hybridMultilevel"/>
    <w:tmpl w:val="23E2F10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C505203"/>
    <w:multiLevelType w:val="multilevel"/>
    <w:tmpl w:val="67FA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3A5174"/>
    <w:multiLevelType w:val="hybridMultilevel"/>
    <w:tmpl w:val="830E23E4"/>
    <w:lvl w:ilvl="0" w:tplc="9DDC9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C38EC"/>
    <w:multiLevelType w:val="hybridMultilevel"/>
    <w:tmpl w:val="3080082E"/>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F9655D6"/>
    <w:multiLevelType w:val="hybridMultilevel"/>
    <w:tmpl w:val="885A7A7C"/>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7452067"/>
    <w:multiLevelType w:val="hybridMultilevel"/>
    <w:tmpl w:val="2FC4DBA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75D30AB"/>
    <w:multiLevelType w:val="hybridMultilevel"/>
    <w:tmpl w:val="A3B00F2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7E86C05"/>
    <w:multiLevelType w:val="hybridMultilevel"/>
    <w:tmpl w:val="56461010"/>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E18506C"/>
    <w:multiLevelType w:val="multilevel"/>
    <w:tmpl w:val="67FA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FE2C73"/>
    <w:multiLevelType w:val="hybridMultilevel"/>
    <w:tmpl w:val="45727A72"/>
    <w:lvl w:ilvl="0" w:tplc="111CC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848CF"/>
    <w:multiLevelType w:val="hybridMultilevel"/>
    <w:tmpl w:val="5B9A9862"/>
    <w:lvl w:ilvl="0" w:tplc="721AE13A">
      <w:start w:val="1"/>
      <w:numFmt w:val="decimal"/>
      <w:lvlText w:val="[%1]"/>
      <w:lvlJc w:val="left"/>
      <w:pPr>
        <w:ind w:left="360" w:hanging="360"/>
      </w:pPr>
      <w:rPr>
        <w:rFonts w:ascii="Arial" w:hAnsi="Arial" w:cs="Arial" w:hint="default"/>
        <w:b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6"/>
  </w:num>
  <w:num w:numId="3">
    <w:abstractNumId w:val="11"/>
  </w:num>
  <w:num w:numId="4">
    <w:abstractNumId w:val="27"/>
  </w:num>
  <w:num w:numId="5">
    <w:abstractNumId w:val="3"/>
  </w:num>
  <w:num w:numId="6">
    <w:abstractNumId w:val="8"/>
  </w:num>
  <w:num w:numId="7">
    <w:abstractNumId w:val="9"/>
  </w:num>
  <w:num w:numId="8">
    <w:abstractNumId w:val="13"/>
    <w:lvlOverride w:ilvl="0">
      <w:startOverride w:val="89"/>
    </w:lvlOverride>
  </w:num>
  <w:num w:numId="9">
    <w:abstractNumId w:val="25"/>
  </w:num>
  <w:num w:numId="10">
    <w:abstractNumId w:val="12"/>
    <w:lvlOverride w:ilvl="0">
      <w:startOverride w:val="62"/>
    </w:lvlOverride>
  </w:num>
  <w:num w:numId="11">
    <w:abstractNumId w:val="5"/>
  </w:num>
  <w:num w:numId="12">
    <w:abstractNumId w:val="24"/>
  </w:num>
  <w:num w:numId="13">
    <w:abstractNumId w:val="0"/>
  </w:num>
  <w:num w:numId="14">
    <w:abstractNumId w:val="6"/>
  </w:num>
  <w:num w:numId="15">
    <w:abstractNumId w:val="10"/>
  </w:num>
  <w:num w:numId="16">
    <w:abstractNumId w:val="15"/>
    <w:lvlOverride w:ilvl="0">
      <w:startOverride w:val="4"/>
    </w:lvlOverride>
  </w:num>
  <w:num w:numId="17">
    <w:abstractNumId w:val="17"/>
  </w:num>
  <w:num w:numId="18">
    <w:abstractNumId w:val="18"/>
  </w:num>
  <w:num w:numId="19">
    <w:abstractNumId w:val="14"/>
  </w:num>
  <w:num w:numId="20">
    <w:abstractNumId w:val="4"/>
  </w:num>
  <w:num w:numId="21">
    <w:abstractNumId w:val="16"/>
  </w:num>
  <w:num w:numId="22">
    <w:abstractNumId w:val="22"/>
  </w:num>
  <w:num w:numId="23">
    <w:abstractNumId w:val="23"/>
  </w:num>
  <w:num w:numId="24">
    <w:abstractNumId w:val="20"/>
  </w:num>
  <w:num w:numId="25">
    <w:abstractNumId w:val="19"/>
  </w:num>
  <w:num w:numId="26">
    <w:abstractNumId w:val="21"/>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90"/>
    <w:rsid w:val="00001CFC"/>
    <w:rsid w:val="00006607"/>
    <w:rsid w:val="00006900"/>
    <w:rsid w:val="00010272"/>
    <w:rsid w:val="0001472D"/>
    <w:rsid w:val="0001621D"/>
    <w:rsid w:val="00021177"/>
    <w:rsid w:val="00023EF6"/>
    <w:rsid w:val="000250CE"/>
    <w:rsid w:val="0002542D"/>
    <w:rsid w:val="000262DC"/>
    <w:rsid w:val="00030FB1"/>
    <w:rsid w:val="0003135D"/>
    <w:rsid w:val="00031497"/>
    <w:rsid w:val="00031E1D"/>
    <w:rsid w:val="0004015F"/>
    <w:rsid w:val="00040F46"/>
    <w:rsid w:val="000414DF"/>
    <w:rsid w:val="0004261C"/>
    <w:rsid w:val="000445D1"/>
    <w:rsid w:val="00047F3E"/>
    <w:rsid w:val="0005038B"/>
    <w:rsid w:val="000532A7"/>
    <w:rsid w:val="00055BFE"/>
    <w:rsid w:val="00062348"/>
    <w:rsid w:val="000627EF"/>
    <w:rsid w:val="00062E3A"/>
    <w:rsid w:val="00064B18"/>
    <w:rsid w:val="00064C9A"/>
    <w:rsid w:val="000709E7"/>
    <w:rsid w:val="00074C17"/>
    <w:rsid w:val="00074C66"/>
    <w:rsid w:val="000773FA"/>
    <w:rsid w:val="0008257A"/>
    <w:rsid w:val="0008274D"/>
    <w:rsid w:val="000829DE"/>
    <w:rsid w:val="00083F39"/>
    <w:rsid w:val="00085A38"/>
    <w:rsid w:val="00094649"/>
    <w:rsid w:val="000A0B0D"/>
    <w:rsid w:val="000A5D3C"/>
    <w:rsid w:val="000A5D4F"/>
    <w:rsid w:val="000B00CF"/>
    <w:rsid w:val="000B08F0"/>
    <w:rsid w:val="000B0B84"/>
    <w:rsid w:val="000B0CD5"/>
    <w:rsid w:val="000B3833"/>
    <w:rsid w:val="000B3CDF"/>
    <w:rsid w:val="000B3F80"/>
    <w:rsid w:val="000B659C"/>
    <w:rsid w:val="000C1187"/>
    <w:rsid w:val="000C12F3"/>
    <w:rsid w:val="000C3BF5"/>
    <w:rsid w:val="000C464F"/>
    <w:rsid w:val="000C4851"/>
    <w:rsid w:val="000C66A8"/>
    <w:rsid w:val="000C7C2A"/>
    <w:rsid w:val="000D3EB9"/>
    <w:rsid w:val="000D483C"/>
    <w:rsid w:val="000D4CA8"/>
    <w:rsid w:val="000D4CAA"/>
    <w:rsid w:val="000D6459"/>
    <w:rsid w:val="000E57EE"/>
    <w:rsid w:val="000E7B3E"/>
    <w:rsid w:val="000E7F6D"/>
    <w:rsid w:val="000F3253"/>
    <w:rsid w:val="000F3F82"/>
    <w:rsid w:val="000F5878"/>
    <w:rsid w:val="000F7831"/>
    <w:rsid w:val="001000DA"/>
    <w:rsid w:val="00100D13"/>
    <w:rsid w:val="001033A1"/>
    <w:rsid w:val="00106CEF"/>
    <w:rsid w:val="00110823"/>
    <w:rsid w:val="0011171B"/>
    <w:rsid w:val="001126AB"/>
    <w:rsid w:val="001129D0"/>
    <w:rsid w:val="001160E0"/>
    <w:rsid w:val="00117F94"/>
    <w:rsid w:val="00120231"/>
    <w:rsid w:val="00121917"/>
    <w:rsid w:val="00125F89"/>
    <w:rsid w:val="00127B28"/>
    <w:rsid w:val="00127B8B"/>
    <w:rsid w:val="0013160C"/>
    <w:rsid w:val="0013169D"/>
    <w:rsid w:val="00131B47"/>
    <w:rsid w:val="00142BA3"/>
    <w:rsid w:val="00145D52"/>
    <w:rsid w:val="00150A6F"/>
    <w:rsid w:val="00152A4E"/>
    <w:rsid w:val="00155EFD"/>
    <w:rsid w:val="001565BB"/>
    <w:rsid w:val="00157E66"/>
    <w:rsid w:val="00161340"/>
    <w:rsid w:val="0016136E"/>
    <w:rsid w:val="001668EF"/>
    <w:rsid w:val="00167964"/>
    <w:rsid w:val="001722B0"/>
    <w:rsid w:val="001743DD"/>
    <w:rsid w:val="00175B91"/>
    <w:rsid w:val="00182260"/>
    <w:rsid w:val="00185ED0"/>
    <w:rsid w:val="001860CD"/>
    <w:rsid w:val="001862F6"/>
    <w:rsid w:val="00187DB6"/>
    <w:rsid w:val="001913C1"/>
    <w:rsid w:val="00194938"/>
    <w:rsid w:val="001A29CF"/>
    <w:rsid w:val="001A4340"/>
    <w:rsid w:val="001B300E"/>
    <w:rsid w:val="001B3D95"/>
    <w:rsid w:val="001B3F9F"/>
    <w:rsid w:val="001B5282"/>
    <w:rsid w:val="001C0F66"/>
    <w:rsid w:val="001C2A7E"/>
    <w:rsid w:val="001C3B85"/>
    <w:rsid w:val="001C40AD"/>
    <w:rsid w:val="001C5279"/>
    <w:rsid w:val="001C5775"/>
    <w:rsid w:val="001C6380"/>
    <w:rsid w:val="001C6EC0"/>
    <w:rsid w:val="001C7E56"/>
    <w:rsid w:val="001D091F"/>
    <w:rsid w:val="001D0EB5"/>
    <w:rsid w:val="001D163F"/>
    <w:rsid w:val="001D4AB1"/>
    <w:rsid w:val="001D6F0F"/>
    <w:rsid w:val="001D7963"/>
    <w:rsid w:val="001E0BF8"/>
    <w:rsid w:val="001E19C9"/>
    <w:rsid w:val="001E2616"/>
    <w:rsid w:val="001E4D33"/>
    <w:rsid w:val="001F0B05"/>
    <w:rsid w:val="001F3771"/>
    <w:rsid w:val="001F4F33"/>
    <w:rsid w:val="001F54D8"/>
    <w:rsid w:val="001F7029"/>
    <w:rsid w:val="00200124"/>
    <w:rsid w:val="002024E8"/>
    <w:rsid w:val="00206BDC"/>
    <w:rsid w:val="0021002E"/>
    <w:rsid w:val="00214F6F"/>
    <w:rsid w:val="00215638"/>
    <w:rsid w:val="002219DA"/>
    <w:rsid w:val="00223363"/>
    <w:rsid w:val="00227BD1"/>
    <w:rsid w:val="002302C2"/>
    <w:rsid w:val="00231528"/>
    <w:rsid w:val="00231EC9"/>
    <w:rsid w:val="00232A2A"/>
    <w:rsid w:val="002331AC"/>
    <w:rsid w:val="002340E9"/>
    <w:rsid w:val="002346A7"/>
    <w:rsid w:val="0023652D"/>
    <w:rsid w:val="00237694"/>
    <w:rsid w:val="00237B9B"/>
    <w:rsid w:val="00237F34"/>
    <w:rsid w:val="00240C57"/>
    <w:rsid w:val="00240F07"/>
    <w:rsid w:val="00241198"/>
    <w:rsid w:val="0024439C"/>
    <w:rsid w:val="002448F8"/>
    <w:rsid w:val="00244B8D"/>
    <w:rsid w:val="00255F76"/>
    <w:rsid w:val="00262525"/>
    <w:rsid w:val="00263A02"/>
    <w:rsid w:val="00263F79"/>
    <w:rsid w:val="002676CC"/>
    <w:rsid w:val="00271B8A"/>
    <w:rsid w:val="002745CD"/>
    <w:rsid w:val="00275176"/>
    <w:rsid w:val="00277E40"/>
    <w:rsid w:val="00280CC1"/>
    <w:rsid w:val="00283E09"/>
    <w:rsid w:val="00285826"/>
    <w:rsid w:val="002860AE"/>
    <w:rsid w:val="002860F0"/>
    <w:rsid w:val="002872B9"/>
    <w:rsid w:val="00291C8C"/>
    <w:rsid w:val="00293676"/>
    <w:rsid w:val="0029702A"/>
    <w:rsid w:val="002A1DB6"/>
    <w:rsid w:val="002A718E"/>
    <w:rsid w:val="002B1364"/>
    <w:rsid w:val="002B2008"/>
    <w:rsid w:val="002B5BCF"/>
    <w:rsid w:val="002C0F28"/>
    <w:rsid w:val="002C27F4"/>
    <w:rsid w:val="002C2C5D"/>
    <w:rsid w:val="002C3A04"/>
    <w:rsid w:val="002C4B16"/>
    <w:rsid w:val="002C5453"/>
    <w:rsid w:val="002C71E8"/>
    <w:rsid w:val="002D0948"/>
    <w:rsid w:val="002D458F"/>
    <w:rsid w:val="002E0902"/>
    <w:rsid w:val="002E2678"/>
    <w:rsid w:val="002E3028"/>
    <w:rsid w:val="002E453E"/>
    <w:rsid w:val="002E6AA1"/>
    <w:rsid w:val="002F02E1"/>
    <w:rsid w:val="002F1672"/>
    <w:rsid w:val="002F1F96"/>
    <w:rsid w:val="002F2BEE"/>
    <w:rsid w:val="002F3169"/>
    <w:rsid w:val="002F42D1"/>
    <w:rsid w:val="002F74E6"/>
    <w:rsid w:val="003010A8"/>
    <w:rsid w:val="0030749D"/>
    <w:rsid w:val="0031126E"/>
    <w:rsid w:val="00312B88"/>
    <w:rsid w:val="00313762"/>
    <w:rsid w:val="00314368"/>
    <w:rsid w:val="00316785"/>
    <w:rsid w:val="003168E7"/>
    <w:rsid w:val="00316929"/>
    <w:rsid w:val="00317D94"/>
    <w:rsid w:val="003202C4"/>
    <w:rsid w:val="00320DDF"/>
    <w:rsid w:val="003223C4"/>
    <w:rsid w:val="00325A66"/>
    <w:rsid w:val="00326B7C"/>
    <w:rsid w:val="003339E0"/>
    <w:rsid w:val="00337A73"/>
    <w:rsid w:val="003406FF"/>
    <w:rsid w:val="00341321"/>
    <w:rsid w:val="003433F6"/>
    <w:rsid w:val="00346F83"/>
    <w:rsid w:val="0034753F"/>
    <w:rsid w:val="00347B18"/>
    <w:rsid w:val="00351892"/>
    <w:rsid w:val="00352B4A"/>
    <w:rsid w:val="003546DB"/>
    <w:rsid w:val="00354788"/>
    <w:rsid w:val="003576FC"/>
    <w:rsid w:val="00360303"/>
    <w:rsid w:val="00363127"/>
    <w:rsid w:val="00363176"/>
    <w:rsid w:val="00365A19"/>
    <w:rsid w:val="003703E1"/>
    <w:rsid w:val="0037421C"/>
    <w:rsid w:val="003761B4"/>
    <w:rsid w:val="00376C3B"/>
    <w:rsid w:val="00377965"/>
    <w:rsid w:val="00377CC5"/>
    <w:rsid w:val="003815A4"/>
    <w:rsid w:val="0038250D"/>
    <w:rsid w:val="00382911"/>
    <w:rsid w:val="0038296A"/>
    <w:rsid w:val="003874E5"/>
    <w:rsid w:val="003906AD"/>
    <w:rsid w:val="00390A8E"/>
    <w:rsid w:val="00393C59"/>
    <w:rsid w:val="00396ACD"/>
    <w:rsid w:val="00397C92"/>
    <w:rsid w:val="003A0315"/>
    <w:rsid w:val="003A2F53"/>
    <w:rsid w:val="003B573C"/>
    <w:rsid w:val="003B613E"/>
    <w:rsid w:val="003B6CA6"/>
    <w:rsid w:val="003C2CB7"/>
    <w:rsid w:val="003C35C9"/>
    <w:rsid w:val="003C6DC3"/>
    <w:rsid w:val="003D4B2D"/>
    <w:rsid w:val="003D5C6C"/>
    <w:rsid w:val="003E1339"/>
    <w:rsid w:val="003E2DF3"/>
    <w:rsid w:val="003E49E0"/>
    <w:rsid w:val="003E7D02"/>
    <w:rsid w:val="003F0154"/>
    <w:rsid w:val="003F03B7"/>
    <w:rsid w:val="003F2ADF"/>
    <w:rsid w:val="00400B16"/>
    <w:rsid w:val="00400F8A"/>
    <w:rsid w:val="004011EA"/>
    <w:rsid w:val="00401909"/>
    <w:rsid w:val="00410B3E"/>
    <w:rsid w:val="0041640F"/>
    <w:rsid w:val="00417E6F"/>
    <w:rsid w:val="00420FC9"/>
    <w:rsid w:val="0042109C"/>
    <w:rsid w:val="0042136D"/>
    <w:rsid w:val="00421389"/>
    <w:rsid w:val="00421A93"/>
    <w:rsid w:val="00421FF2"/>
    <w:rsid w:val="00423396"/>
    <w:rsid w:val="00423F32"/>
    <w:rsid w:val="004257AB"/>
    <w:rsid w:val="004259F6"/>
    <w:rsid w:val="00426C74"/>
    <w:rsid w:val="0043003F"/>
    <w:rsid w:val="0043335A"/>
    <w:rsid w:val="00433D99"/>
    <w:rsid w:val="004345E3"/>
    <w:rsid w:val="00440F93"/>
    <w:rsid w:val="004414F0"/>
    <w:rsid w:val="00450C7E"/>
    <w:rsid w:val="004515AE"/>
    <w:rsid w:val="00453C02"/>
    <w:rsid w:val="004542D9"/>
    <w:rsid w:val="00454F1D"/>
    <w:rsid w:val="004551EC"/>
    <w:rsid w:val="00455341"/>
    <w:rsid w:val="00455E29"/>
    <w:rsid w:val="004570E7"/>
    <w:rsid w:val="004631BA"/>
    <w:rsid w:val="00464EDB"/>
    <w:rsid w:val="00465771"/>
    <w:rsid w:val="004673D6"/>
    <w:rsid w:val="004719E7"/>
    <w:rsid w:val="0047277C"/>
    <w:rsid w:val="0047372B"/>
    <w:rsid w:val="00481A37"/>
    <w:rsid w:val="004848E3"/>
    <w:rsid w:val="00484CEA"/>
    <w:rsid w:val="004856A8"/>
    <w:rsid w:val="004859D7"/>
    <w:rsid w:val="00486DCB"/>
    <w:rsid w:val="00490AEA"/>
    <w:rsid w:val="0049301F"/>
    <w:rsid w:val="004948F6"/>
    <w:rsid w:val="004948F8"/>
    <w:rsid w:val="004966C9"/>
    <w:rsid w:val="004A0AF8"/>
    <w:rsid w:val="004A2444"/>
    <w:rsid w:val="004A2496"/>
    <w:rsid w:val="004A2540"/>
    <w:rsid w:val="004A28AD"/>
    <w:rsid w:val="004A41C0"/>
    <w:rsid w:val="004A4901"/>
    <w:rsid w:val="004A4A35"/>
    <w:rsid w:val="004A4DA9"/>
    <w:rsid w:val="004A64AA"/>
    <w:rsid w:val="004A7568"/>
    <w:rsid w:val="004B4DE7"/>
    <w:rsid w:val="004B7005"/>
    <w:rsid w:val="004B71E8"/>
    <w:rsid w:val="004C281B"/>
    <w:rsid w:val="004C3AB3"/>
    <w:rsid w:val="004C4145"/>
    <w:rsid w:val="004D15C4"/>
    <w:rsid w:val="004D1B95"/>
    <w:rsid w:val="004D43E7"/>
    <w:rsid w:val="004D4AFA"/>
    <w:rsid w:val="004D5358"/>
    <w:rsid w:val="004D7568"/>
    <w:rsid w:val="004D76E6"/>
    <w:rsid w:val="004E0E6F"/>
    <w:rsid w:val="004E3F7D"/>
    <w:rsid w:val="004E48F5"/>
    <w:rsid w:val="004E508B"/>
    <w:rsid w:val="004E50AE"/>
    <w:rsid w:val="004F0EBC"/>
    <w:rsid w:val="004F2C29"/>
    <w:rsid w:val="004F40DA"/>
    <w:rsid w:val="004F6499"/>
    <w:rsid w:val="00500822"/>
    <w:rsid w:val="005016FF"/>
    <w:rsid w:val="00503DC6"/>
    <w:rsid w:val="005056F9"/>
    <w:rsid w:val="0050575E"/>
    <w:rsid w:val="00505EDC"/>
    <w:rsid w:val="0050624E"/>
    <w:rsid w:val="00506AEF"/>
    <w:rsid w:val="00507626"/>
    <w:rsid w:val="00513E0C"/>
    <w:rsid w:val="00514930"/>
    <w:rsid w:val="005255A8"/>
    <w:rsid w:val="0052644B"/>
    <w:rsid w:val="00526AC0"/>
    <w:rsid w:val="00526FDE"/>
    <w:rsid w:val="0052761B"/>
    <w:rsid w:val="00531BFC"/>
    <w:rsid w:val="00535D18"/>
    <w:rsid w:val="00536EDD"/>
    <w:rsid w:val="0054162F"/>
    <w:rsid w:val="005452F5"/>
    <w:rsid w:val="005474B8"/>
    <w:rsid w:val="00552794"/>
    <w:rsid w:val="0055281B"/>
    <w:rsid w:val="005532F2"/>
    <w:rsid w:val="00554E1C"/>
    <w:rsid w:val="00555F44"/>
    <w:rsid w:val="00556E4F"/>
    <w:rsid w:val="00557187"/>
    <w:rsid w:val="00560A94"/>
    <w:rsid w:val="00563A9C"/>
    <w:rsid w:val="0056476E"/>
    <w:rsid w:val="00570317"/>
    <w:rsid w:val="00574D6C"/>
    <w:rsid w:val="00575A48"/>
    <w:rsid w:val="00575F8A"/>
    <w:rsid w:val="0057641E"/>
    <w:rsid w:val="00584636"/>
    <w:rsid w:val="00584A7B"/>
    <w:rsid w:val="00585023"/>
    <w:rsid w:val="00587730"/>
    <w:rsid w:val="005902B4"/>
    <w:rsid w:val="0059092A"/>
    <w:rsid w:val="00590D08"/>
    <w:rsid w:val="005959FE"/>
    <w:rsid w:val="005A079D"/>
    <w:rsid w:val="005A0D39"/>
    <w:rsid w:val="005A2E41"/>
    <w:rsid w:val="005A3A24"/>
    <w:rsid w:val="005A5AB8"/>
    <w:rsid w:val="005B6878"/>
    <w:rsid w:val="005C2016"/>
    <w:rsid w:val="005C2C64"/>
    <w:rsid w:val="005D01B6"/>
    <w:rsid w:val="005D0DDF"/>
    <w:rsid w:val="005D0EF8"/>
    <w:rsid w:val="005D3003"/>
    <w:rsid w:val="005D3AB3"/>
    <w:rsid w:val="005D52ED"/>
    <w:rsid w:val="005D54EA"/>
    <w:rsid w:val="005D63B8"/>
    <w:rsid w:val="005D72BF"/>
    <w:rsid w:val="005E0C56"/>
    <w:rsid w:val="005E1A5C"/>
    <w:rsid w:val="005E35E3"/>
    <w:rsid w:val="005E6CBA"/>
    <w:rsid w:val="005E6F9C"/>
    <w:rsid w:val="005F0A97"/>
    <w:rsid w:val="005F0AE4"/>
    <w:rsid w:val="005F1750"/>
    <w:rsid w:val="005F1F48"/>
    <w:rsid w:val="005F3952"/>
    <w:rsid w:val="005F4191"/>
    <w:rsid w:val="005F4195"/>
    <w:rsid w:val="005F4AEE"/>
    <w:rsid w:val="005F4FE2"/>
    <w:rsid w:val="005F5C42"/>
    <w:rsid w:val="005F60C0"/>
    <w:rsid w:val="005F75EA"/>
    <w:rsid w:val="005F7A20"/>
    <w:rsid w:val="00602826"/>
    <w:rsid w:val="00603D32"/>
    <w:rsid w:val="006061B9"/>
    <w:rsid w:val="006107BD"/>
    <w:rsid w:val="00611140"/>
    <w:rsid w:val="00612F8C"/>
    <w:rsid w:val="00613ED5"/>
    <w:rsid w:val="0061431C"/>
    <w:rsid w:val="00614C69"/>
    <w:rsid w:val="00614ED9"/>
    <w:rsid w:val="00616EFE"/>
    <w:rsid w:val="0061708B"/>
    <w:rsid w:val="006214F2"/>
    <w:rsid w:val="006218AE"/>
    <w:rsid w:val="00630187"/>
    <w:rsid w:val="006350CC"/>
    <w:rsid w:val="0063522D"/>
    <w:rsid w:val="00635B83"/>
    <w:rsid w:val="00635E56"/>
    <w:rsid w:val="006364A6"/>
    <w:rsid w:val="00643316"/>
    <w:rsid w:val="006439ED"/>
    <w:rsid w:val="00644F4C"/>
    <w:rsid w:val="00647211"/>
    <w:rsid w:val="0064738F"/>
    <w:rsid w:val="00653E0E"/>
    <w:rsid w:val="00662F96"/>
    <w:rsid w:val="006633FC"/>
    <w:rsid w:val="006638E7"/>
    <w:rsid w:val="006701FB"/>
    <w:rsid w:val="006710D5"/>
    <w:rsid w:val="00672377"/>
    <w:rsid w:val="00673798"/>
    <w:rsid w:val="00673A3F"/>
    <w:rsid w:val="00680129"/>
    <w:rsid w:val="00680356"/>
    <w:rsid w:val="00683926"/>
    <w:rsid w:val="00685C58"/>
    <w:rsid w:val="00690683"/>
    <w:rsid w:val="00690CD2"/>
    <w:rsid w:val="006917A6"/>
    <w:rsid w:val="00692540"/>
    <w:rsid w:val="006938E5"/>
    <w:rsid w:val="006951D7"/>
    <w:rsid w:val="00696F40"/>
    <w:rsid w:val="006A21E3"/>
    <w:rsid w:val="006A46D3"/>
    <w:rsid w:val="006A52D2"/>
    <w:rsid w:val="006A6411"/>
    <w:rsid w:val="006B1EAD"/>
    <w:rsid w:val="006B629A"/>
    <w:rsid w:val="006B6DC3"/>
    <w:rsid w:val="006C1540"/>
    <w:rsid w:val="006C43A7"/>
    <w:rsid w:val="006D12E1"/>
    <w:rsid w:val="006D1B50"/>
    <w:rsid w:val="006D1BEF"/>
    <w:rsid w:val="006D1EDA"/>
    <w:rsid w:val="006D336B"/>
    <w:rsid w:val="006D4133"/>
    <w:rsid w:val="006D6226"/>
    <w:rsid w:val="006E09DC"/>
    <w:rsid w:val="006E0A1F"/>
    <w:rsid w:val="006E2394"/>
    <w:rsid w:val="006E2D90"/>
    <w:rsid w:val="006E46FF"/>
    <w:rsid w:val="006E7AA5"/>
    <w:rsid w:val="006E7CE0"/>
    <w:rsid w:val="006F2835"/>
    <w:rsid w:val="006F423A"/>
    <w:rsid w:val="006F5F22"/>
    <w:rsid w:val="006F61CE"/>
    <w:rsid w:val="006F6D86"/>
    <w:rsid w:val="006F70E1"/>
    <w:rsid w:val="0070158F"/>
    <w:rsid w:val="00702D83"/>
    <w:rsid w:val="00706376"/>
    <w:rsid w:val="0070696A"/>
    <w:rsid w:val="00707EB5"/>
    <w:rsid w:val="00710270"/>
    <w:rsid w:val="0071173B"/>
    <w:rsid w:val="0071300A"/>
    <w:rsid w:val="00715CAB"/>
    <w:rsid w:val="00716635"/>
    <w:rsid w:val="00716CBF"/>
    <w:rsid w:val="00717AD9"/>
    <w:rsid w:val="0072476E"/>
    <w:rsid w:val="00724E3A"/>
    <w:rsid w:val="00725488"/>
    <w:rsid w:val="007269CA"/>
    <w:rsid w:val="00737BDE"/>
    <w:rsid w:val="00741EA8"/>
    <w:rsid w:val="00743224"/>
    <w:rsid w:val="00745C97"/>
    <w:rsid w:val="00747833"/>
    <w:rsid w:val="00747A42"/>
    <w:rsid w:val="007528F9"/>
    <w:rsid w:val="00753654"/>
    <w:rsid w:val="00754624"/>
    <w:rsid w:val="00754C4A"/>
    <w:rsid w:val="0075596E"/>
    <w:rsid w:val="007573F5"/>
    <w:rsid w:val="0076034D"/>
    <w:rsid w:val="00761161"/>
    <w:rsid w:val="00763BC8"/>
    <w:rsid w:val="00763CC8"/>
    <w:rsid w:val="0076576C"/>
    <w:rsid w:val="00767CD4"/>
    <w:rsid w:val="00770ADA"/>
    <w:rsid w:val="00772187"/>
    <w:rsid w:val="00773E85"/>
    <w:rsid w:val="00775EA5"/>
    <w:rsid w:val="00776AC9"/>
    <w:rsid w:val="00777C09"/>
    <w:rsid w:val="007822AE"/>
    <w:rsid w:val="007850A6"/>
    <w:rsid w:val="00787C84"/>
    <w:rsid w:val="00790714"/>
    <w:rsid w:val="00793F95"/>
    <w:rsid w:val="00794FDD"/>
    <w:rsid w:val="00796AC5"/>
    <w:rsid w:val="007A0DBA"/>
    <w:rsid w:val="007A11CE"/>
    <w:rsid w:val="007A4DA3"/>
    <w:rsid w:val="007A7B82"/>
    <w:rsid w:val="007B0588"/>
    <w:rsid w:val="007B1C79"/>
    <w:rsid w:val="007B455A"/>
    <w:rsid w:val="007B6565"/>
    <w:rsid w:val="007C4C8D"/>
    <w:rsid w:val="007D08C7"/>
    <w:rsid w:val="007D1748"/>
    <w:rsid w:val="007D6897"/>
    <w:rsid w:val="007E03CB"/>
    <w:rsid w:val="007E1204"/>
    <w:rsid w:val="007E1DCF"/>
    <w:rsid w:val="007E5E4A"/>
    <w:rsid w:val="007F18AF"/>
    <w:rsid w:val="007F1EDB"/>
    <w:rsid w:val="007F2FE0"/>
    <w:rsid w:val="00800235"/>
    <w:rsid w:val="00800945"/>
    <w:rsid w:val="00800C62"/>
    <w:rsid w:val="00801674"/>
    <w:rsid w:val="00802DA3"/>
    <w:rsid w:val="008038C5"/>
    <w:rsid w:val="00804660"/>
    <w:rsid w:val="00805D7F"/>
    <w:rsid w:val="0080650E"/>
    <w:rsid w:val="00814E54"/>
    <w:rsid w:val="00815BEF"/>
    <w:rsid w:val="0081782F"/>
    <w:rsid w:val="00823EC7"/>
    <w:rsid w:val="0082505E"/>
    <w:rsid w:val="0082542A"/>
    <w:rsid w:val="00827B37"/>
    <w:rsid w:val="00832BD5"/>
    <w:rsid w:val="00832C91"/>
    <w:rsid w:val="00833A85"/>
    <w:rsid w:val="00842194"/>
    <w:rsid w:val="008450E1"/>
    <w:rsid w:val="00845186"/>
    <w:rsid w:val="008479C9"/>
    <w:rsid w:val="00847E93"/>
    <w:rsid w:val="00847FF8"/>
    <w:rsid w:val="0085144D"/>
    <w:rsid w:val="008539DC"/>
    <w:rsid w:val="00860470"/>
    <w:rsid w:val="0086082D"/>
    <w:rsid w:val="008645B4"/>
    <w:rsid w:val="00864800"/>
    <w:rsid w:val="00865C4E"/>
    <w:rsid w:val="00866287"/>
    <w:rsid w:val="00866E6D"/>
    <w:rsid w:val="008706AB"/>
    <w:rsid w:val="00873990"/>
    <w:rsid w:val="00874043"/>
    <w:rsid w:val="00874C41"/>
    <w:rsid w:val="00877E3F"/>
    <w:rsid w:val="008806A1"/>
    <w:rsid w:val="00880AB8"/>
    <w:rsid w:val="00881A1F"/>
    <w:rsid w:val="008844EE"/>
    <w:rsid w:val="0088488F"/>
    <w:rsid w:val="00886779"/>
    <w:rsid w:val="008870AB"/>
    <w:rsid w:val="00890B95"/>
    <w:rsid w:val="00892228"/>
    <w:rsid w:val="008A0562"/>
    <w:rsid w:val="008A0E3E"/>
    <w:rsid w:val="008A1722"/>
    <w:rsid w:val="008A4C56"/>
    <w:rsid w:val="008A6DC5"/>
    <w:rsid w:val="008A787F"/>
    <w:rsid w:val="008A7A2B"/>
    <w:rsid w:val="008B038B"/>
    <w:rsid w:val="008B25B2"/>
    <w:rsid w:val="008B3D9E"/>
    <w:rsid w:val="008B5A66"/>
    <w:rsid w:val="008C0BB2"/>
    <w:rsid w:val="008C2241"/>
    <w:rsid w:val="008C41BC"/>
    <w:rsid w:val="008C7B88"/>
    <w:rsid w:val="008D00E8"/>
    <w:rsid w:val="008D0A28"/>
    <w:rsid w:val="008D2C43"/>
    <w:rsid w:val="008D6581"/>
    <w:rsid w:val="008E43C0"/>
    <w:rsid w:val="008E7C82"/>
    <w:rsid w:val="008F1EC9"/>
    <w:rsid w:val="008F6389"/>
    <w:rsid w:val="008F69CF"/>
    <w:rsid w:val="008F70A0"/>
    <w:rsid w:val="00902869"/>
    <w:rsid w:val="00903D5A"/>
    <w:rsid w:val="0091138F"/>
    <w:rsid w:val="00912A62"/>
    <w:rsid w:val="00915273"/>
    <w:rsid w:val="009219B2"/>
    <w:rsid w:val="0092497E"/>
    <w:rsid w:val="00926AB2"/>
    <w:rsid w:val="00932655"/>
    <w:rsid w:val="00933050"/>
    <w:rsid w:val="009332B8"/>
    <w:rsid w:val="00933D3D"/>
    <w:rsid w:val="0093491B"/>
    <w:rsid w:val="009374DA"/>
    <w:rsid w:val="0094136B"/>
    <w:rsid w:val="0094601B"/>
    <w:rsid w:val="0094606A"/>
    <w:rsid w:val="0094650A"/>
    <w:rsid w:val="009472A0"/>
    <w:rsid w:val="009474FF"/>
    <w:rsid w:val="00950DA3"/>
    <w:rsid w:val="009526BD"/>
    <w:rsid w:val="00953BCC"/>
    <w:rsid w:val="009554B8"/>
    <w:rsid w:val="00956168"/>
    <w:rsid w:val="00962CBE"/>
    <w:rsid w:val="00963028"/>
    <w:rsid w:val="00963BCB"/>
    <w:rsid w:val="00973176"/>
    <w:rsid w:val="00974835"/>
    <w:rsid w:val="00975D97"/>
    <w:rsid w:val="00975DE5"/>
    <w:rsid w:val="00976662"/>
    <w:rsid w:val="00976673"/>
    <w:rsid w:val="009811ED"/>
    <w:rsid w:val="00983858"/>
    <w:rsid w:val="009843C1"/>
    <w:rsid w:val="00985D8D"/>
    <w:rsid w:val="00985EED"/>
    <w:rsid w:val="00986754"/>
    <w:rsid w:val="00987E40"/>
    <w:rsid w:val="00990773"/>
    <w:rsid w:val="00990BF2"/>
    <w:rsid w:val="009920FC"/>
    <w:rsid w:val="00993299"/>
    <w:rsid w:val="0099472C"/>
    <w:rsid w:val="009A0443"/>
    <w:rsid w:val="009A1030"/>
    <w:rsid w:val="009A15B2"/>
    <w:rsid w:val="009A2D3F"/>
    <w:rsid w:val="009A7565"/>
    <w:rsid w:val="009B170E"/>
    <w:rsid w:val="009B1EE8"/>
    <w:rsid w:val="009B246F"/>
    <w:rsid w:val="009B2CAA"/>
    <w:rsid w:val="009B3516"/>
    <w:rsid w:val="009B3596"/>
    <w:rsid w:val="009B53AF"/>
    <w:rsid w:val="009B6348"/>
    <w:rsid w:val="009C1E13"/>
    <w:rsid w:val="009C2FE2"/>
    <w:rsid w:val="009E192D"/>
    <w:rsid w:val="009E26A2"/>
    <w:rsid w:val="009E36CD"/>
    <w:rsid w:val="009E6676"/>
    <w:rsid w:val="009F00D0"/>
    <w:rsid w:val="009F01A7"/>
    <w:rsid w:val="009F1060"/>
    <w:rsid w:val="009F1FF3"/>
    <w:rsid w:val="009F3B12"/>
    <w:rsid w:val="00A00CA8"/>
    <w:rsid w:val="00A00DB6"/>
    <w:rsid w:val="00A021C2"/>
    <w:rsid w:val="00A04F22"/>
    <w:rsid w:val="00A05089"/>
    <w:rsid w:val="00A051F9"/>
    <w:rsid w:val="00A07C9B"/>
    <w:rsid w:val="00A106BC"/>
    <w:rsid w:val="00A10B4F"/>
    <w:rsid w:val="00A2077F"/>
    <w:rsid w:val="00A211BC"/>
    <w:rsid w:val="00A215D8"/>
    <w:rsid w:val="00A22ACC"/>
    <w:rsid w:val="00A22FA3"/>
    <w:rsid w:val="00A3267C"/>
    <w:rsid w:val="00A33C3A"/>
    <w:rsid w:val="00A34CDF"/>
    <w:rsid w:val="00A36151"/>
    <w:rsid w:val="00A44EAA"/>
    <w:rsid w:val="00A454F8"/>
    <w:rsid w:val="00A50C4E"/>
    <w:rsid w:val="00A529C6"/>
    <w:rsid w:val="00A5496F"/>
    <w:rsid w:val="00A5533F"/>
    <w:rsid w:val="00A556D2"/>
    <w:rsid w:val="00A55BFE"/>
    <w:rsid w:val="00A569A7"/>
    <w:rsid w:val="00A57A81"/>
    <w:rsid w:val="00A60FE1"/>
    <w:rsid w:val="00A61892"/>
    <w:rsid w:val="00A61E6B"/>
    <w:rsid w:val="00A627E2"/>
    <w:rsid w:val="00A647CB"/>
    <w:rsid w:val="00A65009"/>
    <w:rsid w:val="00A66B01"/>
    <w:rsid w:val="00A66DE0"/>
    <w:rsid w:val="00A701C3"/>
    <w:rsid w:val="00A717A5"/>
    <w:rsid w:val="00A71B13"/>
    <w:rsid w:val="00A745AA"/>
    <w:rsid w:val="00A74695"/>
    <w:rsid w:val="00A74ED0"/>
    <w:rsid w:val="00A77692"/>
    <w:rsid w:val="00A8023A"/>
    <w:rsid w:val="00A8059A"/>
    <w:rsid w:val="00A8092D"/>
    <w:rsid w:val="00A849C0"/>
    <w:rsid w:val="00A856D0"/>
    <w:rsid w:val="00A85B2D"/>
    <w:rsid w:val="00A9243D"/>
    <w:rsid w:val="00A929BA"/>
    <w:rsid w:val="00A94C23"/>
    <w:rsid w:val="00A95609"/>
    <w:rsid w:val="00A95BE9"/>
    <w:rsid w:val="00A975B8"/>
    <w:rsid w:val="00AA1DB7"/>
    <w:rsid w:val="00AA2188"/>
    <w:rsid w:val="00AA5051"/>
    <w:rsid w:val="00AA60B5"/>
    <w:rsid w:val="00AB1B9D"/>
    <w:rsid w:val="00AB2675"/>
    <w:rsid w:val="00AB6AE2"/>
    <w:rsid w:val="00AB7B0F"/>
    <w:rsid w:val="00AC1B53"/>
    <w:rsid w:val="00AC4B26"/>
    <w:rsid w:val="00AC7AD9"/>
    <w:rsid w:val="00AD09BA"/>
    <w:rsid w:val="00AE17B3"/>
    <w:rsid w:val="00AE396D"/>
    <w:rsid w:val="00AE3AB3"/>
    <w:rsid w:val="00AF43AF"/>
    <w:rsid w:val="00AF6004"/>
    <w:rsid w:val="00B001C3"/>
    <w:rsid w:val="00B00866"/>
    <w:rsid w:val="00B053F8"/>
    <w:rsid w:val="00B06726"/>
    <w:rsid w:val="00B10378"/>
    <w:rsid w:val="00B1403F"/>
    <w:rsid w:val="00B15112"/>
    <w:rsid w:val="00B176F7"/>
    <w:rsid w:val="00B17BFC"/>
    <w:rsid w:val="00B213A9"/>
    <w:rsid w:val="00B2244E"/>
    <w:rsid w:val="00B25106"/>
    <w:rsid w:val="00B334E3"/>
    <w:rsid w:val="00B36728"/>
    <w:rsid w:val="00B416DF"/>
    <w:rsid w:val="00B47F90"/>
    <w:rsid w:val="00B50D73"/>
    <w:rsid w:val="00B50DF8"/>
    <w:rsid w:val="00B51BCA"/>
    <w:rsid w:val="00B52630"/>
    <w:rsid w:val="00B52A44"/>
    <w:rsid w:val="00B52C49"/>
    <w:rsid w:val="00B56A66"/>
    <w:rsid w:val="00B57ED6"/>
    <w:rsid w:val="00B60087"/>
    <w:rsid w:val="00B64058"/>
    <w:rsid w:val="00B64428"/>
    <w:rsid w:val="00B670D7"/>
    <w:rsid w:val="00B706D1"/>
    <w:rsid w:val="00B70750"/>
    <w:rsid w:val="00B7190C"/>
    <w:rsid w:val="00B726FC"/>
    <w:rsid w:val="00B73649"/>
    <w:rsid w:val="00B8302E"/>
    <w:rsid w:val="00B85381"/>
    <w:rsid w:val="00B854E7"/>
    <w:rsid w:val="00B90AB5"/>
    <w:rsid w:val="00B939BA"/>
    <w:rsid w:val="00B93DA3"/>
    <w:rsid w:val="00B9546A"/>
    <w:rsid w:val="00B9568F"/>
    <w:rsid w:val="00BA2BAF"/>
    <w:rsid w:val="00BA59AD"/>
    <w:rsid w:val="00BB2FD0"/>
    <w:rsid w:val="00BB3353"/>
    <w:rsid w:val="00BB3422"/>
    <w:rsid w:val="00BC0A4F"/>
    <w:rsid w:val="00BC19FA"/>
    <w:rsid w:val="00BC1AC0"/>
    <w:rsid w:val="00BC2870"/>
    <w:rsid w:val="00BC2B77"/>
    <w:rsid w:val="00BC779D"/>
    <w:rsid w:val="00BC7A65"/>
    <w:rsid w:val="00BD15BF"/>
    <w:rsid w:val="00BD170E"/>
    <w:rsid w:val="00BD32C9"/>
    <w:rsid w:val="00BD65A8"/>
    <w:rsid w:val="00BD6A1D"/>
    <w:rsid w:val="00BE0D7C"/>
    <w:rsid w:val="00BE3420"/>
    <w:rsid w:val="00BF054D"/>
    <w:rsid w:val="00BF231F"/>
    <w:rsid w:val="00BF2532"/>
    <w:rsid w:val="00BF2852"/>
    <w:rsid w:val="00BF533E"/>
    <w:rsid w:val="00BF6181"/>
    <w:rsid w:val="00BF6D8E"/>
    <w:rsid w:val="00C01B9A"/>
    <w:rsid w:val="00C01D56"/>
    <w:rsid w:val="00C04EF6"/>
    <w:rsid w:val="00C06419"/>
    <w:rsid w:val="00C074DA"/>
    <w:rsid w:val="00C1116E"/>
    <w:rsid w:val="00C14AD4"/>
    <w:rsid w:val="00C14B4C"/>
    <w:rsid w:val="00C1652D"/>
    <w:rsid w:val="00C16FEB"/>
    <w:rsid w:val="00C20909"/>
    <w:rsid w:val="00C20AB3"/>
    <w:rsid w:val="00C22772"/>
    <w:rsid w:val="00C23AAC"/>
    <w:rsid w:val="00C24240"/>
    <w:rsid w:val="00C2564F"/>
    <w:rsid w:val="00C26C04"/>
    <w:rsid w:val="00C27568"/>
    <w:rsid w:val="00C30D4D"/>
    <w:rsid w:val="00C31B54"/>
    <w:rsid w:val="00C32605"/>
    <w:rsid w:val="00C3551F"/>
    <w:rsid w:val="00C3798C"/>
    <w:rsid w:val="00C43C7E"/>
    <w:rsid w:val="00C45D58"/>
    <w:rsid w:val="00C500F7"/>
    <w:rsid w:val="00C50D0D"/>
    <w:rsid w:val="00C51237"/>
    <w:rsid w:val="00C515DD"/>
    <w:rsid w:val="00C54232"/>
    <w:rsid w:val="00C5768E"/>
    <w:rsid w:val="00C618D8"/>
    <w:rsid w:val="00C64222"/>
    <w:rsid w:val="00C6462F"/>
    <w:rsid w:val="00C64F99"/>
    <w:rsid w:val="00C677EB"/>
    <w:rsid w:val="00C7376F"/>
    <w:rsid w:val="00C7432E"/>
    <w:rsid w:val="00C74FCD"/>
    <w:rsid w:val="00C75FA3"/>
    <w:rsid w:val="00C76498"/>
    <w:rsid w:val="00C81C90"/>
    <w:rsid w:val="00C81EB5"/>
    <w:rsid w:val="00C8339B"/>
    <w:rsid w:val="00C85767"/>
    <w:rsid w:val="00C8677D"/>
    <w:rsid w:val="00C868CE"/>
    <w:rsid w:val="00C923F9"/>
    <w:rsid w:val="00CA0E2C"/>
    <w:rsid w:val="00CA19C4"/>
    <w:rsid w:val="00CA2097"/>
    <w:rsid w:val="00CA69DD"/>
    <w:rsid w:val="00CB0F5F"/>
    <w:rsid w:val="00CB17FF"/>
    <w:rsid w:val="00CB2296"/>
    <w:rsid w:val="00CB2386"/>
    <w:rsid w:val="00CB591F"/>
    <w:rsid w:val="00CB6B38"/>
    <w:rsid w:val="00CC2452"/>
    <w:rsid w:val="00CC393B"/>
    <w:rsid w:val="00CC4326"/>
    <w:rsid w:val="00CC531F"/>
    <w:rsid w:val="00CC68BA"/>
    <w:rsid w:val="00CD08DC"/>
    <w:rsid w:val="00CD150F"/>
    <w:rsid w:val="00CD4046"/>
    <w:rsid w:val="00CD510F"/>
    <w:rsid w:val="00CD546A"/>
    <w:rsid w:val="00CD5CD9"/>
    <w:rsid w:val="00CE3F91"/>
    <w:rsid w:val="00CE4559"/>
    <w:rsid w:val="00CE609E"/>
    <w:rsid w:val="00CF059C"/>
    <w:rsid w:val="00CF24A4"/>
    <w:rsid w:val="00CF29D7"/>
    <w:rsid w:val="00D003B1"/>
    <w:rsid w:val="00D015CD"/>
    <w:rsid w:val="00D04788"/>
    <w:rsid w:val="00D06716"/>
    <w:rsid w:val="00D07E12"/>
    <w:rsid w:val="00D164D3"/>
    <w:rsid w:val="00D1684F"/>
    <w:rsid w:val="00D16CB5"/>
    <w:rsid w:val="00D17CC8"/>
    <w:rsid w:val="00D23365"/>
    <w:rsid w:val="00D23B7F"/>
    <w:rsid w:val="00D2611B"/>
    <w:rsid w:val="00D3284E"/>
    <w:rsid w:val="00D335AD"/>
    <w:rsid w:val="00D379F3"/>
    <w:rsid w:val="00D40426"/>
    <w:rsid w:val="00D41E72"/>
    <w:rsid w:val="00D41F35"/>
    <w:rsid w:val="00D42F4C"/>
    <w:rsid w:val="00D45984"/>
    <w:rsid w:val="00D45BC6"/>
    <w:rsid w:val="00D501A7"/>
    <w:rsid w:val="00D51D35"/>
    <w:rsid w:val="00D549FD"/>
    <w:rsid w:val="00D55295"/>
    <w:rsid w:val="00D56F01"/>
    <w:rsid w:val="00D60C19"/>
    <w:rsid w:val="00D62926"/>
    <w:rsid w:val="00D6690C"/>
    <w:rsid w:val="00D66D27"/>
    <w:rsid w:val="00D70683"/>
    <w:rsid w:val="00D7289E"/>
    <w:rsid w:val="00D7565A"/>
    <w:rsid w:val="00D836C3"/>
    <w:rsid w:val="00D83855"/>
    <w:rsid w:val="00D83A10"/>
    <w:rsid w:val="00D8715C"/>
    <w:rsid w:val="00D93499"/>
    <w:rsid w:val="00D93B0E"/>
    <w:rsid w:val="00D95C7D"/>
    <w:rsid w:val="00D96FC7"/>
    <w:rsid w:val="00D979F7"/>
    <w:rsid w:val="00DA318C"/>
    <w:rsid w:val="00DA7A7B"/>
    <w:rsid w:val="00DB0431"/>
    <w:rsid w:val="00DB4B81"/>
    <w:rsid w:val="00DB590C"/>
    <w:rsid w:val="00DB73B8"/>
    <w:rsid w:val="00DC1A05"/>
    <w:rsid w:val="00DC4521"/>
    <w:rsid w:val="00DD0205"/>
    <w:rsid w:val="00DD0513"/>
    <w:rsid w:val="00DD641B"/>
    <w:rsid w:val="00DD68D8"/>
    <w:rsid w:val="00DE0CBD"/>
    <w:rsid w:val="00DE5BCB"/>
    <w:rsid w:val="00DE5C93"/>
    <w:rsid w:val="00DE67F2"/>
    <w:rsid w:val="00DF278A"/>
    <w:rsid w:val="00DF372F"/>
    <w:rsid w:val="00DF519A"/>
    <w:rsid w:val="00DF650C"/>
    <w:rsid w:val="00DF7977"/>
    <w:rsid w:val="00DF7D7C"/>
    <w:rsid w:val="00E005F8"/>
    <w:rsid w:val="00E0430C"/>
    <w:rsid w:val="00E1053D"/>
    <w:rsid w:val="00E113FC"/>
    <w:rsid w:val="00E12D87"/>
    <w:rsid w:val="00E13C03"/>
    <w:rsid w:val="00E16CDB"/>
    <w:rsid w:val="00E17C8C"/>
    <w:rsid w:val="00E17E2E"/>
    <w:rsid w:val="00E2114B"/>
    <w:rsid w:val="00E2294D"/>
    <w:rsid w:val="00E239AD"/>
    <w:rsid w:val="00E25C33"/>
    <w:rsid w:val="00E262EC"/>
    <w:rsid w:val="00E26351"/>
    <w:rsid w:val="00E27EB5"/>
    <w:rsid w:val="00E33847"/>
    <w:rsid w:val="00E33F99"/>
    <w:rsid w:val="00E34A51"/>
    <w:rsid w:val="00E37959"/>
    <w:rsid w:val="00E405CB"/>
    <w:rsid w:val="00E425A7"/>
    <w:rsid w:val="00E443A0"/>
    <w:rsid w:val="00E455A9"/>
    <w:rsid w:val="00E46B03"/>
    <w:rsid w:val="00E47586"/>
    <w:rsid w:val="00E50281"/>
    <w:rsid w:val="00E54C45"/>
    <w:rsid w:val="00E5523A"/>
    <w:rsid w:val="00E553E8"/>
    <w:rsid w:val="00E56802"/>
    <w:rsid w:val="00E57697"/>
    <w:rsid w:val="00E576CC"/>
    <w:rsid w:val="00E61907"/>
    <w:rsid w:val="00E659F8"/>
    <w:rsid w:val="00E6616C"/>
    <w:rsid w:val="00E70A76"/>
    <w:rsid w:val="00E760AD"/>
    <w:rsid w:val="00E77E1A"/>
    <w:rsid w:val="00E802BE"/>
    <w:rsid w:val="00E80AAB"/>
    <w:rsid w:val="00E83EE0"/>
    <w:rsid w:val="00E84011"/>
    <w:rsid w:val="00E90D8C"/>
    <w:rsid w:val="00E947E3"/>
    <w:rsid w:val="00E947FD"/>
    <w:rsid w:val="00E95F1D"/>
    <w:rsid w:val="00E9653E"/>
    <w:rsid w:val="00E96990"/>
    <w:rsid w:val="00EA04EC"/>
    <w:rsid w:val="00EA326C"/>
    <w:rsid w:val="00EA3468"/>
    <w:rsid w:val="00EA3FC8"/>
    <w:rsid w:val="00EA6873"/>
    <w:rsid w:val="00EB006E"/>
    <w:rsid w:val="00EB2493"/>
    <w:rsid w:val="00EB297C"/>
    <w:rsid w:val="00EB4D8F"/>
    <w:rsid w:val="00EB547C"/>
    <w:rsid w:val="00EB6703"/>
    <w:rsid w:val="00EB7F28"/>
    <w:rsid w:val="00EC306F"/>
    <w:rsid w:val="00EC52C6"/>
    <w:rsid w:val="00EC57D9"/>
    <w:rsid w:val="00EC63AF"/>
    <w:rsid w:val="00ED2673"/>
    <w:rsid w:val="00ED5831"/>
    <w:rsid w:val="00ED5EA9"/>
    <w:rsid w:val="00ED6114"/>
    <w:rsid w:val="00ED7323"/>
    <w:rsid w:val="00ED79E5"/>
    <w:rsid w:val="00EE0341"/>
    <w:rsid w:val="00EE0A77"/>
    <w:rsid w:val="00EE2F3C"/>
    <w:rsid w:val="00EE4BF7"/>
    <w:rsid w:val="00EE71B3"/>
    <w:rsid w:val="00EF21D0"/>
    <w:rsid w:val="00EF4424"/>
    <w:rsid w:val="00EF451A"/>
    <w:rsid w:val="00EF5BE9"/>
    <w:rsid w:val="00F013CB"/>
    <w:rsid w:val="00F01F32"/>
    <w:rsid w:val="00F03D6B"/>
    <w:rsid w:val="00F0537B"/>
    <w:rsid w:val="00F05AD2"/>
    <w:rsid w:val="00F05C80"/>
    <w:rsid w:val="00F06B45"/>
    <w:rsid w:val="00F11DAB"/>
    <w:rsid w:val="00F12861"/>
    <w:rsid w:val="00F1407D"/>
    <w:rsid w:val="00F14882"/>
    <w:rsid w:val="00F2087A"/>
    <w:rsid w:val="00F20E99"/>
    <w:rsid w:val="00F22D88"/>
    <w:rsid w:val="00F2714C"/>
    <w:rsid w:val="00F32762"/>
    <w:rsid w:val="00F3380D"/>
    <w:rsid w:val="00F36961"/>
    <w:rsid w:val="00F36BD6"/>
    <w:rsid w:val="00F37624"/>
    <w:rsid w:val="00F37AA9"/>
    <w:rsid w:val="00F42CB4"/>
    <w:rsid w:val="00F4441E"/>
    <w:rsid w:val="00F45528"/>
    <w:rsid w:val="00F47536"/>
    <w:rsid w:val="00F51094"/>
    <w:rsid w:val="00F51687"/>
    <w:rsid w:val="00F5275F"/>
    <w:rsid w:val="00F60559"/>
    <w:rsid w:val="00F66449"/>
    <w:rsid w:val="00F71377"/>
    <w:rsid w:val="00F74E96"/>
    <w:rsid w:val="00F763DA"/>
    <w:rsid w:val="00F768CC"/>
    <w:rsid w:val="00F76D7A"/>
    <w:rsid w:val="00F80158"/>
    <w:rsid w:val="00F828F6"/>
    <w:rsid w:val="00F82AB4"/>
    <w:rsid w:val="00F8386F"/>
    <w:rsid w:val="00F87716"/>
    <w:rsid w:val="00F90B34"/>
    <w:rsid w:val="00F91EB7"/>
    <w:rsid w:val="00F9308F"/>
    <w:rsid w:val="00F93592"/>
    <w:rsid w:val="00F93C42"/>
    <w:rsid w:val="00FA0CCA"/>
    <w:rsid w:val="00FA1E63"/>
    <w:rsid w:val="00FA208A"/>
    <w:rsid w:val="00FA267F"/>
    <w:rsid w:val="00FA4B46"/>
    <w:rsid w:val="00FA5553"/>
    <w:rsid w:val="00FA77F5"/>
    <w:rsid w:val="00FB1744"/>
    <w:rsid w:val="00FB3202"/>
    <w:rsid w:val="00FB3223"/>
    <w:rsid w:val="00FB5343"/>
    <w:rsid w:val="00FB6B06"/>
    <w:rsid w:val="00FB6E17"/>
    <w:rsid w:val="00FC0ED7"/>
    <w:rsid w:val="00FC5E71"/>
    <w:rsid w:val="00FD1026"/>
    <w:rsid w:val="00FD209E"/>
    <w:rsid w:val="00FD2C8E"/>
    <w:rsid w:val="00FD4C71"/>
    <w:rsid w:val="00FD701A"/>
    <w:rsid w:val="00FE1E7E"/>
    <w:rsid w:val="00FE322D"/>
    <w:rsid w:val="00FE44B8"/>
    <w:rsid w:val="00FE51FA"/>
    <w:rsid w:val="00FE5FBD"/>
    <w:rsid w:val="00FE7D5C"/>
    <w:rsid w:val="00FE7D6E"/>
    <w:rsid w:val="00FF376D"/>
    <w:rsid w:val="00FF54AD"/>
    <w:rsid w:val="00FF5A45"/>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FEB1"/>
  <w15:chartTrackingRefBased/>
  <w15:docId w15:val="{2F955CCA-A438-4ADB-B871-4C58EC3C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90"/>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96990"/>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E969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96990"/>
    <w:pPr>
      <w:keepNext/>
      <w:outlineLvl w:val="2"/>
    </w:pPr>
    <w:rPr>
      <w:rFonts w:ascii="Arial" w:hAnsi="Arial" w:cs="Arial"/>
      <w:i/>
      <w:iCs/>
      <w:sz w:val="28"/>
    </w:rPr>
  </w:style>
  <w:style w:type="paragraph" w:styleId="Heading4">
    <w:name w:val="heading 4"/>
    <w:basedOn w:val="Normal"/>
    <w:next w:val="Normal"/>
    <w:link w:val="Heading4Char"/>
    <w:uiPriority w:val="9"/>
    <w:unhideWhenUsed/>
    <w:qFormat/>
    <w:rsid w:val="00E969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990"/>
    <w:rPr>
      <w:rFonts w:ascii="Arial" w:eastAsia="Times New Roman" w:hAnsi="Arial" w:cs="Arial"/>
      <w:b/>
      <w:bCs/>
      <w:sz w:val="28"/>
      <w:szCs w:val="24"/>
      <w:lang w:val="en-GB"/>
    </w:rPr>
  </w:style>
  <w:style w:type="character" w:customStyle="1" w:styleId="Heading2Char">
    <w:name w:val="Heading 2 Char"/>
    <w:basedOn w:val="DefaultParagraphFont"/>
    <w:link w:val="Heading2"/>
    <w:uiPriority w:val="9"/>
    <w:rsid w:val="00E96990"/>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E96990"/>
    <w:rPr>
      <w:rFonts w:ascii="Arial" w:eastAsia="Times New Roman" w:hAnsi="Arial" w:cs="Arial"/>
      <w:i/>
      <w:iCs/>
      <w:sz w:val="28"/>
      <w:szCs w:val="24"/>
      <w:lang w:val="en-GB"/>
    </w:rPr>
  </w:style>
  <w:style w:type="character" w:customStyle="1" w:styleId="Heading4Char">
    <w:name w:val="Heading 4 Char"/>
    <w:basedOn w:val="DefaultParagraphFont"/>
    <w:link w:val="Heading4"/>
    <w:uiPriority w:val="9"/>
    <w:rsid w:val="00E96990"/>
    <w:rPr>
      <w:rFonts w:asciiTheme="majorHAnsi" w:eastAsiaTheme="majorEastAsia" w:hAnsiTheme="majorHAnsi" w:cstheme="majorBidi"/>
      <w:i/>
      <w:iCs/>
      <w:color w:val="2E74B5" w:themeColor="accent1" w:themeShade="BF"/>
      <w:sz w:val="24"/>
      <w:szCs w:val="24"/>
      <w:lang w:val="en-GB"/>
    </w:rPr>
  </w:style>
  <w:style w:type="paragraph" w:styleId="Header">
    <w:name w:val="header"/>
    <w:basedOn w:val="Normal"/>
    <w:link w:val="HeaderChar"/>
    <w:uiPriority w:val="99"/>
    <w:rsid w:val="00E96990"/>
    <w:pPr>
      <w:tabs>
        <w:tab w:val="center" w:pos="4153"/>
        <w:tab w:val="right" w:pos="8306"/>
      </w:tabs>
    </w:pPr>
  </w:style>
  <w:style w:type="character" w:customStyle="1" w:styleId="HeaderChar">
    <w:name w:val="Header Char"/>
    <w:basedOn w:val="DefaultParagraphFont"/>
    <w:link w:val="Header"/>
    <w:uiPriority w:val="99"/>
    <w:rsid w:val="00E96990"/>
    <w:rPr>
      <w:rFonts w:ascii="Times New Roman" w:eastAsia="Times New Roman" w:hAnsi="Times New Roman" w:cs="Times New Roman"/>
      <w:sz w:val="24"/>
      <w:szCs w:val="24"/>
      <w:lang w:val="en-GB"/>
    </w:rPr>
  </w:style>
  <w:style w:type="character" w:styleId="PageNumber">
    <w:name w:val="page number"/>
    <w:basedOn w:val="DefaultParagraphFont"/>
    <w:rsid w:val="00E96990"/>
    <w:rPr>
      <w:rFonts w:cs="Times New Roman"/>
    </w:rPr>
  </w:style>
  <w:style w:type="paragraph" w:styleId="FootnoteText">
    <w:name w:val="footnote text"/>
    <w:basedOn w:val="Normal"/>
    <w:link w:val="FootnoteTextChar"/>
    <w:uiPriority w:val="99"/>
    <w:rsid w:val="00E96990"/>
    <w:rPr>
      <w:sz w:val="20"/>
      <w:szCs w:val="20"/>
    </w:rPr>
  </w:style>
  <w:style w:type="character" w:customStyle="1" w:styleId="FootnoteTextChar">
    <w:name w:val="Footnote Text Char"/>
    <w:basedOn w:val="DefaultParagraphFont"/>
    <w:link w:val="FootnoteText"/>
    <w:uiPriority w:val="99"/>
    <w:rsid w:val="00E9699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E9699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E96990"/>
    <w:pPr>
      <w:spacing w:line="480" w:lineRule="auto"/>
      <w:ind w:left="720"/>
    </w:pPr>
    <w:rPr>
      <w:sz w:val="28"/>
      <w:szCs w:val="28"/>
    </w:rPr>
  </w:style>
  <w:style w:type="paragraph" w:styleId="ListParagraph">
    <w:name w:val="List Paragraph"/>
    <w:basedOn w:val="Normal"/>
    <w:uiPriority w:val="34"/>
    <w:qFormat/>
    <w:rsid w:val="00E96990"/>
    <w:pPr>
      <w:ind w:left="720"/>
      <w:contextualSpacing/>
    </w:pPr>
  </w:style>
  <w:style w:type="paragraph" w:styleId="Footer">
    <w:name w:val="footer"/>
    <w:basedOn w:val="Normal"/>
    <w:link w:val="FooterChar"/>
    <w:uiPriority w:val="99"/>
    <w:unhideWhenUsed/>
    <w:rsid w:val="00E96990"/>
    <w:pPr>
      <w:tabs>
        <w:tab w:val="center" w:pos="4513"/>
        <w:tab w:val="right" w:pos="9026"/>
      </w:tabs>
    </w:pPr>
  </w:style>
  <w:style w:type="character" w:customStyle="1" w:styleId="FooterChar">
    <w:name w:val="Footer Char"/>
    <w:basedOn w:val="DefaultParagraphFont"/>
    <w:link w:val="Footer"/>
    <w:uiPriority w:val="99"/>
    <w:rsid w:val="00E96990"/>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semiHidden/>
    <w:unhideWhenUsed/>
    <w:rsid w:val="00E96990"/>
    <w:rPr>
      <w:vertAlign w:val="superscript"/>
    </w:rPr>
  </w:style>
  <w:style w:type="paragraph" w:styleId="BalloonText">
    <w:name w:val="Balloon Text"/>
    <w:basedOn w:val="Normal"/>
    <w:link w:val="BalloonTextChar"/>
    <w:uiPriority w:val="99"/>
    <w:semiHidden/>
    <w:unhideWhenUsed/>
    <w:rsid w:val="00E96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990"/>
    <w:rPr>
      <w:rFonts w:ascii="Segoe UI" w:eastAsia="Times New Roman" w:hAnsi="Segoe UI" w:cs="Segoe UI"/>
      <w:sz w:val="18"/>
      <w:szCs w:val="18"/>
      <w:lang w:val="en-GB"/>
    </w:rPr>
  </w:style>
  <w:style w:type="paragraph" w:styleId="List">
    <w:name w:val="List"/>
    <w:basedOn w:val="Normal"/>
    <w:uiPriority w:val="99"/>
    <w:unhideWhenUsed/>
    <w:rsid w:val="00E96990"/>
    <w:pPr>
      <w:ind w:left="360" w:hanging="360"/>
      <w:contextualSpacing/>
    </w:pPr>
  </w:style>
  <w:style w:type="paragraph" w:styleId="ListContinue">
    <w:name w:val="List Continue"/>
    <w:basedOn w:val="Normal"/>
    <w:uiPriority w:val="99"/>
    <w:unhideWhenUsed/>
    <w:rsid w:val="00E96990"/>
    <w:pPr>
      <w:spacing w:after="120"/>
      <w:ind w:left="360"/>
      <w:contextualSpacing/>
    </w:pPr>
  </w:style>
  <w:style w:type="paragraph" w:styleId="Title">
    <w:name w:val="Title"/>
    <w:basedOn w:val="Normal"/>
    <w:next w:val="Normal"/>
    <w:link w:val="TitleChar"/>
    <w:uiPriority w:val="10"/>
    <w:qFormat/>
    <w:rsid w:val="00E969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990"/>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uiPriority w:val="99"/>
    <w:unhideWhenUsed/>
    <w:rsid w:val="00E96990"/>
    <w:pPr>
      <w:spacing w:after="120"/>
    </w:pPr>
  </w:style>
  <w:style w:type="character" w:customStyle="1" w:styleId="BodyTextChar">
    <w:name w:val="Body Text Char"/>
    <w:basedOn w:val="DefaultParagraphFont"/>
    <w:link w:val="BodyText"/>
    <w:uiPriority w:val="99"/>
    <w:rsid w:val="00E96990"/>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E96990"/>
    <w:pPr>
      <w:spacing w:after="120"/>
      <w:ind w:left="360"/>
    </w:pPr>
  </w:style>
  <w:style w:type="character" w:customStyle="1" w:styleId="BodyTextIndentChar">
    <w:name w:val="Body Text Indent Char"/>
    <w:basedOn w:val="DefaultParagraphFont"/>
    <w:link w:val="BodyTextIndent"/>
    <w:uiPriority w:val="99"/>
    <w:semiHidden/>
    <w:rsid w:val="00E96990"/>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uiPriority w:val="99"/>
    <w:unhideWhenUsed/>
    <w:rsid w:val="00E96990"/>
    <w:pPr>
      <w:spacing w:after="0"/>
      <w:ind w:firstLine="360"/>
    </w:pPr>
  </w:style>
  <w:style w:type="character" w:customStyle="1" w:styleId="BodyTextFirstIndent2Char">
    <w:name w:val="Body Text First Indent 2 Char"/>
    <w:basedOn w:val="BodyTextIndentChar"/>
    <w:link w:val="BodyTextFirstIndent2"/>
    <w:uiPriority w:val="99"/>
    <w:rsid w:val="00E96990"/>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E96990"/>
    <w:pPr>
      <w:spacing w:before="100" w:beforeAutospacing="1" w:after="100" w:afterAutospacing="1"/>
    </w:pPr>
    <w:rPr>
      <w:lang w:val="en-US"/>
    </w:rPr>
  </w:style>
  <w:style w:type="character" w:styleId="HTMLTypewriter">
    <w:name w:val="HTML Typewriter"/>
    <w:basedOn w:val="DefaultParagraphFont"/>
    <w:uiPriority w:val="99"/>
    <w:semiHidden/>
    <w:unhideWhenUsed/>
    <w:rsid w:val="00E9699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E96990"/>
    <w:rPr>
      <w:color w:val="0000FF"/>
      <w:u w:val="single"/>
    </w:rPr>
  </w:style>
  <w:style w:type="character" w:customStyle="1" w:styleId="mc">
    <w:name w:val="mc"/>
    <w:basedOn w:val="DefaultParagraphFont"/>
    <w:rsid w:val="00E96990"/>
  </w:style>
  <w:style w:type="paragraph" w:customStyle="1" w:styleId="western">
    <w:name w:val="western"/>
    <w:basedOn w:val="Normal"/>
    <w:rsid w:val="0008274D"/>
    <w:pPr>
      <w:spacing w:before="144" w:after="288"/>
    </w:pPr>
    <w:rPr>
      <w:lang w:val="en-US"/>
    </w:rPr>
  </w:style>
  <w:style w:type="character" w:styleId="CommentReference">
    <w:name w:val="annotation reference"/>
    <w:basedOn w:val="DefaultParagraphFont"/>
    <w:uiPriority w:val="99"/>
    <w:semiHidden/>
    <w:unhideWhenUsed/>
    <w:rsid w:val="003874E5"/>
    <w:rPr>
      <w:sz w:val="16"/>
      <w:szCs w:val="16"/>
    </w:rPr>
  </w:style>
  <w:style w:type="paragraph" w:styleId="CommentText">
    <w:name w:val="annotation text"/>
    <w:basedOn w:val="Normal"/>
    <w:link w:val="CommentTextChar"/>
    <w:uiPriority w:val="99"/>
    <w:unhideWhenUsed/>
    <w:rsid w:val="003874E5"/>
    <w:rPr>
      <w:sz w:val="20"/>
      <w:szCs w:val="20"/>
    </w:rPr>
  </w:style>
  <w:style w:type="character" w:customStyle="1" w:styleId="CommentTextChar">
    <w:name w:val="Comment Text Char"/>
    <w:basedOn w:val="DefaultParagraphFont"/>
    <w:link w:val="CommentText"/>
    <w:uiPriority w:val="99"/>
    <w:rsid w:val="003874E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74E5"/>
    <w:rPr>
      <w:b/>
      <w:bCs/>
    </w:rPr>
  </w:style>
  <w:style w:type="character" w:customStyle="1" w:styleId="CommentSubjectChar">
    <w:name w:val="Comment Subject Char"/>
    <w:basedOn w:val="CommentTextChar"/>
    <w:link w:val="CommentSubject"/>
    <w:uiPriority w:val="99"/>
    <w:semiHidden/>
    <w:rsid w:val="003874E5"/>
    <w:rPr>
      <w:rFonts w:ascii="Times New Roman" w:eastAsia="Times New Roman" w:hAnsi="Times New Roman" w:cs="Times New Roman"/>
      <w:b/>
      <w:bCs/>
      <w:sz w:val="20"/>
      <w:szCs w:val="20"/>
      <w:lang w:val="en-GB"/>
    </w:rPr>
  </w:style>
  <w:style w:type="paragraph" w:styleId="Revision">
    <w:name w:val="Revision"/>
    <w:hidden/>
    <w:uiPriority w:val="99"/>
    <w:semiHidden/>
    <w:rsid w:val="00973176"/>
    <w:pPr>
      <w:spacing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440">
      <w:bodyDiv w:val="1"/>
      <w:marLeft w:val="0"/>
      <w:marRight w:val="0"/>
      <w:marTop w:val="0"/>
      <w:marBottom w:val="0"/>
      <w:divBdr>
        <w:top w:val="none" w:sz="0" w:space="0" w:color="auto"/>
        <w:left w:val="none" w:sz="0" w:space="0" w:color="auto"/>
        <w:bottom w:val="none" w:sz="0" w:space="0" w:color="auto"/>
        <w:right w:val="none" w:sz="0" w:space="0" w:color="auto"/>
      </w:divBdr>
    </w:div>
    <w:div w:id="167448288">
      <w:bodyDiv w:val="1"/>
      <w:marLeft w:val="0"/>
      <w:marRight w:val="0"/>
      <w:marTop w:val="0"/>
      <w:marBottom w:val="0"/>
      <w:divBdr>
        <w:top w:val="none" w:sz="0" w:space="0" w:color="auto"/>
        <w:left w:val="none" w:sz="0" w:space="0" w:color="auto"/>
        <w:bottom w:val="none" w:sz="0" w:space="0" w:color="auto"/>
        <w:right w:val="none" w:sz="0" w:space="0" w:color="auto"/>
      </w:divBdr>
      <w:divsChild>
        <w:div w:id="1304701038">
          <w:marLeft w:val="2"/>
          <w:marRight w:val="0"/>
          <w:marTop w:val="0"/>
          <w:marBottom w:val="0"/>
          <w:divBdr>
            <w:top w:val="none" w:sz="0" w:space="0" w:color="auto"/>
            <w:left w:val="none" w:sz="0" w:space="0" w:color="auto"/>
            <w:bottom w:val="none" w:sz="0" w:space="0" w:color="auto"/>
            <w:right w:val="none" w:sz="0" w:space="0" w:color="auto"/>
          </w:divBdr>
          <w:divsChild>
            <w:div w:id="711266994">
              <w:marLeft w:val="0"/>
              <w:marRight w:val="0"/>
              <w:marTop w:val="0"/>
              <w:marBottom w:val="0"/>
              <w:divBdr>
                <w:top w:val="none" w:sz="0" w:space="0" w:color="auto"/>
                <w:left w:val="none" w:sz="0" w:space="0" w:color="auto"/>
                <w:bottom w:val="none" w:sz="0" w:space="0" w:color="auto"/>
                <w:right w:val="none" w:sz="0" w:space="0" w:color="auto"/>
              </w:divBdr>
              <w:divsChild>
                <w:div w:id="1984967341">
                  <w:marLeft w:val="0"/>
                  <w:marRight w:val="0"/>
                  <w:marTop w:val="0"/>
                  <w:marBottom w:val="0"/>
                  <w:divBdr>
                    <w:top w:val="none" w:sz="0" w:space="0" w:color="auto"/>
                    <w:left w:val="none" w:sz="0" w:space="0" w:color="auto"/>
                    <w:bottom w:val="none" w:sz="0" w:space="0" w:color="auto"/>
                    <w:right w:val="none" w:sz="0" w:space="0" w:color="auto"/>
                  </w:divBdr>
                  <w:divsChild>
                    <w:div w:id="2095005263">
                      <w:marLeft w:val="0"/>
                      <w:marRight w:val="0"/>
                      <w:marTop w:val="0"/>
                      <w:marBottom w:val="0"/>
                      <w:divBdr>
                        <w:top w:val="none" w:sz="0" w:space="0" w:color="auto"/>
                        <w:left w:val="none" w:sz="0" w:space="0" w:color="auto"/>
                        <w:bottom w:val="none" w:sz="0" w:space="0" w:color="auto"/>
                        <w:right w:val="none" w:sz="0" w:space="0" w:color="auto"/>
                      </w:divBdr>
                      <w:divsChild>
                        <w:div w:id="500121030">
                          <w:marLeft w:val="0"/>
                          <w:marRight w:val="0"/>
                          <w:marTop w:val="0"/>
                          <w:marBottom w:val="0"/>
                          <w:divBdr>
                            <w:top w:val="none" w:sz="0" w:space="0" w:color="auto"/>
                            <w:left w:val="none" w:sz="0" w:space="0" w:color="auto"/>
                            <w:bottom w:val="none" w:sz="0" w:space="0" w:color="auto"/>
                            <w:right w:val="none" w:sz="0" w:space="0" w:color="auto"/>
                          </w:divBdr>
                          <w:divsChild>
                            <w:div w:id="17852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745826">
      <w:bodyDiv w:val="1"/>
      <w:marLeft w:val="0"/>
      <w:marRight w:val="0"/>
      <w:marTop w:val="0"/>
      <w:marBottom w:val="0"/>
      <w:divBdr>
        <w:top w:val="none" w:sz="0" w:space="0" w:color="auto"/>
        <w:left w:val="none" w:sz="0" w:space="0" w:color="auto"/>
        <w:bottom w:val="none" w:sz="0" w:space="0" w:color="auto"/>
        <w:right w:val="none" w:sz="0" w:space="0" w:color="auto"/>
      </w:divBdr>
    </w:div>
    <w:div w:id="344215571">
      <w:bodyDiv w:val="1"/>
      <w:marLeft w:val="0"/>
      <w:marRight w:val="0"/>
      <w:marTop w:val="0"/>
      <w:marBottom w:val="0"/>
      <w:divBdr>
        <w:top w:val="none" w:sz="0" w:space="0" w:color="auto"/>
        <w:left w:val="none" w:sz="0" w:space="0" w:color="auto"/>
        <w:bottom w:val="none" w:sz="0" w:space="0" w:color="auto"/>
        <w:right w:val="none" w:sz="0" w:space="0" w:color="auto"/>
      </w:divBdr>
    </w:div>
    <w:div w:id="403067668">
      <w:bodyDiv w:val="1"/>
      <w:marLeft w:val="0"/>
      <w:marRight w:val="0"/>
      <w:marTop w:val="0"/>
      <w:marBottom w:val="0"/>
      <w:divBdr>
        <w:top w:val="none" w:sz="0" w:space="0" w:color="auto"/>
        <w:left w:val="none" w:sz="0" w:space="0" w:color="auto"/>
        <w:bottom w:val="none" w:sz="0" w:space="0" w:color="auto"/>
        <w:right w:val="none" w:sz="0" w:space="0" w:color="auto"/>
      </w:divBdr>
    </w:div>
    <w:div w:id="667561197">
      <w:bodyDiv w:val="1"/>
      <w:marLeft w:val="0"/>
      <w:marRight w:val="0"/>
      <w:marTop w:val="0"/>
      <w:marBottom w:val="0"/>
      <w:divBdr>
        <w:top w:val="none" w:sz="0" w:space="0" w:color="auto"/>
        <w:left w:val="none" w:sz="0" w:space="0" w:color="auto"/>
        <w:bottom w:val="none" w:sz="0" w:space="0" w:color="auto"/>
        <w:right w:val="none" w:sz="0" w:space="0" w:color="auto"/>
      </w:divBdr>
    </w:div>
    <w:div w:id="840046000">
      <w:bodyDiv w:val="1"/>
      <w:marLeft w:val="0"/>
      <w:marRight w:val="0"/>
      <w:marTop w:val="0"/>
      <w:marBottom w:val="0"/>
      <w:divBdr>
        <w:top w:val="none" w:sz="0" w:space="0" w:color="auto"/>
        <w:left w:val="none" w:sz="0" w:space="0" w:color="auto"/>
        <w:bottom w:val="none" w:sz="0" w:space="0" w:color="auto"/>
        <w:right w:val="none" w:sz="0" w:space="0" w:color="auto"/>
      </w:divBdr>
    </w:div>
    <w:div w:id="923342884">
      <w:bodyDiv w:val="1"/>
      <w:marLeft w:val="0"/>
      <w:marRight w:val="0"/>
      <w:marTop w:val="0"/>
      <w:marBottom w:val="0"/>
      <w:divBdr>
        <w:top w:val="none" w:sz="0" w:space="0" w:color="auto"/>
        <w:left w:val="none" w:sz="0" w:space="0" w:color="auto"/>
        <w:bottom w:val="none" w:sz="0" w:space="0" w:color="auto"/>
        <w:right w:val="none" w:sz="0" w:space="0" w:color="auto"/>
      </w:divBdr>
      <w:divsChild>
        <w:div w:id="1559395625">
          <w:marLeft w:val="2"/>
          <w:marRight w:val="0"/>
          <w:marTop w:val="0"/>
          <w:marBottom w:val="0"/>
          <w:divBdr>
            <w:top w:val="none" w:sz="0" w:space="0" w:color="auto"/>
            <w:left w:val="none" w:sz="0" w:space="0" w:color="auto"/>
            <w:bottom w:val="none" w:sz="0" w:space="0" w:color="auto"/>
            <w:right w:val="none" w:sz="0" w:space="0" w:color="auto"/>
          </w:divBdr>
          <w:divsChild>
            <w:div w:id="412168331">
              <w:marLeft w:val="0"/>
              <w:marRight w:val="0"/>
              <w:marTop w:val="0"/>
              <w:marBottom w:val="0"/>
              <w:divBdr>
                <w:top w:val="none" w:sz="0" w:space="0" w:color="auto"/>
                <w:left w:val="none" w:sz="0" w:space="0" w:color="auto"/>
                <w:bottom w:val="none" w:sz="0" w:space="0" w:color="auto"/>
                <w:right w:val="none" w:sz="0" w:space="0" w:color="auto"/>
              </w:divBdr>
              <w:divsChild>
                <w:div w:id="1741442905">
                  <w:marLeft w:val="0"/>
                  <w:marRight w:val="0"/>
                  <w:marTop w:val="0"/>
                  <w:marBottom w:val="0"/>
                  <w:divBdr>
                    <w:top w:val="none" w:sz="0" w:space="0" w:color="auto"/>
                    <w:left w:val="none" w:sz="0" w:space="0" w:color="auto"/>
                    <w:bottom w:val="none" w:sz="0" w:space="0" w:color="auto"/>
                    <w:right w:val="none" w:sz="0" w:space="0" w:color="auto"/>
                  </w:divBdr>
                  <w:divsChild>
                    <w:div w:id="2095779930">
                      <w:marLeft w:val="0"/>
                      <w:marRight w:val="0"/>
                      <w:marTop w:val="0"/>
                      <w:marBottom w:val="0"/>
                      <w:divBdr>
                        <w:top w:val="none" w:sz="0" w:space="0" w:color="auto"/>
                        <w:left w:val="none" w:sz="0" w:space="0" w:color="auto"/>
                        <w:bottom w:val="none" w:sz="0" w:space="0" w:color="auto"/>
                        <w:right w:val="none" w:sz="0" w:space="0" w:color="auto"/>
                      </w:divBdr>
                      <w:divsChild>
                        <w:div w:id="1739596285">
                          <w:marLeft w:val="0"/>
                          <w:marRight w:val="0"/>
                          <w:marTop w:val="0"/>
                          <w:marBottom w:val="0"/>
                          <w:divBdr>
                            <w:top w:val="none" w:sz="0" w:space="0" w:color="auto"/>
                            <w:left w:val="none" w:sz="0" w:space="0" w:color="auto"/>
                            <w:bottom w:val="none" w:sz="0" w:space="0" w:color="auto"/>
                            <w:right w:val="none" w:sz="0" w:space="0" w:color="auto"/>
                          </w:divBdr>
                          <w:divsChild>
                            <w:div w:id="18167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046593">
      <w:bodyDiv w:val="1"/>
      <w:marLeft w:val="0"/>
      <w:marRight w:val="0"/>
      <w:marTop w:val="0"/>
      <w:marBottom w:val="0"/>
      <w:divBdr>
        <w:top w:val="none" w:sz="0" w:space="0" w:color="auto"/>
        <w:left w:val="none" w:sz="0" w:space="0" w:color="auto"/>
        <w:bottom w:val="none" w:sz="0" w:space="0" w:color="auto"/>
        <w:right w:val="none" w:sz="0" w:space="0" w:color="auto"/>
      </w:divBdr>
    </w:div>
    <w:div w:id="1101028925">
      <w:bodyDiv w:val="1"/>
      <w:marLeft w:val="0"/>
      <w:marRight w:val="0"/>
      <w:marTop w:val="0"/>
      <w:marBottom w:val="0"/>
      <w:divBdr>
        <w:top w:val="none" w:sz="0" w:space="0" w:color="auto"/>
        <w:left w:val="none" w:sz="0" w:space="0" w:color="auto"/>
        <w:bottom w:val="none" w:sz="0" w:space="0" w:color="auto"/>
        <w:right w:val="none" w:sz="0" w:space="0" w:color="auto"/>
      </w:divBdr>
    </w:div>
    <w:div w:id="1144465555">
      <w:bodyDiv w:val="1"/>
      <w:marLeft w:val="0"/>
      <w:marRight w:val="0"/>
      <w:marTop w:val="0"/>
      <w:marBottom w:val="0"/>
      <w:divBdr>
        <w:top w:val="none" w:sz="0" w:space="0" w:color="auto"/>
        <w:left w:val="none" w:sz="0" w:space="0" w:color="auto"/>
        <w:bottom w:val="none" w:sz="0" w:space="0" w:color="auto"/>
        <w:right w:val="none" w:sz="0" w:space="0" w:color="auto"/>
      </w:divBdr>
    </w:div>
    <w:div w:id="1247155279">
      <w:bodyDiv w:val="1"/>
      <w:marLeft w:val="0"/>
      <w:marRight w:val="0"/>
      <w:marTop w:val="0"/>
      <w:marBottom w:val="0"/>
      <w:divBdr>
        <w:top w:val="none" w:sz="0" w:space="0" w:color="auto"/>
        <w:left w:val="none" w:sz="0" w:space="0" w:color="auto"/>
        <w:bottom w:val="none" w:sz="0" w:space="0" w:color="auto"/>
        <w:right w:val="none" w:sz="0" w:space="0" w:color="auto"/>
      </w:divBdr>
    </w:div>
    <w:div w:id="1261642143">
      <w:bodyDiv w:val="1"/>
      <w:marLeft w:val="0"/>
      <w:marRight w:val="0"/>
      <w:marTop w:val="0"/>
      <w:marBottom w:val="0"/>
      <w:divBdr>
        <w:top w:val="none" w:sz="0" w:space="0" w:color="auto"/>
        <w:left w:val="none" w:sz="0" w:space="0" w:color="auto"/>
        <w:bottom w:val="none" w:sz="0" w:space="0" w:color="auto"/>
        <w:right w:val="none" w:sz="0" w:space="0" w:color="auto"/>
      </w:divBdr>
    </w:div>
    <w:div w:id="1451317505">
      <w:bodyDiv w:val="1"/>
      <w:marLeft w:val="0"/>
      <w:marRight w:val="0"/>
      <w:marTop w:val="0"/>
      <w:marBottom w:val="0"/>
      <w:divBdr>
        <w:top w:val="none" w:sz="0" w:space="0" w:color="auto"/>
        <w:left w:val="none" w:sz="0" w:space="0" w:color="auto"/>
        <w:bottom w:val="none" w:sz="0" w:space="0" w:color="auto"/>
        <w:right w:val="none" w:sz="0" w:space="0" w:color="auto"/>
      </w:divBdr>
      <w:divsChild>
        <w:div w:id="193614512">
          <w:marLeft w:val="0"/>
          <w:marRight w:val="0"/>
          <w:marTop w:val="0"/>
          <w:marBottom w:val="0"/>
          <w:divBdr>
            <w:top w:val="none" w:sz="0" w:space="0" w:color="auto"/>
            <w:left w:val="none" w:sz="0" w:space="0" w:color="auto"/>
            <w:bottom w:val="none" w:sz="0" w:space="0" w:color="auto"/>
            <w:right w:val="none" w:sz="0" w:space="0" w:color="auto"/>
          </w:divBdr>
          <w:divsChild>
            <w:div w:id="254899378">
              <w:marLeft w:val="0"/>
              <w:marRight w:val="0"/>
              <w:marTop w:val="0"/>
              <w:marBottom w:val="0"/>
              <w:divBdr>
                <w:top w:val="none" w:sz="0" w:space="0" w:color="auto"/>
                <w:left w:val="none" w:sz="0" w:space="0" w:color="auto"/>
                <w:bottom w:val="none" w:sz="0" w:space="0" w:color="auto"/>
                <w:right w:val="none" w:sz="0" w:space="0" w:color="auto"/>
              </w:divBdr>
              <w:divsChild>
                <w:div w:id="1860658240">
                  <w:marLeft w:val="0"/>
                  <w:marRight w:val="0"/>
                  <w:marTop w:val="0"/>
                  <w:marBottom w:val="0"/>
                  <w:divBdr>
                    <w:top w:val="none" w:sz="0" w:space="0" w:color="auto"/>
                    <w:left w:val="none" w:sz="0" w:space="0" w:color="auto"/>
                    <w:bottom w:val="none" w:sz="0" w:space="0" w:color="auto"/>
                    <w:right w:val="none" w:sz="0" w:space="0" w:color="auto"/>
                  </w:divBdr>
                  <w:divsChild>
                    <w:div w:id="1567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45454">
      <w:bodyDiv w:val="1"/>
      <w:marLeft w:val="0"/>
      <w:marRight w:val="0"/>
      <w:marTop w:val="0"/>
      <w:marBottom w:val="0"/>
      <w:divBdr>
        <w:top w:val="none" w:sz="0" w:space="0" w:color="auto"/>
        <w:left w:val="none" w:sz="0" w:space="0" w:color="auto"/>
        <w:bottom w:val="none" w:sz="0" w:space="0" w:color="auto"/>
        <w:right w:val="none" w:sz="0" w:space="0" w:color="auto"/>
      </w:divBdr>
    </w:div>
    <w:div w:id="1677149246">
      <w:bodyDiv w:val="1"/>
      <w:marLeft w:val="0"/>
      <w:marRight w:val="0"/>
      <w:marTop w:val="0"/>
      <w:marBottom w:val="0"/>
      <w:divBdr>
        <w:top w:val="none" w:sz="0" w:space="0" w:color="auto"/>
        <w:left w:val="none" w:sz="0" w:space="0" w:color="auto"/>
        <w:bottom w:val="none" w:sz="0" w:space="0" w:color="auto"/>
        <w:right w:val="none" w:sz="0" w:space="0" w:color="auto"/>
      </w:divBdr>
    </w:div>
    <w:div w:id="2005545440">
      <w:bodyDiv w:val="1"/>
      <w:marLeft w:val="0"/>
      <w:marRight w:val="0"/>
      <w:marTop w:val="0"/>
      <w:marBottom w:val="0"/>
      <w:divBdr>
        <w:top w:val="none" w:sz="0" w:space="0" w:color="auto"/>
        <w:left w:val="none" w:sz="0" w:space="0" w:color="auto"/>
        <w:bottom w:val="none" w:sz="0" w:space="0" w:color="auto"/>
        <w:right w:val="none" w:sz="0" w:space="0" w:color="auto"/>
      </w:divBdr>
      <w:divsChild>
        <w:div w:id="75984183">
          <w:marLeft w:val="0"/>
          <w:marRight w:val="0"/>
          <w:marTop w:val="0"/>
          <w:marBottom w:val="0"/>
          <w:divBdr>
            <w:top w:val="none" w:sz="0" w:space="0" w:color="auto"/>
            <w:left w:val="none" w:sz="0" w:space="0" w:color="auto"/>
            <w:bottom w:val="none" w:sz="0" w:space="0" w:color="auto"/>
            <w:right w:val="none" w:sz="0" w:space="0" w:color="auto"/>
          </w:divBdr>
          <w:divsChild>
            <w:div w:id="2116317816">
              <w:marLeft w:val="0"/>
              <w:marRight w:val="0"/>
              <w:marTop w:val="0"/>
              <w:marBottom w:val="0"/>
              <w:divBdr>
                <w:top w:val="none" w:sz="0" w:space="0" w:color="auto"/>
                <w:left w:val="none" w:sz="0" w:space="0" w:color="auto"/>
                <w:bottom w:val="none" w:sz="0" w:space="0" w:color="auto"/>
                <w:right w:val="none" w:sz="0" w:space="0" w:color="auto"/>
              </w:divBdr>
              <w:divsChild>
                <w:div w:id="52655859">
                  <w:marLeft w:val="0"/>
                  <w:marRight w:val="0"/>
                  <w:marTop w:val="0"/>
                  <w:marBottom w:val="0"/>
                  <w:divBdr>
                    <w:top w:val="none" w:sz="0" w:space="0" w:color="auto"/>
                    <w:left w:val="none" w:sz="0" w:space="0" w:color="auto"/>
                    <w:bottom w:val="none" w:sz="0" w:space="0" w:color="auto"/>
                    <w:right w:val="none" w:sz="0" w:space="0" w:color="auto"/>
                  </w:divBdr>
                  <w:divsChild>
                    <w:div w:id="170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67AC04-7D19-C741-8F20-5027504BA42A}">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F445B-29B4-48F2-8739-C85964DC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Judge-Nolwazi Boqwana</dc:creator>
  <cp:keywords/>
  <dc:description/>
  <cp:lastModifiedBy>Ayanda Mdletshe</cp:lastModifiedBy>
  <cp:revision>2</cp:revision>
  <cp:lastPrinted>2022-06-15T09:00:00Z</cp:lastPrinted>
  <dcterms:created xsi:type="dcterms:W3CDTF">2022-06-17T10:16:00Z</dcterms:created>
  <dcterms:modified xsi:type="dcterms:W3CDTF">2022-06-17T10:16:00Z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documentId_8106</vt:lpwstr>
  </property>
  <property fmtid="{D5CDD505-2E9C-101B-9397-08002B2CF9AE}" pid="3" name="grammarly_documentContext">
    <vt:lpwstr>{"goals":["tellStory"],"domain":"academic","emotions":[],"dialect":"british","audience":"general","style":"formal"}</vt:lpwstr>
  </property>
</Properties>
</file>