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86341" w14:textId="77777777" w:rsidR="00D139A3" w:rsidRPr="00970D60" w:rsidRDefault="00D139A3" w:rsidP="00D139A3">
      <w:pPr>
        <w:autoSpaceDE w:val="0"/>
        <w:autoSpaceDN w:val="0"/>
        <w:adjustRightInd w:val="0"/>
        <w:spacing w:after="0" w:line="360" w:lineRule="auto"/>
        <w:rPr>
          <w:rFonts w:eastAsia="Times New Roman" w:cs="Times New Roman"/>
          <w:sz w:val="28"/>
          <w:szCs w:val="28"/>
          <w:lang w:val="en-US"/>
        </w:rPr>
      </w:pPr>
      <w:r w:rsidRPr="00970D60">
        <w:rPr>
          <w:noProof/>
          <w:lang w:eastAsia="en-ZA"/>
        </w:rPr>
        <w:drawing>
          <wp:anchor distT="0" distB="0" distL="114300" distR="114300" simplePos="0" relativeHeight="251659264" behindDoc="0" locked="0" layoutInCell="1" allowOverlap="1" wp14:anchorId="5C6618DF" wp14:editId="53D51A12">
            <wp:simplePos x="0" y="0"/>
            <wp:positionH relativeFrom="column">
              <wp:posOffset>2590800</wp:posOffset>
            </wp:positionH>
            <wp:positionV relativeFrom="paragraph">
              <wp:posOffset>-342900</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3D54A0BC" w14:textId="77777777" w:rsidR="00D139A3" w:rsidRPr="00970D60" w:rsidRDefault="00D139A3" w:rsidP="00362FBC">
      <w:pPr>
        <w:spacing w:after="0" w:line="360" w:lineRule="auto"/>
        <w:jc w:val="both"/>
        <w:rPr>
          <w:rFonts w:eastAsia="Times New Roman" w:cs="Times New Roman"/>
          <w:sz w:val="28"/>
          <w:szCs w:val="28"/>
          <w:lang w:val="en-US"/>
        </w:rPr>
      </w:pPr>
    </w:p>
    <w:p w14:paraId="72A72A41" w14:textId="77777777" w:rsidR="00D139A3" w:rsidRPr="00970D60" w:rsidRDefault="00D139A3" w:rsidP="00362FBC">
      <w:pPr>
        <w:spacing w:after="0" w:line="360" w:lineRule="auto"/>
        <w:jc w:val="both"/>
        <w:rPr>
          <w:rFonts w:eastAsia="Times New Roman" w:cs="Times New Roman"/>
          <w:sz w:val="28"/>
          <w:szCs w:val="28"/>
          <w:lang w:val="en-US"/>
        </w:rPr>
      </w:pPr>
    </w:p>
    <w:p w14:paraId="120CF747" w14:textId="77777777" w:rsidR="00D139A3" w:rsidRPr="00970D60" w:rsidRDefault="00D139A3" w:rsidP="00362FBC">
      <w:pPr>
        <w:spacing w:after="0" w:line="360" w:lineRule="auto"/>
        <w:jc w:val="both"/>
        <w:rPr>
          <w:rFonts w:eastAsia="Times New Roman" w:cs="Times New Roman"/>
          <w:sz w:val="28"/>
          <w:szCs w:val="28"/>
          <w:lang w:val="en-US"/>
        </w:rPr>
      </w:pPr>
    </w:p>
    <w:p w14:paraId="1677156B" w14:textId="77777777" w:rsidR="00D139A3" w:rsidRPr="00970D60" w:rsidRDefault="00D139A3" w:rsidP="00362FBC">
      <w:pPr>
        <w:autoSpaceDE w:val="0"/>
        <w:autoSpaceDN w:val="0"/>
        <w:adjustRightInd w:val="0"/>
        <w:spacing w:after="0" w:line="360" w:lineRule="auto"/>
        <w:jc w:val="center"/>
        <w:rPr>
          <w:rFonts w:eastAsia="Times New Roman" w:cs="Times New Roman"/>
          <w:b/>
          <w:bCs/>
          <w:sz w:val="28"/>
          <w:szCs w:val="28"/>
          <w:lang w:val="en-US"/>
        </w:rPr>
      </w:pPr>
      <w:r w:rsidRPr="00970D60">
        <w:rPr>
          <w:rFonts w:eastAsia="Times New Roman" w:cs="Times New Roman"/>
          <w:b/>
          <w:bCs/>
          <w:sz w:val="28"/>
          <w:szCs w:val="28"/>
          <w:lang w:val="en-US"/>
        </w:rPr>
        <w:t xml:space="preserve">     THE SUPREME COURT OF APPEAL OF SOUTH AFRICA</w:t>
      </w:r>
    </w:p>
    <w:p w14:paraId="717D6D4E" w14:textId="77777777" w:rsidR="00D139A3" w:rsidRPr="00970D60" w:rsidRDefault="00D139A3" w:rsidP="00362FBC">
      <w:pPr>
        <w:spacing w:after="0" w:line="360" w:lineRule="auto"/>
        <w:jc w:val="center"/>
        <w:rPr>
          <w:rFonts w:eastAsia="Times New Roman" w:cs="Times New Roman"/>
          <w:b/>
          <w:bCs/>
          <w:sz w:val="28"/>
          <w:szCs w:val="28"/>
          <w:lang w:val="en-GB" w:eastAsia="en-GB"/>
        </w:rPr>
      </w:pPr>
      <w:r w:rsidRPr="00970D60">
        <w:rPr>
          <w:rFonts w:eastAsia="Times New Roman" w:cs="Times New Roman"/>
          <w:b/>
          <w:bCs/>
          <w:sz w:val="28"/>
          <w:szCs w:val="28"/>
          <w:lang w:val="en-GB" w:eastAsia="en-GB"/>
        </w:rPr>
        <w:t>JUDGMENT</w:t>
      </w:r>
    </w:p>
    <w:p w14:paraId="73D73574" w14:textId="7E2DE476" w:rsidR="00D139A3" w:rsidRPr="00970D60" w:rsidRDefault="00D139A3" w:rsidP="00362FBC">
      <w:pPr>
        <w:spacing w:after="120" w:line="360" w:lineRule="auto"/>
        <w:jc w:val="right"/>
        <w:rPr>
          <w:rFonts w:eastAsia="Times New Roman" w:cs="Times New Roman"/>
          <w:b/>
          <w:bCs/>
          <w:sz w:val="28"/>
          <w:szCs w:val="28"/>
        </w:rPr>
      </w:pPr>
      <w:r w:rsidRPr="00970D60">
        <w:rPr>
          <w:rFonts w:eastAsia="Times New Roman" w:cs="Times New Roman"/>
          <w:b/>
          <w:sz w:val="28"/>
          <w:szCs w:val="28"/>
          <w:lang w:eastAsia="en-GB"/>
        </w:rPr>
        <w:t xml:space="preserve"> </w:t>
      </w:r>
      <w:r w:rsidR="008C560B">
        <w:rPr>
          <w:rFonts w:eastAsia="Times New Roman" w:cs="Times New Roman"/>
          <w:b/>
          <w:sz w:val="28"/>
          <w:szCs w:val="28"/>
          <w:lang w:eastAsia="en-GB"/>
        </w:rPr>
        <w:t>Not Reportable</w:t>
      </w:r>
    </w:p>
    <w:p w14:paraId="222AA78B" w14:textId="77777777" w:rsidR="00D139A3" w:rsidRPr="00970D60" w:rsidRDefault="00366509" w:rsidP="00362FBC">
      <w:pPr>
        <w:spacing w:after="0" w:line="360" w:lineRule="auto"/>
        <w:jc w:val="right"/>
        <w:rPr>
          <w:rFonts w:eastAsia="Times New Roman" w:cs="Times New Roman"/>
          <w:sz w:val="28"/>
          <w:szCs w:val="28"/>
          <w:lang w:eastAsia="en-GB"/>
        </w:rPr>
      </w:pPr>
      <w:r w:rsidRPr="00970D60">
        <w:rPr>
          <w:rFonts w:eastAsia="Times New Roman" w:cs="Times New Roman"/>
          <w:sz w:val="28"/>
          <w:szCs w:val="28"/>
          <w:lang w:val="en-GB" w:eastAsia="en-GB"/>
        </w:rPr>
        <w:t xml:space="preserve">Case No: </w:t>
      </w:r>
      <w:r w:rsidR="00336A58">
        <w:rPr>
          <w:rFonts w:eastAsia="Times New Roman" w:cs="Times New Roman"/>
          <w:sz w:val="28"/>
          <w:szCs w:val="28"/>
          <w:lang w:val="en-GB" w:eastAsia="en-GB"/>
        </w:rPr>
        <w:t>165</w:t>
      </w:r>
      <w:r w:rsidR="008C560B">
        <w:rPr>
          <w:rFonts w:eastAsia="Times New Roman" w:cs="Times New Roman"/>
          <w:sz w:val="28"/>
          <w:szCs w:val="28"/>
          <w:lang w:val="en-GB" w:eastAsia="en-GB"/>
        </w:rPr>
        <w:t>/21</w:t>
      </w:r>
    </w:p>
    <w:p w14:paraId="596A3179" w14:textId="77777777" w:rsidR="00D139A3" w:rsidRPr="00970D60" w:rsidRDefault="00D139A3" w:rsidP="00362FBC">
      <w:pPr>
        <w:spacing w:after="0" w:line="360" w:lineRule="auto"/>
        <w:jc w:val="right"/>
        <w:rPr>
          <w:rFonts w:eastAsia="Times New Roman" w:cs="Times New Roman"/>
          <w:sz w:val="28"/>
          <w:szCs w:val="28"/>
          <w:lang w:val="en-GB" w:eastAsia="en-GB"/>
        </w:rPr>
      </w:pPr>
    </w:p>
    <w:p w14:paraId="59F8CEB7" w14:textId="77777777" w:rsidR="00D139A3" w:rsidRPr="00970D60" w:rsidRDefault="00D139A3" w:rsidP="00362FBC">
      <w:pPr>
        <w:spacing w:after="0" w:line="360" w:lineRule="auto"/>
        <w:jc w:val="both"/>
        <w:rPr>
          <w:rFonts w:eastAsia="Times New Roman" w:cs="Times New Roman"/>
          <w:sz w:val="28"/>
          <w:szCs w:val="28"/>
          <w:lang w:val="en-GB" w:eastAsia="en-GB"/>
        </w:rPr>
      </w:pPr>
      <w:r w:rsidRPr="00970D60">
        <w:rPr>
          <w:rFonts w:eastAsia="Times New Roman" w:cs="Times New Roman"/>
          <w:sz w:val="28"/>
          <w:szCs w:val="28"/>
          <w:lang w:val="en-GB" w:eastAsia="en-GB"/>
        </w:rPr>
        <w:t>In the matter between:</w:t>
      </w:r>
    </w:p>
    <w:p w14:paraId="391F2191" w14:textId="77777777" w:rsidR="00D139A3" w:rsidRPr="00970D60" w:rsidRDefault="00D139A3" w:rsidP="00362FBC">
      <w:pPr>
        <w:spacing w:after="0" w:line="360" w:lineRule="auto"/>
        <w:jc w:val="both"/>
        <w:rPr>
          <w:rFonts w:eastAsia="Times New Roman" w:cs="Times New Roman"/>
          <w:b/>
          <w:sz w:val="28"/>
          <w:szCs w:val="28"/>
          <w:lang w:val="en-GB" w:eastAsia="en-GB"/>
        </w:rPr>
      </w:pPr>
    </w:p>
    <w:p w14:paraId="7A577E68" w14:textId="77777777" w:rsidR="00D139A3" w:rsidRDefault="00336A58" w:rsidP="00E24D93">
      <w:pPr>
        <w:tabs>
          <w:tab w:val="right" w:pos="9480"/>
        </w:tabs>
        <w:spacing w:line="240" w:lineRule="auto"/>
        <w:jc w:val="both"/>
        <w:rPr>
          <w:rFonts w:eastAsia="Times New Roman" w:cs="Times New Roman"/>
          <w:b/>
          <w:sz w:val="28"/>
          <w:szCs w:val="28"/>
          <w:lang w:val="en-GB" w:eastAsia="en-GB"/>
        </w:rPr>
      </w:pPr>
      <w:r>
        <w:rPr>
          <w:rFonts w:eastAsia="Times New Roman" w:cs="Times New Roman"/>
          <w:b/>
          <w:sz w:val="28"/>
          <w:szCs w:val="28"/>
          <w:lang w:eastAsia="en-GB"/>
        </w:rPr>
        <w:t xml:space="preserve">ALERT STEEL (PTY) LTD                     </w:t>
      </w:r>
      <w:r w:rsidR="00B55F85">
        <w:rPr>
          <w:rFonts w:eastAsia="Times New Roman" w:cs="Times New Roman"/>
          <w:b/>
          <w:sz w:val="28"/>
          <w:szCs w:val="28"/>
          <w:lang w:eastAsia="en-GB"/>
        </w:rPr>
        <w:t xml:space="preserve">                                    </w:t>
      </w:r>
      <w:r w:rsidR="00D139A3" w:rsidRPr="00970D60">
        <w:rPr>
          <w:rFonts w:eastAsia="Times New Roman" w:cs="Times New Roman"/>
          <w:b/>
          <w:sz w:val="28"/>
          <w:szCs w:val="28"/>
          <w:lang w:val="en-GB" w:eastAsia="en-GB"/>
        </w:rPr>
        <w:t>APPELLANT</w:t>
      </w:r>
    </w:p>
    <w:p w14:paraId="0999479B" w14:textId="77777777" w:rsidR="00362FBC" w:rsidRDefault="00362FBC" w:rsidP="00362FBC">
      <w:pPr>
        <w:tabs>
          <w:tab w:val="right" w:pos="9480"/>
        </w:tabs>
        <w:spacing w:after="0" w:line="360" w:lineRule="auto"/>
        <w:jc w:val="both"/>
        <w:rPr>
          <w:rFonts w:eastAsia="Times New Roman" w:cs="Times New Roman"/>
          <w:b/>
          <w:sz w:val="28"/>
          <w:szCs w:val="28"/>
          <w:lang w:val="en-GB" w:eastAsia="en-GB"/>
        </w:rPr>
      </w:pPr>
      <w:r>
        <w:rPr>
          <w:rFonts w:eastAsia="Times New Roman" w:cs="Times New Roman"/>
          <w:b/>
          <w:sz w:val="28"/>
          <w:szCs w:val="28"/>
          <w:lang w:val="en-GB" w:eastAsia="en-GB"/>
        </w:rPr>
        <w:t>(in liquidation)</w:t>
      </w:r>
    </w:p>
    <w:p w14:paraId="585CC778" w14:textId="77777777" w:rsidR="00E24D93" w:rsidRDefault="00E24D93" w:rsidP="00362FBC">
      <w:pPr>
        <w:tabs>
          <w:tab w:val="right" w:pos="9480"/>
        </w:tabs>
        <w:spacing w:after="0" w:line="360" w:lineRule="auto"/>
        <w:jc w:val="both"/>
        <w:rPr>
          <w:rFonts w:eastAsia="Times New Roman" w:cs="Times New Roman"/>
          <w:b/>
          <w:sz w:val="28"/>
          <w:szCs w:val="28"/>
          <w:lang w:val="en-GB" w:eastAsia="en-GB"/>
        </w:rPr>
      </w:pPr>
    </w:p>
    <w:p w14:paraId="7A5D2F57" w14:textId="77777777" w:rsidR="00D139A3" w:rsidRPr="00970D60" w:rsidRDefault="004B7CE4" w:rsidP="00362FBC">
      <w:pPr>
        <w:tabs>
          <w:tab w:val="right" w:pos="9480"/>
        </w:tabs>
        <w:spacing w:after="0" w:line="360" w:lineRule="auto"/>
        <w:jc w:val="both"/>
        <w:rPr>
          <w:rFonts w:eastAsia="Times New Roman" w:cs="Times New Roman"/>
          <w:bCs/>
          <w:sz w:val="28"/>
          <w:szCs w:val="28"/>
          <w:lang w:val="en-GB" w:eastAsia="en-GB"/>
        </w:rPr>
      </w:pPr>
      <w:r w:rsidRPr="00970D60">
        <w:rPr>
          <w:rFonts w:eastAsia="Times New Roman" w:cs="Times New Roman"/>
          <w:bCs/>
          <w:sz w:val="28"/>
          <w:szCs w:val="28"/>
          <w:lang w:val="en-GB" w:eastAsia="en-GB"/>
        </w:rPr>
        <w:t>a</w:t>
      </w:r>
      <w:r w:rsidR="00D139A3" w:rsidRPr="00970D60">
        <w:rPr>
          <w:rFonts w:eastAsia="Times New Roman" w:cs="Times New Roman"/>
          <w:bCs/>
          <w:sz w:val="28"/>
          <w:szCs w:val="28"/>
          <w:lang w:val="en-GB" w:eastAsia="en-GB"/>
        </w:rPr>
        <w:t>nd</w:t>
      </w:r>
    </w:p>
    <w:p w14:paraId="63EE1A42" w14:textId="77777777" w:rsidR="00D139A3" w:rsidRPr="00970D60" w:rsidRDefault="00D139A3" w:rsidP="00362FBC">
      <w:pPr>
        <w:tabs>
          <w:tab w:val="right" w:pos="9480"/>
        </w:tabs>
        <w:spacing w:after="0" w:line="360" w:lineRule="auto"/>
        <w:jc w:val="both"/>
        <w:rPr>
          <w:rFonts w:eastAsia="Times New Roman" w:cs="Times New Roman"/>
          <w:bCs/>
          <w:sz w:val="28"/>
          <w:szCs w:val="28"/>
          <w:lang w:val="en-GB" w:eastAsia="en-GB"/>
        </w:rPr>
      </w:pPr>
    </w:p>
    <w:p w14:paraId="40724758" w14:textId="77777777" w:rsidR="00D139A3" w:rsidRDefault="00336A58" w:rsidP="00362FBC">
      <w:pPr>
        <w:tabs>
          <w:tab w:val="left" w:pos="720"/>
          <w:tab w:val="right" w:pos="9498"/>
        </w:tabs>
        <w:spacing w:after="0" w:line="360" w:lineRule="auto"/>
        <w:jc w:val="both"/>
        <w:rPr>
          <w:rFonts w:eastAsia="Times New Roman" w:cs="Times New Roman"/>
          <w:b/>
          <w:sz w:val="28"/>
          <w:szCs w:val="28"/>
          <w:lang w:val="en-GB" w:eastAsia="en-GB"/>
        </w:rPr>
      </w:pPr>
      <w:r>
        <w:rPr>
          <w:rFonts w:eastAsia="Times New Roman" w:cs="Times New Roman"/>
          <w:b/>
          <w:sz w:val="28"/>
          <w:szCs w:val="28"/>
          <w:lang w:eastAsia="en-GB"/>
        </w:rPr>
        <w:t>MERCANTILE BANK LIMITED</w:t>
      </w:r>
      <w:r w:rsidR="00B55F85">
        <w:rPr>
          <w:rFonts w:eastAsia="Times New Roman" w:cs="Times New Roman"/>
          <w:b/>
          <w:sz w:val="28"/>
          <w:szCs w:val="28"/>
          <w:lang w:eastAsia="en-GB"/>
        </w:rPr>
        <w:t xml:space="preserve"> </w:t>
      </w:r>
      <w:r w:rsidR="00E36C67">
        <w:rPr>
          <w:rFonts w:eastAsia="Times New Roman" w:cs="Times New Roman"/>
          <w:b/>
          <w:sz w:val="28"/>
          <w:szCs w:val="28"/>
          <w:lang w:eastAsia="en-GB"/>
        </w:rPr>
        <w:t xml:space="preserve">           </w:t>
      </w:r>
      <w:r w:rsidR="00F308F4">
        <w:rPr>
          <w:rFonts w:eastAsia="Times New Roman" w:cs="Times New Roman"/>
          <w:b/>
          <w:sz w:val="28"/>
          <w:szCs w:val="28"/>
          <w:lang w:eastAsia="en-GB"/>
        </w:rPr>
        <w:t xml:space="preserve">       </w:t>
      </w:r>
      <w:r w:rsidR="008C560B">
        <w:rPr>
          <w:rFonts w:eastAsia="Times New Roman" w:cs="Times New Roman"/>
          <w:b/>
          <w:sz w:val="28"/>
          <w:szCs w:val="28"/>
          <w:lang w:eastAsia="en-GB"/>
        </w:rPr>
        <w:t xml:space="preserve">                     </w:t>
      </w:r>
      <w:r>
        <w:rPr>
          <w:rFonts w:eastAsia="Times New Roman" w:cs="Times New Roman"/>
          <w:b/>
          <w:sz w:val="28"/>
          <w:szCs w:val="28"/>
          <w:lang w:eastAsia="en-GB"/>
        </w:rPr>
        <w:t xml:space="preserve">    </w:t>
      </w:r>
      <w:r w:rsidR="00D139A3" w:rsidRPr="00970D60">
        <w:rPr>
          <w:rFonts w:eastAsia="Times New Roman" w:cs="Times New Roman"/>
          <w:b/>
          <w:sz w:val="28"/>
          <w:szCs w:val="28"/>
          <w:lang w:val="en-GB" w:eastAsia="en-GB"/>
        </w:rPr>
        <w:t>RESPONDENT</w:t>
      </w:r>
    </w:p>
    <w:p w14:paraId="7B27CDFC" w14:textId="77777777" w:rsidR="00336A58" w:rsidRDefault="00336A58" w:rsidP="00362FBC">
      <w:pPr>
        <w:spacing w:after="0" w:line="360" w:lineRule="auto"/>
        <w:ind w:left="2160" w:hanging="2160"/>
        <w:jc w:val="both"/>
        <w:rPr>
          <w:rFonts w:eastAsia="Times New Roman" w:cs="Times New Roman"/>
          <w:b/>
          <w:bCs/>
          <w:sz w:val="28"/>
          <w:szCs w:val="28"/>
          <w:lang w:val="en-GB" w:eastAsia="en-GB"/>
        </w:rPr>
      </w:pPr>
    </w:p>
    <w:p w14:paraId="411646A4" w14:textId="02A08B11" w:rsidR="00D139A3" w:rsidRPr="00970D60" w:rsidRDefault="00D139A3" w:rsidP="00362FBC">
      <w:pPr>
        <w:spacing w:after="0" w:line="360" w:lineRule="auto"/>
        <w:ind w:left="2160" w:hanging="2160"/>
        <w:jc w:val="both"/>
        <w:rPr>
          <w:rFonts w:eastAsia="Times New Roman" w:cs="Times New Roman"/>
          <w:b/>
          <w:bCs/>
          <w:sz w:val="28"/>
          <w:szCs w:val="28"/>
          <w:u w:val="single"/>
          <w:lang w:val="en-GB" w:eastAsia="en-GB"/>
        </w:rPr>
      </w:pPr>
      <w:r w:rsidRPr="00970D60">
        <w:rPr>
          <w:rFonts w:eastAsia="Times New Roman" w:cs="Times New Roman"/>
          <w:b/>
          <w:bCs/>
          <w:sz w:val="28"/>
          <w:szCs w:val="28"/>
          <w:lang w:val="en-GB" w:eastAsia="en-GB"/>
        </w:rPr>
        <w:t>Neutral citation:</w:t>
      </w:r>
      <w:r w:rsidRPr="00970D60">
        <w:rPr>
          <w:rFonts w:eastAsia="Times New Roman" w:cs="Times New Roman"/>
          <w:b/>
          <w:bCs/>
          <w:sz w:val="28"/>
          <w:szCs w:val="28"/>
          <w:lang w:val="en-GB" w:eastAsia="en-GB"/>
        </w:rPr>
        <w:tab/>
      </w:r>
      <w:bookmarkStart w:id="0" w:name="_GoBack"/>
      <w:r w:rsidR="00362FBC">
        <w:rPr>
          <w:rFonts w:eastAsia="Times New Roman" w:cs="Times New Roman"/>
          <w:i/>
          <w:iCs/>
          <w:sz w:val="28"/>
          <w:szCs w:val="28"/>
          <w:lang w:eastAsia="en-GB"/>
        </w:rPr>
        <w:t>Alert Steel (Pty) Ltd v Mercantile Bank Ltd</w:t>
      </w:r>
      <w:r w:rsidR="00712E70">
        <w:rPr>
          <w:rFonts w:eastAsia="Times New Roman" w:cs="Times New Roman"/>
          <w:bCs/>
          <w:i/>
          <w:sz w:val="28"/>
          <w:szCs w:val="28"/>
          <w:lang w:val="en-GB" w:eastAsia="en-GB"/>
        </w:rPr>
        <w:t xml:space="preserve"> </w:t>
      </w:r>
      <w:r w:rsidR="00836A9E" w:rsidRPr="00970D60">
        <w:rPr>
          <w:rFonts w:eastAsia="Times New Roman" w:cs="Times New Roman"/>
          <w:bCs/>
          <w:sz w:val="28"/>
          <w:szCs w:val="28"/>
          <w:lang w:val="en-GB" w:eastAsia="en-GB"/>
        </w:rPr>
        <w:t xml:space="preserve">(case no </w:t>
      </w:r>
      <w:r w:rsidR="00362FBC">
        <w:rPr>
          <w:rFonts w:eastAsia="Times New Roman" w:cs="Times New Roman"/>
          <w:bCs/>
          <w:sz w:val="28"/>
          <w:szCs w:val="28"/>
          <w:lang w:val="en-GB" w:eastAsia="en-GB"/>
        </w:rPr>
        <w:t>165</w:t>
      </w:r>
      <w:r w:rsidR="00712E70">
        <w:rPr>
          <w:rFonts w:eastAsia="Times New Roman" w:cs="Times New Roman"/>
          <w:bCs/>
          <w:sz w:val="28"/>
          <w:szCs w:val="28"/>
          <w:lang w:val="en-GB" w:eastAsia="en-GB"/>
        </w:rPr>
        <w:t>/21</w:t>
      </w:r>
      <w:r w:rsidRPr="00970D60">
        <w:rPr>
          <w:rFonts w:eastAsia="Times New Roman" w:cs="Times New Roman"/>
          <w:bCs/>
          <w:sz w:val="28"/>
          <w:szCs w:val="28"/>
          <w:lang w:val="en-GB" w:eastAsia="en-GB"/>
        </w:rPr>
        <w:t>)</w:t>
      </w:r>
      <w:r w:rsidRPr="00970D60">
        <w:rPr>
          <w:rFonts w:eastAsia="Times New Roman" w:cs="Times New Roman"/>
          <w:bCs/>
          <w:i/>
          <w:sz w:val="28"/>
          <w:szCs w:val="28"/>
          <w:lang w:val="en-GB" w:eastAsia="en-GB"/>
        </w:rPr>
        <w:t xml:space="preserve"> </w:t>
      </w:r>
      <w:r w:rsidRPr="00970D60">
        <w:rPr>
          <w:rFonts w:eastAsia="Times New Roman" w:cs="Times New Roman"/>
          <w:bCs/>
          <w:sz w:val="28"/>
          <w:szCs w:val="28"/>
          <w:lang w:val="en-GB" w:eastAsia="en-GB"/>
        </w:rPr>
        <w:t>[202</w:t>
      </w:r>
      <w:r w:rsidR="00712E70">
        <w:rPr>
          <w:rFonts w:eastAsia="Times New Roman" w:cs="Times New Roman"/>
          <w:bCs/>
          <w:sz w:val="28"/>
          <w:szCs w:val="28"/>
          <w:lang w:val="en-GB" w:eastAsia="en-GB"/>
        </w:rPr>
        <w:t>2</w:t>
      </w:r>
      <w:r w:rsidRPr="00970D60">
        <w:rPr>
          <w:rFonts w:eastAsia="Times New Roman" w:cs="Times New Roman"/>
          <w:bCs/>
          <w:sz w:val="28"/>
          <w:szCs w:val="28"/>
          <w:lang w:val="en-GB" w:eastAsia="en-GB"/>
        </w:rPr>
        <w:t>] ZASCA</w:t>
      </w:r>
      <w:r w:rsidRPr="00970D60">
        <w:rPr>
          <w:rFonts w:eastAsia="Times New Roman" w:cs="Times New Roman"/>
          <w:bCs/>
          <w:i/>
          <w:sz w:val="28"/>
          <w:szCs w:val="28"/>
          <w:lang w:val="en-GB" w:eastAsia="en-GB"/>
        </w:rPr>
        <w:t xml:space="preserve"> </w:t>
      </w:r>
      <w:r w:rsidR="00BF5408">
        <w:rPr>
          <w:rFonts w:eastAsia="Times New Roman" w:cs="Times New Roman"/>
          <w:bCs/>
          <w:sz w:val="28"/>
          <w:szCs w:val="28"/>
          <w:lang w:eastAsia="en-GB"/>
        </w:rPr>
        <w:t>96</w:t>
      </w:r>
      <w:r w:rsidRPr="00970D60">
        <w:rPr>
          <w:rFonts w:eastAsia="Times New Roman" w:cs="Times New Roman"/>
          <w:bCs/>
          <w:sz w:val="28"/>
          <w:szCs w:val="28"/>
          <w:lang w:val="en-GB" w:eastAsia="en-GB"/>
        </w:rPr>
        <w:t xml:space="preserve"> (</w:t>
      </w:r>
      <w:r w:rsidR="00DD2C8C">
        <w:rPr>
          <w:rFonts w:eastAsia="Times New Roman" w:cs="Times New Roman"/>
          <w:bCs/>
          <w:sz w:val="28"/>
          <w:szCs w:val="28"/>
          <w:lang w:eastAsia="en-GB"/>
        </w:rPr>
        <w:t>2</w:t>
      </w:r>
      <w:r w:rsidR="0081120B">
        <w:rPr>
          <w:rFonts w:eastAsia="Times New Roman" w:cs="Times New Roman"/>
          <w:bCs/>
          <w:sz w:val="28"/>
          <w:szCs w:val="28"/>
          <w:lang w:eastAsia="en-GB"/>
        </w:rPr>
        <w:t>1</w:t>
      </w:r>
      <w:r w:rsidR="00DD2C8C">
        <w:rPr>
          <w:rFonts w:eastAsia="Times New Roman" w:cs="Times New Roman"/>
          <w:bCs/>
          <w:sz w:val="28"/>
          <w:szCs w:val="28"/>
          <w:lang w:eastAsia="en-GB"/>
        </w:rPr>
        <w:t xml:space="preserve"> June</w:t>
      </w:r>
      <w:r w:rsidR="00350549" w:rsidRPr="00970D60">
        <w:rPr>
          <w:rFonts w:eastAsia="Times New Roman" w:cs="Times New Roman"/>
          <w:bCs/>
          <w:sz w:val="28"/>
          <w:szCs w:val="28"/>
          <w:lang w:eastAsia="en-GB"/>
        </w:rPr>
        <w:t xml:space="preserve"> </w:t>
      </w:r>
      <w:r w:rsidRPr="00970D60">
        <w:rPr>
          <w:rFonts w:eastAsia="Times New Roman" w:cs="Times New Roman"/>
          <w:bCs/>
          <w:sz w:val="28"/>
          <w:szCs w:val="28"/>
          <w:lang w:val="en-GB" w:eastAsia="en-GB"/>
        </w:rPr>
        <w:t>202</w:t>
      </w:r>
      <w:r w:rsidR="00712E70">
        <w:rPr>
          <w:rFonts w:eastAsia="Times New Roman" w:cs="Times New Roman"/>
          <w:bCs/>
          <w:sz w:val="28"/>
          <w:szCs w:val="28"/>
          <w:lang w:val="en-GB" w:eastAsia="en-GB"/>
        </w:rPr>
        <w:t>2</w:t>
      </w:r>
      <w:r w:rsidRPr="00970D60">
        <w:rPr>
          <w:rFonts w:eastAsia="Times New Roman" w:cs="Times New Roman"/>
          <w:bCs/>
          <w:sz w:val="28"/>
          <w:szCs w:val="28"/>
          <w:lang w:val="en-GB" w:eastAsia="en-GB"/>
        </w:rPr>
        <w:t>)</w:t>
      </w:r>
      <w:r w:rsidRPr="00970D60">
        <w:rPr>
          <w:rFonts w:eastAsia="Times New Roman" w:cs="Times New Roman"/>
          <w:b/>
          <w:bCs/>
          <w:sz w:val="28"/>
          <w:szCs w:val="28"/>
          <w:u w:val="single"/>
          <w:lang w:val="en-GB" w:eastAsia="en-GB"/>
        </w:rPr>
        <w:t xml:space="preserve"> </w:t>
      </w:r>
    </w:p>
    <w:bookmarkEnd w:id="0"/>
    <w:p w14:paraId="0EA0D26E" w14:textId="77777777" w:rsidR="00D139A3" w:rsidRPr="00970D60" w:rsidRDefault="00D139A3" w:rsidP="00362FBC">
      <w:pPr>
        <w:spacing w:after="0" w:line="360" w:lineRule="auto"/>
        <w:ind w:left="2160" w:hanging="2160"/>
        <w:jc w:val="both"/>
        <w:rPr>
          <w:rFonts w:eastAsia="Times New Roman" w:cs="Times New Roman"/>
          <w:b/>
          <w:bCs/>
          <w:sz w:val="28"/>
          <w:szCs w:val="28"/>
          <w:u w:val="single"/>
          <w:lang w:val="en-GB" w:eastAsia="en-GB"/>
        </w:rPr>
      </w:pPr>
      <w:r w:rsidRPr="00970D60">
        <w:rPr>
          <w:rFonts w:eastAsia="Times New Roman" w:cs="Times New Roman"/>
          <w:b/>
          <w:bCs/>
          <w:sz w:val="28"/>
          <w:szCs w:val="28"/>
          <w:lang w:val="en-GB" w:eastAsia="en-GB"/>
        </w:rPr>
        <w:t>Coram:</w:t>
      </w:r>
      <w:r w:rsidRPr="00970D60">
        <w:rPr>
          <w:rFonts w:eastAsia="Times New Roman" w:cs="Times New Roman"/>
          <w:b/>
          <w:bCs/>
          <w:sz w:val="28"/>
          <w:szCs w:val="28"/>
          <w:lang w:val="en-GB" w:eastAsia="en-GB"/>
        </w:rPr>
        <w:tab/>
      </w:r>
      <w:r w:rsidR="00362FBC">
        <w:rPr>
          <w:rFonts w:eastAsia="Times New Roman" w:cs="Times New Roman"/>
          <w:bCs/>
          <w:sz w:val="28"/>
          <w:szCs w:val="28"/>
          <w:lang w:val="en-GB" w:eastAsia="en-GB"/>
        </w:rPr>
        <w:t xml:space="preserve">VAN DER MERWE, MOLEMELA and </w:t>
      </w:r>
      <w:r w:rsidR="005D09F0" w:rsidRPr="00970D60">
        <w:rPr>
          <w:rFonts w:eastAsia="Times New Roman" w:cs="Times New Roman"/>
          <w:bCs/>
          <w:sz w:val="28"/>
          <w:szCs w:val="28"/>
          <w:lang w:val="en-GB" w:eastAsia="en-GB"/>
        </w:rPr>
        <w:t>SCHIPPERS</w:t>
      </w:r>
      <w:r w:rsidR="00362FBC">
        <w:rPr>
          <w:rFonts w:eastAsia="Times New Roman" w:cs="Times New Roman"/>
          <w:bCs/>
          <w:sz w:val="28"/>
          <w:szCs w:val="28"/>
          <w:lang w:val="en-GB" w:eastAsia="en-GB"/>
        </w:rPr>
        <w:t xml:space="preserve"> JJA and</w:t>
      </w:r>
      <w:r w:rsidR="008C560B">
        <w:rPr>
          <w:rFonts w:eastAsia="Times New Roman" w:cs="Times New Roman"/>
          <w:bCs/>
          <w:sz w:val="28"/>
          <w:szCs w:val="28"/>
          <w:lang w:val="en-GB" w:eastAsia="en-GB"/>
        </w:rPr>
        <w:t xml:space="preserve"> </w:t>
      </w:r>
      <w:r w:rsidR="00362FBC">
        <w:rPr>
          <w:rFonts w:eastAsia="Times New Roman" w:cs="Times New Roman"/>
          <w:bCs/>
          <w:sz w:val="28"/>
          <w:szCs w:val="28"/>
          <w:lang w:val="en-GB" w:eastAsia="en-GB"/>
        </w:rPr>
        <w:t>MUSI and MATOJANE AJJA</w:t>
      </w:r>
      <w:r w:rsidR="00030D5D">
        <w:rPr>
          <w:rFonts w:eastAsia="Times New Roman" w:cs="Times New Roman"/>
          <w:bCs/>
          <w:sz w:val="28"/>
          <w:szCs w:val="28"/>
          <w:lang w:val="en-GB" w:eastAsia="en-GB"/>
        </w:rPr>
        <w:t xml:space="preserve"> </w:t>
      </w:r>
    </w:p>
    <w:p w14:paraId="4AB57910" w14:textId="77777777" w:rsidR="00D139A3" w:rsidRPr="008C560B" w:rsidRDefault="009C279C" w:rsidP="00362FBC">
      <w:pPr>
        <w:spacing w:after="0" w:line="360" w:lineRule="auto"/>
        <w:jc w:val="both"/>
        <w:rPr>
          <w:rFonts w:eastAsia="Times New Roman" w:cs="Times New Roman"/>
          <w:bCs/>
          <w:sz w:val="28"/>
          <w:szCs w:val="28"/>
          <w:lang w:val="en-GB" w:eastAsia="en-GB"/>
        </w:rPr>
      </w:pPr>
      <w:r>
        <w:rPr>
          <w:rFonts w:eastAsia="Times New Roman" w:cs="Times New Roman"/>
          <w:b/>
          <w:bCs/>
          <w:sz w:val="28"/>
          <w:szCs w:val="28"/>
          <w:lang w:val="en-GB" w:eastAsia="en-GB"/>
        </w:rPr>
        <w:t>Heard:</w:t>
      </w:r>
      <w:r>
        <w:rPr>
          <w:rFonts w:eastAsia="Times New Roman" w:cs="Times New Roman"/>
          <w:b/>
          <w:bCs/>
          <w:sz w:val="28"/>
          <w:szCs w:val="28"/>
          <w:lang w:val="en-GB" w:eastAsia="en-GB"/>
        </w:rPr>
        <w:tab/>
      </w:r>
      <w:r>
        <w:rPr>
          <w:rFonts w:eastAsia="Times New Roman" w:cs="Times New Roman"/>
          <w:b/>
          <w:bCs/>
          <w:sz w:val="28"/>
          <w:szCs w:val="28"/>
          <w:lang w:val="en-GB" w:eastAsia="en-GB"/>
        </w:rPr>
        <w:tab/>
      </w:r>
      <w:r w:rsidRPr="009C279C">
        <w:rPr>
          <w:rFonts w:eastAsia="Times New Roman" w:cs="Times New Roman"/>
          <w:bCs/>
          <w:sz w:val="28"/>
          <w:szCs w:val="28"/>
          <w:lang w:val="en-GB" w:eastAsia="en-GB"/>
        </w:rPr>
        <w:t>2</w:t>
      </w:r>
      <w:r w:rsidR="00362FBC">
        <w:rPr>
          <w:rFonts w:eastAsia="Times New Roman" w:cs="Times New Roman"/>
          <w:bCs/>
          <w:sz w:val="28"/>
          <w:szCs w:val="28"/>
          <w:lang w:val="en-GB" w:eastAsia="en-GB"/>
        </w:rPr>
        <w:t>0</w:t>
      </w:r>
      <w:r w:rsidRPr="009C279C">
        <w:rPr>
          <w:rFonts w:eastAsia="Times New Roman" w:cs="Times New Roman"/>
          <w:bCs/>
          <w:sz w:val="28"/>
          <w:szCs w:val="28"/>
          <w:lang w:val="en-GB" w:eastAsia="en-GB"/>
        </w:rPr>
        <w:t xml:space="preserve"> May</w:t>
      </w:r>
      <w:r w:rsidR="008C560B">
        <w:rPr>
          <w:rFonts w:eastAsia="Times New Roman" w:cs="Times New Roman"/>
          <w:bCs/>
          <w:sz w:val="28"/>
          <w:szCs w:val="28"/>
          <w:lang w:val="en-GB" w:eastAsia="en-GB"/>
        </w:rPr>
        <w:t xml:space="preserve"> 2022</w:t>
      </w:r>
    </w:p>
    <w:p w14:paraId="2EF23002" w14:textId="1C044521" w:rsidR="00D139A3" w:rsidRPr="00970D60" w:rsidRDefault="00D139A3" w:rsidP="00DD2C8C">
      <w:pPr>
        <w:spacing w:after="0" w:line="360" w:lineRule="auto"/>
        <w:jc w:val="both"/>
        <w:outlineLvl w:val="0"/>
        <w:rPr>
          <w:rFonts w:eastAsia="Times New Roman" w:cs="Times New Roman"/>
          <w:sz w:val="28"/>
          <w:szCs w:val="28"/>
          <w:lang w:val="en-US" w:eastAsia="en-ZA"/>
        </w:rPr>
      </w:pPr>
      <w:r w:rsidRPr="00970D60">
        <w:rPr>
          <w:rFonts w:eastAsia="Times New Roman" w:cs="Times New Roman"/>
          <w:b/>
          <w:bCs/>
          <w:sz w:val="28"/>
          <w:szCs w:val="28"/>
          <w:lang w:val="en-GB" w:eastAsia="en-GB"/>
        </w:rPr>
        <w:t>Delivered:</w:t>
      </w:r>
      <w:r w:rsidR="00DD2C8C">
        <w:rPr>
          <w:rFonts w:eastAsia="Times New Roman" w:cs="Times New Roman"/>
          <w:b/>
          <w:bCs/>
          <w:sz w:val="28"/>
          <w:szCs w:val="28"/>
          <w:lang w:val="en-GB" w:eastAsia="en-GB"/>
        </w:rPr>
        <w:tab/>
      </w:r>
      <w:r w:rsidR="00DD2C8C">
        <w:rPr>
          <w:rFonts w:eastAsia="Times New Roman" w:cs="Times New Roman"/>
          <w:b/>
          <w:bCs/>
          <w:sz w:val="28"/>
          <w:szCs w:val="28"/>
          <w:lang w:val="en-GB" w:eastAsia="en-GB"/>
        </w:rPr>
        <w:tab/>
      </w:r>
      <w:r w:rsidR="00DD2C8C" w:rsidRPr="00DD2C8C">
        <w:rPr>
          <w:rFonts w:eastAsia="Times New Roman" w:cs="Times New Roman"/>
          <w:bCs/>
          <w:sz w:val="28"/>
          <w:szCs w:val="28"/>
          <w:lang w:val="en-GB" w:eastAsia="en-GB"/>
        </w:rPr>
        <w:t>2</w:t>
      </w:r>
      <w:r w:rsidR="0081120B">
        <w:rPr>
          <w:rFonts w:eastAsia="Times New Roman" w:cs="Times New Roman"/>
          <w:bCs/>
          <w:sz w:val="28"/>
          <w:szCs w:val="28"/>
          <w:lang w:val="en-GB" w:eastAsia="en-GB"/>
        </w:rPr>
        <w:t>1</w:t>
      </w:r>
      <w:r w:rsidR="00F2540C">
        <w:rPr>
          <w:rFonts w:eastAsia="Times New Roman" w:cs="Times New Roman"/>
          <w:bCs/>
          <w:sz w:val="28"/>
          <w:szCs w:val="28"/>
          <w:lang w:val="en-GB" w:eastAsia="en-GB"/>
        </w:rPr>
        <w:t xml:space="preserve"> </w:t>
      </w:r>
      <w:r w:rsidR="00DD2C8C" w:rsidRPr="00DD2C8C">
        <w:rPr>
          <w:rFonts w:eastAsia="Times New Roman" w:cs="Times New Roman"/>
          <w:bCs/>
          <w:sz w:val="28"/>
          <w:szCs w:val="28"/>
          <w:lang w:val="en-GB" w:eastAsia="en-GB"/>
        </w:rPr>
        <w:t>June 2022</w:t>
      </w:r>
    </w:p>
    <w:p w14:paraId="1C28845C" w14:textId="10B02239" w:rsidR="00C521D4" w:rsidRPr="00E135DE" w:rsidRDefault="00D139A3" w:rsidP="00362FBC">
      <w:pPr>
        <w:spacing w:before="120" w:after="0" w:line="360" w:lineRule="auto"/>
        <w:jc w:val="both"/>
        <w:rPr>
          <w:rFonts w:eastAsia="Times New Roman" w:cs="Times New Roman"/>
          <w:sz w:val="28"/>
          <w:szCs w:val="28"/>
          <w:lang w:eastAsia="en-GB"/>
        </w:rPr>
      </w:pPr>
      <w:r w:rsidRPr="00970D60">
        <w:rPr>
          <w:rFonts w:eastAsia="Times New Roman" w:cs="Times New Roman"/>
          <w:b/>
          <w:sz w:val="28"/>
          <w:szCs w:val="28"/>
          <w:lang w:eastAsia="en-GB"/>
        </w:rPr>
        <w:t xml:space="preserve">Summary: </w:t>
      </w:r>
      <w:r w:rsidR="003E7719">
        <w:rPr>
          <w:rFonts w:eastAsia="Times New Roman" w:cs="Times New Roman"/>
          <w:sz w:val="28"/>
          <w:szCs w:val="28"/>
          <w:lang w:eastAsia="en-GB"/>
        </w:rPr>
        <w:t>Enrichment</w:t>
      </w:r>
      <w:r w:rsidR="00E135DE">
        <w:rPr>
          <w:rFonts w:eastAsia="Times New Roman" w:cs="Times New Roman"/>
          <w:sz w:val="28"/>
          <w:szCs w:val="28"/>
          <w:lang w:eastAsia="en-GB"/>
        </w:rPr>
        <w:t xml:space="preserve"> – </w:t>
      </w:r>
      <w:r w:rsidR="003E7719">
        <w:rPr>
          <w:rFonts w:eastAsia="Times New Roman" w:cs="Times New Roman"/>
          <w:i/>
          <w:sz w:val="28"/>
          <w:szCs w:val="28"/>
          <w:lang w:eastAsia="en-GB"/>
        </w:rPr>
        <w:t xml:space="preserve">condictio indebiti </w:t>
      </w:r>
      <w:r w:rsidR="003E7719" w:rsidRPr="003E7719">
        <w:rPr>
          <w:rFonts w:eastAsia="Times New Roman" w:cs="Times New Roman"/>
          <w:sz w:val="28"/>
          <w:szCs w:val="28"/>
          <w:lang w:eastAsia="en-GB"/>
        </w:rPr>
        <w:t>and</w:t>
      </w:r>
      <w:r w:rsidR="00E135DE" w:rsidRPr="00E135DE">
        <w:rPr>
          <w:rFonts w:eastAsia="Times New Roman" w:cs="Times New Roman"/>
          <w:i/>
          <w:sz w:val="28"/>
          <w:szCs w:val="28"/>
          <w:lang w:eastAsia="en-GB"/>
        </w:rPr>
        <w:t xml:space="preserve"> </w:t>
      </w:r>
      <w:r w:rsidR="003E7719">
        <w:rPr>
          <w:rFonts w:eastAsia="Times New Roman" w:cs="Times New Roman"/>
          <w:i/>
          <w:sz w:val="28"/>
          <w:szCs w:val="28"/>
          <w:lang w:eastAsia="en-GB"/>
        </w:rPr>
        <w:t xml:space="preserve">condictio sine causa </w:t>
      </w:r>
      <w:r w:rsidR="0022739D">
        <w:rPr>
          <w:rFonts w:eastAsia="Times New Roman" w:cs="Times New Roman"/>
          <w:sz w:val="28"/>
          <w:szCs w:val="28"/>
          <w:lang w:eastAsia="en-GB"/>
        </w:rPr>
        <w:t xml:space="preserve">– </w:t>
      </w:r>
      <w:r w:rsidR="00E66B00">
        <w:rPr>
          <w:rFonts w:eastAsia="Times New Roman" w:cs="Times New Roman"/>
          <w:sz w:val="28"/>
          <w:szCs w:val="28"/>
          <w:lang w:eastAsia="en-GB"/>
        </w:rPr>
        <w:t xml:space="preserve">company in liquidation – </w:t>
      </w:r>
      <w:r w:rsidR="006B56CE">
        <w:rPr>
          <w:rFonts w:eastAsia="Times New Roman" w:cs="Times New Roman"/>
          <w:sz w:val="28"/>
          <w:szCs w:val="28"/>
          <w:lang w:eastAsia="en-GB"/>
        </w:rPr>
        <w:t xml:space="preserve">sale of assets – </w:t>
      </w:r>
      <w:r w:rsidR="00E66B00">
        <w:rPr>
          <w:rFonts w:eastAsia="Times New Roman" w:cs="Times New Roman"/>
          <w:sz w:val="28"/>
          <w:szCs w:val="28"/>
          <w:lang w:eastAsia="en-GB"/>
        </w:rPr>
        <w:t xml:space="preserve">claim for repayment of amount received by </w:t>
      </w:r>
      <w:r w:rsidR="003E7719">
        <w:rPr>
          <w:rFonts w:eastAsia="Times New Roman" w:cs="Times New Roman"/>
          <w:sz w:val="28"/>
          <w:szCs w:val="28"/>
          <w:lang w:eastAsia="en-GB"/>
        </w:rPr>
        <w:t xml:space="preserve">secured creditor – </w:t>
      </w:r>
      <w:r w:rsidR="00F4715A">
        <w:rPr>
          <w:rFonts w:eastAsia="Times New Roman" w:cs="Times New Roman"/>
          <w:sz w:val="28"/>
          <w:szCs w:val="28"/>
          <w:lang w:eastAsia="en-GB"/>
        </w:rPr>
        <w:t xml:space="preserve">on </w:t>
      </w:r>
      <w:r w:rsidR="00F420EB">
        <w:rPr>
          <w:rFonts w:eastAsia="Times New Roman" w:cs="Times New Roman"/>
          <w:sz w:val="28"/>
          <w:szCs w:val="28"/>
          <w:lang w:eastAsia="en-GB"/>
        </w:rPr>
        <w:t xml:space="preserve">the </w:t>
      </w:r>
      <w:r w:rsidR="00F4715A">
        <w:rPr>
          <w:rFonts w:eastAsia="Times New Roman" w:cs="Times New Roman"/>
          <w:sz w:val="28"/>
          <w:szCs w:val="28"/>
          <w:lang w:eastAsia="en-GB"/>
        </w:rPr>
        <w:t xml:space="preserve">basis that </w:t>
      </w:r>
      <w:r w:rsidR="006B56CE">
        <w:rPr>
          <w:rFonts w:eastAsia="Times New Roman" w:cs="Times New Roman"/>
          <w:sz w:val="28"/>
          <w:szCs w:val="28"/>
          <w:lang w:eastAsia="en-GB"/>
        </w:rPr>
        <w:t>receipt</w:t>
      </w:r>
      <w:r w:rsidR="00E66B00">
        <w:rPr>
          <w:rFonts w:eastAsia="Times New Roman" w:cs="Times New Roman"/>
          <w:sz w:val="28"/>
          <w:szCs w:val="28"/>
          <w:lang w:eastAsia="en-GB"/>
        </w:rPr>
        <w:t xml:space="preserve"> </w:t>
      </w:r>
      <w:r w:rsidR="00E66B00" w:rsidRPr="00E66B00">
        <w:rPr>
          <w:rFonts w:eastAsia="Times New Roman" w:cs="Times New Roman"/>
          <w:i/>
          <w:sz w:val="28"/>
          <w:szCs w:val="28"/>
          <w:lang w:eastAsia="en-GB"/>
        </w:rPr>
        <w:t>ultra vires</w:t>
      </w:r>
      <w:r w:rsidR="00E66B00">
        <w:rPr>
          <w:rFonts w:eastAsia="Times New Roman" w:cs="Times New Roman"/>
          <w:sz w:val="28"/>
          <w:szCs w:val="28"/>
          <w:lang w:eastAsia="en-GB"/>
        </w:rPr>
        <w:t xml:space="preserve"> – enrichment of creditor </w:t>
      </w:r>
      <w:r w:rsidR="006B56CE">
        <w:rPr>
          <w:rFonts w:eastAsia="Times New Roman" w:cs="Times New Roman"/>
          <w:sz w:val="28"/>
          <w:szCs w:val="28"/>
          <w:lang w:eastAsia="en-GB"/>
        </w:rPr>
        <w:t>a</w:t>
      </w:r>
      <w:r w:rsidR="008B271E">
        <w:rPr>
          <w:rFonts w:eastAsia="Times New Roman" w:cs="Times New Roman"/>
          <w:sz w:val="28"/>
          <w:szCs w:val="28"/>
          <w:lang w:eastAsia="en-GB"/>
        </w:rPr>
        <w:t>nd impoverishment of company</w:t>
      </w:r>
      <w:r w:rsidR="006B56CE">
        <w:rPr>
          <w:rFonts w:eastAsia="Times New Roman" w:cs="Times New Roman"/>
          <w:sz w:val="28"/>
          <w:szCs w:val="28"/>
          <w:lang w:eastAsia="en-GB"/>
        </w:rPr>
        <w:t xml:space="preserve"> </w:t>
      </w:r>
      <w:r w:rsidR="00E66B00">
        <w:rPr>
          <w:rFonts w:eastAsia="Times New Roman" w:cs="Times New Roman"/>
          <w:sz w:val="28"/>
          <w:szCs w:val="28"/>
          <w:lang w:eastAsia="en-GB"/>
        </w:rPr>
        <w:t xml:space="preserve">not proved </w:t>
      </w:r>
      <w:r w:rsidR="006B56CE">
        <w:rPr>
          <w:rFonts w:eastAsia="Times New Roman" w:cs="Times New Roman"/>
          <w:sz w:val="28"/>
          <w:szCs w:val="28"/>
          <w:lang w:eastAsia="en-GB"/>
        </w:rPr>
        <w:t xml:space="preserve">– appeal dismissed. </w:t>
      </w:r>
    </w:p>
    <w:p w14:paraId="16307E30" w14:textId="77777777" w:rsidR="0030517F" w:rsidRDefault="0030517F" w:rsidP="00D36346">
      <w:pPr>
        <w:shd w:val="clear" w:color="auto" w:fill="FFFFFF"/>
        <w:tabs>
          <w:tab w:val="left" w:pos="900"/>
        </w:tabs>
        <w:spacing w:before="120" w:after="0" w:line="360" w:lineRule="auto"/>
        <w:jc w:val="center"/>
        <w:rPr>
          <w:rFonts w:cs="Times New Roman"/>
          <w:sz w:val="28"/>
          <w:szCs w:val="28"/>
        </w:rPr>
      </w:pPr>
    </w:p>
    <w:p w14:paraId="59FF2369" w14:textId="11737A88" w:rsidR="00712E70" w:rsidRDefault="00712E70" w:rsidP="00D36346">
      <w:pPr>
        <w:shd w:val="clear" w:color="auto" w:fill="FFFFFF"/>
        <w:tabs>
          <w:tab w:val="left" w:pos="900"/>
        </w:tabs>
        <w:spacing w:before="120" w:after="0" w:line="360" w:lineRule="auto"/>
        <w:jc w:val="center"/>
        <w:rPr>
          <w:rFonts w:eastAsia="Times New Roman" w:cs="Times New Roman"/>
          <w:b/>
          <w:bCs/>
          <w:sz w:val="28"/>
          <w:szCs w:val="28"/>
          <w:lang w:val="en-US"/>
        </w:rPr>
      </w:pPr>
      <w:r>
        <w:rPr>
          <w:rFonts w:eastAsia="Times New Roman" w:cs="Times New Roman"/>
          <w:b/>
          <w:bCs/>
          <w:sz w:val="28"/>
          <w:szCs w:val="28"/>
          <w:lang w:val="en-US"/>
        </w:rPr>
        <w:lastRenderedPageBreak/>
        <w:t>____________________________________________</w:t>
      </w:r>
      <w:r w:rsidR="00323365">
        <w:rPr>
          <w:rFonts w:eastAsia="Times New Roman" w:cs="Times New Roman"/>
          <w:b/>
          <w:bCs/>
          <w:sz w:val="28"/>
          <w:szCs w:val="28"/>
          <w:lang w:val="en-US"/>
        </w:rPr>
        <w:t>____________________</w:t>
      </w:r>
    </w:p>
    <w:p w14:paraId="2BFE52FB" w14:textId="77777777" w:rsidR="00D36346" w:rsidRDefault="00D36346" w:rsidP="00637BC4">
      <w:pPr>
        <w:shd w:val="clear" w:color="auto" w:fill="FFFFFF"/>
        <w:tabs>
          <w:tab w:val="left" w:pos="900"/>
        </w:tabs>
        <w:spacing w:before="120" w:after="0" w:line="276" w:lineRule="auto"/>
        <w:jc w:val="center"/>
        <w:rPr>
          <w:rFonts w:eastAsia="Times New Roman" w:cs="Times New Roman"/>
          <w:b/>
          <w:bCs/>
          <w:sz w:val="28"/>
          <w:szCs w:val="28"/>
          <w:lang w:val="en-US"/>
        </w:rPr>
      </w:pPr>
      <w:r w:rsidRPr="00970D60">
        <w:rPr>
          <w:rFonts w:eastAsia="Times New Roman" w:cs="Times New Roman"/>
          <w:b/>
          <w:bCs/>
          <w:sz w:val="28"/>
          <w:szCs w:val="28"/>
          <w:lang w:val="en-US"/>
        </w:rPr>
        <w:t>ORDER</w:t>
      </w:r>
    </w:p>
    <w:p w14:paraId="56C226DF" w14:textId="77777777" w:rsidR="00323365" w:rsidRPr="00970D60" w:rsidRDefault="00323365" w:rsidP="00637BC4">
      <w:pPr>
        <w:shd w:val="clear" w:color="auto" w:fill="FFFFFF"/>
        <w:tabs>
          <w:tab w:val="left" w:pos="900"/>
        </w:tabs>
        <w:spacing w:after="0" w:line="276" w:lineRule="auto"/>
        <w:jc w:val="center"/>
        <w:rPr>
          <w:rFonts w:eastAsia="Times New Roman" w:cs="Times New Roman"/>
          <w:b/>
          <w:bCs/>
          <w:sz w:val="28"/>
          <w:szCs w:val="28"/>
          <w:lang w:val="en-US"/>
        </w:rPr>
      </w:pPr>
      <w:r>
        <w:rPr>
          <w:rFonts w:eastAsia="Times New Roman" w:cs="Times New Roman"/>
          <w:b/>
          <w:bCs/>
          <w:sz w:val="28"/>
          <w:szCs w:val="28"/>
          <w:lang w:val="en-US"/>
        </w:rPr>
        <w:t>________________________________________________________________</w:t>
      </w:r>
    </w:p>
    <w:p w14:paraId="715A21FC" w14:textId="77777777" w:rsidR="00D36346" w:rsidRPr="00970D60" w:rsidRDefault="00D36346" w:rsidP="00D936AB">
      <w:pPr>
        <w:shd w:val="clear" w:color="auto" w:fill="FFFFFF"/>
        <w:tabs>
          <w:tab w:val="left" w:pos="900"/>
        </w:tabs>
        <w:spacing w:after="0" w:line="360" w:lineRule="auto"/>
        <w:jc w:val="both"/>
        <w:rPr>
          <w:rFonts w:eastAsia="Times New Roman" w:cs="Times New Roman"/>
          <w:b/>
          <w:bCs/>
          <w:sz w:val="28"/>
          <w:szCs w:val="28"/>
          <w:lang w:val="en-US"/>
        </w:rPr>
      </w:pPr>
    </w:p>
    <w:p w14:paraId="29D6ACBF" w14:textId="76D49AC7" w:rsidR="00D36346" w:rsidRDefault="00D36346" w:rsidP="00D36346">
      <w:pPr>
        <w:shd w:val="clear" w:color="auto" w:fill="FFFFFF"/>
        <w:tabs>
          <w:tab w:val="left" w:pos="900"/>
        </w:tabs>
        <w:spacing w:after="120" w:line="360" w:lineRule="auto"/>
        <w:jc w:val="both"/>
        <w:rPr>
          <w:rFonts w:eastAsia="Times New Roman" w:cs="Times New Roman"/>
          <w:bCs/>
          <w:sz w:val="28"/>
          <w:szCs w:val="28"/>
          <w:lang w:val="en-US"/>
        </w:rPr>
      </w:pPr>
      <w:r w:rsidRPr="00970D60">
        <w:rPr>
          <w:rFonts w:eastAsia="Times New Roman" w:cs="Times New Roman"/>
          <w:b/>
          <w:bCs/>
          <w:sz w:val="28"/>
          <w:szCs w:val="28"/>
          <w:lang w:val="en-US"/>
        </w:rPr>
        <w:t>On appeal from:</w:t>
      </w:r>
      <w:r w:rsidRPr="00970D60">
        <w:rPr>
          <w:rFonts w:eastAsia="Times New Roman" w:cs="Times New Roman"/>
          <w:bCs/>
          <w:sz w:val="28"/>
          <w:szCs w:val="28"/>
          <w:lang w:val="en-US"/>
        </w:rPr>
        <w:t xml:space="preserve"> </w:t>
      </w:r>
      <w:r w:rsidR="004F6FA5">
        <w:rPr>
          <w:rFonts w:eastAsia="Times New Roman" w:cs="Times New Roman"/>
          <w:bCs/>
          <w:sz w:val="28"/>
          <w:szCs w:val="28"/>
          <w:lang w:val="en-US"/>
        </w:rPr>
        <w:t>Gauteng</w:t>
      </w:r>
      <w:r w:rsidRPr="00970D60">
        <w:rPr>
          <w:rFonts w:eastAsia="Times New Roman" w:cs="Times New Roman"/>
          <w:bCs/>
          <w:sz w:val="28"/>
          <w:szCs w:val="28"/>
          <w:lang w:val="en-US"/>
        </w:rPr>
        <w:t xml:space="preserve"> Division of the High Court, </w:t>
      </w:r>
      <w:r w:rsidR="00A11D12">
        <w:rPr>
          <w:rFonts w:eastAsia="Times New Roman" w:cs="Times New Roman"/>
          <w:bCs/>
          <w:sz w:val="28"/>
          <w:szCs w:val="28"/>
          <w:lang w:val="en-US"/>
        </w:rPr>
        <w:t>Johannesburg</w:t>
      </w:r>
      <w:r w:rsidR="001552EC">
        <w:rPr>
          <w:rFonts w:eastAsia="Times New Roman" w:cs="Times New Roman"/>
          <w:bCs/>
          <w:sz w:val="28"/>
          <w:szCs w:val="28"/>
          <w:lang w:val="en-US"/>
        </w:rPr>
        <w:t xml:space="preserve"> (</w:t>
      </w:r>
      <w:r w:rsidR="00A11D12">
        <w:rPr>
          <w:rFonts w:eastAsia="Times New Roman" w:cs="Times New Roman"/>
          <w:bCs/>
          <w:sz w:val="28"/>
          <w:szCs w:val="28"/>
          <w:lang w:val="en-US"/>
        </w:rPr>
        <w:t>Dippenaar </w:t>
      </w:r>
      <w:r w:rsidRPr="00970D60">
        <w:rPr>
          <w:rFonts w:eastAsia="Times New Roman" w:cs="Times New Roman"/>
          <w:bCs/>
          <w:sz w:val="28"/>
          <w:szCs w:val="28"/>
          <w:lang w:val="en-US"/>
        </w:rPr>
        <w:t>J</w:t>
      </w:r>
      <w:r w:rsidR="005F5B42" w:rsidRPr="00970D60">
        <w:rPr>
          <w:rFonts w:eastAsia="Times New Roman" w:cs="Times New Roman"/>
          <w:bCs/>
          <w:sz w:val="28"/>
          <w:szCs w:val="28"/>
          <w:lang w:val="en-US"/>
        </w:rPr>
        <w:t xml:space="preserve"> </w:t>
      </w:r>
      <w:r w:rsidRPr="00970D60">
        <w:rPr>
          <w:rFonts w:eastAsia="Times New Roman" w:cs="Times New Roman"/>
          <w:bCs/>
          <w:sz w:val="28"/>
          <w:szCs w:val="28"/>
          <w:lang w:val="en-US"/>
        </w:rPr>
        <w:t>sitting as court of first instance):</w:t>
      </w:r>
    </w:p>
    <w:p w14:paraId="5542AD57" w14:textId="77777777" w:rsidR="00D35509" w:rsidRDefault="00D35509" w:rsidP="00D36346">
      <w:pPr>
        <w:shd w:val="clear" w:color="auto" w:fill="FFFFFF"/>
        <w:tabs>
          <w:tab w:val="left" w:pos="900"/>
        </w:tabs>
        <w:spacing w:after="120" w:line="360" w:lineRule="auto"/>
        <w:jc w:val="both"/>
        <w:rPr>
          <w:rFonts w:eastAsia="Times New Roman" w:cs="Times New Roman"/>
          <w:bCs/>
          <w:sz w:val="28"/>
          <w:szCs w:val="28"/>
          <w:lang w:val="en-US"/>
        </w:rPr>
      </w:pPr>
    </w:p>
    <w:p w14:paraId="76D7DAB9" w14:textId="73C702B8" w:rsidR="0030517F" w:rsidRDefault="00942BA2" w:rsidP="002744EA">
      <w:pPr>
        <w:spacing w:line="360" w:lineRule="auto"/>
        <w:rPr>
          <w:rFonts w:eastAsia="Times New Roman" w:cs="Times New Roman"/>
          <w:bCs/>
          <w:sz w:val="28"/>
          <w:szCs w:val="28"/>
          <w:lang w:val="en-US"/>
        </w:rPr>
      </w:pPr>
      <w:r>
        <w:rPr>
          <w:rFonts w:eastAsia="Times New Roman" w:cs="Times New Roman"/>
          <w:bCs/>
          <w:sz w:val="28"/>
          <w:szCs w:val="28"/>
          <w:lang w:val="en-US"/>
        </w:rPr>
        <w:t>The appeal is dismissed with costs, including the costs of two counsel</w:t>
      </w:r>
      <w:r w:rsidR="008B271E">
        <w:rPr>
          <w:rFonts w:eastAsia="Times New Roman" w:cs="Times New Roman"/>
          <w:bCs/>
          <w:sz w:val="28"/>
          <w:szCs w:val="28"/>
          <w:lang w:val="en-US"/>
        </w:rPr>
        <w:t>.</w:t>
      </w:r>
    </w:p>
    <w:p w14:paraId="34C0549D" w14:textId="77777777" w:rsidR="00D35509" w:rsidRDefault="00D35509" w:rsidP="00D35509">
      <w:pPr>
        <w:spacing w:after="0" w:line="360" w:lineRule="auto"/>
        <w:rPr>
          <w:rFonts w:eastAsia="Times New Roman" w:cs="Times New Roman"/>
          <w:bCs/>
          <w:sz w:val="28"/>
          <w:szCs w:val="28"/>
          <w:lang w:val="en-US"/>
        </w:rPr>
      </w:pPr>
    </w:p>
    <w:p w14:paraId="0E919EBD" w14:textId="45660B9A" w:rsidR="00507AB0" w:rsidRPr="00970D60" w:rsidRDefault="00323365" w:rsidP="002744EA">
      <w:pPr>
        <w:spacing w:line="360" w:lineRule="auto"/>
        <w:rPr>
          <w:rFonts w:eastAsia="Times New Roman" w:cs="Times New Roman"/>
          <w:sz w:val="28"/>
          <w:szCs w:val="28"/>
          <w:lang w:eastAsia="en-GB"/>
        </w:rPr>
      </w:pPr>
      <w:r>
        <w:rPr>
          <w:rFonts w:eastAsia="Times New Roman" w:cs="Times New Roman"/>
          <w:sz w:val="28"/>
          <w:szCs w:val="28"/>
          <w:lang w:eastAsia="en-GB"/>
        </w:rPr>
        <w:t>________________________________________________________________</w:t>
      </w:r>
    </w:p>
    <w:p w14:paraId="038371C2" w14:textId="77777777" w:rsidR="00507AB0" w:rsidRDefault="00507AB0" w:rsidP="00323365">
      <w:pPr>
        <w:shd w:val="clear" w:color="auto" w:fill="FFFFFF"/>
        <w:tabs>
          <w:tab w:val="left" w:pos="900"/>
        </w:tabs>
        <w:spacing w:before="120" w:after="0" w:line="276" w:lineRule="auto"/>
        <w:jc w:val="center"/>
        <w:rPr>
          <w:rFonts w:eastAsia="Times New Roman" w:cs="Times New Roman"/>
          <w:b/>
          <w:bCs/>
          <w:sz w:val="28"/>
          <w:szCs w:val="28"/>
          <w:lang w:val="en-US"/>
        </w:rPr>
      </w:pPr>
      <w:r w:rsidRPr="00970D60">
        <w:rPr>
          <w:rFonts w:eastAsia="Times New Roman" w:cs="Times New Roman"/>
          <w:b/>
          <w:bCs/>
          <w:sz w:val="28"/>
          <w:szCs w:val="28"/>
          <w:lang w:val="en-US"/>
        </w:rPr>
        <w:t>JUDGMENT</w:t>
      </w:r>
    </w:p>
    <w:p w14:paraId="64AFE2AF" w14:textId="77777777" w:rsidR="00323365" w:rsidRPr="00970D60" w:rsidRDefault="00323365" w:rsidP="00323365">
      <w:pPr>
        <w:shd w:val="clear" w:color="auto" w:fill="FFFFFF"/>
        <w:tabs>
          <w:tab w:val="left" w:pos="900"/>
        </w:tabs>
        <w:spacing w:after="0" w:line="360" w:lineRule="auto"/>
        <w:jc w:val="center"/>
        <w:rPr>
          <w:rFonts w:eastAsia="Times New Roman" w:cs="Times New Roman"/>
          <w:b/>
          <w:bCs/>
          <w:sz w:val="28"/>
          <w:szCs w:val="28"/>
          <w:lang w:val="en-US"/>
        </w:rPr>
      </w:pPr>
      <w:r>
        <w:rPr>
          <w:rFonts w:eastAsia="Times New Roman" w:cs="Times New Roman"/>
          <w:b/>
          <w:bCs/>
          <w:sz w:val="28"/>
          <w:szCs w:val="28"/>
          <w:lang w:val="en-US"/>
        </w:rPr>
        <w:t>________________________________________________________________</w:t>
      </w:r>
    </w:p>
    <w:p w14:paraId="4A985127" w14:textId="4C6CB5B0" w:rsidR="000D2B94" w:rsidRDefault="00686B67" w:rsidP="000D2B94">
      <w:pPr>
        <w:spacing w:after="0" w:line="360" w:lineRule="auto"/>
        <w:jc w:val="both"/>
        <w:rPr>
          <w:rFonts w:cs="Times New Roman"/>
          <w:sz w:val="28"/>
          <w:szCs w:val="28"/>
        </w:rPr>
      </w:pPr>
      <w:r w:rsidRPr="00970D60">
        <w:rPr>
          <w:rFonts w:eastAsia="Times New Roman" w:cs="Times New Roman"/>
          <w:b/>
          <w:sz w:val="28"/>
          <w:szCs w:val="28"/>
          <w:lang w:val="en-GB"/>
        </w:rPr>
        <w:t xml:space="preserve">Schippers JA </w:t>
      </w:r>
      <w:r w:rsidR="008E126A" w:rsidRPr="00970D60">
        <w:rPr>
          <w:rFonts w:eastAsia="Times New Roman" w:cs="Times New Roman"/>
          <w:b/>
          <w:sz w:val="28"/>
          <w:szCs w:val="28"/>
          <w:lang w:val="en-GB"/>
        </w:rPr>
        <w:t>(</w:t>
      </w:r>
      <w:r w:rsidR="007C795E">
        <w:rPr>
          <w:rFonts w:eastAsia="Times New Roman" w:cs="Times New Roman"/>
          <w:b/>
          <w:sz w:val="28"/>
          <w:szCs w:val="28"/>
          <w:lang w:val="en-GB"/>
        </w:rPr>
        <w:t xml:space="preserve">Van der Merwe and Molemela JJA and Musi and Matojane AJJA </w:t>
      </w:r>
      <w:r w:rsidR="00703C4E">
        <w:rPr>
          <w:rFonts w:eastAsia="Times New Roman" w:cs="Times New Roman"/>
          <w:b/>
          <w:sz w:val="28"/>
          <w:szCs w:val="28"/>
          <w:lang w:val="en-GB"/>
        </w:rPr>
        <w:t>concurring</w:t>
      </w:r>
      <w:r w:rsidR="00801266" w:rsidRPr="00970D60">
        <w:rPr>
          <w:rFonts w:eastAsia="Times New Roman" w:cs="Times New Roman"/>
          <w:b/>
          <w:sz w:val="28"/>
          <w:szCs w:val="28"/>
          <w:lang w:val="en-GB"/>
        </w:rPr>
        <w:t>)</w:t>
      </w:r>
      <w:r w:rsidR="000D2B94" w:rsidRPr="00970D60">
        <w:rPr>
          <w:rFonts w:cs="Times New Roman"/>
          <w:sz w:val="28"/>
          <w:szCs w:val="28"/>
        </w:rPr>
        <w:t xml:space="preserve"> </w:t>
      </w:r>
    </w:p>
    <w:p w14:paraId="506E2F7E" w14:textId="77777777" w:rsidR="00C76ECD" w:rsidRDefault="00C76ECD" w:rsidP="000D2B94">
      <w:pPr>
        <w:spacing w:after="0" w:line="360" w:lineRule="auto"/>
        <w:jc w:val="both"/>
        <w:rPr>
          <w:rFonts w:cs="Times New Roman"/>
          <w:sz w:val="28"/>
          <w:szCs w:val="28"/>
        </w:rPr>
      </w:pPr>
    </w:p>
    <w:p w14:paraId="2E20C4F3" w14:textId="2D63AB2F" w:rsidR="00C27397" w:rsidRDefault="0022739D" w:rsidP="009850F7">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 xml:space="preserve">The </w:t>
      </w:r>
      <w:r w:rsidR="00055A4C">
        <w:rPr>
          <w:rFonts w:cs="Times New Roman"/>
          <w:sz w:val="28"/>
          <w:szCs w:val="28"/>
        </w:rPr>
        <w:t xml:space="preserve">issue in this appeal, which is before us with the leave of the court below, is whether </w:t>
      </w:r>
      <w:r w:rsidR="006B56CE">
        <w:rPr>
          <w:rFonts w:cs="Times New Roman"/>
          <w:sz w:val="28"/>
          <w:szCs w:val="28"/>
        </w:rPr>
        <w:t>the appellant, Alert Steel (Pty) Ltd (</w:t>
      </w:r>
      <w:r w:rsidR="00F73B2F">
        <w:rPr>
          <w:rFonts w:cs="Times New Roman"/>
          <w:sz w:val="28"/>
          <w:szCs w:val="28"/>
        </w:rPr>
        <w:t>i</w:t>
      </w:r>
      <w:r w:rsidR="006B56CE">
        <w:rPr>
          <w:rFonts w:cs="Times New Roman"/>
          <w:sz w:val="28"/>
          <w:szCs w:val="28"/>
        </w:rPr>
        <w:t xml:space="preserve">n </w:t>
      </w:r>
      <w:r w:rsidR="00F73B2F">
        <w:rPr>
          <w:rFonts w:cs="Times New Roman"/>
          <w:sz w:val="28"/>
          <w:szCs w:val="28"/>
        </w:rPr>
        <w:t>l</w:t>
      </w:r>
      <w:r w:rsidR="006B56CE">
        <w:rPr>
          <w:rFonts w:cs="Times New Roman"/>
          <w:sz w:val="28"/>
          <w:szCs w:val="28"/>
        </w:rPr>
        <w:t xml:space="preserve">iquidation) (the company), is </w:t>
      </w:r>
      <w:r w:rsidR="00F4715A">
        <w:rPr>
          <w:rFonts w:cs="Times New Roman"/>
          <w:sz w:val="28"/>
          <w:szCs w:val="28"/>
        </w:rPr>
        <w:t>entitled to repayment of an</w:t>
      </w:r>
      <w:r w:rsidR="00942BA2">
        <w:rPr>
          <w:rFonts w:cs="Times New Roman"/>
          <w:sz w:val="28"/>
          <w:szCs w:val="28"/>
        </w:rPr>
        <w:t xml:space="preserve"> amount </w:t>
      </w:r>
      <w:r w:rsidR="006B56CE">
        <w:rPr>
          <w:rFonts w:cs="Times New Roman"/>
          <w:sz w:val="28"/>
          <w:szCs w:val="28"/>
        </w:rPr>
        <w:t xml:space="preserve">of R105 226 </w:t>
      </w:r>
      <w:r w:rsidR="00942BA2">
        <w:rPr>
          <w:rFonts w:cs="Times New Roman"/>
          <w:sz w:val="28"/>
          <w:szCs w:val="28"/>
        </w:rPr>
        <w:t>381.17, together with interest and costs, based</w:t>
      </w:r>
      <w:r w:rsidR="00F73B2F">
        <w:rPr>
          <w:rFonts w:cs="Times New Roman"/>
          <w:sz w:val="28"/>
          <w:szCs w:val="28"/>
        </w:rPr>
        <w:t xml:space="preserve"> on</w:t>
      </w:r>
      <w:r w:rsidR="00942BA2">
        <w:rPr>
          <w:rFonts w:cs="Times New Roman"/>
          <w:sz w:val="28"/>
          <w:szCs w:val="28"/>
        </w:rPr>
        <w:t xml:space="preserve"> the </w:t>
      </w:r>
      <w:r w:rsidR="00942BA2" w:rsidRPr="00942BA2">
        <w:rPr>
          <w:rFonts w:cs="Times New Roman"/>
          <w:i/>
          <w:sz w:val="28"/>
          <w:szCs w:val="28"/>
        </w:rPr>
        <w:t>condictio indebiti</w:t>
      </w:r>
      <w:r w:rsidR="00942BA2">
        <w:rPr>
          <w:rFonts w:cs="Times New Roman"/>
          <w:sz w:val="28"/>
          <w:szCs w:val="28"/>
        </w:rPr>
        <w:t xml:space="preserve">, alternatively the </w:t>
      </w:r>
      <w:r w:rsidR="00942BA2" w:rsidRPr="00942BA2">
        <w:rPr>
          <w:rFonts w:cs="Times New Roman"/>
          <w:i/>
          <w:sz w:val="28"/>
          <w:szCs w:val="28"/>
        </w:rPr>
        <w:t>condictio sine causa</w:t>
      </w:r>
      <w:r w:rsidR="00942BA2">
        <w:rPr>
          <w:rFonts w:cs="Times New Roman"/>
          <w:sz w:val="28"/>
          <w:szCs w:val="28"/>
        </w:rPr>
        <w:t>. The respondent, Mercantile Bank Limited (the bank), a creditor of the company</w:t>
      </w:r>
      <w:r w:rsidR="00F4715A">
        <w:rPr>
          <w:rFonts w:cs="Times New Roman"/>
          <w:sz w:val="28"/>
          <w:szCs w:val="28"/>
        </w:rPr>
        <w:t>,</w:t>
      </w:r>
      <w:r w:rsidR="00942BA2">
        <w:rPr>
          <w:rFonts w:cs="Times New Roman"/>
          <w:sz w:val="28"/>
          <w:szCs w:val="28"/>
        </w:rPr>
        <w:t xml:space="preserve"> received</w:t>
      </w:r>
      <w:r w:rsidR="00F73B2F">
        <w:rPr>
          <w:rFonts w:cs="Times New Roman"/>
          <w:sz w:val="28"/>
          <w:szCs w:val="28"/>
        </w:rPr>
        <w:t xml:space="preserve"> the bulk of</w:t>
      </w:r>
      <w:r w:rsidR="00942BA2">
        <w:rPr>
          <w:rFonts w:cs="Times New Roman"/>
          <w:sz w:val="28"/>
          <w:szCs w:val="28"/>
        </w:rPr>
        <w:t xml:space="preserve"> this amount</w:t>
      </w:r>
      <w:r w:rsidR="00F73B2F">
        <w:rPr>
          <w:rFonts w:cs="Times New Roman"/>
          <w:sz w:val="28"/>
          <w:szCs w:val="28"/>
        </w:rPr>
        <w:t xml:space="preserve"> (R100 million)</w:t>
      </w:r>
      <w:r w:rsidR="00942BA2">
        <w:rPr>
          <w:rFonts w:cs="Times New Roman"/>
          <w:sz w:val="28"/>
          <w:szCs w:val="28"/>
        </w:rPr>
        <w:t xml:space="preserve"> pursuant </w:t>
      </w:r>
      <w:r w:rsidR="00F4715A">
        <w:rPr>
          <w:rFonts w:cs="Times New Roman"/>
          <w:sz w:val="28"/>
          <w:szCs w:val="28"/>
        </w:rPr>
        <w:t xml:space="preserve">to </w:t>
      </w:r>
      <w:r w:rsidR="00055A4C">
        <w:rPr>
          <w:rFonts w:cs="Times New Roman"/>
          <w:sz w:val="28"/>
          <w:szCs w:val="28"/>
        </w:rPr>
        <w:t xml:space="preserve">a </w:t>
      </w:r>
      <w:r w:rsidR="00942BA2">
        <w:rPr>
          <w:rFonts w:cs="Times New Roman"/>
          <w:sz w:val="28"/>
          <w:szCs w:val="28"/>
        </w:rPr>
        <w:t xml:space="preserve">sale </w:t>
      </w:r>
      <w:r w:rsidR="00C27397">
        <w:rPr>
          <w:rFonts w:cs="Times New Roman"/>
          <w:sz w:val="28"/>
          <w:szCs w:val="28"/>
        </w:rPr>
        <w:t>of the company’s assets.</w:t>
      </w:r>
    </w:p>
    <w:p w14:paraId="3A305F64" w14:textId="77777777" w:rsidR="00684519" w:rsidRPr="00A14E7C" w:rsidRDefault="00684519" w:rsidP="006E2938">
      <w:pPr>
        <w:pStyle w:val="ListParagraph"/>
        <w:spacing w:after="0" w:line="360" w:lineRule="auto"/>
        <w:ind w:left="0"/>
        <w:jc w:val="both"/>
        <w:rPr>
          <w:rFonts w:cs="Times New Roman"/>
          <w:b/>
          <w:sz w:val="28"/>
          <w:szCs w:val="28"/>
        </w:rPr>
      </w:pPr>
    </w:p>
    <w:p w14:paraId="67DA5C96" w14:textId="77777777" w:rsidR="00E36BF6" w:rsidRDefault="00490B94" w:rsidP="002744EA">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 xml:space="preserve">The facts are largely common ground. </w:t>
      </w:r>
      <w:r w:rsidR="00EA07DB">
        <w:rPr>
          <w:rFonts w:cs="Times New Roman"/>
          <w:sz w:val="28"/>
          <w:szCs w:val="28"/>
        </w:rPr>
        <w:t>The company formerly traded as a wholesaler and retailer of steel and hardware products</w:t>
      </w:r>
      <w:r w:rsidR="00C27397">
        <w:rPr>
          <w:rFonts w:cs="Times New Roman"/>
          <w:sz w:val="28"/>
          <w:szCs w:val="28"/>
        </w:rPr>
        <w:t>.</w:t>
      </w:r>
      <w:r w:rsidR="00EA07DB">
        <w:rPr>
          <w:rFonts w:cs="Times New Roman"/>
          <w:sz w:val="28"/>
          <w:szCs w:val="28"/>
        </w:rPr>
        <w:t xml:space="preserve"> </w:t>
      </w:r>
      <w:r>
        <w:rPr>
          <w:rFonts w:cs="Times New Roman"/>
          <w:sz w:val="28"/>
          <w:szCs w:val="28"/>
        </w:rPr>
        <w:t>In Marc</w:t>
      </w:r>
      <w:r w:rsidR="00C53BC2">
        <w:rPr>
          <w:rFonts w:cs="Times New Roman"/>
          <w:sz w:val="28"/>
          <w:szCs w:val="28"/>
        </w:rPr>
        <w:t xml:space="preserve">h 2014 the bank </w:t>
      </w:r>
      <w:r w:rsidR="00362AFB">
        <w:rPr>
          <w:rFonts w:cs="Times New Roman"/>
          <w:sz w:val="28"/>
          <w:szCs w:val="28"/>
        </w:rPr>
        <w:t>granted the</w:t>
      </w:r>
      <w:r w:rsidR="00C53BC2">
        <w:rPr>
          <w:rFonts w:cs="Times New Roman"/>
          <w:sz w:val="28"/>
          <w:szCs w:val="28"/>
        </w:rPr>
        <w:t xml:space="preserve"> company</w:t>
      </w:r>
      <w:r w:rsidR="00EA07DB">
        <w:rPr>
          <w:rFonts w:cs="Times New Roman"/>
          <w:sz w:val="28"/>
          <w:szCs w:val="28"/>
        </w:rPr>
        <w:t xml:space="preserve"> </w:t>
      </w:r>
      <w:r w:rsidR="003E75C1">
        <w:rPr>
          <w:rFonts w:cs="Times New Roman"/>
          <w:sz w:val="28"/>
          <w:szCs w:val="28"/>
        </w:rPr>
        <w:t xml:space="preserve">overdraft </w:t>
      </w:r>
      <w:r w:rsidR="00362AFB">
        <w:rPr>
          <w:rFonts w:cs="Times New Roman"/>
          <w:sz w:val="28"/>
          <w:szCs w:val="28"/>
        </w:rPr>
        <w:t xml:space="preserve">facilities in </w:t>
      </w:r>
      <w:r>
        <w:rPr>
          <w:rFonts w:cs="Times New Roman"/>
          <w:sz w:val="28"/>
          <w:szCs w:val="28"/>
        </w:rPr>
        <w:t>the sum of R104 million against certain securities</w:t>
      </w:r>
      <w:r w:rsidR="00D261B3">
        <w:rPr>
          <w:rFonts w:cs="Times New Roman"/>
          <w:sz w:val="28"/>
          <w:szCs w:val="28"/>
        </w:rPr>
        <w:t>,</w:t>
      </w:r>
      <w:r>
        <w:rPr>
          <w:rFonts w:cs="Times New Roman"/>
          <w:sz w:val="28"/>
          <w:szCs w:val="28"/>
        </w:rPr>
        <w:t xml:space="preserve"> including a registered notarial bond </w:t>
      </w:r>
      <w:r w:rsidR="00D261B3">
        <w:rPr>
          <w:rFonts w:cs="Times New Roman"/>
          <w:sz w:val="28"/>
          <w:szCs w:val="28"/>
        </w:rPr>
        <w:t xml:space="preserve">over the company’s stock </w:t>
      </w:r>
      <w:r w:rsidR="00D261B3">
        <w:rPr>
          <w:rFonts w:cs="Times New Roman"/>
          <w:sz w:val="28"/>
          <w:szCs w:val="28"/>
        </w:rPr>
        <w:lastRenderedPageBreak/>
        <w:t xml:space="preserve">and movable assets, </w:t>
      </w:r>
      <w:r>
        <w:rPr>
          <w:rFonts w:cs="Times New Roman"/>
          <w:sz w:val="28"/>
          <w:szCs w:val="28"/>
        </w:rPr>
        <w:t xml:space="preserve">cession of </w:t>
      </w:r>
      <w:r w:rsidR="00EA07DB">
        <w:rPr>
          <w:rFonts w:cs="Times New Roman"/>
          <w:sz w:val="28"/>
          <w:szCs w:val="28"/>
        </w:rPr>
        <w:t xml:space="preserve">its </w:t>
      </w:r>
      <w:r w:rsidR="00D261B3">
        <w:rPr>
          <w:rFonts w:cs="Times New Roman"/>
          <w:sz w:val="28"/>
          <w:szCs w:val="28"/>
        </w:rPr>
        <w:t xml:space="preserve">present and future </w:t>
      </w:r>
      <w:r>
        <w:rPr>
          <w:rFonts w:cs="Times New Roman"/>
          <w:sz w:val="28"/>
          <w:szCs w:val="28"/>
        </w:rPr>
        <w:t>book debts</w:t>
      </w:r>
      <w:r w:rsidR="00362AFB">
        <w:rPr>
          <w:rFonts w:cs="Times New Roman"/>
          <w:sz w:val="28"/>
          <w:szCs w:val="28"/>
        </w:rPr>
        <w:t xml:space="preserve"> and cession of</w:t>
      </w:r>
      <w:r w:rsidR="00F94C38">
        <w:rPr>
          <w:rFonts w:cs="Times New Roman"/>
          <w:sz w:val="28"/>
          <w:szCs w:val="28"/>
        </w:rPr>
        <w:t xml:space="preserve"> its </w:t>
      </w:r>
      <w:r w:rsidR="00CA0424">
        <w:rPr>
          <w:rFonts w:cs="Times New Roman"/>
          <w:sz w:val="28"/>
          <w:szCs w:val="28"/>
        </w:rPr>
        <w:t xml:space="preserve">insurance </w:t>
      </w:r>
      <w:r w:rsidR="00F94C38">
        <w:rPr>
          <w:rFonts w:cs="Times New Roman"/>
          <w:sz w:val="28"/>
          <w:szCs w:val="28"/>
        </w:rPr>
        <w:t>cover with Credit Guarantee Insurance Company Ltd (CGIC)</w:t>
      </w:r>
      <w:r>
        <w:rPr>
          <w:rFonts w:cs="Times New Roman"/>
          <w:sz w:val="28"/>
          <w:szCs w:val="28"/>
        </w:rPr>
        <w:t>.</w:t>
      </w:r>
    </w:p>
    <w:p w14:paraId="6CC8533F" w14:textId="088EC2F8" w:rsidR="00F81C98" w:rsidRDefault="00490B94" w:rsidP="00E36BF6">
      <w:pPr>
        <w:pStyle w:val="ListParagraph"/>
        <w:spacing w:after="0" w:line="360" w:lineRule="auto"/>
        <w:ind w:left="0"/>
        <w:jc w:val="both"/>
        <w:rPr>
          <w:rFonts w:cs="Times New Roman"/>
          <w:sz w:val="28"/>
          <w:szCs w:val="28"/>
        </w:rPr>
      </w:pPr>
      <w:r>
        <w:rPr>
          <w:rFonts w:cs="Times New Roman"/>
          <w:sz w:val="28"/>
          <w:szCs w:val="28"/>
        </w:rPr>
        <w:t xml:space="preserve"> </w:t>
      </w:r>
    </w:p>
    <w:p w14:paraId="7F51A158" w14:textId="77777777" w:rsidR="0003041F" w:rsidRDefault="00EA07DB" w:rsidP="002744EA">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 xml:space="preserve">On </w:t>
      </w:r>
      <w:r w:rsidR="00CA3CE9">
        <w:rPr>
          <w:rFonts w:cs="Times New Roman"/>
          <w:sz w:val="28"/>
          <w:szCs w:val="28"/>
        </w:rPr>
        <w:t>9 May 2014 the company was placed in voluntary business rescue</w:t>
      </w:r>
      <w:r w:rsidR="00860F9F">
        <w:rPr>
          <w:rFonts w:cs="Times New Roman"/>
          <w:sz w:val="28"/>
          <w:szCs w:val="28"/>
        </w:rPr>
        <w:t xml:space="preserve"> in terms </w:t>
      </w:r>
      <w:r w:rsidR="00CA3CE9">
        <w:rPr>
          <w:rFonts w:cs="Times New Roman"/>
          <w:sz w:val="28"/>
          <w:szCs w:val="28"/>
        </w:rPr>
        <w:t xml:space="preserve">of a board resolution. </w:t>
      </w:r>
      <w:r w:rsidR="0003041F">
        <w:rPr>
          <w:rFonts w:cs="Times New Roman"/>
          <w:sz w:val="28"/>
          <w:szCs w:val="28"/>
        </w:rPr>
        <w:t xml:space="preserve">On the same day, the bank cancelled the </w:t>
      </w:r>
      <w:r w:rsidR="009141F3">
        <w:rPr>
          <w:rFonts w:cs="Times New Roman"/>
          <w:sz w:val="28"/>
          <w:szCs w:val="28"/>
        </w:rPr>
        <w:t xml:space="preserve">overdraft </w:t>
      </w:r>
      <w:r w:rsidR="0003041F">
        <w:rPr>
          <w:rFonts w:cs="Times New Roman"/>
          <w:sz w:val="28"/>
          <w:szCs w:val="28"/>
        </w:rPr>
        <w:t>facilities, demanded repayment of R104 million plus interest</w:t>
      </w:r>
      <w:r w:rsidR="007314F4">
        <w:rPr>
          <w:rFonts w:cs="Times New Roman"/>
          <w:sz w:val="28"/>
          <w:szCs w:val="28"/>
        </w:rPr>
        <w:t>,</w:t>
      </w:r>
      <w:r w:rsidR="0003041F">
        <w:rPr>
          <w:rFonts w:cs="Times New Roman"/>
          <w:sz w:val="28"/>
          <w:szCs w:val="28"/>
        </w:rPr>
        <w:t xml:space="preserve"> and informed the company that it would exercise its rights under the securities it held. </w:t>
      </w:r>
    </w:p>
    <w:p w14:paraId="79A7B14A" w14:textId="77777777" w:rsidR="0003041F" w:rsidRDefault="0003041F" w:rsidP="0003041F">
      <w:pPr>
        <w:pStyle w:val="ListParagraph"/>
        <w:spacing w:after="0" w:line="360" w:lineRule="auto"/>
        <w:ind w:left="0"/>
        <w:jc w:val="both"/>
        <w:rPr>
          <w:rFonts w:cs="Times New Roman"/>
          <w:sz w:val="28"/>
          <w:szCs w:val="28"/>
        </w:rPr>
      </w:pPr>
    </w:p>
    <w:p w14:paraId="31495BB2" w14:textId="194FAF47" w:rsidR="00CA3CE9" w:rsidRDefault="0003041F" w:rsidP="002744EA">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 xml:space="preserve">On 10 July 2014 a creditor </w:t>
      </w:r>
      <w:r w:rsidR="00765D5E">
        <w:rPr>
          <w:rFonts w:cs="Times New Roman"/>
          <w:sz w:val="28"/>
          <w:szCs w:val="28"/>
        </w:rPr>
        <w:t xml:space="preserve">of the company </w:t>
      </w:r>
      <w:r>
        <w:rPr>
          <w:rFonts w:cs="Times New Roman"/>
          <w:sz w:val="28"/>
          <w:szCs w:val="28"/>
        </w:rPr>
        <w:t xml:space="preserve">launched an urgent application in the </w:t>
      </w:r>
      <w:r w:rsidR="00004BC1">
        <w:rPr>
          <w:rFonts w:eastAsia="Times New Roman" w:cs="Times New Roman"/>
          <w:bCs/>
          <w:sz w:val="28"/>
          <w:szCs w:val="28"/>
          <w:lang w:val="en-US"/>
        </w:rPr>
        <w:t>Gauteng</w:t>
      </w:r>
      <w:r w:rsidR="00004BC1" w:rsidRPr="00970D60">
        <w:rPr>
          <w:rFonts w:eastAsia="Times New Roman" w:cs="Times New Roman"/>
          <w:bCs/>
          <w:sz w:val="28"/>
          <w:szCs w:val="28"/>
          <w:lang w:val="en-US"/>
        </w:rPr>
        <w:t xml:space="preserve"> Division of the High Court, </w:t>
      </w:r>
      <w:r w:rsidR="00004BC1">
        <w:rPr>
          <w:rFonts w:eastAsia="Times New Roman" w:cs="Times New Roman"/>
          <w:bCs/>
          <w:sz w:val="28"/>
          <w:szCs w:val="28"/>
          <w:lang w:val="en-US"/>
        </w:rPr>
        <w:t>Johannesburg (the high court)</w:t>
      </w:r>
      <w:r w:rsidR="00F4715A">
        <w:rPr>
          <w:rFonts w:eastAsia="Times New Roman" w:cs="Times New Roman"/>
          <w:bCs/>
          <w:sz w:val="28"/>
          <w:szCs w:val="28"/>
          <w:lang w:val="en-US"/>
        </w:rPr>
        <w:t>,</w:t>
      </w:r>
      <w:r w:rsidR="00004BC1">
        <w:rPr>
          <w:rFonts w:eastAsia="Times New Roman" w:cs="Times New Roman"/>
          <w:bCs/>
          <w:sz w:val="28"/>
          <w:szCs w:val="28"/>
          <w:lang w:val="en-US"/>
        </w:rPr>
        <w:t xml:space="preserve"> </w:t>
      </w:r>
      <w:r>
        <w:rPr>
          <w:rFonts w:eastAsia="Times New Roman" w:cs="Times New Roman"/>
          <w:bCs/>
          <w:sz w:val="28"/>
          <w:szCs w:val="28"/>
          <w:lang w:val="en-US"/>
        </w:rPr>
        <w:t>to set aside the</w:t>
      </w:r>
      <w:r w:rsidR="00765D5E">
        <w:rPr>
          <w:rFonts w:eastAsia="Times New Roman" w:cs="Times New Roman"/>
          <w:bCs/>
          <w:sz w:val="28"/>
          <w:szCs w:val="28"/>
          <w:lang w:val="en-US"/>
        </w:rPr>
        <w:t xml:space="preserve"> resolution placing it </w:t>
      </w:r>
      <w:r>
        <w:rPr>
          <w:rFonts w:eastAsia="Times New Roman" w:cs="Times New Roman"/>
          <w:bCs/>
          <w:sz w:val="28"/>
          <w:szCs w:val="28"/>
          <w:lang w:val="en-US"/>
        </w:rPr>
        <w:t xml:space="preserve">in business rescue. </w:t>
      </w:r>
      <w:r w:rsidR="00765D5E">
        <w:rPr>
          <w:rFonts w:cs="Times New Roman"/>
          <w:sz w:val="28"/>
          <w:szCs w:val="28"/>
        </w:rPr>
        <w:t>CGIC</w:t>
      </w:r>
      <w:r w:rsidR="00CA3CE9">
        <w:rPr>
          <w:rFonts w:cs="Times New Roman"/>
          <w:sz w:val="28"/>
          <w:szCs w:val="28"/>
        </w:rPr>
        <w:t xml:space="preserve"> was cited as </w:t>
      </w:r>
      <w:r w:rsidR="00765D5E">
        <w:rPr>
          <w:rFonts w:cs="Times New Roman"/>
          <w:sz w:val="28"/>
          <w:szCs w:val="28"/>
        </w:rPr>
        <w:t xml:space="preserve">a </w:t>
      </w:r>
      <w:r w:rsidR="00CA3CE9">
        <w:rPr>
          <w:rFonts w:cs="Times New Roman"/>
          <w:sz w:val="28"/>
          <w:szCs w:val="28"/>
        </w:rPr>
        <w:t>respondent</w:t>
      </w:r>
      <w:r w:rsidR="00765D5E">
        <w:rPr>
          <w:rFonts w:cs="Times New Roman"/>
          <w:sz w:val="28"/>
          <w:szCs w:val="28"/>
        </w:rPr>
        <w:t xml:space="preserve"> in that application</w:t>
      </w:r>
      <w:r w:rsidR="00CA3CE9">
        <w:rPr>
          <w:rFonts w:cs="Times New Roman"/>
          <w:sz w:val="28"/>
          <w:szCs w:val="28"/>
        </w:rPr>
        <w:t xml:space="preserve">. </w:t>
      </w:r>
      <w:r w:rsidR="00765D5E">
        <w:rPr>
          <w:rFonts w:cs="Times New Roman"/>
          <w:sz w:val="28"/>
          <w:szCs w:val="28"/>
        </w:rPr>
        <w:t>Subsequently</w:t>
      </w:r>
      <w:r w:rsidR="00F02DD4">
        <w:rPr>
          <w:rFonts w:cs="Times New Roman"/>
          <w:sz w:val="28"/>
          <w:szCs w:val="28"/>
        </w:rPr>
        <w:t>,</w:t>
      </w:r>
      <w:r w:rsidR="00765D5E">
        <w:rPr>
          <w:rFonts w:cs="Times New Roman"/>
          <w:sz w:val="28"/>
          <w:szCs w:val="28"/>
        </w:rPr>
        <w:t xml:space="preserve"> CGIC </w:t>
      </w:r>
      <w:r w:rsidR="003E75C1">
        <w:rPr>
          <w:rFonts w:cs="Times New Roman"/>
          <w:sz w:val="28"/>
          <w:szCs w:val="28"/>
        </w:rPr>
        <w:t>applied to the high c</w:t>
      </w:r>
      <w:r w:rsidR="00765D5E">
        <w:rPr>
          <w:rFonts w:cs="Times New Roman"/>
          <w:sz w:val="28"/>
          <w:szCs w:val="28"/>
        </w:rPr>
        <w:t>ourt for the provisional winding-up of the company, which was enrolled for hearing on 15</w:t>
      </w:r>
      <w:r w:rsidR="0048167A">
        <w:rPr>
          <w:rFonts w:cs="Times New Roman"/>
          <w:sz w:val="28"/>
          <w:szCs w:val="28"/>
        </w:rPr>
        <w:t> </w:t>
      </w:r>
      <w:r w:rsidR="00765D5E">
        <w:rPr>
          <w:rFonts w:cs="Times New Roman"/>
          <w:sz w:val="28"/>
          <w:szCs w:val="28"/>
        </w:rPr>
        <w:t xml:space="preserve">July 2014. </w:t>
      </w:r>
      <w:r w:rsidR="00F4715A">
        <w:rPr>
          <w:rFonts w:cs="Times New Roman"/>
          <w:sz w:val="28"/>
          <w:szCs w:val="28"/>
        </w:rPr>
        <w:t xml:space="preserve">CGIC </w:t>
      </w:r>
      <w:r w:rsidR="00765D5E">
        <w:rPr>
          <w:rFonts w:cs="Times New Roman"/>
          <w:sz w:val="28"/>
          <w:szCs w:val="28"/>
        </w:rPr>
        <w:t>provided the bank with an unsigned copy of the winding-up application on 14 July 2014, whereupon the bank perfected its notarial bond.</w:t>
      </w:r>
    </w:p>
    <w:p w14:paraId="664F8039" w14:textId="77777777" w:rsidR="00191EC4" w:rsidRDefault="00191EC4" w:rsidP="00191EC4">
      <w:pPr>
        <w:pStyle w:val="ListParagraph"/>
        <w:spacing w:after="0" w:line="360" w:lineRule="auto"/>
        <w:ind w:left="0"/>
        <w:jc w:val="both"/>
        <w:rPr>
          <w:rFonts w:cs="Times New Roman"/>
          <w:sz w:val="28"/>
          <w:szCs w:val="28"/>
        </w:rPr>
      </w:pPr>
    </w:p>
    <w:p w14:paraId="12F6EC44" w14:textId="77777777" w:rsidR="00860F9F" w:rsidRDefault="00B2289D" w:rsidP="002744EA">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On</w:t>
      </w:r>
      <w:r w:rsidR="003E59DE">
        <w:rPr>
          <w:rFonts w:cs="Times New Roman"/>
          <w:sz w:val="28"/>
          <w:szCs w:val="28"/>
        </w:rPr>
        <w:t xml:space="preserve"> 17 </w:t>
      </w:r>
      <w:r w:rsidR="00490B94">
        <w:rPr>
          <w:rFonts w:cs="Times New Roman"/>
          <w:sz w:val="28"/>
          <w:szCs w:val="28"/>
        </w:rPr>
        <w:t>July 2014</w:t>
      </w:r>
      <w:r w:rsidR="003E59DE">
        <w:rPr>
          <w:rFonts w:cs="Times New Roman"/>
          <w:sz w:val="28"/>
          <w:szCs w:val="28"/>
        </w:rPr>
        <w:t xml:space="preserve"> the high court granted an order that the company be provisionally wound-up</w:t>
      </w:r>
      <w:r w:rsidR="00EF4347">
        <w:rPr>
          <w:rFonts w:cs="Times New Roman"/>
          <w:sz w:val="28"/>
          <w:szCs w:val="28"/>
        </w:rPr>
        <w:t xml:space="preserve"> as </w:t>
      </w:r>
      <w:r w:rsidR="00860F9F">
        <w:rPr>
          <w:rFonts w:cs="Times New Roman"/>
          <w:sz w:val="28"/>
          <w:szCs w:val="28"/>
        </w:rPr>
        <w:t>it was unable to pay its debts</w:t>
      </w:r>
      <w:r w:rsidR="00490B94">
        <w:rPr>
          <w:rFonts w:cs="Times New Roman"/>
          <w:sz w:val="28"/>
          <w:szCs w:val="28"/>
        </w:rPr>
        <w:t>.</w:t>
      </w:r>
      <w:r w:rsidR="003E59DE">
        <w:rPr>
          <w:rFonts w:cs="Times New Roman"/>
          <w:sz w:val="28"/>
          <w:szCs w:val="28"/>
        </w:rPr>
        <w:t xml:space="preserve"> A final winding-up order was made on 1</w:t>
      </w:r>
      <w:r w:rsidR="001D7BA7">
        <w:rPr>
          <w:rFonts w:cs="Times New Roman"/>
          <w:sz w:val="28"/>
          <w:szCs w:val="28"/>
        </w:rPr>
        <w:t>9 February 2015</w:t>
      </w:r>
      <w:r w:rsidR="003E59DE">
        <w:rPr>
          <w:rFonts w:cs="Times New Roman"/>
          <w:sz w:val="28"/>
          <w:szCs w:val="28"/>
        </w:rPr>
        <w:t>.</w:t>
      </w:r>
      <w:r w:rsidR="00FA1C7A">
        <w:rPr>
          <w:rFonts w:cs="Times New Roman"/>
          <w:sz w:val="28"/>
          <w:szCs w:val="28"/>
        </w:rPr>
        <w:t xml:space="preserve"> </w:t>
      </w:r>
    </w:p>
    <w:p w14:paraId="25D2B336" w14:textId="77777777" w:rsidR="00860F9F" w:rsidRDefault="00860F9F" w:rsidP="00860F9F">
      <w:pPr>
        <w:pStyle w:val="ListParagraph"/>
        <w:spacing w:after="0" w:line="360" w:lineRule="auto"/>
        <w:ind w:left="0"/>
        <w:jc w:val="both"/>
        <w:rPr>
          <w:rFonts w:cs="Times New Roman"/>
          <w:sz w:val="28"/>
          <w:szCs w:val="28"/>
        </w:rPr>
      </w:pPr>
    </w:p>
    <w:p w14:paraId="1F31F589" w14:textId="2A8EF9A1" w:rsidR="00D31B8A" w:rsidRDefault="00FA1C7A" w:rsidP="002744EA">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The provisional liquidators</w:t>
      </w:r>
      <w:r w:rsidR="002D19E6">
        <w:rPr>
          <w:rFonts w:cs="Times New Roman"/>
          <w:sz w:val="28"/>
          <w:szCs w:val="28"/>
        </w:rPr>
        <w:t xml:space="preserve"> (the liquidators)</w:t>
      </w:r>
      <w:r>
        <w:rPr>
          <w:rFonts w:cs="Times New Roman"/>
          <w:sz w:val="28"/>
          <w:szCs w:val="28"/>
        </w:rPr>
        <w:t xml:space="preserve"> were appointed on 22 July 2014.</w:t>
      </w:r>
      <w:r w:rsidR="00F4715A">
        <w:rPr>
          <w:rFonts w:cs="Times New Roman"/>
          <w:sz w:val="28"/>
          <w:szCs w:val="28"/>
        </w:rPr>
        <w:t xml:space="preserve"> That </w:t>
      </w:r>
      <w:r w:rsidR="00860F9F">
        <w:rPr>
          <w:rFonts w:cs="Times New Roman"/>
          <w:sz w:val="28"/>
          <w:szCs w:val="28"/>
        </w:rPr>
        <w:t>day</w:t>
      </w:r>
      <w:r w:rsidR="00F4715A">
        <w:rPr>
          <w:rFonts w:cs="Times New Roman"/>
          <w:sz w:val="28"/>
          <w:szCs w:val="28"/>
        </w:rPr>
        <w:t>,</w:t>
      </w:r>
      <w:r w:rsidR="00860F9F">
        <w:rPr>
          <w:rFonts w:cs="Times New Roman"/>
          <w:sz w:val="28"/>
          <w:szCs w:val="28"/>
        </w:rPr>
        <w:t xml:space="preserve"> West Lake Trade and Investments (Pty) Ltd (West Lake) made a</w:t>
      </w:r>
      <w:r w:rsidR="00DE0DA9">
        <w:rPr>
          <w:rFonts w:cs="Times New Roman"/>
          <w:sz w:val="28"/>
          <w:szCs w:val="28"/>
        </w:rPr>
        <w:t xml:space="preserve"> written</w:t>
      </w:r>
      <w:r w:rsidR="00860F9F">
        <w:rPr>
          <w:rFonts w:cs="Times New Roman"/>
          <w:sz w:val="28"/>
          <w:szCs w:val="28"/>
        </w:rPr>
        <w:t xml:space="preserve"> offer to purchase </w:t>
      </w:r>
      <w:r w:rsidR="001A088F">
        <w:rPr>
          <w:rFonts w:cs="Times New Roman"/>
          <w:sz w:val="28"/>
          <w:szCs w:val="28"/>
        </w:rPr>
        <w:t xml:space="preserve">all </w:t>
      </w:r>
      <w:r w:rsidR="00860F9F">
        <w:rPr>
          <w:rFonts w:cs="Times New Roman"/>
          <w:sz w:val="28"/>
          <w:szCs w:val="28"/>
        </w:rPr>
        <w:t>the company’s assets for R100 million.</w:t>
      </w:r>
      <w:r w:rsidR="001A088F">
        <w:rPr>
          <w:rFonts w:cs="Times New Roman"/>
          <w:sz w:val="28"/>
          <w:szCs w:val="28"/>
        </w:rPr>
        <w:t xml:space="preserve"> The assets included stock in trade, fixtures and fittings</w:t>
      </w:r>
      <w:r w:rsidR="00AA1980">
        <w:rPr>
          <w:rFonts w:cs="Times New Roman"/>
          <w:sz w:val="28"/>
          <w:szCs w:val="28"/>
        </w:rPr>
        <w:t xml:space="preserve">, </w:t>
      </w:r>
      <w:r w:rsidR="001A088F">
        <w:rPr>
          <w:rFonts w:cs="Times New Roman"/>
          <w:sz w:val="28"/>
          <w:szCs w:val="28"/>
        </w:rPr>
        <w:t>and receivable and recoverable debts of the company.</w:t>
      </w:r>
      <w:r w:rsidR="00DE0DA9">
        <w:rPr>
          <w:rFonts w:cs="Times New Roman"/>
          <w:sz w:val="28"/>
          <w:szCs w:val="28"/>
        </w:rPr>
        <w:t xml:space="preserve"> All of these assets were subject to the bank’s security</w:t>
      </w:r>
      <w:r w:rsidR="00860F9F">
        <w:rPr>
          <w:rFonts w:cs="Times New Roman"/>
          <w:sz w:val="28"/>
          <w:szCs w:val="28"/>
        </w:rPr>
        <w:t xml:space="preserve"> </w:t>
      </w:r>
      <w:r w:rsidR="0005043B">
        <w:rPr>
          <w:rFonts w:cs="Times New Roman"/>
          <w:sz w:val="28"/>
          <w:szCs w:val="28"/>
        </w:rPr>
        <w:t xml:space="preserve">mentioned above. </w:t>
      </w:r>
      <w:r w:rsidR="00B2289D">
        <w:rPr>
          <w:rFonts w:cs="Times New Roman"/>
          <w:sz w:val="28"/>
          <w:szCs w:val="28"/>
        </w:rPr>
        <w:t>The next day the liquidators</w:t>
      </w:r>
      <w:r w:rsidR="00015275">
        <w:rPr>
          <w:rFonts w:cs="Times New Roman"/>
          <w:sz w:val="28"/>
          <w:szCs w:val="28"/>
        </w:rPr>
        <w:t xml:space="preserve"> </w:t>
      </w:r>
      <w:r w:rsidR="00B2289D">
        <w:rPr>
          <w:rFonts w:cs="Times New Roman"/>
          <w:sz w:val="28"/>
          <w:szCs w:val="28"/>
        </w:rPr>
        <w:t xml:space="preserve">informed </w:t>
      </w:r>
      <w:r w:rsidR="00CA0424">
        <w:rPr>
          <w:rFonts w:cs="Times New Roman"/>
          <w:sz w:val="28"/>
          <w:szCs w:val="28"/>
        </w:rPr>
        <w:t xml:space="preserve">the bank of </w:t>
      </w:r>
      <w:r w:rsidR="00B2289D">
        <w:rPr>
          <w:rFonts w:cs="Times New Roman"/>
          <w:sz w:val="28"/>
          <w:szCs w:val="28"/>
        </w:rPr>
        <w:t>the offer</w:t>
      </w:r>
      <w:r w:rsidR="00EF4347">
        <w:rPr>
          <w:rFonts w:cs="Times New Roman"/>
          <w:sz w:val="28"/>
          <w:szCs w:val="28"/>
        </w:rPr>
        <w:t xml:space="preserve"> and </w:t>
      </w:r>
      <w:r w:rsidR="00DE39E0">
        <w:rPr>
          <w:rFonts w:cs="Times New Roman"/>
          <w:sz w:val="28"/>
          <w:szCs w:val="28"/>
        </w:rPr>
        <w:t>encouraged the bank to accept it</w:t>
      </w:r>
      <w:r w:rsidR="0031768E">
        <w:rPr>
          <w:rFonts w:cs="Times New Roman"/>
          <w:sz w:val="28"/>
          <w:szCs w:val="28"/>
        </w:rPr>
        <w:t xml:space="preserve">. </w:t>
      </w:r>
    </w:p>
    <w:p w14:paraId="5AA55738" w14:textId="77777777" w:rsidR="001D7BA7" w:rsidRDefault="001D7BA7" w:rsidP="001D7BA7">
      <w:pPr>
        <w:pStyle w:val="ListParagraph"/>
        <w:spacing w:after="0" w:line="360" w:lineRule="auto"/>
        <w:ind w:left="0"/>
        <w:jc w:val="both"/>
        <w:rPr>
          <w:rFonts w:cs="Times New Roman"/>
          <w:sz w:val="28"/>
          <w:szCs w:val="28"/>
        </w:rPr>
      </w:pPr>
    </w:p>
    <w:p w14:paraId="140FE001" w14:textId="066EB335" w:rsidR="00F91D7E" w:rsidRDefault="0029276C" w:rsidP="00CC64D8">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lastRenderedPageBreak/>
        <w:t>On 31</w:t>
      </w:r>
      <w:r w:rsidR="00830E52">
        <w:rPr>
          <w:rFonts w:cs="Times New Roman"/>
          <w:sz w:val="28"/>
          <w:szCs w:val="28"/>
        </w:rPr>
        <w:t xml:space="preserve"> July </w:t>
      </w:r>
      <w:r w:rsidR="001D7BA7">
        <w:rPr>
          <w:rFonts w:cs="Times New Roman"/>
          <w:sz w:val="28"/>
          <w:szCs w:val="28"/>
        </w:rPr>
        <w:t xml:space="preserve">2014 the bank informed the liquidators </w:t>
      </w:r>
      <w:r w:rsidR="00477CF4">
        <w:rPr>
          <w:rFonts w:cs="Times New Roman"/>
          <w:sz w:val="28"/>
          <w:szCs w:val="28"/>
        </w:rPr>
        <w:t xml:space="preserve">that it supported </w:t>
      </w:r>
      <w:r w:rsidR="001D7BA7">
        <w:rPr>
          <w:rFonts w:cs="Times New Roman"/>
          <w:sz w:val="28"/>
          <w:szCs w:val="28"/>
        </w:rPr>
        <w:t>West Lake’s offer</w:t>
      </w:r>
      <w:r w:rsidR="001405D0">
        <w:rPr>
          <w:rFonts w:cs="Times New Roman"/>
          <w:sz w:val="28"/>
          <w:szCs w:val="28"/>
        </w:rPr>
        <w:t>,</w:t>
      </w:r>
      <w:r w:rsidR="001D7BA7">
        <w:rPr>
          <w:rFonts w:cs="Times New Roman"/>
          <w:sz w:val="28"/>
          <w:szCs w:val="28"/>
        </w:rPr>
        <w:t xml:space="preserve"> subjec</w:t>
      </w:r>
      <w:r w:rsidR="007314F4">
        <w:rPr>
          <w:rFonts w:cs="Times New Roman"/>
          <w:sz w:val="28"/>
          <w:szCs w:val="28"/>
        </w:rPr>
        <w:t>t to</w:t>
      </w:r>
      <w:r w:rsidR="008F4798">
        <w:rPr>
          <w:rFonts w:cs="Times New Roman"/>
          <w:sz w:val="28"/>
          <w:szCs w:val="28"/>
        </w:rPr>
        <w:t xml:space="preserve"> </w:t>
      </w:r>
      <w:r w:rsidR="00DE39E0">
        <w:rPr>
          <w:rFonts w:cs="Times New Roman"/>
          <w:sz w:val="28"/>
          <w:szCs w:val="28"/>
        </w:rPr>
        <w:t xml:space="preserve">the condition that </w:t>
      </w:r>
      <w:r w:rsidR="00DE0DA9">
        <w:rPr>
          <w:rFonts w:cs="Times New Roman"/>
          <w:sz w:val="28"/>
          <w:szCs w:val="28"/>
        </w:rPr>
        <w:t>should</w:t>
      </w:r>
      <w:r>
        <w:rPr>
          <w:rFonts w:cs="Times New Roman"/>
          <w:sz w:val="28"/>
          <w:szCs w:val="28"/>
        </w:rPr>
        <w:t xml:space="preserve"> the bank </w:t>
      </w:r>
      <w:r w:rsidR="008A2728">
        <w:rPr>
          <w:rFonts w:cs="Times New Roman"/>
          <w:sz w:val="28"/>
          <w:szCs w:val="28"/>
        </w:rPr>
        <w:t xml:space="preserve">fund the West Lake </w:t>
      </w:r>
      <w:r>
        <w:rPr>
          <w:rFonts w:cs="Times New Roman"/>
          <w:sz w:val="28"/>
          <w:szCs w:val="28"/>
        </w:rPr>
        <w:t>transaction, there would be no flow of funds to the insolvent estate and the purchase price would be applied to reduce the com</w:t>
      </w:r>
      <w:r w:rsidR="00DE39E0">
        <w:rPr>
          <w:rFonts w:cs="Times New Roman"/>
          <w:sz w:val="28"/>
          <w:szCs w:val="28"/>
        </w:rPr>
        <w:t xml:space="preserve">pany’s indebtedness to the bank. The bank also imposed a condition that it </w:t>
      </w:r>
      <w:r w:rsidR="00172994">
        <w:rPr>
          <w:rFonts w:cs="Times New Roman"/>
          <w:sz w:val="28"/>
          <w:szCs w:val="28"/>
        </w:rPr>
        <w:t>would retain the</w:t>
      </w:r>
      <w:r w:rsidR="001D7BA7">
        <w:rPr>
          <w:rFonts w:cs="Times New Roman"/>
          <w:sz w:val="28"/>
          <w:szCs w:val="28"/>
        </w:rPr>
        <w:t xml:space="preserve"> cash and funds </w:t>
      </w:r>
      <w:r w:rsidR="00172994">
        <w:rPr>
          <w:rFonts w:cs="Times New Roman"/>
          <w:sz w:val="28"/>
          <w:szCs w:val="28"/>
        </w:rPr>
        <w:t xml:space="preserve">it had collected </w:t>
      </w:r>
      <w:r w:rsidR="001D7BA7">
        <w:rPr>
          <w:rFonts w:cs="Times New Roman"/>
          <w:sz w:val="28"/>
          <w:szCs w:val="28"/>
        </w:rPr>
        <w:t>from debtors</w:t>
      </w:r>
      <w:r w:rsidR="00172994">
        <w:rPr>
          <w:rFonts w:cs="Times New Roman"/>
          <w:sz w:val="28"/>
          <w:szCs w:val="28"/>
        </w:rPr>
        <w:t xml:space="preserve"> and in the perfection of its notarial bond, to red</w:t>
      </w:r>
      <w:r w:rsidR="00CC64D8">
        <w:rPr>
          <w:rFonts w:cs="Times New Roman"/>
          <w:sz w:val="28"/>
          <w:szCs w:val="28"/>
        </w:rPr>
        <w:t>uce its</w:t>
      </w:r>
      <w:r w:rsidR="00445A3E">
        <w:rPr>
          <w:rFonts w:cs="Times New Roman"/>
          <w:sz w:val="28"/>
          <w:szCs w:val="28"/>
        </w:rPr>
        <w:t xml:space="preserve"> exposure to the company.</w:t>
      </w:r>
      <w:r w:rsidR="007314F4">
        <w:rPr>
          <w:rFonts w:cs="Times New Roman"/>
          <w:sz w:val="28"/>
          <w:szCs w:val="28"/>
        </w:rPr>
        <w:t xml:space="preserve"> </w:t>
      </w:r>
      <w:r w:rsidR="00DE0DA9">
        <w:rPr>
          <w:rFonts w:cs="Times New Roman"/>
          <w:sz w:val="28"/>
          <w:szCs w:val="28"/>
        </w:rPr>
        <w:t>The liquidators expressly accepted these conditions.</w:t>
      </w:r>
    </w:p>
    <w:p w14:paraId="401145FA" w14:textId="77777777" w:rsidR="00F91D7E" w:rsidRDefault="00F91D7E" w:rsidP="00F91D7E">
      <w:pPr>
        <w:pStyle w:val="ListParagraph"/>
        <w:spacing w:after="0" w:line="360" w:lineRule="auto"/>
        <w:ind w:left="0"/>
        <w:jc w:val="both"/>
        <w:rPr>
          <w:rFonts w:cs="Times New Roman"/>
          <w:sz w:val="28"/>
          <w:szCs w:val="28"/>
        </w:rPr>
      </w:pPr>
    </w:p>
    <w:p w14:paraId="71B669D3" w14:textId="6CF40A54" w:rsidR="00445A3E" w:rsidRDefault="00445A3E" w:rsidP="00445A3E">
      <w:pPr>
        <w:pStyle w:val="ListParagraph"/>
        <w:numPr>
          <w:ilvl w:val="0"/>
          <w:numId w:val="19"/>
        </w:numPr>
        <w:spacing w:after="0" w:line="360" w:lineRule="auto"/>
        <w:ind w:left="0" w:firstLine="0"/>
        <w:jc w:val="both"/>
        <w:rPr>
          <w:rFonts w:cs="Times New Roman"/>
          <w:sz w:val="28"/>
          <w:szCs w:val="28"/>
        </w:rPr>
      </w:pPr>
      <w:r w:rsidRPr="003606CB">
        <w:rPr>
          <w:rFonts w:cs="Times New Roman"/>
          <w:sz w:val="28"/>
          <w:szCs w:val="28"/>
        </w:rPr>
        <w:t>On 5 August 2014 the liquidators applied to the Master for an extension of their powers in order to accept the West Lake offer</w:t>
      </w:r>
      <w:r>
        <w:rPr>
          <w:rFonts w:cs="Times New Roman"/>
          <w:sz w:val="28"/>
          <w:szCs w:val="28"/>
        </w:rPr>
        <w:t xml:space="preserve"> of R100 million</w:t>
      </w:r>
      <w:r w:rsidRPr="003606CB">
        <w:rPr>
          <w:rFonts w:cs="Times New Roman"/>
          <w:sz w:val="28"/>
          <w:szCs w:val="28"/>
        </w:rPr>
        <w:t>. They informed the Master that the ban</w:t>
      </w:r>
      <w:r>
        <w:rPr>
          <w:rFonts w:cs="Times New Roman"/>
          <w:sz w:val="28"/>
          <w:szCs w:val="28"/>
        </w:rPr>
        <w:t xml:space="preserve">k was the only secured creditor; that it </w:t>
      </w:r>
      <w:r w:rsidRPr="003606CB">
        <w:rPr>
          <w:rFonts w:cs="Times New Roman"/>
          <w:sz w:val="28"/>
          <w:szCs w:val="28"/>
        </w:rPr>
        <w:t>had the right, prior to the second meeting of creditors, to dictate the manner in which its security should be dealt with</w:t>
      </w:r>
      <w:r w:rsidR="00DE39E0">
        <w:rPr>
          <w:rFonts w:cs="Times New Roman"/>
          <w:sz w:val="28"/>
          <w:szCs w:val="28"/>
        </w:rPr>
        <w:t>; and that it</w:t>
      </w:r>
      <w:r>
        <w:rPr>
          <w:rFonts w:cs="Times New Roman"/>
          <w:sz w:val="28"/>
          <w:szCs w:val="28"/>
        </w:rPr>
        <w:t xml:space="preserve"> was willing to accept the offer</w:t>
      </w:r>
      <w:r w:rsidRPr="003606CB">
        <w:rPr>
          <w:rFonts w:cs="Times New Roman"/>
          <w:sz w:val="28"/>
          <w:szCs w:val="28"/>
        </w:rPr>
        <w:t>.</w:t>
      </w:r>
      <w:r>
        <w:rPr>
          <w:rFonts w:cs="Times New Roman"/>
          <w:sz w:val="28"/>
          <w:szCs w:val="28"/>
        </w:rPr>
        <w:t xml:space="preserve"> T</w:t>
      </w:r>
      <w:r w:rsidRPr="003606CB">
        <w:rPr>
          <w:rFonts w:cs="Times New Roman"/>
          <w:sz w:val="28"/>
          <w:szCs w:val="28"/>
        </w:rPr>
        <w:t>he Master granted the application and extended the liquidators’ powers to effect the sale of the assets</w:t>
      </w:r>
      <w:r>
        <w:rPr>
          <w:rFonts w:cs="Times New Roman"/>
          <w:sz w:val="28"/>
          <w:szCs w:val="28"/>
        </w:rPr>
        <w:t xml:space="preserve">, and the </w:t>
      </w:r>
      <w:r w:rsidRPr="003606CB">
        <w:rPr>
          <w:rFonts w:cs="Times New Roman"/>
          <w:sz w:val="28"/>
          <w:szCs w:val="28"/>
        </w:rPr>
        <w:t>West Lake offer</w:t>
      </w:r>
      <w:r>
        <w:rPr>
          <w:rFonts w:cs="Times New Roman"/>
          <w:sz w:val="28"/>
          <w:szCs w:val="28"/>
        </w:rPr>
        <w:t xml:space="preserve"> was accepted. </w:t>
      </w:r>
      <w:r w:rsidR="00FC6AC3">
        <w:rPr>
          <w:rFonts w:cs="Times New Roman"/>
          <w:sz w:val="28"/>
          <w:szCs w:val="28"/>
        </w:rPr>
        <w:t>The written agreement that was thus concluded, inter alia</w:t>
      </w:r>
      <w:r w:rsidR="00EB71A6">
        <w:rPr>
          <w:rFonts w:cs="Times New Roman"/>
          <w:sz w:val="28"/>
          <w:szCs w:val="28"/>
        </w:rPr>
        <w:t>,</w:t>
      </w:r>
      <w:r w:rsidR="00FC6AC3">
        <w:rPr>
          <w:rFonts w:cs="Times New Roman"/>
          <w:sz w:val="28"/>
          <w:szCs w:val="28"/>
        </w:rPr>
        <w:t xml:space="preserve"> provided:</w:t>
      </w:r>
    </w:p>
    <w:p w14:paraId="7E06B3F7" w14:textId="2F987A03" w:rsidR="00445A3E" w:rsidRDefault="005E4AD4" w:rsidP="00445A3E">
      <w:pPr>
        <w:pStyle w:val="ListParagraph"/>
        <w:spacing w:after="0" w:line="360" w:lineRule="auto"/>
        <w:ind w:left="0"/>
        <w:jc w:val="both"/>
        <w:rPr>
          <w:rFonts w:cs="Times New Roman"/>
          <w:sz w:val="24"/>
          <w:szCs w:val="24"/>
        </w:rPr>
      </w:pPr>
      <w:r>
        <w:rPr>
          <w:rFonts w:cs="Times New Roman"/>
          <w:sz w:val="24"/>
          <w:szCs w:val="24"/>
        </w:rPr>
        <w:t>‘3.1</w:t>
      </w:r>
      <w:r>
        <w:rPr>
          <w:rFonts w:cs="Times New Roman"/>
          <w:sz w:val="24"/>
          <w:szCs w:val="24"/>
        </w:rPr>
        <w:tab/>
        <w:t xml:space="preserve">The Offeror </w:t>
      </w:r>
      <w:r w:rsidR="00CD7957">
        <w:rPr>
          <w:rFonts w:cs="Times New Roman"/>
          <w:sz w:val="24"/>
          <w:szCs w:val="24"/>
        </w:rPr>
        <w:t xml:space="preserve">[West Lake] </w:t>
      </w:r>
      <w:r>
        <w:rPr>
          <w:rFonts w:cs="Times New Roman"/>
          <w:sz w:val="24"/>
          <w:szCs w:val="24"/>
        </w:rPr>
        <w:t>will purchase the Items of Sale for the sum of R100 000 000.00 (ONE HUNDRED MILLION RAND) on acceptance of this Offer to Purchase by the Offeree</w:t>
      </w:r>
      <w:r w:rsidR="00CD7957">
        <w:rPr>
          <w:rFonts w:cs="Times New Roman"/>
          <w:sz w:val="24"/>
          <w:szCs w:val="24"/>
        </w:rPr>
        <w:t xml:space="preserve"> [the liquidators]</w:t>
      </w:r>
      <w:r>
        <w:rPr>
          <w:rFonts w:cs="Times New Roman"/>
          <w:sz w:val="24"/>
          <w:szCs w:val="24"/>
        </w:rPr>
        <w:t>.</w:t>
      </w:r>
    </w:p>
    <w:p w14:paraId="0FA47248" w14:textId="3E039058" w:rsidR="005E4AD4" w:rsidRDefault="005E4AD4" w:rsidP="00445A3E">
      <w:pPr>
        <w:pStyle w:val="ListParagraph"/>
        <w:spacing w:after="0" w:line="360" w:lineRule="auto"/>
        <w:ind w:left="0"/>
        <w:jc w:val="both"/>
        <w:rPr>
          <w:rFonts w:cs="Times New Roman"/>
          <w:sz w:val="24"/>
          <w:szCs w:val="24"/>
        </w:rPr>
      </w:pPr>
      <w:r>
        <w:rPr>
          <w:rFonts w:cs="Times New Roman"/>
          <w:sz w:val="24"/>
          <w:szCs w:val="24"/>
        </w:rPr>
        <w:t>3.2</w:t>
      </w:r>
      <w:r>
        <w:rPr>
          <w:rFonts w:cs="Times New Roman"/>
          <w:sz w:val="24"/>
          <w:szCs w:val="24"/>
        </w:rPr>
        <w:tab/>
        <w:t>It is agreed between the Offeror and the Offeree that payment as contemplated in 3.1 above shall be effected directly to Mercantile by the Offeror or any of its assigns or affiliates, wherein after the Offeror shall procure that Mercantile forthwith reduces any claims that it may have against the insolvent estate of Alert by the amount contemplated in 3.1 above.</w:t>
      </w:r>
      <w:r w:rsidR="006C4BC0">
        <w:rPr>
          <w:rFonts w:cs="Times New Roman"/>
          <w:sz w:val="24"/>
          <w:szCs w:val="24"/>
        </w:rPr>
        <w:t>’</w:t>
      </w:r>
    </w:p>
    <w:p w14:paraId="7F1071FE" w14:textId="77777777" w:rsidR="005E4AD4" w:rsidRPr="00C3303B" w:rsidRDefault="005E4AD4" w:rsidP="00445A3E">
      <w:pPr>
        <w:pStyle w:val="ListParagraph"/>
        <w:spacing w:after="0" w:line="360" w:lineRule="auto"/>
        <w:ind w:left="0"/>
        <w:jc w:val="both"/>
        <w:rPr>
          <w:rFonts w:cs="Times New Roman"/>
          <w:sz w:val="24"/>
          <w:szCs w:val="24"/>
        </w:rPr>
      </w:pPr>
    </w:p>
    <w:p w14:paraId="623315B8" w14:textId="4A0B4F8F" w:rsidR="00445A3E" w:rsidRPr="003606CB" w:rsidRDefault="00445A3E" w:rsidP="00445A3E">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Subsequently</w:t>
      </w:r>
      <w:r w:rsidR="00AF288E">
        <w:rPr>
          <w:rFonts w:cs="Times New Roman"/>
          <w:sz w:val="28"/>
          <w:szCs w:val="28"/>
        </w:rPr>
        <w:t>,</w:t>
      </w:r>
      <w:r>
        <w:rPr>
          <w:rFonts w:cs="Times New Roman"/>
          <w:sz w:val="28"/>
          <w:szCs w:val="28"/>
        </w:rPr>
        <w:t xml:space="preserve"> the bank </w:t>
      </w:r>
      <w:r w:rsidRPr="003606CB">
        <w:rPr>
          <w:rFonts w:cs="Times New Roman"/>
          <w:sz w:val="28"/>
          <w:szCs w:val="28"/>
        </w:rPr>
        <w:t>finance</w:t>
      </w:r>
      <w:r>
        <w:rPr>
          <w:rFonts w:cs="Times New Roman"/>
          <w:sz w:val="28"/>
          <w:szCs w:val="28"/>
        </w:rPr>
        <w:t>d</w:t>
      </w:r>
      <w:r w:rsidRPr="003606CB">
        <w:rPr>
          <w:rFonts w:cs="Times New Roman"/>
          <w:sz w:val="28"/>
          <w:szCs w:val="28"/>
        </w:rPr>
        <w:t xml:space="preserve"> the</w:t>
      </w:r>
      <w:r w:rsidR="00FC6AC3">
        <w:rPr>
          <w:rFonts w:cs="Times New Roman"/>
          <w:sz w:val="28"/>
          <w:szCs w:val="28"/>
        </w:rPr>
        <w:t xml:space="preserve"> purchase by</w:t>
      </w:r>
      <w:r>
        <w:rPr>
          <w:rFonts w:cs="Times New Roman"/>
          <w:sz w:val="28"/>
          <w:szCs w:val="28"/>
        </w:rPr>
        <w:t xml:space="preserve"> West Lake by lending the R100 million </w:t>
      </w:r>
      <w:r w:rsidR="00B65D52">
        <w:rPr>
          <w:rFonts w:cs="Times New Roman"/>
          <w:sz w:val="28"/>
          <w:szCs w:val="28"/>
        </w:rPr>
        <w:t>to its nominee</w:t>
      </w:r>
      <w:r>
        <w:rPr>
          <w:rFonts w:cs="Times New Roman"/>
          <w:sz w:val="28"/>
          <w:szCs w:val="28"/>
        </w:rPr>
        <w:t>. The company’s account was credited in the sum of R100 million. Consequently, the company’s debt to the bank was reduced from R106 138 295.35 (the initial loan of R104 million plus interest) to R6 138 295.35. The bank released the company’s assets from its perfected notarial bond</w:t>
      </w:r>
      <w:r w:rsidR="001C2F3C">
        <w:rPr>
          <w:rFonts w:cs="Times New Roman"/>
          <w:sz w:val="28"/>
          <w:szCs w:val="28"/>
        </w:rPr>
        <w:t>,</w:t>
      </w:r>
      <w:r>
        <w:rPr>
          <w:rFonts w:cs="Times New Roman"/>
          <w:sz w:val="28"/>
          <w:szCs w:val="28"/>
        </w:rPr>
        <w:t xml:space="preserve"> and the assets were transferred to West Lake.  </w:t>
      </w:r>
    </w:p>
    <w:p w14:paraId="79EA05A6" w14:textId="510A47A7" w:rsidR="00DE39E0" w:rsidRDefault="00445A3E" w:rsidP="00445A3E">
      <w:pPr>
        <w:pStyle w:val="ListParagraph"/>
        <w:numPr>
          <w:ilvl w:val="0"/>
          <w:numId w:val="19"/>
        </w:numPr>
        <w:spacing w:after="0" w:line="360" w:lineRule="auto"/>
        <w:ind w:left="0" w:firstLine="0"/>
        <w:jc w:val="both"/>
        <w:rPr>
          <w:rFonts w:cs="Times New Roman"/>
          <w:sz w:val="28"/>
          <w:szCs w:val="28"/>
        </w:rPr>
      </w:pPr>
      <w:r w:rsidRPr="001B5871">
        <w:rPr>
          <w:rFonts w:cs="Times New Roman"/>
          <w:sz w:val="28"/>
          <w:szCs w:val="28"/>
        </w:rPr>
        <w:lastRenderedPageBreak/>
        <w:t xml:space="preserve">The balance of R106 138 295.35 was further reduced by R5 226 381.17, comprising amounts of R3.1 million </w:t>
      </w:r>
      <w:r w:rsidR="00DE39E0">
        <w:rPr>
          <w:rFonts w:cs="Times New Roman"/>
          <w:sz w:val="28"/>
          <w:szCs w:val="28"/>
        </w:rPr>
        <w:t xml:space="preserve">paid to </w:t>
      </w:r>
      <w:r w:rsidR="004D2C3F">
        <w:rPr>
          <w:rFonts w:cs="Times New Roman"/>
          <w:sz w:val="28"/>
          <w:szCs w:val="28"/>
        </w:rPr>
        <w:t>the bank</w:t>
      </w:r>
      <w:r w:rsidR="00DE39E0">
        <w:rPr>
          <w:rFonts w:cs="Times New Roman"/>
          <w:sz w:val="28"/>
          <w:szCs w:val="28"/>
        </w:rPr>
        <w:t xml:space="preserve"> by the liquidators</w:t>
      </w:r>
      <w:r w:rsidR="00B65D52">
        <w:rPr>
          <w:rFonts w:cs="Times New Roman"/>
          <w:sz w:val="28"/>
          <w:szCs w:val="28"/>
        </w:rPr>
        <w:t xml:space="preserve"> in respect of book debts </w:t>
      </w:r>
      <w:r w:rsidR="005370D7">
        <w:rPr>
          <w:rFonts w:cs="Times New Roman"/>
          <w:sz w:val="28"/>
          <w:szCs w:val="28"/>
        </w:rPr>
        <w:t>collected by them</w:t>
      </w:r>
      <w:r w:rsidR="00DE39E0">
        <w:rPr>
          <w:rFonts w:cs="Times New Roman"/>
          <w:sz w:val="28"/>
          <w:szCs w:val="28"/>
        </w:rPr>
        <w:t xml:space="preserve">, </w:t>
      </w:r>
      <w:r w:rsidRPr="001B5871">
        <w:rPr>
          <w:rFonts w:cs="Times New Roman"/>
          <w:sz w:val="28"/>
          <w:szCs w:val="28"/>
        </w:rPr>
        <w:t>and R2 126 381.17, collected by the bank pursuant to the perfection of its notarial bond.</w:t>
      </w:r>
      <w:r w:rsidR="005370D7">
        <w:rPr>
          <w:rFonts w:cs="Times New Roman"/>
          <w:sz w:val="28"/>
          <w:szCs w:val="28"/>
        </w:rPr>
        <w:t xml:space="preserve"> The sum of R100 million therefore represented the proceeds of the sale of the company’s assets</w:t>
      </w:r>
      <w:r w:rsidR="00A34994">
        <w:rPr>
          <w:rFonts w:cs="Times New Roman"/>
          <w:sz w:val="28"/>
          <w:szCs w:val="28"/>
        </w:rPr>
        <w:t>,</w:t>
      </w:r>
      <w:r w:rsidR="005370D7">
        <w:rPr>
          <w:rFonts w:cs="Times New Roman"/>
          <w:sz w:val="28"/>
          <w:szCs w:val="28"/>
        </w:rPr>
        <w:t xml:space="preserve"> and in effect and in law the company made payment thereof to the bank. In argument</w:t>
      </w:r>
      <w:r w:rsidR="00F865CE">
        <w:rPr>
          <w:rFonts w:cs="Times New Roman"/>
          <w:sz w:val="28"/>
          <w:szCs w:val="28"/>
        </w:rPr>
        <w:t xml:space="preserve"> in the high court and before us</w:t>
      </w:r>
      <w:r w:rsidR="00405CF8">
        <w:rPr>
          <w:rFonts w:cs="Times New Roman"/>
          <w:sz w:val="28"/>
          <w:szCs w:val="28"/>
        </w:rPr>
        <w:t>,</w:t>
      </w:r>
      <w:r w:rsidR="005370D7">
        <w:rPr>
          <w:rFonts w:cs="Times New Roman"/>
          <w:sz w:val="28"/>
          <w:szCs w:val="28"/>
        </w:rPr>
        <w:t xml:space="preserve"> the parties </w:t>
      </w:r>
      <w:r w:rsidR="00971ADD">
        <w:rPr>
          <w:rFonts w:cs="Times New Roman"/>
          <w:sz w:val="28"/>
          <w:szCs w:val="28"/>
        </w:rPr>
        <w:t>dealt with the amounts of R3.1 million and R2</w:t>
      </w:r>
      <w:r w:rsidR="005E1919">
        <w:rPr>
          <w:rFonts w:cs="Times New Roman"/>
          <w:sz w:val="28"/>
          <w:szCs w:val="28"/>
        </w:rPr>
        <w:t> </w:t>
      </w:r>
      <w:r w:rsidR="00971ADD">
        <w:rPr>
          <w:rFonts w:cs="Times New Roman"/>
          <w:sz w:val="28"/>
          <w:szCs w:val="28"/>
        </w:rPr>
        <w:t>126</w:t>
      </w:r>
      <w:r w:rsidR="005E1919">
        <w:rPr>
          <w:rFonts w:cs="Times New Roman"/>
          <w:sz w:val="28"/>
          <w:szCs w:val="28"/>
        </w:rPr>
        <w:t> </w:t>
      </w:r>
      <w:r w:rsidR="00971ADD">
        <w:rPr>
          <w:rFonts w:cs="Times New Roman"/>
          <w:sz w:val="28"/>
          <w:szCs w:val="28"/>
        </w:rPr>
        <w:t>381.17 on the same basis</w:t>
      </w:r>
      <w:r w:rsidR="00A921D8">
        <w:rPr>
          <w:rFonts w:cs="Times New Roman"/>
          <w:sz w:val="28"/>
          <w:szCs w:val="28"/>
        </w:rPr>
        <w:t xml:space="preserve"> </w:t>
      </w:r>
      <w:r w:rsidR="00F865CE">
        <w:rPr>
          <w:rFonts w:cs="Times New Roman"/>
          <w:sz w:val="28"/>
          <w:szCs w:val="28"/>
        </w:rPr>
        <w:t>as</w:t>
      </w:r>
      <w:r w:rsidR="00A921D8">
        <w:rPr>
          <w:rFonts w:cs="Times New Roman"/>
          <w:sz w:val="28"/>
          <w:szCs w:val="28"/>
        </w:rPr>
        <w:t xml:space="preserve"> the R100 million</w:t>
      </w:r>
      <w:r w:rsidR="00325253">
        <w:rPr>
          <w:rFonts w:cs="Times New Roman"/>
          <w:sz w:val="28"/>
          <w:szCs w:val="28"/>
        </w:rPr>
        <w:t>,</w:t>
      </w:r>
      <w:r w:rsidR="00971ADD">
        <w:rPr>
          <w:rFonts w:cs="Times New Roman"/>
          <w:sz w:val="28"/>
          <w:szCs w:val="28"/>
        </w:rPr>
        <w:t xml:space="preserve"> and I shall do the same.</w:t>
      </w:r>
    </w:p>
    <w:p w14:paraId="21E7B15C" w14:textId="77777777" w:rsidR="00445A3E" w:rsidRDefault="00445A3E" w:rsidP="00DE39E0">
      <w:pPr>
        <w:pStyle w:val="ListParagraph"/>
        <w:spacing w:after="0" w:line="360" w:lineRule="auto"/>
        <w:ind w:left="0"/>
        <w:jc w:val="both"/>
        <w:rPr>
          <w:rFonts w:cs="Times New Roman"/>
          <w:sz w:val="28"/>
          <w:szCs w:val="28"/>
        </w:rPr>
      </w:pPr>
      <w:r w:rsidRPr="001B5871">
        <w:rPr>
          <w:rFonts w:cs="Times New Roman"/>
          <w:sz w:val="28"/>
          <w:szCs w:val="28"/>
        </w:rPr>
        <w:t xml:space="preserve"> </w:t>
      </w:r>
    </w:p>
    <w:p w14:paraId="508BDA3B" w14:textId="77777777" w:rsidR="00445A3E" w:rsidRDefault="00445A3E" w:rsidP="00445A3E">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 xml:space="preserve">The first meeting of creditors in the company’s </w:t>
      </w:r>
      <w:r w:rsidR="00630E43">
        <w:rPr>
          <w:rFonts w:cs="Times New Roman"/>
          <w:sz w:val="28"/>
          <w:szCs w:val="28"/>
        </w:rPr>
        <w:t xml:space="preserve">insolvent </w:t>
      </w:r>
      <w:r>
        <w:rPr>
          <w:rFonts w:cs="Times New Roman"/>
          <w:sz w:val="28"/>
          <w:szCs w:val="28"/>
        </w:rPr>
        <w:t>estate took place on 1 and 9 December 2015. The second meeting of creditors took place over an extended period of time and closed on 21 February 2017. The bank did not prove a claim against the estate at any of these meetings.</w:t>
      </w:r>
    </w:p>
    <w:p w14:paraId="203FF209" w14:textId="77777777" w:rsidR="00445A3E" w:rsidRDefault="00445A3E" w:rsidP="00445A3E">
      <w:pPr>
        <w:pStyle w:val="ListParagraph"/>
        <w:spacing w:after="0" w:line="360" w:lineRule="auto"/>
        <w:ind w:left="0"/>
        <w:jc w:val="both"/>
        <w:rPr>
          <w:rFonts w:cs="Times New Roman"/>
          <w:sz w:val="28"/>
          <w:szCs w:val="28"/>
        </w:rPr>
      </w:pPr>
    </w:p>
    <w:p w14:paraId="50350CA0" w14:textId="73373244" w:rsidR="00445A3E" w:rsidRDefault="00445A3E" w:rsidP="00445A3E">
      <w:pPr>
        <w:pStyle w:val="ListParagraph"/>
        <w:numPr>
          <w:ilvl w:val="0"/>
          <w:numId w:val="19"/>
        </w:numPr>
        <w:spacing w:after="0" w:line="360" w:lineRule="auto"/>
        <w:ind w:left="0" w:firstLine="0"/>
        <w:jc w:val="both"/>
        <w:rPr>
          <w:rFonts w:cs="Times New Roman"/>
          <w:sz w:val="28"/>
          <w:szCs w:val="28"/>
        </w:rPr>
      </w:pPr>
      <w:r w:rsidRPr="001B5871">
        <w:rPr>
          <w:rFonts w:cs="Times New Roman"/>
          <w:sz w:val="28"/>
          <w:szCs w:val="28"/>
        </w:rPr>
        <w:t>In June 2017 the bank submitted a claim against the</w:t>
      </w:r>
      <w:r w:rsidR="009B4C3E">
        <w:rPr>
          <w:rFonts w:cs="Times New Roman"/>
          <w:sz w:val="28"/>
          <w:szCs w:val="28"/>
        </w:rPr>
        <w:t xml:space="preserve"> company’s </w:t>
      </w:r>
      <w:r w:rsidRPr="001B5871">
        <w:rPr>
          <w:rFonts w:cs="Times New Roman"/>
          <w:sz w:val="28"/>
          <w:szCs w:val="28"/>
        </w:rPr>
        <w:t>insolvent estate, in terms of s 44(4) of the Insolvency Act</w:t>
      </w:r>
      <w:r w:rsidR="00630E43">
        <w:rPr>
          <w:rFonts w:cs="Times New Roman"/>
          <w:sz w:val="28"/>
          <w:szCs w:val="28"/>
        </w:rPr>
        <w:t xml:space="preserve"> 24 of 1936 (the Insolvency Act)</w:t>
      </w:r>
      <w:r w:rsidRPr="001B5871">
        <w:rPr>
          <w:rFonts w:cs="Times New Roman"/>
          <w:sz w:val="28"/>
          <w:szCs w:val="28"/>
        </w:rPr>
        <w:t>. The affidavit in support of the claim state</w:t>
      </w:r>
      <w:r w:rsidR="00971ADD">
        <w:rPr>
          <w:rFonts w:cs="Times New Roman"/>
          <w:sz w:val="28"/>
          <w:szCs w:val="28"/>
        </w:rPr>
        <w:t>d</w:t>
      </w:r>
      <w:r w:rsidRPr="001B5871">
        <w:rPr>
          <w:rFonts w:cs="Times New Roman"/>
          <w:sz w:val="28"/>
          <w:szCs w:val="28"/>
        </w:rPr>
        <w:t xml:space="preserve"> that the bank </w:t>
      </w:r>
      <w:r w:rsidR="00971ADD">
        <w:rPr>
          <w:rFonts w:cs="Times New Roman"/>
          <w:sz w:val="28"/>
          <w:szCs w:val="28"/>
        </w:rPr>
        <w:t>wa</w:t>
      </w:r>
      <w:r w:rsidRPr="001B5871">
        <w:rPr>
          <w:rFonts w:cs="Times New Roman"/>
          <w:sz w:val="28"/>
          <w:szCs w:val="28"/>
        </w:rPr>
        <w:t>s a secured creditor of the company in the sum of R106 138 295.17</w:t>
      </w:r>
      <w:r>
        <w:rPr>
          <w:rFonts w:cs="Times New Roman"/>
          <w:sz w:val="28"/>
          <w:szCs w:val="28"/>
        </w:rPr>
        <w:t xml:space="preserve"> as at 15 July 2014. The bank’s attorney requested the liquidators to convene a special meeting, at its cost, for proof of its claim</w:t>
      </w:r>
      <w:r w:rsidRPr="001B5871">
        <w:rPr>
          <w:rFonts w:cs="Times New Roman"/>
          <w:sz w:val="28"/>
          <w:szCs w:val="28"/>
        </w:rPr>
        <w:t>.</w:t>
      </w:r>
    </w:p>
    <w:p w14:paraId="1E32294C" w14:textId="77777777" w:rsidR="00445A3E" w:rsidRDefault="00445A3E" w:rsidP="00445A3E">
      <w:pPr>
        <w:pStyle w:val="ListParagraph"/>
        <w:spacing w:after="0" w:line="360" w:lineRule="auto"/>
        <w:ind w:left="0"/>
        <w:jc w:val="both"/>
        <w:rPr>
          <w:rFonts w:cs="Times New Roman"/>
          <w:sz w:val="28"/>
          <w:szCs w:val="28"/>
        </w:rPr>
      </w:pPr>
    </w:p>
    <w:p w14:paraId="056713EB" w14:textId="63F6490B" w:rsidR="00445A3E" w:rsidRPr="00182DEB" w:rsidRDefault="00445A3E" w:rsidP="00445A3E">
      <w:pPr>
        <w:pStyle w:val="ListParagraph"/>
        <w:numPr>
          <w:ilvl w:val="0"/>
          <w:numId w:val="19"/>
        </w:numPr>
        <w:spacing w:before="240" w:after="0" w:line="360" w:lineRule="auto"/>
        <w:ind w:left="0" w:firstLine="0"/>
        <w:jc w:val="both"/>
        <w:rPr>
          <w:rFonts w:cs="Times New Roman"/>
          <w:sz w:val="28"/>
          <w:szCs w:val="28"/>
        </w:rPr>
      </w:pPr>
      <w:r>
        <w:rPr>
          <w:rFonts w:cs="Times New Roman"/>
          <w:sz w:val="28"/>
          <w:szCs w:val="28"/>
        </w:rPr>
        <w:t xml:space="preserve">The special meeting of creditors was held on 14 February 2018 at the Master’s office in Pretoria. However, at this meeting the bank withdrew its claim. </w:t>
      </w:r>
      <w:r w:rsidRPr="001B5871">
        <w:rPr>
          <w:rFonts w:cs="Times New Roman"/>
          <w:sz w:val="28"/>
          <w:szCs w:val="28"/>
        </w:rPr>
        <w:t>According to the answering affidavit</w:t>
      </w:r>
      <w:r>
        <w:rPr>
          <w:rFonts w:cs="Times New Roman"/>
          <w:sz w:val="28"/>
          <w:szCs w:val="28"/>
        </w:rPr>
        <w:t xml:space="preserve">, </w:t>
      </w:r>
      <w:r w:rsidRPr="001B5871">
        <w:rPr>
          <w:rFonts w:cs="Times New Roman"/>
          <w:sz w:val="28"/>
          <w:szCs w:val="28"/>
        </w:rPr>
        <w:t xml:space="preserve">this was done </w:t>
      </w:r>
      <w:r>
        <w:rPr>
          <w:rFonts w:cs="Times New Roman"/>
          <w:sz w:val="28"/>
          <w:szCs w:val="28"/>
        </w:rPr>
        <w:t xml:space="preserve">to preserve the bank’s </w:t>
      </w:r>
      <w:r w:rsidRPr="00182DEB">
        <w:rPr>
          <w:rFonts w:cs="Times New Roman"/>
          <w:sz w:val="28"/>
          <w:szCs w:val="28"/>
        </w:rPr>
        <w:t>position</w:t>
      </w:r>
      <w:r>
        <w:rPr>
          <w:rFonts w:cs="Times New Roman"/>
          <w:sz w:val="28"/>
          <w:szCs w:val="28"/>
        </w:rPr>
        <w:t xml:space="preserve"> </w:t>
      </w:r>
      <w:r w:rsidRPr="00182DEB">
        <w:rPr>
          <w:rFonts w:cs="Times New Roman"/>
          <w:sz w:val="28"/>
          <w:szCs w:val="28"/>
        </w:rPr>
        <w:t>that its claim against the company had been reduced by R100 million, following West Lake’s acquisition of the company’s assets, and therefore it was unnecessary to prove a claim in that amount.</w:t>
      </w:r>
      <w:r>
        <w:rPr>
          <w:rFonts w:cs="Times New Roman"/>
          <w:sz w:val="28"/>
          <w:szCs w:val="28"/>
        </w:rPr>
        <w:t xml:space="preserve"> Had the bank proved a claim in the whole amount (</w:t>
      </w:r>
      <w:r w:rsidRPr="001B5871">
        <w:rPr>
          <w:rFonts w:cs="Times New Roman"/>
          <w:sz w:val="28"/>
          <w:szCs w:val="28"/>
        </w:rPr>
        <w:t>R106 138 295.17</w:t>
      </w:r>
      <w:r>
        <w:rPr>
          <w:rFonts w:cs="Times New Roman"/>
          <w:sz w:val="28"/>
          <w:szCs w:val="28"/>
        </w:rPr>
        <w:t>), that would have been contrary to its stated position.</w:t>
      </w:r>
    </w:p>
    <w:p w14:paraId="4D0EF882" w14:textId="656CE583" w:rsidR="00445A3E" w:rsidRDefault="00445A3E" w:rsidP="005A458B">
      <w:pPr>
        <w:pStyle w:val="ListParagraph"/>
        <w:numPr>
          <w:ilvl w:val="0"/>
          <w:numId w:val="19"/>
        </w:numPr>
        <w:spacing w:after="0" w:line="360" w:lineRule="auto"/>
        <w:ind w:left="0" w:firstLine="0"/>
        <w:jc w:val="both"/>
        <w:rPr>
          <w:rFonts w:cs="Times New Roman"/>
          <w:sz w:val="28"/>
          <w:szCs w:val="28"/>
        </w:rPr>
      </w:pPr>
      <w:r w:rsidRPr="0051105A">
        <w:rPr>
          <w:rFonts w:cs="Times New Roman"/>
          <w:sz w:val="28"/>
          <w:szCs w:val="28"/>
        </w:rPr>
        <w:lastRenderedPageBreak/>
        <w:t>The company’s ca</w:t>
      </w:r>
      <w:r w:rsidR="00A921D8" w:rsidRPr="0051105A">
        <w:rPr>
          <w:rFonts w:cs="Times New Roman"/>
          <w:sz w:val="28"/>
          <w:szCs w:val="28"/>
        </w:rPr>
        <w:t>se</w:t>
      </w:r>
      <w:r w:rsidRPr="0051105A">
        <w:rPr>
          <w:rFonts w:cs="Times New Roman"/>
          <w:sz w:val="28"/>
          <w:szCs w:val="28"/>
        </w:rPr>
        <w:t xml:space="preserve"> in the founding affidavit was founded on the following allegations. The bank had directly and indirectly collected amounts totalling R105 226 381.17, in respect of the company’s estate (the collected amount). The bank did not prove a claim in the company’s estate. The second meeting of creditors closed on 21 February 2017 and three months had passed since the closing of that meeting. Despite demand, the bank failed to pay the </w:t>
      </w:r>
      <w:r w:rsidR="00675D5A">
        <w:rPr>
          <w:rFonts w:cs="Times New Roman"/>
          <w:sz w:val="28"/>
          <w:szCs w:val="28"/>
        </w:rPr>
        <w:t xml:space="preserve">company the </w:t>
      </w:r>
      <w:r w:rsidRPr="0051105A">
        <w:rPr>
          <w:rFonts w:cs="Times New Roman"/>
          <w:sz w:val="28"/>
          <w:szCs w:val="28"/>
        </w:rPr>
        <w:t xml:space="preserve">collected amount or any portion of it. </w:t>
      </w:r>
    </w:p>
    <w:p w14:paraId="57167035" w14:textId="77777777" w:rsidR="0051105A" w:rsidRPr="0051105A" w:rsidRDefault="0051105A" w:rsidP="0051105A">
      <w:pPr>
        <w:pStyle w:val="ListParagraph"/>
        <w:spacing w:after="0" w:line="360" w:lineRule="auto"/>
        <w:ind w:left="0"/>
        <w:jc w:val="both"/>
        <w:rPr>
          <w:rFonts w:cs="Times New Roman"/>
          <w:sz w:val="28"/>
          <w:szCs w:val="28"/>
        </w:rPr>
      </w:pPr>
    </w:p>
    <w:p w14:paraId="52607E00" w14:textId="39B240A7" w:rsidR="00445A3E" w:rsidRDefault="00445A3E" w:rsidP="00445A3E">
      <w:pPr>
        <w:pStyle w:val="ListParagraph"/>
        <w:numPr>
          <w:ilvl w:val="0"/>
          <w:numId w:val="19"/>
        </w:numPr>
        <w:spacing w:after="0" w:line="360" w:lineRule="auto"/>
        <w:ind w:left="0" w:firstLine="0"/>
        <w:jc w:val="both"/>
        <w:rPr>
          <w:rFonts w:cs="Times New Roman"/>
          <w:sz w:val="28"/>
          <w:szCs w:val="28"/>
        </w:rPr>
      </w:pPr>
      <w:r w:rsidRPr="006D5B07">
        <w:rPr>
          <w:rFonts w:cs="Times New Roman"/>
          <w:sz w:val="28"/>
          <w:szCs w:val="28"/>
        </w:rPr>
        <w:t xml:space="preserve">The liquidators, </w:t>
      </w:r>
      <w:r>
        <w:rPr>
          <w:rFonts w:cs="Times New Roman"/>
          <w:sz w:val="28"/>
          <w:szCs w:val="28"/>
        </w:rPr>
        <w:t xml:space="preserve">with the bank’s </w:t>
      </w:r>
      <w:r w:rsidRPr="006D5B07">
        <w:rPr>
          <w:rFonts w:cs="Times New Roman"/>
          <w:sz w:val="28"/>
          <w:szCs w:val="28"/>
        </w:rPr>
        <w:t>knowledge</w:t>
      </w:r>
      <w:r>
        <w:rPr>
          <w:rFonts w:cs="Times New Roman"/>
          <w:sz w:val="28"/>
          <w:szCs w:val="28"/>
        </w:rPr>
        <w:t>, had taken</w:t>
      </w:r>
      <w:r w:rsidRPr="006D5B07">
        <w:rPr>
          <w:rFonts w:cs="Times New Roman"/>
          <w:sz w:val="28"/>
          <w:szCs w:val="28"/>
        </w:rPr>
        <w:t xml:space="preserve"> decisions on the basis that</w:t>
      </w:r>
      <w:r>
        <w:rPr>
          <w:rFonts w:cs="Times New Roman"/>
          <w:sz w:val="28"/>
          <w:szCs w:val="28"/>
        </w:rPr>
        <w:t xml:space="preserve"> the bank was</w:t>
      </w:r>
      <w:r w:rsidRPr="006D5B07">
        <w:rPr>
          <w:rFonts w:cs="Times New Roman"/>
          <w:sz w:val="28"/>
          <w:szCs w:val="28"/>
        </w:rPr>
        <w:t xml:space="preserve"> a secured creditor and would prove a claim in the compa</w:t>
      </w:r>
      <w:r>
        <w:rPr>
          <w:rFonts w:cs="Times New Roman"/>
          <w:sz w:val="28"/>
          <w:szCs w:val="28"/>
        </w:rPr>
        <w:t>ny’s estate. Had they</w:t>
      </w:r>
      <w:r w:rsidRPr="006D5B07">
        <w:rPr>
          <w:rFonts w:cs="Times New Roman"/>
          <w:sz w:val="28"/>
          <w:szCs w:val="28"/>
        </w:rPr>
        <w:t xml:space="preserve"> known that the bank was not a secured creditor as required by law, they</w:t>
      </w:r>
      <w:r w:rsidR="008A2728">
        <w:rPr>
          <w:rFonts w:cs="Times New Roman"/>
          <w:sz w:val="28"/>
          <w:szCs w:val="28"/>
        </w:rPr>
        <w:t xml:space="preserve"> would not </w:t>
      </w:r>
      <w:r w:rsidRPr="006D5B07">
        <w:rPr>
          <w:rFonts w:cs="Times New Roman"/>
          <w:sz w:val="28"/>
          <w:szCs w:val="28"/>
        </w:rPr>
        <w:t>have allowed it to collect and retain the collected amount.</w:t>
      </w:r>
      <w:r>
        <w:rPr>
          <w:rFonts w:cs="Times New Roman"/>
          <w:sz w:val="28"/>
          <w:szCs w:val="28"/>
        </w:rPr>
        <w:t xml:space="preserve"> The liquidators had to finalise the first liquidation and distribution account in the company’s estate, and were required to deal with the collected amount. There was no legal basis for the bank to retain the collected amount without having proved a claim in the estate. </w:t>
      </w:r>
      <w:r w:rsidR="002C4A1A">
        <w:rPr>
          <w:rFonts w:cs="Times New Roman"/>
          <w:sz w:val="28"/>
          <w:szCs w:val="28"/>
        </w:rPr>
        <w:t>The liquidators thus initially took the position that the bank had not perfected its security prior to the commencement of the winding-up of the company on 15 July 2014. However, the high court’s clear factual finding to the contrary was rightly not challenged before us</w:t>
      </w:r>
      <w:r w:rsidR="00886467">
        <w:rPr>
          <w:rFonts w:cs="Times New Roman"/>
          <w:sz w:val="28"/>
          <w:szCs w:val="28"/>
        </w:rPr>
        <w:t xml:space="preserve"> and the appeal must be determined on the basis that the bank had indeed perfected its security prior to the effective date of the winding-up.</w:t>
      </w:r>
      <w:r w:rsidR="002C4A1A">
        <w:rPr>
          <w:rFonts w:cs="Times New Roman"/>
          <w:sz w:val="28"/>
          <w:szCs w:val="28"/>
        </w:rPr>
        <w:t xml:space="preserve"> </w:t>
      </w:r>
    </w:p>
    <w:p w14:paraId="5ACE999E" w14:textId="77777777" w:rsidR="00445A3E" w:rsidRDefault="00445A3E" w:rsidP="00445A3E">
      <w:pPr>
        <w:pStyle w:val="ListParagraph"/>
        <w:spacing w:after="0" w:line="360" w:lineRule="auto"/>
        <w:ind w:left="0"/>
        <w:jc w:val="both"/>
        <w:rPr>
          <w:rFonts w:cs="Times New Roman"/>
          <w:sz w:val="28"/>
          <w:szCs w:val="28"/>
        </w:rPr>
      </w:pPr>
    </w:p>
    <w:p w14:paraId="42E83783" w14:textId="29DA2085" w:rsidR="00712240" w:rsidRDefault="00712240" w:rsidP="008A2728">
      <w:pPr>
        <w:pStyle w:val="ListParagraph"/>
        <w:numPr>
          <w:ilvl w:val="0"/>
          <w:numId w:val="19"/>
        </w:numPr>
        <w:spacing w:after="0" w:line="360" w:lineRule="auto"/>
        <w:ind w:left="0" w:firstLine="0"/>
        <w:jc w:val="both"/>
        <w:rPr>
          <w:rFonts w:cs="Times New Roman"/>
          <w:sz w:val="28"/>
          <w:szCs w:val="28"/>
        </w:rPr>
      </w:pPr>
      <w:r w:rsidRPr="00E52134">
        <w:rPr>
          <w:rFonts w:cs="Times New Roman"/>
          <w:sz w:val="28"/>
          <w:szCs w:val="28"/>
        </w:rPr>
        <w:t xml:space="preserve">The company raised two further grounds upon which it </w:t>
      </w:r>
      <w:r w:rsidR="005E149A">
        <w:rPr>
          <w:rFonts w:cs="Times New Roman"/>
          <w:sz w:val="28"/>
          <w:szCs w:val="28"/>
        </w:rPr>
        <w:t>claimed to be</w:t>
      </w:r>
      <w:r w:rsidRPr="00E52134">
        <w:rPr>
          <w:rFonts w:cs="Times New Roman"/>
          <w:sz w:val="28"/>
          <w:szCs w:val="28"/>
        </w:rPr>
        <w:t xml:space="preserve"> entitled to </w:t>
      </w:r>
      <w:r w:rsidR="00630E43">
        <w:rPr>
          <w:rFonts w:cs="Times New Roman"/>
          <w:sz w:val="28"/>
          <w:szCs w:val="28"/>
        </w:rPr>
        <w:t>payment of the collected amount</w:t>
      </w:r>
      <w:r w:rsidRPr="00E52134">
        <w:rPr>
          <w:rFonts w:cs="Times New Roman"/>
          <w:sz w:val="28"/>
          <w:szCs w:val="28"/>
        </w:rPr>
        <w:t xml:space="preserve">. The first was based on an alleged breach of an agreement between the parties, </w:t>
      </w:r>
      <w:r>
        <w:rPr>
          <w:rFonts w:cs="Times New Roman"/>
          <w:sz w:val="28"/>
          <w:szCs w:val="28"/>
        </w:rPr>
        <w:t xml:space="preserve">namely </w:t>
      </w:r>
      <w:r w:rsidRPr="00E52134">
        <w:rPr>
          <w:rFonts w:cs="Times New Roman"/>
          <w:sz w:val="28"/>
          <w:szCs w:val="28"/>
        </w:rPr>
        <w:t xml:space="preserve">that </w:t>
      </w:r>
      <w:r w:rsidR="005F273A">
        <w:rPr>
          <w:rFonts w:cs="Times New Roman"/>
          <w:sz w:val="28"/>
          <w:szCs w:val="28"/>
        </w:rPr>
        <w:t xml:space="preserve">in </w:t>
      </w:r>
      <w:r w:rsidRPr="00E52134">
        <w:rPr>
          <w:rFonts w:cs="Times New Roman"/>
          <w:sz w:val="28"/>
          <w:szCs w:val="28"/>
        </w:rPr>
        <w:t xml:space="preserve">the event of the bank not being a secured creditor, it would pay the collected amount to the company, together with interest. The second </w:t>
      </w:r>
      <w:r w:rsidR="00630E43">
        <w:rPr>
          <w:rFonts w:cs="Times New Roman"/>
          <w:sz w:val="28"/>
          <w:szCs w:val="28"/>
        </w:rPr>
        <w:t xml:space="preserve">ground </w:t>
      </w:r>
      <w:r w:rsidRPr="00E52134">
        <w:rPr>
          <w:rFonts w:cs="Times New Roman"/>
          <w:sz w:val="28"/>
          <w:szCs w:val="28"/>
        </w:rPr>
        <w:t xml:space="preserve">was delictual. It was alleged that at the date of the </w:t>
      </w:r>
      <w:bookmarkStart w:id="1" w:name="_Hlk106352393"/>
      <w:r w:rsidRPr="00E52134">
        <w:rPr>
          <w:rFonts w:cs="Times New Roman"/>
          <w:i/>
          <w:sz w:val="28"/>
          <w:szCs w:val="28"/>
        </w:rPr>
        <w:t>concursus creditorum</w:t>
      </w:r>
      <w:bookmarkEnd w:id="1"/>
      <w:r w:rsidRPr="00E52134">
        <w:rPr>
          <w:rFonts w:cs="Times New Roman"/>
          <w:sz w:val="28"/>
          <w:szCs w:val="28"/>
        </w:rPr>
        <w:t xml:space="preserve">, the bank had wilfully or negligently represented to the liquidators that it was a secured creditor and would prove its </w:t>
      </w:r>
      <w:r w:rsidRPr="00E52134">
        <w:rPr>
          <w:rFonts w:cs="Times New Roman"/>
          <w:sz w:val="28"/>
          <w:szCs w:val="28"/>
        </w:rPr>
        <w:lastRenderedPageBreak/>
        <w:t>claim in the winding up of the company. This representation was false and induced the company to act to its prejudice by allowing</w:t>
      </w:r>
      <w:r w:rsidR="005F273A">
        <w:rPr>
          <w:rFonts w:cs="Times New Roman"/>
          <w:sz w:val="28"/>
          <w:szCs w:val="28"/>
        </w:rPr>
        <w:t xml:space="preserve"> the</w:t>
      </w:r>
      <w:r w:rsidRPr="00E52134">
        <w:rPr>
          <w:rFonts w:cs="Times New Roman"/>
          <w:sz w:val="28"/>
          <w:szCs w:val="28"/>
        </w:rPr>
        <w:t xml:space="preserve"> bank to collect and retain the collected amount. However, the company did not persist with these claims on appeal.</w:t>
      </w:r>
    </w:p>
    <w:p w14:paraId="61A672C1" w14:textId="77777777" w:rsidR="00712240" w:rsidRDefault="00712240" w:rsidP="00712240">
      <w:pPr>
        <w:pStyle w:val="ListParagraph"/>
        <w:spacing w:after="0" w:line="360" w:lineRule="auto"/>
        <w:ind w:left="0"/>
        <w:jc w:val="both"/>
        <w:rPr>
          <w:rFonts w:cs="Times New Roman"/>
          <w:sz w:val="28"/>
          <w:szCs w:val="28"/>
        </w:rPr>
      </w:pPr>
    </w:p>
    <w:p w14:paraId="498D51F8" w14:textId="1DADC5D5" w:rsidR="003E72A7" w:rsidRPr="008A2728" w:rsidRDefault="008A2728" w:rsidP="008A2728">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 xml:space="preserve">In </w:t>
      </w:r>
      <w:r w:rsidR="00AB72C0" w:rsidRPr="008A2728">
        <w:rPr>
          <w:rFonts w:cs="Times New Roman"/>
          <w:sz w:val="28"/>
          <w:szCs w:val="20"/>
        </w:rPr>
        <w:t>the high court, an</w:t>
      </w:r>
      <w:r>
        <w:rPr>
          <w:rFonts w:cs="Times New Roman"/>
          <w:sz w:val="28"/>
          <w:szCs w:val="20"/>
        </w:rPr>
        <w:t>d before us, the case was advanced</w:t>
      </w:r>
      <w:r w:rsidR="00AB72C0" w:rsidRPr="008A2728">
        <w:rPr>
          <w:rFonts w:cs="Times New Roman"/>
          <w:sz w:val="28"/>
          <w:szCs w:val="20"/>
        </w:rPr>
        <w:t xml:space="preserve"> on the basis</w:t>
      </w:r>
      <w:r w:rsidR="003C2FA8" w:rsidRPr="008A2728">
        <w:rPr>
          <w:rFonts w:cs="Times New Roman"/>
          <w:sz w:val="28"/>
          <w:szCs w:val="20"/>
        </w:rPr>
        <w:t xml:space="preserve"> that the liquidators had acted </w:t>
      </w:r>
      <w:r w:rsidR="003C2FA8" w:rsidRPr="008A2728">
        <w:rPr>
          <w:rFonts w:cs="Times New Roman"/>
          <w:i/>
          <w:sz w:val="28"/>
          <w:szCs w:val="20"/>
        </w:rPr>
        <w:t>ultra vires</w:t>
      </w:r>
      <w:r w:rsidR="005E149A">
        <w:rPr>
          <w:rFonts w:cs="Times New Roman"/>
          <w:sz w:val="28"/>
          <w:szCs w:val="20"/>
        </w:rPr>
        <w:t xml:space="preserve"> and the bank was consequently enriched</w:t>
      </w:r>
      <w:r w:rsidR="00D9730F">
        <w:rPr>
          <w:rFonts w:cs="Times New Roman"/>
          <w:sz w:val="28"/>
          <w:szCs w:val="20"/>
        </w:rPr>
        <w:t>.</w:t>
      </w:r>
      <w:r w:rsidR="003C2FA8" w:rsidRPr="008A2728">
        <w:rPr>
          <w:rFonts w:cs="Times New Roman"/>
          <w:sz w:val="28"/>
          <w:szCs w:val="20"/>
        </w:rPr>
        <w:t xml:space="preserve"> More </w:t>
      </w:r>
      <w:r w:rsidR="00AB72C0" w:rsidRPr="008A2728">
        <w:rPr>
          <w:rFonts w:cs="Times New Roman"/>
          <w:sz w:val="28"/>
          <w:szCs w:val="20"/>
        </w:rPr>
        <w:t>specifically</w:t>
      </w:r>
      <w:r w:rsidR="003C2FA8" w:rsidRPr="008A2728">
        <w:rPr>
          <w:rFonts w:cs="Times New Roman"/>
          <w:sz w:val="28"/>
          <w:szCs w:val="20"/>
        </w:rPr>
        <w:t>, it was submitted on behalf of the company that</w:t>
      </w:r>
      <w:r w:rsidR="00AB72C0" w:rsidRPr="008A2728">
        <w:rPr>
          <w:rFonts w:cs="Times New Roman"/>
          <w:sz w:val="28"/>
          <w:szCs w:val="20"/>
        </w:rPr>
        <w:t xml:space="preserve"> monies paid by liquidators in error or outside their powers, may be recovered with the </w:t>
      </w:r>
      <w:r w:rsidR="00AB72C0" w:rsidRPr="008A2728">
        <w:rPr>
          <w:rFonts w:cs="Times New Roman"/>
          <w:i/>
          <w:sz w:val="28"/>
          <w:szCs w:val="20"/>
        </w:rPr>
        <w:t>condictio indebiti</w:t>
      </w:r>
      <w:r w:rsidR="00630E43">
        <w:rPr>
          <w:rFonts w:cs="Times New Roman"/>
          <w:sz w:val="28"/>
          <w:szCs w:val="20"/>
        </w:rPr>
        <w:t xml:space="preserve"> or </w:t>
      </w:r>
      <w:r w:rsidR="00AB72C0" w:rsidRPr="008A2728">
        <w:rPr>
          <w:rFonts w:cs="Times New Roman"/>
          <w:sz w:val="28"/>
          <w:szCs w:val="20"/>
        </w:rPr>
        <w:t xml:space="preserve">the </w:t>
      </w:r>
      <w:r w:rsidR="00AB72C0" w:rsidRPr="008A2728">
        <w:rPr>
          <w:rFonts w:cs="Times New Roman"/>
          <w:i/>
          <w:sz w:val="28"/>
          <w:szCs w:val="20"/>
        </w:rPr>
        <w:t>condictio sine causa</w:t>
      </w:r>
      <w:r w:rsidR="005E149A">
        <w:rPr>
          <w:rFonts w:cs="Times New Roman"/>
          <w:sz w:val="28"/>
          <w:szCs w:val="20"/>
        </w:rPr>
        <w:t xml:space="preserve">. </w:t>
      </w:r>
      <w:r w:rsidR="00D9730F">
        <w:rPr>
          <w:rFonts w:cs="Times New Roman"/>
          <w:sz w:val="28"/>
          <w:szCs w:val="20"/>
        </w:rPr>
        <w:t xml:space="preserve">It was </w:t>
      </w:r>
      <w:r w:rsidR="00F865CE">
        <w:rPr>
          <w:rFonts w:cs="Times New Roman"/>
          <w:sz w:val="28"/>
          <w:szCs w:val="20"/>
        </w:rPr>
        <w:t>contended</w:t>
      </w:r>
      <w:r w:rsidR="00E6465F" w:rsidRPr="008A2728">
        <w:rPr>
          <w:rFonts w:cs="Times New Roman"/>
          <w:sz w:val="28"/>
          <w:szCs w:val="20"/>
        </w:rPr>
        <w:t xml:space="preserve"> that the acts </w:t>
      </w:r>
      <w:r>
        <w:rPr>
          <w:rFonts w:cs="Times New Roman"/>
          <w:sz w:val="28"/>
          <w:szCs w:val="20"/>
        </w:rPr>
        <w:t xml:space="preserve">of the liquidators were inconsistent with </w:t>
      </w:r>
      <w:r w:rsidR="00E6465F" w:rsidRPr="008A2728">
        <w:rPr>
          <w:rFonts w:cs="Times New Roman"/>
          <w:sz w:val="28"/>
          <w:szCs w:val="20"/>
        </w:rPr>
        <w:t>s</w:t>
      </w:r>
      <w:r w:rsidR="00630E43">
        <w:rPr>
          <w:rFonts w:cs="Times New Roman"/>
          <w:sz w:val="28"/>
          <w:szCs w:val="20"/>
        </w:rPr>
        <w:t> </w:t>
      </w:r>
      <w:r w:rsidR="00E6465F" w:rsidRPr="008A2728">
        <w:rPr>
          <w:rFonts w:cs="Times New Roman"/>
          <w:sz w:val="28"/>
          <w:szCs w:val="20"/>
        </w:rPr>
        <w:t xml:space="preserve">44 and s 83(10) of the Insolvency Act. </w:t>
      </w:r>
      <w:r w:rsidR="00CB6CA7" w:rsidRPr="008A2728">
        <w:rPr>
          <w:rFonts w:cs="Times New Roman"/>
          <w:sz w:val="28"/>
          <w:szCs w:val="28"/>
        </w:rPr>
        <w:t xml:space="preserve"> </w:t>
      </w:r>
    </w:p>
    <w:p w14:paraId="4D8E7A99" w14:textId="77777777" w:rsidR="00FC56CC" w:rsidRPr="00FC56CC" w:rsidRDefault="00FC56CC" w:rsidP="00FC56CC">
      <w:pPr>
        <w:pStyle w:val="ListParagraph"/>
        <w:spacing w:after="0" w:line="360" w:lineRule="auto"/>
        <w:ind w:left="0"/>
        <w:jc w:val="both"/>
        <w:rPr>
          <w:rFonts w:cs="Times New Roman"/>
          <w:b/>
          <w:sz w:val="28"/>
          <w:szCs w:val="28"/>
        </w:rPr>
      </w:pPr>
    </w:p>
    <w:p w14:paraId="6E0221CF" w14:textId="4EF04AA7" w:rsidR="00E37D45" w:rsidRDefault="00CB6CA7" w:rsidP="00E37D45">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The high court (Dippenaar J) dismissed the application with costs</w:t>
      </w:r>
      <w:r w:rsidR="00DF5942">
        <w:rPr>
          <w:rFonts w:cs="Times New Roman"/>
          <w:sz w:val="28"/>
          <w:szCs w:val="28"/>
        </w:rPr>
        <w:t>, including the costs of two counsel</w:t>
      </w:r>
      <w:r>
        <w:rPr>
          <w:rFonts w:cs="Times New Roman"/>
          <w:sz w:val="28"/>
          <w:szCs w:val="28"/>
        </w:rPr>
        <w:t>. It</w:t>
      </w:r>
      <w:r w:rsidR="00D64F7C">
        <w:rPr>
          <w:rFonts w:cs="Times New Roman"/>
          <w:sz w:val="28"/>
          <w:szCs w:val="28"/>
        </w:rPr>
        <w:t>s main findings may be summarised as follows.</w:t>
      </w:r>
      <w:r w:rsidR="00D504E1">
        <w:rPr>
          <w:rFonts w:cs="Times New Roman"/>
          <w:sz w:val="28"/>
          <w:szCs w:val="28"/>
        </w:rPr>
        <w:t xml:space="preserve"> The sale of the assets was effected outside the estate of the company, with the sanction of the Master. </w:t>
      </w:r>
      <w:r w:rsidR="00FA5AF1">
        <w:rPr>
          <w:rFonts w:cs="Times New Roman"/>
          <w:sz w:val="28"/>
          <w:szCs w:val="28"/>
        </w:rPr>
        <w:t>The</w:t>
      </w:r>
      <w:r w:rsidR="00D504E1">
        <w:rPr>
          <w:rFonts w:cs="Times New Roman"/>
          <w:sz w:val="28"/>
          <w:szCs w:val="28"/>
        </w:rPr>
        <w:t xml:space="preserve"> company was seeking to receive, and not recover, the purchase price of the assets (R100 million) paid to the bank. </w:t>
      </w:r>
      <w:r w:rsidR="0036708E">
        <w:rPr>
          <w:rFonts w:cs="Times New Roman"/>
          <w:sz w:val="28"/>
          <w:szCs w:val="28"/>
        </w:rPr>
        <w:t xml:space="preserve">Neither the </w:t>
      </w:r>
      <w:r w:rsidR="002062F3">
        <w:rPr>
          <w:rFonts w:cs="Times New Roman"/>
          <w:sz w:val="28"/>
          <w:szCs w:val="28"/>
        </w:rPr>
        <w:t xml:space="preserve">payment </w:t>
      </w:r>
      <w:r w:rsidR="00D504E1">
        <w:rPr>
          <w:rFonts w:cs="Times New Roman"/>
          <w:sz w:val="28"/>
          <w:szCs w:val="28"/>
        </w:rPr>
        <w:t xml:space="preserve">of that amount </w:t>
      </w:r>
      <w:r w:rsidR="002062F3">
        <w:rPr>
          <w:rFonts w:cs="Times New Roman"/>
          <w:sz w:val="28"/>
          <w:szCs w:val="28"/>
        </w:rPr>
        <w:t xml:space="preserve">to the bank </w:t>
      </w:r>
      <w:r w:rsidR="0036708E">
        <w:rPr>
          <w:rFonts w:cs="Times New Roman"/>
          <w:sz w:val="28"/>
          <w:szCs w:val="28"/>
        </w:rPr>
        <w:t xml:space="preserve">nor </w:t>
      </w:r>
      <w:r w:rsidR="002062F3">
        <w:rPr>
          <w:rFonts w:cs="Times New Roman"/>
          <w:sz w:val="28"/>
          <w:szCs w:val="28"/>
        </w:rPr>
        <w:t xml:space="preserve">the conduct of the liquidators </w:t>
      </w:r>
      <w:r w:rsidR="0036708E">
        <w:rPr>
          <w:rFonts w:cs="Times New Roman"/>
          <w:sz w:val="28"/>
          <w:szCs w:val="28"/>
        </w:rPr>
        <w:t xml:space="preserve">was </w:t>
      </w:r>
      <w:r w:rsidR="002062F3">
        <w:rPr>
          <w:rFonts w:cs="Times New Roman"/>
          <w:sz w:val="28"/>
          <w:szCs w:val="28"/>
        </w:rPr>
        <w:t xml:space="preserve">unlawful. </w:t>
      </w:r>
      <w:r w:rsidR="00D504E1">
        <w:rPr>
          <w:rFonts w:cs="Times New Roman"/>
          <w:sz w:val="28"/>
          <w:szCs w:val="28"/>
        </w:rPr>
        <w:t>T</w:t>
      </w:r>
      <w:r w:rsidR="002062F3">
        <w:rPr>
          <w:rFonts w:cs="Times New Roman"/>
          <w:sz w:val="28"/>
          <w:szCs w:val="28"/>
        </w:rPr>
        <w:t xml:space="preserve">he </w:t>
      </w:r>
      <w:r w:rsidR="00074910">
        <w:rPr>
          <w:rFonts w:cs="Times New Roman"/>
          <w:sz w:val="28"/>
          <w:szCs w:val="28"/>
        </w:rPr>
        <w:t xml:space="preserve">principle in </w:t>
      </w:r>
      <w:r w:rsidR="00FA5AF1" w:rsidRPr="00074910">
        <w:rPr>
          <w:rFonts w:cs="Times New Roman"/>
          <w:i/>
          <w:sz w:val="28"/>
          <w:szCs w:val="28"/>
        </w:rPr>
        <w:t>Bowman</w:t>
      </w:r>
      <w:r w:rsidR="004007DE">
        <w:rPr>
          <w:rFonts w:cs="Times New Roman"/>
          <w:sz w:val="28"/>
          <w:szCs w:val="28"/>
        </w:rPr>
        <w:t>,</w:t>
      </w:r>
      <w:r w:rsidR="00FA5AF1">
        <w:rPr>
          <w:rStyle w:val="FootnoteReference"/>
          <w:rFonts w:cs="Times New Roman"/>
          <w:sz w:val="28"/>
          <w:szCs w:val="28"/>
        </w:rPr>
        <w:footnoteReference w:id="1"/>
      </w:r>
      <w:r w:rsidR="004007DE">
        <w:rPr>
          <w:rFonts w:cs="Times New Roman"/>
          <w:sz w:val="28"/>
          <w:szCs w:val="28"/>
        </w:rPr>
        <w:t xml:space="preserve"> </w:t>
      </w:r>
      <w:r w:rsidR="00FA5AF1">
        <w:rPr>
          <w:rFonts w:cs="Times New Roman"/>
          <w:sz w:val="28"/>
          <w:szCs w:val="28"/>
        </w:rPr>
        <w:t>that a</w:t>
      </w:r>
      <w:r w:rsidR="00074910">
        <w:rPr>
          <w:rFonts w:cs="Times New Roman"/>
          <w:sz w:val="28"/>
          <w:szCs w:val="28"/>
        </w:rPr>
        <w:t>n ultra vires</w:t>
      </w:r>
      <w:r w:rsidR="00FA5AF1">
        <w:rPr>
          <w:rFonts w:cs="Times New Roman"/>
          <w:sz w:val="28"/>
          <w:szCs w:val="28"/>
        </w:rPr>
        <w:t xml:space="preserve"> payment </w:t>
      </w:r>
      <w:r w:rsidR="00074910">
        <w:rPr>
          <w:rFonts w:cs="Times New Roman"/>
          <w:sz w:val="28"/>
          <w:szCs w:val="28"/>
        </w:rPr>
        <w:t xml:space="preserve">by a liquidator </w:t>
      </w:r>
      <w:r w:rsidR="00630E43">
        <w:rPr>
          <w:rFonts w:cs="Times New Roman"/>
          <w:sz w:val="28"/>
          <w:szCs w:val="28"/>
        </w:rPr>
        <w:t>may</w:t>
      </w:r>
      <w:r w:rsidR="00074910">
        <w:rPr>
          <w:rFonts w:cs="Times New Roman"/>
          <w:sz w:val="28"/>
          <w:szCs w:val="28"/>
        </w:rPr>
        <w:t xml:space="preserve"> be recovered with the </w:t>
      </w:r>
      <w:r w:rsidR="00074910" w:rsidRPr="00074910">
        <w:rPr>
          <w:rFonts w:cs="Times New Roman"/>
          <w:i/>
          <w:sz w:val="28"/>
          <w:szCs w:val="28"/>
        </w:rPr>
        <w:t>condictio indebiti</w:t>
      </w:r>
      <w:r w:rsidR="00074910">
        <w:rPr>
          <w:rFonts w:cs="Times New Roman"/>
          <w:sz w:val="28"/>
          <w:szCs w:val="28"/>
        </w:rPr>
        <w:t xml:space="preserve"> or the </w:t>
      </w:r>
      <w:r w:rsidR="00074910" w:rsidRPr="00074910">
        <w:rPr>
          <w:rFonts w:cs="Times New Roman"/>
          <w:i/>
          <w:sz w:val="28"/>
          <w:szCs w:val="28"/>
        </w:rPr>
        <w:t>condictio sine causa</w:t>
      </w:r>
      <w:r w:rsidR="00074910">
        <w:rPr>
          <w:rFonts w:cs="Times New Roman"/>
          <w:sz w:val="28"/>
          <w:szCs w:val="28"/>
        </w:rPr>
        <w:t xml:space="preserve"> was inapplicable, since </w:t>
      </w:r>
      <w:r w:rsidR="00CB02E2">
        <w:rPr>
          <w:rFonts w:cs="Times New Roman"/>
          <w:sz w:val="28"/>
          <w:szCs w:val="28"/>
        </w:rPr>
        <w:t xml:space="preserve">in that case </w:t>
      </w:r>
      <w:r w:rsidR="00870E3D">
        <w:rPr>
          <w:rFonts w:cs="Times New Roman"/>
          <w:sz w:val="28"/>
          <w:szCs w:val="28"/>
        </w:rPr>
        <w:t xml:space="preserve">the Master </w:t>
      </w:r>
      <w:r w:rsidR="00CB02E2">
        <w:rPr>
          <w:rFonts w:cs="Times New Roman"/>
          <w:sz w:val="28"/>
          <w:szCs w:val="28"/>
        </w:rPr>
        <w:t xml:space="preserve">had not authorised </w:t>
      </w:r>
      <w:r w:rsidR="00870E3D">
        <w:rPr>
          <w:rFonts w:cs="Times New Roman"/>
          <w:sz w:val="28"/>
          <w:szCs w:val="28"/>
        </w:rPr>
        <w:t>the sale of an insolvent’s assets in specific terms</w:t>
      </w:r>
      <w:r w:rsidR="00CB02E2">
        <w:rPr>
          <w:rFonts w:cs="Times New Roman"/>
          <w:sz w:val="28"/>
          <w:szCs w:val="28"/>
        </w:rPr>
        <w:t>.</w:t>
      </w:r>
      <w:r w:rsidR="00870E3D">
        <w:rPr>
          <w:rFonts w:cs="Times New Roman"/>
          <w:sz w:val="28"/>
          <w:szCs w:val="28"/>
        </w:rPr>
        <w:t xml:space="preserve"> </w:t>
      </w:r>
      <w:r w:rsidR="00E37D45">
        <w:rPr>
          <w:rFonts w:cs="Times New Roman"/>
          <w:sz w:val="28"/>
          <w:szCs w:val="28"/>
        </w:rPr>
        <w:t>The validity of the Master’s consent to the sale of the company’s assets</w:t>
      </w:r>
      <w:r w:rsidR="00CB02E2">
        <w:rPr>
          <w:rFonts w:cs="Times New Roman"/>
          <w:sz w:val="28"/>
          <w:szCs w:val="28"/>
        </w:rPr>
        <w:t xml:space="preserve"> could not be decided</w:t>
      </w:r>
      <w:r w:rsidR="00E37D45">
        <w:rPr>
          <w:rFonts w:cs="Times New Roman"/>
          <w:sz w:val="28"/>
          <w:szCs w:val="28"/>
        </w:rPr>
        <w:t xml:space="preserve"> without an application to review and set aside that decision.</w:t>
      </w:r>
      <w:r w:rsidR="00F865CE">
        <w:rPr>
          <w:rFonts w:cs="Times New Roman"/>
          <w:sz w:val="28"/>
          <w:szCs w:val="28"/>
        </w:rPr>
        <w:t xml:space="preserve"> The high court </w:t>
      </w:r>
      <w:r w:rsidR="0046260A">
        <w:rPr>
          <w:rFonts w:cs="Times New Roman"/>
          <w:sz w:val="28"/>
          <w:szCs w:val="28"/>
        </w:rPr>
        <w:t>also held that the bank had</w:t>
      </w:r>
      <w:r w:rsidR="00DF5942">
        <w:rPr>
          <w:rFonts w:cs="Times New Roman"/>
          <w:sz w:val="28"/>
          <w:szCs w:val="28"/>
        </w:rPr>
        <w:t>,</w:t>
      </w:r>
      <w:r w:rsidR="0046260A">
        <w:rPr>
          <w:rFonts w:cs="Times New Roman"/>
          <w:sz w:val="28"/>
          <w:szCs w:val="28"/>
        </w:rPr>
        <w:t xml:space="preserve"> in any event</w:t>
      </w:r>
      <w:r w:rsidR="00DF5942">
        <w:rPr>
          <w:rFonts w:cs="Times New Roman"/>
          <w:sz w:val="28"/>
          <w:szCs w:val="28"/>
        </w:rPr>
        <w:t xml:space="preserve">, </w:t>
      </w:r>
      <w:r w:rsidR="0046260A">
        <w:rPr>
          <w:rFonts w:cs="Times New Roman"/>
          <w:sz w:val="28"/>
          <w:szCs w:val="28"/>
        </w:rPr>
        <w:t>not been enriched</w:t>
      </w:r>
      <w:r w:rsidR="00B2007F">
        <w:rPr>
          <w:rFonts w:cs="Times New Roman"/>
          <w:sz w:val="28"/>
          <w:szCs w:val="28"/>
        </w:rPr>
        <w:t>.</w:t>
      </w:r>
    </w:p>
    <w:p w14:paraId="62D8076C" w14:textId="77777777" w:rsidR="00E37D45" w:rsidRDefault="00E37D45" w:rsidP="00E37D45">
      <w:pPr>
        <w:pStyle w:val="ListParagraph"/>
        <w:spacing w:after="0" w:line="360" w:lineRule="auto"/>
        <w:ind w:left="0"/>
        <w:jc w:val="both"/>
        <w:rPr>
          <w:rFonts w:cs="Times New Roman"/>
          <w:sz w:val="28"/>
          <w:szCs w:val="28"/>
        </w:rPr>
      </w:pPr>
    </w:p>
    <w:p w14:paraId="14A19294" w14:textId="2F4618CA" w:rsidR="00712240" w:rsidRDefault="00712240" w:rsidP="00712240">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lastRenderedPageBreak/>
        <w:t>The finding that</w:t>
      </w:r>
      <w:r w:rsidR="00937A8E">
        <w:rPr>
          <w:rFonts w:cs="Times New Roman"/>
          <w:sz w:val="28"/>
          <w:szCs w:val="28"/>
        </w:rPr>
        <w:t xml:space="preserve"> the payment </w:t>
      </w:r>
      <w:r w:rsidR="00195A18">
        <w:rPr>
          <w:rFonts w:cs="Times New Roman"/>
          <w:sz w:val="28"/>
          <w:szCs w:val="28"/>
        </w:rPr>
        <w:t xml:space="preserve">to the bank </w:t>
      </w:r>
      <w:r w:rsidR="00937A8E">
        <w:rPr>
          <w:rFonts w:cs="Times New Roman"/>
          <w:sz w:val="28"/>
          <w:szCs w:val="28"/>
        </w:rPr>
        <w:t>of the proceeds of</w:t>
      </w:r>
      <w:r>
        <w:rPr>
          <w:rFonts w:cs="Times New Roman"/>
          <w:sz w:val="28"/>
          <w:szCs w:val="28"/>
        </w:rPr>
        <w:t xml:space="preserve"> the sale of the insolvent company’s assets</w:t>
      </w:r>
      <w:r w:rsidR="00195A18">
        <w:rPr>
          <w:rFonts w:cs="Times New Roman"/>
          <w:sz w:val="28"/>
          <w:szCs w:val="28"/>
        </w:rPr>
        <w:t>,</w:t>
      </w:r>
      <w:r>
        <w:rPr>
          <w:rFonts w:cs="Times New Roman"/>
          <w:sz w:val="28"/>
          <w:szCs w:val="28"/>
        </w:rPr>
        <w:t xml:space="preserve"> was ‘effected outside the estate’ with the sanction of the Master, has no basis in the evidence. The Master did no more than authorise the sale of the company’s assets. Tha</w:t>
      </w:r>
      <w:r w:rsidR="00353F17">
        <w:rPr>
          <w:rFonts w:cs="Times New Roman"/>
          <w:sz w:val="28"/>
          <w:szCs w:val="28"/>
        </w:rPr>
        <w:t>t much is clear from the facts which the liquidators placed before the Master in support of the application for permission to accept the West Lake offer</w:t>
      </w:r>
      <w:r w:rsidR="00937A8E">
        <w:rPr>
          <w:rFonts w:cs="Times New Roman"/>
          <w:sz w:val="28"/>
          <w:szCs w:val="28"/>
        </w:rPr>
        <w:t>, as well as the terms of the Master’s authorisation</w:t>
      </w:r>
      <w:r w:rsidR="00376620">
        <w:rPr>
          <w:rFonts w:cs="Times New Roman"/>
          <w:sz w:val="28"/>
          <w:szCs w:val="28"/>
        </w:rPr>
        <w:t>.</w:t>
      </w:r>
      <w:r w:rsidR="00353F17">
        <w:rPr>
          <w:rFonts w:cs="Times New Roman"/>
          <w:sz w:val="28"/>
          <w:szCs w:val="28"/>
        </w:rPr>
        <w:t xml:space="preserve"> </w:t>
      </w:r>
    </w:p>
    <w:p w14:paraId="1580F12A" w14:textId="77777777" w:rsidR="00712240" w:rsidRDefault="00712240" w:rsidP="00712240">
      <w:pPr>
        <w:pStyle w:val="ListParagraph"/>
        <w:spacing w:after="0" w:line="360" w:lineRule="auto"/>
        <w:ind w:left="0"/>
        <w:jc w:val="both"/>
        <w:rPr>
          <w:rFonts w:cs="Times New Roman"/>
          <w:sz w:val="28"/>
          <w:szCs w:val="28"/>
        </w:rPr>
      </w:pPr>
    </w:p>
    <w:p w14:paraId="26B6B3EB" w14:textId="1BC03319" w:rsidR="00353F17" w:rsidRPr="004D1483" w:rsidRDefault="00712240" w:rsidP="004D1483">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 xml:space="preserve"> </w:t>
      </w:r>
      <w:r w:rsidR="00353F17">
        <w:rPr>
          <w:rFonts w:cs="Times New Roman"/>
          <w:sz w:val="28"/>
          <w:szCs w:val="28"/>
        </w:rPr>
        <w:t xml:space="preserve">The </w:t>
      </w:r>
      <w:r>
        <w:rPr>
          <w:rFonts w:cs="Times New Roman"/>
          <w:sz w:val="28"/>
          <w:szCs w:val="28"/>
        </w:rPr>
        <w:t xml:space="preserve">liquidators informed the Master </w:t>
      </w:r>
      <w:r w:rsidR="00353F17">
        <w:rPr>
          <w:rFonts w:cs="Times New Roman"/>
          <w:sz w:val="28"/>
          <w:szCs w:val="28"/>
        </w:rPr>
        <w:t xml:space="preserve">that </w:t>
      </w:r>
      <w:r w:rsidR="00954F0E">
        <w:rPr>
          <w:rFonts w:cs="Times New Roman"/>
          <w:sz w:val="28"/>
          <w:szCs w:val="28"/>
        </w:rPr>
        <w:t xml:space="preserve">the </w:t>
      </w:r>
      <w:r>
        <w:rPr>
          <w:rFonts w:cs="Times New Roman"/>
          <w:sz w:val="28"/>
          <w:szCs w:val="28"/>
        </w:rPr>
        <w:t>bank was a secured creditor which had perfected its notarial bond over the assets. The West Lake offer of R100 million was for all the stock and assets of the company at all its branches. The liquidators attached a desktop valuation of the assets s</w:t>
      </w:r>
      <w:r w:rsidRPr="003606CB">
        <w:rPr>
          <w:rFonts w:cs="Times New Roman"/>
          <w:sz w:val="28"/>
          <w:szCs w:val="28"/>
        </w:rPr>
        <w:t>howing a forced-sale value of R65 million, and said that acceptance of the offer would benefit all the creditors.</w:t>
      </w:r>
      <w:r>
        <w:rPr>
          <w:rFonts w:cs="Times New Roman"/>
          <w:sz w:val="28"/>
          <w:szCs w:val="28"/>
        </w:rPr>
        <w:t xml:space="preserve"> The company had some 800 employees and West Lake had undertaken to attend to </w:t>
      </w:r>
      <w:r w:rsidR="00717BE8">
        <w:rPr>
          <w:rFonts w:cs="Times New Roman"/>
          <w:sz w:val="28"/>
          <w:szCs w:val="28"/>
        </w:rPr>
        <w:t xml:space="preserve">the </w:t>
      </w:r>
      <w:r>
        <w:rPr>
          <w:rFonts w:cs="Times New Roman"/>
          <w:sz w:val="28"/>
          <w:szCs w:val="28"/>
        </w:rPr>
        <w:t>labour relations issues. A</w:t>
      </w:r>
      <w:r w:rsidRPr="003606CB">
        <w:rPr>
          <w:rFonts w:cs="Times New Roman"/>
          <w:sz w:val="28"/>
          <w:szCs w:val="28"/>
        </w:rPr>
        <w:t xml:space="preserve">cceptance of the offer </w:t>
      </w:r>
      <w:r>
        <w:rPr>
          <w:rFonts w:cs="Times New Roman"/>
          <w:sz w:val="28"/>
          <w:szCs w:val="28"/>
        </w:rPr>
        <w:t>would increase the dividend; avert any auctioneer’s commission, advertising costs and the liquidators’ administrative expenses; and release the insolvent estate from monthly expenses in respect of rent, insurance and security, which the liquidators would have had to pay until the estate was wound-up</w:t>
      </w:r>
      <w:r w:rsidR="005E5537">
        <w:rPr>
          <w:rFonts w:cs="Times New Roman"/>
          <w:sz w:val="28"/>
          <w:szCs w:val="28"/>
        </w:rPr>
        <w:t xml:space="preserve">. </w:t>
      </w:r>
      <w:r w:rsidR="00353F17" w:rsidRPr="004D1483">
        <w:rPr>
          <w:rFonts w:cs="Times New Roman"/>
          <w:sz w:val="28"/>
          <w:szCs w:val="28"/>
        </w:rPr>
        <w:t xml:space="preserve">For these reasons, the Master authorised the sale and extended the powers of the liquidators. On the facts, it cannot be suggested that the Master authorised </w:t>
      </w:r>
      <w:r w:rsidR="00960A76" w:rsidRPr="004D1483">
        <w:rPr>
          <w:rFonts w:cs="Times New Roman"/>
          <w:sz w:val="28"/>
          <w:szCs w:val="28"/>
        </w:rPr>
        <w:t xml:space="preserve">payment of the proceeds of </w:t>
      </w:r>
      <w:r w:rsidR="00353F17" w:rsidRPr="004D1483">
        <w:rPr>
          <w:rFonts w:cs="Times New Roman"/>
          <w:sz w:val="28"/>
          <w:szCs w:val="28"/>
        </w:rPr>
        <w:t>the sale of the company’s assets to</w:t>
      </w:r>
      <w:r w:rsidR="00960A76" w:rsidRPr="004D1483">
        <w:rPr>
          <w:rFonts w:cs="Times New Roman"/>
          <w:sz w:val="28"/>
          <w:szCs w:val="28"/>
        </w:rPr>
        <w:t xml:space="preserve"> the bank</w:t>
      </w:r>
      <w:r w:rsidR="00353F17" w:rsidRPr="004D1483">
        <w:rPr>
          <w:rFonts w:cs="Times New Roman"/>
          <w:sz w:val="28"/>
          <w:szCs w:val="28"/>
        </w:rPr>
        <w:t>, outside the estate and the principles of insolvency law.</w:t>
      </w:r>
    </w:p>
    <w:p w14:paraId="4A2103D4" w14:textId="77777777" w:rsidR="00353F17" w:rsidRDefault="00353F17" w:rsidP="00353F17">
      <w:pPr>
        <w:pStyle w:val="ListParagraph"/>
        <w:spacing w:after="0" w:line="360" w:lineRule="auto"/>
        <w:ind w:left="0"/>
        <w:jc w:val="both"/>
        <w:rPr>
          <w:rFonts w:cs="Times New Roman"/>
          <w:sz w:val="28"/>
          <w:szCs w:val="28"/>
        </w:rPr>
      </w:pPr>
    </w:p>
    <w:p w14:paraId="6F9CC477" w14:textId="50B9BCA9" w:rsidR="00682C14" w:rsidRDefault="00353F17" w:rsidP="00712240">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 xml:space="preserve"> </w:t>
      </w:r>
      <w:r w:rsidR="00977E4A">
        <w:rPr>
          <w:rFonts w:cs="Times New Roman"/>
          <w:sz w:val="28"/>
          <w:szCs w:val="28"/>
        </w:rPr>
        <w:t xml:space="preserve">Counsel for the company, on the authority of </w:t>
      </w:r>
      <w:r w:rsidR="00977E4A" w:rsidRPr="00977E4A">
        <w:rPr>
          <w:rFonts w:cs="Times New Roman"/>
          <w:i/>
          <w:sz w:val="28"/>
          <w:szCs w:val="28"/>
        </w:rPr>
        <w:t>Bowman</w:t>
      </w:r>
      <w:r w:rsidR="00977E4A">
        <w:rPr>
          <w:rFonts w:cs="Times New Roman"/>
          <w:sz w:val="28"/>
          <w:szCs w:val="28"/>
        </w:rPr>
        <w:t>,</w:t>
      </w:r>
      <w:r w:rsidR="00717BE8">
        <w:rPr>
          <w:rStyle w:val="FootnoteReference"/>
          <w:rFonts w:cs="Times New Roman"/>
          <w:sz w:val="28"/>
          <w:szCs w:val="28"/>
        </w:rPr>
        <w:footnoteReference w:id="2"/>
      </w:r>
      <w:r w:rsidR="00202FD8">
        <w:rPr>
          <w:rFonts w:cs="Times New Roman"/>
          <w:sz w:val="28"/>
          <w:szCs w:val="28"/>
        </w:rPr>
        <w:t xml:space="preserve"> </w:t>
      </w:r>
      <w:r w:rsidR="00977E4A">
        <w:rPr>
          <w:rFonts w:cs="Times New Roman"/>
          <w:sz w:val="28"/>
          <w:szCs w:val="28"/>
        </w:rPr>
        <w:t>submitted that it was entitled to repayment of the collected amount</w:t>
      </w:r>
      <w:r w:rsidR="00682C14">
        <w:rPr>
          <w:rFonts w:cs="Times New Roman"/>
          <w:sz w:val="28"/>
          <w:szCs w:val="28"/>
        </w:rPr>
        <w:t>.</w:t>
      </w:r>
      <w:r w:rsidR="00682C14" w:rsidRPr="00682C14">
        <w:rPr>
          <w:rFonts w:cs="Times New Roman"/>
          <w:sz w:val="28"/>
          <w:szCs w:val="28"/>
        </w:rPr>
        <w:t xml:space="preserve"> </w:t>
      </w:r>
      <w:r w:rsidR="00682C14">
        <w:rPr>
          <w:rFonts w:cs="Times New Roman"/>
          <w:sz w:val="28"/>
          <w:szCs w:val="28"/>
        </w:rPr>
        <w:t xml:space="preserve">In </w:t>
      </w:r>
      <w:r w:rsidR="00682C14" w:rsidRPr="00182E4A">
        <w:rPr>
          <w:rFonts w:cs="Times New Roman"/>
          <w:i/>
          <w:sz w:val="28"/>
          <w:szCs w:val="28"/>
        </w:rPr>
        <w:t>Bowman</w:t>
      </w:r>
      <w:r w:rsidR="00682C14">
        <w:rPr>
          <w:rFonts w:cs="Times New Roman"/>
          <w:sz w:val="28"/>
          <w:szCs w:val="28"/>
        </w:rPr>
        <w:t xml:space="preserve"> this Court approved the judgment in </w:t>
      </w:r>
      <w:r w:rsidR="00682C14" w:rsidRPr="00182E4A">
        <w:rPr>
          <w:rFonts w:cs="Times New Roman"/>
          <w:i/>
          <w:sz w:val="28"/>
          <w:szCs w:val="28"/>
        </w:rPr>
        <w:t>Van Wijk’s Trustee</w:t>
      </w:r>
      <w:r w:rsidR="00682C14">
        <w:rPr>
          <w:rFonts w:cs="Times New Roman"/>
          <w:sz w:val="28"/>
          <w:szCs w:val="28"/>
        </w:rPr>
        <w:t>,</w:t>
      </w:r>
      <w:r w:rsidR="00682C14">
        <w:rPr>
          <w:rStyle w:val="FootnoteReference"/>
          <w:rFonts w:cs="Times New Roman"/>
          <w:sz w:val="28"/>
          <w:szCs w:val="28"/>
        </w:rPr>
        <w:footnoteReference w:id="3"/>
      </w:r>
      <w:r w:rsidR="00682C14">
        <w:rPr>
          <w:rFonts w:cs="Times New Roman"/>
          <w:sz w:val="28"/>
          <w:szCs w:val="28"/>
        </w:rPr>
        <w:t xml:space="preserve"> in which it was held that if an heir or executor in violation of his duty pays a creditor whose claim should have been </w:t>
      </w:r>
      <w:r w:rsidR="00682C14">
        <w:rPr>
          <w:rFonts w:cs="Times New Roman"/>
          <w:sz w:val="28"/>
          <w:szCs w:val="28"/>
        </w:rPr>
        <w:lastRenderedPageBreak/>
        <w:t>postponed, it is not contrary to any principle of law that the estate through the executor or the trustee is entitled to recover what has been improperly paid</w:t>
      </w:r>
      <w:r w:rsidR="0036296A">
        <w:rPr>
          <w:rFonts w:cs="Times New Roman"/>
          <w:sz w:val="28"/>
          <w:szCs w:val="28"/>
        </w:rPr>
        <w:t>,</w:t>
      </w:r>
      <w:r w:rsidR="00682C14">
        <w:rPr>
          <w:rFonts w:cs="Times New Roman"/>
          <w:sz w:val="28"/>
          <w:szCs w:val="28"/>
        </w:rPr>
        <w:t xml:space="preserve"> by way of the </w:t>
      </w:r>
      <w:r w:rsidR="00682C14" w:rsidRPr="004A2C75">
        <w:rPr>
          <w:rFonts w:cs="Times New Roman"/>
          <w:i/>
          <w:sz w:val="28"/>
          <w:szCs w:val="28"/>
        </w:rPr>
        <w:t>condictio indebiti</w:t>
      </w:r>
      <w:r w:rsidR="00682C14">
        <w:rPr>
          <w:rFonts w:cs="Times New Roman"/>
          <w:sz w:val="28"/>
          <w:szCs w:val="28"/>
        </w:rPr>
        <w:t xml:space="preserve">. Harms JA said that an </w:t>
      </w:r>
      <w:r w:rsidR="00682C14" w:rsidRPr="00C8037E">
        <w:rPr>
          <w:rFonts w:cs="Times New Roman"/>
          <w:i/>
          <w:sz w:val="28"/>
          <w:szCs w:val="28"/>
        </w:rPr>
        <w:t>ultra vires</w:t>
      </w:r>
      <w:r w:rsidR="00682C14">
        <w:rPr>
          <w:rFonts w:cs="Times New Roman"/>
          <w:sz w:val="28"/>
          <w:szCs w:val="28"/>
        </w:rPr>
        <w:t xml:space="preserve"> payment ‘can be reclaimed with the </w:t>
      </w:r>
      <w:r w:rsidR="00682C14" w:rsidRPr="00C8037E">
        <w:rPr>
          <w:rFonts w:cs="Times New Roman"/>
          <w:i/>
          <w:sz w:val="28"/>
          <w:szCs w:val="28"/>
        </w:rPr>
        <w:t>condictio indebiti</w:t>
      </w:r>
      <w:r w:rsidR="00682C14">
        <w:rPr>
          <w:rFonts w:cs="Times New Roman"/>
          <w:sz w:val="28"/>
          <w:szCs w:val="28"/>
        </w:rPr>
        <w:t xml:space="preserve"> or, at the very least, the </w:t>
      </w:r>
      <w:r w:rsidR="00682C14" w:rsidRPr="00C8037E">
        <w:rPr>
          <w:rFonts w:cs="Times New Roman"/>
          <w:i/>
          <w:sz w:val="28"/>
          <w:szCs w:val="28"/>
        </w:rPr>
        <w:t>condictio sine causa</w:t>
      </w:r>
      <w:r w:rsidR="00682C14">
        <w:rPr>
          <w:rFonts w:cs="Times New Roman"/>
          <w:sz w:val="28"/>
          <w:szCs w:val="28"/>
        </w:rPr>
        <w:t>’.</w:t>
      </w:r>
      <w:r w:rsidR="00717BE8">
        <w:rPr>
          <w:rStyle w:val="FootnoteReference"/>
          <w:rFonts w:cs="Times New Roman"/>
          <w:sz w:val="28"/>
          <w:szCs w:val="28"/>
        </w:rPr>
        <w:footnoteReference w:id="4"/>
      </w:r>
    </w:p>
    <w:p w14:paraId="6C29EB02" w14:textId="77777777" w:rsidR="00682C14" w:rsidRDefault="00682C14" w:rsidP="00682C14">
      <w:pPr>
        <w:pStyle w:val="ListParagraph"/>
        <w:spacing w:after="0" w:line="360" w:lineRule="auto"/>
        <w:ind w:left="0"/>
        <w:jc w:val="both"/>
        <w:rPr>
          <w:rFonts w:cs="Times New Roman"/>
          <w:sz w:val="28"/>
          <w:szCs w:val="28"/>
        </w:rPr>
      </w:pPr>
    </w:p>
    <w:p w14:paraId="1F29AD94" w14:textId="476A346B" w:rsidR="00FA1E8E" w:rsidRDefault="00682C14" w:rsidP="00712240">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The submission is</w:t>
      </w:r>
      <w:r w:rsidR="00DF5942">
        <w:rPr>
          <w:rFonts w:cs="Times New Roman"/>
          <w:sz w:val="28"/>
          <w:szCs w:val="28"/>
        </w:rPr>
        <w:t>,</w:t>
      </w:r>
      <w:r>
        <w:rPr>
          <w:rFonts w:cs="Times New Roman"/>
          <w:sz w:val="28"/>
          <w:szCs w:val="28"/>
        </w:rPr>
        <w:t xml:space="preserve"> however</w:t>
      </w:r>
      <w:r w:rsidR="00DF5942">
        <w:rPr>
          <w:rFonts w:cs="Times New Roman"/>
          <w:sz w:val="28"/>
          <w:szCs w:val="28"/>
        </w:rPr>
        <w:t>,</w:t>
      </w:r>
      <w:r>
        <w:rPr>
          <w:rFonts w:cs="Times New Roman"/>
          <w:sz w:val="28"/>
          <w:szCs w:val="28"/>
        </w:rPr>
        <w:t xml:space="preserve"> unsound. </w:t>
      </w:r>
      <w:r w:rsidR="00402174">
        <w:rPr>
          <w:rFonts w:cs="Times New Roman"/>
          <w:sz w:val="28"/>
          <w:szCs w:val="28"/>
        </w:rPr>
        <w:t xml:space="preserve">There </w:t>
      </w:r>
      <w:r w:rsidR="00DF5942">
        <w:rPr>
          <w:rFonts w:cs="Times New Roman"/>
          <w:sz w:val="28"/>
          <w:szCs w:val="28"/>
        </w:rPr>
        <w:t>wa</w:t>
      </w:r>
      <w:r w:rsidR="00402174">
        <w:rPr>
          <w:rFonts w:cs="Times New Roman"/>
          <w:sz w:val="28"/>
          <w:szCs w:val="28"/>
        </w:rPr>
        <w:t xml:space="preserve">s no allegation in the founding affidavit that the bank had been enriched at the expense of the company. The </w:t>
      </w:r>
      <w:r w:rsidR="00402174" w:rsidRPr="00402174">
        <w:rPr>
          <w:rFonts w:cs="Times New Roman"/>
          <w:i/>
          <w:sz w:val="28"/>
          <w:szCs w:val="28"/>
        </w:rPr>
        <w:t>condictio indebiti</w:t>
      </w:r>
      <w:r w:rsidR="00402174">
        <w:rPr>
          <w:rFonts w:cs="Times New Roman"/>
          <w:sz w:val="28"/>
          <w:szCs w:val="28"/>
        </w:rPr>
        <w:t xml:space="preserve"> and the </w:t>
      </w:r>
      <w:r w:rsidR="00402174" w:rsidRPr="00402174">
        <w:rPr>
          <w:rFonts w:cs="Times New Roman"/>
          <w:i/>
          <w:sz w:val="28"/>
          <w:szCs w:val="28"/>
        </w:rPr>
        <w:t>condictio sine causa</w:t>
      </w:r>
      <w:r w:rsidR="00402174">
        <w:rPr>
          <w:rFonts w:cs="Times New Roman"/>
          <w:sz w:val="28"/>
          <w:szCs w:val="28"/>
        </w:rPr>
        <w:t xml:space="preserve">, or the respects in which the company had met the requirements of these enrichment actions, were not pleaded at all. But even if they were, and </w:t>
      </w:r>
      <w:r>
        <w:rPr>
          <w:rFonts w:cs="Times New Roman"/>
          <w:sz w:val="28"/>
          <w:szCs w:val="28"/>
        </w:rPr>
        <w:t xml:space="preserve">on the assumption that the </w:t>
      </w:r>
      <w:r w:rsidR="00DF5942">
        <w:rPr>
          <w:rFonts w:cs="Times New Roman"/>
          <w:sz w:val="28"/>
          <w:szCs w:val="28"/>
        </w:rPr>
        <w:t>payment</w:t>
      </w:r>
      <w:r w:rsidR="00202FD8">
        <w:rPr>
          <w:rFonts w:cs="Times New Roman"/>
          <w:sz w:val="28"/>
          <w:szCs w:val="28"/>
        </w:rPr>
        <w:t xml:space="preserve"> of the collected amount </w:t>
      </w:r>
      <w:r w:rsidR="00DF5942">
        <w:rPr>
          <w:rFonts w:cs="Times New Roman"/>
          <w:sz w:val="28"/>
          <w:szCs w:val="28"/>
        </w:rPr>
        <w:t>to</w:t>
      </w:r>
      <w:r w:rsidR="00202FD8">
        <w:rPr>
          <w:rFonts w:cs="Times New Roman"/>
          <w:sz w:val="28"/>
          <w:szCs w:val="28"/>
        </w:rPr>
        <w:t xml:space="preserve"> the bank was </w:t>
      </w:r>
      <w:r w:rsidRPr="00682C14">
        <w:rPr>
          <w:rFonts w:cs="Times New Roman"/>
          <w:i/>
          <w:sz w:val="28"/>
          <w:szCs w:val="28"/>
        </w:rPr>
        <w:t>ultra vires</w:t>
      </w:r>
      <w:r>
        <w:rPr>
          <w:rFonts w:cs="Times New Roman"/>
          <w:sz w:val="28"/>
          <w:szCs w:val="28"/>
        </w:rPr>
        <w:t xml:space="preserve"> </w:t>
      </w:r>
      <w:r w:rsidR="00202FD8">
        <w:rPr>
          <w:rFonts w:cs="Times New Roman"/>
          <w:sz w:val="28"/>
          <w:szCs w:val="28"/>
        </w:rPr>
        <w:t>the provisions of s 44 of the Insolvency Act</w:t>
      </w:r>
      <w:r w:rsidR="00787AF6">
        <w:rPr>
          <w:rFonts w:cs="Times New Roman"/>
          <w:sz w:val="28"/>
          <w:szCs w:val="28"/>
        </w:rPr>
        <w:t xml:space="preserve"> </w:t>
      </w:r>
      <w:r w:rsidR="00202FD8">
        <w:rPr>
          <w:rFonts w:cs="Times New Roman"/>
          <w:sz w:val="28"/>
          <w:szCs w:val="28"/>
        </w:rPr>
        <w:t xml:space="preserve">because the bank did not prove a claim </w:t>
      </w:r>
      <w:r w:rsidR="00787AF6">
        <w:rPr>
          <w:rFonts w:cs="Times New Roman"/>
          <w:sz w:val="28"/>
          <w:szCs w:val="28"/>
        </w:rPr>
        <w:t xml:space="preserve">in the company’s </w:t>
      </w:r>
      <w:r w:rsidR="00202FD8">
        <w:rPr>
          <w:rFonts w:cs="Times New Roman"/>
          <w:sz w:val="28"/>
          <w:szCs w:val="28"/>
        </w:rPr>
        <w:t xml:space="preserve">estate, an </w:t>
      </w:r>
      <w:r w:rsidR="00202FD8" w:rsidRPr="00202FD8">
        <w:rPr>
          <w:rFonts w:cs="Times New Roman"/>
          <w:i/>
          <w:sz w:val="28"/>
          <w:szCs w:val="28"/>
        </w:rPr>
        <w:t>ultra vires</w:t>
      </w:r>
      <w:r w:rsidR="00202FD8" w:rsidRPr="00FA1E8E">
        <w:rPr>
          <w:rFonts w:cs="Times New Roman"/>
          <w:sz w:val="28"/>
          <w:szCs w:val="28"/>
        </w:rPr>
        <w:t xml:space="preserve"> payment </w:t>
      </w:r>
      <w:r w:rsidR="00202FD8">
        <w:rPr>
          <w:rFonts w:cs="Times New Roman"/>
          <w:sz w:val="28"/>
          <w:szCs w:val="28"/>
        </w:rPr>
        <w:t>is not recoverable without more.</w:t>
      </w:r>
      <w:r w:rsidR="00787AF6">
        <w:rPr>
          <w:rFonts w:cs="Times New Roman"/>
          <w:sz w:val="28"/>
          <w:szCs w:val="28"/>
        </w:rPr>
        <w:t xml:space="preserve"> T</w:t>
      </w:r>
      <w:r w:rsidR="00320349">
        <w:rPr>
          <w:rFonts w:cs="Times New Roman"/>
          <w:sz w:val="28"/>
          <w:szCs w:val="28"/>
        </w:rPr>
        <w:t>he company</w:t>
      </w:r>
      <w:r w:rsidR="00787AF6">
        <w:rPr>
          <w:rFonts w:cs="Times New Roman"/>
          <w:sz w:val="28"/>
          <w:szCs w:val="28"/>
        </w:rPr>
        <w:t xml:space="preserve"> was still re</w:t>
      </w:r>
      <w:r w:rsidR="00BD27D9">
        <w:rPr>
          <w:rFonts w:cs="Times New Roman"/>
          <w:sz w:val="28"/>
          <w:szCs w:val="28"/>
        </w:rPr>
        <w:t>quired to establish the</w:t>
      </w:r>
      <w:r w:rsidR="00DF5942">
        <w:rPr>
          <w:rFonts w:cs="Times New Roman"/>
          <w:sz w:val="28"/>
          <w:szCs w:val="28"/>
        </w:rPr>
        <w:t xml:space="preserve"> general</w:t>
      </w:r>
      <w:r w:rsidR="00BD27D9">
        <w:rPr>
          <w:rFonts w:cs="Times New Roman"/>
          <w:sz w:val="28"/>
          <w:szCs w:val="28"/>
        </w:rPr>
        <w:t xml:space="preserve"> elements</w:t>
      </w:r>
      <w:r w:rsidR="00787AF6">
        <w:rPr>
          <w:rFonts w:cs="Times New Roman"/>
          <w:sz w:val="28"/>
          <w:szCs w:val="28"/>
        </w:rPr>
        <w:t xml:space="preserve"> of an enrichment claim</w:t>
      </w:r>
      <w:r w:rsidR="00FA1E8E">
        <w:rPr>
          <w:rFonts w:cs="Times New Roman"/>
          <w:sz w:val="28"/>
          <w:szCs w:val="28"/>
        </w:rPr>
        <w:t xml:space="preserve">, namely </w:t>
      </w:r>
      <w:r w:rsidR="003F3E18">
        <w:rPr>
          <w:rFonts w:cs="Times New Roman"/>
          <w:sz w:val="28"/>
          <w:szCs w:val="28"/>
        </w:rPr>
        <w:t>that</w:t>
      </w:r>
      <w:r w:rsidR="00F9791A">
        <w:rPr>
          <w:rFonts w:cs="Times New Roman"/>
          <w:sz w:val="28"/>
          <w:szCs w:val="28"/>
        </w:rPr>
        <w:t xml:space="preserve"> </w:t>
      </w:r>
      <w:r w:rsidR="00BD27D9">
        <w:rPr>
          <w:rFonts w:cs="Times New Roman"/>
          <w:sz w:val="28"/>
          <w:szCs w:val="28"/>
        </w:rPr>
        <w:t>(i) the bank was enriched, ie it gained</w:t>
      </w:r>
      <w:r w:rsidR="00787AF6">
        <w:rPr>
          <w:rFonts w:cs="Times New Roman"/>
          <w:sz w:val="28"/>
          <w:szCs w:val="28"/>
        </w:rPr>
        <w:t xml:space="preserve"> </w:t>
      </w:r>
      <w:r w:rsidR="00BD27D9">
        <w:rPr>
          <w:rFonts w:cs="Times New Roman"/>
          <w:sz w:val="28"/>
          <w:szCs w:val="28"/>
        </w:rPr>
        <w:t>a financial benefit</w:t>
      </w:r>
      <w:r w:rsidR="00FA1E8E">
        <w:rPr>
          <w:rFonts w:cs="Times New Roman"/>
          <w:sz w:val="28"/>
          <w:szCs w:val="28"/>
        </w:rPr>
        <w:t xml:space="preserve"> </w:t>
      </w:r>
      <w:r w:rsidR="00D3546B">
        <w:rPr>
          <w:rFonts w:cs="Times New Roman"/>
          <w:sz w:val="28"/>
          <w:szCs w:val="28"/>
        </w:rPr>
        <w:t>that would</w:t>
      </w:r>
      <w:r w:rsidR="00FA1E8E">
        <w:rPr>
          <w:rFonts w:cs="Times New Roman"/>
          <w:sz w:val="28"/>
          <w:szCs w:val="28"/>
        </w:rPr>
        <w:t xml:space="preserve"> otherwise not </w:t>
      </w:r>
      <w:r w:rsidR="00D3546B">
        <w:rPr>
          <w:rFonts w:cs="Times New Roman"/>
          <w:sz w:val="28"/>
          <w:szCs w:val="28"/>
        </w:rPr>
        <w:t>have taken place</w:t>
      </w:r>
      <w:r w:rsidR="00BD27D9">
        <w:rPr>
          <w:rFonts w:cs="Times New Roman"/>
          <w:sz w:val="28"/>
          <w:szCs w:val="28"/>
        </w:rPr>
        <w:t>; (ii) the company was impoverished</w:t>
      </w:r>
      <w:r w:rsidR="00F9791A">
        <w:rPr>
          <w:rFonts w:cs="Times New Roman"/>
          <w:sz w:val="28"/>
          <w:szCs w:val="28"/>
        </w:rPr>
        <w:t xml:space="preserve">; </w:t>
      </w:r>
      <w:r w:rsidR="00FA1E8E">
        <w:rPr>
          <w:rFonts w:cs="Times New Roman"/>
          <w:sz w:val="28"/>
          <w:szCs w:val="28"/>
        </w:rPr>
        <w:t xml:space="preserve">(iii) </w:t>
      </w:r>
      <w:r w:rsidR="00F9791A">
        <w:rPr>
          <w:rFonts w:cs="Times New Roman"/>
          <w:sz w:val="28"/>
          <w:szCs w:val="28"/>
        </w:rPr>
        <w:t>the bank’s enrichment was at the company’s expense;</w:t>
      </w:r>
      <w:r w:rsidR="00F9791A">
        <w:rPr>
          <w:rStyle w:val="FootnoteReference"/>
          <w:rFonts w:cs="Times New Roman"/>
          <w:sz w:val="28"/>
          <w:szCs w:val="28"/>
        </w:rPr>
        <w:footnoteReference w:id="5"/>
      </w:r>
      <w:r w:rsidR="0056400C">
        <w:rPr>
          <w:rFonts w:cs="Times New Roman"/>
          <w:sz w:val="28"/>
          <w:szCs w:val="28"/>
        </w:rPr>
        <w:t xml:space="preserve"> and (iv) the e</w:t>
      </w:r>
      <w:r w:rsidR="00FA1E8E">
        <w:rPr>
          <w:rFonts w:cs="Times New Roman"/>
          <w:sz w:val="28"/>
          <w:szCs w:val="28"/>
        </w:rPr>
        <w:t xml:space="preserve">nrichment was </w:t>
      </w:r>
      <w:r w:rsidR="0056400C">
        <w:rPr>
          <w:rFonts w:cs="Times New Roman"/>
          <w:sz w:val="28"/>
          <w:szCs w:val="28"/>
        </w:rPr>
        <w:t>unjustified, ie</w:t>
      </w:r>
      <w:r w:rsidR="00FA1E8E">
        <w:rPr>
          <w:rFonts w:cs="Times New Roman"/>
          <w:sz w:val="28"/>
          <w:szCs w:val="28"/>
        </w:rPr>
        <w:t xml:space="preserve"> there was</w:t>
      </w:r>
      <w:r w:rsidR="0056400C">
        <w:rPr>
          <w:rFonts w:cs="Times New Roman"/>
          <w:sz w:val="28"/>
          <w:szCs w:val="28"/>
        </w:rPr>
        <w:t xml:space="preserve"> no legal basis to</w:t>
      </w:r>
      <w:r w:rsidR="00FA1E8E">
        <w:rPr>
          <w:rFonts w:cs="Times New Roman"/>
          <w:sz w:val="28"/>
          <w:szCs w:val="28"/>
        </w:rPr>
        <w:t xml:space="preserve"> justify the retention of the collected amount</w:t>
      </w:r>
      <w:r w:rsidR="00016C27">
        <w:rPr>
          <w:rFonts w:cs="Times New Roman"/>
          <w:sz w:val="28"/>
          <w:szCs w:val="28"/>
        </w:rPr>
        <w:t>.</w:t>
      </w:r>
      <w:r w:rsidR="00016C27">
        <w:rPr>
          <w:rStyle w:val="FootnoteReference"/>
          <w:rFonts w:cs="Times New Roman"/>
          <w:sz w:val="28"/>
          <w:szCs w:val="28"/>
        </w:rPr>
        <w:footnoteReference w:id="6"/>
      </w:r>
      <w:r w:rsidR="00016C27">
        <w:rPr>
          <w:rFonts w:cs="Times New Roman"/>
          <w:sz w:val="28"/>
          <w:szCs w:val="28"/>
        </w:rPr>
        <w:t xml:space="preserve"> </w:t>
      </w:r>
    </w:p>
    <w:p w14:paraId="1CF4D85D" w14:textId="77777777" w:rsidR="00402174" w:rsidRDefault="00402174" w:rsidP="00402174">
      <w:pPr>
        <w:pStyle w:val="ListParagraph"/>
        <w:spacing w:after="0" w:line="360" w:lineRule="auto"/>
        <w:ind w:left="0"/>
        <w:jc w:val="both"/>
        <w:rPr>
          <w:rFonts w:cs="Times New Roman"/>
          <w:sz w:val="28"/>
          <w:szCs w:val="28"/>
        </w:rPr>
      </w:pPr>
    </w:p>
    <w:p w14:paraId="781D3A34" w14:textId="425BE1F5" w:rsidR="007F6C18" w:rsidRPr="002C024E" w:rsidRDefault="00FA1E8E" w:rsidP="002C024E">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 xml:space="preserve">The company simply did not meet these requirements. </w:t>
      </w:r>
      <w:r w:rsidR="007104D5">
        <w:rPr>
          <w:rFonts w:cs="Times New Roman"/>
          <w:sz w:val="28"/>
          <w:szCs w:val="28"/>
        </w:rPr>
        <w:t xml:space="preserve">To begin with, the bank was not enriched. To found an enrichment action, the company had to show that the bank had received the collected amount </w:t>
      </w:r>
      <w:r w:rsidR="007104D5" w:rsidRPr="007104D5">
        <w:rPr>
          <w:rFonts w:cs="Times New Roman"/>
          <w:i/>
          <w:sz w:val="28"/>
          <w:szCs w:val="28"/>
        </w:rPr>
        <w:t>indebite</w:t>
      </w:r>
      <w:r w:rsidR="007104D5">
        <w:rPr>
          <w:rFonts w:cs="Times New Roman"/>
          <w:sz w:val="28"/>
          <w:szCs w:val="28"/>
        </w:rPr>
        <w:t xml:space="preserve"> </w:t>
      </w:r>
      <w:r w:rsidR="0036296A">
        <w:rPr>
          <w:rFonts w:cs="Times New Roman"/>
          <w:sz w:val="28"/>
          <w:szCs w:val="28"/>
        </w:rPr>
        <w:t xml:space="preserve">in the widest sense </w:t>
      </w:r>
      <w:r w:rsidR="007104D5">
        <w:rPr>
          <w:rFonts w:cs="Times New Roman"/>
          <w:sz w:val="28"/>
          <w:szCs w:val="28"/>
        </w:rPr>
        <w:t xml:space="preserve">or </w:t>
      </w:r>
      <w:r w:rsidR="007104D5" w:rsidRPr="007104D5">
        <w:rPr>
          <w:rFonts w:cs="Times New Roman"/>
          <w:i/>
          <w:sz w:val="28"/>
          <w:szCs w:val="28"/>
        </w:rPr>
        <w:t>sine causa</w:t>
      </w:r>
      <w:r w:rsidR="00EF15DB">
        <w:rPr>
          <w:rFonts w:cs="Times New Roman"/>
          <w:sz w:val="28"/>
          <w:szCs w:val="28"/>
        </w:rPr>
        <w:t>:</w:t>
      </w:r>
      <w:r w:rsidR="00D163B3">
        <w:rPr>
          <w:rStyle w:val="FootnoteReference"/>
          <w:rFonts w:cs="Times New Roman"/>
          <w:sz w:val="28"/>
          <w:szCs w:val="28"/>
        </w:rPr>
        <w:footnoteReference w:id="7"/>
      </w:r>
      <w:r w:rsidR="007104D5">
        <w:rPr>
          <w:rFonts w:cs="Times New Roman"/>
          <w:sz w:val="28"/>
          <w:szCs w:val="28"/>
        </w:rPr>
        <w:t xml:space="preserve"> </w:t>
      </w:r>
      <w:r w:rsidR="00EF15DB">
        <w:rPr>
          <w:rFonts w:cs="Times New Roman"/>
          <w:sz w:val="28"/>
          <w:szCs w:val="28"/>
        </w:rPr>
        <w:t>i</w:t>
      </w:r>
      <w:r w:rsidR="00387647">
        <w:rPr>
          <w:rFonts w:cs="Times New Roman"/>
          <w:sz w:val="28"/>
          <w:szCs w:val="28"/>
        </w:rPr>
        <w:t xml:space="preserve">n </w:t>
      </w:r>
      <w:r w:rsidR="007104D5">
        <w:rPr>
          <w:rFonts w:cs="Times New Roman"/>
          <w:sz w:val="28"/>
          <w:szCs w:val="28"/>
        </w:rPr>
        <w:t xml:space="preserve">other words, </w:t>
      </w:r>
      <w:r w:rsidR="00402174">
        <w:rPr>
          <w:rFonts w:cs="Times New Roman"/>
          <w:sz w:val="28"/>
          <w:szCs w:val="28"/>
        </w:rPr>
        <w:t xml:space="preserve">that there was </w:t>
      </w:r>
      <w:r w:rsidR="007104D5">
        <w:rPr>
          <w:rFonts w:cs="Times New Roman"/>
          <w:sz w:val="28"/>
          <w:szCs w:val="28"/>
        </w:rPr>
        <w:t xml:space="preserve">an increase in the assets of the bank which would not have taken place, but for </w:t>
      </w:r>
      <w:r w:rsidR="00717BE8">
        <w:rPr>
          <w:rFonts w:cs="Times New Roman"/>
          <w:sz w:val="28"/>
          <w:szCs w:val="28"/>
        </w:rPr>
        <w:t xml:space="preserve">the </w:t>
      </w:r>
      <w:r w:rsidR="007104D5">
        <w:rPr>
          <w:rFonts w:cs="Times New Roman"/>
          <w:sz w:val="28"/>
          <w:szCs w:val="28"/>
        </w:rPr>
        <w:t xml:space="preserve">receipt of the collected amount. </w:t>
      </w:r>
      <w:r w:rsidR="007104D5">
        <w:rPr>
          <w:rFonts w:cs="Times New Roman"/>
          <w:sz w:val="28"/>
          <w:szCs w:val="28"/>
        </w:rPr>
        <w:lastRenderedPageBreak/>
        <w:t>The liquidators acknowledged that the company was indebted to the bank in an amount in excess of R100 million.</w:t>
      </w:r>
      <w:r w:rsidR="00320349">
        <w:rPr>
          <w:rFonts w:cs="Times New Roman"/>
          <w:sz w:val="28"/>
          <w:szCs w:val="28"/>
        </w:rPr>
        <w:t xml:space="preserve"> Indeed, the liquidators informed the bank that its claim against the company could be reduced (</w:t>
      </w:r>
      <w:r w:rsidR="00402174">
        <w:rPr>
          <w:rFonts w:cs="Times New Roman"/>
          <w:sz w:val="28"/>
          <w:szCs w:val="28"/>
        </w:rPr>
        <w:t xml:space="preserve">which they </w:t>
      </w:r>
      <w:r w:rsidR="00320349">
        <w:rPr>
          <w:rFonts w:cs="Times New Roman"/>
          <w:sz w:val="28"/>
          <w:szCs w:val="28"/>
        </w:rPr>
        <w:t xml:space="preserve">incorrectly referred to as ‘set-off’) by the proceeds of the sale of the assets to West Lake. </w:t>
      </w:r>
      <w:r w:rsidR="00320349" w:rsidRPr="002C024E">
        <w:rPr>
          <w:rFonts w:cs="Times New Roman"/>
          <w:sz w:val="28"/>
          <w:szCs w:val="28"/>
        </w:rPr>
        <w:t xml:space="preserve">What is more, on 22 August 2014 they paid an amount of </w:t>
      </w:r>
      <w:r w:rsidR="007F6C18" w:rsidRPr="002C024E">
        <w:rPr>
          <w:rFonts w:cs="Times New Roman"/>
          <w:sz w:val="28"/>
          <w:szCs w:val="28"/>
        </w:rPr>
        <w:t>R</w:t>
      </w:r>
      <w:r w:rsidR="00320349" w:rsidRPr="002C024E">
        <w:rPr>
          <w:rFonts w:cs="Times New Roman"/>
          <w:sz w:val="28"/>
          <w:szCs w:val="28"/>
        </w:rPr>
        <w:t>3.1 million</w:t>
      </w:r>
      <w:r w:rsidR="00D808A3" w:rsidRPr="002C024E">
        <w:rPr>
          <w:rFonts w:cs="Times New Roman"/>
          <w:sz w:val="28"/>
          <w:szCs w:val="28"/>
        </w:rPr>
        <w:t xml:space="preserve"> to the bank as </w:t>
      </w:r>
      <w:r w:rsidR="007F6C18" w:rsidRPr="002C024E">
        <w:rPr>
          <w:rFonts w:cs="Times New Roman"/>
          <w:sz w:val="28"/>
          <w:szCs w:val="28"/>
        </w:rPr>
        <w:t>‘provisional dividend</w:t>
      </w:r>
      <w:r w:rsidR="00D808A3" w:rsidRPr="002C024E">
        <w:rPr>
          <w:rFonts w:cs="Times New Roman"/>
          <w:sz w:val="28"/>
          <w:szCs w:val="28"/>
        </w:rPr>
        <w:t>s</w:t>
      </w:r>
      <w:r w:rsidR="007F6C18" w:rsidRPr="002C024E">
        <w:rPr>
          <w:rFonts w:cs="Times New Roman"/>
          <w:sz w:val="28"/>
          <w:szCs w:val="28"/>
        </w:rPr>
        <w:t>’</w:t>
      </w:r>
      <w:r w:rsidR="00402174" w:rsidRPr="002C024E">
        <w:rPr>
          <w:rFonts w:cs="Times New Roman"/>
          <w:sz w:val="28"/>
          <w:szCs w:val="28"/>
        </w:rPr>
        <w:t xml:space="preserve">, which merely confirmed that the </w:t>
      </w:r>
      <w:r w:rsidR="00480F92" w:rsidRPr="002C024E">
        <w:rPr>
          <w:rFonts w:cs="Times New Roman"/>
          <w:sz w:val="28"/>
          <w:szCs w:val="28"/>
        </w:rPr>
        <w:t>bank was entitled to th</w:t>
      </w:r>
      <w:r w:rsidR="00402174" w:rsidRPr="002C024E">
        <w:rPr>
          <w:rFonts w:cs="Times New Roman"/>
          <w:sz w:val="28"/>
          <w:szCs w:val="28"/>
        </w:rPr>
        <w:t>e collected a</w:t>
      </w:r>
      <w:r w:rsidR="00480F92" w:rsidRPr="002C024E">
        <w:rPr>
          <w:rFonts w:cs="Times New Roman"/>
          <w:sz w:val="28"/>
          <w:szCs w:val="28"/>
        </w:rPr>
        <w:t>mount.</w:t>
      </w:r>
      <w:r w:rsidR="002C024E" w:rsidRPr="002C024E">
        <w:rPr>
          <w:rFonts w:cs="Times New Roman"/>
          <w:sz w:val="28"/>
          <w:szCs w:val="28"/>
        </w:rPr>
        <w:t xml:space="preserve"> </w:t>
      </w:r>
    </w:p>
    <w:p w14:paraId="144ED59A" w14:textId="77777777" w:rsidR="007F6C18" w:rsidRDefault="007F6C18" w:rsidP="007F6C18">
      <w:pPr>
        <w:pStyle w:val="ListParagraph"/>
        <w:spacing w:after="0" w:line="360" w:lineRule="auto"/>
        <w:ind w:left="0"/>
        <w:jc w:val="both"/>
        <w:rPr>
          <w:rFonts w:cs="Times New Roman"/>
          <w:sz w:val="28"/>
          <w:szCs w:val="28"/>
        </w:rPr>
      </w:pPr>
    </w:p>
    <w:p w14:paraId="2F654066" w14:textId="0B0DADD3" w:rsidR="005B2485" w:rsidRDefault="005B2485" w:rsidP="00712240">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 xml:space="preserve">The company’s reliance on </w:t>
      </w:r>
      <w:r w:rsidRPr="00DA43F7">
        <w:rPr>
          <w:rFonts w:cs="Times New Roman"/>
          <w:i/>
          <w:sz w:val="28"/>
          <w:szCs w:val="28"/>
        </w:rPr>
        <w:t>Bowman</w:t>
      </w:r>
      <w:r>
        <w:rPr>
          <w:rFonts w:cs="Times New Roman"/>
          <w:sz w:val="28"/>
          <w:szCs w:val="28"/>
        </w:rPr>
        <w:t xml:space="preserve"> </w:t>
      </w:r>
      <w:r w:rsidR="00283BCC">
        <w:rPr>
          <w:rFonts w:cs="Times New Roman"/>
          <w:sz w:val="28"/>
          <w:szCs w:val="28"/>
        </w:rPr>
        <w:t>does not assist it</w:t>
      </w:r>
      <w:r>
        <w:rPr>
          <w:rFonts w:cs="Times New Roman"/>
          <w:sz w:val="28"/>
          <w:szCs w:val="28"/>
        </w:rPr>
        <w:t xml:space="preserve">. In that case </w:t>
      </w:r>
      <w:r w:rsidR="00126798">
        <w:rPr>
          <w:rFonts w:cs="Times New Roman"/>
          <w:sz w:val="28"/>
          <w:szCs w:val="28"/>
        </w:rPr>
        <w:t>a</w:t>
      </w:r>
      <w:r>
        <w:rPr>
          <w:rFonts w:cs="Times New Roman"/>
          <w:sz w:val="28"/>
          <w:szCs w:val="28"/>
        </w:rPr>
        <w:t xml:space="preserve"> creditor, Fidelity Bank Ltd (Fidelity)</w:t>
      </w:r>
      <w:r w:rsidR="00C60C0E">
        <w:rPr>
          <w:rFonts w:cs="Times New Roman"/>
          <w:sz w:val="28"/>
          <w:szCs w:val="28"/>
        </w:rPr>
        <w:t xml:space="preserve">, </w:t>
      </w:r>
      <w:r w:rsidR="00283BCC">
        <w:rPr>
          <w:rFonts w:cs="Times New Roman"/>
          <w:sz w:val="28"/>
          <w:szCs w:val="28"/>
        </w:rPr>
        <w:t>had secured claim</w:t>
      </w:r>
      <w:r w:rsidR="00CC02F4">
        <w:rPr>
          <w:rFonts w:cs="Times New Roman"/>
          <w:sz w:val="28"/>
          <w:szCs w:val="28"/>
        </w:rPr>
        <w:t xml:space="preserve">s </w:t>
      </w:r>
      <w:r w:rsidR="00555F9F">
        <w:rPr>
          <w:rFonts w:cs="Times New Roman"/>
          <w:sz w:val="28"/>
          <w:szCs w:val="28"/>
        </w:rPr>
        <w:t>against a company in liquidation in the amount of R640 000</w:t>
      </w:r>
      <w:r>
        <w:rPr>
          <w:rFonts w:cs="Times New Roman"/>
          <w:sz w:val="28"/>
          <w:szCs w:val="28"/>
        </w:rPr>
        <w:t>.</w:t>
      </w:r>
      <w:r w:rsidR="00555F9F">
        <w:rPr>
          <w:rFonts w:cs="Times New Roman"/>
          <w:sz w:val="28"/>
          <w:szCs w:val="28"/>
        </w:rPr>
        <w:t xml:space="preserve"> The liquidators of the company entered into an agreement with F</w:t>
      </w:r>
      <w:r w:rsidR="005645B5">
        <w:rPr>
          <w:rFonts w:cs="Times New Roman"/>
          <w:sz w:val="28"/>
          <w:szCs w:val="28"/>
        </w:rPr>
        <w:t>idelity to pay the amount of R640 000 from</w:t>
      </w:r>
      <w:r w:rsidR="00CC02F4">
        <w:rPr>
          <w:rFonts w:cs="Times New Roman"/>
          <w:sz w:val="28"/>
          <w:szCs w:val="28"/>
        </w:rPr>
        <w:t xml:space="preserve"> the proceeds of</w:t>
      </w:r>
      <w:r w:rsidR="005645B5">
        <w:rPr>
          <w:rFonts w:cs="Times New Roman"/>
          <w:sz w:val="28"/>
          <w:szCs w:val="28"/>
        </w:rPr>
        <w:t xml:space="preserve"> the sale of the secured</w:t>
      </w:r>
      <w:r w:rsidR="00126798">
        <w:rPr>
          <w:rFonts w:cs="Times New Roman"/>
          <w:sz w:val="28"/>
          <w:szCs w:val="28"/>
        </w:rPr>
        <w:t xml:space="preserve"> assets</w:t>
      </w:r>
      <w:r w:rsidR="005645B5">
        <w:rPr>
          <w:rFonts w:cs="Times New Roman"/>
          <w:sz w:val="28"/>
          <w:szCs w:val="28"/>
        </w:rPr>
        <w:t xml:space="preserve"> to </w:t>
      </w:r>
      <w:r w:rsidR="00126798">
        <w:rPr>
          <w:rFonts w:cs="Times New Roman"/>
          <w:sz w:val="28"/>
          <w:szCs w:val="28"/>
        </w:rPr>
        <w:t>Fidelity</w:t>
      </w:r>
      <w:r w:rsidR="00CC02F4">
        <w:rPr>
          <w:rFonts w:cs="Times New Roman"/>
          <w:sz w:val="28"/>
          <w:szCs w:val="28"/>
        </w:rPr>
        <w:t>,</w:t>
      </w:r>
      <w:r w:rsidR="00126798">
        <w:rPr>
          <w:rFonts w:cs="Times New Roman"/>
          <w:sz w:val="28"/>
          <w:szCs w:val="28"/>
        </w:rPr>
        <w:t xml:space="preserve"> prior to the</w:t>
      </w:r>
      <w:r w:rsidR="00C60C0E">
        <w:rPr>
          <w:rFonts w:cs="Times New Roman"/>
          <w:sz w:val="28"/>
          <w:szCs w:val="28"/>
        </w:rPr>
        <w:t xml:space="preserve"> drawing and</w:t>
      </w:r>
      <w:r w:rsidR="00126798">
        <w:rPr>
          <w:rFonts w:cs="Times New Roman"/>
          <w:sz w:val="28"/>
          <w:szCs w:val="28"/>
        </w:rPr>
        <w:t xml:space="preserve"> confirmation of the</w:t>
      </w:r>
      <w:r w:rsidR="00C60C0E">
        <w:rPr>
          <w:rFonts w:cs="Times New Roman"/>
          <w:sz w:val="28"/>
          <w:szCs w:val="28"/>
        </w:rPr>
        <w:t xml:space="preserve"> </w:t>
      </w:r>
      <w:r w:rsidR="00D3546B">
        <w:rPr>
          <w:rFonts w:cs="Times New Roman"/>
          <w:sz w:val="28"/>
          <w:szCs w:val="28"/>
        </w:rPr>
        <w:t xml:space="preserve">liquidation and distribution </w:t>
      </w:r>
      <w:r w:rsidR="00C60C0E">
        <w:rPr>
          <w:rFonts w:cs="Times New Roman"/>
          <w:sz w:val="28"/>
          <w:szCs w:val="28"/>
        </w:rPr>
        <w:t xml:space="preserve">accounts of the insolvent estate. Payment in terms of this agreement was thus </w:t>
      </w:r>
      <w:r w:rsidR="00C60C0E">
        <w:rPr>
          <w:rFonts w:cs="Times New Roman"/>
          <w:i/>
          <w:iCs/>
          <w:sz w:val="28"/>
          <w:szCs w:val="28"/>
        </w:rPr>
        <w:t xml:space="preserve">ultra vires </w:t>
      </w:r>
      <w:r w:rsidR="00C60C0E">
        <w:rPr>
          <w:rFonts w:cs="Times New Roman"/>
          <w:sz w:val="28"/>
          <w:szCs w:val="28"/>
        </w:rPr>
        <w:t>the powers of the liquid</w:t>
      </w:r>
      <w:r w:rsidR="00BE2DFF">
        <w:rPr>
          <w:rFonts w:cs="Times New Roman"/>
          <w:sz w:val="28"/>
          <w:szCs w:val="28"/>
        </w:rPr>
        <w:t>a</w:t>
      </w:r>
      <w:r w:rsidR="00C60C0E">
        <w:rPr>
          <w:rFonts w:cs="Times New Roman"/>
          <w:sz w:val="28"/>
          <w:szCs w:val="28"/>
        </w:rPr>
        <w:t>tors</w:t>
      </w:r>
      <w:r w:rsidR="00BE2DFF">
        <w:rPr>
          <w:rFonts w:cs="Times New Roman"/>
          <w:sz w:val="28"/>
          <w:szCs w:val="28"/>
        </w:rPr>
        <w:t>. However,</w:t>
      </w:r>
      <w:r w:rsidR="00396932">
        <w:rPr>
          <w:rFonts w:cs="Times New Roman"/>
          <w:sz w:val="28"/>
          <w:szCs w:val="28"/>
        </w:rPr>
        <w:t xml:space="preserve"> </w:t>
      </w:r>
      <w:r w:rsidR="00BE2DFF">
        <w:rPr>
          <w:rFonts w:cs="Times New Roman"/>
          <w:sz w:val="28"/>
          <w:szCs w:val="28"/>
        </w:rPr>
        <w:t>the</w:t>
      </w:r>
      <w:r>
        <w:rPr>
          <w:rFonts w:cs="Times New Roman"/>
          <w:sz w:val="28"/>
          <w:szCs w:val="28"/>
        </w:rPr>
        <w:t xml:space="preserve"> liquidators made an overpayment to Fidelity in the sum of R220</w:t>
      </w:r>
      <w:r w:rsidR="0041448A">
        <w:rPr>
          <w:rFonts w:cs="Times New Roman"/>
          <w:sz w:val="28"/>
          <w:szCs w:val="28"/>
        </w:rPr>
        <w:t> </w:t>
      </w:r>
      <w:r>
        <w:rPr>
          <w:rFonts w:cs="Times New Roman"/>
          <w:sz w:val="28"/>
          <w:szCs w:val="28"/>
        </w:rPr>
        <w:t xml:space="preserve">000 and sought to recover it by way of the </w:t>
      </w:r>
      <w:r w:rsidRPr="009C321F">
        <w:rPr>
          <w:rFonts w:cs="Times New Roman"/>
          <w:i/>
          <w:sz w:val="28"/>
          <w:szCs w:val="28"/>
        </w:rPr>
        <w:t>condictio indebiti</w:t>
      </w:r>
      <w:r>
        <w:rPr>
          <w:rFonts w:cs="Times New Roman"/>
          <w:sz w:val="28"/>
          <w:szCs w:val="28"/>
        </w:rPr>
        <w:t>. The liquidators did not seek to recover the payment of the R6</w:t>
      </w:r>
      <w:r w:rsidR="00BE2DFF">
        <w:rPr>
          <w:rFonts w:cs="Times New Roman"/>
          <w:sz w:val="28"/>
          <w:szCs w:val="28"/>
        </w:rPr>
        <w:t>4</w:t>
      </w:r>
      <w:r>
        <w:rPr>
          <w:rFonts w:cs="Times New Roman"/>
          <w:sz w:val="28"/>
          <w:szCs w:val="28"/>
        </w:rPr>
        <w:t>0 000 made in respect of the valid underlying debt</w:t>
      </w:r>
      <w:r w:rsidR="00487CD0">
        <w:rPr>
          <w:rFonts w:cs="Times New Roman"/>
          <w:sz w:val="28"/>
          <w:szCs w:val="28"/>
        </w:rPr>
        <w:t xml:space="preserve">. </w:t>
      </w:r>
      <w:r w:rsidR="00CA352D">
        <w:rPr>
          <w:rFonts w:cs="Times New Roman"/>
          <w:sz w:val="28"/>
          <w:szCs w:val="28"/>
        </w:rPr>
        <w:t>T</w:t>
      </w:r>
      <w:r>
        <w:rPr>
          <w:rFonts w:cs="Times New Roman"/>
          <w:sz w:val="28"/>
          <w:szCs w:val="28"/>
        </w:rPr>
        <w:t>his Court</w:t>
      </w:r>
      <w:r w:rsidR="00184C91">
        <w:rPr>
          <w:rFonts w:cs="Times New Roman"/>
          <w:sz w:val="28"/>
          <w:szCs w:val="28"/>
        </w:rPr>
        <w:t xml:space="preserve"> </w:t>
      </w:r>
      <w:r w:rsidR="0041448A">
        <w:rPr>
          <w:rFonts w:cs="Times New Roman"/>
          <w:sz w:val="28"/>
          <w:szCs w:val="28"/>
        </w:rPr>
        <w:t xml:space="preserve">held </w:t>
      </w:r>
      <w:r w:rsidR="00BE2DFF">
        <w:rPr>
          <w:rFonts w:cs="Times New Roman"/>
          <w:sz w:val="28"/>
          <w:szCs w:val="28"/>
        </w:rPr>
        <w:t>that because the agreement provide</w:t>
      </w:r>
      <w:r w:rsidR="00CC02F4">
        <w:rPr>
          <w:rFonts w:cs="Times New Roman"/>
          <w:sz w:val="28"/>
          <w:szCs w:val="28"/>
        </w:rPr>
        <w:t>d</w:t>
      </w:r>
      <w:r w:rsidR="00CA352D">
        <w:rPr>
          <w:rFonts w:cs="Times New Roman"/>
          <w:sz w:val="28"/>
          <w:szCs w:val="28"/>
        </w:rPr>
        <w:t xml:space="preserve"> for</w:t>
      </w:r>
      <w:r w:rsidR="00CC02F4">
        <w:rPr>
          <w:rFonts w:cs="Times New Roman"/>
          <w:sz w:val="28"/>
          <w:szCs w:val="28"/>
        </w:rPr>
        <w:t xml:space="preserve"> payment of the amount R640 000 in respect of Fidelity’s secured claim</w:t>
      </w:r>
      <w:r w:rsidR="00CA352D">
        <w:rPr>
          <w:rFonts w:cs="Times New Roman"/>
          <w:sz w:val="28"/>
          <w:szCs w:val="28"/>
        </w:rPr>
        <w:t>, nothing more or less, it</w:t>
      </w:r>
      <w:r w:rsidR="00BE2DFF">
        <w:rPr>
          <w:rFonts w:cs="Times New Roman"/>
          <w:sz w:val="28"/>
          <w:szCs w:val="28"/>
        </w:rPr>
        <w:t xml:space="preserve"> </w:t>
      </w:r>
      <w:r>
        <w:rPr>
          <w:rFonts w:cs="Times New Roman"/>
          <w:sz w:val="28"/>
          <w:szCs w:val="28"/>
        </w:rPr>
        <w:t xml:space="preserve">was only the amount of R220 000 that </w:t>
      </w:r>
      <w:r w:rsidR="00CA352D">
        <w:rPr>
          <w:rFonts w:cs="Times New Roman"/>
          <w:sz w:val="28"/>
          <w:szCs w:val="28"/>
        </w:rPr>
        <w:t xml:space="preserve">was an </w:t>
      </w:r>
      <w:r w:rsidR="00CA352D">
        <w:rPr>
          <w:rFonts w:cs="Times New Roman"/>
          <w:i/>
          <w:iCs/>
          <w:sz w:val="28"/>
          <w:szCs w:val="28"/>
        </w:rPr>
        <w:t>indebitum</w:t>
      </w:r>
      <w:r>
        <w:rPr>
          <w:rFonts w:cs="Times New Roman"/>
          <w:sz w:val="28"/>
          <w:szCs w:val="28"/>
        </w:rPr>
        <w:t xml:space="preserve">, which could be recovered in terms of the </w:t>
      </w:r>
      <w:r w:rsidRPr="009C321F">
        <w:rPr>
          <w:rFonts w:cs="Times New Roman"/>
          <w:i/>
          <w:sz w:val="28"/>
          <w:szCs w:val="28"/>
        </w:rPr>
        <w:t>condictio indebiti</w:t>
      </w:r>
      <w:r>
        <w:rPr>
          <w:rFonts w:cs="Times New Roman"/>
          <w:sz w:val="28"/>
          <w:szCs w:val="28"/>
        </w:rPr>
        <w:t>.</w:t>
      </w:r>
      <w:r w:rsidR="00B1055B">
        <w:rPr>
          <w:rStyle w:val="FootnoteReference"/>
          <w:rFonts w:cs="Times New Roman"/>
          <w:sz w:val="28"/>
          <w:szCs w:val="28"/>
        </w:rPr>
        <w:footnoteReference w:id="8"/>
      </w:r>
    </w:p>
    <w:p w14:paraId="5A645F85" w14:textId="77777777" w:rsidR="005B2485" w:rsidRDefault="00320349" w:rsidP="005B2485">
      <w:pPr>
        <w:pStyle w:val="ListParagraph"/>
        <w:spacing w:after="0" w:line="360" w:lineRule="auto"/>
        <w:ind w:left="0"/>
        <w:jc w:val="both"/>
        <w:rPr>
          <w:rFonts w:cs="Times New Roman"/>
          <w:sz w:val="28"/>
          <w:szCs w:val="28"/>
        </w:rPr>
      </w:pPr>
      <w:r>
        <w:rPr>
          <w:rFonts w:cs="Times New Roman"/>
          <w:sz w:val="28"/>
          <w:szCs w:val="28"/>
        </w:rPr>
        <w:t xml:space="preserve"> </w:t>
      </w:r>
    </w:p>
    <w:p w14:paraId="57B162AF" w14:textId="00FDAE59" w:rsidR="00480F92" w:rsidRDefault="007F6C18" w:rsidP="00712240">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 xml:space="preserve">If the bank had not been enriched by </w:t>
      </w:r>
      <w:r w:rsidR="00717BE8">
        <w:rPr>
          <w:rFonts w:cs="Times New Roman"/>
          <w:sz w:val="28"/>
          <w:szCs w:val="28"/>
        </w:rPr>
        <w:t xml:space="preserve">the </w:t>
      </w:r>
      <w:r>
        <w:rPr>
          <w:rFonts w:cs="Times New Roman"/>
          <w:sz w:val="28"/>
          <w:szCs w:val="28"/>
        </w:rPr>
        <w:t>receipt of the collected amount, then</w:t>
      </w:r>
      <w:r w:rsidR="00407F6B">
        <w:rPr>
          <w:rFonts w:cs="Times New Roman"/>
          <w:sz w:val="28"/>
          <w:szCs w:val="28"/>
        </w:rPr>
        <w:t xml:space="preserve"> the </w:t>
      </w:r>
      <w:r w:rsidR="002C024E">
        <w:rPr>
          <w:rFonts w:cs="Times New Roman"/>
          <w:sz w:val="28"/>
          <w:szCs w:val="28"/>
        </w:rPr>
        <w:t xml:space="preserve">company was not </w:t>
      </w:r>
      <w:r w:rsidR="008C00F7">
        <w:rPr>
          <w:rFonts w:cs="Times New Roman"/>
          <w:sz w:val="28"/>
          <w:szCs w:val="28"/>
        </w:rPr>
        <w:t>i</w:t>
      </w:r>
      <w:r w:rsidR="00407F6B">
        <w:rPr>
          <w:rFonts w:cs="Times New Roman"/>
          <w:sz w:val="28"/>
          <w:szCs w:val="28"/>
        </w:rPr>
        <w:t>mpoverished, since the quantum of a plaintiff’s claim is the amount by which it has been</w:t>
      </w:r>
      <w:r w:rsidR="00D808A3">
        <w:rPr>
          <w:rFonts w:cs="Times New Roman"/>
          <w:sz w:val="28"/>
          <w:szCs w:val="28"/>
        </w:rPr>
        <w:t xml:space="preserve"> impoverished or by which the defendant has been enriched, whichever is the lesser.</w:t>
      </w:r>
      <w:r w:rsidR="00D808A3">
        <w:rPr>
          <w:rStyle w:val="FootnoteReference"/>
          <w:rFonts w:cs="Times New Roman"/>
          <w:sz w:val="28"/>
          <w:szCs w:val="28"/>
        </w:rPr>
        <w:footnoteReference w:id="9"/>
      </w:r>
      <w:r w:rsidR="00D808A3">
        <w:rPr>
          <w:rFonts w:cs="Times New Roman"/>
          <w:sz w:val="28"/>
          <w:szCs w:val="28"/>
        </w:rPr>
        <w:t xml:space="preserve"> </w:t>
      </w:r>
      <w:r w:rsidR="00C9678F">
        <w:rPr>
          <w:rFonts w:cs="Times New Roman"/>
          <w:sz w:val="28"/>
          <w:szCs w:val="28"/>
        </w:rPr>
        <w:t xml:space="preserve">In any event, no payment was made at </w:t>
      </w:r>
      <w:r w:rsidR="00C9678F">
        <w:rPr>
          <w:rFonts w:cs="Times New Roman"/>
          <w:sz w:val="28"/>
          <w:szCs w:val="28"/>
        </w:rPr>
        <w:lastRenderedPageBreak/>
        <w:t>the company’s expense: it</w:t>
      </w:r>
      <w:r w:rsidR="00717BE8">
        <w:rPr>
          <w:rFonts w:cs="Times New Roman"/>
          <w:sz w:val="28"/>
          <w:szCs w:val="28"/>
        </w:rPr>
        <w:t xml:space="preserve"> owed the bank R104 million plus intere</w:t>
      </w:r>
      <w:r w:rsidR="00C9678F">
        <w:rPr>
          <w:rFonts w:cs="Times New Roman"/>
          <w:sz w:val="28"/>
          <w:szCs w:val="28"/>
        </w:rPr>
        <w:t>s</w:t>
      </w:r>
      <w:r w:rsidR="00717BE8">
        <w:rPr>
          <w:rFonts w:cs="Times New Roman"/>
          <w:sz w:val="28"/>
          <w:szCs w:val="28"/>
        </w:rPr>
        <w:t>t, and its</w:t>
      </w:r>
      <w:r w:rsidR="00C9678F">
        <w:rPr>
          <w:rFonts w:cs="Times New Roman"/>
          <w:sz w:val="28"/>
          <w:szCs w:val="28"/>
        </w:rPr>
        <w:t xml:space="preserve"> debt to the bank was reduced by the collected amount.</w:t>
      </w:r>
      <w:r w:rsidR="00184C91">
        <w:rPr>
          <w:rFonts w:cs="Times New Roman"/>
          <w:sz w:val="28"/>
          <w:szCs w:val="28"/>
        </w:rPr>
        <w:t xml:space="preserve"> Only the bank could lay claim to the proceeds of the sale to West Lake.</w:t>
      </w:r>
      <w:r w:rsidR="008C00F7">
        <w:rPr>
          <w:rFonts w:cs="Times New Roman"/>
          <w:sz w:val="28"/>
          <w:szCs w:val="28"/>
        </w:rPr>
        <w:t xml:space="preserve"> </w:t>
      </w:r>
    </w:p>
    <w:p w14:paraId="1F164D86" w14:textId="77777777" w:rsidR="002C6494" w:rsidRDefault="002C6494" w:rsidP="002C6494">
      <w:pPr>
        <w:pStyle w:val="ListParagraph"/>
        <w:spacing w:after="0" w:line="360" w:lineRule="auto"/>
        <w:ind w:left="0"/>
        <w:jc w:val="both"/>
        <w:rPr>
          <w:rFonts w:cs="Times New Roman"/>
          <w:sz w:val="28"/>
          <w:szCs w:val="28"/>
        </w:rPr>
      </w:pPr>
    </w:p>
    <w:p w14:paraId="31BAF8F3" w14:textId="67CCD5B6" w:rsidR="00AC4F68" w:rsidRDefault="005B2485" w:rsidP="00712240">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I</w:t>
      </w:r>
      <w:r w:rsidR="00B1055B">
        <w:rPr>
          <w:rFonts w:cs="Times New Roman"/>
          <w:sz w:val="28"/>
          <w:szCs w:val="28"/>
        </w:rPr>
        <w:t>t follows that the company did not satisfy the requirement of enrichment at its expense</w:t>
      </w:r>
      <w:r w:rsidR="006D41F0">
        <w:rPr>
          <w:rFonts w:cs="Times New Roman"/>
          <w:sz w:val="28"/>
          <w:szCs w:val="28"/>
        </w:rPr>
        <w:t xml:space="preserve">. Neither was there </w:t>
      </w:r>
      <w:r w:rsidR="008B271E">
        <w:rPr>
          <w:rFonts w:cs="Times New Roman"/>
          <w:sz w:val="28"/>
          <w:szCs w:val="28"/>
        </w:rPr>
        <w:t xml:space="preserve">any </w:t>
      </w:r>
      <w:r w:rsidR="002C024E">
        <w:rPr>
          <w:rFonts w:cs="Times New Roman"/>
          <w:sz w:val="28"/>
          <w:szCs w:val="28"/>
        </w:rPr>
        <w:t xml:space="preserve">unjustified </w:t>
      </w:r>
      <w:r w:rsidR="008B271E">
        <w:rPr>
          <w:rFonts w:cs="Times New Roman"/>
          <w:sz w:val="28"/>
          <w:szCs w:val="28"/>
        </w:rPr>
        <w:t>enrichment</w:t>
      </w:r>
      <w:r w:rsidR="000B56B3">
        <w:rPr>
          <w:rFonts w:cs="Times New Roman"/>
          <w:sz w:val="28"/>
          <w:szCs w:val="28"/>
        </w:rPr>
        <w:t>. There was a legal basis for the bank’s receipt of the collected amount. T</w:t>
      </w:r>
      <w:r w:rsidR="006D41F0">
        <w:rPr>
          <w:rFonts w:cs="Times New Roman"/>
          <w:sz w:val="28"/>
          <w:szCs w:val="28"/>
        </w:rPr>
        <w:t>he founding affidavit state</w:t>
      </w:r>
      <w:r w:rsidR="00866AC0">
        <w:rPr>
          <w:rFonts w:cs="Times New Roman"/>
          <w:sz w:val="28"/>
          <w:szCs w:val="28"/>
        </w:rPr>
        <w:t>d</w:t>
      </w:r>
      <w:r w:rsidR="006D41F0">
        <w:rPr>
          <w:rFonts w:cs="Times New Roman"/>
          <w:sz w:val="28"/>
          <w:szCs w:val="28"/>
        </w:rPr>
        <w:t xml:space="preserve"> that </w:t>
      </w:r>
      <w:r w:rsidR="00C9678F">
        <w:rPr>
          <w:rFonts w:cs="Times New Roman"/>
          <w:sz w:val="28"/>
          <w:szCs w:val="28"/>
        </w:rPr>
        <w:t xml:space="preserve">the bank ‘was a secured creditor </w:t>
      </w:r>
      <w:r w:rsidR="006D41F0">
        <w:rPr>
          <w:rFonts w:cs="Times New Roman"/>
          <w:sz w:val="28"/>
          <w:szCs w:val="28"/>
        </w:rPr>
        <w:t>in</w:t>
      </w:r>
      <w:r w:rsidR="00C9678F">
        <w:rPr>
          <w:rFonts w:cs="Times New Roman"/>
          <w:sz w:val="28"/>
          <w:szCs w:val="28"/>
        </w:rPr>
        <w:t xml:space="preserve"> an amount in excess of R104 000 000.00’. </w:t>
      </w:r>
    </w:p>
    <w:p w14:paraId="6CED530C" w14:textId="77777777" w:rsidR="00AC4F68" w:rsidRDefault="00AC4F68" w:rsidP="00AC4F68">
      <w:pPr>
        <w:pStyle w:val="ListParagraph"/>
        <w:spacing w:after="0" w:line="360" w:lineRule="auto"/>
        <w:ind w:left="0"/>
        <w:jc w:val="both"/>
        <w:rPr>
          <w:rFonts w:cs="Times New Roman"/>
          <w:sz w:val="28"/>
          <w:szCs w:val="28"/>
        </w:rPr>
      </w:pPr>
    </w:p>
    <w:p w14:paraId="6797EC37" w14:textId="77D3C302" w:rsidR="0050078E" w:rsidRDefault="000B56B3" w:rsidP="00712240">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 xml:space="preserve">In any event, it would </w:t>
      </w:r>
      <w:r w:rsidR="00C67F4B">
        <w:rPr>
          <w:rFonts w:cs="Times New Roman"/>
          <w:sz w:val="28"/>
          <w:szCs w:val="28"/>
        </w:rPr>
        <w:t>be</w:t>
      </w:r>
      <w:r>
        <w:rPr>
          <w:rFonts w:cs="Times New Roman"/>
          <w:sz w:val="28"/>
          <w:szCs w:val="28"/>
        </w:rPr>
        <w:t xml:space="preserve"> </w:t>
      </w:r>
      <w:r w:rsidR="00D3546B">
        <w:rPr>
          <w:rFonts w:cs="Times New Roman"/>
          <w:sz w:val="28"/>
          <w:szCs w:val="28"/>
        </w:rPr>
        <w:t>un</w:t>
      </w:r>
      <w:r>
        <w:rPr>
          <w:rFonts w:cs="Times New Roman"/>
          <w:sz w:val="28"/>
          <w:szCs w:val="28"/>
        </w:rPr>
        <w:t xml:space="preserve">just </w:t>
      </w:r>
      <w:r w:rsidR="00AC4F68">
        <w:rPr>
          <w:rFonts w:cs="Times New Roman"/>
          <w:sz w:val="28"/>
          <w:szCs w:val="28"/>
        </w:rPr>
        <w:t>to require the bank, many years later, to prove its claim in the company’s estate.</w:t>
      </w:r>
      <w:r w:rsidR="00F822CF">
        <w:rPr>
          <w:rFonts w:cs="Times New Roman"/>
          <w:sz w:val="28"/>
          <w:szCs w:val="28"/>
        </w:rPr>
        <w:t xml:space="preserve"> The unchallenged evidence was that the bank could not be restored to its position as a secured creditor, since the assets were transferred to West Lake many years ago and used in the course of the latter’s business. If the bank were ordered to repay the collected amount, all that would happen is that it would have to go through the formality of proving its claim for the initial loan of </w:t>
      </w:r>
      <w:r w:rsidR="00F877F9">
        <w:rPr>
          <w:rFonts w:cs="Times New Roman"/>
          <w:sz w:val="28"/>
          <w:szCs w:val="28"/>
        </w:rPr>
        <w:t>R</w:t>
      </w:r>
      <w:r w:rsidR="00F822CF">
        <w:rPr>
          <w:rFonts w:cs="Times New Roman"/>
          <w:sz w:val="28"/>
          <w:szCs w:val="28"/>
        </w:rPr>
        <w:t>104 million plus interest</w:t>
      </w:r>
      <w:r w:rsidR="00F877F9">
        <w:rPr>
          <w:rFonts w:cs="Times New Roman"/>
          <w:sz w:val="28"/>
          <w:szCs w:val="28"/>
        </w:rPr>
        <w:t>,</w:t>
      </w:r>
      <w:r w:rsidR="00F822CF">
        <w:rPr>
          <w:rFonts w:cs="Times New Roman"/>
          <w:sz w:val="28"/>
          <w:szCs w:val="28"/>
        </w:rPr>
        <w:t xml:space="preserve"> and then be repaid</w:t>
      </w:r>
      <w:r w:rsidR="00F877F9">
        <w:rPr>
          <w:rFonts w:cs="Times New Roman"/>
          <w:sz w:val="28"/>
          <w:szCs w:val="28"/>
        </w:rPr>
        <w:t xml:space="preserve"> the amount paid to the estate, less the liquidators’ fees. The inevitable conclusion to be drawn from the facts is that the recovery of the liquidators’ fees </w:t>
      </w:r>
      <w:r w:rsidR="00D3546B">
        <w:rPr>
          <w:rFonts w:cs="Times New Roman"/>
          <w:sz w:val="28"/>
          <w:szCs w:val="28"/>
        </w:rPr>
        <w:t>wa</w:t>
      </w:r>
      <w:r w:rsidR="00F877F9">
        <w:rPr>
          <w:rFonts w:cs="Times New Roman"/>
          <w:sz w:val="28"/>
          <w:szCs w:val="28"/>
        </w:rPr>
        <w:t xml:space="preserve">s the sole reason for the claim. </w:t>
      </w:r>
      <w:r w:rsidR="0050078E">
        <w:rPr>
          <w:rFonts w:cs="Times New Roman"/>
          <w:sz w:val="28"/>
          <w:szCs w:val="28"/>
        </w:rPr>
        <w:t>As stated in Mars,</w:t>
      </w:r>
      <w:r w:rsidR="0050078E">
        <w:rPr>
          <w:rStyle w:val="FootnoteReference"/>
          <w:rFonts w:cs="Times New Roman"/>
          <w:sz w:val="28"/>
          <w:szCs w:val="28"/>
        </w:rPr>
        <w:footnoteReference w:id="10"/>
      </w:r>
      <w:r w:rsidR="0050078E">
        <w:rPr>
          <w:rFonts w:cs="Times New Roman"/>
          <w:sz w:val="28"/>
          <w:szCs w:val="28"/>
        </w:rPr>
        <w:t xml:space="preserve"> a trustee (here a liquidator) who pays a creditor before confirmation of a liquidation and distribution account, does so at his own risk.</w:t>
      </w:r>
    </w:p>
    <w:p w14:paraId="4A4DF9BC" w14:textId="77777777" w:rsidR="0050078E" w:rsidRDefault="0050078E" w:rsidP="0050078E">
      <w:pPr>
        <w:pStyle w:val="ListParagraph"/>
        <w:spacing w:after="0" w:line="360" w:lineRule="auto"/>
        <w:ind w:left="0"/>
        <w:jc w:val="both"/>
        <w:rPr>
          <w:rFonts w:cs="Times New Roman"/>
          <w:sz w:val="28"/>
          <w:szCs w:val="28"/>
        </w:rPr>
      </w:pPr>
    </w:p>
    <w:p w14:paraId="2C726F86" w14:textId="77777777" w:rsidR="002318AD" w:rsidRDefault="0050078E" w:rsidP="0050078E">
      <w:pPr>
        <w:pStyle w:val="ListParagraph"/>
        <w:numPr>
          <w:ilvl w:val="0"/>
          <w:numId w:val="19"/>
        </w:numPr>
        <w:spacing w:after="0" w:line="360" w:lineRule="auto"/>
        <w:ind w:left="0" w:firstLine="0"/>
        <w:jc w:val="both"/>
        <w:rPr>
          <w:rFonts w:cs="Times New Roman"/>
          <w:sz w:val="28"/>
          <w:szCs w:val="28"/>
        </w:rPr>
      </w:pPr>
      <w:r>
        <w:rPr>
          <w:rFonts w:cs="Times New Roman"/>
          <w:sz w:val="28"/>
          <w:szCs w:val="28"/>
        </w:rPr>
        <w:t xml:space="preserve">In the result the appeal is dismissed with costs, including the costs of two counsel. </w:t>
      </w:r>
    </w:p>
    <w:p w14:paraId="47416BDB" w14:textId="77777777" w:rsidR="002318AD" w:rsidRPr="00970D60" w:rsidRDefault="002318AD" w:rsidP="000D2B94">
      <w:pPr>
        <w:spacing w:after="0" w:line="360" w:lineRule="auto"/>
        <w:jc w:val="both"/>
        <w:rPr>
          <w:rFonts w:cs="Times New Roman"/>
          <w:sz w:val="28"/>
          <w:szCs w:val="28"/>
        </w:rPr>
      </w:pPr>
    </w:p>
    <w:p w14:paraId="33D38514" w14:textId="77777777" w:rsidR="00296845" w:rsidRPr="00970D60" w:rsidRDefault="00C733F1" w:rsidP="00C733F1">
      <w:pPr>
        <w:spacing w:after="0" w:line="360" w:lineRule="auto"/>
        <w:jc w:val="right"/>
        <w:rPr>
          <w:rFonts w:ascii="Arial" w:eastAsia="Times New Roman" w:hAnsi="Arial" w:cs="Arial"/>
          <w:sz w:val="24"/>
          <w:szCs w:val="24"/>
          <w:lang w:val="en-US" w:eastAsia="en-ZA"/>
        </w:rPr>
      </w:pPr>
      <w:r w:rsidRPr="00970D60">
        <w:rPr>
          <w:rFonts w:ascii="Arial" w:eastAsia="Times New Roman" w:hAnsi="Arial" w:cs="Arial"/>
          <w:sz w:val="24"/>
          <w:szCs w:val="24"/>
          <w:lang w:val="en-US" w:eastAsia="en-ZA"/>
        </w:rPr>
        <w:t>___________________</w:t>
      </w:r>
    </w:p>
    <w:p w14:paraId="54A525E8" w14:textId="77777777" w:rsidR="00296845" w:rsidRPr="00970D60" w:rsidRDefault="00296845" w:rsidP="00C733F1">
      <w:pPr>
        <w:spacing w:after="0" w:line="360" w:lineRule="auto"/>
        <w:jc w:val="right"/>
        <w:rPr>
          <w:rFonts w:eastAsia="Times New Roman" w:cs="Times New Roman"/>
          <w:bCs/>
          <w:sz w:val="28"/>
          <w:szCs w:val="28"/>
          <w:lang w:val="en-US" w:eastAsia="en-ZA"/>
        </w:rPr>
      </w:pPr>
      <w:r w:rsidRPr="00970D60">
        <w:rPr>
          <w:rFonts w:eastAsia="Times New Roman" w:cs="Times New Roman"/>
          <w:bCs/>
          <w:sz w:val="28"/>
          <w:szCs w:val="28"/>
          <w:lang w:val="en-US" w:eastAsia="en-ZA"/>
        </w:rPr>
        <w:t>A SCHIPPERS</w:t>
      </w:r>
    </w:p>
    <w:p w14:paraId="5EAC26B9" w14:textId="77777777" w:rsidR="00296845" w:rsidRPr="00970D60" w:rsidRDefault="00296845" w:rsidP="00C733F1">
      <w:pPr>
        <w:spacing w:after="0" w:line="360" w:lineRule="auto"/>
        <w:jc w:val="right"/>
        <w:rPr>
          <w:rFonts w:eastAsia="Times New Roman" w:cs="Times New Roman"/>
          <w:sz w:val="28"/>
          <w:szCs w:val="28"/>
          <w:lang w:val="en-US" w:eastAsia="en-ZA"/>
        </w:rPr>
      </w:pPr>
      <w:r w:rsidRPr="00970D60">
        <w:rPr>
          <w:rFonts w:eastAsia="Times New Roman" w:cs="Times New Roman"/>
          <w:sz w:val="28"/>
          <w:szCs w:val="28"/>
          <w:lang w:val="en-US" w:eastAsia="en-ZA"/>
        </w:rPr>
        <w:t>JUDGE OF APPEAL</w:t>
      </w:r>
    </w:p>
    <w:p w14:paraId="637D4675" w14:textId="77777777" w:rsidR="00CA0DB8" w:rsidRPr="00970D60" w:rsidRDefault="00CA0DB8" w:rsidP="00C90B17">
      <w:pPr>
        <w:spacing w:after="0" w:line="360" w:lineRule="auto"/>
        <w:jc w:val="both"/>
        <w:rPr>
          <w:rFonts w:eastAsia="Times New Roman" w:cs="Times New Roman"/>
          <w:sz w:val="28"/>
          <w:szCs w:val="28"/>
          <w:lang w:val="en-GB" w:eastAsia="en-ZA"/>
        </w:rPr>
      </w:pPr>
      <w:r w:rsidRPr="00970D60">
        <w:rPr>
          <w:rFonts w:eastAsia="Times New Roman" w:cs="Times New Roman"/>
          <w:sz w:val="28"/>
          <w:szCs w:val="28"/>
          <w:lang w:val="en-GB" w:eastAsia="en-GB"/>
        </w:rPr>
        <w:lastRenderedPageBreak/>
        <w:t>Appearances:</w:t>
      </w:r>
    </w:p>
    <w:p w14:paraId="5804D12A" w14:textId="77777777" w:rsidR="00CA0DB8" w:rsidRPr="00970D60" w:rsidRDefault="00CA0DB8" w:rsidP="00C90B17">
      <w:pPr>
        <w:spacing w:after="0" w:line="360" w:lineRule="auto"/>
        <w:jc w:val="both"/>
        <w:rPr>
          <w:rFonts w:eastAsia="Times New Roman" w:cs="Times New Roman"/>
          <w:sz w:val="28"/>
          <w:szCs w:val="28"/>
          <w:lang w:val="en-GB" w:eastAsia="en-GB"/>
        </w:rPr>
      </w:pPr>
    </w:p>
    <w:p w14:paraId="4BD93038" w14:textId="77777777" w:rsidR="00A11D12" w:rsidRPr="00A11D12" w:rsidRDefault="00CA0DB8" w:rsidP="00A11D12">
      <w:pPr>
        <w:spacing w:after="0" w:line="360" w:lineRule="auto"/>
        <w:contextualSpacing/>
        <w:jc w:val="both"/>
        <w:rPr>
          <w:rFonts w:cs="Times New Roman"/>
          <w:sz w:val="24"/>
          <w:szCs w:val="24"/>
        </w:rPr>
      </w:pPr>
      <w:r w:rsidRPr="00970D60">
        <w:rPr>
          <w:rFonts w:eastAsia="Times New Roman" w:cs="Times New Roman"/>
          <w:sz w:val="28"/>
          <w:szCs w:val="28"/>
          <w:lang w:val="en-GB" w:eastAsia="en-GB"/>
        </w:rPr>
        <w:t>For</w:t>
      </w:r>
      <w:r w:rsidR="004F6FA5">
        <w:rPr>
          <w:rFonts w:eastAsia="Times New Roman" w:cs="Times New Roman"/>
          <w:sz w:val="28"/>
          <w:szCs w:val="28"/>
          <w:lang w:val="en-GB" w:eastAsia="en-GB"/>
        </w:rPr>
        <w:t xml:space="preserve"> </w:t>
      </w:r>
      <w:r w:rsidR="003432BA" w:rsidRPr="00970D60">
        <w:rPr>
          <w:rFonts w:eastAsia="Times New Roman" w:cs="Times New Roman"/>
          <w:sz w:val="28"/>
          <w:szCs w:val="28"/>
          <w:lang w:val="en-GB" w:eastAsia="en-GB"/>
        </w:rPr>
        <w:t>appellant</w:t>
      </w:r>
      <w:r w:rsidRPr="00970D60">
        <w:rPr>
          <w:rFonts w:eastAsia="Times New Roman" w:cs="Times New Roman"/>
          <w:sz w:val="28"/>
          <w:szCs w:val="28"/>
          <w:lang w:val="en-GB" w:eastAsia="en-GB"/>
        </w:rPr>
        <w:t>:</w:t>
      </w:r>
      <w:r w:rsidR="000F06A2">
        <w:rPr>
          <w:rFonts w:eastAsia="Times New Roman" w:cs="Times New Roman"/>
          <w:sz w:val="28"/>
          <w:szCs w:val="28"/>
          <w:lang w:val="en-GB" w:eastAsia="en-GB"/>
        </w:rPr>
        <w:tab/>
      </w:r>
      <w:r w:rsidR="00A11D12">
        <w:rPr>
          <w:rFonts w:eastAsia="Times New Roman" w:cs="Times New Roman"/>
          <w:sz w:val="28"/>
          <w:szCs w:val="28"/>
          <w:lang w:val="en-GB" w:eastAsia="en-GB"/>
        </w:rPr>
        <w:tab/>
      </w:r>
      <w:r w:rsidR="00A11D12" w:rsidRPr="00A11D12">
        <w:rPr>
          <w:rFonts w:cs="Times New Roman"/>
          <w:sz w:val="28"/>
          <w:szCs w:val="28"/>
        </w:rPr>
        <w:t>M v R Potgieter SC</w:t>
      </w:r>
      <w:r w:rsidR="00A11D12" w:rsidRPr="00A11D12">
        <w:rPr>
          <w:rFonts w:cs="Times New Roman"/>
          <w:sz w:val="24"/>
          <w:szCs w:val="24"/>
        </w:rPr>
        <w:t xml:space="preserve"> </w:t>
      </w:r>
    </w:p>
    <w:p w14:paraId="661BA6C3" w14:textId="77777777" w:rsidR="00CA0DB8" w:rsidRPr="00970D60" w:rsidRDefault="00CA0DB8" w:rsidP="004F6FA5">
      <w:pPr>
        <w:spacing w:after="0" w:line="360" w:lineRule="auto"/>
        <w:ind w:left="2880" w:hanging="2880"/>
        <w:jc w:val="both"/>
        <w:rPr>
          <w:rFonts w:eastAsia="Times New Roman" w:cs="Times New Roman"/>
          <w:sz w:val="28"/>
          <w:szCs w:val="28"/>
          <w:lang w:eastAsia="en-GB"/>
        </w:rPr>
      </w:pPr>
      <w:r w:rsidRPr="00970D60">
        <w:rPr>
          <w:rFonts w:eastAsia="Times New Roman" w:cs="Times New Roman"/>
          <w:sz w:val="28"/>
          <w:szCs w:val="28"/>
          <w:lang w:eastAsia="en-GB"/>
        </w:rPr>
        <w:t>I</w:t>
      </w:r>
      <w:r w:rsidR="00CA1420" w:rsidRPr="00970D60">
        <w:rPr>
          <w:rFonts w:eastAsia="Times New Roman" w:cs="Times New Roman"/>
          <w:sz w:val="28"/>
          <w:szCs w:val="28"/>
          <w:lang w:eastAsia="en-GB"/>
        </w:rPr>
        <w:t>nstructed by:</w:t>
      </w:r>
      <w:r w:rsidR="00C733F1" w:rsidRPr="00970D60">
        <w:rPr>
          <w:rFonts w:eastAsia="Times New Roman" w:cs="Times New Roman"/>
          <w:sz w:val="28"/>
          <w:szCs w:val="28"/>
          <w:lang w:eastAsia="en-GB"/>
        </w:rPr>
        <w:tab/>
      </w:r>
      <w:r w:rsidR="006D109D">
        <w:rPr>
          <w:rFonts w:eastAsia="Times New Roman" w:cs="Times New Roman"/>
          <w:sz w:val="28"/>
          <w:szCs w:val="28"/>
          <w:lang w:eastAsia="en-GB"/>
        </w:rPr>
        <w:t>Smit Sewgoolam Inc, Johannesburg</w:t>
      </w:r>
    </w:p>
    <w:p w14:paraId="4DD97F8C" w14:textId="77777777" w:rsidR="00CA0DB8" w:rsidRDefault="00C733F1" w:rsidP="00C90B17">
      <w:pPr>
        <w:spacing w:after="0" w:line="360" w:lineRule="auto"/>
        <w:jc w:val="both"/>
        <w:rPr>
          <w:rFonts w:eastAsia="Times New Roman" w:cs="Times New Roman"/>
          <w:sz w:val="28"/>
          <w:szCs w:val="28"/>
          <w:lang w:eastAsia="en-GB"/>
        </w:rPr>
      </w:pPr>
      <w:r w:rsidRPr="00970D60">
        <w:rPr>
          <w:rFonts w:eastAsia="Times New Roman" w:cs="Times New Roman"/>
          <w:sz w:val="28"/>
          <w:szCs w:val="28"/>
          <w:lang w:eastAsia="en-GB"/>
        </w:rPr>
        <w:tab/>
      </w:r>
      <w:r w:rsidRPr="00970D60">
        <w:rPr>
          <w:rFonts w:eastAsia="Times New Roman" w:cs="Times New Roman"/>
          <w:sz w:val="28"/>
          <w:szCs w:val="28"/>
          <w:lang w:eastAsia="en-GB"/>
        </w:rPr>
        <w:tab/>
      </w:r>
      <w:r w:rsidRPr="00970D60">
        <w:rPr>
          <w:rFonts w:eastAsia="Times New Roman" w:cs="Times New Roman"/>
          <w:sz w:val="28"/>
          <w:szCs w:val="28"/>
          <w:lang w:eastAsia="en-GB"/>
        </w:rPr>
        <w:tab/>
      </w:r>
      <w:r w:rsidR="007A3DA8">
        <w:rPr>
          <w:rFonts w:eastAsia="Times New Roman" w:cs="Times New Roman"/>
          <w:sz w:val="28"/>
          <w:szCs w:val="28"/>
          <w:lang w:eastAsia="en-GB"/>
        </w:rPr>
        <w:tab/>
      </w:r>
      <w:r w:rsidR="006D109D">
        <w:rPr>
          <w:rFonts w:eastAsia="Times New Roman" w:cs="Times New Roman"/>
          <w:sz w:val="28"/>
          <w:szCs w:val="28"/>
          <w:lang w:eastAsia="en-GB"/>
        </w:rPr>
        <w:t>McIntyre Van der Post</w:t>
      </w:r>
      <w:r w:rsidR="00CA0DB8" w:rsidRPr="00970D60">
        <w:rPr>
          <w:rFonts w:eastAsia="Times New Roman" w:cs="Times New Roman"/>
          <w:sz w:val="28"/>
          <w:szCs w:val="28"/>
          <w:lang w:eastAsia="en-GB"/>
        </w:rPr>
        <w:t>, Bloemfontein</w:t>
      </w:r>
    </w:p>
    <w:p w14:paraId="2BFF0F9A" w14:textId="77777777" w:rsidR="00CA0DB8" w:rsidRPr="00970D60" w:rsidRDefault="00CA0DB8" w:rsidP="00C90B17">
      <w:pPr>
        <w:spacing w:after="0" w:line="360" w:lineRule="auto"/>
        <w:jc w:val="both"/>
        <w:rPr>
          <w:rFonts w:eastAsia="Times New Roman" w:cs="Times New Roman"/>
          <w:sz w:val="28"/>
          <w:szCs w:val="28"/>
          <w:lang w:eastAsia="en-GB"/>
        </w:rPr>
      </w:pPr>
      <w:r w:rsidRPr="00970D60">
        <w:rPr>
          <w:rFonts w:eastAsia="Times New Roman" w:cs="Times New Roman"/>
          <w:sz w:val="28"/>
          <w:szCs w:val="28"/>
          <w:lang w:eastAsia="en-GB"/>
        </w:rPr>
        <w:t xml:space="preserve">                                     </w:t>
      </w:r>
    </w:p>
    <w:p w14:paraId="73065671" w14:textId="77777777" w:rsidR="00A11D12" w:rsidRPr="00A11D12" w:rsidRDefault="00CA0DB8" w:rsidP="00A11D12">
      <w:pPr>
        <w:spacing w:after="0" w:line="360" w:lineRule="auto"/>
        <w:contextualSpacing/>
        <w:jc w:val="both"/>
        <w:rPr>
          <w:rFonts w:cs="Times New Roman"/>
          <w:sz w:val="24"/>
          <w:szCs w:val="24"/>
        </w:rPr>
      </w:pPr>
      <w:r w:rsidRPr="00970D60">
        <w:rPr>
          <w:rFonts w:eastAsia="Times New Roman" w:cs="Times New Roman"/>
          <w:sz w:val="28"/>
          <w:szCs w:val="28"/>
          <w:lang w:val="en-GB" w:eastAsia="en-GB"/>
        </w:rPr>
        <w:t>For</w:t>
      </w:r>
      <w:r w:rsidR="00E46F15">
        <w:rPr>
          <w:rFonts w:eastAsia="Times New Roman" w:cs="Times New Roman"/>
          <w:sz w:val="28"/>
          <w:szCs w:val="28"/>
          <w:lang w:val="en-GB" w:eastAsia="en-GB"/>
        </w:rPr>
        <w:t xml:space="preserve"> </w:t>
      </w:r>
      <w:r w:rsidR="00296845" w:rsidRPr="00970D60">
        <w:rPr>
          <w:rFonts w:eastAsia="Times New Roman" w:cs="Times New Roman"/>
          <w:sz w:val="28"/>
          <w:szCs w:val="28"/>
          <w:lang w:val="en-GB" w:eastAsia="en-GB"/>
        </w:rPr>
        <w:t>r</w:t>
      </w:r>
      <w:r w:rsidRPr="00970D60">
        <w:rPr>
          <w:rFonts w:eastAsia="Times New Roman" w:cs="Times New Roman"/>
          <w:sz w:val="28"/>
          <w:szCs w:val="28"/>
          <w:lang w:val="en-GB" w:eastAsia="en-GB"/>
        </w:rPr>
        <w:t>espondent:</w:t>
      </w:r>
      <w:r w:rsidR="00E46F15">
        <w:rPr>
          <w:rFonts w:eastAsia="Times New Roman" w:cs="Times New Roman"/>
          <w:sz w:val="28"/>
          <w:szCs w:val="28"/>
          <w:lang w:val="en-GB" w:eastAsia="en-GB"/>
        </w:rPr>
        <w:tab/>
      </w:r>
      <w:r w:rsidR="001959BD">
        <w:rPr>
          <w:rFonts w:eastAsia="Times New Roman" w:cs="Times New Roman"/>
          <w:sz w:val="28"/>
          <w:szCs w:val="28"/>
          <w:lang w:val="en-GB" w:eastAsia="en-GB"/>
        </w:rPr>
        <w:tab/>
      </w:r>
      <w:r w:rsidR="00E46F15">
        <w:rPr>
          <w:rFonts w:eastAsia="Times New Roman" w:cs="Times New Roman"/>
          <w:sz w:val="28"/>
          <w:szCs w:val="28"/>
          <w:lang w:eastAsia="en-GB"/>
        </w:rPr>
        <w:t xml:space="preserve"> </w:t>
      </w:r>
      <w:r w:rsidR="00A11D12" w:rsidRPr="00A11D12">
        <w:rPr>
          <w:rFonts w:cs="Times New Roman"/>
          <w:sz w:val="28"/>
          <w:szCs w:val="28"/>
        </w:rPr>
        <w:t xml:space="preserve">P Stais SC </w:t>
      </w:r>
      <w:r w:rsidR="00A11D12">
        <w:rPr>
          <w:rFonts w:cs="Times New Roman"/>
          <w:sz w:val="28"/>
          <w:szCs w:val="28"/>
        </w:rPr>
        <w:t xml:space="preserve">(with him </w:t>
      </w:r>
      <w:r w:rsidR="00A11D12" w:rsidRPr="00A11D12">
        <w:rPr>
          <w:rFonts w:cs="Times New Roman"/>
          <w:sz w:val="28"/>
          <w:szCs w:val="28"/>
        </w:rPr>
        <w:t>G D Wickins SC</w:t>
      </w:r>
      <w:r w:rsidR="00A11D12">
        <w:rPr>
          <w:rFonts w:cs="Times New Roman"/>
          <w:sz w:val="28"/>
          <w:szCs w:val="28"/>
        </w:rPr>
        <w:t>)</w:t>
      </w:r>
    </w:p>
    <w:p w14:paraId="552F228A" w14:textId="77777777" w:rsidR="00CA0DB8" w:rsidRPr="00970D60" w:rsidRDefault="00CA0DB8" w:rsidP="00C90B17">
      <w:pPr>
        <w:spacing w:after="0" w:line="360" w:lineRule="auto"/>
        <w:jc w:val="both"/>
        <w:rPr>
          <w:rFonts w:eastAsia="Times New Roman" w:cs="Times New Roman"/>
          <w:sz w:val="28"/>
          <w:szCs w:val="28"/>
          <w:lang w:eastAsia="en-GB"/>
        </w:rPr>
      </w:pPr>
      <w:r w:rsidRPr="00970D60">
        <w:rPr>
          <w:rFonts w:eastAsia="Times New Roman" w:cs="Times New Roman"/>
          <w:sz w:val="28"/>
          <w:szCs w:val="28"/>
          <w:lang w:val="en-GB" w:eastAsia="en-GB"/>
        </w:rPr>
        <w:t>Instructed by:</w:t>
      </w:r>
      <w:r w:rsidRPr="00970D60">
        <w:rPr>
          <w:rFonts w:eastAsia="Times New Roman" w:cs="Times New Roman"/>
          <w:sz w:val="28"/>
          <w:szCs w:val="28"/>
          <w:lang w:val="en-GB" w:eastAsia="en-GB"/>
        </w:rPr>
        <w:tab/>
      </w:r>
      <w:r w:rsidR="00E46F15">
        <w:rPr>
          <w:rFonts w:eastAsia="Times New Roman" w:cs="Times New Roman"/>
          <w:sz w:val="28"/>
          <w:szCs w:val="28"/>
          <w:lang w:val="en-GB" w:eastAsia="en-GB"/>
        </w:rPr>
        <w:tab/>
      </w:r>
      <w:r w:rsidR="006D109D">
        <w:rPr>
          <w:rFonts w:eastAsia="Times New Roman" w:cs="Times New Roman"/>
          <w:sz w:val="28"/>
          <w:szCs w:val="28"/>
          <w:lang w:eastAsia="en-GB"/>
        </w:rPr>
        <w:t>Brooks &amp; Braatvedt Inc, Johannesburg</w:t>
      </w:r>
    </w:p>
    <w:p w14:paraId="0C4CDAC8" w14:textId="77777777" w:rsidR="00CA0DB8" w:rsidRDefault="00C733F1" w:rsidP="00C90B17">
      <w:pPr>
        <w:spacing w:after="0" w:line="360" w:lineRule="auto"/>
        <w:jc w:val="both"/>
        <w:rPr>
          <w:rFonts w:eastAsia="Times New Roman" w:cs="Times New Roman"/>
          <w:sz w:val="28"/>
          <w:szCs w:val="28"/>
          <w:lang w:eastAsia="en-GB"/>
        </w:rPr>
      </w:pPr>
      <w:r w:rsidRPr="00970D60">
        <w:rPr>
          <w:rFonts w:eastAsia="Times New Roman" w:cs="Times New Roman"/>
          <w:sz w:val="28"/>
          <w:szCs w:val="28"/>
          <w:lang w:eastAsia="en-GB"/>
        </w:rPr>
        <w:tab/>
      </w:r>
      <w:r w:rsidRPr="00970D60">
        <w:rPr>
          <w:rFonts w:eastAsia="Times New Roman" w:cs="Times New Roman"/>
          <w:sz w:val="28"/>
          <w:szCs w:val="28"/>
          <w:lang w:eastAsia="en-GB"/>
        </w:rPr>
        <w:tab/>
      </w:r>
      <w:r w:rsidRPr="00970D60">
        <w:rPr>
          <w:rFonts w:eastAsia="Times New Roman" w:cs="Times New Roman"/>
          <w:sz w:val="28"/>
          <w:szCs w:val="28"/>
          <w:lang w:eastAsia="en-GB"/>
        </w:rPr>
        <w:tab/>
      </w:r>
      <w:r w:rsidR="00E46F15">
        <w:rPr>
          <w:rFonts w:eastAsia="Times New Roman" w:cs="Times New Roman"/>
          <w:sz w:val="28"/>
          <w:szCs w:val="28"/>
          <w:lang w:eastAsia="en-GB"/>
        </w:rPr>
        <w:t xml:space="preserve"> </w:t>
      </w:r>
      <w:r w:rsidR="00E46F15">
        <w:rPr>
          <w:rFonts w:eastAsia="Times New Roman" w:cs="Times New Roman"/>
          <w:sz w:val="28"/>
          <w:szCs w:val="28"/>
          <w:lang w:eastAsia="en-GB"/>
        </w:rPr>
        <w:tab/>
      </w:r>
      <w:r w:rsidR="006D109D">
        <w:rPr>
          <w:rFonts w:eastAsia="Times New Roman" w:cs="Times New Roman"/>
          <w:sz w:val="28"/>
          <w:szCs w:val="28"/>
          <w:lang w:eastAsia="en-GB"/>
        </w:rPr>
        <w:t>Honey Attorneys Inc</w:t>
      </w:r>
      <w:r w:rsidR="001959BD">
        <w:rPr>
          <w:rFonts w:eastAsia="Times New Roman" w:cs="Times New Roman"/>
          <w:sz w:val="28"/>
          <w:szCs w:val="28"/>
          <w:lang w:eastAsia="en-GB"/>
        </w:rPr>
        <w:t>,</w:t>
      </w:r>
      <w:r w:rsidR="00CA0DB8" w:rsidRPr="00970D60">
        <w:rPr>
          <w:rFonts w:eastAsia="Times New Roman" w:cs="Times New Roman"/>
          <w:sz w:val="28"/>
          <w:szCs w:val="28"/>
          <w:lang w:eastAsia="en-GB"/>
        </w:rPr>
        <w:t xml:space="preserve"> Bloemfo</w:t>
      </w:r>
      <w:r w:rsidR="001959BD">
        <w:rPr>
          <w:rFonts w:eastAsia="Times New Roman" w:cs="Times New Roman"/>
          <w:sz w:val="28"/>
          <w:szCs w:val="28"/>
          <w:lang w:eastAsia="en-GB"/>
        </w:rPr>
        <w:t>n</w:t>
      </w:r>
      <w:r w:rsidR="00CA0DB8" w:rsidRPr="00970D60">
        <w:rPr>
          <w:rFonts w:eastAsia="Times New Roman" w:cs="Times New Roman"/>
          <w:sz w:val="28"/>
          <w:szCs w:val="28"/>
          <w:lang w:eastAsia="en-GB"/>
        </w:rPr>
        <w:t>tein</w:t>
      </w:r>
    </w:p>
    <w:p w14:paraId="7B71EB8A" w14:textId="77777777" w:rsidR="00003FE0" w:rsidRDefault="00003FE0" w:rsidP="00C90B17">
      <w:pPr>
        <w:spacing w:after="0" w:line="360" w:lineRule="auto"/>
        <w:jc w:val="both"/>
        <w:rPr>
          <w:rFonts w:eastAsia="Times New Roman" w:cs="Times New Roman"/>
          <w:sz w:val="28"/>
          <w:szCs w:val="28"/>
          <w:lang w:eastAsia="en-GB"/>
        </w:rPr>
      </w:pPr>
    </w:p>
    <w:sectPr w:rsidR="00003FE0" w:rsidSect="00FA6203">
      <w:headerReference w:type="default" r:id="rId9"/>
      <w:footerReference w:type="default" r:id="rId10"/>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31C8E" w14:textId="77777777" w:rsidR="00EF707E" w:rsidRDefault="00EF707E" w:rsidP="005F2683">
      <w:pPr>
        <w:spacing w:after="0" w:line="240" w:lineRule="auto"/>
      </w:pPr>
      <w:r>
        <w:separator/>
      </w:r>
    </w:p>
  </w:endnote>
  <w:endnote w:type="continuationSeparator" w:id="0">
    <w:p w14:paraId="2E2F10C0" w14:textId="77777777" w:rsidR="00EF707E" w:rsidRDefault="00EF707E" w:rsidP="005F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9FF4" w14:textId="77777777" w:rsidR="001F18D2" w:rsidRDefault="001F18D2" w:rsidP="005F2683">
    <w:pPr>
      <w:pStyle w:val="Footer"/>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B0D8B" w14:textId="77777777" w:rsidR="00EF707E" w:rsidRDefault="00EF707E" w:rsidP="005F2683">
      <w:pPr>
        <w:spacing w:after="0" w:line="240" w:lineRule="auto"/>
      </w:pPr>
      <w:r>
        <w:separator/>
      </w:r>
    </w:p>
  </w:footnote>
  <w:footnote w:type="continuationSeparator" w:id="0">
    <w:p w14:paraId="1A9C2C55" w14:textId="77777777" w:rsidR="00EF707E" w:rsidRDefault="00EF707E" w:rsidP="005F2683">
      <w:pPr>
        <w:spacing w:after="0" w:line="240" w:lineRule="auto"/>
      </w:pPr>
      <w:r>
        <w:continuationSeparator/>
      </w:r>
    </w:p>
  </w:footnote>
  <w:footnote w:id="1">
    <w:p w14:paraId="4439B0EC" w14:textId="5442FEB5" w:rsidR="001F18D2" w:rsidRPr="00FA5AF1" w:rsidRDefault="001F18D2" w:rsidP="00E46BC5">
      <w:pPr>
        <w:pStyle w:val="FootnoteText"/>
        <w:jc w:val="both"/>
        <w:rPr>
          <w:rFonts w:cs="Times New Roman"/>
        </w:rPr>
      </w:pPr>
      <w:r w:rsidRPr="00FA5AF1">
        <w:rPr>
          <w:rStyle w:val="FootnoteReference"/>
          <w:rFonts w:cs="Times New Roman"/>
        </w:rPr>
        <w:footnoteRef/>
      </w:r>
      <w:r w:rsidRPr="00FA5AF1">
        <w:rPr>
          <w:rFonts w:cs="Times New Roman"/>
        </w:rPr>
        <w:t xml:space="preserve"> </w:t>
      </w:r>
      <w:r w:rsidRPr="00FA5AF1">
        <w:rPr>
          <w:rFonts w:cs="Times New Roman"/>
          <w:i/>
        </w:rPr>
        <w:t xml:space="preserve">Bowman, De Wet and Du Plessis NNO </w:t>
      </w:r>
      <w:r>
        <w:rPr>
          <w:rFonts w:cs="Times New Roman"/>
          <w:i/>
        </w:rPr>
        <w:t>and O</w:t>
      </w:r>
      <w:r w:rsidRPr="00FA5AF1">
        <w:rPr>
          <w:rFonts w:cs="Times New Roman"/>
          <w:i/>
        </w:rPr>
        <w:t xml:space="preserve">thers v </w:t>
      </w:r>
      <w:r>
        <w:rPr>
          <w:rFonts w:cs="Times New Roman"/>
          <w:i/>
        </w:rPr>
        <w:t>Fidelity B</w:t>
      </w:r>
      <w:r w:rsidRPr="00FA5AF1">
        <w:rPr>
          <w:rFonts w:cs="Times New Roman"/>
          <w:i/>
        </w:rPr>
        <w:t>ank Ltd</w:t>
      </w:r>
      <w:r w:rsidRPr="00FA5AF1">
        <w:rPr>
          <w:rFonts w:cs="Times New Roman"/>
        </w:rPr>
        <w:t xml:space="preserve"> </w:t>
      </w:r>
      <w:r w:rsidR="00954F0E">
        <w:rPr>
          <w:rFonts w:cs="Times New Roman"/>
        </w:rPr>
        <w:t xml:space="preserve">[1996] ZASCA 141; </w:t>
      </w:r>
      <w:r w:rsidRPr="00FA5AF1">
        <w:rPr>
          <w:rFonts w:cs="Times New Roman"/>
        </w:rPr>
        <w:t>19</w:t>
      </w:r>
      <w:r w:rsidR="00954F0E">
        <w:rPr>
          <w:rFonts w:cs="Times New Roman"/>
        </w:rPr>
        <w:t>9</w:t>
      </w:r>
      <w:r w:rsidRPr="00FA5AF1">
        <w:rPr>
          <w:rFonts w:cs="Times New Roman"/>
        </w:rPr>
        <w:t xml:space="preserve">7 (2) SA 35 (A) </w:t>
      </w:r>
      <w:r w:rsidRPr="00C67F4B">
        <w:rPr>
          <w:rFonts w:cs="Times New Roman"/>
        </w:rPr>
        <w:t>at</w:t>
      </w:r>
      <w:r w:rsidR="00954F0E">
        <w:rPr>
          <w:rFonts w:cs="Times New Roman"/>
        </w:rPr>
        <w:t xml:space="preserve"> 42A.</w:t>
      </w:r>
      <w:r w:rsidRPr="00FA5AF1">
        <w:rPr>
          <w:rFonts w:cs="Times New Roman"/>
        </w:rPr>
        <w:t xml:space="preserve">  </w:t>
      </w:r>
    </w:p>
  </w:footnote>
  <w:footnote w:id="2">
    <w:p w14:paraId="744537C1" w14:textId="0757008D" w:rsidR="00717BE8" w:rsidRPr="004A2C75" w:rsidRDefault="00717BE8" w:rsidP="00717BE8">
      <w:pPr>
        <w:pStyle w:val="FootnoteText"/>
        <w:rPr>
          <w:rFonts w:cs="Times New Roman"/>
        </w:rPr>
      </w:pPr>
      <w:r w:rsidRPr="004A2C75">
        <w:rPr>
          <w:rStyle w:val="FootnoteReference"/>
          <w:rFonts w:cs="Times New Roman"/>
        </w:rPr>
        <w:footnoteRef/>
      </w:r>
      <w:r w:rsidRPr="004A2C75">
        <w:rPr>
          <w:rFonts w:cs="Times New Roman"/>
        </w:rPr>
        <w:t xml:space="preserve"> </w:t>
      </w:r>
      <w:r w:rsidR="00230FA5" w:rsidRPr="00BC7962">
        <w:rPr>
          <w:rFonts w:cs="Times New Roman"/>
          <w:iCs/>
        </w:rPr>
        <w:t>Ibid</w:t>
      </w:r>
      <w:r>
        <w:rPr>
          <w:rFonts w:cs="Times New Roman"/>
        </w:rPr>
        <w:t>.</w:t>
      </w:r>
    </w:p>
  </w:footnote>
  <w:footnote w:id="3">
    <w:p w14:paraId="1E78E824" w14:textId="77777777" w:rsidR="001F18D2" w:rsidRPr="004A2C75" w:rsidRDefault="001F18D2" w:rsidP="00682C14">
      <w:pPr>
        <w:pStyle w:val="FootnoteText"/>
        <w:rPr>
          <w:rFonts w:cs="Times New Roman"/>
        </w:rPr>
      </w:pPr>
      <w:r w:rsidRPr="004A2C75">
        <w:rPr>
          <w:rStyle w:val="FootnoteReference"/>
          <w:rFonts w:cs="Times New Roman"/>
        </w:rPr>
        <w:footnoteRef/>
      </w:r>
      <w:r w:rsidRPr="004A2C75">
        <w:rPr>
          <w:rFonts w:cs="Times New Roman"/>
        </w:rPr>
        <w:t xml:space="preserve"> </w:t>
      </w:r>
      <w:r w:rsidRPr="004A2C75">
        <w:rPr>
          <w:rFonts w:cs="Times New Roman"/>
          <w:i/>
        </w:rPr>
        <w:t>Van Wijk’s Trustee v African Bank Corporation</w:t>
      </w:r>
      <w:r w:rsidRPr="004A2C75">
        <w:rPr>
          <w:rFonts w:cs="Times New Roman"/>
        </w:rPr>
        <w:t xml:space="preserve"> 1912 TPD 44 at 52-53.</w:t>
      </w:r>
    </w:p>
  </w:footnote>
  <w:footnote w:id="4">
    <w:p w14:paraId="1F6E7ED4" w14:textId="0A830C2C" w:rsidR="00717BE8" w:rsidRPr="00717BE8" w:rsidRDefault="00717BE8">
      <w:pPr>
        <w:pStyle w:val="FootnoteText"/>
        <w:rPr>
          <w:rFonts w:cs="Times New Roman"/>
        </w:rPr>
      </w:pPr>
      <w:r w:rsidRPr="00717BE8">
        <w:rPr>
          <w:rStyle w:val="FootnoteReference"/>
          <w:rFonts w:cs="Times New Roman"/>
        </w:rPr>
        <w:footnoteRef/>
      </w:r>
      <w:r w:rsidRPr="00717BE8">
        <w:rPr>
          <w:rFonts w:cs="Times New Roman"/>
        </w:rPr>
        <w:t xml:space="preserve"> </w:t>
      </w:r>
      <w:r w:rsidRPr="00BC7962">
        <w:rPr>
          <w:rFonts w:cs="Times New Roman"/>
          <w:i/>
          <w:iCs/>
        </w:rPr>
        <w:t>Bowman</w:t>
      </w:r>
      <w:r w:rsidRPr="00717BE8">
        <w:rPr>
          <w:rFonts w:cs="Times New Roman"/>
        </w:rPr>
        <w:t xml:space="preserve"> fn </w:t>
      </w:r>
      <w:r w:rsidR="009F7031">
        <w:rPr>
          <w:rFonts w:cs="Times New Roman"/>
        </w:rPr>
        <w:t>1</w:t>
      </w:r>
      <w:r w:rsidRPr="00717BE8">
        <w:rPr>
          <w:rFonts w:cs="Times New Roman"/>
        </w:rPr>
        <w:t>.</w:t>
      </w:r>
    </w:p>
  </w:footnote>
  <w:footnote w:id="5">
    <w:p w14:paraId="6D044502" w14:textId="4EF16498" w:rsidR="001F18D2" w:rsidRPr="00753114" w:rsidRDefault="001F18D2" w:rsidP="00753114">
      <w:pPr>
        <w:pStyle w:val="FootnoteText"/>
        <w:jc w:val="both"/>
        <w:rPr>
          <w:rFonts w:cs="Times New Roman"/>
        </w:rPr>
      </w:pPr>
      <w:r w:rsidRPr="00753114">
        <w:rPr>
          <w:rStyle w:val="FootnoteReference"/>
          <w:rFonts w:cs="Times New Roman"/>
        </w:rPr>
        <w:footnoteRef/>
      </w:r>
      <w:r w:rsidRPr="00753114">
        <w:rPr>
          <w:rFonts w:cs="Times New Roman"/>
        </w:rPr>
        <w:t xml:space="preserve"> </w:t>
      </w:r>
      <w:r w:rsidRPr="00753114">
        <w:rPr>
          <w:rFonts w:cs="Times New Roman"/>
          <w:i/>
        </w:rPr>
        <w:t>Fletcher &amp; Fletcher v Bulawayo Waterworks Co Ltd, Bulawayo Waterworks Co Ltd v Fletcher &amp; Fletcher</w:t>
      </w:r>
      <w:r w:rsidRPr="00753114">
        <w:rPr>
          <w:rFonts w:cs="Times New Roman"/>
        </w:rPr>
        <w:t xml:space="preserve"> 1915 AD 636</w:t>
      </w:r>
      <w:r w:rsidR="00C67F4B">
        <w:rPr>
          <w:rFonts w:cs="Times New Roman"/>
        </w:rPr>
        <w:t xml:space="preserve"> </w:t>
      </w:r>
      <w:r w:rsidRPr="00753114">
        <w:rPr>
          <w:rFonts w:cs="Times New Roman"/>
        </w:rPr>
        <w:t>at 649.</w:t>
      </w:r>
    </w:p>
  </w:footnote>
  <w:footnote w:id="6">
    <w:p w14:paraId="57D84E31" w14:textId="3E191D0D" w:rsidR="001F18D2" w:rsidRDefault="001F18D2">
      <w:pPr>
        <w:pStyle w:val="FootnoteText"/>
      </w:pPr>
      <w:r>
        <w:rPr>
          <w:rStyle w:val="FootnoteReference"/>
        </w:rPr>
        <w:footnoteRef/>
      </w:r>
      <w:r>
        <w:t xml:space="preserve"> </w:t>
      </w:r>
      <w:r w:rsidR="008B056D">
        <w:t xml:space="preserve">17 </w:t>
      </w:r>
      <w:r w:rsidR="006C6386" w:rsidRPr="00BC7962">
        <w:rPr>
          <w:i/>
        </w:rPr>
        <w:t>Lawsa</w:t>
      </w:r>
      <w:r w:rsidR="006C6386">
        <w:t xml:space="preserve"> </w:t>
      </w:r>
      <w:r>
        <w:t xml:space="preserve">3 ed para 209.  </w:t>
      </w:r>
    </w:p>
  </w:footnote>
  <w:footnote w:id="7">
    <w:p w14:paraId="1B17B794" w14:textId="247A9DBD" w:rsidR="00D163B3" w:rsidRDefault="00D163B3" w:rsidP="00D163B3">
      <w:pPr>
        <w:pStyle w:val="CommentText"/>
      </w:pPr>
      <w:r>
        <w:rPr>
          <w:rStyle w:val="FootnoteReference"/>
        </w:rPr>
        <w:footnoteRef/>
      </w:r>
      <w:r>
        <w:t xml:space="preserve"> </w:t>
      </w:r>
      <w:r w:rsidR="006C6386">
        <w:t xml:space="preserve">17 </w:t>
      </w:r>
      <w:r w:rsidR="006C6386" w:rsidRPr="00BC7962">
        <w:rPr>
          <w:i/>
        </w:rPr>
        <w:t>Lawsa</w:t>
      </w:r>
      <w:r>
        <w:t xml:space="preserve"> </w:t>
      </w:r>
      <w:r w:rsidR="006C6386">
        <w:t xml:space="preserve">3 ed </w:t>
      </w:r>
      <w:r>
        <w:t>para 214.</w:t>
      </w:r>
    </w:p>
    <w:p w14:paraId="7DB19C5D" w14:textId="0F17C73C" w:rsidR="00D163B3" w:rsidRDefault="00D163B3">
      <w:pPr>
        <w:pStyle w:val="FootnoteText"/>
      </w:pPr>
    </w:p>
  </w:footnote>
  <w:footnote w:id="8">
    <w:p w14:paraId="203CA05E" w14:textId="0F021A01" w:rsidR="001F18D2" w:rsidRPr="00B1055B" w:rsidRDefault="001F18D2" w:rsidP="002B7765">
      <w:pPr>
        <w:pStyle w:val="FootnoteText"/>
        <w:rPr>
          <w:rFonts w:cs="Times New Roman"/>
        </w:rPr>
      </w:pPr>
      <w:r w:rsidRPr="00B1055B">
        <w:rPr>
          <w:rStyle w:val="FootnoteReference"/>
          <w:rFonts w:cs="Times New Roman"/>
        </w:rPr>
        <w:footnoteRef/>
      </w:r>
      <w:r w:rsidRPr="00B1055B">
        <w:rPr>
          <w:rFonts w:cs="Times New Roman"/>
        </w:rPr>
        <w:t xml:space="preserve"> </w:t>
      </w:r>
      <w:r w:rsidRPr="00B1055B">
        <w:rPr>
          <w:rFonts w:cs="Times New Roman"/>
          <w:i/>
        </w:rPr>
        <w:t>Bowman</w:t>
      </w:r>
      <w:r w:rsidRPr="00B1055B">
        <w:rPr>
          <w:rFonts w:cs="Times New Roman"/>
        </w:rPr>
        <w:t xml:space="preserve"> fn </w:t>
      </w:r>
      <w:r w:rsidR="00185182">
        <w:rPr>
          <w:rFonts w:cs="Times New Roman"/>
        </w:rPr>
        <w:t>1</w:t>
      </w:r>
      <w:r w:rsidRPr="00B1055B">
        <w:rPr>
          <w:rFonts w:cs="Times New Roman"/>
        </w:rPr>
        <w:t xml:space="preserve"> at </w:t>
      </w:r>
      <w:r w:rsidR="0041448A">
        <w:t>43F-G.</w:t>
      </w:r>
      <w:r w:rsidR="0041448A" w:rsidRPr="00B1055B" w:rsidDel="0041448A">
        <w:rPr>
          <w:rFonts w:cs="Times New Roman"/>
        </w:rPr>
        <w:t xml:space="preserve"> </w:t>
      </w:r>
    </w:p>
  </w:footnote>
  <w:footnote w:id="9">
    <w:p w14:paraId="50E10592" w14:textId="5EAC50A2" w:rsidR="001F18D2" w:rsidRPr="00D808A3" w:rsidRDefault="001F18D2" w:rsidP="002B7765">
      <w:pPr>
        <w:pStyle w:val="FootnoteText"/>
        <w:rPr>
          <w:rFonts w:cs="Times New Roman"/>
        </w:rPr>
      </w:pPr>
      <w:r w:rsidRPr="00D808A3">
        <w:rPr>
          <w:rStyle w:val="FootnoteReference"/>
          <w:rFonts w:cs="Times New Roman"/>
        </w:rPr>
        <w:footnoteRef/>
      </w:r>
      <w:r w:rsidRPr="00D808A3">
        <w:rPr>
          <w:rFonts w:cs="Times New Roman"/>
        </w:rPr>
        <w:t xml:space="preserve"> </w:t>
      </w:r>
      <w:r w:rsidRPr="00D808A3">
        <w:rPr>
          <w:rFonts w:cs="Times New Roman"/>
          <w:i/>
        </w:rPr>
        <w:t>Fletcher &amp; Fletcher</w:t>
      </w:r>
      <w:r w:rsidRPr="00D808A3">
        <w:rPr>
          <w:rFonts w:cs="Times New Roman"/>
        </w:rPr>
        <w:t xml:space="preserve"> fn </w:t>
      </w:r>
      <w:r w:rsidR="00185182">
        <w:rPr>
          <w:rFonts w:cs="Times New Roman"/>
        </w:rPr>
        <w:t>5</w:t>
      </w:r>
      <w:r w:rsidRPr="00D808A3">
        <w:rPr>
          <w:rFonts w:cs="Times New Roman"/>
        </w:rPr>
        <w:t xml:space="preserve"> at 649.</w:t>
      </w:r>
    </w:p>
  </w:footnote>
  <w:footnote w:id="10">
    <w:p w14:paraId="639FA08E" w14:textId="139E4081" w:rsidR="0050078E" w:rsidRPr="00187CB8" w:rsidRDefault="0050078E" w:rsidP="0050078E">
      <w:pPr>
        <w:pStyle w:val="FootnoteText"/>
        <w:rPr>
          <w:rFonts w:cs="Times New Roman"/>
        </w:rPr>
      </w:pPr>
      <w:r w:rsidRPr="00187CB8">
        <w:rPr>
          <w:rStyle w:val="FootnoteReference"/>
          <w:rFonts w:cs="Times New Roman"/>
        </w:rPr>
        <w:footnoteRef/>
      </w:r>
      <w:r w:rsidRPr="00187CB8">
        <w:rPr>
          <w:rFonts w:cs="Times New Roman"/>
        </w:rPr>
        <w:t xml:space="preserve"> E Bertelsmann</w:t>
      </w:r>
      <w:r w:rsidR="00187CB8" w:rsidRPr="00187CB8">
        <w:rPr>
          <w:rFonts w:cs="Times New Roman"/>
        </w:rPr>
        <w:t xml:space="preserve"> et al (eds) </w:t>
      </w:r>
      <w:r w:rsidR="00187CB8" w:rsidRPr="00187CB8">
        <w:rPr>
          <w:rFonts w:cs="Times New Roman"/>
          <w:i/>
        </w:rPr>
        <w:t>Mars</w:t>
      </w:r>
      <w:r w:rsidR="00C67F4B">
        <w:rPr>
          <w:rFonts w:cs="Times New Roman"/>
          <w:i/>
        </w:rPr>
        <w:t>:</w:t>
      </w:r>
      <w:r w:rsidR="00187CB8" w:rsidRPr="00187CB8">
        <w:rPr>
          <w:rFonts w:cs="Times New Roman"/>
          <w:i/>
        </w:rPr>
        <w:t xml:space="preserve"> The Law of Insolvency</w:t>
      </w:r>
      <w:r w:rsidR="00187CB8" w:rsidRPr="00187CB8">
        <w:rPr>
          <w:rFonts w:cs="Times New Roman"/>
        </w:rPr>
        <w:t xml:space="preserve"> 10 ed </w:t>
      </w:r>
      <w:r w:rsidR="00C67F4B">
        <w:rPr>
          <w:rFonts w:cs="Times New Roman"/>
        </w:rPr>
        <w:t>(</w:t>
      </w:r>
      <w:r w:rsidR="00187CB8" w:rsidRPr="00187CB8">
        <w:rPr>
          <w:rFonts w:cs="Times New Roman"/>
        </w:rPr>
        <w:t xml:space="preserve">2019) at 597 para 23.10.2.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365401"/>
      <w:docPartObj>
        <w:docPartGallery w:val="Page Numbers (Top of Page)"/>
        <w:docPartUnique/>
      </w:docPartObj>
    </w:sdtPr>
    <w:sdtEndPr>
      <w:rPr>
        <w:noProof/>
      </w:rPr>
    </w:sdtEndPr>
    <w:sdtContent>
      <w:p w14:paraId="3EFC7C46" w14:textId="75DBF5EC" w:rsidR="001F18D2" w:rsidRDefault="001F18D2">
        <w:pPr>
          <w:pStyle w:val="Header"/>
          <w:jc w:val="right"/>
        </w:pPr>
        <w:r>
          <w:fldChar w:fldCharType="begin"/>
        </w:r>
        <w:r>
          <w:instrText xml:space="preserve"> PAGE   \* MERGEFORMAT </w:instrText>
        </w:r>
        <w:r>
          <w:fldChar w:fldCharType="separate"/>
        </w:r>
        <w:r w:rsidR="004D1DF5">
          <w:rPr>
            <w:noProof/>
          </w:rPr>
          <w:t>6</w:t>
        </w:r>
        <w:r>
          <w:rPr>
            <w:noProof/>
          </w:rPr>
          <w:fldChar w:fldCharType="end"/>
        </w:r>
      </w:p>
    </w:sdtContent>
  </w:sdt>
  <w:p w14:paraId="77385A6D" w14:textId="77777777" w:rsidR="001F18D2" w:rsidRDefault="001F18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749"/>
    <w:multiLevelType w:val="hybridMultilevel"/>
    <w:tmpl w:val="1F5A3456"/>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E9B7973"/>
    <w:multiLevelType w:val="hybridMultilevel"/>
    <w:tmpl w:val="FC086D0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2B43926"/>
    <w:multiLevelType w:val="hybridMultilevel"/>
    <w:tmpl w:val="3DA6605A"/>
    <w:lvl w:ilvl="0" w:tplc="BC50E052">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116793"/>
    <w:multiLevelType w:val="hybridMultilevel"/>
    <w:tmpl w:val="5B4270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9660263"/>
    <w:multiLevelType w:val="hybridMultilevel"/>
    <w:tmpl w:val="836AFC7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255E49DC"/>
    <w:multiLevelType w:val="hybridMultilevel"/>
    <w:tmpl w:val="44E20F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1E976DE"/>
    <w:multiLevelType w:val="hybridMultilevel"/>
    <w:tmpl w:val="D93A0206"/>
    <w:lvl w:ilvl="0" w:tplc="21DA29D8">
      <w:start w:val="1"/>
      <w:numFmt w:val="decimal"/>
      <w:lvlText w:val="[%1]"/>
      <w:lvlJc w:val="left"/>
      <w:pPr>
        <w:ind w:left="720" w:hanging="360"/>
      </w:pPr>
      <w:rPr>
        <w:rFonts w:ascii="Times New Roman" w:hAnsi="Times New Roman" w:cs="Times New Roman" w:hint="default"/>
        <w:b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39B005B"/>
    <w:multiLevelType w:val="hybridMultilevel"/>
    <w:tmpl w:val="79AE954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39C1EC4"/>
    <w:multiLevelType w:val="hybridMultilevel"/>
    <w:tmpl w:val="E438F3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3E45EB0"/>
    <w:multiLevelType w:val="hybridMultilevel"/>
    <w:tmpl w:val="5A2016DC"/>
    <w:lvl w:ilvl="0" w:tplc="7D44F698">
      <w:start w:val="1"/>
      <w:numFmt w:val="decimal"/>
      <w:lvlText w:val="%1"/>
      <w:lvlJc w:val="left"/>
      <w:pPr>
        <w:ind w:left="360" w:hanging="360"/>
      </w:pPr>
      <w:rPr>
        <w:rFonts w:ascii="Times New Roman" w:eastAsia="Times New Roman" w:hAnsi="Times New Roman" w:cs="Times New Roman"/>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3FE158C4"/>
    <w:multiLevelType w:val="hybridMultilevel"/>
    <w:tmpl w:val="44E20FD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91025AD"/>
    <w:multiLevelType w:val="hybridMultilevel"/>
    <w:tmpl w:val="44E20F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EC4047F"/>
    <w:multiLevelType w:val="hybridMultilevel"/>
    <w:tmpl w:val="3EF0DA48"/>
    <w:lvl w:ilvl="0" w:tplc="94201008">
      <w:start w:val="1"/>
      <w:numFmt w:val="decimal"/>
      <w:lvlText w:val="%1"/>
      <w:lvlJc w:val="left"/>
      <w:pPr>
        <w:ind w:left="360" w:hanging="360"/>
      </w:pPr>
      <w:rPr>
        <w:rFonts w:ascii="Times New Roman" w:eastAsia="Times New Roman" w:hAnsi="Times New Roman" w:cs="Times New Roman"/>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5723152A"/>
    <w:multiLevelType w:val="multilevel"/>
    <w:tmpl w:val="3B78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C229FF"/>
    <w:multiLevelType w:val="hybridMultilevel"/>
    <w:tmpl w:val="44E20FD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02E6593"/>
    <w:multiLevelType w:val="hybridMultilevel"/>
    <w:tmpl w:val="0ECCEE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CC848CF"/>
    <w:multiLevelType w:val="hybridMultilevel"/>
    <w:tmpl w:val="46602D6C"/>
    <w:lvl w:ilvl="0" w:tplc="21DA29D8">
      <w:start w:val="1"/>
      <w:numFmt w:val="decimal"/>
      <w:lvlText w:val="[%1]"/>
      <w:lvlJc w:val="left"/>
      <w:pPr>
        <w:ind w:left="360" w:hanging="360"/>
      </w:pPr>
      <w:rPr>
        <w:rFonts w:ascii="Times New Roman" w:hAnsi="Times New Roman" w:cs="Times New Roman" w:hint="default"/>
        <w:b w:val="0"/>
        <w:sz w:val="28"/>
        <w:szCs w:val="28"/>
      </w:rPr>
    </w:lvl>
    <w:lvl w:ilvl="1" w:tplc="142070B0">
      <w:start w:val="1"/>
      <w:numFmt w:val="lowerLetter"/>
      <w:lvlText w:val="%2."/>
      <w:lvlJc w:val="left"/>
      <w:pPr>
        <w:ind w:left="1440" w:hanging="360"/>
      </w:pPr>
      <w:rPr>
        <w:sz w:val="24"/>
        <w:szCs w:val="24"/>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E35103C"/>
    <w:multiLevelType w:val="multilevel"/>
    <w:tmpl w:val="FE246B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4"/>
  </w:num>
  <w:num w:numId="6">
    <w:abstractNumId w:val="5"/>
  </w:num>
  <w:num w:numId="7">
    <w:abstractNumId w:val="10"/>
  </w:num>
  <w:num w:numId="8">
    <w:abstractNumId w:val="14"/>
  </w:num>
  <w:num w:numId="9">
    <w:abstractNumId w:val="11"/>
  </w:num>
  <w:num w:numId="10">
    <w:abstractNumId w:val="12"/>
  </w:num>
  <w:num w:numId="11">
    <w:abstractNumId w:val="16"/>
  </w:num>
  <w:num w:numId="12">
    <w:abstractNumId w:val="7"/>
  </w:num>
  <w:num w:numId="13">
    <w:abstractNumId w:val="8"/>
  </w:num>
  <w:num w:numId="14">
    <w:abstractNumId w:val="3"/>
  </w:num>
  <w:num w:numId="15">
    <w:abstractNumId w:val="15"/>
  </w:num>
  <w:num w:numId="16">
    <w:abstractNumId w:val="0"/>
  </w:num>
  <w:num w:numId="17">
    <w:abstractNumId w:val="1"/>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DF1DDEF-FEB2-4998-988E-61DA89B1C115}"/>
    <w:docVar w:name="dgnword-eventsink" w:val="3186419057936"/>
  </w:docVars>
  <w:rsids>
    <w:rsidRoot w:val="00ED59D4"/>
    <w:rsid w:val="00001961"/>
    <w:rsid w:val="00003B45"/>
    <w:rsid w:val="00003FE0"/>
    <w:rsid w:val="00004870"/>
    <w:rsid w:val="00004BC1"/>
    <w:rsid w:val="00006AB1"/>
    <w:rsid w:val="0001031D"/>
    <w:rsid w:val="00010ABE"/>
    <w:rsid w:val="00010F78"/>
    <w:rsid w:val="00011965"/>
    <w:rsid w:val="0001232E"/>
    <w:rsid w:val="0001371E"/>
    <w:rsid w:val="00013FFB"/>
    <w:rsid w:val="00015275"/>
    <w:rsid w:val="00016C27"/>
    <w:rsid w:val="00020018"/>
    <w:rsid w:val="00021C7B"/>
    <w:rsid w:val="00021E0F"/>
    <w:rsid w:val="00022F70"/>
    <w:rsid w:val="00024440"/>
    <w:rsid w:val="00024B87"/>
    <w:rsid w:val="00025DE8"/>
    <w:rsid w:val="00025E85"/>
    <w:rsid w:val="0003041F"/>
    <w:rsid w:val="000307BF"/>
    <w:rsid w:val="00030D5D"/>
    <w:rsid w:val="00031345"/>
    <w:rsid w:val="00033771"/>
    <w:rsid w:val="00033C48"/>
    <w:rsid w:val="00034B22"/>
    <w:rsid w:val="000355AD"/>
    <w:rsid w:val="00040BA5"/>
    <w:rsid w:val="000425B9"/>
    <w:rsid w:val="00044265"/>
    <w:rsid w:val="000442E1"/>
    <w:rsid w:val="000464F4"/>
    <w:rsid w:val="0005043B"/>
    <w:rsid w:val="00050607"/>
    <w:rsid w:val="00052946"/>
    <w:rsid w:val="00055A4C"/>
    <w:rsid w:val="00056A1E"/>
    <w:rsid w:val="00056B88"/>
    <w:rsid w:val="000579F8"/>
    <w:rsid w:val="00062F75"/>
    <w:rsid w:val="000638DF"/>
    <w:rsid w:val="0006665F"/>
    <w:rsid w:val="00072B46"/>
    <w:rsid w:val="00072FB2"/>
    <w:rsid w:val="00073AF8"/>
    <w:rsid w:val="00074910"/>
    <w:rsid w:val="00080926"/>
    <w:rsid w:val="00083F39"/>
    <w:rsid w:val="00086487"/>
    <w:rsid w:val="000924F9"/>
    <w:rsid w:val="000952F3"/>
    <w:rsid w:val="00096988"/>
    <w:rsid w:val="000976A2"/>
    <w:rsid w:val="000A0323"/>
    <w:rsid w:val="000A1E2B"/>
    <w:rsid w:val="000A301C"/>
    <w:rsid w:val="000A52A2"/>
    <w:rsid w:val="000A5572"/>
    <w:rsid w:val="000A65A8"/>
    <w:rsid w:val="000A7E48"/>
    <w:rsid w:val="000B500E"/>
    <w:rsid w:val="000B569C"/>
    <w:rsid w:val="000B56B3"/>
    <w:rsid w:val="000B586F"/>
    <w:rsid w:val="000B5876"/>
    <w:rsid w:val="000B71B3"/>
    <w:rsid w:val="000C01CF"/>
    <w:rsid w:val="000C07F6"/>
    <w:rsid w:val="000C0928"/>
    <w:rsid w:val="000C1AB4"/>
    <w:rsid w:val="000C2357"/>
    <w:rsid w:val="000C38BC"/>
    <w:rsid w:val="000C5120"/>
    <w:rsid w:val="000C60BE"/>
    <w:rsid w:val="000C642A"/>
    <w:rsid w:val="000C68B7"/>
    <w:rsid w:val="000D1F33"/>
    <w:rsid w:val="000D223C"/>
    <w:rsid w:val="000D2B94"/>
    <w:rsid w:val="000D3E4C"/>
    <w:rsid w:val="000D49B2"/>
    <w:rsid w:val="000D5B09"/>
    <w:rsid w:val="000D672F"/>
    <w:rsid w:val="000D6C21"/>
    <w:rsid w:val="000D6E17"/>
    <w:rsid w:val="000E0528"/>
    <w:rsid w:val="000E0D9D"/>
    <w:rsid w:val="000E14A6"/>
    <w:rsid w:val="000E264C"/>
    <w:rsid w:val="000E384A"/>
    <w:rsid w:val="000E3966"/>
    <w:rsid w:val="000E4EB6"/>
    <w:rsid w:val="000E79C9"/>
    <w:rsid w:val="000F06A2"/>
    <w:rsid w:val="000F1161"/>
    <w:rsid w:val="000F3874"/>
    <w:rsid w:val="000F3E3E"/>
    <w:rsid w:val="000F4292"/>
    <w:rsid w:val="000F4B45"/>
    <w:rsid w:val="000F5E33"/>
    <w:rsid w:val="000F61EC"/>
    <w:rsid w:val="000F76C9"/>
    <w:rsid w:val="001015C0"/>
    <w:rsid w:val="00106D05"/>
    <w:rsid w:val="00107333"/>
    <w:rsid w:val="00107521"/>
    <w:rsid w:val="001124F8"/>
    <w:rsid w:val="001126EA"/>
    <w:rsid w:val="00112D44"/>
    <w:rsid w:val="00115A21"/>
    <w:rsid w:val="00115F1A"/>
    <w:rsid w:val="001171FD"/>
    <w:rsid w:val="00122338"/>
    <w:rsid w:val="0012324B"/>
    <w:rsid w:val="001236A8"/>
    <w:rsid w:val="00126798"/>
    <w:rsid w:val="0013257F"/>
    <w:rsid w:val="001405D0"/>
    <w:rsid w:val="00140C04"/>
    <w:rsid w:val="00141763"/>
    <w:rsid w:val="001421E4"/>
    <w:rsid w:val="0014245E"/>
    <w:rsid w:val="001434C5"/>
    <w:rsid w:val="00143D55"/>
    <w:rsid w:val="00144CCE"/>
    <w:rsid w:val="00146AB7"/>
    <w:rsid w:val="00147422"/>
    <w:rsid w:val="00147ADA"/>
    <w:rsid w:val="00150553"/>
    <w:rsid w:val="00152340"/>
    <w:rsid w:val="001552EC"/>
    <w:rsid w:val="0015542D"/>
    <w:rsid w:val="00155AD9"/>
    <w:rsid w:val="001610FC"/>
    <w:rsid w:val="001624F5"/>
    <w:rsid w:val="001629A1"/>
    <w:rsid w:val="00162DB6"/>
    <w:rsid w:val="00163EDF"/>
    <w:rsid w:val="00164856"/>
    <w:rsid w:val="001653C0"/>
    <w:rsid w:val="00165874"/>
    <w:rsid w:val="001669FA"/>
    <w:rsid w:val="00170D7B"/>
    <w:rsid w:val="00171874"/>
    <w:rsid w:val="001718E2"/>
    <w:rsid w:val="00171CF4"/>
    <w:rsid w:val="00172994"/>
    <w:rsid w:val="00173D92"/>
    <w:rsid w:val="00174A24"/>
    <w:rsid w:val="001751EE"/>
    <w:rsid w:val="0017557F"/>
    <w:rsid w:val="001758AB"/>
    <w:rsid w:val="00180C16"/>
    <w:rsid w:val="00182DEB"/>
    <w:rsid w:val="00182E4A"/>
    <w:rsid w:val="00182EF3"/>
    <w:rsid w:val="0018443B"/>
    <w:rsid w:val="00184C91"/>
    <w:rsid w:val="001850CE"/>
    <w:rsid w:val="00185182"/>
    <w:rsid w:val="00185823"/>
    <w:rsid w:val="001879F1"/>
    <w:rsid w:val="00187CB8"/>
    <w:rsid w:val="001902BE"/>
    <w:rsid w:val="00191EC4"/>
    <w:rsid w:val="00192683"/>
    <w:rsid w:val="001959BD"/>
    <w:rsid w:val="00195A18"/>
    <w:rsid w:val="0019615D"/>
    <w:rsid w:val="00196CBE"/>
    <w:rsid w:val="00197407"/>
    <w:rsid w:val="001A088F"/>
    <w:rsid w:val="001A0EEF"/>
    <w:rsid w:val="001A4222"/>
    <w:rsid w:val="001A431E"/>
    <w:rsid w:val="001A5C98"/>
    <w:rsid w:val="001A674D"/>
    <w:rsid w:val="001A6962"/>
    <w:rsid w:val="001A726D"/>
    <w:rsid w:val="001B09F0"/>
    <w:rsid w:val="001B1B86"/>
    <w:rsid w:val="001B29C4"/>
    <w:rsid w:val="001B3C27"/>
    <w:rsid w:val="001B4153"/>
    <w:rsid w:val="001B4364"/>
    <w:rsid w:val="001B5871"/>
    <w:rsid w:val="001C1B83"/>
    <w:rsid w:val="001C1D4A"/>
    <w:rsid w:val="001C2274"/>
    <w:rsid w:val="001C2F3C"/>
    <w:rsid w:val="001C3510"/>
    <w:rsid w:val="001C391A"/>
    <w:rsid w:val="001C4327"/>
    <w:rsid w:val="001C70B1"/>
    <w:rsid w:val="001D1801"/>
    <w:rsid w:val="001D42FB"/>
    <w:rsid w:val="001D7BA7"/>
    <w:rsid w:val="001D7DC4"/>
    <w:rsid w:val="001E2D94"/>
    <w:rsid w:val="001E55DB"/>
    <w:rsid w:val="001E6D21"/>
    <w:rsid w:val="001F0F41"/>
    <w:rsid w:val="001F1014"/>
    <w:rsid w:val="001F18D2"/>
    <w:rsid w:val="001F4B27"/>
    <w:rsid w:val="001F66E5"/>
    <w:rsid w:val="001F69DC"/>
    <w:rsid w:val="00200F95"/>
    <w:rsid w:val="0020127B"/>
    <w:rsid w:val="0020235D"/>
    <w:rsid w:val="00202FD8"/>
    <w:rsid w:val="0020334F"/>
    <w:rsid w:val="00205D1E"/>
    <w:rsid w:val="002062F3"/>
    <w:rsid w:val="00207ECE"/>
    <w:rsid w:val="0021005C"/>
    <w:rsid w:val="002104FE"/>
    <w:rsid w:val="00213468"/>
    <w:rsid w:val="00215B2D"/>
    <w:rsid w:val="00215B4E"/>
    <w:rsid w:val="0021603D"/>
    <w:rsid w:val="002171FD"/>
    <w:rsid w:val="0021778F"/>
    <w:rsid w:val="0022028C"/>
    <w:rsid w:val="0022555C"/>
    <w:rsid w:val="00225880"/>
    <w:rsid w:val="0022677B"/>
    <w:rsid w:val="0022739D"/>
    <w:rsid w:val="00227BDE"/>
    <w:rsid w:val="00230FA5"/>
    <w:rsid w:val="002318AD"/>
    <w:rsid w:val="00234AB7"/>
    <w:rsid w:val="00240ECD"/>
    <w:rsid w:val="0024134A"/>
    <w:rsid w:val="00242ED0"/>
    <w:rsid w:val="00244B80"/>
    <w:rsid w:val="00245310"/>
    <w:rsid w:val="00246197"/>
    <w:rsid w:val="00247FCE"/>
    <w:rsid w:val="002515C1"/>
    <w:rsid w:val="00252299"/>
    <w:rsid w:val="002552D9"/>
    <w:rsid w:val="0025585A"/>
    <w:rsid w:val="00261C7D"/>
    <w:rsid w:val="002620B5"/>
    <w:rsid w:val="00263BF9"/>
    <w:rsid w:val="00267F8E"/>
    <w:rsid w:val="002744EA"/>
    <w:rsid w:val="002759E2"/>
    <w:rsid w:val="0027657B"/>
    <w:rsid w:val="0027731C"/>
    <w:rsid w:val="00281012"/>
    <w:rsid w:val="00282B97"/>
    <w:rsid w:val="00282CB1"/>
    <w:rsid w:val="00283BCC"/>
    <w:rsid w:val="002847FF"/>
    <w:rsid w:val="00284BDF"/>
    <w:rsid w:val="002856A4"/>
    <w:rsid w:val="0028663B"/>
    <w:rsid w:val="00290E05"/>
    <w:rsid w:val="0029276C"/>
    <w:rsid w:val="0029394E"/>
    <w:rsid w:val="0029467D"/>
    <w:rsid w:val="00296845"/>
    <w:rsid w:val="00296C5D"/>
    <w:rsid w:val="002A00DC"/>
    <w:rsid w:val="002A0A99"/>
    <w:rsid w:val="002A1884"/>
    <w:rsid w:val="002A7D8B"/>
    <w:rsid w:val="002B0280"/>
    <w:rsid w:val="002B0BED"/>
    <w:rsid w:val="002B0FB0"/>
    <w:rsid w:val="002B4ACC"/>
    <w:rsid w:val="002B699B"/>
    <w:rsid w:val="002B7765"/>
    <w:rsid w:val="002C024E"/>
    <w:rsid w:val="002C3B7C"/>
    <w:rsid w:val="002C3F26"/>
    <w:rsid w:val="002C40E3"/>
    <w:rsid w:val="002C4A1A"/>
    <w:rsid w:val="002C6239"/>
    <w:rsid w:val="002C6494"/>
    <w:rsid w:val="002C7123"/>
    <w:rsid w:val="002C783B"/>
    <w:rsid w:val="002D19E6"/>
    <w:rsid w:val="002D3021"/>
    <w:rsid w:val="002D5CBA"/>
    <w:rsid w:val="002D6814"/>
    <w:rsid w:val="002D75B9"/>
    <w:rsid w:val="002E0176"/>
    <w:rsid w:val="002E277F"/>
    <w:rsid w:val="002E5504"/>
    <w:rsid w:val="002E5A16"/>
    <w:rsid w:val="002E5B7E"/>
    <w:rsid w:val="002E5F47"/>
    <w:rsid w:val="002F0B5D"/>
    <w:rsid w:val="002F1478"/>
    <w:rsid w:val="002F1D01"/>
    <w:rsid w:val="002F1DDF"/>
    <w:rsid w:val="002F25A6"/>
    <w:rsid w:val="002F2C16"/>
    <w:rsid w:val="002F31B7"/>
    <w:rsid w:val="002F5483"/>
    <w:rsid w:val="002F767A"/>
    <w:rsid w:val="003012E9"/>
    <w:rsid w:val="003023D0"/>
    <w:rsid w:val="003039F9"/>
    <w:rsid w:val="00304165"/>
    <w:rsid w:val="0030517F"/>
    <w:rsid w:val="003061AA"/>
    <w:rsid w:val="003101E7"/>
    <w:rsid w:val="00311D48"/>
    <w:rsid w:val="00312043"/>
    <w:rsid w:val="0031377E"/>
    <w:rsid w:val="00313E0F"/>
    <w:rsid w:val="0031768E"/>
    <w:rsid w:val="003177E6"/>
    <w:rsid w:val="0031790E"/>
    <w:rsid w:val="00320349"/>
    <w:rsid w:val="00320A58"/>
    <w:rsid w:val="003230BC"/>
    <w:rsid w:val="00323365"/>
    <w:rsid w:val="00325253"/>
    <w:rsid w:val="0032635E"/>
    <w:rsid w:val="00327020"/>
    <w:rsid w:val="00327AD4"/>
    <w:rsid w:val="003307B7"/>
    <w:rsid w:val="00331200"/>
    <w:rsid w:val="00332FB3"/>
    <w:rsid w:val="00333702"/>
    <w:rsid w:val="003339A4"/>
    <w:rsid w:val="00336A58"/>
    <w:rsid w:val="0033719D"/>
    <w:rsid w:val="00340137"/>
    <w:rsid w:val="003432BA"/>
    <w:rsid w:val="00344FEF"/>
    <w:rsid w:val="003451A5"/>
    <w:rsid w:val="003454B0"/>
    <w:rsid w:val="00347504"/>
    <w:rsid w:val="00350549"/>
    <w:rsid w:val="0035259C"/>
    <w:rsid w:val="00352C0E"/>
    <w:rsid w:val="0035382F"/>
    <w:rsid w:val="00353F17"/>
    <w:rsid w:val="003552C3"/>
    <w:rsid w:val="003553E1"/>
    <w:rsid w:val="00355EEE"/>
    <w:rsid w:val="00355F50"/>
    <w:rsid w:val="00356974"/>
    <w:rsid w:val="00357148"/>
    <w:rsid w:val="003606CB"/>
    <w:rsid w:val="00360D19"/>
    <w:rsid w:val="0036111A"/>
    <w:rsid w:val="0036296A"/>
    <w:rsid w:val="00362AFB"/>
    <w:rsid w:val="00362FBC"/>
    <w:rsid w:val="00363031"/>
    <w:rsid w:val="00364FE7"/>
    <w:rsid w:val="00366509"/>
    <w:rsid w:val="0036708E"/>
    <w:rsid w:val="00371276"/>
    <w:rsid w:val="00371AB9"/>
    <w:rsid w:val="0037315B"/>
    <w:rsid w:val="00373BA9"/>
    <w:rsid w:val="00374CF2"/>
    <w:rsid w:val="00375041"/>
    <w:rsid w:val="003754A4"/>
    <w:rsid w:val="00376620"/>
    <w:rsid w:val="00376FA2"/>
    <w:rsid w:val="003806A1"/>
    <w:rsid w:val="00383AFA"/>
    <w:rsid w:val="0038533D"/>
    <w:rsid w:val="00385A75"/>
    <w:rsid w:val="00387647"/>
    <w:rsid w:val="00390338"/>
    <w:rsid w:val="00391816"/>
    <w:rsid w:val="00394DA5"/>
    <w:rsid w:val="00395EA3"/>
    <w:rsid w:val="00396932"/>
    <w:rsid w:val="003970FC"/>
    <w:rsid w:val="003A4DEF"/>
    <w:rsid w:val="003A5D8B"/>
    <w:rsid w:val="003A6D9E"/>
    <w:rsid w:val="003A6EC7"/>
    <w:rsid w:val="003B2402"/>
    <w:rsid w:val="003B2419"/>
    <w:rsid w:val="003B3CAA"/>
    <w:rsid w:val="003B3DA3"/>
    <w:rsid w:val="003B5EE7"/>
    <w:rsid w:val="003B5F65"/>
    <w:rsid w:val="003B73E9"/>
    <w:rsid w:val="003C07C6"/>
    <w:rsid w:val="003C254F"/>
    <w:rsid w:val="003C2A4A"/>
    <w:rsid w:val="003C2FA8"/>
    <w:rsid w:val="003C4E9B"/>
    <w:rsid w:val="003C7BA6"/>
    <w:rsid w:val="003D0312"/>
    <w:rsid w:val="003D07EB"/>
    <w:rsid w:val="003D46F6"/>
    <w:rsid w:val="003D4CD9"/>
    <w:rsid w:val="003D5DF2"/>
    <w:rsid w:val="003D6E48"/>
    <w:rsid w:val="003E2878"/>
    <w:rsid w:val="003E2D01"/>
    <w:rsid w:val="003E411B"/>
    <w:rsid w:val="003E5187"/>
    <w:rsid w:val="003E59DE"/>
    <w:rsid w:val="003E72A7"/>
    <w:rsid w:val="003E75C1"/>
    <w:rsid w:val="003E7719"/>
    <w:rsid w:val="003E7E20"/>
    <w:rsid w:val="003F0019"/>
    <w:rsid w:val="003F287F"/>
    <w:rsid w:val="003F3E18"/>
    <w:rsid w:val="003F59E1"/>
    <w:rsid w:val="003F6787"/>
    <w:rsid w:val="003F67D3"/>
    <w:rsid w:val="004007DE"/>
    <w:rsid w:val="004009D1"/>
    <w:rsid w:val="00402174"/>
    <w:rsid w:val="004040FC"/>
    <w:rsid w:val="00405CF8"/>
    <w:rsid w:val="00406BE2"/>
    <w:rsid w:val="00406CDE"/>
    <w:rsid w:val="00407EC8"/>
    <w:rsid w:val="00407F6B"/>
    <w:rsid w:val="0041325F"/>
    <w:rsid w:val="0041448A"/>
    <w:rsid w:val="0041516C"/>
    <w:rsid w:val="004174B2"/>
    <w:rsid w:val="004178B2"/>
    <w:rsid w:val="004203FF"/>
    <w:rsid w:val="004250B6"/>
    <w:rsid w:val="004269AF"/>
    <w:rsid w:val="0042737E"/>
    <w:rsid w:val="00427982"/>
    <w:rsid w:val="00431528"/>
    <w:rsid w:val="004334CA"/>
    <w:rsid w:val="004334F1"/>
    <w:rsid w:val="0043523B"/>
    <w:rsid w:val="004356E9"/>
    <w:rsid w:val="00436E75"/>
    <w:rsid w:val="004374B0"/>
    <w:rsid w:val="00442E01"/>
    <w:rsid w:val="00445A3E"/>
    <w:rsid w:val="00446D63"/>
    <w:rsid w:val="00454FD7"/>
    <w:rsid w:val="004567C2"/>
    <w:rsid w:val="00456F4A"/>
    <w:rsid w:val="00460093"/>
    <w:rsid w:val="0046260A"/>
    <w:rsid w:val="00465B5B"/>
    <w:rsid w:val="00466B38"/>
    <w:rsid w:val="00471651"/>
    <w:rsid w:val="0047375E"/>
    <w:rsid w:val="00474B08"/>
    <w:rsid w:val="00475739"/>
    <w:rsid w:val="00477CF4"/>
    <w:rsid w:val="00480AD9"/>
    <w:rsid w:val="00480F92"/>
    <w:rsid w:val="004811EA"/>
    <w:rsid w:val="0048167A"/>
    <w:rsid w:val="00487AEC"/>
    <w:rsid w:val="00487CD0"/>
    <w:rsid w:val="00490B94"/>
    <w:rsid w:val="004938EA"/>
    <w:rsid w:val="004944C4"/>
    <w:rsid w:val="00495F2F"/>
    <w:rsid w:val="00496033"/>
    <w:rsid w:val="004A0611"/>
    <w:rsid w:val="004A08E4"/>
    <w:rsid w:val="004A13F4"/>
    <w:rsid w:val="004A2B33"/>
    <w:rsid w:val="004A2C75"/>
    <w:rsid w:val="004A3C6D"/>
    <w:rsid w:val="004A57A1"/>
    <w:rsid w:val="004A7CB8"/>
    <w:rsid w:val="004B08D4"/>
    <w:rsid w:val="004B26FB"/>
    <w:rsid w:val="004B3106"/>
    <w:rsid w:val="004B5168"/>
    <w:rsid w:val="004B5928"/>
    <w:rsid w:val="004B5CDF"/>
    <w:rsid w:val="004B72F8"/>
    <w:rsid w:val="004B782F"/>
    <w:rsid w:val="004B7CE4"/>
    <w:rsid w:val="004C1917"/>
    <w:rsid w:val="004C4659"/>
    <w:rsid w:val="004C6A9B"/>
    <w:rsid w:val="004D0297"/>
    <w:rsid w:val="004D1483"/>
    <w:rsid w:val="004D1D1C"/>
    <w:rsid w:val="004D1DF5"/>
    <w:rsid w:val="004D293D"/>
    <w:rsid w:val="004D2C3F"/>
    <w:rsid w:val="004D2F15"/>
    <w:rsid w:val="004D304A"/>
    <w:rsid w:val="004D3A33"/>
    <w:rsid w:val="004E13F2"/>
    <w:rsid w:val="004E1BDE"/>
    <w:rsid w:val="004E1D5A"/>
    <w:rsid w:val="004E2A4B"/>
    <w:rsid w:val="004E38CB"/>
    <w:rsid w:val="004E6A81"/>
    <w:rsid w:val="004E6BB9"/>
    <w:rsid w:val="004F0B22"/>
    <w:rsid w:val="004F1400"/>
    <w:rsid w:val="004F19CF"/>
    <w:rsid w:val="004F1BEC"/>
    <w:rsid w:val="004F206B"/>
    <w:rsid w:val="004F28AB"/>
    <w:rsid w:val="004F4172"/>
    <w:rsid w:val="004F4276"/>
    <w:rsid w:val="004F6235"/>
    <w:rsid w:val="004F6FA5"/>
    <w:rsid w:val="0050078E"/>
    <w:rsid w:val="00501A74"/>
    <w:rsid w:val="005032B2"/>
    <w:rsid w:val="00505361"/>
    <w:rsid w:val="0050542B"/>
    <w:rsid w:val="00505989"/>
    <w:rsid w:val="00505B2E"/>
    <w:rsid w:val="005072C7"/>
    <w:rsid w:val="00507AB0"/>
    <w:rsid w:val="00510865"/>
    <w:rsid w:val="0051105A"/>
    <w:rsid w:val="0051293E"/>
    <w:rsid w:val="00512CEC"/>
    <w:rsid w:val="00516234"/>
    <w:rsid w:val="005203E0"/>
    <w:rsid w:val="00520B14"/>
    <w:rsid w:val="005220EA"/>
    <w:rsid w:val="005224B2"/>
    <w:rsid w:val="00522720"/>
    <w:rsid w:val="005231F7"/>
    <w:rsid w:val="005267EB"/>
    <w:rsid w:val="0052719C"/>
    <w:rsid w:val="005303F9"/>
    <w:rsid w:val="00532451"/>
    <w:rsid w:val="005326C5"/>
    <w:rsid w:val="00533347"/>
    <w:rsid w:val="005341D7"/>
    <w:rsid w:val="00534D1F"/>
    <w:rsid w:val="00535367"/>
    <w:rsid w:val="005370D7"/>
    <w:rsid w:val="00537A95"/>
    <w:rsid w:val="00541330"/>
    <w:rsid w:val="00541698"/>
    <w:rsid w:val="00543823"/>
    <w:rsid w:val="0054415A"/>
    <w:rsid w:val="00550353"/>
    <w:rsid w:val="00555F9F"/>
    <w:rsid w:val="005562E5"/>
    <w:rsid w:val="005614C6"/>
    <w:rsid w:val="0056400C"/>
    <w:rsid w:val="00564191"/>
    <w:rsid w:val="005645B5"/>
    <w:rsid w:val="005659A0"/>
    <w:rsid w:val="00566127"/>
    <w:rsid w:val="00570690"/>
    <w:rsid w:val="0057082C"/>
    <w:rsid w:val="005708B4"/>
    <w:rsid w:val="00571CD1"/>
    <w:rsid w:val="00573351"/>
    <w:rsid w:val="00576F36"/>
    <w:rsid w:val="00580EB2"/>
    <w:rsid w:val="0058196B"/>
    <w:rsid w:val="00583B4D"/>
    <w:rsid w:val="00583E4C"/>
    <w:rsid w:val="00585485"/>
    <w:rsid w:val="0058663A"/>
    <w:rsid w:val="00587122"/>
    <w:rsid w:val="005878E7"/>
    <w:rsid w:val="00591535"/>
    <w:rsid w:val="00592914"/>
    <w:rsid w:val="00595612"/>
    <w:rsid w:val="00596AFA"/>
    <w:rsid w:val="005A0543"/>
    <w:rsid w:val="005A0626"/>
    <w:rsid w:val="005A1A56"/>
    <w:rsid w:val="005A2FA5"/>
    <w:rsid w:val="005A458B"/>
    <w:rsid w:val="005A6947"/>
    <w:rsid w:val="005B2485"/>
    <w:rsid w:val="005B42F2"/>
    <w:rsid w:val="005B6D38"/>
    <w:rsid w:val="005B7C1D"/>
    <w:rsid w:val="005C1336"/>
    <w:rsid w:val="005C1C4C"/>
    <w:rsid w:val="005C300E"/>
    <w:rsid w:val="005C4412"/>
    <w:rsid w:val="005C502D"/>
    <w:rsid w:val="005D09F0"/>
    <w:rsid w:val="005D2F32"/>
    <w:rsid w:val="005D3987"/>
    <w:rsid w:val="005D5BD5"/>
    <w:rsid w:val="005D65AA"/>
    <w:rsid w:val="005D75AC"/>
    <w:rsid w:val="005E149A"/>
    <w:rsid w:val="005E1919"/>
    <w:rsid w:val="005E3585"/>
    <w:rsid w:val="005E467D"/>
    <w:rsid w:val="005E4AD4"/>
    <w:rsid w:val="005E5537"/>
    <w:rsid w:val="005E583D"/>
    <w:rsid w:val="005F2683"/>
    <w:rsid w:val="005F273A"/>
    <w:rsid w:val="005F3694"/>
    <w:rsid w:val="005F44BD"/>
    <w:rsid w:val="005F57A7"/>
    <w:rsid w:val="005F5B42"/>
    <w:rsid w:val="005F6BB9"/>
    <w:rsid w:val="005F712D"/>
    <w:rsid w:val="005F7CFE"/>
    <w:rsid w:val="0060010D"/>
    <w:rsid w:val="0060228C"/>
    <w:rsid w:val="006025AD"/>
    <w:rsid w:val="00602605"/>
    <w:rsid w:val="00603886"/>
    <w:rsid w:val="0060400B"/>
    <w:rsid w:val="00606115"/>
    <w:rsid w:val="00610B77"/>
    <w:rsid w:val="0061221C"/>
    <w:rsid w:val="00612B00"/>
    <w:rsid w:val="00612D7B"/>
    <w:rsid w:val="00614FE6"/>
    <w:rsid w:val="0061502E"/>
    <w:rsid w:val="00620BFD"/>
    <w:rsid w:val="00620C6E"/>
    <w:rsid w:val="00620D29"/>
    <w:rsid w:val="006217BD"/>
    <w:rsid w:val="0062203B"/>
    <w:rsid w:val="00624DF8"/>
    <w:rsid w:val="00625CBD"/>
    <w:rsid w:val="00627605"/>
    <w:rsid w:val="00630E43"/>
    <w:rsid w:val="006327BE"/>
    <w:rsid w:val="006339D0"/>
    <w:rsid w:val="00636F03"/>
    <w:rsid w:val="00637BC4"/>
    <w:rsid w:val="006410C4"/>
    <w:rsid w:val="006412D0"/>
    <w:rsid w:val="00642387"/>
    <w:rsid w:val="00642B5F"/>
    <w:rsid w:val="00647707"/>
    <w:rsid w:val="00650564"/>
    <w:rsid w:val="00650E4A"/>
    <w:rsid w:val="00652382"/>
    <w:rsid w:val="00652AA2"/>
    <w:rsid w:val="006536F7"/>
    <w:rsid w:val="00654F75"/>
    <w:rsid w:val="0065543C"/>
    <w:rsid w:val="006570E4"/>
    <w:rsid w:val="0066033C"/>
    <w:rsid w:val="006610AB"/>
    <w:rsid w:val="006612C9"/>
    <w:rsid w:val="00663147"/>
    <w:rsid w:val="006636FD"/>
    <w:rsid w:val="00663733"/>
    <w:rsid w:val="006647EF"/>
    <w:rsid w:val="00665AA9"/>
    <w:rsid w:val="0066606C"/>
    <w:rsid w:val="00666682"/>
    <w:rsid w:val="006668DB"/>
    <w:rsid w:val="00667FBC"/>
    <w:rsid w:val="00670A3D"/>
    <w:rsid w:val="00671022"/>
    <w:rsid w:val="00672F85"/>
    <w:rsid w:val="00673350"/>
    <w:rsid w:val="00673E59"/>
    <w:rsid w:val="00675BE0"/>
    <w:rsid w:val="00675D5A"/>
    <w:rsid w:val="00681214"/>
    <w:rsid w:val="0068129A"/>
    <w:rsid w:val="00682C14"/>
    <w:rsid w:val="00683A03"/>
    <w:rsid w:val="00684519"/>
    <w:rsid w:val="00685FE5"/>
    <w:rsid w:val="00686B67"/>
    <w:rsid w:val="0069001E"/>
    <w:rsid w:val="00690FEB"/>
    <w:rsid w:val="00693E09"/>
    <w:rsid w:val="0069441D"/>
    <w:rsid w:val="00694843"/>
    <w:rsid w:val="00695D38"/>
    <w:rsid w:val="00696811"/>
    <w:rsid w:val="006969A5"/>
    <w:rsid w:val="006A0798"/>
    <w:rsid w:val="006A1E50"/>
    <w:rsid w:val="006A3120"/>
    <w:rsid w:val="006A3C45"/>
    <w:rsid w:val="006A46D1"/>
    <w:rsid w:val="006A4894"/>
    <w:rsid w:val="006A4CF1"/>
    <w:rsid w:val="006A5CD9"/>
    <w:rsid w:val="006A655E"/>
    <w:rsid w:val="006B0714"/>
    <w:rsid w:val="006B116E"/>
    <w:rsid w:val="006B11E0"/>
    <w:rsid w:val="006B2488"/>
    <w:rsid w:val="006B56CE"/>
    <w:rsid w:val="006B5981"/>
    <w:rsid w:val="006B6631"/>
    <w:rsid w:val="006C077D"/>
    <w:rsid w:val="006C12D6"/>
    <w:rsid w:val="006C18DD"/>
    <w:rsid w:val="006C2C66"/>
    <w:rsid w:val="006C494C"/>
    <w:rsid w:val="006C4B4D"/>
    <w:rsid w:val="006C4BC0"/>
    <w:rsid w:val="006C4D4C"/>
    <w:rsid w:val="006C56A7"/>
    <w:rsid w:val="006C6386"/>
    <w:rsid w:val="006D091A"/>
    <w:rsid w:val="006D109D"/>
    <w:rsid w:val="006D148B"/>
    <w:rsid w:val="006D3A0E"/>
    <w:rsid w:val="006D3AA2"/>
    <w:rsid w:val="006D41F0"/>
    <w:rsid w:val="006D421A"/>
    <w:rsid w:val="006D51D2"/>
    <w:rsid w:val="006D5B07"/>
    <w:rsid w:val="006D5B9D"/>
    <w:rsid w:val="006E049B"/>
    <w:rsid w:val="006E145C"/>
    <w:rsid w:val="006E212C"/>
    <w:rsid w:val="006E2938"/>
    <w:rsid w:val="006E3B8C"/>
    <w:rsid w:val="006E3F59"/>
    <w:rsid w:val="006E3FF0"/>
    <w:rsid w:val="006E4B34"/>
    <w:rsid w:val="006E6152"/>
    <w:rsid w:val="006F17D9"/>
    <w:rsid w:val="006F3684"/>
    <w:rsid w:val="006F38C2"/>
    <w:rsid w:val="006F547D"/>
    <w:rsid w:val="006F71F2"/>
    <w:rsid w:val="007010C7"/>
    <w:rsid w:val="00703C4E"/>
    <w:rsid w:val="00705097"/>
    <w:rsid w:val="007104D5"/>
    <w:rsid w:val="0071086B"/>
    <w:rsid w:val="00712240"/>
    <w:rsid w:val="00712E70"/>
    <w:rsid w:val="00713A3F"/>
    <w:rsid w:val="00717BE8"/>
    <w:rsid w:val="00721232"/>
    <w:rsid w:val="007216F0"/>
    <w:rsid w:val="00721BA2"/>
    <w:rsid w:val="007233E5"/>
    <w:rsid w:val="00724153"/>
    <w:rsid w:val="00724DB6"/>
    <w:rsid w:val="00727003"/>
    <w:rsid w:val="0073054F"/>
    <w:rsid w:val="007314F4"/>
    <w:rsid w:val="00731562"/>
    <w:rsid w:val="007319C1"/>
    <w:rsid w:val="00733694"/>
    <w:rsid w:val="0073406F"/>
    <w:rsid w:val="007350A3"/>
    <w:rsid w:val="00736DB8"/>
    <w:rsid w:val="00743EF6"/>
    <w:rsid w:val="0074687B"/>
    <w:rsid w:val="00747E52"/>
    <w:rsid w:val="00747E5E"/>
    <w:rsid w:val="007505E2"/>
    <w:rsid w:val="0075148E"/>
    <w:rsid w:val="00752368"/>
    <w:rsid w:val="00753114"/>
    <w:rsid w:val="00753893"/>
    <w:rsid w:val="007567DC"/>
    <w:rsid w:val="00757BF9"/>
    <w:rsid w:val="0076040F"/>
    <w:rsid w:val="00760C86"/>
    <w:rsid w:val="007610E2"/>
    <w:rsid w:val="007625EA"/>
    <w:rsid w:val="00763599"/>
    <w:rsid w:val="00764599"/>
    <w:rsid w:val="00764B13"/>
    <w:rsid w:val="00765949"/>
    <w:rsid w:val="00765D5E"/>
    <w:rsid w:val="00770337"/>
    <w:rsid w:val="007732D3"/>
    <w:rsid w:val="00774E8F"/>
    <w:rsid w:val="007750DC"/>
    <w:rsid w:val="0077748C"/>
    <w:rsid w:val="00781754"/>
    <w:rsid w:val="00782554"/>
    <w:rsid w:val="007842C6"/>
    <w:rsid w:val="007850E6"/>
    <w:rsid w:val="00785CD0"/>
    <w:rsid w:val="0078631A"/>
    <w:rsid w:val="00787AF6"/>
    <w:rsid w:val="00790F0A"/>
    <w:rsid w:val="007926C1"/>
    <w:rsid w:val="00795D1C"/>
    <w:rsid w:val="00796028"/>
    <w:rsid w:val="00796D62"/>
    <w:rsid w:val="007A07FE"/>
    <w:rsid w:val="007A1330"/>
    <w:rsid w:val="007A1C74"/>
    <w:rsid w:val="007A2068"/>
    <w:rsid w:val="007A2F04"/>
    <w:rsid w:val="007A36CF"/>
    <w:rsid w:val="007A3DA8"/>
    <w:rsid w:val="007A3E7D"/>
    <w:rsid w:val="007B01B8"/>
    <w:rsid w:val="007B0600"/>
    <w:rsid w:val="007B3423"/>
    <w:rsid w:val="007B404E"/>
    <w:rsid w:val="007C1B77"/>
    <w:rsid w:val="007C29A5"/>
    <w:rsid w:val="007C5F51"/>
    <w:rsid w:val="007C6C1F"/>
    <w:rsid w:val="007C795E"/>
    <w:rsid w:val="007D1AFD"/>
    <w:rsid w:val="007D2358"/>
    <w:rsid w:val="007D3286"/>
    <w:rsid w:val="007D351F"/>
    <w:rsid w:val="007D4146"/>
    <w:rsid w:val="007D6A2B"/>
    <w:rsid w:val="007D74C5"/>
    <w:rsid w:val="007D7559"/>
    <w:rsid w:val="007D7F71"/>
    <w:rsid w:val="007E0D61"/>
    <w:rsid w:val="007E2489"/>
    <w:rsid w:val="007E76C0"/>
    <w:rsid w:val="007E7936"/>
    <w:rsid w:val="007F34CC"/>
    <w:rsid w:val="007F5643"/>
    <w:rsid w:val="007F6028"/>
    <w:rsid w:val="007F6B17"/>
    <w:rsid w:val="007F6C18"/>
    <w:rsid w:val="00801266"/>
    <w:rsid w:val="00801903"/>
    <w:rsid w:val="00801B08"/>
    <w:rsid w:val="00801FBE"/>
    <w:rsid w:val="00802562"/>
    <w:rsid w:val="00803AF4"/>
    <w:rsid w:val="008041EA"/>
    <w:rsid w:val="00805FE0"/>
    <w:rsid w:val="00810CC7"/>
    <w:rsid w:val="0081120B"/>
    <w:rsid w:val="00813255"/>
    <w:rsid w:val="0082087B"/>
    <w:rsid w:val="00820E24"/>
    <w:rsid w:val="00820E3B"/>
    <w:rsid w:val="0082390F"/>
    <w:rsid w:val="008251F9"/>
    <w:rsid w:val="008273F1"/>
    <w:rsid w:val="00830ABE"/>
    <w:rsid w:val="00830E52"/>
    <w:rsid w:val="008313DC"/>
    <w:rsid w:val="008324C1"/>
    <w:rsid w:val="0083258F"/>
    <w:rsid w:val="00836A9E"/>
    <w:rsid w:val="00836CCA"/>
    <w:rsid w:val="00837C1C"/>
    <w:rsid w:val="00840309"/>
    <w:rsid w:val="00840724"/>
    <w:rsid w:val="0084149A"/>
    <w:rsid w:val="0084446A"/>
    <w:rsid w:val="00844E96"/>
    <w:rsid w:val="00847A65"/>
    <w:rsid w:val="00847B45"/>
    <w:rsid w:val="00850D7A"/>
    <w:rsid w:val="00851AAF"/>
    <w:rsid w:val="008578BC"/>
    <w:rsid w:val="0086030C"/>
    <w:rsid w:val="00860C0C"/>
    <w:rsid w:val="00860F9F"/>
    <w:rsid w:val="00861DFE"/>
    <w:rsid w:val="00862124"/>
    <w:rsid w:val="00866AC0"/>
    <w:rsid w:val="00870E3D"/>
    <w:rsid w:val="008727B8"/>
    <w:rsid w:val="008742BF"/>
    <w:rsid w:val="0087616E"/>
    <w:rsid w:val="008765D4"/>
    <w:rsid w:val="00877C56"/>
    <w:rsid w:val="0088073E"/>
    <w:rsid w:val="00882B48"/>
    <w:rsid w:val="00884EBF"/>
    <w:rsid w:val="00886467"/>
    <w:rsid w:val="008877CC"/>
    <w:rsid w:val="00890F32"/>
    <w:rsid w:val="00894400"/>
    <w:rsid w:val="00894B8B"/>
    <w:rsid w:val="008974D5"/>
    <w:rsid w:val="00897C3F"/>
    <w:rsid w:val="008A092C"/>
    <w:rsid w:val="008A2402"/>
    <w:rsid w:val="008A26EA"/>
    <w:rsid w:val="008A2728"/>
    <w:rsid w:val="008A3B99"/>
    <w:rsid w:val="008A50A7"/>
    <w:rsid w:val="008A522A"/>
    <w:rsid w:val="008A524C"/>
    <w:rsid w:val="008A557F"/>
    <w:rsid w:val="008A66DD"/>
    <w:rsid w:val="008A677A"/>
    <w:rsid w:val="008A7186"/>
    <w:rsid w:val="008B034F"/>
    <w:rsid w:val="008B056D"/>
    <w:rsid w:val="008B09EC"/>
    <w:rsid w:val="008B1C85"/>
    <w:rsid w:val="008B1FC0"/>
    <w:rsid w:val="008B271E"/>
    <w:rsid w:val="008B5132"/>
    <w:rsid w:val="008B74DE"/>
    <w:rsid w:val="008C00F7"/>
    <w:rsid w:val="008C1864"/>
    <w:rsid w:val="008C1C29"/>
    <w:rsid w:val="008C2A7C"/>
    <w:rsid w:val="008C44F5"/>
    <w:rsid w:val="008C560B"/>
    <w:rsid w:val="008C60E8"/>
    <w:rsid w:val="008D00C5"/>
    <w:rsid w:val="008D080C"/>
    <w:rsid w:val="008D0911"/>
    <w:rsid w:val="008D2064"/>
    <w:rsid w:val="008D2BCF"/>
    <w:rsid w:val="008D3185"/>
    <w:rsid w:val="008D357B"/>
    <w:rsid w:val="008D4C86"/>
    <w:rsid w:val="008D4E57"/>
    <w:rsid w:val="008D63E7"/>
    <w:rsid w:val="008D6877"/>
    <w:rsid w:val="008D6B37"/>
    <w:rsid w:val="008E126A"/>
    <w:rsid w:val="008E1772"/>
    <w:rsid w:val="008E23B7"/>
    <w:rsid w:val="008E3DA4"/>
    <w:rsid w:val="008E576A"/>
    <w:rsid w:val="008E607F"/>
    <w:rsid w:val="008E7F1C"/>
    <w:rsid w:val="008F0AA6"/>
    <w:rsid w:val="008F22FE"/>
    <w:rsid w:val="008F2B5D"/>
    <w:rsid w:val="008F4798"/>
    <w:rsid w:val="00900480"/>
    <w:rsid w:val="009013D7"/>
    <w:rsid w:val="009016B1"/>
    <w:rsid w:val="009025BF"/>
    <w:rsid w:val="00902809"/>
    <w:rsid w:val="00902B1B"/>
    <w:rsid w:val="00904166"/>
    <w:rsid w:val="00906B28"/>
    <w:rsid w:val="0091016C"/>
    <w:rsid w:val="00910D79"/>
    <w:rsid w:val="00911507"/>
    <w:rsid w:val="009121AC"/>
    <w:rsid w:val="009141F3"/>
    <w:rsid w:val="00914200"/>
    <w:rsid w:val="0091544E"/>
    <w:rsid w:val="00920E49"/>
    <w:rsid w:val="00924B63"/>
    <w:rsid w:val="0092670A"/>
    <w:rsid w:val="0092711A"/>
    <w:rsid w:val="00930F49"/>
    <w:rsid w:val="00931B04"/>
    <w:rsid w:val="00932FD2"/>
    <w:rsid w:val="0093421D"/>
    <w:rsid w:val="009362EC"/>
    <w:rsid w:val="00937A8E"/>
    <w:rsid w:val="009406ED"/>
    <w:rsid w:val="00942BA2"/>
    <w:rsid w:val="00943EE1"/>
    <w:rsid w:val="00947700"/>
    <w:rsid w:val="00951A3A"/>
    <w:rsid w:val="00952277"/>
    <w:rsid w:val="009528DC"/>
    <w:rsid w:val="00954F0E"/>
    <w:rsid w:val="0095599C"/>
    <w:rsid w:val="00957A0C"/>
    <w:rsid w:val="00960962"/>
    <w:rsid w:val="00960A76"/>
    <w:rsid w:val="00961D99"/>
    <w:rsid w:val="0096262E"/>
    <w:rsid w:val="0096276D"/>
    <w:rsid w:val="00963ABC"/>
    <w:rsid w:val="00964310"/>
    <w:rsid w:val="0096526C"/>
    <w:rsid w:val="00965E3D"/>
    <w:rsid w:val="0096705F"/>
    <w:rsid w:val="0096728E"/>
    <w:rsid w:val="00967320"/>
    <w:rsid w:val="00970D26"/>
    <w:rsid w:val="00970D60"/>
    <w:rsid w:val="009715A3"/>
    <w:rsid w:val="00971ADD"/>
    <w:rsid w:val="00971C9A"/>
    <w:rsid w:val="0097227D"/>
    <w:rsid w:val="00973B63"/>
    <w:rsid w:val="009741B4"/>
    <w:rsid w:val="00976010"/>
    <w:rsid w:val="009777FB"/>
    <w:rsid w:val="00977B55"/>
    <w:rsid w:val="00977BAA"/>
    <w:rsid w:val="00977E4A"/>
    <w:rsid w:val="00980F87"/>
    <w:rsid w:val="00981E4B"/>
    <w:rsid w:val="00982A8A"/>
    <w:rsid w:val="00984CE2"/>
    <w:rsid w:val="009850F7"/>
    <w:rsid w:val="009853C8"/>
    <w:rsid w:val="00985A9F"/>
    <w:rsid w:val="0099042A"/>
    <w:rsid w:val="00991166"/>
    <w:rsid w:val="0099389A"/>
    <w:rsid w:val="00993B29"/>
    <w:rsid w:val="009956DE"/>
    <w:rsid w:val="00997DB4"/>
    <w:rsid w:val="009A139D"/>
    <w:rsid w:val="009A152A"/>
    <w:rsid w:val="009A5C9A"/>
    <w:rsid w:val="009A5FDB"/>
    <w:rsid w:val="009A75FD"/>
    <w:rsid w:val="009A7A74"/>
    <w:rsid w:val="009B0AEA"/>
    <w:rsid w:val="009B3465"/>
    <w:rsid w:val="009B4A5D"/>
    <w:rsid w:val="009B4C3E"/>
    <w:rsid w:val="009B503E"/>
    <w:rsid w:val="009B7516"/>
    <w:rsid w:val="009C279C"/>
    <w:rsid w:val="009C321F"/>
    <w:rsid w:val="009C376C"/>
    <w:rsid w:val="009C3DDF"/>
    <w:rsid w:val="009C45A6"/>
    <w:rsid w:val="009C5BD8"/>
    <w:rsid w:val="009C7024"/>
    <w:rsid w:val="009D05CB"/>
    <w:rsid w:val="009D24B3"/>
    <w:rsid w:val="009D3A36"/>
    <w:rsid w:val="009D4FC9"/>
    <w:rsid w:val="009E013A"/>
    <w:rsid w:val="009E192B"/>
    <w:rsid w:val="009E3817"/>
    <w:rsid w:val="009E39BA"/>
    <w:rsid w:val="009E4D18"/>
    <w:rsid w:val="009E4DBA"/>
    <w:rsid w:val="009E684B"/>
    <w:rsid w:val="009E6FDF"/>
    <w:rsid w:val="009F31B9"/>
    <w:rsid w:val="009F38FB"/>
    <w:rsid w:val="009F48E4"/>
    <w:rsid w:val="009F5314"/>
    <w:rsid w:val="009F6694"/>
    <w:rsid w:val="009F7031"/>
    <w:rsid w:val="00A02286"/>
    <w:rsid w:val="00A03D51"/>
    <w:rsid w:val="00A04E97"/>
    <w:rsid w:val="00A0529A"/>
    <w:rsid w:val="00A0631B"/>
    <w:rsid w:val="00A06E11"/>
    <w:rsid w:val="00A07353"/>
    <w:rsid w:val="00A07D9E"/>
    <w:rsid w:val="00A11D12"/>
    <w:rsid w:val="00A120B8"/>
    <w:rsid w:val="00A12D0A"/>
    <w:rsid w:val="00A132F1"/>
    <w:rsid w:val="00A13A12"/>
    <w:rsid w:val="00A14E7C"/>
    <w:rsid w:val="00A20108"/>
    <w:rsid w:val="00A22A70"/>
    <w:rsid w:val="00A242AB"/>
    <w:rsid w:val="00A2466F"/>
    <w:rsid w:val="00A26015"/>
    <w:rsid w:val="00A30141"/>
    <w:rsid w:val="00A31626"/>
    <w:rsid w:val="00A33711"/>
    <w:rsid w:val="00A341DE"/>
    <w:rsid w:val="00A34994"/>
    <w:rsid w:val="00A35252"/>
    <w:rsid w:val="00A36AA1"/>
    <w:rsid w:val="00A40C94"/>
    <w:rsid w:val="00A457CA"/>
    <w:rsid w:val="00A471E2"/>
    <w:rsid w:val="00A4770B"/>
    <w:rsid w:val="00A50215"/>
    <w:rsid w:val="00A60D3C"/>
    <w:rsid w:val="00A63099"/>
    <w:rsid w:val="00A6667A"/>
    <w:rsid w:val="00A67257"/>
    <w:rsid w:val="00A67E8C"/>
    <w:rsid w:val="00A704E2"/>
    <w:rsid w:val="00A70914"/>
    <w:rsid w:val="00A70917"/>
    <w:rsid w:val="00A712CB"/>
    <w:rsid w:val="00A71E63"/>
    <w:rsid w:val="00A725F3"/>
    <w:rsid w:val="00A766A0"/>
    <w:rsid w:val="00A811A5"/>
    <w:rsid w:val="00A81FB1"/>
    <w:rsid w:val="00A85FD0"/>
    <w:rsid w:val="00A861BD"/>
    <w:rsid w:val="00A91AC5"/>
    <w:rsid w:val="00A921D8"/>
    <w:rsid w:val="00A92EA7"/>
    <w:rsid w:val="00A96382"/>
    <w:rsid w:val="00A9689C"/>
    <w:rsid w:val="00A969DD"/>
    <w:rsid w:val="00AA0C01"/>
    <w:rsid w:val="00AA1980"/>
    <w:rsid w:val="00AA5B28"/>
    <w:rsid w:val="00AA67D0"/>
    <w:rsid w:val="00AA7126"/>
    <w:rsid w:val="00AA7C73"/>
    <w:rsid w:val="00AB0AE8"/>
    <w:rsid w:val="00AB1451"/>
    <w:rsid w:val="00AB2159"/>
    <w:rsid w:val="00AB21E8"/>
    <w:rsid w:val="00AB2DF4"/>
    <w:rsid w:val="00AB33DC"/>
    <w:rsid w:val="00AB39FB"/>
    <w:rsid w:val="00AB44DD"/>
    <w:rsid w:val="00AB6F30"/>
    <w:rsid w:val="00AB72C0"/>
    <w:rsid w:val="00AC16AC"/>
    <w:rsid w:val="00AC40F2"/>
    <w:rsid w:val="00AC4233"/>
    <w:rsid w:val="00AC4F68"/>
    <w:rsid w:val="00AC55CC"/>
    <w:rsid w:val="00AC74F6"/>
    <w:rsid w:val="00AC7B38"/>
    <w:rsid w:val="00AC7D8F"/>
    <w:rsid w:val="00AC7E61"/>
    <w:rsid w:val="00AD0661"/>
    <w:rsid w:val="00AD17EC"/>
    <w:rsid w:val="00AD1F8E"/>
    <w:rsid w:val="00AD585B"/>
    <w:rsid w:val="00AD727E"/>
    <w:rsid w:val="00AE220F"/>
    <w:rsid w:val="00AE365A"/>
    <w:rsid w:val="00AE3A02"/>
    <w:rsid w:val="00AF1E78"/>
    <w:rsid w:val="00AF1FB9"/>
    <w:rsid w:val="00AF2649"/>
    <w:rsid w:val="00AF288E"/>
    <w:rsid w:val="00AF3A00"/>
    <w:rsid w:val="00AF663D"/>
    <w:rsid w:val="00AF7F8A"/>
    <w:rsid w:val="00B003B8"/>
    <w:rsid w:val="00B018EC"/>
    <w:rsid w:val="00B037AC"/>
    <w:rsid w:val="00B047AC"/>
    <w:rsid w:val="00B04862"/>
    <w:rsid w:val="00B0500C"/>
    <w:rsid w:val="00B0642C"/>
    <w:rsid w:val="00B1055B"/>
    <w:rsid w:val="00B10D81"/>
    <w:rsid w:val="00B10E4D"/>
    <w:rsid w:val="00B10E77"/>
    <w:rsid w:val="00B14507"/>
    <w:rsid w:val="00B16AD4"/>
    <w:rsid w:val="00B1767B"/>
    <w:rsid w:val="00B2007F"/>
    <w:rsid w:val="00B20958"/>
    <w:rsid w:val="00B2107C"/>
    <w:rsid w:val="00B2289D"/>
    <w:rsid w:val="00B230D3"/>
    <w:rsid w:val="00B234C6"/>
    <w:rsid w:val="00B24B7A"/>
    <w:rsid w:val="00B25D46"/>
    <w:rsid w:val="00B306B3"/>
    <w:rsid w:val="00B32EB7"/>
    <w:rsid w:val="00B347B3"/>
    <w:rsid w:val="00B3745C"/>
    <w:rsid w:val="00B37A5E"/>
    <w:rsid w:val="00B40381"/>
    <w:rsid w:val="00B40E5F"/>
    <w:rsid w:val="00B47B23"/>
    <w:rsid w:val="00B51B22"/>
    <w:rsid w:val="00B549E0"/>
    <w:rsid w:val="00B552C7"/>
    <w:rsid w:val="00B55F85"/>
    <w:rsid w:val="00B570C3"/>
    <w:rsid w:val="00B5732A"/>
    <w:rsid w:val="00B60AA3"/>
    <w:rsid w:val="00B64153"/>
    <w:rsid w:val="00B6451E"/>
    <w:rsid w:val="00B65D52"/>
    <w:rsid w:val="00B67086"/>
    <w:rsid w:val="00B70D8B"/>
    <w:rsid w:val="00B72E65"/>
    <w:rsid w:val="00B72F0B"/>
    <w:rsid w:val="00B73A4E"/>
    <w:rsid w:val="00B7478A"/>
    <w:rsid w:val="00B74F9A"/>
    <w:rsid w:val="00B75875"/>
    <w:rsid w:val="00B77D99"/>
    <w:rsid w:val="00B801CD"/>
    <w:rsid w:val="00B8442A"/>
    <w:rsid w:val="00B85BB3"/>
    <w:rsid w:val="00B86907"/>
    <w:rsid w:val="00B9255C"/>
    <w:rsid w:val="00B92A12"/>
    <w:rsid w:val="00B92D88"/>
    <w:rsid w:val="00B95E24"/>
    <w:rsid w:val="00B96A84"/>
    <w:rsid w:val="00BA1596"/>
    <w:rsid w:val="00BA2EB3"/>
    <w:rsid w:val="00BB1B0B"/>
    <w:rsid w:val="00BB26B4"/>
    <w:rsid w:val="00BB2A9F"/>
    <w:rsid w:val="00BB312C"/>
    <w:rsid w:val="00BB342B"/>
    <w:rsid w:val="00BB3FF2"/>
    <w:rsid w:val="00BB4073"/>
    <w:rsid w:val="00BB4F5C"/>
    <w:rsid w:val="00BC1651"/>
    <w:rsid w:val="00BC25FA"/>
    <w:rsid w:val="00BC3782"/>
    <w:rsid w:val="00BC504C"/>
    <w:rsid w:val="00BC5803"/>
    <w:rsid w:val="00BC7962"/>
    <w:rsid w:val="00BC7AFA"/>
    <w:rsid w:val="00BD07AC"/>
    <w:rsid w:val="00BD0969"/>
    <w:rsid w:val="00BD215C"/>
    <w:rsid w:val="00BD27D9"/>
    <w:rsid w:val="00BD2883"/>
    <w:rsid w:val="00BD3A3F"/>
    <w:rsid w:val="00BD5036"/>
    <w:rsid w:val="00BE02F7"/>
    <w:rsid w:val="00BE09AC"/>
    <w:rsid w:val="00BE0C48"/>
    <w:rsid w:val="00BE2951"/>
    <w:rsid w:val="00BE2DFF"/>
    <w:rsid w:val="00BE375D"/>
    <w:rsid w:val="00BE4950"/>
    <w:rsid w:val="00BE5B15"/>
    <w:rsid w:val="00BE7160"/>
    <w:rsid w:val="00BF1106"/>
    <w:rsid w:val="00BF1B33"/>
    <w:rsid w:val="00BF3F3B"/>
    <w:rsid w:val="00BF46D3"/>
    <w:rsid w:val="00BF5408"/>
    <w:rsid w:val="00BF6DC9"/>
    <w:rsid w:val="00BF6E34"/>
    <w:rsid w:val="00C003C6"/>
    <w:rsid w:val="00C01499"/>
    <w:rsid w:val="00C01B4A"/>
    <w:rsid w:val="00C02F00"/>
    <w:rsid w:val="00C03C5F"/>
    <w:rsid w:val="00C07BE8"/>
    <w:rsid w:val="00C124B5"/>
    <w:rsid w:val="00C14E0D"/>
    <w:rsid w:val="00C156E9"/>
    <w:rsid w:val="00C15A62"/>
    <w:rsid w:val="00C15E84"/>
    <w:rsid w:val="00C16B9F"/>
    <w:rsid w:val="00C16E26"/>
    <w:rsid w:val="00C17017"/>
    <w:rsid w:val="00C171EB"/>
    <w:rsid w:val="00C223F8"/>
    <w:rsid w:val="00C226EA"/>
    <w:rsid w:val="00C24B6A"/>
    <w:rsid w:val="00C24E0A"/>
    <w:rsid w:val="00C25493"/>
    <w:rsid w:val="00C2721B"/>
    <w:rsid w:val="00C27397"/>
    <w:rsid w:val="00C30E39"/>
    <w:rsid w:val="00C30FC8"/>
    <w:rsid w:val="00C32A18"/>
    <w:rsid w:val="00C3303B"/>
    <w:rsid w:val="00C340A6"/>
    <w:rsid w:val="00C34516"/>
    <w:rsid w:val="00C34B54"/>
    <w:rsid w:val="00C34DE4"/>
    <w:rsid w:val="00C41447"/>
    <w:rsid w:val="00C4207B"/>
    <w:rsid w:val="00C428DA"/>
    <w:rsid w:val="00C441B5"/>
    <w:rsid w:val="00C46C39"/>
    <w:rsid w:val="00C46D14"/>
    <w:rsid w:val="00C50A99"/>
    <w:rsid w:val="00C50EC4"/>
    <w:rsid w:val="00C520D8"/>
    <w:rsid w:val="00C521D4"/>
    <w:rsid w:val="00C53BC2"/>
    <w:rsid w:val="00C54FE5"/>
    <w:rsid w:val="00C57922"/>
    <w:rsid w:val="00C60C0E"/>
    <w:rsid w:val="00C61FD9"/>
    <w:rsid w:val="00C67AC4"/>
    <w:rsid w:val="00C67F4B"/>
    <w:rsid w:val="00C704E3"/>
    <w:rsid w:val="00C733F1"/>
    <w:rsid w:val="00C738DF"/>
    <w:rsid w:val="00C76ECD"/>
    <w:rsid w:val="00C772FB"/>
    <w:rsid w:val="00C8037E"/>
    <w:rsid w:val="00C80B9A"/>
    <w:rsid w:val="00C80C38"/>
    <w:rsid w:val="00C900B9"/>
    <w:rsid w:val="00C90B17"/>
    <w:rsid w:val="00C927F2"/>
    <w:rsid w:val="00C92B37"/>
    <w:rsid w:val="00C93821"/>
    <w:rsid w:val="00C95EA6"/>
    <w:rsid w:val="00C9678F"/>
    <w:rsid w:val="00CA0424"/>
    <w:rsid w:val="00CA0DB8"/>
    <w:rsid w:val="00CA124D"/>
    <w:rsid w:val="00CA1420"/>
    <w:rsid w:val="00CA30E2"/>
    <w:rsid w:val="00CA3461"/>
    <w:rsid w:val="00CA352D"/>
    <w:rsid w:val="00CA3768"/>
    <w:rsid w:val="00CA3CE9"/>
    <w:rsid w:val="00CA42E8"/>
    <w:rsid w:val="00CA4BDD"/>
    <w:rsid w:val="00CA6E72"/>
    <w:rsid w:val="00CB02E2"/>
    <w:rsid w:val="00CB1266"/>
    <w:rsid w:val="00CB3393"/>
    <w:rsid w:val="00CB6002"/>
    <w:rsid w:val="00CB6C5B"/>
    <w:rsid w:val="00CB6CA7"/>
    <w:rsid w:val="00CB742D"/>
    <w:rsid w:val="00CB7604"/>
    <w:rsid w:val="00CC0254"/>
    <w:rsid w:val="00CC02F4"/>
    <w:rsid w:val="00CC1351"/>
    <w:rsid w:val="00CC1FC6"/>
    <w:rsid w:val="00CC3694"/>
    <w:rsid w:val="00CC3C96"/>
    <w:rsid w:val="00CC64D8"/>
    <w:rsid w:val="00CC6A92"/>
    <w:rsid w:val="00CC7112"/>
    <w:rsid w:val="00CC7519"/>
    <w:rsid w:val="00CC79E0"/>
    <w:rsid w:val="00CC7B44"/>
    <w:rsid w:val="00CD0C9A"/>
    <w:rsid w:val="00CD7957"/>
    <w:rsid w:val="00CE2FF3"/>
    <w:rsid w:val="00CE3276"/>
    <w:rsid w:val="00CE52F1"/>
    <w:rsid w:val="00CE7287"/>
    <w:rsid w:val="00CF12B3"/>
    <w:rsid w:val="00CF2C83"/>
    <w:rsid w:val="00CF3E6B"/>
    <w:rsid w:val="00CF5B4C"/>
    <w:rsid w:val="00CF6356"/>
    <w:rsid w:val="00D01EB8"/>
    <w:rsid w:val="00D04329"/>
    <w:rsid w:val="00D04CD9"/>
    <w:rsid w:val="00D0615A"/>
    <w:rsid w:val="00D139A3"/>
    <w:rsid w:val="00D1414E"/>
    <w:rsid w:val="00D14D45"/>
    <w:rsid w:val="00D163B3"/>
    <w:rsid w:val="00D171D6"/>
    <w:rsid w:val="00D20AB3"/>
    <w:rsid w:val="00D23042"/>
    <w:rsid w:val="00D24097"/>
    <w:rsid w:val="00D245CD"/>
    <w:rsid w:val="00D24A90"/>
    <w:rsid w:val="00D257AB"/>
    <w:rsid w:val="00D261B3"/>
    <w:rsid w:val="00D26E92"/>
    <w:rsid w:val="00D31866"/>
    <w:rsid w:val="00D31B8A"/>
    <w:rsid w:val="00D35234"/>
    <w:rsid w:val="00D3546B"/>
    <w:rsid w:val="00D35509"/>
    <w:rsid w:val="00D36346"/>
    <w:rsid w:val="00D4161D"/>
    <w:rsid w:val="00D41B1C"/>
    <w:rsid w:val="00D45F65"/>
    <w:rsid w:val="00D504E1"/>
    <w:rsid w:val="00D51169"/>
    <w:rsid w:val="00D5319E"/>
    <w:rsid w:val="00D56092"/>
    <w:rsid w:val="00D57686"/>
    <w:rsid w:val="00D57AAF"/>
    <w:rsid w:val="00D600C0"/>
    <w:rsid w:val="00D644AF"/>
    <w:rsid w:val="00D64785"/>
    <w:rsid w:val="00D64F7C"/>
    <w:rsid w:val="00D65290"/>
    <w:rsid w:val="00D65373"/>
    <w:rsid w:val="00D65C3B"/>
    <w:rsid w:val="00D66F8E"/>
    <w:rsid w:val="00D71E65"/>
    <w:rsid w:val="00D73AAB"/>
    <w:rsid w:val="00D74542"/>
    <w:rsid w:val="00D808A3"/>
    <w:rsid w:val="00D808F3"/>
    <w:rsid w:val="00D81D11"/>
    <w:rsid w:val="00D8238C"/>
    <w:rsid w:val="00D864C5"/>
    <w:rsid w:val="00D9059E"/>
    <w:rsid w:val="00D90AB1"/>
    <w:rsid w:val="00D91701"/>
    <w:rsid w:val="00D9299A"/>
    <w:rsid w:val="00D936AB"/>
    <w:rsid w:val="00D9562B"/>
    <w:rsid w:val="00D96750"/>
    <w:rsid w:val="00D9730F"/>
    <w:rsid w:val="00D977EA"/>
    <w:rsid w:val="00D9781C"/>
    <w:rsid w:val="00DA3074"/>
    <w:rsid w:val="00DA370B"/>
    <w:rsid w:val="00DA3996"/>
    <w:rsid w:val="00DA3F6A"/>
    <w:rsid w:val="00DA43F7"/>
    <w:rsid w:val="00DA7EBD"/>
    <w:rsid w:val="00DB005D"/>
    <w:rsid w:val="00DB33F2"/>
    <w:rsid w:val="00DB3F94"/>
    <w:rsid w:val="00DB44B3"/>
    <w:rsid w:val="00DB7AE3"/>
    <w:rsid w:val="00DC1ED8"/>
    <w:rsid w:val="00DC3CB3"/>
    <w:rsid w:val="00DC52E1"/>
    <w:rsid w:val="00DC6FE7"/>
    <w:rsid w:val="00DC7BEC"/>
    <w:rsid w:val="00DD0FAB"/>
    <w:rsid w:val="00DD23A6"/>
    <w:rsid w:val="00DD2C8C"/>
    <w:rsid w:val="00DD2C90"/>
    <w:rsid w:val="00DD323B"/>
    <w:rsid w:val="00DD5525"/>
    <w:rsid w:val="00DD5767"/>
    <w:rsid w:val="00DD5C29"/>
    <w:rsid w:val="00DD7706"/>
    <w:rsid w:val="00DD7A02"/>
    <w:rsid w:val="00DD7C2A"/>
    <w:rsid w:val="00DE0DA9"/>
    <w:rsid w:val="00DE183E"/>
    <w:rsid w:val="00DE2229"/>
    <w:rsid w:val="00DE3733"/>
    <w:rsid w:val="00DE39E0"/>
    <w:rsid w:val="00DE3A7A"/>
    <w:rsid w:val="00DE6C94"/>
    <w:rsid w:val="00DE76AB"/>
    <w:rsid w:val="00DF0605"/>
    <w:rsid w:val="00DF21D3"/>
    <w:rsid w:val="00DF45A6"/>
    <w:rsid w:val="00DF5942"/>
    <w:rsid w:val="00E0039E"/>
    <w:rsid w:val="00E00952"/>
    <w:rsid w:val="00E01B35"/>
    <w:rsid w:val="00E03803"/>
    <w:rsid w:val="00E04FD8"/>
    <w:rsid w:val="00E06716"/>
    <w:rsid w:val="00E07564"/>
    <w:rsid w:val="00E077D3"/>
    <w:rsid w:val="00E135DE"/>
    <w:rsid w:val="00E14381"/>
    <w:rsid w:val="00E15C6F"/>
    <w:rsid w:val="00E17BC0"/>
    <w:rsid w:val="00E223F1"/>
    <w:rsid w:val="00E243EE"/>
    <w:rsid w:val="00E24858"/>
    <w:rsid w:val="00E24D93"/>
    <w:rsid w:val="00E24FA6"/>
    <w:rsid w:val="00E264A9"/>
    <w:rsid w:val="00E305BD"/>
    <w:rsid w:val="00E31520"/>
    <w:rsid w:val="00E32B62"/>
    <w:rsid w:val="00E337ED"/>
    <w:rsid w:val="00E359E8"/>
    <w:rsid w:val="00E3619D"/>
    <w:rsid w:val="00E362A6"/>
    <w:rsid w:val="00E363DA"/>
    <w:rsid w:val="00E36BF6"/>
    <w:rsid w:val="00E36C67"/>
    <w:rsid w:val="00E37D45"/>
    <w:rsid w:val="00E40139"/>
    <w:rsid w:val="00E41037"/>
    <w:rsid w:val="00E4346D"/>
    <w:rsid w:val="00E44571"/>
    <w:rsid w:val="00E4578C"/>
    <w:rsid w:val="00E46BC5"/>
    <w:rsid w:val="00E46F15"/>
    <w:rsid w:val="00E50CB9"/>
    <w:rsid w:val="00E52E9F"/>
    <w:rsid w:val="00E54B2D"/>
    <w:rsid w:val="00E55BFB"/>
    <w:rsid w:val="00E55E68"/>
    <w:rsid w:val="00E57B9C"/>
    <w:rsid w:val="00E6465F"/>
    <w:rsid w:val="00E650D2"/>
    <w:rsid w:val="00E654A9"/>
    <w:rsid w:val="00E65AF8"/>
    <w:rsid w:val="00E66AEA"/>
    <w:rsid w:val="00E66B00"/>
    <w:rsid w:val="00E67789"/>
    <w:rsid w:val="00E67B5C"/>
    <w:rsid w:val="00E67C5F"/>
    <w:rsid w:val="00E70B0B"/>
    <w:rsid w:val="00E71590"/>
    <w:rsid w:val="00E72837"/>
    <w:rsid w:val="00E86363"/>
    <w:rsid w:val="00E86B78"/>
    <w:rsid w:val="00E90717"/>
    <w:rsid w:val="00E90803"/>
    <w:rsid w:val="00E90C8F"/>
    <w:rsid w:val="00E90ED7"/>
    <w:rsid w:val="00E90F9C"/>
    <w:rsid w:val="00E93EAC"/>
    <w:rsid w:val="00EA0054"/>
    <w:rsid w:val="00EA0672"/>
    <w:rsid w:val="00EA07DB"/>
    <w:rsid w:val="00EA0E09"/>
    <w:rsid w:val="00EA32D7"/>
    <w:rsid w:val="00EA457E"/>
    <w:rsid w:val="00EA4778"/>
    <w:rsid w:val="00EA479E"/>
    <w:rsid w:val="00EA53F1"/>
    <w:rsid w:val="00EB1C53"/>
    <w:rsid w:val="00EB5734"/>
    <w:rsid w:val="00EB5C21"/>
    <w:rsid w:val="00EB71A6"/>
    <w:rsid w:val="00EC0339"/>
    <w:rsid w:val="00EC2450"/>
    <w:rsid w:val="00EC30A3"/>
    <w:rsid w:val="00EC3B6B"/>
    <w:rsid w:val="00EC413D"/>
    <w:rsid w:val="00EC42A0"/>
    <w:rsid w:val="00ED0045"/>
    <w:rsid w:val="00ED14EA"/>
    <w:rsid w:val="00ED250A"/>
    <w:rsid w:val="00ED3414"/>
    <w:rsid w:val="00ED3B93"/>
    <w:rsid w:val="00ED4A61"/>
    <w:rsid w:val="00ED59D4"/>
    <w:rsid w:val="00ED664F"/>
    <w:rsid w:val="00ED716A"/>
    <w:rsid w:val="00EE0009"/>
    <w:rsid w:val="00EE10C1"/>
    <w:rsid w:val="00EF0AB5"/>
    <w:rsid w:val="00EF14D1"/>
    <w:rsid w:val="00EF15DB"/>
    <w:rsid w:val="00EF178A"/>
    <w:rsid w:val="00EF2300"/>
    <w:rsid w:val="00EF236E"/>
    <w:rsid w:val="00EF2538"/>
    <w:rsid w:val="00EF2E9E"/>
    <w:rsid w:val="00EF3208"/>
    <w:rsid w:val="00EF4347"/>
    <w:rsid w:val="00EF695A"/>
    <w:rsid w:val="00EF707E"/>
    <w:rsid w:val="00F0180A"/>
    <w:rsid w:val="00F01850"/>
    <w:rsid w:val="00F02DD4"/>
    <w:rsid w:val="00F0339B"/>
    <w:rsid w:val="00F03AFB"/>
    <w:rsid w:val="00F04E8C"/>
    <w:rsid w:val="00F05099"/>
    <w:rsid w:val="00F05718"/>
    <w:rsid w:val="00F10735"/>
    <w:rsid w:val="00F126C3"/>
    <w:rsid w:val="00F12F4E"/>
    <w:rsid w:val="00F13120"/>
    <w:rsid w:val="00F13BDB"/>
    <w:rsid w:val="00F149EE"/>
    <w:rsid w:val="00F157D1"/>
    <w:rsid w:val="00F2028E"/>
    <w:rsid w:val="00F21B80"/>
    <w:rsid w:val="00F25069"/>
    <w:rsid w:val="00F25201"/>
    <w:rsid w:val="00F25370"/>
    <w:rsid w:val="00F2540C"/>
    <w:rsid w:val="00F25F24"/>
    <w:rsid w:val="00F308F4"/>
    <w:rsid w:val="00F31327"/>
    <w:rsid w:val="00F34E18"/>
    <w:rsid w:val="00F34EC2"/>
    <w:rsid w:val="00F376C0"/>
    <w:rsid w:val="00F40F48"/>
    <w:rsid w:val="00F420EB"/>
    <w:rsid w:val="00F4297F"/>
    <w:rsid w:val="00F4715A"/>
    <w:rsid w:val="00F51161"/>
    <w:rsid w:val="00F52D9B"/>
    <w:rsid w:val="00F53674"/>
    <w:rsid w:val="00F53864"/>
    <w:rsid w:val="00F53B62"/>
    <w:rsid w:val="00F53F95"/>
    <w:rsid w:val="00F557E0"/>
    <w:rsid w:val="00F55D34"/>
    <w:rsid w:val="00F60558"/>
    <w:rsid w:val="00F61800"/>
    <w:rsid w:val="00F61837"/>
    <w:rsid w:val="00F627B8"/>
    <w:rsid w:val="00F62822"/>
    <w:rsid w:val="00F63225"/>
    <w:rsid w:val="00F72BD3"/>
    <w:rsid w:val="00F737C3"/>
    <w:rsid w:val="00F73A5F"/>
    <w:rsid w:val="00F73B2F"/>
    <w:rsid w:val="00F74588"/>
    <w:rsid w:val="00F76C3F"/>
    <w:rsid w:val="00F779F0"/>
    <w:rsid w:val="00F77EB8"/>
    <w:rsid w:val="00F81C98"/>
    <w:rsid w:val="00F81E5E"/>
    <w:rsid w:val="00F822CF"/>
    <w:rsid w:val="00F83580"/>
    <w:rsid w:val="00F843D4"/>
    <w:rsid w:val="00F847D6"/>
    <w:rsid w:val="00F85EAE"/>
    <w:rsid w:val="00F865CE"/>
    <w:rsid w:val="00F867E0"/>
    <w:rsid w:val="00F877F9"/>
    <w:rsid w:val="00F90061"/>
    <w:rsid w:val="00F901C8"/>
    <w:rsid w:val="00F91D7E"/>
    <w:rsid w:val="00F94C38"/>
    <w:rsid w:val="00F967D8"/>
    <w:rsid w:val="00F96962"/>
    <w:rsid w:val="00F9791A"/>
    <w:rsid w:val="00FA0D25"/>
    <w:rsid w:val="00FA1C7A"/>
    <w:rsid w:val="00FA1E8E"/>
    <w:rsid w:val="00FA4659"/>
    <w:rsid w:val="00FA5AF1"/>
    <w:rsid w:val="00FA6203"/>
    <w:rsid w:val="00FA7ECE"/>
    <w:rsid w:val="00FB648B"/>
    <w:rsid w:val="00FB6D5A"/>
    <w:rsid w:val="00FB6D7E"/>
    <w:rsid w:val="00FC1016"/>
    <w:rsid w:val="00FC2AEA"/>
    <w:rsid w:val="00FC3BF6"/>
    <w:rsid w:val="00FC41FD"/>
    <w:rsid w:val="00FC56CC"/>
    <w:rsid w:val="00FC6ABA"/>
    <w:rsid w:val="00FC6AC3"/>
    <w:rsid w:val="00FC6B48"/>
    <w:rsid w:val="00FC7025"/>
    <w:rsid w:val="00FC7562"/>
    <w:rsid w:val="00FC7669"/>
    <w:rsid w:val="00FD01B6"/>
    <w:rsid w:val="00FD0B3E"/>
    <w:rsid w:val="00FD0F17"/>
    <w:rsid w:val="00FD1C13"/>
    <w:rsid w:val="00FD2913"/>
    <w:rsid w:val="00FD427E"/>
    <w:rsid w:val="00FD700D"/>
    <w:rsid w:val="00FD75C4"/>
    <w:rsid w:val="00FD7C0C"/>
    <w:rsid w:val="00FE461F"/>
    <w:rsid w:val="00FE48D3"/>
    <w:rsid w:val="00FE5944"/>
    <w:rsid w:val="00FE7742"/>
    <w:rsid w:val="00FE7A65"/>
    <w:rsid w:val="00FF08E6"/>
    <w:rsid w:val="00FF5E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3708"/>
  <w15:chartTrackingRefBased/>
  <w15:docId w15:val="{58CC8922-3FB6-454E-957C-C01CEEB7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0108"/>
    <w:pPr>
      <w:spacing w:before="100" w:beforeAutospacing="1" w:after="100" w:afterAutospacing="1" w:line="240" w:lineRule="auto"/>
      <w:outlineLvl w:val="0"/>
    </w:pPr>
    <w:rPr>
      <w:rFonts w:eastAsia="Times New Roman" w:cs="Times New Roman"/>
      <w:b/>
      <w:bCs/>
      <w:kern w:val="36"/>
      <w:sz w:val="48"/>
      <w:szCs w:val="48"/>
      <w:lang w:eastAsia="en-ZA"/>
    </w:rPr>
  </w:style>
  <w:style w:type="paragraph" w:styleId="Heading2">
    <w:name w:val="heading 2"/>
    <w:basedOn w:val="Normal"/>
    <w:link w:val="Heading2Char"/>
    <w:uiPriority w:val="9"/>
    <w:qFormat/>
    <w:rsid w:val="00A20108"/>
    <w:pPr>
      <w:spacing w:before="100" w:beforeAutospacing="1" w:after="100" w:afterAutospacing="1" w:line="240" w:lineRule="auto"/>
      <w:outlineLvl w:val="1"/>
    </w:pPr>
    <w:rPr>
      <w:rFonts w:eastAsia="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583E4C"/>
    <w:pPr>
      <w:spacing w:before="100" w:beforeAutospacing="1" w:after="100" w:afterAutospacing="1" w:line="240" w:lineRule="auto"/>
    </w:pPr>
    <w:rPr>
      <w:rFonts w:eastAsia="Times New Roman" w:cs="Times New Roman"/>
      <w:sz w:val="24"/>
      <w:szCs w:val="24"/>
      <w:lang w:eastAsia="en-ZA"/>
    </w:rPr>
  </w:style>
  <w:style w:type="character" w:styleId="Hyperlink">
    <w:name w:val="Hyperlink"/>
    <w:basedOn w:val="DefaultParagraphFont"/>
    <w:uiPriority w:val="99"/>
    <w:unhideWhenUsed/>
    <w:rsid w:val="00583E4C"/>
    <w:rPr>
      <w:color w:val="0000FF"/>
      <w:u w:val="single"/>
    </w:rPr>
  </w:style>
  <w:style w:type="character" w:customStyle="1" w:styleId="Heading1Char">
    <w:name w:val="Heading 1 Char"/>
    <w:basedOn w:val="DefaultParagraphFont"/>
    <w:link w:val="Heading1"/>
    <w:uiPriority w:val="9"/>
    <w:rsid w:val="00A20108"/>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A20108"/>
    <w:rPr>
      <w:rFonts w:ascii="Times New Roman" w:eastAsia="Times New Roman" w:hAnsi="Times New Roman" w:cs="Times New Roman"/>
      <w:b/>
      <w:bCs/>
      <w:sz w:val="36"/>
      <w:szCs w:val="36"/>
      <w:lang w:eastAsia="en-ZA"/>
    </w:rPr>
  </w:style>
  <w:style w:type="paragraph" w:styleId="ListParagraph">
    <w:name w:val="List Paragraph"/>
    <w:basedOn w:val="Normal"/>
    <w:uiPriority w:val="34"/>
    <w:qFormat/>
    <w:rsid w:val="008A677A"/>
    <w:pPr>
      <w:spacing w:line="256" w:lineRule="auto"/>
      <w:ind w:left="720"/>
      <w:contextualSpacing/>
    </w:pPr>
  </w:style>
  <w:style w:type="character" w:styleId="CommentReference">
    <w:name w:val="annotation reference"/>
    <w:basedOn w:val="DefaultParagraphFont"/>
    <w:uiPriority w:val="99"/>
    <w:semiHidden/>
    <w:unhideWhenUsed/>
    <w:rsid w:val="008A677A"/>
    <w:rPr>
      <w:sz w:val="16"/>
      <w:szCs w:val="16"/>
    </w:rPr>
  </w:style>
  <w:style w:type="paragraph" w:styleId="CommentText">
    <w:name w:val="annotation text"/>
    <w:basedOn w:val="Normal"/>
    <w:link w:val="CommentTextChar"/>
    <w:uiPriority w:val="99"/>
    <w:unhideWhenUsed/>
    <w:rsid w:val="008A677A"/>
    <w:pPr>
      <w:spacing w:line="240" w:lineRule="auto"/>
    </w:pPr>
    <w:rPr>
      <w:sz w:val="20"/>
      <w:szCs w:val="20"/>
    </w:rPr>
  </w:style>
  <w:style w:type="character" w:customStyle="1" w:styleId="CommentTextChar">
    <w:name w:val="Comment Text Char"/>
    <w:basedOn w:val="DefaultParagraphFont"/>
    <w:link w:val="CommentText"/>
    <w:uiPriority w:val="99"/>
    <w:rsid w:val="008A677A"/>
    <w:rPr>
      <w:sz w:val="20"/>
      <w:szCs w:val="20"/>
    </w:rPr>
  </w:style>
  <w:style w:type="paragraph" w:styleId="BalloonText">
    <w:name w:val="Balloon Text"/>
    <w:basedOn w:val="Normal"/>
    <w:link w:val="BalloonTextChar"/>
    <w:uiPriority w:val="99"/>
    <w:semiHidden/>
    <w:unhideWhenUsed/>
    <w:rsid w:val="001B4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153"/>
    <w:rPr>
      <w:rFonts w:ascii="Segoe UI" w:hAnsi="Segoe UI" w:cs="Segoe UI"/>
      <w:sz w:val="18"/>
      <w:szCs w:val="18"/>
    </w:rPr>
  </w:style>
  <w:style w:type="paragraph" w:styleId="NormalWeb">
    <w:name w:val="Normal (Web)"/>
    <w:basedOn w:val="Normal"/>
    <w:uiPriority w:val="99"/>
    <w:unhideWhenUsed/>
    <w:rsid w:val="00A35252"/>
    <w:pPr>
      <w:spacing w:before="100" w:beforeAutospacing="1" w:after="100" w:afterAutospacing="1" w:line="240" w:lineRule="auto"/>
    </w:pPr>
    <w:rPr>
      <w:rFonts w:eastAsia="Times New Roman" w:cs="Times New Roman"/>
      <w:sz w:val="24"/>
      <w:szCs w:val="24"/>
      <w:lang w:eastAsia="en-ZA"/>
    </w:rPr>
  </w:style>
  <w:style w:type="paragraph" w:styleId="Header">
    <w:name w:val="header"/>
    <w:basedOn w:val="Normal"/>
    <w:link w:val="HeaderChar"/>
    <w:uiPriority w:val="99"/>
    <w:unhideWhenUsed/>
    <w:rsid w:val="005F2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683"/>
  </w:style>
  <w:style w:type="paragraph" w:styleId="Footer">
    <w:name w:val="footer"/>
    <w:basedOn w:val="Normal"/>
    <w:link w:val="FooterChar"/>
    <w:uiPriority w:val="99"/>
    <w:unhideWhenUsed/>
    <w:rsid w:val="005F2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683"/>
  </w:style>
  <w:style w:type="character" w:customStyle="1" w:styleId="g1">
    <w:name w:val="g1"/>
    <w:basedOn w:val="DefaultParagraphFont"/>
    <w:rsid w:val="00E31520"/>
  </w:style>
  <w:style w:type="character" w:customStyle="1" w:styleId="fnotenum">
    <w:name w:val="fnotenum"/>
    <w:basedOn w:val="DefaultParagraphFont"/>
    <w:rsid w:val="00F843D4"/>
  </w:style>
  <w:style w:type="paragraph" w:styleId="FootnoteText">
    <w:name w:val="footnote text"/>
    <w:basedOn w:val="Normal"/>
    <w:link w:val="FootnoteTextChar"/>
    <w:uiPriority w:val="99"/>
    <w:semiHidden/>
    <w:unhideWhenUsed/>
    <w:rsid w:val="008D08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80C"/>
    <w:rPr>
      <w:sz w:val="20"/>
      <w:szCs w:val="20"/>
    </w:rPr>
  </w:style>
  <w:style w:type="character" w:styleId="FootnoteReference">
    <w:name w:val="footnote reference"/>
    <w:basedOn w:val="DefaultParagraphFont"/>
    <w:uiPriority w:val="99"/>
    <w:semiHidden/>
    <w:unhideWhenUsed/>
    <w:rsid w:val="008D080C"/>
    <w:rPr>
      <w:vertAlign w:val="superscript"/>
    </w:rPr>
  </w:style>
  <w:style w:type="paragraph" w:styleId="CommentSubject">
    <w:name w:val="annotation subject"/>
    <w:basedOn w:val="CommentText"/>
    <w:next w:val="CommentText"/>
    <w:link w:val="CommentSubjectChar"/>
    <w:uiPriority w:val="99"/>
    <w:semiHidden/>
    <w:unhideWhenUsed/>
    <w:rsid w:val="002F0B5D"/>
    <w:rPr>
      <w:b/>
      <w:bCs/>
    </w:rPr>
  </w:style>
  <w:style w:type="character" w:customStyle="1" w:styleId="CommentSubjectChar">
    <w:name w:val="Comment Subject Char"/>
    <w:basedOn w:val="CommentTextChar"/>
    <w:link w:val="CommentSubject"/>
    <w:uiPriority w:val="99"/>
    <w:semiHidden/>
    <w:rsid w:val="002F0B5D"/>
    <w:rPr>
      <w:b/>
      <w:bCs/>
      <w:sz w:val="20"/>
      <w:szCs w:val="20"/>
    </w:rPr>
  </w:style>
  <w:style w:type="paragraph" w:styleId="Revision">
    <w:name w:val="Revision"/>
    <w:hidden/>
    <w:uiPriority w:val="99"/>
    <w:semiHidden/>
    <w:rsid w:val="003D07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231948">
      <w:bodyDiv w:val="1"/>
      <w:marLeft w:val="0"/>
      <w:marRight w:val="0"/>
      <w:marTop w:val="0"/>
      <w:marBottom w:val="0"/>
      <w:divBdr>
        <w:top w:val="none" w:sz="0" w:space="0" w:color="auto"/>
        <w:left w:val="none" w:sz="0" w:space="0" w:color="auto"/>
        <w:bottom w:val="none" w:sz="0" w:space="0" w:color="auto"/>
        <w:right w:val="none" w:sz="0" w:space="0" w:color="auto"/>
      </w:divBdr>
    </w:div>
    <w:div w:id="645476649">
      <w:bodyDiv w:val="1"/>
      <w:marLeft w:val="0"/>
      <w:marRight w:val="0"/>
      <w:marTop w:val="0"/>
      <w:marBottom w:val="0"/>
      <w:divBdr>
        <w:top w:val="none" w:sz="0" w:space="0" w:color="auto"/>
        <w:left w:val="none" w:sz="0" w:space="0" w:color="auto"/>
        <w:bottom w:val="none" w:sz="0" w:space="0" w:color="auto"/>
        <w:right w:val="none" w:sz="0" w:space="0" w:color="auto"/>
      </w:divBdr>
    </w:div>
    <w:div w:id="942298306">
      <w:bodyDiv w:val="1"/>
      <w:marLeft w:val="0"/>
      <w:marRight w:val="0"/>
      <w:marTop w:val="0"/>
      <w:marBottom w:val="0"/>
      <w:divBdr>
        <w:top w:val="none" w:sz="0" w:space="0" w:color="auto"/>
        <w:left w:val="none" w:sz="0" w:space="0" w:color="auto"/>
        <w:bottom w:val="none" w:sz="0" w:space="0" w:color="auto"/>
        <w:right w:val="none" w:sz="0" w:space="0" w:color="auto"/>
      </w:divBdr>
    </w:div>
    <w:div w:id="947158749">
      <w:bodyDiv w:val="1"/>
      <w:marLeft w:val="0"/>
      <w:marRight w:val="0"/>
      <w:marTop w:val="0"/>
      <w:marBottom w:val="0"/>
      <w:divBdr>
        <w:top w:val="none" w:sz="0" w:space="0" w:color="auto"/>
        <w:left w:val="none" w:sz="0" w:space="0" w:color="auto"/>
        <w:bottom w:val="none" w:sz="0" w:space="0" w:color="auto"/>
        <w:right w:val="none" w:sz="0" w:space="0" w:color="auto"/>
      </w:divBdr>
    </w:div>
    <w:div w:id="992372062">
      <w:bodyDiv w:val="1"/>
      <w:marLeft w:val="0"/>
      <w:marRight w:val="0"/>
      <w:marTop w:val="0"/>
      <w:marBottom w:val="0"/>
      <w:divBdr>
        <w:top w:val="none" w:sz="0" w:space="0" w:color="auto"/>
        <w:left w:val="none" w:sz="0" w:space="0" w:color="auto"/>
        <w:bottom w:val="none" w:sz="0" w:space="0" w:color="auto"/>
        <w:right w:val="none" w:sz="0" w:space="0" w:color="auto"/>
      </w:divBdr>
    </w:div>
    <w:div w:id="1092386473">
      <w:bodyDiv w:val="1"/>
      <w:marLeft w:val="0"/>
      <w:marRight w:val="0"/>
      <w:marTop w:val="0"/>
      <w:marBottom w:val="0"/>
      <w:divBdr>
        <w:top w:val="none" w:sz="0" w:space="0" w:color="auto"/>
        <w:left w:val="none" w:sz="0" w:space="0" w:color="auto"/>
        <w:bottom w:val="none" w:sz="0" w:space="0" w:color="auto"/>
        <w:right w:val="none" w:sz="0" w:space="0" w:color="auto"/>
      </w:divBdr>
      <w:divsChild>
        <w:div w:id="392462316">
          <w:marLeft w:val="567"/>
          <w:marRight w:val="0"/>
          <w:marTop w:val="60"/>
          <w:marBottom w:val="0"/>
          <w:divBdr>
            <w:top w:val="none" w:sz="0" w:space="0" w:color="auto"/>
            <w:left w:val="none" w:sz="0" w:space="0" w:color="auto"/>
            <w:bottom w:val="none" w:sz="0" w:space="0" w:color="auto"/>
            <w:right w:val="none" w:sz="0" w:space="0" w:color="auto"/>
          </w:divBdr>
        </w:div>
        <w:div w:id="1613051238">
          <w:marLeft w:val="0"/>
          <w:marRight w:val="0"/>
          <w:marTop w:val="120"/>
          <w:marBottom w:val="0"/>
          <w:divBdr>
            <w:top w:val="none" w:sz="0" w:space="0" w:color="auto"/>
            <w:left w:val="none" w:sz="0" w:space="0" w:color="auto"/>
            <w:bottom w:val="none" w:sz="0" w:space="0" w:color="auto"/>
            <w:right w:val="none" w:sz="0" w:space="0" w:color="auto"/>
          </w:divBdr>
        </w:div>
      </w:divsChild>
    </w:div>
    <w:div w:id="1278367475">
      <w:bodyDiv w:val="1"/>
      <w:marLeft w:val="0"/>
      <w:marRight w:val="0"/>
      <w:marTop w:val="0"/>
      <w:marBottom w:val="0"/>
      <w:divBdr>
        <w:top w:val="none" w:sz="0" w:space="0" w:color="auto"/>
        <w:left w:val="none" w:sz="0" w:space="0" w:color="auto"/>
        <w:bottom w:val="none" w:sz="0" w:space="0" w:color="auto"/>
        <w:right w:val="none" w:sz="0" w:space="0" w:color="auto"/>
      </w:divBdr>
      <w:divsChild>
        <w:div w:id="113985789">
          <w:marLeft w:val="0"/>
          <w:marRight w:val="0"/>
          <w:marTop w:val="180"/>
          <w:marBottom w:val="60"/>
          <w:divBdr>
            <w:top w:val="single" w:sz="8" w:space="1" w:color="808080"/>
            <w:left w:val="none" w:sz="0" w:space="0" w:color="auto"/>
            <w:bottom w:val="none" w:sz="0" w:space="0" w:color="auto"/>
            <w:right w:val="none" w:sz="0" w:space="0" w:color="auto"/>
          </w:divBdr>
        </w:div>
        <w:div w:id="469633637">
          <w:marLeft w:val="0"/>
          <w:marRight w:val="0"/>
          <w:marTop w:val="180"/>
          <w:marBottom w:val="60"/>
          <w:divBdr>
            <w:top w:val="single" w:sz="8" w:space="1" w:color="808080"/>
            <w:left w:val="none" w:sz="0" w:space="0" w:color="auto"/>
            <w:bottom w:val="none" w:sz="0" w:space="0" w:color="auto"/>
            <w:right w:val="none" w:sz="0" w:space="0" w:color="auto"/>
          </w:divBdr>
        </w:div>
        <w:div w:id="599148755">
          <w:marLeft w:val="0"/>
          <w:marRight w:val="0"/>
          <w:marTop w:val="120"/>
          <w:marBottom w:val="0"/>
          <w:divBdr>
            <w:top w:val="none" w:sz="0" w:space="0" w:color="auto"/>
            <w:left w:val="none" w:sz="0" w:space="0" w:color="auto"/>
            <w:bottom w:val="none" w:sz="0" w:space="0" w:color="auto"/>
            <w:right w:val="none" w:sz="0" w:space="0" w:color="auto"/>
          </w:divBdr>
        </w:div>
        <w:div w:id="862672673">
          <w:marLeft w:val="0"/>
          <w:marRight w:val="0"/>
          <w:marTop w:val="120"/>
          <w:marBottom w:val="0"/>
          <w:divBdr>
            <w:top w:val="none" w:sz="0" w:space="0" w:color="auto"/>
            <w:left w:val="none" w:sz="0" w:space="0" w:color="auto"/>
            <w:bottom w:val="none" w:sz="0" w:space="0" w:color="auto"/>
            <w:right w:val="none" w:sz="0" w:space="0" w:color="auto"/>
          </w:divBdr>
        </w:div>
        <w:div w:id="1108500149">
          <w:marLeft w:val="0"/>
          <w:marRight w:val="0"/>
          <w:marTop w:val="180"/>
          <w:marBottom w:val="60"/>
          <w:divBdr>
            <w:top w:val="single" w:sz="8" w:space="1" w:color="808080"/>
            <w:left w:val="none" w:sz="0" w:space="0" w:color="auto"/>
            <w:bottom w:val="none" w:sz="0" w:space="0" w:color="auto"/>
            <w:right w:val="none" w:sz="0" w:space="0" w:color="auto"/>
          </w:divBdr>
        </w:div>
        <w:div w:id="1161430537">
          <w:marLeft w:val="0"/>
          <w:marRight w:val="0"/>
          <w:marTop w:val="120"/>
          <w:marBottom w:val="0"/>
          <w:divBdr>
            <w:top w:val="none" w:sz="0" w:space="0" w:color="auto"/>
            <w:left w:val="none" w:sz="0" w:space="0" w:color="auto"/>
            <w:bottom w:val="none" w:sz="0" w:space="0" w:color="auto"/>
            <w:right w:val="none" w:sz="0" w:space="0" w:color="auto"/>
          </w:divBdr>
        </w:div>
        <w:div w:id="1232891886">
          <w:marLeft w:val="0"/>
          <w:marRight w:val="0"/>
          <w:marTop w:val="180"/>
          <w:marBottom w:val="60"/>
          <w:divBdr>
            <w:top w:val="single" w:sz="8" w:space="1" w:color="808080"/>
            <w:left w:val="none" w:sz="0" w:space="0" w:color="auto"/>
            <w:bottom w:val="none" w:sz="0" w:space="0" w:color="auto"/>
            <w:right w:val="none" w:sz="0" w:space="0" w:color="auto"/>
          </w:divBdr>
        </w:div>
        <w:div w:id="1559122655">
          <w:marLeft w:val="0"/>
          <w:marRight w:val="0"/>
          <w:marTop w:val="120"/>
          <w:marBottom w:val="0"/>
          <w:divBdr>
            <w:top w:val="none" w:sz="0" w:space="0" w:color="auto"/>
            <w:left w:val="none" w:sz="0" w:space="0" w:color="auto"/>
            <w:bottom w:val="none" w:sz="0" w:space="0" w:color="auto"/>
            <w:right w:val="none" w:sz="0" w:space="0" w:color="auto"/>
          </w:divBdr>
        </w:div>
        <w:div w:id="1891112388">
          <w:marLeft w:val="0"/>
          <w:marRight w:val="0"/>
          <w:marTop w:val="120"/>
          <w:marBottom w:val="0"/>
          <w:divBdr>
            <w:top w:val="none" w:sz="0" w:space="0" w:color="auto"/>
            <w:left w:val="none" w:sz="0" w:space="0" w:color="auto"/>
            <w:bottom w:val="none" w:sz="0" w:space="0" w:color="auto"/>
            <w:right w:val="none" w:sz="0" w:space="0" w:color="auto"/>
          </w:divBdr>
        </w:div>
        <w:div w:id="1957985270">
          <w:marLeft w:val="0"/>
          <w:marRight w:val="0"/>
          <w:marTop w:val="120"/>
          <w:marBottom w:val="0"/>
          <w:divBdr>
            <w:top w:val="none" w:sz="0" w:space="0" w:color="auto"/>
            <w:left w:val="none" w:sz="0" w:space="0" w:color="auto"/>
            <w:bottom w:val="none" w:sz="0" w:space="0" w:color="auto"/>
            <w:right w:val="none" w:sz="0" w:space="0" w:color="auto"/>
          </w:divBdr>
        </w:div>
      </w:divsChild>
    </w:div>
    <w:div w:id="1692415321">
      <w:bodyDiv w:val="1"/>
      <w:marLeft w:val="0"/>
      <w:marRight w:val="0"/>
      <w:marTop w:val="0"/>
      <w:marBottom w:val="0"/>
      <w:divBdr>
        <w:top w:val="none" w:sz="0" w:space="0" w:color="auto"/>
        <w:left w:val="none" w:sz="0" w:space="0" w:color="auto"/>
        <w:bottom w:val="none" w:sz="0" w:space="0" w:color="auto"/>
        <w:right w:val="none" w:sz="0" w:space="0" w:color="auto"/>
      </w:divBdr>
    </w:div>
    <w:div w:id="1715158780">
      <w:bodyDiv w:val="1"/>
      <w:marLeft w:val="0"/>
      <w:marRight w:val="0"/>
      <w:marTop w:val="0"/>
      <w:marBottom w:val="0"/>
      <w:divBdr>
        <w:top w:val="none" w:sz="0" w:space="0" w:color="auto"/>
        <w:left w:val="none" w:sz="0" w:space="0" w:color="auto"/>
        <w:bottom w:val="none" w:sz="0" w:space="0" w:color="auto"/>
        <w:right w:val="none" w:sz="0" w:space="0" w:color="auto"/>
      </w:divBdr>
      <w:divsChild>
        <w:div w:id="1206019806">
          <w:marLeft w:val="567"/>
          <w:marRight w:val="0"/>
          <w:marTop w:val="40"/>
          <w:marBottom w:val="0"/>
          <w:divBdr>
            <w:top w:val="none" w:sz="0" w:space="0" w:color="auto"/>
            <w:left w:val="none" w:sz="0" w:space="0" w:color="auto"/>
            <w:bottom w:val="none" w:sz="0" w:space="0" w:color="auto"/>
            <w:right w:val="none" w:sz="0" w:space="0" w:color="auto"/>
          </w:divBdr>
        </w:div>
        <w:div w:id="1897735076">
          <w:marLeft w:val="567"/>
          <w:marRight w:val="0"/>
          <w:marTop w:val="40"/>
          <w:marBottom w:val="0"/>
          <w:divBdr>
            <w:top w:val="none" w:sz="0" w:space="0" w:color="auto"/>
            <w:left w:val="none" w:sz="0" w:space="0" w:color="auto"/>
            <w:bottom w:val="none" w:sz="0" w:space="0" w:color="auto"/>
            <w:right w:val="none" w:sz="0" w:space="0" w:color="auto"/>
          </w:divBdr>
        </w:div>
      </w:divsChild>
    </w:div>
    <w:div w:id="1716737585">
      <w:bodyDiv w:val="1"/>
      <w:marLeft w:val="0"/>
      <w:marRight w:val="0"/>
      <w:marTop w:val="0"/>
      <w:marBottom w:val="0"/>
      <w:divBdr>
        <w:top w:val="none" w:sz="0" w:space="0" w:color="auto"/>
        <w:left w:val="none" w:sz="0" w:space="0" w:color="auto"/>
        <w:bottom w:val="none" w:sz="0" w:space="0" w:color="auto"/>
        <w:right w:val="none" w:sz="0" w:space="0" w:color="auto"/>
      </w:divBdr>
    </w:div>
    <w:div w:id="1769808435">
      <w:bodyDiv w:val="1"/>
      <w:marLeft w:val="0"/>
      <w:marRight w:val="0"/>
      <w:marTop w:val="0"/>
      <w:marBottom w:val="0"/>
      <w:divBdr>
        <w:top w:val="none" w:sz="0" w:space="0" w:color="auto"/>
        <w:left w:val="none" w:sz="0" w:space="0" w:color="auto"/>
        <w:bottom w:val="none" w:sz="0" w:space="0" w:color="auto"/>
        <w:right w:val="none" w:sz="0" w:space="0" w:color="auto"/>
      </w:divBdr>
    </w:div>
    <w:div w:id="1846633599">
      <w:bodyDiv w:val="1"/>
      <w:marLeft w:val="0"/>
      <w:marRight w:val="0"/>
      <w:marTop w:val="0"/>
      <w:marBottom w:val="0"/>
      <w:divBdr>
        <w:top w:val="none" w:sz="0" w:space="0" w:color="auto"/>
        <w:left w:val="none" w:sz="0" w:space="0" w:color="auto"/>
        <w:bottom w:val="none" w:sz="0" w:space="0" w:color="auto"/>
        <w:right w:val="none" w:sz="0" w:space="0" w:color="auto"/>
      </w:divBdr>
    </w:div>
    <w:div w:id="1946304125">
      <w:bodyDiv w:val="1"/>
      <w:marLeft w:val="0"/>
      <w:marRight w:val="0"/>
      <w:marTop w:val="0"/>
      <w:marBottom w:val="0"/>
      <w:divBdr>
        <w:top w:val="none" w:sz="0" w:space="0" w:color="auto"/>
        <w:left w:val="none" w:sz="0" w:space="0" w:color="auto"/>
        <w:bottom w:val="none" w:sz="0" w:space="0" w:color="auto"/>
        <w:right w:val="none" w:sz="0" w:space="0" w:color="auto"/>
      </w:divBdr>
    </w:div>
    <w:div w:id="2117870053">
      <w:bodyDiv w:val="1"/>
      <w:marLeft w:val="0"/>
      <w:marRight w:val="0"/>
      <w:marTop w:val="0"/>
      <w:marBottom w:val="0"/>
      <w:divBdr>
        <w:top w:val="none" w:sz="0" w:space="0" w:color="auto"/>
        <w:left w:val="none" w:sz="0" w:space="0" w:color="auto"/>
        <w:bottom w:val="none" w:sz="0" w:space="0" w:color="auto"/>
        <w:right w:val="none" w:sz="0" w:space="0" w:color="auto"/>
      </w:divBdr>
      <w:divsChild>
        <w:div w:id="97989449">
          <w:marLeft w:val="0"/>
          <w:marRight w:val="0"/>
          <w:marTop w:val="0"/>
          <w:marBottom w:val="0"/>
          <w:divBdr>
            <w:top w:val="none" w:sz="0" w:space="0" w:color="auto"/>
            <w:left w:val="none" w:sz="0" w:space="0" w:color="auto"/>
            <w:bottom w:val="none" w:sz="0" w:space="0" w:color="auto"/>
            <w:right w:val="none" w:sz="0" w:space="0" w:color="auto"/>
          </w:divBdr>
          <w:divsChild>
            <w:div w:id="63530481">
              <w:marLeft w:val="0"/>
              <w:marRight w:val="0"/>
              <w:marTop w:val="0"/>
              <w:marBottom w:val="0"/>
              <w:divBdr>
                <w:top w:val="none" w:sz="0" w:space="0" w:color="auto"/>
                <w:left w:val="none" w:sz="0" w:space="0" w:color="auto"/>
                <w:bottom w:val="none" w:sz="0" w:space="0" w:color="auto"/>
                <w:right w:val="none" w:sz="0" w:space="0" w:color="auto"/>
              </w:divBdr>
              <w:divsChild>
                <w:div w:id="580256121">
                  <w:marLeft w:val="0"/>
                  <w:marRight w:val="0"/>
                  <w:marTop w:val="0"/>
                  <w:marBottom w:val="0"/>
                  <w:divBdr>
                    <w:top w:val="none" w:sz="0" w:space="0" w:color="auto"/>
                    <w:left w:val="none" w:sz="0" w:space="0" w:color="auto"/>
                    <w:bottom w:val="none" w:sz="0" w:space="0" w:color="auto"/>
                    <w:right w:val="none" w:sz="0" w:space="0" w:color="auto"/>
                  </w:divBdr>
                  <w:divsChild>
                    <w:div w:id="14977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83571">
          <w:marLeft w:val="0"/>
          <w:marRight w:val="0"/>
          <w:marTop w:val="0"/>
          <w:marBottom w:val="225"/>
          <w:divBdr>
            <w:top w:val="single" w:sz="24" w:space="0" w:color="auto"/>
            <w:left w:val="single" w:sz="24" w:space="0" w:color="auto"/>
            <w:bottom w:val="single" w:sz="36" w:space="0" w:color="003300"/>
            <w:right w:val="single" w:sz="24" w:space="0" w:color="auto"/>
          </w:divBdr>
          <w:divsChild>
            <w:div w:id="8451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6032F-DB0D-4259-AD09-9178F55F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2845</Words>
  <Characters>16220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Judge-Sulet Potterill</dc:creator>
  <cp:keywords/>
  <dc:description/>
  <cp:lastModifiedBy>Ayanda Mdletshe</cp:lastModifiedBy>
  <cp:revision>2</cp:revision>
  <cp:lastPrinted>2022-06-15T12:08:00Z</cp:lastPrinted>
  <dcterms:created xsi:type="dcterms:W3CDTF">2022-06-21T08:45:00Z</dcterms:created>
  <dcterms:modified xsi:type="dcterms:W3CDTF">2022-06-21T08:45:00Z</dcterms:modified>
</cp:coreProperties>
</file>