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0D0FC" w14:textId="56D9425B" w:rsidR="004F2069" w:rsidRPr="004C2716" w:rsidRDefault="004F2069" w:rsidP="00EA16F4">
      <w:pPr>
        <w:spacing w:after="0" w:line="360" w:lineRule="auto"/>
        <w:rPr>
          <w:rFonts w:ascii="Arial" w:eastAsiaTheme="minorEastAsia" w:hAnsi="Arial" w:cs="Arial"/>
          <w:b/>
          <w:bCs/>
          <w:sz w:val="24"/>
          <w:szCs w:val="24"/>
          <w:lang w:val="en-US"/>
        </w:rPr>
      </w:pPr>
      <w:r w:rsidRPr="004C2716">
        <w:rPr>
          <w:rFonts w:ascii="Arial" w:eastAsia="MS Mincho" w:hAnsi="Arial" w:cs="Arial"/>
          <w:noProof/>
          <w:sz w:val="24"/>
          <w:szCs w:val="24"/>
          <w:lang w:eastAsia="en-ZA"/>
        </w:rPr>
        <w:drawing>
          <wp:anchor distT="0" distB="0" distL="114300" distR="114300" simplePos="0" relativeHeight="251659264" behindDoc="0" locked="0" layoutInCell="1" allowOverlap="1" wp14:anchorId="5EBE1506" wp14:editId="69B1A4A6">
            <wp:simplePos x="0" y="0"/>
            <wp:positionH relativeFrom="page">
              <wp:align>center</wp:align>
            </wp:positionH>
            <wp:positionV relativeFrom="paragraph">
              <wp:posOffset>76200</wp:posOffset>
            </wp:positionV>
            <wp:extent cx="741600" cy="925200"/>
            <wp:effectExtent l="0" t="0" r="1905" b="8255"/>
            <wp:wrapTopAndBottom/>
            <wp:docPr id="1" name="Picture 1"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00" cy="925200"/>
                    </a:xfrm>
                    <a:prstGeom prst="rect">
                      <a:avLst/>
                    </a:prstGeom>
                    <a:noFill/>
                  </pic:spPr>
                </pic:pic>
              </a:graphicData>
            </a:graphic>
            <wp14:sizeRelH relativeFrom="margin">
              <wp14:pctWidth>0</wp14:pctWidth>
            </wp14:sizeRelH>
            <wp14:sizeRelV relativeFrom="margin">
              <wp14:pctHeight>0</wp14:pctHeight>
            </wp14:sizeRelV>
          </wp:anchor>
        </w:drawing>
      </w:r>
    </w:p>
    <w:p w14:paraId="481E3DDF" w14:textId="77777777" w:rsidR="004F2069" w:rsidRPr="00B67EF0" w:rsidRDefault="004F2069" w:rsidP="004F2069">
      <w:pPr>
        <w:spacing w:after="0" w:line="360" w:lineRule="auto"/>
        <w:contextualSpacing/>
        <w:jc w:val="center"/>
        <w:rPr>
          <w:rFonts w:ascii="Times New Roman" w:eastAsiaTheme="minorEastAsia" w:hAnsi="Times New Roman" w:cs="Times New Roman"/>
          <w:b/>
          <w:bCs/>
          <w:sz w:val="28"/>
          <w:szCs w:val="28"/>
          <w:lang w:val="en-US"/>
        </w:rPr>
      </w:pPr>
      <w:r w:rsidRPr="00B67EF0">
        <w:rPr>
          <w:rFonts w:ascii="Times New Roman" w:eastAsiaTheme="minorEastAsia" w:hAnsi="Times New Roman" w:cs="Times New Roman"/>
          <w:b/>
          <w:bCs/>
          <w:sz w:val="28"/>
          <w:szCs w:val="28"/>
          <w:lang w:val="en-US"/>
        </w:rPr>
        <w:t>THE SUPREME COURT OF APPEAL OF SOUTH AFRICA</w:t>
      </w:r>
    </w:p>
    <w:p w14:paraId="4B38642F" w14:textId="77777777" w:rsidR="004F2069" w:rsidRPr="00B67EF0" w:rsidRDefault="004F2069" w:rsidP="004F2069">
      <w:pPr>
        <w:spacing w:after="0" w:line="360" w:lineRule="auto"/>
        <w:contextualSpacing/>
        <w:jc w:val="center"/>
        <w:outlineLvl w:val="0"/>
        <w:rPr>
          <w:rFonts w:ascii="Times New Roman" w:eastAsiaTheme="minorEastAsia" w:hAnsi="Times New Roman" w:cs="Times New Roman"/>
          <w:b/>
          <w:sz w:val="28"/>
          <w:szCs w:val="28"/>
          <w:lang w:val="en-US"/>
        </w:rPr>
      </w:pPr>
      <w:r w:rsidRPr="00B67EF0">
        <w:rPr>
          <w:rFonts w:ascii="Times New Roman" w:eastAsiaTheme="minorEastAsia" w:hAnsi="Times New Roman" w:cs="Times New Roman"/>
          <w:b/>
          <w:sz w:val="28"/>
          <w:szCs w:val="28"/>
          <w:lang w:val="en-US"/>
        </w:rPr>
        <w:t>JUDGMENT</w:t>
      </w:r>
    </w:p>
    <w:p w14:paraId="4D68468D" w14:textId="650A24DC" w:rsidR="004F2069" w:rsidRPr="00B67EF0" w:rsidRDefault="00CD2873" w:rsidP="004F2069">
      <w:pPr>
        <w:spacing w:after="0" w:line="360" w:lineRule="auto"/>
        <w:ind w:left="4950" w:firstLine="90"/>
        <w:contextualSpacing/>
        <w:jc w:val="both"/>
        <w:outlineLvl w:val="0"/>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ab/>
      </w:r>
      <w:r>
        <w:rPr>
          <w:rFonts w:ascii="Times New Roman" w:eastAsiaTheme="minorEastAsia" w:hAnsi="Times New Roman" w:cs="Times New Roman"/>
          <w:b/>
          <w:sz w:val="28"/>
          <w:szCs w:val="28"/>
          <w:lang w:val="en-US"/>
        </w:rPr>
        <w:tab/>
      </w:r>
      <w:r>
        <w:rPr>
          <w:rFonts w:ascii="Times New Roman" w:eastAsiaTheme="minorEastAsia" w:hAnsi="Times New Roman" w:cs="Times New Roman"/>
          <w:b/>
          <w:sz w:val="28"/>
          <w:szCs w:val="28"/>
          <w:lang w:val="en-US"/>
        </w:rPr>
        <w:tab/>
      </w:r>
      <w:r w:rsidR="00655B85">
        <w:rPr>
          <w:rFonts w:ascii="Times New Roman" w:eastAsiaTheme="minorEastAsia" w:hAnsi="Times New Roman" w:cs="Times New Roman"/>
          <w:b/>
          <w:sz w:val="28"/>
          <w:szCs w:val="28"/>
          <w:lang w:val="en-US"/>
        </w:rPr>
        <w:t xml:space="preserve">    </w:t>
      </w:r>
      <w:r w:rsidR="00084035" w:rsidRPr="00B67EF0">
        <w:rPr>
          <w:rFonts w:ascii="Times New Roman" w:eastAsiaTheme="minorEastAsia" w:hAnsi="Times New Roman" w:cs="Times New Roman"/>
          <w:b/>
          <w:sz w:val="28"/>
          <w:szCs w:val="28"/>
          <w:lang w:val="en-US"/>
        </w:rPr>
        <w:t>Reportable</w:t>
      </w:r>
    </w:p>
    <w:p w14:paraId="34676325" w14:textId="4BFBC4BE" w:rsidR="004F2069" w:rsidRPr="00B67EF0" w:rsidRDefault="000D0E97" w:rsidP="000D6804">
      <w:pPr>
        <w:spacing w:after="0" w:line="360" w:lineRule="auto"/>
        <w:ind w:left="5760" w:right="-51"/>
        <w:contextualSpacing/>
        <w:jc w:val="both"/>
        <w:outlineLvl w:val="0"/>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w:r w:rsidR="002F11F2">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 xml:space="preserve">    </w:t>
      </w:r>
      <w:r w:rsidR="00BD4CB4" w:rsidRPr="00B67EF0">
        <w:rPr>
          <w:rFonts w:ascii="Times New Roman" w:eastAsiaTheme="minorEastAsia" w:hAnsi="Times New Roman" w:cs="Times New Roman"/>
          <w:sz w:val="28"/>
          <w:szCs w:val="28"/>
          <w:lang w:val="en-US"/>
        </w:rPr>
        <w:t>Case No</w:t>
      </w:r>
      <w:r w:rsidR="000D6804" w:rsidRPr="00B67EF0">
        <w:rPr>
          <w:rFonts w:ascii="Times New Roman" w:eastAsiaTheme="minorEastAsia" w:hAnsi="Times New Roman" w:cs="Times New Roman"/>
          <w:sz w:val="28"/>
          <w:szCs w:val="28"/>
          <w:lang w:val="en-US"/>
        </w:rPr>
        <w:t>: 94</w:t>
      </w:r>
      <w:r w:rsidR="00C362D1" w:rsidRPr="00B67EF0">
        <w:rPr>
          <w:rFonts w:ascii="Times New Roman" w:eastAsiaTheme="minorEastAsia" w:hAnsi="Times New Roman" w:cs="Times New Roman"/>
          <w:sz w:val="28"/>
          <w:szCs w:val="28"/>
          <w:lang w:val="en-US"/>
        </w:rPr>
        <w:t>/</w:t>
      </w:r>
      <w:r w:rsidR="00F06083" w:rsidRPr="00B67EF0">
        <w:rPr>
          <w:rFonts w:ascii="Times New Roman" w:eastAsiaTheme="minorEastAsia" w:hAnsi="Times New Roman" w:cs="Times New Roman"/>
          <w:sz w:val="28"/>
          <w:szCs w:val="28"/>
          <w:lang w:val="en-US"/>
        </w:rPr>
        <w:t>2021</w:t>
      </w:r>
    </w:p>
    <w:p w14:paraId="7D5346B3" w14:textId="77777777" w:rsidR="004F2069" w:rsidRPr="00B67EF0" w:rsidRDefault="004F2069" w:rsidP="004F2069">
      <w:pPr>
        <w:spacing w:after="0" w:line="360" w:lineRule="auto"/>
        <w:ind w:right="72"/>
        <w:contextualSpacing/>
        <w:outlineLvl w:val="0"/>
        <w:rPr>
          <w:rFonts w:ascii="Times New Roman" w:eastAsiaTheme="minorEastAsia" w:hAnsi="Times New Roman" w:cs="Times New Roman"/>
          <w:sz w:val="28"/>
          <w:szCs w:val="28"/>
          <w:lang w:val="en-US"/>
        </w:rPr>
      </w:pPr>
      <w:r w:rsidRPr="00B67EF0">
        <w:rPr>
          <w:rFonts w:ascii="Times New Roman" w:eastAsiaTheme="minorEastAsia" w:hAnsi="Times New Roman" w:cs="Times New Roman"/>
          <w:sz w:val="28"/>
          <w:szCs w:val="28"/>
          <w:lang w:val="en-US"/>
        </w:rPr>
        <w:t xml:space="preserve">In the matter between: </w:t>
      </w:r>
    </w:p>
    <w:p w14:paraId="61DDA6F3" w14:textId="77777777" w:rsidR="004903C1" w:rsidRDefault="004903C1" w:rsidP="004903C1">
      <w:pPr>
        <w:spacing w:after="0" w:line="360" w:lineRule="auto"/>
        <w:contextualSpacing/>
        <w:rPr>
          <w:rFonts w:ascii="Times New Roman" w:eastAsiaTheme="minorEastAsia" w:hAnsi="Times New Roman" w:cs="Times New Roman"/>
          <w:sz w:val="28"/>
          <w:szCs w:val="28"/>
          <w:lang w:val="en-US"/>
        </w:rPr>
      </w:pPr>
    </w:p>
    <w:p w14:paraId="644664E3" w14:textId="0764CAFF" w:rsidR="004903C1" w:rsidRDefault="009C5DAD" w:rsidP="004903C1">
      <w:pPr>
        <w:spacing w:after="0" w:line="360" w:lineRule="auto"/>
        <w:contextualSpacing/>
        <w:rPr>
          <w:rFonts w:ascii="Times New Roman" w:hAnsi="Times New Roman" w:cs="Times New Roman"/>
          <w:b/>
          <w:bCs/>
          <w:sz w:val="28"/>
          <w:szCs w:val="28"/>
        </w:rPr>
      </w:pPr>
      <w:r w:rsidRPr="00B67EF0">
        <w:rPr>
          <w:rFonts w:ascii="Times New Roman" w:hAnsi="Times New Roman" w:cs="Times New Roman"/>
          <w:b/>
          <w:bCs/>
          <w:sz w:val="28"/>
          <w:szCs w:val="28"/>
        </w:rPr>
        <w:t xml:space="preserve">THE </w:t>
      </w:r>
      <w:r w:rsidR="00BD4CB4" w:rsidRPr="00B67EF0">
        <w:rPr>
          <w:rFonts w:ascii="Times New Roman" w:hAnsi="Times New Roman" w:cs="Times New Roman"/>
          <w:b/>
          <w:bCs/>
          <w:sz w:val="28"/>
          <w:szCs w:val="28"/>
        </w:rPr>
        <w:t>COM</w:t>
      </w:r>
      <w:r w:rsidR="004903C1">
        <w:rPr>
          <w:rFonts w:ascii="Times New Roman" w:hAnsi="Times New Roman" w:cs="Times New Roman"/>
          <w:b/>
          <w:bCs/>
          <w:sz w:val="28"/>
          <w:szCs w:val="28"/>
        </w:rPr>
        <w:t xml:space="preserve">MISSIONER FOR THE </w:t>
      </w:r>
    </w:p>
    <w:p w14:paraId="79EA090A" w14:textId="393B5153" w:rsidR="004F2069" w:rsidRPr="00B67EF0" w:rsidRDefault="004903C1" w:rsidP="004903C1">
      <w:pPr>
        <w:spacing w:after="0" w:line="360" w:lineRule="auto"/>
        <w:contextualSpacing/>
        <w:rPr>
          <w:rFonts w:ascii="Times New Roman" w:hAnsi="Times New Roman" w:cs="Times New Roman"/>
          <w:b/>
          <w:bCs/>
          <w:sz w:val="28"/>
          <w:szCs w:val="28"/>
        </w:rPr>
      </w:pPr>
      <w:r>
        <w:rPr>
          <w:rFonts w:ascii="Times New Roman" w:hAnsi="Times New Roman" w:cs="Times New Roman"/>
          <w:b/>
          <w:bCs/>
          <w:sz w:val="28"/>
          <w:szCs w:val="28"/>
        </w:rPr>
        <w:t>SOUTH AFRICA</w:t>
      </w:r>
      <w:r w:rsidR="002F11F2">
        <w:rPr>
          <w:rFonts w:ascii="Times New Roman" w:hAnsi="Times New Roman" w:cs="Times New Roman"/>
          <w:b/>
          <w:bCs/>
          <w:sz w:val="28"/>
          <w:szCs w:val="28"/>
        </w:rPr>
        <w:t xml:space="preserve">N REVENUE SERVICE </w:t>
      </w:r>
      <w:r w:rsidR="002F11F2">
        <w:rPr>
          <w:rFonts w:ascii="Times New Roman" w:hAnsi="Times New Roman" w:cs="Times New Roman"/>
          <w:b/>
          <w:bCs/>
          <w:sz w:val="28"/>
          <w:szCs w:val="28"/>
        </w:rPr>
        <w:tab/>
      </w:r>
      <w:r w:rsidR="002F11F2">
        <w:rPr>
          <w:rFonts w:ascii="Times New Roman" w:hAnsi="Times New Roman" w:cs="Times New Roman"/>
          <w:b/>
          <w:bCs/>
          <w:sz w:val="28"/>
          <w:szCs w:val="28"/>
        </w:rPr>
        <w:tab/>
        <w:t xml:space="preserve">          </w:t>
      </w:r>
      <w:r w:rsidR="000D6804" w:rsidRPr="00B67EF0">
        <w:rPr>
          <w:rFonts w:ascii="Times New Roman" w:hAnsi="Times New Roman" w:cs="Times New Roman"/>
          <w:b/>
          <w:bCs/>
          <w:sz w:val="28"/>
          <w:szCs w:val="28"/>
        </w:rPr>
        <w:t>APPELLANT</w:t>
      </w:r>
    </w:p>
    <w:p w14:paraId="2269CE6E" w14:textId="77777777" w:rsidR="004F2069" w:rsidRPr="00B67EF0" w:rsidRDefault="004F2069" w:rsidP="008A300F">
      <w:pPr>
        <w:spacing w:after="0" w:line="360" w:lineRule="auto"/>
        <w:contextualSpacing/>
        <w:jc w:val="both"/>
        <w:outlineLvl w:val="0"/>
        <w:rPr>
          <w:rFonts w:ascii="Times New Roman" w:eastAsiaTheme="minorEastAsia" w:hAnsi="Times New Roman" w:cs="Times New Roman"/>
          <w:b/>
          <w:sz w:val="28"/>
          <w:szCs w:val="28"/>
          <w:lang w:val="en-US"/>
        </w:rPr>
      </w:pPr>
    </w:p>
    <w:p w14:paraId="502106EF" w14:textId="77777777" w:rsidR="004F2069" w:rsidRPr="00B67EF0" w:rsidRDefault="004F2069" w:rsidP="008A300F">
      <w:pPr>
        <w:spacing w:after="0" w:line="360" w:lineRule="auto"/>
        <w:contextualSpacing/>
        <w:jc w:val="both"/>
        <w:outlineLvl w:val="0"/>
        <w:rPr>
          <w:rFonts w:ascii="Times New Roman" w:eastAsiaTheme="minorEastAsia" w:hAnsi="Times New Roman" w:cs="Times New Roman"/>
          <w:sz w:val="28"/>
          <w:szCs w:val="28"/>
          <w:lang w:val="en-US"/>
        </w:rPr>
      </w:pPr>
      <w:r w:rsidRPr="00B67EF0">
        <w:rPr>
          <w:rFonts w:ascii="Times New Roman" w:eastAsiaTheme="minorEastAsia" w:hAnsi="Times New Roman" w:cs="Times New Roman"/>
          <w:sz w:val="28"/>
          <w:szCs w:val="28"/>
          <w:lang w:val="en-US"/>
        </w:rPr>
        <w:t>and</w:t>
      </w:r>
    </w:p>
    <w:p w14:paraId="1E13E8C6" w14:textId="77777777" w:rsidR="004F2069" w:rsidRPr="00B67EF0" w:rsidRDefault="004F2069" w:rsidP="008A300F">
      <w:pPr>
        <w:spacing w:after="0" w:line="360" w:lineRule="auto"/>
        <w:contextualSpacing/>
        <w:jc w:val="both"/>
        <w:outlineLvl w:val="0"/>
        <w:rPr>
          <w:rFonts w:ascii="Times New Roman" w:eastAsiaTheme="minorEastAsia" w:hAnsi="Times New Roman" w:cs="Times New Roman"/>
          <w:b/>
          <w:sz w:val="28"/>
          <w:szCs w:val="28"/>
          <w:lang w:val="en-US"/>
        </w:rPr>
      </w:pPr>
    </w:p>
    <w:p w14:paraId="2A3E2985" w14:textId="3A605E3C" w:rsidR="00F06083" w:rsidRPr="00B67EF0" w:rsidRDefault="00BD4CB4" w:rsidP="004903C1">
      <w:pPr>
        <w:spacing w:before="240" w:line="360" w:lineRule="auto"/>
        <w:contextualSpacing/>
        <w:jc w:val="center"/>
        <w:outlineLvl w:val="0"/>
        <w:rPr>
          <w:rFonts w:ascii="Times New Roman" w:eastAsiaTheme="minorEastAsia" w:hAnsi="Times New Roman" w:cs="Times New Roman"/>
          <w:b/>
          <w:sz w:val="28"/>
          <w:szCs w:val="28"/>
          <w:lang w:val="en-US"/>
        </w:rPr>
      </w:pPr>
      <w:r w:rsidRPr="00B67EF0">
        <w:rPr>
          <w:rFonts w:ascii="Times New Roman" w:hAnsi="Times New Roman" w:cs="Times New Roman"/>
          <w:b/>
          <w:bCs/>
          <w:sz w:val="28"/>
          <w:szCs w:val="28"/>
        </w:rPr>
        <w:t>CAPITEC BANK LIMITED</w:t>
      </w:r>
      <w:r w:rsidR="0056690C" w:rsidRPr="00B67EF0">
        <w:rPr>
          <w:rFonts w:ascii="Times New Roman" w:eastAsiaTheme="minorEastAsia" w:hAnsi="Times New Roman" w:cs="Times New Roman"/>
          <w:b/>
          <w:sz w:val="28"/>
          <w:szCs w:val="28"/>
          <w:lang w:val="en-US"/>
        </w:rPr>
        <w:tab/>
      </w:r>
      <w:r w:rsidR="0056690C" w:rsidRPr="00B67EF0">
        <w:rPr>
          <w:rFonts w:ascii="Times New Roman" w:eastAsiaTheme="minorEastAsia" w:hAnsi="Times New Roman" w:cs="Times New Roman"/>
          <w:b/>
          <w:sz w:val="28"/>
          <w:szCs w:val="28"/>
          <w:lang w:val="en-US"/>
        </w:rPr>
        <w:tab/>
      </w:r>
      <w:r w:rsidR="0056690C" w:rsidRPr="00B67EF0">
        <w:rPr>
          <w:rFonts w:ascii="Times New Roman" w:eastAsiaTheme="minorEastAsia" w:hAnsi="Times New Roman" w:cs="Times New Roman"/>
          <w:b/>
          <w:sz w:val="28"/>
          <w:szCs w:val="28"/>
          <w:lang w:val="en-US"/>
        </w:rPr>
        <w:tab/>
      </w:r>
      <w:r w:rsidR="004903C1">
        <w:rPr>
          <w:rFonts w:ascii="Times New Roman" w:eastAsiaTheme="minorEastAsia" w:hAnsi="Times New Roman" w:cs="Times New Roman"/>
          <w:b/>
          <w:sz w:val="28"/>
          <w:szCs w:val="28"/>
          <w:lang w:val="en-US"/>
        </w:rPr>
        <w:tab/>
      </w:r>
      <w:r w:rsidR="004903C1">
        <w:rPr>
          <w:rFonts w:ascii="Times New Roman" w:eastAsiaTheme="minorEastAsia" w:hAnsi="Times New Roman" w:cs="Times New Roman"/>
          <w:b/>
          <w:sz w:val="28"/>
          <w:szCs w:val="28"/>
          <w:lang w:val="en-US"/>
        </w:rPr>
        <w:tab/>
        <w:t xml:space="preserve">      </w:t>
      </w:r>
      <w:r w:rsidR="0056690C" w:rsidRPr="00B67EF0">
        <w:rPr>
          <w:rFonts w:ascii="Times New Roman" w:eastAsiaTheme="minorEastAsia" w:hAnsi="Times New Roman" w:cs="Times New Roman"/>
          <w:b/>
          <w:sz w:val="28"/>
          <w:szCs w:val="28"/>
          <w:lang w:val="en-US"/>
        </w:rPr>
        <w:t>RESPONDENT</w:t>
      </w:r>
    </w:p>
    <w:p w14:paraId="208046F6" w14:textId="77777777" w:rsidR="00E51C76" w:rsidRPr="00B67EF0" w:rsidRDefault="00E51C76" w:rsidP="004F2069">
      <w:pPr>
        <w:spacing w:after="0" w:line="360" w:lineRule="auto"/>
        <w:contextualSpacing/>
        <w:jc w:val="both"/>
        <w:outlineLvl w:val="0"/>
        <w:rPr>
          <w:rFonts w:ascii="Times New Roman" w:eastAsiaTheme="minorEastAsia" w:hAnsi="Times New Roman" w:cs="Times New Roman"/>
          <w:b/>
          <w:sz w:val="28"/>
          <w:szCs w:val="28"/>
          <w:lang w:val="en-US"/>
        </w:rPr>
      </w:pPr>
    </w:p>
    <w:p w14:paraId="742F0D14" w14:textId="7FBA1249" w:rsidR="004F2069" w:rsidRPr="00B67EF0" w:rsidRDefault="004F2069" w:rsidP="001D1118">
      <w:pPr>
        <w:spacing w:after="0" w:line="360" w:lineRule="auto"/>
        <w:ind w:left="2268" w:right="72" w:hanging="2268"/>
        <w:contextualSpacing/>
        <w:jc w:val="both"/>
        <w:outlineLvl w:val="0"/>
        <w:rPr>
          <w:rFonts w:ascii="Times New Roman" w:hAnsi="Times New Roman" w:cs="Times New Roman"/>
          <w:bCs/>
          <w:sz w:val="28"/>
          <w:szCs w:val="28"/>
        </w:rPr>
      </w:pPr>
      <w:r w:rsidRPr="00B67EF0">
        <w:rPr>
          <w:rFonts w:ascii="Times New Roman" w:eastAsiaTheme="minorEastAsia" w:hAnsi="Times New Roman" w:cs="Times New Roman"/>
          <w:b/>
          <w:sz w:val="28"/>
          <w:szCs w:val="28"/>
          <w:lang w:val="en-US"/>
        </w:rPr>
        <w:t>Neutral citation:</w:t>
      </w:r>
      <w:r w:rsidRPr="00B67EF0">
        <w:rPr>
          <w:rFonts w:ascii="Times New Roman" w:eastAsiaTheme="minorEastAsia" w:hAnsi="Times New Roman" w:cs="Times New Roman"/>
          <w:b/>
          <w:sz w:val="28"/>
          <w:szCs w:val="28"/>
          <w:lang w:val="en-US"/>
        </w:rPr>
        <w:tab/>
      </w:r>
      <w:bookmarkStart w:id="0" w:name="_GoBack"/>
      <w:r w:rsidR="004A2B58" w:rsidRPr="00B67EF0">
        <w:rPr>
          <w:rFonts w:ascii="Times New Roman" w:eastAsiaTheme="minorEastAsia" w:hAnsi="Times New Roman" w:cs="Times New Roman"/>
          <w:i/>
          <w:sz w:val="28"/>
          <w:szCs w:val="28"/>
          <w:lang w:val="en-US"/>
        </w:rPr>
        <w:t>Commissioner</w:t>
      </w:r>
      <w:r w:rsidR="000D6804" w:rsidRPr="00B67EF0">
        <w:rPr>
          <w:rFonts w:ascii="Times New Roman" w:eastAsiaTheme="minorEastAsia" w:hAnsi="Times New Roman" w:cs="Times New Roman"/>
          <w:i/>
          <w:sz w:val="28"/>
          <w:szCs w:val="28"/>
          <w:lang w:val="en-US"/>
        </w:rPr>
        <w:t xml:space="preserve"> for the South African Revenue Service v Capitec Bank Limited</w:t>
      </w:r>
      <w:r w:rsidR="00DF43A1" w:rsidRPr="00B67EF0">
        <w:rPr>
          <w:rFonts w:ascii="Times New Roman" w:eastAsiaTheme="minorEastAsia" w:hAnsi="Times New Roman" w:cs="Times New Roman"/>
          <w:i/>
          <w:sz w:val="28"/>
          <w:szCs w:val="28"/>
          <w:lang w:val="en-US"/>
        </w:rPr>
        <w:t xml:space="preserve"> </w:t>
      </w:r>
      <w:bookmarkEnd w:id="0"/>
      <w:r w:rsidRPr="00B67EF0">
        <w:rPr>
          <w:rFonts w:ascii="Times New Roman" w:hAnsi="Times New Roman" w:cs="Times New Roman"/>
          <w:bCs/>
          <w:sz w:val="28"/>
          <w:szCs w:val="28"/>
        </w:rPr>
        <w:t>(</w:t>
      </w:r>
      <w:r w:rsidR="000D6804" w:rsidRPr="00B67EF0">
        <w:rPr>
          <w:rFonts w:ascii="Times New Roman" w:hAnsi="Times New Roman" w:cs="Times New Roman"/>
          <w:bCs/>
          <w:sz w:val="28"/>
          <w:szCs w:val="28"/>
        </w:rPr>
        <w:t>94</w:t>
      </w:r>
      <w:r w:rsidR="00DF43A1" w:rsidRPr="00B67EF0">
        <w:rPr>
          <w:rFonts w:ascii="Times New Roman" w:hAnsi="Times New Roman" w:cs="Times New Roman"/>
          <w:bCs/>
          <w:sz w:val="28"/>
          <w:szCs w:val="28"/>
        </w:rPr>
        <w:t>/</w:t>
      </w:r>
      <w:r w:rsidRPr="00B67EF0">
        <w:rPr>
          <w:rFonts w:ascii="Times New Roman" w:hAnsi="Times New Roman" w:cs="Times New Roman"/>
          <w:bCs/>
          <w:sz w:val="28"/>
          <w:szCs w:val="28"/>
        </w:rPr>
        <w:t>2</w:t>
      </w:r>
      <w:r w:rsidR="00E81321" w:rsidRPr="00B67EF0">
        <w:rPr>
          <w:rFonts w:ascii="Times New Roman" w:hAnsi="Times New Roman" w:cs="Times New Roman"/>
          <w:bCs/>
          <w:sz w:val="28"/>
          <w:szCs w:val="28"/>
        </w:rPr>
        <w:t>0</w:t>
      </w:r>
      <w:r w:rsidR="00F06083" w:rsidRPr="00B67EF0">
        <w:rPr>
          <w:rFonts w:ascii="Times New Roman" w:hAnsi="Times New Roman" w:cs="Times New Roman"/>
          <w:bCs/>
          <w:sz w:val="28"/>
          <w:szCs w:val="28"/>
        </w:rPr>
        <w:t>21</w:t>
      </w:r>
      <w:r w:rsidR="00E81321" w:rsidRPr="00B67EF0">
        <w:rPr>
          <w:rFonts w:ascii="Times New Roman" w:hAnsi="Times New Roman" w:cs="Times New Roman"/>
          <w:bCs/>
          <w:sz w:val="28"/>
          <w:szCs w:val="28"/>
        </w:rPr>
        <w:t>)</w:t>
      </w:r>
      <w:r w:rsidR="00F06083" w:rsidRPr="00B67EF0">
        <w:rPr>
          <w:rFonts w:ascii="Times New Roman" w:hAnsi="Times New Roman" w:cs="Times New Roman"/>
          <w:bCs/>
          <w:sz w:val="28"/>
          <w:szCs w:val="28"/>
        </w:rPr>
        <w:t xml:space="preserve"> [2022</w:t>
      </w:r>
      <w:r w:rsidR="00C27232" w:rsidRPr="00B67EF0">
        <w:rPr>
          <w:rFonts w:ascii="Times New Roman" w:hAnsi="Times New Roman" w:cs="Times New Roman"/>
          <w:bCs/>
          <w:sz w:val="28"/>
          <w:szCs w:val="28"/>
        </w:rPr>
        <w:t xml:space="preserve">] ZASCA </w:t>
      </w:r>
      <w:r w:rsidR="00D367C1">
        <w:rPr>
          <w:rFonts w:ascii="Times New Roman" w:hAnsi="Times New Roman" w:cs="Times New Roman"/>
          <w:bCs/>
          <w:sz w:val="28"/>
          <w:szCs w:val="28"/>
        </w:rPr>
        <w:t>97</w:t>
      </w:r>
      <w:r w:rsidR="004F44E3" w:rsidRPr="00B67EF0">
        <w:rPr>
          <w:rFonts w:ascii="Times New Roman" w:hAnsi="Times New Roman" w:cs="Times New Roman"/>
          <w:bCs/>
          <w:sz w:val="28"/>
          <w:szCs w:val="28"/>
        </w:rPr>
        <w:t xml:space="preserve"> </w:t>
      </w:r>
      <w:r w:rsidRPr="00B67EF0">
        <w:rPr>
          <w:rFonts w:ascii="Times New Roman" w:hAnsi="Times New Roman" w:cs="Times New Roman"/>
          <w:bCs/>
          <w:sz w:val="28"/>
          <w:szCs w:val="28"/>
        </w:rPr>
        <w:t>(</w:t>
      </w:r>
      <w:r w:rsidR="00D367C1">
        <w:rPr>
          <w:rFonts w:ascii="Times New Roman" w:hAnsi="Times New Roman" w:cs="Times New Roman"/>
          <w:bCs/>
          <w:sz w:val="28"/>
          <w:szCs w:val="28"/>
        </w:rPr>
        <w:t xml:space="preserve">21 </w:t>
      </w:r>
      <w:r w:rsidR="00CD2873">
        <w:rPr>
          <w:rFonts w:ascii="Times New Roman" w:hAnsi="Times New Roman" w:cs="Times New Roman"/>
          <w:bCs/>
          <w:sz w:val="28"/>
          <w:szCs w:val="28"/>
        </w:rPr>
        <w:t>June</w:t>
      </w:r>
      <w:r w:rsidR="000D6804" w:rsidRPr="00B67EF0">
        <w:rPr>
          <w:rFonts w:ascii="Times New Roman" w:hAnsi="Times New Roman" w:cs="Times New Roman"/>
          <w:bCs/>
          <w:sz w:val="28"/>
          <w:szCs w:val="28"/>
        </w:rPr>
        <w:t xml:space="preserve"> </w:t>
      </w:r>
      <w:r w:rsidR="00F06083" w:rsidRPr="00B67EF0">
        <w:rPr>
          <w:rFonts w:ascii="Times New Roman" w:hAnsi="Times New Roman" w:cs="Times New Roman"/>
          <w:bCs/>
          <w:sz w:val="28"/>
          <w:szCs w:val="28"/>
        </w:rPr>
        <w:t>2022</w:t>
      </w:r>
      <w:r w:rsidRPr="00B67EF0">
        <w:rPr>
          <w:rFonts w:ascii="Times New Roman" w:hAnsi="Times New Roman" w:cs="Times New Roman"/>
          <w:bCs/>
          <w:sz w:val="28"/>
          <w:szCs w:val="28"/>
        </w:rPr>
        <w:t>)</w:t>
      </w:r>
    </w:p>
    <w:p w14:paraId="4C159D91" w14:textId="6A78BE60" w:rsidR="004F2069" w:rsidRPr="00B67EF0" w:rsidRDefault="004F2069" w:rsidP="001D1118">
      <w:pPr>
        <w:spacing w:line="360" w:lineRule="auto"/>
        <w:ind w:left="2268" w:right="72" w:hanging="2268"/>
        <w:jc w:val="both"/>
        <w:rPr>
          <w:rFonts w:ascii="Times New Roman" w:hAnsi="Times New Roman" w:cs="Times New Roman"/>
          <w:sz w:val="28"/>
          <w:szCs w:val="28"/>
          <w:lang w:val="en-US"/>
        </w:rPr>
      </w:pPr>
      <w:r w:rsidRPr="00B67EF0">
        <w:rPr>
          <w:rFonts w:ascii="Times New Roman" w:hAnsi="Times New Roman" w:cs="Times New Roman"/>
          <w:b/>
          <w:sz w:val="28"/>
          <w:szCs w:val="28"/>
          <w:lang w:val="en-US"/>
        </w:rPr>
        <w:t>Coram:</w:t>
      </w:r>
      <w:r w:rsidRPr="00B67EF0">
        <w:rPr>
          <w:rFonts w:ascii="Times New Roman" w:hAnsi="Times New Roman" w:cs="Times New Roman"/>
          <w:b/>
          <w:sz w:val="28"/>
          <w:szCs w:val="28"/>
          <w:lang w:val="en-US"/>
        </w:rPr>
        <w:tab/>
      </w:r>
      <w:r w:rsidR="00DF43A1" w:rsidRPr="00B67EF0">
        <w:rPr>
          <w:rFonts w:ascii="Times New Roman" w:hAnsi="Times New Roman" w:cs="Times New Roman"/>
          <w:sz w:val="28"/>
          <w:szCs w:val="28"/>
          <w:lang w:val="en-US"/>
        </w:rPr>
        <w:t>SALDULKER</w:t>
      </w:r>
      <w:r w:rsidR="00F06083" w:rsidRPr="00B67EF0">
        <w:rPr>
          <w:rFonts w:ascii="Times New Roman" w:hAnsi="Times New Roman" w:cs="Times New Roman"/>
          <w:sz w:val="28"/>
          <w:szCs w:val="28"/>
          <w:lang w:val="en-US"/>
        </w:rPr>
        <w:t xml:space="preserve">, </w:t>
      </w:r>
      <w:r w:rsidR="000D6804" w:rsidRPr="00B67EF0">
        <w:rPr>
          <w:rFonts w:ascii="Times New Roman" w:hAnsi="Times New Roman" w:cs="Times New Roman"/>
          <w:sz w:val="28"/>
          <w:szCs w:val="28"/>
          <w:lang w:val="en-US"/>
        </w:rPr>
        <w:t xml:space="preserve">MOCUMIE, MAKGOKA </w:t>
      </w:r>
      <w:r w:rsidR="004A2B58" w:rsidRPr="00B67EF0">
        <w:rPr>
          <w:rFonts w:ascii="Times New Roman" w:hAnsi="Times New Roman" w:cs="Times New Roman"/>
          <w:sz w:val="28"/>
          <w:szCs w:val="28"/>
          <w:lang w:val="en-US"/>
        </w:rPr>
        <w:t>and</w:t>
      </w:r>
      <w:r w:rsidR="000D6804" w:rsidRPr="00B67EF0">
        <w:rPr>
          <w:rFonts w:ascii="Times New Roman" w:hAnsi="Times New Roman" w:cs="Times New Roman"/>
          <w:sz w:val="28"/>
          <w:szCs w:val="28"/>
          <w:lang w:val="en-US"/>
        </w:rPr>
        <w:t xml:space="preserve"> SCHIPPERS JJA </w:t>
      </w:r>
      <w:r w:rsidR="00F06083" w:rsidRPr="00B67EF0">
        <w:rPr>
          <w:rFonts w:ascii="Times New Roman" w:hAnsi="Times New Roman" w:cs="Times New Roman"/>
          <w:sz w:val="28"/>
          <w:szCs w:val="28"/>
          <w:lang w:val="en-US"/>
        </w:rPr>
        <w:t xml:space="preserve">and </w:t>
      </w:r>
      <w:r w:rsidR="000D6804" w:rsidRPr="00B67EF0">
        <w:rPr>
          <w:rFonts w:ascii="Times New Roman" w:hAnsi="Times New Roman" w:cs="Times New Roman"/>
          <w:sz w:val="28"/>
          <w:szCs w:val="28"/>
          <w:lang w:val="en-US"/>
        </w:rPr>
        <w:t>MUSI A</w:t>
      </w:r>
      <w:r w:rsidR="00F06083" w:rsidRPr="00B67EF0">
        <w:rPr>
          <w:rFonts w:ascii="Times New Roman" w:hAnsi="Times New Roman" w:cs="Times New Roman"/>
          <w:sz w:val="28"/>
          <w:szCs w:val="28"/>
          <w:lang w:val="en-US"/>
        </w:rPr>
        <w:t>JA</w:t>
      </w:r>
    </w:p>
    <w:p w14:paraId="744AB3B1" w14:textId="46415B87" w:rsidR="004F2069" w:rsidRPr="00B67EF0" w:rsidRDefault="001D1118" w:rsidP="001D1118">
      <w:pPr>
        <w:spacing w:line="360" w:lineRule="auto"/>
        <w:ind w:left="2268" w:hanging="2268"/>
        <w:rPr>
          <w:rFonts w:ascii="Times New Roman" w:hAnsi="Times New Roman" w:cs="Times New Roman"/>
          <w:sz w:val="28"/>
          <w:szCs w:val="28"/>
          <w:lang w:val="en-US"/>
        </w:rPr>
      </w:pPr>
      <w:r>
        <w:rPr>
          <w:rFonts w:ascii="Times New Roman" w:hAnsi="Times New Roman" w:cs="Times New Roman"/>
          <w:b/>
          <w:sz w:val="28"/>
          <w:szCs w:val="28"/>
          <w:lang w:val="en-US"/>
        </w:rPr>
        <w:t xml:space="preserve">Heard: </w:t>
      </w:r>
      <w:r>
        <w:rPr>
          <w:rFonts w:ascii="Times New Roman" w:hAnsi="Times New Roman" w:cs="Times New Roman"/>
          <w:b/>
          <w:sz w:val="28"/>
          <w:szCs w:val="28"/>
          <w:lang w:val="en-US"/>
        </w:rPr>
        <w:tab/>
      </w:r>
      <w:r w:rsidR="000D6804" w:rsidRPr="00B67EF0">
        <w:rPr>
          <w:rFonts w:ascii="Times New Roman" w:hAnsi="Times New Roman" w:cs="Times New Roman"/>
          <w:sz w:val="28"/>
          <w:szCs w:val="28"/>
          <w:lang w:val="en-US"/>
        </w:rPr>
        <w:t>10</w:t>
      </w:r>
      <w:r w:rsidR="00F06083" w:rsidRPr="00B67EF0">
        <w:rPr>
          <w:rFonts w:ascii="Times New Roman" w:hAnsi="Times New Roman" w:cs="Times New Roman"/>
          <w:sz w:val="28"/>
          <w:szCs w:val="28"/>
          <w:lang w:val="en-US"/>
        </w:rPr>
        <w:t xml:space="preserve"> March 2022</w:t>
      </w:r>
    </w:p>
    <w:p w14:paraId="70DC7C58" w14:textId="4B2849A6" w:rsidR="004F2069" w:rsidRPr="00B67EF0" w:rsidRDefault="007F7EDE" w:rsidP="005A3E0F">
      <w:pPr>
        <w:tabs>
          <w:tab w:val="left" w:pos="2268"/>
        </w:tabs>
        <w:spacing w:line="360" w:lineRule="auto"/>
        <w:ind w:right="60"/>
        <w:jc w:val="both"/>
        <w:rPr>
          <w:rFonts w:ascii="Times New Roman" w:hAnsi="Times New Roman" w:cs="Times New Roman"/>
          <w:b/>
          <w:bCs/>
          <w:sz w:val="28"/>
          <w:szCs w:val="28"/>
        </w:rPr>
      </w:pPr>
      <w:r w:rsidRPr="00B67EF0">
        <w:rPr>
          <w:rFonts w:ascii="Times New Roman" w:hAnsi="Times New Roman" w:cs="Times New Roman"/>
          <w:b/>
          <w:sz w:val="28"/>
          <w:szCs w:val="28"/>
          <w:lang w:val="en-US"/>
        </w:rPr>
        <w:t xml:space="preserve">Delivered: </w:t>
      </w:r>
      <w:r w:rsidR="001D1118">
        <w:rPr>
          <w:rFonts w:ascii="Times New Roman" w:hAnsi="Times New Roman" w:cs="Times New Roman"/>
          <w:sz w:val="28"/>
          <w:szCs w:val="28"/>
        </w:rPr>
        <w:tab/>
      </w:r>
      <w:r w:rsidR="00D367C1">
        <w:rPr>
          <w:rFonts w:ascii="Times New Roman" w:hAnsi="Times New Roman" w:cs="Times New Roman"/>
          <w:sz w:val="28"/>
          <w:szCs w:val="28"/>
          <w:lang w:val="en-US"/>
        </w:rPr>
        <w:t>21</w:t>
      </w:r>
      <w:r w:rsidR="001D1118" w:rsidRPr="005A3E0F">
        <w:rPr>
          <w:rFonts w:ascii="Times New Roman" w:hAnsi="Times New Roman" w:cs="Times New Roman"/>
          <w:sz w:val="28"/>
          <w:szCs w:val="28"/>
          <w:lang w:val="en-US"/>
        </w:rPr>
        <w:t xml:space="preserve"> </w:t>
      </w:r>
      <w:r w:rsidR="00CD2873">
        <w:rPr>
          <w:rFonts w:ascii="Times New Roman" w:hAnsi="Times New Roman" w:cs="Times New Roman"/>
          <w:sz w:val="28"/>
          <w:szCs w:val="28"/>
          <w:lang w:val="en-US"/>
        </w:rPr>
        <w:t xml:space="preserve">June </w:t>
      </w:r>
      <w:r w:rsidR="001D1118" w:rsidRPr="001D1118">
        <w:rPr>
          <w:rFonts w:ascii="Times New Roman" w:hAnsi="Times New Roman" w:cs="Times New Roman"/>
          <w:sz w:val="28"/>
          <w:szCs w:val="28"/>
          <w:lang w:val="en-US"/>
        </w:rPr>
        <w:t>2022</w:t>
      </w:r>
    </w:p>
    <w:p w14:paraId="7E7928B9" w14:textId="677CAB1D" w:rsidR="00F46D50" w:rsidRDefault="004F2069" w:rsidP="001279B1">
      <w:pPr>
        <w:spacing w:before="240" w:after="0" w:line="360" w:lineRule="auto"/>
        <w:contextualSpacing/>
        <w:jc w:val="both"/>
        <w:rPr>
          <w:rFonts w:ascii="Times New Roman" w:hAnsi="Times New Roman" w:cs="Times New Roman"/>
          <w:sz w:val="28"/>
          <w:szCs w:val="28"/>
        </w:rPr>
      </w:pPr>
      <w:r w:rsidRPr="00B67EF0">
        <w:rPr>
          <w:rFonts w:ascii="Times New Roman" w:eastAsiaTheme="minorEastAsia" w:hAnsi="Times New Roman" w:cs="Times New Roman"/>
          <w:b/>
          <w:sz w:val="28"/>
          <w:szCs w:val="28"/>
          <w:lang w:val="en-US"/>
        </w:rPr>
        <w:t>Summary:</w:t>
      </w:r>
      <w:r w:rsidRPr="00B67EF0">
        <w:rPr>
          <w:rFonts w:ascii="Times New Roman" w:eastAsiaTheme="minorEastAsia" w:hAnsi="Times New Roman" w:cs="Times New Roman"/>
          <w:sz w:val="28"/>
          <w:szCs w:val="28"/>
          <w:lang w:val="en-US"/>
        </w:rPr>
        <w:t xml:space="preserve"> </w:t>
      </w:r>
      <w:r w:rsidR="00E233D2">
        <w:rPr>
          <w:rFonts w:ascii="Times New Roman" w:hAnsi="Times New Roman" w:cs="Times New Roman"/>
          <w:bCs/>
          <w:sz w:val="28"/>
          <w:szCs w:val="28"/>
        </w:rPr>
        <w:t>Revenue</w:t>
      </w:r>
      <w:r w:rsidR="000D6804" w:rsidRPr="00B67EF0">
        <w:rPr>
          <w:rFonts w:ascii="Times New Roman" w:hAnsi="Times New Roman" w:cs="Times New Roman"/>
          <w:sz w:val="28"/>
          <w:szCs w:val="28"/>
        </w:rPr>
        <w:t xml:space="preserve"> </w:t>
      </w:r>
      <w:r w:rsidR="000D6804" w:rsidRPr="00B67EF0">
        <w:rPr>
          <w:rFonts w:ascii="Times New Roman" w:hAnsi="Times New Roman" w:cs="Times New Roman"/>
          <w:bCs/>
          <w:sz w:val="28"/>
          <w:szCs w:val="28"/>
        </w:rPr>
        <w:t xml:space="preserve">– </w:t>
      </w:r>
      <w:r w:rsidR="00A67A0D">
        <w:rPr>
          <w:rFonts w:ascii="Times New Roman" w:hAnsi="Times New Roman" w:cs="Times New Roman"/>
          <w:bCs/>
          <w:sz w:val="28"/>
          <w:szCs w:val="28"/>
        </w:rPr>
        <w:t>v</w:t>
      </w:r>
      <w:r w:rsidR="00E233D2">
        <w:rPr>
          <w:rFonts w:ascii="Times New Roman" w:hAnsi="Times New Roman" w:cs="Times New Roman"/>
          <w:bCs/>
          <w:sz w:val="28"/>
          <w:szCs w:val="28"/>
        </w:rPr>
        <w:t>alue</w:t>
      </w:r>
      <w:r w:rsidR="001D1118">
        <w:rPr>
          <w:rFonts w:ascii="Times New Roman" w:hAnsi="Times New Roman" w:cs="Times New Roman"/>
          <w:bCs/>
          <w:sz w:val="28"/>
          <w:szCs w:val="28"/>
        </w:rPr>
        <w:t>-</w:t>
      </w:r>
      <w:r w:rsidR="00A67A0D">
        <w:rPr>
          <w:rFonts w:ascii="Times New Roman" w:hAnsi="Times New Roman" w:cs="Times New Roman"/>
          <w:bCs/>
          <w:sz w:val="28"/>
          <w:szCs w:val="28"/>
        </w:rPr>
        <w:t>a</w:t>
      </w:r>
      <w:r w:rsidR="00E233D2">
        <w:rPr>
          <w:rFonts w:ascii="Times New Roman" w:hAnsi="Times New Roman" w:cs="Times New Roman"/>
          <w:bCs/>
          <w:sz w:val="28"/>
          <w:szCs w:val="28"/>
        </w:rPr>
        <w:t xml:space="preserve">dded </w:t>
      </w:r>
      <w:r w:rsidR="00A67A0D">
        <w:rPr>
          <w:rFonts w:ascii="Times New Roman" w:hAnsi="Times New Roman" w:cs="Times New Roman"/>
          <w:bCs/>
          <w:sz w:val="28"/>
          <w:szCs w:val="28"/>
        </w:rPr>
        <w:t>t</w:t>
      </w:r>
      <w:r w:rsidR="00E233D2">
        <w:rPr>
          <w:rFonts w:ascii="Times New Roman" w:hAnsi="Times New Roman" w:cs="Times New Roman"/>
          <w:bCs/>
          <w:sz w:val="28"/>
          <w:szCs w:val="28"/>
        </w:rPr>
        <w:t xml:space="preserve">ax – </w:t>
      </w:r>
      <w:r w:rsidR="000D6804" w:rsidRPr="00B67EF0">
        <w:rPr>
          <w:rFonts w:ascii="Times New Roman" w:hAnsi="Times New Roman" w:cs="Times New Roman"/>
          <w:sz w:val="28"/>
          <w:szCs w:val="28"/>
        </w:rPr>
        <w:t>whethe</w:t>
      </w:r>
      <w:r w:rsidR="00E233D2">
        <w:rPr>
          <w:rFonts w:ascii="Times New Roman" w:hAnsi="Times New Roman" w:cs="Times New Roman"/>
          <w:sz w:val="28"/>
          <w:szCs w:val="28"/>
        </w:rPr>
        <w:t>r a tax fraction of loan cover</w:t>
      </w:r>
      <w:r w:rsidR="000D6804" w:rsidRPr="00B67EF0">
        <w:rPr>
          <w:rFonts w:ascii="Times New Roman" w:hAnsi="Times New Roman" w:cs="Times New Roman"/>
          <w:sz w:val="28"/>
          <w:szCs w:val="28"/>
        </w:rPr>
        <w:t xml:space="preserve"> payouts qualified for deduction in terms of s 16(3)</w:t>
      </w:r>
      <w:r w:rsidR="000D6804" w:rsidRPr="00B67EF0">
        <w:rPr>
          <w:rFonts w:ascii="Times New Roman" w:hAnsi="Times New Roman" w:cs="Times New Roman"/>
          <w:i/>
          <w:sz w:val="28"/>
          <w:szCs w:val="28"/>
        </w:rPr>
        <w:t>(</w:t>
      </w:r>
      <w:r w:rsidR="000D6804" w:rsidRPr="00B67EF0">
        <w:rPr>
          <w:rFonts w:ascii="Times New Roman" w:hAnsi="Times New Roman" w:cs="Times New Roman"/>
          <w:i/>
          <w:iCs/>
          <w:sz w:val="28"/>
          <w:szCs w:val="28"/>
        </w:rPr>
        <w:t>c</w:t>
      </w:r>
      <w:r w:rsidR="000D6804" w:rsidRPr="00B67EF0">
        <w:rPr>
          <w:rFonts w:ascii="Times New Roman" w:hAnsi="Times New Roman" w:cs="Times New Roman"/>
          <w:i/>
          <w:sz w:val="28"/>
          <w:szCs w:val="28"/>
        </w:rPr>
        <w:t>)</w:t>
      </w:r>
      <w:r w:rsidR="000D6804" w:rsidRPr="00B67EF0">
        <w:rPr>
          <w:rFonts w:ascii="Times New Roman" w:hAnsi="Times New Roman" w:cs="Times New Roman"/>
          <w:sz w:val="28"/>
          <w:szCs w:val="28"/>
        </w:rPr>
        <w:t xml:space="preserve"> of the V</w:t>
      </w:r>
      <w:r w:rsidR="00E233D2">
        <w:rPr>
          <w:rFonts w:ascii="Times New Roman" w:hAnsi="Times New Roman" w:cs="Times New Roman"/>
          <w:sz w:val="28"/>
          <w:szCs w:val="28"/>
        </w:rPr>
        <w:t xml:space="preserve">alue-Added Tax </w:t>
      </w:r>
      <w:r w:rsidR="000D6804" w:rsidRPr="00B67EF0">
        <w:rPr>
          <w:rFonts w:ascii="Times New Roman" w:hAnsi="Times New Roman" w:cs="Times New Roman"/>
          <w:sz w:val="28"/>
          <w:szCs w:val="28"/>
        </w:rPr>
        <w:t xml:space="preserve">Act </w:t>
      </w:r>
      <w:r w:rsidR="003D277C">
        <w:rPr>
          <w:rFonts w:ascii="Times New Roman" w:hAnsi="Times New Roman" w:cs="Times New Roman"/>
          <w:sz w:val="28"/>
          <w:szCs w:val="28"/>
        </w:rPr>
        <w:t>89 of 1991</w:t>
      </w:r>
      <w:r w:rsidR="00A67A0D">
        <w:rPr>
          <w:rFonts w:ascii="Times New Roman" w:hAnsi="Times New Roman" w:cs="Times New Roman"/>
          <w:sz w:val="28"/>
          <w:szCs w:val="28"/>
        </w:rPr>
        <w:t xml:space="preserve"> </w:t>
      </w:r>
      <w:r w:rsidR="003D277C">
        <w:rPr>
          <w:rFonts w:ascii="Times New Roman" w:hAnsi="Times New Roman" w:cs="Times New Roman"/>
          <w:sz w:val="28"/>
          <w:szCs w:val="28"/>
        </w:rPr>
        <w:t>–</w:t>
      </w:r>
      <w:r w:rsidR="000D6804" w:rsidRPr="00B67EF0">
        <w:rPr>
          <w:rFonts w:ascii="Times New Roman" w:hAnsi="Times New Roman" w:cs="Times New Roman"/>
          <w:sz w:val="28"/>
          <w:szCs w:val="28"/>
        </w:rPr>
        <w:t xml:space="preserve"> </w:t>
      </w:r>
      <w:r w:rsidR="004903C1">
        <w:rPr>
          <w:rFonts w:ascii="Times New Roman" w:hAnsi="Times New Roman" w:cs="Times New Roman"/>
          <w:sz w:val="28"/>
          <w:szCs w:val="28"/>
        </w:rPr>
        <w:t xml:space="preserve">whether </w:t>
      </w:r>
      <w:r w:rsidR="000D6804" w:rsidRPr="00B67EF0">
        <w:rPr>
          <w:rFonts w:ascii="Times New Roman" w:hAnsi="Times New Roman" w:cs="Times New Roman"/>
          <w:sz w:val="28"/>
          <w:szCs w:val="28"/>
        </w:rPr>
        <w:t xml:space="preserve">loan cover </w:t>
      </w:r>
      <w:r w:rsidR="00E233D2">
        <w:rPr>
          <w:rFonts w:ascii="Times New Roman" w:hAnsi="Times New Roman" w:cs="Times New Roman"/>
          <w:sz w:val="28"/>
          <w:szCs w:val="28"/>
        </w:rPr>
        <w:t xml:space="preserve">qualified as </w:t>
      </w:r>
      <w:r w:rsidR="004903C1">
        <w:rPr>
          <w:rFonts w:ascii="Times New Roman" w:hAnsi="Times New Roman" w:cs="Times New Roman"/>
          <w:sz w:val="28"/>
          <w:szCs w:val="28"/>
        </w:rPr>
        <w:t xml:space="preserve">a taxable supply </w:t>
      </w:r>
      <w:r w:rsidR="000D6804" w:rsidRPr="00B67EF0">
        <w:rPr>
          <w:rFonts w:ascii="Times New Roman" w:hAnsi="Times New Roman" w:cs="Times New Roman"/>
          <w:sz w:val="28"/>
          <w:szCs w:val="28"/>
        </w:rPr>
        <w:t>–</w:t>
      </w:r>
      <w:r w:rsidR="004903C1">
        <w:rPr>
          <w:rFonts w:ascii="Times New Roman" w:hAnsi="Times New Roman" w:cs="Times New Roman"/>
          <w:sz w:val="28"/>
          <w:szCs w:val="28"/>
        </w:rPr>
        <w:t xml:space="preserve"> no </w:t>
      </w:r>
      <w:r w:rsidR="004903C1">
        <w:rPr>
          <w:rFonts w:ascii="Times New Roman" w:hAnsi="Times New Roman" w:cs="Times New Roman"/>
          <w:sz w:val="28"/>
          <w:szCs w:val="28"/>
        </w:rPr>
        <w:lastRenderedPageBreak/>
        <w:t>consideration charged for the loan cover – loan cover supplied in the course of business of p</w:t>
      </w:r>
      <w:r w:rsidR="001279B1">
        <w:rPr>
          <w:rFonts w:ascii="Times New Roman" w:hAnsi="Times New Roman" w:cs="Times New Roman"/>
          <w:sz w:val="28"/>
          <w:szCs w:val="28"/>
        </w:rPr>
        <w:t>roviding</w:t>
      </w:r>
      <w:r w:rsidR="004903C1">
        <w:rPr>
          <w:rFonts w:ascii="Times New Roman" w:hAnsi="Times New Roman" w:cs="Times New Roman"/>
          <w:sz w:val="28"/>
          <w:szCs w:val="28"/>
        </w:rPr>
        <w:t xml:space="preserve"> credit –</w:t>
      </w:r>
      <w:r w:rsidR="001279B1">
        <w:rPr>
          <w:rFonts w:ascii="Times New Roman" w:hAnsi="Times New Roman" w:cs="Times New Roman"/>
          <w:sz w:val="28"/>
          <w:szCs w:val="28"/>
        </w:rPr>
        <w:t xml:space="preserve"> loan cover</w:t>
      </w:r>
      <w:r w:rsidR="004903C1">
        <w:rPr>
          <w:rFonts w:ascii="Times New Roman" w:hAnsi="Times New Roman" w:cs="Times New Roman"/>
          <w:sz w:val="28"/>
          <w:szCs w:val="28"/>
        </w:rPr>
        <w:t xml:space="preserve"> qualified as an exempt supply</w:t>
      </w:r>
      <w:r w:rsidR="001279B1">
        <w:rPr>
          <w:rFonts w:ascii="Times New Roman" w:hAnsi="Times New Roman" w:cs="Times New Roman"/>
          <w:sz w:val="28"/>
          <w:szCs w:val="28"/>
        </w:rPr>
        <w:t xml:space="preserve"> – penalty imposed under s</w:t>
      </w:r>
      <w:r w:rsidR="00402FDF">
        <w:rPr>
          <w:rFonts w:ascii="Times New Roman" w:hAnsi="Times New Roman" w:cs="Times New Roman"/>
          <w:sz w:val="28"/>
          <w:szCs w:val="28"/>
        </w:rPr>
        <w:t xml:space="preserve"> </w:t>
      </w:r>
      <w:r w:rsidR="001279B1">
        <w:rPr>
          <w:rFonts w:ascii="Times New Roman" w:hAnsi="Times New Roman" w:cs="Times New Roman"/>
          <w:sz w:val="28"/>
          <w:szCs w:val="28"/>
        </w:rPr>
        <w:t>21</w:t>
      </w:r>
      <w:r w:rsidR="00F77E2F">
        <w:rPr>
          <w:rFonts w:ascii="Times New Roman" w:hAnsi="Times New Roman" w:cs="Times New Roman"/>
          <w:sz w:val="28"/>
          <w:szCs w:val="28"/>
        </w:rPr>
        <w:t>3</w:t>
      </w:r>
      <w:r w:rsidR="00D332FC">
        <w:rPr>
          <w:rFonts w:ascii="Times New Roman" w:hAnsi="Times New Roman" w:cs="Times New Roman"/>
          <w:sz w:val="28"/>
          <w:szCs w:val="28"/>
        </w:rPr>
        <w:t xml:space="preserve"> of the Tax Administration Act </w:t>
      </w:r>
      <w:r w:rsidR="00676B3D">
        <w:rPr>
          <w:rFonts w:ascii="Times New Roman" w:hAnsi="Times New Roman" w:cs="Times New Roman"/>
          <w:sz w:val="28"/>
          <w:szCs w:val="28"/>
        </w:rPr>
        <w:t xml:space="preserve">28 of 2011 </w:t>
      </w:r>
      <w:r w:rsidR="007865C3">
        <w:rPr>
          <w:rFonts w:ascii="Times New Roman" w:hAnsi="Times New Roman" w:cs="Times New Roman"/>
          <w:sz w:val="28"/>
          <w:szCs w:val="28"/>
        </w:rPr>
        <w:t>remitted.</w:t>
      </w:r>
    </w:p>
    <w:p w14:paraId="7256C66C" w14:textId="3A6D9ACE" w:rsidR="00A67A0D" w:rsidRDefault="00A67A0D" w:rsidP="001279B1">
      <w:pPr>
        <w:spacing w:before="240" w:after="0" w:line="360" w:lineRule="auto"/>
        <w:contextualSpacing/>
        <w:jc w:val="both"/>
        <w:rPr>
          <w:rFonts w:ascii="Times New Roman" w:hAnsi="Times New Roman" w:cs="Times New Roman"/>
          <w:sz w:val="28"/>
          <w:szCs w:val="28"/>
        </w:rPr>
      </w:pPr>
    </w:p>
    <w:p w14:paraId="19D8B671" w14:textId="209257C9" w:rsidR="00A67A0D" w:rsidRDefault="00A67A0D" w:rsidP="001279B1">
      <w:pPr>
        <w:spacing w:before="240" w:after="0" w:line="360" w:lineRule="auto"/>
        <w:contextualSpacing/>
        <w:jc w:val="both"/>
        <w:rPr>
          <w:rFonts w:ascii="Times New Roman" w:hAnsi="Times New Roman" w:cs="Times New Roman"/>
          <w:sz w:val="28"/>
          <w:szCs w:val="28"/>
        </w:rPr>
      </w:pPr>
    </w:p>
    <w:p w14:paraId="293E8C71" w14:textId="6F3E5C07" w:rsidR="00A67A0D" w:rsidRDefault="00A67A0D" w:rsidP="001279B1">
      <w:pPr>
        <w:spacing w:before="240" w:after="0" w:line="360" w:lineRule="auto"/>
        <w:contextualSpacing/>
        <w:jc w:val="both"/>
        <w:rPr>
          <w:rFonts w:ascii="Times New Roman" w:hAnsi="Times New Roman" w:cs="Times New Roman"/>
          <w:sz w:val="28"/>
          <w:szCs w:val="28"/>
        </w:rPr>
      </w:pPr>
    </w:p>
    <w:p w14:paraId="465D76B9" w14:textId="0A238099" w:rsidR="00A67A0D" w:rsidRDefault="00A67A0D" w:rsidP="001279B1">
      <w:pPr>
        <w:spacing w:before="240" w:after="0" w:line="360" w:lineRule="auto"/>
        <w:contextualSpacing/>
        <w:jc w:val="both"/>
        <w:rPr>
          <w:rFonts w:ascii="Times New Roman" w:hAnsi="Times New Roman" w:cs="Times New Roman"/>
          <w:sz w:val="28"/>
          <w:szCs w:val="28"/>
        </w:rPr>
      </w:pPr>
    </w:p>
    <w:p w14:paraId="0F091692" w14:textId="2EE2348B" w:rsidR="00A67A0D" w:rsidRDefault="00A67A0D" w:rsidP="001279B1">
      <w:pPr>
        <w:spacing w:before="240" w:after="0" w:line="360" w:lineRule="auto"/>
        <w:contextualSpacing/>
        <w:jc w:val="both"/>
        <w:rPr>
          <w:rFonts w:ascii="Times New Roman" w:hAnsi="Times New Roman" w:cs="Times New Roman"/>
          <w:sz w:val="28"/>
          <w:szCs w:val="28"/>
        </w:rPr>
      </w:pPr>
    </w:p>
    <w:p w14:paraId="3706940F" w14:textId="1FC24EE6" w:rsidR="00A67A0D" w:rsidRDefault="00A67A0D" w:rsidP="001279B1">
      <w:pPr>
        <w:spacing w:before="240" w:after="0" w:line="360" w:lineRule="auto"/>
        <w:contextualSpacing/>
        <w:jc w:val="both"/>
        <w:rPr>
          <w:rFonts w:ascii="Times New Roman" w:hAnsi="Times New Roman" w:cs="Times New Roman"/>
          <w:sz w:val="28"/>
          <w:szCs w:val="28"/>
        </w:rPr>
      </w:pPr>
    </w:p>
    <w:p w14:paraId="7C5990E9" w14:textId="172E93E7" w:rsidR="00A67A0D" w:rsidRDefault="00A67A0D" w:rsidP="001279B1">
      <w:pPr>
        <w:spacing w:before="240" w:after="0" w:line="360" w:lineRule="auto"/>
        <w:contextualSpacing/>
        <w:jc w:val="both"/>
        <w:rPr>
          <w:rFonts w:ascii="Times New Roman" w:hAnsi="Times New Roman" w:cs="Times New Roman"/>
          <w:sz w:val="28"/>
          <w:szCs w:val="28"/>
        </w:rPr>
      </w:pPr>
    </w:p>
    <w:p w14:paraId="70ECCAAC" w14:textId="6B42A088" w:rsidR="00A67A0D" w:rsidRDefault="00A67A0D" w:rsidP="001279B1">
      <w:pPr>
        <w:spacing w:before="240" w:after="0" w:line="360" w:lineRule="auto"/>
        <w:contextualSpacing/>
        <w:jc w:val="both"/>
        <w:rPr>
          <w:rFonts w:ascii="Times New Roman" w:hAnsi="Times New Roman" w:cs="Times New Roman"/>
          <w:sz w:val="28"/>
          <w:szCs w:val="28"/>
        </w:rPr>
      </w:pPr>
    </w:p>
    <w:p w14:paraId="76156F19" w14:textId="54075B30" w:rsidR="00A67A0D" w:rsidRDefault="00A67A0D" w:rsidP="001279B1">
      <w:pPr>
        <w:spacing w:before="240" w:after="0" w:line="360" w:lineRule="auto"/>
        <w:contextualSpacing/>
        <w:jc w:val="both"/>
        <w:rPr>
          <w:rFonts w:ascii="Times New Roman" w:hAnsi="Times New Roman" w:cs="Times New Roman"/>
          <w:sz w:val="28"/>
          <w:szCs w:val="28"/>
        </w:rPr>
      </w:pPr>
    </w:p>
    <w:p w14:paraId="39421E2C" w14:textId="41048188" w:rsidR="00A67A0D" w:rsidRDefault="00A67A0D" w:rsidP="001279B1">
      <w:pPr>
        <w:spacing w:before="240" w:after="0" w:line="360" w:lineRule="auto"/>
        <w:contextualSpacing/>
        <w:jc w:val="both"/>
        <w:rPr>
          <w:rFonts w:ascii="Times New Roman" w:hAnsi="Times New Roman" w:cs="Times New Roman"/>
          <w:sz w:val="28"/>
          <w:szCs w:val="28"/>
        </w:rPr>
      </w:pPr>
    </w:p>
    <w:p w14:paraId="64EA12D9" w14:textId="0B6F65F1" w:rsidR="00A67A0D" w:rsidRDefault="00A67A0D" w:rsidP="001279B1">
      <w:pPr>
        <w:spacing w:before="240" w:after="0" w:line="360" w:lineRule="auto"/>
        <w:contextualSpacing/>
        <w:jc w:val="both"/>
        <w:rPr>
          <w:rFonts w:ascii="Times New Roman" w:hAnsi="Times New Roman" w:cs="Times New Roman"/>
          <w:sz w:val="28"/>
          <w:szCs w:val="28"/>
        </w:rPr>
      </w:pPr>
    </w:p>
    <w:p w14:paraId="4BA67A89" w14:textId="7B7220DB" w:rsidR="00A67A0D" w:rsidRDefault="00A67A0D" w:rsidP="001279B1">
      <w:pPr>
        <w:spacing w:before="240" w:after="0" w:line="360" w:lineRule="auto"/>
        <w:contextualSpacing/>
        <w:jc w:val="both"/>
        <w:rPr>
          <w:rFonts w:ascii="Times New Roman" w:hAnsi="Times New Roman" w:cs="Times New Roman"/>
          <w:sz w:val="28"/>
          <w:szCs w:val="28"/>
        </w:rPr>
      </w:pPr>
    </w:p>
    <w:p w14:paraId="6463622D" w14:textId="54A06BCD" w:rsidR="00A67A0D" w:rsidRDefault="00A67A0D" w:rsidP="001279B1">
      <w:pPr>
        <w:spacing w:before="240" w:after="0" w:line="360" w:lineRule="auto"/>
        <w:contextualSpacing/>
        <w:jc w:val="both"/>
        <w:rPr>
          <w:rFonts w:ascii="Times New Roman" w:hAnsi="Times New Roman" w:cs="Times New Roman"/>
          <w:sz w:val="28"/>
          <w:szCs w:val="28"/>
        </w:rPr>
      </w:pPr>
    </w:p>
    <w:p w14:paraId="29548804" w14:textId="58DF5A34" w:rsidR="00A67A0D" w:rsidRDefault="00A67A0D" w:rsidP="001279B1">
      <w:pPr>
        <w:spacing w:before="240" w:after="0" w:line="360" w:lineRule="auto"/>
        <w:contextualSpacing/>
        <w:jc w:val="both"/>
        <w:rPr>
          <w:rFonts w:ascii="Times New Roman" w:hAnsi="Times New Roman" w:cs="Times New Roman"/>
          <w:sz w:val="28"/>
          <w:szCs w:val="28"/>
        </w:rPr>
      </w:pPr>
    </w:p>
    <w:p w14:paraId="0B945B4E" w14:textId="27367825" w:rsidR="00A67A0D" w:rsidRDefault="00A67A0D" w:rsidP="001279B1">
      <w:pPr>
        <w:spacing w:before="240" w:after="0" w:line="360" w:lineRule="auto"/>
        <w:contextualSpacing/>
        <w:jc w:val="both"/>
        <w:rPr>
          <w:rFonts w:ascii="Times New Roman" w:hAnsi="Times New Roman" w:cs="Times New Roman"/>
          <w:sz w:val="28"/>
          <w:szCs w:val="28"/>
        </w:rPr>
      </w:pPr>
    </w:p>
    <w:p w14:paraId="6FABE53A" w14:textId="13B02627" w:rsidR="00A67A0D" w:rsidRDefault="00A67A0D" w:rsidP="001279B1">
      <w:pPr>
        <w:spacing w:before="240" w:after="0" w:line="360" w:lineRule="auto"/>
        <w:contextualSpacing/>
        <w:jc w:val="both"/>
        <w:rPr>
          <w:rFonts w:ascii="Times New Roman" w:hAnsi="Times New Roman" w:cs="Times New Roman"/>
          <w:sz w:val="28"/>
          <w:szCs w:val="28"/>
        </w:rPr>
      </w:pPr>
    </w:p>
    <w:p w14:paraId="67B46E2C" w14:textId="54D9C564" w:rsidR="00A67A0D" w:rsidRDefault="00A67A0D" w:rsidP="001279B1">
      <w:pPr>
        <w:spacing w:before="240" w:after="0" w:line="360" w:lineRule="auto"/>
        <w:contextualSpacing/>
        <w:jc w:val="both"/>
        <w:rPr>
          <w:rFonts w:ascii="Times New Roman" w:hAnsi="Times New Roman" w:cs="Times New Roman"/>
          <w:sz w:val="28"/>
          <w:szCs w:val="28"/>
        </w:rPr>
      </w:pPr>
    </w:p>
    <w:p w14:paraId="4176788D" w14:textId="162C4812" w:rsidR="00A67A0D" w:rsidRDefault="00A67A0D" w:rsidP="001279B1">
      <w:pPr>
        <w:spacing w:before="240" w:after="0" w:line="360" w:lineRule="auto"/>
        <w:contextualSpacing/>
        <w:jc w:val="both"/>
        <w:rPr>
          <w:rFonts w:ascii="Times New Roman" w:hAnsi="Times New Roman" w:cs="Times New Roman"/>
          <w:sz w:val="28"/>
          <w:szCs w:val="28"/>
        </w:rPr>
      </w:pPr>
    </w:p>
    <w:p w14:paraId="3BD5A757" w14:textId="7C7E4C97" w:rsidR="00A67A0D" w:rsidRDefault="00A67A0D" w:rsidP="001279B1">
      <w:pPr>
        <w:spacing w:before="240" w:after="0" w:line="360" w:lineRule="auto"/>
        <w:contextualSpacing/>
        <w:jc w:val="both"/>
        <w:rPr>
          <w:rFonts w:ascii="Times New Roman" w:hAnsi="Times New Roman" w:cs="Times New Roman"/>
          <w:sz w:val="28"/>
          <w:szCs w:val="28"/>
        </w:rPr>
      </w:pPr>
    </w:p>
    <w:p w14:paraId="144D2648" w14:textId="32A94BDE" w:rsidR="00A67A0D" w:rsidRDefault="00A67A0D" w:rsidP="001279B1">
      <w:pPr>
        <w:spacing w:before="240" w:after="0" w:line="360" w:lineRule="auto"/>
        <w:contextualSpacing/>
        <w:jc w:val="both"/>
        <w:rPr>
          <w:rFonts w:ascii="Times New Roman" w:hAnsi="Times New Roman" w:cs="Times New Roman"/>
          <w:sz w:val="28"/>
          <w:szCs w:val="28"/>
        </w:rPr>
      </w:pPr>
    </w:p>
    <w:p w14:paraId="23D04969" w14:textId="63E0150D" w:rsidR="00A67A0D" w:rsidRDefault="00A67A0D" w:rsidP="001279B1">
      <w:pPr>
        <w:spacing w:before="240" w:after="0" w:line="360" w:lineRule="auto"/>
        <w:contextualSpacing/>
        <w:jc w:val="both"/>
        <w:rPr>
          <w:rFonts w:ascii="Times New Roman" w:hAnsi="Times New Roman" w:cs="Times New Roman"/>
          <w:sz w:val="28"/>
          <w:szCs w:val="28"/>
        </w:rPr>
      </w:pPr>
    </w:p>
    <w:p w14:paraId="26946FE3" w14:textId="2F97EC4F" w:rsidR="00A67A0D" w:rsidRDefault="00A67A0D" w:rsidP="001279B1">
      <w:pPr>
        <w:spacing w:before="240" w:after="0" w:line="360" w:lineRule="auto"/>
        <w:contextualSpacing/>
        <w:jc w:val="both"/>
        <w:rPr>
          <w:rFonts w:ascii="Times New Roman" w:hAnsi="Times New Roman" w:cs="Times New Roman"/>
          <w:sz w:val="28"/>
          <w:szCs w:val="28"/>
        </w:rPr>
      </w:pPr>
    </w:p>
    <w:p w14:paraId="72515216" w14:textId="593827C7" w:rsidR="00A67A0D" w:rsidRDefault="00A67A0D" w:rsidP="001279B1">
      <w:pPr>
        <w:spacing w:before="240" w:after="0" w:line="360" w:lineRule="auto"/>
        <w:contextualSpacing/>
        <w:jc w:val="both"/>
        <w:rPr>
          <w:rFonts w:ascii="Times New Roman" w:hAnsi="Times New Roman" w:cs="Times New Roman"/>
          <w:sz w:val="28"/>
          <w:szCs w:val="28"/>
        </w:rPr>
      </w:pPr>
    </w:p>
    <w:p w14:paraId="5A5AD34F" w14:textId="4257806F" w:rsidR="00A67A0D" w:rsidRDefault="00A67A0D" w:rsidP="001279B1">
      <w:pPr>
        <w:spacing w:before="240" w:after="0" w:line="360" w:lineRule="auto"/>
        <w:contextualSpacing/>
        <w:jc w:val="both"/>
        <w:rPr>
          <w:rFonts w:ascii="Times New Roman" w:hAnsi="Times New Roman" w:cs="Times New Roman"/>
          <w:sz w:val="28"/>
          <w:szCs w:val="28"/>
        </w:rPr>
      </w:pPr>
    </w:p>
    <w:p w14:paraId="31E6F126" w14:textId="77777777" w:rsidR="00655B85" w:rsidRDefault="00655B85" w:rsidP="001279B1">
      <w:pPr>
        <w:spacing w:before="240" w:after="0" w:line="360" w:lineRule="auto"/>
        <w:contextualSpacing/>
        <w:jc w:val="both"/>
        <w:rPr>
          <w:rFonts w:ascii="Times New Roman" w:hAnsi="Times New Roman" w:cs="Times New Roman"/>
          <w:sz w:val="28"/>
          <w:szCs w:val="28"/>
        </w:rPr>
      </w:pPr>
    </w:p>
    <w:p w14:paraId="3DCC0B5F" w14:textId="77777777" w:rsidR="00A67A0D" w:rsidRPr="00B67EF0" w:rsidRDefault="00A67A0D" w:rsidP="001279B1">
      <w:pPr>
        <w:spacing w:before="240" w:after="0" w:line="360" w:lineRule="auto"/>
        <w:contextualSpacing/>
        <w:jc w:val="both"/>
        <w:rPr>
          <w:rFonts w:ascii="Times New Roman" w:hAnsi="Times New Roman" w:cs="Times New Roman"/>
          <w:sz w:val="28"/>
          <w:szCs w:val="28"/>
        </w:rPr>
      </w:pPr>
    </w:p>
    <w:p w14:paraId="2188A72E" w14:textId="0F2BDDD7" w:rsidR="004F2069" w:rsidRPr="00CD2873" w:rsidRDefault="004F2069" w:rsidP="00C362D1">
      <w:pPr>
        <w:spacing w:after="0" w:line="360" w:lineRule="auto"/>
        <w:contextualSpacing/>
        <w:jc w:val="both"/>
        <w:rPr>
          <w:rFonts w:ascii="Times New Roman" w:hAnsi="Times New Roman" w:cs="Times New Roman"/>
          <w:b/>
          <w:sz w:val="28"/>
          <w:szCs w:val="28"/>
        </w:rPr>
      </w:pPr>
      <w:r w:rsidRPr="00CD2873">
        <w:rPr>
          <w:rFonts w:ascii="Times New Roman" w:eastAsiaTheme="minorEastAsia" w:hAnsi="Times New Roman" w:cs="Times New Roman"/>
          <w:b/>
          <w:sz w:val="28"/>
          <w:szCs w:val="28"/>
          <w:lang w:val="en-US"/>
        </w:rPr>
        <w:lastRenderedPageBreak/>
        <w:t>__________________________________</w:t>
      </w:r>
      <w:r w:rsidR="000D0E97" w:rsidRPr="00CD2873">
        <w:rPr>
          <w:rFonts w:ascii="Times New Roman" w:eastAsiaTheme="minorEastAsia" w:hAnsi="Times New Roman" w:cs="Times New Roman"/>
          <w:b/>
          <w:sz w:val="28"/>
          <w:szCs w:val="28"/>
          <w:lang w:val="en-US"/>
        </w:rPr>
        <w:t>_____________________________</w:t>
      </w:r>
    </w:p>
    <w:p w14:paraId="12825B51" w14:textId="77777777" w:rsidR="004F2069" w:rsidRPr="00CD2873" w:rsidRDefault="004F2069" w:rsidP="00037E0E">
      <w:pPr>
        <w:spacing w:after="0"/>
        <w:jc w:val="both"/>
        <w:rPr>
          <w:rFonts w:ascii="Times New Roman" w:hAnsi="Times New Roman" w:cs="Times New Roman"/>
          <w:b/>
          <w:sz w:val="28"/>
          <w:szCs w:val="28"/>
        </w:rPr>
      </w:pPr>
    </w:p>
    <w:p w14:paraId="2DF5F078" w14:textId="77777777" w:rsidR="004F2069" w:rsidRPr="00CD2873" w:rsidRDefault="004F2069" w:rsidP="00037E0E">
      <w:pPr>
        <w:spacing w:after="0"/>
        <w:jc w:val="center"/>
        <w:rPr>
          <w:rFonts w:ascii="Times New Roman" w:hAnsi="Times New Roman" w:cs="Times New Roman"/>
          <w:b/>
          <w:sz w:val="28"/>
          <w:szCs w:val="28"/>
        </w:rPr>
      </w:pPr>
      <w:r w:rsidRPr="00CD2873">
        <w:rPr>
          <w:rFonts w:ascii="Times New Roman" w:hAnsi="Times New Roman" w:cs="Times New Roman"/>
          <w:b/>
          <w:sz w:val="28"/>
          <w:szCs w:val="28"/>
        </w:rPr>
        <w:t>ORDER</w:t>
      </w:r>
    </w:p>
    <w:p w14:paraId="4F16EE5B" w14:textId="50870BCB" w:rsidR="004F2069" w:rsidRPr="00CD2873" w:rsidRDefault="004F2069" w:rsidP="00037E0E">
      <w:pPr>
        <w:spacing w:after="0"/>
        <w:contextualSpacing/>
        <w:jc w:val="both"/>
        <w:rPr>
          <w:rFonts w:ascii="Times New Roman" w:eastAsiaTheme="minorEastAsia" w:hAnsi="Times New Roman" w:cs="Times New Roman"/>
          <w:b/>
          <w:sz w:val="28"/>
          <w:szCs w:val="28"/>
          <w:lang w:val="en-US"/>
        </w:rPr>
      </w:pPr>
      <w:r w:rsidRPr="00CD2873">
        <w:rPr>
          <w:rFonts w:ascii="Times New Roman" w:eastAsiaTheme="minorEastAsia" w:hAnsi="Times New Roman" w:cs="Times New Roman"/>
          <w:b/>
          <w:sz w:val="28"/>
          <w:szCs w:val="28"/>
          <w:lang w:val="en-US"/>
        </w:rPr>
        <w:t>___________________________________</w:t>
      </w:r>
      <w:r w:rsidR="000D0E97" w:rsidRPr="00CD2873">
        <w:rPr>
          <w:rFonts w:ascii="Times New Roman" w:eastAsiaTheme="minorEastAsia" w:hAnsi="Times New Roman" w:cs="Times New Roman"/>
          <w:b/>
          <w:sz w:val="28"/>
          <w:szCs w:val="28"/>
          <w:lang w:val="en-US"/>
        </w:rPr>
        <w:t>____________________________</w:t>
      </w:r>
    </w:p>
    <w:p w14:paraId="3DC2ECD4" w14:textId="25A8880C" w:rsidR="004F2069" w:rsidRPr="00B67EF0" w:rsidRDefault="004F2069" w:rsidP="00FF30E3">
      <w:pPr>
        <w:spacing w:before="240" w:after="0" w:line="360" w:lineRule="auto"/>
        <w:ind w:right="60"/>
        <w:jc w:val="both"/>
        <w:rPr>
          <w:rFonts w:ascii="Times New Roman" w:eastAsia="Times New Roman" w:hAnsi="Times New Roman" w:cs="Times New Roman"/>
          <w:sz w:val="28"/>
          <w:szCs w:val="28"/>
          <w:lang w:eastAsia="en-ZA"/>
        </w:rPr>
      </w:pPr>
      <w:r w:rsidRPr="00B67EF0">
        <w:rPr>
          <w:rFonts w:ascii="Times New Roman" w:eastAsiaTheme="minorEastAsia" w:hAnsi="Times New Roman" w:cs="Times New Roman"/>
          <w:b/>
          <w:sz w:val="28"/>
          <w:szCs w:val="28"/>
          <w:lang w:val="en-US"/>
        </w:rPr>
        <w:t xml:space="preserve">On appeal from: </w:t>
      </w:r>
      <w:r w:rsidR="000D6804" w:rsidRPr="00B67EF0">
        <w:rPr>
          <w:rFonts w:ascii="Times New Roman" w:hAnsi="Times New Roman" w:cs="Times New Roman"/>
          <w:sz w:val="28"/>
          <w:szCs w:val="28"/>
        </w:rPr>
        <w:t>Tax</w:t>
      </w:r>
      <w:r w:rsidRPr="00B67EF0">
        <w:rPr>
          <w:rFonts w:ascii="Times New Roman" w:hAnsi="Times New Roman" w:cs="Times New Roman"/>
          <w:sz w:val="28"/>
          <w:szCs w:val="28"/>
        </w:rPr>
        <w:t xml:space="preserve"> Court, </w:t>
      </w:r>
      <w:r w:rsidR="009C5DAD" w:rsidRPr="00B67EF0">
        <w:rPr>
          <w:rFonts w:ascii="Times New Roman" w:hAnsi="Times New Roman" w:cs="Times New Roman"/>
          <w:sz w:val="28"/>
          <w:szCs w:val="28"/>
        </w:rPr>
        <w:t xml:space="preserve">Cape </w:t>
      </w:r>
      <w:r w:rsidR="00A67A0D">
        <w:rPr>
          <w:rFonts w:ascii="Times New Roman" w:hAnsi="Times New Roman" w:cs="Times New Roman"/>
          <w:sz w:val="28"/>
          <w:szCs w:val="28"/>
        </w:rPr>
        <w:t xml:space="preserve">Town </w:t>
      </w:r>
      <w:r w:rsidRPr="00B67EF0">
        <w:rPr>
          <w:rFonts w:ascii="Times New Roman" w:eastAsiaTheme="minorEastAsia" w:hAnsi="Times New Roman" w:cs="Times New Roman"/>
          <w:sz w:val="28"/>
          <w:szCs w:val="28"/>
          <w:lang w:val="en-US"/>
        </w:rPr>
        <w:t>(</w:t>
      </w:r>
      <w:r w:rsidR="000D6804" w:rsidRPr="00B67EF0">
        <w:rPr>
          <w:rFonts w:ascii="Times New Roman" w:eastAsia="Times New Roman" w:hAnsi="Times New Roman" w:cs="Times New Roman"/>
          <w:sz w:val="28"/>
          <w:szCs w:val="28"/>
          <w:lang w:eastAsia="en-ZA"/>
        </w:rPr>
        <w:t>Sievers</w:t>
      </w:r>
      <w:r w:rsidR="00F06083" w:rsidRPr="00B67EF0">
        <w:rPr>
          <w:rFonts w:ascii="Times New Roman" w:eastAsia="Times New Roman" w:hAnsi="Times New Roman" w:cs="Times New Roman"/>
          <w:sz w:val="28"/>
          <w:szCs w:val="28"/>
          <w:lang w:eastAsia="en-ZA"/>
        </w:rPr>
        <w:t xml:space="preserve"> </w:t>
      </w:r>
      <w:r w:rsidR="0099184A" w:rsidRPr="00B67EF0">
        <w:rPr>
          <w:rFonts w:ascii="Times New Roman" w:eastAsia="Times New Roman" w:hAnsi="Times New Roman" w:cs="Times New Roman"/>
          <w:sz w:val="28"/>
          <w:szCs w:val="28"/>
          <w:lang w:eastAsia="en-ZA"/>
        </w:rPr>
        <w:t>A</w:t>
      </w:r>
      <w:r w:rsidR="00037C66" w:rsidRPr="00B67EF0">
        <w:rPr>
          <w:rFonts w:ascii="Times New Roman" w:eastAsia="Times New Roman" w:hAnsi="Times New Roman" w:cs="Times New Roman"/>
          <w:sz w:val="28"/>
          <w:szCs w:val="28"/>
          <w:lang w:eastAsia="en-ZA"/>
        </w:rPr>
        <w:t>J</w:t>
      </w:r>
      <w:r w:rsidR="00DB6BD9" w:rsidRPr="00B67EF0">
        <w:rPr>
          <w:rFonts w:ascii="Times New Roman" w:eastAsia="Times New Roman" w:hAnsi="Times New Roman" w:cs="Times New Roman"/>
          <w:sz w:val="28"/>
          <w:szCs w:val="28"/>
          <w:lang w:eastAsia="en-ZA"/>
        </w:rPr>
        <w:t>,</w:t>
      </w:r>
      <w:r w:rsidR="00037C66" w:rsidRPr="00B67EF0">
        <w:rPr>
          <w:rFonts w:ascii="Times New Roman" w:eastAsia="Times New Roman" w:hAnsi="Times New Roman" w:cs="Times New Roman"/>
          <w:sz w:val="28"/>
          <w:szCs w:val="28"/>
          <w:lang w:eastAsia="en-ZA"/>
        </w:rPr>
        <w:t xml:space="preserve"> </w:t>
      </w:r>
      <w:r w:rsidRPr="00B67EF0">
        <w:rPr>
          <w:rFonts w:ascii="Times New Roman" w:eastAsiaTheme="minorEastAsia" w:hAnsi="Times New Roman" w:cs="Times New Roman"/>
          <w:sz w:val="28"/>
          <w:szCs w:val="28"/>
          <w:lang w:val="en-US"/>
        </w:rPr>
        <w:t xml:space="preserve">sitting as court of </w:t>
      </w:r>
      <w:r w:rsidR="00F06083" w:rsidRPr="00B67EF0">
        <w:rPr>
          <w:rFonts w:ascii="Times New Roman" w:eastAsiaTheme="minorEastAsia" w:hAnsi="Times New Roman" w:cs="Times New Roman"/>
          <w:sz w:val="28"/>
          <w:szCs w:val="28"/>
          <w:lang w:val="en-US"/>
        </w:rPr>
        <w:t>first instance</w:t>
      </w:r>
      <w:r w:rsidRPr="00B67EF0">
        <w:rPr>
          <w:rFonts w:ascii="Times New Roman" w:eastAsiaTheme="minorEastAsia" w:hAnsi="Times New Roman" w:cs="Times New Roman"/>
          <w:sz w:val="28"/>
          <w:szCs w:val="28"/>
          <w:lang w:val="en-US"/>
        </w:rPr>
        <w:t>):</w:t>
      </w:r>
      <w:r w:rsidRPr="00B67EF0">
        <w:rPr>
          <w:rFonts w:ascii="Times New Roman" w:hAnsi="Times New Roman" w:cs="Times New Roman"/>
          <w:sz w:val="28"/>
          <w:szCs w:val="28"/>
        </w:rPr>
        <w:t xml:space="preserve"> </w:t>
      </w:r>
    </w:p>
    <w:p w14:paraId="5928E173" w14:textId="437F21B8" w:rsidR="001079B5" w:rsidRPr="00B67EF0" w:rsidRDefault="004F44E3" w:rsidP="000D6804">
      <w:pPr>
        <w:spacing w:after="0" w:line="360" w:lineRule="auto"/>
        <w:contextualSpacing/>
        <w:jc w:val="both"/>
        <w:rPr>
          <w:rFonts w:ascii="Times New Roman" w:eastAsiaTheme="minorEastAsia" w:hAnsi="Times New Roman" w:cs="Times New Roman"/>
          <w:sz w:val="28"/>
          <w:szCs w:val="28"/>
          <w:lang w:val="en-US"/>
        </w:rPr>
      </w:pPr>
      <w:r w:rsidRPr="00B67EF0">
        <w:rPr>
          <w:rFonts w:ascii="Times New Roman" w:eastAsiaTheme="minorEastAsia" w:hAnsi="Times New Roman" w:cs="Times New Roman"/>
          <w:sz w:val="28"/>
          <w:szCs w:val="28"/>
          <w:lang w:val="en-US"/>
        </w:rPr>
        <w:t>1</w:t>
      </w:r>
      <w:r w:rsidR="009C5DAD" w:rsidRPr="00B67EF0">
        <w:rPr>
          <w:rFonts w:ascii="Times New Roman" w:eastAsiaTheme="minorEastAsia" w:hAnsi="Times New Roman" w:cs="Times New Roman"/>
          <w:sz w:val="28"/>
          <w:szCs w:val="28"/>
          <w:lang w:val="en-US"/>
        </w:rPr>
        <w:t xml:space="preserve"> </w:t>
      </w:r>
      <w:r w:rsidR="00402FDF">
        <w:rPr>
          <w:rFonts w:ascii="Times New Roman" w:eastAsiaTheme="minorEastAsia" w:hAnsi="Times New Roman" w:cs="Times New Roman"/>
          <w:sz w:val="28"/>
          <w:szCs w:val="28"/>
          <w:lang w:val="en-US"/>
        </w:rPr>
        <w:tab/>
      </w:r>
      <w:r w:rsidR="009C5DAD" w:rsidRPr="00B67EF0">
        <w:rPr>
          <w:rFonts w:ascii="Times New Roman" w:eastAsiaTheme="minorEastAsia" w:hAnsi="Times New Roman" w:cs="Times New Roman"/>
          <w:sz w:val="28"/>
          <w:szCs w:val="28"/>
          <w:lang w:val="en-US"/>
        </w:rPr>
        <w:t>The appeal is upheld with costs</w:t>
      </w:r>
      <w:r w:rsidR="00826260" w:rsidRPr="00B67EF0">
        <w:rPr>
          <w:rFonts w:ascii="Times New Roman" w:eastAsiaTheme="minorEastAsia" w:hAnsi="Times New Roman" w:cs="Times New Roman"/>
          <w:sz w:val="28"/>
          <w:szCs w:val="28"/>
          <w:lang w:val="en-US"/>
        </w:rPr>
        <w:t xml:space="preserve">, including the costs </w:t>
      </w:r>
      <w:r w:rsidR="009C5DAD" w:rsidRPr="00B67EF0">
        <w:rPr>
          <w:rFonts w:ascii="Times New Roman" w:eastAsiaTheme="minorEastAsia" w:hAnsi="Times New Roman" w:cs="Times New Roman"/>
          <w:sz w:val="28"/>
          <w:szCs w:val="28"/>
          <w:lang w:val="en-US"/>
        </w:rPr>
        <w:t>of two counsel.</w:t>
      </w:r>
    </w:p>
    <w:p w14:paraId="2FB44403" w14:textId="4C497887" w:rsidR="009C5DAD" w:rsidRPr="00B67EF0" w:rsidRDefault="009C5DAD" w:rsidP="000D6804">
      <w:pPr>
        <w:spacing w:after="0" w:line="360" w:lineRule="auto"/>
        <w:contextualSpacing/>
        <w:jc w:val="both"/>
        <w:rPr>
          <w:rFonts w:ascii="Times New Roman" w:eastAsiaTheme="minorEastAsia" w:hAnsi="Times New Roman" w:cs="Times New Roman"/>
          <w:sz w:val="28"/>
          <w:szCs w:val="28"/>
          <w:lang w:val="en-US"/>
        </w:rPr>
      </w:pPr>
      <w:r w:rsidRPr="00B67EF0">
        <w:rPr>
          <w:rFonts w:ascii="Times New Roman" w:eastAsiaTheme="minorEastAsia" w:hAnsi="Times New Roman" w:cs="Times New Roman"/>
          <w:sz w:val="28"/>
          <w:szCs w:val="28"/>
          <w:lang w:val="en-US"/>
        </w:rPr>
        <w:t xml:space="preserve">2 </w:t>
      </w:r>
      <w:r w:rsidR="00402FDF">
        <w:rPr>
          <w:rFonts w:ascii="Times New Roman" w:eastAsiaTheme="minorEastAsia" w:hAnsi="Times New Roman" w:cs="Times New Roman"/>
          <w:sz w:val="28"/>
          <w:szCs w:val="28"/>
          <w:lang w:val="en-US"/>
        </w:rPr>
        <w:tab/>
      </w:r>
      <w:r w:rsidR="00826260" w:rsidRPr="00B67EF0">
        <w:rPr>
          <w:rFonts w:ascii="Times New Roman" w:eastAsiaTheme="minorEastAsia" w:hAnsi="Times New Roman" w:cs="Times New Roman"/>
          <w:sz w:val="28"/>
          <w:szCs w:val="28"/>
          <w:lang w:val="en-US"/>
        </w:rPr>
        <w:t xml:space="preserve">The order of the </w:t>
      </w:r>
      <w:r w:rsidR="00402FDF">
        <w:rPr>
          <w:rFonts w:ascii="Times New Roman" w:eastAsiaTheme="minorEastAsia" w:hAnsi="Times New Roman" w:cs="Times New Roman"/>
          <w:sz w:val="28"/>
          <w:szCs w:val="28"/>
          <w:lang w:val="en-US"/>
        </w:rPr>
        <w:t>t</w:t>
      </w:r>
      <w:r w:rsidR="00826260" w:rsidRPr="00B67EF0">
        <w:rPr>
          <w:rFonts w:ascii="Times New Roman" w:eastAsiaTheme="minorEastAsia" w:hAnsi="Times New Roman" w:cs="Times New Roman"/>
          <w:sz w:val="28"/>
          <w:szCs w:val="28"/>
          <w:lang w:val="en-US"/>
        </w:rPr>
        <w:t>ax court is set aside and replaced with the following order:</w:t>
      </w:r>
    </w:p>
    <w:p w14:paraId="34DEB2B4" w14:textId="0E1C3E52" w:rsidR="00826260" w:rsidRPr="00B67EF0" w:rsidRDefault="002F11F2" w:rsidP="00CD2873">
      <w:pPr>
        <w:spacing w:after="0" w:line="360" w:lineRule="auto"/>
        <w:contextualSpacing/>
        <w:jc w:val="both"/>
        <w:rPr>
          <w:rFonts w:ascii="Times New Roman" w:eastAsiaTheme="minorEastAsia" w:hAnsi="Times New Roman" w:cs="Times New Roman"/>
          <w:sz w:val="28"/>
          <w:szCs w:val="28"/>
          <w:lang w:val="en-US"/>
        </w:rPr>
      </w:pPr>
      <w:r w:rsidRPr="00CD2873">
        <w:rPr>
          <w:rFonts w:ascii="Times New Roman" w:eastAsiaTheme="minorEastAsia" w:hAnsi="Times New Roman" w:cs="Times New Roman"/>
          <w:sz w:val="28"/>
          <w:szCs w:val="28"/>
          <w:lang w:val="en-US"/>
        </w:rPr>
        <w:t>‘2.1</w:t>
      </w:r>
      <w:r w:rsidR="003D277C" w:rsidRPr="00CD2873">
        <w:rPr>
          <w:rFonts w:ascii="Times New Roman" w:eastAsiaTheme="minorEastAsia" w:hAnsi="Times New Roman" w:cs="Times New Roman"/>
          <w:sz w:val="28"/>
          <w:szCs w:val="28"/>
          <w:lang w:val="en-US"/>
        </w:rPr>
        <w:t xml:space="preserve"> </w:t>
      </w:r>
      <w:r w:rsidR="00402FDF" w:rsidRPr="00CD2873">
        <w:rPr>
          <w:rFonts w:ascii="Times New Roman" w:eastAsiaTheme="minorEastAsia" w:hAnsi="Times New Roman" w:cs="Times New Roman"/>
          <w:sz w:val="28"/>
          <w:szCs w:val="28"/>
          <w:lang w:val="en-US"/>
        </w:rPr>
        <w:tab/>
      </w:r>
      <w:r w:rsidR="003D277C" w:rsidRPr="00CD2873">
        <w:rPr>
          <w:rFonts w:ascii="Times New Roman" w:eastAsiaTheme="minorEastAsia" w:hAnsi="Times New Roman" w:cs="Times New Roman"/>
          <w:sz w:val="28"/>
          <w:szCs w:val="28"/>
          <w:lang w:val="en-US"/>
        </w:rPr>
        <w:t>The a</w:t>
      </w:r>
      <w:r w:rsidRPr="00CD2873">
        <w:rPr>
          <w:rFonts w:ascii="Times New Roman" w:eastAsiaTheme="minorEastAsia" w:hAnsi="Times New Roman" w:cs="Times New Roman"/>
          <w:sz w:val="28"/>
          <w:szCs w:val="28"/>
          <w:lang w:val="en-US"/>
        </w:rPr>
        <w:t>ppeal is dismissed with costs</w:t>
      </w:r>
      <w:r w:rsidR="00826260" w:rsidRPr="00CD2873">
        <w:rPr>
          <w:rFonts w:ascii="Times New Roman" w:eastAsiaTheme="minorEastAsia" w:hAnsi="Times New Roman" w:cs="Times New Roman"/>
          <w:sz w:val="28"/>
          <w:szCs w:val="28"/>
          <w:lang w:val="en-US"/>
        </w:rPr>
        <w:t xml:space="preserve">, </w:t>
      </w:r>
      <w:r w:rsidR="005A56B6" w:rsidRPr="00CD2873">
        <w:rPr>
          <w:rFonts w:ascii="Times New Roman" w:eastAsiaTheme="minorEastAsia" w:hAnsi="Times New Roman" w:cs="Times New Roman"/>
          <w:sz w:val="28"/>
          <w:szCs w:val="28"/>
          <w:lang w:val="en-US"/>
        </w:rPr>
        <w:t xml:space="preserve">such </w:t>
      </w:r>
      <w:r w:rsidR="00826260" w:rsidRPr="00CD2873">
        <w:rPr>
          <w:rFonts w:ascii="Times New Roman" w:eastAsiaTheme="minorEastAsia" w:hAnsi="Times New Roman" w:cs="Times New Roman"/>
          <w:sz w:val="28"/>
          <w:szCs w:val="28"/>
          <w:lang w:val="en-US"/>
        </w:rPr>
        <w:t xml:space="preserve">costs to include </w:t>
      </w:r>
      <w:r w:rsidR="00402FDF" w:rsidRPr="00CD2873">
        <w:rPr>
          <w:rFonts w:ascii="Times New Roman" w:eastAsiaTheme="minorEastAsia" w:hAnsi="Times New Roman" w:cs="Times New Roman"/>
          <w:sz w:val="28"/>
          <w:szCs w:val="28"/>
          <w:lang w:val="en-US"/>
        </w:rPr>
        <w:t xml:space="preserve">the </w:t>
      </w:r>
      <w:r w:rsidR="00826260" w:rsidRPr="00CD2873">
        <w:rPr>
          <w:rFonts w:ascii="Times New Roman" w:eastAsiaTheme="minorEastAsia" w:hAnsi="Times New Roman" w:cs="Times New Roman"/>
          <w:sz w:val="28"/>
          <w:szCs w:val="28"/>
          <w:lang w:val="en-US"/>
        </w:rPr>
        <w:t>costs of two counsel.</w:t>
      </w:r>
    </w:p>
    <w:p w14:paraId="09566D4B" w14:textId="49C88340" w:rsidR="00826260" w:rsidRDefault="00826260" w:rsidP="00CD2873">
      <w:pPr>
        <w:spacing w:after="0" w:line="360" w:lineRule="auto"/>
        <w:contextualSpacing/>
        <w:jc w:val="both"/>
        <w:rPr>
          <w:rFonts w:ascii="Times New Roman" w:eastAsiaTheme="minorEastAsia" w:hAnsi="Times New Roman" w:cs="Times New Roman"/>
          <w:sz w:val="28"/>
          <w:szCs w:val="28"/>
          <w:lang w:val="en-US"/>
        </w:rPr>
      </w:pPr>
      <w:r w:rsidRPr="00B67EF0">
        <w:rPr>
          <w:rFonts w:ascii="Times New Roman" w:eastAsiaTheme="minorEastAsia" w:hAnsi="Times New Roman" w:cs="Times New Roman"/>
          <w:sz w:val="28"/>
          <w:szCs w:val="28"/>
          <w:lang w:val="en-US"/>
        </w:rPr>
        <w:t>2.</w:t>
      </w:r>
      <w:r w:rsidR="002F11F2">
        <w:rPr>
          <w:rFonts w:ascii="Times New Roman" w:eastAsiaTheme="minorEastAsia" w:hAnsi="Times New Roman" w:cs="Times New Roman"/>
          <w:sz w:val="28"/>
          <w:szCs w:val="28"/>
          <w:lang w:val="en-US"/>
        </w:rPr>
        <w:t xml:space="preserve">2 </w:t>
      </w:r>
      <w:r w:rsidR="00402FDF">
        <w:rPr>
          <w:rFonts w:ascii="Times New Roman" w:eastAsiaTheme="minorEastAsia" w:hAnsi="Times New Roman" w:cs="Times New Roman"/>
          <w:sz w:val="28"/>
          <w:szCs w:val="28"/>
          <w:lang w:val="en-US"/>
        </w:rPr>
        <w:tab/>
      </w:r>
      <w:r w:rsidRPr="00B67EF0">
        <w:rPr>
          <w:rFonts w:ascii="Times New Roman" w:eastAsiaTheme="minorEastAsia" w:hAnsi="Times New Roman" w:cs="Times New Roman"/>
          <w:sz w:val="28"/>
          <w:szCs w:val="28"/>
          <w:lang w:val="en-US"/>
        </w:rPr>
        <w:t xml:space="preserve">The assessment for </w:t>
      </w:r>
      <w:r w:rsidR="00977228">
        <w:rPr>
          <w:rFonts w:ascii="Times New Roman" w:eastAsiaTheme="minorEastAsia" w:hAnsi="Times New Roman" w:cs="Times New Roman"/>
          <w:sz w:val="28"/>
          <w:szCs w:val="28"/>
          <w:lang w:val="en-US"/>
        </w:rPr>
        <w:t xml:space="preserve">the </w:t>
      </w:r>
      <w:r w:rsidRPr="00B67EF0">
        <w:rPr>
          <w:rFonts w:ascii="Times New Roman" w:eastAsiaTheme="minorEastAsia" w:hAnsi="Times New Roman" w:cs="Times New Roman"/>
          <w:sz w:val="28"/>
          <w:szCs w:val="28"/>
          <w:lang w:val="en-US"/>
        </w:rPr>
        <w:t xml:space="preserve">November 2017 </w:t>
      </w:r>
      <w:r w:rsidR="00977228">
        <w:rPr>
          <w:rFonts w:ascii="Times New Roman" w:eastAsiaTheme="minorEastAsia" w:hAnsi="Times New Roman" w:cs="Times New Roman"/>
          <w:sz w:val="28"/>
          <w:szCs w:val="28"/>
          <w:lang w:val="en-US"/>
        </w:rPr>
        <w:t xml:space="preserve">VAT return </w:t>
      </w:r>
      <w:r w:rsidRPr="00B67EF0">
        <w:rPr>
          <w:rFonts w:ascii="Times New Roman" w:eastAsiaTheme="minorEastAsia" w:hAnsi="Times New Roman" w:cs="Times New Roman"/>
          <w:sz w:val="28"/>
          <w:szCs w:val="28"/>
          <w:lang w:val="en-US"/>
        </w:rPr>
        <w:t>is confirmed.</w:t>
      </w:r>
      <w:r w:rsidR="006D70D0">
        <w:rPr>
          <w:rFonts w:ascii="Times New Roman" w:eastAsiaTheme="minorEastAsia" w:hAnsi="Times New Roman" w:cs="Times New Roman"/>
          <w:sz w:val="28"/>
          <w:szCs w:val="28"/>
          <w:lang w:val="en-US"/>
        </w:rPr>
        <w:t>’</w:t>
      </w:r>
    </w:p>
    <w:p w14:paraId="4AA8F41B" w14:textId="749CA18C" w:rsidR="007865C3" w:rsidRPr="00B67EF0" w:rsidRDefault="00E233D2" w:rsidP="000D6804">
      <w:pPr>
        <w:spacing w:after="0" w:line="360" w:lineRule="auto"/>
        <w:contextualSpacing/>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3 </w:t>
      </w:r>
      <w:r w:rsidR="00402FDF">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w:t>
      </w:r>
      <w:r w:rsidR="007865C3">
        <w:rPr>
          <w:rFonts w:ascii="Times New Roman" w:eastAsiaTheme="minorEastAsia" w:hAnsi="Times New Roman" w:cs="Times New Roman"/>
          <w:sz w:val="28"/>
          <w:szCs w:val="28"/>
          <w:lang w:val="en-US"/>
        </w:rPr>
        <w:t>ny penalt</w:t>
      </w:r>
      <w:r>
        <w:rPr>
          <w:rFonts w:ascii="Times New Roman" w:eastAsiaTheme="minorEastAsia" w:hAnsi="Times New Roman" w:cs="Times New Roman"/>
          <w:sz w:val="28"/>
          <w:szCs w:val="28"/>
          <w:lang w:val="en-US"/>
        </w:rPr>
        <w:t>y imposed under s 21</w:t>
      </w:r>
      <w:r w:rsidR="00F77E2F">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lang w:val="en-US"/>
        </w:rPr>
        <w:t xml:space="preserve"> of the Tax</w:t>
      </w:r>
      <w:r w:rsidR="003D277C">
        <w:rPr>
          <w:rFonts w:ascii="Times New Roman" w:eastAsiaTheme="minorEastAsia" w:hAnsi="Times New Roman" w:cs="Times New Roman"/>
          <w:sz w:val="28"/>
          <w:szCs w:val="28"/>
          <w:lang w:val="en-US"/>
        </w:rPr>
        <w:t xml:space="preserve"> Administration Act </w:t>
      </w:r>
      <w:r w:rsidR="00402FDF">
        <w:rPr>
          <w:rFonts w:ascii="Times New Roman" w:hAnsi="Times New Roman" w:cs="Times New Roman"/>
          <w:sz w:val="28"/>
          <w:szCs w:val="28"/>
        </w:rPr>
        <w:t>28 of 2011</w:t>
      </w:r>
      <w:r w:rsidR="001A0E76" w:rsidRPr="001A0E76">
        <w:rPr>
          <w:rFonts w:ascii="Times New Roman" w:eastAsiaTheme="minorEastAsia" w:hAnsi="Times New Roman" w:cs="Times New Roman"/>
          <w:sz w:val="28"/>
          <w:szCs w:val="28"/>
        </w:rPr>
        <w:t xml:space="preserve"> read with s 39(1) of the Value-Added Tax Act 89 of 1991</w:t>
      </w:r>
      <w:r w:rsidR="00402FDF">
        <w:rPr>
          <w:rFonts w:ascii="Times New Roman" w:hAnsi="Times New Roman" w:cs="Times New Roman"/>
          <w:sz w:val="28"/>
          <w:szCs w:val="28"/>
        </w:rPr>
        <w:t xml:space="preserve"> </w:t>
      </w:r>
      <w:r w:rsidR="003D277C">
        <w:rPr>
          <w:rFonts w:ascii="Times New Roman" w:eastAsiaTheme="minorEastAsia" w:hAnsi="Times New Roman" w:cs="Times New Roman"/>
          <w:sz w:val="28"/>
          <w:szCs w:val="28"/>
          <w:lang w:val="en-US"/>
        </w:rPr>
        <w:t>by SARS is ordered to</w:t>
      </w:r>
      <w:r>
        <w:rPr>
          <w:rFonts w:ascii="Times New Roman" w:eastAsiaTheme="minorEastAsia" w:hAnsi="Times New Roman" w:cs="Times New Roman"/>
          <w:sz w:val="28"/>
          <w:szCs w:val="28"/>
          <w:lang w:val="en-US"/>
        </w:rPr>
        <w:t xml:space="preserve"> be remitted to C</w:t>
      </w:r>
      <w:r w:rsidR="007865C3">
        <w:rPr>
          <w:rFonts w:ascii="Times New Roman" w:eastAsiaTheme="minorEastAsia" w:hAnsi="Times New Roman" w:cs="Times New Roman"/>
          <w:sz w:val="28"/>
          <w:szCs w:val="28"/>
          <w:lang w:val="en-US"/>
        </w:rPr>
        <w:t>apitec</w:t>
      </w:r>
      <w:r w:rsidR="00402FDF">
        <w:rPr>
          <w:rFonts w:ascii="Times New Roman" w:eastAsiaTheme="minorEastAsia" w:hAnsi="Times New Roman" w:cs="Times New Roman"/>
          <w:sz w:val="28"/>
          <w:szCs w:val="28"/>
          <w:lang w:val="en-US"/>
        </w:rPr>
        <w:t xml:space="preserve"> Bank Limited</w:t>
      </w:r>
      <w:r w:rsidR="007865C3">
        <w:rPr>
          <w:rFonts w:ascii="Times New Roman" w:eastAsiaTheme="minorEastAsia" w:hAnsi="Times New Roman" w:cs="Times New Roman"/>
          <w:sz w:val="28"/>
          <w:szCs w:val="28"/>
          <w:lang w:val="en-US"/>
        </w:rPr>
        <w:t>.</w:t>
      </w:r>
    </w:p>
    <w:p w14:paraId="105DCC7A" w14:textId="639AACFE" w:rsidR="004F2069" w:rsidRPr="00B67EF0" w:rsidRDefault="004F2069" w:rsidP="00037E0E">
      <w:pPr>
        <w:pStyle w:val="ListParagraph"/>
        <w:spacing w:after="0"/>
        <w:ind w:left="0"/>
        <w:jc w:val="both"/>
        <w:rPr>
          <w:rFonts w:ascii="Times New Roman" w:eastAsiaTheme="minorEastAsia" w:hAnsi="Times New Roman" w:cs="Times New Roman"/>
          <w:b/>
          <w:sz w:val="28"/>
          <w:szCs w:val="28"/>
          <w:lang w:val="en-US"/>
        </w:rPr>
      </w:pPr>
      <w:r w:rsidRPr="00B67EF0">
        <w:rPr>
          <w:rFonts w:ascii="Times New Roman" w:eastAsiaTheme="minorEastAsia" w:hAnsi="Times New Roman" w:cs="Times New Roman"/>
          <w:b/>
          <w:sz w:val="28"/>
          <w:szCs w:val="28"/>
          <w:lang w:val="en-US"/>
        </w:rPr>
        <w:t>___________________________________</w:t>
      </w:r>
      <w:r w:rsidR="00DB63CE">
        <w:rPr>
          <w:rFonts w:ascii="Times New Roman" w:eastAsiaTheme="minorEastAsia" w:hAnsi="Times New Roman" w:cs="Times New Roman"/>
          <w:b/>
          <w:sz w:val="28"/>
          <w:szCs w:val="28"/>
          <w:lang w:val="en-US"/>
        </w:rPr>
        <w:t>________________________</w:t>
      </w:r>
      <w:r w:rsidR="00A67A0D">
        <w:rPr>
          <w:rFonts w:ascii="Times New Roman" w:eastAsiaTheme="minorEastAsia" w:hAnsi="Times New Roman" w:cs="Times New Roman"/>
          <w:b/>
          <w:sz w:val="28"/>
          <w:szCs w:val="28"/>
          <w:lang w:val="en-US"/>
        </w:rPr>
        <w:t>___</w:t>
      </w:r>
      <w:r w:rsidR="00DB63CE">
        <w:rPr>
          <w:rFonts w:ascii="Times New Roman" w:eastAsiaTheme="minorEastAsia" w:hAnsi="Times New Roman" w:cs="Times New Roman"/>
          <w:b/>
          <w:sz w:val="28"/>
          <w:szCs w:val="28"/>
          <w:lang w:val="en-US"/>
        </w:rPr>
        <w:t>_</w:t>
      </w:r>
    </w:p>
    <w:p w14:paraId="5FE7D098" w14:textId="77777777" w:rsidR="00655B85" w:rsidRDefault="00655B85" w:rsidP="00037E0E">
      <w:pPr>
        <w:spacing w:after="0"/>
        <w:jc w:val="center"/>
        <w:rPr>
          <w:rFonts w:ascii="Times New Roman" w:hAnsi="Times New Roman" w:cs="Times New Roman"/>
          <w:b/>
          <w:sz w:val="28"/>
          <w:szCs w:val="28"/>
        </w:rPr>
      </w:pPr>
    </w:p>
    <w:p w14:paraId="797A13AC" w14:textId="3657C330" w:rsidR="004F2069" w:rsidRPr="00B67EF0" w:rsidRDefault="00655B85" w:rsidP="00037E0E">
      <w:pPr>
        <w:spacing w:after="0"/>
        <w:jc w:val="center"/>
        <w:rPr>
          <w:rFonts w:ascii="Times New Roman" w:hAnsi="Times New Roman" w:cs="Times New Roman"/>
          <w:b/>
          <w:sz w:val="28"/>
          <w:szCs w:val="28"/>
        </w:rPr>
      </w:pPr>
      <w:r>
        <w:rPr>
          <w:rFonts w:ascii="Times New Roman" w:hAnsi="Times New Roman" w:cs="Times New Roman"/>
          <w:b/>
          <w:sz w:val="28"/>
          <w:szCs w:val="28"/>
        </w:rPr>
        <w:t>JUDGMENT</w:t>
      </w:r>
    </w:p>
    <w:p w14:paraId="66561822" w14:textId="07102689" w:rsidR="004F2069" w:rsidRPr="00B67EF0" w:rsidRDefault="004F2069" w:rsidP="00037E0E">
      <w:pPr>
        <w:spacing w:after="0"/>
        <w:jc w:val="both"/>
        <w:rPr>
          <w:rFonts w:ascii="Times New Roman" w:eastAsiaTheme="minorEastAsia" w:hAnsi="Times New Roman" w:cs="Times New Roman"/>
          <w:sz w:val="28"/>
          <w:szCs w:val="28"/>
          <w:lang w:val="en-US"/>
        </w:rPr>
      </w:pPr>
      <w:r w:rsidRPr="00B67EF0">
        <w:rPr>
          <w:rFonts w:ascii="Times New Roman" w:eastAsiaTheme="minorEastAsia" w:hAnsi="Times New Roman" w:cs="Times New Roman"/>
          <w:b/>
          <w:sz w:val="28"/>
          <w:szCs w:val="28"/>
          <w:lang w:val="en-US"/>
        </w:rPr>
        <w:t>___________________________________</w:t>
      </w:r>
      <w:r w:rsidR="000D0E97">
        <w:rPr>
          <w:rFonts w:ascii="Times New Roman" w:eastAsiaTheme="minorEastAsia" w:hAnsi="Times New Roman" w:cs="Times New Roman"/>
          <w:b/>
          <w:sz w:val="28"/>
          <w:szCs w:val="28"/>
          <w:lang w:val="en-US"/>
        </w:rPr>
        <w:t>____________________________</w:t>
      </w:r>
    </w:p>
    <w:p w14:paraId="0FE8B74E" w14:textId="02874171" w:rsidR="004F2069" w:rsidRPr="00B67EF0" w:rsidRDefault="00F82B4E" w:rsidP="00B46C8F">
      <w:pPr>
        <w:spacing w:before="240" w:after="0" w:line="360" w:lineRule="auto"/>
        <w:ind w:right="60"/>
        <w:jc w:val="both"/>
        <w:outlineLvl w:val="0"/>
        <w:rPr>
          <w:rFonts w:ascii="Times New Roman" w:hAnsi="Times New Roman" w:cs="Times New Roman"/>
          <w:b/>
          <w:sz w:val="28"/>
          <w:szCs w:val="28"/>
        </w:rPr>
      </w:pPr>
      <w:r w:rsidRPr="00B67EF0">
        <w:rPr>
          <w:rFonts w:ascii="Times New Roman" w:hAnsi="Times New Roman" w:cs="Times New Roman"/>
          <w:b/>
          <w:sz w:val="28"/>
          <w:szCs w:val="28"/>
        </w:rPr>
        <w:t xml:space="preserve">Saldulker </w:t>
      </w:r>
      <w:r w:rsidR="004F44E3" w:rsidRPr="00B67EF0">
        <w:rPr>
          <w:rFonts w:ascii="Times New Roman" w:hAnsi="Times New Roman" w:cs="Times New Roman"/>
          <w:b/>
          <w:sz w:val="28"/>
          <w:szCs w:val="28"/>
        </w:rPr>
        <w:t xml:space="preserve">JA </w:t>
      </w:r>
      <w:r w:rsidR="008E357C" w:rsidRPr="00B67EF0">
        <w:rPr>
          <w:rFonts w:ascii="Times New Roman" w:hAnsi="Times New Roman" w:cs="Times New Roman"/>
          <w:b/>
          <w:sz w:val="28"/>
          <w:szCs w:val="28"/>
        </w:rPr>
        <w:t>(</w:t>
      </w:r>
      <w:r w:rsidR="00583EC1">
        <w:rPr>
          <w:rFonts w:ascii="Times New Roman" w:hAnsi="Times New Roman" w:cs="Times New Roman"/>
          <w:b/>
          <w:sz w:val="28"/>
          <w:szCs w:val="28"/>
          <w:lang w:val="en-US"/>
        </w:rPr>
        <w:t xml:space="preserve">Mocumie, Makgoka and Schippers JJA and Musi AJA </w:t>
      </w:r>
      <w:r w:rsidR="00D268CE" w:rsidRPr="00B67EF0">
        <w:rPr>
          <w:rFonts w:ascii="Times New Roman" w:hAnsi="Times New Roman" w:cs="Times New Roman"/>
          <w:b/>
          <w:sz w:val="28"/>
          <w:szCs w:val="28"/>
        </w:rPr>
        <w:t>c</w:t>
      </w:r>
      <w:r w:rsidR="008E357C" w:rsidRPr="00B67EF0">
        <w:rPr>
          <w:rFonts w:ascii="Times New Roman" w:hAnsi="Times New Roman" w:cs="Times New Roman"/>
          <w:b/>
          <w:sz w:val="28"/>
          <w:szCs w:val="28"/>
        </w:rPr>
        <w:t>oncurring):</w:t>
      </w:r>
    </w:p>
    <w:p w14:paraId="0733A31C" w14:textId="77777777" w:rsidR="000D6804" w:rsidRPr="00B67EF0" w:rsidRDefault="000D6804" w:rsidP="00F06083">
      <w:pPr>
        <w:spacing w:after="0" w:line="360" w:lineRule="auto"/>
        <w:contextualSpacing/>
        <w:jc w:val="both"/>
        <w:rPr>
          <w:rFonts w:ascii="Times New Roman" w:eastAsia="Times New Roman" w:hAnsi="Times New Roman" w:cs="Times New Roman"/>
          <w:sz w:val="28"/>
          <w:szCs w:val="28"/>
        </w:rPr>
      </w:pPr>
    </w:p>
    <w:p w14:paraId="2239C142" w14:textId="07E7CA31" w:rsidR="000D0E97" w:rsidRDefault="002F11F2" w:rsidP="00A4486C">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00A4486C" w:rsidRPr="00CD2873">
        <w:rPr>
          <w:rFonts w:ascii="Times New Roman" w:hAnsi="Times New Roman" w:cs="Times New Roman"/>
          <w:sz w:val="28"/>
          <w:szCs w:val="28"/>
        </w:rPr>
        <w:t xml:space="preserve">The </w:t>
      </w:r>
      <w:r w:rsidR="000D0E97" w:rsidRPr="00CD2873">
        <w:rPr>
          <w:rFonts w:ascii="Times New Roman" w:hAnsi="Times New Roman" w:cs="Times New Roman"/>
          <w:sz w:val="28"/>
          <w:szCs w:val="28"/>
        </w:rPr>
        <w:t>appellant</w:t>
      </w:r>
      <w:r w:rsidR="005A56B6" w:rsidRPr="00CD2873">
        <w:rPr>
          <w:rFonts w:ascii="Times New Roman" w:hAnsi="Times New Roman" w:cs="Times New Roman"/>
          <w:sz w:val="28"/>
          <w:szCs w:val="28"/>
        </w:rPr>
        <w:t>,</w:t>
      </w:r>
      <w:r w:rsidR="000D0E97" w:rsidRPr="00CD2873">
        <w:rPr>
          <w:rFonts w:ascii="Times New Roman" w:hAnsi="Times New Roman" w:cs="Times New Roman"/>
          <w:sz w:val="28"/>
          <w:szCs w:val="28"/>
        </w:rPr>
        <w:t xml:space="preserve"> the Commissioner for the South African Revenue Service (SARS)</w:t>
      </w:r>
      <w:r w:rsidR="0065572A" w:rsidRPr="00CD2873">
        <w:rPr>
          <w:rFonts w:ascii="Times New Roman" w:hAnsi="Times New Roman" w:cs="Times New Roman"/>
          <w:sz w:val="28"/>
          <w:szCs w:val="28"/>
        </w:rPr>
        <w:t>,</w:t>
      </w:r>
      <w:r w:rsidR="000D0E97" w:rsidRPr="00CD2873">
        <w:rPr>
          <w:rFonts w:ascii="Times New Roman" w:hAnsi="Times New Roman" w:cs="Times New Roman"/>
          <w:sz w:val="28"/>
          <w:szCs w:val="28"/>
        </w:rPr>
        <w:t xml:space="preserve"> </w:t>
      </w:r>
      <w:r w:rsidR="00A4486C" w:rsidRPr="00CD2873">
        <w:rPr>
          <w:rFonts w:ascii="Times New Roman" w:hAnsi="Times New Roman" w:cs="Times New Roman"/>
          <w:sz w:val="28"/>
          <w:szCs w:val="28"/>
        </w:rPr>
        <w:t>appeal</w:t>
      </w:r>
      <w:r w:rsidR="000D0E97" w:rsidRPr="00CD2873">
        <w:rPr>
          <w:rFonts w:ascii="Times New Roman" w:hAnsi="Times New Roman" w:cs="Times New Roman"/>
          <w:sz w:val="28"/>
          <w:szCs w:val="28"/>
        </w:rPr>
        <w:t xml:space="preserve">s </w:t>
      </w:r>
      <w:r w:rsidR="00A4486C" w:rsidRPr="00CD2873">
        <w:rPr>
          <w:rFonts w:ascii="Times New Roman" w:hAnsi="Times New Roman" w:cs="Times New Roman"/>
          <w:sz w:val="28"/>
          <w:szCs w:val="28"/>
        </w:rPr>
        <w:t>against the judgment and order of</w:t>
      </w:r>
      <w:r w:rsidR="00676B3D" w:rsidRPr="00CD2873">
        <w:rPr>
          <w:rFonts w:ascii="Times New Roman" w:hAnsi="Times New Roman" w:cs="Times New Roman"/>
          <w:sz w:val="28"/>
          <w:szCs w:val="28"/>
        </w:rPr>
        <w:t xml:space="preserve"> the T</w:t>
      </w:r>
      <w:r w:rsidR="000D0E97" w:rsidRPr="00CD2873">
        <w:rPr>
          <w:rFonts w:ascii="Times New Roman" w:hAnsi="Times New Roman" w:cs="Times New Roman"/>
          <w:sz w:val="28"/>
          <w:szCs w:val="28"/>
        </w:rPr>
        <w:t xml:space="preserve">ax </w:t>
      </w:r>
      <w:r w:rsidR="0065572A" w:rsidRPr="00CD2873">
        <w:rPr>
          <w:rFonts w:ascii="Times New Roman" w:hAnsi="Times New Roman" w:cs="Times New Roman"/>
          <w:sz w:val="28"/>
          <w:szCs w:val="28"/>
        </w:rPr>
        <w:t>C</w:t>
      </w:r>
      <w:r w:rsidR="000D0E97" w:rsidRPr="00CD2873">
        <w:rPr>
          <w:rFonts w:ascii="Times New Roman" w:hAnsi="Times New Roman" w:cs="Times New Roman"/>
          <w:sz w:val="28"/>
          <w:szCs w:val="28"/>
        </w:rPr>
        <w:t>ourt,</w:t>
      </w:r>
      <w:r w:rsidR="0065572A" w:rsidRPr="00CD2873">
        <w:rPr>
          <w:rFonts w:ascii="Times New Roman" w:hAnsi="Times New Roman" w:cs="Times New Roman"/>
          <w:sz w:val="28"/>
          <w:szCs w:val="28"/>
        </w:rPr>
        <w:t xml:space="preserve"> </w:t>
      </w:r>
      <w:r w:rsidR="00D11FC7" w:rsidRPr="00CD2873">
        <w:rPr>
          <w:rFonts w:ascii="Times New Roman" w:hAnsi="Times New Roman" w:cs="Times New Roman"/>
          <w:sz w:val="28"/>
          <w:szCs w:val="28"/>
        </w:rPr>
        <w:t>Cape</w:t>
      </w:r>
      <w:r w:rsidR="0065572A" w:rsidRPr="00CD2873">
        <w:rPr>
          <w:rFonts w:ascii="Times New Roman" w:hAnsi="Times New Roman" w:cs="Times New Roman"/>
          <w:sz w:val="28"/>
          <w:szCs w:val="28"/>
        </w:rPr>
        <w:t xml:space="preserve"> Town</w:t>
      </w:r>
      <w:r w:rsidR="000D0E97" w:rsidRPr="00CD2873">
        <w:rPr>
          <w:rFonts w:ascii="Times New Roman" w:hAnsi="Times New Roman" w:cs="Times New Roman"/>
          <w:sz w:val="28"/>
          <w:szCs w:val="28"/>
        </w:rPr>
        <w:t xml:space="preserve"> </w:t>
      </w:r>
      <w:r w:rsidR="00D11FC7" w:rsidRPr="00CD2873">
        <w:rPr>
          <w:rFonts w:ascii="Times New Roman" w:hAnsi="Times New Roman" w:cs="Times New Roman"/>
          <w:sz w:val="28"/>
          <w:szCs w:val="28"/>
        </w:rPr>
        <w:t>(</w:t>
      </w:r>
      <w:r w:rsidR="0065572A" w:rsidRPr="00CD2873">
        <w:rPr>
          <w:rFonts w:ascii="Times New Roman" w:hAnsi="Times New Roman" w:cs="Times New Roman"/>
          <w:sz w:val="28"/>
          <w:szCs w:val="28"/>
        </w:rPr>
        <w:t>the tax court</w:t>
      </w:r>
      <w:r w:rsidR="00D11FC7" w:rsidRPr="00CD2873">
        <w:rPr>
          <w:rFonts w:ascii="Times New Roman" w:hAnsi="Times New Roman" w:cs="Times New Roman"/>
          <w:sz w:val="28"/>
          <w:szCs w:val="28"/>
        </w:rPr>
        <w:t xml:space="preserve">), </w:t>
      </w:r>
      <w:r w:rsidR="000D0E97" w:rsidRPr="00CD2873">
        <w:rPr>
          <w:rFonts w:ascii="Times New Roman" w:hAnsi="Times New Roman" w:cs="Times New Roman"/>
          <w:sz w:val="28"/>
          <w:szCs w:val="28"/>
        </w:rPr>
        <w:t>which upheld an</w:t>
      </w:r>
      <w:r w:rsidR="00A4486C" w:rsidRPr="00CD2873">
        <w:rPr>
          <w:rFonts w:ascii="Times New Roman" w:hAnsi="Times New Roman" w:cs="Times New Roman"/>
          <w:sz w:val="28"/>
          <w:szCs w:val="28"/>
        </w:rPr>
        <w:t xml:space="preserve"> appeal to it by the respondent, Capitec Bank Limited (Capitec), against the </w:t>
      </w:r>
      <w:r w:rsidR="000D0E97" w:rsidRPr="00CD2873">
        <w:rPr>
          <w:rFonts w:ascii="Times New Roman" w:hAnsi="Times New Roman" w:cs="Times New Roman"/>
          <w:sz w:val="28"/>
          <w:szCs w:val="28"/>
        </w:rPr>
        <w:t xml:space="preserve">additional </w:t>
      </w:r>
      <w:r w:rsidR="00A4486C" w:rsidRPr="00CD2873">
        <w:rPr>
          <w:rFonts w:ascii="Times New Roman" w:hAnsi="Times New Roman" w:cs="Times New Roman"/>
          <w:sz w:val="28"/>
          <w:szCs w:val="28"/>
        </w:rPr>
        <w:t xml:space="preserve">value-added tax (VAT) assessment </w:t>
      </w:r>
      <w:r w:rsidR="000D0E97" w:rsidRPr="00CD2873">
        <w:rPr>
          <w:rFonts w:ascii="Times New Roman" w:hAnsi="Times New Roman" w:cs="Times New Roman"/>
          <w:sz w:val="28"/>
          <w:szCs w:val="28"/>
        </w:rPr>
        <w:t xml:space="preserve">raised </w:t>
      </w:r>
      <w:r w:rsidR="00A4486C" w:rsidRPr="00CD2873">
        <w:rPr>
          <w:rFonts w:ascii="Times New Roman" w:hAnsi="Times New Roman" w:cs="Times New Roman"/>
          <w:sz w:val="28"/>
          <w:szCs w:val="28"/>
        </w:rPr>
        <w:t xml:space="preserve">by </w:t>
      </w:r>
      <w:r w:rsidR="000E6D92" w:rsidRPr="00CD2873">
        <w:rPr>
          <w:rFonts w:ascii="Times New Roman" w:hAnsi="Times New Roman" w:cs="Times New Roman"/>
          <w:sz w:val="28"/>
          <w:szCs w:val="28"/>
        </w:rPr>
        <w:t>SARS</w:t>
      </w:r>
      <w:r w:rsidR="000D0E97" w:rsidRPr="00CD2873">
        <w:rPr>
          <w:rFonts w:ascii="Times New Roman" w:hAnsi="Times New Roman" w:cs="Times New Roman"/>
          <w:sz w:val="28"/>
          <w:szCs w:val="28"/>
        </w:rPr>
        <w:t xml:space="preserve"> </w:t>
      </w:r>
      <w:r w:rsidR="00A4486C" w:rsidRPr="00CD2873">
        <w:rPr>
          <w:rFonts w:ascii="Times New Roman" w:hAnsi="Times New Roman" w:cs="Times New Roman"/>
          <w:sz w:val="28"/>
          <w:szCs w:val="28"/>
        </w:rPr>
        <w:t xml:space="preserve">for </w:t>
      </w:r>
      <w:r w:rsidR="005A56B6" w:rsidRPr="00CD2873">
        <w:rPr>
          <w:rFonts w:ascii="Times New Roman" w:hAnsi="Times New Roman" w:cs="Times New Roman"/>
          <w:sz w:val="28"/>
          <w:szCs w:val="28"/>
        </w:rPr>
        <w:t>the</w:t>
      </w:r>
      <w:r w:rsidR="00A4486C" w:rsidRPr="00CD2873">
        <w:rPr>
          <w:rFonts w:ascii="Times New Roman" w:hAnsi="Times New Roman" w:cs="Times New Roman"/>
          <w:sz w:val="28"/>
          <w:szCs w:val="28"/>
        </w:rPr>
        <w:t xml:space="preserve"> November 2017 </w:t>
      </w:r>
      <w:r w:rsidR="006958A4" w:rsidRPr="00CD2873">
        <w:rPr>
          <w:rFonts w:ascii="Times New Roman" w:hAnsi="Times New Roman" w:cs="Times New Roman"/>
          <w:sz w:val="28"/>
          <w:szCs w:val="28"/>
        </w:rPr>
        <w:t>VAT return</w:t>
      </w:r>
      <w:r w:rsidR="00A4486C" w:rsidRPr="00CD2873">
        <w:rPr>
          <w:rFonts w:ascii="Times New Roman" w:hAnsi="Times New Roman" w:cs="Times New Roman"/>
          <w:sz w:val="28"/>
          <w:szCs w:val="28"/>
        </w:rPr>
        <w:t>. In terms of the assessment, SARS disallowed an amount of R71 520</w:t>
      </w:r>
      <w:r w:rsidR="001D7E27" w:rsidRPr="00CD2873">
        <w:rPr>
          <w:rFonts w:ascii="Times New Roman" w:hAnsi="Times New Roman" w:cs="Times New Roman"/>
          <w:sz w:val="28"/>
          <w:szCs w:val="28"/>
        </w:rPr>
        <w:t> </w:t>
      </w:r>
      <w:r w:rsidR="00A4486C" w:rsidRPr="00CD2873">
        <w:rPr>
          <w:rFonts w:ascii="Times New Roman" w:hAnsi="Times New Roman" w:cs="Times New Roman"/>
          <w:sz w:val="28"/>
          <w:szCs w:val="28"/>
        </w:rPr>
        <w:t>811</w:t>
      </w:r>
      <w:r w:rsidR="001D7E27">
        <w:rPr>
          <w:rFonts w:ascii="Times New Roman" w:hAnsi="Times New Roman" w:cs="Times New Roman"/>
          <w:sz w:val="28"/>
          <w:szCs w:val="28"/>
        </w:rPr>
        <w:t>.85</w:t>
      </w:r>
      <w:r w:rsidR="00A4486C" w:rsidRPr="00B67EF0">
        <w:rPr>
          <w:rFonts w:ascii="Times New Roman" w:hAnsi="Times New Roman" w:cs="Times New Roman"/>
          <w:sz w:val="28"/>
          <w:szCs w:val="28"/>
        </w:rPr>
        <w:t xml:space="preserve"> claimed by Capitec as a notional input tax deduction. </w:t>
      </w:r>
    </w:p>
    <w:p w14:paraId="5F98F87F" w14:textId="77777777" w:rsidR="000D0E97" w:rsidRDefault="000D0E97" w:rsidP="00A4486C">
      <w:pPr>
        <w:spacing w:after="0" w:line="360" w:lineRule="auto"/>
        <w:jc w:val="both"/>
        <w:rPr>
          <w:rFonts w:ascii="Times New Roman" w:hAnsi="Times New Roman" w:cs="Times New Roman"/>
          <w:sz w:val="28"/>
          <w:szCs w:val="28"/>
        </w:rPr>
      </w:pPr>
    </w:p>
    <w:p w14:paraId="396F7E9D" w14:textId="6836AE00" w:rsidR="00A4486C" w:rsidRPr="00B67EF0" w:rsidRDefault="002F11F2" w:rsidP="00A448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B63CE">
        <w:rPr>
          <w:rFonts w:ascii="Times New Roman" w:hAnsi="Times New Roman" w:cs="Times New Roman"/>
          <w:sz w:val="28"/>
          <w:szCs w:val="28"/>
        </w:rPr>
        <w:t xml:space="preserve">The </w:t>
      </w:r>
      <w:r w:rsidR="0065572A">
        <w:rPr>
          <w:rFonts w:ascii="Times New Roman" w:hAnsi="Times New Roman" w:cs="Times New Roman"/>
          <w:sz w:val="28"/>
          <w:szCs w:val="28"/>
        </w:rPr>
        <w:t>t</w:t>
      </w:r>
      <w:r w:rsidR="00DB63CE">
        <w:rPr>
          <w:rFonts w:ascii="Times New Roman" w:hAnsi="Times New Roman" w:cs="Times New Roman"/>
          <w:sz w:val="28"/>
          <w:szCs w:val="28"/>
        </w:rPr>
        <w:t xml:space="preserve">ax court </w:t>
      </w:r>
      <w:r w:rsidR="00A4486C" w:rsidRPr="00B67EF0">
        <w:rPr>
          <w:rFonts w:ascii="Times New Roman" w:hAnsi="Times New Roman" w:cs="Times New Roman"/>
          <w:sz w:val="28"/>
          <w:szCs w:val="28"/>
        </w:rPr>
        <w:t>held that Capitec was entitled to deduct thi</w:t>
      </w:r>
      <w:r w:rsidR="00795379">
        <w:rPr>
          <w:rFonts w:ascii="Times New Roman" w:hAnsi="Times New Roman" w:cs="Times New Roman"/>
          <w:sz w:val="28"/>
          <w:szCs w:val="28"/>
        </w:rPr>
        <w:t xml:space="preserve">s amount from its VAT liability </w:t>
      </w:r>
      <w:r w:rsidR="00B6284E">
        <w:rPr>
          <w:rFonts w:ascii="Times New Roman" w:hAnsi="Times New Roman" w:cs="Times New Roman"/>
          <w:sz w:val="28"/>
          <w:szCs w:val="28"/>
        </w:rPr>
        <w:t>by virtue of s</w:t>
      </w:r>
      <w:r w:rsidR="0065572A">
        <w:rPr>
          <w:rFonts w:ascii="Times New Roman" w:hAnsi="Times New Roman" w:cs="Times New Roman"/>
          <w:sz w:val="28"/>
          <w:szCs w:val="28"/>
        </w:rPr>
        <w:t xml:space="preserve"> </w:t>
      </w:r>
      <w:r w:rsidR="00B6284E">
        <w:rPr>
          <w:rFonts w:ascii="Times New Roman" w:hAnsi="Times New Roman" w:cs="Times New Roman"/>
          <w:sz w:val="28"/>
          <w:szCs w:val="28"/>
        </w:rPr>
        <w:t>16(3)</w:t>
      </w:r>
      <w:r w:rsidR="00D11FC7" w:rsidRPr="005A3E0F">
        <w:rPr>
          <w:rFonts w:ascii="Times New Roman" w:hAnsi="Times New Roman" w:cs="Times New Roman"/>
          <w:i/>
          <w:sz w:val="28"/>
          <w:szCs w:val="28"/>
        </w:rPr>
        <w:t>(c)</w:t>
      </w:r>
      <w:r w:rsidR="00D11FC7">
        <w:rPr>
          <w:rFonts w:ascii="Times New Roman" w:hAnsi="Times New Roman" w:cs="Times New Roman"/>
          <w:sz w:val="28"/>
          <w:szCs w:val="28"/>
        </w:rPr>
        <w:t xml:space="preserve"> of the V</w:t>
      </w:r>
      <w:r w:rsidR="00DB63CE">
        <w:rPr>
          <w:rFonts w:ascii="Times New Roman" w:hAnsi="Times New Roman" w:cs="Times New Roman"/>
          <w:sz w:val="28"/>
          <w:szCs w:val="28"/>
        </w:rPr>
        <w:t>alue</w:t>
      </w:r>
      <w:r w:rsidR="0065572A">
        <w:rPr>
          <w:rFonts w:ascii="Times New Roman" w:hAnsi="Times New Roman" w:cs="Times New Roman"/>
          <w:sz w:val="28"/>
          <w:szCs w:val="28"/>
        </w:rPr>
        <w:t>-</w:t>
      </w:r>
      <w:r w:rsidR="00DB63CE">
        <w:rPr>
          <w:rFonts w:ascii="Times New Roman" w:hAnsi="Times New Roman" w:cs="Times New Roman"/>
          <w:sz w:val="28"/>
          <w:szCs w:val="28"/>
        </w:rPr>
        <w:t>Added Tax Act 89 of 1991</w:t>
      </w:r>
      <w:r w:rsidR="0065572A">
        <w:rPr>
          <w:rFonts w:ascii="Times New Roman" w:hAnsi="Times New Roman" w:cs="Times New Roman"/>
          <w:sz w:val="28"/>
          <w:szCs w:val="28"/>
        </w:rPr>
        <w:t xml:space="preserve"> (VAT Act)</w:t>
      </w:r>
      <w:r w:rsidR="00DB63CE">
        <w:rPr>
          <w:rFonts w:ascii="Times New Roman" w:hAnsi="Times New Roman" w:cs="Times New Roman"/>
          <w:sz w:val="28"/>
          <w:szCs w:val="28"/>
        </w:rPr>
        <w:t>,</w:t>
      </w:r>
      <w:r w:rsidR="00795379">
        <w:rPr>
          <w:rFonts w:ascii="Times New Roman" w:hAnsi="Times New Roman" w:cs="Times New Roman"/>
          <w:sz w:val="28"/>
          <w:szCs w:val="28"/>
        </w:rPr>
        <w:t xml:space="preserve"> </w:t>
      </w:r>
      <w:r w:rsidR="00D11FC7">
        <w:rPr>
          <w:rFonts w:ascii="Times New Roman" w:hAnsi="Times New Roman" w:cs="Times New Roman"/>
          <w:sz w:val="28"/>
          <w:szCs w:val="28"/>
        </w:rPr>
        <w:t xml:space="preserve">and it set aside the additional assessment for the November 2017 </w:t>
      </w:r>
      <w:r w:rsidR="0065572A">
        <w:rPr>
          <w:rFonts w:ascii="Times New Roman" w:hAnsi="Times New Roman" w:cs="Times New Roman"/>
          <w:sz w:val="28"/>
          <w:szCs w:val="28"/>
        </w:rPr>
        <w:t>VAT return</w:t>
      </w:r>
      <w:r w:rsidR="00D11FC7">
        <w:rPr>
          <w:rFonts w:ascii="Times New Roman" w:hAnsi="Times New Roman" w:cs="Times New Roman"/>
          <w:sz w:val="28"/>
          <w:szCs w:val="28"/>
        </w:rPr>
        <w:t xml:space="preserve">. </w:t>
      </w:r>
      <w:r w:rsidR="00551A61">
        <w:rPr>
          <w:rFonts w:ascii="Times New Roman" w:hAnsi="Times New Roman" w:cs="Times New Roman"/>
          <w:sz w:val="28"/>
          <w:szCs w:val="28"/>
        </w:rPr>
        <w:t>The tax court directed SARS to refund to Capitec the amount of R71 520</w:t>
      </w:r>
      <w:r w:rsidR="001D7E27">
        <w:rPr>
          <w:rFonts w:ascii="Times New Roman" w:hAnsi="Times New Roman" w:cs="Times New Roman"/>
          <w:sz w:val="28"/>
          <w:szCs w:val="28"/>
        </w:rPr>
        <w:t> </w:t>
      </w:r>
      <w:r w:rsidR="00551A61">
        <w:rPr>
          <w:rFonts w:ascii="Times New Roman" w:hAnsi="Times New Roman" w:cs="Times New Roman"/>
          <w:sz w:val="28"/>
          <w:szCs w:val="28"/>
        </w:rPr>
        <w:t>811</w:t>
      </w:r>
      <w:r w:rsidR="001D7E27">
        <w:rPr>
          <w:rFonts w:ascii="Times New Roman" w:hAnsi="Times New Roman" w:cs="Times New Roman"/>
          <w:sz w:val="28"/>
          <w:szCs w:val="28"/>
        </w:rPr>
        <w:t>.85</w:t>
      </w:r>
      <w:r w:rsidR="00551A61">
        <w:rPr>
          <w:rFonts w:ascii="Times New Roman" w:hAnsi="Times New Roman" w:cs="Times New Roman"/>
          <w:sz w:val="28"/>
          <w:szCs w:val="28"/>
        </w:rPr>
        <w:t xml:space="preserve">, together </w:t>
      </w:r>
      <w:r w:rsidR="00551A61" w:rsidRPr="00CD2873">
        <w:rPr>
          <w:rFonts w:ascii="Times New Roman" w:hAnsi="Times New Roman" w:cs="Times New Roman"/>
          <w:sz w:val="28"/>
          <w:szCs w:val="28"/>
        </w:rPr>
        <w:t>with interest at the prescribed rate from date of payment to date of refund.</w:t>
      </w:r>
      <w:r w:rsidR="0065572A" w:rsidRPr="00CD2873">
        <w:rPr>
          <w:rFonts w:ascii="Times New Roman" w:hAnsi="Times New Roman" w:cs="Times New Roman"/>
          <w:sz w:val="28"/>
          <w:szCs w:val="28"/>
        </w:rPr>
        <w:t xml:space="preserve"> </w:t>
      </w:r>
      <w:r w:rsidR="00D11FC7" w:rsidRPr="00CD2873">
        <w:rPr>
          <w:rFonts w:ascii="Times New Roman" w:hAnsi="Times New Roman" w:cs="Times New Roman"/>
          <w:sz w:val="28"/>
          <w:szCs w:val="28"/>
        </w:rPr>
        <w:t xml:space="preserve">This appeal is with the leave of the </w:t>
      </w:r>
      <w:r w:rsidR="009D1639" w:rsidRPr="00CD2873">
        <w:rPr>
          <w:rFonts w:ascii="Times New Roman" w:hAnsi="Times New Roman" w:cs="Times New Roman"/>
          <w:sz w:val="28"/>
          <w:szCs w:val="28"/>
        </w:rPr>
        <w:t xml:space="preserve">tax </w:t>
      </w:r>
      <w:r w:rsidR="00D11FC7" w:rsidRPr="00CD2873">
        <w:rPr>
          <w:rFonts w:ascii="Times New Roman" w:hAnsi="Times New Roman" w:cs="Times New Roman"/>
          <w:sz w:val="28"/>
          <w:szCs w:val="28"/>
        </w:rPr>
        <w:t>court.</w:t>
      </w:r>
      <w:r w:rsidR="00D11FC7">
        <w:rPr>
          <w:rFonts w:ascii="Times New Roman" w:hAnsi="Times New Roman" w:cs="Times New Roman"/>
          <w:sz w:val="28"/>
          <w:szCs w:val="28"/>
        </w:rPr>
        <w:t xml:space="preserve"> </w:t>
      </w:r>
    </w:p>
    <w:p w14:paraId="46AB62C4" w14:textId="53E27C20" w:rsidR="00A4486C" w:rsidRPr="00B67EF0" w:rsidRDefault="00A4486C" w:rsidP="00A4486C">
      <w:pPr>
        <w:spacing w:after="0" w:line="360" w:lineRule="auto"/>
        <w:jc w:val="both"/>
        <w:rPr>
          <w:rFonts w:ascii="Times New Roman" w:hAnsi="Times New Roman" w:cs="Times New Roman"/>
          <w:b/>
          <w:sz w:val="28"/>
          <w:szCs w:val="28"/>
        </w:rPr>
      </w:pPr>
    </w:p>
    <w:p w14:paraId="4D23488F" w14:textId="348E31B0" w:rsidR="00795379" w:rsidRDefault="002F11F2" w:rsidP="007953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6304F">
        <w:rPr>
          <w:rFonts w:ascii="Times New Roman" w:hAnsi="Times New Roman" w:cs="Times New Roman"/>
          <w:sz w:val="28"/>
          <w:szCs w:val="28"/>
        </w:rPr>
        <w:t>Capitec is a registered bank which conducts business as a retail bank focussing on provi</w:t>
      </w:r>
      <w:r w:rsidR="001279B1">
        <w:rPr>
          <w:rFonts w:ascii="Times New Roman" w:hAnsi="Times New Roman" w:cs="Times New Roman"/>
          <w:sz w:val="28"/>
          <w:szCs w:val="28"/>
        </w:rPr>
        <w:t>ding essential banking services</w:t>
      </w:r>
      <w:r w:rsidR="00A6304F">
        <w:rPr>
          <w:rFonts w:ascii="Times New Roman" w:hAnsi="Times New Roman" w:cs="Times New Roman"/>
          <w:sz w:val="28"/>
          <w:szCs w:val="28"/>
        </w:rPr>
        <w:t xml:space="preserve">, such as transactional banking (including savings and credit card facilities) and unsecured lending to its </w:t>
      </w:r>
      <w:r w:rsidR="000A087B" w:rsidRPr="00CD2873">
        <w:rPr>
          <w:rFonts w:ascii="Times New Roman" w:hAnsi="Times New Roman" w:cs="Times New Roman"/>
          <w:sz w:val="28"/>
          <w:szCs w:val="28"/>
        </w:rPr>
        <w:t>customers</w:t>
      </w:r>
      <w:r w:rsidR="00A6304F" w:rsidRPr="00CD2873">
        <w:rPr>
          <w:rFonts w:ascii="Times New Roman" w:hAnsi="Times New Roman" w:cs="Times New Roman"/>
          <w:sz w:val="28"/>
          <w:szCs w:val="28"/>
        </w:rPr>
        <w:t>. The input tax deduction that Capitec claimed relates to its unsecured lending business</w:t>
      </w:r>
      <w:r w:rsidR="000E6D92" w:rsidRPr="00CD2873">
        <w:rPr>
          <w:rFonts w:ascii="Times New Roman" w:hAnsi="Times New Roman" w:cs="Times New Roman"/>
          <w:sz w:val="28"/>
          <w:szCs w:val="28"/>
        </w:rPr>
        <w:t>, in terms of which</w:t>
      </w:r>
      <w:r w:rsidR="00A6304F" w:rsidRPr="00CD2873">
        <w:rPr>
          <w:rFonts w:ascii="Times New Roman" w:hAnsi="Times New Roman" w:cs="Times New Roman"/>
          <w:sz w:val="28"/>
          <w:szCs w:val="28"/>
        </w:rPr>
        <w:t xml:space="preserve"> Capitec advances credit in the form</w:t>
      </w:r>
      <w:r w:rsidR="00175827" w:rsidRPr="00CD2873">
        <w:rPr>
          <w:rFonts w:ascii="Times New Roman" w:hAnsi="Times New Roman" w:cs="Times New Roman"/>
          <w:sz w:val="28"/>
          <w:szCs w:val="28"/>
        </w:rPr>
        <w:t xml:space="preserve"> of personal loans to customers </w:t>
      </w:r>
      <w:r w:rsidR="00A6304F" w:rsidRPr="00CD2873">
        <w:rPr>
          <w:rFonts w:ascii="Times New Roman" w:hAnsi="Times New Roman" w:cs="Times New Roman"/>
          <w:sz w:val="28"/>
          <w:szCs w:val="28"/>
        </w:rPr>
        <w:t xml:space="preserve">under </w:t>
      </w:r>
      <w:r w:rsidR="00B91EB2" w:rsidRPr="00CD2873">
        <w:rPr>
          <w:rFonts w:ascii="Times New Roman" w:hAnsi="Times New Roman" w:cs="Times New Roman"/>
          <w:sz w:val="28"/>
          <w:szCs w:val="28"/>
        </w:rPr>
        <w:t>t</w:t>
      </w:r>
      <w:r w:rsidR="00A6304F" w:rsidRPr="00CD2873">
        <w:rPr>
          <w:rFonts w:ascii="Times New Roman" w:hAnsi="Times New Roman" w:cs="Times New Roman"/>
          <w:sz w:val="28"/>
          <w:szCs w:val="28"/>
        </w:rPr>
        <w:t xml:space="preserve">erm </w:t>
      </w:r>
      <w:r w:rsidR="00B91EB2" w:rsidRPr="00CD2873">
        <w:rPr>
          <w:rFonts w:ascii="Times New Roman" w:hAnsi="Times New Roman" w:cs="Times New Roman"/>
          <w:sz w:val="28"/>
          <w:szCs w:val="28"/>
        </w:rPr>
        <w:t>l</w:t>
      </w:r>
      <w:r w:rsidR="00A6304F" w:rsidRPr="00CD2873">
        <w:rPr>
          <w:rFonts w:ascii="Times New Roman" w:hAnsi="Times New Roman" w:cs="Times New Roman"/>
          <w:sz w:val="28"/>
          <w:szCs w:val="28"/>
        </w:rPr>
        <w:t xml:space="preserve">oan </w:t>
      </w:r>
      <w:r w:rsidR="00B91EB2" w:rsidRPr="00CD2873">
        <w:rPr>
          <w:rFonts w:ascii="Times New Roman" w:hAnsi="Times New Roman" w:cs="Times New Roman"/>
          <w:sz w:val="28"/>
          <w:szCs w:val="28"/>
        </w:rPr>
        <w:t>c</w:t>
      </w:r>
      <w:r w:rsidR="00A6304F" w:rsidRPr="00CD2873">
        <w:rPr>
          <w:rFonts w:ascii="Times New Roman" w:hAnsi="Times New Roman" w:cs="Times New Roman"/>
          <w:sz w:val="28"/>
          <w:szCs w:val="28"/>
        </w:rPr>
        <w:t>ontracts.</w:t>
      </w:r>
      <w:r w:rsidR="00175827" w:rsidRPr="00CD2873">
        <w:rPr>
          <w:rFonts w:ascii="Times New Roman" w:hAnsi="Times New Roman" w:cs="Times New Roman"/>
          <w:sz w:val="28"/>
          <w:szCs w:val="28"/>
        </w:rPr>
        <w:t xml:space="preserve"> In terms of clause 13 of </w:t>
      </w:r>
      <w:r w:rsidR="00C74818" w:rsidRPr="00CD2873">
        <w:rPr>
          <w:rFonts w:ascii="Times New Roman" w:hAnsi="Times New Roman" w:cs="Times New Roman"/>
          <w:sz w:val="28"/>
          <w:szCs w:val="28"/>
        </w:rPr>
        <w:t xml:space="preserve">a standard </w:t>
      </w:r>
      <w:r w:rsidR="00B91EB2" w:rsidRPr="00CD2873">
        <w:rPr>
          <w:rFonts w:ascii="Times New Roman" w:hAnsi="Times New Roman" w:cs="Times New Roman"/>
          <w:sz w:val="28"/>
          <w:szCs w:val="28"/>
        </w:rPr>
        <w:t>l</w:t>
      </w:r>
      <w:r w:rsidR="00A6304F" w:rsidRPr="00CD2873">
        <w:rPr>
          <w:rFonts w:ascii="Times New Roman" w:hAnsi="Times New Roman" w:cs="Times New Roman"/>
          <w:sz w:val="28"/>
          <w:szCs w:val="28"/>
        </w:rPr>
        <w:t xml:space="preserve">oan </w:t>
      </w:r>
      <w:r w:rsidR="00B91EB2" w:rsidRPr="00CD2873">
        <w:rPr>
          <w:rFonts w:ascii="Times New Roman" w:hAnsi="Times New Roman" w:cs="Times New Roman"/>
          <w:sz w:val="28"/>
          <w:szCs w:val="28"/>
        </w:rPr>
        <w:t>c</w:t>
      </w:r>
      <w:r w:rsidR="00A6304F" w:rsidRPr="00CD2873">
        <w:rPr>
          <w:rFonts w:ascii="Times New Roman" w:hAnsi="Times New Roman" w:cs="Times New Roman"/>
          <w:sz w:val="28"/>
          <w:szCs w:val="28"/>
        </w:rPr>
        <w:t>ontract entered into between Capitec and</w:t>
      </w:r>
      <w:r w:rsidR="00A6304F" w:rsidRPr="00B67EF0">
        <w:rPr>
          <w:rFonts w:ascii="Times New Roman" w:hAnsi="Times New Roman" w:cs="Times New Roman"/>
          <w:sz w:val="28"/>
          <w:szCs w:val="28"/>
        </w:rPr>
        <w:t xml:space="preserve"> its customers</w:t>
      </w:r>
      <w:r w:rsidR="00175827">
        <w:rPr>
          <w:rFonts w:ascii="Times New Roman" w:hAnsi="Times New Roman" w:cs="Times New Roman"/>
          <w:sz w:val="28"/>
          <w:szCs w:val="28"/>
        </w:rPr>
        <w:t xml:space="preserve">, </w:t>
      </w:r>
      <w:r w:rsidR="001F0BED">
        <w:rPr>
          <w:rFonts w:ascii="Times New Roman" w:hAnsi="Times New Roman" w:cs="Times New Roman"/>
          <w:sz w:val="28"/>
          <w:szCs w:val="28"/>
        </w:rPr>
        <w:t>Capitec provided its</w:t>
      </w:r>
      <w:r w:rsidR="00551A61">
        <w:rPr>
          <w:rFonts w:ascii="Times New Roman" w:hAnsi="Times New Roman" w:cs="Times New Roman"/>
          <w:sz w:val="28"/>
          <w:szCs w:val="28"/>
        </w:rPr>
        <w:t xml:space="preserve"> customers with loan cover, the proceeds </w:t>
      </w:r>
      <w:r w:rsidR="00175827">
        <w:rPr>
          <w:rFonts w:ascii="Times New Roman" w:hAnsi="Times New Roman" w:cs="Times New Roman"/>
          <w:sz w:val="28"/>
          <w:szCs w:val="28"/>
        </w:rPr>
        <w:t xml:space="preserve">of which </w:t>
      </w:r>
      <w:r w:rsidR="0008699F">
        <w:rPr>
          <w:rFonts w:ascii="Times New Roman" w:hAnsi="Times New Roman" w:cs="Times New Roman"/>
          <w:sz w:val="28"/>
          <w:szCs w:val="28"/>
        </w:rPr>
        <w:t>were</w:t>
      </w:r>
      <w:r w:rsidR="00175827">
        <w:rPr>
          <w:rFonts w:ascii="Times New Roman" w:hAnsi="Times New Roman" w:cs="Times New Roman"/>
          <w:sz w:val="28"/>
          <w:szCs w:val="28"/>
        </w:rPr>
        <w:t xml:space="preserve"> applied</w:t>
      </w:r>
      <w:r w:rsidR="00551A61">
        <w:rPr>
          <w:rFonts w:ascii="Times New Roman" w:hAnsi="Times New Roman" w:cs="Times New Roman"/>
          <w:sz w:val="28"/>
          <w:szCs w:val="28"/>
        </w:rPr>
        <w:t xml:space="preserve"> to settle or reduce</w:t>
      </w:r>
      <w:r w:rsidR="00551A61" w:rsidRPr="00B67EF0">
        <w:rPr>
          <w:rFonts w:ascii="Times New Roman" w:hAnsi="Times New Roman" w:cs="Times New Roman"/>
          <w:sz w:val="28"/>
          <w:szCs w:val="28"/>
        </w:rPr>
        <w:t xml:space="preserve"> the</w:t>
      </w:r>
      <w:r w:rsidR="00175827">
        <w:rPr>
          <w:rFonts w:ascii="Times New Roman" w:hAnsi="Times New Roman" w:cs="Times New Roman"/>
          <w:sz w:val="28"/>
          <w:szCs w:val="28"/>
        </w:rPr>
        <w:t xml:space="preserve"> outstanding loan amount due to Capitec in the event of the </w:t>
      </w:r>
      <w:r w:rsidR="000E6D92">
        <w:rPr>
          <w:rFonts w:ascii="Times New Roman" w:hAnsi="Times New Roman" w:cs="Times New Roman"/>
          <w:sz w:val="28"/>
          <w:szCs w:val="28"/>
        </w:rPr>
        <w:t xml:space="preserve">customer’s </w:t>
      </w:r>
      <w:r w:rsidR="00521EAD">
        <w:rPr>
          <w:rFonts w:ascii="Times New Roman" w:hAnsi="Times New Roman" w:cs="Times New Roman"/>
          <w:sz w:val="28"/>
          <w:szCs w:val="28"/>
        </w:rPr>
        <w:t>death or retrenchment</w:t>
      </w:r>
      <w:r w:rsidR="00551A61">
        <w:rPr>
          <w:rFonts w:ascii="Times New Roman" w:hAnsi="Times New Roman" w:cs="Times New Roman"/>
          <w:sz w:val="28"/>
          <w:szCs w:val="28"/>
        </w:rPr>
        <w:t xml:space="preserve">. </w:t>
      </w:r>
      <w:r w:rsidR="00551A61" w:rsidRPr="00B67EF0">
        <w:rPr>
          <w:rFonts w:ascii="Times New Roman" w:hAnsi="Times New Roman" w:cs="Times New Roman"/>
          <w:sz w:val="28"/>
          <w:szCs w:val="28"/>
        </w:rPr>
        <w:t xml:space="preserve"> </w:t>
      </w:r>
    </w:p>
    <w:p w14:paraId="1E05CEFB" w14:textId="77777777" w:rsidR="00795379" w:rsidRDefault="00795379" w:rsidP="00795379">
      <w:pPr>
        <w:spacing w:after="0" w:line="360" w:lineRule="auto"/>
        <w:jc w:val="both"/>
        <w:rPr>
          <w:rFonts w:ascii="Times New Roman" w:hAnsi="Times New Roman" w:cs="Times New Roman"/>
          <w:sz w:val="28"/>
          <w:szCs w:val="28"/>
        </w:rPr>
      </w:pPr>
    </w:p>
    <w:p w14:paraId="710F948D" w14:textId="20E79B8C" w:rsidR="00551A61" w:rsidRDefault="001F0BED" w:rsidP="00A630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F11F2">
        <w:rPr>
          <w:rFonts w:ascii="Times New Roman" w:hAnsi="Times New Roman" w:cs="Times New Roman"/>
          <w:sz w:val="28"/>
          <w:szCs w:val="28"/>
        </w:rPr>
        <w:t>]</w:t>
      </w:r>
      <w:r w:rsidR="002F11F2">
        <w:rPr>
          <w:rFonts w:ascii="Times New Roman" w:hAnsi="Times New Roman" w:cs="Times New Roman"/>
          <w:sz w:val="28"/>
          <w:szCs w:val="28"/>
        </w:rPr>
        <w:tab/>
      </w:r>
      <w:r w:rsidR="00A6304F" w:rsidRPr="00CD2873">
        <w:rPr>
          <w:rFonts w:ascii="Times New Roman" w:hAnsi="Times New Roman" w:cs="Times New Roman"/>
          <w:sz w:val="28"/>
          <w:szCs w:val="28"/>
        </w:rPr>
        <w:t xml:space="preserve">The loan cover was underwritten by </w:t>
      </w:r>
      <w:r w:rsidR="00F2166D" w:rsidRPr="00CD2873">
        <w:rPr>
          <w:rFonts w:ascii="Times New Roman" w:hAnsi="Times New Roman" w:cs="Times New Roman"/>
          <w:sz w:val="28"/>
          <w:szCs w:val="28"/>
        </w:rPr>
        <w:t>Guardrisk Life Limited</w:t>
      </w:r>
      <w:r w:rsidR="00142E40" w:rsidRPr="00CD2873">
        <w:rPr>
          <w:rFonts w:ascii="Times New Roman" w:hAnsi="Times New Roman" w:cs="Times New Roman"/>
          <w:sz w:val="28"/>
          <w:szCs w:val="28"/>
        </w:rPr>
        <w:t xml:space="preserve"> (Guardrisk)</w:t>
      </w:r>
      <w:r w:rsidR="00A6304F" w:rsidRPr="00CD2873">
        <w:rPr>
          <w:rFonts w:ascii="Times New Roman" w:hAnsi="Times New Roman" w:cs="Times New Roman"/>
          <w:sz w:val="28"/>
          <w:szCs w:val="28"/>
        </w:rPr>
        <w:t xml:space="preserve">, commencing on 1 May 2015, to whom Capitec paid premiums. </w:t>
      </w:r>
      <w:r w:rsidR="00F2166D" w:rsidRPr="00CD2873">
        <w:rPr>
          <w:rFonts w:ascii="Times New Roman" w:hAnsi="Times New Roman" w:cs="Times New Roman"/>
          <w:sz w:val="28"/>
          <w:szCs w:val="28"/>
        </w:rPr>
        <w:t xml:space="preserve">Before that, the loan cover was underwritten by Channel Life Insurance </w:t>
      </w:r>
      <w:r w:rsidR="00C7383C" w:rsidRPr="00CD2873">
        <w:rPr>
          <w:rFonts w:ascii="Times New Roman" w:hAnsi="Times New Roman" w:cs="Times New Roman"/>
          <w:sz w:val="28"/>
          <w:szCs w:val="28"/>
        </w:rPr>
        <w:t>Limited</w:t>
      </w:r>
      <w:r w:rsidR="00F2166D" w:rsidRPr="00CD2873">
        <w:rPr>
          <w:rFonts w:ascii="Times New Roman" w:hAnsi="Times New Roman" w:cs="Times New Roman"/>
          <w:sz w:val="28"/>
          <w:szCs w:val="28"/>
        </w:rPr>
        <w:t xml:space="preserve"> (Channel). </w:t>
      </w:r>
      <w:r w:rsidR="00521EAD" w:rsidRPr="00CD2873">
        <w:rPr>
          <w:rFonts w:ascii="Times New Roman" w:hAnsi="Times New Roman" w:cs="Times New Roman"/>
          <w:sz w:val="28"/>
          <w:szCs w:val="28"/>
        </w:rPr>
        <w:t xml:space="preserve">Under the </w:t>
      </w:r>
      <w:r w:rsidR="001E3C41" w:rsidRPr="00CD2873">
        <w:rPr>
          <w:rFonts w:ascii="Times New Roman" w:hAnsi="Times New Roman" w:cs="Times New Roman"/>
          <w:sz w:val="28"/>
          <w:szCs w:val="28"/>
        </w:rPr>
        <w:t xml:space="preserve">insurance </w:t>
      </w:r>
      <w:r w:rsidR="00521EAD" w:rsidRPr="00CD2873">
        <w:rPr>
          <w:rFonts w:ascii="Times New Roman" w:hAnsi="Times New Roman" w:cs="Times New Roman"/>
          <w:sz w:val="28"/>
          <w:szCs w:val="28"/>
        </w:rPr>
        <w:t>policies</w:t>
      </w:r>
      <w:r w:rsidR="0008699F" w:rsidRPr="00CD2873">
        <w:rPr>
          <w:rFonts w:ascii="Times New Roman" w:hAnsi="Times New Roman" w:cs="Times New Roman"/>
          <w:sz w:val="28"/>
          <w:szCs w:val="28"/>
        </w:rPr>
        <w:t>,</w:t>
      </w:r>
      <w:r w:rsidR="00521EAD" w:rsidRPr="00CD2873">
        <w:rPr>
          <w:rFonts w:ascii="Times New Roman" w:hAnsi="Times New Roman" w:cs="Times New Roman"/>
          <w:sz w:val="28"/>
          <w:szCs w:val="28"/>
        </w:rPr>
        <w:t xml:space="preserve"> Capitec is the insured and becomes entitled to the benefits</w:t>
      </w:r>
      <w:r w:rsidR="0008699F" w:rsidRPr="00CD2873">
        <w:rPr>
          <w:rFonts w:ascii="Times New Roman" w:hAnsi="Times New Roman" w:cs="Times New Roman"/>
          <w:sz w:val="28"/>
          <w:szCs w:val="28"/>
        </w:rPr>
        <w:t xml:space="preserve">, </w:t>
      </w:r>
      <w:r w:rsidR="00EE51E8" w:rsidRPr="00CD2873">
        <w:rPr>
          <w:rFonts w:ascii="Times New Roman" w:hAnsi="Times New Roman" w:cs="Times New Roman"/>
          <w:sz w:val="28"/>
          <w:szCs w:val="28"/>
        </w:rPr>
        <w:t xml:space="preserve">if </w:t>
      </w:r>
      <w:r w:rsidR="00551A61" w:rsidRPr="00CD2873">
        <w:rPr>
          <w:rFonts w:ascii="Times New Roman" w:hAnsi="Times New Roman" w:cs="Times New Roman"/>
          <w:sz w:val="28"/>
          <w:szCs w:val="28"/>
        </w:rPr>
        <w:t xml:space="preserve">the loan </w:t>
      </w:r>
      <w:r w:rsidR="00EE51E8" w:rsidRPr="00CD2873">
        <w:rPr>
          <w:rFonts w:ascii="Times New Roman" w:hAnsi="Times New Roman" w:cs="Times New Roman"/>
          <w:sz w:val="28"/>
          <w:szCs w:val="28"/>
        </w:rPr>
        <w:t>is not</w:t>
      </w:r>
      <w:r w:rsidR="00A6304F" w:rsidRPr="00CD2873">
        <w:rPr>
          <w:rFonts w:ascii="Times New Roman" w:hAnsi="Times New Roman" w:cs="Times New Roman"/>
          <w:sz w:val="28"/>
          <w:szCs w:val="28"/>
        </w:rPr>
        <w:t xml:space="preserve"> repaid on account of the death or retrenchment of the borrower</w:t>
      </w:r>
      <w:r w:rsidR="0008699F" w:rsidRPr="00CD2873">
        <w:rPr>
          <w:rFonts w:ascii="Times New Roman" w:hAnsi="Times New Roman" w:cs="Times New Roman"/>
          <w:sz w:val="28"/>
          <w:szCs w:val="28"/>
        </w:rPr>
        <w:t>. In essence</w:t>
      </w:r>
      <w:r w:rsidR="00A6304F" w:rsidRPr="00CD2873">
        <w:rPr>
          <w:rFonts w:ascii="Times New Roman" w:hAnsi="Times New Roman" w:cs="Times New Roman"/>
          <w:sz w:val="28"/>
          <w:szCs w:val="28"/>
        </w:rPr>
        <w:t xml:space="preserve">, </w:t>
      </w:r>
      <w:r w:rsidR="0067463B" w:rsidRPr="00CD2873">
        <w:rPr>
          <w:rFonts w:ascii="Times New Roman" w:hAnsi="Times New Roman" w:cs="Times New Roman"/>
          <w:sz w:val="28"/>
          <w:szCs w:val="28"/>
        </w:rPr>
        <w:t xml:space="preserve">the </w:t>
      </w:r>
      <w:r w:rsidR="0008699F" w:rsidRPr="00CD2873">
        <w:rPr>
          <w:rFonts w:ascii="Times New Roman" w:hAnsi="Times New Roman" w:cs="Times New Roman"/>
          <w:sz w:val="28"/>
          <w:szCs w:val="28"/>
        </w:rPr>
        <w:t xml:space="preserve">loan cover was </w:t>
      </w:r>
      <w:r w:rsidR="0067463B" w:rsidRPr="00CD2873">
        <w:rPr>
          <w:rFonts w:ascii="Times New Roman" w:hAnsi="Times New Roman" w:cs="Times New Roman"/>
          <w:sz w:val="28"/>
          <w:szCs w:val="28"/>
        </w:rPr>
        <w:t xml:space="preserve">insurance taken out by Capitec, </w:t>
      </w:r>
      <w:r w:rsidR="0008699F" w:rsidRPr="00CD2873">
        <w:rPr>
          <w:rFonts w:ascii="Times New Roman" w:hAnsi="Times New Roman" w:cs="Times New Roman"/>
          <w:sz w:val="28"/>
          <w:szCs w:val="28"/>
        </w:rPr>
        <w:t xml:space="preserve">which </w:t>
      </w:r>
      <w:r w:rsidR="0067463B" w:rsidRPr="00CD2873">
        <w:rPr>
          <w:rFonts w:ascii="Times New Roman" w:hAnsi="Times New Roman" w:cs="Times New Roman"/>
          <w:sz w:val="28"/>
          <w:szCs w:val="28"/>
        </w:rPr>
        <w:t xml:space="preserve">covered </w:t>
      </w:r>
      <w:r w:rsidR="00795379" w:rsidRPr="00CD2873">
        <w:rPr>
          <w:rFonts w:ascii="Times New Roman" w:hAnsi="Times New Roman" w:cs="Times New Roman"/>
          <w:sz w:val="28"/>
          <w:szCs w:val="28"/>
        </w:rPr>
        <w:t xml:space="preserve">it against </w:t>
      </w:r>
      <w:r w:rsidR="00EE51E8" w:rsidRPr="00CD2873">
        <w:rPr>
          <w:rFonts w:ascii="Times New Roman" w:hAnsi="Times New Roman" w:cs="Times New Roman"/>
          <w:sz w:val="28"/>
          <w:szCs w:val="28"/>
        </w:rPr>
        <w:t xml:space="preserve">the risk of </w:t>
      </w:r>
      <w:r w:rsidR="00795379" w:rsidRPr="00CD2873">
        <w:rPr>
          <w:rFonts w:ascii="Times New Roman" w:hAnsi="Times New Roman" w:cs="Times New Roman"/>
          <w:sz w:val="28"/>
          <w:szCs w:val="28"/>
        </w:rPr>
        <w:t>outstanding amounts owing under the unsecured loans becom</w:t>
      </w:r>
      <w:r w:rsidR="00F2166D" w:rsidRPr="00CD2873">
        <w:rPr>
          <w:rFonts w:ascii="Times New Roman" w:hAnsi="Times New Roman" w:cs="Times New Roman"/>
          <w:sz w:val="28"/>
          <w:szCs w:val="28"/>
        </w:rPr>
        <w:t>ing</w:t>
      </w:r>
      <w:r w:rsidR="00795379" w:rsidRPr="00CD2873">
        <w:rPr>
          <w:rFonts w:ascii="Times New Roman" w:hAnsi="Times New Roman" w:cs="Times New Roman"/>
          <w:sz w:val="28"/>
          <w:szCs w:val="28"/>
        </w:rPr>
        <w:t xml:space="preserve"> irre</w:t>
      </w:r>
      <w:r w:rsidR="0008699F" w:rsidRPr="00CD2873">
        <w:rPr>
          <w:rFonts w:ascii="Times New Roman" w:hAnsi="Times New Roman" w:cs="Times New Roman"/>
          <w:sz w:val="28"/>
          <w:szCs w:val="28"/>
        </w:rPr>
        <w:t>coverable</w:t>
      </w:r>
      <w:r w:rsidR="00795379" w:rsidRPr="00CD2873">
        <w:rPr>
          <w:rFonts w:ascii="Times New Roman" w:hAnsi="Times New Roman" w:cs="Times New Roman"/>
          <w:sz w:val="28"/>
          <w:szCs w:val="28"/>
        </w:rPr>
        <w:t xml:space="preserve"> upon the borrower’s death or retrenchment. </w:t>
      </w:r>
      <w:r w:rsidR="00E56877" w:rsidRPr="00CD2873">
        <w:rPr>
          <w:rFonts w:ascii="Times New Roman" w:hAnsi="Times New Roman" w:cs="Times New Roman"/>
          <w:sz w:val="28"/>
          <w:szCs w:val="28"/>
        </w:rPr>
        <w:t>Thus, Capitec insured itself against the unpaid amount, resulting in the loan being paid in full and Capitec not suffering a loss of credit</w:t>
      </w:r>
      <w:r w:rsidR="00E56877">
        <w:rPr>
          <w:rFonts w:ascii="Times New Roman" w:hAnsi="Times New Roman" w:cs="Times New Roman"/>
          <w:sz w:val="28"/>
          <w:szCs w:val="28"/>
        </w:rPr>
        <w:t xml:space="preserve">. </w:t>
      </w:r>
    </w:p>
    <w:p w14:paraId="157B0521" w14:textId="77777777" w:rsidR="00551A61" w:rsidRDefault="00551A61" w:rsidP="00A6304F">
      <w:pPr>
        <w:spacing w:after="0" w:line="360" w:lineRule="auto"/>
        <w:jc w:val="both"/>
        <w:rPr>
          <w:rFonts w:ascii="Times New Roman" w:hAnsi="Times New Roman" w:cs="Times New Roman"/>
          <w:sz w:val="28"/>
          <w:szCs w:val="28"/>
        </w:rPr>
      </w:pPr>
    </w:p>
    <w:p w14:paraId="05966874" w14:textId="2B3C8191" w:rsidR="00A6304F" w:rsidRDefault="002F11F2" w:rsidP="009922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A6304F" w:rsidRPr="00B67EF0">
        <w:rPr>
          <w:rFonts w:ascii="Times New Roman" w:hAnsi="Times New Roman" w:cs="Times New Roman"/>
          <w:sz w:val="28"/>
          <w:szCs w:val="28"/>
        </w:rPr>
        <w:t xml:space="preserve">During the VAT period from November 2014-2015, Capitec received payouts and made corresponding payments </w:t>
      </w:r>
      <w:r w:rsidR="00525F4E">
        <w:rPr>
          <w:rFonts w:ascii="Times New Roman" w:hAnsi="Times New Roman" w:cs="Times New Roman"/>
          <w:sz w:val="28"/>
          <w:szCs w:val="28"/>
        </w:rPr>
        <w:t xml:space="preserve">in respect of the loan cover </w:t>
      </w:r>
      <w:r w:rsidR="00E807EF">
        <w:rPr>
          <w:rFonts w:ascii="Times New Roman" w:hAnsi="Times New Roman" w:cs="Times New Roman"/>
          <w:sz w:val="28"/>
          <w:szCs w:val="28"/>
        </w:rPr>
        <w:t xml:space="preserve">in the </w:t>
      </w:r>
      <w:r w:rsidR="00E807EF" w:rsidRPr="00CD2873">
        <w:rPr>
          <w:rFonts w:ascii="Times New Roman" w:hAnsi="Times New Roman" w:cs="Times New Roman"/>
          <w:sz w:val="28"/>
          <w:szCs w:val="28"/>
        </w:rPr>
        <w:t>amount of R582</w:t>
      </w:r>
      <w:r w:rsidR="00A6304F" w:rsidRPr="00CD2873">
        <w:rPr>
          <w:rFonts w:ascii="Times New Roman" w:hAnsi="Times New Roman" w:cs="Times New Roman"/>
          <w:sz w:val="28"/>
          <w:szCs w:val="28"/>
        </w:rPr>
        <w:t xml:space="preserve"> 383 753.66. </w:t>
      </w:r>
      <w:r w:rsidR="005C67CA" w:rsidRPr="00CD2873">
        <w:rPr>
          <w:rFonts w:ascii="Times New Roman" w:hAnsi="Times New Roman" w:cs="Times New Roman"/>
          <w:sz w:val="28"/>
          <w:szCs w:val="28"/>
        </w:rPr>
        <w:t xml:space="preserve">Capitec claimed </w:t>
      </w:r>
      <w:r w:rsidR="0090777A" w:rsidRPr="00CD2873">
        <w:rPr>
          <w:rFonts w:ascii="Times New Roman" w:hAnsi="Times New Roman" w:cs="Times New Roman"/>
          <w:sz w:val="28"/>
          <w:szCs w:val="28"/>
        </w:rPr>
        <w:t xml:space="preserve">R71 520 811.85 </w:t>
      </w:r>
      <w:r w:rsidR="0067463B" w:rsidRPr="00CD2873">
        <w:rPr>
          <w:rFonts w:ascii="Times New Roman" w:hAnsi="Times New Roman" w:cs="Times New Roman"/>
          <w:sz w:val="28"/>
          <w:szCs w:val="28"/>
        </w:rPr>
        <w:t>as a deduction</w:t>
      </w:r>
      <w:r w:rsidR="0090777A" w:rsidRPr="00CD2873">
        <w:rPr>
          <w:rFonts w:ascii="Times New Roman" w:hAnsi="Times New Roman" w:cs="Times New Roman"/>
          <w:sz w:val="28"/>
          <w:szCs w:val="28"/>
        </w:rPr>
        <w:t>,</w:t>
      </w:r>
      <w:r w:rsidR="009922BE" w:rsidRPr="00CD2873">
        <w:rPr>
          <w:rFonts w:ascii="Times New Roman" w:hAnsi="Times New Roman" w:cs="Times New Roman"/>
          <w:sz w:val="28"/>
          <w:szCs w:val="28"/>
        </w:rPr>
        <w:t xml:space="preserve"> </w:t>
      </w:r>
      <w:r w:rsidR="0090777A" w:rsidRPr="00CD2873">
        <w:rPr>
          <w:rFonts w:ascii="Times New Roman" w:hAnsi="Times New Roman" w:cs="Times New Roman"/>
          <w:sz w:val="28"/>
          <w:szCs w:val="28"/>
        </w:rPr>
        <w:t xml:space="preserve">which </w:t>
      </w:r>
      <w:r w:rsidR="009922BE" w:rsidRPr="00CD2873">
        <w:rPr>
          <w:rFonts w:ascii="Times New Roman" w:hAnsi="Times New Roman" w:cs="Times New Roman"/>
          <w:sz w:val="28"/>
          <w:szCs w:val="28"/>
        </w:rPr>
        <w:t>constituted</w:t>
      </w:r>
      <w:r w:rsidR="001D7E27" w:rsidRPr="00CD2873">
        <w:rPr>
          <w:rFonts w:ascii="Times New Roman" w:hAnsi="Times New Roman" w:cs="Times New Roman"/>
          <w:sz w:val="28"/>
          <w:szCs w:val="28"/>
        </w:rPr>
        <w:t xml:space="preserve"> the</w:t>
      </w:r>
      <w:r w:rsidR="009922BE" w:rsidRPr="00CD2873">
        <w:rPr>
          <w:rFonts w:ascii="Times New Roman" w:hAnsi="Times New Roman" w:cs="Times New Roman"/>
          <w:sz w:val="28"/>
          <w:szCs w:val="28"/>
        </w:rPr>
        <w:t xml:space="preserve"> tax fraction of the total insurance </w:t>
      </w:r>
      <w:r w:rsidR="00525F4E" w:rsidRPr="00CD2873">
        <w:rPr>
          <w:rFonts w:ascii="Times New Roman" w:hAnsi="Times New Roman" w:cs="Times New Roman"/>
          <w:sz w:val="28"/>
          <w:szCs w:val="28"/>
        </w:rPr>
        <w:t>payout</w:t>
      </w:r>
      <w:r w:rsidR="009922BE" w:rsidRPr="00CD2873">
        <w:rPr>
          <w:rFonts w:ascii="Times New Roman" w:hAnsi="Times New Roman" w:cs="Times New Roman"/>
          <w:sz w:val="28"/>
          <w:szCs w:val="28"/>
        </w:rPr>
        <w:t xml:space="preserve">s recovered by Capitec from its insurers and which Capitec used to settle </w:t>
      </w:r>
      <w:r w:rsidR="001D7E27" w:rsidRPr="00CD2873">
        <w:rPr>
          <w:rFonts w:ascii="Times New Roman" w:hAnsi="Times New Roman" w:cs="Times New Roman"/>
          <w:sz w:val="28"/>
          <w:szCs w:val="28"/>
        </w:rPr>
        <w:t xml:space="preserve">the </w:t>
      </w:r>
      <w:r w:rsidR="009922BE" w:rsidRPr="00CD2873">
        <w:rPr>
          <w:rFonts w:ascii="Times New Roman" w:hAnsi="Times New Roman" w:cs="Times New Roman"/>
          <w:sz w:val="28"/>
          <w:szCs w:val="28"/>
        </w:rPr>
        <w:t xml:space="preserve">outstanding loans owed by its customers or their deceased estates </w:t>
      </w:r>
      <w:r w:rsidR="001D7E27" w:rsidRPr="00CD2873">
        <w:rPr>
          <w:rFonts w:ascii="Times New Roman" w:hAnsi="Times New Roman" w:cs="Times New Roman"/>
          <w:sz w:val="28"/>
          <w:szCs w:val="28"/>
        </w:rPr>
        <w:t>in the event of</w:t>
      </w:r>
      <w:r w:rsidR="009922BE" w:rsidRPr="00CD2873">
        <w:rPr>
          <w:rFonts w:ascii="Times New Roman" w:hAnsi="Times New Roman" w:cs="Times New Roman"/>
          <w:sz w:val="28"/>
          <w:szCs w:val="28"/>
        </w:rPr>
        <w:t xml:space="preserve"> their retrenchment or death.</w:t>
      </w:r>
    </w:p>
    <w:p w14:paraId="67BA45D0" w14:textId="5B2E14FC" w:rsidR="000C6526" w:rsidRPr="00795379" w:rsidRDefault="000C6526" w:rsidP="00A4486C">
      <w:pPr>
        <w:spacing w:after="0" w:line="360" w:lineRule="auto"/>
        <w:jc w:val="both"/>
        <w:rPr>
          <w:rFonts w:ascii="Times New Roman" w:hAnsi="Times New Roman" w:cs="Times New Roman"/>
          <w:b/>
          <w:sz w:val="28"/>
          <w:szCs w:val="28"/>
        </w:rPr>
      </w:pPr>
    </w:p>
    <w:p w14:paraId="1A19787D" w14:textId="223422B7" w:rsidR="00384D2B" w:rsidRDefault="002F11F2" w:rsidP="00E807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A4486C" w:rsidRPr="00B67EF0">
        <w:rPr>
          <w:rFonts w:ascii="Times New Roman" w:hAnsi="Times New Roman" w:cs="Times New Roman"/>
          <w:sz w:val="28"/>
          <w:szCs w:val="28"/>
        </w:rPr>
        <w:t xml:space="preserve">On </w:t>
      </w:r>
      <w:r w:rsidR="000C6526">
        <w:rPr>
          <w:rFonts w:ascii="Times New Roman" w:hAnsi="Times New Roman" w:cs="Times New Roman"/>
          <w:sz w:val="28"/>
          <w:szCs w:val="28"/>
        </w:rPr>
        <w:t xml:space="preserve">15 February 2018, SARS issued a </w:t>
      </w:r>
      <w:r w:rsidR="001D7E27">
        <w:rPr>
          <w:rFonts w:ascii="Times New Roman" w:hAnsi="Times New Roman" w:cs="Times New Roman"/>
          <w:sz w:val="28"/>
          <w:szCs w:val="28"/>
        </w:rPr>
        <w:t xml:space="preserve">VAT </w:t>
      </w:r>
      <w:r w:rsidR="00A4486C" w:rsidRPr="00B67EF0">
        <w:rPr>
          <w:rFonts w:ascii="Times New Roman" w:hAnsi="Times New Roman" w:cs="Times New Roman"/>
          <w:sz w:val="28"/>
          <w:szCs w:val="28"/>
        </w:rPr>
        <w:t xml:space="preserve">assessment in terms of which </w:t>
      </w:r>
      <w:r w:rsidR="000C6526">
        <w:rPr>
          <w:rFonts w:ascii="Times New Roman" w:hAnsi="Times New Roman" w:cs="Times New Roman"/>
          <w:sz w:val="28"/>
          <w:szCs w:val="28"/>
        </w:rPr>
        <w:t>it disallowed the amount of R</w:t>
      </w:r>
      <w:r w:rsidR="00384D2B">
        <w:rPr>
          <w:rFonts w:ascii="Times New Roman" w:hAnsi="Times New Roman" w:cs="Times New Roman"/>
          <w:sz w:val="28"/>
          <w:szCs w:val="28"/>
        </w:rPr>
        <w:t>71</w:t>
      </w:r>
      <w:r w:rsidR="001D7E27">
        <w:rPr>
          <w:rFonts w:ascii="Times New Roman" w:hAnsi="Times New Roman" w:cs="Times New Roman"/>
          <w:sz w:val="28"/>
          <w:szCs w:val="28"/>
        </w:rPr>
        <w:t xml:space="preserve"> </w:t>
      </w:r>
      <w:r w:rsidR="00384D2B">
        <w:rPr>
          <w:rFonts w:ascii="Times New Roman" w:hAnsi="Times New Roman" w:cs="Times New Roman"/>
          <w:sz w:val="28"/>
          <w:szCs w:val="28"/>
        </w:rPr>
        <w:t>520</w:t>
      </w:r>
      <w:r w:rsidR="001D7E27">
        <w:rPr>
          <w:rFonts w:ascii="Times New Roman" w:hAnsi="Times New Roman" w:cs="Times New Roman"/>
          <w:sz w:val="28"/>
          <w:szCs w:val="28"/>
        </w:rPr>
        <w:t> </w:t>
      </w:r>
      <w:r w:rsidR="00E807EF">
        <w:rPr>
          <w:rFonts w:ascii="Times New Roman" w:hAnsi="Times New Roman" w:cs="Times New Roman"/>
          <w:sz w:val="28"/>
          <w:szCs w:val="28"/>
        </w:rPr>
        <w:t>811</w:t>
      </w:r>
      <w:r w:rsidR="001D7E27">
        <w:rPr>
          <w:rFonts w:ascii="Times New Roman" w:hAnsi="Times New Roman" w:cs="Times New Roman"/>
          <w:sz w:val="28"/>
          <w:szCs w:val="28"/>
        </w:rPr>
        <w:t>.</w:t>
      </w:r>
      <w:r w:rsidR="00E807EF">
        <w:rPr>
          <w:rFonts w:ascii="Times New Roman" w:hAnsi="Times New Roman" w:cs="Times New Roman"/>
          <w:sz w:val="28"/>
          <w:szCs w:val="28"/>
        </w:rPr>
        <w:t xml:space="preserve">85 </w:t>
      </w:r>
      <w:r w:rsidR="00A4486C" w:rsidRPr="00B67EF0">
        <w:rPr>
          <w:rFonts w:ascii="Times New Roman" w:hAnsi="Times New Roman" w:cs="Times New Roman"/>
          <w:sz w:val="28"/>
          <w:szCs w:val="28"/>
        </w:rPr>
        <w:t xml:space="preserve">claimed by Capitec </w:t>
      </w:r>
      <w:r w:rsidR="000C6526">
        <w:rPr>
          <w:rFonts w:ascii="Times New Roman" w:hAnsi="Times New Roman" w:cs="Times New Roman"/>
          <w:sz w:val="28"/>
          <w:szCs w:val="28"/>
        </w:rPr>
        <w:t xml:space="preserve">as a </w:t>
      </w:r>
      <w:r w:rsidR="000C6526" w:rsidRPr="00B67EF0">
        <w:rPr>
          <w:rFonts w:ascii="Times New Roman" w:hAnsi="Times New Roman" w:cs="Times New Roman"/>
          <w:sz w:val="28"/>
          <w:szCs w:val="28"/>
        </w:rPr>
        <w:t>notional input tax deduction</w:t>
      </w:r>
      <w:r w:rsidR="000C6526">
        <w:rPr>
          <w:rFonts w:ascii="Times New Roman" w:hAnsi="Times New Roman" w:cs="Times New Roman"/>
          <w:sz w:val="28"/>
          <w:szCs w:val="28"/>
        </w:rPr>
        <w:t xml:space="preserve"> in </w:t>
      </w:r>
      <w:r w:rsidR="00A4486C" w:rsidRPr="00B67EF0">
        <w:rPr>
          <w:rFonts w:ascii="Times New Roman" w:hAnsi="Times New Roman" w:cs="Times New Roman"/>
          <w:sz w:val="28"/>
          <w:szCs w:val="28"/>
        </w:rPr>
        <w:t>its November 2017 VAT return, on the basis that it did not qualify for deduction in terms of s 16(3)</w:t>
      </w:r>
      <w:r w:rsidR="00A4486C" w:rsidRPr="00B67EF0">
        <w:rPr>
          <w:rFonts w:ascii="Times New Roman" w:hAnsi="Times New Roman" w:cs="Times New Roman"/>
          <w:i/>
          <w:sz w:val="28"/>
          <w:szCs w:val="28"/>
        </w:rPr>
        <w:t>(c)</w:t>
      </w:r>
      <w:r w:rsidR="00A4486C" w:rsidRPr="00B67EF0">
        <w:rPr>
          <w:rFonts w:ascii="Times New Roman" w:hAnsi="Times New Roman" w:cs="Times New Roman"/>
          <w:sz w:val="28"/>
          <w:szCs w:val="28"/>
        </w:rPr>
        <w:t xml:space="preserve"> of the VAT Act. </w:t>
      </w:r>
      <w:r w:rsidR="00BC1884">
        <w:rPr>
          <w:rFonts w:ascii="Times New Roman" w:hAnsi="Times New Roman" w:cs="Times New Roman"/>
          <w:sz w:val="28"/>
          <w:szCs w:val="28"/>
        </w:rPr>
        <w:t xml:space="preserve">Additionally, </w:t>
      </w:r>
      <w:r w:rsidR="00E807EF">
        <w:rPr>
          <w:rFonts w:ascii="Times New Roman" w:hAnsi="Times New Roman" w:cs="Times New Roman"/>
          <w:sz w:val="28"/>
          <w:szCs w:val="28"/>
        </w:rPr>
        <w:t>SARS also levied a 10% late payment penalty for the resultant understatement of Capitec’s VAT liability.</w:t>
      </w:r>
    </w:p>
    <w:p w14:paraId="2C3A8095" w14:textId="77777777" w:rsidR="00384D2B" w:rsidRDefault="00384D2B" w:rsidP="00A4486C">
      <w:pPr>
        <w:spacing w:after="0" w:line="360" w:lineRule="auto"/>
        <w:jc w:val="both"/>
        <w:rPr>
          <w:rFonts w:ascii="Times New Roman" w:hAnsi="Times New Roman" w:cs="Times New Roman"/>
          <w:sz w:val="28"/>
          <w:szCs w:val="28"/>
        </w:rPr>
      </w:pPr>
    </w:p>
    <w:p w14:paraId="5E0026BB" w14:textId="4128D407" w:rsidR="003069D1" w:rsidRPr="009416D7" w:rsidRDefault="002F11F2" w:rsidP="003069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0C6526">
        <w:rPr>
          <w:rFonts w:ascii="Times New Roman" w:hAnsi="Times New Roman" w:cs="Times New Roman"/>
          <w:sz w:val="28"/>
          <w:szCs w:val="28"/>
        </w:rPr>
        <w:t>According to SARS</w:t>
      </w:r>
      <w:r w:rsidR="0083275F">
        <w:rPr>
          <w:rFonts w:ascii="Times New Roman" w:hAnsi="Times New Roman" w:cs="Times New Roman"/>
          <w:sz w:val="28"/>
          <w:szCs w:val="28"/>
        </w:rPr>
        <w:t>,</w:t>
      </w:r>
      <w:r w:rsidR="000C6526">
        <w:rPr>
          <w:rFonts w:ascii="Times New Roman" w:hAnsi="Times New Roman" w:cs="Times New Roman"/>
          <w:sz w:val="28"/>
          <w:szCs w:val="28"/>
        </w:rPr>
        <w:t xml:space="preserve"> </w:t>
      </w:r>
      <w:r w:rsidR="00E807EF">
        <w:rPr>
          <w:rFonts w:ascii="Times New Roman" w:hAnsi="Times New Roman" w:cs="Times New Roman"/>
          <w:sz w:val="28"/>
          <w:szCs w:val="28"/>
        </w:rPr>
        <w:t>the loan cover payments did not qualify for an input tax deduction in terms of s</w:t>
      </w:r>
      <w:r>
        <w:rPr>
          <w:rFonts w:ascii="Times New Roman" w:hAnsi="Times New Roman" w:cs="Times New Roman"/>
          <w:sz w:val="28"/>
          <w:szCs w:val="28"/>
        </w:rPr>
        <w:t xml:space="preserve"> </w:t>
      </w:r>
      <w:r w:rsidR="00E807EF">
        <w:rPr>
          <w:rFonts w:ascii="Times New Roman" w:hAnsi="Times New Roman" w:cs="Times New Roman"/>
          <w:sz w:val="28"/>
          <w:szCs w:val="28"/>
        </w:rPr>
        <w:t>16(3)</w:t>
      </w:r>
      <w:r w:rsidR="00E807EF" w:rsidRPr="002F11F2">
        <w:rPr>
          <w:rFonts w:ascii="Times New Roman" w:hAnsi="Times New Roman" w:cs="Times New Roman"/>
          <w:i/>
          <w:sz w:val="28"/>
          <w:szCs w:val="28"/>
        </w:rPr>
        <w:t>(c)</w:t>
      </w:r>
      <w:r w:rsidR="00E807EF">
        <w:rPr>
          <w:rFonts w:ascii="Times New Roman" w:hAnsi="Times New Roman" w:cs="Times New Roman"/>
          <w:sz w:val="28"/>
          <w:szCs w:val="28"/>
        </w:rPr>
        <w:t xml:space="preserve"> of the VAT Act</w:t>
      </w:r>
      <w:r w:rsidR="0083275F">
        <w:rPr>
          <w:rFonts w:ascii="Times New Roman" w:hAnsi="Times New Roman" w:cs="Times New Roman"/>
          <w:sz w:val="28"/>
          <w:szCs w:val="28"/>
        </w:rPr>
        <w:t>,</w:t>
      </w:r>
      <w:r w:rsidR="00E807EF">
        <w:rPr>
          <w:rFonts w:ascii="Times New Roman" w:hAnsi="Times New Roman" w:cs="Times New Roman"/>
          <w:sz w:val="28"/>
          <w:szCs w:val="28"/>
        </w:rPr>
        <w:t xml:space="preserve"> because the supply of the loan cover did n</w:t>
      </w:r>
      <w:r w:rsidR="009922BE">
        <w:rPr>
          <w:rFonts w:ascii="Times New Roman" w:hAnsi="Times New Roman" w:cs="Times New Roman"/>
          <w:sz w:val="28"/>
          <w:szCs w:val="28"/>
        </w:rPr>
        <w:t xml:space="preserve">ot constitute a </w:t>
      </w:r>
      <w:r w:rsidR="0083275F">
        <w:rPr>
          <w:rFonts w:ascii="Times New Roman" w:hAnsi="Times New Roman" w:cs="Times New Roman"/>
          <w:sz w:val="28"/>
          <w:szCs w:val="28"/>
        </w:rPr>
        <w:t>‘</w:t>
      </w:r>
      <w:r w:rsidR="009922BE">
        <w:rPr>
          <w:rFonts w:ascii="Times New Roman" w:hAnsi="Times New Roman" w:cs="Times New Roman"/>
          <w:sz w:val="28"/>
          <w:szCs w:val="28"/>
        </w:rPr>
        <w:t>taxable supply</w:t>
      </w:r>
      <w:r w:rsidR="0083275F">
        <w:rPr>
          <w:rFonts w:ascii="Times New Roman" w:hAnsi="Times New Roman" w:cs="Times New Roman"/>
          <w:sz w:val="28"/>
          <w:szCs w:val="28"/>
        </w:rPr>
        <w:t>’</w:t>
      </w:r>
      <w:r w:rsidR="00E807EF">
        <w:rPr>
          <w:rFonts w:ascii="Times New Roman" w:hAnsi="Times New Roman" w:cs="Times New Roman"/>
          <w:sz w:val="28"/>
          <w:szCs w:val="28"/>
        </w:rPr>
        <w:t>.</w:t>
      </w:r>
      <w:r w:rsidR="001F0BED">
        <w:rPr>
          <w:rFonts w:ascii="Times New Roman" w:hAnsi="Times New Roman" w:cs="Times New Roman"/>
          <w:sz w:val="28"/>
          <w:szCs w:val="28"/>
        </w:rPr>
        <w:t xml:space="preserve"> </w:t>
      </w:r>
      <w:r w:rsidR="009922BE">
        <w:rPr>
          <w:rFonts w:ascii="Times New Roman" w:hAnsi="Times New Roman" w:cs="Times New Roman"/>
          <w:sz w:val="28"/>
          <w:szCs w:val="28"/>
        </w:rPr>
        <w:t xml:space="preserve">SARS contended that since Capitec did not charge any consideration for the loan cover, and because the loan cover was supplied in the course of Capitec’s business of providing credit </w:t>
      </w:r>
      <w:r w:rsidR="001F0BED">
        <w:rPr>
          <w:rFonts w:ascii="Times New Roman" w:hAnsi="Times New Roman" w:cs="Times New Roman"/>
          <w:sz w:val="28"/>
          <w:szCs w:val="28"/>
        </w:rPr>
        <w:t xml:space="preserve">to its customers, </w:t>
      </w:r>
      <w:r w:rsidR="009922BE">
        <w:rPr>
          <w:rFonts w:ascii="Times New Roman" w:hAnsi="Times New Roman" w:cs="Times New Roman"/>
          <w:sz w:val="28"/>
          <w:szCs w:val="28"/>
        </w:rPr>
        <w:t xml:space="preserve">it was an </w:t>
      </w:r>
      <w:r w:rsidR="001F0BED">
        <w:rPr>
          <w:rFonts w:ascii="Times New Roman" w:hAnsi="Times New Roman" w:cs="Times New Roman"/>
          <w:sz w:val="28"/>
          <w:szCs w:val="28"/>
        </w:rPr>
        <w:t>‘</w:t>
      </w:r>
      <w:r w:rsidR="009922BE">
        <w:rPr>
          <w:rFonts w:ascii="Times New Roman" w:hAnsi="Times New Roman" w:cs="Times New Roman"/>
          <w:sz w:val="28"/>
          <w:szCs w:val="28"/>
        </w:rPr>
        <w:t>ex</w:t>
      </w:r>
      <w:r w:rsidR="001F0BED">
        <w:rPr>
          <w:rFonts w:ascii="Times New Roman" w:hAnsi="Times New Roman" w:cs="Times New Roman"/>
          <w:sz w:val="28"/>
          <w:szCs w:val="28"/>
        </w:rPr>
        <w:t>empt supply’</w:t>
      </w:r>
      <w:r w:rsidR="009922BE">
        <w:rPr>
          <w:rFonts w:ascii="Times New Roman" w:hAnsi="Times New Roman" w:cs="Times New Roman"/>
          <w:sz w:val="28"/>
          <w:szCs w:val="28"/>
        </w:rPr>
        <w:t xml:space="preserve">. </w:t>
      </w:r>
      <w:r w:rsidR="00365FF3">
        <w:rPr>
          <w:rFonts w:ascii="Times New Roman" w:hAnsi="Times New Roman" w:cs="Times New Roman"/>
          <w:sz w:val="28"/>
          <w:szCs w:val="28"/>
        </w:rPr>
        <w:t>In con</w:t>
      </w:r>
      <w:r w:rsidR="003D277C">
        <w:rPr>
          <w:rFonts w:ascii="Times New Roman" w:hAnsi="Times New Roman" w:cs="Times New Roman"/>
          <w:sz w:val="28"/>
          <w:szCs w:val="28"/>
        </w:rPr>
        <w:t>trast, Capitec contended</w:t>
      </w:r>
      <w:r w:rsidR="00365FF3">
        <w:rPr>
          <w:rFonts w:ascii="Times New Roman" w:hAnsi="Times New Roman" w:cs="Times New Roman"/>
          <w:sz w:val="28"/>
          <w:szCs w:val="28"/>
        </w:rPr>
        <w:t xml:space="preserve"> that since the borrower had to pay interest and fees, consideration was provided for the loan </w:t>
      </w:r>
      <w:r w:rsidR="00365FF3" w:rsidRPr="00CD2873">
        <w:rPr>
          <w:rFonts w:ascii="Times New Roman" w:hAnsi="Times New Roman" w:cs="Times New Roman"/>
          <w:sz w:val="28"/>
          <w:szCs w:val="28"/>
        </w:rPr>
        <w:t xml:space="preserve">cover, and alternatively </w:t>
      </w:r>
      <w:r w:rsidR="009239FE" w:rsidRPr="00CD2873">
        <w:rPr>
          <w:rFonts w:ascii="Times New Roman" w:hAnsi="Times New Roman" w:cs="Times New Roman"/>
          <w:sz w:val="28"/>
          <w:szCs w:val="28"/>
        </w:rPr>
        <w:t xml:space="preserve">that, </w:t>
      </w:r>
      <w:r w:rsidR="00365FF3" w:rsidRPr="00CD2873">
        <w:rPr>
          <w:rFonts w:ascii="Times New Roman" w:hAnsi="Times New Roman" w:cs="Times New Roman"/>
          <w:sz w:val="28"/>
          <w:szCs w:val="28"/>
        </w:rPr>
        <w:t xml:space="preserve">even if the loan </w:t>
      </w:r>
      <w:r w:rsidR="0083275F" w:rsidRPr="00CD2873">
        <w:rPr>
          <w:rFonts w:ascii="Times New Roman" w:hAnsi="Times New Roman" w:cs="Times New Roman"/>
          <w:sz w:val="28"/>
          <w:szCs w:val="28"/>
        </w:rPr>
        <w:t xml:space="preserve">cover </w:t>
      </w:r>
      <w:r w:rsidR="00365FF3" w:rsidRPr="00CD2873">
        <w:rPr>
          <w:rFonts w:ascii="Times New Roman" w:hAnsi="Times New Roman" w:cs="Times New Roman"/>
          <w:sz w:val="28"/>
          <w:szCs w:val="28"/>
        </w:rPr>
        <w:t xml:space="preserve">was for </w:t>
      </w:r>
      <w:r w:rsidR="00D332FC" w:rsidRPr="00CD2873">
        <w:rPr>
          <w:rFonts w:ascii="Times New Roman" w:hAnsi="Times New Roman" w:cs="Times New Roman"/>
          <w:sz w:val="28"/>
          <w:szCs w:val="28"/>
        </w:rPr>
        <w:t xml:space="preserve">no consideration, it </w:t>
      </w:r>
      <w:r w:rsidR="001279B1" w:rsidRPr="00CD2873">
        <w:rPr>
          <w:rFonts w:ascii="Times New Roman" w:hAnsi="Times New Roman" w:cs="Times New Roman"/>
          <w:sz w:val="28"/>
          <w:szCs w:val="28"/>
        </w:rPr>
        <w:t>still levied a fee</w:t>
      </w:r>
      <w:r w:rsidR="005E546B" w:rsidRPr="00CD2873">
        <w:rPr>
          <w:rFonts w:ascii="Times New Roman" w:hAnsi="Times New Roman" w:cs="Times New Roman"/>
          <w:sz w:val="28"/>
          <w:szCs w:val="28"/>
        </w:rPr>
        <w:t>,</w:t>
      </w:r>
      <w:r w:rsidR="001279B1" w:rsidRPr="00CD2873">
        <w:rPr>
          <w:rFonts w:ascii="Times New Roman" w:hAnsi="Times New Roman" w:cs="Times New Roman"/>
          <w:sz w:val="28"/>
          <w:szCs w:val="28"/>
        </w:rPr>
        <w:t xml:space="preserve"> termed</w:t>
      </w:r>
      <w:r w:rsidR="00365FF3" w:rsidRPr="00CD2873">
        <w:rPr>
          <w:rFonts w:ascii="Times New Roman" w:hAnsi="Times New Roman" w:cs="Times New Roman"/>
          <w:sz w:val="28"/>
          <w:szCs w:val="28"/>
        </w:rPr>
        <w:t xml:space="preserve"> a </w:t>
      </w:r>
      <w:r w:rsidR="001F0BED" w:rsidRPr="00CD2873">
        <w:rPr>
          <w:rFonts w:ascii="Times New Roman" w:hAnsi="Times New Roman" w:cs="Times New Roman"/>
          <w:sz w:val="28"/>
          <w:szCs w:val="28"/>
        </w:rPr>
        <w:t>‘</w:t>
      </w:r>
      <w:r w:rsidR="00365FF3" w:rsidRPr="00CD2873">
        <w:rPr>
          <w:rFonts w:ascii="Times New Roman" w:hAnsi="Times New Roman" w:cs="Times New Roman"/>
          <w:sz w:val="28"/>
          <w:szCs w:val="28"/>
        </w:rPr>
        <w:t>taxable supply</w:t>
      </w:r>
      <w:r w:rsidR="001F0BED" w:rsidRPr="00CD2873">
        <w:rPr>
          <w:rFonts w:ascii="Times New Roman" w:hAnsi="Times New Roman" w:cs="Times New Roman"/>
          <w:sz w:val="28"/>
          <w:szCs w:val="28"/>
        </w:rPr>
        <w:t>’</w:t>
      </w:r>
      <w:r w:rsidR="00365FF3" w:rsidRPr="00CD2873">
        <w:rPr>
          <w:rFonts w:ascii="Times New Roman" w:hAnsi="Times New Roman" w:cs="Times New Roman"/>
          <w:sz w:val="28"/>
          <w:szCs w:val="28"/>
        </w:rPr>
        <w:t xml:space="preserve">, in terms of </w:t>
      </w:r>
      <w:r w:rsidR="00DD0191" w:rsidRPr="00CD2873">
        <w:rPr>
          <w:rFonts w:ascii="Times New Roman" w:hAnsi="Times New Roman" w:cs="Times New Roman"/>
          <w:sz w:val="28"/>
          <w:szCs w:val="28"/>
        </w:rPr>
        <w:t xml:space="preserve"> </w:t>
      </w:r>
      <w:r w:rsidR="00365FF3" w:rsidRPr="00CD2873">
        <w:rPr>
          <w:rFonts w:ascii="Times New Roman" w:hAnsi="Times New Roman" w:cs="Times New Roman"/>
          <w:sz w:val="28"/>
          <w:szCs w:val="28"/>
        </w:rPr>
        <w:t>s</w:t>
      </w:r>
      <w:r w:rsidRPr="00CD2873">
        <w:rPr>
          <w:rFonts w:ascii="Times New Roman" w:hAnsi="Times New Roman" w:cs="Times New Roman"/>
          <w:sz w:val="28"/>
          <w:szCs w:val="28"/>
        </w:rPr>
        <w:t xml:space="preserve"> </w:t>
      </w:r>
      <w:r w:rsidR="00365FF3" w:rsidRPr="00CD2873">
        <w:rPr>
          <w:rFonts w:ascii="Times New Roman" w:hAnsi="Times New Roman" w:cs="Times New Roman"/>
          <w:sz w:val="28"/>
          <w:szCs w:val="28"/>
        </w:rPr>
        <w:t>10(23</w:t>
      </w:r>
      <w:r w:rsidR="001279B1" w:rsidRPr="00CD2873">
        <w:rPr>
          <w:rFonts w:ascii="Times New Roman" w:hAnsi="Times New Roman" w:cs="Times New Roman"/>
          <w:sz w:val="28"/>
          <w:szCs w:val="28"/>
        </w:rPr>
        <w:t xml:space="preserve">) of the VAT Act. </w:t>
      </w:r>
      <w:r w:rsidR="003069D1" w:rsidRPr="00CD2873">
        <w:rPr>
          <w:rFonts w:ascii="Times New Roman" w:hAnsi="Times New Roman" w:cs="Times New Roman"/>
          <w:sz w:val="28"/>
          <w:szCs w:val="28"/>
        </w:rPr>
        <w:t>Furthermore</w:t>
      </w:r>
      <w:r w:rsidR="0083275F" w:rsidRPr="00CD2873">
        <w:rPr>
          <w:rFonts w:ascii="Times New Roman" w:hAnsi="Times New Roman" w:cs="Times New Roman"/>
          <w:sz w:val="28"/>
          <w:szCs w:val="28"/>
        </w:rPr>
        <w:t>,</w:t>
      </w:r>
      <w:r w:rsidR="003069D1" w:rsidRPr="00CD2873">
        <w:rPr>
          <w:rFonts w:ascii="Times New Roman" w:hAnsi="Times New Roman" w:cs="Times New Roman"/>
          <w:sz w:val="28"/>
          <w:szCs w:val="28"/>
        </w:rPr>
        <w:t xml:space="preserve"> </w:t>
      </w:r>
      <w:r w:rsidR="0083275F" w:rsidRPr="00CD2873">
        <w:rPr>
          <w:rFonts w:ascii="Times New Roman" w:hAnsi="Times New Roman" w:cs="Times New Roman"/>
          <w:sz w:val="28"/>
          <w:szCs w:val="28"/>
        </w:rPr>
        <w:t>Capitec</w:t>
      </w:r>
      <w:r w:rsidR="003069D1" w:rsidRPr="00CD2873">
        <w:rPr>
          <w:rFonts w:ascii="Times New Roman" w:hAnsi="Times New Roman" w:cs="Times New Roman"/>
          <w:sz w:val="28"/>
          <w:szCs w:val="28"/>
        </w:rPr>
        <w:t xml:space="preserve"> contend</w:t>
      </w:r>
      <w:r w:rsidR="0083275F" w:rsidRPr="00CD2873">
        <w:rPr>
          <w:rFonts w:ascii="Times New Roman" w:hAnsi="Times New Roman" w:cs="Times New Roman"/>
          <w:sz w:val="28"/>
          <w:szCs w:val="28"/>
        </w:rPr>
        <w:t>ed</w:t>
      </w:r>
      <w:r w:rsidR="003069D1" w:rsidRPr="00CD2873">
        <w:rPr>
          <w:rFonts w:ascii="Times New Roman" w:hAnsi="Times New Roman" w:cs="Times New Roman"/>
          <w:sz w:val="28"/>
          <w:szCs w:val="28"/>
        </w:rPr>
        <w:t xml:space="preserve"> that although </w:t>
      </w:r>
      <w:r w:rsidR="0083275F" w:rsidRPr="00CD2873">
        <w:rPr>
          <w:rFonts w:ascii="Times New Roman" w:hAnsi="Times New Roman" w:cs="Times New Roman"/>
          <w:sz w:val="28"/>
          <w:szCs w:val="28"/>
        </w:rPr>
        <w:t xml:space="preserve">it </w:t>
      </w:r>
      <w:r w:rsidR="003069D1" w:rsidRPr="00CD2873">
        <w:rPr>
          <w:rFonts w:ascii="Times New Roman" w:hAnsi="Times New Roman" w:cs="Times New Roman"/>
          <w:sz w:val="28"/>
          <w:szCs w:val="28"/>
        </w:rPr>
        <w:t xml:space="preserve">does not charge a distinct fee for its loan cover, the loan cover was integral to its unsecured lending business, and thus to generating both interest income and fee </w:t>
      </w:r>
      <w:r w:rsidR="003069D1" w:rsidRPr="00CD2873">
        <w:rPr>
          <w:rFonts w:ascii="Times New Roman" w:hAnsi="Times New Roman" w:cs="Times New Roman"/>
          <w:sz w:val="28"/>
          <w:szCs w:val="28"/>
        </w:rPr>
        <w:lastRenderedPageBreak/>
        <w:t xml:space="preserve">income, and </w:t>
      </w:r>
      <w:r w:rsidR="005E546B" w:rsidRPr="00CD2873">
        <w:rPr>
          <w:rFonts w:ascii="Times New Roman" w:hAnsi="Times New Roman" w:cs="Times New Roman"/>
          <w:sz w:val="28"/>
          <w:szCs w:val="28"/>
        </w:rPr>
        <w:t xml:space="preserve">that </w:t>
      </w:r>
      <w:r w:rsidR="003069D1" w:rsidRPr="00CD2873">
        <w:rPr>
          <w:rFonts w:ascii="Times New Roman" w:hAnsi="Times New Roman" w:cs="Times New Roman"/>
          <w:sz w:val="28"/>
          <w:szCs w:val="28"/>
        </w:rPr>
        <w:t>the cost of providing the loan cover was recovered through that income.</w:t>
      </w:r>
      <w:r w:rsidR="003069D1" w:rsidRPr="009416D7">
        <w:rPr>
          <w:rFonts w:ascii="Times New Roman" w:hAnsi="Times New Roman" w:cs="Times New Roman"/>
          <w:sz w:val="28"/>
          <w:szCs w:val="28"/>
        </w:rPr>
        <w:t xml:space="preserve"> </w:t>
      </w:r>
    </w:p>
    <w:p w14:paraId="46DAB1AB" w14:textId="77777777" w:rsidR="003069D1" w:rsidRPr="00780F13" w:rsidRDefault="003069D1" w:rsidP="003069D1">
      <w:pPr>
        <w:spacing w:after="0" w:line="360" w:lineRule="auto"/>
        <w:jc w:val="both"/>
        <w:rPr>
          <w:rFonts w:ascii="Times New Roman" w:hAnsi="Times New Roman" w:cs="Times New Roman"/>
          <w:sz w:val="28"/>
          <w:szCs w:val="28"/>
        </w:rPr>
      </w:pPr>
    </w:p>
    <w:p w14:paraId="76556394" w14:textId="741C447A" w:rsidR="00A4486C" w:rsidRPr="00B67EF0" w:rsidRDefault="002F11F2" w:rsidP="00A4486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676B3D">
        <w:rPr>
          <w:rFonts w:ascii="Times New Roman" w:hAnsi="Times New Roman" w:cs="Times New Roman"/>
          <w:sz w:val="28"/>
          <w:szCs w:val="28"/>
          <w:lang w:val="en-US"/>
        </w:rPr>
        <w:t xml:space="preserve">The </w:t>
      </w:r>
      <w:r w:rsidR="0083275F">
        <w:rPr>
          <w:rFonts w:ascii="Times New Roman" w:hAnsi="Times New Roman" w:cs="Times New Roman"/>
          <w:sz w:val="28"/>
          <w:szCs w:val="28"/>
          <w:lang w:val="en-US"/>
        </w:rPr>
        <w:t>t</w:t>
      </w:r>
      <w:r w:rsidR="004E3E66">
        <w:rPr>
          <w:rFonts w:ascii="Times New Roman" w:hAnsi="Times New Roman" w:cs="Times New Roman"/>
          <w:sz w:val="28"/>
          <w:szCs w:val="28"/>
          <w:lang w:val="en-US"/>
        </w:rPr>
        <w:t>ax court held, inter alia</w:t>
      </w:r>
      <w:r w:rsidR="0083275F">
        <w:rPr>
          <w:rFonts w:ascii="Times New Roman" w:hAnsi="Times New Roman" w:cs="Times New Roman"/>
          <w:sz w:val="28"/>
          <w:szCs w:val="28"/>
          <w:lang w:val="en-US"/>
        </w:rPr>
        <w:t>,</w:t>
      </w:r>
      <w:r w:rsidR="004E3E66">
        <w:rPr>
          <w:rFonts w:ascii="Times New Roman" w:hAnsi="Times New Roman" w:cs="Times New Roman"/>
          <w:sz w:val="28"/>
          <w:szCs w:val="28"/>
          <w:lang w:val="en-US"/>
        </w:rPr>
        <w:t xml:space="preserve"> as follows:</w:t>
      </w:r>
    </w:p>
    <w:p w14:paraId="356EB84F" w14:textId="61A5EA65" w:rsidR="00611D37" w:rsidRDefault="0040005A" w:rsidP="0040005A">
      <w:pPr>
        <w:spacing w:after="0" w:line="360" w:lineRule="auto"/>
        <w:jc w:val="both"/>
        <w:rPr>
          <w:rFonts w:ascii="Times New Roman" w:hAnsi="Times New Roman" w:cs="Times New Roman"/>
          <w:sz w:val="24"/>
          <w:szCs w:val="24"/>
        </w:rPr>
      </w:pPr>
      <w:r w:rsidRPr="005A3E0F">
        <w:rPr>
          <w:rFonts w:ascii="Times New Roman" w:hAnsi="Times New Roman" w:cs="Times New Roman"/>
          <w:sz w:val="24"/>
          <w:szCs w:val="24"/>
        </w:rPr>
        <w:t>‘[34]</w:t>
      </w:r>
      <w:r w:rsidRPr="005A3E0F">
        <w:rPr>
          <w:rFonts w:ascii="Times New Roman" w:hAnsi="Times New Roman" w:cs="Times New Roman"/>
          <w:sz w:val="24"/>
          <w:szCs w:val="24"/>
        </w:rPr>
        <w:tab/>
      </w:r>
      <w:r>
        <w:rPr>
          <w:rFonts w:ascii="Times New Roman" w:hAnsi="Times New Roman" w:cs="Times New Roman"/>
          <w:sz w:val="24"/>
          <w:szCs w:val="24"/>
        </w:rPr>
        <w:t>The clients contract for and receive no benefit over and above the loan itself, ap</w:t>
      </w:r>
      <w:r w:rsidRPr="005A3E0F">
        <w:rPr>
          <w:rFonts w:ascii="Times New Roman" w:hAnsi="Times New Roman" w:cs="Times New Roman"/>
          <w:sz w:val="24"/>
          <w:szCs w:val="24"/>
        </w:rPr>
        <w:t xml:space="preserve">art from the loan cover. Where no loan is advanced, no initiation fee </w:t>
      </w:r>
      <w:r>
        <w:rPr>
          <w:rFonts w:ascii="Times New Roman" w:hAnsi="Times New Roman" w:cs="Times New Roman"/>
          <w:sz w:val="24"/>
          <w:szCs w:val="24"/>
        </w:rPr>
        <w:t xml:space="preserve">is payable and </w:t>
      </w:r>
      <w:r w:rsidRPr="005A3E0F">
        <w:rPr>
          <w:rFonts w:ascii="Times New Roman" w:hAnsi="Times New Roman" w:cs="Times New Roman"/>
          <w:sz w:val="24"/>
          <w:szCs w:val="24"/>
        </w:rPr>
        <w:t xml:space="preserve">no service fee is levied. </w:t>
      </w:r>
      <w:r w:rsidRPr="0040005A">
        <w:rPr>
          <w:rFonts w:ascii="Times New Roman" w:hAnsi="Times New Roman" w:cs="Times New Roman"/>
          <w:sz w:val="24"/>
          <w:szCs w:val="24"/>
        </w:rPr>
        <w:t>Furthermore</w:t>
      </w:r>
      <w:r w:rsidRPr="005A3E0F">
        <w:rPr>
          <w:rFonts w:ascii="Times New Roman" w:hAnsi="Times New Roman" w:cs="Times New Roman"/>
          <w:sz w:val="24"/>
          <w:szCs w:val="24"/>
        </w:rPr>
        <w:t xml:space="preserve">, as set out above in section 1 of NCA both </w:t>
      </w:r>
      <w:r>
        <w:rPr>
          <w:rFonts w:ascii="Times New Roman" w:hAnsi="Times New Roman" w:cs="Times New Roman"/>
          <w:sz w:val="24"/>
          <w:szCs w:val="24"/>
        </w:rPr>
        <w:t>“initiation fee” and “service fee</w:t>
      </w:r>
      <w:r w:rsidRPr="005A3E0F">
        <w:rPr>
          <w:rFonts w:ascii="Times New Roman" w:hAnsi="Times New Roman" w:cs="Times New Roman"/>
          <w:sz w:val="24"/>
          <w:szCs w:val="24"/>
        </w:rPr>
        <w:t xml:space="preserve">” are defined (with Regulation 44(3)) by reference to </w:t>
      </w:r>
      <w:r>
        <w:rPr>
          <w:rFonts w:ascii="Times New Roman" w:hAnsi="Times New Roman" w:cs="Times New Roman"/>
          <w:sz w:val="24"/>
          <w:szCs w:val="24"/>
        </w:rPr>
        <w:t>the</w:t>
      </w:r>
      <w:r w:rsidRPr="005A3E0F">
        <w:rPr>
          <w:rFonts w:ascii="Times New Roman" w:hAnsi="Times New Roman" w:cs="Times New Roman"/>
          <w:sz w:val="24"/>
          <w:szCs w:val="24"/>
        </w:rPr>
        <w:t xml:space="preserve"> types of costs </w:t>
      </w:r>
      <w:r w:rsidRPr="0040005A">
        <w:rPr>
          <w:rFonts w:ascii="Times New Roman" w:hAnsi="Times New Roman" w:cs="Times New Roman"/>
          <w:sz w:val="24"/>
          <w:szCs w:val="24"/>
        </w:rPr>
        <w:t>incurred</w:t>
      </w:r>
      <w:r w:rsidRPr="005A3E0F">
        <w:rPr>
          <w:rFonts w:ascii="Times New Roman" w:hAnsi="Times New Roman" w:cs="Times New Roman"/>
          <w:sz w:val="24"/>
          <w:szCs w:val="24"/>
        </w:rPr>
        <w:t xml:space="preserve"> by the vendor and not by </w:t>
      </w:r>
      <w:r w:rsidRPr="0040005A">
        <w:rPr>
          <w:rFonts w:ascii="Times New Roman" w:hAnsi="Times New Roman" w:cs="Times New Roman"/>
          <w:sz w:val="24"/>
          <w:szCs w:val="24"/>
        </w:rPr>
        <w:t>reference</w:t>
      </w:r>
      <w:r w:rsidRPr="005A3E0F">
        <w:rPr>
          <w:rFonts w:ascii="Times New Roman" w:hAnsi="Times New Roman" w:cs="Times New Roman"/>
          <w:sz w:val="24"/>
          <w:szCs w:val="24"/>
        </w:rPr>
        <w:t xml:space="preserve"> to any </w:t>
      </w:r>
      <w:r w:rsidRPr="0040005A">
        <w:rPr>
          <w:rFonts w:ascii="Times New Roman" w:hAnsi="Times New Roman" w:cs="Times New Roman"/>
          <w:sz w:val="24"/>
          <w:szCs w:val="24"/>
        </w:rPr>
        <w:t>particular</w:t>
      </w:r>
      <w:r>
        <w:rPr>
          <w:rFonts w:ascii="Times New Roman" w:hAnsi="Times New Roman" w:cs="Times New Roman"/>
          <w:sz w:val="24"/>
          <w:szCs w:val="24"/>
        </w:rPr>
        <w:t xml:space="preserve"> service supplied to the customer. This is emphasized by the inclusion in the NCA of interest, initiation fee and the service fee, as sub-</w:t>
      </w:r>
      <w:r w:rsidRPr="005A3E0F">
        <w:rPr>
          <w:rFonts w:ascii="Times New Roman" w:hAnsi="Times New Roman" w:cs="Times New Roman"/>
          <w:sz w:val="24"/>
          <w:szCs w:val="24"/>
        </w:rPr>
        <w:t xml:space="preserve">components under the </w:t>
      </w:r>
      <w:r>
        <w:rPr>
          <w:rFonts w:ascii="Times New Roman" w:hAnsi="Times New Roman" w:cs="Times New Roman"/>
          <w:sz w:val="24"/>
          <w:szCs w:val="24"/>
        </w:rPr>
        <w:t>heading “costs of credit” in section 101 thereof. The fee i</w:t>
      </w:r>
      <w:r w:rsidRPr="005A3E0F">
        <w:rPr>
          <w:rFonts w:ascii="Times New Roman" w:hAnsi="Times New Roman" w:cs="Times New Roman"/>
          <w:sz w:val="24"/>
          <w:szCs w:val="24"/>
        </w:rPr>
        <w:t xml:space="preserve">ncome, </w:t>
      </w:r>
      <w:r w:rsidRPr="0040005A">
        <w:rPr>
          <w:rFonts w:ascii="Times New Roman" w:hAnsi="Times New Roman" w:cs="Times New Roman"/>
          <w:sz w:val="24"/>
          <w:szCs w:val="24"/>
        </w:rPr>
        <w:t>which</w:t>
      </w:r>
      <w:r>
        <w:rPr>
          <w:rFonts w:ascii="Times New Roman" w:hAnsi="Times New Roman" w:cs="Times New Roman"/>
          <w:sz w:val="24"/>
          <w:szCs w:val="24"/>
        </w:rPr>
        <w:t xml:space="preserve"> i</w:t>
      </w:r>
      <w:r w:rsidRPr="005A3E0F">
        <w:rPr>
          <w:rFonts w:ascii="Times New Roman" w:hAnsi="Times New Roman" w:cs="Times New Roman"/>
          <w:sz w:val="24"/>
          <w:szCs w:val="24"/>
        </w:rPr>
        <w:t>s charged over and</w:t>
      </w:r>
      <w:r>
        <w:rPr>
          <w:rFonts w:ascii="Times New Roman" w:hAnsi="Times New Roman" w:cs="Times New Roman"/>
          <w:sz w:val="24"/>
          <w:szCs w:val="24"/>
        </w:rPr>
        <w:t xml:space="preserve"> above</w:t>
      </w:r>
      <w:r w:rsidRPr="005A3E0F">
        <w:rPr>
          <w:rFonts w:ascii="Times New Roman" w:hAnsi="Times New Roman" w:cs="Times New Roman"/>
          <w:sz w:val="24"/>
          <w:szCs w:val="24"/>
        </w:rPr>
        <w:t xml:space="preserve"> interest in terms of a loan agreement, is </w:t>
      </w:r>
      <w:r w:rsidRPr="0040005A">
        <w:rPr>
          <w:rFonts w:ascii="Times New Roman" w:hAnsi="Times New Roman" w:cs="Times New Roman"/>
          <w:sz w:val="24"/>
          <w:szCs w:val="24"/>
        </w:rPr>
        <w:t>part</w:t>
      </w:r>
      <w:r w:rsidRPr="005A3E0F">
        <w:rPr>
          <w:rFonts w:ascii="Times New Roman" w:hAnsi="Times New Roman" w:cs="Times New Roman"/>
          <w:sz w:val="24"/>
          <w:szCs w:val="24"/>
        </w:rPr>
        <w:t xml:space="preserve"> of the </w:t>
      </w:r>
      <w:r w:rsidRPr="0040005A">
        <w:rPr>
          <w:rFonts w:ascii="Times New Roman" w:hAnsi="Times New Roman" w:cs="Times New Roman"/>
          <w:sz w:val="24"/>
          <w:szCs w:val="24"/>
        </w:rPr>
        <w:t>consideration</w:t>
      </w:r>
      <w:r>
        <w:rPr>
          <w:rFonts w:ascii="Times New Roman" w:hAnsi="Times New Roman" w:cs="Times New Roman"/>
          <w:sz w:val="24"/>
          <w:szCs w:val="24"/>
        </w:rPr>
        <w:t xml:space="preserve"> </w:t>
      </w:r>
      <w:r w:rsidRPr="005A3E0F">
        <w:rPr>
          <w:rFonts w:ascii="Times New Roman" w:hAnsi="Times New Roman" w:cs="Times New Roman"/>
          <w:sz w:val="24"/>
          <w:szCs w:val="24"/>
        </w:rPr>
        <w:t>payable for</w:t>
      </w:r>
      <w:r>
        <w:rPr>
          <w:rFonts w:ascii="Times New Roman" w:hAnsi="Times New Roman" w:cs="Times New Roman"/>
          <w:sz w:val="24"/>
          <w:szCs w:val="24"/>
        </w:rPr>
        <w:t xml:space="preserve"> t</w:t>
      </w:r>
      <w:r w:rsidRPr="005A3E0F">
        <w:rPr>
          <w:rFonts w:ascii="Times New Roman" w:hAnsi="Times New Roman" w:cs="Times New Roman"/>
          <w:sz w:val="24"/>
          <w:szCs w:val="24"/>
        </w:rPr>
        <w:t xml:space="preserve">he </w:t>
      </w:r>
      <w:r>
        <w:rPr>
          <w:rFonts w:ascii="Times New Roman" w:hAnsi="Times New Roman" w:cs="Times New Roman"/>
          <w:sz w:val="24"/>
          <w:szCs w:val="24"/>
        </w:rPr>
        <w:t xml:space="preserve">provision of credit. </w:t>
      </w:r>
    </w:p>
    <w:p w14:paraId="5A1EB684" w14:textId="3A039A43" w:rsidR="00611D37" w:rsidRPr="005A3E0F" w:rsidRDefault="0040005A" w:rsidP="00400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The loan cover promotes and is</w:t>
      </w:r>
      <w:r w:rsidRPr="005A3E0F">
        <w:rPr>
          <w:rFonts w:ascii="Times New Roman" w:hAnsi="Times New Roman" w:cs="Times New Roman"/>
          <w:sz w:val="24"/>
          <w:szCs w:val="24"/>
        </w:rPr>
        <w:t xml:space="preserve"> made in the course and furtherance of an enterprise </w:t>
      </w:r>
      <w:r w:rsidRPr="0040005A">
        <w:rPr>
          <w:rFonts w:ascii="Times New Roman" w:hAnsi="Times New Roman" w:cs="Times New Roman"/>
          <w:sz w:val="24"/>
          <w:szCs w:val="24"/>
        </w:rPr>
        <w:t>that</w:t>
      </w:r>
      <w:r w:rsidRPr="005A3E0F">
        <w:rPr>
          <w:rFonts w:ascii="Times New Roman" w:hAnsi="Times New Roman" w:cs="Times New Roman"/>
          <w:sz w:val="24"/>
          <w:szCs w:val="24"/>
        </w:rPr>
        <w:t xml:space="preserve"> includes the making of </w:t>
      </w:r>
      <w:r>
        <w:rPr>
          <w:rFonts w:ascii="Times New Roman" w:hAnsi="Times New Roman" w:cs="Times New Roman"/>
          <w:sz w:val="24"/>
          <w:szCs w:val="24"/>
        </w:rPr>
        <w:t>taxable supplies. These fees are a ke</w:t>
      </w:r>
      <w:r w:rsidRPr="005A3E0F">
        <w:rPr>
          <w:rFonts w:ascii="Times New Roman" w:hAnsi="Times New Roman" w:cs="Times New Roman"/>
          <w:sz w:val="24"/>
          <w:szCs w:val="24"/>
        </w:rPr>
        <w:t xml:space="preserve">y component on the income </w:t>
      </w:r>
      <w:r>
        <w:rPr>
          <w:rFonts w:ascii="Times New Roman" w:hAnsi="Times New Roman" w:cs="Times New Roman"/>
          <w:sz w:val="24"/>
          <w:szCs w:val="24"/>
        </w:rPr>
        <w:t>side of Capi</w:t>
      </w:r>
      <w:r w:rsidRPr="005A3E0F">
        <w:rPr>
          <w:rFonts w:ascii="Times New Roman" w:hAnsi="Times New Roman" w:cs="Times New Roman"/>
          <w:sz w:val="24"/>
          <w:szCs w:val="24"/>
        </w:rPr>
        <w:t xml:space="preserve">tec’s business model. It would be </w:t>
      </w:r>
      <w:r w:rsidRPr="0040005A">
        <w:rPr>
          <w:rFonts w:ascii="Times New Roman" w:hAnsi="Times New Roman" w:cs="Times New Roman"/>
          <w:sz w:val="24"/>
          <w:szCs w:val="24"/>
        </w:rPr>
        <w:t>uncommercial</w:t>
      </w:r>
      <w:r w:rsidR="00611D37">
        <w:rPr>
          <w:rFonts w:ascii="Times New Roman" w:hAnsi="Times New Roman" w:cs="Times New Roman"/>
          <w:sz w:val="24"/>
          <w:szCs w:val="24"/>
        </w:rPr>
        <w:t xml:space="preserve"> and inconsistent with Retief’</w:t>
      </w:r>
      <w:r w:rsidRPr="005A3E0F">
        <w:rPr>
          <w:rFonts w:ascii="Times New Roman" w:hAnsi="Times New Roman" w:cs="Times New Roman"/>
          <w:sz w:val="24"/>
          <w:szCs w:val="24"/>
        </w:rPr>
        <w:t xml:space="preserve">s evidence in </w:t>
      </w:r>
      <w:r w:rsidR="00611D37" w:rsidRPr="0040005A">
        <w:rPr>
          <w:rFonts w:ascii="Times New Roman" w:hAnsi="Times New Roman" w:cs="Times New Roman"/>
          <w:sz w:val="24"/>
          <w:szCs w:val="24"/>
        </w:rPr>
        <w:t>this</w:t>
      </w:r>
      <w:r w:rsidR="00611D37">
        <w:rPr>
          <w:rFonts w:ascii="Times New Roman" w:hAnsi="Times New Roman" w:cs="Times New Roman"/>
          <w:sz w:val="24"/>
          <w:szCs w:val="24"/>
        </w:rPr>
        <w:t xml:space="preserve"> regard to accep</w:t>
      </w:r>
      <w:r w:rsidRPr="005A3E0F">
        <w:rPr>
          <w:rFonts w:ascii="Times New Roman" w:hAnsi="Times New Roman" w:cs="Times New Roman"/>
          <w:sz w:val="24"/>
          <w:szCs w:val="24"/>
        </w:rPr>
        <w:t>t that the loan cover exclus</w:t>
      </w:r>
      <w:r w:rsidR="00611D37">
        <w:rPr>
          <w:rFonts w:ascii="Times New Roman" w:hAnsi="Times New Roman" w:cs="Times New Roman"/>
          <w:sz w:val="24"/>
          <w:szCs w:val="24"/>
        </w:rPr>
        <w:t>ively advances an exempt supply.</w:t>
      </w:r>
    </w:p>
    <w:p w14:paraId="219D1D02" w14:textId="19324AE6" w:rsidR="00611D37" w:rsidRPr="005A3E0F" w:rsidRDefault="00611D37" w:rsidP="00400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[36]</w:t>
      </w:r>
      <w:r w:rsidR="0040005A" w:rsidRPr="005A3E0F">
        <w:rPr>
          <w:rFonts w:ascii="Times New Roman" w:hAnsi="Times New Roman" w:cs="Times New Roman"/>
          <w:sz w:val="24"/>
          <w:szCs w:val="24"/>
        </w:rPr>
        <w:t xml:space="preserve"> </w:t>
      </w:r>
      <w:r>
        <w:rPr>
          <w:rFonts w:ascii="Times New Roman" w:hAnsi="Times New Roman" w:cs="Times New Roman"/>
          <w:sz w:val="24"/>
          <w:szCs w:val="24"/>
        </w:rPr>
        <w:tab/>
      </w:r>
      <w:r w:rsidR="0040005A" w:rsidRPr="005A3E0F">
        <w:rPr>
          <w:rFonts w:ascii="Times New Roman" w:hAnsi="Times New Roman" w:cs="Times New Roman"/>
          <w:sz w:val="24"/>
          <w:szCs w:val="24"/>
        </w:rPr>
        <w:t xml:space="preserve">The </w:t>
      </w:r>
      <w:r w:rsidRPr="0040005A">
        <w:rPr>
          <w:rFonts w:ascii="Times New Roman" w:hAnsi="Times New Roman" w:cs="Times New Roman"/>
          <w:sz w:val="24"/>
          <w:szCs w:val="24"/>
        </w:rPr>
        <w:t>clients</w:t>
      </w:r>
      <w:r w:rsidR="0040005A" w:rsidRPr="005A3E0F">
        <w:rPr>
          <w:rFonts w:ascii="Times New Roman" w:hAnsi="Times New Roman" w:cs="Times New Roman"/>
          <w:sz w:val="24"/>
          <w:szCs w:val="24"/>
        </w:rPr>
        <w:t xml:space="preserve"> contracted to get a loan and not for other separate distinct services. The </w:t>
      </w:r>
      <w:r>
        <w:rPr>
          <w:rFonts w:ascii="Times New Roman" w:hAnsi="Times New Roman" w:cs="Times New Roman"/>
          <w:sz w:val="24"/>
          <w:szCs w:val="24"/>
        </w:rPr>
        <w:t xml:space="preserve">taxable fees </w:t>
      </w:r>
      <w:r w:rsidR="0040005A" w:rsidRPr="005A3E0F">
        <w:rPr>
          <w:rFonts w:ascii="Times New Roman" w:hAnsi="Times New Roman" w:cs="Times New Roman"/>
          <w:sz w:val="24"/>
          <w:szCs w:val="24"/>
        </w:rPr>
        <w:t xml:space="preserve">recover costs to the bank and not services to the </w:t>
      </w:r>
      <w:r w:rsidRPr="0040005A">
        <w:rPr>
          <w:rFonts w:ascii="Times New Roman" w:hAnsi="Times New Roman" w:cs="Times New Roman"/>
          <w:sz w:val="24"/>
          <w:szCs w:val="24"/>
        </w:rPr>
        <w:t>client</w:t>
      </w:r>
      <w:r>
        <w:rPr>
          <w:rFonts w:ascii="Times New Roman" w:hAnsi="Times New Roman" w:cs="Times New Roman"/>
          <w:sz w:val="24"/>
          <w:szCs w:val="24"/>
        </w:rPr>
        <w:t>. The NCA includes these with interest as being “costs of credit</w:t>
      </w:r>
      <w:r w:rsidR="0040005A" w:rsidRPr="005A3E0F">
        <w:rPr>
          <w:rFonts w:ascii="Times New Roman" w:hAnsi="Times New Roman" w:cs="Times New Roman"/>
          <w:sz w:val="24"/>
          <w:szCs w:val="24"/>
        </w:rPr>
        <w:t xml:space="preserve">”. </w:t>
      </w:r>
      <w:r>
        <w:rPr>
          <w:rFonts w:ascii="Times New Roman" w:hAnsi="Times New Roman" w:cs="Times New Roman"/>
          <w:sz w:val="24"/>
          <w:szCs w:val="24"/>
        </w:rPr>
        <w:t xml:space="preserve">All three </w:t>
      </w:r>
      <w:r w:rsidR="0040005A" w:rsidRPr="005A3E0F">
        <w:rPr>
          <w:rFonts w:ascii="Times New Roman" w:hAnsi="Times New Roman" w:cs="Times New Roman"/>
          <w:sz w:val="24"/>
          <w:szCs w:val="24"/>
        </w:rPr>
        <w:t>are the consideration paid for credit.</w:t>
      </w:r>
    </w:p>
    <w:p w14:paraId="67747E49" w14:textId="7FEB7430" w:rsidR="0040005A" w:rsidRDefault="00611D37" w:rsidP="00400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40005A" w:rsidRPr="005A3E0F">
        <w:rPr>
          <w:rFonts w:ascii="Times New Roman" w:hAnsi="Times New Roman" w:cs="Times New Roman"/>
          <w:sz w:val="24"/>
          <w:szCs w:val="24"/>
        </w:rPr>
        <w:t xml:space="preserve">As the supply of loan cover </w:t>
      </w:r>
      <w:r w:rsidRPr="0040005A">
        <w:rPr>
          <w:rFonts w:ascii="Times New Roman" w:hAnsi="Times New Roman" w:cs="Times New Roman"/>
          <w:sz w:val="24"/>
          <w:szCs w:val="24"/>
        </w:rPr>
        <w:t>advances</w:t>
      </w:r>
      <w:r>
        <w:rPr>
          <w:rFonts w:ascii="Times New Roman" w:hAnsi="Times New Roman" w:cs="Times New Roman"/>
          <w:sz w:val="24"/>
          <w:szCs w:val="24"/>
        </w:rPr>
        <w:t xml:space="preserve"> the entire</w:t>
      </w:r>
      <w:r w:rsidR="0040005A" w:rsidRPr="005A3E0F">
        <w:rPr>
          <w:rFonts w:ascii="Times New Roman" w:hAnsi="Times New Roman" w:cs="Times New Roman"/>
          <w:sz w:val="24"/>
          <w:szCs w:val="24"/>
        </w:rPr>
        <w:t xml:space="preserve"> business of advancing </w:t>
      </w:r>
      <w:r w:rsidRPr="0040005A">
        <w:rPr>
          <w:rFonts w:ascii="Times New Roman" w:hAnsi="Times New Roman" w:cs="Times New Roman"/>
          <w:sz w:val="24"/>
          <w:szCs w:val="24"/>
        </w:rPr>
        <w:t>credit</w:t>
      </w:r>
      <w:r>
        <w:rPr>
          <w:rFonts w:ascii="Times New Roman" w:hAnsi="Times New Roman" w:cs="Times New Roman"/>
          <w:sz w:val="24"/>
          <w:szCs w:val="24"/>
        </w:rPr>
        <w:t xml:space="preserve"> and this i</w:t>
      </w:r>
      <w:r w:rsidR="0040005A" w:rsidRPr="005A3E0F">
        <w:rPr>
          <w:rFonts w:ascii="Times New Roman" w:hAnsi="Times New Roman" w:cs="Times New Roman"/>
          <w:sz w:val="24"/>
          <w:szCs w:val="24"/>
        </w:rPr>
        <w:t xml:space="preserve">ncludes a taxable supply, the loan cover advances a taxable supply for </w:t>
      </w:r>
      <w:r w:rsidRPr="0040005A">
        <w:rPr>
          <w:rFonts w:ascii="Times New Roman" w:hAnsi="Times New Roman" w:cs="Times New Roman"/>
          <w:sz w:val="24"/>
          <w:szCs w:val="24"/>
        </w:rPr>
        <w:t>consideration</w:t>
      </w:r>
      <w:r w:rsidR="0040005A" w:rsidRPr="005A3E0F">
        <w:rPr>
          <w:rFonts w:ascii="Times New Roman" w:hAnsi="Times New Roman" w:cs="Times New Roman"/>
          <w:sz w:val="24"/>
          <w:szCs w:val="24"/>
        </w:rPr>
        <w:t>.</w:t>
      </w:r>
    </w:p>
    <w:p w14:paraId="2EAB0C7E" w14:textId="4872B341" w:rsidR="003069D1" w:rsidRPr="005A3E0F" w:rsidRDefault="00611D37" w:rsidP="00400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40005A" w:rsidRPr="005A3E0F">
        <w:rPr>
          <w:rFonts w:ascii="Times New Roman" w:hAnsi="Times New Roman" w:cs="Times New Roman"/>
          <w:sz w:val="24"/>
          <w:szCs w:val="24"/>
        </w:rPr>
        <w:t>The requ</w:t>
      </w:r>
      <w:r>
        <w:rPr>
          <w:rFonts w:ascii="Times New Roman" w:hAnsi="Times New Roman" w:cs="Times New Roman"/>
          <w:sz w:val="24"/>
          <w:szCs w:val="24"/>
        </w:rPr>
        <w:t>irements of section 16(3)(c) are thus satisfied and C</w:t>
      </w:r>
      <w:r w:rsidR="0040005A" w:rsidRPr="005A3E0F">
        <w:rPr>
          <w:rFonts w:ascii="Times New Roman" w:hAnsi="Times New Roman" w:cs="Times New Roman"/>
          <w:sz w:val="24"/>
          <w:szCs w:val="24"/>
        </w:rPr>
        <w:t xml:space="preserve">apitec </w:t>
      </w:r>
      <w:r w:rsidRPr="0040005A">
        <w:rPr>
          <w:rFonts w:ascii="Times New Roman" w:hAnsi="Times New Roman" w:cs="Times New Roman"/>
          <w:sz w:val="24"/>
          <w:szCs w:val="24"/>
        </w:rPr>
        <w:t>qualifies</w:t>
      </w:r>
      <w:r>
        <w:rPr>
          <w:rFonts w:ascii="Times New Roman" w:hAnsi="Times New Roman" w:cs="Times New Roman"/>
          <w:sz w:val="24"/>
          <w:szCs w:val="24"/>
        </w:rPr>
        <w:t xml:space="preserve"> for the </w:t>
      </w:r>
      <w:r w:rsidR="0040005A" w:rsidRPr="005A3E0F">
        <w:rPr>
          <w:rFonts w:ascii="Times New Roman" w:hAnsi="Times New Roman" w:cs="Times New Roman"/>
          <w:sz w:val="24"/>
          <w:szCs w:val="24"/>
        </w:rPr>
        <w:t>deduction provided for therein</w:t>
      </w:r>
      <w:r>
        <w:rPr>
          <w:rFonts w:ascii="Times New Roman" w:hAnsi="Times New Roman" w:cs="Times New Roman"/>
          <w:sz w:val="24"/>
          <w:szCs w:val="24"/>
        </w:rPr>
        <w:t>.’</w:t>
      </w:r>
    </w:p>
    <w:p w14:paraId="33B0DBF1" w14:textId="77777777" w:rsidR="0040005A" w:rsidRDefault="0040005A" w:rsidP="003069D1">
      <w:pPr>
        <w:spacing w:after="0" w:line="360" w:lineRule="auto"/>
        <w:jc w:val="both"/>
        <w:rPr>
          <w:rFonts w:ascii="Times New Roman" w:hAnsi="Times New Roman" w:cs="Times New Roman"/>
          <w:sz w:val="28"/>
          <w:szCs w:val="28"/>
        </w:rPr>
      </w:pPr>
    </w:p>
    <w:p w14:paraId="5806F3DE" w14:textId="75EDBB5F" w:rsidR="003069D1" w:rsidRPr="00E94AD2" w:rsidRDefault="002F11F2" w:rsidP="003069D1">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[9]</w:t>
      </w:r>
      <w:r>
        <w:rPr>
          <w:rFonts w:ascii="Times New Roman" w:hAnsi="Times New Roman" w:cs="Times New Roman"/>
          <w:sz w:val="28"/>
          <w:szCs w:val="28"/>
        </w:rPr>
        <w:tab/>
      </w:r>
      <w:r w:rsidR="003069D1">
        <w:rPr>
          <w:rFonts w:ascii="Times New Roman" w:hAnsi="Times New Roman" w:cs="Times New Roman"/>
          <w:sz w:val="28"/>
          <w:szCs w:val="28"/>
        </w:rPr>
        <w:t>The c</w:t>
      </w:r>
      <w:r>
        <w:rPr>
          <w:rFonts w:ascii="Times New Roman" w:hAnsi="Times New Roman" w:cs="Times New Roman"/>
          <w:sz w:val="28"/>
          <w:szCs w:val="28"/>
        </w:rPr>
        <w:t xml:space="preserve">entral question in this matter is </w:t>
      </w:r>
      <w:r w:rsidR="003069D1">
        <w:rPr>
          <w:rFonts w:ascii="Times New Roman" w:hAnsi="Times New Roman" w:cs="Times New Roman"/>
          <w:sz w:val="28"/>
          <w:szCs w:val="28"/>
        </w:rPr>
        <w:t xml:space="preserve">whether the tax fraction of the loan cover </w:t>
      </w:r>
      <w:r w:rsidR="00525F4E">
        <w:rPr>
          <w:rFonts w:ascii="Times New Roman" w:hAnsi="Times New Roman" w:cs="Times New Roman"/>
          <w:sz w:val="28"/>
          <w:szCs w:val="28"/>
        </w:rPr>
        <w:t>payout</w:t>
      </w:r>
      <w:r w:rsidR="003069D1">
        <w:rPr>
          <w:rFonts w:ascii="Times New Roman" w:hAnsi="Times New Roman" w:cs="Times New Roman"/>
          <w:sz w:val="28"/>
          <w:szCs w:val="28"/>
        </w:rPr>
        <w:t>s qualified for deduction in terms of s</w:t>
      </w:r>
      <w:r>
        <w:rPr>
          <w:rFonts w:ascii="Times New Roman" w:hAnsi="Times New Roman" w:cs="Times New Roman"/>
          <w:sz w:val="28"/>
          <w:szCs w:val="28"/>
        </w:rPr>
        <w:t xml:space="preserve"> </w:t>
      </w:r>
      <w:r w:rsidR="003069D1">
        <w:rPr>
          <w:rFonts w:ascii="Times New Roman" w:hAnsi="Times New Roman" w:cs="Times New Roman"/>
          <w:sz w:val="28"/>
          <w:szCs w:val="28"/>
        </w:rPr>
        <w:t>16(3)</w:t>
      </w:r>
      <w:r w:rsidR="006D70D0">
        <w:rPr>
          <w:rFonts w:ascii="Times New Roman" w:hAnsi="Times New Roman" w:cs="Times New Roman"/>
          <w:i/>
          <w:sz w:val="28"/>
          <w:szCs w:val="28"/>
        </w:rPr>
        <w:t>(</w:t>
      </w:r>
      <w:r w:rsidR="003069D1" w:rsidRPr="006D70D0">
        <w:rPr>
          <w:rFonts w:ascii="Times New Roman" w:hAnsi="Times New Roman" w:cs="Times New Roman"/>
          <w:i/>
          <w:sz w:val="28"/>
          <w:szCs w:val="28"/>
        </w:rPr>
        <w:t xml:space="preserve">c) </w:t>
      </w:r>
      <w:r w:rsidR="003069D1">
        <w:rPr>
          <w:rFonts w:ascii="Times New Roman" w:hAnsi="Times New Roman" w:cs="Times New Roman"/>
          <w:sz w:val="28"/>
          <w:szCs w:val="28"/>
        </w:rPr>
        <w:t xml:space="preserve">of the VAT Act. The determination of this issue is largely </w:t>
      </w:r>
      <w:r w:rsidR="005074EF">
        <w:rPr>
          <w:rFonts w:ascii="Times New Roman" w:hAnsi="Times New Roman" w:cs="Times New Roman"/>
          <w:sz w:val="28"/>
          <w:szCs w:val="28"/>
        </w:rPr>
        <w:t>dependent</w:t>
      </w:r>
      <w:r w:rsidR="003069D1">
        <w:rPr>
          <w:rFonts w:ascii="Times New Roman" w:hAnsi="Times New Roman" w:cs="Times New Roman"/>
          <w:sz w:val="28"/>
          <w:szCs w:val="28"/>
        </w:rPr>
        <w:t xml:space="preserve"> on whether the loan cover </w:t>
      </w:r>
      <w:r w:rsidR="003069D1" w:rsidRPr="00CD2873">
        <w:rPr>
          <w:rFonts w:ascii="Times New Roman" w:hAnsi="Times New Roman" w:cs="Times New Roman"/>
          <w:sz w:val="28"/>
          <w:szCs w:val="28"/>
        </w:rPr>
        <w:t xml:space="preserve">was a taxable supply, ie whether it was supplied in the course </w:t>
      </w:r>
      <w:r w:rsidR="005074EF" w:rsidRPr="00CD2873">
        <w:rPr>
          <w:rFonts w:ascii="Times New Roman" w:hAnsi="Times New Roman" w:cs="Times New Roman"/>
          <w:sz w:val="28"/>
          <w:szCs w:val="28"/>
        </w:rPr>
        <w:t xml:space="preserve">or </w:t>
      </w:r>
      <w:r w:rsidR="003069D1" w:rsidRPr="00CD2873">
        <w:rPr>
          <w:rFonts w:ascii="Times New Roman" w:hAnsi="Times New Roman" w:cs="Times New Roman"/>
          <w:sz w:val="28"/>
          <w:szCs w:val="28"/>
        </w:rPr>
        <w:t xml:space="preserve">furtherance of an enterprise. </w:t>
      </w:r>
    </w:p>
    <w:p w14:paraId="64278CD0" w14:textId="77777777" w:rsidR="0088214F" w:rsidRDefault="0088214F" w:rsidP="0088214F">
      <w:pPr>
        <w:spacing w:after="0" w:line="360" w:lineRule="auto"/>
        <w:jc w:val="both"/>
        <w:rPr>
          <w:rFonts w:ascii="Times New Roman" w:hAnsi="Times New Roman" w:cs="Times New Roman"/>
          <w:sz w:val="28"/>
          <w:szCs w:val="28"/>
          <w:lang w:val="en-US"/>
        </w:rPr>
      </w:pPr>
    </w:p>
    <w:p w14:paraId="58526E5E" w14:textId="25FB3BE9" w:rsidR="0088214F" w:rsidRPr="00B67EF0" w:rsidRDefault="002F11F2" w:rsidP="0088214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Pr>
          <w:rFonts w:ascii="Times New Roman" w:hAnsi="Times New Roman" w:cs="Times New Roman"/>
          <w:sz w:val="28"/>
          <w:szCs w:val="28"/>
          <w:lang w:val="en-US"/>
        </w:rPr>
        <w:tab/>
      </w:r>
      <w:r w:rsidR="0088214F">
        <w:rPr>
          <w:rFonts w:ascii="Times New Roman" w:hAnsi="Times New Roman" w:cs="Times New Roman"/>
          <w:sz w:val="28"/>
          <w:szCs w:val="28"/>
          <w:lang w:val="en-US"/>
        </w:rPr>
        <w:t xml:space="preserve">The applicable provisions which govern the issues in this matter are as follows. </w:t>
      </w:r>
      <w:r w:rsidR="0088214F" w:rsidRPr="00B67EF0">
        <w:rPr>
          <w:rFonts w:ascii="Times New Roman" w:hAnsi="Times New Roman" w:cs="Times New Roman"/>
          <w:sz w:val="28"/>
          <w:szCs w:val="28"/>
          <w:lang w:val="en-US"/>
        </w:rPr>
        <w:t>In relevant part, ‘input tax’ in s 1 of the VAT Act</w:t>
      </w:r>
      <w:r w:rsidR="0088214F">
        <w:rPr>
          <w:rFonts w:ascii="Times New Roman" w:hAnsi="Times New Roman" w:cs="Times New Roman"/>
          <w:sz w:val="28"/>
          <w:szCs w:val="28"/>
          <w:lang w:val="en-US"/>
        </w:rPr>
        <w:t xml:space="preserve"> </w:t>
      </w:r>
      <w:r w:rsidR="0088214F" w:rsidRPr="00B67EF0">
        <w:rPr>
          <w:rFonts w:ascii="Times New Roman" w:hAnsi="Times New Roman" w:cs="Times New Roman"/>
          <w:sz w:val="28"/>
          <w:szCs w:val="28"/>
          <w:lang w:val="en-US"/>
        </w:rPr>
        <w:t>is defined as:</w:t>
      </w:r>
    </w:p>
    <w:p w14:paraId="6D61017C" w14:textId="30C632CB" w:rsidR="0088214F" w:rsidRPr="002F11F2" w:rsidRDefault="0088214F" w:rsidP="0088214F">
      <w:pPr>
        <w:spacing w:after="0" w:line="360" w:lineRule="auto"/>
        <w:jc w:val="both"/>
        <w:rPr>
          <w:rFonts w:ascii="Times New Roman" w:hAnsi="Times New Roman" w:cs="Times New Roman"/>
          <w:sz w:val="24"/>
          <w:szCs w:val="24"/>
          <w:lang w:val="en-US"/>
        </w:rPr>
      </w:pPr>
      <w:r w:rsidRPr="002F11F2">
        <w:rPr>
          <w:rFonts w:ascii="Times New Roman" w:hAnsi="Times New Roman" w:cs="Times New Roman"/>
          <w:sz w:val="24"/>
          <w:szCs w:val="24"/>
          <w:lang w:val="en-US"/>
        </w:rPr>
        <w:t>‘</w:t>
      </w:r>
      <w:r w:rsidRPr="002F11F2">
        <w:rPr>
          <w:rFonts w:ascii="Times New Roman" w:hAnsi="Times New Roman" w:cs="Times New Roman"/>
          <w:i/>
          <w:sz w:val="24"/>
          <w:szCs w:val="24"/>
          <w:lang w:val="en-US"/>
        </w:rPr>
        <w:t>(a)</w:t>
      </w:r>
      <w:r w:rsidRPr="002F11F2">
        <w:rPr>
          <w:rFonts w:ascii="Times New Roman" w:hAnsi="Times New Roman" w:cs="Times New Roman"/>
          <w:sz w:val="24"/>
          <w:szCs w:val="24"/>
          <w:lang w:val="en-US"/>
        </w:rPr>
        <w:t xml:space="preserve"> </w:t>
      </w:r>
      <w:r w:rsidR="0068046D">
        <w:rPr>
          <w:rFonts w:ascii="Times New Roman" w:hAnsi="Times New Roman" w:cs="Times New Roman"/>
          <w:sz w:val="24"/>
          <w:szCs w:val="24"/>
          <w:lang w:val="en-US"/>
        </w:rPr>
        <w:tab/>
      </w:r>
      <w:r w:rsidRPr="002F11F2">
        <w:rPr>
          <w:rFonts w:ascii="Times New Roman" w:hAnsi="Times New Roman" w:cs="Times New Roman"/>
          <w:sz w:val="24"/>
          <w:szCs w:val="24"/>
          <w:lang w:val="en-US"/>
        </w:rPr>
        <w:t>tax charged under section 7 and payable in terms of that section by –</w:t>
      </w:r>
    </w:p>
    <w:p w14:paraId="6E038234" w14:textId="77777777" w:rsidR="00655B85" w:rsidRDefault="0088214F" w:rsidP="00655B85">
      <w:pPr>
        <w:spacing w:after="0" w:line="360" w:lineRule="auto"/>
        <w:ind w:firstLine="720"/>
        <w:jc w:val="both"/>
        <w:rPr>
          <w:rFonts w:ascii="Times New Roman" w:hAnsi="Times New Roman" w:cs="Times New Roman"/>
          <w:sz w:val="24"/>
          <w:szCs w:val="24"/>
          <w:lang w:val="en-US"/>
        </w:rPr>
      </w:pPr>
      <w:r w:rsidRPr="002F11F2">
        <w:rPr>
          <w:rFonts w:ascii="Times New Roman" w:hAnsi="Times New Roman" w:cs="Times New Roman"/>
          <w:sz w:val="24"/>
          <w:szCs w:val="24"/>
          <w:lang w:val="en-US"/>
        </w:rPr>
        <w:t>(i) a supplier on the supply of goods or services made by that supplier to the vendor;</w:t>
      </w:r>
    </w:p>
    <w:p w14:paraId="3D82DD1F" w14:textId="53F6A961" w:rsidR="0088214F" w:rsidRPr="002F11F2" w:rsidRDefault="0088214F" w:rsidP="00655B85">
      <w:pPr>
        <w:spacing w:after="0" w:line="360" w:lineRule="auto"/>
        <w:jc w:val="both"/>
        <w:rPr>
          <w:rFonts w:ascii="Times New Roman" w:hAnsi="Times New Roman" w:cs="Times New Roman"/>
          <w:sz w:val="24"/>
          <w:szCs w:val="24"/>
          <w:lang w:val="en-US"/>
        </w:rPr>
      </w:pPr>
      <w:r w:rsidRPr="002F11F2">
        <w:rPr>
          <w:rFonts w:ascii="Times New Roman" w:hAnsi="Times New Roman" w:cs="Times New Roman"/>
          <w:sz w:val="24"/>
          <w:szCs w:val="24"/>
          <w:lang w:val="en-US"/>
        </w:rPr>
        <w:t xml:space="preserve"> </w:t>
      </w:r>
      <w:r w:rsidR="00655B85">
        <w:rPr>
          <w:rFonts w:ascii="Times New Roman" w:hAnsi="Times New Roman" w:cs="Times New Roman"/>
          <w:sz w:val="24"/>
          <w:szCs w:val="24"/>
          <w:lang w:val="en-US"/>
        </w:rPr>
        <w:tab/>
      </w:r>
      <w:r w:rsidRPr="002F11F2">
        <w:rPr>
          <w:rFonts w:ascii="Times New Roman" w:hAnsi="Times New Roman" w:cs="Times New Roman"/>
          <w:sz w:val="24"/>
          <w:szCs w:val="24"/>
          <w:lang w:val="en-US"/>
        </w:rPr>
        <w:t>. . .</w:t>
      </w:r>
    </w:p>
    <w:p w14:paraId="6069B777" w14:textId="77777777" w:rsidR="0088214F" w:rsidRPr="002F11F2" w:rsidRDefault="0088214F" w:rsidP="0088214F">
      <w:pPr>
        <w:spacing w:after="0" w:line="360" w:lineRule="auto"/>
        <w:jc w:val="both"/>
        <w:rPr>
          <w:rFonts w:ascii="Times New Roman" w:hAnsi="Times New Roman" w:cs="Times New Roman"/>
          <w:sz w:val="24"/>
          <w:szCs w:val="24"/>
          <w:lang w:val="en-US"/>
        </w:rPr>
      </w:pPr>
      <w:r w:rsidRPr="002F11F2">
        <w:rPr>
          <w:rFonts w:ascii="Times New Roman" w:hAnsi="Times New Roman" w:cs="Times New Roman"/>
          <w:sz w:val="24"/>
          <w:szCs w:val="24"/>
          <w:lang w:val="en-US"/>
        </w:rPr>
        <w:t>where the goods or services concerned are acquired by the vendor wholly for the purpose of consumption, use or supply in the course of making taxable supplies</w:t>
      </w:r>
      <w:r w:rsidRPr="002F11F2">
        <w:rPr>
          <w:rFonts w:ascii="Times New Roman" w:hAnsi="Times New Roman" w:cs="Times New Roman"/>
          <w:sz w:val="24"/>
          <w:szCs w:val="24"/>
        </w:rPr>
        <w:t xml:space="preserve"> </w:t>
      </w:r>
      <w:r w:rsidRPr="002F11F2">
        <w:rPr>
          <w:rFonts w:ascii="Times New Roman" w:hAnsi="Times New Roman" w:cs="Times New Roman"/>
          <w:sz w:val="24"/>
          <w:szCs w:val="24"/>
          <w:lang w:val="en-US"/>
        </w:rPr>
        <w:t>or, where the goods or services are acquired by the vendor partly for such purpose, to the extent (as determined in accordance with the provisions of section 17) that the goods or services concerned are acquired by the vendor for such purpose.’</w:t>
      </w:r>
    </w:p>
    <w:p w14:paraId="52B03BD4" w14:textId="77777777" w:rsidR="0088214F" w:rsidRDefault="0088214F" w:rsidP="0088214F">
      <w:pPr>
        <w:spacing w:after="0" w:line="360" w:lineRule="auto"/>
        <w:jc w:val="both"/>
        <w:rPr>
          <w:rFonts w:ascii="Times New Roman" w:hAnsi="Times New Roman" w:cs="Times New Roman"/>
          <w:sz w:val="28"/>
          <w:szCs w:val="28"/>
          <w:lang w:val="en-US"/>
        </w:rPr>
      </w:pPr>
    </w:p>
    <w:p w14:paraId="610F65ED" w14:textId="32FEA35E" w:rsidR="00D1661D" w:rsidRPr="00B67EF0" w:rsidRDefault="002F11F2" w:rsidP="00D1661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rPr>
        <w:t>]</w:t>
      </w:r>
      <w:r>
        <w:rPr>
          <w:rFonts w:ascii="Times New Roman" w:hAnsi="Times New Roman" w:cs="Times New Roman"/>
          <w:sz w:val="28"/>
          <w:szCs w:val="28"/>
        </w:rPr>
        <w:tab/>
      </w:r>
      <w:r w:rsidR="00F25899" w:rsidRPr="00B67EF0">
        <w:rPr>
          <w:rFonts w:ascii="Times New Roman" w:hAnsi="Times New Roman" w:cs="Times New Roman"/>
          <w:sz w:val="28"/>
          <w:szCs w:val="28"/>
          <w:lang w:val="en-US"/>
        </w:rPr>
        <w:t xml:space="preserve">Section 16(3) of the VAT Act governs the calculation of tax payable during each period. </w:t>
      </w:r>
      <w:r w:rsidR="00F25899" w:rsidRPr="00B67EF0">
        <w:rPr>
          <w:rFonts w:ascii="Times New Roman" w:hAnsi="Times New Roman" w:cs="Times New Roman"/>
          <w:sz w:val="28"/>
          <w:szCs w:val="28"/>
        </w:rPr>
        <w:t>Section 16(3)</w:t>
      </w:r>
      <w:r w:rsidR="00F25899" w:rsidRPr="00B67EF0">
        <w:rPr>
          <w:rFonts w:ascii="Times New Roman" w:hAnsi="Times New Roman" w:cs="Times New Roman"/>
          <w:i/>
          <w:sz w:val="28"/>
          <w:szCs w:val="28"/>
        </w:rPr>
        <w:t>(c)</w:t>
      </w:r>
      <w:r w:rsidR="00F25899" w:rsidRPr="00B67EF0">
        <w:rPr>
          <w:rFonts w:ascii="Times New Roman" w:hAnsi="Times New Roman" w:cs="Times New Roman"/>
          <w:sz w:val="28"/>
          <w:szCs w:val="28"/>
        </w:rPr>
        <w:t xml:space="preserve"> of the VAT Act provides for a deduction of an amount equal to the tax fraction of any payment made to indemnify another </w:t>
      </w:r>
      <w:r w:rsidR="00F25899" w:rsidRPr="00655B85">
        <w:rPr>
          <w:rFonts w:ascii="Times New Roman" w:hAnsi="Times New Roman" w:cs="Times New Roman"/>
          <w:sz w:val="28"/>
          <w:szCs w:val="28"/>
        </w:rPr>
        <w:t xml:space="preserve">person in terms of any contract of insurance. The proviso in </w:t>
      </w:r>
      <w:r w:rsidR="0068046D" w:rsidRPr="00655B85">
        <w:rPr>
          <w:rFonts w:ascii="Times New Roman" w:hAnsi="Times New Roman" w:cs="Times New Roman"/>
          <w:sz w:val="28"/>
          <w:szCs w:val="28"/>
        </w:rPr>
        <w:t>sub</w:t>
      </w:r>
      <w:r w:rsidR="00F25899" w:rsidRPr="00655B85">
        <w:rPr>
          <w:rFonts w:ascii="Times New Roman" w:hAnsi="Times New Roman" w:cs="Times New Roman"/>
          <w:sz w:val="28"/>
          <w:szCs w:val="28"/>
        </w:rPr>
        <w:t>paragraph (i) of s 16(3)</w:t>
      </w:r>
      <w:r w:rsidR="00F25899" w:rsidRPr="00655B85">
        <w:rPr>
          <w:rFonts w:ascii="Times New Roman" w:hAnsi="Times New Roman" w:cs="Times New Roman"/>
          <w:i/>
          <w:sz w:val="28"/>
          <w:szCs w:val="28"/>
        </w:rPr>
        <w:t>(c)</w:t>
      </w:r>
      <w:r w:rsidR="00F25899" w:rsidRPr="00655B85">
        <w:rPr>
          <w:rFonts w:ascii="Times New Roman" w:hAnsi="Times New Roman" w:cs="Times New Roman"/>
          <w:sz w:val="28"/>
          <w:szCs w:val="28"/>
        </w:rPr>
        <w:t xml:space="preserve"> </w:t>
      </w:r>
      <w:r w:rsidR="00F52B7A" w:rsidRPr="00655B85">
        <w:rPr>
          <w:rFonts w:ascii="Times New Roman" w:hAnsi="Times New Roman" w:cs="Times New Roman"/>
          <w:sz w:val="28"/>
          <w:szCs w:val="28"/>
        </w:rPr>
        <w:t xml:space="preserve">is </w:t>
      </w:r>
      <w:r w:rsidR="00F25899" w:rsidRPr="00655B85">
        <w:rPr>
          <w:rFonts w:ascii="Times New Roman" w:hAnsi="Times New Roman" w:cs="Times New Roman"/>
          <w:sz w:val="28"/>
          <w:szCs w:val="28"/>
        </w:rPr>
        <w:t xml:space="preserve">that this paragraph shall only apply where the supply of that contract of insurance is a </w:t>
      </w:r>
      <w:r w:rsidR="00D1661D" w:rsidRPr="00655B85">
        <w:rPr>
          <w:rFonts w:ascii="Times New Roman" w:hAnsi="Times New Roman" w:cs="Times New Roman"/>
          <w:sz w:val="28"/>
          <w:szCs w:val="28"/>
        </w:rPr>
        <w:t>‘</w:t>
      </w:r>
      <w:r w:rsidR="00F25899" w:rsidRPr="00655B85">
        <w:rPr>
          <w:rFonts w:ascii="Times New Roman" w:hAnsi="Times New Roman" w:cs="Times New Roman"/>
          <w:sz w:val="28"/>
          <w:szCs w:val="28"/>
        </w:rPr>
        <w:t>taxable supply</w:t>
      </w:r>
      <w:r w:rsidR="00D1661D" w:rsidRPr="00655B85">
        <w:rPr>
          <w:rFonts w:ascii="Times New Roman" w:hAnsi="Times New Roman" w:cs="Times New Roman"/>
          <w:sz w:val="28"/>
          <w:szCs w:val="28"/>
        </w:rPr>
        <w:t>’</w:t>
      </w:r>
      <w:r w:rsidR="00F25899" w:rsidRPr="00655B85">
        <w:rPr>
          <w:rFonts w:ascii="Times New Roman" w:hAnsi="Times New Roman" w:cs="Times New Roman"/>
          <w:sz w:val="28"/>
          <w:szCs w:val="28"/>
        </w:rPr>
        <w:t>.</w:t>
      </w:r>
      <w:r w:rsidR="00D1661D" w:rsidRPr="00655B85">
        <w:rPr>
          <w:rFonts w:ascii="Times New Roman" w:hAnsi="Times New Roman" w:cs="Times New Roman"/>
          <w:sz w:val="28"/>
          <w:szCs w:val="28"/>
        </w:rPr>
        <w:t xml:space="preserve"> </w:t>
      </w:r>
      <w:r w:rsidR="00D1661D" w:rsidRPr="00655B85">
        <w:rPr>
          <w:rFonts w:ascii="Times New Roman" w:hAnsi="Times New Roman" w:cs="Times New Roman"/>
          <w:sz w:val="28"/>
          <w:szCs w:val="28"/>
          <w:lang w:val="en-US"/>
        </w:rPr>
        <w:t>It provides, to the extent relevant, as follows:</w:t>
      </w:r>
    </w:p>
    <w:p w14:paraId="26C62C3C" w14:textId="4425AE54" w:rsidR="00D1661D" w:rsidRPr="002F11F2" w:rsidRDefault="002F11F2" w:rsidP="00D1661D">
      <w:pPr>
        <w:spacing w:after="0" w:line="360" w:lineRule="auto"/>
        <w:jc w:val="both"/>
        <w:rPr>
          <w:rFonts w:ascii="Times New Roman" w:hAnsi="Times New Roman" w:cs="Times New Roman"/>
          <w:sz w:val="24"/>
          <w:szCs w:val="24"/>
          <w:lang w:val="en-US"/>
        </w:rPr>
      </w:pPr>
      <w:r w:rsidRPr="002F11F2">
        <w:rPr>
          <w:rFonts w:ascii="Times New Roman" w:hAnsi="Times New Roman" w:cs="Times New Roman"/>
          <w:sz w:val="24"/>
          <w:szCs w:val="24"/>
          <w:lang w:val="en-US"/>
        </w:rPr>
        <w:t xml:space="preserve">‘(3) </w:t>
      </w:r>
      <w:r w:rsidR="0068046D">
        <w:rPr>
          <w:rFonts w:ascii="Times New Roman" w:hAnsi="Times New Roman" w:cs="Times New Roman"/>
          <w:sz w:val="24"/>
          <w:szCs w:val="24"/>
          <w:lang w:val="en-US"/>
        </w:rPr>
        <w:tab/>
      </w:r>
      <w:r w:rsidR="00D1661D" w:rsidRPr="002F11F2">
        <w:rPr>
          <w:rFonts w:ascii="Times New Roman" w:hAnsi="Times New Roman" w:cs="Times New Roman"/>
          <w:sz w:val="24"/>
          <w:szCs w:val="24"/>
          <w:lang w:val="en-US"/>
        </w:rPr>
        <w:t>Subject to the provisions of subsection (2) of this section and the provisions of sections 15 and 17, the amount of tax payable in respect of a tax period shall be calculated by deducting from the sum of the amounts of output tax of the vendor which are attributable to that period, as determined under subsection (4), and the amounts (if any) received by the vendor during that period by way of refunds of tax charged under section 7(1)</w:t>
      </w:r>
      <w:r w:rsidR="00D1661D" w:rsidRPr="002F11F2">
        <w:rPr>
          <w:rFonts w:ascii="Times New Roman" w:hAnsi="Times New Roman" w:cs="Times New Roman"/>
          <w:i/>
          <w:sz w:val="24"/>
          <w:szCs w:val="24"/>
          <w:lang w:val="en-US"/>
        </w:rPr>
        <w:t>(b)</w:t>
      </w:r>
      <w:r w:rsidR="00D1661D" w:rsidRPr="002F11F2">
        <w:rPr>
          <w:rFonts w:ascii="Times New Roman" w:hAnsi="Times New Roman" w:cs="Times New Roman"/>
          <w:sz w:val="24"/>
          <w:szCs w:val="24"/>
          <w:lang w:val="en-US"/>
        </w:rPr>
        <w:t xml:space="preserve"> and </w:t>
      </w:r>
      <w:r w:rsidR="00D1661D" w:rsidRPr="002F11F2">
        <w:rPr>
          <w:rFonts w:ascii="Times New Roman" w:hAnsi="Times New Roman" w:cs="Times New Roman"/>
          <w:i/>
          <w:sz w:val="24"/>
          <w:szCs w:val="24"/>
          <w:lang w:val="en-US"/>
        </w:rPr>
        <w:t>(c)</w:t>
      </w:r>
      <w:r w:rsidR="00D1661D" w:rsidRPr="002F11F2">
        <w:rPr>
          <w:rFonts w:ascii="Times New Roman" w:hAnsi="Times New Roman" w:cs="Times New Roman"/>
          <w:sz w:val="24"/>
          <w:szCs w:val="24"/>
          <w:lang w:val="en-US"/>
        </w:rPr>
        <w:t xml:space="preserve"> and 7(3)</w:t>
      </w:r>
      <w:r w:rsidR="00D1661D" w:rsidRPr="002F11F2">
        <w:rPr>
          <w:rFonts w:ascii="Times New Roman" w:hAnsi="Times New Roman" w:cs="Times New Roman"/>
          <w:i/>
          <w:sz w:val="24"/>
          <w:szCs w:val="24"/>
          <w:lang w:val="en-US"/>
        </w:rPr>
        <w:t>(a)</w:t>
      </w:r>
      <w:r w:rsidR="00D1661D" w:rsidRPr="002F11F2">
        <w:rPr>
          <w:rFonts w:ascii="Times New Roman" w:hAnsi="Times New Roman" w:cs="Times New Roman"/>
          <w:sz w:val="24"/>
          <w:szCs w:val="24"/>
          <w:lang w:val="en-US"/>
        </w:rPr>
        <w:t>, the following amounts, namely</w:t>
      </w:r>
      <w:r w:rsidR="008A0F70">
        <w:rPr>
          <w:rFonts w:ascii="Times New Roman" w:hAnsi="Times New Roman" w:cs="Times New Roman"/>
          <w:sz w:val="24"/>
          <w:szCs w:val="24"/>
          <w:lang w:val="en-US"/>
        </w:rPr>
        <w:t xml:space="preserve"> – </w:t>
      </w:r>
    </w:p>
    <w:p w14:paraId="1B9BCC4C" w14:textId="7D352276" w:rsidR="00D1661D" w:rsidRPr="002F11F2" w:rsidRDefault="00D1661D" w:rsidP="00D1661D">
      <w:pPr>
        <w:spacing w:after="0" w:line="360" w:lineRule="auto"/>
        <w:jc w:val="both"/>
        <w:rPr>
          <w:rFonts w:ascii="Times New Roman" w:hAnsi="Times New Roman" w:cs="Times New Roman"/>
          <w:sz w:val="24"/>
          <w:szCs w:val="24"/>
          <w:lang w:val="en-US"/>
        </w:rPr>
      </w:pPr>
      <w:r w:rsidRPr="002F11F2">
        <w:rPr>
          <w:rFonts w:ascii="Times New Roman" w:hAnsi="Times New Roman" w:cs="Times New Roman"/>
          <w:sz w:val="24"/>
          <w:szCs w:val="24"/>
          <w:lang w:val="en-US"/>
        </w:rPr>
        <w:t>. . .</w:t>
      </w:r>
    </w:p>
    <w:p w14:paraId="6D158591" w14:textId="5ABC771A" w:rsidR="00D1661D" w:rsidRPr="002F11F2" w:rsidRDefault="00D1661D" w:rsidP="00D1661D">
      <w:pPr>
        <w:spacing w:after="0" w:line="360" w:lineRule="auto"/>
        <w:jc w:val="both"/>
        <w:rPr>
          <w:rFonts w:ascii="Times New Roman" w:hAnsi="Times New Roman" w:cs="Times New Roman"/>
          <w:i/>
          <w:sz w:val="24"/>
          <w:szCs w:val="24"/>
        </w:rPr>
      </w:pPr>
      <w:r w:rsidRPr="002F11F2">
        <w:rPr>
          <w:rFonts w:ascii="Times New Roman" w:hAnsi="Times New Roman" w:cs="Times New Roman"/>
          <w:i/>
          <w:sz w:val="24"/>
          <w:szCs w:val="24"/>
        </w:rPr>
        <w:t>(</w:t>
      </w:r>
      <w:r w:rsidRPr="002F11F2">
        <w:rPr>
          <w:rFonts w:ascii="Times New Roman" w:hAnsi="Times New Roman" w:cs="Times New Roman"/>
          <w:i/>
          <w:iCs/>
          <w:sz w:val="24"/>
          <w:szCs w:val="24"/>
        </w:rPr>
        <w:t>c</w:t>
      </w:r>
      <w:r w:rsidRPr="002F11F2">
        <w:rPr>
          <w:rFonts w:ascii="Times New Roman" w:hAnsi="Times New Roman" w:cs="Times New Roman"/>
          <w:i/>
          <w:sz w:val="24"/>
          <w:szCs w:val="24"/>
        </w:rPr>
        <w:t xml:space="preserve">)  </w:t>
      </w:r>
      <w:r w:rsidR="00EB48B6">
        <w:rPr>
          <w:rFonts w:ascii="Times New Roman" w:hAnsi="Times New Roman" w:cs="Times New Roman"/>
          <w:i/>
          <w:sz w:val="24"/>
          <w:szCs w:val="24"/>
        </w:rPr>
        <w:tab/>
      </w:r>
      <w:r w:rsidRPr="002F11F2">
        <w:rPr>
          <w:rFonts w:ascii="Times New Roman" w:hAnsi="Times New Roman" w:cs="Times New Roman"/>
          <w:sz w:val="24"/>
          <w:szCs w:val="24"/>
        </w:rPr>
        <w:t>an amount equal to the tax fraction of any payment made during the tax period by the vendor to indemnify another person in terms of any contract of insurance: Provided that this paragraph</w:t>
      </w:r>
      <w:r w:rsidR="008A0F70">
        <w:rPr>
          <w:rFonts w:ascii="Times New Roman" w:hAnsi="Times New Roman" w:cs="Times New Roman"/>
          <w:sz w:val="24"/>
          <w:szCs w:val="24"/>
        </w:rPr>
        <w:t xml:space="preserve"> </w:t>
      </w:r>
      <w:r w:rsidR="008A0F70">
        <w:rPr>
          <w:rFonts w:ascii="Times New Roman" w:hAnsi="Times New Roman" w:cs="Times New Roman"/>
          <w:sz w:val="24"/>
          <w:szCs w:val="24"/>
          <w:lang w:val="en-US"/>
        </w:rPr>
        <w:t xml:space="preserve">– </w:t>
      </w:r>
    </w:p>
    <w:p w14:paraId="6DB201E9" w14:textId="4BE1117E" w:rsidR="00D1661D" w:rsidRPr="005A3E0F" w:rsidRDefault="00D1661D" w:rsidP="005A3E0F">
      <w:pPr>
        <w:spacing w:after="0" w:line="360" w:lineRule="auto"/>
        <w:ind w:left="720"/>
        <w:jc w:val="both"/>
        <w:rPr>
          <w:rFonts w:ascii="Times New Roman" w:hAnsi="Times New Roman" w:cs="Times New Roman"/>
          <w:sz w:val="24"/>
          <w:szCs w:val="24"/>
        </w:rPr>
      </w:pPr>
      <w:r w:rsidRPr="002F11F2">
        <w:rPr>
          <w:rFonts w:ascii="Times New Roman" w:hAnsi="Times New Roman" w:cs="Times New Roman"/>
          <w:sz w:val="24"/>
          <w:szCs w:val="24"/>
        </w:rPr>
        <w:t>(i)  shall only apply where the supply of that contract of insurance is a taxable supply or where the supply of that contract of insurance would have been a taxable supply if the time of performance of that supply had been on or after the commencement date</w:t>
      </w:r>
      <w:r w:rsidR="0068046D">
        <w:rPr>
          <w:rFonts w:ascii="Times New Roman" w:hAnsi="Times New Roman" w:cs="Times New Roman"/>
          <w:sz w:val="24"/>
          <w:szCs w:val="24"/>
        </w:rPr>
        <w:t>.</w:t>
      </w:r>
      <w:r w:rsidRPr="002F11F2">
        <w:rPr>
          <w:rFonts w:ascii="Times New Roman" w:hAnsi="Times New Roman" w:cs="Times New Roman"/>
          <w:sz w:val="24"/>
          <w:szCs w:val="24"/>
        </w:rPr>
        <w:t>’</w:t>
      </w:r>
      <w:r w:rsidR="008A0F70">
        <w:rPr>
          <w:rFonts w:ascii="Times New Roman" w:hAnsi="Times New Roman" w:cs="Times New Roman"/>
          <w:sz w:val="24"/>
          <w:szCs w:val="24"/>
        </w:rPr>
        <w:t xml:space="preserve"> </w:t>
      </w:r>
    </w:p>
    <w:p w14:paraId="4936FDA2" w14:textId="25BB8F33" w:rsidR="00A14D1C" w:rsidRDefault="00A14D1C" w:rsidP="00D1661D">
      <w:pPr>
        <w:spacing w:after="0" w:line="360" w:lineRule="auto"/>
        <w:jc w:val="both"/>
        <w:rPr>
          <w:rFonts w:ascii="Times New Roman" w:hAnsi="Times New Roman" w:cs="Times New Roman"/>
          <w:sz w:val="28"/>
          <w:szCs w:val="28"/>
          <w:lang w:val="en-US"/>
        </w:rPr>
      </w:pPr>
    </w:p>
    <w:p w14:paraId="3444775C" w14:textId="0F222691" w:rsidR="00D1661D" w:rsidRPr="005A3E0F" w:rsidRDefault="002F11F2" w:rsidP="00D1661D">
      <w:pPr>
        <w:spacing w:after="0" w:line="360" w:lineRule="auto"/>
        <w:jc w:val="both"/>
        <w:rPr>
          <w:rFonts w:ascii="Times New Roman" w:hAnsi="Times New Roman" w:cs="Times New Roman"/>
          <w:sz w:val="24"/>
          <w:szCs w:val="24"/>
          <w:lang w:val="en-US"/>
        </w:rPr>
      </w:pPr>
      <w:r>
        <w:rPr>
          <w:rFonts w:ascii="Times New Roman" w:hAnsi="Times New Roman" w:cs="Times New Roman"/>
          <w:sz w:val="28"/>
          <w:szCs w:val="28"/>
          <w:lang w:val="en-US"/>
        </w:rPr>
        <w:lastRenderedPageBreak/>
        <w:t>[12]</w:t>
      </w:r>
      <w:r>
        <w:rPr>
          <w:rFonts w:ascii="Times New Roman" w:hAnsi="Times New Roman" w:cs="Times New Roman"/>
          <w:sz w:val="28"/>
          <w:szCs w:val="28"/>
          <w:lang w:val="en-US"/>
        </w:rPr>
        <w:tab/>
      </w:r>
      <w:r w:rsidR="00D1661D" w:rsidRPr="00B67EF0">
        <w:rPr>
          <w:rFonts w:ascii="Times New Roman" w:hAnsi="Times New Roman" w:cs="Times New Roman"/>
          <w:sz w:val="28"/>
          <w:szCs w:val="28"/>
          <w:lang w:val="en-US"/>
        </w:rPr>
        <w:t>Section 1 of the VAT Act defines the phrase ‘taxable supply’ as follows:</w:t>
      </w:r>
      <w:r w:rsidR="008A0F70">
        <w:rPr>
          <w:rFonts w:ascii="Times New Roman" w:hAnsi="Times New Roman" w:cs="Times New Roman"/>
          <w:sz w:val="28"/>
          <w:szCs w:val="28"/>
          <w:lang w:val="en-US"/>
        </w:rPr>
        <w:t xml:space="preserve"> </w:t>
      </w:r>
      <w:r w:rsidR="00B502C0">
        <w:rPr>
          <w:rFonts w:ascii="Times New Roman" w:hAnsi="Times New Roman" w:cs="Times New Roman"/>
          <w:sz w:val="28"/>
          <w:szCs w:val="28"/>
          <w:lang w:val="en-US"/>
        </w:rPr>
        <w:t>‘“</w:t>
      </w:r>
      <w:r w:rsidR="00ED2E92" w:rsidRPr="005A3E0F">
        <w:rPr>
          <w:rFonts w:ascii="Times New Roman" w:hAnsi="Times New Roman" w:cs="Times New Roman"/>
          <w:sz w:val="24"/>
          <w:szCs w:val="24"/>
          <w:lang w:val="en-US"/>
        </w:rPr>
        <w:t>taxable supply</w:t>
      </w:r>
      <w:r w:rsidR="008A0F70" w:rsidRPr="005A3E0F">
        <w:rPr>
          <w:rFonts w:ascii="Times New Roman" w:hAnsi="Times New Roman" w:cs="Times New Roman"/>
          <w:sz w:val="24"/>
          <w:szCs w:val="24"/>
          <w:lang w:val="en-US"/>
        </w:rPr>
        <w:t>”</w:t>
      </w:r>
      <w:r w:rsidR="00D1661D" w:rsidRPr="005A3E0F">
        <w:rPr>
          <w:rFonts w:ascii="Times New Roman" w:hAnsi="Times New Roman" w:cs="Times New Roman"/>
          <w:sz w:val="24"/>
          <w:szCs w:val="24"/>
          <w:lang w:val="en-US"/>
        </w:rPr>
        <w:t xml:space="preserve"> means any supply of goods or services which is chargeable with tax under the provisions of section 7(1)</w:t>
      </w:r>
      <w:r w:rsidR="00D1661D" w:rsidRPr="005A3E0F">
        <w:rPr>
          <w:rFonts w:ascii="Times New Roman" w:hAnsi="Times New Roman" w:cs="Times New Roman"/>
          <w:i/>
          <w:sz w:val="24"/>
          <w:szCs w:val="24"/>
          <w:lang w:val="en-US"/>
        </w:rPr>
        <w:t>(a)</w:t>
      </w:r>
      <w:r w:rsidR="00D1661D" w:rsidRPr="005A3E0F">
        <w:rPr>
          <w:rFonts w:ascii="Times New Roman" w:hAnsi="Times New Roman" w:cs="Times New Roman"/>
          <w:sz w:val="24"/>
          <w:szCs w:val="24"/>
          <w:lang w:val="en-US"/>
        </w:rPr>
        <w:t>, including tax chargeable at the rate of zero per cent under section 11</w:t>
      </w:r>
      <w:r w:rsidR="008A0F70" w:rsidRPr="005A3E0F">
        <w:rPr>
          <w:rFonts w:ascii="Times New Roman" w:hAnsi="Times New Roman" w:cs="Times New Roman"/>
          <w:sz w:val="24"/>
          <w:szCs w:val="24"/>
          <w:lang w:val="en-US"/>
        </w:rPr>
        <w:t>.</w:t>
      </w:r>
      <w:r w:rsidR="00D1661D" w:rsidRPr="005A3E0F">
        <w:rPr>
          <w:rFonts w:ascii="Times New Roman" w:hAnsi="Times New Roman" w:cs="Times New Roman"/>
          <w:sz w:val="24"/>
          <w:szCs w:val="24"/>
          <w:lang w:val="en-US"/>
        </w:rPr>
        <w:t>’</w:t>
      </w:r>
    </w:p>
    <w:p w14:paraId="41A3CE14" w14:textId="77777777" w:rsidR="00D1661D" w:rsidRPr="00B67EF0" w:rsidRDefault="00D1661D" w:rsidP="00D1661D">
      <w:pPr>
        <w:spacing w:after="0" w:line="360" w:lineRule="auto"/>
        <w:jc w:val="both"/>
        <w:rPr>
          <w:rFonts w:ascii="Times New Roman" w:hAnsi="Times New Roman" w:cs="Times New Roman"/>
          <w:i/>
          <w:sz w:val="28"/>
          <w:szCs w:val="28"/>
          <w:lang w:val="en-US"/>
        </w:rPr>
      </w:pPr>
    </w:p>
    <w:p w14:paraId="44259DF2" w14:textId="3FF23CE4" w:rsidR="00D1661D" w:rsidRPr="00B67EF0" w:rsidRDefault="00ED2E92" w:rsidP="00D166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D1661D" w:rsidRPr="00B67EF0">
        <w:rPr>
          <w:rFonts w:ascii="Times New Roman" w:hAnsi="Times New Roman" w:cs="Times New Roman"/>
          <w:sz w:val="28"/>
          <w:szCs w:val="28"/>
        </w:rPr>
        <w:t xml:space="preserve">Section 7 of the </w:t>
      </w:r>
      <w:r w:rsidR="00D1661D" w:rsidRPr="00B67EF0">
        <w:rPr>
          <w:rFonts w:ascii="Times New Roman" w:hAnsi="Times New Roman" w:cs="Times New Roman"/>
          <w:sz w:val="28"/>
          <w:szCs w:val="28"/>
          <w:lang w:val="en-US"/>
        </w:rPr>
        <w:t xml:space="preserve">VAT Act </w:t>
      </w:r>
      <w:r w:rsidR="00D1661D" w:rsidRPr="00B67EF0">
        <w:rPr>
          <w:rFonts w:ascii="Times New Roman" w:hAnsi="Times New Roman" w:cs="Times New Roman"/>
          <w:sz w:val="28"/>
          <w:szCs w:val="28"/>
        </w:rPr>
        <w:t xml:space="preserve">is the charging provision. Subject to exemptions and other exclusions, it provides for the charging of tax on supplies of goods and </w:t>
      </w:r>
      <w:r w:rsidR="00D1661D" w:rsidRPr="00655B85">
        <w:rPr>
          <w:rFonts w:ascii="Times New Roman" w:hAnsi="Times New Roman" w:cs="Times New Roman"/>
          <w:sz w:val="28"/>
          <w:szCs w:val="28"/>
        </w:rPr>
        <w:t xml:space="preserve">services. It provides, </w:t>
      </w:r>
      <w:r w:rsidR="00F61551" w:rsidRPr="00655B85">
        <w:rPr>
          <w:rFonts w:ascii="Times New Roman" w:hAnsi="Times New Roman" w:cs="Times New Roman"/>
          <w:sz w:val="28"/>
          <w:szCs w:val="28"/>
        </w:rPr>
        <w:t xml:space="preserve">in </w:t>
      </w:r>
      <w:r w:rsidR="00D1661D" w:rsidRPr="00655B85">
        <w:rPr>
          <w:rFonts w:ascii="Times New Roman" w:hAnsi="Times New Roman" w:cs="Times New Roman"/>
          <w:sz w:val="28"/>
          <w:szCs w:val="28"/>
        </w:rPr>
        <w:t>relevant</w:t>
      </w:r>
      <w:r w:rsidR="00F61551" w:rsidRPr="00655B85">
        <w:rPr>
          <w:rFonts w:ascii="Times New Roman" w:hAnsi="Times New Roman" w:cs="Times New Roman"/>
          <w:sz w:val="28"/>
          <w:szCs w:val="28"/>
        </w:rPr>
        <w:t xml:space="preserve"> part</w:t>
      </w:r>
      <w:r w:rsidR="00D1661D" w:rsidRPr="00655B85">
        <w:rPr>
          <w:rFonts w:ascii="Times New Roman" w:hAnsi="Times New Roman" w:cs="Times New Roman"/>
          <w:sz w:val="28"/>
          <w:szCs w:val="28"/>
        </w:rPr>
        <w:t>, as follows</w:t>
      </w:r>
      <w:r w:rsidR="00D1661D" w:rsidRPr="00B67EF0">
        <w:rPr>
          <w:rFonts w:ascii="Times New Roman" w:hAnsi="Times New Roman" w:cs="Times New Roman"/>
          <w:sz w:val="28"/>
          <w:szCs w:val="28"/>
        </w:rPr>
        <w:t>:</w:t>
      </w:r>
    </w:p>
    <w:p w14:paraId="72292E18" w14:textId="4B101A05" w:rsidR="00D1661D" w:rsidRPr="00ED2E92" w:rsidRDefault="00ED2E92" w:rsidP="00D1661D">
      <w:pPr>
        <w:spacing w:after="0" w:line="360" w:lineRule="auto"/>
        <w:jc w:val="both"/>
        <w:rPr>
          <w:rFonts w:ascii="Times New Roman" w:hAnsi="Times New Roman" w:cs="Times New Roman"/>
          <w:sz w:val="24"/>
          <w:szCs w:val="24"/>
        </w:rPr>
      </w:pPr>
      <w:r w:rsidRPr="00ED2E92">
        <w:rPr>
          <w:rFonts w:ascii="Times New Roman" w:hAnsi="Times New Roman" w:cs="Times New Roman"/>
          <w:sz w:val="24"/>
          <w:szCs w:val="24"/>
        </w:rPr>
        <w:t xml:space="preserve">‘(1) </w:t>
      </w:r>
      <w:r w:rsidR="008A0F70">
        <w:rPr>
          <w:rFonts w:ascii="Times New Roman" w:hAnsi="Times New Roman" w:cs="Times New Roman"/>
          <w:sz w:val="24"/>
          <w:szCs w:val="24"/>
        </w:rPr>
        <w:tab/>
      </w:r>
      <w:r w:rsidR="00D1661D" w:rsidRPr="00ED2E92">
        <w:rPr>
          <w:rFonts w:ascii="Times New Roman" w:hAnsi="Times New Roman" w:cs="Times New Roman"/>
          <w:sz w:val="24"/>
          <w:szCs w:val="24"/>
        </w:rPr>
        <w:t>Subject to the exemptions, exceptions, deductions and adjustments provided for in this Act, there shall be levied and paid for the benefit of the National Revenue Fund a tax, to be known as the value-added tax</w:t>
      </w:r>
      <w:r w:rsidR="008A0F70">
        <w:rPr>
          <w:rFonts w:ascii="Times New Roman" w:hAnsi="Times New Roman" w:cs="Times New Roman"/>
          <w:sz w:val="24"/>
          <w:szCs w:val="24"/>
        </w:rPr>
        <w:t xml:space="preserve"> </w:t>
      </w:r>
      <w:r w:rsidR="008A0F70">
        <w:rPr>
          <w:rFonts w:ascii="Times New Roman" w:hAnsi="Times New Roman" w:cs="Times New Roman"/>
          <w:sz w:val="24"/>
          <w:szCs w:val="24"/>
          <w:lang w:val="en-US"/>
        </w:rPr>
        <w:t xml:space="preserve">– </w:t>
      </w:r>
    </w:p>
    <w:p w14:paraId="30DA3F1D" w14:textId="2ECE8A12" w:rsidR="00D1661D" w:rsidRPr="00ED2E92" w:rsidRDefault="00D1661D" w:rsidP="00D1661D">
      <w:pPr>
        <w:spacing w:after="0" w:line="360" w:lineRule="auto"/>
        <w:jc w:val="both"/>
        <w:rPr>
          <w:rFonts w:ascii="Times New Roman" w:hAnsi="Times New Roman" w:cs="Times New Roman"/>
          <w:sz w:val="24"/>
          <w:szCs w:val="24"/>
        </w:rPr>
      </w:pPr>
      <w:r w:rsidRPr="00ED2E92">
        <w:rPr>
          <w:rFonts w:ascii="Times New Roman" w:hAnsi="Times New Roman" w:cs="Times New Roman"/>
          <w:i/>
          <w:sz w:val="24"/>
          <w:szCs w:val="24"/>
        </w:rPr>
        <w:t>(a)</w:t>
      </w:r>
      <w:r w:rsidRPr="00ED2E92">
        <w:rPr>
          <w:rFonts w:ascii="Times New Roman" w:hAnsi="Times New Roman" w:cs="Times New Roman"/>
          <w:sz w:val="24"/>
          <w:szCs w:val="24"/>
        </w:rPr>
        <w:t xml:space="preserve">  </w:t>
      </w:r>
      <w:r w:rsidR="00EB48B6">
        <w:rPr>
          <w:rFonts w:ascii="Times New Roman" w:hAnsi="Times New Roman" w:cs="Times New Roman"/>
          <w:sz w:val="24"/>
          <w:szCs w:val="24"/>
        </w:rPr>
        <w:tab/>
      </w:r>
      <w:r w:rsidRPr="00ED2E92">
        <w:rPr>
          <w:rFonts w:ascii="Times New Roman" w:hAnsi="Times New Roman" w:cs="Times New Roman"/>
          <w:sz w:val="24"/>
          <w:szCs w:val="24"/>
        </w:rPr>
        <w:t>on the supply by any vendor of goods or services supplied by him on or after the commencement date in the course or furtherance of any enterprise carried on by him;</w:t>
      </w:r>
    </w:p>
    <w:p w14:paraId="778B793D" w14:textId="310BB24A" w:rsidR="00D1661D" w:rsidRPr="00ED2E92" w:rsidRDefault="00D1661D" w:rsidP="00D1661D">
      <w:pPr>
        <w:spacing w:after="0" w:line="360" w:lineRule="auto"/>
        <w:jc w:val="both"/>
        <w:rPr>
          <w:rFonts w:ascii="Times New Roman" w:hAnsi="Times New Roman" w:cs="Times New Roman"/>
          <w:sz w:val="24"/>
          <w:szCs w:val="24"/>
        </w:rPr>
      </w:pPr>
      <w:r w:rsidRPr="00ED2E92">
        <w:rPr>
          <w:rFonts w:ascii="Times New Roman" w:hAnsi="Times New Roman" w:cs="Times New Roman"/>
          <w:sz w:val="24"/>
          <w:szCs w:val="24"/>
        </w:rPr>
        <w:t>. . .</w:t>
      </w:r>
    </w:p>
    <w:p w14:paraId="3CB70B6D" w14:textId="77777777" w:rsidR="00D1661D" w:rsidRPr="00ED2E92" w:rsidRDefault="00D1661D" w:rsidP="00D1661D">
      <w:pPr>
        <w:spacing w:after="0" w:line="360" w:lineRule="auto"/>
        <w:jc w:val="both"/>
        <w:rPr>
          <w:rFonts w:ascii="Times New Roman" w:hAnsi="Times New Roman" w:cs="Times New Roman"/>
          <w:sz w:val="24"/>
          <w:szCs w:val="24"/>
        </w:rPr>
      </w:pPr>
      <w:r w:rsidRPr="00ED2E92">
        <w:rPr>
          <w:rFonts w:ascii="Times New Roman" w:hAnsi="Times New Roman" w:cs="Times New Roman"/>
          <w:sz w:val="24"/>
          <w:szCs w:val="24"/>
        </w:rPr>
        <w:t>calculated at the rate of 15 per cent on the value of the supply concerned or the importation, as the case may be.’</w:t>
      </w:r>
    </w:p>
    <w:p w14:paraId="553E2E96" w14:textId="77777777" w:rsidR="00D1661D" w:rsidRPr="00B67EF0" w:rsidRDefault="00D1661D" w:rsidP="00D1661D">
      <w:pPr>
        <w:spacing w:after="0" w:line="360" w:lineRule="auto"/>
        <w:rPr>
          <w:rFonts w:ascii="Times New Roman" w:hAnsi="Times New Roman" w:cs="Times New Roman"/>
          <w:sz w:val="28"/>
          <w:szCs w:val="28"/>
        </w:rPr>
      </w:pPr>
    </w:p>
    <w:p w14:paraId="75B20EA6" w14:textId="515F4903" w:rsidR="003979B6" w:rsidRPr="00B67EF0" w:rsidRDefault="00ED2E92" w:rsidP="003979B6">
      <w:pPr>
        <w:spacing w:after="0" w:line="360" w:lineRule="auto"/>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3979B6" w:rsidRPr="00B67EF0">
        <w:rPr>
          <w:rFonts w:ascii="Times New Roman" w:hAnsi="Times New Roman" w:cs="Times New Roman"/>
          <w:sz w:val="28"/>
          <w:szCs w:val="28"/>
        </w:rPr>
        <w:t>Section 1 of the VAT Act defines the term ‘enterprise’ as follows:</w:t>
      </w:r>
    </w:p>
    <w:p w14:paraId="4AE8F0E3" w14:textId="1968D774" w:rsidR="003979B6" w:rsidRPr="00ED2E92" w:rsidRDefault="00B502C0" w:rsidP="00ED2E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8A0F70">
        <w:rPr>
          <w:rFonts w:ascii="Times New Roman" w:hAnsi="Times New Roman" w:cs="Times New Roman"/>
          <w:sz w:val="24"/>
          <w:szCs w:val="24"/>
        </w:rPr>
        <w:t>“</w:t>
      </w:r>
      <w:r w:rsidR="00ED2E92" w:rsidRPr="00ED2E92">
        <w:rPr>
          <w:rFonts w:ascii="Times New Roman" w:hAnsi="Times New Roman" w:cs="Times New Roman"/>
          <w:sz w:val="24"/>
          <w:szCs w:val="24"/>
        </w:rPr>
        <w:t>enterprise</w:t>
      </w:r>
      <w:r w:rsidR="008A0F70">
        <w:rPr>
          <w:rFonts w:ascii="Times New Roman" w:hAnsi="Times New Roman" w:cs="Times New Roman"/>
          <w:sz w:val="24"/>
          <w:szCs w:val="24"/>
        </w:rPr>
        <w:t>”</w:t>
      </w:r>
      <w:r w:rsidR="003979B6" w:rsidRPr="00ED2E92">
        <w:rPr>
          <w:rFonts w:ascii="Times New Roman" w:hAnsi="Times New Roman" w:cs="Times New Roman"/>
          <w:sz w:val="24"/>
          <w:szCs w:val="24"/>
        </w:rPr>
        <w:t xml:space="preserve"> means</w:t>
      </w:r>
      <w:r w:rsidR="001D0463">
        <w:rPr>
          <w:rFonts w:ascii="Times New Roman" w:hAnsi="Times New Roman" w:cs="Times New Roman"/>
          <w:sz w:val="24"/>
          <w:szCs w:val="24"/>
        </w:rPr>
        <w:t xml:space="preserve"> </w:t>
      </w:r>
      <w:r w:rsidR="001D0463">
        <w:rPr>
          <w:rFonts w:ascii="Times New Roman" w:hAnsi="Times New Roman" w:cs="Times New Roman"/>
          <w:sz w:val="24"/>
          <w:szCs w:val="24"/>
          <w:lang w:val="en-US"/>
        </w:rPr>
        <w:t xml:space="preserve">– </w:t>
      </w:r>
    </w:p>
    <w:p w14:paraId="656E1499" w14:textId="61250B5C" w:rsidR="003979B6" w:rsidRPr="00ED2E92" w:rsidRDefault="003979B6" w:rsidP="00ED2E92">
      <w:pPr>
        <w:spacing w:after="0" w:line="360" w:lineRule="auto"/>
        <w:jc w:val="both"/>
        <w:rPr>
          <w:rFonts w:ascii="Times New Roman" w:hAnsi="Times New Roman" w:cs="Times New Roman"/>
          <w:sz w:val="24"/>
          <w:szCs w:val="24"/>
        </w:rPr>
      </w:pPr>
      <w:r w:rsidRPr="00ED2E92">
        <w:rPr>
          <w:rFonts w:ascii="Times New Roman" w:hAnsi="Times New Roman" w:cs="Times New Roman"/>
          <w:i/>
          <w:sz w:val="24"/>
          <w:szCs w:val="24"/>
        </w:rPr>
        <w:t>(a)</w:t>
      </w:r>
      <w:r w:rsidRPr="00ED2E92">
        <w:rPr>
          <w:rFonts w:ascii="Times New Roman" w:hAnsi="Times New Roman" w:cs="Times New Roman"/>
          <w:sz w:val="24"/>
          <w:szCs w:val="24"/>
        </w:rPr>
        <w:t xml:space="preserve"> </w:t>
      </w:r>
      <w:r w:rsidR="008A0F70">
        <w:rPr>
          <w:rFonts w:ascii="Times New Roman" w:hAnsi="Times New Roman" w:cs="Times New Roman"/>
          <w:sz w:val="24"/>
          <w:szCs w:val="24"/>
        </w:rPr>
        <w:t xml:space="preserve"> </w:t>
      </w:r>
      <w:r w:rsidR="00EB48B6">
        <w:rPr>
          <w:rFonts w:ascii="Times New Roman" w:hAnsi="Times New Roman" w:cs="Times New Roman"/>
          <w:sz w:val="24"/>
          <w:szCs w:val="24"/>
        </w:rPr>
        <w:tab/>
      </w:r>
      <w:r w:rsidRPr="00ED2E92">
        <w:rPr>
          <w:rFonts w:ascii="Times New Roman" w:hAnsi="Times New Roman" w:cs="Times New Roman"/>
          <w:sz w:val="24"/>
          <w:szCs w:val="24"/>
        </w:rPr>
        <w:t>in the case of any vendor, any enterprise or activity which is carried on continuously or regularly by any person in the Republic or partly in the Republic and in the course or furtherance of which goods or services are supplied to any other person for a consideration, whether or not for profit, including any enterprise or activity carried on in the form of a commercial, financial, industrial, mining, farming, fishing, municipal or professional concern or any other concern of a continuing nature or in the form of an association or club;</w:t>
      </w:r>
    </w:p>
    <w:p w14:paraId="4B190D25" w14:textId="509D7EE6" w:rsidR="003979B6" w:rsidRPr="00ED2E92" w:rsidRDefault="003979B6" w:rsidP="00ED2E92">
      <w:pPr>
        <w:spacing w:after="0" w:line="360" w:lineRule="auto"/>
        <w:jc w:val="both"/>
        <w:rPr>
          <w:rFonts w:ascii="Times New Roman" w:hAnsi="Times New Roman" w:cs="Times New Roman"/>
          <w:sz w:val="24"/>
          <w:szCs w:val="24"/>
        </w:rPr>
      </w:pPr>
      <w:r w:rsidRPr="00ED2E92">
        <w:rPr>
          <w:rFonts w:ascii="Times New Roman" w:hAnsi="Times New Roman" w:cs="Times New Roman"/>
          <w:sz w:val="24"/>
          <w:szCs w:val="24"/>
        </w:rPr>
        <w:t>. . .</w:t>
      </w:r>
    </w:p>
    <w:p w14:paraId="1B1A1CEF" w14:textId="2886B02C" w:rsidR="003979B6" w:rsidRPr="00ED2E92" w:rsidRDefault="003979B6" w:rsidP="00ED2E92">
      <w:pPr>
        <w:spacing w:after="0" w:line="360" w:lineRule="auto"/>
        <w:jc w:val="both"/>
        <w:rPr>
          <w:rFonts w:ascii="Times New Roman" w:hAnsi="Times New Roman" w:cs="Times New Roman"/>
          <w:sz w:val="24"/>
          <w:szCs w:val="24"/>
        </w:rPr>
      </w:pPr>
      <w:r w:rsidRPr="00ED2E92">
        <w:rPr>
          <w:rFonts w:ascii="Times New Roman" w:hAnsi="Times New Roman" w:cs="Times New Roman"/>
          <w:sz w:val="24"/>
          <w:szCs w:val="24"/>
        </w:rPr>
        <w:t>Provided that</w:t>
      </w:r>
      <w:r w:rsidR="008A0F70">
        <w:rPr>
          <w:rFonts w:ascii="Times New Roman" w:hAnsi="Times New Roman" w:cs="Times New Roman"/>
          <w:sz w:val="24"/>
          <w:szCs w:val="24"/>
        </w:rPr>
        <w:t xml:space="preserve"> </w:t>
      </w:r>
      <w:r w:rsidR="008A0F70">
        <w:rPr>
          <w:rFonts w:ascii="Times New Roman" w:hAnsi="Times New Roman" w:cs="Times New Roman"/>
          <w:sz w:val="24"/>
          <w:szCs w:val="24"/>
          <w:lang w:val="en-US"/>
        </w:rPr>
        <w:t xml:space="preserve">– </w:t>
      </w:r>
    </w:p>
    <w:p w14:paraId="53D4C428" w14:textId="0AEB6CCD" w:rsidR="003979B6" w:rsidRPr="00ED2E92" w:rsidRDefault="003979B6" w:rsidP="00CD2873">
      <w:pPr>
        <w:spacing w:after="0" w:line="360" w:lineRule="auto"/>
        <w:jc w:val="both"/>
        <w:rPr>
          <w:rFonts w:ascii="Times New Roman" w:hAnsi="Times New Roman" w:cs="Times New Roman"/>
          <w:sz w:val="24"/>
          <w:szCs w:val="24"/>
        </w:rPr>
      </w:pPr>
      <w:r w:rsidRPr="00ED2E92">
        <w:rPr>
          <w:rFonts w:ascii="Times New Roman" w:hAnsi="Times New Roman" w:cs="Times New Roman"/>
          <w:sz w:val="24"/>
          <w:szCs w:val="24"/>
        </w:rPr>
        <w:t>. . .</w:t>
      </w:r>
    </w:p>
    <w:p w14:paraId="24760960" w14:textId="07E989F4" w:rsidR="003979B6" w:rsidRPr="00ED2E92" w:rsidRDefault="003979B6" w:rsidP="00CD2873">
      <w:pPr>
        <w:spacing w:after="0" w:line="360" w:lineRule="auto"/>
        <w:jc w:val="both"/>
        <w:rPr>
          <w:rFonts w:ascii="Times New Roman" w:hAnsi="Times New Roman" w:cs="Times New Roman"/>
          <w:sz w:val="24"/>
          <w:szCs w:val="24"/>
        </w:rPr>
      </w:pPr>
      <w:r w:rsidRPr="00ED2E92">
        <w:rPr>
          <w:rFonts w:ascii="Times New Roman" w:hAnsi="Times New Roman" w:cs="Times New Roman"/>
          <w:sz w:val="24"/>
          <w:szCs w:val="24"/>
        </w:rPr>
        <w:t>(v) any activity shall to the extent to which it involves the making of exempt supplies not be deemed to be the carrying on of an enterprise</w:t>
      </w:r>
      <w:r w:rsidR="008A0F70">
        <w:rPr>
          <w:rFonts w:ascii="Times New Roman" w:hAnsi="Times New Roman" w:cs="Times New Roman"/>
          <w:sz w:val="24"/>
          <w:szCs w:val="24"/>
        </w:rPr>
        <w:t>.</w:t>
      </w:r>
      <w:r w:rsidRPr="00ED2E92">
        <w:rPr>
          <w:rFonts w:ascii="Times New Roman" w:hAnsi="Times New Roman" w:cs="Times New Roman"/>
          <w:sz w:val="24"/>
          <w:szCs w:val="24"/>
        </w:rPr>
        <w:t>’</w:t>
      </w:r>
    </w:p>
    <w:p w14:paraId="5F526F5B" w14:textId="77777777" w:rsidR="003979B6" w:rsidRDefault="003979B6" w:rsidP="003979B6">
      <w:pPr>
        <w:spacing w:after="0" w:line="360" w:lineRule="auto"/>
        <w:jc w:val="both"/>
        <w:rPr>
          <w:rFonts w:ascii="Times New Roman" w:hAnsi="Times New Roman" w:cs="Times New Roman"/>
          <w:sz w:val="28"/>
          <w:szCs w:val="28"/>
        </w:rPr>
      </w:pPr>
    </w:p>
    <w:p w14:paraId="0752B8B3" w14:textId="792754F5" w:rsidR="003979B6" w:rsidRPr="00B67EF0" w:rsidRDefault="00ED2E92" w:rsidP="00397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ab/>
        <w:t xml:space="preserve">An </w:t>
      </w:r>
      <w:r w:rsidR="003979B6">
        <w:rPr>
          <w:rFonts w:ascii="Times New Roman" w:hAnsi="Times New Roman" w:cs="Times New Roman"/>
          <w:sz w:val="28"/>
          <w:szCs w:val="28"/>
        </w:rPr>
        <w:t>exempt supply is defined in s 1 of the VAT Act as a supply exempt from tax under s</w:t>
      </w:r>
      <w:r w:rsidR="00FA3CAF">
        <w:rPr>
          <w:rFonts w:ascii="Times New Roman" w:hAnsi="Times New Roman" w:cs="Times New Roman"/>
          <w:sz w:val="28"/>
          <w:szCs w:val="28"/>
        </w:rPr>
        <w:t xml:space="preserve"> </w:t>
      </w:r>
      <w:r w:rsidR="003979B6">
        <w:rPr>
          <w:rFonts w:ascii="Times New Roman" w:hAnsi="Times New Roman" w:cs="Times New Roman"/>
          <w:sz w:val="28"/>
          <w:szCs w:val="28"/>
        </w:rPr>
        <w:t>12. In terms of s</w:t>
      </w:r>
      <w:r>
        <w:rPr>
          <w:rFonts w:ascii="Times New Roman" w:hAnsi="Times New Roman" w:cs="Times New Roman"/>
          <w:sz w:val="28"/>
          <w:szCs w:val="28"/>
        </w:rPr>
        <w:t xml:space="preserve"> </w:t>
      </w:r>
      <w:r w:rsidR="003979B6">
        <w:rPr>
          <w:rFonts w:ascii="Times New Roman" w:hAnsi="Times New Roman" w:cs="Times New Roman"/>
          <w:sz w:val="28"/>
          <w:szCs w:val="28"/>
        </w:rPr>
        <w:t>12</w:t>
      </w:r>
      <w:r w:rsidR="003979B6" w:rsidRPr="00ED2E92">
        <w:rPr>
          <w:rFonts w:ascii="Times New Roman" w:hAnsi="Times New Roman" w:cs="Times New Roman"/>
          <w:i/>
          <w:sz w:val="28"/>
          <w:szCs w:val="28"/>
        </w:rPr>
        <w:t>(a)</w:t>
      </w:r>
      <w:r w:rsidR="00FA3CAF">
        <w:rPr>
          <w:rFonts w:ascii="Times New Roman" w:hAnsi="Times New Roman" w:cs="Times New Roman"/>
          <w:sz w:val="28"/>
          <w:szCs w:val="28"/>
        </w:rPr>
        <w:t>,</w:t>
      </w:r>
      <w:r>
        <w:rPr>
          <w:rFonts w:ascii="Times New Roman" w:hAnsi="Times New Roman" w:cs="Times New Roman"/>
          <w:sz w:val="28"/>
          <w:szCs w:val="28"/>
        </w:rPr>
        <w:t xml:space="preserve"> the </w:t>
      </w:r>
      <w:r w:rsidR="003979B6">
        <w:rPr>
          <w:rFonts w:ascii="Times New Roman" w:hAnsi="Times New Roman" w:cs="Times New Roman"/>
          <w:sz w:val="28"/>
          <w:szCs w:val="28"/>
        </w:rPr>
        <w:t>su</w:t>
      </w:r>
      <w:r>
        <w:rPr>
          <w:rFonts w:ascii="Times New Roman" w:hAnsi="Times New Roman" w:cs="Times New Roman"/>
          <w:sz w:val="28"/>
          <w:szCs w:val="28"/>
        </w:rPr>
        <w:t xml:space="preserve">pply of any financial services </w:t>
      </w:r>
      <w:r w:rsidR="003979B6" w:rsidRPr="00B67EF0">
        <w:rPr>
          <w:rFonts w:ascii="Times New Roman" w:hAnsi="Times New Roman" w:cs="Times New Roman"/>
          <w:sz w:val="28"/>
          <w:szCs w:val="28"/>
        </w:rPr>
        <w:t>shall be exempt from the tax imposed under s 7(1)</w:t>
      </w:r>
      <w:r w:rsidR="003979B6" w:rsidRPr="00B67EF0">
        <w:rPr>
          <w:rFonts w:ascii="Times New Roman" w:hAnsi="Times New Roman" w:cs="Times New Roman"/>
          <w:i/>
          <w:sz w:val="28"/>
          <w:szCs w:val="28"/>
        </w:rPr>
        <w:t>(a)</w:t>
      </w:r>
      <w:r w:rsidR="003979B6">
        <w:rPr>
          <w:rFonts w:ascii="Times New Roman" w:hAnsi="Times New Roman" w:cs="Times New Roman"/>
          <w:sz w:val="28"/>
          <w:szCs w:val="28"/>
        </w:rPr>
        <w:t>. Section 1 defin</w:t>
      </w:r>
      <w:r>
        <w:rPr>
          <w:rFonts w:ascii="Times New Roman" w:hAnsi="Times New Roman" w:cs="Times New Roman"/>
          <w:sz w:val="28"/>
          <w:szCs w:val="28"/>
        </w:rPr>
        <w:t>es financial services to mean ‘</w:t>
      </w:r>
      <w:r w:rsidR="003979B6">
        <w:rPr>
          <w:rFonts w:ascii="Times New Roman" w:hAnsi="Times New Roman" w:cs="Times New Roman"/>
          <w:sz w:val="28"/>
          <w:szCs w:val="28"/>
        </w:rPr>
        <w:t>the activities which are deemed by s</w:t>
      </w:r>
      <w:r w:rsidR="00EB48B6">
        <w:rPr>
          <w:rFonts w:ascii="Times New Roman" w:hAnsi="Times New Roman" w:cs="Times New Roman"/>
          <w:sz w:val="28"/>
          <w:szCs w:val="28"/>
        </w:rPr>
        <w:t>ection</w:t>
      </w:r>
      <w:r>
        <w:rPr>
          <w:rFonts w:ascii="Times New Roman" w:hAnsi="Times New Roman" w:cs="Times New Roman"/>
          <w:sz w:val="28"/>
          <w:szCs w:val="28"/>
        </w:rPr>
        <w:t xml:space="preserve"> </w:t>
      </w:r>
      <w:r w:rsidR="003979B6">
        <w:rPr>
          <w:rFonts w:ascii="Times New Roman" w:hAnsi="Times New Roman" w:cs="Times New Roman"/>
          <w:sz w:val="28"/>
          <w:szCs w:val="28"/>
        </w:rPr>
        <w:t xml:space="preserve">2 to be financial services’. </w:t>
      </w:r>
      <w:r w:rsidR="003979B6" w:rsidRPr="00B67EF0">
        <w:rPr>
          <w:rFonts w:ascii="Times New Roman" w:hAnsi="Times New Roman" w:cs="Times New Roman"/>
          <w:sz w:val="28"/>
          <w:szCs w:val="28"/>
        </w:rPr>
        <w:t>Section 2 of the VAT Act provides, to the extent relevant, as follows:</w:t>
      </w:r>
    </w:p>
    <w:p w14:paraId="0B84677F" w14:textId="274E9C43" w:rsidR="003979B6" w:rsidRPr="00ED2E92" w:rsidRDefault="00ED2E92" w:rsidP="003979B6">
      <w:pPr>
        <w:spacing w:after="0" w:line="360" w:lineRule="auto"/>
        <w:jc w:val="both"/>
        <w:rPr>
          <w:rFonts w:ascii="Times New Roman" w:hAnsi="Times New Roman" w:cs="Times New Roman"/>
          <w:sz w:val="24"/>
          <w:szCs w:val="24"/>
        </w:rPr>
      </w:pPr>
      <w:r w:rsidRPr="00ED2E92">
        <w:rPr>
          <w:rFonts w:ascii="Times New Roman" w:hAnsi="Times New Roman" w:cs="Times New Roman"/>
          <w:sz w:val="24"/>
          <w:szCs w:val="24"/>
        </w:rPr>
        <w:t xml:space="preserve">‘(1) </w:t>
      </w:r>
      <w:r w:rsidR="00EB48B6">
        <w:rPr>
          <w:rFonts w:ascii="Times New Roman" w:hAnsi="Times New Roman" w:cs="Times New Roman"/>
          <w:sz w:val="24"/>
          <w:szCs w:val="24"/>
        </w:rPr>
        <w:tab/>
      </w:r>
      <w:r w:rsidR="003979B6" w:rsidRPr="00ED2E92">
        <w:rPr>
          <w:rFonts w:ascii="Times New Roman" w:hAnsi="Times New Roman" w:cs="Times New Roman"/>
          <w:sz w:val="24"/>
          <w:szCs w:val="24"/>
        </w:rPr>
        <w:t>For the purposes of this Act, the following activities shall be deemed to be financial services:</w:t>
      </w:r>
    </w:p>
    <w:p w14:paraId="71833D03" w14:textId="77E9AB6F" w:rsidR="003979B6" w:rsidRPr="00ED2E92" w:rsidRDefault="003979B6" w:rsidP="003979B6">
      <w:pPr>
        <w:spacing w:after="0" w:line="360" w:lineRule="auto"/>
        <w:jc w:val="both"/>
        <w:rPr>
          <w:rFonts w:ascii="Times New Roman" w:hAnsi="Times New Roman" w:cs="Times New Roman"/>
          <w:sz w:val="24"/>
          <w:szCs w:val="24"/>
        </w:rPr>
      </w:pPr>
      <w:r w:rsidRPr="00ED2E92">
        <w:rPr>
          <w:rFonts w:ascii="Times New Roman" w:hAnsi="Times New Roman" w:cs="Times New Roman"/>
          <w:sz w:val="24"/>
          <w:szCs w:val="24"/>
        </w:rPr>
        <w:t>. . .</w:t>
      </w:r>
    </w:p>
    <w:p w14:paraId="52C8A00A" w14:textId="3B156589" w:rsidR="003979B6" w:rsidRPr="00ED2E92" w:rsidRDefault="003979B6" w:rsidP="003979B6">
      <w:pPr>
        <w:spacing w:after="0" w:line="360" w:lineRule="auto"/>
        <w:jc w:val="both"/>
        <w:rPr>
          <w:rFonts w:ascii="Times New Roman" w:hAnsi="Times New Roman" w:cs="Times New Roman"/>
          <w:sz w:val="24"/>
          <w:szCs w:val="24"/>
        </w:rPr>
      </w:pPr>
      <w:r w:rsidRPr="00ED2E92">
        <w:rPr>
          <w:rFonts w:ascii="Times New Roman" w:hAnsi="Times New Roman" w:cs="Times New Roman"/>
          <w:i/>
          <w:sz w:val="24"/>
          <w:szCs w:val="24"/>
        </w:rPr>
        <w:t>(f)</w:t>
      </w:r>
      <w:r w:rsidR="00ED2E92" w:rsidRPr="00ED2E92">
        <w:rPr>
          <w:rFonts w:ascii="Times New Roman" w:hAnsi="Times New Roman" w:cs="Times New Roman"/>
          <w:sz w:val="24"/>
          <w:szCs w:val="24"/>
        </w:rPr>
        <w:t xml:space="preserve"> </w:t>
      </w:r>
      <w:r w:rsidR="00EB48B6">
        <w:rPr>
          <w:rFonts w:ascii="Times New Roman" w:hAnsi="Times New Roman" w:cs="Times New Roman"/>
          <w:sz w:val="24"/>
          <w:szCs w:val="24"/>
        </w:rPr>
        <w:t xml:space="preserve"> </w:t>
      </w:r>
      <w:r w:rsidR="00EB48B6">
        <w:rPr>
          <w:rFonts w:ascii="Times New Roman" w:hAnsi="Times New Roman" w:cs="Times New Roman"/>
          <w:sz w:val="24"/>
          <w:szCs w:val="24"/>
        </w:rPr>
        <w:tab/>
      </w:r>
      <w:r w:rsidRPr="00ED2E92">
        <w:rPr>
          <w:rFonts w:ascii="Times New Roman" w:hAnsi="Times New Roman" w:cs="Times New Roman"/>
          <w:sz w:val="24"/>
          <w:szCs w:val="24"/>
        </w:rPr>
        <w:t>the provision by any person of credit under an agreement by which money or money’s worth is provided by that person to another person who agrees to pay in the future a sum or sums exceeding in the aggregate the amount of such money or money’s worth;</w:t>
      </w:r>
    </w:p>
    <w:p w14:paraId="75B07486" w14:textId="77777777" w:rsidR="003979B6" w:rsidRPr="00ED2E92" w:rsidRDefault="003979B6" w:rsidP="003979B6">
      <w:pPr>
        <w:spacing w:after="0" w:line="360" w:lineRule="auto"/>
        <w:jc w:val="both"/>
        <w:rPr>
          <w:rFonts w:ascii="Times New Roman" w:hAnsi="Times New Roman" w:cs="Times New Roman"/>
          <w:sz w:val="24"/>
          <w:szCs w:val="24"/>
        </w:rPr>
      </w:pPr>
      <w:r w:rsidRPr="00ED2E92">
        <w:rPr>
          <w:rFonts w:ascii="Times New Roman" w:hAnsi="Times New Roman" w:cs="Times New Roman"/>
          <w:sz w:val="24"/>
          <w:szCs w:val="24"/>
        </w:rPr>
        <w:t>. . .</w:t>
      </w:r>
    </w:p>
    <w:p w14:paraId="0D73312B" w14:textId="77777777" w:rsidR="003979B6" w:rsidRPr="00ED2E92" w:rsidRDefault="003979B6" w:rsidP="003979B6">
      <w:pPr>
        <w:spacing w:after="0" w:line="360" w:lineRule="auto"/>
        <w:jc w:val="both"/>
        <w:rPr>
          <w:rFonts w:ascii="Times New Roman" w:hAnsi="Times New Roman" w:cs="Times New Roman"/>
          <w:sz w:val="24"/>
          <w:szCs w:val="24"/>
        </w:rPr>
      </w:pPr>
      <w:r w:rsidRPr="00ED2E92">
        <w:rPr>
          <w:rFonts w:ascii="Times New Roman" w:hAnsi="Times New Roman" w:cs="Times New Roman"/>
          <w:sz w:val="24"/>
          <w:szCs w:val="24"/>
        </w:rPr>
        <w:t xml:space="preserve">Provided that the activities contemplated in paragraphs </w:t>
      </w:r>
      <w:r w:rsidRPr="00ED2E92">
        <w:rPr>
          <w:rFonts w:ascii="Times New Roman" w:hAnsi="Times New Roman" w:cs="Times New Roman"/>
          <w:i/>
          <w:sz w:val="24"/>
          <w:szCs w:val="24"/>
        </w:rPr>
        <w:t>(a), (b), (c), (d), (f)</w:t>
      </w:r>
      <w:r w:rsidRPr="00ED2E92">
        <w:rPr>
          <w:rFonts w:ascii="Times New Roman" w:hAnsi="Times New Roman" w:cs="Times New Roman"/>
          <w:sz w:val="24"/>
          <w:szCs w:val="24"/>
        </w:rPr>
        <w:t xml:space="preserve"> and </w:t>
      </w:r>
      <w:r w:rsidRPr="00ED2E92">
        <w:rPr>
          <w:rFonts w:ascii="Times New Roman" w:hAnsi="Times New Roman" w:cs="Times New Roman"/>
          <w:i/>
          <w:sz w:val="24"/>
          <w:szCs w:val="24"/>
        </w:rPr>
        <w:t>(o)</w:t>
      </w:r>
      <w:r w:rsidRPr="00ED2E92">
        <w:rPr>
          <w:rFonts w:ascii="Times New Roman" w:hAnsi="Times New Roman" w:cs="Times New Roman"/>
          <w:sz w:val="24"/>
          <w:szCs w:val="24"/>
        </w:rPr>
        <w:t xml:space="preserve"> shall not be deemed to be financial services to the extent that the consideration payable in respect thereof is any fee, commission, merchant’s discount or similar charge, excluding any discount cost.’</w:t>
      </w:r>
    </w:p>
    <w:p w14:paraId="3085148D" w14:textId="77777777" w:rsidR="003979B6" w:rsidRDefault="003979B6" w:rsidP="003979B6">
      <w:pPr>
        <w:spacing w:after="0" w:line="360" w:lineRule="auto"/>
        <w:jc w:val="both"/>
        <w:rPr>
          <w:rFonts w:ascii="Times New Roman" w:hAnsi="Times New Roman" w:cs="Times New Roman"/>
          <w:sz w:val="28"/>
          <w:szCs w:val="28"/>
        </w:rPr>
      </w:pPr>
    </w:p>
    <w:p w14:paraId="1731F519" w14:textId="314802F2" w:rsidR="003979B6" w:rsidRPr="00B67EF0" w:rsidRDefault="00A14D1C" w:rsidP="003979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ED2E92">
        <w:rPr>
          <w:rFonts w:ascii="Times New Roman" w:hAnsi="Times New Roman" w:cs="Times New Roman"/>
          <w:sz w:val="28"/>
          <w:szCs w:val="28"/>
        </w:rPr>
        <w:t>6]</w:t>
      </w:r>
      <w:r w:rsidR="00ED2E92">
        <w:rPr>
          <w:rFonts w:ascii="Times New Roman" w:hAnsi="Times New Roman" w:cs="Times New Roman"/>
          <w:sz w:val="28"/>
          <w:szCs w:val="28"/>
        </w:rPr>
        <w:tab/>
      </w:r>
      <w:r w:rsidR="003979B6">
        <w:rPr>
          <w:rFonts w:ascii="Times New Roman" w:hAnsi="Times New Roman" w:cs="Times New Roman"/>
          <w:sz w:val="28"/>
          <w:szCs w:val="28"/>
        </w:rPr>
        <w:t>‘Consideration</w:t>
      </w:r>
      <w:r w:rsidR="00EB48B6">
        <w:rPr>
          <w:rFonts w:ascii="Times New Roman" w:hAnsi="Times New Roman" w:cs="Times New Roman"/>
          <w:sz w:val="28"/>
          <w:szCs w:val="28"/>
        </w:rPr>
        <w:t>’</w:t>
      </w:r>
      <w:r w:rsidR="003979B6">
        <w:rPr>
          <w:rFonts w:ascii="Times New Roman" w:hAnsi="Times New Roman" w:cs="Times New Roman"/>
          <w:sz w:val="28"/>
          <w:szCs w:val="28"/>
        </w:rPr>
        <w:t xml:space="preserve"> is defined</w:t>
      </w:r>
      <w:r w:rsidR="00EB48B6">
        <w:rPr>
          <w:rFonts w:ascii="Times New Roman" w:hAnsi="Times New Roman" w:cs="Times New Roman"/>
          <w:sz w:val="28"/>
          <w:szCs w:val="28"/>
        </w:rPr>
        <w:t>,</w:t>
      </w:r>
      <w:r w:rsidR="003979B6">
        <w:rPr>
          <w:rFonts w:ascii="Times New Roman" w:hAnsi="Times New Roman" w:cs="Times New Roman"/>
          <w:sz w:val="28"/>
          <w:szCs w:val="28"/>
        </w:rPr>
        <w:t xml:space="preserve"> in relevant part</w:t>
      </w:r>
      <w:r w:rsidR="00EB48B6">
        <w:rPr>
          <w:rFonts w:ascii="Times New Roman" w:hAnsi="Times New Roman" w:cs="Times New Roman"/>
          <w:sz w:val="28"/>
          <w:szCs w:val="28"/>
        </w:rPr>
        <w:t>,</w:t>
      </w:r>
      <w:r w:rsidR="003979B6">
        <w:rPr>
          <w:rFonts w:ascii="Times New Roman" w:hAnsi="Times New Roman" w:cs="Times New Roman"/>
          <w:sz w:val="28"/>
          <w:szCs w:val="28"/>
        </w:rPr>
        <w:t xml:space="preserve"> in s</w:t>
      </w:r>
      <w:r w:rsidR="00ED2E92">
        <w:rPr>
          <w:rFonts w:ascii="Times New Roman" w:hAnsi="Times New Roman" w:cs="Times New Roman"/>
          <w:sz w:val="28"/>
          <w:szCs w:val="28"/>
        </w:rPr>
        <w:t xml:space="preserve"> 1 </w:t>
      </w:r>
      <w:r w:rsidR="00EB48B6" w:rsidRPr="00B67EF0">
        <w:rPr>
          <w:rFonts w:ascii="Times New Roman" w:hAnsi="Times New Roman" w:cs="Times New Roman"/>
          <w:sz w:val="28"/>
          <w:szCs w:val="28"/>
        </w:rPr>
        <w:t xml:space="preserve">of the VAT Act </w:t>
      </w:r>
      <w:r w:rsidR="00ED2E92">
        <w:rPr>
          <w:rFonts w:ascii="Times New Roman" w:hAnsi="Times New Roman" w:cs="Times New Roman"/>
          <w:sz w:val="28"/>
          <w:szCs w:val="28"/>
        </w:rPr>
        <w:t>as follows</w:t>
      </w:r>
      <w:r w:rsidR="00EB48B6">
        <w:rPr>
          <w:rFonts w:ascii="Times New Roman" w:hAnsi="Times New Roman" w:cs="Times New Roman"/>
          <w:sz w:val="28"/>
          <w:szCs w:val="28"/>
        </w:rPr>
        <w:t>:</w:t>
      </w:r>
      <w:r w:rsidR="00ED2E92">
        <w:rPr>
          <w:rFonts w:ascii="Times New Roman" w:hAnsi="Times New Roman" w:cs="Times New Roman"/>
          <w:sz w:val="28"/>
          <w:szCs w:val="28"/>
        </w:rPr>
        <w:t xml:space="preserve"> </w:t>
      </w:r>
      <w:r w:rsidR="00EB48B6">
        <w:rPr>
          <w:rFonts w:ascii="Times New Roman" w:hAnsi="Times New Roman" w:cs="Times New Roman"/>
          <w:sz w:val="28"/>
          <w:szCs w:val="28"/>
        </w:rPr>
        <w:t>‘</w:t>
      </w:r>
      <w:r w:rsidR="003979B6">
        <w:rPr>
          <w:rFonts w:ascii="Times New Roman" w:hAnsi="Times New Roman" w:cs="Times New Roman"/>
          <w:sz w:val="28"/>
          <w:szCs w:val="28"/>
        </w:rPr>
        <w:t xml:space="preserve">in relation to the supply of </w:t>
      </w:r>
      <w:r w:rsidR="00ED2E92">
        <w:rPr>
          <w:rFonts w:ascii="Times New Roman" w:hAnsi="Times New Roman" w:cs="Times New Roman"/>
          <w:sz w:val="28"/>
          <w:szCs w:val="28"/>
        </w:rPr>
        <w:t>goods or services to any person</w:t>
      </w:r>
      <w:r w:rsidR="003979B6">
        <w:rPr>
          <w:rFonts w:ascii="Times New Roman" w:hAnsi="Times New Roman" w:cs="Times New Roman"/>
          <w:sz w:val="28"/>
          <w:szCs w:val="28"/>
        </w:rPr>
        <w:t xml:space="preserve">, </w:t>
      </w:r>
      <w:r w:rsidR="00532D9A">
        <w:rPr>
          <w:rFonts w:ascii="Times New Roman" w:hAnsi="Times New Roman" w:cs="Times New Roman"/>
          <w:sz w:val="28"/>
          <w:szCs w:val="28"/>
        </w:rPr>
        <w:t xml:space="preserve">[it] </w:t>
      </w:r>
      <w:r w:rsidR="003979B6">
        <w:rPr>
          <w:rFonts w:ascii="Times New Roman" w:hAnsi="Times New Roman" w:cs="Times New Roman"/>
          <w:sz w:val="28"/>
          <w:szCs w:val="28"/>
        </w:rPr>
        <w:t xml:space="preserve">includes </w:t>
      </w:r>
      <w:r w:rsidR="00ED2E92">
        <w:rPr>
          <w:rFonts w:ascii="Times New Roman" w:hAnsi="Times New Roman" w:cs="Times New Roman"/>
          <w:sz w:val="28"/>
          <w:szCs w:val="28"/>
        </w:rPr>
        <w:t>any payment made or to be made</w:t>
      </w:r>
      <w:r w:rsidR="00EB48B6">
        <w:rPr>
          <w:rFonts w:ascii="Times New Roman" w:hAnsi="Times New Roman" w:cs="Times New Roman"/>
          <w:sz w:val="28"/>
          <w:szCs w:val="28"/>
        </w:rPr>
        <w:t xml:space="preserve"> . . .</w:t>
      </w:r>
      <w:r w:rsidR="00ED2E92">
        <w:rPr>
          <w:rFonts w:ascii="Times New Roman" w:hAnsi="Times New Roman" w:cs="Times New Roman"/>
          <w:sz w:val="28"/>
          <w:szCs w:val="28"/>
        </w:rPr>
        <w:t xml:space="preserve"> </w:t>
      </w:r>
      <w:r w:rsidR="003979B6">
        <w:rPr>
          <w:rFonts w:ascii="Times New Roman" w:hAnsi="Times New Roman" w:cs="Times New Roman"/>
          <w:sz w:val="28"/>
          <w:szCs w:val="28"/>
        </w:rPr>
        <w:t>whether in money or otherwise, or any act or forbea</w:t>
      </w:r>
      <w:r w:rsidR="00ED2E92">
        <w:rPr>
          <w:rFonts w:ascii="Times New Roman" w:hAnsi="Times New Roman" w:cs="Times New Roman"/>
          <w:sz w:val="28"/>
          <w:szCs w:val="28"/>
        </w:rPr>
        <w:t>rance, whether or not voluntary</w:t>
      </w:r>
      <w:r w:rsidR="003979B6">
        <w:rPr>
          <w:rFonts w:ascii="Times New Roman" w:hAnsi="Times New Roman" w:cs="Times New Roman"/>
          <w:sz w:val="28"/>
          <w:szCs w:val="28"/>
        </w:rPr>
        <w:t>, in</w:t>
      </w:r>
      <w:r w:rsidR="00ED2E92">
        <w:rPr>
          <w:rFonts w:ascii="Times New Roman" w:hAnsi="Times New Roman" w:cs="Times New Roman"/>
          <w:sz w:val="28"/>
          <w:szCs w:val="28"/>
        </w:rPr>
        <w:t xml:space="preserve"> respect</w:t>
      </w:r>
      <w:r w:rsidR="00EB48B6">
        <w:rPr>
          <w:rFonts w:ascii="Times New Roman" w:hAnsi="Times New Roman" w:cs="Times New Roman"/>
          <w:sz w:val="28"/>
          <w:szCs w:val="28"/>
        </w:rPr>
        <w:t xml:space="preserve"> of</w:t>
      </w:r>
      <w:r w:rsidR="003979B6">
        <w:rPr>
          <w:rFonts w:ascii="Times New Roman" w:hAnsi="Times New Roman" w:cs="Times New Roman"/>
          <w:sz w:val="28"/>
          <w:szCs w:val="28"/>
        </w:rPr>
        <w:t>, in response to, or for the inducement of, the supply of any goods or services, whether by tha</w:t>
      </w:r>
      <w:r w:rsidR="00ED2E92">
        <w:rPr>
          <w:rFonts w:ascii="Times New Roman" w:hAnsi="Times New Roman" w:cs="Times New Roman"/>
          <w:sz w:val="28"/>
          <w:szCs w:val="28"/>
        </w:rPr>
        <w:t>t person or by any other person</w:t>
      </w:r>
      <w:r w:rsidR="003979B6">
        <w:rPr>
          <w:rFonts w:ascii="Times New Roman" w:hAnsi="Times New Roman" w:cs="Times New Roman"/>
          <w:sz w:val="28"/>
          <w:szCs w:val="28"/>
        </w:rPr>
        <w:t>’</w:t>
      </w:r>
      <w:r w:rsidR="00EB48B6">
        <w:rPr>
          <w:rFonts w:ascii="Times New Roman" w:hAnsi="Times New Roman" w:cs="Times New Roman"/>
          <w:sz w:val="28"/>
          <w:szCs w:val="28"/>
        </w:rPr>
        <w:t>.</w:t>
      </w:r>
    </w:p>
    <w:p w14:paraId="22AE7AFE" w14:textId="77777777" w:rsidR="00F25899" w:rsidRPr="00B67EF0" w:rsidRDefault="00F25899" w:rsidP="00F25899">
      <w:pPr>
        <w:spacing w:after="0" w:line="360" w:lineRule="auto"/>
        <w:jc w:val="both"/>
        <w:rPr>
          <w:rFonts w:ascii="Times New Roman" w:hAnsi="Times New Roman" w:cs="Times New Roman"/>
          <w:sz w:val="28"/>
          <w:szCs w:val="28"/>
        </w:rPr>
      </w:pPr>
    </w:p>
    <w:p w14:paraId="6E9CE792" w14:textId="397C6EE3" w:rsidR="0088214F" w:rsidRPr="00B67EF0" w:rsidRDefault="00ED2E92" w:rsidP="0088214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r>
      <w:r w:rsidR="00F92BFC">
        <w:rPr>
          <w:rFonts w:ascii="Times New Roman" w:hAnsi="Times New Roman" w:cs="Times New Roman"/>
          <w:sz w:val="28"/>
          <w:szCs w:val="28"/>
          <w:lang w:val="en-US"/>
        </w:rPr>
        <w:t>Lastly, s</w:t>
      </w:r>
      <w:r w:rsidR="0088214F" w:rsidRPr="00B67EF0">
        <w:rPr>
          <w:rFonts w:ascii="Times New Roman" w:hAnsi="Times New Roman" w:cs="Times New Roman"/>
          <w:sz w:val="28"/>
          <w:szCs w:val="28"/>
          <w:lang w:val="en-US"/>
        </w:rPr>
        <w:t xml:space="preserve"> 1 of the VAT Act defines the term ‘insurance’ as follows:</w:t>
      </w:r>
    </w:p>
    <w:p w14:paraId="146CAFEC" w14:textId="65389A72" w:rsidR="0088214F" w:rsidRPr="005A3E0F" w:rsidRDefault="00321317" w:rsidP="0088214F">
      <w:pPr>
        <w:spacing w:after="0" w:line="360" w:lineRule="auto"/>
        <w:jc w:val="both"/>
        <w:rPr>
          <w:rFonts w:ascii="Times New Roman" w:hAnsi="Times New Roman" w:cs="Times New Roman"/>
          <w:sz w:val="24"/>
          <w:szCs w:val="24"/>
          <w:lang w:val="en-US"/>
        </w:rPr>
      </w:pPr>
      <w:r w:rsidRPr="005A3E0F">
        <w:rPr>
          <w:rFonts w:ascii="Times New Roman" w:hAnsi="Times New Roman" w:cs="Times New Roman"/>
          <w:sz w:val="24"/>
          <w:szCs w:val="24"/>
          <w:lang w:val="en-US"/>
        </w:rPr>
        <w:t>‘“</w:t>
      </w:r>
      <w:r w:rsidR="00ED2E92" w:rsidRPr="005A3E0F">
        <w:rPr>
          <w:rFonts w:ascii="Times New Roman" w:hAnsi="Times New Roman" w:cs="Times New Roman"/>
          <w:sz w:val="24"/>
          <w:szCs w:val="24"/>
          <w:lang w:val="en-US"/>
        </w:rPr>
        <w:t>insurance</w:t>
      </w:r>
      <w:r w:rsidRPr="005A3E0F">
        <w:rPr>
          <w:rFonts w:ascii="Times New Roman" w:hAnsi="Times New Roman" w:cs="Times New Roman"/>
          <w:sz w:val="24"/>
          <w:szCs w:val="24"/>
          <w:lang w:val="en-US"/>
        </w:rPr>
        <w:t>”</w:t>
      </w:r>
      <w:r w:rsidR="0088214F" w:rsidRPr="005A3E0F">
        <w:rPr>
          <w:rFonts w:ascii="Times New Roman" w:hAnsi="Times New Roman" w:cs="Times New Roman"/>
          <w:sz w:val="24"/>
          <w:szCs w:val="24"/>
          <w:lang w:val="en-US"/>
        </w:rPr>
        <w:t xml:space="preserve"> means insurance or guarantee against loss, damage, injury or risk of any kind whatever, whether pursuant to any contract or law,</w:t>
      </w:r>
      <w:r w:rsidR="00ED2E92" w:rsidRPr="005A3E0F">
        <w:rPr>
          <w:rFonts w:ascii="Times New Roman" w:hAnsi="Times New Roman" w:cs="Times New Roman"/>
          <w:sz w:val="24"/>
          <w:szCs w:val="24"/>
          <w:lang w:val="en-US"/>
        </w:rPr>
        <w:t xml:space="preserve"> and includes reinsurance; and </w:t>
      </w:r>
      <w:r>
        <w:rPr>
          <w:rFonts w:ascii="Times New Roman" w:hAnsi="Times New Roman" w:cs="Times New Roman"/>
          <w:sz w:val="24"/>
          <w:szCs w:val="24"/>
          <w:lang w:val="en-US"/>
        </w:rPr>
        <w:t>“</w:t>
      </w:r>
      <w:r w:rsidR="00ED2E92" w:rsidRPr="005A3E0F">
        <w:rPr>
          <w:rFonts w:ascii="Times New Roman" w:hAnsi="Times New Roman" w:cs="Times New Roman"/>
          <w:sz w:val="24"/>
          <w:szCs w:val="24"/>
          <w:lang w:val="en-US"/>
        </w:rPr>
        <w:t>contract of insurance</w:t>
      </w:r>
      <w:r>
        <w:rPr>
          <w:rFonts w:ascii="Times New Roman" w:hAnsi="Times New Roman" w:cs="Times New Roman"/>
          <w:sz w:val="24"/>
          <w:szCs w:val="24"/>
          <w:lang w:val="en-US"/>
        </w:rPr>
        <w:t>”</w:t>
      </w:r>
      <w:r w:rsidR="0088214F" w:rsidRPr="005A3E0F">
        <w:rPr>
          <w:rFonts w:ascii="Times New Roman" w:hAnsi="Times New Roman" w:cs="Times New Roman"/>
          <w:sz w:val="24"/>
          <w:szCs w:val="24"/>
          <w:lang w:val="en-US"/>
        </w:rPr>
        <w:t xml:space="preserve"> includes a policy of insurance, an insurance cover, and a renewal of a contract of insurance: Provided that nothing in this definition shall apply to any insurance specified in section 2</w:t>
      </w:r>
      <w:r w:rsidRPr="005A3E0F">
        <w:rPr>
          <w:rFonts w:ascii="Times New Roman" w:hAnsi="Times New Roman" w:cs="Times New Roman"/>
          <w:sz w:val="24"/>
          <w:szCs w:val="24"/>
          <w:lang w:val="en-US"/>
        </w:rPr>
        <w:t>.</w:t>
      </w:r>
      <w:r w:rsidR="0088214F" w:rsidRPr="005A3E0F">
        <w:rPr>
          <w:rFonts w:ascii="Times New Roman" w:hAnsi="Times New Roman" w:cs="Times New Roman"/>
          <w:sz w:val="24"/>
          <w:szCs w:val="24"/>
          <w:lang w:val="en-US"/>
        </w:rPr>
        <w:t>’</w:t>
      </w:r>
    </w:p>
    <w:p w14:paraId="273CAE65" w14:textId="5BDA7816" w:rsidR="0088214F" w:rsidRPr="00B67EF0" w:rsidRDefault="0088214F" w:rsidP="0088214F">
      <w:pPr>
        <w:spacing w:after="0" w:line="360" w:lineRule="auto"/>
        <w:jc w:val="both"/>
        <w:rPr>
          <w:rFonts w:ascii="Times New Roman" w:hAnsi="Times New Roman" w:cs="Times New Roman"/>
          <w:sz w:val="28"/>
          <w:szCs w:val="28"/>
        </w:rPr>
      </w:pPr>
    </w:p>
    <w:p w14:paraId="0430CA79" w14:textId="406AF821" w:rsidR="0088214F" w:rsidRPr="00B67EF0" w:rsidRDefault="00ED2E92" w:rsidP="0088214F">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lastRenderedPageBreak/>
        <w:t>[18]</w:t>
      </w:r>
      <w:r>
        <w:rPr>
          <w:rFonts w:ascii="Times New Roman" w:hAnsi="Times New Roman" w:cs="Times New Roman"/>
          <w:sz w:val="28"/>
          <w:szCs w:val="28"/>
        </w:rPr>
        <w:tab/>
      </w:r>
      <w:r w:rsidR="0088214F">
        <w:rPr>
          <w:rFonts w:ascii="Times New Roman" w:hAnsi="Times New Roman" w:cs="Times New Roman"/>
          <w:sz w:val="28"/>
          <w:szCs w:val="28"/>
        </w:rPr>
        <w:t>Thus</w:t>
      </w:r>
      <w:r w:rsidR="00321317">
        <w:rPr>
          <w:rFonts w:ascii="Times New Roman" w:hAnsi="Times New Roman" w:cs="Times New Roman"/>
          <w:sz w:val="28"/>
          <w:szCs w:val="28"/>
        </w:rPr>
        <w:t>,</w:t>
      </w:r>
      <w:r w:rsidR="0088214F">
        <w:rPr>
          <w:rFonts w:ascii="Times New Roman" w:hAnsi="Times New Roman" w:cs="Times New Roman"/>
          <w:sz w:val="28"/>
          <w:szCs w:val="28"/>
        </w:rPr>
        <w:t xml:space="preserve"> t</w:t>
      </w:r>
      <w:r w:rsidR="0088214F" w:rsidRPr="00B67EF0">
        <w:rPr>
          <w:rFonts w:ascii="Times New Roman" w:hAnsi="Times New Roman" w:cs="Times New Roman"/>
          <w:sz w:val="28"/>
          <w:szCs w:val="28"/>
        </w:rPr>
        <w:t>he defin</w:t>
      </w:r>
      <w:r w:rsidR="003D277C">
        <w:rPr>
          <w:rFonts w:ascii="Times New Roman" w:hAnsi="Times New Roman" w:cs="Times New Roman"/>
          <w:sz w:val="28"/>
          <w:szCs w:val="28"/>
        </w:rPr>
        <w:t>ition of ‘enterprise’ in s</w:t>
      </w:r>
      <w:r w:rsidR="0088214F" w:rsidRPr="00B67EF0">
        <w:rPr>
          <w:rFonts w:ascii="Times New Roman" w:hAnsi="Times New Roman" w:cs="Times New Roman"/>
          <w:sz w:val="28"/>
          <w:szCs w:val="28"/>
        </w:rPr>
        <w:t xml:space="preserve"> 1(1) is one of the most import</w:t>
      </w:r>
      <w:r w:rsidR="0088214F">
        <w:rPr>
          <w:rFonts w:ascii="Times New Roman" w:hAnsi="Times New Roman" w:cs="Times New Roman"/>
          <w:sz w:val="28"/>
          <w:szCs w:val="28"/>
        </w:rPr>
        <w:t xml:space="preserve">ant definitions in the VAT Act as set out above. </w:t>
      </w:r>
      <w:r w:rsidR="0088214F" w:rsidRPr="00B67EF0">
        <w:rPr>
          <w:rFonts w:ascii="Times New Roman" w:hAnsi="Times New Roman" w:cs="Times New Roman"/>
          <w:sz w:val="28"/>
          <w:szCs w:val="28"/>
        </w:rPr>
        <w:t xml:space="preserve">Its main purpose is to </w:t>
      </w:r>
      <w:r w:rsidR="00F92BFC">
        <w:rPr>
          <w:rFonts w:ascii="Times New Roman" w:hAnsi="Times New Roman" w:cs="Times New Roman"/>
          <w:sz w:val="28"/>
          <w:szCs w:val="28"/>
        </w:rPr>
        <w:t xml:space="preserve">delineate </w:t>
      </w:r>
      <w:r w:rsidR="0088214F" w:rsidRPr="00B67EF0">
        <w:rPr>
          <w:rFonts w:ascii="Times New Roman" w:hAnsi="Times New Roman" w:cs="Times New Roman"/>
          <w:sz w:val="28"/>
          <w:szCs w:val="28"/>
        </w:rPr>
        <w:t xml:space="preserve">as clearly as possible the type of persons, activities and supplies which are intended to form part of the tax base, as well as those that are meant to be excluded. In terms of paragraph </w:t>
      </w:r>
      <w:r w:rsidR="0088214F" w:rsidRPr="00B67EF0">
        <w:rPr>
          <w:rFonts w:ascii="Times New Roman" w:hAnsi="Times New Roman" w:cs="Times New Roman"/>
          <w:i/>
          <w:iCs/>
          <w:sz w:val="28"/>
          <w:szCs w:val="28"/>
        </w:rPr>
        <w:t xml:space="preserve">(a) </w:t>
      </w:r>
      <w:r w:rsidR="0088214F" w:rsidRPr="00B67EF0">
        <w:rPr>
          <w:rFonts w:ascii="Times New Roman" w:hAnsi="Times New Roman" w:cs="Times New Roman"/>
          <w:sz w:val="28"/>
          <w:szCs w:val="28"/>
        </w:rPr>
        <w:t>of this definition, there is a general requirement that enterprises participating in the VAT system must charge a consideration (</w:t>
      </w:r>
      <w:r w:rsidR="00321317">
        <w:rPr>
          <w:rFonts w:ascii="Times New Roman" w:hAnsi="Times New Roman" w:cs="Times New Roman"/>
          <w:sz w:val="28"/>
          <w:szCs w:val="28"/>
        </w:rPr>
        <w:t xml:space="preserve">or </w:t>
      </w:r>
      <w:r w:rsidR="0088214F" w:rsidRPr="00B67EF0">
        <w:rPr>
          <w:rFonts w:ascii="Times New Roman" w:hAnsi="Times New Roman" w:cs="Times New Roman"/>
          <w:sz w:val="28"/>
          <w:szCs w:val="28"/>
        </w:rPr>
        <w:t>price) for the goods or services they supply.</w:t>
      </w:r>
      <w:r w:rsidR="0088214F">
        <w:rPr>
          <w:rFonts w:ascii="Times New Roman" w:hAnsi="Times New Roman" w:cs="Times New Roman"/>
          <w:sz w:val="28"/>
          <w:szCs w:val="28"/>
        </w:rPr>
        <w:t xml:space="preserve"> </w:t>
      </w:r>
    </w:p>
    <w:p w14:paraId="1885B550" w14:textId="77777777" w:rsidR="003979B6" w:rsidRDefault="003979B6" w:rsidP="0088214F">
      <w:pPr>
        <w:spacing w:after="0" w:line="360" w:lineRule="auto"/>
        <w:jc w:val="both"/>
        <w:rPr>
          <w:rFonts w:ascii="Times New Roman" w:hAnsi="Times New Roman" w:cs="Times New Roman"/>
          <w:sz w:val="28"/>
          <w:szCs w:val="28"/>
        </w:rPr>
      </w:pPr>
    </w:p>
    <w:p w14:paraId="5ED44046" w14:textId="55FCBF4E" w:rsidR="0088214F" w:rsidRPr="00941291" w:rsidRDefault="004623D1" w:rsidP="008821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1279B1">
        <w:rPr>
          <w:rFonts w:ascii="Times New Roman" w:hAnsi="Times New Roman" w:cs="Times New Roman"/>
          <w:sz w:val="28"/>
          <w:szCs w:val="28"/>
        </w:rPr>
        <w:t>The</w:t>
      </w:r>
      <w:r w:rsidR="0088214F">
        <w:rPr>
          <w:rFonts w:ascii="Times New Roman" w:hAnsi="Times New Roman" w:cs="Times New Roman"/>
          <w:sz w:val="28"/>
          <w:szCs w:val="28"/>
        </w:rPr>
        <w:t xml:space="preserve"> general mechanism of the VAT Act has been conveniently set out</w:t>
      </w:r>
      <w:r w:rsidR="0088214F" w:rsidRPr="00C34641">
        <w:rPr>
          <w:rFonts w:ascii="Times New Roman" w:hAnsi="Times New Roman" w:cs="Times New Roman"/>
          <w:sz w:val="28"/>
          <w:szCs w:val="28"/>
        </w:rPr>
        <w:t xml:space="preserve"> by the Constitutional Court</w:t>
      </w:r>
      <w:r w:rsidR="0088214F">
        <w:rPr>
          <w:rFonts w:ascii="Times New Roman" w:hAnsi="Times New Roman" w:cs="Times New Roman"/>
          <w:i/>
          <w:sz w:val="28"/>
          <w:szCs w:val="28"/>
        </w:rPr>
        <w:t xml:space="preserve"> </w:t>
      </w:r>
      <w:r w:rsidR="0088214F" w:rsidRPr="006A47E0">
        <w:rPr>
          <w:rFonts w:ascii="Times New Roman" w:hAnsi="Times New Roman" w:cs="Times New Roman"/>
          <w:sz w:val="28"/>
          <w:szCs w:val="28"/>
        </w:rPr>
        <w:t>in the oft quoted judgment</w:t>
      </w:r>
      <w:r w:rsidR="0088214F">
        <w:rPr>
          <w:rFonts w:ascii="Times New Roman" w:hAnsi="Times New Roman" w:cs="Times New Roman"/>
          <w:i/>
          <w:sz w:val="28"/>
          <w:szCs w:val="28"/>
        </w:rPr>
        <w:t xml:space="preserve"> </w:t>
      </w:r>
      <w:r w:rsidR="0088214F" w:rsidRPr="00941291">
        <w:rPr>
          <w:rFonts w:ascii="Times New Roman" w:hAnsi="Times New Roman" w:cs="Times New Roman"/>
          <w:i/>
          <w:sz w:val="28"/>
          <w:szCs w:val="28"/>
        </w:rPr>
        <w:t>Metcash Trading Limited v Commissioner for the South African Revenue Service and Another</w:t>
      </w:r>
      <w:r w:rsidR="0088214F" w:rsidRPr="00941291">
        <w:rPr>
          <w:rFonts w:ascii="Times New Roman" w:hAnsi="Times New Roman" w:cs="Times New Roman"/>
          <w:sz w:val="28"/>
          <w:szCs w:val="28"/>
        </w:rPr>
        <w:t xml:space="preserve"> [2000] ZACC 21; 2001 (1) SA 1109 (CC); 2001 (1) BCLR 1 (CC)</w:t>
      </w:r>
      <w:r w:rsidR="00321317">
        <w:rPr>
          <w:rFonts w:ascii="Times New Roman" w:hAnsi="Times New Roman" w:cs="Times New Roman"/>
          <w:sz w:val="28"/>
          <w:szCs w:val="28"/>
        </w:rPr>
        <w:t xml:space="preserve"> as follows</w:t>
      </w:r>
      <w:r w:rsidR="0088214F">
        <w:rPr>
          <w:rFonts w:ascii="Times New Roman" w:hAnsi="Times New Roman" w:cs="Times New Roman"/>
          <w:sz w:val="28"/>
          <w:szCs w:val="28"/>
        </w:rPr>
        <w:t>:</w:t>
      </w:r>
    </w:p>
    <w:p w14:paraId="0FB29FBD" w14:textId="3820712A" w:rsidR="0088214F" w:rsidRDefault="0088214F" w:rsidP="0088214F">
      <w:pPr>
        <w:spacing w:after="0" w:line="360" w:lineRule="auto"/>
        <w:jc w:val="both"/>
        <w:rPr>
          <w:rFonts w:ascii="Times New Roman" w:hAnsi="Times New Roman" w:cs="Times New Roman"/>
          <w:sz w:val="24"/>
          <w:szCs w:val="24"/>
        </w:rPr>
      </w:pPr>
      <w:r w:rsidRPr="004623D1">
        <w:rPr>
          <w:rFonts w:ascii="Times New Roman" w:hAnsi="Times New Roman" w:cs="Times New Roman"/>
          <w:sz w:val="24"/>
          <w:szCs w:val="24"/>
        </w:rPr>
        <w:t>‘[</w:t>
      </w:r>
      <w:r w:rsidR="004623D1" w:rsidRPr="004623D1">
        <w:rPr>
          <w:rFonts w:ascii="Times New Roman" w:hAnsi="Times New Roman" w:cs="Times New Roman"/>
          <w:sz w:val="24"/>
          <w:szCs w:val="24"/>
        </w:rPr>
        <w:t>13]</w:t>
      </w:r>
      <w:r w:rsidR="004623D1" w:rsidRPr="004623D1">
        <w:rPr>
          <w:rFonts w:ascii="Times New Roman" w:hAnsi="Times New Roman" w:cs="Times New Roman"/>
          <w:sz w:val="24"/>
          <w:szCs w:val="24"/>
        </w:rPr>
        <w:tab/>
      </w:r>
      <w:r w:rsidR="00D7031E">
        <w:rPr>
          <w:rFonts w:ascii="Times New Roman" w:hAnsi="Times New Roman" w:cs="Times New Roman"/>
          <w:sz w:val="24"/>
          <w:szCs w:val="24"/>
        </w:rPr>
        <w:t xml:space="preserve">. . . </w:t>
      </w:r>
      <w:r w:rsidRPr="004623D1">
        <w:rPr>
          <w:rFonts w:ascii="Times New Roman" w:hAnsi="Times New Roman" w:cs="Times New Roman"/>
          <w:sz w:val="24"/>
          <w:szCs w:val="24"/>
        </w:rPr>
        <w:t>The basic idea of VAT is that it is calculated on the value of each successive step as goods move from hand to hand along the commercial production and distribution chain from their original source to their ultimate user. For present purposes it can be accepted that the tax is calculated at the prescribed rate of 14% on the price at which each successive act of handing on takes place. Furthermore, the tax is not only calculated on the value of each successive supply, but is to be paid at that time. As goods move along the distribution chain, everyone making up the sales chain is first a recipient, then a supplier. The Act calls these recipients/suppliers who are engaged in enterprises “vendors” and section 23 makes provision for them to be registered as such with the Commissioner. Section 7(2) of the Act then renders each vendor who supplies goods liable to pay the VAT on that particular supply.</w:t>
      </w:r>
    </w:p>
    <w:p w14:paraId="4FA23492" w14:textId="77777777" w:rsidR="00CD2873" w:rsidRPr="004623D1" w:rsidRDefault="00CD2873" w:rsidP="0088214F">
      <w:pPr>
        <w:spacing w:after="0" w:line="360" w:lineRule="auto"/>
        <w:jc w:val="both"/>
        <w:rPr>
          <w:rFonts w:ascii="Times New Roman" w:hAnsi="Times New Roman" w:cs="Times New Roman"/>
          <w:sz w:val="24"/>
          <w:szCs w:val="24"/>
        </w:rPr>
      </w:pPr>
    </w:p>
    <w:p w14:paraId="4E91105A" w14:textId="77777777" w:rsidR="00D7031E" w:rsidRDefault="00D7031E" w:rsidP="0088214F">
      <w:pPr>
        <w:spacing w:after="0" w:line="360" w:lineRule="auto"/>
        <w:jc w:val="both"/>
        <w:rPr>
          <w:rFonts w:ascii="Times New Roman" w:hAnsi="Times New Roman" w:cs="Times New Roman"/>
          <w:sz w:val="24"/>
          <w:szCs w:val="24"/>
        </w:rPr>
      </w:pPr>
      <w:r w:rsidRPr="004623D1">
        <w:rPr>
          <w:rFonts w:ascii="Times New Roman" w:hAnsi="Times New Roman" w:cs="Times New Roman"/>
          <w:sz w:val="24"/>
          <w:szCs w:val="24"/>
        </w:rPr>
        <w:t>[</w:t>
      </w:r>
      <w:r>
        <w:rPr>
          <w:rFonts w:ascii="Times New Roman" w:hAnsi="Times New Roman" w:cs="Times New Roman"/>
          <w:sz w:val="24"/>
          <w:szCs w:val="24"/>
        </w:rPr>
        <w:t>14</w:t>
      </w:r>
      <w:r w:rsidRPr="004623D1">
        <w:rPr>
          <w:rFonts w:ascii="Times New Roman" w:hAnsi="Times New Roman" w:cs="Times New Roman"/>
          <w:sz w:val="24"/>
          <w:szCs w:val="24"/>
        </w:rPr>
        <w:t>]</w:t>
      </w:r>
      <w:r>
        <w:rPr>
          <w:rFonts w:ascii="Times New Roman" w:hAnsi="Times New Roman" w:cs="Times New Roman"/>
          <w:sz w:val="24"/>
          <w:szCs w:val="24"/>
        </w:rPr>
        <w:tab/>
      </w:r>
      <w:r w:rsidRPr="00473D5D">
        <w:rPr>
          <w:rFonts w:ascii="Times New Roman" w:hAnsi="Times New Roman" w:cs="Times New Roman"/>
          <w:sz w:val="24"/>
          <w:szCs w:val="24"/>
        </w:rPr>
        <w:t xml:space="preserve">Being a tax on added value, VAT is not levied on the full price of a commodity at each transactional delivery step it takes along the distribution chain. It is not cumulative but merely a tax on the added value the commodity gains during each interval since the previous supply. To arrive at this outcome a supplying vendor, when calculating the VAT payable on the particular supply, simply deducts the VAT that was paid when the particular goods were supplied to it in the first place. As a commodity is on-sold by a succession of vendors, each payment of VAT by each successive supplier must then represent 14% of the selling price less the 14% of the price which was payable when that commodity was acquired. According </w:t>
      </w:r>
      <w:r w:rsidRPr="00473D5D">
        <w:rPr>
          <w:rFonts w:ascii="Times New Roman" w:hAnsi="Times New Roman" w:cs="Times New Roman"/>
          <w:sz w:val="24"/>
          <w:szCs w:val="24"/>
        </w:rPr>
        <w:lastRenderedPageBreak/>
        <w:t>to the scheme of the Act the tax that is payable by a supplying vendor is called output tax and the tax that was payable on the supply to that vendor upon acquisition is called input tax.’</w:t>
      </w:r>
    </w:p>
    <w:p w14:paraId="09667EDD" w14:textId="77777777" w:rsidR="0088214F" w:rsidRPr="00B67EF0" w:rsidRDefault="0088214F" w:rsidP="0088214F">
      <w:pPr>
        <w:spacing w:after="0" w:line="360" w:lineRule="auto"/>
        <w:jc w:val="both"/>
        <w:rPr>
          <w:rFonts w:ascii="Times New Roman" w:hAnsi="Times New Roman" w:cs="Times New Roman"/>
          <w:sz w:val="28"/>
          <w:szCs w:val="28"/>
        </w:rPr>
      </w:pPr>
    </w:p>
    <w:p w14:paraId="3C1DA1BA" w14:textId="70357CCE" w:rsidR="0088214F" w:rsidRPr="00780F13" w:rsidRDefault="004623D1" w:rsidP="008821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655B85">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r>
      <w:r w:rsidR="00F92BFC">
        <w:rPr>
          <w:rFonts w:ascii="Times New Roman" w:hAnsi="Times New Roman" w:cs="Times New Roman"/>
          <w:sz w:val="28"/>
          <w:szCs w:val="28"/>
        </w:rPr>
        <w:t>Moreover, t</w:t>
      </w:r>
      <w:r w:rsidR="006D70D0">
        <w:rPr>
          <w:rFonts w:ascii="Times New Roman" w:hAnsi="Times New Roman" w:cs="Times New Roman"/>
          <w:sz w:val="28"/>
          <w:szCs w:val="28"/>
        </w:rPr>
        <w:t>his C</w:t>
      </w:r>
      <w:r w:rsidR="0088214F" w:rsidRPr="005F7863">
        <w:rPr>
          <w:rFonts w:ascii="Times New Roman" w:hAnsi="Times New Roman" w:cs="Times New Roman"/>
          <w:sz w:val="28"/>
          <w:szCs w:val="28"/>
        </w:rPr>
        <w:t>ourt in</w:t>
      </w:r>
      <w:r w:rsidR="0088214F">
        <w:rPr>
          <w:rFonts w:ascii="Times New Roman" w:hAnsi="Times New Roman" w:cs="Times New Roman"/>
          <w:i/>
          <w:sz w:val="28"/>
          <w:szCs w:val="28"/>
        </w:rPr>
        <w:t xml:space="preserve"> </w:t>
      </w:r>
      <w:r w:rsidR="0088214F" w:rsidRPr="00780F13">
        <w:rPr>
          <w:rFonts w:ascii="Times New Roman" w:hAnsi="Times New Roman" w:cs="Times New Roman"/>
          <w:i/>
          <w:sz w:val="28"/>
          <w:szCs w:val="28"/>
        </w:rPr>
        <w:t>Commissioner for South African Revenue Services v De Beers Consolidated Mines Ltd</w:t>
      </w:r>
      <w:r w:rsidR="0088214F" w:rsidRPr="00780F13">
        <w:rPr>
          <w:rFonts w:ascii="Times New Roman" w:hAnsi="Times New Roman" w:cs="Times New Roman"/>
          <w:sz w:val="28"/>
          <w:szCs w:val="28"/>
        </w:rPr>
        <w:t xml:space="preserve"> [2012] ZASCA 103; 2012 (5) SA 344 (SCA); [2012] 3 All SA 367 (SCA)</w:t>
      </w:r>
      <w:r w:rsidR="0088214F">
        <w:rPr>
          <w:rFonts w:ascii="Times New Roman" w:hAnsi="Times New Roman" w:cs="Times New Roman"/>
          <w:sz w:val="28"/>
          <w:szCs w:val="28"/>
        </w:rPr>
        <w:t>, said:</w:t>
      </w:r>
      <w:r w:rsidR="0088214F" w:rsidRPr="00780F13">
        <w:rPr>
          <w:rFonts w:ascii="Times New Roman" w:hAnsi="Times New Roman" w:cs="Times New Roman"/>
          <w:sz w:val="28"/>
          <w:szCs w:val="28"/>
        </w:rPr>
        <w:t> </w:t>
      </w:r>
    </w:p>
    <w:p w14:paraId="57D2344F" w14:textId="6438C4C7" w:rsidR="0088214F" w:rsidRPr="006D70D0" w:rsidRDefault="00655B85" w:rsidP="008821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‘[39]</w:t>
      </w:r>
      <w:r w:rsidR="00151A21">
        <w:rPr>
          <w:rFonts w:ascii="Times New Roman" w:hAnsi="Times New Roman" w:cs="Times New Roman"/>
          <w:sz w:val="24"/>
          <w:szCs w:val="24"/>
        </w:rPr>
        <w:tab/>
      </w:r>
      <w:r w:rsidR="0088214F" w:rsidRPr="006D70D0">
        <w:rPr>
          <w:rFonts w:ascii="Times New Roman" w:hAnsi="Times New Roman" w:cs="Times New Roman"/>
          <w:sz w:val="24"/>
          <w:szCs w:val="24"/>
        </w:rPr>
        <w:t xml:space="preserve">At this stage, it is necessary to set out the rationale behind and method of application of VAT. On this aspect we can do no better than to cite an English case which deals directly with this aspect in </w:t>
      </w:r>
      <w:r w:rsidR="0088214F" w:rsidRPr="006D70D0">
        <w:rPr>
          <w:rFonts w:ascii="Times New Roman" w:hAnsi="Times New Roman" w:cs="Times New Roman"/>
          <w:i/>
          <w:sz w:val="24"/>
          <w:szCs w:val="24"/>
        </w:rPr>
        <w:t>Customs and Excise Commissioners v Redrow Group plc</w:t>
      </w:r>
      <w:r w:rsidR="0088214F" w:rsidRPr="006D70D0">
        <w:rPr>
          <w:rFonts w:ascii="Times New Roman" w:hAnsi="Times New Roman" w:cs="Times New Roman"/>
          <w:sz w:val="24"/>
          <w:szCs w:val="24"/>
        </w:rPr>
        <w:t xml:space="preserve"> [1999] 2 All ER 1 (HL) at 9g-h:</w:t>
      </w:r>
    </w:p>
    <w:p w14:paraId="362DAF70" w14:textId="4368B25D" w:rsidR="0088214F" w:rsidRPr="004623D1" w:rsidRDefault="00151A21" w:rsidP="008821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88214F" w:rsidRPr="004623D1">
        <w:rPr>
          <w:rFonts w:ascii="Times New Roman" w:hAnsi="Times New Roman" w:cs="Times New Roman"/>
          <w:sz w:val="24"/>
          <w:szCs w:val="24"/>
        </w:rPr>
        <w:t>These provisions entitle a taxpayer who makes both taxable and exempt supplies in the course of his business to obtain a credit for an appropriate proportion of the input tax on his overheads. These are the costs of goods and services which are properly incurred in the course of his business but which cannot be linked with any goods or services supplied by the taxpayer to his customers. Audit and legal fees and the cost of the offi</w:t>
      </w:r>
      <w:r w:rsidR="004623D1" w:rsidRPr="004623D1">
        <w:rPr>
          <w:rFonts w:ascii="Times New Roman" w:hAnsi="Times New Roman" w:cs="Times New Roman"/>
          <w:sz w:val="24"/>
          <w:szCs w:val="24"/>
        </w:rPr>
        <w:t>ce carpet are obvious examples.</w:t>
      </w:r>
      <w:r>
        <w:rPr>
          <w:rFonts w:ascii="Times New Roman" w:hAnsi="Times New Roman" w:cs="Times New Roman"/>
          <w:sz w:val="24"/>
          <w:szCs w:val="24"/>
        </w:rPr>
        <w:t>”</w:t>
      </w:r>
    </w:p>
    <w:p w14:paraId="11B03561" w14:textId="77777777" w:rsidR="0088214F" w:rsidRPr="004623D1" w:rsidRDefault="0088214F" w:rsidP="0088214F">
      <w:pPr>
        <w:spacing w:after="0" w:line="360" w:lineRule="auto"/>
        <w:jc w:val="both"/>
        <w:rPr>
          <w:rFonts w:ascii="Times New Roman" w:hAnsi="Times New Roman" w:cs="Times New Roman"/>
          <w:sz w:val="24"/>
          <w:szCs w:val="24"/>
        </w:rPr>
      </w:pPr>
      <w:r w:rsidRPr="004623D1">
        <w:rPr>
          <w:rFonts w:ascii="Times New Roman" w:hAnsi="Times New Roman" w:cs="Times New Roman"/>
          <w:sz w:val="24"/>
          <w:szCs w:val="24"/>
        </w:rPr>
        <w:t>These considerations apply equally to the VAT regime in this country and in other comparable jurisdictions.’</w:t>
      </w:r>
    </w:p>
    <w:p w14:paraId="2FFC8DFA" w14:textId="4ED11A6B" w:rsidR="0088214F" w:rsidRPr="005A3E0F" w:rsidRDefault="0088214F" w:rsidP="0088214F">
      <w:pPr>
        <w:spacing w:after="0" w:line="360" w:lineRule="auto"/>
        <w:jc w:val="both"/>
        <w:rPr>
          <w:rFonts w:ascii="Times New Roman" w:hAnsi="Times New Roman" w:cs="Times New Roman"/>
          <w:sz w:val="28"/>
          <w:szCs w:val="28"/>
          <w:lang w:val="en-GB"/>
        </w:rPr>
      </w:pPr>
      <w:r w:rsidRPr="005A3E0F">
        <w:rPr>
          <w:rFonts w:ascii="Times New Roman" w:hAnsi="Times New Roman" w:cs="Times New Roman"/>
          <w:sz w:val="28"/>
          <w:szCs w:val="28"/>
          <w:lang w:val="en-GB"/>
        </w:rPr>
        <w:t xml:space="preserve">And </w:t>
      </w:r>
      <w:r w:rsidR="00151A21">
        <w:rPr>
          <w:rFonts w:ascii="Times New Roman" w:hAnsi="Times New Roman" w:cs="Times New Roman"/>
          <w:sz w:val="28"/>
          <w:szCs w:val="28"/>
          <w:lang w:val="en-GB"/>
        </w:rPr>
        <w:t>further</w:t>
      </w:r>
      <w:r w:rsidRPr="005A3E0F">
        <w:rPr>
          <w:rFonts w:ascii="Times New Roman" w:hAnsi="Times New Roman" w:cs="Times New Roman"/>
          <w:sz w:val="28"/>
          <w:szCs w:val="28"/>
          <w:lang w:val="en-GB"/>
        </w:rPr>
        <w:t>:</w:t>
      </w:r>
    </w:p>
    <w:p w14:paraId="06DF6B18" w14:textId="48D492C0" w:rsidR="0088214F" w:rsidRPr="004623D1" w:rsidRDefault="0088214F" w:rsidP="0088214F">
      <w:pPr>
        <w:spacing w:after="0" w:line="360" w:lineRule="auto"/>
        <w:jc w:val="both"/>
        <w:rPr>
          <w:rFonts w:ascii="Times New Roman" w:hAnsi="Times New Roman" w:cs="Times New Roman"/>
          <w:sz w:val="24"/>
          <w:szCs w:val="24"/>
          <w:lang w:val="en-GB"/>
        </w:rPr>
      </w:pPr>
      <w:r w:rsidRPr="004623D1">
        <w:rPr>
          <w:rFonts w:ascii="Times New Roman" w:hAnsi="Times New Roman" w:cs="Times New Roman"/>
          <w:sz w:val="24"/>
          <w:szCs w:val="24"/>
          <w:lang w:val="en-GB"/>
        </w:rPr>
        <w:t xml:space="preserve">‘[51] </w:t>
      </w:r>
      <w:r w:rsidR="00151A21">
        <w:rPr>
          <w:rFonts w:ascii="Times New Roman" w:hAnsi="Times New Roman" w:cs="Times New Roman"/>
          <w:sz w:val="24"/>
          <w:szCs w:val="24"/>
          <w:lang w:val="en-GB"/>
        </w:rPr>
        <w:tab/>
      </w:r>
      <w:r w:rsidRPr="004623D1">
        <w:rPr>
          <w:rFonts w:ascii="Times New Roman" w:hAnsi="Times New Roman" w:cs="Times New Roman"/>
          <w:sz w:val="24"/>
          <w:szCs w:val="24"/>
          <w:lang w:val="en-GB"/>
        </w:rPr>
        <w:t xml:space="preserve">The primary question requires that there be clarity as to the nature of the </w:t>
      </w:r>
      <w:r w:rsidR="00151A21">
        <w:rPr>
          <w:rFonts w:ascii="Times New Roman" w:hAnsi="Times New Roman" w:cs="Times New Roman"/>
          <w:sz w:val="24"/>
          <w:szCs w:val="24"/>
          <w:lang w:val="en-GB"/>
        </w:rPr>
        <w:t>“</w:t>
      </w:r>
      <w:r w:rsidRPr="004623D1">
        <w:rPr>
          <w:rFonts w:ascii="Times New Roman" w:hAnsi="Times New Roman" w:cs="Times New Roman"/>
          <w:sz w:val="24"/>
          <w:szCs w:val="24"/>
          <w:lang w:val="en-GB"/>
        </w:rPr>
        <w:t>enterprise</w:t>
      </w:r>
      <w:r w:rsidR="00151A21">
        <w:rPr>
          <w:rFonts w:ascii="Times New Roman" w:hAnsi="Times New Roman" w:cs="Times New Roman"/>
          <w:sz w:val="24"/>
          <w:szCs w:val="24"/>
          <w:lang w:val="en-GB"/>
        </w:rPr>
        <w:t>”</w:t>
      </w:r>
      <w:r w:rsidRPr="004623D1">
        <w:rPr>
          <w:rFonts w:ascii="Times New Roman" w:hAnsi="Times New Roman" w:cs="Times New Roman"/>
          <w:sz w:val="24"/>
          <w:szCs w:val="24"/>
          <w:lang w:val="en-GB"/>
        </w:rPr>
        <w:t xml:space="preserve"> because the purpose of acquiring the services and whether they were consumed or utilized in making </w:t>
      </w:r>
      <w:r w:rsidR="00151A21">
        <w:rPr>
          <w:rFonts w:ascii="Times New Roman" w:hAnsi="Times New Roman" w:cs="Times New Roman"/>
          <w:sz w:val="24"/>
          <w:szCs w:val="24"/>
          <w:lang w:val="en-GB"/>
        </w:rPr>
        <w:t>“</w:t>
      </w:r>
      <w:r w:rsidRPr="004623D1">
        <w:rPr>
          <w:rFonts w:ascii="Times New Roman" w:hAnsi="Times New Roman" w:cs="Times New Roman"/>
          <w:sz w:val="24"/>
          <w:szCs w:val="24"/>
          <w:lang w:val="en-GB"/>
        </w:rPr>
        <w:t>taxable supplies</w:t>
      </w:r>
      <w:r w:rsidR="00151A21">
        <w:rPr>
          <w:rFonts w:ascii="Times New Roman" w:hAnsi="Times New Roman" w:cs="Times New Roman"/>
          <w:sz w:val="24"/>
          <w:szCs w:val="24"/>
          <w:lang w:val="en-GB"/>
        </w:rPr>
        <w:t>”</w:t>
      </w:r>
      <w:r w:rsidRPr="004623D1">
        <w:rPr>
          <w:rFonts w:ascii="Times New Roman" w:hAnsi="Times New Roman" w:cs="Times New Roman"/>
          <w:sz w:val="24"/>
          <w:szCs w:val="24"/>
          <w:lang w:val="en-GB"/>
        </w:rPr>
        <w:t xml:space="preserve"> can only be determined in relation to a particular </w:t>
      </w:r>
      <w:r w:rsidR="00151A21">
        <w:rPr>
          <w:rFonts w:ascii="Times New Roman" w:hAnsi="Times New Roman" w:cs="Times New Roman"/>
          <w:sz w:val="24"/>
          <w:szCs w:val="24"/>
          <w:lang w:val="en-GB"/>
        </w:rPr>
        <w:t>“</w:t>
      </w:r>
      <w:r w:rsidRPr="004623D1">
        <w:rPr>
          <w:rFonts w:ascii="Times New Roman" w:hAnsi="Times New Roman" w:cs="Times New Roman"/>
          <w:sz w:val="24"/>
          <w:szCs w:val="24"/>
          <w:lang w:val="en-GB"/>
        </w:rPr>
        <w:t>enterprise</w:t>
      </w:r>
      <w:r w:rsidR="00151A21">
        <w:rPr>
          <w:rFonts w:ascii="Times New Roman" w:hAnsi="Times New Roman" w:cs="Times New Roman"/>
          <w:sz w:val="24"/>
          <w:szCs w:val="24"/>
          <w:lang w:val="en-GB"/>
        </w:rPr>
        <w:t>”</w:t>
      </w:r>
      <w:r w:rsidRPr="004623D1">
        <w:rPr>
          <w:rFonts w:ascii="Times New Roman" w:hAnsi="Times New Roman" w:cs="Times New Roman"/>
          <w:sz w:val="24"/>
          <w:szCs w:val="24"/>
          <w:lang w:val="en-GB"/>
        </w:rPr>
        <w:t xml:space="preserve">. What the </w:t>
      </w:r>
      <w:r w:rsidR="00151A21">
        <w:rPr>
          <w:rFonts w:ascii="Times New Roman" w:hAnsi="Times New Roman" w:cs="Times New Roman"/>
          <w:sz w:val="24"/>
          <w:szCs w:val="24"/>
          <w:lang w:val="en-GB"/>
        </w:rPr>
        <w:t>“</w:t>
      </w:r>
      <w:r w:rsidRPr="004623D1">
        <w:rPr>
          <w:rFonts w:ascii="Times New Roman" w:hAnsi="Times New Roman" w:cs="Times New Roman"/>
          <w:sz w:val="24"/>
          <w:szCs w:val="24"/>
          <w:lang w:val="en-GB"/>
        </w:rPr>
        <w:t>enterprise</w:t>
      </w:r>
      <w:r w:rsidR="00151A21">
        <w:rPr>
          <w:rFonts w:ascii="Times New Roman" w:hAnsi="Times New Roman" w:cs="Times New Roman"/>
          <w:sz w:val="24"/>
          <w:szCs w:val="24"/>
          <w:lang w:val="en-GB"/>
        </w:rPr>
        <w:t>”</w:t>
      </w:r>
      <w:r w:rsidRPr="004623D1">
        <w:rPr>
          <w:rFonts w:ascii="Times New Roman" w:hAnsi="Times New Roman" w:cs="Times New Roman"/>
          <w:sz w:val="24"/>
          <w:szCs w:val="24"/>
          <w:lang w:val="en-GB"/>
        </w:rPr>
        <w:t xml:space="preserve"> consists of is a factual question. There must be a particular activity which complies with all the requirements in the definition. . . The purpose of the words following </w:t>
      </w:r>
      <w:r w:rsidR="00151A21">
        <w:rPr>
          <w:rFonts w:ascii="Times New Roman" w:hAnsi="Times New Roman" w:cs="Times New Roman"/>
          <w:sz w:val="24"/>
          <w:szCs w:val="24"/>
          <w:lang w:val="en-GB"/>
        </w:rPr>
        <w:t>“</w:t>
      </w:r>
      <w:r w:rsidRPr="004623D1">
        <w:rPr>
          <w:rFonts w:ascii="Times New Roman" w:hAnsi="Times New Roman" w:cs="Times New Roman"/>
          <w:sz w:val="24"/>
          <w:szCs w:val="24"/>
          <w:lang w:val="en-GB"/>
        </w:rPr>
        <w:t>including</w:t>
      </w:r>
      <w:r w:rsidR="00151A21">
        <w:rPr>
          <w:rFonts w:ascii="Times New Roman" w:hAnsi="Times New Roman" w:cs="Times New Roman"/>
          <w:sz w:val="24"/>
          <w:szCs w:val="24"/>
          <w:lang w:val="en-GB"/>
        </w:rPr>
        <w:t>”</w:t>
      </w:r>
      <w:r w:rsidRPr="004623D1">
        <w:rPr>
          <w:rFonts w:ascii="Times New Roman" w:hAnsi="Times New Roman" w:cs="Times New Roman"/>
          <w:sz w:val="24"/>
          <w:szCs w:val="24"/>
          <w:lang w:val="en-GB"/>
        </w:rPr>
        <w:t xml:space="preserve"> is to make certain that the specific categories of activity referred to are included in the definition of </w:t>
      </w:r>
      <w:r w:rsidR="00151A21">
        <w:rPr>
          <w:rFonts w:ascii="Times New Roman" w:hAnsi="Times New Roman" w:cs="Times New Roman"/>
          <w:sz w:val="24"/>
          <w:szCs w:val="24"/>
          <w:lang w:val="en-GB"/>
        </w:rPr>
        <w:t>“</w:t>
      </w:r>
      <w:r w:rsidRPr="004623D1">
        <w:rPr>
          <w:rFonts w:ascii="Times New Roman" w:hAnsi="Times New Roman" w:cs="Times New Roman"/>
          <w:sz w:val="24"/>
          <w:szCs w:val="24"/>
          <w:lang w:val="en-GB"/>
        </w:rPr>
        <w:t>enterprise</w:t>
      </w:r>
      <w:r w:rsidR="00151A21">
        <w:rPr>
          <w:rFonts w:ascii="Times New Roman" w:hAnsi="Times New Roman" w:cs="Times New Roman"/>
          <w:sz w:val="24"/>
          <w:szCs w:val="24"/>
          <w:lang w:val="en-GB"/>
        </w:rPr>
        <w:t>”</w:t>
      </w:r>
      <w:r w:rsidRPr="004623D1">
        <w:rPr>
          <w:rFonts w:ascii="Times New Roman" w:hAnsi="Times New Roman" w:cs="Times New Roman"/>
          <w:sz w:val="24"/>
          <w:szCs w:val="24"/>
          <w:lang w:val="en-GB"/>
        </w:rPr>
        <w:t>.</w:t>
      </w:r>
      <w:r w:rsidR="00151A21">
        <w:rPr>
          <w:rFonts w:ascii="Times New Roman" w:hAnsi="Times New Roman" w:cs="Times New Roman"/>
          <w:sz w:val="24"/>
          <w:szCs w:val="24"/>
          <w:lang w:val="en-GB"/>
        </w:rPr>
        <w:t>’</w:t>
      </w:r>
    </w:p>
    <w:p w14:paraId="441C1ED5" w14:textId="77777777" w:rsidR="0088214F" w:rsidRPr="00B67EF0" w:rsidRDefault="0088214F" w:rsidP="0088214F">
      <w:pPr>
        <w:spacing w:after="0" w:line="360" w:lineRule="auto"/>
        <w:jc w:val="both"/>
        <w:rPr>
          <w:rFonts w:ascii="Times New Roman" w:hAnsi="Times New Roman" w:cs="Times New Roman"/>
          <w:sz w:val="28"/>
          <w:szCs w:val="28"/>
        </w:rPr>
      </w:pPr>
    </w:p>
    <w:p w14:paraId="05D7A42E" w14:textId="12DF0BB0" w:rsidR="0088214F" w:rsidRPr="00E52485" w:rsidRDefault="004623D1" w:rsidP="008821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D006A">
        <w:rPr>
          <w:rFonts w:ascii="Times New Roman" w:hAnsi="Times New Roman" w:cs="Times New Roman"/>
          <w:sz w:val="28"/>
          <w:szCs w:val="28"/>
        </w:rPr>
        <w:t>1</w:t>
      </w:r>
      <w:r>
        <w:rPr>
          <w:rFonts w:ascii="Times New Roman" w:hAnsi="Times New Roman" w:cs="Times New Roman"/>
          <w:sz w:val="28"/>
          <w:szCs w:val="28"/>
        </w:rPr>
        <w:t>]</w:t>
      </w:r>
      <w:r w:rsidR="00A72292">
        <w:rPr>
          <w:rFonts w:ascii="Times New Roman" w:hAnsi="Times New Roman" w:cs="Times New Roman"/>
          <w:sz w:val="28"/>
          <w:szCs w:val="28"/>
        </w:rPr>
        <w:tab/>
        <w:t xml:space="preserve">In </w:t>
      </w:r>
      <w:r w:rsidR="00A72292" w:rsidRPr="00A72292">
        <w:rPr>
          <w:rFonts w:ascii="Times New Roman" w:hAnsi="Times New Roman" w:cs="Times New Roman"/>
          <w:sz w:val="28"/>
          <w:szCs w:val="28"/>
        </w:rPr>
        <w:t xml:space="preserve">determining whether a vendor is entitled to deduct as input tax the VAT paid </w:t>
      </w:r>
      <w:r w:rsidR="00A72292" w:rsidRPr="00655B85">
        <w:rPr>
          <w:rFonts w:ascii="Times New Roman" w:hAnsi="Times New Roman" w:cs="Times New Roman"/>
          <w:sz w:val="28"/>
          <w:szCs w:val="28"/>
        </w:rPr>
        <w:t>on the respective good</w:t>
      </w:r>
      <w:r w:rsidR="00EC37BF" w:rsidRPr="00655B85">
        <w:rPr>
          <w:rFonts w:ascii="Times New Roman" w:hAnsi="Times New Roman" w:cs="Times New Roman"/>
          <w:sz w:val="28"/>
          <w:szCs w:val="28"/>
        </w:rPr>
        <w:t>s</w:t>
      </w:r>
      <w:r w:rsidR="00A72292" w:rsidRPr="00655B85">
        <w:rPr>
          <w:rFonts w:ascii="Times New Roman" w:hAnsi="Times New Roman" w:cs="Times New Roman"/>
          <w:sz w:val="28"/>
          <w:szCs w:val="28"/>
        </w:rPr>
        <w:t>/service</w:t>
      </w:r>
      <w:r w:rsidR="00EC37BF" w:rsidRPr="00655B85">
        <w:rPr>
          <w:rFonts w:ascii="Times New Roman" w:hAnsi="Times New Roman" w:cs="Times New Roman"/>
          <w:sz w:val="28"/>
          <w:szCs w:val="28"/>
        </w:rPr>
        <w:t>s</w:t>
      </w:r>
      <w:r w:rsidR="00A72292" w:rsidRPr="00655B85">
        <w:rPr>
          <w:rFonts w:ascii="Times New Roman" w:hAnsi="Times New Roman" w:cs="Times New Roman"/>
          <w:sz w:val="28"/>
          <w:szCs w:val="28"/>
        </w:rPr>
        <w:t xml:space="preserve"> supplied to it, this Court in</w:t>
      </w:r>
      <w:r w:rsidR="0088214F" w:rsidRPr="00655B85">
        <w:rPr>
          <w:rFonts w:ascii="Times New Roman" w:hAnsi="Times New Roman" w:cs="Times New Roman"/>
          <w:i/>
          <w:sz w:val="28"/>
          <w:szCs w:val="28"/>
        </w:rPr>
        <w:t xml:space="preserve"> Consol Glass (Pty) Ltd v The Commissioner</w:t>
      </w:r>
      <w:r w:rsidR="0088214F" w:rsidRPr="00E52485">
        <w:rPr>
          <w:rFonts w:ascii="Times New Roman" w:hAnsi="Times New Roman" w:cs="Times New Roman"/>
          <w:i/>
          <w:sz w:val="28"/>
          <w:szCs w:val="28"/>
        </w:rPr>
        <w:t xml:space="preserve"> for the South African Revenue Service</w:t>
      </w:r>
      <w:r w:rsidR="0088214F" w:rsidRPr="00E52485">
        <w:rPr>
          <w:rFonts w:ascii="Times New Roman" w:hAnsi="Times New Roman" w:cs="Times New Roman"/>
          <w:sz w:val="28"/>
          <w:szCs w:val="28"/>
        </w:rPr>
        <w:t xml:space="preserve"> [2020] ZASCA 175 (SCA)</w:t>
      </w:r>
      <w:r>
        <w:rPr>
          <w:rFonts w:ascii="Times New Roman" w:hAnsi="Times New Roman" w:cs="Times New Roman"/>
          <w:sz w:val="28"/>
          <w:szCs w:val="28"/>
        </w:rPr>
        <w:t xml:space="preserve">, </w:t>
      </w:r>
      <w:r w:rsidR="0088214F">
        <w:rPr>
          <w:rFonts w:ascii="Times New Roman" w:hAnsi="Times New Roman" w:cs="Times New Roman"/>
          <w:sz w:val="28"/>
          <w:szCs w:val="28"/>
        </w:rPr>
        <w:t>said:</w:t>
      </w:r>
    </w:p>
    <w:p w14:paraId="3CC2212C" w14:textId="337FBEAB" w:rsidR="0088214F" w:rsidRPr="004623D1" w:rsidRDefault="0088214F" w:rsidP="0088214F">
      <w:pPr>
        <w:spacing w:after="0" w:line="360" w:lineRule="auto"/>
        <w:jc w:val="both"/>
        <w:rPr>
          <w:rFonts w:ascii="Times New Roman" w:hAnsi="Times New Roman" w:cs="Times New Roman"/>
          <w:sz w:val="24"/>
          <w:szCs w:val="24"/>
        </w:rPr>
      </w:pPr>
      <w:r w:rsidRPr="004623D1">
        <w:rPr>
          <w:rFonts w:ascii="Times New Roman" w:hAnsi="Times New Roman" w:cs="Times New Roman"/>
          <w:sz w:val="24"/>
          <w:szCs w:val="24"/>
        </w:rPr>
        <w:t xml:space="preserve">‘[14] </w:t>
      </w:r>
      <w:r w:rsidR="005D006A">
        <w:rPr>
          <w:rFonts w:ascii="Times New Roman" w:hAnsi="Times New Roman" w:cs="Times New Roman"/>
          <w:sz w:val="24"/>
          <w:szCs w:val="24"/>
        </w:rPr>
        <w:tab/>
      </w:r>
      <w:r w:rsidRPr="004623D1">
        <w:rPr>
          <w:rFonts w:ascii="Times New Roman" w:hAnsi="Times New Roman" w:cs="Times New Roman"/>
          <w:sz w:val="24"/>
          <w:szCs w:val="24"/>
        </w:rPr>
        <w:t xml:space="preserve">Whether Consol was entitled to deduct as input tax the VAT paid on the services supplied to it by local service providers depended upon whether these services were acquired </w:t>
      </w:r>
      <w:r w:rsidRPr="004623D1">
        <w:rPr>
          <w:rFonts w:ascii="Times New Roman" w:hAnsi="Times New Roman" w:cs="Times New Roman"/>
          <w:sz w:val="24"/>
          <w:szCs w:val="24"/>
        </w:rPr>
        <w:lastRenderedPageBreak/>
        <w:t>by Consol for the purpose of consumption, use or supply in the course of making taxable supplies. That enquiry raised two issues. First, for what purpose did Consol acquire the services? Second, did Consol do so in the course of making taxable supplies. The relationship between the purpose for which the services were acquired and the use to which these services were put lies at the heart of the matter.’</w:t>
      </w:r>
    </w:p>
    <w:p w14:paraId="5F4A1056" w14:textId="77777777" w:rsidR="00815CFD" w:rsidRDefault="00815CFD" w:rsidP="00815CFD">
      <w:pPr>
        <w:spacing w:after="0" w:line="360" w:lineRule="auto"/>
        <w:jc w:val="both"/>
        <w:rPr>
          <w:rFonts w:ascii="Times New Roman" w:hAnsi="Times New Roman" w:cs="Times New Roman"/>
          <w:sz w:val="28"/>
          <w:szCs w:val="28"/>
        </w:rPr>
      </w:pPr>
    </w:p>
    <w:p w14:paraId="3DE9A957" w14:textId="4D826446" w:rsidR="008F2096" w:rsidRDefault="004623D1" w:rsidP="00815C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D006A">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815CFD" w:rsidRPr="00815CFD">
        <w:rPr>
          <w:rFonts w:ascii="Times New Roman" w:hAnsi="Times New Roman" w:cs="Times New Roman"/>
          <w:sz w:val="28"/>
          <w:szCs w:val="28"/>
        </w:rPr>
        <w:t xml:space="preserve">VAT is a tax that is ultimately meant to be charged upon the consumer in the supply chain. </w:t>
      </w:r>
      <w:r w:rsidR="00F05259" w:rsidRPr="00815CFD">
        <w:rPr>
          <w:rFonts w:ascii="Times New Roman" w:hAnsi="Times New Roman" w:cs="Times New Roman"/>
          <w:sz w:val="28"/>
          <w:szCs w:val="28"/>
        </w:rPr>
        <w:t>Thus</w:t>
      </w:r>
      <w:r w:rsidR="005D006A">
        <w:rPr>
          <w:rFonts w:ascii="Times New Roman" w:hAnsi="Times New Roman" w:cs="Times New Roman"/>
          <w:sz w:val="28"/>
          <w:szCs w:val="28"/>
        </w:rPr>
        <w:t>,</w:t>
      </w:r>
      <w:r w:rsidR="00F05259" w:rsidRPr="00815CFD">
        <w:rPr>
          <w:rFonts w:ascii="Times New Roman" w:hAnsi="Times New Roman" w:cs="Times New Roman"/>
          <w:sz w:val="28"/>
          <w:szCs w:val="28"/>
        </w:rPr>
        <w:t xml:space="preserve"> the obligation to recover or collect VAT is placed on the vendors who are traders, </w:t>
      </w:r>
      <w:r w:rsidR="00264627">
        <w:rPr>
          <w:rFonts w:ascii="Times New Roman" w:hAnsi="Times New Roman" w:cs="Times New Roman"/>
          <w:sz w:val="28"/>
          <w:szCs w:val="28"/>
        </w:rPr>
        <w:t>and whose business it is to add value on goods and services</w:t>
      </w:r>
      <w:r w:rsidR="00405AC7">
        <w:rPr>
          <w:rFonts w:ascii="Times New Roman" w:hAnsi="Times New Roman" w:cs="Times New Roman"/>
          <w:sz w:val="28"/>
          <w:szCs w:val="28"/>
        </w:rPr>
        <w:t>;</w:t>
      </w:r>
      <w:r w:rsidR="00264627">
        <w:rPr>
          <w:rFonts w:ascii="Times New Roman" w:hAnsi="Times New Roman" w:cs="Times New Roman"/>
          <w:sz w:val="28"/>
          <w:szCs w:val="28"/>
        </w:rPr>
        <w:t xml:space="preserve"> </w:t>
      </w:r>
      <w:r w:rsidR="00F05259" w:rsidRPr="00815CFD">
        <w:rPr>
          <w:rFonts w:ascii="Times New Roman" w:hAnsi="Times New Roman" w:cs="Times New Roman"/>
          <w:sz w:val="28"/>
          <w:szCs w:val="28"/>
        </w:rPr>
        <w:t>in this case, Capitec.</w:t>
      </w:r>
      <w:r w:rsidR="00F05259">
        <w:rPr>
          <w:rFonts w:ascii="Times New Roman" w:hAnsi="Times New Roman" w:cs="Times New Roman"/>
          <w:i/>
          <w:sz w:val="28"/>
          <w:szCs w:val="28"/>
        </w:rPr>
        <w:t xml:space="preserve"> </w:t>
      </w:r>
      <w:r w:rsidR="00815CFD">
        <w:rPr>
          <w:rFonts w:ascii="Times New Roman" w:hAnsi="Times New Roman" w:cs="Times New Roman"/>
          <w:sz w:val="28"/>
          <w:szCs w:val="28"/>
        </w:rPr>
        <w:t>The outgoing supply t</w:t>
      </w:r>
      <w:r w:rsidR="00264627">
        <w:rPr>
          <w:rFonts w:ascii="Times New Roman" w:hAnsi="Times New Roman" w:cs="Times New Roman"/>
          <w:sz w:val="28"/>
          <w:szCs w:val="28"/>
        </w:rPr>
        <w:t>hat is made by the vendor</w:t>
      </w:r>
      <w:r w:rsidR="00405AC7">
        <w:rPr>
          <w:rFonts w:ascii="Times New Roman" w:hAnsi="Times New Roman" w:cs="Times New Roman"/>
          <w:sz w:val="28"/>
          <w:szCs w:val="28"/>
        </w:rPr>
        <w:t>,</w:t>
      </w:r>
      <w:r w:rsidR="00264627">
        <w:rPr>
          <w:rFonts w:ascii="Times New Roman" w:hAnsi="Times New Roman" w:cs="Times New Roman"/>
          <w:sz w:val="28"/>
          <w:szCs w:val="28"/>
        </w:rPr>
        <w:t xml:space="preserve"> on wh</w:t>
      </w:r>
      <w:r w:rsidR="00815CFD">
        <w:rPr>
          <w:rFonts w:ascii="Times New Roman" w:hAnsi="Times New Roman" w:cs="Times New Roman"/>
          <w:sz w:val="28"/>
          <w:szCs w:val="28"/>
        </w:rPr>
        <w:t>ich it must collect VAT</w:t>
      </w:r>
      <w:r w:rsidR="00405AC7">
        <w:rPr>
          <w:rFonts w:ascii="Times New Roman" w:hAnsi="Times New Roman" w:cs="Times New Roman"/>
          <w:sz w:val="28"/>
          <w:szCs w:val="28"/>
        </w:rPr>
        <w:t>,</w:t>
      </w:r>
      <w:r w:rsidR="00815CFD">
        <w:rPr>
          <w:rFonts w:ascii="Times New Roman" w:hAnsi="Times New Roman" w:cs="Times New Roman"/>
          <w:sz w:val="28"/>
          <w:szCs w:val="28"/>
        </w:rPr>
        <w:t xml:space="preserve"> must be matched with the incoming supply which is supplied </w:t>
      </w:r>
      <w:r w:rsidR="00264627">
        <w:rPr>
          <w:rFonts w:ascii="Times New Roman" w:hAnsi="Times New Roman" w:cs="Times New Roman"/>
          <w:sz w:val="28"/>
          <w:szCs w:val="28"/>
        </w:rPr>
        <w:t>by other vendors to Capitec</w:t>
      </w:r>
      <w:r w:rsidR="008F2096">
        <w:rPr>
          <w:rFonts w:ascii="Times New Roman" w:hAnsi="Times New Roman" w:cs="Times New Roman"/>
          <w:sz w:val="28"/>
          <w:szCs w:val="28"/>
        </w:rPr>
        <w:t xml:space="preserve">, and in respect of which </w:t>
      </w:r>
      <w:r w:rsidR="00405AC7">
        <w:rPr>
          <w:rFonts w:ascii="Times New Roman" w:hAnsi="Times New Roman" w:cs="Times New Roman"/>
          <w:sz w:val="28"/>
          <w:szCs w:val="28"/>
        </w:rPr>
        <w:t>input tax</w:t>
      </w:r>
      <w:r w:rsidR="00405AC7" w:rsidDel="00405AC7">
        <w:rPr>
          <w:rFonts w:ascii="Times New Roman" w:hAnsi="Times New Roman" w:cs="Times New Roman"/>
          <w:sz w:val="28"/>
          <w:szCs w:val="28"/>
        </w:rPr>
        <w:t xml:space="preserve"> </w:t>
      </w:r>
      <w:r w:rsidR="00815CFD">
        <w:rPr>
          <w:rFonts w:ascii="Times New Roman" w:hAnsi="Times New Roman" w:cs="Times New Roman"/>
          <w:sz w:val="28"/>
          <w:szCs w:val="28"/>
        </w:rPr>
        <w:t xml:space="preserve">is </w:t>
      </w:r>
      <w:r w:rsidR="00405AC7">
        <w:rPr>
          <w:rFonts w:ascii="Times New Roman" w:hAnsi="Times New Roman" w:cs="Times New Roman"/>
          <w:sz w:val="28"/>
          <w:szCs w:val="28"/>
        </w:rPr>
        <w:t>levied</w:t>
      </w:r>
      <w:r w:rsidR="00E95472">
        <w:rPr>
          <w:rFonts w:ascii="Times New Roman" w:hAnsi="Times New Roman" w:cs="Times New Roman"/>
          <w:sz w:val="28"/>
          <w:szCs w:val="28"/>
        </w:rPr>
        <w:t xml:space="preserve">. </w:t>
      </w:r>
      <w:r w:rsidR="006A47E0">
        <w:rPr>
          <w:rFonts w:ascii="Times New Roman" w:hAnsi="Times New Roman" w:cs="Times New Roman"/>
          <w:sz w:val="28"/>
          <w:szCs w:val="28"/>
        </w:rPr>
        <w:t>In a very able argument</w:t>
      </w:r>
      <w:r w:rsidR="00405AC7">
        <w:rPr>
          <w:rFonts w:ascii="Times New Roman" w:hAnsi="Times New Roman" w:cs="Times New Roman"/>
          <w:sz w:val="28"/>
          <w:szCs w:val="28"/>
        </w:rPr>
        <w:t>,</w:t>
      </w:r>
      <w:r w:rsidR="006A47E0">
        <w:rPr>
          <w:rFonts w:ascii="Times New Roman" w:hAnsi="Times New Roman" w:cs="Times New Roman"/>
          <w:sz w:val="28"/>
          <w:szCs w:val="28"/>
        </w:rPr>
        <w:t xml:space="preserve"> </w:t>
      </w:r>
      <w:r w:rsidR="008F2096">
        <w:rPr>
          <w:rFonts w:ascii="Times New Roman" w:hAnsi="Times New Roman" w:cs="Times New Roman"/>
          <w:sz w:val="28"/>
          <w:szCs w:val="28"/>
        </w:rPr>
        <w:t>Mr Nxumalo</w:t>
      </w:r>
      <w:r w:rsidR="0025399C">
        <w:rPr>
          <w:rFonts w:ascii="Times New Roman" w:hAnsi="Times New Roman" w:cs="Times New Roman"/>
          <w:sz w:val="28"/>
          <w:szCs w:val="28"/>
        </w:rPr>
        <w:t>,</w:t>
      </w:r>
      <w:r w:rsidR="008F2096">
        <w:rPr>
          <w:rFonts w:ascii="Times New Roman" w:hAnsi="Times New Roman" w:cs="Times New Roman"/>
          <w:sz w:val="28"/>
          <w:szCs w:val="28"/>
        </w:rPr>
        <w:t xml:space="preserve"> </w:t>
      </w:r>
      <w:r w:rsidR="006A47E0">
        <w:rPr>
          <w:rFonts w:ascii="Times New Roman" w:hAnsi="Times New Roman" w:cs="Times New Roman"/>
          <w:sz w:val="28"/>
          <w:szCs w:val="28"/>
        </w:rPr>
        <w:t xml:space="preserve">led by </w:t>
      </w:r>
      <w:r w:rsidR="006A47E0" w:rsidRPr="00655B85">
        <w:rPr>
          <w:rFonts w:ascii="Times New Roman" w:hAnsi="Times New Roman" w:cs="Times New Roman"/>
          <w:sz w:val="28"/>
          <w:szCs w:val="28"/>
        </w:rPr>
        <w:t>Ms Cane</w:t>
      </w:r>
      <w:r w:rsidR="0025399C" w:rsidRPr="00655B85">
        <w:rPr>
          <w:rFonts w:ascii="Times New Roman" w:hAnsi="Times New Roman" w:cs="Times New Roman"/>
          <w:sz w:val="28"/>
          <w:szCs w:val="28"/>
        </w:rPr>
        <w:t xml:space="preserve"> SC</w:t>
      </w:r>
      <w:r w:rsidR="006A47E0" w:rsidRPr="00655B85">
        <w:rPr>
          <w:rFonts w:ascii="Times New Roman" w:hAnsi="Times New Roman" w:cs="Times New Roman"/>
          <w:sz w:val="28"/>
          <w:szCs w:val="28"/>
        </w:rPr>
        <w:t xml:space="preserve"> on</w:t>
      </w:r>
      <w:r w:rsidR="006A47E0">
        <w:rPr>
          <w:rFonts w:ascii="Times New Roman" w:hAnsi="Times New Roman" w:cs="Times New Roman"/>
          <w:sz w:val="28"/>
          <w:szCs w:val="28"/>
        </w:rPr>
        <w:t xml:space="preserve"> behalf of SARS</w:t>
      </w:r>
      <w:r w:rsidR="0025399C">
        <w:rPr>
          <w:rFonts w:ascii="Times New Roman" w:hAnsi="Times New Roman" w:cs="Times New Roman"/>
          <w:sz w:val="28"/>
          <w:szCs w:val="28"/>
        </w:rPr>
        <w:t>,</w:t>
      </w:r>
      <w:r w:rsidR="006A47E0">
        <w:rPr>
          <w:rFonts w:ascii="Times New Roman" w:hAnsi="Times New Roman" w:cs="Times New Roman"/>
          <w:sz w:val="28"/>
          <w:szCs w:val="28"/>
        </w:rPr>
        <w:t xml:space="preserve"> </w:t>
      </w:r>
      <w:r w:rsidR="008F2096">
        <w:rPr>
          <w:rFonts w:ascii="Times New Roman" w:hAnsi="Times New Roman" w:cs="Times New Roman"/>
          <w:sz w:val="28"/>
          <w:szCs w:val="28"/>
        </w:rPr>
        <w:t xml:space="preserve">referred to this as the ‘matching principle’. </w:t>
      </w:r>
      <w:r w:rsidR="00E95472">
        <w:rPr>
          <w:rFonts w:ascii="Times New Roman" w:hAnsi="Times New Roman" w:cs="Times New Roman"/>
          <w:sz w:val="28"/>
          <w:szCs w:val="28"/>
        </w:rPr>
        <w:t>Thus</w:t>
      </w:r>
      <w:r w:rsidR="00405AC7">
        <w:rPr>
          <w:rFonts w:ascii="Times New Roman" w:hAnsi="Times New Roman" w:cs="Times New Roman"/>
          <w:sz w:val="28"/>
          <w:szCs w:val="28"/>
        </w:rPr>
        <w:t>,</w:t>
      </w:r>
      <w:r w:rsidR="00E95472">
        <w:rPr>
          <w:rFonts w:ascii="Times New Roman" w:hAnsi="Times New Roman" w:cs="Times New Roman"/>
          <w:sz w:val="28"/>
          <w:szCs w:val="28"/>
        </w:rPr>
        <w:t xml:space="preserve"> i</w:t>
      </w:r>
      <w:r w:rsidR="00815CFD">
        <w:rPr>
          <w:rFonts w:ascii="Times New Roman" w:hAnsi="Times New Roman" w:cs="Times New Roman"/>
          <w:sz w:val="28"/>
          <w:szCs w:val="28"/>
        </w:rPr>
        <w:t xml:space="preserve">n </w:t>
      </w:r>
      <w:r w:rsidR="00E95472">
        <w:rPr>
          <w:rFonts w:ascii="Times New Roman" w:hAnsi="Times New Roman" w:cs="Times New Roman"/>
          <w:sz w:val="28"/>
          <w:szCs w:val="28"/>
        </w:rPr>
        <w:t xml:space="preserve">terms of the VAT Act </w:t>
      </w:r>
      <w:r w:rsidR="00815CFD">
        <w:rPr>
          <w:rFonts w:ascii="Times New Roman" w:hAnsi="Times New Roman" w:cs="Times New Roman"/>
          <w:sz w:val="28"/>
          <w:szCs w:val="28"/>
        </w:rPr>
        <w:t>a vendor who supplie</w:t>
      </w:r>
      <w:r w:rsidR="00781D99">
        <w:rPr>
          <w:rFonts w:ascii="Times New Roman" w:hAnsi="Times New Roman" w:cs="Times New Roman"/>
          <w:sz w:val="28"/>
          <w:szCs w:val="28"/>
        </w:rPr>
        <w:t xml:space="preserve">s taxable supplies </w:t>
      </w:r>
      <w:r w:rsidR="00E95472">
        <w:rPr>
          <w:rFonts w:ascii="Times New Roman" w:hAnsi="Times New Roman" w:cs="Times New Roman"/>
          <w:sz w:val="28"/>
          <w:szCs w:val="28"/>
        </w:rPr>
        <w:t xml:space="preserve">is </w:t>
      </w:r>
      <w:r w:rsidR="00815CFD">
        <w:rPr>
          <w:rFonts w:ascii="Times New Roman" w:hAnsi="Times New Roman" w:cs="Times New Roman"/>
          <w:sz w:val="28"/>
          <w:szCs w:val="28"/>
        </w:rPr>
        <w:t>req</w:t>
      </w:r>
      <w:r w:rsidR="00E95472">
        <w:rPr>
          <w:rFonts w:ascii="Times New Roman" w:hAnsi="Times New Roman" w:cs="Times New Roman"/>
          <w:sz w:val="28"/>
          <w:szCs w:val="28"/>
        </w:rPr>
        <w:t>uired to collect the VAT on its</w:t>
      </w:r>
      <w:r w:rsidR="00781D99">
        <w:rPr>
          <w:rFonts w:ascii="Times New Roman" w:hAnsi="Times New Roman" w:cs="Times New Roman"/>
          <w:sz w:val="28"/>
          <w:szCs w:val="28"/>
        </w:rPr>
        <w:t xml:space="preserve"> taxable supplies</w:t>
      </w:r>
      <w:r w:rsidR="004813A8">
        <w:rPr>
          <w:rFonts w:ascii="Times New Roman" w:hAnsi="Times New Roman" w:cs="Times New Roman"/>
          <w:sz w:val="28"/>
          <w:szCs w:val="28"/>
        </w:rPr>
        <w:t xml:space="preserve">, and </w:t>
      </w:r>
      <w:r w:rsidR="00815CFD">
        <w:rPr>
          <w:rFonts w:ascii="Times New Roman" w:hAnsi="Times New Roman" w:cs="Times New Roman"/>
          <w:sz w:val="28"/>
          <w:szCs w:val="28"/>
        </w:rPr>
        <w:t xml:space="preserve">the </w:t>
      </w:r>
      <w:r w:rsidR="00781D99">
        <w:rPr>
          <w:rFonts w:ascii="Times New Roman" w:hAnsi="Times New Roman" w:cs="Times New Roman"/>
          <w:sz w:val="28"/>
          <w:szCs w:val="28"/>
        </w:rPr>
        <w:t>total of the output tax is</w:t>
      </w:r>
      <w:r w:rsidR="00815CFD">
        <w:rPr>
          <w:rFonts w:ascii="Times New Roman" w:hAnsi="Times New Roman" w:cs="Times New Roman"/>
          <w:sz w:val="28"/>
          <w:szCs w:val="28"/>
        </w:rPr>
        <w:t xml:space="preserve"> collected </w:t>
      </w:r>
      <w:r w:rsidR="004813A8">
        <w:rPr>
          <w:rFonts w:ascii="Times New Roman" w:hAnsi="Times New Roman" w:cs="Times New Roman"/>
          <w:sz w:val="28"/>
          <w:szCs w:val="28"/>
        </w:rPr>
        <w:t xml:space="preserve">and </w:t>
      </w:r>
      <w:r w:rsidR="00781D99">
        <w:rPr>
          <w:rFonts w:ascii="Times New Roman" w:hAnsi="Times New Roman" w:cs="Times New Roman"/>
          <w:sz w:val="28"/>
          <w:szCs w:val="28"/>
        </w:rPr>
        <w:t>is paid out</w:t>
      </w:r>
      <w:r w:rsidR="004813A8">
        <w:rPr>
          <w:rFonts w:ascii="Times New Roman" w:hAnsi="Times New Roman" w:cs="Times New Roman"/>
          <w:sz w:val="28"/>
          <w:szCs w:val="28"/>
        </w:rPr>
        <w:t xml:space="preserve"> by the vendor </w:t>
      </w:r>
      <w:r w:rsidR="00A06605">
        <w:rPr>
          <w:rFonts w:ascii="Times New Roman" w:hAnsi="Times New Roman" w:cs="Times New Roman"/>
          <w:sz w:val="28"/>
          <w:szCs w:val="28"/>
        </w:rPr>
        <w:t>on behalf of</w:t>
      </w:r>
      <w:r w:rsidR="004813A8">
        <w:rPr>
          <w:rFonts w:ascii="Times New Roman" w:hAnsi="Times New Roman" w:cs="Times New Roman"/>
          <w:sz w:val="28"/>
          <w:szCs w:val="28"/>
        </w:rPr>
        <w:t xml:space="preserve"> </w:t>
      </w:r>
      <w:r w:rsidR="00A06605">
        <w:rPr>
          <w:rFonts w:ascii="Times New Roman" w:hAnsi="Times New Roman" w:cs="Times New Roman"/>
          <w:sz w:val="28"/>
          <w:szCs w:val="28"/>
        </w:rPr>
        <w:t>the national revenue service</w:t>
      </w:r>
      <w:r w:rsidR="004813A8">
        <w:rPr>
          <w:rFonts w:ascii="Times New Roman" w:hAnsi="Times New Roman" w:cs="Times New Roman"/>
          <w:sz w:val="28"/>
          <w:szCs w:val="28"/>
        </w:rPr>
        <w:t xml:space="preserve">. Correspondingly, </w:t>
      </w:r>
      <w:r w:rsidR="008F2096">
        <w:rPr>
          <w:rFonts w:ascii="Times New Roman" w:hAnsi="Times New Roman" w:cs="Times New Roman"/>
          <w:sz w:val="28"/>
          <w:szCs w:val="28"/>
        </w:rPr>
        <w:t xml:space="preserve">the input tax that </w:t>
      </w:r>
      <w:r w:rsidR="00A06605">
        <w:rPr>
          <w:rFonts w:ascii="Times New Roman" w:hAnsi="Times New Roman" w:cs="Times New Roman"/>
          <w:sz w:val="28"/>
          <w:szCs w:val="28"/>
        </w:rPr>
        <w:t xml:space="preserve">is </w:t>
      </w:r>
      <w:r w:rsidR="008F2096">
        <w:rPr>
          <w:rFonts w:ascii="Times New Roman" w:hAnsi="Times New Roman" w:cs="Times New Roman"/>
          <w:sz w:val="28"/>
          <w:szCs w:val="28"/>
        </w:rPr>
        <w:t>charged</w:t>
      </w:r>
      <w:r w:rsidR="00A06605">
        <w:rPr>
          <w:rFonts w:ascii="Times New Roman" w:hAnsi="Times New Roman" w:cs="Times New Roman"/>
          <w:sz w:val="28"/>
          <w:szCs w:val="28"/>
        </w:rPr>
        <w:t xml:space="preserve"> to</w:t>
      </w:r>
      <w:r w:rsidR="008F2096">
        <w:rPr>
          <w:rFonts w:ascii="Times New Roman" w:hAnsi="Times New Roman" w:cs="Times New Roman"/>
          <w:sz w:val="28"/>
          <w:szCs w:val="28"/>
        </w:rPr>
        <w:t xml:space="preserve"> and</w:t>
      </w:r>
      <w:r w:rsidR="00781D99">
        <w:rPr>
          <w:rFonts w:ascii="Times New Roman" w:hAnsi="Times New Roman" w:cs="Times New Roman"/>
          <w:sz w:val="28"/>
          <w:szCs w:val="28"/>
        </w:rPr>
        <w:t xml:space="preserve"> paid </w:t>
      </w:r>
      <w:r w:rsidR="00A06605">
        <w:rPr>
          <w:rFonts w:ascii="Times New Roman" w:hAnsi="Times New Roman" w:cs="Times New Roman"/>
          <w:sz w:val="28"/>
          <w:szCs w:val="28"/>
        </w:rPr>
        <w:t xml:space="preserve">by the vendor may </w:t>
      </w:r>
      <w:r w:rsidR="00781D99">
        <w:rPr>
          <w:rFonts w:ascii="Times New Roman" w:hAnsi="Times New Roman" w:cs="Times New Roman"/>
          <w:sz w:val="28"/>
          <w:szCs w:val="28"/>
        </w:rPr>
        <w:t>be deducted</w:t>
      </w:r>
      <w:r w:rsidR="00A06605">
        <w:rPr>
          <w:rFonts w:ascii="Times New Roman" w:hAnsi="Times New Roman" w:cs="Times New Roman"/>
          <w:sz w:val="28"/>
          <w:szCs w:val="28"/>
        </w:rPr>
        <w:t xml:space="preserve"> and recovered from the national revenue service.</w:t>
      </w:r>
      <w:r w:rsidR="00815CFD">
        <w:rPr>
          <w:rFonts w:ascii="Times New Roman" w:hAnsi="Times New Roman" w:cs="Times New Roman"/>
          <w:sz w:val="28"/>
          <w:szCs w:val="28"/>
        </w:rPr>
        <w:t xml:space="preserve"> But</w:t>
      </w:r>
      <w:r w:rsidR="00405AC7">
        <w:rPr>
          <w:rFonts w:ascii="Times New Roman" w:hAnsi="Times New Roman" w:cs="Times New Roman"/>
          <w:sz w:val="28"/>
          <w:szCs w:val="28"/>
        </w:rPr>
        <w:t>,</w:t>
      </w:r>
      <w:r w:rsidR="00815CFD">
        <w:rPr>
          <w:rFonts w:ascii="Times New Roman" w:hAnsi="Times New Roman" w:cs="Times New Roman"/>
          <w:sz w:val="28"/>
          <w:szCs w:val="28"/>
        </w:rPr>
        <w:t xml:space="preserve"> this is conditional upon the input tax </w:t>
      </w:r>
      <w:r w:rsidR="004813A8">
        <w:rPr>
          <w:rFonts w:ascii="Times New Roman" w:hAnsi="Times New Roman" w:cs="Times New Roman"/>
          <w:sz w:val="28"/>
          <w:szCs w:val="28"/>
        </w:rPr>
        <w:t>in respect of</w:t>
      </w:r>
      <w:r w:rsidR="00815CFD">
        <w:rPr>
          <w:rFonts w:ascii="Times New Roman" w:hAnsi="Times New Roman" w:cs="Times New Roman"/>
          <w:sz w:val="28"/>
          <w:szCs w:val="28"/>
        </w:rPr>
        <w:t xml:space="preserve"> the inco</w:t>
      </w:r>
      <w:r>
        <w:rPr>
          <w:rFonts w:ascii="Times New Roman" w:hAnsi="Times New Roman" w:cs="Times New Roman"/>
          <w:sz w:val="28"/>
          <w:szCs w:val="28"/>
        </w:rPr>
        <w:t xml:space="preserve">ming supplies being </w:t>
      </w:r>
      <w:r w:rsidR="008F2096">
        <w:rPr>
          <w:rFonts w:ascii="Times New Roman" w:hAnsi="Times New Roman" w:cs="Times New Roman"/>
          <w:sz w:val="28"/>
          <w:szCs w:val="28"/>
        </w:rPr>
        <w:t xml:space="preserve">used by the vendor </w:t>
      </w:r>
      <w:r w:rsidR="00815CFD">
        <w:rPr>
          <w:rFonts w:ascii="Times New Roman" w:hAnsi="Times New Roman" w:cs="Times New Roman"/>
          <w:sz w:val="28"/>
          <w:szCs w:val="28"/>
        </w:rPr>
        <w:t>or acquired for the purp</w:t>
      </w:r>
      <w:r w:rsidR="008F2096">
        <w:rPr>
          <w:rFonts w:ascii="Times New Roman" w:hAnsi="Times New Roman" w:cs="Times New Roman"/>
          <w:sz w:val="28"/>
          <w:szCs w:val="28"/>
        </w:rPr>
        <w:t>ose of making taxable supplies</w:t>
      </w:r>
      <w:r w:rsidR="00815CFD">
        <w:rPr>
          <w:rFonts w:ascii="Times New Roman" w:hAnsi="Times New Roman" w:cs="Times New Roman"/>
          <w:sz w:val="28"/>
          <w:szCs w:val="28"/>
        </w:rPr>
        <w:t xml:space="preserve">. </w:t>
      </w:r>
    </w:p>
    <w:p w14:paraId="13421C26" w14:textId="462E3CE4" w:rsidR="00CA1F30" w:rsidRDefault="00CA1F30" w:rsidP="00815CFD">
      <w:pPr>
        <w:spacing w:after="0" w:line="360" w:lineRule="auto"/>
        <w:jc w:val="both"/>
        <w:rPr>
          <w:rFonts w:ascii="Times New Roman" w:hAnsi="Times New Roman" w:cs="Times New Roman"/>
          <w:sz w:val="28"/>
          <w:szCs w:val="28"/>
        </w:rPr>
      </w:pPr>
    </w:p>
    <w:p w14:paraId="23CDFE7A" w14:textId="6378B7C2" w:rsidR="002B3B78" w:rsidRDefault="004623D1" w:rsidP="009C18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[2</w:t>
      </w:r>
      <w:r w:rsidR="006176C4">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CA1F30">
        <w:rPr>
          <w:rFonts w:ascii="Times New Roman" w:hAnsi="Times New Roman" w:cs="Times New Roman"/>
          <w:sz w:val="28"/>
          <w:szCs w:val="28"/>
        </w:rPr>
        <w:t>Mr J</w:t>
      </w:r>
      <w:r w:rsidR="00815CFD">
        <w:rPr>
          <w:rFonts w:ascii="Times New Roman" w:hAnsi="Times New Roman" w:cs="Times New Roman"/>
          <w:sz w:val="28"/>
          <w:szCs w:val="28"/>
        </w:rPr>
        <w:t>anis</w:t>
      </w:r>
      <w:r w:rsidR="00CA1F30">
        <w:rPr>
          <w:rFonts w:ascii="Times New Roman" w:hAnsi="Times New Roman" w:cs="Times New Roman"/>
          <w:sz w:val="28"/>
          <w:szCs w:val="28"/>
        </w:rPr>
        <w:t xml:space="preserve">ch </w:t>
      </w:r>
      <w:r w:rsidR="00E87906">
        <w:rPr>
          <w:rFonts w:ascii="Times New Roman" w:hAnsi="Times New Roman" w:cs="Times New Roman"/>
          <w:sz w:val="28"/>
          <w:szCs w:val="28"/>
        </w:rPr>
        <w:t xml:space="preserve">SC </w:t>
      </w:r>
      <w:r w:rsidR="00CA1F30">
        <w:rPr>
          <w:rFonts w:ascii="Times New Roman" w:hAnsi="Times New Roman" w:cs="Times New Roman"/>
          <w:sz w:val="28"/>
          <w:szCs w:val="28"/>
        </w:rPr>
        <w:t>for C</w:t>
      </w:r>
      <w:r w:rsidR="00815CFD">
        <w:rPr>
          <w:rFonts w:ascii="Times New Roman" w:hAnsi="Times New Roman" w:cs="Times New Roman"/>
          <w:sz w:val="28"/>
          <w:szCs w:val="28"/>
        </w:rPr>
        <w:t>apitec contends</w:t>
      </w:r>
      <w:r w:rsidR="00CA1F30">
        <w:rPr>
          <w:rFonts w:ascii="Times New Roman" w:hAnsi="Times New Roman" w:cs="Times New Roman"/>
          <w:sz w:val="28"/>
          <w:szCs w:val="28"/>
        </w:rPr>
        <w:t xml:space="preserve"> that because C</w:t>
      </w:r>
      <w:r w:rsidR="00815CFD">
        <w:rPr>
          <w:rFonts w:ascii="Times New Roman" w:hAnsi="Times New Roman" w:cs="Times New Roman"/>
          <w:sz w:val="28"/>
          <w:szCs w:val="28"/>
        </w:rPr>
        <w:t>apitec carries on business as</w:t>
      </w:r>
      <w:r w:rsidR="00CA1F30">
        <w:rPr>
          <w:rFonts w:ascii="Times New Roman" w:hAnsi="Times New Roman" w:cs="Times New Roman"/>
          <w:sz w:val="28"/>
          <w:szCs w:val="28"/>
        </w:rPr>
        <w:t xml:space="preserve"> a single business offering </w:t>
      </w:r>
      <w:r w:rsidR="00815CFD">
        <w:rPr>
          <w:rFonts w:ascii="Times New Roman" w:hAnsi="Times New Roman" w:cs="Times New Roman"/>
          <w:sz w:val="28"/>
          <w:szCs w:val="28"/>
        </w:rPr>
        <w:t>credit</w:t>
      </w:r>
      <w:r w:rsidR="009829D8">
        <w:rPr>
          <w:rFonts w:ascii="Times New Roman" w:hAnsi="Times New Roman" w:cs="Times New Roman"/>
          <w:sz w:val="28"/>
          <w:szCs w:val="28"/>
        </w:rPr>
        <w:t>,</w:t>
      </w:r>
      <w:r w:rsidR="00815CFD">
        <w:rPr>
          <w:rFonts w:ascii="Times New Roman" w:hAnsi="Times New Roman" w:cs="Times New Roman"/>
          <w:sz w:val="28"/>
          <w:szCs w:val="28"/>
        </w:rPr>
        <w:t xml:space="preserve"> and in the co</w:t>
      </w:r>
      <w:r w:rsidR="00CA1F30">
        <w:rPr>
          <w:rFonts w:ascii="Times New Roman" w:hAnsi="Times New Roman" w:cs="Times New Roman"/>
          <w:sz w:val="28"/>
          <w:szCs w:val="28"/>
        </w:rPr>
        <w:t>u</w:t>
      </w:r>
      <w:r w:rsidR="00815CFD">
        <w:rPr>
          <w:rFonts w:ascii="Times New Roman" w:hAnsi="Times New Roman" w:cs="Times New Roman"/>
          <w:sz w:val="28"/>
          <w:szCs w:val="28"/>
        </w:rPr>
        <w:t>rse of s</w:t>
      </w:r>
      <w:r w:rsidR="00D40DA5">
        <w:rPr>
          <w:rFonts w:ascii="Times New Roman" w:hAnsi="Times New Roman" w:cs="Times New Roman"/>
          <w:sz w:val="28"/>
          <w:szCs w:val="28"/>
        </w:rPr>
        <w:t>uch business it earns interest income which is exempt, and</w:t>
      </w:r>
      <w:r>
        <w:rPr>
          <w:rFonts w:ascii="Times New Roman" w:hAnsi="Times New Roman" w:cs="Times New Roman"/>
          <w:sz w:val="28"/>
          <w:szCs w:val="28"/>
        </w:rPr>
        <w:t xml:space="preserve"> earns a fee income</w:t>
      </w:r>
      <w:r w:rsidR="00815CFD">
        <w:rPr>
          <w:rFonts w:ascii="Times New Roman" w:hAnsi="Times New Roman" w:cs="Times New Roman"/>
          <w:sz w:val="28"/>
          <w:szCs w:val="28"/>
        </w:rPr>
        <w:t xml:space="preserve"> </w:t>
      </w:r>
      <w:r w:rsidR="00CA1F30">
        <w:rPr>
          <w:rFonts w:ascii="Times New Roman" w:hAnsi="Times New Roman" w:cs="Times New Roman"/>
          <w:sz w:val="28"/>
          <w:szCs w:val="28"/>
        </w:rPr>
        <w:t>w</w:t>
      </w:r>
      <w:r w:rsidR="00815CFD">
        <w:rPr>
          <w:rFonts w:ascii="Times New Roman" w:hAnsi="Times New Roman" w:cs="Times New Roman"/>
          <w:sz w:val="28"/>
          <w:szCs w:val="28"/>
        </w:rPr>
        <w:t>hich is taxable</w:t>
      </w:r>
      <w:r w:rsidR="009829D8">
        <w:rPr>
          <w:rFonts w:ascii="Times New Roman" w:hAnsi="Times New Roman" w:cs="Times New Roman"/>
          <w:sz w:val="28"/>
          <w:szCs w:val="28"/>
        </w:rPr>
        <w:t>,</w:t>
      </w:r>
      <w:r w:rsidR="00815CFD">
        <w:rPr>
          <w:rFonts w:ascii="Times New Roman" w:hAnsi="Times New Roman" w:cs="Times New Roman"/>
          <w:sz w:val="28"/>
          <w:szCs w:val="28"/>
        </w:rPr>
        <w:t xml:space="preserve"> and because the loan cover w</w:t>
      </w:r>
      <w:r>
        <w:rPr>
          <w:rFonts w:ascii="Times New Roman" w:hAnsi="Times New Roman" w:cs="Times New Roman"/>
          <w:sz w:val="28"/>
          <w:szCs w:val="28"/>
        </w:rPr>
        <w:t xml:space="preserve">as supplied as part and parcel </w:t>
      </w:r>
      <w:r w:rsidR="00815CFD">
        <w:rPr>
          <w:rFonts w:ascii="Times New Roman" w:hAnsi="Times New Roman" w:cs="Times New Roman"/>
          <w:sz w:val="28"/>
          <w:szCs w:val="28"/>
        </w:rPr>
        <w:t xml:space="preserve">of the credit </w:t>
      </w:r>
      <w:r w:rsidR="001D199F">
        <w:rPr>
          <w:rFonts w:ascii="Times New Roman" w:hAnsi="Times New Roman" w:cs="Times New Roman"/>
          <w:sz w:val="28"/>
          <w:szCs w:val="28"/>
        </w:rPr>
        <w:t xml:space="preserve">offering </w:t>
      </w:r>
      <w:r w:rsidR="001D199F" w:rsidRPr="00655B85">
        <w:rPr>
          <w:rFonts w:ascii="Times New Roman" w:hAnsi="Times New Roman" w:cs="Times New Roman"/>
          <w:sz w:val="28"/>
          <w:szCs w:val="28"/>
        </w:rPr>
        <w:t xml:space="preserve">business, </w:t>
      </w:r>
      <w:r w:rsidR="00815CFD" w:rsidRPr="00655B85">
        <w:rPr>
          <w:rFonts w:ascii="Times New Roman" w:hAnsi="Times New Roman" w:cs="Times New Roman"/>
          <w:sz w:val="28"/>
          <w:szCs w:val="28"/>
        </w:rPr>
        <w:t xml:space="preserve">there </w:t>
      </w:r>
      <w:r w:rsidR="001D199F" w:rsidRPr="00655B85">
        <w:rPr>
          <w:rFonts w:ascii="Times New Roman" w:hAnsi="Times New Roman" w:cs="Times New Roman"/>
          <w:sz w:val="28"/>
          <w:szCs w:val="28"/>
        </w:rPr>
        <w:t xml:space="preserve">was </w:t>
      </w:r>
      <w:r w:rsidR="00072FFA" w:rsidRPr="00655B85">
        <w:rPr>
          <w:rFonts w:ascii="Times New Roman" w:hAnsi="Times New Roman" w:cs="Times New Roman"/>
          <w:sz w:val="28"/>
          <w:szCs w:val="28"/>
        </w:rPr>
        <w:t xml:space="preserve">thus </w:t>
      </w:r>
      <w:r w:rsidR="00815CFD" w:rsidRPr="00655B85">
        <w:rPr>
          <w:rFonts w:ascii="Times New Roman" w:hAnsi="Times New Roman" w:cs="Times New Roman"/>
          <w:sz w:val="28"/>
          <w:szCs w:val="28"/>
        </w:rPr>
        <w:t xml:space="preserve">a direct link between the supply of the loan cover and the credit supply. </w:t>
      </w:r>
      <w:r w:rsidRPr="00655B85">
        <w:rPr>
          <w:rFonts w:ascii="Times New Roman" w:hAnsi="Times New Roman" w:cs="Times New Roman"/>
          <w:sz w:val="28"/>
          <w:szCs w:val="28"/>
        </w:rPr>
        <w:t>That is correct.</w:t>
      </w:r>
      <w:r w:rsidR="00D40DA5" w:rsidRPr="00655B85">
        <w:rPr>
          <w:rFonts w:ascii="Times New Roman" w:hAnsi="Times New Roman" w:cs="Times New Roman"/>
          <w:sz w:val="28"/>
          <w:szCs w:val="28"/>
        </w:rPr>
        <w:t xml:space="preserve"> How</w:t>
      </w:r>
      <w:r w:rsidRPr="00655B85">
        <w:rPr>
          <w:rFonts w:ascii="Times New Roman" w:hAnsi="Times New Roman" w:cs="Times New Roman"/>
          <w:sz w:val="28"/>
          <w:szCs w:val="28"/>
        </w:rPr>
        <w:t>ever</w:t>
      </w:r>
      <w:r w:rsidR="009829D8" w:rsidRPr="00655B85">
        <w:rPr>
          <w:rFonts w:ascii="Times New Roman" w:hAnsi="Times New Roman" w:cs="Times New Roman"/>
          <w:sz w:val="28"/>
          <w:szCs w:val="28"/>
        </w:rPr>
        <w:t>,</w:t>
      </w:r>
      <w:r w:rsidRPr="00655B85">
        <w:rPr>
          <w:rFonts w:ascii="Times New Roman" w:hAnsi="Times New Roman" w:cs="Times New Roman"/>
          <w:sz w:val="28"/>
          <w:szCs w:val="28"/>
        </w:rPr>
        <w:t xml:space="preserve"> what cannot be ignored is </w:t>
      </w:r>
      <w:r w:rsidR="00B01BAA" w:rsidRPr="00655B85">
        <w:rPr>
          <w:rFonts w:ascii="Times New Roman" w:hAnsi="Times New Roman" w:cs="Times New Roman"/>
          <w:sz w:val="28"/>
          <w:szCs w:val="28"/>
        </w:rPr>
        <w:t xml:space="preserve">that </w:t>
      </w:r>
      <w:r w:rsidR="001A1566" w:rsidRPr="00655B85">
        <w:rPr>
          <w:rFonts w:ascii="Times New Roman" w:hAnsi="Times New Roman" w:cs="Times New Roman"/>
          <w:sz w:val="28"/>
          <w:szCs w:val="28"/>
          <w:lang w:val="en-US"/>
        </w:rPr>
        <w:t>Capitec is in the business of providing credit. It is</w:t>
      </w:r>
      <w:r w:rsidR="001A1566">
        <w:rPr>
          <w:rFonts w:ascii="Times New Roman" w:hAnsi="Times New Roman" w:cs="Times New Roman"/>
          <w:sz w:val="28"/>
          <w:szCs w:val="28"/>
          <w:lang w:val="en-US"/>
        </w:rPr>
        <w:t xml:space="preserve"> not in the business of </w:t>
      </w:r>
      <w:r w:rsidR="001A1566">
        <w:rPr>
          <w:rFonts w:ascii="Times New Roman" w:hAnsi="Times New Roman" w:cs="Times New Roman"/>
          <w:sz w:val="28"/>
          <w:szCs w:val="28"/>
          <w:lang w:val="en-US"/>
        </w:rPr>
        <w:lastRenderedPageBreak/>
        <w:t xml:space="preserve">providing insurance. The provision of credit is an </w:t>
      </w:r>
      <w:r w:rsidR="00B63B2B">
        <w:rPr>
          <w:rFonts w:ascii="Times New Roman" w:hAnsi="Times New Roman" w:cs="Times New Roman"/>
          <w:sz w:val="28"/>
          <w:szCs w:val="28"/>
          <w:lang w:val="en-US"/>
        </w:rPr>
        <w:t>‘</w:t>
      </w:r>
      <w:r w:rsidR="001A1566">
        <w:rPr>
          <w:rFonts w:ascii="Times New Roman" w:hAnsi="Times New Roman" w:cs="Times New Roman"/>
          <w:sz w:val="28"/>
          <w:szCs w:val="28"/>
          <w:lang w:val="en-US"/>
        </w:rPr>
        <w:t>exempt supply</w:t>
      </w:r>
      <w:r w:rsidR="00B63B2B">
        <w:rPr>
          <w:rFonts w:ascii="Times New Roman" w:hAnsi="Times New Roman" w:cs="Times New Roman"/>
          <w:sz w:val="28"/>
          <w:szCs w:val="28"/>
          <w:lang w:val="en-US"/>
        </w:rPr>
        <w:t>’</w:t>
      </w:r>
      <w:r w:rsidR="002B3B78">
        <w:rPr>
          <w:rFonts w:ascii="Times New Roman" w:hAnsi="Times New Roman" w:cs="Times New Roman"/>
          <w:sz w:val="28"/>
          <w:szCs w:val="28"/>
          <w:lang w:val="en-US"/>
        </w:rPr>
        <w:t>,</w:t>
      </w:r>
      <w:r w:rsidR="001A1566">
        <w:rPr>
          <w:rFonts w:ascii="Times New Roman" w:hAnsi="Times New Roman" w:cs="Times New Roman"/>
          <w:sz w:val="28"/>
          <w:szCs w:val="28"/>
          <w:lang w:val="en-US"/>
        </w:rPr>
        <w:t xml:space="preserve"> </w:t>
      </w:r>
      <w:r w:rsidR="00B63B2B">
        <w:rPr>
          <w:rFonts w:ascii="Times New Roman" w:hAnsi="Times New Roman" w:cs="Times New Roman"/>
          <w:sz w:val="28"/>
          <w:szCs w:val="28"/>
        </w:rPr>
        <w:t>because it is deemed a financial activity in terms of s 2(1)</w:t>
      </w:r>
      <w:r w:rsidR="00B63B2B" w:rsidRPr="004623D1">
        <w:rPr>
          <w:rFonts w:ascii="Times New Roman" w:hAnsi="Times New Roman" w:cs="Times New Roman"/>
          <w:i/>
          <w:sz w:val="28"/>
          <w:szCs w:val="28"/>
        </w:rPr>
        <w:t xml:space="preserve">(f) </w:t>
      </w:r>
      <w:r w:rsidR="00B63B2B">
        <w:rPr>
          <w:rFonts w:ascii="Times New Roman" w:hAnsi="Times New Roman" w:cs="Times New Roman"/>
          <w:sz w:val="28"/>
          <w:szCs w:val="28"/>
        </w:rPr>
        <w:t>of the VAT Act</w:t>
      </w:r>
      <w:r w:rsidR="001A1566">
        <w:rPr>
          <w:rFonts w:ascii="Times New Roman" w:hAnsi="Times New Roman" w:cs="Times New Roman"/>
          <w:sz w:val="28"/>
          <w:szCs w:val="28"/>
          <w:lang w:val="en-US"/>
        </w:rPr>
        <w:t>. A minor component of its business is in t</w:t>
      </w:r>
      <w:r>
        <w:rPr>
          <w:rFonts w:ascii="Times New Roman" w:hAnsi="Times New Roman" w:cs="Times New Roman"/>
          <w:sz w:val="28"/>
          <w:szCs w:val="28"/>
          <w:lang w:val="en-US"/>
        </w:rPr>
        <w:t xml:space="preserve">he form of </w:t>
      </w:r>
      <w:r w:rsidR="001A1566">
        <w:rPr>
          <w:rFonts w:ascii="Times New Roman" w:hAnsi="Times New Roman" w:cs="Times New Roman"/>
          <w:sz w:val="28"/>
          <w:szCs w:val="28"/>
          <w:lang w:val="en-US"/>
        </w:rPr>
        <w:t>fees, which is a taxable supply. The question</w:t>
      </w:r>
      <w:r w:rsidR="00203B0B">
        <w:rPr>
          <w:rFonts w:ascii="Times New Roman" w:hAnsi="Times New Roman" w:cs="Times New Roman"/>
          <w:sz w:val="28"/>
          <w:szCs w:val="28"/>
          <w:lang w:val="en-US"/>
        </w:rPr>
        <w:t>,</w:t>
      </w:r>
      <w:r w:rsidR="001A1566">
        <w:rPr>
          <w:rFonts w:ascii="Times New Roman" w:hAnsi="Times New Roman" w:cs="Times New Roman"/>
          <w:sz w:val="28"/>
          <w:szCs w:val="28"/>
          <w:lang w:val="en-US"/>
        </w:rPr>
        <w:t xml:space="preserve"> </w:t>
      </w:r>
      <w:r w:rsidR="002B3B78">
        <w:rPr>
          <w:rFonts w:ascii="Times New Roman" w:hAnsi="Times New Roman" w:cs="Times New Roman"/>
          <w:sz w:val="28"/>
          <w:szCs w:val="28"/>
          <w:lang w:val="en-US"/>
        </w:rPr>
        <w:t>therefore</w:t>
      </w:r>
      <w:r w:rsidR="00203B0B">
        <w:rPr>
          <w:rFonts w:ascii="Times New Roman" w:hAnsi="Times New Roman" w:cs="Times New Roman"/>
          <w:sz w:val="28"/>
          <w:szCs w:val="28"/>
          <w:lang w:val="en-US"/>
        </w:rPr>
        <w:t>,</w:t>
      </w:r>
      <w:r w:rsidR="002B3B78">
        <w:rPr>
          <w:rFonts w:ascii="Times New Roman" w:hAnsi="Times New Roman" w:cs="Times New Roman"/>
          <w:sz w:val="28"/>
          <w:szCs w:val="28"/>
          <w:lang w:val="en-US"/>
        </w:rPr>
        <w:t xml:space="preserve"> </w:t>
      </w:r>
      <w:r w:rsidR="001A1566">
        <w:rPr>
          <w:rFonts w:ascii="Times New Roman" w:hAnsi="Times New Roman" w:cs="Times New Roman"/>
          <w:sz w:val="28"/>
          <w:szCs w:val="28"/>
          <w:lang w:val="en-US"/>
        </w:rPr>
        <w:t xml:space="preserve">is </w:t>
      </w:r>
      <w:r w:rsidR="002B3B78">
        <w:rPr>
          <w:rFonts w:ascii="Times New Roman" w:hAnsi="Times New Roman" w:cs="Times New Roman"/>
          <w:sz w:val="28"/>
          <w:szCs w:val="28"/>
          <w:lang w:val="en-US"/>
        </w:rPr>
        <w:t xml:space="preserve">whether </w:t>
      </w:r>
      <w:r w:rsidR="001A1566">
        <w:rPr>
          <w:rFonts w:ascii="Times New Roman" w:hAnsi="Times New Roman" w:cs="Times New Roman"/>
          <w:sz w:val="28"/>
          <w:szCs w:val="28"/>
          <w:lang w:val="en-US"/>
        </w:rPr>
        <w:t>the entire business activity of C</w:t>
      </w:r>
      <w:r>
        <w:rPr>
          <w:rFonts w:ascii="Times New Roman" w:hAnsi="Times New Roman" w:cs="Times New Roman"/>
          <w:sz w:val="28"/>
          <w:szCs w:val="28"/>
          <w:lang w:val="en-US"/>
        </w:rPr>
        <w:t>apitec</w:t>
      </w:r>
      <w:r w:rsidR="002B3B78">
        <w:rPr>
          <w:rFonts w:ascii="Times New Roman" w:hAnsi="Times New Roman" w:cs="Times New Roman"/>
          <w:sz w:val="28"/>
          <w:szCs w:val="28"/>
          <w:lang w:val="en-US"/>
        </w:rPr>
        <w:t>,</w:t>
      </w:r>
      <w:r>
        <w:rPr>
          <w:rFonts w:ascii="Times New Roman" w:hAnsi="Times New Roman" w:cs="Times New Roman"/>
          <w:sz w:val="28"/>
          <w:szCs w:val="28"/>
          <w:lang w:val="en-US"/>
        </w:rPr>
        <w:t xml:space="preserve"> which is largely exempt</w:t>
      </w:r>
      <w:r w:rsidR="002B3B78">
        <w:rPr>
          <w:rFonts w:ascii="Times New Roman" w:hAnsi="Times New Roman" w:cs="Times New Roman"/>
          <w:sz w:val="28"/>
          <w:szCs w:val="28"/>
          <w:lang w:val="en-US"/>
        </w:rPr>
        <w:t>,</w:t>
      </w:r>
      <w:r w:rsidR="001A1566">
        <w:rPr>
          <w:rFonts w:ascii="Times New Roman" w:hAnsi="Times New Roman" w:cs="Times New Roman"/>
          <w:sz w:val="28"/>
          <w:szCs w:val="28"/>
          <w:lang w:val="en-US"/>
        </w:rPr>
        <w:t xml:space="preserve"> </w:t>
      </w:r>
      <w:r w:rsidR="002B3B78">
        <w:rPr>
          <w:rFonts w:ascii="Times New Roman" w:hAnsi="Times New Roman" w:cs="Times New Roman"/>
          <w:sz w:val="28"/>
          <w:szCs w:val="28"/>
          <w:lang w:val="en-US"/>
        </w:rPr>
        <w:t xml:space="preserve">should </w:t>
      </w:r>
      <w:r w:rsidR="001A1566">
        <w:rPr>
          <w:rFonts w:ascii="Times New Roman" w:hAnsi="Times New Roman" w:cs="Times New Roman"/>
          <w:sz w:val="28"/>
          <w:szCs w:val="28"/>
          <w:lang w:val="en-US"/>
        </w:rPr>
        <w:t>be treated as a taxable supp</w:t>
      </w:r>
      <w:r w:rsidR="009C18A5">
        <w:rPr>
          <w:rFonts w:ascii="Times New Roman" w:hAnsi="Times New Roman" w:cs="Times New Roman"/>
          <w:sz w:val="28"/>
          <w:szCs w:val="28"/>
          <w:lang w:val="en-US"/>
        </w:rPr>
        <w:t xml:space="preserve">ly. </w:t>
      </w:r>
    </w:p>
    <w:p w14:paraId="5CAABD5C" w14:textId="77777777" w:rsidR="002B3B78" w:rsidRDefault="002B3B78" w:rsidP="009C18A5">
      <w:pPr>
        <w:spacing w:after="0" w:line="360" w:lineRule="auto"/>
        <w:jc w:val="both"/>
        <w:rPr>
          <w:rFonts w:ascii="Times New Roman" w:hAnsi="Times New Roman" w:cs="Times New Roman"/>
          <w:sz w:val="28"/>
          <w:szCs w:val="28"/>
          <w:lang w:val="en-US"/>
        </w:rPr>
      </w:pPr>
    </w:p>
    <w:p w14:paraId="3BFB7DBC" w14:textId="75903231" w:rsidR="00D332FC" w:rsidRPr="00655B85" w:rsidRDefault="002B3B78" w:rsidP="009C18A5">
      <w:pPr>
        <w:spacing w:after="0" w:line="360" w:lineRule="auto"/>
        <w:jc w:val="both"/>
        <w:rPr>
          <w:rFonts w:ascii="Times New Roman" w:hAnsi="Times New Roman" w:cs="Times New Roman"/>
          <w:sz w:val="28"/>
          <w:szCs w:val="28"/>
        </w:rPr>
      </w:pPr>
      <w:r w:rsidRPr="00655B85">
        <w:rPr>
          <w:rFonts w:ascii="Times New Roman" w:hAnsi="Times New Roman" w:cs="Times New Roman"/>
          <w:sz w:val="28"/>
          <w:szCs w:val="28"/>
          <w:lang w:val="en-US"/>
        </w:rPr>
        <w:t>[</w:t>
      </w:r>
      <w:r w:rsidR="00D22872" w:rsidRPr="00655B85">
        <w:rPr>
          <w:rFonts w:ascii="Times New Roman" w:hAnsi="Times New Roman" w:cs="Times New Roman"/>
          <w:sz w:val="28"/>
          <w:szCs w:val="28"/>
          <w:lang w:val="en-US"/>
        </w:rPr>
        <w:t>24</w:t>
      </w:r>
      <w:r w:rsidRPr="00655B85">
        <w:rPr>
          <w:rFonts w:ascii="Times New Roman" w:hAnsi="Times New Roman" w:cs="Times New Roman"/>
          <w:sz w:val="28"/>
          <w:szCs w:val="28"/>
          <w:lang w:val="en-US"/>
        </w:rPr>
        <w:t>]</w:t>
      </w:r>
      <w:r w:rsidRPr="00655B85">
        <w:rPr>
          <w:rFonts w:ascii="Times New Roman" w:hAnsi="Times New Roman" w:cs="Times New Roman"/>
          <w:sz w:val="28"/>
          <w:szCs w:val="28"/>
          <w:lang w:val="en-US"/>
        </w:rPr>
        <w:tab/>
      </w:r>
      <w:r w:rsidR="00B01BAA" w:rsidRPr="00655B85">
        <w:rPr>
          <w:rFonts w:ascii="Times New Roman" w:hAnsi="Times New Roman" w:cs="Times New Roman"/>
          <w:sz w:val="28"/>
          <w:szCs w:val="28"/>
          <w:lang w:val="en-US"/>
        </w:rPr>
        <w:t xml:space="preserve">As explained </w:t>
      </w:r>
      <w:r w:rsidR="00B01BAA" w:rsidRPr="00655B85">
        <w:rPr>
          <w:rFonts w:ascii="Times New Roman" w:hAnsi="Times New Roman" w:cs="Times New Roman"/>
          <w:sz w:val="28"/>
          <w:szCs w:val="28"/>
        </w:rPr>
        <w:t xml:space="preserve">in </w:t>
      </w:r>
      <w:r w:rsidR="00B01BAA" w:rsidRPr="00655B85">
        <w:rPr>
          <w:rFonts w:ascii="Times New Roman" w:hAnsi="Times New Roman" w:cs="Times New Roman"/>
          <w:i/>
          <w:sz w:val="28"/>
          <w:szCs w:val="28"/>
        </w:rPr>
        <w:t>Commissioner for the South African Revenue Services v Tourvest Financial Services (Pty) Ltd</w:t>
      </w:r>
      <w:r w:rsidR="00B01BAA" w:rsidRPr="00655B85">
        <w:rPr>
          <w:rFonts w:ascii="Times New Roman" w:hAnsi="Times New Roman" w:cs="Times New Roman"/>
          <w:sz w:val="28"/>
          <w:szCs w:val="28"/>
        </w:rPr>
        <w:t xml:space="preserve"> [2021] ZASCA 61</w:t>
      </w:r>
      <w:r w:rsidR="0053548E" w:rsidRPr="00655B85">
        <w:rPr>
          <w:rFonts w:ascii="Times New Roman" w:hAnsi="Times New Roman" w:cs="Times New Roman"/>
          <w:sz w:val="28"/>
          <w:szCs w:val="28"/>
        </w:rPr>
        <w:t>;</w:t>
      </w:r>
      <w:r w:rsidR="0053548E" w:rsidRPr="00655B85">
        <w:rPr>
          <w:rFonts w:ascii="Arial" w:eastAsia="Times New Roman" w:hAnsi="Arial" w:cs="Arial"/>
          <w:color w:val="64473A"/>
          <w:sz w:val="36"/>
          <w:szCs w:val="36"/>
          <w:lang w:eastAsia="en-ZA"/>
        </w:rPr>
        <w:t xml:space="preserve"> </w:t>
      </w:r>
      <w:r w:rsidR="0053548E" w:rsidRPr="00655B85">
        <w:rPr>
          <w:rFonts w:ascii="Times New Roman" w:hAnsi="Times New Roman" w:cs="Times New Roman"/>
          <w:sz w:val="28"/>
          <w:szCs w:val="28"/>
        </w:rPr>
        <w:t>2021 (5) SA 86</w:t>
      </w:r>
      <w:r w:rsidR="00B01BAA" w:rsidRPr="00655B85">
        <w:rPr>
          <w:rFonts w:ascii="Times New Roman" w:hAnsi="Times New Roman" w:cs="Times New Roman"/>
          <w:sz w:val="28"/>
          <w:szCs w:val="28"/>
        </w:rPr>
        <w:t xml:space="preserve"> (SCA)</w:t>
      </w:r>
      <w:r w:rsidR="009C18A5" w:rsidRPr="00655B85">
        <w:rPr>
          <w:rFonts w:ascii="Times New Roman" w:hAnsi="Times New Roman" w:cs="Times New Roman"/>
          <w:sz w:val="28"/>
          <w:szCs w:val="28"/>
          <w:lang w:val="en-US"/>
        </w:rPr>
        <w:t xml:space="preserve"> para 15: </w:t>
      </w:r>
    </w:p>
    <w:p w14:paraId="203B6743" w14:textId="6D25D407" w:rsidR="009C18A5" w:rsidRPr="004623D1" w:rsidRDefault="00D332FC" w:rsidP="009C18A5">
      <w:pPr>
        <w:spacing w:after="0" w:line="360" w:lineRule="auto"/>
        <w:jc w:val="both"/>
        <w:rPr>
          <w:rFonts w:ascii="Times New Roman" w:hAnsi="Times New Roman" w:cs="Times New Roman"/>
          <w:sz w:val="24"/>
          <w:szCs w:val="24"/>
        </w:rPr>
      </w:pPr>
      <w:r w:rsidRPr="00655B85">
        <w:rPr>
          <w:rFonts w:ascii="Times New Roman" w:hAnsi="Times New Roman" w:cs="Times New Roman"/>
          <w:sz w:val="24"/>
          <w:szCs w:val="24"/>
          <w:lang w:val="en-US"/>
        </w:rPr>
        <w:t>‘</w:t>
      </w:r>
      <w:r w:rsidR="009C18A5" w:rsidRPr="00655B85">
        <w:rPr>
          <w:rFonts w:ascii="Times New Roman" w:hAnsi="Times New Roman" w:cs="Times New Roman"/>
          <w:sz w:val="24"/>
          <w:szCs w:val="24"/>
        </w:rPr>
        <w:t>It is so that the respondent carries on the activity of the exchange of currency as envisaged in s 2(1), which</w:t>
      </w:r>
      <w:r w:rsidR="009C18A5" w:rsidRPr="004623D1">
        <w:rPr>
          <w:rFonts w:ascii="Times New Roman" w:hAnsi="Times New Roman" w:cs="Times New Roman"/>
          <w:sz w:val="24"/>
          <w:szCs w:val="24"/>
        </w:rPr>
        <w:t xml:space="preserve"> is, on the face of it, a defined financial service under s 2(1)</w:t>
      </w:r>
      <w:r w:rsidR="009C18A5" w:rsidRPr="004623D1">
        <w:rPr>
          <w:rFonts w:ascii="Times New Roman" w:hAnsi="Times New Roman" w:cs="Times New Roman"/>
          <w:i/>
          <w:sz w:val="24"/>
          <w:szCs w:val="24"/>
        </w:rPr>
        <w:t>(a)</w:t>
      </w:r>
      <w:r w:rsidR="009C18A5" w:rsidRPr="004623D1">
        <w:rPr>
          <w:rFonts w:ascii="Times New Roman" w:hAnsi="Times New Roman" w:cs="Times New Roman"/>
          <w:sz w:val="24"/>
          <w:szCs w:val="24"/>
        </w:rPr>
        <w:t xml:space="preserve"> and is accordingly an exempt supply by virtue thereof. If no fee or commission were charged by the respondent as a consideration for that supply, the entire activity would be exempt, and no input tax could therefore be deducted. The proviso to s 2(1) states however that the activity of the exchange of currency shall not be deemed to be financial services ‘to the extent that the consideration payable in respect thereof is any fee, commission </w:t>
      </w:r>
      <w:r w:rsidR="008E20FB">
        <w:rPr>
          <w:rFonts w:ascii="Times New Roman" w:hAnsi="Times New Roman" w:cs="Times New Roman"/>
          <w:sz w:val="24"/>
          <w:szCs w:val="24"/>
        </w:rPr>
        <w:t>. . .</w:t>
      </w:r>
      <w:r w:rsidR="009C18A5" w:rsidRPr="004623D1">
        <w:rPr>
          <w:rFonts w:ascii="Times New Roman" w:hAnsi="Times New Roman" w:cs="Times New Roman"/>
          <w:sz w:val="24"/>
          <w:szCs w:val="24"/>
        </w:rPr>
        <w:t xml:space="preserve"> or similar charge.’ The effect of the proviso is thus limited to ensuring (in keeping with the intention, as expressed in the VAT Sub-Committee report, of bringing financial services into the VAT net) that any commission or fee charged in respect of the activity of the exchange of currency will attract VAT. To achieve this, it is necessary to carve out the activity from the definition of financial services for the limited purpose of making the provision of the goods or services taxable to that extent.</w:t>
      </w:r>
      <w:r w:rsidR="004623D1" w:rsidRPr="004623D1">
        <w:rPr>
          <w:rFonts w:ascii="Times New Roman" w:hAnsi="Times New Roman" w:cs="Times New Roman"/>
          <w:sz w:val="24"/>
          <w:szCs w:val="24"/>
        </w:rPr>
        <w:t>’</w:t>
      </w:r>
    </w:p>
    <w:p w14:paraId="3CFBD018" w14:textId="5F391972" w:rsidR="001A1566" w:rsidRPr="004623D1" w:rsidRDefault="00D332FC" w:rsidP="004623D1">
      <w:pPr>
        <w:spacing w:after="0" w:line="360" w:lineRule="auto"/>
        <w:jc w:val="both"/>
        <w:rPr>
          <w:rFonts w:ascii="Times New Roman" w:hAnsi="Times New Roman" w:cs="Times New Roman"/>
          <w:sz w:val="28"/>
          <w:szCs w:val="28"/>
          <w:lang w:val="en-US"/>
        </w:rPr>
      </w:pPr>
      <w:r w:rsidRPr="004623D1">
        <w:rPr>
          <w:rFonts w:ascii="Times New Roman" w:hAnsi="Times New Roman" w:cs="Times New Roman"/>
          <w:sz w:val="28"/>
          <w:szCs w:val="28"/>
          <w:lang w:val="en-US"/>
        </w:rPr>
        <w:t xml:space="preserve">And at para </w:t>
      </w:r>
      <w:r w:rsidR="009C18A5" w:rsidRPr="004623D1">
        <w:rPr>
          <w:rFonts w:ascii="Times New Roman" w:hAnsi="Times New Roman" w:cs="Times New Roman"/>
          <w:sz w:val="28"/>
          <w:szCs w:val="28"/>
          <w:lang w:val="en-US"/>
        </w:rPr>
        <w:t xml:space="preserve">16: </w:t>
      </w:r>
    </w:p>
    <w:p w14:paraId="74EEFD77" w14:textId="06CE8F60" w:rsidR="009C18A5" w:rsidRPr="00C3414A" w:rsidRDefault="009829D8" w:rsidP="004623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3414A">
        <w:rPr>
          <w:rFonts w:ascii="Times New Roman" w:hAnsi="Times New Roman" w:cs="Times New Roman"/>
          <w:sz w:val="24"/>
          <w:szCs w:val="24"/>
        </w:rPr>
        <w:t xml:space="preserve">The fact that, by virtue of the proviso, what would otherwise have been an exempt financial service is to an extent treated as a taxable supply (so that the commission carries VAT) does not mean that the activity loses its exempt nature entirely. It remains an exempt supply for all other purposes, while the taxable component carries VAT. It follows that the proviso creates a mixed supply out of an identified activity, rather than causing the activity to lose its exempt status in its entirety. Accordingly, the effect of the proviso in the present context is merely to add a taxable element to what is, and at its core remains, an exempt financial service. It turns the activity into a partly exempt and a partly taxable supply. That being so, any tax paid on goods and services acquired by the respondent must be apportioned and only the part </w:t>
      </w:r>
      <w:r w:rsidRPr="00C3414A">
        <w:rPr>
          <w:rFonts w:ascii="Times New Roman" w:hAnsi="Times New Roman" w:cs="Times New Roman"/>
          <w:sz w:val="24"/>
          <w:szCs w:val="24"/>
        </w:rPr>
        <w:lastRenderedPageBreak/>
        <w:t>attributable to the taxable supply may be deduct</w:t>
      </w:r>
      <w:r w:rsidR="008E20FB">
        <w:rPr>
          <w:rFonts w:ascii="Times New Roman" w:hAnsi="Times New Roman" w:cs="Times New Roman"/>
          <w:sz w:val="24"/>
          <w:szCs w:val="24"/>
        </w:rPr>
        <w:t>ed as input tax. The respondent’</w:t>
      </w:r>
      <w:r w:rsidRPr="00C3414A">
        <w:rPr>
          <w:rFonts w:ascii="Times New Roman" w:hAnsi="Times New Roman" w:cs="Times New Roman"/>
          <w:sz w:val="24"/>
          <w:szCs w:val="24"/>
        </w:rPr>
        <w:t>s attempt to claim the entire VAT charge as deductible input tax must therefore fail.’</w:t>
      </w:r>
    </w:p>
    <w:p w14:paraId="214626E9" w14:textId="77777777" w:rsidR="009829D8" w:rsidRPr="004623D1" w:rsidRDefault="009829D8" w:rsidP="004623D1">
      <w:pPr>
        <w:spacing w:after="0" w:line="360" w:lineRule="auto"/>
        <w:jc w:val="both"/>
        <w:rPr>
          <w:rFonts w:ascii="Times New Roman" w:hAnsi="Times New Roman" w:cs="Times New Roman"/>
          <w:sz w:val="28"/>
          <w:szCs w:val="28"/>
          <w:lang w:val="en-US"/>
        </w:rPr>
      </w:pPr>
    </w:p>
    <w:p w14:paraId="7D67546B" w14:textId="6FADEDC2" w:rsidR="00E668FB" w:rsidRDefault="00A14D1C" w:rsidP="00BA6CC9">
      <w:pPr>
        <w:spacing w:after="0" w:line="360" w:lineRule="auto"/>
        <w:jc w:val="both"/>
        <w:rPr>
          <w:rFonts w:ascii="Times New Roman" w:hAnsi="Times New Roman" w:cs="Times New Roman"/>
          <w:sz w:val="28"/>
          <w:szCs w:val="28"/>
        </w:rPr>
      </w:pPr>
      <w:r w:rsidRPr="00BA6CC9">
        <w:rPr>
          <w:rFonts w:ascii="Times New Roman" w:hAnsi="Times New Roman" w:cs="Times New Roman"/>
          <w:sz w:val="28"/>
          <w:szCs w:val="28"/>
          <w:lang w:val="en-US"/>
        </w:rPr>
        <w:t>[</w:t>
      </w:r>
      <w:r w:rsidR="00D22872">
        <w:rPr>
          <w:rFonts w:ascii="Times New Roman" w:hAnsi="Times New Roman" w:cs="Times New Roman"/>
          <w:sz w:val="28"/>
          <w:szCs w:val="28"/>
          <w:lang w:val="en-US"/>
        </w:rPr>
        <w:t>25</w:t>
      </w:r>
      <w:r w:rsidR="001A1566" w:rsidRPr="00BA6CC9">
        <w:rPr>
          <w:rFonts w:ascii="Times New Roman" w:hAnsi="Times New Roman" w:cs="Times New Roman"/>
          <w:sz w:val="28"/>
          <w:szCs w:val="28"/>
          <w:lang w:val="en-US"/>
        </w:rPr>
        <w:t>]</w:t>
      </w:r>
      <w:r w:rsidR="004623D1">
        <w:rPr>
          <w:rFonts w:ascii="Times New Roman" w:hAnsi="Times New Roman" w:cs="Times New Roman"/>
          <w:sz w:val="28"/>
          <w:szCs w:val="28"/>
          <w:lang w:val="en-US"/>
        </w:rPr>
        <w:tab/>
      </w:r>
      <w:r w:rsidR="00676B3D" w:rsidRPr="00BA6CC9">
        <w:rPr>
          <w:rFonts w:ascii="Times New Roman" w:hAnsi="Times New Roman" w:cs="Times New Roman"/>
          <w:sz w:val="28"/>
          <w:szCs w:val="28"/>
          <w:lang w:val="en-US"/>
        </w:rPr>
        <w:t>Thus</w:t>
      </w:r>
      <w:r w:rsidR="00786B7A">
        <w:rPr>
          <w:rFonts w:ascii="Times New Roman" w:hAnsi="Times New Roman" w:cs="Times New Roman"/>
          <w:sz w:val="28"/>
          <w:szCs w:val="28"/>
          <w:lang w:val="en-US"/>
        </w:rPr>
        <w:t>,</w:t>
      </w:r>
      <w:r w:rsidR="00676B3D" w:rsidRPr="00BA6CC9">
        <w:rPr>
          <w:rFonts w:ascii="Times New Roman" w:hAnsi="Times New Roman" w:cs="Times New Roman"/>
          <w:sz w:val="28"/>
          <w:szCs w:val="28"/>
          <w:lang w:val="en-US"/>
        </w:rPr>
        <w:t xml:space="preserve"> it </w:t>
      </w:r>
      <w:r w:rsidR="00D332FC" w:rsidRPr="00BA6CC9">
        <w:rPr>
          <w:rFonts w:ascii="Times New Roman" w:hAnsi="Times New Roman" w:cs="Times New Roman"/>
          <w:sz w:val="28"/>
          <w:szCs w:val="28"/>
          <w:lang w:val="en-US"/>
        </w:rPr>
        <w:t xml:space="preserve">follows from </w:t>
      </w:r>
      <w:r w:rsidR="00D332FC" w:rsidRPr="00C3414A">
        <w:rPr>
          <w:rFonts w:ascii="Times New Roman" w:hAnsi="Times New Roman" w:cs="Times New Roman"/>
          <w:i/>
          <w:sz w:val="28"/>
          <w:szCs w:val="28"/>
          <w:lang w:val="en-US"/>
        </w:rPr>
        <w:t>T</w:t>
      </w:r>
      <w:r w:rsidR="009C18A5" w:rsidRPr="00C3414A">
        <w:rPr>
          <w:rFonts w:ascii="Times New Roman" w:hAnsi="Times New Roman" w:cs="Times New Roman"/>
          <w:i/>
          <w:sz w:val="28"/>
          <w:szCs w:val="28"/>
          <w:lang w:val="en-US"/>
        </w:rPr>
        <w:t>ourvest</w:t>
      </w:r>
      <w:r w:rsidR="001A1566" w:rsidRPr="00BA6CC9">
        <w:rPr>
          <w:rFonts w:ascii="Times New Roman" w:hAnsi="Times New Roman" w:cs="Times New Roman"/>
          <w:sz w:val="28"/>
          <w:szCs w:val="28"/>
          <w:lang w:val="en-US"/>
        </w:rPr>
        <w:t xml:space="preserve"> that wher</w:t>
      </w:r>
      <w:r w:rsidR="004623D1">
        <w:rPr>
          <w:rFonts w:ascii="Times New Roman" w:hAnsi="Times New Roman" w:cs="Times New Roman"/>
          <w:sz w:val="28"/>
          <w:szCs w:val="28"/>
          <w:lang w:val="en-US"/>
        </w:rPr>
        <w:t xml:space="preserve">e a vendor carries on </w:t>
      </w:r>
      <w:r w:rsidR="0053548E">
        <w:rPr>
          <w:rFonts w:ascii="Times New Roman" w:hAnsi="Times New Roman" w:cs="Times New Roman"/>
          <w:sz w:val="28"/>
          <w:szCs w:val="28"/>
          <w:lang w:val="en-US"/>
        </w:rPr>
        <w:t xml:space="preserve">the </w:t>
      </w:r>
      <w:r w:rsidR="004623D1">
        <w:rPr>
          <w:rFonts w:ascii="Times New Roman" w:hAnsi="Times New Roman" w:cs="Times New Roman"/>
          <w:sz w:val="28"/>
          <w:szCs w:val="28"/>
          <w:lang w:val="en-US"/>
        </w:rPr>
        <w:t xml:space="preserve">business </w:t>
      </w:r>
      <w:r w:rsidR="001A1566" w:rsidRPr="00BA6CC9">
        <w:rPr>
          <w:rFonts w:ascii="Times New Roman" w:hAnsi="Times New Roman" w:cs="Times New Roman"/>
          <w:sz w:val="28"/>
          <w:szCs w:val="28"/>
          <w:lang w:val="en-US"/>
        </w:rPr>
        <w:t>of providing financial services</w:t>
      </w:r>
      <w:r w:rsidR="008E20FB">
        <w:rPr>
          <w:rFonts w:ascii="Times New Roman" w:hAnsi="Times New Roman" w:cs="Times New Roman"/>
          <w:sz w:val="28"/>
          <w:szCs w:val="28"/>
          <w:lang w:val="en-US"/>
        </w:rPr>
        <w:t>,</w:t>
      </w:r>
      <w:r w:rsidR="001A1566" w:rsidRPr="00BA6CC9">
        <w:rPr>
          <w:rFonts w:ascii="Times New Roman" w:hAnsi="Times New Roman" w:cs="Times New Roman"/>
          <w:sz w:val="28"/>
          <w:szCs w:val="28"/>
          <w:lang w:val="en-US"/>
        </w:rPr>
        <w:t xml:space="preserve"> that remains its main business.</w:t>
      </w:r>
      <w:r w:rsidR="004623D1">
        <w:rPr>
          <w:rFonts w:ascii="Times New Roman" w:hAnsi="Times New Roman" w:cs="Times New Roman"/>
          <w:sz w:val="28"/>
          <w:szCs w:val="28"/>
          <w:lang w:val="en-US"/>
        </w:rPr>
        <w:t xml:space="preserve"> </w:t>
      </w:r>
      <w:r w:rsidR="001A1566" w:rsidRPr="00BA6CC9">
        <w:rPr>
          <w:rFonts w:ascii="Times New Roman" w:hAnsi="Times New Roman" w:cs="Times New Roman"/>
          <w:sz w:val="28"/>
          <w:szCs w:val="28"/>
          <w:lang w:val="en-US"/>
        </w:rPr>
        <w:t xml:space="preserve">The fact that there may be some taxable fees that </w:t>
      </w:r>
      <w:r w:rsidR="00D332FC" w:rsidRPr="00BA6CC9">
        <w:rPr>
          <w:rFonts w:ascii="Times New Roman" w:hAnsi="Times New Roman" w:cs="Times New Roman"/>
          <w:sz w:val="28"/>
          <w:szCs w:val="28"/>
          <w:lang w:val="en-US"/>
        </w:rPr>
        <w:t>are earned in the course of its</w:t>
      </w:r>
      <w:r w:rsidR="001A1566" w:rsidRPr="00BA6CC9">
        <w:rPr>
          <w:rFonts w:ascii="Times New Roman" w:hAnsi="Times New Roman" w:cs="Times New Roman"/>
          <w:sz w:val="28"/>
          <w:szCs w:val="28"/>
          <w:lang w:val="en-US"/>
        </w:rPr>
        <w:t xml:space="preserve"> business which can be carved out</w:t>
      </w:r>
      <w:r w:rsidR="004623D1">
        <w:rPr>
          <w:rFonts w:ascii="Times New Roman" w:hAnsi="Times New Roman" w:cs="Times New Roman"/>
          <w:sz w:val="28"/>
          <w:szCs w:val="28"/>
          <w:lang w:val="en-US"/>
        </w:rPr>
        <w:t xml:space="preserve"> </w:t>
      </w:r>
      <w:r w:rsidR="001A1566" w:rsidRPr="00BA6CC9">
        <w:rPr>
          <w:rFonts w:ascii="Times New Roman" w:hAnsi="Times New Roman" w:cs="Times New Roman"/>
          <w:sz w:val="28"/>
          <w:szCs w:val="28"/>
          <w:lang w:val="en-US"/>
        </w:rPr>
        <w:t xml:space="preserve">does not convert what is in essence a taxable supply </w:t>
      </w:r>
      <w:r w:rsidR="006176C4">
        <w:rPr>
          <w:rFonts w:ascii="Times New Roman" w:hAnsi="Times New Roman" w:cs="Times New Roman"/>
          <w:sz w:val="28"/>
          <w:szCs w:val="28"/>
          <w:lang w:val="en-US"/>
        </w:rPr>
        <w:t>(</w:t>
      </w:r>
      <w:r w:rsidR="001A1566" w:rsidRPr="00BA6CC9">
        <w:rPr>
          <w:rFonts w:ascii="Times New Roman" w:hAnsi="Times New Roman" w:cs="Times New Roman"/>
          <w:sz w:val="28"/>
          <w:szCs w:val="28"/>
          <w:lang w:val="en-US"/>
        </w:rPr>
        <w:t>and what is in the main an exempt supply</w:t>
      </w:r>
      <w:r w:rsidR="006176C4">
        <w:rPr>
          <w:rFonts w:ascii="Times New Roman" w:hAnsi="Times New Roman" w:cs="Times New Roman"/>
          <w:sz w:val="28"/>
          <w:szCs w:val="28"/>
          <w:lang w:val="en-US"/>
        </w:rPr>
        <w:t>)</w:t>
      </w:r>
      <w:r w:rsidR="001A1566" w:rsidRPr="00BA6CC9">
        <w:rPr>
          <w:rFonts w:ascii="Times New Roman" w:hAnsi="Times New Roman" w:cs="Times New Roman"/>
          <w:sz w:val="28"/>
          <w:szCs w:val="28"/>
          <w:lang w:val="en-US"/>
        </w:rPr>
        <w:t xml:space="preserve"> into a taxable supply.</w:t>
      </w:r>
      <w:r w:rsidR="004623D1">
        <w:rPr>
          <w:rFonts w:ascii="Times New Roman" w:hAnsi="Times New Roman" w:cs="Times New Roman"/>
          <w:sz w:val="28"/>
          <w:szCs w:val="28"/>
          <w:lang w:val="en-US"/>
        </w:rPr>
        <w:t xml:space="preserve"> </w:t>
      </w:r>
      <w:r w:rsidR="001A1566" w:rsidRPr="00BA6CC9">
        <w:rPr>
          <w:rFonts w:ascii="Times New Roman" w:hAnsi="Times New Roman" w:cs="Times New Roman"/>
          <w:sz w:val="28"/>
          <w:szCs w:val="28"/>
          <w:lang w:val="en-US"/>
        </w:rPr>
        <w:t>Th</w:t>
      </w:r>
      <w:r w:rsidR="006176C4">
        <w:rPr>
          <w:rFonts w:ascii="Times New Roman" w:hAnsi="Times New Roman" w:cs="Times New Roman"/>
          <w:sz w:val="28"/>
          <w:szCs w:val="28"/>
          <w:lang w:val="en-US"/>
        </w:rPr>
        <w:t>us, the</w:t>
      </w:r>
      <w:r w:rsidR="001A1566" w:rsidRPr="00BA6CC9">
        <w:rPr>
          <w:rFonts w:ascii="Times New Roman" w:hAnsi="Times New Roman" w:cs="Times New Roman"/>
          <w:sz w:val="28"/>
          <w:szCs w:val="28"/>
          <w:lang w:val="en-US"/>
        </w:rPr>
        <w:t xml:space="preserve"> fact that fees </w:t>
      </w:r>
      <w:r w:rsidR="008E20FB">
        <w:rPr>
          <w:rFonts w:ascii="Times New Roman" w:hAnsi="Times New Roman" w:cs="Times New Roman"/>
          <w:sz w:val="28"/>
          <w:szCs w:val="28"/>
          <w:lang w:val="en-US"/>
        </w:rPr>
        <w:t xml:space="preserve">charged by Capitec for its services </w:t>
      </w:r>
      <w:r w:rsidR="001A1566" w:rsidRPr="00BA6CC9">
        <w:rPr>
          <w:rFonts w:ascii="Times New Roman" w:hAnsi="Times New Roman" w:cs="Times New Roman"/>
          <w:sz w:val="28"/>
          <w:szCs w:val="28"/>
          <w:lang w:val="en-US"/>
        </w:rPr>
        <w:t>carr</w:t>
      </w:r>
      <w:r w:rsidR="008E20FB">
        <w:rPr>
          <w:rFonts w:ascii="Times New Roman" w:hAnsi="Times New Roman" w:cs="Times New Roman"/>
          <w:sz w:val="28"/>
          <w:szCs w:val="28"/>
          <w:lang w:val="en-US"/>
        </w:rPr>
        <w:t>y</w:t>
      </w:r>
      <w:r w:rsidR="001A1566" w:rsidRPr="00BA6CC9">
        <w:rPr>
          <w:rFonts w:ascii="Times New Roman" w:hAnsi="Times New Roman" w:cs="Times New Roman"/>
          <w:sz w:val="28"/>
          <w:szCs w:val="28"/>
          <w:lang w:val="en-US"/>
        </w:rPr>
        <w:t xml:space="preserve"> VAT does not mean that the activity of supplying credit loses its exempt nature</w:t>
      </w:r>
      <w:r w:rsidR="009C18A5" w:rsidRPr="00BA6CC9">
        <w:rPr>
          <w:rFonts w:ascii="Times New Roman" w:hAnsi="Times New Roman" w:cs="Times New Roman"/>
          <w:sz w:val="28"/>
          <w:szCs w:val="28"/>
          <w:lang w:val="en-US"/>
        </w:rPr>
        <w:t xml:space="preserve">. </w:t>
      </w:r>
      <w:r w:rsidR="00E668FB">
        <w:rPr>
          <w:rFonts w:ascii="Times New Roman" w:hAnsi="Times New Roman" w:cs="Times New Roman"/>
          <w:sz w:val="28"/>
          <w:szCs w:val="28"/>
          <w:lang w:val="en-US"/>
        </w:rPr>
        <w:t xml:space="preserve">Instead, </w:t>
      </w:r>
      <w:r w:rsidR="00E668FB" w:rsidRPr="00BA6CC9">
        <w:rPr>
          <w:rFonts w:ascii="Times New Roman" w:hAnsi="Times New Roman" w:cs="Times New Roman"/>
          <w:sz w:val="28"/>
          <w:szCs w:val="28"/>
        </w:rPr>
        <w:t>the minor part of its business whic</w:t>
      </w:r>
      <w:r w:rsidR="00E668FB">
        <w:rPr>
          <w:rFonts w:ascii="Times New Roman" w:hAnsi="Times New Roman" w:cs="Times New Roman"/>
          <w:sz w:val="28"/>
          <w:szCs w:val="28"/>
        </w:rPr>
        <w:t>h is the earning of taxable fees may be carved out</w:t>
      </w:r>
      <w:r w:rsidR="00E668FB" w:rsidRPr="00BA6CC9">
        <w:rPr>
          <w:rFonts w:ascii="Times New Roman" w:hAnsi="Times New Roman" w:cs="Times New Roman"/>
          <w:sz w:val="28"/>
          <w:szCs w:val="28"/>
        </w:rPr>
        <w:t xml:space="preserve"> </w:t>
      </w:r>
      <w:r w:rsidR="00E668FB">
        <w:rPr>
          <w:rFonts w:ascii="Times New Roman" w:hAnsi="Times New Roman" w:cs="Times New Roman"/>
          <w:sz w:val="28"/>
          <w:szCs w:val="28"/>
        </w:rPr>
        <w:t xml:space="preserve">as such and claimed accordingly. </w:t>
      </w:r>
    </w:p>
    <w:p w14:paraId="5AE7D8FB" w14:textId="0287C7CC" w:rsidR="00E668FB" w:rsidRDefault="00E668FB" w:rsidP="00BA6CC9">
      <w:pPr>
        <w:spacing w:after="0" w:line="360" w:lineRule="auto"/>
        <w:jc w:val="both"/>
        <w:rPr>
          <w:rFonts w:ascii="Times New Roman" w:hAnsi="Times New Roman" w:cs="Times New Roman"/>
          <w:sz w:val="28"/>
          <w:szCs w:val="28"/>
        </w:rPr>
      </w:pPr>
    </w:p>
    <w:p w14:paraId="4AD299FF" w14:textId="23FC7914" w:rsidR="006176C4" w:rsidRDefault="00D22872" w:rsidP="00BA6C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6176C4">
        <w:rPr>
          <w:rFonts w:ascii="Times New Roman" w:hAnsi="Times New Roman" w:cs="Times New Roman"/>
          <w:sz w:val="28"/>
          <w:szCs w:val="28"/>
        </w:rPr>
        <w:t>]</w:t>
      </w:r>
      <w:r w:rsidR="006176C4">
        <w:rPr>
          <w:rFonts w:ascii="Times New Roman" w:hAnsi="Times New Roman" w:cs="Times New Roman"/>
          <w:sz w:val="28"/>
          <w:szCs w:val="28"/>
        </w:rPr>
        <w:tab/>
        <w:t xml:space="preserve">Nevertheless, it </w:t>
      </w:r>
      <w:r w:rsidR="00E668FB">
        <w:rPr>
          <w:rFonts w:ascii="Times New Roman" w:hAnsi="Times New Roman" w:cs="Times New Roman"/>
          <w:sz w:val="28"/>
          <w:szCs w:val="28"/>
        </w:rPr>
        <w:t xml:space="preserve">remains to be determined whether these fees </w:t>
      </w:r>
      <w:r w:rsidR="006176C4">
        <w:rPr>
          <w:rFonts w:ascii="Times New Roman" w:hAnsi="Times New Roman" w:cs="Times New Roman"/>
          <w:sz w:val="28"/>
          <w:szCs w:val="28"/>
        </w:rPr>
        <w:t>were</w:t>
      </w:r>
      <w:r w:rsidR="00E668FB">
        <w:rPr>
          <w:rFonts w:ascii="Times New Roman" w:hAnsi="Times New Roman" w:cs="Times New Roman"/>
          <w:sz w:val="28"/>
          <w:szCs w:val="28"/>
        </w:rPr>
        <w:t xml:space="preserve">, in fact, charged by Capitec in the supply of </w:t>
      </w:r>
      <w:r w:rsidR="006176C4">
        <w:rPr>
          <w:rFonts w:ascii="Times New Roman" w:hAnsi="Times New Roman" w:cs="Times New Roman"/>
          <w:sz w:val="28"/>
          <w:szCs w:val="28"/>
        </w:rPr>
        <w:t xml:space="preserve">the </w:t>
      </w:r>
      <w:r w:rsidR="00E668FB" w:rsidRPr="00BA6CC9">
        <w:rPr>
          <w:rFonts w:ascii="Times New Roman" w:hAnsi="Times New Roman" w:cs="Times New Roman"/>
          <w:sz w:val="28"/>
          <w:szCs w:val="28"/>
          <w:lang w:val="en-US"/>
        </w:rPr>
        <w:t>loan cover</w:t>
      </w:r>
      <w:r w:rsidR="006176C4">
        <w:rPr>
          <w:rFonts w:ascii="Times New Roman" w:hAnsi="Times New Roman" w:cs="Times New Roman"/>
          <w:sz w:val="28"/>
          <w:szCs w:val="28"/>
          <w:lang w:val="en-US"/>
        </w:rPr>
        <w:t xml:space="preserve"> to its customers. </w:t>
      </w:r>
      <w:r w:rsidR="00E668FB">
        <w:rPr>
          <w:rFonts w:ascii="Times New Roman" w:hAnsi="Times New Roman" w:cs="Times New Roman"/>
          <w:sz w:val="28"/>
          <w:szCs w:val="28"/>
        </w:rPr>
        <w:t xml:space="preserve">This is because although the loan cover is linked to Capitec’s main business of supplying credit, </w:t>
      </w:r>
      <w:r w:rsidR="0074608A">
        <w:rPr>
          <w:rFonts w:ascii="Times New Roman" w:hAnsi="Times New Roman" w:cs="Times New Roman"/>
          <w:sz w:val="28"/>
          <w:szCs w:val="28"/>
        </w:rPr>
        <w:t xml:space="preserve">for which the fees charged may be taxable, </w:t>
      </w:r>
      <w:r w:rsidR="00E668FB">
        <w:rPr>
          <w:rFonts w:ascii="Times New Roman" w:hAnsi="Times New Roman" w:cs="Times New Roman"/>
          <w:sz w:val="28"/>
          <w:szCs w:val="28"/>
        </w:rPr>
        <w:t xml:space="preserve">SARS contends that the </w:t>
      </w:r>
      <w:r w:rsidR="006176C4">
        <w:rPr>
          <w:rFonts w:ascii="Times New Roman" w:hAnsi="Times New Roman" w:cs="Times New Roman"/>
          <w:sz w:val="28"/>
          <w:szCs w:val="28"/>
        </w:rPr>
        <w:t xml:space="preserve">loan cover was, in fact, supplied for no consideration to the customers, and the fees applied </w:t>
      </w:r>
      <w:r w:rsidR="0074608A">
        <w:rPr>
          <w:rFonts w:ascii="Times New Roman" w:hAnsi="Times New Roman" w:cs="Times New Roman"/>
          <w:sz w:val="28"/>
          <w:szCs w:val="28"/>
        </w:rPr>
        <w:t xml:space="preserve">solely </w:t>
      </w:r>
      <w:r w:rsidR="006176C4">
        <w:rPr>
          <w:rFonts w:ascii="Times New Roman" w:hAnsi="Times New Roman" w:cs="Times New Roman"/>
          <w:sz w:val="28"/>
          <w:szCs w:val="28"/>
        </w:rPr>
        <w:t>to the provision of credit services</w:t>
      </w:r>
      <w:r w:rsidR="0074608A">
        <w:rPr>
          <w:rFonts w:ascii="Times New Roman" w:hAnsi="Times New Roman" w:cs="Times New Roman"/>
          <w:sz w:val="28"/>
          <w:szCs w:val="28"/>
        </w:rPr>
        <w:t xml:space="preserve"> by Capitec</w:t>
      </w:r>
      <w:r w:rsidR="006176C4">
        <w:rPr>
          <w:rFonts w:ascii="Times New Roman" w:hAnsi="Times New Roman" w:cs="Times New Roman"/>
          <w:sz w:val="28"/>
          <w:szCs w:val="28"/>
        </w:rPr>
        <w:t>.</w:t>
      </w:r>
    </w:p>
    <w:p w14:paraId="0C5406B2" w14:textId="77777777" w:rsidR="00252D96" w:rsidRDefault="00252D96" w:rsidP="00815CFD">
      <w:pPr>
        <w:spacing w:after="0" w:line="360" w:lineRule="auto"/>
        <w:jc w:val="both"/>
        <w:rPr>
          <w:rFonts w:ascii="Times New Roman" w:hAnsi="Times New Roman" w:cs="Times New Roman"/>
          <w:sz w:val="28"/>
          <w:szCs w:val="28"/>
        </w:rPr>
      </w:pPr>
    </w:p>
    <w:p w14:paraId="6721763B" w14:textId="034412F9" w:rsidR="00676B3D" w:rsidRPr="00655B85" w:rsidRDefault="004623D1" w:rsidP="00676B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D22872">
        <w:rPr>
          <w:rFonts w:ascii="Times New Roman" w:hAnsi="Times New Roman" w:cs="Times New Roman"/>
          <w:sz w:val="28"/>
          <w:szCs w:val="28"/>
          <w:lang w:val="en-US"/>
        </w:rPr>
        <w:t>7</w:t>
      </w:r>
      <w:r>
        <w:rPr>
          <w:rFonts w:ascii="Times New Roman" w:hAnsi="Times New Roman" w:cs="Times New Roman"/>
          <w:sz w:val="28"/>
          <w:szCs w:val="28"/>
          <w:lang w:val="en-US"/>
        </w:rPr>
        <w:t>]</w:t>
      </w:r>
      <w:r>
        <w:rPr>
          <w:rFonts w:ascii="Times New Roman" w:hAnsi="Times New Roman" w:cs="Times New Roman"/>
          <w:sz w:val="28"/>
          <w:szCs w:val="28"/>
          <w:lang w:val="en-US"/>
        </w:rPr>
        <w:tab/>
      </w:r>
      <w:r w:rsidR="00676B3D">
        <w:rPr>
          <w:rFonts w:ascii="Times New Roman" w:hAnsi="Times New Roman" w:cs="Times New Roman"/>
          <w:sz w:val="28"/>
          <w:szCs w:val="28"/>
          <w:lang w:val="en-US"/>
        </w:rPr>
        <w:t>From the facts</w:t>
      </w:r>
      <w:r w:rsidR="00786B7A">
        <w:rPr>
          <w:rFonts w:ascii="Times New Roman" w:hAnsi="Times New Roman" w:cs="Times New Roman"/>
          <w:sz w:val="28"/>
          <w:szCs w:val="28"/>
          <w:lang w:val="en-US"/>
        </w:rPr>
        <w:t>,</w:t>
      </w:r>
      <w:r w:rsidR="00676B3D">
        <w:rPr>
          <w:rFonts w:ascii="Times New Roman" w:hAnsi="Times New Roman" w:cs="Times New Roman"/>
          <w:sz w:val="28"/>
          <w:szCs w:val="28"/>
          <w:lang w:val="en-US"/>
        </w:rPr>
        <w:t xml:space="preserve"> the following emerge</w:t>
      </w:r>
      <w:r w:rsidR="00786B7A">
        <w:rPr>
          <w:rFonts w:ascii="Times New Roman" w:hAnsi="Times New Roman" w:cs="Times New Roman"/>
          <w:sz w:val="28"/>
          <w:szCs w:val="28"/>
          <w:lang w:val="en-US"/>
        </w:rPr>
        <w:t>s</w:t>
      </w:r>
      <w:r w:rsidR="00676B3D">
        <w:rPr>
          <w:rFonts w:ascii="Times New Roman" w:hAnsi="Times New Roman" w:cs="Times New Roman"/>
          <w:sz w:val="28"/>
          <w:szCs w:val="28"/>
          <w:lang w:val="en-US"/>
        </w:rPr>
        <w:t>.</w:t>
      </w:r>
      <w:r w:rsidR="00676B3D" w:rsidRPr="00F21397">
        <w:rPr>
          <w:rFonts w:ascii="Times New Roman" w:hAnsi="Times New Roman" w:cs="Times New Roman"/>
          <w:sz w:val="28"/>
          <w:szCs w:val="28"/>
        </w:rPr>
        <w:t xml:space="preserve"> </w:t>
      </w:r>
      <w:r w:rsidR="00676B3D">
        <w:rPr>
          <w:rFonts w:ascii="Times New Roman" w:hAnsi="Times New Roman" w:cs="Times New Roman"/>
          <w:sz w:val="28"/>
          <w:szCs w:val="28"/>
        </w:rPr>
        <w:t>T</w:t>
      </w:r>
      <w:r w:rsidR="00676B3D" w:rsidRPr="00B67EF0">
        <w:rPr>
          <w:rFonts w:ascii="Times New Roman" w:hAnsi="Times New Roman" w:cs="Times New Roman"/>
          <w:sz w:val="28"/>
          <w:szCs w:val="28"/>
        </w:rPr>
        <w:t xml:space="preserve">he loan cover was supplied by Capitec </w:t>
      </w:r>
      <w:r w:rsidR="00676B3D">
        <w:rPr>
          <w:rFonts w:ascii="Times New Roman" w:hAnsi="Times New Roman" w:cs="Times New Roman"/>
          <w:sz w:val="28"/>
          <w:szCs w:val="28"/>
        </w:rPr>
        <w:t xml:space="preserve">to its customers </w:t>
      </w:r>
      <w:r w:rsidR="00676B3D" w:rsidRPr="00B67EF0">
        <w:rPr>
          <w:rFonts w:ascii="Times New Roman" w:hAnsi="Times New Roman" w:cs="Times New Roman"/>
          <w:sz w:val="28"/>
          <w:szCs w:val="28"/>
        </w:rPr>
        <w:t>for no consideration for th</w:t>
      </w:r>
      <w:r w:rsidR="00676B3D">
        <w:rPr>
          <w:rFonts w:ascii="Times New Roman" w:hAnsi="Times New Roman" w:cs="Times New Roman"/>
          <w:sz w:val="28"/>
          <w:szCs w:val="28"/>
        </w:rPr>
        <w:t xml:space="preserve">e following reasons. </w:t>
      </w:r>
      <w:r w:rsidR="00676B3D">
        <w:rPr>
          <w:rFonts w:ascii="Times New Roman" w:hAnsi="Times New Roman" w:cs="Times New Roman"/>
          <w:sz w:val="28"/>
          <w:szCs w:val="28"/>
          <w:lang w:val="en-US"/>
        </w:rPr>
        <w:t xml:space="preserve">Capitec </w:t>
      </w:r>
      <w:r w:rsidR="00676B3D" w:rsidRPr="00655B85">
        <w:rPr>
          <w:rFonts w:ascii="Times New Roman" w:hAnsi="Times New Roman" w:cs="Times New Roman"/>
          <w:sz w:val="28"/>
          <w:szCs w:val="28"/>
          <w:lang w:val="en-US"/>
        </w:rPr>
        <w:t>does not charge its clients for credit insurance. This is clear from the following:</w:t>
      </w:r>
    </w:p>
    <w:p w14:paraId="09C1A29C" w14:textId="2DD939BF" w:rsidR="00676B3D" w:rsidRPr="00987F24" w:rsidRDefault="00676B3D" w:rsidP="00676B3D">
      <w:pPr>
        <w:spacing w:after="0" w:line="360" w:lineRule="auto"/>
        <w:jc w:val="both"/>
        <w:rPr>
          <w:rFonts w:ascii="Times New Roman" w:hAnsi="Times New Roman" w:cs="Times New Roman"/>
          <w:sz w:val="28"/>
          <w:szCs w:val="28"/>
          <w:lang w:val="en-US"/>
        </w:rPr>
      </w:pPr>
      <w:r w:rsidRPr="00655B85">
        <w:rPr>
          <w:rFonts w:ascii="Times New Roman" w:hAnsi="Times New Roman" w:cs="Times New Roman"/>
          <w:sz w:val="28"/>
          <w:szCs w:val="28"/>
          <w:lang w:val="en-US"/>
        </w:rPr>
        <w:t>(i)</w:t>
      </w:r>
      <w:r w:rsidRPr="00655B85">
        <w:rPr>
          <w:rFonts w:ascii="Times New Roman" w:hAnsi="Times New Roman" w:cs="Times New Roman"/>
          <w:sz w:val="28"/>
          <w:szCs w:val="28"/>
        </w:rPr>
        <w:t xml:space="preserve"> </w:t>
      </w:r>
      <w:r w:rsidR="004D4F4F" w:rsidRPr="00655B85">
        <w:rPr>
          <w:rFonts w:ascii="Times New Roman" w:hAnsi="Times New Roman" w:cs="Times New Roman"/>
          <w:sz w:val="28"/>
          <w:szCs w:val="28"/>
        </w:rPr>
        <w:t>In terms of the loan contract entered into between Capitec and its customer</w:t>
      </w:r>
      <w:r w:rsidR="00CC7717" w:rsidRPr="00655B85">
        <w:rPr>
          <w:rFonts w:ascii="Times New Roman" w:hAnsi="Times New Roman" w:cs="Times New Roman"/>
          <w:sz w:val="28"/>
          <w:szCs w:val="28"/>
        </w:rPr>
        <w:t>s,</w:t>
      </w:r>
      <w:r w:rsidR="004D4F4F" w:rsidRPr="00655B85">
        <w:rPr>
          <w:rFonts w:ascii="Times New Roman" w:hAnsi="Times New Roman" w:cs="Times New Roman"/>
          <w:sz w:val="28"/>
          <w:szCs w:val="28"/>
        </w:rPr>
        <w:t xml:space="preserve"> the loan cover was supplied free of charge. </w:t>
      </w:r>
      <w:r w:rsidR="004D4F4F" w:rsidRPr="00655B85">
        <w:rPr>
          <w:rFonts w:ascii="Times New Roman" w:hAnsi="Times New Roman" w:cs="Times New Roman"/>
          <w:sz w:val="28"/>
          <w:szCs w:val="28"/>
          <w:lang w:val="en-US"/>
        </w:rPr>
        <w:t xml:space="preserve">The Pre-Agreement Statement and Quotation for Credit Agreements </w:t>
      </w:r>
      <w:r w:rsidR="000A087B" w:rsidRPr="00655B85">
        <w:rPr>
          <w:rFonts w:ascii="Times New Roman" w:hAnsi="Times New Roman" w:cs="Times New Roman"/>
          <w:sz w:val="28"/>
          <w:szCs w:val="28"/>
          <w:lang w:val="en-US"/>
        </w:rPr>
        <w:t>expressly stipulates</w:t>
      </w:r>
      <w:r w:rsidRPr="00655B85">
        <w:rPr>
          <w:rFonts w:ascii="Times New Roman" w:hAnsi="Times New Roman" w:cs="Times New Roman"/>
          <w:sz w:val="28"/>
          <w:szCs w:val="28"/>
          <w:lang w:val="en-US"/>
        </w:rPr>
        <w:t xml:space="preserve"> that ‘no credit life insurance or optional insurance is charged’</w:t>
      </w:r>
      <w:r w:rsidRPr="009C4F01">
        <w:rPr>
          <w:rFonts w:ascii="Times New Roman" w:hAnsi="Times New Roman" w:cs="Times New Roman"/>
          <w:sz w:val="28"/>
          <w:szCs w:val="28"/>
          <w:lang w:val="en-US"/>
        </w:rPr>
        <w:t>.</w:t>
      </w:r>
      <w:r>
        <w:rPr>
          <w:rFonts w:ascii="Times New Roman" w:hAnsi="Times New Roman" w:cs="Times New Roman"/>
          <w:sz w:val="28"/>
          <w:szCs w:val="28"/>
        </w:rPr>
        <w:t xml:space="preserve"> </w:t>
      </w:r>
    </w:p>
    <w:p w14:paraId="6487E0BC" w14:textId="082E3F71" w:rsidR="00676B3D" w:rsidRPr="00D50ACF" w:rsidRDefault="00676B3D" w:rsidP="00676B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(ii) </w:t>
      </w:r>
      <w:r w:rsidRPr="009C4F01">
        <w:rPr>
          <w:rFonts w:ascii="Times New Roman" w:hAnsi="Times New Roman" w:cs="Times New Roman"/>
          <w:sz w:val="28"/>
          <w:szCs w:val="28"/>
        </w:rPr>
        <w:t>Clause 4</w:t>
      </w:r>
      <w:r>
        <w:rPr>
          <w:rFonts w:ascii="Times New Roman" w:hAnsi="Times New Roman" w:cs="Times New Roman"/>
          <w:sz w:val="28"/>
          <w:szCs w:val="28"/>
        </w:rPr>
        <w:t xml:space="preserve"> of the term loan contract </w:t>
      </w:r>
      <w:r w:rsidRPr="009C4F01">
        <w:rPr>
          <w:rFonts w:ascii="Times New Roman" w:hAnsi="Times New Roman" w:cs="Times New Roman"/>
          <w:sz w:val="28"/>
          <w:szCs w:val="28"/>
        </w:rPr>
        <w:t>stipulates, to the extent that it is relevant, that:</w:t>
      </w:r>
    </w:p>
    <w:p w14:paraId="4BC570A0" w14:textId="77777777" w:rsidR="00676B3D" w:rsidRPr="004623D1" w:rsidRDefault="00676B3D" w:rsidP="00676B3D">
      <w:pPr>
        <w:spacing w:after="0" w:line="360" w:lineRule="auto"/>
        <w:jc w:val="both"/>
        <w:rPr>
          <w:rFonts w:ascii="Times New Roman" w:hAnsi="Times New Roman" w:cs="Times New Roman"/>
          <w:sz w:val="24"/>
          <w:szCs w:val="24"/>
        </w:rPr>
      </w:pPr>
      <w:r w:rsidRPr="004623D1">
        <w:rPr>
          <w:rFonts w:ascii="Times New Roman" w:hAnsi="Times New Roman" w:cs="Times New Roman"/>
          <w:sz w:val="24"/>
          <w:szCs w:val="24"/>
        </w:rPr>
        <w:lastRenderedPageBreak/>
        <w:t>‘4</w:t>
      </w:r>
      <w:r w:rsidRPr="004623D1">
        <w:rPr>
          <w:rFonts w:ascii="Times New Roman" w:hAnsi="Times New Roman" w:cs="Times New Roman"/>
          <w:sz w:val="24"/>
          <w:szCs w:val="24"/>
        </w:rPr>
        <w:tab/>
        <w:t>INTEREST AND FEES</w:t>
      </w:r>
    </w:p>
    <w:p w14:paraId="707E8C47" w14:textId="2A0B8A95" w:rsidR="00676B3D" w:rsidRPr="004623D1" w:rsidRDefault="00676B3D" w:rsidP="00676B3D">
      <w:pPr>
        <w:spacing w:after="0" w:line="360" w:lineRule="auto"/>
        <w:jc w:val="both"/>
        <w:rPr>
          <w:rFonts w:ascii="Times New Roman" w:hAnsi="Times New Roman" w:cs="Times New Roman"/>
          <w:sz w:val="24"/>
          <w:szCs w:val="24"/>
        </w:rPr>
      </w:pPr>
      <w:r w:rsidRPr="004623D1">
        <w:rPr>
          <w:rFonts w:ascii="Times New Roman" w:hAnsi="Times New Roman" w:cs="Times New Roman"/>
          <w:sz w:val="24"/>
          <w:szCs w:val="24"/>
        </w:rPr>
        <w:t xml:space="preserve">4.1 </w:t>
      </w:r>
      <w:r w:rsidRPr="004623D1">
        <w:rPr>
          <w:rFonts w:ascii="Times New Roman" w:hAnsi="Times New Roman" w:cs="Times New Roman"/>
          <w:sz w:val="24"/>
          <w:szCs w:val="24"/>
        </w:rPr>
        <w:tab/>
        <w:t>. . . Interest will only be charged on amounts actually lent and advanced to you. The interest rate is a fixed one.</w:t>
      </w:r>
    </w:p>
    <w:p w14:paraId="41D87E0C" w14:textId="6538E16A" w:rsidR="00676B3D" w:rsidRPr="004623D1" w:rsidRDefault="00676B3D" w:rsidP="00676B3D">
      <w:pPr>
        <w:spacing w:after="0" w:line="360" w:lineRule="auto"/>
        <w:jc w:val="both"/>
        <w:rPr>
          <w:rFonts w:ascii="Times New Roman" w:hAnsi="Times New Roman" w:cs="Times New Roman"/>
          <w:sz w:val="24"/>
          <w:szCs w:val="24"/>
        </w:rPr>
      </w:pPr>
      <w:r w:rsidRPr="004623D1">
        <w:rPr>
          <w:rFonts w:ascii="Times New Roman" w:hAnsi="Times New Roman" w:cs="Times New Roman"/>
          <w:sz w:val="24"/>
          <w:szCs w:val="24"/>
        </w:rPr>
        <w:t xml:space="preserve">4.2. </w:t>
      </w:r>
      <w:r w:rsidRPr="004623D1">
        <w:rPr>
          <w:rFonts w:ascii="Times New Roman" w:hAnsi="Times New Roman" w:cs="Times New Roman"/>
          <w:sz w:val="24"/>
          <w:szCs w:val="24"/>
        </w:rPr>
        <w:tab/>
        <w:t>. . . The monthly service fee will be levied on the same date as instalments as described in Section A of this agreement.</w:t>
      </w:r>
    </w:p>
    <w:p w14:paraId="266D6DCE" w14:textId="12FDFF90" w:rsidR="00676B3D" w:rsidRPr="00B67EF0" w:rsidRDefault="00676B3D" w:rsidP="00676B3D">
      <w:pPr>
        <w:spacing w:after="0" w:line="360" w:lineRule="auto"/>
        <w:jc w:val="both"/>
        <w:rPr>
          <w:rFonts w:ascii="Times New Roman" w:hAnsi="Times New Roman" w:cs="Times New Roman"/>
          <w:sz w:val="28"/>
          <w:szCs w:val="28"/>
          <w:lang w:val="en-US"/>
        </w:rPr>
      </w:pPr>
      <w:r w:rsidRPr="004623D1">
        <w:rPr>
          <w:rFonts w:ascii="Times New Roman" w:hAnsi="Times New Roman" w:cs="Times New Roman"/>
          <w:sz w:val="24"/>
          <w:szCs w:val="24"/>
          <w:lang w:val="en-US"/>
        </w:rPr>
        <w:t>In terms of Section A of the loan contract, the annual interest rate is 31.750% and the monthly service fee is R57.00</w:t>
      </w:r>
      <w:r w:rsidRPr="004623D1">
        <w:rPr>
          <w:rFonts w:ascii="Times New Roman" w:hAnsi="Times New Roman" w:cs="Times New Roman"/>
          <w:sz w:val="24"/>
          <w:szCs w:val="24"/>
        </w:rPr>
        <w:t xml:space="preserve">, and that </w:t>
      </w:r>
      <w:r w:rsidRPr="004623D1">
        <w:rPr>
          <w:rFonts w:ascii="Times New Roman" w:hAnsi="Times New Roman" w:cs="Times New Roman"/>
          <w:sz w:val="24"/>
          <w:szCs w:val="24"/>
          <w:lang w:val="en-US"/>
        </w:rPr>
        <w:t>‘no credit life insurance or optional insurance is charged</w:t>
      </w:r>
      <w:r w:rsidR="00225005">
        <w:rPr>
          <w:rFonts w:ascii="Times New Roman" w:hAnsi="Times New Roman" w:cs="Times New Roman"/>
          <w:sz w:val="24"/>
          <w:szCs w:val="24"/>
          <w:lang w:val="en-US"/>
        </w:rPr>
        <w:t>.</w:t>
      </w:r>
      <w:r w:rsidRPr="004623D1">
        <w:rPr>
          <w:rFonts w:ascii="Times New Roman" w:hAnsi="Times New Roman" w:cs="Times New Roman"/>
          <w:sz w:val="24"/>
          <w:szCs w:val="24"/>
          <w:lang w:val="en-US"/>
        </w:rPr>
        <w:t>’</w:t>
      </w:r>
    </w:p>
    <w:p w14:paraId="4F1A3833" w14:textId="1B88C4A7" w:rsidR="00676B3D" w:rsidRPr="009C4F01" w:rsidRDefault="00676B3D" w:rsidP="00676B3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(iii) </w:t>
      </w:r>
      <w:r w:rsidRPr="009C4F01">
        <w:rPr>
          <w:rFonts w:ascii="Times New Roman" w:hAnsi="Times New Roman" w:cs="Times New Roman"/>
          <w:sz w:val="28"/>
          <w:szCs w:val="28"/>
          <w:lang w:val="en-US"/>
        </w:rPr>
        <w:t xml:space="preserve">Clause 13 </w:t>
      </w:r>
      <w:r w:rsidR="00225005">
        <w:rPr>
          <w:rFonts w:ascii="Times New Roman" w:hAnsi="Times New Roman" w:cs="Times New Roman"/>
          <w:sz w:val="28"/>
          <w:szCs w:val="28"/>
        </w:rPr>
        <w:t xml:space="preserve">of the term loan contract </w:t>
      </w:r>
      <w:r w:rsidRPr="009C4F01">
        <w:rPr>
          <w:rFonts w:ascii="Times New Roman" w:hAnsi="Times New Roman" w:cs="Times New Roman"/>
          <w:sz w:val="28"/>
          <w:szCs w:val="28"/>
          <w:lang w:val="en-US"/>
        </w:rPr>
        <w:t xml:space="preserve">provides for the loan cover and it stipulates, </w:t>
      </w:r>
      <w:r w:rsidRPr="009C4F01">
        <w:rPr>
          <w:rFonts w:ascii="Times New Roman" w:hAnsi="Times New Roman" w:cs="Times New Roman"/>
          <w:sz w:val="28"/>
          <w:szCs w:val="28"/>
        </w:rPr>
        <w:t>to the extent that it is relevant, that:</w:t>
      </w:r>
    </w:p>
    <w:p w14:paraId="3BEAD77E" w14:textId="6F32718E" w:rsidR="00676B3D" w:rsidRPr="004623D1" w:rsidRDefault="00676B3D" w:rsidP="00676B3D">
      <w:pPr>
        <w:spacing w:after="0" w:line="360" w:lineRule="auto"/>
        <w:jc w:val="both"/>
        <w:rPr>
          <w:rFonts w:ascii="Times New Roman" w:hAnsi="Times New Roman" w:cs="Times New Roman"/>
          <w:sz w:val="24"/>
          <w:szCs w:val="24"/>
          <w:lang w:val="en-US"/>
        </w:rPr>
      </w:pPr>
      <w:r w:rsidRPr="004623D1">
        <w:rPr>
          <w:rFonts w:ascii="Times New Roman" w:hAnsi="Times New Roman" w:cs="Times New Roman"/>
          <w:sz w:val="24"/>
          <w:szCs w:val="24"/>
          <w:lang w:val="en-US"/>
        </w:rPr>
        <w:t xml:space="preserve">‘13 </w:t>
      </w:r>
      <w:r w:rsidRPr="004623D1">
        <w:rPr>
          <w:rFonts w:ascii="Times New Roman" w:hAnsi="Times New Roman" w:cs="Times New Roman"/>
          <w:sz w:val="24"/>
          <w:szCs w:val="24"/>
          <w:lang w:val="en-US"/>
        </w:rPr>
        <w:tab/>
        <w:t>LOAN COVER</w:t>
      </w:r>
    </w:p>
    <w:p w14:paraId="7DBC7709" w14:textId="2121B945" w:rsidR="00676B3D" w:rsidRPr="00B67EF0" w:rsidRDefault="00676B3D" w:rsidP="00676B3D">
      <w:pPr>
        <w:spacing w:after="0" w:line="360" w:lineRule="auto"/>
        <w:jc w:val="both"/>
        <w:rPr>
          <w:rFonts w:ascii="Times New Roman" w:hAnsi="Times New Roman" w:cs="Times New Roman"/>
          <w:sz w:val="28"/>
          <w:szCs w:val="28"/>
        </w:rPr>
      </w:pPr>
      <w:r w:rsidRPr="004623D1">
        <w:rPr>
          <w:rFonts w:ascii="Times New Roman" w:hAnsi="Times New Roman" w:cs="Times New Roman"/>
          <w:sz w:val="24"/>
          <w:szCs w:val="24"/>
        </w:rPr>
        <w:t xml:space="preserve">13.4 </w:t>
      </w:r>
      <w:r w:rsidRPr="004623D1">
        <w:rPr>
          <w:rFonts w:ascii="Times New Roman" w:hAnsi="Times New Roman" w:cs="Times New Roman"/>
          <w:sz w:val="24"/>
          <w:szCs w:val="24"/>
        </w:rPr>
        <w:tab/>
        <w:t>We do not charge any fees for the cover.’</w:t>
      </w:r>
    </w:p>
    <w:p w14:paraId="1B163D7F" w14:textId="3DD598FB" w:rsidR="00676B3D" w:rsidRPr="006524C3" w:rsidRDefault="00676B3D" w:rsidP="00676B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(iv) </w:t>
      </w:r>
      <w:r w:rsidRPr="006524C3">
        <w:rPr>
          <w:rFonts w:ascii="Times New Roman" w:hAnsi="Times New Roman" w:cs="Times New Roman"/>
          <w:sz w:val="28"/>
          <w:szCs w:val="28"/>
        </w:rPr>
        <w:t>In terms of Capitec’s 2016 Integrated Annual Report</w:t>
      </w:r>
      <w:r>
        <w:rPr>
          <w:rFonts w:ascii="Times New Roman" w:hAnsi="Times New Roman" w:cs="Times New Roman"/>
          <w:sz w:val="28"/>
          <w:szCs w:val="28"/>
        </w:rPr>
        <w:t xml:space="preserve">, the </w:t>
      </w:r>
      <w:r w:rsidRPr="00B67EF0">
        <w:rPr>
          <w:rFonts w:ascii="Times New Roman" w:hAnsi="Times New Roman" w:cs="Times New Roman"/>
          <w:sz w:val="28"/>
          <w:szCs w:val="28"/>
        </w:rPr>
        <w:t>chief financial officer (CFO) states that, ‘</w:t>
      </w:r>
      <w:r w:rsidR="00037C0E">
        <w:rPr>
          <w:rFonts w:ascii="Times New Roman" w:hAnsi="Times New Roman" w:cs="Times New Roman"/>
          <w:sz w:val="28"/>
          <w:szCs w:val="28"/>
        </w:rPr>
        <w:t>[w]</w:t>
      </w:r>
      <w:r w:rsidRPr="00B67EF0">
        <w:rPr>
          <w:rFonts w:ascii="Times New Roman" w:hAnsi="Times New Roman" w:cs="Times New Roman"/>
          <w:sz w:val="28"/>
          <w:szCs w:val="28"/>
        </w:rPr>
        <w:t xml:space="preserve">e continue to insure our book against events relating to retrenchment (non-government) and the death of all our clients. The full value of any outstanding loan is insured. . . This insurance protects Capitec from bad debts, but also benefits our clients. When retrenched, our clients have a safety </w:t>
      </w:r>
      <w:r w:rsidRPr="00655B85">
        <w:rPr>
          <w:rFonts w:ascii="Times New Roman" w:hAnsi="Times New Roman" w:cs="Times New Roman"/>
          <w:sz w:val="28"/>
          <w:szCs w:val="28"/>
        </w:rPr>
        <w:t xml:space="preserve">buffer and in the case of death, Capitec does not claim against their deceased estates. </w:t>
      </w:r>
      <w:r w:rsidRPr="00655B85">
        <w:rPr>
          <w:rFonts w:ascii="Times New Roman" w:hAnsi="Times New Roman" w:cs="Times New Roman"/>
          <w:i/>
          <w:sz w:val="28"/>
          <w:szCs w:val="28"/>
        </w:rPr>
        <w:t>We do not currently charge our clients credit life or retrenchment insurance as this is built into the interest rate we charge our clients</w:t>
      </w:r>
      <w:r w:rsidRPr="00655B85">
        <w:rPr>
          <w:rFonts w:ascii="Times New Roman" w:hAnsi="Times New Roman" w:cs="Times New Roman"/>
          <w:sz w:val="28"/>
          <w:szCs w:val="28"/>
        </w:rPr>
        <w:t xml:space="preserve"> . . .’</w:t>
      </w:r>
      <w:r w:rsidR="00D636EF" w:rsidRPr="00655B85">
        <w:rPr>
          <w:rFonts w:ascii="Times New Roman" w:hAnsi="Times New Roman" w:cs="Times New Roman"/>
          <w:sz w:val="28"/>
          <w:szCs w:val="28"/>
        </w:rPr>
        <w:t>.</w:t>
      </w:r>
      <w:r w:rsidRPr="00655B85">
        <w:rPr>
          <w:rFonts w:ascii="Times New Roman" w:hAnsi="Times New Roman" w:cs="Times New Roman"/>
          <w:sz w:val="28"/>
          <w:szCs w:val="28"/>
        </w:rPr>
        <w:t xml:space="preserve"> </w:t>
      </w:r>
      <w:r w:rsidR="00C546C4" w:rsidRPr="00655B85">
        <w:rPr>
          <w:rFonts w:ascii="Times New Roman" w:hAnsi="Times New Roman" w:cs="Times New Roman"/>
          <w:sz w:val="28"/>
          <w:szCs w:val="28"/>
        </w:rPr>
        <w:t>(Own emphasis</w:t>
      </w:r>
      <w:r w:rsidR="00D636EF" w:rsidRPr="00655B85">
        <w:rPr>
          <w:rFonts w:ascii="Times New Roman" w:hAnsi="Times New Roman" w:cs="Times New Roman"/>
          <w:sz w:val="28"/>
          <w:szCs w:val="28"/>
        </w:rPr>
        <w:t>.</w:t>
      </w:r>
      <w:r w:rsidR="00C546C4" w:rsidRPr="00655B85">
        <w:rPr>
          <w:rFonts w:ascii="Times New Roman" w:hAnsi="Times New Roman" w:cs="Times New Roman"/>
          <w:sz w:val="28"/>
          <w:szCs w:val="28"/>
        </w:rPr>
        <w:t>)</w:t>
      </w:r>
      <w:r w:rsidR="00D636EF" w:rsidRPr="00655B85">
        <w:rPr>
          <w:rFonts w:ascii="Times New Roman" w:hAnsi="Times New Roman" w:cs="Times New Roman"/>
          <w:sz w:val="28"/>
          <w:szCs w:val="28"/>
        </w:rPr>
        <w:t xml:space="preserve"> </w:t>
      </w:r>
      <w:r w:rsidRPr="00655B85">
        <w:rPr>
          <w:rFonts w:ascii="Times New Roman" w:hAnsi="Times New Roman" w:cs="Times New Roman"/>
          <w:sz w:val="28"/>
          <w:szCs w:val="28"/>
        </w:rPr>
        <w:t>This emphatic assurance by the CFO that Capitec does not charge clients for insurance</w:t>
      </w:r>
      <w:r w:rsidRPr="00B67EF0">
        <w:rPr>
          <w:rFonts w:ascii="Times New Roman" w:hAnsi="Times New Roman" w:cs="Times New Roman"/>
          <w:sz w:val="28"/>
          <w:szCs w:val="28"/>
        </w:rPr>
        <w:t xml:space="preserve"> cover again evidences that the loan cover was supplied for no consideration. </w:t>
      </w:r>
    </w:p>
    <w:p w14:paraId="3F4203A2" w14:textId="3D6EE9AF" w:rsidR="00676B3D" w:rsidRDefault="00676B3D" w:rsidP="00676B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(v) </w:t>
      </w:r>
      <w:r w:rsidRPr="00B67EF0">
        <w:rPr>
          <w:rFonts w:ascii="Times New Roman" w:hAnsi="Times New Roman" w:cs="Times New Roman"/>
          <w:sz w:val="28"/>
          <w:szCs w:val="28"/>
        </w:rPr>
        <w:t xml:space="preserve">The supply of credit is regulated by the </w:t>
      </w:r>
      <w:r w:rsidR="00D636EF">
        <w:rPr>
          <w:rFonts w:ascii="Times New Roman" w:hAnsi="Times New Roman" w:cs="Times New Roman"/>
          <w:sz w:val="28"/>
          <w:szCs w:val="28"/>
          <w:lang w:val="en-US"/>
        </w:rPr>
        <w:t>National Credit Act</w:t>
      </w:r>
      <w:r w:rsidR="00D636EF" w:rsidRPr="009C4F01">
        <w:rPr>
          <w:rFonts w:ascii="Times New Roman" w:hAnsi="Times New Roman" w:cs="Times New Roman"/>
          <w:sz w:val="28"/>
          <w:szCs w:val="28"/>
          <w:lang w:val="en-US"/>
        </w:rPr>
        <w:t xml:space="preserve"> 34 of 2005</w:t>
      </w:r>
      <w:r w:rsidR="00D636EF" w:rsidRPr="009C4F01">
        <w:rPr>
          <w:rFonts w:ascii="Times New Roman" w:hAnsi="Times New Roman" w:cs="Times New Roman"/>
          <w:sz w:val="28"/>
          <w:szCs w:val="28"/>
        </w:rPr>
        <w:t xml:space="preserve"> </w:t>
      </w:r>
      <w:r w:rsidR="00D636EF">
        <w:rPr>
          <w:rFonts w:ascii="Times New Roman" w:hAnsi="Times New Roman" w:cs="Times New Roman"/>
          <w:sz w:val="28"/>
          <w:szCs w:val="28"/>
          <w:lang w:val="en-US"/>
        </w:rPr>
        <w:t xml:space="preserve">(the </w:t>
      </w:r>
      <w:r w:rsidR="00D636EF" w:rsidRPr="009C4F01">
        <w:rPr>
          <w:rFonts w:ascii="Times New Roman" w:hAnsi="Times New Roman" w:cs="Times New Roman"/>
          <w:sz w:val="28"/>
          <w:szCs w:val="28"/>
          <w:lang w:val="en-US"/>
        </w:rPr>
        <w:t>NCA</w:t>
      </w:r>
      <w:r w:rsidR="00D636EF">
        <w:rPr>
          <w:rFonts w:ascii="Times New Roman" w:hAnsi="Times New Roman" w:cs="Times New Roman"/>
          <w:sz w:val="28"/>
          <w:szCs w:val="28"/>
          <w:lang w:val="en-US"/>
        </w:rPr>
        <w:t>)</w:t>
      </w:r>
      <w:r w:rsidRPr="00B67EF0">
        <w:rPr>
          <w:rFonts w:ascii="Times New Roman" w:hAnsi="Times New Roman" w:cs="Times New Roman"/>
          <w:sz w:val="28"/>
          <w:szCs w:val="28"/>
        </w:rPr>
        <w:t>. Section 101</w:t>
      </w:r>
      <w:r w:rsidR="00037C0E">
        <w:rPr>
          <w:rFonts w:ascii="Times New Roman" w:hAnsi="Times New Roman" w:cs="Times New Roman"/>
          <w:sz w:val="28"/>
          <w:szCs w:val="28"/>
        </w:rPr>
        <w:t xml:space="preserve"> </w:t>
      </w:r>
      <w:r w:rsidRPr="00B67EF0">
        <w:rPr>
          <w:rFonts w:ascii="Times New Roman" w:hAnsi="Times New Roman" w:cs="Times New Roman"/>
          <w:sz w:val="28"/>
          <w:szCs w:val="28"/>
        </w:rPr>
        <w:t>of the NCA</w:t>
      </w:r>
      <w:r w:rsidR="00AD193E">
        <w:rPr>
          <w:rStyle w:val="FootnoteReference"/>
          <w:rFonts w:ascii="Times New Roman" w:hAnsi="Times New Roman" w:cs="Times New Roman"/>
          <w:sz w:val="28"/>
          <w:szCs w:val="28"/>
        </w:rPr>
        <w:footnoteReference w:id="1"/>
      </w:r>
      <w:r w:rsidRPr="00B67EF0">
        <w:rPr>
          <w:rFonts w:ascii="Times New Roman" w:hAnsi="Times New Roman" w:cs="Times New Roman"/>
          <w:sz w:val="28"/>
          <w:szCs w:val="28"/>
        </w:rPr>
        <w:t xml:space="preserve"> provides for a description of the cost of credit. </w:t>
      </w:r>
      <w:r w:rsidRPr="00B67EF0">
        <w:rPr>
          <w:rFonts w:ascii="Times New Roman" w:hAnsi="Times New Roman" w:cs="Times New Roman"/>
          <w:sz w:val="28"/>
          <w:szCs w:val="28"/>
        </w:rPr>
        <w:lastRenderedPageBreak/>
        <w:t>It states that</w:t>
      </w:r>
      <w:r w:rsidR="00AD193E">
        <w:rPr>
          <w:rFonts w:ascii="Times New Roman" w:hAnsi="Times New Roman" w:cs="Times New Roman"/>
          <w:sz w:val="28"/>
          <w:szCs w:val="28"/>
        </w:rPr>
        <w:t>,</w:t>
      </w:r>
      <w:r w:rsidRPr="00B67EF0">
        <w:rPr>
          <w:rFonts w:ascii="Times New Roman" w:hAnsi="Times New Roman" w:cs="Times New Roman"/>
          <w:sz w:val="28"/>
          <w:szCs w:val="28"/>
        </w:rPr>
        <w:t xml:space="preserve"> ‘</w:t>
      </w:r>
      <w:r w:rsidR="00AD193E">
        <w:rPr>
          <w:rFonts w:ascii="Times New Roman" w:hAnsi="Times New Roman" w:cs="Times New Roman"/>
          <w:sz w:val="28"/>
          <w:szCs w:val="28"/>
        </w:rPr>
        <w:t>[a]</w:t>
      </w:r>
      <w:r w:rsidRPr="00B67EF0">
        <w:rPr>
          <w:rFonts w:ascii="Times New Roman" w:hAnsi="Times New Roman" w:cs="Times New Roman"/>
          <w:sz w:val="28"/>
          <w:szCs w:val="28"/>
        </w:rPr>
        <w:t xml:space="preserve"> credit agreement must not require payment by the consumer of </w:t>
      </w:r>
      <w:r w:rsidRPr="00655B85">
        <w:rPr>
          <w:rFonts w:ascii="Times New Roman" w:hAnsi="Times New Roman" w:cs="Times New Roman"/>
          <w:sz w:val="28"/>
          <w:szCs w:val="28"/>
        </w:rPr>
        <w:t>any money or other consideration, except’ as provided for in terms of th</w:t>
      </w:r>
      <w:r w:rsidR="00AD193E" w:rsidRPr="00655B85">
        <w:rPr>
          <w:rFonts w:ascii="Times New Roman" w:hAnsi="Times New Roman" w:cs="Times New Roman"/>
          <w:sz w:val="28"/>
          <w:szCs w:val="28"/>
        </w:rPr>
        <w:t>is</w:t>
      </w:r>
      <w:r w:rsidRPr="00655B85">
        <w:rPr>
          <w:rFonts w:ascii="Times New Roman" w:hAnsi="Times New Roman" w:cs="Times New Roman"/>
          <w:sz w:val="28"/>
          <w:szCs w:val="28"/>
        </w:rPr>
        <w:t xml:space="preserve"> section. Thus, </w:t>
      </w:r>
      <w:r w:rsidR="00B651C4" w:rsidRPr="00655B85">
        <w:rPr>
          <w:rFonts w:ascii="Times New Roman" w:hAnsi="Times New Roman" w:cs="Times New Roman"/>
          <w:sz w:val="28"/>
          <w:szCs w:val="28"/>
        </w:rPr>
        <w:t xml:space="preserve">Capitec, as </w:t>
      </w:r>
      <w:r w:rsidRPr="00655B85">
        <w:rPr>
          <w:rFonts w:ascii="Times New Roman" w:hAnsi="Times New Roman" w:cs="Times New Roman"/>
          <w:sz w:val="28"/>
          <w:szCs w:val="28"/>
        </w:rPr>
        <w:t xml:space="preserve">the credit provider, may only charge the consumer such fees as provided for in terms of the NCA. </w:t>
      </w:r>
      <w:r w:rsidR="009F5768" w:rsidRPr="00655B85">
        <w:rPr>
          <w:rFonts w:ascii="Times New Roman" w:hAnsi="Times New Roman" w:cs="Times New Roman"/>
          <w:sz w:val="28"/>
          <w:szCs w:val="28"/>
        </w:rPr>
        <w:t>Accordingly,</w:t>
      </w:r>
      <w:r w:rsidRPr="00655B85">
        <w:rPr>
          <w:rFonts w:ascii="Times New Roman" w:hAnsi="Times New Roman" w:cs="Times New Roman"/>
          <w:sz w:val="28"/>
          <w:szCs w:val="28"/>
        </w:rPr>
        <w:t xml:space="preserve"> the initiation fee and the service fee </w:t>
      </w:r>
      <w:r w:rsidR="009F5768" w:rsidRPr="00655B85">
        <w:rPr>
          <w:rFonts w:ascii="Times New Roman" w:hAnsi="Times New Roman" w:cs="Times New Roman"/>
          <w:sz w:val="28"/>
          <w:szCs w:val="28"/>
        </w:rPr>
        <w:t xml:space="preserve">in the supply of credit by Capitec </w:t>
      </w:r>
      <w:r w:rsidRPr="00655B85">
        <w:rPr>
          <w:rFonts w:ascii="Times New Roman" w:hAnsi="Times New Roman" w:cs="Times New Roman"/>
          <w:sz w:val="28"/>
          <w:szCs w:val="28"/>
        </w:rPr>
        <w:t>is regulated</w:t>
      </w:r>
      <w:r w:rsidR="009F5768" w:rsidRPr="00655B85">
        <w:rPr>
          <w:rFonts w:ascii="Times New Roman" w:hAnsi="Times New Roman" w:cs="Times New Roman"/>
          <w:sz w:val="28"/>
          <w:szCs w:val="28"/>
        </w:rPr>
        <w:t xml:space="preserve">. </w:t>
      </w:r>
      <w:r w:rsidR="00C546C4" w:rsidRPr="00655B85">
        <w:rPr>
          <w:rFonts w:ascii="Times New Roman" w:hAnsi="Times New Roman" w:cs="Times New Roman"/>
          <w:sz w:val="28"/>
          <w:szCs w:val="28"/>
        </w:rPr>
        <w:t>T</w:t>
      </w:r>
      <w:r w:rsidRPr="00655B85">
        <w:rPr>
          <w:rFonts w:ascii="Times New Roman" w:hAnsi="Times New Roman" w:cs="Times New Roman"/>
          <w:sz w:val="28"/>
          <w:szCs w:val="28"/>
        </w:rPr>
        <w:t xml:space="preserve">hus, these fees cannot include or comprise an amount charged for insurance cover, which is </w:t>
      </w:r>
      <w:r w:rsidR="00C546C4" w:rsidRPr="00655B85">
        <w:rPr>
          <w:rFonts w:ascii="Times New Roman" w:hAnsi="Times New Roman" w:cs="Times New Roman"/>
          <w:sz w:val="28"/>
          <w:szCs w:val="28"/>
        </w:rPr>
        <w:t>s</w:t>
      </w:r>
      <w:r w:rsidRPr="00655B85">
        <w:rPr>
          <w:rFonts w:ascii="Times New Roman" w:hAnsi="Times New Roman" w:cs="Times New Roman"/>
          <w:sz w:val="28"/>
          <w:szCs w:val="28"/>
        </w:rPr>
        <w:t>eparately provided for in terms</w:t>
      </w:r>
      <w:r w:rsidRPr="00F35481">
        <w:rPr>
          <w:rFonts w:ascii="Times New Roman" w:hAnsi="Times New Roman" w:cs="Times New Roman"/>
          <w:sz w:val="28"/>
          <w:szCs w:val="28"/>
        </w:rPr>
        <w:t xml:space="preserve"> of s 101(1)</w:t>
      </w:r>
      <w:r w:rsidRPr="00F35481">
        <w:rPr>
          <w:rFonts w:ascii="Times New Roman" w:hAnsi="Times New Roman" w:cs="Times New Roman"/>
          <w:i/>
          <w:sz w:val="28"/>
          <w:szCs w:val="28"/>
        </w:rPr>
        <w:t>(e)</w:t>
      </w:r>
      <w:r w:rsidRPr="00F35481">
        <w:rPr>
          <w:rFonts w:ascii="Times New Roman" w:hAnsi="Times New Roman" w:cs="Times New Roman"/>
          <w:sz w:val="28"/>
          <w:szCs w:val="28"/>
        </w:rPr>
        <w:t xml:space="preserve"> read with s 106</w:t>
      </w:r>
      <w:r w:rsidR="00AD193E" w:rsidRPr="00F35481">
        <w:rPr>
          <w:rFonts w:ascii="Times New Roman" w:hAnsi="Times New Roman" w:cs="Times New Roman"/>
          <w:sz w:val="28"/>
          <w:szCs w:val="28"/>
        </w:rPr>
        <w:t xml:space="preserve"> of the NCA</w:t>
      </w:r>
      <w:r w:rsidRPr="00F35481">
        <w:rPr>
          <w:rFonts w:ascii="Times New Roman" w:hAnsi="Times New Roman" w:cs="Times New Roman"/>
          <w:sz w:val="28"/>
          <w:szCs w:val="28"/>
        </w:rPr>
        <w:t>.</w:t>
      </w:r>
    </w:p>
    <w:p w14:paraId="4EFB4491" w14:textId="77777777" w:rsidR="00786B7A" w:rsidRPr="00B67EF0" w:rsidRDefault="00786B7A" w:rsidP="00676B3D">
      <w:pPr>
        <w:spacing w:after="0" w:line="360" w:lineRule="auto"/>
        <w:jc w:val="both"/>
        <w:rPr>
          <w:rFonts w:ascii="Times New Roman" w:hAnsi="Times New Roman" w:cs="Times New Roman"/>
          <w:sz w:val="28"/>
          <w:szCs w:val="28"/>
        </w:rPr>
      </w:pPr>
    </w:p>
    <w:p w14:paraId="1E5B33E1" w14:textId="00D4BDE1" w:rsidR="00676B3D" w:rsidRPr="00B67EF0" w:rsidRDefault="00D22872" w:rsidP="00676B3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[28</w:t>
      </w:r>
      <w:r w:rsidR="00786B7A">
        <w:rPr>
          <w:rFonts w:ascii="Times New Roman" w:hAnsi="Times New Roman" w:cs="Times New Roman"/>
          <w:sz w:val="28"/>
          <w:szCs w:val="28"/>
          <w:lang w:val="en-US"/>
        </w:rPr>
        <w:t>]</w:t>
      </w:r>
      <w:r w:rsidR="00786B7A">
        <w:rPr>
          <w:rFonts w:ascii="Times New Roman" w:hAnsi="Times New Roman" w:cs="Times New Roman"/>
          <w:sz w:val="28"/>
          <w:szCs w:val="28"/>
          <w:lang w:val="en-US"/>
        </w:rPr>
        <w:tab/>
      </w:r>
      <w:r w:rsidR="00676B3D" w:rsidRPr="00B67EF0">
        <w:rPr>
          <w:rFonts w:ascii="Times New Roman" w:hAnsi="Times New Roman" w:cs="Times New Roman"/>
          <w:sz w:val="28"/>
          <w:szCs w:val="28"/>
        </w:rPr>
        <w:t xml:space="preserve">It is common cause that Capitec did not provide </w:t>
      </w:r>
      <w:r w:rsidR="00EB14EC">
        <w:rPr>
          <w:rFonts w:ascii="Times New Roman" w:hAnsi="Times New Roman" w:cs="Times New Roman"/>
          <w:sz w:val="28"/>
          <w:szCs w:val="28"/>
        </w:rPr>
        <w:t xml:space="preserve">credit </w:t>
      </w:r>
      <w:r w:rsidR="00676B3D" w:rsidRPr="00B67EF0">
        <w:rPr>
          <w:rFonts w:ascii="Times New Roman" w:hAnsi="Times New Roman" w:cs="Times New Roman"/>
          <w:sz w:val="28"/>
          <w:szCs w:val="28"/>
        </w:rPr>
        <w:t>insurance in terms of s 106 of the NCA. Instead</w:t>
      </w:r>
      <w:r w:rsidR="00EB14EC">
        <w:rPr>
          <w:rFonts w:ascii="Times New Roman" w:hAnsi="Times New Roman" w:cs="Times New Roman"/>
          <w:sz w:val="28"/>
          <w:szCs w:val="28"/>
        </w:rPr>
        <w:t>,</w:t>
      </w:r>
      <w:r w:rsidR="00676B3D" w:rsidRPr="00B67EF0">
        <w:rPr>
          <w:rFonts w:ascii="Times New Roman" w:hAnsi="Times New Roman" w:cs="Times New Roman"/>
          <w:sz w:val="28"/>
          <w:szCs w:val="28"/>
        </w:rPr>
        <w:t xml:space="preserve"> Capitec opted to provide insurance cover without charge to the consumer</w:t>
      </w:r>
      <w:r w:rsidR="00EB14EC">
        <w:rPr>
          <w:rFonts w:ascii="Times New Roman" w:hAnsi="Times New Roman" w:cs="Times New Roman"/>
          <w:sz w:val="28"/>
          <w:szCs w:val="28"/>
        </w:rPr>
        <w:t>.</w:t>
      </w:r>
      <w:r w:rsidR="00676B3D" w:rsidRPr="00B67EF0">
        <w:rPr>
          <w:rFonts w:ascii="Times New Roman" w:hAnsi="Times New Roman" w:cs="Times New Roman"/>
          <w:sz w:val="28"/>
          <w:szCs w:val="28"/>
        </w:rPr>
        <w:t xml:space="preserve"> </w:t>
      </w:r>
      <w:r w:rsidR="00EB14EC">
        <w:rPr>
          <w:rFonts w:ascii="Times New Roman" w:hAnsi="Times New Roman" w:cs="Times New Roman"/>
          <w:sz w:val="28"/>
          <w:szCs w:val="28"/>
        </w:rPr>
        <w:t>A</w:t>
      </w:r>
      <w:r w:rsidR="00676B3D" w:rsidRPr="00B67EF0">
        <w:rPr>
          <w:rFonts w:ascii="Times New Roman" w:hAnsi="Times New Roman" w:cs="Times New Roman"/>
          <w:sz w:val="28"/>
          <w:szCs w:val="28"/>
        </w:rPr>
        <w:t>nd so</w:t>
      </w:r>
      <w:r w:rsidR="00EB14EC">
        <w:rPr>
          <w:rFonts w:ascii="Times New Roman" w:hAnsi="Times New Roman" w:cs="Times New Roman"/>
          <w:sz w:val="28"/>
          <w:szCs w:val="28"/>
        </w:rPr>
        <w:t>,</w:t>
      </w:r>
      <w:r w:rsidR="00676B3D" w:rsidRPr="00B67EF0">
        <w:rPr>
          <w:rFonts w:ascii="Times New Roman" w:hAnsi="Times New Roman" w:cs="Times New Roman"/>
          <w:sz w:val="28"/>
          <w:szCs w:val="28"/>
        </w:rPr>
        <w:t xml:space="preserve"> </w:t>
      </w:r>
      <w:r w:rsidR="00676B3D">
        <w:rPr>
          <w:rFonts w:ascii="Times New Roman" w:hAnsi="Times New Roman" w:cs="Times New Roman"/>
          <w:sz w:val="28"/>
          <w:szCs w:val="28"/>
        </w:rPr>
        <w:t xml:space="preserve">it </w:t>
      </w:r>
      <w:r w:rsidR="00676B3D" w:rsidRPr="00B67EF0">
        <w:rPr>
          <w:rFonts w:ascii="Times New Roman" w:hAnsi="Times New Roman" w:cs="Times New Roman"/>
          <w:sz w:val="28"/>
          <w:szCs w:val="28"/>
        </w:rPr>
        <w:t xml:space="preserve">did not have to comply with the provisions and regulations in terms of s 106 of the NCA. </w:t>
      </w:r>
      <w:r w:rsidR="00676B3D">
        <w:rPr>
          <w:rFonts w:ascii="Times New Roman" w:hAnsi="Times New Roman" w:cs="Times New Roman"/>
          <w:sz w:val="28"/>
          <w:szCs w:val="28"/>
        </w:rPr>
        <w:t>Thus</w:t>
      </w:r>
      <w:r w:rsidR="00EB14EC">
        <w:rPr>
          <w:rFonts w:ascii="Times New Roman" w:hAnsi="Times New Roman" w:cs="Times New Roman"/>
          <w:sz w:val="28"/>
          <w:szCs w:val="28"/>
        </w:rPr>
        <w:t>,</w:t>
      </w:r>
      <w:r w:rsidR="00676B3D">
        <w:rPr>
          <w:rFonts w:ascii="Times New Roman" w:hAnsi="Times New Roman" w:cs="Times New Roman"/>
          <w:sz w:val="28"/>
          <w:szCs w:val="28"/>
        </w:rPr>
        <w:t xml:space="preserve"> the</w:t>
      </w:r>
      <w:r w:rsidR="00676B3D" w:rsidRPr="00B67EF0">
        <w:rPr>
          <w:rFonts w:ascii="Times New Roman" w:hAnsi="Times New Roman" w:cs="Times New Roman"/>
          <w:sz w:val="28"/>
          <w:szCs w:val="28"/>
        </w:rPr>
        <w:t xml:space="preserve"> initiation fees and the monthly service fees, as regulated under the NCA, could not, in terms of legislation (</w:t>
      </w:r>
      <w:r w:rsidR="00EB14EC">
        <w:rPr>
          <w:rFonts w:ascii="Times New Roman" w:hAnsi="Times New Roman" w:cs="Times New Roman"/>
          <w:sz w:val="28"/>
          <w:szCs w:val="28"/>
        </w:rPr>
        <w:t xml:space="preserve">including </w:t>
      </w:r>
      <w:r w:rsidR="00676B3D" w:rsidRPr="00B67EF0">
        <w:rPr>
          <w:rFonts w:ascii="Times New Roman" w:hAnsi="Times New Roman" w:cs="Times New Roman"/>
          <w:sz w:val="28"/>
          <w:szCs w:val="28"/>
        </w:rPr>
        <w:t>regulations 43 and 44), constitute charges for the loan cover.</w:t>
      </w:r>
      <w:r w:rsidR="00EB14EC">
        <w:rPr>
          <w:rFonts w:ascii="Times New Roman" w:hAnsi="Times New Roman" w:cs="Times New Roman"/>
          <w:sz w:val="28"/>
          <w:szCs w:val="28"/>
        </w:rPr>
        <w:t xml:space="preserve"> </w:t>
      </w:r>
      <w:r w:rsidR="00676B3D" w:rsidRPr="00B67EF0">
        <w:rPr>
          <w:rFonts w:ascii="Times New Roman" w:hAnsi="Times New Roman" w:cs="Times New Roman"/>
          <w:sz w:val="28"/>
          <w:szCs w:val="28"/>
        </w:rPr>
        <w:t xml:space="preserve">Had there been a charge for </w:t>
      </w:r>
      <w:r w:rsidR="004D61E8">
        <w:rPr>
          <w:rFonts w:ascii="Times New Roman" w:hAnsi="Times New Roman" w:cs="Times New Roman"/>
          <w:sz w:val="28"/>
          <w:szCs w:val="28"/>
        </w:rPr>
        <w:t xml:space="preserve">the </w:t>
      </w:r>
      <w:r w:rsidR="00676B3D" w:rsidRPr="00B67EF0">
        <w:rPr>
          <w:rFonts w:ascii="Times New Roman" w:hAnsi="Times New Roman" w:cs="Times New Roman"/>
          <w:sz w:val="28"/>
          <w:szCs w:val="28"/>
        </w:rPr>
        <w:t xml:space="preserve">loan cover, Capitec would have had to comply with s 106 of the NCA. It avoided </w:t>
      </w:r>
      <w:r w:rsidR="00676B3D" w:rsidRPr="00655B85">
        <w:rPr>
          <w:rFonts w:ascii="Times New Roman" w:hAnsi="Times New Roman" w:cs="Times New Roman"/>
          <w:sz w:val="28"/>
          <w:szCs w:val="28"/>
        </w:rPr>
        <w:t xml:space="preserve">that </w:t>
      </w:r>
      <w:r w:rsidR="004D61E8" w:rsidRPr="00655B85">
        <w:rPr>
          <w:rFonts w:ascii="Times New Roman" w:hAnsi="Times New Roman" w:cs="Times New Roman"/>
          <w:sz w:val="28"/>
          <w:szCs w:val="28"/>
        </w:rPr>
        <w:t xml:space="preserve">obligation </w:t>
      </w:r>
      <w:r w:rsidR="00676B3D" w:rsidRPr="00655B85">
        <w:rPr>
          <w:rFonts w:ascii="Times New Roman" w:hAnsi="Times New Roman" w:cs="Times New Roman"/>
          <w:sz w:val="28"/>
          <w:szCs w:val="28"/>
        </w:rPr>
        <w:t>by electing</w:t>
      </w:r>
      <w:r w:rsidR="00676B3D" w:rsidRPr="00B67EF0">
        <w:rPr>
          <w:rFonts w:ascii="Times New Roman" w:hAnsi="Times New Roman" w:cs="Times New Roman"/>
          <w:sz w:val="28"/>
          <w:szCs w:val="28"/>
        </w:rPr>
        <w:t xml:space="preserve"> not to charge for the loan cover, and in this regard repeatedly reassured the customer that there is no fee charged for the loan cover.</w:t>
      </w:r>
    </w:p>
    <w:p w14:paraId="2BE20E9D" w14:textId="77777777" w:rsidR="00676B3D" w:rsidRPr="00B67EF0" w:rsidRDefault="00676B3D" w:rsidP="00676B3D">
      <w:pPr>
        <w:spacing w:after="0" w:line="360" w:lineRule="auto"/>
        <w:jc w:val="both"/>
        <w:rPr>
          <w:rFonts w:ascii="Times New Roman" w:hAnsi="Times New Roman" w:cs="Times New Roman"/>
          <w:sz w:val="28"/>
          <w:szCs w:val="28"/>
        </w:rPr>
      </w:pPr>
    </w:p>
    <w:p w14:paraId="6B4A132C" w14:textId="44E7A61F" w:rsidR="00407F86" w:rsidRDefault="00D22872" w:rsidP="00676B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r w:rsidR="00B33844">
        <w:rPr>
          <w:rFonts w:ascii="Times New Roman" w:hAnsi="Times New Roman" w:cs="Times New Roman"/>
          <w:sz w:val="28"/>
          <w:szCs w:val="28"/>
        </w:rPr>
        <w:t>]</w:t>
      </w:r>
      <w:r w:rsidR="00B33844">
        <w:rPr>
          <w:rFonts w:ascii="Times New Roman" w:hAnsi="Times New Roman" w:cs="Times New Roman"/>
          <w:sz w:val="28"/>
          <w:szCs w:val="28"/>
        </w:rPr>
        <w:tab/>
      </w:r>
      <w:r w:rsidR="00676B3D">
        <w:rPr>
          <w:rFonts w:ascii="Times New Roman" w:hAnsi="Times New Roman" w:cs="Times New Roman"/>
          <w:sz w:val="28"/>
          <w:szCs w:val="28"/>
        </w:rPr>
        <w:t xml:space="preserve">In view of all the aforegoing, the </w:t>
      </w:r>
      <w:r w:rsidR="00676B3D" w:rsidRPr="00B67EF0">
        <w:rPr>
          <w:rFonts w:ascii="Times New Roman" w:hAnsi="Times New Roman" w:cs="Times New Roman"/>
          <w:sz w:val="28"/>
          <w:szCs w:val="28"/>
        </w:rPr>
        <w:t xml:space="preserve">clear and unambiguous terms of the loan contract </w:t>
      </w:r>
      <w:r w:rsidR="00676B3D" w:rsidRPr="00655B85">
        <w:rPr>
          <w:rFonts w:ascii="Times New Roman" w:hAnsi="Times New Roman" w:cs="Times New Roman"/>
          <w:sz w:val="28"/>
          <w:szCs w:val="28"/>
        </w:rPr>
        <w:t>indicate that the client was to receive</w:t>
      </w:r>
      <w:r w:rsidR="00EC37BF" w:rsidRPr="00655B85">
        <w:rPr>
          <w:rFonts w:ascii="Times New Roman" w:hAnsi="Times New Roman" w:cs="Times New Roman"/>
          <w:sz w:val="28"/>
          <w:szCs w:val="28"/>
        </w:rPr>
        <w:t xml:space="preserve"> </w:t>
      </w:r>
      <w:r w:rsidR="00676B3D" w:rsidRPr="00655B85">
        <w:rPr>
          <w:rFonts w:ascii="Times New Roman" w:hAnsi="Times New Roman" w:cs="Times New Roman"/>
          <w:sz w:val="28"/>
          <w:szCs w:val="28"/>
        </w:rPr>
        <w:t>loan cover from Capitec free of</w:t>
      </w:r>
      <w:r w:rsidR="00676B3D" w:rsidRPr="00B67EF0">
        <w:rPr>
          <w:rFonts w:ascii="Times New Roman" w:hAnsi="Times New Roman" w:cs="Times New Roman"/>
          <w:sz w:val="28"/>
          <w:szCs w:val="28"/>
        </w:rPr>
        <w:t xml:space="preserve"> </w:t>
      </w:r>
      <w:r w:rsidR="00676B3D" w:rsidRPr="00B67EF0">
        <w:rPr>
          <w:rFonts w:ascii="Times New Roman" w:hAnsi="Times New Roman" w:cs="Times New Roman"/>
          <w:sz w:val="28"/>
          <w:szCs w:val="28"/>
        </w:rPr>
        <w:lastRenderedPageBreak/>
        <w:t>charge</w:t>
      </w:r>
      <w:r w:rsidR="00676B3D" w:rsidRPr="00655B85">
        <w:rPr>
          <w:rFonts w:ascii="Times New Roman" w:hAnsi="Times New Roman" w:cs="Times New Roman"/>
          <w:sz w:val="28"/>
          <w:szCs w:val="28"/>
        </w:rPr>
        <w:t xml:space="preserve">, ie no consideration was received by Capitec in respect of its supply of </w:t>
      </w:r>
      <w:r w:rsidR="00661A07" w:rsidRPr="00655B85">
        <w:rPr>
          <w:rFonts w:ascii="Times New Roman" w:hAnsi="Times New Roman" w:cs="Times New Roman"/>
          <w:sz w:val="28"/>
          <w:szCs w:val="28"/>
        </w:rPr>
        <w:t xml:space="preserve">the </w:t>
      </w:r>
      <w:r w:rsidR="00676B3D" w:rsidRPr="00655B85">
        <w:rPr>
          <w:rFonts w:ascii="Times New Roman" w:hAnsi="Times New Roman" w:cs="Times New Roman"/>
          <w:sz w:val="28"/>
          <w:szCs w:val="28"/>
        </w:rPr>
        <w:t>loan cover. Therefore, in the absence of a consideration, the supply of the loan cover did not qualify as an ‘enterprise’</w:t>
      </w:r>
      <w:r w:rsidR="00A33DD5" w:rsidRPr="00655B85">
        <w:rPr>
          <w:rFonts w:ascii="Times New Roman" w:hAnsi="Times New Roman" w:cs="Times New Roman"/>
          <w:sz w:val="28"/>
          <w:szCs w:val="28"/>
        </w:rPr>
        <w:t xml:space="preserve"> as envisaged in s 1 of the VAT Act</w:t>
      </w:r>
      <w:r w:rsidR="00407F86" w:rsidRPr="00655B85">
        <w:rPr>
          <w:rFonts w:ascii="Times New Roman" w:hAnsi="Times New Roman" w:cs="Times New Roman"/>
          <w:sz w:val="28"/>
          <w:szCs w:val="28"/>
        </w:rPr>
        <w:t>. It</w:t>
      </w:r>
      <w:r w:rsidR="00676B3D" w:rsidRPr="00655B85">
        <w:rPr>
          <w:rFonts w:ascii="Times New Roman" w:hAnsi="Times New Roman" w:cs="Times New Roman"/>
          <w:sz w:val="28"/>
          <w:szCs w:val="28"/>
        </w:rPr>
        <w:t xml:space="preserve"> was therefore not chargeable with tax in terms of s</w:t>
      </w:r>
      <w:r w:rsidR="00407F86" w:rsidRPr="00655B85">
        <w:rPr>
          <w:rFonts w:ascii="Times New Roman" w:hAnsi="Times New Roman" w:cs="Times New Roman"/>
          <w:sz w:val="28"/>
          <w:szCs w:val="28"/>
        </w:rPr>
        <w:t xml:space="preserve"> </w:t>
      </w:r>
      <w:r w:rsidR="00676B3D" w:rsidRPr="00655B85">
        <w:rPr>
          <w:rFonts w:ascii="Times New Roman" w:hAnsi="Times New Roman" w:cs="Times New Roman"/>
          <w:sz w:val="28"/>
          <w:szCs w:val="28"/>
        </w:rPr>
        <w:t>7(1)</w:t>
      </w:r>
      <w:r w:rsidR="00676B3D" w:rsidRPr="00655B85">
        <w:rPr>
          <w:rFonts w:ascii="Times New Roman" w:hAnsi="Times New Roman" w:cs="Times New Roman"/>
          <w:i/>
          <w:sz w:val="28"/>
          <w:szCs w:val="28"/>
        </w:rPr>
        <w:t>(a)</w:t>
      </w:r>
      <w:r w:rsidR="00676B3D" w:rsidRPr="00655B85">
        <w:rPr>
          <w:rFonts w:ascii="Times New Roman" w:hAnsi="Times New Roman" w:cs="Times New Roman"/>
          <w:sz w:val="28"/>
          <w:szCs w:val="28"/>
        </w:rPr>
        <w:t xml:space="preserve"> of the VAT</w:t>
      </w:r>
      <w:r w:rsidR="00676B3D" w:rsidRPr="00B67EF0">
        <w:rPr>
          <w:rFonts w:ascii="Times New Roman" w:hAnsi="Times New Roman" w:cs="Times New Roman"/>
          <w:sz w:val="28"/>
          <w:szCs w:val="28"/>
        </w:rPr>
        <w:t xml:space="preserve"> Act – which charges tax on supplies in the course or furtherance of an enterprise.</w:t>
      </w:r>
      <w:r w:rsidR="00786B7A">
        <w:rPr>
          <w:rFonts w:ascii="Times New Roman" w:hAnsi="Times New Roman" w:cs="Times New Roman"/>
          <w:sz w:val="28"/>
          <w:szCs w:val="28"/>
        </w:rPr>
        <w:t xml:space="preserve"> </w:t>
      </w:r>
    </w:p>
    <w:p w14:paraId="3788F8D2" w14:textId="77777777" w:rsidR="00407F86" w:rsidRDefault="00407F86" w:rsidP="00676B3D">
      <w:pPr>
        <w:spacing w:after="0" w:line="360" w:lineRule="auto"/>
        <w:jc w:val="both"/>
        <w:rPr>
          <w:rFonts w:ascii="Times New Roman" w:hAnsi="Times New Roman" w:cs="Times New Roman"/>
          <w:sz w:val="28"/>
          <w:szCs w:val="28"/>
        </w:rPr>
      </w:pPr>
    </w:p>
    <w:p w14:paraId="1A5768A4" w14:textId="05973B4A" w:rsidR="00676B3D" w:rsidRPr="00B67EF0" w:rsidRDefault="00B31149" w:rsidP="00676B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r w:rsidR="00407F86">
        <w:rPr>
          <w:rFonts w:ascii="Times New Roman" w:hAnsi="Times New Roman" w:cs="Times New Roman"/>
          <w:sz w:val="28"/>
          <w:szCs w:val="28"/>
        </w:rPr>
        <w:t>]</w:t>
      </w:r>
      <w:r w:rsidR="00407F86">
        <w:rPr>
          <w:rFonts w:ascii="Times New Roman" w:hAnsi="Times New Roman" w:cs="Times New Roman"/>
          <w:sz w:val="28"/>
          <w:szCs w:val="28"/>
        </w:rPr>
        <w:tab/>
      </w:r>
      <w:r w:rsidR="00676B3D">
        <w:rPr>
          <w:rFonts w:ascii="Times New Roman" w:hAnsi="Times New Roman" w:cs="Times New Roman"/>
          <w:sz w:val="28"/>
          <w:szCs w:val="28"/>
          <w:lang w:val="en-US"/>
        </w:rPr>
        <w:t>In terms of the definition of an enterprise in the VAT Act</w:t>
      </w:r>
      <w:r w:rsidR="00407F86">
        <w:rPr>
          <w:rFonts w:ascii="Times New Roman" w:hAnsi="Times New Roman" w:cs="Times New Roman"/>
          <w:sz w:val="28"/>
          <w:szCs w:val="28"/>
          <w:lang w:val="en-US"/>
        </w:rPr>
        <w:t>,</w:t>
      </w:r>
      <w:r w:rsidR="00676B3D">
        <w:rPr>
          <w:rFonts w:ascii="Times New Roman" w:hAnsi="Times New Roman" w:cs="Times New Roman"/>
          <w:sz w:val="28"/>
          <w:szCs w:val="28"/>
          <w:lang w:val="en-US"/>
        </w:rPr>
        <w:t xml:space="preserve"> there is a general requirement that enterprises participating in the VAT system must charge a consideration (</w:t>
      </w:r>
      <w:r w:rsidR="00407F86">
        <w:rPr>
          <w:rFonts w:ascii="Times New Roman" w:hAnsi="Times New Roman" w:cs="Times New Roman"/>
          <w:sz w:val="28"/>
          <w:szCs w:val="28"/>
          <w:lang w:val="en-US"/>
        </w:rPr>
        <w:t xml:space="preserve">or </w:t>
      </w:r>
      <w:r w:rsidR="00676B3D">
        <w:rPr>
          <w:rFonts w:ascii="Times New Roman" w:hAnsi="Times New Roman" w:cs="Times New Roman"/>
          <w:sz w:val="28"/>
          <w:szCs w:val="28"/>
          <w:lang w:val="en-US"/>
        </w:rPr>
        <w:t xml:space="preserve">price) for the goods or services they supply. </w:t>
      </w:r>
      <w:r w:rsidR="00676B3D">
        <w:rPr>
          <w:rFonts w:ascii="Times New Roman" w:hAnsi="Times New Roman" w:cs="Times New Roman"/>
          <w:sz w:val="28"/>
          <w:szCs w:val="28"/>
        </w:rPr>
        <w:t>Thus, the</w:t>
      </w:r>
      <w:r w:rsidR="00676B3D" w:rsidRPr="00B67EF0">
        <w:rPr>
          <w:rFonts w:ascii="Times New Roman" w:hAnsi="Times New Roman" w:cs="Times New Roman"/>
          <w:sz w:val="28"/>
          <w:szCs w:val="28"/>
        </w:rPr>
        <w:t xml:space="preserve"> implication of not meeting this requirement is that supplies made for no consideration are not made in the course or furtherance of an enterprise, and hence, will not be a taxable supply.</w:t>
      </w:r>
      <w:r w:rsidR="00676B3D">
        <w:rPr>
          <w:rFonts w:ascii="Times New Roman" w:hAnsi="Times New Roman" w:cs="Times New Roman"/>
          <w:sz w:val="28"/>
          <w:szCs w:val="28"/>
        </w:rPr>
        <w:t xml:space="preserve"> It is important to </w:t>
      </w:r>
      <w:r w:rsidR="00676B3D" w:rsidRPr="00B67EF0">
        <w:rPr>
          <w:rFonts w:ascii="Times New Roman" w:hAnsi="Times New Roman" w:cs="Times New Roman"/>
          <w:sz w:val="28"/>
          <w:szCs w:val="28"/>
        </w:rPr>
        <w:t>correctly characterise a particular supply as being taxable or not</w:t>
      </w:r>
      <w:r w:rsidR="00407F86">
        <w:rPr>
          <w:rFonts w:ascii="Times New Roman" w:hAnsi="Times New Roman" w:cs="Times New Roman"/>
          <w:sz w:val="28"/>
          <w:szCs w:val="28"/>
        </w:rPr>
        <w:t xml:space="preserve">, </w:t>
      </w:r>
      <w:r w:rsidR="00676B3D" w:rsidRPr="00B67EF0">
        <w:rPr>
          <w:rFonts w:ascii="Times New Roman" w:hAnsi="Times New Roman" w:cs="Times New Roman"/>
          <w:sz w:val="28"/>
          <w:szCs w:val="28"/>
        </w:rPr>
        <w:t xml:space="preserve">because the vendor will generally have a right to deduct the VAT incurred on any goods or services acquired for the purposes of making taxable supplies, but will not be able to do so if the supplies are exempt, out-of-scope, or in connection with any other non-taxable activities conducted by the vendor. </w:t>
      </w:r>
    </w:p>
    <w:p w14:paraId="2656199F" w14:textId="77777777" w:rsidR="00676B3D" w:rsidRPr="00B67EF0" w:rsidRDefault="00676B3D" w:rsidP="00676B3D">
      <w:pPr>
        <w:spacing w:after="0" w:line="360" w:lineRule="auto"/>
        <w:jc w:val="both"/>
        <w:rPr>
          <w:rFonts w:ascii="Times New Roman" w:hAnsi="Times New Roman" w:cs="Times New Roman"/>
          <w:sz w:val="28"/>
          <w:szCs w:val="28"/>
        </w:rPr>
      </w:pPr>
    </w:p>
    <w:p w14:paraId="5507DFBF" w14:textId="6874028F" w:rsidR="00446D4D" w:rsidRPr="00C3414A" w:rsidRDefault="00582D4B" w:rsidP="00815C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00B33844">
        <w:rPr>
          <w:rFonts w:ascii="Times New Roman" w:hAnsi="Times New Roman" w:cs="Times New Roman"/>
          <w:sz w:val="28"/>
          <w:szCs w:val="28"/>
        </w:rPr>
        <w:t>]</w:t>
      </w:r>
      <w:r w:rsidR="00B33844">
        <w:rPr>
          <w:rFonts w:ascii="Times New Roman" w:hAnsi="Times New Roman" w:cs="Times New Roman"/>
          <w:sz w:val="28"/>
          <w:szCs w:val="28"/>
        </w:rPr>
        <w:tab/>
      </w:r>
      <w:r w:rsidR="001468D5">
        <w:rPr>
          <w:rFonts w:ascii="Times New Roman" w:hAnsi="Times New Roman" w:cs="Times New Roman"/>
          <w:sz w:val="28"/>
          <w:szCs w:val="28"/>
        </w:rPr>
        <w:t>It</w:t>
      </w:r>
      <w:r w:rsidR="005A429D">
        <w:rPr>
          <w:rFonts w:ascii="Times New Roman" w:hAnsi="Times New Roman" w:cs="Times New Roman"/>
          <w:sz w:val="28"/>
          <w:szCs w:val="28"/>
        </w:rPr>
        <w:t xml:space="preserve"> is</w:t>
      </w:r>
      <w:r w:rsidR="001468D5">
        <w:rPr>
          <w:rFonts w:ascii="Times New Roman" w:hAnsi="Times New Roman" w:cs="Times New Roman"/>
          <w:sz w:val="28"/>
          <w:szCs w:val="28"/>
        </w:rPr>
        <w:t xml:space="preserve"> important to understand</w:t>
      </w:r>
      <w:r w:rsidR="005A429D">
        <w:rPr>
          <w:rFonts w:ascii="Times New Roman" w:hAnsi="Times New Roman" w:cs="Times New Roman"/>
          <w:sz w:val="28"/>
          <w:szCs w:val="28"/>
        </w:rPr>
        <w:t xml:space="preserve"> the true nature of </w:t>
      </w:r>
      <w:r w:rsidR="001468D5">
        <w:rPr>
          <w:rFonts w:ascii="Times New Roman" w:hAnsi="Times New Roman" w:cs="Times New Roman"/>
          <w:sz w:val="28"/>
          <w:szCs w:val="28"/>
        </w:rPr>
        <w:t xml:space="preserve">the loan cover </w:t>
      </w:r>
      <w:r w:rsidR="000E0AA9">
        <w:rPr>
          <w:rFonts w:ascii="Times New Roman" w:hAnsi="Times New Roman" w:cs="Times New Roman"/>
          <w:sz w:val="28"/>
          <w:szCs w:val="28"/>
        </w:rPr>
        <w:t>that Capitec provided</w:t>
      </w:r>
      <w:r w:rsidR="001468D5">
        <w:rPr>
          <w:rFonts w:ascii="Times New Roman" w:hAnsi="Times New Roman" w:cs="Times New Roman"/>
          <w:sz w:val="28"/>
          <w:szCs w:val="28"/>
        </w:rPr>
        <w:t xml:space="preserve"> </w:t>
      </w:r>
      <w:r w:rsidR="001468D5" w:rsidRPr="00655B85">
        <w:rPr>
          <w:rFonts w:ascii="Times New Roman" w:hAnsi="Times New Roman" w:cs="Times New Roman"/>
          <w:sz w:val="28"/>
          <w:szCs w:val="28"/>
        </w:rPr>
        <w:t>to its clients</w:t>
      </w:r>
      <w:r w:rsidR="005A429D" w:rsidRPr="00655B85">
        <w:rPr>
          <w:rFonts w:ascii="Times New Roman" w:hAnsi="Times New Roman" w:cs="Times New Roman"/>
          <w:sz w:val="28"/>
          <w:szCs w:val="28"/>
        </w:rPr>
        <w:t>, on the one hand,</w:t>
      </w:r>
      <w:r w:rsidR="000E0AA9" w:rsidRPr="00655B85">
        <w:rPr>
          <w:rFonts w:ascii="Times New Roman" w:hAnsi="Times New Roman" w:cs="Times New Roman"/>
          <w:sz w:val="28"/>
          <w:szCs w:val="28"/>
        </w:rPr>
        <w:t xml:space="preserve"> and</w:t>
      </w:r>
      <w:r w:rsidR="00676B3D" w:rsidRPr="00655B85">
        <w:rPr>
          <w:rFonts w:ascii="Times New Roman" w:hAnsi="Times New Roman" w:cs="Times New Roman"/>
          <w:sz w:val="28"/>
          <w:szCs w:val="28"/>
        </w:rPr>
        <w:t xml:space="preserve"> the</w:t>
      </w:r>
      <w:r w:rsidR="005A429D" w:rsidRPr="00655B85">
        <w:rPr>
          <w:rFonts w:ascii="Times New Roman" w:hAnsi="Times New Roman" w:cs="Times New Roman"/>
          <w:sz w:val="28"/>
          <w:szCs w:val="28"/>
        </w:rPr>
        <w:t xml:space="preserve"> credit</w:t>
      </w:r>
      <w:r w:rsidR="001468D5" w:rsidRPr="00655B85">
        <w:rPr>
          <w:rFonts w:ascii="Times New Roman" w:hAnsi="Times New Roman" w:cs="Times New Roman"/>
          <w:sz w:val="28"/>
          <w:szCs w:val="28"/>
        </w:rPr>
        <w:t xml:space="preserve"> insurance </w:t>
      </w:r>
      <w:r w:rsidR="005A429D" w:rsidRPr="00655B85">
        <w:rPr>
          <w:rFonts w:ascii="Times New Roman" w:hAnsi="Times New Roman" w:cs="Times New Roman"/>
          <w:sz w:val="28"/>
          <w:szCs w:val="28"/>
        </w:rPr>
        <w:t>policy</w:t>
      </w:r>
      <w:r w:rsidR="001468D5" w:rsidRPr="00655B85">
        <w:rPr>
          <w:rFonts w:ascii="Times New Roman" w:hAnsi="Times New Roman" w:cs="Times New Roman"/>
          <w:sz w:val="28"/>
          <w:szCs w:val="28"/>
        </w:rPr>
        <w:t xml:space="preserve"> between Capitec and its insur</w:t>
      </w:r>
      <w:r w:rsidR="005012C1" w:rsidRPr="00655B85">
        <w:rPr>
          <w:rFonts w:ascii="Times New Roman" w:hAnsi="Times New Roman" w:cs="Times New Roman"/>
          <w:sz w:val="28"/>
          <w:szCs w:val="28"/>
        </w:rPr>
        <w:t>ers</w:t>
      </w:r>
      <w:r w:rsidR="005A429D" w:rsidRPr="00655B85">
        <w:rPr>
          <w:rFonts w:ascii="Times New Roman" w:hAnsi="Times New Roman" w:cs="Times New Roman"/>
          <w:sz w:val="28"/>
          <w:szCs w:val="28"/>
        </w:rPr>
        <w:t>,</w:t>
      </w:r>
      <w:r w:rsidR="005012C1" w:rsidRPr="00655B85">
        <w:rPr>
          <w:rFonts w:ascii="Times New Roman" w:hAnsi="Times New Roman" w:cs="Times New Roman"/>
          <w:sz w:val="28"/>
          <w:szCs w:val="28"/>
        </w:rPr>
        <w:t xml:space="preserve"> Channel and Guardrisk</w:t>
      </w:r>
      <w:r w:rsidR="005A429D" w:rsidRPr="00655B85">
        <w:rPr>
          <w:rFonts w:ascii="Times New Roman" w:hAnsi="Times New Roman" w:cs="Times New Roman"/>
          <w:sz w:val="28"/>
          <w:szCs w:val="28"/>
        </w:rPr>
        <w:t>, on the other hand</w:t>
      </w:r>
      <w:r w:rsidR="005012C1" w:rsidRPr="00655B85">
        <w:rPr>
          <w:rFonts w:ascii="Times New Roman" w:hAnsi="Times New Roman" w:cs="Times New Roman"/>
          <w:sz w:val="28"/>
          <w:szCs w:val="28"/>
        </w:rPr>
        <w:t xml:space="preserve">. </w:t>
      </w:r>
      <w:r w:rsidR="00815CFD" w:rsidRPr="00655B85">
        <w:rPr>
          <w:rFonts w:ascii="Times New Roman" w:hAnsi="Times New Roman" w:cs="Times New Roman"/>
          <w:sz w:val="28"/>
          <w:szCs w:val="28"/>
        </w:rPr>
        <w:t>In reality</w:t>
      </w:r>
      <w:r w:rsidR="005A429D" w:rsidRPr="00655B85">
        <w:rPr>
          <w:rFonts w:ascii="Times New Roman" w:hAnsi="Times New Roman" w:cs="Times New Roman"/>
          <w:sz w:val="28"/>
          <w:szCs w:val="28"/>
        </w:rPr>
        <w:t>,</w:t>
      </w:r>
      <w:r w:rsidR="00815CFD" w:rsidRPr="00655B85">
        <w:rPr>
          <w:rFonts w:ascii="Times New Roman" w:hAnsi="Times New Roman" w:cs="Times New Roman"/>
          <w:sz w:val="28"/>
          <w:szCs w:val="28"/>
        </w:rPr>
        <w:t xml:space="preserve"> what the insurance contracts show is that there is only one real ordinary insur</w:t>
      </w:r>
      <w:r w:rsidR="00BF73FF" w:rsidRPr="00655B85">
        <w:rPr>
          <w:rFonts w:ascii="Times New Roman" w:hAnsi="Times New Roman" w:cs="Times New Roman"/>
          <w:sz w:val="28"/>
          <w:szCs w:val="28"/>
        </w:rPr>
        <w:t>ance contract</w:t>
      </w:r>
      <w:r w:rsidR="005A429D" w:rsidRPr="00655B85">
        <w:rPr>
          <w:rFonts w:ascii="Times New Roman" w:hAnsi="Times New Roman" w:cs="Times New Roman"/>
          <w:sz w:val="28"/>
          <w:szCs w:val="28"/>
        </w:rPr>
        <w:t>,</w:t>
      </w:r>
      <w:r w:rsidR="00BF73FF" w:rsidRPr="00655B85">
        <w:rPr>
          <w:rFonts w:ascii="Times New Roman" w:hAnsi="Times New Roman" w:cs="Times New Roman"/>
          <w:sz w:val="28"/>
          <w:szCs w:val="28"/>
        </w:rPr>
        <w:t xml:space="preserve"> which is between Capitec and </w:t>
      </w:r>
      <w:r w:rsidR="00815CFD" w:rsidRPr="00655B85">
        <w:rPr>
          <w:rFonts w:ascii="Times New Roman" w:hAnsi="Times New Roman" w:cs="Times New Roman"/>
          <w:sz w:val="28"/>
          <w:szCs w:val="28"/>
        </w:rPr>
        <w:t>its insurers</w:t>
      </w:r>
      <w:r w:rsidR="005A429D" w:rsidRPr="00655B85">
        <w:rPr>
          <w:rFonts w:ascii="Times New Roman" w:hAnsi="Times New Roman" w:cs="Times New Roman"/>
          <w:sz w:val="28"/>
          <w:szCs w:val="28"/>
        </w:rPr>
        <w:t>.</w:t>
      </w:r>
      <w:r w:rsidR="00815CFD" w:rsidRPr="00655B85">
        <w:rPr>
          <w:rFonts w:ascii="Times New Roman" w:hAnsi="Times New Roman" w:cs="Times New Roman"/>
          <w:sz w:val="28"/>
          <w:szCs w:val="28"/>
        </w:rPr>
        <w:t xml:space="preserve"> </w:t>
      </w:r>
      <w:r w:rsidR="005A429D" w:rsidRPr="00655B85">
        <w:rPr>
          <w:rFonts w:ascii="Times New Roman" w:hAnsi="Times New Roman" w:cs="Times New Roman"/>
          <w:sz w:val="28"/>
          <w:szCs w:val="28"/>
        </w:rPr>
        <w:t>A</w:t>
      </w:r>
      <w:r w:rsidR="00815CFD" w:rsidRPr="00655B85">
        <w:rPr>
          <w:rFonts w:ascii="Times New Roman" w:hAnsi="Times New Roman" w:cs="Times New Roman"/>
          <w:sz w:val="28"/>
          <w:szCs w:val="28"/>
        </w:rPr>
        <w:t>nd the purpose of the contract is</w:t>
      </w:r>
      <w:r w:rsidR="00BF73FF" w:rsidRPr="00655B85">
        <w:rPr>
          <w:rFonts w:ascii="Times New Roman" w:hAnsi="Times New Roman" w:cs="Times New Roman"/>
          <w:sz w:val="28"/>
          <w:szCs w:val="28"/>
        </w:rPr>
        <w:t xml:space="preserve"> to cover the credit risk that C</w:t>
      </w:r>
      <w:r w:rsidR="00815CFD" w:rsidRPr="00655B85">
        <w:rPr>
          <w:rFonts w:ascii="Times New Roman" w:hAnsi="Times New Roman" w:cs="Times New Roman"/>
          <w:sz w:val="28"/>
          <w:szCs w:val="28"/>
        </w:rPr>
        <w:t xml:space="preserve">apitec </w:t>
      </w:r>
      <w:r w:rsidR="00815CFD">
        <w:rPr>
          <w:rFonts w:ascii="Times New Roman" w:hAnsi="Times New Roman" w:cs="Times New Roman"/>
          <w:sz w:val="28"/>
          <w:szCs w:val="28"/>
        </w:rPr>
        <w:t>is exposed to in terms of its unsecured lending business. In this scenario the insurance contract has only one consequence</w:t>
      </w:r>
      <w:r w:rsidR="005A429D">
        <w:rPr>
          <w:rFonts w:ascii="Times New Roman" w:hAnsi="Times New Roman" w:cs="Times New Roman"/>
          <w:sz w:val="28"/>
          <w:szCs w:val="28"/>
        </w:rPr>
        <w:t>,</w:t>
      </w:r>
      <w:r w:rsidR="00815CFD">
        <w:rPr>
          <w:rFonts w:ascii="Times New Roman" w:hAnsi="Times New Roman" w:cs="Times New Roman"/>
          <w:sz w:val="28"/>
          <w:szCs w:val="28"/>
        </w:rPr>
        <w:t xml:space="preserve"> but it ben</w:t>
      </w:r>
      <w:r w:rsidR="00BF73FF">
        <w:rPr>
          <w:rFonts w:ascii="Times New Roman" w:hAnsi="Times New Roman" w:cs="Times New Roman"/>
          <w:sz w:val="28"/>
          <w:szCs w:val="28"/>
        </w:rPr>
        <w:t>e</w:t>
      </w:r>
      <w:r w:rsidR="00815CFD">
        <w:rPr>
          <w:rFonts w:ascii="Times New Roman" w:hAnsi="Times New Roman" w:cs="Times New Roman"/>
          <w:sz w:val="28"/>
          <w:szCs w:val="28"/>
        </w:rPr>
        <w:t>fits two parties</w:t>
      </w:r>
      <w:r w:rsidR="00BF73FF">
        <w:rPr>
          <w:rFonts w:ascii="Times New Roman" w:hAnsi="Times New Roman" w:cs="Times New Roman"/>
          <w:sz w:val="28"/>
          <w:szCs w:val="28"/>
        </w:rPr>
        <w:t xml:space="preserve">. </w:t>
      </w:r>
      <w:r w:rsidR="00446D4D">
        <w:rPr>
          <w:rFonts w:ascii="Times New Roman" w:hAnsi="Times New Roman" w:cs="Times New Roman"/>
          <w:sz w:val="28"/>
          <w:szCs w:val="28"/>
        </w:rPr>
        <w:t>S</w:t>
      </w:r>
      <w:r w:rsidR="004154AE">
        <w:rPr>
          <w:rFonts w:ascii="Times New Roman" w:hAnsi="Times New Roman" w:cs="Times New Roman"/>
          <w:sz w:val="28"/>
          <w:szCs w:val="28"/>
        </w:rPr>
        <w:t>imply put</w:t>
      </w:r>
      <w:r w:rsidR="005A429D">
        <w:rPr>
          <w:rFonts w:ascii="Times New Roman" w:hAnsi="Times New Roman" w:cs="Times New Roman"/>
          <w:sz w:val="28"/>
          <w:szCs w:val="28"/>
        </w:rPr>
        <w:t>,</w:t>
      </w:r>
      <w:r w:rsidR="004154AE">
        <w:rPr>
          <w:rFonts w:ascii="Times New Roman" w:hAnsi="Times New Roman" w:cs="Times New Roman"/>
          <w:sz w:val="28"/>
          <w:szCs w:val="28"/>
        </w:rPr>
        <w:t xml:space="preserve"> t</w:t>
      </w:r>
      <w:r w:rsidR="00815CFD">
        <w:rPr>
          <w:rFonts w:ascii="Times New Roman" w:hAnsi="Times New Roman" w:cs="Times New Roman"/>
          <w:sz w:val="28"/>
          <w:szCs w:val="28"/>
        </w:rPr>
        <w:t>he</w:t>
      </w:r>
      <w:r w:rsidR="004154AE">
        <w:rPr>
          <w:rFonts w:ascii="Times New Roman" w:hAnsi="Times New Roman" w:cs="Times New Roman"/>
          <w:sz w:val="28"/>
          <w:szCs w:val="28"/>
        </w:rPr>
        <w:t xml:space="preserve"> benefit is that </w:t>
      </w:r>
      <w:r w:rsidR="005A429D">
        <w:rPr>
          <w:rFonts w:ascii="Times New Roman" w:hAnsi="Times New Roman" w:cs="Times New Roman"/>
          <w:sz w:val="28"/>
          <w:szCs w:val="28"/>
        </w:rPr>
        <w:t>in the event that</w:t>
      </w:r>
      <w:r w:rsidR="00BF73FF">
        <w:rPr>
          <w:rFonts w:ascii="Times New Roman" w:hAnsi="Times New Roman" w:cs="Times New Roman"/>
          <w:sz w:val="28"/>
          <w:szCs w:val="28"/>
        </w:rPr>
        <w:t xml:space="preserve"> C</w:t>
      </w:r>
      <w:r w:rsidR="00815CFD">
        <w:rPr>
          <w:rFonts w:ascii="Times New Roman" w:hAnsi="Times New Roman" w:cs="Times New Roman"/>
          <w:sz w:val="28"/>
          <w:szCs w:val="28"/>
        </w:rPr>
        <w:t>apitec</w:t>
      </w:r>
      <w:r w:rsidR="00BF73FF">
        <w:rPr>
          <w:rFonts w:ascii="Times New Roman" w:hAnsi="Times New Roman" w:cs="Times New Roman"/>
          <w:sz w:val="28"/>
          <w:szCs w:val="28"/>
        </w:rPr>
        <w:t>’</w:t>
      </w:r>
      <w:r w:rsidR="00815CFD">
        <w:rPr>
          <w:rFonts w:ascii="Times New Roman" w:hAnsi="Times New Roman" w:cs="Times New Roman"/>
          <w:sz w:val="28"/>
          <w:szCs w:val="28"/>
        </w:rPr>
        <w:t>s client dies or is retrenched</w:t>
      </w:r>
      <w:r w:rsidR="005A429D">
        <w:rPr>
          <w:rFonts w:ascii="Times New Roman" w:hAnsi="Times New Roman" w:cs="Times New Roman"/>
          <w:sz w:val="28"/>
          <w:szCs w:val="28"/>
        </w:rPr>
        <w:t>,</w:t>
      </w:r>
      <w:r w:rsidR="00815CFD">
        <w:rPr>
          <w:rFonts w:ascii="Times New Roman" w:hAnsi="Times New Roman" w:cs="Times New Roman"/>
          <w:sz w:val="28"/>
          <w:szCs w:val="28"/>
        </w:rPr>
        <w:t xml:space="preserve"> </w:t>
      </w:r>
      <w:r w:rsidR="00BF73FF">
        <w:rPr>
          <w:rFonts w:ascii="Times New Roman" w:hAnsi="Times New Roman" w:cs="Times New Roman"/>
          <w:sz w:val="28"/>
          <w:szCs w:val="28"/>
        </w:rPr>
        <w:t xml:space="preserve">the risk becomes </w:t>
      </w:r>
      <w:r w:rsidR="005A429D">
        <w:rPr>
          <w:rFonts w:ascii="Times New Roman" w:hAnsi="Times New Roman" w:cs="Times New Roman"/>
          <w:sz w:val="28"/>
          <w:szCs w:val="28"/>
        </w:rPr>
        <w:t>incurred</w:t>
      </w:r>
      <w:r w:rsidR="00BF73FF">
        <w:rPr>
          <w:rFonts w:ascii="Times New Roman" w:hAnsi="Times New Roman" w:cs="Times New Roman"/>
          <w:sz w:val="28"/>
          <w:szCs w:val="28"/>
        </w:rPr>
        <w:t xml:space="preserve"> for Capitec and then Guardrisk needs to </w:t>
      </w:r>
      <w:r w:rsidR="00815CFD">
        <w:rPr>
          <w:rFonts w:ascii="Times New Roman" w:hAnsi="Times New Roman" w:cs="Times New Roman"/>
          <w:sz w:val="28"/>
          <w:szCs w:val="28"/>
        </w:rPr>
        <w:t>pay</w:t>
      </w:r>
      <w:r w:rsidR="000B4A6E">
        <w:rPr>
          <w:rFonts w:ascii="Times New Roman" w:hAnsi="Times New Roman" w:cs="Times New Roman"/>
          <w:sz w:val="28"/>
          <w:szCs w:val="28"/>
        </w:rPr>
        <w:t xml:space="preserve"> </w:t>
      </w:r>
      <w:r w:rsidR="005A429D">
        <w:rPr>
          <w:rFonts w:ascii="Times New Roman" w:hAnsi="Times New Roman" w:cs="Times New Roman"/>
          <w:sz w:val="28"/>
          <w:szCs w:val="28"/>
        </w:rPr>
        <w:t xml:space="preserve">out the policy. Notably, </w:t>
      </w:r>
      <w:r w:rsidR="00815CFD">
        <w:rPr>
          <w:rFonts w:ascii="Times New Roman" w:hAnsi="Times New Roman" w:cs="Times New Roman"/>
          <w:sz w:val="28"/>
          <w:szCs w:val="28"/>
        </w:rPr>
        <w:t>that indemni</w:t>
      </w:r>
      <w:r w:rsidR="00BF73FF">
        <w:rPr>
          <w:rFonts w:ascii="Times New Roman" w:hAnsi="Times New Roman" w:cs="Times New Roman"/>
          <w:sz w:val="28"/>
          <w:szCs w:val="28"/>
        </w:rPr>
        <w:t xml:space="preserve">ty </w:t>
      </w:r>
      <w:r w:rsidR="00525F4E">
        <w:rPr>
          <w:rFonts w:ascii="Times New Roman" w:hAnsi="Times New Roman" w:cs="Times New Roman"/>
          <w:sz w:val="28"/>
          <w:szCs w:val="28"/>
        </w:rPr>
        <w:t>payout</w:t>
      </w:r>
      <w:r w:rsidR="005A429D">
        <w:rPr>
          <w:rFonts w:ascii="Times New Roman" w:hAnsi="Times New Roman" w:cs="Times New Roman"/>
          <w:sz w:val="28"/>
          <w:szCs w:val="28"/>
        </w:rPr>
        <w:t>,</w:t>
      </w:r>
      <w:r w:rsidR="00BF73FF">
        <w:rPr>
          <w:rFonts w:ascii="Times New Roman" w:hAnsi="Times New Roman" w:cs="Times New Roman"/>
          <w:sz w:val="28"/>
          <w:szCs w:val="28"/>
        </w:rPr>
        <w:t xml:space="preserve"> in the hands of Guardrisk</w:t>
      </w:r>
      <w:r w:rsidR="005A429D">
        <w:rPr>
          <w:rFonts w:ascii="Times New Roman" w:hAnsi="Times New Roman" w:cs="Times New Roman"/>
          <w:sz w:val="28"/>
          <w:szCs w:val="28"/>
        </w:rPr>
        <w:t>,</w:t>
      </w:r>
      <w:r w:rsidR="00BF73FF">
        <w:rPr>
          <w:rFonts w:ascii="Times New Roman" w:hAnsi="Times New Roman" w:cs="Times New Roman"/>
          <w:sz w:val="28"/>
          <w:szCs w:val="28"/>
        </w:rPr>
        <w:t xml:space="preserve"> </w:t>
      </w:r>
      <w:r w:rsidR="00815CFD">
        <w:rPr>
          <w:rFonts w:ascii="Times New Roman" w:hAnsi="Times New Roman" w:cs="Times New Roman"/>
          <w:sz w:val="28"/>
          <w:szCs w:val="28"/>
        </w:rPr>
        <w:t>qualifies for deducti</w:t>
      </w:r>
      <w:r w:rsidR="00BF73FF">
        <w:rPr>
          <w:rFonts w:ascii="Times New Roman" w:hAnsi="Times New Roman" w:cs="Times New Roman"/>
          <w:sz w:val="28"/>
          <w:szCs w:val="28"/>
        </w:rPr>
        <w:t xml:space="preserve">on in terms of </w:t>
      </w:r>
      <w:r w:rsidR="00BF73FF">
        <w:rPr>
          <w:rFonts w:ascii="Times New Roman" w:hAnsi="Times New Roman" w:cs="Times New Roman"/>
          <w:sz w:val="28"/>
          <w:szCs w:val="28"/>
        </w:rPr>
        <w:lastRenderedPageBreak/>
        <w:t>s</w:t>
      </w:r>
      <w:r w:rsidR="005A429D">
        <w:rPr>
          <w:rFonts w:ascii="Times New Roman" w:hAnsi="Times New Roman" w:cs="Times New Roman"/>
          <w:sz w:val="28"/>
          <w:szCs w:val="28"/>
        </w:rPr>
        <w:t xml:space="preserve"> </w:t>
      </w:r>
      <w:r w:rsidR="00BF73FF">
        <w:rPr>
          <w:rFonts w:ascii="Times New Roman" w:hAnsi="Times New Roman" w:cs="Times New Roman"/>
          <w:sz w:val="28"/>
          <w:szCs w:val="28"/>
        </w:rPr>
        <w:t>16</w:t>
      </w:r>
      <w:r w:rsidR="004154AE">
        <w:rPr>
          <w:rFonts w:ascii="Times New Roman" w:hAnsi="Times New Roman" w:cs="Times New Roman"/>
          <w:sz w:val="28"/>
          <w:szCs w:val="28"/>
        </w:rPr>
        <w:t>(</w:t>
      </w:r>
      <w:r w:rsidR="00BF73FF">
        <w:rPr>
          <w:rFonts w:ascii="Times New Roman" w:hAnsi="Times New Roman" w:cs="Times New Roman"/>
          <w:sz w:val="28"/>
          <w:szCs w:val="28"/>
        </w:rPr>
        <w:t>3</w:t>
      </w:r>
      <w:r w:rsidR="004154AE">
        <w:rPr>
          <w:rFonts w:ascii="Times New Roman" w:hAnsi="Times New Roman" w:cs="Times New Roman"/>
          <w:sz w:val="28"/>
          <w:szCs w:val="28"/>
        </w:rPr>
        <w:t>)</w:t>
      </w:r>
      <w:r w:rsidR="004154AE" w:rsidRPr="00B33844">
        <w:rPr>
          <w:rFonts w:ascii="Times New Roman" w:hAnsi="Times New Roman" w:cs="Times New Roman"/>
          <w:i/>
          <w:sz w:val="28"/>
          <w:szCs w:val="28"/>
        </w:rPr>
        <w:t>(</w:t>
      </w:r>
      <w:r w:rsidR="00BF73FF" w:rsidRPr="00B33844">
        <w:rPr>
          <w:rFonts w:ascii="Times New Roman" w:hAnsi="Times New Roman" w:cs="Times New Roman"/>
          <w:i/>
          <w:sz w:val="28"/>
          <w:szCs w:val="28"/>
        </w:rPr>
        <w:t>c</w:t>
      </w:r>
      <w:r w:rsidR="004154AE" w:rsidRPr="00B33844">
        <w:rPr>
          <w:rFonts w:ascii="Times New Roman" w:hAnsi="Times New Roman" w:cs="Times New Roman"/>
          <w:i/>
          <w:sz w:val="28"/>
          <w:szCs w:val="28"/>
        </w:rPr>
        <w:t>)</w:t>
      </w:r>
      <w:r w:rsidR="004154AE">
        <w:rPr>
          <w:rFonts w:ascii="Times New Roman" w:hAnsi="Times New Roman" w:cs="Times New Roman"/>
          <w:sz w:val="28"/>
          <w:szCs w:val="28"/>
        </w:rPr>
        <w:t xml:space="preserve"> </w:t>
      </w:r>
      <w:r w:rsidR="005A429D">
        <w:rPr>
          <w:rFonts w:ascii="Times New Roman" w:hAnsi="Times New Roman" w:cs="Times New Roman"/>
          <w:sz w:val="28"/>
          <w:szCs w:val="28"/>
        </w:rPr>
        <w:t xml:space="preserve">of the VAT Act, </w:t>
      </w:r>
      <w:r w:rsidR="00BF73FF">
        <w:rPr>
          <w:rFonts w:ascii="Times New Roman" w:hAnsi="Times New Roman" w:cs="Times New Roman"/>
          <w:sz w:val="28"/>
          <w:szCs w:val="28"/>
        </w:rPr>
        <w:t xml:space="preserve">because Guardrisk is the </w:t>
      </w:r>
      <w:r w:rsidR="00815CFD">
        <w:rPr>
          <w:rFonts w:ascii="Times New Roman" w:hAnsi="Times New Roman" w:cs="Times New Roman"/>
          <w:sz w:val="28"/>
          <w:szCs w:val="28"/>
        </w:rPr>
        <w:t>insurer unde</w:t>
      </w:r>
      <w:r w:rsidR="005012C1">
        <w:rPr>
          <w:rFonts w:ascii="Times New Roman" w:hAnsi="Times New Roman" w:cs="Times New Roman"/>
          <w:sz w:val="28"/>
          <w:szCs w:val="28"/>
        </w:rPr>
        <w:t xml:space="preserve">rtaking the insurance business. </w:t>
      </w:r>
      <w:r w:rsidR="005A429D">
        <w:rPr>
          <w:rFonts w:ascii="Times New Roman" w:hAnsi="Times New Roman" w:cs="Times New Roman"/>
          <w:sz w:val="28"/>
          <w:szCs w:val="28"/>
        </w:rPr>
        <w:t>W</w:t>
      </w:r>
      <w:r w:rsidR="00BE0D89">
        <w:rPr>
          <w:rFonts w:ascii="Times New Roman" w:hAnsi="Times New Roman" w:cs="Times New Roman"/>
          <w:sz w:val="28"/>
          <w:szCs w:val="28"/>
        </w:rPr>
        <w:t>hile</w:t>
      </w:r>
      <w:r w:rsidR="005A429D">
        <w:rPr>
          <w:rFonts w:ascii="Times New Roman" w:hAnsi="Times New Roman" w:cs="Times New Roman"/>
          <w:sz w:val="28"/>
          <w:szCs w:val="28"/>
        </w:rPr>
        <w:t xml:space="preserve"> t</w:t>
      </w:r>
      <w:r w:rsidR="00815CFD">
        <w:rPr>
          <w:rFonts w:ascii="Times New Roman" w:hAnsi="Times New Roman" w:cs="Times New Roman"/>
          <w:sz w:val="28"/>
          <w:szCs w:val="28"/>
        </w:rPr>
        <w:t xml:space="preserve">he </w:t>
      </w:r>
      <w:r w:rsidR="005A429D">
        <w:rPr>
          <w:rFonts w:ascii="Times New Roman" w:hAnsi="Times New Roman" w:cs="Times New Roman"/>
          <w:sz w:val="28"/>
          <w:szCs w:val="28"/>
        </w:rPr>
        <w:t>payout</w:t>
      </w:r>
      <w:r w:rsidR="005012C1">
        <w:rPr>
          <w:rFonts w:ascii="Times New Roman" w:hAnsi="Times New Roman" w:cs="Times New Roman"/>
          <w:sz w:val="28"/>
          <w:szCs w:val="28"/>
        </w:rPr>
        <w:t xml:space="preserve"> of the insurance contrac</w:t>
      </w:r>
      <w:r w:rsidR="004154AE">
        <w:rPr>
          <w:rFonts w:ascii="Times New Roman" w:hAnsi="Times New Roman" w:cs="Times New Roman"/>
          <w:sz w:val="28"/>
          <w:szCs w:val="28"/>
        </w:rPr>
        <w:t>ts benefits</w:t>
      </w:r>
      <w:r w:rsidR="005012C1">
        <w:rPr>
          <w:rFonts w:ascii="Times New Roman" w:hAnsi="Times New Roman" w:cs="Times New Roman"/>
          <w:sz w:val="28"/>
          <w:szCs w:val="28"/>
        </w:rPr>
        <w:t xml:space="preserve"> both C</w:t>
      </w:r>
      <w:r w:rsidR="00332DCE">
        <w:rPr>
          <w:rFonts w:ascii="Times New Roman" w:hAnsi="Times New Roman" w:cs="Times New Roman"/>
          <w:sz w:val="28"/>
          <w:szCs w:val="28"/>
        </w:rPr>
        <w:t xml:space="preserve">apitec and its </w:t>
      </w:r>
      <w:r w:rsidR="009F32CF" w:rsidRPr="00655B85">
        <w:rPr>
          <w:rFonts w:ascii="Times New Roman" w:hAnsi="Times New Roman" w:cs="Times New Roman"/>
          <w:sz w:val="28"/>
          <w:szCs w:val="28"/>
        </w:rPr>
        <w:t>customers</w:t>
      </w:r>
      <w:r w:rsidR="000B4A6E" w:rsidRPr="00655B85">
        <w:rPr>
          <w:rFonts w:ascii="Times New Roman" w:hAnsi="Times New Roman" w:cs="Times New Roman"/>
          <w:sz w:val="28"/>
          <w:szCs w:val="28"/>
        </w:rPr>
        <w:t xml:space="preserve"> </w:t>
      </w:r>
      <w:r w:rsidR="00BE0D89" w:rsidRPr="00655B85">
        <w:rPr>
          <w:rFonts w:ascii="Times New Roman" w:hAnsi="Times New Roman" w:cs="Times New Roman"/>
          <w:sz w:val="28"/>
          <w:szCs w:val="28"/>
        </w:rPr>
        <w:t>– since t</w:t>
      </w:r>
      <w:r w:rsidR="00332DCE" w:rsidRPr="00655B85">
        <w:rPr>
          <w:rFonts w:ascii="Times New Roman" w:hAnsi="Times New Roman" w:cs="Times New Roman"/>
          <w:sz w:val="28"/>
          <w:szCs w:val="28"/>
        </w:rPr>
        <w:t>he payouts from the insurers is</w:t>
      </w:r>
      <w:r w:rsidR="00815CFD" w:rsidRPr="00655B85">
        <w:rPr>
          <w:rFonts w:ascii="Times New Roman" w:hAnsi="Times New Roman" w:cs="Times New Roman"/>
          <w:sz w:val="28"/>
          <w:szCs w:val="28"/>
        </w:rPr>
        <w:t xml:space="preserve"> credited to the loan account of the </w:t>
      </w:r>
      <w:r w:rsidR="009F32CF" w:rsidRPr="00655B85">
        <w:rPr>
          <w:rFonts w:ascii="Times New Roman" w:hAnsi="Times New Roman" w:cs="Times New Roman"/>
          <w:sz w:val="28"/>
          <w:szCs w:val="28"/>
        </w:rPr>
        <w:t>customer</w:t>
      </w:r>
      <w:r w:rsidR="000B4A6E" w:rsidRPr="00655B85">
        <w:rPr>
          <w:rFonts w:ascii="Times New Roman" w:hAnsi="Times New Roman" w:cs="Times New Roman"/>
          <w:sz w:val="28"/>
          <w:szCs w:val="28"/>
        </w:rPr>
        <w:t xml:space="preserve"> –</w:t>
      </w:r>
      <w:r w:rsidR="00BE0D89" w:rsidRPr="00655B85">
        <w:rPr>
          <w:rFonts w:ascii="Times New Roman" w:hAnsi="Times New Roman" w:cs="Times New Roman"/>
          <w:sz w:val="28"/>
          <w:szCs w:val="28"/>
        </w:rPr>
        <w:t xml:space="preserve"> who no longer owes Capitec in this regard – the benefit to the </w:t>
      </w:r>
      <w:r w:rsidR="009F32CF" w:rsidRPr="00655B85">
        <w:rPr>
          <w:rFonts w:ascii="Times New Roman" w:hAnsi="Times New Roman" w:cs="Times New Roman"/>
          <w:sz w:val="28"/>
          <w:szCs w:val="28"/>
        </w:rPr>
        <w:t>customer</w:t>
      </w:r>
      <w:r w:rsidR="00C546C4" w:rsidRPr="00655B85">
        <w:rPr>
          <w:rFonts w:ascii="Times New Roman" w:hAnsi="Times New Roman" w:cs="Times New Roman"/>
          <w:sz w:val="28"/>
          <w:szCs w:val="28"/>
        </w:rPr>
        <w:t xml:space="preserve"> is incidental</w:t>
      </w:r>
      <w:r w:rsidR="00C546C4">
        <w:rPr>
          <w:rFonts w:ascii="Times New Roman" w:hAnsi="Times New Roman" w:cs="Times New Roman"/>
          <w:sz w:val="28"/>
          <w:szCs w:val="28"/>
        </w:rPr>
        <w:t xml:space="preserve">. </w:t>
      </w:r>
    </w:p>
    <w:p w14:paraId="248537AB" w14:textId="77777777" w:rsidR="00676B3D" w:rsidRDefault="00676B3D" w:rsidP="003C24DE">
      <w:pPr>
        <w:spacing w:after="0" w:line="360" w:lineRule="auto"/>
        <w:jc w:val="both"/>
        <w:rPr>
          <w:rFonts w:ascii="Times New Roman" w:hAnsi="Times New Roman" w:cs="Times New Roman"/>
          <w:sz w:val="28"/>
          <w:szCs w:val="28"/>
        </w:rPr>
      </w:pPr>
    </w:p>
    <w:p w14:paraId="35DB7043" w14:textId="4B6EE8D5" w:rsidR="003C24DE" w:rsidRDefault="00582D4B" w:rsidP="003C2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sidR="00B33844">
        <w:rPr>
          <w:rFonts w:ascii="Times New Roman" w:hAnsi="Times New Roman" w:cs="Times New Roman"/>
          <w:sz w:val="28"/>
          <w:szCs w:val="28"/>
        </w:rPr>
        <w:t>]</w:t>
      </w:r>
      <w:r w:rsidR="00B33844">
        <w:rPr>
          <w:rFonts w:ascii="Times New Roman" w:hAnsi="Times New Roman" w:cs="Times New Roman"/>
          <w:sz w:val="28"/>
          <w:szCs w:val="28"/>
        </w:rPr>
        <w:tab/>
      </w:r>
      <w:r w:rsidR="00676B3D">
        <w:rPr>
          <w:rFonts w:ascii="Times New Roman" w:hAnsi="Times New Roman" w:cs="Times New Roman"/>
          <w:sz w:val="28"/>
          <w:szCs w:val="28"/>
        </w:rPr>
        <w:t xml:space="preserve">Furthermore, </w:t>
      </w:r>
      <w:r w:rsidR="005D165B">
        <w:rPr>
          <w:rFonts w:ascii="Times New Roman" w:hAnsi="Times New Roman" w:cs="Times New Roman"/>
          <w:sz w:val="28"/>
          <w:szCs w:val="28"/>
        </w:rPr>
        <w:t>the Loan Book Cover Scheme Insurance Policy</w:t>
      </w:r>
      <w:r w:rsidR="003C24DE">
        <w:rPr>
          <w:rFonts w:ascii="Times New Roman" w:hAnsi="Times New Roman" w:cs="Times New Roman"/>
          <w:sz w:val="28"/>
          <w:szCs w:val="28"/>
        </w:rPr>
        <w:t xml:space="preserve"> between Capitec and Guardrisk provides that ‘</w:t>
      </w:r>
      <w:r w:rsidR="005D165B">
        <w:rPr>
          <w:rFonts w:ascii="Times New Roman" w:hAnsi="Times New Roman" w:cs="Times New Roman"/>
          <w:sz w:val="28"/>
          <w:szCs w:val="28"/>
        </w:rPr>
        <w:t>[</w:t>
      </w:r>
      <w:r w:rsidR="003C24DE">
        <w:rPr>
          <w:rFonts w:ascii="Times New Roman" w:hAnsi="Times New Roman" w:cs="Times New Roman"/>
          <w:sz w:val="28"/>
          <w:szCs w:val="28"/>
        </w:rPr>
        <w:t>a</w:t>
      </w:r>
      <w:r w:rsidR="005D165B">
        <w:rPr>
          <w:rFonts w:ascii="Times New Roman" w:hAnsi="Times New Roman" w:cs="Times New Roman"/>
          <w:sz w:val="28"/>
          <w:szCs w:val="28"/>
        </w:rPr>
        <w:t>]</w:t>
      </w:r>
      <w:r w:rsidR="003C24DE">
        <w:rPr>
          <w:rFonts w:ascii="Times New Roman" w:hAnsi="Times New Roman" w:cs="Times New Roman"/>
          <w:sz w:val="28"/>
          <w:szCs w:val="28"/>
        </w:rPr>
        <w:t xml:space="preserve">ny </w:t>
      </w:r>
      <w:r w:rsidR="005D165B">
        <w:rPr>
          <w:rFonts w:ascii="Times New Roman" w:hAnsi="Times New Roman" w:cs="Times New Roman"/>
          <w:sz w:val="28"/>
          <w:szCs w:val="28"/>
        </w:rPr>
        <w:t>B</w:t>
      </w:r>
      <w:r w:rsidR="003C24DE">
        <w:rPr>
          <w:rFonts w:ascii="Times New Roman" w:hAnsi="Times New Roman" w:cs="Times New Roman"/>
          <w:sz w:val="28"/>
          <w:szCs w:val="28"/>
        </w:rPr>
        <w:t xml:space="preserve">enefit payable in respect of a </w:t>
      </w:r>
      <w:r w:rsidR="005D165B">
        <w:rPr>
          <w:rFonts w:ascii="Times New Roman" w:hAnsi="Times New Roman" w:cs="Times New Roman"/>
          <w:sz w:val="28"/>
          <w:szCs w:val="28"/>
        </w:rPr>
        <w:t>L</w:t>
      </w:r>
      <w:r w:rsidR="003C24DE">
        <w:rPr>
          <w:rFonts w:ascii="Times New Roman" w:hAnsi="Times New Roman" w:cs="Times New Roman"/>
          <w:sz w:val="28"/>
          <w:szCs w:val="28"/>
        </w:rPr>
        <w:t xml:space="preserve">ife </w:t>
      </w:r>
      <w:r w:rsidR="005D165B">
        <w:rPr>
          <w:rFonts w:ascii="Times New Roman" w:hAnsi="Times New Roman" w:cs="Times New Roman"/>
          <w:sz w:val="28"/>
          <w:szCs w:val="28"/>
        </w:rPr>
        <w:t>I</w:t>
      </w:r>
      <w:r w:rsidR="003C24DE">
        <w:rPr>
          <w:rFonts w:ascii="Times New Roman" w:hAnsi="Times New Roman" w:cs="Times New Roman"/>
          <w:sz w:val="28"/>
          <w:szCs w:val="28"/>
        </w:rPr>
        <w:t xml:space="preserve">nsured </w:t>
      </w:r>
      <w:r w:rsidR="005D165B">
        <w:rPr>
          <w:rFonts w:ascii="Times New Roman" w:hAnsi="Times New Roman" w:cs="Times New Roman"/>
          <w:sz w:val="28"/>
          <w:szCs w:val="28"/>
        </w:rPr>
        <w:t xml:space="preserve">in terms </w:t>
      </w:r>
      <w:r w:rsidR="003C24DE">
        <w:rPr>
          <w:rFonts w:ascii="Times New Roman" w:hAnsi="Times New Roman" w:cs="Times New Roman"/>
          <w:sz w:val="28"/>
          <w:szCs w:val="28"/>
        </w:rPr>
        <w:t xml:space="preserve">of this </w:t>
      </w:r>
      <w:r w:rsidR="005D165B">
        <w:rPr>
          <w:rFonts w:ascii="Times New Roman" w:hAnsi="Times New Roman" w:cs="Times New Roman"/>
          <w:sz w:val="28"/>
          <w:szCs w:val="28"/>
        </w:rPr>
        <w:t>P</w:t>
      </w:r>
      <w:r w:rsidR="003C24DE">
        <w:rPr>
          <w:rFonts w:ascii="Times New Roman" w:hAnsi="Times New Roman" w:cs="Times New Roman"/>
          <w:sz w:val="28"/>
          <w:szCs w:val="28"/>
        </w:rPr>
        <w:t xml:space="preserve">olicy shall be paid by the </w:t>
      </w:r>
      <w:r w:rsidR="005D165B">
        <w:rPr>
          <w:rFonts w:ascii="Times New Roman" w:hAnsi="Times New Roman" w:cs="Times New Roman"/>
          <w:sz w:val="28"/>
          <w:szCs w:val="28"/>
        </w:rPr>
        <w:t>I</w:t>
      </w:r>
      <w:r w:rsidR="003C24DE">
        <w:rPr>
          <w:rFonts w:ascii="Times New Roman" w:hAnsi="Times New Roman" w:cs="Times New Roman"/>
          <w:sz w:val="28"/>
          <w:szCs w:val="28"/>
        </w:rPr>
        <w:t xml:space="preserve">nsurer to Capitec </w:t>
      </w:r>
      <w:r w:rsidR="005D165B">
        <w:rPr>
          <w:rFonts w:ascii="Times New Roman" w:hAnsi="Times New Roman" w:cs="Times New Roman"/>
          <w:sz w:val="28"/>
          <w:szCs w:val="28"/>
        </w:rPr>
        <w:t>B</w:t>
      </w:r>
      <w:r w:rsidR="003C24DE">
        <w:rPr>
          <w:rFonts w:ascii="Times New Roman" w:hAnsi="Times New Roman" w:cs="Times New Roman"/>
          <w:sz w:val="28"/>
          <w:szCs w:val="28"/>
        </w:rPr>
        <w:t>ank</w:t>
      </w:r>
      <w:r w:rsidR="00B33844">
        <w:rPr>
          <w:rFonts w:ascii="Times New Roman" w:hAnsi="Times New Roman" w:cs="Times New Roman"/>
          <w:sz w:val="28"/>
          <w:szCs w:val="28"/>
        </w:rPr>
        <w:t xml:space="preserve"> </w:t>
      </w:r>
      <w:r w:rsidR="003C24DE">
        <w:rPr>
          <w:rFonts w:ascii="Times New Roman" w:hAnsi="Times New Roman" w:cs="Times New Roman"/>
          <w:sz w:val="28"/>
          <w:szCs w:val="28"/>
        </w:rPr>
        <w:t xml:space="preserve">(the </w:t>
      </w:r>
      <w:r w:rsidR="005D165B">
        <w:rPr>
          <w:rFonts w:ascii="Times New Roman" w:hAnsi="Times New Roman" w:cs="Times New Roman"/>
          <w:sz w:val="28"/>
          <w:szCs w:val="28"/>
        </w:rPr>
        <w:t>P</w:t>
      </w:r>
      <w:r w:rsidR="003C24DE">
        <w:rPr>
          <w:rFonts w:ascii="Times New Roman" w:hAnsi="Times New Roman" w:cs="Times New Roman"/>
          <w:sz w:val="28"/>
          <w:szCs w:val="28"/>
        </w:rPr>
        <w:t xml:space="preserve">olicy </w:t>
      </w:r>
      <w:r w:rsidR="005D165B">
        <w:rPr>
          <w:rFonts w:ascii="Times New Roman" w:hAnsi="Times New Roman" w:cs="Times New Roman"/>
          <w:sz w:val="28"/>
          <w:szCs w:val="28"/>
        </w:rPr>
        <w:t>O</w:t>
      </w:r>
      <w:r w:rsidR="003C24DE">
        <w:rPr>
          <w:rFonts w:ascii="Times New Roman" w:hAnsi="Times New Roman" w:cs="Times New Roman"/>
          <w:sz w:val="28"/>
          <w:szCs w:val="28"/>
        </w:rPr>
        <w:t xml:space="preserve">wner) who will apply the said Benefit towards settlement of the </w:t>
      </w:r>
      <w:r w:rsidR="005D165B">
        <w:rPr>
          <w:rFonts w:ascii="Times New Roman" w:hAnsi="Times New Roman" w:cs="Times New Roman"/>
          <w:sz w:val="28"/>
          <w:szCs w:val="28"/>
        </w:rPr>
        <w:t>L</w:t>
      </w:r>
      <w:r w:rsidR="003C24DE">
        <w:rPr>
          <w:rFonts w:ascii="Times New Roman" w:hAnsi="Times New Roman" w:cs="Times New Roman"/>
          <w:sz w:val="28"/>
          <w:szCs w:val="28"/>
        </w:rPr>
        <w:t>ife Insured’s loan that is due and payable to Capitec Bank’. This represents an accurate recordal of the nature of the relationship between Capitec and the insurer. Ther</w:t>
      </w:r>
      <w:r w:rsidR="00B33844">
        <w:rPr>
          <w:rFonts w:ascii="Times New Roman" w:hAnsi="Times New Roman" w:cs="Times New Roman"/>
          <w:sz w:val="28"/>
          <w:szCs w:val="28"/>
        </w:rPr>
        <w:t xml:space="preserve">e is only one </w:t>
      </w:r>
      <w:r w:rsidR="00FF5740">
        <w:rPr>
          <w:rFonts w:ascii="Times New Roman" w:hAnsi="Times New Roman" w:cs="Times New Roman"/>
          <w:sz w:val="28"/>
          <w:szCs w:val="28"/>
        </w:rPr>
        <w:t xml:space="preserve">insurance </w:t>
      </w:r>
      <w:r w:rsidR="00B33844">
        <w:rPr>
          <w:rFonts w:ascii="Times New Roman" w:hAnsi="Times New Roman" w:cs="Times New Roman"/>
          <w:sz w:val="28"/>
          <w:szCs w:val="28"/>
        </w:rPr>
        <w:t>contract</w:t>
      </w:r>
      <w:r w:rsidR="003C24DE">
        <w:rPr>
          <w:rFonts w:ascii="Times New Roman" w:hAnsi="Times New Roman" w:cs="Times New Roman"/>
          <w:sz w:val="28"/>
          <w:szCs w:val="28"/>
        </w:rPr>
        <w:t xml:space="preserve">, </w:t>
      </w:r>
      <w:r w:rsidR="00676B3D">
        <w:rPr>
          <w:rFonts w:ascii="Times New Roman" w:hAnsi="Times New Roman" w:cs="Times New Roman"/>
          <w:sz w:val="28"/>
          <w:szCs w:val="28"/>
        </w:rPr>
        <w:t xml:space="preserve">but with </w:t>
      </w:r>
      <w:r w:rsidR="00B33844">
        <w:rPr>
          <w:rFonts w:ascii="Times New Roman" w:hAnsi="Times New Roman" w:cs="Times New Roman"/>
          <w:sz w:val="28"/>
          <w:szCs w:val="28"/>
        </w:rPr>
        <w:t xml:space="preserve">the </w:t>
      </w:r>
      <w:r w:rsidR="003C24DE">
        <w:rPr>
          <w:rFonts w:ascii="Times New Roman" w:hAnsi="Times New Roman" w:cs="Times New Roman"/>
          <w:sz w:val="28"/>
          <w:szCs w:val="28"/>
        </w:rPr>
        <w:t>same benefit arising out of the</w:t>
      </w:r>
      <w:r w:rsidR="00FF5740">
        <w:rPr>
          <w:rFonts w:ascii="Times New Roman" w:hAnsi="Times New Roman" w:cs="Times New Roman"/>
          <w:sz w:val="28"/>
          <w:szCs w:val="28"/>
        </w:rPr>
        <w:t xml:space="preserve"> single</w:t>
      </w:r>
      <w:r w:rsidR="003C24DE">
        <w:rPr>
          <w:rFonts w:ascii="Times New Roman" w:hAnsi="Times New Roman" w:cs="Times New Roman"/>
          <w:sz w:val="28"/>
          <w:szCs w:val="28"/>
        </w:rPr>
        <w:t xml:space="preserve"> insurance contract</w:t>
      </w:r>
      <w:r w:rsidR="00FF5740">
        <w:rPr>
          <w:rFonts w:ascii="Times New Roman" w:hAnsi="Times New Roman" w:cs="Times New Roman"/>
          <w:sz w:val="28"/>
          <w:szCs w:val="28"/>
        </w:rPr>
        <w:t xml:space="preserve"> to both Capitec as the insured and its customer in terms of the loan cover, separately</w:t>
      </w:r>
      <w:r w:rsidR="003C24DE">
        <w:rPr>
          <w:rFonts w:ascii="Times New Roman" w:hAnsi="Times New Roman" w:cs="Times New Roman"/>
          <w:sz w:val="28"/>
          <w:szCs w:val="28"/>
        </w:rPr>
        <w:t>. Guardrisk paid output tax on the premiums it collected from Capitec. It was allowed a notiona</w:t>
      </w:r>
      <w:r w:rsidR="00B33844">
        <w:rPr>
          <w:rFonts w:ascii="Times New Roman" w:hAnsi="Times New Roman" w:cs="Times New Roman"/>
          <w:sz w:val="28"/>
          <w:szCs w:val="28"/>
        </w:rPr>
        <w:t xml:space="preserve">l tax deduction in terms of </w:t>
      </w:r>
      <w:r w:rsidR="00FF5740">
        <w:rPr>
          <w:rFonts w:ascii="Times New Roman" w:hAnsi="Times New Roman" w:cs="Times New Roman"/>
          <w:sz w:val="28"/>
          <w:szCs w:val="28"/>
        </w:rPr>
        <w:t xml:space="preserve">s </w:t>
      </w:r>
      <w:r w:rsidR="00B33844">
        <w:rPr>
          <w:rFonts w:ascii="Times New Roman" w:hAnsi="Times New Roman" w:cs="Times New Roman"/>
          <w:sz w:val="28"/>
          <w:szCs w:val="28"/>
        </w:rPr>
        <w:t>16</w:t>
      </w:r>
      <w:r w:rsidR="00FF5740">
        <w:rPr>
          <w:rFonts w:ascii="Times New Roman" w:hAnsi="Times New Roman" w:cs="Times New Roman"/>
          <w:sz w:val="28"/>
          <w:szCs w:val="28"/>
        </w:rPr>
        <w:t>(</w:t>
      </w:r>
      <w:r w:rsidR="00B33844">
        <w:rPr>
          <w:rFonts w:ascii="Times New Roman" w:hAnsi="Times New Roman" w:cs="Times New Roman"/>
          <w:sz w:val="28"/>
          <w:szCs w:val="28"/>
        </w:rPr>
        <w:t>3</w:t>
      </w:r>
      <w:r w:rsidR="00FF5740">
        <w:rPr>
          <w:rFonts w:ascii="Times New Roman" w:hAnsi="Times New Roman" w:cs="Times New Roman"/>
          <w:sz w:val="28"/>
          <w:szCs w:val="28"/>
        </w:rPr>
        <w:t>)</w:t>
      </w:r>
      <w:r w:rsidR="00B33844" w:rsidRPr="00B33844">
        <w:rPr>
          <w:rFonts w:ascii="Times New Roman" w:hAnsi="Times New Roman" w:cs="Times New Roman"/>
          <w:i/>
          <w:sz w:val="28"/>
          <w:szCs w:val="28"/>
        </w:rPr>
        <w:t>(c)</w:t>
      </w:r>
      <w:r w:rsidR="003C24DE">
        <w:rPr>
          <w:rFonts w:ascii="Times New Roman" w:hAnsi="Times New Roman" w:cs="Times New Roman"/>
          <w:sz w:val="28"/>
          <w:szCs w:val="28"/>
        </w:rPr>
        <w:t xml:space="preserve"> </w:t>
      </w:r>
      <w:r w:rsidR="00FF5740">
        <w:rPr>
          <w:rFonts w:ascii="Times New Roman" w:hAnsi="Times New Roman" w:cs="Times New Roman"/>
          <w:sz w:val="28"/>
          <w:szCs w:val="28"/>
        </w:rPr>
        <w:t xml:space="preserve">of the VAT Act </w:t>
      </w:r>
      <w:r w:rsidR="003C24DE">
        <w:rPr>
          <w:rFonts w:ascii="Times New Roman" w:hAnsi="Times New Roman" w:cs="Times New Roman"/>
          <w:sz w:val="28"/>
          <w:szCs w:val="28"/>
        </w:rPr>
        <w:t>in respect of its payout settlement that it paid to Capitec.</w:t>
      </w:r>
      <w:r w:rsidR="00B33844">
        <w:rPr>
          <w:rFonts w:ascii="Times New Roman" w:hAnsi="Times New Roman" w:cs="Times New Roman"/>
          <w:sz w:val="28"/>
          <w:szCs w:val="28"/>
        </w:rPr>
        <w:t xml:space="preserve"> </w:t>
      </w:r>
      <w:r w:rsidR="00FF5740">
        <w:rPr>
          <w:rFonts w:ascii="Times New Roman" w:hAnsi="Times New Roman" w:cs="Times New Roman"/>
          <w:sz w:val="28"/>
          <w:szCs w:val="28"/>
        </w:rPr>
        <w:t>In this way the matching principle is satisfied and</w:t>
      </w:r>
      <w:r w:rsidR="003C24DE">
        <w:rPr>
          <w:rFonts w:ascii="Times New Roman" w:hAnsi="Times New Roman" w:cs="Times New Roman"/>
          <w:sz w:val="28"/>
          <w:szCs w:val="28"/>
        </w:rPr>
        <w:t xml:space="preserve"> the books of Guardrisk </w:t>
      </w:r>
      <w:r w:rsidR="00FF5740">
        <w:rPr>
          <w:rFonts w:ascii="Times New Roman" w:hAnsi="Times New Roman" w:cs="Times New Roman"/>
          <w:sz w:val="28"/>
          <w:szCs w:val="28"/>
        </w:rPr>
        <w:t>are</w:t>
      </w:r>
      <w:r w:rsidR="003C24DE">
        <w:rPr>
          <w:rFonts w:ascii="Times New Roman" w:hAnsi="Times New Roman" w:cs="Times New Roman"/>
          <w:sz w:val="28"/>
          <w:szCs w:val="28"/>
        </w:rPr>
        <w:t xml:space="preserve"> balanced. </w:t>
      </w:r>
    </w:p>
    <w:p w14:paraId="4FCED71B" w14:textId="77777777" w:rsidR="00676B3D" w:rsidRDefault="00676B3D" w:rsidP="00676B3D">
      <w:pPr>
        <w:spacing w:after="0" w:line="360" w:lineRule="auto"/>
        <w:jc w:val="both"/>
        <w:rPr>
          <w:rFonts w:ascii="Times New Roman" w:hAnsi="Times New Roman" w:cs="Times New Roman"/>
          <w:sz w:val="28"/>
          <w:szCs w:val="28"/>
        </w:rPr>
      </w:pPr>
    </w:p>
    <w:p w14:paraId="621A6C3B" w14:textId="7978D0B6" w:rsidR="00676B3D" w:rsidRDefault="00582D4B" w:rsidP="00676B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w:t>
      </w:r>
      <w:r w:rsidR="00B33844">
        <w:rPr>
          <w:rFonts w:ascii="Times New Roman" w:hAnsi="Times New Roman" w:cs="Times New Roman"/>
          <w:sz w:val="28"/>
          <w:szCs w:val="28"/>
        </w:rPr>
        <w:t>]</w:t>
      </w:r>
      <w:r w:rsidR="00B33844">
        <w:rPr>
          <w:rFonts w:ascii="Times New Roman" w:hAnsi="Times New Roman" w:cs="Times New Roman"/>
          <w:sz w:val="28"/>
          <w:szCs w:val="28"/>
        </w:rPr>
        <w:tab/>
      </w:r>
      <w:r w:rsidR="00676B3D">
        <w:rPr>
          <w:rFonts w:ascii="Times New Roman" w:hAnsi="Times New Roman" w:cs="Times New Roman"/>
          <w:sz w:val="28"/>
          <w:szCs w:val="28"/>
        </w:rPr>
        <w:t>With regard to Capitec</w:t>
      </w:r>
      <w:r w:rsidR="00B21E5A">
        <w:rPr>
          <w:rFonts w:ascii="Times New Roman" w:hAnsi="Times New Roman" w:cs="Times New Roman"/>
          <w:sz w:val="28"/>
          <w:szCs w:val="28"/>
        </w:rPr>
        <w:t>,</w:t>
      </w:r>
      <w:r w:rsidR="00676B3D">
        <w:rPr>
          <w:rFonts w:ascii="Times New Roman" w:hAnsi="Times New Roman" w:cs="Times New Roman"/>
          <w:sz w:val="28"/>
          <w:szCs w:val="28"/>
        </w:rPr>
        <w:t xml:space="preserve"> it was allowed an input tax deduct</w:t>
      </w:r>
      <w:r w:rsidR="00B33844">
        <w:rPr>
          <w:rFonts w:ascii="Times New Roman" w:hAnsi="Times New Roman" w:cs="Times New Roman"/>
          <w:sz w:val="28"/>
          <w:szCs w:val="28"/>
        </w:rPr>
        <w:t xml:space="preserve">ion in respect of the premiums </w:t>
      </w:r>
      <w:r w:rsidR="00676B3D">
        <w:rPr>
          <w:rFonts w:ascii="Times New Roman" w:hAnsi="Times New Roman" w:cs="Times New Roman"/>
          <w:sz w:val="28"/>
          <w:szCs w:val="28"/>
        </w:rPr>
        <w:t>it paid to Guardri</w:t>
      </w:r>
      <w:r w:rsidR="00B33844">
        <w:rPr>
          <w:rFonts w:ascii="Times New Roman" w:hAnsi="Times New Roman" w:cs="Times New Roman"/>
          <w:sz w:val="28"/>
          <w:szCs w:val="28"/>
        </w:rPr>
        <w:t xml:space="preserve">sk and when Guardrisk paid out </w:t>
      </w:r>
      <w:r w:rsidR="00676B3D">
        <w:rPr>
          <w:rFonts w:ascii="Times New Roman" w:hAnsi="Times New Roman" w:cs="Times New Roman"/>
          <w:sz w:val="28"/>
          <w:szCs w:val="28"/>
        </w:rPr>
        <w:t>the indemnity payments it was deemed in terms of s 8</w:t>
      </w:r>
      <w:r w:rsidR="0051576C">
        <w:rPr>
          <w:rFonts w:ascii="Times New Roman" w:hAnsi="Times New Roman" w:cs="Times New Roman"/>
          <w:sz w:val="28"/>
          <w:szCs w:val="28"/>
        </w:rPr>
        <w:t>(</w:t>
      </w:r>
      <w:r w:rsidR="00676B3D">
        <w:rPr>
          <w:rFonts w:ascii="Times New Roman" w:hAnsi="Times New Roman" w:cs="Times New Roman"/>
          <w:sz w:val="28"/>
          <w:szCs w:val="28"/>
        </w:rPr>
        <w:t>8</w:t>
      </w:r>
      <w:r w:rsidR="0051576C">
        <w:rPr>
          <w:rFonts w:ascii="Times New Roman" w:hAnsi="Times New Roman" w:cs="Times New Roman"/>
          <w:sz w:val="28"/>
          <w:szCs w:val="28"/>
        </w:rPr>
        <w:t>)</w:t>
      </w:r>
      <w:r w:rsidR="00676B3D">
        <w:rPr>
          <w:rFonts w:ascii="Times New Roman" w:hAnsi="Times New Roman" w:cs="Times New Roman"/>
          <w:sz w:val="28"/>
          <w:szCs w:val="28"/>
        </w:rPr>
        <w:t xml:space="preserve"> of the </w:t>
      </w:r>
      <w:r w:rsidR="00B33844">
        <w:rPr>
          <w:rFonts w:ascii="Times New Roman" w:hAnsi="Times New Roman" w:cs="Times New Roman"/>
          <w:sz w:val="28"/>
          <w:szCs w:val="28"/>
        </w:rPr>
        <w:t>VAT Act</w:t>
      </w:r>
      <w:r w:rsidR="0051576C">
        <w:rPr>
          <w:rStyle w:val="FootnoteReference"/>
          <w:rFonts w:ascii="Times New Roman" w:hAnsi="Times New Roman" w:cs="Times New Roman"/>
          <w:sz w:val="28"/>
          <w:szCs w:val="28"/>
        </w:rPr>
        <w:footnoteReference w:id="2"/>
      </w:r>
      <w:r w:rsidR="0051576C">
        <w:rPr>
          <w:rFonts w:ascii="Times New Roman" w:hAnsi="Times New Roman" w:cs="Times New Roman"/>
          <w:sz w:val="28"/>
          <w:szCs w:val="28"/>
        </w:rPr>
        <w:t xml:space="preserve"> </w:t>
      </w:r>
      <w:r w:rsidR="00B33844">
        <w:rPr>
          <w:rFonts w:ascii="Times New Roman" w:hAnsi="Times New Roman" w:cs="Times New Roman"/>
          <w:sz w:val="28"/>
          <w:szCs w:val="28"/>
        </w:rPr>
        <w:t xml:space="preserve">to have supplied to </w:t>
      </w:r>
      <w:r w:rsidR="00B33844">
        <w:rPr>
          <w:rFonts w:ascii="Times New Roman" w:hAnsi="Times New Roman" w:cs="Times New Roman"/>
          <w:sz w:val="28"/>
          <w:szCs w:val="28"/>
        </w:rPr>
        <w:lastRenderedPageBreak/>
        <w:t>Capitec,</w:t>
      </w:r>
      <w:r w:rsidR="00676B3D">
        <w:rPr>
          <w:rFonts w:ascii="Times New Roman" w:hAnsi="Times New Roman" w:cs="Times New Roman"/>
          <w:sz w:val="28"/>
          <w:szCs w:val="28"/>
        </w:rPr>
        <w:t xml:space="preserve"> Capitec was required to pay output tax on the indemnity payment it received from Guardrisk. Th</w:t>
      </w:r>
      <w:r w:rsidR="00B33844">
        <w:rPr>
          <w:rFonts w:ascii="Times New Roman" w:hAnsi="Times New Roman" w:cs="Times New Roman"/>
          <w:sz w:val="28"/>
          <w:szCs w:val="28"/>
        </w:rPr>
        <w:t>us</w:t>
      </w:r>
      <w:r w:rsidR="0047333E">
        <w:rPr>
          <w:rFonts w:ascii="Times New Roman" w:hAnsi="Times New Roman" w:cs="Times New Roman"/>
          <w:sz w:val="28"/>
          <w:szCs w:val="28"/>
        </w:rPr>
        <w:t>,</w:t>
      </w:r>
      <w:r w:rsidR="00B33844">
        <w:rPr>
          <w:rFonts w:ascii="Times New Roman" w:hAnsi="Times New Roman" w:cs="Times New Roman"/>
          <w:sz w:val="28"/>
          <w:szCs w:val="28"/>
        </w:rPr>
        <w:t xml:space="preserve"> the equilibrium was achieved</w:t>
      </w:r>
      <w:r w:rsidR="00676B3D">
        <w:rPr>
          <w:rFonts w:ascii="Times New Roman" w:hAnsi="Times New Roman" w:cs="Times New Roman"/>
          <w:sz w:val="28"/>
          <w:szCs w:val="28"/>
        </w:rPr>
        <w:t xml:space="preserve"> in Capitec’s books in that both the input tax deduction and the output tax were accoun</w:t>
      </w:r>
      <w:r w:rsidR="00B33844">
        <w:rPr>
          <w:rFonts w:ascii="Times New Roman" w:hAnsi="Times New Roman" w:cs="Times New Roman"/>
          <w:sz w:val="28"/>
          <w:szCs w:val="28"/>
        </w:rPr>
        <w:t xml:space="preserve">ted for. </w:t>
      </w:r>
      <w:r w:rsidR="000B4A6E">
        <w:rPr>
          <w:rFonts w:ascii="Times New Roman" w:hAnsi="Times New Roman" w:cs="Times New Roman"/>
          <w:sz w:val="28"/>
          <w:szCs w:val="28"/>
        </w:rPr>
        <w:t>However</w:t>
      </w:r>
      <w:r w:rsidR="00B33844">
        <w:rPr>
          <w:rFonts w:ascii="Times New Roman" w:hAnsi="Times New Roman" w:cs="Times New Roman"/>
          <w:sz w:val="28"/>
          <w:szCs w:val="28"/>
        </w:rPr>
        <w:t xml:space="preserve">, Capitec wants to treat that </w:t>
      </w:r>
      <w:r w:rsidR="00676B3D">
        <w:rPr>
          <w:rFonts w:ascii="Times New Roman" w:hAnsi="Times New Roman" w:cs="Times New Roman"/>
          <w:sz w:val="28"/>
          <w:szCs w:val="28"/>
        </w:rPr>
        <w:t>same deemed supply as a new notional input tax deduction. If it doe</w:t>
      </w:r>
      <w:r w:rsidR="00B33844">
        <w:rPr>
          <w:rFonts w:ascii="Times New Roman" w:hAnsi="Times New Roman" w:cs="Times New Roman"/>
          <w:sz w:val="28"/>
          <w:szCs w:val="28"/>
        </w:rPr>
        <w:t xml:space="preserve">s so, this </w:t>
      </w:r>
      <w:r w:rsidR="00676B3D">
        <w:rPr>
          <w:rFonts w:ascii="Times New Roman" w:hAnsi="Times New Roman" w:cs="Times New Roman"/>
          <w:sz w:val="28"/>
          <w:szCs w:val="28"/>
        </w:rPr>
        <w:t>will leave the books of Capitec skewed,</w:t>
      </w:r>
      <w:r w:rsidR="00B33844">
        <w:rPr>
          <w:rFonts w:ascii="Times New Roman" w:hAnsi="Times New Roman" w:cs="Times New Roman"/>
          <w:sz w:val="28"/>
          <w:szCs w:val="28"/>
        </w:rPr>
        <w:t xml:space="preserve"> as this would result in there </w:t>
      </w:r>
      <w:r w:rsidR="00676B3D">
        <w:rPr>
          <w:rFonts w:ascii="Times New Roman" w:hAnsi="Times New Roman" w:cs="Times New Roman"/>
          <w:sz w:val="28"/>
          <w:szCs w:val="28"/>
        </w:rPr>
        <w:t>being deductions of input tax without any corresponding output tax, because the output tax that is deemed to have been received in terms of s</w:t>
      </w:r>
      <w:r w:rsidR="003D4F3E">
        <w:rPr>
          <w:rFonts w:ascii="Times New Roman" w:hAnsi="Times New Roman" w:cs="Times New Roman"/>
          <w:sz w:val="28"/>
          <w:szCs w:val="28"/>
        </w:rPr>
        <w:t xml:space="preserve"> </w:t>
      </w:r>
      <w:r w:rsidR="00676B3D">
        <w:rPr>
          <w:rFonts w:ascii="Times New Roman" w:hAnsi="Times New Roman" w:cs="Times New Roman"/>
          <w:sz w:val="28"/>
          <w:szCs w:val="28"/>
        </w:rPr>
        <w:t>8</w:t>
      </w:r>
      <w:r w:rsidR="0051576C">
        <w:rPr>
          <w:rFonts w:ascii="Times New Roman" w:hAnsi="Times New Roman" w:cs="Times New Roman"/>
          <w:sz w:val="28"/>
          <w:szCs w:val="28"/>
        </w:rPr>
        <w:t>(</w:t>
      </w:r>
      <w:r w:rsidR="00676B3D">
        <w:rPr>
          <w:rFonts w:ascii="Times New Roman" w:hAnsi="Times New Roman" w:cs="Times New Roman"/>
          <w:sz w:val="28"/>
          <w:szCs w:val="28"/>
        </w:rPr>
        <w:t>8</w:t>
      </w:r>
      <w:r w:rsidR="0051576C">
        <w:rPr>
          <w:rFonts w:ascii="Times New Roman" w:hAnsi="Times New Roman" w:cs="Times New Roman"/>
          <w:sz w:val="28"/>
          <w:szCs w:val="28"/>
        </w:rPr>
        <w:t>)</w:t>
      </w:r>
      <w:r w:rsidR="00676B3D">
        <w:rPr>
          <w:rFonts w:ascii="Times New Roman" w:hAnsi="Times New Roman" w:cs="Times New Roman"/>
          <w:sz w:val="28"/>
          <w:szCs w:val="28"/>
        </w:rPr>
        <w:t xml:space="preserve"> is immediately reversed by this notional deduction. In any event the obtain</w:t>
      </w:r>
      <w:r w:rsidR="00B33844">
        <w:rPr>
          <w:rFonts w:ascii="Times New Roman" w:hAnsi="Times New Roman" w:cs="Times New Roman"/>
          <w:sz w:val="28"/>
          <w:szCs w:val="28"/>
        </w:rPr>
        <w:t xml:space="preserve">ing of the Guardrisk insurance </w:t>
      </w:r>
      <w:r w:rsidR="00676B3D">
        <w:rPr>
          <w:rFonts w:ascii="Times New Roman" w:hAnsi="Times New Roman" w:cs="Times New Roman"/>
          <w:sz w:val="28"/>
          <w:szCs w:val="28"/>
        </w:rPr>
        <w:t xml:space="preserve">as between Guardrisk and Capitec is not a ‘taxable supply’ </w:t>
      </w:r>
      <w:r w:rsidR="008B4E04" w:rsidRPr="0018380A">
        <w:rPr>
          <w:rFonts w:ascii="Times New Roman" w:hAnsi="Times New Roman" w:cs="Times New Roman"/>
          <w:sz w:val="28"/>
          <w:szCs w:val="28"/>
        </w:rPr>
        <w:t>vis-à-vis</w:t>
      </w:r>
      <w:r w:rsidR="008B4E04">
        <w:rPr>
          <w:rFonts w:ascii="Times New Roman" w:hAnsi="Times New Roman" w:cs="Times New Roman"/>
          <w:sz w:val="28"/>
          <w:szCs w:val="28"/>
        </w:rPr>
        <w:t xml:space="preserve"> </w:t>
      </w:r>
      <w:r w:rsidR="00676B3D">
        <w:rPr>
          <w:rFonts w:ascii="Times New Roman" w:hAnsi="Times New Roman" w:cs="Times New Roman"/>
          <w:sz w:val="28"/>
          <w:szCs w:val="28"/>
        </w:rPr>
        <w:t>Capitec’s customer. The only supply between Capitec and its customers is the supply of credit</w:t>
      </w:r>
      <w:r w:rsidR="006F547C">
        <w:rPr>
          <w:rFonts w:ascii="Times New Roman" w:hAnsi="Times New Roman" w:cs="Times New Roman"/>
          <w:sz w:val="28"/>
          <w:szCs w:val="28"/>
        </w:rPr>
        <w:t>,</w:t>
      </w:r>
      <w:r w:rsidR="00676B3D">
        <w:rPr>
          <w:rFonts w:ascii="Times New Roman" w:hAnsi="Times New Roman" w:cs="Times New Roman"/>
          <w:sz w:val="28"/>
          <w:szCs w:val="28"/>
        </w:rPr>
        <w:t xml:space="preserve"> which is exempt.</w:t>
      </w:r>
    </w:p>
    <w:p w14:paraId="2AB702B4" w14:textId="77777777" w:rsidR="00676B3D" w:rsidRDefault="00676B3D" w:rsidP="00676B3D">
      <w:pPr>
        <w:spacing w:after="0" w:line="360" w:lineRule="auto"/>
        <w:jc w:val="both"/>
        <w:rPr>
          <w:rFonts w:ascii="Times New Roman" w:hAnsi="Times New Roman" w:cs="Times New Roman"/>
          <w:sz w:val="28"/>
          <w:szCs w:val="28"/>
        </w:rPr>
      </w:pPr>
    </w:p>
    <w:p w14:paraId="359FCE68" w14:textId="38800455" w:rsidR="00332DCE" w:rsidRDefault="00582D4B" w:rsidP="00815C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r w:rsidR="00B33844">
        <w:rPr>
          <w:rFonts w:ascii="Times New Roman" w:hAnsi="Times New Roman" w:cs="Times New Roman"/>
          <w:sz w:val="28"/>
          <w:szCs w:val="28"/>
        </w:rPr>
        <w:t>]</w:t>
      </w:r>
      <w:r w:rsidR="00B33844">
        <w:rPr>
          <w:rFonts w:ascii="Times New Roman" w:hAnsi="Times New Roman" w:cs="Times New Roman"/>
          <w:sz w:val="28"/>
          <w:szCs w:val="28"/>
        </w:rPr>
        <w:tab/>
      </w:r>
      <w:r w:rsidR="004154AE" w:rsidRPr="00B67EF0">
        <w:rPr>
          <w:rFonts w:ascii="Times New Roman" w:hAnsi="Times New Roman" w:cs="Times New Roman"/>
          <w:sz w:val="28"/>
          <w:szCs w:val="28"/>
        </w:rPr>
        <w:t xml:space="preserve">Furthermore, in terms of the </w:t>
      </w:r>
      <w:r w:rsidR="00B524A5">
        <w:rPr>
          <w:rFonts w:ascii="Times New Roman" w:hAnsi="Times New Roman" w:cs="Times New Roman"/>
          <w:sz w:val="28"/>
          <w:szCs w:val="28"/>
        </w:rPr>
        <w:t>credit insurance policies</w:t>
      </w:r>
      <w:r w:rsidR="004154AE" w:rsidRPr="00B67EF0">
        <w:rPr>
          <w:rFonts w:ascii="Times New Roman" w:hAnsi="Times New Roman" w:cs="Times New Roman"/>
          <w:sz w:val="28"/>
          <w:szCs w:val="28"/>
        </w:rPr>
        <w:t xml:space="preserve">, Capitec was insured against the ‘outstanding loan amount’, which was the loss of the capital amount of the credit provided and the capitalised amount of interest and fees. </w:t>
      </w:r>
      <w:r w:rsidR="004154AE" w:rsidRPr="00655B85">
        <w:rPr>
          <w:rFonts w:ascii="Times New Roman" w:hAnsi="Times New Roman" w:cs="Times New Roman"/>
          <w:sz w:val="28"/>
          <w:szCs w:val="28"/>
        </w:rPr>
        <w:t xml:space="preserve">All this constituted the provision of credit to its customers. Thus, on Capitec’s own version the purpose of the loan cover was to protect Capitec against the </w:t>
      </w:r>
      <w:r w:rsidR="000B4A6E" w:rsidRPr="00655B85">
        <w:rPr>
          <w:rFonts w:ascii="Times New Roman" w:hAnsi="Times New Roman" w:cs="Times New Roman"/>
          <w:sz w:val="28"/>
          <w:szCs w:val="28"/>
        </w:rPr>
        <w:t xml:space="preserve">risk </w:t>
      </w:r>
      <w:r w:rsidR="004154AE" w:rsidRPr="00655B85">
        <w:rPr>
          <w:rFonts w:ascii="Times New Roman" w:hAnsi="Times New Roman" w:cs="Times New Roman"/>
          <w:sz w:val="28"/>
          <w:szCs w:val="28"/>
        </w:rPr>
        <w:t xml:space="preserve">that its customers </w:t>
      </w:r>
      <w:r w:rsidR="00E94AD2" w:rsidRPr="00655B85">
        <w:rPr>
          <w:rFonts w:ascii="Times New Roman" w:hAnsi="Times New Roman" w:cs="Times New Roman"/>
          <w:sz w:val="28"/>
          <w:szCs w:val="28"/>
        </w:rPr>
        <w:t>would default on their loan</w:t>
      </w:r>
      <w:r w:rsidR="0047333E" w:rsidRPr="00655B85">
        <w:rPr>
          <w:rFonts w:ascii="Times New Roman" w:hAnsi="Times New Roman" w:cs="Times New Roman"/>
          <w:sz w:val="28"/>
          <w:szCs w:val="28"/>
        </w:rPr>
        <w:t xml:space="preserve">, </w:t>
      </w:r>
      <w:r w:rsidR="000B4A6E" w:rsidRPr="00655B85">
        <w:rPr>
          <w:rFonts w:ascii="Times New Roman" w:hAnsi="Times New Roman" w:cs="Times New Roman"/>
          <w:sz w:val="28"/>
          <w:szCs w:val="28"/>
        </w:rPr>
        <w:t>on account of retrenchment or death.</w:t>
      </w:r>
      <w:r w:rsidR="004154AE" w:rsidRPr="00655B85">
        <w:rPr>
          <w:rFonts w:ascii="Times New Roman" w:hAnsi="Times New Roman" w:cs="Times New Roman"/>
          <w:sz w:val="28"/>
          <w:szCs w:val="28"/>
        </w:rPr>
        <w:t xml:space="preserve"> The insurance policy settled that amount, thereby extinguishing the credit risk to Capitec. This was the purpose and effect of the loan cover. Thus, because the provision of credit is an exempt financial service, the loan cover was supplied in the course of making </w:t>
      </w:r>
      <w:r w:rsidR="008300F5" w:rsidRPr="00655B85">
        <w:rPr>
          <w:rFonts w:ascii="Times New Roman" w:hAnsi="Times New Roman" w:cs="Times New Roman"/>
          <w:sz w:val="28"/>
          <w:szCs w:val="28"/>
        </w:rPr>
        <w:t xml:space="preserve">an </w:t>
      </w:r>
      <w:r w:rsidR="004154AE" w:rsidRPr="00655B85">
        <w:rPr>
          <w:rFonts w:ascii="Times New Roman" w:hAnsi="Times New Roman" w:cs="Times New Roman"/>
          <w:sz w:val="28"/>
          <w:szCs w:val="28"/>
        </w:rPr>
        <w:t>exempt</w:t>
      </w:r>
      <w:r w:rsidR="004154AE" w:rsidRPr="00B67EF0">
        <w:rPr>
          <w:rFonts w:ascii="Times New Roman" w:hAnsi="Times New Roman" w:cs="Times New Roman"/>
          <w:sz w:val="28"/>
          <w:szCs w:val="28"/>
        </w:rPr>
        <w:t xml:space="preserve"> suppl</w:t>
      </w:r>
      <w:r w:rsidR="008300F5">
        <w:rPr>
          <w:rFonts w:ascii="Times New Roman" w:hAnsi="Times New Roman" w:cs="Times New Roman"/>
          <w:sz w:val="28"/>
          <w:szCs w:val="28"/>
        </w:rPr>
        <w:t>y</w:t>
      </w:r>
      <w:r w:rsidR="004154AE" w:rsidRPr="00B67EF0">
        <w:rPr>
          <w:rFonts w:ascii="Times New Roman" w:hAnsi="Times New Roman" w:cs="Times New Roman"/>
          <w:sz w:val="28"/>
          <w:szCs w:val="28"/>
        </w:rPr>
        <w:t xml:space="preserve"> and was therefore not deductib</w:t>
      </w:r>
      <w:r w:rsidR="004154AE">
        <w:rPr>
          <w:rFonts w:ascii="Times New Roman" w:hAnsi="Times New Roman" w:cs="Times New Roman"/>
          <w:sz w:val="28"/>
          <w:szCs w:val="28"/>
        </w:rPr>
        <w:t xml:space="preserve">le by Capitec in its VAT return. </w:t>
      </w:r>
      <w:r w:rsidR="00815CFD">
        <w:rPr>
          <w:rFonts w:ascii="Times New Roman" w:hAnsi="Times New Roman" w:cs="Times New Roman"/>
          <w:sz w:val="28"/>
          <w:szCs w:val="28"/>
        </w:rPr>
        <w:t xml:space="preserve">There is </w:t>
      </w:r>
      <w:r w:rsidR="004154AE">
        <w:rPr>
          <w:rFonts w:ascii="Times New Roman" w:hAnsi="Times New Roman" w:cs="Times New Roman"/>
          <w:sz w:val="28"/>
          <w:szCs w:val="28"/>
        </w:rPr>
        <w:t>thu</w:t>
      </w:r>
      <w:r w:rsidR="00332DCE">
        <w:rPr>
          <w:rFonts w:ascii="Times New Roman" w:hAnsi="Times New Roman" w:cs="Times New Roman"/>
          <w:sz w:val="28"/>
          <w:szCs w:val="28"/>
        </w:rPr>
        <w:t xml:space="preserve">s </w:t>
      </w:r>
      <w:r w:rsidR="00815CFD">
        <w:rPr>
          <w:rFonts w:ascii="Times New Roman" w:hAnsi="Times New Roman" w:cs="Times New Roman"/>
          <w:sz w:val="28"/>
          <w:szCs w:val="28"/>
        </w:rPr>
        <w:t>nothing to the distinction sought to be m</w:t>
      </w:r>
      <w:r w:rsidR="00332DCE">
        <w:rPr>
          <w:rFonts w:ascii="Times New Roman" w:hAnsi="Times New Roman" w:cs="Times New Roman"/>
          <w:sz w:val="28"/>
          <w:szCs w:val="28"/>
        </w:rPr>
        <w:t>ade between the loan cover bet</w:t>
      </w:r>
      <w:r w:rsidR="004154AE">
        <w:rPr>
          <w:rFonts w:ascii="Times New Roman" w:hAnsi="Times New Roman" w:cs="Times New Roman"/>
          <w:sz w:val="28"/>
          <w:szCs w:val="28"/>
        </w:rPr>
        <w:t>ween</w:t>
      </w:r>
      <w:r w:rsidR="00C23867">
        <w:rPr>
          <w:rFonts w:ascii="Times New Roman" w:hAnsi="Times New Roman" w:cs="Times New Roman"/>
          <w:sz w:val="28"/>
          <w:szCs w:val="28"/>
        </w:rPr>
        <w:t xml:space="preserve"> Capitec </w:t>
      </w:r>
      <w:r w:rsidR="00B33844">
        <w:rPr>
          <w:rFonts w:ascii="Times New Roman" w:hAnsi="Times New Roman" w:cs="Times New Roman"/>
          <w:sz w:val="28"/>
          <w:szCs w:val="28"/>
        </w:rPr>
        <w:t>and its clients</w:t>
      </w:r>
      <w:r w:rsidR="00815CFD">
        <w:rPr>
          <w:rFonts w:ascii="Times New Roman" w:hAnsi="Times New Roman" w:cs="Times New Roman"/>
          <w:sz w:val="28"/>
          <w:szCs w:val="28"/>
        </w:rPr>
        <w:t xml:space="preserve"> and t</w:t>
      </w:r>
      <w:r w:rsidR="00C23867">
        <w:rPr>
          <w:rFonts w:ascii="Times New Roman" w:hAnsi="Times New Roman" w:cs="Times New Roman"/>
          <w:sz w:val="28"/>
          <w:szCs w:val="28"/>
        </w:rPr>
        <w:t xml:space="preserve">he insurance </w:t>
      </w:r>
      <w:r w:rsidR="00332DCE">
        <w:rPr>
          <w:rFonts w:ascii="Times New Roman" w:hAnsi="Times New Roman" w:cs="Times New Roman"/>
          <w:sz w:val="28"/>
          <w:szCs w:val="28"/>
        </w:rPr>
        <w:t>contract</w:t>
      </w:r>
      <w:r w:rsidR="00C23867">
        <w:rPr>
          <w:rFonts w:ascii="Times New Roman" w:hAnsi="Times New Roman" w:cs="Times New Roman"/>
          <w:sz w:val="28"/>
          <w:szCs w:val="28"/>
        </w:rPr>
        <w:t>s</w:t>
      </w:r>
      <w:r w:rsidR="00332DCE">
        <w:rPr>
          <w:rFonts w:ascii="Times New Roman" w:hAnsi="Times New Roman" w:cs="Times New Roman"/>
          <w:sz w:val="28"/>
          <w:szCs w:val="28"/>
        </w:rPr>
        <w:t xml:space="preserve"> between Capitec and G</w:t>
      </w:r>
      <w:r w:rsidR="00815CFD">
        <w:rPr>
          <w:rFonts w:ascii="Times New Roman" w:hAnsi="Times New Roman" w:cs="Times New Roman"/>
          <w:sz w:val="28"/>
          <w:szCs w:val="28"/>
        </w:rPr>
        <w:t>u</w:t>
      </w:r>
      <w:r w:rsidR="00332DCE">
        <w:rPr>
          <w:rFonts w:ascii="Times New Roman" w:hAnsi="Times New Roman" w:cs="Times New Roman"/>
          <w:sz w:val="28"/>
          <w:szCs w:val="28"/>
        </w:rPr>
        <w:t>ardrisk. It</w:t>
      </w:r>
      <w:r w:rsidR="00400D84">
        <w:rPr>
          <w:rFonts w:ascii="Times New Roman" w:hAnsi="Times New Roman" w:cs="Times New Roman"/>
          <w:sz w:val="28"/>
          <w:szCs w:val="28"/>
        </w:rPr>
        <w:t xml:space="preserve"> is</w:t>
      </w:r>
      <w:r w:rsidR="00332DCE">
        <w:rPr>
          <w:rFonts w:ascii="Times New Roman" w:hAnsi="Times New Roman" w:cs="Times New Roman"/>
          <w:sz w:val="28"/>
          <w:szCs w:val="28"/>
        </w:rPr>
        <w:t xml:space="preserve"> the same contract and </w:t>
      </w:r>
      <w:r w:rsidR="00815CFD">
        <w:rPr>
          <w:rFonts w:ascii="Times New Roman" w:hAnsi="Times New Roman" w:cs="Times New Roman"/>
          <w:sz w:val="28"/>
          <w:szCs w:val="28"/>
        </w:rPr>
        <w:t>benefit</w:t>
      </w:r>
      <w:r w:rsidR="00332DCE">
        <w:rPr>
          <w:rFonts w:ascii="Times New Roman" w:hAnsi="Times New Roman" w:cs="Times New Roman"/>
          <w:sz w:val="28"/>
          <w:szCs w:val="28"/>
        </w:rPr>
        <w:t>s</w:t>
      </w:r>
      <w:r w:rsidR="00815CFD">
        <w:rPr>
          <w:rFonts w:ascii="Times New Roman" w:hAnsi="Times New Roman" w:cs="Times New Roman"/>
          <w:sz w:val="28"/>
          <w:szCs w:val="28"/>
        </w:rPr>
        <w:t xml:space="preserve"> both </w:t>
      </w:r>
      <w:r w:rsidR="00400D84">
        <w:rPr>
          <w:rFonts w:ascii="Times New Roman" w:hAnsi="Times New Roman" w:cs="Times New Roman"/>
          <w:sz w:val="28"/>
          <w:szCs w:val="28"/>
        </w:rPr>
        <w:t>Capitec</w:t>
      </w:r>
      <w:r w:rsidR="00400D84" w:rsidDel="00400D84">
        <w:rPr>
          <w:rFonts w:ascii="Times New Roman" w:hAnsi="Times New Roman" w:cs="Times New Roman"/>
          <w:sz w:val="28"/>
          <w:szCs w:val="28"/>
        </w:rPr>
        <w:t xml:space="preserve"> </w:t>
      </w:r>
      <w:r w:rsidR="00400D84">
        <w:rPr>
          <w:rFonts w:ascii="Times New Roman" w:hAnsi="Times New Roman" w:cs="Times New Roman"/>
          <w:sz w:val="28"/>
          <w:szCs w:val="28"/>
        </w:rPr>
        <w:t>and its customers</w:t>
      </w:r>
      <w:r w:rsidR="00815CFD">
        <w:rPr>
          <w:rFonts w:ascii="Times New Roman" w:hAnsi="Times New Roman" w:cs="Times New Roman"/>
          <w:sz w:val="28"/>
          <w:szCs w:val="28"/>
        </w:rPr>
        <w:t xml:space="preserve">. </w:t>
      </w:r>
    </w:p>
    <w:p w14:paraId="7AC97672" w14:textId="77777777" w:rsidR="00332DCE" w:rsidRPr="00655B85" w:rsidRDefault="00332DCE" w:rsidP="00815CFD">
      <w:pPr>
        <w:spacing w:after="0" w:line="360" w:lineRule="auto"/>
        <w:jc w:val="both"/>
        <w:rPr>
          <w:rFonts w:ascii="Times New Roman" w:hAnsi="Times New Roman" w:cs="Times New Roman"/>
          <w:sz w:val="28"/>
          <w:szCs w:val="28"/>
        </w:rPr>
      </w:pPr>
    </w:p>
    <w:p w14:paraId="778D0320" w14:textId="1638857F" w:rsidR="006A32AF" w:rsidRPr="00655B85" w:rsidRDefault="00582D4B" w:rsidP="00815CFD">
      <w:pPr>
        <w:spacing w:after="0" w:line="360" w:lineRule="auto"/>
        <w:jc w:val="both"/>
        <w:rPr>
          <w:rFonts w:ascii="Times New Roman" w:hAnsi="Times New Roman" w:cs="Times New Roman"/>
          <w:sz w:val="28"/>
          <w:szCs w:val="28"/>
        </w:rPr>
      </w:pPr>
      <w:r w:rsidRPr="00655B85">
        <w:rPr>
          <w:rFonts w:ascii="Times New Roman" w:hAnsi="Times New Roman" w:cs="Times New Roman"/>
          <w:sz w:val="28"/>
          <w:szCs w:val="28"/>
        </w:rPr>
        <w:t>[35</w:t>
      </w:r>
      <w:r w:rsidR="00B33844" w:rsidRPr="00655B85">
        <w:rPr>
          <w:rFonts w:ascii="Times New Roman" w:hAnsi="Times New Roman" w:cs="Times New Roman"/>
          <w:sz w:val="28"/>
          <w:szCs w:val="28"/>
        </w:rPr>
        <w:t>]</w:t>
      </w:r>
      <w:r w:rsidR="00B33844" w:rsidRPr="00655B85">
        <w:rPr>
          <w:rFonts w:ascii="Times New Roman" w:hAnsi="Times New Roman" w:cs="Times New Roman"/>
          <w:sz w:val="28"/>
          <w:szCs w:val="28"/>
        </w:rPr>
        <w:tab/>
      </w:r>
      <w:r w:rsidR="00C724EE" w:rsidRPr="00655B85">
        <w:rPr>
          <w:rFonts w:ascii="Times New Roman" w:hAnsi="Times New Roman" w:cs="Times New Roman"/>
          <w:sz w:val="28"/>
          <w:szCs w:val="28"/>
        </w:rPr>
        <w:t>I</w:t>
      </w:r>
      <w:r w:rsidR="00815CFD" w:rsidRPr="00655B85">
        <w:rPr>
          <w:rFonts w:ascii="Times New Roman" w:hAnsi="Times New Roman" w:cs="Times New Roman"/>
          <w:sz w:val="28"/>
          <w:szCs w:val="28"/>
        </w:rPr>
        <w:t>t is important to note that the fees</w:t>
      </w:r>
      <w:r w:rsidR="00074D0B" w:rsidRPr="00655B85">
        <w:rPr>
          <w:rFonts w:ascii="Times New Roman" w:hAnsi="Times New Roman" w:cs="Times New Roman"/>
          <w:sz w:val="28"/>
          <w:szCs w:val="28"/>
        </w:rPr>
        <w:t xml:space="preserve"> charged by Capitec to its customers</w:t>
      </w:r>
      <w:r w:rsidR="00815CFD" w:rsidRPr="00655B85">
        <w:rPr>
          <w:rFonts w:ascii="Times New Roman" w:hAnsi="Times New Roman" w:cs="Times New Roman"/>
          <w:sz w:val="28"/>
          <w:szCs w:val="28"/>
        </w:rPr>
        <w:t>, ie t</w:t>
      </w:r>
      <w:r w:rsidR="00C724EE" w:rsidRPr="00655B85">
        <w:rPr>
          <w:rFonts w:ascii="Times New Roman" w:hAnsi="Times New Roman" w:cs="Times New Roman"/>
          <w:sz w:val="28"/>
          <w:szCs w:val="28"/>
        </w:rPr>
        <w:t>he initiation fee and the monthly</w:t>
      </w:r>
      <w:r w:rsidR="00815CFD" w:rsidRPr="00655B85">
        <w:rPr>
          <w:rFonts w:ascii="Times New Roman" w:hAnsi="Times New Roman" w:cs="Times New Roman"/>
          <w:sz w:val="28"/>
          <w:szCs w:val="28"/>
        </w:rPr>
        <w:t xml:space="preserve"> service f</w:t>
      </w:r>
      <w:r w:rsidR="00B33844" w:rsidRPr="00655B85">
        <w:rPr>
          <w:rFonts w:ascii="Times New Roman" w:hAnsi="Times New Roman" w:cs="Times New Roman"/>
          <w:sz w:val="28"/>
          <w:szCs w:val="28"/>
        </w:rPr>
        <w:t>ees</w:t>
      </w:r>
      <w:r w:rsidR="00074D0B" w:rsidRPr="00655B85">
        <w:rPr>
          <w:rFonts w:ascii="Times New Roman" w:hAnsi="Times New Roman" w:cs="Times New Roman"/>
          <w:sz w:val="28"/>
          <w:szCs w:val="28"/>
        </w:rPr>
        <w:t>,</w:t>
      </w:r>
      <w:r w:rsidR="00B33844" w:rsidRPr="00655B85">
        <w:rPr>
          <w:rFonts w:ascii="Times New Roman" w:hAnsi="Times New Roman" w:cs="Times New Roman"/>
          <w:sz w:val="28"/>
          <w:szCs w:val="28"/>
        </w:rPr>
        <w:t xml:space="preserve"> are payable on accrual and </w:t>
      </w:r>
      <w:r w:rsidR="00815CFD" w:rsidRPr="00655B85">
        <w:rPr>
          <w:rFonts w:ascii="Times New Roman" w:hAnsi="Times New Roman" w:cs="Times New Roman"/>
          <w:sz w:val="28"/>
          <w:szCs w:val="28"/>
        </w:rPr>
        <w:t xml:space="preserve">are taxable supplies. If they are not paid </w:t>
      </w:r>
      <w:r w:rsidR="00C724EE" w:rsidRPr="00655B85">
        <w:rPr>
          <w:rFonts w:ascii="Times New Roman" w:hAnsi="Times New Roman" w:cs="Times New Roman"/>
          <w:sz w:val="28"/>
          <w:szCs w:val="28"/>
        </w:rPr>
        <w:t>immediately</w:t>
      </w:r>
      <w:r w:rsidR="00272F2E" w:rsidRPr="00655B85">
        <w:rPr>
          <w:rFonts w:ascii="Times New Roman" w:hAnsi="Times New Roman" w:cs="Times New Roman"/>
          <w:sz w:val="28"/>
          <w:szCs w:val="28"/>
        </w:rPr>
        <w:t>,</w:t>
      </w:r>
      <w:r w:rsidR="00C724EE" w:rsidRPr="00655B85">
        <w:rPr>
          <w:rFonts w:ascii="Times New Roman" w:hAnsi="Times New Roman" w:cs="Times New Roman"/>
          <w:sz w:val="28"/>
          <w:szCs w:val="28"/>
        </w:rPr>
        <w:t xml:space="preserve"> </w:t>
      </w:r>
      <w:r w:rsidR="00815CFD" w:rsidRPr="00655B85">
        <w:rPr>
          <w:rFonts w:ascii="Times New Roman" w:hAnsi="Times New Roman" w:cs="Times New Roman"/>
          <w:sz w:val="28"/>
          <w:szCs w:val="28"/>
        </w:rPr>
        <w:t>they become capit</w:t>
      </w:r>
      <w:r w:rsidR="000B4A6E" w:rsidRPr="00655B85">
        <w:rPr>
          <w:rFonts w:ascii="Times New Roman" w:hAnsi="Times New Roman" w:cs="Times New Roman"/>
          <w:sz w:val="28"/>
          <w:szCs w:val="28"/>
        </w:rPr>
        <w:t>a</w:t>
      </w:r>
      <w:r w:rsidR="00815CFD" w:rsidRPr="00655B85">
        <w:rPr>
          <w:rFonts w:ascii="Times New Roman" w:hAnsi="Times New Roman" w:cs="Times New Roman"/>
          <w:sz w:val="28"/>
          <w:szCs w:val="28"/>
        </w:rPr>
        <w:t>lised and added</w:t>
      </w:r>
      <w:r w:rsidR="00C724EE" w:rsidRPr="00655B85">
        <w:rPr>
          <w:rFonts w:ascii="Times New Roman" w:hAnsi="Times New Roman" w:cs="Times New Roman"/>
          <w:sz w:val="28"/>
          <w:szCs w:val="28"/>
        </w:rPr>
        <w:t xml:space="preserve"> to the </w:t>
      </w:r>
      <w:r w:rsidR="00815CFD" w:rsidRPr="00655B85">
        <w:rPr>
          <w:rFonts w:ascii="Times New Roman" w:hAnsi="Times New Roman" w:cs="Times New Roman"/>
          <w:sz w:val="28"/>
          <w:szCs w:val="28"/>
        </w:rPr>
        <w:t xml:space="preserve">balance </w:t>
      </w:r>
      <w:r w:rsidR="00815CFD">
        <w:rPr>
          <w:rFonts w:ascii="Times New Roman" w:hAnsi="Times New Roman" w:cs="Times New Roman"/>
          <w:sz w:val="28"/>
          <w:szCs w:val="28"/>
        </w:rPr>
        <w:t>of</w:t>
      </w:r>
      <w:r w:rsidR="00C724EE">
        <w:rPr>
          <w:rFonts w:ascii="Times New Roman" w:hAnsi="Times New Roman" w:cs="Times New Roman"/>
          <w:sz w:val="28"/>
          <w:szCs w:val="28"/>
        </w:rPr>
        <w:t xml:space="preserve"> the outsta</w:t>
      </w:r>
      <w:r w:rsidR="00F21397">
        <w:rPr>
          <w:rFonts w:ascii="Times New Roman" w:hAnsi="Times New Roman" w:cs="Times New Roman"/>
          <w:sz w:val="28"/>
          <w:szCs w:val="28"/>
        </w:rPr>
        <w:t>nding loan</w:t>
      </w:r>
      <w:r w:rsidR="006F547C">
        <w:rPr>
          <w:rFonts w:ascii="Times New Roman" w:hAnsi="Times New Roman" w:cs="Times New Roman"/>
          <w:sz w:val="28"/>
          <w:szCs w:val="28"/>
        </w:rPr>
        <w:t>,</w:t>
      </w:r>
      <w:r w:rsidR="00F21397">
        <w:rPr>
          <w:rFonts w:ascii="Times New Roman" w:hAnsi="Times New Roman" w:cs="Times New Roman"/>
          <w:sz w:val="28"/>
          <w:szCs w:val="28"/>
        </w:rPr>
        <w:t xml:space="preserve"> which renders them </w:t>
      </w:r>
      <w:r w:rsidR="00815CFD">
        <w:rPr>
          <w:rFonts w:ascii="Times New Roman" w:hAnsi="Times New Roman" w:cs="Times New Roman"/>
          <w:sz w:val="28"/>
          <w:szCs w:val="28"/>
        </w:rPr>
        <w:t xml:space="preserve">exempt. When the bank raises the monthly service fees </w:t>
      </w:r>
      <w:r w:rsidR="002C6583">
        <w:rPr>
          <w:rFonts w:ascii="Times New Roman" w:hAnsi="Times New Roman" w:cs="Times New Roman"/>
          <w:sz w:val="28"/>
          <w:szCs w:val="28"/>
        </w:rPr>
        <w:t>it immediately debits the customer</w:t>
      </w:r>
      <w:r w:rsidR="00272F2E">
        <w:rPr>
          <w:rFonts w:ascii="Times New Roman" w:hAnsi="Times New Roman" w:cs="Times New Roman"/>
          <w:sz w:val="28"/>
          <w:szCs w:val="28"/>
        </w:rPr>
        <w:t>’</w:t>
      </w:r>
      <w:r w:rsidR="00815CFD">
        <w:rPr>
          <w:rFonts w:ascii="Times New Roman" w:hAnsi="Times New Roman" w:cs="Times New Roman"/>
          <w:sz w:val="28"/>
          <w:szCs w:val="28"/>
        </w:rPr>
        <w:t>s account. But</w:t>
      </w:r>
      <w:r w:rsidR="00B524A5">
        <w:rPr>
          <w:rFonts w:ascii="Times New Roman" w:hAnsi="Times New Roman" w:cs="Times New Roman"/>
          <w:sz w:val="28"/>
          <w:szCs w:val="28"/>
        </w:rPr>
        <w:t>,</w:t>
      </w:r>
      <w:r w:rsidR="00815CFD">
        <w:rPr>
          <w:rFonts w:ascii="Times New Roman" w:hAnsi="Times New Roman" w:cs="Times New Roman"/>
          <w:sz w:val="28"/>
          <w:szCs w:val="28"/>
        </w:rPr>
        <w:t xml:space="preserve"> if for any reason th</w:t>
      </w:r>
      <w:r w:rsidR="00B33844">
        <w:rPr>
          <w:rFonts w:ascii="Times New Roman" w:hAnsi="Times New Roman" w:cs="Times New Roman"/>
          <w:sz w:val="28"/>
          <w:szCs w:val="28"/>
        </w:rPr>
        <w:t>e account does not have funds</w:t>
      </w:r>
      <w:r w:rsidR="00B524A5">
        <w:rPr>
          <w:rFonts w:ascii="Times New Roman" w:hAnsi="Times New Roman" w:cs="Times New Roman"/>
          <w:sz w:val="28"/>
          <w:szCs w:val="28"/>
        </w:rPr>
        <w:t>,</w:t>
      </w:r>
      <w:r w:rsidR="00B33844">
        <w:rPr>
          <w:rFonts w:ascii="Times New Roman" w:hAnsi="Times New Roman" w:cs="Times New Roman"/>
          <w:sz w:val="28"/>
          <w:szCs w:val="28"/>
        </w:rPr>
        <w:t xml:space="preserve"> </w:t>
      </w:r>
      <w:r w:rsidR="00815CFD">
        <w:rPr>
          <w:rFonts w:ascii="Times New Roman" w:hAnsi="Times New Roman" w:cs="Times New Roman"/>
          <w:sz w:val="28"/>
          <w:szCs w:val="28"/>
        </w:rPr>
        <w:t>then that account will fall into arrears and the amount of the fees will be added to the balance outstanding</w:t>
      </w:r>
      <w:r w:rsidR="00B524A5">
        <w:rPr>
          <w:rFonts w:ascii="Times New Roman" w:hAnsi="Times New Roman" w:cs="Times New Roman"/>
          <w:sz w:val="28"/>
          <w:szCs w:val="28"/>
        </w:rPr>
        <w:t xml:space="preserve">. </w:t>
      </w:r>
      <w:r w:rsidR="00815CFD">
        <w:rPr>
          <w:rFonts w:ascii="Times New Roman" w:hAnsi="Times New Roman" w:cs="Times New Roman"/>
          <w:sz w:val="28"/>
          <w:szCs w:val="28"/>
        </w:rPr>
        <w:t>Once it is in the account</w:t>
      </w:r>
      <w:r w:rsidR="00B524A5">
        <w:rPr>
          <w:rFonts w:ascii="Times New Roman" w:hAnsi="Times New Roman" w:cs="Times New Roman"/>
          <w:sz w:val="28"/>
          <w:szCs w:val="28"/>
        </w:rPr>
        <w:t>,</w:t>
      </w:r>
      <w:r w:rsidR="00815CFD">
        <w:rPr>
          <w:rFonts w:ascii="Times New Roman" w:hAnsi="Times New Roman" w:cs="Times New Roman"/>
          <w:sz w:val="28"/>
          <w:szCs w:val="28"/>
        </w:rPr>
        <w:t xml:space="preserve"> it </w:t>
      </w:r>
      <w:r w:rsidR="00B524A5">
        <w:rPr>
          <w:rFonts w:ascii="Times New Roman" w:hAnsi="Times New Roman" w:cs="Times New Roman"/>
          <w:sz w:val="28"/>
          <w:szCs w:val="28"/>
        </w:rPr>
        <w:t xml:space="preserve">then </w:t>
      </w:r>
      <w:r w:rsidR="00815CFD">
        <w:rPr>
          <w:rFonts w:ascii="Times New Roman" w:hAnsi="Times New Roman" w:cs="Times New Roman"/>
          <w:sz w:val="28"/>
          <w:szCs w:val="28"/>
        </w:rPr>
        <w:t>forms part of</w:t>
      </w:r>
      <w:r w:rsidR="00C724EE">
        <w:rPr>
          <w:rFonts w:ascii="Times New Roman" w:hAnsi="Times New Roman" w:cs="Times New Roman"/>
          <w:sz w:val="28"/>
          <w:szCs w:val="28"/>
        </w:rPr>
        <w:t xml:space="preserve"> </w:t>
      </w:r>
      <w:r w:rsidR="00815CFD">
        <w:rPr>
          <w:rFonts w:ascii="Times New Roman" w:hAnsi="Times New Roman" w:cs="Times New Roman"/>
          <w:sz w:val="28"/>
          <w:szCs w:val="28"/>
        </w:rPr>
        <w:t>what is insured under the loan cover</w:t>
      </w:r>
      <w:r w:rsidR="00B524A5">
        <w:rPr>
          <w:rFonts w:ascii="Times New Roman" w:hAnsi="Times New Roman" w:cs="Times New Roman"/>
          <w:sz w:val="28"/>
          <w:szCs w:val="28"/>
        </w:rPr>
        <w:t>;</w:t>
      </w:r>
      <w:r w:rsidR="00815CFD">
        <w:rPr>
          <w:rFonts w:ascii="Times New Roman" w:hAnsi="Times New Roman" w:cs="Times New Roman"/>
          <w:sz w:val="28"/>
          <w:szCs w:val="28"/>
        </w:rPr>
        <w:t xml:space="preserve"> it forms part of the balance owing by the client</w:t>
      </w:r>
      <w:r w:rsidR="00B524A5">
        <w:rPr>
          <w:rFonts w:ascii="Times New Roman" w:hAnsi="Times New Roman" w:cs="Times New Roman"/>
          <w:sz w:val="28"/>
          <w:szCs w:val="28"/>
        </w:rPr>
        <w:t>,</w:t>
      </w:r>
      <w:r w:rsidR="00C724EE">
        <w:rPr>
          <w:rFonts w:ascii="Times New Roman" w:hAnsi="Times New Roman" w:cs="Times New Roman"/>
          <w:sz w:val="28"/>
          <w:szCs w:val="28"/>
        </w:rPr>
        <w:t xml:space="preserve"> and because it has been capitalised </w:t>
      </w:r>
      <w:r w:rsidR="00815CFD">
        <w:rPr>
          <w:rFonts w:ascii="Times New Roman" w:hAnsi="Times New Roman" w:cs="Times New Roman"/>
          <w:sz w:val="28"/>
          <w:szCs w:val="28"/>
        </w:rPr>
        <w:t xml:space="preserve">it is additional credit in respect of the overdue fees and the </w:t>
      </w:r>
      <w:r w:rsidR="00815CFD" w:rsidRPr="00655B85">
        <w:rPr>
          <w:rFonts w:ascii="Times New Roman" w:hAnsi="Times New Roman" w:cs="Times New Roman"/>
          <w:sz w:val="28"/>
          <w:szCs w:val="28"/>
        </w:rPr>
        <w:t xml:space="preserve">latter </w:t>
      </w:r>
      <w:r w:rsidR="00272F2E" w:rsidRPr="00655B85">
        <w:rPr>
          <w:rFonts w:ascii="Times New Roman" w:hAnsi="Times New Roman" w:cs="Times New Roman"/>
          <w:sz w:val="28"/>
          <w:szCs w:val="28"/>
        </w:rPr>
        <w:t xml:space="preserve">effectively </w:t>
      </w:r>
      <w:r w:rsidR="00815CFD" w:rsidRPr="00655B85">
        <w:rPr>
          <w:rFonts w:ascii="Times New Roman" w:hAnsi="Times New Roman" w:cs="Times New Roman"/>
          <w:sz w:val="28"/>
          <w:szCs w:val="28"/>
        </w:rPr>
        <w:t>becomes</w:t>
      </w:r>
      <w:r w:rsidR="00815CFD">
        <w:rPr>
          <w:rFonts w:ascii="Times New Roman" w:hAnsi="Times New Roman" w:cs="Times New Roman"/>
          <w:sz w:val="28"/>
          <w:szCs w:val="28"/>
        </w:rPr>
        <w:t xml:space="preserve"> an additional loan. </w:t>
      </w:r>
      <w:r w:rsidR="00B524A5">
        <w:rPr>
          <w:rFonts w:ascii="Times New Roman" w:hAnsi="Times New Roman" w:cs="Times New Roman"/>
          <w:sz w:val="28"/>
          <w:szCs w:val="28"/>
        </w:rPr>
        <w:t>In this way, t</w:t>
      </w:r>
      <w:r w:rsidR="00815CFD">
        <w:rPr>
          <w:rFonts w:ascii="Times New Roman" w:hAnsi="Times New Roman" w:cs="Times New Roman"/>
          <w:sz w:val="28"/>
          <w:szCs w:val="28"/>
        </w:rPr>
        <w:t xml:space="preserve">he only fees that will </w:t>
      </w:r>
      <w:r w:rsidR="006F547C">
        <w:rPr>
          <w:rFonts w:ascii="Times New Roman" w:hAnsi="Times New Roman" w:cs="Times New Roman"/>
          <w:sz w:val="28"/>
          <w:szCs w:val="28"/>
        </w:rPr>
        <w:t xml:space="preserve">form </w:t>
      </w:r>
      <w:r w:rsidR="00815CFD">
        <w:rPr>
          <w:rFonts w:ascii="Times New Roman" w:hAnsi="Times New Roman" w:cs="Times New Roman"/>
          <w:sz w:val="28"/>
          <w:szCs w:val="28"/>
        </w:rPr>
        <w:t>part of the balance of the outstanding loan amount are overdue fees. Those overdue fees</w:t>
      </w:r>
      <w:r w:rsidR="00B524A5">
        <w:rPr>
          <w:rFonts w:ascii="Times New Roman" w:hAnsi="Times New Roman" w:cs="Times New Roman"/>
          <w:sz w:val="28"/>
          <w:szCs w:val="28"/>
        </w:rPr>
        <w:t>,</w:t>
      </w:r>
      <w:r w:rsidR="00815CFD">
        <w:rPr>
          <w:rFonts w:ascii="Times New Roman" w:hAnsi="Times New Roman" w:cs="Times New Roman"/>
          <w:sz w:val="28"/>
          <w:szCs w:val="28"/>
        </w:rPr>
        <w:t xml:space="preserve"> the moment they become overdue</w:t>
      </w:r>
      <w:r w:rsidR="00B524A5">
        <w:rPr>
          <w:rFonts w:ascii="Times New Roman" w:hAnsi="Times New Roman" w:cs="Times New Roman"/>
          <w:sz w:val="28"/>
          <w:szCs w:val="28"/>
        </w:rPr>
        <w:t>,</w:t>
      </w:r>
      <w:r w:rsidR="00815CFD">
        <w:rPr>
          <w:rFonts w:ascii="Times New Roman" w:hAnsi="Times New Roman" w:cs="Times New Roman"/>
          <w:sz w:val="28"/>
          <w:szCs w:val="28"/>
        </w:rPr>
        <w:t xml:space="preserve"> be</w:t>
      </w:r>
      <w:r w:rsidR="00C724EE">
        <w:rPr>
          <w:rFonts w:ascii="Times New Roman" w:hAnsi="Times New Roman" w:cs="Times New Roman"/>
          <w:sz w:val="28"/>
          <w:szCs w:val="28"/>
        </w:rPr>
        <w:t>come additional credit advanced to the customer. T</w:t>
      </w:r>
      <w:r w:rsidR="00815CFD">
        <w:rPr>
          <w:rFonts w:ascii="Times New Roman" w:hAnsi="Times New Roman" w:cs="Times New Roman"/>
          <w:sz w:val="28"/>
          <w:szCs w:val="28"/>
        </w:rPr>
        <w:t>hus</w:t>
      </w:r>
      <w:r w:rsidR="00B524A5">
        <w:rPr>
          <w:rFonts w:ascii="Times New Roman" w:hAnsi="Times New Roman" w:cs="Times New Roman"/>
          <w:sz w:val="28"/>
          <w:szCs w:val="28"/>
        </w:rPr>
        <w:t>,</w:t>
      </w:r>
      <w:r w:rsidR="00815CFD">
        <w:rPr>
          <w:rFonts w:ascii="Times New Roman" w:hAnsi="Times New Roman" w:cs="Times New Roman"/>
          <w:sz w:val="28"/>
          <w:szCs w:val="28"/>
        </w:rPr>
        <w:t xml:space="preserve"> the loan cover relates exclusively </w:t>
      </w:r>
      <w:r w:rsidR="00C724EE">
        <w:rPr>
          <w:rFonts w:ascii="Times New Roman" w:hAnsi="Times New Roman" w:cs="Times New Roman"/>
          <w:sz w:val="28"/>
          <w:szCs w:val="28"/>
        </w:rPr>
        <w:t>to the supply of credit</w:t>
      </w:r>
      <w:r w:rsidR="00B524A5">
        <w:rPr>
          <w:rFonts w:ascii="Times New Roman" w:hAnsi="Times New Roman" w:cs="Times New Roman"/>
          <w:sz w:val="28"/>
          <w:szCs w:val="28"/>
        </w:rPr>
        <w:t>;</w:t>
      </w:r>
      <w:r w:rsidR="00C724EE">
        <w:rPr>
          <w:rFonts w:ascii="Times New Roman" w:hAnsi="Times New Roman" w:cs="Times New Roman"/>
          <w:sz w:val="28"/>
          <w:szCs w:val="28"/>
        </w:rPr>
        <w:t xml:space="preserve"> whether</w:t>
      </w:r>
      <w:r w:rsidR="00815CFD">
        <w:rPr>
          <w:rFonts w:ascii="Times New Roman" w:hAnsi="Times New Roman" w:cs="Times New Roman"/>
          <w:sz w:val="28"/>
          <w:szCs w:val="28"/>
        </w:rPr>
        <w:t xml:space="preserve"> that credit pertains to the capit</w:t>
      </w:r>
      <w:r w:rsidR="00666881">
        <w:rPr>
          <w:rFonts w:ascii="Times New Roman" w:hAnsi="Times New Roman" w:cs="Times New Roman"/>
          <w:sz w:val="28"/>
          <w:szCs w:val="28"/>
        </w:rPr>
        <w:t>a</w:t>
      </w:r>
      <w:r w:rsidR="00815CFD">
        <w:rPr>
          <w:rFonts w:ascii="Times New Roman" w:hAnsi="Times New Roman" w:cs="Times New Roman"/>
          <w:sz w:val="28"/>
          <w:szCs w:val="28"/>
        </w:rPr>
        <w:t>lised amount or the ac</w:t>
      </w:r>
      <w:r w:rsidR="00C724EE">
        <w:rPr>
          <w:rFonts w:ascii="Times New Roman" w:hAnsi="Times New Roman" w:cs="Times New Roman"/>
          <w:sz w:val="28"/>
          <w:szCs w:val="28"/>
        </w:rPr>
        <w:t xml:space="preserve">crued </w:t>
      </w:r>
      <w:r w:rsidR="00C724EE" w:rsidRPr="00655B85">
        <w:rPr>
          <w:rFonts w:ascii="Times New Roman" w:hAnsi="Times New Roman" w:cs="Times New Roman"/>
          <w:sz w:val="28"/>
          <w:szCs w:val="28"/>
        </w:rPr>
        <w:t>and capit</w:t>
      </w:r>
      <w:r w:rsidR="00666881" w:rsidRPr="00655B85">
        <w:rPr>
          <w:rFonts w:ascii="Times New Roman" w:hAnsi="Times New Roman" w:cs="Times New Roman"/>
          <w:sz w:val="28"/>
          <w:szCs w:val="28"/>
        </w:rPr>
        <w:t>a</w:t>
      </w:r>
      <w:r w:rsidR="00C724EE" w:rsidRPr="00655B85">
        <w:rPr>
          <w:rFonts w:ascii="Times New Roman" w:hAnsi="Times New Roman" w:cs="Times New Roman"/>
          <w:sz w:val="28"/>
          <w:szCs w:val="28"/>
        </w:rPr>
        <w:t>lised interest</w:t>
      </w:r>
      <w:r w:rsidR="00815CFD">
        <w:rPr>
          <w:rFonts w:ascii="Times New Roman" w:hAnsi="Times New Roman" w:cs="Times New Roman"/>
          <w:sz w:val="28"/>
          <w:szCs w:val="28"/>
        </w:rPr>
        <w:t xml:space="preserve"> </w:t>
      </w:r>
      <w:r w:rsidR="00B33844">
        <w:rPr>
          <w:rFonts w:ascii="Times New Roman" w:hAnsi="Times New Roman" w:cs="Times New Roman"/>
          <w:sz w:val="28"/>
          <w:szCs w:val="28"/>
        </w:rPr>
        <w:t>fees</w:t>
      </w:r>
      <w:r w:rsidR="00B524A5">
        <w:rPr>
          <w:rFonts w:ascii="Times New Roman" w:hAnsi="Times New Roman" w:cs="Times New Roman"/>
          <w:sz w:val="28"/>
          <w:szCs w:val="28"/>
        </w:rPr>
        <w:t>,</w:t>
      </w:r>
      <w:r w:rsidR="00B33844">
        <w:rPr>
          <w:rFonts w:ascii="Times New Roman" w:hAnsi="Times New Roman" w:cs="Times New Roman"/>
          <w:sz w:val="28"/>
          <w:szCs w:val="28"/>
        </w:rPr>
        <w:t xml:space="preserve"> it is all </w:t>
      </w:r>
      <w:r w:rsidR="00B33844" w:rsidRPr="00655B85">
        <w:rPr>
          <w:rFonts w:ascii="Times New Roman" w:hAnsi="Times New Roman" w:cs="Times New Roman"/>
          <w:sz w:val="28"/>
          <w:szCs w:val="28"/>
        </w:rPr>
        <w:t>credit.</w:t>
      </w:r>
    </w:p>
    <w:p w14:paraId="33056EE6" w14:textId="73F2E56B" w:rsidR="00815CFD" w:rsidRDefault="00815CFD" w:rsidP="00815CFD">
      <w:pPr>
        <w:spacing w:after="0" w:line="360" w:lineRule="auto"/>
        <w:jc w:val="both"/>
        <w:rPr>
          <w:rFonts w:ascii="Times New Roman" w:hAnsi="Times New Roman" w:cs="Times New Roman"/>
          <w:sz w:val="28"/>
          <w:szCs w:val="28"/>
        </w:rPr>
      </w:pPr>
    </w:p>
    <w:p w14:paraId="562D20EF" w14:textId="60E2CDD2" w:rsidR="003C24DE" w:rsidRPr="00B67EF0" w:rsidRDefault="00582D4B" w:rsidP="003C2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[36</w:t>
      </w:r>
      <w:r w:rsidR="00B33844">
        <w:rPr>
          <w:rFonts w:ascii="Times New Roman" w:hAnsi="Times New Roman" w:cs="Times New Roman"/>
          <w:sz w:val="28"/>
          <w:szCs w:val="28"/>
        </w:rPr>
        <w:t>]</w:t>
      </w:r>
      <w:r w:rsidR="00B33844">
        <w:rPr>
          <w:rFonts w:ascii="Times New Roman" w:hAnsi="Times New Roman" w:cs="Times New Roman"/>
          <w:sz w:val="28"/>
          <w:szCs w:val="28"/>
        </w:rPr>
        <w:tab/>
      </w:r>
      <w:r w:rsidR="003C24DE">
        <w:rPr>
          <w:rFonts w:ascii="Times New Roman" w:hAnsi="Times New Roman" w:cs="Times New Roman"/>
          <w:sz w:val="28"/>
          <w:szCs w:val="28"/>
        </w:rPr>
        <w:t xml:space="preserve">In my view, </w:t>
      </w:r>
      <w:r w:rsidR="007B06C3" w:rsidRPr="00655B85">
        <w:rPr>
          <w:rFonts w:ascii="Times New Roman" w:hAnsi="Times New Roman" w:cs="Times New Roman"/>
          <w:sz w:val="28"/>
          <w:szCs w:val="28"/>
        </w:rPr>
        <w:t xml:space="preserve">SARS </w:t>
      </w:r>
      <w:r w:rsidR="003C24DE" w:rsidRPr="00655B85">
        <w:rPr>
          <w:rFonts w:ascii="Times New Roman" w:hAnsi="Times New Roman" w:cs="Times New Roman"/>
          <w:sz w:val="28"/>
          <w:szCs w:val="28"/>
        </w:rPr>
        <w:t xml:space="preserve">is correct when it contends that the fact that the </w:t>
      </w:r>
      <w:r w:rsidR="00B524A5" w:rsidRPr="00655B85">
        <w:rPr>
          <w:rFonts w:ascii="Times New Roman" w:hAnsi="Times New Roman" w:cs="Times New Roman"/>
          <w:sz w:val="28"/>
          <w:szCs w:val="28"/>
        </w:rPr>
        <w:t xml:space="preserve">credit insurance policies’ </w:t>
      </w:r>
      <w:r w:rsidR="003C24DE" w:rsidRPr="00655B85">
        <w:rPr>
          <w:rFonts w:ascii="Times New Roman" w:hAnsi="Times New Roman" w:cs="Times New Roman"/>
          <w:sz w:val="28"/>
          <w:szCs w:val="28"/>
        </w:rPr>
        <w:t>benefit may</w:t>
      </w:r>
      <w:r w:rsidR="003C24DE" w:rsidRPr="00B67EF0">
        <w:rPr>
          <w:rFonts w:ascii="Times New Roman" w:hAnsi="Times New Roman" w:cs="Times New Roman"/>
          <w:sz w:val="28"/>
          <w:szCs w:val="28"/>
        </w:rPr>
        <w:t xml:space="preserve"> include capitalised fees in the circumstances w</w:t>
      </w:r>
      <w:r w:rsidR="007B06C3">
        <w:rPr>
          <w:rFonts w:ascii="Times New Roman" w:hAnsi="Times New Roman" w:cs="Times New Roman"/>
          <w:sz w:val="28"/>
          <w:szCs w:val="28"/>
        </w:rPr>
        <w:t>h</w:t>
      </w:r>
      <w:r w:rsidR="003C24DE" w:rsidRPr="00B67EF0">
        <w:rPr>
          <w:rFonts w:ascii="Times New Roman" w:hAnsi="Times New Roman" w:cs="Times New Roman"/>
          <w:sz w:val="28"/>
          <w:szCs w:val="28"/>
        </w:rPr>
        <w:t xml:space="preserve">ere the client has fallen into default does not mean that the loan cover insured the earning of fees. It did not. It insured the recovery of the credit advanced (which at times included arrear capitalised fees). The earning of fees was not subject to credit risk, but the recovery or collection of arrear </w:t>
      </w:r>
      <w:r w:rsidR="00B524A5">
        <w:rPr>
          <w:rFonts w:ascii="Times New Roman" w:hAnsi="Times New Roman" w:cs="Times New Roman"/>
          <w:sz w:val="28"/>
          <w:szCs w:val="28"/>
        </w:rPr>
        <w:t xml:space="preserve">amounts owed by the customers, which included </w:t>
      </w:r>
      <w:r w:rsidR="003C24DE" w:rsidRPr="00B67EF0">
        <w:rPr>
          <w:rFonts w:ascii="Times New Roman" w:hAnsi="Times New Roman" w:cs="Times New Roman"/>
          <w:sz w:val="28"/>
          <w:szCs w:val="28"/>
        </w:rPr>
        <w:t>capitalised fees</w:t>
      </w:r>
      <w:r w:rsidR="00B524A5">
        <w:rPr>
          <w:rFonts w:ascii="Times New Roman" w:hAnsi="Times New Roman" w:cs="Times New Roman"/>
          <w:sz w:val="28"/>
          <w:szCs w:val="28"/>
        </w:rPr>
        <w:t>,</w:t>
      </w:r>
      <w:r w:rsidR="003C24DE" w:rsidRPr="00B67EF0">
        <w:rPr>
          <w:rFonts w:ascii="Times New Roman" w:hAnsi="Times New Roman" w:cs="Times New Roman"/>
          <w:sz w:val="28"/>
          <w:szCs w:val="28"/>
        </w:rPr>
        <w:t xml:space="preserve"> was subject to credit risk. The supply of services for which fees were paid were completed by the time the initiation fee was charged and the debit for the monthly instalment (inclusive of that fee) was raised. If the debit order </w:t>
      </w:r>
      <w:r w:rsidR="003C24DE">
        <w:rPr>
          <w:rFonts w:ascii="Times New Roman" w:hAnsi="Times New Roman" w:cs="Times New Roman"/>
          <w:sz w:val="28"/>
          <w:szCs w:val="28"/>
        </w:rPr>
        <w:t>was returned unpaid</w:t>
      </w:r>
      <w:r w:rsidR="003C24DE" w:rsidRPr="00B67EF0">
        <w:rPr>
          <w:rFonts w:ascii="Times New Roman" w:hAnsi="Times New Roman" w:cs="Times New Roman"/>
          <w:sz w:val="28"/>
          <w:szCs w:val="28"/>
        </w:rPr>
        <w:t xml:space="preserve">, Capitec automatically extended additional credit to the borrower in the amount of the </w:t>
      </w:r>
      <w:r w:rsidR="003C24DE" w:rsidRPr="00B67EF0">
        <w:rPr>
          <w:rFonts w:ascii="Times New Roman" w:hAnsi="Times New Roman" w:cs="Times New Roman"/>
          <w:sz w:val="28"/>
          <w:szCs w:val="28"/>
        </w:rPr>
        <w:lastRenderedPageBreak/>
        <w:t>unpaid instalment, which was a separate supply (of credit) and not a supply of further services.</w:t>
      </w:r>
    </w:p>
    <w:p w14:paraId="1C5548F1" w14:textId="77777777" w:rsidR="003C24DE" w:rsidRPr="00B67EF0" w:rsidRDefault="003C24DE" w:rsidP="003C24DE">
      <w:pPr>
        <w:spacing w:after="0" w:line="360" w:lineRule="auto"/>
        <w:jc w:val="both"/>
        <w:rPr>
          <w:rFonts w:ascii="Times New Roman" w:hAnsi="Times New Roman" w:cs="Times New Roman"/>
          <w:sz w:val="28"/>
          <w:szCs w:val="28"/>
        </w:rPr>
      </w:pPr>
    </w:p>
    <w:p w14:paraId="0EDC1068" w14:textId="33569D54" w:rsidR="003C24DE" w:rsidRPr="00655B85" w:rsidRDefault="00582D4B" w:rsidP="003C2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[37</w:t>
      </w:r>
      <w:r w:rsidR="00B33844">
        <w:rPr>
          <w:rFonts w:ascii="Times New Roman" w:hAnsi="Times New Roman" w:cs="Times New Roman"/>
          <w:sz w:val="28"/>
          <w:szCs w:val="28"/>
        </w:rPr>
        <w:t>]</w:t>
      </w:r>
      <w:r w:rsidR="00B33844">
        <w:rPr>
          <w:rFonts w:ascii="Times New Roman" w:hAnsi="Times New Roman" w:cs="Times New Roman"/>
          <w:sz w:val="28"/>
          <w:szCs w:val="28"/>
        </w:rPr>
        <w:tab/>
      </w:r>
      <w:r w:rsidR="003C24DE" w:rsidRPr="00655B85">
        <w:rPr>
          <w:rFonts w:ascii="Times New Roman" w:hAnsi="Times New Roman" w:cs="Times New Roman"/>
          <w:sz w:val="28"/>
          <w:szCs w:val="28"/>
        </w:rPr>
        <w:t>Thus</w:t>
      </w:r>
      <w:r w:rsidR="00786B7A" w:rsidRPr="00655B85">
        <w:rPr>
          <w:rFonts w:ascii="Times New Roman" w:hAnsi="Times New Roman" w:cs="Times New Roman"/>
          <w:sz w:val="28"/>
          <w:szCs w:val="28"/>
        </w:rPr>
        <w:t>,</w:t>
      </w:r>
      <w:r w:rsidR="003C24DE" w:rsidRPr="00655B85">
        <w:rPr>
          <w:rFonts w:ascii="Times New Roman" w:hAnsi="Times New Roman" w:cs="Times New Roman"/>
          <w:sz w:val="28"/>
          <w:szCs w:val="28"/>
        </w:rPr>
        <w:t xml:space="preserve"> the loan cover was supplied in the course of making exempt supplies, because the </w:t>
      </w:r>
      <w:r w:rsidR="000E2641" w:rsidRPr="00655B85">
        <w:rPr>
          <w:rFonts w:ascii="Times New Roman" w:hAnsi="Times New Roman" w:cs="Times New Roman"/>
          <w:sz w:val="28"/>
          <w:szCs w:val="28"/>
        </w:rPr>
        <w:t xml:space="preserve">credit </w:t>
      </w:r>
      <w:r w:rsidR="003C24DE" w:rsidRPr="00655B85">
        <w:rPr>
          <w:rFonts w:ascii="Times New Roman" w:hAnsi="Times New Roman" w:cs="Times New Roman"/>
          <w:sz w:val="28"/>
          <w:szCs w:val="28"/>
        </w:rPr>
        <w:t xml:space="preserve">insurance policies ensured the recovery of the credit advanced to customers. The </w:t>
      </w:r>
      <w:r w:rsidR="00525F4E" w:rsidRPr="00655B85">
        <w:rPr>
          <w:rFonts w:ascii="Times New Roman" w:hAnsi="Times New Roman" w:cs="Times New Roman"/>
          <w:sz w:val="28"/>
          <w:szCs w:val="28"/>
        </w:rPr>
        <w:t>payout</w:t>
      </w:r>
      <w:r w:rsidR="003C24DE" w:rsidRPr="00655B85">
        <w:rPr>
          <w:rFonts w:ascii="Times New Roman" w:hAnsi="Times New Roman" w:cs="Times New Roman"/>
          <w:sz w:val="28"/>
          <w:szCs w:val="28"/>
        </w:rPr>
        <w:t xml:space="preserve">s from the </w:t>
      </w:r>
      <w:r w:rsidR="000E2641" w:rsidRPr="00655B85">
        <w:rPr>
          <w:rFonts w:ascii="Times New Roman" w:hAnsi="Times New Roman" w:cs="Times New Roman"/>
          <w:sz w:val="28"/>
          <w:szCs w:val="28"/>
        </w:rPr>
        <w:t xml:space="preserve">credit insurance policies </w:t>
      </w:r>
      <w:r w:rsidR="003C24DE" w:rsidRPr="00655B85">
        <w:rPr>
          <w:rFonts w:ascii="Times New Roman" w:hAnsi="Times New Roman" w:cs="Times New Roman"/>
          <w:sz w:val="28"/>
          <w:szCs w:val="28"/>
        </w:rPr>
        <w:t>settled the credit balance owing, and extinguished the credit risk arising in the event of retrenchment or death of the customer. This was the purpose and effect of the loan cover.</w:t>
      </w:r>
      <w:r w:rsidR="000B7221" w:rsidRPr="00655B85">
        <w:rPr>
          <w:rFonts w:ascii="Times New Roman" w:hAnsi="Times New Roman" w:cs="Times New Roman"/>
          <w:sz w:val="28"/>
          <w:szCs w:val="28"/>
        </w:rPr>
        <w:t xml:space="preserve"> </w:t>
      </w:r>
    </w:p>
    <w:p w14:paraId="7E7F721E" w14:textId="1AB90A8C" w:rsidR="0088214F" w:rsidRPr="00655B85" w:rsidRDefault="0088214F" w:rsidP="0088214F">
      <w:pPr>
        <w:spacing w:after="0" w:line="360" w:lineRule="auto"/>
        <w:jc w:val="both"/>
        <w:rPr>
          <w:rFonts w:ascii="Times New Roman" w:hAnsi="Times New Roman" w:cs="Times New Roman"/>
          <w:i/>
          <w:sz w:val="28"/>
          <w:szCs w:val="28"/>
        </w:rPr>
      </w:pPr>
    </w:p>
    <w:p w14:paraId="0FBB284E" w14:textId="042B902C" w:rsidR="00144E9F" w:rsidRPr="00655B85" w:rsidRDefault="00582D4B" w:rsidP="00144E9F">
      <w:pPr>
        <w:spacing w:after="0" w:line="360" w:lineRule="auto"/>
        <w:jc w:val="both"/>
        <w:rPr>
          <w:rFonts w:ascii="Times New Roman" w:hAnsi="Times New Roman" w:cs="Times New Roman"/>
          <w:sz w:val="28"/>
          <w:szCs w:val="28"/>
          <w:lang w:val="en-US"/>
        </w:rPr>
      </w:pPr>
      <w:r w:rsidRPr="00655B85">
        <w:rPr>
          <w:rFonts w:ascii="Times New Roman" w:hAnsi="Times New Roman" w:cs="Times New Roman"/>
          <w:sz w:val="28"/>
          <w:szCs w:val="28"/>
          <w:lang w:val="en-US"/>
        </w:rPr>
        <w:t>[38</w:t>
      </w:r>
      <w:r w:rsidR="00144E9F" w:rsidRPr="00655B85">
        <w:rPr>
          <w:rFonts w:ascii="Times New Roman" w:hAnsi="Times New Roman" w:cs="Times New Roman"/>
          <w:sz w:val="28"/>
          <w:szCs w:val="28"/>
          <w:lang w:val="en-US"/>
        </w:rPr>
        <w:t>]</w:t>
      </w:r>
      <w:r w:rsidR="00144E9F" w:rsidRPr="00655B85">
        <w:rPr>
          <w:rFonts w:ascii="Times New Roman" w:hAnsi="Times New Roman" w:cs="Times New Roman"/>
          <w:sz w:val="28"/>
          <w:szCs w:val="28"/>
          <w:lang w:val="en-US"/>
        </w:rPr>
        <w:tab/>
        <w:t>Mr Retief, who testified for Capitec, was driven to concede that the customers of Capitec did not pay any consideration for the loan cover. That much was clear from the term loan contracts. Capitec made an exempt supply of credit available to its clients, which was not deductible, and all other activities involved in doing so were incidental to the supply of credit, because the supply of the loan cover was not a taxable supply in terms of s 16(3)</w:t>
      </w:r>
      <w:r w:rsidR="00144E9F" w:rsidRPr="00655B85">
        <w:rPr>
          <w:rFonts w:ascii="Times New Roman" w:hAnsi="Times New Roman" w:cs="Times New Roman"/>
          <w:i/>
          <w:sz w:val="28"/>
          <w:szCs w:val="28"/>
          <w:lang w:val="en-US"/>
        </w:rPr>
        <w:t>(c)</w:t>
      </w:r>
      <w:r w:rsidR="00144E9F" w:rsidRPr="00655B85">
        <w:rPr>
          <w:rFonts w:ascii="Times New Roman" w:hAnsi="Times New Roman" w:cs="Times New Roman"/>
          <w:sz w:val="28"/>
          <w:szCs w:val="28"/>
          <w:lang w:val="en-US"/>
        </w:rPr>
        <w:t xml:space="preserve"> </w:t>
      </w:r>
      <w:r w:rsidR="00144E9F" w:rsidRPr="00655B85">
        <w:rPr>
          <w:rFonts w:ascii="Times New Roman" w:hAnsi="Times New Roman" w:cs="Times New Roman"/>
          <w:sz w:val="28"/>
          <w:szCs w:val="28"/>
        </w:rPr>
        <w:t>of the VAT Act. Therefore, the supply of the loan cover was not a taxable supply as required by the first proviso to s 16(3)</w:t>
      </w:r>
      <w:r w:rsidR="00144E9F" w:rsidRPr="00655B85">
        <w:rPr>
          <w:rFonts w:ascii="Times New Roman" w:hAnsi="Times New Roman" w:cs="Times New Roman"/>
          <w:i/>
          <w:sz w:val="28"/>
          <w:szCs w:val="28"/>
        </w:rPr>
        <w:t>(c)</w:t>
      </w:r>
      <w:r w:rsidR="00144E9F" w:rsidRPr="00655B85">
        <w:rPr>
          <w:rFonts w:ascii="Times New Roman" w:hAnsi="Times New Roman" w:cs="Times New Roman"/>
          <w:sz w:val="28"/>
          <w:szCs w:val="28"/>
        </w:rPr>
        <w:t>(i) of the VAT Act. On this basis alone, the tax fraction of the loan cover payouts did not qualify for deduction.</w:t>
      </w:r>
      <w:r w:rsidR="00144E9F" w:rsidRPr="00655B85">
        <w:rPr>
          <w:rFonts w:ascii="Times New Roman" w:hAnsi="Times New Roman" w:cs="Times New Roman"/>
          <w:sz w:val="28"/>
          <w:szCs w:val="28"/>
          <w:lang w:val="en-US"/>
        </w:rPr>
        <w:t xml:space="preserve"> Consequently, the main question in this appeal must be answered in favour of SARS.</w:t>
      </w:r>
    </w:p>
    <w:p w14:paraId="47D6652A" w14:textId="77777777" w:rsidR="00144E9F" w:rsidRPr="00655B85" w:rsidRDefault="00144E9F" w:rsidP="0088214F">
      <w:pPr>
        <w:spacing w:after="0" w:line="360" w:lineRule="auto"/>
        <w:jc w:val="both"/>
        <w:rPr>
          <w:rFonts w:ascii="Times New Roman" w:hAnsi="Times New Roman" w:cs="Times New Roman"/>
          <w:i/>
          <w:sz w:val="28"/>
          <w:szCs w:val="28"/>
        </w:rPr>
      </w:pPr>
    </w:p>
    <w:p w14:paraId="7F083D87" w14:textId="66E2AD37" w:rsidR="00AE48CC" w:rsidRPr="00B67EF0" w:rsidRDefault="00B31149" w:rsidP="00AE48CC">
      <w:pPr>
        <w:spacing w:after="0" w:line="360" w:lineRule="auto"/>
        <w:jc w:val="both"/>
        <w:rPr>
          <w:rFonts w:ascii="Times New Roman" w:hAnsi="Times New Roman" w:cs="Times New Roman"/>
          <w:sz w:val="28"/>
          <w:szCs w:val="28"/>
        </w:rPr>
      </w:pPr>
      <w:r w:rsidRPr="00655B85">
        <w:rPr>
          <w:rFonts w:ascii="Times New Roman" w:hAnsi="Times New Roman" w:cs="Times New Roman"/>
          <w:sz w:val="28"/>
          <w:szCs w:val="28"/>
        </w:rPr>
        <w:t>[</w:t>
      </w:r>
      <w:r w:rsidR="00283333" w:rsidRPr="00655B85">
        <w:rPr>
          <w:rFonts w:ascii="Times New Roman" w:hAnsi="Times New Roman" w:cs="Times New Roman"/>
          <w:sz w:val="28"/>
          <w:szCs w:val="28"/>
        </w:rPr>
        <w:t>39</w:t>
      </w:r>
      <w:r w:rsidR="00B33844" w:rsidRPr="00655B85">
        <w:rPr>
          <w:rFonts w:ascii="Times New Roman" w:hAnsi="Times New Roman" w:cs="Times New Roman"/>
          <w:sz w:val="28"/>
          <w:szCs w:val="28"/>
        </w:rPr>
        <w:t>]</w:t>
      </w:r>
      <w:r w:rsidR="00B33844" w:rsidRPr="00655B85">
        <w:rPr>
          <w:rFonts w:ascii="Times New Roman" w:hAnsi="Times New Roman" w:cs="Times New Roman"/>
          <w:sz w:val="28"/>
          <w:szCs w:val="28"/>
        </w:rPr>
        <w:tab/>
      </w:r>
      <w:r w:rsidR="00676B3D" w:rsidRPr="00655B85">
        <w:rPr>
          <w:rFonts w:ascii="Times New Roman" w:hAnsi="Times New Roman" w:cs="Times New Roman"/>
          <w:sz w:val="28"/>
          <w:szCs w:val="28"/>
        </w:rPr>
        <w:t>Mr Janisch</w:t>
      </w:r>
      <w:r w:rsidR="00C546C4" w:rsidRPr="00655B85">
        <w:rPr>
          <w:rFonts w:ascii="Times New Roman" w:hAnsi="Times New Roman" w:cs="Times New Roman"/>
          <w:sz w:val="28"/>
          <w:szCs w:val="28"/>
        </w:rPr>
        <w:t xml:space="preserve"> </w:t>
      </w:r>
      <w:r w:rsidR="00676B3D" w:rsidRPr="00655B85">
        <w:rPr>
          <w:rFonts w:ascii="Times New Roman" w:hAnsi="Times New Roman" w:cs="Times New Roman"/>
          <w:sz w:val="28"/>
          <w:szCs w:val="28"/>
        </w:rPr>
        <w:t>contend</w:t>
      </w:r>
      <w:r w:rsidR="00C546C4" w:rsidRPr="00655B85">
        <w:rPr>
          <w:rFonts w:ascii="Times New Roman" w:hAnsi="Times New Roman" w:cs="Times New Roman"/>
          <w:sz w:val="28"/>
          <w:szCs w:val="28"/>
        </w:rPr>
        <w:t>ed t</w:t>
      </w:r>
      <w:r w:rsidR="00676B3D" w:rsidRPr="00655B85">
        <w:rPr>
          <w:rFonts w:ascii="Times New Roman" w:hAnsi="Times New Roman" w:cs="Times New Roman"/>
          <w:sz w:val="28"/>
          <w:szCs w:val="28"/>
        </w:rPr>
        <w:t>hat because s</w:t>
      </w:r>
      <w:r w:rsidR="00786B7A" w:rsidRPr="00655B85">
        <w:rPr>
          <w:rFonts w:ascii="Times New Roman" w:hAnsi="Times New Roman" w:cs="Times New Roman"/>
          <w:sz w:val="28"/>
          <w:szCs w:val="28"/>
        </w:rPr>
        <w:t xml:space="preserve"> </w:t>
      </w:r>
      <w:r w:rsidR="00676B3D" w:rsidRPr="00655B85">
        <w:rPr>
          <w:rFonts w:ascii="Times New Roman" w:hAnsi="Times New Roman" w:cs="Times New Roman"/>
          <w:sz w:val="28"/>
          <w:szCs w:val="28"/>
        </w:rPr>
        <w:t>16(3)</w:t>
      </w:r>
      <w:r w:rsidR="00B33844" w:rsidRPr="00655B85">
        <w:rPr>
          <w:rFonts w:ascii="Times New Roman" w:hAnsi="Times New Roman" w:cs="Times New Roman"/>
          <w:i/>
          <w:sz w:val="28"/>
          <w:szCs w:val="28"/>
        </w:rPr>
        <w:t>(c)</w:t>
      </w:r>
      <w:r w:rsidR="00B33844" w:rsidRPr="00655B85">
        <w:rPr>
          <w:rFonts w:ascii="Times New Roman" w:hAnsi="Times New Roman" w:cs="Times New Roman"/>
          <w:sz w:val="28"/>
          <w:szCs w:val="28"/>
        </w:rPr>
        <w:t xml:space="preserve"> </w:t>
      </w:r>
      <w:r w:rsidR="000B7221" w:rsidRPr="00655B85">
        <w:rPr>
          <w:rFonts w:ascii="Times New Roman" w:hAnsi="Times New Roman" w:cs="Times New Roman"/>
          <w:sz w:val="28"/>
          <w:szCs w:val="28"/>
        </w:rPr>
        <w:t xml:space="preserve">of the VAT Act </w:t>
      </w:r>
      <w:r w:rsidR="00676B3D" w:rsidRPr="00655B85">
        <w:rPr>
          <w:rFonts w:ascii="Times New Roman" w:hAnsi="Times New Roman" w:cs="Times New Roman"/>
          <w:sz w:val="28"/>
          <w:szCs w:val="28"/>
        </w:rPr>
        <w:t>deals with notional input tax deduction and not with actual input tax deduction</w:t>
      </w:r>
      <w:r w:rsidR="000B7221" w:rsidRPr="00655B85">
        <w:rPr>
          <w:rFonts w:ascii="Times New Roman" w:hAnsi="Times New Roman" w:cs="Times New Roman"/>
          <w:sz w:val="28"/>
          <w:szCs w:val="28"/>
        </w:rPr>
        <w:t>,</w:t>
      </w:r>
      <w:r w:rsidR="00676B3D" w:rsidRPr="00655B85">
        <w:rPr>
          <w:rFonts w:ascii="Times New Roman" w:hAnsi="Times New Roman" w:cs="Times New Roman"/>
          <w:sz w:val="28"/>
          <w:szCs w:val="28"/>
        </w:rPr>
        <w:t xml:space="preserve"> the apportionment provision of s</w:t>
      </w:r>
      <w:r w:rsidR="00786B7A" w:rsidRPr="00655B85">
        <w:rPr>
          <w:rFonts w:ascii="Times New Roman" w:hAnsi="Times New Roman" w:cs="Times New Roman"/>
          <w:sz w:val="28"/>
          <w:szCs w:val="28"/>
        </w:rPr>
        <w:t xml:space="preserve"> </w:t>
      </w:r>
      <w:r w:rsidR="00C546C4" w:rsidRPr="00655B85">
        <w:rPr>
          <w:rFonts w:ascii="Times New Roman" w:hAnsi="Times New Roman" w:cs="Times New Roman"/>
          <w:sz w:val="28"/>
          <w:szCs w:val="28"/>
        </w:rPr>
        <w:t>16 does not apply. I disagree. S</w:t>
      </w:r>
      <w:r w:rsidR="00B33844" w:rsidRPr="00655B85">
        <w:rPr>
          <w:rFonts w:ascii="Times New Roman" w:hAnsi="Times New Roman" w:cs="Times New Roman"/>
          <w:sz w:val="28"/>
          <w:szCs w:val="28"/>
        </w:rPr>
        <w:t>ection</w:t>
      </w:r>
      <w:r w:rsidR="00B33844">
        <w:rPr>
          <w:rFonts w:ascii="Times New Roman" w:hAnsi="Times New Roman" w:cs="Times New Roman"/>
          <w:sz w:val="28"/>
          <w:szCs w:val="28"/>
        </w:rPr>
        <w:t xml:space="preserve"> 16 states clearly </w:t>
      </w:r>
      <w:r w:rsidR="00676B3D">
        <w:rPr>
          <w:rFonts w:ascii="Times New Roman" w:hAnsi="Times New Roman" w:cs="Times New Roman"/>
          <w:sz w:val="28"/>
          <w:szCs w:val="28"/>
        </w:rPr>
        <w:t>in its opening paragraph that s</w:t>
      </w:r>
      <w:r w:rsidR="00786B7A">
        <w:rPr>
          <w:rFonts w:ascii="Times New Roman" w:hAnsi="Times New Roman" w:cs="Times New Roman"/>
          <w:sz w:val="28"/>
          <w:szCs w:val="28"/>
        </w:rPr>
        <w:t xml:space="preserve"> </w:t>
      </w:r>
      <w:r w:rsidR="00676B3D">
        <w:rPr>
          <w:rFonts w:ascii="Times New Roman" w:hAnsi="Times New Roman" w:cs="Times New Roman"/>
          <w:sz w:val="28"/>
          <w:szCs w:val="28"/>
        </w:rPr>
        <w:t>16 is subject to s</w:t>
      </w:r>
      <w:r w:rsidR="00786B7A">
        <w:rPr>
          <w:rFonts w:ascii="Times New Roman" w:hAnsi="Times New Roman" w:cs="Times New Roman"/>
          <w:sz w:val="28"/>
          <w:szCs w:val="28"/>
        </w:rPr>
        <w:t xml:space="preserve"> </w:t>
      </w:r>
      <w:r w:rsidR="00676B3D">
        <w:rPr>
          <w:rFonts w:ascii="Times New Roman" w:hAnsi="Times New Roman" w:cs="Times New Roman"/>
          <w:sz w:val="28"/>
          <w:szCs w:val="28"/>
        </w:rPr>
        <w:t>17, and s 17 is the apportionmen</w:t>
      </w:r>
      <w:r w:rsidR="00B33844">
        <w:rPr>
          <w:rFonts w:ascii="Times New Roman" w:hAnsi="Times New Roman" w:cs="Times New Roman"/>
          <w:sz w:val="28"/>
          <w:szCs w:val="28"/>
        </w:rPr>
        <w:t xml:space="preserve">t provision of the VAT Act for </w:t>
      </w:r>
      <w:r w:rsidR="00676B3D">
        <w:rPr>
          <w:rFonts w:ascii="Times New Roman" w:hAnsi="Times New Roman" w:cs="Times New Roman"/>
          <w:sz w:val="28"/>
          <w:szCs w:val="28"/>
        </w:rPr>
        <w:t>the apportioning of notional input tax deduction. Actual input tax relates to the actual amount of tax that was charged and paid by the vendor, and which is subject to s</w:t>
      </w:r>
      <w:r w:rsidR="00B33844">
        <w:rPr>
          <w:rFonts w:ascii="Times New Roman" w:hAnsi="Times New Roman" w:cs="Times New Roman"/>
          <w:sz w:val="28"/>
          <w:szCs w:val="28"/>
        </w:rPr>
        <w:t xml:space="preserve"> 1</w:t>
      </w:r>
      <w:r w:rsidR="00047A8F">
        <w:rPr>
          <w:rFonts w:ascii="Times New Roman" w:hAnsi="Times New Roman" w:cs="Times New Roman"/>
          <w:sz w:val="28"/>
          <w:szCs w:val="28"/>
        </w:rPr>
        <w:t>6</w:t>
      </w:r>
      <w:r w:rsidR="00676B3D">
        <w:rPr>
          <w:rFonts w:ascii="Times New Roman" w:hAnsi="Times New Roman" w:cs="Times New Roman"/>
          <w:sz w:val="28"/>
          <w:szCs w:val="28"/>
        </w:rPr>
        <w:t xml:space="preserve">(3). </w:t>
      </w:r>
      <w:r w:rsidR="00AE48CC" w:rsidRPr="00B67EF0">
        <w:rPr>
          <w:rFonts w:ascii="Times New Roman" w:hAnsi="Times New Roman" w:cs="Times New Roman"/>
          <w:sz w:val="28"/>
          <w:szCs w:val="28"/>
        </w:rPr>
        <w:t xml:space="preserve">Section 16(3) of the VAT Act is expressly subject to s 17. Section 17(1) governs the deduction </w:t>
      </w:r>
      <w:r w:rsidR="00AE48CC" w:rsidRPr="00B67EF0">
        <w:rPr>
          <w:rFonts w:ascii="Times New Roman" w:hAnsi="Times New Roman" w:cs="Times New Roman"/>
          <w:sz w:val="28"/>
          <w:szCs w:val="28"/>
        </w:rPr>
        <w:lastRenderedPageBreak/>
        <w:t xml:space="preserve">of VAT incurred in acquiring supplies intended partly for use in making taxable supplies and partly for use in non-taxable supplies (mixed supplies). In </w:t>
      </w:r>
      <w:r w:rsidR="00AE48CC" w:rsidRPr="00B67EF0">
        <w:rPr>
          <w:rFonts w:ascii="Times New Roman" w:hAnsi="Times New Roman" w:cs="Times New Roman"/>
          <w:i/>
          <w:sz w:val="28"/>
          <w:szCs w:val="28"/>
        </w:rPr>
        <w:t>C: SARS v De Beers Consolidated Mines</w:t>
      </w:r>
      <w:r w:rsidR="00AE48CC" w:rsidRPr="00B67EF0">
        <w:rPr>
          <w:rFonts w:ascii="Times New Roman" w:hAnsi="Times New Roman" w:cs="Times New Roman"/>
          <w:sz w:val="28"/>
          <w:szCs w:val="28"/>
        </w:rPr>
        <w:t>, this Court stated that:</w:t>
      </w:r>
    </w:p>
    <w:p w14:paraId="7A2D7001" w14:textId="30E2E6A5" w:rsidR="00AE48CC" w:rsidRPr="00B33844" w:rsidRDefault="00AE48CC" w:rsidP="00AE48CC">
      <w:pPr>
        <w:spacing w:after="0" w:line="360" w:lineRule="auto"/>
        <w:jc w:val="both"/>
        <w:rPr>
          <w:rFonts w:ascii="Times New Roman" w:hAnsi="Times New Roman" w:cs="Times New Roman"/>
          <w:sz w:val="24"/>
          <w:szCs w:val="24"/>
        </w:rPr>
      </w:pPr>
      <w:r w:rsidRPr="00B33844">
        <w:rPr>
          <w:rFonts w:ascii="Times New Roman" w:hAnsi="Times New Roman" w:cs="Times New Roman"/>
          <w:sz w:val="24"/>
          <w:szCs w:val="24"/>
        </w:rPr>
        <w:t xml:space="preserve">‘[40] </w:t>
      </w:r>
      <w:r w:rsidR="000B7221">
        <w:rPr>
          <w:rFonts w:ascii="Times New Roman" w:hAnsi="Times New Roman" w:cs="Times New Roman"/>
          <w:sz w:val="24"/>
          <w:szCs w:val="24"/>
        </w:rPr>
        <w:tab/>
      </w:r>
      <w:r w:rsidRPr="00B33844">
        <w:rPr>
          <w:rFonts w:ascii="Times New Roman" w:hAnsi="Times New Roman" w:cs="Times New Roman"/>
          <w:sz w:val="24"/>
          <w:szCs w:val="24"/>
        </w:rPr>
        <w:t>. . . Where a vendor acquires goods or services partly for use in making a taxable supply and partly for use in a non-taxable supply, section 17(1) dictates an apportionment based on the ratio which the former intended use bears to both intended uses.’</w:t>
      </w:r>
    </w:p>
    <w:p w14:paraId="132425D0" w14:textId="77777777" w:rsidR="00D332FC" w:rsidRDefault="00D332FC" w:rsidP="00D332FC">
      <w:pPr>
        <w:spacing w:after="0" w:line="360" w:lineRule="auto"/>
        <w:jc w:val="both"/>
        <w:rPr>
          <w:rFonts w:ascii="Times New Roman" w:hAnsi="Times New Roman" w:cs="Times New Roman"/>
          <w:sz w:val="28"/>
          <w:szCs w:val="28"/>
        </w:rPr>
      </w:pPr>
    </w:p>
    <w:p w14:paraId="6CCB4851" w14:textId="28F6A9FD" w:rsidR="00D332FC" w:rsidRPr="00655B85" w:rsidRDefault="00B31149" w:rsidP="00D332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83333">
        <w:rPr>
          <w:rFonts w:ascii="Times New Roman" w:hAnsi="Times New Roman" w:cs="Times New Roman"/>
          <w:sz w:val="28"/>
          <w:szCs w:val="28"/>
        </w:rPr>
        <w:t>0</w:t>
      </w:r>
      <w:r w:rsidR="00B33844">
        <w:rPr>
          <w:rFonts w:ascii="Times New Roman" w:hAnsi="Times New Roman" w:cs="Times New Roman"/>
          <w:sz w:val="28"/>
          <w:szCs w:val="28"/>
        </w:rPr>
        <w:t>]</w:t>
      </w:r>
      <w:r w:rsidR="00B33844">
        <w:rPr>
          <w:rFonts w:ascii="Times New Roman" w:hAnsi="Times New Roman" w:cs="Times New Roman"/>
          <w:sz w:val="28"/>
          <w:szCs w:val="28"/>
        </w:rPr>
        <w:tab/>
      </w:r>
      <w:r w:rsidR="00D332FC">
        <w:rPr>
          <w:rFonts w:ascii="Times New Roman" w:hAnsi="Times New Roman" w:cs="Times New Roman"/>
          <w:sz w:val="28"/>
          <w:szCs w:val="28"/>
        </w:rPr>
        <w:t xml:space="preserve">It is clear from </w:t>
      </w:r>
      <w:r w:rsidR="00D332FC" w:rsidRPr="00181513">
        <w:rPr>
          <w:rFonts w:ascii="Times New Roman" w:hAnsi="Times New Roman" w:cs="Times New Roman"/>
          <w:i/>
          <w:sz w:val="28"/>
          <w:szCs w:val="28"/>
        </w:rPr>
        <w:t>Tourvest</w:t>
      </w:r>
      <w:r w:rsidR="00D332FC">
        <w:rPr>
          <w:rFonts w:ascii="Times New Roman" w:hAnsi="Times New Roman" w:cs="Times New Roman"/>
          <w:sz w:val="28"/>
          <w:szCs w:val="28"/>
        </w:rPr>
        <w:t xml:space="preserve"> and s</w:t>
      </w:r>
      <w:r w:rsidR="00B33844">
        <w:rPr>
          <w:rFonts w:ascii="Times New Roman" w:hAnsi="Times New Roman" w:cs="Times New Roman"/>
          <w:sz w:val="28"/>
          <w:szCs w:val="28"/>
        </w:rPr>
        <w:t xml:space="preserve"> 17 </w:t>
      </w:r>
      <w:r w:rsidR="000B7221" w:rsidRPr="00B67EF0">
        <w:rPr>
          <w:rFonts w:ascii="Times New Roman" w:hAnsi="Times New Roman" w:cs="Times New Roman"/>
          <w:sz w:val="28"/>
          <w:szCs w:val="28"/>
        </w:rPr>
        <w:t xml:space="preserve">of the VAT Act </w:t>
      </w:r>
      <w:r w:rsidR="00B33844">
        <w:rPr>
          <w:rFonts w:ascii="Times New Roman" w:hAnsi="Times New Roman" w:cs="Times New Roman"/>
          <w:sz w:val="28"/>
          <w:szCs w:val="28"/>
        </w:rPr>
        <w:t xml:space="preserve">that </w:t>
      </w:r>
      <w:r w:rsidR="00D332FC">
        <w:rPr>
          <w:rFonts w:ascii="Times New Roman" w:hAnsi="Times New Roman" w:cs="Times New Roman"/>
          <w:sz w:val="28"/>
          <w:szCs w:val="28"/>
        </w:rPr>
        <w:t>where the activity includes a s</w:t>
      </w:r>
      <w:r w:rsidR="00D332FC" w:rsidRPr="00655B85">
        <w:rPr>
          <w:rFonts w:ascii="Times New Roman" w:hAnsi="Times New Roman" w:cs="Times New Roman"/>
          <w:sz w:val="28"/>
          <w:szCs w:val="28"/>
        </w:rPr>
        <w:t>mall component of taxable supplies, a deduction for input tax will only be allowed to the extent of the taxable portion. In some instances</w:t>
      </w:r>
      <w:r w:rsidR="00350485" w:rsidRPr="00655B85">
        <w:rPr>
          <w:rFonts w:ascii="Times New Roman" w:hAnsi="Times New Roman" w:cs="Times New Roman"/>
          <w:sz w:val="28"/>
          <w:szCs w:val="28"/>
        </w:rPr>
        <w:t>,</w:t>
      </w:r>
      <w:r w:rsidR="00D332FC" w:rsidRPr="00655B85">
        <w:rPr>
          <w:rFonts w:ascii="Times New Roman" w:hAnsi="Times New Roman" w:cs="Times New Roman"/>
          <w:sz w:val="28"/>
          <w:szCs w:val="28"/>
        </w:rPr>
        <w:t xml:space="preserve"> apportionment instead of a full d</w:t>
      </w:r>
      <w:r w:rsidR="00B33844" w:rsidRPr="00655B85">
        <w:rPr>
          <w:rFonts w:ascii="Times New Roman" w:hAnsi="Times New Roman" w:cs="Times New Roman"/>
          <w:sz w:val="28"/>
          <w:szCs w:val="28"/>
        </w:rPr>
        <w:t>eduction may be feasible. Thus</w:t>
      </w:r>
      <w:r w:rsidR="00854876" w:rsidRPr="00655B85">
        <w:rPr>
          <w:rFonts w:ascii="Times New Roman" w:hAnsi="Times New Roman" w:cs="Times New Roman"/>
          <w:sz w:val="28"/>
          <w:szCs w:val="28"/>
        </w:rPr>
        <w:t>,</w:t>
      </w:r>
      <w:r w:rsidR="00B33844" w:rsidRPr="00655B85">
        <w:rPr>
          <w:rFonts w:ascii="Times New Roman" w:hAnsi="Times New Roman" w:cs="Times New Roman"/>
          <w:sz w:val="28"/>
          <w:szCs w:val="28"/>
        </w:rPr>
        <w:t xml:space="preserve"> </w:t>
      </w:r>
      <w:r w:rsidR="00D332FC" w:rsidRPr="00655B85">
        <w:rPr>
          <w:rFonts w:ascii="Times New Roman" w:hAnsi="Times New Roman" w:cs="Times New Roman"/>
          <w:sz w:val="28"/>
          <w:szCs w:val="28"/>
        </w:rPr>
        <w:t>the logical conclusion must be that if it</w:t>
      </w:r>
      <w:r w:rsidR="00854876" w:rsidRPr="00655B85">
        <w:rPr>
          <w:rFonts w:ascii="Times New Roman" w:hAnsi="Times New Roman" w:cs="Times New Roman"/>
          <w:sz w:val="28"/>
          <w:szCs w:val="28"/>
        </w:rPr>
        <w:t xml:space="preserve"> is</w:t>
      </w:r>
      <w:r w:rsidR="00D332FC" w:rsidRPr="00655B85">
        <w:rPr>
          <w:rFonts w:ascii="Times New Roman" w:hAnsi="Times New Roman" w:cs="Times New Roman"/>
          <w:sz w:val="28"/>
          <w:szCs w:val="28"/>
        </w:rPr>
        <w:t xml:space="preserve"> a mixed supply</w:t>
      </w:r>
      <w:r w:rsidR="00854876" w:rsidRPr="00655B85">
        <w:rPr>
          <w:rFonts w:ascii="Times New Roman" w:hAnsi="Times New Roman" w:cs="Times New Roman"/>
          <w:sz w:val="28"/>
          <w:szCs w:val="28"/>
        </w:rPr>
        <w:t>,</w:t>
      </w:r>
      <w:r w:rsidR="00D332FC" w:rsidRPr="00655B85">
        <w:rPr>
          <w:rFonts w:ascii="Times New Roman" w:hAnsi="Times New Roman" w:cs="Times New Roman"/>
          <w:sz w:val="28"/>
          <w:szCs w:val="28"/>
        </w:rPr>
        <w:t xml:space="preserve"> the vendor cannot claim the full amount of the notional input tax as Capitec has done in this case. </w:t>
      </w:r>
    </w:p>
    <w:p w14:paraId="4DA24EA0" w14:textId="77777777" w:rsidR="00D332FC" w:rsidRPr="00655B85" w:rsidRDefault="00D332FC" w:rsidP="00D332FC">
      <w:pPr>
        <w:spacing w:after="0" w:line="360" w:lineRule="auto"/>
        <w:jc w:val="both"/>
        <w:rPr>
          <w:rFonts w:ascii="Times New Roman" w:hAnsi="Times New Roman" w:cs="Times New Roman"/>
          <w:sz w:val="28"/>
          <w:szCs w:val="28"/>
        </w:rPr>
      </w:pPr>
    </w:p>
    <w:p w14:paraId="66AF2C0F" w14:textId="50D0DFDA" w:rsidR="00D332FC" w:rsidRDefault="00B31149" w:rsidP="00D332FC">
      <w:pPr>
        <w:spacing w:after="0" w:line="360" w:lineRule="auto"/>
        <w:jc w:val="both"/>
        <w:rPr>
          <w:rFonts w:ascii="Times New Roman" w:hAnsi="Times New Roman" w:cs="Times New Roman"/>
          <w:sz w:val="28"/>
          <w:szCs w:val="28"/>
        </w:rPr>
      </w:pPr>
      <w:r w:rsidRPr="00655B85">
        <w:rPr>
          <w:rFonts w:ascii="Times New Roman" w:hAnsi="Times New Roman" w:cs="Times New Roman"/>
          <w:sz w:val="28"/>
          <w:szCs w:val="28"/>
        </w:rPr>
        <w:t>[4</w:t>
      </w:r>
      <w:r w:rsidR="00283333" w:rsidRPr="00655B85">
        <w:rPr>
          <w:rFonts w:ascii="Times New Roman" w:hAnsi="Times New Roman" w:cs="Times New Roman"/>
          <w:sz w:val="28"/>
          <w:szCs w:val="28"/>
        </w:rPr>
        <w:t>1</w:t>
      </w:r>
      <w:r w:rsidR="00B33844" w:rsidRPr="00655B85">
        <w:rPr>
          <w:rFonts w:ascii="Times New Roman" w:hAnsi="Times New Roman" w:cs="Times New Roman"/>
          <w:sz w:val="28"/>
          <w:szCs w:val="28"/>
        </w:rPr>
        <w:t>]</w:t>
      </w:r>
      <w:r w:rsidR="00B33844" w:rsidRPr="00655B85">
        <w:rPr>
          <w:rFonts w:ascii="Times New Roman" w:hAnsi="Times New Roman" w:cs="Times New Roman"/>
          <w:sz w:val="28"/>
          <w:szCs w:val="28"/>
        </w:rPr>
        <w:tab/>
      </w:r>
      <w:r w:rsidR="00D332FC" w:rsidRPr="00655B85">
        <w:rPr>
          <w:rFonts w:ascii="Times New Roman" w:hAnsi="Times New Roman" w:cs="Times New Roman"/>
          <w:sz w:val="28"/>
          <w:szCs w:val="28"/>
        </w:rPr>
        <w:t>Furthermore</w:t>
      </w:r>
      <w:r w:rsidR="00854876" w:rsidRPr="00655B85">
        <w:rPr>
          <w:rFonts w:ascii="Times New Roman" w:hAnsi="Times New Roman" w:cs="Times New Roman"/>
          <w:sz w:val="28"/>
          <w:szCs w:val="28"/>
        </w:rPr>
        <w:t>,</w:t>
      </w:r>
      <w:r w:rsidR="00D332FC" w:rsidRPr="00655B85">
        <w:rPr>
          <w:rFonts w:ascii="Times New Roman" w:hAnsi="Times New Roman" w:cs="Times New Roman"/>
          <w:sz w:val="28"/>
          <w:szCs w:val="28"/>
        </w:rPr>
        <w:t xml:space="preserve"> the legislature </w:t>
      </w:r>
      <w:r w:rsidR="00350485" w:rsidRPr="00655B85">
        <w:rPr>
          <w:rFonts w:ascii="Times New Roman" w:hAnsi="Times New Roman" w:cs="Times New Roman"/>
          <w:sz w:val="28"/>
          <w:szCs w:val="28"/>
        </w:rPr>
        <w:t xml:space="preserve">could not have </w:t>
      </w:r>
      <w:r w:rsidR="00D332FC" w:rsidRPr="00655B85">
        <w:rPr>
          <w:rFonts w:ascii="Times New Roman" w:hAnsi="Times New Roman" w:cs="Times New Roman"/>
          <w:sz w:val="28"/>
          <w:szCs w:val="28"/>
        </w:rPr>
        <w:t>intended that</w:t>
      </w:r>
      <w:r w:rsidR="00350485" w:rsidRPr="00655B85">
        <w:rPr>
          <w:rFonts w:ascii="Times New Roman" w:hAnsi="Times New Roman" w:cs="Times New Roman"/>
          <w:sz w:val="28"/>
          <w:szCs w:val="28"/>
        </w:rPr>
        <w:t xml:space="preserve"> </w:t>
      </w:r>
      <w:r w:rsidR="00D332FC" w:rsidRPr="00655B85">
        <w:rPr>
          <w:rFonts w:ascii="Times New Roman" w:hAnsi="Times New Roman" w:cs="Times New Roman"/>
          <w:sz w:val="28"/>
          <w:szCs w:val="28"/>
        </w:rPr>
        <w:t xml:space="preserve">vendors who have incurred actual input </w:t>
      </w:r>
      <w:r w:rsidR="00854876" w:rsidRPr="00655B85">
        <w:rPr>
          <w:rFonts w:ascii="Times New Roman" w:hAnsi="Times New Roman" w:cs="Times New Roman"/>
          <w:sz w:val="28"/>
          <w:szCs w:val="28"/>
        </w:rPr>
        <w:t xml:space="preserve">tax </w:t>
      </w:r>
      <w:r w:rsidR="00D332FC" w:rsidRPr="00655B85">
        <w:rPr>
          <w:rFonts w:ascii="Times New Roman" w:hAnsi="Times New Roman" w:cs="Times New Roman"/>
          <w:sz w:val="28"/>
          <w:szCs w:val="28"/>
        </w:rPr>
        <w:t>would claim limited deductions in respect of what they have actually incurred and paid, and those who have not actually incurred but have notionally incurred</w:t>
      </w:r>
      <w:r w:rsidR="00BE5DED" w:rsidRPr="00655B85">
        <w:rPr>
          <w:rFonts w:ascii="Times New Roman" w:hAnsi="Times New Roman" w:cs="Times New Roman"/>
          <w:sz w:val="28"/>
          <w:szCs w:val="28"/>
        </w:rPr>
        <w:t>,</w:t>
      </w:r>
      <w:r w:rsidR="00D332FC" w:rsidRPr="00655B85">
        <w:rPr>
          <w:rFonts w:ascii="Times New Roman" w:hAnsi="Times New Roman" w:cs="Times New Roman"/>
          <w:sz w:val="28"/>
          <w:szCs w:val="28"/>
        </w:rPr>
        <w:t xml:space="preserve"> would be allowed a full deduction. The submission tha</w:t>
      </w:r>
      <w:r w:rsidR="00B33844" w:rsidRPr="00655B85">
        <w:rPr>
          <w:rFonts w:ascii="Times New Roman" w:hAnsi="Times New Roman" w:cs="Times New Roman"/>
          <w:sz w:val="28"/>
          <w:szCs w:val="28"/>
        </w:rPr>
        <w:t xml:space="preserve">t there is no mechanism in the </w:t>
      </w:r>
      <w:r w:rsidR="00D332FC" w:rsidRPr="00655B85">
        <w:rPr>
          <w:rFonts w:ascii="Times New Roman" w:hAnsi="Times New Roman" w:cs="Times New Roman"/>
          <w:sz w:val="28"/>
          <w:szCs w:val="28"/>
        </w:rPr>
        <w:t xml:space="preserve">VAT Act for apportionment for notional input tax by Capitec is </w:t>
      </w:r>
      <w:r w:rsidR="00BE5DED" w:rsidRPr="00655B85">
        <w:rPr>
          <w:rFonts w:ascii="Times New Roman" w:hAnsi="Times New Roman" w:cs="Times New Roman"/>
          <w:sz w:val="28"/>
          <w:szCs w:val="28"/>
        </w:rPr>
        <w:t xml:space="preserve">thus </w:t>
      </w:r>
      <w:r w:rsidR="00D332FC" w:rsidRPr="00655B85">
        <w:rPr>
          <w:rFonts w:ascii="Times New Roman" w:hAnsi="Times New Roman" w:cs="Times New Roman"/>
          <w:sz w:val="28"/>
          <w:szCs w:val="28"/>
        </w:rPr>
        <w:t>misconceived</w:t>
      </w:r>
      <w:r w:rsidR="00D332FC">
        <w:rPr>
          <w:rFonts w:ascii="Times New Roman" w:hAnsi="Times New Roman" w:cs="Times New Roman"/>
          <w:sz w:val="28"/>
          <w:szCs w:val="28"/>
        </w:rPr>
        <w:t xml:space="preserve">.  </w:t>
      </w:r>
    </w:p>
    <w:p w14:paraId="693A36C7" w14:textId="77777777" w:rsidR="00D332FC" w:rsidRDefault="00D332FC" w:rsidP="00D332FC">
      <w:pPr>
        <w:spacing w:after="0" w:line="360" w:lineRule="auto"/>
        <w:jc w:val="both"/>
        <w:rPr>
          <w:rFonts w:ascii="Times New Roman" w:hAnsi="Times New Roman" w:cs="Times New Roman"/>
          <w:sz w:val="28"/>
          <w:szCs w:val="28"/>
        </w:rPr>
      </w:pPr>
    </w:p>
    <w:p w14:paraId="365AB931" w14:textId="7A8F8D7D" w:rsidR="00E33B80" w:rsidRDefault="00B31149" w:rsidP="00E33B8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[4</w:t>
      </w:r>
      <w:r w:rsidR="00283333">
        <w:rPr>
          <w:rFonts w:ascii="Times New Roman" w:hAnsi="Times New Roman" w:cs="Times New Roman"/>
          <w:sz w:val="28"/>
          <w:szCs w:val="28"/>
        </w:rPr>
        <w:t>2</w:t>
      </w:r>
      <w:r w:rsidR="00B33844">
        <w:rPr>
          <w:rFonts w:ascii="Times New Roman" w:hAnsi="Times New Roman" w:cs="Times New Roman"/>
          <w:sz w:val="28"/>
          <w:szCs w:val="28"/>
        </w:rPr>
        <w:t>]</w:t>
      </w:r>
      <w:r w:rsidR="00B33844">
        <w:rPr>
          <w:rFonts w:ascii="Times New Roman" w:hAnsi="Times New Roman" w:cs="Times New Roman"/>
          <w:sz w:val="28"/>
          <w:szCs w:val="28"/>
        </w:rPr>
        <w:tab/>
      </w:r>
      <w:r w:rsidR="00E33B80">
        <w:rPr>
          <w:rFonts w:ascii="Times New Roman" w:hAnsi="Times New Roman" w:cs="Times New Roman"/>
          <w:sz w:val="28"/>
          <w:szCs w:val="28"/>
        </w:rPr>
        <w:t xml:space="preserve">In any event, </w:t>
      </w:r>
      <w:r w:rsidR="00E33B80" w:rsidRPr="00B67EF0">
        <w:rPr>
          <w:rFonts w:ascii="Times New Roman" w:hAnsi="Times New Roman" w:cs="Times New Roman"/>
          <w:sz w:val="28"/>
          <w:szCs w:val="28"/>
        </w:rPr>
        <w:t>Capitec did not apportion the deduction in its return, nor did it plead apportionment as a ground of objection</w:t>
      </w:r>
      <w:r w:rsidR="00854876">
        <w:rPr>
          <w:rFonts w:ascii="Times New Roman" w:hAnsi="Times New Roman" w:cs="Times New Roman"/>
          <w:sz w:val="28"/>
          <w:szCs w:val="28"/>
        </w:rPr>
        <w:t xml:space="preserve"> to SARS’s assessment</w:t>
      </w:r>
      <w:r w:rsidR="00E33B80" w:rsidRPr="00B67EF0">
        <w:rPr>
          <w:rFonts w:ascii="Times New Roman" w:hAnsi="Times New Roman" w:cs="Times New Roman"/>
          <w:sz w:val="28"/>
          <w:szCs w:val="28"/>
        </w:rPr>
        <w:t xml:space="preserve"> or ground of appeal. In view of Capitec’s failure to plead apportionment as a ground of objection and </w:t>
      </w:r>
      <w:r w:rsidR="00E33B80" w:rsidRPr="00655B85">
        <w:rPr>
          <w:rFonts w:ascii="Times New Roman" w:hAnsi="Times New Roman" w:cs="Times New Roman"/>
          <w:sz w:val="28"/>
          <w:szCs w:val="28"/>
        </w:rPr>
        <w:t>of appeal, there would be no basis to allow an apportionment and SARS was correct to disallow Capitec’s deduction of the whole amount, on this basis alone.</w:t>
      </w:r>
      <w:r w:rsidR="00E33B80" w:rsidRPr="00655B85">
        <w:rPr>
          <w:rFonts w:ascii="Times New Roman" w:hAnsi="Times New Roman" w:cs="Times New Roman"/>
          <w:sz w:val="28"/>
          <w:szCs w:val="28"/>
          <w:lang w:val="en-US"/>
        </w:rPr>
        <w:t xml:space="preserve"> The taxpayer bears the onus in the tax </w:t>
      </w:r>
      <w:r w:rsidR="00B33844" w:rsidRPr="00655B85">
        <w:rPr>
          <w:rFonts w:ascii="Times New Roman" w:hAnsi="Times New Roman" w:cs="Times New Roman"/>
          <w:sz w:val="28"/>
          <w:szCs w:val="28"/>
          <w:lang w:val="en-US"/>
        </w:rPr>
        <w:t>court</w:t>
      </w:r>
      <w:r w:rsidR="00BE5DED" w:rsidRPr="00655B85">
        <w:rPr>
          <w:rFonts w:ascii="Times New Roman" w:hAnsi="Times New Roman" w:cs="Times New Roman"/>
          <w:sz w:val="28"/>
          <w:szCs w:val="28"/>
          <w:lang w:val="en-US"/>
        </w:rPr>
        <w:t xml:space="preserve">, and </w:t>
      </w:r>
      <w:r w:rsidR="00E33B80" w:rsidRPr="00655B85">
        <w:rPr>
          <w:rFonts w:ascii="Times New Roman" w:hAnsi="Times New Roman" w:cs="Times New Roman"/>
          <w:sz w:val="28"/>
          <w:szCs w:val="28"/>
          <w:lang w:val="en-US"/>
        </w:rPr>
        <w:t xml:space="preserve">must </w:t>
      </w:r>
      <w:r w:rsidR="00C546C4" w:rsidRPr="00655B85">
        <w:rPr>
          <w:rFonts w:ascii="Times New Roman" w:hAnsi="Times New Roman" w:cs="Times New Roman"/>
          <w:sz w:val="28"/>
          <w:szCs w:val="28"/>
          <w:lang w:val="en-US"/>
        </w:rPr>
        <w:t xml:space="preserve">prove apportionment. </w:t>
      </w:r>
      <w:r w:rsidR="00E33B80" w:rsidRPr="00655B85">
        <w:rPr>
          <w:rFonts w:ascii="Times New Roman" w:hAnsi="Times New Roman" w:cs="Times New Roman"/>
          <w:sz w:val="28"/>
          <w:szCs w:val="28"/>
          <w:lang w:val="en-US"/>
        </w:rPr>
        <w:t>Capitec did not raise the issue of a mixed supp</w:t>
      </w:r>
      <w:r w:rsidR="006D70D0" w:rsidRPr="00655B85">
        <w:rPr>
          <w:rFonts w:ascii="Times New Roman" w:hAnsi="Times New Roman" w:cs="Times New Roman"/>
          <w:sz w:val="28"/>
          <w:szCs w:val="28"/>
          <w:lang w:val="en-US"/>
        </w:rPr>
        <w:t xml:space="preserve">ly in the </w:t>
      </w:r>
      <w:r w:rsidR="00854876" w:rsidRPr="00655B85">
        <w:rPr>
          <w:rFonts w:ascii="Times New Roman" w:hAnsi="Times New Roman" w:cs="Times New Roman"/>
          <w:sz w:val="28"/>
          <w:szCs w:val="28"/>
          <w:lang w:val="en-US"/>
        </w:rPr>
        <w:t>t</w:t>
      </w:r>
      <w:r w:rsidR="006D70D0" w:rsidRPr="00655B85">
        <w:rPr>
          <w:rFonts w:ascii="Times New Roman" w:hAnsi="Times New Roman" w:cs="Times New Roman"/>
          <w:sz w:val="28"/>
          <w:szCs w:val="28"/>
          <w:lang w:val="en-US"/>
        </w:rPr>
        <w:t>ax court.</w:t>
      </w:r>
      <w:r w:rsidR="006D70D0">
        <w:rPr>
          <w:rFonts w:ascii="Times New Roman" w:hAnsi="Times New Roman" w:cs="Times New Roman"/>
          <w:sz w:val="28"/>
          <w:szCs w:val="28"/>
          <w:lang w:val="en-US"/>
        </w:rPr>
        <w:t xml:space="preserve"> </w:t>
      </w:r>
      <w:r w:rsidR="006D70D0">
        <w:rPr>
          <w:rFonts w:ascii="Times New Roman" w:hAnsi="Times New Roman" w:cs="Times New Roman"/>
          <w:sz w:val="28"/>
          <w:szCs w:val="28"/>
          <w:lang w:val="en-US"/>
        </w:rPr>
        <w:lastRenderedPageBreak/>
        <w:t>Thus</w:t>
      </w:r>
      <w:r w:rsidR="00854876">
        <w:rPr>
          <w:rFonts w:ascii="Times New Roman" w:hAnsi="Times New Roman" w:cs="Times New Roman"/>
          <w:sz w:val="28"/>
          <w:szCs w:val="28"/>
          <w:lang w:val="en-US"/>
        </w:rPr>
        <w:t>,</w:t>
      </w:r>
      <w:r w:rsidR="006D70D0">
        <w:rPr>
          <w:rFonts w:ascii="Times New Roman" w:hAnsi="Times New Roman" w:cs="Times New Roman"/>
          <w:sz w:val="28"/>
          <w:szCs w:val="28"/>
          <w:lang w:val="en-US"/>
        </w:rPr>
        <w:t xml:space="preserve"> this C</w:t>
      </w:r>
      <w:r w:rsidR="00E33B80">
        <w:rPr>
          <w:rFonts w:ascii="Times New Roman" w:hAnsi="Times New Roman" w:cs="Times New Roman"/>
          <w:sz w:val="28"/>
          <w:szCs w:val="28"/>
          <w:lang w:val="en-US"/>
        </w:rPr>
        <w:t>o</w:t>
      </w:r>
      <w:r w:rsidR="00B33844">
        <w:rPr>
          <w:rFonts w:ascii="Times New Roman" w:hAnsi="Times New Roman" w:cs="Times New Roman"/>
          <w:sz w:val="28"/>
          <w:szCs w:val="28"/>
          <w:lang w:val="en-US"/>
        </w:rPr>
        <w:t>urt cannot decide this issue</w:t>
      </w:r>
      <w:r w:rsidR="00E33B80">
        <w:rPr>
          <w:rFonts w:ascii="Times New Roman" w:hAnsi="Times New Roman" w:cs="Times New Roman"/>
          <w:sz w:val="28"/>
          <w:szCs w:val="28"/>
          <w:lang w:val="en-US"/>
        </w:rPr>
        <w:t xml:space="preserve"> on appeal. Capitec adopted an all or nothing approach. Capitec bore the onus and did not discharge it. </w:t>
      </w:r>
    </w:p>
    <w:p w14:paraId="2E2092DD" w14:textId="1BF49B79" w:rsidR="00A4486C" w:rsidRPr="006A32AF" w:rsidRDefault="00A4486C" w:rsidP="00A4486C">
      <w:pPr>
        <w:spacing w:after="0" w:line="360" w:lineRule="auto"/>
        <w:jc w:val="both"/>
        <w:rPr>
          <w:rFonts w:ascii="Times New Roman" w:hAnsi="Times New Roman" w:cs="Times New Roman"/>
          <w:sz w:val="28"/>
          <w:szCs w:val="28"/>
        </w:rPr>
      </w:pPr>
    </w:p>
    <w:p w14:paraId="38461AA3" w14:textId="28B7D314" w:rsidR="00A4486C" w:rsidRPr="00B67EF0" w:rsidRDefault="00B31149" w:rsidP="00A448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83333">
        <w:rPr>
          <w:rFonts w:ascii="Times New Roman" w:hAnsi="Times New Roman" w:cs="Times New Roman"/>
          <w:sz w:val="28"/>
          <w:szCs w:val="28"/>
        </w:rPr>
        <w:t>3</w:t>
      </w:r>
      <w:r w:rsidR="00B33844">
        <w:rPr>
          <w:rFonts w:ascii="Times New Roman" w:hAnsi="Times New Roman" w:cs="Times New Roman"/>
          <w:sz w:val="28"/>
          <w:szCs w:val="28"/>
        </w:rPr>
        <w:t>]</w:t>
      </w:r>
      <w:r w:rsidR="00B33844">
        <w:rPr>
          <w:rFonts w:ascii="Times New Roman" w:hAnsi="Times New Roman" w:cs="Times New Roman"/>
          <w:sz w:val="28"/>
          <w:szCs w:val="28"/>
        </w:rPr>
        <w:tab/>
      </w:r>
      <w:r w:rsidR="005812C9">
        <w:rPr>
          <w:rFonts w:ascii="Times New Roman" w:hAnsi="Times New Roman" w:cs="Times New Roman"/>
          <w:sz w:val="28"/>
          <w:szCs w:val="28"/>
        </w:rPr>
        <w:t xml:space="preserve">Additionally, </w:t>
      </w:r>
      <w:r w:rsidR="003C24DE" w:rsidRPr="00B67EF0">
        <w:rPr>
          <w:rFonts w:ascii="Times New Roman" w:hAnsi="Times New Roman" w:cs="Times New Roman"/>
          <w:sz w:val="28"/>
          <w:szCs w:val="28"/>
        </w:rPr>
        <w:t xml:space="preserve">Capitec attempts to rely on paragraph 5.2.2 of </w:t>
      </w:r>
      <w:r w:rsidR="005812C9">
        <w:rPr>
          <w:rFonts w:ascii="Times New Roman" w:hAnsi="Times New Roman" w:cs="Times New Roman"/>
          <w:sz w:val="28"/>
          <w:szCs w:val="28"/>
        </w:rPr>
        <w:t>SARS</w:t>
      </w:r>
      <w:r w:rsidR="00D752A7">
        <w:rPr>
          <w:rFonts w:ascii="Times New Roman" w:hAnsi="Times New Roman" w:cs="Times New Roman"/>
          <w:sz w:val="28"/>
          <w:szCs w:val="28"/>
        </w:rPr>
        <w:t xml:space="preserve"> </w:t>
      </w:r>
      <w:r w:rsidR="005812C9" w:rsidRPr="00B67EF0">
        <w:rPr>
          <w:rFonts w:ascii="Times New Roman" w:hAnsi="Times New Roman" w:cs="Times New Roman"/>
          <w:sz w:val="28"/>
          <w:szCs w:val="28"/>
        </w:rPr>
        <w:t xml:space="preserve">Interpretation Note 70 </w:t>
      </w:r>
      <w:r w:rsidR="005812C9">
        <w:rPr>
          <w:rFonts w:ascii="Times New Roman" w:hAnsi="Times New Roman" w:cs="Times New Roman"/>
          <w:sz w:val="28"/>
          <w:szCs w:val="28"/>
        </w:rPr>
        <w:t>(</w:t>
      </w:r>
      <w:r w:rsidR="003C24DE" w:rsidRPr="00B67EF0">
        <w:rPr>
          <w:rFonts w:ascii="Times New Roman" w:hAnsi="Times New Roman" w:cs="Times New Roman"/>
          <w:sz w:val="28"/>
          <w:szCs w:val="28"/>
        </w:rPr>
        <w:t>IN70</w:t>
      </w:r>
      <w:r w:rsidR="005812C9">
        <w:rPr>
          <w:rFonts w:ascii="Times New Roman" w:hAnsi="Times New Roman" w:cs="Times New Roman"/>
          <w:sz w:val="28"/>
          <w:szCs w:val="28"/>
        </w:rPr>
        <w:t>)</w:t>
      </w:r>
      <w:r w:rsidR="003C24DE" w:rsidRPr="00B67EF0">
        <w:rPr>
          <w:rFonts w:ascii="Times New Roman" w:hAnsi="Times New Roman" w:cs="Times New Roman"/>
          <w:sz w:val="28"/>
          <w:szCs w:val="28"/>
        </w:rPr>
        <w:t xml:space="preserve"> to contend that the practice generally prevailing was that ‘a supply made for no consideration in the context of business is generally regarded as a taxable supply’.</w:t>
      </w:r>
      <w:r w:rsidR="003C24DE">
        <w:rPr>
          <w:rFonts w:ascii="Times New Roman" w:hAnsi="Times New Roman" w:cs="Times New Roman"/>
          <w:sz w:val="28"/>
          <w:szCs w:val="28"/>
        </w:rPr>
        <w:t xml:space="preserve"> </w:t>
      </w:r>
      <w:r w:rsidR="003C24DE" w:rsidRPr="00B67EF0">
        <w:rPr>
          <w:rFonts w:ascii="Times New Roman" w:hAnsi="Times New Roman" w:cs="Times New Roman"/>
          <w:sz w:val="28"/>
          <w:szCs w:val="28"/>
        </w:rPr>
        <w:t>Capitec contends that paragraph 5.2.2 of IN70 constitutes a practice generally prevailing as defined in s 5(1) of the Tax Administration Act 28 of 2011 (TAA).</w:t>
      </w:r>
      <w:r w:rsidR="003C24DE">
        <w:rPr>
          <w:rFonts w:ascii="Times New Roman" w:hAnsi="Times New Roman" w:cs="Times New Roman"/>
          <w:sz w:val="28"/>
          <w:szCs w:val="28"/>
        </w:rPr>
        <w:t xml:space="preserve"> </w:t>
      </w:r>
      <w:r w:rsidR="003C24DE" w:rsidRPr="00B67EF0">
        <w:rPr>
          <w:rFonts w:ascii="Times New Roman" w:hAnsi="Times New Roman" w:cs="Times New Roman"/>
          <w:sz w:val="28"/>
          <w:szCs w:val="28"/>
        </w:rPr>
        <w:t xml:space="preserve">Section 5 of the TAA defines ‘practice generally prevailing’ as ‘a practice set out in an official publication regarding the interpretation or application of a tax Act’. </w:t>
      </w:r>
      <w:r w:rsidR="00A4486C" w:rsidRPr="00B67EF0">
        <w:rPr>
          <w:rFonts w:ascii="Times New Roman" w:hAnsi="Times New Roman" w:cs="Times New Roman"/>
          <w:sz w:val="28"/>
          <w:szCs w:val="28"/>
        </w:rPr>
        <w:t>However, para</w:t>
      </w:r>
      <w:r w:rsidR="00D752A7">
        <w:rPr>
          <w:rFonts w:ascii="Times New Roman" w:hAnsi="Times New Roman" w:cs="Times New Roman"/>
          <w:sz w:val="28"/>
          <w:szCs w:val="28"/>
        </w:rPr>
        <w:t>graph</w:t>
      </w:r>
      <w:r w:rsidR="00A4486C" w:rsidRPr="00B67EF0">
        <w:rPr>
          <w:rFonts w:ascii="Times New Roman" w:hAnsi="Times New Roman" w:cs="Times New Roman"/>
          <w:sz w:val="28"/>
          <w:szCs w:val="28"/>
        </w:rPr>
        <w:t xml:space="preserve"> 5.2.2 of IN70 also states that ‘when exempt or other non-taxable supplies are made for no consideration, no output tax is declared and no input tax is deducted by the vendor’. Further, that ‘the general rule will also not apply when the supplies concerned are characterised as exempt or out-of-scope for VAT purposes, because to that extent, the supplies are not made in the course or furtherance of the ‘enterprise’ (</w:t>
      </w:r>
      <w:r w:rsidR="00FE1543">
        <w:rPr>
          <w:rFonts w:ascii="Times New Roman" w:hAnsi="Times New Roman" w:cs="Times New Roman"/>
          <w:sz w:val="28"/>
          <w:szCs w:val="28"/>
        </w:rPr>
        <w:t>Refer,</w:t>
      </w:r>
      <w:r w:rsidR="003E4D32">
        <w:rPr>
          <w:rFonts w:ascii="Times New Roman" w:hAnsi="Times New Roman" w:cs="Times New Roman"/>
          <w:sz w:val="28"/>
          <w:szCs w:val="28"/>
        </w:rPr>
        <w:t xml:space="preserve"> for example, </w:t>
      </w:r>
      <w:r w:rsidR="00A4486C" w:rsidRPr="00B67EF0">
        <w:rPr>
          <w:rFonts w:ascii="Times New Roman" w:hAnsi="Times New Roman" w:cs="Times New Roman"/>
          <w:sz w:val="28"/>
          <w:szCs w:val="28"/>
        </w:rPr>
        <w:t xml:space="preserve">proviso </w:t>
      </w:r>
      <w:r w:rsidR="00A4486C" w:rsidRPr="00B33844">
        <w:rPr>
          <w:rFonts w:ascii="Times New Roman" w:hAnsi="Times New Roman" w:cs="Times New Roman"/>
          <w:i/>
          <w:sz w:val="28"/>
          <w:szCs w:val="28"/>
        </w:rPr>
        <w:t>(v)</w:t>
      </w:r>
      <w:r w:rsidR="00A4486C" w:rsidRPr="00B67EF0">
        <w:rPr>
          <w:rFonts w:ascii="Times New Roman" w:hAnsi="Times New Roman" w:cs="Times New Roman"/>
          <w:sz w:val="28"/>
          <w:szCs w:val="28"/>
        </w:rPr>
        <w:t xml:space="preserve"> to the definition of </w:t>
      </w:r>
      <w:r w:rsidR="00FE1543">
        <w:rPr>
          <w:rFonts w:ascii="Times New Roman" w:hAnsi="Times New Roman" w:cs="Times New Roman"/>
          <w:sz w:val="28"/>
          <w:szCs w:val="28"/>
        </w:rPr>
        <w:t>“</w:t>
      </w:r>
      <w:r w:rsidR="00A4486C" w:rsidRPr="00B67EF0">
        <w:rPr>
          <w:rFonts w:ascii="Times New Roman" w:hAnsi="Times New Roman" w:cs="Times New Roman"/>
          <w:sz w:val="28"/>
          <w:szCs w:val="28"/>
        </w:rPr>
        <w:t>enterprise</w:t>
      </w:r>
      <w:r w:rsidR="00FE1543">
        <w:rPr>
          <w:rFonts w:ascii="Times New Roman" w:hAnsi="Times New Roman" w:cs="Times New Roman"/>
          <w:sz w:val="28"/>
          <w:szCs w:val="28"/>
        </w:rPr>
        <w:t>”</w:t>
      </w:r>
      <w:r w:rsidR="00A4486C" w:rsidRPr="00B67EF0">
        <w:rPr>
          <w:rFonts w:ascii="Times New Roman" w:hAnsi="Times New Roman" w:cs="Times New Roman"/>
          <w:sz w:val="28"/>
          <w:szCs w:val="28"/>
        </w:rPr>
        <w:t xml:space="preserve"> in section 1(1) which specifically excludes exempt supplies.)</w:t>
      </w:r>
      <w:r w:rsidR="00FE1543">
        <w:rPr>
          <w:rFonts w:ascii="Times New Roman" w:hAnsi="Times New Roman" w:cs="Times New Roman"/>
          <w:sz w:val="28"/>
          <w:szCs w:val="28"/>
        </w:rPr>
        <w:t>’</w:t>
      </w:r>
      <w:r w:rsidR="00A4486C" w:rsidRPr="00B67EF0">
        <w:rPr>
          <w:rFonts w:ascii="Times New Roman" w:hAnsi="Times New Roman" w:cs="Times New Roman"/>
          <w:sz w:val="28"/>
          <w:szCs w:val="28"/>
        </w:rPr>
        <w:t>.</w:t>
      </w:r>
    </w:p>
    <w:p w14:paraId="7478BA53" w14:textId="77777777" w:rsidR="00A4486C" w:rsidRPr="00B67EF0" w:rsidRDefault="00A4486C" w:rsidP="00A4486C">
      <w:pPr>
        <w:spacing w:after="0" w:line="360" w:lineRule="auto"/>
        <w:jc w:val="both"/>
        <w:rPr>
          <w:rFonts w:ascii="Times New Roman" w:hAnsi="Times New Roman" w:cs="Times New Roman"/>
          <w:sz w:val="28"/>
          <w:szCs w:val="28"/>
        </w:rPr>
      </w:pPr>
    </w:p>
    <w:p w14:paraId="5690FD8F" w14:textId="783BE8DC" w:rsidR="00A4486C" w:rsidRPr="00B67EF0" w:rsidRDefault="00B31149" w:rsidP="00A448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83333">
        <w:rPr>
          <w:rFonts w:ascii="Times New Roman" w:hAnsi="Times New Roman" w:cs="Times New Roman"/>
          <w:sz w:val="28"/>
          <w:szCs w:val="28"/>
        </w:rPr>
        <w:t>4</w:t>
      </w:r>
      <w:r w:rsidR="00B33844">
        <w:rPr>
          <w:rFonts w:ascii="Times New Roman" w:hAnsi="Times New Roman" w:cs="Times New Roman"/>
          <w:sz w:val="28"/>
          <w:szCs w:val="28"/>
        </w:rPr>
        <w:t>]</w:t>
      </w:r>
      <w:r w:rsidR="00B33844">
        <w:rPr>
          <w:rFonts w:ascii="Times New Roman" w:hAnsi="Times New Roman" w:cs="Times New Roman"/>
          <w:sz w:val="28"/>
          <w:szCs w:val="28"/>
        </w:rPr>
        <w:tab/>
      </w:r>
      <w:r w:rsidR="00A4486C" w:rsidRPr="00B67EF0">
        <w:rPr>
          <w:rFonts w:ascii="Times New Roman" w:hAnsi="Times New Roman" w:cs="Times New Roman"/>
          <w:sz w:val="28"/>
          <w:szCs w:val="28"/>
        </w:rPr>
        <w:t xml:space="preserve">It is thus clear that IN 70 does not seek to change the principle in the VAT Act that no deduction is permissible in respect of supplies, whether for consideration or not, in the course of making exempt supplies. On this basis, reliance on the pleaded practice generally prevailing </w:t>
      </w:r>
      <w:r w:rsidR="00A6089F">
        <w:rPr>
          <w:rFonts w:ascii="Times New Roman" w:hAnsi="Times New Roman" w:cs="Times New Roman"/>
          <w:sz w:val="28"/>
          <w:szCs w:val="28"/>
        </w:rPr>
        <w:t xml:space="preserve">by Capitec </w:t>
      </w:r>
      <w:r w:rsidR="00A4486C" w:rsidRPr="00B67EF0">
        <w:rPr>
          <w:rFonts w:ascii="Times New Roman" w:hAnsi="Times New Roman" w:cs="Times New Roman"/>
          <w:sz w:val="28"/>
          <w:szCs w:val="28"/>
        </w:rPr>
        <w:t>is misplaced.</w:t>
      </w:r>
    </w:p>
    <w:p w14:paraId="135C3716" w14:textId="77777777" w:rsidR="00A4486C" w:rsidRPr="00B67EF0" w:rsidRDefault="00A4486C" w:rsidP="00A4486C">
      <w:pPr>
        <w:spacing w:after="0" w:line="360" w:lineRule="auto"/>
        <w:jc w:val="both"/>
        <w:rPr>
          <w:rFonts w:ascii="Times New Roman" w:hAnsi="Times New Roman" w:cs="Times New Roman"/>
          <w:sz w:val="28"/>
          <w:szCs w:val="28"/>
        </w:rPr>
      </w:pPr>
    </w:p>
    <w:p w14:paraId="7661B29B" w14:textId="1930985A" w:rsidR="0047491D" w:rsidRPr="00DB0BAC" w:rsidRDefault="00B31149" w:rsidP="00DB0BA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283333">
        <w:rPr>
          <w:rFonts w:ascii="Times New Roman" w:hAnsi="Times New Roman" w:cs="Times New Roman"/>
          <w:sz w:val="28"/>
          <w:szCs w:val="28"/>
          <w:lang w:val="en-US"/>
        </w:rPr>
        <w:t>5</w:t>
      </w:r>
      <w:r w:rsidR="00B33844">
        <w:rPr>
          <w:rFonts w:ascii="Times New Roman" w:hAnsi="Times New Roman" w:cs="Times New Roman"/>
          <w:sz w:val="28"/>
          <w:szCs w:val="28"/>
          <w:lang w:val="en-US"/>
        </w:rPr>
        <w:t>]</w:t>
      </w:r>
      <w:r w:rsidR="00B33844">
        <w:rPr>
          <w:rFonts w:ascii="Times New Roman" w:hAnsi="Times New Roman" w:cs="Times New Roman"/>
          <w:sz w:val="28"/>
          <w:szCs w:val="28"/>
          <w:lang w:val="en-US"/>
        </w:rPr>
        <w:tab/>
      </w:r>
      <w:r w:rsidR="0047491D" w:rsidRPr="00DB0BAC">
        <w:rPr>
          <w:rFonts w:ascii="Times New Roman" w:hAnsi="Times New Roman" w:cs="Times New Roman"/>
          <w:sz w:val="28"/>
          <w:szCs w:val="28"/>
          <w:lang w:val="en-US"/>
        </w:rPr>
        <w:t xml:space="preserve">Capitec </w:t>
      </w:r>
      <w:r w:rsidR="00B33844">
        <w:rPr>
          <w:rFonts w:ascii="Times New Roman" w:hAnsi="Times New Roman" w:cs="Times New Roman"/>
          <w:sz w:val="28"/>
          <w:szCs w:val="28"/>
          <w:lang w:val="en-US"/>
        </w:rPr>
        <w:t xml:space="preserve">has also based its argument on </w:t>
      </w:r>
      <w:r w:rsidR="0047491D" w:rsidRPr="00DB0BAC">
        <w:rPr>
          <w:rFonts w:ascii="Times New Roman" w:hAnsi="Times New Roman" w:cs="Times New Roman"/>
          <w:sz w:val="28"/>
          <w:szCs w:val="28"/>
          <w:lang w:val="en-US"/>
        </w:rPr>
        <w:t>s 10(23) of the VAT Act, which in my view is ill conceived. The section provides in relevant part that:</w:t>
      </w:r>
    </w:p>
    <w:p w14:paraId="1D0DE81C" w14:textId="3AA40F83" w:rsidR="0047491D" w:rsidRPr="00181513" w:rsidRDefault="00B33844" w:rsidP="0047491D">
      <w:pPr>
        <w:spacing w:after="0" w:line="360" w:lineRule="auto"/>
        <w:jc w:val="both"/>
        <w:rPr>
          <w:rFonts w:ascii="Times New Roman" w:hAnsi="Times New Roman" w:cs="Times New Roman"/>
          <w:sz w:val="24"/>
          <w:szCs w:val="24"/>
          <w:lang w:val="en-US"/>
        </w:rPr>
      </w:pPr>
      <w:r w:rsidRPr="00181513">
        <w:rPr>
          <w:rFonts w:ascii="Times New Roman" w:hAnsi="Times New Roman" w:cs="Times New Roman"/>
          <w:sz w:val="24"/>
          <w:szCs w:val="24"/>
          <w:lang w:val="en-US"/>
        </w:rPr>
        <w:t>‘</w:t>
      </w:r>
      <w:r w:rsidR="0047491D" w:rsidRPr="00181513">
        <w:rPr>
          <w:rFonts w:ascii="Times New Roman" w:hAnsi="Times New Roman" w:cs="Times New Roman"/>
          <w:sz w:val="24"/>
          <w:szCs w:val="24"/>
          <w:lang w:val="en-US"/>
        </w:rPr>
        <w:t>Save as otherwise provided in this section, where any supply is made for no consideration the value of t</w:t>
      </w:r>
      <w:r w:rsidRPr="00181513">
        <w:rPr>
          <w:rFonts w:ascii="Times New Roman" w:hAnsi="Times New Roman" w:cs="Times New Roman"/>
          <w:sz w:val="24"/>
          <w:szCs w:val="24"/>
          <w:lang w:val="en-US"/>
        </w:rPr>
        <w:t xml:space="preserve">hat supply </w:t>
      </w:r>
      <w:r w:rsidR="00FB3A0C">
        <w:rPr>
          <w:rFonts w:ascii="Times New Roman" w:hAnsi="Times New Roman" w:cs="Times New Roman"/>
          <w:sz w:val="24"/>
          <w:szCs w:val="24"/>
          <w:lang w:val="en-US"/>
        </w:rPr>
        <w:t>shall be</w:t>
      </w:r>
      <w:r w:rsidRPr="00181513">
        <w:rPr>
          <w:rFonts w:ascii="Times New Roman" w:hAnsi="Times New Roman" w:cs="Times New Roman"/>
          <w:sz w:val="24"/>
          <w:szCs w:val="24"/>
          <w:lang w:val="en-US"/>
        </w:rPr>
        <w:t xml:space="preserve"> deemed to be nil</w:t>
      </w:r>
      <w:r w:rsidR="00354EFE" w:rsidRPr="00181513">
        <w:rPr>
          <w:rFonts w:ascii="Times New Roman" w:hAnsi="Times New Roman" w:cs="Times New Roman"/>
          <w:sz w:val="24"/>
          <w:szCs w:val="24"/>
          <w:lang w:val="en-US"/>
        </w:rPr>
        <w:t>.</w:t>
      </w:r>
      <w:r w:rsidRPr="00181513">
        <w:rPr>
          <w:rFonts w:ascii="Times New Roman" w:hAnsi="Times New Roman" w:cs="Times New Roman"/>
          <w:sz w:val="24"/>
          <w:szCs w:val="24"/>
          <w:lang w:val="en-US"/>
        </w:rPr>
        <w:t>’</w:t>
      </w:r>
      <w:r w:rsidR="0047491D" w:rsidRPr="00181513">
        <w:rPr>
          <w:rFonts w:ascii="Times New Roman" w:hAnsi="Times New Roman" w:cs="Times New Roman"/>
          <w:sz w:val="24"/>
          <w:szCs w:val="24"/>
          <w:lang w:val="en-US"/>
        </w:rPr>
        <w:t xml:space="preserve"> </w:t>
      </w:r>
    </w:p>
    <w:p w14:paraId="398E4121" w14:textId="77777777" w:rsidR="0047491D" w:rsidRPr="00B67EF0" w:rsidRDefault="0047491D" w:rsidP="004749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purpose of s 10(23) of the VAT Act </w:t>
      </w:r>
      <w:r w:rsidRPr="00B67EF0">
        <w:rPr>
          <w:rFonts w:ascii="Times New Roman" w:hAnsi="Times New Roman" w:cs="Times New Roman"/>
          <w:sz w:val="28"/>
          <w:szCs w:val="28"/>
        </w:rPr>
        <w:t>is merely to provide a valuation rule which determines that the value of a supply will be nil in certain instances. The rule cannot b</w:t>
      </w:r>
      <w:r>
        <w:rPr>
          <w:rFonts w:ascii="Times New Roman" w:hAnsi="Times New Roman" w:cs="Times New Roman"/>
          <w:sz w:val="28"/>
          <w:szCs w:val="28"/>
        </w:rPr>
        <w:t>e used to characterise a supply as being taxable or non-taxable.</w:t>
      </w:r>
      <w:r w:rsidRPr="00B67EF0">
        <w:rPr>
          <w:rFonts w:ascii="Times New Roman" w:hAnsi="Times New Roman" w:cs="Times New Roman"/>
          <w:sz w:val="28"/>
          <w:szCs w:val="28"/>
        </w:rPr>
        <w:t xml:space="preserve"> In other words, the valuation rule does not have the effect of changing the character of a non-taxable supply for no consideration into a taxable supply for no consideration just because the person happens to be a vendor in respect of other (taxable) supplies made.</w:t>
      </w:r>
      <w:r w:rsidRPr="00E52485">
        <w:rPr>
          <w:rFonts w:ascii="Times New Roman" w:hAnsi="Times New Roman" w:cs="Times New Roman"/>
          <w:sz w:val="28"/>
          <w:szCs w:val="28"/>
        </w:rPr>
        <w:t xml:space="preserve"> </w:t>
      </w:r>
      <w:r w:rsidRPr="00FF3A6E">
        <w:rPr>
          <w:rFonts w:ascii="Times New Roman" w:hAnsi="Times New Roman" w:cs="Times New Roman"/>
          <w:sz w:val="28"/>
          <w:szCs w:val="28"/>
          <w:lang w:val="en-US"/>
        </w:rPr>
        <w:t xml:space="preserve"> </w:t>
      </w:r>
    </w:p>
    <w:p w14:paraId="00A05095" w14:textId="77777777" w:rsidR="00A4486C" w:rsidRPr="00B67EF0" w:rsidRDefault="00A4486C" w:rsidP="0047491D">
      <w:pPr>
        <w:spacing w:after="0" w:line="360" w:lineRule="auto"/>
        <w:jc w:val="both"/>
        <w:rPr>
          <w:rFonts w:ascii="Times New Roman" w:hAnsi="Times New Roman" w:cs="Times New Roman"/>
          <w:sz w:val="28"/>
          <w:szCs w:val="28"/>
        </w:rPr>
      </w:pPr>
    </w:p>
    <w:p w14:paraId="5AD3105F" w14:textId="5D4EE35B" w:rsidR="00865692" w:rsidRDefault="00B31149" w:rsidP="00A448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83333">
        <w:rPr>
          <w:rFonts w:ascii="Times New Roman" w:hAnsi="Times New Roman" w:cs="Times New Roman"/>
          <w:sz w:val="28"/>
          <w:szCs w:val="28"/>
        </w:rPr>
        <w:t>6</w:t>
      </w:r>
      <w:r w:rsidR="00B33844">
        <w:rPr>
          <w:rFonts w:ascii="Times New Roman" w:hAnsi="Times New Roman" w:cs="Times New Roman"/>
          <w:sz w:val="28"/>
          <w:szCs w:val="28"/>
        </w:rPr>
        <w:t>]</w:t>
      </w:r>
      <w:r w:rsidR="00B33844">
        <w:rPr>
          <w:rFonts w:ascii="Times New Roman" w:hAnsi="Times New Roman" w:cs="Times New Roman"/>
          <w:sz w:val="28"/>
          <w:szCs w:val="28"/>
        </w:rPr>
        <w:tab/>
      </w:r>
      <w:r w:rsidR="00FB3A0C">
        <w:rPr>
          <w:rFonts w:ascii="Times New Roman" w:hAnsi="Times New Roman" w:cs="Times New Roman"/>
          <w:sz w:val="28"/>
          <w:szCs w:val="28"/>
        </w:rPr>
        <w:t xml:space="preserve">Lastly, the matter of </w:t>
      </w:r>
      <w:r w:rsidR="00865692">
        <w:rPr>
          <w:rFonts w:ascii="Times New Roman" w:hAnsi="Times New Roman" w:cs="Times New Roman"/>
          <w:sz w:val="28"/>
          <w:szCs w:val="28"/>
        </w:rPr>
        <w:t xml:space="preserve">the </w:t>
      </w:r>
      <w:r w:rsidR="00FB3A0C">
        <w:rPr>
          <w:rFonts w:ascii="Times New Roman" w:hAnsi="Times New Roman" w:cs="Times New Roman"/>
          <w:sz w:val="28"/>
          <w:szCs w:val="28"/>
        </w:rPr>
        <w:t xml:space="preserve">penalty </w:t>
      </w:r>
      <w:r w:rsidR="00865692">
        <w:rPr>
          <w:rFonts w:ascii="Times New Roman" w:hAnsi="Times New Roman" w:cs="Times New Roman"/>
          <w:sz w:val="28"/>
          <w:szCs w:val="28"/>
        </w:rPr>
        <w:t xml:space="preserve">levied </w:t>
      </w:r>
      <w:r w:rsidR="00FB3A0C">
        <w:rPr>
          <w:rFonts w:ascii="Times New Roman" w:hAnsi="Times New Roman" w:cs="Times New Roman"/>
          <w:sz w:val="28"/>
          <w:szCs w:val="28"/>
        </w:rPr>
        <w:t xml:space="preserve">on Capitec must be dealt with. </w:t>
      </w:r>
      <w:r w:rsidR="00865692">
        <w:rPr>
          <w:rFonts w:ascii="Times New Roman" w:hAnsi="Times New Roman" w:cs="Times New Roman"/>
          <w:sz w:val="28"/>
          <w:szCs w:val="28"/>
        </w:rPr>
        <w:t>In terms of s 21</w:t>
      </w:r>
      <w:r w:rsidR="000E3E4E">
        <w:rPr>
          <w:rFonts w:ascii="Times New Roman" w:hAnsi="Times New Roman" w:cs="Times New Roman"/>
          <w:sz w:val="28"/>
          <w:szCs w:val="28"/>
        </w:rPr>
        <w:t>3</w:t>
      </w:r>
      <w:r w:rsidR="00865692">
        <w:rPr>
          <w:rFonts w:ascii="Times New Roman" w:hAnsi="Times New Roman" w:cs="Times New Roman"/>
          <w:sz w:val="28"/>
          <w:szCs w:val="28"/>
        </w:rPr>
        <w:t xml:space="preserve"> of the TAA read with s 39(1) of the VAT Act, SARS levied a 10% penalty on Capitec for the underpayment of VAT arising from the deduction of notional input tax in respect of the loan cover payouts.</w:t>
      </w:r>
    </w:p>
    <w:p w14:paraId="38EB54C2" w14:textId="77777777" w:rsidR="00865692" w:rsidRDefault="00865692" w:rsidP="00A4486C">
      <w:pPr>
        <w:spacing w:after="0" w:line="360" w:lineRule="auto"/>
        <w:jc w:val="both"/>
        <w:rPr>
          <w:rFonts w:ascii="Times New Roman" w:hAnsi="Times New Roman" w:cs="Times New Roman"/>
          <w:sz w:val="28"/>
          <w:szCs w:val="28"/>
        </w:rPr>
      </w:pPr>
    </w:p>
    <w:p w14:paraId="2140149C" w14:textId="0CF3D69B" w:rsidR="00A4486C" w:rsidRPr="00B67EF0" w:rsidRDefault="00B31149" w:rsidP="00A448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83333">
        <w:rPr>
          <w:rFonts w:ascii="Times New Roman" w:hAnsi="Times New Roman" w:cs="Times New Roman"/>
          <w:sz w:val="28"/>
          <w:szCs w:val="28"/>
        </w:rPr>
        <w:t>7</w:t>
      </w:r>
      <w:r w:rsidR="00865692">
        <w:rPr>
          <w:rFonts w:ascii="Times New Roman" w:hAnsi="Times New Roman" w:cs="Times New Roman"/>
          <w:sz w:val="28"/>
          <w:szCs w:val="28"/>
        </w:rPr>
        <w:t xml:space="preserve">] </w:t>
      </w:r>
      <w:r w:rsidR="00865692">
        <w:rPr>
          <w:rFonts w:ascii="Times New Roman" w:hAnsi="Times New Roman" w:cs="Times New Roman"/>
          <w:sz w:val="28"/>
          <w:szCs w:val="28"/>
        </w:rPr>
        <w:tab/>
      </w:r>
      <w:r w:rsidR="00A4486C" w:rsidRPr="00B67EF0">
        <w:rPr>
          <w:rFonts w:ascii="Times New Roman" w:hAnsi="Times New Roman" w:cs="Times New Roman"/>
          <w:sz w:val="28"/>
          <w:szCs w:val="28"/>
        </w:rPr>
        <w:t>Section 217(3) of the TAA provides for the remission of the penalty levied if certain requirements are met. It provides as follows:</w:t>
      </w:r>
    </w:p>
    <w:p w14:paraId="32636C28" w14:textId="4C71C5C0" w:rsidR="00A4486C" w:rsidRPr="00B33844" w:rsidRDefault="00A4486C" w:rsidP="00A4486C">
      <w:pPr>
        <w:spacing w:after="0" w:line="360" w:lineRule="auto"/>
        <w:jc w:val="both"/>
        <w:rPr>
          <w:rFonts w:ascii="Times New Roman" w:hAnsi="Times New Roman" w:cs="Times New Roman"/>
          <w:sz w:val="24"/>
          <w:szCs w:val="24"/>
        </w:rPr>
      </w:pPr>
      <w:r w:rsidRPr="00B33844">
        <w:rPr>
          <w:rFonts w:ascii="Times New Roman" w:hAnsi="Times New Roman" w:cs="Times New Roman"/>
          <w:sz w:val="24"/>
          <w:szCs w:val="24"/>
        </w:rPr>
        <w:t xml:space="preserve">‘(3) </w:t>
      </w:r>
      <w:r w:rsidRPr="00B33844">
        <w:rPr>
          <w:rFonts w:ascii="Times New Roman" w:hAnsi="Times New Roman" w:cs="Times New Roman"/>
          <w:sz w:val="24"/>
          <w:szCs w:val="24"/>
        </w:rPr>
        <w:tab/>
        <w:t xml:space="preserve">If a </w:t>
      </w:r>
      <w:r w:rsidR="00FB3A0C">
        <w:rPr>
          <w:rFonts w:ascii="Times New Roman" w:hAnsi="Times New Roman" w:cs="Times New Roman"/>
          <w:sz w:val="24"/>
          <w:szCs w:val="24"/>
        </w:rPr>
        <w:t>“</w:t>
      </w:r>
      <w:r w:rsidRPr="00B33844">
        <w:rPr>
          <w:rFonts w:ascii="Times New Roman" w:hAnsi="Times New Roman" w:cs="Times New Roman"/>
          <w:sz w:val="24"/>
          <w:szCs w:val="24"/>
        </w:rPr>
        <w:t>penalty</w:t>
      </w:r>
      <w:r w:rsidR="00FB3A0C">
        <w:rPr>
          <w:rFonts w:ascii="Times New Roman" w:hAnsi="Times New Roman" w:cs="Times New Roman"/>
          <w:sz w:val="24"/>
          <w:szCs w:val="24"/>
        </w:rPr>
        <w:t>”</w:t>
      </w:r>
      <w:r w:rsidRPr="00B33844">
        <w:rPr>
          <w:rFonts w:ascii="Times New Roman" w:hAnsi="Times New Roman" w:cs="Times New Roman"/>
          <w:sz w:val="24"/>
          <w:szCs w:val="24"/>
        </w:rPr>
        <w:t xml:space="preserve"> has been imposed under section 213, SARS may remit the </w:t>
      </w:r>
      <w:r w:rsidR="00FB3A0C">
        <w:rPr>
          <w:rFonts w:ascii="Times New Roman" w:hAnsi="Times New Roman" w:cs="Times New Roman"/>
          <w:sz w:val="24"/>
          <w:szCs w:val="24"/>
        </w:rPr>
        <w:t>“</w:t>
      </w:r>
      <w:r w:rsidRPr="00B33844">
        <w:rPr>
          <w:rFonts w:ascii="Times New Roman" w:hAnsi="Times New Roman" w:cs="Times New Roman"/>
          <w:sz w:val="24"/>
          <w:szCs w:val="24"/>
        </w:rPr>
        <w:t>penalty</w:t>
      </w:r>
      <w:r w:rsidR="00FB3A0C">
        <w:rPr>
          <w:rFonts w:ascii="Times New Roman" w:hAnsi="Times New Roman" w:cs="Times New Roman"/>
          <w:sz w:val="24"/>
          <w:szCs w:val="24"/>
        </w:rPr>
        <w:t>”</w:t>
      </w:r>
      <w:r w:rsidRPr="00B33844">
        <w:rPr>
          <w:rFonts w:ascii="Times New Roman" w:hAnsi="Times New Roman" w:cs="Times New Roman"/>
          <w:sz w:val="24"/>
          <w:szCs w:val="24"/>
        </w:rPr>
        <w:t xml:space="preserve"> or a portion thereof, if SARS is satisfied that</w:t>
      </w:r>
      <w:r w:rsidR="00FB3A0C">
        <w:rPr>
          <w:rFonts w:ascii="Times New Roman" w:hAnsi="Times New Roman" w:cs="Times New Roman"/>
          <w:sz w:val="24"/>
          <w:szCs w:val="24"/>
        </w:rPr>
        <w:t xml:space="preserve"> –</w:t>
      </w:r>
    </w:p>
    <w:p w14:paraId="2B390473" w14:textId="7E75AF24" w:rsidR="00A4486C" w:rsidRPr="00B33844" w:rsidRDefault="00A4486C" w:rsidP="00A4486C">
      <w:pPr>
        <w:spacing w:after="0" w:line="360" w:lineRule="auto"/>
        <w:jc w:val="both"/>
        <w:rPr>
          <w:rFonts w:ascii="Times New Roman" w:hAnsi="Times New Roman" w:cs="Times New Roman"/>
          <w:sz w:val="24"/>
          <w:szCs w:val="24"/>
        </w:rPr>
      </w:pPr>
      <w:r w:rsidRPr="00B33844">
        <w:rPr>
          <w:rFonts w:ascii="Times New Roman" w:hAnsi="Times New Roman" w:cs="Times New Roman"/>
          <w:i/>
          <w:sz w:val="24"/>
          <w:szCs w:val="24"/>
        </w:rPr>
        <w:t>(a)</w:t>
      </w:r>
      <w:r w:rsidRPr="00B33844">
        <w:rPr>
          <w:rFonts w:ascii="Times New Roman" w:hAnsi="Times New Roman" w:cs="Times New Roman"/>
          <w:sz w:val="24"/>
          <w:szCs w:val="24"/>
        </w:rPr>
        <w:tab/>
        <w:t xml:space="preserve">the </w:t>
      </w:r>
      <w:r w:rsidR="00FB3A0C">
        <w:rPr>
          <w:rFonts w:ascii="Times New Roman" w:hAnsi="Times New Roman" w:cs="Times New Roman"/>
          <w:sz w:val="24"/>
          <w:szCs w:val="24"/>
        </w:rPr>
        <w:t>“</w:t>
      </w:r>
      <w:r w:rsidRPr="00B33844">
        <w:rPr>
          <w:rFonts w:ascii="Times New Roman" w:hAnsi="Times New Roman" w:cs="Times New Roman"/>
          <w:sz w:val="24"/>
          <w:szCs w:val="24"/>
        </w:rPr>
        <w:t>penalty</w:t>
      </w:r>
      <w:r w:rsidR="00FB3A0C">
        <w:rPr>
          <w:rFonts w:ascii="Times New Roman" w:hAnsi="Times New Roman" w:cs="Times New Roman"/>
          <w:sz w:val="24"/>
          <w:szCs w:val="24"/>
        </w:rPr>
        <w:t>”</w:t>
      </w:r>
      <w:r w:rsidRPr="00B33844">
        <w:rPr>
          <w:rFonts w:ascii="Times New Roman" w:hAnsi="Times New Roman" w:cs="Times New Roman"/>
          <w:sz w:val="24"/>
          <w:szCs w:val="24"/>
        </w:rPr>
        <w:t xml:space="preserve"> has been imposed in respect of a </w:t>
      </w:r>
      <w:r w:rsidR="00FB3A0C">
        <w:rPr>
          <w:rFonts w:ascii="Times New Roman" w:hAnsi="Times New Roman" w:cs="Times New Roman"/>
          <w:sz w:val="24"/>
          <w:szCs w:val="24"/>
        </w:rPr>
        <w:t>“</w:t>
      </w:r>
      <w:r w:rsidRPr="00B33844">
        <w:rPr>
          <w:rFonts w:ascii="Times New Roman" w:hAnsi="Times New Roman" w:cs="Times New Roman"/>
          <w:sz w:val="24"/>
          <w:szCs w:val="24"/>
        </w:rPr>
        <w:t>first incidence</w:t>
      </w:r>
      <w:r w:rsidR="00FB3A0C">
        <w:rPr>
          <w:rFonts w:ascii="Times New Roman" w:hAnsi="Times New Roman" w:cs="Times New Roman"/>
          <w:sz w:val="24"/>
          <w:szCs w:val="24"/>
        </w:rPr>
        <w:t>”</w:t>
      </w:r>
      <w:r w:rsidRPr="00B33844">
        <w:rPr>
          <w:rFonts w:ascii="Times New Roman" w:hAnsi="Times New Roman" w:cs="Times New Roman"/>
          <w:sz w:val="24"/>
          <w:szCs w:val="24"/>
        </w:rPr>
        <w:t xml:space="preserve"> of non-compliance, or involved an amount of less than R2 000;</w:t>
      </w:r>
    </w:p>
    <w:p w14:paraId="456C7DAA" w14:textId="77777777" w:rsidR="00A4486C" w:rsidRPr="00B33844" w:rsidRDefault="00A4486C" w:rsidP="00A4486C">
      <w:pPr>
        <w:spacing w:after="0" w:line="360" w:lineRule="auto"/>
        <w:jc w:val="both"/>
        <w:rPr>
          <w:rFonts w:ascii="Times New Roman" w:hAnsi="Times New Roman" w:cs="Times New Roman"/>
          <w:sz w:val="24"/>
          <w:szCs w:val="24"/>
        </w:rPr>
      </w:pPr>
      <w:r w:rsidRPr="00B33844">
        <w:rPr>
          <w:rFonts w:ascii="Times New Roman" w:hAnsi="Times New Roman" w:cs="Times New Roman"/>
          <w:i/>
          <w:sz w:val="24"/>
          <w:szCs w:val="24"/>
        </w:rPr>
        <w:t>(b)</w:t>
      </w:r>
      <w:r w:rsidRPr="00B33844">
        <w:rPr>
          <w:rFonts w:ascii="Times New Roman" w:hAnsi="Times New Roman" w:cs="Times New Roman"/>
          <w:sz w:val="24"/>
          <w:szCs w:val="24"/>
        </w:rPr>
        <w:tab/>
        <w:t>reasonable grounds for the non-compliance exist; and</w:t>
      </w:r>
    </w:p>
    <w:p w14:paraId="6E1DC8B2" w14:textId="77777777" w:rsidR="00A4486C" w:rsidRPr="00B33844" w:rsidRDefault="00A4486C" w:rsidP="00A4486C">
      <w:pPr>
        <w:spacing w:after="0" w:line="360" w:lineRule="auto"/>
        <w:jc w:val="both"/>
        <w:rPr>
          <w:rFonts w:ascii="Times New Roman" w:hAnsi="Times New Roman" w:cs="Times New Roman"/>
          <w:sz w:val="24"/>
          <w:szCs w:val="24"/>
        </w:rPr>
      </w:pPr>
      <w:r w:rsidRPr="00B33844">
        <w:rPr>
          <w:rFonts w:ascii="Times New Roman" w:hAnsi="Times New Roman" w:cs="Times New Roman"/>
          <w:i/>
          <w:sz w:val="24"/>
          <w:szCs w:val="24"/>
        </w:rPr>
        <w:t>(c)</w:t>
      </w:r>
      <w:r w:rsidRPr="00B33844">
        <w:rPr>
          <w:rFonts w:ascii="Times New Roman" w:hAnsi="Times New Roman" w:cs="Times New Roman"/>
          <w:sz w:val="24"/>
          <w:szCs w:val="24"/>
        </w:rPr>
        <w:tab/>
        <w:t>the non-compliance in issue has been remedied.’</w:t>
      </w:r>
    </w:p>
    <w:p w14:paraId="07A94669" w14:textId="77777777" w:rsidR="00A4486C" w:rsidRPr="00B67EF0" w:rsidRDefault="00A4486C" w:rsidP="00A4486C">
      <w:pPr>
        <w:spacing w:after="0" w:line="360" w:lineRule="auto"/>
        <w:jc w:val="both"/>
        <w:rPr>
          <w:rFonts w:ascii="Times New Roman" w:hAnsi="Times New Roman" w:cs="Times New Roman"/>
          <w:sz w:val="28"/>
          <w:szCs w:val="28"/>
        </w:rPr>
      </w:pPr>
    </w:p>
    <w:p w14:paraId="1D9DAA94" w14:textId="66EFEE79" w:rsidR="006A32AF" w:rsidRDefault="00B31149" w:rsidP="00A4486C">
      <w:pPr>
        <w:spacing w:after="0" w:line="360" w:lineRule="auto"/>
        <w:jc w:val="both"/>
        <w:rPr>
          <w:rFonts w:ascii="Times New Roman" w:hAnsi="Times New Roman" w:cs="Times New Roman"/>
          <w:sz w:val="28"/>
          <w:szCs w:val="28"/>
          <w:lang w:val="en-US"/>
        </w:rPr>
      </w:pPr>
      <w:r w:rsidRPr="00655B85">
        <w:rPr>
          <w:rFonts w:ascii="Times New Roman" w:hAnsi="Times New Roman" w:cs="Times New Roman"/>
          <w:sz w:val="28"/>
          <w:szCs w:val="28"/>
        </w:rPr>
        <w:t>[4</w:t>
      </w:r>
      <w:r w:rsidR="00283333" w:rsidRPr="00655B85">
        <w:rPr>
          <w:rFonts w:ascii="Times New Roman" w:hAnsi="Times New Roman" w:cs="Times New Roman"/>
          <w:sz w:val="28"/>
          <w:szCs w:val="28"/>
        </w:rPr>
        <w:t>8</w:t>
      </w:r>
      <w:r w:rsidR="00B33844" w:rsidRPr="00655B85">
        <w:rPr>
          <w:rFonts w:ascii="Times New Roman" w:hAnsi="Times New Roman" w:cs="Times New Roman"/>
          <w:sz w:val="28"/>
          <w:szCs w:val="28"/>
        </w:rPr>
        <w:t>]</w:t>
      </w:r>
      <w:r w:rsidR="00B33844" w:rsidRPr="00655B85">
        <w:rPr>
          <w:rFonts w:ascii="Times New Roman" w:hAnsi="Times New Roman" w:cs="Times New Roman"/>
          <w:sz w:val="28"/>
          <w:szCs w:val="28"/>
        </w:rPr>
        <w:tab/>
      </w:r>
      <w:r w:rsidR="00E736BC" w:rsidRPr="00655B85">
        <w:rPr>
          <w:rFonts w:ascii="Times New Roman" w:hAnsi="Times New Roman" w:cs="Times New Roman"/>
          <w:sz w:val="28"/>
          <w:szCs w:val="28"/>
        </w:rPr>
        <w:t>This was the first time a pe</w:t>
      </w:r>
      <w:r w:rsidR="00B33844" w:rsidRPr="00655B85">
        <w:rPr>
          <w:rFonts w:ascii="Times New Roman" w:hAnsi="Times New Roman" w:cs="Times New Roman"/>
          <w:sz w:val="28"/>
          <w:szCs w:val="28"/>
        </w:rPr>
        <w:t xml:space="preserve">nalty had been imposed by SARS </w:t>
      </w:r>
      <w:r w:rsidR="00E736BC" w:rsidRPr="00655B85">
        <w:rPr>
          <w:rFonts w:ascii="Times New Roman" w:hAnsi="Times New Roman" w:cs="Times New Roman"/>
          <w:sz w:val="28"/>
          <w:szCs w:val="28"/>
        </w:rPr>
        <w:t>on Capitec in the three years preceding the relevant VAT return. In my view there were reasonable</w:t>
      </w:r>
      <w:r w:rsidR="00E736BC">
        <w:rPr>
          <w:rFonts w:ascii="Times New Roman" w:hAnsi="Times New Roman" w:cs="Times New Roman"/>
          <w:sz w:val="28"/>
          <w:szCs w:val="28"/>
        </w:rPr>
        <w:t xml:space="preserve"> grounds for Capitec claiming the deduction: Capitec had obtained a favourable opinion from a senior counsel; </w:t>
      </w:r>
      <w:r w:rsidR="00865692">
        <w:rPr>
          <w:rFonts w:ascii="Times New Roman" w:hAnsi="Times New Roman" w:cs="Times New Roman"/>
          <w:sz w:val="28"/>
          <w:szCs w:val="28"/>
        </w:rPr>
        <w:t xml:space="preserve">and </w:t>
      </w:r>
      <w:r w:rsidR="00E736BC">
        <w:rPr>
          <w:rFonts w:ascii="Times New Roman" w:hAnsi="Times New Roman" w:cs="Times New Roman"/>
          <w:sz w:val="28"/>
          <w:szCs w:val="28"/>
        </w:rPr>
        <w:t xml:space="preserve">the only way Capitec could reasonably test the issue was to claim the deduction in its </w:t>
      </w:r>
      <w:r w:rsidR="00B33844">
        <w:rPr>
          <w:rFonts w:ascii="Times New Roman" w:hAnsi="Times New Roman" w:cs="Times New Roman"/>
          <w:sz w:val="28"/>
          <w:szCs w:val="28"/>
        </w:rPr>
        <w:t xml:space="preserve">tax return. In such </w:t>
      </w:r>
      <w:r w:rsidR="00E736BC">
        <w:rPr>
          <w:rFonts w:ascii="Times New Roman" w:hAnsi="Times New Roman" w:cs="Times New Roman"/>
          <w:sz w:val="28"/>
          <w:szCs w:val="28"/>
        </w:rPr>
        <w:t>circumstances the penalty should be remitted</w:t>
      </w:r>
      <w:r w:rsidR="00865692">
        <w:rPr>
          <w:rFonts w:ascii="Times New Roman" w:hAnsi="Times New Roman" w:cs="Times New Roman"/>
          <w:sz w:val="28"/>
          <w:szCs w:val="28"/>
        </w:rPr>
        <w:t>,</w:t>
      </w:r>
      <w:r w:rsidR="00E736BC">
        <w:rPr>
          <w:rFonts w:ascii="Times New Roman" w:hAnsi="Times New Roman" w:cs="Times New Roman"/>
          <w:sz w:val="28"/>
          <w:szCs w:val="28"/>
        </w:rPr>
        <w:t xml:space="preserve"> as </w:t>
      </w:r>
      <w:r w:rsidR="00E736BC">
        <w:rPr>
          <w:rFonts w:ascii="Times New Roman" w:hAnsi="Times New Roman" w:cs="Times New Roman"/>
          <w:sz w:val="28"/>
          <w:szCs w:val="28"/>
          <w:lang w:val="en-US"/>
        </w:rPr>
        <w:t>it cannot be said that the contesting of the amount was unreasonable.</w:t>
      </w:r>
    </w:p>
    <w:p w14:paraId="2796A9B1" w14:textId="247F016B" w:rsidR="002C1F4B" w:rsidRDefault="002C1F4B" w:rsidP="00A4486C">
      <w:pPr>
        <w:spacing w:after="0" w:line="360" w:lineRule="auto"/>
        <w:jc w:val="both"/>
        <w:rPr>
          <w:rFonts w:ascii="Times New Roman" w:hAnsi="Times New Roman" w:cs="Times New Roman"/>
          <w:sz w:val="28"/>
          <w:szCs w:val="28"/>
          <w:lang w:val="en-US"/>
        </w:rPr>
      </w:pPr>
    </w:p>
    <w:p w14:paraId="6B3CE391" w14:textId="215106F9" w:rsidR="003E4D32" w:rsidRPr="002C1F4B" w:rsidRDefault="00B31149" w:rsidP="00A448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283333">
        <w:rPr>
          <w:rFonts w:ascii="Times New Roman" w:hAnsi="Times New Roman" w:cs="Times New Roman"/>
          <w:sz w:val="28"/>
          <w:szCs w:val="28"/>
        </w:rPr>
        <w:t>49</w:t>
      </w:r>
      <w:r w:rsidR="00B33844">
        <w:rPr>
          <w:rFonts w:ascii="Times New Roman" w:hAnsi="Times New Roman" w:cs="Times New Roman"/>
          <w:sz w:val="28"/>
          <w:szCs w:val="28"/>
        </w:rPr>
        <w:t>]</w:t>
      </w:r>
      <w:r w:rsidR="00B33844">
        <w:rPr>
          <w:rFonts w:ascii="Times New Roman" w:hAnsi="Times New Roman" w:cs="Times New Roman"/>
          <w:sz w:val="28"/>
          <w:szCs w:val="28"/>
        </w:rPr>
        <w:tab/>
      </w:r>
      <w:r w:rsidR="002C1F4B" w:rsidRPr="00B67EF0">
        <w:rPr>
          <w:rFonts w:ascii="Times New Roman" w:hAnsi="Times New Roman" w:cs="Times New Roman"/>
          <w:sz w:val="28"/>
          <w:szCs w:val="28"/>
        </w:rPr>
        <w:t xml:space="preserve">For </w:t>
      </w:r>
      <w:r w:rsidR="00B33844">
        <w:rPr>
          <w:rFonts w:ascii="Times New Roman" w:hAnsi="Times New Roman" w:cs="Times New Roman"/>
          <w:sz w:val="28"/>
          <w:szCs w:val="28"/>
        </w:rPr>
        <w:t>all of the aforegoing</w:t>
      </w:r>
      <w:r w:rsidR="002C1F4B" w:rsidRPr="00B67EF0">
        <w:rPr>
          <w:rFonts w:ascii="Times New Roman" w:hAnsi="Times New Roman" w:cs="Times New Roman"/>
          <w:sz w:val="28"/>
          <w:szCs w:val="28"/>
        </w:rPr>
        <w:t xml:space="preserve"> reasons,</w:t>
      </w:r>
      <w:r w:rsidR="002F2E0C">
        <w:rPr>
          <w:rFonts w:ascii="Times New Roman" w:hAnsi="Times New Roman" w:cs="Times New Roman"/>
          <w:sz w:val="28"/>
          <w:szCs w:val="28"/>
        </w:rPr>
        <w:t xml:space="preserve"> t</w:t>
      </w:r>
      <w:r w:rsidR="006D70D0">
        <w:rPr>
          <w:rFonts w:ascii="Times New Roman" w:hAnsi="Times New Roman" w:cs="Times New Roman"/>
          <w:sz w:val="28"/>
          <w:szCs w:val="28"/>
        </w:rPr>
        <w:t>he appeal succeeds.</w:t>
      </w:r>
    </w:p>
    <w:p w14:paraId="2331C889" w14:textId="77777777" w:rsidR="00A4486C" w:rsidRPr="00B67EF0" w:rsidRDefault="00A4486C" w:rsidP="00A4486C">
      <w:pPr>
        <w:spacing w:after="0" w:line="360" w:lineRule="auto"/>
        <w:jc w:val="both"/>
        <w:rPr>
          <w:rFonts w:ascii="Times New Roman" w:hAnsi="Times New Roman" w:cs="Times New Roman"/>
          <w:sz w:val="28"/>
          <w:szCs w:val="28"/>
        </w:rPr>
      </w:pPr>
    </w:p>
    <w:p w14:paraId="47E6EC29" w14:textId="2E75FCC5" w:rsidR="00A4486C" w:rsidRPr="00F34CFE" w:rsidRDefault="00B31149" w:rsidP="00A448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83333">
        <w:rPr>
          <w:rFonts w:ascii="Times New Roman" w:hAnsi="Times New Roman" w:cs="Times New Roman"/>
          <w:sz w:val="28"/>
          <w:szCs w:val="28"/>
        </w:rPr>
        <w:t>0</w:t>
      </w:r>
      <w:r w:rsidR="002F11F2">
        <w:rPr>
          <w:rFonts w:ascii="Times New Roman" w:hAnsi="Times New Roman" w:cs="Times New Roman"/>
          <w:sz w:val="28"/>
          <w:szCs w:val="28"/>
        </w:rPr>
        <w:t>]</w:t>
      </w:r>
      <w:r w:rsidR="002F11F2">
        <w:rPr>
          <w:rFonts w:ascii="Times New Roman" w:hAnsi="Times New Roman" w:cs="Times New Roman"/>
          <w:sz w:val="28"/>
          <w:szCs w:val="28"/>
        </w:rPr>
        <w:tab/>
      </w:r>
      <w:r w:rsidR="00D43412" w:rsidRPr="00F34CFE">
        <w:rPr>
          <w:rFonts w:ascii="Times New Roman" w:hAnsi="Times New Roman" w:cs="Times New Roman"/>
          <w:sz w:val="28"/>
          <w:szCs w:val="28"/>
        </w:rPr>
        <w:t>In the result</w:t>
      </w:r>
      <w:r w:rsidR="00EB39E7">
        <w:rPr>
          <w:rFonts w:ascii="Times New Roman" w:hAnsi="Times New Roman" w:cs="Times New Roman"/>
          <w:sz w:val="28"/>
          <w:szCs w:val="28"/>
        </w:rPr>
        <w:t>,</w:t>
      </w:r>
      <w:r w:rsidR="00D43412" w:rsidRPr="00F34CFE">
        <w:rPr>
          <w:rFonts w:ascii="Times New Roman" w:hAnsi="Times New Roman" w:cs="Times New Roman"/>
          <w:sz w:val="28"/>
          <w:szCs w:val="28"/>
        </w:rPr>
        <w:t xml:space="preserve"> the following order is made:</w:t>
      </w:r>
    </w:p>
    <w:p w14:paraId="26E584F1" w14:textId="444A139B" w:rsidR="00F34CFE" w:rsidRPr="00B67EF0" w:rsidRDefault="00F34CFE" w:rsidP="00F34CFE">
      <w:pPr>
        <w:spacing w:after="0" w:line="360" w:lineRule="auto"/>
        <w:contextualSpacing/>
        <w:jc w:val="both"/>
        <w:rPr>
          <w:rFonts w:ascii="Times New Roman" w:eastAsiaTheme="minorEastAsia" w:hAnsi="Times New Roman" w:cs="Times New Roman"/>
          <w:sz w:val="28"/>
          <w:szCs w:val="28"/>
          <w:lang w:val="en-US"/>
        </w:rPr>
      </w:pPr>
      <w:r w:rsidRPr="00B67EF0">
        <w:rPr>
          <w:rFonts w:ascii="Times New Roman" w:eastAsiaTheme="minorEastAsia" w:hAnsi="Times New Roman" w:cs="Times New Roman"/>
          <w:sz w:val="28"/>
          <w:szCs w:val="28"/>
          <w:lang w:val="en-US"/>
        </w:rPr>
        <w:t xml:space="preserve">1 </w:t>
      </w:r>
      <w:r w:rsidR="00402FDF">
        <w:rPr>
          <w:rFonts w:ascii="Times New Roman" w:eastAsiaTheme="minorEastAsia" w:hAnsi="Times New Roman" w:cs="Times New Roman"/>
          <w:sz w:val="28"/>
          <w:szCs w:val="28"/>
          <w:lang w:val="en-US"/>
        </w:rPr>
        <w:tab/>
      </w:r>
      <w:r w:rsidRPr="00B67EF0">
        <w:rPr>
          <w:rFonts w:ascii="Times New Roman" w:eastAsiaTheme="minorEastAsia" w:hAnsi="Times New Roman" w:cs="Times New Roman"/>
          <w:sz w:val="28"/>
          <w:szCs w:val="28"/>
          <w:lang w:val="en-US"/>
        </w:rPr>
        <w:t>The appeal is upheld with costs</w:t>
      </w:r>
      <w:r>
        <w:rPr>
          <w:rFonts w:ascii="Times New Roman" w:eastAsiaTheme="minorEastAsia" w:hAnsi="Times New Roman" w:cs="Times New Roman"/>
          <w:sz w:val="28"/>
          <w:szCs w:val="28"/>
          <w:lang w:val="en-US"/>
        </w:rPr>
        <w:t>, including the costs</w:t>
      </w:r>
      <w:r w:rsidRPr="00B67EF0">
        <w:rPr>
          <w:rFonts w:ascii="Times New Roman" w:eastAsiaTheme="minorEastAsia" w:hAnsi="Times New Roman" w:cs="Times New Roman"/>
          <w:sz w:val="28"/>
          <w:szCs w:val="28"/>
          <w:lang w:val="en-US"/>
        </w:rPr>
        <w:t xml:space="preserve"> of two counsel.</w:t>
      </w:r>
    </w:p>
    <w:p w14:paraId="4E29D49C" w14:textId="6BDE6596" w:rsidR="00F34CFE" w:rsidRPr="00CD2873" w:rsidRDefault="00F34CFE" w:rsidP="00F34CFE">
      <w:pPr>
        <w:spacing w:after="0" w:line="360" w:lineRule="auto"/>
        <w:contextualSpacing/>
        <w:jc w:val="both"/>
        <w:rPr>
          <w:rFonts w:ascii="Times New Roman" w:eastAsiaTheme="minorEastAsia" w:hAnsi="Times New Roman" w:cs="Times New Roman"/>
          <w:sz w:val="28"/>
          <w:szCs w:val="28"/>
          <w:lang w:val="en-US"/>
        </w:rPr>
      </w:pPr>
      <w:r w:rsidRPr="00B67EF0">
        <w:rPr>
          <w:rFonts w:ascii="Times New Roman" w:eastAsiaTheme="minorEastAsia" w:hAnsi="Times New Roman" w:cs="Times New Roman"/>
          <w:sz w:val="28"/>
          <w:szCs w:val="28"/>
          <w:lang w:val="en-US"/>
        </w:rPr>
        <w:t xml:space="preserve">2 </w:t>
      </w:r>
      <w:r w:rsidR="00CD2873">
        <w:rPr>
          <w:rFonts w:ascii="Times New Roman" w:eastAsiaTheme="minorEastAsia" w:hAnsi="Times New Roman" w:cs="Times New Roman"/>
          <w:sz w:val="28"/>
          <w:szCs w:val="28"/>
          <w:lang w:val="en-US"/>
        </w:rPr>
        <w:tab/>
      </w:r>
      <w:r w:rsidRPr="00B67EF0">
        <w:rPr>
          <w:rFonts w:ascii="Times New Roman" w:eastAsiaTheme="minorEastAsia" w:hAnsi="Times New Roman" w:cs="Times New Roman"/>
          <w:sz w:val="28"/>
          <w:szCs w:val="28"/>
          <w:lang w:val="en-US"/>
        </w:rPr>
        <w:t xml:space="preserve">The order of the </w:t>
      </w:r>
      <w:r w:rsidR="00402FDF">
        <w:rPr>
          <w:rFonts w:ascii="Times New Roman" w:eastAsiaTheme="minorEastAsia" w:hAnsi="Times New Roman" w:cs="Times New Roman"/>
          <w:sz w:val="28"/>
          <w:szCs w:val="28"/>
          <w:lang w:val="en-US"/>
        </w:rPr>
        <w:t>t</w:t>
      </w:r>
      <w:r w:rsidRPr="00B67EF0">
        <w:rPr>
          <w:rFonts w:ascii="Times New Roman" w:eastAsiaTheme="minorEastAsia" w:hAnsi="Times New Roman" w:cs="Times New Roman"/>
          <w:sz w:val="28"/>
          <w:szCs w:val="28"/>
          <w:lang w:val="en-US"/>
        </w:rPr>
        <w:t xml:space="preserve">ax </w:t>
      </w:r>
      <w:r w:rsidRPr="00CD2873">
        <w:rPr>
          <w:rFonts w:ascii="Times New Roman" w:eastAsiaTheme="minorEastAsia" w:hAnsi="Times New Roman" w:cs="Times New Roman"/>
          <w:sz w:val="28"/>
          <w:szCs w:val="28"/>
          <w:lang w:val="en-US"/>
        </w:rPr>
        <w:t>court is set aside and replaced with the following order:</w:t>
      </w:r>
    </w:p>
    <w:p w14:paraId="35CE5451" w14:textId="023D9188" w:rsidR="00F34CFE" w:rsidRPr="00CD2873" w:rsidRDefault="006D70D0" w:rsidP="00F34CFE">
      <w:pPr>
        <w:spacing w:after="0" w:line="360" w:lineRule="auto"/>
        <w:contextualSpacing/>
        <w:jc w:val="both"/>
        <w:rPr>
          <w:rFonts w:ascii="Times New Roman" w:eastAsiaTheme="minorEastAsia" w:hAnsi="Times New Roman" w:cs="Times New Roman"/>
          <w:sz w:val="28"/>
          <w:szCs w:val="28"/>
          <w:lang w:val="en-US"/>
        </w:rPr>
      </w:pPr>
      <w:r w:rsidRPr="00CD2873">
        <w:rPr>
          <w:rFonts w:ascii="Times New Roman" w:eastAsiaTheme="minorEastAsia" w:hAnsi="Times New Roman" w:cs="Times New Roman"/>
          <w:sz w:val="28"/>
          <w:szCs w:val="28"/>
          <w:lang w:val="en-US"/>
        </w:rPr>
        <w:t>‘</w:t>
      </w:r>
      <w:r w:rsidR="002F11F2" w:rsidRPr="00CD2873">
        <w:rPr>
          <w:rFonts w:ascii="Times New Roman" w:eastAsiaTheme="minorEastAsia" w:hAnsi="Times New Roman" w:cs="Times New Roman"/>
          <w:sz w:val="28"/>
          <w:szCs w:val="28"/>
          <w:lang w:val="en-US"/>
        </w:rPr>
        <w:t>2.1</w:t>
      </w:r>
      <w:r w:rsidR="00F34CFE" w:rsidRPr="00CD2873">
        <w:rPr>
          <w:rFonts w:ascii="Times New Roman" w:eastAsiaTheme="minorEastAsia" w:hAnsi="Times New Roman" w:cs="Times New Roman"/>
          <w:sz w:val="28"/>
          <w:szCs w:val="28"/>
          <w:lang w:val="en-US"/>
        </w:rPr>
        <w:t xml:space="preserve"> </w:t>
      </w:r>
      <w:r w:rsidR="00402FDF" w:rsidRPr="00CD2873">
        <w:rPr>
          <w:rFonts w:ascii="Times New Roman" w:eastAsiaTheme="minorEastAsia" w:hAnsi="Times New Roman" w:cs="Times New Roman"/>
          <w:sz w:val="28"/>
          <w:szCs w:val="28"/>
          <w:lang w:val="en-US"/>
        </w:rPr>
        <w:tab/>
      </w:r>
      <w:r w:rsidR="00F34CFE" w:rsidRPr="00CD2873">
        <w:rPr>
          <w:rFonts w:ascii="Times New Roman" w:eastAsiaTheme="minorEastAsia" w:hAnsi="Times New Roman" w:cs="Times New Roman"/>
          <w:sz w:val="28"/>
          <w:szCs w:val="28"/>
          <w:lang w:val="en-US"/>
        </w:rPr>
        <w:t>The a</w:t>
      </w:r>
      <w:r w:rsidR="002F11F2" w:rsidRPr="00CD2873">
        <w:rPr>
          <w:rFonts w:ascii="Times New Roman" w:eastAsiaTheme="minorEastAsia" w:hAnsi="Times New Roman" w:cs="Times New Roman"/>
          <w:sz w:val="28"/>
          <w:szCs w:val="28"/>
          <w:lang w:val="en-US"/>
        </w:rPr>
        <w:t>ppeal is dismissed with costs</w:t>
      </w:r>
      <w:r w:rsidR="00F34CFE" w:rsidRPr="00CD2873">
        <w:rPr>
          <w:rFonts w:ascii="Times New Roman" w:eastAsiaTheme="minorEastAsia" w:hAnsi="Times New Roman" w:cs="Times New Roman"/>
          <w:sz w:val="28"/>
          <w:szCs w:val="28"/>
          <w:lang w:val="en-US"/>
        </w:rPr>
        <w:t xml:space="preserve">, </w:t>
      </w:r>
      <w:r w:rsidR="00C91406" w:rsidRPr="00CD2873">
        <w:rPr>
          <w:rFonts w:ascii="Times New Roman" w:eastAsiaTheme="minorEastAsia" w:hAnsi="Times New Roman" w:cs="Times New Roman"/>
          <w:sz w:val="28"/>
          <w:szCs w:val="28"/>
          <w:lang w:val="en-US"/>
        </w:rPr>
        <w:t xml:space="preserve">such </w:t>
      </w:r>
      <w:r w:rsidR="00F34CFE" w:rsidRPr="00CD2873">
        <w:rPr>
          <w:rFonts w:ascii="Times New Roman" w:eastAsiaTheme="minorEastAsia" w:hAnsi="Times New Roman" w:cs="Times New Roman"/>
          <w:sz w:val="28"/>
          <w:szCs w:val="28"/>
          <w:lang w:val="en-US"/>
        </w:rPr>
        <w:t xml:space="preserve">costs to include </w:t>
      </w:r>
      <w:r w:rsidR="00402FDF" w:rsidRPr="00CD2873">
        <w:rPr>
          <w:rFonts w:ascii="Times New Roman" w:eastAsiaTheme="minorEastAsia" w:hAnsi="Times New Roman" w:cs="Times New Roman"/>
          <w:sz w:val="28"/>
          <w:szCs w:val="28"/>
          <w:lang w:val="en-US"/>
        </w:rPr>
        <w:t xml:space="preserve">the </w:t>
      </w:r>
      <w:r w:rsidR="00F34CFE" w:rsidRPr="00CD2873">
        <w:rPr>
          <w:rFonts w:ascii="Times New Roman" w:eastAsiaTheme="minorEastAsia" w:hAnsi="Times New Roman" w:cs="Times New Roman"/>
          <w:sz w:val="28"/>
          <w:szCs w:val="28"/>
          <w:lang w:val="en-US"/>
        </w:rPr>
        <w:t>costs of two counsel.</w:t>
      </w:r>
    </w:p>
    <w:p w14:paraId="478573A1" w14:textId="1FEC4AF4" w:rsidR="00F34CFE" w:rsidRPr="00CD2873" w:rsidRDefault="00F34CFE" w:rsidP="00F34CFE">
      <w:pPr>
        <w:spacing w:after="0" w:line="360" w:lineRule="auto"/>
        <w:contextualSpacing/>
        <w:jc w:val="both"/>
        <w:rPr>
          <w:rFonts w:ascii="Times New Roman" w:eastAsiaTheme="minorEastAsia" w:hAnsi="Times New Roman" w:cs="Times New Roman"/>
          <w:sz w:val="28"/>
          <w:szCs w:val="28"/>
          <w:lang w:val="en-US"/>
        </w:rPr>
      </w:pPr>
      <w:r w:rsidRPr="00CD2873">
        <w:rPr>
          <w:rFonts w:ascii="Times New Roman" w:eastAsiaTheme="minorEastAsia" w:hAnsi="Times New Roman" w:cs="Times New Roman"/>
          <w:sz w:val="28"/>
          <w:szCs w:val="28"/>
          <w:lang w:val="en-US"/>
        </w:rPr>
        <w:t>2.</w:t>
      </w:r>
      <w:r w:rsidR="002F11F2" w:rsidRPr="00CD2873">
        <w:rPr>
          <w:rFonts w:ascii="Times New Roman" w:eastAsiaTheme="minorEastAsia" w:hAnsi="Times New Roman" w:cs="Times New Roman"/>
          <w:sz w:val="28"/>
          <w:szCs w:val="28"/>
          <w:lang w:val="en-US"/>
        </w:rPr>
        <w:t>2</w:t>
      </w:r>
      <w:r w:rsidRPr="00CD2873">
        <w:rPr>
          <w:rFonts w:ascii="Times New Roman" w:eastAsiaTheme="minorEastAsia" w:hAnsi="Times New Roman" w:cs="Times New Roman"/>
          <w:sz w:val="28"/>
          <w:szCs w:val="28"/>
          <w:lang w:val="en-US"/>
        </w:rPr>
        <w:t xml:space="preserve"> </w:t>
      </w:r>
      <w:r w:rsidR="00402FDF" w:rsidRPr="00CD2873">
        <w:rPr>
          <w:rFonts w:ascii="Times New Roman" w:eastAsiaTheme="minorEastAsia" w:hAnsi="Times New Roman" w:cs="Times New Roman"/>
          <w:sz w:val="28"/>
          <w:szCs w:val="28"/>
          <w:lang w:val="en-US"/>
        </w:rPr>
        <w:tab/>
      </w:r>
      <w:r w:rsidRPr="00CD2873">
        <w:rPr>
          <w:rFonts w:ascii="Times New Roman" w:eastAsiaTheme="minorEastAsia" w:hAnsi="Times New Roman" w:cs="Times New Roman"/>
          <w:sz w:val="28"/>
          <w:szCs w:val="28"/>
          <w:lang w:val="en-US"/>
        </w:rPr>
        <w:t xml:space="preserve">The assessment </w:t>
      </w:r>
      <w:r w:rsidR="002F11F2" w:rsidRPr="00CD2873">
        <w:rPr>
          <w:rFonts w:ascii="Times New Roman" w:eastAsiaTheme="minorEastAsia" w:hAnsi="Times New Roman" w:cs="Times New Roman"/>
          <w:sz w:val="28"/>
          <w:szCs w:val="28"/>
          <w:lang w:val="en-US"/>
        </w:rPr>
        <w:t xml:space="preserve">for </w:t>
      </w:r>
      <w:r w:rsidR="00141E59" w:rsidRPr="00CD2873">
        <w:rPr>
          <w:rFonts w:ascii="Times New Roman" w:eastAsiaTheme="minorEastAsia" w:hAnsi="Times New Roman" w:cs="Times New Roman"/>
          <w:sz w:val="28"/>
          <w:szCs w:val="28"/>
          <w:lang w:val="en-US"/>
        </w:rPr>
        <w:t xml:space="preserve">the </w:t>
      </w:r>
      <w:r w:rsidR="002F11F2" w:rsidRPr="00CD2873">
        <w:rPr>
          <w:rFonts w:ascii="Times New Roman" w:eastAsiaTheme="minorEastAsia" w:hAnsi="Times New Roman" w:cs="Times New Roman"/>
          <w:sz w:val="28"/>
          <w:szCs w:val="28"/>
          <w:lang w:val="en-US"/>
        </w:rPr>
        <w:t xml:space="preserve">November 2017 </w:t>
      </w:r>
      <w:r w:rsidR="00141E59" w:rsidRPr="00CD2873">
        <w:rPr>
          <w:rFonts w:ascii="Times New Roman" w:eastAsiaTheme="minorEastAsia" w:hAnsi="Times New Roman" w:cs="Times New Roman"/>
          <w:sz w:val="28"/>
          <w:szCs w:val="28"/>
          <w:lang w:val="en-US"/>
        </w:rPr>
        <w:t xml:space="preserve">VAT return </w:t>
      </w:r>
      <w:r w:rsidR="002F11F2" w:rsidRPr="00CD2873">
        <w:rPr>
          <w:rFonts w:ascii="Times New Roman" w:eastAsiaTheme="minorEastAsia" w:hAnsi="Times New Roman" w:cs="Times New Roman"/>
          <w:sz w:val="28"/>
          <w:szCs w:val="28"/>
          <w:lang w:val="en-US"/>
        </w:rPr>
        <w:t>is confirmed.</w:t>
      </w:r>
      <w:r w:rsidR="006D70D0" w:rsidRPr="00CD2873">
        <w:rPr>
          <w:rFonts w:ascii="Times New Roman" w:eastAsiaTheme="minorEastAsia" w:hAnsi="Times New Roman" w:cs="Times New Roman"/>
          <w:sz w:val="28"/>
          <w:szCs w:val="28"/>
          <w:lang w:val="en-US"/>
        </w:rPr>
        <w:t>’</w:t>
      </w:r>
    </w:p>
    <w:p w14:paraId="65B1B6E9" w14:textId="7AEE2B4F" w:rsidR="00F34CFE" w:rsidRPr="00B67EF0" w:rsidRDefault="00F34CFE" w:rsidP="00F34CFE">
      <w:pPr>
        <w:spacing w:after="0" w:line="360" w:lineRule="auto"/>
        <w:contextualSpacing/>
        <w:jc w:val="both"/>
        <w:rPr>
          <w:rFonts w:ascii="Times New Roman" w:eastAsiaTheme="minorEastAsia" w:hAnsi="Times New Roman" w:cs="Times New Roman"/>
          <w:sz w:val="28"/>
          <w:szCs w:val="28"/>
          <w:lang w:val="en-US"/>
        </w:rPr>
      </w:pPr>
      <w:r w:rsidRPr="00CD2873">
        <w:rPr>
          <w:rFonts w:ascii="Times New Roman" w:eastAsiaTheme="minorEastAsia" w:hAnsi="Times New Roman" w:cs="Times New Roman"/>
          <w:sz w:val="28"/>
          <w:szCs w:val="28"/>
          <w:lang w:val="en-US"/>
        </w:rPr>
        <w:t xml:space="preserve">3 </w:t>
      </w:r>
      <w:r w:rsidR="00402FDF" w:rsidRPr="00CD2873">
        <w:rPr>
          <w:rFonts w:ascii="Times New Roman" w:eastAsiaTheme="minorEastAsia" w:hAnsi="Times New Roman" w:cs="Times New Roman"/>
          <w:sz w:val="28"/>
          <w:szCs w:val="28"/>
          <w:lang w:val="en-US"/>
        </w:rPr>
        <w:tab/>
      </w:r>
      <w:r w:rsidRPr="00CD2873">
        <w:rPr>
          <w:rFonts w:ascii="Times New Roman" w:eastAsiaTheme="minorEastAsia" w:hAnsi="Times New Roman" w:cs="Times New Roman"/>
          <w:sz w:val="28"/>
          <w:szCs w:val="28"/>
          <w:lang w:val="en-US"/>
        </w:rPr>
        <w:t>Any penalty imposed under s 21</w:t>
      </w:r>
      <w:r w:rsidR="00F77E2F" w:rsidRPr="00CD2873">
        <w:rPr>
          <w:rFonts w:ascii="Times New Roman" w:eastAsiaTheme="minorEastAsia" w:hAnsi="Times New Roman" w:cs="Times New Roman"/>
          <w:sz w:val="28"/>
          <w:szCs w:val="28"/>
          <w:lang w:val="en-US"/>
        </w:rPr>
        <w:t>3</w:t>
      </w:r>
      <w:r w:rsidRPr="00CD2873">
        <w:rPr>
          <w:rFonts w:ascii="Times New Roman" w:eastAsiaTheme="minorEastAsia" w:hAnsi="Times New Roman" w:cs="Times New Roman"/>
          <w:sz w:val="28"/>
          <w:szCs w:val="28"/>
          <w:lang w:val="en-US"/>
        </w:rPr>
        <w:t xml:space="preserve"> of the Tax Administration Act </w:t>
      </w:r>
      <w:r w:rsidR="00402FDF" w:rsidRPr="00CD2873">
        <w:rPr>
          <w:rFonts w:ascii="Times New Roman" w:eastAsiaTheme="minorEastAsia" w:hAnsi="Times New Roman" w:cs="Times New Roman"/>
          <w:sz w:val="28"/>
          <w:szCs w:val="28"/>
        </w:rPr>
        <w:t>28 of 2011</w:t>
      </w:r>
      <w:r w:rsidR="001A0E76" w:rsidRPr="00CD2873">
        <w:rPr>
          <w:rFonts w:ascii="Times New Roman" w:hAnsi="Times New Roman" w:cs="Times New Roman"/>
          <w:sz w:val="28"/>
          <w:szCs w:val="28"/>
        </w:rPr>
        <w:t xml:space="preserve"> </w:t>
      </w:r>
      <w:r w:rsidR="001A0E76" w:rsidRPr="00CD2873">
        <w:rPr>
          <w:rFonts w:ascii="Times New Roman" w:eastAsiaTheme="minorEastAsia" w:hAnsi="Times New Roman" w:cs="Times New Roman"/>
          <w:sz w:val="28"/>
          <w:szCs w:val="28"/>
        </w:rPr>
        <w:t xml:space="preserve">read with s 39(1) of the Value-Added Tax Act 89 of 1991 </w:t>
      </w:r>
      <w:r w:rsidRPr="00CD2873">
        <w:rPr>
          <w:rFonts w:ascii="Times New Roman" w:eastAsiaTheme="minorEastAsia" w:hAnsi="Times New Roman" w:cs="Times New Roman"/>
          <w:sz w:val="28"/>
          <w:szCs w:val="28"/>
          <w:lang w:val="en-US"/>
        </w:rPr>
        <w:t>by SARS is ordered to be remitted to Capitec</w:t>
      </w:r>
      <w:r w:rsidR="00402FDF" w:rsidRPr="00CD2873">
        <w:rPr>
          <w:rFonts w:ascii="Times New Roman" w:eastAsiaTheme="minorEastAsia" w:hAnsi="Times New Roman" w:cs="Times New Roman"/>
          <w:sz w:val="28"/>
          <w:szCs w:val="28"/>
          <w:lang w:val="en-US"/>
        </w:rPr>
        <w:t xml:space="preserve"> Bank Limited</w:t>
      </w:r>
      <w:r w:rsidRPr="00CD2873">
        <w:rPr>
          <w:rFonts w:ascii="Times New Roman" w:eastAsiaTheme="minorEastAsia" w:hAnsi="Times New Roman" w:cs="Times New Roman"/>
          <w:sz w:val="28"/>
          <w:szCs w:val="28"/>
          <w:lang w:val="en-US"/>
        </w:rPr>
        <w:t>.</w:t>
      </w:r>
    </w:p>
    <w:p w14:paraId="4F63324C" w14:textId="0F6096E1" w:rsidR="006D70D0" w:rsidRDefault="006D70D0" w:rsidP="00F34CFE">
      <w:pPr>
        <w:spacing w:after="0" w:line="360" w:lineRule="auto"/>
        <w:jc w:val="both"/>
        <w:rPr>
          <w:rFonts w:ascii="Times New Roman" w:hAnsi="Times New Roman" w:cs="Times New Roman"/>
          <w:sz w:val="28"/>
          <w:szCs w:val="28"/>
        </w:rPr>
      </w:pPr>
    </w:p>
    <w:p w14:paraId="0788E193" w14:textId="055D127A" w:rsidR="006D70D0" w:rsidRDefault="006D70D0" w:rsidP="00F34CFE">
      <w:pPr>
        <w:spacing w:after="0" w:line="360" w:lineRule="auto"/>
        <w:jc w:val="both"/>
        <w:rPr>
          <w:rFonts w:ascii="Times New Roman" w:hAnsi="Times New Roman" w:cs="Times New Roman"/>
          <w:sz w:val="28"/>
          <w:szCs w:val="28"/>
        </w:rPr>
      </w:pPr>
    </w:p>
    <w:p w14:paraId="5E9A78C2" w14:textId="77777777" w:rsidR="006D70D0" w:rsidRPr="00B67EF0" w:rsidRDefault="006D70D0" w:rsidP="00F34CFE">
      <w:pPr>
        <w:spacing w:after="0" w:line="360" w:lineRule="auto"/>
        <w:jc w:val="both"/>
        <w:rPr>
          <w:rFonts w:ascii="Times New Roman" w:hAnsi="Times New Roman" w:cs="Times New Roman"/>
          <w:sz w:val="28"/>
          <w:szCs w:val="28"/>
        </w:rPr>
      </w:pPr>
    </w:p>
    <w:p w14:paraId="2C78050D" w14:textId="172D08F5" w:rsidR="00A4486C" w:rsidRPr="00B67EF0" w:rsidRDefault="006D70D0" w:rsidP="006D70D0">
      <w:pPr>
        <w:spacing w:after="0" w:line="360" w:lineRule="auto"/>
        <w:jc w:val="right"/>
        <w:rPr>
          <w:rFonts w:ascii="Times New Roman" w:hAnsi="Times New Roman" w:cs="Times New Roman"/>
          <w:sz w:val="28"/>
          <w:szCs w:val="28"/>
        </w:rPr>
      </w:pPr>
      <w:r w:rsidRPr="006D70D0">
        <w:rPr>
          <w:rFonts w:ascii="Times New Roman" w:hAnsi="Times New Roman" w:cs="Times New Roman"/>
          <w:b/>
          <w:sz w:val="28"/>
          <w:szCs w:val="28"/>
        </w:rPr>
        <w:t>____________________</w:t>
      </w:r>
    </w:p>
    <w:p w14:paraId="2681D2B9" w14:textId="093BE661" w:rsidR="000016F0" w:rsidRPr="00B67EF0" w:rsidRDefault="00F12BD6" w:rsidP="004A2B58">
      <w:pPr>
        <w:spacing w:line="240" w:lineRule="auto"/>
        <w:jc w:val="right"/>
        <w:rPr>
          <w:rFonts w:ascii="Times New Roman" w:hAnsi="Times New Roman" w:cs="Times New Roman"/>
          <w:sz w:val="28"/>
          <w:szCs w:val="28"/>
        </w:rPr>
      </w:pPr>
      <w:r w:rsidRPr="00B67EF0">
        <w:rPr>
          <w:rFonts w:ascii="Times New Roman" w:hAnsi="Times New Roman" w:cs="Times New Roman"/>
          <w:sz w:val="28"/>
          <w:szCs w:val="28"/>
        </w:rPr>
        <w:t>H K SALDULKER</w:t>
      </w:r>
    </w:p>
    <w:p w14:paraId="7D8B95FF" w14:textId="0754765B" w:rsidR="00177AF1" w:rsidRDefault="00F06083" w:rsidP="00577C1C">
      <w:pPr>
        <w:spacing w:line="240" w:lineRule="auto"/>
        <w:jc w:val="right"/>
        <w:rPr>
          <w:rFonts w:ascii="Times New Roman" w:hAnsi="Times New Roman" w:cs="Times New Roman"/>
          <w:sz w:val="28"/>
          <w:szCs w:val="28"/>
        </w:rPr>
      </w:pPr>
      <w:r w:rsidRPr="00B67EF0">
        <w:rPr>
          <w:rFonts w:ascii="Times New Roman" w:hAnsi="Times New Roman" w:cs="Times New Roman"/>
          <w:sz w:val="28"/>
          <w:szCs w:val="28"/>
        </w:rPr>
        <w:t>JUDGE OF APPEAL</w:t>
      </w:r>
    </w:p>
    <w:p w14:paraId="196A0107" w14:textId="77777777" w:rsidR="00EB39E7" w:rsidRDefault="00EB39E7" w:rsidP="00E822F4">
      <w:pPr>
        <w:spacing w:after="0" w:line="360" w:lineRule="auto"/>
        <w:jc w:val="both"/>
        <w:rPr>
          <w:rFonts w:ascii="Times New Roman" w:hAnsi="Times New Roman" w:cs="Times New Roman"/>
          <w:sz w:val="28"/>
          <w:szCs w:val="28"/>
        </w:rPr>
      </w:pPr>
    </w:p>
    <w:p w14:paraId="2DC5FD9F" w14:textId="77777777" w:rsidR="00865692" w:rsidRDefault="00865692" w:rsidP="00E822F4">
      <w:pPr>
        <w:spacing w:after="0" w:line="360" w:lineRule="auto"/>
        <w:jc w:val="both"/>
        <w:rPr>
          <w:rFonts w:ascii="Times New Roman" w:hAnsi="Times New Roman" w:cs="Times New Roman"/>
          <w:sz w:val="28"/>
          <w:szCs w:val="28"/>
        </w:rPr>
      </w:pPr>
    </w:p>
    <w:p w14:paraId="446AEBB1" w14:textId="77777777" w:rsidR="00865692" w:rsidRDefault="00865692" w:rsidP="00E822F4">
      <w:pPr>
        <w:spacing w:after="0" w:line="360" w:lineRule="auto"/>
        <w:jc w:val="both"/>
        <w:rPr>
          <w:rFonts w:ascii="Times New Roman" w:hAnsi="Times New Roman" w:cs="Times New Roman"/>
          <w:sz w:val="28"/>
          <w:szCs w:val="28"/>
        </w:rPr>
      </w:pPr>
    </w:p>
    <w:p w14:paraId="4F0800B3" w14:textId="77777777" w:rsidR="00865692" w:rsidRDefault="00865692" w:rsidP="00E822F4">
      <w:pPr>
        <w:spacing w:after="0" w:line="360" w:lineRule="auto"/>
        <w:jc w:val="both"/>
        <w:rPr>
          <w:rFonts w:ascii="Times New Roman" w:hAnsi="Times New Roman" w:cs="Times New Roman"/>
          <w:sz w:val="28"/>
          <w:szCs w:val="28"/>
        </w:rPr>
      </w:pPr>
    </w:p>
    <w:p w14:paraId="2C6685F7" w14:textId="77777777" w:rsidR="00865692" w:rsidRDefault="00865692" w:rsidP="00E822F4">
      <w:pPr>
        <w:spacing w:after="0" w:line="360" w:lineRule="auto"/>
        <w:jc w:val="both"/>
        <w:rPr>
          <w:rFonts w:ascii="Times New Roman" w:hAnsi="Times New Roman" w:cs="Times New Roman"/>
          <w:sz w:val="28"/>
          <w:szCs w:val="28"/>
        </w:rPr>
      </w:pPr>
    </w:p>
    <w:p w14:paraId="24AB9B6E" w14:textId="77777777" w:rsidR="00865692" w:rsidRDefault="00865692" w:rsidP="00E822F4">
      <w:pPr>
        <w:spacing w:after="0" w:line="360" w:lineRule="auto"/>
        <w:jc w:val="both"/>
        <w:rPr>
          <w:rFonts w:ascii="Times New Roman" w:hAnsi="Times New Roman" w:cs="Times New Roman"/>
          <w:sz w:val="28"/>
          <w:szCs w:val="28"/>
        </w:rPr>
      </w:pPr>
    </w:p>
    <w:p w14:paraId="5E17648A" w14:textId="77777777" w:rsidR="00865692" w:rsidRDefault="00865692" w:rsidP="00E822F4">
      <w:pPr>
        <w:spacing w:after="0" w:line="360" w:lineRule="auto"/>
        <w:jc w:val="both"/>
        <w:rPr>
          <w:rFonts w:ascii="Times New Roman" w:hAnsi="Times New Roman" w:cs="Times New Roman"/>
          <w:sz w:val="28"/>
          <w:szCs w:val="28"/>
        </w:rPr>
      </w:pPr>
    </w:p>
    <w:p w14:paraId="41B7524F" w14:textId="77777777" w:rsidR="00865692" w:rsidRDefault="00865692" w:rsidP="00E822F4">
      <w:pPr>
        <w:spacing w:after="0" w:line="360" w:lineRule="auto"/>
        <w:jc w:val="both"/>
        <w:rPr>
          <w:rFonts w:ascii="Times New Roman" w:hAnsi="Times New Roman" w:cs="Times New Roman"/>
          <w:sz w:val="28"/>
          <w:szCs w:val="28"/>
        </w:rPr>
      </w:pPr>
    </w:p>
    <w:p w14:paraId="49568676" w14:textId="77777777" w:rsidR="00865692" w:rsidRDefault="00865692" w:rsidP="00E822F4">
      <w:pPr>
        <w:spacing w:after="0" w:line="360" w:lineRule="auto"/>
        <w:jc w:val="both"/>
        <w:rPr>
          <w:rFonts w:ascii="Times New Roman" w:hAnsi="Times New Roman" w:cs="Times New Roman"/>
          <w:sz w:val="28"/>
          <w:szCs w:val="28"/>
        </w:rPr>
      </w:pPr>
    </w:p>
    <w:p w14:paraId="6BCA27AC" w14:textId="77777777" w:rsidR="00865692" w:rsidRDefault="00865692" w:rsidP="00E822F4">
      <w:pPr>
        <w:spacing w:after="0" w:line="360" w:lineRule="auto"/>
        <w:jc w:val="both"/>
        <w:rPr>
          <w:rFonts w:ascii="Times New Roman" w:hAnsi="Times New Roman" w:cs="Times New Roman"/>
          <w:sz w:val="28"/>
          <w:szCs w:val="28"/>
        </w:rPr>
      </w:pPr>
    </w:p>
    <w:p w14:paraId="5A4922EE" w14:textId="77777777" w:rsidR="00865692" w:rsidRDefault="00865692" w:rsidP="00E822F4">
      <w:pPr>
        <w:spacing w:after="0" w:line="360" w:lineRule="auto"/>
        <w:jc w:val="both"/>
        <w:rPr>
          <w:rFonts w:ascii="Times New Roman" w:hAnsi="Times New Roman" w:cs="Times New Roman"/>
          <w:sz w:val="28"/>
          <w:szCs w:val="28"/>
        </w:rPr>
      </w:pPr>
    </w:p>
    <w:p w14:paraId="4045BFA0" w14:textId="2438E864" w:rsidR="000E3E4E" w:rsidRDefault="000E3E4E" w:rsidP="00E822F4">
      <w:pPr>
        <w:spacing w:after="0" w:line="360" w:lineRule="auto"/>
        <w:jc w:val="both"/>
        <w:rPr>
          <w:rFonts w:ascii="Times New Roman" w:hAnsi="Times New Roman" w:cs="Times New Roman"/>
          <w:sz w:val="28"/>
          <w:szCs w:val="28"/>
        </w:rPr>
      </w:pPr>
    </w:p>
    <w:p w14:paraId="0CD001A3" w14:textId="20F98ECE" w:rsidR="00D25C18" w:rsidRPr="00B67EF0" w:rsidRDefault="00E56AA6" w:rsidP="00E822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w:t>
      </w:r>
      <w:r w:rsidR="00037C66" w:rsidRPr="00B67EF0">
        <w:rPr>
          <w:rFonts w:ascii="Times New Roman" w:hAnsi="Times New Roman" w:cs="Times New Roman"/>
          <w:sz w:val="28"/>
          <w:szCs w:val="28"/>
        </w:rPr>
        <w:t>PPEARANCES</w:t>
      </w:r>
    </w:p>
    <w:p w14:paraId="22DB9465" w14:textId="77777777" w:rsidR="001E7F79" w:rsidRPr="00B67EF0" w:rsidRDefault="001E7F79" w:rsidP="00E822F4">
      <w:pPr>
        <w:spacing w:after="0" w:line="360" w:lineRule="auto"/>
        <w:ind w:left="4320" w:hanging="4320"/>
        <w:jc w:val="both"/>
        <w:rPr>
          <w:rFonts w:ascii="Times New Roman" w:hAnsi="Times New Roman" w:cs="Times New Roman"/>
          <w:sz w:val="28"/>
          <w:szCs w:val="28"/>
        </w:rPr>
      </w:pPr>
    </w:p>
    <w:p w14:paraId="5CD8B9C9" w14:textId="1D94C4B1" w:rsidR="009D4208" w:rsidRPr="00B67EF0" w:rsidRDefault="00D25C18" w:rsidP="00177AF1">
      <w:pPr>
        <w:spacing w:after="0" w:line="360" w:lineRule="auto"/>
        <w:ind w:left="3402" w:hanging="3402"/>
        <w:jc w:val="both"/>
        <w:rPr>
          <w:rFonts w:ascii="Times New Roman" w:hAnsi="Times New Roman" w:cs="Times New Roman"/>
          <w:sz w:val="28"/>
          <w:szCs w:val="28"/>
        </w:rPr>
      </w:pPr>
      <w:r w:rsidRPr="00B67EF0">
        <w:rPr>
          <w:rFonts w:ascii="Times New Roman" w:hAnsi="Times New Roman" w:cs="Times New Roman"/>
          <w:sz w:val="28"/>
          <w:szCs w:val="28"/>
        </w:rPr>
        <w:t>For</w:t>
      </w:r>
      <w:r w:rsidR="00CB48FE" w:rsidRPr="00B67EF0">
        <w:rPr>
          <w:rFonts w:ascii="Times New Roman" w:hAnsi="Times New Roman" w:cs="Times New Roman"/>
          <w:sz w:val="28"/>
          <w:szCs w:val="28"/>
        </w:rPr>
        <w:t xml:space="preserve"> </w:t>
      </w:r>
      <w:r w:rsidR="00880D5D" w:rsidRPr="00B67EF0">
        <w:rPr>
          <w:rFonts w:ascii="Times New Roman" w:hAnsi="Times New Roman" w:cs="Times New Roman"/>
          <w:sz w:val="28"/>
          <w:szCs w:val="28"/>
        </w:rPr>
        <w:t>a</w:t>
      </w:r>
      <w:r w:rsidR="00697D07" w:rsidRPr="00B67EF0">
        <w:rPr>
          <w:rFonts w:ascii="Times New Roman" w:hAnsi="Times New Roman" w:cs="Times New Roman"/>
          <w:sz w:val="28"/>
          <w:szCs w:val="28"/>
        </w:rPr>
        <w:t>ppellant</w:t>
      </w:r>
      <w:r w:rsidR="00BB38D9" w:rsidRPr="00B67EF0">
        <w:rPr>
          <w:rFonts w:ascii="Times New Roman" w:hAnsi="Times New Roman" w:cs="Times New Roman"/>
          <w:sz w:val="28"/>
          <w:szCs w:val="28"/>
        </w:rPr>
        <w:t>:</w:t>
      </w:r>
      <w:r w:rsidR="00037C66" w:rsidRPr="00B67EF0">
        <w:rPr>
          <w:rFonts w:ascii="Times New Roman" w:hAnsi="Times New Roman" w:cs="Times New Roman"/>
          <w:sz w:val="28"/>
          <w:szCs w:val="28"/>
        </w:rPr>
        <w:tab/>
      </w:r>
      <w:r w:rsidR="00645749" w:rsidRPr="00B67EF0">
        <w:rPr>
          <w:rFonts w:ascii="Times New Roman" w:hAnsi="Times New Roman" w:cs="Times New Roman"/>
          <w:sz w:val="28"/>
          <w:szCs w:val="28"/>
        </w:rPr>
        <w:t>J M A Cane SC (</w:t>
      </w:r>
      <w:r w:rsidR="000F2EE8" w:rsidRPr="00B67EF0">
        <w:rPr>
          <w:rFonts w:ascii="Times New Roman" w:hAnsi="Times New Roman" w:cs="Times New Roman"/>
          <w:sz w:val="28"/>
          <w:szCs w:val="28"/>
        </w:rPr>
        <w:t xml:space="preserve">with </w:t>
      </w:r>
      <w:r w:rsidR="004A2B58" w:rsidRPr="00B67EF0">
        <w:rPr>
          <w:rFonts w:ascii="Times New Roman" w:hAnsi="Times New Roman" w:cs="Times New Roman"/>
          <w:sz w:val="28"/>
          <w:szCs w:val="28"/>
        </w:rPr>
        <w:t>N K Nxumalo</w:t>
      </w:r>
      <w:r w:rsidR="00645749" w:rsidRPr="00B67EF0">
        <w:rPr>
          <w:rFonts w:ascii="Times New Roman" w:hAnsi="Times New Roman" w:cs="Times New Roman"/>
          <w:sz w:val="28"/>
          <w:szCs w:val="28"/>
        </w:rPr>
        <w:t>)</w:t>
      </w:r>
    </w:p>
    <w:p w14:paraId="015C3EB9" w14:textId="126BC694" w:rsidR="00037C66" w:rsidRPr="00B67EF0" w:rsidRDefault="00697D07" w:rsidP="00177AF1">
      <w:pPr>
        <w:spacing w:after="0" w:line="360" w:lineRule="auto"/>
        <w:ind w:left="3402" w:hanging="3402"/>
        <w:jc w:val="both"/>
        <w:rPr>
          <w:rFonts w:ascii="Times New Roman" w:hAnsi="Times New Roman" w:cs="Times New Roman"/>
          <w:sz w:val="28"/>
          <w:szCs w:val="28"/>
        </w:rPr>
      </w:pPr>
      <w:r w:rsidRPr="00B67EF0">
        <w:rPr>
          <w:rFonts w:ascii="Times New Roman" w:hAnsi="Times New Roman" w:cs="Times New Roman"/>
          <w:sz w:val="28"/>
          <w:szCs w:val="28"/>
        </w:rPr>
        <w:t>Instructed by</w:t>
      </w:r>
      <w:r w:rsidR="00BB38D9" w:rsidRPr="00B67EF0">
        <w:rPr>
          <w:rFonts w:ascii="Times New Roman" w:hAnsi="Times New Roman" w:cs="Times New Roman"/>
          <w:sz w:val="28"/>
          <w:szCs w:val="28"/>
        </w:rPr>
        <w:t>:</w:t>
      </w:r>
      <w:r w:rsidRPr="00B67EF0">
        <w:rPr>
          <w:rFonts w:ascii="Times New Roman" w:hAnsi="Times New Roman" w:cs="Times New Roman"/>
          <w:sz w:val="28"/>
          <w:szCs w:val="28"/>
        </w:rPr>
        <w:tab/>
      </w:r>
      <w:r w:rsidR="00652619">
        <w:rPr>
          <w:rFonts w:ascii="Times New Roman" w:hAnsi="Times New Roman" w:cs="Times New Roman"/>
          <w:sz w:val="28"/>
          <w:szCs w:val="28"/>
        </w:rPr>
        <w:t>Ram</w:t>
      </w:r>
      <w:r w:rsidR="00D9232E">
        <w:rPr>
          <w:rFonts w:ascii="Times New Roman" w:hAnsi="Times New Roman" w:cs="Times New Roman"/>
          <w:sz w:val="28"/>
          <w:szCs w:val="28"/>
        </w:rPr>
        <w:t>u</w:t>
      </w:r>
      <w:r w:rsidR="00652619">
        <w:rPr>
          <w:rFonts w:ascii="Times New Roman" w:hAnsi="Times New Roman" w:cs="Times New Roman"/>
          <w:sz w:val="28"/>
          <w:szCs w:val="28"/>
        </w:rPr>
        <w:t>shu Mashile Twala Inc</w:t>
      </w:r>
      <w:r w:rsidR="00D9232E">
        <w:rPr>
          <w:rFonts w:ascii="Times New Roman" w:hAnsi="Times New Roman" w:cs="Times New Roman"/>
          <w:sz w:val="28"/>
          <w:szCs w:val="28"/>
        </w:rPr>
        <w:t>orporated, Sandton</w:t>
      </w:r>
    </w:p>
    <w:p w14:paraId="4ADEE57F" w14:textId="28D4BB24" w:rsidR="009D4208" w:rsidRPr="00B67EF0" w:rsidRDefault="00652619" w:rsidP="00181513">
      <w:pPr>
        <w:spacing w:after="0" w:line="360" w:lineRule="auto"/>
        <w:ind w:left="3402"/>
        <w:jc w:val="both"/>
        <w:rPr>
          <w:rFonts w:ascii="Times New Roman" w:hAnsi="Times New Roman" w:cs="Times New Roman"/>
          <w:sz w:val="28"/>
          <w:szCs w:val="28"/>
        </w:rPr>
      </w:pPr>
      <w:r>
        <w:rPr>
          <w:rFonts w:ascii="Times New Roman" w:hAnsi="Times New Roman" w:cs="Times New Roman"/>
          <w:sz w:val="28"/>
          <w:szCs w:val="28"/>
        </w:rPr>
        <w:t>Claud</w:t>
      </w:r>
      <w:r w:rsidR="00D9232E">
        <w:rPr>
          <w:rFonts w:ascii="Times New Roman" w:hAnsi="Times New Roman" w:cs="Times New Roman"/>
          <w:sz w:val="28"/>
          <w:szCs w:val="28"/>
        </w:rPr>
        <w:t>e</w:t>
      </w:r>
      <w:r>
        <w:rPr>
          <w:rFonts w:ascii="Times New Roman" w:hAnsi="Times New Roman" w:cs="Times New Roman"/>
          <w:sz w:val="28"/>
          <w:szCs w:val="28"/>
        </w:rPr>
        <w:t xml:space="preserve"> Reid Attorneys</w:t>
      </w:r>
      <w:r w:rsidR="00037C66" w:rsidRPr="00B67EF0">
        <w:rPr>
          <w:rFonts w:ascii="Times New Roman" w:hAnsi="Times New Roman" w:cs="Times New Roman"/>
          <w:sz w:val="28"/>
          <w:szCs w:val="28"/>
        </w:rPr>
        <w:t>, Bloemfontein</w:t>
      </w:r>
    </w:p>
    <w:p w14:paraId="1E4875A7" w14:textId="77777777" w:rsidR="00177AF1" w:rsidRPr="00B67EF0" w:rsidRDefault="00177AF1" w:rsidP="00177AF1">
      <w:pPr>
        <w:spacing w:after="0" w:line="360" w:lineRule="auto"/>
        <w:ind w:left="3402" w:hanging="3402"/>
        <w:jc w:val="both"/>
        <w:rPr>
          <w:rFonts w:ascii="Times New Roman" w:hAnsi="Times New Roman" w:cs="Times New Roman"/>
          <w:sz w:val="28"/>
          <w:szCs w:val="28"/>
        </w:rPr>
      </w:pPr>
    </w:p>
    <w:p w14:paraId="719E598B" w14:textId="481BD49C" w:rsidR="00690373" w:rsidRPr="00B67EF0" w:rsidRDefault="004F44E3" w:rsidP="00181513">
      <w:pPr>
        <w:spacing w:after="0" w:line="360" w:lineRule="auto"/>
        <w:ind w:left="3402" w:hanging="3402"/>
        <w:jc w:val="both"/>
        <w:rPr>
          <w:rFonts w:ascii="Times New Roman" w:hAnsi="Times New Roman" w:cs="Times New Roman"/>
          <w:sz w:val="28"/>
          <w:szCs w:val="28"/>
        </w:rPr>
      </w:pPr>
      <w:r w:rsidRPr="00B67EF0">
        <w:rPr>
          <w:rFonts w:ascii="Times New Roman" w:hAnsi="Times New Roman" w:cs="Times New Roman"/>
          <w:sz w:val="28"/>
          <w:szCs w:val="28"/>
        </w:rPr>
        <w:t xml:space="preserve">For </w:t>
      </w:r>
      <w:r w:rsidR="00880D5D" w:rsidRPr="00B67EF0">
        <w:rPr>
          <w:rFonts w:ascii="Times New Roman" w:hAnsi="Times New Roman" w:cs="Times New Roman"/>
          <w:sz w:val="28"/>
          <w:szCs w:val="28"/>
        </w:rPr>
        <w:t>r</w:t>
      </w:r>
      <w:r w:rsidR="00F5372E" w:rsidRPr="00B67EF0">
        <w:rPr>
          <w:rFonts w:ascii="Times New Roman" w:hAnsi="Times New Roman" w:cs="Times New Roman"/>
          <w:sz w:val="28"/>
          <w:szCs w:val="28"/>
        </w:rPr>
        <w:t>espondent</w:t>
      </w:r>
      <w:r w:rsidR="00952815" w:rsidRPr="00B67EF0">
        <w:rPr>
          <w:rFonts w:ascii="Times New Roman" w:hAnsi="Times New Roman" w:cs="Times New Roman"/>
          <w:sz w:val="28"/>
          <w:szCs w:val="28"/>
        </w:rPr>
        <w:t>:</w:t>
      </w:r>
      <w:r w:rsidR="00952815" w:rsidRPr="00B67EF0">
        <w:rPr>
          <w:rFonts w:ascii="Times New Roman" w:hAnsi="Times New Roman" w:cs="Times New Roman"/>
          <w:sz w:val="28"/>
          <w:szCs w:val="28"/>
        </w:rPr>
        <w:tab/>
      </w:r>
      <w:r w:rsidR="004A2B58" w:rsidRPr="00B67EF0">
        <w:rPr>
          <w:rFonts w:ascii="Times New Roman" w:hAnsi="Times New Roman" w:cs="Times New Roman"/>
          <w:sz w:val="28"/>
          <w:szCs w:val="28"/>
        </w:rPr>
        <w:t>M W Janisch SC</w:t>
      </w:r>
      <w:r w:rsidR="00D9232E">
        <w:rPr>
          <w:rFonts w:ascii="Times New Roman" w:hAnsi="Times New Roman" w:cs="Times New Roman"/>
          <w:sz w:val="28"/>
          <w:szCs w:val="28"/>
        </w:rPr>
        <w:t xml:space="preserve"> </w:t>
      </w:r>
      <w:r w:rsidR="00D9232E" w:rsidRPr="00B67EF0">
        <w:rPr>
          <w:rFonts w:ascii="Times New Roman" w:hAnsi="Times New Roman" w:cs="Times New Roman"/>
          <w:sz w:val="28"/>
          <w:szCs w:val="28"/>
        </w:rPr>
        <w:t xml:space="preserve">(with </w:t>
      </w:r>
      <w:r w:rsidR="00D9232E">
        <w:rPr>
          <w:rFonts w:ascii="Times New Roman" w:hAnsi="Times New Roman" w:cs="Times New Roman"/>
          <w:sz w:val="28"/>
          <w:szCs w:val="28"/>
        </w:rPr>
        <w:t>S Miller</w:t>
      </w:r>
      <w:r w:rsidR="00D9232E" w:rsidRPr="00B67EF0">
        <w:rPr>
          <w:rFonts w:ascii="Times New Roman" w:hAnsi="Times New Roman" w:cs="Times New Roman"/>
          <w:sz w:val="28"/>
          <w:szCs w:val="28"/>
        </w:rPr>
        <w:t>)</w:t>
      </w:r>
      <w:r w:rsidR="00BB38D9" w:rsidRPr="00B67EF0">
        <w:rPr>
          <w:rFonts w:ascii="Times New Roman" w:hAnsi="Times New Roman" w:cs="Times New Roman"/>
          <w:sz w:val="28"/>
          <w:szCs w:val="28"/>
        </w:rPr>
        <w:tab/>
      </w:r>
      <w:r w:rsidR="00BB38D9" w:rsidRPr="00B67EF0">
        <w:rPr>
          <w:rFonts w:ascii="Times New Roman" w:hAnsi="Times New Roman" w:cs="Times New Roman"/>
          <w:sz w:val="28"/>
          <w:szCs w:val="28"/>
        </w:rPr>
        <w:tab/>
      </w:r>
    </w:p>
    <w:p w14:paraId="62DE10E5" w14:textId="6BEA5386" w:rsidR="00BB38D9" w:rsidRPr="00B67EF0" w:rsidRDefault="00697D07" w:rsidP="00177AF1">
      <w:pPr>
        <w:spacing w:after="0" w:line="360" w:lineRule="auto"/>
        <w:ind w:left="3402" w:hanging="3402"/>
        <w:jc w:val="both"/>
        <w:rPr>
          <w:rFonts w:ascii="Times New Roman" w:hAnsi="Times New Roman" w:cs="Times New Roman"/>
          <w:sz w:val="28"/>
          <w:szCs w:val="28"/>
        </w:rPr>
      </w:pPr>
      <w:r w:rsidRPr="00B67EF0">
        <w:rPr>
          <w:rFonts w:ascii="Times New Roman" w:hAnsi="Times New Roman" w:cs="Times New Roman"/>
          <w:sz w:val="28"/>
          <w:szCs w:val="28"/>
        </w:rPr>
        <w:t>Instructed by</w:t>
      </w:r>
      <w:r w:rsidR="00CB48FE" w:rsidRPr="00B67EF0">
        <w:rPr>
          <w:rFonts w:ascii="Times New Roman" w:hAnsi="Times New Roman" w:cs="Times New Roman"/>
          <w:sz w:val="28"/>
          <w:szCs w:val="28"/>
        </w:rPr>
        <w:t>:</w:t>
      </w:r>
      <w:r w:rsidR="00BB38D9" w:rsidRPr="00B67EF0">
        <w:rPr>
          <w:rFonts w:ascii="Times New Roman" w:hAnsi="Times New Roman" w:cs="Times New Roman"/>
          <w:sz w:val="28"/>
          <w:szCs w:val="28"/>
        </w:rPr>
        <w:tab/>
      </w:r>
      <w:r w:rsidR="00652619">
        <w:rPr>
          <w:rFonts w:ascii="Times New Roman" w:hAnsi="Times New Roman" w:cs="Times New Roman"/>
          <w:sz w:val="28"/>
          <w:szCs w:val="28"/>
        </w:rPr>
        <w:t>Knowles Husain Lindsay</w:t>
      </w:r>
      <w:r w:rsidR="00177AF1">
        <w:rPr>
          <w:rFonts w:ascii="Times New Roman" w:hAnsi="Times New Roman" w:cs="Times New Roman"/>
          <w:sz w:val="28"/>
          <w:szCs w:val="28"/>
        </w:rPr>
        <w:t xml:space="preserve"> Incorporated</w:t>
      </w:r>
      <w:r w:rsidR="00304398" w:rsidRPr="00B67EF0">
        <w:rPr>
          <w:rFonts w:ascii="Times New Roman" w:hAnsi="Times New Roman" w:cs="Times New Roman"/>
          <w:sz w:val="28"/>
          <w:szCs w:val="28"/>
        </w:rPr>
        <w:t xml:space="preserve">, </w:t>
      </w:r>
      <w:r w:rsidR="00177AF1">
        <w:rPr>
          <w:rFonts w:ascii="Times New Roman" w:hAnsi="Times New Roman" w:cs="Times New Roman"/>
          <w:sz w:val="28"/>
          <w:szCs w:val="28"/>
        </w:rPr>
        <w:t>Sandton</w:t>
      </w:r>
    </w:p>
    <w:p w14:paraId="7C3B1481" w14:textId="07B6DA41" w:rsidR="00CB48FE" w:rsidRPr="00B67EF0" w:rsidRDefault="00652619" w:rsidP="00181513">
      <w:pPr>
        <w:spacing w:after="0" w:line="360" w:lineRule="auto"/>
        <w:ind w:left="3402"/>
        <w:jc w:val="both"/>
        <w:rPr>
          <w:rFonts w:ascii="Times New Roman" w:hAnsi="Times New Roman" w:cs="Times New Roman"/>
          <w:sz w:val="28"/>
          <w:szCs w:val="28"/>
        </w:rPr>
      </w:pPr>
      <w:r>
        <w:rPr>
          <w:rFonts w:ascii="Times New Roman" w:hAnsi="Times New Roman" w:cs="Times New Roman"/>
          <w:sz w:val="28"/>
          <w:szCs w:val="28"/>
        </w:rPr>
        <w:t>Mc</w:t>
      </w:r>
      <w:r w:rsidR="00D9232E">
        <w:rPr>
          <w:rFonts w:ascii="Times New Roman" w:hAnsi="Times New Roman" w:cs="Times New Roman"/>
          <w:sz w:val="28"/>
          <w:szCs w:val="28"/>
        </w:rPr>
        <w:t>I</w:t>
      </w:r>
      <w:r>
        <w:rPr>
          <w:rFonts w:ascii="Times New Roman" w:hAnsi="Times New Roman" w:cs="Times New Roman"/>
          <w:sz w:val="28"/>
          <w:szCs w:val="28"/>
        </w:rPr>
        <w:t>ntyre Van der Post</w:t>
      </w:r>
      <w:r w:rsidR="00304398" w:rsidRPr="00B67EF0">
        <w:rPr>
          <w:rFonts w:ascii="Times New Roman" w:hAnsi="Times New Roman" w:cs="Times New Roman"/>
          <w:sz w:val="28"/>
          <w:szCs w:val="28"/>
        </w:rPr>
        <w:t xml:space="preserve">, </w:t>
      </w:r>
      <w:r w:rsidR="00CB48FE" w:rsidRPr="00B67EF0">
        <w:rPr>
          <w:rFonts w:ascii="Times New Roman" w:hAnsi="Times New Roman" w:cs="Times New Roman"/>
          <w:sz w:val="28"/>
          <w:szCs w:val="28"/>
        </w:rPr>
        <w:t>Bloemfontein</w:t>
      </w:r>
    </w:p>
    <w:p w14:paraId="018E879D" w14:textId="77777777" w:rsidR="00E42761" w:rsidRPr="00B67EF0" w:rsidRDefault="00E42761" w:rsidP="00F45F06">
      <w:pPr>
        <w:spacing w:line="360" w:lineRule="auto"/>
        <w:jc w:val="both"/>
        <w:rPr>
          <w:rFonts w:ascii="Times New Roman" w:hAnsi="Times New Roman" w:cs="Times New Roman"/>
          <w:sz w:val="28"/>
          <w:szCs w:val="28"/>
        </w:rPr>
      </w:pPr>
    </w:p>
    <w:p w14:paraId="53F53121" w14:textId="77777777" w:rsidR="00796041" w:rsidRPr="00B67EF0" w:rsidRDefault="00796041" w:rsidP="00F45F06">
      <w:pPr>
        <w:spacing w:line="360" w:lineRule="auto"/>
        <w:jc w:val="both"/>
        <w:rPr>
          <w:rFonts w:ascii="Times New Roman" w:hAnsi="Times New Roman" w:cs="Times New Roman"/>
          <w:sz w:val="28"/>
          <w:szCs w:val="28"/>
        </w:rPr>
      </w:pPr>
    </w:p>
    <w:p w14:paraId="006AA772" w14:textId="7158094F" w:rsidR="00EE2BF9" w:rsidRPr="00B67EF0" w:rsidRDefault="004A2B58" w:rsidP="004A2B58">
      <w:pPr>
        <w:spacing w:line="360" w:lineRule="auto"/>
        <w:jc w:val="both"/>
        <w:rPr>
          <w:rFonts w:ascii="Times New Roman" w:hAnsi="Times New Roman" w:cs="Times New Roman"/>
          <w:sz w:val="28"/>
          <w:szCs w:val="28"/>
        </w:rPr>
      </w:pPr>
      <w:r w:rsidRPr="00B67EF0">
        <w:rPr>
          <w:rFonts w:ascii="Times New Roman" w:hAnsi="Times New Roman" w:cs="Times New Roman"/>
          <w:b/>
          <w:sz w:val="28"/>
          <w:szCs w:val="28"/>
        </w:rPr>
        <w:t xml:space="preserve"> </w:t>
      </w:r>
    </w:p>
    <w:sectPr w:rsidR="00EE2BF9" w:rsidRPr="00B67EF0" w:rsidSect="000A07C0">
      <w:headerReference w:type="default" r:id="rId9"/>
      <w:pgSz w:w="11906" w:h="16838"/>
      <w:pgMar w:top="1440" w:right="1466" w:bottom="1440" w:left="156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0909" w16cex:dateUtc="2022-06-08T09:39:00Z"/>
  <w16cex:commentExtensible w16cex:durableId="264B0B55" w16cex:dateUtc="2022-06-08T09:49:00Z"/>
  <w16cex:commentExtensible w16cex:durableId="264B1177" w16cex:dateUtc="2022-06-08T10:15:00Z"/>
  <w16cex:commentExtensible w16cex:durableId="264B20A2" w16cex:dateUtc="2022-06-08T11:20:00Z"/>
  <w16cex:commentExtensible w16cex:durableId="264B210B" w16cex:dateUtc="2022-06-08T11:22:00Z"/>
  <w16cex:commentExtensible w16cex:durableId="264B221B" w16cex:dateUtc="2022-06-08T11:26:00Z"/>
  <w16cex:commentExtensible w16cex:durableId="264B2176" w16cex:dateUtc="2022-06-08T11:24:00Z"/>
  <w16cex:commentExtensible w16cex:durableId="264B23D2" w16cex:dateUtc="2022-06-08T11:34:00Z"/>
  <w16cex:commentExtensible w16cex:durableId="264B25E3" w16cex:dateUtc="2022-06-08T11:42:00Z"/>
  <w16cex:commentExtensible w16cex:durableId="264B262F" w16cex:dateUtc="2022-06-08T11:44:00Z"/>
  <w16cex:commentExtensible w16cex:durableId="264B2B78" w16cex:dateUtc="2022-06-08T12:06:00Z"/>
  <w16cex:commentExtensible w16cex:durableId="264B4D83" w16cex:dateUtc="2022-06-08T14:32:00Z"/>
  <w16cex:commentExtensible w16cex:durableId="264B2DB5" w16cex:dateUtc="2022-06-08T12:16:00Z"/>
  <w16cex:commentExtensible w16cex:durableId="264B3784" w16cex:dateUtc="2022-06-08T12:58:00Z"/>
  <w16cex:commentExtensible w16cex:durableId="264B381D" w16cex:dateUtc="2022-06-08T13:00:00Z"/>
  <w16cex:commentExtensible w16cex:durableId="264B388F" w16cex:dateUtc="2022-06-08T13:02:00Z"/>
  <w16cex:commentExtensible w16cex:durableId="264B384D" w16cex:dateUtc="2022-06-08T13:01:00Z"/>
  <w16cex:commentExtensible w16cex:durableId="264B38D5" w16cex:dateUtc="2022-06-08T13:03:00Z"/>
  <w16cex:commentExtensible w16cex:durableId="264B3A2F" w16cex:dateUtc="2022-06-08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B6AF21" w16cid:durableId="264B0909"/>
  <w16cid:commentId w16cid:paraId="0D708AD2" w16cid:durableId="264B0B55"/>
  <w16cid:commentId w16cid:paraId="6713BE98" w16cid:durableId="264B1177"/>
  <w16cid:commentId w16cid:paraId="148CD633" w16cid:durableId="264B20A2"/>
  <w16cid:commentId w16cid:paraId="592FFF31" w16cid:durableId="264B210B"/>
  <w16cid:commentId w16cid:paraId="5BC3D6FE" w16cid:durableId="264B221B"/>
  <w16cid:commentId w16cid:paraId="72B7CE91" w16cid:durableId="264B2176"/>
  <w16cid:commentId w16cid:paraId="2D8BD451" w16cid:durableId="264B23D2"/>
  <w16cid:commentId w16cid:paraId="773238C7" w16cid:durableId="264B25E3"/>
  <w16cid:commentId w16cid:paraId="1FEC1380" w16cid:durableId="264B262F"/>
  <w16cid:commentId w16cid:paraId="388FC7EF" w16cid:durableId="264B2B78"/>
  <w16cid:commentId w16cid:paraId="0A4E2B07" w16cid:durableId="264B4D83"/>
  <w16cid:commentId w16cid:paraId="333FFFB8" w16cid:durableId="264B2DB5"/>
  <w16cid:commentId w16cid:paraId="47C3FA8B" w16cid:durableId="264B3784"/>
  <w16cid:commentId w16cid:paraId="2B4A9B3B" w16cid:durableId="264B381D"/>
  <w16cid:commentId w16cid:paraId="6C2C61A3" w16cid:durableId="264B388F"/>
  <w16cid:commentId w16cid:paraId="2457D3CA" w16cid:durableId="264B384D"/>
  <w16cid:commentId w16cid:paraId="3FB021DF" w16cid:durableId="264B38D5"/>
  <w16cid:commentId w16cid:paraId="3C472940" w16cid:durableId="264B3A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8F586" w14:textId="77777777" w:rsidR="00B01122" w:rsidRDefault="00B01122">
      <w:pPr>
        <w:spacing w:after="0" w:line="240" w:lineRule="auto"/>
      </w:pPr>
      <w:r>
        <w:separator/>
      </w:r>
    </w:p>
  </w:endnote>
  <w:endnote w:type="continuationSeparator" w:id="0">
    <w:p w14:paraId="2D437920" w14:textId="77777777" w:rsidR="00B01122" w:rsidRDefault="00B0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E3D58" w14:textId="77777777" w:rsidR="00B01122" w:rsidRDefault="00B01122">
      <w:pPr>
        <w:spacing w:after="0" w:line="240" w:lineRule="auto"/>
      </w:pPr>
      <w:r>
        <w:separator/>
      </w:r>
    </w:p>
  </w:footnote>
  <w:footnote w:type="continuationSeparator" w:id="0">
    <w:p w14:paraId="3B741BF6" w14:textId="77777777" w:rsidR="00B01122" w:rsidRDefault="00B01122">
      <w:pPr>
        <w:spacing w:after="0" w:line="240" w:lineRule="auto"/>
      </w:pPr>
      <w:r>
        <w:continuationSeparator/>
      </w:r>
    </w:p>
  </w:footnote>
  <w:footnote w:id="1">
    <w:p w14:paraId="0371BDC5" w14:textId="77777777" w:rsidR="005A3E0F" w:rsidRPr="0051576C" w:rsidRDefault="005A3E0F" w:rsidP="0051576C">
      <w:pPr>
        <w:pStyle w:val="FootnoteText"/>
        <w:jc w:val="both"/>
        <w:rPr>
          <w:rFonts w:ascii="Times New Roman" w:hAnsi="Times New Roman" w:cs="Times New Roman"/>
        </w:rPr>
      </w:pPr>
      <w:r w:rsidRPr="0051576C">
        <w:rPr>
          <w:rStyle w:val="FootnoteReference"/>
          <w:rFonts w:ascii="Times New Roman" w:hAnsi="Times New Roman" w:cs="Times New Roman"/>
        </w:rPr>
        <w:footnoteRef/>
      </w:r>
      <w:r w:rsidRPr="0051576C">
        <w:rPr>
          <w:rFonts w:ascii="Times New Roman" w:hAnsi="Times New Roman" w:cs="Times New Roman"/>
        </w:rPr>
        <w:t xml:space="preserve"> Section 101 of the National Credit Act 34 of 2005 reads:</w:t>
      </w:r>
    </w:p>
    <w:p w14:paraId="3D89E377" w14:textId="77777777" w:rsidR="005A3E0F" w:rsidRPr="0051576C" w:rsidRDefault="005A3E0F">
      <w:pPr>
        <w:pStyle w:val="FootnoteText"/>
        <w:jc w:val="both"/>
        <w:rPr>
          <w:rFonts w:ascii="Times New Roman" w:hAnsi="Times New Roman" w:cs="Times New Roman"/>
        </w:rPr>
      </w:pPr>
      <w:r w:rsidRPr="0051576C">
        <w:rPr>
          <w:rFonts w:ascii="Times New Roman" w:hAnsi="Times New Roman" w:cs="Times New Roman"/>
        </w:rPr>
        <w:t>‘(1) A credit agreement must not require payment by the consumer of any money or other consideration, except—</w:t>
      </w:r>
    </w:p>
    <w:p w14:paraId="6DE82F35" w14:textId="77777777" w:rsidR="005A3E0F" w:rsidRPr="0051576C" w:rsidRDefault="005A3E0F">
      <w:pPr>
        <w:pStyle w:val="FootnoteText"/>
        <w:jc w:val="both"/>
        <w:rPr>
          <w:rFonts w:ascii="Times New Roman" w:hAnsi="Times New Roman" w:cs="Times New Roman"/>
        </w:rPr>
      </w:pPr>
      <w:r w:rsidRPr="0051576C">
        <w:rPr>
          <w:rFonts w:ascii="Times New Roman" w:hAnsi="Times New Roman" w:cs="Times New Roman"/>
        </w:rPr>
        <w:t>(</w:t>
      </w:r>
      <w:r w:rsidRPr="0051576C">
        <w:rPr>
          <w:rFonts w:ascii="Times New Roman" w:hAnsi="Times New Roman" w:cs="Times New Roman"/>
          <w:i/>
          <w:iCs/>
        </w:rPr>
        <w:t>a</w:t>
      </w:r>
      <w:r w:rsidRPr="0051576C">
        <w:rPr>
          <w:rFonts w:ascii="Times New Roman" w:hAnsi="Times New Roman" w:cs="Times New Roman"/>
        </w:rPr>
        <w:t>) the principal debt, being the amount deferred in terms of the agreement, plus the value of any item contemplated in section 102;</w:t>
      </w:r>
    </w:p>
    <w:p w14:paraId="7F68026E" w14:textId="77777777" w:rsidR="005A3E0F" w:rsidRPr="0051576C" w:rsidRDefault="005A3E0F">
      <w:pPr>
        <w:pStyle w:val="FootnoteText"/>
        <w:jc w:val="both"/>
        <w:rPr>
          <w:rFonts w:ascii="Times New Roman" w:hAnsi="Times New Roman" w:cs="Times New Roman"/>
        </w:rPr>
      </w:pPr>
      <w:r w:rsidRPr="0051576C">
        <w:rPr>
          <w:rFonts w:ascii="Times New Roman" w:hAnsi="Times New Roman" w:cs="Times New Roman"/>
        </w:rPr>
        <w:t>(</w:t>
      </w:r>
      <w:r w:rsidRPr="0051576C">
        <w:rPr>
          <w:rFonts w:ascii="Times New Roman" w:hAnsi="Times New Roman" w:cs="Times New Roman"/>
          <w:i/>
          <w:iCs/>
        </w:rPr>
        <w:t>b</w:t>
      </w:r>
      <w:r w:rsidRPr="0051576C">
        <w:rPr>
          <w:rFonts w:ascii="Times New Roman" w:hAnsi="Times New Roman" w:cs="Times New Roman"/>
        </w:rPr>
        <w:t>) an initiation fee, which—</w:t>
      </w:r>
    </w:p>
    <w:p w14:paraId="543231AB" w14:textId="77777777" w:rsidR="005A3E0F" w:rsidRPr="0051576C" w:rsidRDefault="005A3E0F" w:rsidP="00CD2873">
      <w:pPr>
        <w:pStyle w:val="FootnoteText"/>
        <w:jc w:val="both"/>
        <w:rPr>
          <w:rFonts w:ascii="Times New Roman" w:hAnsi="Times New Roman" w:cs="Times New Roman"/>
        </w:rPr>
      </w:pPr>
      <w:r w:rsidRPr="0051576C">
        <w:rPr>
          <w:rFonts w:ascii="Times New Roman" w:hAnsi="Times New Roman" w:cs="Times New Roman"/>
        </w:rPr>
        <w:t>(i) may not exceed the prescribed amount relative to the principal debt; and</w:t>
      </w:r>
    </w:p>
    <w:p w14:paraId="24A842C4" w14:textId="77777777" w:rsidR="005A3E0F" w:rsidRPr="0051576C" w:rsidRDefault="005A3E0F" w:rsidP="00CD2873">
      <w:pPr>
        <w:pStyle w:val="FootnoteText"/>
        <w:ind w:left="720"/>
        <w:jc w:val="both"/>
        <w:rPr>
          <w:rFonts w:ascii="Times New Roman" w:hAnsi="Times New Roman" w:cs="Times New Roman"/>
        </w:rPr>
      </w:pPr>
      <w:r w:rsidRPr="0051576C">
        <w:rPr>
          <w:rFonts w:ascii="Times New Roman" w:hAnsi="Times New Roman" w:cs="Times New Roman"/>
        </w:rPr>
        <w:t>(ii) must not be applied unless the application results in the establishment of a credit agreement with that consumer;</w:t>
      </w:r>
    </w:p>
    <w:p w14:paraId="66162447" w14:textId="77777777" w:rsidR="005A3E0F" w:rsidRPr="0051576C" w:rsidRDefault="005A3E0F">
      <w:pPr>
        <w:pStyle w:val="FootnoteText"/>
        <w:jc w:val="both"/>
        <w:rPr>
          <w:rFonts w:ascii="Times New Roman" w:hAnsi="Times New Roman" w:cs="Times New Roman"/>
        </w:rPr>
      </w:pPr>
      <w:r w:rsidRPr="0051576C">
        <w:rPr>
          <w:rFonts w:ascii="Times New Roman" w:hAnsi="Times New Roman" w:cs="Times New Roman"/>
        </w:rPr>
        <w:t>(</w:t>
      </w:r>
      <w:r w:rsidRPr="0051576C">
        <w:rPr>
          <w:rFonts w:ascii="Times New Roman" w:hAnsi="Times New Roman" w:cs="Times New Roman"/>
          <w:i/>
          <w:iCs/>
        </w:rPr>
        <w:t>c</w:t>
      </w:r>
      <w:r w:rsidRPr="0051576C">
        <w:rPr>
          <w:rFonts w:ascii="Times New Roman" w:hAnsi="Times New Roman" w:cs="Times New Roman"/>
        </w:rPr>
        <w:t>) a service fee, which—</w:t>
      </w:r>
    </w:p>
    <w:p w14:paraId="7A7AB824" w14:textId="77777777" w:rsidR="005A3E0F" w:rsidRPr="0051576C" w:rsidRDefault="005A3E0F">
      <w:pPr>
        <w:pStyle w:val="FootnoteText"/>
        <w:ind w:left="720"/>
        <w:jc w:val="both"/>
        <w:rPr>
          <w:rFonts w:ascii="Times New Roman" w:hAnsi="Times New Roman" w:cs="Times New Roman"/>
        </w:rPr>
      </w:pPr>
      <w:r w:rsidRPr="0051576C">
        <w:rPr>
          <w:rFonts w:ascii="Times New Roman" w:hAnsi="Times New Roman" w:cs="Times New Roman"/>
        </w:rPr>
        <w:t>(i) in the case of a credit facility, may be payable monthly, annually, on a per transaction basis or on a combination of periodic and transaction basis; or</w:t>
      </w:r>
    </w:p>
    <w:p w14:paraId="50F7430D" w14:textId="77777777" w:rsidR="005A3E0F" w:rsidRPr="0051576C" w:rsidRDefault="005A3E0F">
      <w:pPr>
        <w:pStyle w:val="FootnoteText"/>
        <w:ind w:firstLine="720"/>
        <w:jc w:val="both"/>
        <w:rPr>
          <w:rFonts w:ascii="Times New Roman" w:hAnsi="Times New Roman" w:cs="Times New Roman"/>
        </w:rPr>
      </w:pPr>
      <w:r w:rsidRPr="0051576C">
        <w:rPr>
          <w:rFonts w:ascii="Times New Roman" w:hAnsi="Times New Roman" w:cs="Times New Roman"/>
        </w:rPr>
        <w:t>(ii) in any other case, may be payable monthly or annually; and</w:t>
      </w:r>
    </w:p>
    <w:p w14:paraId="38D41ADF" w14:textId="77777777" w:rsidR="005A3E0F" w:rsidRPr="0051576C" w:rsidRDefault="005A3E0F">
      <w:pPr>
        <w:pStyle w:val="FootnoteText"/>
        <w:ind w:firstLine="720"/>
        <w:jc w:val="both"/>
        <w:rPr>
          <w:rFonts w:ascii="Times New Roman" w:hAnsi="Times New Roman" w:cs="Times New Roman"/>
        </w:rPr>
      </w:pPr>
      <w:r w:rsidRPr="0051576C">
        <w:rPr>
          <w:rFonts w:ascii="Times New Roman" w:hAnsi="Times New Roman" w:cs="Times New Roman"/>
        </w:rPr>
        <w:t>(iii) must not exceed the prescribed amount relative to the principal debt;</w:t>
      </w:r>
    </w:p>
    <w:p w14:paraId="3C17ABFD" w14:textId="77777777" w:rsidR="005A3E0F" w:rsidRPr="0051576C" w:rsidRDefault="005A3E0F">
      <w:pPr>
        <w:pStyle w:val="FootnoteText"/>
        <w:jc w:val="both"/>
        <w:rPr>
          <w:rFonts w:ascii="Times New Roman" w:hAnsi="Times New Roman" w:cs="Times New Roman"/>
        </w:rPr>
      </w:pPr>
      <w:r w:rsidRPr="0051576C">
        <w:rPr>
          <w:rFonts w:ascii="Times New Roman" w:hAnsi="Times New Roman" w:cs="Times New Roman"/>
        </w:rPr>
        <w:t>(</w:t>
      </w:r>
      <w:r w:rsidRPr="0051576C">
        <w:rPr>
          <w:rFonts w:ascii="Times New Roman" w:hAnsi="Times New Roman" w:cs="Times New Roman"/>
          <w:i/>
          <w:iCs/>
        </w:rPr>
        <w:t>d</w:t>
      </w:r>
      <w:r w:rsidRPr="0051576C">
        <w:rPr>
          <w:rFonts w:ascii="Times New Roman" w:hAnsi="Times New Roman" w:cs="Times New Roman"/>
        </w:rPr>
        <w:t>) interest, which—</w:t>
      </w:r>
    </w:p>
    <w:p w14:paraId="732DCD9E" w14:textId="77777777" w:rsidR="005A3E0F" w:rsidRPr="0051576C" w:rsidRDefault="005A3E0F">
      <w:pPr>
        <w:pStyle w:val="FootnoteText"/>
        <w:ind w:left="720"/>
        <w:jc w:val="both"/>
        <w:rPr>
          <w:rFonts w:ascii="Times New Roman" w:hAnsi="Times New Roman" w:cs="Times New Roman"/>
        </w:rPr>
      </w:pPr>
      <w:r w:rsidRPr="0051576C">
        <w:rPr>
          <w:rFonts w:ascii="Times New Roman" w:hAnsi="Times New Roman" w:cs="Times New Roman"/>
        </w:rPr>
        <w:t>(i) must be expressed in percentage terms as an annual rate calculated in the prescribed manner; and</w:t>
      </w:r>
    </w:p>
    <w:p w14:paraId="3F3615E4" w14:textId="77777777" w:rsidR="005A3E0F" w:rsidRPr="0051576C" w:rsidRDefault="005A3E0F">
      <w:pPr>
        <w:pStyle w:val="FootnoteText"/>
        <w:ind w:firstLine="720"/>
        <w:jc w:val="both"/>
        <w:rPr>
          <w:rFonts w:ascii="Times New Roman" w:hAnsi="Times New Roman" w:cs="Times New Roman"/>
        </w:rPr>
      </w:pPr>
      <w:r w:rsidRPr="0051576C">
        <w:rPr>
          <w:rFonts w:ascii="Times New Roman" w:hAnsi="Times New Roman" w:cs="Times New Roman"/>
        </w:rPr>
        <w:t>(ii) must not exceed the applicable maximum prescribed rate determined in terms of section 105;</w:t>
      </w:r>
    </w:p>
    <w:p w14:paraId="18F2B076" w14:textId="77777777" w:rsidR="005A3E0F" w:rsidRPr="0051576C" w:rsidRDefault="005A3E0F">
      <w:pPr>
        <w:pStyle w:val="FootnoteText"/>
        <w:jc w:val="both"/>
        <w:rPr>
          <w:rFonts w:ascii="Times New Roman" w:hAnsi="Times New Roman" w:cs="Times New Roman"/>
        </w:rPr>
      </w:pPr>
      <w:r w:rsidRPr="0051576C">
        <w:rPr>
          <w:rFonts w:ascii="Times New Roman" w:hAnsi="Times New Roman" w:cs="Times New Roman"/>
        </w:rPr>
        <w:t>(</w:t>
      </w:r>
      <w:r w:rsidRPr="0051576C">
        <w:rPr>
          <w:rFonts w:ascii="Times New Roman" w:hAnsi="Times New Roman" w:cs="Times New Roman"/>
          <w:i/>
          <w:iCs/>
        </w:rPr>
        <w:t>e</w:t>
      </w:r>
      <w:r w:rsidRPr="0051576C">
        <w:rPr>
          <w:rFonts w:ascii="Times New Roman" w:hAnsi="Times New Roman" w:cs="Times New Roman"/>
        </w:rPr>
        <w:t>) cost of any credit insurance provided in accordance with section 106;</w:t>
      </w:r>
    </w:p>
    <w:p w14:paraId="3168502C" w14:textId="77777777" w:rsidR="005A3E0F" w:rsidRPr="0051576C" w:rsidRDefault="005A3E0F">
      <w:pPr>
        <w:pStyle w:val="FootnoteText"/>
        <w:jc w:val="both"/>
        <w:rPr>
          <w:rFonts w:ascii="Times New Roman" w:hAnsi="Times New Roman" w:cs="Times New Roman"/>
        </w:rPr>
      </w:pPr>
      <w:r w:rsidRPr="0051576C">
        <w:rPr>
          <w:rFonts w:ascii="Times New Roman" w:hAnsi="Times New Roman" w:cs="Times New Roman"/>
        </w:rPr>
        <w:t>(</w:t>
      </w:r>
      <w:r w:rsidRPr="0051576C">
        <w:rPr>
          <w:rFonts w:ascii="Times New Roman" w:hAnsi="Times New Roman" w:cs="Times New Roman"/>
          <w:i/>
          <w:iCs/>
        </w:rPr>
        <w:t>f</w:t>
      </w:r>
      <w:r w:rsidRPr="0051576C">
        <w:rPr>
          <w:rFonts w:ascii="Times New Roman" w:hAnsi="Times New Roman" w:cs="Times New Roman"/>
        </w:rPr>
        <w:t>) default administration charges, which—</w:t>
      </w:r>
    </w:p>
    <w:p w14:paraId="09D86F65" w14:textId="77777777" w:rsidR="005A3E0F" w:rsidRPr="0051576C" w:rsidRDefault="005A3E0F">
      <w:pPr>
        <w:pStyle w:val="FootnoteText"/>
        <w:ind w:firstLine="720"/>
        <w:jc w:val="both"/>
        <w:rPr>
          <w:rFonts w:ascii="Times New Roman" w:hAnsi="Times New Roman" w:cs="Times New Roman"/>
        </w:rPr>
      </w:pPr>
      <w:r w:rsidRPr="0051576C">
        <w:rPr>
          <w:rFonts w:ascii="Times New Roman" w:hAnsi="Times New Roman" w:cs="Times New Roman"/>
        </w:rPr>
        <w:t>(i) may not exceed the prescribed maximum for the category of credit agreement concerned; and</w:t>
      </w:r>
    </w:p>
    <w:p w14:paraId="4F362D23" w14:textId="77777777" w:rsidR="005A3E0F" w:rsidRPr="0051576C" w:rsidRDefault="005A3E0F">
      <w:pPr>
        <w:pStyle w:val="FootnoteText"/>
        <w:ind w:left="720"/>
        <w:jc w:val="both"/>
        <w:rPr>
          <w:rFonts w:ascii="Times New Roman" w:hAnsi="Times New Roman" w:cs="Times New Roman"/>
        </w:rPr>
      </w:pPr>
      <w:r w:rsidRPr="0051576C">
        <w:rPr>
          <w:rFonts w:ascii="Times New Roman" w:hAnsi="Times New Roman" w:cs="Times New Roman"/>
        </w:rPr>
        <w:t>(ii) may be imposed only if the consumer has defaulted on a payment obligation under the credit agreement, and only to the extent permitted by Part C of Chapter 6; and</w:t>
      </w:r>
    </w:p>
    <w:p w14:paraId="6C6E8170" w14:textId="77777777" w:rsidR="005A3E0F" w:rsidRPr="0051576C" w:rsidRDefault="005A3E0F">
      <w:pPr>
        <w:pStyle w:val="FootnoteText"/>
        <w:jc w:val="both"/>
        <w:rPr>
          <w:rFonts w:ascii="Times New Roman" w:hAnsi="Times New Roman" w:cs="Times New Roman"/>
        </w:rPr>
      </w:pPr>
      <w:r w:rsidRPr="0051576C">
        <w:rPr>
          <w:rFonts w:ascii="Times New Roman" w:hAnsi="Times New Roman" w:cs="Times New Roman"/>
        </w:rPr>
        <w:t>(</w:t>
      </w:r>
      <w:r w:rsidRPr="0051576C">
        <w:rPr>
          <w:rFonts w:ascii="Times New Roman" w:hAnsi="Times New Roman" w:cs="Times New Roman"/>
          <w:i/>
          <w:iCs/>
        </w:rPr>
        <w:t>g</w:t>
      </w:r>
      <w:r w:rsidRPr="0051576C">
        <w:rPr>
          <w:rFonts w:ascii="Times New Roman" w:hAnsi="Times New Roman" w:cs="Times New Roman"/>
        </w:rPr>
        <w:t>) collection costs, which may not exceed the prescribed maximum for the category of credit agreement concerned and may be imposed only to the extent permitted by Part C of Chapter 6.’</w:t>
      </w:r>
    </w:p>
  </w:footnote>
  <w:footnote w:id="2">
    <w:p w14:paraId="014E4BA9" w14:textId="77777777" w:rsidR="005A3E0F" w:rsidRPr="00181513" w:rsidRDefault="005A3E0F" w:rsidP="00181513">
      <w:pPr>
        <w:pStyle w:val="FootnoteText"/>
        <w:jc w:val="both"/>
        <w:rPr>
          <w:rFonts w:ascii="Times New Roman" w:hAnsi="Times New Roman" w:cs="Times New Roman"/>
        </w:rPr>
      </w:pPr>
      <w:r w:rsidRPr="00181513">
        <w:rPr>
          <w:rStyle w:val="FootnoteReference"/>
          <w:rFonts w:ascii="Times New Roman" w:hAnsi="Times New Roman" w:cs="Times New Roman"/>
        </w:rPr>
        <w:footnoteRef/>
      </w:r>
      <w:r w:rsidRPr="00181513">
        <w:rPr>
          <w:rFonts w:ascii="Times New Roman" w:hAnsi="Times New Roman" w:cs="Times New Roman"/>
        </w:rPr>
        <w:t xml:space="preserve"> Section 8(8) of the VAT Act provides:</w:t>
      </w:r>
    </w:p>
    <w:p w14:paraId="25462D39" w14:textId="3CD070FF" w:rsidR="005A3E0F" w:rsidRPr="00577C1C" w:rsidRDefault="005A3E0F" w:rsidP="00181513">
      <w:pPr>
        <w:pStyle w:val="FootnoteText"/>
        <w:jc w:val="both"/>
        <w:rPr>
          <w:rFonts w:ascii="Times New Roman" w:hAnsi="Times New Roman" w:cs="Times New Roman"/>
        </w:rPr>
      </w:pPr>
      <w:r w:rsidRPr="00181513">
        <w:rPr>
          <w:rFonts w:ascii="Times New Roman" w:hAnsi="Times New Roman" w:cs="Times New Roman"/>
        </w:rPr>
        <w:t>‘(8) For the purposes of this Act, except section 16(3), where a vendor receives any indemnity payment under a contract of insurance or is indemnified under a contract of insurance by the payment of an amount of money to another person, that payment or indemnification, as the case may be, shall, to the extent that it relates to a loss incurred in the course of carrying on an enterprise, be deemed to be consideration received for a supply of services performed on the day of receipt of that payment or on the date of payment to such other person, as the case may be, by that vendor in the course or furtherance of his enterprise: Provided that this subsection shall not apply in respect of any indemnity payment received or indemnification under a contract of insurance where the supply of services contemplated by that contract is not a supply subject to tax under section 7(1)</w:t>
      </w:r>
      <w:r w:rsidRPr="00577C1C">
        <w:rPr>
          <w:rFonts w:ascii="Times New Roman" w:hAnsi="Times New Roman" w:cs="Times New Roman"/>
          <w:i/>
        </w:rPr>
        <w:t>(</w:t>
      </w:r>
      <w:r w:rsidRPr="00577C1C">
        <w:rPr>
          <w:rFonts w:ascii="Times New Roman" w:hAnsi="Times New Roman" w:cs="Times New Roman"/>
          <w:i/>
          <w:iCs/>
        </w:rPr>
        <w:t>a</w:t>
      </w:r>
      <w:r w:rsidRPr="00577C1C">
        <w:rPr>
          <w:rFonts w:ascii="Times New Roman" w:hAnsi="Times New Roman" w:cs="Times New Roman"/>
          <w:i/>
        </w:rPr>
        <w:t>)</w:t>
      </w:r>
      <w:r w:rsidRPr="00577C1C">
        <w:rPr>
          <w:rFonts w:ascii="Times New Roman" w:hAnsi="Times New Roman" w:cs="Times New Roman"/>
        </w:rPr>
        <w:t>: Provided further that this subsection shall not apply in respect of any indemnity payment received by a vendor under a contract of insurance to the extent that such payment relates to the total reinstatement of goods, stolen or damaged beyond economic repair, in respect of the acquisition of which by the vendor a deduction of input tax under section 16(3) was denied in terms of section 17(2) or would have been denied if these sections had been applicable prior to the commencement date.’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664524"/>
      <w:docPartObj>
        <w:docPartGallery w:val="Page Numbers (Top of Page)"/>
        <w:docPartUnique/>
      </w:docPartObj>
    </w:sdtPr>
    <w:sdtEndPr>
      <w:rPr>
        <w:rFonts w:ascii="Arial" w:hAnsi="Arial" w:cs="Arial"/>
        <w:noProof/>
      </w:rPr>
    </w:sdtEndPr>
    <w:sdtContent>
      <w:p w14:paraId="3A9438AE" w14:textId="0C3B177E" w:rsidR="005A3E0F" w:rsidRPr="008F1DAB" w:rsidRDefault="005A3E0F">
        <w:pPr>
          <w:pStyle w:val="Header"/>
          <w:jc w:val="right"/>
          <w:rPr>
            <w:rFonts w:ascii="Arial" w:hAnsi="Arial" w:cs="Arial"/>
          </w:rPr>
        </w:pPr>
        <w:r w:rsidRPr="008F1DAB">
          <w:rPr>
            <w:rFonts w:ascii="Arial" w:hAnsi="Arial" w:cs="Arial"/>
          </w:rPr>
          <w:fldChar w:fldCharType="begin"/>
        </w:r>
        <w:r w:rsidRPr="008F1DAB">
          <w:rPr>
            <w:rFonts w:ascii="Arial" w:hAnsi="Arial" w:cs="Arial"/>
          </w:rPr>
          <w:instrText xml:space="preserve"> PAGE   \* MERGEFORMAT </w:instrText>
        </w:r>
        <w:r w:rsidRPr="008F1DAB">
          <w:rPr>
            <w:rFonts w:ascii="Arial" w:hAnsi="Arial" w:cs="Arial"/>
          </w:rPr>
          <w:fldChar w:fldCharType="separate"/>
        </w:r>
        <w:r w:rsidR="00A96C9C">
          <w:rPr>
            <w:rFonts w:ascii="Arial" w:hAnsi="Arial" w:cs="Arial"/>
            <w:noProof/>
          </w:rPr>
          <w:t>4</w:t>
        </w:r>
        <w:r w:rsidRPr="008F1DAB">
          <w:rPr>
            <w:rFonts w:ascii="Arial" w:hAnsi="Arial" w:cs="Arial"/>
            <w:noProof/>
          </w:rPr>
          <w:fldChar w:fldCharType="end"/>
        </w:r>
      </w:p>
    </w:sdtContent>
  </w:sdt>
  <w:p w14:paraId="634F2E6B" w14:textId="77777777" w:rsidR="005A3E0F" w:rsidRDefault="005A3E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37C0"/>
    <w:multiLevelType w:val="multilevel"/>
    <w:tmpl w:val="F376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55ABA"/>
    <w:multiLevelType w:val="hybridMultilevel"/>
    <w:tmpl w:val="32F2E25A"/>
    <w:lvl w:ilvl="0" w:tplc="C2F4B57E">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E2557"/>
    <w:multiLevelType w:val="multilevel"/>
    <w:tmpl w:val="4CC8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82C0A"/>
    <w:multiLevelType w:val="hybridMultilevel"/>
    <w:tmpl w:val="BC4A1844"/>
    <w:lvl w:ilvl="0" w:tplc="84A40E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B1E737E"/>
    <w:multiLevelType w:val="hybridMultilevel"/>
    <w:tmpl w:val="79460B4E"/>
    <w:lvl w:ilvl="0" w:tplc="E58A62C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1B642D"/>
    <w:multiLevelType w:val="multilevel"/>
    <w:tmpl w:val="DA88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67DE0"/>
    <w:multiLevelType w:val="hybridMultilevel"/>
    <w:tmpl w:val="6A9C48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FE7F61"/>
    <w:multiLevelType w:val="hybridMultilevel"/>
    <w:tmpl w:val="CD049348"/>
    <w:lvl w:ilvl="0" w:tplc="B93A5F32">
      <w:start w:val="1"/>
      <w:numFmt w:val="lowerLetter"/>
      <w:lvlText w:val="(%1)"/>
      <w:lvlJc w:val="left"/>
      <w:pPr>
        <w:ind w:left="720" w:hanging="360"/>
      </w:pPr>
      <w:rPr>
        <w:rFonts w:cs="Times New Roman" w:hint="default"/>
        <w: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3B5F5883"/>
    <w:multiLevelType w:val="hybridMultilevel"/>
    <w:tmpl w:val="9132D440"/>
    <w:lvl w:ilvl="0" w:tplc="89AE7D70">
      <w:numFmt w:val="bullet"/>
      <w:lvlText w:val=""/>
      <w:lvlJc w:val="left"/>
      <w:pPr>
        <w:ind w:left="720" w:hanging="360"/>
      </w:pPr>
      <w:rPr>
        <w:rFonts w:ascii="Wingdings" w:eastAsiaTheme="minorHAnsi" w:hAnsi="Wingdings"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3F5154E4"/>
    <w:multiLevelType w:val="multilevel"/>
    <w:tmpl w:val="FD22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57A45"/>
    <w:multiLevelType w:val="hybridMultilevel"/>
    <w:tmpl w:val="1352B220"/>
    <w:lvl w:ilvl="0" w:tplc="2B26B2C8">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61D13BD"/>
    <w:multiLevelType w:val="multilevel"/>
    <w:tmpl w:val="92D0E282"/>
    <w:lvl w:ilvl="0">
      <w:start w:val="1"/>
      <w:numFmt w:val="decimal"/>
      <w:pStyle w:val="JUGMENTNUMBERED"/>
      <w:lvlText w:val="[%1]"/>
      <w:lvlJc w:val="left"/>
      <w:pPr>
        <w:tabs>
          <w:tab w:val="num" w:pos="680"/>
        </w:tabs>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DA17169"/>
    <w:multiLevelType w:val="hybridMultilevel"/>
    <w:tmpl w:val="5508AA84"/>
    <w:lvl w:ilvl="0" w:tplc="922ADFA4">
      <w:start w:val="2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2E204E"/>
    <w:multiLevelType w:val="multilevel"/>
    <w:tmpl w:val="326E11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3C725C"/>
    <w:multiLevelType w:val="multilevel"/>
    <w:tmpl w:val="F4FE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D94174"/>
    <w:multiLevelType w:val="hybridMultilevel"/>
    <w:tmpl w:val="B1F2291E"/>
    <w:lvl w:ilvl="0" w:tplc="6B4A8A8C">
      <w:start w:val="9"/>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CEC694A"/>
    <w:multiLevelType w:val="hybridMultilevel"/>
    <w:tmpl w:val="588EB1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D4534DA"/>
    <w:multiLevelType w:val="multilevel"/>
    <w:tmpl w:val="A6302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6B2373"/>
    <w:multiLevelType w:val="hybridMultilevel"/>
    <w:tmpl w:val="79B8EE5E"/>
    <w:lvl w:ilvl="0" w:tplc="885E1E2A">
      <w:start w:val="1"/>
      <w:numFmt w:val="bullet"/>
      <w:lvlText w:val="-"/>
      <w:lvlJc w:val="left"/>
      <w:pPr>
        <w:ind w:left="420" w:hanging="360"/>
      </w:pPr>
      <w:rPr>
        <w:rFonts w:ascii="Calibri" w:eastAsia="Times New Roman" w:hAnsi="Calibri" w:cs="Calibri" w:hint="default"/>
        <w:i/>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9" w15:restartNumberingAfterBreak="0">
    <w:nsid w:val="79323899"/>
    <w:multiLevelType w:val="multilevel"/>
    <w:tmpl w:val="4192E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327B89"/>
    <w:multiLevelType w:val="multilevel"/>
    <w:tmpl w:val="391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660B6"/>
    <w:multiLevelType w:val="multilevel"/>
    <w:tmpl w:val="D61E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20"/>
  </w:num>
  <w:num w:numId="4">
    <w:abstractNumId w:val="21"/>
  </w:num>
  <w:num w:numId="5">
    <w:abstractNumId w:val="9"/>
  </w:num>
  <w:num w:numId="6">
    <w:abstractNumId w:val="5"/>
  </w:num>
  <w:num w:numId="7">
    <w:abstractNumId w:val="14"/>
  </w:num>
  <w:num w:numId="8">
    <w:abstractNumId w:val="1"/>
  </w:num>
  <w:num w:numId="9">
    <w:abstractNumId w:val="6"/>
  </w:num>
  <w:num w:numId="10">
    <w:abstractNumId w:val="19"/>
  </w:num>
  <w:num w:numId="11">
    <w:abstractNumId w:val="3"/>
  </w:num>
  <w:num w:numId="12">
    <w:abstractNumId w:val="4"/>
  </w:num>
  <w:num w:numId="13">
    <w:abstractNumId w:val="16"/>
  </w:num>
  <w:num w:numId="14">
    <w:abstractNumId w:val="8"/>
  </w:num>
  <w:num w:numId="15">
    <w:abstractNumId w:val="11"/>
  </w:num>
  <w:num w:numId="16">
    <w:abstractNumId w:val="7"/>
  </w:num>
  <w:num w:numId="17">
    <w:abstractNumId w:val="17"/>
  </w:num>
  <w:num w:numId="18">
    <w:abstractNumId w:val="12"/>
  </w:num>
  <w:num w:numId="19">
    <w:abstractNumId w:val="18"/>
  </w:num>
  <w:num w:numId="20">
    <w:abstractNumId w:val="15"/>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93EFDB-D6C3-445C-B863-F01C052AE596}"/>
    <w:docVar w:name="dgnword-eventsink" w:val="3186624074448"/>
    <w:docVar w:name="dgnword-lastRevisionsView" w:val="0"/>
  </w:docVars>
  <w:rsids>
    <w:rsidRoot w:val="004F2069"/>
    <w:rsid w:val="00001118"/>
    <w:rsid w:val="000016F0"/>
    <w:rsid w:val="0000698E"/>
    <w:rsid w:val="000071E8"/>
    <w:rsid w:val="00010DAD"/>
    <w:rsid w:val="00011586"/>
    <w:rsid w:val="00011906"/>
    <w:rsid w:val="00013C26"/>
    <w:rsid w:val="00013CBE"/>
    <w:rsid w:val="00014E1E"/>
    <w:rsid w:val="00015120"/>
    <w:rsid w:val="0001540E"/>
    <w:rsid w:val="0001596E"/>
    <w:rsid w:val="00015BD4"/>
    <w:rsid w:val="000166C9"/>
    <w:rsid w:val="000169B7"/>
    <w:rsid w:val="00017751"/>
    <w:rsid w:val="0002022B"/>
    <w:rsid w:val="00021CF5"/>
    <w:rsid w:val="00021E88"/>
    <w:rsid w:val="00025BD2"/>
    <w:rsid w:val="00025FBE"/>
    <w:rsid w:val="00027F48"/>
    <w:rsid w:val="00031217"/>
    <w:rsid w:val="000324E8"/>
    <w:rsid w:val="000334AF"/>
    <w:rsid w:val="0003465F"/>
    <w:rsid w:val="0003541F"/>
    <w:rsid w:val="00036D78"/>
    <w:rsid w:val="00037C0E"/>
    <w:rsid w:val="00037C66"/>
    <w:rsid w:val="00037E0E"/>
    <w:rsid w:val="00040A5A"/>
    <w:rsid w:val="00042B33"/>
    <w:rsid w:val="000449AD"/>
    <w:rsid w:val="00045BB8"/>
    <w:rsid w:val="00046287"/>
    <w:rsid w:val="00046546"/>
    <w:rsid w:val="0004677A"/>
    <w:rsid w:val="00047A8F"/>
    <w:rsid w:val="000507A7"/>
    <w:rsid w:val="00053B63"/>
    <w:rsid w:val="00055169"/>
    <w:rsid w:val="00056FD1"/>
    <w:rsid w:val="00060F96"/>
    <w:rsid w:val="0006256D"/>
    <w:rsid w:val="00062632"/>
    <w:rsid w:val="000626EC"/>
    <w:rsid w:val="00063628"/>
    <w:rsid w:val="00063EE8"/>
    <w:rsid w:val="0006436E"/>
    <w:rsid w:val="00065F12"/>
    <w:rsid w:val="00065F14"/>
    <w:rsid w:val="00066EFF"/>
    <w:rsid w:val="00067681"/>
    <w:rsid w:val="00072FFA"/>
    <w:rsid w:val="00073420"/>
    <w:rsid w:val="00074D0B"/>
    <w:rsid w:val="00074FA4"/>
    <w:rsid w:val="00075010"/>
    <w:rsid w:val="00075406"/>
    <w:rsid w:val="00075A54"/>
    <w:rsid w:val="00080681"/>
    <w:rsid w:val="00081FB3"/>
    <w:rsid w:val="00082278"/>
    <w:rsid w:val="00084035"/>
    <w:rsid w:val="0008699F"/>
    <w:rsid w:val="00090AD2"/>
    <w:rsid w:val="00094866"/>
    <w:rsid w:val="000979BB"/>
    <w:rsid w:val="000A07C0"/>
    <w:rsid w:val="000A087B"/>
    <w:rsid w:val="000A1D66"/>
    <w:rsid w:val="000A3350"/>
    <w:rsid w:val="000A5723"/>
    <w:rsid w:val="000A5911"/>
    <w:rsid w:val="000A6342"/>
    <w:rsid w:val="000A7850"/>
    <w:rsid w:val="000A7DE1"/>
    <w:rsid w:val="000B0347"/>
    <w:rsid w:val="000B3067"/>
    <w:rsid w:val="000B4437"/>
    <w:rsid w:val="000B4546"/>
    <w:rsid w:val="000B45C8"/>
    <w:rsid w:val="000B4A6E"/>
    <w:rsid w:val="000B669C"/>
    <w:rsid w:val="000B7221"/>
    <w:rsid w:val="000B7A3F"/>
    <w:rsid w:val="000B7A85"/>
    <w:rsid w:val="000C1044"/>
    <w:rsid w:val="000C1322"/>
    <w:rsid w:val="000C19C9"/>
    <w:rsid w:val="000C2DB3"/>
    <w:rsid w:val="000C2DDA"/>
    <w:rsid w:val="000C4B78"/>
    <w:rsid w:val="000C6526"/>
    <w:rsid w:val="000D0E97"/>
    <w:rsid w:val="000D35B8"/>
    <w:rsid w:val="000D6804"/>
    <w:rsid w:val="000E0AA9"/>
    <w:rsid w:val="000E2641"/>
    <w:rsid w:val="000E35C4"/>
    <w:rsid w:val="000E3E4E"/>
    <w:rsid w:val="000E4D33"/>
    <w:rsid w:val="000E6D92"/>
    <w:rsid w:val="000E6FD8"/>
    <w:rsid w:val="000E75CF"/>
    <w:rsid w:val="000E7B49"/>
    <w:rsid w:val="000F2EE8"/>
    <w:rsid w:val="000F3427"/>
    <w:rsid w:val="00105C25"/>
    <w:rsid w:val="001079B5"/>
    <w:rsid w:val="00110377"/>
    <w:rsid w:val="00113033"/>
    <w:rsid w:val="00113D53"/>
    <w:rsid w:val="001166C8"/>
    <w:rsid w:val="00116F9B"/>
    <w:rsid w:val="001203D3"/>
    <w:rsid w:val="00121F90"/>
    <w:rsid w:val="00123099"/>
    <w:rsid w:val="0012360B"/>
    <w:rsid w:val="00124A4A"/>
    <w:rsid w:val="00126389"/>
    <w:rsid w:val="00126994"/>
    <w:rsid w:val="001279B1"/>
    <w:rsid w:val="001314F8"/>
    <w:rsid w:val="00134683"/>
    <w:rsid w:val="001347EA"/>
    <w:rsid w:val="00135287"/>
    <w:rsid w:val="001355AA"/>
    <w:rsid w:val="00135E1C"/>
    <w:rsid w:val="001366E3"/>
    <w:rsid w:val="00140B45"/>
    <w:rsid w:val="00141E59"/>
    <w:rsid w:val="00142E40"/>
    <w:rsid w:val="00142FF0"/>
    <w:rsid w:val="00144E9F"/>
    <w:rsid w:val="0014559A"/>
    <w:rsid w:val="001468D5"/>
    <w:rsid w:val="00147FA7"/>
    <w:rsid w:val="00151A21"/>
    <w:rsid w:val="00151C5A"/>
    <w:rsid w:val="001543B0"/>
    <w:rsid w:val="0015449B"/>
    <w:rsid w:val="0015623E"/>
    <w:rsid w:val="001600F3"/>
    <w:rsid w:val="001627FB"/>
    <w:rsid w:val="001629C7"/>
    <w:rsid w:val="00163EAB"/>
    <w:rsid w:val="00163F0B"/>
    <w:rsid w:val="00164357"/>
    <w:rsid w:val="0016519C"/>
    <w:rsid w:val="00165788"/>
    <w:rsid w:val="00166334"/>
    <w:rsid w:val="001666FF"/>
    <w:rsid w:val="001676EA"/>
    <w:rsid w:val="00167A95"/>
    <w:rsid w:val="00172C69"/>
    <w:rsid w:val="00175827"/>
    <w:rsid w:val="00175E18"/>
    <w:rsid w:val="0017685C"/>
    <w:rsid w:val="00177A6A"/>
    <w:rsid w:val="00177AF1"/>
    <w:rsid w:val="0018004A"/>
    <w:rsid w:val="00180914"/>
    <w:rsid w:val="00181513"/>
    <w:rsid w:val="00182715"/>
    <w:rsid w:val="0018380A"/>
    <w:rsid w:val="00184972"/>
    <w:rsid w:val="001859D4"/>
    <w:rsid w:val="00187391"/>
    <w:rsid w:val="001911FE"/>
    <w:rsid w:val="001918A3"/>
    <w:rsid w:val="00191C40"/>
    <w:rsid w:val="001938CB"/>
    <w:rsid w:val="00195CD6"/>
    <w:rsid w:val="00195E59"/>
    <w:rsid w:val="00196A54"/>
    <w:rsid w:val="001978CF"/>
    <w:rsid w:val="001A0E76"/>
    <w:rsid w:val="001A1566"/>
    <w:rsid w:val="001A1E69"/>
    <w:rsid w:val="001A2620"/>
    <w:rsid w:val="001A28C9"/>
    <w:rsid w:val="001B09B5"/>
    <w:rsid w:val="001B243E"/>
    <w:rsid w:val="001B2EAD"/>
    <w:rsid w:val="001B3983"/>
    <w:rsid w:val="001B647B"/>
    <w:rsid w:val="001B6E4F"/>
    <w:rsid w:val="001B7BF2"/>
    <w:rsid w:val="001C25C0"/>
    <w:rsid w:val="001C3417"/>
    <w:rsid w:val="001C36C5"/>
    <w:rsid w:val="001C3A45"/>
    <w:rsid w:val="001C4D86"/>
    <w:rsid w:val="001C584A"/>
    <w:rsid w:val="001C6687"/>
    <w:rsid w:val="001D0463"/>
    <w:rsid w:val="001D1118"/>
    <w:rsid w:val="001D199F"/>
    <w:rsid w:val="001D26A3"/>
    <w:rsid w:val="001D2B95"/>
    <w:rsid w:val="001D2B9A"/>
    <w:rsid w:val="001D389B"/>
    <w:rsid w:val="001D7E27"/>
    <w:rsid w:val="001E3C41"/>
    <w:rsid w:val="001E44C2"/>
    <w:rsid w:val="001E451C"/>
    <w:rsid w:val="001E53C8"/>
    <w:rsid w:val="001E6DD4"/>
    <w:rsid w:val="001E6E09"/>
    <w:rsid w:val="001E7102"/>
    <w:rsid w:val="001E7F79"/>
    <w:rsid w:val="001F08D5"/>
    <w:rsid w:val="001F0A9E"/>
    <w:rsid w:val="001F0BED"/>
    <w:rsid w:val="001F16FA"/>
    <w:rsid w:val="001F4C56"/>
    <w:rsid w:val="001F7B89"/>
    <w:rsid w:val="00203B0B"/>
    <w:rsid w:val="002041D8"/>
    <w:rsid w:val="00210DEC"/>
    <w:rsid w:val="00211431"/>
    <w:rsid w:val="00212CA7"/>
    <w:rsid w:val="002131DF"/>
    <w:rsid w:val="00214B4D"/>
    <w:rsid w:val="00216108"/>
    <w:rsid w:val="00216C29"/>
    <w:rsid w:val="00217161"/>
    <w:rsid w:val="00220ACD"/>
    <w:rsid w:val="002227A7"/>
    <w:rsid w:val="00223461"/>
    <w:rsid w:val="00225005"/>
    <w:rsid w:val="00227178"/>
    <w:rsid w:val="00231792"/>
    <w:rsid w:val="00231963"/>
    <w:rsid w:val="00232BF6"/>
    <w:rsid w:val="00233112"/>
    <w:rsid w:val="00234BA1"/>
    <w:rsid w:val="00236003"/>
    <w:rsid w:val="00236A24"/>
    <w:rsid w:val="0024032B"/>
    <w:rsid w:val="002478E7"/>
    <w:rsid w:val="00247EA6"/>
    <w:rsid w:val="002509BB"/>
    <w:rsid w:val="00252593"/>
    <w:rsid w:val="00252D96"/>
    <w:rsid w:val="00252F3C"/>
    <w:rsid w:val="0025399C"/>
    <w:rsid w:val="00253CEA"/>
    <w:rsid w:val="002571F7"/>
    <w:rsid w:val="002605C5"/>
    <w:rsid w:val="00260A6A"/>
    <w:rsid w:val="0026143F"/>
    <w:rsid w:val="00262391"/>
    <w:rsid w:val="002626C3"/>
    <w:rsid w:val="0026375C"/>
    <w:rsid w:val="00264627"/>
    <w:rsid w:val="00264A52"/>
    <w:rsid w:val="00267863"/>
    <w:rsid w:val="00270C70"/>
    <w:rsid w:val="00272624"/>
    <w:rsid w:val="00272F2E"/>
    <w:rsid w:val="00276B9E"/>
    <w:rsid w:val="00277381"/>
    <w:rsid w:val="00277B49"/>
    <w:rsid w:val="00277D3F"/>
    <w:rsid w:val="00283333"/>
    <w:rsid w:val="00283CD7"/>
    <w:rsid w:val="00292AA1"/>
    <w:rsid w:val="00297854"/>
    <w:rsid w:val="002A2444"/>
    <w:rsid w:val="002A2AF4"/>
    <w:rsid w:val="002A382D"/>
    <w:rsid w:val="002A443E"/>
    <w:rsid w:val="002A475F"/>
    <w:rsid w:val="002A5925"/>
    <w:rsid w:val="002A6A44"/>
    <w:rsid w:val="002A70F6"/>
    <w:rsid w:val="002B03EA"/>
    <w:rsid w:val="002B1827"/>
    <w:rsid w:val="002B1CFE"/>
    <w:rsid w:val="002B1F72"/>
    <w:rsid w:val="002B3B78"/>
    <w:rsid w:val="002B7541"/>
    <w:rsid w:val="002C13FE"/>
    <w:rsid w:val="002C1EDE"/>
    <w:rsid w:val="002C1F4B"/>
    <w:rsid w:val="002C6583"/>
    <w:rsid w:val="002C741B"/>
    <w:rsid w:val="002C7A82"/>
    <w:rsid w:val="002C7F4F"/>
    <w:rsid w:val="002D571B"/>
    <w:rsid w:val="002D5DD9"/>
    <w:rsid w:val="002E2E87"/>
    <w:rsid w:val="002E6169"/>
    <w:rsid w:val="002E739E"/>
    <w:rsid w:val="002E75C9"/>
    <w:rsid w:val="002E7AA3"/>
    <w:rsid w:val="002E7D6A"/>
    <w:rsid w:val="002F11F2"/>
    <w:rsid w:val="002F166A"/>
    <w:rsid w:val="002F1C2E"/>
    <w:rsid w:val="002F2E0C"/>
    <w:rsid w:val="002F2FA1"/>
    <w:rsid w:val="002F414B"/>
    <w:rsid w:val="002F548A"/>
    <w:rsid w:val="002F5D0D"/>
    <w:rsid w:val="002F70E4"/>
    <w:rsid w:val="002F7AB2"/>
    <w:rsid w:val="00300300"/>
    <w:rsid w:val="00300BD5"/>
    <w:rsid w:val="00301285"/>
    <w:rsid w:val="003033E0"/>
    <w:rsid w:val="00304398"/>
    <w:rsid w:val="0030458F"/>
    <w:rsid w:val="00304763"/>
    <w:rsid w:val="00304FE5"/>
    <w:rsid w:val="00305613"/>
    <w:rsid w:val="0030614A"/>
    <w:rsid w:val="0030616F"/>
    <w:rsid w:val="003069D1"/>
    <w:rsid w:val="00310BF2"/>
    <w:rsid w:val="00310F09"/>
    <w:rsid w:val="0031450F"/>
    <w:rsid w:val="00316461"/>
    <w:rsid w:val="00317E9E"/>
    <w:rsid w:val="0032128A"/>
    <w:rsid w:val="00321317"/>
    <w:rsid w:val="003217BB"/>
    <w:rsid w:val="00321D6E"/>
    <w:rsid w:val="00323195"/>
    <w:rsid w:val="003240C4"/>
    <w:rsid w:val="00325F72"/>
    <w:rsid w:val="00326340"/>
    <w:rsid w:val="00326E30"/>
    <w:rsid w:val="003275D9"/>
    <w:rsid w:val="00327B4B"/>
    <w:rsid w:val="003304FC"/>
    <w:rsid w:val="003317A8"/>
    <w:rsid w:val="00331A2C"/>
    <w:rsid w:val="00332DCE"/>
    <w:rsid w:val="00333EAB"/>
    <w:rsid w:val="003348CE"/>
    <w:rsid w:val="00334F80"/>
    <w:rsid w:val="003360C0"/>
    <w:rsid w:val="00342252"/>
    <w:rsid w:val="00344139"/>
    <w:rsid w:val="00344A84"/>
    <w:rsid w:val="00347902"/>
    <w:rsid w:val="00350485"/>
    <w:rsid w:val="0035102A"/>
    <w:rsid w:val="00351583"/>
    <w:rsid w:val="003518C4"/>
    <w:rsid w:val="00352D50"/>
    <w:rsid w:val="00354B1C"/>
    <w:rsid w:val="00354EFE"/>
    <w:rsid w:val="0035543E"/>
    <w:rsid w:val="00355B17"/>
    <w:rsid w:val="00355F90"/>
    <w:rsid w:val="00356345"/>
    <w:rsid w:val="0035703F"/>
    <w:rsid w:val="00360E10"/>
    <w:rsid w:val="00361485"/>
    <w:rsid w:val="003620CB"/>
    <w:rsid w:val="00364408"/>
    <w:rsid w:val="0036467F"/>
    <w:rsid w:val="00365FF3"/>
    <w:rsid w:val="00366032"/>
    <w:rsid w:val="00371041"/>
    <w:rsid w:val="0037599A"/>
    <w:rsid w:val="003779C7"/>
    <w:rsid w:val="003820AB"/>
    <w:rsid w:val="00384D2B"/>
    <w:rsid w:val="003927B7"/>
    <w:rsid w:val="00392BD3"/>
    <w:rsid w:val="003935A6"/>
    <w:rsid w:val="00394536"/>
    <w:rsid w:val="00394D38"/>
    <w:rsid w:val="00395694"/>
    <w:rsid w:val="00395BE7"/>
    <w:rsid w:val="003979B6"/>
    <w:rsid w:val="003A0DE2"/>
    <w:rsid w:val="003A1C64"/>
    <w:rsid w:val="003A2255"/>
    <w:rsid w:val="003A4109"/>
    <w:rsid w:val="003A454C"/>
    <w:rsid w:val="003A4C09"/>
    <w:rsid w:val="003A624F"/>
    <w:rsid w:val="003A7A66"/>
    <w:rsid w:val="003A7B5A"/>
    <w:rsid w:val="003B3209"/>
    <w:rsid w:val="003B48B7"/>
    <w:rsid w:val="003B4AD6"/>
    <w:rsid w:val="003B4FD2"/>
    <w:rsid w:val="003B5028"/>
    <w:rsid w:val="003B7BC3"/>
    <w:rsid w:val="003B7CA5"/>
    <w:rsid w:val="003C0E0B"/>
    <w:rsid w:val="003C24DE"/>
    <w:rsid w:val="003C311D"/>
    <w:rsid w:val="003C7714"/>
    <w:rsid w:val="003D277C"/>
    <w:rsid w:val="003D4F3E"/>
    <w:rsid w:val="003D65C7"/>
    <w:rsid w:val="003E381E"/>
    <w:rsid w:val="003E4B63"/>
    <w:rsid w:val="003E4D32"/>
    <w:rsid w:val="003E570C"/>
    <w:rsid w:val="003E749D"/>
    <w:rsid w:val="003E780F"/>
    <w:rsid w:val="003F12BF"/>
    <w:rsid w:val="003F20C7"/>
    <w:rsid w:val="003F57ED"/>
    <w:rsid w:val="0040005A"/>
    <w:rsid w:val="00400B95"/>
    <w:rsid w:val="00400D84"/>
    <w:rsid w:val="00402FDF"/>
    <w:rsid w:val="0040310D"/>
    <w:rsid w:val="00405AC7"/>
    <w:rsid w:val="0040636E"/>
    <w:rsid w:val="00406492"/>
    <w:rsid w:val="00407A78"/>
    <w:rsid w:val="00407D52"/>
    <w:rsid w:val="00407DD4"/>
    <w:rsid w:val="00407F86"/>
    <w:rsid w:val="004108F3"/>
    <w:rsid w:val="00411A03"/>
    <w:rsid w:val="00411E28"/>
    <w:rsid w:val="0041330F"/>
    <w:rsid w:val="004147DC"/>
    <w:rsid w:val="00414D3E"/>
    <w:rsid w:val="00414E1C"/>
    <w:rsid w:val="004154AE"/>
    <w:rsid w:val="00415E3F"/>
    <w:rsid w:val="00424358"/>
    <w:rsid w:val="004257D8"/>
    <w:rsid w:val="004266C0"/>
    <w:rsid w:val="004269E1"/>
    <w:rsid w:val="004331D1"/>
    <w:rsid w:val="00433F4C"/>
    <w:rsid w:val="0043424A"/>
    <w:rsid w:val="00434EBE"/>
    <w:rsid w:val="00435671"/>
    <w:rsid w:val="00435F6C"/>
    <w:rsid w:val="004403AC"/>
    <w:rsid w:val="004413BB"/>
    <w:rsid w:val="00441D20"/>
    <w:rsid w:val="004420BB"/>
    <w:rsid w:val="00443B0D"/>
    <w:rsid w:val="0044452A"/>
    <w:rsid w:val="004460A8"/>
    <w:rsid w:val="00446D4D"/>
    <w:rsid w:val="004505BE"/>
    <w:rsid w:val="00452AF6"/>
    <w:rsid w:val="00452E8E"/>
    <w:rsid w:val="004533F7"/>
    <w:rsid w:val="00455060"/>
    <w:rsid w:val="00456024"/>
    <w:rsid w:val="00461082"/>
    <w:rsid w:val="00461696"/>
    <w:rsid w:val="00461DC6"/>
    <w:rsid w:val="004623D1"/>
    <w:rsid w:val="00462542"/>
    <w:rsid w:val="00464EAB"/>
    <w:rsid w:val="0046712F"/>
    <w:rsid w:val="0047088F"/>
    <w:rsid w:val="0047333E"/>
    <w:rsid w:val="00473C5D"/>
    <w:rsid w:val="00474036"/>
    <w:rsid w:val="0047491D"/>
    <w:rsid w:val="00475429"/>
    <w:rsid w:val="0048092F"/>
    <w:rsid w:val="004809AE"/>
    <w:rsid w:val="00480CBF"/>
    <w:rsid w:val="004813A8"/>
    <w:rsid w:val="004838CA"/>
    <w:rsid w:val="00487ACF"/>
    <w:rsid w:val="00487BBB"/>
    <w:rsid w:val="004903C1"/>
    <w:rsid w:val="004905E0"/>
    <w:rsid w:val="004952BF"/>
    <w:rsid w:val="004959DF"/>
    <w:rsid w:val="0049618D"/>
    <w:rsid w:val="004971DB"/>
    <w:rsid w:val="0049748F"/>
    <w:rsid w:val="004A1354"/>
    <w:rsid w:val="004A272E"/>
    <w:rsid w:val="004A2B58"/>
    <w:rsid w:val="004A31E4"/>
    <w:rsid w:val="004A4C3F"/>
    <w:rsid w:val="004A56F7"/>
    <w:rsid w:val="004A5B68"/>
    <w:rsid w:val="004A7D93"/>
    <w:rsid w:val="004B11E8"/>
    <w:rsid w:val="004B1816"/>
    <w:rsid w:val="004B6177"/>
    <w:rsid w:val="004B6E7F"/>
    <w:rsid w:val="004C0D53"/>
    <w:rsid w:val="004C17AB"/>
    <w:rsid w:val="004C2716"/>
    <w:rsid w:val="004C4D30"/>
    <w:rsid w:val="004C5222"/>
    <w:rsid w:val="004C54BC"/>
    <w:rsid w:val="004C59CC"/>
    <w:rsid w:val="004C68E3"/>
    <w:rsid w:val="004D0DF3"/>
    <w:rsid w:val="004D18EC"/>
    <w:rsid w:val="004D277A"/>
    <w:rsid w:val="004D4BC1"/>
    <w:rsid w:val="004D4F19"/>
    <w:rsid w:val="004D4F4F"/>
    <w:rsid w:val="004D552E"/>
    <w:rsid w:val="004D587A"/>
    <w:rsid w:val="004D61E8"/>
    <w:rsid w:val="004D6870"/>
    <w:rsid w:val="004E10E2"/>
    <w:rsid w:val="004E3E66"/>
    <w:rsid w:val="004E4FF1"/>
    <w:rsid w:val="004E5464"/>
    <w:rsid w:val="004F0EA4"/>
    <w:rsid w:val="004F2069"/>
    <w:rsid w:val="004F2787"/>
    <w:rsid w:val="004F3288"/>
    <w:rsid w:val="004F435E"/>
    <w:rsid w:val="004F44E3"/>
    <w:rsid w:val="004F4BCD"/>
    <w:rsid w:val="004F6126"/>
    <w:rsid w:val="004F696E"/>
    <w:rsid w:val="004F6C17"/>
    <w:rsid w:val="004F6FE2"/>
    <w:rsid w:val="004F70E2"/>
    <w:rsid w:val="004F7296"/>
    <w:rsid w:val="00500C97"/>
    <w:rsid w:val="00501016"/>
    <w:rsid w:val="005011D2"/>
    <w:rsid w:val="005012C1"/>
    <w:rsid w:val="005039D2"/>
    <w:rsid w:val="00503D3F"/>
    <w:rsid w:val="005041CA"/>
    <w:rsid w:val="0050459A"/>
    <w:rsid w:val="005074EF"/>
    <w:rsid w:val="00510936"/>
    <w:rsid w:val="005119FD"/>
    <w:rsid w:val="00513249"/>
    <w:rsid w:val="0051338B"/>
    <w:rsid w:val="00514B8D"/>
    <w:rsid w:val="0051576C"/>
    <w:rsid w:val="0051582F"/>
    <w:rsid w:val="00516161"/>
    <w:rsid w:val="005165D3"/>
    <w:rsid w:val="00517B4F"/>
    <w:rsid w:val="00521217"/>
    <w:rsid w:val="0052124F"/>
    <w:rsid w:val="005213FA"/>
    <w:rsid w:val="00521EAD"/>
    <w:rsid w:val="0052251C"/>
    <w:rsid w:val="00522A16"/>
    <w:rsid w:val="00522EB8"/>
    <w:rsid w:val="00524DAE"/>
    <w:rsid w:val="0052590C"/>
    <w:rsid w:val="00525F4E"/>
    <w:rsid w:val="00527751"/>
    <w:rsid w:val="00530E22"/>
    <w:rsid w:val="00530F7E"/>
    <w:rsid w:val="00532476"/>
    <w:rsid w:val="00532500"/>
    <w:rsid w:val="005325D9"/>
    <w:rsid w:val="0053293A"/>
    <w:rsid w:val="00532D9A"/>
    <w:rsid w:val="00533058"/>
    <w:rsid w:val="0053548E"/>
    <w:rsid w:val="00535A37"/>
    <w:rsid w:val="005407FD"/>
    <w:rsid w:val="005415F7"/>
    <w:rsid w:val="00541B46"/>
    <w:rsid w:val="00546000"/>
    <w:rsid w:val="00546371"/>
    <w:rsid w:val="00551863"/>
    <w:rsid w:val="0055199B"/>
    <w:rsid w:val="00551A61"/>
    <w:rsid w:val="0055415F"/>
    <w:rsid w:val="00554ED8"/>
    <w:rsid w:val="00555061"/>
    <w:rsid w:val="005562A0"/>
    <w:rsid w:val="00557BE8"/>
    <w:rsid w:val="00560280"/>
    <w:rsid w:val="005628FD"/>
    <w:rsid w:val="00563FD9"/>
    <w:rsid w:val="00564268"/>
    <w:rsid w:val="0056497A"/>
    <w:rsid w:val="005657EB"/>
    <w:rsid w:val="00565CC8"/>
    <w:rsid w:val="00566102"/>
    <w:rsid w:val="0056690C"/>
    <w:rsid w:val="00566DED"/>
    <w:rsid w:val="00567810"/>
    <w:rsid w:val="00571D16"/>
    <w:rsid w:val="005729B6"/>
    <w:rsid w:val="00575852"/>
    <w:rsid w:val="00576B4C"/>
    <w:rsid w:val="0057788F"/>
    <w:rsid w:val="00577C1C"/>
    <w:rsid w:val="005812C9"/>
    <w:rsid w:val="00582A7D"/>
    <w:rsid w:val="00582D4B"/>
    <w:rsid w:val="00583EC1"/>
    <w:rsid w:val="00590067"/>
    <w:rsid w:val="00591223"/>
    <w:rsid w:val="00593A8F"/>
    <w:rsid w:val="005958A7"/>
    <w:rsid w:val="005962B5"/>
    <w:rsid w:val="005A029D"/>
    <w:rsid w:val="005A0AA2"/>
    <w:rsid w:val="005A3E0F"/>
    <w:rsid w:val="005A429D"/>
    <w:rsid w:val="005A56B6"/>
    <w:rsid w:val="005A7A3F"/>
    <w:rsid w:val="005B1AFC"/>
    <w:rsid w:val="005B1CF3"/>
    <w:rsid w:val="005B32EB"/>
    <w:rsid w:val="005B516D"/>
    <w:rsid w:val="005B571B"/>
    <w:rsid w:val="005B6DB5"/>
    <w:rsid w:val="005C0483"/>
    <w:rsid w:val="005C39E1"/>
    <w:rsid w:val="005C3C14"/>
    <w:rsid w:val="005C67CA"/>
    <w:rsid w:val="005D006A"/>
    <w:rsid w:val="005D01C0"/>
    <w:rsid w:val="005D165B"/>
    <w:rsid w:val="005D21AA"/>
    <w:rsid w:val="005D2AAB"/>
    <w:rsid w:val="005D43BD"/>
    <w:rsid w:val="005D6FE4"/>
    <w:rsid w:val="005E0F77"/>
    <w:rsid w:val="005E1366"/>
    <w:rsid w:val="005E268C"/>
    <w:rsid w:val="005E35CB"/>
    <w:rsid w:val="005E47E7"/>
    <w:rsid w:val="005E4D9C"/>
    <w:rsid w:val="005E546B"/>
    <w:rsid w:val="005E7601"/>
    <w:rsid w:val="005F1A1E"/>
    <w:rsid w:val="005F2D5E"/>
    <w:rsid w:val="005F3187"/>
    <w:rsid w:val="005F33A1"/>
    <w:rsid w:val="005F53FD"/>
    <w:rsid w:val="005F5FD4"/>
    <w:rsid w:val="005F7863"/>
    <w:rsid w:val="0060035C"/>
    <w:rsid w:val="00601C19"/>
    <w:rsid w:val="00602767"/>
    <w:rsid w:val="0060315C"/>
    <w:rsid w:val="006049BD"/>
    <w:rsid w:val="00604F82"/>
    <w:rsid w:val="00604FEA"/>
    <w:rsid w:val="00605568"/>
    <w:rsid w:val="00606938"/>
    <w:rsid w:val="006074EB"/>
    <w:rsid w:val="006112A5"/>
    <w:rsid w:val="006112F1"/>
    <w:rsid w:val="00611609"/>
    <w:rsid w:val="00611D37"/>
    <w:rsid w:val="006127ED"/>
    <w:rsid w:val="006157D8"/>
    <w:rsid w:val="00615E6B"/>
    <w:rsid w:val="006166F1"/>
    <w:rsid w:val="00616CD6"/>
    <w:rsid w:val="00616F3B"/>
    <w:rsid w:val="00617528"/>
    <w:rsid w:val="006176C4"/>
    <w:rsid w:val="0061771C"/>
    <w:rsid w:val="00617B56"/>
    <w:rsid w:val="00622376"/>
    <w:rsid w:val="006224F7"/>
    <w:rsid w:val="00622C42"/>
    <w:rsid w:val="00624985"/>
    <w:rsid w:val="00625791"/>
    <w:rsid w:val="00631477"/>
    <w:rsid w:val="00633951"/>
    <w:rsid w:val="0063585C"/>
    <w:rsid w:val="00640213"/>
    <w:rsid w:val="0064178A"/>
    <w:rsid w:val="00642152"/>
    <w:rsid w:val="00642DBF"/>
    <w:rsid w:val="006434E1"/>
    <w:rsid w:val="006453FD"/>
    <w:rsid w:val="00645749"/>
    <w:rsid w:val="00645FA5"/>
    <w:rsid w:val="0064624F"/>
    <w:rsid w:val="00646E41"/>
    <w:rsid w:val="00647235"/>
    <w:rsid w:val="00647ED5"/>
    <w:rsid w:val="00650999"/>
    <w:rsid w:val="00650C6D"/>
    <w:rsid w:val="00650F08"/>
    <w:rsid w:val="00651E2D"/>
    <w:rsid w:val="006524C3"/>
    <w:rsid w:val="00652619"/>
    <w:rsid w:val="00652D88"/>
    <w:rsid w:val="0065572A"/>
    <w:rsid w:val="00655B85"/>
    <w:rsid w:val="00661A07"/>
    <w:rsid w:val="006636B6"/>
    <w:rsid w:val="006637EF"/>
    <w:rsid w:val="00663B0C"/>
    <w:rsid w:val="00663C37"/>
    <w:rsid w:val="00665A62"/>
    <w:rsid w:val="00666205"/>
    <w:rsid w:val="00666881"/>
    <w:rsid w:val="00666A12"/>
    <w:rsid w:val="00670D4F"/>
    <w:rsid w:val="00673311"/>
    <w:rsid w:val="006735F7"/>
    <w:rsid w:val="0067463B"/>
    <w:rsid w:val="00676768"/>
    <w:rsid w:val="00676B3D"/>
    <w:rsid w:val="00677939"/>
    <w:rsid w:val="0068046D"/>
    <w:rsid w:val="00681700"/>
    <w:rsid w:val="006860B2"/>
    <w:rsid w:val="00690373"/>
    <w:rsid w:val="006905F4"/>
    <w:rsid w:val="00691967"/>
    <w:rsid w:val="006934D7"/>
    <w:rsid w:val="00694343"/>
    <w:rsid w:val="006958A4"/>
    <w:rsid w:val="006965C3"/>
    <w:rsid w:val="00697D07"/>
    <w:rsid w:val="006A2B15"/>
    <w:rsid w:val="006A2F71"/>
    <w:rsid w:val="006A32AF"/>
    <w:rsid w:val="006A4792"/>
    <w:rsid w:val="006A47E0"/>
    <w:rsid w:val="006A571E"/>
    <w:rsid w:val="006B0D34"/>
    <w:rsid w:val="006B3B37"/>
    <w:rsid w:val="006B4898"/>
    <w:rsid w:val="006B7E36"/>
    <w:rsid w:val="006C0200"/>
    <w:rsid w:val="006C02A9"/>
    <w:rsid w:val="006C2497"/>
    <w:rsid w:val="006C2F50"/>
    <w:rsid w:val="006C39F8"/>
    <w:rsid w:val="006C737E"/>
    <w:rsid w:val="006C7594"/>
    <w:rsid w:val="006C7776"/>
    <w:rsid w:val="006C7C7C"/>
    <w:rsid w:val="006D1F2A"/>
    <w:rsid w:val="006D2BF7"/>
    <w:rsid w:val="006D368C"/>
    <w:rsid w:val="006D6845"/>
    <w:rsid w:val="006D70D0"/>
    <w:rsid w:val="006E0914"/>
    <w:rsid w:val="006E2352"/>
    <w:rsid w:val="006E2439"/>
    <w:rsid w:val="006E284C"/>
    <w:rsid w:val="006E38CD"/>
    <w:rsid w:val="006E49DC"/>
    <w:rsid w:val="006E7834"/>
    <w:rsid w:val="006F091C"/>
    <w:rsid w:val="006F1ADB"/>
    <w:rsid w:val="006F3605"/>
    <w:rsid w:val="006F547C"/>
    <w:rsid w:val="006F6286"/>
    <w:rsid w:val="006F6A6F"/>
    <w:rsid w:val="00700DE5"/>
    <w:rsid w:val="0070345A"/>
    <w:rsid w:val="007046F8"/>
    <w:rsid w:val="00704B67"/>
    <w:rsid w:val="007069BC"/>
    <w:rsid w:val="0071751A"/>
    <w:rsid w:val="0072039A"/>
    <w:rsid w:val="00722A22"/>
    <w:rsid w:val="00722AEB"/>
    <w:rsid w:val="00723E38"/>
    <w:rsid w:val="0072400F"/>
    <w:rsid w:val="00727495"/>
    <w:rsid w:val="00730A35"/>
    <w:rsid w:val="00732479"/>
    <w:rsid w:val="00733340"/>
    <w:rsid w:val="00733682"/>
    <w:rsid w:val="0073384C"/>
    <w:rsid w:val="00733E4D"/>
    <w:rsid w:val="00733EB3"/>
    <w:rsid w:val="00734A5B"/>
    <w:rsid w:val="00735FAA"/>
    <w:rsid w:val="0073676C"/>
    <w:rsid w:val="00741A4A"/>
    <w:rsid w:val="0074272A"/>
    <w:rsid w:val="007429C1"/>
    <w:rsid w:val="00743E5C"/>
    <w:rsid w:val="00744B0A"/>
    <w:rsid w:val="0074608A"/>
    <w:rsid w:val="00750B16"/>
    <w:rsid w:val="0075161A"/>
    <w:rsid w:val="00753824"/>
    <w:rsid w:val="00753BD1"/>
    <w:rsid w:val="007555F2"/>
    <w:rsid w:val="00755B27"/>
    <w:rsid w:val="00756465"/>
    <w:rsid w:val="00756641"/>
    <w:rsid w:val="00760BDC"/>
    <w:rsid w:val="00761368"/>
    <w:rsid w:val="00761766"/>
    <w:rsid w:val="00761C0B"/>
    <w:rsid w:val="00762CB8"/>
    <w:rsid w:val="00763BA2"/>
    <w:rsid w:val="00763EF3"/>
    <w:rsid w:val="00764F3F"/>
    <w:rsid w:val="00765E24"/>
    <w:rsid w:val="007669D5"/>
    <w:rsid w:val="0076790F"/>
    <w:rsid w:val="007730FF"/>
    <w:rsid w:val="00773F50"/>
    <w:rsid w:val="00774C55"/>
    <w:rsid w:val="007750E5"/>
    <w:rsid w:val="00777AB4"/>
    <w:rsid w:val="00777EEA"/>
    <w:rsid w:val="00780F13"/>
    <w:rsid w:val="00781150"/>
    <w:rsid w:val="00781D99"/>
    <w:rsid w:val="00783AA4"/>
    <w:rsid w:val="007852B9"/>
    <w:rsid w:val="00785EF6"/>
    <w:rsid w:val="0078647E"/>
    <w:rsid w:val="007865C3"/>
    <w:rsid w:val="00786AA2"/>
    <w:rsid w:val="00786B7A"/>
    <w:rsid w:val="007908AA"/>
    <w:rsid w:val="00790EF8"/>
    <w:rsid w:val="00791D34"/>
    <w:rsid w:val="0079290A"/>
    <w:rsid w:val="00795379"/>
    <w:rsid w:val="00796041"/>
    <w:rsid w:val="00796DCA"/>
    <w:rsid w:val="0079707E"/>
    <w:rsid w:val="00797C31"/>
    <w:rsid w:val="007A10DE"/>
    <w:rsid w:val="007A1D69"/>
    <w:rsid w:val="007A6313"/>
    <w:rsid w:val="007A6728"/>
    <w:rsid w:val="007A7A4C"/>
    <w:rsid w:val="007B06C3"/>
    <w:rsid w:val="007B150A"/>
    <w:rsid w:val="007B3147"/>
    <w:rsid w:val="007B34FF"/>
    <w:rsid w:val="007B522E"/>
    <w:rsid w:val="007B5A39"/>
    <w:rsid w:val="007C1612"/>
    <w:rsid w:val="007C1F87"/>
    <w:rsid w:val="007C545F"/>
    <w:rsid w:val="007C54F3"/>
    <w:rsid w:val="007C7DB2"/>
    <w:rsid w:val="007D346A"/>
    <w:rsid w:val="007D3E2D"/>
    <w:rsid w:val="007D535B"/>
    <w:rsid w:val="007D5E11"/>
    <w:rsid w:val="007D66BF"/>
    <w:rsid w:val="007D6854"/>
    <w:rsid w:val="007E3570"/>
    <w:rsid w:val="007E3972"/>
    <w:rsid w:val="007E645A"/>
    <w:rsid w:val="007E7CD7"/>
    <w:rsid w:val="007F3464"/>
    <w:rsid w:val="007F4BC2"/>
    <w:rsid w:val="007F5EF8"/>
    <w:rsid w:val="007F6859"/>
    <w:rsid w:val="007F7EDE"/>
    <w:rsid w:val="00806FBA"/>
    <w:rsid w:val="008071D9"/>
    <w:rsid w:val="008121D4"/>
    <w:rsid w:val="008130F7"/>
    <w:rsid w:val="008146F8"/>
    <w:rsid w:val="008157D5"/>
    <w:rsid w:val="00815CFD"/>
    <w:rsid w:val="00816309"/>
    <w:rsid w:val="008207A6"/>
    <w:rsid w:val="00820D83"/>
    <w:rsid w:val="00821275"/>
    <w:rsid w:val="00822921"/>
    <w:rsid w:val="00823013"/>
    <w:rsid w:val="00823798"/>
    <w:rsid w:val="00825807"/>
    <w:rsid w:val="00826260"/>
    <w:rsid w:val="008263D3"/>
    <w:rsid w:val="00827306"/>
    <w:rsid w:val="008278FD"/>
    <w:rsid w:val="008300F5"/>
    <w:rsid w:val="0083275F"/>
    <w:rsid w:val="00834605"/>
    <w:rsid w:val="00836C20"/>
    <w:rsid w:val="00836E17"/>
    <w:rsid w:val="00841565"/>
    <w:rsid w:val="008417E4"/>
    <w:rsid w:val="00842891"/>
    <w:rsid w:val="00844541"/>
    <w:rsid w:val="008455B3"/>
    <w:rsid w:val="00845AB8"/>
    <w:rsid w:val="00845BC4"/>
    <w:rsid w:val="00846A48"/>
    <w:rsid w:val="0085169D"/>
    <w:rsid w:val="00852B13"/>
    <w:rsid w:val="00853C53"/>
    <w:rsid w:val="00854876"/>
    <w:rsid w:val="008566EA"/>
    <w:rsid w:val="0085675D"/>
    <w:rsid w:val="0086352C"/>
    <w:rsid w:val="0086403F"/>
    <w:rsid w:val="00865692"/>
    <w:rsid w:val="00865F1E"/>
    <w:rsid w:val="00866371"/>
    <w:rsid w:val="0087412C"/>
    <w:rsid w:val="0087754C"/>
    <w:rsid w:val="00880D5D"/>
    <w:rsid w:val="0088214F"/>
    <w:rsid w:val="0088297B"/>
    <w:rsid w:val="00883AC6"/>
    <w:rsid w:val="00885D03"/>
    <w:rsid w:val="0088661C"/>
    <w:rsid w:val="00890DBD"/>
    <w:rsid w:val="008927BD"/>
    <w:rsid w:val="00895A1C"/>
    <w:rsid w:val="00896010"/>
    <w:rsid w:val="00896810"/>
    <w:rsid w:val="008A0F70"/>
    <w:rsid w:val="008A2044"/>
    <w:rsid w:val="008A20F2"/>
    <w:rsid w:val="008A300F"/>
    <w:rsid w:val="008A3AF8"/>
    <w:rsid w:val="008A5F2E"/>
    <w:rsid w:val="008A657D"/>
    <w:rsid w:val="008A7D10"/>
    <w:rsid w:val="008B0EC4"/>
    <w:rsid w:val="008B0F63"/>
    <w:rsid w:val="008B201F"/>
    <w:rsid w:val="008B242A"/>
    <w:rsid w:val="008B45F5"/>
    <w:rsid w:val="008B4E04"/>
    <w:rsid w:val="008B658A"/>
    <w:rsid w:val="008B7939"/>
    <w:rsid w:val="008C03B1"/>
    <w:rsid w:val="008C08E6"/>
    <w:rsid w:val="008C135F"/>
    <w:rsid w:val="008C171A"/>
    <w:rsid w:val="008C305D"/>
    <w:rsid w:val="008C3775"/>
    <w:rsid w:val="008C48E5"/>
    <w:rsid w:val="008C56D7"/>
    <w:rsid w:val="008D1C47"/>
    <w:rsid w:val="008D284D"/>
    <w:rsid w:val="008D39CD"/>
    <w:rsid w:val="008D536E"/>
    <w:rsid w:val="008D68D8"/>
    <w:rsid w:val="008D7973"/>
    <w:rsid w:val="008E0D04"/>
    <w:rsid w:val="008E0D49"/>
    <w:rsid w:val="008E145D"/>
    <w:rsid w:val="008E20FB"/>
    <w:rsid w:val="008E357C"/>
    <w:rsid w:val="008E3CE9"/>
    <w:rsid w:val="008F2096"/>
    <w:rsid w:val="008F3E6A"/>
    <w:rsid w:val="008F6840"/>
    <w:rsid w:val="008F6E02"/>
    <w:rsid w:val="008F7799"/>
    <w:rsid w:val="008F7EF9"/>
    <w:rsid w:val="00901316"/>
    <w:rsid w:val="00901B39"/>
    <w:rsid w:val="00901BE7"/>
    <w:rsid w:val="00901EF4"/>
    <w:rsid w:val="00902EE5"/>
    <w:rsid w:val="009045E8"/>
    <w:rsid w:val="00905A31"/>
    <w:rsid w:val="009061C1"/>
    <w:rsid w:val="009062A2"/>
    <w:rsid w:val="00906691"/>
    <w:rsid w:val="009070D4"/>
    <w:rsid w:val="009075F0"/>
    <w:rsid w:val="0090777A"/>
    <w:rsid w:val="00911A17"/>
    <w:rsid w:val="00915E16"/>
    <w:rsid w:val="00917C83"/>
    <w:rsid w:val="009205D3"/>
    <w:rsid w:val="00921F14"/>
    <w:rsid w:val="00922266"/>
    <w:rsid w:val="00923194"/>
    <w:rsid w:val="009239FE"/>
    <w:rsid w:val="00924301"/>
    <w:rsid w:val="00925D56"/>
    <w:rsid w:val="00925F4E"/>
    <w:rsid w:val="009272E1"/>
    <w:rsid w:val="00930180"/>
    <w:rsid w:val="00932673"/>
    <w:rsid w:val="0093318C"/>
    <w:rsid w:val="00941291"/>
    <w:rsid w:val="009414FB"/>
    <w:rsid w:val="009416D7"/>
    <w:rsid w:val="00942700"/>
    <w:rsid w:val="0094789B"/>
    <w:rsid w:val="00952815"/>
    <w:rsid w:val="0095330E"/>
    <w:rsid w:val="00955795"/>
    <w:rsid w:val="00955B2B"/>
    <w:rsid w:val="00956E1A"/>
    <w:rsid w:val="009577DB"/>
    <w:rsid w:val="009645AF"/>
    <w:rsid w:val="00964F9A"/>
    <w:rsid w:val="00970A0F"/>
    <w:rsid w:val="00972040"/>
    <w:rsid w:val="009725F6"/>
    <w:rsid w:val="009727D8"/>
    <w:rsid w:val="00975ADD"/>
    <w:rsid w:val="0097689D"/>
    <w:rsid w:val="00976E0A"/>
    <w:rsid w:val="00977228"/>
    <w:rsid w:val="00980EE3"/>
    <w:rsid w:val="009829D8"/>
    <w:rsid w:val="00982BE7"/>
    <w:rsid w:val="00982C6F"/>
    <w:rsid w:val="00983682"/>
    <w:rsid w:val="009849C7"/>
    <w:rsid w:val="00985281"/>
    <w:rsid w:val="00985E02"/>
    <w:rsid w:val="0098686E"/>
    <w:rsid w:val="00987F24"/>
    <w:rsid w:val="0099184A"/>
    <w:rsid w:val="009922BE"/>
    <w:rsid w:val="00993947"/>
    <w:rsid w:val="00993B2B"/>
    <w:rsid w:val="00995319"/>
    <w:rsid w:val="00996618"/>
    <w:rsid w:val="009973C2"/>
    <w:rsid w:val="009A3452"/>
    <w:rsid w:val="009A72FE"/>
    <w:rsid w:val="009B0300"/>
    <w:rsid w:val="009B09A6"/>
    <w:rsid w:val="009B117A"/>
    <w:rsid w:val="009B1910"/>
    <w:rsid w:val="009B1C72"/>
    <w:rsid w:val="009B239E"/>
    <w:rsid w:val="009B350E"/>
    <w:rsid w:val="009B5829"/>
    <w:rsid w:val="009B5843"/>
    <w:rsid w:val="009C02BA"/>
    <w:rsid w:val="009C02CB"/>
    <w:rsid w:val="009C0B69"/>
    <w:rsid w:val="009C0F33"/>
    <w:rsid w:val="009C18A5"/>
    <w:rsid w:val="009C2303"/>
    <w:rsid w:val="009C4E1D"/>
    <w:rsid w:val="009C4F01"/>
    <w:rsid w:val="009C5776"/>
    <w:rsid w:val="009C5B7F"/>
    <w:rsid w:val="009C5DAD"/>
    <w:rsid w:val="009C7932"/>
    <w:rsid w:val="009D04C7"/>
    <w:rsid w:val="009D124C"/>
    <w:rsid w:val="009D1639"/>
    <w:rsid w:val="009D18F6"/>
    <w:rsid w:val="009D4208"/>
    <w:rsid w:val="009D5D36"/>
    <w:rsid w:val="009E0D28"/>
    <w:rsid w:val="009E1378"/>
    <w:rsid w:val="009E176C"/>
    <w:rsid w:val="009E18AB"/>
    <w:rsid w:val="009E197A"/>
    <w:rsid w:val="009E1A19"/>
    <w:rsid w:val="009E3177"/>
    <w:rsid w:val="009E66AA"/>
    <w:rsid w:val="009E6838"/>
    <w:rsid w:val="009E6B54"/>
    <w:rsid w:val="009F01F3"/>
    <w:rsid w:val="009F0DCD"/>
    <w:rsid w:val="009F14B1"/>
    <w:rsid w:val="009F2B58"/>
    <w:rsid w:val="009F32CF"/>
    <w:rsid w:val="009F5768"/>
    <w:rsid w:val="009F5ED7"/>
    <w:rsid w:val="009F6AE0"/>
    <w:rsid w:val="00A05579"/>
    <w:rsid w:val="00A0560A"/>
    <w:rsid w:val="00A05E40"/>
    <w:rsid w:val="00A06605"/>
    <w:rsid w:val="00A068F0"/>
    <w:rsid w:val="00A07E92"/>
    <w:rsid w:val="00A10479"/>
    <w:rsid w:val="00A12131"/>
    <w:rsid w:val="00A121E1"/>
    <w:rsid w:val="00A12419"/>
    <w:rsid w:val="00A13067"/>
    <w:rsid w:val="00A137C6"/>
    <w:rsid w:val="00A13D82"/>
    <w:rsid w:val="00A14345"/>
    <w:rsid w:val="00A14D1C"/>
    <w:rsid w:val="00A159F3"/>
    <w:rsid w:val="00A1677B"/>
    <w:rsid w:val="00A16969"/>
    <w:rsid w:val="00A17230"/>
    <w:rsid w:val="00A200F2"/>
    <w:rsid w:val="00A254A7"/>
    <w:rsid w:val="00A270D7"/>
    <w:rsid w:val="00A31000"/>
    <w:rsid w:val="00A318D6"/>
    <w:rsid w:val="00A31FC1"/>
    <w:rsid w:val="00A335F4"/>
    <w:rsid w:val="00A33DD5"/>
    <w:rsid w:val="00A34D56"/>
    <w:rsid w:val="00A3503E"/>
    <w:rsid w:val="00A3520B"/>
    <w:rsid w:val="00A40D55"/>
    <w:rsid w:val="00A44237"/>
    <w:rsid w:val="00A4486C"/>
    <w:rsid w:val="00A44FFF"/>
    <w:rsid w:val="00A453D6"/>
    <w:rsid w:val="00A45733"/>
    <w:rsid w:val="00A46934"/>
    <w:rsid w:val="00A50E0D"/>
    <w:rsid w:val="00A50E5A"/>
    <w:rsid w:val="00A53E95"/>
    <w:rsid w:val="00A600B5"/>
    <w:rsid w:val="00A6089F"/>
    <w:rsid w:val="00A608F5"/>
    <w:rsid w:val="00A60F81"/>
    <w:rsid w:val="00A61EED"/>
    <w:rsid w:val="00A6304F"/>
    <w:rsid w:val="00A637B8"/>
    <w:rsid w:val="00A64DE7"/>
    <w:rsid w:val="00A66BBB"/>
    <w:rsid w:val="00A66CFE"/>
    <w:rsid w:val="00A67A0D"/>
    <w:rsid w:val="00A71696"/>
    <w:rsid w:val="00A720A6"/>
    <w:rsid w:val="00A72292"/>
    <w:rsid w:val="00A722BE"/>
    <w:rsid w:val="00A72728"/>
    <w:rsid w:val="00A72ED5"/>
    <w:rsid w:val="00A76300"/>
    <w:rsid w:val="00A8004D"/>
    <w:rsid w:val="00A80CD2"/>
    <w:rsid w:val="00A851E1"/>
    <w:rsid w:val="00A868AB"/>
    <w:rsid w:val="00A92AB9"/>
    <w:rsid w:val="00A9337A"/>
    <w:rsid w:val="00A93DB0"/>
    <w:rsid w:val="00A94543"/>
    <w:rsid w:val="00A94774"/>
    <w:rsid w:val="00A9485A"/>
    <w:rsid w:val="00A94CA8"/>
    <w:rsid w:val="00A94F4D"/>
    <w:rsid w:val="00A957CC"/>
    <w:rsid w:val="00A968D8"/>
    <w:rsid w:val="00A96C9C"/>
    <w:rsid w:val="00A977F6"/>
    <w:rsid w:val="00AA4114"/>
    <w:rsid w:val="00AB1680"/>
    <w:rsid w:val="00AB1936"/>
    <w:rsid w:val="00AB2938"/>
    <w:rsid w:val="00AB3798"/>
    <w:rsid w:val="00AB5987"/>
    <w:rsid w:val="00AB5A08"/>
    <w:rsid w:val="00AB5AAA"/>
    <w:rsid w:val="00AB6AD3"/>
    <w:rsid w:val="00AC1FFD"/>
    <w:rsid w:val="00AC2491"/>
    <w:rsid w:val="00AC45D8"/>
    <w:rsid w:val="00AC4957"/>
    <w:rsid w:val="00AC56DE"/>
    <w:rsid w:val="00AC7359"/>
    <w:rsid w:val="00AD033B"/>
    <w:rsid w:val="00AD0D9B"/>
    <w:rsid w:val="00AD193E"/>
    <w:rsid w:val="00AD55AD"/>
    <w:rsid w:val="00AD58EC"/>
    <w:rsid w:val="00AD63B5"/>
    <w:rsid w:val="00AD6EE9"/>
    <w:rsid w:val="00AD7347"/>
    <w:rsid w:val="00AE1684"/>
    <w:rsid w:val="00AE47DE"/>
    <w:rsid w:val="00AE48CC"/>
    <w:rsid w:val="00AE4C96"/>
    <w:rsid w:val="00AE5A51"/>
    <w:rsid w:val="00AE5B80"/>
    <w:rsid w:val="00AE603E"/>
    <w:rsid w:val="00AE7E96"/>
    <w:rsid w:val="00AF2358"/>
    <w:rsid w:val="00AF266C"/>
    <w:rsid w:val="00AF47F1"/>
    <w:rsid w:val="00AF4A3A"/>
    <w:rsid w:val="00AF4CC2"/>
    <w:rsid w:val="00AF54E6"/>
    <w:rsid w:val="00AF5D75"/>
    <w:rsid w:val="00AF7186"/>
    <w:rsid w:val="00AF7D8A"/>
    <w:rsid w:val="00B0076E"/>
    <w:rsid w:val="00B00A78"/>
    <w:rsid w:val="00B01122"/>
    <w:rsid w:val="00B01906"/>
    <w:rsid w:val="00B01BAA"/>
    <w:rsid w:val="00B044BF"/>
    <w:rsid w:val="00B056C1"/>
    <w:rsid w:val="00B11D9C"/>
    <w:rsid w:val="00B1322F"/>
    <w:rsid w:val="00B132A5"/>
    <w:rsid w:val="00B13BE2"/>
    <w:rsid w:val="00B15D1D"/>
    <w:rsid w:val="00B20972"/>
    <w:rsid w:val="00B21599"/>
    <w:rsid w:val="00B21E5A"/>
    <w:rsid w:val="00B223DD"/>
    <w:rsid w:val="00B25A0F"/>
    <w:rsid w:val="00B31149"/>
    <w:rsid w:val="00B311CB"/>
    <w:rsid w:val="00B31F61"/>
    <w:rsid w:val="00B33844"/>
    <w:rsid w:val="00B348F8"/>
    <w:rsid w:val="00B35038"/>
    <w:rsid w:val="00B3527A"/>
    <w:rsid w:val="00B35313"/>
    <w:rsid w:val="00B3622F"/>
    <w:rsid w:val="00B3640D"/>
    <w:rsid w:val="00B36552"/>
    <w:rsid w:val="00B378A9"/>
    <w:rsid w:val="00B42A0C"/>
    <w:rsid w:val="00B43B97"/>
    <w:rsid w:val="00B458AF"/>
    <w:rsid w:val="00B46665"/>
    <w:rsid w:val="00B46C8F"/>
    <w:rsid w:val="00B47A9C"/>
    <w:rsid w:val="00B502C0"/>
    <w:rsid w:val="00B51984"/>
    <w:rsid w:val="00B51C98"/>
    <w:rsid w:val="00B524A5"/>
    <w:rsid w:val="00B52E2E"/>
    <w:rsid w:val="00B532C5"/>
    <w:rsid w:val="00B53BF5"/>
    <w:rsid w:val="00B603CB"/>
    <w:rsid w:val="00B60BA5"/>
    <w:rsid w:val="00B627BC"/>
    <w:rsid w:val="00B6284E"/>
    <w:rsid w:val="00B6304B"/>
    <w:rsid w:val="00B63B2B"/>
    <w:rsid w:val="00B651C4"/>
    <w:rsid w:val="00B66524"/>
    <w:rsid w:val="00B67EF0"/>
    <w:rsid w:val="00B72F6D"/>
    <w:rsid w:val="00B73BC6"/>
    <w:rsid w:val="00B75CAC"/>
    <w:rsid w:val="00B762B7"/>
    <w:rsid w:val="00B76C3C"/>
    <w:rsid w:val="00B81B11"/>
    <w:rsid w:val="00B82288"/>
    <w:rsid w:val="00B845EB"/>
    <w:rsid w:val="00B84698"/>
    <w:rsid w:val="00B84908"/>
    <w:rsid w:val="00B8592D"/>
    <w:rsid w:val="00B878C1"/>
    <w:rsid w:val="00B9125D"/>
    <w:rsid w:val="00B91EB2"/>
    <w:rsid w:val="00B93D44"/>
    <w:rsid w:val="00B94001"/>
    <w:rsid w:val="00B94D2F"/>
    <w:rsid w:val="00B951C4"/>
    <w:rsid w:val="00BA19FB"/>
    <w:rsid w:val="00BA32A5"/>
    <w:rsid w:val="00BA6099"/>
    <w:rsid w:val="00BA6AA2"/>
    <w:rsid w:val="00BA6CC9"/>
    <w:rsid w:val="00BB0849"/>
    <w:rsid w:val="00BB2D9C"/>
    <w:rsid w:val="00BB3215"/>
    <w:rsid w:val="00BB38D9"/>
    <w:rsid w:val="00BB5554"/>
    <w:rsid w:val="00BB615D"/>
    <w:rsid w:val="00BB6E32"/>
    <w:rsid w:val="00BC1884"/>
    <w:rsid w:val="00BC195C"/>
    <w:rsid w:val="00BC3E6D"/>
    <w:rsid w:val="00BC3FF1"/>
    <w:rsid w:val="00BC6CAA"/>
    <w:rsid w:val="00BD0BE4"/>
    <w:rsid w:val="00BD3BF6"/>
    <w:rsid w:val="00BD4CB4"/>
    <w:rsid w:val="00BD52E3"/>
    <w:rsid w:val="00BD6105"/>
    <w:rsid w:val="00BE0D89"/>
    <w:rsid w:val="00BE12C6"/>
    <w:rsid w:val="00BE3534"/>
    <w:rsid w:val="00BE5DED"/>
    <w:rsid w:val="00BF1081"/>
    <w:rsid w:val="00BF2163"/>
    <w:rsid w:val="00BF3069"/>
    <w:rsid w:val="00BF3353"/>
    <w:rsid w:val="00BF3747"/>
    <w:rsid w:val="00BF4C9B"/>
    <w:rsid w:val="00BF4E3C"/>
    <w:rsid w:val="00BF62A1"/>
    <w:rsid w:val="00BF73FF"/>
    <w:rsid w:val="00C0264E"/>
    <w:rsid w:val="00C0517C"/>
    <w:rsid w:val="00C078C4"/>
    <w:rsid w:val="00C1234D"/>
    <w:rsid w:val="00C12625"/>
    <w:rsid w:val="00C1432B"/>
    <w:rsid w:val="00C167FD"/>
    <w:rsid w:val="00C16CE9"/>
    <w:rsid w:val="00C17810"/>
    <w:rsid w:val="00C21BC6"/>
    <w:rsid w:val="00C21BD0"/>
    <w:rsid w:val="00C22294"/>
    <w:rsid w:val="00C22DF0"/>
    <w:rsid w:val="00C23867"/>
    <w:rsid w:val="00C2667A"/>
    <w:rsid w:val="00C27232"/>
    <w:rsid w:val="00C27375"/>
    <w:rsid w:val="00C3008E"/>
    <w:rsid w:val="00C3060A"/>
    <w:rsid w:val="00C32892"/>
    <w:rsid w:val="00C32C1E"/>
    <w:rsid w:val="00C3414A"/>
    <w:rsid w:val="00C34641"/>
    <w:rsid w:val="00C35891"/>
    <w:rsid w:val="00C362D1"/>
    <w:rsid w:val="00C36B55"/>
    <w:rsid w:val="00C36D9C"/>
    <w:rsid w:val="00C36E66"/>
    <w:rsid w:val="00C36F47"/>
    <w:rsid w:val="00C37473"/>
    <w:rsid w:val="00C4040A"/>
    <w:rsid w:val="00C4076E"/>
    <w:rsid w:val="00C40802"/>
    <w:rsid w:val="00C41334"/>
    <w:rsid w:val="00C4256E"/>
    <w:rsid w:val="00C46C43"/>
    <w:rsid w:val="00C51339"/>
    <w:rsid w:val="00C521F2"/>
    <w:rsid w:val="00C53133"/>
    <w:rsid w:val="00C546C4"/>
    <w:rsid w:val="00C60C3C"/>
    <w:rsid w:val="00C61D55"/>
    <w:rsid w:val="00C62C51"/>
    <w:rsid w:val="00C63FA8"/>
    <w:rsid w:val="00C645AE"/>
    <w:rsid w:val="00C65058"/>
    <w:rsid w:val="00C708F7"/>
    <w:rsid w:val="00C724EE"/>
    <w:rsid w:val="00C7383C"/>
    <w:rsid w:val="00C738B6"/>
    <w:rsid w:val="00C74818"/>
    <w:rsid w:val="00C75DF9"/>
    <w:rsid w:val="00C762CE"/>
    <w:rsid w:val="00C77CE2"/>
    <w:rsid w:val="00C811DD"/>
    <w:rsid w:val="00C820C9"/>
    <w:rsid w:val="00C91406"/>
    <w:rsid w:val="00C91AAD"/>
    <w:rsid w:val="00C92705"/>
    <w:rsid w:val="00C93D8B"/>
    <w:rsid w:val="00C9508A"/>
    <w:rsid w:val="00C9530A"/>
    <w:rsid w:val="00C95503"/>
    <w:rsid w:val="00C955CF"/>
    <w:rsid w:val="00CA1CF0"/>
    <w:rsid w:val="00CA1F30"/>
    <w:rsid w:val="00CA3581"/>
    <w:rsid w:val="00CA39E4"/>
    <w:rsid w:val="00CA3B2C"/>
    <w:rsid w:val="00CA713A"/>
    <w:rsid w:val="00CB1E0B"/>
    <w:rsid w:val="00CB22BA"/>
    <w:rsid w:val="00CB428D"/>
    <w:rsid w:val="00CB42DC"/>
    <w:rsid w:val="00CB48FE"/>
    <w:rsid w:val="00CB4C02"/>
    <w:rsid w:val="00CB59DE"/>
    <w:rsid w:val="00CB5DB2"/>
    <w:rsid w:val="00CB7B24"/>
    <w:rsid w:val="00CC105C"/>
    <w:rsid w:val="00CC10E5"/>
    <w:rsid w:val="00CC1CD4"/>
    <w:rsid w:val="00CC45F1"/>
    <w:rsid w:val="00CC7717"/>
    <w:rsid w:val="00CD0239"/>
    <w:rsid w:val="00CD18CC"/>
    <w:rsid w:val="00CD2873"/>
    <w:rsid w:val="00CD345C"/>
    <w:rsid w:val="00CD37A8"/>
    <w:rsid w:val="00CD3C51"/>
    <w:rsid w:val="00CD4B2E"/>
    <w:rsid w:val="00CE252E"/>
    <w:rsid w:val="00CE2E96"/>
    <w:rsid w:val="00CE4EBF"/>
    <w:rsid w:val="00CE7DBC"/>
    <w:rsid w:val="00CF0F77"/>
    <w:rsid w:val="00CF2B86"/>
    <w:rsid w:val="00CF2F88"/>
    <w:rsid w:val="00CF4E5C"/>
    <w:rsid w:val="00D03425"/>
    <w:rsid w:val="00D073FF"/>
    <w:rsid w:val="00D079B7"/>
    <w:rsid w:val="00D07C6B"/>
    <w:rsid w:val="00D07CF7"/>
    <w:rsid w:val="00D07F16"/>
    <w:rsid w:val="00D11FC7"/>
    <w:rsid w:val="00D130C4"/>
    <w:rsid w:val="00D139EB"/>
    <w:rsid w:val="00D15A03"/>
    <w:rsid w:val="00D1661D"/>
    <w:rsid w:val="00D168FB"/>
    <w:rsid w:val="00D16C8D"/>
    <w:rsid w:val="00D22872"/>
    <w:rsid w:val="00D22F7E"/>
    <w:rsid w:val="00D25C18"/>
    <w:rsid w:val="00D25EFE"/>
    <w:rsid w:val="00D268CE"/>
    <w:rsid w:val="00D27695"/>
    <w:rsid w:val="00D30CBC"/>
    <w:rsid w:val="00D31D26"/>
    <w:rsid w:val="00D32DBA"/>
    <w:rsid w:val="00D332FC"/>
    <w:rsid w:val="00D34CB2"/>
    <w:rsid w:val="00D34DB1"/>
    <w:rsid w:val="00D3570D"/>
    <w:rsid w:val="00D367C1"/>
    <w:rsid w:val="00D40DA5"/>
    <w:rsid w:val="00D42DB2"/>
    <w:rsid w:val="00D43412"/>
    <w:rsid w:val="00D4381B"/>
    <w:rsid w:val="00D44521"/>
    <w:rsid w:val="00D4583C"/>
    <w:rsid w:val="00D46473"/>
    <w:rsid w:val="00D50ACF"/>
    <w:rsid w:val="00D54931"/>
    <w:rsid w:val="00D54939"/>
    <w:rsid w:val="00D55B00"/>
    <w:rsid w:val="00D57A02"/>
    <w:rsid w:val="00D60223"/>
    <w:rsid w:val="00D6140A"/>
    <w:rsid w:val="00D61AC8"/>
    <w:rsid w:val="00D6243F"/>
    <w:rsid w:val="00D636EF"/>
    <w:rsid w:val="00D64CFA"/>
    <w:rsid w:val="00D67417"/>
    <w:rsid w:val="00D7031E"/>
    <w:rsid w:val="00D70904"/>
    <w:rsid w:val="00D70B69"/>
    <w:rsid w:val="00D71A10"/>
    <w:rsid w:val="00D71DF4"/>
    <w:rsid w:val="00D7397E"/>
    <w:rsid w:val="00D745EE"/>
    <w:rsid w:val="00D752A7"/>
    <w:rsid w:val="00D77331"/>
    <w:rsid w:val="00D77AA2"/>
    <w:rsid w:val="00D77B88"/>
    <w:rsid w:val="00D80DE2"/>
    <w:rsid w:val="00D816AA"/>
    <w:rsid w:val="00D8248B"/>
    <w:rsid w:val="00D8478D"/>
    <w:rsid w:val="00D875DE"/>
    <w:rsid w:val="00D9108C"/>
    <w:rsid w:val="00D9232E"/>
    <w:rsid w:val="00D9310D"/>
    <w:rsid w:val="00D93773"/>
    <w:rsid w:val="00D94083"/>
    <w:rsid w:val="00D976BB"/>
    <w:rsid w:val="00D97DFD"/>
    <w:rsid w:val="00DA367F"/>
    <w:rsid w:val="00DA3A74"/>
    <w:rsid w:val="00DA3ACC"/>
    <w:rsid w:val="00DA4ECE"/>
    <w:rsid w:val="00DB0BAC"/>
    <w:rsid w:val="00DB1B42"/>
    <w:rsid w:val="00DB2638"/>
    <w:rsid w:val="00DB3C55"/>
    <w:rsid w:val="00DB4E0B"/>
    <w:rsid w:val="00DB63CE"/>
    <w:rsid w:val="00DB6BD9"/>
    <w:rsid w:val="00DB6E59"/>
    <w:rsid w:val="00DB75EB"/>
    <w:rsid w:val="00DB7611"/>
    <w:rsid w:val="00DB7655"/>
    <w:rsid w:val="00DB76C5"/>
    <w:rsid w:val="00DC0583"/>
    <w:rsid w:val="00DC0D20"/>
    <w:rsid w:val="00DC347C"/>
    <w:rsid w:val="00DC3F93"/>
    <w:rsid w:val="00DC4E9C"/>
    <w:rsid w:val="00DC605D"/>
    <w:rsid w:val="00DC70AB"/>
    <w:rsid w:val="00DD0191"/>
    <w:rsid w:val="00DD1C63"/>
    <w:rsid w:val="00DD2498"/>
    <w:rsid w:val="00DD7B1B"/>
    <w:rsid w:val="00DE0D59"/>
    <w:rsid w:val="00DE4D7F"/>
    <w:rsid w:val="00DF0351"/>
    <w:rsid w:val="00DF0525"/>
    <w:rsid w:val="00DF11CC"/>
    <w:rsid w:val="00DF1680"/>
    <w:rsid w:val="00DF3F03"/>
    <w:rsid w:val="00DF43A1"/>
    <w:rsid w:val="00DF5E30"/>
    <w:rsid w:val="00E00337"/>
    <w:rsid w:val="00E020C1"/>
    <w:rsid w:val="00E0344E"/>
    <w:rsid w:val="00E03B5C"/>
    <w:rsid w:val="00E04D16"/>
    <w:rsid w:val="00E07313"/>
    <w:rsid w:val="00E1209F"/>
    <w:rsid w:val="00E12151"/>
    <w:rsid w:val="00E1278B"/>
    <w:rsid w:val="00E12F43"/>
    <w:rsid w:val="00E13372"/>
    <w:rsid w:val="00E157F5"/>
    <w:rsid w:val="00E165F7"/>
    <w:rsid w:val="00E16957"/>
    <w:rsid w:val="00E173EA"/>
    <w:rsid w:val="00E17D8B"/>
    <w:rsid w:val="00E17DD6"/>
    <w:rsid w:val="00E211F4"/>
    <w:rsid w:val="00E21D2F"/>
    <w:rsid w:val="00E2314A"/>
    <w:rsid w:val="00E233D2"/>
    <w:rsid w:val="00E2357E"/>
    <w:rsid w:val="00E267DC"/>
    <w:rsid w:val="00E33B80"/>
    <w:rsid w:val="00E34202"/>
    <w:rsid w:val="00E34EDC"/>
    <w:rsid w:val="00E36DCF"/>
    <w:rsid w:val="00E40031"/>
    <w:rsid w:val="00E40840"/>
    <w:rsid w:val="00E41AB2"/>
    <w:rsid w:val="00E41FCC"/>
    <w:rsid w:val="00E42639"/>
    <w:rsid w:val="00E42761"/>
    <w:rsid w:val="00E462E5"/>
    <w:rsid w:val="00E51C76"/>
    <w:rsid w:val="00E52485"/>
    <w:rsid w:val="00E5425C"/>
    <w:rsid w:val="00E547A8"/>
    <w:rsid w:val="00E56877"/>
    <w:rsid w:val="00E56A0D"/>
    <w:rsid w:val="00E56AA6"/>
    <w:rsid w:val="00E56C30"/>
    <w:rsid w:val="00E633E9"/>
    <w:rsid w:val="00E637FA"/>
    <w:rsid w:val="00E6655D"/>
    <w:rsid w:val="00E668FB"/>
    <w:rsid w:val="00E66A2B"/>
    <w:rsid w:val="00E67A59"/>
    <w:rsid w:val="00E67B08"/>
    <w:rsid w:val="00E736BC"/>
    <w:rsid w:val="00E7494B"/>
    <w:rsid w:val="00E76D1A"/>
    <w:rsid w:val="00E807EF"/>
    <w:rsid w:val="00E80E5A"/>
    <w:rsid w:val="00E81321"/>
    <w:rsid w:val="00E81ED8"/>
    <w:rsid w:val="00E822F4"/>
    <w:rsid w:val="00E831BB"/>
    <w:rsid w:val="00E842EB"/>
    <w:rsid w:val="00E84F8B"/>
    <w:rsid w:val="00E8747E"/>
    <w:rsid w:val="00E87906"/>
    <w:rsid w:val="00E924FA"/>
    <w:rsid w:val="00E92521"/>
    <w:rsid w:val="00E94AD2"/>
    <w:rsid w:val="00E95472"/>
    <w:rsid w:val="00E95978"/>
    <w:rsid w:val="00E97E1F"/>
    <w:rsid w:val="00EA038B"/>
    <w:rsid w:val="00EA16F4"/>
    <w:rsid w:val="00EA1D89"/>
    <w:rsid w:val="00EA21F1"/>
    <w:rsid w:val="00EA295B"/>
    <w:rsid w:val="00EA46B3"/>
    <w:rsid w:val="00EA76AA"/>
    <w:rsid w:val="00EA7C6E"/>
    <w:rsid w:val="00EB14EC"/>
    <w:rsid w:val="00EB1CF9"/>
    <w:rsid w:val="00EB2886"/>
    <w:rsid w:val="00EB3342"/>
    <w:rsid w:val="00EB39E7"/>
    <w:rsid w:val="00EB48B6"/>
    <w:rsid w:val="00EC018E"/>
    <w:rsid w:val="00EC0AB0"/>
    <w:rsid w:val="00EC1FA1"/>
    <w:rsid w:val="00EC37BF"/>
    <w:rsid w:val="00EC508F"/>
    <w:rsid w:val="00EC6A0F"/>
    <w:rsid w:val="00ED0115"/>
    <w:rsid w:val="00ED02EC"/>
    <w:rsid w:val="00ED0BA6"/>
    <w:rsid w:val="00ED0DF7"/>
    <w:rsid w:val="00ED2E92"/>
    <w:rsid w:val="00ED2F82"/>
    <w:rsid w:val="00ED3037"/>
    <w:rsid w:val="00ED466F"/>
    <w:rsid w:val="00ED5311"/>
    <w:rsid w:val="00ED54E8"/>
    <w:rsid w:val="00ED67EE"/>
    <w:rsid w:val="00ED76F6"/>
    <w:rsid w:val="00ED78F6"/>
    <w:rsid w:val="00ED7F11"/>
    <w:rsid w:val="00ED7F64"/>
    <w:rsid w:val="00EE228F"/>
    <w:rsid w:val="00EE2A3F"/>
    <w:rsid w:val="00EE2BF9"/>
    <w:rsid w:val="00EE2FB6"/>
    <w:rsid w:val="00EE300F"/>
    <w:rsid w:val="00EE38A1"/>
    <w:rsid w:val="00EE4008"/>
    <w:rsid w:val="00EE4E7F"/>
    <w:rsid w:val="00EE51E8"/>
    <w:rsid w:val="00EE64F6"/>
    <w:rsid w:val="00EE67EE"/>
    <w:rsid w:val="00EE74B4"/>
    <w:rsid w:val="00EE7C8A"/>
    <w:rsid w:val="00EF0842"/>
    <w:rsid w:val="00EF1BE0"/>
    <w:rsid w:val="00EF1E15"/>
    <w:rsid w:val="00EF23D6"/>
    <w:rsid w:val="00EF3513"/>
    <w:rsid w:val="00F00509"/>
    <w:rsid w:val="00F03B25"/>
    <w:rsid w:val="00F047B6"/>
    <w:rsid w:val="00F04B7B"/>
    <w:rsid w:val="00F05259"/>
    <w:rsid w:val="00F06083"/>
    <w:rsid w:val="00F06205"/>
    <w:rsid w:val="00F10758"/>
    <w:rsid w:val="00F111F6"/>
    <w:rsid w:val="00F120C1"/>
    <w:rsid w:val="00F12BD6"/>
    <w:rsid w:val="00F13E9E"/>
    <w:rsid w:val="00F14764"/>
    <w:rsid w:val="00F20F5B"/>
    <w:rsid w:val="00F21397"/>
    <w:rsid w:val="00F2166D"/>
    <w:rsid w:val="00F21CCA"/>
    <w:rsid w:val="00F25899"/>
    <w:rsid w:val="00F27AE8"/>
    <w:rsid w:val="00F27C85"/>
    <w:rsid w:val="00F32E11"/>
    <w:rsid w:val="00F33CCE"/>
    <w:rsid w:val="00F3489F"/>
    <w:rsid w:val="00F34CFE"/>
    <w:rsid w:val="00F3524E"/>
    <w:rsid w:val="00F35310"/>
    <w:rsid w:val="00F35481"/>
    <w:rsid w:val="00F377DE"/>
    <w:rsid w:val="00F37CE0"/>
    <w:rsid w:val="00F4062C"/>
    <w:rsid w:val="00F429E4"/>
    <w:rsid w:val="00F42CB6"/>
    <w:rsid w:val="00F45F06"/>
    <w:rsid w:val="00F46D50"/>
    <w:rsid w:val="00F46F9C"/>
    <w:rsid w:val="00F4794C"/>
    <w:rsid w:val="00F504F1"/>
    <w:rsid w:val="00F5088D"/>
    <w:rsid w:val="00F51205"/>
    <w:rsid w:val="00F52800"/>
    <w:rsid w:val="00F52B7A"/>
    <w:rsid w:val="00F53469"/>
    <w:rsid w:val="00F5372E"/>
    <w:rsid w:val="00F5429F"/>
    <w:rsid w:val="00F54C69"/>
    <w:rsid w:val="00F56669"/>
    <w:rsid w:val="00F56ED1"/>
    <w:rsid w:val="00F607CD"/>
    <w:rsid w:val="00F60B1D"/>
    <w:rsid w:val="00F61551"/>
    <w:rsid w:val="00F62644"/>
    <w:rsid w:val="00F6328C"/>
    <w:rsid w:val="00F64829"/>
    <w:rsid w:val="00F648CC"/>
    <w:rsid w:val="00F70BB9"/>
    <w:rsid w:val="00F713BF"/>
    <w:rsid w:val="00F71591"/>
    <w:rsid w:val="00F74B4F"/>
    <w:rsid w:val="00F75741"/>
    <w:rsid w:val="00F76F7B"/>
    <w:rsid w:val="00F773CB"/>
    <w:rsid w:val="00F77E2F"/>
    <w:rsid w:val="00F82B4E"/>
    <w:rsid w:val="00F832ED"/>
    <w:rsid w:val="00F83FD2"/>
    <w:rsid w:val="00F866EC"/>
    <w:rsid w:val="00F91FA1"/>
    <w:rsid w:val="00F92BFC"/>
    <w:rsid w:val="00F9537F"/>
    <w:rsid w:val="00F95807"/>
    <w:rsid w:val="00FA07BE"/>
    <w:rsid w:val="00FA0959"/>
    <w:rsid w:val="00FA1041"/>
    <w:rsid w:val="00FA2091"/>
    <w:rsid w:val="00FA21D9"/>
    <w:rsid w:val="00FA2D28"/>
    <w:rsid w:val="00FA3C6E"/>
    <w:rsid w:val="00FA3CAF"/>
    <w:rsid w:val="00FA4A08"/>
    <w:rsid w:val="00FA6106"/>
    <w:rsid w:val="00FA65A0"/>
    <w:rsid w:val="00FA6B7A"/>
    <w:rsid w:val="00FA74AF"/>
    <w:rsid w:val="00FB1F6B"/>
    <w:rsid w:val="00FB2DEE"/>
    <w:rsid w:val="00FB3A0C"/>
    <w:rsid w:val="00FB48A7"/>
    <w:rsid w:val="00FC00F9"/>
    <w:rsid w:val="00FC3481"/>
    <w:rsid w:val="00FC5414"/>
    <w:rsid w:val="00FC575A"/>
    <w:rsid w:val="00FC5CBF"/>
    <w:rsid w:val="00FC6722"/>
    <w:rsid w:val="00FD0F33"/>
    <w:rsid w:val="00FD2BC2"/>
    <w:rsid w:val="00FD5169"/>
    <w:rsid w:val="00FD57DC"/>
    <w:rsid w:val="00FD7D6D"/>
    <w:rsid w:val="00FE1543"/>
    <w:rsid w:val="00FE29CD"/>
    <w:rsid w:val="00FE3D74"/>
    <w:rsid w:val="00FE491F"/>
    <w:rsid w:val="00FE6DD9"/>
    <w:rsid w:val="00FE750C"/>
    <w:rsid w:val="00FE7CDB"/>
    <w:rsid w:val="00FF0077"/>
    <w:rsid w:val="00FF20B3"/>
    <w:rsid w:val="00FF30E3"/>
    <w:rsid w:val="00FF3272"/>
    <w:rsid w:val="00FF38D4"/>
    <w:rsid w:val="00FF3A6E"/>
    <w:rsid w:val="00FF5740"/>
    <w:rsid w:val="00FF5A44"/>
    <w:rsid w:val="00FF77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ADED"/>
  <w15:docId w15:val="{42A341A9-A108-4648-9B20-69D2888F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069"/>
    <w:pPr>
      <w:spacing w:after="200" w:line="276" w:lineRule="auto"/>
    </w:pPr>
  </w:style>
  <w:style w:type="paragraph" w:styleId="Heading2">
    <w:name w:val="heading 2"/>
    <w:basedOn w:val="Normal"/>
    <w:next w:val="Normal"/>
    <w:link w:val="Heading2Char"/>
    <w:uiPriority w:val="9"/>
    <w:semiHidden/>
    <w:unhideWhenUsed/>
    <w:qFormat/>
    <w:rsid w:val="004C6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2069"/>
    <w:pPr>
      <w:ind w:left="720"/>
      <w:contextualSpacing/>
    </w:pPr>
  </w:style>
  <w:style w:type="paragraph" w:styleId="Header">
    <w:name w:val="header"/>
    <w:basedOn w:val="Normal"/>
    <w:link w:val="HeaderChar"/>
    <w:unhideWhenUsed/>
    <w:rsid w:val="004F2069"/>
    <w:pPr>
      <w:tabs>
        <w:tab w:val="center" w:pos="4513"/>
        <w:tab w:val="right" w:pos="9026"/>
      </w:tabs>
      <w:spacing w:after="0" w:line="240" w:lineRule="auto"/>
    </w:pPr>
  </w:style>
  <w:style w:type="character" w:customStyle="1" w:styleId="HeaderChar">
    <w:name w:val="Header Char"/>
    <w:basedOn w:val="DefaultParagraphFont"/>
    <w:link w:val="Header"/>
    <w:rsid w:val="004F2069"/>
  </w:style>
  <w:style w:type="paragraph" w:customStyle="1" w:styleId="Default">
    <w:name w:val="Default"/>
    <w:rsid w:val="004F2069"/>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425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D8"/>
    <w:rPr>
      <w:rFonts w:ascii="Segoe UI" w:hAnsi="Segoe UI" w:cs="Segoe UI"/>
      <w:sz w:val="18"/>
      <w:szCs w:val="18"/>
    </w:rPr>
  </w:style>
  <w:style w:type="paragraph" w:styleId="FootnoteText">
    <w:name w:val="footnote text"/>
    <w:basedOn w:val="Normal"/>
    <w:link w:val="FootnoteTextChar"/>
    <w:uiPriority w:val="99"/>
    <w:semiHidden/>
    <w:unhideWhenUsed/>
    <w:rsid w:val="00812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1D4"/>
    <w:rPr>
      <w:sz w:val="20"/>
      <w:szCs w:val="20"/>
    </w:rPr>
  </w:style>
  <w:style w:type="character" w:styleId="FootnoteReference">
    <w:name w:val="footnote reference"/>
    <w:basedOn w:val="DefaultParagraphFont"/>
    <w:uiPriority w:val="99"/>
    <w:semiHidden/>
    <w:unhideWhenUsed/>
    <w:rsid w:val="008121D4"/>
    <w:rPr>
      <w:vertAlign w:val="superscript"/>
    </w:rPr>
  </w:style>
  <w:style w:type="character" w:styleId="CommentReference">
    <w:name w:val="annotation reference"/>
    <w:basedOn w:val="DefaultParagraphFont"/>
    <w:uiPriority w:val="99"/>
    <w:semiHidden/>
    <w:unhideWhenUsed/>
    <w:rsid w:val="0073384C"/>
    <w:rPr>
      <w:sz w:val="16"/>
      <w:szCs w:val="16"/>
    </w:rPr>
  </w:style>
  <w:style w:type="paragraph" w:styleId="CommentText">
    <w:name w:val="annotation text"/>
    <w:basedOn w:val="Normal"/>
    <w:link w:val="CommentTextChar"/>
    <w:uiPriority w:val="99"/>
    <w:semiHidden/>
    <w:unhideWhenUsed/>
    <w:rsid w:val="0073384C"/>
    <w:pPr>
      <w:spacing w:line="240" w:lineRule="auto"/>
    </w:pPr>
    <w:rPr>
      <w:sz w:val="20"/>
      <w:szCs w:val="20"/>
    </w:rPr>
  </w:style>
  <w:style w:type="character" w:customStyle="1" w:styleId="CommentTextChar">
    <w:name w:val="Comment Text Char"/>
    <w:basedOn w:val="DefaultParagraphFont"/>
    <w:link w:val="CommentText"/>
    <w:uiPriority w:val="99"/>
    <w:semiHidden/>
    <w:rsid w:val="0073384C"/>
    <w:rPr>
      <w:sz w:val="20"/>
      <w:szCs w:val="20"/>
    </w:rPr>
  </w:style>
  <w:style w:type="paragraph" w:styleId="CommentSubject">
    <w:name w:val="annotation subject"/>
    <w:basedOn w:val="CommentText"/>
    <w:next w:val="CommentText"/>
    <w:link w:val="CommentSubjectChar"/>
    <w:uiPriority w:val="99"/>
    <w:semiHidden/>
    <w:unhideWhenUsed/>
    <w:rsid w:val="0073384C"/>
    <w:rPr>
      <w:b/>
      <w:bCs/>
    </w:rPr>
  </w:style>
  <w:style w:type="character" w:customStyle="1" w:styleId="CommentSubjectChar">
    <w:name w:val="Comment Subject Char"/>
    <w:basedOn w:val="CommentTextChar"/>
    <w:link w:val="CommentSubject"/>
    <w:uiPriority w:val="99"/>
    <w:semiHidden/>
    <w:rsid w:val="0073384C"/>
    <w:rPr>
      <w:b/>
      <w:bCs/>
      <w:sz w:val="20"/>
      <w:szCs w:val="20"/>
    </w:rPr>
  </w:style>
  <w:style w:type="paragraph" w:styleId="Revision">
    <w:name w:val="Revision"/>
    <w:hidden/>
    <w:uiPriority w:val="99"/>
    <w:semiHidden/>
    <w:rsid w:val="006E0914"/>
    <w:pPr>
      <w:spacing w:after="0" w:line="240" w:lineRule="auto"/>
    </w:pPr>
  </w:style>
  <w:style w:type="paragraph" w:styleId="NormalWeb">
    <w:name w:val="Normal (Web)"/>
    <w:basedOn w:val="Normal"/>
    <w:uiPriority w:val="99"/>
    <w:unhideWhenUsed/>
    <w:rsid w:val="00673311"/>
    <w:rPr>
      <w:rFonts w:ascii="Times New Roman" w:hAnsi="Times New Roman" w:cs="Times New Roman"/>
      <w:sz w:val="24"/>
      <w:szCs w:val="24"/>
    </w:rPr>
  </w:style>
  <w:style w:type="paragraph" w:styleId="NoSpacing">
    <w:name w:val="No Spacing"/>
    <w:uiPriority w:val="1"/>
    <w:qFormat/>
    <w:rsid w:val="00D32DBA"/>
    <w:pPr>
      <w:spacing w:after="0" w:line="240" w:lineRule="auto"/>
    </w:pPr>
  </w:style>
  <w:style w:type="paragraph" w:customStyle="1" w:styleId="JUGMENTNUMBERED">
    <w:name w:val="JUGMENT NUMBERED"/>
    <w:basedOn w:val="Normal"/>
    <w:uiPriority w:val="99"/>
    <w:rsid w:val="008B658A"/>
    <w:pPr>
      <w:numPr>
        <w:numId w:val="15"/>
      </w:numPr>
      <w:spacing w:after="0" w:line="480" w:lineRule="auto"/>
      <w:jc w:val="both"/>
    </w:pPr>
    <w:rPr>
      <w:rFonts w:ascii="Times New Roman" w:eastAsia="Times New Roman" w:hAnsi="Times New Roman" w:cs="Times New Roman"/>
      <w:sz w:val="26"/>
      <w:szCs w:val="26"/>
      <w:lang w:eastAsia="en-ZA"/>
    </w:rPr>
  </w:style>
  <w:style w:type="character" w:customStyle="1" w:styleId="Heading2Char">
    <w:name w:val="Heading 2 Char"/>
    <w:basedOn w:val="DefaultParagraphFont"/>
    <w:link w:val="Heading2"/>
    <w:uiPriority w:val="9"/>
    <w:semiHidden/>
    <w:rsid w:val="004C68E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1018">
      <w:bodyDiv w:val="1"/>
      <w:marLeft w:val="0"/>
      <w:marRight w:val="0"/>
      <w:marTop w:val="0"/>
      <w:marBottom w:val="0"/>
      <w:divBdr>
        <w:top w:val="none" w:sz="0" w:space="0" w:color="auto"/>
        <w:left w:val="none" w:sz="0" w:space="0" w:color="auto"/>
        <w:bottom w:val="none" w:sz="0" w:space="0" w:color="auto"/>
        <w:right w:val="none" w:sz="0" w:space="0" w:color="auto"/>
      </w:divBdr>
    </w:div>
    <w:div w:id="188371217">
      <w:bodyDiv w:val="1"/>
      <w:marLeft w:val="0"/>
      <w:marRight w:val="0"/>
      <w:marTop w:val="0"/>
      <w:marBottom w:val="0"/>
      <w:divBdr>
        <w:top w:val="none" w:sz="0" w:space="0" w:color="auto"/>
        <w:left w:val="none" w:sz="0" w:space="0" w:color="auto"/>
        <w:bottom w:val="none" w:sz="0" w:space="0" w:color="auto"/>
        <w:right w:val="none" w:sz="0" w:space="0" w:color="auto"/>
      </w:divBdr>
    </w:div>
    <w:div w:id="269166317">
      <w:bodyDiv w:val="1"/>
      <w:marLeft w:val="0"/>
      <w:marRight w:val="0"/>
      <w:marTop w:val="0"/>
      <w:marBottom w:val="0"/>
      <w:divBdr>
        <w:top w:val="none" w:sz="0" w:space="0" w:color="auto"/>
        <w:left w:val="none" w:sz="0" w:space="0" w:color="auto"/>
        <w:bottom w:val="none" w:sz="0" w:space="0" w:color="auto"/>
        <w:right w:val="none" w:sz="0" w:space="0" w:color="auto"/>
      </w:divBdr>
    </w:div>
    <w:div w:id="867832153">
      <w:bodyDiv w:val="1"/>
      <w:marLeft w:val="0"/>
      <w:marRight w:val="0"/>
      <w:marTop w:val="0"/>
      <w:marBottom w:val="0"/>
      <w:divBdr>
        <w:top w:val="none" w:sz="0" w:space="0" w:color="auto"/>
        <w:left w:val="none" w:sz="0" w:space="0" w:color="auto"/>
        <w:bottom w:val="none" w:sz="0" w:space="0" w:color="auto"/>
        <w:right w:val="none" w:sz="0" w:space="0" w:color="auto"/>
      </w:divBdr>
    </w:div>
    <w:div w:id="922648267">
      <w:bodyDiv w:val="1"/>
      <w:marLeft w:val="0"/>
      <w:marRight w:val="0"/>
      <w:marTop w:val="0"/>
      <w:marBottom w:val="0"/>
      <w:divBdr>
        <w:top w:val="none" w:sz="0" w:space="0" w:color="auto"/>
        <w:left w:val="none" w:sz="0" w:space="0" w:color="auto"/>
        <w:bottom w:val="none" w:sz="0" w:space="0" w:color="auto"/>
        <w:right w:val="none" w:sz="0" w:space="0" w:color="auto"/>
      </w:divBdr>
    </w:div>
    <w:div w:id="955477994">
      <w:bodyDiv w:val="1"/>
      <w:marLeft w:val="0"/>
      <w:marRight w:val="0"/>
      <w:marTop w:val="0"/>
      <w:marBottom w:val="0"/>
      <w:divBdr>
        <w:top w:val="none" w:sz="0" w:space="0" w:color="auto"/>
        <w:left w:val="none" w:sz="0" w:space="0" w:color="auto"/>
        <w:bottom w:val="none" w:sz="0" w:space="0" w:color="auto"/>
        <w:right w:val="none" w:sz="0" w:space="0" w:color="auto"/>
      </w:divBdr>
    </w:div>
    <w:div w:id="1053387655">
      <w:bodyDiv w:val="1"/>
      <w:marLeft w:val="0"/>
      <w:marRight w:val="0"/>
      <w:marTop w:val="0"/>
      <w:marBottom w:val="0"/>
      <w:divBdr>
        <w:top w:val="none" w:sz="0" w:space="0" w:color="auto"/>
        <w:left w:val="none" w:sz="0" w:space="0" w:color="auto"/>
        <w:bottom w:val="none" w:sz="0" w:space="0" w:color="auto"/>
        <w:right w:val="none" w:sz="0" w:space="0" w:color="auto"/>
      </w:divBdr>
    </w:div>
    <w:div w:id="1308435805">
      <w:bodyDiv w:val="1"/>
      <w:marLeft w:val="0"/>
      <w:marRight w:val="0"/>
      <w:marTop w:val="0"/>
      <w:marBottom w:val="0"/>
      <w:divBdr>
        <w:top w:val="none" w:sz="0" w:space="0" w:color="auto"/>
        <w:left w:val="none" w:sz="0" w:space="0" w:color="auto"/>
        <w:bottom w:val="none" w:sz="0" w:space="0" w:color="auto"/>
        <w:right w:val="none" w:sz="0" w:space="0" w:color="auto"/>
      </w:divBdr>
    </w:div>
    <w:div w:id="1543404485">
      <w:bodyDiv w:val="1"/>
      <w:marLeft w:val="0"/>
      <w:marRight w:val="0"/>
      <w:marTop w:val="0"/>
      <w:marBottom w:val="0"/>
      <w:divBdr>
        <w:top w:val="none" w:sz="0" w:space="0" w:color="auto"/>
        <w:left w:val="none" w:sz="0" w:space="0" w:color="auto"/>
        <w:bottom w:val="none" w:sz="0" w:space="0" w:color="auto"/>
        <w:right w:val="none" w:sz="0" w:space="0" w:color="auto"/>
      </w:divBdr>
    </w:div>
    <w:div w:id="1599410868">
      <w:bodyDiv w:val="1"/>
      <w:marLeft w:val="0"/>
      <w:marRight w:val="0"/>
      <w:marTop w:val="0"/>
      <w:marBottom w:val="0"/>
      <w:divBdr>
        <w:top w:val="none" w:sz="0" w:space="0" w:color="auto"/>
        <w:left w:val="none" w:sz="0" w:space="0" w:color="auto"/>
        <w:bottom w:val="none" w:sz="0" w:space="0" w:color="auto"/>
        <w:right w:val="none" w:sz="0" w:space="0" w:color="auto"/>
      </w:divBdr>
    </w:div>
    <w:div w:id="1727949648">
      <w:bodyDiv w:val="1"/>
      <w:marLeft w:val="0"/>
      <w:marRight w:val="0"/>
      <w:marTop w:val="0"/>
      <w:marBottom w:val="0"/>
      <w:divBdr>
        <w:top w:val="none" w:sz="0" w:space="0" w:color="auto"/>
        <w:left w:val="none" w:sz="0" w:space="0" w:color="auto"/>
        <w:bottom w:val="none" w:sz="0" w:space="0" w:color="auto"/>
        <w:right w:val="none" w:sz="0" w:space="0" w:color="auto"/>
      </w:divBdr>
    </w:div>
    <w:div w:id="1927306310">
      <w:bodyDiv w:val="1"/>
      <w:marLeft w:val="0"/>
      <w:marRight w:val="0"/>
      <w:marTop w:val="0"/>
      <w:marBottom w:val="0"/>
      <w:divBdr>
        <w:top w:val="none" w:sz="0" w:space="0" w:color="auto"/>
        <w:left w:val="none" w:sz="0" w:space="0" w:color="auto"/>
        <w:bottom w:val="none" w:sz="0" w:space="0" w:color="auto"/>
        <w:right w:val="none" w:sz="0" w:space="0" w:color="auto"/>
      </w:divBdr>
    </w:div>
    <w:div w:id="1975942996">
      <w:bodyDiv w:val="1"/>
      <w:marLeft w:val="0"/>
      <w:marRight w:val="0"/>
      <w:marTop w:val="0"/>
      <w:marBottom w:val="0"/>
      <w:divBdr>
        <w:top w:val="none" w:sz="0" w:space="0" w:color="auto"/>
        <w:left w:val="none" w:sz="0" w:space="0" w:color="auto"/>
        <w:bottom w:val="none" w:sz="0" w:space="0" w:color="auto"/>
        <w:right w:val="none" w:sz="0" w:space="0" w:color="auto"/>
      </w:divBdr>
    </w:div>
    <w:div w:id="1995183788">
      <w:bodyDiv w:val="1"/>
      <w:marLeft w:val="0"/>
      <w:marRight w:val="0"/>
      <w:marTop w:val="0"/>
      <w:marBottom w:val="0"/>
      <w:divBdr>
        <w:top w:val="none" w:sz="0" w:space="0" w:color="auto"/>
        <w:left w:val="none" w:sz="0" w:space="0" w:color="auto"/>
        <w:bottom w:val="none" w:sz="0" w:space="0" w:color="auto"/>
        <w:right w:val="none" w:sz="0" w:space="0" w:color="auto"/>
      </w:divBdr>
    </w:div>
    <w:div w:id="20183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1825-32DC-416B-A2FA-2FF514E1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6715</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Judge-Halima Saldulker</dc:creator>
  <cp:lastModifiedBy>Ayanda Mdletshe</cp:lastModifiedBy>
  <cp:revision>2</cp:revision>
  <cp:lastPrinted>2022-06-20T10:01:00Z</cp:lastPrinted>
  <dcterms:created xsi:type="dcterms:W3CDTF">2022-06-21T09:09:00Z</dcterms:created>
  <dcterms:modified xsi:type="dcterms:W3CDTF">2022-06-21T09:09:00Z</dcterms:modified>
</cp:coreProperties>
</file>