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40EFC" w14:textId="77777777" w:rsidR="00093030" w:rsidRPr="0068087E" w:rsidRDefault="00093030" w:rsidP="00192993">
      <w:pPr>
        <w:adjustRightInd w:val="0"/>
        <w:snapToGrid w:val="0"/>
        <w:spacing w:before="120" w:after="120" w:line="360" w:lineRule="auto"/>
        <w:jc w:val="both"/>
        <w:rPr>
          <w:rFonts w:ascii="Arial" w:hAnsi="Arial" w:cs="Arial"/>
          <w:color w:val="000000" w:themeColor="text1"/>
        </w:rPr>
      </w:pPr>
    </w:p>
    <w:p w14:paraId="782FAD3D" w14:textId="77777777" w:rsidR="00093030" w:rsidRPr="0068087E" w:rsidRDefault="00093030" w:rsidP="00192993">
      <w:pPr>
        <w:adjustRightInd w:val="0"/>
        <w:snapToGrid w:val="0"/>
        <w:spacing w:before="120" w:after="120" w:line="360" w:lineRule="auto"/>
        <w:rPr>
          <w:rFonts w:ascii="Arial" w:hAnsi="Arial" w:cs="Arial"/>
          <w:b/>
          <w:bCs/>
          <w:color w:val="000000" w:themeColor="text1"/>
        </w:rPr>
      </w:pPr>
      <w:r w:rsidRPr="0068087E">
        <w:rPr>
          <w:rFonts w:ascii="Arial" w:hAnsi="Arial" w:cs="Arial"/>
          <w:color w:val="000000" w:themeColor="text1"/>
        </w:rPr>
        <w:tab/>
      </w:r>
      <w:r w:rsidRPr="0068087E">
        <w:rPr>
          <w:rFonts w:ascii="Arial" w:hAnsi="Arial" w:cs="Arial"/>
          <w:color w:val="000000" w:themeColor="text1"/>
        </w:rPr>
        <w:tab/>
      </w:r>
      <w:r w:rsidRPr="0068087E">
        <w:rPr>
          <w:rFonts w:ascii="Arial" w:hAnsi="Arial" w:cs="Arial"/>
          <w:color w:val="000000" w:themeColor="text1"/>
        </w:rPr>
        <w:tab/>
      </w:r>
    </w:p>
    <w:p w14:paraId="5815F93E" w14:textId="77777777" w:rsidR="00093030" w:rsidRPr="0068087E" w:rsidRDefault="00093030" w:rsidP="00192993">
      <w:pPr>
        <w:adjustRightInd w:val="0"/>
        <w:snapToGrid w:val="0"/>
        <w:spacing w:before="120" w:after="120" w:line="360" w:lineRule="auto"/>
        <w:jc w:val="center"/>
        <w:rPr>
          <w:rFonts w:ascii="Arial" w:hAnsi="Arial" w:cs="Arial"/>
          <w:b/>
          <w:bCs/>
          <w:color w:val="000000" w:themeColor="text1"/>
        </w:rPr>
      </w:pPr>
    </w:p>
    <w:p w14:paraId="5E079192" w14:textId="77777777" w:rsidR="00093030" w:rsidRPr="0068087E" w:rsidRDefault="00093030" w:rsidP="00192993">
      <w:pPr>
        <w:adjustRightInd w:val="0"/>
        <w:snapToGrid w:val="0"/>
        <w:spacing w:before="120" w:after="120" w:line="360" w:lineRule="auto"/>
        <w:jc w:val="center"/>
        <w:rPr>
          <w:rFonts w:ascii="Arial" w:hAnsi="Arial" w:cs="Arial"/>
          <w:b/>
          <w:bCs/>
          <w:color w:val="000000" w:themeColor="text1"/>
        </w:rPr>
      </w:pPr>
    </w:p>
    <w:p w14:paraId="636863E8" w14:textId="77777777" w:rsidR="00093030" w:rsidRPr="0083068D" w:rsidRDefault="00093030" w:rsidP="00192993">
      <w:pPr>
        <w:adjustRightInd w:val="0"/>
        <w:snapToGrid w:val="0"/>
        <w:spacing w:before="120" w:after="120" w:line="360" w:lineRule="auto"/>
        <w:jc w:val="center"/>
        <w:rPr>
          <w:rFonts w:ascii="Arial" w:hAnsi="Arial" w:cs="Arial"/>
          <w:b/>
          <w:bCs/>
          <w:color w:val="000000" w:themeColor="text1"/>
        </w:rPr>
      </w:pPr>
      <w:r w:rsidRPr="0083068D">
        <w:rPr>
          <w:rFonts w:ascii="Arial" w:hAnsi="Arial" w:cs="Arial"/>
          <w:noProof/>
          <w:color w:val="000000" w:themeColor="text1"/>
          <w:lang w:eastAsia="en-ZA"/>
        </w:rPr>
        <w:drawing>
          <wp:anchor distT="0" distB="0" distL="114300" distR="114300" simplePos="0" relativeHeight="251659264" behindDoc="0" locked="0" layoutInCell="1" allowOverlap="1" wp14:anchorId="52879A93" wp14:editId="3741CC20">
            <wp:simplePos x="0" y="0"/>
            <wp:positionH relativeFrom="column">
              <wp:align>center</wp:align>
            </wp:positionH>
            <wp:positionV relativeFrom="paragraph">
              <wp:posOffset>-683895</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36CD9B44" w14:textId="77777777" w:rsidR="00093030" w:rsidRPr="0083068D" w:rsidRDefault="00093030" w:rsidP="00192993">
      <w:pPr>
        <w:adjustRightInd w:val="0"/>
        <w:snapToGrid w:val="0"/>
        <w:spacing w:before="120" w:after="120" w:line="360" w:lineRule="auto"/>
        <w:jc w:val="center"/>
        <w:rPr>
          <w:rFonts w:ascii="Arial" w:hAnsi="Arial" w:cs="Arial"/>
          <w:b/>
          <w:bCs/>
          <w:color w:val="000000" w:themeColor="text1"/>
        </w:rPr>
      </w:pPr>
    </w:p>
    <w:p w14:paraId="08CA4D55" w14:textId="77777777" w:rsidR="00093030" w:rsidRPr="0083068D" w:rsidRDefault="00093030" w:rsidP="00192993">
      <w:pPr>
        <w:adjustRightInd w:val="0"/>
        <w:snapToGrid w:val="0"/>
        <w:spacing w:before="120" w:after="120" w:line="360" w:lineRule="auto"/>
        <w:jc w:val="center"/>
        <w:rPr>
          <w:rFonts w:ascii="Arial" w:hAnsi="Arial" w:cs="Arial"/>
          <w:b/>
          <w:bCs/>
          <w:color w:val="000000" w:themeColor="text1"/>
        </w:rPr>
      </w:pPr>
      <w:r w:rsidRPr="0083068D">
        <w:rPr>
          <w:rFonts w:ascii="Arial" w:hAnsi="Arial" w:cs="Arial"/>
          <w:b/>
          <w:bCs/>
          <w:color w:val="000000" w:themeColor="text1"/>
        </w:rPr>
        <w:t>THE SUPREME COURT OF APPEAL OF SOUTH AFRICA</w:t>
      </w:r>
    </w:p>
    <w:p w14:paraId="5405703F" w14:textId="77777777" w:rsidR="00093030" w:rsidRPr="0083068D" w:rsidRDefault="00093030" w:rsidP="00192993">
      <w:pPr>
        <w:pStyle w:val="Heading3"/>
        <w:adjustRightInd w:val="0"/>
        <w:snapToGrid w:val="0"/>
        <w:spacing w:before="120" w:after="120"/>
        <w:jc w:val="center"/>
        <w:rPr>
          <w:b/>
          <w:i w:val="0"/>
          <w:color w:val="000000" w:themeColor="text1"/>
          <w:sz w:val="24"/>
        </w:rPr>
      </w:pPr>
      <w:r w:rsidRPr="0083068D">
        <w:rPr>
          <w:b/>
          <w:i w:val="0"/>
          <w:color w:val="000000" w:themeColor="text1"/>
          <w:sz w:val="24"/>
        </w:rPr>
        <w:t>JUDGMENT</w:t>
      </w:r>
    </w:p>
    <w:p w14:paraId="6FB00DD4" w14:textId="77777777" w:rsidR="00093030" w:rsidRPr="0083068D" w:rsidRDefault="00093030" w:rsidP="00192993">
      <w:pPr>
        <w:adjustRightInd w:val="0"/>
        <w:snapToGrid w:val="0"/>
        <w:spacing w:before="120" w:after="120" w:line="360" w:lineRule="auto"/>
        <w:jc w:val="center"/>
        <w:rPr>
          <w:rFonts w:ascii="Arial" w:hAnsi="Arial" w:cs="Arial"/>
          <w:b/>
          <w:bCs/>
          <w:color w:val="000000" w:themeColor="text1"/>
        </w:rPr>
      </w:pPr>
      <w:r w:rsidRPr="0083068D">
        <w:rPr>
          <w:rFonts w:ascii="Arial" w:hAnsi="Arial" w:cs="Arial"/>
          <w:color w:val="000000" w:themeColor="text1"/>
        </w:rPr>
        <w:tab/>
      </w:r>
    </w:p>
    <w:p w14:paraId="500F8243" w14:textId="1F133391" w:rsidR="00093030" w:rsidRPr="0083068D" w:rsidRDefault="00093030" w:rsidP="00192993">
      <w:pPr>
        <w:adjustRightInd w:val="0"/>
        <w:snapToGrid w:val="0"/>
        <w:spacing w:before="120" w:after="120"/>
        <w:jc w:val="right"/>
        <w:rPr>
          <w:rFonts w:ascii="Arial" w:hAnsi="Arial" w:cs="Arial"/>
          <w:b/>
          <w:color w:val="000000" w:themeColor="text1"/>
        </w:rPr>
      </w:pPr>
      <w:r w:rsidRPr="0083068D">
        <w:rPr>
          <w:rFonts w:ascii="Arial" w:hAnsi="Arial" w:cs="Arial"/>
          <w:b/>
          <w:color w:val="000000" w:themeColor="text1"/>
        </w:rPr>
        <w:t>Reportable</w:t>
      </w:r>
    </w:p>
    <w:p w14:paraId="28D334D0" w14:textId="1943758F" w:rsidR="00093030" w:rsidRPr="0083068D" w:rsidRDefault="00093030" w:rsidP="00192993">
      <w:pPr>
        <w:adjustRightInd w:val="0"/>
        <w:snapToGrid w:val="0"/>
        <w:spacing w:before="120" w:after="120"/>
        <w:jc w:val="right"/>
        <w:rPr>
          <w:rFonts w:ascii="Arial" w:hAnsi="Arial" w:cs="Arial"/>
          <w:color w:val="000000" w:themeColor="text1"/>
        </w:rPr>
      </w:pPr>
      <w:r w:rsidRPr="0083068D">
        <w:rPr>
          <w:rFonts w:ascii="Arial" w:hAnsi="Arial" w:cs="Arial"/>
          <w:color w:val="000000" w:themeColor="text1"/>
        </w:rPr>
        <w:t xml:space="preserve">Case no: </w:t>
      </w:r>
      <w:r w:rsidR="0023548F" w:rsidRPr="0083068D">
        <w:rPr>
          <w:rFonts w:ascii="Arial" w:hAnsi="Arial" w:cs="Arial"/>
          <w:color w:val="000000" w:themeColor="text1"/>
        </w:rPr>
        <w:t>876</w:t>
      </w:r>
      <w:r w:rsidRPr="0083068D">
        <w:rPr>
          <w:rFonts w:ascii="Arial" w:hAnsi="Arial" w:cs="Arial"/>
          <w:color w:val="000000" w:themeColor="text1"/>
        </w:rPr>
        <w:t>/</w:t>
      </w:r>
      <w:r w:rsidR="00C80397" w:rsidRPr="0083068D">
        <w:rPr>
          <w:rFonts w:ascii="Arial" w:hAnsi="Arial" w:cs="Arial"/>
          <w:color w:val="000000" w:themeColor="text1"/>
        </w:rPr>
        <w:t>20</w:t>
      </w:r>
      <w:r w:rsidR="0023548F" w:rsidRPr="0083068D">
        <w:rPr>
          <w:rFonts w:ascii="Arial" w:hAnsi="Arial" w:cs="Arial"/>
          <w:color w:val="000000" w:themeColor="text1"/>
        </w:rPr>
        <w:t>20</w:t>
      </w:r>
    </w:p>
    <w:p w14:paraId="508B111A" w14:textId="77777777" w:rsidR="002E2B1C" w:rsidRPr="0083068D" w:rsidRDefault="002E2B1C" w:rsidP="00192993">
      <w:pPr>
        <w:adjustRightInd w:val="0"/>
        <w:snapToGrid w:val="0"/>
        <w:spacing w:before="120" w:after="120"/>
        <w:rPr>
          <w:rFonts w:ascii="Arial" w:hAnsi="Arial" w:cs="Arial"/>
          <w:color w:val="000000" w:themeColor="text1"/>
        </w:rPr>
      </w:pPr>
    </w:p>
    <w:p w14:paraId="3C8DB85D" w14:textId="4397C723" w:rsidR="00C80397" w:rsidRPr="0083068D" w:rsidRDefault="00093030" w:rsidP="00192993">
      <w:pPr>
        <w:adjustRightInd w:val="0"/>
        <w:snapToGrid w:val="0"/>
        <w:spacing w:before="120" w:after="120"/>
        <w:rPr>
          <w:rFonts w:ascii="Arial" w:hAnsi="Arial" w:cs="Arial"/>
          <w:color w:val="000000" w:themeColor="text1"/>
        </w:rPr>
      </w:pPr>
      <w:r w:rsidRPr="0083068D">
        <w:rPr>
          <w:rFonts w:ascii="Arial" w:hAnsi="Arial" w:cs="Arial"/>
          <w:color w:val="000000" w:themeColor="text1"/>
        </w:rPr>
        <w:t>In the matter between:</w:t>
      </w:r>
    </w:p>
    <w:p w14:paraId="45E992FA" w14:textId="77777777" w:rsidR="00CD3283" w:rsidRPr="0083068D" w:rsidRDefault="00CD3283" w:rsidP="00192993">
      <w:pPr>
        <w:adjustRightInd w:val="0"/>
        <w:snapToGrid w:val="0"/>
        <w:spacing w:before="120" w:after="120"/>
        <w:rPr>
          <w:rFonts w:ascii="Arial" w:hAnsi="Arial" w:cs="Arial"/>
          <w:b/>
          <w:bCs/>
          <w:color w:val="000000" w:themeColor="text1"/>
        </w:rPr>
      </w:pPr>
    </w:p>
    <w:p w14:paraId="29BC0822" w14:textId="3C89EF36" w:rsidR="00C80397" w:rsidRPr="0083068D" w:rsidRDefault="0023548F" w:rsidP="00192993">
      <w:pPr>
        <w:adjustRightInd w:val="0"/>
        <w:snapToGrid w:val="0"/>
        <w:spacing w:before="120" w:after="120"/>
        <w:rPr>
          <w:rFonts w:ascii="Arial" w:hAnsi="Arial" w:cs="Arial"/>
          <w:b/>
          <w:color w:val="000000" w:themeColor="text1"/>
        </w:rPr>
      </w:pPr>
      <w:r w:rsidRPr="0083068D">
        <w:rPr>
          <w:rFonts w:ascii="Arial" w:hAnsi="Arial" w:cs="Arial"/>
          <w:b/>
          <w:bCs/>
          <w:color w:val="000000" w:themeColor="text1"/>
        </w:rPr>
        <w:t>ENGEN PETROLEUM LIMITED</w:t>
      </w:r>
      <w:r w:rsidR="00093030" w:rsidRPr="0083068D">
        <w:rPr>
          <w:rFonts w:ascii="Arial" w:hAnsi="Arial" w:cs="Arial"/>
          <w:b/>
          <w:bCs/>
          <w:color w:val="000000" w:themeColor="text1"/>
        </w:rPr>
        <w:tab/>
      </w:r>
      <w:r w:rsidR="00093030" w:rsidRPr="0083068D">
        <w:rPr>
          <w:rFonts w:ascii="Arial" w:hAnsi="Arial" w:cs="Arial"/>
          <w:b/>
          <w:bCs/>
          <w:color w:val="000000" w:themeColor="text1"/>
        </w:rPr>
        <w:tab/>
      </w:r>
      <w:r w:rsidR="00093030" w:rsidRPr="0083068D">
        <w:rPr>
          <w:rFonts w:ascii="Arial" w:hAnsi="Arial" w:cs="Arial"/>
          <w:b/>
          <w:bCs/>
          <w:color w:val="000000" w:themeColor="text1"/>
        </w:rPr>
        <w:tab/>
      </w:r>
      <w:r w:rsidR="00093030" w:rsidRPr="0083068D">
        <w:rPr>
          <w:rFonts w:ascii="Arial" w:hAnsi="Arial" w:cs="Arial"/>
          <w:b/>
          <w:bCs/>
          <w:color w:val="000000" w:themeColor="text1"/>
        </w:rPr>
        <w:tab/>
        <w:t xml:space="preserve">      </w:t>
      </w:r>
      <w:r w:rsidR="004B2891" w:rsidRPr="0083068D">
        <w:rPr>
          <w:rFonts w:ascii="Arial" w:hAnsi="Arial" w:cs="Arial"/>
          <w:b/>
          <w:bCs/>
          <w:color w:val="000000" w:themeColor="text1"/>
        </w:rPr>
        <w:tab/>
      </w:r>
      <w:r w:rsidR="005F5868">
        <w:rPr>
          <w:rFonts w:ascii="Arial" w:hAnsi="Arial" w:cs="Arial"/>
          <w:b/>
          <w:bCs/>
          <w:color w:val="000000" w:themeColor="text1"/>
        </w:rPr>
        <w:t xml:space="preserve">           </w:t>
      </w:r>
      <w:r w:rsidR="00093030" w:rsidRPr="0083068D">
        <w:rPr>
          <w:rFonts w:ascii="Arial" w:hAnsi="Arial" w:cs="Arial"/>
          <w:b/>
          <w:color w:val="000000" w:themeColor="text1"/>
        </w:rPr>
        <w:t>APP</w:t>
      </w:r>
      <w:r w:rsidR="00E83E06" w:rsidRPr="0083068D">
        <w:rPr>
          <w:rFonts w:ascii="Arial" w:hAnsi="Arial" w:cs="Arial"/>
          <w:b/>
          <w:color w:val="000000" w:themeColor="text1"/>
        </w:rPr>
        <w:t>LICA</w:t>
      </w:r>
      <w:r w:rsidR="00093030" w:rsidRPr="0083068D">
        <w:rPr>
          <w:rFonts w:ascii="Arial" w:hAnsi="Arial" w:cs="Arial"/>
          <w:b/>
          <w:color w:val="000000" w:themeColor="text1"/>
        </w:rPr>
        <w:t>NT</w:t>
      </w:r>
    </w:p>
    <w:p w14:paraId="3946C260" w14:textId="77777777" w:rsidR="00CD3283" w:rsidRPr="0083068D" w:rsidRDefault="00CD3283" w:rsidP="00192993">
      <w:pPr>
        <w:adjustRightInd w:val="0"/>
        <w:snapToGrid w:val="0"/>
        <w:spacing w:before="120" w:after="120"/>
        <w:rPr>
          <w:rFonts w:ascii="Arial" w:hAnsi="Arial" w:cs="Arial"/>
          <w:color w:val="000000" w:themeColor="text1"/>
        </w:rPr>
      </w:pPr>
    </w:p>
    <w:p w14:paraId="5F69449A" w14:textId="2CB866A6" w:rsidR="00C80397" w:rsidRPr="0083068D" w:rsidRDefault="00093030" w:rsidP="00192993">
      <w:pPr>
        <w:adjustRightInd w:val="0"/>
        <w:snapToGrid w:val="0"/>
        <w:spacing w:before="120" w:after="120"/>
        <w:rPr>
          <w:rFonts w:ascii="Arial" w:hAnsi="Arial" w:cs="Arial"/>
          <w:color w:val="000000" w:themeColor="text1"/>
        </w:rPr>
      </w:pPr>
      <w:r w:rsidRPr="0083068D">
        <w:rPr>
          <w:rFonts w:ascii="Arial" w:hAnsi="Arial" w:cs="Arial"/>
          <w:color w:val="000000" w:themeColor="text1"/>
        </w:rPr>
        <w:t>and</w:t>
      </w:r>
    </w:p>
    <w:p w14:paraId="71982957" w14:textId="77777777" w:rsidR="00CD3283" w:rsidRPr="0083068D" w:rsidRDefault="00CD3283" w:rsidP="00192993">
      <w:pPr>
        <w:adjustRightInd w:val="0"/>
        <w:snapToGrid w:val="0"/>
        <w:spacing w:before="120" w:after="120"/>
        <w:rPr>
          <w:rFonts w:ascii="Arial" w:hAnsi="Arial" w:cs="Arial"/>
          <w:b/>
          <w:bCs/>
          <w:color w:val="000000" w:themeColor="text1"/>
        </w:rPr>
      </w:pPr>
    </w:p>
    <w:p w14:paraId="05C2A6F7" w14:textId="3BBFEB0F" w:rsidR="00093030" w:rsidRPr="0083068D" w:rsidRDefault="0023548F" w:rsidP="00192993">
      <w:pPr>
        <w:adjustRightInd w:val="0"/>
        <w:snapToGrid w:val="0"/>
        <w:spacing w:before="120" w:after="120"/>
        <w:rPr>
          <w:rFonts w:ascii="Arial" w:hAnsi="Arial" w:cs="Arial"/>
          <w:b/>
          <w:color w:val="000000" w:themeColor="text1"/>
        </w:rPr>
      </w:pPr>
      <w:r w:rsidRPr="0083068D">
        <w:rPr>
          <w:rFonts w:ascii="Arial" w:hAnsi="Arial" w:cs="Arial"/>
          <w:b/>
          <w:bCs/>
          <w:color w:val="000000" w:themeColor="text1"/>
        </w:rPr>
        <w:t>FLOTANK TRANSPORT (PTY) LTD</w:t>
      </w:r>
      <w:r w:rsidR="00C80397" w:rsidRPr="0083068D">
        <w:rPr>
          <w:rFonts w:ascii="Arial" w:hAnsi="Arial" w:cs="Arial"/>
          <w:b/>
          <w:bCs/>
          <w:color w:val="000000" w:themeColor="text1"/>
        </w:rPr>
        <w:t xml:space="preserve"> </w:t>
      </w:r>
      <w:r w:rsidR="00093030" w:rsidRPr="0083068D">
        <w:rPr>
          <w:rFonts w:ascii="Arial" w:hAnsi="Arial" w:cs="Arial"/>
          <w:b/>
          <w:bCs/>
          <w:color w:val="000000" w:themeColor="text1"/>
        </w:rPr>
        <w:tab/>
        <w:t xml:space="preserve"> </w:t>
      </w:r>
      <w:r w:rsidR="00C80397" w:rsidRPr="0083068D">
        <w:rPr>
          <w:rFonts w:ascii="Arial" w:hAnsi="Arial" w:cs="Arial"/>
          <w:b/>
          <w:bCs/>
          <w:color w:val="000000" w:themeColor="text1"/>
        </w:rPr>
        <w:tab/>
        <w:t xml:space="preserve">  </w:t>
      </w:r>
      <w:r w:rsidR="00C80397" w:rsidRPr="0083068D">
        <w:rPr>
          <w:rFonts w:ascii="Arial" w:hAnsi="Arial" w:cs="Arial"/>
          <w:b/>
          <w:bCs/>
          <w:color w:val="000000" w:themeColor="text1"/>
        </w:rPr>
        <w:tab/>
        <w:t xml:space="preserve">   </w:t>
      </w:r>
      <w:r w:rsidR="004B2891" w:rsidRPr="0083068D">
        <w:rPr>
          <w:rFonts w:ascii="Arial" w:hAnsi="Arial" w:cs="Arial"/>
          <w:b/>
          <w:bCs/>
          <w:color w:val="000000" w:themeColor="text1"/>
        </w:rPr>
        <w:tab/>
      </w:r>
      <w:r w:rsidR="005F5868">
        <w:rPr>
          <w:rFonts w:ascii="Arial" w:hAnsi="Arial" w:cs="Arial"/>
          <w:b/>
          <w:bCs/>
          <w:color w:val="000000" w:themeColor="text1"/>
        </w:rPr>
        <w:t xml:space="preserve">       </w:t>
      </w:r>
      <w:r w:rsidR="00093030" w:rsidRPr="0083068D">
        <w:rPr>
          <w:rFonts w:ascii="Arial" w:hAnsi="Arial" w:cs="Arial"/>
          <w:b/>
          <w:color w:val="000000" w:themeColor="text1"/>
        </w:rPr>
        <w:t>RESPONDENT</w:t>
      </w:r>
    </w:p>
    <w:p w14:paraId="49BDCAB0" w14:textId="77777777" w:rsidR="00093030" w:rsidRPr="0083068D" w:rsidRDefault="00093030" w:rsidP="00192993">
      <w:pPr>
        <w:pStyle w:val="FootnoteText"/>
        <w:adjustRightInd w:val="0"/>
        <w:snapToGrid w:val="0"/>
        <w:spacing w:before="120" w:after="120"/>
        <w:rPr>
          <w:rFonts w:ascii="Arial" w:hAnsi="Arial" w:cs="Arial"/>
          <w:color w:val="000000" w:themeColor="text1"/>
          <w:sz w:val="24"/>
          <w:szCs w:val="24"/>
        </w:rPr>
      </w:pPr>
    </w:p>
    <w:p w14:paraId="5B744E50" w14:textId="77777777" w:rsidR="00192993" w:rsidRPr="0083068D" w:rsidRDefault="00192993" w:rsidP="00192993">
      <w:pPr>
        <w:adjustRightInd w:val="0"/>
        <w:snapToGrid w:val="0"/>
        <w:spacing w:before="120" w:after="120"/>
        <w:ind w:left="2160" w:hanging="2160"/>
        <w:rPr>
          <w:rFonts w:ascii="Arial" w:hAnsi="Arial" w:cs="Arial"/>
          <w:b/>
          <w:bCs/>
          <w:color w:val="000000" w:themeColor="text1"/>
        </w:rPr>
      </w:pPr>
    </w:p>
    <w:p w14:paraId="11159975" w14:textId="27CA7A82" w:rsidR="00093030" w:rsidRPr="0083068D" w:rsidRDefault="00093030" w:rsidP="00192993">
      <w:pPr>
        <w:adjustRightInd w:val="0"/>
        <w:snapToGrid w:val="0"/>
        <w:spacing w:before="120" w:after="120"/>
        <w:ind w:left="2160" w:hanging="2160"/>
        <w:rPr>
          <w:rFonts w:ascii="Arial" w:hAnsi="Arial" w:cs="Arial"/>
          <w:bCs/>
          <w:color w:val="000000" w:themeColor="text1"/>
        </w:rPr>
      </w:pPr>
      <w:r w:rsidRPr="0083068D">
        <w:rPr>
          <w:rFonts w:ascii="Arial" w:hAnsi="Arial" w:cs="Arial"/>
          <w:b/>
          <w:bCs/>
          <w:color w:val="000000" w:themeColor="text1"/>
        </w:rPr>
        <w:t>Neutral citation:</w:t>
      </w:r>
      <w:r w:rsidRPr="0083068D">
        <w:rPr>
          <w:rFonts w:ascii="Arial" w:hAnsi="Arial" w:cs="Arial"/>
          <w:b/>
          <w:bCs/>
          <w:color w:val="000000" w:themeColor="text1"/>
        </w:rPr>
        <w:tab/>
      </w:r>
      <w:bookmarkStart w:id="0" w:name="_Hlk105747372"/>
      <w:bookmarkStart w:id="1" w:name="_GoBack"/>
      <w:r w:rsidR="0023548F" w:rsidRPr="0083068D">
        <w:rPr>
          <w:rFonts w:ascii="Arial" w:hAnsi="Arial" w:cs="Arial"/>
          <w:bCs/>
          <w:i/>
          <w:color w:val="000000" w:themeColor="text1"/>
        </w:rPr>
        <w:t>Engen Petroleum Ltd</w:t>
      </w:r>
      <w:r w:rsidRPr="0083068D">
        <w:rPr>
          <w:rFonts w:ascii="Arial" w:hAnsi="Arial" w:cs="Arial"/>
          <w:bCs/>
          <w:i/>
          <w:color w:val="000000" w:themeColor="text1"/>
        </w:rPr>
        <w:t xml:space="preserve"> v </w:t>
      </w:r>
      <w:r w:rsidR="0023548F" w:rsidRPr="0083068D">
        <w:rPr>
          <w:rFonts w:ascii="Arial" w:hAnsi="Arial" w:cs="Arial"/>
          <w:bCs/>
          <w:i/>
          <w:color w:val="000000" w:themeColor="text1"/>
        </w:rPr>
        <w:t>Flotank Transport (Pty) Ltd</w:t>
      </w:r>
      <w:bookmarkEnd w:id="0"/>
      <w:r w:rsidR="0023548F" w:rsidRPr="0083068D">
        <w:rPr>
          <w:rFonts w:ascii="Arial" w:hAnsi="Arial" w:cs="Arial"/>
          <w:bCs/>
          <w:i/>
          <w:color w:val="000000" w:themeColor="text1"/>
        </w:rPr>
        <w:t xml:space="preserve"> </w:t>
      </w:r>
      <w:r w:rsidRPr="0083068D">
        <w:rPr>
          <w:rFonts w:ascii="Arial" w:hAnsi="Arial" w:cs="Arial"/>
          <w:bCs/>
          <w:color w:val="000000" w:themeColor="text1"/>
        </w:rPr>
        <w:t>(</w:t>
      </w:r>
      <w:r w:rsidR="0023548F" w:rsidRPr="0083068D">
        <w:rPr>
          <w:rFonts w:ascii="Arial" w:hAnsi="Arial" w:cs="Arial"/>
          <w:bCs/>
          <w:color w:val="000000" w:themeColor="text1"/>
        </w:rPr>
        <w:t>876</w:t>
      </w:r>
      <w:r w:rsidRPr="0083068D">
        <w:rPr>
          <w:rFonts w:ascii="Arial" w:hAnsi="Arial" w:cs="Arial"/>
          <w:bCs/>
          <w:color w:val="000000" w:themeColor="text1"/>
        </w:rPr>
        <w:t>/</w:t>
      </w:r>
      <w:r w:rsidR="00C80397" w:rsidRPr="0083068D">
        <w:rPr>
          <w:rFonts w:ascii="Arial" w:hAnsi="Arial" w:cs="Arial"/>
          <w:bCs/>
          <w:color w:val="000000" w:themeColor="text1"/>
        </w:rPr>
        <w:t>20</w:t>
      </w:r>
      <w:r w:rsidR="00A51F4A">
        <w:rPr>
          <w:rFonts w:ascii="Arial" w:hAnsi="Arial" w:cs="Arial"/>
          <w:bCs/>
          <w:color w:val="000000" w:themeColor="text1"/>
        </w:rPr>
        <w:t>) [</w:t>
      </w:r>
      <w:r w:rsidR="00A51F4A" w:rsidRPr="00E04B85">
        <w:rPr>
          <w:rFonts w:ascii="Arial" w:hAnsi="Arial" w:cs="Arial"/>
          <w:bCs/>
          <w:color w:val="000000" w:themeColor="text1"/>
        </w:rPr>
        <w:t>2022] ZASCA 98</w:t>
      </w:r>
      <w:r w:rsidRPr="00E04B85">
        <w:rPr>
          <w:rFonts w:ascii="Arial" w:hAnsi="Arial" w:cs="Arial"/>
          <w:bCs/>
          <w:color w:val="000000" w:themeColor="text1"/>
        </w:rPr>
        <w:t xml:space="preserve"> </w:t>
      </w:r>
      <w:r w:rsidR="004F1D84" w:rsidRPr="00E04B85">
        <w:rPr>
          <w:rFonts w:ascii="Arial" w:hAnsi="Arial" w:cs="Arial"/>
          <w:bCs/>
          <w:color w:val="000000" w:themeColor="text1"/>
        </w:rPr>
        <w:t>(</w:t>
      </w:r>
      <w:r w:rsidR="00A51F4A" w:rsidRPr="00E04B85">
        <w:rPr>
          <w:rFonts w:ascii="Arial" w:hAnsi="Arial" w:cs="Arial"/>
          <w:bCs/>
          <w:color w:val="000000" w:themeColor="text1"/>
        </w:rPr>
        <w:t xml:space="preserve">21 June </w:t>
      </w:r>
      <w:r w:rsidR="004F1D84" w:rsidRPr="00E04B85">
        <w:rPr>
          <w:rFonts w:ascii="Arial" w:hAnsi="Arial" w:cs="Arial"/>
          <w:bCs/>
          <w:color w:val="000000" w:themeColor="text1"/>
        </w:rPr>
        <w:t>2022)</w:t>
      </w:r>
      <w:bookmarkEnd w:id="1"/>
    </w:p>
    <w:p w14:paraId="5F958050" w14:textId="77777777" w:rsidR="00661DA4" w:rsidRPr="0083068D" w:rsidRDefault="00661DA4" w:rsidP="00192993">
      <w:pPr>
        <w:adjustRightInd w:val="0"/>
        <w:snapToGrid w:val="0"/>
        <w:spacing w:before="120" w:after="120"/>
        <w:ind w:left="2160" w:hanging="2160"/>
        <w:rPr>
          <w:rFonts w:ascii="Arial" w:hAnsi="Arial" w:cs="Arial"/>
          <w:color w:val="000000" w:themeColor="text1"/>
        </w:rPr>
      </w:pPr>
    </w:p>
    <w:p w14:paraId="04ACD6FA" w14:textId="05685DE0" w:rsidR="00093030" w:rsidRPr="0083068D" w:rsidRDefault="00093030" w:rsidP="00192993">
      <w:pPr>
        <w:adjustRightInd w:val="0"/>
        <w:snapToGrid w:val="0"/>
        <w:spacing w:before="120" w:after="120"/>
        <w:ind w:left="1440" w:hanging="1440"/>
        <w:jc w:val="both"/>
        <w:rPr>
          <w:rFonts w:ascii="Arial" w:hAnsi="Arial" w:cs="Arial"/>
          <w:color w:val="000000" w:themeColor="text1"/>
        </w:rPr>
      </w:pPr>
      <w:r w:rsidRPr="0083068D">
        <w:rPr>
          <w:rFonts w:ascii="Arial" w:hAnsi="Arial" w:cs="Arial"/>
          <w:b/>
          <w:bCs/>
          <w:color w:val="000000" w:themeColor="text1"/>
        </w:rPr>
        <w:t>Coram:</w:t>
      </w:r>
      <w:r w:rsidRPr="0083068D">
        <w:rPr>
          <w:rFonts w:ascii="Arial" w:hAnsi="Arial" w:cs="Arial"/>
          <w:color w:val="000000" w:themeColor="text1"/>
        </w:rPr>
        <w:tab/>
      </w:r>
      <w:r w:rsidR="0023548F" w:rsidRPr="0083068D">
        <w:rPr>
          <w:rFonts w:ascii="Arial" w:hAnsi="Arial" w:cs="Arial"/>
          <w:color w:val="000000" w:themeColor="text1"/>
        </w:rPr>
        <w:t>MAYA P</w:t>
      </w:r>
      <w:r w:rsidR="00C80397" w:rsidRPr="0083068D">
        <w:rPr>
          <w:rFonts w:ascii="Arial" w:hAnsi="Arial" w:cs="Arial"/>
          <w:color w:val="000000" w:themeColor="text1"/>
        </w:rPr>
        <w:t>,</w:t>
      </w:r>
      <w:r w:rsidR="0023548F" w:rsidRPr="0083068D">
        <w:rPr>
          <w:rFonts w:ascii="Arial" w:hAnsi="Arial" w:cs="Arial"/>
          <w:color w:val="000000" w:themeColor="text1"/>
        </w:rPr>
        <w:t xml:space="preserve"> ZONDI, MAKGOKA JJA, MEYER</w:t>
      </w:r>
      <w:r w:rsidR="00C80397" w:rsidRPr="0083068D">
        <w:rPr>
          <w:rFonts w:ascii="Arial" w:hAnsi="Arial" w:cs="Arial"/>
          <w:color w:val="000000" w:themeColor="text1"/>
        </w:rPr>
        <w:t xml:space="preserve"> </w:t>
      </w:r>
      <w:r w:rsidR="0023548F" w:rsidRPr="0083068D">
        <w:rPr>
          <w:rFonts w:ascii="Arial" w:hAnsi="Arial" w:cs="Arial"/>
          <w:color w:val="000000" w:themeColor="text1"/>
        </w:rPr>
        <w:t xml:space="preserve">AND </w:t>
      </w:r>
      <w:r w:rsidR="00C80397" w:rsidRPr="0083068D">
        <w:rPr>
          <w:rFonts w:ascii="Arial" w:hAnsi="Arial" w:cs="Arial"/>
          <w:color w:val="000000" w:themeColor="text1"/>
        </w:rPr>
        <w:t xml:space="preserve">SAVAGE </w:t>
      </w:r>
      <w:r w:rsidRPr="0083068D">
        <w:rPr>
          <w:rFonts w:ascii="Arial" w:hAnsi="Arial" w:cs="Arial"/>
          <w:color w:val="000000" w:themeColor="text1"/>
        </w:rPr>
        <w:t>A</w:t>
      </w:r>
      <w:r w:rsidR="00C80397" w:rsidRPr="0083068D">
        <w:rPr>
          <w:rFonts w:ascii="Arial" w:hAnsi="Arial" w:cs="Arial"/>
          <w:color w:val="000000" w:themeColor="text1"/>
        </w:rPr>
        <w:t>J</w:t>
      </w:r>
      <w:r w:rsidR="0023548F" w:rsidRPr="0083068D">
        <w:rPr>
          <w:rFonts w:ascii="Arial" w:hAnsi="Arial" w:cs="Arial"/>
          <w:color w:val="000000" w:themeColor="text1"/>
        </w:rPr>
        <w:t>J</w:t>
      </w:r>
      <w:r w:rsidR="00C80397" w:rsidRPr="0083068D">
        <w:rPr>
          <w:rFonts w:ascii="Arial" w:hAnsi="Arial" w:cs="Arial"/>
          <w:color w:val="000000" w:themeColor="text1"/>
        </w:rPr>
        <w:t>A</w:t>
      </w:r>
    </w:p>
    <w:p w14:paraId="0FE60191" w14:textId="77777777" w:rsidR="00661DA4" w:rsidRPr="0083068D" w:rsidRDefault="00661DA4" w:rsidP="00192993">
      <w:pPr>
        <w:adjustRightInd w:val="0"/>
        <w:snapToGrid w:val="0"/>
        <w:spacing w:before="120" w:after="120"/>
        <w:ind w:left="1440" w:hanging="1440"/>
        <w:jc w:val="both"/>
        <w:rPr>
          <w:rFonts w:ascii="Arial" w:hAnsi="Arial" w:cs="Arial"/>
          <w:b/>
          <w:bCs/>
          <w:i/>
          <w:iCs/>
          <w:color w:val="000000" w:themeColor="text1"/>
        </w:rPr>
      </w:pPr>
    </w:p>
    <w:p w14:paraId="021C0132" w14:textId="4595A40F" w:rsidR="002E2B1C" w:rsidRPr="0083068D" w:rsidRDefault="00093030" w:rsidP="00192993">
      <w:pPr>
        <w:adjustRightInd w:val="0"/>
        <w:snapToGrid w:val="0"/>
        <w:spacing w:before="120" w:after="120"/>
        <w:rPr>
          <w:rFonts w:ascii="Arial" w:hAnsi="Arial" w:cs="Arial"/>
          <w:b/>
          <w:bCs/>
          <w:color w:val="000000" w:themeColor="text1"/>
        </w:rPr>
      </w:pPr>
      <w:r w:rsidRPr="0083068D">
        <w:rPr>
          <w:rFonts w:ascii="Arial" w:hAnsi="Arial" w:cs="Arial"/>
          <w:b/>
          <w:bCs/>
          <w:color w:val="000000" w:themeColor="text1"/>
        </w:rPr>
        <w:t>Heard</w:t>
      </w:r>
      <w:r w:rsidRPr="0083068D">
        <w:rPr>
          <w:rFonts w:ascii="Arial" w:hAnsi="Arial" w:cs="Arial"/>
          <w:color w:val="000000" w:themeColor="text1"/>
        </w:rPr>
        <w:t>:</w:t>
      </w:r>
      <w:r w:rsidRPr="0083068D">
        <w:rPr>
          <w:rFonts w:ascii="Arial" w:hAnsi="Arial" w:cs="Arial"/>
          <w:color w:val="000000" w:themeColor="text1"/>
        </w:rPr>
        <w:tab/>
      </w:r>
      <w:r w:rsidR="0023548F" w:rsidRPr="0083068D">
        <w:rPr>
          <w:rFonts w:ascii="Arial" w:hAnsi="Arial" w:cs="Arial"/>
          <w:color w:val="000000" w:themeColor="text1"/>
        </w:rPr>
        <w:t>2</w:t>
      </w:r>
      <w:r w:rsidR="00C80397" w:rsidRPr="0083068D">
        <w:rPr>
          <w:rFonts w:ascii="Arial" w:hAnsi="Arial" w:cs="Arial"/>
          <w:color w:val="000000" w:themeColor="text1"/>
        </w:rPr>
        <w:t xml:space="preserve">3 May </w:t>
      </w:r>
      <w:r w:rsidRPr="0083068D">
        <w:rPr>
          <w:rFonts w:ascii="Arial" w:hAnsi="Arial" w:cs="Arial"/>
          <w:color w:val="000000" w:themeColor="text1"/>
        </w:rPr>
        <w:t>202</w:t>
      </w:r>
      <w:r w:rsidR="00C80397" w:rsidRPr="0083068D">
        <w:rPr>
          <w:rFonts w:ascii="Arial" w:hAnsi="Arial" w:cs="Arial"/>
          <w:color w:val="000000" w:themeColor="text1"/>
        </w:rPr>
        <w:t>2</w:t>
      </w:r>
    </w:p>
    <w:p w14:paraId="18C39F5B" w14:textId="77777777" w:rsidR="00192993" w:rsidRPr="0083068D" w:rsidRDefault="00192993" w:rsidP="00192993">
      <w:pPr>
        <w:adjustRightInd w:val="0"/>
        <w:snapToGrid w:val="0"/>
        <w:spacing w:before="120" w:after="120"/>
        <w:rPr>
          <w:rFonts w:ascii="Arial" w:hAnsi="Arial" w:cs="Arial"/>
          <w:b/>
          <w:bCs/>
          <w:color w:val="000000" w:themeColor="text1"/>
        </w:rPr>
      </w:pPr>
    </w:p>
    <w:p w14:paraId="60140833" w14:textId="7F532D0E" w:rsidR="00093030" w:rsidRPr="0083068D" w:rsidRDefault="00093030" w:rsidP="00192993">
      <w:pPr>
        <w:adjustRightInd w:val="0"/>
        <w:snapToGrid w:val="0"/>
        <w:spacing w:before="120" w:after="120"/>
        <w:rPr>
          <w:rFonts w:ascii="Arial" w:hAnsi="Arial" w:cs="Arial"/>
          <w:b/>
          <w:bCs/>
          <w:color w:val="000000" w:themeColor="text1"/>
        </w:rPr>
      </w:pPr>
      <w:r w:rsidRPr="0083068D">
        <w:rPr>
          <w:rFonts w:ascii="Arial" w:hAnsi="Arial" w:cs="Arial"/>
          <w:b/>
          <w:bCs/>
          <w:color w:val="000000" w:themeColor="text1"/>
        </w:rPr>
        <w:t>Delivered</w:t>
      </w:r>
      <w:r w:rsidRPr="0083068D">
        <w:rPr>
          <w:rFonts w:ascii="Arial" w:hAnsi="Arial" w:cs="Arial"/>
          <w:color w:val="000000" w:themeColor="text1"/>
        </w:rPr>
        <w:t>:</w:t>
      </w:r>
      <w:r w:rsidRPr="0083068D">
        <w:rPr>
          <w:rFonts w:ascii="Arial" w:hAnsi="Arial" w:cs="Arial"/>
          <w:color w:val="000000" w:themeColor="text1"/>
        </w:rPr>
        <w:tab/>
      </w:r>
      <w:r w:rsidR="00A51F4A" w:rsidRPr="00E04B85">
        <w:rPr>
          <w:rFonts w:ascii="Arial" w:hAnsi="Arial" w:cs="Arial"/>
          <w:color w:val="000000" w:themeColor="text1"/>
        </w:rPr>
        <w:t>21</w:t>
      </w:r>
      <w:r w:rsidR="005D440E" w:rsidRPr="0083068D">
        <w:rPr>
          <w:rFonts w:ascii="Arial" w:hAnsi="Arial" w:cs="Arial"/>
          <w:color w:val="000000" w:themeColor="text1"/>
        </w:rPr>
        <w:t xml:space="preserve"> June</w:t>
      </w:r>
      <w:r w:rsidR="00C80397" w:rsidRPr="0083068D">
        <w:rPr>
          <w:rFonts w:ascii="Arial" w:hAnsi="Arial" w:cs="Arial"/>
          <w:color w:val="000000" w:themeColor="text1"/>
        </w:rPr>
        <w:t xml:space="preserve"> </w:t>
      </w:r>
      <w:r w:rsidRPr="0083068D">
        <w:rPr>
          <w:rFonts w:ascii="Arial" w:hAnsi="Arial" w:cs="Arial"/>
          <w:color w:val="000000" w:themeColor="text1"/>
        </w:rPr>
        <w:t>202</w:t>
      </w:r>
      <w:r w:rsidR="00C80397" w:rsidRPr="0083068D">
        <w:rPr>
          <w:rFonts w:ascii="Arial" w:hAnsi="Arial" w:cs="Arial"/>
          <w:color w:val="000000" w:themeColor="text1"/>
        </w:rPr>
        <w:t>2</w:t>
      </w:r>
    </w:p>
    <w:p w14:paraId="0EF63B1E" w14:textId="413C7F01" w:rsidR="00093030" w:rsidRPr="0083068D" w:rsidRDefault="00093030" w:rsidP="00192993">
      <w:pPr>
        <w:pStyle w:val="western"/>
        <w:pBdr>
          <w:bottom w:val="single" w:sz="12" w:space="1" w:color="auto"/>
        </w:pBdr>
        <w:adjustRightInd w:val="0"/>
        <w:snapToGrid w:val="0"/>
        <w:spacing w:before="120" w:beforeAutospacing="0" w:after="120" w:afterAutospacing="0" w:line="360" w:lineRule="auto"/>
        <w:jc w:val="both"/>
        <w:rPr>
          <w:rFonts w:ascii="Arial" w:hAnsi="Arial" w:cs="Arial"/>
          <w:color w:val="000000" w:themeColor="text1"/>
          <w:lang w:val="en-GB"/>
        </w:rPr>
      </w:pPr>
      <w:r w:rsidRPr="0083068D">
        <w:rPr>
          <w:rFonts w:ascii="Arial" w:hAnsi="Arial" w:cs="Arial"/>
          <w:b/>
          <w:bCs/>
          <w:color w:val="000000" w:themeColor="text1"/>
        </w:rPr>
        <w:lastRenderedPageBreak/>
        <w:t>Summary:</w:t>
      </w:r>
      <w:r w:rsidR="00414E6D" w:rsidRPr="0083068D">
        <w:rPr>
          <w:rFonts w:ascii="Arial" w:hAnsi="Arial" w:cs="Arial"/>
          <w:color w:val="000000" w:themeColor="text1"/>
          <w:lang w:val="en-GB"/>
        </w:rPr>
        <w:t xml:space="preserve"> </w:t>
      </w:r>
      <w:r w:rsidR="0031461C" w:rsidRPr="0083068D">
        <w:rPr>
          <w:rFonts w:ascii="Arial" w:hAnsi="Arial" w:cs="Arial"/>
          <w:color w:val="000000" w:themeColor="text1"/>
          <w:lang w:val="en-GB"/>
        </w:rPr>
        <w:t>Interpretation of c</w:t>
      </w:r>
      <w:r w:rsidR="004E5733" w:rsidRPr="0083068D">
        <w:rPr>
          <w:rFonts w:ascii="Arial" w:hAnsi="Arial" w:cs="Arial"/>
          <w:color w:val="000000" w:themeColor="text1"/>
          <w:lang w:val="en-GB"/>
        </w:rPr>
        <w:t>ession</w:t>
      </w:r>
      <w:r w:rsidR="0031461C" w:rsidRPr="0083068D">
        <w:rPr>
          <w:rFonts w:ascii="Arial" w:hAnsi="Arial" w:cs="Arial"/>
          <w:i/>
          <w:iCs/>
          <w:color w:val="000000" w:themeColor="text1"/>
          <w:lang w:val="en-GB"/>
        </w:rPr>
        <w:t xml:space="preserve"> </w:t>
      </w:r>
      <w:r w:rsidR="00CB03A6" w:rsidRPr="0083068D">
        <w:rPr>
          <w:rFonts w:ascii="Arial" w:hAnsi="Arial" w:cs="Arial"/>
          <w:color w:val="000000" w:themeColor="text1"/>
          <w:lang w:val="en-GB"/>
        </w:rPr>
        <w:t xml:space="preserve">– </w:t>
      </w:r>
      <w:r w:rsidR="0031461C" w:rsidRPr="0083068D">
        <w:rPr>
          <w:rFonts w:ascii="Arial" w:hAnsi="Arial" w:cs="Arial"/>
          <w:color w:val="000000" w:themeColor="text1"/>
          <w:lang w:val="en-GB"/>
        </w:rPr>
        <w:t xml:space="preserve">whether a pledge or out-and-out </w:t>
      </w:r>
      <w:r w:rsidR="00CB03A6" w:rsidRPr="0083068D">
        <w:rPr>
          <w:rFonts w:ascii="Arial" w:hAnsi="Arial" w:cs="Arial"/>
          <w:color w:val="000000" w:themeColor="text1"/>
          <w:lang w:val="en-GB"/>
        </w:rPr>
        <w:t xml:space="preserve">cession </w:t>
      </w:r>
      <w:r w:rsidR="0031461C" w:rsidRPr="0083068D">
        <w:rPr>
          <w:rFonts w:ascii="Arial" w:hAnsi="Arial" w:cs="Arial"/>
          <w:color w:val="000000" w:themeColor="text1"/>
          <w:lang w:val="en-GB"/>
        </w:rPr>
        <w:t xml:space="preserve">incorporating a </w:t>
      </w:r>
      <w:r w:rsidR="004E5733" w:rsidRPr="0083068D">
        <w:rPr>
          <w:rFonts w:ascii="Arial" w:hAnsi="Arial" w:cs="Arial"/>
          <w:i/>
          <w:iCs/>
          <w:color w:val="000000" w:themeColor="text1"/>
          <w:lang w:val="en-GB"/>
        </w:rPr>
        <w:t>pactum fiduciae</w:t>
      </w:r>
      <w:r w:rsidR="004E5733" w:rsidRPr="0083068D">
        <w:rPr>
          <w:rFonts w:ascii="Arial" w:hAnsi="Arial" w:cs="Arial"/>
          <w:color w:val="000000" w:themeColor="text1"/>
          <w:lang w:val="en-GB"/>
        </w:rPr>
        <w:t xml:space="preserve"> – </w:t>
      </w:r>
      <w:r w:rsidR="0031461C" w:rsidRPr="0083068D">
        <w:rPr>
          <w:rFonts w:ascii="Arial" w:hAnsi="Arial" w:cs="Arial"/>
          <w:color w:val="000000" w:themeColor="text1"/>
          <w:lang w:val="en-GB"/>
        </w:rPr>
        <w:t>effect of out-and-out cession on ceded debts upon liquidation of cedent</w:t>
      </w:r>
      <w:r w:rsidR="00CB03A6" w:rsidRPr="0083068D">
        <w:rPr>
          <w:rFonts w:ascii="Arial" w:hAnsi="Arial" w:cs="Arial"/>
          <w:color w:val="000000" w:themeColor="text1"/>
          <w:lang w:val="en-GB"/>
        </w:rPr>
        <w:t xml:space="preserve"> – appeal upheld with costs</w:t>
      </w:r>
      <w:r w:rsidR="00414E6D" w:rsidRPr="0083068D">
        <w:rPr>
          <w:rFonts w:ascii="Arial" w:hAnsi="Arial" w:cs="Arial"/>
          <w:color w:val="000000" w:themeColor="text1"/>
          <w:lang w:val="en-GB"/>
        </w:rPr>
        <w:t>.</w:t>
      </w:r>
    </w:p>
    <w:p w14:paraId="47FF0265" w14:textId="77777777" w:rsidR="00227B03" w:rsidRPr="0083068D" w:rsidRDefault="00227B03" w:rsidP="00192993">
      <w:pPr>
        <w:pStyle w:val="western"/>
        <w:pBdr>
          <w:bottom w:val="single" w:sz="12" w:space="1" w:color="auto"/>
        </w:pBdr>
        <w:adjustRightInd w:val="0"/>
        <w:snapToGrid w:val="0"/>
        <w:spacing w:before="120" w:beforeAutospacing="0" w:after="120" w:afterAutospacing="0" w:line="360" w:lineRule="auto"/>
        <w:jc w:val="both"/>
        <w:rPr>
          <w:rFonts w:ascii="Arial" w:hAnsi="Arial" w:cs="Arial"/>
          <w:color w:val="000000" w:themeColor="text1"/>
          <w:lang w:val="en-GB"/>
        </w:rPr>
      </w:pPr>
    </w:p>
    <w:p w14:paraId="2B4D2C76" w14:textId="77777777" w:rsidR="00227B03" w:rsidRPr="0083068D" w:rsidRDefault="00227B03" w:rsidP="00192993">
      <w:pPr>
        <w:adjustRightInd w:val="0"/>
        <w:snapToGrid w:val="0"/>
        <w:spacing w:before="120" w:after="120" w:line="360" w:lineRule="auto"/>
        <w:jc w:val="both"/>
        <w:rPr>
          <w:rFonts w:ascii="Arial" w:hAnsi="Arial" w:cs="Arial"/>
          <w:b/>
          <w:bCs/>
          <w:color w:val="000000" w:themeColor="text1"/>
        </w:rPr>
      </w:pPr>
    </w:p>
    <w:p w14:paraId="1D0BB87B" w14:textId="546806D0" w:rsidR="00227B03" w:rsidRPr="0083068D" w:rsidRDefault="00227B03" w:rsidP="00192993">
      <w:pPr>
        <w:adjustRightInd w:val="0"/>
        <w:snapToGrid w:val="0"/>
        <w:spacing w:before="120" w:after="120" w:line="360" w:lineRule="auto"/>
        <w:jc w:val="center"/>
        <w:rPr>
          <w:rFonts w:ascii="Arial" w:hAnsi="Arial" w:cs="Arial"/>
          <w:b/>
          <w:bCs/>
          <w:color w:val="000000" w:themeColor="text1"/>
        </w:rPr>
      </w:pPr>
      <w:r w:rsidRPr="0083068D">
        <w:rPr>
          <w:rFonts w:ascii="Arial" w:hAnsi="Arial" w:cs="Arial"/>
          <w:b/>
          <w:bCs/>
          <w:color w:val="000000" w:themeColor="text1"/>
        </w:rPr>
        <w:t>ORDER</w:t>
      </w:r>
    </w:p>
    <w:p w14:paraId="35DA3187" w14:textId="4AE1E6EE" w:rsidR="00227B03" w:rsidRPr="0083068D" w:rsidRDefault="00227B03" w:rsidP="00192993">
      <w:pPr>
        <w:adjustRightInd w:val="0"/>
        <w:snapToGrid w:val="0"/>
        <w:spacing w:before="120" w:after="120" w:line="360" w:lineRule="auto"/>
        <w:jc w:val="both"/>
        <w:rPr>
          <w:rFonts w:ascii="Arial" w:hAnsi="Arial" w:cs="Arial"/>
          <w:b/>
          <w:bCs/>
          <w:color w:val="000000" w:themeColor="text1"/>
        </w:rPr>
      </w:pPr>
      <w:r w:rsidRPr="0083068D">
        <w:rPr>
          <w:rFonts w:ascii="Arial" w:hAnsi="Arial" w:cs="Arial"/>
          <w:b/>
          <w:bCs/>
          <w:color w:val="000000" w:themeColor="text1"/>
        </w:rPr>
        <w:t>________________________________________________________________</w:t>
      </w:r>
    </w:p>
    <w:p w14:paraId="65B10DB7" w14:textId="77777777" w:rsidR="00227B03" w:rsidRPr="0083068D" w:rsidRDefault="00227B03" w:rsidP="00192993">
      <w:pPr>
        <w:adjustRightInd w:val="0"/>
        <w:snapToGrid w:val="0"/>
        <w:spacing w:before="120" w:after="120" w:line="360" w:lineRule="auto"/>
        <w:jc w:val="both"/>
        <w:rPr>
          <w:rFonts w:ascii="Arial" w:hAnsi="Arial" w:cs="Arial"/>
          <w:b/>
          <w:bCs/>
          <w:color w:val="000000" w:themeColor="text1"/>
        </w:rPr>
      </w:pPr>
    </w:p>
    <w:p w14:paraId="659F609B" w14:textId="7BA0F440" w:rsidR="00093030" w:rsidRPr="0083068D" w:rsidRDefault="0009633F" w:rsidP="00192993">
      <w:pPr>
        <w:adjustRightInd w:val="0"/>
        <w:snapToGrid w:val="0"/>
        <w:spacing w:before="120" w:after="120" w:line="360" w:lineRule="auto"/>
        <w:jc w:val="both"/>
        <w:rPr>
          <w:rFonts w:ascii="Arial" w:hAnsi="Arial" w:cs="Arial"/>
          <w:bCs/>
          <w:color w:val="000000" w:themeColor="text1"/>
        </w:rPr>
      </w:pPr>
      <w:r w:rsidRPr="0083068D">
        <w:rPr>
          <w:rFonts w:ascii="Arial" w:hAnsi="Arial" w:cs="Arial"/>
          <w:b/>
          <w:bCs/>
          <w:color w:val="000000" w:themeColor="text1"/>
        </w:rPr>
        <w:t>Application for leave to</w:t>
      </w:r>
      <w:r w:rsidR="00093030" w:rsidRPr="0083068D">
        <w:rPr>
          <w:rFonts w:ascii="Arial" w:hAnsi="Arial" w:cs="Arial"/>
          <w:b/>
          <w:bCs/>
          <w:color w:val="000000" w:themeColor="text1"/>
        </w:rPr>
        <w:t xml:space="preserve"> appeal from:  </w:t>
      </w:r>
      <w:r w:rsidRPr="0083068D">
        <w:rPr>
          <w:rFonts w:ascii="Arial" w:hAnsi="Arial" w:cs="Arial"/>
          <w:bCs/>
          <w:color w:val="000000" w:themeColor="text1"/>
        </w:rPr>
        <w:t>Northern Cape</w:t>
      </w:r>
      <w:r w:rsidR="00500E28" w:rsidRPr="0083068D">
        <w:rPr>
          <w:rFonts w:ascii="Arial" w:hAnsi="Arial" w:cs="Arial"/>
          <w:bCs/>
          <w:color w:val="000000" w:themeColor="text1"/>
        </w:rPr>
        <w:t xml:space="preserve"> Division of the High Court, </w:t>
      </w:r>
      <w:r w:rsidRPr="0083068D">
        <w:rPr>
          <w:rFonts w:ascii="Arial" w:hAnsi="Arial" w:cs="Arial"/>
          <w:bCs/>
          <w:color w:val="000000" w:themeColor="text1"/>
        </w:rPr>
        <w:t>Kimberley</w:t>
      </w:r>
      <w:r w:rsidR="00500E28" w:rsidRPr="0083068D">
        <w:rPr>
          <w:rFonts w:ascii="Arial" w:hAnsi="Arial" w:cs="Arial"/>
          <w:bCs/>
          <w:color w:val="000000" w:themeColor="text1"/>
        </w:rPr>
        <w:t xml:space="preserve"> (</w:t>
      </w:r>
      <w:r w:rsidRPr="0083068D">
        <w:rPr>
          <w:rFonts w:ascii="Arial" w:hAnsi="Arial" w:cs="Arial"/>
          <w:bCs/>
          <w:color w:val="000000" w:themeColor="text1"/>
        </w:rPr>
        <w:t>Makoti AJ</w:t>
      </w:r>
      <w:r w:rsidR="00A445C0" w:rsidRPr="0083068D">
        <w:rPr>
          <w:rFonts w:ascii="Arial" w:hAnsi="Arial" w:cs="Arial"/>
          <w:bCs/>
          <w:color w:val="000000" w:themeColor="text1"/>
        </w:rPr>
        <w:t xml:space="preserve"> sitting as court of first instance</w:t>
      </w:r>
      <w:r w:rsidR="00500E28" w:rsidRPr="0083068D">
        <w:rPr>
          <w:rFonts w:ascii="Arial" w:hAnsi="Arial" w:cs="Arial"/>
          <w:bCs/>
          <w:color w:val="000000" w:themeColor="text1"/>
        </w:rPr>
        <w:t>):</w:t>
      </w:r>
    </w:p>
    <w:p w14:paraId="5D0FD9EF" w14:textId="0D0E92B6" w:rsidR="007B2EF9" w:rsidRPr="0083068D" w:rsidRDefault="005D440E" w:rsidP="00192993">
      <w:pPr>
        <w:pStyle w:val="ListParagraph"/>
        <w:numPr>
          <w:ilvl w:val="0"/>
          <w:numId w:val="2"/>
        </w:numPr>
        <w:adjustRightInd w:val="0"/>
        <w:snapToGrid w:val="0"/>
        <w:spacing w:before="120" w:after="120" w:line="360" w:lineRule="auto"/>
        <w:ind w:left="0" w:firstLine="0"/>
        <w:contextualSpacing w:val="0"/>
        <w:jc w:val="both"/>
        <w:rPr>
          <w:rFonts w:ascii="Arial" w:hAnsi="Arial" w:cs="Arial"/>
          <w:bCs/>
          <w:color w:val="000000" w:themeColor="text1"/>
        </w:rPr>
      </w:pPr>
      <w:r w:rsidRPr="0083068D">
        <w:rPr>
          <w:rFonts w:ascii="Arial" w:hAnsi="Arial" w:cs="Arial"/>
          <w:bCs/>
          <w:color w:val="000000" w:themeColor="text1"/>
        </w:rPr>
        <w:t>L</w:t>
      </w:r>
      <w:r w:rsidR="007B2EF9" w:rsidRPr="0083068D">
        <w:rPr>
          <w:rFonts w:ascii="Arial" w:hAnsi="Arial" w:cs="Arial"/>
          <w:bCs/>
          <w:color w:val="000000" w:themeColor="text1"/>
        </w:rPr>
        <w:t xml:space="preserve">eave to appeal </w:t>
      </w:r>
      <w:r w:rsidRPr="0083068D">
        <w:rPr>
          <w:rFonts w:ascii="Arial" w:hAnsi="Arial" w:cs="Arial"/>
          <w:bCs/>
          <w:color w:val="000000" w:themeColor="text1"/>
        </w:rPr>
        <w:t xml:space="preserve">is </w:t>
      </w:r>
      <w:r w:rsidR="007B2EF9" w:rsidRPr="0083068D">
        <w:rPr>
          <w:rFonts w:ascii="Arial" w:hAnsi="Arial" w:cs="Arial"/>
          <w:bCs/>
          <w:color w:val="000000" w:themeColor="text1"/>
        </w:rPr>
        <w:t>granted.</w:t>
      </w:r>
    </w:p>
    <w:p w14:paraId="2E49F68C" w14:textId="43EEB0A7" w:rsidR="00093030" w:rsidRPr="0083068D" w:rsidRDefault="007B2EF9" w:rsidP="00192993">
      <w:pPr>
        <w:pStyle w:val="ListParagraph"/>
        <w:numPr>
          <w:ilvl w:val="0"/>
          <w:numId w:val="2"/>
        </w:numPr>
        <w:adjustRightInd w:val="0"/>
        <w:snapToGrid w:val="0"/>
        <w:spacing w:before="120" w:after="120" w:line="360" w:lineRule="auto"/>
        <w:ind w:left="0" w:firstLine="0"/>
        <w:contextualSpacing w:val="0"/>
        <w:jc w:val="both"/>
        <w:rPr>
          <w:rFonts w:ascii="Arial" w:hAnsi="Arial" w:cs="Arial"/>
          <w:bCs/>
          <w:color w:val="000000" w:themeColor="text1"/>
        </w:rPr>
      </w:pPr>
      <w:r w:rsidRPr="0083068D">
        <w:rPr>
          <w:rFonts w:ascii="Arial" w:hAnsi="Arial" w:cs="Arial"/>
          <w:bCs/>
          <w:color w:val="000000" w:themeColor="text1"/>
        </w:rPr>
        <w:t>The a</w:t>
      </w:r>
      <w:r w:rsidR="00093030" w:rsidRPr="0083068D">
        <w:rPr>
          <w:rFonts w:ascii="Arial" w:hAnsi="Arial" w:cs="Arial"/>
          <w:bCs/>
          <w:color w:val="000000" w:themeColor="text1"/>
        </w:rPr>
        <w:t xml:space="preserve">ppeal is upheld with </w:t>
      </w:r>
      <w:r w:rsidR="00093030" w:rsidRPr="00A746DD">
        <w:rPr>
          <w:rFonts w:ascii="Arial" w:hAnsi="Arial" w:cs="Arial"/>
          <w:bCs/>
          <w:color w:val="000000" w:themeColor="text1"/>
        </w:rPr>
        <w:t>costs</w:t>
      </w:r>
      <w:r w:rsidR="00093030" w:rsidRPr="0083068D">
        <w:rPr>
          <w:rFonts w:ascii="Arial" w:hAnsi="Arial" w:cs="Arial"/>
          <w:bCs/>
          <w:color w:val="000000" w:themeColor="text1"/>
        </w:rPr>
        <w:t>.</w:t>
      </w:r>
    </w:p>
    <w:p w14:paraId="66842356" w14:textId="665DEE1C" w:rsidR="00093030" w:rsidRPr="0083068D" w:rsidRDefault="00093030" w:rsidP="00192993">
      <w:pPr>
        <w:pStyle w:val="ListParagraph"/>
        <w:numPr>
          <w:ilvl w:val="0"/>
          <w:numId w:val="2"/>
        </w:numPr>
        <w:adjustRightInd w:val="0"/>
        <w:snapToGrid w:val="0"/>
        <w:spacing w:before="120" w:after="120" w:line="360" w:lineRule="auto"/>
        <w:ind w:left="720"/>
        <w:contextualSpacing w:val="0"/>
        <w:jc w:val="both"/>
        <w:rPr>
          <w:rFonts w:ascii="Arial" w:hAnsi="Arial" w:cs="Arial"/>
          <w:color w:val="000000" w:themeColor="text1"/>
        </w:rPr>
      </w:pPr>
      <w:r w:rsidRPr="0083068D">
        <w:rPr>
          <w:rFonts w:ascii="Arial" w:hAnsi="Arial" w:cs="Arial"/>
          <w:color w:val="000000" w:themeColor="text1"/>
        </w:rPr>
        <w:t xml:space="preserve">The order of the high court </w:t>
      </w:r>
      <w:r w:rsidR="003D53F6" w:rsidRPr="0083068D">
        <w:rPr>
          <w:rFonts w:ascii="Arial" w:hAnsi="Arial" w:cs="Arial"/>
          <w:color w:val="000000" w:themeColor="text1"/>
        </w:rPr>
        <w:t>is</w:t>
      </w:r>
      <w:r w:rsidRPr="0083068D">
        <w:rPr>
          <w:rFonts w:ascii="Arial" w:hAnsi="Arial" w:cs="Arial"/>
          <w:color w:val="000000" w:themeColor="text1"/>
        </w:rPr>
        <w:t xml:space="preserve"> set aside and replaced </w:t>
      </w:r>
      <w:r w:rsidR="00936E1C" w:rsidRPr="0083068D">
        <w:rPr>
          <w:rFonts w:ascii="Arial" w:hAnsi="Arial" w:cs="Arial"/>
          <w:color w:val="000000" w:themeColor="text1"/>
        </w:rPr>
        <w:t>as</w:t>
      </w:r>
      <w:r w:rsidRPr="0083068D">
        <w:rPr>
          <w:rFonts w:ascii="Arial" w:hAnsi="Arial" w:cs="Arial"/>
          <w:color w:val="000000" w:themeColor="text1"/>
        </w:rPr>
        <w:t xml:space="preserve"> follow</w:t>
      </w:r>
      <w:r w:rsidR="00936E1C" w:rsidRPr="0083068D">
        <w:rPr>
          <w:rFonts w:ascii="Arial" w:hAnsi="Arial" w:cs="Arial"/>
          <w:color w:val="000000" w:themeColor="text1"/>
        </w:rPr>
        <w:t>s</w:t>
      </w:r>
      <w:r w:rsidRPr="0083068D">
        <w:rPr>
          <w:rFonts w:ascii="Arial" w:hAnsi="Arial" w:cs="Arial"/>
          <w:color w:val="000000" w:themeColor="text1"/>
        </w:rPr>
        <w:t>:</w:t>
      </w:r>
    </w:p>
    <w:p w14:paraId="6BC8B404" w14:textId="65CEE0E3" w:rsidR="00A112C6" w:rsidRPr="0083068D" w:rsidRDefault="00CD3283" w:rsidP="00192993">
      <w:pPr>
        <w:adjustRightInd w:val="0"/>
        <w:snapToGrid w:val="0"/>
        <w:spacing w:before="120" w:after="120" w:line="360" w:lineRule="auto"/>
        <w:ind w:firstLine="720"/>
        <w:jc w:val="both"/>
        <w:rPr>
          <w:rFonts w:ascii="Arial" w:hAnsi="Arial" w:cs="Arial"/>
          <w:color w:val="000000" w:themeColor="text1"/>
        </w:rPr>
      </w:pPr>
      <w:r w:rsidRPr="0083068D">
        <w:rPr>
          <w:rFonts w:ascii="Arial" w:hAnsi="Arial" w:cs="Arial"/>
          <w:color w:val="000000" w:themeColor="text1"/>
        </w:rPr>
        <w:t>‘</w:t>
      </w:r>
      <w:r w:rsidR="00041534" w:rsidRPr="0083068D">
        <w:rPr>
          <w:rFonts w:ascii="Arial" w:hAnsi="Arial" w:cs="Arial"/>
          <w:color w:val="000000" w:themeColor="text1"/>
        </w:rPr>
        <w:t xml:space="preserve">1. </w:t>
      </w:r>
      <w:r w:rsidR="00093030" w:rsidRPr="0083068D">
        <w:rPr>
          <w:rFonts w:ascii="Arial" w:hAnsi="Arial" w:cs="Arial"/>
          <w:color w:val="000000" w:themeColor="text1"/>
        </w:rPr>
        <w:t xml:space="preserve">The </w:t>
      </w:r>
      <w:r w:rsidR="009E34EE" w:rsidRPr="0083068D">
        <w:rPr>
          <w:rFonts w:ascii="Arial" w:hAnsi="Arial" w:cs="Arial"/>
          <w:color w:val="000000" w:themeColor="text1"/>
        </w:rPr>
        <w:t>respondent</w:t>
      </w:r>
      <w:r w:rsidR="00A445C0" w:rsidRPr="0083068D">
        <w:rPr>
          <w:rFonts w:ascii="Arial" w:hAnsi="Arial" w:cs="Arial"/>
          <w:color w:val="000000" w:themeColor="text1"/>
        </w:rPr>
        <w:t xml:space="preserve"> is to pay t</w:t>
      </w:r>
      <w:r w:rsidR="0031461C" w:rsidRPr="0083068D">
        <w:rPr>
          <w:rFonts w:ascii="Arial" w:hAnsi="Arial" w:cs="Arial"/>
          <w:color w:val="000000" w:themeColor="text1"/>
        </w:rPr>
        <w:t>o t</w:t>
      </w:r>
      <w:r w:rsidR="00A445C0" w:rsidRPr="0083068D">
        <w:rPr>
          <w:rFonts w:ascii="Arial" w:hAnsi="Arial" w:cs="Arial"/>
          <w:color w:val="000000" w:themeColor="text1"/>
        </w:rPr>
        <w:t>he</w:t>
      </w:r>
      <w:r w:rsidR="0031461C" w:rsidRPr="0083068D">
        <w:rPr>
          <w:rFonts w:ascii="Arial" w:hAnsi="Arial" w:cs="Arial"/>
          <w:color w:val="000000" w:themeColor="text1"/>
        </w:rPr>
        <w:t xml:space="preserve"> applicant</w:t>
      </w:r>
      <w:r w:rsidR="00A445C0" w:rsidRPr="0083068D">
        <w:rPr>
          <w:rFonts w:ascii="Arial" w:hAnsi="Arial" w:cs="Arial"/>
          <w:color w:val="000000" w:themeColor="text1"/>
        </w:rPr>
        <w:t xml:space="preserve"> </w:t>
      </w:r>
      <w:r w:rsidR="0031461C" w:rsidRPr="0083068D">
        <w:rPr>
          <w:rFonts w:ascii="Arial" w:hAnsi="Arial" w:cs="Arial"/>
          <w:color w:val="000000" w:themeColor="text1"/>
        </w:rPr>
        <w:t xml:space="preserve">the </w:t>
      </w:r>
      <w:r w:rsidR="00A445C0" w:rsidRPr="0083068D">
        <w:rPr>
          <w:rFonts w:ascii="Arial" w:hAnsi="Arial" w:cs="Arial"/>
          <w:color w:val="000000" w:themeColor="text1"/>
        </w:rPr>
        <w:t>following amounts</w:t>
      </w:r>
      <w:r w:rsidR="00A112C6" w:rsidRPr="0083068D">
        <w:rPr>
          <w:rFonts w:ascii="Arial" w:hAnsi="Arial" w:cs="Arial"/>
          <w:color w:val="000000" w:themeColor="text1"/>
        </w:rPr>
        <w:t>:</w:t>
      </w:r>
    </w:p>
    <w:p w14:paraId="439FC348" w14:textId="6EEF4DEC" w:rsidR="00936E1C" w:rsidRPr="0083068D" w:rsidRDefault="00A112C6" w:rsidP="00192993">
      <w:pPr>
        <w:pStyle w:val="ListParagraph"/>
        <w:numPr>
          <w:ilvl w:val="1"/>
          <w:numId w:val="14"/>
        </w:numPr>
        <w:adjustRightInd w:val="0"/>
        <w:snapToGrid w:val="0"/>
        <w:spacing w:before="120" w:after="120" w:line="360" w:lineRule="auto"/>
        <w:ind w:left="2160" w:hanging="743"/>
        <w:contextualSpacing w:val="0"/>
        <w:jc w:val="both"/>
        <w:rPr>
          <w:rFonts w:ascii="Arial" w:hAnsi="Arial" w:cs="Arial"/>
          <w:color w:val="000000" w:themeColor="text1"/>
        </w:rPr>
      </w:pPr>
      <w:r w:rsidRPr="0083068D">
        <w:rPr>
          <w:rFonts w:ascii="Arial" w:hAnsi="Arial" w:cs="Arial"/>
          <w:color w:val="000000" w:themeColor="text1"/>
        </w:rPr>
        <w:t xml:space="preserve">R342 389.38 with interest thereon at the legal rate from </w:t>
      </w:r>
      <w:r w:rsidR="005C4E70">
        <w:rPr>
          <w:rFonts w:ascii="Arial" w:hAnsi="Arial" w:cs="Arial"/>
          <w:color w:val="000000" w:themeColor="text1"/>
        </w:rPr>
        <w:t xml:space="preserve">                     </w:t>
      </w:r>
      <w:r w:rsidRPr="0083068D">
        <w:rPr>
          <w:rFonts w:ascii="Arial" w:hAnsi="Arial" w:cs="Arial"/>
          <w:color w:val="000000" w:themeColor="text1"/>
        </w:rPr>
        <w:t>12 December 2014 to date of payment, both days inclusive;</w:t>
      </w:r>
    </w:p>
    <w:p w14:paraId="365C727D" w14:textId="49DFD4EB" w:rsidR="00936E1C" w:rsidRPr="0083068D" w:rsidRDefault="0031461C" w:rsidP="00192993">
      <w:pPr>
        <w:pStyle w:val="ListParagraph"/>
        <w:numPr>
          <w:ilvl w:val="1"/>
          <w:numId w:val="14"/>
        </w:numPr>
        <w:adjustRightInd w:val="0"/>
        <w:snapToGrid w:val="0"/>
        <w:spacing w:before="120" w:after="120" w:line="360" w:lineRule="auto"/>
        <w:ind w:left="2160" w:hanging="743"/>
        <w:contextualSpacing w:val="0"/>
        <w:jc w:val="both"/>
        <w:rPr>
          <w:rFonts w:ascii="Arial" w:hAnsi="Arial" w:cs="Arial"/>
          <w:color w:val="000000" w:themeColor="text1"/>
        </w:rPr>
      </w:pPr>
      <w:r w:rsidRPr="0083068D">
        <w:rPr>
          <w:rFonts w:ascii="Arial" w:hAnsi="Arial" w:cs="Arial"/>
          <w:color w:val="000000" w:themeColor="text1"/>
        </w:rPr>
        <w:t xml:space="preserve">R344 239.14 with interest thereon at the legal rate from </w:t>
      </w:r>
      <w:r w:rsidR="005C4E70">
        <w:rPr>
          <w:rFonts w:ascii="Arial" w:hAnsi="Arial" w:cs="Arial"/>
          <w:color w:val="000000" w:themeColor="text1"/>
        </w:rPr>
        <w:t xml:space="preserve">                    </w:t>
      </w:r>
      <w:r w:rsidRPr="0083068D">
        <w:rPr>
          <w:rFonts w:ascii="Arial" w:hAnsi="Arial" w:cs="Arial"/>
          <w:color w:val="000000" w:themeColor="text1"/>
        </w:rPr>
        <w:t>1</w:t>
      </w:r>
      <w:r w:rsidR="00E3066F" w:rsidRPr="0083068D">
        <w:rPr>
          <w:rFonts w:ascii="Arial" w:hAnsi="Arial" w:cs="Arial"/>
          <w:color w:val="000000" w:themeColor="text1"/>
        </w:rPr>
        <w:t>9</w:t>
      </w:r>
      <w:r w:rsidRPr="0083068D">
        <w:rPr>
          <w:rFonts w:ascii="Arial" w:hAnsi="Arial" w:cs="Arial"/>
          <w:color w:val="000000" w:themeColor="text1"/>
        </w:rPr>
        <w:t xml:space="preserve"> December 2014 to date of payment, both days inclusive;</w:t>
      </w:r>
    </w:p>
    <w:p w14:paraId="7BE8CE8B" w14:textId="4FA77A55" w:rsidR="00936E1C" w:rsidRPr="0083068D" w:rsidRDefault="00A112C6" w:rsidP="00192993">
      <w:pPr>
        <w:pStyle w:val="ListParagraph"/>
        <w:numPr>
          <w:ilvl w:val="1"/>
          <w:numId w:val="14"/>
        </w:numPr>
        <w:adjustRightInd w:val="0"/>
        <w:snapToGrid w:val="0"/>
        <w:spacing w:before="120" w:after="120" w:line="360" w:lineRule="auto"/>
        <w:ind w:left="2160" w:hanging="743"/>
        <w:contextualSpacing w:val="0"/>
        <w:jc w:val="both"/>
        <w:rPr>
          <w:rFonts w:ascii="Arial" w:hAnsi="Arial" w:cs="Arial"/>
          <w:color w:val="000000" w:themeColor="text1"/>
        </w:rPr>
      </w:pPr>
      <w:r w:rsidRPr="0083068D">
        <w:rPr>
          <w:rFonts w:ascii="Arial" w:hAnsi="Arial" w:cs="Arial"/>
          <w:color w:val="000000" w:themeColor="text1"/>
        </w:rPr>
        <w:t>R</w:t>
      </w:r>
      <w:r w:rsidR="0031461C" w:rsidRPr="0083068D">
        <w:rPr>
          <w:rFonts w:ascii="Arial" w:hAnsi="Arial" w:cs="Arial"/>
          <w:color w:val="000000" w:themeColor="text1"/>
        </w:rPr>
        <w:t>152</w:t>
      </w:r>
      <w:r w:rsidR="00E3066F" w:rsidRPr="0083068D">
        <w:rPr>
          <w:rFonts w:ascii="Arial" w:hAnsi="Arial" w:cs="Arial"/>
          <w:color w:val="000000" w:themeColor="text1"/>
        </w:rPr>
        <w:t> </w:t>
      </w:r>
      <w:r w:rsidR="0031461C" w:rsidRPr="0083068D">
        <w:rPr>
          <w:rFonts w:ascii="Arial" w:hAnsi="Arial" w:cs="Arial"/>
          <w:color w:val="000000" w:themeColor="text1"/>
        </w:rPr>
        <w:t>817</w:t>
      </w:r>
      <w:r w:rsidR="00E3066F" w:rsidRPr="0083068D">
        <w:rPr>
          <w:rFonts w:ascii="Arial" w:hAnsi="Arial" w:cs="Arial"/>
          <w:color w:val="000000" w:themeColor="text1"/>
        </w:rPr>
        <w:t xml:space="preserve">.80 </w:t>
      </w:r>
      <w:r w:rsidRPr="0083068D">
        <w:rPr>
          <w:rFonts w:ascii="Arial" w:hAnsi="Arial" w:cs="Arial"/>
          <w:color w:val="000000" w:themeColor="text1"/>
        </w:rPr>
        <w:t xml:space="preserve">with interest thereon at the legal rate from </w:t>
      </w:r>
      <w:r w:rsidR="005C4E70">
        <w:rPr>
          <w:rFonts w:ascii="Arial" w:hAnsi="Arial" w:cs="Arial"/>
          <w:color w:val="000000" w:themeColor="text1"/>
        </w:rPr>
        <w:t xml:space="preserve">                    </w:t>
      </w:r>
      <w:r w:rsidR="00E3066F" w:rsidRPr="0083068D">
        <w:rPr>
          <w:rFonts w:ascii="Arial" w:hAnsi="Arial" w:cs="Arial"/>
          <w:color w:val="000000" w:themeColor="text1"/>
        </w:rPr>
        <w:t>2</w:t>
      </w:r>
      <w:r w:rsidRPr="0083068D">
        <w:rPr>
          <w:rFonts w:ascii="Arial" w:hAnsi="Arial" w:cs="Arial"/>
          <w:color w:val="000000" w:themeColor="text1"/>
        </w:rPr>
        <w:t>2 December 2014 to date of payment, both days inclusive;</w:t>
      </w:r>
    </w:p>
    <w:p w14:paraId="615F39DD" w14:textId="4D4BF681" w:rsidR="00936E1C" w:rsidRPr="0083068D" w:rsidRDefault="00A112C6" w:rsidP="00192993">
      <w:pPr>
        <w:pStyle w:val="ListParagraph"/>
        <w:numPr>
          <w:ilvl w:val="1"/>
          <w:numId w:val="14"/>
        </w:numPr>
        <w:adjustRightInd w:val="0"/>
        <w:snapToGrid w:val="0"/>
        <w:spacing w:before="120" w:after="120" w:line="360" w:lineRule="auto"/>
        <w:ind w:left="2160" w:hanging="743"/>
        <w:contextualSpacing w:val="0"/>
        <w:jc w:val="both"/>
        <w:rPr>
          <w:rFonts w:ascii="Arial" w:hAnsi="Arial" w:cs="Arial"/>
          <w:color w:val="000000" w:themeColor="text1"/>
        </w:rPr>
      </w:pPr>
      <w:r w:rsidRPr="0083068D">
        <w:rPr>
          <w:rFonts w:ascii="Arial" w:hAnsi="Arial" w:cs="Arial"/>
          <w:color w:val="000000" w:themeColor="text1"/>
        </w:rPr>
        <w:t>R3</w:t>
      </w:r>
      <w:r w:rsidR="00E3066F" w:rsidRPr="0083068D">
        <w:rPr>
          <w:rFonts w:ascii="Arial" w:hAnsi="Arial" w:cs="Arial"/>
          <w:color w:val="000000" w:themeColor="text1"/>
        </w:rPr>
        <w:t>13 137.14</w:t>
      </w:r>
      <w:r w:rsidRPr="0083068D">
        <w:rPr>
          <w:rFonts w:ascii="Arial" w:hAnsi="Arial" w:cs="Arial"/>
          <w:color w:val="000000" w:themeColor="text1"/>
        </w:rPr>
        <w:t xml:space="preserve"> with interest thereon at the legal rate from </w:t>
      </w:r>
      <w:r w:rsidR="005C4E70">
        <w:rPr>
          <w:rFonts w:ascii="Arial" w:hAnsi="Arial" w:cs="Arial"/>
          <w:color w:val="000000" w:themeColor="text1"/>
        </w:rPr>
        <w:t xml:space="preserve">                  </w:t>
      </w:r>
      <w:r w:rsidRPr="0083068D">
        <w:rPr>
          <w:rFonts w:ascii="Arial" w:hAnsi="Arial" w:cs="Arial"/>
          <w:color w:val="000000" w:themeColor="text1"/>
        </w:rPr>
        <w:t>2</w:t>
      </w:r>
      <w:r w:rsidR="00041534" w:rsidRPr="0083068D">
        <w:rPr>
          <w:rFonts w:ascii="Arial" w:hAnsi="Arial" w:cs="Arial"/>
          <w:color w:val="000000" w:themeColor="text1"/>
        </w:rPr>
        <w:t>4</w:t>
      </w:r>
      <w:r w:rsidRPr="0083068D">
        <w:rPr>
          <w:rFonts w:ascii="Arial" w:hAnsi="Arial" w:cs="Arial"/>
          <w:color w:val="000000" w:themeColor="text1"/>
        </w:rPr>
        <w:t xml:space="preserve"> December 2014 to date of payment, both days inclusive;</w:t>
      </w:r>
    </w:p>
    <w:p w14:paraId="2DD00827" w14:textId="039D3E25" w:rsidR="00936E1C" w:rsidRPr="0083068D" w:rsidRDefault="00A112C6" w:rsidP="00192993">
      <w:pPr>
        <w:pStyle w:val="ListParagraph"/>
        <w:numPr>
          <w:ilvl w:val="1"/>
          <w:numId w:val="14"/>
        </w:numPr>
        <w:adjustRightInd w:val="0"/>
        <w:snapToGrid w:val="0"/>
        <w:spacing w:before="120" w:after="120" w:line="360" w:lineRule="auto"/>
        <w:ind w:left="2160" w:hanging="743"/>
        <w:contextualSpacing w:val="0"/>
        <w:jc w:val="both"/>
        <w:rPr>
          <w:rFonts w:ascii="Arial" w:hAnsi="Arial" w:cs="Arial"/>
          <w:color w:val="000000" w:themeColor="text1"/>
        </w:rPr>
      </w:pPr>
      <w:r w:rsidRPr="0083068D">
        <w:rPr>
          <w:rFonts w:ascii="Arial" w:hAnsi="Arial" w:cs="Arial"/>
          <w:color w:val="000000" w:themeColor="text1"/>
        </w:rPr>
        <w:t>R3</w:t>
      </w:r>
      <w:r w:rsidR="00041534" w:rsidRPr="0083068D">
        <w:rPr>
          <w:rFonts w:ascii="Arial" w:hAnsi="Arial" w:cs="Arial"/>
          <w:color w:val="000000" w:themeColor="text1"/>
        </w:rPr>
        <w:t>39 052.39</w:t>
      </w:r>
      <w:r w:rsidRPr="0083068D">
        <w:rPr>
          <w:rFonts w:ascii="Arial" w:hAnsi="Arial" w:cs="Arial"/>
          <w:color w:val="000000" w:themeColor="text1"/>
        </w:rPr>
        <w:t xml:space="preserve"> with interest thereon at the legal rate from </w:t>
      </w:r>
      <w:r w:rsidR="005C4E70">
        <w:rPr>
          <w:rFonts w:ascii="Arial" w:hAnsi="Arial" w:cs="Arial"/>
          <w:color w:val="000000" w:themeColor="text1"/>
        </w:rPr>
        <w:t xml:space="preserve">                     </w:t>
      </w:r>
      <w:r w:rsidR="00041534" w:rsidRPr="0083068D">
        <w:rPr>
          <w:rFonts w:ascii="Arial" w:hAnsi="Arial" w:cs="Arial"/>
          <w:color w:val="000000" w:themeColor="text1"/>
        </w:rPr>
        <w:t>2</w:t>
      </w:r>
      <w:r w:rsidRPr="0083068D">
        <w:rPr>
          <w:rFonts w:ascii="Arial" w:hAnsi="Arial" w:cs="Arial"/>
          <w:color w:val="000000" w:themeColor="text1"/>
        </w:rPr>
        <w:t xml:space="preserve"> </w:t>
      </w:r>
      <w:r w:rsidR="00041534" w:rsidRPr="0083068D">
        <w:rPr>
          <w:rFonts w:ascii="Arial" w:hAnsi="Arial" w:cs="Arial"/>
          <w:color w:val="000000" w:themeColor="text1"/>
        </w:rPr>
        <w:t xml:space="preserve">January </w:t>
      </w:r>
      <w:r w:rsidRPr="0083068D">
        <w:rPr>
          <w:rFonts w:ascii="Arial" w:hAnsi="Arial" w:cs="Arial"/>
          <w:color w:val="000000" w:themeColor="text1"/>
        </w:rPr>
        <w:t>201</w:t>
      </w:r>
      <w:r w:rsidR="00041534" w:rsidRPr="0083068D">
        <w:rPr>
          <w:rFonts w:ascii="Arial" w:hAnsi="Arial" w:cs="Arial"/>
          <w:color w:val="000000" w:themeColor="text1"/>
        </w:rPr>
        <w:t>5</w:t>
      </w:r>
      <w:r w:rsidRPr="0083068D">
        <w:rPr>
          <w:rFonts w:ascii="Arial" w:hAnsi="Arial" w:cs="Arial"/>
          <w:color w:val="000000" w:themeColor="text1"/>
        </w:rPr>
        <w:t xml:space="preserve"> to date of payment, both days inclusive;</w:t>
      </w:r>
    </w:p>
    <w:p w14:paraId="46931246" w14:textId="0F6EC981" w:rsidR="00936E1C" w:rsidRPr="0083068D" w:rsidRDefault="00A112C6" w:rsidP="00192993">
      <w:pPr>
        <w:pStyle w:val="ListParagraph"/>
        <w:numPr>
          <w:ilvl w:val="1"/>
          <w:numId w:val="14"/>
        </w:numPr>
        <w:adjustRightInd w:val="0"/>
        <w:snapToGrid w:val="0"/>
        <w:spacing w:before="120" w:after="120" w:line="360" w:lineRule="auto"/>
        <w:ind w:left="2160" w:hanging="743"/>
        <w:contextualSpacing w:val="0"/>
        <w:jc w:val="both"/>
        <w:rPr>
          <w:rFonts w:ascii="Arial" w:hAnsi="Arial" w:cs="Arial"/>
          <w:color w:val="000000" w:themeColor="text1"/>
        </w:rPr>
      </w:pPr>
      <w:r w:rsidRPr="0083068D">
        <w:rPr>
          <w:rFonts w:ascii="Arial" w:hAnsi="Arial" w:cs="Arial"/>
          <w:color w:val="000000" w:themeColor="text1"/>
        </w:rPr>
        <w:t>R</w:t>
      </w:r>
      <w:r w:rsidR="00041534" w:rsidRPr="0083068D">
        <w:rPr>
          <w:rFonts w:ascii="Arial" w:hAnsi="Arial" w:cs="Arial"/>
          <w:color w:val="000000" w:themeColor="text1"/>
        </w:rPr>
        <w:t xml:space="preserve">198 613.68 </w:t>
      </w:r>
      <w:r w:rsidRPr="0083068D">
        <w:rPr>
          <w:rFonts w:ascii="Arial" w:hAnsi="Arial" w:cs="Arial"/>
          <w:color w:val="000000" w:themeColor="text1"/>
        </w:rPr>
        <w:t xml:space="preserve">with interest thereon at the legal rate from </w:t>
      </w:r>
      <w:r w:rsidR="005C4E70">
        <w:rPr>
          <w:rFonts w:ascii="Arial" w:hAnsi="Arial" w:cs="Arial"/>
          <w:color w:val="000000" w:themeColor="text1"/>
        </w:rPr>
        <w:t xml:space="preserve">                        </w:t>
      </w:r>
      <w:r w:rsidR="00041534" w:rsidRPr="0083068D">
        <w:rPr>
          <w:rFonts w:ascii="Arial" w:hAnsi="Arial" w:cs="Arial"/>
          <w:color w:val="000000" w:themeColor="text1"/>
        </w:rPr>
        <w:t>9</w:t>
      </w:r>
      <w:r w:rsidRPr="0083068D">
        <w:rPr>
          <w:rFonts w:ascii="Arial" w:hAnsi="Arial" w:cs="Arial"/>
          <w:color w:val="000000" w:themeColor="text1"/>
        </w:rPr>
        <w:t xml:space="preserve"> </w:t>
      </w:r>
      <w:r w:rsidR="00041534" w:rsidRPr="0083068D">
        <w:rPr>
          <w:rFonts w:ascii="Arial" w:hAnsi="Arial" w:cs="Arial"/>
          <w:color w:val="000000" w:themeColor="text1"/>
        </w:rPr>
        <w:t xml:space="preserve">January </w:t>
      </w:r>
      <w:r w:rsidRPr="0083068D">
        <w:rPr>
          <w:rFonts w:ascii="Arial" w:hAnsi="Arial" w:cs="Arial"/>
          <w:color w:val="000000" w:themeColor="text1"/>
        </w:rPr>
        <w:t>201</w:t>
      </w:r>
      <w:r w:rsidR="00041534" w:rsidRPr="0083068D">
        <w:rPr>
          <w:rFonts w:ascii="Arial" w:hAnsi="Arial" w:cs="Arial"/>
          <w:color w:val="000000" w:themeColor="text1"/>
        </w:rPr>
        <w:t>5</w:t>
      </w:r>
      <w:r w:rsidRPr="0083068D">
        <w:rPr>
          <w:rFonts w:ascii="Arial" w:hAnsi="Arial" w:cs="Arial"/>
          <w:color w:val="000000" w:themeColor="text1"/>
        </w:rPr>
        <w:t xml:space="preserve"> to date of payment, both days inclusive;</w:t>
      </w:r>
    </w:p>
    <w:p w14:paraId="1F75C016" w14:textId="77777777" w:rsidR="00936E1C" w:rsidRPr="0083068D" w:rsidRDefault="00041534" w:rsidP="00192993">
      <w:pPr>
        <w:pStyle w:val="ListParagraph"/>
        <w:numPr>
          <w:ilvl w:val="1"/>
          <w:numId w:val="14"/>
        </w:numPr>
        <w:adjustRightInd w:val="0"/>
        <w:snapToGrid w:val="0"/>
        <w:spacing w:before="120" w:after="120" w:line="360" w:lineRule="auto"/>
        <w:ind w:left="2160" w:hanging="743"/>
        <w:contextualSpacing w:val="0"/>
        <w:jc w:val="both"/>
        <w:rPr>
          <w:rFonts w:ascii="Arial" w:hAnsi="Arial" w:cs="Arial"/>
          <w:color w:val="000000" w:themeColor="text1"/>
        </w:rPr>
      </w:pPr>
      <w:r w:rsidRPr="0083068D">
        <w:rPr>
          <w:rFonts w:ascii="Arial" w:hAnsi="Arial" w:cs="Arial"/>
          <w:color w:val="000000" w:themeColor="text1"/>
        </w:rPr>
        <w:lastRenderedPageBreak/>
        <w:t>R230 571.36 with interest thereon at the legal rate from 16 January 2015 to date of payment, both days inclusive;</w:t>
      </w:r>
    </w:p>
    <w:p w14:paraId="7861F42B" w14:textId="5AC8240C" w:rsidR="00936E1C" w:rsidRPr="0083068D" w:rsidRDefault="00041534" w:rsidP="00192993">
      <w:pPr>
        <w:pStyle w:val="ListParagraph"/>
        <w:numPr>
          <w:ilvl w:val="1"/>
          <w:numId w:val="14"/>
        </w:numPr>
        <w:adjustRightInd w:val="0"/>
        <w:snapToGrid w:val="0"/>
        <w:spacing w:before="120" w:after="120" w:line="360" w:lineRule="auto"/>
        <w:ind w:left="2160" w:hanging="743"/>
        <w:contextualSpacing w:val="0"/>
        <w:jc w:val="both"/>
        <w:rPr>
          <w:rFonts w:ascii="Arial" w:hAnsi="Arial" w:cs="Arial"/>
          <w:color w:val="000000" w:themeColor="text1"/>
        </w:rPr>
      </w:pPr>
      <w:r w:rsidRPr="0083068D">
        <w:rPr>
          <w:rFonts w:ascii="Arial" w:hAnsi="Arial" w:cs="Arial"/>
          <w:color w:val="000000" w:themeColor="text1"/>
        </w:rPr>
        <w:t xml:space="preserve">R276 046.04 with interest thereon at the legal rate from </w:t>
      </w:r>
      <w:r w:rsidR="00DF779E">
        <w:rPr>
          <w:rFonts w:ascii="Arial" w:hAnsi="Arial" w:cs="Arial"/>
          <w:color w:val="000000" w:themeColor="text1"/>
        </w:rPr>
        <w:t xml:space="preserve">                    </w:t>
      </w:r>
      <w:r w:rsidR="00741907" w:rsidRPr="0083068D">
        <w:rPr>
          <w:rFonts w:ascii="Arial" w:hAnsi="Arial" w:cs="Arial"/>
          <w:color w:val="000000" w:themeColor="text1"/>
        </w:rPr>
        <w:t>23</w:t>
      </w:r>
      <w:r w:rsidRPr="0083068D">
        <w:rPr>
          <w:rFonts w:ascii="Arial" w:hAnsi="Arial" w:cs="Arial"/>
          <w:color w:val="000000" w:themeColor="text1"/>
        </w:rPr>
        <w:t xml:space="preserve"> January 2015 to date of payment, both days inclusive;</w:t>
      </w:r>
    </w:p>
    <w:p w14:paraId="1A89E505" w14:textId="51900FDF" w:rsidR="00041534" w:rsidRPr="0083068D" w:rsidRDefault="00041534" w:rsidP="00192993">
      <w:pPr>
        <w:pStyle w:val="ListParagraph"/>
        <w:numPr>
          <w:ilvl w:val="1"/>
          <w:numId w:val="14"/>
        </w:numPr>
        <w:adjustRightInd w:val="0"/>
        <w:snapToGrid w:val="0"/>
        <w:spacing w:before="120" w:after="120" w:line="360" w:lineRule="auto"/>
        <w:ind w:left="2160" w:hanging="743"/>
        <w:contextualSpacing w:val="0"/>
        <w:jc w:val="both"/>
        <w:rPr>
          <w:rFonts w:ascii="Arial" w:hAnsi="Arial" w:cs="Arial"/>
          <w:color w:val="000000" w:themeColor="text1"/>
        </w:rPr>
      </w:pPr>
      <w:r w:rsidRPr="00AB4300">
        <w:rPr>
          <w:rFonts w:ascii="Arial" w:hAnsi="Arial" w:cs="Arial"/>
          <w:color w:val="000000" w:themeColor="text1"/>
        </w:rPr>
        <w:t>R34 794.85</w:t>
      </w:r>
      <w:r w:rsidRPr="0083068D">
        <w:rPr>
          <w:rFonts w:ascii="Arial" w:hAnsi="Arial" w:cs="Arial"/>
          <w:color w:val="000000" w:themeColor="text1"/>
        </w:rPr>
        <w:t xml:space="preserve"> with interest thereon at the legal rate from </w:t>
      </w:r>
      <w:r w:rsidR="00DF779E">
        <w:rPr>
          <w:rFonts w:ascii="Arial" w:hAnsi="Arial" w:cs="Arial"/>
          <w:color w:val="000000" w:themeColor="text1"/>
        </w:rPr>
        <w:t xml:space="preserve">                     </w:t>
      </w:r>
      <w:r w:rsidRPr="0083068D">
        <w:rPr>
          <w:rFonts w:ascii="Arial" w:hAnsi="Arial" w:cs="Arial"/>
          <w:color w:val="000000" w:themeColor="text1"/>
        </w:rPr>
        <w:t>30 January 2015 to date of payment, both days inclusive</w:t>
      </w:r>
      <w:r w:rsidR="00567722">
        <w:rPr>
          <w:rFonts w:ascii="Arial" w:hAnsi="Arial" w:cs="Arial"/>
          <w:color w:val="000000" w:themeColor="text1"/>
        </w:rPr>
        <w:t>.</w:t>
      </w:r>
    </w:p>
    <w:p w14:paraId="7C024176" w14:textId="3C84A634" w:rsidR="00A112C6" w:rsidRPr="0083068D" w:rsidRDefault="00041534" w:rsidP="00192993">
      <w:pPr>
        <w:adjustRightInd w:val="0"/>
        <w:snapToGrid w:val="0"/>
        <w:spacing w:before="120" w:after="120" w:line="360" w:lineRule="auto"/>
        <w:ind w:left="1440"/>
        <w:jc w:val="both"/>
        <w:rPr>
          <w:rFonts w:ascii="Arial" w:hAnsi="Arial" w:cs="Arial"/>
          <w:color w:val="000000" w:themeColor="text1"/>
        </w:rPr>
      </w:pPr>
      <w:r w:rsidRPr="0083068D">
        <w:rPr>
          <w:rFonts w:ascii="Arial" w:hAnsi="Arial" w:cs="Arial"/>
          <w:color w:val="000000" w:themeColor="text1"/>
        </w:rPr>
        <w:t>2. The respondent is to pay the applicant’s costs</w:t>
      </w:r>
      <w:r w:rsidR="00A445C0" w:rsidRPr="0083068D">
        <w:rPr>
          <w:rFonts w:ascii="Arial" w:hAnsi="Arial" w:cs="Arial"/>
          <w:color w:val="000000" w:themeColor="text1"/>
        </w:rPr>
        <w:t>.</w:t>
      </w:r>
      <w:r w:rsidRPr="0083068D">
        <w:rPr>
          <w:rFonts w:ascii="Arial" w:hAnsi="Arial" w:cs="Arial"/>
          <w:color w:val="000000" w:themeColor="text1"/>
        </w:rPr>
        <w:t>’</w:t>
      </w:r>
    </w:p>
    <w:p w14:paraId="47E8E04C" w14:textId="4BF1A16B" w:rsidR="00936E1C" w:rsidRPr="0083068D" w:rsidRDefault="00936E1C" w:rsidP="00192993">
      <w:pPr>
        <w:adjustRightInd w:val="0"/>
        <w:snapToGrid w:val="0"/>
        <w:spacing w:before="120" w:after="120" w:line="360" w:lineRule="auto"/>
        <w:ind w:left="1440"/>
        <w:jc w:val="both"/>
        <w:rPr>
          <w:rFonts w:ascii="Arial" w:hAnsi="Arial" w:cs="Arial"/>
          <w:color w:val="000000" w:themeColor="text1"/>
        </w:rPr>
      </w:pPr>
    </w:p>
    <w:p w14:paraId="7138B6D4" w14:textId="77777777" w:rsidR="00093030" w:rsidRPr="0083068D" w:rsidRDefault="00093030" w:rsidP="00192993">
      <w:pPr>
        <w:adjustRightInd w:val="0"/>
        <w:snapToGrid w:val="0"/>
        <w:spacing w:before="120" w:after="120" w:line="360" w:lineRule="auto"/>
        <w:rPr>
          <w:rFonts w:ascii="Arial" w:hAnsi="Arial" w:cs="Arial"/>
          <w:b/>
          <w:bCs/>
          <w:color w:val="000000" w:themeColor="text1"/>
        </w:rPr>
      </w:pPr>
      <w:r w:rsidRPr="0083068D">
        <w:rPr>
          <w:rFonts w:ascii="Arial" w:hAnsi="Arial" w:cs="Arial"/>
          <w:noProof/>
          <w:color w:val="000000" w:themeColor="text1"/>
          <w:lang w:eastAsia="en-ZA"/>
        </w:rPr>
        <mc:AlternateContent>
          <mc:Choice Requires="wps">
            <w:drawing>
              <wp:anchor distT="0" distB="0" distL="114300" distR="114300" simplePos="0" relativeHeight="251663360" behindDoc="0" locked="0" layoutInCell="1" allowOverlap="1" wp14:anchorId="71F72688" wp14:editId="318E2D70">
                <wp:simplePos x="0" y="0"/>
                <wp:positionH relativeFrom="column">
                  <wp:posOffset>0</wp:posOffset>
                </wp:positionH>
                <wp:positionV relativeFrom="paragraph">
                  <wp:posOffset>59055</wp:posOffset>
                </wp:positionV>
                <wp:extent cx="5257800" cy="0"/>
                <wp:effectExtent l="0" t="0" r="12700" b="127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FBD3794"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5pt" to="414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">
                <o:lock v:ext="edit" shapetype="f"/>
              </v:line>
            </w:pict>
          </mc:Fallback>
        </mc:AlternateContent>
      </w:r>
    </w:p>
    <w:p w14:paraId="27CAD788" w14:textId="77777777" w:rsidR="00093030" w:rsidRPr="0083068D" w:rsidRDefault="00093030" w:rsidP="00192993">
      <w:pPr>
        <w:pStyle w:val="Heading1"/>
        <w:adjustRightInd w:val="0"/>
        <w:snapToGrid w:val="0"/>
        <w:spacing w:before="120" w:after="120"/>
        <w:jc w:val="center"/>
        <w:rPr>
          <w:color w:val="000000" w:themeColor="text1"/>
          <w:sz w:val="24"/>
        </w:rPr>
      </w:pPr>
      <w:r w:rsidRPr="0083068D">
        <w:rPr>
          <w:color w:val="000000" w:themeColor="text1"/>
          <w:sz w:val="24"/>
        </w:rPr>
        <w:t>JUDGMENT</w:t>
      </w:r>
    </w:p>
    <w:p w14:paraId="2BBB4144" w14:textId="1FE52657" w:rsidR="00093030" w:rsidRPr="0083068D" w:rsidRDefault="00093030" w:rsidP="00192993">
      <w:pPr>
        <w:adjustRightInd w:val="0"/>
        <w:snapToGrid w:val="0"/>
        <w:spacing w:before="120" w:after="120" w:line="360" w:lineRule="auto"/>
        <w:rPr>
          <w:rFonts w:ascii="Arial" w:hAnsi="Arial" w:cs="Arial"/>
          <w:color w:val="000000" w:themeColor="text1"/>
        </w:rPr>
      </w:pPr>
      <w:r w:rsidRPr="0083068D">
        <w:rPr>
          <w:rFonts w:ascii="Arial" w:hAnsi="Arial" w:cs="Arial"/>
          <w:noProof/>
          <w:color w:val="000000" w:themeColor="text1"/>
          <w:lang w:eastAsia="en-ZA"/>
        </w:rPr>
        <mc:AlternateContent>
          <mc:Choice Requires="wps">
            <w:drawing>
              <wp:anchor distT="0" distB="0" distL="114300" distR="114300" simplePos="0" relativeHeight="251664384" behindDoc="0" locked="0" layoutInCell="1" allowOverlap="1" wp14:anchorId="3671E93F" wp14:editId="4B0DDB45">
                <wp:simplePos x="0" y="0"/>
                <wp:positionH relativeFrom="column">
                  <wp:posOffset>0</wp:posOffset>
                </wp:positionH>
                <wp:positionV relativeFrom="paragraph">
                  <wp:posOffset>140970</wp:posOffset>
                </wp:positionV>
                <wp:extent cx="5257800" cy="0"/>
                <wp:effectExtent l="0" t="0" r="1270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F0C9C5D" id="Line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pt" to="41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">
                <o:lock v:ext="edit" shapetype="f"/>
              </v:line>
            </w:pict>
          </mc:Fallback>
        </mc:AlternateContent>
      </w:r>
    </w:p>
    <w:p w14:paraId="49C3A4C5" w14:textId="13883526" w:rsidR="00093030" w:rsidRPr="0083068D" w:rsidRDefault="00C80397" w:rsidP="00192993">
      <w:pPr>
        <w:adjustRightInd w:val="0"/>
        <w:snapToGrid w:val="0"/>
        <w:spacing w:before="120" w:after="120" w:line="360" w:lineRule="auto"/>
        <w:rPr>
          <w:rFonts w:ascii="Arial" w:hAnsi="Arial" w:cs="Arial"/>
          <w:b/>
          <w:color w:val="000000" w:themeColor="text1"/>
        </w:rPr>
      </w:pPr>
      <w:r w:rsidRPr="0083068D">
        <w:rPr>
          <w:rFonts w:ascii="Arial" w:hAnsi="Arial" w:cs="Arial"/>
          <w:b/>
          <w:color w:val="000000" w:themeColor="text1"/>
        </w:rPr>
        <w:t>Savage</w:t>
      </w:r>
      <w:r w:rsidR="00093030" w:rsidRPr="0083068D">
        <w:rPr>
          <w:rFonts w:ascii="Arial" w:hAnsi="Arial" w:cs="Arial"/>
          <w:b/>
          <w:color w:val="000000" w:themeColor="text1"/>
        </w:rPr>
        <w:t xml:space="preserve"> </w:t>
      </w:r>
      <w:r w:rsidRPr="0083068D">
        <w:rPr>
          <w:rFonts w:ascii="Arial" w:hAnsi="Arial" w:cs="Arial"/>
          <w:b/>
          <w:color w:val="000000" w:themeColor="text1"/>
        </w:rPr>
        <w:t>A</w:t>
      </w:r>
      <w:r w:rsidR="00093030" w:rsidRPr="0083068D">
        <w:rPr>
          <w:rFonts w:ascii="Arial" w:hAnsi="Arial" w:cs="Arial"/>
          <w:b/>
          <w:color w:val="000000" w:themeColor="text1"/>
        </w:rPr>
        <w:t>JA (</w:t>
      </w:r>
      <w:r w:rsidR="0009633F" w:rsidRPr="0083068D">
        <w:rPr>
          <w:rFonts w:ascii="Arial" w:hAnsi="Arial" w:cs="Arial"/>
          <w:b/>
          <w:color w:val="000000" w:themeColor="text1"/>
        </w:rPr>
        <w:t>Maya P</w:t>
      </w:r>
      <w:r w:rsidRPr="0083068D">
        <w:rPr>
          <w:rFonts w:ascii="Arial" w:hAnsi="Arial" w:cs="Arial"/>
          <w:b/>
          <w:color w:val="000000" w:themeColor="text1"/>
        </w:rPr>
        <w:t xml:space="preserve">, </w:t>
      </w:r>
      <w:r w:rsidR="0009633F" w:rsidRPr="0083068D">
        <w:rPr>
          <w:rFonts w:ascii="Arial" w:hAnsi="Arial" w:cs="Arial"/>
          <w:b/>
          <w:color w:val="000000" w:themeColor="text1"/>
        </w:rPr>
        <w:t>Zondi, Makgoka JJA</w:t>
      </w:r>
      <w:r w:rsidR="005A17D4" w:rsidRPr="0083068D">
        <w:rPr>
          <w:rFonts w:ascii="Arial" w:hAnsi="Arial" w:cs="Arial"/>
          <w:b/>
          <w:color w:val="000000" w:themeColor="text1"/>
        </w:rPr>
        <w:t xml:space="preserve"> and</w:t>
      </w:r>
      <w:r w:rsidR="0009633F" w:rsidRPr="0083068D">
        <w:rPr>
          <w:rFonts w:ascii="Arial" w:hAnsi="Arial" w:cs="Arial"/>
          <w:b/>
          <w:color w:val="000000" w:themeColor="text1"/>
        </w:rPr>
        <w:t xml:space="preserve"> Meyer AJA</w:t>
      </w:r>
      <w:r w:rsidR="0037169E" w:rsidRPr="0083068D">
        <w:rPr>
          <w:rFonts w:ascii="Arial" w:hAnsi="Arial" w:cs="Arial"/>
          <w:b/>
          <w:color w:val="000000" w:themeColor="text1"/>
        </w:rPr>
        <w:t xml:space="preserve"> </w:t>
      </w:r>
      <w:r w:rsidR="00741907" w:rsidRPr="0083068D">
        <w:rPr>
          <w:rFonts w:ascii="Arial" w:hAnsi="Arial" w:cs="Arial"/>
          <w:b/>
          <w:color w:val="000000" w:themeColor="text1"/>
        </w:rPr>
        <w:t>concurring</w:t>
      </w:r>
      <w:r w:rsidR="00093030" w:rsidRPr="0083068D">
        <w:rPr>
          <w:rFonts w:ascii="Arial" w:hAnsi="Arial" w:cs="Arial"/>
          <w:b/>
          <w:color w:val="000000" w:themeColor="text1"/>
        </w:rPr>
        <w:t>)</w:t>
      </w:r>
    </w:p>
    <w:p w14:paraId="7194F5F3" w14:textId="1C86BBAA" w:rsidR="00093030" w:rsidRPr="0083068D" w:rsidRDefault="00500E28" w:rsidP="00192993">
      <w:pPr>
        <w:adjustRightInd w:val="0"/>
        <w:snapToGrid w:val="0"/>
        <w:spacing w:before="240" w:after="240" w:line="360" w:lineRule="auto"/>
        <w:jc w:val="both"/>
        <w:rPr>
          <w:rFonts w:ascii="Arial" w:hAnsi="Arial" w:cs="Arial"/>
          <w:b/>
          <w:bCs/>
          <w:color w:val="000000" w:themeColor="text1"/>
        </w:rPr>
      </w:pPr>
      <w:r w:rsidRPr="0083068D">
        <w:rPr>
          <w:rFonts w:ascii="Arial" w:hAnsi="Arial" w:cs="Arial"/>
          <w:b/>
          <w:bCs/>
          <w:color w:val="000000" w:themeColor="text1"/>
        </w:rPr>
        <w:t>Introduction</w:t>
      </w:r>
    </w:p>
    <w:p w14:paraId="065A6A83" w14:textId="2F3E9B73" w:rsidR="00A81828" w:rsidRPr="0083068D" w:rsidRDefault="00500E28" w:rsidP="00AB4300">
      <w:pPr>
        <w:pStyle w:val="ListParagraph"/>
        <w:numPr>
          <w:ilvl w:val="0"/>
          <w:numId w:val="1"/>
        </w:numPr>
        <w:adjustRightInd w:val="0"/>
        <w:snapToGrid w:val="0"/>
        <w:spacing w:before="240" w:after="480" w:line="360" w:lineRule="auto"/>
        <w:contextualSpacing w:val="0"/>
        <w:jc w:val="both"/>
        <w:rPr>
          <w:rFonts w:ascii="Arial" w:hAnsi="Arial" w:cs="Arial"/>
          <w:color w:val="000000" w:themeColor="text1"/>
        </w:rPr>
      </w:pPr>
      <w:r w:rsidRPr="0083068D">
        <w:rPr>
          <w:rFonts w:ascii="Arial" w:hAnsi="Arial" w:cs="Arial"/>
          <w:color w:val="000000" w:themeColor="text1"/>
          <w:shd w:val="clear" w:color="auto" w:fill="FFFFFF"/>
          <w:lang w:val="en-ZA" w:eastAsia="en-GB"/>
        </w:rPr>
        <w:t> Th</w:t>
      </w:r>
      <w:r w:rsidR="004B2891" w:rsidRPr="0083068D">
        <w:rPr>
          <w:rFonts w:ascii="Arial" w:hAnsi="Arial" w:cs="Arial"/>
          <w:color w:val="000000" w:themeColor="text1"/>
          <w:shd w:val="clear" w:color="auto" w:fill="FFFFFF"/>
          <w:lang w:val="en-ZA" w:eastAsia="en-GB"/>
        </w:rPr>
        <w:t xml:space="preserve">e applicant, </w:t>
      </w:r>
      <w:r w:rsidR="004B2891" w:rsidRPr="0083068D">
        <w:rPr>
          <w:rFonts w:ascii="Arial" w:hAnsi="Arial" w:cs="Arial"/>
          <w:color w:val="000000" w:themeColor="text1"/>
        </w:rPr>
        <w:t xml:space="preserve">Engen Petroleum Limited (Engen), seeks leave to </w:t>
      </w:r>
      <w:r w:rsidRPr="0083068D">
        <w:rPr>
          <w:rFonts w:ascii="Arial" w:hAnsi="Arial" w:cs="Arial"/>
          <w:color w:val="000000" w:themeColor="text1"/>
          <w:shd w:val="clear" w:color="auto" w:fill="FFFFFF"/>
          <w:lang w:val="en-ZA" w:eastAsia="en-GB"/>
        </w:rPr>
        <w:t>appeal</w:t>
      </w:r>
      <w:r w:rsidR="005A17D4" w:rsidRPr="0083068D">
        <w:rPr>
          <w:rFonts w:ascii="Arial" w:hAnsi="Arial" w:cs="Arial"/>
          <w:color w:val="000000" w:themeColor="text1"/>
          <w:shd w:val="clear" w:color="auto" w:fill="FFFFFF"/>
          <w:lang w:val="en-ZA" w:eastAsia="en-GB"/>
        </w:rPr>
        <w:t xml:space="preserve"> </w:t>
      </w:r>
      <w:r w:rsidR="00194EE0" w:rsidRPr="0083068D">
        <w:rPr>
          <w:rFonts w:ascii="Arial" w:hAnsi="Arial" w:cs="Arial"/>
          <w:color w:val="000000" w:themeColor="text1"/>
          <w:shd w:val="clear" w:color="auto" w:fill="FFFFFF"/>
          <w:lang w:val="en-ZA" w:eastAsia="en-GB"/>
        </w:rPr>
        <w:t xml:space="preserve">to this Court </w:t>
      </w:r>
      <w:r w:rsidR="005A17D4" w:rsidRPr="0083068D">
        <w:rPr>
          <w:rFonts w:ascii="Arial" w:hAnsi="Arial" w:cs="Arial"/>
          <w:color w:val="000000" w:themeColor="text1"/>
          <w:shd w:val="clear" w:color="auto" w:fill="FFFFFF"/>
          <w:lang w:val="en-ZA" w:eastAsia="en-GB"/>
        </w:rPr>
        <w:t xml:space="preserve">against the judgment and order of </w:t>
      </w:r>
      <w:r w:rsidRPr="0083068D">
        <w:rPr>
          <w:rFonts w:ascii="Arial" w:hAnsi="Arial" w:cs="Arial"/>
          <w:color w:val="000000" w:themeColor="text1"/>
          <w:shd w:val="clear" w:color="auto" w:fill="FFFFFF"/>
          <w:lang w:val="en-ZA" w:eastAsia="en-GB"/>
        </w:rPr>
        <w:t xml:space="preserve">the </w:t>
      </w:r>
      <w:r w:rsidR="005A17D4" w:rsidRPr="0083068D">
        <w:rPr>
          <w:rFonts w:ascii="Arial" w:hAnsi="Arial" w:cs="Arial"/>
          <w:color w:val="000000" w:themeColor="text1"/>
          <w:shd w:val="clear" w:color="auto" w:fill="FFFFFF"/>
          <w:lang w:val="en-ZA" w:eastAsia="en-GB"/>
        </w:rPr>
        <w:t>Northern Cape</w:t>
      </w:r>
      <w:r w:rsidRPr="0083068D">
        <w:rPr>
          <w:rFonts w:ascii="Arial" w:hAnsi="Arial" w:cs="Arial"/>
          <w:color w:val="000000" w:themeColor="text1"/>
          <w:shd w:val="clear" w:color="auto" w:fill="FFFFFF"/>
          <w:lang w:val="en-ZA" w:eastAsia="en-GB"/>
        </w:rPr>
        <w:t xml:space="preserve"> Division of the High Court, </w:t>
      </w:r>
      <w:r w:rsidR="005A17D4" w:rsidRPr="0083068D">
        <w:rPr>
          <w:rFonts w:ascii="Arial" w:hAnsi="Arial" w:cs="Arial"/>
          <w:color w:val="000000" w:themeColor="text1"/>
          <w:shd w:val="clear" w:color="auto" w:fill="FFFFFF"/>
          <w:lang w:val="en-ZA" w:eastAsia="en-GB"/>
        </w:rPr>
        <w:t>Kimberley</w:t>
      </w:r>
      <w:r w:rsidRPr="0083068D">
        <w:rPr>
          <w:rFonts w:ascii="Arial" w:hAnsi="Arial" w:cs="Arial"/>
          <w:color w:val="000000" w:themeColor="text1"/>
          <w:shd w:val="clear" w:color="auto" w:fill="FFFFFF"/>
          <w:lang w:val="en-ZA" w:eastAsia="en-GB"/>
        </w:rPr>
        <w:t xml:space="preserve"> (the high court), </w:t>
      </w:r>
      <w:r w:rsidR="005A17D4" w:rsidRPr="0083068D">
        <w:rPr>
          <w:rFonts w:ascii="Arial" w:hAnsi="Arial" w:cs="Arial"/>
          <w:color w:val="000000" w:themeColor="text1"/>
          <w:shd w:val="clear" w:color="auto" w:fill="FFFFFF"/>
          <w:lang w:val="en-ZA" w:eastAsia="en-GB"/>
        </w:rPr>
        <w:t>dated 29 March 2020</w:t>
      </w:r>
      <w:r w:rsidR="003D53F6" w:rsidRPr="0083068D">
        <w:rPr>
          <w:rFonts w:ascii="Arial" w:hAnsi="Arial" w:cs="Arial"/>
          <w:color w:val="000000" w:themeColor="text1"/>
          <w:shd w:val="clear" w:color="auto" w:fill="FFFFFF"/>
          <w:lang w:val="en-ZA" w:eastAsia="en-GB"/>
        </w:rPr>
        <w:t>. Th</w:t>
      </w:r>
      <w:r w:rsidR="0081557A" w:rsidRPr="0083068D">
        <w:rPr>
          <w:rFonts w:ascii="Arial" w:hAnsi="Arial" w:cs="Arial"/>
          <w:color w:val="000000" w:themeColor="text1"/>
          <w:shd w:val="clear" w:color="auto" w:fill="FFFFFF"/>
          <w:lang w:val="en-ZA" w:eastAsia="en-GB"/>
        </w:rPr>
        <w:t>is</w:t>
      </w:r>
      <w:r w:rsidR="00C25B88">
        <w:rPr>
          <w:rFonts w:ascii="Arial" w:hAnsi="Arial" w:cs="Arial"/>
          <w:color w:val="000000" w:themeColor="text1"/>
          <w:shd w:val="clear" w:color="auto" w:fill="FFFFFF"/>
          <w:lang w:val="en-ZA" w:eastAsia="en-GB"/>
        </w:rPr>
        <w:t xml:space="preserve"> was</w:t>
      </w:r>
      <w:r w:rsidR="0081557A" w:rsidRPr="0083068D">
        <w:rPr>
          <w:rFonts w:ascii="Arial" w:hAnsi="Arial" w:cs="Arial"/>
          <w:color w:val="000000" w:themeColor="text1"/>
          <w:shd w:val="clear" w:color="auto" w:fill="FFFFFF"/>
          <w:lang w:val="en-ZA" w:eastAsia="en-GB"/>
        </w:rPr>
        <w:t xml:space="preserve"> after the high court</w:t>
      </w:r>
      <w:r w:rsidR="003D53F6" w:rsidRPr="0083068D">
        <w:rPr>
          <w:rFonts w:ascii="Arial" w:hAnsi="Arial" w:cs="Arial"/>
          <w:color w:val="000000" w:themeColor="text1"/>
          <w:shd w:val="clear" w:color="auto" w:fill="FFFFFF"/>
          <w:lang w:val="en-ZA" w:eastAsia="en-GB"/>
        </w:rPr>
        <w:t xml:space="preserve"> </w:t>
      </w:r>
      <w:r w:rsidR="0081557A" w:rsidRPr="0083068D">
        <w:rPr>
          <w:rFonts w:ascii="Arial" w:hAnsi="Arial" w:cs="Arial"/>
          <w:color w:val="000000" w:themeColor="text1"/>
          <w:shd w:val="clear" w:color="auto" w:fill="FFFFFF"/>
          <w:lang w:val="en-ZA" w:eastAsia="en-GB"/>
        </w:rPr>
        <w:t xml:space="preserve">dismissed with costs </w:t>
      </w:r>
      <w:r w:rsidR="0081557A" w:rsidRPr="0083068D">
        <w:rPr>
          <w:rFonts w:ascii="Arial" w:hAnsi="Arial" w:cs="Arial"/>
          <w:color w:val="000000" w:themeColor="text1"/>
        </w:rPr>
        <w:t>Engen’s</w:t>
      </w:r>
      <w:r w:rsidR="005A17D4" w:rsidRPr="0083068D">
        <w:rPr>
          <w:rFonts w:ascii="Arial" w:hAnsi="Arial" w:cs="Arial"/>
          <w:color w:val="000000" w:themeColor="text1"/>
        </w:rPr>
        <w:t xml:space="preserve"> application to enforce </w:t>
      </w:r>
      <w:r w:rsidR="00443929" w:rsidRPr="0083068D">
        <w:rPr>
          <w:rFonts w:ascii="Arial" w:hAnsi="Arial" w:cs="Arial"/>
          <w:color w:val="000000" w:themeColor="text1"/>
        </w:rPr>
        <w:t xml:space="preserve">against </w:t>
      </w:r>
      <w:r w:rsidR="0068087E" w:rsidRPr="0083068D">
        <w:rPr>
          <w:rFonts w:ascii="Arial" w:hAnsi="Arial" w:cs="Arial"/>
          <w:color w:val="000000" w:themeColor="text1"/>
        </w:rPr>
        <w:t xml:space="preserve">the respondent, </w:t>
      </w:r>
      <w:r w:rsidR="00443929" w:rsidRPr="0083068D">
        <w:rPr>
          <w:rFonts w:ascii="Arial" w:hAnsi="Arial" w:cs="Arial"/>
          <w:color w:val="000000" w:themeColor="text1"/>
        </w:rPr>
        <w:t>Flotank Transport (Pty) Ltd (Flotank), t</w:t>
      </w:r>
      <w:r w:rsidR="007B2EF9" w:rsidRPr="0083068D">
        <w:rPr>
          <w:rFonts w:ascii="Arial" w:hAnsi="Arial" w:cs="Arial"/>
          <w:color w:val="000000" w:themeColor="text1"/>
        </w:rPr>
        <w:t xml:space="preserve">he terms of a cession agreement </w:t>
      </w:r>
      <w:r w:rsidR="00442D4A" w:rsidRPr="0083068D">
        <w:rPr>
          <w:rFonts w:ascii="Arial" w:hAnsi="Arial" w:cs="Arial"/>
          <w:color w:val="000000" w:themeColor="text1"/>
        </w:rPr>
        <w:t>concluded</w:t>
      </w:r>
      <w:r w:rsidR="00443929" w:rsidRPr="0083068D">
        <w:rPr>
          <w:rFonts w:ascii="Arial" w:hAnsi="Arial" w:cs="Arial"/>
          <w:color w:val="000000" w:themeColor="text1"/>
        </w:rPr>
        <w:t xml:space="preserve"> between Engen and Windsharp Trading (Pty) Limited (Windsharp)</w:t>
      </w:r>
      <w:r w:rsidR="000E5036" w:rsidRPr="0083068D">
        <w:rPr>
          <w:rFonts w:ascii="Arial" w:hAnsi="Arial" w:cs="Arial"/>
          <w:color w:val="000000" w:themeColor="text1"/>
        </w:rPr>
        <w:t>.</w:t>
      </w:r>
      <w:r w:rsidR="00194EE0" w:rsidRPr="0083068D">
        <w:rPr>
          <w:rFonts w:ascii="Arial" w:hAnsi="Arial" w:cs="Arial"/>
          <w:color w:val="000000" w:themeColor="text1"/>
        </w:rPr>
        <w:t xml:space="preserve"> </w:t>
      </w:r>
      <w:r w:rsidR="00442D4A" w:rsidRPr="0083068D">
        <w:rPr>
          <w:rFonts w:ascii="Arial" w:hAnsi="Arial" w:cs="Arial"/>
          <w:color w:val="000000" w:themeColor="text1"/>
        </w:rPr>
        <w:t>Engen</w:t>
      </w:r>
      <w:r w:rsidR="00A445C0" w:rsidRPr="0083068D">
        <w:rPr>
          <w:rFonts w:ascii="Arial" w:hAnsi="Arial" w:cs="Arial"/>
          <w:color w:val="000000" w:themeColor="text1"/>
        </w:rPr>
        <w:t xml:space="preserve"> </w:t>
      </w:r>
      <w:r w:rsidR="00741907" w:rsidRPr="0083068D">
        <w:rPr>
          <w:rFonts w:ascii="Arial" w:hAnsi="Arial" w:cs="Arial"/>
          <w:color w:val="000000" w:themeColor="text1"/>
        </w:rPr>
        <w:t>a</w:t>
      </w:r>
      <w:r w:rsidR="00A445C0" w:rsidRPr="0083068D">
        <w:rPr>
          <w:rFonts w:ascii="Arial" w:hAnsi="Arial" w:cs="Arial"/>
          <w:color w:val="000000" w:themeColor="text1"/>
        </w:rPr>
        <w:t>pplied for leave to appeal.</w:t>
      </w:r>
      <w:r w:rsidR="00741907" w:rsidRPr="0083068D">
        <w:rPr>
          <w:rFonts w:ascii="Arial" w:hAnsi="Arial" w:cs="Arial"/>
          <w:color w:val="000000" w:themeColor="text1"/>
        </w:rPr>
        <w:t xml:space="preserve"> This was refused.</w:t>
      </w:r>
    </w:p>
    <w:p w14:paraId="1E7A95D9" w14:textId="7BBD8A9D" w:rsidR="00A81828" w:rsidRPr="0083068D" w:rsidRDefault="0081557A" w:rsidP="00AB4300">
      <w:pPr>
        <w:pStyle w:val="ListParagraph"/>
        <w:numPr>
          <w:ilvl w:val="0"/>
          <w:numId w:val="1"/>
        </w:numPr>
        <w:adjustRightInd w:val="0"/>
        <w:snapToGrid w:val="0"/>
        <w:spacing w:before="240" w:after="360" w:line="360" w:lineRule="auto"/>
        <w:contextualSpacing w:val="0"/>
        <w:jc w:val="both"/>
        <w:rPr>
          <w:rFonts w:ascii="Arial" w:hAnsi="Arial" w:cs="Arial"/>
          <w:color w:val="000000" w:themeColor="text1"/>
        </w:rPr>
      </w:pPr>
      <w:r w:rsidRPr="0083068D">
        <w:rPr>
          <w:rFonts w:ascii="Arial" w:hAnsi="Arial" w:cs="Arial"/>
          <w:color w:val="000000" w:themeColor="text1"/>
        </w:rPr>
        <w:t>Following th</w:t>
      </w:r>
      <w:r w:rsidR="00254A3F" w:rsidRPr="0083068D">
        <w:rPr>
          <w:rFonts w:ascii="Arial" w:hAnsi="Arial" w:cs="Arial"/>
          <w:color w:val="000000" w:themeColor="text1"/>
        </w:rPr>
        <w:t>e</w:t>
      </w:r>
      <w:r w:rsidR="00986CCF" w:rsidRPr="0083068D">
        <w:rPr>
          <w:rFonts w:ascii="Arial" w:hAnsi="Arial" w:cs="Arial"/>
          <w:color w:val="000000" w:themeColor="text1"/>
        </w:rPr>
        <w:t xml:space="preserve"> refus</w:t>
      </w:r>
      <w:r w:rsidRPr="0083068D">
        <w:rPr>
          <w:rFonts w:ascii="Arial" w:hAnsi="Arial" w:cs="Arial"/>
          <w:color w:val="000000" w:themeColor="text1"/>
        </w:rPr>
        <w:t>al by the high court of</w:t>
      </w:r>
      <w:r w:rsidR="00254A3F" w:rsidRPr="0083068D">
        <w:rPr>
          <w:rFonts w:ascii="Arial" w:hAnsi="Arial" w:cs="Arial"/>
          <w:color w:val="000000" w:themeColor="text1"/>
        </w:rPr>
        <w:t xml:space="preserve"> </w:t>
      </w:r>
      <w:r w:rsidR="00D92755" w:rsidRPr="0083068D">
        <w:rPr>
          <w:rFonts w:ascii="Arial" w:hAnsi="Arial" w:cs="Arial"/>
          <w:color w:val="000000" w:themeColor="text1"/>
        </w:rPr>
        <w:t xml:space="preserve">Engen’s application for </w:t>
      </w:r>
      <w:r w:rsidR="00986CCF" w:rsidRPr="0083068D">
        <w:rPr>
          <w:rFonts w:ascii="Arial" w:hAnsi="Arial" w:cs="Arial"/>
          <w:color w:val="000000" w:themeColor="text1"/>
        </w:rPr>
        <w:t>leave to appeal</w:t>
      </w:r>
      <w:r w:rsidRPr="0083068D">
        <w:rPr>
          <w:rFonts w:ascii="Arial" w:hAnsi="Arial" w:cs="Arial"/>
          <w:color w:val="000000" w:themeColor="text1"/>
        </w:rPr>
        <w:t>,</w:t>
      </w:r>
      <w:r w:rsidR="00986CCF" w:rsidRPr="0083068D">
        <w:rPr>
          <w:rFonts w:ascii="Arial" w:hAnsi="Arial" w:cs="Arial"/>
          <w:color w:val="000000" w:themeColor="text1"/>
        </w:rPr>
        <w:t xml:space="preserve"> </w:t>
      </w:r>
      <w:r w:rsidR="00741907" w:rsidRPr="0083068D">
        <w:rPr>
          <w:rFonts w:ascii="Arial" w:hAnsi="Arial" w:cs="Arial"/>
          <w:color w:val="000000" w:themeColor="text1"/>
        </w:rPr>
        <w:t>Engen petitioned this Court for leave to appeal. The application was referred for oral argument in terms of s 17(2)</w:t>
      </w:r>
      <w:r w:rsidR="00741907" w:rsidRPr="0083068D">
        <w:rPr>
          <w:rFonts w:ascii="Arial" w:hAnsi="Arial" w:cs="Arial"/>
          <w:i/>
          <w:color w:val="000000" w:themeColor="text1"/>
        </w:rPr>
        <w:t>(d)</w:t>
      </w:r>
      <w:r w:rsidR="00741907" w:rsidRPr="0083068D">
        <w:rPr>
          <w:rFonts w:ascii="Arial" w:hAnsi="Arial" w:cs="Arial"/>
          <w:color w:val="000000" w:themeColor="text1"/>
        </w:rPr>
        <w:t xml:space="preserve"> of the Superior Courts Act 10 of 2013. The parties were advised to be prepared, if called upon to do so, to address this Court on the merits</w:t>
      </w:r>
      <w:r w:rsidR="00741907" w:rsidRPr="00567722">
        <w:rPr>
          <w:rFonts w:ascii="Arial" w:hAnsi="Arial" w:cs="Arial"/>
          <w:color w:val="000000" w:themeColor="text1"/>
        </w:rPr>
        <w:t xml:space="preserve">. </w:t>
      </w:r>
      <w:r w:rsidR="00442D4A" w:rsidRPr="00567722">
        <w:rPr>
          <w:rStyle w:val="apple-converted-space"/>
          <w:rFonts w:ascii="Arial" w:hAnsi="Arial" w:cs="Arial"/>
          <w:color w:val="000000" w:themeColor="text1"/>
        </w:rPr>
        <w:t xml:space="preserve">Having regard to the </w:t>
      </w:r>
      <w:r w:rsidR="00741907" w:rsidRPr="00567722">
        <w:rPr>
          <w:rStyle w:val="apple-converted-space"/>
          <w:rFonts w:ascii="Arial" w:hAnsi="Arial" w:cs="Arial"/>
          <w:color w:val="000000" w:themeColor="text1"/>
        </w:rPr>
        <w:t>prospects of success,</w:t>
      </w:r>
      <w:r w:rsidR="00442D4A" w:rsidRPr="00567722">
        <w:rPr>
          <w:rStyle w:val="apple-converted-space"/>
          <w:rFonts w:ascii="Arial" w:hAnsi="Arial" w:cs="Arial"/>
          <w:color w:val="000000" w:themeColor="text1"/>
        </w:rPr>
        <w:t xml:space="preserve"> apparent from the reasons which follow, leave to appeal to this Court is granted</w:t>
      </w:r>
      <w:r w:rsidR="00741907" w:rsidRPr="00567722">
        <w:rPr>
          <w:rStyle w:val="apple-converted-space"/>
          <w:rFonts w:ascii="Arial" w:hAnsi="Arial" w:cs="Arial"/>
          <w:color w:val="000000" w:themeColor="text1"/>
        </w:rPr>
        <w:t>.</w:t>
      </w:r>
    </w:p>
    <w:p w14:paraId="2A32594B" w14:textId="7D7C480B" w:rsidR="005A17D4" w:rsidRPr="0083068D" w:rsidRDefault="005A17D4" w:rsidP="00AB4300">
      <w:pPr>
        <w:pStyle w:val="ListParagraph"/>
        <w:adjustRightInd w:val="0"/>
        <w:snapToGrid w:val="0"/>
        <w:spacing w:before="240" w:after="120" w:line="360" w:lineRule="auto"/>
        <w:ind w:left="0"/>
        <w:contextualSpacing w:val="0"/>
        <w:jc w:val="both"/>
        <w:rPr>
          <w:rFonts w:ascii="Arial" w:hAnsi="Arial" w:cs="Arial"/>
          <w:b/>
          <w:bCs/>
          <w:color w:val="000000" w:themeColor="text1"/>
          <w:lang w:val="en-ZA" w:eastAsia="en-GB"/>
        </w:rPr>
      </w:pPr>
      <w:r w:rsidRPr="0083068D">
        <w:rPr>
          <w:rFonts w:ascii="Arial" w:hAnsi="Arial" w:cs="Arial"/>
          <w:b/>
          <w:bCs/>
          <w:color w:val="000000" w:themeColor="text1"/>
        </w:rPr>
        <w:lastRenderedPageBreak/>
        <w:t xml:space="preserve">Relevant factual background </w:t>
      </w:r>
    </w:p>
    <w:p w14:paraId="32099867" w14:textId="02600CA0" w:rsidR="00192993" w:rsidRPr="0083068D" w:rsidRDefault="008C24CD" w:rsidP="00192993">
      <w:pPr>
        <w:pStyle w:val="ListParagraph"/>
        <w:numPr>
          <w:ilvl w:val="0"/>
          <w:numId w:val="1"/>
        </w:numPr>
        <w:adjustRightInd w:val="0"/>
        <w:snapToGrid w:val="0"/>
        <w:spacing w:before="240" w:after="240" w:line="360" w:lineRule="auto"/>
        <w:contextualSpacing w:val="0"/>
        <w:jc w:val="both"/>
        <w:rPr>
          <w:rFonts w:ascii="Arial" w:hAnsi="Arial" w:cs="Arial"/>
          <w:color w:val="000000" w:themeColor="text1"/>
          <w:lang w:val="en-ZA" w:eastAsia="en-GB"/>
        </w:rPr>
      </w:pPr>
      <w:r w:rsidRPr="0083068D">
        <w:rPr>
          <w:rFonts w:ascii="Arial" w:hAnsi="Arial" w:cs="Arial"/>
          <w:color w:val="000000" w:themeColor="text1"/>
        </w:rPr>
        <w:t xml:space="preserve">In January 2009 </w:t>
      </w:r>
      <w:r w:rsidR="005A17D4" w:rsidRPr="0083068D">
        <w:rPr>
          <w:rFonts w:ascii="Arial" w:hAnsi="Arial" w:cs="Arial"/>
          <w:color w:val="000000" w:themeColor="text1"/>
        </w:rPr>
        <w:t xml:space="preserve">Engen and Windsharp </w:t>
      </w:r>
      <w:r w:rsidR="00C40AA9" w:rsidRPr="0083068D">
        <w:rPr>
          <w:rFonts w:ascii="Arial" w:hAnsi="Arial" w:cs="Arial"/>
          <w:color w:val="000000" w:themeColor="text1"/>
        </w:rPr>
        <w:t>enter</w:t>
      </w:r>
      <w:r w:rsidR="005A17D4" w:rsidRPr="0083068D">
        <w:rPr>
          <w:rFonts w:ascii="Arial" w:hAnsi="Arial" w:cs="Arial"/>
          <w:color w:val="000000" w:themeColor="text1"/>
        </w:rPr>
        <w:t xml:space="preserve">ed </w:t>
      </w:r>
      <w:r w:rsidR="00C40AA9" w:rsidRPr="0083068D">
        <w:rPr>
          <w:rFonts w:ascii="Arial" w:hAnsi="Arial" w:cs="Arial"/>
          <w:color w:val="000000" w:themeColor="text1"/>
        </w:rPr>
        <w:t xml:space="preserve">into </w:t>
      </w:r>
      <w:r w:rsidR="00A32D7B" w:rsidRPr="0083068D">
        <w:rPr>
          <w:rFonts w:ascii="Arial" w:hAnsi="Arial" w:cs="Arial"/>
          <w:color w:val="000000" w:themeColor="text1"/>
        </w:rPr>
        <w:t>an</w:t>
      </w:r>
      <w:r w:rsidR="002B0338" w:rsidRPr="0083068D">
        <w:rPr>
          <w:rFonts w:ascii="Arial" w:hAnsi="Arial" w:cs="Arial"/>
          <w:color w:val="000000" w:themeColor="text1"/>
        </w:rPr>
        <w:t xml:space="preserve"> Engen Diesel Club (EDC) agreement. </w:t>
      </w:r>
      <w:r w:rsidR="00A32D7B" w:rsidRPr="0083068D">
        <w:rPr>
          <w:rFonts w:ascii="Arial" w:hAnsi="Arial" w:cs="Arial"/>
          <w:color w:val="000000" w:themeColor="text1"/>
        </w:rPr>
        <w:t>Under the terms of th</w:t>
      </w:r>
      <w:r w:rsidRPr="0083068D">
        <w:rPr>
          <w:rFonts w:ascii="Arial" w:hAnsi="Arial" w:cs="Arial"/>
          <w:color w:val="000000" w:themeColor="text1"/>
        </w:rPr>
        <w:t>e EDC</w:t>
      </w:r>
      <w:r w:rsidR="00A32D7B" w:rsidRPr="0083068D">
        <w:rPr>
          <w:rFonts w:ascii="Arial" w:hAnsi="Arial" w:cs="Arial"/>
          <w:color w:val="000000" w:themeColor="text1"/>
        </w:rPr>
        <w:t xml:space="preserve"> agreement, </w:t>
      </w:r>
      <w:r w:rsidR="002B0338" w:rsidRPr="0083068D">
        <w:rPr>
          <w:rFonts w:ascii="Arial" w:hAnsi="Arial" w:cs="Arial"/>
          <w:color w:val="000000" w:themeColor="text1"/>
        </w:rPr>
        <w:t xml:space="preserve">Windsharp became indebted to Engen </w:t>
      </w:r>
      <w:r w:rsidR="00B70D65" w:rsidRPr="0083068D">
        <w:rPr>
          <w:rFonts w:ascii="Arial" w:hAnsi="Arial" w:cs="Arial"/>
          <w:color w:val="000000" w:themeColor="text1"/>
        </w:rPr>
        <w:t xml:space="preserve">in </w:t>
      </w:r>
      <w:r w:rsidR="00126695" w:rsidRPr="0083068D">
        <w:rPr>
          <w:rFonts w:ascii="Arial" w:hAnsi="Arial" w:cs="Arial"/>
          <w:color w:val="000000" w:themeColor="text1"/>
        </w:rPr>
        <w:t>an</w:t>
      </w:r>
      <w:r w:rsidR="00B70D65" w:rsidRPr="0083068D">
        <w:rPr>
          <w:rFonts w:ascii="Arial" w:hAnsi="Arial" w:cs="Arial"/>
          <w:color w:val="000000" w:themeColor="text1"/>
        </w:rPr>
        <w:t xml:space="preserve"> amount </w:t>
      </w:r>
      <w:r w:rsidR="00126695" w:rsidRPr="0083068D">
        <w:rPr>
          <w:rFonts w:ascii="Arial" w:hAnsi="Arial" w:cs="Arial"/>
          <w:color w:val="000000" w:themeColor="text1"/>
        </w:rPr>
        <w:t xml:space="preserve">which, by June 2014, </w:t>
      </w:r>
      <w:r w:rsidR="003D53F6" w:rsidRPr="0083068D">
        <w:rPr>
          <w:rFonts w:ascii="Arial" w:hAnsi="Arial" w:cs="Arial"/>
          <w:color w:val="000000" w:themeColor="text1"/>
        </w:rPr>
        <w:t>exceeded</w:t>
      </w:r>
      <w:r w:rsidR="003C4A62" w:rsidRPr="0083068D">
        <w:rPr>
          <w:rFonts w:ascii="Arial" w:hAnsi="Arial" w:cs="Arial"/>
          <w:color w:val="000000" w:themeColor="text1"/>
        </w:rPr>
        <w:t xml:space="preserve"> </w:t>
      </w:r>
      <w:r w:rsidR="00B70D65" w:rsidRPr="0083068D">
        <w:rPr>
          <w:rFonts w:ascii="Arial" w:hAnsi="Arial" w:cs="Arial"/>
          <w:color w:val="000000" w:themeColor="text1"/>
        </w:rPr>
        <w:t>R5.5 million</w:t>
      </w:r>
      <w:r w:rsidR="005A17D4" w:rsidRPr="0083068D">
        <w:rPr>
          <w:rFonts w:ascii="Arial" w:hAnsi="Arial" w:cs="Arial"/>
          <w:color w:val="000000" w:themeColor="text1"/>
        </w:rPr>
        <w:t xml:space="preserve">. As security for </w:t>
      </w:r>
      <w:r w:rsidR="002B0338" w:rsidRPr="0083068D">
        <w:rPr>
          <w:rFonts w:ascii="Arial" w:hAnsi="Arial" w:cs="Arial"/>
          <w:color w:val="000000" w:themeColor="text1"/>
        </w:rPr>
        <w:t>the debt</w:t>
      </w:r>
      <w:r w:rsidR="005A17D4" w:rsidRPr="0083068D">
        <w:rPr>
          <w:rFonts w:ascii="Arial" w:hAnsi="Arial" w:cs="Arial"/>
          <w:color w:val="000000" w:themeColor="text1"/>
        </w:rPr>
        <w:t xml:space="preserve">, Engen and Windsharp concluded two deeds of cession, </w:t>
      </w:r>
      <w:r w:rsidR="00DC511F" w:rsidRPr="0083068D">
        <w:rPr>
          <w:rFonts w:ascii="Arial" w:hAnsi="Arial" w:cs="Arial"/>
          <w:color w:val="000000" w:themeColor="text1"/>
        </w:rPr>
        <w:t>in</w:t>
      </w:r>
      <w:r w:rsidR="005A17D4" w:rsidRPr="0083068D">
        <w:rPr>
          <w:rFonts w:ascii="Arial" w:hAnsi="Arial" w:cs="Arial"/>
          <w:color w:val="000000" w:themeColor="text1"/>
        </w:rPr>
        <w:t xml:space="preserve"> April 2012</w:t>
      </w:r>
      <w:r w:rsidR="00EB46F2" w:rsidRPr="0083068D">
        <w:rPr>
          <w:rFonts w:ascii="Arial" w:hAnsi="Arial" w:cs="Arial"/>
          <w:color w:val="000000" w:themeColor="text1"/>
        </w:rPr>
        <w:t xml:space="preserve"> and June 2014</w:t>
      </w:r>
      <w:r w:rsidR="002B0338" w:rsidRPr="0083068D">
        <w:rPr>
          <w:rFonts w:ascii="Arial" w:hAnsi="Arial" w:cs="Arial"/>
          <w:color w:val="000000" w:themeColor="text1"/>
        </w:rPr>
        <w:t xml:space="preserve">. </w:t>
      </w:r>
      <w:r w:rsidR="00E64FFE" w:rsidRPr="0083068D">
        <w:rPr>
          <w:rFonts w:ascii="Arial" w:hAnsi="Arial" w:cs="Arial"/>
          <w:color w:val="000000" w:themeColor="text1"/>
        </w:rPr>
        <w:t>Clause 1 of t</w:t>
      </w:r>
      <w:r w:rsidR="002B0338" w:rsidRPr="0083068D">
        <w:rPr>
          <w:rFonts w:ascii="Arial" w:hAnsi="Arial" w:cs="Arial"/>
          <w:color w:val="000000" w:themeColor="text1"/>
        </w:rPr>
        <w:t>he first cession</w:t>
      </w:r>
      <w:r w:rsidR="00DC511F" w:rsidRPr="0083068D">
        <w:rPr>
          <w:rFonts w:ascii="Arial" w:hAnsi="Arial" w:cs="Arial"/>
          <w:color w:val="000000" w:themeColor="text1"/>
        </w:rPr>
        <w:t>, entered into on 3 April 2012</w:t>
      </w:r>
      <w:r w:rsidR="00A32D7B" w:rsidRPr="0083068D">
        <w:rPr>
          <w:rFonts w:ascii="Arial" w:hAnsi="Arial" w:cs="Arial"/>
          <w:color w:val="000000" w:themeColor="text1"/>
        </w:rPr>
        <w:t xml:space="preserve"> (the 2012 cession)</w:t>
      </w:r>
      <w:r w:rsidR="00DC511F" w:rsidRPr="0083068D">
        <w:rPr>
          <w:rFonts w:ascii="Arial" w:hAnsi="Arial" w:cs="Arial"/>
          <w:color w:val="000000" w:themeColor="text1"/>
        </w:rPr>
        <w:t>,</w:t>
      </w:r>
      <w:r w:rsidR="002B0338" w:rsidRPr="0083068D">
        <w:rPr>
          <w:rFonts w:ascii="Arial" w:hAnsi="Arial" w:cs="Arial"/>
          <w:color w:val="000000" w:themeColor="text1"/>
        </w:rPr>
        <w:t xml:space="preserve"> recorded that:</w:t>
      </w:r>
    </w:p>
    <w:p w14:paraId="52D88376" w14:textId="66EF1254" w:rsidR="002B0338" w:rsidRPr="0083068D" w:rsidRDefault="002B0338" w:rsidP="00AB4300">
      <w:pPr>
        <w:adjustRightInd w:val="0"/>
        <w:snapToGrid w:val="0"/>
        <w:spacing w:before="240" w:line="360" w:lineRule="auto"/>
        <w:jc w:val="both"/>
        <w:rPr>
          <w:rFonts w:ascii="Arial" w:hAnsi="Arial" w:cs="Arial"/>
          <w:color w:val="000000" w:themeColor="text1"/>
          <w:sz w:val="22"/>
          <w:szCs w:val="22"/>
        </w:rPr>
      </w:pPr>
      <w:r w:rsidRPr="0083068D">
        <w:rPr>
          <w:rFonts w:ascii="Arial" w:hAnsi="Arial" w:cs="Arial"/>
          <w:color w:val="000000" w:themeColor="text1"/>
          <w:sz w:val="22"/>
          <w:szCs w:val="22"/>
        </w:rPr>
        <w:t xml:space="preserve">‘1. </w:t>
      </w:r>
      <w:r w:rsidRPr="0083068D">
        <w:rPr>
          <w:rFonts w:ascii="Arial" w:hAnsi="Arial" w:cs="Arial"/>
          <w:color w:val="000000" w:themeColor="text1"/>
          <w:sz w:val="22"/>
          <w:szCs w:val="22"/>
        </w:rPr>
        <w:tab/>
        <w:t>CESSION AND PLEDGE</w:t>
      </w:r>
    </w:p>
    <w:p w14:paraId="5FD35A48" w14:textId="35286B14" w:rsidR="00A81828" w:rsidRPr="0083068D" w:rsidRDefault="002B0338" w:rsidP="00AB4300">
      <w:pPr>
        <w:adjustRightInd w:val="0"/>
        <w:snapToGrid w:val="0"/>
        <w:spacing w:before="240" w:after="360" w:line="360" w:lineRule="auto"/>
        <w:jc w:val="both"/>
        <w:rPr>
          <w:rFonts w:ascii="Arial" w:hAnsi="Arial" w:cs="Arial"/>
          <w:color w:val="000000" w:themeColor="text1"/>
          <w:sz w:val="22"/>
          <w:szCs w:val="22"/>
        </w:rPr>
      </w:pPr>
      <w:r w:rsidRPr="0083068D">
        <w:rPr>
          <w:rFonts w:ascii="Arial" w:hAnsi="Arial" w:cs="Arial"/>
          <w:color w:val="000000" w:themeColor="text1"/>
          <w:sz w:val="22"/>
          <w:szCs w:val="22"/>
        </w:rPr>
        <w:t>The Cedent hereby cedes, transfers and makes over to the Cessionary all the Cedent’s right, title and interest in and to the Debts (as defined in clause 2) as a continuing general covering security for the due performance and discharge of every obligation and indebtedness from whatsoever cause and howsoever arising which the Cedent may no</w:t>
      </w:r>
      <w:r w:rsidR="00291876" w:rsidRPr="0083068D">
        <w:rPr>
          <w:rFonts w:ascii="Arial" w:hAnsi="Arial" w:cs="Arial"/>
          <w:color w:val="000000" w:themeColor="text1"/>
          <w:sz w:val="22"/>
          <w:szCs w:val="22"/>
        </w:rPr>
        <w:t>w</w:t>
      </w:r>
      <w:r w:rsidRPr="0083068D">
        <w:rPr>
          <w:rFonts w:ascii="Arial" w:hAnsi="Arial" w:cs="Arial"/>
          <w:color w:val="000000" w:themeColor="text1"/>
          <w:sz w:val="22"/>
          <w:szCs w:val="22"/>
        </w:rPr>
        <w:t xml:space="preserve"> or at any time hereafter have toward</w:t>
      </w:r>
      <w:r w:rsidR="00DC511F" w:rsidRPr="0083068D">
        <w:rPr>
          <w:rFonts w:ascii="Arial" w:hAnsi="Arial" w:cs="Arial"/>
          <w:color w:val="000000" w:themeColor="text1"/>
          <w:sz w:val="22"/>
          <w:szCs w:val="22"/>
        </w:rPr>
        <w:t xml:space="preserve"> the Cessionary; and without limiting the generality of the foregoing, whether such indebtedness be a direct, indirect or contingent liability; whether it be matured or not; whether it may be or may have been incurred by the Cedent individually or jointly with others or by any firm in which the Cedent has or holds or may hereafter have or hold any interest; and whether it arises through any acts of suretyship, guarantee, warranty, indemnity or other undertaking signed by the Cedent solely or jointly with others or otherwise.’</w:t>
      </w:r>
    </w:p>
    <w:p w14:paraId="7C7BCC8D" w14:textId="5B2E5E59" w:rsidR="000B7FE0" w:rsidRPr="00F835A4" w:rsidRDefault="00E64FFE" w:rsidP="00F835A4">
      <w:pPr>
        <w:pStyle w:val="ListParagraph"/>
        <w:numPr>
          <w:ilvl w:val="0"/>
          <w:numId w:val="1"/>
        </w:numPr>
        <w:adjustRightInd w:val="0"/>
        <w:snapToGrid w:val="0"/>
        <w:spacing w:before="240" w:after="240" w:line="360" w:lineRule="auto"/>
        <w:contextualSpacing w:val="0"/>
        <w:jc w:val="both"/>
        <w:rPr>
          <w:rFonts w:ascii="Arial" w:hAnsi="Arial" w:cs="Arial"/>
          <w:color w:val="000000" w:themeColor="text1"/>
          <w:lang w:val="en-ZA" w:eastAsia="en-GB"/>
        </w:rPr>
      </w:pPr>
      <w:r w:rsidRPr="0083068D">
        <w:rPr>
          <w:rFonts w:ascii="Arial" w:hAnsi="Arial" w:cs="Arial"/>
          <w:color w:val="000000" w:themeColor="text1"/>
        </w:rPr>
        <w:t>Clause 1 of t</w:t>
      </w:r>
      <w:r w:rsidR="00FC4E4A" w:rsidRPr="0083068D">
        <w:rPr>
          <w:rFonts w:ascii="Arial" w:hAnsi="Arial" w:cs="Arial"/>
          <w:color w:val="000000" w:themeColor="text1"/>
        </w:rPr>
        <w:t xml:space="preserve">he second cession entered into on 30 June 2014 </w:t>
      </w:r>
      <w:r w:rsidR="00A32D7B" w:rsidRPr="0083068D">
        <w:rPr>
          <w:rFonts w:ascii="Arial" w:hAnsi="Arial" w:cs="Arial"/>
          <w:color w:val="000000" w:themeColor="text1"/>
        </w:rPr>
        <w:t>(the 2014 cession)</w:t>
      </w:r>
      <w:r w:rsidR="00936E1C" w:rsidRPr="0083068D">
        <w:rPr>
          <w:rFonts w:ascii="Arial" w:hAnsi="Arial" w:cs="Arial"/>
          <w:color w:val="000000" w:themeColor="text1"/>
        </w:rPr>
        <w:t>, which replaced the first cession,</w:t>
      </w:r>
      <w:r w:rsidR="00A32D7B" w:rsidRPr="0083068D">
        <w:rPr>
          <w:rFonts w:ascii="Arial" w:hAnsi="Arial" w:cs="Arial"/>
          <w:color w:val="000000" w:themeColor="text1"/>
        </w:rPr>
        <w:t xml:space="preserve"> </w:t>
      </w:r>
      <w:r w:rsidRPr="0083068D">
        <w:rPr>
          <w:rFonts w:ascii="Arial" w:hAnsi="Arial" w:cs="Arial"/>
          <w:color w:val="000000" w:themeColor="text1"/>
        </w:rPr>
        <w:t xml:space="preserve">was similar to </w:t>
      </w:r>
      <w:r w:rsidR="00FC4E4A" w:rsidRPr="0083068D">
        <w:rPr>
          <w:rFonts w:ascii="Arial" w:hAnsi="Arial" w:cs="Arial"/>
          <w:color w:val="000000" w:themeColor="text1"/>
        </w:rPr>
        <w:t>c</w:t>
      </w:r>
      <w:r w:rsidR="00EB46F2" w:rsidRPr="0083068D">
        <w:rPr>
          <w:rFonts w:ascii="Arial" w:hAnsi="Arial" w:cs="Arial"/>
          <w:color w:val="000000" w:themeColor="text1"/>
        </w:rPr>
        <w:t xml:space="preserve">lause 1 </w:t>
      </w:r>
      <w:r w:rsidRPr="0083068D">
        <w:rPr>
          <w:rFonts w:ascii="Arial" w:hAnsi="Arial" w:cs="Arial"/>
          <w:color w:val="000000" w:themeColor="text1"/>
        </w:rPr>
        <w:t xml:space="preserve">of the first cession, </w:t>
      </w:r>
      <w:r w:rsidR="004A08E3" w:rsidRPr="0083068D">
        <w:rPr>
          <w:rFonts w:ascii="Arial" w:hAnsi="Arial" w:cs="Arial"/>
          <w:color w:val="000000" w:themeColor="text1"/>
        </w:rPr>
        <w:t xml:space="preserve">but </w:t>
      </w:r>
      <w:r w:rsidR="00FC4E4A" w:rsidRPr="0083068D">
        <w:rPr>
          <w:rFonts w:ascii="Arial" w:hAnsi="Arial" w:cs="Arial"/>
          <w:color w:val="000000" w:themeColor="text1"/>
        </w:rPr>
        <w:t xml:space="preserve">with </w:t>
      </w:r>
      <w:r w:rsidR="00B70D65" w:rsidRPr="0083068D">
        <w:rPr>
          <w:rFonts w:ascii="Arial" w:hAnsi="Arial" w:cs="Arial"/>
          <w:color w:val="000000" w:themeColor="text1"/>
        </w:rPr>
        <w:t xml:space="preserve">the </w:t>
      </w:r>
      <w:r w:rsidR="00FC4E4A" w:rsidRPr="0083068D">
        <w:rPr>
          <w:rFonts w:ascii="Arial" w:hAnsi="Arial" w:cs="Arial"/>
          <w:color w:val="000000" w:themeColor="text1"/>
        </w:rPr>
        <w:t>insert</w:t>
      </w:r>
      <w:r w:rsidR="00B70D65" w:rsidRPr="0083068D">
        <w:rPr>
          <w:rFonts w:ascii="Arial" w:hAnsi="Arial" w:cs="Arial"/>
          <w:color w:val="000000" w:themeColor="text1"/>
        </w:rPr>
        <w:t xml:space="preserve">ion in italics at the end of </w:t>
      </w:r>
      <w:r w:rsidR="005D440E" w:rsidRPr="0083068D">
        <w:rPr>
          <w:rFonts w:ascii="Arial" w:hAnsi="Arial" w:cs="Arial"/>
          <w:color w:val="000000" w:themeColor="text1"/>
        </w:rPr>
        <w:t>t</w:t>
      </w:r>
      <w:r w:rsidR="001322FF" w:rsidRPr="0083068D">
        <w:rPr>
          <w:rFonts w:ascii="Arial" w:hAnsi="Arial" w:cs="Arial"/>
          <w:color w:val="000000" w:themeColor="text1"/>
        </w:rPr>
        <w:t>h</w:t>
      </w:r>
      <w:r w:rsidR="00B556D6" w:rsidRPr="0083068D">
        <w:rPr>
          <w:rFonts w:ascii="Arial" w:hAnsi="Arial" w:cs="Arial"/>
          <w:color w:val="000000" w:themeColor="text1"/>
        </w:rPr>
        <w:t>at</w:t>
      </w:r>
      <w:r w:rsidR="00B70D65" w:rsidRPr="0083068D">
        <w:rPr>
          <w:rFonts w:ascii="Arial" w:hAnsi="Arial" w:cs="Arial"/>
          <w:color w:val="000000" w:themeColor="text1"/>
        </w:rPr>
        <w:t xml:space="preserve"> clause of the following</w:t>
      </w:r>
      <w:r w:rsidR="00EB46F2" w:rsidRPr="0083068D">
        <w:rPr>
          <w:rFonts w:ascii="Arial" w:hAnsi="Arial" w:cs="Arial"/>
          <w:color w:val="000000" w:themeColor="text1"/>
        </w:rPr>
        <w:t>:</w:t>
      </w:r>
      <w:r w:rsidR="004A08E3" w:rsidRPr="0083068D">
        <w:rPr>
          <w:rFonts w:ascii="Arial" w:hAnsi="Arial" w:cs="Arial"/>
          <w:color w:val="000000" w:themeColor="text1"/>
        </w:rPr>
        <w:t xml:space="preserve"> </w:t>
      </w:r>
      <w:r w:rsidR="00EB46F2" w:rsidRPr="0083068D">
        <w:rPr>
          <w:rFonts w:ascii="Arial" w:hAnsi="Arial" w:cs="Arial"/>
          <w:color w:val="000000" w:themeColor="text1"/>
          <w:sz w:val="22"/>
          <w:szCs w:val="22"/>
        </w:rPr>
        <w:t>‘</w:t>
      </w:r>
      <w:r w:rsidR="004A08E3" w:rsidRPr="0083068D">
        <w:rPr>
          <w:rFonts w:ascii="Arial" w:hAnsi="Arial" w:cs="Arial"/>
          <w:color w:val="000000" w:themeColor="text1"/>
          <w:sz w:val="22"/>
          <w:szCs w:val="22"/>
        </w:rPr>
        <w:t>…</w:t>
      </w:r>
      <w:r w:rsidR="00EB46F2" w:rsidRPr="0083068D">
        <w:rPr>
          <w:rFonts w:ascii="Arial" w:hAnsi="Arial" w:cs="Arial"/>
          <w:i/>
          <w:iCs/>
          <w:color w:val="000000" w:themeColor="text1"/>
          <w:sz w:val="22"/>
          <w:szCs w:val="22"/>
        </w:rPr>
        <w:t>The Cession hereby granted by the Cedent to the Cessionary includes any and all reversionary rights the Cedent might otherwise have had in and to the claim hereby ceded</w:t>
      </w:r>
      <w:r w:rsidR="00EB46F2" w:rsidRPr="0083068D">
        <w:rPr>
          <w:rFonts w:ascii="Arial" w:hAnsi="Arial" w:cs="Arial"/>
          <w:color w:val="000000" w:themeColor="text1"/>
          <w:sz w:val="22"/>
          <w:szCs w:val="22"/>
        </w:rPr>
        <w:t>.’</w:t>
      </w:r>
    </w:p>
    <w:p w14:paraId="51C7B6BB" w14:textId="3257F41F" w:rsidR="00E15A9E" w:rsidRPr="0083068D" w:rsidRDefault="005D440E" w:rsidP="00192993">
      <w:pPr>
        <w:pStyle w:val="ListParagraph"/>
        <w:numPr>
          <w:ilvl w:val="0"/>
          <w:numId w:val="1"/>
        </w:numPr>
        <w:adjustRightInd w:val="0"/>
        <w:snapToGrid w:val="0"/>
        <w:spacing w:before="240" w:after="240" w:line="360" w:lineRule="auto"/>
        <w:contextualSpacing w:val="0"/>
        <w:jc w:val="both"/>
        <w:rPr>
          <w:rFonts w:ascii="Arial" w:hAnsi="Arial" w:cs="Arial"/>
          <w:color w:val="000000" w:themeColor="text1"/>
          <w:lang w:val="en-ZA" w:eastAsia="en-GB"/>
        </w:rPr>
      </w:pPr>
      <w:r w:rsidRPr="0083068D">
        <w:rPr>
          <w:rFonts w:ascii="Arial" w:hAnsi="Arial" w:cs="Arial"/>
          <w:color w:val="000000" w:themeColor="text1"/>
          <w:lang w:val="en-ZA" w:eastAsia="en-GB"/>
        </w:rPr>
        <w:t>C</w:t>
      </w:r>
      <w:r w:rsidR="00E15A9E" w:rsidRPr="0083068D">
        <w:rPr>
          <w:rFonts w:ascii="Arial" w:hAnsi="Arial" w:cs="Arial"/>
          <w:color w:val="000000" w:themeColor="text1"/>
          <w:lang w:val="en-ZA" w:eastAsia="en-GB"/>
        </w:rPr>
        <w:t>lause 14.2 of the 2014 cession provided that:</w:t>
      </w:r>
    </w:p>
    <w:p w14:paraId="2936BF51" w14:textId="144FDEFD" w:rsidR="00E15A9E" w:rsidRPr="0083068D" w:rsidRDefault="002E2B1C" w:rsidP="00F835A4">
      <w:pPr>
        <w:adjustRightInd w:val="0"/>
        <w:snapToGrid w:val="0"/>
        <w:spacing w:before="240" w:after="240" w:line="360" w:lineRule="auto"/>
        <w:jc w:val="both"/>
        <w:rPr>
          <w:rFonts w:ascii="Arial" w:hAnsi="Arial" w:cs="Arial"/>
          <w:color w:val="000000" w:themeColor="text1"/>
          <w:sz w:val="22"/>
          <w:szCs w:val="22"/>
        </w:rPr>
      </w:pPr>
      <w:r w:rsidRPr="0083068D">
        <w:rPr>
          <w:rFonts w:ascii="Arial" w:hAnsi="Arial" w:cs="Arial"/>
          <w:color w:val="000000" w:themeColor="text1"/>
          <w:sz w:val="22"/>
          <w:szCs w:val="22"/>
        </w:rPr>
        <w:t>‘</w:t>
      </w:r>
      <w:r w:rsidR="00E15A9E" w:rsidRPr="0083068D">
        <w:rPr>
          <w:rFonts w:ascii="Arial" w:hAnsi="Arial" w:cs="Arial"/>
          <w:color w:val="000000" w:themeColor="text1"/>
          <w:sz w:val="22"/>
          <w:szCs w:val="22"/>
        </w:rPr>
        <w:t>14.2</w:t>
      </w:r>
      <w:r w:rsidR="00E15A9E" w:rsidRPr="0083068D">
        <w:rPr>
          <w:rFonts w:ascii="Arial" w:hAnsi="Arial" w:cs="Arial"/>
          <w:color w:val="000000" w:themeColor="text1"/>
          <w:sz w:val="22"/>
          <w:szCs w:val="22"/>
        </w:rPr>
        <w:tab/>
        <w:t>Execution of this memorandum has discharged –</w:t>
      </w:r>
    </w:p>
    <w:p w14:paraId="37B287A2" w14:textId="6D9F2647" w:rsidR="00E57120" w:rsidRPr="0083068D" w:rsidRDefault="00E57120" w:rsidP="00AB4300">
      <w:pPr>
        <w:adjustRightInd w:val="0"/>
        <w:snapToGrid w:val="0"/>
        <w:spacing w:before="240" w:after="480" w:line="360" w:lineRule="auto"/>
        <w:jc w:val="both"/>
        <w:rPr>
          <w:rFonts w:ascii="Arial" w:hAnsi="Arial" w:cs="Arial"/>
          <w:color w:val="000000" w:themeColor="text1"/>
          <w:sz w:val="22"/>
          <w:szCs w:val="22"/>
        </w:rPr>
      </w:pPr>
      <w:r w:rsidRPr="0083068D">
        <w:rPr>
          <w:rFonts w:ascii="Arial" w:hAnsi="Arial" w:cs="Arial"/>
          <w:color w:val="000000" w:themeColor="text1"/>
          <w:sz w:val="22"/>
          <w:szCs w:val="22"/>
        </w:rPr>
        <w:lastRenderedPageBreak/>
        <w:t>(a)</w:t>
      </w:r>
      <w:r w:rsidRPr="0083068D">
        <w:rPr>
          <w:rFonts w:ascii="Arial" w:hAnsi="Arial" w:cs="Arial"/>
          <w:color w:val="000000" w:themeColor="text1"/>
          <w:sz w:val="22"/>
          <w:szCs w:val="22"/>
        </w:rPr>
        <w:tab/>
      </w:r>
      <w:r w:rsidR="00E15A9E" w:rsidRPr="0083068D">
        <w:rPr>
          <w:rFonts w:ascii="Arial" w:hAnsi="Arial" w:cs="Arial"/>
          <w:color w:val="000000" w:themeColor="text1"/>
          <w:sz w:val="22"/>
          <w:szCs w:val="22"/>
        </w:rPr>
        <w:t>every prior agreement between the parties to the extent within the scope of the subject matter of this agreement</w:t>
      </w:r>
      <w:r w:rsidR="007B4E9E" w:rsidRPr="0083068D">
        <w:rPr>
          <w:rFonts w:ascii="Arial" w:hAnsi="Arial" w:cs="Arial"/>
          <w:color w:val="000000" w:themeColor="text1"/>
          <w:sz w:val="22"/>
          <w:szCs w:val="22"/>
        </w:rPr>
        <w:t xml:space="preserve">, </w:t>
      </w:r>
      <w:r w:rsidR="001322FF" w:rsidRPr="0083068D">
        <w:rPr>
          <w:rFonts w:ascii="Arial" w:hAnsi="Arial" w:cs="Arial"/>
          <w:color w:val="000000" w:themeColor="text1"/>
          <w:sz w:val="22"/>
          <w:szCs w:val="22"/>
        </w:rPr>
        <w:t>whether or not inconsistent with the provisions of this memorandum;</w:t>
      </w:r>
      <w:r w:rsidR="00291876" w:rsidRPr="0083068D">
        <w:rPr>
          <w:rFonts w:ascii="Arial" w:hAnsi="Arial" w:cs="Arial"/>
          <w:color w:val="000000" w:themeColor="text1"/>
          <w:sz w:val="22"/>
          <w:szCs w:val="22"/>
        </w:rPr>
        <w:t xml:space="preserve"> . . .</w:t>
      </w:r>
      <w:r w:rsidR="001322FF" w:rsidRPr="0083068D">
        <w:rPr>
          <w:rFonts w:ascii="Arial" w:hAnsi="Arial" w:cs="Arial"/>
          <w:color w:val="000000" w:themeColor="text1"/>
          <w:sz w:val="22"/>
          <w:szCs w:val="22"/>
        </w:rPr>
        <w:t>’</w:t>
      </w:r>
    </w:p>
    <w:p w14:paraId="753ADCC6" w14:textId="492EAFE4" w:rsidR="0048766C" w:rsidRPr="0083068D" w:rsidRDefault="005A17D4" w:rsidP="00192993">
      <w:pPr>
        <w:pStyle w:val="ListParagraph"/>
        <w:numPr>
          <w:ilvl w:val="0"/>
          <w:numId w:val="1"/>
        </w:numPr>
        <w:adjustRightInd w:val="0"/>
        <w:snapToGrid w:val="0"/>
        <w:spacing w:before="240" w:after="240" w:line="360" w:lineRule="auto"/>
        <w:contextualSpacing w:val="0"/>
        <w:jc w:val="both"/>
        <w:rPr>
          <w:rFonts w:ascii="Arial" w:hAnsi="Arial" w:cs="Arial"/>
          <w:color w:val="000000" w:themeColor="text1"/>
          <w:lang w:val="en-ZA" w:eastAsia="en-GB"/>
        </w:rPr>
      </w:pPr>
      <w:r w:rsidRPr="0083068D">
        <w:rPr>
          <w:rFonts w:ascii="Arial" w:hAnsi="Arial" w:cs="Arial"/>
          <w:color w:val="000000" w:themeColor="text1"/>
        </w:rPr>
        <w:t xml:space="preserve">On </w:t>
      </w:r>
      <w:r w:rsidR="004E38D7" w:rsidRPr="0083068D">
        <w:rPr>
          <w:rFonts w:ascii="Arial" w:hAnsi="Arial" w:cs="Arial"/>
          <w:color w:val="000000" w:themeColor="text1"/>
        </w:rPr>
        <w:t>5</w:t>
      </w:r>
      <w:r w:rsidR="00335C9E" w:rsidRPr="0083068D">
        <w:rPr>
          <w:rFonts w:ascii="Arial" w:hAnsi="Arial" w:cs="Arial"/>
          <w:color w:val="000000" w:themeColor="text1"/>
        </w:rPr>
        <w:t xml:space="preserve"> </w:t>
      </w:r>
      <w:r w:rsidR="004E38D7" w:rsidRPr="0083068D">
        <w:rPr>
          <w:rFonts w:ascii="Arial" w:hAnsi="Arial" w:cs="Arial"/>
          <w:color w:val="000000" w:themeColor="text1"/>
        </w:rPr>
        <w:t>Novem</w:t>
      </w:r>
      <w:r w:rsidRPr="0083068D">
        <w:rPr>
          <w:rFonts w:ascii="Arial" w:hAnsi="Arial" w:cs="Arial"/>
          <w:color w:val="000000" w:themeColor="text1"/>
        </w:rPr>
        <w:t xml:space="preserve">ber 2014, </w:t>
      </w:r>
      <w:r w:rsidR="00A949A6" w:rsidRPr="0083068D">
        <w:rPr>
          <w:rFonts w:ascii="Arial" w:hAnsi="Arial" w:cs="Arial"/>
          <w:color w:val="000000" w:themeColor="text1"/>
        </w:rPr>
        <w:t xml:space="preserve">at Engen’s instance, </w:t>
      </w:r>
      <w:r w:rsidRPr="0083068D">
        <w:rPr>
          <w:rFonts w:ascii="Arial" w:hAnsi="Arial" w:cs="Arial"/>
          <w:color w:val="000000" w:themeColor="text1"/>
        </w:rPr>
        <w:t>a</w:t>
      </w:r>
      <w:r w:rsidR="00335C9E" w:rsidRPr="0083068D">
        <w:rPr>
          <w:rFonts w:ascii="Arial" w:hAnsi="Arial" w:cs="Arial"/>
          <w:color w:val="000000" w:themeColor="text1"/>
        </w:rPr>
        <w:t xml:space="preserve"> provisional</w:t>
      </w:r>
      <w:r w:rsidRPr="0083068D">
        <w:rPr>
          <w:rFonts w:ascii="Arial" w:hAnsi="Arial" w:cs="Arial"/>
          <w:color w:val="000000" w:themeColor="text1"/>
        </w:rPr>
        <w:t xml:space="preserve"> order of liquidation was </w:t>
      </w:r>
      <w:r w:rsidR="003D53F6" w:rsidRPr="0083068D">
        <w:rPr>
          <w:rFonts w:ascii="Arial" w:hAnsi="Arial" w:cs="Arial"/>
          <w:color w:val="000000" w:themeColor="text1"/>
        </w:rPr>
        <w:t>obtained</w:t>
      </w:r>
      <w:r w:rsidRPr="0083068D">
        <w:rPr>
          <w:rFonts w:ascii="Arial" w:hAnsi="Arial" w:cs="Arial"/>
          <w:color w:val="000000" w:themeColor="text1"/>
        </w:rPr>
        <w:t xml:space="preserve"> against Windsharp</w:t>
      </w:r>
      <w:r w:rsidR="003D53F6" w:rsidRPr="0083068D">
        <w:rPr>
          <w:rFonts w:ascii="Arial" w:hAnsi="Arial" w:cs="Arial"/>
          <w:color w:val="000000" w:themeColor="text1"/>
        </w:rPr>
        <w:t>. T</w:t>
      </w:r>
      <w:r w:rsidR="00335C9E" w:rsidRPr="0083068D">
        <w:rPr>
          <w:rFonts w:ascii="Arial" w:hAnsi="Arial" w:cs="Arial"/>
          <w:color w:val="000000" w:themeColor="text1"/>
        </w:rPr>
        <w:t>h</w:t>
      </w:r>
      <w:r w:rsidR="00A949A6" w:rsidRPr="0083068D">
        <w:rPr>
          <w:rFonts w:ascii="Arial" w:hAnsi="Arial" w:cs="Arial"/>
          <w:color w:val="000000" w:themeColor="text1"/>
        </w:rPr>
        <w:t xml:space="preserve">at </w:t>
      </w:r>
      <w:r w:rsidR="00335C9E" w:rsidRPr="0083068D">
        <w:rPr>
          <w:rFonts w:ascii="Arial" w:hAnsi="Arial" w:cs="Arial"/>
          <w:color w:val="000000" w:themeColor="text1"/>
        </w:rPr>
        <w:t xml:space="preserve">order </w:t>
      </w:r>
      <w:r w:rsidR="003D53F6" w:rsidRPr="0083068D">
        <w:rPr>
          <w:rFonts w:ascii="Arial" w:hAnsi="Arial" w:cs="Arial"/>
          <w:color w:val="000000" w:themeColor="text1"/>
        </w:rPr>
        <w:t xml:space="preserve">was </w:t>
      </w:r>
      <w:r w:rsidR="00335C9E" w:rsidRPr="0083068D">
        <w:rPr>
          <w:rFonts w:ascii="Arial" w:hAnsi="Arial" w:cs="Arial"/>
          <w:color w:val="000000" w:themeColor="text1"/>
        </w:rPr>
        <w:t xml:space="preserve">made final </w:t>
      </w:r>
      <w:r w:rsidR="00A949A6" w:rsidRPr="0083068D">
        <w:rPr>
          <w:rFonts w:ascii="Arial" w:hAnsi="Arial" w:cs="Arial"/>
          <w:color w:val="000000" w:themeColor="text1"/>
        </w:rPr>
        <w:t>in January 2015</w:t>
      </w:r>
      <w:r w:rsidRPr="0083068D">
        <w:rPr>
          <w:rFonts w:ascii="Arial" w:hAnsi="Arial" w:cs="Arial"/>
          <w:color w:val="000000" w:themeColor="text1"/>
        </w:rPr>
        <w:t xml:space="preserve">. </w:t>
      </w:r>
      <w:r w:rsidR="000B7FE0">
        <w:rPr>
          <w:rFonts w:ascii="Arial" w:hAnsi="Arial" w:cs="Arial"/>
          <w:color w:val="000000" w:themeColor="text1"/>
        </w:rPr>
        <w:t xml:space="preserve">                  </w:t>
      </w:r>
      <w:r w:rsidRPr="0083068D">
        <w:rPr>
          <w:rFonts w:ascii="Arial" w:hAnsi="Arial" w:cs="Arial"/>
          <w:color w:val="000000" w:themeColor="text1"/>
        </w:rPr>
        <w:t xml:space="preserve">On 9 December 2014, Engen notified Flotank in writing of the </w:t>
      </w:r>
      <w:r w:rsidR="00B53B88" w:rsidRPr="0083068D">
        <w:rPr>
          <w:rFonts w:ascii="Arial" w:hAnsi="Arial" w:cs="Arial"/>
          <w:color w:val="000000" w:themeColor="text1"/>
        </w:rPr>
        <w:t xml:space="preserve">existence of the </w:t>
      </w:r>
      <w:r w:rsidR="003E794E" w:rsidRPr="0083068D">
        <w:rPr>
          <w:rFonts w:ascii="Arial" w:hAnsi="Arial" w:cs="Arial"/>
          <w:color w:val="000000" w:themeColor="text1"/>
        </w:rPr>
        <w:t>June 2014</w:t>
      </w:r>
      <w:r w:rsidR="00443929" w:rsidRPr="0083068D">
        <w:rPr>
          <w:rFonts w:ascii="Arial" w:hAnsi="Arial" w:cs="Arial"/>
          <w:color w:val="000000" w:themeColor="text1"/>
        </w:rPr>
        <w:t xml:space="preserve"> </w:t>
      </w:r>
      <w:r w:rsidRPr="0083068D">
        <w:rPr>
          <w:rFonts w:ascii="Arial" w:hAnsi="Arial" w:cs="Arial"/>
          <w:color w:val="000000" w:themeColor="text1"/>
        </w:rPr>
        <w:t>cession</w:t>
      </w:r>
      <w:r w:rsidR="00B53B88" w:rsidRPr="0083068D">
        <w:rPr>
          <w:rFonts w:ascii="Arial" w:hAnsi="Arial" w:cs="Arial"/>
          <w:color w:val="000000" w:themeColor="text1"/>
        </w:rPr>
        <w:t xml:space="preserve"> </w:t>
      </w:r>
      <w:r w:rsidR="003E794E" w:rsidRPr="0083068D">
        <w:rPr>
          <w:rFonts w:ascii="Arial" w:hAnsi="Arial" w:cs="Arial"/>
          <w:color w:val="000000" w:themeColor="text1"/>
        </w:rPr>
        <w:t>and of Engen’s intention to claim the debt</w:t>
      </w:r>
      <w:r w:rsidR="003D53F6" w:rsidRPr="0083068D">
        <w:rPr>
          <w:rFonts w:ascii="Arial" w:hAnsi="Arial" w:cs="Arial"/>
          <w:color w:val="000000" w:themeColor="text1"/>
        </w:rPr>
        <w:t xml:space="preserve"> </w:t>
      </w:r>
      <w:r w:rsidR="005D440E" w:rsidRPr="0083068D">
        <w:rPr>
          <w:rFonts w:ascii="Arial" w:hAnsi="Arial" w:cs="Arial"/>
          <w:color w:val="000000" w:themeColor="text1"/>
        </w:rPr>
        <w:t xml:space="preserve">ceded </w:t>
      </w:r>
      <w:r w:rsidR="0068087E" w:rsidRPr="0083068D">
        <w:rPr>
          <w:rFonts w:ascii="Arial" w:hAnsi="Arial" w:cs="Arial"/>
          <w:color w:val="000000" w:themeColor="text1"/>
        </w:rPr>
        <w:t xml:space="preserve">to it </w:t>
      </w:r>
      <w:r w:rsidR="003D53F6" w:rsidRPr="0083068D">
        <w:rPr>
          <w:rFonts w:ascii="Arial" w:hAnsi="Arial" w:cs="Arial"/>
          <w:color w:val="000000" w:themeColor="text1"/>
        </w:rPr>
        <w:t>by Windsharp</w:t>
      </w:r>
      <w:r w:rsidR="003E794E" w:rsidRPr="0083068D">
        <w:rPr>
          <w:rFonts w:ascii="Arial" w:hAnsi="Arial" w:cs="Arial"/>
          <w:color w:val="000000" w:themeColor="text1"/>
        </w:rPr>
        <w:t>.</w:t>
      </w:r>
      <w:r w:rsidR="005D440E" w:rsidRPr="0083068D">
        <w:rPr>
          <w:rFonts w:ascii="Arial" w:hAnsi="Arial" w:cs="Arial"/>
          <w:color w:val="000000" w:themeColor="text1"/>
        </w:rPr>
        <w:t xml:space="preserve"> Engen</w:t>
      </w:r>
      <w:r w:rsidR="003E794E" w:rsidRPr="0083068D">
        <w:rPr>
          <w:rFonts w:ascii="Arial" w:hAnsi="Arial" w:cs="Arial"/>
          <w:color w:val="000000" w:themeColor="text1"/>
        </w:rPr>
        <w:t xml:space="preserve"> </w:t>
      </w:r>
      <w:r w:rsidR="00E83E06" w:rsidRPr="0083068D">
        <w:rPr>
          <w:rFonts w:ascii="Arial" w:hAnsi="Arial" w:cs="Arial"/>
          <w:color w:val="000000" w:themeColor="text1"/>
        </w:rPr>
        <w:t>called upon</w:t>
      </w:r>
      <w:r w:rsidR="00BE3667" w:rsidRPr="0083068D">
        <w:rPr>
          <w:rFonts w:ascii="Arial" w:hAnsi="Arial" w:cs="Arial"/>
          <w:color w:val="000000" w:themeColor="text1"/>
        </w:rPr>
        <w:t xml:space="preserve"> Flotank</w:t>
      </w:r>
      <w:r w:rsidR="00B53B88" w:rsidRPr="0083068D">
        <w:rPr>
          <w:rFonts w:ascii="Arial" w:hAnsi="Arial" w:cs="Arial"/>
          <w:color w:val="000000" w:themeColor="text1"/>
        </w:rPr>
        <w:t xml:space="preserve">, </w:t>
      </w:r>
      <w:r w:rsidR="00F5162A" w:rsidRPr="0083068D">
        <w:rPr>
          <w:rFonts w:ascii="Arial" w:hAnsi="Arial" w:cs="Arial"/>
          <w:color w:val="000000" w:themeColor="text1"/>
        </w:rPr>
        <w:t>pursuant to</w:t>
      </w:r>
      <w:r w:rsidR="00B53B88" w:rsidRPr="0083068D">
        <w:rPr>
          <w:rFonts w:ascii="Arial" w:hAnsi="Arial" w:cs="Arial"/>
          <w:color w:val="000000" w:themeColor="text1"/>
        </w:rPr>
        <w:t xml:space="preserve"> the terms of </w:t>
      </w:r>
      <w:r w:rsidR="00E83E06" w:rsidRPr="0083068D">
        <w:rPr>
          <w:rFonts w:ascii="Arial" w:hAnsi="Arial" w:cs="Arial"/>
          <w:color w:val="000000" w:themeColor="text1"/>
        </w:rPr>
        <w:t>the</w:t>
      </w:r>
      <w:r w:rsidR="00A949A6" w:rsidRPr="0083068D">
        <w:rPr>
          <w:rFonts w:ascii="Arial" w:hAnsi="Arial" w:cs="Arial"/>
          <w:color w:val="000000" w:themeColor="text1"/>
        </w:rPr>
        <w:t xml:space="preserve"> 2014 </w:t>
      </w:r>
      <w:r w:rsidR="00E83E06" w:rsidRPr="0083068D">
        <w:rPr>
          <w:rFonts w:ascii="Arial" w:hAnsi="Arial" w:cs="Arial"/>
          <w:color w:val="000000" w:themeColor="text1"/>
        </w:rPr>
        <w:t>cession</w:t>
      </w:r>
      <w:r w:rsidR="00B53B88" w:rsidRPr="0083068D">
        <w:rPr>
          <w:rFonts w:ascii="Arial" w:hAnsi="Arial" w:cs="Arial"/>
          <w:color w:val="000000" w:themeColor="text1"/>
        </w:rPr>
        <w:t>,</w:t>
      </w:r>
      <w:r w:rsidRPr="0083068D">
        <w:rPr>
          <w:rFonts w:ascii="Arial" w:hAnsi="Arial" w:cs="Arial"/>
          <w:color w:val="000000" w:themeColor="text1"/>
        </w:rPr>
        <w:t xml:space="preserve"> to make payments directly to </w:t>
      </w:r>
      <w:r w:rsidR="005D440E" w:rsidRPr="0083068D">
        <w:rPr>
          <w:rFonts w:ascii="Arial" w:hAnsi="Arial" w:cs="Arial"/>
          <w:color w:val="000000" w:themeColor="text1"/>
        </w:rPr>
        <w:t>it</w:t>
      </w:r>
      <w:r w:rsidRPr="0083068D">
        <w:rPr>
          <w:rFonts w:ascii="Arial" w:hAnsi="Arial" w:cs="Arial"/>
          <w:color w:val="000000" w:themeColor="text1"/>
        </w:rPr>
        <w:t xml:space="preserve">. Flotank was </w:t>
      </w:r>
      <w:r w:rsidR="00BE3667" w:rsidRPr="0083068D">
        <w:rPr>
          <w:rFonts w:ascii="Arial" w:hAnsi="Arial" w:cs="Arial"/>
          <w:color w:val="000000" w:themeColor="text1"/>
        </w:rPr>
        <w:t>cautioned</w:t>
      </w:r>
      <w:r w:rsidRPr="0083068D">
        <w:rPr>
          <w:rFonts w:ascii="Arial" w:hAnsi="Arial" w:cs="Arial"/>
          <w:color w:val="000000" w:themeColor="text1"/>
        </w:rPr>
        <w:t xml:space="preserve"> that should it </w:t>
      </w:r>
      <w:r w:rsidR="00E83E06" w:rsidRPr="0083068D">
        <w:rPr>
          <w:rFonts w:ascii="Arial" w:hAnsi="Arial" w:cs="Arial"/>
          <w:color w:val="000000" w:themeColor="text1"/>
        </w:rPr>
        <w:t>fail to</w:t>
      </w:r>
      <w:r w:rsidRPr="0083068D">
        <w:rPr>
          <w:rFonts w:ascii="Arial" w:hAnsi="Arial" w:cs="Arial"/>
          <w:color w:val="000000" w:themeColor="text1"/>
        </w:rPr>
        <w:t xml:space="preserve"> </w:t>
      </w:r>
      <w:r w:rsidR="00B060AB" w:rsidRPr="0083068D">
        <w:rPr>
          <w:rFonts w:ascii="Arial" w:hAnsi="Arial" w:cs="Arial"/>
          <w:color w:val="000000" w:themeColor="text1"/>
        </w:rPr>
        <w:t>do so</w:t>
      </w:r>
      <w:r w:rsidRPr="0083068D">
        <w:rPr>
          <w:rFonts w:ascii="Arial" w:hAnsi="Arial" w:cs="Arial"/>
          <w:color w:val="000000" w:themeColor="text1"/>
        </w:rPr>
        <w:t xml:space="preserve"> it would not be absolved of liability towards Engen for </w:t>
      </w:r>
      <w:r w:rsidR="00BE3667" w:rsidRPr="0083068D">
        <w:rPr>
          <w:rFonts w:ascii="Arial" w:hAnsi="Arial" w:cs="Arial"/>
          <w:color w:val="000000" w:themeColor="text1"/>
        </w:rPr>
        <w:t xml:space="preserve">any </w:t>
      </w:r>
      <w:r w:rsidRPr="0083068D">
        <w:rPr>
          <w:rFonts w:ascii="Arial" w:hAnsi="Arial" w:cs="Arial"/>
          <w:color w:val="000000" w:themeColor="text1"/>
        </w:rPr>
        <w:t>amounts paid</w:t>
      </w:r>
      <w:r w:rsidR="00F5162A" w:rsidRPr="0083068D">
        <w:rPr>
          <w:rFonts w:ascii="Arial" w:hAnsi="Arial" w:cs="Arial"/>
          <w:color w:val="000000" w:themeColor="text1"/>
        </w:rPr>
        <w:t xml:space="preserve"> to Windsharp</w:t>
      </w:r>
      <w:r w:rsidRPr="0083068D">
        <w:rPr>
          <w:rFonts w:ascii="Arial" w:hAnsi="Arial" w:cs="Arial"/>
          <w:color w:val="000000" w:themeColor="text1"/>
        </w:rPr>
        <w:t>.</w:t>
      </w:r>
    </w:p>
    <w:p w14:paraId="75B10460" w14:textId="7D03679D" w:rsidR="00E57120" w:rsidRPr="0083068D" w:rsidRDefault="0090040A" w:rsidP="00192993">
      <w:pPr>
        <w:pStyle w:val="ListParagraph"/>
        <w:numPr>
          <w:ilvl w:val="0"/>
          <w:numId w:val="1"/>
        </w:numPr>
        <w:adjustRightInd w:val="0"/>
        <w:snapToGrid w:val="0"/>
        <w:spacing w:before="240" w:after="240" w:line="360" w:lineRule="auto"/>
        <w:contextualSpacing w:val="0"/>
        <w:jc w:val="both"/>
        <w:rPr>
          <w:rFonts w:ascii="Arial" w:hAnsi="Arial" w:cs="Arial"/>
          <w:color w:val="000000" w:themeColor="text1"/>
          <w:lang w:val="en-ZA" w:eastAsia="en-GB"/>
        </w:rPr>
      </w:pPr>
      <w:r w:rsidRPr="0083068D">
        <w:rPr>
          <w:rFonts w:ascii="Arial" w:hAnsi="Arial" w:cs="Arial"/>
          <w:color w:val="000000" w:themeColor="text1"/>
          <w:lang w:val="en-US"/>
        </w:rPr>
        <w:t>In response</w:t>
      </w:r>
      <w:r w:rsidR="00A32D7B" w:rsidRPr="0083068D">
        <w:rPr>
          <w:rFonts w:ascii="Arial" w:hAnsi="Arial" w:cs="Arial"/>
          <w:color w:val="000000" w:themeColor="text1"/>
          <w:lang w:val="en-US"/>
        </w:rPr>
        <w:t xml:space="preserve"> to </w:t>
      </w:r>
      <w:r w:rsidR="008C24CD" w:rsidRPr="0083068D">
        <w:rPr>
          <w:rFonts w:ascii="Arial" w:hAnsi="Arial" w:cs="Arial"/>
          <w:color w:val="000000" w:themeColor="text1"/>
          <w:lang w:val="en-US"/>
        </w:rPr>
        <w:t>Engen’s</w:t>
      </w:r>
      <w:r w:rsidR="00A32D7B" w:rsidRPr="0083068D">
        <w:rPr>
          <w:rFonts w:ascii="Arial" w:hAnsi="Arial" w:cs="Arial"/>
          <w:color w:val="000000" w:themeColor="text1"/>
          <w:lang w:val="en-US"/>
        </w:rPr>
        <w:t xml:space="preserve"> notice</w:t>
      </w:r>
      <w:r w:rsidRPr="0083068D">
        <w:rPr>
          <w:rFonts w:ascii="Arial" w:hAnsi="Arial" w:cs="Arial"/>
          <w:color w:val="000000" w:themeColor="text1"/>
          <w:lang w:val="en-US"/>
        </w:rPr>
        <w:t>, o</w:t>
      </w:r>
      <w:r w:rsidR="005A17D4" w:rsidRPr="0083068D">
        <w:rPr>
          <w:rFonts w:ascii="Arial" w:hAnsi="Arial" w:cs="Arial"/>
          <w:color w:val="000000" w:themeColor="text1"/>
          <w:lang w:val="en-US"/>
        </w:rPr>
        <w:t>n 12 December 2014</w:t>
      </w:r>
      <w:r w:rsidR="00A32D7B" w:rsidRPr="0083068D">
        <w:rPr>
          <w:rFonts w:ascii="Arial" w:hAnsi="Arial" w:cs="Arial"/>
          <w:color w:val="000000" w:themeColor="text1"/>
          <w:lang w:val="en-US"/>
        </w:rPr>
        <w:t xml:space="preserve"> </w:t>
      </w:r>
      <w:r w:rsidR="005A17D4" w:rsidRPr="0083068D">
        <w:rPr>
          <w:rFonts w:ascii="Arial" w:hAnsi="Arial" w:cs="Arial"/>
          <w:color w:val="000000" w:themeColor="text1"/>
          <w:lang w:val="en-US"/>
        </w:rPr>
        <w:t xml:space="preserve">Flotank </w:t>
      </w:r>
      <w:r w:rsidR="003E794E" w:rsidRPr="0083068D">
        <w:rPr>
          <w:rFonts w:ascii="Arial" w:hAnsi="Arial" w:cs="Arial"/>
          <w:color w:val="000000" w:themeColor="text1"/>
          <w:lang w:val="en-US"/>
        </w:rPr>
        <w:t>sought that</w:t>
      </w:r>
      <w:r w:rsidR="00B556D6" w:rsidRPr="0083068D">
        <w:rPr>
          <w:rFonts w:ascii="Arial" w:hAnsi="Arial" w:cs="Arial"/>
          <w:color w:val="000000" w:themeColor="text1"/>
          <w:lang w:val="en-US"/>
        </w:rPr>
        <w:t>,</w:t>
      </w:r>
      <w:r w:rsidR="005A17D4" w:rsidRPr="0083068D">
        <w:rPr>
          <w:rFonts w:ascii="Arial" w:hAnsi="Arial" w:cs="Arial"/>
          <w:color w:val="000000" w:themeColor="text1"/>
          <w:lang w:val="en-US"/>
        </w:rPr>
        <w:t xml:space="preserve"> </w:t>
      </w:r>
      <w:r w:rsidR="00B556D6" w:rsidRPr="0083068D">
        <w:rPr>
          <w:rFonts w:ascii="Arial" w:hAnsi="Arial" w:cs="Arial"/>
          <w:color w:val="000000" w:themeColor="text1"/>
          <w:lang w:val="en-US"/>
        </w:rPr>
        <w:t xml:space="preserve">by 13h00 the same day, </w:t>
      </w:r>
      <w:r w:rsidR="005A17D4" w:rsidRPr="0083068D">
        <w:rPr>
          <w:rFonts w:ascii="Arial" w:hAnsi="Arial" w:cs="Arial"/>
          <w:color w:val="000000" w:themeColor="text1"/>
          <w:lang w:val="en-US"/>
        </w:rPr>
        <w:t xml:space="preserve">Engen provide it with a copy of the </w:t>
      </w:r>
      <w:r w:rsidR="008C24CD" w:rsidRPr="0083068D">
        <w:rPr>
          <w:rFonts w:ascii="Arial" w:hAnsi="Arial" w:cs="Arial"/>
          <w:color w:val="000000" w:themeColor="text1"/>
          <w:lang w:val="en-US"/>
        </w:rPr>
        <w:t xml:space="preserve">relevant </w:t>
      </w:r>
      <w:r w:rsidR="005A17D4" w:rsidRPr="0083068D">
        <w:rPr>
          <w:rFonts w:ascii="Arial" w:hAnsi="Arial" w:cs="Arial"/>
          <w:color w:val="000000" w:themeColor="text1"/>
          <w:lang w:val="en-US"/>
        </w:rPr>
        <w:t>cession.</w:t>
      </w:r>
      <w:r w:rsidR="005A17D4" w:rsidRPr="0083068D">
        <w:rPr>
          <w:rFonts w:ascii="Arial" w:hAnsi="Arial" w:cs="Arial"/>
          <w:color w:val="000000" w:themeColor="text1"/>
        </w:rPr>
        <w:t xml:space="preserve"> Engen </w:t>
      </w:r>
      <w:r w:rsidR="00B53B88" w:rsidRPr="0083068D">
        <w:rPr>
          <w:rFonts w:ascii="Arial" w:hAnsi="Arial" w:cs="Arial"/>
          <w:color w:val="000000" w:themeColor="text1"/>
        </w:rPr>
        <w:t>failed to do so</w:t>
      </w:r>
      <w:r w:rsidR="00F85E3D" w:rsidRPr="0083068D">
        <w:rPr>
          <w:rFonts w:ascii="Arial" w:hAnsi="Arial" w:cs="Arial"/>
          <w:color w:val="000000" w:themeColor="text1"/>
        </w:rPr>
        <w:t>.</w:t>
      </w:r>
      <w:r w:rsidR="005A17D4" w:rsidRPr="0083068D">
        <w:rPr>
          <w:rFonts w:ascii="Arial" w:hAnsi="Arial" w:cs="Arial"/>
          <w:color w:val="000000" w:themeColor="text1"/>
        </w:rPr>
        <w:t xml:space="preserve"> </w:t>
      </w:r>
      <w:r w:rsidR="00C64A98" w:rsidRPr="0083068D">
        <w:rPr>
          <w:rFonts w:ascii="Arial" w:hAnsi="Arial" w:cs="Arial"/>
          <w:color w:val="000000" w:themeColor="text1"/>
        </w:rPr>
        <w:t xml:space="preserve">Thereafter, </w:t>
      </w:r>
      <w:r w:rsidR="005A17D4" w:rsidRPr="0083068D">
        <w:rPr>
          <w:rFonts w:ascii="Arial" w:hAnsi="Arial" w:cs="Arial"/>
          <w:color w:val="000000" w:themeColor="text1"/>
        </w:rPr>
        <w:t>Flotank</w:t>
      </w:r>
      <w:r w:rsidR="009B7DED" w:rsidRPr="0083068D">
        <w:rPr>
          <w:rFonts w:ascii="Arial" w:hAnsi="Arial" w:cs="Arial"/>
          <w:color w:val="000000" w:themeColor="text1"/>
        </w:rPr>
        <w:t xml:space="preserve">, </w:t>
      </w:r>
      <w:r w:rsidR="008C24CD" w:rsidRPr="0083068D">
        <w:rPr>
          <w:rFonts w:ascii="Arial" w:hAnsi="Arial" w:cs="Arial"/>
          <w:color w:val="000000" w:themeColor="text1"/>
        </w:rPr>
        <w:t xml:space="preserve">in </w:t>
      </w:r>
      <w:r w:rsidR="00F218CA" w:rsidRPr="0083068D">
        <w:rPr>
          <w:rFonts w:ascii="Arial" w:hAnsi="Arial" w:cs="Arial"/>
          <w:color w:val="000000" w:themeColor="text1"/>
        </w:rPr>
        <w:t>disregard</w:t>
      </w:r>
      <w:r w:rsidR="008C24CD" w:rsidRPr="0083068D">
        <w:rPr>
          <w:rFonts w:ascii="Arial" w:hAnsi="Arial" w:cs="Arial"/>
          <w:color w:val="000000" w:themeColor="text1"/>
        </w:rPr>
        <w:t xml:space="preserve"> of</w:t>
      </w:r>
      <w:r w:rsidR="00F218CA" w:rsidRPr="0083068D">
        <w:rPr>
          <w:rFonts w:ascii="Arial" w:hAnsi="Arial" w:cs="Arial"/>
          <w:color w:val="000000" w:themeColor="text1"/>
        </w:rPr>
        <w:t xml:space="preserve"> </w:t>
      </w:r>
      <w:r w:rsidRPr="0083068D">
        <w:rPr>
          <w:rFonts w:ascii="Arial" w:hAnsi="Arial" w:cs="Arial"/>
          <w:color w:val="000000" w:themeColor="text1"/>
        </w:rPr>
        <w:t>Engen’s</w:t>
      </w:r>
      <w:r w:rsidR="00F218CA" w:rsidRPr="0083068D">
        <w:rPr>
          <w:rFonts w:ascii="Arial" w:hAnsi="Arial" w:cs="Arial"/>
          <w:color w:val="000000" w:themeColor="text1"/>
        </w:rPr>
        <w:t xml:space="preserve"> notice</w:t>
      </w:r>
      <w:r w:rsidR="009B7DED" w:rsidRPr="0083068D">
        <w:rPr>
          <w:rFonts w:ascii="Arial" w:hAnsi="Arial" w:cs="Arial"/>
          <w:color w:val="000000" w:themeColor="text1"/>
        </w:rPr>
        <w:t>, made nine payments</w:t>
      </w:r>
      <w:r w:rsidR="00F5162A" w:rsidRPr="0083068D">
        <w:rPr>
          <w:rFonts w:ascii="Arial" w:hAnsi="Arial" w:cs="Arial"/>
          <w:color w:val="000000" w:themeColor="text1"/>
        </w:rPr>
        <w:t xml:space="preserve"> to Windsharp</w:t>
      </w:r>
      <w:r w:rsidR="008C24CD" w:rsidRPr="0083068D">
        <w:rPr>
          <w:rFonts w:ascii="Arial" w:hAnsi="Arial" w:cs="Arial"/>
          <w:color w:val="000000" w:themeColor="text1"/>
        </w:rPr>
        <w:t>,</w:t>
      </w:r>
      <w:r w:rsidR="009B7DED" w:rsidRPr="0083068D">
        <w:rPr>
          <w:rFonts w:ascii="Arial" w:hAnsi="Arial" w:cs="Arial"/>
          <w:color w:val="000000" w:themeColor="text1"/>
        </w:rPr>
        <w:t xml:space="preserve"> </w:t>
      </w:r>
      <w:r w:rsidR="008C24CD" w:rsidRPr="0083068D">
        <w:rPr>
          <w:rFonts w:ascii="Arial" w:hAnsi="Arial" w:cs="Arial"/>
          <w:color w:val="000000" w:themeColor="text1"/>
        </w:rPr>
        <w:t xml:space="preserve">from 12 December 2014 to 30 January 2015, in respect of debts due by it </w:t>
      </w:r>
      <w:r w:rsidR="009B7DED" w:rsidRPr="0083068D">
        <w:rPr>
          <w:rFonts w:ascii="Arial" w:hAnsi="Arial" w:cs="Arial"/>
          <w:color w:val="000000" w:themeColor="text1"/>
        </w:rPr>
        <w:t>to Windsharp</w:t>
      </w:r>
      <w:r w:rsidR="005A17D4" w:rsidRPr="0083068D">
        <w:rPr>
          <w:rFonts w:ascii="Arial" w:hAnsi="Arial" w:cs="Arial"/>
          <w:color w:val="000000" w:themeColor="text1"/>
        </w:rPr>
        <w:t xml:space="preserve">. </w:t>
      </w:r>
      <w:r w:rsidR="00F218CA" w:rsidRPr="0083068D">
        <w:rPr>
          <w:rFonts w:ascii="Arial" w:hAnsi="Arial" w:cs="Arial"/>
          <w:color w:val="000000" w:themeColor="text1"/>
        </w:rPr>
        <w:t xml:space="preserve">In May 2017, </w:t>
      </w:r>
      <w:r w:rsidR="008A2A45" w:rsidRPr="0083068D">
        <w:rPr>
          <w:rFonts w:ascii="Arial" w:hAnsi="Arial" w:cs="Arial"/>
          <w:color w:val="000000" w:themeColor="text1"/>
        </w:rPr>
        <w:t xml:space="preserve">on the basis that Windsharp had </w:t>
      </w:r>
      <w:r w:rsidR="00082C85" w:rsidRPr="0083068D">
        <w:rPr>
          <w:rFonts w:ascii="Arial" w:hAnsi="Arial" w:cs="Arial"/>
          <w:color w:val="000000" w:themeColor="text1"/>
        </w:rPr>
        <w:t>‘</w:t>
      </w:r>
      <w:r w:rsidR="008A2A45" w:rsidRPr="0083068D">
        <w:rPr>
          <w:rFonts w:ascii="Arial" w:hAnsi="Arial" w:cs="Arial"/>
          <w:color w:val="000000" w:themeColor="text1"/>
        </w:rPr>
        <w:t xml:space="preserve">ceded its book debts in </w:t>
      </w:r>
      <w:r w:rsidR="008A2A45" w:rsidRPr="0083068D">
        <w:rPr>
          <w:rFonts w:ascii="Arial" w:hAnsi="Arial" w:cs="Arial"/>
          <w:i/>
          <w:iCs/>
          <w:color w:val="000000" w:themeColor="text1"/>
        </w:rPr>
        <w:t>securitatem debiti</w:t>
      </w:r>
      <w:r w:rsidR="00082C85" w:rsidRPr="0083068D">
        <w:rPr>
          <w:rFonts w:ascii="Arial" w:hAnsi="Arial" w:cs="Arial"/>
          <w:color w:val="000000" w:themeColor="text1"/>
        </w:rPr>
        <w:t>’</w:t>
      </w:r>
      <w:r w:rsidR="008A2A45" w:rsidRPr="0083068D">
        <w:rPr>
          <w:rFonts w:ascii="Arial" w:hAnsi="Arial" w:cs="Arial"/>
          <w:color w:val="000000" w:themeColor="text1"/>
        </w:rPr>
        <w:t xml:space="preserve"> to </w:t>
      </w:r>
      <w:r w:rsidR="005A17D4" w:rsidRPr="0083068D">
        <w:rPr>
          <w:rFonts w:ascii="Arial" w:hAnsi="Arial" w:cs="Arial"/>
          <w:color w:val="000000" w:themeColor="text1"/>
        </w:rPr>
        <w:t>it</w:t>
      </w:r>
      <w:r w:rsidR="004C3E93" w:rsidRPr="0083068D">
        <w:rPr>
          <w:rFonts w:ascii="Arial" w:hAnsi="Arial" w:cs="Arial"/>
          <w:color w:val="000000" w:themeColor="text1"/>
        </w:rPr>
        <w:t xml:space="preserve">, </w:t>
      </w:r>
      <w:r w:rsidR="00A61003" w:rsidRPr="0083068D">
        <w:rPr>
          <w:rFonts w:ascii="Arial" w:hAnsi="Arial" w:cs="Arial"/>
          <w:color w:val="000000" w:themeColor="text1"/>
        </w:rPr>
        <w:t xml:space="preserve">Engen applied to the high court </w:t>
      </w:r>
      <w:r w:rsidR="00F218CA" w:rsidRPr="0083068D">
        <w:rPr>
          <w:rFonts w:ascii="Arial" w:hAnsi="Arial" w:cs="Arial"/>
          <w:color w:val="000000" w:themeColor="text1"/>
        </w:rPr>
        <w:t xml:space="preserve">for an order </w:t>
      </w:r>
      <w:r w:rsidR="004C3E93" w:rsidRPr="0083068D">
        <w:rPr>
          <w:rFonts w:ascii="Arial" w:hAnsi="Arial" w:cs="Arial"/>
          <w:color w:val="000000" w:themeColor="text1"/>
        </w:rPr>
        <w:t>that</w:t>
      </w:r>
      <w:r w:rsidR="005A17D4" w:rsidRPr="0083068D">
        <w:rPr>
          <w:rFonts w:ascii="Arial" w:hAnsi="Arial" w:cs="Arial"/>
          <w:color w:val="000000" w:themeColor="text1"/>
        </w:rPr>
        <w:t xml:space="preserve"> </w:t>
      </w:r>
      <w:r w:rsidR="008A2A45" w:rsidRPr="0083068D">
        <w:rPr>
          <w:rFonts w:ascii="Arial" w:hAnsi="Arial" w:cs="Arial"/>
          <w:color w:val="000000" w:themeColor="text1"/>
        </w:rPr>
        <w:t xml:space="preserve">Flotank </w:t>
      </w:r>
      <w:r w:rsidR="004C3E93" w:rsidRPr="0083068D">
        <w:rPr>
          <w:rFonts w:ascii="Arial" w:hAnsi="Arial" w:cs="Arial"/>
          <w:color w:val="000000" w:themeColor="text1"/>
        </w:rPr>
        <w:t xml:space="preserve">pay Engen the </w:t>
      </w:r>
      <w:r w:rsidR="00F218CA" w:rsidRPr="0083068D">
        <w:rPr>
          <w:rFonts w:ascii="Arial" w:hAnsi="Arial" w:cs="Arial"/>
          <w:color w:val="000000" w:themeColor="text1"/>
        </w:rPr>
        <w:t xml:space="preserve">nine </w:t>
      </w:r>
      <w:r w:rsidR="00EA729E" w:rsidRPr="0083068D">
        <w:rPr>
          <w:rFonts w:ascii="Arial" w:hAnsi="Arial" w:cs="Arial"/>
          <w:color w:val="000000" w:themeColor="text1"/>
        </w:rPr>
        <w:t xml:space="preserve">amounts </w:t>
      </w:r>
      <w:r w:rsidR="00F5162A" w:rsidRPr="0083068D">
        <w:rPr>
          <w:rFonts w:ascii="Arial" w:hAnsi="Arial" w:cs="Arial"/>
          <w:color w:val="000000" w:themeColor="text1"/>
        </w:rPr>
        <w:t xml:space="preserve">it had </w:t>
      </w:r>
      <w:r w:rsidR="00EA729E" w:rsidRPr="0083068D">
        <w:rPr>
          <w:rFonts w:ascii="Arial" w:hAnsi="Arial" w:cs="Arial"/>
          <w:color w:val="000000" w:themeColor="text1"/>
        </w:rPr>
        <w:t xml:space="preserve">paid </w:t>
      </w:r>
      <w:r w:rsidR="005A17D4" w:rsidRPr="0083068D">
        <w:rPr>
          <w:rFonts w:ascii="Arial" w:hAnsi="Arial" w:cs="Arial"/>
          <w:color w:val="000000" w:themeColor="text1"/>
        </w:rPr>
        <w:t>to Windsharp</w:t>
      </w:r>
      <w:r w:rsidR="004C3E93" w:rsidRPr="0083068D">
        <w:rPr>
          <w:rFonts w:ascii="Arial" w:hAnsi="Arial" w:cs="Arial"/>
          <w:color w:val="000000" w:themeColor="text1"/>
        </w:rPr>
        <w:t xml:space="preserve">. </w:t>
      </w:r>
    </w:p>
    <w:p w14:paraId="2301CC4A" w14:textId="5E7876B2" w:rsidR="00E57120" w:rsidRPr="0083068D" w:rsidRDefault="007749AF" w:rsidP="00192993">
      <w:pPr>
        <w:pStyle w:val="ListParagraph"/>
        <w:numPr>
          <w:ilvl w:val="0"/>
          <w:numId w:val="1"/>
        </w:numPr>
        <w:adjustRightInd w:val="0"/>
        <w:snapToGrid w:val="0"/>
        <w:spacing w:before="240" w:after="240" w:line="360" w:lineRule="auto"/>
        <w:contextualSpacing w:val="0"/>
        <w:jc w:val="both"/>
        <w:rPr>
          <w:rFonts w:ascii="Arial" w:hAnsi="Arial" w:cs="Arial"/>
          <w:color w:val="000000" w:themeColor="text1"/>
          <w:lang w:val="en-ZA" w:eastAsia="en-GB"/>
        </w:rPr>
      </w:pPr>
      <w:r w:rsidRPr="0083068D">
        <w:rPr>
          <w:rFonts w:ascii="Arial" w:hAnsi="Arial" w:cs="Arial"/>
          <w:color w:val="000000" w:themeColor="text1"/>
        </w:rPr>
        <w:t xml:space="preserve">Flotank opposed the application </w:t>
      </w:r>
      <w:r w:rsidR="00F218CA" w:rsidRPr="0083068D">
        <w:rPr>
          <w:rFonts w:ascii="Arial" w:hAnsi="Arial" w:cs="Arial"/>
          <w:color w:val="000000" w:themeColor="text1"/>
        </w:rPr>
        <w:t xml:space="preserve">inter alia </w:t>
      </w:r>
      <w:r w:rsidRPr="0083068D">
        <w:rPr>
          <w:rFonts w:ascii="Arial" w:hAnsi="Arial" w:cs="Arial"/>
          <w:color w:val="000000" w:themeColor="text1"/>
        </w:rPr>
        <w:t>on the basis that</w:t>
      </w:r>
      <w:r w:rsidR="001E18EA" w:rsidRPr="0083068D">
        <w:rPr>
          <w:rFonts w:ascii="Arial" w:hAnsi="Arial" w:cs="Arial"/>
          <w:color w:val="000000" w:themeColor="text1"/>
        </w:rPr>
        <w:t>,</w:t>
      </w:r>
      <w:r w:rsidRPr="0083068D">
        <w:rPr>
          <w:rFonts w:ascii="Arial" w:hAnsi="Arial" w:cs="Arial"/>
          <w:color w:val="000000" w:themeColor="text1"/>
        </w:rPr>
        <w:t xml:space="preserve"> </w:t>
      </w:r>
      <w:r w:rsidR="004C3E93" w:rsidRPr="0083068D">
        <w:rPr>
          <w:rFonts w:ascii="Arial" w:hAnsi="Arial" w:cs="Arial"/>
          <w:color w:val="000000" w:themeColor="text1"/>
        </w:rPr>
        <w:t>on liquidation</w:t>
      </w:r>
      <w:r w:rsidR="001E18EA" w:rsidRPr="0083068D">
        <w:rPr>
          <w:rFonts w:ascii="Arial" w:hAnsi="Arial" w:cs="Arial"/>
          <w:color w:val="000000" w:themeColor="text1"/>
        </w:rPr>
        <w:t xml:space="preserve">, </w:t>
      </w:r>
      <w:r w:rsidR="004C3E93" w:rsidRPr="0083068D">
        <w:rPr>
          <w:rFonts w:ascii="Arial" w:hAnsi="Arial" w:cs="Arial"/>
          <w:color w:val="000000" w:themeColor="text1"/>
        </w:rPr>
        <w:t xml:space="preserve">Windsharp’s ceded book debts resorted with </w:t>
      </w:r>
      <w:r w:rsidR="00B556D6" w:rsidRPr="0083068D">
        <w:rPr>
          <w:rFonts w:ascii="Arial" w:hAnsi="Arial" w:cs="Arial"/>
          <w:color w:val="000000" w:themeColor="text1"/>
        </w:rPr>
        <w:t>i</w:t>
      </w:r>
      <w:r w:rsidR="004C3E93" w:rsidRPr="0083068D">
        <w:rPr>
          <w:rFonts w:ascii="Arial" w:hAnsi="Arial" w:cs="Arial"/>
          <w:color w:val="000000" w:themeColor="text1"/>
        </w:rPr>
        <w:t>ts liquidators, with Engen</w:t>
      </w:r>
      <w:r w:rsidR="00A746DD">
        <w:rPr>
          <w:rFonts w:ascii="Arial" w:hAnsi="Arial" w:cs="Arial"/>
          <w:color w:val="000000" w:themeColor="text1"/>
        </w:rPr>
        <w:t xml:space="preserve"> becoming</w:t>
      </w:r>
      <w:r w:rsidR="004C3E93" w:rsidRPr="0083068D">
        <w:rPr>
          <w:rFonts w:ascii="Arial" w:hAnsi="Arial" w:cs="Arial"/>
          <w:color w:val="000000" w:themeColor="text1"/>
        </w:rPr>
        <w:t xml:space="preserve"> a secured creditor of Win</w:t>
      </w:r>
      <w:r w:rsidR="0090040A" w:rsidRPr="0083068D">
        <w:rPr>
          <w:rFonts w:ascii="Arial" w:hAnsi="Arial" w:cs="Arial"/>
          <w:color w:val="000000" w:themeColor="text1"/>
        </w:rPr>
        <w:t>d</w:t>
      </w:r>
      <w:r w:rsidR="004C3E93" w:rsidRPr="0083068D">
        <w:rPr>
          <w:rFonts w:ascii="Arial" w:hAnsi="Arial" w:cs="Arial"/>
          <w:color w:val="000000" w:themeColor="text1"/>
        </w:rPr>
        <w:t xml:space="preserve">sharp from </w:t>
      </w:r>
      <w:r w:rsidR="00C64A98" w:rsidRPr="0083068D">
        <w:rPr>
          <w:rFonts w:ascii="Arial" w:hAnsi="Arial" w:cs="Arial"/>
          <w:color w:val="000000" w:themeColor="text1"/>
        </w:rPr>
        <w:t>t</w:t>
      </w:r>
      <w:r w:rsidR="00F218CA" w:rsidRPr="0083068D">
        <w:rPr>
          <w:rFonts w:ascii="Arial" w:hAnsi="Arial" w:cs="Arial"/>
          <w:color w:val="000000" w:themeColor="text1"/>
        </w:rPr>
        <w:t>h</w:t>
      </w:r>
      <w:r w:rsidR="00C64A98" w:rsidRPr="0083068D">
        <w:rPr>
          <w:rFonts w:ascii="Arial" w:hAnsi="Arial" w:cs="Arial"/>
          <w:color w:val="000000" w:themeColor="text1"/>
        </w:rPr>
        <w:t>e</w:t>
      </w:r>
      <w:r w:rsidR="004C3E93" w:rsidRPr="0083068D">
        <w:rPr>
          <w:rFonts w:ascii="Arial" w:hAnsi="Arial" w:cs="Arial"/>
          <w:color w:val="000000" w:themeColor="text1"/>
        </w:rPr>
        <w:t xml:space="preserve"> date</w:t>
      </w:r>
      <w:r w:rsidR="00C64A98" w:rsidRPr="0083068D">
        <w:rPr>
          <w:rFonts w:ascii="Arial" w:hAnsi="Arial" w:cs="Arial"/>
          <w:color w:val="000000" w:themeColor="text1"/>
        </w:rPr>
        <w:t xml:space="preserve"> of liquidation</w:t>
      </w:r>
      <w:r w:rsidR="004E38D7" w:rsidRPr="0083068D">
        <w:rPr>
          <w:rFonts w:ascii="Arial" w:hAnsi="Arial" w:cs="Arial"/>
          <w:color w:val="000000" w:themeColor="text1"/>
        </w:rPr>
        <w:t>; and that</w:t>
      </w:r>
      <w:r w:rsidR="0090040A" w:rsidRPr="0083068D">
        <w:rPr>
          <w:rFonts w:ascii="Arial" w:hAnsi="Arial" w:cs="Arial"/>
          <w:color w:val="000000" w:themeColor="text1"/>
        </w:rPr>
        <w:t xml:space="preserve"> </w:t>
      </w:r>
      <w:r w:rsidR="00A61003" w:rsidRPr="0083068D">
        <w:rPr>
          <w:rFonts w:ascii="Arial" w:hAnsi="Arial" w:cs="Arial"/>
          <w:color w:val="000000" w:themeColor="text1"/>
        </w:rPr>
        <w:t>Engen</w:t>
      </w:r>
      <w:r w:rsidR="0090040A" w:rsidRPr="0083068D">
        <w:rPr>
          <w:rFonts w:ascii="Arial" w:hAnsi="Arial" w:cs="Arial"/>
          <w:color w:val="000000" w:themeColor="text1"/>
        </w:rPr>
        <w:t xml:space="preserve"> </w:t>
      </w:r>
      <w:r w:rsidR="004E38D7" w:rsidRPr="0083068D">
        <w:rPr>
          <w:rFonts w:ascii="Arial" w:hAnsi="Arial" w:cs="Arial"/>
          <w:color w:val="000000" w:themeColor="text1"/>
        </w:rPr>
        <w:t>h</w:t>
      </w:r>
      <w:r w:rsidR="0090040A" w:rsidRPr="0083068D">
        <w:rPr>
          <w:rFonts w:ascii="Arial" w:hAnsi="Arial" w:cs="Arial"/>
          <w:color w:val="000000" w:themeColor="text1"/>
        </w:rPr>
        <w:t>eld</w:t>
      </w:r>
      <w:r w:rsidR="004E38D7" w:rsidRPr="0083068D">
        <w:rPr>
          <w:rFonts w:ascii="Arial" w:hAnsi="Arial" w:cs="Arial"/>
          <w:color w:val="000000" w:themeColor="text1"/>
        </w:rPr>
        <w:t xml:space="preserve"> a claim against </w:t>
      </w:r>
      <w:r w:rsidR="001E18EA" w:rsidRPr="0083068D">
        <w:rPr>
          <w:rFonts w:ascii="Arial" w:hAnsi="Arial" w:cs="Arial"/>
          <w:color w:val="000000" w:themeColor="text1"/>
        </w:rPr>
        <w:t>Windsharp’s</w:t>
      </w:r>
      <w:r w:rsidR="004E38D7" w:rsidRPr="0083068D">
        <w:rPr>
          <w:rFonts w:ascii="Arial" w:hAnsi="Arial" w:cs="Arial"/>
          <w:color w:val="000000" w:themeColor="text1"/>
        </w:rPr>
        <w:t xml:space="preserve"> liquidators</w:t>
      </w:r>
      <w:r w:rsidR="004C3E93" w:rsidRPr="0083068D">
        <w:rPr>
          <w:rFonts w:ascii="Arial" w:hAnsi="Arial" w:cs="Arial"/>
          <w:color w:val="000000" w:themeColor="text1"/>
        </w:rPr>
        <w:t>.</w:t>
      </w:r>
      <w:r w:rsidR="003F0CCA" w:rsidRPr="0083068D">
        <w:rPr>
          <w:rFonts w:ascii="Arial" w:hAnsi="Arial" w:cs="Arial"/>
          <w:color w:val="000000" w:themeColor="text1"/>
        </w:rPr>
        <w:t xml:space="preserve"> </w:t>
      </w:r>
      <w:r w:rsidR="00B556D6" w:rsidRPr="0083068D">
        <w:rPr>
          <w:rFonts w:ascii="Arial" w:hAnsi="Arial" w:cs="Arial"/>
          <w:color w:val="000000" w:themeColor="text1"/>
        </w:rPr>
        <w:t xml:space="preserve">In addition, </w:t>
      </w:r>
      <w:r w:rsidR="00C64A98" w:rsidRPr="0083068D">
        <w:rPr>
          <w:rFonts w:ascii="Arial" w:hAnsi="Arial" w:cs="Arial"/>
          <w:color w:val="000000" w:themeColor="text1"/>
        </w:rPr>
        <w:t xml:space="preserve">Flotank contended that </w:t>
      </w:r>
      <w:r w:rsidR="00B556D6" w:rsidRPr="0083068D">
        <w:rPr>
          <w:rFonts w:ascii="Arial" w:hAnsi="Arial" w:cs="Arial"/>
          <w:color w:val="000000" w:themeColor="text1"/>
        </w:rPr>
        <w:t>s</w:t>
      </w:r>
      <w:r w:rsidR="003F0CCA" w:rsidRPr="0083068D">
        <w:rPr>
          <w:rFonts w:ascii="Arial" w:hAnsi="Arial" w:cs="Arial"/>
          <w:color w:val="000000" w:themeColor="text1"/>
        </w:rPr>
        <w:t xml:space="preserve">ince Engen had failed to provide </w:t>
      </w:r>
      <w:r w:rsidR="00C64A98" w:rsidRPr="0083068D">
        <w:rPr>
          <w:rFonts w:ascii="Arial" w:hAnsi="Arial" w:cs="Arial"/>
          <w:color w:val="000000" w:themeColor="text1"/>
        </w:rPr>
        <w:t>it</w:t>
      </w:r>
      <w:r w:rsidR="003F0CCA" w:rsidRPr="0083068D">
        <w:rPr>
          <w:rFonts w:ascii="Arial" w:hAnsi="Arial" w:cs="Arial"/>
          <w:color w:val="000000" w:themeColor="text1"/>
        </w:rPr>
        <w:t xml:space="preserve"> with the cession relied upon</w:t>
      </w:r>
      <w:r w:rsidR="00A61003" w:rsidRPr="0083068D">
        <w:rPr>
          <w:rFonts w:ascii="Arial" w:hAnsi="Arial" w:cs="Arial"/>
          <w:color w:val="000000" w:themeColor="text1"/>
        </w:rPr>
        <w:t>,</w:t>
      </w:r>
      <w:r w:rsidR="003F0CCA" w:rsidRPr="0083068D">
        <w:rPr>
          <w:rFonts w:ascii="Arial" w:hAnsi="Arial" w:cs="Arial"/>
          <w:color w:val="000000" w:themeColor="text1"/>
        </w:rPr>
        <w:t xml:space="preserve"> </w:t>
      </w:r>
      <w:r w:rsidR="00A464F1" w:rsidRPr="0083068D">
        <w:rPr>
          <w:rFonts w:ascii="Arial" w:hAnsi="Arial" w:cs="Arial"/>
          <w:color w:val="000000" w:themeColor="text1"/>
        </w:rPr>
        <w:t xml:space="preserve">no proper perfection of the cession had </w:t>
      </w:r>
      <w:r w:rsidR="0090040A" w:rsidRPr="0083068D">
        <w:rPr>
          <w:rFonts w:ascii="Arial" w:hAnsi="Arial" w:cs="Arial"/>
          <w:color w:val="000000" w:themeColor="text1"/>
        </w:rPr>
        <w:t>occurred</w:t>
      </w:r>
      <w:r w:rsidR="00A464F1" w:rsidRPr="0083068D">
        <w:rPr>
          <w:rFonts w:ascii="Arial" w:hAnsi="Arial" w:cs="Arial"/>
          <w:color w:val="000000" w:themeColor="text1"/>
        </w:rPr>
        <w:t>.</w:t>
      </w:r>
    </w:p>
    <w:p w14:paraId="1706FEA3" w14:textId="6BFAA0BF" w:rsidR="00E57120" w:rsidRPr="0083068D" w:rsidRDefault="003C6C60" w:rsidP="00192993">
      <w:pPr>
        <w:pStyle w:val="ListParagraph"/>
        <w:numPr>
          <w:ilvl w:val="0"/>
          <w:numId w:val="1"/>
        </w:numPr>
        <w:adjustRightInd w:val="0"/>
        <w:snapToGrid w:val="0"/>
        <w:spacing w:before="240" w:after="240" w:line="360" w:lineRule="auto"/>
        <w:contextualSpacing w:val="0"/>
        <w:jc w:val="both"/>
        <w:rPr>
          <w:rFonts w:ascii="Arial" w:hAnsi="Arial" w:cs="Arial"/>
          <w:color w:val="000000" w:themeColor="text1"/>
          <w:lang w:val="en-ZA" w:eastAsia="en-GB"/>
        </w:rPr>
      </w:pPr>
      <w:r w:rsidRPr="0083068D">
        <w:rPr>
          <w:rFonts w:ascii="Arial" w:hAnsi="Arial" w:cs="Arial"/>
          <w:color w:val="000000" w:themeColor="text1"/>
        </w:rPr>
        <w:t>The high</w:t>
      </w:r>
      <w:r w:rsidR="00F218CA" w:rsidRPr="0083068D">
        <w:rPr>
          <w:rFonts w:ascii="Arial" w:hAnsi="Arial" w:cs="Arial"/>
          <w:color w:val="000000" w:themeColor="text1"/>
        </w:rPr>
        <w:t xml:space="preserve"> </w:t>
      </w:r>
      <w:r w:rsidRPr="0083068D">
        <w:rPr>
          <w:rFonts w:ascii="Arial" w:hAnsi="Arial" w:cs="Arial"/>
          <w:color w:val="000000" w:themeColor="text1"/>
        </w:rPr>
        <w:t xml:space="preserve">court </w:t>
      </w:r>
      <w:r w:rsidR="00C161F7" w:rsidRPr="0083068D">
        <w:rPr>
          <w:rFonts w:ascii="Arial" w:hAnsi="Arial" w:cs="Arial"/>
          <w:color w:val="000000" w:themeColor="text1"/>
        </w:rPr>
        <w:t>found</w:t>
      </w:r>
      <w:r w:rsidR="004E38D7" w:rsidRPr="0083068D">
        <w:rPr>
          <w:rFonts w:ascii="Arial" w:hAnsi="Arial" w:cs="Arial"/>
          <w:color w:val="000000" w:themeColor="text1"/>
        </w:rPr>
        <w:t xml:space="preserve"> that</w:t>
      </w:r>
      <w:r w:rsidR="00B556D6" w:rsidRPr="0083068D">
        <w:rPr>
          <w:rFonts w:ascii="Arial" w:hAnsi="Arial" w:cs="Arial"/>
          <w:color w:val="000000" w:themeColor="text1"/>
        </w:rPr>
        <w:t xml:space="preserve"> </w:t>
      </w:r>
      <w:r w:rsidR="000E5036" w:rsidRPr="0083068D">
        <w:rPr>
          <w:rFonts w:ascii="Arial" w:hAnsi="Arial" w:cs="Arial"/>
          <w:color w:val="000000" w:themeColor="text1"/>
        </w:rPr>
        <w:t>the</w:t>
      </w:r>
      <w:r w:rsidR="004E38D7" w:rsidRPr="0083068D">
        <w:rPr>
          <w:rFonts w:ascii="Arial" w:hAnsi="Arial" w:cs="Arial"/>
          <w:color w:val="000000" w:themeColor="text1"/>
        </w:rPr>
        <w:t xml:space="preserve"> </w:t>
      </w:r>
      <w:r w:rsidR="004E38D7" w:rsidRPr="0083068D">
        <w:rPr>
          <w:rFonts w:ascii="Arial" w:hAnsi="Arial" w:cs="Arial"/>
          <w:i/>
          <w:iCs/>
          <w:color w:val="000000" w:themeColor="text1"/>
        </w:rPr>
        <w:t>concursus creditorum</w:t>
      </w:r>
      <w:r w:rsidR="004E38D7" w:rsidRPr="0083068D">
        <w:rPr>
          <w:rFonts w:ascii="Arial" w:hAnsi="Arial" w:cs="Arial"/>
          <w:color w:val="000000" w:themeColor="text1"/>
        </w:rPr>
        <w:t xml:space="preserve"> </w:t>
      </w:r>
      <w:r w:rsidR="0090040A" w:rsidRPr="0083068D">
        <w:rPr>
          <w:rFonts w:ascii="Arial" w:hAnsi="Arial" w:cs="Arial"/>
          <w:color w:val="000000" w:themeColor="text1"/>
        </w:rPr>
        <w:t>was created</w:t>
      </w:r>
      <w:r w:rsidR="000E5036" w:rsidRPr="0083068D">
        <w:rPr>
          <w:rFonts w:ascii="Arial" w:hAnsi="Arial" w:cs="Arial"/>
          <w:color w:val="000000" w:themeColor="text1"/>
        </w:rPr>
        <w:t xml:space="preserve"> </w:t>
      </w:r>
      <w:r w:rsidR="00C64A98" w:rsidRPr="0083068D">
        <w:rPr>
          <w:rFonts w:ascii="Arial" w:hAnsi="Arial" w:cs="Arial"/>
          <w:color w:val="000000" w:themeColor="text1"/>
        </w:rPr>
        <w:t xml:space="preserve">by operation of </w:t>
      </w:r>
      <w:r w:rsidR="004E38D7" w:rsidRPr="0083068D">
        <w:rPr>
          <w:rFonts w:ascii="Arial" w:hAnsi="Arial" w:cs="Arial"/>
          <w:color w:val="000000" w:themeColor="text1"/>
        </w:rPr>
        <w:t>law on 5 November 2014</w:t>
      </w:r>
      <w:r w:rsidR="000E5036" w:rsidRPr="0083068D">
        <w:rPr>
          <w:rFonts w:ascii="Arial" w:hAnsi="Arial" w:cs="Arial"/>
          <w:color w:val="000000" w:themeColor="text1"/>
        </w:rPr>
        <w:t xml:space="preserve"> when Windsharp was placed into provisional liquidation</w:t>
      </w:r>
      <w:r w:rsidR="004E38D7" w:rsidRPr="0083068D">
        <w:rPr>
          <w:rFonts w:ascii="Arial" w:hAnsi="Arial" w:cs="Arial"/>
          <w:color w:val="000000" w:themeColor="text1"/>
        </w:rPr>
        <w:t>.</w:t>
      </w:r>
      <w:r w:rsidR="008164B6" w:rsidRPr="0083068D">
        <w:rPr>
          <w:rFonts w:ascii="Arial" w:hAnsi="Arial" w:cs="Arial"/>
          <w:color w:val="000000" w:themeColor="text1"/>
        </w:rPr>
        <w:t xml:space="preserve"> </w:t>
      </w:r>
      <w:r w:rsidR="00466E81" w:rsidRPr="0083068D">
        <w:rPr>
          <w:rFonts w:ascii="Arial" w:hAnsi="Arial" w:cs="Arial"/>
          <w:color w:val="000000" w:themeColor="text1"/>
        </w:rPr>
        <w:t>The court rejected Flotank</w:t>
      </w:r>
      <w:r w:rsidR="00B623D6" w:rsidRPr="0083068D">
        <w:rPr>
          <w:rFonts w:ascii="Arial" w:hAnsi="Arial" w:cs="Arial"/>
          <w:color w:val="000000" w:themeColor="text1"/>
        </w:rPr>
        <w:t>’s contention</w:t>
      </w:r>
      <w:r w:rsidR="00466E81" w:rsidRPr="0083068D">
        <w:rPr>
          <w:rFonts w:ascii="Arial" w:hAnsi="Arial" w:cs="Arial"/>
          <w:color w:val="000000" w:themeColor="text1"/>
        </w:rPr>
        <w:t xml:space="preserve"> that Engen had failed to </w:t>
      </w:r>
      <w:r w:rsidR="00082C85" w:rsidRPr="0083068D">
        <w:rPr>
          <w:rFonts w:ascii="Arial" w:hAnsi="Arial" w:cs="Arial"/>
          <w:color w:val="000000" w:themeColor="text1"/>
        </w:rPr>
        <w:t>‘</w:t>
      </w:r>
      <w:r w:rsidR="00466E81" w:rsidRPr="0083068D">
        <w:rPr>
          <w:rFonts w:ascii="Arial" w:hAnsi="Arial" w:cs="Arial"/>
          <w:color w:val="000000" w:themeColor="text1"/>
        </w:rPr>
        <w:t>perfect</w:t>
      </w:r>
      <w:r w:rsidR="00082C85" w:rsidRPr="0083068D">
        <w:rPr>
          <w:rFonts w:ascii="Arial" w:hAnsi="Arial" w:cs="Arial"/>
          <w:color w:val="000000" w:themeColor="text1"/>
        </w:rPr>
        <w:t>’</w:t>
      </w:r>
      <w:r w:rsidR="00466E81" w:rsidRPr="0083068D">
        <w:rPr>
          <w:rFonts w:ascii="Arial" w:hAnsi="Arial" w:cs="Arial"/>
          <w:color w:val="000000" w:themeColor="text1"/>
        </w:rPr>
        <w:t xml:space="preserve"> </w:t>
      </w:r>
      <w:r w:rsidR="00B623D6" w:rsidRPr="0083068D">
        <w:rPr>
          <w:rFonts w:ascii="Arial" w:hAnsi="Arial" w:cs="Arial"/>
          <w:color w:val="000000" w:themeColor="text1"/>
        </w:rPr>
        <w:t>the</w:t>
      </w:r>
      <w:r w:rsidR="00466E81" w:rsidRPr="0083068D">
        <w:rPr>
          <w:rFonts w:ascii="Arial" w:hAnsi="Arial" w:cs="Arial"/>
          <w:color w:val="000000" w:themeColor="text1"/>
        </w:rPr>
        <w:t xml:space="preserve"> cession </w:t>
      </w:r>
      <w:r w:rsidR="00B623D6" w:rsidRPr="0083068D">
        <w:rPr>
          <w:rFonts w:ascii="Arial" w:hAnsi="Arial" w:cs="Arial"/>
          <w:color w:val="000000" w:themeColor="text1"/>
        </w:rPr>
        <w:t xml:space="preserve">by </w:t>
      </w:r>
      <w:r w:rsidR="00466E81" w:rsidRPr="0083068D">
        <w:rPr>
          <w:rFonts w:ascii="Arial" w:hAnsi="Arial" w:cs="Arial"/>
          <w:color w:val="000000" w:themeColor="text1"/>
        </w:rPr>
        <w:t xml:space="preserve">not </w:t>
      </w:r>
      <w:r w:rsidR="00B623D6" w:rsidRPr="0083068D">
        <w:rPr>
          <w:rFonts w:ascii="Arial" w:hAnsi="Arial" w:cs="Arial"/>
          <w:color w:val="000000" w:themeColor="text1"/>
        </w:rPr>
        <w:t xml:space="preserve">having </w:t>
      </w:r>
      <w:r w:rsidR="00466E81" w:rsidRPr="0083068D">
        <w:rPr>
          <w:rFonts w:ascii="Arial" w:hAnsi="Arial" w:cs="Arial"/>
          <w:color w:val="000000" w:themeColor="text1"/>
        </w:rPr>
        <w:t>provide</w:t>
      </w:r>
      <w:r w:rsidR="00C161F7" w:rsidRPr="0083068D">
        <w:rPr>
          <w:rFonts w:ascii="Arial" w:hAnsi="Arial" w:cs="Arial"/>
          <w:color w:val="000000" w:themeColor="text1"/>
        </w:rPr>
        <w:t>d</w:t>
      </w:r>
      <w:r w:rsidR="00466E81" w:rsidRPr="0083068D">
        <w:rPr>
          <w:rFonts w:ascii="Arial" w:hAnsi="Arial" w:cs="Arial"/>
          <w:color w:val="000000" w:themeColor="text1"/>
        </w:rPr>
        <w:t xml:space="preserve"> a copy of the cession to Flotank</w:t>
      </w:r>
      <w:r w:rsidR="00B623D6" w:rsidRPr="0083068D">
        <w:rPr>
          <w:rFonts w:ascii="Arial" w:hAnsi="Arial" w:cs="Arial"/>
          <w:color w:val="000000" w:themeColor="text1"/>
        </w:rPr>
        <w:t xml:space="preserve"> and</w:t>
      </w:r>
      <w:r w:rsidR="0090040A" w:rsidRPr="0083068D">
        <w:rPr>
          <w:rFonts w:ascii="Arial" w:hAnsi="Arial" w:cs="Arial"/>
          <w:color w:val="000000" w:themeColor="text1"/>
        </w:rPr>
        <w:t xml:space="preserve"> </w:t>
      </w:r>
      <w:r w:rsidR="00B623D6" w:rsidRPr="0083068D">
        <w:rPr>
          <w:rFonts w:ascii="Arial" w:hAnsi="Arial" w:cs="Arial"/>
          <w:color w:val="000000" w:themeColor="text1"/>
        </w:rPr>
        <w:lastRenderedPageBreak/>
        <w:t xml:space="preserve">that </w:t>
      </w:r>
      <w:r w:rsidR="00466E81" w:rsidRPr="0083068D">
        <w:rPr>
          <w:rFonts w:ascii="Arial" w:hAnsi="Arial" w:cs="Arial"/>
          <w:color w:val="000000" w:themeColor="text1"/>
        </w:rPr>
        <w:t xml:space="preserve">notice </w:t>
      </w:r>
      <w:r w:rsidR="0090040A" w:rsidRPr="0083068D">
        <w:rPr>
          <w:rFonts w:ascii="Arial" w:hAnsi="Arial" w:cs="Arial"/>
          <w:color w:val="000000" w:themeColor="text1"/>
        </w:rPr>
        <w:t xml:space="preserve">to Flotank </w:t>
      </w:r>
      <w:r w:rsidR="001E18EA" w:rsidRPr="0083068D">
        <w:rPr>
          <w:rFonts w:ascii="Arial" w:hAnsi="Arial" w:cs="Arial"/>
          <w:color w:val="000000" w:themeColor="text1"/>
        </w:rPr>
        <w:t xml:space="preserve">by Engen </w:t>
      </w:r>
      <w:r w:rsidR="00466E81" w:rsidRPr="0083068D">
        <w:rPr>
          <w:rFonts w:ascii="Arial" w:hAnsi="Arial" w:cs="Arial"/>
          <w:color w:val="000000" w:themeColor="text1"/>
        </w:rPr>
        <w:t xml:space="preserve">of the cession </w:t>
      </w:r>
      <w:r w:rsidR="00C161F7" w:rsidRPr="0083068D">
        <w:rPr>
          <w:rFonts w:ascii="Arial" w:hAnsi="Arial" w:cs="Arial"/>
          <w:color w:val="000000" w:themeColor="text1"/>
        </w:rPr>
        <w:t>had been</w:t>
      </w:r>
      <w:r w:rsidR="00466E81" w:rsidRPr="0083068D">
        <w:rPr>
          <w:rFonts w:ascii="Arial" w:hAnsi="Arial" w:cs="Arial"/>
          <w:color w:val="000000" w:themeColor="text1"/>
        </w:rPr>
        <w:t xml:space="preserve"> sufficient. </w:t>
      </w:r>
      <w:r w:rsidR="00B623D6" w:rsidRPr="0083068D">
        <w:rPr>
          <w:rFonts w:ascii="Arial" w:hAnsi="Arial" w:cs="Arial"/>
          <w:color w:val="000000" w:themeColor="text1"/>
        </w:rPr>
        <w:t>The court found</w:t>
      </w:r>
      <w:r w:rsidR="00082C85" w:rsidRPr="0083068D">
        <w:rPr>
          <w:rFonts w:ascii="Arial" w:hAnsi="Arial" w:cs="Arial"/>
          <w:color w:val="000000" w:themeColor="text1"/>
        </w:rPr>
        <w:t>,</w:t>
      </w:r>
      <w:r w:rsidR="0090040A" w:rsidRPr="0083068D">
        <w:rPr>
          <w:rFonts w:ascii="Arial" w:hAnsi="Arial" w:cs="Arial"/>
          <w:color w:val="000000" w:themeColor="text1"/>
        </w:rPr>
        <w:t xml:space="preserve"> </w:t>
      </w:r>
      <w:r w:rsidR="00B623D6" w:rsidRPr="0083068D">
        <w:rPr>
          <w:rFonts w:ascii="Arial" w:hAnsi="Arial" w:cs="Arial"/>
          <w:color w:val="000000" w:themeColor="text1"/>
        </w:rPr>
        <w:t>however</w:t>
      </w:r>
      <w:r w:rsidR="00082C85" w:rsidRPr="0083068D">
        <w:rPr>
          <w:rFonts w:ascii="Arial" w:hAnsi="Arial" w:cs="Arial"/>
          <w:color w:val="000000" w:themeColor="text1"/>
        </w:rPr>
        <w:t>,</w:t>
      </w:r>
      <w:r w:rsidR="00B623D6" w:rsidRPr="0083068D">
        <w:rPr>
          <w:rFonts w:ascii="Arial" w:hAnsi="Arial" w:cs="Arial"/>
          <w:color w:val="000000" w:themeColor="text1"/>
        </w:rPr>
        <w:t xml:space="preserve"> </w:t>
      </w:r>
      <w:r w:rsidR="0090040A" w:rsidRPr="0083068D">
        <w:rPr>
          <w:rFonts w:ascii="Arial" w:hAnsi="Arial" w:cs="Arial"/>
          <w:color w:val="000000" w:themeColor="text1"/>
        </w:rPr>
        <w:t>that</w:t>
      </w:r>
      <w:r w:rsidR="00B623D6" w:rsidRPr="0083068D">
        <w:rPr>
          <w:rFonts w:ascii="Arial" w:hAnsi="Arial" w:cs="Arial"/>
          <w:color w:val="000000" w:themeColor="text1"/>
        </w:rPr>
        <w:t xml:space="preserve"> it was</w:t>
      </w:r>
      <w:r w:rsidR="0090040A" w:rsidRPr="0083068D">
        <w:rPr>
          <w:rFonts w:ascii="Arial" w:hAnsi="Arial" w:cs="Arial"/>
          <w:color w:val="000000" w:themeColor="text1"/>
        </w:rPr>
        <w:t xml:space="preserve"> </w:t>
      </w:r>
      <w:r w:rsidR="00B623D6" w:rsidRPr="0083068D">
        <w:rPr>
          <w:rFonts w:ascii="Arial" w:hAnsi="Arial" w:cs="Arial"/>
          <w:color w:val="000000" w:themeColor="text1"/>
        </w:rPr>
        <w:t>Windsharp’s</w:t>
      </w:r>
      <w:r w:rsidR="0090040A" w:rsidRPr="0083068D">
        <w:rPr>
          <w:rFonts w:ascii="Arial" w:hAnsi="Arial" w:cs="Arial"/>
          <w:color w:val="000000" w:themeColor="text1"/>
        </w:rPr>
        <w:t xml:space="preserve"> liquidators</w:t>
      </w:r>
      <w:r w:rsidR="00B623D6" w:rsidRPr="0083068D">
        <w:rPr>
          <w:rFonts w:ascii="Arial" w:hAnsi="Arial" w:cs="Arial"/>
          <w:color w:val="000000" w:themeColor="text1"/>
        </w:rPr>
        <w:t xml:space="preserve"> and not Engen that</w:t>
      </w:r>
      <w:r w:rsidR="0090040A" w:rsidRPr="0083068D">
        <w:rPr>
          <w:rFonts w:ascii="Arial" w:hAnsi="Arial" w:cs="Arial"/>
          <w:color w:val="000000" w:themeColor="text1"/>
        </w:rPr>
        <w:t xml:space="preserve"> were entitled to claim that </w:t>
      </w:r>
      <w:r w:rsidR="00B623D6" w:rsidRPr="0083068D">
        <w:rPr>
          <w:rFonts w:ascii="Arial" w:hAnsi="Arial" w:cs="Arial"/>
          <w:color w:val="000000" w:themeColor="text1"/>
        </w:rPr>
        <w:t xml:space="preserve">which had been </w:t>
      </w:r>
      <w:r w:rsidR="0090040A" w:rsidRPr="0083068D">
        <w:rPr>
          <w:rFonts w:ascii="Arial" w:hAnsi="Arial" w:cs="Arial"/>
          <w:color w:val="000000" w:themeColor="text1"/>
        </w:rPr>
        <w:t xml:space="preserve">ceded </w:t>
      </w:r>
      <w:r w:rsidR="0090040A" w:rsidRPr="0083068D">
        <w:rPr>
          <w:rFonts w:ascii="Arial" w:hAnsi="Arial" w:cs="Arial"/>
          <w:i/>
          <w:iCs/>
          <w:color w:val="000000" w:themeColor="text1"/>
        </w:rPr>
        <w:t xml:space="preserve">in securitatem debiti </w:t>
      </w:r>
      <w:r w:rsidR="0090040A" w:rsidRPr="0083068D">
        <w:rPr>
          <w:rFonts w:ascii="Arial" w:hAnsi="Arial" w:cs="Arial"/>
          <w:color w:val="000000" w:themeColor="text1"/>
        </w:rPr>
        <w:t>to Engen. This</w:t>
      </w:r>
      <w:r w:rsidR="00C64A98" w:rsidRPr="0083068D">
        <w:rPr>
          <w:rFonts w:ascii="Arial" w:hAnsi="Arial" w:cs="Arial"/>
          <w:color w:val="000000" w:themeColor="text1"/>
        </w:rPr>
        <w:t>, reasoned the court,</w:t>
      </w:r>
      <w:r w:rsidR="0090040A" w:rsidRPr="0083068D">
        <w:rPr>
          <w:rFonts w:ascii="Arial" w:hAnsi="Arial" w:cs="Arial"/>
          <w:color w:val="000000" w:themeColor="text1"/>
        </w:rPr>
        <w:t xml:space="preserve"> was </w:t>
      </w:r>
      <w:r w:rsidR="00B623D6" w:rsidRPr="0083068D">
        <w:rPr>
          <w:rFonts w:ascii="Arial" w:hAnsi="Arial" w:cs="Arial"/>
          <w:color w:val="000000" w:themeColor="text1"/>
        </w:rPr>
        <w:t xml:space="preserve">so in </w:t>
      </w:r>
      <w:r w:rsidR="0090040A" w:rsidRPr="0083068D">
        <w:rPr>
          <w:rFonts w:ascii="Arial" w:hAnsi="Arial" w:cs="Arial"/>
          <w:color w:val="000000" w:themeColor="text1"/>
        </w:rPr>
        <w:t>that the cession entered into had amounted to a pledge</w:t>
      </w:r>
      <w:r w:rsidRPr="0083068D">
        <w:rPr>
          <w:rFonts w:ascii="Arial" w:hAnsi="Arial" w:cs="Arial"/>
          <w:color w:val="000000" w:themeColor="text1"/>
        </w:rPr>
        <w:t>, which was the basis on which the case had been conducted before the court</w:t>
      </w:r>
      <w:r w:rsidR="0090040A" w:rsidRPr="0083068D">
        <w:rPr>
          <w:rFonts w:ascii="Arial" w:hAnsi="Arial" w:cs="Arial"/>
          <w:color w:val="000000" w:themeColor="text1"/>
        </w:rPr>
        <w:t>.</w:t>
      </w:r>
      <w:r w:rsidR="0075411A" w:rsidRPr="0083068D">
        <w:rPr>
          <w:rFonts w:ascii="Arial" w:hAnsi="Arial" w:cs="Arial"/>
          <w:color w:val="000000" w:themeColor="text1"/>
        </w:rPr>
        <w:t xml:space="preserve"> </w:t>
      </w:r>
    </w:p>
    <w:p w14:paraId="02637F32" w14:textId="758D184F" w:rsidR="00E57120" w:rsidRPr="0083068D" w:rsidRDefault="00A61003" w:rsidP="00192993">
      <w:pPr>
        <w:pStyle w:val="ListParagraph"/>
        <w:numPr>
          <w:ilvl w:val="0"/>
          <w:numId w:val="1"/>
        </w:numPr>
        <w:adjustRightInd w:val="0"/>
        <w:snapToGrid w:val="0"/>
        <w:spacing w:before="240" w:after="240" w:line="360" w:lineRule="auto"/>
        <w:contextualSpacing w:val="0"/>
        <w:jc w:val="both"/>
        <w:rPr>
          <w:rFonts w:ascii="Arial" w:hAnsi="Arial" w:cs="Arial"/>
          <w:color w:val="000000" w:themeColor="text1"/>
          <w:lang w:val="en-ZA" w:eastAsia="en-GB"/>
        </w:rPr>
      </w:pPr>
      <w:r w:rsidRPr="0083068D">
        <w:rPr>
          <w:rFonts w:ascii="Arial" w:hAnsi="Arial" w:cs="Arial"/>
          <w:color w:val="000000" w:themeColor="text1"/>
          <w:lang w:val="en-ZA" w:eastAsia="en-GB"/>
        </w:rPr>
        <w:t xml:space="preserve">For the first time in </w:t>
      </w:r>
      <w:r w:rsidR="00261B39" w:rsidRPr="0083068D">
        <w:rPr>
          <w:rFonts w:ascii="Arial" w:hAnsi="Arial" w:cs="Arial"/>
          <w:color w:val="000000" w:themeColor="text1"/>
          <w:lang w:val="en-ZA" w:eastAsia="en-GB"/>
        </w:rPr>
        <w:t xml:space="preserve">its application for leave to appeal to this Court, Engen </w:t>
      </w:r>
      <w:r w:rsidR="0090040A" w:rsidRPr="0083068D">
        <w:rPr>
          <w:rFonts w:ascii="Arial" w:hAnsi="Arial" w:cs="Arial"/>
          <w:color w:val="000000" w:themeColor="text1"/>
          <w:lang w:val="en-ZA" w:eastAsia="en-GB"/>
        </w:rPr>
        <w:t>argue</w:t>
      </w:r>
      <w:r w:rsidR="00276D8F" w:rsidRPr="0083068D">
        <w:rPr>
          <w:rFonts w:ascii="Arial" w:hAnsi="Arial" w:cs="Arial"/>
          <w:color w:val="000000" w:themeColor="text1"/>
          <w:lang w:val="en-ZA" w:eastAsia="en-GB"/>
        </w:rPr>
        <w:t>d that</w:t>
      </w:r>
      <w:r w:rsidR="0090040A" w:rsidRPr="0083068D">
        <w:rPr>
          <w:rFonts w:ascii="Arial" w:hAnsi="Arial" w:cs="Arial"/>
          <w:color w:val="000000" w:themeColor="text1"/>
          <w:lang w:val="en-ZA" w:eastAsia="en-GB"/>
        </w:rPr>
        <w:t>, properly construed</w:t>
      </w:r>
      <w:r w:rsidR="00C161F7" w:rsidRPr="0083068D">
        <w:rPr>
          <w:rFonts w:ascii="Arial" w:hAnsi="Arial" w:cs="Arial"/>
          <w:color w:val="000000" w:themeColor="text1"/>
          <w:lang w:val="en-ZA" w:eastAsia="en-GB"/>
        </w:rPr>
        <w:t xml:space="preserve"> and as a matter of law, </w:t>
      </w:r>
      <w:r w:rsidR="00276D8F" w:rsidRPr="0083068D">
        <w:rPr>
          <w:rFonts w:ascii="Arial" w:hAnsi="Arial" w:cs="Arial"/>
          <w:color w:val="000000" w:themeColor="text1"/>
          <w:lang w:val="en-ZA" w:eastAsia="en-GB"/>
        </w:rPr>
        <w:t xml:space="preserve">the </w:t>
      </w:r>
      <w:r w:rsidR="0090040A" w:rsidRPr="0083068D">
        <w:rPr>
          <w:rFonts w:ascii="Arial" w:hAnsi="Arial" w:cs="Arial"/>
          <w:color w:val="000000" w:themeColor="text1"/>
          <w:lang w:val="en-ZA" w:eastAsia="en-GB"/>
        </w:rPr>
        <w:t>2014</w:t>
      </w:r>
      <w:r w:rsidR="00276D8F" w:rsidRPr="0083068D">
        <w:rPr>
          <w:rFonts w:ascii="Arial" w:hAnsi="Arial" w:cs="Arial"/>
          <w:color w:val="000000" w:themeColor="text1"/>
          <w:lang w:val="en-ZA" w:eastAsia="en-GB"/>
        </w:rPr>
        <w:t xml:space="preserve"> cession </w:t>
      </w:r>
      <w:r w:rsidR="00B623D6" w:rsidRPr="0083068D">
        <w:rPr>
          <w:rFonts w:ascii="Arial" w:hAnsi="Arial" w:cs="Arial"/>
          <w:color w:val="000000" w:themeColor="text1"/>
          <w:lang w:val="en-ZA" w:eastAsia="en-GB"/>
        </w:rPr>
        <w:t>was</w:t>
      </w:r>
      <w:r w:rsidR="009D604C" w:rsidRPr="0083068D">
        <w:rPr>
          <w:rFonts w:ascii="Arial" w:hAnsi="Arial" w:cs="Arial"/>
          <w:color w:val="000000" w:themeColor="text1"/>
          <w:lang w:val="en-ZA" w:eastAsia="en-GB"/>
        </w:rPr>
        <w:t xml:space="preserve"> not </w:t>
      </w:r>
      <w:r w:rsidR="00276D8F" w:rsidRPr="0083068D">
        <w:rPr>
          <w:rFonts w:ascii="Arial" w:hAnsi="Arial" w:cs="Arial"/>
          <w:color w:val="000000" w:themeColor="text1"/>
          <w:lang w:val="en-ZA" w:eastAsia="en-GB"/>
        </w:rPr>
        <w:t xml:space="preserve">a pledge and that the high court </w:t>
      </w:r>
      <w:r w:rsidR="0075411A" w:rsidRPr="0083068D">
        <w:rPr>
          <w:rFonts w:ascii="Arial" w:hAnsi="Arial" w:cs="Arial"/>
          <w:color w:val="000000" w:themeColor="text1"/>
          <w:lang w:val="en-ZA" w:eastAsia="en-GB"/>
        </w:rPr>
        <w:t xml:space="preserve">had </w:t>
      </w:r>
      <w:r w:rsidR="00B47FCF" w:rsidRPr="0083068D">
        <w:rPr>
          <w:rFonts w:ascii="Arial" w:hAnsi="Arial" w:cs="Arial"/>
          <w:color w:val="000000" w:themeColor="text1"/>
          <w:lang w:val="en-ZA" w:eastAsia="en-GB"/>
        </w:rPr>
        <w:t>erred in treating it as such</w:t>
      </w:r>
      <w:r w:rsidR="00276D8F" w:rsidRPr="0083068D">
        <w:rPr>
          <w:rFonts w:ascii="Arial" w:hAnsi="Arial" w:cs="Arial"/>
          <w:color w:val="000000" w:themeColor="text1"/>
          <w:lang w:val="en-ZA" w:eastAsia="en-GB"/>
        </w:rPr>
        <w:t>.</w:t>
      </w:r>
      <w:r w:rsidR="00873669" w:rsidRPr="0083068D">
        <w:rPr>
          <w:rFonts w:ascii="Arial" w:hAnsi="Arial" w:cs="Arial"/>
          <w:color w:val="000000" w:themeColor="text1"/>
          <w:lang w:val="en-ZA" w:eastAsia="en-GB"/>
        </w:rPr>
        <w:t xml:space="preserve"> </w:t>
      </w:r>
      <w:r w:rsidR="0090040A" w:rsidRPr="0083068D">
        <w:rPr>
          <w:rFonts w:ascii="Arial" w:hAnsi="Arial" w:cs="Arial"/>
          <w:color w:val="000000" w:themeColor="text1"/>
          <w:lang w:val="en-ZA" w:eastAsia="en-GB"/>
        </w:rPr>
        <w:t>Since</w:t>
      </w:r>
      <w:r w:rsidR="00B518DC" w:rsidRPr="0083068D">
        <w:rPr>
          <w:rFonts w:ascii="Arial" w:hAnsi="Arial" w:cs="Arial"/>
          <w:color w:val="000000" w:themeColor="text1"/>
          <w:lang w:val="en-ZA" w:eastAsia="en-GB"/>
        </w:rPr>
        <w:t xml:space="preserve"> </w:t>
      </w:r>
      <w:r w:rsidR="00C161F7" w:rsidRPr="0083068D">
        <w:rPr>
          <w:rFonts w:ascii="Arial" w:hAnsi="Arial" w:cs="Arial"/>
          <w:color w:val="000000" w:themeColor="text1"/>
          <w:lang w:val="en-ZA" w:eastAsia="en-GB"/>
        </w:rPr>
        <w:t>the reversionary rights of the cedent were vested in Engen as the cessionary</w:t>
      </w:r>
      <w:r w:rsidR="00B518DC" w:rsidRPr="0083068D">
        <w:rPr>
          <w:rFonts w:ascii="Arial" w:hAnsi="Arial" w:cs="Arial"/>
          <w:color w:val="000000" w:themeColor="text1"/>
          <w:lang w:val="en-ZA" w:eastAsia="en-GB"/>
        </w:rPr>
        <w:t xml:space="preserve">, </w:t>
      </w:r>
      <w:r w:rsidR="009200CE" w:rsidRPr="0083068D">
        <w:rPr>
          <w:rFonts w:ascii="Arial" w:hAnsi="Arial" w:cs="Arial"/>
          <w:color w:val="000000" w:themeColor="text1"/>
          <w:lang w:val="en-ZA" w:eastAsia="en-GB"/>
        </w:rPr>
        <w:t xml:space="preserve">it was contended that </w:t>
      </w:r>
      <w:r w:rsidR="00F5162A" w:rsidRPr="0083068D">
        <w:rPr>
          <w:rFonts w:ascii="Arial" w:hAnsi="Arial" w:cs="Arial"/>
          <w:color w:val="000000" w:themeColor="text1"/>
          <w:lang w:val="en-ZA" w:eastAsia="en-GB"/>
        </w:rPr>
        <w:t>an out</w:t>
      </w:r>
      <w:r w:rsidR="003C6C60" w:rsidRPr="0083068D">
        <w:rPr>
          <w:rFonts w:ascii="Arial" w:hAnsi="Arial" w:cs="Arial"/>
          <w:color w:val="000000" w:themeColor="text1"/>
          <w:lang w:val="en-ZA" w:eastAsia="en-GB"/>
        </w:rPr>
        <w:t>-and-out</w:t>
      </w:r>
      <w:r w:rsidR="00F5162A" w:rsidRPr="0083068D">
        <w:rPr>
          <w:rFonts w:ascii="Arial" w:hAnsi="Arial" w:cs="Arial"/>
          <w:color w:val="000000" w:themeColor="text1"/>
          <w:lang w:val="en-ZA" w:eastAsia="en-GB"/>
        </w:rPr>
        <w:t xml:space="preserve"> cession to</w:t>
      </w:r>
      <w:r w:rsidR="001E18EA" w:rsidRPr="0083068D">
        <w:rPr>
          <w:rFonts w:ascii="Arial" w:hAnsi="Arial" w:cs="Arial"/>
          <w:color w:val="000000" w:themeColor="text1"/>
          <w:lang w:val="en-ZA" w:eastAsia="en-GB"/>
        </w:rPr>
        <w:t xml:space="preserve"> </w:t>
      </w:r>
      <w:r w:rsidR="00B518DC" w:rsidRPr="0083068D">
        <w:rPr>
          <w:rFonts w:ascii="Arial" w:hAnsi="Arial" w:cs="Arial"/>
          <w:color w:val="000000" w:themeColor="text1"/>
          <w:lang w:val="en-ZA" w:eastAsia="en-GB"/>
        </w:rPr>
        <w:t>Engen</w:t>
      </w:r>
      <w:r w:rsidR="00F5162A" w:rsidRPr="0083068D">
        <w:rPr>
          <w:rFonts w:ascii="Arial" w:hAnsi="Arial" w:cs="Arial"/>
          <w:color w:val="000000" w:themeColor="text1"/>
          <w:lang w:val="en-ZA" w:eastAsia="en-GB"/>
        </w:rPr>
        <w:t xml:space="preserve"> existed and that it</w:t>
      </w:r>
      <w:r w:rsidR="00B518DC" w:rsidRPr="0083068D">
        <w:rPr>
          <w:rFonts w:ascii="Arial" w:hAnsi="Arial" w:cs="Arial"/>
          <w:color w:val="000000" w:themeColor="text1"/>
          <w:lang w:val="en-ZA" w:eastAsia="en-GB"/>
        </w:rPr>
        <w:t xml:space="preserve"> </w:t>
      </w:r>
      <w:r w:rsidR="00B623D6" w:rsidRPr="0083068D">
        <w:rPr>
          <w:rFonts w:ascii="Arial" w:hAnsi="Arial" w:cs="Arial"/>
          <w:color w:val="000000" w:themeColor="text1"/>
          <w:lang w:val="en-ZA" w:eastAsia="en-GB"/>
        </w:rPr>
        <w:t>was entitled to the relief sought against</w:t>
      </w:r>
      <w:r w:rsidR="007C454A" w:rsidRPr="0083068D">
        <w:rPr>
          <w:rFonts w:ascii="Arial" w:hAnsi="Arial" w:cs="Arial"/>
          <w:color w:val="000000" w:themeColor="text1"/>
          <w:lang w:val="en-ZA" w:eastAsia="en-GB"/>
        </w:rPr>
        <w:t xml:space="preserve"> </w:t>
      </w:r>
      <w:r w:rsidR="00C161F7" w:rsidRPr="0083068D">
        <w:rPr>
          <w:rFonts w:ascii="Arial" w:hAnsi="Arial" w:cs="Arial"/>
          <w:color w:val="000000" w:themeColor="text1"/>
          <w:lang w:val="en-ZA" w:eastAsia="en-GB"/>
        </w:rPr>
        <w:t>Flotank</w:t>
      </w:r>
      <w:r w:rsidR="00B518DC" w:rsidRPr="0083068D">
        <w:rPr>
          <w:rFonts w:ascii="Arial" w:hAnsi="Arial" w:cs="Arial"/>
          <w:color w:val="000000" w:themeColor="text1"/>
          <w:lang w:val="en-ZA" w:eastAsia="en-GB"/>
        </w:rPr>
        <w:t>.</w:t>
      </w:r>
      <w:r w:rsidR="00054EFC" w:rsidRPr="0083068D">
        <w:rPr>
          <w:rFonts w:ascii="Arial" w:hAnsi="Arial" w:cs="Arial"/>
          <w:color w:val="000000" w:themeColor="text1"/>
          <w:lang w:val="en-ZA" w:eastAsia="en-GB"/>
        </w:rPr>
        <w:t xml:space="preserve"> </w:t>
      </w:r>
    </w:p>
    <w:p w14:paraId="676C3DC3" w14:textId="607B4AAB" w:rsidR="003C6C60" w:rsidRPr="0083068D" w:rsidRDefault="009200CE" w:rsidP="00192993">
      <w:pPr>
        <w:pStyle w:val="ListParagraph"/>
        <w:numPr>
          <w:ilvl w:val="0"/>
          <w:numId w:val="1"/>
        </w:numPr>
        <w:adjustRightInd w:val="0"/>
        <w:snapToGrid w:val="0"/>
        <w:spacing w:before="240" w:after="240" w:line="360" w:lineRule="auto"/>
        <w:contextualSpacing w:val="0"/>
        <w:jc w:val="both"/>
        <w:rPr>
          <w:rFonts w:ascii="Arial" w:hAnsi="Arial" w:cs="Arial"/>
          <w:color w:val="000000" w:themeColor="text1"/>
          <w:lang w:val="en-ZA" w:eastAsia="en-GB"/>
        </w:rPr>
      </w:pPr>
      <w:r w:rsidRPr="0083068D">
        <w:rPr>
          <w:rFonts w:ascii="Arial" w:hAnsi="Arial" w:cs="Arial"/>
          <w:color w:val="000000" w:themeColor="text1"/>
          <w:lang w:val="en-ZA" w:eastAsia="en-GB"/>
        </w:rPr>
        <w:t xml:space="preserve">The matter was opposed by </w:t>
      </w:r>
      <w:r w:rsidR="007C454A" w:rsidRPr="0083068D">
        <w:rPr>
          <w:rFonts w:ascii="Arial" w:hAnsi="Arial" w:cs="Arial"/>
          <w:color w:val="000000" w:themeColor="text1"/>
          <w:lang w:val="en-ZA" w:eastAsia="en-GB"/>
        </w:rPr>
        <w:t xml:space="preserve">Flotank </w:t>
      </w:r>
      <w:r w:rsidRPr="0083068D">
        <w:rPr>
          <w:rFonts w:ascii="Arial" w:hAnsi="Arial" w:cs="Arial"/>
          <w:color w:val="000000" w:themeColor="text1"/>
          <w:lang w:val="en-ZA" w:eastAsia="en-GB"/>
        </w:rPr>
        <w:t xml:space="preserve">on the basis that </w:t>
      </w:r>
      <w:r w:rsidR="007C454A" w:rsidRPr="0083068D">
        <w:rPr>
          <w:rFonts w:ascii="Arial" w:hAnsi="Arial" w:cs="Arial"/>
          <w:color w:val="000000" w:themeColor="text1"/>
          <w:lang w:val="en-ZA" w:eastAsia="en-GB"/>
        </w:rPr>
        <w:t xml:space="preserve">the cession relied upon by Engen was not an </w:t>
      </w:r>
      <w:r w:rsidR="00F5162A" w:rsidRPr="0083068D">
        <w:rPr>
          <w:rFonts w:ascii="Arial" w:hAnsi="Arial" w:cs="Arial"/>
          <w:color w:val="000000" w:themeColor="text1"/>
          <w:lang w:val="en-ZA" w:eastAsia="en-GB"/>
        </w:rPr>
        <w:t>outright</w:t>
      </w:r>
      <w:r w:rsidR="007C454A" w:rsidRPr="0083068D">
        <w:rPr>
          <w:rFonts w:ascii="Arial" w:hAnsi="Arial" w:cs="Arial"/>
          <w:color w:val="000000" w:themeColor="text1"/>
          <w:lang w:val="en-ZA" w:eastAsia="en-GB"/>
        </w:rPr>
        <w:t xml:space="preserve"> cession </w:t>
      </w:r>
      <w:r w:rsidR="00FB63CA" w:rsidRPr="0083068D">
        <w:rPr>
          <w:rFonts w:ascii="Arial" w:hAnsi="Arial" w:cs="Arial"/>
          <w:color w:val="000000" w:themeColor="text1"/>
          <w:lang w:val="en-ZA" w:eastAsia="en-GB"/>
        </w:rPr>
        <w:t>and should be construed as a pledge. This, it was submitted</w:t>
      </w:r>
      <w:r w:rsidR="00B9520F" w:rsidRPr="0083068D">
        <w:rPr>
          <w:rFonts w:ascii="Arial" w:hAnsi="Arial" w:cs="Arial"/>
          <w:color w:val="000000" w:themeColor="text1"/>
          <w:lang w:val="en-ZA" w:eastAsia="en-GB"/>
        </w:rPr>
        <w:t>,</w:t>
      </w:r>
      <w:r w:rsidR="00FB63CA" w:rsidRPr="0083068D">
        <w:rPr>
          <w:rFonts w:ascii="Arial" w:hAnsi="Arial" w:cs="Arial"/>
          <w:color w:val="000000" w:themeColor="text1"/>
          <w:lang w:val="en-ZA" w:eastAsia="en-GB"/>
        </w:rPr>
        <w:t xml:space="preserve"> was so even where there is a clear expression of the intention of the parties otherwise.</w:t>
      </w:r>
      <w:r w:rsidR="005E2F1F" w:rsidRPr="0083068D">
        <w:rPr>
          <w:rFonts w:ascii="Arial" w:hAnsi="Arial" w:cs="Arial"/>
          <w:color w:val="000000" w:themeColor="text1"/>
          <w:lang w:val="en-ZA" w:eastAsia="en-GB"/>
        </w:rPr>
        <w:t xml:space="preserve"> </w:t>
      </w:r>
    </w:p>
    <w:p w14:paraId="70849DAD" w14:textId="5D3D3D40" w:rsidR="00082969" w:rsidRPr="0083068D" w:rsidRDefault="005E2F1F" w:rsidP="00192993">
      <w:pPr>
        <w:pStyle w:val="ListParagraph"/>
        <w:adjustRightInd w:val="0"/>
        <w:snapToGrid w:val="0"/>
        <w:spacing w:before="240" w:after="240" w:line="360" w:lineRule="auto"/>
        <w:ind w:left="0"/>
        <w:contextualSpacing w:val="0"/>
        <w:jc w:val="both"/>
        <w:rPr>
          <w:rFonts w:ascii="Arial" w:hAnsi="Arial" w:cs="Arial"/>
          <w:b/>
          <w:bCs/>
          <w:color w:val="000000" w:themeColor="text1"/>
          <w:lang w:val="en-ZA" w:eastAsia="en-GB"/>
        </w:rPr>
      </w:pPr>
      <w:r w:rsidRPr="0083068D">
        <w:rPr>
          <w:rFonts w:ascii="Arial" w:hAnsi="Arial" w:cs="Arial"/>
          <w:b/>
          <w:bCs/>
          <w:color w:val="000000" w:themeColor="text1"/>
          <w:lang w:val="en-ZA" w:eastAsia="en-GB"/>
        </w:rPr>
        <w:t>Discussion</w:t>
      </w:r>
      <w:r w:rsidR="00381BBC" w:rsidRPr="0083068D">
        <w:rPr>
          <w:rFonts w:ascii="Arial" w:hAnsi="Arial" w:cs="Arial"/>
          <w:color w:val="000000" w:themeColor="text1"/>
        </w:rPr>
        <w:t xml:space="preserve"> </w:t>
      </w:r>
    </w:p>
    <w:p w14:paraId="4822A778" w14:textId="2600547D" w:rsidR="00F5162A" w:rsidRPr="0083068D" w:rsidRDefault="00B72A24" w:rsidP="00AB4300">
      <w:pPr>
        <w:pStyle w:val="ListParagraph"/>
        <w:numPr>
          <w:ilvl w:val="0"/>
          <w:numId w:val="1"/>
        </w:numPr>
        <w:adjustRightInd w:val="0"/>
        <w:snapToGrid w:val="0"/>
        <w:spacing w:before="240" w:after="360" w:line="360" w:lineRule="auto"/>
        <w:contextualSpacing w:val="0"/>
        <w:jc w:val="both"/>
        <w:rPr>
          <w:rFonts w:ascii="Arial" w:hAnsi="Arial" w:cs="Arial"/>
          <w:color w:val="000000" w:themeColor="text1"/>
        </w:rPr>
      </w:pPr>
      <w:r w:rsidRPr="0083068D">
        <w:rPr>
          <w:rFonts w:ascii="Arial" w:hAnsi="Arial" w:cs="Arial"/>
          <w:color w:val="000000" w:themeColor="text1"/>
        </w:rPr>
        <w:t>The</w:t>
      </w:r>
      <w:r w:rsidR="00936E1C" w:rsidRPr="0083068D">
        <w:rPr>
          <w:rFonts w:ascii="Arial" w:hAnsi="Arial" w:cs="Arial"/>
          <w:color w:val="000000" w:themeColor="text1"/>
        </w:rPr>
        <w:t xml:space="preserve"> issue turns on the interpretation of the terms of the second cession agreement.</w:t>
      </w:r>
      <w:r w:rsidRPr="0083068D">
        <w:rPr>
          <w:rFonts w:ascii="Arial" w:hAnsi="Arial" w:cs="Arial"/>
          <w:color w:val="000000" w:themeColor="text1"/>
        </w:rPr>
        <w:t xml:space="preserve"> </w:t>
      </w:r>
      <w:r w:rsidR="00936E1C" w:rsidRPr="0083068D">
        <w:rPr>
          <w:rFonts w:ascii="Arial" w:hAnsi="Arial" w:cs="Arial"/>
          <w:color w:val="000000" w:themeColor="text1"/>
        </w:rPr>
        <w:t xml:space="preserve">The </w:t>
      </w:r>
      <w:r w:rsidRPr="0083068D">
        <w:rPr>
          <w:rFonts w:ascii="Arial" w:hAnsi="Arial" w:cs="Arial"/>
          <w:color w:val="000000" w:themeColor="text1"/>
        </w:rPr>
        <w:t xml:space="preserve">true </w:t>
      </w:r>
      <w:r w:rsidRPr="0083068D">
        <w:rPr>
          <w:rFonts w:ascii="Arial" w:hAnsi="Arial" w:cs="Arial"/>
          <w:color w:val="000000" w:themeColor="text1"/>
          <w:shd w:val="clear" w:color="auto" w:fill="FFFFFF"/>
        </w:rPr>
        <w:t xml:space="preserve">character of a cession </w:t>
      </w:r>
      <w:r w:rsidR="00BE547A" w:rsidRPr="0083068D">
        <w:rPr>
          <w:rFonts w:ascii="Arial" w:hAnsi="Arial" w:cs="Arial"/>
          <w:i/>
          <w:iCs/>
          <w:color w:val="000000" w:themeColor="text1"/>
        </w:rPr>
        <w:t>in securitatem debiti</w:t>
      </w:r>
      <w:r w:rsidR="00BE547A" w:rsidRPr="0083068D">
        <w:rPr>
          <w:rFonts w:ascii="Arial" w:hAnsi="Arial" w:cs="Arial"/>
          <w:color w:val="000000" w:themeColor="text1"/>
        </w:rPr>
        <w:t xml:space="preserve"> </w:t>
      </w:r>
      <w:r w:rsidRPr="0083068D">
        <w:rPr>
          <w:rFonts w:ascii="Arial" w:hAnsi="Arial" w:cs="Arial"/>
          <w:color w:val="000000" w:themeColor="text1"/>
          <w:shd w:val="clear" w:color="auto" w:fill="FFFFFF"/>
        </w:rPr>
        <w:t>depends on the intention of the parties</w:t>
      </w:r>
      <w:r w:rsidR="00AB6332" w:rsidRPr="0083068D">
        <w:rPr>
          <w:rFonts w:ascii="Arial" w:hAnsi="Arial" w:cs="Arial"/>
          <w:color w:val="000000" w:themeColor="text1"/>
          <w:shd w:val="clear" w:color="auto" w:fill="FFFFFF"/>
        </w:rPr>
        <w:t>,</w:t>
      </w:r>
      <w:r w:rsidR="00AB6332" w:rsidRPr="0083068D">
        <w:rPr>
          <w:rStyle w:val="FootnoteReference"/>
          <w:rFonts w:ascii="Arial" w:hAnsi="Arial" w:cs="Arial"/>
          <w:color w:val="000000" w:themeColor="text1"/>
          <w:shd w:val="clear" w:color="auto" w:fill="FFFFFF"/>
        </w:rPr>
        <w:footnoteReference w:id="1"/>
      </w:r>
      <w:r w:rsidR="00AB6332" w:rsidRPr="0083068D">
        <w:rPr>
          <w:rFonts w:ascii="Arial" w:hAnsi="Arial" w:cs="Arial"/>
          <w:color w:val="000000" w:themeColor="text1"/>
          <w:shd w:val="clear" w:color="auto" w:fill="FFFFFF"/>
        </w:rPr>
        <w:t xml:space="preserve"> with the </w:t>
      </w:r>
      <w:r w:rsidRPr="0083068D">
        <w:rPr>
          <w:rFonts w:ascii="Arial" w:hAnsi="Arial" w:cs="Arial"/>
          <w:color w:val="000000" w:themeColor="text1"/>
          <w:shd w:val="clear" w:color="auto" w:fill="FFFFFF"/>
        </w:rPr>
        <w:t xml:space="preserve">wording of the </w:t>
      </w:r>
      <w:r w:rsidR="00AB6332" w:rsidRPr="0083068D">
        <w:rPr>
          <w:rFonts w:ascii="Arial" w:hAnsi="Arial" w:cs="Arial"/>
          <w:color w:val="000000" w:themeColor="text1"/>
          <w:shd w:val="clear" w:color="auto" w:fill="FFFFFF"/>
        </w:rPr>
        <w:t xml:space="preserve">cession </w:t>
      </w:r>
      <w:r w:rsidR="00B2034B" w:rsidRPr="0083068D">
        <w:rPr>
          <w:rFonts w:ascii="Arial" w:hAnsi="Arial" w:cs="Arial"/>
          <w:color w:val="000000" w:themeColor="text1"/>
          <w:shd w:val="clear" w:color="auto" w:fill="FFFFFF"/>
        </w:rPr>
        <w:t>being</w:t>
      </w:r>
      <w:r w:rsidRPr="0083068D">
        <w:rPr>
          <w:rFonts w:ascii="Arial" w:hAnsi="Arial" w:cs="Arial"/>
          <w:color w:val="000000" w:themeColor="text1"/>
          <w:shd w:val="clear" w:color="auto" w:fill="FFFFFF"/>
        </w:rPr>
        <w:t xml:space="preserve"> the appropriate point of departure</w:t>
      </w:r>
      <w:r w:rsidR="00AB6332" w:rsidRPr="0083068D">
        <w:rPr>
          <w:rFonts w:ascii="Arial" w:hAnsi="Arial" w:cs="Arial"/>
          <w:color w:val="000000" w:themeColor="text1"/>
          <w:shd w:val="clear" w:color="auto" w:fill="FFFFFF"/>
        </w:rPr>
        <w:t xml:space="preserve"> to determine such intention</w:t>
      </w:r>
      <w:r w:rsidRPr="0083068D">
        <w:rPr>
          <w:rFonts w:ascii="Arial" w:hAnsi="Arial" w:cs="Arial"/>
          <w:color w:val="000000" w:themeColor="text1"/>
          <w:shd w:val="clear" w:color="auto" w:fill="FFFFFF"/>
        </w:rPr>
        <w:t>.</w:t>
      </w:r>
      <w:r w:rsidRPr="0083068D">
        <w:rPr>
          <w:rStyle w:val="FootnoteReference"/>
          <w:rFonts w:ascii="Arial" w:hAnsi="Arial" w:cs="Arial"/>
          <w:color w:val="000000" w:themeColor="text1"/>
          <w:shd w:val="clear" w:color="auto" w:fill="FFFFFF"/>
        </w:rPr>
        <w:footnoteReference w:id="2"/>
      </w:r>
      <w:r w:rsidRPr="0083068D">
        <w:rPr>
          <w:rFonts w:ascii="Arial" w:hAnsi="Arial" w:cs="Arial"/>
          <w:color w:val="000000" w:themeColor="text1"/>
          <w:shd w:val="clear" w:color="auto" w:fill="FFFFFF"/>
        </w:rPr>
        <w:t xml:space="preserve"> </w:t>
      </w:r>
      <w:r w:rsidR="002E4E87" w:rsidRPr="0083068D">
        <w:rPr>
          <w:rFonts w:ascii="Arial" w:hAnsi="Arial" w:cs="Arial"/>
          <w:color w:val="000000" w:themeColor="text1"/>
        </w:rPr>
        <w:t>I</w:t>
      </w:r>
      <w:r w:rsidR="00E81E40" w:rsidRPr="0083068D">
        <w:rPr>
          <w:rFonts w:ascii="Arial" w:hAnsi="Arial" w:cs="Arial"/>
          <w:color w:val="000000" w:themeColor="text1"/>
        </w:rPr>
        <w:t xml:space="preserve">n </w:t>
      </w:r>
      <w:r w:rsidR="00E81E40" w:rsidRPr="0083068D">
        <w:rPr>
          <w:rFonts w:ascii="Arial" w:hAnsi="Arial" w:cs="Arial"/>
          <w:i/>
          <w:iCs/>
          <w:color w:val="000000" w:themeColor="text1"/>
        </w:rPr>
        <w:t>Grobler v Oosthuizen</w:t>
      </w:r>
      <w:r w:rsidR="003E041D" w:rsidRPr="0083068D">
        <w:rPr>
          <w:rFonts w:ascii="Arial" w:hAnsi="Arial" w:cs="Arial"/>
          <w:i/>
          <w:iCs/>
          <w:color w:val="000000" w:themeColor="text1"/>
        </w:rPr>
        <w:t xml:space="preserve"> </w:t>
      </w:r>
      <w:r w:rsidR="003E041D" w:rsidRPr="0083068D">
        <w:rPr>
          <w:rFonts w:ascii="Arial" w:hAnsi="Arial" w:cs="Arial"/>
          <w:color w:val="000000" w:themeColor="text1"/>
        </w:rPr>
        <w:t>(</w:t>
      </w:r>
      <w:r w:rsidR="003E041D" w:rsidRPr="0083068D">
        <w:rPr>
          <w:rFonts w:ascii="Arial" w:hAnsi="Arial" w:cs="Arial"/>
          <w:i/>
          <w:iCs/>
          <w:color w:val="000000" w:themeColor="text1"/>
        </w:rPr>
        <w:t>Grobler</w:t>
      </w:r>
      <w:r w:rsidR="003E041D" w:rsidRPr="0083068D">
        <w:rPr>
          <w:rFonts w:ascii="Arial" w:hAnsi="Arial" w:cs="Arial"/>
          <w:color w:val="000000" w:themeColor="text1"/>
        </w:rPr>
        <w:t>)</w:t>
      </w:r>
      <w:r w:rsidR="00E81E40" w:rsidRPr="0083068D">
        <w:rPr>
          <w:rStyle w:val="FootnoteReference"/>
          <w:rFonts w:ascii="Arial" w:hAnsi="Arial" w:cs="Arial"/>
          <w:color w:val="000000" w:themeColor="text1"/>
        </w:rPr>
        <w:footnoteReference w:id="3"/>
      </w:r>
      <w:r w:rsidRPr="0083068D">
        <w:rPr>
          <w:rFonts w:ascii="Arial" w:hAnsi="Arial" w:cs="Arial"/>
          <w:color w:val="000000" w:themeColor="text1"/>
        </w:rPr>
        <w:t xml:space="preserve"> </w:t>
      </w:r>
      <w:r w:rsidR="002E4E87" w:rsidRPr="0083068D">
        <w:rPr>
          <w:rFonts w:ascii="Arial" w:hAnsi="Arial" w:cs="Arial"/>
          <w:color w:val="000000" w:themeColor="text1"/>
        </w:rPr>
        <w:t>this Court</w:t>
      </w:r>
      <w:r w:rsidR="00D85ACF" w:rsidRPr="0083068D">
        <w:rPr>
          <w:rFonts w:ascii="Arial" w:hAnsi="Arial" w:cs="Arial"/>
          <w:color w:val="000000" w:themeColor="text1"/>
        </w:rPr>
        <w:t>,</w:t>
      </w:r>
      <w:r w:rsidR="002E4E87" w:rsidRPr="0083068D">
        <w:rPr>
          <w:rFonts w:ascii="Arial" w:hAnsi="Arial" w:cs="Arial"/>
          <w:color w:val="000000" w:themeColor="text1"/>
        </w:rPr>
        <w:t xml:space="preserve"> </w:t>
      </w:r>
      <w:r w:rsidRPr="0083068D">
        <w:rPr>
          <w:rFonts w:ascii="Arial" w:hAnsi="Arial" w:cs="Arial"/>
          <w:color w:val="000000" w:themeColor="text1"/>
        </w:rPr>
        <w:t>recognis</w:t>
      </w:r>
      <w:r w:rsidR="008E00A4" w:rsidRPr="0083068D">
        <w:rPr>
          <w:rFonts w:ascii="Arial" w:hAnsi="Arial" w:cs="Arial"/>
          <w:color w:val="000000" w:themeColor="text1"/>
        </w:rPr>
        <w:t>ed</w:t>
      </w:r>
      <w:r w:rsidRPr="0083068D">
        <w:rPr>
          <w:rFonts w:ascii="Arial" w:hAnsi="Arial" w:cs="Arial"/>
          <w:color w:val="000000" w:themeColor="text1"/>
        </w:rPr>
        <w:t xml:space="preserve"> the existence of opposing theories in our law </w:t>
      </w:r>
      <w:r w:rsidR="00F5162A" w:rsidRPr="0083068D">
        <w:rPr>
          <w:rFonts w:ascii="Arial" w:hAnsi="Arial" w:cs="Arial"/>
          <w:color w:val="000000" w:themeColor="text1"/>
        </w:rPr>
        <w:t>regarding</w:t>
      </w:r>
      <w:r w:rsidRPr="0083068D">
        <w:rPr>
          <w:rFonts w:ascii="Arial" w:hAnsi="Arial" w:cs="Arial"/>
          <w:color w:val="000000" w:themeColor="text1"/>
        </w:rPr>
        <w:t xml:space="preserve"> cessions</w:t>
      </w:r>
      <w:r w:rsidR="00AB6332" w:rsidRPr="0083068D">
        <w:rPr>
          <w:rFonts w:ascii="Arial" w:hAnsi="Arial" w:cs="Arial"/>
          <w:color w:val="000000" w:themeColor="text1"/>
        </w:rPr>
        <w:t xml:space="preserve"> </w:t>
      </w:r>
      <w:r w:rsidR="00AB6332" w:rsidRPr="0083068D">
        <w:rPr>
          <w:rFonts w:ascii="Arial" w:hAnsi="Arial" w:cs="Arial"/>
          <w:i/>
          <w:iCs/>
          <w:color w:val="000000" w:themeColor="text1"/>
        </w:rPr>
        <w:t>in securitatem debiti</w:t>
      </w:r>
      <w:r w:rsidR="002B09C9" w:rsidRPr="0083068D">
        <w:rPr>
          <w:rFonts w:ascii="Arial" w:hAnsi="Arial" w:cs="Arial"/>
          <w:color w:val="000000" w:themeColor="text1"/>
        </w:rPr>
        <w:t>,</w:t>
      </w:r>
      <w:r w:rsidR="00F16857" w:rsidRPr="0083068D">
        <w:rPr>
          <w:rFonts w:ascii="Arial" w:hAnsi="Arial" w:cs="Arial"/>
          <w:color w:val="000000" w:themeColor="text1"/>
        </w:rPr>
        <w:t xml:space="preserve"> namely the </w:t>
      </w:r>
      <w:r w:rsidR="009C6910" w:rsidRPr="0083068D">
        <w:rPr>
          <w:rFonts w:ascii="Arial" w:hAnsi="Arial" w:cs="Arial"/>
          <w:color w:val="000000" w:themeColor="text1"/>
        </w:rPr>
        <w:t>‘</w:t>
      </w:r>
      <w:r w:rsidR="00F16857" w:rsidRPr="0083068D">
        <w:rPr>
          <w:rFonts w:ascii="Arial" w:hAnsi="Arial" w:cs="Arial"/>
          <w:color w:val="000000" w:themeColor="text1"/>
        </w:rPr>
        <w:t>pledge theory</w:t>
      </w:r>
      <w:r w:rsidR="009C6910" w:rsidRPr="0083068D">
        <w:rPr>
          <w:rFonts w:ascii="Arial" w:hAnsi="Arial" w:cs="Arial"/>
          <w:color w:val="000000" w:themeColor="text1"/>
        </w:rPr>
        <w:t>’</w:t>
      </w:r>
      <w:r w:rsidR="00F16857" w:rsidRPr="0083068D">
        <w:rPr>
          <w:rFonts w:ascii="Arial" w:hAnsi="Arial" w:cs="Arial"/>
          <w:color w:val="000000" w:themeColor="text1"/>
        </w:rPr>
        <w:t xml:space="preserve"> and th</w:t>
      </w:r>
      <w:r w:rsidR="009C6910" w:rsidRPr="0083068D">
        <w:rPr>
          <w:rFonts w:ascii="Arial" w:hAnsi="Arial" w:cs="Arial"/>
          <w:color w:val="000000" w:themeColor="text1"/>
        </w:rPr>
        <w:t>e ‘outright cession theory’</w:t>
      </w:r>
      <w:r w:rsidR="008E00A4" w:rsidRPr="0083068D">
        <w:rPr>
          <w:rFonts w:ascii="Arial" w:hAnsi="Arial" w:cs="Arial"/>
          <w:color w:val="000000" w:themeColor="text1"/>
        </w:rPr>
        <w:t xml:space="preserve">. </w:t>
      </w:r>
      <w:r w:rsidR="008E00A4" w:rsidRPr="0083068D">
        <w:rPr>
          <w:rFonts w:ascii="Arial" w:hAnsi="Arial" w:cs="Arial"/>
          <w:color w:val="000000" w:themeColor="text1"/>
        </w:rPr>
        <w:lastRenderedPageBreak/>
        <w:t>However, it</w:t>
      </w:r>
      <w:r w:rsidR="00694ACB" w:rsidRPr="0083068D">
        <w:rPr>
          <w:rFonts w:ascii="Arial" w:hAnsi="Arial" w:cs="Arial"/>
          <w:i/>
          <w:iCs/>
          <w:color w:val="000000" w:themeColor="text1"/>
        </w:rPr>
        <w:t xml:space="preserve"> </w:t>
      </w:r>
      <w:r w:rsidR="00694ACB" w:rsidRPr="0083068D">
        <w:rPr>
          <w:rFonts w:ascii="Arial" w:hAnsi="Arial" w:cs="Arial"/>
          <w:color w:val="000000" w:themeColor="text1"/>
        </w:rPr>
        <w:t xml:space="preserve">found it unnecessary to resolve the debate </w:t>
      </w:r>
      <w:r w:rsidR="009F6B3C" w:rsidRPr="0083068D">
        <w:rPr>
          <w:rFonts w:ascii="Arial" w:hAnsi="Arial" w:cs="Arial"/>
          <w:color w:val="000000" w:themeColor="text1"/>
        </w:rPr>
        <w:t>between the</w:t>
      </w:r>
      <w:r w:rsidR="00AB6332" w:rsidRPr="0083068D">
        <w:rPr>
          <w:rFonts w:ascii="Arial" w:hAnsi="Arial" w:cs="Arial"/>
          <w:color w:val="000000" w:themeColor="text1"/>
        </w:rPr>
        <w:t>se theories</w:t>
      </w:r>
      <w:r w:rsidR="009F6B3C" w:rsidRPr="0083068D">
        <w:rPr>
          <w:rFonts w:ascii="Arial" w:hAnsi="Arial" w:cs="Arial"/>
          <w:color w:val="000000" w:themeColor="text1"/>
        </w:rPr>
        <w:t xml:space="preserve"> </w:t>
      </w:r>
      <w:r w:rsidR="00694ACB" w:rsidRPr="0083068D">
        <w:rPr>
          <w:rFonts w:ascii="Arial" w:hAnsi="Arial" w:cs="Arial"/>
          <w:color w:val="000000" w:themeColor="text1"/>
        </w:rPr>
        <w:t>one way or another.</w:t>
      </w:r>
      <w:r w:rsidRPr="0083068D">
        <w:rPr>
          <w:rStyle w:val="FootnoteReference"/>
          <w:rFonts w:ascii="Arial" w:hAnsi="Arial" w:cs="Arial"/>
          <w:color w:val="000000" w:themeColor="text1"/>
        </w:rPr>
        <w:footnoteReference w:id="4"/>
      </w:r>
      <w:r w:rsidR="004924A7" w:rsidRPr="0083068D">
        <w:rPr>
          <w:rFonts w:ascii="Arial" w:hAnsi="Arial" w:cs="Arial"/>
          <w:color w:val="000000" w:themeColor="text1"/>
        </w:rPr>
        <w:t xml:space="preserve"> </w:t>
      </w:r>
    </w:p>
    <w:p w14:paraId="07B11D19" w14:textId="5F9CE5F7" w:rsidR="00E57120" w:rsidRPr="0083068D" w:rsidRDefault="003E041D" w:rsidP="00192993">
      <w:pPr>
        <w:pStyle w:val="ListParagraph"/>
        <w:numPr>
          <w:ilvl w:val="0"/>
          <w:numId w:val="1"/>
        </w:numPr>
        <w:adjustRightInd w:val="0"/>
        <w:snapToGrid w:val="0"/>
        <w:spacing w:before="240" w:after="240" w:line="360" w:lineRule="auto"/>
        <w:contextualSpacing w:val="0"/>
        <w:jc w:val="both"/>
        <w:rPr>
          <w:rStyle w:val="apple-converted-space"/>
          <w:rFonts w:ascii="Arial" w:hAnsi="Arial" w:cs="Arial"/>
          <w:color w:val="000000" w:themeColor="text1"/>
        </w:rPr>
      </w:pPr>
      <w:r w:rsidRPr="0083068D">
        <w:rPr>
          <w:rFonts w:ascii="Arial" w:hAnsi="Arial" w:cs="Arial"/>
          <w:color w:val="000000" w:themeColor="text1"/>
        </w:rPr>
        <w:t>O</w:t>
      </w:r>
      <w:r w:rsidR="004924A7" w:rsidRPr="0083068D">
        <w:rPr>
          <w:rFonts w:ascii="Arial" w:hAnsi="Arial" w:cs="Arial"/>
          <w:color w:val="000000" w:themeColor="text1"/>
        </w:rPr>
        <w:t>n</w:t>
      </w:r>
      <w:r w:rsidR="00EC6BB4" w:rsidRPr="0083068D">
        <w:rPr>
          <w:rFonts w:ascii="Arial" w:hAnsi="Arial" w:cs="Arial"/>
          <w:color w:val="000000" w:themeColor="text1"/>
        </w:rPr>
        <w:t xml:space="preserve"> ‘the pledge theory’</w:t>
      </w:r>
      <w:r w:rsidR="0036407E" w:rsidRPr="0083068D">
        <w:rPr>
          <w:rFonts w:ascii="Arial" w:hAnsi="Arial" w:cs="Arial"/>
          <w:color w:val="000000" w:themeColor="text1"/>
        </w:rPr>
        <w:t xml:space="preserve"> </w:t>
      </w:r>
      <w:r w:rsidR="00EC6BB4" w:rsidRPr="0083068D">
        <w:rPr>
          <w:rFonts w:ascii="Arial" w:hAnsi="Arial" w:cs="Arial"/>
          <w:color w:val="000000" w:themeColor="text1"/>
        </w:rPr>
        <w:t xml:space="preserve">the principal debt </w:t>
      </w:r>
      <w:r w:rsidR="004924A7" w:rsidRPr="0083068D">
        <w:rPr>
          <w:rFonts w:ascii="Arial" w:hAnsi="Arial" w:cs="Arial"/>
          <w:color w:val="000000" w:themeColor="text1"/>
        </w:rPr>
        <w:t>is</w:t>
      </w:r>
      <w:r w:rsidR="00EC6BB4" w:rsidRPr="0083068D">
        <w:rPr>
          <w:rFonts w:ascii="Arial" w:hAnsi="Arial" w:cs="Arial"/>
          <w:color w:val="000000" w:themeColor="text1"/>
        </w:rPr>
        <w:t xml:space="preserve"> ‘pledged’ to the cessionary </w:t>
      </w:r>
      <w:r w:rsidRPr="0083068D">
        <w:rPr>
          <w:rFonts w:ascii="Arial" w:hAnsi="Arial" w:cs="Arial"/>
          <w:color w:val="000000" w:themeColor="text1"/>
        </w:rPr>
        <w:t xml:space="preserve">on the basis that </w:t>
      </w:r>
      <w:r w:rsidR="00EC6BB4" w:rsidRPr="0083068D">
        <w:rPr>
          <w:rFonts w:ascii="Arial" w:hAnsi="Arial" w:cs="Arial"/>
          <w:color w:val="000000" w:themeColor="text1"/>
        </w:rPr>
        <w:t xml:space="preserve">the cedent retains </w:t>
      </w:r>
      <w:r w:rsidR="004924A7" w:rsidRPr="0083068D">
        <w:rPr>
          <w:rFonts w:ascii="Arial" w:hAnsi="Arial" w:cs="Arial"/>
          <w:color w:val="000000" w:themeColor="text1"/>
        </w:rPr>
        <w:t>‘</w:t>
      </w:r>
      <w:r w:rsidR="00EC6BB4" w:rsidRPr="0083068D">
        <w:rPr>
          <w:rFonts w:ascii="Arial" w:hAnsi="Arial" w:cs="Arial"/>
          <w:color w:val="000000" w:themeColor="text1"/>
        </w:rPr>
        <w:t>bare dominium</w:t>
      </w:r>
      <w:r w:rsidR="004924A7" w:rsidRPr="0083068D">
        <w:rPr>
          <w:rFonts w:ascii="Arial" w:hAnsi="Arial" w:cs="Arial"/>
          <w:color w:val="000000" w:themeColor="text1"/>
        </w:rPr>
        <w:t xml:space="preserve">’ </w:t>
      </w:r>
      <w:r w:rsidR="00EC6BB4" w:rsidRPr="0083068D">
        <w:rPr>
          <w:rFonts w:ascii="Arial" w:hAnsi="Arial" w:cs="Arial"/>
          <w:color w:val="000000" w:themeColor="text1"/>
        </w:rPr>
        <w:t>or a</w:t>
      </w:r>
      <w:r w:rsidR="004924A7" w:rsidRPr="0083068D">
        <w:rPr>
          <w:rFonts w:ascii="Arial" w:hAnsi="Arial" w:cs="Arial"/>
          <w:color w:val="000000" w:themeColor="text1"/>
        </w:rPr>
        <w:t xml:space="preserve"> ‘</w:t>
      </w:r>
      <w:r w:rsidR="00EC6BB4" w:rsidRPr="0083068D">
        <w:rPr>
          <w:rFonts w:ascii="Arial" w:hAnsi="Arial" w:cs="Arial"/>
          <w:color w:val="000000" w:themeColor="text1"/>
        </w:rPr>
        <w:t>reversionary interest</w:t>
      </w:r>
      <w:r w:rsidR="004924A7" w:rsidRPr="0083068D">
        <w:rPr>
          <w:rFonts w:ascii="Arial" w:hAnsi="Arial" w:cs="Arial"/>
          <w:color w:val="000000" w:themeColor="text1"/>
        </w:rPr>
        <w:t>’</w:t>
      </w:r>
      <w:r w:rsidR="00EC6BB4" w:rsidRPr="0083068D">
        <w:rPr>
          <w:rFonts w:ascii="Arial" w:hAnsi="Arial" w:cs="Arial"/>
          <w:color w:val="000000" w:themeColor="text1"/>
        </w:rPr>
        <w:t xml:space="preserve"> in the claim against the principal debtor</w:t>
      </w:r>
      <w:r w:rsidR="00DB322F" w:rsidRPr="0083068D">
        <w:rPr>
          <w:rFonts w:ascii="Arial" w:hAnsi="Arial" w:cs="Arial"/>
          <w:color w:val="000000" w:themeColor="text1"/>
        </w:rPr>
        <w:t>.</w:t>
      </w:r>
      <w:r w:rsidR="00DB322F" w:rsidRPr="0083068D">
        <w:rPr>
          <w:rStyle w:val="FootnoteReference"/>
          <w:rFonts w:ascii="Arial" w:hAnsi="Arial" w:cs="Arial"/>
          <w:color w:val="000000" w:themeColor="text1"/>
        </w:rPr>
        <w:footnoteReference w:id="5"/>
      </w:r>
      <w:r w:rsidR="00DB322F" w:rsidRPr="0083068D">
        <w:rPr>
          <w:rFonts w:ascii="Arial" w:hAnsi="Arial" w:cs="Arial"/>
          <w:color w:val="000000" w:themeColor="text1"/>
        </w:rPr>
        <w:t xml:space="preserve"> </w:t>
      </w:r>
      <w:r w:rsidR="00F5162A" w:rsidRPr="0083068D">
        <w:rPr>
          <w:rFonts w:ascii="Arial" w:hAnsi="Arial" w:cs="Arial"/>
          <w:color w:val="000000" w:themeColor="text1"/>
        </w:rPr>
        <w:t>On such construction</w:t>
      </w:r>
      <w:r w:rsidR="006967A1" w:rsidRPr="0083068D">
        <w:rPr>
          <w:rFonts w:ascii="Arial" w:hAnsi="Arial" w:cs="Arial"/>
          <w:color w:val="000000" w:themeColor="text1"/>
        </w:rPr>
        <w:t>,</w:t>
      </w:r>
      <w:r w:rsidR="00F5162A" w:rsidRPr="0083068D">
        <w:rPr>
          <w:rFonts w:ascii="Arial" w:hAnsi="Arial" w:cs="Arial"/>
          <w:color w:val="000000" w:themeColor="text1"/>
        </w:rPr>
        <w:t xml:space="preserve"> only the right to enforce the right upon non-payment is ceded</w:t>
      </w:r>
      <w:r w:rsidR="00F5162A" w:rsidRPr="0083068D">
        <w:rPr>
          <w:rStyle w:val="apple-converted-space"/>
          <w:rFonts w:ascii="Arial" w:hAnsi="Arial" w:cs="Arial"/>
          <w:color w:val="000000" w:themeColor="text1"/>
        </w:rPr>
        <w:t>.</w:t>
      </w:r>
      <w:r w:rsidR="00F5162A" w:rsidRPr="0083068D">
        <w:rPr>
          <w:rStyle w:val="FootnoteReference"/>
          <w:rFonts w:ascii="Arial" w:hAnsi="Arial" w:cs="Arial"/>
          <w:color w:val="000000" w:themeColor="text1"/>
        </w:rPr>
        <w:footnoteReference w:id="6"/>
      </w:r>
      <w:r w:rsidR="00F5162A" w:rsidRPr="0083068D">
        <w:rPr>
          <w:rStyle w:val="apple-converted-space"/>
          <w:rFonts w:ascii="Arial" w:hAnsi="Arial" w:cs="Arial"/>
          <w:color w:val="000000" w:themeColor="text1"/>
        </w:rPr>
        <w:t xml:space="preserve"> </w:t>
      </w:r>
      <w:r w:rsidR="00C07CF6" w:rsidRPr="0083068D">
        <w:rPr>
          <w:rFonts w:ascii="Arial" w:hAnsi="Arial" w:cs="Arial"/>
          <w:color w:val="000000" w:themeColor="text1"/>
        </w:rPr>
        <w:t xml:space="preserve">Since </w:t>
      </w:r>
      <w:r w:rsidR="00C07CF6" w:rsidRPr="0083068D">
        <w:rPr>
          <w:rFonts w:ascii="Arial" w:hAnsi="Arial" w:cs="Arial"/>
          <w:iCs/>
          <w:color w:val="000000" w:themeColor="text1"/>
        </w:rPr>
        <w:t xml:space="preserve">a </w:t>
      </w:r>
      <w:r w:rsidR="00C07CF6" w:rsidRPr="0083068D">
        <w:rPr>
          <w:rFonts w:ascii="Arial" w:hAnsi="Arial" w:cs="Arial"/>
          <w:color w:val="000000" w:themeColor="text1"/>
        </w:rPr>
        <w:t xml:space="preserve">cession ordinarily entails a transfer of a right, </w:t>
      </w:r>
      <w:r w:rsidR="00F5162A" w:rsidRPr="0083068D">
        <w:rPr>
          <w:rFonts w:ascii="Arial" w:hAnsi="Arial" w:cs="Arial"/>
          <w:color w:val="000000" w:themeColor="text1"/>
        </w:rPr>
        <w:t xml:space="preserve">it is </w:t>
      </w:r>
      <w:r w:rsidR="00C07CF6" w:rsidRPr="0083068D">
        <w:rPr>
          <w:rFonts w:ascii="Arial" w:hAnsi="Arial" w:cs="Arial"/>
          <w:color w:val="000000" w:themeColor="text1"/>
        </w:rPr>
        <w:t xml:space="preserve">the retention by the cedent of the very substance of the right </w:t>
      </w:r>
      <w:r w:rsidR="00F5162A" w:rsidRPr="0083068D">
        <w:rPr>
          <w:rFonts w:ascii="Arial" w:hAnsi="Arial" w:cs="Arial"/>
          <w:color w:val="000000" w:themeColor="text1"/>
        </w:rPr>
        <w:t xml:space="preserve">around which </w:t>
      </w:r>
      <w:r w:rsidR="00097AB9">
        <w:rPr>
          <w:rFonts w:ascii="Arial" w:hAnsi="Arial" w:cs="Arial"/>
          <w:color w:val="000000" w:themeColor="text1"/>
        </w:rPr>
        <w:t xml:space="preserve">the </w:t>
      </w:r>
      <w:r w:rsidR="00F5162A" w:rsidRPr="0083068D">
        <w:rPr>
          <w:rFonts w:ascii="Arial" w:hAnsi="Arial" w:cs="Arial"/>
          <w:color w:val="000000" w:themeColor="text1"/>
        </w:rPr>
        <w:t>d</w:t>
      </w:r>
      <w:r w:rsidR="00C07CF6" w:rsidRPr="0083068D">
        <w:rPr>
          <w:rFonts w:ascii="Arial" w:hAnsi="Arial" w:cs="Arial"/>
          <w:color w:val="000000" w:themeColor="text1"/>
        </w:rPr>
        <w:t>octrinal debate</w:t>
      </w:r>
      <w:r w:rsidR="00F5162A" w:rsidRPr="0083068D">
        <w:rPr>
          <w:rFonts w:ascii="Arial" w:hAnsi="Arial" w:cs="Arial"/>
          <w:color w:val="000000" w:themeColor="text1"/>
        </w:rPr>
        <w:t xml:space="preserve"> </w:t>
      </w:r>
      <w:r w:rsidR="003A32B9" w:rsidRPr="0083068D">
        <w:rPr>
          <w:rFonts w:ascii="Arial" w:hAnsi="Arial" w:cs="Arial"/>
          <w:color w:val="000000" w:themeColor="text1"/>
        </w:rPr>
        <w:t xml:space="preserve">regarding the pledge theory </w:t>
      </w:r>
      <w:r w:rsidR="00F5162A" w:rsidRPr="0083068D">
        <w:rPr>
          <w:rFonts w:ascii="Arial" w:hAnsi="Arial" w:cs="Arial"/>
          <w:color w:val="000000" w:themeColor="text1"/>
        </w:rPr>
        <w:t>has centred</w:t>
      </w:r>
      <w:r w:rsidR="00C07CF6" w:rsidRPr="0083068D">
        <w:rPr>
          <w:rFonts w:ascii="Arial" w:hAnsi="Arial" w:cs="Arial"/>
          <w:color w:val="000000" w:themeColor="text1"/>
        </w:rPr>
        <w:t xml:space="preserve">. </w:t>
      </w:r>
      <w:r w:rsidR="003A32B9" w:rsidRPr="0083068D">
        <w:rPr>
          <w:rFonts w:ascii="Arial" w:hAnsi="Arial" w:cs="Arial"/>
          <w:color w:val="000000" w:themeColor="text1"/>
        </w:rPr>
        <w:t>This Court</w:t>
      </w:r>
      <w:r w:rsidR="006967A1" w:rsidRPr="0083068D">
        <w:rPr>
          <w:rFonts w:ascii="Arial" w:hAnsi="Arial" w:cs="Arial"/>
          <w:color w:val="000000" w:themeColor="text1"/>
        </w:rPr>
        <w:t>,</w:t>
      </w:r>
      <w:r w:rsidR="003A32B9" w:rsidRPr="0083068D">
        <w:rPr>
          <w:rFonts w:ascii="Arial" w:hAnsi="Arial" w:cs="Arial"/>
          <w:color w:val="000000" w:themeColor="text1"/>
        </w:rPr>
        <w:t xml:space="preserve"> i</w:t>
      </w:r>
      <w:r w:rsidR="00C07CF6" w:rsidRPr="0083068D">
        <w:rPr>
          <w:rFonts w:ascii="Arial" w:hAnsi="Arial" w:cs="Arial"/>
          <w:color w:val="000000" w:themeColor="text1"/>
        </w:rPr>
        <w:t>n</w:t>
      </w:r>
      <w:r w:rsidR="00114224" w:rsidRPr="0083068D">
        <w:rPr>
          <w:rFonts w:ascii="Arial" w:hAnsi="Arial" w:cs="Arial"/>
          <w:color w:val="000000" w:themeColor="text1"/>
        </w:rPr>
        <w:t xml:space="preserve"> </w:t>
      </w:r>
      <w:r w:rsidR="00114224" w:rsidRPr="0083068D">
        <w:rPr>
          <w:rFonts w:ascii="Arial" w:hAnsi="Arial" w:cs="Arial"/>
          <w:i/>
          <w:iCs/>
          <w:color w:val="000000" w:themeColor="text1"/>
        </w:rPr>
        <w:t>Grobler</w:t>
      </w:r>
      <w:r w:rsidR="006967A1" w:rsidRPr="0083068D">
        <w:rPr>
          <w:rFonts w:ascii="Arial" w:hAnsi="Arial" w:cs="Arial"/>
          <w:color w:val="000000" w:themeColor="text1"/>
        </w:rPr>
        <w:t>,</w:t>
      </w:r>
      <w:r w:rsidR="00114224" w:rsidRPr="0083068D">
        <w:rPr>
          <w:rFonts w:ascii="Arial" w:hAnsi="Arial" w:cs="Arial"/>
          <w:i/>
          <w:iCs/>
          <w:color w:val="000000" w:themeColor="text1"/>
        </w:rPr>
        <w:t xml:space="preserve"> </w:t>
      </w:r>
      <w:r w:rsidR="00114224" w:rsidRPr="0083068D">
        <w:rPr>
          <w:rFonts w:ascii="Arial" w:hAnsi="Arial" w:cs="Arial"/>
          <w:color w:val="000000" w:themeColor="text1"/>
        </w:rPr>
        <w:t xml:space="preserve">recognised </w:t>
      </w:r>
      <w:r w:rsidR="003A32B9" w:rsidRPr="0083068D">
        <w:rPr>
          <w:rFonts w:ascii="Arial" w:hAnsi="Arial" w:cs="Arial"/>
          <w:color w:val="000000" w:themeColor="text1"/>
        </w:rPr>
        <w:t xml:space="preserve">however </w:t>
      </w:r>
      <w:r w:rsidR="00114224" w:rsidRPr="0083068D">
        <w:rPr>
          <w:rFonts w:ascii="Arial" w:hAnsi="Arial" w:cs="Arial"/>
          <w:color w:val="000000" w:themeColor="text1"/>
        </w:rPr>
        <w:t xml:space="preserve">that </w:t>
      </w:r>
      <w:r w:rsidR="003A32B9" w:rsidRPr="0083068D">
        <w:rPr>
          <w:rFonts w:ascii="Arial" w:hAnsi="Arial" w:cs="Arial"/>
          <w:color w:val="000000" w:themeColor="text1"/>
        </w:rPr>
        <w:t>such</w:t>
      </w:r>
      <w:r w:rsidR="00114224" w:rsidRPr="0083068D">
        <w:rPr>
          <w:rFonts w:ascii="Arial" w:hAnsi="Arial" w:cs="Arial"/>
          <w:iCs/>
          <w:color w:val="000000" w:themeColor="text1"/>
        </w:rPr>
        <w:t xml:space="preserve"> </w:t>
      </w:r>
      <w:r w:rsidR="00035B40" w:rsidRPr="0083068D">
        <w:rPr>
          <w:rFonts w:ascii="Arial" w:hAnsi="Arial" w:cs="Arial"/>
          <w:iCs/>
          <w:color w:val="000000" w:themeColor="text1"/>
        </w:rPr>
        <w:t>debate</w:t>
      </w:r>
      <w:r w:rsidR="00114224" w:rsidRPr="0083068D">
        <w:rPr>
          <w:rFonts w:ascii="Arial" w:hAnsi="Arial" w:cs="Arial"/>
          <w:iCs/>
          <w:color w:val="000000" w:themeColor="text1"/>
        </w:rPr>
        <w:t xml:space="preserve"> </w:t>
      </w:r>
      <w:r w:rsidR="00035B40" w:rsidRPr="0083068D">
        <w:rPr>
          <w:rFonts w:ascii="Arial" w:hAnsi="Arial" w:cs="Arial"/>
          <w:iCs/>
          <w:color w:val="000000" w:themeColor="text1"/>
        </w:rPr>
        <w:t>had been resolved, primarily for pragmatic reasons</w:t>
      </w:r>
      <w:r w:rsidR="003A32B9" w:rsidRPr="0083068D">
        <w:rPr>
          <w:rFonts w:ascii="Arial" w:hAnsi="Arial" w:cs="Arial"/>
          <w:iCs/>
          <w:color w:val="000000" w:themeColor="text1"/>
        </w:rPr>
        <w:t>, with t</w:t>
      </w:r>
      <w:r w:rsidR="0063495B" w:rsidRPr="0083068D">
        <w:rPr>
          <w:rFonts w:ascii="Arial" w:hAnsi="Arial" w:cs="Arial"/>
          <w:iCs/>
          <w:color w:val="000000" w:themeColor="text1"/>
        </w:rPr>
        <w:t xml:space="preserve">he </w:t>
      </w:r>
      <w:r w:rsidR="00035B40" w:rsidRPr="0083068D">
        <w:rPr>
          <w:rFonts w:ascii="Arial" w:hAnsi="Arial" w:cs="Arial"/>
          <w:iCs/>
          <w:color w:val="000000" w:themeColor="text1"/>
        </w:rPr>
        <w:t>pledge theory accepted</w:t>
      </w:r>
      <w:r w:rsidR="0063495B" w:rsidRPr="0083068D">
        <w:rPr>
          <w:rFonts w:ascii="Arial" w:hAnsi="Arial" w:cs="Arial"/>
          <w:iCs/>
          <w:color w:val="000000" w:themeColor="text1"/>
        </w:rPr>
        <w:t xml:space="preserve"> as the default position</w:t>
      </w:r>
      <w:r w:rsidR="003A32B9" w:rsidRPr="0083068D">
        <w:rPr>
          <w:rFonts w:ascii="Arial" w:hAnsi="Arial" w:cs="Arial"/>
          <w:iCs/>
          <w:color w:val="000000" w:themeColor="text1"/>
        </w:rPr>
        <w:t>.</w:t>
      </w:r>
      <w:r w:rsidR="00035B40" w:rsidRPr="0083068D">
        <w:rPr>
          <w:rStyle w:val="FootnoteReference"/>
          <w:rFonts w:ascii="Arial" w:hAnsi="Arial" w:cs="Arial"/>
          <w:iCs/>
          <w:color w:val="000000" w:themeColor="text1"/>
        </w:rPr>
        <w:footnoteReference w:id="7"/>
      </w:r>
      <w:r w:rsidR="00F5162A" w:rsidRPr="0083068D">
        <w:rPr>
          <w:rFonts w:ascii="Arial" w:hAnsi="Arial" w:cs="Arial"/>
          <w:iCs/>
          <w:color w:val="000000" w:themeColor="text1"/>
        </w:rPr>
        <w:t xml:space="preserve"> </w:t>
      </w:r>
      <w:r w:rsidR="003A32B9" w:rsidRPr="0083068D">
        <w:rPr>
          <w:rFonts w:ascii="Arial" w:hAnsi="Arial" w:cs="Arial"/>
          <w:iCs/>
          <w:color w:val="000000" w:themeColor="text1"/>
        </w:rPr>
        <w:t xml:space="preserve">On this basis </w:t>
      </w:r>
      <w:r w:rsidR="00114224" w:rsidRPr="0083068D">
        <w:rPr>
          <w:rFonts w:ascii="Arial" w:hAnsi="Arial" w:cs="Arial"/>
          <w:iCs/>
          <w:color w:val="000000" w:themeColor="text1"/>
        </w:rPr>
        <w:t xml:space="preserve">a cession </w:t>
      </w:r>
      <w:r w:rsidR="00114224" w:rsidRPr="0083068D">
        <w:rPr>
          <w:rFonts w:ascii="Arial" w:hAnsi="Arial" w:cs="Arial"/>
          <w:i/>
          <w:color w:val="000000" w:themeColor="text1"/>
        </w:rPr>
        <w:t>in securitatem debiti</w:t>
      </w:r>
      <w:r w:rsidR="00114224" w:rsidRPr="0083068D">
        <w:rPr>
          <w:rFonts w:ascii="Arial" w:hAnsi="Arial" w:cs="Arial"/>
          <w:iCs/>
          <w:color w:val="000000" w:themeColor="text1"/>
        </w:rPr>
        <w:t xml:space="preserve"> </w:t>
      </w:r>
      <w:r w:rsidR="003A32B9" w:rsidRPr="0083068D">
        <w:rPr>
          <w:rFonts w:ascii="Arial" w:hAnsi="Arial" w:cs="Arial"/>
          <w:iCs/>
          <w:color w:val="000000" w:themeColor="text1"/>
        </w:rPr>
        <w:t xml:space="preserve">is </w:t>
      </w:r>
      <w:r w:rsidR="00114224" w:rsidRPr="0083068D">
        <w:rPr>
          <w:rFonts w:ascii="Arial" w:hAnsi="Arial" w:cs="Arial"/>
          <w:iCs/>
          <w:color w:val="000000" w:themeColor="text1"/>
        </w:rPr>
        <w:t xml:space="preserve">now taken to resemble </w:t>
      </w:r>
      <w:r w:rsidR="00C07CF6" w:rsidRPr="0083068D">
        <w:rPr>
          <w:rFonts w:ascii="Arial" w:hAnsi="Arial" w:cs="Arial"/>
          <w:iCs/>
          <w:color w:val="000000" w:themeColor="text1"/>
        </w:rPr>
        <w:t xml:space="preserve">a </w:t>
      </w:r>
      <w:r w:rsidR="00114224" w:rsidRPr="0083068D">
        <w:rPr>
          <w:rFonts w:ascii="Arial" w:hAnsi="Arial" w:cs="Arial"/>
          <w:iCs/>
          <w:color w:val="000000" w:themeColor="text1"/>
        </w:rPr>
        <w:t>pledge</w:t>
      </w:r>
      <w:r w:rsidR="003A32B9" w:rsidRPr="0083068D">
        <w:rPr>
          <w:rFonts w:ascii="Arial" w:hAnsi="Arial" w:cs="Arial"/>
          <w:iCs/>
          <w:color w:val="000000" w:themeColor="text1"/>
        </w:rPr>
        <w:t>, unless the intention of the parties is different</w:t>
      </w:r>
      <w:r w:rsidR="00114224" w:rsidRPr="0083068D">
        <w:rPr>
          <w:rFonts w:ascii="Arial" w:hAnsi="Arial" w:cs="Arial"/>
          <w:iCs/>
          <w:color w:val="000000" w:themeColor="text1"/>
        </w:rPr>
        <w:t>.</w:t>
      </w:r>
      <w:r w:rsidR="00114224" w:rsidRPr="0083068D">
        <w:rPr>
          <w:rStyle w:val="FootnoteReference"/>
          <w:rFonts w:ascii="Arial" w:hAnsi="Arial" w:cs="Arial"/>
          <w:iCs/>
          <w:color w:val="000000" w:themeColor="text1"/>
        </w:rPr>
        <w:footnoteReference w:id="8"/>
      </w:r>
    </w:p>
    <w:p w14:paraId="3C3BF827" w14:textId="2C0F067D" w:rsidR="00694ACB" w:rsidRPr="0083068D" w:rsidRDefault="00194D8C" w:rsidP="00192993">
      <w:pPr>
        <w:pStyle w:val="ListParagraph"/>
        <w:numPr>
          <w:ilvl w:val="0"/>
          <w:numId w:val="1"/>
        </w:numPr>
        <w:adjustRightInd w:val="0"/>
        <w:snapToGrid w:val="0"/>
        <w:spacing w:before="240" w:after="240" w:line="360" w:lineRule="auto"/>
        <w:contextualSpacing w:val="0"/>
        <w:jc w:val="both"/>
        <w:rPr>
          <w:rFonts w:ascii="Arial" w:hAnsi="Arial" w:cs="Arial"/>
          <w:color w:val="000000" w:themeColor="text1"/>
        </w:rPr>
      </w:pPr>
      <w:r w:rsidRPr="0083068D">
        <w:rPr>
          <w:rStyle w:val="apple-converted-space"/>
          <w:rFonts w:ascii="Arial" w:hAnsi="Arial" w:cs="Arial"/>
          <w:color w:val="000000" w:themeColor="text1"/>
        </w:rPr>
        <w:t>On t</w:t>
      </w:r>
      <w:r w:rsidR="00E81E40" w:rsidRPr="0083068D">
        <w:rPr>
          <w:rStyle w:val="apple-converted-space"/>
          <w:rFonts w:ascii="Arial" w:hAnsi="Arial" w:cs="Arial"/>
          <w:color w:val="000000" w:themeColor="text1"/>
        </w:rPr>
        <w:t xml:space="preserve">he alternative </w:t>
      </w:r>
      <w:r w:rsidR="00694ACB" w:rsidRPr="0083068D">
        <w:rPr>
          <w:rFonts w:ascii="Arial" w:hAnsi="Arial" w:cs="Arial"/>
          <w:color w:val="000000" w:themeColor="text1"/>
        </w:rPr>
        <w:t>theory</w:t>
      </w:r>
      <w:r w:rsidR="00AB6332" w:rsidRPr="0083068D">
        <w:rPr>
          <w:rFonts w:ascii="Arial" w:hAnsi="Arial" w:cs="Arial"/>
          <w:color w:val="000000" w:themeColor="text1"/>
        </w:rPr>
        <w:t xml:space="preserve"> </w:t>
      </w:r>
      <w:r w:rsidR="00694ACB" w:rsidRPr="0083068D">
        <w:rPr>
          <w:rFonts w:ascii="Arial" w:hAnsi="Arial" w:cs="Arial"/>
          <w:color w:val="000000" w:themeColor="text1"/>
        </w:rPr>
        <w:t>–</w:t>
      </w:r>
    </w:p>
    <w:p w14:paraId="092A75B6" w14:textId="1635C486" w:rsidR="00E57120" w:rsidRPr="0083068D" w:rsidRDefault="00694ACB" w:rsidP="00192993">
      <w:pPr>
        <w:adjustRightInd w:val="0"/>
        <w:snapToGrid w:val="0"/>
        <w:spacing w:before="240" w:after="240" w:line="360" w:lineRule="auto"/>
        <w:jc w:val="both"/>
        <w:rPr>
          <w:rFonts w:ascii="Arial" w:hAnsi="Arial" w:cs="Arial"/>
          <w:color w:val="000000" w:themeColor="text1"/>
          <w:sz w:val="22"/>
          <w:szCs w:val="22"/>
        </w:rPr>
      </w:pPr>
      <w:r w:rsidRPr="0083068D">
        <w:rPr>
          <w:rFonts w:ascii="Arial" w:hAnsi="Arial" w:cs="Arial"/>
          <w:color w:val="000000" w:themeColor="text1"/>
          <w:sz w:val="22"/>
          <w:szCs w:val="22"/>
        </w:rPr>
        <w:t>‘</w:t>
      </w:r>
      <w:r w:rsidR="00E96E6E" w:rsidRPr="0083068D">
        <w:rPr>
          <w:rFonts w:ascii="Arial" w:hAnsi="Arial" w:cs="Arial"/>
          <w:color w:val="000000" w:themeColor="text1"/>
          <w:sz w:val="22"/>
          <w:szCs w:val="22"/>
        </w:rPr>
        <w:t>. . .</w:t>
      </w:r>
      <w:r w:rsidRPr="0083068D">
        <w:rPr>
          <w:rFonts w:ascii="Arial" w:hAnsi="Arial" w:cs="Arial"/>
          <w:color w:val="000000" w:themeColor="text1"/>
          <w:sz w:val="22"/>
          <w:szCs w:val="22"/>
        </w:rPr>
        <w:t xml:space="preserve"> a cession</w:t>
      </w:r>
      <w:r w:rsidRPr="0083068D">
        <w:rPr>
          <w:rStyle w:val="apple-converted-space"/>
          <w:rFonts w:ascii="Arial" w:hAnsi="Arial" w:cs="Arial"/>
          <w:color w:val="000000" w:themeColor="text1"/>
          <w:sz w:val="22"/>
          <w:szCs w:val="22"/>
        </w:rPr>
        <w:t> </w:t>
      </w:r>
      <w:r w:rsidRPr="0083068D">
        <w:rPr>
          <w:rFonts w:ascii="Arial" w:hAnsi="Arial" w:cs="Arial"/>
          <w:i/>
          <w:iCs/>
          <w:color w:val="000000" w:themeColor="text1"/>
          <w:sz w:val="22"/>
          <w:szCs w:val="22"/>
        </w:rPr>
        <w:t>in</w:t>
      </w:r>
      <w:r w:rsidR="00567B2C" w:rsidRPr="0083068D">
        <w:rPr>
          <w:rFonts w:ascii="Arial" w:hAnsi="Arial" w:cs="Arial"/>
          <w:i/>
          <w:iCs/>
          <w:color w:val="000000" w:themeColor="text1"/>
          <w:sz w:val="22"/>
          <w:szCs w:val="22"/>
        </w:rPr>
        <w:t xml:space="preserve"> </w:t>
      </w:r>
      <w:r w:rsidRPr="0083068D">
        <w:rPr>
          <w:rFonts w:ascii="Arial" w:hAnsi="Arial" w:cs="Arial"/>
          <w:i/>
          <w:iCs/>
          <w:color w:val="000000" w:themeColor="text1"/>
          <w:sz w:val="22"/>
          <w:szCs w:val="22"/>
        </w:rPr>
        <w:t>securitatem debiti</w:t>
      </w:r>
      <w:r w:rsidRPr="0083068D">
        <w:rPr>
          <w:rStyle w:val="apple-converted-space"/>
          <w:rFonts w:ascii="Arial" w:hAnsi="Arial" w:cs="Arial"/>
          <w:i/>
          <w:iCs/>
          <w:color w:val="000000" w:themeColor="text1"/>
          <w:sz w:val="22"/>
          <w:szCs w:val="22"/>
        </w:rPr>
        <w:t> </w:t>
      </w:r>
      <w:r w:rsidRPr="0083068D">
        <w:rPr>
          <w:rFonts w:ascii="Arial" w:hAnsi="Arial" w:cs="Arial"/>
          <w:color w:val="000000" w:themeColor="text1"/>
          <w:sz w:val="22"/>
          <w:szCs w:val="22"/>
        </w:rPr>
        <w:t>is in effect an outright or out-and-out cession on which an undertaking or</w:t>
      </w:r>
      <w:r w:rsidRPr="0083068D">
        <w:rPr>
          <w:rStyle w:val="apple-converted-space"/>
          <w:rFonts w:ascii="Arial" w:hAnsi="Arial" w:cs="Arial"/>
          <w:color w:val="000000" w:themeColor="text1"/>
          <w:sz w:val="22"/>
          <w:szCs w:val="22"/>
        </w:rPr>
        <w:t> </w:t>
      </w:r>
      <w:r w:rsidRPr="0083068D">
        <w:rPr>
          <w:rFonts w:ascii="Arial" w:hAnsi="Arial" w:cs="Arial"/>
          <w:i/>
          <w:iCs/>
          <w:color w:val="000000" w:themeColor="text1"/>
          <w:sz w:val="22"/>
          <w:szCs w:val="22"/>
        </w:rPr>
        <w:t>pactum fiduciae</w:t>
      </w:r>
      <w:r w:rsidRPr="0083068D">
        <w:rPr>
          <w:rStyle w:val="apple-converted-space"/>
          <w:rFonts w:ascii="Arial" w:hAnsi="Arial" w:cs="Arial"/>
          <w:i/>
          <w:iCs/>
          <w:color w:val="000000" w:themeColor="text1"/>
          <w:sz w:val="22"/>
          <w:szCs w:val="22"/>
        </w:rPr>
        <w:t> </w:t>
      </w:r>
      <w:r w:rsidRPr="0083068D">
        <w:rPr>
          <w:rFonts w:ascii="Arial" w:hAnsi="Arial" w:cs="Arial"/>
          <w:color w:val="000000" w:themeColor="text1"/>
          <w:sz w:val="22"/>
          <w:szCs w:val="22"/>
        </w:rPr>
        <w:t>is superimposed that the cessionary will re-cede the principal debt to the cedent on satisfaction of the secured debt. In consequence, the ceded right in all its aspects is vested in the cessionary. After the cession</w:t>
      </w:r>
      <w:r w:rsidRPr="0083068D">
        <w:rPr>
          <w:rStyle w:val="apple-converted-space"/>
          <w:rFonts w:ascii="Arial" w:hAnsi="Arial" w:cs="Arial"/>
          <w:color w:val="000000" w:themeColor="text1"/>
          <w:sz w:val="22"/>
          <w:szCs w:val="22"/>
        </w:rPr>
        <w:t> </w:t>
      </w:r>
      <w:r w:rsidRPr="0083068D">
        <w:rPr>
          <w:rFonts w:ascii="Arial" w:hAnsi="Arial" w:cs="Arial"/>
          <w:i/>
          <w:iCs/>
          <w:color w:val="000000" w:themeColor="text1"/>
          <w:sz w:val="22"/>
          <w:szCs w:val="22"/>
        </w:rPr>
        <w:t>in securitatem debiti</w:t>
      </w:r>
      <w:r w:rsidRPr="0083068D">
        <w:rPr>
          <w:rStyle w:val="apple-converted-space"/>
          <w:rFonts w:ascii="Arial" w:hAnsi="Arial" w:cs="Arial"/>
          <w:i/>
          <w:iCs/>
          <w:color w:val="000000" w:themeColor="text1"/>
          <w:sz w:val="22"/>
          <w:szCs w:val="22"/>
        </w:rPr>
        <w:t> </w:t>
      </w:r>
      <w:r w:rsidRPr="0083068D">
        <w:rPr>
          <w:rFonts w:ascii="Arial" w:hAnsi="Arial" w:cs="Arial"/>
          <w:color w:val="000000" w:themeColor="text1"/>
          <w:sz w:val="22"/>
          <w:szCs w:val="22"/>
        </w:rPr>
        <w:t>the cedent has no direct interest in the principal debt and is left only with a personal right against the cessionary, by virtue of the</w:t>
      </w:r>
      <w:r w:rsidRPr="0083068D">
        <w:rPr>
          <w:rStyle w:val="apple-converted-space"/>
          <w:rFonts w:ascii="Arial" w:hAnsi="Arial" w:cs="Arial"/>
          <w:color w:val="000000" w:themeColor="text1"/>
          <w:sz w:val="22"/>
          <w:szCs w:val="22"/>
        </w:rPr>
        <w:t> </w:t>
      </w:r>
      <w:r w:rsidRPr="0083068D">
        <w:rPr>
          <w:rFonts w:ascii="Arial" w:hAnsi="Arial" w:cs="Arial"/>
          <w:i/>
          <w:iCs/>
          <w:color w:val="000000" w:themeColor="text1"/>
          <w:sz w:val="22"/>
          <w:szCs w:val="22"/>
        </w:rPr>
        <w:t>pactum fiduciae,</w:t>
      </w:r>
      <w:r w:rsidRPr="0083068D">
        <w:rPr>
          <w:rStyle w:val="apple-converted-space"/>
          <w:rFonts w:ascii="Arial" w:hAnsi="Arial" w:cs="Arial"/>
          <w:color w:val="000000" w:themeColor="text1"/>
          <w:sz w:val="22"/>
          <w:szCs w:val="22"/>
        </w:rPr>
        <w:t> </w:t>
      </w:r>
      <w:r w:rsidRPr="0083068D">
        <w:rPr>
          <w:rFonts w:ascii="Arial" w:hAnsi="Arial" w:cs="Arial"/>
          <w:color w:val="000000" w:themeColor="text1"/>
          <w:sz w:val="22"/>
          <w:szCs w:val="22"/>
        </w:rPr>
        <w:t>to claim re-cession after the secured debt has been discharged.’</w:t>
      </w:r>
      <w:r w:rsidR="0061783D" w:rsidRPr="0083068D">
        <w:rPr>
          <w:rStyle w:val="FootnoteReference"/>
          <w:rFonts w:ascii="Arial" w:hAnsi="Arial" w:cs="Arial"/>
          <w:color w:val="000000" w:themeColor="text1"/>
          <w:sz w:val="22"/>
          <w:szCs w:val="22"/>
        </w:rPr>
        <w:footnoteReference w:id="9"/>
      </w:r>
    </w:p>
    <w:p w14:paraId="3CF2804A" w14:textId="641B1214" w:rsidR="00E57120" w:rsidRPr="0083068D" w:rsidRDefault="001206FA" w:rsidP="00192993">
      <w:pPr>
        <w:pStyle w:val="ListParagraph"/>
        <w:numPr>
          <w:ilvl w:val="0"/>
          <w:numId w:val="1"/>
        </w:numPr>
        <w:adjustRightInd w:val="0"/>
        <w:snapToGrid w:val="0"/>
        <w:spacing w:before="240" w:after="240" w:line="360" w:lineRule="auto"/>
        <w:contextualSpacing w:val="0"/>
        <w:jc w:val="both"/>
        <w:rPr>
          <w:rStyle w:val="apple-converted-space"/>
          <w:rFonts w:ascii="Arial" w:hAnsi="Arial" w:cs="Arial"/>
          <w:color w:val="000000" w:themeColor="text1"/>
        </w:rPr>
      </w:pPr>
      <w:r w:rsidRPr="0083068D">
        <w:rPr>
          <w:rStyle w:val="apple-converted-space"/>
          <w:rFonts w:ascii="Arial" w:hAnsi="Arial" w:cs="Arial"/>
          <w:color w:val="000000" w:themeColor="text1"/>
        </w:rPr>
        <w:lastRenderedPageBreak/>
        <w:t xml:space="preserve">Although </w:t>
      </w:r>
      <w:r w:rsidR="00B2034B" w:rsidRPr="0083068D">
        <w:rPr>
          <w:rStyle w:val="apple-converted-space"/>
          <w:rFonts w:ascii="Arial" w:hAnsi="Arial" w:cs="Arial"/>
          <w:color w:val="000000" w:themeColor="text1"/>
        </w:rPr>
        <w:t xml:space="preserve">the </w:t>
      </w:r>
      <w:r w:rsidR="00A007E2" w:rsidRPr="0083068D">
        <w:rPr>
          <w:rStyle w:val="apple-converted-space"/>
          <w:rFonts w:ascii="Arial" w:hAnsi="Arial" w:cs="Arial"/>
          <w:color w:val="000000" w:themeColor="text1"/>
        </w:rPr>
        <w:t xml:space="preserve">pledge construction has been recognised as the </w:t>
      </w:r>
      <w:r w:rsidR="00B2034B" w:rsidRPr="0083068D">
        <w:rPr>
          <w:rStyle w:val="apple-converted-space"/>
          <w:rFonts w:ascii="Arial" w:hAnsi="Arial" w:cs="Arial"/>
          <w:color w:val="000000" w:themeColor="text1"/>
        </w:rPr>
        <w:t>default form of security cession, t</w:t>
      </w:r>
      <w:r w:rsidRPr="0083068D">
        <w:rPr>
          <w:rStyle w:val="apple-converted-space"/>
          <w:rFonts w:ascii="Arial" w:hAnsi="Arial" w:cs="Arial"/>
          <w:color w:val="000000" w:themeColor="text1"/>
        </w:rPr>
        <w:t>he</w:t>
      </w:r>
      <w:r w:rsidR="00B2034B" w:rsidRPr="0083068D">
        <w:rPr>
          <w:rStyle w:val="apple-converted-space"/>
          <w:rFonts w:ascii="Arial" w:hAnsi="Arial" w:cs="Arial"/>
          <w:color w:val="000000" w:themeColor="text1"/>
        </w:rPr>
        <w:t xml:space="preserve">re is no support for a conclusion that </w:t>
      </w:r>
      <w:r w:rsidR="00A007E2" w:rsidRPr="0083068D">
        <w:rPr>
          <w:rStyle w:val="apple-converted-space"/>
          <w:rFonts w:ascii="Arial" w:hAnsi="Arial" w:cs="Arial"/>
          <w:color w:val="000000" w:themeColor="text1"/>
        </w:rPr>
        <w:t xml:space="preserve">it </w:t>
      </w:r>
      <w:r w:rsidR="00B2034B" w:rsidRPr="0083068D">
        <w:rPr>
          <w:rStyle w:val="apple-converted-space"/>
          <w:rFonts w:ascii="Arial" w:hAnsi="Arial" w:cs="Arial"/>
          <w:color w:val="000000" w:themeColor="text1"/>
        </w:rPr>
        <w:t>has subsumed the field</w:t>
      </w:r>
      <w:r w:rsidRPr="0083068D">
        <w:rPr>
          <w:rStyle w:val="apple-converted-space"/>
          <w:rFonts w:ascii="Arial" w:hAnsi="Arial" w:cs="Arial"/>
          <w:color w:val="000000" w:themeColor="text1"/>
        </w:rPr>
        <w:t xml:space="preserve"> of security cessions</w:t>
      </w:r>
      <w:r w:rsidR="003A32B9" w:rsidRPr="0083068D">
        <w:rPr>
          <w:rStyle w:val="apple-converted-space"/>
          <w:rFonts w:ascii="Arial" w:hAnsi="Arial" w:cs="Arial"/>
          <w:color w:val="000000" w:themeColor="text1"/>
        </w:rPr>
        <w:t>.</w:t>
      </w:r>
      <w:r w:rsidR="00B2034B" w:rsidRPr="0083068D">
        <w:rPr>
          <w:rStyle w:val="FootnoteReference"/>
          <w:rFonts w:ascii="Arial" w:hAnsi="Arial" w:cs="Arial"/>
          <w:color w:val="000000" w:themeColor="text1"/>
        </w:rPr>
        <w:footnoteReference w:id="10"/>
      </w:r>
      <w:r w:rsidRPr="0083068D">
        <w:rPr>
          <w:rStyle w:val="apple-converted-space"/>
          <w:rFonts w:ascii="Arial" w:hAnsi="Arial" w:cs="Arial"/>
          <w:color w:val="000000" w:themeColor="text1"/>
        </w:rPr>
        <w:t xml:space="preserve"> </w:t>
      </w:r>
      <w:r w:rsidR="003A32B9" w:rsidRPr="0083068D">
        <w:rPr>
          <w:rStyle w:val="apple-converted-space"/>
          <w:rFonts w:ascii="Arial" w:hAnsi="Arial" w:cs="Arial"/>
          <w:color w:val="000000" w:themeColor="text1"/>
        </w:rPr>
        <w:t xml:space="preserve">This is so since </w:t>
      </w:r>
      <w:r w:rsidR="00C807C5" w:rsidRPr="0083068D">
        <w:rPr>
          <w:rStyle w:val="apple-converted-space"/>
          <w:rFonts w:ascii="Arial" w:hAnsi="Arial" w:cs="Arial"/>
          <w:color w:val="000000" w:themeColor="text1"/>
        </w:rPr>
        <w:t>our law favours a recognition of both constructions of security cession.</w:t>
      </w:r>
      <w:r w:rsidR="00C807C5" w:rsidRPr="0083068D">
        <w:rPr>
          <w:rStyle w:val="FootnoteReference"/>
          <w:rFonts w:ascii="Arial" w:hAnsi="Arial" w:cs="Arial"/>
          <w:color w:val="000000" w:themeColor="text1"/>
        </w:rPr>
        <w:footnoteReference w:id="11"/>
      </w:r>
      <w:r w:rsidR="00C807C5" w:rsidRPr="0083068D">
        <w:rPr>
          <w:rStyle w:val="apple-converted-space"/>
          <w:rFonts w:ascii="Arial" w:hAnsi="Arial" w:cs="Arial"/>
          <w:color w:val="000000" w:themeColor="text1"/>
        </w:rPr>
        <w:t xml:space="preserve"> </w:t>
      </w:r>
      <w:r w:rsidR="004940F3" w:rsidRPr="0083068D">
        <w:rPr>
          <w:rStyle w:val="apple-converted-space"/>
          <w:rFonts w:ascii="Arial" w:hAnsi="Arial" w:cs="Arial"/>
          <w:color w:val="000000" w:themeColor="text1"/>
        </w:rPr>
        <w:t xml:space="preserve">It therefore remains open to the parties to structure a cession either </w:t>
      </w:r>
      <w:r w:rsidR="003A32B9" w:rsidRPr="0083068D">
        <w:rPr>
          <w:rStyle w:val="apple-converted-space"/>
          <w:rFonts w:ascii="Arial" w:hAnsi="Arial" w:cs="Arial"/>
          <w:color w:val="000000" w:themeColor="text1"/>
        </w:rPr>
        <w:t>as a</w:t>
      </w:r>
      <w:r w:rsidR="004940F3" w:rsidRPr="0083068D">
        <w:rPr>
          <w:rStyle w:val="apple-converted-space"/>
          <w:rFonts w:ascii="Arial" w:hAnsi="Arial" w:cs="Arial"/>
          <w:color w:val="000000" w:themeColor="text1"/>
        </w:rPr>
        <w:t xml:space="preserve"> pledge or as </w:t>
      </w:r>
      <w:r w:rsidR="003A32B9" w:rsidRPr="0083068D">
        <w:rPr>
          <w:rStyle w:val="apple-converted-space"/>
          <w:rFonts w:ascii="Arial" w:hAnsi="Arial" w:cs="Arial"/>
          <w:color w:val="000000" w:themeColor="text1"/>
        </w:rPr>
        <w:t xml:space="preserve">an </w:t>
      </w:r>
      <w:r w:rsidR="003A32B9" w:rsidRPr="00AB4300">
        <w:rPr>
          <w:rStyle w:val="apple-converted-space"/>
          <w:rFonts w:ascii="Arial" w:hAnsi="Arial" w:cs="Arial"/>
          <w:color w:val="000000" w:themeColor="text1"/>
        </w:rPr>
        <w:t>out</w:t>
      </w:r>
      <w:r w:rsidR="00AB4300" w:rsidRPr="00AB4300">
        <w:rPr>
          <w:rStyle w:val="apple-converted-space"/>
          <w:rFonts w:ascii="Arial" w:hAnsi="Arial" w:cs="Arial"/>
          <w:color w:val="000000" w:themeColor="text1"/>
        </w:rPr>
        <w:t>-and-out</w:t>
      </w:r>
      <w:r w:rsidR="004940F3" w:rsidRPr="00AB4300">
        <w:rPr>
          <w:rStyle w:val="apple-converted-space"/>
          <w:rFonts w:ascii="Arial" w:hAnsi="Arial" w:cs="Arial"/>
          <w:color w:val="000000" w:themeColor="text1"/>
        </w:rPr>
        <w:t xml:space="preserve"> cession</w:t>
      </w:r>
      <w:r w:rsidR="003A32B9" w:rsidRPr="00AB4300">
        <w:rPr>
          <w:rStyle w:val="apple-converted-space"/>
          <w:rFonts w:ascii="Arial" w:hAnsi="Arial" w:cs="Arial"/>
          <w:color w:val="000000" w:themeColor="text1"/>
        </w:rPr>
        <w:t>,</w:t>
      </w:r>
      <w:r w:rsidR="004940F3" w:rsidRPr="0083068D">
        <w:rPr>
          <w:rStyle w:val="apple-converted-space"/>
          <w:rFonts w:ascii="Arial" w:hAnsi="Arial" w:cs="Arial"/>
          <w:color w:val="000000" w:themeColor="text1"/>
        </w:rPr>
        <w:t xml:space="preserve"> upon which a </w:t>
      </w:r>
      <w:r w:rsidR="004940F3" w:rsidRPr="0083068D">
        <w:rPr>
          <w:rStyle w:val="apple-converted-space"/>
          <w:rFonts w:ascii="Arial" w:hAnsi="Arial" w:cs="Arial"/>
          <w:i/>
          <w:iCs/>
          <w:color w:val="000000" w:themeColor="text1"/>
        </w:rPr>
        <w:t>pactum fiduciae</w:t>
      </w:r>
      <w:r w:rsidR="004940F3" w:rsidRPr="0083068D">
        <w:rPr>
          <w:rStyle w:val="apple-converted-space"/>
          <w:rFonts w:ascii="Arial" w:hAnsi="Arial" w:cs="Arial"/>
          <w:color w:val="000000" w:themeColor="text1"/>
        </w:rPr>
        <w:t xml:space="preserve"> is superimposed</w:t>
      </w:r>
      <w:r w:rsidR="003A32B9" w:rsidRPr="0083068D">
        <w:rPr>
          <w:rStyle w:val="apple-converted-space"/>
          <w:rFonts w:ascii="Arial" w:hAnsi="Arial" w:cs="Arial"/>
          <w:color w:val="000000" w:themeColor="text1"/>
        </w:rPr>
        <w:t>. This is to be</w:t>
      </w:r>
      <w:r w:rsidR="000B02CA" w:rsidRPr="0083068D">
        <w:rPr>
          <w:rStyle w:val="apple-converted-space"/>
          <w:rFonts w:ascii="Arial" w:hAnsi="Arial" w:cs="Arial"/>
          <w:color w:val="000000" w:themeColor="text1"/>
        </w:rPr>
        <w:t xml:space="preserve"> </w:t>
      </w:r>
      <w:r w:rsidR="00AA1D97" w:rsidRPr="0083068D">
        <w:rPr>
          <w:rStyle w:val="apple-converted-space"/>
          <w:rFonts w:ascii="Arial" w:hAnsi="Arial" w:cs="Arial"/>
          <w:color w:val="000000" w:themeColor="text1"/>
        </w:rPr>
        <w:t xml:space="preserve">determined </w:t>
      </w:r>
      <w:r w:rsidR="004940F3" w:rsidRPr="0083068D">
        <w:rPr>
          <w:rStyle w:val="apple-converted-space"/>
          <w:rFonts w:ascii="Arial" w:hAnsi="Arial" w:cs="Arial"/>
          <w:color w:val="000000" w:themeColor="text1"/>
        </w:rPr>
        <w:t>by</w:t>
      </w:r>
      <w:r w:rsidR="00AA1D97" w:rsidRPr="0083068D">
        <w:rPr>
          <w:rStyle w:val="apple-converted-space"/>
          <w:rFonts w:ascii="Arial" w:hAnsi="Arial" w:cs="Arial"/>
          <w:color w:val="000000" w:themeColor="text1"/>
        </w:rPr>
        <w:t xml:space="preserve"> reference to the </w:t>
      </w:r>
      <w:r w:rsidR="004940F3" w:rsidRPr="0083068D">
        <w:rPr>
          <w:rStyle w:val="apple-converted-space"/>
          <w:rFonts w:ascii="Arial" w:hAnsi="Arial" w:cs="Arial"/>
          <w:color w:val="000000" w:themeColor="text1"/>
        </w:rPr>
        <w:t xml:space="preserve">clear </w:t>
      </w:r>
      <w:r w:rsidR="00AA1D97" w:rsidRPr="0083068D">
        <w:rPr>
          <w:rStyle w:val="apple-converted-space"/>
          <w:rFonts w:ascii="Arial" w:hAnsi="Arial" w:cs="Arial"/>
          <w:color w:val="000000" w:themeColor="text1"/>
        </w:rPr>
        <w:t>intention of the parties</w:t>
      </w:r>
      <w:r w:rsidR="004940F3" w:rsidRPr="0083068D">
        <w:rPr>
          <w:rStyle w:val="apple-converted-space"/>
          <w:rFonts w:ascii="Arial" w:hAnsi="Arial" w:cs="Arial"/>
          <w:color w:val="000000" w:themeColor="text1"/>
        </w:rPr>
        <w:t>.</w:t>
      </w:r>
      <w:r w:rsidR="00AA1D97" w:rsidRPr="0083068D">
        <w:rPr>
          <w:rStyle w:val="FootnoteReference"/>
          <w:rFonts w:ascii="Arial" w:hAnsi="Arial" w:cs="Arial"/>
          <w:color w:val="000000" w:themeColor="text1"/>
        </w:rPr>
        <w:footnoteReference w:id="12"/>
      </w:r>
      <w:r w:rsidR="004940F3" w:rsidRPr="0083068D">
        <w:rPr>
          <w:rStyle w:val="apple-converted-space"/>
          <w:rFonts w:ascii="Arial" w:hAnsi="Arial" w:cs="Arial"/>
          <w:color w:val="000000" w:themeColor="text1"/>
        </w:rPr>
        <w:t xml:space="preserve"> </w:t>
      </w:r>
    </w:p>
    <w:p w14:paraId="3E306110" w14:textId="2062BB0F" w:rsidR="00E57120" w:rsidRPr="0083068D" w:rsidRDefault="004940F3" w:rsidP="00192993">
      <w:pPr>
        <w:pStyle w:val="ListParagraph"/>
        <w:numPr>
          <w:ilvl w:val="0"/>
          <w:numId w:val="1"/>
        </w:numPr>
        <w:adjustRightInd w:val="0"/>
        <w:snapToGrid w:val="0"/>
        <w:spacing w:before="240" w:after="240" w:line="360" w:lineRule="auto"/>
        <w:contextualSpacing w:val="0"/>
        <w:jc w:val="both"/>
        <w:rPr>
          <w:rStyle w:val="apple-converted-space"/>
          <w:rFonts w:ascii="Arial" w:hAnsi="Arial" w:cs="Arial"/>
          <w:color w:val="000000" w:themeColor="text1"/>
        </w:rPr>
      </w:pPr>
      <w:r w:rsidRPr="0083068D">
        <w:rPr>
          <w:rStyle w:val="apple-converted-space"/>
          <w:rFonts w:ascii="Arial" w:hAnsi="Arial" w:cs="Arial"/>
          <w:color w:val="000000" w:themeColor="text1"/>
        </w:rPr>
        <w:t xml:space="preserve">The 2014 cession expressly ceded to Engen </w:t>
      </w:r>
      <w:r w:rsidR="003A32B9" w:rsidRPr="0083068D">
        <w:rPr>
          <w:rStyle w:val="apple-converted-space"/>
          <w:rFonts w:ascii="Arial" w:hAnsi="Arial" w:cs="Arial"/>
          <w:color w:val="000000" w:themeColor="text1"/>
        </w:rPr>
        <w:t xml:space="preserve">the </w:t>
      </w:r>
      <w:r w:rsidR="00F96726" w:rsidRPr="0083068D">
        <w:rPr>
          <w:rStyle w:val="apple-converted-space"/>
          <w:rFonts w:ascii="Arial" w:hAnsi="Arial" w:cs="Arial"/>
          <w:color w:val="000000" w:themeColor="text1"/>
        </w:rPr>
        <w:t>debt</w:t>
      </w:r>
      <w:r w:rsidR="003A32B9" w:rsidRPr="0083068D">
        <w:rPr>
          <w:rStyle w:val="apple-converted-space"/>
          <w:rFonts w:ascii="Arial" w:hAnsi="Arial" w:cs="Arial"/>
          <w:color w:val="000000" w:themeColor="text1"/>
        </w:rPr>
        <w:t xml:space="preserve"> as defined, with </w:t>
      </w:r>
      <w:r w:rsidRPr="0083068D">
        <w:rPr>
          <w:rStyle w:val="apple-converted-space"/>
          <w:rFonts w:ascii="Arial" w:hAnsi="Arial" w:cs="Arial"/>
          <w:color w:val="000000" w:themeColor="text1"/>
        </w:rPr>
        <w:t xml:space="preserve">any reversionary rights Windsharp may have to the </w:t>
      </w:r>
      <w:r w:rsidR="00F96726" w:rsidRPr="0083068D">
        <w:rPr>
          <w:rStyle w:val="apple-converted-space"/>
          <w:rFonts w:ascii="Arial" w:hAnsi="Arial" w:cs="Arial"/>
          <w:color w:val="000000" w:themeColor="text1"/>
        </w:rPr>
        <w:t>debt</w:t>
      </w:r>
      <w:r w:rsidRPr="0083068D">
        <w:rPr>
          <w:rStyle w:val="apple-converted-space"/>
          <w:rFonts w:ascii="Arial" w:hAnsi="Arial" w:cs="Arial"/>
          <w:color w:val="000000" w:themeColor="text1"/>
        </w:rPr>
        <w:t xml:space="preserve"> ceded. </w:t>
      </w:r>
      <w:r w:rsidR="00CC3BDA" w:rsidRPr="0083068D">
        <w:rPr>
          <w:rStyle w:val="apple-converted-space"/>
          <w:rFonts w:ascii="Arial" w:hAnsi="Arial" w:cs="Arial"/>
          <w:color w:val="000000" w:themeColor="text1"/>
        </w:rPr>
        <w:t>F</w:t>
      </w:r>
      <w:r w:rsidRPr="0083068D">
        <w:rPr>
          <w:rStyle w:val="apple-converted-space"/>
          <w:rFonts w:ascii="Arial" w:hAnsi="Arial" w:cs="Arial"/>
          <w:color w:val="000000" w:themeColor="text1"/>
        </w:rPr>
        <w:t>rom the wording used</w:t>
      </w:r>
      <w:r w:rsidR="00CC3BDA" w:rsidRPr="0083068D">
        <w:rPr>
          <w:rStyle w:val="apple-converted-space"/>
          <w:rFonts w:ascii="Arial" w:hAnsi="Arial" w:cs="Arial"/>
          <w:color w:val="000000" w:themeColor="text1"/>
        </w:rPr>
        <w:t>, it is clear</w:t>
      </w:r>
      <w:r w:rsidRPr="0083068D">
        <w:rPr>
          <w:rStyle w:val="apple-converted-space"/>
          <w:rFonts w:ascii="Arial" w:hAnsi="Arial" w:cs="Arial"/>
          <w:color w:val="000000" w:themeColor="text1"/>
        </w:rPr>
        <w:t xml:space="preserve"> that the parties</w:t>
      </w:r>
      <w:r w:rsidR="007E11CA" w:rsidRPr="0083068D">
        <w:rPr>
          <w:rStyle w:val="apple-converted-space"/>
          <w:rFonts w:ascii="Arial" w:hAnsi="Arial" w:cs="Arial"/>
          <w:color w:val="000000" w:themeColor="text1"/>
        </w:rPr>
        <w:t>’</w:t>
      </w:r>
      <w:r w:rsidRPr="0083068D">
        <w:rPr>
          <w:rStyle w:val="apple-converted-space"/>
          <w:rFonts w:ascii="Arial" w:hAnsi="Arial" w:cs="Arial"/>
          <w:color w:val="000000" w:themeColor="text1"/>
        </w:rPr>
        <w:t xml:space="preserve"> express</w:t>
      </w:r>
      <w:r w:rsidR="00CC3BDA" w:rsidRPr="0083068D">
        <w:rPr>
          <w:rStyle w:val="apple-converted-space"/>
          <w:rFonts w:ascii="Arial" w:hAnsi="Arial" w:cs="Arial"/>
          <w:color w:val="000000" w:themeColor="text1"/>
        </w:rPr>
        <w:t xml:space="preserve"> intent</w:t>
      </w:r>
      <w:r w:rsidRPr="0083068D">
        <w:rPr>
          <w:rStyle w:val="apple-converted-space"/>
          <w:rFonts w:ascii="Arial" w:hAnsi="Arial" w:cs="Arial"/>
          <w:color w:val="000000" w:themeColor="text1"/>
        </w:rPr>
        <w:t xml:space="preserve"> was to achieve an </w:t>
      </w:r>
      <w:r w:rsidR="003A32B9" w:rsidRPr="00AB4300">
        <w:rPr>
          <w:rStyle w:val="apple-converted-space"/>
          <w:rFonts w:ascii="Arial" w:hAnsi="Arial" w:cs="Arial"/>
          <w:color w:val="000000" w:themeColor="text1"/>
        </w:rPr>
        <w:t>out</w:t>
      </w:r>
      <w:r w:rsidR="00CC3BDA" w:rsidRPr="00AB4300">
        <w:rPr>
          <w:rStyle w:val="apple-converted-space"/>
          <w:rFonts w:ascii="Arial" w:hAnsi="Arial" w:cs="Arial"/>
          <w:color w:val="000000" w:themeColor="text1"/>
        </w:rPr>
        <w:t>-and-out</w:t>
      </w:r>
      <w:r w:rsidR="003A32B9" w:rsidRPr="00AB4300">
        <w:rPr>
          <w:rStyle w:val="apple-converted-space"/>
          <w:rFonts w:ascii="Arial" w:hAnsi="Arial" w:cs="Arial"/>
          <w:color w:val="000000" w:themeColor="text1"/>
        </w:rPr>
        <w:t xml:space="preserve"> </w:t>
      </w:r>
      <w:r w:rsidRPr="00AB4300">
        <w:rPr>
          <w:rStyle w:val="apple-converted-space"/>
          <w:rFonts w:ascii="Arial" w:hAnsi="Arial" w:cs="Arial"/>
          <w:color w:val="000000" w:themeColor="text1"/>
        </w:rPr>
        <w:t>cession</w:t>
      </w:r>
      <w:r w:rsidRPr="0083068D">
        <w:rPr>
          <w:rStyle w:val="apple-converted-space"/>
          <w:rFonts w:ascii="Arial" w:hAnsi="Arial" w:cs="Arial"/>
          <w:color w:val="000000" w:themeColor="text1"/>
        </w:rPr>
        <w:t xml:space="preserve"> on which the </w:t>
      </w:r>
      <w:r w:rsidRPr="0083068D">
        <w:rPr>
          <w:rStyle w:val="apple-converted-space"/>
          <w:rFonts w:ascii="Arial" w:hAnsi="Arial" w:cs="Arial"/>
          <w:i/>
          <w:iCs/>
          <w:color w:val="000000" w:themeColor="text1"/>
        </w:rPr>
        <w:t>pactum fiduciae</w:t>
      </w:r>
      <w:r w:rsidRPr="0083068D">
        <w:rPr>
          <w:rStyle w:val="apple-converted-space"/>
          <w:rFonts w:ascii="Arial" w:hAnsi="Arial" w:cs="Arial"/>
          <w:color w:val="000000" w:themeColor="text1"/>
        </w:rPr>
        <w:t xml:space="preserve"> could</w:t>
      </w:r>
      <w:r w:rsidR="003A32B9" w:rsidRPr="0083068D">
        <w:rPr>
          <w:rStyle w:val="apple-converted-space"/>
          <w:rFonts w:ascii="Arial" w:hAnsi="Arial" w:cs="Arial"/>
          <w:color w:val="000000" w:themeColor="text1"/>
        </w:rPr>
        <w:t>, as a matter of law,</w:t>
      </w:r>
      <w:r w:rsidRPr="0083068D">
        <w:rPr>
          <w:rStyle w:val="apple-converted-space"/>
          <w:rFonts w:ascii="Arial" w:hAnsi="Arial" w:cs="Arial"/>
          <w:color w:val="000000" w:themeColor="text1"/>
        </w:rPr>
        <w:t xml:space="preserve"> be superimposed. </w:t>
      </w:r>
      <w:r w:rsidR="004B38E2" w:rsidRPr="0083068D">
        <w:rPr>
          <w:rStyle w:val="apple-converted-space"/>
          <w:rFonts w:ascii="Arial" w:hAnsi="Arial" w:cs="Arial"/>
          <w:color w:val="000000" w:themeColor="text1"/>
        </w:rPr>
        <w:t>Although</w:t>
      </w:r>
      <w:r w:rsidRPr="0083068D">
        <w:rPr>
          <w:rStyle w:val="apple-converted-space"/>
          <w:rFonts w:ascii="Arial" w:hAnsi="Arial" w:cs="Arial"/>
          <w:color w:val="000000" w:themeColor="text1"/>
        </w:rPr>
        <w:t xml:space="preserve"> Engen</w:t>
      </w:r>
      <w:r w:rsidR="00DF39E3" w:rsidRPr="0083068D">
        <w:rPr>
          <w:rStyle w:val="apple-converted-space"/>
          <w:rFonts w:ascii="Arial" w:hAnsi="Arial" w:cs="Arial"/>
          <w:color w:val="000000" w:themeColor="text1"/>
        </w:rPr>
        <w:t>, as indicated earlier,</w:t>
      </w:r>
      <w:r w:rsidRPr="0083068D">
        <w:rPr>
          <w:rStyle w:val="apple-converted-space"/>
          <w:rFonts w:ascii="Arial" w:hAnsi="Arial" w:cs="Arial"/>
          <w:color w:val="000000" w:themeColor="text1"/>
        </w:rPr>
        <w:t xml:space="preserve"> did not </w:t>
      </w:r>
      <w:r w:rsidR="004B38E2" w:rsidRPr="0083068D">
        <w:rPr>
          <w:rStyle w:val="apple-converted-space"/>
          <w:rFonts w:ascii="Arial" w:hAnsi="Arial" w:cs="Arial"/>
          <w:color w:val="000000" w:themeColor="text1"/>
        </w:rPr>
        <w:t>asser</w:t>
      </w:r>
      <w:r w:rsidR="00F96726" w:rsidRPr="0083068D">
        <w:rPr>
          <w:rStyle w:val="apple-converted-space"/>
          <w:rFonts w:ascii="Arial" w:hAnsi="Arial" w:cs="Arial"/>
          <w:color w:val="000000" w:themeColor="text1"/>
        </w:rPr>
        <w:t>t</w:t>
      </w:r>
      <w:r w:rsidRPr="0083068D">
        <w:rPr>
          <w:rStyle w:val="apple-converted-space"/>
          <w:rFonts w:ascii="Arial" w:hAnsi="Arial" w:cs="Arial"/>
          <w:color w:val="000000" w:themeColor="text1"/>
        </w:rPr>
        <w:t xml:space="preserve"> </w:t>
      </w:r>
      <w:r w:rsidR="00DF39E3" w:rsidRPr="0083068D">
        <w:rPr>
          <w:rStyle w:val="apple-converted-space"/>
          <w:rFonts w:ascii="Arial" w:hAnsi="Arial" w:cs="Arial"/>
          <w:color w:val="000000" w:themeColor="text1"/>
        </w:rPr>
        <w:t>an out-and-out</w:t>
      </w:r>
      <w:r w:rsidRPr="0083068D">
        <w:rPr>
          <w:rStyle w:val="apple-converted-space"/>
          <w:rFonts w:ascii="Arial" w:hAnsi="Arial" w:cs="Arial"/>
          <w:color w:val="000000" w:themeColor="text1"/>
        </w:rPr>
        <w:t xml:space="preserve"> cession with a </w:t>
      </w:r>
      <w:r w:rsidRPr="0083068D">
        <w:rPr>
          <w:rStyle w:val="apple-converted-space"/>
          <w:rFonts w:ascii="Arial" w:hAnsi="Arial" w:cs="Arial"/>
          <w:i/>
          <w:iCs/>
          <w:color w:val="000000" w:themeColor="text1"/>
        </w:rPr>
        <w:t>pactum fiduciae</w:t>
      </w:r>
      <w:r w:rsidR="00DF39E3" w:rsidRPr="0083068D">
        <w:rPr>
          <w:rStyle w:val="apple-converted-space"/>
          <w:rFonts w:ascii="Arial" w:hAnsi="Arial" w:cs="Arial"/>
          <w:i/>
          <w:iCs/>
          <w:color w:val="000000" w:themeColor="text1"/>
        </w:rPr>
        <w:t xml:space="preserve"> </w:t>
      </w:r>
      <w:r w:rsidR="00DF39E3" w:rsidRPr="0083068D">
        <w:rPr>
          <w:rStyle w:val="apple-converted-space"/>
          <w:rFonts w:ascii="Arial" w:hAnsi="Arial" w:cs="Arial"/>
          <w:color w:val="000000" w:themeColor="text1"/>
        </w:rPr>
        <w:t xml:space="preserve">in the high court, it is open for it to do so for the </w:t>
      </w:r>
      <w:r w:rsidRPr="0083068D">
        <w:rPr>
          <w:rStyle w:val="apple-converted-space"/>
          <w:rFonts w:ascii="Arial" w:hAnsi="Arial" w:cs="Arial"/>
          <w:color w:val="000000" w:themeColor="text1"/>
        </w:rPr>
        <w:t>first time on appeal</w:t>
      </w:r>
      <w:r w:rsidR="004C2E70" w:rsidRPr="0083068D">
        <w:rPr>
          <w:rStyle w:val="apple-converted-space"/>
          <w:rFonts w:ascii="Arial" w:hAnsi="Arial" w:cs="Arial"/>
          <w:color w:val="000000" w:themeColor="text1"/>
        </w:rPr>
        <w:t>, s</w:t>
      </w:r>
      <w:r w:rsidRPr="0083068D">
        <w:rPr>
          <w:rStyle w:val="apple-converted-space"/>
          <w:rFonts w:ascii="Arial" w:hAnsi="Arial" w:cs="Arial"/>
          <w:color w:val="000000" w:themeColor="text1"/>
        </w:rPr>
        <w:t xml:space="preserve">ince the correct interpretation of </w:t>
      </w:r>
      <w:r w:rsidR="004C2E70" w:rsidRPr="0083068D">
        <w:rPr>
          <w:rStyle w:val="apple-converted-space"/>
          <w:rFonts w:ascii="Arial" w:hAnsi="Arial" w:cs="Arial"/>
          <w:color w:val="000000" w:themeColor="text1"/>
        </w:rPr>
        <w:t>a</w:t>
      </w:r>
      <w:r w:rsidRPr="0083068D">
        <w:rPr>
          <w:rStyle w:val="apple-converted-space"/>
          <w:rFonts w:ascii="Arial" w:hAnsi="Arial" w:cs="Arial"/>
          <w:color w:val="000000" w:themeColor="text1"/>
        </w:rPr>
        <w:t xml:space="preserve"> cession is a question of law.</w:t>
      </w:r>
      <w:r w:rsidRPr="0083068D">
        <w:rPr>
          <w:rStyle w:val="FootnoteReference"/>
          <w:rFonts w:ascii="Arial" w:hAnsi="Arial" w:cs="Arial"/>
          <w:color w:val="000000" w:themeColor="text1"/>
        </w:rPr>
        <w:footnoteReference w:id="13"/>
      </w:r>
      <w:r w:rsidRPr="0083068D">
        <w:rPr>
          <w:rStyle w:val="apple-converted-space"/>
          <w:rFonts w:ascii="Arial" w:hAnsi="Arial" w:cs="Arial"/>
          <w:color w:val="000000" w:themeColor="text1"/>
        </w:rPr>
        <w:t xml:space="preserve"> </w:t>
      </w:r>
    </w:p>
    <w:p w14:paraId="610875E8" w14:textId="7550B8CE" w:rsidR="00E57120" w:rsidRPr="0083068D" w:rsidRDefault="004940F3" w:rsidP="00192993">
      <w:pPr>
        <w:pStyle w:val="ListParagraph"/>
        <w:numPr>
          <w:ilvl w:val="0"/>
          <w:numId w:val="1"/>
        </w:numPr>
        <w:adjustRightInd w:val="0"/>
        <w:snapToGrid w:val="0"/>
        <w:spacing w:before="240" w:after="240" w:line="360" w:lineRule="auto"/>
        <w:contextualSpacing w:val="0"/>
        <w:jc w:val="both"/>
        <w:rPr>
          <w:rFonts w:ascii="Arial" w:hAnsi="Arial" w:cs="Arial"/>
          <w:color w:val="000000" w:themeColor="text1"/>
        </w:rPr>
      </w:pPr>
      <w:r w:rsidRPr="0083068D">
        <w:rPr>
          <w:rStyle w:val="apple-converted-space"/>
          <w:rFonts w:ascii="Arial" w:hAnsi="Arial" w:cs="Arial"/>
          <w:color w:val="000000" w:themeColor="text1"/>
        </w:rPr>
        <w:t xml:space="preserve">The result </w:t>
      </w:r>
      <w:r w:rsidR="00DF39E3" w:rsidRPr="0083068D">
        <w:rPr>
          <w:rStyle w:val="apple-converted-space"/>
          <w:rFonts w:ascii="Arial" w:hAnsi="Arial" w:cs="Arial"/>
          <w:color w:val="000000" w:themeColor="text1"/>
        </w:rPr>
        <w:t>i</w:t>
      </w:r>
      <w:r w:rsidRPr="0083068D">
        <w:rPr>
          <w:rStyle w:val="apple-converted-space"/>
          <w:rFonts w:ascii="Arial" w:hAnsi="Arial" w:cs="Arial"/>
          <w:color w:val="000000" w:themeColor="text1"/>
        </w:rPr>
        <w:t>s that given th</w:t>
      </w:r>
      <w:r w:rsidR="00DF39E3" w:rsidRPr="0083068D">
        <w:rPr>
          <w:rStyle w:val="apple-converted-space"/>
          <w:rFonts w:ascii="Arial" w:hAnsi="Arial" w:cs="Arial"/>
          <w:color w:val="000000" w:themeColor="text1"/>
        </w:rPr>
        <w:t>at th</w:t>
      </w:r>
      <w:r w:rsidRPr="0083068D">
        <w:rPr>
          <w:rStyle w:val="apple-converted-space"/>
          <w:rFonts w:ascii="Arial" w:hAnsi="Arial" w:cs="Arial"/>
          <w:color w:val="000000" w:themeColor="text1"/>
        </w:rPr>
        <w:t>e 2014 cession</w:t>
      </w:r>
      <w:r w:rsidR="00DF39E3" w:rsidRPr="0083068D">
        <w:rPr>
          <w:rStyle w:val="apple-converted-space"/>
          <w:rFonts w:ascii="Arial" w:hAnsi="Arial" w:cs="Arial"/>
          <w:color w:val="000000" w:themeColor="text1"/>
        </w:rPr>
        <w:t xml:space="preserve"> was an out-and-out cession</w:t>
      </w:r>
      <w:r w:rsidR="00F96726" w:rsidRPr="0083068D">
        <w:rPr>
          <w:rStyle w:val="apple-converted-space"/>
          <w:rFonts w:ascii="Arial" w:hAnsi="Arial" w:cs="Arial"/>
          <w:color w:val="000000" w:themeColor="text1"/>
        </w:rPr>
        <w:t>,</w:t>
      </w:r>
      <w:r w:rsidR="00114224" w:rsidRPr="0083068D">
        <w:rPr>
          <w:rStyle w:val="apple-converted-space"/>
          <w:rFonts w:ascii="Arial" w:hAnsi="Arial" w:cs="Arial"/>
          <w:color w:val="000000" w:themeColor="text1"/>
        </w:rPr>
        <w:t xml:space="preserve"> </w:t>
      </w:r>
      <w:r w:rsidRPr="0083068D">
        <w:rPr>
          <w:rFonts w:ascii="Arial" w:hAnsi="Arial" w:cs="Arial"/>
          <w:color w:val="000000" w:themeColor="text1"/>
        </w:rPr>
        <w:t xml:space="preserve">the </w:t>
      </w:r>
      <w:r w:rsidR="00F96726" w:rsidRPr="0083068D">
        <w:rPr>
          <w:rFonts w:ascii="Arial" w:hAnsi="Arial" w:cs="Arial"/>
          <w:color w:val="000000" w:themeColor="text1"/>
        </w:rPr>
        <w:t>debt</w:t>
      </w:r>
      <w:r w:rsidRPr="0083068D">
        <w:rPr>
          <w:rFonts w:ascii="Arial" w:hAnsi="Arial" w:cs="Arial"/>
          <w:color w:val="000000" w:themeColor="text1"/>
        </w:rPr>
        <w:t xml:space="preserve"> ceded by Win</w:t>
      </w:r>
      <w:r w:rsidR="007E11CA" w:rsidRPr="0083068D">
        <w:rPr>
          <w:rFonts w:ascii="Arial" w:hAnsi="Arial" w:cs="Arial"/>
          <w:color w:val="000000" w:themeColor="text1"/>
        </w:rPr>
        <w:t>d</w:t>
      </w:r>
      <w:r w:rsidRPr="0083068D">
        <w:rPr>
          <w:rFonts w:ascii="Arial" w:hAnsi="Arial" w:cs="Arial"/>
          <w:color w:val="000000" w:themeColor="text1"/>
        </w:rPr>
        <w:t>sharp was an asset in the estate of Engen.</w:t>
      </w:r>
      <w:r w:rsidRPr="0083068D">
        <w:rPr>
          <w:rStyle w:val="FootnoteReference"/>
          <w:rFonts w:ascii="Arial" w:hAnsi="Arial" w:cs="Arial"/>
          <w:color w:val="000000" w:themeColor="text1"/>
        </w:rPr>
        <w:footnoteReference w:id="14"/>
      </w:r>
      <w:r w:rsidRPr="0083068D">
        <w:rPr>
          <w:rFonts w:ascii="Arial" w:hAnsi="Arial" w:cs="Arial"/>
          <w:color w:val="000000" w:themeColor="text1"/>
        </w:rPr>
        <w:t xml:space="preserve"> Windsharp held no right to receive payment from Flotank of the principal debt ceded to Engen but </w:t>
      </w:r>
      <w:r w:rsidR="00A007E2" w:rsidRPr="0083068D">
        <w:rPr>
          <w:rStyle w:val="apple-converted-space"/>
          <w:rFonts w:ascii="Arial" w:hAnsi="Arial" w:cs="Arial"/>
          <w:color w:val="000000" w:themeColor="text1"/>
        </w:rPr>
        <w:t>retain</w:t>
      </w:r>
      <w:r w:rsidRPr="0083068D">
        <w:rPr>
          <w:rStyle w:val="apple-converted-space"/>
          <w:rFonts w:ascii="Arial" w:hAnsi="Arial" w:cs="Arial"/>
          <w:color w:val="000000" w:themeColor="text1"/>
        </w:rPr>
        <w:t>ed</w:t>
      </w:r>
      <w:r w:rsidR="00F6189B" w:rsidRPr="0083068D">
        <w:rPr>
          <w:rStyle w:val="apple-converted-space"/>
          <w:rFonts w:ascii="Arial" w:hAnsi="Arial" w:cs="Arial"/>
          <w:color w:val="000000" w:themeColor="text1"/>
        </w:rPr>
        <w:t xml:space="preserve"> a claim </w:t>
      </w:r>
      <w:r w:rsidRPr="0083068D">
        <w:rPr>
          <w:rStyle w:val="apple-converted-space"/>
          <w:rFonts w:ascii="Arial" w:hAnsi="Arial" w:cs="Arial"/>
          <w:color w:val="000000" w:themeColor="text1"/>
        </w:rPr>
        <w:t xml:space="preserve">by virtue of the </w:t>
      </w:r>
      <w:r w:rsidRPr="0083068D">
        <w:rPr>
          <w:rStyle w:val="apple-converted-space"/>
          <w:rFonts w:ascii="Arial" w:hAnsi="Arial" w:cs="Arial"/>
          <w:i/>
          <w:iCs/>
          <w:color w:val="000000" w:themeColor="text1"/>
        </w:rPr>
        <w:t>pactum fiduciae</w:t>
      </w:r>
      <w:r w:rsidRPr="0083068D">
        <w:rPr>
          <w:rStyle w:val="apple-converted-space"/>
          <w:rFonts w:ascii="Arial" w:hAnsi="Arial" w:cs="Arial"/>
          <w:color w:val="000000" w:themeColor="text1"/>
        </w:rPr>
        <w:t xml:space="preserve"> </w:t>
      </w:r>
      <w:r w:rsidR="00F6189B" w:rsidRPr="0083068D">
        <w:rPr>
          <w:rStyle w:val="apple-converted-space"/>
          <w:rFonts w:ascii="Arial" w:hAnsi="Arial" w:cs="Arial"/>
          <w:color w:val="000000" w:themeColor="text1"/>
        </w:rPr>
        <w:t>to re-ce</w:t>
      </w:r>
      <w:r w:rsidR="00A92B0E" w:rsidRPr="0083068D">
        <w:rPr>
          <w:rStyle w:val="apple-converted-space"/>
          <w:rFonts w:ascii="Arial" w:hAnsi="Arial" w:cs="Arial"/>
          <w:color w:val="000000" w:themeColor="text1"/>
        </w:rPr>
        <w:t>de</w:t>
      </w:r>
      <w:r w:rsidR="00F6189B" w:rsidRPr="0083068D">
        <w:rPr>
          <w:rStyle w:val="apple-converted-space"/>
          <w:rFonts w:ascii="Arial" w:hAnsi="Arial" w:cs="Arial"/>
          <w:color w:val="000000" w:themeColor="text1"/>
        </w:rPr>
        <w:t xml:space="preserve"> </w:t>
      </w:r>
      <w:r w:rsidR="004D454E" w:rsidRPr="0083068D">
        <w:rPr>
          <w:rFonts w:ascii="Arial" w:hAnsi="Arial" w:cs="Arial"/>
          <w:color w:val="000000" w:themeColor="text1"/>
        </w:rPr>
        <w:t xml:space="preserve">once </w:t>
      </w:r>
      <w:r w:rsidR="005865D9" w:rsidRPr="0083068D">
        <w:rPr>
          <w:rFonts w:ascii="Arial" w:hAnsi="Arial" w:cs="Arial"/>
          <w:color w:val="000000" w:themeColor="text1"/>
        </w:rPr>
        <w:t>that</w:t>
      </w:r>
      <w:r w:rsidR="004D454E" w:rsidRPr="0083068D">
        <w:rPr>
          <w:rFonts w:ascii="Arial" w:hAnsi="Arial" w:cs="Arial"/>
          <w:color w:val="000000" w:themeColor="text1"/>
        </w:rPr>
        <w:t xml:space="preserve"> debt </w:t>
      </w:r>
      <w:r w:rsidR="00F6189B" w:rsidRPr="0083068D">
        <w:rPr>
          <w:rFonts w:ascii="Arial" w:hAnsi="Arial" w:cs="Arial"/>
          <w:color w:val="000000" w:themeColor="text1"/>
        </w:rPr>
        <w:t>w</w:t>
      </w:r>
      <w:r w:rsidR="004D454E" w:rsidRPr="0083068D">
        <w:rPr>
          <w:rFonts w:ascii="Arial" w:hAnsi="Arial" w:cs="Arial"/>
          <w:color w:val="000000" w:themeColor="text1"/>
        </w:rPr>
        <w:t>as discharged</w:t>
      </w:r>
      <w:r w:rsidRPr="0083068D">
        <w:rPr>
          <w:rFonts w:ascii="Arial" w:hAnsi="Arial" w:cs="Arial"/>
          <w:color w:val="000000" w:themeColor="text1"/>
        </w:rPr>
        <w:t>. It follo</w:t>
      </w:r>
      <w:r w:rsidR="00DF39E3" w:rsidRPr="0083068D">
        <w:rPr>
          <w:rFonts w:ascii="Arial" w:hAnsi="Arial" w:cs="Arial"/>
          <w:color w:val="000000" w:themeColor="text1"/>
        </w:rPr>
        <w:t>ws</w:t>
      </w:r>
      <w:r w:rsidRPr="0083068D">
        <w:rPr>
          <w:rFonts w:ascii="Arial" w:hAnsi="Arial" w:cs="Arial"/>
          <w:color w:val="000000" w:themeColor="text1"/>
        </w:rPr>
        <w:t xml:space="preserve"> that </w:t>
      </w:r>
      <w:r w:rsidR="0005656D" w:rsidRPr="0083068D">
        <w:rPr>
          <w:rFonts w:ascii="Arial" w:hAnsi="Arial" w:cs="Arial"/>
          <w:color w:val="000000" w:themeColor="text1"/>
        </w:rPr>
        <w:t xml:space="preserve">Flotank was obliged, on receipt of notice </w:t>
      </w:r>
      <w:r w:rsidRPr="0083068D">
        <w:rPr>
          <w:rFonts w:ascii="Arial" w:hAnsi="Arial" w:cs="Arial"/>
          <w:color w:val="000000" w:themeColor="text1"/>
        </w:rPr>
        <w:t>of</w:t>
      </w:r>
      <w:r w:rsidR="00A14081" w:rsidRPr="0083068D">
        <w:rPr>
          <w:rFonts w:ascii="Arial" w:hAnsi="Arial" w:cs="Arial"/>
          <w:color w:val="000000" w:themeColor="text1"/>
        </w:rPr>
        <w:t xml:space="preserve"> the cession, to make </w:t>
      </w:r>
      <w:r w:rsidR="002E4E87" w:rsidRPr="0083068D">
        <w:rPr>
          <w:rFonts w:ascii="Arial" w:hAnsi="Arial" w:cs="Arial"/>
          <w:color w:val="000000" w:themeColor="text1"/>
        </w:rPr>
        <w:t xml:space="preserve">payments </w:t>
      </w:r>
      <w:r w:rsidR="008C24CD" w:rsidRPr="0083068D">
        <w:rPr>
          <w:rFonts w:ascii="Arial" w:hAnsi="Arial" w:cs="Arial"/>
          <w:color w:val="000000" w:themeColor="text1"/>
        </w:rPr>
        <w:t xml:space="preserve">to </w:t>
      </w:r>
      <w:r w:rsidR="002B09C9" w:rsidRPr="0083068D">
        <w:rPr>
          <w:rFonts w:ascii="Arial" w:hAnsi="Arial" w:cs="Arial"/>
          <w:color w:val="000000" w:themeColor="text1"/>
        </w:rPr>
        <w:t>Engen</w:t>
      </w:r>
      <w:r w:rsidR="00102BC2" w:rsidRPr="0083068D">
        <w:rPr>
          <w:rFonts w:ascii="Arial" w:hAnsi="Arial" w:cs="Arial"/>
          <w:color w:val="000000" w:themeColor="text1"/>
        </w:rPr>
        <w:t xml:space="preserve"> and not to Windsharp</w:t>
      </w:r>
      <w:r w:rsidR="0090040A" w:rsidRPr="0083068D">
        <w:rPr>
          <w:rFonts w:ascii="Arial" w:hAnsi="Arial" w:cs="Arial"/>
          <w:color w:val="000000" w:themeColor="text1"/>
        </w:rPr>
        <w:t>.</w:t>
      </w:r>
      <w:r w:rsidR="009E3C17" w:rsidRPr="0083068D">
        <w:rPr>
          <w:rFonts w:ascii="Arial" w:hAnsi="Arial" w:cs="Arial"/>
          <w:color w:val="000000" w:themeColor="text1"/>
        </w:rPr>
        <w:t xml:space="preserve"> In finding differently the high court erred. </w:t>
      </w:r>
    </w:p>
    <w:p w14:paraId="4BF634BD" w14:textId="23955825" w:rsidR="00E01637" w:rsidRPr="0083068D" w:rsidRDefault="00102BC2" w:rsidP="00192993">
      <w:pPr>
        <w:pStyle w:val="ListParagraph"/>
        <w:numPr>
          <w:ilvl w:val="0"/>
          <w:numId w:val="1"/>
        </w:numPr>
        <w:adjustRightInd w:val="0"/>
        <w:snapToGrid w:val="0"/>
        <w:spacing w:before="240" w:after="240" w:line="360" w:lineRule="auto"/>
        <w:contextualSpacing w:val="0"/>
        <w:jc w:val="both"/>
        <w:rPr>
          <w:rFonts w:ascii="Arial" w:hAnsi="Arial" w:cs="Arial"/>
          <w:color w:val="000000" w:themeColor="text1"/>
        </w:rPr>
      </w:pPr>
      <w:r w:rsidRPr="0083068D">
        <w:rPr>
          <w:rStyle w:val="apple-converted-space"/>
          <w:rFonts w:ascii="Arial" w:hAnsi="Arial" w:cs="Arial"/>
          <w:color w:val="000000" w:themeColor="text1"/>
        </w:rPr>
        <w:t xml:space="preserve">It follows </w:t>
      </w:r>
      <w:r w:rsidR="0068087E" w:rsidRPr="0083068D">
        <w:rPr>
          <w:rStyle w:val="apple-converted-space"/>
          <w:rFonts w:ascii="Arial" w:hAnsi="Arial" w:cs="Arial"/>
          <w:color w:val="000000" w:themeColor="text1"/>
        </w:rPr>
        <w:t xml:space="preserve">for these reasons </w:t>
      </w:r>
      <w:r w:rsidRPr="0083068D">
        <w:rPr>
          <w:rStyle w:val="apple-converted-space"/>
          <w:rFonts w:ascii="Arial" w:hAnsi="Arial" w:cs="Arial"/>
          <w:color w:val="000000" w:themeColor="text1"/>
        </w:rPr>
        <w:t>that</w:t>
      </w:r>
      <w:r w:rsidR="00A14081" w:rsidRPr="0083068D">
        <w:rPr>
          <w:rStyle w:val="apple-converted-space"/>
          <w:rFonts w:ascii="Arial" w:hAnsi="Arial" w:cs="Arial"/>
          <w:color w:val="000000" w:themeColor="text1"/>
        </w:rPr>
        <w:t xml:space="preserve"> t</w:t>
      </w:r>
      <w:r w:rsidR="005A01E7" w:rsidRPr="0083068D">
        <w:rPr>
          <w:rFonts w:ascii="Arial" w:hAnsi="Arial" w:cs="Arial"/>
          <w:color w:val="000000" w:themeColor="text1"/>
        </w:rPr>
        <w:t xml:space="preserve">he appeal </w:t>
      </w:r>
      <w:r w:rsidR="00A14081" w:rsidRPr="0083068D">
        <w:rPr>
          <w:rFonts w:ascii="Arial" w:hAnsi="Arial" w:cs="Arial"/>
          <w:color w:val="000000" w:themeColor="text1"/>
        </w:rPr>
        <w:t xml:space="preserve">must </w:t>
      </w:r>
      <w:r w:rsidR="005A01E7" w:rsidRPr="0083068D">
        <w:rPr>
          <w:rFonts w:ascii="Arial" w:hAnsi="Arial" w:cs="Arial"/>
          <w:color w:val="000000" w:themeColor="text1"/>
        </w:rPr>
        <w:t>succeed</w:t>
      </w:r>
      <w:r w:rsidR="00997C55" w:rsidRPr="0083068D">
        <w:rPr>
          <w:rFonts w:ascii="Arial" w:hAnsi="Arial" w:cs="Arial"/>
          <w:color w:val="000000" w:themeColor="text1"/>
        </w:rPr>
        <w:t xml:space="preserve"> </w:t>
      </w:r>
      <w:r w:rsidR="005A01E7" w:rsidRPr="0083068D">
        <w:rPr>
          <w:rFonts w:ascii="Arial" w:hAnsi="Arial" w:cs="Arial"/>
          <w:color w:val="000000" w:themeColor="text1"/>
        </w:rPr>
        <w:t xml:space="preserve">with costs. </w:t>
      </w:r>
    </w:p>
    <w:p w14:paraId="6DEBBF88" w14:textId="77777777" w:rsidR="0083068D" w:rsidRDefault="0083068D" w:rsidP="00192993">
      <w:pPr>
        <w:pStyle w:val="ListParagraph"/>
        <w:adjustRightInd w:val="0"/>
        <w:snapToGrid w:val="0"/>
        <w:spacing w:before="120" w:after="120" w:line="360" w:lineRule="auto"/>
        <w:ind w:left="0"/>
        <w:contextualSpacing w:val="0"/>
        <w:jc w:val="both"/>
        <w:rPr>
          <w:rFonts w:ascii="Arial" w:hAnsi="Arial" w:cs="Arial"/>
          <w:b/>
          <w:bCs/>
          <w:color w:val="000000" w:themeColor="text1"/>
          <w:lang w:val="en-US"/>
        </w:rPr>
      </w:pPr>
    </w:p>
    <w:p w14:paraId="1548C44D" w14:textId="05C4E758" w:rsidR="00CF788B" w:rsidRPr="0083068D" w:rsidRDefault="00B53B88" w:rsidP="00192993">
      <w:pPr>
        <w:pStyle w:val="ListParagraph"/>
        <w:adjustRightInd w:val="0"/>
        <w:snapToGrid w:val="0"/>
        <w:spacing w:before="120" w:after="120" w:line="360" w:lineRule="auto"/>
        <w:ind w:left="0"/>
        <w:contextualSpacing w:val="0"/>
        <w:jc w:val="both"/>
        <w:rPr>
          <w:rFonts w:ascii="Arial" w:hAnsi="Arial" w:cs="Arial"/>
          <w:color w:val="000000" w:themeColor="text1"/>
        </w:rPr>
      </w:pPr>
      <w:r w:rsidRPr="0083068D">
        <w:rPr>
          <w:rFonts w:ascii="Arial" w:hAnsi="Arial" w:cs="Arial"/>
          <w:b/>
          <w:bCs/>
          <w:color w:val="000000" w:themeColor="text1"/>
          <w:lang w:val="en-US"/>
        </w:rPr>
        <w:lastRenderedPageBreak/>
        <w:t>Order</w:t>
      </w:r>
    </w:p>
    <w:p w14:paraId="6BF2C6E5" w14:textId="1340779D" w:rsidR="00B53B88" w:rsidRPr="0083068D" w:rsidRDefault="00FC091D" w:rsidP="00192993">
      <w:pPr>
        <w:pStyle w:val="ListParagraph"/>
        <w:numPr>
          <w:ilvl w:val="0"/>
          <w:numId w:val="1"/>
        </w:numPr>
        <w:adjustRightInd w:val="0"/>
        <w:snapToGrid w:val="0"/>
        <w:spacing w:before="120" w:after="120" w:line="360" w:lineRule="auto"/>
        <w:contextualSpacing w:val="0"/>
        <w:jc w:val="both"/>
        <w:rPr>
          <w:rFonts w:ascii="Arial" w:hAnsi="Arial" w:cs="Arial"/>
          <w:color w:val="000000" w:themeColor="text1"/>
          <w:lang w:val="en-ZA" w:eastAsia="en-GB"/>
        </w:rPr>
      </w:pPr>
      <w:r w:rsidRPr="0083068D">
        <w:rPr>
          <w:rFonts w:ascii="Arial" w:hAnsi="Arial" w:cs="Arial"/>
          <w:color w:val="000000" w:themeColor="text1"/>
        </w:rPr>
        <w:t>T</w:t>
      </w:r>
      <w:r w:rsidR="00B53B88" w:rsidRPr="0083068D">
        <w:rPr>
          <w:rFonts w:ascii="Arial" w:hAnsi="Arial" w:cs="Arial"/>
          <w:color w:val="000000" w:themeColor="text1"/>
        </w:rPr>
        <w:t>he following order is made:</w:t>
      </w:r>
    </w:p>
    <w:p w14:paraId="7AC618A1" w14:textId="77777777" w:rsidR="00936E1C" w:rsidRPr="0083068D" w:rsidRDefault="00936E1C" w:rsidP="00192993">
      <w:pPr>
        <w:pStyle w:val="ListParagraph"/>
        <w:numPr>
          <w:ilvl w:val="0"/>
          <w:numId w:val="13"/>
        </w:numPr>
        <w:adjustRightInd w:val="0"/>
        <w:snapToGrid w:val="0"/>
        <w:spacing w:before="120" w:after="120" w:line="360" w:lineRule="auto"/>
        <w:contextualSpacing w:val="0"/>
        <w:jc w:val="both"/>
        <w:rPr>
          <w:rFonts w:ascii="Arial" w:hAnsi="Arial" w:cs="Arial"/>
          <w:bCs/>
          <w:color w:val="000000" w:themeColor="text1"/>
        </w:rPr>
      </w:pPr>
      <w:r w:rsidRPr="0083068D">
        <w:rPr>
          <w:rFonts w:ascii="Arial" w:hAnsi="Arial" w:cs="Arial"/>
          <w:bCs/>
          <w:color w:val="000000" w:themeColor="text1"/>
        </w:rPr>
        <w:t>Leave to appeal is granted.</w:t>
      </w:r>
    </w:p>
    <w:p w14:paraId="22D3CD5D" w14:textId="77777777" w:rsidR="00936E1C" w:rsidRPr="0083068D" w:rsidRDefault="00936E1C" w:rsidP="00192993">
      <w:pPr>
        <w:pStyle w:val="ListParagraph"/>
        <w:numPr>
          <w:ilvl w:val="0"/>
          <w:numId w:val="13"/>
        </w:numPr>
        <w:adjustRightInd w:val="0"/>
        <w:snapToGrid w:val="0"/>
        <w:spacing w:before="120" w:after="120" w:line="360" w:lineRule="auto"/>
        <w:contextualSpacing w:val="0"/>
        <w:jc w:val="both"/>
        <w:rPr>
          <w:rFonts w:ascii="Arial" w:hAnsi="Arial" w:cs="Arial"/>
          <w:bCs/>
          <w:color w:val="000000" w:themeColor="text1"/>
        </w:rPr>
      </w:pPr>
      <w:r w:rsidRPr="0083068D">
        <w:rPr>
          <w:rFonts w:ascii="Arial" w:hAnsi="Arial" w:cs="Arial"/>
          <w:bCs/>
          <w:color w:val="000000" w:themeColor="text1"/>
        </w:rPr>
        <w:t>The appeal is upheld with costs.</w:t>
      </w:r>
    </w:p>
    <w:p w14:paraId="674A6D49" w14:textId="1CB9DA26" w:rsidR="00936E1C" w:rsidRPr="0083068D" w:rsidRDefault="00936E1C" w:rsidP="00192993">
      <w:pPr>
        <w:pStyle w:val="ListParagraph"/>
        <w:numPr>
          <w:ilvl w:val="0"/>
          <w:numId w:val="13"/>
        </w:numPr>
        <w:adjustRightInd w:val="0"/>
        <w:snapToGrid w:val="0"/>
        <w:spacing w:before="120" w:after="120" w:line="360" w:lineRule="auto"/>
        <w:contextualSpacing w:val="0"/>
        <w:jc w:val="both"/>
        <w:rPr>
          <w:rFonts w:ascii="Arial" w:hAnsi="Arial" w:cs="Arial"/>
          <w:bCs/>
          <w:color w:val="000000" w:themeColor="text1"/>
        </w:rPr>
      </w:pPr>
      <w:r w:rsidRPr="0083068D">
        <w:rPr>
          <w:rFonts w:ascii="Arial" w:hAnsi="Arial" w:cs="Arial"/>
          <w:color w:val="000000" w:themeColor="text1"/>
        </w:rPr>
        <w:t>The order of the high court is set aside and replaced as follows:</w:t>
      </w:r>
    </w:p>
    <w:p w14:paraId="4392500F" w14:textId="77777777" w:rsidR="00936E1C" w:rsidRPr="0083068D" w:rsidRDefault="00936E1C" w:rsidP="00192993">
      <w:pPr>
        <w:adjustRightInd w:val="0"/>
        <w:snapToGrid w:val="0"/>
        <w:spacing w:before="120" w:after="120" w:line="360" w:lineRule="auto"/>
        <w:ind w:firstLine="720"/>
        <w:jc w:val="both"/>
        <w:rPr>
          <w:rFonts w:ascii="Arial" w:hAnsi="Arial" w:cs="Arial"/>
          <w:color w:val="000000" w:themeColor="text1"/>
        </w:rPr>
      </w:pPr>
      <w:r w:rsidRPr="0083068D">
        <w:rPr>
          <w:rFonts w:ascii="Arial" w:hAnsi="Arial" w:cs="Arial"/>
          <w:color w:val="000000" w:themeColor="text1"/>
        </w:rPr>
        <w:t>‘1. The respondent is to pay to the applicant the following amounts:</w:t>
      </w:r>
    </w:p>
    <w:p w14:paraId="4EBBDEB5" w14:textId="692DF4FB" w:rsidR="00936E1C" w:rsidRPr="0083068D" w:rsidRDefault="00936E1C" w:rsidP="00192993">
      <w:pPr>
        <w:pStyle w:val="ListParagraph"/>
        <w:numPr>
          <w:ilvl w:val="1"/>
          <w:numId w:val="15"/>
        </w:numPr>
        <w:adjustRightInd w:val="0"/>
        <w:snapToGrid w:val="0"/>
        <w:spacing w:before="120" w:after="120" w:line="360" w:lineRule="auto"/>
        <w:ind w:left="2160" w:hanging="720"/>
        <w:contextualSpacing w:val="0"/>
        <w:jc w:val="both"/>
        <w:rPr>
          <w:rFonts w:ascii="Arial" w:hAnsi="Arial" w:cs="Arial"/>
          <w:color w:val="000000" w:themeColor="text1"/>
        </w:rPr>
      </w:pPr>
      <w:r w:rsidRPr="0083068D">
        <w:rPr>
          <w:rFonts w:ascii="Arial" w:hAnsi="Arial" w:cs="Arial"/>
          <w:color w:val="000000" w:themeColor="text1"/>
        </w:rPr>
        <w:t>R342 389.38 with interest thereon at the legal rate from 12 December 2014 to date of payment, both days inclusive;</w:t>
      </w:r>
    </w:p>
    <w:p w14:paraId="7C47D855" w14:textId="231C272A" w:rsidR="00936E1C" w:rsidRPr="0083068D" w:rsidRDefault="00936E1C" w:rsidP="00192993">
      <w:pPr>
        <w:pStyle w:val="ListParagraph"/>
        <w:numPr>
          <w:ilvl w:val="1"/>
          <w:numId w:val="15"/>
        </w:numPr>
        <w:adjustRightInd w:val="0"/>
        <w:snapToGrid w:val="0"/>
        <w:spacing w:before="120" w:after="120" w:line="360" w:lineRule="auto"/>
        <w:ind w:left="2160" w:hanging="720"/>
        <w:contextualSpacing w:val="0"/>
        <w:jc w:val="both"/>
        <w:rPr>
          <w:rFonts w:ascii="Arial" w:hAnsi="Arial" w:cs="Arial"/>
          <w:color w:val="000000" w:themeColor="text1"/>
        </w:rPr>
      </w:pPr>
      <w:r w:rsidRPr="0083068D">
        <w:rPr>
          <w:rFonts w:ascii="Arial" w:hAnsi="Arial" w:cs="Arial"/>
          <w:color w:val="000000" w:themeColor="text1"/>
        </w:rPr>
        <w:t>R344 239.14 with interest thereon at the legal rate from 19 December 2014 to date of payment, both days inclusive;</w:t>
      </w:r>
    </w:p>
    <w:p w14:paraId="6B432AF7" w14:textId="77777777" w:rsidR="00936E1C" w:rsidRPr="0083068D" w:rsidRDefault="00936E1C" w:rsidP="00192993">
      <w:pPr>
        <w:pStyle w:val="ListParagraph"/>
        <w:numPr>
          <w:ilvl w:val="1"/>
          <w:numId w:val="15"/>
        </w:numPr>
        <w:adjustRightInd w:val="0"/>
        <w:snapToGrid w:val="0"/>
        <w:spacing w:before="120" w:after="120" w:line="360" w:lineRule="auto"/>
        <w:ind w:left="2160" w:hanging="743"/>
        <w:contextualSpacing w:val="0"/>
        <w:jc w:val="both"/>
        <w:rPr>
          <w:rFonts w:ascii="Arial" w:hAnsi="Arial" w:cs="Arial"/>
          <w:color w:val="000000" w:themeColor="text1"/>
        </w:rPr>
      </w:pPr>
      <w:r w:rsidRPr="0083068D">
        <w:rPr>
          <w:rFonts w:ascii="Arial" w:hAnsi="Arial" w:cs="Arial"/>
          <w:color w:val="000000" w:themeColor="text1"/>
        </w:rPr>
        <w:t>R152 817.80 with interest thereon at the legal rate from 22 December 2014 to date of payment, both days inclusive;</w:t>
      </w:r>
    </w:p>
    <w:p w14:paraId="0AD429C3" w14:textId="77777777" w:rsidR="00936E1C" w:rsidRPr="0083068D" w:rsidRDefault="00936E1C" w:rsidP="00192993">
      <w:pPr>
        <w:pStyle w:val="ListParagraph"/>
        <w:numPr>
          <w:ilvl w:val="1"/>
          <w:numId w:val="15"/>
        </w:numPr>
        <w:adjustRightInd w:val="0"/>
        <w:snapToGrid w:val="0"/>
        <w:spacing w:before="120" w:after="120" w:line="360" w:lineRule="auto"/>
        <w:ind w:left="2160" w:hanging="743"/>
        <w:contextualSpacing w:val="0"/>
        <w:jc w:val="both"/>
        <w:rPr>
          <w:rFonts w:ascii="Arial" w:hAnsi="Arial" w:cs="Arial"/>
          <w:color w:val="000000" w:themeColor="text1"/>
        </w:rPr>
      </w:pPr>
      <w:r w:rsidRPr="0083068D">
        <w:rPr>
          <w:rFonts w:ascii="Arial" w:hAnsi="Arial" w:cs="Arial"/>
          <w:color w:val="000000" w:themeColor="text1"/>
        </w:rPr>
        <w:t>R313 137.14 with interest thereon at the legal rate from 24 December 2014 to date of payment, both days inclusive;</w:t>
      </w:r>
    </w:p>
    <w:p w14:paraId="0852E434" w14:textId="77777777" w:rsidR="00936E1C" w:rsidRPr="0083068D" w:rsidRDefault="00936E1C" w:rsidP="00192993">
      <w:pPr>
        <w:pStyle w:val="ListParagraph"/>
        <w:numPr>
          <w:ilvl w:val="1"/>
          <w:numId w:val="15"/>
        </w:numPr>
        <w:adjustRightInd w:val="0"/>
        <w:snapToGrid w:val="0"/>
        <w:spacing w:before="120" w:after="120" w:line="360" w:lineRule="auto"/>
        <w:ind w:left="2160" w:hanging="743"/>
        <w:contextualSpacing w:val="0"/>
        <w:jc w:val="both"/>
        <w:rPr>
          <w:rFonts w:ascii="Arial" w:hAnsi="Arial" w:cs="Arial"/>
          <w:color w:val="000000" w:themeColor="text1"/>
        </w:rPr>
      </w:pPr>
      <w:r w:rsidRPr="0083068D">
        <w:rPr>
          <w:rFonts w:ascii="Arial" w:hAnsi="Arial" w:cs="Arial"/>
          <w:color w:val="000000" w:themeColor="text1"/>
        </w:rPr>
        <w:t>R339 052.39 with interest thereon at the legal rate from 2 January 2015 to date of payment, both days inclusive;</w:t>
      </w:r>
    </w:p>
    <w:p w14:paraId="6F094181" w14:textId="77777777" w:rsidR="00936E1C" w:rsidRPr="0083068D" w:rsidRDefault="00936E1C" w:rsidP="00192993">
      <w:pPr>
        <w:pStyle w:val="ListParagraph"/>
        <w:numPr>
          <w:ilvl w:val="1"/>
          <w:numId w:val="15"/>
        </w:numPr>
        <w:adjustRightInd w:val="0"/>
        <w:snapToGrid w:val="0"/>
        <w:spacing w:before="120" w:after="120" w:line="360" w:lineRule="auto"/>
        <w:ind w:left="2160" w:hanging="743"/>
        <w:contextualSpacing w:val="0"/>
        <w:jc w:val="both"/>
        <w:rPr>
          <w:rFonts w:ascii="Arial" w:hAnsi="Arial" w:cs="Arial"/>
          <w:color w:val="000000" w:themeColor="text1"/>
        </w:rPr>
      </w:pPr>
      <w:r w:rsidRPr="0083068D">
        <w:rPr>
          <w:rFonts w:ascii="Arial" w:hAnsi="Arial" w:cs="Arial"/>
          <w:color w:val="000000" w:themeColor="text1"/>
        </w:rPr>
        <w:t>R198 613.68 with interest thereon at the legal rate from 9 January 2015 to date of payment, both days inclusive;</w:t>
      </w:r>
    </w:p>
    <w:p w14:paraId="5122EEEB" w14:textId="77777777" w:rsidR="00936E1C" w:rsidRPr="0083068D" w:rsidRDefault="00936E1C" w:rsidP="00192993">
      <w:pPr>
        <w:pStyle w:val="ListParagraph"/>
        <w:numPr>
          <w:ilvl w:val="1"/>
          <w:numId w:val="15"/>
        </w:numPr>
        <w:adjustRightInd w:val="0"/>
        <w:snapToGrid w:val="0"/>
        <w:spacing w:before="120" w:after="120" w:line="360" w:lineRule="auto"/>
        <w:ind w:left="2160" w:hanging="743"/>
        <w:contextualSpacing w:val="0"/>
        <w:jc w:val="both"/>
        <w:rPr>
          <w:rFonts w:ascii="Arial" w:hAnsi="Arial" w:cs="Arial"/>
          <w:color w:val="000000" w:themeColor="text1"/>
        </w:rPr>
      </w:pPr>
      <w:r w:rsidRPr="0083068D">
        <w:rPr>
          <w:rFonts w:ascii="Arial" w:hAnsi="Arial" w:cs="Arial"/>
          <w:color w:val="000000" w:themeColor="text1"/>
        </w:rPr>
        <w:t>R230 571.36 with interest thereon at the legal rate from 16 January 2015 to date of payment, both days inclusive;</w:t>
      </w:r>
    </w:p>
    <w:p w14:paraId="44348D5B" w14:textId="77777777" w:rsidR="00936E1C" w:rsidRPr="0083068D" w:rsidRDefault="00936E1C" w:rsidP="00192993">
      <w:pPr>
        <w:pStyle w:val="ListParagraph"/>
        <w:numPr>
          <w:ilvl w:val="1"/>
          <w:numId w:val="15"/>
        </w:numPr>
        <w:adjustRightInd w:val="0"/>
        <w:snapToGrid w:val="0"/>
        <w:spacing w:before="120" w:after="120" w:line="360" w:lineRule="auto"/>
        <w:ind w:left="2160" w:hanging="743"/>
        <w:contextualSpacing w:val="0"/>
        <w:jc w:val="both"/>
        <w:rPr>
          <w:rFonts w:ascii="Arial" w:hAnsi="Arial" w:cs="Arial"/>
          <w:color w:val="000000" w:themeColor="text1"/>
        </w:rPr>
      </w:pPr>
      <w:r w:rsidRPr="0083068D">
        <w:rPr>
          <w:rFonts w:ascii="Arial" w:hAnsi="Arial" w:cs="Arial"/>
          <w:color w:val="000000" w:themeColor="text1"/>
        </w:rPr>
        <w:t>R276 046.04 with interest thereon at the legal rate from 23 January 2015 to date of payment, both days inclusive;</w:t>
      </w:r>
    </w:p>
    <w:p w14:paraId="2F1FA9B0" w14:textId="0EF00E76" w:rsidR="00936E1C" w:rsidRPr="0083068D" w:rsidRDefault="00936E1C" w:rsidP="00192993">
      <w:pPr>
        <w:pStyle w:val="ListParagraph"/>
        <w:numPr>
          <w:ilvl w:val="1"/>
          <w:numId w:val="15"/>
        </w:numPr>
        <w:adjustRightInd w:val="0"/>
        <w:snapToGrid w:val="0"/>
        <w:spacing w:before="120" w:after="120" w:line="360" w:lineRule="auto"/>
        <w:ind w:left="2160" w:hanging="743"/>
        <w:contextualSpacing w:val="0"/>
        <w:jc w:val="both"/>
        <w:rPr>
          <w:rFonts w:ascii="Arial" w:hAnsi="Arial" w:cs="Arial"/>
          <w:color w:val="000000" w:themeColor="text1"/>
        </w:rPr>
      </w:pPr>
      <w:r w:rsidRPr="0083068D">
        <w:rPr>
          <w:rFonts w:ascii="Arial" w:hAnsi="Arial" w:cs="Arial"/>
          <w:color w:val="000000" w:themeColor="text1"/>
        </w:rPr>
        <w:t>R34 794.85 with interest thereon at the legal rate from 30 January 2015 to date of payment, both days inclusive</w:t>
      </w:r>
      <w:r w:rsidR="004935CB">
        <w:rPr>
          <w:rFonts w:ascii="Arial" w:hAnsi="Arial" w:cs="Arial"/>
          <w:color w:val="000000" w:themeColor="text1"/>
        </w:rPr>
        <w:t>.</w:t>
      </w:r>
    </w:p>
    <w:p w14:paraId="6CBD7F4E" w14:textId="77777777" w:rsidR="00936E1C" w:rsidRPr="0083068D" w:rsidRDefault="00936E1C" w:rsidP="00192993">
      <w:pPr>
        <w:adjustRightInd w:val="0"/>
        <w:snapToGrid w:val="0"/>
        <w:spacing w:before="120" w:after="120" w:line="360" w:lineRule="auto"/>
        <w:ind w:left="1440"/>
        <w:jc w:val="both"/>
        <w:rPr>
          <w:rFonts w:ascii="Arial" w:hAnsi="Arial" w:cs="Arial"/>
          <w:color w:val="000000" w:themeColor="text1"/>
        </w:rPr>
      </w:pPr>
      <w:r w:rsidRPr="0083068D">
        <w:rPr>
          <w:rFonts w:ascii="Arial" w:hAnsi="Arial" w:cs="Arial"/>
          <w:color w:val="000000" w:themeColor="text1"/>
        </w:rPr>
        <w:t>2. The respondent is to pay the applicant’s costs.’</w:t>
      </w:r>
    </w:p>
    <w:p w14:paraId="2D37A68C" w14:textId="7A3FA541" w:rsidR="00936E1C" w:rsidRPr="0083068D" w:rsidRDefault="00936E1C" w:rsidP="00192993">
      <w:pPr>
        <w:adjustRightInd w:val="0"/>
        <w:snapToGrid w:val="0"/>
        <w:spacing w:before="120" w:after="120" w:line="360" w:lineRule="auto"/>
        <w:ind w:left="1440"/>
        <w:jc w:val="both"/>
        <w:rPr>
          <w:rFonts w:ascii="Arial" w:hAnsi="Arial" w:cs="Arial"/>
          <w:color w:val="000000" w:themeColor="text1"/>
        </w:rPr>
      </w:pPr>
    </w:p>
    <w:p w14:paraId="4B8CF8FF" w14:textId="2423A344" w:rsidR="00093030" w:rsidRPr="0083068D" w:rsidRDefault="00093030" w:rsidP="00192993">
      <w:pPr>
        <w:adjustRightInd w:val="0"/>
        <w:snapToGrid w:val="0"/>
        <w:spacing w:before="120" w:after="120" w:line="360" w:lineRule="auto"/>
        <w:rPr>
          <w:rFonts w:ascii="Arial" w:hAnsi="Arial" w:cs="Arial"/>
          <w:color w:val="000000" w:themeColor="text1"/>
        </w:rPr>
      </w:pPr>
    </w:p>
    <w:p w14:paraId="063B3735" w14:textId="77777777" w:rsidR="00936E1C" w:rsidRPr="0083068D" w:rsidRDefault="00936E1C" w:rsidP="00192993">
      <w:pPr>
        <w:adjustRightInd w:val="0"/>
        <w:snapToGrid w:val="0"/>
        <w:spacing w:before="120" w:after="120" w:line="360" w:lineRule="auto"/>
        <w:rPr>
          <w:rFonts w:ascii="Arial" w:hAnsi="Arial" w:cs="Arial"/>
          <w:color w:val="000000" w:themeColor="text1"/>
        </w:rPr>
      </w:pPr>
    </w:p>
    <w:p w14:paraId="7A3922DA" w14:textId="77777777" w:rsidR="00093030" w:rsidRPr="0083068D" w:rsidRDefault="00093030" w:rsidP="00192993">
      <w:pPr>
        <w:adjustRightInd w:val="0"/>
        <w:snapToGrid w:val="0"/>
        <w:spacing w:before="120" w:after="120" w:line="360" w:lineRule="auto"/>
        <w:jc w:val="right"/>
        <w:rPr>
          <w:rFonts w:ascii="Arial" w:hAnsi="Arial" w:cs="Arial"/>
          <w:b/>
          <w:color w:val="000000" w:themeColor="text1"/>
        </w:rPr>
      </w:pPr>
      <w:r w:rsidRPr="0083068D">
        <w:rPr>
          <w:rFonts w:ascii="Arial" w:hAnsi="Arial" w:cs="Arial"/>
          <w:b/>
          <w:color w:val="000000" w:themeColor="text1"/>
        </w:rPr>
        <w:t>________________________</w:t>
      </w:r>
    </w:p>
    <w:p w14:paraId="7CFB0BB0" w14:textId="285A7D2C" w:rsidR="00093030" w:rsidRPr="0083068D" w:rsidRDefault="002E4442" w:rsidP="00192993">
      <w:pPr>
        <w:adjustRightInd w:val="0"/>
        <w:snapToGrid w:val="0"/>
        <w:spacing w:before="120" w:after="120" w:line="360" w:lineRule="auto"/>
        <w:jc w:val="right"/>
        <w:rPr>
          <w:rFonts w:ascii="Arial" w:hAnsi="Arial" w:cs="Arial"/>
          <w:b/>
          <w:color w:val="000000" w:themeColor="text1"/>
        </w:rPr>
      </w:pPr>
      <w:r>
        <w:rPr>
          <w:rFonts w:ascii="Arial" w:hAnsi="Arial" w:cs="Arial"/>
          <w:b/>
          <w:color w:val="000000" w:themeColor="text1"/>
        </w:rPr>
        <w:t xml:space="preserve">K </w:t>
      </w:r>
      <w:r w:rsidR="00AB4300">
        <w:rPr>
          <w:rFonts w:ascii="Arial" w:hAnsi="Arial" w:cs="Arial"/>
          <w:b/>
          <w:color w:val="000000" w:themeColor="text1"/>
        </w:rPr>
        <w:t xml:space="preserve">M </w:t>
      </w:r>
      <w:r w:rsidR="00B3579A" w:rsidRPr="0083068D">
        <w:rPr>
          <w:rFonts w:ascii="Arial" w:hAnsi="Arial" w:cs="Arial"/>
          <w:b/>
          <w:color w:val="000000" w:themeColor="text1"/>
        </w:rPr>
        <w:t xml:space="preserve">SAVAGE </w:t>
      </w:r>
    </w:p>
    <w:p w14:paraId="45FC60F0" w14:textId="454F13A1" w:rsidR="00093030" w:rsidRPr="0083068D" w:rsidRDefault="00B3579A" w:rsidP="00192993">
      <w:pPr>
        <w:adjustRightInd w:val="0"/>
        <w:snapToGrid w:val="0"/>
        <w:spacing w:before="120" w:after="120" w:line="360" w:lineRule="auto"/>
        <w:jc w:val="right"/>
        <w:rPr>
          <w:rFonts w:ascii="Arial" w:hAnsi="Arial" w:cs="Arial"/>
          <w:b/>
          <w:color w:val="000000" w:themeColor="text1"/>
        </w:rPr>
      </w:pPr>
      <w:r w:rsidRPr="0083068D">
        <w:rPr>
          <w:rFonts w:ascii="Arial" w:hAnsi="Arial" w:cs="Arial"/>
          <w:b/>
          <w:color w:val="000000" w:themeColor="text1"/>
        </w:rPr>
        <w:t xml:space="preserve">ACTING </w:t>
      </w:r>
      <w:r w:rsidR="00093030" w:rsidRPr="0083068D">
        <w:rPr>
          <w:rFonts w:ascii="Arial" w:hAnsi="Arial" w:cs="Arial"/>
          <w:b/>
          <w:color w:val="000000" w:themeColor="text1"/>
        </w:rPr>
        <w:t>JUDGE OF APPEAL</w:t>
      </w:r>
    </w:p>
    <w:p w14:paraId="7E1FB6B8" w14:textId="77777777" w:rsidR="00093030" w:rsidRPr="0083068D" w:rsidRDefault="00093030" w:rsidP="00192993">
      <w:pPr>
        <w:adjustRightInd w:val="0"/>
        <w:snapToGrid w:val="0"/>
        <w:spacing w:before="120" w:after="120" w:line="360" w:lineRule="auto"/>
        <w:rPr>
          <w:rFonts w:ascii="Arial" w:hAnsi="Arial" w:cs="Arial"/>
          <w:color w:val="000000" w:themeColor="text1"/>
        </w:rPr>
      </w:pPr>
      <w:r w:rsidRPr="0083068D">
        <w:rPr>
          <w:rFonts w:ascii="Arial" w:hAnsi="Arial" w:cs="Arial"/>
          <w:color w:val="000000" w:themeColor="text1"/>
        </w:rPr>
        <w:br w:type="page"/>
      </w:r>
    </w:p>
    <w:p w14:paraId="21B1A163" w14:textId="77777777" w:rsidR="00093030" w:rsidRPr="0083068D" w:rsidRDefault="00093030" w:rsidP="00192993">
      <w:pPr>
        <w:adjustRightInd w:val="0"/>
        <w:snapToGrid w:val="0"/>
        <w:spacing w:before="120" w:after="120" w:line="360" w:lineRule="auto"/>
        <w:jc w:val="right"/>
        <w:rPr>
          <w:rFonts w:ascii="Arial" w:hAnsi="Arial" w:cs="Arial"/>
          <w:color w:val="000000" w:themeColor="text1"/>
        </w:rPr>
      </w:pPr>
    </w:p>
    <w:p w14:paraId="36892636" w14:textId="77777777" w:rsidR="00093030" w:rsidRPr="0083068D" w:rsidRDefault="00093030" w:rsidP="00192993">
      <w:pPr>
        <w:adjustRightInd w:val="0"/>
        <w:snapToGrid w:val="0"/>
        <w:spacing w:before="120" w:after="120" w:line="360" w:lineRule="auto"/>
        <w:rPr>
          <w:rFonts w:ascii="Arial" w:hAnsi="Arial" w:cs="Arial"/>
          <w:color w:val="000000" w:themeColor="text1"/>
        </w:rPr>
      </w:pPr>
      <w:r w:rsidRPr="0083068D">
        <w:rPr>
          <w:rFonts w:ascii="Arial" w:hAnsi="Arial" w:cs="Arial"/>
          <w:color w:val="000000" w:themeColor="text1"/>
        </w:rPr>
        <w:t xml:space="preserve">Appearances </w:t>
      </w:r>
    </w:p>
    <w:p w14:paraId="468BB7E3" w14:textId="77777777" w:rsidR="00093030" w:rsidRPr="0083068D" w:rsidRDefault="00093030" w:rsidP="00192993">
      <w:pPr>
        <w:adjustRightInd w:val="0"/>
        <w:snapToGrid w:val="0"/>
        <w:spacing w:before="120" w:after="120" w:line="360" w:lineRule="auto"/>
        <w:rPr>
          <w:rFonts w:ascii="Arial" w:hAnsi="Arial" w:cs="Arial"/>
          <w:color w:val="000000" w:themeColor="text1"/>
        </w:rPr>
      </w:pPr>
    </w:p>
    <w:p w14:paraId="791A6A3C" w14:textId="02A83C86" w:rsidR="00093030" w:rsidRPr="0083068D" w:rsidRDefault="00093030" w:rsidP="00192993">
      <w:pPr>
        <w:adjustRightInd w:val="0"/>
        <w:snapToGrid w:val="0"/>
        <w:spacing w:before="120" w:after="120" w:line="360" w:lineRule="auto"/>
        <w:rPr>
          <w:rFonts w:ascii="Arial" w:hAnsi="Arial" w:cs="Arial"/>
          <w:color w:val="000000" w:themeColor="text1"/>
        </w:rPr>
      </w:pPr>
      <w:r w:rsidRPr="0083068D">
        <w:rPr>
          <w:rFonts w:ascii="Arial" w:hAnsi="Arial" w:cs="Arial"/>
          <w:color w:val="000000" w:themeColor="text1"/>
        </w:rPr>
        <w:t>For</w:t>
      </w:r>
      <w:r w:rsidR="0054292C">
        <w:rPr>
          <w:rFonts w:ascii="Arial" w:hAnsi="Arial" w:cs="Arial"/>
          <w:color w:val="000000" w:themeColor="text1"/>
        </w:rPr>
        <w:t xml:space="preserve"> </w:t>
      </w:r>
      <w:r w:rsidR="005F5868">
        <w:rPr>
          <w:rFonts w:ascii="Arial" w:hAnsi="Arial" w:cs="Arial"/>
          <w:color w:val="000000" w:themeColor="text1"/>
        </w:rPr>
        <w:t>applicant</w:t>
      </w:r>
      <w:r w:rsidRPr="0083068D">
        <w:rPr>
          <w:rFonts w:ascii="Arial" w:hAnsi="Arial" w:cs="Arial"/>
          <w:color w:val="000000" w:themeColor="text1"/>
        </w:rPr>
        <w:t>:</w:t>
      </w:r>
      <w:r w:rsidRPr="0083068D">
        <w:rPr>
          <w:rFonts w:ascii="Arial" w:hAnsi="Arial" w:cs="Arial"/>
          <w:color w:val="000000" w:themeColor="text1"/>
        </w:rPr>
        <w:tab/>
      </w:r>
      <w:r w:rsidR="002F52D1" w:rsidRPr="0083068D">
        <w:rPr>
          <w:rFonts w:ascii="Arial" w:hAnsi="Arial" w:cs="Arial"/>
          <w:color w:val="000000" w:themeColor="text1"/>
        </w:rPr>
        <w:t xml:space="preserve">M Tsele </w:t>
      </w:r>
    </w:p>
    <w:p w14:paraId="056A79C9" w14:textId="4720F67A" w:rsidR="00093030" w:rsidRPr="0083068D" w:rsidRDefault="00093030" w:rsidP="00192993">
      <w:pPr>
        <w:adjustRightInd w:val="0"/>
        <w:snapToGrid w:val="0"/>
        <w:spacing w:before="120" w:after="120" w:line="360" w:lineRule="auto"/>
        <w:rPr>
          <w:rFonts w:ascii="Arial" w:hAnsi="Arial" w:cs="Arial"/>
          <w:bCs/>
          <w:color w:val="000000" w:themeColor="text1"/>
        </w:rPr>
      </w:pPr>
      <w:r w:rsidRPr="0083068D">
        <w:rPr>
          <w:rFonts w:ascii="Arial" w:hAnsi="Arial" w:cs="Arial"/>
          <w:bCs/>
          <w:color w:val="000000" w:themeColor="text1"/>
        </w:rPr>
        <w:t xml:space="preserve">Instructed by: </w:t>
      </w:r>
      <w:r w:rsidR="002F52D1" w:rsidRPr="0083068D">
        <w:rPr>
          <w:rFonts w:ascii="Arial" w:hAnsi="Arial" w:cs="Arial"/>
          <w:bCs/>
          <w:color w:val="000000" w:themeColor="text1"/>
        </w:rPr>
        <w:tab/>
        <w:t>MCH Attorneys Inc</w:t>
      </w:r>
      <w:r w:rsidR="0054292C">
        <w:rPr>
          <w:rFonts w:ascii="Arial" w:hAnsi="Arial" w:cs="Arial"/>
          <w:bCs/>
          <w:color w:val="000000" w:themeColor="text1"/>
        </w:rPr>
        <w:t>.</w:t>
      </w:r>
      <w:r w:rsidR="00125CBA" w:rsidRPr="0083068D">
        <w:rPr>
          <w:rFonts w:ascii="Arial" w:hAnsi="Arial" w:cs="Arial"/>
          <w:bCs/>
          <w:color w:val="000000" w:themeColor="text1"/>
        </w:rPr>
        <w:t>, La Lucia Ridge</w:t>
      </w:r>
    </w:p>
    <w:p w14:paraId="60CEBC67" w14:textId="770DC137" w:rsidR="00093030" w:rsidRPr="0083068D" w:rsidRDefault="002F52D1" w:rsidP="00192993">
      <w:pPr>
        <w:adjustRightInd w:val="0"/>
        <w:snapToGrid w:val="0"/>
        <w:spacing w:before="120" w:after="120" w:line="360" w:lineRule="auto"/>
        <w:ind w:left="459" w:firstLine="1701"/>
        <w:rPr>
          <w:rFonts w:ascii="Arial" w:hAnsi="Arial" w:cs="Arial"/>
          <w:bCs/>
          <w:color w:val="000000" w:themeColor="text1"/>
        </w:rPr>
      </w:pPr>
      <w:r w:rsidRPr="0083068D">
        <w:rPr>
          <w:rFonts w:ascii="Arial" w:hAnsi="Arial" w:cs="Arial"/>
          <w:bCs/>
          <w:color w:val="000000" w:themeColor="text1"/>
        </w:rPr>
        <w:t>Webbers</w:t>
      </w:r>
      <w:r w:rsidR="00093030" w:rsidRPr="0083068D">
        <w:rPr>
          <w:rFonts w:ascii="Arial" w:hAnsi="Arial" w:cs="Arial"/>
          <w:bCs/>
          <w:color w:val="000000" w:themeColor="text1"/>
        </w:rPr>
        <w:t>, Bloemfontein</w:t>
      </w:r>
    </w:p>
    <w:p w14:paraId="761EB7F2" w14:textId="77777777" w:rsidR="00093030" w:rsidRPr="0083068D" w:rsidRDefault="00093030" w:rsidP="00192993">
      <w:pPr>
        <w:adjustRightInd w:val="0"/>
        <w:snapToGrid w:val="0"/>
        <w:spacing w:before="120" w:after="120" w:line="360" w:lineRule="auto"/>
        <w:rPr>
          <w:rFonts w:ascii="Arial" w:hAnsi="Arial" w:cs="Arial"/>
          <w:bCs/>
          <w:color w:val="000000" w:themeColor="text1"/>
        </w:rPr>
      </w:pPr>
      <w:r w:rsidRPr="0083068D">
        <w:rPr>
          <w:rFonts w:ascii="Arial" w:hAnsi="Arial" w:cs="Arial"/>
          <w:bCs/>
          <w:color w:val="000000" w:themeColor="text1"/>
        </w:rPr>
        <w:t xml:space="preserve"> </w:t>
      </w:r>
    </w:p>
    <w:p w14:paraId="1383BAC6" w14:textId="04263B5E" w:rsidR="00093030" w:rsidRPr="0083068D" w:rsidRDefault="00093030" w:rsidP="00192993">
      <w:pPr>
        <w:adjustRightInd w:val="0"/>
        <w:snapToGrid w:val="0"/>
        <w:spacing w:before="120" w:after="120" w:line="360" w:lineRule="auto"/>
        <w:rPr>
          <w:rFonts w:ascii="Arial" w:hAnsi="Arial" w:cs="Arial"/>
          <w:color w:val="000000" w:themeColor="text1"/>
        </w:rPr>
      </w:pPr>
      <w:r w:rsidRPr="0083068D">
        <w:rPr>
          <w:rFonts w:ascii="Arial" w:hAnsi="Arial" w:cs="Arial"/>
          <w:color w:val="000000" w:themeColor="text1"/>
        </w:rPr>
        <w:t>For respondent:</w:t>
      </w:r>
      <w:r w:rsidRPr="0083068D">
        <w:rPr>
          <w:rFonts w:ascii="Arial" w:hAnsi="Arial" w:cs="Arial"/>
          <w:color w:val="000000" w:themeColor="text1"/>
        </w:rPr>
        <w:tab/>
      </w:r>
      <w:r w:rsidR="00620E81" w:rsidRPr="0083068D">
        <w:rPr>
          <w:rFonts w:ascii="Arial" w:hAnsi="Arial" w:cs="Arial"/>
          <w:color w:val="000000" w:themeColor="text1"/>
        </w:rPr>
        <w:t>P Zietsman SC</w:t>
      </w:r>
      <w:r w:rsidRPr="0083068D">
        <w:rPr>
          <w:rFonts w:ascii="Arial" w:hAnsi="Arial" w:cs="Arial"/>
          <w:color w:val="000000" w:themeColor="text1"/>
        </w:rPr>
        <w:tab/>
        <w:t xml:space="preserve"> </w:t>
      </w:r>
    </w:p>
    <w:p w14:paraId="6ADA0C6F" w14:textId="30F58F80" w:rsidR="002F52D1" w:rsidRPr="0083068D" w:rsidRDefault="00093030" w:rsidP="00192993">
      <w:pPr>
        <w:adjustRightInd w:val="0"/>
        <w:snapToGrid w:val="0"/>
        <w:spacing w:before="120" w:after="120" w:line="360" w:lineRule="auto"/>
        <w:rPr>
          <w:rFonts w:ascii="Arial" w:hAnsi="Arial" w:cs="Arial"/>
          <w:bCs/>
          <w:color w:val="000000" w:themeColor="text1"/>
        </w:rPr>
      </w:pPr>
      <w:r w:rsidRPr="0083068D">
        <w:rPr>
          <w:rFonts w:ascii="Arial" w:hAnsi="Arial" w:cs="Arial"/>
          <w:bCs/>
          <w:color w:val="000000" w:themeColor="text1"/>
        </w:rPr>
        <w:t>Instructed by:</w:t>
      </w:r>
      <w:r w:rsidR="002F52D1" w:rsidRPr="0083068D">
        <w:rPr>
          <w:rFonts w:ascii="Arial" w:hAnsi="Arial" w:cs="Arial"/>
          <w:bCs/>
          <w:color w:val="000000" w:themeColor="text1"/>
        </w:rPr>
        <w:tab/>
        <w:t>Van der Wall Inc</w:t>
      </w:r>
      <w:r w:rsidR="0054292C">
        <w:rPr>
          <w:rFonts w:ascii="Arial" w:hAnsi="Arial" w:cs="Arial"/>
          <w:bCs/>
          <w:color w:val="000000" w:themeColor="text1"/>
        </w:rPr>
        <w:t>.</w:t>
      </w:r>
      <w:r w:rsidR="00125CBA" w:rsidRPr="0083068D">
        <w:rPr>
          <w:rFonts w:ascii="Arial" w:hAnsi="Arial" w:cs="Arial"/>
          <w:bCs/>
          <w:color w:val="000000" w:themeColor="text1"/>
        </w:rPr>
        <w:t>, Kimberley</w:t>
      </w:r>
    </w:p>
    <w:p w14:paraId="1DCFA3A5" w14:textId="07B322AE" w:rsidR="00093030" w:rsidRPr="002E2B1C" w:rsidRDefault="002F52D1" w:rsidP="00192993">
      <w:pPr>
        <w:adjustRightInd w:val="0"/>
        <w:snapToGrid w:val="0"/>
        <w:spacing w:before="120" w:after="120" w:line="360" w:lineRule="auto"/>
        <w:ind w:left="459" w:firstLine="1701"/>
        <w:rPr>
          <w:rFonts w:ascii="Arial" w:hAnsi="Arial" w:cs="Arial"/>
          <w:bCs/>
          <w:color w:val="000000" w:themeColor="text1"/>
        </w:rPr>
      </w:pPr>
      <w:r w:rsidRPr="0083068D">
        <w:rPr>
          <w:rFonts w:ascii="Arial" w:hAnsi="Arial" w:cs="Arial"/>
          <w:bCs/>
          <w:color w:val="000000" w:themeColor="text1"/>
        </w:rPr>
        <w:t>EG Cooper Majiedt Inc</w:t>
      </w:r>
      <w:r w:rsidR="00093030" w:rsidRPr="0083068D">
        <w:rPr>
          <w:rFonts w:ascii="Arial" w:hAnsi="Arial" w:cs="Arial"/>
          <w:bCs/>
          <w:color w:val="000000" w:themeColor="text1"/>
        </w:rPr>
        <w:t>, Bloemfontein.</w:t>
      </w:r>
    </w:p>
    <w:p w14:paraId="5F1C757C" w14:textId="77777777" w:rsidR="005E2F1F" w:rsidRPr="002E2B1C" w:rsidRDefault="005E2F1F" w:rsidP="00192993">
      <w:pPr>
        <w:pStyle w:val="ListParagraph"/>
        <w:adjustRightInd w:val="0"/>
        <w:snapToGrid w:val="0"/>
        <w:spacing w:before="120" w:after="120" w:line="360" w:lineRule="auto"/>
        <w:ind w:left="0"/>
        <w:contextualSpacing w:val="0"/>
        <w:jc w:val="both"/>
        <w:rPr>
          <w:rFonts w:ascii="Arial" w:hAnsi="Arial" w:cs="Arial"/>
          <w:color w:val="000000" w:themeColor="text1"/>
          <w:lang w:val="en-ZA" w:eastAsia="en-GB"/>
        </w:rPr>
      </w:pPr>
    </w:p>
    <w:p w14:paraId="62C0C741" w14:textId="77777777" w:rsidR="00042A51" w:rsidRPr="002E2B1C" w:rsidRDefault="00656ECE" w:rsidP="00192993">
      <w:pPr>
        <w:adjustRightInd w:val="0"/>
        <w:snapToGrid w:val="0"/>
        <w:spacing w:before="120" w:after="120" w:line="360" w:lineRule="auto"/>
        <w:jc w:val="center"/>
        <w:rPr>
          <w:rFonts w:ascii="Arial" w:hAnsi="Arial" w:cs="Arial"/>
          <w:color w:val="000000" w:themeColor="text1"/>
        </w:rPr>
      </w:pPr>
    </w:p>
    <w:sectPr w:rsidR="00042A51" w:rsidRPr="002E2B1C" w:rsidSect="00D3605A">
      <w:headerReference w:type="even" r:id="rId9"/>
      <w:headerReference w:type="default" r:id="rId10"/>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882F6" w14:textId="77777777" w:rsidR="00656ECE" w:rsidRDefault="00656ECE">
      <w:r>
        <w:separator/>
      </w:r>
    </w:p>
  </w:endnote>
  <w:endnote w:type="continuationSeparator" w:id="0">
    <w:p w14:paraId="2E91953F" w14:textId="77777777" w:rsidR="00656ECE" w:rsidRDefault="0065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E6DAA" w14:textId="77777777" w:rsidR="00656ECE" w:rsidRDefault="00656ECE">
      <w:r>
        <w:separator/>
      </w:r>
    </w:p>
  </w:footnote>
  <w:footnote w:type="continuationSeparator" w:id="0">
    <w:p w14:paraId="4E1E0F6E" w14:textId="77777777" w:rsidR="00656ECE" w:rsidRDefault="00656ECE">
      <w:r>
        <w:continuationSeparator/>
      </w:r>
    </w:p>
  </w:footnote>
  <w:footnote w:id="1">
    <w:p w14:paraId="15372B07" w14:textId="57C49D5A" w:rsidR="00AB6332" w:rsidRPr="00D04842" w:rsidRDefault="00AB6332" w:rsidP="002A6CCD">
      <w:pPr>
        <w:pStyle w:val="FootnoteText"/>
        <w:adjustRightInd w:val="0"/>
        <w:snapToGrid w:val="0"/>
        <w:jc w:val="both"/>
        <w:rPr>
          <w:rFonts w:ascii="Arial" w:hAnsi="Arial" w:cs="Arial"/>
          <w:color w:val="000000" w:themeColor="text1"/>
          <w:lang w:val="en-US"/>
        </w:rPr>
      </w:pPr>
      <w:r w:rsidRPr="00D04842">
        <w:rPr>
          <w:rStyle w:val="FootnoteReference"/>
          <w:rFonts w:ascii="Arial" w:hAnsi="Arial" w:cs="Arial"/>
          <w:color w:val="000000" w:themeColor="text1"/>
        </w:rPr>
        <w:footnoteRef/>
      </w:r>
      <w:r w:rsidRPr="00D04842">
        <w:rPr>
          <w:rFonts w:ascii="Arial" w:hAnsi="Arial" w:cs="Arial"/>
          <w:color w:val="000000" w:themeColor="text1"/>
        </w:rPr>
        <w:t xml:space="preserve"> </w:t>
      </w:r>
      <w:r w:rsidRPr="00D04842">
        <w:rPr>
          <w:rFonts w:ascii="Arial" w:hAnsi="Arial" w:cs="Arial"/>
          <w:i/>
          <w:iCs/>
          <w:color w:val="000000" w:themeColor="text1"/>
        </w:rPr>
        <w:t>Grobler v Oosthuizen</w:t>
      </w:r>
      <w:r w:rsidRPr="00D04842">
        <w:rPr>
          <w:rFonts w:ascii="Arial" w:hAnsi="Arial" w:cs="Arial"/>
          <w:color w:val="000000" w:themeColor="text1"/>
          <w:lang w:val="en-US"/>
        </w:rPr>
        <w:t xml:space="preserve"> </w:t>
      </w:r>
      <w:r w:rsidR="00B9520F" w:rsidRPr="00D04842">
        <w:rPr>
          <w:rFonts w:ascii="Arial" w:hAnsi="Arial" w:cs="Arial"/>
          <w:color w:val="000000" w:themeColor="text1"/>
          <w:lang w:val="en-US"/>
        </w:rPr>
        <w:t>[2009] ZASCA 51; 2009 (5) SA 500 (SCA)</w:t>
      </w:r>
      <w:r w:rsidR="00AD5224" w:rsidRPr="00D04842">
        <w:rPr>
          <w:rFonts w:ascii="Arial" w:hAnsi="Arial" w:cs="Arial"/>
          <w:color w:val="000000" w:themeColor="text1"/>
          <w:lang w:val="en-US"/>
        </w:rPr>
        <w:t xml:space="preserve"> (</w:t>
      </w:r>
      <w:r w:rsidR="00AD5224" w:rsidRPr="00D04842">
        <w:rPr>
          <w:rFonts w:ascii="Arial" w:hAnsi="Arial" w:cs="Arial"/>
          <w:i/>
          <w:iCs/>
          <w:color w:val="000000" w:themeColor="text1"/>
          <w:lang w:val="en-US"/>
        </w:rPr>
        <w:t>Grobler</w:t>
      </w:r>
      <w:r w:rsidR="00AD5224" w:rsidRPr="00D04842">
        <w:rPr>
          <w:rFonts w:ascii="Arial" w:hAnsi="Arial" w:cs="Arial"/>
          <w:color w:val="000000" w:themeColor="text1"/>
          <w:lang w:val="en-US"/>
        </w:rPr>
        <w:t>)</w:t>
      </w:r>
      <w:r w:rsidR="00B9520F" w:rsidRPr="00D04842">
        <w:rPr>
          <w:rFonts w:ascii="Arial" w:hAnsi="Arial" w:cs="Arial"/>
          <w:color w:val="000000" w:themeColor="text1"/>
          <w:lang w:val="en-US"/>
        </w:rPr>
        <w:t xml:space="preserve"> </w:t>
      </w:r>
      <w:r w:rsidRPr="00D04842">
        <w:rPr>
          <w:rFonts w:ascii="Arial" w:hAnsi="Arial" w:cs="Arial"/>
          <w:color w:val="000000" w:themeColor="text1"/>
          <w:lang w:val="en-US"/>
        </w:rPr>
        <w:t>para 11</w:t>
      </w:r>
      <w:r w:rsidR="00DB322F" w:rsidRPr="00D04842">
        <w:rPr>
          <w:rFonts w:ascii="Arial" w:hAnsi="Arial" w:cs="Arial"/>
          <w:color w:val="000000" w:themeColor="text1"/>
          <w:lang w:val="en-US"/>
        </w:rPr>
        <w:t xml:space="preserve">; </w:t>
      </w:r>
      <w:r w:rsidR="00DB322F" w:rsidRPr="00D04842">
        <w:rPr>
          <w:rFonts w:ascii="Arial" w:hAnsi="Arial" w:cs="Arial"/>
          <w:i/>
          <w:color w:val="000000" w:themeColor="text1"/>
        </w:rPr>
        <w:t>Thorogood v Hoare</w:t>
      </w:r>
      <w:r w:rsidR="00DB322F" w:rsidRPr="00D04842">
        <w:rPr>
          <w:rFonts w:ascii="Arial" w:hAnsi="Arial" w:cs="Arial"/>
          <w:color w:val="000000" w:themeColor="text1"/>
        </w:rPr>
        <w:t xml:space="preserve"> 1930 EDL 354; </w:t>
      </w:r>
      <w:r w:rsidR="00DB322F" w:rsidRPr="00D04842">
        <w:rPr>
          <w:rFonts w:ascii="Arial" w:hAnsi="Arial" w:cs="Arial"/>
          <w:i/>
          <w:color w:val="000000" w:themeColor="text1"/>
        </w:rPr>
        <w:t>Fisher v Schlemmer</w:t>
      </w:r>
      <w:r w:rsidR="00DB322F" w:rsidRPr="00D04842">
        <w:rPr>
          <w:rFonts w:ascii="Arial" w:hAnsi="Arial" w:cs="Arial"/>
          <w:color w:val="000000" w:themeColor="text1"/>
        </w:rPr>
        <w:t xml:space="preserve"> 1962 4 SA 651 (T); </w:t>
      </w:r>
      <w:r w:rsidR="00DB322F" w:rsidRPr="00D04842">
        <w:rPr>
          <w:rFonts w:ascii="Arial" w:hAnsi="Arial" w:cs="Arial"/>
          <w:i/>
          <w:color w:val="000000" w:themeColor="text1"/>
        </w:rPr>
        <w:t>Nahrungsmittel GmbH v Otto</w:t>
      </w:r>
      <w:r w:rsidR="00C34B5D">
        <w:rPr>
          <w:rFonts w:ascii="Arial" w:hAnsi="Arial" w:cs="Arial"/>
          <w:color w:val="000000" w:themeColor="text1"/>
        </w:rPr>
        <w:t xml:space="preserve"> </w:t>
      </w:r>
      <w:r w:rsidR="009D02A1" w:rsidRPr="00D04842">
        <w:rPr>
          <w:rFonts w:ascii="Arial" w:hAnsi="Arial" w:cs="Arial"/>
          <w:color w:val="000000" w:themeColor="text1"/>
        </w:rPr>
        <w:t xml:space="preserve">[1992] ZASCA 228; </w:t>
      </w:r>
      <w:r w:rsidR="00DB322F" w:rsidRPr="00D04842">
        <w:rPr>
          <w:rFonts w:ascii="Arial" w:hAnsi="Arial" w:cs="Arial"/>
          <w:color w:val="000000" w:themeColor="text1"/>
        </w:rPr>
        <w:t xml:space="preserve">1993 1 SA 639 (A); </w:t>
      </w:r>
      <w:r w:rsidR="00DB322F" w:rsidRPr="00D04842">
        <w:rPr>
          <w:rFonts w:ascii="Arial" w:hAnsi="Arial" w:cs="Arial"/>
          <w:i/>
          <w:color w:val="000000" w:themeColor="text1"/>
        </w:rPr>
        <w:t>African Consolidated Agencies (Pty) Ltd v Siemens Nixdorf Information Systems (Pty) Ltd</w:t>
      </w:r>
      <w:r w:rsidR="00DB322F" w:rsidRPr="00D04842">
        <w:rPr>
          <w:rFonts w:ascii="Arial" w:hAnsi="Arial" w:cs="Arial"/>
          <w:color w:val="000000" w:themeColor="text1"/>
        </w:rPr>
        <w:t xml:space="preserve"> 1992 </w:t>
      </w:r>
      <w:r w:rsidR="002C7F3B">
        <w:rPr>
          <w:rFonts w:ascii="Arial" w:hAnsi="Arial" w:cs="Arial"/>
          <w:color w:val="000000" w:themeColor="text1"/>
        </w:rPr>
        <w:t>(2) SA 739</w:t>
      </w:r>
      <w:r w:rsidR="00DB322F" w:rsidRPr="00D04842">
        <w:rPr>
          <w:rFonts w:ascii="Arial" w:hAnsi="Arial" w:cs="Arial"/>
          <w:color w:val="000000" w:themeColor="text1"/>
        </w:rPr>
        <w:t xml:space="preserve"> (C) </w:t>
      </w:r>
      <w:r w:rsidR="00784F23">
        <w:rPr>
          <w:rFonts w:ascii="Arial" w:hAnsi="Arial" w:cs="Arial"/>
          <w:color w:val="000000" w:themeColor="text1"/>
        </w:rPr>
        <w:t xml:space="preserve">at </w:t>
      </w:r>
      <w:r w:rsidR="00DB322F" w:rsidRPr="00D04842">
        <w:rPr>
          <w:rFonts w:ascii="Arial" w:hAnsi="Arial" w:cs="Arial"/>
          <w:color w:val="000000" w:themeColor="text1"/>
        </w:rPr>
        <w:t>744.</w:t>
      </w:r>
    </w:p>
  </w:footnote>
  <w:footnote w:id="2">
    <w:p w14:paraId="4BBB2E5C" w14:textId="237B99B6" w:rsidR="00B72A24" w:rsidRPr="00D04842" w:rsidRDefault="00B72A24" w:rsidP="002A6CCD">
      <w:pPr>
        <w:pStyle w:val="FootnoteText"/>
        <w:adjustRightInd w:val="0"/>
        <w:snapToGrid w:val="0"/>
        <w:jc w:val="both"/>
        <w:rPr>
          <w:rFonts w:ascii="Arial" w:hAnsi="Arial" w:cs="Arial"/>
          <w:color w:val="000000" w:themeColor="text1"/>
          <w:lang w:val="en-US"/>
        </w:rPr>
      </w:pPr>
      <w:r w:rsidRPr="00D04842">
        <w:rPr>
          <w:rStyle w:val="FootnoteReference"/>
          <w:rFonts w:ascii="Arial" w:hAnsi="Arial" w:cs="Arial"/>
          <w:color w:val="000000" w:themeColor="text1"/>
        </w:rPr>
        <w:footnoteRef/>
      </w:r>
      <w:r w:rsidRPr="00D04842">
        <w:rPr>
          <w:rFonts w:ascii="Arial" w:hAnsi="Arial" w:cs="Arial"/>
          <w:color w:val="000000" w:themeColor="text1"/>
        </w:rPr>
        <w:t xml:space="preserve"> </w:t>
      </w:r>
      <w:r w:rsidR="00AD5224" w:rsidRPr="00905BCC">
        <w:rPr>
          <w:rFonts w:ascii="Arial" w:hAnsi="Arial" w:cs="Arial"/>
          <w:i/>
          <w:iCs/>
          <w:color w:val="000000" w:themeColor="text1"/>
        </w:rPr>
        <w:t>Grobler</w:t>
      </w:r>
      <w:r w:rsidR="00192993">
        <w:rPr>
          <w:rFonts w:ascii="Arial" w:hAnsi="Arial" w:cs="Arial"/>
          <w:color w:val="000000" w:themeColor="text1"/>
        </w:rPr>
        <w:t xml:space="preserve"> </w:t>
      </w:r>
      <w:r w:rsidR="00AD5224" w:rsidRPr="00D04842">
        <w:rPr>
          <w:rFonts w:ascii="Arial" w:hAnsi="Arial" w:cs="Arial"/>
          <w:color w:val="000000" w:themeColor="text1"/>
        </w:rPr>
        <w:t>p</w:t>
      </w:r>
      <w:r w:rsidRPr="00D04842">
        <w:rPr>
          <w:rFonts w:ascii="Arial" w:hAnsi="Arial" w:cs="Arial"/>
          <w:color w:val="000000" w:themeColor="text1"/>
          <w:lang w:val="en-US"/>
        </w:rPr>
        <w:t>ara 11.</w:t>
      </w:r>
      <w:r w:rsidR="00D85ACF" w:rsidRPr="00D04842">
        <w:rPr>
          <w:rFonts w:ascii="Arial" w:hAnsi="Arial" w:cs="Arial"/>
          <w:color w:val="000000" w:themeColor="text1"/>
          <w:lang w:val="en-US"/>
        </w:rPr>
        <w:t xml:space="preserve"> </w:t>
      </w:r>
    </w:p>
  </w:footnote>
  <w:footnote w:id="3">
    <w:p w14:paraId="34161355" w14:textId="131694C2" w:rsidR="00E81E40" w:rsidRPr="00D04842" w:rsidRDefault="00E81E40" w:rsidP="002A6CCD">
      <w:pPr>
        <w:pStyle w:val="FootnoteText"/>
        <w:adjustRightInd w:val="0"/>
        <w:snapToGrid w:val="0"/>
        <w:jc w:val="both"/>
        <w:rPr>
          <w:rFonts w:ascii="Arial" w:hAnsi="Arial" w:cs="Arial"/>
          <w:color w:val="000000" w:themeColor="text1"/>
          <w:lang w:val="en-US"/>
        </w:rPr>
      </w:pPr>
      <w:r w:rsidRPr="00D04842">
        <w:rPr>
          <w:rStyle w:val="FootnoteReference"/>
          <w:rFonts w:ascii="Arial" w:hAnsi="Arial" w:cs="Arial"/>
          <w:color w:val="000000" w:themeColor="text1"/>
        </w:rPr>
        <w:footnoteRef/>
      </w:r>
      <w:r w:rsidRPr="00D04842">
        <w:rPr>
          <w:rFonts w:ascii="Arial" w:hAnsi="Arial" w:cs="Arial"/>
          <w:color w:val="000000" w:themeColor="text1"/>
        </w:rPr>
        <w:t xml:space="preserve"> </w:t>
      </w:r>
      <w:r w:rsidR="00B81D4D" w:rsidRPr="00B81D4D">
        <w:rPr>
          <w:rFonts w:ascii="Arial" w:hAnsi="Arial" w:cs="Arial"/>
          <w:i/>
          <w:iCs/>
          <w:color w:val="000000" w:themeColor="text1"/>
        </w:rPr>
        <w:t xml:space="preserve">Grobler </w:t>
      </w:r>
      <w:r w:rsidR="00B81D4D">
        <w:rPr>
          <w:rFonts w:ascii="Arial" w:hAnsi="Arial" w:cs="Arial"/>
          <w:color w:val="000000" w:themeColor="text1"/>
        </w:rPr>
        <w:t>paras 11-15.</w:t>
      </w:r>
    </w:p>
  </w:footnote>
  <w:footnote w:id="4">
    <w:p w14:paraId="00444558" w14:textId="140EB2A4" w:rsidR="00B72A24" w:rsidRPr="00D04842" w:rsidRDefault="00B72A24" w:rsidP="002A6CCD">
      <w:pPr>
        <w:pStyle w:val="FootnoteText"/>
        <w:adjustRightInd w:val="0"/>
        <w:snapToGrid w:val="0"/>
        <w:jc w:val="both"/>
        <w:rPr>
          <w:rFonts w:ascii="Arial" w:hAnsi="Arial" w:cs="Arial"/>
          <w:color w:val="000000" w:themeColor="text1"/>
          <w:lang w:val="en-US"/>
        </w:rPr>
      </w:pPr>
      <w:r w:rsidRPr="00D04842">
        <w:rPr>
          <w:rStyle w:val="FootnoteReference"/>
          <w:rFonts w:ascii="Arial" w:hAnsi="Arial" w:cs="Arial"/>
          <w:color w:val="000000" w:themeColor="text1"/>
        </w:rPr>
        <w:footnoteRef/>
      </w:r>
      <w:r w:rsidRPr="00D04842">
        <w:rPr>
          <w:rFonts w:ascii="Arial" w:hAnsi="Arial" w:cs="Arial"/>
          <w:color w:val="000000" w:themeColor="text1"/>
        </w:rPr>
        <w:t xml:space="preserve"> </w:t>
      </w:r>
      <w:r w:rsidRPr="00905BCC">
        <w:rPr>
          <w:rFonts w:ascii="Arial" w:hAnsi="Arial" w:cs="Arial"/>
          <w:i/>
          <w:iCs/>
          <w:color w:val="000000" w:themeColor="text1"/>
          <w:lang w:val="en-US"/>
        </w:rPr>
        <w:t>Grobler</w:t>
      </w:r>
      <w:r w:rsidRPr="00D04842">
        <w:rPr>
          <w:rFonts w:ascii="Arial" w:hAnsi="Arial" w:cs="Arial"/>
          <w:color w:val="000000" w:themeColor="text1"/>
          <w:lang w:val="en-US"/>
        </w:rPr>
        <w:t xml:space="preserve"> para 15.</w:t>
      </w:r>
      <w:r w:rsidR="00997C55" w:rsidRPr="00D04842">
        <w:rPr>
          <w:rFonts w:ascii="Arial" w:hAnsi="Arial" w:cs="Arial"/>
          <w:color w:val="000000" w:themeColor="text1"/>
          <w:lang w:val="en-US"/>
        </w:rPr>
        <w:t xml:space="preserve"> </w:t>
      </w:r>
      <w:r w:rsidR="00997C55" w:rsidRPr="00D04842">
        <w:rPr>
          <w:rFonts w:ascii="Arial" w:hAnsi="Arial" w:cs="Arial"/>
          <w:i/>
          <w:iCs/>
          <w:color w:val="000000" w:themeColor="text1"/>
          <w:lang w:val="en-US"/>
        </w:rPr>
        <w:t>National Bank of South Africa Ltd v Cohen’s Trustee</w:t>
      </w:r>
      <w:r w:rsidR="00997C55" w:rsidRPr="00D04842">
        <w:rPr>
          <w:rFonts w:ascii="Arial" w:hAnsi="Arial" w:cs="Arial"/>
          <w:color w:val="000000" w:themeColor="text1"/>
          <w:lang w:val="en-US"/>
        </w:rPr>
        <w:t xml:space="preserve"> 1911 AD 235.</w:t>
      </w:r>
    </w:p>
  </w:footnote>
  <w:footnote w:id="5">
    <w:p w14:paraId="71E1E218" w14:textId="402B7C4B" w:rsidR="00DB322F" w:rsidRPr="00D04842" w:rsidRDefault="00DB322F" w:rsidP="002A6CCD">
      <w:pPr>
        <w:pStyle w:val="FootnoteText"/>
        <w:jc w:val="both"/>
        <w:rPr>
          <w:rFonts w:ascii="Arial" w:hAnsi="Arial" w:cs="Arial"/>
          <w:color w:val="000000" w:themeColor="text1"/>
          <w:lang w:val="en-US"/>
        </w:rPr>
      </w:pPr>
      <w:r w:rsidRPr="00D04842">
        <w:rPr>
          <w:rStyle w:val="FootnoteReference"/>
          <w:rFonts w:ascii="Arial" w:hAnsi="Arial" w:cs="Arial"/>
          <w:color w:val="000000" w:themeColor="text1"/>
        </w:rPr>
        <w:footnoteRef/>
      </w:r>
      <w:r w:rsidRPr="00D04842">
        <w:rPr>
          <w:rFonts w:ascii="Arial" w:hAnsi="Arial" w:cs="Arial"/>
          <w:color w:val="000000" w:themeColor="text1"/>
        </w:rPr>
        <w:t xml:space="preserve"> </w:t>
      </w:r>
      <w:r w:rsidRPr="00D04842">
        <w:rPr>
          <w:rFonts w:ascii="Arial" w:hAnsi="Arial" w:cs="Arial"/>
          <w:i/>
          <w:iCs/>
          <w:color w:val="000000" w:themeColor="text1"/>
        </w:rPr>
        <w:t>Grobler</w:t>
      </w:r>
      <w:r w:rsidRPr="00D04842">
        <w:rPr>
          <w:rFonts w:ascii="Arial" w:hAnsi="Arial" w:cs="Arial"/>
          <w:color w:val="000000" w:themeColor="text1"/>
        </w:rPr>
        <w:t xml:space="preserve"> para</w:t>
      </w:r>
      <w:r w:rsidR="00B81D4D">
        <w:rPr>
          <w:rFonts w:ascii="Arial" w:hAnsi="Arial" w:cs="Arial"/>
          <w:color w:val="000000" w:themeColor="text1"/>
        </w:rPr>
        <w:t xml:space="preserve"> </w:t>
      </w:r>
      <w:r w:rsidRPr="00D04842">
        <w:rPr>
          <w:rFonts w:ascii="Arial" w:hAnsi="Arial" w:cs="Arial"/>
          <w:color w:val="000000" w:themeColor="text1"/>
        </w:rPr>
        <w:t xml:space="preserve">15 with reference to </w:t>
      </w:r>
      <w:r w:rsidRPr="00D04842">
        <w:rPr>
          <w:rFonts w:ascii="Arial" w:hAnsi="Arial" w:cs="Arial"/>
          <w:i/>
          <w:iCs/>
          <w:color w:val="000000" w:themeColor="text1"/>
        </w:rPr>
        <w:t>Picardi Hotels Ltd v Thekweni Properties (Pty) Ltd</w:t>
      </w:r>
      <w:r w:rsidRPr="00D04842">
        <w:rPr>
          <w:rFonts w:ascii="Arial" w:hAnsi="Arial" w:cs="Arial"/>
          <w:color w:val="000000" w:themeColor="text1"/>
        </w:rPr>
        <w:t xml:space="preserve"> [2008] ZASCA 128; 2009 (1) SA 493 (SCA) para 3 and other authorities.</w:t>
      </w:r>
    </w:p>
  </w:footnote>
  <w:footnote w:id="6">
    <w:p w14:paraId="2E5194D0" w14:textId="469F8086" w:rsidR="00F5162A" w:rsidRPr="00D04842" w:rsidRDefault="00F5162A" w:rsidP="002A6CCD">
      <w:pPr>
        <w:pStyle w:val="FootnoteText"/>
        <w:adjustRightInd w:val="0"/>
        <w:snapToGrid w:val="0"/>
        <w:jc w:val="both"/>
        <w:rPr>
          <w:rFonts w:ascii="Arial" w:hAnsi="Arial" w:cs="Arial"/>
          <w:color w:val="000000" w:themeColor="text1"/>
          <w:lang w:val="en-US"/>
        </w:rPr>
      </w:pPr>
      <w:r w:rsidRPr="00D04842">
        <w:rPr>
          <w:rStyle w:val="FootnoteReference"/>
          <w:rFonts w:ascii="Arial" w:hAnsi="Arial" w:cs="Arial"/>
          <w:color w:val="000000" w:themeColor="text1"/>
        </w:rPr>
        <w:footnoteRef/>
      </w:r>
      <w:r w:rsidRPr="00D04842">
        <w:rPr>
          <w:rFonts w:ascii="Arial" w:hAnsi="Arial" w:cs="Arial"/>
          <w:color w:val="000000" w:themeColor="text1"/>
        </w:rPr>
        <w:t xml:space="preserve"> </w:t>
      </w:r>
      <w:r w:rsidRPr="00D04842">
        <w:rPr>
          <w:rFonts w:ascii="Arial" w:hAnsi="Arial" w:cs="Arial"/>
          <w:color w:val="000000" w:themeColor="text1"/>
          <w:lang w:val="en-US"/>
        </w:rPr>
        <w:t>I</w:t>
      </w:r>
      <w:r w:rsidR="00B73FF9" w:rsidRPr="00D04842">
        <w:rPr>
          <w:rFonts w:ascii="Arial" w:hAnsi="Arial" w:cs="Arial"/>
          <w:color w:val="000000" w:themeColor="text1"/>
          <w:lang w:val="en-US"/>
        </w:rPr>
        <w:t>bi</w:t>
      </w:r>
      <w:r w:rsidRPr="00D04842">
        <w:rPr>
          <w:rFonts w:ascii="Arial" w:hAnsi="Arial" w:cs="Arial"/>
          <w:color w:val="000000" w:themeColor="text1"/>
          <w:lang w:val="en-US"/>
        </w:rPr>
        <w:t xml:space="preserve">d para 16 with reference to </w:t>
      </w:r>
      <w:r w:rsidRPr="00D04842">
        <w:rPr>
          <w:rFonts w:ascii="Arial" w:hAnsi="Arial" w:cs="Arial"/>
          <w:i/>
          <w:iCs/>
          <w:color w:val="000000" w:themeColor="text1"/>
        </w:rPr>
        <w:t>Land- en Landboubank van Suid-Afrika v Die Meester</w:t>
      </w:r>
      <w:r w:rsidRPr="00D04842">
        <w:rPr>
          <w:rStyle w:val="apple-converted-space"/>
          <w:rFonts w:ascii="Arial" w:hAnsi="Arial" w:cs="Arial"/>
          <w:i/>
          <w:iCs/>
          <w:color w:val="000000" w:themeColor="text1"/>
        </w:rPr>
        <w:t> </w:t>
      </w:r>
      <w:hyperlink r:id="rId1" w:tooltip="View LawCiteRecord" w:history="1">
        <w:r w:rsidRPr="00D04842">
          <w:rPr>
            <w:rStyle w:val="Hyperlink"/>
            <w:rFonts w:ascii="Arial" w:hAnsi="Arial" w:cs="Arial"/>
            <w:color w:val="000000" w:themeColor="text1"/>
            <w:u w:val="none"/>
          </w:rPr>
          <w:t>1991 (2) SA 761</w:t>
        </w:r>
      </w:hyperlink>
      <w:r w:rsidRPr="00D04842">
        <w:rPr>
          <w:rStyle w:val="apple-converted-space"/>
          <w:rFonts w:ascii="Arial" w:hAnsi="Arial" w:cs="Arial"/>
          <w:color w:val="000000" w:themeColor="text1"/>
        </w:rPr>
        <w:t> </w:t>
      </w:r>
      <w:r w:rsidRPr="00D04842">
        <w:rPr>
          <w:rFonts w:ascii="Arial" w:hAnsi="Arial" w:cs="Arial"/>
          <w:color w:val="000000" w:themeColor="text1"/>
        </w:rPr>
        <w:t>(A) 771C-G;</w:t>
      </w:r>
      <w:r w:rsidRPr="00D04842">
        <w:rPr>
          <w:rStyle w:val="apple-converted-space"/>
          <w:rFonts w:ascii="Arial" w:hAnsi="Arial" w:cs="Arial"/>
          <w:color w:val="000000" w:themeColor="text1"/>
        </w:rPr>
        <w:t> </w:t>
      </w:r>
      <w:r w:rsidRPr="00D04842">
        <w:rPr>
          <w:rFonts w:ascii="Arial" w:hAnsi="Arial" w:cs="Arial"/>
          <w:i/>
          <w:iCs/>
          <w:color w:val="000000" w:themeColor="text1"/>
        </w:rPr>
        <w:t>Development Bank of Southern Africa Ltd v Van Rensburg</w:t>
      </w:r>
      <w:r w:rsidRPr="00D04842">
        <w:rPr>
          <w:rStyle w:val="apple-converted-space"/>
          <w:rFonts w:ascii="Arial" w:hAnsi="Arial" w:cs="Arial"/>
          <w:i/>
          <w:iCs/>
          <w:color w:val="000000" w:themeColor="text1"/>
        </w:rPr>
        <w:t> </w:t>
      </w:r>
      <w:hyperlink r:id="rId2" w:tooltip="View LawCiteRecord" w:history="1">
        <w:r w:rsidRPr="00D04842">
          <w:rPr>
            <w:rStyle w:val="Hyperlink"/>
            <w:rFonts w:ascii="Arial" w:hAnsi="Arial" w:cs="Arial"/>
            <w:color w:val="000000" w:themeColor="text1"/>
            <w:u w:val="none"/>
          </w:rPr>
          <w:t>2002 (5) SA 425</w:t>
        </w:r>
      </w:hyperlink>
      <w:r w:rsidRPr="00D04842">
        <w:rPr>
          <w:rStyle w:val="apple-converted-space"/>
          <w:rFonts w:ascii="Arial" w:hAnsi="Arial" w:cs="Arial"/>
          <w:color w:val="000000" w:themeColor="text1"/>
        </w:rPr>
        <w:t> </w:t>
      </w:r>
      <w:r w:rsidRPr="00D04842">
        <w:rPr>
          <w:rFonts w:ascii="Arial" w:hAnsi="Arial" w:cs="Arial"/>
          <w:color w:val="000000" w:themeColor="text1"/>
        </w:rPr>
        <w:t>(SCA) para 50.</w:t>
      </w:r>
    </w:p>
  </w:footnote>
  <w:footnote w:id="7">
    <w:p w14:paraId="230B7EE7" w14:textId="50B88A9C" w:rsidR="00035B40" w:rsidRPr="00D04842" w:rsidRDefault="00035B40" w:rsidP="002A6CCD">
      <w:pPr>
        <w:pStyle w:val="FootnoteText"/>
        <w:jc w:val="both"/>
        <w:rPr>
          <w:rFonts w:ascii="Arial" w:hAnsi="Arial" w:cs="Arial"/>
          <w:color w:val="000000" w:themeColor="text1"/>
          <w:lang w:val="en-US"/>
        </w:rPr>
      </w:pPr>
      <w:r w:rsidRPr="00D04842">
        <w:rPr>
          <w:rStyle w:val="FootnoteReference"/>
          <w:rFonts w:ascii="Arial" w:hAnsi="Arial" w:cs="Arial"/>
          <w:color w:val="000000" w:themeColor="text1"/>
        </w:rPr>
        <w:footnoteRef/>
      </w:r>
      <w:r w:rsidR="00227B03" w:rsidRPr="00D04842">
        <w:rPr>
          <w:rFonts w:ascii="Arial" w:hAnsi="Arial" w:cs="Arial"/>
          <w:color w:val="000000" w:themeColor="text1"/>
        </w:rPr>
        <w:t xml:space="preserve"> </w:t>
      </w:r>
      <w:r w:rsidRPr="00905BCC">
        <w:rPr>
          <w:rFonts w:ascii="Arial" w:hAnsi="Arial" w:cs="Arial"/>
          <w:i/>
          <w:iCs/>
          <w:color w:val="000000" w:themeColor="text1"/>
        </w:rPr>
        <w:t>Grobler</w:t>
      </w:r>
      <w:r w:rsidRPr="00D04842">
        <w:rPr>
          <w:rFonts w:ascii="Arial" w:hAnsi="Arial" w:cs="Arial"/>
          <w:color w:val="000000" w:themeColor="text1"/>
        </w:rPr>
        <w:t xml:space="preserve"> </w:t>
      </w:r>
      <w:r w:rsidR="00B14F0E" w:rsidRPr="00D04842">
        <w:rPr>
          <w:rFonts w:ascii="Arial" w:hAnsi="Arial" w:cs="Arial"/>
          <w:color w:val="000000" w:themeColor="text1"/>
        </w:rPr>
        <w:t xml:space="preserve">para </w:t>
      </w:r>
      <w:r w:rsidRPr="00D04842">
        <w:rPr>
          <w:rFonts w:ascii="Arial" w:hAnsi="Arial" w:cs="Arial"/>
          <w:color w:val="000000" w:themeColor="text1"/>
        </w:rPr>
        <w:t xml:space="preserve">17 with reference to </w:t>
      </w:r>
      <w:r w:rsidRPr="00D04842">
        <w:rPr>
          <w:rFonts w:ascii="Arial" w:hAnsi="Arial" w:cs="Arial"/>
          <w:i/>
          <w:iCs/>
          <w:color w:val="000000" w:themeColor="text1"/>
        </w:rPr>
        <w:t>Leyds N</w:t>
      </w:r>
      <w:r w:rsidR="00C34B5D">
        <w:rPr>
          <w:rFonts w:ascii="Arial" w:hAnsi="Arial" w:cs="Arial"/>
          <w:i/>
          <w:iCs/>
          <w:color w:val="000000" w:themeColor="text1"/>
        </w:rPr>
        <w:t xml:space="preserve"> </w:t>
      </w:r>
      <w:r w:rsidRPr="00D04842">
        <w:rPr>
          <w:rFonts w:ascii="Arial" w:hAnsi="Arial" w:cs="Arial"/>
          <w:i/>
          <w:iCs/>
          <w:color w:val="000000" w:themeColor="text1"/>
        </w:rPr>
        <w:t>O v Noord-Westelike Koöperatiewe Landboumaatskappy</w:t>
      </w:r>
      <w:r w:rsidRPr="00905BCC">
        <w:rPr>
          <w:rFonts w:ascii="Arial" w:hAnsi="Arial" w:cs="Arial"/>
          <w:i/>
          <w:iCs/>
          <w:color w:val="000000" w:themeColor="text1"/>
        </w:rPr>
        <w:t xml:space="preserve"> Bpk</w:t>
      </w:r>
      <w:r w:rsidRPr="00D04842">
        <w:rPr>
          <w:rFonts w:ascii="Arial" w:hAnsi="Arial" w:cs="Arial"/>
          <w:color w:val="000000" w:themeColor="text1"/>
        </w:rPr>
        <w:t xml:space="preserve"> 1985 (2) SA 769 (A) at 780E-G; </w:t>
      </w:r>
      <w:r w:rsidRPr="00D04842">
        <w:rPr>
          <w:rFonts w:ascii="Arial" w:hAnsi="Arial" w:cs="Arial"/>
          <w:i/>
          <w:iCs/>
          <w:color w:val="000000" w:themeColor="text1"/>
        </w:rPr>
        <w:t>Bank of Lisbon and South Africa Ltd v The Master</w:t>
      </w:r>
      <w:r w:rsidRPr="00D04842">
        <w:rPr>
          <w:rFonts w:ascii="Arial" w:hAnsi="Arial" w:cs="Arial"/>
          <w:color w:val="000000" w:themeColor="text1"/>
        </w:rPr>
        <w:t xml:space="preserve"> </w:t>
      </w:r>
      <w:r w:rsidR="003E6BC2" w:rsidRPr="00905BCC">
        <w:rPr>
          <w:rFonts w:ascii="Arial" w:hAnsi="Arial" w:cs="Arial"/>
          <w:i/>
          <w:iCs/>
          <w:color w:val="000000" w:themeColor="text1"/>
        </w:rPr>
        <w:t xml:space="preserve">and </w:t>
      </w:r>
      <w:r w:rsidR="00C34B5D" w:rsidRPr="00905BCC">
        <w:rPr>
          <w:rFonts w:ascii="Arial" w:hAnsi="Arial" w:cs="Arial"/>
          <w:i/>
          <w:iCs/>
          <w:color w:val="000000" w:themeColor="text1"/>
        </w:rPr>
        <w:t>O</w:t>
      </w:r>
      <w:r w:rsidR="003E6BC2" w:rsidRPr="00905BCC">
        <w:rPr>
          <w:rFonts w:ascii="Arial" w:hAnsi="Arial" w:cs="Arial"/>
          <w:i/>
          <w:iCs/>
          <w:color w:val="000000" w:themeColor="text1"/>
        </w:rPr>
        <w:t>thers</w:t>
      </w:r>
      <w:r w:rsidR="003E6BC2" w:rsidRPr="00D04842">
        <w:rPr>
          <w:rFonts w:ascii="Arial" w:hAnsi="Arial" w:cs="Arial"/>
          <w:color w:val="000000" w:themeColor="text1"/>
        </w:rPr>
        <w:t xml:space="preserve"> 1987 (1) SA 276 (A) </w:t>
      </w:r>
      <w:r w:rsidRPr="00D04842">
        <w:rPr>
          <w:rFonts w:ascii="Arial" w:hAnsi="Arial" w:cs="Arial"/>
          <w:color w:val="000000" w:themeColor="text1"/>
        </w:rPr>
        <w:t xml:space="preserve">at 291H-294H; </w:t>
      </w:r>
      <w:r w:rsidRPr="00D04842">
        <w:rPr>
          <w:rFonts w:ascii="Arial" w:hAnsi="Arial" w:cs="Arial"/>
          <w:i/>
          <w:iCs/>
          <w:color w:val="000000" w:themeColor="text1"/>
        </w:rPr>
        <w:t>Incledon (Welkom) (Pty) Ltd v Qwa Qwa Development Corporation Ltd</w:t>
      </w:r>
      <w:r w:rsidRPr="00D04842">
        <w:rPr>
          <w:rFonts w:ascii="Arial" w:hAnsi="Arial" w:cs="Arial"/>
          <w:color w:val="000000" w:themeColor="text1"/>
        </w:rPr>
        <w:t xml:space="preserve"> [1990] ZASCA 85; 1990 (4) SA 798 (A) at 804F-J; </w:t>
      </w:r>
      <w:r w:rsidRPr="00D04842">
        <w:rPr>
          <w:rFonts w:ascii="Arial" w:hAnsi="Arial" w:cs="Arial"/>
          <w:i/>
          <w:iCs/>
          <w:color w:val="000000" w:themeColor="text1"/>
        </w:rPr>
        <w:t>Millman N</w:t>
      </w:r>
      <w:r w:rsidR="00C34B5D">
        <w:rPr>
          <w:rFonts w:ascii="Arial" w:hAnsi="Arial" w:cs="Arial"/>
          <w:i/>
          <w:iCs/>
          <w:color w:val="000000" w:themeColor="text1"/>
        </w:rPr>
        <w:t xml:space="preserve"> </w:t>
      </w:r>
      <w:r w:rsidRPr="00D04842">
        <w:rPr>
          <w:rFonts w:ascii="Arial" w:hAnsi="Arial" w:cs="Arial"/>
          <w:i/>
          <w:iCs/>
          <w:color w:val="000000" w:themeColor="text1"/>
        </w:rPr>
        <w:t>O v Twiggs</w:t>
      </w:r>
      <w:r w:rsidRPr="00D04842">
        <w:rPr>
          <w:rFonts w:ascii="Arial" w:hAnsi="Arial" w:cs="Arial"/>
          <w:color w:val="000000" w:themeColor="text1"/>
        </w:rPr>
        <w:t xml:space="preserve"> [1995] ZASCA 62; 1995 (3) SA 674 (A) at 676H; </w:t>
      </w:r>
      <w:r w:rsidRPr="00D04842">
        <w:rPr>
          <w:rFonts w:ascii="Arial" w:hAnsi="Arial" w:cs="Arial"/>
          <w:i/>
          <w:iCs/>
          <w:color w:val="000000" w:themeColor="text1"/>
        </w:rPr>
        <w:t xml:space="preserve">Development Bank of Southern Africa Ltd v Van Rensburg </w:t>
      </w:r>
      <w:r w:rsidR="00CA20EB" w:rsidRPr="00D04842">
        <w:rPr>
          <w:rFonts w:ascii="Arial" w:hAnsi="Arial" w:cs="Arial"/>
          <w:color w:val="000000" w:themeColor="text1"/>
        </w:rPr>
        <w:t>fn 6</w:t>
      </w:r>
      <w:r w:rsidRPr="00D04842">
        <w:rPr>
          <w:rFonts w:ascii="Arial" w:hAnsi="Arial" w:cs="Arial"/>
          <w:color w:val="000000" w:themeColor="text1"/>
        </w:rPr>
        <w:t xml:space="preserve"> para 50. </w:t>
      </w:r>
    </w:p>
  </w:footnote>
  <w:footnote w:id="8">
    <w:p w14:paraId="50E98568" w14:textId="5F79C396" w:rsidR="00114224" w:rsidRPr="00D04842" w:rsidRDefault="00114224" w:rsidP="002A6CCD">
      <w:pPr>
        <w:jc w:val="both"/>
        <w:rPr>
          <w:rFonts w:ascii="Arial" w:hAnsi="Arial" w:cs="Arial"/>
          <w:color w:val="000000" w:themeColor="text1"/>
          <w:sz w:val="20"/>
          <w:szCs w:val="20"/>
        </w:rPr>
      </w:pPr>
      <w:r w:rsidRPr="00D04842">
        <w:rPr>
          <w:rStyle w:val="FootnoteReference"/>
          <w:rFonts w:ascii="Arial" w:hAnsi="Arial" w:cs="Arial"/>
          <w:color w:val="000000" w:themeColor="text1"/>
          <w:sz w:val="20"/>
          <w:szCs w:val="20"/>
        </w:rPr>
        <w:footnoteRef/>
      </w:r>
      <w:r w:rsidRPr="00D04842">
        <w:rPr>
          <w:rFonts w:ascii="Arial" w:hAnsi="Arial" w:cs="Arial"/>
          <w:color w:val="000000" w:themeColor="text1"/>
          <w:sz w:val="20"/>
          <w:szCs w:val="20"/>
        </w:rPr>
        <w:t xml:space="preserve"> </w:t>
      </w:r>
      <w:r w:rsidRPr="00D04842">
        <w:rPr>
          <w:rFonts w:ascii="Arial" w:hAnsi="Arial" w:cs="Arial"/>
          <w:i/>
          <w:color w:val="000000" w:themeColor="text1"/>
          <w:sz w:val="20"/>
          <w:szCs w:val="20"/>
        </w:rPr>
        <w:t>Grobler</w:t>
      </w:r>
      <w:r w:rsidRPr="00D04842">
        <w:rPr>
          <w:rFonts w:ascii="Arial" w:hAnsi="Arial" w:cs="Arial"/>
          <w:color w:val="000000" w:themeColor="text1"/>
          <w:sz w:val="20"/>
          <w:szCs w:val="20"/>
        </w:rPr>
        <w:t xml:space="preserve"> para 17. </w:t>
      </w:r>
    </w:p>
  </w:footnote>
  <w:footnote w:id="9">
    <w:p w14:paraId="2571FDBD" w14:textId="5F4C149F" w:rsidR="0061783D" w:rsidRPr="00905BCC" w:rsidRDefault="0061783D" w:rsidP="00905BCC">
      <w:pPr>
        <w:pStyle w:val="FootnoteText"/>
        <w:jc w:val="both"/>
        <w:rPr>
          <w:rFonts w:ascii="Arial" w:hAnsi="Arial" w:cs="Arial"/>
          <w:lang w:val="en-ZA"/>
        </w:rPr>
      </w:pPr>
      <w:r w:rsidRPr="00905BCC">
        <w:rPr>
          <w:rStyle w:val="FootnoteReference"/>
          <w:rFonts w:ascii="Arial" w:hAnsi="Arial" w:cs="Arial"/>
        </w:rPr>
        <w:footnoteRef/>
      </w:r>
      <w:r w:rsidRPr="00905BCC">
        <w:rPr>
          <w:rFonts w:ascii="Arial" w:hAnsi="Arial" w:cs="Arial"/>
        </w:rPr>
        <w:t xml:space="preserve"> </w:t>
      </w:r>
      <w:r w:rsidRPr="00905BCC">
        <w:rPr>
          <w:rFonts w:ascii="Arial" w:hAnsi="Arial" w:cs="Arial"/>
          <w:i/>
          <w:iCs/>
          <w:lang w:val="en-ZA"/>
        </w:rPr>
        <w:t>Grobler</w:t>
      </w:r>
      <w:r w:rsidRPr="00905BCC">
        <w:rPr>
          <w:rFonts w:ascii="Arial" w:hAnsi="Arial" w:cs="Arial"/>
          <w:lang w:val="en-ZA"/>
        </w:rPr>
        <w:t xml:space="preserve"> para 17.</w:t>
      </w:r>
      <w:r w:rsidR="00D670F5" w:rsidRPr="00905BCC">
        <w:rPr>
          <w:rFonts w:ascii="Arial" w:hAnsi="Arial" w:cs="Arial"/>
          <w:lang w:val="en-ZA"/>
        </w:rPr>
        <w:t xml:space="preserve"> </w:t>
      </w:r>
    </w:p>
  </w:footnote>
  <w:footnote w:id="10">
    <w:p w14:paraId="61236E2F" w14:textId="04C00DA1" w:rsidR="00B2034B" w:rsidRPr="00D04842" w:rsidRDefault="00B2034B" w:rsidP="002A6CCD">
      <w:pPr>
        <w:pStyle w:val="FootnoteText"/>
        <w:jc w:val="both"/>
        <w:rPr>
          <w:rFonts w:ascii="Arial" w:hAnsi="Arial" w:cs="Arial"/>
          <w:color w:val="000000" w:themeColor="text1"/>
          <w:lang w:val="en-US"/>
        </w:rPr>
      </w:pPr>
      <w:r w:rsidRPr="00D04842">
        <w:rPr>
          <w:rStyle w:val="FootnoteReference"/>
          <w:rFonts w:ascii="Arial" w:hAnsi="Arial" w:cs="Arial"/>
          <w:color w:val="000000" w:themeColor="text1"/>
        </w:rPr>
        <w:footnoteRef/>
      </w:r>
      <w:r w:rsidRPr="00D04842">
        <w:rPr>
          <w:rFonts w:ascii="Arial" w:hAnsi="Arial" w:cs="Arial"/>
          <w:color w:val="000000" w:themeColor="text1"/>
        </w:rPr>
        <w:t xml:space="preserve"> </w:t>
      </w:r>
      <w:r w:rsidR="002A6CCD">
        <w:rPr>
          <w:rFonts w:ascii="Arial" w:hAnsi="Arial" w:cs="Arial"/>
          <w:color w:val="000000" w:themeColor="text1"/>
          <w:lang w:val="en-US"/>
        </w:rPr>
        <w:t xml:space="preserve">3 </w:t>
      </w:r>
      <w:r w:rsidRPr="00905BCC">
        <w:rPr>
          <w:rFonts w:ascii="Arial" w:hAnsi="Arial" w:cs="Arial"/>
          <w:i/>
          <w:iCs/>
          <w:color w:val="000000" w:themeColor="text1"/>
          <w:lang w:val="en-US"/>
        </w:rPr>
        <w:t>L</w:t>
      </w:r>
      <w:r w:rsidR="00D670F5" w:rsidRPr="00905BCC">
        <w:rPr>
          <w:rFonts w:ascii="Arial" w:hAnsi="Arial" w:cs="Arial"/>
          <w:i/>
          <w:iCs/>
          <w:color w:val="000000" w:themeColor="text1"/>
          <w:lang w:val="en-US"/>
        </w:rPr>
        <w:t>awsa</w:t>
      </w:r>
      <w:r w:rsidRPr="00D04842">
        <w:rPr>
          <w:rFonts w:ascii="Arial" w:hAnsi="Arial" w:cs="Arial"/>
          <w:color w:val="000000" w:themeColor="text1"/>
          <w:lang w:val="en-US"/>
        </w:rPr>
        <w:t xml:space="preserve"> 3</w:t>
      </w:r>
      <w:r w:rsidR="00D670F5" w:rsidRPr="00D04842">
        <w:rPr>
          <w:rFonts w:ascii="Arial" w:hAnsi="Arial" w:cs="Arial"/>
          <w:color w:val="000000" w:themeColor="text1"/>
          <w:lang w:val="en-US"/>
        </w:rPr>
        <w:t xml:space="preserve"> ed </w:t>
      </w:r>
      <w:r w:rsidR="00AB6146" w:rsidRPr="00D04842">
        <w:rPr>
          <w:rFonts w:ascii="Arial" w:hAnsi="Arial" w:cs="Arial"/>
          <w:color w:val="000000" w:themeColor="text1"/>
          <w:lang w:val="en-US"/>
        </w:rPr>
        <w:t>para</w:t>
      </w:r>
      <w:r w:rsidRPr="00D04842">
        <w:rPr>
          <w:rFonts w:ascii="Arial" w:hAnsi="Arial" w:cs="Arial"/>
          <w:color w:val="000000" w:themeColor="text1"/>
          <w:lang w:val="en-US"/>
        </w:rPr>
        <w:t xml:space="preserve"> 180. </w:t>
      </w:r>
    </w:p>
  </w:footnote>
  <w:footnote w:id="11">
    <w:p w14:paraId="00414F59" w14:textId="3D4922C3" w:rsidR="00C807C5" w:rsidRPr="00D04842" w:rsidRDefault="00C807C5" w:rsidP="002A6CCD">
      <w:pPr>
        <w:pStyle w:val="FootnoteText"/>
        <w:jc w:val="both"/>
        <w:rPr>
          <w:rFonts w:ascii="Arial" w:hAnsi="Arial" w:cs="Arial"/>
          <w:color w:val="000000" w:themeColor="text1"/>
          <w:lang w:val="en-US"/>
        </w:rPr>
      </w:pPr>
      <w:r w:rsidRPr="00D04842">
        <w:rPr>
          <w:rStyle w:val="FootnoteReference"/>
          <w:rFonts w:ascii="Arial" w:hAnsi="Arial" w:cs="Arial"/>
          <w:color w:val="000000" w:themeColor="text1"/>
        </w:rPr>
        <w:footnoteRef/>
      </w:r>
      <w:r w:rsidRPr="00D04842">
        <w:rPr>
          <w:rFonts w:ascii="Arial" w:hAnsi="Arial" w:cs="Arial"/>
          <w:color w:val="000000" w:themeColor="text1"/>
        </w:rPr>
        <w:t xml:space="preserve"> </w:t>
      </w:r>
      <w:r w:rsidR="003C5C1F" w:rsidRPr="00D04842">
        <w:rPr>
          <w:rFonts w:ascii="Arial" w:hAnsi="Arial" w:cs="Arial"/>
          <w:color w:val="000000" w:themeColor="text1"/>
        </w:rPr>
        <w:t xml:space="preserve">2 </w:t>
      </w:r>
      <w:r w:rsidRPr="00905BCC">
        <w:rPr>
          <w:rFonts w:ascii="Arial" w:hAnsi="Arial" w:cs="Arial"/>
          <w:i/>
          <w:iCs/>
          <w:color w:val="000000" w:themeColor="text1"/>
          <w:lang w:val="en-US"/>
        </w:rPr>
        <w:t>L</w:t>
      </w:r>
      <w:r w:rsidR="003C5C1F" w:rsidRPr="00905BCC">
        <w:rPr>
          <w:rFonts w:ascii="Arial" w:hAnsi="Arial" w:cs="Arial"/>
          <w:i/>
          <w:iCs/>
          <w:color w:val="000000" w:themeColor="text1"/>
          <w:lang w:val="en-US"/>
        </w:rPr>
        <w:t>awsa</w:t>
      </w:r>
      <w:r w:rsidRPr="00D04842">
        <w:rPr>
          <w:rFonts w:ascii="Arial" w:hAnsi="Arial" w:cs="Arial"/>
          <w:color w:val="000000" w:themeColor="text1"/>
          <w:lang w:val="en-US"/>
        </w:rPr>
        <w:t xml:space="preserve"> 2</w:t>
      </w:r>
      <w:r w:rsidR="002A6CCD">
        <w:rPr>
          <w:rFonts w:ascii="Arial" w:hAnsi="Arial" w:cs="Arial"/>
          <w:color w:val="000000" w:themeColor="text1"/>
          <w:lang w:val="en-US"/>
        </w:rPr>
        <w:t xml:space="preserve"> ed</w:t>
      </w:r>
      <w:r w:rsidRPr="00D04842">
        <w:rPr>
          <w:rFonts w:ascii="Arial" w:hAnsi="Arial" w:cs="Arial"/>
          <w:color w:val="000000" w:themeColor="text1"/>
          <w:lang w:val="en-US"/>
        </w:rPr>
        <w:t xml:space="preserve"> para 53; Van der Merwe </w:t>
      </w:r>
      <w:r w:rsidR="00AB7C2E" w:rsidRPr="00D04842">
        <w:rPr>
          <w:rFonts w:ascii="Arial" w:hAnsi="Arial" w:cs="Arial"/>
          <w:i/>
          <w:iCs/>
          <w:color w:val="000000" w:themeColor="text1"/>
          <w:lang w:val="en-US"/>
        </w:rPr>
        <w:t>Kontraktereg</w:t>
      </w:r>
      <w:r w:rsidRPr="00D04842">
        <w:rPr>
          <w:rFonts w:ascii="Arial" w:hAnsi="Arial" w:cs="Arial"/>
          <w:color w:val="000000" w:themeColor="text1"/>
          <w:lang w:val="en-US"/>
        </w:rPr>
        <w:t xml:space="preserve"> 4</w:t>
      </w:r>
      <w:r w:rsidRPr="00D04842">
        <w:rPr>
          <w:rFonts w:ascii="Arial" w:hAnsi="Arial" w:cs="Arial"/>
          <w:color w:val="000000" w:themeColor="text1"/>
          <w:vertAlign w:val="superscript"/>
          <w:lang w:val="en-US"/>
        </w:rPr>
        <w:t>th</w:t>
      </w:r>
      <w:r w:rsidRPr="00D04842">
        <w:rPr>
          <w:rFonts w:ascii="Arial" w:hAnsi="Arial" w:cs="Arial"/>
          <w:color w:val="000000" w:themeColor="text1"/>
          <w:lang w:val="en-US"/>
        </w:rPr>
        <w:t xml:space="preserve"> ed </w:t>
      </w:r>
      <w:r w:rsidR="00AB7C2E" w:rsidRPr="00D04842">
        <w:rPr>
          <w:rFonts w:ascii="Arial" w:hAnsi="Arial" w:cs="Arial"/>
          <w:color w:val="000000" w:themeColor="text1"/>
          <w:lang w:val="en-US"/>
        </w:rPr>
        <w:t xml:space="preserve">(2012) </w:t>
      </w:r>
      <w:r w:rsidRPr="00D04842">
        <w:rPr>
          <w:rFonts w:ascii="Arial" w:hAnsi="Arial" w:cs="Arial"/>
          <w:color w:val="000000" w:themeColor="text1"/>
          <w:lang w:val="en-US"/>
        </w:rPr>
        <w:t>at 427.</w:t>
      </w:r>
    </w:p>
  </w:footnote>
  <w:footnote w:id="12">
    <w:p w14:paraId="33313856" w14:textId="2F4B674B" w:rsidR="00AA1D97" w:rsidRPr="00D04842" w:rsidRDefault="00AA1D97" w:rsidP="002A6CCD">
      <w:pPr>
        <w:pStyle w:val="FootnoteText"/>
        <w:jc w:val="both"/>
        <w:rPr>
          <w:rFonts w:ascii="Arial" w:hAnsi="Arial" w:cs="Arial"/>
          <w:color w:val="000000" w:themeColor="text1"/>
          <w:lang w:val="en-US"/>
        </w:rPr>
      </w:pPr>
      <w:r w:rsidRPr="00D04842">
        <w:rPr>
          <w:rStyle w:val="FootnoteReference"/>
          <w:rFonts w:ascii="Arial" w:hAnsi="Arial" w:cs="Arial"/>
          <w:color w:val="000000" w:themeColor="text1"/>
        </w:rPr>
        <w:footnoteRef/>
      </w:r>
      <w:r w:rsidRPr="00D04842">
        <w:rPr>
          <w:rFonts w:ascii="Arial" w:hAnsi="Arial" w:cs="Arial"/>
          <w:color w:val="000000" w:themeColor="text1"/>
        </w:rPr>
        <w:t xml:space="preserve"> </w:t>
      </w:r>
      <w:r w:rsidRPr="00905BCC">
        <w:rPr>
          <w:rFonts w:ascii="Arial" w:hAnsi="Arial" w:cs="Arial"/>
          <w:i/>
          <w:iCs/>
          <w:color w:val="000000" w:themeColor="text1"/>
          <w:lang w:val="en-US"/>
        </w:rPr>
        <w:t>Grobler</w:t>
      </w:r>
      <w:r w:rsidRPr="00D04842">
        <w:rPr>
          <w:rFonts w:ascii="Arial" w:hAnsi="Arial" w:cs="Arial"/>
          <w:color w:val="000000" w:themeColor="text1"/>
          <w:lang w:val="en-US"/>
        </w:rPr>
        <w:t xml:space="preserve"> paras 11-14; </w:t>
      </w:r>
      <w:r w:rsidR="00C807C5" w:rsidRPr="00D04842">
        <w:rPr>
          <w:rFonts w:ascii="Arial" w:hAnsi="Arial" w:cs="Arial"/>
          <w:i/>
          <w:color w:val="000000" w:themeColor="text1"/>
        </w:rPr>
        <w:t>Worman v Hughes and Others</w:t>
      </w:r>
      <w:r w:rsidR="00C807C5" w:rsidRPr="00D04842">
        <w:rPr>
          <w:rFonts w:ascii="Arial" w:hAnsi="Arial" w:cs="Arial"/>
          <w:color w:val="000000" w:themeColor="text1"/>
        </w:rPr>
        <w:t xml:space="preserve"> 1948 (3) SA 495 (A) at 505; </w:t>
      </w:r>
      <w:r w:rsidRPr="00905BCC">
        <w:rPr>
          <w:rFonts w:ascii="Arial" w:hAnsi="Arial" w:cs="Arial"/>
          <w:i/>
          <w:iCs/>
          <w:color w:val="000000" w:themeColor="text1"/>
          <w:lang w:val="en-US"/>
        </w:rPr>
        <w:t>Byron v Duke Inc</w:t>
      </w:r>
      <w:r w:rsidRPr="00D04842">
        <w:rPr>
          <w:rFonts w:ascii="Arial" w:hAnsi="Arial" w:cs="Arial"/>
          <w:color w:val="000000" w:themeColor="text1"/>
          <w:lang w:val="en-US"/>
        </w:rPr>
        <w:t xml:space="preserve"> </w:t>
      </w:r>
      <w:r w:rsidR="004D2F4D" w:rsidRPr="00D04842">
        <w:rPr>
          <w:rFonts w:ascii="Arial" w:hAnsi="Arial" w:cs="Arial"/>
          <w:color w:val="000000" w:themeColor="text1"/>
          <w:lang w:val="en-US"/>
        </w:rPr>
        <w:t xml:space="preserve">[2002] ZASCA 58; </w:t>
      </w:r>
      <w:r w:rsidRPr="00D04842">
        <w:rPr>
          <w:rFonts w:ascii="Arial" w:hAnsi="Arial" w:cs="Arial"/>
          <w:color w:val="000000" w:themeColor="text1"/>
          <w:lang w:val="en-US"/>
        </w:rPr>
        <w:t>2002 (5) SA 483 (SCA)</w:t>
      </w:r>
      <w:r w:rsidR="00C807C5" w:rsidRPr="00D04842">
        <w:rPr>
          <w:rFonts w:ascii="Arial" w:hAnsi="Arial" w:cs="Arial"/>
          <w:color w:val="000000" w:themeColor="text1"/>
          <w:lang w:val="en-US"/>
        </w:rPr>
        <w:t>.</w:t>
      </w:r>
      <w:r w:rsidR="00C807C5" w:rsidRPr="00D04842">
        <w:rPr>
          <w:rFonts w:ascii="Arial" w:hAnsi="Arial" w:cs="Arial"/>
          <w:color w:val="000000" w:themeColor="text1"/>
        </w:rPr>
        <w:t xml:space="preserve"> This was also applied by this Court in</w:t>
      </w:r>
      <w:r w:rsidR="00C807C5" w:rsidRPr="00D04842">
        <w:rPr>
          <w:rFonts w:ascii="Arial" w:hAnsi="Arial" w:cs="Arial"/>
          <w:i/>
          <w:color w:val="000000" w:themeColor="text1"/>
        </w:rPr>
        <w:t xml:space="preserve"> Freddy Hirsch Group (Pty) Ltd v Chickenland (Pty) Ltd</w:t>
      </w:r>
      <w:r w:rsidR="00C807C5" w:rsidRPr="00D04842">
        <w:rPr>
          <w:rFonts w:ascii="Arial" w:hAnsi="Arial" w:cs="Arial"/>
          <w:color w:val="000000" w:themeColor="text1"/>
        </w:rPr>
        <w:t xml:space="preserve"> </w:t>
      </w:r>
      <w:r w:rsidR="004D2F4D" w:rsidRPr="00D04842">
        <w:rPr>
          <w:rFonts w:ascii="Arial" w:hAnsi="Arial" w:cs="Arial"/>
          <w:color w:val="000000" w:themeColor="text1"/>
        </w:rPr>
        <w:t xml:space="preserve">[2011] </w:t>
      </w:r>
      <w:r w:rsidR="00ED268D" w:rsidRPr="00D04842">
        <w:rPr>
          <w:rFonts w:ascii="Arial" w:hAnsi="Arial" w:cs="Arial"/>
          <w:color w:val="000000" w:themeColor="text1"/>
        </w:rPr>
        <w:t xml:space="preserve">ZASCA 22; </w:t>
      </w:r>
      <w:r w:rsidR="00C807C5" w:rsidRPr="00D04842">
        <w:rPr>
          <w:rFonts w:ascii="Arial" w:hAnsi="Arial" w:cs="Arial"/>
          <w:color w:val="000000" w:themeColor="text1"/>
        </w:rPr>
        <w:t xml:space="preserve">2011 (4) SA 276 (SCA) </w:t>
      </w:r>
      <w:r w:rsidR="0092727B" w:rsidRPr="00D04842">
        <w:rPr>
          <w:rFonts w:ascii="Arial" w:hAnsi="Arial" w:cs="Arial"/>
          <w:color w:val="000000" w:themeColor="text1"/>
        </w:rPr>
        <w:t>para 15.</w:t>
      </w:r>
    </w:p>
  </w:footnote>
  <w:footnote w:id="13">
    <w:p w14:paraId="301A713B" w14:textId="5C6E9ABF" w:rsidR="004940F3" w:rsidRPr="00D04842" w:rsidRDefault="004940F3" w:rsidP="002A6CCD">
      <w:pPr>
        <w:pStyle w:val="FootnoteText"/>
        <w:jc w:val="both"/>
        <w:rPr>
          <w:rFonts w:ascii="Arial" w:hAnsi="Arial" w:cs="Arial"/>
          <w:color w:val="000000" w:themeColor="text1"/>
          <w:lang w:val="en-US"/>
        </w:rPr>
      </w:pPr>
      <w:r w:rsidRPr="00D04842">
        <w:rPr>
          <w:rStyle w:val="FootnoteReference"/>
          <w:rFonts w:ascii="Arial" w:hAnsi="Arial" w:cs="Arial"/>
          <w:color w:val="000000" w:themeColor="text1"/>
        </w:rPr>
        <w:footnoteRef/>
      </w:r>
      <w:r w:rsidRPr="00D04842">
        <w:rPr>
          <w:rFonts w:ascii="Arial" w:hAnsi="Arial" w:cs="Arial"/>
          <w:color w:val="000000" w:themeColor="text1"/>
        </w:rPr>
        <w:t xml:space="preserve"> </w:t>
      </w:r>
      <w:r w:rsidRPr="00D04842">
        <w:rPr>
          <w:rFonts w:ascii="Arial" w:hAnsi="Arial" w:cs="Arial"/>
          <w:i/>
          <w:iCs/>
          <w:color w:val="000000" w:themeColor="text1"/>
          <w:lang w:val="en-US"/>
        </w:rPr>
        <w:t>Government of the Republic of South Africa v Von Abo</w:t>
      </w:r>
      <w:r w:rsidRPr="00D04842">
        <w:rPr>
          <w:rFonts w:ascii="Arial" w:hAnsi="Arial" w:cs="Arial"/>
          <w:color w:val="000000" w:themeColor="text1"/>
          <w:lang w:val="en-US"/>
        </w:rPr>
        <w:t xml:space="preserve"> </w:t>
      </w:r>
      <w:r w:rsidR="003C5C1F" w:rsidRPr="00D04842">
        <w:rPr>
          <w:rFonts w:ascii="Arial" w:hAnsi="Arial" w:cs="Arial"/>
          <w:color w:val="000000" w:themeColor="text1"/>
          <w:lang w:val="en-US"/>
        </w:rPr>
        <w:t xml:space="preserve">[2011] ZASCA 65; </w:t>
      </w:r>
      <w:r w:rsidRPr="00D04842">
        <w:rPr>
          <w:rFonts w:ascii="Arial" w:hAnsi="Arial" w:cs="Arial"/>
          <w:color w:val="000000" w:themeColor="text1"/>
          <w:lang w:val="en-US"/>
        </w:rPr>
        <w:t>2011 (5) SA 262 (SCA) paras 18</w:t>
      </w:r>
      <w:r w:rsidR="0092727B" w:rsidRPr="00D04842">
        <w:rPr>
          <w:rFonts w:ascii="Arial" w:hAnsi="Arial" w:cs="Arial"/>
          <w:color w:val="000000" w:themeColor="text1"/>
          <w:lang w:val="en-US"/>
        </w:rPr>
        <w:t>-</w:t>
      </w:r>
      <w:r w:rsidRPr="00D04842">
        <w:rPr>
          <w:rFonts w:ascii="Arial" w:hAnsi="Arial" w:cs="Arial"/>
          <w:color w:val="000000" w:themeColor="text1"/>
          <w:lang w:val="en-US"/>
        </w:rPr>
        <w:t xml:space="preserve">19; </w:t>
      </w:r>
      <w:r w:rsidRPr="00D04842">
        <w:rPr>
          <w:rFonts w:ascii="Arial" w:hAnsi="Arial" w:cs="Arial"/>
          <w:i/>
          <w:iCs/>
          <w:color w:val="000000" w:themeColor="text1"/>
          <w:lang w:val="en-US"/>
        </w:rPr>
        <w:t>CUSA v Tao Ying Industries</w:t>
      </w:r>
      <w:r w:rsidRPr="00D04842">
        <w:rPr>
          <w:rFonts w:ascii="Arial" w:hAnsi="Arial" w:cs="Arial"/>
          <w:color w:val="000000" w:themeColor="text1"/>
          <w:lang w:val="en-US"/>
        </w:rPr>
        <w:t xml:space="preserve"> </w:t>
      </w:r>
      <w:r w:rsidR="003C5C1F" w:rsidRPr="00D04842">
        <w:rPr>
          <w:rFonts w:ascii="Arial" w:hAnsi="Arial" w:cs="Arial"/>
          <w:color w:val="000000" w:themeColor="text1"/>
          <w:lang w:val="en-US"/>
        </w:rPr>
        <w:t xml:space="preserve">[2008] ZACC 15; </w:t>
      </w:r>
      <w:r w:rsidRPr="00D04842">
        <w:rPr>
          <w:rFonts w:ascii="Arial" w:hAnsi="Arial" w:cs="Arial"/>
          <w:color w:val="000000" w:themeColor="text1"/>
          <w:lang w:val="en-US"/>
        </w:rPr>
        <w:t>2009 (2) SA 204 (CC) at para 68.</w:t>
      </w:r>
    </w:p>
  </w:footnote>
  <w:footnote w:id="14">
    <w:p w14:paraId="2C3EF29E" w14:textId="2DB2982D" w:rsidR="004940F3" w:rsidRPr="00905BCC" w:rsidRDefault="004940F3" w:rsidP="002A6CCD">
      <w:pPr>
        <w:pStyle w:val="FootnoteText"/>
        <w:jc w:val="both"/>
        <w:rPr>
          <w:rFonts w:ascii="Arial" w:hAnsi="Arial" w:cs="Arial"/>
          <w:color w:val="000000" w:themeColor="text1"/>
          <w:lang w:val="en-US"/>
        </w:rPr>
      </w:pPr>
      <w:r w:rsidRPr="00D04842">
        <w:rPr>
          <w:rStyle w:val="FootnoteReference"/>
          <w:rFonts w:ascii="Arial" w:hAnsi="Arial" w:cs="Arial"/>
          <w:color w:val="000000" w:themeColor="text1"/>
        </w:rPr>
        <w:footnoteRef/>
      </w:r>
      <w:r w:rsidRPr="00D04842">
        <w:rPr>
          <w:rFonts w:ascii="Arial" w:hAnsi="Arial" w:cs="Arial"/>
          <w:color w:val="000000" w:themeColor="text1"/>
        </w:rPr>
        <w:t xml:space="preserve"> </w:t>
      </w:r>
      <w:r w:rsidRPr="00D04842">
        <w:rPr>
          <w:rFonts w:ascii="Arial" w:hAnsi="Arial" w:cs="Arial"/>
          <w:color w:val="000000" w:themeColor="text1"/>
          <w:lang w:val="en-US"/>
        </w:rPr>
        <w:t>Van der Merwe</w:t>
      </w:r>
      <w:r w:rsidR="003A7D4A" w:rsidRPr="00D04842">
        <w:rPr>
          <w:rFonts w:ascii="Arial" w:hAnsi="Arial" w:cs="Arial"/>
          <w:color w:val="000000" w:themeColor="text1"/>
          <w:lang w:val="en-US"/>
        </w:rPr>
        <w:t>, fn 12,</w:t>
      </w:r>
      <w:r w:rsidRPr="00D04842">
        <w:rPr>
          <w:rFonts w:ascii="Arial" w:hAnsi="Arial" w:cs="Arial"/>
          <w:color w:val="000000" w:themeColor="text1"/>
          <w:lang w:val="en-US"/>
        </w:rPr>
        <w:t xml:space="preserve"> at 429; </w:t>
      </w:r>
      <w:r w:rsidRPr="00D04842">
        <w:rPr>
          <w:rFonts w:ascii="Arial" w:hAnsi="Arial" w:cs="Arial"/>
          <w:i/>
          <w:iCs/>
          <w:color w:val="000000" w:themeColor="text1"/>
          <w:lang w:val="en-US"/>
        </w:rPr>
        <w:t>MT Argun: Master &amp; Crew of the MT Argun v MT Argun</w:t>
      </w:r>
      <w:r w:rsidRPr="00D04842">
        <w:rPr>
          <w:rFonts w:ascii="Arial" w:hAnsi="Arial" w:cs="Arial"/>
          <w:color w:val="000000" w:themeColor="text1"/>
          <w:lang w:val="en-US"/>
        </w:rPr>
        <w:t xml:space="preserve"> 2003 (3) SA 149 (C) at 158.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A8FC0" w14:textId="0B4C5F83" w:rsidR="00F0305C" w:rsidRDefault="000930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6CCF">
      <w:rPr>
        <w:rStyle w:val="PageNumber"/>
        <w:noProof/>
      </w:rPr>
      <w:t>1</w:t>
    </w:r>
    <w:r>
      <w:rPr>
        <w:rStyle w:val="PageNumber"/>
      </w:rPr>
      <w:fldChar w:fldCharType="end"/>
    </w:r>
  </w:p>
  <w:p w14:paraId="5099912A" w14:textId="77777777" w:rsidR="00F0305C" w:rsidRDefault="00656ECE">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14483" w14:textId="30FF13FD" w:rsidR="00F0305C" w:rsidRPr="00986CCF" w:rsidRDefault="00093030" w:rsidP="00986CCF">
    <w:pPr>
      <w:pStyle w:val="Header"/>
      <w:framePr w:wrap="around" w:vAnchor="text" w:hAnchor="margin" w:xAlign="right" w:y="1"/>
      <w:rPr>
        <w:rStyle w:val="PageNumber"/>
        <w:rFonts w:ascii="Arial" w:hAnsi="Arial" w:cs="Arial"/>
      </w:rPr>
    </w:pPr>
    <w:r w:rsidRPr="00986CCF">
      <w:rPr>
        <w:rStyle w:val="PageNumber"/>
        <w:rFonts w:ascii="Arial" w:hAnsi="Arial" w:cs="Arial"/>
      </w:rPr>
      <w:fldChar w:fldCharType="begin"/>
    </w:r>
    <w:r w:rsidRPr="00986CCF">
      <w:rPr>
        <w:rStyle w:val="PageNumber"/>
        <w:rFonts w:ascii="Arial" w:hAnsi="Arial" w:cs="Arial"/>
      </w:rPr>
      <w:instrText xml:space="preserve">PAGE  </w:instrText>
    </w:r>
    <w:r w:rsidRPr="00986CCF">
      <w:rPr>
        <w:rStyle w:val="PageNumber"/>
        <w:rFonts w:ascii="Arial" w:hAnsi="Arial" w:cs="Arial"/>
      </w:rPr>
      <w:fldChar w:fldCharType="separate"/>
    </w:r>
    <w:r w:rsidR="005F2276">
      <w:rPr>
        <w:rStyle w:val="PageNumber"/>
        <w:rFonts w:ascii="Arial" w:hAnsi="Arial" w:cs="Arial"/>
        <w:noProof/>
      </w:rPr>
      <w:t>2</w:t>
    </w:r>
    <w:r w:rsidRPr="00986CCF">
      <w:rPr>
        <w:rStyle w:val="PageNumber"/>
        <w:rFonts w:ascii="Arial" w:hAnsi="Arial" w:cs="Arial"/>
      </w:rPr>
      <w:fldChar w:fldCharType="end"/>
    </w:r>
  </w:p>
  <w:p w14:paraId="0B7E1CB3" w14:textId="77777777" w:rsidR="00F0305C" w:rsidRPr="00986CCF" w:rsidRDefault="00656ECE" w:rsidP="00986CCF">
    <w:pPr>
      <w:pStyle w:val="Header"/>
      <w:ind w:right="360"/>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E7929"/>
    <w:multiLevelType w:val="hybridMultilevel"/>
    <w:tmpl w:val="04EAC108"/>
    <w:lvl w:ilvl="0" w:tplc="E4B0E136">
      <w:start w:val="1"/>
      <w:numFmt w:val="decimal"/>
      <w:lvlText w:val="[%1]"/>
      <w:lvlJc w:val="left"/>
      <w:pPr>
        <w:ind w:left="0" w:firstLine="0"/>
      </w:pPr>
      <w:rPr>
        <w:rFonts w:ascii="Arial" w:hAnsi="Arial" w:cs="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169C0"/>
    <w:multiLevelType w:val="hybridMultilevel"/>
    <w:tmpl w:val="288607C6"/>
    <w:lvl w:ilvl="0" w:tplc="2C287E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471DC5"/>
    <w:multiLevelType w:val="hybridMultilevel"/>
    <w:tmpl w:val="58A63AF2"/>
    <w:lvl w:ilvl="0" w:tplc="064020FA">
      <w:start w:val="1"/>
      <w:numFmt w:val="decimal"/>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D7C3B13"/>
    <w:multiLevelType w:val="hybridMultilevel"/>
    <w:tmpl w:val="86864630"/>
    <w:lvl w:ilvl="0" w:tplc="7D745D1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4C040B1C"/>
    <w:multiLevelType w:val="hybridMultilevel"/>
    <w:tmpl w:val="7D1AE1E0"/>
    <w:lvl w:ilvl="0" w:tplc="780E4DA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506C0025"/>
    <w:multiLevelType w:val="hybridMultilevel"/>
    <w:tmpl w:val="20E2C256"/>
    <w:lvl w:ilvl="0" w:tplc="15EC649C">
      <w:start w:val="1"/>
      <w:numFmt w:val="decimal"/>
      <w:lvlText w:val="%1."/>
      <w:lvlJc w:val="left"/>
      <w:pPr>
        <w:ind w:left="720" w:hanging="360"/>
      </w:pPr>
      <w:rPr>
        <w:rFonts w:ascii="Times New Roman" w:hAnsi="Times New Roman" w:hint="default"/>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94166C"/>
    <w:multiLevelType w:val="hybridMultilevel"/>
    <w:tmpl w:val="790885F6"/>
    <w:lvl w:ilvl="0" w:tplc="F2B814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884CB2"/>
    <w:multiLevelType w:val="multilevel"/>
    <w:tmpl w:val="348AF466"/>
    <w:lvl w:ilvl="0">
      <w:start w:val="1"/>
      <w:numFmt w:val="decimal"/>
      <w:lvlText w:val="%1"/>
      <w:lvlJc w:val="left"/>
      <w:pPr>
        <w:ind w:left="360" w:hanging="360"/>
      </w:pPr>
      <w:rPr>
        <w:rFonts w:hint="default"/>
      </w:rPr>
    </w:lvl>
    <w:lvl w:ilvl="1">
      <w:start w:val="1"/>
      <w:numFmt w:val="decimal"/>
      <w:lvlText w:val="%1.%2"/>
      <w:lvlJc w:val="left"/>
      <w:pPr>
        <w:ind w:left="1777"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8" w15:restartNumberingAfterBreak="0">
    <w:nsid w:val="5BFC0BEA"/>
    <w:multiLevelType w:val="hybridMultilevel"/>
    <w:tmpl w:val="0840D5D0"/>
    <w:lvl w:ilvl="0" w:tplc="BC86FE30">
      <w:numFmt w:val="bullet"/>
      <w:lvlText w:val="-"/>
      <w:lvlJc w:val="left"/>
      <w:pPr>
        <w:ind w:left="1080" w:hanging="360"/>
      </w:pPr>
      <w:rPr>
        <w:rFonts w:ascii="Times New Roman" w:eastAsiaTheme="minorHAnsi" w:hAnsi="Times New Roman"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15:restartNumberingAfterBreak="0">
    <w:nsid w:val="5EFE0AF8"/>
    <w:multiLevelType w:val="multilevel"/>
    <w:tmpl w:val="F648CD8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623F575C"/>
    <w:multiLevelType w:val="hybridMultilevel"/>
    <w:tmpl w:val="58E85992"/>
    <w:lvl w:ilvl="0" w:tplc="85E88B2A">
      <w:start w:val="9"/>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63D94174"/>
    <w:multiLevelType w:val="hybridMultilevel"/>
    <w:tmpl w:val="B1F2291E"/>
    <w:lvl w:ilvl="0" w:tplc="6B4A8A8C">
      <w:start w:val="9"/>
      <w:numFmt w:val="bullet"/>
      <w:lvlText w:val=""/>
      <w:lvlJc w:val="left"/>
      <w:pPr>
        <w:ind w:left="720" w:hanging="360"/>
      </w:pPr>
      <w:rPr>
        <w:rFonts w:ascii="Wingdings" w:eastAsiaTheme="minorHAnsi" w:hAnsi="Wingdings"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720734FF"/>
    <w:multiLevelType w:val="hybridMultilevel"/>
    <w:tmpl w:val="FA82F768"/>
    <w:lvl w:ilvl="0" w:tplc="96826AC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72E46159"/>
    <w:multiLevelType w:val="hybridMultilevel"/>
    <w:tmpl w:val="2028ED52"/>
    <w:lvl w:ilvl="0" w:tplc="6DFE33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C8D7FD7"/>
    <w:multiLevelType w:val="hybridMultilevel"/>
    <w:tmpl w:val="570E42F2"/>
    <w:lvl w:ilvl="0" w:tplc="C986BBAC">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5"/>
  </w:num>
  <w:num w:numId="4">
    <w:abstractNumId w:val="11"/>
  </w:num>
  <w:num w:numId="5">
    <w:abstractNumId w:val="8"/>
  </w:num>
  <w:num w:numId="6">
    <w:abstractNumId w:val="1"/>
  </w:num>
  <w:num w:numId="7">
    <w:abstractNumId w:val="4"/>
  </w:num>
  <w:num w:numId="8">
    <w:abstractNumId w:val="13"/>
  </w:num>
  <w:num w:numId="9">
    <w:abstractNumId w:val="2"/>
  </w:num>
  <w:num w:numId="10">
    <w:abstractNumId w:val="10"/>
  </w:num>
  <w:num w:numId="11">
    <w:abstractNumId w:val="3"/>
  </w:num>
  <w:num w:numId="12">
    <w:abstractNumId w:val="12"/>
  </w:num>
  <w:num w:numId="13">
    <w:abstractNumId w:val="6"/>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30"/>
    <w:rsid w:val="00003FC5"/>
    <w:rsid w:val="00035B40"/>
    <w:rsid w:val="00041534"/>
    <w:rsid w:val="00054EFC"/>
    <w:rsid w:val="0005656D"/>
    <w:rsid w:val="000740BA"/>
    <w:rsid w:val="00074140"/>
    <w:rsid w:val="00082969"/>
    <w:rsid w:val="00082C85"/>
    <w:rsid w:val="00093030"/>
    <w:rsid w:val="0009633F"/>
    <w:rsid w:val="00097AB9"/>
    <w:rsid w:val="000B02CA"/>
    <w:rsid w:val="000B7FE0"/>
    <w:rsid w:val="000D6F8C"/>
    <w:rsid w:val="000E5036"/>
    <w:rsid w:val="000F02D8"/>
    <w:rsid w:val="00102BC2"/>
    <w:rsid w:val="00111B3F"/>
    <w:rsid w:val="00114224"/>
    <w:rsid w:val="001158BB"/>
    <w:rsid w:val="001206FA"/>
    <w:rsid w:val="00125CBA"/>
    <w:rsid w:val="00125CFE"/>
    <w:rsid w:val="00126695"/>
    <w:rsid w:val="001322FF"/>
    <w:rsid w:val="00140524"/>
    <w:rsid w:val="00163F0D"/>
    <w:rsid w:val="00192993"/>
    <w:rsid w:val="00194D8C"/>
    <w:rsid w:val="00194EE0"/>
    <w:rsid w:val="001D0673"/>
    <w:rsid w:val="001E1205"/>
    <w:rsid w:val="001E18EA"/>
    <w:rsid w:val="001E701C"/>
    <w:rsid w:val="0020213B"/>
    <w:rsid w:val="0021057D"/>
    <w:rsid w:val="00212444"/>
    <w:rsid w:val="00215F9D"/>
    <w:rsid w:val="00227B03"/>
    <w:rsid w:val="00233BD7"/>
    <w:rsid w:val="0023548F"/>
    <w:rsid w:val="0024226F"/>
    <w:rsid w:val="00254A3F"/>
    <w:rsid w:val="00261B39"/>
    <w:rsid w:val="00276D8F"/>
    <w:rsid w:val="00291876"/>
    <w:rsid w:val="00293224"/>
    <w:rsid w:val="002A6CCD"/>
    <w:rsid w:val="002B0338"/>
    <w:rsid w:val="002B09C9"/>
    <w:rsid w:val="002C3953"/>
    <w:rsid w:val="002C7F3B"/>
    <w:rsid w:val="002E2B1C"/>
    <w:rsid w:val="002E4442"/>
    <w:rsid w:val="002E4E87"/>
    <w:rsid w:val="002F52D1"/>
    <w:rsid w:val="002F6742"/>
    <w:rsid w:val="0031461C"/>
    <w:rsid w:val="00327FA2"/>
    <w:rsid w:val="00330BAE"/>
    <w:rsid w:val="0033441E"/>
    <w:rsid w:val="00335C9E"/>
    <w:rsid w:val="0035016E"/>
    <w:rsid w:val="0036407E"/>
    <w:rsid w:val="0037169E"/>
    <w:rsid w:val="00375587"/>
    <w:rsid w:val="00381BBC"/>
    <w:rsid w:val="003851B2"/>
    <w:rsid w:val="003A32B9"/>
    <w:rsid w:val="003A7D4A"/>
    <w:rsid w:val="003B0AC0"/>
    <w:rsid w:val="003C4A62"/>
    <w:rsid w:val="003C5C1F"/>
    <w:rsid w:val="003C6C60"/>
    <w:rsid w:val="003D53F6"/>
    <w:rsid w:val="003E041D"/>
    <w:rsid w:val="003E1A26"/>
    <w:rsid w:val="003E6BC2"/>
    <w:rsid w:val="003E794E"/>
    <w:rsid w:val="003F0CCA"/>
    <w:rsid w:val="003F6086"/>
    <w:rsid w:val="00414E6D"/>
    <w:rsid w:val="00442D4A"/>
    <w:rsid w:val="00443929"/>
    <w:rsid w:val="004667E3"/>
    <w:rsid w:val="00466E81"/>
    <w:rsid w:val="00476C0D"/>
    <w:rsid w:val="004852DF"/>
    <w:rsid w:val="0048766C"/>
    <w:rsid w:val="004924A7"/>
    <w:rsid w:val="004935CB"/>
    <w:rsid w:val="004940F3"/>
    <w:rsid w:val="004A08E3"/>
    <w:rsid w:val="004B0345"/>
    <w:rsid w:val="004B2891"/>
    <w:rsid w:val="004B38E2"/>
    <w:rsid w:val="004C2E70"/>
    <w:rsid w:val="004C3E93"/>
    <w:rsid w:val="004C536F"/>
    <w:rsid w:val="004C6690"/>
    <w:rsid w:val="004D1394"/>
    <w:rsid w:val="004D2F4D"/>
    <w:rsid w:val="004D454E"/>
    <w:rsid w:val="004E38D7"/>
    <w:rsid w:val="004E5733"/>
    <w:rsid w:val="004F1D84"/>
    <w:rsid w:val="004F6141"/>
    <w:rsid w:val="00500E28"/>
    <w:rsid w:val="0054292C"/>
    <w:rsid w:val="005430F3"/>
    <w:rsid w:val="005438C9"/>
    <w:rsid w:val="0054719A"/>
    <w:rsid w:val="00561C0D"/>
    <w:rsid w:val="00567722"/>
    <w:rsid w:val="00567B2C"/>
    <w:rsid w:val="005865D9"/>
    <w:rsid w:val="0058789F"/>
    <w:rsid w:val="005A01E7"/>
    <w:rsid w:val="005A17D4"/>
    <w:rsid w:val="005B10EB"/>
    <w:rsid w:val="005B4552"/>
    <w:rsid w:val="005C2E02"/>
    <w:rsid w:val="005C4E70"/>
    <w:rsid w:val="005D440E"/>
    <w:rsid w:val="005E2F1F"/>
    <w:rsid w:val="005F049E"/>
    <w:rsid w:val="005F2276"/>
    <w:rsid w:val="005F4AF8"/>
    <w:rsid w:val="005F5868"/>
    <w:rsid w:val="005F5DCF"/>
    <w:rsid w:val="0061783D"/>
    <w:rsid w:val="00620E81"/>
    <w:rsid w:val="0063495B"/>
    <w:rsid w:val="00656ECE"/>
    <w:rsid w:val="00661DA4"/>
    <w:rsid w:val="0068087E"/>
    <w:rsid w:val="00692B6E"/>
    <w:rsid w:val="00694ACB"/>
    <w:rsid w:val="00695DCB"/>
    <w:rsid w:val="006967A1"/>
    <w:rsid w:val="006C2FF6"/>
    <w:rsid w:val="00704D79"/>
    <w:rsid w:val="00727786"/>
    <w:rsid w:val="00741907"/>
    <w:rsid w:val="00744D93"/>
    <w:rsid w:val="0075411A"/>
    <w:rsid w:val="00765F4D"/>
    <w:rsid w:val="007749AF"/>
    <w:rsid w:val="00784F23"/>
    <w:rsid w:val="007A50B3"/>
    <w:rsid w:val="007B19F8"/>
    <w:rsid w:val="007B2EF9"/>
    <w:rsid w:val="007B4E9E"/>
    <w:rsid w:val="007C43F4"/>
    <w:rsid w:val="007C454A"/>
    <w:rsid w:val="007E11CA"/>
    <w:rsid w:val="007E4B32"/>
    <w:rsid w:val="007F35B2"/>
    <w:rsid w:val="0081557A"/>
    <w:rsid w:val="008164B6"/>
    <w:rsid w:val="0083068D"/>
    <w:rsid w:val="00843C3F"/>
    <w:rsid w:val="008645A9"/>
    <w:rsid w:val="00873669"/>
    <w:rsid w:val="00874E4E"/>
    <w:rsid w:val="00881B4F"/>
    <w:rsid w:val="00895863"/>
    <w:rsid w:val="008A2A45"/>
    <w:rsid w:val="008A71DA"/>
    <w:rsid w:val="008C0875"/>
    <w:rsid w:val="008C24CD"/>
    <w:rsid w:val="008E00A4"/>
    <w:rsid w:val="008E5B06"/>
    <w:rsid w:val="008F7A39"/>
    <w:rsid w:val="0090040A"/>
    <w:rsid w:val="00905BCC"/>
    <w:rsid w:val="0090682D"/>
    <w:rsid w:val="009200CE"/>
    <w:rsid w:val="009242B9"/>
    <w:rsid w:val="0092727B"/>
    <w:rsid w:val="00936E1C"/>
    <w:rsid w:val="00963165"/>
    <w:rsid w:val="00986CCF"/>
    <w:rsid w:val="009929C1"/>
    <w:rsid w:val="00997C55"/>
    <w:rsid w:val="009A71C3"/>
    <w:rsid w:val="009B7DED"/>
    <w:rsid w:val="009C6910"/>
    <w:rsid w:val="009D02A1"/>
    <w:rsid w:val="009D604C"/>
    <w:rsid w:val="009E34EE"/>
    <w:rsid w:val="009E3C17"/>
    <w:rsid w:val="009F6B3C"/>
    <w:rsid w:val="00A007E2"/>
    <w:rsid w:val="00A112C6"/>
    <w:rsid w:val="00A14081"/>
    <w:rsid w:val="00A32D7B"/>
    <w:rsid w:val="00A445C0"/>
    <w:rsid w:val="00A464F1"/>
    <w:rsid w:val="00A4719A"/>
    <w:rsid w:val="00A51F4A"/>
    <w:rsid w:val="00A52431"/>
    <w:rsid w:val="00A61003"/>
    <w:rsid w:val="00A746DD"/>
    <w:rsid w:val="00A81828"/>
    <w:rsid w:val="00A92B0E"/>
    <w:rsid w:val="00A949A6"/>
    <w:rsid w:val="00AA1D97"/>
    <w:rsid w:val="00AB4300"/>
    <w:rsid w:val="00AB6146"/>
    <w:rsid w:val="00AB6332"/>
    <w:rsid w:val="00AB7C2E"/>
    <w:rsid w:val="00AD5224"/>
    <w:rsid w:val="00AE4E98"/>
    <w:rsid w:val="00B0528B"/>
    <w:rsid w:val="00B060AB"/>
    <w:rsid w:val="00B07C8C"/>
    <w:rsid w:val="00B14F0E"/>
    <w:rsid w:val="00B2034B"/>
    <w:rsid w:val="00B35690"/>
    <w:rsid w:val="00B3579A"/>
    <w:rsid w:val="00B47FCF"/>
    <w:rsid w:val="00B518DC"/>
    <w:rsid w:val="00B5322E"/>
    <w:rsid w:val="00B53B88"/>
    <w:rsid w:val="00B556D6"/>
    <w:rsid w:val="00B5765C"/>
    <w:rsid w:val="00B623D6"/>
    <w:rsid w:val="00B6689D"/>
    <w:rsid w:val="00B70D65"/>
    <w:rsid w:val="00B719AA"/>
    <w:rsid w:val="00B72A24"/>
    <w:rsid w:val="00B73FF9"/>
    <w:rsid w:val="00B81D4D"/>
    <w:rsid w:val="00B951CB"/>
    <w:rsid w:val="00B9520F"/>
    <w:rsid w:val="00BD057B"/>
    <w:rsid w:val="00BE3667"/>
    <w:rsid w:val="00BE547A"/>
    <w:rsid w:val="00BF469E"/>
    <w:rsid w:val="00C07CF6"/>
    <w:rsid w:val="00C12642"/>
    <w:rsid w:val="00C161F7"/>
    <w:rsid w:val="00C25B88"/>
    <w:rsid w:val="00C32594"/>
    <w:rsid w:val="00C34194"/>
    <w:rsid w:val="00C34B5D"/>
    <w:rsid w:val="00C40AA9"/>
    <w:rsid w:val="00C64A98"/>
    <w:rsid w:val="00C72916"/>
    <w:rsid w:val="00C73DB4"/>
    <w:rsid w:val="00C80397"/>
    <w:rsid w:val="00C807C5"/>
    <w:rsid w:val="00C87FF9"/>
    <w:rsid w:val="00C90419"/>
    <w:rsid w:val="00CA20EB"/>
    <w:rsid w:val="00CA439D"/>
    <w:rsid w:val="00CB03A6"/>
    <w:rsid w:val="00CB5CE5"/>
    <w:rsid w:val="00CC3BDA"/>
    <w:rsid w:val="00CD3283"/>
    <w:rsid w:val="00CD55FA"/>
    <w:rsid w:val="00CF2CF6"/>
    <w:rsid w:val="00CF788B"/>
    <w:rsid w:val="00D04842"/>
    <w:rsid w:val="00D617EA"/>
    <w:rsid w:val="00D670F5"/>
    <w:rsid w:val="00D85ACF"/>
    <w:rsid w:val="00D92755"/>
    <w:rsid w:val="00DB322F"/>
    <w:rsid w:val="00DC1B6E"/>
    <w:rsid w:val="00DC511F"/>
    <w:rsid w:val="00DF39E3"/>
    <w:rsid w:val="00DF4FF7"/>
    <w:rsid w:val="00DF779E"/>
    <w:rsid w:val="00E01637"/>
    <w:rsid w:val="00E04B85"/>
    <w:rsid w:val="00E15A9E"/>
    <w:rsid w:val="00E23552"/>
    <w:rsid w:val="00E270B3"/>
    <w:rsid w:val="00E3066F"/>
    <w:rsid w:val="00E32380"/>
    <w:rsid w:val="00E3286E"/>
    <w:rsid w:val="00E57120"/>
    <w:rsid w:val="00E64FFE"/>
    <w:rsid w:val="00E77668"/>
    <w:rsid w:val="00E81E40"/>
    <w:rsid w:val="00E83E06"/>
    <w:rsid w:val="00E922B8"/>
    <w:rsid w:val="00E96E6E"/>
    <w:rsid w:val="00EA69C9"/>
    <w:rsid w:val="00EA729E"/>
    <w:rsid w:val="00EB46F2"/>
    <w:rsid w:val="00EC6BB4"/>
    <w:rsid w:val="00EC75AD"/>
    <w:rsid w:val="00ED268D"/>
    <w:rsid w:val="00F16857"/>
    <w:rsid w:val="00F218CA"/>
    <w:rsid w:val="00F37A81"/>
    <w:rsid w:val="00F5162A"/>
    <w:rsid w:val="00F6189B"/>
    <w:rsid w:val="00F835A4"/>
    <w:rsid w:val="00F85E3D"/>
    <w:rsid w:val="00F86F10"/>
    <w:rsid w:val="00F96726"/>
    <w:rsid w:val="00FA53AD"/>
    <w:rsid w:val="00FB63CA"/>
    <w:rsid w:val="00FC091D"/>
    <w:rsid w:val="00FC4E4A"/>
    <w:rsid w:val="00FD3B7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A11CF"/>
  <w15:chartTrackingRefBased/>
  <w15:docId w15:val="{60A34D2E-8BCE-9141-B33D-B4388785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E6D"/>
    <w:rPr>
      <w:rFonts w:ascii="Times New Roman" w:eastAsia="Times New Roman" w:hAnsi="Times New Roman" w:cs="Times New Roman"/>
      <w:lang w:eastAsia="en-GB"/>
    </w:rPr>
  </w:style>
  <w:style w:type="paragraph" w:styleId="Heading1">
    <w:name w:val="heading 1"/>
    <w:basedOn w:val="Normal"/>
    <w:next w:val="Normal"/>
    <w:link w:val="Heading1Char"/>
    <w:qFormat/>
    <w:rsid w:val="00093030"/>
    <w:pPr>
      <w:keepNext/>
      <w:spacing w:line="360" w:lineRule="auto"/>
      <w:outlineLvl w:val="0"/>
    </w:pPr>
    <w:rPr>
      <w:rFonts w:ascii="Arial" w:hAnsi="Arial" w:cs="Arial"/>
      <w:b/>
      <w:bCs/>
      <w:sz w:val="28"/>
      <w:lang w:val="en-GB" w:eastAsia="en-US"/>
    </w:rPr>
  </w:style>
  <w:style w:type="paragraph" w:styleId="Heading2">
    <w:name w:val="heading 2"/>
    <w:basedOn w:val="Normal"/>
    <w:next w:val="Normal"/>
    <w:link w:val="Heading2Char"/>
    <w:uiPriority w:val="9"/>
    <w:unhideWhenUsed/>
    <w:qFormat/>
    <w:rsid w:val="00CD328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093030"/>
    <w:pPr>
      <w:keepNext/>
      <w:spacing w:line="360" w:lineRule="auto"/>
      <w:jc w:val="both"/>
      <w:outlineLvl w:val="2"/>
    </w:pPr>
    <w:rPr>
      <w:rFonts w:ascii="Arial" w:hAnsi="Arial" w:cs="Arial"/>
      <w:i/>
      <w:iCs/>
      <w:sz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030"/>
    <w:rPr>
      <w:rFonts w:ascii="Arial" w:eastAsia="Times New Roman" w:hAnsi="Arial" w:cs="Arial"/>
      <w:b/>
      <w:bCs/>
      <w:sz w:val="28"/>
      <w:lang w:val="en-GB"/>
    </w:rPr>
  </w:style>
  <w:style w:type="character" w:customStyle="1" w:styleId="Heading3Char">
    <w:name w:val="Heading 3 Char"/>
    <w:basedOn w:val="DefaultParagraphFont"/>
    <w:link w:val="Heading3"/>
    <w:rsid w:val="00093030"/>
    <w:rPr>
      <w:rFonts w:ascii="Arial" w:eastAsia="Times New Roman" w:hAnsi="Arial" w:cs="Arial"/>
      <w:i/>
      <w:iCs/>
      <w:sz w:val="28"/>
      <w:lang w:val="en-GB"/>
    </w:rPr>
  </w:style>
  <w:style w:type="paragraph" w:styleId="Header">
    <w:name w:val="header"/>
    <w:basedOn w:val="Normal"/>
    <w:link w:val="HeaderChar"/>
    <w:rsid w:val="00093030"/>
    <w:pPr>
      <w:tabs>
        <w:tab w:val="center" w:pos="4153"/>
        <w:tab w:val="right" w:pos="8306"/>
      </w:tabs>
    </w:pPr>
    <w:rPr>
      <w:lang w:val="en-GB" w:eastAsia="en-US"/>
    </w:rPr>
  </w:style>
  <w:style w:type="character" w:customStyle="1" w:styleId="HeaderChar">
    <w:name w:val="Header Char"/>
    <w:basedOn w:val="DefaultParagraphFont"/>
    <w:link w:val="Header"/>
    <w:rsid w:val="00093030"/>
    <w:rPr>
      <w:rFonts w:ascii="Times New Roman" w:eastAsia="Times New Roman" w:hAnsi="Times New Roman" w:cs="Times New Roman"/>
      <w:lang w:val="en-GB"/>
    </w:rPr>
  </w:style>
  <w:style w:type="character" w:styleId="PageNumber">
    <w:name w:val="page number"/>
    <w:basedOn w:val="DefaultParagraphFont"/>
    <w:rsid w:val="00093030"/>
    <w:rPr>
      <w:rFonts w:cs="Times New Roman"/>
    </w:rPr>
  </w:style>
  <w:style w:type="paragraph" w:styleId="FootnoteText">
    <w:name w:val="footnote text"/>
    <w:basedOn w:val="Normal"/>
    <w:link w:val="FootnoteTextChar"/>
    <w:uiPriority w:val="99"/>
    <w:rsid w:val="00093030"/>
    <w:rPr>
      <w:sz w:val="20"/>
      <w:szCs w:val="20"/>
      <w:lang w:val="en-GB" w:eastAsia="en-US"/>
    </w:rPr>
  </w:style>
  <w:style w:type="character" w:customStyle="1" w:styleId="FootnoteTextChar">
    <w:name w:val="Footnote Text Char"/>
    <w:basedOn w:val="DefaultParagraphFont"/>
    <w:link w:val="FootnoteText"/>
    <w:uiPriority w:val="99"/>
    <w:rsid w:val="00093030"/>
    <w:rPr>
      <w:rFonts w:ascii="Times New Roman" w:eastAsia="Times New Roman" w:hAnsi="Times New Roman" w:cs="Times New Roman"/>
      <w:sz w:val="20"/>
      <w:szCs w:val="20"/>
      <w:lang w:val="en-GB"/>
    </w:rPr>
  </w:style>
  <w:style w:type="paragraph" w:customStyle="1" w:styleId="Pa3">
    <w:name w:val="Pa3"/>
    <w:basedOn w:val="Normal"/>
    <w:next w:val="Normal"/>
    <w:uiPriority w:val="99"/>
    <w:rsid w:val="00093030"/>
    <w:pPr>
      <w:autoSpaceDE w:val="0"/>
      <w:autoSpaceDN w:val="0"/>
      <w:adjustRightInd w:val="0"/>
      <w:spacing w:line="241" w:lineRule="atLeast"/>
    </w:pPr>
    <w:rPr>
      <w:rFonts w:ascii="Arial" w:hAnsi="Arial"/>
      <w:lang w:val="en-GB" w:eastAsia="en-US"/>
    </w:rPr>
  </w:style>
  <w:style w:type="paragraph" w:styleId="NormalIndent">
    <w:name w:val="Normal Indent"/>
    <w:basedOn w:val="Normal"/>
    <w:uiPriority w:val="99"/>
    <w:semiHidden/>
    <w:unhideWhenUsed/>
    <w:rsid w:val="00093030"/>
    <w:pPr>
      <w:spacing w:line="480" w:lineRule="auto"/>
      <w:ind w:left="720"/>
      <w:jc w:val="both"/>
    </w:pPr>
    <w:rPr>
      <w:sz w:val="28"/>
      <w:szCs w:val="28"/>
      <w:lang w:val="en-GB" w:eastAsia="en-US"/>
    </w:rPr>
  </w:style>
  <w:style w:type="paragraph" w:styleId="ListParagraph">
    <w:name w:val="List Paragraph"/>
    <w:basedOn w:val="Normal"/>
    <w:uiPriority w:val="1"/>
    <w:qFormat/>
    <w:rsid w:val="00093030"/>
    <w:pPr>
      <w:ind w:left="720"/>
      <w:contextualSpacing/>
    </w:pPr>
    <w:rPr>
      <w:lang w:val="en-GB" w:eastAsia="en-US"/>
    </w:rPr>
  </w:style>
  <w:style w:type="paragraph" w:styleId="NormalWeb">
    <w:name w:val="Normal (Web)"/>
    <w:basedOn w:val="Normal"/>
    <w:uiPriority w:val="99"/>
    <w:unhideWhenUsed/>
    <w:rsid w:val="004F1D84"/>
    <w:pPr>
      <w:spacing w:before="100" w:beforeAutospacing="1" w:after="100" w:afterAutospacing="1"/>
    </w:pPr>
  </w:style>
  <w:style w:type="paragraph" w:customStyle="1" w:styleId="western">
    <w:name w:val="western"/>
    <w:basedOn w:val="Normal"/>
    <w:rsid w:val="00500E28"/>
    <w:pPr>
      <w:spacing w:before="100" w:beforeAutospacing="1" w:after="100" w:afterAutospacing="1"/>
    </w:pPr>
  </w:style>
  <w:style w:type="character" w:customStyle="1" w:styleId="apple-converted-space">
    <w:name w:val="apple-converted-space"/>
    <w:basedOn w:val="DefaultParagraphFont"/>
    <w:rsid w:val="00500E28"/>
  </w:style>
  <w:style w:type="character" w:styleId="Hyperlink">
    <w:name w:val="Hyperlink"/>
    <w:basedOn w:val="DefaultParagraphFont"/>
    <w:uiPriority w:val="99"/>
    <w:semiHidden/>
    <w:unhideWhenUsed/>
    <w:rsid w:val="00500E28"/>
    <w:rPr>
      <w:color w:val="0000FF"/>
      <w:u w:val="single"/>
    </w:rPr>
  </w:style>
  <w:style w:type="character" w:styleId="FootnoteReference">
    <w:name w:val="footnote reference"/>
    <w:basedOn w:val="DefaultParagraphFont"/>
    <w:uiPriority w:val="99"/>
    <w:semiHidden/>
    <w:unhideWhenUsed/>
    <w:rsid w:val="003851B2"/>
    <w:rPr>
      <w:vertAlign w:val="superscript"/>
    </w:rPr>
  </w:style>
  <w:style w:type="paragraph" w:styleId="Footer">
    <w:name w:val="footer"/>
    <w:basedOn w:val="Normal"/>
    <w:link w:val="FooterChar"/>
    <w:uiPriority w:val="99"/>
    <w:unhideWhenUsed/>
    <w:rsid w:val="00986CCF"/>
    <w:pPr>
      <w:tabs>
        <w:tab w:val="center" w:pos="4513"/>
        <w:tab w:val="right" w:pos="9026"/>
      </w:tabs>
    </w:pPr>
  </w:style>
  <w:style w:type="character" w:customStyle="1" w:styleId="FooterChar">
    <w:name w:val="Footer Char"/>
    <w:basedOn w:val="DefaultParagraphFont"/>
    <w:link w:val="Footer"/>
    <w:uiPriority w:val="99"/>
    <w:rsid w:val="00986CCF"/>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rsid w:val="00CD3283"/>
    <w:rPr>
      <w:rFonts w:asciiTheme="majorHAnsi" w:eastAsiaTheme="majorEastAsia" w:hAnsiTheme="majorHAnsi" w:cstheme="majorBidi"/>
      <w:color w:val="2F5496" w:themeColor="accent1" w:themeShade="BF"/>
      <w:sz w:val="26"/>
      <w:szCs w:val="26"/>
      <w:lang w:eastAsia="en-GB"/>
    </w:rPr>
  </w:style>
  <w:style w:type="paragraph" w:styleId="BalloonText">
    <w:name w:val="Balloon Text"/>
    <w:basedOn w:val="Normal"/>
    <w:link w:val="BalloonTextChar"/>
    <w:uiPriority w:val="99"/>
    <w:semiHidden/>
    <w:unhideWhenUsed/>
    <w:rsid w:val="00227B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B03"/>
    <w:rPr>
      <w:rFonts w:ascii="Segoe UI" w:eastAsia="Times New Roman" w:hAnsi="Segoe UI" w:cs="Segoe UI"/>
      <w:sz w:val="18"/>
      <w:szCs w:val="18"/>
      <w:lang w:eastAsia="en-GB"/>
    </w:rPr>
  </w:style>
  <w:style w:type="paragraph" w:styleId="Revision">
    <w:name w:val="Revision"/>
    <w:hidden/>
    <w:uiPriority w:val="99"/>
    <w:semiHidden/>
    <w:rsid w:val="00B5765C"/>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B5765C"/>
    <w:rPr>
      <w:sz w:val="16"/>
      <w:szCs w:val="16"/>
    </w:rPr>
  </w:style>
  <w:style w:type="paragraph" w:styleId="CommentText">
    <w:name w:val="annotation text"/>
    <w:basedOn w:val="Normal"/>
    <w:link w:val="CommentTextChar"/>
    <w:uiPriority w:val="99"/>
    <w:semiHidden/>
    <w:unhideWhenUsed/>
    <w:rsid w:val="00B5765C"/>
    <w:rPr>
      <w:sz w:val="20"/>
      <w:szCs w:val="20"/>
    </w:rPr>
  </w:style>
  <w:style w:type="character" w:customStyle="1" w:styleId="CommentTextChar">
    <w:name w:val="Comment Text Char"/>
    <w:basedOn w:val="DefaultParagraphFont"/>
    <w:link w:val="CommentText"/>
    <w:uiPriority w:val="99"/>
    <w:semiHidden/>
    <w:rsid w:val="00B5765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5765C"/>
    <w:rPr>
      <w:b/>
      <w:bCs/>
    </w:rPr>
  </w:style>
  <w:style w:type="character" w:customStyle="1" w:styleId="CommentSubjectChar">
    <w:name w:val="Comment Subject Char"/>
    <w:basedOn w:val="CommentTextChar"/>
    <w:link w:val="CommentSubject"/>
    <w:uiPriority w:val="99"/>
    <w:semiHidden/>
    <w:rsid w:val="00B5765C"/>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558418">
      <w:bodyDiv w:val="1"/>
      <w:marLeft w:val="0"/>
      <w:marRight w:val="0"/>
      <w:marTop w:val="0"/>
      <w:marBottom w:val="0"/>
      <w:divBdr>
        <w:top w:val="none" w:sz="0" w:space="0" w:color="auto"/>
        <w:left w:val="none" w:sz="0" w:space="0" w:color="auto"/>
        <w:bottom w:val="none" w:sz="0" w:space="0" w:color="auto"/>
        <w:right w:val="none" w:sz="0" w:space="0" w:color="auto"/>
      </w:divBdr>
    </w:div>
    <w:div w:id="361709686">
      <w:bodyDiv w:val="1"/>
      <w:marLeft w:val="0"/>
      <w:marRight w:val="0"/>
      <w:marTop w:val="0"/>
      <w:marBottom w:val="0"/>
      <w:divBdr>
        <w:top w:val="none" w:sz="0" w:space="0" w:color="auto"/>
        <w:left w:val="none" w:sz="0" w:space="0" w:color="auto"/>
        <w:bottom w:val="none" w:sz="0" w:space="0" w:color="auto"/>
        <w:right w:val="none" w:sz="0" w:space="0" w:color="auto"/>
      </w:divBdr>
    </w:div>
    <w:div w:id="439423686">
      <w:bodyDiv w:val="1"/>
      <w:marLeft w:val="0"/>
      <w:marRight w:val="0"/>
      <w:marTop w:val="0"/>
      <w:marBottom w:val="0"/>
      <w:divBdr>
        <w:top w:val="none" w:sz="0" w:space="0" w:color="auto"/>
        <w:left w:val="none" w:sz="0" w:space="0" w:color="auto"/>
        <w:bottom w:val="none" w:sz="0" w:space="0" w:color="auto"/>
        <w:right w:val="none" w:sz="0" w:space="0" w:color="auto"/>
      </w:divBdr>
    </w:div>
    <w:div w:id="446779447">
      <w:bodyDiv w:val="1"/>
      <w:marLeft w:val="0"/>
      <w:marRight w:val="0"/>
      <w:marTop w:val="0"/>
      <w:marBottom w:val="0"/>
      <w:divBdr>
        <w:top w:val="none" w:sz="0" w:space="0" w:color="auto"/>
        <w:left w:val="none" w:sz="0" w:space="0" w:color="auto"/>
        <w:bottom w:val="none" w:sz="0" w:space="0" w:color="auto"/>
        <w:right w:val="none" w:sz="0" w:space="0" w:color="auto"/>
      </w:divBdr>
    </w:div>
    <w:div w:id="540434595">
      <w:bodyDiv w:val="1"/>
      <w:marLeft w:val="0"/>
      <w:marRight w:val="0"/>
      <w:marTop w:val="0"/>
      <w:marBottom w:val="0"/>
      <w:divBdr>
        <w:top w:val="none" w:sz="0" w:space="0" w:color="auto"/>
        <w:left w:val="none" w:sz="0" w:space="0" w:color="auto"/>
        <w:bottom w:val="none" w:sz="0" w:space="0" w:color="auto"/>
        <w:right w:val="none" w:sz="0" w:space="0" w:color="auto"/>
      </w:divBdr>
    </w:div>
    <w:div w:id="650645028">
      <w:bodyDiv w:val="1"/>
      <w:marLeft w:val="0"/>
      <w:marRight w:val="0"/>
      <w:marTop w:val="0"/>
      <w:marBottom w:val="0"/>
      <w:divBdr>
        <w:top w:val="none" w:sz="0" w:space="0" w:color="auto"/>
        <w:left w:val="none" w:sz="0" w:space="0" w:color="auto"/>
        <w:bottom w:val="none" w:sz="0" w:space="0" w:color="auto"/>
        <w:right w:val="none" w:sz="0" w:space="0" w:color="auto"/>
      </w:divBdr>
    </w:div>
    <w:div w:id="904756394">
      <w:bodyDiv w:val="1"/>
      <w:marLeft w:val="0"/>
      <w:marRight w:val="0"/>
      <w:marTop w:val="0"/>
      <w:marBottom w:val="0"/>
      <w:divBdr>
        <w:top w:val="none" w:sz="0" w:space="0" w:color="auto"/>
        <w:left w:val="none" w:sz="0" w:space="0" w:color="auto"/>
        <w:bottom w:val="none" w:sz="0" w:space="0" w:color="auto"/>
        <w:right w:val="none" w:sz="0" w:space="0" w:color="auto"/>
      </w:divBdr>
    </w:div>
    <w:div w:id="909733211">
      <w:bodyDiv w:val="1"/>
      <w:marLeft w:val="0"/>
      <w:marRight w:val="0"/>
      <w:marTop w:val="0"/>
      <w:marBottom w:val="0"/>
      <w:divBdr>
        <w:top w:val="none" w:sz="0" w:space="0" w:color="auto"/>
        <w:left w:val="none" w:sz="0" w:space="0" w:color="auto"/>
        <w:bottom w:val="none" w:sz="0" w:space="0" w:color="auto"/>
        <w:right w:val="none" w:sz="0" w:space="0" w:color="auto"/>
      </w:divBdr>
    </w:div>
    <w:div w:id="912786035">
      <w:bodyDiv w:val="1"/>
      <w:marLeft w:val="0"/>
      <w:marRight w:val="0"/>
      <w:marTop w:val="0"/>
      <w:marBottom w:val="0"/>
      <w:divBdr>
        <w:top w:val="none" w:sz="0" w:space="0" w:color="auto"/>
        <w:left w:val="none" w:sz="0" w:space="0" w:color="auto"/>
        <w:bottom w:val="none" w:sz="0" w:space="0" w:color="auto"/>
        <w:right w:val="none" w:sz="0" w:space="0" w:color="auto"/>
      </w:divBdr>
    </w:div>
    <w:div w:id="1769040658">
      <w:bodyDiv w:val="1"/>
      <w:marLeft w:val="0"/>
      <w:marRight w:val="0"/>
      <w:marTop w:val="0"/>
      <w:marBottom w:val="0"/>
      <w:divBdr>
        <w:top w:val="none" w:sz="0" w:space="0" w:color="auto"/>
        <w:left w:val="none" w:sz="0" w:space="0" w:color="auto"/>
        <w:bottom w:val="none" w:sz="0" w:space="0" w:color="auto"/>
        <w:right w:val="none" w:sz="0" w:space="0" w:color="auto"/>
      </w:divBdr>
    </w:div>
    <w:div w:id="1850103144">
      <w:bodyDiv w:val="1"/>
      <w:marLeft w:val="0"/>
      <w:marRight w:val="0"/>
      <w:marTop w:val="0"/>
      <w:marBottom w:val="0"/>
      <w:divBdr>
        <w:top w:val="none" w:sz="0" w:space="0" w:color="auto"/>
        <w:left w:val="none" w:sz="0" w:space="0" w:color="auto"/>
        <w:bottom w:val="none" w:sz="0" w:space="0" w:color="auto"/>
        <w:right w:val="none" w:sz="0" w:space="0" w:color="auto"/>
      </w:divBdr>
      <w:divsChild>
        <w:div w:id="635375660">
          <w:marLeft w:val="0"/>
          <w:marRight w:val="0"/>
          <w:marTop w:val="0"/>
          <w:marBottom w:val="0"/>
          <w:divBdr>
            <w:top w:val="none" w:sz="0" w:space="0" w:color="auto"/>
            <w:left w:val="none" w:sz="0" w:space="0" w:color="auto"/>
            <w:bottom w:val="none" w:sz="0" w:space="0" w:color="auto"/>
            <w:right w:val="none" w:sz="0" w:space="0" w:color="auto"/>
          </w:divBdr>
          <w:divsChild>
            <w:div w:id="1253121277">
              <w:marLeft w:val="0"/>
              <w:marRight w:val="0"/>
              <w:marTop w:val="0"/>
              <w:marBottom w:val="0"/>
              <w:divBdr>
                <w:top w:val="none" w:sz="0" w:space="0" w:color="auto"/>
                <w:left w:val="none" w:sz="0" w:space="0" w:color="auto"/>
                <w:bottom w:val="none" w:sz="0" w:space="0" w:color="auto"/>
                <w:right w:val="none" w:sz="0" w:space="0" w:color="auto"/>
              </w:divBdr>
              <w:divsChild>
                <w:div w:id="132404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70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saflii.org/cgi-bin/LawCite?cit=2002%20%285%29%20SA%20425" TargetMode="External"/><Relationship Id="rId1" Type="http://schemas.openxmlformats.org/officeDocument/2006/relationships/hyperlink" Target="http://www.saflii.org/cgi-bin/LawCite?cit=1991%20%282%29%20SA%207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89348-161D-466F-8391-7A447DEB6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2043</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Wallis</dc:creator>
  <cp:keywords/>
  <dc:description/>
  <cp:lastModifiedBy>Ayanda Mdletshe</cp:lastModifiedBy>
  <cp:revision>2</cp:revision>
  <cp:lastPrinted>2022-06-10T08:43:00Z</cp:lastPrinted>
  <dcterms:created xsi:type="dcterms:W3CDTF">2022-06-21T08:47:00Z</dcterms:created>
  <dcterms:modified xsi:type="dcterms:W3CDTF">2022-06-21T08:47:00Z</dcterms:modified>
</cp:coreProperties>
</file>