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17C" w:rsidRPr="003943F6" w:rsidRDefault="002B317C" w:rsidP="00E144FE">
      <w:pPr>
        <w:spacing w:line="360" w:lineRule="auto"/>
        <w:rPr>
          <w:rFonts w:ascii="Arial" w:hAnsi="Arial" w:cs="Arial"/>
          <w:b/>
          <w:bCs/>
        </w:rPr>
      </w:pPr>
      <w:bookmarkStart w:id="0" w:name="_GoBack"/>
      <w:bookmarkEnd w:id="0"/>
    </w:p>
    <w:p w:rsidR="002B317C" w:rsidRPr="003943F6" w:rsidRDefault="002B317C" w:rsidP="00E144FE">
      <w:pPr>
        <w:spacing w:line="360" w:lineRule="auto"/>
        <w:jc w:val="center"/>
        <w:rPr>
          <w:rFonts w:ascii="Arial" w:hAnsi="Arial" w:cs="Arial"/>
          <w:b/>
          <w:bCs/>
        </w:rPr>
      </w:pPr>
    </w:p>
    <w:p w:rsidR="002B317C" w:rsidRPr="003943F6" w:rsidRDefault="002B317C" w:rsidP="00E144FE">
      <w:pPr>
        <w:spacing w:line="360" w:lineRule="auto"/>
        <w:jc w:val="center"/>
        <w:rPr>
          <w:rFonts w:ascii="Arial" w:hAnsi="Arial" w:cs="Arial"/>
          <w:b/>
          <w:bCs/>
        </w:rPr>
      </w:pPr>
    </w:p>
    <w:p w:rsidR="002B317C" w:rsidRPr="00633A58" w:rsidRDefault="002B317C" w:rsidP="00E144FE">
      <w:pPr>
        <w:spacing w:line="360" w:lineRule="auto"/>
        <w:jc w:val="center"/>
        <w:rPr>
          <w:rFonts w:ascii="Arial" w:hAnsi="Arial" w:cs="Arial"/>
          <w:b/>
          <w:bCs/>
        </w:rPr>
      </w:pPr>
      <w:r w:rsidRPr="00633A58">
        <w:rPr>
          <w:rFonts w:ascii="Arial" w:hAnsi="Arial" w:cs="Arial"/>
          <w:noProof/>
          <w:lang w:val="en-US"/>
        </w:rPr>
        <w:drawing>
          <wp:anchor distT="0" distB="0" distL="114300" distR="114300" simplePos="0" relativeHeight="251655168" behindDoc="0" locked="0" layoutInCell="1" allowOverlap="1" wp14:anchorId="15774D78" wp14:editId="1CE3B842">
            <wp:simplePos x="0" y="0"/>
            <wp:positionH relativeFrom="page">
              <wp:align>center</wp:align>
            </wp:positionH>
            <wp:positionV relativeFrom="paragraph">
              <wp:posOffset>-683895</wp:posOffset>
            </wp:positionV>
            <wp:extent cx="799465" cy="914400"/>
            <wp:effectExtent l="0" t="0" r="635"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9465" cy="914400"/>
                    </a:xfrm>
                    <a:prstGeom prst="rect">
                      <a:avLst/>
                    </a:prstGeom>
                    <a:noFill/>
                  </pic:spPr>
                </pic:pic>
              </a:graphicData>
            </a:graphic>
            <wp14:sizeRelH relativeFrom="page">
              <wp14:pctWidth>0</wp14:pctWidth>
            </wp14:sizeRelH>
            <wp14:sizeRelV relativeFrom="page">
              <wp14:pctHeight>0</wp14:pctHeight>
            </wp14:sizeRelV>
          </wp:anchor>
        </w:drawing>
      </w:r>
    </w:p>
    <w:p w:rsidR="002B317C" w:rsidRPr="00633A58" w:rsidRDefault="002B317C" w:rsidP="00E144FE">
      <w:pPr>
        <w:spacing w:line="360" w:lineRule="auto"/>
        <w:jc w:val="both"/>
        <w:rPr>
          <w:rFonts w:ascii="Arial" w:hAnsi="Arial" w:cs="Arial"/>
          <w:b/>
          <w:bCs/>
        </w:rPr>
      </w:pPr>
    </w:p>
    <w:p w:rsidR="002B317C" w:rsidRPr="00633A58" w:rsidRDefault="002B317C" w:rsidP="00E144FE">
      <w:pPr>
        <w:spacing w:line="360" w:lineRule="auto"/>
        <w:jc w:val="center"/>
        <w:rPr>
          <w:rFonts w:ascii="Arial" w:hAnsi="Arial" w:cs="Arial"/>
          <w:b/>
          <w:bCs/>
        </w:rPr>
      </w:pPr>
      <w:r w:rsidRPr="00633A58">
        <w:rPr>
          <w:rFonts w:ascii="Arial" w:hAnsi="Arial" w:cs="Arial"/>
          <w:b/>
          <w:bCs/>
        </w:rPr>
        <w:t>THE SUPREME COURT OF APPEAL OF SOUTH AFRICA</w:t>
      </w:r>
    </w:p>
    <w:p w:rsidR="002B317C" w:rsidRPr="00633A58" w:rsidRDefault="002B317C" w:rsidP="00E144FE">
      <w:pPr>
        <w:pStyle w:val="Heading3"/>
        <w:jc w:val="center"/>
        <w:rPr>
          <w:b/>
          <w:i w:val="0"/>
          <w:sz w:val="24"/>
        </w:rPr>
      </w:pPr>
      <w:r w:rsidRPr="00633A58">
        <w:rPr>
          <w:b/>
          <w:i w:val="0"/>
          <w:sz w:val="24"/>
        </w:rPr>
        <w:t>JUDGMENT</w:t>
      </w:r>
    </w:p>
    <w:p w:rsidR="002B317C" w:rsidRPr="00633A58" w:rsidRDefault="002B317C" w:rsidP="00E144FE">
      <w:pPr>
        <w:spacing w:line="360" w:lineRule="auto"/>
        <w:jc w:val="both"/>
        <w:rPr>
          <w:rFonts w:ascii="Arial" w:hAnsi="Arial" w:cs="Arial"/>
          <w:b/>
          <w:bCs/>
        </w:rPr>
      </w:pPr>
      <w:r w:rsidRPr="00633A58">
        <w:rPr>
          <w:rFonts w:ascii="Arial" w:hAnsi="Arial" w:cs="Arial"/>
        </w:rPr>
        <w:tab/>
      </w:r>
    </w:p>
    <w:p w:rsidR="002D4CCD" w:rsidRPr="00633A58" w:rsidRDefault="002D4CCD" w:rsidP="00E144FE">
      <w:pPr>
        <w:spacing w:line="360" w:lineRule="auto"/>
        <w:jc w:val="right"/>
        <w:rPr>
          <w:rFonts w:ascii="Arial" w:hAnsi="Arial" w:cs="Arial"/>
          <w:b/>
        </w:rPr>
      </w:pPr>
      <w:r w:rsidRPr="00633A58">
        <w:rPr>
          <w:rFonts w:ascii="Arial" w:hAnsi="Arial" w:cs="Arial"/>
          <w:b/>
        </w:rPr>
        <w:t>Reportable</w:t>
      </w:r>
    </w:p>
    <w:p w:rsidR="002B317C" w:rsidRPr="00633A58" w:rsidRDefault="002B317C" w:rsidP="00E144FE">
      <w:pPr>
        <w:spacing w:line="360" w:lineRule="auto"/>
        <w:jc w:val="right"/>
        <w:rPr>
          <w:rFonts w:ascii="Arial" w:hAnsi="Arial" w:cs="Arial"/>
        </w:rPr>
      </w:pPr>
      <w:r w:rsidRPr="00633A58">
        <w:rPr>
          <w:rFonts w:ascii="Arial" w:hAnsi="Arial" w:cs="Arial"/>
        </w:rPr>
        <w:t>Case no: 534/2022</w:t>
      </w:r>
    </w:p>
    <w:p w:rsidR="002B317C" w:rsidRPr="00633A58" w:rsidRDefault="002B317C" w:rsidP="00E144FE">
      <w:pPr>
        <w:spacing w:line="360" w:lineRule="auto"/>
        <w:jc w:val="both"/>
        <w:rPr>
          <w:rFonts w:ascii="Arial" w:hAnsi="Arial" w:cs="Arial"/>
        </w:rPr>
      </w:pPr>
    </w:p>
    <w:p w:rsidR="002B317C" w:rsidRPr="00633A58" w:rsidRDefault="002B317C" w:rsidP="00E144FE">
      <w:pPr>
        <w:spacing w:line="360" w:lineRule="auto"/>
        <w:jc w:val="both"/>
        <w:rPr>
          <w:rFonts w:ascii="Arial" w:hAnsi="Arial" w:cs="Arial"/>
        </w:rPr>
      </w:pPr>
      <w:r w:rsidRPr="00633A58">
        <w:rPr>
          <w:rFonts w:ascii="Arial" w:hAnsi="Arial" w:cs="Arial"/>
        </w:rPr>
        <w:t>In the matter between:</w:t>
      </w:r>
    </w:p>
    <w:p w:rsidR="002B317C" w:rsidRPr="00633A58" w:rsidRDefault="003943F6" w:rsidP="00E144FE">
      <w:pPr>
        <w:tabs>
          <w:tab w:val="right" w:pos="9356"/>
        </w:tabs>
        <w:spacing w:before="240" w:line="360" w:lineRule="auto"/>
        <w:jc w:val="both"/>
        <w:rPr>
          <w:rFonts w:ascii="Arial" w:hAnsi="Arial" w:cs="Arial"/>
          <w:b/>
        </w:rPr>
      </w:pPr>
      <w:r w:rsidRPr="00633A58">
        <w:rPr>
          <w:rFonts w:ascii="Arial" w:hAnsi="Arial" w:cs="Arial"/>
          <w:b/>
          <w:bCs/>
        </w:rPr>
        <w:t>DISC</w:t>
      </w:r>
      <w:r w:rsidR="002B317C" w:rsidRPr="00633A58">
        <w:rPr>
          <w:rFonts w:ascii="Arial" w:hAnsi="Arial" w:cs="Arial"/>
          <w:b/>
          <w:bCs/>
        </w:rPr>
        <w:t xml:space="preserve">OVERY INSURE LIMITED                             </w:t>
      </w:r>
      <w:r w:rsidR="002B317C" w:rsidRPr="00633A58">
        <w:rPr>
          <w:rFonts w:ascii="Arial" w:hAnsi="Arial" w:cs="Arial"/>
          <w:b/>
          <w:bCs/>
        </w:rPr>
        <w:tab/>
      </w:r>
      <w:r w:rsidR="002B317C" w:rsidRPr="00633A58">
        <w:rPr>
          <w:rFonts w:ascii="Arial" w:hAnsi="Arial" w:cs="Arial"/>
          <w:b/>
        </w:rPr>
        <w:t>APPELLANT</w:t>
      </w:r>
    </w:p>
    <w:p w:rsidR="002B317C" w:rsidRPr="00633A58" w:rsidRDefault="002B317C" w:rsidP="00E144FE">
      <w:pPr>
        <w:spacing w:before="240" w:line="360" w:lineRule="auto"/>
        <w:jc w:val="both"/>
        <w:rPr>
          <w:rFonts w:ascii="Arial" w:hAnsi="Arial" w:cs="Arial"/>
        </w:rPr>
      </w:pPr>
      <w:r w:rsidRPr="00633A58">
        <w:rPr>
          <w:rFonts w:ascii="Arial" w:hAnsi="Arial" w:cs="Arial"/>
        </w:rPr>
        <w:t>and</w:t>
      </w:r>
    </w:p>
    <w:p w:rsidR="002B317C" w:rsidRPr="00633A58" w:rsidRDefault="002B317C" w:rsidP="00E144FE">
      <w:pPr>
        <w:tabs>
          <w:tab w:val="right" w:pos="9356"/>
        </w:tabs>
        <w:spacing w:before="240" w:line="360" w:lineRule="auto"/>
        <w:rPr>
          <w:rFonts w:ascii="Arial" w:hAnsi="Arial" w:cs="Arial"/>
        </w:rPr>
      </w:pPr>
      <w:r w:rsidRPr="00633A58">
        <w:rPr>
          <w:rFonts w:ascii="Arial" w:hAnsi="Arial" w:cs="Arial"/>
          <w:b/>
          <w:bCs/>
        </w:rPr>
        <w:t>TSHAMUNWE MASINDI</w:t>
      </w:r>
      <w:r w:rsidRPr="00633A58">
        <w:rPr>
          <w:rFonts w:ascii="Arial" w:hAnsi="Arial" w:cs="Arial"/>
          <w:b/>
          <w:bCs/>
        </w:rPr>
        <w:tab/>
        <w:t xml:space="preserve">                                                        </w:t>
      </w:r>
      <w:r w:rsidRPr="00633A58">
        <w:rPr>
          <w:rFonts w:ascii="Arial" w:hAnsi="Arial" w:cs="Arial"/>
          <w:b/>
        </w:rPr>
        <w:t>RESPONDENT</w:t>
      </w:r>
    </w:p>
    <w:p w:rsidR="002B317C" w:rsidRPr="00633A58" w:rsidRDefault="002B317C" w:rsidP="00E144FE">
      <w:pPr>
        <w:spacing w:line="360" w:lineRule="auto"/>
        <w:jc w:val="both"/>
        <w:rPr>
          <w:rFonts w:ascii="Arial" w:hAnsi="Arial" w:cs="Arial"/>
        </w:rPr>
      </w:pPr>
      <w:r w:rsidRPr="00633A58">
        <w:rPr>
          <w:rFonts w:ascii="Arial" w:hAnsi="Arial" w:cs="Arial"/>
          <w:b/>
        </w:rPr>
        <w:t xml:space="preserve">                                </w:t>
      </w:r>
      <w:r w:rsidRPr="00633A58">
        <w:rPr>
          <w:rFonts w:ascii="Arial" w:hAnsi="Arial" w:cs="Arial"/>
          <w:b/>
        </w:rPr>
        <w:tab/>
      </w:r>
      <w:r w:rsidRPr="00633A58">
        <w:rPr>
          <w:rFonts w:ascii="Arial" w:hAnsi="Arial" w:cs="Arial"/>
          <w:b/>
        </w:rPr>
        <w:tab/>
      </w:r>
      <w:r w:rsidRPr="00633A58">
        <w:rPr>
          <w:rFonts w:ascii="Arial" w:hAnsi="Arial" w:cs="Arial"/>
          <w:b/>
        </w:rPr>
        <w:tab/>
      </w:r>
      <w:r w:rsidRPr="00633A58">
        <w:rPr>
          <w:rFonts w:ascii="Arial" w:hAnsi="Arial" w:cs="Arial"/>
          <w:b/>
        </w:rPr>
        <w:tab/>
      </w:r>
    </w:p>
    <w:p w:rsidR="002B317C" w:rsidRPr="00633A58" w:rsidRDefault="002B317C" w:rsidP="00E144FE">
      <w:pPr>
        <w:spacing w:line="360" w:lineRule="auto"/>
        <w:ind w:left="2160" w:hanging="2160"/>
        <w:jc w:val="both"/>
        <w:rPr>
          <w:rFonts w:ascii="Arial" w:hAnsi="Arial" w:cs="Arial"/>
        </w:rPr>
      </w:pPr>
      <w:r w:rsidRPr="00633A58">
        <w:rPr>
          <w:rFonts w:ascii="Arial" w:hAnsi="Arial" w:cs="Arial"/>
          <w:b/>
          <w:bCs/>
        </w:rPr>
        <w:t xml:space="preserve">Neutral citation: </w:t>
      </w:r>
      <w:r w:rsidRPr="00633A58">
        <w:rPr>
          <w:rFonts w:ascii="Arial" w:hAnsi="Arial" w:cs="Arial"/>
          <w:b/>
          <w:bCs/>
        </w:rPr>
        <w:tab/>
      </w:r>
      <w:r w:rsidRPr="00633A58">
        <w:rPr>
          <w:rFonts w:ascii="Arial" w:hAnsi="Arial" w:cs="Arial"/>
          <w:bCs/>
          <w:i/>
        </w:rPr>
        <w:t xml:space="preserve">Discovery Insure Limited </w:t>
      </w:r>
      <w:r w:rsidRPr="00633A58">
        <w:rPr>
          <w:rFonts w:ascii="Arial" w:hAnsi="Arial" w:cs="Arial"/>
          <w:i/>
          <w:iCs/>
        </w:rPr>
        <w:t>v Masindi</w:t>
      </w:r>
      <w:r w:rsidRPr="00633A58">
        <w:rPr>
          <w:rFonts w:ascii="Arial" w:hAnsi="Arial" w:cs="Arial"/>
          <w:bCs/>
          <w:i/>
        </w:rPr>
        <w:t xml:space="preserve"> </w:t>
      </w:r>
      <w:r w:rsidR="003943F6" w:rsidRPr="00633A58">
        <w:rPr>
          <w:rFonts w:ascii="Arial" w:hAnsi="Arial" w:cs="Arial"/>
          <w:bCs/>
        </w:rPr>
        <w:t xml:space="preserve">(534/2022) [2023] ZASCA </w:t>
      </w:r>
      <w:r w:rsidR="003B3D2D">
        <w:rPr>
          <w:rFonts w:ascii="Arial" w:hAnsi="Arial" w:cs="Arial"/>
          <w:bCs/>
        </w:rPr>
        <w:t>101</w:t>
      </w:r>
      <w:r w:rsidRPr="00633A58">
        <w:rPr>
          <w:rFonts w:ascii="Arial" w:hAnsi="Arial" w:cs="Arial"/>
          <w:bCs/>
        </w:rPr>
        <w:t xml:space="preserve"> (</w:t>
      </w:r>
      <w:r w:rsidR="002D4CCD" w:rsidRPr="00633A58">
        <w:rPr>
          <w:rFonts w:ascii="Arial" w:hAnsi="Arial" w:cs="Arial"/>
          <w:bCs/>
        </w:rPr>
        <w:t>14 </w:t>
      </w:r>
      <w:r w:rsidR="00AD1F7B" w:rsidRPr="00633A58">
        <w:rPr>
          <w:rFonts w:ascii="Arial" w:hAnsi="Arial" w:cs="Arial"/>
          <w:bCs/>
        </w:rPr>
        <w:t>June</w:t>
      </w:r>
      <w:r w:rsidRPr="00633A58">
        <w:rPr>
          <w:rFonts w:ascii="Arial" w:hAnsi="Arial" w:cs="Arial"/>
          <w:bCs/>
        </w:rPr>
        <w:t xml:space="preserve"> 2023)</w:t>
      </w:r>
    </w:p>
    <w:p w:rsidR="002B317C" w:rsidRPr="00633A58" w:rsidRDefault="002B317C" w:rsidP="00E144FE">
      <w:pPr>
        <w:spacing w:line="360" w:lineRule="auto"/>
        <w:ind w:left="2160" w:hanging="2160"/>
        <w:jc w:val="both"/>
        <w:rPr>
          <w:rFonts w:ascii="Arial" w:hAnsi="Arial" w:cs="Arial"/>
        </w:rPr>
      </w:pPr>
      <w:r w:rsidRPr="00633A58">
        <w:rPr>
          <w:rFonts w:ascii="Arial" w:hAnsi="Arial" w:cs="Arial"/>
          <w:b/>
          <w:bCs/>
        </w:rPr>
        <w:t>Coram:</w:t>
      </w:r>
      <w:r w:rsidR="00AD1F7B" w:rsidRPr="00633A58">
        <w:rPr>
          <w:rFonts w:ascii="Arial" w:hAnsi="Arial" w:cs="Arial"/>
        </w:rPr>
        <w:tab/>
        <w:t>PETSE AP and</w:t>
      </w:r>
      <w:r w:rsidRPr="00633A58">
        <w:rPr>
          <w:rFonts w:ascii="Arial" w:hAnsi="Arial" w:cs="Arial"/>
        </w:rPr>
        <w:t xml:space="preserve"> SALDULKER, MABINDLA-BOQWANA and WEINER JJA, and MASIPA AJA</w:t>
      </w:r>
    </w:p>
    <w:p w:rsidR="003943F6" w:rsidRPr="00633A58" w:rsidRDefault="003943F6" w:rsidP="00E144FE">
      <w:pPr>
        <w:spacing w:line="360" w:lineRule="auto"/>
        <w:ind w:left="2160" w:hanging="2160"/>
        <w:jc w:val="both"/>
        <w:rPr>
          <w:rFonts w:ascii="Arial" w:hAnsi="Arial" w:cs="Arial"/>
          <w:b/>
          <w:bCs/>
          <w:i/>
          <w:iCs/>
        </w:rPr>
      </w:pPr>
    </w:p>
    <w:p w:rsidR="002B317C" w:rsidRPr="00633A58" w:rsidRDefault="002B317C" w:rsidP="00E144FE">
      <w:pPr>
        <w:spacing w:line="360" w:lineRule="auto"/>
        <w:jc w:val="both"/>
        <w:rPr>
          <w:rFonts w:ascii="Arial" w:hAnsi="Arial" w:cs="Arial"/>
        </w:rPr>
      </w:pPr>
      <w:r w:rsidRPr="00633A58">
        <w:rPr>
          <w:rFonts w:ascii="Arial" w:hAnsi="Arial" w:cs="Arial"/>
          <w:b/>
          <w:bCs/>
        </w:rPr>
        <w:t>Heard</w:t>
      </w:r>
      <w:r w:rsidRPr="00633A58">
        <w:rPr>
          <w:rFonts w:ascii="Arial" w:hAnsi="Arial" w:cs="Arial"/>
          <w:b/>
        </w:rPr>
        <w:t xml:space="preserve">: </w:t>
      </w:r>
      <w:r w:rsidRPr="00633A58">
        <w:rPr>
          <w:rFonts w:ascii="Arial" w:hAnsi="Arial" w:cs="Arial"/>
        </w:rPr>
        <w:t xml:space="preserve">        </w:t>
      </w:r>
      <w:r w:rsidRPr="00633A58">
        <w:rPr>
          <w:rFonts w:ascii="Arial" w:hAnsi="Arial" w:cs="Arial"/>
        </w:rPr>
        <w:tab/>
        <w:t>10 May 2023</w:t>
      </w:r>
    </w:p>
    <w:p w:rsidR="003943F6" w:rsidRPr="00633A58" w:rsidRDefault="003943F6" w:rsidP="00E144FE">
      <w:pPr>
        <w:spacing w:line="360" w:lineRule="auto"/>
        <w:jc w:val="both"/>
        <w:rPr>
          <w:rFonts w:ascii="Arial" w:hAnsi="Arial" w:cs="Arial"/>
          <w:b/>
          <w:bCs/>
        </w:rPr>
      </w:pPr>
    </w:p>
    <w:p w:rsidR="002B317C" w:rsidRPr="00633A58" w:rsidRDefault="002B317C" w:rsidP="00E144FE">
      <w:pPr>
        <w:spacing w:line="360" w:lineRule="auto"/>
        <w:jc w:val="both"/>
        <w:rPr>
          <w:rFonts w:ascii="Arial" w:hAnsi="Arial" w:cs="Arial"/>
        </w:rPr>
      </w:pPr>
      <w:r w:rsidRPr="00633A58">
        <w:rPr>
          <w:rFonts w:ascii="Arial" w:hAnsi="Arial" w:cs="Arial"/>
          <w:b/>
          <w:bCs/>
        </w:rPr>
        <w:t>Delivered</w:t>
      </w:r>
      <w:r w:rsidRPr="00633A58">
        <w:rPr>
          <w:rFonts w:ascii="Arial" w:hAnsi="Arial" w:cs="Arial"/>
          <w:b/>
        </w:rPr>
        <w:t>:</w:t>
      </w:r>
      <w:r w:rsidR="003943F6" w:rsidRPr="00633A58">
        <w:rPr>
          <w:rFonts w:ascii="Arial" w:hAnsi="Arial" w:cs="Arial"/>
        </w:rPr>
        <w:tab/>
      </w:r>
      <w:r w:rsidR="002D4CCD" w:rsidRPr="00633A58">
        <w:rPr>
          <w:rFonts w:ascii="Arial" w:hAnsi="Arial" w:cs="Arial"/>
        </w:rPr>
        <w:t>14</w:t>
      </w:r>
      <w:r w:rsidRPr="00633A58">
        <w:rPr>
          <w:rFonts w:ascii="Arial" w:hAnsi="Arial" w:cs="Arial"/>
        </w:rPr>
        <w:t xml:space="preserve"> </w:t>
      </w:r>
      <w:r w:rsidR="00AD1F7B" w:rsidRPr="00633A58">
        <w:rPr>
          <w:rFonts w:ascii="Arial" w:hAnsi="Arial" w:cs="Arial"/>
        </w:rPr>
        <w:t>June</w:t>
      </w:r>
      <w:r w:rsidRPr="00633A58">
        <w:rPr>
          <w:rFonts w:ascii="Arial" w:hAnsi="Arial" w:cs="Arial"/>
        </w:rPr>
        <w:t xml:space="preserve"> 2023</w:t>
      </w:r>
    </w:p>
    <w:p w:rsidR="003943F6" w:rsidRPr="00633A58" w:rsidRDefault="003943F6" w:rsidP="00E144FE">
      <w:pPr>
        <w:spacing w:line="360" w:lineRule="auto"/>
        <w:jc w:val="both"/>
        <w:rPr>
          <w:rFonts w:ascii="Arial" w:hAnsi="Arial" w:cs="Arial"/>
          <w:b/>
          <w:bCs/>
        </w:rPr>
      </w:pPr>
    </w:p>
    <w:p w:rsidR="001B626F" w:rsidRPr="00633A58" w:rsidRDefault="003943F6" w:rsidP="001B626F">
      <w:pPr>
        <w:spacing w:line="360" w:lineRule="auto"/>
        <w:jc w:val="both"/>
        <w:rPr>
          <w:rFonts w:ascii="Arial" w:hAnsi="Arial" w:cs="Arial"/>
          <w:b/>
          <w:bCs/>
        </w:rPr>
      </w:pPr>
      <w:r w:rsidRPr="00633A58">
        <w:rPr>
          <w:rFonts w:ascii="Arial" w:hAnsi="Arial" w:cs="Arial"/>
          <w:b/>
          <w:bCs/>
        </w:rPr>
        <w:t>Summary:</w:t>
      </w:r>
      <w:r w:rsidRPr="00633A58">
        <w:rPr>
          <w:rFonts w:ascii="Arial" w:hAnsi="Arial" w:cs="Arial"/>
          <w:b/>
          <w:bCs/>
        </w:rPr>
        <w:tab/>
      </w:r>
      <w:r w:rsidR="002B317C" w:rsidRPr="00633A58">
        <w:rPr>
          <w:rFonts w:ascii="Arial" w:hAnsi="Arial" w:cs="Arial"/>
          <w:bCs/>
        </w:rPr>
        <w:t>Insurance</w:t>
      </w:r>
      <w:r w:rsidR="00AD1F7B" w:rsidRPr="00633A58">
        <w:rPr>
          <w:rFonts w:ascii="Arial" w:hAnsi="Arial" w:cs="Arial"/>
          <w:bCs/>
        </w:rPr>
        <w:t xml:space="preserve"> policy </w:t>
      </w:r>
      <w:r w:rsidR="002B317C" w:rsidRPr="00633A58">
        <w:rPr>
          <w:rFonts w:ascii="Arial" w:hAnsi="Arial" w:cs="Arial"/>
          <w:bCs/>
        </w:rPr>
        <w:t xml:space="preserve">– </w:t>
      </w:r>
      <w:r w:rsidR="00AD1F7B" w:rsidRPr="00633A58">
        <w:rPr>
          <w:rFonts w:ascii="Arial" w:hAnsi="Arial" w:cs="Arial"/>
          <w:bCs/>
        </w:rPr>
        <w:t>interpretation of term</w:t>
      </w:r>
      <w:r w:rsidR="00E4208D" w:rsidRPr="00633A58">
        <w:rPr>
          <w:rFonts w:ascii="Arial" w:hAnsi="Arial" w:cs="Arial"/>
          <w:bCs/>
        </w:rPr>
        <w:t>s</w:t>
      </w:r>
      <w:r w:rsidR="00AD1F7B" w:rsidRPr="00633A58">
        <w:rPr>
          <w:rFonts w:ascii="Arial" w:hAnsi="Arial" w:cs="Arial"/>
          <w:bCs/>
        </w:rPr>
        <w:t xml:space="preserve"> of policy providing for </w:t>
      </w:r>
      <w:r w:rsidR="005510FC" w:rsidRPr="00633A58">
        <w:rPr>
          <w:rFonts w:ascii="Arial" w:hAnsi="Arial" w:cs="Arial"/>
          <w:bCs/>
        </w:rPr>
        <w:t>forfeiture</w:t>
      </w:r>
      <w:r w:rsidR="00AD1F7B" w:rsidRPr="00633A58">
        <w:rPr>
          <w:rFonts w:ascii="Arial" w:hAnsi="Arial" w:cs="Arial"/>
          <w:bCs/>
        </w:rPr>
        <w:t xml:space="preserve"> of benefits under policy – e</w:t>
      </w:r>
      <w:r w:rsidR="002B317C" w:rsidRPr="00633A58">
        <w:rPr>
          <w:rFonts w:ascii="Arial" w:hAnsi="Arial" w:cs="Arial"/>
          <w:bCs/>
        </w:rPr>
        <w:t xml:space="preserve">nforceability of </w:t>
      </w:r>
      <w:r w:rsidR="00AD1F7B" w:rsidRPr="00633A58">
        <w:rPr>
          <w:rFonts w:ascii="Arial" w:hAnsi="Arial" w:cs="Arial"/>
          <w:bCs/>
        </w:rPr>
        <w:t>such</w:t>
      </w:r>
      <w:r w:rsidR="002B317C" w:rsidRPr="00633A58">
        <w:rPr>
          <w:rFonts w:ascii="Arial" w:hAnsi="Arial" w:cs="Arial"/>
          <w:bCs/>
        </w:rPr>
        <w:t xml:space="preserve"> </w:t>
      </w:r>
      <w:r w:rsidR="00E4208D" w:rsidRPr="00633A58">
        <w:rPr>
          <w:rFonts w:ascii="Arial" w:hAnsi="Arial" w:cs="Arial"/>
          <w:bCs/>
        </w:rPr>
        <w:t>terms</w:t>
      </w:r>
      <w:r w:rsidR="002B317C" w:rsidRPr="00633A58">
        <w:rPr>
          <w:rFonts w:ascii="Arial" w:hAnsi="Arial" w:cs="Arial"/>
          <w:bCs/>
        </w:rPr>
        <w:t xml:space="preserve"> – </w:t>
      </w:r>
      <w:r w:rsidR="005510FC" w:rsidRPr="00633A58">
        <w:rPr>
          <w:rFonts w:ascii="Arial" w:hAnsi="Arial" w:cs="Arial"/>
          <w:bCs/>
        </w:rPr>
        <w:t>whether a part</w:t>
      </w:r>
      <w:r w:rsidR="001B626F" w:rsidRPr="00633A58">
        <w:rPr>
          <w:rFonts w:ascii="Arial" w:hAnsi="Arial" w:cs="Arial"/>
          <w:bCs/>
        </w:rPr>
        <w:t>l</w:t>
      </w:r>
      <w:r w:rsidR="005510FC" w:rsidRPr="00633A58">
        <w:rPr>
          <w:rFonts w:ascii="Arial" w:hAnsi="Arial" w:cs="Arial"/>
          <w:bCs/>
        </w:rPr>
        <w:t xml:space="preserve">y fraudulent </w:t>
      </w:r>
      <w:r w:rsidR="001B626F" w:rsidRPr="00633A58">
        <w:rPr>
          <w:rFonts w:ascii="Arial" w:hAnsi="Arial" w:cs="Arial"/>
          <w:bCs/>
        </w:rPr>
        <w:t xml:space="preserve">and partly </w:t>
      </w:r>
      <w:r w:rsidR="00E4208D" w:rsidRPr="00633A58">
        <w:rPr>
          <w:rFonts w:ascii="Arial" w:hAnsi="Arial" w:cs="Arial"/>
          <w:bCs/>
        </w:rPr>
        <w:t>genuine</w:t>
      </w:r>
      <w:r w:rsidR="001B626F" w:rsidRPr="00633A58">
        <w:rPr>
          <w:rFonts w:ascii="Arial" w:hAnsi="Arial" w:cs="Arial"/>
          <w:bCs/>
        </w:rPr>
        <w:t xml:space="preserve"> claim results in forfeiture of entire claim</w:t>
      </w:r>
      <w:r w:rsidR="002F485A" w:rsidRPr="00633A58">
        <w:rPr>
          <w:rFonts w:ascii="Arial" w:hAnsi="Arial" w:cs="Arial"/>
          <w:bCs/>
        </w:rPr>
        <w:t>,</w:t>
      </w:r>
      <w:r w:rsidR="00E4208D" w:rsidRPr="00633A58">
        <w:rPr>
          <w:rFonts w:ascii="Arial" w:hAnsi="Arial" w:cs="Arial"/>
          <w:bCs/>
        </w:rPr>
        <w:t xml:space="preserve"> retrospective</w:t>
      </w:r>
      <w:r w:rsidR="001B626F" w:rsidRPr="00633A58">
        <w:rPr>
          <w:rFonts w:ascii="Arial" w:hAnsi="Arial" w:cs="Arial"/>
          <w:bCs/>
        </w:rPr>
        <w:t xml:space="preserve"> from either date of </w:t>
      </w:r>
      <w:r w:rsidR="001B626F" w:rsidRPr="00633A58">
        <w:rPr>
          <w:rFonts w:ascii="Arial" w:hAnsi="Arial" w:cs="Arial"/>
          <w:bCs/>
        </w:rPr>
        <w:lastRenderedPageBreak/>
        <w:t>reported incident or actual incident date</w:t>
      </w:r>
      <w:r w:rsidR="00BB1099" w:rsidRPr="00633A58">
        <w:rPr>
          <w:rFonts w:ascii="Arial" w:hAnsi="Arial" w:cs="Arial"/>
          <w:bCs/>
        </w:rPr>
        <w:t>,</w:t>
      </w:r>
      <w:r w:rsidR="001B626F" w:rsidRPr="00633A58">
        <w:rPr>
          <w:rFonts w:ascii="Arial" w:hAnsi="Arial" w:cs="Arial"/>
          <w:bCs/>
        </w:rPr>
        <w:t xml:space="preserve"> entitling insurer to repayment of amounts already paid arising from</w:t>
      </w:r>
      <w:r w:rsidR="00E4208D" w:rsidRPr="00633A58">
        <w:rPr>
          <w:rFonts w:ascii="Arial" w:hAnsi="Arial" w:cs="Arial"/>
          <w:bCs/>
        </w:rPr>
        <w:t xml:space="preserve"> such</w:t>
      </w:r>
      <w:r w:rsidR="001B626F" w:rsidRPr="00633A58">
        <w:rPr>
          <w:rFonts w:ascii="Arial" w:hAnsi="Arial" w:cs="Arial"/>
          <w:bCs/>
        </w:rPr>
        <w:t xml:space="preserve"> incident.</w:t>
      </w:r>
    </w:p>
    <w:p w:rsidR="002B317C" w:rsidRPr="00633A58" w:rsidRDefault="002B317C" w:rsidP="009E3E16">
      <w:pPr>
        <w:spacing w:line="360" w:lineRule="auto"/>
        <w:jc w:val="both"/>
        <w:rPr>
          <w:rFonts w:ascii="Arial" w:hAnsi="Arial" w:cs="Arial"/>
          <w:bCs/>
        </w:rPr>
        <w:sectPr w:rsidR="002B317C" w:rsidRPr="00633A58" w:rsidSect="00F3543F">
          <w:headerReference w:type="default" r:id="rId12"/>
          <w:headerReference w:type="first" r:id="rId13"/>
          <w:pgSz w:w="12240" w:h="15840"/>
          <w:pgMar w:top="1440" w:right="1440" w:bottom="1440" w:left="1440" w:header="720" w:footer="720" w:gutter="0"/>
          <w:pgNumType w:start="1"/>
          <w:cols w:space="720"/>
          <w:docGrid w:linePitch="326"/>
        </w:sectPr>
      </w:pPr>
    </w:p>
    <w:p w:rsidR="002B317C" w:rsidRPr="00633A58" w:rsidRDefault="002B317C" w:rsidP="00E144FE">
      <w:pPr>
        <w:spacing w:line="360" w:lineRule="auto"/>
        <w:jc w:val="both"/>
        <w:rPr>
          <w:rFonts w:ascii="Arial" w:hAnsi="Arial" w:cs="Arial"/>
        </w:rPr>
      </w:pPr>
      <w:r w:rsidRPr="00633A58">
        <w:rPr>
          <w:rFonts w:ascii="Arial" w:hAnsi="Arial" w:cs="Arial"/>
          <w:noProof/>
          <w:lang w:val="en-US"/>
        </w:rPr>
        <w:lastRenderedPageBreak/>
        <mc:AlternateContent>
          <mc:Choice Requires="wps">
            <w:drawing>
              <wp:anchor distT="0" distB="0" distL="114300" distR="114300" simplePos="0" relativeHeight="251656192" behindDoc="0" locked="0" layoutInCell="1" allowOverlap="1" wp14:anchorId="67207046" wp14:editId="62802563">
                <wp:simplePos x="0" y="0"/>
                <wp:positionH relativeFrom="column">
                  <wp:posOffset>0</wp:posOffset>
                </wp:positionH>
                <wp:positionV relativeFrom="paragraph">
                  <wp:posOffset>114300</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0EA1C6D"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">
                <o:lock v:ext="edit" shapetype="f"/>
              </v:line>
            </w:pict>
          </mc:Fallback>
        </mc:AlternateContent>
      </w:r>
      <w:r w:rsidRPr="00633A58">
        <w:rPr>
          <w:rFonts w:ascii="Arial" w:hAnsi="Arial" w:cs="Arial"/>
          <w:noProof/>
          <w:lang w:val="en-US"/>
        </w:rPr>
        <mc:AlternateContent>
          <mc:Choice Requires="wps">
            <w:drawing>
              <wp:anchor distT="0" distB="0" distL="114300" distR="114300" simplePos="0" relativeHeight="251657216" behindDoc="0" locked="0" layoutInCell="1" allowOverlap="1" wp14:anchorId="69273FBF" wp14:editId="21C57B19">
                <wp:simplePos x="0" y="0"/>
                <wp:positionH relativeFrom="column">
                  <wp:posOffset>0</wp:posOffset>
                </wp:positionH>
                <wp:positionV relativeFrom="paragraph">
                  <wp:posOffset>36830</wp:posOffset>
                </wp:positionV>
                <wp:extent cx="592518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9FD9B71"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">
                <o:lock v:ext="edit" shapetype="f"/>
              </v:line>
            </w:pict>
          </mc:Fallback>
        </mc:AlternateContent>
      </w:r>
    </w:p>
    <w:p w:rsidR="002B317C" w:rsidRPr="00633A58" w:rsidRDefault="002B317C" w:rsidP="00E144FE">
      <w:pPr>
        <w:pStyle w:val="Heading3"/>
        <w:jc w:val="center"/>
        <w:rPr>
          <w:b/>
          <w:i w:val="0"/>
          <w:sz w:val="24"/>
        </w:rPr>
      </w:pPr>
      <w:r w:rsidRPr="00633A58">
        <w:rPr>
          <w:b/>
          <w:i w:val="0"/>
          <w:sz w:val="24"/>
        </w:rPr>
        <w:t>ORDER</w:t>
      </w:r>
    </w:p>
    <w:p w:rsidR="002B317C" w:rsidRPr="00633A58" w:rsidRDefault="002B317C" w:rsidP="00E144FE">
      <w:pPr>
        <w:spacing w:line="360" w:lineRule="auto"/>
        <w:jc w:val="both"/>
        <w:rPr>
          <w:rFonts w:ascii="Arial" w:hAnsi="Arial" w:cs="Arial"/>
          <w:b/>
          <w:bCs/>
        </w:rPr>
      </w:pPr>
      <w:r w:rsidRPr="00633A58">
        <w:rPr>
          <w:rFonts w:ascii="Arial" w:hAnsi="Arial" w:cs="Arial"/>
          <w:noProof/>
          <w:lang w:val="en-US"/>
        </w:rPr>
        <mc:AlternateContent>
          <mc:Choice Requires="wps">
            <w:drawing>
              <wp:anchor distT="0" distB="0" distL="114300" distR="114300" simplePos="0" relativeHeight="251658240" behindDoc="0" locked="0" layoutInCell="1" allowOverlap="1" wp14:anchorId="30103976" wp14:editId="7979335D">
                <wp:simplePos x="0" y="0"/>
                <wp:positionH relativeFrom="column">
                  <wp:posOffset>0</wp:posOffset>
                </wp:positionH>
                <wp:positionV relativeFrom="paragraph">
                  <wp:posOffset>89535</wp:posOffset>
                </wp:positionV>
                <wp:extent cx="592518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739D673"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66.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">
                <o:lock v:ext="edit" shapetype="f"/>
              </v:line>
            </w:pict>
          </mc:Fallback>
        </mc:AlternateContent>
      </w:r>
    </w:p>
    <w:p w:rsidR="002B317C" w:rsidRPr="00633A58" w:rsidRDefault="002B317C" w:rsidP="001B626F">
      <w:pPr>
        <w:spacing w:after="120" w:line="360" w:lineRule="auto"/>
        <w:jc w:val="both"/>
        <w:rPr>
          <w:rFonts w:ascii="Arial" w:hAnsi="Arial" w:cs="Arial"/>
          <w:bCs/>
        </w:rPr>
      </w:pPr>
      <w:r w:rsidRPr="00633A58">
        <w:rPr>
          <w:rFonts w:ascii="Arial" w:hAnsi="Arial" w:cs="Arial"/>
          <w:b/>
          <w:bCs/>
        </w:rPr>
        <w:t xml:space="preserve">On appeal from: </w:t>
      </w:r>
      <w:r w:rsidRPr="00633A58">
        <w:rPr>
          <w:rFonts w:ascii="Arial" w:hAnsi="Arial" w:cs="Arial"/>
          <w:bCs/>
        </w:rPr>
        <w:t>Gauteng Division of the High Court, Johannesburg (</w:t>
      </w:r>
      <w:r w:rsidR="00CD69FD" w:rsidRPr="00633A58">
        <w:rPr>
          <w:rFonts w:ascii="Arial" w:hAnsi="Arial" w:cs="Arial"/>
          <w:bCs/>
        </w:rPr>
        <w:t xml:space="preserve">Khumalo </w:t>
      </w:r>
      <w:r w:rsidRPr="00633A58">
        <w:rPr>
          <w:rFonts w:ascii="Arial" w:hAnsi="Arial" w:cs="Arial"/>
          <w:bCs/>
        </w:rPr>
        <w:t>J</w:t>
      </w:r>
      <w:r w:rsidR="00CD69FD" w:rsidRPr="00633A58">
        <w:rPr>
          <w:rFonts w:ascii="Arial" w:hAnsi="Arial" w:cs="Arial"/>
          <w:bCs/>
        </w:rPr>
        <w:t>,</w:t>
      </w:r>
      <w:r w:rsidRPr="00633A58">
        <w:rPr>
          <w:rFonts w:ascii="Arial" w:hAnsi="Arial" w:cs="Arial"/>
          <w:b/>
          <w:bCs/>
        </w:rPr>
        <w:t xml:space="preserve"> </w:t>
      </w:r>
      <w:r w:rsidRPr="00633A58">
        <w:rPr>
          <w:rFonts w:ascii="Arial" w:hAnsi="Arial" w:cs="Arial"/>
          <w:bCs/>
        </w:rPr>
        <w:t xml:space="preserve">sitting as court of </w:t>
      </w:r>
      <w:r w:rsidR="00CD69FD" w:rsidRPr="00633A58">
        <w:rPr>
          <w:rFonts w:ascii="Arial" w:hAnsi="Arial" w:cs="Arial"/>
          <w:bCs/>
        </w:rPr>
        <w:t>first instance</w:t>
      </w:r>
      <w:r w:rsidRPr="00633A58">
        <w:rPr>
          <w:rFonts w:ascii="Arial" w:hAnsi="Arial" w:cs="Arial"/>
          <w:bCs/>
        </w:rPr>
        <w:t>):</w:t>
      </w:r>
    </w:p>
    <w:p w:rsidR="002B317C" w:rsidRPr="00633A58" w:rsidRDefault="001B626F" w:rsidP="001B626F">
      <w:pPr>
        <w:spacing w:line="360" w:lineRule="auto"/>
        <w:jc w:val="both"/>
        <w:rPr>
          <w:rFonts w:ascii="Arial" w:hAnsi="Arial" w:cs="Arial"/>
        </w:rPr>
      </w:pPr>
      <w:r w:rsidRPr="00633A58">
        <w:rPr>
          <w:rFonts w:ascii="Arial" w:hAnsi="Arial" w:cs="Arial"/>
        </w:rPr>
        <w:t>1</w:t>
      </w:r>
      <w:r w:rsidRPr="00633A58">
        <w:rPr>
          <w:rFonts w:ascii="Arial" w:hAnsi="Arial" w:cs="Arial"/>
        </w:rPr>
        <w:tab/>
      </w:r>
      <w:r w:rsidR="002B317C" w:rsidRPr="00633A58">
        <w:rPr>
          <w:rFonts w:ascii="Arial" w:hAnsi="Arial" w:cs="Arial"/>
        </w:rPr>
        <w:t xml:space="preserve">The appeal is </w:t>
      </w:r>
      <w:r w:rsidR="00370E62" w:rsidRPr="00633A58">
        <w:rPr>
          <w:rFonts w:ascii="Arial" w:hAnsi="Arial" w:cs="Arial"/>
        </w:rPr>
        <w:t>upheld with costs</w:t>
      </w:r>
      <w:r w:rsidRPr="00633A58">
        <w:rPr>
          <w:rFonts w:ascii="Arial" w:hAnsi="Arial" w:cs="Arial"/>
        </w:rPr>
        <w:t>.</w:t>
      </w:r>
    </w:p>
    <w:p w:rsidR="00370E62" w:rsidRPr="00633A58" w:rsidRDefault="001B626F" w:rsidP="001B626F">
      <w:pPr>
        <w:spacing w:line="360" w:lineRule="auto"/>
        <w:ind w:left="720" w:hanging="720"/>
        <w:jc w:val="both"/>
        <w:rPr>
          <w:rFonts w:ascii="Arial" w:hAnsi="Arial" w:cs="Arial"/>
        </w:rPr>
      </w:pPr>
      <w:r w:rsidRPr="00633A58">
        <w:rPr>
          <w:rFonts w:ascii="Arial" w:hAnsi="Arial" w:cs="Arial"/>
          <w:color w:val="000000"/>
          <w:lang w:eastAsia="en-ZA"/>
        </w:rPr>
        <w:t>2</w:t>
      </w:r>
      <w:r w:rsidRPr="00633A58">
        <w:rPr>
          <w:rFonts w:ascii="Arial" w:hAnsi="Arial" w:cs="Arial"/>
          <w:color w:val="000000"/>
          <w:lang w:eastAsia="en-ZA"/>
        </w:rPr>
        <w:tab/>
      </w:r>
      <w:r w:rsidR="00293DB2" w:rsidRPr="00633A58">
        <w:rPr>
          <w:rFonts w:ascii="Arial" w:hAnsi="Arial" w:cs="Arial"/>
          <w:color w:val="000000"/>
          <w:lang w:eastAsia="en-ZA"/>
        </w:rPr>
        <w:t>Paragraphs 1,</w:t>
      </w:r>
      <w:r w:rsidRPr="00633A58">
        <w:rPr>
          <w:rFonts w:ascii="Arial" w:hAnsi="Arial" w:cs="Arial"/>
          <w:color w:val="000000"/>
          <w:lang w:eastAsia="en-ZA"/>
        </w:rPr>
        <w:t xml:space="preserve"> </w:t>
      </w:r>
      <w:r w:rsidR="00293DB2" w:rsidRPr="00633A58">
        <w:rPr>
          <w:rFonts w:ascii="Arial" w:hAnsi="Arial" w:cs="Arial"/>
          <w:color w:val="000000"/>
          <w:lang w:eastAsia="en-ZA"/>
        </w:rPr>
        <w:t>2 and 3 of</w:t>
      </w:r>
      <w:r w:rsidR="00370E62" w:rsidRPr="00633A58">
        <w:rPr>
          <w:rFonts w:ascii="Arial" w:hAnsi="Arial" w:cs="Arial"/>
          <w:color w:val="000000"/>
          <w:lang w:eastAsia="en-ZA"/>
        </w:rPr>
        <w:t xml:space="preserve"> </w:t>
      </w:r>
      <w:r w:rsidRPr="00633A58">
        <w:rPr>
          <w:rFonts w:ascii="Arial" w:hAnsi="Arial" w:cs="Arial"/>
          <w:color w:val="000000"/>
          <w:lang w:eastAsia="en-ZA"/>
        </w:rPr>
        <w:t xml:space="preserve">the </w:t>
      </w:r>
      <w:r w:rsidR="00370E62" w:rsidRPr="00633A58">
        <w:rPr>
          <w:rFonts w:ascii="Arial" w:hAnsi="Arial" w:cs="Arial"/>
          <w:color w:val="000000"/>
          <w:lang w:eastAsia="en-ZA"/>
        </w:rPr>
        <w:t>order of the</w:t>
      </w:r>
      <w:r w:rsidR="00E4208D" w:rsidRPr="00633A58">
        <w:rPr>
          <w:rFonts w:ascii="Arial" w:hAnsi="Arial" w:cs="Arial"/>
          <w:color w:val="000000"/>
          <w:lang w:eastAsia="en-ZA"/>
        </w:rPr>
        <w:t xml:space="preserve"> high</w:t>
      </w:r>
      <w:r w:rsidR="00370E62" w:rsidRPr="00633A58">
        <w:rPr>
          <w:rFonts w:ascii="Arial" w:hAnsi="Arial" w:cs="Arial"/>
          <w:color w:val="000000"/>
          <w:lang w:eastAsia="en-ZA"/>
        </w:rPr>
        <w:t xml:space="preserve"> court </w:t>
      </w:r>
      <w:r w:rsidR="00293DB2" w:rsidRPr="00633A58">
        <w:rPr>
          <w:rFonts w:ascii="Arial" w:hAnsi="Arial" w:cs="Arial"/>
          <w:color w:val="000000"/>
          <w:lang w:eastAsia="en-ZA"/>
        </w:rPr>
        <w:t>are</w:t>
      </w:r>
      <w:r w:rsidR="00370E62" w:rsidRPr="00633A58">
        <w:rPr>
          <w:rFonts w:ascii="Arial" w:hAnsi="Arial" w:cs="Arial"/>
          <w:color w:val="000000"/>
          <w:lang w:eastAsia="en-ZA"/>
        </w:rPr>
        <w:t xml:space="preserve"> set aside and substituted </w:t>
      </w:r>
      <w:r w:rsidR="00293DB2" w:rsidRPr="00633A58">
        <w:rPr>
          <w:rFonts w:ascii="Arial" w:hAnsi="Arial" w:cs="Arial"/>
          <w:color w:val="000000"/>
          <w:lang w:eastAsia="en-ZA"/>
        </w:rPr>
        <w:t xml:space="preserve">with the </w:t>
      </w:r>
      <w:r w:rsidR="00370E62" w:rsidRPr="00633A58">
        <w:rPr>
          <w:rFonts w:ascii="Arial" w:hAnsi="Arial" w:cs="Arial"/>
          <w:color w:val="000000"/>
          <w:lang w:eastAsia="en-ZA"/>
        </w:rPr>
        <w:t>follow</w:t>
      </w:r>
      <w:r w:rsidR="00293DB2" w:rsidRPr="00633A58">
        <w:rPr>
          <w:rFonts w:ascii="Arial" w:hAnsi="Arial" w:cs="Arial"/>
          <w:color w:val="000000"/>
          <w:lang w:eastAsia="en-ZA"/>
        </w:rPr>
        <w:t>ing:</w:t>
      </w:r>
    </w:p>
    <w:p w:rsidR="00293DB2" w:rsidRPr="00633A58" w:rsidRDefault="001F31BD" w:rsidP="001B626F">
      <w:pPr>
        <w:spacing w:line="360" w:lineRule="auto"/>
        <w:ind w:firstLine="633"/>
        <w:jc w:val="both"/>
        <w:rPr>
          <w:rFonts w:ascii="Arial" w:hAnsi="Arial" w:cs="Arial"/>
        </w:rPr>
      </w:pPr>
      <w:r w:rsidRPr="00633A58">
        <w:rPr>
          <w:rFonts w:ascii="Arial" w:hAnsi="Arial" w:cs="Arial"/>
        </w:rPr>
        <w:t xml:space="preserve">‘1 </w:t>
      </w:r>
      <w:r w:rsidR="00293DB2" w:rsidRPr="00633A58">
        <w:rPr>
          <w:rFonts w:ascii="Arial" w:hAnsi="Arial" w:cs="Arial"/>
        </w:rPr>
        <w:t>Judgment is granted against the defendant</w:t>
      </w:r>
      <w:r w:rsidR="00E4208D" w:rsidRPr="00633A58">
        <w:rPr>
          <w:rFonts w:ascii="Arial" w:hAnsi="Arial" w:cs="Arial"/>
        </w:rPr>
        <w:t xml:space="preserve"> in favour of the plaintiff</w:t>
      </w:r>
      <w:r w:rsidR="00293DB2" w:rsidRPr="00633A58">
        <w:rPr>
          <w:rFonts w:ascii="Arial" w:hAnsi="Arial" w:cs="Arial"/>
        </w:rPr>
        <w:t xml:space="preserve"> for:</w:t>
      </w:r>
    </w:p>
    <w:p w:rsidR="00293DB2" w:rsidRPr="00633A58" w:rsidRDefault="002E6FB3" w:rsidP="002E6FB3">
      <w:pPr>
        <w:spacing w:line="360" w:lineRule="auto"/>
        <w:ind w:left="633"/>
        <w:jc w:val="both"/>
        <w:rPr>
          <w:rFonts w:ascii="Arial" w:hAnsi="Arial" w:cs="Arial"/>
        </w:rPr>
      </w:pPr>
      <w:r w:rsidRPr="00633A58">
        <w:rPr>
          <w:rFonts w:ascii="Arial" w:hAnsi="Arial" w:cs="Arial"/>
        </w:rPr>
        <w:t>(a)</w:t>
      </w:r>
      <w:r w:rsidRPr="00633A58">
        <w:rPr>
          <w:rFonts w:ascii="Arial" w:hAnsi="Arial" w:cs="Arial"/>
        </w:rPr>
        <w:tab/>
      </w:r>
      <w:r w:rsidR="00293DB2" w:rsidRPr="00633A58">
        <w:rPr>
          <w:rFonts w:ascii="Arial" w:hAnsi="Arial" w:cs="Arial"/>
        </w:rPr>
        <w:t>Payment of the sum of R1 594 980.12</w:t>
      </w:r>
      <w:r w:rsidR="005C4175" w:rsidRPr="00633A58">
        <w:rPr>
          <w:rFonts w:ascii="Arial" w:hAnsi="Arial" w:cs="Arial"/>
        </w:rPr>
        <w:t>.</w:t>
      </w:r>
    </w:p>
    <w:p w:rsidR="00293DB2" w:rsidRPr="00633A58" w:rsidRDefault="002E6FB3" w:rsidP="002E6FB3">
      <w:pPr>
        <w:spacing w:line="360" w:lineRule="auto"/>
        <w:ind w:left="633"/>
        <w:jc w:val="both"/>
        <w:rPr>
          <w:rFonts w:ascii="Arial" w:hAnsi="Arial" w:cs="Arial"/>
        </w:rPr>
      </w:pPr>
      <w:r w:rsidRPr="00633A58">
        <w:rPr>
          <w:rFonts w:ascii="Arial" w:hAnsi="Arial" w:cs="Arial"/>
        </w:rPr>
        <w:t>(b)</w:t>
      </w:r>
      <w:r w:rsidRPr="00633A58">
        <w:rPr>
          <w:rFonts w:ascii="Arial" w:hAnsi="Arial" w:cs="Arial"/>
        </w:rPr>
        <w:tab/>
      </w:r>
      <w:r w:rsidR="00293DB2" w:rsidRPr="00633A58">
        <w:rPr>
          <w:rFonts w:ascii="Arial" w:hAnsi="Arial" w:cs="Arial"/>
        </w:rPr>
        <w:t>Interest on the aforesaid amount at the rate of 10.25% per annum</w:t>
      </w:r>
      <w:r w:rsidR="001B626F" w:rsidRPr="00633A58">
        <w:rPr>
          <w:rFonts w:ascii="Arial" w:hAnsi="Arial" w:cs="Arial"/>
        </w:rPr>
        <w:t xml:space="preserve"> calculated</w:t>
      </w:r>
      <w:r w:rsidR="00293DB2" w:rsidRPr="00633A58">
        <w:rPr>
          <w:rFonts w:ascii="Arial" w:hAnsi="Arial" w:cs="Arial"/>
        </w:rPr>
        <w:t xml:space="preserve"> from 8 June 2017 to date of final payment.’</w:t>
      </w:r>
    </w:p>
    <w:p w:rsidR="002B317C" w:rsidRPr="00633A58" w:rsidRDefault="002B317C" w:rsidP="00E144FE">
      <w:pPr>
        <w:spacing w:line="360" w:lineRule="auto"/>
        <w:jc w:val="both"/>
        <w:rPr>
          <w:rFonts w:ascii="Arial" w:hAnsi="Arial" w:cs="Arial"/>
        </w:rPr>
      </w:pPr>
    </w:p>
    <w:p w:rsidR="002B317C" w:rsidRPr="00633A58" w:rsidRDefault="002B317C" w:rsidP="00E144FE">
      <w:pPr>
        <w:spacing w:line="360" w:lineRule="auto"/>
        <w:jc w:val="both"/>
        <w:rPr>
          <w:rFonts w:ascii="Arial" w:hAnsi="Arial" w:cs="Arial"/>
          <w:b/>
          <w:bCs/>
        </w:rPr>
      </w:pPr>
      <w:r w:rsidRPr="00633A58">
        <w:rPr>
          <w:rFonts w:ascii="Arial" w:hAnsi="Arial" w:cs="Arial"/>
          <w:noProof/>
          <w:lang w:val="en-US"/>
        </w:rPr>
        <mc:AlternateContent>
          <mc:Choice Requires="wps">
            <w:drawing>
              <wp:anchor distT="0" distB="0" distL="114300" distR="114300" simplePos="0" relativeHeight="251659264" behindDoc="0" locked="0" layoutInCell="1" allowOverlap="1" wp14:anchorId="39B46C46" wp14:editId="59AA8C13">
                <wp:simplePos x="0" y="0"/>
                <wp:positionH relativeFrom="column">
                  <wp:posOffset>0</wp:posOffset>
                </wp:positionH>
                <wp:positionV relativeFrom="paragraph">
                  <wp:posOffset>64135</wp:posOffset>
                </wp:positionV>
                <wp:extent cx="592518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085E92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66.5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">
                <o:lock v:ext="edit" shapetype="f"/>
              </v:line>
            </w:pict>
          </mc:Fallback>
        </mc:AlternateContent>
      </w:r>
    </w:p>
    <w:p w:rsidR="002B317C" w:rsidRPr="00633A58" w:rsidRDefault="002B317C" w:rsidP="00E144FE">
      <w:pPr>
        <w:pStyle w:val="Heading1"/>
        <w:jc w:val="center"/>
        <w:rPr>
          <w:sz w:val="24"/>
        </w:rPr>
      </w:pPr>
      <w:r w:rsidRPr="00633A58">
        <w:rPr>
          <w:sz w:val="24"/>
        </w:rPr>
        <w:t>JUDGMENT</w:t>
      </w:r>
    </w:p>
    <w:p w:rsidR="002B317C" w:rsidRPr="00633A58" w:rsidRDefault="002B317C" w:rsidP="00E144FE">
      <w:pPr>
        <w:spacing w:line="360" w:lineRule="auto"/>
        <w:jc w:val="both"/>
        <w:rPr>
          <w:rFonts w:ascii="Arial" w:hAnsi="Arial" w:cs="Arial"/>
        </w:rPr>
      </w:pPr>
      <w:r w:rsidRPr="00633A58">
        <w:rPr>
          <w:rFonts w:ascii="Arial" w:hAnsi="Arial" w:cs="Arial"/>
          <w:noProof/>
          <w:lang w:val="en-US"/>
        </w:rPr>
        <mc:AlternateContent>
          <mc:Choice Requires="wps">
            <w:drawing>
              <wp:anchor distT="0" distB="0" distL="114300" distR="114300" simplePos="0" relativeHeight="251660288" behindDoc="0" locked="0" layoutInCell="1" allowOverlap="1" wp14:anchorId="7ECC9C26" wp14:editId="0A8F698D">
                <wp:simplePos x="0" y="0"/>
                <wp:positionH relativeFrom="column">
                  <wp:posOffset>0</wp:posOffset>
                </wp:positionH>
                <wp:positionV relativeFrom="paragraph">
                  <wp:posOffset>137795</wp:posOffset>
                </wp:positionV>
                <wp:extent cx="592518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59F3AC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466.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">
                <o:lock v:ext="edit" shapetype="f"/>
              </v:line>
            </w:pict>
          </mc:Fallback>
        </mc:AlternateContent>
      </w:r>
    </w:p>
    <w:p w:rsidR="002B317C" w:rsidRPr="00633A58" w:rsidRDefault="001D6A7F" w:rsidP="00E144FE">
      <w:pPr>
        <w:spacing w:line="360" w:lineRule="auto"/>
        <w:jc w:val="both"/>
        <w:rPr>
          <w:rFonts w:ascii="Arial" w:hAnsi="Arial" w:cs="Arial"/>
          <w:b/>
        </w:rPr>
      </w:pPr>
      <w:r w:rsidRPr="00633A58">
        <w:rPr>
          <w:rFonts w:ascii="Arial" w:hAnsi="Arial" w:cs="Arial"/>
          <w:b/>
        </w:rPr>
        <w:t xml:space="preserve">Petse AP and </w:t>
      </w:r>
      <w:r w:rsidR="002B317C" w:rsidRPr="00633A58">
        <w:rPr>
          <w:rFonts w:ascii="Arial" w:hAnsi="Arial" w:cs="Arial"/>
          <w:b/>
        </w:rPr>
        <w:t>Masipa AJA (</w:t>
      </w:r>
      <w:r w:rsidR="002D4CCD" w:rsidRPr="00633A58">
        <w:rPr>
          <w:rFonts w:ascii="Arial" w:hAnsi="Arial" w:cs="Arial"/>
          <w:b/>
        </w:rPr>
        <w:t xml:space="preserve">Saldulker, Mabindla-Boqwana and Weiner JJA </w:t>
      </w:r>
      <w:r w:rsidR="002B317C" w:rsidRPr="00633A58">
        <w:rPr>
          <w:rFonts w:ascii="Arial" w:hAnsi="Arial" w:cs="Arial"/>
          <w:b/>
        </w:rPr>
        <w:t>concurring):</w:t>
      </w:r>
    </w:p>
    <w:p w:rsidR="002B317C" w:rsidRPr="00633A58" w:rsidRDefault="002B317C" w:rsidP="00E144FE">
      <w:pPr>
        <w:spacing w:line="360" w:lineRule="auto"/>
        <w:rPr>
          <w:rFonts w:ascii="Arial" w:hAnsi="Arial" w:cs="Arial"/>
          <w:b/>
          <w:bCs/>
        </w:rPr>
      </w:pPr>
    </w:p>
    <w:p w:rsidR="00155295" w:rsidRPr="00633A58" w:rsidRDefault="00E4208D" w:rsidP="00E144FE">
      <w:pPr>
        <w:spacing w:line="360" w:lineRule="auto"/>
        <w:jc w:val="both"/>
        <w:rPr>
          <w:rFonts w:ascii="Arial" w:hAnsi="Arial" w:cs="Arial"/>
          <w:color w:val="000000"/>
          <w:lang w:val="en-ZA" w:eastAsia="en-ZA"/>
        </w:rPr>
      </w:pPr>
      <w:r w:rsidRPr="00633A58">
        <w:rPr>
          <w:rFonts w:ascii="Arial" w:hAnsi="Arial" w:cs="Arial"/>
          <w:b/>
          <w:color w:val="000000"/>
          <w:lang w:val="en-ZA" w:eastAsia="en-ZA"/>
        </w:rPr>
        <w:t>Introduction</w:t>
      </w:r>
    </w:p>
    <w:p w:rsidR="00E4208D" w:rsidRPr="00633A58" w:rsidRDefault="00E4208D" w:rsidP="00E144FE">
      <w:pPr>
        <w:spacing w:line="360" w:lineRule="auto"/>
        <w:jc w:val="both"/>
        <w:rPr>
          <w:rFonts w:ascii="Arial" w:hAnsi="Arial" w:cs="Arial"/>
          <w:color w:val="000000"/>
          <w:lang w:val="en-ZA" w:eastAsia="en-ZA"/>
        </w:rPr>
      </w:pPr>
      <w:r w:rsidRPr="00633A58">
        <w:rPr>
          <w:rFonts w:ascii="Arial" w:hAnsi="Arial" w:cs="Arial"/>
          <w:color w:val="000000"/>
          <w:lang w:val="en-ZA" w:eastAsia="en-ZA"/>
        </w:rPr>
        <w:t>[1]</w:t>
      </w:r>
      <w:r w:rsidRPr="00633A58">
        <w:rPr>
          <w:rFonts w:ascii="Arial" w:hAnsi="Arial" w:cs="Arial"/>
          <w:color w:val="000000"/>
          <w:lang w:val="en-ZA" w:eastAsia="en-ZA"/>
        </w:rPr>
        <w:tab/>
        <w:t>This appeal raises a crisp and interesting interpretati</w:t>
      </w:r>
      <w:r w:rsidR="005C4175" w:rsidRPr="00633A58">
        <w:rPr>
          <w:rFonts w:ascii="Arial" w:hAnsi="Arial" w:cs="Arial"/>
          <w:color w:val="000000"/>
          <w:lang w:val="en-ZA" w:eastAsia="en-ZA"/>
        </w:rPr>
        <w:t>on</w:t>
      </w:r>
      <w:r w:rsidRPr="00633A58">
        <w:rPr>
          <w:rFonts w:ascii="Arial" w:hAnsi="Arial" w:cs="Arial"/>
          <w:color w:val="000000"/>
          <w:lang w:val="en-ZA" w:eastAsia="en-ZA"/>
        </w:rPr>
        <w:t xml:space="preserve"> issue, namely whether a partly fraudulent and partly genuine claim arising from the same incident results in the forfeiture by the insured of the claim in its entirety. An allied issue, </w:t>
      </w:r>
      <w:r w:rsidR="00AE57AA" w:rsidRPr="00633A58">
        <w:rPr>
          <w:rFonts w:ascii="Arial" w:hAnsi="Arial" w:cs="Arial"/>
          <w:color w:val="000000"/>
          <w:lang w:val="en-ZA" w:eastAsia="en-ZA"/>
        </w:rPr>
        <w:t xml:space="preserve">if </w:t>
      </w:r>
      <w:r w:rsidRPr="00633A58">
        <w:rPr>
          <w:rFonts w:ascii="Arial" w:hAnsi="Arial" w:cs="Arial"/>
          <w:color w:val="000000"/>
          <w:lang w:val="en-ZA" w:eastAsia="en-ZA"/>
        </w:rPr>
        <w:t xml:space="preserve">the principal question is answered in the affirmative, is </w:t>
      </w:r>
      <w:r w:rsidR="00BB1099" w:rsidRPr="00633A58">
        <w:rPr>
          <w:rFonts w:ascii="Arial" w:hAnsi="Arial" w:cs="Arial"/>
          <w:color w:val="000000"/>
          <w:lang w:val="en-ZA" w:eastAsia="en-ZA"/>
        </w:rPr>
        <w:t>this: Is</w:t>
      </w:r>
      <w:r w:rsidRPr="00633A58">
        <w:rPr>
          <w:rFonts w:ascii="Arial" w:hAnsi="Arial" w:cs="Arial"/>
          <w:color w:val="000000"/>
          <w:lang w:val="en-ZA" w:eastAsia="en-ZA"/>
        </w:rPr>
        <w:t xml:space="preserve"> the insurer</w:t>
      </w:r>
      <w:r w:rsidR="00BB1099" w:rsidRPr="00633A58">
        <w:rPr>
          <w:rFonts w:ascii="Arial" w:hAnsi="Arial" w:cs="Arial"/>
          <w:color w:val="000000"/>
          <w:lang w:val="en-ZA" w:eastAsia="en-ZA"/>
        </w:rPr>
        <w:t>,</w:t>
      </w:r>
      <w:r w:rsidRPr="00633A58">
        <w:rPr>
          <w:rFonts w:ascii="Arial" w:hAnsi="Arial" w:cs="Arial"/>
          <w:color w:val="000000"/>
          <w:lang w:val="en-ZA" w:eastAsia="en-ZA"/>
        </w:rPr>
        <w:t xml:space="preserve"> in that event</w:t>
      </w:r>
      <w:r w:rsidR="00BB1099" w:rsidRPr="00633A58">
        <w:rPr>
          <w:rFonts w:ascii="Arial" w:hAnsi="Arial" w:cs="Arial"/>
          <w:color w:val="000000"/>
          <w:lang w:val="en-ZA" w:eastAsia="en-ZA"/>
        </w:rPr>
        <w:t>,</w:t>
      </w:r>
      <w:r w:rsidRPr="00633A58">
        <w:rPr>
          <w:rFonts w:ascii="Arial" w:hAnsi="Arial" w:cs="Arial"/>
          <w:color w:val="000000"/>
          <w:lang w:val="en-ZA" w:eastAsia="en-ZA"/>
        </w:rPr>
        <w:t xml:space="preserve"> entitled to repayment of the amounts already paid to the insured</w:t>
      </w:r>
      <w:r w:rsidR="00BB1099" w:rsidRPr="00633A58">
        <w:rPr>
          <w:rFonts w:ascii="Arial" w:hAnsi="Arial" w:cs="Arial"/>
          <w:color w:val="000000"/>
          <w:lang w:val="en-ZA" w:eastAsia="en-ZA"/>
        </w:rPr>
        <w:t>,</w:t>
      </w:r>
      <w:r w:rsidRPr="00633A58">
        <w:rPr>
          <w:rFonts w:ascii="Arial" w:hAnsi="Arial" w:cs="Arial"/>
          <w:color w:val="000000"/>
          <w:lang w:val="en-ZA" w:eastAsia="en-ZA"/>
        </w:rPr>
        <w:t xml:space="preserve"> in settlement of the insured's claim</w:t>
      </w:r>
      <w:r w:rsidR="002F485A" w:rsidRPr="00633A58">
        <w:rPr>
          <w:rFonts w:ascii="Arial" w:hAnsi="Arial" w:cs="Arial"/>
          <w:color w:val="000000"/>
          <w:lang w:val="en-ZA" w:eastAsia="en-ZA"/>
        </w:rPr>
        <w:t>,</w:t>
      </w:r>
      <w:r w:rsidRPr="00633A58">
        <w:rPr>
          <w:rFonts w:ascii="Arial" w:hAnsi="Arial" w:cs="Arial"/>
          <w:color w:val="000000"/>
          <w:lang w:val="en-ZA" w:eastAsia="en-ZA"/>
        </w:rPr>
        <w:t xml:space="preserve"> arising from the same incident</w:t>
      </w:r>
      <w:r w:rsidR="00BB1099" w:rsidRPr="00633A58">
        <w:rPr>
          <w:rFonts w:ascii="Arial" w:hAnsi="Arial" w:cs="Arial"/>
          <w:color w:val="000000"/>
          <w:lang w:val="en-ZA" w:eastAsia="en-ZA"/>
        </w:rPr>
        <w:t>,</w:t>
      </w:r>
      <w:r w:rsidRPr="00633A58">
        <w:rPr>
          <w:rFonts w:ascii="Arial" w:hAnsi="Arial" w:cs="Arial"/>
          <w:color w:val="000000"/>
          <w:lang w:val="en-ZA" w:eastAsia="en-ZA"/>
        </w:rPr>
        <w:t xml:space="preserve"> when it is subsequently discovered that part of</w:t>
      </w:r>
      <w:r w:rsidR="00BB1099" w:rsidRPr="00633A58">
        <w:rPr>
          <w:rFonts w:ascii="Arial" w:hAnsi="Arial" w:cs="Arial"/>
          <w:color w:val="000000"/>
          <w:lang w:val="en-ZA" w:eastAsia="en-ZA"/>
        </w:rPr>
        <w:t xml:space="preserve"> the claim was tainted by fraud?</w:t>
      </w:r>
      <w:r w:rsidRPr="00633A58">
        <w:rPr>
          <w:rFonts w:ascii="Arial" w:hAnsi="Arial" w:cs="Arial"/>
          <w:color w:val="000000"/>
          <w:lang w:val="en-ZA" w:eastAsia="en-ZA"/>
        </w:rPr>
        <w:t xml:space="preserve"> </w:t>
      </w:r>
    </w:p>
    <w:p w:rsidR="00E4208D" w:rsidRPr="00633A58" w:rsidRDefault="00E4208D" w:rsidP="00E144FE">
      <w:pPr>
        <w:spacing w:line="360" w:lineRule="auto"/>
        <w:jc w:val="both"/>
        <w:rPr>
          <w:rFonts w:ascii="Arial" w:hAnsi="Arial" w:cs="Arial"/>
          <w:color w:val="000000"/>
          <w:lang w:val="en-ZA" w:eastAsia="en-ZA"/>
        </w:rPr>
      </w:pPr>
    </w:p>
    <w:p w:rsidR="00E4208D" w:rsidRPr="00633A58" w:rsidRDefault="00E4208D" w:rsidP="00E144FE">
      <w:pPr>
        <w:spacing w:line="360" w:lineRule="auto"/>
        <w:jc w:val="both"/>
        <w:rPr>
          <w:rFonts w:ascii="Arial" w:hAnsi="Arial" w:cs="Arial"/>
          <w:color w:val="000000"/>
          <w:lang w:val="en-ZA" w:eastAsia="en-ZA"/>
        </w:rPr>
      </w:pPr>
      <w:r w:rsidRPr="00633A58">
        <w:rPr>
          <w:rFonts w:ascii="Arial" w:hAnsi="Arial" w:cs="Arial"/>
          <w:color w:val="000000"/>
          <w:lang w:val="en-ZA" w:eastAsia="en-ZA"/>
        </w:rPr>
        <w:t>[2]</w:t>
      </w:r>
      <w:r w:rsidRPr="00633A58">
        <w:rPr>
          <w:rFonts w:ascii="Arial" w:hAnsi="Arial" w:cs="Arial"/>
          <w:color w:val="000000"/>
          <w:lang w:val="en-ZA" w:eastAsia="en-ZA"/>
        </w:rPr>
        <w:tab/>
        <w:t>The appellant, Discovery Insure Limited (Discovery)</w:t>
      </w:r>
      <w:r w:rsidR="005C4175" w:rsidRPr="00633A58">
        <w:rPr>
          <w:rFonts w:ascii="Arial" w:hAnsi="Arial" w:cs="Arial"/>
          <w:color w:val="000000"/>
          <w:lang w:val="en-ZA" w:eastAsia="en-ZA"/>
        </w:rPr>
        <w:t>,</w:t>
      </w:r>
      <w:r w:rsidRPr="00633A58">
        <w:rPr>
          <w:rFonts w:ascii="Arial" w:hAnsi="Arial" w:cs="Arial"/>
          <w:color w:val="000000"/>
          <w:lang w:val="en-ZA" w:eastAsia="en-ZA"/>
        </w:rPr>
        <w:t xml:space="preserve"> says that both questions must be answered in the affirmative. For his part, the respondent, Mr Tshamunwe Masindi, says the answer to both questions is No. The answer to these questions hinges on the interpretation of the terms of Discovery</w:t>
      </w:r>
      <w:r w:rsidR="005C4175" w:rsidRPr="00633A58">
        <w:rPr>
          <w:rFonts w:ascii="Arial" w:hAnsi="Arial" w:cs="Arial"/>
          <w:color w:val="000000"/>
          <w:lang w:val="en-ZA" w:eastAsia="en-ZA"/>
        </w:rPr>
        <w:t>'s</w:t>
      </w:r>
      <w:r w:rsidRPr="00633A58">
        <w:rPr>
          <w:rFonts w:ascii="Arial" w:hAnsi="Arial" w:cs="Arial"/>
          <w:color w:val="000000"/>
          <w:lang w:val="en-ZA" w:eastAsia="en-ZA"/>
        </w:rPr>
        <w:t xml:space="preserve"> insure plan policy contract (the </w:t>
      </w:r>
      <w:r w:rsidRPr="00633A58">
        <w:rPr>
          <w:rFonts w:ascii="Arial" w:hAnsi="Arial" w:cs="Arial"/>
          <w:color w:val="000000"/>
          <w:lang w:val="en-ZA" w:eastAsia="en-ZA"/>
        </w:rPr>
        <w:lastRenderedPageBreak/>
        <w:t>policy) that the respondent took out with Discovery during April 2016</w:t>
      </w:r>
      <w:r w:rsidR="00BB1099" w:rsidRPr="00633A58">
        <w:rPr>
          <w:rFonts w:ascii="Arial" w:hAnsi="Arial" w:cs="Arial"/>
          <w:color w:val="000000"/>
          <w:lang w:val="en-ZA" w:eastAsia="en-ZA"/>
        </w:rPr>
        <w:t>,</w:t>
      </w:r>
      <w:r w:rsidRPr="00633A58">
        <w:rPr>
          <w:rFonts w:ascii="Arial" w:hAnsi="Arial" w:cs="Arial"/>
          <w:color w:val="000000"/>
          <w:lang w:val="en-ZA" w:eastAsia="en-ZA"/>
        </w:rPr>
        <w:t xml:space="preserve"> with effect from 1 May 2016.</w:t>
      </w:r>
    </w:p>
    <w:p w:rsidR="001A6459" w:rsidRPr="00633A58" w:rsidRDefault="001A6459" w:rsidP="00E144FE">
      <w:pPr>
        <w:spacing w:line="360" w:lineRule="auto"/>
        <w:jc w:val="both"/>
        <w:rPr>
          <w:rFonts w:ascii="Arial" w:hAnsi="Arial" w:cs="Arial"/>
          <w:color w:val="000000"/>
          <w:lang w:val="en-ZA" w:eastAsia="en-ZA"/>
        </w:rPr>
      </w:pPr>
    </w:p>
    <w:p w:rsidR="00E4208D" w:rsidRPr="00633A58" w:rsidRDefault="00E4208D" w:rsidP="00E144FE">
      <w:pPr>
        <w:spacing w:line="360" w:lineRule="auto"/>
        <w:jc w:val="both"/>
        <w:rPr>
          <w:rFonts w:ascii="Arial" w:hAnsi="Arial" w:cs="Arial"/>
          <w:color w:val="000000"/>
          <w:lang w:val="en-ZA" w:eastAsia="en-ZA"/>
        </w:rPr>
      </w:pPr>
      <w:r w:rsidRPr="00633A58">
        <w:rPr>
          <w:rFonts w:ascii="Arial" w:hAnsi="Arial" w:cs="Arial"/>
          <w:color w:val="000000"/>
          <w:lang w:val="en-ZA" w:eastAsia="en-ZA"/>
        </w:rPr>
        <w:t>[3]</w:t>
      </w:r>
      <w:r w:rsidRPr="00633A58">
        <w:rPr>
          <w:rFonts w:ascii="Arial" w:hAnsi="Arial" w:cs="Arial"/>
          <w:color w:val="000000"/>
          <w:lang w:val="en-ZA" w:eastAsia="en-ZA"/>
        </w:rPr>
        <w:tab/>
      </w:r>
      <w:r w:rsidR="00B52CA8" w:rsidRPr="00633A58">
        <w:rPr>
          <w:rFonts w:ascii="Arial" w:hAnsi="Arial" w:cs="Arial"/>
          <w:color w:val="000000"/>
          <w:lang w:val="en-ZA" w:eastAsia="en-ZA"/>
        </w:rPr>
        <w:t xml:space="preserve">On 14 December 2017 Discovery commenced the present proceedings in the Gauteng Division of the High Court, Pretoria (the high court) against the respondent </w:t>
      </w:r>
      <w:r w:rsidR="000A7BCC" w:rsidRPr="00633A58">
        <w:rPr>
          <w:rFonts w:ascii="Arial" w:hAnsi="Arial" w:cs="Arial"/>
          <w:color w:val="000000"/>
          <w:lang w:val="en-ZA" w:eastAsia="en-ZA"/>
        </w:rPr>
        <w:t>in which Discovery so</w:t>
      </w:r>
      <w:r w:rsidR="00BB1099" w:rsidRPr="00633A58">
        <w:rPr>
          <w:rFonts w:ascii="Arial" w:hAnsi="Arial" w:cs="Arial"/>
          <w:color w:val="000000"/>
          <w:lang w:val="en-ZA" w:eastAsia="en-ZA"/>
        </w:rPr>
        <w:t>ught repayment of the sum of R1</w:t>
      </w:r>
      <w:r w:rsidR="00C23ACE" w:rsidRPr="00633A58">
        <w:rPr>
          <w:rFonts w:ascii="Arial" w:hAnsi="Arial" w:cs="Arial"/>
          <w:color w:val="000000"/>
          <w:lang w:val="en-ZA" w:eastAsia="en-ZA"/>
        </w:rPr>
        <w:t> </w:t>
      </w:r>
      <w:r w:rsidR="000A7BCC" w:rsidRPr="00633A58">
        <w:rPr>
          <w:rFonts w:ascii="Arial" w:hAnsi="Arial" w:cs="Arial"/>
          <w:color w:val="000000"/>
          <w:lang w:val="en-ZA" w:eastAsia="en-ZA"/>
        </w:rPr>
        <w:t>647</w:t>
      </w:r>
      <w:r w:rsidR="00C23ACE" w:rsidRPr="00633A58">
        <w:rPr>
          <w:rFonts w:ascii="Arial" w:hAnsi="Arial" w:cs="Arial"/>
          <w:color w:val="000000"/>
          <w:lang w:val="en-ZA" w:eastAsia="en-ZA"/>
        </w:rPr>
        <w:t> </w:t>
      </w:r>
      <w:r w:rsidR="000A7BCC" w:rsidRPr="00633A58">
        <w:rPr>
          <w:rFonts w:ascii="Arial" w:hAnsi="Arial" w:cs="Arial"/>
          <w:color w:val="000000"/>
          <w:lang w:val="en-ZA" w:eastAsia="en-ZA"/>
        </w:rPr>
        <w:t>592</w:t>
      </w:r>
      <w:r w:rsidR="00BB1099" w:rsidRPr="00633A58">
        <w:rPr>
          <w:rFonts w:ascii="Arial" w:hAnsi="Arial" w:cs="Arial"/>
          <w:color w:val="000000"/>
          <w:lang w:val="en-ZA" w:eastAsia="en-ZA"/>
        </w:rPr>
        <w:t>.</w:t>
      </w:r>
      <w:r w:rsidR="000A7BCC" w:rsidRPr="00633A58">
        <w:rPr>
          <w:rFonts w:ascii="Arial" w:hAnsi="Arial" w:cs="Arial"/>
          <w:color w:val="000000"/>
          <w:lang w:val="en-ZA" w:eastAsia="en-ZA"/>
        </w:rPr>
        <w:t xml:space="preserve">67 together with ancillary relief and costs of suit. The respondent resisted the claim on various grounds. In due course the action came on trial before Khumalo J. The learned Judge allowed the claim in part and ordered the respondent to pay a sum of R675 000 to Discovery together with interest thereon and costs of suit on the scale as between attorney and client. With leave of the high court, Discovery now appeals against part of the judgment to this Court. </w:t>
      </w:r>
    </w:p>
    <w:p w:rsidR="003E1AA6" w:rsidRPr="00633A58" w:rsidRDefault="003E1AA6" w:rsidP="00E144FE">
      <w:pPr>
        <w:spacing w:line="360" w:lineRule="auto"/>
        <w:jc w:val="both"/>
        <w:rPr>
          <w:rFonts w:ascii="Arial" w:hAnsi="Arial" w:cs="Arial"/>
          <w:color w:val="000000"/>
          <w:lang w:val="en-ZA" w:eastAsia="en-ZA"/>
        </w:rPr>
      </w:pPr>
    </w:p>
    <w:p w:rsidR="003E1AA6" w:rsidRPr="00633A58" w:rsidRDefault="003E1AA6" w:rsidP="00E144FE">
      <w:pPr>
        <w:spacing w:line="360" w:lineRule="auto"/>
        <w:jc w:val="both"/>
        <w:rPr>
          <w:rFonts w:ascii="Arial" w:hAnsi="Arial" w:cs="Arial"/>
          <w:color w:val="000000"/>
          <w:lang w:val="en-ZA" w:eastAsia="en-ZA"/>
        </w:rPr>
      </w:pPr>
      <w:r w:rsidRPr="00633A58">
        <w:rPr>
          <w:rFonts w:ascii="Arial" w:hAnsi="Arial" w:cs="Arial"/>
          <w:b/>
          <w:color w:val="000000"/>
          <w:lang w:val="en-ZA" w:eastAsia="en-ZA"/>
        </w:rPr>
        <w:t>Background facts</w:t>
      </w:r>
    </w:p>
    <w:p w:rsidR="003E1AA6" w:rsidRPr="00633A58" w:rsidRDefault="003E1AA6" w:rsidP="00E144FE">
      <w:pPr>
        <w:spacing w:line="360" w:lineRule="auto"/>
        <w:jc w:val="both"/>
        <w:rPr>
          <w:rFonts w:ascii="Arial" w:hAnsi="Arial" w:cs="Arial"/>
          <w:color w:val="000000"/>
          <w:lang w:val="en-ZA" w:eastAsia="en-ZA"/>
        </w:rPr>
      </w:pPr>
      <w:r w:rsidRPr="00633A58">
        <w:rPr>
          <w:rFonts w:ascii="Arial" w:hAnsi="Arial" w:cs="Arial"/>
          <w:color w:val="000000"/>
          <w:lang w:val="en-ZA" w:eastAsia="en-ZA"/>
        </w:rPr>
        <w:t>[4]</w:t>
      </w:r>
      <w:r w:rsidRPr="00633A58">
        <w:rPr>
          <w:rFonts w:ascii="Arial" w:hAnsi="Arial" w:cs="Arial"/>
          <w:color w:val="000000"/>
          <w:lang w:val="en-ZA" w:eastAsia="en-ZA"/>
        </w:rPr>
        <w:tab/>
        <w:t xml:space="preserve">The essential facts, which are largely common cause, are the following. As already indicated above, the respondent took out </w:t>
      </w:r>
      <w:r w:rsidR="00BB1099" w:rsidRPr="00633A58">
        <w:rPr>
          <w:rFonts w:ascii="Arial" w:hAnsi="Arial" w:cs="Arial"/>
          <w:color w:val="000000"/>
          <w:lang w:val="en-ZA" w:eastAsia="en-ZA"/>
        </w:rPr>
        <w:t>the policy</w:t>
      </w:r>
      <w:r w:rsidRPr="00633A58">
        <w:rPr>
          <w:rFonts w:ascii="Arial" w:hAnsi="Arial" w:cs="Arial"/>
          <w:color w:val="000000"/>
          <w:lang w:val="en-ZA" w:eastAsia="en-ZA"/>
        </w:rPr>
        <w:t xml:space="preserve"> for specifi</w:t>
      </w:r>
      <w:r w:rsidR="00B26CCE" w:rsidRPr="00633A58">
        <w:rPr>
          <w:rFonts w:ascii="Arial" w:hAnsi="Arial" w:cs="Arial"/>
          <w:color w:val="000000"/>
          <w:lang w:val="en-ZA" w:eastAsia="en-ZA"/>
        </w:rPr>
        <w:t>ed</w:t>
      </w:r>
      <w:r w:rsidRPr="00633A58">
        <w:rPr>
          <w:rFonts w:ascii="Arial" w:hAnsi="Arial" w:cs="Arial"/>
          <w:color w:val="000000"/>
          <w:lang w:val="en-ZA" w:eastAsia="en-ZA"/>
        </w:rPr>
        <w:t xml:space="preserve"> insured risks, described as a Discovery Insure Plan, to insure, </w:t>
      </w:r>
      <w:r w:rsidRPr="00633A58">
        <w:rPr>
          <w:rFonts w:ascii="Arial" w:hAnsi="Arial" w:cs="Arial"/>
          <w:i/>
          <w:color w:val="000000"/>
          <w:lang w:val="en-ZA" w:eastAsia="en-ZA"/>
        </w:rPr>
        <w:t>inter alia</w:t>
      </w:r>
      <w:r w:rsidRPr="00633A58">
        <w:rPr>
          <w:rFonts w:ascii="Arial" w:hAnsi="Arial" w:cs="Arial"/>
          <w:color w:val="000000"/>
          <w:lang w:val="en-ZA" w:eastAsia="en-ZA"/>
        </w:rPr>
        <w:t>, his dwelling in Pretoria</w:t>
      </w:r>
      <w:r w:rsidR="005C4175" w:rsidRPr="00633A58">
        <w:rPr>
          <w:rFonts w:ascii="Arial" w:hAnsi="Arial" w:cs="Arial"/>
          <w:color w:val="000000"/>
          <w:lang w:val="en-ZA" w:eastAsia="en-ZA"/>
        </w:rPr>
        <w:t xml:space="preserve"> and household contents</w:t>
      </w:r>
      <w:r w:rsidR="00BB1099" w:rsidRPr="00633A58">
        <w:rPr>
          <w:rFonts w:ascii="Arial" w:hAnsi="Arial" w:cs="Arial"/>
          <w:color w:val="000000"/>
          <w:lang w:val="en-ZA" w:eastAsia="en-ZA"/>
        </w:rPr>
        <w:t>,</w:t>
      </w:r>
      <w:r w:rsidRPr="00633A58">
        <w:rPr>
          <w:rFonts w:ascii="Arial" w:hAnsi="Arial" w:cs="Arial"/>
          <w:color w:val="000000"/>
          <w:lang w:val="en-ZA" w:eastAsia="en-ZA"/>
        </w:rPr>
        <w:t xml:space="preserve"> against</w:t>
      </w:r>
      <w:r w:rsidR="005C4175" w:rsidRPr="00633A58">
        <w:rPr>
          <w:rFonts w:ascii="Arial" w:hAnsi="Arial" w:cs="Arial"/>
          <w:color w:val="000000"/>
          <w:lang w:val="en-ZA" w:eastAsia="en-ZA"/>
        </w:rPr>
        <w:t xml:space="preserve"> certain</w:t>
      </w:r>
      <w:r w:rsidRPr="00633A58">
        <w:rPr>
          <w:rFonts w:ascii="Arial" w:hAnsi="Arial" w:cs="Arial"/>
          <w:color w:val="000000"/>
          <w:lang w:val="en-ZA" w:eastAsia="en-ZA"/>
        </w:rPr>
        <w:t xml:space="preserve"> risks </w:t>
      </w:r>
      <w:r w:rsidR="005C4175" w:rsidRPr="00633A58">
        <w:rPr>
          <w:rFonts w:ascii="Arial" w:hAnsi="Arial" w:cs="Arial"/>
          <w:color w:val="000000"/>
          <w:lang w:val="en-ZA" w:eastAsia="en-ZA"/>
        </w:rPr>
        <w:t>resulting in total loss or</w:t>
      </w:r>
      <w:r w:rsidRPr="00633A58">
        <w:rPr>
          <w:rFonts w:ascii="Arial" w:hAnsi="Arial" w:cs="Arial"/>
          <w:color w:val="000000"/>
          <w:lang w:val="en-ZA" w:eastAsia="en-ZA"/>
        </w:rPr>
        <w:t xml:space="preserve"> damage howsoever caused. The policy provided, amongst other things, that if the risks insured against eventuated</w:t>
      </w:r>
      <w:r w:rsidR="002F485A" w:rsidRPr="00633A58">
        <w:rPr>
          <w:rFonts w:ascii="Arial" w:hAnsi="Arial" w:cs="Arial"/>
          <w:color w:val="000000"/>
          <w:lang w:val="en-ZA" w:eastAsia="en-ZA"/>
        </w:rPr>
        <w:t>,</w:t>
      </w:r>
      <w:r w:rsidRPr="00633A58">
        <w:rPr>
          <w:rFonts w:ascii="Arial" w:hAnsi="Arial" w:cs="Arial"/>
          <w:color w:val="000000"/>
          <w:lang w:val="en-ZA" w:eastAsia="en-ZA"/>
        </w:rPr>
        <w:t xml:space="preserve"> resulting in damage to his residence</w:t>
      </w:r>
      <w:r w:rsidR="002F485A" w:rsidRPr="00633A58">
        <w:rPr>
          <w:rFonts w:ascii="Arial" w:hAnsi="Arial" w:cs="Arial"/>
          <w:color w:val="000000"/>
          <w:lang w:val="en-ZA" w:eastAsia="en-ZA"/>
        </w:rPr>
        <w:t>,</w:t>
      </w:r>
      <w:r w:rsidRPr="00633A58">
        <w:rPr>
          <w:rFonts w:ascii="Arial" w:hAnsi="Arial" w:cs="Arial"/>
          <w:color w:val="000000"/>
          <w:lang w:val="en-ZA" w:eastAsia="en-ZA"/>
        </w:rPr>
        <w:t xml:space="preserve"> rendering it unsuitable </w:t>
      </w:r>
      <w:r w:rsidR="001355DC" w:rsidRPr="00633A58">
        <w:rPr>
          <w:rFonts w:ascii="Arial" w:hAnsi="Arial" w:cs="Arial"/>
          <w:color w:val="000000"/>
          <w:lang w:val="en-ZA" w:eastAsia="en-ZA"/>
        </w:rPr>
        <w:t xml:space="preserve">for human habitation, Discovery would be obliged to compensate the respondent for </w:t>
      </w:r>
      <w:r w:rsidR="005C4175" w:rsidRPr="00633A58">
        <w:rPr>
          <w:rFonts w:ascii="Arial" w:hAnsi="Arial" w:cs="Arial"/>
          <w:color w:val="000000"/>
          <w:lang w:val="en-ZA" w:eastAsia="en-ZA"/>
        </w:rPr>
        <w:t xml:space="preserve">the resultant </w:t>
      </w:r>
      <w:r w:rsidR="001355DC" w:rsidRPr="00633A58">
        <w:rPr>
          <w:rFonts w:ascii="Arial" w:hAnsi="Arial" w:cs="Arial"/>
          <w:color w:val="000000"/>
          <w:lang w:val="en-ZA" w:eastAsia="en-ZA"/>
        </w:rPr>
        <w:t>damage to the buildings and household contents</w:t>
      </w:r>
      <w:r w:rsidR="00BB1099" w:rsidRPr="00633A58">
        <w:rPr>
          <w:rFonts w:ascii="Arial" w:hAnsi="Arial" w:cs="Arial"/>
          <w:color w:val="000000"/>
          <w:lang w:val="en-ZA" w:eastAsia="en-ZA"/>
        </w:rPr>
        <w:t>,</w:t>
      </w:r>
      <w:r w:rsidR="001355DC" w:rsidRPr="00633A58">
        <w:rPr>
          <w:rFonts w:ascii="Arial" w:hAnsi="Arial" w:cs="Arial"/>
          <w:color w:val="000000"/>
          <w:lang w:val="en-ZA" w:eastAsia="en-ZA"/>
        </w:rPr>
        <w:t xml:space="preserve"> and, where applicable, to reimburse the respondent for his out of pocket expenses incurred for what the policy described as emergency accommodation.</w:t>
      </w:r>
    </w:p>
    <w:p w:rsidR="001355DC" w:rsidRPr="00633A58" w:rsidRDefault="001355DC" w:rsidP="00E144FE">
      <w:pPr>
        <w:spacing w:line="360" w:lineRule="auto"/>
        <w:jc w:val="both"/>
        <w:rPr>
          <w:rFonts w:ascii="Arial" w:hAnsi="Arial" w:cs="Arial"/>
          <w:color w:val="000000"/>
          <w:lang w:val="en-ZA" w:eastAsia="en-ZA"/>
        </w:rPr>
      </w:pPr>
    </w:p>
    <w:p w:rsidR="001355DC" w:rsidRPr="00633A58" w:rsidRDefault="001355DC" w:rsidP="00E144FE">
      <w:pPr>
        <w:spacing w:line="360" w:lineRule="auto"/>
        <w:jc w:val="both"/>
        <w:rPr>
          <w:rFonts w:ascii="Arial" w:hAnsi="Arial" w:cs="Arial"/>
          <w:color w:val="000000"/>
          <w:lang w:val="en-ZA" w:eastAsia="en-ZA"/>
        </w:rPr>
      </w:pPr>
      <w:r w:rsidRPr="00633A58">
        <w:rPr>
          <w:rFonts w:ascii="Arial" w:hAnsi="Arial" w:cs="Arial"/>
          <w:color w:val="000000"/>
          <w:lang w:val="en-ZA" w:eastAsia="en-ZA"/>
        </w:rPr>
        <w:t>[5]</w:t>
      </w:r>
      <w:r w:rsidRPr="00633A58">
        <w:rPr>
          <w:rFonts w:ascii="Arial" w:hAnsi="Arial" w:cs="Arial"/>
          <w:color w:val="000000"/>
          <w:lang w:val="en-ZA" w:eastAsia="en-ZA"/>
        </w:rPr>
        <w:tab/>
      </w:r>
      <w:r w:rsidR="009C0970" w:rsidRPr="00633A58">
        <w:rPr>
          <w:rFonts w:ascii="Arial" w:hAnsi="Arial" w:cs="Arial"/>
          <w:color w:val="000000"/>
          <w:lang w:val="en-ZA" w:eastAsia="en-ZA"/>
        </w:rPr>
        <w:t>I</w:t>
      </w:r>
      <w:r w:rsidR="004071DC" w:rsidRPr="00633A58">
        <w:rPr>
          <w:rFonts w:ascii="Arial" w:hAnsi="Arial" w:cs="Arial"/>
          <w:color w:val="000000"/>
          <w:lang w:val="en-ZA" w:eastAsia="en-ZA"/>
        </w:rPr>
        <w:t xml:space="preserve">t is common cause that the policy </w:t>
      </w:r>
      <w:r w:rsidR="00C43F01" w:rsidRPr="00633A58">
        <w:rPr>
          <w:rFonts w:ascii="Arial" w:hAnsi="Arial" w:cs="Arial"/>
          <w:color w:val="000000"/>
          <w:lang w:val="en-ZA" w:eastAsia="en-ZA"/>
        </w:rPr>
        <w:t xml:space="preserve">further </w:t>
      </w:r>
      <w:r w:rsidR="004071DC" w:rsidRPr="00633A58">
        <w:rPr>
          <w:rFonts w:ascii="Arial" w:hAnsi="Arial" w:cs="Arial"/>
          <w:color w:val="000000"/>
          <w:lang w:val="en-ZA" w:eastAsia="en-ZA"/>
        </w:rPr>
        <w:t>provided, amongst other things, that: if any portion of a claim lodged with Discovery by the respondent is fraudulent, Discovery would be entitled to cancel the policy</w:t>
      </w:r>
      <w:r w:rsidR="00C43F01" w:rsidRPr="00633A58">
        <w:rPr>
          <w:rFonts w:ascii="Arial" w:hAnsi="Arial" w:cs="Arial"/>
          <w:color w:val="000000"/>
          <w:lang w:val="en-ZA" w:eastAsia="en-ZA"/>
        </w:rPr>
        <w:t xml:space="preserve"> with</w:t>
      </w:r>
      <w:r w:rsidR="004071DC" w:rsidRPr="00633A58">
        <w:rPr>
          <w:rFonts w:ascii="Arial" w:hAnsi="Arial" w:cs="Arial"/>
          <w:color w:val="000000"/>
          <w:lang w:val="en-ZA" w:eastAsia="en-ZA"/>
        </w:rPr>
        <w:t xml:space="preserve"> retrospective </w:t>
      </w:r>
      <w:r w:rsidR="00C43F01" w:rsidRPr="00633A58">
        <w:rPr>
          <w:rFonts w:ascii="Arial" w:hAnsi="Arial" w:cs="Arial"/>
          <w:color w:val="000000"/>
          <w:lang w:val="en-ZA" w:eastAsia="en-ZA"/>
        </w:rPr>
        <w:t>effect from</w:t>
      </w:r>
      <w:r w:rsidR="004071DC" w:rsidRPr="00633A58">
        <w:rPr>
          <w:rFonts w:ascii="Arial" w:hAnsi="Arial" w:cs="Arial"/>
          <w:color w:val="000000"/>
          <w:lang w:val="en-ZA" w:eastAsia="en-ZA"/>
        </w:rPr>
        <w:t xml:space="preserve"> the date of the reported incident, or alternatively the actual date of the incident – whichever was the earlier</w:t>
      </w:r>
      <w:r w:rsidR="00C43F01" w:rsidRPr="00633A58">
        <w:rPr>
          <w:rFonts w:ascii="Arial" w:hAnsi="Arial" w:cs="Arial"/>
          <w:color w:val="000000"/>
          <w:lang w:val="en-ZA" w:eastAsia="en-ZA"/>
        </w:rPr>
        <w:t xml:space="preserve">. </w:t>
      </w:r>
      <w:r w:rsidR="002F485A" w:rsidRPr="00633A58">
        <w:rPr>
          <w:rFonts w:ascii="Arial" w:hAnsi="Arial" w:cs="Arial"/>
          <w:color w:val="000000"/>
          <w:lang w:val="en-ZA" w:eastAsia="en-ZA"/>
        </w:rPr>
        <w:t>Consequently</w:t>
      </w:r>
      <w:r w:rsidR="00C43F01" w:rsidRPr="00633A58">
        <w:rPr>
          <w:rFonts w:ascii="Arial" w:hAnsi="Arial" w:cs="Arial"/>
          <w:color w:val="000000"/>
          <w:lang w:val="en-ZA" w:eastAsia="en-ZA"/>
        </w:rPr>
        <w:t xml:space="preserve">, Discovery </w:t>
      </w:r>
      <w:r w:rsidR="002F485A" w:rsidRPr="00633A58">
        <w:rPr>
          <w:rFonts w:ascii="Arial" w:hAnsi="Arial" w:cs="Arial"/>
          <w:color w:val="000000"/>
          <w:lang w:val="en-ZA" w:eastAsia="en-ZA"/>
        </w:rPr>
        <w:t>asserted that it had</w:t>
      </w:r>
      <w:r w:rsidR="00C43F01" w:rsidRPr="00633A58">
        <w:rPr>
          <w:rFonts w:ascii="Arial" w:hAnsi="Arial" w:cs="Arial"/>
          <w:color w:val="000000"/>
          <w:lang w:val="en-ZA" w:eastAsia="en-ZA"/>
        </w:rPr>
        <w:t xml:space="preserve"> a right </w:t>
      </w:r>
      <w:r w:rsidR="004071DC" w:rsidRPr="00633A58">
        <w:rPr>
          <w:rFonts w:ascii="Arial" w:hAnsi="Arial" w:cs="Arial"/>
          <w:color w:val="000000"/>
          <w:lang w:val="en-ZA" w:eastAsia="en-ZA"/>
        </w:rPr>
        <w:t>to reclaim all amounts paid to the insured, ie the respondent in this instance, subsequent to the retrospective cancellation date.</w:t>
      </w:r>
    </w:p>
    <w:p w:rsidR="004071DC" w:rsidRPr="00633A58" w:rsidRDefault="004071DC" w:rsidP="00E144FE">
      <w:pPr>
        <w:spacing w:line="360" w:lineRule="auto"/>
        <w:jc w:val="both"/>
        <w:rPr>
          <w:rFonts w:ascii="Arial" w:hAnsi="Arial" w:cs="Arial"/>
          <w:color w:val="000000"/>
          <w:lang w:val="en-ZA" w:eastAsia="en-ZA"/>
        </w:rPr>
      </w:pPr>
    </w:p>
    <w:p w:rsidR="004071DC" w:rsidRPr="00633A58" w:rsidRDefault="004071DC" w:rsidP="00E144FE">
      <w:pPr>
        <w:spacing w:line="360" w:lineRule="auto"/>
        <w:jc w:val="both"/>
        <w:rPr>
          <w:rFonts w:ascii="Arial" w:hAnsi="Arial" w:cs="Arial"/>
          <w:color w:val="000000"/>
          <w:lang w:val="en-ZA" w:eastAsia="en-ZA"/>
        </w:rPr>
      </w:pPr>
      <w:r w:rsidRPr="00633A58">
        <w:rPr>
          <w:rFonts w:ascii="Arial" w:hAnsi="Arial" w:cs="Arial"/>
          <w:color w:val="000000"/>
          <w:lang w:val="en-ZA" w:eastAsia="en-ZA"/>
        </w:rPr>
        <w:lastRenderedPageBreak/>
        <w:t>[6]</w:t>
      </w:r>
      <w:r w:rsidRPr="00633A58">
        <w:rPr>
          <w:rFonts w:ascii="Arial" w:hAnsi="Arial" w:cs="Arial"/>
          <w:color w:val="000000"/>
          <w:lang w:val="en-ZA" w:eastAsia="en-ZA"/>
        </w:rPr>
        <w:tab/>
        <w:t xml:space="preserve">On 11 November 2016, following the occurrence of the risk insured against, the respondent submitted a single claim under the building section of the policy for losses caused by storm damage to his residence. </w:t>
      </w:r>
      <w:r w:rsidR="009D7EF9" w:rsidRPr="00633A58">
        <w:rPr>
          <w:rFonts w:ascii="Arial" w:hAnsi="Arial" w:cs="Arial"/>
          <w:color w:val="000000"/>
          <w:lang w:val="en-ZA" w:eastAsia="en-ZA"/>
        </w:rPr>
        <w:t xml:space="preserve">The claim was made up of two components. The first represented costs of repairs to the respondent's residence and damage to household contents. The second was for emergency accommodation. </w:t>
      </w:r>
      <w:r w:rsidR="00AC2AA9" w:rsidRPr="00633A58">
        <w:rPr>
          <w:rFonts w:ascii="Arial" w:hAnsi="Arial" w:cs="Arial"/>
          <w:color w:val="000000"/>
          <w:lang w:val="en-ZA" w:eastAsia="en-ZA"/>
        </w:rPr>
        <w:t>Consequently, a</w:t>
      </w:r>
      <w:r w:rsidR="009D7EF9" w:rsidRPr="00633A58">
        <w:rPr>
          <w:rFonts w:ascii="Arial" w:hAnsi="Arial" w:cs="Arial"/>
          <w:color w:val="000000"/>
          <w:lang w:val="en-ZA" w:eastAsia="en-ZA"/>
        </w:rPr>
        <w:t>t various times between 7 December 2016 and 25 May 2017</w:t>
      </w:r>
      <w:r w:rsidR="002F485A" w:rsidRPr="00633A58">
        <w:rPr>
          <w:rFonts w:ascii="Arial" w:hAnsi="Arial" w:cs="Arial"/>
          <w:color w:val="000000"/>
          <w:lang w:val="en-ZA" w:eastAsia="en-ZA"/>
        </w:rPr>
        <w:t>,</w:t>
      </w:r>
      <w:r w:rsidR="009D7EF9" w:rsidRPr="00633A58">
        <w:rPr>
          <w:rFonts w:ascii="Arial" w:hAnsi="Arial" w:cs="Arial"/>
          <w:color w:val="000000"/>
          <w:lang w:val="en-ZA" w:eastAsia="en-ZA"/>
        </w:rPr>
        <w:t xml:space="preserve"> Discovery paid to the respon</w:t>
      </w:r>
      <w:r w:rsidR="00C23ACE" w:rsidRPr="00633A58">
        <w:rPr>
          <w:rFonts w:ascii="Arial" w:hAnsi="Arial" w:cs="Arial"/>
          <w:color w:val="000000"/>
          <w:lang w:val="en-ZA" w:eastAsia="en-ZA"/>
        </w:rPr>
        <w:t>dent the aggregate amount of R1 </w:t>
      </w:r>
      <w:r w:rsidR="009D7EF9" w:rsidRPr="00633A58">
        <w:rPr>
          <w:rFonts w:ascii="Arial" w:hAnsi="Arial" w:cs="Arial"/>
          <w:color w:val="000000"/>
          <w:lang w:val="en-ZA" w:eastAsia="en-ZA"/>
        </w:rPr>
        <w:t>594</w:t>
      </w:r>
      <w:r w:rsidR="00C23ACE" w:rsidRPr="00633A58">
        <w:rPr>
          <w:rFonts w:ascii="Arial" w:hAnsi="Arial" w:cs="Arial"/>
          <w:color w:val="000000"/>
          <w:lang w:val="en-ZA" w:eastAsia="en-ZA"/>
        </w:rPr>
        <w:t> </w:t>
      </w:r>
      <w:r w:rsidR="009D7EF9" w:rsidRPr="00633A58">
        <w:rPr>
          <w:rFonts w:ascii="Arial" w:hAnsi="Arial" w:cs="Arial"/>
          <w:color w:val="000000"/>
          <w:lang w:val="en-ZA" w:eastAsia="en-ZA"/>
        </w:rPr>
        <w:t>980</w:t>
      </w:r>
      <w:r w:rsidR="00BB1099" w:rsidRPr="00633A58">
        <w:rPr>
          <w:rFonts w:ascii="Arial" w:hAnsi="Arial" w:cs="Arial"/>
          <w:color w:val="000000"/>
          <w:lang w:val="en-ZA" w:eastAsia="en-ZA"/>
        </w:rPr>
        <w:t>.</w:t>
      </w:r>
      <w:r w:rsidR="009D7EF9" w:rsidRPr="00633A58">
        <w:rPr>
          <w:rFonts w:ascii="Arial" w:hAnsi="Arial" w:cs="Arial"/>
          <w:color w:val="000000"/>
          <w:lang w:val="en-ZA" w:eastAsia="en-ZA"/>
        </w:rPr>
        <w:t>12 in settlement of both components of the claim. We pause here to mention that the sum of R675 000 represented the amount claimed in respect of emergency accommodation. This was the portion of the claim tainted by fraud. This is not in dispute. The</w:t>
      </w:r>
      <w:r w:rsidR="00BB1099" w:rsidRPr="00633A58">
        <w:rPr>
          <w:rFonts w:ascii="Arial" w:hAnsi="Arial" w:cs="Arial"/>
          <w:color w:val="000000"/>
          <w:lang w:val="en-ZA" w:eastAsia="en-ZA"/>
        </w:rPr>
        <w:t xml:space="preserve"> sum of R972 597.</w:t>
      </w:r>
      <w:r w:rsidR="009D7EF9" w:rsidRPr="00633A58">
        <w:rPr>
          <w:rFonts w:ascii="Arial" w:hAnsi="Arial" w:cs="Arial"/>
          <w:color w:val="000000"/>
          <w:lang w:val="en-ZA" w:eastAsia="en-ZA"/>
        </w:rPr>
        <w:t xml:space="preserve">67 was paid by Discovery to the respondent in settlement of the damage to the respondent's residence and household contents component. This component of the claim, it is common cause, was untainted </w:t>
      </w:r>
      <w:r w:rsidR="00AC2AA9" w:rsidRPr="00633A58">
        <w:rPr>
          <w:rFonts w:ascii="Arial" w:hAnsi="Arial" w:cs="Arial"/>
          <w:color w:val="000000"/>
          <w:lang w:val="en-ZA" w:eastAsia="en-ZA"/>
        </w:rPr>
        <w:t xml:space="preserve">by fraud </w:t>
      </w:r>
      <w:r w:rsidR="009D7EF9" w:rsidRPr="00633A58">
        <w:rPr>
          <w:rFonts w:ascii="Arial" w:hAnsi="Arial" w:cs="Arial"/>
          <w:color w:val="000000"/>
          <w:lang w:val="en-ZA" w:eastAsia="en-ZA"/>
        </w:rPr>
        <w:t xml:space="preserve">and therefore legitimate. </w:t>
      </w:r>
    </w:p>
    <w:p w:rsidR="000E0876" w:rsidRPr="00633A58" w:rsidRDefault="000E0876" w:rsidP="00E144FE">
      <w:pPr>
        <w:spacing w:line="360" w:lineRule="auto"/>
        <w:jc w:val="both"/>
        <w:rPr>
          <w:rFonts w:ascii="Arial" w:hAnsi="Arial" w:cs="Arial"/>
          <w:color w:val="000000"/>
          <w:lang w:val="en-ZA" w:eastAsia="en-ZA"/>
        </w:rPr>
      </w:pPr>
    </w:p>
    <w:p w:rsidR="000E0876" w:rsidRPr="00633A58" w:rsidRDefault="000E0876" w:rsidP="00E144FE">
      <w:pPr>
        <w:spacing w:line="360" w:lineRule="auto"/>
        <w:jc w:val="both"/>
        <w:rPr>
          <w:rFonts w:ascii="Arial" w:hAnsi="Arial" w:cs="Arial"/>
          <w:color w:val="000000"/>
          <w:lang w:val="en-ZA" w:eastAsia="en-ZA"/>
        </w:rPr>
      </w:pPr>
      <w:r w:rsidRPr="00633A58">
        <w:rPr>
          <w:rFonts w:ascii="Arial" w:hAnsi="Arial" w:cs="Arial"/>
          <w:color w:val="000000"/>
          <w:lang w:val="en-ZA" w:eastAsia="en-ZA"/>
        </w:rPr>
        <w:t>[7]</w:t>
      </w:r>
      <w:r w:rsidRPr="00633A58">
        <w:rPr>
          <w:rFonts w:ascii="Arial" w:hAnsi="Arial" w:cs="Arial"/>
          <w:color w:val="000000"/>
          <w:lang w:val="en-ZA" w:eastAsia="en-ZA"/>
        </w:rPr>
        <w:tab/>
        <w:t xml:space="preserve">When evidence of </w:t>
      </w:r>
      <w:r w:rsidR="00750549" w:rsidRPr="00633A58">
        <w:rPr>
          <w:rFonts w:ascii="Arial" w:hAnsi="Arial" w:cs="Arial"/>
          <w:color w:val="000000"/>
          <w:lang w:val="en-ZA" w:eastAsia="en-ZA"/>
        </w:rPr>
        <w:t xml:space="preserve">the </w:t>
      </w:r>
      <w:r w:rsidRPr="00633A58">
        <w:rPr>
          <w:rFonts w:ascii="Arial" w:hAnsi="Arial" w:cs="Arial"/>
          <w:color w:val="000000"/>
          <w:lang w:val="en-ZA" w:eastAsia="en-ZA"/>
        </w:rPr>
        <w:t xml:space="preserve">fraud came to light, following investigations undertaken by Discovery, Discovery notified the respondent that it was exercising its right, as it was entitled in terms of the policy, to cancel the policy with retrospective effect </w:t>
      </w:r>
      <w:r w:rsidR="00AC2AA9" w:rsidRPr="00633A58">
        <w:rPr>
          <w:rFonts w:ascii="Arial" w:hAnsi="Arial" w:cs="Arial"/>
          <w:color w:val="000000"/>
          <w:lang w:val="en-ZA" w:eastAsia="en-ZA"/>
        </w:rPr>
        <w:t>from</w:t>
      </w:r>
      <w:r w:rsidRPr="00633A58">
        <w:rPr>
          <w:rFonts w:ascii="Arial" w:hAnsi="Arial" w:cs="Arial"/>
          <w:color w:val="000000"/>
          <w:lang w:val="en-ZA" w:eastAsia="en-ZA"/>
        </w:rPr>
        <w:t xml:space="preserve"> the date of the incident, ie 1</w:t>
      </w:r>
      <w:r w:rsidR="00AC2AA9" w:rsidRPr="00633A58">
        <w:rPr>
          <w:rFonts w:ascii="Arial" w:hAnsi="Arial" w:cs="Arial"/>
          <w:color w:val="000000"/>
          <w:lang w:val="en-ZA" w:eastAsia="en-ZA"/>
        </w:rPr>
        <w:t>0</w:t>
      </w:r>
      <w:r w:rsidRPr="00633A58">
        <w:rPr>
          <w:rFonts w:ascii="Arial" w:hAnsi="Arial" w:cs="Arial"/>
          <w:color w:val="000000"/>
          <w:lang w:val="en-ZA" w:eastAsia="en-ZA"/>
        </w:rPr>
        <w:t xml:space="preserve"> November 2016, that had triggered the claim. In addition, Discovery claimed repayment of the full amount it had already paid</w:t>
      </w:r>
      <w:r w:rsidR="00AC2AA9" w:rsidRPr="00633A58">
        <w:rPr>
          <w:rFonts w:ascii="Arial" w:hAnsi="Arial" w:cs="Arial"/>
          <w:color w:val="000000"/>
          <w:lang w:val="en-ZA" w:eastAsia="en-ZA"/>
        </w:rPr>
        <w:t xml:space="preserve"> out</w:t>
      </w:r>
      <w:r w:rsidRPr="00633A58">
        <w:rPr>
          <w:rFonts w:ascii="Arial" w:hAnsi="Arial" w:cs="Arial"/>
          <w:color w:val="000000"/>
          <w:lang w:val="en-ZA" w:eastAsia="en-ZA"/>
        </w:rPr>
        <w:t xml:space="preserve"> to the respondent between 7 December 2016 to 25 May 2017. As already mentioned, the respondent failed to repay the amount reclaimed, prompting Discovery to institute </w:t>
      </w:r>
      <w:r w:rsidR="00AC2AA9" w:rsidRPr="00633A58">
        <w:rPr>
          <w:rFonts w:ascii="Arial" w:hAnsi="Arial" w:cs="Arial"/>
          <w:color w:val="000000"/>
          <w:lang w:val="en-ZA" w:eastAsia="en-ZA"/>
        </w:rPr>
        <w:t xml:space="preserve">the </w:t>
      </w:r>
      <w:r w:rsidRPr="00633A58">
        <w:rPr>
          <w:rFonts w:ascii="Arial" w:hAnsi="Arial" w:cs="Arial"/>
          <w:color w:val="000000"/>
          <w:lang w:val="en-ZA" w:eastAsia="en-ZA"/>
        </w:rPr>
        <w:t xml:space="preserve">action </w:t>
      </w:r>
      <w:r w:rsidR="00AC2AA9" w:rsidRPr="00633A58">
        <w:rPr>
          <w:rFonts w:ascii="Arial" w:hAnsi="Arial" w:cs="Arial"/>
          <w:color w:val="000000"/>
          <w:lang w:val="en-ZA" w:eastAsia="en-ZA"/>
        </w:rPr>
        <w:t>mentioned in para</w:t>
      </w:r>
      <w:r w:rsidR="00A058D5" w:rsidRPr="00633A58">
        <w:rPr>
          <w:rFonts w:ascii="Arial" w:hAnsi="Arial" w:cs="Arial"/>
          <w:color w:val="000000"/>
          <w:lang w:val="en-ZA" w:eastAsia="en-ZA"/>
        </w:rPr>
        <w:t>graph</w:t>
      </w:r>
      <w:r w:rsidR="00AC2AA9" w:rsidRPr="00633A58">
        <w:rPr>
          <w:rFonts w:ascii="Arial" w:hAnsi="Arial" w:cs="Arial"/>
          <w:color w:val="000000"/>
          <w:lang w:val="en-ZA" w:eastAsia="en-ZA"/>
        </w:rPr>
        <w:t xml:space="preserve"> 3 above </w:t>
      </w:r>
      <w:r w:rsidRPr="00633A58">
        <w:rPr>
          <w:rFonts w:ascii="Arial" w:hAnsi="Arial" w:cs="Arial"/>
          <w:color w:val="000000"/>
          <w:lang w:val="en-ZA" w:eastAsia="en-ZA"/>
        </w:rPr>
        <w:t xml:space="preserve">against the respondent. </w:t>
      </w:r>
    </w:p>
    <w:p w:rsidR="00F51E8F" w:rsidRPr="00633A58" w:rsidRDefault="00F51E8F" w:rsidP="00E144FE">
      <w:pPr>
        <w:spacing w:line="360" w:lineRule="auto"/>
        <w:jc w:val="both"/>
        <w:rPr>
          <w:rFonts w:ascii="Arial" w:hAnsi="Arial" w:cs="Arial"/>
          <w:color w:val="000000"/>
          <w:lang w:val="en-ZA" w:eastAsia="en-ZA"/>
        </w:rPr>
      </w:pPr>
    </w:p>
    <w:p w:rsidR="00F51E8F" w:rsidRPr="00633A58" w:rsidRDefault="00F51E8F" w:rsidP="00E144FE">
      <w:pPr>
        <w:spacing w:line="360" w:lineRule="auto"/>
        <w:jc w:val="both"/>
        <w:rPr>
          <w:rFonts w:ascii="Arial" w:hAnsi="Arial" w:cs="Arial"/>
          <w:color w:val="000000"/>
          <w:lang w:val="en-ZA" w:eastAsia="en-ZA"/>
        </w:rPr>
      </w:pPr>
      <w:r w:rsidRPr="00633A58">
        <w:rPr>
          <w:rFonts w:ascii="Arial" w:hAnsi="Arial" w:cs="Arial"/>
          <w:color w:val="000000"/>
          <w:lang w:val="en-ZA" w:eastAsia="en-ZA"/>
        </w:rPr>
        <w:t>[8]</w:t>
      </w:r>
      <w:r w:rsidRPr="00633A58">
        <w:rPr>
          <w:rFonts w:ascii="Arial" w:hAnsi="Arial" w:cs="Arial"/>
          <w:color w:val="000000"/>
          <w:lang w:val="en-ZA" w:eastAsia="en-ZA"/>
        </w:rPr>
        <w:tab/>
        <w:t xml:space="preserve">As already indicated above, the respondent resisted the claim on various grounds. In particular, the respondent asserted that nowhere does the policy contain an express provision to the effect that on the retrospective termination of the policy, the insured would be liable to repay all the benefits already paid by the insurer before termination including benefits relating to claims not tainted by fraud. We </w:t>
      </w:r>
      <w:r w:rsidR="00CE60DA" w:rsidRPr="00633A58">
        <w:rPr>
          <w:rFonts w:ascii="Arial" w:hAnsi="Arial" w:cs="Arial"/>
          <w:color w:val="000000"/>
          <w:lang w:val="en-ZA" w:eastAsia="en-ZA"/>
        </w:rPr>
        <w:t>pause</w:t>
      </w:r>
      <w:r w:rsidR="002F485A" w:rsidRPr="00633A58">
        <w:rPr>
          <w:rFonts w:ascii="Arial" w:hAnsi="Arial" w:cs="Arial"/>
          <w:color w:val="000000"/>
          <w:lang w:val="en-ZA" w:eastAsia="en-ZA"/>
        </w:rPr>
        <w:t xml:space="preserve"> here to mention that</w:t>
      </w:r>
      <w:r w:rsidRPr="00633A58">
        <w:rPr>
          <w:rFonts w:ascii="Arial" w:hAnsi="Arial" w:cs="Arial"/>
          <w:color w:val="000000"/>
          <w:lang w:val="en-ZA" w:eastAsia="en-ZA"/>
        </w:rPr>
        <w:t xml:space="preserve"> </w:t>
      </w:r>
      <w:r w:rsidR="002F485A" w:rsidRPr="00633A58">
        <w:rPr>
          <w:rFonts w:ascii="Arial" w:hAnsi="Arial" w:cs="Arial"/>
          <w:color w:val="000000"/>
          <w:lang w:val="en-ZA" w:eastAsia="en-ZA"/>
        </w:rPr>
        <w:t xml:space="preserve">it was, </w:t>
      </w:r>
      <w:r w:rsidRPr="00633A58">
        <w:rPr>
          <w:rFonts w:ascii="Arial" w:hAnsi="Arial" w:cs="Arial"/>
          <w:color w:val="000000"/>
          <w:lang w:val="en-ZA" w:eastAsia="en-ZA"/>
        </w:rPr>
        <w:t xml:space="preserve">however, not in dispute that on the </w:t>
      </w:r>
      <w:r w:rsidR="004428CB" w:rsidRPr="00633A58">
        <w:rPr>
          <w:rFonts w:ascii="Arial" w:hAnsi="Arial" w:cs="Arial"/>
          <w:color w:val="000000"/>
          <w:lang w:val="en-ZA" w:eastAsia="en-ZA"/>
        </w:rPr>
        <w:t>occurrence</w:t>
      </w:r>
      <w:r w:rsidRPr="00633A58">
        <w:rPr>
          <w:rFonts w:ascii="Arial" w:hAnsi="Arial" w:cs="Arial"/>
          <w:color w:val="000000"/>
          <w:lang w:val="en-ZA" w:eastAsia="en-ZA"/>
        </w:rPr>
        <w:t xml:space="preserve"> of any of the events stipulated in clause 5.13 of the policy plan</w:t>
      </w:r>
      <w:r w:rsidR="00750549" w:rsidRPr="00633A58">
        <w:rPr>
          <w:rFonts w:ascii="Arial" w:hAnsi="Arial" w:cs="Arial"/>
          <w:color w:val="000000"/>
          <w:lang w:val="en-ZA" w:eastAsia="en-ZA"/>
        </w:rPr>
        <w:t>,</w:t>
      </w:r>
      <w:r w:rsidRPr="00633A58">
        <w:rPr>
          <w:rFonts w:ascii="Arial" w:hAnsi="Arial" w:cs="Arial"/>
          <w:color w:val="000000"/>
          <w:lang w:val="en-ZA" w:eastAsia="en-ZA"/>
        </w:rPr>
        <w:t xml:space="preserve"> Discovery would acquire a right to cancel the policy retrospectively at i</w:t>
      </w:r>
      <w:r w:rsidR="00AC2AA9" w:rsidRPr="00633A58">
        <w:rPr>
          <w:rFonts w:ascii="Arial" w:hAnsi="Arial" w:cs="Arial"/>
          <w:color w:val="000000"/>
          <w:lang w:val="en-ZA" w:eastAsia="en-ZA"/>
        </w:rPr>
        <w:t>t</w:t>
      </w:r>
      <w:r w:rsidRPr="00633A58">
        <w:rPr>
          <w:rFonts w:ascii="Arial" w:hAnsi="Arial" w:cs="Arial"/>
          <w:color w:val="000000"/>
          <w:lang w:val="en-ZA" w:eastAsia="en-ZA"/>
        </w:rPr>
        <w:t xml:space="preserve">s sole discretion. </w:t>
      </w:r>
      <w:r w:rsidR="00CE60DA" w:rsidRPr="00633A58">
        <w:rPr>
          <w:rFonts w:ascii="Arial" w:hAnsi="Arial" w:cs="Arial"/>
          <w:color w:val="000000"/>
          <w:lang w:val="en-ZA" w:eastAsia="en-ZA"/>
        </w:rPr>
        <w:t xml:space="preserve">Following a trial, the high court was satisfied that part of the claim lodged by the respondent was fraudulent. </w:t>
      </w:r>
    </w:p>
    <w:p w:rsidR="00CE60DA" w:rsidRPr="00633A58" w:rsidRDefault="00CE60DA" w:rsidP="00E144FE">
      <w:pPr>
        <w:spacing w:line="360" w:lineRule="auto"/>
        <w:jc w:val="both"/>
        <w:rPr>
          <w:rFonts w:ascii="Arial" w:hAnsi="Arial" w:cs="Arial"/>
          <w:color w:val="000000"/>
          <w:lang w:val="en-ZA" w:eastAsia="en-ZA"/>
        </w:rPr>
      </w:pPr>
    </w:p>
    <w:p w:rsidR="00CE60DA" w:rsidRPr="00633A58" w:rsidRDefault="00CE60DA" w:rsidP="00E144FE">
      <w:pPr>
        <w:spacing w:line="360" w:lineRule="auto"/>
        <w:jc w:val="both"/>
        <w:rPr>
          <w:rFonts w:ascii="Arial" w:hAnsi="Arial" w:cs="Arial"/>
          <w:color w:val="000000"/>
          <w:lang w:val="en-ZA" w:eastAsia="en-ZA"/>
        </w:rPr>
      </w:pPr>
      <w:r w:rsidRPr="00633A58">
        <w:rPr>
          <w:rFonts w:ascii="Arial" w:hAnsi="Arial" w:cs="Arial"/>
          <w:color w:val="000000"/>
          <w:lang w:val="en-ZA" w:eastAsia="en-ZA"/>
        </w:rPr>
        <w:lastRenderedPageBreak/>
        <w:t>[9]</w:t>
      </w:r>
      <w:r w:rsidRPr="00633A58">
        <w:rPr>
          <w:rFonts w:ascii="Arial" w:hAnsi="Arial" w:cs="Arial"/>
          <w:color w:val="000000"/>
          <w:lang w:val="en-ZA" w:eastAsia="en-ZA"/>
        </w:rPr>
        <w:tab/>
        <w:t>In the event, and contrary to what Discovery had asserted, the high court held that Discovery was not entitled to repayment of the full amount claimed. Rather, the high court held, Discovery was entitled to repayment of only that portion of the claim that was tainted by the undisputed fraud. The underlying reasoning of the high court was, in essence, predicated on two bases. First, the high court held that the insured had acquired accrued rights to the payment of the genuine portion of his claim</w:t>
      </w:r>
      <w:r w:rsidR="002D4CCD" w:rsidRPr="00633A58">
        <w:rPr>
          <w:rFonts w:ascii="Arial" w:hAnsi="Arial" w:cs="Arial"/>
          <w:color w:val="000000"/>
          <w:lang w:val="en-ZA" w:eastAsia="en-ZA"/>
        </w:rPr>
        <w:t>,</w:t>
      </w:r>
      <w:r w:rsidRPr="00633A58">
        <w:rPr>
          <w:rFonts w:ascii="Arial" w:hAnsi="Arial" w:cs="Arial"/>
          <w:color w:val="000000"/>
          <w:lang w:val="en-ZA" w:eastAsia="en-ZA"/>
        </w:rPr>
        <w:t xml:space="preserve"> </w:t>
      </w:r>
      <w:r w:rsidR="002D4CCD" w:rsidRPr="00633A58">
        <w:rPr>
          <w:rFonts w:ascii="Arial" w:hAnsi="Arial" w:cs="Arial"/>
          <w:color w:val="000000"/>
          <w:lang w:val="en-ZA" w:eastAsia="en-ZA"/>
        </w:rPr>
        <w:t>a</w:t>
      </w:r>
      <w:r w:rsidRPr="00633A58">
        <w:rPr>
          <w:rFonts w:ascii="Arial" w:hAnsi="Arial" w:cs="Arial"/>
          <w:color w:val="000000"/>
          <w:lang w:val="en-ZA" w:eastAsia="en-ZA"/>
        </w:rPr>
        <w:t xml:space="preserve">nd that those rights remained intact, unaffected by the subsequent fraud. Secondly, </w:t>
      </w:r>
      <w:r w:rsidR="00AC2AA9" w:rsidRPr="00633A58">
        <w:rPr>
          <w:rFonts w:ascii="Arial" w:hAnsi="Arial" w:cs="Arial"/>
          <w:color w:val="000000"/>
          <w:lang w:val="en-ZA" w:eastAsia="en-ZA"/>
        </w:rPr>
        <w:t xml:space="preserve">it held that </w:t>
      </w:r>
      <w:r w:rsidRPr="00633A58">
        <w:rPr>
          <w:rFonts w:ascii="Arial" w:hAnsi="Arial" w:cs="Arial"/>
          <w:color w:val="000000"/>
          <w:lang w:val="en-ZA" w:eastAsia="en-ZA"/>
        </w:rPr>
        <w:t>the policy clause that provided for forfeiture of claims tainted by fraud was</w:t>
      </w:r>
      <w:r w:rsidR="001A6459" w:rsidRPr="00633A58">
        <w:rPr>
          <w:rFonts w:ascii="Arial" w:hAnsi="Arial" w:cs="Arial"/>
          <w:color w:val="000000"/>
          <w:lang w:val="en-ZA" w:eastAsia="en-ZA"/>
        </w:rPr>
        <w:t>,</w:t>
      </w:r>
      <w:r w:rsidRPr="00633A58">
        <w:rPr>
          <w:rFonts w:ascii="Arial" w:hAnsi="Arial" w:cs="Arial"/>
          <w:color w:val="000000"/>
          <w:lang w:val="en-ZA" w:eastAsia="en-ZA"/>
        </w:rPr>
        <w:t xml:space="preserve"> </w:t>
      </w:r>
      <w:r w:rsidR="001A6459" w:rsidRPr="00633A58">
        <w:rPr>
          <w:rFonts w:ascii="Arial" w:hAnsi="Arial" w:cs="Arial"/>
          <w:color w:val="000000"/>
          <w:lang w:val="en-ZA" w:eastAsia="en-ZA"/>
        </w:rPr>
        <w:t>for</w:t>
      </w:r>
      <w:r w:rsidRPr="00633A58">
        <w:rPr>
          <w:rFonts w:ascii="Arial" w:hAnsi="Arial" w:cs="Arial"/>
          <w:color w:val="000000"/>
          <w:lang w:val="en-ZA" w:eastAsia="en-ZA"/>
        </w:rPr>
        <w:t xml:space="preserve"> all intents and purposes</w:t>
      </w:r>
      <w:r w:rsidR="002D4CCD" w:rsidRPr="00633A58">
        <w:rPr>
          <w:rFonts w:ascii="Arial" w:hAnsi="Arial" w:cs="Arial"/>
          <w:color w:val="000000"/>
          <w:lang w:val="en-ZA" w:eastAsia="en-ZA"/>
        </w:rPr>
        <w:t>,</w:t>
      </w:r>
      <w:r w:rsidRPr="00633A58">
        <w:rPr>
          <w:rFonts w:ascii="Arial" w:hAnsi="Arial" w:cs="Arial"/>
          <w:color w:val="000000"/>
          <w:lang w:val="en-ZA" w:eastAsia="en-ZA"/>
        </w:rPr>
        <w:t xml:space="preserve"> a penalty clause</w:t>
      </w:r>
      <w:r w:rsidR="00750549" w:rsidRPr="00633A58">
        <w:rPr>
          <w:rFonts w:ascii="Arial" w:hAnsi="Arial" w:cs="Arial"/>
          <w:color w:val="000000"/>
          <w:lang w:val="en-ZA" w:eastAsia="en-ZA"/>
        </w:rPr>
        <w:t>, in terms of the Conventional Penalties Act (the Act)</w:t>
      </w:r>
      <w:r w:rsidRPr="00633A58">
        <w:rPr>
          <w:rFonts w:ascii="Arial" w:hAnsi="Arial" w:cs="Arial"/>
          <w:color w:val="000000"/>
          <w:lang w:val="en-ZA" w:eastAsia="en-ZA"/>
        </w:rPr>
        <w:t>.</w:t>
      </w:r>
      <w:r w:rsidR="00750549" w:rsidRPr="00633A58">
        <w:rPr>
          <w:rStyle w:val="FootnoteReference"/>
          <w:rFonts w:ascii="Arial" w:hAnsi="Arial" w:cs="Arial"/>
          <w:color w:val="000000"/>
          <w:lang w:val="en-ZA" w:eastAsia="en-ZA"/>
        </w:rPr>
        <w:footnoteReference w:id="1"/>
      </w:r>
      <w:r w:rsidRPr="00633A58">
        <w:rPr>
          <w:rFonts w:ascii="Arial" w:hAnsi="Arial" w:cs="Arial"/>
          <w:color w:val="000000"/>
          <w:lang w:val="en-ZA" w:eastAsia="en-ZA"/>
        </w:rPr>
        <w:t xml:space="preserve"> Thus, the high court concluded, its enforcement would – to the extent that to do so would enable Discovery to recoup even the amount paid in settlement of the genuine portion of the insurance claim – result in disproportionate prejudice to the respondent. Consequently, the high court declined to enforce the clause.</w:t>
      </w:r>
    </w:p>
    <w:p w:rsidR="00CE60DA" w:rsidRPr="00633A58" w:rsidRDefault="00CE60DA" w:rsidP="00E144FE">
      <w:pPr>
        <w:spacing w:line="360" w:lineRule="auto"/>
        <w:jc w:val="both"/>
        <w:rPr>
          <w:rFonts w:ascii="Arial" w:hAnsi="Arial" w:cs="Arial"/>
          <w:color w:val="000000"/>
          <w:lang w:val="en-ZA" w:eastAsia="en-ZA"/>
        </w:rPr>
      </w:pPr>
    </w:p>
    <w:p w:rsidR="00CE60DA" w:rsidRPr="00633A58" w:rsidRDefault="00F371B7" w:rsidP="00E144FE">
      <w:pPr>
        <w:spacing w:line="360" w:lineRule="auto"/>
        <w:jc w:val="both"/>
        <w:rPr>
          <w:rFonts w:ascii="Arial" w:hAnsi="Arial" w:cs="Arial"/>
          <w:color w:val="000000"/>
          <w:lang w:val="en-ZA" w:eastAsia="en-ZA"/>
        </w:rPr>
      </w:pPr>
      <w:r w:rsidRPr="00633A58">
        <w:rPr>
          <w:rFonts w:ascii="Arial" w:hAnsi="Arial" w:cs="Arial"/>
          <w:color w:val="000000"/>
          <w:lang w:val="en-ZA" w:eastAsia="en-ZA"/>
        </w:rPr>
        <w:t>[10]</w:t>
      </w:r>
      <w:r w:rsidRPr="00633A58">
        <w:rPr>
          <w:rFonts w:ascii="Arial" w:hAnsi="Arial" w:cs="Arial"/>
          <w:color w:val="000000"/>
          <w:lang w:val="en-ZA" w:eastAsia="en-ZA"/>
        </w:rPr>
        <w:tab/>
        <w:t>In this regard, it bears mentioning that in</w:t>
      </w:r>
      <w:r w:rsidR="00AC2AA9" w:rsidRPr="00633A58">
        <w:rPr>
          <w:rFonts w:ascii="Arial" w:hAnsi="Arial" w:cs="Arial"/>
          <w:color w:val="000000"/>
          <w:lang w:val="en-ZA" w:eastAsia="en-ZA"/>
        </w:rPr>
        <w:t xml:space="preserve"> </w:t>
      </w:r>
      <w:r w:rsidRPr="00633A58">
        <w:rPr>
          <w:rFonts w:ascii="Arial" w:hAnsi="Arial" w:cs="Arial"/>
          <w:color w:val="000000"/>
          <w:lang w:val="en-ZA" w:eastAsia="en-ZA"/>
        </w:rPr>
        <w:t xml:space="preserve">coming to this conclusion, the high court heavily relied on the decision of this Court in </w:t>
      </w:r>
      <w:r w:rsidR="0015496A" w:rsidRPr="00633A58">
        <w:rPr>
          <w:rFonts w:ascii="Arial" w:hAnsi="Arial" w:cs="Arial"/>
          <w:i/>
          <w:color w:val="000000"/>
          <w:lang w:val="en-ZA" w:eastAsia="en-ZA"/>
        </w:rPr>
        <w:t>Lehmbecker's Earthmoving and Excavators (Pty) Ltd. v Incorporate General Insurances Ltd</w:t>
      </w:r>
      <w:r w:rsidR="0015496A" w:rsidRPr="00633A58">
        <w:rPr>
          <w:rFonts w:ascii="Arial" w:hAnsi="Arial" w:cs="Arial"/>
          <w:color w:val="000000"/>
          <w:lang w:val="en-ZA" w:eastAsia="en-ZA"/>
        </w:rPr>
        <w:t>.</w:t>
      </w:r>
      <w:r w:rsidR="0015496A" w:rsidRPr="00633A58">
        <w:rPr>
          <w:rStyle w:val="FootnoteReference"/>
          <w:rFonts w:ascii="Arial" w:hAnsi="Arial" w:cs="Arial"/>
          <w:color w:val="000000"/>
          <w:lang w:val="en-ZA" w:eastAsia="en-ZA"/>
        </w:rPr>
        <w:footnoteReference w:id="2"/>
      </w:r>
      <w:r w:rsidR="0015496A" w:rsidRPr="00633A58">
        <w:rPr>
          <w:rFonts w:ascii="Arial" w:hAnsi="Arial" w:cs="Arial"/>
          <w:color w:val="000000"/>
          <w:lang w:val="en-ZA" w:eastAsia="en-ZA"/>
        </w:rPr>
        <w:t xml:space="preserve"> There, this Court held that the words 'all benefits under this policy shall be forfeited' upon the making of a fraudulent claim were clearly capable of bearing the meaning that, as from the time </w:t>
      </w:r>
      <w:r w:rsidR="00AA4460" w:rsidRPr="00633A58">
        <w:rPr>
          <w:rFonts w:ascii="Arial" w:hAnsi="Arial" w:cs="Arial"/>
          <w:color w:val="000000"/>
          <w:lang w:val="en-ZA" w:eastAsia="en-ZA"/>
        </w:rPr>
        <w:t>that a fraudulent claim was made, the insured should have no further benefit or claim under the policy, and</w:t>
      </w:r>
      <w:r w:rsidR="00750549" w:rsidRPr="00633A58">
        <w:rPr>
          <w:rFonts w:ascii="Arial" w:hAnsi="Arial" w:cs="Arial"/>
          <w:color w:val="000000"/>
          <w:lang w:val="en-ZA" w:eastAsia="en-ZA"/>
        </w:rPr>
        <w:t>,</w:t>
      </w:r>
      <w:r w:rsidR="00AA4460" w:rsidRPr="00633A58">
        <w:rPr>
          <w:rFonts w:ascii="Arial" w:hAnsi="Arial" w:cs="Arial"/>
          <w:color w:val="000000"/>
          <w:lang w:val="en-ZA" w:eastAsia="en-ZA"/>
        </w:rPr>
        <w:t xml:space="preserve"> therefore</w:t>
      </w:r>
      <w:r w:rsidR="00750549" w:rsidRPr="00633A58">
        <w:rPr>
          <w:rFonts w:ascii="Arial" w:hAnsi="Arial" w:cs="Arial"/>
          <w:color w:val="000000"/>
          <w:lang w:val="en-ZA" w:eastAsia="en-ZA"/>
        </w:rPr>
        <w:t>,</w:t>
      </w:r>
      <w:r w:rsidR="00AA4460" w:rsidRPr="00633A58">
        <w:rPr>
          <w:rFonts w:ascii="Arial" w:hAnsi="Arial" w:cs="Arial"/>
          <w:color w:val="000000"/>
          <w:lang w:val="en-ZA" w:eastAsia="en-ZA"/>
        </w:rPr>
        <w:t xml:space="preserve"> valid claims already accrued and those already paid out to the insured</w:t>
      </w:r>
      <w:r w:rsidR="00750549" w:rsidRPr="00633A58">
        <w:rPr>
          <w:rFonts w:ascii="Arial" w:hAnsi="Arial" w:cs="Arial"/>
          <w:color w:val="000000"/>
          <w:lang w:val="en-ZA" w:eastAsia="en-ZA"/>
        </w:rPr>
        <w:t>,</w:t>
      </w:r>
      <w:r w:rsidR="00AA4460" w:rsidRPr="00633A58">
        <w:rPr>
          <w:rFonts w:ascii="Arial" w:hAnsi="Arial" w:cs="Arial"/>
          <w:color w:val="000000"/>
          <w:lang w:val="en-ZA" w:eastAsia="en-ZA"/>
        </w:rPr>
        <w:t xml:space="preserve"> remain intact and unaffected by subsequent, unrelated fraudulent claims. In </w:t>
      </w:r>
      <w:r w:rsidR="00AA4460" w:rsidRPr="00633A58">
        <w:rPr>
          <w:rFonts w:ascii="Arial" w:hAnsi="Arial" w:cs="Arial"/>
          <w:i/>
          <w:color w:val="000000"/>
          <w:lang w:val="en-ZA" w:eastAsia="en-ZA"/>
        </w:rPr>
        <w:t xml:space="preserve">Lehmbecker's Earthmoving </w:t>
      </w:r>
      <w:r w:rsidR="00AA4460" w:rsidRPr="00633A58">
        <w:rPr>
          <w:rFonts w:ascii="Arial" w:hAnsi="Arial" w:cs="Arial"/>
          <w:color w:val="000000"/>
          <w:lang w:val="en-ZA" w:eastAsia="en-ZA"/>
        </w:rPr>
        <w:t xml:space="preserve">this Court, in essence, held that the </w:t>
      </w:r>
      <w:r w:rsidR="00AC2AA9" w:rsidRPr="00633A58">
        <w:rPr>
          <w:rFonts w:ascii="Arial" w:hAnsi="Arial" w:cs="Arial"/>
          <w:color w:val="000000"/>
          <w:lang w:val="en-ZA" w:eastAsia="en-ZA"/>
        </w:rPr>
        <w:t xml:space="preserve">comparable </w:t>
      </w:r>
      <w:r w:rsidR="00AA4460" w:rsidRPr="00633A58">
        <w:rPr>
          <w:rFonts w:ascii="Arial" w:hAnsi="Arial" w:cs="Arial"/>
          <w:color w:val="000000"/>
          <w:lang w:val="en-ZA" w:eastAsia="en-ZA"/>
        </w:rPr>
        <w:t>clause there under consideration could not be said to have unequivocally provided for forfeiture of valid claims which had already accrued prior to the fraudulent claim.</w:t>
      </w:r>
      <w:r w:rsidR="00AA4460" w:rsidRPr="00633A58">
        <w:rPr>
          <w:rStyle w:val="FootnoteReference"/>
          <w:rFonts w:ascii="Arial" w:hAnsi="Arial" w:cs="Arial"/>
          <w:color w:val="000000"/>
          <w:lang w:val="en-ZA" w:eastAsia="en-ZA"/>
        </w:rPr>
        <w:footnoteReference w:id="3"/>
      </w:r>
      <w:r w:rsidR="00AA4460" w:rsidRPr="00633A58">
        <w:rPr>
          <w:rFonts w:ascii="Arial" w:hAnsi="Arial" w:cs="Arial"/>
          <w:color w:val="000000"/>
          <w:lang w:val="en-ZA" w:eastAsia="en-ZA"/>
        </w:rPr>
        <w:t xml:space="preserve"> We shall revert to this aspect later. </w:t>
      </w:r>
    </w:p>
    <w:p w:rsidR="00057A28" w:rsidRPr="00633A58" w:rsidRDefault="00057A28" w:rsidP="00E144FE">
      <w:pPr>
        <w:spacing w:line="360" w:lineRule="auto"/>
        <w:jc w:val="both"/>
        <w:rPr>
          <w:rFonts w:ascii="Arial" w:hAnsi="Arial" w:cs="Arial"/>
          <w:color w:val="000000"/>
          <w:lang w:val="en-ZA" w:eastAsia="en-ZA"/>
        </w:rPr>
      </w:pPr>
    </w:p>
    <w:p w:rsidR="00057A28" w:rsidRPr="00633A58" w:rsidRDefault="00057A28" w:rsidP="00E144FE">
      <w:pPr>
        <w:spacing w:line="360" w:lineRule="auto"/>
        <w:jc w:val="both"/>
        <w:rPr>
          <w:rFonts w:ascii="Arial" w:hAnsi="Arial" w:cs="Arial"/>
          <w:b/>
          <w:color w:val="000000"/>
          <w:lang w:val="en-ZA" w:eastAsia="en-ZA"/>
        </w:rPr>
      </w:pPr>
      <w:r w:rsidRPr="00633A58">
        <w:rPr>
          <w:rFonts w:ascii="Arial" w:hAnsi="Arial" w:cs="Arial"/>
          <w:b/>
          <w:color w:val="000000"/>
          <w:lang w:val="en-ZA" w:eastAsia="en-ZA"/>
        </w:rPr>
        <w:t>Issues</w:t>
      </w:r>
    </w:p>
    <w:p w:rsidR="00057A28" w:rsidRPr="00633A58" w:rsidRDefault="00057A28" w:rsidP="00E144FE">
      <w:pPr>
        <w:spacing w:line="360" w:lineRule="auto"/>
        <w:jc w:val="both"/>
        <w:rPr>
          <w:rFonts w:ascii="Arial" w:hAnsi="Arial" w:cs="Arial"/>
          <w:color w:val="000000"/>
          <w:lang w:val="en-ZA" w:eastAsia="en-ZA"/>
        </w:rPr>
      </w:pPr>
      <w:r w:rsidRPr="00633A58">
        <w:rPr>
          <w:rFonts w:ascii="Arial" w:hAnsi="Arial" w:cs="Arial"/>
          <w:color w:val="000000"/>
          <w:lang w:val="en-ZA" w:eastAsia="en-ZA"/>
        </w:rPr>
        <w:t>[11]</w:t>
      </w:r>
      <w:r w:rsidRPr="00633A58">
        <w:rPr>
          <w:rFonts w:ascii="Arial" w:hAnsi="Arial" w:cs="Arial"/>
          <w:color w:val="000000"/>
          <w:lang w:val="en-ZA" w:eastAsia="en-ZA"/>
        </w:rPr>
        <w:tab/>
        <w:t>There are three cardinal issues that fall to be determined in this appeal. They are</w:t>
      </w:r>
      <w:r w:rsidR="00C0344F" w:rsidRPr="00633A58">
        <w:rPr>
          <w:rFonts w:ascii="Arial" w:hAnsi="Arial" w:cs="Arial"/>
          <w:color w:val="000000"/>
          <w:lang w:val="en-ZA" w:eastAsia="en-ZA"/>
        </w:rPr>
        <w:t>:</w:t>
      </w:r>
    </w:p>
    <w:p w:rsidR="00057A28" w:rsidRPr="00633A58" w:rsidRDefault="00057A28" w:rsidP="00E144FE">
      <w:pPr>
        <w:spacing w:line="360" w:lineRule="auto"/>
        <w:jc w:val="both"/>
        <w:rPr>
          <w:rFonts w:ascii="Arial" w:hAnsi="Arial" w:cs="Arial"/>
          <w:color w:val="000000"/>
          <w:lang w:val="en-ZA" w:eastAsia="en-ZA"/>
        </w:rPr>
      </w:pPr>
      <w:r w:rsidRPr="00633A58">
        <w:rPr>
          <w:rFonts w:ascii="Arial" w:hAnsi="Arial" w:cs="Arial"/>
          <w:color w:val="000000"/>
          <w:lang w:val="en-ZA" w:eastAsia="en-ZA"/>
        </w:rPr>
        <w:lastRenderedPageBreak/>
        <w:t>(a)</w:t>
      </w:r>
      <w:r w:rsidRPr="00633A58">
        <w:rPr>
          <w:rFonts w:ascii="Arial" w:hAnsi="Arial" w:cs="Arial"/>
          <w:color w:val="000000"/>
          <w:lang w:val="en-ZA" w:eastAsia="en-ZA"/>
        </w:rPr>
        <w:tab/>
        <w:t xml:space="preserve">First, </w:t>
      </w:r>
      <w:r w:rsidR="002F485A" w:rsidRPr="00633A58">
        <w:rPr>
          <w:rFonts w:ascii="Arial" w:hAnsi="Arial" w:cs="Arial"/>
          <w:color w:val="000000"/>
          <w:lang w:val="en-ZA" w:eastAsia="en-ZA"/>
        </w:rPr>
        <w:t>the</w:t>
      </w:r>
      <w:r w:rsidRPr="00633A58">
        <w:rPr>
          <w:rFonts w:ascii="Arial" w:hAnsi="Arial" w:cs="Arial"/>
          <w:color w:val="000000"/>
          <w:lang w:val="en-ZA" w:eastAsia="en-ZA"/>
        </w:rPr>
        <w:t xml:space="preserve"> interpretation of clause 5.13 read with clause 5.5 of the Plan Guide – which is the schedule to the policy – and the Agreement of Loss</w:t>
      </w:r>
      <w:r w:rsidR="00E4012D" w:rsidRPr="00633A58">
        <w:rPr>
          <w:rFonts w:ascii="Arial" w:hAnsi="Arial" w:cs="Arial"/>
          <w:color w:val="000000"/>
          <w:lang w:val="en-ZA" w:eastAsia="en-ZA"/>
        </w:rPr>
        <w:t>, which is an integral part of the Plan Guide</w:t>
      </w:r>
      <w:r w:rsidRPr="00633A58">
        <w:rPr>
          <w:rFonts w:ascii="Arial" w:hAnsi="Arial" w:cs="Arial"/>
          <w:color w:val="000000"/>
          <w:lang w:val="en-ZA" w:eastAsia="en-ZA"/>
        </w:rPr>
        <w:t xml:space="preserve">. More </w:t>
      </w:r>
      <w:r w:rsidR="00892F4A" w:rsidRPr="00633A58">
        <w:rPr>
          <w:rFonts w:ascii="Arial" w:hAnsi="Arial" w:cs="Arial"/>
          <w:color w:val="000000"/>
          <w:lang w:val="en-ZA" w:eastAsia="en-ZA"/>
        </w:rPr>
        <w:t>pertinently, the appeal raises the question whether these clauses, properly construed, entitle Discovery to repayment of all amounts paid to the respondent subsequent to the insured event</w:t>
      </w:r>
      <w:r w:rsidR="00750549" w:rsidRPr="00633A58">
        <w:rPr>
          <w:rFonts w:ascii="Arial" w:hAnsi="Arial" w:cs="Arial"/>
          <w:color w:val="000000"/>
          <w:lang w:val="en-ZA" w:eastAsia="en-ZA"/>
        </w:rPr>
        <w:t>,</w:t>
      </w:r>
      <w:r w:rsidR="00892F4A" w:rsidRPr="00633A58">
        <w:rPr>
          <w:rFonts w:ascii="Arial" w:hAnsi="Arial" w:cs="Arial"/>
          <w:color w:val="000000"/>
          <w:lang w:val="en-ZA" w:eastAsia="en-ZA"/>
        </w:rPr>
        <w:t xml:space="preserve"> when the insured, ie the respondent, with full knowledge of his </w:t>
      </w:r>
      <w:r w:rsidR="00171E96" w:rsidRPr="00633A58">
        <w:rPr>
          <w:rFonts w:ascii="Arial" w:hAnsi="Arial" w:cs="Arial"/>
          <w:color w:val="000000"/>
          <w:lang w:val="en-ZA" w:eastAsia="en-ZA"/>
        </w:rPr>
        <w:t>misrepresentation</w:t>
      </w:r>
      <w:r w:rsidR="00750549" w:rsidRPr="00633A58">
        <w:rPr>
          <w:rFonts w:ascii="Arial" w:hAnsi="Arial" w:cs="Arial"/>
          <w:color w:val="000000"/>
          <w:lang w:val="en-ZA" w:eastAsia="en-ZA"/>
        </w:rPr>
        <w:t>,</w:t>
      </w:r>
      <w:r w:rsidR="00892F4A" w:rsidRPr="00633A58">
        <w:rPr>
          <w:rFonts w:ascii="Arial" w:hAnsi="Arial" w:cs="Arial"/>
          <w:color w:val="000000"/>
          <w:lang w:val="en-ZA" w:eastAsia="en-ZA"/>
        </w:rPr>
        <w:t xml:space="preserve"> submitted a partly fraudulent claim;</w:t>
      </w:r>
    </w:p>
    <w:p w:rsidR="00892F4A" w:rsidRPr="00633A58" w:rsidRDefault="00892F4A" w:rsidP="00E144FE">
      <w:pPr>
        <w:spacing w:line="360" w:lineRule="auto"/>
        <w:jc w:val="both"/>
        <w:rPr>
          <w:rFonts w:ascii="Arial" w:hAnsi="Arial" w:cs="Arial"/>
          <w:color w:val="000000"/>
          <w:lang w:val="en-ZA" w:eastAsia="en-ZA"/>
        </w:rPr>
      </w:pPr>
      <w:r w:rsidRPr="00633A58">
        <w:rPr>
          <w:rFonts w:ascii="Arial" w:hAnsi="Arial" w:cs="Arial"/>
          <w:color w:val="000000"/>
          <w:lang w:val="en-ZA" w:eastAsia="en-ZA"/>
        </w:rPr>
        <w:t>(b)</w:t>
      </w:r>
      <w:r w:rsidRPr="00633A58">
        <w:rPr>
          <w:rFonts w:ascii="Arial" w:hAnsi="Arial" w:cs="Arial"/>
          <w:color w:val="000000"/>
          <w:lang w:val="en-ZA" w:eastAsia="en-ZA"/>
        </w:rPr>
        <w:tab/>
        <w:t xml:space="preserve">Secondly, </w:t>
      </w:r>
      <w:r w:rsidR="002F485A" w:rsidRPr="00633A58">
        <w:rPr>
          <w:rFonts w:ascii="Arial" w:hAnsi="Arial" w:cs="Arial"/>
          <w:color w:val="000000"/>
          <w:lang w:val="en-ZA" w:eastAsia="en-ZA"/>
        </w:rPr>
        <w:t>whether</w:t>
      </w:r>
      <w:r w:rsidRPr="00633A58">
        <w:rPr>
          <w:rFonts w:ascii="Arial" w:hAnsi="Arial" w:cs="Arial"/>
          <w:color w:val="000000"/>
          <w:lang w:val="en-ZA" w:eastAsia="en-ZA"/>
        </w:rPr>
        <w:t xml:space="preserve"> the doctrine of accrued rights find</w:t>
      </w:r>
      <w:r w:rsidR="002F485A" w:rsidRPr="00633A58">
        <w:rPr>
          <w:rFonts w:ascii="Arial" w:hAnsi="Arial" w:cs="Arial"/>
          <w:color w:val="000000"/>
          <w:lang w:val="en-ZA" w:eastAsia="en-ZA"/>
        </w:rPr>
        <w:t>s</w:t>
      </w:r>
      <w:r w:rsidRPr="00633A58">
        <w:rPr>
          <w:rFonts w:ascii="Arial" w:hAnsi="Arial" w:cs="Arial"/>
          <w:color w:val="000000"/>
          <w:lang w:val="en-ZA" w:eastAsia="en-ZA"/>
        </w:rPr>
        <w:t xml:space="preserve"> application in the context of the facts of this case, and if so, </w:t>
      </w:r>
      <w:r w:rsidR="00547361">
        <w:rPr>
          <w:rFonts w:ascii="Arial" w:hAnsi="Arial" w:cs="Arial"/>
          <w:color w:val="000000"/>
          <w:lang w:val="en-ZA" w:eastAsia="en-ZA"/>
        </w:rPr>
        <w:t>whether</w:t>
      </w:r>
      <w:r w:rsidRPr="00633A58">
        <w:rPr>
          <w:rFonts w:ascii="Arial" w:hAnsi="Arial" w:cs="Arial"/>
          <w:color w:val="000000"/>
          <w:lang w:val="en-ZA" w:eastAsia="en-ZA"/>
        </w:rPr>
        <w:t xml:space="preserve"> the relevant clauses</w:t>
      </w:r>
      <w:r w:rsidR="00750549" w:rsidRPr="00633A58">
        <w:rPr>
          <w:rFonts w:ascii="Arial" w:hAnsi="Arial" w:cs="Arial"/>
          <w:color w:val="000000"/>
          <w:lang w:val="en-ZA" w:eastAsia="en-ZA"/>
        </w:rPr>
        <w:t>,</w:t>
      </w:r>
      <w:r w:rsidRPr="00633A58">
        <w:rPr>
          <w:rFonts w:ascii="Arial" w:hAnsi="Arial" w:cs="Arial"/>
          <w:color w:val="000000"/>
          <w:lang w:val="en-ZA" w:eastAsia="en-ZA"/>
        </w:rPr>
        <w:t xml:space="preserve"> which are central to this appeal</w:t>
      </w:r>
      <w:r w:rsidR="00750549" w:rsidRPr="00633A58">
        <w:rPr>
          <w:rFonts w:ascii="Arial" w:hAnsi="Arial" w:cs="Arial"/>
          <w:color w:val="000000"/>
          <w:lang w:val="en-ZA" w:eastAsia="en-ZA"/>
        </w:rPr>
        <w:t>,</w:t>
      </w:r>
      <w:r w:rsidRPr="00633A58">
        <w:rPr>
          <w:rFonts w:ascii="Arial" w:hAnsi="Arial" w:cs="Arial"/>
          <w:color w:val="000000"/>
          <w:lang w:val="en-ZA" w:eastAsia="en-ZA"/>
        </w:rPr>
        <w:t xml:space="preserve"> operate to disgorge the compensation already paid to the respondent in respect of the genuine portion of his claim;</w:t>
      </w:r>
    </w:p>
    <w:p w:rsidR="00821221" w:rsidRPr="00633A58" w:rsidRDefault="00821221" w:rsidP="00E144FE">
      <w:pPr>
        <w:spacing w:line="360" w:lineRule="auto"/>
        <w:jc w:val="both"/>
        <w:rPr>
          <w:rFonts w:ascii="Arial" w:hAnsi="Arial" w:cs="Arial"/>
          <w:color w:val="000000"/>
          <w:lang w:val="en-ZA" w:eastAsia="en-ZA"/>
        </w:rPr>
      </w:pPr>
      <w:r w:rsidRPr="00633A58">
        <w:rPr>
          <w:rFonts w:ascii="Arial" w:hAnsi="Arial" w:cs="Arial"/>
          <w:color w:val="000000"/>
          <w:lang w:val="en-ZA" w:eastAsia="en-ZA"/>
        </w:rPr>
        <w:t>(c)</w:t>
      </w:r>
      <w:r w:rsidRPr="00633A58">
        <w:rPr>
          <w:rFonts w:ascii="Arial" w:hAnsi="Arial" w:cs="Arial"/>
          <w:color w:val="000000"/>
          <w:lang w:val="en-ZA" w:eastAsia="en-ZA"/>
        </w:rPr>
        <w:tab/>
        <w:t xml:space="preserve">Thirdly, whether the high court was correct in </w:t>
      </w:r>
      <w:r w:rsidR="00C7097A" w:rsidRPr="00633A58">
        <w:rPr>
          <w:rFonts w:ascii="Arial" w:hAnsi="Arial" w:cs="Arial"/>
          <w:color w:val="000000"/>
          <w:lang w:val="en-ZA" w:eastAsia="en-ZA"/>
        </w:rPr>
        <w:t>its</w:t>
      </w:r>
      <w:r w:rsidRPr="00633A58">
        <w:rPr>
          <w:rFonts w:ascii="Arial" w:hAnsi="Arial" w:cs="Arial"/>
          <w:color w:val="000000"/>
          <w:lang w:val="en-ZA" w:eastAsia="en-ZA"/>
        </w:rPr>
        <w:t xml:space="preserve"> characterisation of the relevant clauses of the </w:t>
      </w:r>
      <w:r w:rsidR="00750549" w:rsidRPr="00633A58">
        <w:rPr>
          <w:rFonts w:ascii="Arial" w:hAnsi="Arial" w:cs="Arial"/>
          <w:color w:val="000000"/>
          <w:lang w:val="en-ZA" w:eastAsia="en-ZA"/>
        </w:rPr>
        <w:t>Plan Guide</w:t>
      </w:r>
      <w:r w:rsidRPr="00633A58">
        <w:rPr>
          <w:rFonts w:ascii="Arial" w:hAnsi="Arial" w:cs="Arial"/>
          <w:color w:val="000000"/>
          <w:lang w:val="en-ZA" w:eastAsia="en-ZA"/>
        </w:rPr>
        <w:t>, ie clauses 5.13 and 5.5, as constituting penalty clause</w:t>
      </w:r>
      <w:r w:rsidR="002F485A" w:rsidRPr="00633A58">
        <w:rPr>
          <w:rFonts w:ascii="Arial" w:hAnsi="Arial" w:cs="Arial"/>
          <w:color w:val="000000"/>
          <w:lang w:val="en-ZA" w:eastAsia="en-ZA"/>
        </w:rPr>
        <w:t>s</w:t>
      </w:r>
      <w:r w:rsidR="00750549" w:rsidRPr="00633A58">
        <w:rPr>
          <w:rFonts w:ascii="Arial" w:hAnsi="Arial" w:cs="Arial"/>
          <w:color w:val="000000"/>
          <w:lang w:val="en-ZA" w:eastAsia="en-ZA"/>
        </w:rPr>
        <w:t>,</w:t>
      </w:r>
      <w:r w:rsidRPr="00633A58">
        <w:rPr>
          <w:rFonts w:ascii="Arial" w:hAnsi="Arial" w:cs="Arial"/>
          <w:color w:val="000000"/>
          <w:lang w:val="en-ZA" w:eastAsia="en-ZA"/>
        </w:rPr>
        <w:t xml:space="preserve"> thereby justifying the high court's refusal to enforce the clauses in question. </w:t>
      </w:r>
    </w:p>
    <w:p w:rsidR="00D01E79" w:rsidRPr="00633A58" w:rsidRDefault="00D01E79" w:rsidP="00E144FE">
      <w:pPr>
        <w:spacing w:line="360" w:lineRule="auto"/>
        <w:jc w:val="both"/>
        <w:rPr>
          <w:rFonts w:ascii="Arial" w:hAnsi="Arial" w:cs="Arial"/>
          <w:color w:val="000000"/>
          <w:lang w:val="en-ZA" w:eastAsia="en-ZA"/>
        </w:rPr>
      </w:pPr>
      <w:r w:rsidRPr="00633A58">
        <w:rPr>
          <w:rFonts w:ascii="Arial" w:hAnsi="Arial" w:cs="Arial"/>
          <w:color w:val="000000"/>
          <w:lang w:val="en-ZA" w:eastAsia="en-ZA"/>
        </w:rPr>
        <w:t>We pause here to mention that insofar as the third issue is concerned</w:t>
      </w:r>
      <w:r w:rsidR="00E4012D" w:rsidRPr="00633A58">
        <w:rPr>
          <w:rFonts w:ascii="Arial" w:hAnsi="Arial" w:cs="Arial"/>
          <w:color w:val="000000"/>
          <w:lang w:val="en-ZA" w:eastAsia="en-ZA"/>
        </w:rPr>
        <w:t>,</w:t>
      </w:r>
      <w:r w:rsidRPr="00633A58">
        <w:rPr>
          <w:rFonts w:ascii="Arial" w:hAnsi="Arial" w:cs="Arial"/>
          <w:color w:val="000000"/>
          <w:lang w:val="en-ZA" w:eastAsia="en-ZA"/>
        </w:rPr>
        <w:t xml:space="preserve"> neither party had raised it before the high court. Nor did the high court afford the parties the opportunity to address the issue. </w:t>
      </w:r>
      <w:r w:rsidR="00E4012D" w:rsidRPr="00633A58">
        <w:rPr>
          <w:rFonts w:ascii="Arial" w:hAnsi="Arial" w:cs="Arial"/>
          <w:color w:val="000000"/>
          <w:lang w:val="en-ZA" w:eastAsia="en-ZA"/>
        </w:rPr>
        <w:t>We</w:t>
      </w:r>
      <w:r w:rsidRPr="00633A58">
        <w:rPr>
          <w:rFonts w:ascii="Arial" w:hAnsi="Arial" w:cs="Arial"/>
          <w:color w:val="000000"/>
          <w:lang w:val="en-ZA" w:eastAsia="en-ZA"/>
        </w:rPr>
        <w:t xml:space="preserve"> shall revert to this aspect later. </w:t>
      </w:r>
    </w:p>
    <w:p w:rsidR="00892F4A" w:rsidRPr="00633A58" w:rsidRDefault="00892F4A" w:rsidP="00E144FE">
      <w:pPr>
        <w:spacing w:line="360" w:lineRule="auto"/>
        <w:jc w:val="both"/>
        <w:rPr>
          <w:rFonts w:ascii="Arial" w:hAnsi="Arial" w:cs="Arial"/>
          <w:color w:val="000000"/>
          <w:lang w:val="en-ZA" w:eastAsia="en-ZA"/>
        </w:rPr>
      </w:pPr>
    </w:p>
    <w:p w:rsidR="0097655D" w:rsidRPr="00633A58" w:rsidRDefault="00D01E79" w:rsidP="00E144FE">
      <w:pPr>
        <w:spacing w:line="360" w:lineRule="auto"/>
        <w:jc w:val="both"/>
        <w:rPr>
          <w:rFonts w:ascii="Arial" w:hAnsi="Arial" w:cs="Arial"/>
          <w:color w:val="000000"/>
          <w:lang w:val="en-ZA" w:eastAsia="en-ZA"/>
        </w:rPr>
      </w:pPr>
      <w:r w:rsidRPr="00633A58">
        <w:rPr>
          <w:rFonts w:ascii="Arial" w:hAnsi="Arial" w:cs="Arial"/>
          <w:color w:val="000000"/>
          <w:lang w:val="en-ZA" w:eastAsia="en-ZA"/>
        </w:rPr>
        <w:t>[12]</w:t>
      </w:r>
      <w:r w:rsidRPr="00633A58">
        <w:rPr>
          <w:rFonts w:ascii="Arial" w:hAnsi="Arial" w:cs="Arial"/>
          <w:color w:val="000000"/>
          <w:lang w:val="en-ZA" w:eastAsia="en-ZA"/>
        </w:rPr>
        <w:tab/>
      </w:r>
      <w:r w:rsidR="00F45156" w:rsidRPr="00633A58">
        <w:rPr>
          <w:rFonts w:ascii="Arial" w:hAnsi="Arial" w:cs="Arial"/>
          <w:color w:val="000000"/>
          <w:lang w:val="en-ZA" w:eastAsia="en-ZA"/>
        </w:rPr>
        <w:t xml:space="preserve">It is convenient at this stage to set out the two clauses which are central to the outcome of this appeal. </w:t>
      </w:r>
      <w:r w:rsidR="00750549" w:rsidRPr="00633A58">
        <w:rPr>
          <w:rFonts w:ascii="Arial" w:hAnsi="Arial" w:cs="Arial"/>
          <w:color w:val="000000"/>
          <w:lang w:val="en-ZA" w:eastAsia="en-ZA"/>
        </w:rPr>
        <w:t>T</w:t>
      </w:r>
      <w:r w:rsidR="00F45156" w:rsidRPr="00633A58">
        <w:rPr>
          <w:rFonts w:ascii="Arial" w:hAnsi="Arial" w:cs="Arial"/>
          <w:color w:val="000000"/>
          <w:lang w:val="en-ZA" w:eastAsia="en-ZA"/>
        </w:rPr>
        <w:t>hese are clauses 5.13 and 5.5 of the Plan Guide. Clause 5.13, which is headed 'Fraud, misrepresentation and inaccurate information', reads as follows:</w:t>
      </w:r>
    </w:p>
    <w:p w:rsidR="00F45156" w:rsidRPr="00633A58" w:rsidRDefault="00815E4E" w:rsidP="00E144FE">
      <w:pPr>
        <w:spacing w:line="360" w:lineRule="auto"/>
        <w:jc w:val="both"/>
        <w:rPr>
          <w:rFonts w:ascii="Arial" w:hAnsi="Arial" w:cs="Arial"/>
          <w:color w:val="000000"/>
          <w:sz w:val="22"/>
          <w:lang w:val="en-ZA" w:eastAsia="en-ZA"/>
        </w:rPr>
      </w:pPr>
      <w:r w:rsidRPr="00633A58">
        <w:rPr>
          <w:rFonts w:ascii="Arial" w:hAnsi="Arial" w:cs="Arial"/>
          <w:color w:val="000000"/>
          <w:sz w:val="22"/>
          <w:lang w:val="en-ZA" w:eastAsia="en-ZA"/>
        </w:rPr>
        <w:t>'</w:t>
      </w:r>
      <w:r w:rsidR="008431BA" w:rsidRPr="00633A58">
        <w:rPr>
          <w:rFonts w:ascii="Arial" w:hAnsi="Arial" w:cs="Arial"/>
          <w:color w:val="000000"/>
          <w:sz w:val="22"/>
          <w:lang w:val="en-ZA" w:eastAsia="en-ZA"/>
        </w:rPr>
        <w:t>All benefits in terms of this Plan in respect of any claim will be lost and this plan may be voided or cancelled at our discretion:</w:t>
      </w:r>
    </w:p>
    <w:p w:rsidR="008431BA" w:rsidRPr="00633A58" w:rsidRDefault="008431BA" w:rsidP="008431BA">
      <w:pPr>
        <w:pStyle w:val="ListParagraph"/>
        <w:numPr>
          <w:ilvl w:val="0"/>
          <w:numId w:val="11"/>
        </w:numPr>
        <w:spacing w:line="360" w:lineRule="auto"/>
        <w:ind w:left="426" w:hanging="426"/>
        <w:jc w:val="both"/>
        <w:rPr>
          <w:rFonts w:ascii="Arial" w:hAnsi="Arial" w:cs="Arial"/>
          <w:color w:val="000000"/>
          <w:sz w:val="22"/>
          <w:lang w:val="en-ZA" w:eastAsia="en-ZA"/>
        </w:rPr>
      </w:pPr>
      <w:r w:rsidRPr="00633A58">
        <w:rPr>
          <w:rFonts w:ascii="Arial" w:hAnsi="Arial" w:cs="Arial"/>
          <w:color w:val="000000"/>
          <w:sz w:val="22"/>
          <w:lang w:val="en-ZA" w:eastAsia="en-ZA"/>
        </w:rPr>
        <w:t>Where there is a misrepresentation, non-disclosure, misdescription by you or anyone acting on your behalf; or</w:t>
      </w:r>
    </w:p>
    <w:p w:rsidR="008431BA" w:rsidRPr="00633A58" w:rsidRDefault="008431BA" w:rsidP="008431BA">
      <w:pPr>
        <w:pStyle w:val="ListParagraph"/>
        <w:numPr>
          <w:ilvl w:val="0"/>
          <w:numId w:val="11"/>
        </w:numPr>
        <w:spacing w:line="360" w:lineRule="auto"/>
        <w:ind w:left="426" w:hanging="426"/>
        <w:jc w:val="both"/>
        <w:rPr>
          <w:rFonts w:ascii="Arial" w:hAnsi="Arial" w:cs="Arial"/>
          <w:color w:val="000000"/>
          <w:sz w:val="22"/>
          <w:lang w:val="en-ZA" w:eastAsia="en-ZA"/>
        </w:rPr>
      </w:pPr>
      <w:r w:rsidRPr="00633A58">
        <w:rPr>
          <w:rFonts w:ascii="Arial" w:hAnsi="Arial" w:cs="Arial"/>
          <w:color w:val="000000"/>
          <w:sz w:val="22"/>
          <w:lang w:val="en-ZA" w:eastAsia="en-ZA"/>
        </w:rPr>
        <w:t>If false or incomplete informatio</w:t>
      </w:r>
      <w:r w:rsidR="001A6459" w:rsidRPr="00633A58">
        <w:rPr>
          <w:rFonts w:ascii="Arial" w:hAnsi="Arial" w:cs="Arial"/>
          <w:color w:val="000000"/>
          <w:sz w:val="22"/>
          <w:lang w:val="en-ZA" w:eastAsia="en-ZA"/>
        </w:rPr>
        <w:t>n is supplied for any fact and/</w:t>
      </w:r>
      <w:r w:rsidRPr="00633A58">
        <w:rPr>
          <w:rFonts w:ascii="Arial" w:hAnsi="Arial" w:cs="Arial"/>
          <w:color w:val="000000"/>
          <w:sz w:val="22"/>
          <w:lang w:val="en-ZA" w:eastAsia="en-ZA"/>
        </w:rPr>
        <w:t>or circumstance in connection with an application for cover or in connection with a claim in terms of this Plan by you or anyone acting on your behalf; or</w:t>
      </w:r>
    </w:p>
    <w:p w:rsidR="008431BA" w:rsidRPr="00633A58" w:rsidRDefault="008431BA" w:rsidP="008431BA">
      <w:pPr>
        <w:pStyle w:val="ListParagraph"/>
        <w:numPr>
          <w:ilvl w:val="0"/>
          <w:numId w:val="11"/>
        </w:numPr>
        <w:spacing w:line="360" w:lineRule="auto"/>
        <w:ind w:left="426" w:hanging="426"/>
        <w:jc w:val="both"/>
        <w:rPr>
          <w:rFonts w:ascii="Arial" w:hAnsi="Arial" w:cs="Arial"/>
          <w:color w:val="000000"/>
          <w:sz w:val="22"/>
          <w:lang w:val="en-ZA" w:eastAsia="en-ZA"/>
        </w:rPr>
      </w:pPr>
      <w:r w:rsidRPr="00633A58">
        <w:rPr>
          <w:rFonts w:ascii="Arial" w:hAnsi="Arial" w:cs="Arial"/>
          <w:color w:val="000000"/>
          <w:sz w:val="22"/>
          <w:lang w:val="en-ZA" w:eastAsia="en-ZA"/>
        </w:rPr>
        <w:t>If any claim or part thereof under this Plan is in any way fraudulent, or if fraudulent means or devices are used by you or any acting on your behalf to get any benefit under this Plan is occasioned by your intentional conduct or any person acting on your behalf or with your involvement;</w:t>
      </w:r>
    </w:p>
    <w:p w:rsidR="008431BA" w:rsidRPr="00633A58" w:rsidRDefault="008431BA" w:rsidP="008431BA">
      <w:pPr>
        <w:pStyle w:val="ListParagraph"/>
        <w:numPr>
          <w:ilvl w:val="0"/>
          <w:numId w:val="11"/>
        </w:numPr>
        <w:spacing w:line="360" w:lineRule="auto"/>
        <w:ind w:left="426" w:hanging="426"/>
        <w:jc w:val="both"/>
        <w:rPr>
          <w:rFonts w:ascii="Arial" w:hAnsi="Arial" w:cs="Arial"/>
          <w:color w:val="000000"/>
          <w:sz w:val="22"/>
          <w:lang w:val="en-ZA" w:eastAsia="en-ZA"/>
        </w:rPr>
      </w:pPr>
      <w:r w:rsidRPr="00633A58">
        <w:rPr>
          <w:rFonts w:ascii="Arial" w:hAnsi="Arial" w:cs="Arial"/>
          <w:color w:val="000000"/>
          <w:sz w:val="22"/>
          <w:lang w:val="en-ZA" w:eastAsia="en-ZA"/>
        </w:rPr>
        <w:t>If any fraudulent information and/or document whether created by you or any other party is provided to us by you or anyone acting on your behalf or with your involvement in support of any claim under this Plan and whether or not the claim is itself fraudulent.</w:t>
      </w:r>
    </w:p>
    <w:p w:rsidR="00815E4E" w:rsidRPr="00633A58" w:rsidRDefault="008431BA" w:rsidP="00815E4E">
      <w:pPr>
        <w:pStyle w:val="ListParagraph"/>
        <w:numPr>
          <w:ilvl w:val="0"/>
          <w:numId w:val="11"/>
        </w:numPr>
        <w:spacing w:line="360" w:lineRule="auto"/>
        <w:ind w:left="426" w:hanging="426"/>
        <w:jc w:val="both"/>
        <w:rPr>
          <w:rFonts w:ascii="Arial" w:hAnsi="Arial" w:cs="Arial"/>
          <w:color w:val="000000"/>
          <w:sz w:val="22"/>
          <w:lang w:val="en-ZA" w:eastAsia="en-ZA"/>
        </w:rPr>
      </w:pPr>
      <w:r w:rsidRPr="00633A58">
        <w:rPr>
          <w:rFonts w:ascii="Arial" w:hAnsi="Arial" w:cs="Arial"/>
          <w:color w:val="000000"/>
          <w:sz w:val="22"/>
          <w:lang w:val="en-ZA" w:eastAsia="en-ZA"/>
        </w:rPr>
        <w:lastRenderedPageBreak/>
        <w:t xml:space="preserve">If the size of any claim is inflated by you or anyone acting on your behalf or with your involvement, for any reason whatsoever, and whether the claim itself is fraudulent. </w:t>
      </w:r>
    </w:p>
    <w:p w:rsidR="008431BA" w:rsidRPr="00633A58" w:rsidRDefault="008431BA" w:rsidP="00815E4E">
      <w:pPr>
        <w:pStyle w:val="ListParagraph"/>
        <w:spacing w:line="360" w:lineRule="auto"/>
        <w:ind w:left="0"/>
        <w:jc w:val="both"/>
        <w:rPr>
          <w:rFonts w:ascii="Arial" w:hAnsi="Arial" w:cs="Arial"/>
          <w:color w:val="000000"/>
          <w:sz w:val="22"/>
          <w:lang w:val="en-ZA" w:eastAsia="en-ZA"/>
        </w:rPr>
      </w:pPr>
      <w:r w:rsidRPr="00633A58">
        <w:rPr>
          <w:rFonts w:ascii="Arial" w:hAnsi="Arial" w:cs="Arial"/>
          <w:color w:val="000000"/>
          <w:sz w:val="22"/>
          <w:lang w:val="en-ZA" w:eastAsia="en-ZA"/>
        </w:rPr>
        <w:t>Where any benefit under this Plan is forfeited in circumstances set out in this section, we will have the right to cancel your Plan retrospective to the reported incident date or actual incident date, whichever is the earliest.'</w:t>
      </w:r>
    </w:p>
    <w:p w:rsidR="008431BA" w:rsidRPr="00633A58" w:rsidRDefault="008431BA" w:rsidP="008431BA">
      <w:pPr>
        <w:spacing w:line="360" w:lineRule="auto"/>
        <w:jc w:val="both"/>
        <w:rPr>
          <w:rFonts w:ascii="Arial" w:hAnsi="Arial" w:cs="Arial"/>
          <w:color w:val="000000"/>
          <w:sz w:val="22"/>
          <w:lang w:val="en-ZA" w:eastAsia="en-ZA"/>
        </w:rPr>
      </w:pPr>
    </w:p>
    <w:p w:rsidR="0097655D" w:rsidRPr="00633A58" w:rsidRDefault="008431BA" w:rsidP="00E144FE">
      <w:pPr>
        <w:spacing w:line="360" w:lineRule="auto"/>
        <w:jc w:val="both"/>
        <w:rPr>
          <w:rFonts w:ascii="Arial" w:hAnsi="Arial" w:cs="Arial"/>
          <w:color w:val="000000"/>
          <w:lang w:val="en-ZA" w:eastAsia="en-ZA"/>
        </w:rPr>
      </w:pPr>
      <w:r w:rsidRPr="00633A58">
        <w:rPr>
          <w:rFonts w:ascii="Arial" w:hAnsi="Arial" w:cs="Arial"/>
          <w:color w:val="000000"/>
          <w:lang w:val="en-ZA" w:eastAsia="en-ZA"/>
        </w:rPr>
        <w:t>[13]</w:t>
      </w:r>
      <w:r w:rsidRPr="00633A58">
        <w:rPr>
          <w:rFonts w:ascii="Arial" w:hAnsi="Arial" w:cs="Arial"/>
          <w:color w:val="000000"/>
          <w:lang w:val="en-ZA" w:eastAsia="en-ZA"/>
        </w:rPr>
        <w:tab/>
      </w:r>
      <w:r w:rsidR="00BE0000" w:rsidRPr="00633A58">
        <w:rPr>
          <w:rFonts w:ascii="Arial" w:hAnsi="Arial" w:cs="Arial"/>
          <w:color w:val="000000"/>
          <w:lang w:val="en-ZA" w:eastAsia="en-ZA"/>
        </w:rPr>
        <w:t>Clause 5.5, which is headed 'Breach of conditions requiring your assistance', reads as follows:</w:t>
      </w:r>
    </w:p>
    <w:p w:rsidR="00BE0000" w:rsidRPr="00633A58" w:rsidRDefault="00BE0000" w:rsidP="00E144FE">
      <w:pPr>
        <w:spacing w:line="360" w:lineRule="auto"/>
        <w:jc w:val="both"/>
        <w:rPr>
          <w:rFonts w:ascii="Arial" w:hAnsi="Arial" w:cs="Arial"/>
          <w:color w:val="000000"/>
          <w:sz w:val="22"/>
          <w:lang w:val="en-ZA" w:eastAsia="en-ZA"/>
        </w:rPr>
      </w:pPr>
      <w:r w:rsidRPr="00633A58">
        <w:rPr>
          <w:rFonts w:ascii="Arial" w:hAnsi="Arial" w:cs="Arial"/>
          <w:color w:val="000000"/>
          <w:sz w:val="22"/>
          <w:lang w:val="en-ZA" w:eastAsia="en-ZA"/>
        </w:rPr>
        <w:t>'We reserve the right to cancel your Plan and claim repayment from you for any amounts we have paid in settlement of your claim if you breach or fail to comply with our procedure and the rules set out in this Plan Guide.'</w:t>
      </w:r>
    </w:p>
    <w:p w:rsidR="0097655D" w:rsidRPr="00633A58" w:rsidRDefault="0097655D" w:rsidP="00E144FE">
      <w:pPr>
        <w:spacing w:line="360" w:lineRule="auto"/>
        <w:jc w:val="both"/>
        <w:rPr>
          <w:rFonts w:ascii="Arial" w:hAnsi="Arial" w:cs="Arial"/>
          <w:color w:val="000000"/>
          <w:lang w:val="en-ZA" w:eastAsia="en-ZA"/>
        </w:rPr>
      </w:pPr>
    </w:p>
    <w:p w:rsidR="0097655D" w:rsidRPr="00633A58" w:rsidRDefault="00BE0000" w:rsidP="00E144FE">
      <w:pPr>
        <w:spacing w:line="360" w:lineRule="auto"/>
        <w:jc w:val="both"/>
        <w:rPr>
          <w:rFonts w:ascii="Arial" w:hAnsi="Arial" w:cs="Arial"/>
          <w:color w:val="000000"/>
          <w:lang w:val="en-ZA" w:eastAsia="en-ZA"/>
        </w:rPr>
      </w:pPr>
      <w:r w:rsidRPr="00633A58">
        <w:rPr>
          <w:rFonts w:ascii="Arial" w:hAnsi="Arial" w:cs="Arial"/>
          <w:color w:val="000000"/>
          <w:lang w:val="en-ZA" w:eastAsia="en-ZA"/>
        </w:rPr>
        <w:t>[14]</w:t>
      </w:r>
      <w:r w:rsidRPr="00633A58">
        <w:rPr>
          <w:rFonts w:ascii="Arial" w:hAnsi="Arial" w:cs="Arial"/>
          <w:color w:val="000000"/>
          <w:lang w:val="en-ZA" w:eastAsia="en-ZA"/>
        </w:rPr>
        <w:tab/>
        <w:t>It bears mentioning that our courts have on numerous occasions in the pa</w:t>
      </w:r>
      <w:r w:rsidR="00B264FC" w:rsidRPr="00633A58">
        <w:rPr>
          <w:rFonts w:ascii="Arial" w:hAnsi="Arial" w:cs="Arial"/>
          <w:color w:val="000000"/>
          <w:lang w:val="en-ZA" w:eastAsia="en-ZA"/>
        </w:rPr>
        <w:t>s</w:t>
      </w:r>
      <w:r w:rsidRPr="00633A58">
        <w:rPr>
          <w:rFonts w:ascii="Arial" w:hAnsi="Arial" w:cs="Arial"/>
          <w:color w:val="000000"/>
          <w:lang w:val="en-ZA" w:eastAsia="en-ZA"/>
        </w:rPr>
        <w:t xml:space="preserve">t pertinently observed that fraudulent insurance claims are not a rare phenomenon. </w:t>
      </w:r>
      <w:r w:rsidR="0041371D" w:rsidRPr="00633A58">
        <w:rPr>
          <w:rFonts w:ascii="Arial" w:hAnsi="Arial" w:cs="Arial"/>
          <w:color w:val="000000"/>
          <w:lang w:val="en-ZA" w:eastAsia="en-ZA"/>
        </w:rPr>
        <w:t>R</w:t>
      </w:r>
      <w:r w:rsidRPr="00633A58">
        <w:rPr>
          <w:rFonts w:ascii="Arial" w:hAnsi="Arial" w:cs="Arial"/>
          <w:color w:val="000000"/>
          <w:lang w:val="en-ZA" w:eastAsia="en-ZA"/>
        </w:rPr>
        <w:t xml:space="preserve">egrettably, such claims appear to be rising unabated. In order </w:t>
      </w:r>
      <w:r w:rsidR="00E947C6" w:rsidRPr="00633A58">
        <w:rPr>
          <w:rFonts w:ascii="Arial" w:hAnsi="Arial" w:cs="Arial"/>
          <w:color w:val="000000"/>
          <w:lang w:val="en-ZA" w:eastAsia="en-ZA"/>
        </w:rPr>
        <w:t>to protect themselves against fraudulent claims, insurers 'as masters of their own policies'</w:t>
      </w:r>
      <w:r w:rsidR="001A6459" w:rsidRPr="00633A58">
        <w:rPr>
          <w:rStyle w:val="FootnoteReference"/>
          <w:rFonts w:ascii="Arial" w:hAnsi="Arial" w:cs="Arial"/>
          <w:color w:val="000000"/>
          <w:lang w:val="en-ZA" w:eastAsia="en-ZA"/>
        </w:rPr>
        <w:footnoteReference w:id="4"/>
      </w:r>
      <w:r w:rsidR="00E947C6" w:rsidRPr="00633A58">
        <w:rPr>
          <w:rFonts w:ascii="Arial" w:hAnsi="Arial" w:cs="Arial"/>
          <w:color w:val="000000"/>
          <w:lang w:val="en-ZA" w:eastAsia="en-ZA"/>
        </w:rPr>
        <w:t xml:space="preserve"> have now resorted to incorporating in their policy contracts appropriate clauses designed to protect themselves against </w:t>
      </w:r>
      <w:r w:rsidR="002F485A" w:rsidRPr="00633A58">
        <w:rPr>
          <w:rFonts w:ascii="Arial" w:hAnsi="Arial" w:cs="Arial"/>
          <w:color w:val="000000"/>
          <w:lang w:val="en-ZA" w:eastAsia="en-ZA"/>
        </w:rPr>
        <w:t>such</w:t>
      </w:r>
      <w:r w:rsidR="00E947C6" w:rsidRPr="00633A58">
        <w:rPr>
          <w:rFonts w:ascii="Arial" w:hAnsi="Arial" w:cs="Arial"/>
          <w:color w:val="000000"/>
          <w:lang w:val="en-ZA" w:eastAsia="en-ZA"/>
        </w:rPr>
        <w:t xml:space="preserve"> claims. Such clauses, as a general rule, provide for forfeiture of the benefits that the insured would ordinarily derive from the policy in the absence of fraud or </w:t>
      </w:r>
      <w:r w:rsidR="0028739E" w:rsidRPr="00633A58">
        <w:rPr>
          <w:rFonts w:ascii="Arial" w:hAnsi="Arial" w:cs="Arial"/>
          <w:color w:val="000000"/>
          <w:lang w:val="en-ZA" w:eastAsia="en-ZA"/>
        </w:rPr>
        <w:t xml:space="preserve">misrepresentation of the true facts. This then raises the question whether clauses 5.5 and 5.13 of the </w:t>
      </w:r>
      <w:r w:rsidR="00750549" w:rsidRPr="00633A58">
        <w:rPr>
          <w:rFonts w:ascii="Arial" w:hAnsi="Arial" w:cs="Arial"/>
          <w:color w:val="000000"/>
          <w:lang w:val="en-ZA" w:eastAsia="en-ZA"/>
        </w:rPr>
        <w:t>Plan Guide</w:t>
      </w:r>
      <w:r w:rsidR="0028739E" w:rsidRPr="00633A58">
        <w:rPr>
          <w:rFonts w:ascii="Arial" w:hAnsi="Arial" w:cs="Arial"/>
          <w:color w:val="000000"/>
          <w:lang w:val="en-ZA" w:eastAsia="en-ZA"/>
        </w:rPr>
        <w:t xml:space="preserve"> quoted above go far enough to achieve this purpose. </w:t>
      </w:r>
    </w:p>
    <w:p w:rsidR="0028739E" w:rsidRPr="00633A58" w:rsidRDefault="0028739E" w:rsidP="00E144FE">
      <w:pPr>
        <w:spacing w:line="360" w:lineRule="auto"/>
        <w:jc w:val="both"/>
        <w:rPr>
          <w:rFonts w:ascii="Arial" w:hAnsi="Arial" w:cs="Arial"/>
          <w:color w:val="000000"/>
          <w:lang w:val="en-ZA" w:eastAsia="en-ZA"/>
        </w:rPr>
      </w:pPr>
    </w:p>
    <w:p w:rsidR="0028739E" w:rsidRPr="00633A58" w:rsidRDefault="0028739E" w:rsidP="00E144FE">
      <w:pPr>
        <w:spacing w:line="360" w:lineRule="auto"/>
        <w:jc w:val="both"/>
        <w:rPr>
          <w:rFonts w:ascii="Arial" w:hAnsi="Arial" w:cs="Arial"/>
          <w:color w:val="000000"/>
          <w:lang w:val="en-ZA" w:eastAsia="en-ZA"/>
        </w:rPr>
      </w:pPr>
      <w:r w:rsidRPr="00633A58">
        <w:rPr>
          <w:rFonts w:ascii="Arial" w:hAnsi="Arial" w:cs="Arial"/>
          <w:color w:val="000000"/>
          <w:lang w:val="en-ZA" w:eastAsia="en-ZA"/>
        </w:rPr>
        <w:t>[15]</w:t>
      </w:r>
      <w:r w:rsidRPr="00633A58">
        <w:rPr>
          <w:rFonts w:ascii="Arial" w:hAnsi="Arial" w:cs="Arial"/>
          <w:color w:val="000000"/>
          <w:lang w:val="en-ZA" w:eastAsia="en-ZA"/>
        </w:rPr>
        <w:tab/>
      </w:r>
      <w:r w:rsidR="00B42E76" w:rsidRPr="00633A58">
        <w:rPr>
          <w:rFonts w:ascii="Arial" w:hAnsi="Arial" w:cs="Arial"/>
          <w:color w:val="000000"/>
          <w:lang w:val="en-ZA" w:eastAsia="en-ZA"/>
        </w:rPr>
        <w:t xml:space="preserve">In the high court, as in this Court, the fate of the litigation hinged on the meaning and import of clauses 5.5 and 5.13 of the </w:t>
      </w:r>
      <w:r w:rsidR="00750549" w:rsidRPr="00633A58">
        <w:rPr>
          <w:rFonts w:ascii="Arial" w:hAnsi="Arial" w:cs="Arial"/>
          <w:color w:val="000000"/>
          <w:lang w:val="en-ZA" w:eastAsia="en-ZA"/>
        </w:rPr>
        <w:t>Plan Guide</w:t>
      </w:r>
      <w:r w:rsidR="00B42E76" w:rsidRPr="00633A58">
        <w:rPr>
          <w:rFonts w:ascii="Arial" w:hAnsi="Arial" w:cs="Arial"/>
          <w:color w:val="000000"/>
          <w:lang w:val="en-ZA" w:eastAsia="en-ZA"/>
        </w:rPr>
        <w:t>. Thus, it is necessary to say something about the proper approach to interpretation of documents, whether statutes</w:t>
      </w:r>
      <w:r w:rsidR="00750549" w:rsidRPr="00633A58">
        <w:rPr>
          <w:rFonts w:ascii="Arial" w:hAnsi="Arial" w:cs="Arial"/>
          <w:color w:val="000000"/>
          <w:lang w:val="en-ZA" w:eastAsia="en-ZA"/>
        </w:rPr>
        <w:t>,</w:t>
      </w:r>
      <w:r w:rsidR="00B42E76" w:rsidRPr="00633A58">
        <w:rPr>
          <w:rFonts w:ascii="Arial" w:hAnsi="Arial" w:cs="Arial"/>
          <w:color w:val="000000"/>
          <w:lang w:val="en-ZA" w:eastAsia="en-ZA"/>
        </w:rPr>
        <w:t xml:space="preserve"> or contracts</w:t>
      </w:r>
      <w:r w:rsidR="00750549" w:rsidRPr="00633A58">
        <w:rPr>
          <w:rFonts w:ascii="Arial" w:hAnsi="Arial" w:cs="Arial"/>
          <w:color w:val="000000"/>
          <w:lang w:val="en-ZA" w:eastAsia="en-ZA"/>
        </w:rPr>
        <w:t>, or other documents</w:t>
      </w:r>
      <w:r w:rsidR="00B42E76" w:rsidRPr="00633A58">
        <w:rPr>
          <w:rFonts w:ascii="Arial" w:hAnsi="Arial" w:cs="Arial"/>
          <w:color w:val="000000"/>
          <w:lang w:val="en-ZA" w:eastAsia="en-ZA"/>
        </w:rPr>
        <w:t xml:space="preserve">. </w:t>
      </w:r>
      <w:r w:rsidR="00750549" w:rsidRPr="00633A58">
        <w:rPr>
          <w:rFonts w:ascii="Arial" w:hAnsi="Arial" w:cs="Arial"/>
          <w:color w:val="000000"/>
          <w:lang w:val="en-ZA" w:eastAsia="en-ZA"/>
        </w:rPr>
        <w:t>This</w:t>
      </w:r>
      <w:r w:rsidR="00B42E76" w:rsidRPr="00633A58">
        <w:rPr>
          <w:rFonts w:ascii="Arial" w:hAnsi="Arial" w:cs="Arial"/>
          <w:color w:val="000000"/>
          <w:lang w:val="en-ZA" w:eastAsia="en-ZA"/>
        </w:rPr>
        <w:t xml:space="preserve"> approach was restated and clarified in the oft-cited decision of this </w:t>
      </w:r>
      <w:r w:rsidR="006B5AA0" w:rsidRPr="00633A58">
        <w:rPr>
          <w:rFonts w:ascii="Arial" w:hAnsi="Arial" w:cs="Arial"/>
          <w:color w:val="000000"/>
          <w:lang w:val="en-ZA" w:eastAsia="en-ZA"/>
        </w:rPr>
        <w:t>C</w:t>
      </w:r>
      <w:r w:rsidR="00B42E76" w:rsidRPr="00633A58">
        <w:rPr>
          <w:rFonts w:ascii="Arial" w:hAnsi="Arial" w:cs="Arial"/>
          <w:color w:val="000000"/>
          <w:lang w:val="en-ZA" w:eastAsia="en-ZA"/>
        </w:rPr>
        <w:t xml:space="preserve">ourt in </w:t>
      </w:r>
      <w:r w:rsidR="007B0944" w:rsidRPr="00633A58">
        <w:rPr>
          <w:rFonts w:ascii="Arial" w:hAnsi="Arial" w:cs="Arial"/>
          <w:i/>
          <w:color w:val="000000"/>
          <w:lang w:val="en-ZA" w:eastAsia="en-ZA"/>
        </w:rPr>
        <w:t>Natal Joint Municipal Pension Fund v Endumeni Municipality</w:t>
      </w:r>
      <w:r w:rsidR="00547361">
        <w:rPr>
          <w:rFonts w:ascii="Arial" w:hAnsi="Arial" w:cs="Arial"/>
          <w:i/>
          <w:color w:val="000000"/>
          <w:lang w:val="en-ZA" w:eastAsia="en-ZA"/>
        </w:rPr>
        <w:t> </w:t>
      </w:r>
      <w:r w:rsidR="007B0944" w:rsidRPr="00633A58">
        <w:rPr>
          <w:rStyle w:val="FootnoteReference"/>
          <w:rFonts w:ascii="Arial" w:hAnsi="Arial" w:cs="Arial"/>
          <w:color w:val="000000"/>
          <w:lang w:val="en-ZA" w:eastAsia="en-ZA"/>
        </w:rPr>
        <w:footnoteReference w:id="5"/>
      </w:r>
      <w:r w:rsidR="007B0944" w:rsidRPr="00633A58">
        <w:rPr>
          <w:rFonts w:ascii="Arial" w:hAnsi="Arial" w:cs="Arial"/>
          <w:color w:val="000000"/>
          <w:lang w:val="en-ZA" w:eastAsia="en-ZA"/>
        </w:rPr>
        <w:t xml:space="preserve"> in which Wallis JA, writing for the unanimous court, put it thus:</w:t>
      </w:r>
    </w:p>
    <w:p w:rsidR="007B0944" w:rsidRPr="00633A58" w:rsidRDefault="007B0944" w:rsidP="00E144FE">
      <w:pPr>
        <w:spacing w:line="360" w:lineRule="auto"/>
        <w:jc w:val="both"/>
        <w:rPr>
          <w:rFonts w:ascii="Arial" w:hAnsi="Arial" w:cs="Arial"/>
          <w:color w:val="000000"/>
          <w:sz w:val="22"/>
          <w:lang w:val="en-ZA" w:eastAsia="en-ZA"/>
        </w:rPr>
      </w:pPr>
      <w:r w:rsidRPr="00633A58">
        <w:rPr>
          <w:rFonts w:ascii="Arial" w:hAnsi="Arial" w:cs="Arial"/>
          <w:color w:val="000000"/>
          <w:sz w:val="22"/>
          <w:lang w:val="en-ZA" w:eastAsia="en-ZA"/>
        </w:rPr>
        <w:t xml:space="preserve">'Interpretation is the process of attributing meaning to the words used in a document, be it legislation, some other statutory instrument, or contract, having regard to the context provided </w:t>
      </w:r>
      <w:r w:rsidRPr="00633A58">
        <w:rPr>
          <w:rFonts w:ascii="Arial" w:hAnsi="Arial" w:cs="Arial"/>
          <w:color w:val="000000"/>
          <w:sz w:val="22"/>
          <w:lang w:val="en-ZA" w:eastAsia="en-ZA"/>
        </w:rPr>
        <w:lastRenderedPageBreak/>
        <w:t>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w:t>
      </w:r>
      <w:r w:rsidR="00C35943" w:rsidRPr="00633A58">
        <w:rPr>
          <w:rFonts w:ascii="Arial" w:hAnsi="Arial" w:cs="Arial"/>
          <w:color w:val="000000"/>
          <w:sz w:val="22"/>
          <w:lang w:val="en-ZA" w:eastAsia="en-ZA"/>
        </w:rPr>
        <w:t>..</w:t>
      </w:r>
      <w:r w:rsidRPr="00633A58">
        <w:rPr>
          <w:rFonts w:ascii="Arial" w:hAnsi="Arial" w:cs="Arial"/>
          <w:color w:val="000000"/>
          <w:sz w:val="22"/>
          <w:lang w:val="en-ZA" w:eastAsia="en-ZA"/>
        </w:rPr>
        <w:t>A sensible meaning is to be preferred to one that leads to insensible or unbusinesslike results or undermines the apparent purpose of the document.</w:t>
      </w:r>
      <w:r w:rsidR="00C35943" w:rsidRPr="00633A58">
        <w:rPr>
          <w:rFonts w:ascii="Arial" w:hAnsi="Arial" w:cs="Arial"/>
          <w:color w:val="000000"/>
          <w:sz w:val="22"/>
          <w:lang w:val="en-ZA" w:eastAsia="en-ZA"/>
        </w:rPr>
        <w:t>'</w:t>
      </w:r>
      <w:r w:rsidR="008A09CD" w:rsidRPr="00633A58">
        <w:rPr>
          <w:rStyle w:val="FootnoteReference"/>
          <w:rFonts w:ascii="Arial" w:hAnsi="Arial" w:cs="Arial"/>
          <w:color w:val="000000"/>
          <w:sz w:val="22"/>
          <w:lang w:val="en-ZA" w:eastAsia="en-ZA"/>
        </w:rPr>
        <w:footnoteReference w:id="6"/>
      </w:r>
    </w:p>
    <w:p w:rsidR="00C35943" w:rsidRPr="00633A58" w:rsidRDefault="00C35943" w:rsidP="00E144FE">
      <w:pPr>
        <w:spacing w:line="360" w:lineRule="auto"/>
        <w:jc w:val="both"/>
        <w:rPr>
          <w:rFonts w:ascii="Arial" w:hAnsi="Arial" w:cs="Arial"/>
          <w:color w:val="000000"/>
          <w:sz w:val="22"/>
          <w:lang w:val="en-ZA" w:eastAsia="en-ZA"/>
        </w:rPr>
      </w:pPr>
    </w:p>
    <w:p w:rsidR="00C35943" w:rsidRPr="00633A58" w:rsidRDefault="00C35943" w:rsidP="00E144FE">
      <w:pPr>
        <w:spacing w:line="360" w:lineRule="auto"/>
        <w:jc w:val="both"/>
        <w:rPr>
          <w:rFonts w:ascii="Arial" w:hAnsi="Arial" w:cs="Arial"/>
          <w:color w:val="000000"/>
          <w:lang w:val="en-ZA" w:eastAsia="en-ZA"/>
        </w:rPr>
      </w:pPr>
      <w:r w:rsidRPr="00633A58">
        <w:rPr>
          <w:rFonts w:ascii="Arial" w:hAnsi="Arial" w:cs="Arial"/>
          <w:color w:val="000000"/>
          <w:lang w:val="en-ZA" w:eastAsia="en-ZA"/>
        </w:rPr>
        <w:t>[16]</w:t>
      </w:r>
      <w:r w:rsidRPr="00633A58">
        <w:rPr>
          <w:rFonts w:ascii="Arial" w:hAnsi="Arial" w:cs="Arial"/>
          <w:color w:val="000000"/>
          <w:lang w:val="en-ZA" w:eastAsia="en-ZA"/>
        </w:rPr>
        <w:tab/>
        <w:t xml:space="preserve">The learned </w:t>
      </w:r>
      <w:r w:rsidR="006B5AA0" w:rsidRPr="00633A58">
        <w:rPr>
          <w:rFonts w:ascii="Arial" w:hAnsi="Arial" w:cs="Arial"/>
          <w:color w:val="000000"/>
          <w:lang w:val="en-ZA" w:eastAsia="en-ZA"/>
        </w:rPr>
        <w:t>J</w:t>
      </w:r>
      <w:r w:rsidRPr="00633A58">
        <w:rPr>
          <w:rFonts w:ascii="Arial" w:hAnsi="Arial" w:cs="Arial"/>
          <w:color w:val="000000"/>
          <w:lang w:val="en-ZA" w:eastAsia="en-ZA"/>
        </w:rPr>
        <w:t>udge of Appeal continued:</w:t>
      </w:r>
    </w:p>
    <w:p w:rsidR="0097655D" w:rsidRPr="00633A58" w:rsidRDefault="00C35943" w:rsidP="00E144FE">
      <w:pPr>
        <w:spacing w:line="360" w:lineRule="auto"/>
        <w:jc w:val="both"/>
        <w:rPr>
          <w:rFonts w:ascii="Arial" w:hAnsi="Arial" w:cs="Arial"/>
          <w:color w:val="000000"/>
          <w:lang w:val="en-ZA" w:eastAsia="en-ZA"/>
        </w:rPr>
      </w:pPr>
      <w:r w:rsidRPr="00633A58">
        <w:rPr>
          <w:rFonts w:ascii="Arial" w:hAnsi="Arial" w:cs="Arial"/>
          <w:color w:val="000000"/>
          <w:sz w:val="22"/>
          <w:lang w:val="en-ZA" w:eastAsia="en-ZA"/>
        </w:rPr>
        <w:t>'In resolving the problem the apparent purpose of the provision and the context in which it occurs will be important guides to the correct interpretation</w:t>
      </w:r>
      <w:r w:rsidR="0041371D" w:rsidRPr="00633A58">
        <w:rPr>
          <w:rFonts w:ascii="Arial" w:hAnsi="Arial" w:cs="Arial"/>
          <w:color w:val="000000"/>
          <w:sz w:val="22"/>
          <w:lang w:val="en-ZA" w:eastAsia="en-ZA"/>
        </w:rPr>
        <w:t>.</w:t>
      </w:r>
      <w:r w:rsidRPr="00633A58">
        <w:rPr>
          <w:rFonts w:ascii="Arial" w:hAnsi="Arial" w:cs="Arial"/>
          <w:color w:val="000000"/>
          <w:sz w:val="22"/>
          <w:lang w:val="en-ZA" w:eastAsia="en-ZA"/>
        </w:rPr>
        <w:t xml:space="preserve"> An interpretation will not be given that leads to impractical, unbusinesslike or oppressive consequences or that will stultify the broader operation of the legislation or contract under consideration.</w:t>
      </w:r>
      <w:r w:rsidR="008A09CD" w:rsidRPr="00633A58">
        <w:rPr>
          <w:rFonts w:ascii="Arial" w:hAnsi="Arial" w:cs="Arial"/>
          <w:color w:val="000000"/>
          <w:sz w:val="22"/>
          <w:lang w:val="en-ZA" w:eastAsia="en-ZA"/>
        </w:rPr>
        <w:t>'</w:t>
      </w:r>
      <w:r w:rsidR="008A09CD" w:rsidRPr="00633A58">
        <w:rPr>
          <w:rStyle w:val="FootnoteReference"/>
          <w:rFonts w:ascii="Arial" w:hAnsi="Arial" w:cs="Arial"/>
          <w:color w:val="000000"/>
          <w:sz w:val="22"/>
          <w:lang w:val="en-ZA" w:eastAsia="en-ZA"/>
        </w:rPr>
        <w:footnoteReference w:id="7"/>
      </w:r>
    </w:p>
    <w:p w:rsidR="0097655D" w:rsidRPr="00633A58" w:rsidRDefault="0097655D" w:rsidP="00E144FE">
      <w:pPr>
        <w:spacing w:line="360" w:lineRule="auto"/>
        <w:jc w:val="both"/>
        <w:rPr>
          <w:rFonts w:ascii="Arial" w:hAnsi="Arial" w:cs="Arial"/>
          <w:color w:val="000000"/>
          <w:lang w:val="en-ZA" w:eastAsia="en-ZA"/>
        </w:rPr>
      </w:pPr>
    </w:p>
    <w:p w:rsidR="0097655D" w:rsidRPr="00633A58" w:rsidRDefault="008A09CD" w:rsidP="00E144FE">
      <w:pPr>
        <w:spacing w:line="360" w:lineRule="auto"/>
        <w:jc w:val="both"/>
        <w:rPr>
          <w:rFonts w:ascii="Arial" w:hAnsi="Arial" w:cs="Arial"/>
          <w:color w:val="000000"/>
          <w:lang w:val="en-ZA" w:eastAsia="en-ZA"/>
        </w:rPr>
      </w:pPr>
      <w:r w:rsidRPr="00633A58">
        <w:rPr>
          <w:rFonts w:ascii="Arial" w:hAnsi="Arial" w:cs="Arial"/>
          <w:color w:val="000000"/>
          <w:lang w:val="en-ZA" w:eastAsia="en-ZA"/>
        </w:rPr>
        <w:t>[17]</w:t>
      </w:r>
      <w:r w:rsidRPr="00633A58">
        <w:rPr>
          <w:rFonts w:ascii="Arial" w:hAnsi="Arial" w:cs="Arial"/>
          <w:color w:val="000000"/>
          <w:lang w:val="en-ZA" w:eastAsia="en-ZA"/>
        </w:rPr>
        <w:tab/>
      </w:r>
      <w:r w:rsidR="00553AA4" w:rsidRPr="00633A58">
        <w:rPr>
          <w:rFonts w:ascii="Arial" w:hAnsi="Arial" w:cs="Arial"/>
          <w:color w:val="000000"/>
          <w:lang w:val="en-ZA" w:eastAsia="en-ZA"/>
        </w:rPr>
        <w:t>There are also decisions that have emphasised that the process of interpretation is a unitary exercise, not a mechanical consideration of the text, context and purpose of the instrument under consideration.</w:t>
      </w:r>
      <w:r w:rsidR="00553AA4" w:rsidRPr="00633A58">
        <w:rPr>
          <w:rStyle w:val="FootnoteReference"/>
          <w:rFonts w:ascii="Arial" w:hAnsi="Arial" w:cs="Arial"/>
          <w:color w:val="000000"/>
          <w:lang w:val="en-ZA" w:eastAsia="en-ZA"/>
        </w:rPr>
        <w:footnoteReference w:id="8"/>
      </w:r>
      <w:r w:rsidR="005442F2" w:rsidRPr="00633A58">
        <w:rPr>
          <w:rFonts w:ascii="Arial" w:hAnsi="Arial" w:cs="Arial"/>
          <w:color w:val="000000"/>
          <w:lang w:val="en-ZA" w:eastAsia="en-ZA"/>
        </w:rPr>
        <w:t xml:space="preserve"> Most recently, the essence of what the interpretative exercise entails was explained by Unterhalter AJA in </w:t>
      </w:r>
      <w:r w:rsidR="005442F2" w:rsidRPr="00633A58">
        <w:rPr>
          <w:rFonts w:ascii="Arial" w:hAnsi="Arial" w:cs="Arial"/>
          <w:i/>
          <w:color w:val="000000"/>
          <w:lang w:val="en-ZA" w:eastAsia="en-ZA"/>
        </w:rPr>
        <w:t>Capitec Bank Holdings Limited and Another v Coral Lagoon Investments 194 (Pty) Ltd and Others</w:t>
      </w:r>
      <w:r w:rsidR="00547361">
        <w:rPr>
          <w:rFonts w:ascii="Arial" w:hAnsi="Arial" w:cs="Arial"/>
          <w:i/>
          <w:color w:val="000000"/>
          <w:lang w:val="en-ZA" w:eastAsia="en-ZA"/>
        </w:rPr>
        <w:t> </w:t>
      </w:r>
      <w:r w:rsidR="005442F2" w:rsidRPr="00633A58">
        <w:rPr>
          <w:rStyle w:val="FootnoteReference"/>
          <w:rFonts w:ascii="Arial" w:hAnsi="Arial" w:cs="Arial"/>
          <w:color w:val="000000"/>
          <w:lang w:val="en-ZA" w:eastAsia="en-ZA"/>
        </w:rPr>
        <w:footnoteReference w:id="9"/>
      </w:r>
      <w:r w:rsidR="005442F2" w:rsidRPr="00633A58">
        <w:rPr>
          <w:rFonts w:ascii="Arial" w:hAnsi="Arial" w:cs="Arial"/>
          <w:color w:val="000000"/>
          <w:lang w:val="en-ZA" w:eastAsia="en-ZA"/>
        </w:rPr>
        <w:t xml:space="preserve"> thus:</w:t>
      </w:r>
    </w:p>
    <w:p w:rsidR="005442F2" w:rsidRPr="00633A58" w:rsidRDefault="005442F2" w:rsidP="00E144FE">
      <w:pPr>
        <w:spacing w:line="360" w:lineRule="auto"/>
        <w:jc w:val="both"/>
        <w:rPr>
          <w:rFonts w:ascii="Arial" w:hAnsi="Arial" w:cs="Arial"/>
          <w:color w:val="000000"/>
          <w:sz w:val="22"/>
          <w:lang w:val="en-ZA" w:eastAsia="en-ZA"/>
        </w:rPr>
      </w:pPr>
      <w:r w:rsidRPr="00633A58">
        <w:rPr>
          <w:rFonts w:ascii="Arial" w:hAnsi="Arial" w:cs="Arial"/>
          <w:color w:val="000000"/>
          <w:sz w:val="22"/>
          <w:lang w:val="en-ZA" w:eastAsia="en-ZA"/>
        </w:rPr>
        <w:t>'It is the language used, understood in the context in which it is used, and having regard to the purpose of the provision that constitutes the unitary exercise of interpretation. I would only add that the triad of text, context and purpose should not be used in a mechanical fashion. It is the relationship between the words used, the concepts expressed by those words and the place of the contested provision within the scheme of the agreement (or instrument) as a whole that constitutes the enterprise by recourse to which a coherent and salient interpretation is determined.'</w:t>
      </w:r>
      <w:r w:rsidRPr="00633A58">
        <w:rPr>
          <w:rStyle w:val="FootnoteReference"/>
          <w:rFonts w:ascii="Arial" w:hAnsi="Arial" w:cs="Arial"/>
          <w:color w:val="000000"/>
          <w:sz w:val="22"/>
          <w:lang w:val="en-ZA" w:eastAsia="en-ZA"/>
        </w:rPr>
        <w:footnoteReference w:id="10"/>
      </w:r>
    </w:p>
    <w:p w:rsidR="0097655D" w:rsidRPr="00633A58" w:rsidRDefault="0097655D" w:rsidP="00E144FE">
      <w:pPr>
        <w:spacing w:line="360" w:lineRule="auto"/>
        <w:jc w:val="both"/>
        <w:rPr>
          <w:rFonts w:ascii="Arial" w:hAnsi="Arial" w:cs="Arial"/>
          <w:color w:val="000000"/>
          <w:lang w:val="en-ZA" w:eastAsia="en-ZA"/>
        </w:rPr>
      </w:pPr>
    </w:p>
    <w:p w:rsidR="0097655D" w:rsidRPr="00633A58" w:rsidRDefault="005442F2" w:rsidP="00E144FE">
      <w:pPr>
        <w:spacing w:line="360" w:lineRule="auto"/>
        <w:jc w:val="both"/>
        <w:rPr>
          <w:rFonts w:ascii="Arial" w:hAnsi="Arial" w:cs="Arial"/>
          <w:color w:val="000000"/>
          <w:lang w:val="en-ZA" w:eastAsia="en-ZA"/>
        </w:rPr>
      </w:pPr>
      <w:r w:rsidRPr="00633A58">
        <w:rPr>
          <w:rFonts w:ascii="Arial" w:hAnsi="Arial" w:cs="Arial"/>
          <w:color w:val="000000"/>
          <w:lang w:val="en-ZA" w:eastAsia="en-ZA"/>
        </w:rPr>
        <w:lastRenderedPageBreak/>
        <w:t>[18]</w:t>
      </w:r>
      <w:r w:rsidRPr="00633A58">
        <w:rPr>
          <w:rFonts w:ascii="Arial" w:hAnsi="Arial" w:cs="Arial"/>
          <w:color w:val="000000"/>
          <w:lang w:val="en-ZA" w:eastAsia="en-ZA"/>
        </w:rPr>
        <w:tab/>
      </w:r>
      <w:r w:rsidR="00A35D60" w:rsidRPr="00633A58">
        <w:rPr>
          <w:rFonts w:ascii="Arial" w:hAnsi="Arial" w:cs="Arial"/>
          <w:color w:val="000000"/>
          <w:lang w:val="en-ZA" w:eastAsia="en-ZA"/>
        </w:rPr>
        <w:t xml:space="preserve">It is against </w:t>
      </w:r>
      <w:r w:rsidR="008C706F" w:rsidRPr="00633A58">
        <w:rPr>
          <w:rFonts w:ascii="Arial" w:hAnsi="Arial" w:cs="Arial"/>
          <w:color w:val="000000"/>
          <w:lang w:val="en-ZA" w:eastAsia="en-ZA"/>
        </w:rPr>
        <w:t>this</w:t>
      </w:r>
      <w:r w:rsidR="00A35D60" w:rsidRPr="00633A58">
        <w:rPr>
          <w:rFonts w:ascii="Arial" w:hAnsi="Arial" w:cs="Arial"/>
          <w:color w:val="000000"/>
          <w:lang w:val="en-ZA" w:eastAsia="en-ZA"/>
        </w:rPr>
        <w:t xml:space="preserve"> backdrop</w:t>
      </w:r>
      <w:r w:rsidR="006B5AA0" w:rsidRPr="00633A58">
        <w:rPr>
          <w:rFonts w:ascii="Arial" w:hAnsi="Arial" w:cs="Arial"/>
          <w:color w:val="000000"/>
          <w:lang w:val="en-ZA" w:eastAsia="en-ZA"/>
        </w:rPr>
        <w:t>,</w:t>
      </w:r>
      <w:r w:rsidR="00A35D60" w:rsidRPr="00633A58">
        <w:rPr>
          <w:rFonts w:ascii="Arial" w:hAnsi="Arial" w:cs="Arial"/>
          <w:color w:val="000000"/>
          <w:lang w:val="en-ZA" w:eastAsia="en-ZA"/>
        </w:rPr>
        <w:t xml:space="preserve"> and bearing in mind the principles of interpretation discussed above, that we now turn to the merits of the case. </w:t>
      </w:r>
    </w:p>
    <w:p w:rsidR="00402A2E" w:rsidRPr="00633A58" w:rsidRDefault="00402A2E" w:rsidP="00E144FE">
      <w:pPr>
        <w:spacing w:line="360" w:lineRule="auto"/>
        <w:jc w:val="both"/>
        <w:rPr>
          <w:rFonts w:ascii="Arial" w:hAnsi="Arial" w:cs="Arial"/>
          <w:color w:val="000000"/>
          <w:lang w:val="en-ZA" w:eastAsia="en-ZA"/>
        </w:rPr>
      </w:pPr>
    </w:p>
    <w:p w:rsidR="00402A2E" w:rsidRPr="00633A58" w:rsidRDefault="00402A2E" w:rsidP="00E144FE">
      <w:pPr>
        <w:spacing w:line="360" w:lineRule="auto"/>
        <w:jc w:val="both"/>
        <w:rPr>
          <w:rFonts w:ascii="Arial" w:hAnsi="Arial" w:cs="Arial"/>
          <w:color w:val="000000"/>
          <w:lang w:val="en-ZA" w:eastAsia="en-ZA"/>
        </w:rPr>
      </w:pPr>
      <w:r w:rsidRPr="00633A58">
        <w:rPr>
          <w:rFonts w:ascii="Arial" w:hAnsi="Arial" w:cs="Arial"/>
          <w:color w:val="000000"/>
          <w:lang w:val="en-ZA" w:eastAsia="en-ZA"/>
        </w:rPr>
        <w:t>[19]</w:t>
      </w:r>
      <w:r w:rsidRPr="00633A58">
        <w:rPr>
          <w:rFonts w:ascii="Arial" w:hAnsi="Arial" w:cs="Arial"/>
          <w:color w:val="000000"/>
          <w:lang w:val="en-ZA" w:eastAsia="en-ZA"/>
        </w:rPr>
        <w:tab/>
      </w:r>
      <w:r w:rsidR="008C706F" w:rsidRPr="00633A58">
        <w:rPr>
          <w:rFonts w:ascii="Arial" w:hAnsi="Arial" w:cs="Arial"/>
          <w:color w:val="000000"/>
          <w:lang w:val="en-ZA" w:eastAsia="en-ZA"/>
        </w:rPr>
        <w:t>In</w:t>
      </w:r>
      <w:r w:rsidRPr="00633A58">
        <w:rPr>
          <w:rFonts w:ascii="Arial" w:hAnsi="Arial" w:cs="Arial"/>
          <w:color w:val="000000"/>
          <w:lang w:val="en-ZA" w:eastAsia="en-ZA"/>
        </w:rPr>
        <w:t xml:space="preserve"> the high court the fate of the litigation hinged on the question whether clauses 5.13 and 5.5, on their proper interpretation, had the effect of depriving the respondent of </w:t>
      </w:r>
      <w:r w:rsidR="00CF5F56" w:rsidRPr="00633A58">
        <w:rPr>
          <w:rFonts w:ascii="Arial" w:hAnsi="Arial" w:cs="Arial"/>
          <w:color w:val="000000"/>
          <w:lang w:val="en-ZA" w:eastAsia="en-ZA"/>
        </w:rPr>
        <w:t>'</w:t>
      </w:r>
      <w:r w:rsidRPr="00633A58">
        <w:rPr>
          <w:rFonts w:ascii="Arial" w:hAnsi="Arial" w:cs="Arial"/>
          <w:color w:val="000000"/>
          <w:lang w:val="en-ZA" w:eastAsia="en-ZA"/>
        </w:rPr>
        <w:t>accrued rights</w:t>
      </w:r>
      <w:r w:rsidR="00CF5F56" w:rsidRPr="00633A58">
        <w:rPr>
          <w:rFonts w:ascii="Arial" w:hAnsi="Arial" w:cs="Arial"/>
          <w:color w:val="000000"/>
          <w:lang w:val="en-ZA" w:eastAsia="en-ZA"/>
        </w:rPr>
        <w:t>'</w:t>
      </w:r>
      <w:r w:rsidRPr="00633A58">
        <w:rPr>
          <w:rFonts w:ascii="Arial" w:hAnsi="Arial" w:cs="Arial"/>
          <w:color w:val="000000"/>
          <w:lang w:val="en-ZA" w:eastAsia="en-ZA"/>
        </w:rPr>
        <w:t>.</w:t>
      </w:r>
      <w:r w:rsidR="00CF5F56" w:rsidRPr="00633A58">
        <w:rPr>
          <w:rFonts w:ascii="Arial" w:hAnsi="Arial" w:cs="Arial"/>
          <w:color w:val="000000"/>
          <w:lang w:val="en-ZA" w:eastAsia="en-ZA"/>
        </w:rPr>
        <w:t xml:space="preserve"> We have put the words 'accrued rights' in inverted commas for reasons that will become apparent later.</w:t>
      </w:r>
      <w:r w:rsidRPr="00633A58">
        <w:rPr>
          <w:rFonts w:ascii="Arial" w:hAnsi="Arial" w:cs="Arial"/>
          <w:color w:val="000000"/>
          <w:lang w:val="en-ZA" w:eastAsia="en-ZA"/>
        </w:rPr>
        <w:t xml:space="preserve"> </w:t>
      </w:r>
      <w:r w:rsidR="00CF5F56" w:rsidRPr="00633A58">
        <w:rPr>
          <w:rFonts w:ascii="Arial" w:hAnsi="Arial" w:cs="Arial"/>
          <w:color w:val="000000"/>
          <w:lang w:val="en-ZA" w:eastAsia="en-ZA"/>
        </w:rPr>
        <w:t>As the high court saw it</w:t>
      </w:r>
      <w:r w:rsidRPr="00633A58">
        <w:rPr>
          <w:rFonts w:ascii="Arial" w:hAnsi="Arial" w:cs="Arial"/>
          <w:color w:val="000000"/>
          <w:lang w:val="en-ZA" w:eastAsia="en-ZA"/>
        </w:rPr>
        <w:t>, the question was whether the respondent was liable to refund the money</w:t>
      </w:r>
      <w:r w:rsidR="00F22A11" w:rsidRPr="00633A58">
        <w:rPr>
          <w:rFonts w:ascii="Arial" w:hAnsi="Arial" w:cs="Arial"/>
          <w:color w:val="000000"/>
          <w:lang w:val="en-ZA" w:eastAsia="en-ZA"/>
        </w:rPr>
        <w:t>s</w:t>
      </w:r>
      <w:r w:rsidRPr="00633A58">
        <w:rPr>
          <w:rFonts w:ascii="Arial" w:hAnsi="Arial" w:cs="Arial"/>
          <w:color w:val="000000"/>
          <w:lang w:val="en-ZA" w:eastAsia="en-ZA"/>
        </w:rPr>
        <w:t xml:space="preserve"> already paid to him by Discovery</w:t>
      </w:r>
      <w:r w:rsidR="00212045" w:rsidRPr="00633A58">
        <w:rPr>
          <w:rFonts w:ascii="Arial" w:hAnsi="Arial" w:cs="Arial"/>
          <w:color w:val="000000"/>
          <w:lang w:val="en-ZA" w:eastAsia="en-ZA"/>
        </w:rPr>
        <w:t>,</w:t>
      </w:r>
      <w:r w:rsidRPr="00633A58">
        <w:rPr>
          <w:rFonts w:ascii="Arial" w:hAnsi="Arial" w:cs="Arial"/>
          <w:color w:val="000000"/>
          <w:lang w:val="en-ZA" w:eastAsia="en-ZA"/>
        </w:rPr>
        <w:t xml:space="preserve"> in settlement of his claim for loss and emergency accommodation</w:t>
      </w:r>
      <w:r w:rsidR="00212045" w:rsidRPr="00633A58">
        <w:rPr>
          <w:rFonts w:ascii="Arial" w:hAnsi="Arial" w:cs="Arial"/>
          <w:color w:val="000000"/>
          <w:lang w:val="en-ZA" w:eastAsia="en-ZA"/>
        </w:rPr>
        <w:t>,</w:t>
      </w:r>
      <w:r w:rsidRPr="00633A58">
        <w:rPr>
          <w:rFonts w:ascii="Arial" w:hAnsi="Arial" w:cs="Arial"/>
          <w:color w:val="000000"/>
          <w:lang w:val="en-ZA" w:eastAsia="en-ZA"/>
        </w:rPr>
        <w:t xml:space="preserve"> even in respect of items that were not tainted by fraud</w:t>
      </w:r>
      <w:r w:rsidR="00212045" w:rsidRPr="00633A58">
        <w:rPr>
          <w:rFonts w:ascii="Arial" w:hAnsi="Arial" w:cs="Arial"/>
          <w:color w:val="000000"/>
          <w:lang w:val="en-ZA" w:eastAsia="en-ZA"/>
        </w:rPr>
        <w:t>,</w:t>
      </w:r>
      <w:r w:rsidRPr="00633A58">
        <w:rPr>
          <w:rFonts w:ascii="Arial" w:hAnsi="Arial" w:cs="Arial"/>
          <w:color w:val="000000"/>
          <w:lang w:val="en-ZA" w:eastAsia="en-ZA"/>
        </w:rPr>
        <w:t xml:space="preserve"> before the cancellation of the policy. The high court accepted that the respondent was not entitled to any benefits under the policy after the cancellation of the policy. Therefore, the high court, in the view it took of the matter, proceeded to consider whether Discovery was, on the evidence presented, entitled to re-imbursement of the amounts already paid in respect of the genuine portion of the claim prior to cancellation of the policy. In this regard, the high court appeared to have taken the view that the termination of the policy took place after payment in settlement of the claim had</w:t>
      </w:r>
      <w:r w:rsidR="00CF5F56" w:rsidRPr="00633A58">
        <w:rPr>
          <w:rFonts w:ascii="Arial" w:hAnsi="Arial" w:cs="Arial"/>
          <w:color w:val="000000"/>
          <w:lang w:val="en-ZA" w:eastAsia="en-ZA"/>
        </w:rPr>
        <w:t xml:space="preserve"> already</w:t>
      </w:r>
      <w:r w:rsidRPr="00633A58">
        <w:rPr>
          <w:rFonts w:ascii="Arial" w:hAnsi="Arial" w:cs="Arial"/>
          <w:color w:val="000000"/>
          <w:lang w:val="en-ZA" w:eastAsia="en-ZA"/>
        </w:rPr>
        <w:t xml:space="preserve"> been made</w:t>
      </w:r>
      <w:r w:rsidR="00CF5F56" w:rsidRPr="00633A58">
        <w:rPr>
          <w:rFonts w:ascii="Arial" w:hAnsi="Arial" w:cs="Arial"/>
          <w:color w:val="000000"/>
          <w:lang w:val="en-ZA" w:eastAsia="en-ZA"/>
        </w:rPr>
        <w:t xml:space="preserve"> to the respondent</w:t>
      </w:r>
      <w:r w:rsidRPr="00633A58">
        <w:rPr>
          <w:rFonts w:ascii="Arial" w:hAnsi="Arial" w:cs="Arial"/>
          <w:color w:val="000000"/>
          <w:lang w:val="en-ZA" w:eastAsia="en-ZA"/>
        </w:rPr>
        <w:t xml:space="preserve">. </w:t>
      </w:r>
      <w:r w:rsidR="00CF5F56" w:rsidRPr="00633A58">
        <w:rPr>
          <w:rFonts w:ascii="Arial" w:hAnsi="Arial" w:cs="Arial"/>
          <w:color w:val="000000"/>
          <w:lang w:val="en-ZA" w:eastAsia="en-ZA"/>
        </w:rPr>
        <w:t>Hence, its decision</w:t>
      </w:r>
      <w:r w:rsidRPr="00633A58">
        <w:rPr>
          <w:rFonts w:ascii="Arial" w:hAnsi="Arial" w:cs="Arial"/>
          <w:color w:val="000000"/>
          <w:lang w:val="en-ZA" w:eastAsia="en-ZA"/>
        </w:rPr>
        <w:t xml:space="preserve"> against Discovery</w:t>
      </w:r>
      <w:r w:rsidR="00CF5F56" w:rsidRPr="00633A58">
        <w:rPr>
          <w:rFonts w:ascii="Arial" w:hAnsi="Arial" w:cs="Arial"/>
          <w:color w:val="000000"/>
          <w:lang w:val="en-ZA" w:eastAsia="en-ZA"/>
        </w:rPr>
        <w:t xml:space="preserve"> on this score</w:t>
      </w:r>
      <w:r w:rsidRPr="00633A58">
        <w:rPr>
          <w:rFonts w:ascii="Arial" w:hAnsi="Arial" w:cs="Arial"/>
          <w:color w:val="000000"/>
          <w:lang w:val="en-ZA" w:eastAsia="en-ZA"/>
        </w:rPr>
        <w:t xml:space="preserve">. </w:t>
      </w:r>
    </w:p>
    <w:p w:rsidR="00A5766D" w:rsidRPr="00633A58" w:rsidRDefault="00A5766D" w:rsidP="00E144FE">
      <w:pPr>
        <w:spacing w:line="360" w:lineRule="auto"/>
        <w:jc w:val="both"/>
        <w:rPr>
          <w:rFonts w:ascii="Arial" w:hAnsi="Arial" w:cs="Arial"/>
          <w:color w:val="000000"/>
          <w:lang w:val="en-ZA" w:eastAsia="en-ZA"/>
        </w:rPr>
      </w:pPr>
    </w:p>
    <w:p w:rsidR="007E5B94" w:rsidRPr="00633A58" w:rsidRDefault="00A5766D" w:rsidP="00E144FE">
      <w:pPr>
        <w:spacing w:line="360" w:lineRule="auto"/>
        <w:jc w:val="both"/>
        <w:rPr>
          <w:rFonts w:ascii="Arial" w:hAnsi="Arial" w:cs="Arial"/>
          <w:color w:val="000000"/>
          <w:lang w:val="en-ZA" w:eastAsia="en-ZA"/>
        </w:rPr>
      </w:pPr>
      <w:r w:rsidRPr="00633A58">
        <w:rPr>
          <w:rFonts w:ascii="Arial" w:hAnsi="Arial" w:cs="Arial"/>
          <w:color w:val="000000"/>
          <w:lang w:val="en-ZA" w:eastAsia="en-ZA"/>
        </w:rPr>
        <w:t>[20]</w:t>
      </w:r>
      <w:r w:rsidRPr="00633A58">
        <w:rPr>
          <w:rFonts w:ascii="Arial" w:hAnsi="Arial" w:cs="Arial"/>
          <w:color w:val="000000"/>
          <w:lang w:val="en-ZA" w:eastAsia="en-ZA"/>
        </w:rPr>
        <w:tab/>
        <w:t xml:space="preserve">Relying on two decisions of this Court in </w:t>
      </w:r>
      <w:r w:rsidRPr="00633A58">
        <w:rPr>
          <w:rFonts w:ascii="Arial" w:hAnsi="Arial" w:cs="Arial"/>
          <w:i/>
          <w:color w:val="000000"/>
          <w:lang w:val="en-ZA" w:eastAsia="en-ZA"/>
        </w:rPr>
        <w:t>Lehmbecker's Earthmoving</w:t>
      </w:r>
      <w:r w:rsidRPr="00633A58">
        <w:rPr>
          <w:rStyle w:val="FootnoteReference"/>
          <w:rFonts w:ascii="Arial" w:hAnsi="Arial" w:cs="Arial"/>
          <w:i/>
          <w:color w:val="000000"/>
          <w:lang w:val="en-ZA" w:eastAsia="en-ZA"/>
        </w:rPr>
        <w:footnoteReference w:id="11"/>
      </w:r>
      <w:r w:rsidRPr="00633A58">
        <w:rPr>
          <w:rFonts w:ascii="Arial" w:hAnsi="Arial" w:cs="Arial"/>
          <w:i/>
          <w:color w:val="000000"/>
          <w:lang w:val="en-ZA" w:eastAsia="en-ZA"/>
        </w:rPr>
        <w:t xml:space="preserve"> </w:t>
      </w:r>
      <w:r w:rsidRPr="00633A58">
        <w:rPr>
          <w:rFonts w:ascii="Arial" w:hAnsi="Arial" w:cs="Arial"/>
          <w:color w:val="000000"/>
          <w:lang w:val="en-ZA" w:eastAsia="en-ZA"/>
        </w:rPr>
        <w:t xml:space="preserve">and </w:t>
      </w:r>
      <w:r w:rsidRPr="00633A58">
        <w:rPr>
          <w:rFonts w:ascii="Arial" w:hAnsi="Arial" w:cs="Arial"/>
          <w:i/>
          <w:color w:val="000000"/>
          <w:lang w:val="en-ZA" w:eastAsia="en-ZA"/>
        </w:rPr>
        <w:t>Schoeman</w:t>
      </w:r>
      <w:r w:rsidRPr="00633A58">
        <w:rPr>
          <w:rStyle w:val="FootnoteReference"/>
          <w:rFonts w:ascii="Arial" w:hAnsi="Arial" w:cs="Arial"/>
          <w:color w:val="000000"/>
          <w:lang w:val="en-ZA" w:eastAsia="en-ZA"/>
        </w:rPr>
        <w:footnoteReference w:id="12"/>
      </w:r>
      <w:r w:rsidRPr="00633A58">
        <w:rPr>
          <w:rFonts w:ascii="Arial" w:hAnsi="Arial" w:cs="Arial"/>
          <w:i/>
          <w:color w:val="000000"/>
          <w:lang w:val="en-ZA" w:eastAsia="en-ZA"/>
        </w:rPr>
        <w:t xml:space="preserve"> </w:t>
      </w:r>
      <w:r w:rsidRPr="00633A58">
        <w:rPr>
          <w:rFonts w:ascii="Arial" w:hAnsi="Arial" w:cs="Arial"/>
          <w:color w:val="000000"/>
          <w:lang w:val="en-ZA" w:eastAsia="en-ZA"/>
        </w:rPr>
        <w:t>the high court</w:t>
      </w:r>
      <w:r w:rsidR="00F0361A" w:rsidRPr="00633A58">
        <w:rPr>
          <w:rFonts w:ascii="Arial" w:hAnsi="Arial" w:cs="Arial"/>
          <w:color w:val="000000"/>
          <w:lang w:val="en-ZA" w:eastAsia="en-ZA"/>
        </w:rPr>
        <w:t xml:space="preserve"> found</w:t>
      </w:r>
      <w:r w:rsidRPr="00633A58">
        <w:rPr>
          <w:rFonts w:ascii="Arial" w:hAnsi="Arial" w:cs="Arial"/>
          <w:color w:val="000000"/>
          <w:lang w:val="en-ZA" w:eastAsia="en-ZA"/>
        </w:rPr>
        <w:t xml:space="preserve">, in the first place, </w:t>
      </w:r>
      <w:r w:rsidR="00F0361A" w:rsidRPr="00633A58">
        <w:rPr>
          <w:rFonts w:ascii="Arial" w:hAnsi="Arial" w:cs="Arial"/>
          <w:color w:val="000000"/>
          <w:lang w:val="en-ZA" w:eastAsia="en-ZA"/>
        </w:rPr>
        <w:t xml:space="preserve">that </w:t>
      </w:r>
      <w:r w:rsidRPr="00633A58">
        <w:rPr>
          <w:rFonts w:ascii="Arial" w:hAnsi="Arial" w:cs="Arial"/>
          <w:color w:val="000000"/>
          <w:lang w:val="en-ZA" w:eastAsia="en-ZA"/>
        </w:rPr>
        <w:t xml:space="preserve">the cancellation clause upon which Discovery relied did not affect the respondent's genuine claims. </w:t>
      </w:r>
      <w:r w:rsidR="00F0361A" w:rsidRPr="00633A58">
        <w:rPr>
          <w:rFonts w:ascii="Arial" w:hAnsi="Arial" w:cs="Arial"/>
          <w:color w:val="000000"/>
          <w:lang w:val="en-ZA" w:eastAsia="en-ZA"/>
        </w:rPr>
        <w:t>Secondly</w:t>
      </w:r>
      <w:r w:rsidRPr="00633A58">
        <w:rPr>
          <w:rFonts w:ascii="Arial" w:hAnsi="Arial" w:cs="Arial"/>
          <w:color w:val="000000"/>
          <w:lang w:val="en-ZA" w:eastAsia="en-ZA"/>
        </w:rPr>
        <w:t xml:space="preserve">, the high court held that the relevant clauses did not affect rights that had already accrued to the respondent. In the third place, the high court </w:t>
      </w:r>
      <w:r w:rsidR="00F0361A" w:rsidRPr="00633A58">
        <w:rPr>
          <w:rFonts w:ascii="Arial" w:hAnsi="Arial" w:cs="Arial"/>
          <w:color w:val="000000"/>
          <w:lang w:val="en-ZA" w:eastAsia="en-ZA"/>
        </w:rPr>
        <w:t>opined</w:t>
      </w:r>
      <w:r w:rsidRPr="00633A58">
        <w:rPr>
          <w:rFonts w:ascii="Arial" w:hAnsi="Arial" w:cs="Arial"/>
          <w:color w:val="000000"/>
          <w:lang w:val="en-ZA" w:eastAsia="en-ZA"/>
        </w:rPr>
        <w:t xml:space="preserve"> that clauses 5.13 and 5.5, in any event, amounted to penalty clauses and therefore fell foul of the provisions of the Act. Thus, the high court </w:t>
      </w:r>
      <w:r w:rsidR="007E5B94" w:rsidRPr="00633A58">
        <w:rPr>
          <w:rFonts w:ascii="Arial" w:hAnsi="Arial" w:cs="Arial"/>
          <w:color w:val="000000"/>
          <w:lang w:val="en-ZA" w:eastAsia="en-ZA"/>
        </w:rPr>
        <w:t>concluded that clauses 5.13 and 5.5 were, by virtue of being penalty clauses, not enforceable. We consider all three bases that were the pillars on which the edifice of the high court's reasoning rested</w:t>
      </w:r>
      <w:r w:rsidR="00212045" w:rsidRPr="00633A58">
        <w:rPr>
          <w:rFonts w:ascii="Arial" w:hAnsi="Arial" w:cs="Arial"/>
          <w:color w:val="000000"/>
          <w:lang w:val="en-ZA" w:eastAsia="en-ZA"/>
        </w:rPr>
        <w:t>,</w:t>
      </w:r>
      <w:r w:rsidR="007E5B94" w:rsidRPr="00633A58">
        <w:rPr>
          <w:rFonts w:ascii="Arial" w:hAnsi="Arial" w:cs="Arial"/>
          <w:color w:val="000000"/>
          <w:lang w:val="en-ZA" w:eastAsia="en-ZA"/>
        </w:rPr>
        <w:t xml:space="preserve"> in turn</w:t>
      </w:r>
      <w:r w:rsidR="00212045" w:rsidRPr="00633A58">
        <w:rPr>
          <w:rFonts w:ascii="Arial" w:hAnsi="Arial" w:cs="Arial"/>
          <w:color w:val="000000"/>
          <w:lang w:val="en-ZA" w:eastAsia="en-ZA"/>
        </w:rPr>
        <w:t>,</w:t>
      </w:r>
      <w:r w:rsidR="007E5B94" w:rsidRPr="00633A58">
        <w:rPr>
          <w:rFonts w:ascii="Arial" w:hAnsi="Arial" w:cs="Arial"/>
          <w:color w:val="000000"/>
          <w:lang w:val="en-ZA" w:eastAsia="en-ZA"/>
        </w:rPr>
        <w:t xml:space="preserve"> below. </w:t>
      </w:r>
    </w:p>
    <w:p w:rsidR="007E5B94" w:rsidRPr="00633A58" w:rsidRDefault="007E5B94" w:rsidP="00E144FE">
      <w:pPr>
        <w:spacing w:line="360" w:lineRule="auto"/>
        <w:jc w:val="both"/>
        <w:rPr>
          <w:rFonts w:ascii="Arial" w:hAnsi="Arial" w:cs="Arial"/>
          <w:color w:val="000000"/>
          <w:lang w:val="en-ZA" w:eastAsia="en-ZA"/>
        </w:rPr>
      </w:pPr>
    </w:p>
    <w:p w:rsidR="007E5B94" w:rsidRPr="00633A58" w:rsidRDefault="007E5B94" w:rsidP="00E144FE">
      <w:pPr>
        <w:spacing w:line="360" w:lineRule="auto"/>
        <w:jc w:val="both"/>
        <w:rPr>
          <w:rFonts w:ascii="Arial" w:hAnsi="Arial" w:cs="Arial"/>
          <w:color w:val="000000"/>
          <w:lang w:val="en-ZA" w:eastAsia="en-ZA"/>
        </w:rPr>
      </w:pPr>
      <w:r w:rsidRPr="00633A58">
        <w:rPr>
          <w:rFonts w:ascii="Arial" w:hAnsi="Arial" w:cs="Arial"/>
          <w:color w:val="000000"/>
          <w:lang w:val="en-ZA" w:eastAsia="en-ZA"/>
        </w:rPr>
        <w:t>[21]</w:t>
      </w:r>
      <w:r w:rsidRPr="00633A58">
        <w:rPr>
          <w:rFonts w:ascii="Arial" w:hAnsi="Arial" w:cs="Arial"/>
          <w:color w:val="000000"/>
          <w:lang w:val="en-ZA" w:eastAsia="en-ZA"/>
        </w:rPr>
        <w:tab/>
      </w:r>
      <w:r w:rsidR="00660748" w:rsidRPr="00633A58">
        <w:rPr>
          <w:rFonts w:ascii="Arial" w:hAnsi="Arial" w:cs="Arial"/>
          <w:color w:val="000000"/>
          <w:lang w:val="en-ZA" w:eastAsia="en-ZA"/>
        </w:rPr>
        <w:t xml:space="preserve">By way of prelude it is apposite at this juncture to say the following. As a general rule insured </w:t>
      </w:r>
      <w:r w:rsidR="00645D70" w:rsidRPr="00633A58">
        <w:rPr>
          <w:rFonts w:ascii="Arial" w:hAnsi="Arial" w:cs="Arial"/>
          <w:color w:val="000000"/>
          <w:lang w:val="en-ZA" w:eastAsia="en-ZA"/>
        </w:rPr>
        <w:t xml:space="preserve">persons </w:t>
      </w:r>
      <w:r w:rsidR="00F0361A" w:rsidRPr="00633A58">
        <w:rPr>
          <w:rFonts w:ascii="Arial" w:hAnsi="Arial" w:cs="Arial"/>
          <w:color w:val="000000"/>
          <w:lang w:val="en-ZA" w:eastAsia="en-ZA"/>
        </w:rPr>
        <w:t>are</w:t>
      </w:r>
      <w:r w:rsidR="00660748" w:rsidRPr="00633A58">
        <w:rPr>
          <w:rFonts w:ascii="Arial" w:hAnsi="Arial" w:cs="Arial"/>
          <w:color w:val="000000"/>
          <w:lang w:val="en-ZA" w:eastAsia="en-ZA"/>
        </w:rPr>
        <w:t xml:space="preserve"> under a duty to act in good faith in their dealings with insurer</w:t>
      </w:r>
      <w:r w:rsidR="00F0361A" w:rsidRPr="00633A58">
        <w:rPr>
          <w:rFonts w:ascii="Arial" w:hAnsi="Arial" w:cs="Arial"/>
          <w:color w:val="000000"/>
          <w:lang w:val="en-ZA" w:eastAsia="en-ZA"/>
        </w:rPr>
        <w:t>s</w:t>
      </w:r>
      <w:r w:rsidR="00660748" w:rsidRPr="00633A58">
        <w:rPr>
          <w:rFonts w:ascii="Arial" w:hAnsi="Arial" w:cs="Arial"/>
          <w:color w:val="000000"/>
          <w:lang w:val="en-ZA" w:eastAsia="en-ZA"/>
        </w:rPr>
        <w:t xml:space="preserve">. </w:t>
      </w:r>
      <w:r w:rsidR="00660748" w:rsidRPr="00633A58">
        <w:rPr>
          <w:rFonts w:ascii="Arial" w:hAnsi="Arial" w:cs="Arial"/>
          <w:color w:val="000000"/>
          <w:lang w:val="en-ZA" w:eastAsia="en-ZA"/>
        </w:rPr>
        <w:lastRenderedPageBreak/>
        <w:t>And that</w:t>
      </w:r>
      <w:r w:rsidR="00F0361A" w:rsidRPr="00633A58">
        <w:rPr>
          <w:rFonts w:ascii="Arial" w:hAnsi="Arial" w:cs="Arial"/>
          <w:color w:val="000000"/>
          <w:lang w:val="en-ZA" w:eastAsia="en-ZA"/>
        </w:rPr>
        <w:t>,</w:t>
      </w:r>
      <w:r w:rsidR="00660748" w:rsidRPr="00633A58">
        <w:rPr>
          <w:rFonts w:ascii="Arial" w:hAnsi="Arial" w:cs="Arial"/>
          <w:color w:val="000000"/>
          <w:lang w:val="en-ZA" w:eastAsia="en-ZA"/>
        </w:rPr>
        <w:t xml:space="preserve"> ordinarily</w:t>
      </w:r>
      <w:r w:rsidR="00F0361A" w:rsidRPr="00633A58">
        <w:rPr>
          <w:rFonts w:ascii="Arial" w:hAnsi="Arial" w:cs="Arial"/>
          <w:color w:val="000000"/>
          <w:lang w:val="en-ZA" w:eastAsia="en-ZA"/>
        </w:rPr>
        <w:t>,</w:t>
      </w:r>
      <w:r w:rsidR="00660748" w:rsidRPr="00633A58">
        <w:rPr>
          <w:rFonts w:ascii="Arial" w:hAnsi="Arial" w:cs="Arial"/>
          <w:color w:val="000000"/>
          <w:lang w:val="en-ZA" w:eastAsia="en-ZA"/>
        </w:rPr>
        <w:t xml:space="preserve"> a wilful lodgement of a false claim by the insured constitute</w:t>
      </w:r>
      <w:r w:rsidR="00F0361A" w:rsidRPr="00633A58">
        <w:rPr>
          <w:rFonts w:ascii="Arial" w:hAnsi="Arial" w:cs="Arial"/>
          <w:color w:val="000000"/>
          <w:lang w:val="en-ZA" w:eastAsia="en-ZA"/>
        </w:rPr>
        <w:t>s</w:t>
      </w:r>
      <w:r w:rsidR="00660748" w:rsidRPr="00633A58">
        <w:rPr>
          <w:rFonts w:ascii="Arial" w:hAnsi="Arial" w:cs="Arial"/>
          <w:color w:val="000000"/>
          <w:lang w:val="en-ZA" w:eastAsia="en-ZA"/>
        </w:rPr>
        <w:t xml:space="preserve"> a breach of that duty of good faith </w:t>
      </w:r>
      <w:r w:rsidR="0041371D" w:rsidRPr="00633A58">
        <w:rPr>
          <w:rFonts w:ascii="Arial" w:hAnsi="Arial" w:cs="Arial"/>
          <w:color w:val="000000"/>
          <w:lang w:val="en-ZA" w:eastAsia="en-ZA"/>
        </w:rPr>
        <w:t>which entitles</w:t>
      </w:r>
      <w:r w:rsidR="00660748" w:rsidRPr="00633A58">
        <w:rPr>
          <w:rFonts w:ascii="Arial" w:hAnsi="Arial" w:cs="Arial"/>
          <w:color w:val="000000"/>
          <w:lang w:val="en-ZA" w:eastAsia="en-ZA"/>
        </w:rPr>
        <w:t xml:space="preserve"> the insurer to terminate the policy. That eventuality would then relieve the insurer</w:t>
      </w:r>
      <w:r w:rsidR="00F0361A" w:rsidRPr="00633A58">
        <w:rPr>
          <w:rFonts w:ascii="Arial" w:hAnsi="Arial" w:cs="Arial"/>
          <w:color w:val="000000"/>
          <w:lang w:val="en-ZA" w:eastAsia="en-ZA"/>
        </w:rPr>
        <w:t>,</w:t>
      </w:r>
      <w:r w:rsidR="00660748" w:rsidRPr="00633A58">
        <w:rPr>
          <w:rFonts w:ascii="Arial" w:hAnsi="Arial" w:cs="Arial"/>
          <w:color w:val="000000"/>
          <w:lang w:val="en-ZA" w:eastAsia="en-ZA"/>
        </w:rPr>
        <w:t xml:space="preserve"> in the absence of an express term to the contrary, of liability under the policy from the time of termination of the policy. The effect of this would be that rights and obligations that had accrued before termination would remain unaffected by the termination.</w:t>
      </w:r>
      <w:r w:rsidR="00660748" w:rsidRPr="00633A58">
        <w:rPr>
          <w:rStyle w:val="FootnoteReference"/>
          <w:rFonts w:ascii="Arial" w:hAnsi="Arial" w:cs="Arial"/>
          <w:color w:val="000000"/>
          <w:lang w:val="en-ZA" w:eastAsia="en-ZA"/>
        </w:rPr>
        <w:footnoteReference w:id="13"/>
      </w:r>
    </w:p>
    <w:p w:rsidR="00F0361A" w:rsidRPr="00633A58" w:rsidRDefault="00F0361A" w:rsidP="00E144FE">
      <w:pPr>
        <w:spacing w:line="360" w:lineRule="auto"/>
        <w:jc w:val="both"/>
        <w:rPr>
          <w:rFonts w:ascii="Arial" w:hAnsi="Arial" w:cs="Arial"/>
          <w:color w:val="000000"/>
          <w:lang w:val="en-ZA" w:eastAsia="en-ZA"/>
        </w:rPr>
      </w:pPr>
    </w:p>
    <w:p w:rsidR="006C66D1" w:rsidRPr="00633A58" w:rsidRDefault="006C66D1" w:rsidP="00E144FE">
      <w:pPr>
        <w:spacing w:line="360" w:lineRule="auto"/>
        <w:jc w:val="both"/>
        <w:rPr>
          <w:rFonts w:ascii="Arial" w:hAnsi="Arial" w:cs="Arial"/>
          <w:color w:val="000000"/>
          <w:lang w:val="en-ZA" w:eastAsia="en-ZA"/>
        </w:rPr>
      </w:pPr>
      <w:r w:rsidRPr="00633A58">
        <w:rPr>
          <w:rFonts w:ascii="Arial" w:hAnsi="Arial" w:cs="Arial"/>
          <w:color w:val="000000"/>
          <w:lang w:val="en-ZA" w:eastAsia="en-ZA"/>
        </w:rPr>
        <w:t>[22]</w:t>
      </w:r>
      <w:r w:rsidRPr="00633A58">
        <w:rPr>
          <w:rFonts w:ascii="Arial" w:hAnsi="Arial" w:cs="Arial"/>
          <w:color w:val="000000"/>
          <w:lang w:val="en-ZA" w:eastAsia="en-ZA"/>
        </w:rPr>
        <w:tab/>
        <w:t>But as we now know, in this case Discovery seeks more than what has been stated in the preceding paragraph. Pinning its faith on clauses 5.13 and 5.5, Discovery requires of this Court to ascribe a meaning to clause 5.13 that recognises the right to terminate the policy with retrospective effect from the date</w:t>
      </w:r>
      <w:r w:rsidR="00645D70" w:rsidRPr="00633A58">
        <w:rPr>
          <w:rFonts w:ascii="Arial" w:hAnsi="Arial" w:cs="Arial"/>
          <w:color w:val="000000"/>
          <w:lang w:val="en-ZA" w:eastAsia="en-ZA"/>
        </w:rPr>
        <w:t>,</w:t>
      </w:r>
      <w:r w:rsidRPr="00633A58">
        <w:rPr>
          <w:rFonts w:ascii="Arial" w:hAnsi="Arial" w:cs="Arial"/>
          <w:color w:val="000000"/>
          <w:lang w:val="en-ZA" w:eastAsia="en-ZA"/>
        </w:rPr>
        <w:t xml:space="preserve"> not of the discovery of the respondent's fraud</w:t>
      </w:r>
      <w:r w:rsidR="00645D70" w:rsidRPr="00633A58">
        <w:rPr>
          <w:rFonts w:ascii="Arial" w:hAnsi="Arial" w:cs="Arial"/>
          <w:color w:val="000000"/>
          <w:lang w:val="en-ZA" w:eastAsia="en-ZA"/>
        </w:rPr>
        <w:t>,</w:t>
      </w:r>
      <w:r w:rsidRPr="00633A58">
        <w:rPr>
          <w:rFonts w:ascii="Arial" w:hAnsi="Arial" w:cs="Arial"/>
          <w:color w:val="000000"/>
          <w:lang w:val="en-ZA" w:eastAsia="en-ZA"/>
        </w:rPr>
        <w:t xml:space="preserve"> but from the date on which the incident that gave rise to the claim occurred, namely 1</w:t>
      </w:r>
      <w:r w:rsidR="00F0361A" w:rsidRPr="00633A58">
        <w:rPr>
          <w:rFonts w:ascii="Arial" w:hAnsi="Arial" w:cs="Arial"/>
          <w:color w:val="000000"/>
          <w:lang w:val="en-ZA" w:eastAsia="en-ZA"/>
        </w:rPr>
        <w:t>0</w:t>
      </w:r>
      <w:r w:rsidRPr="00633A58">
        <w:rPr>
          <w:rFonts w:ascii="Arial" w:hAnsi="Arial" w:cs="Arial"/>
          <w:color w:val="000000"/>
          <w:lang w:val="en-ZA" w:eastAsia="en-ZA"/>
        </w:rPr>
        <w:t xml:space="preserve"> November 2016. </w:t>
      </w:r>
      <w:r w:rsidR="001F1EAC" w:rsidRPr="00633A58">
        <w:rPr>
          <w:rFonts w:ascii="Arial" w:hAnsi="Arial" w:cs="Arial"/>
          <w:color w:val="000000"/>
          <w:lang w:val="en-ZA" w:eastAsia="en-ZA"/>
        </w:rPr>
        <w:t>If Discovery's contention is upheld it would result in the respondent also forfeiting entitlement to all the amounts already paid to him between 5 D</w:t>
      </w:r>
      <w:r w:rsidR="00804A6C" w:rsidRPr="00633A58">
        <w:rPr>
          <w:rFonts w:ascii="Arial" w:hAnsi="Arial" w:cs="Arial"/>
          <w:color w:val="000000"/>
          <w:lang w:val="en-ZA" w:eastAsia="en-ZA"/>
        </w:rPr>
        <w:t>ecember 2016 and 26 April 2017. Th</w:t>
      </w:r>
      <w:r w:rsidR="001F1EAC" w:rsidRPr="00633A58">
        <w:rPr>
          <w:rFonts w:ascii="Arial" w:hAnsi="Arial" w:cs="Arial"/>
          <w:color w:val="000000"/>
          <w:lang w:val="en-ZA" w:eastAsia="en-ZA"/>
        </w:rPr>
        <w:t>is then raises the question whether</w:t>
      </w:r>
      <w:r w:rsidR="00645D70" w:rsidRPr="00633A58">
        <w:rPr>
          <w:rFonts w:ascii="Arial" w:hAnsi="Arial" w:cs="Arial"/>
          <w:color w:val="000000"/>
          <w:lang w:val="en-ZA" w:eastAsia="en-ZA"/>
        </w:rPr>
        <w:t>,</w:t>
      </w:r>
      <w:r w:rsidR="001F1EAC" w:rsidRPr="00633A58">
        <w:rPr>
          <w:rFonts w:ascii="Arial" w:hAnsi="Arial" w:cs="Arial"/>
          <w:color w:val="000000"/>
          <w:lang w:val="en-ZA" w:eastAsia="en-ZA"/>
        </w:rPr>
        <w:t xml:space="preserve"> in the context of the facts of this case</w:t>
      </w:r>
      <w:r w:rsidR="00645D70" w:rsidRPr="00633A58">
        <w:rPr>
          <w:rFonts w:ascii="Arial" w:hAnsi="Arial" w:cs="Arial"/>
          <w:color w:val="000000"/>
          <w:lang w:val="en-ZA" w:eastAsia="en-ZA"/>
        </w:rPr>
        <w:t>,</w:t>
      </w:r>
      <w:r w:rsidR="001F1EAC" w:rsidRPr="00633A58">
        <w:rPr>
          <w:rFonts w:ascii="Arial" w:hAnsi="Arial" w:cs="Arial"/>
          <w:color w:val="000000"/>
          <w:lang w:val="en-ZA" w:eastAsia="en-ZA"/>
        </w:rPr>
        <w:t xml:space="preserve"> this is legally</w:t>
      </w:r>
      <w:r w:rsidR="00F0361A" w:rsidRPr="00633A58">
        <w:rPr>
          <w:rFonts w:ascii="Arial" w:hAnsi="Arial" w:cs="Arial"/>
          <w:color w:val="000000"/>
          <w:lang w:val="en-ZA" w:eastAsia="en-ZA"/>
        </w:rPr>
        <w:t xml:space="preserve"> and contractually</w:t>
      </w:r>
      <w:r w:rsidR="001F1EAC" w:rsidRPr="00633A58">
        <w:rPr>
          <w:rFonts w:ascii="Arial" w:hAnsi="Arial" w:cs="Arial"/>
          <w:color w:val="000000"/>
          <w:lang w:val="en-ZA" w:eastAsia="en-ZA"/>
        </w:rPr>
        <w:t xml:space="preserve"> tenable. </w:t>
      </w:r>
      <w:r w:rsidR="00F0361A" w:rsidRPr="00633A58">
        <w:rPr>
          <w:rFonts w:ascii="Arial" w:hAnsi="Arial" w:cs="Arial"/>
          <w:color w:val="000000"/>
          <w:lang w:val="en-ZA" w:eastAsia="en-ZA"/>
        </w:rPr>
        <w:t>In</w:t>
      </w:r>
      <w:r w:rsidR="001F1EAC" w:rsidRPr="00633A58">
        <w:rPr>
          <w:rFonts w:ascii="Arial" w:hAnsi="Arial" w:cs="Arial"/>
          <w:color w:val="000000"/>
          <w:lang w:val="en-ZA" w:eastAsia="en-ZA"/>
        </w:rPr>
        <w:t xml:space="preserve"> this </w:t>
      </w:r>
      <w:r w:rsidR="00F0361A" w:rsidRPr="00633A58">
        <w:rPr>
          <w:rFonts w:ascii="Arial" w:hAnsi="Arial" w:cs="Arial"/>
          <w:color w:val="000000"/>
          <w:lang w:val="en-ZA" w:eastAsia="en-ZA"/>
        </w:rPr>
        <w:t>regard</w:t>
      </w:r>
      <w:r w:rsidR="001F1EAC" w:rsidRPr="00633A58">
        <w:rPr>
          <w:rFonts w:ascii="Arial" w:hAnsi="Arial" w:cs="Arial"/>
          <w:color w:val="000000"/>
          <w:lang w:val="en-ZA" w:eastAsia="en-ZA"/>
        </w:rPr>
        <w:t xml:space="preserve"> clauses 5.13 and 5.5 take the centre stage.</w:t>
      </w:r>
    </w:p>
    <w:p w:rsidR="001F1EAC" w:rsidRPr="00633A58" w:rsidRDefault="001F1EAC" w:rsidP="00E144FE">
      <w:pPr>
        <w:spacing w:line="360" w:lineRule="auto"/>
        <w:jc w:val="both"/>
        <w:rPr>
          <w:rFonts w:ascii="Arial" w:hAnsi="Arial" w:cs="Arial"/>
          <w:color w:val="000000"/>
          <w:lang w:val="en-ZA" w:eastAsia="en-ZA"/>
        </w:rPr>
      </w:pPr>
    </w:p>
    <w:p w:rsidR="001F1EAC" w:rsidRPr="00633A58" w:rsidRDefault="001F1EAC" w:rsidP="00E144FE">
      <w:pPr>
        <w:spacing w:line="360" w:lineRule="auto"/>
        <w:jc w:val="both"/>
        <w:rPr>
          <w:rFonts w:ascii="Arial" w:hAnsi="Arial" w:cs="Arial"/>
          <w:color w:val="000000"/>
          <w:lang w:val="en-ZA" w:eastAsia="en-ZA"/>
        </w:rPr>
      </w:pPr>
      <w:r w:rsidRPr="00633A58">
        <w:rPr>
          <w:rFonts w:ascii="Arial" w:hAnsi="Arial" w:cs="Arial"/>
          <w:b/>
          <w:color w:val="000000"/>
          <w:lang w:val="en-ZA" w:eastAsia="en-ZA"/>
        </w:rPr>
        <w:t>The parties' contentions</w:t>
      </w:r>
    </w:p>
    <w:p w:rsidR="001F1EAC" w:rsidRPr="00633A58" w:rsidRDefault="001F1EAC" w:rsidP="00E144FE">
      <w:pPr>
        <w:spacing w:line="360" w:lineRule="auto"/>
        <w:jc w:val="both"/>
        <w:rPr>
          <w:rFonts w:ascii="Arial" w:hAnsi="Arial" w:cs="Arial"/>
          <w:color w:val="000000"/>
          <w:lang w:val="en-ZA" w:eastAsia="en-ZA"/>
        </w:rPr>
      </w:pPr>
      <w:r w:rsidRPr="00633A58">
        <w:rPr>
          <w:rFonts w:ascii="Arial" w:hAnsi="Arial" w:cs="Arial"/>
          <w:color w:val="000000"/>
          <w:lang w:val="en-ZA" w:eastAsia="en-ZA"/>
        </w:rPr>
        <w:t>[2</w:t>
      </w:r>
      <w:r w:rsidR="002F485A" w:rsidRPr="00633A58">
        <w:rPr>
          <w:rFonts w:ascii="Arial" w:hAnsi="Arial" w:cs="Arial"/>
          <w:color w:val="000000"/>
          <w:lang w:val="en-ZA" w:eastAsia="en-ZA"/>
        </w:rPr>
        <w:t>3</w:t>
      </w:r>
      <w:r w:rsidRPr="00633A58">
        <w:rPr>
          <w:rFonts w:ascii="Arial" w:hAnsi="Arial" w:cs="Arial"/>
          <w:color w:val="000000"/>
          <w:lang w:val="en-ZA" w:eastAsia="en-ZA"/>
        </w:rPr>
        <w:t>]</w:t>
      </w:r>
      <w:r w:rsidRPr="00633A58">
        <w:rPr>
          <w:rFonts w:ascii="Arial" w:hAnsi="Arial" w:cs="Arial"/>
          <w:color w:val="000000"/>
          <w:lang w:val="en-ZA" w:eastAsia="en-ZA"/>
        </w:rPr>
        <w:tab/>
        <w:t>The submissions advanced on behalf of Discovery may, for convenience, be shortly summarised as follows:</w:t>
      </w:r>
    </w:p>
    <w:p w:rsidR="001F1EAC" w:rsidRPr="00633A58" w:rsidRDefault="001F1EAC" w:rsidP="00E144FE">
      <w:pPr>
        <w:spacing w:line="360" w:lineRule="auto"/>
        <w:jc w:val="both"/>
        <w:rPr>
          <w:rFonts w:ascii="Arial" w:hAnsi="Arial" w:cs="Arial"/>
          <w:color w:val="000000"/>
          <w:lang w:val="en-ZA" w:eastAsia="en-ZA"/>
        </w:rPr>
      </w:pPr>
      <w:r w:rsidRPr="00633A58">
        <w:rPr>
          <w:rFonts w:ascii="Arial" w:hAnsi="Arial" w:cs="Arial"/>
          <w:color w:val="000000"/>
          <w:lang w:val="en-ZA" w:eastAsia="en-ZA"/>
        </w:rPr>
        <w:t>(i)</w:t>
      </w:r>
      <w:r w:rsidRPr="00633A58">
        <w:rPr>
          <w:rFonts w:ascii="Arial" w:hAnsi="Arial" w:cs="Arial"/>
          <w:color w:val="000000"/>
          <w:lang w:val="en-ZA" w:eastAsia="en-ZA"/>
        </w:rPr>
        <w:tab/>
        <w:t>clause 5.13</w:t>
      </w:r>
      <w:r w:rsidR="00F0361A" w:rsidRPr="00633A58">
        <w:rPr>
          <w:rFonts w:ascii="Arial" w:hAnsi="Arial" w:cs="Arial"/>
          <w:color w:val="000000"/>
          <w:lang w:val="en-ZA" w:eastAsia="en-ZA"/>
        </w:rPr>
        <w:t xml:space="preserve"> explicitly</w:t>
      </w:r>
      <w:r w:rsidRPr="00633A58">
        <w:rPr>
          <w:rFonts w:ascii="Arial" w:hAnsi="Arial" w:cs="Arial"/>
          <w:color w:val="000000"/>
          <w:lang w:val="en-ZA" w:eastAsia="en-ZA"/>
        </w:rPr>
        <w:t xml:space="preserve"> provides that </w:t>
      </w:r>
      <w:r w:rsidR="00F0361A" w:rsidRPr="00633A58">
        <w:rPr>
          <w:rFonts w:ascii="Arial" w:hAnsi="Arial" w:cs="Arial"/>
          <w:color w:val="000000"/>
          <w:lang w:val="en-ZA" w:eastAsia="en-ZA"/>
        </w:rPr>
        <w:t>lodgement</w:t>
      </w:r>
      <w:r w:rsidRPr="00633A58">
        <w:rPr>
          <w:rFonts w:ascii="Arial" w:hAnsi="Arial" w:cs="Arial"/>
          <w:color w:val="000000"/>
          <w:lang w:val="en-ZA" w:eastAsia="en-ZA"/>
        </w:rPr>
        <w:t xml:space="preserve"> of a f</w:t>
      </w:r>
      <w:r w:rsidR="00F0361A" w:rsidRPr="00633A58">
        <w:rPr>
          <w:rFonts w:ascii="Arial" w:hAnsi="Arial" w:cs="Arial"/>
          <w:color w:val="000000"/>
          <w:lang w:val="en-ZA" w:eastAsia="en-ZA"/>
        </w:rPr>
        <w:t xml:space="preserve">raudulent claim by the </w:t>
      </w:r>
      <w:r w:rsidR="00F0361A" w:rsidRPr="00633A58">
        <w:rPr>
          <w:rFonts w:ascii="Arial" w:hAnsi="Arial" w:cs="Arial"/>
          <w:color w:val="000000"/>
          <w:lang w:val="en-ZA" w:eastAsia="en-ZA"/>
        </w:rPr>
        <w:tab/>
        <w:t xml:space="preserve">insured </w:t>
      </w:r>
      <w:r w:rsidRPr="00633A58">
        <w:rPr>
          <w:rFonts w:ascii="Arial" w:hAnsi="Arial" w:cs="Arial"/>
          <w:color w:val="000000"/>
          <w:lang w:val="en-ZA" w:eastAsia="en-ZA"/>
        </w:rPr>
        <w:t>results in the benefits under the policy being forf</w:t>
      </w:r>
      <w:r w:rsidR="00F0361A" w:rsidRPr="00633A58">
        <w:rPr>
          <w:rFonts w:ascii="Arial" w:hAnsi="Arial" w:cs="Arial"/>
          <w:color w:val="000000"/>
          <w:lang w:val="en-ZA" w:eastAsia="en-ZA"/>
        </w:rPr>
        <w:t xml:space="preserve">eited if the insurer </w:t>
      </w:r>
      <w:r w:rsidR="00F0361A" w:rsidRPr="00633A58">
        <w:rPr>
          <w:rFonts w:ascii="Arial" w:hAnsi="Arial" w:cs="Arial"/>
          <w:color w:val="000000"/>
          <w:lang w:val="en-ZA" w:eastAsia="en-ZA"/>
        </w:rPr>
        <w:tab/>
        <w:t>elects to cancel the policy;</w:t>
      </w:r>
    </w:p>
    <w:p w:rsidR="001F1EAC" w:rsidRPr="00633A58" w:rsidRDefault="001F1EAC" w:rsidP="00E144FE">
      <w:pPr>
        <w:spacing w:line="360" w:lineRule="auto"/>
        <w:jc w:val="both"/>
        <w:rPr>
          <w:rFonts w:ascii="Arial" w:hAnsi="Arial" w:cs="Arial"/>
          <w:color w:val="000000"/>
          <w:lang w:val="en-ZA" w:eastAsia="en-ZA"/>
        </w:rPr>
      </w:pPr>
      <w:r w:rsidRPr="00633A58">
        <w:rPr>
          <w:rFonts w:ascii="Arial" w:hAnsi="Arial" w:cs="Arial"/>
          <w:color w:val="000000"/>
          <w:lang w:val="en-ZA" w:eastAsia="en-ZA"/>
        </w:rPr>
        <w:t>(ii)</w:t>
      </w:r>
      <w:r w:rsidRPr="00633A58">
        <w:rPr>
          <w:rFonts w:ascii="Arial" w:hAnsi="Arial" w:cs="Arial"/>
          <w:color w:val="000000"/>
          <w:lang w:val="en-ZA" w:eastAsia="en-ZA"/>
        </w:rPr>
        <w:tab/>
        <w:t xml:space="preserve">the forfeiture of benefits under the policy entailed that the insured would not </w:t>
      </w:r>
      <w:r w:rsidRPr="00633A58">
        <w:rPr>
          <w:rFonts w:ascii="Arial" w:hAnsi="Arial" w:cs="Arial"/>
          <w:color w:val="000000"/>
          <w:lang w:val="en-ZA" w:eastAsia="en-ZA"/>
        </w:rPr>
        <w:tab/>
        <w:t xml:space="preserve">only lose the right to claim insurance benefits under the policy but would also </w:t>
      </w:r>
      <w:r w:rsidRPr="00633A58">
        <w:rPr>
          <w:rFonts w:ascii="Arial" w:hAnsi="Arial" w:cs="Arial"/>
          <w:color w:val="000000"/>
          <w:lang w:val="en-ZA" w:eastAsia="en-ZA"/>
        </w:rPr>
        <w:tab/>
        <w:t>lose the right to retain the proceeds if the benefits have already been paid out;</w:t>
      </w:r>
    </w:p>
    <w:p w:rsidR="001F1EAC" w:rsidRPr="00633A58" w:rsidRDefault="001F1EAC" w:rsidP="00E144FE">
      <w:pPr>
        <w:spacing w:line="360" w:lineRule="auto"/>
        <w:jc w:val="both"/>
        <w:rPr>
          <w:rFonts w:ascii="Arial" w:hAnsi="Arial" w:cs="Arial"/>
          <w:color w:val="000000"/>
          <w:lang w:val="en-ZA" w:eastAsia="en-ZA"/>
        </w:rPr>
      </w:pPr>
      <w:r w:rsidRPr="00633A58">
        <w:rPr>
          <w:rFonts w:ascii="Arial" w:hAnsi="Arial" w:cs="Arial"/>
          <w:color w:val="000000"/>
          <w:lang w:val="en-ZA" w:eastAsia="en-ZA"/>
        </w:rPr>
        <w:t>(iii)</w:t>
      </w:r>
      <w:r w:rsidRPr="00633A58">
        <w:rPr>
          <w:rFonts w:ascii="Arial" w:hAnsi="Arial" w:cs="Arial"/>
          <w:color w:val="000000"/>
          <w:lang w:val="en-ZA" w:eastAsia="en-ZA"/>
        </w:rPr>
        <w:tab/>
        <w:t xml:space="preserve">having regard to the fact that termination of the policy would be retrospective </w:t>
      </w:r>
      <w:r w:rsidRPr="00633A58">
        <w:rPr>
          <w:rFonts w:ascii="Arial" w:hAnsi="Arial" w:cs="Arial"/>
          <w:color w:val="000000"/>
          <w:lang w:val="en-ZA" w:eastAsia="en-ZA"/>
        </w:rPr>
        <w:tab/>
        <w:t xml:space="preserve">from the date on which the incident </w:t>
      </w:r>
      <w:r w:rsidR="00645D70" w:rsidRPr="00633A58">
        <w:rPr>
          <w:rFonts w:ascii="Arial" w:hAnsi="Arial" w:cs="Arial"/>
          <w:color w:val="000000"/>
          <w:lang w:val="en-ZA" w:eastAsia="en-ZA"/>
        </w:rPr>
        <w:t>which gave</w:t>
      </w:r>
      <w:r w:rsidRPr="00633A58">
        <w:rPr>
          <w:rFonts w:ascii="Arial" w:hAnsi="Arial" w:cs="Arial"/>
          <w:color w:val="000000"/>
          <w:lang w:val="en-ZA" w:eastAsia="en-ZA"/>
        </w:rPr>
        <w:t xml:space="preserve"> rise to the claim arose, (ie </w:t>
      </w:r>
      <w:r w:rsidR="00532B2C" w:rsidRPr="00633A58">
        <w:rPr>
          <w:rFonts w:ascii="Arial" w:hAnsi="Arial" w:cs="Arial"/>
          <w:color w:val="000000"/>
          <w:lang w:val="en-ZA" w:eastAsia="en-ZA"/>
        </w:rPr>
        <w:tab/>
        <w:t>10 </w:t>
      </w:r>
      <w:r w:rsidRPr="00633A58">
        <w:rPr>
          <w:rFonts w:ascii="Arial" w:hAnsi="Arial" w:cs="Arial"/>
          <w:color w:val="000000"/>
          <w:lang w:val="en-ZA" w:eastAsia="en-ZA"/>
        </w:rPr>
        <w:t>November 2016)</w:t>
      </w:r>
      <w:r w:rsidR="00645D70" w:rsidRPr="00633A58">
        <w:rPr>
          <w:rFonts w:ascii="Arial" w:hAnsi="Arial" w:cs="Arial"/>
          <w:color w:val="000000"/>
          <w:lang w:val="en-ZA" w:eastAsia="en-ZA"/>
        </w:rPr>
        <w:t>,</w:t>
      </w:r>
      <w:r w:rsidRPr="00633A58">
        <w:rPr>
          <w:rFonts w:ascii="Arial" w:hAnsi="Arial" w:cs="Arial"/>
          <w:color w:val="000000"/>
          <w:lang w:val="en-ZA" w:eastAsia="en-ZA"/>
        </w:rPr>
        <w:t xml:space="preserve"> the insurer is entitled to reclaim the full amount if part of </w:t>
      </w:r>
      <w:r w:rsidR="00532B2C" w:rsidRPr="00633A58">
        <w:rPr>
          <w:rFonts w:ascii="Arial" w:hAnsi="Arial" w:cs="Arial"/>
          <w:color w:val="000000"/>
          <w:lang w:val="en-ZA" w:eastAsia="en-ZA"/>
        </w:rPr>
        <w:tab/>
        <w:t xml:space="preserve">the </w:t>
      </w:r>
      <w:r w:rsidRPr="00633A58">
        <w:rPr>
          <w:rFonts w:ascii="Arial" w:hAnsi="Arial" w:cs="Arial"/>
          <w:color w:val="000000"/>
          <w:lang w:val="en-ZA" w:eastAsia="en-ZA"/>
        </w:rPr>
        <w:t xml:space="preserve">claim was tainted by fraud. </w:t>
      </w:r>
    </w:p>
    <w:p w:rsidR="001F1EAC" w:rsidRPr="00633A58" w:rsidRDefault="001F1EAC" w:rsidP="00E144FE">
      <w:pPr>
        <w:spacing w:line="360" w:lineRule="auto"/>
        <w:jc w:val="both"/>
        <w:rPr>
          <w:rFonts w:ascii="Arial" w:hAnsi="Arial" w:cs="Arial"/>
          <w:lang w:val="en-ZA"/>
        </w:rPr>
      </w:pPr>
      <w:r w:rsidRPr="00633A58">
        <w:rPr>
          <w:rFonts w:ascii="Arial" w:hAnsi="Arial" w:cs="Arial"/>
          <w:color w:val="000000"/>
          <w:lang w:val="en-ZA" w:eastAsia="en-ZA"/>
        </w:rPr>
        <w:lastRenderedPageBreak/>
        <w:t>[</w:t>
      </w:r>
      <w:r w:rsidR="002F485A" w:rsidRPr="00633A58">
        <w:rPr>
          <w:rFonts w:ascii="Arial" w:hAnsi="Arial" w:cs="Arial"/>
          <w:color w:val="000000"/>
          <w:lang w:val="en-ZA" w:eastAsia="en-ZA"/>
        </w:rPr>
        <w:t>24</w:t>
      </w:r>
      <w:r w:rsidRPr="00633A58">
        <w:rPr>
          <w:rFonts w:ascii="Arial" w:hAnsi="Arial" w:cs="Arial"/>
          <w:color w:val="000000"/>
          <w:lang w:val="en-ZA" w:eastAsia="en-ZA"/>
        </w:rPr>
        <w:t>]</w:t>
      </w:r>
      <w:r w:rsidRPr="00633A58">
        <w:rPr>
          <w:rFonts w:ascii="Arial" w:hAnsi="Arial" w:cs="Arial"/>
          <w:color w:val="000000"/>
          <w:lang w:val="en-ZA" w:eastAsia="en-ZA"/>
        </w:rPr>
        <w:tab/>
        <w:t xml:space="preserve">In support of its contentions in relation to (i) and (ii) in the preceding paragraph, Discovery called into aid </w:t>
      </w:r>
      <w:r w:rsidR="00DC49CE" w:rsidRPr="00633A58">
        <w:rPr>
          <w:rFonts w:ascii="Arial" w:hAnsi="Arial" w:cs="Arial"/>
          <w:i/>
          <w:color w:val="000000"/>
          <w:lang w:val="en-ZA" w:eastAsia="en-ZA"/>
        </w:rPr>
        <w:t xml:space="preserve">Santam </w:t>
      </w:r>
      <w:r w:rsidR="00DD53AB" w:rsidRPr="00633A58">
        <w:rPr>
          <w:rFonts w:ascii="Arial" w:hAnsi="Arial" w:cs="Arial"/>
          <w:i/>
          <w:color w:val="000000"/>
          <w:lang w:val="en-ZA" w:eastAsia="en-ZA"/>
        </w:rPr>
        <w:t xml:space="preserve">Bpk </w:t>
      </w:r>
      <w:r w:rsidR="00DC49CE" w:rsidRPr="00633A58">
        <w:rPr>
          <w:rFonts w:ascii="Arial" w:hAnsi="Arial" w:cs="Arial"/>
          <w:i/>
          <w:lang w:val="en-ZA"/>
        </w:rPr>
        <w:t>v Potgieter</w:t>
      </w:r>
      <w:r w:rsidR="00DC49CE" w:rsidRPr="00633A58">
        <w:rPr>
          <w:rFonts w:ascii="Arial" w:hAnsi="Arial" w:cs="Arial"/>
          <w:lang w:val="en-ZA"/>
        </w:rPr>
        <w:t>.</w:t>
      </w:r>
      <w:r w:rsidR="00DC49CE" w:rsidRPr="00633A58">
        <w:rPr>
          <w:rStyle w:val="FootnoteReference"/>
          <w:rFonts w:ascii="Arial" w:hAnsi="Arial" w:cs="Arial"/>
          <w:i/>
          <w:color w:val="000000"/>
          <w:lang w:val="en-ZA" w:eastAsia="en-ZA"/>
        </w:rPr>
        <w:footnoteReference w:id="14"/>
      </w:r>
      <w:r w:rsidR="00DC49CE" w:rsidRPr="00633A58">
        <w:rPr>
          <w:rFonts w:ascii="Arial" w:hAnsi="Arial" w:cs="Arial"/>
          <w:lang w:val="en-ZA"/>
        </w:rPr>
        <w:t xml:space="preserve"> In </w:t>
      </w:r>
      <w:r w:rsidR="00DC49CE" w:rsidRPr="00633A58">
        <w:rPr>
          <w:rFonts w:ascii="Arial" w:hAnsi="Arial" w:cs="Arial"/>
          <w:i/>
          <w:lang w:val="en-ZA"/>
        </w:rPr>
        <w:t>Santam</w:t>
      </w:r>
      <w:r w:rsidR="00DC49CE" w:rsidRPr="00633A58">
        <w:rPr>
          <w:rFonts w:ascii="Arial" w:hAnsi="Arial" w:cs="Arial"/>
          <w:lang w:val="en-ZA"/>
        </w:rPr>
        <w:t xml:space="preserve"> it was held that the fact that the </w:t>
      </w:r>
      <w:r w:rsidR="00077EA0" w:rsidRPr="00633A58">
        <w:rPr>
          <w:rFonts w:ascii="Arial" w:hAnsi="Arial" w:cs="Arial"/>
          <w:lang w:val="en-ZA"/>
        </w:rPr>
        <w:t xml:space="preserve">insured forfeited all the </w:t>
      </w:r>
      <w:r w:rsidR="00DC49CE" w:rsidRPr="00633A58">
        <w:rPr>
          <w:rFonts w:ascii="Arial" w:hAnsi="Arial" w:cs="Arial"/>
          <w:lang w:val="en-ZA"/>
        </w:rPr>
        <w:t>benefits under the policy</w:t>
      </w:r>
      <w:r w:rsidR="00532B2C" w:rsidRPr="00633A58">
        <w:rPr>
          <w:rFonts w:ascii="Arial" w:hAnsi="Arial" w:cs="Arial"/>
          <w:lang w:val="en-ZA"/>
        </w:rPr>
        <w:t xml:space="preserve"> with retrospective effect</w:t>
      </w:r>
      <w:r w:rsidR="00DC49CE" w:rsidRPr="00633A58">
        <w:rPr>
          <w:rFonts w:ascii="Arial" w:hAnsi="Arial" w:cs="Arial"/>
          <w:lang w:val="en-ZA"/>
        </w:rPr>
        <w:t xml:space="preserve"> meant, as its corollary, that the insurer was entitled to the repayment of all the amounts previously paid to the insured pursuant to the latter's claim.</w:t>
      </w:r>
    </w:p>
    <w:p w:rsidR="00DC49CE" w:rsidRPr="00633A58" w:rsidRDefault="00DC49CE" w:rsidP="00E144FE">
      <w:pPr>
        <w:spacing w:line="360" w:lineRule="auto"/>
        <w:jc w:val="both"/>
        <w:rPr>
          <w:rFonts w:ascii="Arial" w:hAnsi="Arial" w:cs="Arial"/>
          <w:lang w:val="en-ZA"/>
        </w:rPr>
      </w:pPr>
    </w:p>
    <w:p w:rsidR="00DC49CE" w:rsidRPr="00633A58" w:rsidRDefault="00DC49CE" w:rsidP="00E144FE">
      <w:pPr>
        <w:spacing w:line="360" w:lineRule="auto"/>
        <w:jc w:val="both"/>
        <w:rPr>
          <w:rFonts w:ascii="Arial" w:hAnsi="Arial" w:cs="Arial"/>
        </w:rPr>
      </w:pPr>
      <w:r w:rsidRPr="00633A58">
        <w:rPr>
          <w:rFonts w:ascii="Arial" w:hAnsi="Arial" w:cs="Arial"/>
          <w:lang w:val="en-ZA"/>
        </w:rPr>
        <w:t>[</w:t>
      </w:r>
      <w:r w:rsidR="002F485A" w:rsidRPr="00633A58">
        <w:rPr>
          <w:rFonts w:ascii="Arial" w:hAnsi="Arial" w:cs="Arial"/>
          <w:lang w:val="en-ZA"/>
        </w:rPr>
        <w:t>25</w:t>
      </w:r>
      <w:r w:rsidRPr="00633A58">
        <w:rPr>
          <w:rFonts w:ascii="Arial" w:hAnsi="Arial" w:cs="Arial"/>
          <w:lang w:val="en-ZA"/>
        </w:rPr>
        <w:t>]</w:t>
      </w:r>
      <w:r w:rsidRPr="00633A58">
        <w:rPr>
          <w:rFonts w:ascii="Arial" w:hAnsi="Arial" w:cs="Arial"/>
          <w:lang w:val="en-ZA"/>
        </w:rPr>
        <w:tab/>
        <w:t>We have earlier noted that forfeiture clauses of the kind like the ones under consideration in this case are now a common feature in insurance contracts.</w:t>
      </w:r>
      <w:r w:rsidRPr="00633A58">
        <w:rPr>
          <w:rStyle w:val="FootnoteReference"/>
          <w:rFonts w:ascii="Arial" w:hAnsi="Arial" w:cs="Arial"/>
          <w:lang w:val="en-ZA"/>
        </w:rPr>
        <w:footnoteReference w:id="15"/>
      </w:r>
      <w:r w:rsidRPr="00633A58">
        <w:rPr>
          <w:rFonts w:ascii="Arial" w:hAnsi="Arial" w:cs="Arial"/>
          <w:lang w:val="en-ZA"/>
        </w:rPr>
        <w:t xml:space="preserve"> And the rationale for such clauses was explained in </w:t>
      </w:r>
      <w:r w:rsidRPr="00633A58">
        <w:rPr>
          <w:rFonts w:ascii="Arial" w:hAnsi="Arial" w:cs="Arial"/>
          <w:i/>
          <w:lang w:val="en-ZA"/>
        </w:rPr>
        <w:t>Schoeman</w:t>
      </w:r>
      <w:r w:rsidRPr="00633A58">
        <w:rPr>
          <w:rFonts w:ascii="Arial" w:hAnsi="Arial" w:cs="Arial"/>
          <w:lang w:val="en-ZA"/>
        </w:rPr>
        <w:t>.</w:t>
      </w:r>
      <w:r w:rsidRPr="00633A58">
        <w:rPr>
          <w:rStyle w:val="FootnoteReference"/>
          <w:rFonts w:ascii="Arial" w:hAnsi="Arial" w:cs="Arial"/>
          <w:lang w:val="en-ZA"/>
        </w:rPr>
        <w:footnoteReference w:id="16"/>
      </w:r>
      <w:r w:rsidR="008C4F70" w:rsidRPr="00633A58">
        <w:rPr>
          <w:rFonts w:ascii="Arial" w:hAnsi="Arial" w:cs="Arial"/>
          <w:lang w:val="en-ZA"/>
        </w:rPr>
        <w:t xml:space="preserve"> As a general rule such clauses are viewed as valid and therefore enforceable.</w:t>
      </w:r>
      <w:r w:rsidR="008C4F70" w:rsidRPr="00633A58">
        <w:rPr>
          <w:rStyle w:val="FootnoteReference"/>
          <w:rFonts w:ascii="Arial" w:hAnsi="Arial" w:cs="Arial"/>
          <w:lang w:val="en-ZA"/>
        </w:rPr>
        <w:footnoteReference w:id="17"/>
      </w:r>
      <w:r w:rsidR="008C4F70" w:rsidRPr="00633A58">
        <w:rPr>
          <w:rFonts w:ascii="Arial" w:hAnsi="Arial" w:cs="Arial"/>
          <w:lang w:val="en-ZA"/>
        </w:rPr>
        <w:t xml:space="preserve"> </w:t>
      </w:r>
      <w:r w:rsidR="009954F9" w:rsidRPr="00633A58">
        <w:rPr>
          <w:rFonts w:ascii="Arial" w:hAnsi="Arial" w:cs="Arial"/>
          <w:lang w:val="en-ZA"/>
        </w:rPr>
        <w:t>As</w:t>
      </w:r>
      <w:r w:rsidR="008C4F70" w:rsidRPr="00633A58">
        <w:rPr>
          <w:rFonts w:ascii="Arial" w:hAnsi="Arial" w:cs="Arial"/>
          <w:lang w:val="en-ZA"/>
        </w:rPr>
        <w:t xml:space="preserve"> </w:t>
      </w:r>
      <w:r w:rsidR="008C4F70" w:rsidRPr="00633A58">
        <w:rPr>
          <w:rFonts w:ascii="Arial" w:hAnsi="Arial" w:cs="Arial"/>
          <w:i/>
        </w:rPr>
        <w:t>Lehmbecker's Earthmoving</w:t>
      </w:r>
      <w:r w:rsidR="008C4F70" w:rsidRPr="00633A58">
        <w:rPr>
          <w:rFonts w:ascii="Arial" w:hAnsi="Arial" w:cs="Arial"/>
        </w:rPr>
        <w:t xml:space="preserve"> tells us, they are designed to protect the insurer against fraudulent c</w:t>
      </w:r>
      <w:r w:rsidR="009954F9" w:rsidRPr="00633A58">
        <w:rPr>
          <w:rFonts w:ascii="Arial" w:hAnsi="Arial" w:cs="Arial"/>
        </w:rPr>
        <w:t>laims and, in the words of Mille</w:t>
      </w:r>
      <w:r w:rsidR="008C4F70" w:rsidRPr="00633A58">
        <w:rPr>
          <w:rFonts w:ascii="Arial" w:hAnsi="Arial" w:cs="Arial"/>
        </w:rPr>
        <w:t xml:space="preserve">r JA, to 'discourage attempts to gain undue advantage [by the insured] by </w:t>
      </w:r>
      <w:r w:rsidR="009954F9" w:rsidRPr="00633A58">
        <w:rPr>
          <w:rFonts w:ascii="Arial" w:hAnsi="Arial" w:cs="Arial"/>
        </w:rPr>
        <w:t>lodging falsely inflated claims</w:t>
      </w:r>
      <w:r w:rsidR="008C4F70" w:rsidRPr="00633A58">
        <w:rPr>
          <w:rFonts w:ascii="Arial" w:hAnsi="Arial" w:cs="Arial"/>
        </w:rPr>
        <w:t>'</w:t>
      </w:r>
      <w:r w:rsidR="009954F9" w:rsidRPr="00633A58">
        <w:rPr>
          <w:rFonts w:ascii="Arial" w:hAnsi="Arial" w:cs="Arial"/>
        </w:rPr>
        <w:t>.</w:t>
      </w:r>
      <w:r w:rsidR="008C4F70" w:rsidRPr="00633A58">
        <w:rPr>
          <w:rStyle w:val="FootnoteReference"/>
          <w:rFonts w:ascii="Arial" w:hAnsi="Arial" w:cs="Arial"/>
        </w:rPr>
        <w:footnoteReference w:id="18"/>
      </w:r>
      <w:r w:rsidR="008C4F70" w:rsidRPr="00633A58">
        <w:rPr>
          <w:rFonts w:ascii="Arial" w:hAnsi="Arial" w:cs="Arial"/>
        </w:rPr>
        <w:t xml:space="preserve"> Thus, if unbeknown to the insurer, the insured submits a fraudulent claim which is then paid out, the former would be entitled to recover the full amount paid out to the latter.</w:t>
      </w:r>
      <w:r w:rsidR="008C4F70" w:rsidRPr="00633A58">
        <w:rPr>
          <w:rStyle w:val="FootnoteReference"/>
          <w:rFonts w:ascii="Arial" w:hAnsi="Arial" w:cs="Arial"/>
        </w:rPr>
        <w:footnoteReference w:id="19"/>
      </w:r>
    </w:p>
    <w:p w:rsidR="005746B8" w:rsidRPr="00633A58" w:rsidRDefault="005746B8" w:rsidP="00E144FE">
      <w:pPr>
        <w:spacing w:line="360" w:lineRule="auto"/>
        <w:jc w:val="both"/>
        <w:rPr>
          <w:rFonts w:ascii="Arial" w:hAnsi="Arial" w:cs="Arial"/>
        </w:rPr>
      </w:pPr>
    </w:p>
    <w:p w:rsidR="005746B8" w:rsidRPr="00633A58" w:rsidRDefault="005746B8" w:rsidP="00E144FE">
      <w:pPr>
        <w:spacing w:line="360" w:lineRule="auto"/>
        <w:jc w:val="both"/>
        <w:rPr>
          <w:rFonts w:ascii="Arial" w:hAnsi="Arial" w:cs="Arial"/>
        </w:rPr>
      </w:pPr>
      <w:r w:rsidRPr="00633A58">
        <w:rPr>
          <w:rFonts w:ascii="Arial" w:hAnsi="Arial" w:cs="Arial"/>
        </w:rPr>
        <w:t>[</w:t>
      </w:r>
      <w:r w:rsidR="002F485A" w:rsidRPr="00633A58">
        <w:rPr>
          <w:rFonts w:ascii="Arial" w:hAnsi="Arial" w:cs="Arial"/>
        </w:rPr>
        <w:t>26</w:t>
      </w:r>
      <w:r w:rsidRPr="00633A58">
        <w:rPr>
          <w:rFonts w:ascii="Arial" w:hAnsi="Arial" w:cs="Arial"/>
        </w:rPr>
        <w:t>]</w:t>
      </w:r>
      <w:r w:rsidRPr="00633A58">
        <w:rPr>
          <w:rFonts w:ascii="Arial" w:hAnsi="Arial" w:cs="Arial"/>
        </w:rPr>
        <w:tab/>
        <w:t xml:space="preserve">On behalf of the respondent it was accepted that the issues raised in this case fall to be determined with reference to clause 5.13 of the </w:t>
      </w:r>
      <w:r w:rsidR="00645D70" w:rsidRPr="00633A58">
        <w:rPr>
          <w:rFonts w:ascii="Arial" w:hAnsi="Arial" w:cs="Arial"/>
        </w:rPr>
        <w:t>Plan Guide</w:t>
      </w:r>
      <w:r w:rsidRPr="00633A58">
        <w:rPr>
          <w:rFonts w:ascii="Arial" w:hAnsi="Arial" w:cs="Arial"/>
        </w:rPr>
        <w:t xml:space="preserve">. </w:t>
      </w:r>
      <w:r w:rsidR="00781DF5" w:rsidRPr="00633A58">
        <w:rPr>
          <w:rFonts w:ascii="Arial" w:hAnsi="Arial" w:cs="Arial"/>
        </w:rPr>
        <w:t>Furthermore, counsel for the respondent readily acknowledged without question that</w:t>
      </w:r>
      <w:r w:rsidR="00645D70" w:rsidRPr="00633A58">
        <w:rPr>
          <w:rFonts w:ascii="Arial" w:hAnsi="Arial" w:cs="Arial"/>
        </w:rPr>
        <w:t xml:space="preserve">, </w:t>
      </w:r>
      <w:r w:rsidR="00781DF5" w:rsidRPr="00633A58">
        <w:rPr>
          <w:rFonts w:ascii="Arial" w:hAnsi="Arial" w:cs="Arial"/>
        </w:rPr>
        <w:t xml:space="preserve">insofar as the fraudulent component of the respondent's claim is concerned, the respondent is liable to pay back the ill-gotten gains because he was not entitled thereto in accordance with the ordinary principles of our law. </w:t>
      </w:r>
    </w:p>
    <w:p w:rsidR="00781DF5" w:rsidRPr="00633A58" w:rsidRDefault="00781DF5" w:rsidP="00E144FE">
      <w:pPr>
        <w:spacing w:line="360" w:lineRule="auto"/>
        <w:jc w:val="both"/>
        <w:rPr>
          <w:rFonts w:ascii="Arial" w:hAnsi="Arial" w:cs="Arial"/>
        </w:rPr>
      </w:pPr>
    </w:p>
    <w:p w:rsidR="00781DF5" w:rsidRPr="00633A58" w:rsidRDefault="00781DF5" w:rsidP="00E144FE">
      <w:pPr>
        <w:spacing w:line="360" w:lineRule="auto"/>
        <w:jc w:val="both"/>
        <w:rPr>
          <w:rFonts w:ascii="Arial" w:hAnsi="Arial" w:cs="Arial"/>
        </w:rPr>
      </w:pPr>
      <w:r w:rsidRPr="00633A58">
        <w:rPr>
          <w:rFonts w:ascii="Arial" w:hAnsi="Arial" w:cs="Arial"/>
        </w:rPr>
        <w:t>[</w:t>
      </w:r>
      <w:r w:rsidR="002F485A" w:rsidRPr="00633A58">
        <w:rPr>
          <w:rFonts w:ascii="Arial" w:hAnsi="Arial" w:cs="Arial"/>
        </w:rPr>
        <w:t>27</w:t>
      </w:r>
      <w:r w:rsidRPr="00633A58">
        <w:rPr>
          <w:rFonts w:ascii="Arial" w:hAnsi="Arial" w:cs="Arial"/>
        </w:rPr>
        <w:t>]</w:t>
      </w:r>
      <w:r w:rsidRPr="00633A58">
        <w:rPr>
          <w:rFonts w:ascii="Arial" w:hAnsi="Arial" w:cs="Arial"/>
        </w:rPr>
        <w:tab/>
        <w:t xml:space="preserve">However, to the extent that Discovery </w:t>
      </w:r>
      <w:r w:rsidR="007C704C" w:rsidRPr="00633A58">
        <w:rPr>
          <w:rFonts w:ascii="Arial" w:hAnsi="Arial" w:cs="Arial"/>
        </w:rPr>
        <w:t>invokes</w:t>
      </w:r>
      <w:r w:rsidRPr="00633A58">
        <w:rPr>
          <w:rFonts w:ascii="Arial" w:hAnsi="Arial" w:cs="Arial"/>
        </w:rPr>
        <w:t xml:space="preserve"> clause 5.13 of the policy to seek repayment of the untainted component of the claim, the respondent contended that this particular clause does not provide such a remedy. Counsel for the respondent laid great stress in his heads of argument upon the fact that clause 5.13 'does not contain an express provision that determines that on the retrospective termination of the policy the defendant becomes liable for the repayment of any or all benefits paid by </w:t>
      </w:r>
      <w:r w:rsidRPr="00633A58">
        <w:rPr>
          <w:rFonts w:ascii="Arial" w:hAnsi="Arial" w:cs="Arial"/>
        </w:rPr>
        <w:lastRenderedPageBreak/>
        <w:t>[Discovery] in respect of claims not tainted by fraud'. Much was also made of the fact that the 'express wording of clause 5.13 is not wide enough to allow an interpretation of this clause to include a repayment of claims not tainted by fraud'.</w:t>
      </w:r>
    </w:p>
    <w:p w:rsidR="00781DF5" w:rsidRPr="00633A58" w:rsidRDefault="00781DF5" w:rsidP="00E144FE">
      <w:pPr>
        <w:spacing w:line="360" w:lineRule="auto"/>
        <w:jc w:val="both"/>
        <w:rPr>
          <w:rFonts w:ascii="Arial" w:hAnsi="Arial" w:cs="Arial"/>
        </w:rPr>
      </w:pPr>
    </w:p>
    <w:p w:rsidR="00781DF5" w:rsidRPr="00633A58" w:rsidRDefault="00781DF5" w:rsidP="00E144FE">
      <w:pPr>
        <w:spacing w:line="360" w:lineRule="auto"/>
        <w:jc w:val="both"/>
        <w:rPr>
          <w:rFonts w:ascii="Arial" w:hAnsi="Arial" w:cs="Arial"/>
        </w:rPr>
      </w:pPr>
      <w:r w:rsidRPr="00633A58">
        <w:rPr>
          <w:rFonts w:ascii="Arial" w:hAnsi="Arial" w:cs="Arial"/>
        </w:rPr>
        <w:t>[</w:t>
      </w:r>
      <w:r w:rsidR="00DA4300" w:rsidRPr="00633A58">
        <w:rPr>
          <w:rFonts w:ascii="Arial" w:hAnsi="Arial" w:cs="Arial"/>
        </w:rPr>
        <w:t>28</w:t>
      </w:r>
      <w:r w:rsidRPr="00633A58">
        <w:rPr>
          <w:rFonts w:ascii="Arial" w:hAnsi="Arial" w:cs="Arial"/>
        </w:rPr>
        <w:t>]</w:t>
      </w:r>
      <w:r w:rsidRPr="00633A58">
        <w:rPr>
          <w:rFonts w:ascii="Arial" w:hAnsi="Arial" w:cs="Arial"/>
        </w:rPr>
        <w:tab/>
      </w:r>
      <w:r w:rsidR="001A4BC1" w:rsidRPr="00633A58">
        <w:rPr>
          <w:rFonts w:ascii="Arial" w:hAnsi="Arial" w:cs="Arial"/>
        </w:rPr>
        <w:t xml:space="preserve">According to the respondent, Discovery might well have had a point if it had incorporated an express clause 'as [insurers are] masters of their policies' entitling it to validly reject a partly fraudulent claim and thereby obliging the insured to repay even the portion of the claim not tainted by fraud. On its terms, so the argument went, clause 5.13 does not permit the importation of a tacit term to this effect. It was then argued, with reference to </w:t>
      </w:r>
      <w:r w:rsidR="001A4BC1" w:rsidRPr="00633A58">
        <w:rPr>
          <w:rFonts w:ascii="Arial" w:hAnsi="Arial" w:cs="Arial"/>
          <w:i/>
        </w:rPr>
        <w:t>Lehmbecker's Earthmoving</w:t>
      </w:r>
      <w:r w:rsidR="001A4BC1" w:rsidRPr="00633A58">
        <w:rPr>
          <w:rFonts w:ascii="Arial" w:hAnsi="Arial" w:cs="Arial"/>
        </w:rPr>
        <w:t xml:space="preserve"> and </w:t>
      </w:r>
      <w:r w:rsidR="001A4BC1" w:rsidRPr="00633A58">
        <w:rPr>
          <w:rFonts w:ascii="Arial" w:hAnsi="Arial" w:cs="Arial"/>
          <w:i/>
        </w:rPr>
        <w:t>Schoeman</w:t>
      </w:r>
      <w:r w:rsidR="001A4BC1" w:rsidRPr="00633A58">
        <w:rPr>
          <w:rFonts w:ascii="Arial" w:hAnsi="Arial" w:cs="Arial"/>
        </w:rPr>
        <w:t>, that Discovery's reliance on clause 5.13</w:t>
      </w:r>
      <w:r w:rsidR="007C704C" w:rsidRPr="00633A58">
        <w:rPr>
          <w:rFonts w:ascii="Arial" w:hAnsi="Arial" w:cs="Arial"/>
        </w:rPr>
        <w:t>,</w:t>
      </w:r>
      <w:r w:rsidR="001A4BC1" w:rsidRPr="00633A58">
        <w:rPr>
          <w:rFonts w:ascii="Arial" w:hAnsi="Arial" w:cs="Arial"/>
        </w:rPr>
        <w:t xml:space="preserve"> in particular</w:t>
      </w:r>
      <w:r w:rsidR="007C704C" w:rsidRPr="00633A58">
        <w:rPr>
          <w:rFonts w:ascii="Arial" w:hAnsi="Arial" w:cs="Arial"/>
        </w:rPr>
        <w:t>,</w:t>
      </w:r>
      <w:r w:rsidR="001A4BC1" w:rsidRPr="00633A58">
        <w:rPr>
          <w:rFonts w:ascii="Arial" w:hAnsi="Arial" w:cs="Arial"/>
        </w:rPr>
        <w:t xml:space="preserve"> was misplaced. </w:t>
      </w:r>
    </w:p>
    <w:p w:rsidR="001A4BC1" w:rsidRPr="00633A58" w:rsidRDefault="001A4BC1" w:rsidP="00E144FE">
      <w:pPr>
        <w:spacing w:line="360" w:lineRule="auto"/>
        <w:jc w:val="both"/>
        <w:rPr>
          <w:rFonts w:ascii="Arial" w:hAnsi="Arial" w:cs="Arial"/>
        </w:rPr>
      </w:pPr>
    </w:p>
    <w:p w:rsidR="000728F3" w:rsidRPr="00633A58" w:rsidRDefault="001A4BC1" w:rsidP="00E144FE">
      <w:pPr>
        <w:spacing w:line="360" w:lineRule="auto"/>
        <w:jc w:val="both"/>
        <w:rPr>
          <w:rFonts w:ascii="Arial" w:hAnsi="Arial" w:cs="Arial"/>
        </w:rPr>
      </w:pPr>
      <w:r w:rsidRPr="00633A58">
        <w:rPr>
          <w:rFonts w:ascii="Arial" w:hAnsi="Arial" w:cs="Arial"/>
        </w:rPr>
        <w:t>[</w:t>
      </w:r>
      <w:r w:rsidR="00DA4300" w:rsidRPr="00633A58">
        <w:rPr>
          <w:rFonts w:ascii="Arial" w:hAnsi="Arial" w:cs="Arial"/>
        </w:rPr>
        <w:t>29</w:t>
      </w:r>
      <w:r w:rsidRPr="00633A58">
        <w:rPr>
          <w:rFonts w:ascii="Arial" w:hAnsi="Arial" w:cs="Arial"/>
        </w:rPr>
        <w:t>]</w:t>
      </w:r>
      <w:r w:rsidRPr="00633A58">
        <w:rPr>
          <w:rFonts w:ascii="Arial" w:hAnsi="Arial" w:cs="Arial"/>
        </w:rPr>
        <w:tab/>
        <w:t xml:space="preserve">The contentions advanced by counsel for the respondent relying on </w:t>
      </w:r>
      <w:r w:rsidRPr="00633A58">
        <w:rPr>
          <w:rFonts w:ascii="Arial" w:hAnsi="Arial" w:cs="Arial"/>
          <w:i/>
        </w:rPr>
        <w:t>Lehmbecker's Earthmoving</w:t>
      </w:r>
      <w:r w:rsidRPr="00633A58">
        <w:rPr>
          <w:rFonts w:ascii="Arial" w:hAnsi="Arial" w:cs="Arial"/>
        </w:rPr>
        <w:t xml:space="preserve"> and </w:t>
      </w:r>
      <w:r w:rsidRPr="00633A58">
        <w:rPr>
          <w:rFonts w:ascii="Arial" w:hAnsi="Arial" w:cs="Arial"/>
          <w:i/>
        </w:rPr>
        <w:t xml:space="preserve">Schoeman </w:t>
      </w:r>
      <w:r w:rsidRPr="00633A58">
        <w:rPr>
          <w:rFonts w:ascii="Arial" w:hAnsi="Arial" w:cs="Arial"/>
        </w:rPr>
        <w:t xml:space="preserve">render it necessary to analyse those </w:t>
      </w:r>
      <w:r w:rsidR="00077EA0" w:rsidRPr="00633A58">
        <w:rPr>
          <w:rFonts w:ascii="Arial" w:hAnsi="Arial" w:cs="Arial"/>
        </w:rPr>
        <w:t>decisions</w:t>
      </w:r>
      <w:r w:rsidRPr="00633A58">
        <w:rPr>
          <w:rFonts w:ascii="Arial" w:hAnsi="Arial" w:cs="Arial"/>
        </w:rPr>
        <w:t xml:space="preserve"> to determine whether they support those contentions in the context of the facts of this case. As we see it, those cases are materially distinguishable on their facts from the facts of this case. The relevant clause under consideration in </w:t>
      </w:r>
      <w:r w:rsidRPr="00633A58">
        <w:rPr>
          <w:rFonts w:ascii="Arial" w:hAnsi="Arial" w:cs="Arial"/>
          <w:i/>
        </w:rPr>
        <w:t>Lehmbecker's Earthmoving</w:t>
      </w:r>
      <w:r w:rsidRPr="00633A58">
        <w:rPr>
          <w:rFonts w:ascii="Arial" w:hAnsi="Arial" w:cs="Arial"/>
        </w:rPr>
        <w:t xml:space="preserve"> reads as follows:</w:t>
      </w:r>
      <w:r w:rsidR="000575C2" w:rsidRPr="00633A58">
        <w:rPr>
          <w:rFonts w:ascii="Arial" w:hAnsi="Arial" w:cs="Arial"/>
        </w:rPr>
        <w:t>'</w:t>
      </w:r>
      <w:r w:rsidR="000728F3" w:rsidRPr="00633A58">
        <w:rPr>
          <w:rFonts w:ascii="Arial" w:hAnsi="Arial" w:cs="Arial"/>
        </w:rPr>
        <w:t>...</w:t>
      </w:r>
      <w:r w:rsidR="009954F9" w:rsidRPr="00633A58">
        <w:rPr>
          <w:rFonts w:ascii="Arial" w:hAnsi="Arial" w:cs="Arial"/>
        </w:rPr>
        <w:t xml:space="preserve"> </w:t>
      </w:r>
      <w:r w:rsidR="000575C2" w:rsidRPr="00633A58">
        <w:rPr>
          <w:rFonts w:ascii="Arial" w:hAnsi="Arial" w:cs="Arial"/>
        </w:rPr>
        <w:t>if any claim be in any respect fraudulent</w:t>
      </w:r>
      <w:r w:rsidR="009954F9" w:rsidRPr="00633A58">
        <w:rPr>
          <w:rFonts w:ascii="Arial" w:hAnsi="Arial" w:cs="Arial"/>
        </w:rPr>
        <w:t xml:space="preserve"> </w:t>
      </w:r>
      <w:r w:rsidR="000575C2" w:rsidRPr="00633A58">
        <w:rPr>
          <w:rFonts w:ascii="Arial" w:hAnsi="Arial" w:cs="Arial"/>
        </w:rPr>
        <w:t>...</w:t>
      </w:r>
      <w:r w:rsidR="000728F3" w:rsidRPr="00633A58">
        <w:rPr>
          <w:rFonts w:ascii="Arial" w:hAnsi="Arial" w:cs="Arial"/>
        </w:rPr>
        <w:t>"</w:t>
      </w:r>
      <w:r w:rsidR="000575C2" w:rsidRPr="00633A58">
        <w:rPr>
          <w:rFonts w:ascii="Arial" w:hAnsi="Arial" w:cs="Arial"/>
        </w:rPr>
        <w:t>all benefit under this policy shall be forfeited</w:t>
      </w:r>
      <w:r w:rsidR="000728F3" w:rsidRPr="00633A58">
        <w:rPr>
          <w:rFonts w:ascii="Arial" w:hAnsi="Arial" w:cs="Arial"/>
        </w:rPr>
        <w:t>".'</w:t>
      </w:r>
      <w:r w:rsidR="00077EA0" w:rsidRPr="00633A58">
        <w:rPr>
          <w:rFonts w:ascii="Arial" w:hAnsi="Arial" w:cs="Arial"/>
        </w:rPr>
        <w:t xml:space="preserve"> </w:t>
      </w:r>
      <w:r w:rsidR="000728F3" w:rsidRPr="00633A58">
        <w:rPr>
          <w:rFonts w:ascii="Arial" w:hAnsi="Arial" w:cs="Arial"/>
          <w:color w:val="000000"/>
          <w:lang w:val="en-ZA" w:eastAsia="en-ZA"/>
        </w:rPr>
        <w:t xml:space="preserve">It was not in dispute in </w:t>
      </w:r>
      <w:r w:rsidR="000728F3" w:rsidRPr="00633A58">
        <w:rPr>
          <w:rFonts w:ascii="Arial" w:hAnsi="Arial" w:cs="Arial"/>
          <w:i/>
        </w:rPr>
        <w:t>Lehmbecker's Earthmoving</w:t>
      </w:r>
      <w:r w:rsidR="000728F3" w:rsidRPr="00633A58">
        <w:rPr>
          <w:rFonts w:ascii="Arial" w:hAnsi="Arial" w:cs="Arial"/>
        </w:rPr>
        <w:t xml:space="preserve"> that the insured had submitted a fraudulent </w:t>
      </w:r>
      <w:r w:rsidR="00E5303C" w:rsidRPr="00633A58">
        <w:rPr>
          <w:rFonts w:ascii="Arial" w:hAnsi="Arial" w:cs="Arial"/>
        </w:rPr>
        <w:t>claim</w:t>
      </w:r>
      <w:r w:rsidR="000728F3" w:rsidRPr="00633A58">
        <w:rPr>
          <w:rFonts w:ascii="Arial" w:hAnsi="Arial" w:cs="Arial"/>
        </w:rPr>
        <w:t xml:space="preserve"> in relation to an incident different to the one in respect of which the insured had submitted a genuine claim. The question </w:t>
      </w:r>
      <w:r w:rsidR="007C704C" w:rsidRPr="00633A58">
        <w:rPr>
          <w:rFonts w:ascii="Arial" w:hAnsi="Arial" w:cs="Arial"/>
        </w:rPr>
        <w:t xml:space="preserve">then </w:t>
      </w:r>
      <w:r w:rsidR="000728F3" w:rsidRPr="00633A58">
        <w:rPr>
          <w:rFonts w:ascii="Arial" w:hAnsi="Arial" w:cs="Arial"/>
        </w:rPr>
        <w:t>arose as to whether the fact that the insured had lodged a fraudulent claim under the same policy, albeit arising from a different incident, had the effect of depriving the insured of his entitlement to compensation for the genuine claim. This Court recognised that the answer to this question depended on whether the relevant clause providing for forfeiture went far enough to support the contentions of the insurer. This Court acknowledged that the clause there under consideration was designed to 'lend protection to the insurer against fraudulent claims and to discourage attempts to gain undue advantage by lodging falsely inflated claims'.</w:t>
      </w:r>
      <w:r w:rsidR="000728F3" w:rsidRPr="00633A58">
        <w:rPr>
          <w:rStyle w:val="FootnoteReference"/>
          <w:rFonts w:ascii="Arial" w:hAnsi="Arial" w:cs="Arial"/>
        </w:rPr>
        <w:footnoteReference w:id="20"/>
      </w:r>
      <w:r w:rsidR="00E5303C" w:rsidRPr="00633A58">
        <w:rPr>
          <w:rFonts w:ascii="Arial" w:hAnsi="Arial" w:cs="Arial"/>
        </w:rPr>
        <w:t xml:space="preserve"> After analysing various judgments here and abroad, Miller JA, whilst accepting that the language of the clause was undoubtedly wide, nevertheless opined that 'in the absence of clear and entirely unambiguous provision therefor in the </w:t>
      </w:r>
      <w:r w:rsidR="00E5303C" w:rsidRPr="00633A58">
        <w:rPr>
          <w:rFonts w:ascii="Arial" w:hAnsi="Arial" w:cs="Arial"/>
        </w:rPr>
        <w:lastRenderedPageBreak/>
        <w:t>contract' the clause he considered in that case did not affect rights 'which had accrued and became due and payable prior to the subsequent breach causing the premature termination of the policy...'.</w:t>
      </w:r>
      <w:r w:rsidR="00E5303C" w:rsidRPr="00633A58">
        <w:rPr>
          <w:rStyle w:val="FootnoteReference"/>
          <w:rFonts w:ascii="Arial" w:hAnsi="Arial" w:cs="Arial"/>
        </w:rPr>
        <w:footnoteReference w:id="21"/>
      </w:r>
    </w:p>
    <w:p w:rsidR="00CC69B7" w:rsidRPr="00633A58" w:rsidRDefault="00CC69B7" w:rsidP="00E144FE">
      <w:pPr>
        <w:spacing w:line="360" w:lineRule="auto"/>
        <w:jc w:val="both"/>
        <w:rPr>
          <w:rFonts w:ascii="Arial" w:hAnsi="Arial" w:cs="Arial"/>
        </w:rPr>
      </w:pPr>
    </w:p>
    <w:p w:rsidR="00CC69B7" w:rsidRPr="00633A58" w:rsidRDefault="00CC69B7" w:rsidP="00E144FE">
      <w:pPr>
        <w:spacing w:line="360" w:lineRule="auto"/>
        <w:jc w:val="both"/>
        <w:rPr>
          <w:rFonts w:ascii="Arial" w:hAnsi="Arial" w:cs="Arial"/>
        </w:rPr>
      </w:pPr>
      <w:r w:rsidRPr="00633A58">
        <w:rPr>
          <w:rFonts w:ascii="Arial" w:hAnsi="Arial" w:cs="Arial"/>
        </w:rPr>
        <w:t>[</w:t>
      </w:r>
      <w:r w:rsidR="00DA4300" w:rsidRPr="00633A58">
        <w:rPr>
          <w:rFonts w:ascii="Arial" w:hAnsi="Arial" w:cs="Arial"/>
        </w:rPr>
        <w:t>30</w:t>
      </w:r>
      <w:r w:rsidRPr="00633A58">
        <w:rPr>
          <w:rFonts w:ascii="Arial" w:hAnsi="Arial" w:cs="Arial"/>
        </w:rPr>
        <w:t>]</w:t>
      </w:r>
      <w:r w:rsidRPr="00633A58">
        <w:rPr>
          <w:rFonts w:ascii="Arial" w:hAnsi="Arial" w:cs="Arial"/>
        </w:rPr>
        <w:tab/>
        <w:t xml:space="preserve">The next decision to be mentioned and heavily relied upon by the respondent is </w:t>
      </w:r>
      <w:r w:rsidRPr="00633A58">
        <w:rPr>
          <w:rFonts w:ascii="Arial" w:hAnsi="Arial" w:cs="Arial"/>
          <w:i/>
        </w:rPr>
        <w:t>Schoeman</w:t>
      </w:r>
      <w:r w:rsidRPr="00633A58">
        <w:rPr>
          <w:rFonts w:ascii="Arial" w:hAnsi="Arial" w:cs="Arial"/>
        </w:rPr>
        <w:t xml:space="preserve">. There, this Court had to consider whether it could as a matter of principle import penalty principles of English law to address the question whether the insured could be absolved of liability in circumstances where the insured had inflated the amount of her claim. In </w:t>
      </w:r>
      <w:r w:rsidR="007C704C" w:rsidRPr="00633A58">
        <w:rPr>
          <w:rFonts w:ascii="Arial" w:hAnsi="Arial" w:cs="Arial"/>
        </w:rPr>
        <w:t>declining</w:t>
      </w:r>
      <w:r w:rsidRPr="00633A58">
        <w:rPr>
          <w:rFonts w:ascii="Arial" w:hAnsi="Arial" w:cs="Arial"/>
        </w:rPr>
        <w:t xml:space="preserve"> this invitation, this Court held that there would be no justification for doing so. </w:t>
      </w:r>
    </w:p>
    <w:p w:rsidR="00CC69B7" w:rsidRPr="00633A58" w:rsidRDefault="00CC69B7" w:rsidP="00E144FE">
      <w:pPr>
        <w:spacing w:line="360" w:lineRule="auto"/>
        <w:jc w:val="both"/>
        <w:rPr>
          <w:rFonts w:ascii="Arial" w:hAnsi="Arial" w:cs="Arial"/>
        </w:rPr>
      </w:pPr>
    </w:p>
    <w:p w:rsidR="00CC69B7" w:rsidRPr="00633A58" w:rsidRDefault="00CC69B7" w:rsidP="00E144FE">
      <w:pPr>
        <w:spacing w:line="360" w:lineRule="auto"/>
        <w:jc w:val="both"/>
        <w:rPr>
          <w:rFonts w:ascii="Arial" w:hAnsi="Arial" w:cs="Arial"/>
        </w:rPr>
      </w:pPr>
      <w:r w:rsidRPr="00633A58">
        <w:rPr>
          <w:rFonts w:ascii="Arial" w:hAnsi="Arial" w:cs="Arial"/>
        </w:rPr>
        <w:t>[</w:t>
      </w:r>
      <w:r w:rsidR="00DA4300" w:rsidRPr="00633A58">
        <w:rPr>
          <w:rFonts w:ascii="Arial" w:hAnsi="Arial" w:cs="Arial"/>
        </w:rPr>
        <w:t>31</w:t>
      </w:r>
      <w:r w:rsidRPr="00633A58">
        <w:rPr>
          <w:rFonts w:ascii="Arial" w:hAnsi="Arial" w:cs="Arial"/>
        </w:rPr>
        <w:t>]</w:t>
      </w:r>
      <w:r w:rsidRPr="00633A58">
        <w:rPr>
          <w:rFonts w:ascii="Arial" w:hAnsi="Arial" w:cs="Arial"/>
        </w:rPr>
        <w:tab/>
        <w:t>Writing for the unanimous court, Marais JA said the following:</w:t>
      </w:r>
    </w:p>
    <w:p w:rsidR="00CC69B7" w:rsidRPr="00633A58" w:rsidRDefault="00CC69B7" w:rsidP="00E144FE">
      <w:pPr>
        <w:spacing w:line="360" w:lineRule="auto"/>
        <w:jc w:val="both"/>
        <w:rPr>
          <w:rFonts w:ascii="Arial" w:hAnsi="Arial" w:cs="Arial"/>
          <w:sz w:val="22"/>
        </w:rPr>
      </w:pPr>
      <w:r w:rsidRPr="00633A58">
        <w:rPr>
          <w:rFonts w:ascii="Arial" w:hAnsi="Arial" w:cs="Arial"/>
          <w:sz w:val="22"/>
        </w:rPr>
        <w:t>'</w:t>
      </w:r>
      <w:r w:rsidR="00EF0363" w:rsidRPr="00633A58">
        <w:rPr>
          <w:rFonts w:ascii="Arial" w:hAnsi="Arial" w:cs="Arial"/>
          <w:sz w:val="22"/>
        </w:rPr>
        <w:t xml:space="preserve">The implications of that judgment upon a case where there is only one incident giving rise to a claim and that claim is partly, but not wholly, fraudulent are not entirely clear. By parity of reasoning it can be argued that the right to claim the indemnity accrued before the making of the partly fraudulent claim and that the subsequent fraud cannot preclude the insured from claiming what was truly due under the policy. Such an argument could not succeed in the face of an express clause such as there was in </w:t>
      </w:r>
      <w:r w:rsidR="00EF0363" w:rsidRPr="00633A58">
        <w:rPr>
          <w:rFonts w:ascii="Arial" w:hAnsi="Arial" w:cs="Arial"/>
          <w:i/>
          <w:sz w:val="22"/>
        </w:rPr>
        <w:t>Lehmbecker’s</w:t>
      </w:r>
      <w:r w:rsidR="00EF0363" w:rsidRPr="00633A58">
        <w:rPr>
          <w:rFonts w:ascii="Arial" w:hAnsi="Arial" w:cs="Arial"/>
          <w:sz w:val="22"/>
        </w:rPr>
        <w:t xml:space="preserve"> case for it would render the clause entirely nugatory. But where there is no such clause it is difficult to see why the reasoning based upon the accrual of the liability to indemnify prior to the fraud should not lead to the same conclusion.'</w:t>
      </w:r>
      <w:r w:rsidR="00EF0363" w:rsidRPr="00633A58">
        <w:rPr>
          <w:rStyle w:val="FootnoteReference"/>
          <w:rFonts w:ascii="Arial" w:hAnsi="Arial" w:cs="Arial"/>
          <w:sz w:val="22"/>
        </w:rPr>
        <w:footnoteReference w:id="22"/>
      </w:r>
    </w:p>
    <w:p w:rsidR="00CB1A2B" w:rsidRPr="00633A58" w:rsidRDefault="00CB1A2B" w:rsidP="00E144FE">
      <w:pPr>
        <w:spacing w:line="360" w:lineRule="auto"/>
        <w:jc w:val="both"/>
        <w:rPr>
          <w:rFonts w:ascii="Arial" w:hAnsi="Arial" w:cs="Arial"/>
        </w:rPr>
      </w:pPr>
      <w:r w:rsidRPr="00633A58">
        <w:rPr>
          <w:rFonts w:ascii="Arial" w:hAnsi="Arial" w:cs="Arial"/>
        </w:rPr>
        <w:t xml:space="preserve">Emboldened by </w:t>
      </w:r>
      <w:r w:rsidR="007C704C" w:rsidRPr="00633A58">
        <w:rPr>
          <w:rFonts w:ascii="Arial" w:hAnsi="Arial" w:cs="Arial"/>
        </w:rPr>
        <w:t>the last sentence of what Marais JA said in the above quoted passage</w:t>
      </w:r>
      <w:r w:rsidRPr="00633A58">
        <w:rPr>
          <w:rFonts w:ascii="Arial" w:hAnsi="Arial" w:cs="Arial"/>
        </w:rPr>
        <w:t xml:space="preserve">, counsel for the respondent argued that in the present case clause 5.13 does not go far enough so as to encompass genuine claims to absolve the insurer of liability to indemnify the insured in respect of rights that had already accrued prior to the fraud that led to the </w:t>
      </w:r>
      <w:r w:rsidR="000A462D" w:rsidRPr="00633A58">
        <w:rPr>
          <w:rFonts w:ascii="Arial" w:hAnsi="Arial" w:cs="Arial"/>
        </w:rPr>
        <w:t xml:space="preserve">retrospective </w:t>
      </w:r>
      <w:r w:rsidRPr="00633A58">
        <w:rPr>
          <w:rFonts w:ascii="Arial" w:hAnsi="Arial" w:cs="Arial"/>
        </w:rPr>
        <w:t>termination of the policy by the insurer. In this case, it will be recalled that the</w:t>
      </w:r>
      <w:r w:rsidR="000A462D" w:rsidRPr="00633A58">
        <w:rPr>
          <w:rFonts w:ascii="Arial" w:hAnsi="Arial" w:cs="Arial"/>
        </w:rPr>
        <w:t xml:space="preserve"> total</w:t>
      </w:r>
      <w:r w:rsidRPr="00633A58">
        <w:rPr>
          <w:rFonts w:ascii="Arial" w:hAnsi="Arial" w:cs="Arial"/>
        </w:rPr>
        <w:t xml:space="preserve"> proceeds of the genuine component of the respondent's claim in respect of the damage to </w:t>
      </w:r>
      <w:r w:rsidR="000A462D" w:rsidRPr="00633A58">
        <w:rPr>
          <w:rFonts w:ascii="Arial" w:hAnsi="Arial" w:cs="Arial"/>
        </w:rPr>
        <w:t>his</w:t>
      </w:r>
      <w:r w:rsidRPr="00633A58">
        <w:rPr>
          <w:rFonts w:ascii="Arial" w:hAnsi="Arial" w:cs="Arial"/>
        </w:rPr>
        <w:t xml:space="preserve"> residence and household contents am</w:t>
      </w:r>
      <w:r w:rsidR="000A462D" w:rsidRPr="00633A58">
        <w:rPr>
          <w:rFonts w:ascii="Arial" w:hAnsi="Arial" w:cs="Arial"/>
        </w:rPr>
        <w:t>ounted to R972 </w:t>
      </w:r>
      <w:r w:rsidR="00C23ACE" w:rsidRPr="00633A58">
        <w:rPr>
          <w:rFonts w:ascii="Arial" w:hAnsi="Arial" w:cs="Arial"/>
        </w:rPr>
        <w:t>592.</w:t>
      </w:r>
      <w:r w:rsidRPr="00633A58">
        <w:rPr>
          <w:rFonts w:ascii="Arial" w:hAnsi="Arial" w:cs="Arial"/>
        </w:rPr>
        <w:t xml:space="preserve">67. It is this amount that the respondent asserted is not recoverable by </w:t>
      </w:r>
      <w:r w:rsidR="000A462D" w:rsidRPr="00633A58">
        <w:rPr>
          <w:rFonts w:ascii="Arial" w:hAnsi="Arial" w:cs="Arial"/>
        </w:rPr>
        <w:t>Discovery</w:t>
      </w:r>
      <w:r w:rsidRPr="00633A58">
        <w:rPr>
          <w:rFonts w:ascii="Arial" w:hAnsi="Arial" w:cs="Arial"/>
        </w:rPr>
        <w:t xml:space="preserve"> because it had not only already accrued but also paid out to </w:t>
      </w:r>
      <w:r w:rsidR="000A462D" w:rsidRPr="00633A58">
        <w:rPr>
          <w:rFonts w:ascii="Arial" w:hAnsi="Arial" w:cs="Arial"/>
        </w:rPr>
        <w:t>him at the time when Discovery terminated the policy</w:t>
      </w:r>
      <w:r w:rsidRPr="00633A58">
        <w:rPr>
          <w:rFonts w:ascii="Arial" w:hAnsi="Arial" w:cs="Arial"/>
        </w:rPr>
        <w:t xml:space="preserve">. </w:t>
      </w:r>
    </w:p>
    <w:p w:rsidR="00AF10BA" w:rsidRPr="00633A58" w:rsidRDefault="00AF10BA" w:rsidP="00E144FE">
      <w:pPr>
        <w:spacing w:line="360" w:lineRule="auto"/>
        <w:jc w:val="both"/>
        <w:rPr>
          <w:rFonts w:ascii="Arial" w:hAnsi="Arial" w:cs="Arial"/>
        </w:rPr>
      </w:pPr>
    </w:p>
    <w:p w:rsidR="002046E3" w:rsidRPr="00633A58" w:rsidRDefault="002046E3" w:rsidP="00E144FE">
      <w:pPr>
        <w:spacing w:line="360" w:lineRule="auto"/>
        <w:jc w:val="both"/>
        <w:rPr>
          <w:rFonts w:ascii="Arial" w:hAnsi="Arial" w:cs="Arial"/>
        </w:rPr>
      </w:pPr>
      <w:r w:rsidRPr="00633A58">
        <w:rPr>
          <w:rFonts w:ascii="Arial" w:hAnsi="Arial" w:cs="Arial"/>
        </w:rPr>
        <w:lastRenderedPageBreak/>
        <w:t>[</w:t>
      </w:r>
      <w:r w:rsidR="00DA4300" w:rsidRPr="00633A58">
        <w:rPr>
          <w:rFonts w:ascii="Arial" w:hAnsi="Arial" w:cs="Arial"/>
        </w:rPr>
        <w:t>32</w:t>
      </w:r>
      <w:r w:rsidRPr="00633A58">
        <w:rPr>
          <w:rFonts w:ascii="Arial" w:hAnsi="Arial" w:cs="Arial"/>
        </w:rPr>
        <w:t>]</w:t>
      </w:r>
      <w:r w:rsidRPr="00633A58">
        <w:rPr>
          <w:rFonts w:ascii="Arial" w:hAnsi="Arial" w:cs="Arial"/>
        </w:rPr>
        <w:tab/>
        <w:t xml:space="preserve">Counsel's argument is plainly unsustainable. The answer to it is to be found in clause 5.13 itself. In our view the clause is clear and unambiguous. Thus, effect must be given to it. In addition, to construe clause 5.13 as the respondent would have it, would subvert the well-established tenets of interpretation of documents. </w:t>
      </w:r>
      <w:r w:rsidR="00B15AA2" w:rsidRPr="00633A58">
        <w:rPr>
          <w:rFonts w:ascii="Arial" w:hAnsi="Arial" w:cs="Arial"/>
        </w:rPr>
        <w:t>What is more</w:t>
      </w:r>
      <w:r w:rsidRPr="00633A58">
        <w:rPr>
          <w:rFonts w:ascii="Arial" w:hAnsi="Arial" w:cs="Arial"/>
        </w:rPr>
        <w:t xml:space="preserve">, the underlying purpose that clause 5.13 was designed to serve, namely to protect Discovery against fraudulent </w:t>
      </w:r>
      <w:r w:rsidR="00EE158D" w:rsidRPr="00633A58">
        <w:rPr>
          <w:rFonts w:ascii="Arial" w:hAnsi="Arial" w:cs="Arial"/>
        </w:rPr>
        <w:t xml:space="preserve">claims and 'discourage attempts [by insured persons] to gain undue advantage by lodging falsely inflated claims' would be undermined. As Wallis JA pertinently observed in </w:t>
      </w:r>
      <w:r w:rsidR="007571BB" w:rsidRPr="00633A58">
        <w:rPr>
          <w:rFonts w:ascii="Arial" w:hAnsi="Arial" w:cs="Arial"/>
          <w:i/>
        </w:rPr>
        <w:t xml:space="preserve">Commissioner for the South African Revenue Service v United Manganese of Kalahari (Pty) Ltd </w:t>
      </w:r>
      <w:r w:rsidR="007571BB" w:rsidRPr="00633A58">
        <w:rPr>
          <w:rFonts w:ascii="Arial" w:hAnsi="Arial" w:cs="Arial"/>
        </w:rPr>
        <w:t xml:space="preserve">'...context is as important in construing statutes </w:t>
      </w:r>
      <w:r w:rsidR="00B44B7A" w:rsidRPr="00633A58">
        <w:rPr>
          <w:rFonts w:ascii="Arial" w:hAnsi="Arial" w:cs="Arial"/>
        </w:rPr>
        <w:t xml:space="preserve">as it is in construing contracts </w:t>
      </w:r>
      <w:r w:rsidR="007571BB" w:rsidRPr="00633A58">
        <w:rPr>
          <w:rFonts w:ascii="Arial" w:hAnsi="Arial" w:cs="Arial"/>
        </w:rPr>
        <w:t>or other documents...'</w:t>
      </w:r>
      <w:r w:rsidR="007571BB" w:rsidRPr="00633A58">
        <w:rPr>
          <w:rStyle w:val="FootnoteReference"/>
          <w:rFonts w:ascii="Arial" w:hAnsi="Arial" w:cs="Arial"/>
        </w:rPr>
        <w:footnoteReference w:id="23"/>
      </w:r>
      <w:r w:rsidR="009010DC" w:rsidRPr="00633A58">
        <w:rPr>
          <w:rFonts w:ascii="Arial" w:hAnsi="Arial" w:cs="Arial"/>
        </w:rPr>
        <w:t xml:space="preserve"> And, more than a decade previously in </w:t>
      </w:r>
      <w:r w:rsidR="009010DC" w:rsidRPr="00633A58">
        <w:rPr>
          <w:rFonts w:ascii="Arial" w:hAnsi="Arial" w:cs="Arial"/>
          <w:i/>
        </w:rPr>
        <w:t>Bato Star Fishing (Pty) Ltd v Minister of Environmental Affairs &amp; Others</w:t>
      </w:r>
      <w:r w:rsidR="009010DC" w:rsidRPr="00633A58">
        <w:rPr>
          <w:rFonts w:ascii="Arial" w:hAnsi="Arial" w:cs="Arial"/>
        </w:rPr>
        <w:t>,</w:t>
      </w:r>
      <w:r w:rsidR="009010DC" w:rsidRPr="00633A58">
        <w:rPr>
          <w:rStyle w:val="FootnoteReference"/>
          <w:rFonts w:ascii="Arial" w:hAnsi="Arial" w:cs="Arial"/>
        </w:rPr>
        <w:footnoteReference w:id="24"/>
      </w:r>
      <w:r w:rsidR="009010DC" w:rsidRPr="00633A58">
        <w:rPr>
          <w:rFonts w:ascii="Arial" w:hAnsi="Arial" w:cs="Arial"/>
        </w:rPr>
        <w:t xml:space="preserve"> the Constitutional Court made plain that 'the emerging trend in the interpretation of documents is </w:t>
      </w:r>
      <w:r w:rsidR="009010DC" w:rsidRPr="00633A58">
        <w:rPr>
          <w:rFonts w:ascii="Arial" w:hAnsi="Arial" w:cs="Arial"/>
          <w:i/>
        </w:rPr>
        <w:t>to have regard to the context in which the words occur,</w:t>
      </w:r>
      <w:r w:rsidR="009010DC" w:rsidRPr="00633A58">
        <w:rPr>
          <w:rFonts w:ascii="Arial" w:hAnsi="Arial" w:cs="Arial"/>
        </w:rPr>
        <w:t xml:space="preserve"> even where the words to be construed are clear and unambiguous'.</w:t>
      </w:r>
      <w:r w:rsidR="009010DC" w:rsidRPr="00633A58">
        <w:rPr>
          <w:rStyle w:val="FootnoteReference"/>
          <w:rFonts w:ascii="Arial" w:hAnsi="Arial" w:cs="Arial"/>
        </w:rPr>
        <w:footnoteReference w:id="25"/>
      </w:r>
      <w:r w:rsidR="009010DC" w:rsidRPr="00633A58">
        <w:rPr>
          <w:rFonts w:ascii="Arial" w:hAnsi="Arial" w:cs="Arial"/>
        </w:rPr>
        <w:t xml:space="preserve"> (Emphasis added.)</w:t>
      </w:r>
    </w:p>
    <w:p w:rsidR="009010DC" w:rsidRPr="00633A58" w:rsidRDefault="009010DC" w:rsidP="00E144FE">
      <w:pPr>
        <w:spacing w:line="360" w:lineRule="auto"/>
        <w:jc w:val="both"/>
        <w:rPr>
          <w:rFonts w:ascii="Arial" w:hAnsi="Arial" w:cs="Arial"/>
        </w:rPr>
      </w:pPr>
    </w:p>
    <w:p w:rsidR="009010DC" w:rsidRPr="00633A58" w:rsidRDefault="009010DC" w:rsidP="00E144FE">
      <w:pPr>
        <w:spacing w:line="360" w:lineRule="auto"/>
        <w:jc w:val="both"/>
        <w:rPr>
          <w:rFonts w:ascii="Arial" w:hAnsi="Arial" w:cs="Arial"/>
        </w:rPr>
      </w:pPr>
      <w:r w:rsidRPr="00633A58">
        <w:rPr>
          <w:rFonts w:ascii="Arial" w:hAnsi="Arial" w:cs="Arial"/>
        </w:rPr>
        <w:t>[</w:t>
      </w:r>
      <w:r w:rsidR="00BB1099" w:rsidRPr="00633A58">
        <w:rPr>
          <w:rFonts w:ascii="Arial" w:hAnsi="Arial" w:cs="Arial"/>
        </w:rPr>
        <w:t>33</w:t>
      </w:r>
      <w:r w:rsidRPr="00633A58">
        <w:rPr>
          <w:rFonts w:ascii="Arial" w:hAnsi="Arial" w:cs="Arial"/>
        </w:rPr>
        <w:t>]</w:t>
      </w:r>
      <w:r w:rsidRPr="00633A58">
        <w:rPr>
          <w:rFonts w:ascii="Arial" w:hAnsi="Arial" w:cs="Arial"/>
        </w:rPr>
        <w:tab/>
      </w:r>
      <w:r w:rsidR="00547361">
        <w:rPr>
          <w:rFonts w:ascii="Arial" w:hAnsi="Arial" w:cs="Arial"/>
        </w:rPr>
        <w:t>What is more</w:t>
      </w:r>
      <w:r w:rsidRPr="00633A58">
        <w:rPr>
          <w:rFonts w:ascii="Arial" w:hAnsi="Arial" w:cs="Arial"/>
        </w:rPr>
        <w:t xml:space="preserve">, the respondent's contentions to the contrary conveniently ignore what Marais JA said in </w:t>
      </w:r>
      <w:r w:rsidRPr="00633A58">
        <w:rPr>
          <w:rFonts w:ascii="Arial" w:hAnsi="Arial" w:cs="Arial"/>
          <w:i/>
        </w:rPr>
        <w:t>Schoeman</w:t>
      </w:r>
      <w:r w:rsidRPr="00633A58">
        <w:rPr>
          <w:rFonts w:ascii="Arial" w:hAnsi="Arial" w:cs="Arial"/>
        </w:rPr>
        <w:t xml:space="preserve"> that:</w:t>
      </w:r>
    </w:p>
    <w:p w:rsidR="009010DC" w:rsidRPr="00633A58" w:rsidRDefault="009010DC" w:rsidP="00E144FE">
      <w:pPr>
        <w:spacing w:line="360" w:lineRule="auto"/>
        <w:jc w:val="both"/>
        <w:rPr>
          <w:rFonts w:ascii="Arial" w:hAnsi="Arial" w:cs="Arial"/>
          <w:sz w:val="22"/>
        </w:rPr>
      </w:pPr>
      <w:r w:rsidRPr="00633A58">
        <w:rPr>
          <w:rFonts w:ascii="Arial" w:hAnsi="Arial" w:cs="Arial"/>
          <w:sz w:val="22"/>
        </w:rPr>
        <w:t>'When there is added to that the fact that insurance companies are masters of their own policies in the sense that they are free to unilaterally devise them, the insured has no say in the process, and that it is a simple matter to include an appropriate clause to protect the insurer against fraudulent claims by providing for forfeiture...'</w:t>
      </w:r>
      <w:r w:rsidRPr="00633A58">
        <w:rPr>
          <w:rStyle w:val="FootnoteReference"/>
          <w:rFonts w:ascii="Arial" w:hAnsi="Arial" w:cs="Arial"/>
          <w:sz w:val="22"/>
        </w:rPr>
        <w:footnoteReference w:id="26"/>
      </w:r>
    </w:p>
    <w:p w:rsidR="0060390E" w:rsidRPr="00633A58" w:rsidRDefault="00B15AA2" w:rsidP="00E144FE">
      <w:pPr>
        <w:spacing w:line="360" w:lineRule="auto"/>
        <w:jc w:val="both"/>
        <w:rPr>
          <w:rFonts w:ascii="Arial" w:hAnsi="Arial" w:cs="Arial"/>
        </w:rPr>
      </w:pPr>
      <w:r w:rsidRPr="00633A58">
        <w:rPr>
          <w:rFonts w:ascii="Arial" w:hAnsi="Arial" w:cs="Arial"/>
        </w:rPr>
        <w:t>Consequently, i</w:t>
      </w:r>
      <w:r w:rsidR="0060390E" w:rsidRPr="00633A58">
        <w:rPr>
          <w:rFonts w:ascii="Arial" w:hAnsi="Arial" w:cs="Arial"/>
        </w:rPr>
        <w:t xml:space="preserve">n incorporating clause 5.13 in the policy in issue here, Discovery did precisely what Marais JA had in mind when he made the remarks just quoted above. And we can conceive of no cogent reasons why full effect should not be given to this clause. </w:t>
      </w:r>
    </w:p>
    <w:p w:rsidR="0060390E" w:rsidRPr="00633A58" w:rsidRDefault="0060390E" w:rsidP="00E144FE">
      <w:pPr>
        <w:spacing w:line="360" w:lineRule="auto"/>
        <w:jc w:val="both"/>
        <w:rPr>
          <w:rFonts w:ascii="Arial" w:hAnsi="Arial" w:cs="Arial"/>
        </w:rPr>
      </w:pPr>
    </w:p>
    <w:p w:rsidR="0060390E" w:rsidRPr="00633A58" w:rsidRDefault="0060390E" w:rsidP="00E144FE">
      <w:pPr>
        <w:spacing w:line="360" w:lineRule="auto"/>
        <w:jc w:val="both"/>
        <w:rPr>
          <w:rFonts w:ascii="Arial" w:hAnsi="Arial" w:cs="Arial"/>
        </w:rPr>
      </w:pPr>
      <w:r w:rsidRPr="00633A58">
        <w:rPr>
          <w:rFonts w:ascii="Arial" w:hAnsi="Arial" w:cs="Arial"/>
        </w:rPr>
        <w:t>[</w:t>
      </w:r>
      <w:r w:rsidR="00BB1099" w:rsidRPr="00633A58">
        <w:rPr>
          <w:rFonts w:ascii="Arial" w:hAnsi="Arial" w:cs="Arial"/>
        </w:rPr>
        <w:t>34</w:t>
      </w:r>
      <w:r w:rsidRPr="00633A58">
        <w:rPr>
          <w:rFonts w:ascii="Arial" w:hAnsi="Arial" w:cs="Arial"/>
        </w:rPr>
        <w:t>]</w:t>
      </w:r>
      <w:r w:rsidRPr="00633A58">
        <w:rPr>
          <w:rFonts w:ascii="Arial" w:hAnsi="Arial" w:cs="Arial"/>
        </w:rPr>
        <w:tab/>
        <w:t>In sum, when the respondent purported to submit his claim on 11 November 2016 there was no</w:t>
      </w:r>
      <w:r w:rsidR="00B15AA2" w:rsidRPr="00633A58">
        <w:rPr>
          <w:rFonts w:ascii="Arial" w:hAnsi="Arial" w:cs="Arial"/>
        </w:rPr>
        <w:t xml:space="preserve"> longer an</w:t>
      </w:r>
      <w:r w:rsidRPr="00633A58">
        <w:rPr>
          <w:rFonts w:ascii="Arial" w:hAnsi="Arial" w:cs="Arial"/>
        </w:rPr>
        <w:t xml:space="preserve"> </w:t>
      </w:r>
      <w:r w:rsidR="0041371D" w:rsidRPr="00633A58">
        <w:rPr>
          <w:rFonts w:ascii="Arial" w:hAnsi="Arial" w:cs="Arial"/>
        </w:rPr>
        <w:t xml:space="preserve">extant </w:t>
      </w:r>
      <w:r w:rsidRPr="00633A58">
        <w:rPr>
          <w:rFonts w:ascii="Arial" w:hAnsi="Arial" w:cs="Arial"/>
        </w:rPr>
        <w:t>insurance policy because it had</w:t>
      </w:r>
      <w:r w:rsidR="00B15AA2" w:rsidRPr="00633A58">
        <w:rPr>
          <w:rFonts w:ascii="Arial" w:hAnsi="Arial" w:cs="Arial"/>
        </w:rPr>
        <w:t xml:space="preserve"> already</w:t>
      </w:r>
      <w:r w:rsidRPr="00633A58">
        <w:rPr>
          <w:rFonts w:ascii="Arial" w:hAnsi="Arial" w:cs="Arial"/>
        </w:rPr>
        <w:t xml:space="preserve"> been terminated with retrospective effect from 1</w:t>
      </w:r>
      <w:r w:rsidR="00B44B7A" w:rsidRPr="00633A58">
        <w:rPr>
          <w:rFonts w:ascii="Arial" w:hAnsi="Arial" w:cs="Arial"/>
        </w:rPr>
        <w:t>0</w:t>
      </w:r>
      <w:r w:rsidRPr="00633A58">
        <w:rPr>
          <w:rFonts w:ascii="Arial" w:hAnsi="Arial" w:cs="Arial"/>
        </w:rPr>
        <w:t xml:space="preserve"> November 2016 – the date of the incident </w:t>
      </w:r>
      <w:r w:rsidRPr="00633A58">
        <w:rPr>
          <w:rFonts w:ascii="Arial" w:hAnsi="Arial" w:cs="Arial"/>
        </w:rPr>
        <w:lastRenderedPageBreak/>
        <w:t xml:space="preserve">– pursuant to clause 5.13. </w:t>
      </w:r>
      <w:r w:rsidR="00B15AA2" w:rsidRPr="00633A58">
        <w:rPr>
          <w:rFonts w:ascii="Arial" w:hAnsi="Arial" w:cs="Arial"/>
        </w:rPr>
        <w:t xml:space="preserve">Therefore, to ascribe to clause 5.13 the meaning for which the respondent contended would, as Marais JA put it in </w:t>
      </w:r>
      <w:r w:rsidR="00B15AA2" w:rsidRPr="00633A58">
        <w:rPr>
          <w:rFonts w:ascii="Arial" w:hAnsi="Arial" w:cs="Arial"/>
          <w:i/>
        </w:rPr>
        <w:t>Schoeman</w:t>
      </w:r>
      <w:r w:rsidR="00B15AA2" w:rsidRPr="00633A58">
        <w:rPr>
          <w:rFonts w:ascii="Arial" w:hAnsi="Arial" w:cs="Arial"/>
        </w:rPr>
        <w:t>, 'render the clause entirely nugatory'.</w:t>
      </w:r>
      <w:r w:rsidR="00E30896" w:rsidRPr="00633A58">
        <w:rPr>
          <w:rStyle w:val="FootnoteReference"/>
          <w:rFonts w:ascii="Arial" w:hAnsi="Arial" w:cs="Arial"/>
        </w:rPr>
        <w:footnoteReference w:id="27"/>
      </w:r>
    </w:p>
    <w:p w:rsidR="0060390E" w:rsidRPr="00633A58" w:rsidRDefault="0060390E" w:rsidP="00E144FE">
      <w:pPr>
        <w:spacing w:line="360" w:lineRule="auto"/>
        <w:jc w:val="both"/>
        <w:rPr>
          <w:rFonts w:ascii="Arial" w:hAnsi="Arial" w:cs="Arial"/>
        </w:rPr>
      </w:pPr>
    </w:p>
    <w:p w:rsidR="0060390E" w:rsidRPr="00633A58" w:rsidRDefault="0060390E" w:rsidP="00E144FE">
      <w:pPr>
        <w:spacing w:line="360" w:lineRule="auto"/>
        <w:jc w:val="both"/>
        <w:rPr>
          <w:rFonts w:ascii="Arial" w:hAnsi="Arial" w:cs="Arial"/>
          <w:color w:val="000000"/>
          <w:lang w:val="en-ZA" w:eastAsia="en-ZA"/>
        </w:rPr>
      </w:pPr>
      <w:r w:rsidRPr="00633A58">
        <w:rPr>
          <w:rFonts w:ascii="Arial" w:hAnsi="Arial" w:cs="Arial"/>
        </w:rPr>
        <w:t>[</w:t>
      </w:r>
      <w:r w:rsidR="00BB1099" w:rsidRPr="00633A58">
        <w:rPr>
          <w:rFonts w:ascii="Arial" w:hAnsi="Arial" w:cs="Arial"/>
        </w:rPr>
        <w:t>35</w:t>
      </w:r>
      <w:r w:rsidRPr="00633A58">
        <w:rPr>
          <w:rFonts w:ascii="Arial" w:hAnsi="Arial" w:cs="Arial"/>
        </w:rPr>
        <w:t>]</w:t>
      </w:r>
      <w:r w:rsidRPr="00633A58">
        <w:rPr>
          <w:rFonts w:ascii="Arial" w:hAnsi="Arial" w:cs="Arial"/>
        </w:rPr>
        <w:tab/>
        <w:t xml:space="preserve">It remains briefly to deal with the final argument advanced on behalf of the respondent. It is this. The forfeiture clause (ie clause 5.13) is to all intents and purposes a penalty clause </w:t>
      </w:r>
      <w:r w:rsidR="002E121C" w:rsidRPr="00633A58">
        <w:rPr>
          <w:rFonts w:ascii="Arial" w:hAnsi="Arial" w:cs="Arial"/>
        </w:rPr>
        <w:t>which</w:t>
      </w:r>
      <w:r w:rsidRPr="00633A58">
        <w:rPr>
          <w:rFonts w:ascii="Arial" w:hAnsi="Arial" w:cs="Arial"/>
        </w:rPr>
        <w:t xml:space="preserve"> is</w:t>
      </w:r>
      <w:r w:rsidR="002E121C" w:rsidRPr="00633A58">
        <w:rPr>
          <w:rFonts w:ascii="Arial" w:hAnsi="Arial" w:cs="Arial"/>
        </w:rPr>
        <w:t>,</w:t>
      </w:r>
      <w:r w:rsidRPr="00633A58">
        <w:rPr>
          <w:rFonts w:ascii="Arial" w:hAnsi="Arial" w:cs="Arial"/>
        </w:rPr>
        <w:t xml:space="preserve"> for that reason</w:t>
      </w:r>
      <w:r w:rsidR="002E121C" w:rsidRPr="00633A58">
        <w:rPr>
          <w:rFonts w:ascii="Arial" w:hAnsi="Arial" w:cs="Arial"/>
        </w:rPr>
        <w:t>,</w:t>
      </w:r>
      <w:r w:rsidRPr="00633A58">
        <w:rPr>
          <w:rFonts w:ascii="Arial" w:hAnsi="Arial" w:cs="Arial"/>
        </w:rPr>
        <w:t xml:space="preserve"> not enforceable. It is not necessary </w:t>
      </w:r>
      <w:r w:rsidR="000F4AD4" w:rsidRPr="00633A58">
        <w:rPr>
          <w:rFonts w:ascii="Arial" w:hAnsi="Arial" w:cs="Arial"/>
        </w:rPr>
        <w:t>to delve into this aspect. It suffices merely to point out that neither party raised this issue in their pleadings. Nor was it canvassed at the trial. It emerged for the first time in the judgment of the high court. The parties were</w:t>
      </w:r>
      <w:r w:rsidR="006B265B" w:rsidRPr="00633A58">
        <w:rPr>
          <w:rFonts w:ascii="Arial" w:hAnsi="Arial" w:cs="Arial"/>
        </w:rPr>
        <w:t xml:space="preserve"> at no stage a</w:t>
      </w:r>
      <w:r w:rsidR="000F4AD4" w:rsidRPr="00633A58">
        <w:rPr>
          <w:rFonts w:ascii="Arial" w:hAnsi="Arial" w:cs="Arial"/>
        </w:rPr>
        <w:t xml:space="preserve">lerted to it. It bears repeating that this Court has more than once cautioned against Judges straying outside of the facts presented to the court by the litigants. In </w:t>
      </w:r>
      <w:r w:rsidR="000F4AD4" w:rsidRPr="00633A58">
        <w:rPr>
          <w:rFonts w:ascii="Arial" w:hAnsi="Arial" w:cs="Arial"/>
          <w:i/>
        </w:rPr>
        <w:t>Fischer and Another v Ramahlele and Others</w:t>
      </w:r>
      <w:r w:rsidR="000F4AD4" w:rsidRPr="00633A58">
        <w:rPr>
          <w:rStyle w:val="FootnoteReference"/>
          <w:rFonts w:ascii="Arial" w:hAnsi="Arial" w:cs="Arial"/>
        </w:rPr>
        <w:footnoteReference w:id="28"/>
      </w:r>
      <w:r w:rsidR="00F34D9E" w:rsidRPr="00633A58">
        <w:rPr>
          <w:rFonts w:ascii="Arial" w:hAnsi="Arial" w:cs="Arial"/>
          <w:i/>
        </w:rPr>
        <w:t xml:space="preserve"> </w:t>
      </w:r>
      <w:r w:rsidR="00F34D9E" w:rsidRPr="00633A58">
        <w:rPr>
          <w:rFonts w:ascii="Arial" w:hAnsi="Arial" w:cs="Arial"/>
        </w:rPr>
        <w:t xml:space="preserve">this Court </w:t>
      </w:r>
      <w:r w:rsidR="006B265B" w:rsidRPr="00633A58">
        <w:rPr>
          <w:rFonts w:ascii="Arial" w:hAnsi="Arial" w:cs="Arial"/>
        </w:rPr>
        <w:t>said the following on this score</w:t>
      </w:r>
      <w:r w:rsidR="00F34D9E" w:rsidRPr="00633A58">
        <w:rPr>
          <w:rFonts w:ascii="Arial" w:hAnsi="Arial" w:cs="Arial"/>
        </w:rPr>
        <w:t>:</w:t>
      </w:r>
    </w:p>
    <w:p w:rsidR="0097655D" w:rsidRPr="00633A58" w:rsidRDefault="00F34D9E" w:rsidP="00E144FE">
      <w:pPr>
        <w:spacing w:line="360" w:lineRule="auto"/>
        <w:jc w:val="both"/>
        <w:rPr>
          <w:rFonts w:ascii="Arial" w:hAnsi="Arial" w:cs="Arial"/>
          <w:color w:val="000000"/>
          <w:sz w:val="22"/>
          <w:lang w:val="en-ZA" w:eastAsia="en-ZA"/>
        </w:rPr>
      </w:pPr>
      <w:r w:rsidRPr="00633A58">
        <w:rPr>
          <w:rFonts w:ascii="Arial" w:hAnsi="Arial" w:cs="Arial"/>
          <w:color w:val="000000"/>
          <w:sz w:val="22"/>
          <w:lang w:val="en-ZA" w:eastAsia="en-ZA"/>
        </w:rPr>
        <w:t xml:space="preserve">'Turning then to the nature of civil litigation in our adversarial system it is for the parties, either in the pleadings or affidavits, which serve the function of both pleadings and evidence, to set out and define the nature of their dispute and it is for the court to adjudicate upon those issues. That is so even where the dispute involves an issue pertaining to the basic human rights guaranteed by our Constitution, for ‘it is impermissible for a party to rely on a constitutional complaint that was not pleaded’. There are cases where the parties may expand those issues by the way in which they conduct the proceedings. There may also be instances where the court may </w:t>
      </w:r>
      <w:r w:rsidRPr="00633A58">
        <w:rPr>
          <w:rFonts w:ascii="Arial" w:hAnsi="Arial" w:cs="Arial"/>
          <w:i/>
          <w:color w:val="000000"/>
          <w:sz w:val="22"/>
          <w:lang w:val="en-ZA" w:eastAsia="en-ZA"/>
        </w:rPr>
        <w:t>mero motu</w:t>
      </w:r>
      <w:r w:rsidRPr="00633A58">
        <w:rPr>
          <w:rFonts w:ascii="Arial" w:hAnsi="Arial" w:cs="Arial"/>
          <w:color w:val="000000"/>
          <w:sz w:val="22"/>
          <w:lang w:val="en-ZA" w:eastAsia="en-ZA"/>
        </w:rPr>
        <w:t xml:space="preserve"> raise a question of law that emerges fully from the evidence and is necessary for the decision of the case. That is subject to the proviso that no prejudice will be caused to any party by its being decided. Beyond that it is for the parties to identify the dispute and for the court to determine that dispute and that dispute alone.</w:t>
      </w:r>
    </w:p>
    <w:p w:rsidR="00F34D9E" w:rsidRPr="00633A58" w:rsidRDefault="00F34D9E" w:rsidP="00E144FE">
      <w:pPr>
        <w:spacing w:line="360" w:lineRule="auto"/>
        <w:jc w:val="both"/>
        <w:rPr>
          <w:rFonts w:ascii="Arial" w:hAnsi="Arial" w:cs="Arial"/>
          <w:color w:val="000000"/>
          <w:sz w:val="22"/>
          <w:lang w:val="en-ZA" w:eastAsia="en-ZA"/>
        </w:rPr>
      </w:pPr>
    </w:p>
    <w:p w:rsidR="00F34D9E" w:rsidRPr="00633A58" w:rsidRDefault="00F34D9E" w:rsidP="00E144FE">
      <w:pPr>
        <w:spacing w:line="360" w:lineRule="auto"/>
        <w:jc w:val="both"/>
        <w:rPr>
          <w:rFonts w:ascii="Arial" w:hAnsi="Arial" w:cs="Arial"/>
          <w:color w:val="000000"/>
          <w:sz w:val="22"/>
          <w:lang w:val="en-ZA" w:eastAsia="en-ZA"/>
        </w:rPr>
      </w:pPr>
      <w:r w:rsidRPr="00633A58">
        <w:rPr>
          <w:rFonts w:ascii="Arial" w:hAnsi="Arial" w:cs="Arial"/>
          <w:color w:val="000000"/>
          <w:sz w:val="22"/>
          <w:lang w:val="en-ZA" w:eastAsia="en-ZA"/>
        </w:rPr>
        <w:t xml:space="preserve">It is not for the court to raise new issues not traversed in the pleadings or affidavits, however interesting or important they may seem to it, and to insist that the parties deal with them. The parties may have their own reasons for not raising those issues. A court may sometimes suggest a line of argument or an approach to a case that has not previously occurred to the parties. However, it is then for the parties to determine whether they wish to adopt the new point. They may choose not to do so because of its implications for the further conduct of the proceedings, such as an adjournment or the need to amend pleadings or call additional </w:t>
      </w:r>
      <w:r w:rsidRPr="00633A58">
        <w:rPr>
          <w:rFonts w:ascii="Arial" w:hAnsi="Arial" w:cs="Arial"/>
          <w:color w:val="000000"/>
          <w:sz w:val="22"/>
          <w:lang w:val="en-ZA" w:eastAsia="en-ZA"/>
        </w:rPr>
        <w:lastRenderedPageBreak/>
        <w:t>evidence. They may feel that their case is sufficiently strong as it stands to require no supplementation. They may simply wish the issues already identified to be determined because they are relevant to future matters and the relationship between the parties. That is for them to decide and not the court. If they wish to stand by the issues they have formulated, the court may not raise new ones or compel them to deal with matters other than those they have formulated in the pleadings or affidavits.'</w:t>
      </w:r>
      <w:r w:rsidRPr="00633A58">
        <w:rPr>
          <w:rStyle w:val="FootnoteReference"/>
          <w:rFonts w:ascii="Arial" w:hAnsi="Arial" w:cs="Arial"/>
          <w:color w:val="000000"/>
          <w:sz w:val="22"/>
          <w:lang w:val="en-ZA" w:eastAsia="en-ZA"/>
        </w:rPr>
        <w:footnoteReference w:id="29"/>
      </w:r>
      <w:r w:rsidRPr="00633A58">
        <w:rPr>
          <w:rFonts w:ascii="Arial" w:hAnsi="Arial" w:cs="Arial"/>
          <w:color w:val="000000"/>
          <w:sz w:val="22"/>
          <w:lang w:val="en-ZA" w:eastAsia="en-ZA"/>
        </w:rPr>
        <w:t xml:space="preserve"> [Citations omitted.]</w:t>
      </w:r>
    </w:p>
    <w:p w:rsidR="00B371A3" w:rsidRPr="00633A58" w:rsidRDefault="00B371A3" w:rsidP="00E144FE">
      <w:pPr>
        <w:spacing w:line="360" w:lineRule="auto"/>
        <w:jc w:val="both"/>
        <w:rPr>
          <w:rFonts w:ascii="Arial" w:hAnsi="Arial" w:cs="Arial"/>
          <w:color w:val="000000"/>
          <w:sz w:val="22"/>
          <w:lang w:val="en-ZA" w:eastAsia="en-ZA"/>
        </w:rPr>
      </w:pPr>
    </w:p>
    <w:p w:rsidR="00B371A3" w:rsidRPr="00633A58" w:rsidRDefault="00B371A3" w:rsidP="00E144FE">
      <w:pPr>
        <w:spacing w:line="360" w:lineRule="auto"/>
        <w:jc w:val="both"/>
        <w:rPr>
          <w:rFonts w:ascii="Arial" w:hAnsi="Arial" w:cs="Arial"/>
          <w:color w:val="000000"/>
          <w:lang w:val="en-ZA" w:eastAsia="en-ZA"/>
        </w:rPr>
      </w:pPr>
      <w:r w:rsidRPr="00633A58">
        <w:rPr>
          <w:rFonts w:ascii="Arial" w:hAnsi="Arial" w:cs="Arial"/>
          <w:color w:val="000000"/>
          <w:lang w:val="en-ZA" w:eastAsia="en-ZA"/>
        </w:rPr>
        <w:t>[</w:t>
      </w:r>
      <w:r w:rsidR="00BB1099" w:rsidRPr="00633A58">
        <w:rPr>
          <w:rFonts w:ascii="Arial" w:hAnsi="Arial" w:cs="Arial"/>
          <w:color w:val="000000"/>
          <w:lang w:val="en-ZA" w:eastAsia="en-ZA"/>
        </w:rPr>
        <w:t>36</w:t>
      </w:r>
      <w:r w:rsidRPr="00633A58">
        <w:rPr>
          <w:rFonts w:ascii="Arial" w:hAnsi="Arial" w:cs="Arial"/>
          <w:color w:val="000000"/>
          <w:lang w:val="en-ZA" w:eastAsia="en-ZA"/>
        </w:rPr>
        <w:t>]</w:t>
      </w:r>
      <w:r w:rsidRPr="00633A58">
        <w:rPr>
          <w:rFonts w:ascii="Arial" w:hAnsi="Arial" w:cs="Arial"/>
          <w:color w:val="000000"/>
          <w:lang w:val="en-ZA" w:eastAsia="en-ZA"/>
        </w:rPr>
        <w:tab/>
        <w:t xml:space="preserve">For all the </w:t>
      </w:r>
      <w:r w:rsidR="006B265B" w:rsidRPr="00633A58">
        <w:rPr>
          <w:rFonts w:ascii="Arial" w:hAnsi="Arial" w:cs="Arial"/>
          <w:color w:val="000000"/>
          <w:lang w:val="en-ZA" w:eastAsia="en-ZA"/>
        </w:rPr>
        <w:t xml:space="preserve">aforegoing </w:t>
      </w:r>
      <w:r w:rsidRPr="00633A58">
        <w:rPr>
          <w:rFonts w:ascii="Arial" w:hAnsi="Arial" w:cs="Arial"/>
          <w:color w:val="000000"/>
          <w:lang w:val="en-ZA" w:eastAsia="en-ZA"/>
        </w:rPr>
        <w:t>reasons, we do not agree with the interpretation of clause 5.13 favoured by the high court. As already stated, its interpretation entirely overlooked the fact that clause 5.13 explicitly provides that upon breach of its terms</w:t>
      </w:r>
      <w:r w:rsidR="006B265B" w:rsidRPr="00633A58">
        <w:rPr>
          <w:rFonts w:ascii="Arial" w:hAnsi="Arial" w:cs="Arial"/>
          <w:color w:val="000000"/>
          <w:lang w:val="en-ZA" w:eastAsia="en-ZA"/>
        </w:rPr>
        <w:t>,</w:t>
      </w:r>
      <w:r w:rsidRPr="00633A58">
        <w:rPr>
          <w:rFonts w:ascii="Arial" w:hAnsi="Arial" w:cs="Arial"/>
          <w:color w:val="000000"/>
          <w:lang w:val="en-ZA" w:eastAsia="en-ZA"/>
        </w:rPr>
        <w:t xml:space="preserve"> Discovery would be entitled to terminate the policy with retrospective effect from the date of the incident giving rise to the claim, ie 10 November 2016. Bearing in mind this crucial consideration, we are driven to the conclusion that when the respondent lodged the claim on 11 November 2016</w:t>
      </w:r>
      <w:r w:rsidR="00BB1099" w:rsidRPr="00633A58">
        <w:rPr>
          <w:rFonts w:ascii="Arial" w:hAnsi="Arial" w:cs="Arial"/>
          <w:color w:val="000000"/>
          <w:lang w:val="en-ZA" w:eastAsia="en-ZA"/>
        </w:rPr>
        <w:t>,</w:t>
      </w:r>
      <w:r w:rsidRPr="00633A58">
        <w:rPr>
          <w:rFonts w:ascii="Arial" w:hAnsi="Arial" w:cs="Arial"/>
          <w:color w:val="000000"/>
          <w:lang w:val="en-ZA" w:eastAsia="en-ZA"/>
        </w:rPr>
        <w:t xml:space="preserve"> he had already forfeited all the benefits under the policy. Simply put, once the policy </w:t>
      </w:r>
      <w:r w:rsidR="00545C33" w:rsidRPr="00633A58">
        <w:rPr>
          <w:rFonts w:ascii="Arial" w:hAnsi="Arial" w:cs="Arial"/>
          <w:color w:val="000000"/>
          <w:lang w:val="en-ZA" w:eastAsia="en-ZA"/>
        </w:rPr>
        <w:t xml:space="preserve">was terminated on 10 November 2016 there was no policy in extant under which the respondent could claim any of the benefits that would otherwise have been available to him had the policy not been terminated a day earlier. Concomitantly, Discovery was under no obligation to pay out any moneys to the respondent </w:t>
      </w:r>
      <w:r w:rsidR="00C171FF" w:rsidRPr="00633A58">
        <w:rPr>
          <w:rFonts w:ascii="Arial" w:hAnsi="Arial" w:cs="Arial"/>
          <w:color w:val="000000"/>
          <w:lang w:val="en-ZA" w:eastAsia="en-ZA"/>
        </w:rPr>
        <w:t xml:space="preserve">on 5 December 2016 onwards because the policy had, on 10 November 2016, already terminated. </w:t>
      </w:r>
    </w:p>
    <w:p w:rsidR="00C171FF" w:rsidRPr="00633A58" w:rsidRDefault="00C171FF" w:rsidP="00E144FE">
      <w:pPr>
        <w:spacing w:line="360" w:lineRule="auto"/>
        <w:jc w:val="both"/>
        <w:rPr>
          <w:rFonts w:ascii="Arial" w:hAnsi="Arial" w:cs="Arial"/>
          <w:color w:val="000000"/>
          <w:lang w:val="en-ZA" w:eastAsia="en-ZA"/>
        </w:rPr>
      </w:pPr>
    </w:p>
    <w:p w:rsidR="00C171FF" w:rsidRPr="00633A58" w:rsidRDefault="00C171FF" w:rsidP="00E144FE">
      <w:pPr>
        <w:spacing w:line="360" w:lineRule="auto"/>
        <w:jc w:val="both"/>
        <w:rPr>
          <w:rFonts w:ascii="Arial" w:hAnsi="Arial" w:cs="Arial"/>
          <w:color w:val="000000"/>
          <w:lang w:val="en-ZA" w:eastAsia="en-ZA"/>
        </w:rPr>
      </w:pPr>
      <w:r w:rsidRPr="00633A58">
        <w:rPr>
          <w:rFonts w:ascii="Arial" w:hAnsi="Arial" w:cs="Arial"/>
          <w:color w:val="000000"/>
          <w:lang w:val="en-ZA" w:eastAsia="en-ZA"/>
        </w:rPr>
        <w:t>[</w:t>
      </w:r>
      <w:r w:rsidR="00BB1099" w:rsidRPr="00633A58">
        <w:rPr>
          <w:rFonts w:ascii="Arial" w:hAnsi="Arial" w:cs="Arial"/>
          <w:color w:val="000000"/>
          <w:lang w:val="en-ZA" w:eastAsia="en-ZA"/>
        </w:rPr>
        <w:t>37</w:t>
      </w:r>
      <w:r w:rsidRPr="00633A58">
        <w:rPr>
          <w:rFonts w:ascii="Arial" w:hAnsi="Arial" w:cs="Arial"/>
          <w:color w:val="000000"/>
          <w:lang w:val="en-ZA" w:eastAsia="en-ZA"/>
        </w:rPr>
        <w:t>]</w:t>
      </w:r>
      <w:r w:rsidRPr="00633A58">
        <w:rPr>
          <w:rFonts w:ascii="Arial" w:hAnsi="Arial" w:cs="Arial"/>
          <w:color w:val="000000"/>
          <w:lang w:val="en-ZA" w:eastAsia="en-ZA"/>
        </w:rPr>
        <w:tab/>
      </w:r>
      <w:r w:rsidR="006B265B" w:rsidRPr="00633A58">
        <w:rPr>
          <w:rFonts w:ascii="Arial" w:hAnsi="Arial" w:cs="Arial"/>
          <w:color w:val="000000"/>
          <w:lang w:val="en-ZA" w:eastAsia="en-ZA"/>
        </w:rPr>
        <w:t>Accordingly</w:t>
      </w:r>
      <w:r w:rsidRPr="00633A58">
        <w:rPr>
          <w:rFonts w:ascii="Arial" w:hAnsi="Arial" w:cs="Arial"/>
          <w:color w:val="000000"/>
          <w:lang w:val="en-ZA" w:eastAsia="en-ZA"/>
        </w:rPr>
        <w:t xml:space="preserve">, we consider that Discovery was entitled to a refund </w:t>
      </w:r>
      <w:r w:rsidR="006B265B" w:rsidRPr="00633A58">
        <w:rPr>
          <w:rFonts w:ascii="Arial" w:hAnsi="Arial" w:cs="Arial"/>
          <w:color w:val="000000"/>
          <w:lang w:val="en-ZA" w:eastAsia="en-ZA"/>
        </w:rPr>
        <w:t>of</w:t>
      </w:r>
      <w:r w:rsidRPr="00633A58">
        <w:rPr>
          <w:rFonts w:ascii="Arial" w:hAnsi="Arial" w:cs="Arial"/>
          <w:color w:val="000000"/>
          <w:lang w:val="en-ZA" w:eastAsia="en-ZA"/>
        </w:rPr>
        <w:t xml:space="preserve"> all the moneys previously paid out by it to the respondent and</w:t>
      </w:r>
      <w:r w:rsidR="006B265B" w:rsidRPr="00633A58">
        <w:rPr>
          <w:rFonts w:ascii="Arial" w:hAnsi="Arial" w:cs="Arial"/>
          <w:color w:val="000000"/>
          <w:lang w:val="en-ZA" w:eastAsia="en-ZA"/>
        </w:rPr>
        <w:t>,</w:t>
      </w:r>
      <w:r w:rsidRPr="00633A58">
        <w:rPr>
          <w:rFonts w:ascii="Arial" w:hAnsi="Arial" w:cs="Arial"/>
          <w:color w:val="000000"/>
          <w:lang w:val="en-ZA" w:eastAsia="en-ZA"/>
        </w:rPr>
        <w:t xml:space="preserve"> thus, to the relief it sought in the high court. In these circumstances the appeal should</w:t>
      </w:r>
      <w:r w:rsidR="001A6459" w:rsidRPr="00633A58">
        <w:rPr>
          <w:rFonts w:ascii="Arial" w:hAnsi="Arial" w:cs="Arial"/>
          <w:color w:val="000000"/>
          <w:lang w:val="en-ZA" w:eastAsia="en-ZA"/>
        </w:rPr>
        <w:t>,</w:t>
      </w:r>
      <w:r w:rsidRPr="00633A58">
        <w:rPr>
          <w:rFonts w:ascii="Arial" w:hAnsi="Arial" w:cs="Arial"/>
          <w:color w:val="000000"/>
          <w:lang w:val="en-ZA" w:eastAsia="en-ZA"/>
        </w:rPr>
        <w:t xml:space="preserve"> therefore</w:t>
      </w:r>
      <w:r w:rsidR="001A6459" w:rsidRPr="00633A58">
        <w:rPr>
          <w:rFonts w:ascii="Arial" w:hAnsi="Arial" w:cs="Arial"/>
          <w:color w:val="000000"/>
          <w:lang w:val="en-ZA" w:eastAsia="en-ZA"/>
        </w:rPr>
        <w:t>,</w:t>
      </w:r>
      <w:r w:rsidRPr="00633A58">
        <w:rPr>
          <w:rFonts w:ascii="Arial" w:hAnsi="Arial" w:cs="Arial"/>
          <w:color w:val="000000"/>
          <w:lang w:val="en-ZA" w:eastAsia="en-ZA"/>
        </w:rPr>
        <w:t xml:space="preserve"> succeed. There was no issue in relation to costs, which must therefore follow the result. </w:t>
      </w:r>
    </w:p>
    <w:p w:rsidR="003938AF" w:rsidRPr="00633A58" w:rsidRDefault="003938AF" w:rsidP="00E144FE">
      <w:pPr>
        <w:spacing w:line="360" w:lineRule="auto"/>
        <w:jc w:val="both"/>
        <w:rPr>
          <w:rFonts w:ascii="Arial" w:hAnsi="Arial" w:cs="Arial"/>
          <w:color w:val="000000"/>
          <w:lang w:val="en-ZA" w:eastAsia="en-ZA"/>
        </w:rPr>
      </w:pPr>
    </w:p>
    <w:p w:rsidR="005D74E3" w:rsidRPr="00633A58" w:rsidRDefault="005D74E3" w:rsidP="00E144FE">
      <w:pPr>
        <w:spacing w:line="360" w:lineRule="auto"/>
        <w:jc w:val="both"/>
        <w:rPr>
          <w:rFonts w:ascii="Arial" w:hAnsi="Arial" w:cs="Arial"/>
        </w:rPr>
      </w:pPr>
      <w:r w:rsidRPr="00633A58">
        <w:rPr>
          <w:rFonts w:ascii="Arial" w:hAnsi="Arial" w:cs="Arial"/>
          <w:b/>
        </w:rPr>
        <w:t>Order</w:t>
      </w:r>
    </w:p>
    <w:p w:rsidR="00293DB2" w:rsidRPr="00633A58" w:rsidRDefault="005D74E3" w:rsidP="006E0BDF">
      <w:pPr>
        <w:pStyle w:val="ListParagraph"/>
        <w:spacing w:line="360" w:lineRule="auto"/>
        <w:ind w:left="0"/>
        <w:jc w:val="both"/>
        <w:rPr>
          <w:rFonts w:ascii="Arial" w:hAnsi="Arial" w:cs="Arial"/>
        </w:rPr>
      </w:pPr>
      <w:r w:rsidRPr="00633A58">
        <w:rPr>
          <w:rFonts w:ascii="Arial" w:hAnsi="Arial" w:cs="Arial"/>
        </w:rPr>
        <w:t>[</w:t>
      </w:r>
      <w:r w:rsidR="00BB1099" w:rsidRPr="00633A58">
        <w:rPr>
          <w:rFonts w:ascii="Arial" w:hAnsi="Arial" w:cs="Arial"/>
        </w:rPr>
        <w:t>38</w:t>
      </w:r>
      <w:r w:rsidRPr="00633A58">
        <w:rPr>
          <w:rFonts w:ascii="Arial" w:hAnsi="Arial" w:cs="Arial"/>
        </w:rPr>
        <w:t>]</w:t>
      </w:r>
      <w:r w:rsidRPr="00633A58">
        <w:rPr>
          <w:rFonts w:ascii="Arial" w:hAnsi="Arial" w:cs="Arial"/>
        </w:rPr>
        <w:tab/>
        <w:t>In the result, the following order is made:</w:t>
      </w:r>
    </w:p>
    <w:p w:rsidR="001E17C8" w:rsidRPr="00633A58" w:rsidRDefault="001E17C8" w:rsidP="001E17C8">
      <w:pPr>
        <w:spacing w:line="360" w:lineRule="auto"/>
        <w:jc w:val="both"/>
        <w:rPr>
          <w:rFonts w:ascii="Arial" w:hAnsi="Arial" w:cs="Arial"/>
        </w:rPr>
      </w:pPr>
      <w:r w:rsidRPr="00633A58">
        <w:rPr>
          <w:rFonts w:ascii="Arial" w:hAnsi="Arial" w:cs="Arial"/>
        </w:rPr>
        <w:t>1</w:t>
      </w:r>
      <w:r w:rsidRPr="00633A58">
        <w:rPr>
          <w:rFonts w:ascii="Arial" w:hAnsi="Arial" w:cs="Arial"/>
        </w:rPr>
        <w:tab/>
        <w:t>The appeal is upheld with costs.</w:t>
      </w:r>
    </w:p>
    <w:p w:rsidR="001E17C8" w:rsidRPr="00633A58" w:rsidRDefault="001E17C8" w:rsidP="001E17C8">
      <w:pPr>
        <w:spacing w:line="360" w:lineRule="auto"/>
        <w:ind w:left="720" w:hanging="720"/>
        <w:jc w:val="both"/>
        <w:rPr>
          <w:rFonts w:ascii="Arial" w:hAnsi="Arial" w:cs="Arial"/>
        </w:rPr>
      </w:pPr>
      <w:r w:rsidRPr="00633A58">
        <w:rPr>
          <w:rFonts w:ascii="Arial" w:hAnsi="Arial" w:cs="Arial"/>
          <w:color w:val="000000"/>
          <w:lang w:eastAsia="en-ZA"/>
        </w:rPr>
        <w:t>2</w:t>
      </w:r>
      <w:r w:rsidRPr="00633A58">
        <w:rPr>
          <w:rFonts w:ascii="Arial" w:hAnsi="Arial" w:cs="Arial"/>
          <w:color w:val="000000"/>
          <w:lang w:eastAsia="en-ZA"/>
        </w:rPr>
        <w:tab/>
        <w:t>Paragraphs 1, 2 and 3 of the order of the high court are set aside and substituted with the following:</w:t>
      </w:r>
    </w:p>
    <w:p w:rsidR="001E17C8" w:rsidRPr="00633A58" w:rsidRDefault="001E17C8" w:rsidP="001E17C8">
      <w:pPr>
        <w:spacing w:line="360" w:lineRule="auto"/>
        <w:ind w:firstLine="633"/>
        <w:jc w:val="both"/>
        <w:rPr>
          <w:rFonts w:ascii="Arial" w:hAnsi="Arial" w:cs="Arial"/>
        </w:rPr>
      </w:pPr>
      <w:r w:rsidRPr="00633A58">
        <w:rPr>
          <w:rFonts w:ascii="Arial" w:hAnsi="Arial" w:cs="Arial"/>
        </w:rPr>
        <w:t>‘1 Judgment is granted against the defendant in favour of the plaintiff for:</w:t>
      </w:r>
    </w:p>
    <w:p w:rsidR="001E17C8" w:rsidRPr="00633A58" w:rsidRDefault="001E17C8" w:rsidP="001E17C8">
      <w:pPr>
        <w:spacing w:line="360" w:lineRule="auto"/>
        <w:ind w:left="633"/>
        <w:jc w:val="both"/>
        <w:rPr>
          <w:rFonts w:ascii="Arial" w:hAnsi="Arial" w:cs="Arial"/>
        </w:rPr>
      </w:pPr>
      <w:r w:rsidRPr="00633A58">
        <w:rPr>
          <w:rFonts w:ascii="Arial" w:hAnsi="Arial" w:cs="Arial"/>
        </w:rPr>
        <w:t>(a)</w:t>
      </w:r>
      <w:r w:rsidRPr="00633A58">
        <w:rPr>
          <w:rFonts w:ascii="Arial" w:hAnsi="Arial" w:cs="Arial"/>
        </w:rPr>
        <w:tab/>
        <w:t>Payment of the sum of R1 594 980.12</w:t>
      </w:r>
      <w:r w:rsidR="006B265B" w:rsidRPr="00633A58">
        <w:rPr>
          <w:rFonts w:ascii="Arial" w:hAnsi="Arial" w:cs="Arial"/>
        </w:rPr>
        <w:t>.</w:t>
      </w:r>
    </w:p>
    <w:p w:rsidR="001E17C8" w:rsidRPr="00633A58" w:rsidRDefault="001E17C8" w:rsidP="001E17C8">
      <w:pPr>
        <w:spacing w:line="360" w:lineRule="auto"/>
        <w:ind w:left="633"/>
        <w:jc w:val="both"/>
        <w:rPr>
          <w:rFonts w:ascii="Arial" w:hAnsi="Arial" w:cs="Arial"/>
        </w:rPr>
      </w:pPr>
      <w:r w:rsidRPr="00633A58">
        <w:rPr>
          <w:rFonts w:ascii="Arial" w:hAnsi="Arial" w:cs="Arial"/>
        </w:rPr>
        <w:lastRenderedPageBreak/>
        <w:t>(b)</w:t>
      </w:r>
      <w:r w:rsidRPr="00633A58">
        <w:rPr>
          <w:rFonts w:ascii="Arial" w:hAnsi="Arial" w:cs="Arial"/>
        </w:rPr>
        <w:tab/>
        <w:t>Interest on the aforesaid amount at the rate of 10.25% per annum calculated from 8 June 2017 to date of final payment.’</w:t>
      </w:r>
    </w:p>
    <w:p w:rsidR="002E6FB3" w:rsidRPr="00633A58" w:rsidRDefault="002E6FB3" w:rsidP="002E6FB3">
      <w:pPr>
        <w:spacing w:line="360" w:lineRule="auto"/>
        <w:ind w:left="633"/>
        <w:jc w:val="both"/>
        <w:rPr>
          <w:rFonts w:ascii="Arial" w:hAnsi="Arial" w:cs="Arial"/>
        </w:rPr>
      </w:pPr>
    </w:p>
    <w:p w:rsidR="005D74E3" w:rsidRPr="00633A58" w:rsidRDefault="005D74E3" w:rsidP="00E144FE">
      <w:pPr>
        <w:spacing w:line="360" w:lineRule="auto"/>
        <w:jc w:val="both"/>
        <w:rPr>
          <w:rFonts w:ascii="Arial" w:hAnsi="Arial" w:cs="Arial"/>
        </w:rPr>
      </w:pPr>
    </w:p>
    <w:p w:rsidR="001D6A7F" w:rsidRPr="00633A58" w:rsidRDefault="001D6A7F" w:rsidP="00E144FE">
      <w:pPr>
        <w:tabs>
          <w:tab w:val="left" w:pos="460"/>
          <w:tab w:val="right" w:pos="8640"/>
        </w:tabs>
        <w:spacing w:line="360" w:lineRule="auto"/>
        <w:jc w:val="both"/>
        <w:rPr>
          <w:rFonts w:ascii="Arial" w:hAnsi="Arial" w:cs="Arial"/>
        </w:rPr>
      </w:pPr>
    </w:p>
    <w:p w:rsidR="001D6A7F" w:rsidRPr="00633A58" w:rsidRDefault="001D6A7F" w:rsidP="001D6A7F">
      <w:pPr>
        <w:spacing w:line="480" w:lineRule="auto"/>
        <w:rPr>
          <w:rFonts w:ascii="Arial" w:hAnsi="Arial" w:cs="Arial"/>
          <w:lang w:val="en-ZA"/>
        </w:rPr>
      </w:pPr>
    </w:p>
    <w:p w:rsidR="001D6A7F" w:rsidRPr="00633A58" w:rsidRDefault="001D6A7F" w:rsidP="001D6A7F">
      <w:pPr>
        <w:spacing w:line="360" w:lineRule="auto"/>
        <w:jc w:val="right"/>
        <w:rPr>
          <w:rFonts w:ascii="Arial" w:hAnsi="Arial" w:cs="Arial"/>
          <w:szCs w:val="28"/>
        </w:rPr>
      </w:pPr>
      <w:r w:rsidRPr="00633A58">
        <w:rPr>
          <w:rFonts w:ascii="Arial" w:hAnsi="Arial" w:cs="Arial"/>
          <w:szCs w:val="28"/>
        </w:rPr>
        <w:t>____________________</w:t>
      </w:r>
    </w:p>
    <w:p w:rsidR="001D6A7F" w:rsidRPr="00633A58" w:rsidRDefault="001D6A7F" w:rsidP="001D6A7F">
      <w:pPr>
        <w:spacing w:line="360" w:lineRule="auto"/>
        <w:jc w:val="right"/>
        <w:rPr>
          <w:rFonts w:ascii="Arial" w:hAnsi="Arial" w:cs="Arial"/>
          <w:lang w:val="en-ZA"/>
        </w:rPr>
      </w:pPr>
      <w:r w:rsidRPr="00633A58">
        <w:rPr>
          <w:rFonts w:ascii="Arial" w:hAnsi="Arial" w:cs="Arial"/>
          <w:lang w:val="en-ZA"/>
        </w:rPr>
        <w:t>X M PETSE</w:t>
      </w:r>
    </w:p>
    <w:p w:rsidR="001D6A7F" w:rsidRPr="00633A58" w:rsidRDefault="001D6A7F" w:rsidP="001D6A7F">
      <w:pPr>
        <w:spacing w:line="360" w:lineRule="auto"/>
        <w:jc w:val="right"/>
        <w:rPr>
          <w:rFonts w:ascii="Arial" w:hAnsi="Arial" w:cs="Arial"/>
          <w:lang w:val="en-ZA"/>
        </w:rPr>
      </w:pPr>
      <w:r w:rsidRPr="00633A58">
        <w:rPr>
          <w:rFonts w:ascii="Arial" w:hAnsi="Arial" w:cs="Arial"/>
          <w:lang w:val="en-ZA"/>
        </w:rPr>
        <w:t>ACTING PRESIDENT OF</w:t>
      </w:r>
    </w:p>
    <w:p w:rsidR="001D6A7F" w:rsidRPr="00633A58" w:rsidRDefault="001D6A7F" w:rsidP="001D6A7F">
      <w:pPr>
        <w:spacing w:line="360" w:lineRule="auto"/>
        <w:jc w:val="right"/>
        <w:rPr>
          <w:rFonts w:ascii="Arial" w:hAnsi="Arial" w:cs="Arial"/>
          <w:lang w:val="en-ZA"/>
        </w:rPr>
      </w:pPr>
      <w:r w:rsidRPr="00633A58">
        <w:rPr>
          <w:rFonts w:ascii="Arial" w:hAnsi="Arial" w:cs="Arial"/>
          <w:lang w:val="en-ZA"/>
        </w:rPr>
        <w:t>THE SUPREME COURT OF APPEAL</w:t>
      </w:r>
    </w:p>
    <w:p w:rsidR="001D6A7F" w:rsidRPr="00633A58" w:rsidRDefault="001D6A7F" w:rsidP="00E144FE">
      <w:pPr>
        <w:tabs>
          <w:tab w:val="left" w:pos="460"/>
          <w:tab w:val="right" w:pos="8640"/>
        </w:tabs>
        <w:spacing w:line="360" w:lineRule="auto"/>
        <w:jc w:val="both"/>
        <w:rPr>
          <w:rFonts w:ascii="Arial" w:hAnsi="Arial" w:cs="Arial"/>
        </w:rPr>
      </w:pPr>
    </w:p>
    <w:p w:rsidR="001D6A7F" w:rsidRPr="00633A58" w:rsidRDefault="001D6A7F" w:rsidP="00E144FE">
      <w:pPr>
        <w:tabs>
          <w:tab w:val="left" w:pos="460"/>
          <w:tab w:val="right" w:pos="8640"/>
        </w:tabs>
        <w:spacing w:line="360" w:lineRule="auto"/>
        <w:jc w:val="both"/>
        <w:rPr>
          <w:rFonts w:ascii="Arial" w:hAnsi="Arial" w:cs="Arial"/>
        </w:rPr>
      </w:pPr>
    </w:p>
    <w:p w:rsidR="001D6A7F" w:rsidRPr="00633A58" w:rsidRDefault="001D6A7F" w:rsidP="00E144FE">
      <w:pPr>
        <w:tabs>
          <w:tab w:val="left" w:pos="460"/>
          <w:tab w:val="right" w:pos="8640"/>
        </w:tabs>
        <w:spacing w:line="360" w:lineRule="auto"/>
        <w:jc w:val="both"/>
        <w:rPr>
          <w:rFonts w:ascii="Arial" w:hAnsi="Arial" w:cs="Arial"/>
        </w:rPr>
      </w:pPr>
    </w:p>
    <w:p w:rsidR="009E3E16" w:rsidRPr="00633A58" w:rsidRDefault="009E3E16" w:rsidP="00E144FE">
      <w:pPr>
        <w:tabs>
          <w:tab w:val="left" w:pos="460"/>
          <w:tab w:val="right" w:pos="8640"/>
        </w:tabs>
        <w:spacing w:line="360" w:lineRule="auto"/>
        <w:jc w:val="both"/>
        <w:rPr>
          <w:rFonts w:ascii="Arial" w:hAnsi="Arial" w:cs="Arial"/>
        </w:rPr>
      </w:pPr>
    </w:p>
    <w:p w:rsidR="005D74E3" w:rsidRPr="00633A58" w:rsidRDefault="005D74E3" w:rsidP="00E144FE">
      <w:pPr>
        <w:tabs>
          <w:tab w:val="left" w:pos="460"/>
          <w:tab w:val="right" w:pos="8640"/>
        </w:tabs>
        <w:spacing w:line="360" w:lineRule="auto"/>
        <w:jc w:val="right"/>
        <w:rPr>
          <w:rFonts w:ascii="Arial" w:hAnsi="Arial" w:cs="Arial"/>
        </w:rPr>
      </w:pPr>
      <w:r w:rsidRPr="00633A58">
        <w:rPr>
          <w:rFonts w:ascii="Arial" w:hAnsi="Arial" w:cs="Arial"/>
        </w:rPr>
        <w:t>__________________________</w:t>
      </w:r>
    </w:p>
    <w:p w:rsidR="005D74E3" w:rsidRPr="00633A58" w:rsidRDefault="005D74E3" w:rsidP="00E144FE">
      <w:pPr>
        <w:spacing w:line="360" w:lineRule="auto"/>
        <w:jc w:val="right"/>
        <w:rPr>
          <w:rFonts w:ascii="Arial" w:hAnsi="Arial" w:cs="Arial"/>
        </w:rPr>
      </w:pPr>
      <w:r w:rsidRPr="00633A58">
        <w:rPr>
          <w:rFonts w:ascii="Arial" w:hAnsi="Arial" w:cs="Arial"/>
        </w:rPr>
        <w:t>M B S MASIPA</w:t>
      </w:r>
    </w:p>
    <w:p w:rsidR="005D74E3" w:rsidRPr="00633A58" w:rsidRDefault="005D74E3" w:rsidP="00E144FE">
      <w:pPr>
        <w:spacing w:line="360" w:lineRule="auto"/>
        <w:ind w:left="4320" w:firstLine="720"/>
        <w:jc w:val="right"/>
        <w:rPr>
          <w:rFonts w:ascii="Arial" w:hAnsi="Arial" w:cs="Arial"/>
        </w:rPr>
      </w:pPr>
      <w:r w:rsidRPr="00633A58">
        <w:rPr>
          <w:rFonts w:ascii="Arial" w:hAnsi="Arial" w:cs="Arial"/>
        </w:rPr>
        <w:t>ACTING JUDGE OF APPEAL</w:t>
      </w:r>
    </w:p>
    <w:p w:rsidR="00E9212E" w:rsidRPr="00633A58" w:rsidRDefault="00E9212E">
      <w:pPr>
        <w:spacing w:after="160" w:line="259" w:lineRule="auto"/>
        <w:rPr>
          <w:rFonts w:ascii="Arial" w:hAnsi="Arial" w:cs="Arial"/>
          <w:bCs/>
          <w:color w:val="000000"/>
          <w:lang w:val="en-ZA" w:eastAsia="en-ZA"/>
        </w:rPr>
      </w:pPr>
      <w:r w:rsidRPr="00633A58">
        <w:rPr>
          <w:rFonts w:ascii="Arial" w:hAnsi="Arial" w:cs="Arial"/>
          <w:bCs/>
          <w:color w:val="000000"/>
          <w:lang w:val="en-ZA" w:eastAsia="en-ZA"/>
        </w:rPr>
        <w:br w:type="page"/>
      </w:r>
    </w:p>
    <w:p w:rsidR="005D74E3" w:rsidRPr="00633A58" w:rsidRDefault="003943F6" w:rsidP="00E144FE">
      <w:pPr>
        <w:spacing w:line="360" w:lineRule="auto"/>
        <w:jc w:val="both"/>
        <w:rPr>
          <w:rFonts w:ascii="Arial" w:hAnsi="Arial" w:cs="Arial"/>
        </w:rPr>
      </w:pPr>
      <w:r w:rsidRPr="00633A58">
        <w:rPr>
          <w:rFonts w:ascii="Arial" w:hAnsi="Arial" w:cs="Arial"/>
        </w:rPr>
        <w:lastRenderedPageBreak/>
        <w:t xml:space="preserve">APPEARANCES </w:t>
      </w:r>
    </w:p>
    <w:p w:rsidR="005D74E3" w:rsidRPr="00633A58" w:rsidRDefault="005D74E3" w:rsidP="00E144FE">
      <w:pPr>
        <w:spacing w:line="360" w:lineRule="auto"/>
        <w:jc w:val="both"/>
        <w:rPr>
          <w:rFonts w:ascii="Arial" w:hAnsi="Arial" w:cs="Arial"/>
        </w:rPr>
      </w:pPr>
    </w:p>
    <w:p w:rsidR="005D74E3" w:rsidRPr="00633A58" w:rsidRDefault="005D74E3" w:rsidP="00E144FE">
      <w:pPr>
        <w:spacing w:line="360" w:lineRule="auto"/>
        <w:jc w:val="both"/>
        <w:rPr>
          <w:rFonts w:ascii="Arial" w:hAnsi="Arial" w:cs="Arial"/>
        </w:rPr>
      </w:pPr>
      <w:r w:rsidRPr="00633A58">
        <w:rPr>
          <w:rFonts w:ascii="Arial" w:hAnsi="Arial" w:cs="Arial"/>
        </w:rPr>
        <w:t>For appellant:</w:t>
      </w:r>
      <w:r w:rsidRPr="00633A58">
        <w:rPr>
          <w:rFonts w:ascii="Arial" w:hAnsi="Arial" w:cs="Arial"/>
        </w:rPr>
        <w:tab/>
      </w:r>
      <w:r w:rsidRPr="00633A58">
        <w:rPr>
          <w:rFonts w:ascii="Arial" w:hAnsi="Arial" w:cs="Arial"/>
        </w:rPr>
        <w:tab/>
      </w:r>
      <w:r w:rsidR="00F3543F" w:rsidRPr="00633A58">
        <w:rPr>
          <w:rFonts w:ascii="Arial" w:hAnsi="Arial" w:cs="Arial"/>
        </w:rPr>
        <w:tab/>
      </w:r>
      <w:r w:rsidR="00F3543F" w:rsidRPr="00633A58">
        <w:rPr>
          <w:rFonts w:ascii="Arial" w:hAnsi="Arial" w:cs="Arial"/>
        </w:rPr>
        <w:tab/>
      </w:r>
      <w:r w:rsidRPr="00633A58">
        <w:rPr>
          <w:rFonts w:ascii="Arial" w:hAnsi="Arial" w:cs="Arial"/>
        </w:rPr>
        <w:t>L M Spiller</w:t>
      </w:r>
      <w:r w:rsidR="00F3543F" w:rsidRPr="00633A58">
        <w:rPr>
          <w:rFonts w:ascii="Arial" w:hAnsi="Arial" w:cs="Arial"/>
        </w:rPr>
        <w:t xml:space="preserve"> </w:t>
      </w:r>
    </w:p>
    <w:p w:rsidR="005D74E3" w:rsidRPr="00633A58" w:rsidRDefault="00F3543F" w:rsidP="00E144FE">
      <w:pPr>
        <w:spacing w:line="360" w:lineRule="auto"/>
        <w:ind w:left="3600" w:hanging="3600"/>
        <w:jc w:val="both"/>
        <w:rPr>
          <w:rFonts w:ascii="Arial" w:hAnsi="Arial" w:cs="Arial"/>
          <w:bCs/>
        </w:rPr>
      </w:pPr>
      <w:r w:rsidRPr="00633A58">
        <w:rPr>
          <w:rFonts w:ascii="Arial" w:hAnsi="Arial" w:cs="Arial"/>
          <w:bCs/>
        </w:rPr>
        <w:t xml:space="preserve">Instructed by: </w:t>
      </w:r>
      <w:r w:rsidRPr="00633A58">
        <w:rPr>
          <w:rFonts w:ascii="Arial" w:hAnsi="Arial" w:cs="Arial"/>
          <w:bCs/>
        </w:rPr>
        <w:tab/>
      </w:r>
      <w:r w:rsidRPr="00633A58">
        <w:rPr>
          <w:rFonts w:ascii="Arial" w:hAnsi="Arial" w:cs="Arial"/>
          <w:bCs/>
        </w:rPr>
        <w:tab/>
        <w:t>Keith Sutcliffe &amp; A</w:t>
      </w:r>
      <w:r w:rsidR="005D74E3" w:rsidRPr="00633A58">
        <w:rPr>
          <w:rFonts w:ascii="Arial" w:hAnsi="Arial" w:cs="Arial"/>
          <w:bCs/>
        </w:rPr>
        <w:t>sso</w:t>
      </w:r>
      <w:r w:rsidRPr="00633A58">
        <w:rPr>
          <w:rFonts w:ascii="Arial" w:hAnsi="Arial" w:cs="Arial"/>
          <w:bCs/>
        </w:rPr>
        <w:t>c</w:t>
      </w:r>
      <w:r w:rsidR="005D74E3" w:rsidRPr="00633A58">
        <w:rPr>
          <w:rFonts w:ascii="Arial" w:hAnsi="Arial" w:cs="Arial"/>
          <w:bCs/>
        </w:rPr>
        <w:t xml:space="preserve">iates Incorporated, </w:t>
      </w:r>
    </w:p>
    <w:p w:rsidR="00F3543F" w:rsidRPr="00633A58" w:rsidRDefault="00F3543F" w:rsidP="00E144FE">
      <w:pPr>
        <w:spacing w:line="360" w:lineRule="auto"/>
        <w:ind w:left="3600" w:hanging="3600"/>
        <w:jc w:val="both"/>
        <w:rPr>
          <w:rFonts w:ascii="Arial" w:hAnsi="Arial" w:cs="Arial"/>
          <w:bCs/>
        </w:rPr>
      </w:pPr>
      <w:r w:rsidRPr="00633A58">
        <w:rPr>
          <w:rFonts w:ascii="Arial" w:hAnsi="Arial" w:cs="Arial"/>
          <w:bCs/>
        </w:rPr>
        <w:tab/>
      </w:r>
      <w:r w:rsidRPr="00633A58">
        <w:rPr>
          <w:rFonts w:ascii="Arial" w:hAnsi="Arial" w:cs="Arial"/>
          <w:bCs/>
        </w:rPr>
        <w:tab/>
        <w:t>Randburg</w:t>
      </w:r>
    </w:p>
    <w:p w:rsidR="005D74E3" w:rsidRPr="00633A58" w:rsidRDefault="005D74E3" w:rsidP="00E144FE">
      <w:pPr>
        <w:spacing w:line="360" w:lineRule="auto"/>
        <w:ind w:left="4320"/>
        <w:jc w:val="both"/>
        <w:rPr>
          <w:rFonts w:ascii="Arial" w:hAnsi="Arial" w:cs="Arial"/>
          <w:bCs/>
        </w:rPr>
      </w:pPr>
      <w:r w:rsidRPr="00633A58">
        <w:rPr>
          <w:rFonts w:ascii="Arial" w:hAnsi="Arial" w:cs="Arial"/>
          <w:bCs/>
        </w:rPr>
        <w:t>Hendre Conradie Inc (Rossouws Attorneys), Bloemfontein</w:t>
      </w:r>
    </w:p>
    <w:p w:rsidR="005D74E3" w:rsidRPr="00633A58" w:rsidRDefault="005D74E3" w:rsidP="00E144FE">
      <w:pPr>
        <w:spacing w:line="360" w:lineRule="auto"/>
        <w:jc w:val="both"/>
        <w:rPr>
          <w:rFonts w:ascii="Arial" w:hAnsi="Arial" w:cs="Arial"/>
          <w:bCs/>
        </w:rPr>
      </w:pPr>
      <w:r w:rsidRPr="00633A58">
        <w:rPr>
          <w:rFonts w:ascii="Arial" w:hAnsi="Arial" w:cs="Arial"/>
          <w:bCs/>
        </w:rPr>
        <w:t xml:space="preserve"> </w:t>
      </w:r>
    </w:p>
    <w:p w:rsidR="005D74E3" w:rsidRPr="00633A58" w:rsidRDefault="005D74E3" w:rsidP="00E144FE">
      <w:pPr>
        <w:spacing w:line="360" w:lineRule="auto"/>
        <w:jc w:val="both"/>
        <w:rPr>
          <w:rFonts w:ascii="Arial" w:hAnsi="Arial" w:cs="Arial"/>
        </w:rPr>
      </w:pPr>
      <w:r w:rsidRPr="00633A58">
        <w:rPr>
          <w:rFonts w:ascii="Arial" w:hAnsi="Arial" w:cs="Arial"/>
        </w:rPr>
        <w:t>For respondent:</w:t>
      </w:r>
      <w:r w:rsidRPr="00633A58">
        <w:rPr>
          <w:rFonts w:ascii="Arial" w:hAnsi="Arial" w:cs="Arial"/>
        </w:rPr>
        <w:tab/>
      </w:r>
      <w:r w:rsidRPr="00633A58">
        <w:rPr>
          <w:rFonts w:ascii="Arial" w:hAnsi="Arial" w:cs="Arial"/>
        </w:rPr>
        <w:tab/>
      </w:r>
      <w:r w:rsidR="00F3543F" w:rsidRPr="00633A58">
        <w:rPr>
          <w:rFonts w:ascii="Arial" w:hAnsi="Arial" w:cs="Arial"/>
        </w:rPr>
        <w:tab/>
      </w:r>
      <w:r w:rsidR="00F3543F" w:rsidRPr="00633A58">
        <w:rPr>
          <w:rFonts w:ascii="Arial" w:hAnsi="Arial" w:cs="Arial"/>
        </w:rPr>
        <w:tab/>
      </w:r>
      <w:r w:rsidR="00D2484F" w:rsidRPr="00633A58">
        <w:rPr>
          <w:rFonts w:ascii="Arial" w:hAnsi="Arial" w:cs="Arial"/>
        </w:rPr>
        <w:t>N C Louw</w:t>
      </w:r>
      <w:r w:rsidRPr="00633A58">
        <w:rPr>
          <w:rFonts w:ascii="Arial" w:hAnsi="Arial" w:cs="Arial"/>
        </w:rPr>
        <w:t xml:space="preserve"> </w:t>
      </w:r>
    </w:p>
    <w:p w:rsidR="006B265B" w:rsidRPr="00633A58" w:rsidRDefault="006B265B" w:rsidP="00E144FE">
      <w:pPr>
        <w:spacing w:line="360" w:lineRule="auto"/>
        <w:jc w:val="both"/>
        <w:rPr>
          <w:rFonts w:ascii="Arial" w:hAnsi="Arial" w:cs="Arial"/>
        </w:rPr>
      </w:pPr>
      <w:r w:rsidRPr="00633A58">
        <w:rPr>
          <w:rFonts w:ascii="Arial" w:hAnsi="Arial" w:cs="Arial"/>
        </w:rPr>
        <w:tab/>
      </w:r>
      <w:r w:rsidRPr="00633A58">
        <w:rPr>
          <w:rFonts w:ascii="Arial" w:hAnsi="Arial" w:cs="Arial"/>
        </w:rPr>
        <w:tab/>
      </w:r>
      <w:r w:rsidRPr="00633A58">
        <w:rPr>
          <w:rFonts w:ascii="Arial" w:hAnsi="Arial" w:cs="Arial"/>
        </w:rPr>
        <w:tab/>
      </w:r>
      <w:r w:rsidRPr="00633A58">
        <w:rPr>
          <w:rFonts w:ascii="Arial" w:hAnsi="Arial" w:cs="Arial"/>
        </w:rPr>
        <w:tab/>
      </w:r>
      <w:r w:rsidRPr="00633A58">
        <w:rPr>
          <w:rFonts w:ascii="Arial" w:hAnsi="Arial" w:cs="Arial"/>
        </w:rPr>
        <w:tab/>
      </w:r>
      <w:r w:rsidRPr="00633A58">
        <w:rPr>
          <w:rFonts w:ascii="Arial" w:hAnsi="Arial" w:cs="Arial"/>
        </w:rPr>
        <w:tab/>
        <w:t>(heads of argument prepared by V Vergano)</w:t>
      </w:r>
    </w:p>
    <w:p w:rsidR="005D74E3" w:rsidRPr="00633A58" w:rsidRDefault="005D74E3" w:rsidP="00E144FE">
      <w:pPr>
        <w:spacing w:line="360" w:lineRule="auto"/>
        <w:ind w:left="1440" w:hanging="1440"/>
        <w:jc w:val="both"/>
        <w:rPr>
          <w:rFonts w:ascii="Arial" w:hAnsi="Arial" w:cs="Arial"/>
          <w:bCs/>
        </w:rPr>
      </w:pPr>
      <w:r w:rsidRPr="00633A58">
        <w:rPr>
          <w:rFonts w:ascii="Arial" w:hAnsi="Arial" w:cs="Arial"/>
          <w:bCs/>
        </w:rPr>
        <w:t>Instructed by:</w:t>
      </w:r>
      <w:r w:rsidRPr="00633A58">
        <w:rPr>
          <w:rFonts w:ascii="Arial" w:hAnsi="Arial" w:cs="Arial"/>
          <w:bCs/>
        </w:rPr>
        <w:tab/>
      </w:r>
      <w:r w:rsidRPr="00633A58">
        <w:rPr>
          <w:rFonts w:ascii="Arial" w:hAnsi="Arial" w:cs="Arial"/>
          <w:bCs/>
        </w:rPr>
        <w:tab/>
      </w:r>
      <w:r w:rsidR="00F3543F" w:rsidRPr="00633A58">
        <w:rPr>
          <w:rFonts w:ascii="Arial" w:hAnsi="Arial" w:cs="Arial"/>
          <w:bCs/>
        </w:rPr>
        <w:tab/>
      </w:r>
      <w:r w:rsidR="00F3543F" w:rsidRPr="00633A58">
        <w:rPr>
          <w:rFonts w:ascii="Arial" w:hAnsi="Arial" w:cs="Arial"/>
          <w:bCs/>
        </w:rPr>
        <w:tab/>
      </w:r>
      <w:r w:rsidR="00D2484F" w:rsidRPr="00633A58">
        <w:rPr>
          <w:rFonts w:ascii="Arial" w:hAnsi="Arial" w:cs="Arial"/>
          <w:bCs/>
        </w:rPr>
        <w:t>Warrener de Agrela and Associates</w:t>
      </w:r>
      <w:r w:rsidRPr="00633A58">
        <w:rPr>
          <w:rFonts w:ascii="Arial" w:hAnsi="Arial" w:cs="Arial"/>
          <w:bCs/>
        </w:rPr>
        <w:t xml:space="preserve">, </w:t>
      </w:r>
    </w:p>
    <w:p w:rsidR="00F3543F" w:rsidRPr="00633A58" w:rsidRDefault="00F3543F" w:rsidP="00E144FE">
      <w:pPr>
        <w:spacing w:line="360" w:lineRule="auto"/>
        <w:ind w:left="1440" w:hanging="1440"/>
        <w:jc w:val="both"/>
        <w:rPr>
          <w:rFonts w:ascii="Arial" w:hAnsi="Arial" w:cs="Arial"/>
          <w:bCs/>
        </w:rPr>
      </w:pPr>
      <w:r w:rsidRPr="00633A58">
        <w:rPr>
          <w:rFonts w:ascii="Arial" w:hAnsi="Arial" w:cs="Arial"/>
          <w:bCs/>
        </w:rPr>
        <w:tab/>
      </w:r>
      <w:r w:rsidRPr="00633A58">
        <w:rPr>
          <w:rFonts w:ascii="Arial" w:hAnsi="Arial" w:cs="Arial"/>
          <w:bCs/>
        </w:rPr>
        <w:tab/>
      </w:r>
      <w:r w:rsidRPr="00633A58">
        <w:rPr>
          <w:rFonts w:ascii="Arial" w:hAnsi="Arial" w:cs="Arial"/>
          <w:bCs/>
        </w:rPr>
        <w:tab/>
      </w:r>
      <w:r w:rsidRPr="00633A58">
        <w:rPr>
          <w:rFonts w:ascii="Arial" w:hAnsi="Arial" w:cs="Arial"/>
          <w:bCs/>
        </w:rPr>
        <w:tab/>
      </w:r>
      <w:r w:rsidRPr="00633A58">
        <w:rPr>
          <w:rFonts w:ascii="Arial" w:hAnsi="Arial" w:cs="Arial"/>
          <w:bCs/>
        </w:rPr>
        <w:tab/>
        <w:t>Edenvale</w:t>
      </w:r>
    </w:p>
    <w:p w:rsidR="005D74E3" w:rsidRPr="003943F6" w:rsidRDefault="005D74E3" w:rsidP="00E144FE">
      <w:pPr>
        <w:spacing w:line="360" w:lineRule="auto"/>
        <w:ind w:firstLine="1701"/>
        <w:jc w:val="both"/>
        <w:rPr>
          <w:rFonts w:ascii="Arial" w:hAnsi="Arial" w:cs="Arial"/>
        </w:rPr>
      </w:pPr>
      <w:r w:rsidRPr="00633A58">
        <w:rPr>
          <w:rFonts w:ascii="Arial" w:hAnsi="Arial" w:cs="Arial"/>
          <w:bCs/>
        </w:rPr>
        <w:t xml:space="preserve">   </w:t>
      </w:r>
      <w:r w:rsidRPr="00633A58">
        <w:rPr>
          <w:rFonts w:ascii="Arial" w:hAnsi="Arial" w:cs="Arial"/>
          <w:bCs/>
        </w:rPr>
        <w:tab/>
      </w:r>
      <w:r w:rsidRPr="00633A58">
        <w:rPr>
          <w:rFonts w:ascii="Arial" w:hAnsi="Arial" w:cs="Arial"/>
          <w:bCs/>
        </w:rPr>
        <w:tab/>
      </w:r>
      <w:r w:rsidR="00F3543F" w:rsidRPr="00633A58">
        <w:rPr>
          <w:rFonts w:ascii="Arial" w:hAnsi="Arial" w:cs="Arial"/>
          <w:bCs/>
        </w:rPr>
        <w:tab/>
      </w:r>
      <w:r w:rsidR="00F3543F" w:rsidRPr="00633A58">
        <w:rPr>
          <w:rFonts w:ascii="Arial" w:hAnsi="Arial" w:cs="Arial"/>
          <w:bCs/>
        </w:rPr>
        <w:tab/>
      </w:r>
      <w:r w:rsidR="00D2484F" w:rsidRPr="00633A58">
        <w:rPr>
          <w:rFonts w:ascii="Arial" w:hAnsi="Arial" w:cs="Arial"/>
          <w:bCs/>
        </w:rPr>
        <w:t>Honey</w:t>
      </w:r>
      <w:r w:rsidRPr="00633A58">
        <w:rPr>
          <w:rFonts w:ascii="Arial" w:hAnsi="Arial" w:cs="Arial"/>
          <w:bCs/>
        </w:rPr>
        <w:t xml:space="preserve"> Attorneys, Bloemfontein</w:t>
      </w:r>
    </w:p>
    <w:p w:rsidR="005D74E3" w:rsidRPr="003943F6" w:rsidRDefault="005D74E3" w:rsidP="00E144FE">
      <w:pPr>
        <w:shd w:val="clear" w:color="auto" w:fill="FFFFFF"/>
        <w:spacing w:after="288" w:line="360" w:lineRule="auto"/>
        <w:jc w:val="both"/>
        <w:rPr>
          <w:rFonts w:ascii="Arial" w:hAnsi="Arial" w:cs="Arial"/>
        </w:rPr>
      </w:pPr>
    </w:p>
    <w:sectPr w:rsidR="005D74E3" w:rsidRPr="003943F6" w:rsidSect="00180100">
      <w:head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A67" w:rsidRDefault="00FE2A67" w:rsidP="00B676B6">
      <w:r>
        <w:separator/>
      </w:r>
    </w:p>
  </w:endnote>
  <w:endnote w:type="continuationSeparator" w:id="0">
    <w:p w:rsidR="00FE2A67" w:rsidRDefault="00FE2A67" w:rsidP="00B6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A67" w:rsidRDefault="00FE2A67" w:rsidP="00B676B6">
      <w:r>
        <w:separator/>
      </w:r>
    </w:p>
  </w:footnote>
  <w:footnote w:type="continuationSeparator" w:id="0">
    <w:p w:rsidR="00FE2A67" w:rsidRDefault="00FE2A67" w:rsidP="00B676B6">
      <w:r>
        <w:continuationSeparator/>
      </w:r>
    </w:p>
  </w:footnote>
  <w:footnote w:id="1">
    <w:p w:rsidR="00750549" w:rsidRPr="00633A58" w:rsidRDefault="00750549">
      <w:pPr>
        <w:pStyle w:val="FootnoteText"/>
        <w:rPr>
          <w:rFonts w:ascii="Arial" w:hAnsi="Arial" w:cs="Arial"/>
          <w:lang w:val="en-ZA"/>
        </w:rPr>
      </w:pPr>
      <w:r w:rsidRPr="00633A58">
        <w:rPr>
          <w:rStyle w:val="FootnoteReference"/>
          <w:rFonts w:ascii="Arial" w:hAnsi="Arial" w:cs="Arial"/>
        </w:rPr>
        <w:footnoteRef/>
      </w:r>
      <w:r w:rsidRPr="00633A58">
        <w:rPr>
          <w:rFonts w:ascii="Arial" w:hAnsi="Arial" w:cs="Arial"/>
        </w:rPr>
        <w:t xml:space="preserve"> </w:t>
      </w:r>
      <w:r w:rsidRPr="00633A58">
        <w:rPr>
          <w:rFonts w:ascii="Arial" w:hAnsi="Arial" w:cs="Arial"/>
          <w:lang w:val="en-ZA"/>
        </w:rPr>
        <w:t>The Conventional Penalties Act 15 of 1962.</w:t>
      </w:r>
    </w:p>
  </w:footnote>
  <w:footnote w:id="2">
    <w:p w:rsidR="0015496A" w:rsidRPr="00633A58" w:rsidRDefault="0015496A" w:rsidP="00DC49CE">
      <w:pPr>
        <w:pStyle w:val="FootnoteText"/>
        <w:jc w:val="both"/>
        <w:rPr>
          <w:rFonts w:ascii="Arial" w:hAnsi="Arial" w:cs="Arial"/>
          <w:lang w:val="en-ZA"/>
        </w:rPr>
      </w:pPr>
      <w:r w:rsidRPr="00633A58">
        <w:rPr>
          <w:rStyle w:val="FootnoteReference"/>
          <w:rFonts w:ascii="Arial" w:hAnsi="Arial" w:cs="Arial"/>
        </w:rPr>
        <w:footnoteRef/>
      </w:r>
      <w:r w:rsidRPr="00633A58">
        <w:rPr>
          <w:rFonts w:ascii="Arial" w:hAnsi="Arial" w:cs="Arial"/>
        </w:rPr>
        <w:t xml:space="preserve"> </w:t>
      </w:r>
      <w:r w:rsidRPr="00633A58">
        <w:rPr>
          <w:rFonts w:ascii="Arial" w:hAnsi="Arial" w:cs="Arial"/>
          <w:i/>
        </w:rPr>
        <w:t>Lehmbecker's Earthmoving and Excavators (Pty) Ltd. v Incorporate General Insurances Ltd</w:t>
      </w:r>
      <w:r w:rsidRPr="00633A58">
        <w:rPr>
          <w:rFonts w:ascii="Arial" w:hAnsi="Arial" w:cs="Arial"/>
        </w:rPr>
        <w:t xml:space="preserve"> 1984 (3) SA 513 (A) (</w:t>
      </w:r>
      <w:r w:rsidRPr="00633A58">
        <w:rPr>
          <w:rFonts w:ascii="Arial" w:hAnsi="Arial" w:cs="Arial"/>
          <w:i/>
        </w:rPr>
        <w:t>Lehmbecker's Earthmoving</w:t>
      </w:r>
      <w:r w:rsidRPr="00633A58">
        <w:rPr>
          <w:rFonts w:ascii="Arial" w:hAnsi="Arial" w:cs="Arial"/>
        </w:rPr>
        <w:t xml:space="preserve">). </w:t>
      </w:r>
    </w:p>
  </w:footnote>
  <w:footnote w:id="3">
    <w:p w:rsidR="00AA4460" w:rsidRPr="00633A58" w:rsidRDefault="00AA4460" w:rsidP="00DC49CE">
      <w:pPr>
        <w:pStyle w:val="FootnoteText"/>
        <w:jc w:val="both"/>
        <w:rPr>
          <w:rFonts w:ascii="Arial" w:hAnsi="Arial" w:cs="Arial"/>
          <w:lang w:val="en-ZA"/>
        </w:rPr>
      </w:pPr>
      <w:r w:rsidRPr="00633A58">
        <w:rPr>
          <w:rStyle w:val="FootnoteReference"/>
          <w:rFonts w:ascii="Arial" w:hAnsi="Arial" w:cs="Arial"/>
        </w:rPr>
        <w:footnoteRef/>
      </w:r>
      <w:r w:rsidRPr="00633A58">
        <w:rPr>
          <w:rFonts w:ascii="Arial" w:hAnsi="Arial" w:cs="Arial"/>
        </w:rPr>
        <w:t xml:space="preserve"> </w:t>
      </w:r>
      <w:r w:rsidRPr="00633A58">
        <w:rPr>
          <w:rFonts w:ascii="Arial" w:hAnsi="Arial" w:cs="Arial"/>
          <w:lang w:val="en-ZA"/>
        </w:rPr>
        <w:t>Ibid at 522A-D.</w:t>
      </w:r>
    </w:p>
  </w:footnote>
  <w:footnote w:id="4">
    <w:p w:rsidR="001A6459" w:rsidRPr="00633A58" w:rsidRDefault="001A6459">
      <w:pPr>
        <w:pStyle w:val="FootnoteText"/>
        <w:rPr>
          <w:rFonts w:ascii="Arial" w:hAnsi="Arial" w:cs="Arial"/>
          <w:lang w:val="en-ZA"/>
        </w:rPr>
      </w:pPr>
      <w:r w:rsidRPr="00633A58">
        <w:rPr>
          <w:rStyle w:val="FootnoteReference"/>
          <w:rFonts w:ascii="Arial" w:hAnsi="Arial" w:cs="Arial"/>
        </w:rPr>
        <w:footnoteRef/>
      </w:r>
      <w:r w:rsidRPr="00633A58">
        <w:rPr>
          <w:rFonts w:ascii="Arial" w:hAnsi="Arial" w:cs="Arial"/>
        </w:rPr>
        <w:t xml:space="preserve"> </w:t>
      </w:r>
      <w:r w:rsidRPr="00633A58">
        <w:rPr>
          <w:rFonts w:ascii="Arial" w:hAnsi="Arial" w:cs="Arial"/>
          <w:i/>
          <w:lang w:val="en-ZA"/>
        </w:rPr>
        <w:t xml:space="preserve">Schoeman v Constantia Insurance Co Ltd </w:t>
      </w:r>
      <w:r w:rsidRPr="00633A58">
        <w:rPr>
          <w:rFonts w:ascii="Arial" w:hAnsi="Arial" w:cs="Arial"/>
          <w:lang w:val="en-ZA"/>
        </w:rPr>
        <w:t>[2003] ZASCA 48; [2003] 2 All SA 642 (SCA) para 24 (</w:t>
      </w:r>
      <w:r w:rsidRPr="00633A58">
        <w:rPr>
          <w:rFonts w:ascii="Arial" w:hAnsi="Arial" w:cs="Arial"/>
          <w:i/>
          <w:lang w:val="en-ZA"/>
        </w:rPr>
        <w:t>Schoeman</w:t>
      </w:r>
      <w:r w:rsidRPr="00633A58">
        <w:rPr>
          <w:rFonts w:ascii="Arial" w:hAnsi="Arial" w:cs="Arial"/>
          <w:lang w:val="en-ZA"/>
        </w:rPr>
        <w:t>).</w:t>
      </w:r>
    </w:p>
  </w:footnote>
  <w:footnote w:id="5">
    <w:p w:rsidR="007B0944" w:rsidRPr="00633A58" w:rsidRDefault="007B0944" w:rsidP="00DC49CE">
      <w:pPr>
        <w:pStyle w:val="FootnoteText"/>
        <w:jc w:val="both"/>
        <w:rPr>
          <w:rFonts w:ascii="Arial" w:hAnsi="Arial" w:cs="Arial"/>
          <w:lang w:val="en-ZA"/>
        </w:rPr>
      </w:pPr>
      <w:r w:rsidRPr="00633A58">
        <w:rPr>
          <w:rStyle w:val="FootnoteReference"/>
          <w:rFonts w:ascii="Arial" w:hAnsi="Arial" w:cs="Arial"/>
        </w:rPr>
        <w:footnoteRef/>
      </w:r>
      <w:r w:rsidRPr="00633A58">
        <w:rPr>
          <w:rFonts w:ascii="Arial" w:hAnsi="Arial" w:cs="Arial"/>
        </w:rPr>
        <w:t xml:space="preserve"> </w:t>
      </w:r>
      <w:r w:rsidRPr="00633A58">
        <w:rPr>
          <w:rFonts w:ascii="Arial" w:hAnsi="Arial" w:cs="Arial"/>
          <w:i/>
        </w:rPr>
        <w:t>Natal Joint Municipal Pension Fund v Endumeni Municipality</w:t>
      </w:r>
      <w:r w:rsidRPr="00633A58">
        <w:rPr>
          <w:rFonts w:ascii="Arial" w:hAnsi="Arial" w:cs="Arial"/>
        </w:rPr>
        <w:t xml:space="preserve"> [2012] 2 All SA 262 (SCA); 2012 (4) SA 593 (SCA) (</w:t>
      </w:r>
      <w:r w:rsidRPr="00633A58">
        <w:rPr>
          <w:rFonts w:ascii="Arial" w:hAnsi="Arial" w:cs="Arial"/>
          <w:i/>
        </w:rPr>
        <w:t>Endumeni</w:t>
      </w:r>
      <w:r w:rsidRPr="00633A58">
        <w:rPr>
          <w:rFonts w:ascii="Arial" w:hAnsi="Arial" w:cs="Arial"/>
        </w:rPr>
        <w:t>).</w:t>
      </w:r>
    </w:p>
  </w:footnote>
  <w:footnote w:id="6">
    <w:p w:rsidR="008A09CD" w:rsidRPr="00633A58" w:rsidRDefault="008A09CD" w:rsidP="00DC49CE">
      <w:pPr>
        <w:pStyle w:val="FootnoteText"/>
        <w:jc w:val="both"/>
        <w:rPr>
          <w:rFonts w:ascii="Arial" w:hAnsi="Arial" w:cs="Arial"/>
          <w:lang w:val="en-ZA"/>
        </w:rPr>
      </w:pPr>
      <w:r w:rsidRPr="00633A58">
        <w:rPr>
          <w:rStyle w:val="FootnoteReference"/>
          <w:rFonts w:ascii="Arial" w:hAnsi="Arial" w:cs="Arial"/>
        </w:rPr>
        <w:footnoteRef/>
      </w:r>
      <w:r w:rsidRPr="00633A58">
        <w:rPr>
          <w:rFonts w:ascii="Arial" w:hAnsi="Arial" w:cs="Arial"/>
        </w:rPr>
        <w:t xml:space="preserve"> </w:t>
      </w:r>
      <w:r w:rsidR="001A6459" w:rsidRPr="00633A58">
        <w:rPr>
          <w:rFonts w:ascii="Arial" w:hAnsi="Arial" w:cs="Arial"/>
          <w:lang w:val="en-ZA"/>
        </w:rPr>
        <w:t>Ibid p</w:t>
      </w:r>
      <w:r w:rsidRPr="00633A58">
        <w:rPr>
          <w:rFonts w:ascii="Arial" w:hAnsi="Arial" w:cs="Arial"/>
          <w:lang w:val="en-ZA"/>
        </w:rPr>
        <w:t>ara 18.</w:t>
      </w:r>
    </w:p>
  </w:footnote>
  <w:footnote w:id="7">
    <w:p w:rsidR="008A09CD" w:rsidRPr="00633A58" w:rsidRDefault="008A09CD" w:rsidP="00DC49CE">
      <w:pPr>
        <w:pStyle w:val="FootnoteText"/>
        <w:jc w:val="both"/>
        <w:rPr>
          <w:lang w:val="en-ZA"/>
        </w:rPr>
      </w:pPr>
      <w:r w:rsidRPr="00633A58">
        <w:rPr>
          <w:rStyle w:val="FootnoteReference"/>
          <w:rFonts w:ascii="Arial" w:hAnsi="Arial" w:cs="Arial"/>
        </w:rPr>
        <w:footnoteRef/>
      </w:r>
      <w:r w:rsidRPr="00633A58">
        <w:rPr>
          <w:rFonts w:ascii="Arial" w:hAnsi="Arial" w:cs="Arial"/>
        </w:rPr>
        <w:t xml:space="preserve"> </w:t>
      </w:r>
      <w:r w:rsidR="001A6459" w:rsidRPr="00633A58">
        <w:rPr>
          <w:rFonts w:ascii="Arial" w:hAnsi="Arial" w:cs="Arial"/>
          <w:lang w:val="en-ZA"/>
        </w:rPr>
        <w:t>Ibid p</w:t>
      </w:r>
      <w:r w:rsidRPr="00633A58">
        <w:rPr>
          <w:rFonts w:ascii="Arial" w:hAnsi="Arial" w:cs="Arial"/>
          <w:lang w:val="en-ZA"/>
        </w:rPr>
        <w:t>ara 26.</w:t>
      </w:r>
    </w:p>
  </w:footnote>
  <w:footnote w:id="8">
    <w:p w:rsidR="00553AA4" w:rsidRPr="00633A58" w:rsidRDefault="00553AA4" w:rsidP="00DC49CE">
      <w:pPr>
        <w:pStyle w:val="FootnoteText"/>
        <w:jc w:val="both"/>
        <w:rPr>
          <w:rFonts w:ascii="Arial" w:hAnsi="Arial" w:cs="Arial"/>
          <w:lang w:val="en-ZA"/>
        </w:rPr>
      </w:pPr>
      <w:r w:rsidRPr="00633A58">
        <w:rPr>
          <w:rStyle w:val="FootnoteReference"/>
          <w:rFonts w:ascii="Arial" w:hAnsi="Arial" w:cs="Arial"/>
        </w:rPr>
        <w:footnoteRef/>
      </w:r>
      <w:r w:rsidRPr="00633A58">
        <w:rPr>
          <w:rFonts w:ascii="Arial" w:hAnsi="Arial" w:cs="Arial"/>
        </w:rPr>
        <w:t xml:space="preserve"> </w:t>
      </w:r>
      <w:r w:rsidRPr="00633A58">
        <w:rPr>
          <w:rFonts w:ascii="Arial" w:hAnsi="Arial" w:cs="Arial"/>
          <w:lang w:val="en-ZA"/>
        </w:rPr>
        <w:t xml:space="preserve">See, for example, in this regard: </w:t>
      </w:r>
      <w:r w:rsidRPr="00633A58">
        <w:rPr>
          <w:rFonts w:ascii="Arial" w:hAnsi="Arial" w:cs="Arial"/>
          <w:i/>
          <w:lang w:val="en-ZA"/>
        </w:rPr>
        <w:t>Chisuse and Others v Director-General, Department of Home Affairs and Another</w:t>
      </w:r>
      <w:r w:rsidRPr="00633A58">
        <w:rPr>
          <w:rFonts w:ascii="Arial" w:hAnsi="Arial" w:cs="Arial"/>
          <w:lang w:val="en-ZA"/>
        </w:rPr>
        <w:t xml:space="preserve"> [2020] ZACC 20; 2020 (10) BCLR 1173 (CC); 2020 (6) SA 14 (CC) para 52; </w:t>
      </w:r>
      <w:r w:rsidR="00492F71" w:rsidRPr="00633A58">
        <w:rPr>
          <w:rFonts w:ascii="Arial" w:hAnsi="Arial" w:cs="Arial"/>
          <w:i/>
          <w:lang w:val="en-ZA"/>
        </w:rPr>
        <w:t>University of Johannesburg v Auckland Park Theological Seminary and Another</w:t>
      </w:r>
      <w:r w:rsidR="00492F71" w:rsidRPr="00633A58">
        <w:rPr>
          <w:rFonts w:ascii="Arial" w:hAnsi="Arial" w:cs="Arial"/>
          <w:lang w:val="en-ZA"/>
        </w:rPr>
        <w:t xml:space="preserve"> [2021] </w:t>
      </w:r>
      <w:r w:rsidR="005442F2" w:rsidRPr="00633A58">
        <w:rPr>
          <w:rFonts w:ascii="Arial" w:hAnsi="Arial" w:cs="Arial"/>
          <w:lang w:val="en-ZA"/>
        </w:rPr>
        <w:t>ZACC 13; 2021 (8) BCLR 807 (CC)</w:t>
      </w:r>
      <w:r w:rsidR="00492F71" w:rsidRPr="00633A58">
        <w:rPr>
          <w:rFonts w:ascii="Arial" w:hAnsi="Arial" w:cs="Arial"/>
          <w:lang w:val="en-ZA"/>
        </w:rPr>
        <w:t>; 2021 (6) SA 1 (CC) para 65.</w:t>
      </w:r>
    </w:p>
  </w:footnote>
  <w:footnote w:id="9">
    <w:p w:rsidR="005442F2" w:rsidRPr="00633A58" w:rsidRDefault="005442F2" w:rsidP="00DC49CE">
      <w:pPr>
        <w:pStyle w:val="FootnoteText"/>
        <w:jc w:val="both"/>
        <w:rPr>
          <w:rFonts w:ascii="Arial" w:hAnsi="Arial" w:cs="Arial"/>
          <w:lang w:val="en-ZA"/>
        </w:rPr>
      </w:pPr>
      <w:r w:rsidRPr="00633A58">
        <w:rPr>
          <w:rStyle w:val="FootnoteReference"/>
          <w:rFonts w:ascii="Arial" w:hAnsi="Arial" w:cs="Arial"/>
        </w:rPr>
        <w:footnoteRef/>
      </w:r>
      <w:r w:rsidRPr="00633A58">
        <w:rPr>
          <w:rFonts w:ascii="Arial" w:hAnsi="Arial" w:cs="Arial"/>
        </w:rPr>
        <w:t xml:space="preserve"> </w:t>
      </w:r>
      <w:r w:rsidRPr="00633A58">
        <w:rPr>
          <w:rFonts w:ascii="Arial" w:hAnsi="Arial" w:cs="Arial"/>
          <w:i/>
        </w:rPr>
        <w:t>Capitec Bank Holdings Limited and Another v Coral Lagoon Investments 194 (Pty) Ltd and Others</w:t>
      </w:r>
      <w:r w:rsidRPr="00633A58">
        <w:rPr>
          <w:rFonts w:ascii="Arial" w:hAnsi="Arial" w:cs="Arial"/>
        </w:rPr>
        <w:t xml:space="preserve"> [2021] ZASCA 99; [2021] 3 All SA 647 (SCA); 2022 (1) SA 100 (SCA).</w:t>
      </w:r>
    </w:p>
  </w:footnote>
  <w:footnote w:id="10">
    <w:p w:rsidR="005442F2" w:rsidRPr="00633A58" w:rsidRDefault="005442F2" w:rsidP="00DC49CE">
      <w:pPr>
        <w:pStyle w:val="FootnoteText"/>
        <w:jc w:val="both"/>
        <w:rPr>
          <w:rFonts w:ascii="Arial" w:hAnsi="Arial" w:cs="Arial"/>
          <w:lang w:val="en-ZA"/>
        </w:rPr>
      </w:pPr>
      <w:r w:rsidRPr="00633A58">
        <w:rPr>
          <w:rStyle w:val="FootnoteReference"/>
          <w:rFonts w:ascii="Arial" w:hAnsi="Arial" w:cs="Arial"/>
        </w:rPr>
        <w:footnoteRef/>
      </w:r>
      <w:r w:rsidRPr="00633A58">
        <w:rPr>
          <w:rFonts w:ascii="Arial" w:hAnsi="Arial" w:cs="Arial"/>
        </w:rPr>
        <w:t xml:space="preserve"> </w:t>
      </w:r>
      <w:r w:rsidR="001A6459" w:rsidRPr="00633A58">
        <w:rPr>
          <w:rFonts w:ascii="Arial" w:hAnsi="Arial" w:cs="Arial"/>
          <w:lang w:val="en-ZA"/>
        </w:rPr>
        <w:t>Ibid p</w:t>
      </w:r>
      <w:r w:rsidRPr="00633A58">
        <w:rPr>
          <w:rFonts w:ascii="Arial" w:hAnsi="Arial" w:cs="Arial"/>
          <w:lang w:val="en-ZA"/>
        </w:rPr>
        <w:t>ara 25.</w:t>
      </w:r>
    </w:p>
  </w:footnote>
  <w:footnote w:id="11">
    <w:p w:rsidR="00A5766D" w:rsidRPr="00633A58" w:rsidRDefault="00A5766D" w:rsidP="00DC49CE">
      <w:pPr>
        <w:pStyle w:val="FootnoteText"/>
        <w:jc w:val="both"/>
        <w:rPr>
          <w:rFonts w:ascii="Arial" w:hAnsi="Arial" w:cs="Arial"/>
          <w:lang w:val="en-ZA"/>
        </w:rPr>
      </w:pPr>
      <w:r w:rsidRPr="00633A58">
        <w:rPr>
          <w:rStyle w:val="FootnoteReference"/>
          <w:rFonts w:ascii="Arial" w:hAnsi="Arial" w:cs="Arial"/>
        </w:rPr>
        <w:footnoteRef/>
      </w:r>
      <w:r w:rsidRPr="00633A58">
        <w:rPr>
          <w:rFonts w:ascii="Arial" w:hAnsi="Arial" w:cs="Arial"/>
        </w:rPr>
        <w:t xml:space="preserve"> </w:t>
      </w:r>
      <w:r w:rsidRPr="00633A58">
        <w:rPr>
          <w:rFonts w:ascii="Arial" w:hAnsi="Arial" w:cs="Arial"/>
          <w:lang w:val="en-ZA"/>
        </w:rPr>
        <w:t>Footnote 1 above at 522E-F.</w:t>
      </w:r>
    </w:p>
  </w:footnote>
  <w:footnote w:id="12">
    <w:p w:rsidR="00A5766D" w:rsidRPr="00633A58" w:rsidRDefault="00A5766D" w:rsidP="00DC49CE">
      <w:pPr>
        <w:pStyle w:val="FootnoteText"/>
        <w:jc w:val="both"/>
        <w:rPr>
          <w:rFonts w:ascii="Arial" w:hAnsi="Arial" w:cs="Arial"/>
          <w:lang w:val="en-ZA"/>
        </w:rPr>
      </w:pPr>
      <w:r w:rsidRPr="00633A58">
        <w:rPr>
          <w:rStyle w:val="FootnoteReference"/>
          <w:rFonts w:ascii="Arial" w:hAnsi="Arial" w:cs="Arial"/>
        </w:rPr>
        <w:footnoteRef/>
      </w:r>
      <w:r w:rsidRPr="00633A58">
        <w:rPr>
          <w:rFonts w:ascii="Arial" w:hAnsi="Arial" w:cs="Arial"/>
        </w:rPr>
        <w:t xml:space="preserve"> </w:t>
      </w:r>
      <w:r w:rsidRPr="00633A58">
        <w:rPr>
          <w:rFonts w:ascii="Arial" w:hAnsi="Arial" w:cs="Arial"/>
          <w:i/>
          <w:lang w:val="en-ZA"/>
        </w:rPr>
        <w:t>Schoeman</w:t>
      </w:r>
      <w:r w:rsidRPr="00633A58">
        <w:rPr>
          <w:rFonts w:ascii="Arial" w:hAnsi="Arial" w:cs="Arial"/>
          <w:lang w:val="en-ZA"/>
        </w:rPr>
        <w:t xml:space="preserve"> para </w:t>
      </w:r>
      <w:r w:rsidR="00F0361A" w:rsidRPr="00633A58">
        <w:rPr>
          <w:rFonts w:ascii="Arial" w:hAnsi="Arial" w:cs="Arial"/>
          <w:lang w:val="en-ZA"/>
        </w:rPr>
        <w:t>24</w:t>
      </w:r>
      <w:r w:rsidRPr="00633A58">
        <w:rPr>
          <w:rFonts w:ascii="Arial" w:hAnsi="Arial" w:cs="Arial"/>
          <w:lang w:val="en-ZA"/>
        </w:rPr>
        <w:t>.</w:t>
      </w:r>
    </w:p>
  </w:footnote>
  <w:footnote w:id="13">
    <w:p w:rsidR="00660748" w:rsidRPr="00633A58" w:rsidRDefault="00660748" w:rsidP="00DC49CE">
      <w:pPr>
        <w:pStyle w:val="FootnoteText"/>
        <w:jc w:val="both"/>
        <w:rPr>
          <w:rFonts w:ascii="Arial" w:hAnsi="Arial" w:cs="Arial"/>
          <w:lang w:val="en-ZA"/>
        </w:rPr>
      </w:pPr>
      <w:r w:rsidRPr="00633A58">
        <w:rPr>
          <w:rStyle w:val="FootnoteReference"/>
          <w:rFonts w:ascii="Arial" w:hAnsi="Arial" w:cs="Arial"/>
        </w:rPr>
        <w:footnoteRef/>
      </w:r>
      <w:r w:rsidRPr="00633A58">
        <w:rPr>
          <w:rFonts w:ascii="Arial" w:hAnsi="Arial" w:cs="Arial"/>
        </w:rPr>
        <w:t xml:space="preserve"> </w:t>
      </w:r>
      <w:r w:rsidRPr="00633A58">
        <w:rPr>
          <w:rFonts w:ascii="Arial" w:hAnsi="Arial" w:cs="Arial"/>
          <w:lang w:val="en-ZA"/>
        </w:rPr>
        <w:t xml:space="preserve">See, for example, in this regard: </w:t>
      </w:r>
      <w:r w:rsidR="008B1A72" w:rsidRPr="00633A58">
        <w:rPr>
          <w:rFonts w:ascii="Arial" w:hAnsi="Arial" w:cs="Arial"/>
          <w:i/>
          <w:lang w:val="en-ZA"/>
        </w:rPr>
        <w:t>Nash v Golden Dumps (Pty) Ltd</w:t>
      </w:r>
      <w:r w:rsidR="008B1A72" w:rsidRPr="00633A58">
        <w:rPr>
          <w:rFonts w:ascii="Arial" w:hAnsi="Arial" w:cs="Arial"/>
          <w:lang w:val="en-ZA"/>
        </w:rPr>
        <w:t xml:space="preserve"> [1985] ZASCA 6; [1985] 2 All SA 161 (A) at 22D-I; </w:t>
      </w:r>
      <w:r w:rsidR="008B1A72" w:rsidRPr="00633A58">
        <w:rPr>
          <w:rFonts w:ascii="Arial" w:hAnsi="Arial" w:cs="Arial"/>
          <w:i/>
          <w:lang w:val="en-ZA"/>
        </w:rPr>
        <w:t>Thomas Construction (Pty) Ltd. (in Liquidation) v Grafton Furnitue Manufacturers (Pty) Ltd</w:t>
      </w:r>
      <w:r w:rsidR="008B1A72" w:rsidRPr="00633A58">
        <w:rPr>
          <w:rFonts w:ascii="Arial" w:hAnsi="Arial" w:cs="Arial"/>
          <w:lang w:val="en-ZA"/>
        </w:rPr>
        <w:t xml:space="preserve"> 1988 (2) SA 546 (AD) at 563J-564D.</w:t>
      </w:r>
    </w:p>
  </w:footnote>
  <w:footnote w:id="14">
    <w:p w:rsidR="00DC49CE" w:rsidRPr="00633A58" w:rsidRDefault="00DC49CE" w:rsidP="00DC49CE">
      <w:pPr>
        <w:pStyle w:val="FootnoteText"/>
        <w:jc w:val="both"/>
        <w:rPr>
          <w:rFonts w:ascii="Arial" w:hAnsi="Arial" w:cs="Arial"/>
          <w:lang w:val="en-ZA"/>
        </w:rPr>
      </w:pPr>
      <w:r w:rsidRPr="00633A58">
        <w:rPr>
          <w:rStyle w:val="FootnoteReference"/>
          <w:rFonts w:ascii="Arial" w:hAnsi="Arial" w:cs="Arial"/>
        </w:rPr>
        <w:footnoteRef/>
      </w:r>
      <w:r w:rsidRPr="00633A58">
        <w:rPr>
          <w:rFonts w:ascii="Arial" w:hAnsi="Arial" w:cs="Arial"/>
        </w:rPr>
        <w:t xml:space="preserve"> </w:t>
      </w:r>
      <w:r w:rsidRPr="00633A58">
        <w:rPr>
          <w:rFonts w:ascii="Arial" w:hAnsi="Arial" w:cs="Arial"/>
          <w:i/>
          <w:lang w:val="en-ZA"/>
        </w:rPr>
        <w:t xml:space="preserve">Santam </w:t>
      </w:r>
      <w:r w:rsidR="00DD53AB" w:rsidRPr="00633A58">
        <w:rPr>
          <w:rFonts w:ascii="Arial" w:hAnsi="Arial" w:cs="Arial"/>
          <w:i/>
          <w:lang w:val="en-ZA"/>
        </w:rPr>
        <w:t xml:space="preserve">Bpk </w:t>
      </w:r>
      <w:r w:rsidRPr="00633A58">
        <w:rPr>
          <w:rFonts w:ascii="Arial" w:hAnsi="Arial" w:cs="Arial"/>
          <w:i/>
          <w:lang w:val="en-ZA"/>
        </w:rPr>
        <w:t>v Potgieter</w:t>
      </w:r>
      <w:r w:rsidRPr="00633A58">
        <w:rPr>
          <w:rFonts w:ascii="Arial" w:hAnsi="Arial" w:cs="Arial"/>
          <w:lang w:val="en-ZA"/>
        </w:rPr>
        <w:t xml:space="preserve"> 1997 (3) SA 415 (O) (</w:t>
      </w:r>
      <w:r w:rsidRPr="00633A58">
        <w:rPr>
          <w:rFonts w:ascii="Arial" w:hAnsi="Arial" w:cs="Arial"/>
          <w:i/>
          <w:lang w:val="en-ZA"/>
        </w:rPr>
        <w:t>Santam</w:t>
      </w:r>
      <w:r w:rsidRPr="00633A58">
        <w:rPr>
          <w:rFonts w:ascii="Arial" w:hAnsi="Arial" w:cs="Arial"/>
          <w:lang w:val="en-ZA"/>
        </w:rPr>
        <w:t>).</w:t>
      </w:r>
    </w:p>
  </w:footnote>
  <w:footnote w:id="15">
    <w:p w:rsidR="00DC49CE" w:rsidRPr="00633A58" w:rsidRDefault="00DC49CE" w:rsidP="00DC49CE">
      <w:pPr>
        <w:pStyle w:val="FootnoteText"/>
        <w:jc w:val="both"/>
        <w:rPr>
          <w:lang w:val="en-ZA"/>
        </w:rPr>
      </w:pPr>
      <w:r w:rsidRPr="00633A58">
        <w:rPr>
          <w:rStyle w:val="FootnoteReference"/>
          <w:rFonts w:ascii="Arial" w:hAnsi="Arial" w:cs="Arial"/>
        </w:rPr>
        <w:footnoteRef/>
      </w:r>
      <w:r w:rsidRPr="00633A58">
        <w:rPr>
          <w:rFonts w:ascii="Arial" w:hAnsi="Arial" w:cs="Arial"/>
        </w:rPr>
        <w:t xml:space="preserve"> </w:t>
      </w:r>
      <w:r w:rsidRPr="00633A58">
        <w:rPr>
          <w:rFonts w:ascii="Arial" w:hAnsi="Arial" w:cs="Arial"/>
          <w:lang w:val="en-ZA"/>
        </w:rPr>
        <w:t>See, for example,</w:t>
      </w:r>
      <w:r w:rsidRPr="00633A58">
        <w:rPr>
          <w:lang w:val="en-ZA"/>
        </w:rPr>
        <w:t xml:space="preserve"> </w:t>
      </w:r>
      <w:r w:rsidRPr="00633A58">
        <w:rPr>
          <w:rFonts w:ascii="Arial" w:hAnsi="Arial" w:cs="Arial"/>
          <w:i/>
        </w:rPr>
        <w:t xml:space="preserve">Lehmbecker's </w:t>
      </w:r>
      <w:r w:rsidRPr="00633A58">
        <w:rPr>
          <w:rFonts w:ascii="Arial" w:hAnsi="Arial" w:cs="Arial"/>
        </w:rPr>
        <w:t xml:space="preserve">at 519B-E. </w:t>
      </w:r>
    </w:p>
  </w:footnote>
  <w:footnote w:id="16">
    <w:p w:rsidR="00DC49CE" w:rsidRPr="00633A58" w:rsidRDefault="00DC49CE">
      <w:pPr>
        <w:pStyle w:val="FootnoteText"/>
        <w:rPr>
          <w:rFonts w:ascii="Arial" w:hAnsi="Arial" w:cs="Arial"/>
          <w:lang w:val="en-ZA"/>
        </w:rPr>
      </w:pPr>
      <w:r w:rsidRPr="00633A58">
        <w:rPr>
          <w:rStyle w:val="FootnoteReference"/>
          <w:rFonts w:ascii="Arial" w:hAnsi="Arial" w:cs="Arial"/>
        </w:rPr>
        <w:footnoteRef/>
      </w:r>
      <w:r w:rsidRPr="00633A58">
        <w:rPr>
          <w:rFonts w:ascii="Arial" w:hAnsi="Arial" w:cs="Arial"/>
        </w:rPr>
        <w:t xml:space="preserve"> </w:t>
      </w:r>
      <w:r w:rsidR="009954F9" w:rsidRPr="00633A58">
        <w:rPr>
          <w:rFonts w:ascii="Arial" w:hAnsi="Arial" w:cs="Arial"/>
          <w:i/>
          <w:lang w:val="en-ZA"/>
        </w:rPr>
        <w:t>Schoeman</w:t>
      </w:r>
      <w:r w:rsidRPr="00633A58">
        <w:rPr>
          <w:rFonts w:ascii="Arial" w:hAnsi="Arial" w:cs="Arial"/>
          <w:lang w:val="en-ZA"/>
        </w:rPr>
        <w:t xml:space="preserve"> para </w:t>
      </w:r>
      <w:r w:rsidR="007C704C" w:rsidRPr="00633A58">
        <w:rPr>
          <w:rFonts w:ascii="Arial" w:hAnsi="Arial" w:cs="Arial"/>
          <w:lang w:val="en-ZA"/>
        </w:rPr>
        <w:t>25.</w:t>
      </w:r>
      <w:r w:rsidRPr="00633A58">
        <w:rPr>
          <w:rFonts w:ascii="Arial" w:hAnsi="Arial" w:cs="Arial"/>
          <w:lang w:val="en-ZA"/>
        </w:rPr>
        <w:t xml:space="preserve"> </w:t>
      </w:r>
    </w:p>
  </w:footnote>
  <w:footnote w:id="17">
    <w:p w:rsidR="008C4F70" w:rsidRPr="00633A58" w:rsidRDefault="008C4F70">
      <w:pPr>
        <w:pStyle w:val="FootnoteText"/>
        <w:rPr>
          <w:rFonts w:ascii="Arial" w:hAnsi="Arial" w:cs="Arial"/>
          <w:lang w:val="en-ZA"/>
        </w:rPr>
      </w:pPr>
      <w:r w:rsidRPr="00633A58">
        <w:rPr>
          <w:rStyle w:val="FootnoteReference"/>
          <w:rFonts w:ascii="Arial" w:hAnsi="Arial" w:cs="Arial"/>
        </w:rPr>
        <w:footnoteRef/>
      </w:r>
      <w:r w:rsidRPr="00633A58">
        <w:rPr>
          <w:rFonts w:ascii="Arial" w:hAnsi="Arial" w:cs="Arial"/>
        </w:rPr>
        <w:t xml:space="preserve"> </w:t>
      </w:r>
      <w:r w:rsidRPr="00633A58">
        <w:rPr>
          <w:rFonts w:ascii="Arial" w:hAnsi="Arial" w:cs="Arial"/>
          <w:i/>
        </w:rPr>
        <w:t>Lehmbecker's Earthmoving</w:t>
      </w:r>
      <w:r w:rsidRPr="00633A58">
        <w:rPr>
          <w:rFonts w:ascii="Arial" w:hAnsi="Arial" w:cs="Arial"/>
        </w:rPr>
        <w:t xml:space="preserve"> at 520F-G.</w:t>
      </w:r>
    </w:p>
  </w:footnote>
  <w:footnote w:id="18">
    <w:p w:rsidR="008C4F70" w:rsidRPr="00633A58" w:rsidRDefault="008C4F70">
      <w:pPr>
        <w:pStyle w:val="FootnoteText"/>
        <w:rPr>
          <w:rFonts w:ascii="Arial" w:hAnsi="Arial" w:cs="Arial"/>
          <w:lang w:val="en-ZA"/>
        </w:rPr>
      </w:pPr>
      <w:r w:rsidRPr="00633A58">
        <w:rPr>
          <w:rStyle w:val="FootnoteReference"/>
          <w:rFonts w:ascii="Arial" w:hAnsi="Arial" w:cs="Arial"/>
        </w:rPr>
        <w:footnoteRef/>
      </w:r>
      <w:r w:rsidRPr="00633A58">
        <w:rPr>
          <w:rFonts w:ascii="Arial" w:hAnsi="Arial" w:cs="Arial"/>
        </w:rPr>
        <w:t xml:space="preserve"> </w:t>
      </w:r>
      <w:r w:rsidRPr="00633A58">
        <w:rPr>
          <w:rFonts w:ascii="Arial" w:hAnsi="Arial" w:cs="Arial"/>
          <w:lang w:val="en-ZA"/>
        </w:rPr>
        <w:t>Ibid at 520F-G.</w:t>
      </w:r>
    </w:p>
  </w:footnote>
  <w:footnote w:id="19">
    <w:p w:rsidR="008C4F70" w:rsidRPr="00633A58" w:rsidRDefault="008C4F70" w:rsidP="00A14849">
      <w:pPr>
        <w:pStyle w:val="FootnoteText"/>
        <w:jc w:val="both"/>
        <w:rPr>
          <w:lang w:val="en-ZA"/>
        </w:rPr>
      </w:pPr>
      <w:r w:rsidRPr="00633A58">
        <w:rPr>
          <w:rStyle w:val="FootnoteReference"/>
          <w:rFonts w:ascii="Arial" w:hAnsi="Arial" w:cs="Arial"/>
        </w:rPr>
        <w:footnoteRef/>
      </w:r>
      <w:r w:rsidRPr="00633A58">
        <w:rPr>
          <w:rFonts w:ascii="Arial" w:hAnsi="Arial" w:cs="Arial"/>
        </w:rPr>
        <w:t xml:space="preserve"> </w:t>
      </w:r>
      <w:r w:rsidRPr="00633A58">
        <w:rPr>
          <w:rFonts w:ascii="Arial" w:hAnsi="Arial" w:cs="Arial"/>
          <w:lang w:val="en-ZA"/>
        </w:rPr>
        <w:t>See generally, for example,</w:t>
      </w:r>
      <w:r w:rsidRPr="00633A58">
        <w:rPr>
          <w:lang w:val="en-ZA"/>
        </w:rPr>
        <w:t xml:space="preserve"> </w:t>
      </w:r>
      <w:r w:rsidRPr="00633A58">
        <w:rPr>
          <w:rFonts w:ascii="Arial" w:hAnsi="Arial" w:cs="Arial"/>
          <w:i/>
          <w:lang w:val="en-ZA"/>
        </w:rPr>
        <w:t xml:space="preserve">Santam </w:t>
      </w:r>
      <w:r w:rsidRPr="00633A58">
        <w:rPr>
          <w:rFonts w:ascii="Arial" w:hAnsi="Arial" w:cs="Arial"/>
          <w:lang w:val="en-ZA"/>
        </w:rPr>
        <w:t xml:space="preserve">at 423E; </w:t>
      </w:r>
      <w:r w:rsidR="00A14849" w:rsidRPr="00633A58">
        <w:rPr>
          <w:rFonts w:ascii="Arial" w:hAnsi="Arial" w:cs="Arial"/>
          <w:lang w:val="en-ZA"/>
        </w:rPr>
        <w:t xml:space="preserve">E.R Hardy Ivamy </w:t>
      </w:r>
      <w:r w:rsidR="00A14849" w:rsidRPr="00633A58">
        <w:rPr>
          <w:rFonts w:ascii="Arial" w:hAnsi="Arial" w:cs="Arial"/>
          <w:i/>
          <w:lang w:val="en-ZA"/>
        </w:rPr>
        <w:t xml:space="preserve">General Principles of Insurance Law </w:t>
      </w:r>
      <w:r w:rsidR="00A14849" w:rsidRPr="00633A58">
        <w:rPr>
          <w:rFonts w:ascii="Arial" w:hAnsi="Arial" w:cs="Arial"/>
          <w:lang w:val="en-ZA"/>
        </w:rPr>
        <w:t>6ed</w:t>
      </w:r>
      <w:r w:rsidRPr="00633A58">
        <w:rPr>
          <w:rFonts w:ascii="Arial" w:hAnsi="Arial" w:cs="Arial"/>
          <w:lang w:val="en-ZA"/>
        </w:rPr>
        <w:t xml:space="preserve"> at 114 para 176.</w:t>
      </w:r>
    </w:p>
  </w:footnote>
  <w:footnote w:id="20">
    <w:p w:rsidR="000728F3" w:rsidRPr="00633A58" w:rsidRDefault="000728F3">
      <w:pPr>
        <w:pStyle w:val="FootnoteText"/>
        <w:rPr>
          <w:rFonts w:ascii="Arial" w:hAnsi="Arial" w:cs="Arial"/>
          <w:lang w:val="en-ZA"/>
        </w:rPr>
      </w:pPr>
      <w:r w:rsidRPr="00633A58">
        <w:rPr>
          <w:rStyle w:val="FootnoteReference"/>
          <w:rFonts w:ascii="Arial" w:hAnsi="Arial" w:cs="Arial"/>
        </w:rPr>
        <w:footnoteRef/>
      </w:r>
      <w:r w:rsidRPr="00633A58">
        <w:rPr>
          <w:rFonts w:ascii="Arial" w:hAnsi="Arial" w:cs="Arial"/>
        </w:rPr>
        <w:t xml:space="preserve"> </w:t>
      </w:r>
      <w:r w:rsidR="009954F9" w:rsidRPr="00633A58">
        <w:rPr>
          <w:rFonts w:ascii="Arial" w:hAnsi="Arial" w:cs="Arial"/>
          <w:i/>
        </w:rPr>
        <w:t>Lehmbecker's Earthmoving</w:t>
      </w:r>
      <w:r w:rsidR="009954F9" w:rsidRPr="00633A58">
        <w:rPr>
          <w:rFonts w:ascii="Arial" w:hAnsi="Arial" w:cs="Arial"/>
        </w:rPr>
        <w:t xml:space="preserve"> at</w:t>
      </w:r>
      <w:r w:rsidRPr="00633A58">
        <w:rPr>
          <w:rFonts w:ascii="Arial" w:hAnsi="Arial" w:cs="Arial"/>
        </w:rPr>
        <w:t xml:space="preserve"> 520F-G.</w:t>
      </w:r>
    </w:p>
  </w:footnote>
  <w:footnote w:id="21">
    <w:p w:rsidR="00E5303C" w:rsidRPr="00633A58" w:rsidRDefault="00E5303C">
      <w:pPr>
        <w:pStyle w:val="FootnoteText"/>
        <w:rPr>
          <w:rFonts w:ascii="Arial" w:hAnsi="Arial" w:cs="Arial"/>
          <w:lang w:val="en-ZA"/>
        </w:rPr>
      </w:pPr>
      <w:r w:rsidRPr="00633A58">
        <w:rPr>
          <w:rStyle w:val="FootnoteReference"/>
          <w:rFonts w:ascii="Arial" w:hAnsi="Arial" w:cs="Arial"/>
        </w:rPr>
        <w:footnoteRef/>
      </w:r>
      <w:r w:rsidRPr="00633A58">
        <w:rPr>
          <w:rFonts w:ascii="Arial" w:hAnsi="Arial" w:cs="Arial"/>
        </w:rPr>
        <w:t xml:space="preserve"> </w:t>
      </w:r>
      <w:r w:rsidR="009954F9" w:rsidRPr="00633A58">
        <w:rPr>
          <w:rFonts w:ascii="Arial" w:hAnsi="Arial" w:cs="Arial"/>
          <w:lang w:val="en-ZA"/>
        </w:rPr>
        <w:t>Ibid a</w:t>
      </w:r>
      <w:r w:rsidRPr="00633A58">
        <w:rPr>
          <w:rFonts w:ascii="Arial" w:hAnsi="Arial" w:cs="Arial"/>
          <w:lang w:val="en-ZA"/>
        </w:rPr>
        <w:t>t 522E-F.</w:t>
      </w:r>
    </w:p>
  </w:footnote>
  <w:footnote w:id="22">
    <w:p w:rsidR="00EF0363" w:rsidRPr="00633A58" w:rsidRDefault="00EF0363">
      <w:pPr>
        <w:pStyle w:val="FootnoteText"/>
        <w:rPr>
          <w:rFonts w:ascii="Arial" w:hAnsi="Arial" w:cs="Arial"/>
          <w:lang w:val="en-ZA"/>
        </w:rPr>
      </w:pPr>
      <w:r w:rsidRPr="00633A58">
        <w:rPr>
          <w:rStyle w:val="FootnoteReference"/>
          <w:rFonts w:ascii="Arial" w:hAnsi="Arial" w:cs="Arial"/>
        </w:rPr>
        <w:footnoteRef/>
      </w:r>
      <w:r w:rsidRPr="00633A58">
        <w:rPr>
          <w:rFonts w:ascii="Arial" w:hAnsi="Arial" w:cs="Arial"/>
        </w:rPr>
        <w:t xml:space="preserve"> </w:t>
      </w:r>
      <w:r w:rsidRPr="00633A58">
        <w:rPr>
          <w:rFonts w:ascii="Arial" w:hAnsi="Arial" w:cs="Arial"/>
          <w:lang w:val="en-ZA"/>
        </w:rPr>
        <w:t>Para 20.</w:t>
      </w:r>
    </w:p>
  </w:footnote>
  <w:footnote w:id="23">
    <w:p w:rsidR="007571BB" w:rsidRPr="00633A58" w:rsidRDefault="007571BB">
      <w:pPr>
        <w:pStyle w:val="FootnoteText"/>
        <w:rPr>
          <w:rFonts w:ascii="Arial" w:hAnsi="Arial" w:cs="Arial"/>
          <w:lang w:val="en-ZA"/>
        </w:rPr>
      </w:pPr>
      <w:r w:rsidRPr="00633A58">
        <w:rPr>
          <w:rStyle w:val="FootnoteReference"/>
          <w:rFonts w:ascii="Arial" w:hAnsi="Arial" w:cs="Arial"/>
        </w:rPr>
        <w:footnoteRef/>
      </w:r>
      <w:r w:rsidRPr="00633A58">
        <w:rPr>
          <w:rFonts w:ascii="Arial" w:hAnsi="Arial" w:cs="Arial"/>
        </w:rPr>
        <w:t xml:space="preserve"> </w:t>
      </w:r>
      <w:r w:rsidRPr="00633A58">
        <w:rPr>
          <w:rFonts w:ascii="Arial" w:hAnsi="Arial" w:cs="Arial"/>
          <w:i/>
        </w:rPr>
        <w:t>Commissioner for the South African Revenue Service v United Manganese of Kalahari (Pty) Ltd</w:t>
      </w:r>
      <w:r w:rsidRPr="00633A58">
        <w:rPr>
          <w:rFonts w:ascii="Arial" w:hAnsi="Arial" w:cs="Arial"/>
        </w:rPr>
        <w:t xml:space="preserve"> [2020] ZASCA 16; 2020 (4) SA 428 (SCA) para 17.</w:t>
      </w:r>
    </w:p>
  </w:footnote>
  <w:footnote w:id="24">
    <w:p w:rsidR="009010DC" w:rsidRPr="00633A58" w:rsidRDefault="009010DC">
      <w:pPr>
        <w:pStyle w:val="FootnoteText"/>
        <w:rPr>
          <w:rFonts w:ascii="Arial" w:hAnsi="Arial" w:cs="Arial"/>
          <w:lang w:val="en-ZA"/>
        </w:rPr>
      </w:pPr>
      <w:r w:rsidRPr="00633A58">
        <w:rPr>
          <w:rStyle w:val="FootnoteReference"/>
          <w:rFonts w:ascii="Arial" w:hAnsi="Arial" w:cs="Arial"/>
        </w:rPr>
        <w:footnoteRef/>
      </w:r>
      <w:r w:rsidRPr="00633A58">
        <w:rPr>
          <w:rFonts w:ascii="Arial" w:hAnsi="Arial" w:cs="Arial"/>
        </w:rPr>
        <w:t xml:space="preserve"> </w:t>
      </w:r>
      <w:r w:rsidRPr="00633A58">
        <w:rPr>
          <w:rFonts w:ascii="Arial" w:hAnsi="Arial" w:cs="Arial"/>
          <w:i/>
        </w:rPr>
        <w:t>Bato Star Fishing (Pty) Ltd v Minister of Environmental Affairs &amp; Others</w:t>
      </w:r>
      <w:r w:rsidR="009954F9" w:rsidRPr="00633A58">
        <w:rPr>
          <w:rFonts w:ascii="Arial" w:hAnsi="Arial" w:cs="Arial"/>
        </w:rPr>
        <w:t xml:space="preserve"> 2004 (4) SA 490 (CC)</w:t>
      </w:r>
      <w:r w:rsidRPr="00633A58">
        <w:rPr>
          <w:rFonts w:ascii="Arial" w:hAnsi="Arial" w:cs="Arial"/>
        </w:rPr>
        <w:t>.</w:t>
      </w:r>
    </w:p>
  </w:footnote>
  <w:footnote w:id="25">
    <w:p w:rsidR="009010DC" w:rsidRPr="00633A58" w:rsidRDefault="009010DC">
      <w:pPr>
        <w:pStyle w:val="FootnoteText"/>
        <w:rPr>
          <w:lang w:val="en-ZA"/>
        </w:rPr>
      </w:pPr>
      <w:r w:rsidRPr="00633A58">
        <w:rPr>
          <w:rStyle w:val="FootnoteReference"/>
          <w:rFonts w:ascii="Arial" w:hAnsi="Arial" w:cs="Arial"/>
        </w:rPr>
        <w:footnoteRef/>
      </w:r>
      <w:r w:rsidRPr="00633A58">
        <w:rPr>
          <w:rFonts w:ascii="Arial" w:hAnsi="Arial" w:cs="Arial"/>
        </w:rPr>
        <w:t xml:space="preserve"> </w:t>
      </w:r>
      <w:r w:rsidRPr="00633A58">
        <w:rPr>
          <w:rFonts w:ascii="Arial" w:hAnsi="Arial" w:cs="Arial"/>
          <w:lang w:val="en-ZA"/>
        </w:rPr>
        <w:t>Ibid para 90.</w:t>
      </w:r>
    </w:p>
  </w:footnote>
  <w:footnote w:id="26">
    <w:p w:rsidR="009010DC" w:rsidRPr="00633A58" w:rsidRDefault="009010DC">
      <w:pPr>
        <w:pStyle w:val="FootnoteText"/>
        <w:rPr>
          <w:rFonts w:ascii="Arial" w:hAnsi="Arial" w:cs="Arial"/>
          <w:lang w:val="en-ZA"/>
        </w:rPr>
      </w:pPr>
      <w:r w:rsidRPr="00633A58">
        <w:rPr>
          <w:rStyle w:val="FootnoteReference"/>
          <w:rFonts w:ascii="Arial" w:hAnsi="Arial" w:cs="Arial"/>
        </w:rPr>
        <w:footnoteRef/>
      </w:r>
      <w:r w:rsidRPr="00633A58">
        <w:rPr>
          <w:rFonts w:ascii="Arial" w:hAnsi="Arial" w:cs="Arial"/>
        </w:rPr>
        <w:t xml:space="preserve"> </w:t>
      </w:r>
      <w:r w:rsidR="008E046D" w:rsidRPr="00633A58">
        <w:rPr>
          <w:rFonts w:ascii="Arial" w:hAnsi="Arial" w:cs="Arial"/>
          <w:i/>
          <w:lang w:val="en-ZA"/>
        </w:rPr>
        <w:t xml:space="preserve">Schoeman </w:t>
      </w:r>
      <w:r w:rsidR="008E046D" w:rsidRPr="00633A58">
        <w:rPr>
          <w:rFonts w:ascii="Arial" w:hAnsi="Arial" w:cs="Arial"/>
          <w:lang w:val="en-ZA"/>
        </w:rPr>
        <w:t>p</w:t>
      </w:r>
      <w:r w:rsidRPr="00633A58">
        <w:rPr>
          <w:rFonts w:ascii="Arial" w:hAnsi="Arial" w:cs="Arial"/>
          <w:lang w:val="en-ZA"/>
        </w:rPr>
        <w:t xml:space="preserve">ara 24. </w:t>
      </w:r>
    </w:p>
  </w:footnote>
  <w:footnote w:id="27">
    <w:p w:rsidR="00E30896" w:rsidRPr="00633A58" w:rsidRDefault="00E30896">
      <w:pPr>
        <w:pStyle w:val="FootnoteText"/>
        <w:rPr>
          <w:rFonts w:ascii="Arial" w:hAnsi="Arial" w:cs="Arial"/>
          <w:lang w:val="en-ZA"/>
        </w:rPr>
      </w:pPr>
      <w:r w:rsidRPr="00633A58">
        <w:rPr>
          <w:rStyle w:val="FootnoteReference"/>
          <w:rFonts w:ascii="Arial" w:hAnsi="Arial" w:cs="Arial"/>
        </w:rPr>
        <w:footnoteRef/>
      </w:r>
      <w:r w:rsidRPr="00633A58">
        <w:rPr>
          <w:rFonts w:ascii="Arial" w:hAnsi="Arial" w:cs="Arial"/>
        </w:rPr>
        <w:t xml:space="preserve"> </w:t>
      </w:r>
      <w:r w:rsidRPr="00633A58">
        <w:rPr>
          <w:rFonts w:ascii="Arial" w:hAnsi="Arial" w:cs="Arial"/>
          <w:i/>
          <w:lang w:val="en-ZA"/>
        </w:rPr>
        <w:t xml:space="preserve">Schoeman </w:t>
      </w:r>
      <w:r w:rsidRPr="00633A58">
        <w:rPr>
          <w:rFonts w:ascii="Arial" w:hAnsi="Arial" w:cs="Arial"/>
          <w:lang w:val="en-ZA"/>
        </w:rPr>
        <w:t>para 20.</w:t>
      </w:r>
    </w:p>
  </w:footnote>
  <w:footnote w:id="28">
    <w:p w:rsidR="000F4AD4" w:rsidRPr="00633A58" w:rsidRDefault="000F4AD4">
      <w:pPr>
        <w:pStyle w:val="FootnoteText"/>
        <w:rPr>
          <w:rFonts w:ascii="Arial" w:hAnsi="Arial" w:cs="Arial"/>
          <w:lang w:val="en-ZA"/>
        </w:rPr>
      </w:pPr>
      <w:r w:rsidRPr="00633A58">
        <w:rPr>
          <w:rStyle w:val="FootnoteReference"/>
          <w:rFonts w:ascii="Arial" w:hAnsi="Arial" w:cs="Arial"/>
        </w:rPr>
        <w:footnoteRef/>
      </w:r>
      <w:r w:rsidRPr="00633A58">
        <w:rPr>
          <w:rFonts w:ascii="Arial" w:hAnsi="Arial" w:cs="Arial"/>
        </w:rPr>
        <w:t xml:space="preserve"> </w:t>
      </w:r>
      <w:r w:rsidRPr="00633A58">
        <w:rPr>
          <w:rFonts w:ascii="Arial" w:hAnsi="Arial" w:cs="Arial"/>
          <w:i/>
        </w:rPr>
        <w:t>Fischer and Another v Ramahlele and Others</w:t>
      </w:r>
      <w:r w:rsidRPr="00633A58">
        <w:rPr>
          <w:rFonts w:ascii="Arial" w:hAnsi="Arial" w:cs="Arial"/>
        </w:rPr>
        <w:t xml:space="preserve"> [2014] 3 All SA 395 (SCA) (</w:t>
      </w:r>
      <w:r w:rsidRPr="00633A58">
        <w:rPr>
          <w:rFonts w:ascii="Arial" w:hAnsi="Arial" w:cs="Arial"/>
          <w:i/>
        </w:rPr>
        <w:t>Fischer</w:t>
      </w:r>
      <w:r w:rsidRPr="00633A58">
        <w:rPr>
          <w:rFonts w:ascii="Arial" w:hAnsi="Arial" w:cs="Arial"/>
        </w:rPr>
        <w:t xml:space="preserve">). See also: </w:t>
      </w:r>
      <w:r w:rsidR="00725E31" w:rsidRPr="00633A58">
        <w:rPr>
          <w:rFonts w:ascii="Arial" w:hAnsi="Arial" w:cs="Arial"/>
          <w:i/>
        </w:rPr>
        <w:t>Advertising Regulatory Board NPC and Others v Bliss Brands (Pty) Ltd</w:t>
      </w:r>
      <w:r w:rsidR="00725E31" w:rsidRPr="00633A58">
        <w:rPr>
          <w:rFonts w:ascii="Arial" w:hAnsi="Arial" w:cs="Arial"/>
        </w:rPr>
        <w:t xml:space="preserve"> [2022] ZASCA 51; [2022] 2 All SA 607 (SCA); 2022 (4) SA 57 (SCA) para</w:t>
      </w:r>
      <w:r w:rsidR="0041371D" w:rsidRPr="00633A58">
        <w:rPr>
          <w:rFonts w:ascii="Arial" w:hAnsi="Arial" w:cs="Arial"/>
        </w:rPr>
        <w:t>s</w:t>
      </w:r>
      <w:r w:rsidR="00725E31" w:rsidRPr="00633A58">
        <w:rPr>
          <w:rFonts w:ascii="Arial" w:hAnsi="Arial" w:cs="Arial"/>
        </w:rPr>
        <w:t xml:space="preserve"> </w:t>
      </w:r>
      <w:r w:rsidR="0041371D" w:rsidRPr="00633A58">
        <w:rPr>
          <w:rFonts w:ascii="Arial" w:hAnsi="Arial" w:cs="Arial"/>
        </w:rPr>
        <w:t>9-10</w:t>
      </w:r>
      <w:r w:rsidR="00725E31" w:rsidRPr="00633A58">
        <w:rPr>
          <w:rFonts w:ascii="Arial" w:hAnsi="Arial" w:cs="Arial"/>
        </w:rPr>
        <w:t>.</w:t>
      </w:r>
    </w:p>
  </w:footnote>
  <w:footnote w:id="29">
    <w:p w:rsidR="00F34D9E" w:rsidRPr="00AB63BB" w:rsidRDefault="00F34D9E">
      <w:pPr>
        <w:pStyle w:val="FootnoteText"/>
        <w:rPr>
          <w:rFonts w:ascii="Arial" w:hAnsi="Arial" w:cs="Arial"/>
          <w:lang w:val="en-ZA"/>
        </w:rPr>
      </w:pPr>
      <w:r w:rsidRPr="00633A58">
        <w:rPr>
          <w:rStyle w:val="FootnoteReference"/>
          <w:rFonts w:ascii="Arial" w:hAnsi="Arial" w:cs="Arial"/>
        </w:rPr>
        <w:footnoteRef/>
      </w:r>
      <w:r w:rsidRPr="00633A58">
        <w:rPr>
          <w:rFonts w:ascii="Arial" w:hAnsi="Arial" w:cs="Arial"/>
        </w:rPr>
        <w:t xml:space="preserve"> </w:t>
      </w:r>
      <w:r w:rsidR="00E30896" w:rsidRPr="00633A58">
        <w:rPr>
          <w:rFonts w:ascii="Arial" w:hAnsi="Arial" w:cs="Arial"/>
        </w:rPr>
        <w:t>Ibid paras</w:t>
      </w:r>
      <w:r w:rsidRPr="00633A58">
        <w:rPr>
          <w:rFonts w:ascii="Arial" w:hAnsi="Arial" w:cs="Arial"/>
          <w:lang w:val="en-ZA"/>
        </w:rPr>
        <w:t xml:space="preserve"> 13-14.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100" w:rsidRDefault="00180100">
    <w:pPr>
      <w:pStyle w:val="Header"/>
      <w:jc w:val="right"/>
    </w:pPr>
  </w:p>
  <w:p w:rsidR="00F3543F" w:rsidRDefault="00F354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146892"/>
      <w:docPartObj>
        <w:docPartGallery w:val="Page Numbers (Top of Page)"/>
        <w:docPartUnique/>
      </w:docPartObj>
    </w:sdtPr>
    <w:sdtEndPr>
      <w:rPr>
        <w:noProof/>
      </w:rPr>
    </w:sdtEndPr>
    <w:sdtContent>
      <w:p w:rsidR="00180100" w:rsidRDefault="00180100">
        <w:pPr>
          <w:pStyle w:val="Header"/>
          <w:jc w:val="right"/>
        </w:pPr>
        <w:r>
          <w:fldChar w:fldCharType="begin"/>
        </w:r>
        <w:r>
          <w:instrText xml:space="preserve"> PAGE   \* MERGEFORMAT </w:instrText>
        </w:r>
        <w:r>
          <w:fldChar w:fldCharType="separate"/>
        </w:r>
        <w:r w:rsidR="00574174">
          <w:rPr>
            <w:noProof/>
          </w:rPr>
          <w:t>3</w:t>
        </w:r>
        <w:r>
          <w:rPr>
            <w:noProof/>
          </w:rPr>
          <w:fldChar w:fldCharType="end"/>
        </w:r>
      </w:p>
    </w:sdtContent>
  </w:sdt>
  <w:p w:rsidR="00F3543F" w:rsidRDefault="00F354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92928"/>
      <w:docPartObj>
        <w:docPartGallery w:val="Page Numbers (Top of Page)"/>
        <w:docPartUnique/>
      </w:docPartObj>
    </w:sdtPr>
    <w:sdtEndPr>
      <w:rPr>
        <w:noProof/>
      </w:rPr>
    </w:sdtEndPr>
    <w:sdtContent>
      <w:p w:rsidR="009E3E16" w:rsidRDefault="009E3E16">
        <w:pPr>
          <w:pStyle w:val="Header"/>
          <w:jc w:val="right"/>
        </w:pPr>
        <w:r>
          <w:fldChar w:fldCharType="begin"/>
        </w:r>
        <w:r>
          <w:instrText xml:space="preserve"> PAGE   \* MERGEFORMAT </w:instrText>
        </w:r>
        <w:r>
          <w:fldChar w:fldCharType="separate"/>
        </w:r>
        <w:r w:rsidR="00574174">
          <w:rPr>
            <w:noProof/>
          </w:rPr>
          <w:t>19</w:t>
        </w:r>
        <w:r>
          <w:rPr>
            <w:noProof/>
          </w:rPr>
          <w:fldChar w:fldCharType="end"/>
        </w:r>
      </w:p>
    </w:sdtContent>
  </w:sdt>
  <w:p w:rsidR="00180100" w:rsidRDefault="001801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4722B"/>
    <w:multiLevelType w:val="multilevel"/>
    <w:tmpl w:val="A9A4ADC6"/>
    <w:lvl w:ilvl="0">
      <w:start w:val="1"/>
      <w:numFmt w:val="decimal"/>
      <w:lvlText w:val="%1"/>
      <w:lvlJc w:val="left"/>
      <w:pPr>
        <w:ind w:left="720" w:hanging="720"/>
      </w:pPr>
      <w:rPr>
        <w:rFonts w:hint="default"/>
      </w:rPr>
    </w:lvl>
    <w:lvl w:ilvl="1">
      <w:start w:val="1"/>
      <w:numFmt w:val="lowerLetter"/>
      <w:lvlText w:val="%2."/>
      <w:lvlJc w:val="left"/>
      <w:pPr>
        <w:ind w:left="2160" w:hanging="720"/>
      </w:pPr>
      <w:rPr>
        <w:rFonts w:ascii="Arial" w:eastAsia="Times New Roman" w:hAnsi="Arial" w:cs="Arial"/>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CCB029E"/>
    <w:multiLevelType w:val="hybridMultilevel"/>
    <w:tmpl w:val="5B9857B8"/>
    <w:lvl w:ilvl="0" w:tplc="92BC9AC4">
      <w:start w:val="1"/>
      <w:numFmt w:val="lowerLetter"/>
      <w:lvlText w:val="(%1)"/>
      <w:lvlJc w:val="left"/>
      <w:pPr>
        <w:ind w:left="1440" w:hanging="360"/>
      </w:pPr>
      <w:rPr>
        <w:rFonts w:ascii="Arial" w:eastAsia="Times New Roman" w:hAnsi="Arial" w:cs="Arial"/>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17DF7289"/>
    <w:multiLevelType w:val="hybridMultilevel"/>
    <w:tmpl w:val="832839DC"/>
    <w:lvl w:ilvl="0" w:tplc="259671F4">
      <w:start w:val="1"/>
      <w:numFmt w:val="lowerRoman"/>
      <w:lvlText w:val="(%1)"/>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A0319AC"/>
    <w:multiLevelType w:val="hybridMultilevel"/>
    <w:tmpl w:val="16E6D71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4">
    <w:nsid w:val="1E2112F0"/>
    <w:multiLevelType w:val="hybridMultilevel"/>
    <w:tmpl w:val="6F12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E6433D"/>
    <w:multiLevelType w:val="hybridMultilevel"/>
    <w:tmpl w:val="64105310"/>
    <w:lvl w:ilvl="0" w:tplc="2610BE7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8790436"/>
    <w:multiLevelType w:val="hybridMultilevel"/>
    <w:tmpl w:val="715C5D50"/>
    <w:lvl w:ilvl="0" w:tplc="AB80DCC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7">
    <w:nsid w:val="50B903B4"/>
    <w:multiLevelType w:val="hybridMultilevel"/>
    <w:tmpl w:val="B1C8B698"/>
    <w:lvl w:ilvl="0" w:tplc="52865042">
      <w:start w:val="1"/>
      <w:numFmt w:val="decimal"/>
      <w:lvlText w:val="[%1]"/>
      <w:lvlJc w:val="left"/>
      <w:pPr>
        <w:ind w:left="360" w:hanging="360"/>
      </w:pPr>
      <w:rPr>
        <w:rFonts w:ascii="Arial" w:hAnsi="Arial" w:cs="Arial" w:hint="default"/>
        <w:b w:val="0"/>
        <w:i w:val="0"/>
        <w:iCs w:val="0"/>
        <w:color w:val="auto"/>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5E971A33"/>
    <w:multiLevelType w:val="hybridMultilevel"/>
    <w:tmpl w:val="F20C6458"/>
    <w:lvl w:ilvl="0" w:tplc="D6FAB51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DC13299"/>
    <w:multiLevelType w:val="hybridMultilevel"/>
    <w:tmpl w:val="50CE4742"/>
    <w:lvl w:ilvl="0" w:tplc="40C64F7C">
      <w:start w:val="1"/>
      <w:numFmt w:val="lowerLetter"/>
      <w:lvlText w:val="%1."/>
      <w:lvlJc w:val="left"/>
      <w:pPr>
        <w:ind w:left="1440" w:hanging="360"/>
      </w:pPr>
      <w:rPr>
        <w:rFonts w:ascii="Arial" w:eastAsia="Times New Roman" w:hAnsi="Arial" w:cs="Arial"/>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5"/>
  </w:num>
  <w:num w:numId="5">
    <w:abstractNumId w:val="0"/>
  </w:num>
  <w:num w:numId="6">
    <w:abstractNumId w:val="2"/>
  </w:num>
  <w:num w:numId="7">
    <w:abstractNumId w:val="8"/>
  </w:num>
  <w:num w:numId="8">
    <w:abstractNumId w:val="6"/>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03"/>
    <w:rsid w:val="00014AAD"/>
    <w:rsid w:val="00052DA2"/>
    <w:rsid w:val="00053630"/>
    <w:rsid w:val="000538B8"/>
    <w:rsid w:val="000575C2"/>
    <w:rsid w:val="00057A28"/>
    <w:rsid w:val="00062B2A"/>
    <w:rsid w:val="0006451C"/>
    <w:rsid w:val="000728F3"/>
    <w:rsid w:val="00077EA0"/>
    <w:rsid w:val="00096290"/>
    <w:rsid w:val="000A462D"/>
    <w:rsid w:val="000A7BCC"/>
    <w:rsid w:val="000D056D"/>
    <w:rsid w:val="000E0876"/>
    <w:rsid w:val="000E4E2A"/>
    <w:rsid w:val="000F4AD4"/>
    <w:rsid w:val="000F56F7"/>
    <w:rsid w:val="001011E5"/>
    <w:rsid w:val="001119D8"/>
    <w:rsid w:val="001330D2"/>
    <w:rsid w:val="001355DC"/>
    <w:rsid w:val="00150752"/>
    <w:rsid w:val="0015496A"/>
    <w:rsid w:val="00155295"/>
    <w:rsid w:val="00171E96"/>
    <w:rsid w:val="00180100"/>
    <w:rsid w:val="0019089E"/>
    <w:rsid w:val="001A4BC1"/>
    <w:rsid w:val="001A6459"/>
    <w:rsid w:val="001B626F"/>
    <w:rsid w:val="001B649E"/>
    <w:rsid w:val="001D6A7F"/>
    <w:rsid w:val="001E17C8"/>
    <w:rsid w:val="001F1EAC"/>
    <w:rsid w:val="001F31BD"/>
    <w:rsid w:val="00203435"/>
    <w:rsid w:val="002046E3"/>
    <w:rsid w:val="0020553E"/>
    <w:rsid w:val="00212045"/>
    <w:rsid w:val="00216B44"/>
    <w:rsid w:val="00237CC0"/>
    <w:rsid w:val="00243D24"/>
    <w:rsid w:val="00270172"/>
    <w:rsid w:val="00271B60"/>
    <w:rsid w:val="0028739E"/>
    <w:rsid w:val="00293DB2"/>
    <w:rsid w:val="002A133F"/>
    <w:rsid w:val="002B21CC"/>
    <w:rsid w:val="002B317C"/>
    <w:rsid w:val="002B50AC"/>
    <w:rsid w:val="002B7334"/>
    <w:rsid w:val="002D2ECF"/>
    <w:rsid w:val="002D4CCD"/>
    <w:rsid w:val="002E121C"/>
    <w:rsid w:val="002E6FB3"/>
    <w:rsid w:val="002F485A"/>
    <w:rsid w:val="00300554"/>
    <w:rsid w:val="00317CFA"/>
    <w:rsid w:val="0032256C"/>
    <w:rsid w:val="00360CCF"/>
    <w:rsid w:val="00370E62"/>
    <w:rsid w:val="00385EA1"/>
    <w:rsid w:val="003938AF"/>
    <w:rsid w:val="003943F6"/>
    <w:rsid w:val="00396403"/>
    <w:rsid w:val="003A0E84"/>
    <w:rsid w:val="003B3D2D"/>
    <w:rsid w:val="003C37CF"/>
    <w:rsid w:val="003D66F4"/>
    <w:rsid w:val="003D7866"/>
    <w:rsid w:val="003E1AA6"/>
    <w:rsid w:val="003F600E"/>
    <w:rsid w:val="00402A2E"/>
    <w:rsid w:val="004071DC"/>
    <w:rsid w:val="0041371D"/>
    <w:rsid w:val="00416110"/>
    <w:rsid w:val="00425825"/>
    <w:rsid w:val="004323C7"/>
    <w:rsid w:val="004428CB"/>
    <w:rsid w:val="00464A4D"/>
    <w:rsid w:val="00492F71"/>
    <w:rsid w:val="004A7CB3"/>
    <w:rsid w:val="004E4F2C"/>
    <w:rsid w:val="004F497B"/>
    <w:rsid w:val="00503CB6"/>
    <w:rsid w:val="0050665E"/>
    <w:rsid w:val="00532B2C"/>
    <w:rsid w:val="005442F2"/>
    <w:rsid w:val="00545C33"/>
    <w:rsid w:val="00547361"/>
    <w:rsid w:val="005510FC"/>
    <w:rsid w:val="00552715"/>
    <w:rsid w:val="00553AA4"/>
    <w:rsid w:val="00557350"/>
    <w:rsid w:val="0056322E"/>
    <w:rsid w:val="00574174"/>
    <w:rsid w:val="005746B8"/>
    <w:rsid w:val="00591C10"/>
    <w:rsid w:val="005B1184"/>
    <w:rsid w:val="005C1AEE"/>
    <w:rsid w:val="005C4175"/>
    <w:rsid w:val="005C558E"/>
    <w:rsid w:val="005C6490"/>
    <w:rsid w:val="005D1CCF"/>
    <w:rsid w:val="005D74E3"/>
    <w:rsid w:val="0060390E"/>
    <w:rsid w:val="00633A58"/>
    <w:rsid w:val="00645D70"/>
    <w:rsid w:val="00660748"/>
    <w:rsid w:val="0067018F"/>
    <w:rsid w:val="006A1F85"/>
    <w:rsid w:val="006A74BF"/>
    <w:rsid w:val="006B08A1"/>
    <w:rsid w:val="006B265B"/>
    <w:rsid w:val="006B42E6"/>
    <w:rsid w:val="006B5AA0"/>
    <w:rsid w:val="006C66D1"/>
    <w:rsid w:val="006D55B0"/>
    <w:rsid w:val="006E0BDF"/>
    <w:rsid w:val="007018BF"/>
    <w:rsid w:val="00725E31"/>
    <w:rsid w:val="00734449"/>
    <w:rsid w:val="0074009B"/>
    <w:rsid w:val="00750549"/>
    <w:rsid w:val="007555BA"/>
    <w:rsid w:val="007571BB"/>
    <w:rsid w:val="00762ABC"/>
    <w:rsid w:val="00770202"/>
    <w:rsid w:val="00781DF5"/>
    <w:rsid w:val="00787FA2"/>
    <w:rsid w:val="007A3ED9"/>
    <w:rsid w:val="007A5B39"/>
    <w:rsid w:val="007B0944"/>
    <w:rsid w:val="007B5748"/>
    <w:rsid w:val="007C704C"/>
    <w:rsid w:val="007D4397"/>
    <w:rsid w:val="007E5B94"/>
    <w:rsid w:val="007E5C0D"/>
    <w:rsid w:val="008004F6"/>
    <w:rsid w:val="00804A6C"/>
    <w:rsid w:val="00815E4E"/>
    <w:rsid w:val="00821221"/>
    <w:rsid w:val="008255F7"/>
    <w:rsid w:val="008431BA"/>
    <w:rsid w:val="008744B3"/>
    <w:rsid w:val="00884692"/>
    <w:rsid w:val="00892F4A"/>
    <w:rsid w:val="008A09CD"/>
    <w:rsid w:val="008B1A72"/>
    <w:rsid w:val="008C0B3C"/>
    <w:rsid w:val="008C4F70"/>
    <w:rsid w:val="008C706F"/>
    <w:rsid w:val="008E046D"/>
    <w:rsid w:val="009010DC"/>
    <w:rsid w:val="00963A8F"/>
    <w:rsid w:val="0097655D"/>
    <w:rsid w:val="009954F9"/>
    <w:rsid w:val="009B4ED7"/>
    <w:rsid w:val="009B5E23"/>
    <w:rsid w:val="009C0970"/>
    <w:rsid w:val="009C0CBA"/>
    <w:rsid w:val="009D61F0"/>
    <w:rsid w:val="009D7EF9"/>
    <w:rsid w:val="009E3E16"/>
    <w:rsid w:val="009E73CC"/>
    <w:rsid w:val="00A03C2B"/>
    <w:rsid w:val="00A058D5"/>
    <w:rsid w:val="00A14849"/>
    <w:rsid w:val="00A312E8"/>
    <w:rsid w:val="00A35D60"/>
    <w:rsid w:val="00A4734D"/>
    <w:rsid w:val="00A5766D"/>
    <w:rsid w:val="00A658BC"/>
    <w:rsid w:val="00A87B01"/>
    <w:rsid w:val="00AA3742"/>
    <w:rsid w:val="00AA39E3"/>
    <w:rsid w:val="00AA4460"/>
    <w:rsid w:val="00AB63BB"/>
    <w:rsid w:val="00AC2AA9"/>
    <w:rsid w:val="00AC6091"/>
    <w:rsid w:val="00AD1F7B"/>
    <w:rsid w:val="00AD39C8"/>
    <w:rsid w:val="00AE57AA"/>
    <w:rsid w:val="00AF0E47"/>
    <w:rsid w:val="00AF10BA"/>
    <w:rsid w:val="00B15AA2"/>
    <w:rsid w:val="00B20D9D"/>
    <w:rsid w:val="00B264A7"/>
    <w:rsid w:val="00B264FC"/>
    <w:rsid w:val="00B26CCE"/>
    <w:rsid w:val="00B31FC5"/>
    <w:rsid w:val="00B3201A"/>
    <w:rsid w:val="00B371A3"/>
    <w:rsid w:val="00B42E76"/>
    <w:rsid w:val="00B44B7A"/>
    <w:rsid w:val="00B459A3"/>
    <w:rsid w:val="00B52501"/>
    <w:rsid w:val="00B52CA8"/>
    <w:rsid w:val="00B676B6"/>
    <w:rsid w:val="00B87702"/>
    <w:rsid w:val="00BA22A9"/>
    <w:rsid w:val="00BA38B7"/>
    <w:rsid w:val="00BB1099"/>
    <w:rsid w:val="00BD19A4"/>
    <w:rsid w:val="00BE0000"/>
    <w:rsid w:val="00C0344F"/>
    <w:rsid w:val="00C171FF"/>
    <w:rsid w:val="00C1799C"/>
    <w:rsid w:val="00C23ACE"/>
    <w:rsid w:val="00C24596"/>
    <w:rsid w:val="00C35943"/>
    <w:rsid w:val="00C43F01"/>
    <w:rsid w:val="00C4799D"/>
    <w:rsid w:val="00C7097A"/>
    <w:rsid w:val="00C72F35"/>
    <w:rsid w:val="00C749F2"/>
    <w:rsid w:val="00C8627E"/>
    <w:rsid w:val="00CB1A2B"/>
    <w:rsid w:val="00CC69B7"/>
    <w:rsid w:val="00CD69FD"/>
    <w:rsid w:val="00CE20DB"/>
    <w:rsid w:val="00CE60DA"/>
    <w:rsid w:val="00CE7B63"/>
    <w:rsid w:val="00CF5F56"/>
    <w:rsid w:val="00D01E79"/>
    <w:rsid w:val="00D127FB"/>
    <w:rsid w:val="00D15DC6"/>
    <w:rsid w:val="00D2484F"/>
    <w:rsid w:val="00D715F6"/>
    <w:rsid w:val="00D80DE6"/>
    <w:rsid w:val="00DA4300"/>
    <w:rsid w:val="00DB0E3E"/>
    <w:rsid w:val="00DC49CE"/>
    <w:rsid w:val="00DD53AB"/>
    <w:rsid w:val="00E144FE"/>
    <w:rsid w:val="00E30896"/>
    <w:rsid w:val="00E4012D"/>
    <w:rsid w:val="00E4208D"/>
    <w:rsid w:val="00E45D11"/>
    <w:rsid w:val="00E5303C"/>
    <w:rsid w:val="00E55C11"/>
    <w:rsid w:val="00E60DD7"/>
    <w:rsid w:val="00E743B6"/>
    <w:rsid w:val="00E7797E"/>
    <w:rsid w:val="00E84DBC"/>
    <w:rsid w:val="00E9212E"/>
    <w:rsid w:val="00E947C6"/>
    <w:rsid w:val="00EC3E18"/>
    <w:rsid w:val="00EE158D"/>
    <w:rsid w:val="00EE5491"/>
    <w:rsid w:val="00EF0363"/>
    <w:rsid w:val="00F0361A"/>
    <w:rsid w:val="00F0608B"/>
    <w:rsid w:val="00F15683"/>
    <w:rsid w:val="00F22A11"/>
    <w:rsid w:val="00F25120"/>
    <w:rsid w:val="00F34D9E"/>
    <w:rsid w:val="00F3543F"/>
    <w:rsid w:val="00F371B7"/>
    <w:rsid w:val="00F45156"/>
    <w:rsid w:val="00F51E8F"/>
    <w:rsid w:val="00FE2A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E27B9-E146-44AE-87D6-CD3F0C6C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7C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B317C"/>
    <w:pPr>
      <w:keepNext/>
      <w:spacing w:line="360" w:lineRule="auto"/>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503C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2B317C"/>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403"/>
    <w:pPr>
      <w:ind w:left="720"/>
      <w:contextualSpacing/>
    </w:pPr>
  </w:style>
  <w:style w:type="character" w:customStyle="1" w:styleId="Heading1Char">
    <w:name w:val="Heading 1 Char"/>
    <w:basedOn w:val="DefaultParagraphFont"/>
    <w:link w:val="Heading1"/>
    <w:rsid w:val="002B317C"/>
    <w:rPr>
      <w:rFonts w:ascii="Arial" w:eastAsia="Times New Roman" w:hAnsi="Arial" w:cs="Arial"/>
      <w:b/>
      <w:bCs/>
      <w:sz w:val="28"/>
      <w:szCs w:val="24"/>
      <w:lang w:val="en-GB"/>
    </w:rPr>
  </w:style>
  <w:style w:type="character" w:customStyle="1" w:styleId="Heading3Char">
    <w:name w:val="Heading 3 Char"/>
    <w:basedOn w:val="DefaultParagraphFont"/>
    <w:link w:val="Heading3"/>
    <w:semiHidden/>
    <w:rsid w:val="002B317C"/>
    <w:rPr>
      <w:rFonts w:ascii="Arial" w:eastAsia="Times New Roman" w:hAnsi="Arial" w:cs="Arial"/>
      <w:i/>
      <w:iCs/>
      <w:sz w:val="28"/>
      <w:szCs w:val="24"/>
      <w:lang w:val="en-GB"/>
    </w:rPr>
  </w:style>
  <w:style w:type="character" w:customStyle="1" w:styleId="mc">
    <w:name w:val="mc"/>
    <w:basedOn w:val="DefaultParagraphFont"/>
    <w:rsid w:val="00BA22A9"/>
  </w:style>
  <w:style w:type="character" w:customStyle="1" w:styleId="g1">
    <w:name w:val="g1"/>
    <w:basedOn w:val="DefaultParagraphFont"/>
    <w:rsid w:val="00BA22A9"/>
  </w:style>
  <w:style w:type="character" w:styleId="Hyperlink">
    <w:name w:val="Hyperlink"/>
    <w:basedOn w:val="DefaultParagraphFont"/>
    <w:uiPriority w:val="99"/>
    <w:semiHidden/>
    <w:unhideWhenUsed/>
    <w:rsid w:val="00BA22A9"/>
    <w:rPr>
      <w:color w:val="0000FF"/>
      <w:u w:val="single"/>
    </w:rPr>
  </w:style>
  <w:style w:type="character" w:customStyle="1" w:styleId="Heading2Char">
    <w:name w:val="Heading 2 Char"/>
    <w:basedOn w:val="DefaultParagraphFont"/>
    <w:link w:val="Heading2"/>
    <w:uiPriority w:val="9"/>
    <w:semiHidden/>
    <w:rsid w:val="00503CB6"/>
    <w:rPr>
      <w:rFonts w:asciiTheme="majorHAnsi" w:eastAsiaTheme="majorEastAsia" w:hAnsiTheme="majorHAnsi" w:cstheme="majorBidi"/>
      <w:color w:val="2F5496" w:themeColor="accent1" w:themeShade="BF"/>
      <w:sz w:val="26"/>
      <w:szCs w:val="26"/>
      <w:lang w:val="en-GB"/>
    </w:rPr>
  </w:style>
  <w:style w:type="paragraph" w:styleId="FootnoteText">
    <w:name w:val="footnote text"/>
    <w:basedOn w:val="Normal"/>
    <w:link w:val="FootnoteTextChar"/>
    <w:uiPriority w:val="99"/>
    <w:semiHidden/>
    <w:unhideWhenUsed/>
    <w:rsid w:val="00B676B6"/>
    <w:rPr>
      <w:sz w:val="20"/>
      <w:szCs w:val="20"/>
    </w:rPr>
  </w:style>
  <w:style w:type="character" w:customStyle="1" w:styleId="FootnoteTextChar">
    <w:name w:val="Footnote Text Char"/>
    <w:basedOn w:val="DefaultParagraphFont"/>
    <w:link w:val="FootnoteText"/>
    <w:uiPriority w:val="99"/>
    <w:semiHidden/>
    <w:rsid w:val="00B676B6"/>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B676B6"/>
    <w:rPr>
      <w:vertAlign w:val="superscript"/>
    </w:rPr>
  </w:style>
  <w:style w:type="paragraph" w:styleId="Header">
    <w:name w:val="header"/>
    <w:basedOn w:val="Normal"/>
    <w:link w:val="HeaderChar"/>
    <w:uiPriority w:val="99"/>
    <w:unhideWhenUsed/>
    <w:rsid w:val="00F3543F"/>
    <w:pPr>
      <w:tabs>
        <w:tab w:val="center" w:pos="4513"/>
        <w:tab w:val="right" w:pos="9026"/>
      </w:tabs>
    </w:pPr>
  </w:style>
  <w:style w:type="character" w:customStyle="1" w:styleId="HeaderChar">
    <w:name w:val="Header Char"/>
    <w:basedOn w:val="DefaultParagraphFont"/>
    <w:link w:val="Header"/>
    <w:uiPriority w:val="99"/>
    <w:rsid w:val="00F3543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3543F"/>
    <w:pPr>
      <w:tabs>
        <w:tab w:val="center" w:pos="4513"/>
        <w:tab w:val="right" w:pos="9026"/>
      </w:tabs>
    </w:pPr>
  </w:style>
  <w:style w:type="character" w:customStyle="1" w:styleId="FooterChar">
    <w:name w:val="Footer Char"/>
    <w:basedOn w:val="DefaultParagraphFont"/>
    <w:link w:val="Footer"/>
    <w:uiPriority w:val="99"/>
    <w:rsid w:val="00F3543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72F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F35"/>
    <w:rPr>
      <w:rFonts w:ascii="Segoe UI" w:eastAsia="Times New Roman" w:hAnsi="Segoe UI" w:cs="Segoe UI"/>
      <w:sz w:val="18"/>
      <w:szCs w:val="18"/>
      <w:lang w:val="en-GB"/>
    </w:rPr>
  </w:style>
  <w:style w:type="paragraph" w:styleId="EndnoteText">
    <w:name w:val="endnote text"/>
    <w:basedOn w:val="Normal"/>
    <w:link w:val="EndnoteTextChar"/>
    <w:uiPriority w:val="99"/>
    <w:semiHidden/>
    <w:unhideWhenUsed/>
    <w:rsid w:val="00781DF5"/>
    <w:rPr>
      <w:sz w:val="20"/>
      <w:szCs w:val="20"/>
    </w:rPr>
  </w:style>
  <w:style w:type="character" w:customStyle="1" w:styleId="EndnoteTextChar">
    <w:name w:val="Endnote Text Char"/>
    <w:basedOn w:val="DefaultParagraphFont"/>
    <w:link w:val="EndnoteText"/>
    <w:uiPriority w:val="99"/>
    <w:semiHidden/>
    <w:rsid w:val="00781DF5"/>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781D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5923">
      <w:bodyDiv w:val="1"/>
      <w:marLeft w:val="0"/>
      <w:marRight w:val="0"/>
      <w:marTop w:val="0"/>
      <w:marBottom w:val="0"/>
      <w:divBdr>
        <w:top w:val="none" w:sz="0" w:space="0" w:color="auto"/>
        <w:left w:val="none" w:sz="0" w:space="0" w:color="auto"/>
        <w:bottom w:val="none" w:sz="0" w:space="0" w:color="auto"/>
        <w:right w:val="none" w:sz="0" w:space="0" w:color="auto"/>
      </w:divBdr>
      <w:divsChild>
        <w:div w:id="1872376619">
          <w:marLeft w:val="0"/>
          <w:marRight w:val="0"/>
          <w:marTop w:val="120"/>
          <w:marBottom w:val="0"/>
          <w:divBdr>
            <w:top w:val="none" w:sz="0" w:space="0" w:color="auto"/>
            <w:left w:val="none" w:sz="0" w:space="0" w:color="auto"/>
            <w:bottom w:val="none" w:sz="0" w:space="0" w:color="auto"/>
            <w:right w:val="none" w:sz="0" w:space="0" w:color="auto"/>
          </w:divBdr>
        </w:div>
      </w:divsChild>
    </w:div>
    <w:div w:id="44913115">
      <w:bodyDiv w:val="1"/>
      <w:marLeft w:val="0"/>
      <w:marRight w:val="0"/>
      <w:marTop w:val="0"/>
      <w:marBottom w:val="0"/>
      <w:divBdr>
        <w:top w:val="none" w:sz="0" w:space="0" w:color="auto"/>
        <w:left w:val="none" w:sz="0" w:space="0" w:color="auto"/>
        <w:bottom w:val="none" w:sz="0" w:space="0" w:color="auto"/>
        <w:right w:val="none" w:sz="0" w:space="0" w:color="auto"/>
      </w:divBdr>
    </w:div>
    <w:div w:id="201945207">
      <w:bodyDiv w:val="1"/>
      <w:marLeft w:val="0"/>
      <w:marRight w:val="0"/>
      <w:marTop w:val="0"/>
      <w:marBottom w:val="0"/>
      <w:divBdr>
        <w:top w:val="none" w:sz="0" w:space="0" w:color="auto"/>
        <w:left w:val="none" w:sz="0" w:space="0" w:color="auto"/>
        <w:bottom w:val="none" w:sz="0" w:space="0" w:color="auto"/>
        <w:right w:val="none" w:sz="0" w:space="0" w:color="auto"/>
      </w:divBdr>
    </w:div>
    <w:div w:id="625696587">
      <w:bodyDiv w:val="1"/>
      <w:marLeft w:val="0"/>
      <w:marRight w:val="0"/>
      <w:marTop w:val="0"/>
      <w:marBottom w:val="0"/>
      <w:divBdr>
        <w:top w:val="none" w:sz="0" w:space="0" w:color="auto"/>
        <w:left w:val="none" w:sz="0" w:space="0" w:color="auto"/>
        <w:bottom w:val="none" w:sz="0" w:space="0" w:color="auto"/>
        <w:right w:val="none" w:sz="0" w:space="0" w:color="auto"/>
      </w:divBdr>
    </w:div>
    <w:div w:id="737021480">
      <w:bodyDiv w:val="1"/>
      <w:marLeft w:val="0"/>
      <w:marRight w:val="0"/>
      <w:marTop w:val="0"/>
      <w:marBottom w:val="0"/>
      <w:divBdr>
        <w:top w:val="none" w:sz="0" w:space="0" w:color="auto"/>
        <w:left w:val="none" w:sz="0" w:space="0" w:color="auto"/>
        <w:bottom w:val="none" w:sz="0" w:space="0" w:color="auto"/>
        <w:right w:val="none" w:sz="0" w:space="0" w:color="auto"/>
      </w:divBdr>
      <w:divsChild>
        <w:div w:id="303580511">
          <w:marLeft w:val="0"/>
          <w:marRight w:val="0"/>
          <w:marTop w:val="120"/>
          <w:marBottom w:val="0"/>
          <w:divBdr>
            <w:top w:val="none" w:sz="0" w:space="0" w:color="auto"/>
            <w:left w:val="none" w:sz="0" w:space="0" w:color="auto"/>
            <w:bottom w:val="none" w:sz="0" w:space="0" w:color="auto"/>
            <w:right w:val="none" w:sz="0" w:space="0" w:color="auto"/>
          </w:divBdr>
        </w:div>
        <w:div w:id="1882009375">
          <w:marLeft w:val="0"/>
          <w:marRight w:val="0"/>
          <w:marTop w:val="240"/>
          <w:marBottom w:val="24"/>
          <w:divBdr>
            <w:top w:val="single" w:sz="8" w:space="2" w:color="808080"/>
            <w:left w:val="none" w:sz="0" w:space="0" w:color="auto"/>
            <w:bottom w:val="none" w:sz="0" w:space="0" w:color="auto"/>
            <w:right w:val="none" w:sz="0" w:space="0" w:color="auto"/>
          </w:divBdr>
        </w:div>
        <w:div w:id="1446534122">
          <w:marLeft w:val="0"/>
          <w:marRight w:val="0"/>
          <w:marTop w:val="120"/>
          <w:marBottom w:val="0"/>
          <w:divBdr>
            <w:top w:val="none" w:sz="0" w:space="0" w:color="auto"/>
            <w:left w:val="none" w:sz="0" w:space="0" w:color="auto"/>
            <w:bottom w:val="none" w:sz="0" w:space="0" w:color="auto"/>
            <w:right w:val="none" w:sz="0" w:space="0" w:color="auto"/>
          </w:divBdr>
        </w:div>
        <w:div w:id="893780386">
          <w:marLeft w:val="0"/>
          <w:marRight w:val="0"/>
          <w:marTop w:val="120"/>
          <w:marBottom w:val="0"/>
          <w:divBdr>
            <w:top w:val="none" w:sz="0" w:space="0" w:color="auto"/>
            <w:left w:val="none" w:sz="0" w:space="0" w:color="auto"/>
            <w:bottom w:val="none" w:sz="0" w:space="0" w:color="auto"/>
            <w:right w:val="none" w:sz="0" w:space="0" w:color="auto"/>
          </w:divBdr>
        </w:div>
      </w:divsChild>
    </w:div>
    <w:div w:id="847644093">
      <w:bodyDiv w:val="1"/>
      <w:marLeft w:val="0"/>
      <w:marRight w:val="0"/>
      <w:marTop w:val="0"/>
      <w:marBottom w:val="0"/>
      <w:divBdr>
        <w:top w:val="none" w:sz="0" w:space="0" w:color="auto"/>
        <w:left w:val="none" w:sz="0" w:space="0" w:color="auto"/>
        <w:bottom w:val="none" w:sz="0" w:space="0" w:color="auto"/>
        <w:right w:val="none" w:sz="0" w:space="0" w:color="auto"/>
      </w:divBdr>
    </w:div>
    <w:div w:id="1015226597">
      <w:bodyDiv w:val="1"/>
      <w:marLeft w:val="0"/>
      <w:marRight w:val="0"/>
      <w:marTop w:val="0"/>
      <w:marBottom w:val="0"/>
      <w:divBdr>
        <w:top w:val="none" w:sz="0" w:space="0" w:color="auto"/>
        <w:left w:val="none" w:sz="0" w:space="0" w:color="auto"/>
        <w:bottom w:val="none" w:sz="0" w:space="0" w:color="auto"/>
        <w:right w:val="none" w:sz="0" w:space="0" w:color="auto"/>
      </w:divBdr>
    </w:div>
    <w:div w:id="1127969518">
      <w:bodyDiv w:val="1"/>
      <w:marLeft w:val="0"/>
      <w:marRight w:val="0"/>
      <w:marTop w:val="0"/>
      <w:marBottom w:val="0"/>
      <w:divBdr>
        <w:top w:val="none" w:sz="0" w:space="0" w:color="auto"/>
        <w:left w:val="none" w:sz="0" w:space="0" w:color="auto"/>
        <w:bottom w:val="none" w:sz="0" w:space="0" w:color="auto"/>
        <w:right w:val="none" w:sz="0" w:space="0" w:color="auto"/>
      </w:divBdr>
    </w:div>
    <w:div w:id="1365983913">
      <w:bodyDiv w:val="1"/>
      <w:marLeft w:val="0"/>
      <w:marRight w:val="0"/>
      <w:marTop w:val="0"/>
      <w:marBottom w:val="0"/>
      <w:divBdr>
        <w:top w:val="none" w:sz="0" w:space="0" w:color="auto"/>
        <w:left w:val="none" w:sz="0" w:space="0" w:color="auto"/>
        <w:bottom w:val="none" w:sz="0" w:space="0" w:color="auto"/>
        <w:right w:val="none" w:sz="0" w:space="0" w:color="auto"/>
      </w:divBdr>
    </w:div>
    <w:div w:id="1399667211">
      <w:bodyDiv w:val="1"/>
      <w:marLeft w:val="0"/>
      <w:marRight w:val="0"/>
      <w:marTop w:val="0"/>
      <w:marBottom w:val="0"/>
      <w:divBdr>
        <w:top w:val="none" w:sz="0" w:space="0" w:color="auto"/>
        <w:left w:val="none" w:sz="0" w:space="0" w:color="auto"/>
        <w:bottom w:val="none" w:sz="0" w:space="0" w:color="auto"/>
        <w:right w:val="none" w:sz="0" w:space="0" w:color="auto"/>
      </w:divBdr>
    </w:div>
    <w:div w:id="1941133299">
      <w:bodyDiv w:val="1"/>
      <w:marLeft w:val="0"/>
      <w:marRight w:val="0"/>
      <w:marTop w:val="0"/>
      <w:marBottom w:val="0"/>
      <w:divBdr>
        <w:top w:val="none" w:sz="0" w:space="0" w:color="auto"/>
        <w:left w:val="none" w:sz="0" w:space="0" w:color="auto"/>
        <w:bottom w:val="none" w:sz="0" w:space="0" w:color="auto"/>
        <w:right w:val="none" w:sz="0" w:space="0" w:color="auto"/>
      </w:divBdr>
    </w:div>
    <w:div w:id="198804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DA252F0196DE4AA0724C2D98C2B69F" ma:contentTypeVersion="9" ma:contentTypeDescription="Create a new document." ma:contentTypeScope="" ma:versionID="6448072dd3cb93ba31037100df08474d">
  <xsd:schema xmlns:xsd="http://www.w3.org/2001/XMLSchema" xmlns:xs="http://www.w3.org/2001/XMLSchema" xmlns:p="http://schemas.microsoft.com/office/2006/metadata/properties" xmlns:ns3="068c6b3d-be1e-4467-bdef-3b2882ff4aae" targetNamespace="http://schemas.microsoft.com/office/2006/metadata/properties" ma:root="true" ma:fieldsID="6806a0121cd9009546122dca42dc0eaf" ns3:_="">
    <xsd:import namespace="068c6b3d-be1e-4467-bdef-3b2882ff4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6b3d-be1e-4467-bdef-3b2882f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19FED-F18D-4300-84BA-7E5E797172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E18DCE-540C-4540-A0B0-A5B0CB064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6b3d-be1e-4467-bdef-3b2882ff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58586-C137-4BD5-A8CA-7E8B0BD3A620}">
  <ds:schemaRefs>
    <ds:schemaRef ds:uri="http://schemas.microsoft.com/sharepoint/v3/contenttype/forms"/>
  </ds:schemaRefs>
</ds:datastoreItem>
</file>

<file path=customXml/itemProps4.xml><?xml version="1.0" encoding="utf-8"?>
<ds:datastoreItem xmlns:ds="http://schemas.openxmlformats.org/officeDocument/2006/customXml" ds:itemID="{23CD9152-07C4-434E-8B9D-25EFFA72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5230</Words>
  <Characters>29812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Judge-Mokgere Masipa</dc:creator>
  <cp:keywords/>
  <dc:description/>
  <cp:lastModifiedBy>Mokone</cp:lastModifiedBy>
  <cp:revision>2</cp:revision>
  <cp:lastPrinted>2023-06-06T12:59:00Z</cp:lastPrinted>
  <dcterms:created xsi:type="dcterms:W3CDTF">2023-06-14T10:01:00Z</dcterms:created>
  <dcterms:modified xsi:type="dcterms:W3CDTF">2023-06-14T10:01:00Z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0x01010016DA252F0196DE4AA0724C2D98C2B69F</vt:lpwstr>
  </property>
</Properties>
</file>