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B363F" w14:textId="303525E3" w:rsidR="00F17FD3" w:rsidRPr="00A51CBC" w:rsidRDefault="00F17FD3" w:rsidP="00F17FD3">
      <w:pPr>
        <w:rPr>
          <w:rFonts w:ascii="Arial" w:hAnsi="Arial" w:cs="Arial"/>
          <w:bCs/>
          <w:sz w:val="28"/>
          <w:szCs w:val="28"/>
          <w:lang w:val="en-ZA"/>
        </w:rPr>
      </w:pPr>
      <w:bookmarkStart w:id="0" w:name="_GoBack"/>
      <w:bookmarkEnd w:id="0"/>
    </w:p>
    <w:p w14:paraId="6C1CD744" w14:textId="77777777" w:rsidR="00F17FD3" w:rsidRPr="00A51CBC" w:rsidRDefault="00F17FD3" w:rsidP="00F17FD3">
      <w:pPr>
        <w:jc w:val="center"/>
        <w:rPr>
          <w:rFonts w:ascii="Arial" w:hAnsi="Arial" w:cs="Arial"/>
          <w:b/>
          <w:bCs/>
          <w:sz w:val="28"/>
          <w:szCs w:val="28"/>
        </w:rPr>
      </w:pPr>
    </w:p>
    <w:p w14:paraId="297B3760" w14:textId="77777777" w:rsidR="00F17FD3" w:rsidRPr="00A51CBC" w:rsidRDefault="00F17FD3" w:rsidP="00F17FD3">
      <w:pPr>
        <w:jc w:val="center"/>
        <w:rPr>
          <w:rFonts w:ascii="Arial" w:hAnsi="Arial" w:cs="Arial"/>
          <w:b/>
          <w:bCs/>
          <w:sz w:val="28"/>
          <w:szCs w:val="28"/>
        </w:rPr>
      </w:pPr>
    </w:p>
    <w:p w14:paraId="77083876" w14:textId="77777777" w:rsidR="00F17FD3" w:rsidRPr="00FA4570" w:rsidRDefault="00F17FD3" w:rsidP="00F17FD3">
      <w:pPr>
        <w:jc w:val="center"/>
        <w:rPr>
          <w:rFonts w:ascii="Arial" w:hAnsi="Arial" w:cs="Arial"/>
          <w:b/>
          <w:bCs/>
          <w:sz w:val="28"/>
          <w:szCs w:val="28"/>
        </w:rPr>
      </w:pPr>
      <w:r w:rsidRPr="00FA4570">
        <w:rPr>
          <w:rFonts w:ascii="Arial" w:hAnsi="Arial" w:cs="Arial"/>
          <w:noProof/>
          <w:lang w:val="en-US"/>
        </w:rPr>
        <w:drawing>
          <wp:anchor distT="0" distB="0" distL="114300" distR="114300" simplePos="0" relativeHeight="251659264" behindDoc="0" locked="0" layoutInCell="1" allowOverlap="1" wp14:anchorId="44B2A350" wp14:editId="3FB4212F">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FA4570" w:rsidRDefault="00F17FD3" w:rsidP="00C84BBD">
      <w:pPr>
        <w:spacing w:line="360" w:lineRule="auto"/>
        <w:rPr>
          <w:rFonts w:ascii="Arial" w:hAnsi="Arial" w:cs="Arial"/>
          <w:b/>
          <w:bCs/>
          <w:sz w:val="28"/>
          <w:szCs w:val="28"/>
        </w:rPr>
      </w:pPr>
    </w:p>
    <w:p w14:paraId="4FB38977" w14:textId="77777777" w:rsidR="00F17FD3" w:rsidRPr="00FA4570" w:rsidRDefault="00F17FD3" w:rsidP="00F17FD3">
      <w:pPr>
        <w:spacing w:line="360" w:lineRule="auto"/>
        <w:jc w:val="center"/>
        <w:rPr>
          <w:b/>
          <w:bCs/>
          <w:sz w:val="28"/>
          <w:szCs w:val="28"/>
        </w:rPr>
      </w:pPr>
      <w:r w:rsidRPr="00FA4570">
        <w:rPr>
          <w:b/>
          <w:bCs/>
          <w:sz w:val="28"/>
          <w:szCs w:val="28"/>
        </w:rPr>
        <w:t>THE SUPREME COURT OF APPEAL OF SOUTH AFRICA</w:t>
      </w:r>
    </w:p>
    <w:p w14:paraId="591CD5CA" w14:textId="691EFC43" w:rsidR="00F17FD3" w:rsidRPr="00FA4570" w:rsidRDefault="00F17FD3" w:rsidP="00C84BBD">
      <w:pPr>
        <w:pStyle w:val="Heading3"/>
        <w:jc w:val="center"/>
        <w:rPr>
          <w:rFonts w:ascii="Times New Roman" w:hAnsi="Times New Roman" w:cs="Times New Roman"/>
          <w:b/>
          <w:i w:val="0"/>
          <w:szCs w:val="28"/>
        </w:rPr>
      </w:pPr>
      <w:r w:rsidRPr="00FA4570">
        <w:rPr>
          <w:rFonts w:ascii="Times New Roman" w:hAnsi="Times New Roman" w:cs="Times New Roman"/>
          <w:b/>
          <w:i w:val="0"/>
          <w:szCs w:val="28"/>
        </w:rPr>
        <w:t>JUDGMENT</w:t>
      </w:r>
    </w:p>
    <w:p w14:paraId="259382FF" w14:textId="77777777" w:rsidR="009224BD" w:rsidRPr="00FA4570" w:rsidRDefault="009224BD" w:rsidP="009224BD"/>
    <w:p w14:paraId="00BB462A" w14:textId="1F6D462B" w:rsidR="009224BD" w:rsidRPr="00FA4570" w:rsidRDefault="009224BD" w:rsidP="009224BD">
      <w:pPr>
        <w:spacing w:line="360" w:lineRule="auto"/>
        <w:jc w:val="right"/>
        <w:rPr>
          <w:b/>
          <w:sz w:val="28"/>
          <w:szCs w:val="28"/>
        </w:rPr>
      </w:pPr>
      <w:r w:rsidRPr="00FA4570">
        <w:rPr>
          <w:b/>
          <w:sz w:val="28"/>
          <w:szCs w:val="28"/>
        </w:rPr>
        <w:t>Reportable</w:t>
      </w:r>
    </w:p>
    <w:p w14:paraId="2B7F6671" w14:textId="14A1980F" w:rsidR="009224BD" w:rsidRPr="00FA4570" w:rsidRDefault="009224BD" w:rsidP="009224BD">
      <w:pPr>
        <w:spacing w:line="360" w:lineRule="auto"/>
        <w:jc w:val="right"/>
        <w:rPr>
          <w:sz w:val="28"/>
          <w:szCs w:val="28"/>
        </w:rPr>
      </w:pPr>
      <w:r w:rsidRPr="00FA4570">
        <w:rPr>
          <w:sz w:val="28"/>
          <w:szCs w:val="28"/>
        </w:rPr>
        <w:t xml:space="preserve">Case no: </w:t>
      </w:r>
      <w:r w:rsidR="000E7EAA" w:rsidRPr="00FA4570">
        <w:rPr>
          <w:sz w:val="28"/>
          <w:szCs w:val="28"/>
        </w:rPr>
        <w:t>706</w:t>
      </w:r>
      <w:r w:rsidRPr="00FA4570">
        <w:rPr>
          <w:sz w:val="28"/>
          <w:szCs w:val="28"/>
        </w:rPr>
        <w:t>/202</w:t>
      </w:r>
      <w:r w:rsidR="000E7EAA" w:rsidRPr="00FA4570">
        <w:rPr>
          <w:sz w:val="28"/>
          <w:szCs w:val="28"/>
        </w:rPr>
        <w:t>2</w:t>
      </w:r>
    </w:p>
    <w:p w14:paraId="2D51052C" w14:textId="77777777" w:rsidR="009224BD" w:rsidRPr="00FA4570" w:rsidRDefault="009224BD" w:rsidP="009224BD">
      <w:pPr>
        <w:spacing w:line="360" w:lineRule="auto"/>
        <w:rPr>
          <w:sz w:val="28"/>
          <w:szCs w:val="28"/>
        </w:rPr>
      </w:pPr>
      <w:r w:rsidRPr="00FA4570">
        <w:rPr>
          <w:sz w:val="28"/>
          <w:szCs w:val="28"/>
        </w:rPr>
        <w:t>In the matter between:</w:t>
      </w:r>
    </w:p>
    <w:p w14:paraId="01CD4910" w14:textId="77777777" w:rsidR="00FA782A" w:rsidRPr="00FA4570" w:rsidRDefault="000E7EAA" w:rsidP="0094406C">
      <w:pPr>
        <w:widowControl w:val="0"/>
        <w:tabs>
          <w:tab w:val="right" w:pos="9360"/>
        </w:tabs>
        <w:autoSpaceDE w:val="0"/>
        <w:autoSpaceDN w:val="0"/>
        <w:adjustRightInd w:val="0"/>
        <w:rPr>
          <w:b/>
          <w:bCs/>
          <w:sz w:val="28"/>
          <w:szCs w:val="28"/>
        </w:rPr>
      </w:pPr>
      <w:r w:rsidRPr="00FA4570">
        <w:rPr>
          <w:b/>
          <w:bCs/>
          <w:sz w:val="28"/>
          <w:szCs w:val="28"/>
        </w:rPr>
        <w:t>DIRECTOR OF PUBLIC</w:t>
      </w:r>
    </w:p>
    <w:p w14:paraId="2305F339" w14:textId="0BCC945F" w:rsidR="00FA782A" w:rsidRPr="00FA4570" w:rsidRDefault="000E7EAA" w:rsidP="0094406C">
      <w:pPr>
        <w:widowControl w:val="0"/>
        <w:tabs>
          <w:tab w:val="right" w:pos="9360"/>
        </w:tabs>
        <w:autoSpaceDE w:val="0"/>
        <w:autoSpaceDN w:val="0"/>
        <w:adjustRightInd w:val="0"/>
        <w:rPr>
          <w:b/>
          <w:bCs/>
          <w:sz w:val="28"/>
          <w:szCs w:val="28"/>
        </w:rPr>
      </w:pPr>
      <w:r w:rsidRPr="00FA4570">
        <w:rPr>
          <w:b/>
          <w:bCs/>
          <w:sz w:val="28"/>
          <w:szCs w:val="28"/>
        </w:rPr>
        <w:t>PROSECUTIONS</w:t>
      </w:r>
      <w:r w:rsidR="00FA782A" w:rsidRPr="00FA4570">
        <w:rPr>
          <w:b/>
          <w:bCs/>
          <w:sz w:val="28"/>
          <w:szCs w:val="28"/>
        </w:rPr>
        <w:t xml:space="preserve">, </w:t>
      </w:r>
      <w:r w:rsidRPr="00FA4570">
        <w:rPr>
          <w:b/>
          <w:bCs/>
          <w:sz w:val="28"/>
          <w:szCs w:val="28"/>
        </w:rPr>
        <w:t>KWAZULU-NATAL</w:t>
      </w:r>
      <w:r w:rsidR="00710D98" w:rsidRPr="00FA4570">
        <w:rPr>
          <w:b/>
          <w:bCs/>
          <w:sz w:val="28"/>
          <w:szCs w:val="28"/>
        </w:rPr>
        <w:t xml:space="preserve">  </w:t>
      </w:r>
      <w:r w:rsidRPr="00FA4570">
        <w:rPr>
          <w:b/>
          <w:bCs/>
          <w:sz w:val="28"/>
          <w:szCs w:val="28"/>
        </w:rPr>
        <w:t xml:space="preserve">                              </w:t>
      </w:r>
      <w:r w:rsidR="00FA782A" w:rsidRPr="00FA4570">
        <w:rPr>
          <w:b/>
          <w:bCs/>
          <w:sz w:val="28"/>
          <w:szCs w:val="28"/>
        </w:rPr>
        <w:t xml:space="preserve"> </w:t>
      </w:r>
      <w:r w:rsidR="0094406C" w:rsidRPr="00FA4570">
        <w:rPr>
          <w:b/>
          <w:bCs/>
          <w:sz w:val="28"/>
          <w:szCs w:val="28"/>
        </w:rPr>
        <w:t xml:space="preserve"> </w:t>
      </w:r>
      <w:r w:rsidR="009224BD" w:rsidRPr="00FA4570">
        <w:rPr>
          <w:b/>
          <w:bCs/>
          <w:sz w:val="28"/>
          <w:szCs w:val="28"/>
        </w:rPr>
        <w:t>A</w:t>
      </w:r>
      <w:r w:rsidR="00FA782A" w:rsidRPr="00FA4570">
        <w:rPr>
          <w:b/>
          <w:bCs/>
          <w:sz w:val="28"/>
          <w:szCs w:val="28"/>
        </w:rPr>
        <w:t>PPELLANT</w:t>
      </w:r>
    </w:p>
    <w:p w14:paraId="4BAD3B41" w14:textId="77777777" w:rsidR="00FA782A" w:rsidRPr="00FA4570" w:rsidRDefault="00FA782A" w:rsidP="00FA782A">
      <w:pPr>
        <w:widowControl w:val="0"/>
        <w:tabs>
          <w:tab w:val="right" w:pos="9360"/>
        </w:tabs>
        <w:autoSpaceDE w:val="0"/>
        <w:autoSpaceDN w:val="0"/>
        <w:adjustRightInd w:val="0"/>
        <w:spacing w:line="360" w:lineRule="auto"/>
        <w:rPr>
          <w:b/>
          <w:bCs/>
          <w:sz w:val="28"/>
          <w:szCs w:val="28"/>
        </w:rPr>
      </w:pPr>
    </w:p>
    <w:p w14:paraId="1991A506" w14:textId="21498C13" w:rsidR="009224BD" w:rsidRPr="00FA4570" w:rsidRDefault="00FA782A" w:rsidP="00FA782A">
      <w:pPr>
        <w:widowControl w:val="0"/>
        <w:tabs>
          <w:tab w:val="right" w:pos="9360"/>
        </w:tabs>
        <w:autoSpaceDE w:val="0"/>
        <w:autoSpaceDN w:val="0"/>
        <w:adjustRightInd w:val="0"/>
        <w:spacing w:line="360" w:lineRule="auto"/>
        <w:rPr>
          <w:bCs/>
          <w:iCs/>
          <w:sz w:val="28"/>
          <w:szCs w:val="28"/>
        </w:rPr>
      </w:pPr>
      <w:r w:rsidRPr="00FA4570">
        <w:rPr>
          <w:b/>
          <w:bCs/>
          <w:sz w:val="28"/>
          <w:szCs w:val="28"/>
        </w:rPr>
        <w:t>and</w:t>
      </w:r>
    </w:p>
    <w:p w14:paraId="0374A8DB" w14:textId="77777777" w:rsidR="009224BD" w:rsidRPr="00FA4570" w:rsidRDefault="009224BD" w:rsidP="009224BD">
      <w:pPr>
        <w:widowControl w:val="0"/>
        <w:autoSpaceDE w:val="0"/>
        <w:autoSpaceDN w:val="0"/>
        <w:adjustRightInd w:val="0"/>
        <w:spacing w:line="360" w:lineRule="auto"/>
        <w:rPr>
          <w:sz w:val="28"/>
          <w:szCs w:val="28"/>
        </w:rPr>
      </w:pPr>
    </w:p>
    <w:p w14:paraId="6AE424B7" w14:textId="31F70A7F" w:rsidR="009224BD" w:rsidRPr="00FA4570" w:rsidRDefault="000E7EAA" w:rsidP="009224BD">
      <w:pPr>
        <w:widowControl w:val="0"/>
        <w:tabs>
          <w:tab w:val="right" w:pos="9360"/>
        </w:tabs>
        <w:autoSpaceDE w:val="0"/>
        <w:autoSpaceDN w:val="0"/>
        <w:adjustRightInd w:val="0"/>
        <w:spacing w:line="360" w:lineRule="auto"/>
        <w:rPr>
          <w:b/>
          <w:bCs/>
          <w:sz w:val="28"/>
          <w:szCs w:val="28"/>
        </w:rPr>
      </w:pPr>
      <w:r w:rsidRPr="00FA4570">
        <w:rPr>
          <w:b/>
          <w:bCs/>
          <w:sz w:val="28"/>
          <w:szCs w:val="28"/>
        </w:rPr>
        <w:t>B</w:t>
      </w:r>
      <w:r w:rsidR="00FA782A" w:rsidRPr="00FA4570">
        <w:rPr>
          <w:b/>
          <w:bCs/>
          <w:sz w:val="28"/>
          <w:szCs w:val="28"/>
        </w:rPr>
        <w:t>RIAN</w:t>
      </w:r>
      <w:r w:rsidRPr="00FA4570">
        <w:rPr>
          <w:b/>
          <w:bCs/>
          <w:sz w:val="28"/>
          <w:szCs w:val="28"/>
        </w:rPr>
        <w:t xml:space="preserve"> M</w:t>
      </w:r>
      <w:r w:rsidR="00FA782A" w:rsidRPr="00FA4570">
        <w:rPr>
          <w:b/>
          <w:bCs/>
          <w:sz w:val="28"/>
          <w:szCs w:val="28"/>
        </w:rPr>
        <w:t>UNSAMY</w:t>
      </w:r>
      <w:r w:rsidRPr="00FA4570">
        <w:rPr>
          <w:b/>
          <w:bCs/>
          <w:sz w:val="28"/>
          <w:szCs w:val="28"/>
        </w:rPr>
        <w:t xml:space="preserve"> PILLAY</w:t>
      </w:r>
      <w:r w:rsidR="00FA782A" w:rsidRPr="00FA4570">
        <w:rPr>
          <w:b/>
          <w:bCs/>
          <w:sz w:val="28"/>
          <w:szCs w:val="28"/>
        </w:rPr>
        <w:t xml:space="preserve">                                                 </w:t>
      </w:r>
      <w:r w:rsidR="0094406C" w:rsidRPr="00FA4570">
        <w:rPr>
          <w:b/>
          <w:bCs/>
          <w:sz w:val="28"/>
          <w:szCs w:val="28"/>
        </w:rPr>
        <w:t xml:space="preserve"> </w:t>
      </w:r>
      <w:r w:rsidR="00FA782A" w:rsidRPr="00FA4570">
        <w:rPr>
          <w:b/>
          <w:bCs/>
          <w:sz w:val="28"/>
          <w:szCs w:val="28"/>
        </w:rPr>
        <w:t>RESPONDENT</w:t>
      </w:r>
    </w:p>
    <w:p w14:paraId="2E7623A3" w14:textId="1EED2B75" w:rsidR="009224BD" w:rsidRPr="00FA4570" w:rsidRDefault="009224BD" w:rsidP="009224BD">
      <w:pPr>
        <w:spacing w:line="360" w:lineRule="auto"/>
        <w:ind w:left="2160" w:hanging="2160"/>
        <w:jc w:val="both"/>
        <w:rPr>
          <w:sz w:val="28"/>
          <w:szCs w:val="28"/>
        </w:rPr>
      </w:pPr>
      <w:r w:rsidRPr="00FA4570">
        <w:rPr>
          <w:b/>
          <w:bCs/>
          <w:sz w:val="28"/>
          <w:szCs w:val="28"/>
        </w:rPr>
        <w:t>Neutral citation:</w:t>
      </w:r>
      <w:r w:rsidRPr="00FA4570">
        <w:rPr>
          <w:b/>
          <w:bCs/>
          <w:sz w:val="28"/>
          <w:szCs w:val="28"/>
        </w:rPr>
        <w:tab/>
      </w:r>
      <w:r w:rsidR="000E7EAA" w:rsidRPr="00FA4570">
        <w:rPr>
          <w:bCs/>
          <w:i/>
          <w:sz w:val="28"/>
          <w:szCs w:val="28"/>
        </w:rPr>
        <w:t xml:space="preserve">Director </w:t>
      </w:r>
      <w:r w:rsidR="00710D98" w:rsidRPr="00FA4570">
        <w:rPr>
          <w:bCs/>
          <w:i/>
          <w:sz w:val="28"/>
          <w:szCs w:val="28"/>
        </w:rPr>
        <w:t>o</w:t>
      </w:r>
      <w:r w:rsidR="000E7EAA" w:rsidRPr="00FA4570">
        <w:rPr>
          <w:bCs/>
          <w:i/>
          <w:sz w:val="28"/>
          <w:szCs w:val="28"/>
        </w:rPr>
        <w:t>f Public Prosecutions</w:t>
      </w:r>
      <w:r w:rsidR="00FA782A" w:rsidRPr="00FA4570">
        <w:rPr>
          <w:bCs/>
          <w:i/>
          <w:sz w:val="28"/>
          <w:szCs w:val="28"/>
        </w:rPr>
        <w:t>,</w:t>
      </w:r>
      <w:r w:rsidR="000E7EAA" w:rsidRPr="00FA4570">
        <w:rPr>
          <w:bCs/>
          <w:i/>
          <w:sz w:val="28"/>
          <w:szCs w:val="28"/>
        </w:rPr>
        <w:t xml:space="preserve"> KwaZulu-Natal </w:t>
      </w:r>
      <w:r w:rsidRPr="00FA4570">
        <w:rPr>
          <w:bCs/>
          <w:i/>
          <w:sz w:val="28"/>
          <w:szCs w:val="28"/>
        </w:rPr>
        <w:t xml:space="preserve">v </w:t>
      </w:r>
      <w:r w:rsidR="000E7EAA" w:rsidRPr="00FA4570">
        <w:rPr>
          <w:bCs/>
          <w:i/>
          <w:sz w:val="28"/>
          <w:szCs w:val="28"/>
        </w:rPr>
        <w:t>Pillay</w:t>
      </w:r>
      <w:r w:rsidRPr="00FA4570">
        <w:rPr>
          <w:bCs/>
          <w:i/>
          <w:sz w:val="28"/>
          <w:szCs w:val="28"/>
        </w:rPr>
        <w:t xml:space="preserve"> </w:t>
      </w:r>
      <w:r w:rsidRPr="00FA4570">
        <w:rPr>
          <w:bCs/>
          <w:sz w:val="28"/>
          <w:szCs w:val="28"/>
        </w:rPr>
        <w:t>(</w:t>
      </w:r>
      <w:r w:rsidR="000E7EAA" w:rsidRPr="00FA4570">
        <w:rPr>
          <w:bCs/>
          <w:sz w:val="28"/>
          <w:szCs w:val="28"/>
        </w:rPr>
        <w:t>706</w:t>
      </w:r>
      <w:r w:rsidRPr="00FA4570">
        <w:rPr>
          <w:bCs/>
          <w:sz w:val="28"/>
          <w:szCs w:val="28"/>
        </w:rPr>
        <w:t>/202</w:t>
      </w:r>
      <w:r w:rsidR="000E7EAA" w:rsidRPr="00FA4570">
        <w:rPr>
          <w:bCs/>
          <w:sz w:val="28"/>
          <w:szCs w:val="28"/>
        </w:rPr>
        <w:t>2</w:t>
      </w:r>
      <w:r w:rsidRPr="00FA4570">
        <w:rPr>
          <w:bCs/>
          <w:sz w:val="28"/>
          <w:szCs w:val="28"/>
        </w:rPr>
        <w:t xml:space="preserve">) [2023] ZASCA </w:t>
      </w:r>
      <w:r w:rsidR="009E7C8F">
        <w:rPr>
          <w:bCs/>
          <w:sz w:val="28"/>
          <w:szCs w:val="28"/>
        </w:rPr>
        <w:t xml:space="preserve">105 </w:t>
      </w:r>
      <w:r w:rsidR="00281645" w:rsidRPr="00FA4570">
        <w:rPr>
          <w:bCs/>
          <w:sz w:val="28"/>
          <w:szCs w:val="28"/>
        </w:rPr>
        <w:t>(23 June</w:t>
      </w:r>
      <w:r w:rsidRPr="00FA4570">
        <w:rPr>
          <w:bCs/>
          <w:sz w:val="28"/>
          <w:szCs w:val="28"/>
        </w:rPr>
        <w:t xml:space="preserve"> 2023)</w:t>
      </w:r>
    </w:p>
    <w:p w14:paraId="4C15FACA" w14:textId="32B6974E" w:rsidR="009224BD" w:rsidRPr="00FA4570" w:rsidRDefault="009224BD" w:rsidP="009224BD">
      <w:pPr>
        <w:spacing w:line="360" w:lineRule="auto"/>
        <w:ind w:left="1440" w:hanging="1440"/>
        <w:jc w:val="both"/>
        <w:rPr>
          <w:b/>
          <w:bCs/>
          <w:i/>
          <w:iCs/>
          <w:sz w:val="28"/>
          <w:szCs w:val="28"/>
        </w:rPr>
      </w:pPr>
      <w:r w:rsidRPr="00FA4570">
        <w:rPr>
          <w:b/>
          <w:bCs/>
          <w:sz w:val="28"/>
          <w:szCs w:val="28"/>
        </w:rPr>
        <w:t>Coram:</w:t>
      </w:r>
      <w:r w:rsidRPr="00FA4570">
        <w:rPr>
          <w:sz w:val="28"/>
          <w:szCs w:val="28"/>
        </w:rPr>
        <w:tab/>
      </w:r>
      <w:r w:rsidR="003B39F0" w:rsidRPr="00FA4570">
        <w:rPr>
          <w:bCs/>
          <w:sz w:val="28"/>
          <w:szCs w:val="28"/>
        </w:rPr>
        <w:t>DAMBUZA A</w:t>
      </w:r>
      <w:r w:rsidR="000E7EAA" w:rsidRPr="00FA4570">
        <w:rPr>
          <w:bCs/>
          <w:sz w:val="28"/>
          <w:szCs w:val="28"/>
        </w:rPr>
        <w:t>D</w:t>
      </w:r>
      <w:r w:rsidR="003B39F0" w:rsidRPr="00FA4570">
        <w:rPr>
          <w:bCs/>
          <w:sz w:val="28"/>
          <w:szCs w:val="28"/>
        </w:rPr>
        <w:t>P and SCHIPPERS, MO</w:t>
      </w:r>
      <w:r w:rsidR="000E7EAA" w:rsidRPr="00FA4570">
        <w:rPr>
          <w:bCs/>
          <w:sz w:val="28"/>
          <w:szCs w:val="28"/>
        </w:rPr>
        <w:t>THLE, MATO</w:t>
      </w:r>
      <w:r w:rsidR="003B39F0" w:rsidRPr="00FA4570">
        <w:rPr>
          <w:bCs/>
          <w:sz w:val="28"/>
          <w:szCs w:val="28"/>
        </w:rPr>
        <w:t>JANE and GOOSEN JJA</w:t>
      </w:r>
    </w:p>
    <w:p w14:paraId="5C9A4FF9" w14:textId="18AA53F5" w:rsidR="009224BD" w:rsidRPr="00FA4570" w:rsidRDefault="009224BD" w:rsidP="009224BD">
      <w:pPr>
        <w:spacing w:line="360" w:lineRule="auto"/>
        <w:rPr>
          <w:b/>
          <w:bCs/>
          <w:sz w:val="28"/>
          <w:szCs w:val="28"/>
        </w:rPr>
      </w:pPr>
      <w:r w:rsidRPr="00FA4570">
        <w:rPr>
          <w:b/>
          <w:bCs/>
          <w:sz w:val="28"/>
          <w:szCs w:val="28"/>
        </w:rPr>
        <w:t>Heard</w:t>
      </w:r>
      <w:r w:rsidR="000E7EAA" w:rsidRPr="00FA4570">
        <w:rPr>
          <w:sz w:val="28"/>
          <w:szCs w:val="28"/>
        </w:rPr>
        <w:t>:</w:t>
      </w:r>
      <w:r w:rsidR="000E7EAA" w:rsidRPr="00FA4570">
        <w:rPr>
          <w:sz w:val="28"/>
          <w:szCs w:val="28"/>
        </w:rPr>
        <w:tab/>
        <w:t>5</w:t>
      </w:r>
      <w:r w:rsidRPr="00FA4570">
        <w:rPr>
          <w:sz w:val="28"/>
          <w:szCs w:val="28"/>
        </w:rPr>
        <w:t xml:space="preserve"> Ma</w:t>
      </w:r>
      <w:r w:rsidR="000E7EAA" w:rsidRPr="00FA4570">
        <w:rPr>
          <w:sz w:val="28"/>
          <w:szCs w:val="28"/>
        </w:rPr>
        <w:t>y</w:t>
      </w:r>
      <w:r w:rsidRPr="00FA4570">
        <w:rPr>
          <w:sz w:val="28"/>
          <w:szCs w:val="28"/>
        </w:rPr>
        <w:t xml:space="preserve"> 2023</w:t>
      </w:r>
    </w:p>
    <w:p w14:paraId="3C6F6E6D" w14:textId="0669D122" w:rsidR="00B23B13" w:rsidRPr="00FA4570" w:rsidRDefault="008A20CC" w:rsidP="00B23B13">
      <w:pPr>
        <w:spacing w:line="360" w:lineRule="auto"/>
        <w:jc w:val="both"/>
        <w:rPr>
          <w:sz w:val="28"/>
          <w:szCs w:val="28"/>
        </w:rPr>
      </w:pPr>
      <w:r w:rsidRPr="00FA4570">
        <w:rPr>
          <w:b/>
          <w:bCs/>
          <w:sz w:val="28"/>
          <w:szCs w:val="28"/>
        </w:rPr>
        <w:t>Delivered</w:t>
      </w:r>
      <w:r w:rsidRPr="00FA4570">
        <w:rPr>
          <w:sz w:val="28"/>
          <w:szCs w:val="28"/>
        </w:rPr>
        <w:t>:</w:t>
      </w:r>
      <w:r w:rsidRPr="00FA4570">
        <w:rPr>
          <w:sz w:val="28"/>
          <w:szCs w:val="28"/>
        </w:rPr>
        <w:tab/>
      </w:r>
      <w:r w:rsidR="00B23B13" w:rsidRPr="00FA4570">
        <w:rPr>
          <w:sz w:val="28"/>
          <w:szCs w:val="28"/>
        </w:rPr>
        <w:t>This judgment was handed down electronically by circulation to the parties’ representatives via email, publication on the Supreme Court of Appeal website and release</w:t>
      </w:r>
      <w:r w:rsidR="002E5FCD" w:rsidRPr="00FA4570">
        <w:rPr>
          <w:sz w:val="28"/>
          <w:szCs w:val="28"/>
        </w:rPr>
        <w:t>d</w:t>
      </w:r>
      <w:r w:rsidR="00B23B13" w:rsidRPr="00FA4570">
        <w:rPr>
          <w:sz w:val="28"/>
          <w:szCs w:val="28"/>
        </w:rPr>
        <w:t xml:space="preserve"> to SAFLII. The date and time for hand-down is deemed to be 11h00 on </w:t>
      </w:r>
      <w:r w:rsidR="00281645" w:rsidRPr="00FA4570">
        <w:rPr>
          <w:sz w:val="28"/>
          <w:szCs w:val="28"/>
        </w:rPr>
        <w:t>23</w:t>
      </w:r>
      <w:r w:rsidR="00B23B13" w:rsidRPr="00FA4570">
        <w:rPr>
          <w:sz w:val="28"/>
          <w:szCs w:val="28"/>
        </w:rPr>
        <w:t xml:space="preserve"> June 2023.</w:t>
      </w:r>
    </w:p>
    <w:p w14:paraId="7C2236E4" w14:textId="61F7F563" w:rsidR="00E42E5E" w:rsidRPr="00FA4570" w:rsidRDefault="008159AB" w:rsidP="000815BD">
      <w:pPr>
        <w:spacing w:line="360" w:lineRule="auto"/>
        <w:jc w:val="both"/>
        <w:rPr>
          <w:bCs/>
          <w:sz w:val="28"/>
          <w:szCs w:val="28"/>
        </w:rPr>
      </w:pPr>
      <w:r w:rsidRPr="00FA4570">
        <w:rPr>
          <w:b/>
          <w:bCs/>
          <w:sz w:val="28"/>
          <w:szCs w:val="28"/>
        </w:rPr>
        <w:t>Summary:</w:t>
      </w:r>
      <w:r w:rsidR="00B75EBB" w:rsidRPr="00FA4570">
        <w:rPr>
          <w:b/>
          <w:bCs/>
          <w:sz w:val="28"/>
          <w:szCs w:val="28"/>
        </w:rPr>
        <w:tab/>
      </w:r>
      <w:r w:rsidR="006E4258" w:rsidRPr="00FA4570">
        <w:rPr>
          <w:sz w:val="28"/>
          <w:szCs w:val="28"/>
        </w:rPr>
        <w:t>Criminal procedure – appeal in terms of s 311 of Criminal Procedure Act</w:t>
      </w:r>
      <w:r w:rsidR="00E31363" w:rsidRPr="00FA4570">
        <w:rPr>
          <w:sz w:val="28"/>
          <w:szCs w:val="28"/>
        </w:rPr>
        <w:t xml:space="preserve"> 51 of 1977</w:t>
      </w:r>
      <w:r w:rsidR="006E4258" w:rsidRPr="00FA4570">
        <w:rPr>
          <w:sz w:val="28"/>
          <w:szCs w:val="28"/>
        </w:rPr>
        <w:t xml:space="preserve"> – constitution of trial court in terms of s 93</w:t>
      </w:r>
      <w:r w:rsidR="00152C7E" w:rsidRPr="00FA4570">
        <w:rPr>
          <w:i/>
          <w:iCs/>
          <w:sz w:val="28"/>
          <w:szCs w:val="28"/>
        </w:rPr>
        <w:t>ter</w:t>
      </w:r>
      <w:r w:rsidR="00152C7E" w:rsidRPr="00FA4570">
        <w:rPr>
          <w:sz w:val="28"/>
          <w:szCs w:val="28"/>
        </w:rPr>
        <w:t>(</w:t>
      </w:r>
      <w:r w:rsidR="006E4258" w:rsidRPr="00FA4570">
        <w:rPr>
          <w:sz w:val="28"/>
          <w:szCs w:val="28"/>
        </w:rPr>
        <w:t>1) of Magistrates’ Courts Act</w:t>
      </w:r>
      <w:r w:rsidR="00E31363" w:rsidRPr="00FA4570">
        <w:rPr>
          <w:sz w:val="28"/>
          <w:szCs w:val="28"/>
        </w:rPr>
        <w:t xml:space="preserve"> 32 of 1944</w:t>
      </w:r>
      <w:r w:rsidR="006E4258" w:rsidRPr="00FA4570">
        <w:rPr>
          <w:sz w:val="28"/>
          <w:szCs w:val="28"/>
        </w:rPr>
        <w:t xml:space="preserve"> –– whether peremptory requirements of s 93</w:t>
      </w:r>
      <w:r w:rsidR="00152C7E" w:rsidRPr="00FA4570">
        <w:rPr>
          <w:i/>
          <w:iCs/>
          <w:sz w:val="28"/>
          <w:szCs w:val="28"/>
        </w:rPr>
        <w:t>ter</w:t>
      </w:r>
      <w:r w:rsidR="00152C7E" w:rsidRPr="00FA4570">
        <w:rPr>
          <w:sz w:val="28"/>
          <w:szCs w:val="28"/>
        </w:rPr>
        <w:t>(</w:t>
      </w:r>
      <w:r w:rsidR="006E4258" w:rsidRPr="00FA4570">
        <w:rPr>
          <w:sz w:val="28"/>
          <w:szCs w:val="28"/>
        </w:rPr>
        <w:t xml:space="preserve">1) satisfied – </w:t>
      </w:r>
      <w:r w:rsidR="00281645" w:rsidRPr="00FA4570">
        <w:rPr>
          <w:sz w:val="28"/>
          <w:szCs w:val="28"/>
        </w:rPr>
        <w:t xml:space="preserve">duties of magistrate when accused represented–  </w:t>
      </w:r>
      <w:r w:rsidR="006E4258" w:rsidRPr="00FA4570">
        <w:rPr>
          <w:sz w:val="28"/>
          <w:szCs w:val="28"/>
        </w:rPr>
        <w:t xml:space="preserve">appeal upheld </w:t>
      </w:r>
      <w:bookmarkStart w:id="1" w:name="_Hlk138250750"/>
      <w:r w:rsidR="006E4258" w:rsidRPr="00FA4570">
        <w:rPr>
          <w:sz w:val="28"/>
          <w:szCs w:val="28"/>
        </w:rPr>
        <w:t xml:space="preserve">– </w:t>
      </w:r>
      <w:bookmarkEnd w:id="1"/>
      <w:r w:rsidR="006E4258" w:rsidRPr="00FA4570">
        <w:rPr>
          <w:sz w:val="28"/>
          <w:szCs w:val="28"/>
        </w:rPr>
        <w:t>conviction and sentence reinstated.</w:t>
      </w:r>
      <w:r w:rsidR="00334079" w:rsidRPr="00FA4570">
        <w:rPr>
          <w:b/>
          <w:bCs/>
          <w:sz w:val="28"/>
          <w:szCs w:val="28"/>
        </w:rPr>
        <w:tab/>
      </w:r>
      <w:r w:rsidR="00C328F1" w:rsidRPr="00FA4570">
        <w:rPr>
          <w:sz w:val="28"/>
          <w:szCs w:val="28"/>
        </w:rPr>
        <w:t xml:space="preserve"> </w:t>
      </w:r>
    </w:p>
    <w:p w14:paraId="54CC67AC" w14:textId="4C658BBF" w:rsidR="005023EF" w:rsidRPr="00FA4570" w:rsidRDefault="00E42E5E" w:rsidP="00B11CC9">
      <w:pPr>
        <w:spacing w:after="160" w:line="259" w:lineRule="auto"/>
        <w:rPr>
          <w:b/>
          <w:sz w:val="28"/>
          <w:szCs w:val="28"/>
        </w:rPr>
      </w:pPr>
      <w:r w:rsidRPr="00FA4570">
        <w:rPr>
          <w:bCs/>
          <w:sz w:val="28"/>
          <w:szCs w:val="28"/>
        </w:rPr>
        <w:br w:type="page"/>
      </w:r>
      <w:r w:rsidR="005023EF" w:rsidRPr="00FA4570">
        <w:rPr>
          <w:b/>
          <w:sz w:val="28"/>
          <w:szCs w:val="28"/>
        </w:rPr>
        <w:lastRenderedPageBreak/>
        <w:t>___________________________________</w:t>
      </w:r>
      <w:r w:rsidR="00B11CC9" w:rsidRPr="00FA4570">
        <w:rPr>
          <w:b/>
          <w:sz w:val="28"/>
          <w:szCs w:val="28"/>
        </w:rPr>
        <w:t>_____________________________</w:t>
      </w:r>
    </w:p>
    <w:p w14:paraId="40B2148A" w14:textId="77777777" w:rsidR="005023EF" w:rsidRPr="00FA4570" w:rsidRDefault="005023EF" w:rsidP="000E3AE8">
      <w:pPr>
        <w:spacing w:line="276" w:lineRule="auto"/>
        <w:jc w:val="center"/>
        <w:rPr>
          <w:b/>
          <w:sz w:val="28"/>
          <w:szCs w:val="28"/>
        </w:rPr>
      </w:pPr>
      <w:r w:rsidRPr="00FA4570">
        <w:rPr>
          <w:b/>
          <w:sz w:val="28"/>
          <w:szCs w:val="28"/>
        </w:rPr>
        <w:t>ORDER</w:t>
      </w:r>
    </w:p>
    <w:p w14:paraId="0ACAD0EC" w14:textId="4AE2AA51" w:rsidR="005023EF" w:rsidRPr="00FA4570" w:rsidRDefault="005023EF" w:rsidP="000E3AE8">
      <w:pPr>
        <w:spacing w:line="276" w:lineRule="auto"/>
        <w:jc w:val="both"/>
        <w:rPr>
          <w:b/>
          <w:sz w:val="28"/>
          <w:szCs w:val="28"/>
        </w:rPr>
      </w:pPr>
      <w:r w:rsidRPr="00FA4570">
        <w:rPr>
          <w:b/>
          <w:sz w:val="28"/>
          <w:szCs w:val="28"/>
        </w:rPr>
        <w:t>___________________________________</w:t>
      </w:r>
      <w:r w:rsidR="00B11CC9" w:rsidRPr="00FA4570">
        <w:rPr>
          <w:b/>
          <w:sz w:val="28"/>
          <w:szCs w:val="28"/>
        </w:rPr>
        <w:t>_____________________________</w:t>
      </w:r>
    </w:p>
    <w:p w14:paraId="71021D8B" w14:textId="30690BD4" w:rsidR="00351B4B" w:rsidRPr="00FA4570" w:rsidRDefault="00E0572D" w:rsidP="000815BD">
      <w:pPr>
        <w:pStyle w:val="ListBullet"/>
        <w:numPr>
          <w:ilvl w:val="0"/>
          <w:numId w:val="0"/>
        </w:numPr>
        <w:spacing w:before="240" w:after="0" w:line="360" w:lineRule="auto"/>
        <w:jc w:val="both"/>
        <w:rPr>
          <w:rFonts w:ascii="Times New Roman" w:hAnsi="Times New Roman" w:cs="Times New Roman"/>
          <w:bCs/>
          <w:sz w:val="28"/>
          <w:szCs w:val="28"/>
        </w:rPr>
      </w:pPr>
      <w:r w:rsidRPr="00FA4570">
        <w:rPr>
          <w:rFonts w:ascii="Times New Roman" w:hAnsi="Times New Roman" w:cs="Times New Roman"/>
          <w:b/>
          <w:bCs/>
          <w:sz w:val="28"/>
          <w:szCs w:val="28"/>
        </w:rPr>
        <w:t>On appeal from:</w:t>
      </w:r>
      <w:r w:rsidRPr="00FA4570">
        <w:rPr>
          <w:rFonts w:ascii="Times New Roman" w:hAnsi="Times New Roman" w:cs="Times New Roman"/>
          <w:bCs/>
          <w:sz w:val="28"/>
          <w:szCs w:val="28"/>
        </w:rPr>
        <w:t xml:space="preserve"> </w:t>
      </w:r>
      <w:r w:rsidR="00937254" w:rsidRPr="00FA4570">
        <w:rPr>
          <w:rFonts w:ascii="Times New Roman" w:hAnsi="Times New Roman" w:cs="Times New Roman"/>
          <w:bCs/>
          <w:sz w:val="28"/>
          <w:szCs w:val="28"/>
        </w:rPr>
        <w:t>KwaZulu-Natal</w:t>
      </w:r>
      <w:r w:rsidR="00285F3E" w:rsidRPr="00FA4570">
        <w:rPr>
          <w:rFonts w:ascii="Times New Roman" w:hAnsi="Times New Roman" w:cs="Times New Roman"/>
          <w:bCs/>
          <w:sz w:val="28"/>
          <w:szCs w:val="28"/>
        </w:rPr>
        <w:t xml:space="preserve"> Divisio</w:t>
      </w:r>
      <w:r w:rsidR="00B35557" w:rsidRPr="00FA4570">
        <w:rPr>
          <w:rFonts w:ascii="Times New Roman" w:hAnsi="Times New Roman" w:cs="Times New Roman"/>
          <w:bCs/>
          <w:sz w:val="28"/>
          <w:szCs w:val="28"/>
        </w:rPr>
        <w:t xml:space="preserve">n of the High Court, </w:t>
      </w:r>
      <w:r w:rsidR="00937254" w:rsidRPr="00FA4570">
        <w:rPr>
          <w:rFonts w:ascii="Times New Roman" w:hAnsi="Times New Roman" w:cs="Times New Roman"/>
          <w:bCs/>
          <w:sz w:val="28"/>
          <w:szCs w:val="28"/>
        </w:rPr>
        <w:t>Pietermaritzburg</w:t>
      </w:r>
      <w:r w:rsidR="00BB7BE8" w:rsidRPr="00FA4570">
        <w:rPr>
          <w:rFonts w:ascii="Times New Roman" w:hAnsi="Times New Roman" w:cs="Times New Roman"/>
          <w:bCs/>
          <w:sz w:val="28"/>
          <w:szCs w:val="28"/>
        </w:rPr>
        <w:t xml:space="preserve"> (</w:t>
      </w:r>
      <w:r w:rsidR="006E4258" w:rsidRPr="00FA4570">
        <w:rPr>
          <w:rFonts w:ascii="Times New Roman" w:hAnsi="Times New Roman" w:cs="Times New Roman"/>
          <w:bCs/>
          <w:sz w:val="28"/>
          <w:szCs w:val="28"/>
        </w:rPr>
        <w:t>Mathenjwa AJ and Ploos van Amstel J,</w:t>
      </w:r>
      <w:r w:rsidR="00BB7BE8" w:rsidRPr="00FA4570">
        <w:rPr>
          <w:rFonts w:ascii="Times New Roman" w:hAnsi="Times New Roman" w:cs="Times New Roman"/>
          <w:bCs/>
          <w:sz w:val="28"/>
          <w:szCs w:val="28"/>
        </w:rPr>
        <w:t xml:space="preserve"> sitting as</w:t>
      </w:r>
      <w:r w:rsidR="00B35557" w:rsidRPr="00FA4570">
        <w:rPr>
          <w:rFonts w:ascii="Times New Roman" w:hAnsi="Times New Roman" w:cs="Times New Roman"/>
          <w:bCs/>
          <w:sz w:val="28"/>
          <w:szCs w:val="28"/>
        </w:rPr>
        <w:t xml:space="preserve"> </w:t>
      </w:r>
      <w:r w:rsidR="005D3E8E" w:rsidRPr="00FA4570">
        <w:rPr>
          <w:rFonts w:ascii="Times New Roman" w:hAnsi="Times New Roman" w:cs="Times New Roman"/>
          <w:bCs/>
          <w:sz w:val="28"/>
          <w:szCs w:val="28"/>
        </w:rPr>
        <w:t>court of</w:t>
      </w:r>
      <w:r w:rsidR="006E4258" w:rsidRPr="00FA4570">
        <w:rPr>
          <w:rFonts w:ascii="Times New Roman" w:hAnsi="Times New Roman" w:cs="Times New Roman"/>
          <w:bCs/>
          <w:sz w:val="28"/>
          <w:szCs w:val="28"/>
        </w:rPr>
        <w:t xml:space="preserve"> appeal</w:t>
      </w:r>
      <w:r w:rsidR="00C936A2" w:rsidRPr="00FA4570">
        <w:rPr>
          <w:rFonts w:ascii="Times New Roman" w:hAnsi="Times New Roman" w:cs="Times New Roman"/>
          <w:bCs/>
          <w:sz w:val="28"/>
          <w:szCs w:val="28"/>
        </w:rPr>
        <w:t>)</w:t>
      </w:r>
      <w:r w:rsidR="00BB7BE8" w:rsidRPr="00FA4570">
        <w:rPr>
          <w:rFonts w:ascii="Times New Roman" w:hAnsi="Times New Roman" w:cs="Times New Roman"/>
          <w:bCs/>
          <w:sz w:val="28"/>
          <w:szCs w:val="28"/>
        </w:rPr>
        <w:t>:</w:t>
      </w:r>
    </w:p>
    <w:p w14:paraId="321884A8" w14:textId="474C8B41" w:rsidR="00321118" w:rsidRPr="00FA4570" w:rsidRDefault="00321118" w:rsidP="00321118">
      <w:pPr>
        <w:spacing w:line="360" w:lineRule="auto"/>
        <w:jc w:val="both"/>
        <w:rPr>
          <w:sz w:val="28"/>
          <w:szCs w:val="28"/>
          <w:lang w:val="en-ZA"/>
        </w:rPr>
      </w:pPr>
      <w:r w:rsidRPr="00FA4570">
        <w:rPr>
          <w:sz w:val="28"/>
          <w:szCs w:val="28"/>
          <w:lang w:val="en-ZA"/>
        </w:rPr>
        <w:t>1</w:t>
      </w:r>
      <w:r w:rsidR="005C7E11" w:rsidRPr="00FA4570">
        <w:rPr>
          <w:sz w:val="28"/>
          <w:szCs w:val="28"/>
          <w:lang w:val="en-ZA"/>
        </w:rPr>
        <w:tab/>
      </w:r>
      <w:r w:rsidRPr="00FA4570">
        <w:rPr>
          <w:sz w:val="28"/>
          <w:szCs w:val="28"/>
          <w:lang w:val="en-ZA"/>
        </w:rPr>
        <w:t>The appeal is upheld.</w:t>
      </w:r>
    </w:p>
    <w:p w14:paraId="71A5DF38" w14:textId="7F21D58F" w:rsidR="00321118" w:rsidRPr="00FA4570" w:rsidRDefault="00321118" w:rsidP="00321118">
      <w:pPr>
        <w:spacing w:line="360" w:lineRule="auto"/>
        <w:jc w:val="both"/>
        <w:rPr>
          <w:sz w:val="28"/>
          <w:szCs w:val="28"/>
          <w:lang w:val="en-ZA"/>
        </w:rPr>
      </w:pPr>
      <w:r w:rsidRPr="00FA4570">
        <w:rPr>
          <w:sz w:val="28"/>
          <w:szCs w:val="28"/>
          <w:lang w:val="en-ZA"/>
        </w:rPr>
        <w:t>2</w:t>
      </w:r>
      <w:r w:rsidR="005C7E11" w:rsidRPr="00FA4570">
        <w:rPr>
          <w:sz w:val="28"/>
          <w:szCs w:val="28"/>
          <w:lang w:val="en-ZA"/>
        </w:rPr>
        <w:tab/>
      </w:r>
      <w:r w:rsidRPr="00FA4570">
        <w:rPr>
          <w:sz w:val="28"/>
          <w:szCs w:val="28"/>
          <w:lang w:val="en-ZA"/>
        </w:rPr>
        <w:t>The high court's order is set aside.</w:t>
      </w:r>
    </w:p>
    <w:p w14:paraId="03715E69" w14:textId="4F7F0B98" w:rsidR="00321118" w:rsidRPr="00FA4570" w:rsidRDefault="00321118" w:rsidP="009E7C8F">
      <w:pPr>
        <w:spacing w:line="360" w:lineRule="auto"/>
        <w:ind w:left="709" w:hanging="709"/>
        <w:jc w:val="both"/>
        <w:rPr>
          <w:sz w:val="28"/>
          <w:szCs w:val="28"/>
          <w:lang w:val="en-ZA"/>
        </w:rPr>
      </w:pPr>
      <w:r w:rsidRPr="00FA4570">
        <w:rPr>
          <w:sz w:val="28"/>
          <w:szCs w:val="28"/>
          <w:lang w:val="en-ZA"/>
        </w:rPr>
        <w:t>3</w:t>
      </w:r>
      <w:r w:rsidR="005C7E11" w:rsidRPr="00FA4570">
        <w:rPr>
          <w:sz w:val="28"/>
          <w:szCs w:val="28"/>
          <w:lang w:val="en-ZA"/>
        </w:rPr>
        <w:tab/>
      </w:r>
      <w:r w:rsidRPr="00FA4570">
        <w:rPr>
          <w:sz w:val="28"/>
          <w:szCs w:val="28"/>
          <w:lang w:val="en-ZA"/>
        </w:rPr>
        <w:t xml:space="preserve">The respondent’s conviction and sentence imposed by the Regional Court Durban, </w:t>
      </w:r>
      <w:r w:rsidR="00C74727">
        <w:rPr>
          <w:sz w:val="28"/>
          <w:szCs w:val="28"/>
          <w:lang w:val="en-ZA"/>
        </w:rPr>
        <w:t>are</w:t>
      </w:r>
      <w:r w:rsidRPr="00FA4570">
        <w:rPr>
          <w:sz w:val="28"/>
          <w:szCs w:val="28"/>
          <w:lang w:val="en-ZA"/>
        </w:rPr>
        <w:t xml:space="preserve"> reinstated.</w:t>
      </w:r>
    </w:p>
    <w:p w14:paraId="2F3F8763" w14:textId="182B5A1C" w:rsidR="00321118" w:rsidRPr="00FA4570" w:rsidRDefault="00321118" w:rsidP="00321118">
      <w:pPr>
        <w:spacing w:line="360" w:lineRule="auto"/>
        <w:jc w:val="both"/>
        <w:rPr>
          <w:sz w:val="28"/>
          <w:szCs w:val="28"/>
          <w:lang w:val="en-ZA"/>
        </w:rPr>
      </w:pPr>
      <w:r w:rsidRPr="00FA4570">
        <w:rPr>
          <w:sz w:val="28"/>
          <w:szCs w:val="28"/>
          <w:lang w:val="en-ZA"/>
        </w:rPr>
        <w:t>4</w:t>
      </w:r>
      <w:r w:rsidR="005C7E11" w:rsidRPr="00FA4570">
        <w:rPr>
          <w:sz w:val="28"/>
          <w:szCs w:val="28"/>
          <w:lang w:val="en-ZA"/>
        </w:rPr>
        <w:tab/>
      </w:r>
      <w:r w:rsidRPr="00FA4570">
        <w:rPr>
          <w:sz w:val="28"/>
          <w:szCs w:val="28"/>
          <w:lang w:val="en-ZA"/>
        </w:rPr>
        <w:t>The respondent’s appeal against his conviction is remitted to the high court.</w:t>
      </w:r>
    </w:p>
    <w:p w14:paraId="110D8A57" w14:textId="0EDA9162" w:rsidR="000E3AE8" w:rsidRPr="00FA4570" w:rsidRDefault="000E3AE8" w:rsidP="000E3AE8">
      <w:pPr>
        <w:pStyle w:val="ListBullet"/>
        <w:numPr>
          <w:ilvl w:val="0"/>
          <w:numId w:val="0"/>
        </w:numPr>
        <w:spacing w:after="0" w:line="276" w:lineRule="auto"/>
        <w:jc w:val="both"/>
        <w:rPr>
          <w:rFonts w:ascii="Times New Roman" w:hAnsi="Times New Roman" w:cs="Times New Roman"/>
          <w:b/>
          <w:sz w:val="28"/>
          <w:szCs w:val="28"/>
        </w:rPr>
      </w:pPr>
      <w:r w:rsidRPr="00FA4570">
        <w:rPr>
          <w:rFonts w:ascii="Times New Roman" w:hAnsi="Times New Roman" w:cs="Times New Roman"/>
          <w:b/>
          <w:sz w:val="28"/>
          <w:szCs w:val="28"/>
        </w:rPr>
        <w:t>___________________________________</w:t>
      </w:r>
      <w:r w:rsidR="00B11CC9" w:rsidRPr="00FA4570">
        <w:rPr>
          <w:rFonts w:ascii="Times New Roman" w:hAnsi="Times New Roman" w:cs="Times New Roman"/>
          <w:b/>
          <w:sz w:val="28"/>
          <w:szCs w:val="28"/>
        </w:rPr>
        <w:t>_____________________________</w:t>
      </w:r>
    </w:p>
    <w:p w14:paraId="4F80F1DA" w14:textId="77777777" w:rsidR="000E3AE8" w:rsidRPr="00FA4570" w:rsidRDefault="000E3AE8" w:rsidP="000E3AE8">
      <w:pPr>
        <w:pStyle w:val="ListBullet"/>
        <w:numPr>
          <w:ilvl w:val="0"/>
          <w:numId w:val="0"/>
        </w:numPr>
        <w:spacing w:after="0" w:line="276" w:lineRule="auto"/>
        <w:jc w:val="center"/>
        <w:rPr>
          <w:rFonts w:ascii="Times New Roman" w:hAnsi="Times New Roman" w:cs="Times New Roman"/>
          <w:b/>
          <w:sz w:val="28"/>
          <w:szCs w:val="28"/>
        </w:rPr>
      </w:pPr>
    </w:p>
    <w:p w14:paraId="20CB09E8" w14:textId="1E1EE0EC" w:rsidR="000E3AE8" w:rsidRPr="00FA4570" w:rsidRDefault="000E3AE8" w:rsidP="000E3AE8">
      <w:pPr>
        <w:pStyle w:val="ListBullet"/>
        <w:numPr>
          <w:ilvl w:val="0"/>
          <w:numId w:val="0"/>
        </w:numPr>
        <w:spacing w:after="0" w:line="276" w:lineRule="auto"/>
        <w:jc w:val="center"/>
        <w:rPr>
          <w:rFonts w:ascii="Times New Roman" w:hAnsi="Times New Roman" w:cs="Times New Roman"/>
          <w:b/>
          <w:sz w:val="28"/>
          <w:szCs w:val="28"/>
        </w:rPr>
      </w:pPr>
      <w:r w:rsidRPr="00FA4570">
        <w:rPr>
          <w:rFonts w:ascii="Times New Roman" w:hAnsi="Times New Roman" w:cs="Times New Roman"/>
          <w:b/>
          <w:sz w:val="28"/>
          <w:szCs w:val="28"/>
        </w:rPr>
        <w:t>JUDGMENT</w:t>
      </w:r>
    </w:p>
    <w:p w14:paraId="2847D303" w14:textId="3B4C3634" w:rsidR="000E3AE8" w:rsidRPr="00FA4570" w:rsidRDefault="000E3AE8" w:rsidP="000E3AE8">
      <w:pPr>
        <w:pStyle w:val="ListBullet"/>
        <w:numPr>
          <w:ilvl w:val="0"/>
          <w:numId w:val="0"/>
        </w:numPr>
        <w:spacing w:after="0" w:line="360" w:lineRule="auto"/>
        <w:rPr>
          <w:rFonts w:ascii="Times New Roman" w:hAnsi="Times New Roman" w:cs="Times New Roman"/>
          <w:b/>
          <w:sz w:val="28"/>
          <w:szCs w:val="28"/>
        </w:rPr>
      </w:pPr>
      <w:r w:rsidRPr="00FA4570">
        <w:rPr>
          <w:rFonts w:ascii="Times New Roman" w:hAnsi="Times New Roman" w:cs="Times New Roman"/>
          <w:b/>
          <w:sz w:val="28"/>
          <w:szCs w:val="28"/>
        </w:rPr>
        <w:t>___________________________________</w:t>
      </w:r>
      <w:r w:rsidR="00B11CC9" w:rsidRPr="00FA4570">
        <w:rPr>
          <w:rFonts w:ascii="Times New Roman" w:hAnsi="Times New Roman" w:cs="Times New Roman"/>
          <w:b/>
          <w:sz w:val="28"/>
          <w:szCs w:val="28"/>
        </w:rPr>
        <w:t>_____________________________</w:t>
      </w:r>
    </w:p>
    <w:p w14:paraId="6E7337D2" w14:textId="75A887F0" w:rsidR="009539FF" w:rsidRPr="00FA4570" w:rsidRDefault="009224BD" w:rsidP="000815BD">
      <w:pPr>
        <w:spacing w:before="240" w:after="240" w:line="360" w:lineRule="auto"/>
        <w:jc w:val="both"/>
        <w:rPr>
          <w:b/>
          <w:sz w:val="28"/>
          <w:szCs w:val="28"/>
        </w:rPr>
      </w:pPr>
      <w:r w:rsidRPr="00FA4570">
        <w:rPr>
          <w:b/>
          <w:sz w:val="28"/>
          <w:szCs w:val="28"/>
        </w:rPr>
        <w:t>Goosen</w:t>
      </w:r>
      <w:r w:rsidR="008B3391" w:rsidRPr="00FA4570">
        <w:rPr>
          <w:b/>
          <w:sz w:val="28"/>
          <w:szCs w:val="28"/>
        </w:rPr>
        <w:t xml:space="preserve"> </w:t>
      </w:r>
      <w:r w:rsidR="000E3AE8" w:rsidRPr="00FA4570">
        <w:rPr>
          <w:b/>
          <w:sz w:val="28"/>
          <w:szCs w:val="28"/>
        </w:rPr>
        <w:t>J</w:t>
      </w:r>
      <w:r w:rsidR="00075D7F" w:rsidRPr="00FA4570">
        <w:rPr>
          <w:b/>
          <w:sz w:val="28"/>
          <w:szCs w:val="28"/>
        </w:rPr>
        <w:t>A</w:t>
      </w:r>
      <w:r w:rsidR="00FF5A22" w:rsidRPr="00FA4570">
        <w:rPr>
          <w:b/>
          <w:sz w:val="28"/>
          <w:szCs w:val="28"/>
        </w:rPr>
        <w:t xml:space="preserve"> (</w:t>
      </w:r>
      <w:r w:rsidR="00873A6B" w:rsidRPr="00FA4570">
        <w:rPr>
          <w:b/>
          <w:sz w:val="28"/>
          <w:szCs w:val="28"/>
        </w:rPr>
        <w:t>Dambuza ADP</w:t>
      </w:r>
      <w:r w:rsidR="00B23B13" w:rsidRPr="00FA4570">
        <w:rPr>
          <w:b/>
          <w:sz w:val="28"/>
          <w:szCs w:val="28"/>
        </w:rPr>
        <w:t xml:space="preserve"> </w:t>
      </w:r>
      <w:r w:rsidR="00873A6B" w:rsidRPr="00FA4570">
        <w:rPr>
          <w:b/>
          <w:sz w:val="28"/>
          <w:szCs w:val="28"/>
        </w:rPr>
        <w:t>and Mothle and Matojane JJA concurring</w:t>
      </w:r>
      <w:r w:rsidR="003D4416" w:rsidRPr="00FA4570">
        <w:rPr>
          <w:b/>
          <w:sz w:val="28"/>
          <w:szCs w:val="28"/>
        </w:rPr>
        <w:t>)</w:t>
      </w:r>
      <w:r w:rsidR="000815BD" w:rsidRPr="00FA4570">
        <w:rPr>
          <w:b/>
          <w:sz w:val="28"/>
          <w:szCs w:val="28"/>
        </w:rPr>
        <w:t>:</w:t>
      </w:r>
    </w:p>
    <w:p w14:paraId="655CD499" w14:textId="6CBB9FC1" w:rsidR="00331D9C" w:rsidRPr="00FA4570" w:rsidRDefault="00331D9C" w:rsidP="000C1370">
      <w:pPr>
        <w:spacing w:line="360" w:lineRule="auto"/>
        <w:jc w:val="both"/>
        <w:rPr>
          <w:rFonts w:eastAsia="Calibri"/>
          <w:sz w:val="28"/>
          <w:szCs w:val="28"/>
          <w:lang w:val="en-ZA"/>
        </w:rPr>
      </w:pPr>
      <w:r w:rsidRPr="00FA4570">
        <w:rPr>
          <w:rFonts w:eastAsia="Calibri"/>
          <w:sz w:val="28"/>
          <w:szCs w:val="28"/>
          <w:lang w:val="en-ZA"/>
        </w:rPr>
        <w:t>[</w:t>
      </w:r>
      <w:r w:rsidR="00B21160" w:rsidRPr="00FA4570">
        <w:rPr>
          <w:rFonts w:eastAsia="Calibri"/>
          <w:sz w:val="28"/>
          <w:szCs w:val="28"/>
          <w:lang w:val="en-ZA"/>
        </w:rPr>
        <w:t>1</w:t>
      </w:r>
      <w:r w:rsidRPr="00FA4570">
        <w:rPr>
          <w:rFonts w:eastAsia="Calibri"/>
          <w:sz w:val="28"/>
          <w:szCs w:val="28"/>
          <w:lang w:val="en-ZA"/>
        </w:rPr>
        <w:t>]</w:t>
      </w:r>
      <w:r w:rsidRPr="00FA4570">
        <w:rPr>
          <w:rFonts w:eastAsia="Calibri"/>
          <w:sz w:val="28"/>
          <w:szCs w:val="28"/>
          <w:lang w:val="en-ZA"/>
        </w:rPr>
        <w:tab/>
        <w:t>Th</w:t>
      </w:r>
      <w:r w:rsidR="00E31363" w:rsidRPr="00FA4570">
        <w:rPr>
          <w:rFonts w:eastAsia="Calibri"/>
          <w:sz w:val="28"/>
          <w:szCs w:val="28"/>
          <w:lang w:val="en-ZA"/>
        </w:rPr>
        <w:t>is is an</w:t>
      </w:r>
      <w:r w:rsidRPr="00FA4570">
        <w:rPr>
          <w:rFonts w:eastAsia="Calibri"/>
          <w:sz w:val="28"/>
          <w:szCs w:val="28"/>
          <w:lang w:val="en-ZA"/>
        </w:rPr>
        <w:t xml:space="preserve"> app</w:t>
      </w:r>
      <w:r w:rsidR="00B21160" w:rsidRPr="00FA4570">
        <w:rPr>
          <w:rFonts w:eastAsia="Calibri"/>
          <w:sz w:val="28"/>
          <w:szCs w:val="28"/>
          <w:lang w:val="en-ZA"/>
        </w:rPr>
        <w:t>eal by the Director of Public Prosecutions, KwaZulu-Natal</w:t>
      </w:r>
      <w:r w:rsidRPr="00FA4570">
        <w:rPr>
          <w:rFonts w:eastAsia="Calibri"/>
          <w:sz w:val="28"/>
          <w:szCs w:val="28"/>
          <w:lang w:val="en-ZA"/>
        </w:rPr>
        <w:t xml:space="preserve"> (the </w:t>
      </w:r>
      <w:r w:rsidR="00B21160" w:rsidRPr="00FA4570">
        <w:rPr>
          <w:rFonts w:eastAsia="Calibri"/>
          <w:sz w:val="28"/>
          <w:szCs w:val="28"/>
          <w:lang w:val="en-ZA"/>
        </w:rPr>
        <w:t xml:space="preserve">DPP), in terms of s 311 of the Criminal Procedure Act 51 of 1977 (the CPA). It lies against an order of the </w:t>
      </w:r>
      <w:r w:rsidR="00C26212" w:rsidRPr="00FA4570">
        <w:rPr>
          <w:rFonts w:eastAsia="Calibri"/>
          <w:sz w:val="28"/>
          <w:szCs w:val="28"/>
          <w:lang w:val="en-ZA"/>
        </w:rPr>
        <w:t>H</w:t>
      </w:r>
      <w:r w:rsidR="00B21160" w:rsidRPr="00FA4570">
        <w:rPr>
          <w:rFonts w:eastAsia="Calibri"/>
          <w:sz w:val="28"/>
          <w:szCs w:val="28"/>
          <w:lang w:val="en-ZA"/>
        </w:rPr>
        <w:t>igh Court, KwaZulu-Natal Division, Pietermaritzburg</w:t>
      </w:r>
      <w:r w:rsidR="00C26212" w:rsidRPr="00FA4570">
        <w:rPr>
          <w:rFonts w:eastAsia="Calibri"/>
          <w:sz w:val="28"/>
          <w:szCs w:val="28"/>
          <w:lang w:val="en-ZA"/>
        </w:rPr>
        <w:t xml:space="preserve"> (the high court), which set aside the conviction</w:t>
      </w:r>
      <w:r w:rsidR="00300B66" w:rsidRPr="00FA4570">
        <w:rPr>
          <w:rFonts w:eastAsia="Calibri"/>
          <w:sz w:val="28"/>
          <w:szCs w:val="28"/>
          <w:lang w:val="en-ZA"/>
        </w:rPr>
        <w:t xml:space="preserve"> and sentence</w:t>
      </w:r>
      <w:r w:rsidR="00C26212" w:rsidRPr="00FA4570">
        <w:rPr>
          <w:rFonts w:eastAsia="Calibri"/>
          <w:sz w:val="28"/>
          <w:szCs w:val="28"/>
          <w:lang w:val="en-ZA"/>
        </w:rPr>
        <w:t xml:space="preserve"> of the respondent on a charge of murder.</w:t>
      </w:r>
    </w:p>
    <w:p w14:paraId="027D1C7C" w14:textId="77777777" w:rsidR="00937254" w:rsidRPr="00FA4570" w:rsidRDefault="00937254" w:rsidP="000C1370">
      <w:pPr>
        <w:spacing w:line="360" w:lineRule="auto"/>
        <w:jc w:val="both"/>
        <w:rPr>
          <w:rFonts w:eastAsia="Calibri"/>
          <w:sz w:val="28"/>
          <w:szCs w:val="28"/>
          <w:lang w:val="en-ZA"/>
        </w:rPr>
      </w:pPr>
    </w:p>
    <w:p w14:paraId="17C71E9C" w14:textId="60F12AEC" w:rsidR="00937254" w:rsidRPr="00FA4570" w:rsidRDefault="00937254" w:rsidP="000C1370">
      <w:pPr>
        <w:spacing w:line="360" w:lineRule="auto"/>
        <w:jc w:val="both"/>
        <w:rPr>
          <w:rFonts w:eastAsia="Calibri"/>
          <w:sz w:val="28"/>
          <w:szCs w:val="28"/>
          <w:lang w:val="en-ZA"/>
        </w:rPr>
      </w:pPr>
      <w:r w:rsidRPr="00FA4570">
        <w:rPr>
          <w:rFonts w:eastAsia="Calibri"/>
          <w:sz w:val="28"/>
          <w:szCs w:val="28"/>
          <w:lang w:val="en-ZA"/>
        </w:rPr>
        <w:t>[2]</w:t>
      </w:r>
      <w:r w:rsidRPr="00FA4570">
        <w:rPr>
          <w:rFonts w:eastAsia="Calibri"/>
          <w:sz w:val="28"/>
          <w:szCs w:val="28"/>
          <w:lang w:val="en-ZA"/>
        </w:rPr>
        <w:tab/>
        <w:t xml:space="preserve">The appeal was </w:t>
      </w:r>
      <w:r w:rsidR="00DF0991" w:rsidRPr="00FA4570">
        <w:rPr>
          <w:rFonts w:eastAsia="Calibri"/>
          <w:sz w:val="28"/>
          <w:szCs w:val="28"/>
          <w:lang w:val="en-ZA"/>
        </w:rPr>
        <w:t>prosecuted</w:t>
      </w:r>
      <w:r w:rsidRPr="00FA4570">
        <w:rPr>
          <w:rFonts w:eastAsia="Calibri"/>
          <w:sz w:val="28"/>
          <w:szCs w:val="28"/>
          <w:lang w:val="en-ZA"/>
        </w:rPr>
        <w:t xml:space="preserve"> on the basis that it raises a question of law</w:t>
      </w:r>
      <w:r w:rsidR="00DF0991" w:rsidRPr="00FA4570">
        <w:rPr>
          <w:rFonts w:eastAsia="Calibri"/>
          <w:sz w:val="28"/>
          <w:szCs w:val="28"/>
          <w:lang w:val="en-ZA"/>
        </w:rPr>
        <w:t>, namely</w:t>
      </w:r>
      <w:r w:rsidRPr="00FA4570">
        <w:rPr>
          <w:rFonts w:eastAsia="Calibri"/>
          <w:sz w:val="28"/>
          <w:szCs w:val="28"/>
          <w:lang w:val="en-ZA"/>
        </w:rPr>
        <w:t xml:space="preserve"> the proper interpretation and application of s </w:t>
      </w:r>
      <w:r w:rsidR="00C704C5" w:rsidRPr="00FA4570">
        <w:rPr>
          <w:rFonts w:eastAsia="Calibri"/>
          <w:sz w:val="28"/>
          <w:szCs w:val="28"/>
          <w:lang w:val="en-ZA"/>
        </w:rPr>
        <w:t>93</w:t>
      </w:r>
      <w:r w:rsidR="00152C7E" w:rsidRPr="00FA4570">
        <w:rPr>
          <w:rFonts w:eastAsia="Calibri"/>
          <w:i/>
          <w:sz w:val="28"/>
          <w:szCs w:val="28"/>
          <w:lang w:val="en-ZA"/>
        </w:rPr>
        <w:t>ter</w:t>
      </w:r>
      <w:r w:rsidR="00152C7E" w:rsidRPr="00FA4570">
        <w:rPr>
          <w:rFonts w:eastAsia="Calibri"/>
          <w:iCs/>
          <w:sz w:val="28"/>
          <w:szCs w:val="28"/>
          <w:lang w:val="en-ZA"/>
        </w:rPr>
        <w:t>(</w:t>
      </w:r>
      <w:r w:rsidR="00300B66" w:rsidRPr="00FA4570">
        <w:rPr>
          <w:rFonts w:eastAsia="Calibri"/>
          <w:iCs/>
          <w:sz w:val="28"/>
          <w:szCs w:val="28"/>
          <w:lang w:val="en-ZA"/>
        </w:rPr>
        <w:t>1)</w:t>
      </w:r>
      <w:r w:rsidR="00C704C5" w:rsidRPr="00FA4570">
        <w:rPr>
          <w:rFonts w:eastAsia="Calibri"/>
          <w:i/>
          <w:sz w:val="28"/>
          <w:szCs w:val="28"/>
          <w:lang w:val="en-ZA"/>
        </w:rPr>
        <w:t xml:space="preserve"> </w:t>
      </w:r>
      <w:r w:rsidRPr="00FA4570">
        <w:rPr>
          <w:rFonts w:eastAsia="Calibri"/>
          <w:sz w:val="28"/>
          <w:szCs w:val="28"/>
          <w:lang w:val="en-ZA"/>
        </w:rPr>
        <w:t xml:space="preserve">of the Magistrates’ Courts Act 32 of 1944 (the </w:t>
      </w:r>
      <w:r w:rsidR="00300B66" w:rsidRPr="00FA4570">
        <w:rPr>
          <w:rFonts w:eastAsia="Calibri"/>
          <w:sz w:val="28"/>
          <w:szCs w:val="28"/>
          <w:lang w:val="en-ZA"/>
        </w:rPr>
        <w:t>MC</w:t>
      </w:r>
      <w:r w:rsidR="00E31363" w:rsidRPr="00FA4570">
        <w:rPr>
          <w:rFonts w:eastAsia="Calibri"/>
          <w:sz w:val="28"/>
          <w:szCs w:val="28"/>
          <w:lang w:val="en-ZA"/>
        </w:rPr>
        <w:t>A</w:t>
      </w:r>
      <w:r w:rsidR="00DF0991" w:rsidRPr="00FA4570">
        <w:rPr>
          <w:rFonts w:eastAsia="Calibri"/>
          <w:sz w:val="28"/>
          <w:szCs w:val="28"/>
          <w:lang w:val="en-ZA"/>
        </w:rPr>
        <w:t>)</w:t>
      </w:r>
      <w:r w:rsidRPr="00FA4570">
        <w:rPr>
          <w:rFonts w:eastAsia="Calibri"/>
          <w:sz w:val="28"/>
          <w:szCs w:val="28"/>
          <w:lang w:val="en-ZA"/>
        </w:rPr>
        <w:t>.</w:t>
      </w:r>
      <w:r w:rsidRPr="00FA4570">
        <w:rPr>
          <w:rStyle w:val="FootnoteReference"/>
          <w:rFonts w:eastAsia="Calibri"/>
          <w:sz w:val="28"/>
          <w:szCs w:val="28"/>
          <w:lang w:val="en-ZA"/>
        </w:rPr>
        <w:footnoteReference w:id="1"/>
      </w:r>
      <w:r w:rsidRPr="00FA4570">
        <w:rPr>
          <w:rFonts w:eastAsia="Calibri"/>
          <w:sz w:val="28"/>
          <w:szCs w:val="28"/>
          <w:lang w:val="en-ZA"/>
        </w:rPr>
        <w:t xml:space="preserve"> The respondent </w:t>
      </w:r>
      <w:r w:rsidR="00053D6C" w:rsidRPr="00FA4570">
        <w:rPr>
          <w:rFonts w:eastAsia="Calibri"/>
          <w:sz w:val="28"/>
          <w:szCs w:val="28"/>
          <w:lang w:val="en-ZA"/>
        </w:rPr>
        <w:t xml:space="preserve">rightly conceded </w:t>
      </w:r>
      <w:r w:rsidRPr="00FA4570">
        <w:rPr>
          <w:rFonts w:eastAsia="Calibri"/>
          <w:sz w:val="28"/>
          <w:szCs w:val="28"/>
          <w:lang w:val="en-ZA"/>
        </w:rPr>
        <w:t>that the issue in this matter</w:t>
      </w:r>
      <w:r w:rsidR="00C704C5" w:rsidRPr="00FA4570">
        <w:rPr>
          <w:rFonts w:eastAsia="Calibri"/>
          <w:sz w:val="28"/>
          <w:szCs w:val="28"/>
          <w:lang w:val="en-ZA"/>
        </w:rPr>
        <w:t>,</w:t>
      </w:r>
      <w:r w:rsidRPr="00FA4570">
        <w:rPr>
          <w:rFonts w:eastAsia="Calibri"/>
          <w:sz w:val="28"/>
          <w:szCs w:val="28"/>
          <w:lang w:val="en-ZA"/>
        </w:rPr>
        <w:t xml:space="preserve"> raises a question of law</w:t>
      </w:r>
      <w:r w:rsidR="00C704C5" w:rsidRPr="00FA4570">
        <w:rPr>
          <w:rFonts w:eastAsia="Calibri"/>
          <w:sz w:val="28"/>
          <w:szCs w:val="28"/>
          <w:lang w:val="en-ZA"/>
        </w:rPr>
        <w:t>.</w:t>
      </w:r>
    </w:p>
    <w:p w14:paraId="3BE15A5A" w14:textId="77777777" w:rsidR="00C704C5" w:rsidRPr="00FA4570" w:rsidRDefault="00C704C5" w:rsidP="000C1370">
      <w:pPr>
        <w:spacing w:line="360" w:lineRule="auto"/>
        <w:jc w:val="both"/>
        <w:rPr>
          <w:rFonts w:eastAsia="Calibri"/>
          <w:sz w:val="28"/>
          <w:szCs w:val="28"/>
          <w:lang w:val="en-ZA"/>
        </w:rPr>
      </w:pPr>
    </w:p>
    <w:p w14:paraId="0A72E003" w14:textId="4FC0FB0D" w:rsidR="00300B66" w:rsidRPr="00FA4570" w:rsidRDefault="00C704C5" w:rsidP="000C1370">
      <w:pPr>
        <w:spacing w:line="360" w:lineRule="auto"/>
        <w:jc w:val="both"/>
        <w:rPr>
          <w:rFonts w:eastAsia="Calibri"/>
          <w:sz w:val="28"/>
          <w:szCs w:val="28"/>
          <w:lang w:val="en-ZA"/>
        </w:rPr>
      </w:pPr>
      <w:r w:rsidRPr="00FA4570">
        <w:rPr>
          <w:rFonts w:eastAsia="Calibri"/>
          <w:sz w:val="28"/>
          <w:szCs w:val="28"/>
          <w:lang w:val="en-ZA"/>
        </w:rPr>
        <w:lastRenderedPageBreak/>
        <w:t>[</w:t>
      </w:r>
      <w:r w:rsidR="00300B66" w:rsidRPr="00FA4570">
        <w:rPr>
          <w:rFonts w:eastAsia="Calibri"/>
          <w:sz w:val="28"/>
          <w:szCs w:val="28"/>
          <w:lang w:val="en-ZA"/>
        </w:rPr>
        <w:t>3</w:t>
      </w:r>
      <w:r w:rsidRPr="00FA4570">
        <w:rPr>
          <w:rFonts w:eastAsia="Calibri"/>
          <w:sz w:val="28"/>
          <w:szCs w:val="28"/>
          <w:lang w:val="en-ZA"/>
        </w:rPr>
        <w:t>]</w:t>
      </w:r>
      <w:r w:rsidRPr="00FA4570">
        <w:rPr>
          <w:rFonts w:eastAsia="Calibri"/>
          <w:sz w:val="28"/>
          <w:szCs w:val="28"/>
          <w:lang w:val="en-ZA"/>
        </w:rPr>
        <w:tab/>
        <w:t xml:space="preserve">The facts are common cause. The respondent and </w:t>
      </w:r>
      <w:r w:rsidR="00300B66" w:rsidRPr="00FA4570">
        <w:rPr>
          <w:rFonts w:eastAsia="Calibri"/>
          <w:sz w:val="28"/>
          <w:szCs w:val="28"/>
          <w:lang w:val="en-ZA"/>
        </w:rPr>
        <w:t>a</w:t>
      </w:r>
      <w:r w:rsidRPr="00FA4570">
        <w:rPr>
          <w:rFonts w:eastAsia="Calibri"/>
          <w:sz w:val="28"/>
          <w:szCs w:val="28"/>
          <w:lang w:val="en-ZA"/>
        </w:rPr>
        <w:t xml:space="preserve"> co-accused </w:t>
      </w:r>
      <w:r w:rsidR="00152C7E" w:rsidRPr="00FA4570">
        <w:rPr>
          <w:rFonts w:eastAsia="Calibri"/>
          <w:sz w:val="28"/>
          <w:szCs w:val="28"/>
          <w:lang w:val="en-ZA"/>
        </w:rPr>
        <w:t>were</w:t>
      </w:r>
      <w:r w:rsidRPr="00FA4570">
        <w:rPr>
          <w:rFonts w:eastAsia="Calibri"/>
          <w:sz w:val="28"/>
          <w:szCs w:val="28"/>
          <w:lang w:val="en-ZA"/>
        </w:rPr>
        <w:t xml:space="preserve"> charged with murder. The trial proceeded before the Regional Court for the Regional Division of KwaZulu-Natal at Durban</w:t>
      </w:r>
      <w:r w:rsidR="00300B66" w:rsidRPr="00FA4570">
        <w:rPr>
          <w:rFonts w:eastAsia="Calibri"/>
          <w:sz w:val="28"/>
          <w:szCs w:val="28"/>
          <w:lang w:val="en-ZA"/>
        </w:rPr>
        <w:t xml:space="preserve"> (the trial court)</w:t>
      </w:r>
      <w:r w:rsidRPr="00FA4570">
        <w:rPr>
          <w:rFonts w:eastAsia="Calibri"/>
          <w:sz w:val="28"/>
          <w:szCs w:val="28"/>
          <w:lang w:val="en-ZA"/>
        </w:rPr>
        <w:t xml:space="preserve">. </w:t>
      </w:r>
      <w:r w:rsidR="00300B66" w:rsidRPr="00FA4570">
        <w:rPr>
          <w:rFonts w:eastAsia="Calibri"/>
          <w:sz w:val="28"/>
          <w:szCs w:val="28"/>
          <w:lang w:val="en-ZA"/>
        </w:rPr>
        <w:t>It</w:t>
      </w:r>
      <w:r w:rsidRPr="00FA4570">
        <w:rPr>
          <w:rFonts w:eastAsia="Calibri"/>
          <w:sz w:val="28"/>
          <w:szCs w:val="28"/>
          <w:lang w:val="en-ZA"/>
        </w:rPr>
        <w:t xml:space="preserve"> commenced on 18 May 2018.</w:t>
      </w:r>
      <w:r w:rsidR="00300B66" w:rsidRPr="00FA4570">
        <w:rPr>
          <w:rFonts w:eastAsia="Calibri"/>
          <w:sz w:val="28"/>
          <w:szCs w:val="28"/>
          <w:lang w:val="en-ZA"/>
        </w:rPr>
        <w:t xml:space="preserve"> </w:t>
      </w:r>
      <w:r w:rsidR="00327BEF" w:rsidRPr="00FA4570">
        <w:rPr>
          <w:rFonts w:eastAsia="Calibri"/>
          <w:sz w:val="28"/>
          <w:szCs w:val="28"/>
          <w:lang w:val="en-ZA"/>
        </w:rPr>
        <w:t xml:space="preserve"> </w:t>
      </w:r>
      <w:r w:rsidR="00300B66" w:rsidRPr="00FA4570">
        <w:rPr>
          <w:rFonts w:eastAsia="Calibri"/>
          <w:sz w:val="28"/>
          <w:szCs w:val="28"/>
          <w:lang w:val="en-ZA"/>
        </w:rPr>
        <w:t>The respondent was legally represented throughout the proceedings before the trial court.</w:t>
      </w:r>
      <w:r w:rsidR="00FF5C96" w:rsidRPr="00FA4570">
        <w:rPr>
          <w:rFonts w:eastAsia="Calibri"/>
          <w:sz w:val="28"/>
          <w:szCs w:val="28"/>
          <w:lang w:val="en-ZA"/>
        </w:rPr>
        <w:t xml:space="preserve"> </w:t>
      </w:r>
      <w:r w:rsidR="00300B66" w:rsidRPr="00FA4570">
        <w:rPr>
          <w:rFonts w:eastAsia="Calibri"/>
          <w:sz w:val="28"/>
          <w:szCs w:val="28"/>
          <w:lang w:val="en-ZA"/>
        </w:rPr>
        <w:t xml:space="preserve">The record reflects several court appearances before the commencement of the trial. The entries consist of handwritten notes recorded by the presiding officer. </w:t>
      </w:r>
      <w:r w:rsidR="00DB5F73" w:rsidRPr="00FA4570">
        <w:rPr>
          <w:rFonts w:eastAsia="Calibri"/>
          <w:sz w:val="28"/>
          <w:szCs w:val="28"/>
          <w:lang w:val="en-ZA"/>
        </w:rPr>
        <w:t>On 26 February 2018, the accused appeared in court. They were represented by Mr Luck</w:t>
      </w:r>
      <w:r w:rsidR="001369F2" w:rsidRPr="00FA4570">
        <w:rPr>
          <w:rFonts w:eastAsia="Calibri"/>
          <w:sz w:val="28"/>
          <w:szCs w:val="28"/>
          <w:lang w:val="en-ZA"/>
        </w:rPr>
        <w:t>y</w:t>
      </w:r>
      <w:r w:rsidR="00DB5F73" w:rsidRPr="00FA4570">
        <w:rPr>
          <w:rFonts w:eastAsia="Calibri"/>
          <w:sz w:val="28"/>
          <w:szCs w:val="28"/>
          <w:lang w:val="en-ZA"/>
        </w:rPr>
        <w:t xml:space="preserve">chand. The case was </w:t>
      </w:r>
      <w:r w:rsidR="00152C7E" w:rsidRPr="00FA4570">
        <w:rPr>
          <w:rFonts w:eastAsia="Calibri"/>
          <w:sz w:val="28"/>
          <w:szCs w:val="28"/>
          <w:lang w:val="en-ZA"/>
        </w:rPr>
        <w:t>remanded</w:t>
      </w:r>
      <w:r w:rsidR="00DB5F73" w:rsidRPr="00FA4570">
        <w:rPr>
          <w:rFonts w:eastAsia="Calibri"/>
          <w:sz w:val="28"/>
          <w:szCs w:val="28"/>
          <w:lang w:val="en-ZA"/>
        </w:rPr>
        <w:t xml:space="preserve"> to 7 March 2018 ‘for PTC’, which was accepted to be shorthand for ‘pre-trial conference’.</w:t>
      </w:r>
    </w:p>
    <w:p w14:paraId="3937B2D6" w14:textId="77777777" w:rsidR="00DB5F73" w:rsidRPr="00FA4570" w:rsidRDefault="00DB5F73" w:rsidP="000C1370">
      <w:pPr>
        <w:spacing w:line="360" w:lineRule="auto"/>
        <w:jc w:val="both"/>
        <w:rPr>
          <w:rFonts w:eastAsia="Calibri"/>
          <w:sz w:val="28"/>
          <w:szCs w:val="28"/>
          <w:lang w:val="en-ZA"/>
        </w:rPr>
      </w:pPr>
    </w:p>
    <w:p w14:paraId="7DA6905E" w14:textId="4B78A784" w:rsidR="00DB5F73" w:rsidRPr="00FA4570" w:rsidRDefault="00DB5F73" w:rsidP="000C1370">
      <w:pPr>
        <w:spacing w:line="360" w:lineRule="auto"/>
        <w:jc w:val="both"/>
        <w:rPr>
          <w:rFonts w:eastAsia="Calibri"/>
          <w:sz w:val="28"/>
          <w:szCs w:val="28"/>
          <w:lang w:val="en-ZA"/>
        </w:rPr>
      </w:pPr>
      <w:r w:rsidRPr="00FA4570">
        <w:rPr>
          <w:rFonts w:eastAsia="Calibri"/>
          <w:sz w:val="28"/>
          <w:szCs w:val="28"/>
          <w:lang w:val="en-ZA"/>
        </w:rPr>
        <w:t>[</w:t>
      </w:r>
      <w:r w:rsidR="00327BEF" w:rsidRPr="00FA4570">
        <w:rPr>
          <w:rFonts w:eastAsia="Calibri"/>
          <w:sz w:val="28"/>
          <w:szCs w:val="28"/>
          <w:lang w:val="en-ZA"/>
        </w:rPr>
        <w:t>4</w:t>
      </w:r>
      <w:r w:rsidRPr="00FA4570">
        <w:rPr>
          <w:rFonts w:eastAsia="Calibri"/>
          <w:sz w:val="28"/>
          <w:szCs w:val="28"/>
          <w:lang w:val="en-ZA"/>
        </w:rPr>
        <w:t>]</w:t>
      </w:r>
      <w:r w:rsidRPr="00FA4570">
        <w:rPr>
          <w:rFonts w:eastAsia="Calibri"/>
          <w:sz w:val="28"/>
          <w:szCs w:val="28"/>
          <w:lang w:val="en-ZA"/>
        </w:rPr>
        <w:tab/>
        <w:t>On 7 March 2018, the pre-trial conference occurred in open court. Both the respondent and his co-accused were present and were represented by Mr Luckychand. The re-typed entry on the record reads as follows:</w:t>
      </w:r>
    </w:p>
    <w:p w14:paraId="53F37E31" w14:textId="7EE35BA0" w:rsidR="00DB5F73" w:rsidRPr="00FA4570" w:rsidRDefault="00DB5F73" w:rsidP="000C1370">
      <w:pPr>
        <w:spacing w:line="360" w:lineRule="auto"/>
        <w:jc w:val="both"/>
        <w:rPr>
          <w:rFonts w:eastAsia="Calibri"/>
          <w:lang w:val="en-ZA"/>
        </w:rPr>
      </w:pPr>
      <w:r w:rsidRPr="00FA4570">
        <w:rPr>
          <w:rFonts w:eastAsia="Calibri"/>
          <w:lang w:val="en-ZA"/>
        </w:rPr>
        <w:t xml:space="preserve">‘Both accused before </w:t>
      </w:r>
      <w:r w:rsidR="00152C7E" w:rsidRPr="00FA4570">
        <w:rPr>
          <w:rFonts w:eastAsia="Calibri"/>
          <w:lang w:val="en-ZA"/>
        </w:rPr>
        <w:t>Court.</w:t>
      </w:r>
    </w:p>
    <w:p w14:paraId="164BEE82" w14:textId="75A6898E" w:rsidR="00DB5F73" w:rsidRPr="00FA4570" w:rsidRDefault="00DB5F73" w:rsidP="000C1370">
      <w:pPr>
        <w:spacing w:line="360" w:lineRule="auto"/>
        <w:jc w:val="both"/>
        <w:rPr>
          <w:rFonts w:eastAsia="Calibri"/>
          <w:lang w:val="en-ZA"/>
        </w:rPr>
      </w:pPr>
      <w:r w:rsidRPr="00FA4570">
        <w:rPr>
          <w:rFonts w:eastAsia="Calibri"/>
          <w:lang w:val="en-ZA"/>
        </w:rPr>
        <w:t xml:space="preserve">Both accused are advised of the use of lay assessors – duly </w:t>
      </w:r>
      <w:r w:rsidR="00152C7E" w:rsidRPr="00FA4570">
        <w:rPr>
          <w:rFonts w:eastAsia="Calibri"/>
          <w:lang w:val="en-ZA"/>
        </w:rPr>
        <w:t>understood.</w:t>
      </w:r>
    </w:p>
    <w:p w14:paraId="49BB9380" w14:textId="5284692E" w:rsidR="00DB5F73" w:rsidRPr="00FA4570" w:rsidRDefault="00DB5F73" w:rsidP="000C1370">
      <w:pPr>
        <w:spacing w:line="360" w:lineRule="auto"/>
        <w:jc w:val="both"/>
        <w:rPr>
          <w:rFonts w:eastAsia="Calibri"/>
          <w:lang w:val="en-ZA"/>
        </w:rPr>
      </w:pPr>
      <w:r w:rsidRPr="00FA4570">
        <w:rPr>
          <w:rFonts w:eastAsia="Calibri"/>
          <w:lang w:val="en-ZA"/>
        </w:rPr>
        <w:t xml:space="preserve">Mr Luckychand confirm that no assessors will be </w:t>
      </w:r>
      <w:r w:rsidR="00152C7E" w:rsidRPr="00FA4570">
        <w:rPr>
          <w:rFonts w:eastAsia="Calibri"/>
          <w:lang w:val="en-ZA"/>
        </w:rPr>
        <w:t>required.</w:t>
      </w:r>
    </w:p>
    <w:p w14:paraId="37C2467C" w14:textId="121D14DE" w:rsidR="00DB5F73" w:rsidRPr="00FA4570" w:rsidRDefault="00DB5F73" w:rsidP="000C1370">
      <w:pPr>
        <w:spacing w:line="360" w:lineRule="auto"/>
        <w:jc w:val="both"/>
        <w:rPr>
          <w:rFonts w:eastAsia="Calibri"/>
          <w:lang w:val="en-ZA"/>
        </w:rPr>
      </w:pPr>
      <w:r w:rsidRPr="00FA4570">
        <w:rPr>
          <w:rFonts w:eastAsia="Calibri"/>
          <w:lang w:val="en-ZA"/>
        </w:rPr>
        <w:t>Both accd confirm the same</w:t>
      </w:r>
    </w:p>
    <w:p w14:paraId="68CBD934" w14:textId="2813A10D" w:rsidR="00DB5F73" w:rsidRPr="00FA4570" w:rsidRDefault="00DB5F73" w:rsidP="000C1370">
      <w:pPr>
        <w:spacing w:line="360" w:lineRule="auto"/>
        <w:jc w:val="both"/>
        <w:rPr>
          <w:rFonts w:eastAsia="Calibri"/>
          <w:lang w:val="en-ZA"/>
        </w:rPr>
      </w:pPr>
      <w:r w:rsidRPr="00FA4570">
        <w:rPr>
          <w:rFonts w:eastAsia="Calibri"/>
          <w:lang w:val="en-ZA"/>
        </w:rPr>
        <w:t xml:space="preserve">PTC held – See </w:t>
      </w:r>
      <w:r w:rsidR="00152C7E" w:rsidRPr="00FA4570">
        <w:rPr>
          <w:rFonts w:eastAsia="Calibri"/>
          <w:lang w:val="en-ZA"/>
        </w:rPr>
        <w:t>annexure.</w:t>
      </w:r>
    </w:p>
    <w:p w14:paraId="7C3F9481" w14:textId="0C47DE33" w:rsidR="00DB5F73" w:rsidRPr="00FA4570" w:rsidRDefault="00DB5F73" w:rsidP="000C1370">
      <w:pPr>
        <w:spacing w:line="360" w:lineRule="auto"/>
        <w:jc w:val="both"/>
        <w:rPr>
          <w:rFonts w:eastAsia="Calibri"/>
          <w:lang w:val="en-ZA"/>
        </w:rPr>
      </w:pPr>
      <w:r w:rsidRPr="00FA4570">
        <w:rPr>
          <w:rFonts w:eastAsia="Calibri"/>
          <w:lang w:val="en-ZA"/>
        </w:rPr>
        <w:t xml:space="preserve">1 day available for trial [illegible] evidence </w:t>
      </w:r>
      <w:r w:rsidR="00E31363" w:rsidRPr="00FA4570">
        <w:rPr>
          <w:rFonts w:eastAsia="Calibri"/>
          <w:lang w:val="en-ZA"/>
        </w:rPr>
        <w:t>admitted.’</w:t>
      </w:r>
    </w:p>
    <w:p w14:paraId="5523AEB6" w14:textId="77777777" w:rsidR="00C704C5" w:rsidRPr="00FA4570" w:rsidRDefault="00C704C5" w:rsidP="000C1370">
      <w:pPr>
        <w:spacing w:line="360" w:lineRule="auto"/>
        <w:jc w:val="both"/>
        <w:rPr>
          <w:rFonts w:eastAsia="Calibri"/>
          <w:sz w:val="28"/>
          <w:szCs w:val="28"/>
          <w:lang w:val="en-ZA"/>
        </w:rPr>
      </w:pPr>
    </w:p>
    <w:p w14:paraId="10AD304F" w14:textId="71C9930C" w:rsidR="00FF5C96" w:rsidRPr="00FA4570" w:rsidRDefault="00C704C5" w:rsidP="000C1370">
      <w:pPr>
        <w:spacing w:line="360" w:lineRule="auto"/>
        <w:jc w:val="both"/>
        <w:rPr>
          <w:rFonts w:eastAsia="Calibri"/>
          <w:sz w:val="28"/>
          <w:szCs w:val="28"/>
          <w:lang w:val="en-ZA"/>
        </w:rPr>
      </w:pPr>
      <w:r w:rsidRPr="00FA4570">
        <w:rPr>
          <w:rFonts w:eastAsia="Calibri"/>
          <w:sz w:val="28"/>
          <w:szCs w:val="28"/>
          <w:lang w:val="en-ZA"/>
        </w:rPr>
        <w:t>[</w:t>
      </w:r>
      <w:r w:rsidR="00327BEF" w:rsidRPr="00FA4570">
        <w:rPr>
          <w:rFonts w:eastAsia="Calibri"/>
          <w:sz w:val="28"/>
          <w:szCs w:val="28"/>
          <w:lang w:val="en-ZA"/>
        </w:rPr>
        <w:t>5</w:t>
      </w:r>
      <w:r w:rsidRPr="00FA4570">
        <w:rPr>
          <w:rFonts w:eastAsia="Calibri"/>
          <w:sz w:val="28"/>
          <w:szCs w:val="28"/>
          <w:lang w:val="en-ZA"/>
        </w:rPr>
        <w:t>]</w:t>
      </w:r>
      <w:r w:rsidRPr="00FA4570">
        <w:rPr>
          <w:rFonts w:eastAsia="Calibri"/>
          <w:sz w:val="28"/>
          <w:szCs w:val="28"/>
          <w:lang w:val="en-ZA"/>
        </w:rPr>
        <w:tab/>
      </w:r>
      <w:r w:rsidR="00E31363" w:rsidRPr="00FA4570">
        <w:rPr>
          <w:rFonts w:eastAsia="Calibri"/>
          <w:sz w:val="28"/>
          <w:szCs w:val="28"/>
          <w:lang w:val="en-ZA"/>
        </w:rPr>
        <w:t>The</w:t>
      </w:r>
      <w:r w:rsidR="00FF5C96" w:rsidRPr="00FA4570">
        <w:rPr>
          <w:rFonts w:eastAsia="Calibri"/>
          <w:sz w:val="28"/>
          <w:szCs w:val="28"/>
          <w:lang w:val="en-ZA"/>
        </w:rPr>
        <w:t xml:space="preserve"> trial commence</w:t>
      </w:r>
      <w:r w:rsidR="00F34CCC" w:rsidRPr="00FA4570">
        <w:rPr>
          <w:rFonts w:eastAsia="Calibri"/>
          <w:sz w:val="28"/>
          <w:szCs w:val="28"/>
          <w:lang w:val="en-ZA"/>
        </w:rPr>
        <w:t>d</w:t>
      </w:r>
      <w:r w:rsidR="00FF5C96" w:rsidRPr="00FA4570">
        <w:rPr>
          <w:rFonts w:eastAsia="Calibri"/>
          <w:sz w:val="28"/>
          <w:szCs w:val="28"/>
          <w:lang w:val="en-ZA"/>
        </w:rPr>
        <w:t xml:space="preserve"> on 18 May 2018</w:t>
      </w:r>
      <w:r w:rsidR="00F34CCC" w:rsidRPr="00FA4570">
        <w:rPr>
          <w:rFonts w:eastAsia="Calibri"/>
          <w:sz w:val="28"/>
          <w:szCs w:val="28"/>
          <w:lang w:val="en-ZA"/>
        </w:rPr>
        <w:t xml:space="preserve">. </w:t>
      </w:r>
      <w:r w:rsidR="00FF5C96" w:rsidRPr="00FA4570">
        <w:rPr>
          <w:rFonts w:eastAsia="Calibri"/>
          <w:sz w:val="28"/>
          <w:szCs w:val="28"/>
          <w:lang w:val="en-ZA"/>
        </w:rPr>
        <w:t>The record reads as follows:</w:t>
      </w:r>
    </w:p>
    <w:p w14:paraId="7C85B87F" w14:textId="6089F2AF" w:rsidR="00FF5C96" w:rsidRPr="00FA4570" w:rsidRDefault="00FF5C96" w:rsidP="000C1370">
      <w:pPr>
        <w:spacing w:line="360" w:lineRule="auto"/>
        <w:jc w:val="both"/>
        <w:rPr>
          <w:rFonts w:eastAsia="Calibri"/>
          <w:lang w:val="en-ZA"/>
        </w:rPr>
      </w:pPr>
      <w:r w:rsidRPr="00FA4570">
        <w:rPr>
          <w:rFonts w:eastAsia="Calibri"/>
          <w:lang w:val="en-ZA"/>
        </w:rPr>
        <w:t>‘</w:t>
      </w:r>
      <w:r w:rsidRPr="00FA4570">
        <w:rPr>
          <w:rFonts w:eastAsia="Calibri"/>
          <w:u w:val="single"/>
          <w:lang w:val="en-ZA"/>
        </w:rPr>
        <w:t>COURT:</w:t>
      </w:r>
      <w:r w:rsidRPr="00FA4570">
        <w:rPr>
          <w:rFonts w:eastAsia="Calibri"/>
          <w:lang w:val="en-ZA"/>
        </w:rPr>
        <w:tab/>
        <w:t>Okay, just before we proceed, Mr Luckychand, you confirm for the record that no assessors are required in this matter?</w:t>
      </w:r>
    </w:p>
    <w:p w14:paraId="796F8247" w14:textId="57588035" w:rsidR="00FF5C96" w:rsidRPr="00FA4570" w:rsidRDefault="00FF5C96" w:rsidP="000C1370">
      <w:pPr>
        <w:spacing w:line="360" w:lineRule="auto"/>
        <w:jc w:val="both"/>
        <w:rPr>
          <w:rFonts w:eastAsia="Calibri"/>
          <w:lang w:val="en-ZA"/>
        </w:rPr>
      </w:pPr>
      <w:r w:rsidRPr="00FA4570">
        <w:rPr>
          <w:rFonts w:eastAsia="Calibri"/>
          <w:u w:val="single"/>
          <w:lang w:val="en-ZA"/>
        </w:rPr>
        <w:t>MR LUCKYCHAND:</w:t>
      </w:r>
      <w:r w:rsidRPr="00FA4570">
        <w:rPr>
          <w:rFonts w:eastAsia="Calibri"/>
          <w:lang w:val="en-ZA"/>
        </w:rPr>
        <w:tab/>
        <w:t>That’s correct, Your Worship.’</w:t>
      </w:r>
    </w:p>
    <w:p w14:paraId="1AB21394" w14:textId="77777777" w:rsidR="00FF5C96" w:rsidRPr="00FA4570" w:rsidRDefault="00FF5C96" w:rsidP="000C1370">
      <w:pPr>
        <w:spacing w:line="360" w:lineRule="auto"/>
        <w:jc w:val="both"/>
        <w:rPr>
          <w:rFonts w:eastAsia="Calibri"/>
          <w:lang w:val="en-ZA"/>
        </w:rPr>
      </w:pPr>
    </w:p>
    <w:p w14:paraId="50C018DE" w14:textId="097BEFB0" w:rsidR="00327BEF" w:rsidRPr="00FA4570" w:rsidRDefault="00446037" w:rsidP="00327BEF">
      <w:pPr>
        <w:spacing w:line="360" w:lineRule="auto"/>
        <w:jc w:val="both"/>
        <w:rPr>
          <w:rFonts w:eastAsia="Calibri"/>
          <w:sz w:val="28"/>
          <w:szCs w:val="28"/>
          <w:lang w:val="en-ZA"/>
        </w:rPr>
      </w:pPr>
      <w:r w:rsidRPr="00FA4570">
        <w:rPr>
          <w:rFonts w:eastAsia="Calibri"/>
          <w:sz w:val="28"/>
          <w:szCs w:val="28"/>
          <w:lang w:val="en-ZA"/>
        </w:rPr>
        <w:t>[</w:t>
      </w:r>
      <w:r w:rsidR="00F34CCC" w:rsidRPr="00FA4570">
        <w:rPr>
          <w:rFonts w:eastAsia="Calibri"/>
          <w:sz w:val="28"/>
          <w:szCs w:val="28"/>
          <w:lang w:val="en-ZA"/>
        </w:rPr>
        <w:t>6</w:t>
      </w:r>
      <w:r w:rsidRPr="00FA4570">
        <w:rPr>
          <w:rFonts w:eastAsia="Calibri"/>
          <w:sz w:val="28"/>
          <w:szCs w:val="28"/>
          <w:lang w:val="en-ZA"/>
        </w:rPr>
        <w:t>]</w:t>
      </w:r>
      <w:r w:rsidRPr="00FA4570">
        <w:rPr>
          <w:rFonts w:eastAsia="Calibri"/>
          <w:sz w:val="28"/>
          <w:szCs w:val="28"/>
          <w:lang w:val="en-ZA"/>
        </w:rPr>
        <w:tab/>
      </w:r>
      <w:r w:rsidR="00327BEF" w:rsidRPr="00FA4570">
        <w:rPr>
          <w:rFonts w:eastAsia="Calibri"/>
          <w:sz w:val="28"/>
          <w:szCs w:val="28"/>
          <w:lang w:val="en-ZA"/>
        </w:rPr>
        <w:t>On 18 August 2018, the respondent was convicted of murder. His co-accused was acquitted. He was sentenced to 10 years’ imprisonment on 21 August 2018. The respondent was granted leave to appeal against his conviction</w:t>
      </w:r>
      <w:r w:rsidR="00873A6B" w:rsidRPr="00FA4570">
        <w:rPr>
          <w:rFonts w:eastAsia="Calibri"/>
          <w:sz w:val="28"/>
          <w:szCs w:val="28"/>
          <w:lang w:val="en-ZA"/>
        </w:rPr>
        <w:t>.</w:t>
      </w:r>
      <w:r w:rsidR="00327BEF" w:rsidRPr="00FA4570">
        <w:rPr>
          <w:rFonts w:eastAsia="Calibri"/>
          <w:sz w:val="28"/>
          <w:szCs w:val="28"/>
          <w:lang w:val="en-ZA"/>
        </w:rPr>
        <w:t xml:space="preserve"> On 25 May 2022, shortly before the hearing of the appeal, the high court issued a </w:t>
      </w:r>
      <w:r w:rsidR="00327BEF" w:rsidRPr="00FA4570">
        <w:rPr>
          <w:rFonts w:eastAsia="Calibri"/>
          <w:sz w:val="28"/>
          <w:szCs w:val="28"/>
          <w:lang w:val="en-ZA"/>
        </w:rPr>
        <w:lastRenderedPageBreak/>
        <w:t>directive requiring the parties to file supplementary heads of argument dealing with whether there had been compliance with s 93</w:t>
      </w:r>
      <w:r w:rsidR="00152C7E" w:rsidRPr="00FA4570">
        <w:rPr>
          <w:rFonts w:eastAsia="Calibri"/>
          <w:i/>
          <w:sz w:val="28"/>
          <w:szCs w:val="28"/>
          <w:lang w:val="en-ZA"/>
        </w:rPr>
        <w:t>ter</w:t>
      </w:r>
      <w:r w:rsidR="00152C7E" w:rsidRPr="00FA4570">
        <w:rPr>
          <w:rFonts w:eastAsia="Calibri"/>
          <w:iCs/>
          <w:sz w:val="28"/>
          <w:szCs w:val="28"/>
          <w:lang w:val="en-ZA"/>
        </w:rPr>
        <w:t>(</w:t>
      </w:r>
      <w:r w:rsidR="00327BEF" w:rsidRPr="00FA4570">
        <w:rPr>
          <w:rFonts w:eastAsia="Calibri"/>
          <w:iCs/>
          <w:sz w:val="28"/>
          <w:szCs w:val="28"/>
          <w:lang w:val="en-ZA"/>
        </w:rPr>
        <w:t>1)</w:t>
      </w:r>
      <w:r w:rsidR="00327BEF" w:rsidRPr="00FA4570">
        <w:rPr>
          <w:rFonts w:eastAsia="Calibri"/>
          <w:i/>
          <w:sz w:val="28"/>
          <w:szCs w:val="28"/>
          <w:lang w:val="en-ZA"/>
        </w:rPr>
        <w:t xml:space="preserve"> </w:t>
      </w:r>
      <w:r w:rsidR="00E31363" w:rsidRPr="00FA4570">
        <w:rPr>
          <w:rFonts w:eastAsia="Calibri"/>
          <w:sz w:val="28"/>
          <w:szCs w:val="28"/>
          <w:lang w:val="en-ZA"/>
        </w:rPr>
        <w:t>of the MCA</w:t>
      </w:r>
      <w:r w:rsidR="00327BEF" w:rsidRPr="00FA4570">
        <w:rPr>
          <w:rFonts w:eastAsia="Calibri"/>
          <w:sz w:val="28"/>
          <w:szCs w:val="28"/>
          <w:lang w:val="en-ZA"/>
        </w:rPr>
        <w:t>. That issue had not been raised as a ground of appeal. The appeal was heard on 2 June 2022. On 10 June 2022, the high court delivered judgment, which dealt only with the constitution of the trial court. It held that the peremptory requirements of s 93</w:t>
      </w:r>
      <w:r w:rsidR="00152C7E" w:rsidRPr="00FA4570">
        <w:rPr>
          <w:rFonts w:eastAsia="Calibri"/>
          <w:i/>
          <w:sz w:val="28"/>
          <w:szCs w:val="28"/>
          <w:lang w:val="en-ZA"/>
        </w:rPr>
        <w:t>ter</w:t>
      </w:r>
      <w:r w:rsidR="00152C7E" w:rsidRPr="00FA4570">
        <w:rPr>
          <w:rFonts w:eastAsia="Calibri"/>
          <w:iCs/>
          <w:sz w:val="28"/>
          <w:szCs w:val="28"/>
          <w:lang w:val="en-ZA"/>
        </w:rPr>
        <w:t>(</w:t>
      </w:r>
      <w:r w:rsidR="00327BEF" w:rsidRPr="00FA4570">
        <w:rPr>
          <w:rFonts w:eastAsia="Calibri"/>
          <w:iCs/>
          <w:sz w:val="28"/>
          <w:szCs w:val="28"/>
          <w:lang w:val="en-ZA"/>
        </w:rPr>
        <w:t>1)</w:t>
      </w:r>
      <w:r w:rsidR="00327BEF" w:rsidRPr="00FA4570">
        <w:rPr>
          <w:rFonts w:eastAsia="Calibri"/>
          <w:i/>
          <w:sz w:val="28"/>
          <w:szCs w:val="28"/>
          <w:lang w:val="en-ZA"/>
        </w:rPr>
        <w:t xml:space="preserve"> </w:t>
      </w:r>
      <w:r w:rsidR="001369F2" w:rsidRPr="00FA4570">
        <w:rPr>
          <w:rFonts w:eastAsia="Calibri"/>
          <w:sz w:val="28"/>
          <w:szCs w:val="28"/>
          <w:lang w:val="en-ZA"/>
        </w:rPr>
        <w:t>had not been satisfied</w:t>
      </w:r>
      <w:r w:rsidR="00327BEF" w:rsidRPr="00FA4570">
        <w:rPr>
          <w:rFonts w:eastAsia="Calibri"/>
          <w:sz w:val="28"/>
          <w:szCs w:val="28"/>
          <w:lang w:val="en-ZA"/>
        </w:rPr>
        <w:t xml:space="preserve"> and it set aside the respondent’s conviction.</w:t>
      </w:r>
    </w:p>
    <w:p w14:paraId="2932454E" w14:textId="77777777" w:rsidR="00327BEF" w:rsidRPr="00FA4570" w:rsidRDefault="00327BEF" w:rsidP="00327BEF">
      <w:pPr>
        <w:spacing w:line="360" w:lineRule="auto"/>
        <w:jc w:val="both"/>
        <w:rPr>
          <w:rFonts w:eastAsia="Calibri"/>
          <w:sz w:val="28"/>
          <w:szCs w:val="28"/>
          <w:lang w:val="en-ZA"/>
        </w:rPr>
      </w:pPr>
    </w:p>
    <w:p w14:paraId="279B8697" w14:textId="77830578" w:rsidR="00446037" w:rsidRPr="00FA4570" w:rsidRDefault="0005062C" w:rsidP="000C1370">
      <w:pPr>
        <w:spacing w:line="360" w:lineRule="auto"/>
        <w:jc w:val="both"/>
        <w:rPr>
          <w:rFonts w:eastAsia="Calibri"/>
          <w:sz w:val="28"/>
          <w:szCs w:val="28"/>
          <w:lang w:val="en-ZA"/>
        </w:rPr>
      </w:pPr>
      <w:r w:rsidRPr="00FA4570">
        <w:rPr>
          <w:rFonts w:eastAsia="Calibri"/>
          <w:sz w:val="28"/>
          <w:szCs w:val="28"/>
          <w:lang w:val="en-ZA"/>
        </w:rPr>
        <w:t>[</w:t>
      </w:r>
      <w:r w:rsidR="00F34CCC" w:rsidRPr="00FA4570">
        <w:rPr>
          <w:rFonts w:eastAsia="Calibri"/>
          <w:sz w:val="28"/>
          <w:szCs w:val="28"/>
          <w:lang w:val="en-ZA"/>
        </w:rPr>
        <w:t>7</w:t>
      </w:r>
      <w:r w:rsidRPr="00FA4570">
        <w:rPr>
          <w:rFonts w:eastAsia="Calibri"/>
          <w:sz w:val="28"/>
          <w:szCs w:val="28"/>
          <w:lang w:val="en-ZA"/>
        </w:rPr>
        <w:t>]</w:t>
      </w:r>
      <w:r w:rsidRPr="00FA4570">
        <w:rPr>
          <w:rFonts w:eastAsia="Calibri"/>
          <w:sz w:val="28"/>
          <w:szCs w:val="28"/>
          <w:lang w:val="en-ZA"/>
        </w:rPr>
        <w:tab/>
        <w:t>The appeal squarely raises the proper interpretation of s 93</w:t>
      </w:r>
      <w:r w:rsidR="00152C7E" w:rsidRPr="00FA4570">
        <w:rPr>
          <w:rFonts w:eastAsia="Calibri"/>
          <w:i/>
          <w:iCs/>
          <w:sz w:val="28"/>
          <w:szCs w:val="28"/>
          <w:lang w:val="en-ZA"/>
        </w:rPr>
        <w:t>ter</w:t>
      </w:r>
      <w:r w:rsidR="00152C7E" w:rsidRPr="00FA4570">
        <w:rPr>
          <w:rFonts w:eastAsia="Calibri"/>
          <w:sz w:val="28"/>
          <w:szCs w:val="28"/>
          <w:lang w:val="en-ZA"/>
        </w:rPr>
        <w:t>(</w:t>
      </w:r>
      <w:r w:rsidRPr="00FA4570">
        <w:rPr>
          <w:rFonts w:eastAsia="Calibri"/>
          <w:sz w:val="28"/>
          <w:szCs w:val="28"/>
          <w:lang w:val="en-ZA"/>
        </w:rPr>
        <w:t>1)</w:t>
      </w:r>
      <w:r w:rsidR="00E31363" w:rsidRPr="00FA4570">
        <w:rPr>
          <w:rFonts w:eastAsia="Calibri"/>
          <w:sz w:val="28"/>
          <w:szCs w:val="28"/>
          <w:lang w:val="en-ZA"/>
        </w:rPr>
        <w:t xml:space="preserve"> of the MC</w:t>
      </w:r>
      <w:r w:rsidR="008F44F6" w:rsidRPr="00FA4570">
        <w:rPr>
          <w:rFonts w:eastAsia="Calibri"/>
          <w:sz w:val="28"/>
          <w:szCs w:val="28"/>
          <w:lang w:val="en-ZA"/>
        </w:rPr>
        <w:t xml:space="preserve">A and its application. The section </w:t>
      </w:r>
      <w:r w:rsidR="00446037" w:rsidRPr="00FA4570">
        <w:rPr>
          <w:rFonts w:eastAsia="Calibri"/>
          <w:sz w:val="28"/>
          <w:szCs w:val="28"/>
          <w:lang w:val="en-ZA"/>
        </w:rPr>
        <w:t>provides that:</w:t>
      </w:r>
    </w:p>
    <w:p w14:paraId="577645A0" w14:textId="77777777" w:rsidR="00446037" w:rsidRPr="00FA4570" w:rsidRDefault="00446037" w:rsidP="00A56E69">
      <w:pPr>
        <w:spacing w:line="360" w:lineRule="auto"/>
        <w:jc w:val="both"/>
        <w:rPr>
          <w:rFonts w:eastAsia="Calibri"/>
          <w:lang w:val="en-ZA"/>
        </w:rPr>
      </w:pPr>
      <w:r w:rsidRPr="00FA4570">
        <w:rPr>
          <w:rFonts w:eastAsia="Calibri"/>
          <w:lang w:val="en-ZA"/>
        </w:rPr>
        <w:t>‘The judicial officer presiding at any trial may, if he deems it expedient for the administration of justice─</w:t>
      </w:r>
    </w:p>
    <w:p w14:paraId="7C41C992" w14:textId="77777777" w:rsidR="00446037" w:rsidRPr="00FA4570" w:rsidRDefault="00446037" w:rsidP="00A56E69">
      <w:pPr>
        <w:spacing w:line="360" w:lineRule="auto"/>
        <w:jc w:val="both"/>
        <w:rPr>
          <w:rFonts w:eastAsia="Calibri"/>
          <w:lang w:val="en-ZA"/>
        </w:rPr>
      </w:pPr>
      <w:r w:rsidRPr="00FA4570">
        <w:rPr>
          <w:rFonts w:eastAsia="Calibri"/>
          <w:i/>
          <w:lang w:val="en-ZA"/>
        </w:rPr>
        <w:t>(a)</w:t>
      </w:r>
      <w:r w:rsidRPr="00FA4570">
        <w:rPr>
          <w:rFonts w:eastAsia="Calibri"/>
          <w:i/>
          <w:lang w:val="en-ZA"/>
        </w:rPr>
        <w:tab/>
      </w:r>
      <w:r w:rsidRPr="00FA4570">
        <w:rPr>
          <w:rFonts w:eastAsia="Calibri"/>
          <w:lang w:val="en-ZA"/>
        </w:rPr>
        <w:t>before any evidence has been led; or</w:t>
      </w:r>
    </w:p>
    <w:p w14:paraId="13B6BD7F" w14:textId="77777777" w:rsidR="00C8374D" w:rsidRPr="00FA4570" w:rsidRDefault="00446037" w:rsidP="00A56E69">
      <w:pPr>
        <w:spacing w:line="360" w:lineRule="auto"/>
        <w:jc w:val="both"/>
        <w:rPr>
          <w:rFonts w:eastAsia="Calibri"/>
          <w:lang w:val="en-ZA"/>
        </w:rPr>
      </w:pPr>
      <w:r w:rsidRPr="00FA4570">
        <w:rPr>
          <w:rFonts w:eastAsia="Calibri"/>
          <w:i/>
          <w:lang w:val="en-ZA"/>
        </w:rPr>
        <w:t>(b)</w:t>
      </w:r>
      <w:r w:rsidRPr="00FA4570">
        <w:rPr>
          <w:rFonts w:eastAsia="Calibri"/>
          <w:i/>
          <w:lang w:val="en-ZA"/>
        </w:rPr>
        <w:tab/>
      </w:r>
      <w:r w:rsidRPr="00FA4570">
        <w:rPr>
          <w:rFonts w:eastAsia="Calibri"/>
          <w:lang w:val="en-ZA"/>
        </w:rPr>
        <w:t>in considering a community-based punishment in respect of any person who has been convicted of any offence,</w:t>
      </w:r>
    </w:p>
    <w:p w14:paraId="1AF6BA0C" w14:textId="4B61A73B" w:rsidR="009A247A" w:rsidRPr="00FA4570" w:rsidRDefault="00C8374D" w:rsidP="00A56E69">
      <w:pPr>
        <w:spacing w:line="360" w:lineRule="auto"/>
        <w:jc w:val="both"/>
        <w:rPr>
          <w:rFonts w:eastAsia="Calibri"/>
          <w:lang w:val="en-ZA"/>
        </w:rPr>
      </w:pPr>
      <w:r w:rsidRPr="00FA4570">
        <w:rPr>
          <w:rFonts w:eastAsia="Calibri"/>
          <w:lang w:val="en-ZA"/>
        </w:rPr>
        <w:t xml:space="preserve">summon to </w:t>
      </w:r>
      <w:r w:rsidR="00446037" w:rsidRPr="00FA4570">
        <w:rPr>
          <w:rFonts w:eastAsia="Calibri"/>
          <w:lang w:val="en-ZA"/>
        </w:rPr>
        <w:t>his assistance any one or two persons who, in his opinion, may be of assistance at the trial of the case or in the determination of a proper sentence</w:t>
      </w:r>
      <w:r w:rsidRPr="00FA4570">
        <w:rPr>
          <w:rFonts w:eastAsia="Calibri"/>
          <w:lang w:val="en-ZA"/>
        </w:rPr>
        <w:t>,</w:t>
      </w:r>
      <w:r w:rsidR="00446037" w:rsidRPr="00FA4570">
        <w:rPr>
          <w:rFonts w:eastAsia="Calibri"/>
          <w:lang w:val="en-ZA"/>
        </w:rPr>
        <w:t xml:space="preserve"> as the case may be, to sit with him as assessor or assessors: Provided that if an accused is standing trial in the court of a regional division on a charge of murder, whether together with other charges or accused or not, the judicial officer shall at the trial be assisted by two assessors unless such an accused re</w:t>
      </w:r>
      <w:r w:rsidRPr="00FA4570">
        <w:rPr>
          <w:rFonts w:eastAsia="Calibri"/>
          <w:lang w:val="en-ZA"/>
        </w:rPr>
        <w:t>ques</w:t>
      </w:r>
      <w:r w:rsidR="00B11CC9" w:rsidRPr="00FA4570">
        <w:rPr>
          <w:rFonts w:eastAsia="Calibri"/>
          <w:lang w:val="en-ZA"/>
        </w:rPr>
        <w:t>t</w:t>
      </w:r>
      <w:r w:rsidRPr="00FA4570">
        <w:rPr>
          <w:rFonts w:eastAsia="Calibri"/>
          <w:lang w:val="en-ZA"/>
        </w:rPr>
        <w:t>s</w:t>
      </w:r>
      <w:r w:rsidR="00446037" w:rsidRPr="00FA4570">
        <w:rPr>
          <w:rFonts w:eastAsia="Calibri"/>
          <w:lang w:val="en-ZA"/>
        </w:rPr>
        <w:t xml:space="preserve"> that the trial be proceeded with without assessors, whereupon the judicial officer may in his discretion summon one or two assessors to assist him.’</w:t>
      </w:r>
    </w:p>
    <w:p w14:paraId="2F29F25B" w14:textId="77777777" w:rsidR="009A247A" w:rsidRPr="00FA4570" w:rsidRDefault="009A247A" w:rsidP="000C1370">
      <w:pPr>
        <w:spacing w:line="360" w:lineRule="auto"/>
        <w:jc w:val="both"/>
        <w:rPr>
          <w:rFonts w:eastAsia="Calibri"/>
          <w:sz w:val="22"/>
          <w:szCs w:val="22"/>
          <w:lang w:val="en-ZA"/>
        </w:rPr>
      </w:pPr>
    </w:p>
    <w:p w14:paraId="5EA4B214" w14:textId="1EFE6B83" w:rsidR="00C704C5" w:rsidRPr="00FA4570" w:rsidRDefault="004A7FB1" w:rsidP="000C1370">
      <w:pPr>
        <w:spacing w:line="360" w:lineRule="auto"/>
        <w:jc w:val="both"/>
        <w:rPr>
          <w:rFonts w:eastAsia="Calibri"/>
          <w:sz w:val="28"/>
          <w:szCs w:val="28"/>
          <w:lang w:val="en-ZA"/>
        </w:rPr>
      </w:pPr>
      <w:r w:rsidRPr="00FA4570">
        <w:rPr>
          <w:rFonts w:eastAsia="Calibri"/>
          <w:sz w:val="28"/>
          <w:szCs w:val="28"/>
          <w:lang w:val="en-ZA"/>
        </w:rPr>
        <w:t>[</w:t>
      </w:r>
      <w:r w:rsidR="00F34CCC" w:rsidRPr="00FA4570">
        <w:rPr>
          <w:rFonts w:eastAsia="Calibri"/>
          <w:sz w:val="28"/>
          <w:szCs w:val="28"/>
          <w:lang w:val="en-ZA"/>
        </w:rPr>
        <w:t>8</w:t>
      </w:r>
      <w:r w:rsidR="009A247A" w:rsidRPr="00FA4570">
        <w:rPr>
          <w:rFonts w:eastAsia="Calibri"/>
          <w:sz w:val="28"/>
          <w:szCs w:val="28"/>
          <w:lang w:val="en-ZA"/>
        </w:rPr>
        <w:t>]</w:t>
      </w:r>
      <w:r w:rsidR="009A247A" w:rsidRPr="00FA4570">
        <w:rPr>
          <w:rFonts w:eastAsia="Calibri"/>
          <w:sz w:val="28"/>
          <w:szCs w:val="28"/>
          <w:lang w:val="en-ZA"/>
        </w:rPr>
        <w:tab/>
      </w:r>
      <w:r w:rsidR="00F34CCC" w:rsidRPr="00FA4570">
        <w:rPr>
          <w:rFonts w:eastAsia="Calibri"/>
          <w:sz w:val="28"/>
          <w:szCs w:val="28"/>
          <w:lang w:val="en-ZA"/>
        </w:rPr>
        <w:t>I</w:t>
      </w:r>
      <w:r w:rsidR="001369F2" w:rsidRPr="00FA4570">
        <w:rPr>
          <w:rFonts w:eastAsia="Calibri"/>
          <w:sz w:val="28"/>
          <w:szCs w:val="28"/>
          <w:lang w:val="en-ZA"/>
        </w:rPr>
        <w:t>n</w:t>
      </w:r>
      <w:r w:rsidR="009A247A" w:rsidRPr="00FA4570">
        <w:rPr>
          <w:rFonts w:eastAsia="Calibri"/>
          <w:sz w:val="28"/>
          <w:szCs w:val="28"/>
          <w:lang w:val="en-ZA"/>
        </w:rPr>
        <w:t xml:space="preserve"> </w:t>
      </w:r>
      <w:r w:rsidR="009A247A" w:rsidRPr="00FA4570">
        <w:rPr>
          <w:rFonts w:eastAsia="Calibri"/>
          <w:i/>
          <w:sz w:val="28"/>
          <w:szCs w:val="28"/>
          <w:lang w:val="en-ZA"/>
        </w:rPr>
        <w:t>S v Gayiya</w:t>
      </w:r>
      <w:r w:rsidR="009A247A" w:rsidRPr="00FA4570">
        <w:rPr>
          <w:rStyle w:val="FootnoteReference"/>
          <w:rFonts w:eastAsia="Calibri"/>
          <w:i/>
          <w:sz w:val="28"/>
          <w:szCs w:val="28"/>
          <w:lang w:val="en-ZA"/>
        </w:rPr>
        <w:footnoteReference w:id="2"/>
      </w:r>
      <w:r w:rsidR="00C704C5" w:rsidRPr="00FA4570">
        <w:rPr>
          <w:rFonts w:eastAsia="Calibri"/>
          <w:sz w:val="28"/>
          <w:szCs w:val="28"/>
          <w:lang w:val="en-ZA"/>
        </w:rPr>
        <w:t xml:space="preserve"> </w:t>
      </w:r>
      <w:r w:rsidR="004B2905" w:rsidRPr="00FA4570">
        <w:rPr>
          <w:rFonts w:eastAsia="Calibri"/>
          <w:sz w:val="28"/>
          <w:szCs w:val="28"/>
          <w:lang w:val="en-ZA"/>
        </w:rPr>
        <w:t>this Court held that s 93</w:t>
      </w:r>
      <w:r w:rsidR="004B2905" w:rsidRPr="00FA4570">
        <w:rPr>
          <w:rFonts w:eastAsia="Calibri"/>
          <w:i/>
          <w:sz w:val="28"/>
          <w:szCs w:val="28"/>
          <w:lang w:val="en-ZA"/>
        </w:rPr>
        <w:t>ter</w:t>
      </w:r>
      <w:r w:rsidR="004B2905" w:rsidRPr="00FA4570">
        <w:rPr>
          <w:rFonts w:eastAsia="Calibri"/>
          <w:sz w:val="28"/>
          <w:szCs w:val="28"/>
          <w:lang w:val="en-ZA"/>
        </w:rPr>
        <w:t xml:space="preserve">(1) </w:t>
      </w:r>
      <w:r w:rsidR="00873A6B" w:rsidRPr="00FA4570">
        <w:rPr>
          <w:rFonts w:eastAsia="Calibri"/>
          <w:sz w:val="28"/>
          <w:szCs w:val="28"/>
          <w:lang w:val="en-ZA"/>
        </w:rPr>
        <w:t>prescribes</w:t>
      </w:r>
      <w:r w:rsidR="004B2905" w:rsidRPr="00FA4570">
        <w:rPr>
          <w:rFonts w:eastAsia="Calibri"/>
          <w:sz w:val="28"/>
          <w:szCs w:val="28"/>
          <w:lang w:val="en-ZA"/>
        </w:rPr>
        <w:t xml:space="preserve"> the proper constitution of the court before which </w:t>
      </w:r>
      <w:r w:rsidR="001369F2" w:rsidRPr="00FA4570">
        <w:rPr>
          <w:rFonts w:eastAsia="Calibri"/>
          <w:sz w:val="28"/>
          <w:szCs w:val="28"/>
          <w:lang w:val="en-ZA"/>
        </w:rPr>
        <w:t>an</w:t>
      </w:r>
      <w:r w:rsidR="004B2905" w:rsidRPr="00FA4570">
        <w:rPr>
          <w:rFonts w:eastAsia="Calibri"/>
          <w:sz w:val="28"/>
          <w:szCs w:val="28"/>
          <w:lang w:val="en-ZA"/>
        </w:rPr>
        <w:t xml:space="preserve"> accused stands trial.</w:t>
      </w:r>
      <w:r w:rsidR="004B2905" w:rsidRPr="00FA4570">
        <w:rPr>
          <w:rStyle w:val="FootnoteReference"/>
          <w:rFonts w:eastAsia="Calibri"/>
          <w:sz w:val="28"/>
          <w:szCs w:val="28"/>
          <w:lang w:val="en-ZA"/>
        </w:rPr>
        <w:footnoteReference w:id="3"/>
      </w:r>
      <w:r w:rsidR="0076488A" w:rsidRPr="00FA4570">
        <w:rPr>
          <w:rFonts w:eastAsia="Calibri"/>
          <w:sz w:val="28"/>
          <w:szCs w:val="28"/>
          <w:lang w:val="en-ZA"/>
        </w:rPr>
        <w:t xml:space="preserve"> </w:t>
      </w:r>
      <w:r w:rsidR="001369F2" w:rsidRPr="00FA4570">
        <w:rPr>
          <w:rFonts w:eastAsia="Calibri"/>
          <w:sz w:val="28"/>
          <w:szCs w:val="28"/>
          <w:lang w:val="en-ZA"/>
        </w:rPr>
        <w:t>It was held that i</w:t>
      </w:r>
      <w:r w:rsidR="0076488A" w:rsidRPr="00FA4570">
        <w:rPr>
          <w:rFonts w:eastAsia="Calibri"/>
          <w:sz w:val="28"/>
          <w:szCs w:val="28"/>
          <w:lang w:val="en-ZA"/>
        </w:rPr>
        <w:t xml:space="preserve">n the event that the court is not </w:t>
      </w:r>
      <w:r w:rsidR="00152C7E" w:rsidRPr="00FA4570">
        <w:rPr>
          <w:rFonts w:eastAsia="Calibri"/>
          <w:sz w:val="28"/>
          <w:szCs w:val="28"/>
          <w:lang w:val="en-ZA"/>
        </w:rPr>
        <w:t>properly</w:t>
      </w:r>
      <w:r w:rsidR="0076488A" w:rsidRPr="00FA4570">
        <w:rPr>
          <w:rFonts w:eastAsia="Calibri"/>
          <w:sz w:val="28"/>
          <w:szCs w:val="28"/>
          <w:lang w:val="en-ZA"/>
        </w:rPr>
        <w:t xml:space="preserve"> constituted</w:t>
      </w:r>
      <w:r w:rsidR="001369F2" w:rsidRPr="00FA4570">
        <w:rPr>
          <w:rFonts w:eastAsia="Calibri"/>
          <w:sz w:val="28"/>
          <w:szCs w:val="28"/>
          <w:lang w:val="en-ZA"/>
        </w:rPr>
        <w:t>,</w:t>
      </w:r>
      <w:r w:rsidR="0076488A" w:rsidRPr="00FA4570">
        <w:rPr>
          <w:rFonts w:eastAsia="Calibri"/>
          <w:sz w:val="28"/>
          <w:szCs w:val="28"/>
          <w:lang w:val="en-ZA"/>
        </w:rPr>
        <w:t xml:space="preserve"> the proceedings are </w:t>
      </w:r>
      <w:r w:rsidR="006A4F33" w:rsidRPr="00FA4570">
        <w:rPr>
          <w:rFonts w:eastAsia="Calibri"/>
          <w:sz w:val="28"/>
          <w:szCs w:val="28"/>
          <w:lang w:val="en-ZA"/>
        </w:rPr>
        <w:t>a nullity.</w:t>
      </w:r>
    </w:p>
    <w:p w14:paraId="0A56A733" w14:textId="77777777" w:rsidR="004B2905" w:rsidRPr="00FA4570" w:rsidRDefault="004B2905" w:rsidP="000C1370">
      <w:pPr>
        <w:spacing w:line="360" w:lineRule="auto"/>
        <w:jc w:val="both"/>
        <w:rPr>
          <w:rFonts w:eastAsia="Calibri"/>
          <w:lang w:val="en-ZA"/>
        </w:rPr>
      </w:pPr>
    </w:p>
    <w:p w14:paraId="39590195" w14:textId="431057A2" w:rsidR="004B2905" w:rsidRPr="00FA4570" w:rsidRDefault="004A7FB1" w:rsidP="000C1370">
      <w:pPr>
        <w:spacing w:line="360" w:lineRule="auto"/>
        <w:jc w:val="both"/>
        <w:rPr>
          <w:rFonts w:eastAsia="Calibri"/>
          <w:sz w:val="28"/>
          <w:szCs w:val="28"/>
          <w:lang w:val="en-ZA"/>
        </w:rPr>
      </w:pPr>
      <w:r w:rsidRPr="00FA4570">
        <w:rPr>
          <w:rFonts w:eastAsia="Calibri"/>
          <w:sz w:val="28"/>
          <w:szCs w:val="28"/>
          <w:lang w:val="en-ZA"/>
        </w:rPr>
        <w:t>[</w:t>
      </w:r>
      <w:r w:rsidR="00F34CCC" w:rsidRPr="00FA4570">
        <w:rPr>
          <w:rFonts w:eastAsia="Calibri"/>
          <w:sz w:val="28"/>
          <w:szCs w:val="28"/>
          <w:lang w:val="en-ZA"/>
        </w:rPr>
        <w:t>9</w:t>
      </w:r>
      <w:r w:rsidR="004B2905" w:rsidRPr="00FA4570">
        <w:rPr>
          <w:rFonts w:eastAsia="Calibri"/>
          <w:sz w:val="28"/>
          <w:szCs w:val="28"/>
          <w:lang w:val="en-ZA"/>
        </w:rPr>
        <w:t>]</w:t>
      </w:r>
      <w:r w:rsidR="004B2905" w:rsidRPr="00FA4570">
        <w:rPr>
          <w:rFonts w:eastAsia="Calibri"/>
          <w:sz w:val="28"/>
          <w:szCs w:val="28"/>
          <w:lang w:val="en-ZA"/>
        </w:rPr>
        <w:tab/>
        <w:t>In relation to the effect of the se</w:t>
      </w:r>
      <w:r w:rsidR="00DC6695" w:rsidRPr="00FA4570">
        <w:rPr>
          <w:rFonts w:eastAsia="Calibri"/>
          <w:sz w:val="28"/>
          <w:szCs w:val="28"/>
          <w:lang w:val="en-ZA"/>
        </w:rPr>
        <w:t>ction</w:t>
      </w:r>
      <w:r w:rsidR="00E31363" w:rsidRPr="00FA4570">
        <w:rPr>
          <w:rFonts w:eastAsia="Calibri"/>
          <w:sz w:val="28"/>
          <w:szCs w:val="28"/>
          <w:lang w:val="en-ZA"/>
        </w:rPr>
        <w:t>, this C</w:t>
      </w:r>
      <w:r w:rsidR="00DC6695" w:rsidRPr="00FA4570">
        <w:rPr>
          <w:rFonts w:eastAsia="Calibri"/>
          <w:sz w:val="28"/>
          <w:szCs w:val="28"/>
          <w:lang w:val="en-ZA"/>
        </w:rPr>
        <w:t>ourt held:</w:t>
      </w:r>
    </w:p>
    <w:p w14:paraId="3CD4691D" w14:textId="230D9EDF" w:rsidR="00163044" w:rsidRPr="00FA4570" w:rsidRDefault="00DC6695" w:rsidP="00A56E69">
      <w:pPr>
        <w:spacing w:line="360" w:lineRule="auto"/>
        <w:jc w:val="both"/>
        <w:rPr>
          <w:rFonts w:eastAsia="Calibri"/>
          <w:lang w:val="en-ZA"/>
        </w:rPr>
      </w:pPr>
      <w:r w:rsidRPr="00FA4570">
        <w:rPr>
          <w:rFonts w:eastAsia="Calibri"/>
          <w:lang w:val="en-ZA"/>
        </w:rPr>
        <w:t xml:space="preserve">‘The section is </w:t>
      </w:r>
      <w:r w:rsidR="00163044" w:rsidRPr="00FA4570">
        <w:rPr>
          <w:rFonts w:eastAsia="Calibri"/>
          <w:lang w:val="en-ZA"/>
        </w:rPr>
        <w:t>peremptory. It ordains that the judicial officer presi</w:t>
      </w:r>
      <w:r w:rsidR="006A4F33" w:rsidRPr="00FA4570">
        <w:rPr>
          <w:rFonts w:eastAsia="Calibri"/>
          <w:lang w:val="en-ZA"/>
        </w:rPr>
        <w:t>di</w:t>
      </w:r>
      <w:r w:rsidR="00163044" w:rsidRPr="00FA4570">
        <w:rPr>
          <w:rFonts w:eastAsia="Calibri"/>
          <w:lang w:val="en-ZA"/>
        </w:rPr>
        <w:t xml:space="preserve">ng in a regional court before which an accused is charged with murder (as in this case) </w:t>
      </w:r>
      <w:r w:rsidR="00163044" w:rsidRPr="00FA4570">
        <w:rPr>
          <w:rFonts w:eastAsia="Calibri"/>
          <w:i/>
          <w:lang w:val="en-ZA"/>
        </w:rPr>
        <w:t>shall</w:t>
      </w:r>
      <w:r w:rsidR="00163044" w:rsidRPr="00FA4570">
        <w:rPr>
          <w:rFonts w:eastAsia="Calibri"/>
          <w:lang w:val="en-ZA"/>
        </w:rPr>
        <w:t xml:space="preserve"> be assisted by two </w:t>
      </w:r>
      <w:r w:rsidR="00163044" w:rsidRPr="00FA4570">
        <w:rPr>
          <w:rFonts w:eastAsia="Calibri"/>
          <w:lang w:val="en-ZA"/>
        </w:rPr>
        <w:lastRenderedPageBreak/>
        <w:t xml:space="preserve">assessors at the </w:t>
      </w:r>
      <w:r w:rsidR="00152C7E" w:rsidRPr="00FA4570">
        <w:rPr>
          <w:rFonts w:eastAsia="Calibri"/>
          <w:lang w:val="en-ZA"/>
        </w:rPr>
        <w:t>trial unless</w:t>
      </w:r>
      <w:r w:rsidR="00163044" w:rsidRPr="00FA4570">
        <w:rPr>
          <w:rFonts w:eastAsia="Calibri"/>
          <w:lang w:val="en-ZA"/>
        </w:rPr>
        <w:t xml:space="preserve"> the accused requests that the trial proceed without assessors. It is only where the accused makes such a request that the judicial officer becomes clothed with a discretion either to summon one or two assessors to assist him or to sit without an assessor. The starting </w:t>
      </w:r>
      <w:r w:rsidR="00152C7E" w:rsidRPr="00FA4570">
        <w:rPr>
          <w:rFonts w:eastAsia="Calibri"/>
          <w:lang w:val="en-ZA"/>
        </w:rPr>
        <w:t>point,</w:t>
      </w:r>
      <w:r w:rsidR="00163044" w:rsidRPr="00FA4570">
        <w:rPr>
          <w:rFonts w:eastAsia="Calibri"/>
          <w:lang w:val="en-ZA"/>
        </w:rPr>
        <w:t xml:space="preserve"> therefore, is for the regional magistrate to inform the accused, before the commencement of the trial, that it is a requirement of the law that he or she must be assisted by two assessors, unless he (the accused) requests that the trial proceed without assessors.’</w:t>
      </w:r>
    </w:p>
    <w:p w14:paraId="6A946E1D" w14:textId="77777777" w:rsidR="00163044" w:rsidRPr="00FA4570" w:rsidRDefault="00163044" w:rsidP="000C1370">
      <w:pPr>
        <w:spacing w:line="360" w:lineRule="auto"/>
        <w:jc w:val="both"/>
        <w:rPr>
          <w:rFonts w:eastAsia="Calibri"/>
          <w:sz w:val="22"/>
          <w:szCs w:val="22"/>
          <w:lang w:val="en-ZA"/>
        </w:rPr>
      </w:pPr>
    </w:p>
    <w:p w14:paraId="5DE36513" w14:textId="70329209" w:rsidR="00DC6695" w:rsidRPr="00FA4570" w:rsidRDefault="004A7FB1" w:rsidP="000C1370">
      <w:pPr>
        <w:spacing w:line="360" w:lineRule="auto"/>
        <w:jc w:val="both"/>
        <w:rPr>
          <w:rFonts w:eastAsia="Calibri"/>
          <w:sz w:val="28"/>
          <w:szCs w:val="28"/>
          <w:lang w:val="en-ZA"/>
        </w:rPr>
      </w:pPr>
      <w:r w:rsidRPr="00FA4570">
        <w:rPr>
          <w:rFonts w:eastAsia="Calibri"/>
          <w:sz w:val="28"/>
          <w:szCs w:val="28"/>
          <w:lang w:val="en-ZA"/>
        </w:rPr>
        <w:t>[1</w:t>
      </w:r>
      <w:r w:rsidR="00F34CCC" w:rsidRPr="00FA4570">
        <w:rPr>
          <w:rFonts w:eastAsia="Calibri"/>
          <w:sz w:val="28"/>
          <w:szCs w:val="28"/>
          <w:lang w:val="en-ZA"/>
        </w:rPr>
        <w:t>0</w:t>
      </w:r>
      <w:r w:rsidR="00163044" w:rsidRPr="00FA4570">
        <w:rPr>
          <w:rFonts w:eastAsia="Calibri"/>
          <w:sz w:val="28"/>
          <w:szCs w:val="28"/>
          <w:lang w:val="en-ZA"/>
        </w:rPr>
        <w:t>]</w:t>
      </w:r>
      <w:r w:rsidR="00163044" w:rsidRPr="00FA4570">
        <w:rPr>
          <w:rFonts w:eastAsia="Calibri"/>
          <w:sz w:val="28"/>
          <w:szCs w:val="28"/>
          <w:lang w:val="en-ZA"/>
        </w:rPr>
        <w:tab/>
      </w:r>
      <w:r w:rsidR="006A4F33" w:rsidRPr="00FA4570">
        <w:rPr>
          <w:rFonts w:eastAsia="Calibri"/>
          <w:sz w:val="28"/>
          <w:szCs w:val="28"/>
          <w:lang w:val="en-ZA"/>
        </w:rPr>
        <w:t>T</w:t>
      </w:r>
      <w:r w:rsidR="00163044" w:rsidRPr="00FA4570">
        <w:rPr>
          <w:rFonts w:eastAsia="Calibri"/>
          <w:sz w:val="28"/>
          <w:szCs w:val="28"/>
          <w:lang w:val="en-ZA"/>
        </w:rPr>
        <w:t xml:space="preserve">he passage is clear and unequivocal. </w:t>
      </w:r>
      <w:r w:rsidR="006A30A7" w:rsidRPr="00FA4570">
        <w:rPr>
          <w:rFonts w:eastAsia="Calibri"/>
          <w:sz w:val="28"/>
          <w:szCs w:val="28"/>
          <w:lang w:val="en-ZA"/>
        </w:rPr>
        <w:t xml:space="preserve">This statement of law </w:t>
      </w:r>
      <w:r w:rsidR="00163044" w:rsidRPr="00FA4570">
        <w:rPr>
          <w:rFonts w:eastAsia="Calibri"/>
          <w:sz w:val="28"/>
          <w:szCs w:val="28"/>
          <w:lang w:val="en-ZA"/>
        </w:rPr>
        <w:t xml:space="preserve">has been reiterated by this Court in </w:t>
      </w:r>
      <w:r w:rsidR="00163044" w:rsidRPr="00FA4570">
        <w:rPr>
          <w:rFonts w:eastAsia="Calibri"/>
          <w:i/>
          <w:sz w:val="28"/>
          <w:szCs w:val="28"/>
          <w:lang w:val="en-ZA"/>
        </w:rPr>
        <w:t>Shange v S</w:t>
      </w:r>
      <w:r w:rsidRPr="00FA4570">
        <w:rPr>
          <w:rFonts w:eastAsia="Calibri"/>
          <w:i/>
          <w:sz w:val="28"/>
          <w:szCs w:val="28"/>
          <w:lang w:val="en-ZA"/>
        </w:rPr>
        <w:t xml:space="preserve"> </w:t>
      </w:r>
      <w:r w:rsidR="00163044" w:rsidRPr="00FA4570">
        <w:rPr>
          <w:rStyle w:val="FootnoteReference"/>
          <w:rFonts w:eastAsia="Calibri"/>
          <w:sz w:val="28"/>
          <w:szCs w:val="28"/>
          <w:lang w:val="en-ZA"/>
        </w:rPr>
        <w:footnoteReference w:id="4"/>
      </w:r>
      <w:r w:rsidR="00163044" w:rsidRPr="00FA4570">
        <w:rPr>
          <w:rFonts w:eastAsia="Calibri"/>
          <w:sz w:val="28"/>
          <w:szCs w:val="28"/>
          <w:lang w:val="en-ZA"/>
        </w:rPr>
        <w:t xml:space="preserve"> and</w:t>
      </w:r>
      <w:r w:rsidR="006A4F33" w:rsidRPr="00FA4570">
        <w:rPr>
          <w:rFonts w:eastAsia="Calibri"/>
          <w:sz w:val="28"/>
          <w:szCs w:val="28"/>
          <w:lang w:val="en-ZA"/>
        </w:rPr>
        <w:t xml:space="preserve"> in </w:t>
      </w:r>
      <w:r w:rsidR="0072442A" w:rsidRPr="00FA4570">
        <w:rPr>
          <w:rFonts w:eastAsia="Calibri"/>
          <w:i/>
          <w:sz w:val="28"/>
          <w:szCs w:val="28"/>
          <w:lang w:val="en-ZA"/>
        </w:rPr>
        <w:t xml:space="preserve">Mtambo v </w:t>
      </w:r>
      <w:r w:rsidR="006A4F33" w:rsidRPr="00FA4570">
        <w:rPr>
          <w:rFonts w:eastAsia="Calibri"/>
          <w:i/>
          <w:sz w:val="28"/>
          <w:szCs w:val="28"/>
          <w:lang w:val="en-ZA"/>
        </w:rPr>
        <w:t xml:space="preserve">The </w:t>
      </w:r>
      <w:r w:rsidR="00163044" w:rsidRPr="00FA4570">
        <w:rPr>
          <w:rFonts w:eastAsia="Calibri"/>
          <w:i/>
          <w:sz w:val="28"/>
          <w:szCs w:val="28"/>
          <w:lang w:val="en-ZA"/>
        </w:rPr>
        <w:t>State</w:t>
      </w:r>
      <w:r w:rsidR="00163044" w:rsidRPr="00FA4570">
        <w:rPr>
          <w:rFonts w:eastAsia="Calibri"/>
          <w:sz w:val="28"/>
          <w:szCs w:val="28"/>
          <w:lang w:val="en-ZA"/>
        </w:rPr>
        <w:t>.</w:t>
      </w:r>
      <w:r w:rsidR="00163044" w:rsidRPr="00FA4570">
        <w:rPr>
          <w:rStyle w:val="FootnoteReference"/>
          <w:rFonts w:eastAsia="Calibri"/>
          <w:sz w:val="28"/>
          <w:szCs w:val="28"/>
          <w:lang w:val="en-ZA"/>
        </w:rPr>
        <w:footnoteReference w:id="5"/>
      </w:r>
      <w:r w:rsidR="006A4F33" w:rsidRPr="00FA4570">
        <w:rPr>
          <w:rFonts w:eastAsia="Calibri"/>
          <w:sz w:val="28"/>
          <w:szCs w:val="28"/>
          <w:lang w:val="en-ZA"/>
        </w:rPr>
        <w:t xml:space="preserve"> </w:t>
      </w:r>
      <w:r w:rsidR="008F3E13" w:rsidRPr="00FA4570">
        <w:rPr>
          <w:rFonts w:eastAsia="Calibri"/>
          <w:sz w:val="28"/>
          <w:szCs w:val="28"/>
          <w:lang w:val="en-ZA"/>
        </w:rPr>
        <w:t xml:space="preserve">Since the </w:t>
      </w:r>
      <w:r w:rsidR="008F3E13" w:rsidRPr="00FA4570">
        <w:rPr>
          <w:rFonts w:eastAsia="Calibri"/>
          <w:i/>
          <w:sz w:val="28"/>
          <w:szCs w:val="28"/>
          <w:lang w:val="en-ZA"/>
        </w:rPr>
        <w:t>Gayiya</w:t>
      </w:r>
      <w:r w:rsidR="008F3E13" w:rsidRPr="00FA4570">
        <w:rPr>
          <w:rFonts w:eastAsia="Calibri"/>
          <w:sz w:val="28"/>
          <w:szCs w:val="28"/>
          <w:lang w:val="en-ZA"/>
        </w:rPr>
        <w:t xml:space="preserve"> </w:t>
      </w:r>
      <w:r w:rsidR="00053D6C" w:rsidRPr="00FA4570">
        <w:rPr>
          <w:rFonts w:eastAsia="Calibri"/>
          <w:sz w:val="28"/>
          <w:szCs w:val="28"/>
          <w:lang w:val="en-ZA"/>
        </w:rPr>
        <w:t xml:space="preserve">judgment in </w:t>
      </w:r>
      <w:r w:rsidR="008F3E13" w:rsidRPr="00FA4570">
        <w:rPr>
          <w:rFonts w:eastAsia="Calibri"/>
          <w:sz w:val="28"/>
          <w:szCs w:val="28"/>
          <w:lang w:val="en-ZA"/>
        </w:rPr>
        <w:t xml:space="preserve">numerous </w:t>
      </w:r>
      <w:r w:rsidR="006A4F33" w:rsidRPr="00FA4570">
        <w:rPr>
          <w:rFonts w:eastAsia="Calibri"/>
          <w:sz w:val="28"/>
          <w:szCs w:val="28"/>
          <w:lang w:val="en-ZA"/>
        </w:rPr>
        <w:t xml:space="preserve">high court </w:t>
      </w:r>
      <w:r w:rsidR="008F3E13" w:rsidRPr="00FA4570">
        <w:rPr>
          <w:rFonts w:eastAsia="Calibri"/>
          <w:sz w:val="28"/>
          <w:szCs w:val="28"/>
          <w:lang w:val="en-ZA"/>
        </w:rPr>
        <w:t>judgments have addressed s 93</w:t>
      </w:r>
      <w:r w:rsidR="00053D6C" w:rsidRPr="00FA4570">
        <w:rPr>
          <w:rFonts w:eastAsia="Calibri"/>
          <w:i/>
          <w:sz w:val="28"/>
          <w:szCs w:val="28"/>
          <w:lang w:val="en-ZA"/>
        </w:rPr>
        <w:t>ter</w:t>
      </w:r>
      <w:r w:rsidR="008F3E13" w:rsidRPr="00FA4570">
        <w:rPr>
          <w:rFonts w:eastAsia="Calibri"/>
          <w:sz w:val="28"/>
          <w:szCs w:val="28"/>
          <w:lang w:val="en-ZA"/>
        </w:rPr>
        <w:t xml:space="preserve">(1) of the </w:t>
      </w:r>
      <w:r w:rsidR="006A4F33" w:rsidRPr="00FA4570">
        <w:rPr>
          <w:rFonts w:eastAsia="Calibri"/>
          <w:sz w:val="28"/>
          <w:szCs w:val="28"/>
          <w:lang w:val="en-ZA"/>
        </w:rPr>
        <w:t>MC</w:t>
      </w:r>
      <w:r w:rsidR="00E31363" w:rsidRPr="00FA4570">
        <w:rPr>
          <w:rFonts w:eastAsia="Calibri"/>
          <w:sz w:val="28"/>
          <w:szCs w:val="28"/>
          <w:lang w:val="en-ZA"/>
        </w:rPr>
        <w:t>A</w:t>
      </w:r>
      <w:r w:rsidR="008F3E13" w:rsidRPr="00FA4570">
        <w:rPr>
          <w:rFonts w:eastAsia="Calibri"/>
          <w:sz w:val="28"/>
          <w:szCs w:val="28"/>
          <w:lang w:val="en-ZA"/>
        </w:rPr>
        <w:t xml:space="preserve"> and sought to apply </w:t>
      </w:r>
      <w:r w:rsidR="008F3E13" w:rsidRPr="00FA4570">
        <w:rPr>
          <w:rFonts w:eastAsia="Calibri"/>
          <w:i/>
          <w:sz w:val="28"/>
          <w:szCs w:val="28"/>
          <w:lang w:val="en-ZA"/>
        </w:rPr>
        <w:t>Gayiya</w:t>
      </w:r>
      <w:r w:rsidR="008F3E13" w:rsidRPr="00FA4570">
        <w:rPr>
          <w:rFonts w:eastAsia="Calibri"/>
          <w:sz w:val="28"/>
          <w:szCs w:val="28"/>
          <w:lang w:val="en-ZA"/>
        </w:rPr>
        <w:t xml:space="preserve">. </w:t>
      </w:r>
      <w:r w:rsidR="006B6DBF" w:rsidRPr="00FA4570">
        <w:rPr>
          <w:rFonts w:eastAsia="Calibri"/>
          <w:sz w:val="28"/>
          <w:szCs w:val="28"/>
          <w:lang w:val="en-ZA"/>
        </w:rPr>
        <w:t>S</w:t>
      </w:r>
      <w:r w:rsidR="008F3E13" w:rsidRPr="00FA4570">
        <w:rPr>
          <w:rFonts w:eastAsia="Calibri"/>
          <w:sz w:val="28"/>
          <w:szCs w:val="28"/>
          <w:lang w:val="en-ZA"/>
        </w:rPr>
        <w:t xml:space="preserve">ome conflict in the interpretation </w:t>
      </w:r>
      <w:r w:rsidR="006A4F33" w:rsidRPr="00FA4570">
        <w:rPr>
          <w:rFonts w:eastAsia="Calibri"/>
          <w:sz w:val="28"/>
          <w:szCs w:val="28"/>
          <w:lang w:val="en-ZA"/>
        </w:rPr>
        <w:t>and</w:t>
      </w:r>
      <w:r w:rsidR="008F3E13" w:rsidRPr="00FA4570">
        <w:rPr>
          <w:rFonts w:eastAsia="Calibri"/>
          <w:sz w:val="28"/>
          <w:szCs w:val="28"/>
          <w:lang w:val="en-ZA"/>
        </w:rPr>
        <w:t xml:space="preserve"> application of </w:t>
      </w:r>
      <w:r w:rsidR="008F3E13" w:rsidRPr="00FA4570">
        <w:rPr>
          <w:rFonts w:eastAsia="Calibri"/>
          <w:i/>
          <w:sz w:val="28"/>
          <w:szCs w:val="28"/>
          <w:lang w:val="en-ZA"/>
        </w:rPr>
        <w:t>Gayiya</w:t>
      </w:r>
      <w:r w:rsidR="008F3E13" w:rsidRPr="00FA4570">
        <w:rPr>
          <w:rFonts w:eastAsia="Calibri"/>
          <w:sz w:val="28"/>
          <w:szCs w:val="28"/>
          <w:lang w:val="en-ZA"/>
        </w:rPr>
        <w:t xml:space="preserve"> has emerged.</w:t>
      </w:r>
      <w:r w:rsidRPr="00FA4570">
        <w:rPr>
          <w:rFonts w:eastAsia="Calibri"/>
          <w:sz w:val="28"/>
          <w:szCs w:val="28"/>
          <w:lang w:val="en-ZA"/>
        </w:rPr>
        <w:t xml:space="preserve"> In the light of this, it is necessary to resolve the conflict.</w:t>
      </w:r>
    </w:p>
    <w:p w14:paraId="48E21892" w14:textId="77777777" w:rsidR="008F3E13" w:rsidRPr="00FA4570" w:rsidRDefault="008F3E13" w:rsidP="000C1370">
      <w:pPr>
        <w:spacing w:line="360" w:lineRule="auto"/>
        <w:jc w:val="both"/>
        <w:rPr>
          <w:rFonts w:eastAsia="Calibri"/>
          <w:sz w:val="28"/>
          <w:szCs w:val="28"/>
          <w:lang w:val="en-ZA"/>
        </w:rPr>
      </w:pPr>
    </w:p>
    <w:p w14:paraId="24D568B1" w14:textId="07A84A5B" w:rsidR="008F3E13" w:rsidRPr="00FA4570" w:rsidRDefault="008F3E13" w:rsidP="000C1370">
      <w:pPr>
        <w:spacing w:line="360" w:lineRule="auto"/>
        <w:jc w:val="both"/>
        <w:rPr>
          <w:rFonts w:eastAsia="Calibri"/>
          <w:sz w:val="28"/>
          <w:szCs w:val="28"/>
          <w:lang w:val="en-ZA"/>
        </w:rPr>
      </w:pPr>
      <w:r w:rsidRPr="00FA4570">
        <w:rPr>
          <w:rFonts w:eastAsia="Calibri"/>
          <w:sz w:val="28"/>
          <w:szCs w:val="28"/>
          <w:lang w:val="en-ZA"/>
        </w:rPr>
        <w:t>[1</w:t>
      </w:r>
      <w:r w:rsidR="00F34CCC" w:rsidRPr="00FA4570">
        <w:rPr>
          <w:rFonts w:eastAsia="Calibri"/>
          <w:sz w:val="28"/>
          <w:szCs w:val="28"/>
          <w:lang w:val="en-ZA"/>
        </w:rPr>
        <w:t>1</w:t>
      </w:r>
      <w:r w:rsidRPr="00FA4570">
        <w:rPr>
          <w:rFonts w:eastAsia="Calibri"/>
          <w:sz w:val="28"/>
          <w:szCs w:val="28"/>
          <w:lang w:val="en-ZA"/>
        </w:rPr>
        <w:t>]</w:t>
      </w:r>
      <w:r w:rsidRPr="00FA4570">
        <w:rPr>
          <w:rFonts w:eastAsia="Calibri"/>
          <w:sz w:val="28"/>
          <w:szCs w:val="28"/>
          <w:lang w:val="en-ZA"/>
        </w:rPr>
        <w:tab/>
        <w:t xml:space="preserve">In </w:t>
      </w:r>
      <w:r w:rsidRPr="00FA4570">
        <w:rPr>
          <w:rFonts w:eastAsia="Calibri"/>
          <w:i/>
          <w:sz w:val="28"/>
          <w:szCs w:val="28"/>
          <w:lang w:val="en-ZA"/>
        </w:rPr>
        <w:t>S v Langalitshoni</w:t>
      </w:r>
      <w:r w:rsidR="00053D6C" w:rsidRPr="00FA4570">
        <w:rPr>
          <w:rFonts w:eastAsia="Calibri"/>
          <w:sz w:val="28"/>
          <w:szCs w:val="28"/>
          <w:lang w:val="en-ZA"/>
        </w:rPr>
        <w:t>,</w:t>
      </w:r>
      <w:r w:rsidRPr="00FA4570">
        <w:rPr>
          <w:rStyle w:val="FootnoteReference"/>
          <w:rFonts w:eastAsia="Calibri"/>
          <w:sz w:val="28"/>
          <w:szCs w:val="28"/>
          <w:lang w:val="en-ZA"/>
        </w:rPr>
        <w:footnoteReference w:id="6"/>
      </w:r>
      <w:r w:rsidRPr="00FA4570">
        <w:rPr>
          <w:rFonts w:eastAsia="Calibri"/>
          <w:i/>
          <w:sz w:val="28"/>
          <w:szCs w:val="28"/>
          <w:lang w:val="en-ZA"/>
        </w:rPr>
        <w:t xml:space="preserve"> </w:t>
      </w:r>
      <w:r w:rsidRPr="00FA4570">
        <w:rPr>
          <w:rFonts w:eastAsia="Calibri"/>
          <w:sz w:val="28"/>
          <w:szCs w:val="28"/>
          <w:lang w:val="en-ZA"/>
        </w:rPr>
        <w:t xml:space="preserve">a full </w:t>
      </w:r>
      <w:r w:rsidR="00E31363" w:rsidRPr="00FA4570">
        <w:rPr>
          <w:rFonts w:eastAsia="Calibri"/>
          <w:sz w:val="28"/>
          <w:szCs w:val="28"/>
          <w:lang w:val="en-ZA"/>
        </w:rPr>
        <w:t>bench</w:t>
      </w:r>
      <w:r w:rsidRPr="00FA4570">
        <w:rPr>
          <w:rFonts w:eastAsia="Calibri"/>
          <w:sz w:val="28"/>
          <w:szCs w:val="28"/>
          <w:lang w:val="en-ZA"/>
        </w:rPr>
        <w:t xml:space="preserve"> of the E</w:t>
      </w:r>
      <w:r w:rsidR="004A7FB1" w:rsidRPr="00FA4570">
        <w:rPr>
          <w:rFonts w:eastAsia="Calibri"/>
          <w:sz w:val="28"/>
          <w:szCs w:val="28"/>
          <w:lang w:val="en-ZA"/>
        </w:rPr>
        <w:t>astern Cape Division</w:t>
      </w:r>
      <w:r w:rsidRPr="00FA4570">
        <w:rPr>
          <w:rFonts w:eastAsia="Calibri"/>
          <w:sz w:val="28"/>
          <w:szCs w:val="28"/>
          <w:lang w:val="en-ZA"/>
        </w:rPr>
        <w:t xml:space="preserve"> set aside the </w:t>
      </w:r>
      <w:r w:rsidR="006B6DBF" w:rsidRPr="00FA4570">
        <w:rPr>
          <w:rFonts w:eastAsia="Calibri"/>
          <w:sz w:val="28"/>
          <w:szCs w:val="28"/>
          <w:lang w:val="en-ZA"/>
        </w:rPr>
        <w:t>conviction</w:t>
      </w:r>
      <w:r w:rsidRPr="00FA4570">
        <w:rPr>
          <w:rFonts w:eastAsia="Calibri"/>
          <w:sz w:val="28"/>
          <w:szCs w:val="28"/>
          <w:lang w:val="en-ZA"/>
        </w:rPr>
        <w:t xml:space="preserve"> of the accused by a regional court on the basis that s 93</w:t>
      </w:r>
      <w:r w:rsidRPr="00FA4570">
        <w:rPr>
          <w:rFonts w:eastAsia="Calibri"/>
          <w:i/>
          <w:sz w:val="28"/>
          <w:szCs w:val="28"/>
          <w:lang w:val="en-ZA"/>
        </w:rPr>
        <w:t>ter</w:t>
      </w:r>
      <w:r w:rsidRPr="00FA4570">
        <w:rPr>
          <w:rFonts w:eastAsia="Calibri"/>
          <w:sz w:val="28"/>
          <w:szCs w:val="28"/>
          <w:lang w:val="en-ZA"/>
        </w:rPr>
        <w:t xml:space="preserve">(1) was not complied with. In that matter, the accused was legally represented. After </w:t>
      </w:r>
      <w:r w:rsidR="006B6DBF" w:rsidRPr="00FA4570">
        <w:rPr>
          <w:rFonts w:eastAsia="Calibri"/>
          <w:sz w:val="28"/>
          <w:szCs w:val="28"/>
          <w:lang w:val="en-ZA"/>
        </w:rPr>
        <w:t xml:space="preserve">referring to </w:t>
      </w:r>
      <w:r w:rsidR="004A7FB1" w:rsidRPr="00FA4570">
        <w:rPr>
          <w:rFonts w:eastAsia="Calibri"/>
          <w:sz w:val="28"/>
          <w:szCs w:val="28"/>
          <w:lang w:val="en-ZA"/>
        </w:rPr>
        <w:t xml:space="preserve">the </w:t>
      </w:r>
      <w:r w:rsidR="00350D99" w:rsidRPr="00FA4570">
        <w:rPr>
          <w:rFonts w:eastAsia="Calibri"/>
          <w:sz w:val="28"/>
          <w:szCs w:val="28"/>
          <w:lang w:val="en-ZA"/>
        </w:rPr>
        <w:t xml:space="preserve">quoted passage from </w:t>
      </w:r>
      <w:r w:rsidR="006B6DBF" w:rsidRPr="00FA4570">
        <w:rPr>
          <w:rFonts w:eastAsia="Calibri"/>
          <w:i/>
          <w:iCs/>
          <w:sz w:val="28"/>
          <w:szCs w:val="28"/>
          <w:lang w:val="en-ZA"/>
        </w:rPr>
        <w:t>Gayiya</w:t>
      </w:r>
      <w:r w:rsidR="006B6DBF" w:rsidRPr="00FA4570">
        <w:rPr>
          <w:rFonts w:eastAsia="Calibri"/>
          <w:sz w:val="28"/>
          <w:szCs w:val="28"/>
          <w:lang w:val="en-ZA"/>
        </w:rPr>
        <w:t xml:space="preserve">, </w:t>
      </w:r>
      <w:r w:rsidR="00350D99" w:rsidRPr="00FA4570">
        <w:rPr>
          <w:rFonts w:eastAsia="Calibri"/>
          <w:sz w:val="28"/>
          <w:szCs w:val="28"/>
          <w:lang w:val="en-ZA"/>
        </w:rPr>
        <w:t xml:space="preserve">the court </w:t>
      </w:r>
      <w:r w:rsidR="00C83D22" w:rsidRPr="00FA4570">
        <w:rPr>
          <w:rFonts w:eastAsia="Calibri"/>
          <w:sz w:val="28"/>
          <w:szCs w:val="28"/>
          <w:lang w:val="en-ZA"/>
        </w:rPr>
        <w:t>said</w:t>
      </w:r>
      <w:r w:rsidR="00350D99" w:rsidRPr="00FA4570">
        <w:rPr>
          <w:rFonts w:eastAsia="Calibri"/>
          <w:sz w:val="28"/>
          <w:szCs w:val="28"/>
          <w:lang w:val="en-ZA"/>
        </w:rPr>
        <w:t>:</w:t>
      </w:r>
    </w:p>
    <w:p w14:paraId="28ABE83B" w14:textId="1CD6419D" w:rsidR="00350D99" w:rsidRPr="00FA4570" w:rsidRDefault="00350D99" w:rsidP="00A56E69">
      <w:pPr>
        <w:spacing w:line="360" w:lineRule="auto"/>
        <w:jc w:val="both"/>
        <w:rPr>
          <w:rFonts w:eastAsia="Calibri"/>
          <w:lang w:val="en-ZA"/>
        </w:rPr>
      </w:pPr>
      <w:r w:rsidRPr="00FA4570">
        <w:rPr>
          <w:rFonts w:eastAsia="Calibri"/>
          <w:lang w:val="en-ZA"/>
        </w:rPr>
        <w:t>‘The statement of the legal principle quoted in the preceding paragraph has the effect of creating an obligation on the part of a regional magistrate presiding over a trial involving a charge of murder. There are two essential elements to the obligation. The first is to inform the accused person before the commencement of the proceedings what the peremptory provisions of the law require to ensure the proper constitution of the regional court. The second is to inform the accused person that he or she may elect to proceed with the trial without assessors.</w:t>
      </w:r>
      <w:r w:rsidR="004864DD" w:rsidRPr="00FA4570">
        <w:rPr>
          <w:rFonts w:eastAsia="Calibri"/>
          <w:lang w:val="en-ZA"/>
        </w:rPr>
        <w:t>’</w:t>
      </w:r>
      <w:r w:rsidRPr="00FA4570">
        <w:rPr>
          <w:rStyle w:val="FootnoteReference"/>
          <w:rFonts w:eastAsia="Calibri"/>
          <w:lang w:val="en-ZA"/>
        </w:rPr>
        <w:footnoteReference w:id="7"/>
      </w:r>
    </w:p>
    <w:p w14:paraId="63CBE272" w14:textId="77777777" w:rsidR="00350D99" w:rsidRPr="00FA4570" w:rsidRDefault="00350D99" w:rsidP="000C1370">
      <w:pPr>
        <w:spacing w:line="360" w:lineRule="auto"/>
        <w:jc w:val="both"/>
        <w:rPr>
          <w:rFonts w:eastAsia="Calibri"/>
          <w:sz w:val="22"/>
          <w:szCs w:val="22"/>
          <w:lang w:val="en-ZA"/>
        </w:rPr>
      </w:pPr>
    </w:p>
    <w:p w14:paraId="68EBDCD4" w14:textId="2BA3F289" w:rsidR="00C83D22" w:rsidRPr="00FA4570" w:rsidRDefault="00350D99" w:rsidP="000C1370">
      <w:pPr>
        <w:spacing w:line="360" w:lineRule="auto"/>
        <w:jc w:val="both"/>
        <w:rPr>
          <w:rFonts w:eastAsia="Calibri"/>
          <w:sz w:val="28"/>
          <w:szCs w:val="28"/>
          <w:lang w:val="en-ZA"/>
        </w:rPr>
      </w:pPr>
      <w:r w:rsidRPr="00FA4570">
        <w:rPr>
          <w:rFonts w:eastAsia="Calibri"/>
          <w:sz w:val="28"/>
          <w:szCs w:val="28"/>
          <w:lang w:val="en-ZA"/>
        </w:rPr>
        <w:t>[1</w:t>
      </w:r>
      <w:r w:rsidR="00F34CCC" w:rsidRPr="00FA4570">
        <w:rPr>
          <w:rFonts w:eastAsia="Calibri"/>
          <w:sz w:val="28"/>
          <w:szCs w:val="28"/>
          <w:lang w:val="en-ZA"/>
        </w:rPr>
        <w:t>2</w:t>
      </w:r>
      <w:r w:rsidRPr="00FA4570">
        <w:rPr>
          <w:rFonts w:eastAsia="Calibri"/>
          <w:sz w:val="28"/>
          <w:szCs w:val="28"/>
          <w:lang w:val="en-ZA"/>
        </w:rPr>
        <w:t>]</w:t>
      </w:r>
      <w:r w:rsidRPr="00FA4570">
        <w:rPr>
          <w:rFonts w:eastAsia="Calibri"/>
          <w:sz w:val="28"/>
          <w:szCs w:val="28"/>
          <w:lang w:val="en-ZA"/>
        </w:rPr>
        <w:tab/>
        <w:t>The court then set out what</w:t>
      </w:r>
      <w:r w:rsidR="00F34CCC" w:rsidRPr="00FA4570">
        <w:rPr>
          <w:rFonts w:eastAsia="Calibri"/>
          <w:sz w:val="28"/>
          <w:szCs w:val="28"/>
          <w:lang w:val="en-ZA"/>
        </w:rPr>
        <w:t xml:space="preserve"> </w:t>
      </w:r>
      <w:r w:rsidR="00C83D22" w:rsidRPr="00FA4570">
        <w:rPr>
          <w:rFonts w:eastAsia="Calibri"/>
          <w:sz w:val="28"/>
          <w:szCs w:val="28"/>
          <w:lang w:val="en-ZA"/>
        </w:rPr>
        <w:t>a</w:t>
      </w:r>
      <w:r w:rsidR="006E45B8" w:rsidRPr="00FA4570">
        <w:rPr>
          <w:rFonts w:eastAsia="Calibri"/>
          <w:sz w:val="28"/>
          <w:szCs w:val="28"/>
          <w:lang w:val="en-ZA"/>
        </w:rPr>
        <w:t xml:space="preserve"> trial magistrate is required to do to discharge the obligation, both when the accused is unrepresented and represented. In relation to the latter scenario, the court </w:t>
      </w:r>
      <w:r w:rsidR="00E91B55" w:rsidRPr="00FA4570">
        <w:rPr>
          <w:rFonts w:eastAsia="Calibri"/>
          <w:sz w:val="28"/>
          <w:szCs w:val="28"/>
          <w:lang w:val="en-ZA"/>
        </w:rPr>
        <w:t>said</w:t>
      </w:r>
      <w:r w:rsidR="00C83D22" w:rsidRPr="00FA4570">
        <w:rPr>
          <w:rFonts w:eastAsia="Calibri"/>
          <w:sz w:val="28"/>
          <w:szCs w:val="28"/>
          <w:lang w:val="en-ZA"/>
        </w:rPr>
        <w:t>,</w:t>
      </w:r>
    </w:p>
    <w:p w14:paraId="7B5B41C8" w14:textId="4F1C4C62" w:rsidR="00C83D22" w:rsidRPr="00FA4570" w:rsidRDefault="00C83D22" w:rsidP="00A56E69">
      <w:pPr>
        <w:spacing w:line="360" w:lineRule="auto"/>
        <w:jc w:val="both"/>
        <w:rPr>
          <w:rFonts w:eastAsia="Calibri"/>
          <w:lang w:val="en-ZA"/>
        </w:rPr>
      </w:pPr>
      <w:r w:rsidRPr="00FA4570">
        <w:rPr>
          <w:rFonts w:eastAsia="Calibri"/>
          <w:lang w:val="en-ZA"/>
        </w:rPr>
        <w:lastRenderedPageBreak/>
        <w:t xml:space="preserve">‘What is required is a repetition of the legal principle quoted </w:t>
      </w:r>
      <w:r w:rsidR="00152C7E" w:rsidRPr="00FA4570">
        <w:rPr>
          <w:rFonts w:eastAsia="Calibri"/>
          <w:lang w:val="en-ZA"/>
        </w:rPr>
        <w:t>elsewhere</w:t>
      </w:r>
      <w:r w:rsidRPr="00FA4570">
        <w:rPr>
          <w:rFonts w:eastAsia="Calibri"/>
          <w:lang w:val="en-ZA"/>
        </w:rPr>
        <w:t xml:space="preserve"> in this </w:t>
      </w:r>
      <w:r w:rsidR="00152C7E" w:rsidRPr="00FA4570">
        <w:rPr>
          <w:rFonts w:eastAsia="Calibri"/>
          <w:lang w:val="en-ZA"/>
        </w:rPr>
        <w:t>judgment.</w:t>
      </w:r>
      <w:r w:rsidRPr="00FA4570">
        <w:rPr>
          <w:rFonts w:eastAsia="Calibri"/>
          <w:lang w:val="en-ZA"/>
        </w:rPr>
        <w:t xml:space="preserve"> Ideally, communication of the legal principle should be made in a direct manner by the magistrate addressing the accused person, </w:t>
      </w:r>
      <w:r w:rsidR="00152C7E" w:rsidRPr="00FA4570">
        <w:rPr>
          <w:rFonts w:eastAsia="Calibri"/>
          <w:lang w:val="en-ZA"/>
        </w:rPr>
        <w:t>who</w:t>
      </w:r>
      <w:r w:rsidRPr="00FA4570">
        <w:rPr>
          <w:rFonts w:eastAsia="Calibri"/>
          <w:lang w:val="en-ZA"/>
        </w:rPr>
        <w:t xml:space="preserve"> should be asked at that stage to indicate whether he or she has been made aware of the peremptory provisions. The l</w:t>
      </w:r>
      <w:r w:rsidR="00152C7E" w:rsidRPr="00FA4570">
        <w:rPr>
          <w:rFonts w:eastAsia="Calibri"/>
          <w:lang w:val="en-ZA"/>
        </w:rPr>
        <w:t>egal representative</w:t>
      </w:r>
      <w:r w:rsidRPr="00FA4570">
        <w:rPr>
          <w:rFonts w:eastAsia="Calibri"/>
          <w:lang w:val="en-ZA"/>
        </w:rPr>
        <w:t xml:space="preserve"> of the accused person may then be asked by the magistrate to confirm the correctness of the answer given by the accused person. It is then necessary for the magistrate to ask specifically whether the accused person wishes to permit the trial to proceed without assessors. At this point a magistrate would not be criticised for giving a brief outline of the role played by assessors in a criminal trial. The magistrate ought to be satisfied that the answer given by the accused person demonstrates an appreciation of the </w:t>
      </w:r>
      <w:r w:rsidR="00152C7E" w:rsidRPr="00FA4570">
        <w:rPr>
          <w:rFonts w:eastAsia="Calibri"/>
          <w:lang w:val="en-ZA"/>
        </w:rPr>
        <w:t>nature</w:t>
      </w:r>
      <w:r w:rsidRPr="00FA4570">
        <w:rPr>
          <w:rFonts w:eastAsia="Calibri"/>
          <w:lang w:val="en-ZA"/>
        </w:rPr>
        <w:t xml:space="preserve"> of the question and reflects a reliable response in the </w:t>
      </w:r>
      <w:r w:rsidR="00152C7E" w:rsidRPr="00FA4570">
        <w:rPr>
          <w:rFonts w:eastAsia="Calibri"/>
          <w:lang w:val="en-ZA"/>
        </w:rPr>
        <w:t>circumstances</w:t>
      </w:r>
      <w:r w:rsidRPr="00FA4570">
        <w:rPr>
          <w:rFonts w:eastAsia="Calibri"/>
          <w:lang w:val="en-ZA"/>
        </w:rPr>
        <w:t>. The accused person has the right to be tried in a fully constituted court. An election to proceed without assessors amounts to a waiver of such right. A waiver of a right cannot be achieved without knowledge thereof</w:t>
      </w:r>
      <w:r w:rsidR="005C4AC0" w:rsidRPr="00FA4570">
        <w:rPr>
          <w:rFonts w:eastAsia="Calibri"/>
          <w:lang w:val="en-ZA"/>
        </w:rPr>
        <w:t>. That this is so should be checked with the accused person and the legal representative.’</w:t>
      </w:r>
      <w:r w:rsidR="005C4AC0" w:rsidRPr="00FA4570">
        <w:rPr>
          <w:rStyle w:val="FootnoteReference"/>
          <w:rFonts w:eastAsia="Calibri"/>
          <w:lang w:val="en-ZA"/>
        </w:rPr>
        <w:footnoteReference w:id="8"/>
      </w:r>
    </w:p>
    <w:p w14:paraId="148B3C36" w14:textId="67655967" w:rsidR="006E45B8" w:rsidRPr="00FA4570" w:rsidRDefault="006E45B8" w:rsidP="000C1370">
      <w:pPr>
        <w:spacing w:line="360" w:lineRule="auto"/>
        <w:jc w:val="both"/>
        <w:rPr>
          <w:rFonts w:eastAsia="Calibri"/>
          <w:sz w:val="22"/>
          <w:szCs w:val="22"/>
          <w:lang w:val="en-ZA"/>
        </w:rPr>
      </w:pPr>
      <w:r w:rsidRPr="00FA4570">
        <w:rPr>
          <w:rFonts w:eastAsia="Calibri"/>
          <w:sz w:val="28"/>
          <w:szCs w:val="28"/>
          <w:lang w:val="en-ZA"/>
        </w:rPr>
        <w:t xml:space="preserve"> </w:t>
      </w:r>
    </w:p>
    <w:p w14:paraId="720967D4" w14:textId="4BC431B3" w:rsidR="006E45B8" w:rsidRPr="00FA4570" w:rsidRDefault="006E45B8" w:rsidP="000C1370">
      <w:pPr>
        <w:spacing w:line="360" w:lineRule="auto"/>
        <w:jc w:val="both"/>
        <w:rPr>
          <w:rFonts w:eastAsia="Calibri"/>
          <w:sz w:val="28"/>
          <w:szCs w:val="28"/>
          <w:lang w:val="en-ZA"/>
        </w:rPr>
      </w:pPr>
      <w:r w:rsidRPr="00FA4570">
        <w:rPr>
          <w:rFonts w:eastAsia="Calibri"/>
          <w:sz w:val="28"/>
          <w:szCs w:val="28"/>
          <w:lang w:val="en-ZA"/>
        </w:rPr>
        <w:t>[1</w:t>
      </w:r>
      <w:r w:rsidR="00F34CCC" w:rsidRPr="00FA4570">
        <w:rPr>
          <w:rFonts w:eastAsia="Calibri"/>
          <w:sz w:val="28"/>
          <w:szCs w:val="28"/>
          <w:lang w:val="en-ZA"/>
        </w:rPr>
        <w:t>3</w:t>
      </w:r>
      <w:r w:rsidRPr="00FA4570">
        <w:rPr>
          <w:rFonts w:eastAsia="Calibri"/>
          <w:sz w:val="28"/>
          <w:szCs w:val="28"/>
          <w:lang w:val="en-ZA"/>
        </w:rPr>
        <w:t>]</w:t>
      </w:r>
      <w:r w:rsidRPr="00FA4570">
        <w:rPr>
          <w:rFonts w:eastAsia="Calibri"/>
          <w:sz w:val="28"/>
          <w:szCs w:val="28"/>
          <w:lang w:val="en-ZA"/>
        </w:rPr>
        <w:tab/>
      </w:r>
      <w:r w:rsidR="00281645" w:rsidRPr="00FA4570">
        <w:rPr>
          <w:rFonts w:eastAsia="Calibri"/>
          <w:sz w:val="28"/>
          <w:szCs w:val="28"/>
          <w:lang w:val="en-ZA"/>
        </w:rPr>
        <w:t>T</w:t>
      </w:r>
      <w:r w:rsidRPr="00FA4570">
        <w:rPr>
          <w:rFonts w:eastAsia="Calibri"/>
          <w:sz w:val="28"/>
          <w:szCs w:val="28"/>
          <w:lang w:val="en-ZA"/>
        </w:rPr>
        <w:t>he court concluded that in asking the legal representative ‘are you going to use the services of the assessors</w:t>
      </w:r>
      <w:r w:rsidR="00E91B55" w:rsidRPr="00FA4570">
        <w:rPr>
          <w:rFonts w:eastAsia="Calibri"/>
          <w:sz w:val="28"/>
          <w:szCs w:val="28"/>
          <w:lang w:val="en-ZA"/>
        </w:rPr>
        <w:t>?</w:t>
      </w:r>
      <w:r w:rsidRPr="00FA4570">
        <w:rPr>
          <w:rFonts w:eastAsia="Calibri"/>
          <w:sz w:val="28"/>
          <w:szCs w:val="28"/>
          <w:lang w:val="en-ZA"/>
        </w:rPr>
        <w:t>’</w:t>
      </w:r>
      <w:r w:rsidR="00E91B55" w:rsidRPr="00FA4570">
        <w:rPr>
          <w:rFonts w:eastAsia="Calibri"/>
          <w:sz w:val="28"/>
          <w:szCs w:val="28"/>
          <w:lang w:val="en-ZA"/>
        </w:rPr>
        <w:t>,</w:t>
      </w:r>
      <w:r w:rsidRPr="00FA4570">
        <w:rPr>
          <w:rFonts w:eastAsia="Calibri"/>
          <w:sz w:val="28"/>
          <w:szCs w:val="28"/>
          <w:lang w:val="en-ZA"/>
        </w:rPr>
        <w:t xml:space="preserve"> the magistrate did not convey that the ‘proper constitution of the court requires that the magistrate </w:t>
      </w:r>
      <w:r w:rsidR="00E36EAF" w:rsidRPr="00FA4570">
        <w:rPr>
          <w:rFonts w:eastAsia="Calibri"/>
          <w:sz w:val="28"/>
          <w:szCs w:val="28"/>
          <w:lang w:val="en-ZA"/>
        </w:rPr>
        <w:t xml:space="preserve">ordinarily sit with two </w:t>
      </w:r>
      <w:r w:rsidR="00152C7E" w:rsidRPr="00FA4570">
        <w:rPr>
          <w:rFonts w:eastAsia="Calibri"/>
          <w:sz w:val="28"/>
          <w:szCs w:val="28"/>
          <w:lang w:val="en-ZA"/>
        </w:rPr>
        <w:t>assessors</w:t>
      </w:r>
      <w:r w:rsidR="00E36EAF" w:rsidRPr="00FA4570">
        <w:rPr>
          <w:rFonts w:eastAsia="Calibri"/>
          <w:sz w:val="28"/>
          <w:szCs w:val="28"/>
          <w:lang w:val="en-ZA"/>
        </w:rPr>
        <w:t>.</w:t>
      </w:r>
      <w:r w:rsidR="00E36EAF" w:rsidRPr="00FA4570">
        <w:rPr>
          <w:rStyle w:val="FootnoteReference"/>
          <w:rFonts w:eastAsia="Calibri"/>
          <w:sz w:val="28"/>
          <w:szCs w:val="28"/>
          <w:lang w:val="en-ZA"/>
        </w:rPr>
        <w:footnoteReference w:id="9"/>
      </w:r>
      <w:r w:rsidR="00E36EAF" w:rsidRPr="00FA4570">
        <w:rPr>
          <w:rFonts w:eastAsia="Calibri"/>
          <w:sz w:val="28"/>
          <w:szCs w:val="28"/>
          <w:lang w:val="en-ZA"/>
        </w:rPr>
        <w:t xml:space="preserve"> It concluded that the question was misleading </w:t>
      </w:r>
      <w:r w:rsidR="004864DD" w:rsidRPr="00FA4570">
        <w:rPr>
          <w:rFonts w:eastAsia="Calibri"/>
          <w:sz w:val="28"/>
          <w:szCs w:val="28"/>
          <w:lang w:val="en-ZA"/>
        </w:rPr>
        <w:t>since</w:t>
      </w:r>
      <w:r w:rsidR="00E36EAF" w:rsidRPr="00FA4570">
        <w:rPr>
          <w:rFonts w:eastAsia="Calibri"/>
          <w:sz w:val="28"/>
          <w:szCs w:val="28"/>
          <w:lang w:val="en-ZA"/>
        </w:rPr>
        <w:t xml:space="preserve"> it </w:t>
      </w:r>
      <w:r w:rsidR="004864DD" w:rsidRPr="00FA4570">
        <w:rPr>
          <w:rFonts w:eastAsia="Calibri"/>
          <w:sz w:val="28"/>
          <w:szCs w:val="28"/>
          <w:lang w:val="en-ZA"/>
        </w:rPr>
        <w:t>suggested</w:t>
      </w:r>
      <w:r w:rsidR="00E36EAF" w:rsidRPr="00FA4570">
        <w:rPr>
          <w:rFonts w:eastAsia="Calibri"/>
          <w:sz w:val="28"/>
          <w:szCs w:val="28"/>
          <w:lang w:val="en-ZA"/>
        </w:rPr>
        <w:t xml:space="preserve"> that the use of assessors involved an ‘additional right’. The questions and answers did not, it found, indicate that the accused with full knowledge, waived hi</w:t>
      </w:r>
      <w:r w:rsidR="005C4AC0" w:rsidRPr="00FA4570">
        <w:rPr>
          <w:rFonts w:eastAsia="Calibri"/>
          <w:sz w:val="28"/>
          <w:szCs w:val="28"/>
          <w:lang w:val="en-ZA"/>
        </w:rPr>
        <w:t>s</w:t>
      </w:r>
      <w:r w:rsidR="00E36EAF" w:rsidRPr="00FA4570">
        <w:rPr>
          <w:rFonts w:eastAsia="Calibri"/>
          <w:sz w:val="28"/>
          <w:szCs w:val="28"/>
          <w:lang w:val="en-ZA"/>
        </w:rPr>
        <w:t xml:space="preserve"> right to a trial before ‘a properly </w:t>
      </w:r>
      <w:r w:rsidR="005C4AC0" w:rsidRPr="00FA4570">
        <w:rPr>
          <w:rFonts w:eastAsia="Calibri"/>
          <w:sz w:val="28"/>
          <w:szCs w:val="28"/>
          <w:lang w:val="en-ZA"/>
        </w:rPr>
        <w:t xml:space="preserve">constituted </w:t>
      </w:r>
      <w:r w:rsidR="00E36EAF" w:rsidRPr="00FA4570">
        <w:rPr>
          <w:rFonts w:eastAsia="Calibri"/>
          <w:sz w:val="28"/>
          <w:szCs w:val="28"/>
          <w:lang w:val="en-ZA"/>
        </w:rPr>
        <w:t>court’</w:t>
      </w:r>
      <w:r w:rsidR="00E91B55" w:rsidRPr="00FA4570">
        <w:rPr>
          <w:rFonts w:eastAsia="Calibri"/>
          <w:sz w:val="28"/>
          <w:szCs w:val="28"/>
          <w:lang w:val="en-ZA"/>
        </w:rPr>
        <w:t>.</w:t>
      </w:r>
    </w:p>
    <w:p w14:paraId="54E71F79" w14:textId="0145359C" w:rsidR="00E36EAF" w:rsidRPr="00FA4570" w:rsidRDefault="00B11CC9" w:rsidP="00B11CC9">
      <w:pPr>
        <w:tabs>
          <w:tab w:val="left" w:pos="3256"/>
        </w:tabs>
        <w:spacing w:line="360" w:lineRule="auto"/>
        <w:jc w:val="both"/>
        <w:rPr>
          <w:rFonts w:eastAsia="Calibri"/>
          <w:sz w:val="22"/>
          <w:szCs w:val="22"/>
          <w:lang w:val="en-ZA"/>
        </w:rPr>
      </w:pPr>
      <w:r w:rsidRPr="00FA4570">
        <w:rPr>
          <w:rFonts w:eastAsia="Calibri"/>
          <w:sz w:val="22"/>
          <w:szCs w:val="22"/>
          <w:lang w:val="en-ZA"/>
        </w:rPr>
        <w:tab/>
      </w:r>
    </w:p>
    <w:p w14:paraId="4E0DB4B6" w14:textId="3C9B9BDC" w:rsidR="001A26AA" w:rsidRPr="00FA4570" w:rsidRDefault="00E36EAF" w:rsidP="000C1370">
      <w:pPr>
        <w:spacing w:line="360" w:lineRule="auto"/>
        <w:jc w:val="both"/>
        <w:rPr>
          <w:sz w:val="28"/>
          <w:szCs w:val="28"/>
        </w:rPr>
      </w:pPr>
      <w:r w:rsidRPr="00FA4570">
        <w:rPr>
          <w:rFonts w:eastAsia="Calibri"/>
          <w:sz w:val="28"/>
          <w:szCs w:val="28"/>
          <w:lang w:val="en-ZA"/>
        </w:rPr>
        <w:t>[1</w:t>
      </w:r>
      <w:r w:rsidR="00F34CCC" w:rsidRPr="00FA4570">
        <w:rPr>
          <w:rFonts w:eastAsia="Calibri"/>
          <w:sz w:val="28"/>
          <w:szCs w:val="28"/>
          <w:lang w:val="en-ZA"/>
        </w:rPr>
        <w:t>4</w:t>
      </w:r>
      <w:r w:rsidRPr="00FA4570">
        <w:rPr>
          <w:rFonts w:eastAsia="Calibri"/>
          <w:sz w:val="28"/>
          <w:szCs w:val="28"/>
          <w:lang w:val="en-ZA"/>
        </w:rPr>
        <w:t>]</w:t>
      </w:r>
      <w:r w:rsidRPr="00FA4570">
        <w:rPr>
          <w:rFonts w:eastAsia="Calibri"/>
          <w:sz w:val="28"/>
          <w:szCs w:val="28"/>
          <w:lang w:val="en-ZA"/>
        </w:rPr>
        <w:tab/>
        <w:t xml:space="preserve">In </w:t>
      </w:r>
      <w:r w:rsidRPr="00FA4570">
        <w:rPr>
          <w:rFonts w:eastAsia="Calibri"/>
          <w:i/>
          <w:sz w:val="28"/>
          <w:szCs w:val="28"/>
          <w:lang w:val="en-ZA"/>
        </w:rPr>
        <w:t>S v Ngomane and Another</w:t>
      </w:r>
      <w:r w:rsidR="00C32AC8" w:rsidRPr="00FA4570">
        <w:rPr>
          <w:rFonts w:eastAsia="Calibri"/>
          <w:sz w:val="28"/>
          <w:szCs w:val="28"/>
          <w:lang w:val="en-ZA"/>
        </w:rPr>
        <w:t>,</w:t>
      </w:r>
      <w:r w:rsidRPr="00FA4570">
        <w:rPr>
          <w:rStyle w:val="FootnoteReference"/>
          <w:rFonts w:eastAsia="Calibri"/>
          <w:sz w:val="28"/>
          <w:szCs w:val="28"/>
          <w:lang w:val="en-ZA"/>
        </w:rPr>
        <w:footnoteReference w:id="10"/>
      </w:r>
      <w:r w:rsidR="00C32AC8" w:rsidRPr="00FA4570">
        <w:rPr>
          <w:rFonts w:eastAsia="Calibri"/>
          <w:sz w:val="28"/>
          <w:szCs w:val="28"/>
          <w:lang w:val="en-ZA"/>
        </w:rPr>
        <w:t xml:space="preserve"> </w:t>
      </w:r>
      <w:r w:rsidR="001A26AA" w:rsidRPr="00FA4570">
        <w:rPr>
          <w:sz w:val="28"/>
          <w:szCs w:val="28"/>
        </w:rPr>
        <w:t xml:space="preserve">the accused was </w:t>
      </w:r>
      <w:r w:rsidR="005C4AC0" w:rsidRPr="00FA4570">
        <w:rPr>
          <w:sz w:val="28"/>
          <w:szCs w:val="28"/>
        </w:rPr>
        <w:t xml:space="preserve">also </w:t>
      </w:r>
      <w:r w:rsidR="001A26AA" w:rsidRPr="00FA4570">
        <w:rPr>
          <w:sz w:val="28"/>
          <w:szCs w:val="28"/>
        </w:rPr>
        <w:t xml:space="preserve">legally represented and, on two separate occasions before the commencement of the trial, the question of the </w:t>
      </w:r>
      <w:r w:rsidR="005C4AC0" w:rsidRPr="00FA4570">
        <w:rPr>
          <w:sz w:val="28"/>
          <w:szCs w:val="28"/>
        </w:rPr>
        <w:t>composition</w:t>
      </w:r>
      <w:r w:rsidR="001A26AA" w:rsidRPr="00FA4570">
        <w:rPr>
          <w:sz w:val="28"/>
          <w:szCs w:val="28"/>
        </w:rPr>
        <w:t xml:space="preserve"> of the court in terms of s 93</w:t>
      </w:r>
      <w:r w:rsidR="001A26AA" w:rsidRPr="00FA4570">
        <w:rPr>
          <w:i/>
          <w:sz w:val="28"/>
          <w:szCs w:val="28"/>
        </w:rPr>
        <w:t>ter</w:t>
      </w:r>
      <w:r w:rsidR="001A26AA" w:rsidRPr="00FA4570">
        <w:rPr>
          <w:sz w:val="28"/>
          <w:szCs w:val="28"/>
        </w:rPr>
        <w:t>(1) was addressed. The record of these exchanges was cryptic.</w:t>
      </w:r>
      <w:r w:rsidR="005C4AC0" w:rsidRPr="00FA4570">
        <w:rPr>
          <w:sz w:val="28"/>
          <w:szCs w:val="28"/>
        </w:rPr>
        <w:t xml:space="preserve"> </w:t>
      </w:r>
      <w:r w:rsidR="001A26AA" w:rsidRPr="00FA4570">
        <w:rPr>
          <w:sz w:val="28"/>
          <w:szCs w:val="28"/>
        </w:rPr>
        <w:t xml:space="preserve">The court took the view that the fact that </w:t>
      </w:r>
      <w:r w:rsidR="001A26AA" w:rsidRPr="00FA4570">
        <w:rPr>
          <w:sz w:val="28"/>
          <w:szCs w:val="28"/>
        </w:rPr>
        <w:lastRenderedPageBreak/>
        <w:t xml:space="preserve">the notes </w:t>
      </w:r>
      <w:r w:rsidR="005C4AC0" w:rsidRPr="00FA4570">
        <w:rPr>
          <w:sz w:val="28"/>
          <w:szCs w:val="28"/>
        </w:rPr>
        <w:t xml:space="preserve">were </w:t>
      </w:r>
      <w:r w:rsidR="001A26AA" w:rsidRPr="00FA4570">
        <w:rPr>
          <w:sz w:val="28"/>
          <w:szCs w:val="28"/>
        </w:rPr>
        <w:t xml:space="preserve">cryptic, </w:t>
      </w:r>
      <w:r w:rsidR="00053D6C" w:rsidRPr="00FA4570">
        <w:rPr>
          <w:sz w:val="28"/>
          <w:szCs w:val="28"/>
        </w:rPr>
        <w:t xml:space="preserve">was </w:t>
      </w:r>
      <w:r w:rsidR="001A26AA" w:rsidRPr="00FA4570">
        <w:rPr>
          <w:sz w:val="28"/>
          <w:szCs w:val="28"/>
        </w:rPr>
        <w:t>of no consequenc</w:t>
      </w:r>
      <w:r w:rsidR="005C4AC0" w:rsidRPr="00FA4570">
        <w:rPr>
          <w:sz w:val="28"/>
          <w:szCs w:val="28"/>
        </w:rPr>
        <w:t>e</w:t>
      </w:r>
      <w:r w:rsidR="001A26AA" w:rsidRPr="00FA4570">
        <w:rPr>
          <w:sz w:val="28"/>
          <w:szCs w:val="28"/>
        </w:rPr>
        <w:t>. The magistrate was, it held, clearly alert to the issue of assessors by addressing it on two occasions.</w:t>
      </w:r>
      <w:r w:rsidR="001A26AA" w:rsidRPr="00FA4570">
        <w:rPr>
          <w:rStyle w:val="FootnoteReference"/>
          <w:sz w:val="28"/>
          <w:szCs w:val="28"/>
        </w:rPr>
        <w:footnoteReference w:id="11"/>
      </w:r>
    </w:p>
    <w:p w14:paraId="1CF8C159" w14:textId="77777777" w:rsidR="00B11CC9" w:rsidRPr="00FA4570" w:rsidRDefault="00B11CC9" w:rsidP="000C1370">
      <w:pPr>
        <w:spacing w:line="360" w:lineRule="auto"/>
        <w:jc w:val="both"/>
        <w:rPr>
          <w:sz w:val="28"/>
          <w:szCs w:val="28"/>
        </w:rPr>
      </w:pPr>
    </w:p>
    <w:p w14:paraId="5198FE64" w14:textId="6F7881AA" w:rsidR="00F453E2" w:rsidRPr="00FA4570" w:rsidRDefault="00D6341C" w:rsidP="000C1370">
      <w:pPr>
        <w:spacing w:line="360" w:lineRule="auto"/>
        <w:jc w:val="both"/>
        <w:rPr>
          <w:rFonts w:eastAsia="Calibri"/>
          <w:sz w:val="28"/>
          <w:szCs w:val="28"/>
          <w:lang w:val="en-ZA"/>
        </w:rPr>
      </w:pPr>
      <w:r w:rsidRPr="00FA4570">
        <w:rPr>
          <w:sz w:val="28"/>
          <w:szCs w:val="28"/>
        </w:rPr>
        <w:t>[1</w:t>
      </w:r>
      <w:r w:rsidR="00F34CCC" w:rsidRPr="00FA4570">
        <w:rPr>
          <w:sz w:val="28"/>
          <w:szCs w:val="28"/>
        </w:rPr>
        <w:t>5</w:t>
      </w:r>
      <w:r w:rsidR="00E91B55" w:rsidRPr="00FA4570">
        <w:rPr>
          <w:sz w:val="28"/>
          <w:szCs w:val="28"/>
        </w:rPr>
        <w:t>]</w:t>
      </w:r>
      <w:r w:rsidR="00E91B55" w:rsidRPr="00FA4570">
        <w:rPr>
          <w:sz w:val="28"/>
          <w:szCs w:val="28"/>
        </w:rPr>
        <w:tab/>
        <w:t>D</w:t>
      </w:r>
      <w:r w:rsidR="001A26AA" w:rsidRPr="00FA4570">
        <w:rPr>
          <w:sz w:val="28"/>
          <w:szCs w:val="28"/>
        </w:rPr>
        <w:t xml:space="preserve">ealing with </w:t>
      </w:r>
      <w:r w:rsidR="001A26AA" w:rsidRPr="00FA4570">
        <w:rPr>
          <w:rFonts w:eastAsia="Calibri"/>
          <w:i/>
          <w:sz w:val="28"/>
          <w:szCs w:val="28"/>
          <w:lang w:val="en-ZA"/>
        </w:rPr>
        <w:t>Langalitshoni</w:t>
      </w:r>
      <w:r w:rsidR="001A26AA" w:rsidRPr="00FA4570">
        <w:rPr>
          <w:rFonts w:eastAsia="Calibri"/>
          <w:sz w:val="28"/>
          <w:szCs w:val="28"/>
          <w:lang w:val="en-ZA"/>
        </w:rPr>
        <w:t xml:space="preserve">, the court </w:t>
      </w:r>
      <w:r w:rsidR="00E91B55" w:rsidRPr="00FA4570">
        <w:rPr>
          <w:rFonts w:eastAsia="Calibri"/>
          <w:sz w:val="28"/>
          <w:szCs w:val="28"/>
          <w:lang w:val="en-ZA"/>
        </w:rPr>
        <w:t xml:space="preserve">in </w:t>
      </w:r>
      <w:r w:rsidR="00E91B55" w:rsidRPr="00FA4570">
        <w:rPr>
          <w:rFonts w:eastAsia="Calibri"/>
          <w:i/>
          <w:sz w:val="28"/>
          <w:szCs w:val="28"/>
          <w:lang w:val="en-ZA"/>
        </w:rPr>
        <w:t xml:space="preserve">Ngomane, </w:t>
      </w:r>
      <w:r w:rsidR="00E91B55" w:rsidRPr="00FA4570">
        <w:rPr>
          <w:rFonts w:eastAsia="Calibri"/>
          <w:sz w:val="28"/>
          <w:szCs w:val="28"/>
          <w:lang w:val="en-ZA"/>
        </w:rPr>
        <w:t>reasoned that</w:t>
      </w:r>
      <w:r w:rsidR="001A26AA" w:rsidRPr="00FA4570">
        <w:rPr>
          <w:rFonts w:eastAsia="Calibri"/>
          <w:sz w:val="28"/>
          <w:szCs w:val="28"/>
          <w:lang w:val="en-ZA"/>
        </w:rPr>
        <w:t>:</w:t>
      </w:r>
    </w:p>
    <w:p w14:paraId="79B58AB3" w14:textId="2F3C0347" w:rsidR="00F453E2" w:rsidRPr="00FA4570" w:rsidRDefault="00281645" w:rsidP="00A56E69">
      <w:pPr>
        <w:spacing w:line="360" w:lineRule="auto"/>
        <w:jc w:val="both"/>
        <w:rPr>
          <w:rFonts w:eastAsia="Calibri"/>
          <w:lang w:val="en-ZA"/>
        </w:rPr>
      </w:pPr>
      <w:r w:rsidRPr="00FA4570">
        <w:rPr>
          <w:rFonts w:eastAsia="Calibri"/>
          <w:lang w:val="en-ZA"/>
        </w:rPr>
        <w:t>‘</w:t>
      </w:r>
      <w:r w:rsidR="00152C7E" w:rsidRPr="00FA4570">
        <w:rPr>
          <w:rFonts w:eastAsia="Calibri"/>
          <w:lang w:val="en-ZA"/>
        </w:rPr>
        <w:t>Accordingly,</w:t>
      </w:r>
      <w:r w:rsidR="00F453E2" w:rsidRPr="00FA4570">
        <w:rPr>
          <w:rFonts w:eastAsia="Calibri"/>
          <w:lang w:val="en-ZA"/>
        </w:rPr>
        <w:t xml:space="preserve"> when the accused is legally represe</w:t>
      </w:r>
      <w:r w:rsidR="00E91B55" w:rsidRPr="00FA4570">
        <w:rPr>
          <w:rFonts w:eastAsia="Calibri"/>
          <w:lang w:val="en-ZA"/>
        </w:rPr>
        <w:t>nted, there is no overriding dut</w:t>
      </w:r>
      <w:r w:rsidR="00F453E2" w:rsidRPr="00FA4570">
        <w:rPr>
          <w:rFonts w:eastAsia="Calibri"/>
          <w:lang w:val="en-ZA"/>
        </w:rPr>
        <w:t>y on the presiding magistrate to explain to the accused in any detail each and every single one of his numerous constitutional rights.</w:t>
      </w:r>
      <w:r w:rsidRPr="00FA4570">
        <w:rPr>
          <w:rFonts w:eastAsia="Calibri"/>
          <w:lang w:val="en-ZA"/>
        </w:rPr>
        <w:t>’</w:t>
      </w:r>
      <w:r w:rsidR="005C4AC0" w:rsidRPr="00FA4570">
        <w:rPr>
          <w:rStyle w:val="FootnoteReference"/>
          <w:rFonts w:eastAsia="Calibri"/>
          <w:lang w:val="en-ZA"/>
        </w:rPr>
        <w:footnoteReference w:id="12"/>
      </w:r>
    </w:p>
    <w:p w14:paraId="6E5A7981" w14:textId="4B5043B7" w:rsidR="00F453E2" w:rsidRPr="00FA4570" w:rsidRDefault="004864DD" w:rsidP="00A56E69">
      <w:pPr>
        <w:spacing w:line="360" w:lineRule="auto"/>
        <w:jc w:val="both"/>
        <w:rPr>
          <w:rFonts w:eastAsia="Calibri"/>
          <w:lang w:val="en-ZA"/>
        </w:rPr>
      </w:pPr>
      <w:r w:rsidRPr="00FA4570">
        <w:rPr>
          <w:rFonts w:eastAsia="Calibri"/>
          <w:lang w:val="en-ZA"/>
        </w:rPr>
        <w:t>…</w:t>
      </w:r>
    </w:p>
    <w:p w14:paraId="44112AB6" w14:textId="428A6EBE" w:rsidR="00F453E2" w:rsidRPr="00FA4570" w:rsidRDefault="004864DD" w:rsidP="00A56E69">
      <w:pPr>
        <w:spacing w:line="360" w:lineRule="auto"/>
        <w:jc w:val="both"/>
        <w:rPr>
          <w:rFonts w:eastAsia="Calibri"/>
          <w:lang w:val="en-ZA"/>
        </w:rPr>
      </w:pPr>
      <w:r w:rsidRPr="00FA4570">
        <w:rPr>
          <w:rFonts w:eastAsia="Calibri"/>
          <w:lang w:val="en-ZA"/>
        </w:rPr>
        <w:t>‘</w:t>
      </w:r>
      <w:r w:rsidR="00F453E2" w:rsidRPr="00FA4570">
        <w:rPr>
          <w:rFonts w:eastAsia="Calibri"/>
          <w:lang w:val="en-ZA"/>
        </w:rPr>
        <w:t xml:space="preserve">It is obvious in this case that the legal representative of the appellants </w:t>
      </w:r>
      <w:r w:rsidR="00152C7E" w:rsidRPr="00FA4570">
        <w:rPr>
          <w:rFonts w:eastAsia="Calibri"/>
          <w:lang w:val="en-ZA"/>
        </w:rPr>
        <w:t>was</w:t>
      </w:r>
      <w:r w:rsidR="00F453E2" w:rsidRPr="00FA4570">
        <w:rPr>
          <w:rFonts w:eastAsia="Calibri"/>
          <w:lang w:val="en-ZA"/>
        </w:rPr>
        <w:t xml:space="preserve"> also fully alert to the issue of assessors, which was attended to and dispose</w:t>
      </w:r>
      <w:r w:rsidR="002D1593" w:rsidRPr="00FA4570">
        <w:rPr>
          <w:rFonts w:eastAsia="Calibri"/>
          <w:lang w:val="en-ZA"/>
        </w:rPr>
        <w:t>d</w:t>
      </w:r>
      <w:r w:rsidR="00F453E2" w:rsidRPr="00FA4570">
        <w:rPr>
          <w:rFonts w:eastAsia="Calibri"/>
          <w:lang w:val="en-ZA"/>
        </w:rPr>
        <w:t xml:space="preserve"> of when the appointment of assessors was addressed by the magistrate and waived on behalf of the appellants. The section provides that only the accused, obviously as advised by his legal representative and through his legal representative, may waive the appointment of assessors.</w:t>
      </w:r>
      <w:r w:rsidRPr="00FA4570">
        <w:rPr>
          <w:rFonts w:eastAsia="Calibri"/>
          <w:lang w:val="en-ZA"/>
        </w:rPr>
        <w:t>’</w:t>
      </w:r>
      <w:r w:rsidR="005C4AC0" w:rsidRPr="00FA4570">
        <w:rPr>
          <w:rStyle w:val="FootnoteReference"/>
          <w:rFonts w:eastAsia="Calibri"/>
          <w:lang w:val="en-ZA"/>
        </w:rPr>
        <w:footnoteReference w:id="13"/>
      </w:r>
    </w:p>
    <w:p w14:paraId="22C05D27" w14:textId="77777777" w:rsidR="007A1BBC" w:rsidRPr="00FA4570" w:rsidRDefault="007A1BBC" w:rsidP="000C1370">
      <w:pPr>
        <w:spacing w:line="360" w:lineRule="auto"/>
        <w:jc w:val="both"/>
        <w:rPr>
          <w:sz w:val="22"/>
          <w:szCs w:val="22"/>
        </w:rPr>
      </w:pPr>
    </w:p>
    <w:p w14:paraId="5BEE6A3A" w14:textId="77777777" w:rsidR="004367D9" w:rsidRPr="00FA4570" w:rsidRDefault="00DC66D3" w:rsidP="000C1370">
      <w:pPr>
        <w:spacing w:line="360" w:lineRule="auto"/>
        <w:jc w:val="both"/>
      </w:pPr>
      <w:r w:rsidRPr="00FA4570">
        <w:rPr>
          <w:sz w:val="28"/>
          <w:szCs w:val="28"/>
        </w:rPr>
        <w:t>[1</w:t>
      </w:r>
      <w:r w:rsidR="00F34CCC" w:rsidRPr="00FA4570">
        <w:rPr>
          <w:sz w:val="28"/>
          <w:szCs w:val="28"/>
        </w:rPr>
        <w:t>6</w:t>
      </w:r>
      <w:r w:rsidR="00EF2818" w:rsidRPr="00FA4570">
        <w:rPr>
          <w:sz w:val="28"/>
          <w:szCs w:val="28"/>
        </w:rPr>
        <w:t>]</w:t>
      </w:r>
      <w:r w:rsidR="00EF2818" w:rsidRPr="00FA4570">
        <w:tab/>
      </w:r>
      <w:r w:rsidR="004367D9" w:rsidRPr="00FA4570">
        <w:rPr>
          <w:sz w:val="28"/>
          <w:szCs w:val="28"/>
        </w:rPr>
        <w:t>These passages indicate a sharp difference in judicial opinion. It is two-fold. On the one hand, it relates to the ambit of a magistrate’s duties in relation to s 93</w:t>
      </w:r>
      <w:r w:rsidR="004367D9" w:rsidRPr="00FA4570">
        <w:rPr>
          <w:i/>
          <w:sz w:val="28"/>
          <w:szCs w:val="28"/>
        </w:rPr>
        <w:t>ter</w:t>
      </w:r>
      <w:r w:rsidR="004367D9" w:rsidRPr="00FA4570">
        <w:rPr>
          <w:sz w:val="28"/>
          <w:szCs w:val="28"/>
        </w:rPr>
        <w:t xml:space="preserve">(1) of the MCA where the accused is represented. On the other, it concerns the sufficiency of ‘evidence’ required to establish that an accused person has elected to proceed with a trial in the absence of assessors. </w:t>
      </w:r>
      <w:r w:rsidR="00281645" w:rsidRPr="00FA4570">
        <w:rPr>
          <w:sz w:val="28"/>
          <w:szCs w:val="28"/>
        </w:rPr>
        <w:t xml:space="preserve">There are several judgments </w:t>
      </w:r>
      <w:r w:rsidR="008F22BD" w:rsidRPr="00FA4570">
        <w:rPr>
          <w:sz w:val="28"/>
          <w:szCs w:val="28"/>
        </w:rPr>
        <w:t>in the KwaZulu-Natal Division, of which the judgment under appeal is one</w:t>
      </w:r>
      <w:r w:rsidR="00281645" w:rsidRPr="00FA4570">
        <w:rPr>
          <w:sz w:val="28"/>
          <w:szCs w:val="28"/>
        </w:rPr>
        <w:t xml:space="preserve">, where the </w:t>
      </w:r>
      <w:r w:rsidR="0053339C" w:rsidRPr="00FA4570">
        <w:rPr>
          <w:sz w:val="28"/>
          <w:szCs w:val="28"/>
        </w:rPr>
        <w:t>issue has arisen.</w:t>
      </w:r>
      <w:r w:rsidR="0053339C" w:rsidRPr="00FA4570">
        <w:t xml:space="preserve"> </w:t>
      </w:r>
    </w:p>
    <w:p w14:paraId="6CD8397A" w14:textId="77777777" w:rsidR="004367D9" w:rsidRPr="00FA4570" w:rsidRDefault="004367D9" w:rsidP="000C1370">
      <w:pPr>
        <w:spacing w:line="360" w:lineRule="auto"/>
        <w:jc w:val="both"/>
      </w:pPr>
    </w:p>
    <w:p w14:paraId="358DC076" w14:textId="7261D99B" w:rsidR="00B139DE" w:rsidRPr="00FA4570" w:rsidRDefault="004367D9" w:rsidP="000C1370">
      <w:pPr>
        <w:spacing w:line="360" w:lineRule="auto"/>
        <w:jc w:val="both"/>
      </w:pPr>
      <w:r w:rsidRPr="00FA4570">
        <w:rPr>
          <w:sz w:val="28"/>
          <w:szCs w:val="28"/>
        </w:rPr>
        <w:t>[17]</w:t>
      </w:r>
      <w:r w:rsidRPr="00FA4570">
        <w:tab/>
      </w:r>
      <w:r w:rsidR="00EF2818" w:rsidRPr="00FA4570">
        <w:rPr>
          <w:sz w:val="28"/>
          <w:szCs w:val="28"/>
        </w:rPr>
        <w:t xml:space="preserve">Before </w:t>
      </w:r>
      <w:r w:rsidR="008F22BD" w:rsidRPr="00FA4570">
        <w:rPr>
          <w:sz w:val="28"/>
          <w:szCs w:val="28"/>
        </w:rPr>
        <w:t>dealing with these judgments</w:t>
      </w:r>
      <w:r w:rsidR="00053D6C" w:rsidRPr="00FA4570">
        <w:rPr>
          <w:sz w:val="28"/>
          <w:szCs w:val="28"/>
        </w:rPr>
        <w:t>,</w:t>
      </w:r>
      <w:r w:rsidR="00EF2818" w:rsidRPr="00FA4570">
        <w:rPr>
          <w:sz w:val="28"/>
          <w:szCs w:val="28"/>
        </w:rPr>
        <w:t xml:space="preserve"> reference should be made to </w:t>
      </w:r>
      <w:r w:rsidR="00EF2818" w:rsidRPr="00FA4570">
        <w:rPr>
          <w:i/>
          <w:sz w:val="28"/>
          <w:szCs w:val="28"/>
        </w:rPr>
        <w:t xml:space="preserve">Chala and Others v Director of Public Prosecutions, </w:t>
      </w:r>
      <w:r w:rsidR="00152C7E" w:rsidRPr="00FA4570">
        <w:rPr>
          <w:i/>
          <w:sz w:val="28"/>
          <w:szCs w:val="28"/>
        </w:rPr>
        <w:t>KwaZulu-Natal,</w:t>
      </w:r>
      <w:r w:rsidR="00EF2818" w:rsidRPr="00FA4570">
        <w:rPr>
          <w:i/>
          <w:sz w:val="28"/>
          <w:szCs w:val="28"/>
        </w:rPr>
        <w:t xml:space="preserve"> and Another</w:t>
      </w:r>
      <w:r w:rsidR="00EF2818" w:rsidRPr="00FA4570">
        <w:rPr>
          <w:sz w:val="28"/>
          <w:szCs w:val="28"/>
        </w:rPr>
        <w:t>,</w:t>
      </w:r>
      <w:r w:rsidR="00EF2818" w:rsidRPr="00FA4570">
        <w:rPr>
          <w:rStyle w:val="FootnoteReference"/>
          <w:sz w:val="28"/>
          <w:szCs w:val="28"/>
        </w:rPr>
        <w:footnoteReference w:id="14"/>
      </w:r>
      <w:r w:rsidR="00EF2818" w:rsidRPr="00FA4570">
        <w:rPr>
          <w:sz w:val="28"/>
          <w:szCs w:val="28"/>
        </w:rPr>
        <w:t xml:space="preserve"> which predates </w:t>
      </w:r>
      <w:r w:rsidR="00EF2818" w:rsidRPr="00FA4570">
        <w:rPr>
          <w:i/>
          <w:sz w:val="28"/>
          <w:szCs w:val="28"/>
        </w:rPr>
        <w:t>Gayiya</w:t>
      </w:r>
      <w:r w:rsidR="00EF2818" w:rsidRPr="00FA4570">
        <w:rPr>
          <w:sz w:val="28"/>
          <w:szCs w:val="28"/>
        </w:rPr>
        <w:t>. In that matter, Vahed J</w:t>
      </w:r>
      <w:r w:rsidR="00F16847" w:rsidRPr="00FA4570">
        <w:rPr>
          <w:sz w:val="28"/>
          <w:szCs w:val="28"/>
        </w:rPr>
        <w:t xml:space="preserve"> </w:t>
      </w:r>
      <w:r w:rsidR="00C20DC3" w:rsidRPr="00FA4570">
        <w:rPr>
          <w:sz w:val="28"/>
          <w:szCs w:val="28"/>
        </w:rPr>
        <w:t xml:space="preserve">concluded that a failure to properly invoke the provisions of the section would always constitute a fatal </w:t>
      </w:r>
      <w:r w:rsidR="00C20DC3" w:rsidRPr="00FA4570">
        <w:rPr>
          <w:sz w:val="28"/>
          <w:szCs w:val="28"/>
        </w:rPr>
        <w:lastRenderedPageBreak/>
        <w:t>irregularity resulting in the proceedings being set aside.</w:t>
      </w:r>
      <w:r w:rsidR="00C20DC3" w:rsidRPr="00FA4570">
        <w:rPr>
          <w:rStyle w:val="FootnoteReference"/>
          <w:sz w:val="28"/>
          <w:szCs w:val="28"/>
        </w:rPr>
        <w:footnoteReference w:id="15"/>
      </w:r>
      <w:r w:rsidR="00C20DC3" w:rsidRPr="00FA4570">
        <w:rPr>
          <w:sz w:val="28"/>
          <w:szCs w:val="28"/>
        </w:rPr>
        <w:t xml:space="preserve"> The learned judge </w:t>
      </w:r>
      <w:r w:rsidR="00A231E2" w:rsidRPr="00FA4570">
        <w:rPr>
          <w:sz w:val="28"/>
          <w:szCs w:val="28"/>
        </w:rPr>
        <w:t xml:space="preserve">then </w:t>
      </w:r>
      <w:r w:rsidR="00C20DC3" w:rsidRPr="00FA4570">
        <w:rPr>
          <w:sz w:val="28"/>
          <w:szCs w:val="28"/>
        </w:rPr>
        <w:t>went on to state:</w:t>
      </w:r>
    </w:p>
    <w:p w14:paraId="07105ED2" w14:textId="292BDB85" w:rsidR="00C20DC3" w:rsidRPr="00FA4570" w:rsidRDefault="00C20DC3" w:rsidP="00A56E69">
      <w:pPr>
        <w:spacing w:line="360" w:lineRule="auto"/>
        <w:jc w:val="both"/>
        <w:rPr>
          <w:iCs/>
        </w:rPr>
      </w:pPr>
      <w:r w:rsidRPr="00FA4570">
        <w:t>‘I am of the view also that to overcome the problems as highlighted by these cases it should always appear</w:t>
      </w:r>
      <w:r w:rsidR="00A231E2" w:rsidRPr="00FA4570">
        <w:t xml:space="preserve"> from the record of proceedings in cases where s 93</w:t>
      </w:r>
      <w:r w:rsidR="00A231E2" w:rsidRPr="00FA4570">
        <w:rPr>
          <w:i/>
          <w:iCs/>
        </w:rPr>
        <w:t>ter</w:t>
      </w:r>
      <w:r w:rsidR="00A231E2" w:rsidRPr="00FA4570">
        <w:rPr>
          <w:iCs/>
        </w:rPr>
        <w:t xml:space="preserve"> is required to be invoked, that a proper explanation is given by the magistrate to the accused persons of the choice they have in the appointment of assessors, together with a brief exposition of the import of that choice and as to what is required of them. The record should also reflect, after having given such explanation and requesting such response from accused persons, in cases where they elect not to have assessors, that the </w:t>
      </w:r>
      <w:r w:rsidR="00152C7E" w:rsidRPr="00FA4570">
        <w:rPr>
          <w:iCs/>
        </w:rPr>
        <w:t>magistrate</w:t>
      </w:r>
      <w:r w:rsidR="00A231E2" w:rsidRPr="00FA4570">
        <w:rPr>
          <w:iCs/>
        </w:rPr>
        <w:t xml:space="preserve"> nevertheless still considered whether such course was advisable in the particular case before him or her. All of this should appear on the record.’</w:t>
      </w:r>
      <w:r w:rsidR="00A231E2" w:rsidRPr="00FA4570">
        <w:rPr>
          <w:rStyle w:val="FootnoteReference"/>
          <w:iCs/>
        </w:rPr>
        <w:footnoteReference w:id="16"/>
      </w:r>
    </w:p>
    <w:p w14:paraId="4FEAE328" w14:textId="4989F061" w:rsidR="00A231E2" w:rsidRPr="00FA4570" w:rsidRDefault="00B139DE" w:rsidP="000C1370">
      <w:pPr>
        <w:spacing w:line="360" w:lineRule="auto"/>
        <w:jc w:val="both"/>
        <w:rPr>
          <w:sz w:val="28"/>
          <w:szCs w:val="28"/>
        </w:rPr>
      </w:pPr>
      <w:r w:rsidRPr="00FA4570">
        <w:rPr>
          <w:sz w:val="28"/>
          <w:szCs w:val="28"/>
        </w:rPr>
        <w:tab/>
      </w:r>
    </w:p>
    <w:p w14:paraId="157E4ED9" w14:textId="70970385" w:rsidR="006B2277" w:rsidRPr="00FA4570" w:rsidRDefault="00DC66D3" w:rsidP="000C1370">
      <w:pPr>
        <w:spacing w:line="360" w:lineRule="auto"/>
        <w:jc w:val="both"/>
        <w:rPr>
          <w:sz w:val="28"/>
          <w:szCs w:val="28"/>
        </w:rPr>
      </w:pPr>
      <w:r w:rsidRPr="00FA4570">
        <w:rPr>
          <w:sz w:val="28"/>
          <w:szCs w:val="28"/>
        </w:rPr>
        <w:t>[</w:t>
      </w:r>
      <w:r w:rsidR="00F16847" w:rsidRPr="00FA4570">
        <w:rPr>
          <w:sz w:val="28"/>
          <w:szCs w:val="28"/>
        </w:rPr>
        <w:t>1</w:t>
      </w:r>
      <w:r w:rsidR="004367D9" w:rsidRPr="00FA4570">
        <w:rPr>
          <w:sz w:val="28"/>
          <w:szCs w:val="28"/>
        </w:rPr>
        <w:t>8</w:t>
      </w:r>
      <w:r w:rsidR="00A231E2" w:rsidRPr="00FA4570">
        <w:rPr>
          <w:sz w:val="28"/>
          <w:szCs w:val="28"/>
        </w:rPr>
        <w:t>]</w:t>
      </w:r>
      <w:r w:rsidR="00A231E2" w:rsidRPr="00FA4570">
        <w:rPr>
          <w:sz w:val="28"/>
          <w:szCs w:val="28"/>
        </w:rPr>
        <w:tab/>
      </w:r>
      <w:r w:rsidR="008F22BD" w:rsidRPr="00FA4570">
        <w:rPr>
          <w:sz w:val="28"/>
          <w:szCs w:val="28"/>
        </w:rPr>
        <w:t>In</w:t>
      </w:r>
      <w:r w:rsidR="00A231E2" w:rsidRPr="00FA4570">
        <w:rPr>
          <w:sz w:val="28"/>
          <w:szCs w:val="28"/>
        </w:rPr>
        <w:t xml:space="preserve"> </w:t>
      </w:r>
      <w:r w:rsidR="00B139DE" w:rsidRPr="00FA4570">
        <w:rPr>
          <w:i/>
          <w:sz w:val="28"/>
          <w:szCs w:val="28"/>
        </w:rPr>
        <w:t>Nxumalo v S</w:t>
      </w:r>
      <w:r w:rsidR="00B139DE" w:rsidRPr="00FA4570">
        <w:rPr>
          <w:sz w:val="28"/>
          <w:szCs w:val="28"/>
        </w:rPr>
        <w:t>,</w:t>
      </w:r>
      <w:r w:rsidR="00B139DE" w:rsidRPr="00FA4570">
        <w:rPr>
          <w:rStyle w:val="FootnoteReference"/>
          <w:sz w:val="28"/>
          <w:szCs w:val="28"/>
        </w:rPr>
        <w:footnoteReference w:id="17"/>
      </w:r>
      <w:r w:rsidR="00B139DE" w:rsidRPr="00FA4570">
        <w:rPr>
          <w:sz w:val="28"/>
          <w:szCs w:val="28"/>
        </w:rPr>
        <w:t xml:space="preserve"> </w:t>
      </w:r>
      <w:r w:rsidR="008F22BD" w:rsidRPr="00FA4570">
        <w:rPr>
          <w:sz w:val="28"/>
          <w:szCs w:val="28"/>
        </w:rPr>
        <w:t>t</w:t>
      </w:r>
      <w:r w:rsidR="00504826" w:rsidRPr="00FA4570">
        <w:rPr>
          <w:sz w:val="28"/>
          <w:szCs w:val="28"/>
        </w:rPr>
        <w:t xml:space="preserve">he court raised </w:t>
      </w:r>
      <w:r w:rsidR="00B139DE" w:rsidRPr="00FA4570">
        <w:rPr>
          <w:sz w:val="28"/>
          <w:szCs w:val="28"/>
        </w:rPr>
        <w:t xml:space="preserve">the issue of the constitution of the court in terms of </w:t>
      </w:r>
      <w:r w:rsidR="006B2277" w:rsidRPr="00FA4570">
        <w:rPr>
          <w:sz w:val="28"/>
          <w:szCs w:val="28"/>
        </w:rPr>
        <w:t>s 93</w:t>
      </w:r>
      <w:r w:rsidR="006B2277" w:rsidRPr="00FA4570">
        <w:rPr>
          <w:i/>
          <w:sz w:val="28"/>
          <w:szCs w:val="28"/>
        </w:rPr>
        <w:t>ter</w:t>
      </w:r>
      <w:r w:rsidR="006B2277" w:rsidRPr="00FA4570">
        <w:rPr>
          <w:sz w:val="28"/>
          <w:szCs w:val="28"/>
        </w:rPr>
        <w:t>(1)</w:t>
      </w:r>
      <w:r w:rsidR="00152C7E" w:rsidRPr="00FA4570">
        <w:rPr>
          <w:sz w:val="28"/>
          <w:szCs w:val="28"/>
        </w:rPr>
        <w:t>, in</w:t>
      </w:r>
      <w:r w:rsidR="006B2277" w:rsidRPr="00FA4570">
        <w:rPr>
          <w:sz w:val="28"/>
          <w:szCs w:val="28"/>
        </w:rPr>
        <w:t xml:space="preserve"> an appeal against </w:t>
      </w:r>
      <w:r w:rsidR="00504826" w:rsidRPr="00FA4570">
        <w:rPr>
          <w:sz w:val="28"/>
          <w:szCs w:val="28"/>
        </w:rPr>
        <w:t xml:space="preserve">the </w:t>
      </w:r>
      <w:r w:rsidR="006B2277" w:rsidRPr="00FA4570">
        <w:rPr>
          <w:sz w:val="28"/>
          <w:szCs w:val="28"/>
        </w:rPr>
        <w:t xml:space="preserve">sentence. </w:t>
      </w:r>
      <w:r w:rsidR="00A231E2" w:rsidRPr="00FA4570">
        <w:rPr>
          <w:sz w:val="28"/>
          <w:szCs w:val="28"/>
        </w:rPr>
        <w:t>T</w:t>
      </w:r>
      <w:r w:rsidR="006B2277" w:rsidRPr="00FA4570">
        <w:rPr>
          <w:sz w:val="28"/>
          <w:szCs w:val="28"/>
        </w:rPr>
        <w:t>he accused were legally represented</w:t>
      </w:r>
      <w:r w:rsidR="00A231E2" w:rsidRPr="00FA4570">
        <w:rPr>
          <w:sz w:val="28"/>
          <w:szCs w:val="28"/>
        </w:rPr>
        <w:t xml:space="preserve"> at the trial.</w:t>
      </w:r>
      <w:r w:rsidR="006B2277" w:rsidRPr="00FA4570">
        <w:rPr>
          <w:sz w:val="28"/>
          <w:szCs w:val="28"/>
        </w:rPr>
        <w:t xml:space="preserve"> The record indicated that, on 26 September 2013, their legal representative informed the court that ‘the defence does not require assessors’. At a pre-trial conference held on 9 December 2013, this was reiterated. When the trial commenced on 31 March 2014, the magistrate asked the legal representative whether what was recorded at the pre-trial conference was still the case, and it was confirmed.</w:t>
      </w:r>
    </w:p>
    <w:p w14:paraId="01B42898" w14:textId="77777777" w:rsidR="006B2277" w:rsidRPr="00FA4570" w:rsidRDefault="006B2277" w:rsidP="000C1370">
      <w:pPr>
        <w:spacing w:line="360" w:lineRule="auto"/>
        <w:jc w:val="both"/>
        <w:rPr>
          <w:sz w:val="28"/>
          <w:szCs w:val="28"/>
        </w:rPr>
      </w:pPr>
    </w:p>
    <w:p w14:paraId="6E982F26" w14:textId="5A279DEE" w:rsidR="00B139DE" w:rsidRPr="00FA4570" w:rsidRDefault="006B2277" w:rsidP="000C1370">
      <w:pPr>
        <w:spacing w:line="360" w:lineRule="auto"/>
        <w:jc w:val="both"/>
        <w:rPr>
          <w:sz w:val="28"/>
          <w:szCs w:val="28"/>
        </w:rPr>
      </w:pPr>
      <w:r w:rsidRPr="00FA4570">
        <w:rPr>
          <w:sz w:val="28"/>
          <w:szCs w:val="28"/>
        </w:rPr>
        <w:t>[</w:t>
      </w:r>
      <w:r w:rsidR="00F16847" w:rsidRPr="00FA4570">
        <w:rPr>
          <w:sz w:val="28"/>
          <w:szCs w:val="28"/>
        </w:rPr>
        <w:t>19</w:t>
      </w:r>
      <w:r w:rsidRPr="00FA4570">
        <w:rPr>
          <w:sz w:val="28"/>
          <w:szCs w:val="28"/>
        </w:rPr>
        <w:t>]</w:t>
      </w:r>
      <w:r w:rsidRPr="00FA4570">
        <w:rPr>
          <w:sz w:val="28"/>
          <w:szCs w:val="28"/>
        </w:rPr>
        <w:tab/>
        <w:t xml:space="preserve">The court </w:t>
      </w:r>
      <w:r w:rsidR="008F22BD" w:rsidRPr="00FA4570">
        <w:rPr>
          <w:sz w:val="28"/>
          <w:szCs w:val="28"/>
        </w:rPr>
        <w:t xml:space="preserve">held that </w:t>
      </w:r>
      <w:r w:rsidR="008F22BD" w:rsidRPr="00FA4570">
        <w:rPr>
          <w:i/>
          <w:iCs/>
          <w:sz w:val="28"/>
          <w:szCs w:val="28"/>
        </w:rPr>
        <w:t>Gayiya</w:t>
      </w:r>
      <w:r w:rsidR="008F22BD" w:rsidRPr="00FA4570">
        <w:rPr>
          <w:sz w:val="28"/>
          <w:szCs w:val="28"/>
        </w:rPr>
        <w:t xml:space="preserve"> had endorsed the approach set out in </w:t>
      </w:r>
      <w:r w:rsidRPr="00FA4570">
        <w:rPr>
          <w:i/>
          <w:sz w:val="28"/>
          <w:szCs w:val="28"/>
        </w:rPr>
        <w:t>Chala</w:t>
      </w:r>
      <w:r w:rsidR="008F22BD" w:rsidRPr="00FA4570">
        <w:rPr>
          <w:i/>
          <w:sz w:val="28"/>
          <w:szCs w:val="28"/>
        </w:rPr>
        <w:t>.</w:t>
      </w:r>
      <w:r w:rsidR="00944F79" w:rsidRPr="00FA4570">
        <w:rPr>
          <w:rStyle w:val="FootnoteReference"/>
          <w:sz w:val="28"/>
          <w:szCs w:val="28"/>
        </w:rPr>
        <w:footnoteReference w:id="18"/>
      </w:r>
      <w:r w:rsidR="00A231E2" w:rsidRPr="00FA4570">
        <w:rPr>
          <w:sz w:val="28"/>
          <w:szCs w:val="28"/>
        </w:rPr>
        <w:t xml:space="preserve"> It</w:t>
      </w:r>
      <w:r w:rsidRPr="00FA4570">
        <w:rPr>
          <w:sz w:val="28"/>
          <w:szCs w:val="28"/>
        </w:rPr>
        <w:t xml:space="preserve"> </w:t>
      </w:r>
      <w:r w:rsidR="008F22BD" w:rsidRPr="00FA4570">
        <w:rPr>
          <w:sz w:val="28"/>
          <w:szCs w:val="28"/>
        </w:rPr>
        <w:t>held that</w:t>
      </w:r>
      <w:r w:rsidRPr="00FA4570">
        <w:rPr>
          <w:sz w:val="28"/>
          <w:szCs w:val="28"/>
        </w:rPr>
        <w:t xml:space="preserve"> </w:t>
      </w:r>
      <w:r w:rsidRPr="00FA4570">
        <w:rPr>
          <w:i/>
          <w:sz w:val="28"/>
          <w:szCs w:val="28"/>
        </w:rPr>
        <w:t>Langalitshoni</w:t>
      </w:r>
      <w:r w:rsidR="008F22BD" w:rsidRPr="00FA4570">
        <w:rPr>
          <w:sz w:val="28"/>
          <w:szCs w:val="28"/>
        </w:rPr>
        <w:t xml:space="preserve"> </w:t>
      </w:r>
      <w:r w:rsidRPr="00FA4570">
        <w:rPr>
          <w:sz w:val="28"/>
          <w:szCs w:val="28"/>
        </w:rPr>
        <w:t xml:space="preserve">had expanded on the approach previously adopted. </w:t>
      </w:r>
      <w:r w:rsidR="008F22BD" w:rsidRPr="00FA4570">
        <w:rPr>
          <w:sz w:val="28"/>
          <w:szCs w:val="28"/>
        </w:rPr>
        <w:t>It</w:t>
      </w:r>
      <w:r w:rsidRPr="00FA4570">
        <w:rPr>
          <w:sz w:val="28"/>
          <w:szCs w:val="28"/>
        </w:rPr>
        <w:t xml:space="preserve"> found</w:t>
      </w:r>
      <w:r w:rsidR="008F22BD" w:rsidRPr="00FA4570">
        <w:rPr>
          <w:sz w:val="28"/>
          <w:szCs w:val="28"/>
        </w:rPr>
        <w:t xml:space="preserve"> </w:t>
      </w:r>
      <w:r w:rsidRPr="00FA4570">
        <w:rPr>
          <w:sz w:val="28"/>
          <w:szCs w:val="28"/>
        </w:rPr>
        <w:t>that the proviso to s 93</w:t>
      </w:r>
      <w:r w:rsidRPr="00FA4570">
        <w:rPr>
          <w:i/>
          <w:sz w:val="28"/>
          <w:szCs w:val="28"/>
        </w:rPr>
        <w:t>te</w:t>
      </w:r>
      <w:r w:rsidR="002E23A2" w:rsidRPr="00FA4570">
        <w:rPr>
          <w:i/>
          <w:sz w:val="28"/>
          <w:szCs w:val="28"/>
        </w:rPr>
        <w:t>r</w:t>
      </w:r>
      <w:r w:rsidRPr="00FA4570">
        <w:rPr>
          <w:sz w:val="28"/>
          <w:szCs w:val="28"/>
        </w:rPr>
        <w:t xml:space="preserve">(1) was never explained to the accused and </w:t>
      </w:r>
      <w:r w:rsidR="008F22BD" w:rsidRPr="00FA4570">
        <w:rPr>
          <w:sz w:val="28"/>
          <w:szCs w:val="28"/>
        </w:rPr>
        <w:t xml:space="preserve">that </w:t>
      </w:r>
      <w:r w:rsidRPr="00FA4570">
        <w:rPr>
          <w:sz w:val="28"/>
          <w:szCs w:val="28"/>
        </w:rPr>
        <w:t xml:space="preserve">he </w:t>
      </w:r>
      <w:r w:rsidR="008F22BD" w:rsidRPr="00FA4570">
        <w:rPr>
          <w:sz w:val="28"/>
          <w:szCs w:val="28"/>
        </w:rPr>
        <w:t xml:space="preserve">had not </w:t>
      </w:r>
      <w:r w:rsidRPr="00FA4570">
        <w:rPr>
          <w:sz w:val="28"/>
          <w:szCs w:val="28"/>
        </w:rPr>
        <w:t xml:space="preserve">made a request not to sit with </w:t>
      </w:r>
      <w:r w:rsidR="00152C7E" w:rsidRPr="00FA4570">
        <w:rPr>
          <w:sz w:val="28"/>
          <w:szCs w:val="28"/>
        </w:rPr>
        <w:t>assessors</w:t>
      </w:r>
      <w:r w:rsidRPr="00FA4570">
        <w:rPr>
          <w:sz w:val="28"/>
          <w:szCs w:val="28"/>
        </w:rPr>
        <w:t>. It</w:t>
      </w:r>
      <w:r w:rsidR="004367D9" w:rsidRPr="00FA4570">
        <w:rPr>
          <w:sz w:val="28"/>
          <w:szCs w:val="28"/>
        </w:rPr>
        <w:t xml:space="preserve"> </w:t>
      </w:r>
      <w:r w:rsidRPr="00FA4570">
        <w:rPr>
          <w:sz w:val="28"/>
          <w:szCs w:val="28"/>
        </w:rPr>
        <w:t xml:space="preserve">set aside the </w:t>
      </w:r>
      <w:r w:rsidR="00944F79" w:rsidRPr="00FA4570">
        <w:rPr>
          <w:sz w:val="28"/>
          <w:szCs w:val="28"/>
        </w:rPr>
        <w:t>conviction</w:t>
      </w:r>
      <w:r w:rsidRPr="00FA4570">
        <w:rPr>
          <w:sz w:val="28"/>
          <w:szCs w:val="28"/>
        </w:rPr>
        <w:t xml:space="preserve"> and sentence.</w:t>
      </w:r>
    </w:p>
    <w:p w14:paraId="504769E3" w14:textId="77777777" w:rsidR="006B2277" w:rsidRPr="00FA4570" w:rsidRDefault="006B2277" w:rsidP="000C1370">
      <w:pPr>
        <w:spacing w:line="360" w:lineRule="auto"/>
        <w:jc w:val="both"/>
        <w:rPr>
          <w:sz w:val="28"/>
          <w:szCs w:val="28"/>
        </w:rPr>
      </w:pPr>
    </w:p>
    <w:p w14:paraId="4101FD86" w14:textId="55DC54D7" w:rsidR="0060239C" w:rsidRPr="00FA4570" w:rsidRDefault="006B2277" w:rsidP="000C1370">
      <w:pPr>
        <w:spacing w:line="360" w:lineRule="auto"/>
        <w:jc w:val="both"/>
        <w:rPr>
          <w:sz w:val="28"/>
          <w:szCs w:val="28"/>
        </w:rPr>
      </w:pPr>
      <w:r w:rsidRPr="00FA4570">
        <w:rPr>
          <w:sz w:val="28"/>
          <w:szCs w:val="28"/>
        </w:rPr>
        <w:lastRenderedPageBreak/>
        <w:t>[2</w:t>
      </w:r>
      <w:r w:rsidR="00F16847" w:rsidRPr="00FA4570">
        <w:rPr>
          <w:sz w:val="28"/>
          <w:szCs w:val="28"/>
        </w:rPr>
        <w:t>0</w:t>
      </w:r>
      <w:r w:rsidRPr="00FA4570">
        <w:rPr>
          <w:sz w:val="28"/>
          <w:szCs w:val="28"/>
        </w:rPr>
        <w:t>]</w:t>
      </w:r>
      <w:r w:rsidRPr="00FA4570">
        <w:rPr>
          <w:sz w:val="28"/>
          <w:szCs w:val="28"/>
        </w:rPr>
        <w:tab/>
        <w:t xml:space="preserve">On 28 March 2022, judgment was delivered in </w:t>
      </w:r>
      <w:r w:rsidRPr="00FA4570">
        <w:rPr>
          <w:i/>
          <w:sz w:val="28"/>
          <w:szCs w:val="28"/>
        </w:rPr>
        <w:t>Hlatshwayo and Another v S</w:t>
      </w:r>
      <w:r w:rsidR="00C102ED" w:rsidRPr="00FA4570">
        <w:rPr>
          <w:sz w:val="28"/>
          <w:szCs w:val="28"/>
        </w:rPr>
        <w:t>.</w:t>
      </w:r>
      <w:r w:rsidRPr="00FA4570">
        <w:rPr>
          <w:rStyle w:val="FootnoteReference"/>
          <w:sz w:val="28"/>
          <w:szCs w:val="28"/>
        </w:rPr>
        <w:footnoteReference w:id="19"/>
      </w:r>
      <w:r w:rsidR="00C102ED" w:rsidRPr="00FA4570">
        <w:rPr>
          <w:sz w:val="28"/>
          <w:szCs w:val="28"/>
        </w:rPr>
        <w:t xml:space="preserve"> </w:t>
      </w:r>
      <w:r w:rsidR="00094490" w:rsidRPr="00FA4570">
        <w:rPr>
          <w:sz w:val="28"/>
          <w:szCs w:val="28"/>
        </w:rPr>
        <w:t xml:space="preserve">It followed </w:t>
      </w:r>
      <w:r w:rsidR="00094490" w:rsidRPr="00FA4570">
        <w:rPr>
          <w:i/>
          <w:iCs/>
          <w:sz w:val="28"/>
          <w:szCs w:val="28"/>
        </w:rPr>
        <w:t>Nxumalo</w:t>
      </w:r>
      <w:r w:rsidR="009E7C8F" w:rsidRPr="00FA4570">
        <w:rPr>
          <w:i/>
          <w:iCs/>
          <w:sz w:val="28"/>
          <w:szCs w:val="28"/>
        </w:rPr>
        <w:t xml:space="preserve">. </w:t>
      </w:r>
      <w:r w:rsidR="00D07F0E" w:rsidRPr="00FA4570">
        <w:rPr>
          <w:sz w:val="28"/>
          <w:szCs w:val="28"/>
        </w:rPr>
        <w:t xml:space="preserve">It </w:t>
      </w:r>
      <w:r w:rsidR="0060239C" w:rsidRPr="00FA4570">
        <w:rPr>
          <w:sz w:val="28"/>
          <w:szCs w:val="28"/>
        </w:rPr>
        <w:t xml:space="preserve">held that the record did not disclose that the proviso was explained and found that the trial court was not properly constituted. It set aside </w:t>
      </w:r>
      <w:r w:rsidR="00D07F0E" w:rsidRPr="00FA4570">
        <w:rPr>
          <w:sz w:val="28"/>
          <w:szCs w:val="28"/>
        </w:rPr>
        <w:t>convictions and sentences.</w:t>
      </w:r>
      <w:r w:rsidR="00094490" w:rsidRPr="00FA4570">
        <w:rPr>
          <w:sz w:val="28"/>
          <w:szCs w:val="28"/>
        </w:rPr>
        <w:t xml:space="preserve"> </w:t>
      </w:r>
      <w:r w:rsidR="0060239C" w:rsidRPr="00FA4570">
        <w:rPr>
          <w:i/>
          <w:sz w:val="28"/>
          <w:szCs w:val="28"/>
        </w:rPr>
        <w:t>Zulu v State</w:t>
      </w:r>
      <w:r w:rsidR="0060239C" w:rsidRPr="00FA4570">
        <w:rPr>
          <w:rStyle w:val="FootnoteReference"/>
          <w:sz w:val="28"/>
          <w:szCs w:val="28"/>
        </w:rPr>
        <w:footnoteReference w:id="20"/>
      </w:r>
      <w:r w:rsidR="0060239C" w:rsidRPr="00FA4570">
        <w:rPr>
          <w:sz w:val="28"/>
          <w:szCs w:val="28"/>
        </w:rPr>
        <w:t xml:space="preserve"> was delivered on 13 May 2022. In that case, the question relating to </w:t>
      </w:r>
      <w:r w:rsidR="00D07F0E" w:rsidRPr="00FA4570">
        <w:rPr>
          <w:sz w:val="28"/>
          <w:szCs w:val="28"/>
        </w:rPr>
        <w:t xml:space="preserve">the </w:t>
      </w:r>
      <w:r w:rsidR="0060239C" w:rsidRPr="00FA4570">
        <w:rPr>
          <w:sz w:val="28"/>
          <w:szCs w:val="28"/>
        </w:rPr>
        <w:t>constitution of the trial court in terms of s 93</w:t>
      </w:r>
      <w:r w:rsidR="0060239C" w:rsidRPr="00FA4570">
        <w:rPr>
          <w:i/>
          <w:sz w:val="28"/>
          <w:szCs w:val="28"/>
        </w:rPr>
        <w:t>ter</w:t>
      </w:r>
      <w:r w:rsidR="0060239C" w:rsidRPr="00FA4570">
        <w:rPr>
          <w:sz w:val="28"/>
          <w:szCs w:val="28"/>
        </w:rPr>
        <w:t xml:space="preserve">(1) was not dealt with in pre-trial proceedings. </w:t>
      </w:r>
      <w:r w:rsidR="00094490" w:rsidRPr="00FA4570">
        <w:rPr>
          <w:i/>
          <w:iCs/>
          <w:sz w:val="28"/>
          <w:szCs w:val="28"/>
        </w:rPr>
        <w:t>Zulu</w:t>
      </w:r>
      <w:r w:rsidR="00094490" w:rsidRPr="00FA4570">
        <w:rPr>
          <w:sz w:val="28"/>
          <w:szCs w:val="28"/>
        </w:rPr>
        <w:t xml:space="preserve"> also followed </w:t>
      </w:r>
      <w:r w:rsidR="00094490" w:rsidRPr="00FA4570">
        <w:rPr>
          <w:i/>
          <w:iCs/>
          <w:sz w:val="28"/>
          <w:szCs w:val="28"/>
        </w:rPr>
        <w:t>Nxumalo.</w:t>
      </w:r>
      <w:r w:rsidR="00154136" w:rsidRPr="00FA4570">
        <w:rPr>
          <w:sz w:val="28"/>
          <w:szCs w:val="28"/>
        </w:rPr>
        <w:t xml:space="preserve"> </w:t>
      </w:r>
      <w:r w:rsidR="00094490" w:rsidRPr="00FA4570">
        <w:rPr>
          <w:sz w:val="28"/>
          <w:szCs w:val="28"/>
        </w:rPr>
        <w:t>The court</w:t>
      </w:r>
      <w:r w:rsidR="00154136" w:rsidRPr="00FA4570">
        <w:rPr>
          <w:sz w:val="28"/>
          <w:szCs w:val="28"/>
        </w:rPr>
        <w:t xml:space="preserve"> set aside</w:t>
      </w:r>
      <w:r w:rsidR="00751C98" w:rsidRPr="00FA4570">
        <w:rPr>
          <w:sz w:val="28"/>
          <w:szCs w:val="28"/>
        </w:rPr>
        <w:t xml:space="preserve"> the </w:t>
      </w:r>
      <w:r w:rsidR="00D07F0E" w:rsidRPr="00FA4570">
        <w:rPr>
          <w:sz w:val="28"/>
          <w:szCs w:val="28"/>
        </w:rPr>
        <w:t>convictions</w:t>
      </w:r>
      <w:r w:rsidR="00751C98" w:rsidRPr="00FA4570">
        <w:rPr>
          <w:sz w:val="28"/>
          <w:szCs w:val="28"/>
        </w:rPr>
        <w:t xml:space="preserve"> and remitted the matter to the regional court for the trial to commence </w:t>
      </w:r>
      <w:r w:rsidR="00751C98" w:rsidRPr="00FA4570">
        <w:rPr>
          <w:i/>
          <w:sz w:val="28"/>
          <w:szCs w:val="28"/>
        </w:rPr>
        <w:t>de novo</w:t>
      </w:r>
      <w:r w:rsidR="00751C98" w:rsidRPr="00FA4570">
        <w:rPr>
          <w:sz w:val="28"/>
          <w:szCs w:val="28"/>
        </w:rPr>
        <w:t>.</w:t>
      </w:r>
      <w:r w:rsidR="00094BAE" w:rsidRPr="00FA4570">
        <w:rPr>
          <w:sz w:val="28"/>
          <w:szCs w:val="28"/>
        </w:rPr>
        <w:t xml:space="preserve"> </w:t>
      </w:r>
    </w:p>
    <w:p w14:paraId="51802A39" w14:textId="77777777" w:rsidR="00751C98" w:rsidRPr="00FA4570" w:rsidRDefault="00751C98" w:rsidP="000C1370">
      <w:pPr>
        <w:spacing w:line="360" w:lineRule="auto"/>
        <w:jc w:val="both"/>
        <w:rPr>
          <w:sz w:val="28"/>
          <w:szCs w:val="28"/>
        </w:rPr>
      </w:pPr>
    </w:p>
    <w:p w14:paraId="1062FBB8" w14:textId="6F1A7F6B" w:rsidR="00751C98" w:rsidRPr="00FA4570" w:rsidRDefault="00751C98" w:rsidP="000C1370">
      <w:pPr>
        <w:spacing w:line="360" w:lineRule="auto"/>
        <w:jc w:val="both"/>
        <w:rPr>
          <w:sz w:val="28"/>
          <w:szCs w:val="28"/>
        </w:rPr>
      </w:pPr>
      <w:r w:rsidRPr="00FA4570">
        <w:rPr>
          <w:sz w:val="28"/>
          <w:szCs w:val="28"/>
        </w:rPr>
        <w:t>[</w:t>
      </w:r>
      <w:r w:rsidR="00DC66D3" w:rsidRPr="00FA4570">
        <w:rPr>
          <w:sz w:val="28"/>
          <w:szCs w:val="28"/>
        </w:rPr>
        <w:t>2</w:t>
      </w:r>
      <w:r w:rsidR="00F16847" w:rsidRPr="00FA4570">
        <w:rPr>
          <w:sz w:val="28"/>
          <w:szCs w:val="28"/>
        </w:rPr>
        <w:t>1</w:t>
      </w:r>
      <w:r w:rsidRPr="00FA4570">
        <w:rPr>
          <w:sz w:val="28"/>
          <w:szCs w:val="28"/>
        </w:rPr>
        <w:t>]</w:t>
      </w:r>
      <w:r w:rsidRPr="00FA4570">
        <w:rPr>
          <w:sz w:val="28"/>
          <w:szCs w:val="28"/>
        </w:rPr>
        <w:tab/>
        <w:t xml:space="preserve">On 29 July 2022, </w:t>
      </w:r>
      <w:r w:rsidR="00D07F0E" w:rsidRPr="00FA4570">
        <w:rPr>
          <w:sz w:val="28"/>
          <w:szCs w:val="28"/>
        </w:rPr>
        <w:t xml:space="preserve">the judgment in </w:t>
      </w:r>
      <w:r w:rsidRPr="00FA4570">
        <w:rPr>
          <w:i/>
          <w:sz w:val="28"/>
          <w:szCs w:val="28"/>
        </w:rPr>
        <w:t>Green v State</w:t>
      </w:r>
      <w:r w:rsidRPr="00FA4570">
        <w:rPr>
          <w:rStyle w:val="FootnoteReference"/>
          <w:sz w:val="28"/>
          <w:szCs w:val="28"/>
        </w:rPr>
        <w:footnoteReference w:id="21"/>
      </w:r>
      <w:r w:rsidRPr="00FA4570">
        <w:rPr>
          <w:i/>
          <w:sz w:val="28"/>
          <w:szCs w:val="28"/>
        </w:rPr>
        <w:t xml:space="preserve"> </w:t>
      </w:r>
      <w:r w:rsidRPr="00FA4570">
        <w:rPr>
          <w:sz w:val="28"/>
          <w:szCs w:val="28"/>
        </w:rPr>
        <w:t>(</w:t>
      </w:r>
      <w:r w:rsidRPr="00FA4570">
        <w:rPr>
          <w:i/>
          <w:iCs/>
          <w:sz w:val="28"/>
          <w:szCs w:val="28"/>
        </w:rPr>
        <w:t>Green</w:t>
      </w:r>
      <w:r w:rsidRPr="00FA4570">
        <w:rPr>
          <w:sz w:val="28"/>
          <w:szCs w:val="28"/>
        </w:rPr>
        <w:t>) was delivered.</w:t>
      </w:r>
      <w:r w:rsidR="00094490" w:rsidRPr="00FA4570">
        <w:rPr>
          <w:rStyle w:val="FootnoteReference"/>
          <w:sz w:val="28"/>
          <w:szCs w:val="28"/>
        </w:rPr>
        <w:footnoteReference w:id="22"/>
      </w:r>
      <w:r w:rsidRPr="00FA4570">
        <w:rPr>
          <w:sz w:val="28"/>
          <w:szCs w:val="28"/>
        </w:rPr>
        <w:t xml:space="preserve"> </w:t>
      </w:r>
      <w:r w:rsidRPr="00FA4570">
        <w:rPr>
          <w:i/>
          <w:iCs/>
          <w:sz w:val="28"/>
          <w:szCs w:val="28"/>
        </w:rPr>
        <w:t>Green</w:t>
      </w:r>
      <w:r w:rsidRPr="00FA4570">
        <w:rPr>
          <w:sz w:val="28"/>
          <w:szCs w:val="28"/>
        </w:rPr>
        <w:t xml:space="preserve"> marked a departure </w:t>
      </w:r>
      <w:r w:rsidR="00DC66D3" w:rsidRPr="00FA4570">
        <w:rPr>
          <w:sz w:val="28"/>
          <w:szCs w:val="28"/>
        </w:rPr>
        <w:t xml:space="preserve">from </w:t>
      </w:r>
      <w:r w:rsidRPr="00FA4570">
        <w:rPr>
          <w:sz w:val="28"/>
          <w:szCs w:val="28"/>
        </w:rPr>
        <w:t>the approach adopted in the earlier judgments. In that matter</w:t>
      </w:r>
      <w:r w:rsidR="00504826" w:rsidRPr="00FA4570">
        <w:rPr>
          <w:sz w:val="28"/>
          <w:szCs w:val="28"/>
        </w:rPr>
        <w:t>,</w:t>
      </w:r>
      <w:r w:rsidRPr="00FA4570">
        <w:rPr>
          <w:sz w:val="28"/>
          <w:szCs w:val="28"/>
        </w:rPr>
        <w:t xml:space="preserve"> </w:t>
      </w:r>
      <w:r w:rsidR="00094490" w:rsidRPr="00FA4570">
        <w:rPr>
          <w:sz w:val="28"/>
          <w:szCs w:val="28"/>
        </w:rPr>
        <w:t>the</w:t>
      </w:r>
      <w:r w:rsidR="00D07F0E" w:rsidRPr="00FA4570">
        <w:rPr>
          <w:sz w:val="28"/>
          <w:szCs w:val="28"/>
        </w:rPr>
        <w:t xml:space="preserve"> minute</w:t>
      </w:r>
      <w:r w:rsidRPr="00FA4570">
        <w:rPr>
          <w:sz w:val="28"/>
          <w:szCs w:val="28"/>
        </w:rPr>
        <w:t xml:space="preserve"> </w:t>
      </w:r>
      <w:r w:rsidR="00094490" w:rsidRPr="00FA4570">
        <w:rPr>
          <w:sz w:val="28"/>
          <w:szCs w:val="28"/>
        </w:rPr>
        <w:t xml:space="preserve">of a pre-trial conference </w:t>
      </w:r>
      <w:r w:rsidRPr="00FA4570">
        <w:rPr>
          <w:sz w:val="28"/>
          <w:szCs w:val="28"/>
        </w:rPr>
        <w:t>recorded that ‘no lay assessors [are] required</w:t>
      </w:r>
      <w:r w:rsidR="009E7C8F" w:rsidRPr="00FA4570">
        <w:rPr>
          <w:sz w:val="28"/>
          <w:szCs w:val="28"/>
        </w:rPr>
        <w:t>.’</w:t>
      </w:r>
      <w:r w:rsidRPr="00FA4570">
        <w:rPr>
          <w:sz w:val="28"/>
          <w:szCs w:val="28"/>
        </w:rPr>
        <w:t xml:space="preserve"> Dumisa AJ, who </w:t>
      </w:r>
      <w:r w:rsidR="00D07F0E" w:rsidRPr="00FA4570">
        <w:rPr>
          <w:sz w:val="28"/>
          <w:szCs w:val="28"/>
        </w:rPr>
        <w:t>wrote</w:t>
      </w:r>
      <w:r w:rsidRPr="00FA4570">
        <w:rPr>
          <w:sz w:val="28"/>
          <w:szCs w:val="28"/>
        </w:rPr>
        <w:t xml:space="preserve"> the main judgment, accepted that the requirements of s 93</w:t>
      </w:r>
      <w:r w:rsidR="003B3660" w:rsidRPr="00FA4570">
        <w:rPr>
          <w:i/>
          <w:sz w:val="28"/>
          <w:szCs w:val="28"/>
        </w:rPr>
        <w:t>ter</w:t>
      </w:r>
      <w:r w:rsidR="00C5469B" w:rsidRPr="00FA4570">
        <w:rPr>
          <w:sz w:val="28"/>
          <w:szCs w:val="28"/>
        </w:rPr>
        <w:t xml:space="preserve">(1) were met. </w:t>
      </w:r>
      <w:r w:rsidR="003B3660" w:rsidRPr="00FA4570">
        <w:rPr>
          <w:sz w:val="28"/>
          <w:szCs w:val="28"/>
        </w:rPr>
        <w:t>He</w:t>
      </w:r>
      <w:r w:rsidR="00C5469B" w:rsidRPr="00FA4570">
        <w:rPr>
          <w:sz w:val="28"/>
          <w:szCs w:val="28"/>
        </w:rPr>
        <w:t xml:space="preserve"> held that there was no reason to doubt the competenc</w:t>
      </w:r>
      <w:r w:rsidR="00094490" w:rsidRPr="00FA4570">
        <w:rPr>
          <w:sz w:val="28"/>
          <w:szCs w:val="28"/>
        </w:rPr>
        <w:t>e</w:t>
      </w:r>
      <w:r w:rsidR="00C5469B" w:rsidRPr="00FA4570">
        <w:rPr>
          <w:sz w:val="28"/>
          <w:szCs w:val="28"/>
        </w:rPr>
        <w:t xml:space="preserve"> of the legal representative and that the court was entitled to assume that the accused had made his election with the benefit of advice.</w:t>
      </w:r>
    </w:p>
    <w:p w14:paraId="19F30DBF" w14:textId="77777777" w:rsidR="00C5469B" w:rsidRPr="00FA4570" w:rsidRDefault="00C5469B" w:rsidP="000C1370">
      <w:pPr>
        <w:spacing w:line="360" w:lineRule="auto"/>
        <w:jc w:val="both"/>
        <w:rPr>
          <w:sz w:val="28"/>
          <w:szCs w:val="28"/>
        </w:rPr>
      </w:pPr>
    </w:p>
    <w:p w14:paraId="1F212B14" w14:textId="3A8024F8" w:rsidR="00C5469B" w:rsidRPr="00FA4570" w:rsidRDefault="00C5469B" w:rsidP="000C1370">
      <w:pPr>
        <w:spacing w:line="360" w:lineRule="auto"/>
        <w:jc w:val="both"/>
        <w:rPr>
          <w:sz w:val="28"/>
          <w:szCs w:val="28"/>
        </w:rPr>
      </w:pPr>
      <w:r w:rsidRPr="00FA4570">
        <w:rPr>
          <w:sz w:val="28"/>
          <w:szCs w:val="28"/>
        </w:rPr>
        <w:t>[</w:t>
      </w:r>
      <w:r w:rsidR="00D07F0E" w:rsidRPr="00FA4570">
        <w:rPr>
          <w:sz w:val="28"/>
          <w:szCs w:val="28"/>
        </w:rPr>
        <w:t>2</w:t>
      </w:r>
      <w:r w:rsidR="00F16847" w:rsidRPr="00FA4570">
        <w:rPr>
          <w:sz w:val="28"/>
          <w:szCs w:val="28"/>
        </w:rPr>
        <w:t>2</w:t>
      </w:r>
      <w:r w:rsidRPr="00FA4570">
        <w:rPr>
          <w:sz w:val="28"/>
          <w:szCs w:val="28"/>
        </w:rPr>
        <w:t>]</w:t>
      </w:r>
      <w:r w:rsidRPr="00FA4570">
        <w:rPr>
          <w:sz w:val="28"/>
          <w:szCs w:val="28"/>
        </w:rPr>
        <w:tab/>
        <w:t>In</w:t>
      </w:r>
      <w:r w:rsidR="003B3660" w:rsidRPr="00FA4570">
        <w:rPr>
          <w:sz w:val="28"/>
          <w:szCs w:val="28"/>
        </w:rPr>
        <w:t xml:space="preserve"> a concurring judgment, Olsen J</w:t>
      </w:r>
      <w:r w:rsidRPr="00FA4570">
        <w:rPr>
          <w:sz w:val="28"/>
          <w:szCs w:val="28"/>
        </w:rPr>
        <w:t xml:space="preserve"> addressed the conflict between </w:t>
      </w:r>
      <w:r w:rsidRPr="00FA4570">
        <w:rPr>
          <w:i/>
          <w:iCs/>
          <w:sz w:val="28"/>
          <w:szCs w:val="28"/>
        </w:rPr>
        <w:t>Ngomane</w:t>
      </w:r>
      <w:r w:rsidRPr="00FA4570">
        <w:rPr>
          <w:sz w:val="28"/>
          <w:szCs w:val="28"/>
        </w:rPr>
        <w:t xml:space="preserve"> and </w:t>
      </w:r>
      <w:r w:rsidRPr="00FA4570">
        <w:rPr>
          <w:i/>
          <w:iCs/>
          <w:sz w:val="28"/>
          <w:szCs w:val="28"/>
        </w:rPr>
        <w:t>Langalitsh</w:t>
      </w:r>
      <w:r w:rsidR="00D07F0E" w:rsidRPr="00FA4570">
        <w:rPr>
          <w:i/>
          <w:iCs/>
          <w:sz w:val="28"/>
          <w:szCs w:val="28"/>
        </w:rPr>
        <w:t>o</w:t>
      </w:r>
      <w:r w:rsidRPr="00FA4570">
        <w:rPr>
          <w:i/>
          <w:iCs/>
          <w:sz w:val="28"/>
          <w:szCs w:val="28"/>
        </w:rPr>
        <w:t>ni</w:t>
      </w:r>
      <w:r w:rsidR="00B20AE9" w:rsidRPr="00FA4570">
        <w:rPr>
          <w:i/>
          <w:iCs/>
          <w:sz w:val="28"/>
          <w:szCs w:val="28"/>
        </w:rPr>
        <w:t>.</w:t>
      </w:r>
      <w:r w:rsidRPr="00FA4570">
        <w:rPr>
          <w:sz w:val="28"/>
          <w:szCs w:val="28"/>
        </w:rPr>
        <w:t xml:space="preserve"> In relation to the judgments of </w:t>
      </w:r>
      <w:r w:rsidRPr="00FA4570">
        <w:rPr>
          <w:i/>
          <w:iCs/>
          <w:sz w:val="28"/>
          <w:szCs w:val="28"/>
        </w:rPr>
        <w:t>Nxumalo</w:t>
      </w:r>
      <w:r w:rsidRPr="00FA4570">
        <w:rPr>
          <w:sz w:val="28"/>
          <w:szCs w:val="28"/>
        </w:rPr>
        <w:t xml:space="preserve">, </w:t>
      </w:r>
      <w:r w:rsidRPr="00FA4570">
        <w:rPr>
          <w:i/>
          <w:iCs/>
          <w:sz w:val="28"/>
          <w:szCs w:val="28"/>
        </w:rPr>
        <w:t>Hlatshwayo</w:t>
      </w:r>
      <w:r w:rsidRPr="00FA4570">
        <w:rPr>
          <w:sz w:val="28"/>
          <w:szCs w:val="28"/>
        </w:rPr>
        <w:t xml:space="preserve"> and </w:t>
      </w:r>
      <w:r w:rsidRPr="00FA4570">
        <w:rPr>
          <w:i/>
          <w:iCs/>
          <w:sz w:val="28"/>
          <w:szCs w:val="28"/>
        </w:rPr>
        <w:t>Zulu</w:t>
      </w:r>
      <w:r w:rsidRPr="00FA4570">
        <w:rPr>
          <w:sz w:val="28"/>
          <w:szCs w:val="28"/>
        </w:rPr>
        <w:t>, Olsen J state</w:t>
      </w:r>
      <w:r w:rsidR="00B20AE9" w:rsidRPr="00FA4570">
        <w:rPr>
          <w:sz w:val="28"/>
          <w:szCs w:val="28"/>
        </w:rPr>
        <w:t>d</w:t>
      </w:r>
      <w:r w:rsidRPr="00FA4570">
        <w:rPr>
          <w:sz w:val="28"/>
          <w:szCs w:val="28"/>
        </w:rPr>
        <w:t>:</w:t>
      </w:r>
      <w:r w:rsidRPr="00FA4570">
        <w:rPr>
          <w:rStyle w:val="FootnoteReference"/>
          <w:sz w:val="28"/>
          <w:szCs w:val="28"/>
        </w:rPr>
        <w:footnoteReference w:id="23"/>
      </w:r>
    </w:p>
    <w:p w14:paraId="617DC0D2" w14:textId="6418E804" w:rsidR="00B62AE0" w:rsidRPr="00FA4570" w:rsidRDefault="00C5469B" w:rsidP="000C1370">
      <w:pPr>
        <w:spacing w:line="360" w:lineRule="auto"/>
        <w:jc w:val="both"/>
      </w:pPr>
      <w:r w:rsidRPr="00FA4570">
        <w:t xml:space="preserve">‘I have not found a report of any case in this division in which it was held, before the judgment in </w:t>
      </w:r>
      <w:r w:rsidRPr="00FA4570">
        <w:rPr>
          <w:i/>
          <w:iCs/>
        </w:rPr>
        <w:t>Langalitsh</w:t>
      </w:r>
      <w:r w:rsidR="00984FDD" w:rsidRPr="00FA4570">
        <w:rPr>
          <w:i/>
          <w:iCs/>
        </w:rPr>
        <w:t>o</w:t>
      </w:r>
      <w:r w:rsidRPr="00FA4570">
        <w:rPr>
          <w:i/>
          <w:iCs/>
        </w:rPr>
        <w:t>ni</w:t>
      </w:r>
      <w:r w:rsidRPr="00FA4570">
        <w:t xml:space="preserve"> was handed down, that a simple record of a request by an accused (conveyed by his legal representative) that the magistrate </w:t>
      </w:r>
      <w:r w:rsidR="00152C7E" w:rsidRPr="00FA4570">
        <w:t>sits</w:t>
      </w:r>
      <w:r w:rsidR="00144246" w:rsidRPr="00FA4570">
        <w:t xml:space="preserve"> alone is</w:t>
      </w:r>
      <w:r w:rsidRPr="00FA4570">
        <w:t xml:space="preserve"> inadequate to establish the proper constitution of a court presided over by a magistrate alone. That accords with my understanding of the attitude of this Court at the time, that a record of the choice alone is sufficient. I have </w:t>
      </w:r>
      <w:r w:rsidRPr="00FA4570">
        <w:lastRenderedPageBreak/>
        <w:t xml:space="preserve">found three judgments which post-date </w:t>
      </w:r>
      <w:r w:rsidRPr="00FA4570">
        <w:rPr>
          <w:i/>
          <w:iCs/>
        </w:rPr>
        <w:t>Langalitsh</w:t>
      </w:r>
      <w:r w:rsidR="00984FDD" w:rsidRPr="00FA4570">
        <w:rPr>
          <w:i/>
          <w:iCs/>
        </w:rPr>
        <w:t>o</w:t>
      </w:r>
      <w:r w:rsidRPr="00FA4570">
        <w:rPr>
          <w:i/>
          <w:iCs/>
        </w:rPr>
        <w:t>ni</w:t>
      </w:r>
      <w:r w:rsidRPr="00FA4570">
        <w:t xml:space="preserve"> in which that case was followed in this division without co</w:t>
      </w:r>
      <w:r w:rsidR="008B59D4" w:rsidRPr="00FA4570">
        <w:t xml:space="preserve">mment. [References to </w:t>
      </w:r>
      <w:r w:rsidR="008B59D4" w:rsidRPr="00FA4570">
        <w:rPr>
          <w:i/>
          <w:iCs/>
        </w:rPr>
        <w:t>Nxumalo</w:t>
      </w:r>
      <w:r w:rsidR="008B59D4" w:rsidRPr="00FA4570">
        <w:t xml:space="preserve">, </w:t>
      </w:r>
      <w:r w:rsidR="008B59D4" w:rsidRPr="00FA4570">
        <w:rPr>
          <w:i/>
          <w:iCs/>
        </w:rPr>
        <w:t>Hlats</w:t>
      </w:r>
      <w:r w:rsidR="00B62AE0" w:rsidRPr="00FA4570">
        <w:rPr>
          <w:i/>
          <w:iCs/>
        </w:rPr>
        <w:t>h</w:t>
      </w:r>
      <w:r w:rsidR="008B59D4" w:rsidRPr="00FA4570">
        <w:rPr>
          <w:i/>
          <w:iCs/>
        </w:rPr>
        <w:t>wayo</w:t>
      </w:r>
      <w:r w:rsidR="008B59D4" w:rsidRPr="00FA4570">
        <w:t xml:space="preserve"> and </w:t>
      </w:r>
      <w:r w:rsidR="008B59D4" w:rsidRPr="00FA4570">
        <w:rPr>
          <w:i/>
          <w:iCs/>
        </w:rPr>
        <w:t>Zulu</w:t>
      </w:r>
      <w:r w:rsidR="008B59D4" w:rsidRPr="00FA4570">
        <w:t xml:space="preserve"> omitted.]</w:t>
      </w:r>
    </w:p>
    <w:p w14:paraId="0AAF4461" w14:textId="05C49E1B" w:rsidR="00984FDD" w:rsidRPr="00FA4570" w:rsidRDefault="00B62AE0" w:rsidP="000C1370">
      <w:pPr>
        <w:spacing w:line="360" w:lineRule="auto"/>
        <w:jc w:val="both"/>
        <w:rPr>
          <w:sz w:val="28"/>
          <w:szCs w:val="28"/>
        </w:rPr>
      </w:pPr>
      <w:r w:rsidRPr="00FA4570">
        <w:t xml:space="preserve">Despite the fact that </w:t>
      </w:r>
      <w:r w:rsidRPr="00FA4570">
        <w:rPr>
          <w:i/>
          <w:iCs/>
        </w:rPr>
        <w:t>Ngomane</w:t>
      </w:r>
      <w:r w:rsidRPr="00FA4570">
        <w:t xml:space="preserve"> was published in 2021, the judgment was not drawn to the attention of the judges who presided in the three cases, just mentioned. Being unaware of this conflict, they did not deal with it. In the circumstances, I do not believe that in this appeal we are bound to follow the three decisions.</w:t>
      </w:r>
      <w:r w:rsidR="00984FDD" w:rsidRPr="00FA4570">
        <w:t>’</w:t>
      </w:r>
      <w:r w:rsidR="00E45F85" w:rsidRPr="00FA4570">
        <w:rPr>
          <w:sz w:val="28"/>
          <w:szCs w:val="28"/>
        </w:rPr>
        <w:t xml:space="preserve"> </w:t>
      </w:r>
    </w:p>
    <w:p w14:paraId="2ADEF794" w14:textId="77777777" w:rsidR="00BF310B" w:rsidRPr="00FA4570" w:rsidRDefault="00BF310B" w:rsidP="000C1370">
      <w:pPr>
        <w:spacing w:line="360" w:lineRule="auto"/>
        <w:jc w:val="both"/>
        <w:rPr>
          <w:sz w:val="28"/>
          <w:szCs w:val="28"/>
        </w:rPr>
      </w:pPr>
    </w:p>
    <w:p w14:paraId="02D9B8C3" w14:textId="4A99E48D" w:rsidR="00984FDD" w:rsidRPr="00FA4570" w:rsidRDefault="00984FDD" w:rsidP="000C1370">
      <w:pPr>
        <w:spacing w:line="360" w:lineRule="auto"/>
        <w:jc w:val="both"/>
        <w:rPr>
          <w:sz w:val="28"/>
          <w:szCs w:val="28"/>
        </w:rPr>
      </w:pPr>
      <w:r w:rsidRPr="00FA4570">
        <w:rPr>
          <w:sz w:val="28"/>
          <w:szCs w:val="28"/>
        </w:rPr>
        <w:t>[2</w:t>
      </w:r>
      <w:r w:rsidR="00F16847" w:rsidRPr="00FA4570">
        <w:rPr>
          <w:sz w:val="28"/>
          <w:szCs w:val="28"/>
        </w:rPr>
        <w:t>3</w:t>
      </w:r>
      <w:r w:rsidRPr="00FA4570">
        <w:rPr>
          <w:sz w:val="28"/>
          <w:szCs w:val="28"/>
        </w:rPr>
        <w:t>]</w:t>
      </w:r>
      <w:r w:rsidRPr="00FA4570">
        <w:rPr>
          <w:sz w:val="28"/>
          <w:szCs w:val="28"/>
        </w:rPr>
        <w:tab/>
        <w:t>The court was critical of the use of phrases like ‘properly constituted court</w:t>
      </w:r>
      <w:r w:rsidR="00152C7E" w:rsidRPr="00FA4570">
        <w:rPr>
          <w:sz w:val="28"/>
          <w:szCs w:val="28"/>
        </w:rPr>
        <w:t>’,</w:t>
      </w:r>
      <w:r w:rsidRPr="00FA4570">
        <w:rPr>
          <w:sz w:val="28"/>
          <w:szCs w:val="28"/>
        </w:rPr>
        <w:t xml:space="preserve"> or </w:t>
      </w:r>
      <w:r w:rsidR="00BF310B" w:rsidRPr="00FA4570">
        <w:rPr>
          <w:sz w:val="28"/>
          <w:szCs w:val="28"/>
        </w:rPr>
        <w:t>‘</w:t>
      </w:r>
      <w:r w:rsidRPr="00FA4570">
        <w:rPr>
          <w:sz w:val="28"/>
          <w:szCs w:val="28"/>
        </w:rPr>
        <w:t>fully constituted court</w:t>
      </w:r>
      <w:r w:rsidR="00BF310B" w:rsidRPr="00FA4570">
        <w:rPr>
          <w:sz w:val="28"/>
          <w:szCs w:val="28"/>
        </w:rPr>
        <w:t>’</w:t>
      </w:r>
      <w:r w:rsidRPr="00FA4570">
        <w:rPr>
          <w:sz w:val="28"/>
          <w:szCs w:val="28"/>
        </w:rPr>
        <w:t xml:space="preserve"> as used in </w:t>
      </w:r>
      <w:r w:rsidRPr="00FA4570">
        <w:rPr>
          <w:i/>
          <w:iCs/>
          <w:sz w:val="28"/>
          <w:szCs w:val="28"/>
        </w:rPr>
        <w:t>Langalitshoni</w:t>
      </w:r>
      <w:r w:rsidRPr="00FA4570">
        <w:rPr>
          <w:sz w:val="28"/>
          <w:szCs w:val="28"/>
        </w:rPr>
        <w:t xml:space="preserve">. It was critical of its characterisation of the accused’s election as being an </w:t>
      </w:r>
      <w:r w:rsidR="00152C7E" w:rsidRPr="00FA4570">
        <w:rPr>
          <w:sz w:val="28"/>
          <w:szCs w:val="28"/>
        </w:rPr>
        <w:t>incidence</w:t>
      </w:r>
      <w:r w:rsidRPr="00FA4570">
        <w:rPr>
          <w:sz w:val="28"/>
          <w:szCs w:val="28"/>
        </w:rPr>
        <w:t xml:space="preserve"> of waiver. It declined to follow the </w:t>
      </w:r>
      <w:r w:rsidRPr="00FA4570">
        <w:rPr>
          <w:i/>
          <w:iCs/>
          <w:sz w:val="28"/>
          <w:szCs w:val="28"/>
        </w:rPr>
        <w:t>Langalitshoni</w:t>
      </w:r>
      <w:r w:rsidRPr="00FA4570">
        <w:rPr>
          <w:sz w:val="28"/>
          <w:szCs w:val="28"/>
        </w:rPr>
        <w:t xml:space="preserve"> reasoning.</w:t>
      </w:r>
    </w:p>
    <w:p w14:paraId="38B7113D" w14:textId="77777777" w:rsidR="00BF310B" w:rsidRPr="00FA4570" w:rsidRDefault="00BF310B" w:rsidP="000C1370">
      <w:pPr>
        <w:spacing w:line="360" w:lineRule="auto"/>
        <w:jc w:val="both"/>
        <w:rPr>
          <w:sz w:val="28"/>
          <w:szCs w:val="28"/>
        </w:rPr>
      </w:pPr>
    </w:p>
    <w:p w14:paraId="5E02A3AE" w14:textId="5049CE08" w:rsidR="00E45F85" w:rsidRPr="00FA4570" w:rsidRDefault="00BF310B" w:rsidP="000C1370">
      <w:pPr>
        <w:spacing w:line="360" w:lineRule="auto"/>
        <w:jc w:val="both"/>
        <w:rPr>
          <w:sz w:val="28"/>
          <w:szCs w:val="28"/>
        </w:rPr>
      </w:pPr>
      <w:r w:rsidRPr="00FA4570">
        <w:rPr>
          <w:sz w:val="28"/>
          <w:szCs w:val="28"/>
        </w:rPr>
        <w:t>[2</w:t>
      </w:r>
      <w:r w:rsidR="00F16847" w:rsidRPr="00FA4570">
        <w:rPr>
          <w:sz w:val="28"/>
          <w:szCs w:val="28"/>
        </w:rPr>
        <w:t>4</w:t>
      </w:r>
      <w:r w:rsidRPr="00FA4570">
        <w:rPr>
          <w:sz w:val="28"/>
          <w:szCs w:val="28"/>
        </w:rPr>
        <w:t>]</w:t>
      </w:r>
      <w:r w:rsidRPr="00FA4570">
        <w:rPr>
          <w:sz w:val="28"/>
          <w:szCs w:val="28"/>
        </w:rPr>
        <w:tab/>
      </w:r>
      <w:r w:rsidR="003B3660" w:rsidRPr="00FA4570">
        <w:rPr>
          <w:sz w:val="28"/>
          <w:szCs w:val="28"/>
        </w:rPr>
        <w:t xml:space="preserve">This brings me to the judgment in the matter under appeal. </w:t>
      </w:r>
      <w:r w:rsidR="00E45F85" w:rsidRPr="00FA4570">
        <w:rPr>
          <w:sz w:val="28"/>
          <w:szCs w:val="28"/>
        </w:rPr>
        <w:t xml:space="preserve">In this instance the high court was aware of the judgment in </w:t>
      </w:r>
      <w:r w:rsidR="00E45F85" w:rsidRPr="00FA4570">
        <w:rPr>
          <w:i/>
          <w:iCs/>
          <w:sz w:val="28"/>
          <w:szCs w:val="28"/>
        </w:rPr>
        <w:t>Ngomane</w:t>
      </w:r>
      <w:r w:rsidR="00E45F85" w:rsidRPr="00FA4570">
        <w:rPr>
          <w:sz w:val="28"/>
          <w:szCs w:val="28"/>
        </w:rPr>
        <w:t xml:space="preserve">. It did not, however, engage with the conflict in approach between </w:t>
      </w:r>
      <w:r w:rsidR="00E45F85" w:rsidRPr="00FA4570">
        <w:rPr>
          <w:i/>
          <w:iCs/>
          <w:sz w:val="28"/>
          <w:szCs w:val="28"/>
        </w:rPr>
        <w:t>Ngomane</w:t>
      </w:r>
      <w:r w:rsidR="00E45F85" w:rsidRPr="00FA4570">
        <w:rPr>
          <w:sz w:val="28"/>
          <w:szCs w:val="28"/>
        </w:rPr>
        <w:t xml:space="preserve"> and </w:t>
      </w:r>
      <w:r w:rsidR="00E45F85" w:rsidRPr="00FA4570">
        <w:rPr>
          <w:i/>
          <w:iCs/>
          <w:sz w:val="28"/>
          <w:szCs w:val="28"/>
        </w:rPr>
        <w:t>Langalitsh</w:t>
      </w:r>
      <w:r w:rsidRPr="00FA4570">
        <w:rPr>
          <w:i/>
          <w:iCs/>
          <w:sz w:val="28"/>
          <w:szCs w:val="28"/>
        </w:rPr>
        <w:t>o</w:t>
      </w:r>
      <w:r w:rsidR="00E45F85" w:rsidRPr="00FA4570">
        <w:rPr>
          <w:i/>
          <w:iCs/>
          <w:sz w:val="28"/>
          <w:szCs w:val="28"/>
        </w:rPr>
        <w:t>ni</w:t>
      </w:r>
      <w:r w:rsidR="00E45F85" w:rsidRPr="00FA4570">
        <w:rPr>
          <w:sz w:val="28"/>
          <w:szCs w:val="28"/>
        </w:rPr>
        <w:t>. Instead, it asserted that:</w:t>
      </w:r>
    </w:p>
    <w:p w14:paraId="43A739AE" w14:textId="67BA35E1" w:rsidR="009E6CBF" w:rsidRPr="00FA4570" w:rsidRDefault="00E45F85" w:rsidP="000C1370">
      <w:pPr>
        <w:spacing w:line="360" w:lineRule="auto"/>
        <w:jc w:val="both"/>
      </w:pPr>
      <w:r w:rsidRPr="00FA4570">
        <w:t xml:space="preserve">‘In </w:t>
      </w:r>
      <w:r w:rsidRPr="00FA4570">
        <w:rPr>
          <w:i/>
          <w:iCs/>
        </w:rPr>
        <w:t>Ngomane</w:t>
      </w:r>
      <w:r w:rsidRPr="00FA4570">
        <w:t xml:space="preserve"> the court appears to have entirely overlooked that in </w:t>
      </w:r>
      <w:r w:rsidRPr="00FA4570">
        <w:rPr>
          <w:i/>
        </w:rPr>
        <w:t>Gayiya</w:t>
      </w:r>
      <w:r w:rsidRPr="00FA4570">
        <w:t xml:space="preserve"> the accused was also legally </w:t>
      </w:r>
      <w:r w:rsidR="00152C7E" w:rsidRPr="00FA4570">
        <w:t>represented,</w:t>
      </w:r>
      <w:r w:rsidRPr="00FA4570">
        <w:t xml:space="preserve"> and Mpa</w:t>
      </w:r>
      <w:r w:rsidR="00152C7E" w:rsidRPr="00FA4570">
        <w:t>t</w:t>
      </w:r>
      <w:r w:rsidRPr="00FA4570">
        <w:t xml:space="preserve">i P clearly stated that the accused must be informed by the presiding officer at the trial that by law he or she is required to be </w:t>
      </w:r>
      <w:r w:rsidR="009E6CBF" w:rsidRPr="00FA4570">
        <w:t xml:space="preserve">tried </w:t>
      </w:r>
      <w:r w:rsidRPr="00FA4570">
        <w:t>in the presence of assessors. Accordingly, the issue of assessors is canvassed with the accused and that communication should appear in the record.’</w:t>
      </w:r>
    </w:p>
    <w:p w14:paraId="59A4DFB0" w14:textId="77777777" w:rsidR="009E6CBF" w:rsidRPr="00FA4570" w:rsidRDefault="009E6CBF" w:rsidP="000C1370">
      <w:pPr>
        <w:spacing w:line="360" w:lineRule="auto"/>
        <w:jc w:val="both"/>
        <w:rPr>
          <w:sz w:val="28"/>
          <w:szCs w:val="28"/>
        </w:rPr>
      </w:pPr>
    </w:p>
    <w:p w14:paraId="15728B90" w14:textId="401FB386" w:rsidR="00C5469B" w:rsidRPr="00FA4570" w:rsidRDefault="009E6CBF" w:rsidP="000C1370">
      <w:pPr>
        <w:spacing w:line="360" w:lineRule="auto"/>
        <w:jc w:val="both"/>
        <w:rPr>
          <w:sz w:val="28"/>
          <w:szCs w:val="28"/>
        </w:rPr>
      </w:pPr>
      <w:r w:rsidRPr="00FA4570">
        <w:rPr>
          <w:sz w:val="28"/>
          <w:szCs w:val="28"/>
        </w:rPr>
        <w:t>[</w:t>
      </w:r>
      <w:r w:rsidR="003B3660" w:rsidRPr="00FA4570">
        <w:rPr>
          <w:sz w:val="28"/>
          <w:szCs w:val="28"/>
        </w:rPr>
        <w:t>2</w:t>
      </w:r>
      <w:r w:rsidR="00F16847" w:rsidRPr="00FA4570">
        <w:rPr>
          <w:sz w:val="28"/>
          <w:szCs w:val="28"/>
        </w:rPr>
        <w:t>5</w:t>
      </w:r>
      <w:r w:rsidRPr="00FA4570">
        <w:rPr>
          <w:sz w:val="28"/>
          <w:szCs w:val="28"/>
        </w:rPr>
        <w:t>]</w:t>
      </w:r>
      <w:r w:rsidRPr="00FA4570">
        <w:rPr>
          <w:sz w:val="28"/>
          <w:szCs w:val="28"/>
        </w:rPr>
        <w:tab/>
        <w:t xml:space="preserve">The high court then </w:t>
      </w:r>
      <w:r w:rsidR="003B3660" w:rsidRPr="00FA4570">
        <w:rPr>
          <w:sz w:val="28"/>
          <w:szCs w:val="28"/>
        </w:rPr>
        <w:t>considered</w:t>
      </w:r>
      <w:r w:rsidRPr="00FA4570">
        <w:rPr>
          <w:sz w:val="28"/>
          <w:szCs w:val="28"/>
        </w:rPr>
        <w:t xml:space="preserve"> </w:t>
      </w:r>
      <w:r w:rsidRPr="00FA4570">
        <w:rPr>
          <w:i/>
          <w:iCs/>
          <w:sz w:val="28"/>
          <w:szCs w:val="28"/>
        </w:rPr>
        <w:t>Nxumalo,</w:t>
      </w:r>
      <w:r w:rsidRPr="00FA4570">
        <w:rPr>
          <w:sz w:val="28"/>
          <w:szCs w:val="28"/>
        </w:rPr>
        <w:t xml:space="preserve"> accepting that it endorsed </w:t>
      </w:r>
      <w:r w:rsidRPr="00FA4570">
        <w:rPr>
          <w:i/>
          <w:iCs/>
          <w:sz w:val="28"/>
          <w:szCs w:val="28"/>
        </w:rPr>
        <w:t>Langali</w:t>
      </w:r>
      <w:r w:rsidR="00BF310B" w:rsidRPr="00FA4570">
        <w:rPr>
          <w:i/>
          <w:iCs/>
          <w:sz w:val="28"/>
          <w:szCs w:val="28"/>
        </w:rPr>
        <w:t>t</w:t>
      </w:r>
      <w:r w:rsidRPr="00FA4570">
        <w:rPr>
          <w:i/>
          <w:iCs/>
          <w:sz w:val="28"/>
          <w:szCs w:val="28"/>
        </w:rPr>
        <w:t>s</w:t>
      </w:r>
      <w:r w:rsidR="00BF310B" w:rsidRPr="00FA4570">
        <w:rPr>
          <w:i/>
          <w:iCs/>
          <w:sz w:val="28"/>
          <w:szCs w:val="28"/>
        </w:rPr>
        <w:t>ho</w:t>
      </w:r>
      <w:r w:rsidRPr="00FA4570">
        <w:rPr>
          <w:i/>
          <w:iCs/>
          <w:sz w:val="28"/>
          <w:szCs w:val="28"/>
        </w:rPr>
        <w:t>ni</w:t>
      </w:r>
      <w:r w:rsidRPr="00FA4570">
        <w:rPr>
          <w:sz w:val="28"/>
          <w:szCs w:val="28"/>
        </w:rPr>
        <w:t>. It found on the facts that the respondents were not informed of the right to be tried in the presence of assessors. It concluded that, on the facts, the case was on all four</w:t>
      </w:r>
      <w:r w:rsidR="00BF310B" w:rsidRPr="00FA4570">
        <w:rPr>
          <w:sz w:val="28"/>
          <w:szCs w:val="28"/>
        </w:rPr>
        <w:t>s</w:t>
      </w:r>
      <w:r w:rsidRPr="00FA4570">
        <w:rPr>
          <w:sz w:val="28"/>
          <w:szCs w:val="28"/>
        </w:rPr>
        <w:t xml:space="preserve"> with </w:t>
      </w:r>
      <w:r w:rsidRPr="00FA4570">
        <w:rPr>
          <w:i/>
          <w:iCs/>
          <w:sz w:val="28"/>
          <w:szCs w:val="28"/>
        </w:rPr>
        <w:t>Nxumalo</w:t>
      </w:r>
      <w:r w:rsidRPr="00FA4570">
        <w:rPr>
          <w:sz w:val="28"/>
          <w:szCs w:val="28"/>
        </w:rPr>
        <w:t xml:space="preserve"> and that it was bound by </w:t>
      </w:r>
      <w:r w:rsidR="00BF310B" w:rsidRPr="00FA4570">
        <w:rPr>
          <w:sz w:val="28"/>
          <w:szCs w:val="28"/>
        </w:rPr>
        <w:t>that judgment</w:t>
      </w:r>
      <w:r w:rsidRPr="00FA4570">
        <w:rPr>
          <w:sz w:val="28"/>
          <w:szCs w:val="28"/>
        </w:rPr>
        <w:t>.</w:t>
      </w:r>
    </w:p>
    <w:p w14:paraId="42ABA32C" w14:textId="77777777" w:rsidR="002B4E31" w:rsidRPr="00FA4570" w:rsidRDefault="002B4E31" w:rsidP="000C1370">
      <w:pPr>
        <w:spacing w:line="360" w:lineRule="auto"/>
        <w:jc w:val="both"/>
        <w:rPr>
          <w:sz w:val="28"/>
          <w:szCs w:val="28"/>
        </w:rPr>
      </w:pPr>
    </w:p>
    <w:p w14:paraId="662AE807" w14:textId="4D1319C3" w:rsidR="00BF310B" w:rsidRPr="00FA4570" w:rsidRDefault="00BF310B" w:rsidP="000C1370">
      <w:pPr>
        <w:spacing w:line="360" w:lineRule="auto"/>
        <w:jc w:val="both"/>
        <w:rPr>
          <w:sz w:val="28"/>
          <w:szCs w:val="28"/>
        </w:rPr>
      </w:pPr>
      <w:r w:rsidRPr="00FA4570">
        <w:rPr>
          <w:sz w:val="28"/>
          <w:szCs w:val="28"/>
        </w:rPr>
        <w:t>[</w:t>
      </w:r>
      <w:r w:rsidR="00094490" w:rsidRPr="00FA4570">
        <w:rPr>
          <w:sz w:val="28"/>
          <w:szCs w:val="28"/>
        </w:rPr>
        <w:t>2</w:t>
      </w:r>
      <w:r w:rsidR="00F16847" w:rsidRPr="00FA4570">
        <w:rPr>
          <w:sz w:val="28"/>
          <w:szCs w:val="28"/>
        </w:rPr>
        <w:t>6</w:t>
      </w:r>
      <w:r w:rsidRPr="00FA4570">
        <w:rPr>
          <w:sz w:val="28"/>
          <w:szCs w:val="28"/>
        </w:rPr>
        <w:t>]</w:t>
      </w:r>
      <w:r w:rsidRPr="00FA4570">
        <w:rPr>
          <w:sz w:val="28"/>
          <w:szCs w:val="28"/>
        </w:rPr>
        <w:tab/>
        <w:t xml:space="preserve">The high court’s perfunctory treatment of </w:t>
      </w:r>
      <w:r w:rsidRPr="00FA4570">
        <w:rPr>
          <w:i/>
          <w:iCs/>
          <w:sz w:val="28"/>
          <w:szCs w:val="28"/>
        </w:rPr>
        <w:t>Ngomane</w:t>
      </w:r>
      <w:r w:rsidRPr="00FA4570">
        <w:rPr>
          <w:sz w:val="28"/>
          <w:szCs w:val="28"/>
        </w:rPr>
        <w:t xml:space="preserve"> on the basis that the court had overlooked the fact that, in </w:t>
      </w:r>
      <w:r w:rsidRPr="00FA4570">
        <w:rPr>
          <w:i/>
          <w:iCs/>
          <w:sz w:val="28"/>
          <w:szCs w:val="28"/>
        </w:rPr>
        <w:t>Gayiya</w:t>
      </w:r>
      <w:r w:rsidRPr="00FA4570">
        <w:rPr>
          <w:sz w:val="28"/>
          <w:szCs w:val="28"/>
        </w:rPr>
        <w:t xml:space="preserve">, the accused was represented, is unfortunate. </w:t>
      </w:r>
      <w:r w:rsidR="003B3660" w:rsidRPr="00FA4570">
        <w:rPr>
          <w:sz w:val="28"/>
          <w:szCs w:val="28"/>
        </w:rPr>
        <w:t xml:space="preserve">It is also wrong. </w:t>
      </w:r>
      <w:r w:rsidRPr="00FA4570">
        <w:rPr>
          <w:sz w:val="28"/>
          <w:szCs w:val="28"/>
        </w:rPr>
        <w:t xml:space="preserve">In </w:t>
      </w:r>
      <w:r w:rsidRPr="00FA4570">
        <w:rPr>
          <w:i/>
          <w:iCs/>
          <w:sz w:val="28"/>
          <w:szCs w:val="28"/>
        </w:rPr>
        <w:t xml:space="preserve">Gayiya, </w:t>
      </w:r>
      <w:r w:rsidRPr="00FA4570">
        <w:rPr>
          <w:sz w:val="28"/>
          <w:szCs w:val="28"/>
        </w:rPr>
        <w:t xml:space="preserve">the accused was not represented at the </w:t>
      </w:r>
      <w:r w:rsidRPr="00FA4570">
        <w:rPr>
          <w:sz w:val="28"/>
          <w:szCs w:val="28"/>
        </w:rPr>
        <w:lastRenderedPageBreak/>
        <w:t>stage that the trial court dealt with s 93</w:t>
      </w:r>
      <w:r w:rsidRPr="00FA4570">
        <w:rPr>
          <w:i/>
          <w:iCs/>
          <w:sz w:val="28"/>
          <w:szCs w:val="28"/>
        </w:rPr>
        <w:t xml:space="preserve">ter. </w:t>
      </w:r>
      <w:r w:rsidRPr="00FA4570">
        <w:rPr>
          <w:sz w:val="28"/>
          <w:szCs w:val="28"/>
        </w:rPr>
        <w:t xml:space="preserve">There are several passages in the judgment of Mpati P which indicate this fact. For instance, the judgment indicates that the </w:t>
      </w:r>
      <w:r w:rsidR="00424F3C" w:rsidRPr="00FA4570">
        <w:rPr>
          <w:sz w:val="28"/>
          <w:szCs w:val="28"/>
        </w:rPr>
        <w:t>court</w:t>
      </w:r>
      <w:r w:rsidR="002B4E31" w:rsidRPr="00FA4570">
        <w:rPr>
          <w:sz w:val="28"/>
          <w:szCs w:val="28"/>
        </w:rPr>
        <w:t xml:space="preserve"> questioned the accused on his plea of guilty to satisfy itself that he admitted all of the elements of the offences. The judgment records that the accused addressed the court after he had closed his case. He also addressed the court in relation to </w:t>
      </w:r>
      <w:r w:rsidR="00504826" w:rsidRPr="00FA4570">
        <w:rPr>
          <w:sz w:val="28"/>
          <w:szCs w:val="28"/>
        </w:rPr>
        <w:t xml:space="preserve">the </w:t>
      </w:r>
      <w:r w:rsidR="002B4E31" w:rsidRPr="00FA4570">
        <w:rPr>
          <w:sz w:val="28"/>
          <w:szCs w:val="28"/>
        </w:rPr>
        <w:t>sentence</w:t>
      </w:r>
      <w:r w:rsidR="009E7C8F" w:rsidRPr="00FA4570">
        <w:rPr>
          <w:sz w:val="28"/>
          <w:szCs w:val="28"/>
        </w:rPr>
        <w:t xml:space="preserve">. </w:t>
      </w:r>
      <w:r w:rsidR="002B4E31" w:rsidRPr="00FA4570">
        <w:rPr>
          <w:sz w:val="28"/>
          <w:szCs w:val="28"/>
        </w:rPr>
        <w:t>This would not have occurred had the accused been represented.</w:t>
      </w:r>
      <w:r w:rsidRPr="00FA4570">
        <w:rPr>
          <w:sz w:val="28"/>
          <w:szCs w:val="28"/>
        </w:rPr>
        <w:t xml:space="preserve"> </w:t>
      </w:r>
    </w:p>
    <w:p w14:paraId="20D3FB21" w14:textId="77777777" w:rsidR="002B4E31" w:rsidRPr="00FA4570" w:rsidRDefault="002B4E31" w:rsidP="000C1370">
      <w:pPr>
        <w:spacing w:line="360" w:lineRule="auto"/>
        <w:jc w:val="both"/>
        <w:rPr>
          <w:sz w:val="28"/>
          <w:szCs w:val="28"/>
        </w:rPr>
      </w:pPr>
    </w:p>
    <w:p w14:paraId="1F033A05" w14:textId="30D4B4CD" w:rsidR="002B4E31" w:rsidRPr="00FA4570" w:rsidRDefault="002B4E31" w:rsidP="000C1370">
      <w:pPr>
        <w:spacing w:line="360" w:lineRule="auto"/>
        <w:jc w:val="both"/>
        <w:rPr>
          <w:sz w:val="28"/>
          <w:szCs w:val="28"/>
        </w:rPr>
      </w:pPr>
      <w:r w:rsidRPr="00FA4570">
        <w:rPr>
          <w:sz w:val="28"/>
          <w:szCs w:val="28"/>
        </w:rPr>
        <w:t>[</w:t>
      </w:r>
      <w:r w:rsidR="00094490" w:rsidRPr="00FA4570">
        <w:rPr>
          <w:sz w:val="28"/>
          <w:szCs w:val="28"/>
        </w:rPr>
        <w:t>2</w:t>
      </w:r>
      <w:r w:rsidR="00F16847" w:rsidRPr="00FA4570">
        <w:rPr>
          <w:sz w:val="28"/>
          <w:szCs w:val="28"/>
        </w:rPr>
        <w:t>7</w:t>
      </w:r>
      <w:r w:rsidRPr="00FA4570">
        <w:rPr>
          <w:sz w:val="28"/>
          <w:szCs w:val="28"/>
        </w:rPr>
        <w:t>]</w:t>
      </w:r>
      <w:r w:rsidRPr="00FA4570">
        <w:rPr>
          <w:sz w:val="28"/>
          <w:szCs w:val="28"/>
        </w:rPr>
        <w:tab/>
        <w:t xml:space="preserve">The high court’s </w:t>
      </w:r>
      <w:r w:rsidR="003B3660" w:rsidRPr="00FA4570">
        <w:rPr>
          <w:sz w:val="28"/>
          <w:szCs w:val="28"/>
        </w:rPr>
        <w:t>error</w:t>
      </w:r>
      <w:r w:rsidRPr="00FA4570">
        <w:rPr>
          <w:sz w:val="28"/>
          <w:szCs w:val="28"/>
        </w:rPr>
        <w:t xml:space="preserve"> caused it to construe </w:t>
      </w:r>
      <w:r w:rsidRPr="00FA4570">
        <w:rPr>
          <w:i/>
          <w:iCs/>
          <w:sz w:val="28"/>
          <w:szCs w:val="28"/>
        </w:rPr>
        <w:t>Gayiya</w:t>
      </w:r>
      <w:r w:rsidRPr="00FA4570">
        <w:rPr>
          <w:sz w:val="28"/>
          <w:szCs w:val="28"/>
        </w:rPr>
        <w:t xml:space="preserve"> as laying down a principle that the presiding officer is obliged to address </w:t>
      </w:r>
      <w:r w:rsidR="004E03AB" w:rsidRPr="00FA4570">
        <w:rPr>
          <w:sz w:val="28"/>
          <w:szCs w:val="28"/>
        </w:rPr>
        <w:t>an accused person directly, and to explain the ambit and effect of s 93</w:t>
      </w:r>
      <w:r w:rsidR="004E03AB" w:rsidRPr="00FA4570">
        <w:rPr>
          <w:i/>
          <w:iCs/>
          <w:sz w:val="28"/>
          <w:szCs w:val="28"/>
        </w:rPr>
        <w:t>ter</w:t>
      </w:r>
      <w:r w:rsidR="00144246" w:rsidRPr="00FA4570">
        <w:rPr>
          <w:iCs/>
          <w:sz w:val="28"/>
          <w:szCs w:val="28"/>
        </w:rPr>
        <w:t>(1)</w:t>
      </w:r>
      <w:r w:rsidR="004E03AB" w:rsidRPr="00FA4570">
        <w:rPr>
          <w:sz w:val="28"/>
          <w:szCs w:val="28"/>
        </w:rPr>
        <w:t xml:space="preserve"> to an accused person without reference to their legal representative.</w:t>
      </w:r>
      <w:r w:rsidR="002D6080" w:rsidRPr="00FA4570">
        <w:rPr>
          <w:sz w:val="28"/>
          <w:szCs w:val="28"/>
        </w:rPr>
        <w:t xml:space="preserve"> </w:t>
      </w:r>
      <w:r w:rsidR="002D6080" w:rsidRPr="00FA4570">
        <w:rPr>
          <w:i/>
          <w:iCs/>
          <w:sz w:val="28"/>
          <w:szCs w:val="28"/>
        </w:rPr>
        <w:t>Gayiya</w:t>
      </w:r>
      <w:r w:rsidR="002D6080" w:rsidRPr="00FA4570">
        <w:rPr>
          <w:sz w:val="28"/>
          <w:szCs w:val="28"/>
        </w:rPr>
        <w:t xml:space="preserve"> did not lay down such principle. </w:t>
      </w:r>
      <w:r w:rsidR="001E1A02" w:rsidRPr="00FA4570">
        <w:rPr>
          <w:sz w:val="28"/>
          <w:szCs w:val="28"/>
        </w:rPr>
        <w:t xml:space="preserve">The judgment, it must also be stated, did not endorse the approach advocated in </w:t>
      </w:r>
      <w:r w:rsidR="001E1A02" w:rsidRPr="00FA4570">
        <w:rPr>
          <w:i/>
          <w:sz w:val="28"/>
          <w:szCs w:val="28"/>
        </w:rPr>
        <w:t>Chala</w:t>
      </w:r>
      <w:r w:rsidR="001E1A02" w:rsidRPr="00FA4570">
        <w:rPr>
          <w:sz w:val="28"/>
          <w:szCs w:val="28"/>
        </w:rPr>
        <w:t>.</w:t>
      </w:r>
      <w:r w:rsidR="001E1A02" w:rsidRPr="00FA4570">
        <w:rPr>
          <w:rStyle w:val="FootnoteReference"/>
          <w:sz w:val="28"/>
          <w:szCs w:val="28"/>
        </w:rPr>
        <w:footnoteReference w:id="24"/>
      </w:r>
      <w:r w:rsidR="001E1A02" w:rsidRPr="00FA4570">
        <w:rPr>
          <w:sz w:val="28"/>
          <w:szCs w:val="28"/>
        </w:rPr>
        <w:t xml:space="preserve"> It merely referred to the exposition of the case law set out in </w:t>
      </w:r>
      <w:r w:rsidR="001E1A02" w:rsidRPr="00FA4570">
        <w:rPr>
          <w:i/>
          <w:sz w:val="28"/>
          <w:szCs w:val="28"/>
        </w:rPr>
        <w:t>Chala</w:t>
      </w:r>
      <w:r w:rsidR="001E1A02" w:rsidRPr="00FA4570">
        <w:rPr>
          <w:sz w:val="28"/>
          <w:szCs w:val="28"/>
        </w:rPr>
        <w:t>.</w:t>
      </w:r>
      <w:r w:rsidR="001E1A02" w:rsidRPr="00FA4570">
        <w:rPr>
          <w:rStyle w:val="FootnoteReference"/>
          <w:sz w:val="28"/>
          <w:szCs w:val="28"/>
        </w:rPr>
        <w:footnoteReference w:id="25"/>
      </w:r>
      <w:r w:rsidR="001E1A02" w:rsidRPr="00FA4570">
        <w:rPr>
          <w:sz w:val="28"/>
          <w:szCs w:val="28"/>
        </w:rPr>
        <w:t xml:space="preserve"> The judgment in </w:t>
      </w:r>
      <w:r w:rsidR="002D6080" w:rsidRPr="00FA4570">
        <w:rPr>
          <w:i/>
          <w:iCs/>
          <w:sz w:val="28"/>
          <w:szCs w:val="28"/>
        </w:rPr>
        <w:t>Gayiya</w:t>
      </w:r>
      <w:r w:rsidR="002D6080" w:rsidRPr="00FA4570">
        <w:rPr>
          <w:sz w:val="28"/>
          <w:szCs w:val="28"/>
        </w:rPr>
        <w:t xml:space="preserve"> requires only that the magistrate presiding at the trial brings to the attention of an accused person the provisions of s 93</w:t>
      </w:r>
      <w:r w:rsidR="002D6080" w:rsidRPr="00FA4570">
        <w:rPr>
          <w:i/>
          <w:iCs/>
          <w:sz w:val="28"/>
          <w:szCs w:val="28"/>
        </w:rPr>
        <w:t>ter</w:t>
      </w:r>
      <w:r w:rsidR="00144246" w:rsidRPr="00FA4570">
        <w:rPr>
          <w:iCs/>
          <w:sz w:val="28"/>
          <w:szCs w:val="28"/>
        </w:rPr>
        <w:t>(1)</w:t>
      </w:r>
      <w:r w:rsidR="002D6080" w:rsidRPr="00FA4570">
        <w:rPr>
          <w:sz w:val="28"/>
          <w:szCs w:val="28"/>
        </w:rPr>
        <w:t xml:space="preserve"> and establish</w:t>
      </w:r>
      <w:r w:rsidR="00144246" w:rsidRPr="00FA4570">
        <w:rPr>
          <w:sz w:val="28"/>
          <w:szCs w:val="28"/>
        </w:rPr>
        <w:t>es</w:t>
      </w:r>
      <w:r w:rsidR="002D6080" w:rsidRPr="00FA4570">
        <w:rPr>
          <w:sz w:val="28"/>
          <w:szCs w:val="28"/>
        </w:rPr>
        <w:t xml:space="preserve"> whether the accused </w:t>
      </w:r>
      <w:r w:rsidR="00144246" w:rsidRPr="00FA4570">
        <w:rPr>
          <w:sz w:val="28"/>
          <w:szCs w:val="28"/>
        </w:rPr>
        <w:t>has made a request</w:t>
      </w:r>
      <w:r w:rsidR="002D6080" w:rsidRPr="00FA4570">
        <w:rPr>
          <w:sz w:val="28"/>
          <w:szCs w:val="28"/>
        </w:rPr>
        <w:t xml:space="preserve"> to proceed without assessors. In the event that the accused makes such </w:t>
      </w:r>
      <w:r w:rsidR="00144246" w:rsidRPr="00FA4570">
        <w:rPr>
          <w:sz w:val="28"/>
          <w:szCs w:val="28"/>
        </w:rPr>
        <w:t>request</w:t>
      </w:r>
      <w:r w:rsidR="002D6080" w:rsidRPr="00FA4570">
        <w:rPr>
          <w:sz w:val="28"/>
          <w:szCs w:val="28"/>
        </w:rPr>
        <w:t>, the magistrate may exercise a discretion regarding the appointment of assessors.</w:t>
      </w:r>
    </w:p>
    <w:p w14:paraId="6415BE50" w14:textId="77777777" w:rsidR="002D6080" w:rsidRPr="00FA4570" w:rsidRDefault="002D6080" w:rsidP="000C1370">
      <w:pPr>
        <w:spacing w:line="360" w:lineRule="auto"/>
        <w:jc w:val="both"/>
        <w:rPr>
          <w:sz w:val="28"/>
          <w:szCs w:val="28"/>
        </w:rPr>
      </w:pPr>
    </w:p>
    <w:p w14:paraId="077F5986" w14:textId="66AF5147" w:rsidR="002D6080" w:rsidRPr="00FA4570" w:rsidRDefault="002D6080" w:rsidP="000C1370">
      <w:pPr>
        <w:spacing w:line="360" w:lineRule="auto"/>
        <w:jc w:val="both"/>
        <w:rPr>
          <w:sz w:val="28"/>
          <w:szCs w:val="28"/>
        </w:rPr>
      </w:pPr>
      <w:r w:rsidRPr="00FA4570">
        <w:rPr>
          <w:sz w:val="28"/>
          <w:szCs w:val="28"/>
        </w:rPr>
        <w:t>[</w:t>
      </w:r>
      <w:r w:rsidR="00F16847" w:rsidRPr="00FA4570">
        <w:rPr>
          <w:sz w:val="28"/>
          <w:szCs w:val="28"/>
        </w:rPr>
        <w:t>28</w:t>
      </w:r>
      <w:r w:rsidRPr="00FA4570">
        <w:rPr>
          <w:sz w:val="28"/>
          <w:szCs w:val="28"/>
        </w:rPr>
        <w:t>]</w:t>
      </w:r>
      <w:r w:rsidRPr="00FA4570">
        <w:rPr>
          <w:sz w:val="28"/>
          <w:szCs w:val="28"/>
        </w:rPr>
        <w:tab/>
        <w:t xml:space="preserve">It is necessary to say something about the </w:t>
      </w:r>
      <w:r w:rsidR="00144246" w:rsidRPr="00FA4570">
        <w:rPr>
          <w:sz w:val="28"/>
          <w:szCs w:val="28"/>
        </w:rPr>
        <w:t>request</w:t>
      </w:r>
      <w:r w:rsidRPr="00FA4570">
        <w:rPr>
          <w:sz w:val="28"/>
          <w:szCs w:val="28"/>
        </w:rPr>
        <w:t xml:space="preserve"> which may be made by an accused. The court </w:t>
      </w:r>
      <w:r w:rsidR="00152C7E" w:rsidRPr="00FA4570">
        <w:rPr>
          <w:sz w:val="28"/>
          <w:szCs w:val="28"/>
        </w:rPr>
        <w:t xml:space="preserve">in </w:t>
      </w:r>
      <w:r w:rsidR="00152C7E" w:rsidRPr="00FA4570">
        <w:rPr>
          <w:i/>
          <w:iCs/>
          <w:sz w:val="28"/>
          <w:szCs w:val="28"/>
        </w:rPr>
        <w:t>Langalitshoni</w:t>
      </w:r>
      <w:r w:rsidRPr="00FA4570">
        <w:rPr>
          <w:sz w:val="28"/>
          <w:szCs w:val="28"/>
        </w:rPr>
        <w:t xml:space="preserve"> construed s 93</w:t>
      </w:r>
      <w:r w:rsidRPr="00FA4570">
        <w:rPr>
          <w:i/>
          <w:iCs/>
          <w:sz w:val="28"/>
          <w:szCs w:val="28"/>
        </w:rPr>
        <w:t>ter</w:t>
      </w:r>
      <w:r w:rsidR="003B3660" w:rsidRPr="00FA4570">
        <w:rPr>
          <w:iCs/>
          <w:sz w:val="28"/>
          <w:szCs w:val="28"/>
        </w:rPr>
        <w:t>(1)</w:t>
      </w:r>
      <w:r w:rsidRPr="00FA4570">
        <w:rPr>
          <w:sz w:val="28"/>
          <w:szCs w:val="28"/>
        </w:rPr>
        <w:t xml:space="preserve"> as conferring upon an accused person a right to be tried by a ‘fully’ or ‘properly’ constituted court, </w:t>
      </w:r>
      <w:r w:rsidR="00A56E69" w:rsidRPr="00FA4570">
        <w:rPr>
          <w:sz w:val="28"/>
          <w:szCs w:val="28"/>
        </w:rPr>
        <w:t>namely</w:t>
      </w:r>
      <w:r w:rsidRPr="00FA4570">
        <w:rPr>
          <w:sz w:val="28"/>
          <w:szCs w:val="28"/>
        </w:rPr>
        <w:t xml:space="preserve"> a court </w:t>
      </w:r>
      <w:r w:rsidR="003B3660" w:rsidRPr="00FA4570">
        <w:rPr>
          <w:sz w:val="28"/>
          <w:szCs w:val="28"/>
        </w:rPr>
        <w:t>including</w:t>
      </w:r>
      <w:r w:rsidRPr="00FA4570">
        <w:rPr>
          <w:sz w:val="28"/>
          <w:szCs w:val="28"/>
        </w:rPr>
        <w:t xml:space="preserve"> assessors. It </w:t>
      </w:r>
      <w:r w:rsidR="003B3660" w:rsidRPr="00FA4570">
        <w:rPr>
          <w:sz w:val="28"/>
          <w:szCs w:val="28"/>
        </w:rPr>
        <w:t>held</w:t>
      </w:r>
      <w:r w:rsidRPr="00FA4570">
        <w:rPr>
          <w:sz w:val="28"/>
          <w:szCs w:val="28"/>
        </w:rPr>
        <w:t xml:space="preserve"> that the election not to do so amounts to a waiver of the right, which can only occur if the accused is fully cognisant of their rights. </w:t>
      </w:r>
      <w:r w:rsidR="00144246" w:rsidRPr="00FA4570">
        <w:rPr>
          <w:sz w:val="28"/>
          <w:szCs w:val="28"/>
        </w:rPr>
        <w:t>Other courts, as indicated, have also used the words ‘election’ and waiver’ to characterise the request.</w:t>
      </w:r>
    </w:p>
    <w:p w14:paraId="08D646A9" w14:textId="77777777" w:rsidR="00DA3039" w:rsidRPr="00FA4570" w:rsidRDefault="00DA3039" w:rsidP="000C1370">
      <w:pPr>
        <w:spacing w:line="360" w:lineRule="auto"/>
        <w:jc w:val="both"/>
        <w:rPr>
          <w:sz w:val="28"/>
          <w:szCs w:val="28"/>
        </w:rPr>
      </w:pPr>
    </w:p>
    <w:p w14:paraId="7A430FDE" w14:textId="5ADE8506" w:rsidR="00DA3039" w:rsidRPr="00FA4570" w:rsidRDefault="00DA3039" w:rsidP="000C1370">
      <w:pPr>
        <w:spacing w:line="360" w:lineRule="auto"/>
        <w:jc w:val="both"/>
        <w:rPr>
          <w:sz w:val="28"/>
          <w:szCs w:val="28"/>
        </w:rPr>
      </w:pPr>
      <w:r w:rsidRPr="00FA4570">
        <w:rPr>
          <w:sz w:val="28"/>
          <w:szCs w:val="28"/>
        </w:rPr>
        <w:t>[</w:t>
      </w:r>
      <w:r w:rsidR="00F16847" w:rsidRPr="00FA4570">
        <w:rPr>
          <w:sz w:val="28"/>
          <w:szCs w:val="28"/>
        </w:rPr>
        <w:t>29</w:t>
      </w:r>
      <w:r w:rsidRPr="00FA4570">
        <w:rPr>
          <w:sz w:val="28"/>
          <w:szCs w:val="28"/>
        </w:rPr>
        <w:t>]</w:t>
      </w:r>
      <w:r w:rsidRPr="00FA4570">
        <w:rPr>
          <w:sz w:val="28"/>
          <w:szCs w:val="28"/>
        </w:rPr>
        <w:tab/>
        <w:t>Section 93</w:t>
      </w:r>
      <w:r w:rsidRPr="00FA4570">
        <w:rPr>
          <w:i/>
          <w:iCs/>
          <w:sz w:val="28"/>
          <w:szCs w:val="28"/>
        </w:rPr>
        <w:t>ter</w:t>
      </w:r>
      <w:r w:rsidR="001327E6" w:rsidRPr="00FA4570">
        <w:rPr>
          <w:iCs/>
          <w:sz w:val="28"/>
          <w:szCs w:val="28"/>
        </w:rPr>
        <w:t>(1)</w:t>
      </w:r>
      <w:r w:rsidRPr="00FA4570">
        <w:rPr>
          <w:i/>
          <w:iCs/>
          <w:sz w:val="28"/>
          <w:szCs w:val="28"/>
        </w:rPr>
        <w:t xml:space="preserve"> </w:t>
      </w:r>
      <w:r w:rsidRPr="00FA4570">
        <w:rPr>
          <w:sz w:val="28"/>
          <w:szCs w:val="28"/>
        </w:rPr>
        <w:t xml:space="preserve">deals, as this </w:t>
      </w:r>
      <w:r w:rsidR="00815414" w:rsidRPr="00FA4570">
        <w:rPr>
          <w:sz w:val="28"/>
          <w:szCs w:val="28"/>
        </w:rPr>
        <w:t>C</w:t>
      </w:r>
      <w:r w:rsidRPr="00FA4570">
        <w:rPr>
          <w:sz w:val="28"/>
          <w:szCs w:val="28"/>
        </w:rPr>
        <w:t xml:space="preserve">ourt has held, with the constitution of the court. </w:t>
      </w:r>
      <w:r w:rsidR="00687691" w:rsidRPr="00FA4570">
        <w:rPr>
          <w:sz w:val="28"/>
          <w:szCs w:val="28"/>
        </w:rPr>
        <w:t>It regulates the criminal jurisdiction of a regional court.</w:t>
      </w:r>
      <w:r w:rsidR="00687691" w:rsidRPr="00FA4570">
        <w:rPr>
          <w:rStyle w:val="FootnoteReference"/>
          <w:sz w:val="28"/>
          <w:szCs w:val="28"/>
        </w:rPr>
        <w:footnoteReference w:id="26"/>
      </w:r>
      <w:r w:rsidR="00687691" w:rsidRPr="00FA4570">
        <w:rPr>
          <w:sz w:val="28"/>
          <w:szCs w:val="28"/>
        </w:rPr>
        <w:t xml:space="preserve"> </w:t>
      </w:r>
      <w:r w:rsidR="006F6D14" w:rsidRPr="00FA4570">
        <w:rPr>
          <w:sz w:val="28"/>
          <w:szCs w:val="28"/>
        </w:rPr>
        <w:t>The section</w:t>
      </w:r>
      <w:r w:rsidR="003E5876" w:rsidRPr="00FA4570">
        <w:rPr>
          <w:sz w:val="28"/>
          <w:szCs w:val="28"/>
        </w:rPr>
        <w:t xml:space="preserve"> permits the involvement of persons, </w:t>
      </w:r>
      <w:r w:rsidR="0004651E" w:rsidRPr="00FA4570">
        <w:rPr>
          <w:sz w:val="28"/>
          <w:szCs w:val="28"/>
        </w:rPr>
        <w:t>in addition to</w:t>
      </w:r>
      <w:r w:rsidR="003E5876" w:rsidRPr="00FA4570">
        <w:rPr>
          <w:sz w:val="28"/>
          <w:szCs w:val="28"/>
        </w:rPr>
        <w:t xml:space="preserve"> appointed judicial officers, in the adjudication of criminal matters within the jurisdiction of a </w:t>
      </w:r>
      <w:r w:rsidR="00152C7E" w:rsidRPr="00FA4570">
        <w:rPr>
          <w:sz w:val="28"/>
          <w:szCs w:val="28"/>
        </w:rPr>
        <w:t>magistrate’s</w:t>
      </w:r>
      <w:r w:rsidR="003E5876" w:rsidRPr="00FA4570">
        <w:rPr>
          <w:sz w:val="28"/>
          <w:szCs w:val="28"/>
        </w:rPr>
        <w:t xml:space="preserve"> court. It does so on a discretionary basis </w:t>
      </w:r>
      <w:r w:rsidR="00BE0C3F" w:rsidRPr="00FA4570">
        <w:rPr>
          <w:sz w:val="28"/>
          <w:szCs w:val="28"/>
        </w:rPr>
        <w:t>by way of an election made by</w:t>
      </w:r>
      <w:r w:rsidR="003E5876" w:rsidRPr="00FA4570">
        <w:rPr>
          <w:sz w:val="28"/>
          <w:szCs w:val="28"/>
        </w:rPr>
        <w:t xml:space="preserve"> the presiding judicial officer, except in the case of a murder charge. In the latter case, the section provides for the peremptory involvement of assessors to assist the presiding judicial officer. In both instances, the participation of the assessors is </w:t>
      </w:r>
      <w:r w:rsidR="009E7C8F" w:rsidRPr="00FA4570">
        <w:rPr>
          <w:sz w:val="28"/>
          <w:szCs w:val="28"/>
        </w:rPr>
        <w:t>delineated,</w:t>
      </w:r>
      <w:r w:rsidR="003E5876" w:rsidRPr="00FA4570">
        <w:rPr>
          <w:sz w:val="28"/>
          <w:szCs w:val="28"/>
        </w:rPr>
        <w:t xml:space="preserve"> and provision is made for disqualification, </w:t>
      </w:r>
      <w:r w:rsidR="00152C7E" w:rsidRPr="00FA4570">
        <w:rPr>
          <w:sz w:val="28"/>
          <w:szCs w:val="28"/>
        </w:rPr>
        <w:t>recusal,</w:t>
      </w:r>
      <w:r w:rsidR="003E5876" w:rsidRPr="00FA4570">
        <w:rPr>
          <w:sz w:val="28"/>
          <w:szCs w:val="28"/>
        </w:rPr>
        <w:t xml:space="preserve"> and the continuation of the trial without an assessor.</w:t>
      </w:r>
      <w:r w:rsidR="003E5876" w:rsidRPr="00FA4570">
        <w:rPr>
          <w:rStyle w:val="FootnoteReference"/>
          <w:sz w:val="28"/>
          <w:szCs w:val="28"/>
        </w:rPr>
        <w:footnoteReference w:id="27"/>
      </w:r>
    </w:p>
    <w:p w14:paraId="645BDC5F" w14:textId="77777777" w:rsidR="0004651E" w:rsidRPr="00FA4570" w:rsidRDefault="0004651E" w:rsidP="000C1370">
      <w:pPr>
        <w:spacing w:line="360" w:lineRule="auto"/>
        <w:jc w:val="both"/>
        <w:rPr>
          <w:sz w:val="28"/>
          <w:szCs w:val="28"/>
        </w:rPr>
      </w:pPr>
    </w:p>
    <w:p w14:paraId="1437952D" w14:textId="0B38463D" w:rsidR="009D0C07" w:rsidRPr="00FA4570" w:rsidRDefault="003F7FF6" w:rsidP="009D0C07">
      <w:pPr>
        <w:spacing w:line="360" w:lineRule="auto"/>
        <w:jc w:val="both"/>
        <w:rPr>
          <w:sz w:val="28"/>
          <w:szCs w:val="28"/>
        </w:rPr>
      </w:pPr>
      <w:r w:rsidRPr="00FA4570">
        <w:rPr>
          <w:sz w:val="28"/>
          <w:szCs w:val="28"/>
        </w:rPr>
        <w:t>[3</w:t>
      </w:r>
      <w:r w:rsidR="00F16847" w:rsidRPr="00FA4570">
        <w:rPr>
          <w:sz w:val="28"/>
          <w:szCs w:val="28"/>
        </w:rPr>
        <w:t>0</w:t>
      </w:r>
      <w:r w:rsidRPr="00FA4570">
        <w:rPr>
          <w:sz w:val="28"/>
          <w:szCs w:val="28"/>
        </w:rPr>
        <w:t>]</w:t>
      </w:r>
      <w:r w:rsidRPr="00FA4570">
        <w:rPr>
          <w:sz w:val="28"/>
          <w:szCs w:val="28"/>
        </w:rPr>
        <w:tab/>
        <w:t>Section 93</w:t>
      </w:r>
      <w:r w:rsidR="00152C7E" w:rsidRPr="00FA4570">
        <w:rPr>
          <w:i/>
          <w:iCs/>
          <w:sz w:val="28"/>
          <w:szCs w:val="28"/>
        </w:rPr>
        <w:t>ter</w:t>
      </w:r>
      <w:r w:rsidR="00152C7E" w:rsidRPr="00FA4570">
        <w:rPr>
          <w:sz w:val="28"/>
          <w:szCs w:val="28"/>
        </w:rPr>
        <w:t xml:space="preserve"> (</w:t>
      </w:r>
      <w:r w:rsidRPr="00FA4570">
        <w:rPr>
          <w:sz w:val="28"/>
          <w:szCs w:val="28"/>
        </w:rPr>
        <w:t>1) does not confer upon an accused person a right</w:t>
      </w:r>
      <w:r w:rsidR="00F16847" w:rsidRPr="00FA4570">
        <w:rPr>
          <w:sz w:val="28"/>
          <w:szCs w:val="28"/>
        </w:rPr>
        <w:t xml:space="preserve"> </w:t>
      </w:r>
      <w:r w:rsidRPr="00FA4570">
        <w:rPr>
          <w:sz w:val="28"/>
          <w:szCs w:val="28"/>
        </w:rPr>
        <w:t xml:space="preserve">to be tried by a ‘properly constituted’ court. </w:t>
      </w:r>
      <w:r w:rsidR="002114EC" w:rsidRPr="00FA4570">
        <w:rPr>
          <w:sz w:val="28"/>
          <w:szCs w:val="28"/>
        </w:rPr>
        <w:t>The language employed in s 93</w:t>
      </w:r>
      <w:r w:rsidR="00152C7E" w:rsidRPr="00FA4570">
        <w:rPr>
          <w:i/>
          <w:iCs/>
          <w:sz w:val="28"/>
          <w:szCs w:val="28"/>
        </w:rPr>
        <w:t>ter</w:t>
      </w:r>
      <w:r w:rsidR="00152C7E" w:rsidRPr="00FA4570">
        <w:rPr>
          <w:sz w:val="28"/>
          <w:szCs w:val="28"/>
        </w:rPr>
        <w:t>(</w:t>
      </w:r>
      <w:r w:rsidR="002114EC" w:rsidRPr="00FA4570">
        <w:rPr>
          <w:sz w:val="28"/>
          <w:szCs w:val="28"/>
        </w:rPr>
        <w:t>1) confers only a right to request that the trial proceed without assessors. The request is not dispositive. Once the request is made, the magistrate has a discretion to summon one or two assessors to assist them, notwithstanding the request.</w:t>
      </w:r>
      <w:r w:rsidR="003B5F2E" w:rsidRPr="00FA4570">
        <w:rPr>
          <w:sz w:val="28"/>
          <w:szCs w:val="28"/>
        </w:rPr>
        <w:t xml:space="preserve"> </w:t>
      </w:r>
      <w:r w:rsidR="009D0C07" w:rsidRPr="00FA4570">
        <w:rPr>
          <w:sz w:val="28"/>
          <w:szCs w:val="28"/>
          <w:lang w:val="en-ZA"/>
        </w:rPr>
        <w:t>The fact that the court has a discretion</w:t>
      </w:r>
      <w:r w:rsidR="0004651E" w:rsidRPr="00FA4570">
        <w:rPr>
          <w:sz w:val="28"/>
          <w:szCs w:val="28"/>
          <w:lang w:val="en-ZA"/>
        </w:rPr>
        <w:t xml:space="preserve"> to summon assessors despite the request,</w:t>
      </w:r>
      <w:r w:rsidR="009D0C07" w:rsidRPr="00FA4570">
        <w:rPr>
          <w:sz w:val="28"/>
          <w:szCs w:val="28"/>
          <w:lang w:val="en-ZA"/>
        </w:rPr>
        <w:t xml:space="preserve"> effectively negates the </w:t>
      </w:r>
      <w:r w:rsidR="00BE0C3F" w:rsidRPr="00FA4570">
        <w:rPr>
          <w:sz w:val="28"/>
          <w:szCs w:val="28"/>
          <w:lang w:val="en-ZA"/>
        </w:rPr>
        <w:t>notion of any kind of ‘election’</w:t>
      </w:r>
      <w:r w:rsidR="00C74727">
        <w:rPr>
          <w:sz w:val="28"/>
          <w:szCs w:val="28"/>
          <w:lang w:val="en-ZA"/>
        </w:rPr>
        <w:t xml:space="preserve"> by the accused</w:t>
      </w:r>
      <w:r w:rsidR="00BE0C3F" w:rsidRPr="00FA4570">
        <w:rPr>
          <w:sz w:val="28"/>
          <w:szCs w:val="28"/>
          <w:lang w:val="en-ZA"/>
        </w:rPr>
        <w:t>.</w:t>
      </w:r>
    </w:p>
    <w:p w14:paraId="1133CA32" w14:textId="77777777" w:rsidR="00F16847" w:rsidRPr="00FA4570" w:rsidRDefault="009D0C07" w:rsidP="00F16847">
      <w:pPr>
        <w:spacing w:line="360" w:lineRule="auto"/>
        <w:jc w:val="both"/>
        <w:rPr>
          <w:sz w:val="28"/>
          <w:szCs w:val="28"/>
          <w:lang w:val="en-ZA"/>
        </w:rPr>
      </w:pPr>
      <w:r w:rsidRPr="00FA4570">
        <w:rPr>
          <w:sz w:val="28"/>
          <w:szCs w:val="28"/>
          <w:lang w:val="en-ZA"/>
        </w:rPr>
        <w:lastRenderedPageBreak/>
        <w:t> </w:t>
      </w:r>
    </w:p>
    <w:p w14:paraId="6A539B8B" w14:textId="4D13EC0D" w:rsidR="009D0C07" w:rsidRPr="00FA4570" w:rsidRDefault="00BE0C3F" w:rsidP="00F16847">
      <w:pPr>
        <w:spacing w:line="360" w:lineRule="auto"/>
        <w:jc w:val="both"/>
        <w:rPr>
          <w:sz w:val="28"/>
          <w:szCs w:val="28"/>
          <w:lang w:val="en-ZA"/>
        </w:rPr>
      </w:pPr>
      <w:r w:rsidRPr="00FA4570">
        <w:rPr>
          <w:sz w:val="28"/>
          <w:szCs w:val="28"/>
          <w:lang w:val="en-ZA"/>
        </w:rPr>
        <w:t>[3</w:t>
      </w:r>
      <w:r w:rsidR="00F16847" w:rsidRPr="00FA4570">
        <w:rPr>
          <w:sz w:val="28"/>
          <w:szCs w:val="28"/>
          <w:lang w:val="en-ZA"/>
        </w:rPr>
        <w:t>1</w:t>
      </w:r>
      <w:r w:rsidR="009D0C07" w:rsidRPr="00FA4570">
        <w:rPr>
          <w:sz w:val="28"/>
          <w:szCs w:val="28"/>
          <w:lang w:val="en-ZA"/>
        </w:rPr>
        <w:t>]</w:t>
      </w:r>
      <w:r w:rsidR="009D0C07" w:rsidRPr="00FA4570">
        <w:rPr>
          <w:sz w:val="28"/>
          <w:szCs w:val="28"/>
          <w:lang w:val="en-ZA"/>
        </w:rPr>
        <w:tab/>
        <w:t xml:space="preserve">What </w:t>
      </w:r>
      <w:r w:rsidR="00F16847" w:rsidRPr="00FA4570">
        <w:rPr>
          <w:sz w:val="28"/>
          <w:szCs w:val="28"/>
          <w:lang w:val="en-ZA"/>
        </w:rPr>
        <w:t xml:space="preserve">s </w:t>
      </w:r>
      <w:r w:rsidR="009D0C07" w:rsidRPr="00FA4570">
        <w:rPr>
          <w:sz w:val="28"/>
          <w:szCs w:val="28"/>
          <w:lang w:val="en-ZA"/>
        </w:rPr>
        <w:t>93</w:t>
      </w:r>
      <w:r w:rsidR="009D0C07" w:rsidRPr="00FA4570">
        <w:rPr>
          <w:i/>
          <w:iCs/>
          <w:sz w:val="28"/>
          <w:szCs w:val="28"/>
          <w:lang w:val="en-ZA"/>
        </w:rPr>
        <w:t>te</w:t>
      </w:r>
      <w:r w:rsidR="00F16847" w:rsidRPr="00FA4570">
        <w:rPr>
          <w:i/>
          <w:iCs/>
          <w:sz w:val="28"/>
          <w:szCs w:val="28"/>
          <w:lang w:val="en-ZA"/>
        </w:rPr>
        <w:t>r</w:t>
      </w:r>
      <w:r w:rsidR="00F16847" w:rsidRPr="00FA4570">
        <w:rPr>
          <w:sz w:val="28"/>
          <w:szCs w:val="28"/>
          <w:lang w:val="en-ZA"/>
        </w:rPr>
        <w:t>(1)</w:t>
      </w:r>
      <w:r w:rsidR="009D0C07" w:rsidRPr="00FA4570">
        <w:rPr>
          <w:sz w:val="28"/>
          <w:szCs w:val="28"/>
          <w:lang w:val="en-ZA"/>
        </w:rPr>
        <w:t xml:space="preserve"> requires</w:t>
      </w:r>
      <w:r w:rsidR="00F16847" w:rsidRPr="00FA4570">
        <w:rPr>
          <w:sz w:val="28"/>
          <w:szCs w:val="28"/>
          <w:lang w:val="en-ZA"/>
        </w:rPr>
        <w:t xml:space="preserve"> </w:t>
      </w:r>
      <w:r w:rsidR="009D0C07" w:rsidRPr="00FA4570">
        <w:rPr>
          <w:sz w:val="28"/>
          <w:szCs w:val="28"/>
          <w:lang w:val="en-ZA"/>
        </w:rPr>
        <w:t xml:space="preserve">is that an accused person must be informed of the </w:t>
      </w:r>
      <w:r w:rsidR="00424F3C" w:rsidRPr="00FA4570">
        <w:rPr>
          <w:sz w:val="28"/>
          <w:szCs w:val="28"/>
          <w:lang w:val="en-ZA"/>
        </w:rPr>
        <w:t xml:space="preserve">section’s </w:t>
      </w:r>
      <w:r w:rsidR="009D0C07" w:rsidRPr="00FA4570">
        <w:rPr>
          <w:sz w:val="28"/>
          <w:szCs w:val="28"/>
          <w:lang w:val="en-ZA"/>
        </w:rPr>
        <w:t xml:space="preserve">mandatory provisions and that he may request that the trial proceed without assessors. </w:t>
      </w:r>
      <w:r w:rsidR="009D0C07" w:rsidRPr="00FA4570">
        <w:rPr>
          <w:i/>
          <w:iCs/>
          <w:sz w:val="28"/>
          <w:szCs w:val="28"/>
          <w:lang w:val="en-ZA"/>
        </w:rPr>
        <w:t>Gayiya</w:t>
      </w:r>
      <w:r w:rsidR="009D0C07" w:rsidRPr="00FA4570">
        <w:rPr>
          <w:sz w:val="28"/>
          <w:szCs w:val="28"/>
          <w:lang w:val="en-ZA"/>
        </w:rPr>
        <w:t xml:space="preserve"> does not hold that the magistrate is obliged to only</w:t>
      </w:r>
      <w:r w:rsidRPr="00FA4570">
        <w:rPr>
          <w:sz w:val="28"/>
          <w:szCs w:val="28"/>
          <w:lang w:val="en-ZA"/>
        </w:rPr>
        <w:t xml:space="preserve"> address the accused directly, </w:t>
      </w:r>
      <w:r w:rsidR="009D0C07" w:rsidRPr="00FA4570">
        <w:rPr>
          <w:sz w:val="28"/>
          <w:szCs w:val="28"/>
          <w:lang w:val="en-ZA"/>
        </w:rPr>
        <w:t>or to explain the nature of the rights conferred by the sect</w:t>
      </w:r>
      <w:r w:rsidR="0004651E" w:rsidRPr="00FA4570">
        <w:rPr>
          <w:sz w:val="28"/>
          <w:szCs w:val="28"/>
          <w:lang w:val="en-ZA"/>
        </w:rPr>
        <w:t xml:space="preserve">ion. </w:t>
      </w:r>
      <w:r w:rsidR="009D0C07" w:rsidRPr="00FA4570">
        <w:rPr>
          <w:sz w:val="28"/>
          <w:szCs w:val="28"/>
          <w:lang w:val="en-ZA"/>
        </w:rPr>
        <w:t xml:space="preserve">It is not necessary, for present purposes, to traverse the obligations imposed upon a judicial officer in circumstances where an accused person is unrepresented. They are well understood. </w:t>
      </w:r>
    </w:p>
    <w:p w14:paraId="24830D86" w14:textId="77777777" w:rsidR="009D0C07" w:rsidRPr="00FA4570" w:rsidRDefault="009D0C07" w:rsidP="009D0C07">
      <w:pPr>
        <w:spacing w:line="360" w:lineRule="auto"/>
        <w:jc w:val="both"/>
        <w:rPr>
          <w:sz w:val="28"/>
          <w:szCs w:val="28"/>
          <w:lang w:val="en-ZA"/>
        </w:rPr>
      </w:pPr>
      <w:r w:rsidRPr="00FA4570">
        <w:rPr>
          <w:sz w:val="28"/>
          <w:szCs w:val="28"/>
          <w:lang w:val="en-ZA"/>
        </w:rPr>
        <w:t> </w:t>
      </w:r>
    </w:p>
    <w:p w14:paraId="52AA81FB" w14:textId="5137C0BB" w:rsidR="009D0C07" w:rsidRPr="00FA4570" w:rsidRDefault="00F71BEF" w:rsidP="009D0C07">
      <w:pPr>
        <w:spacing w:line="360" w:lineRule="auto"/>
        <w:jc w:val="both"/>
        <w:rPr>
          <w:sz w:val="28"/>
          <w:szCs w:val="28"/>
          <w:lang w:val="en-ZA"/>
        </w:rPr>
      </w:pPr>
      <w:r w:rsidRPr="00FA4570">
        <w:rPr>
          <w:sz w:val="28"/>
          <w:szCs w:val="28"/>
          <w:lang w:val="en-ZA"/>
        </w:rPr>
        <w:t>[3</w:t>
      </w:r>
      <w:r w:rsidR="00F16847" w:rsidRPr="00FA4570">
        <w:rPr>
          <w:sz w:val="28"/>
          <w:szCs w:val="28"/>
          <w:lang w:val="en-ZA"/>
        </w:rPr>
        <w:t>2</w:t>
      </w:r>
      <w:r w:rsidR="00FB5F09" w:rsidRPr="00FA4570">
        <w:rPr>
          <w:sz w:val="28"/>
          <w:szCs w:val="28"/>
          <w:lang w:val="en-ZA"/>
        </w:rPr>
        <w:t>]</w:t>
      </w:r>
      <w:r w:rsidR="00FB5F09" w:rsidRPr="00FA4570">
        <w:rPr>
          <w:sz w:val="28"/>
          <w:szCs w:val="28"/>
          <w:lang w:val="en-ZA"/>
        </w:rPr>
        <w:tab/>
        <w:t>W</w:t>
      </w:r>
      <w:r w:rsidR="009D0C07" w:rsidRPr="00FA4570">
        <w:rPr>
          <w:sz w:val="28"/>
          <w:szCs w:val="28"/>
          <w:lang w:val="en-ZA"/>
        </w:rPr>
        <w:t xml:space="preserve">here an accused person is legally represented, the obligation which </w:t>
      </w:r>
      <w:r w:rsidR="00FB5F09" w:rsidRPr="00FA4570">
        <w:rPr>
          <w:sz w:val="28"/>
          <w:szCs w:val="28"/>
          <w:lang w:val="en-ZA"/>
        </w:rPr>
        <w:t xml:space="preserve">rests upon a </w:t>
      </w:r>
      <w:r w:rsidR="009D0C07" w:rsidRPr="00FA4570">
        <w:rPr>
          <w:sz w:val="28"/>
          <w:szCs w:val="28"/>
          <w:lang w:val="en-ZA"/>
        </w:rPr>
        <w:t>presiding officer is of a different character. The presiding officer remains under an obligation to ensure that the trial is fair and that an</w:t>
      </w:r>
      <w:r w:rsidR="00FB5F09" w:rsidRPr="00FA4570">
        <w:rPr>
          <w:sz w:val="28"/>
          <w:szCs w:val="28"/>
          <w:lang w:val="en-ZA"/>
        </w:rPr>
        <w:t xml:space="preserve"> </w:t>
      </w:r>
      <w:r w:rsidR="009D0C07" w:rsidRPr="00FA4570">
        <w:rPr>
          <w:sz w:val="28"/>
          <w:szCs w:val="28"/>
          <w:lang w:val="en-ZA"/>
        </w:rPr>
        <w:t>accused</w:t>
      </w:r>
      <w:r w:rsidR="00FB5F09" w:rsidRPr="00FA4570">
        <w:rPr>
          <w:sz w:val="28"/>
          <w:szCs w:val="28"/>
          <w:lang w:val="en-ZA"/>
        </w:rPr>
        <w:t xml:space="preserve"> person’s</w:t>
      </w:r>
      <w:r w:rsidR="009D0C07" w:rsidRPr="00FA4570">
        <w:rPr>
          <w:sz w:val="28"/>
          <w:szCs w:val="28"/>
          <w:lang w:val="en-ZA"/>
        </w:rPr>
        <w:t xml:space="preserve"> constitutional rights</w:t>
      </w:r>
      <w:r w:rsidR="00FB5F09" w:rsidRPr="00FA4570">
        <w:rPr>
          <w:sz w:val="28"/>
          <w:szCs w:val="28"/>
          <w:lang w:val="en-ZA"/>
        </w:rPr>
        <w:t xml:space="preserve"> are </w:t>
      </w:r>
      <w:r w:rsidR="009D0C07" w:rsidRPr="00FA4570">
        <w:rPr>
          <w:sz w:val="28"/>
          <w:szCs w:val="28"/>
          <w:lang w:val="en-ZA"/>
        </w:rPr>
        <w:t xml:space="preserve">protected. But that general obligation is to be carried out </w:t>
      </w:r>
      <w:r w:rsidR="0004651E" w:rsidRPr="00FA4570">
        <w:rPr>
          <w:sz w:val="28"/>
          <w:szCs w:val="28"/>
          <w:lang w:val="en-ZA"/>
        </w:rPr>
        <w:t>in the light of the accused having</w:t>
      </w:r>
      <w:r w:rsidR="009D0C07" w:rsidRPr="00FA4570">
        <w:rPr>
          <w:sz w:val="28"/>
          <w:szCs w:val="28"/>
          <w:lang w:val="en-ZA"/>
        </w:rPr>
        <w:t xml:space="preserve"> exercise</w:t>
      </w:r>
      <w:r w:rsidR="0004651E" w:rsidRPr="00FA4570">
        <w:rPr>
          <w:sz w:val="28"/>
          <w:szCs w:val="28"/>
          <w:lang w:val="en-ZA"/>
        </w:rPr>
        <w:t>d</w:t>
      </w:r>
      <w:r w:rsidR="009D0C07" w:rsidRPr="00FA4570">
        <w:rPr>
          <w:sz w:val="28"/>
          <w:szCs w:val="28"/>
          <w:lang w:val="en-ZA"/>
        </w:rPr>
        <w:t xml:space="preserve"> </w:t>
      </w:r>
      <w:r w:rsidR="0004651E" w:rsidRPr="00FA4570">
        <w:rPr>
          <w:sz w:val="28"/>
          <w:szCs w:val="28"/>
          <w:lang w:val="en-ZA"/>
        </w:rPr>
        <w:t>the right</w:t>
      </w:r>
      <w:r w:rsidR="009D0C07" w:rsidRPr="00FA4570">
        <w:rPr>
          <w:sz w:val="28"/>
          <w:szCs w:val="28"/>
          <w:lang w:val="en-ZA"/>
        </w:rPr>
        <w:t xml:space="preserve"> to legal representation. Section 25</w:t>
      </w:r>
      <w:r w:rsidR="00FB5F09" w:rsidRPr="00FA4570">
        <w:rPr>
          <w:sz w:val="28"/>
          <w:szCs w:val="28"/>
          <w:lang w:val="en-ZA"/>
        </w:rPr>
        <w:t>(3)(</w:t>
      </w:r>
      <w:r w:rsidR="00FB5F09" w:rsidRPr="00FA4570">
        <w:rPr>
          <w:i/>
          <w:iCs/>
          <w:sz w:val="28"/>
          <w:szCs w:val="28"/>
          <w:lang w:val="en-ZA"/>
        </w:rPr>
        <w:t>f</w:t>
      </w:r>
      <w:r w:rsidR="00FB5F09" w:rsidRPr="00FA4570">
        <w:rPr>
          <w:sz w:val="28"/>
          <w:szCs w:val="28"/>
          <w:lang w:val="en-ZA"/>
        </w:rPr>
        <w:t>) o</w:t>
      </w:r>
      <w:r w:rsidR="009D0C07" w:rsidRPr="00FA4570">
        <w:rPr>
          <w:sz w:val="28"/>
          <w:szCs w:val="28"/>
          <w:lang w:val="en-ZA"/>
        </w:rPr>
        <w:t>f the Constitution</w:t>
      </w:r>
      <w:r w:rsidR="00FB5F09" w:rsidRPr="00FA4570">
        <w:rPr>
          <w:sz w:val="28"/>
          <w:szCs w:val="28"/>
          <w:lang w:val="en-ZA"/>
        </w:rPr>
        <w:t xml:space="preserve"> c</w:t>
      </w:r>
      <w:r w:rsidR="009D0C07" w:rsidRPr="00FA4570">
        <w:rPr>
          <w:sz w:val="28"/>
          <w:szCs w:val="28"/>
          <w:lang w:val="en-ZA"/>
        </w:rPr>
        <w:t xml:space="preserve">onfers </w:t>
      </w:r>
      <w:r w:rsidR="00FB5F09" w:rsidRPr="00FA4570">
        <w:rPr>
          <w:sz w:val="28"/>
          <w:szCs w:val="28"/>
          <w:lang w:val="en-ZA"/>
        </w:rPr>
        <w:t xml:space="preserve">upon an accused person </w:t>
      </w:r>
      <w:r w:rsidR="009D0C07" w:rsidRPr="00FA4570">
        <w:rPr>
          <w:sz w:val="28"/>
          <w:szCs w:val="28"/>
          <w:lang w:val="en-ZA"/>
        </w:rPr>
        <w:t>the right to choose and be represented by a legal practitioner</w:t>
      </w:r>
      <w:r w:rsidR="00FB5F09" w:rsidRPr="00FA4570">
        <w:rPr>
          <w:sz w:val="28"/>
          <w:szCs w:val="28"/>
          <w:lang w:val="en-ZA"/>
        </w:rPr>
        <w:t>. I</w:t>
      </w:r>
      <w:r w:rsidR="009D0C07" w:rsidRPr="00FA4570">
        <w:rPr>
          <w:sz w:val="28"/>
          <w:szCs w:val="28"/>
          <w:lang w:val="en-ZA"/>
        </w:rPr>
        <w:t xml:space="preserve">n </w:t>
      </w:r>
      <w:r w:rsidR="00FB5F09" w:rsidRPr="00FA4570">
        <w:rPr>
          <w:i/>
          <w:iCs/>
          <w:sz w:val="28"/>
          <w:szCs w:val="28"/>
          <w:lang w:val="en-ZA"/>
        </w:rPr>
        <w:t>S v Mpongoshe</w:t>
      </w:r>
      <w:r w:rsidR="009D0C07" w:rsidRPr="00FA4570">
        <w:rPr>
          <w:sz w:val="28"/>
          <w:szCs w:val="28"/>
          <w:lang w:val="en-ZA"/>
        </w:rPr>
        <w:t xml:space="preserve"> </w:t>
      </w:r>
      <w:r w:rsidR="0004651E" w:rsidRPr="00FA4570">
        <w:rPr>
          <w:rStyle w:val="FootnoteReference"/>
          <w:sz w:val="28"/>
          <w:szCs w:val="28"/>
          <w:lang w:val="en-ZA"/>
        </w:rPr>
        <w:footnoteReference w:id="28"/>
      </w:r>
      <w:r w:rsidR="00FB5F09" w:rsidRPr="00FA4570">
        <w:rPr>
          <w:sz w:val="28"/>
          <w:szCs w:val="28"/>
          <w:lang w:val="en-ZA"/>
        </w:rPr>
        <w:t xml:space="preserve"> t</w:t>
      </w:r>
      <w:r w:rsidR="009D0C07" w:rsidRPr="00FA4570">
        <w:rPr>
          <w:sz w:val="28"/>
          <w:szCs w:val="28"/>
          <w:lang w:val="en-ZA"/>
        </w:rPr>
        <w:t xml:space="preserve">his </w:t>
      </w:r>
      <w:r w:rsidR="00815414" w:rsidRPr="00FA4570">
        <w:rPr>
          <w:sz w:val="28"/>
          <w:szCs w:val="28"/>
          <w:lang w:val="en-ZA"/>
        </w:rPr>
        <w:t>C</w:t>
      </w:r>
      <w:r w:rsidR="009D0C07" w:rsidRPr="00FA4570">
        <w:rPr>
          <w:sz w:val="28"/>
          <w:szCs w:val="28"/>
          <w:lang w:val="en-ZA"/>
        </w:rPr>
        <w:t>ourt held that section 73</w:t>
      </w:r>
      <w:r w:rsidR="00FB5F09" w:rsidRPr="00FA4570">
        <w:rPr>
          <w:sz w:val="28"/>
          <w:szCs w:val="28"/>
          <w:lang w:val="en-ZA"/>
        </w:rPr>
        <w:t>(2)</w:t>
      </w:r>
      <w:r w:rsidR="009D0C07" w:rsidRPr="00FA4570">
        <w:rPr>
          <w:sz w:val="28"/>
          <w:szCs w:val="28"/>
          <w:lang w:val="en-ZA"/>
        </w:rPr>
        <w:t xml:space="preserve"> of the CPA confers upon an accused</w:t>
      </w:r>
      <w:r w:rsidR="00FB5F09" w:rsidRPr="00FA4570">
        <w:rPr>
          <w:sz w:val="28"/>
          <w:szCs w:val="28"/>
          <w:lang w:val="en-ZA"/>
        </w:rPr>
        <w:t xml:space="preserve"> the wider right to be represented.</w:t>
      </w:r>
      <w:r w:rsidR="009D0C07" w:rsidRPr="00FA4570">
        <w:rPr>
          <w:sz w:val="28"/>
          <w:szCs w:val="28"/>
          <w:lang w:val="en-ZA"/>
        </w:rPr>
        <w:t xml:space="preserve"> In that case it was held that </w:t>
      </w:r>
      <w:r w:rsidR="003B5F2E" w:rsidRPr="00FA4570">
        <w:rPr>
          <w:sz w:val="28"/>
          <w:szCs w:val="28"/>
          <w:lang w:val="en-ZA"/>
        </w:rPr>
        <w:t xml:space="preserve">the right to legal representation </w:t>
      </w:r>
      <w:r w:rsidR="009D0C07" w:rsidRPr="00FA4570">
        <w:rPr>
          <w:sz w:val="28"/>
          <w:szCs w:val="28"/>
          <w:lang w:val="en-ZA"/>
        </w:rPr>
        <w:t xml:space="preserve">encompassed the right to have a plea tendered vicariously by the legal representative. </w:t>
      </w:r>
    </w:p>
    <w:p w14:paraId="72494BC7" w14:textId="77777777" w:rsidR="009D0C07" w:rsidRPr="00FA4570" w:rsidRDefault="009D0C07" w:rsidP="009D0C07">
      <w:pPr>
        <w:spacing w:line="360" w:lineRule="auto"/>
        <w:jc w:val="both"/>
        <w:rPr>
          <w:sz w:val="28"/>
          <w:szCs w:val="28"/>
          <w:lang w:val="en-ZA"/>
        </w:rPr>
      </w:pPr>
      <w:r w:rsidRPr="00FA4570">
        <w:rPr>
          <w:sz w:val="28"/>
          <w:szCs w:val="28"/>
          <w:lang w:val="en-ZA"/>
        </w:rPr>
        <w:t> </w:t>
      </w:r>
    </w:p>
    <w:p w14:paraId="00ED0A15" w14:textId="6214D0CD" w:rsidR="009D0C07" w:rsidRPr="00FA4570" w:rsidRDefault="00F71BEF" w:rsidP="009D0C07">
      <w:pPr>
        <w:spacing w:line="360" w:lineRule="auto"/>
        <w:jc w:val="both"/>
        <w:rPr>
          <w:sz w:val="28"/>
          <w:szCs w:val="28"/>
          <w:lang w:val="en-ZA"/>
        </w:rPr>
      </w:pPr>
      <w:r w:rsidRPr="00FA4570">
        <w:rPr>
          <w:sz w:val="28"/>
          <w:szCs w:val="28"/>
          <w:lang w:val="en-ZA"/>
        </w:rPr>
        <w:t>[3</w:t>
      </w:r>
      <w:r w:rsidR="00F16847" w:rsidRPr="00FA4570">
        <w:rPr>
          <w:sz w:val="28"/>
          <w:szCs w:val="28"/>
          <w:lang w:val="en-ZA"/>
        </w:rPr>
        <w:t>3</w:t>
      </w:r>
      <w:r w:rsidR="00FB5F09" w:rsidRPr="00FA4570">
        <w:rPr>
          <w:sz w:val="28"/>
          <w:szCs w:val="28"/>
          <w:lang w:val="en-ZA"/>
        </w:rPr>
        <w:t>]</w:t>
      </w:r>
      <w:r w:rsidR="00FB5F09" w:rsidRPr="00FA4570">
        <w:rPr>
          <w:sz w:val="28"/>
          <w:szCs w:val="28"/>
          <w:lang w:val="en-ZA"/>
        </w:rPr>
        <w:tab/>
      </w:r>
      <w:r w:rsidR="009D0C07" w:rsidRPr="00FA4570">
        <w:rPr>
          <w:sz w:val="28"/>
          <w:szCs w:val="28"/>
          <w:lang w:val="en-ZA"/>
        </w:rPr>
        <w:t xml:space="preserve">In </w:t>
      </w:r>
      <w:r w:rsidR="00FB5F09" w:rsidRPr="00FA4570">
        <w:rPr>
          <w:i/>
          <w:iCs/>
          <w:sz w:val="28"/>
          <w:szCs w:val="28"/>
          <w:lang w:val="en-ZA"/>
        </w:rPr>
        <w:t xml:space="preserve">Beyers v </w:t>
      </w:r>
      <w:r w:rsidR="009D0C07" w:rsidRPr="00FA4570">
        <w:rPr>
          <w:i/>
          <w:iCs/>
          <w:sz w:val="28"/>
          <w:szCs w:val="28"/>
          <w:lang w:val="en-ZA"/>
        </w:rPr>
        <w:t>Director of Public Prosecutions</w:t>
      </w:r>
      <w:r w:rsidR="00815414" w:rsidRPr="00FA4570">
        <w:rPr>
          <w:i/>
          <w:iCs/>
          <w:sz w:val="28"/>
          <w:szCs w:val="28"/>
          <w:lang w:val="en-ZA"/>
        </w:rPr>
        <w:t>,</w:t>
      </w:r>
      <w:r w:rsidR="009D0C07" w:rsidRPr="00FA4570">
        <w:rPr>
          <w:i/>
          <w:iCs/>
          <w:sz w:val="28"/>
          <w:szCs w:val="28"/>
          <w:lang w:val="en-ZA"/>
        </w:rPr>
        <w:t xml:space="preserve"> Western Cape</w:t>
      </w:r>
      <w:r w:rsidR="00815414" w:rsidRPr="00FA4570">
        <w:rPr>
          <w:i/>
          <w:iCs/>
          <w:sz w:val="28"/>
          <w:szCs w:val="28"/>
          <w:lang w:val="en-ZA"/>
        </w:rPr>
        <w:t>,</w:t>
      </w:r>
      <w:r w:rsidR="0004651E" w:rsidRPr="00FA4570">
        <w:rPr>
          <w:rStyle w:val="FootnoteReference"/>
          <w:i/>
          <w:iCs/>
          <w:sz w:val="28"/>
          <w:szCs w:val="28"/>
          <w:lang w:val="en-ZA"/>
        </w:rPr>
        <w:footnoteReference w:id="29"/>
      </w:r>
      <w:r w:rsidR="00FB5F09" w:rsidRPr="00FA4570">
        <w:rPr>
          <w:sz w:val="28"/>
          <w:szCs w:val="28"/>
          <w:lang w:val="en-ZA"/>
        </w:rPr>
        <w:t xml:space="preserve"> it </w:t>
      </w:r>
      <w:r w:rsidR="009D0C07" w:rsidRPr="00FA4570">
        <w:rPr>
          <w:sz w:val="28"/>
          <w:szCs w:val="28"/>
          <w:lang w:val="en-ZA"/>
        </w:rPr>
        <w:t>was held</w:t>
      </w:r>
      <w:r w:rsidR="00FB5F09" w:rsidRPr="00FA4570">
        <w:rPr>
          <w:sz w:val="28"/>
          <w:szCs w:val="28"/>
          <w:lang w:val="en-ZA"/>
        </w:rPr>
        <w:t xml:space="preserve"> that</w:t>
      </w:r>
      <w:r w:rsidR="00815414" w:rsidRPr="00FA4570">
        <w:rPr>
          <w:sz w:val="28"/>
          <w:szCs w:val="28"/>
          <w:lang w:val="en-ZA"/>
        </w:rPr>
        <w:t>:</w:t>
      </w:r>
      <w:r w:rsidR="00FB5F09" w:rsidRPr="00FA4570">
        <w:rPr>
          <w:sz w:val="28"/>
          <w:szCs w:val="28"/>
          <w:lang w:val="en-ZA"/>
        </w:rPr>
        <w:t xml:space="preserve"> </w:t>
      </w:r>
    </w:p>
    <w:p w14:paraId="79681969" w14:textId="75392BE1" w:rsidR="009D0C07" w:rsidRPr="00FA4570" w:rsidRDefault="00FB5F09" w:rsidP="009D0C07">
      <w:pPr>
        <w:spacing w:line="360" w:lineRule="auto"/>
        <w:jc w:val="both"/>
        <w:rPr>
          <w:lang w:val="en-ZA"/>
        </w:rPr>
      </w:pPr>
      <w:r w:rsidRPr="00FA4570">
        <w:rPr>
          <w:lang w:val="en-ZA"/>
        </w:rPr>
        <w:t>‘</w:t>
      </w:r>
      <w:r w:rsidR="009D0C07" w:rsidRPr="00FA4570">
        <w:rPr>
          <w:lang w:val="en-ZA"/>
        </w:rPr>
        <w:t xml:space="preserve">The idea of being represented by a legal adviser cannot simply mean having somebody next to you to speak on your behalf. Representation entails that the legal adviser will act in your best interests, will represent you, will say everything that need be said in your favour, and will </w:t>
      </w:r>
      <w:r w:rsidR="009D0C07" w:rsidRPr="00FA4570">
        <w:rPr>
          <w:lang w:val="en-ZA"/>
        </w:rPr>
        <w:lastRenderedPageBreak/>
        <w:t>call such evidence</w:t>
      </w:r>
      <w:r w:rsidRPr="00FA4570">
        <w:rPr>
          <w:lang w:val="en-ZA"/>
        </w:rPr>
        <w:t xml:space="preserve"> a</w:t>
      </w:r>
      <w:r w:rsidR="009D0C07" w:rsidRPr="00FA4570">
        <w:rPr>
          <w:lang w:val="en-ZA"/>
        </w:rPr>
        <w:t>s is justified by the circumstances in order to put the best case possible before the court in your defence.</w:t>
      </w:r>
      <w:r w:rsidRPr="00FA4570">
        <w:rPr>
          <w:lang w:val="en-ZA"/>
        </w:rPr>
        <w:t>’</w:t>
      </w:r>
    </w:p>
    <w:p w14:paraId="29A3D283" w14:textId="77777777" w:rsidR="009D0C07" w:rsidRPr="00FA4570" w:rsidRDefault="009D0C07" w:rsidP="009D0C07">
      <w:pPr>
        <w:spacing w:line="360" w:lineRule="auto"/>
        <w:jc w:val="both"/>
        <w:rPr>
          <w:sz w:val="28"/>
          <w:szCs w:val="28"/>
          <w:lang w:val="en-ZA"/>
        </w:rPr>
      </w:pPr>
      <w:r w:rsidRPr="00FA4570">
        <w:rPr>
          <w:sz w:val="28"/>
          <w:szCs w:val="28"/>
          <w:lang w:val="en-ZA"/>
        </w:rPr>
        <w:t> </w:t>
      </w:r>
    </w:p>
    <w:p w14:paraId="0CCFA31D" w14:textId="0382B197" w:rsidR="009D0C07" w:rsidRPr="00FA4570" w:rsidRDefault="00F71BEF" w:rsidP="009D0C07">
      <w:pPr>
        <w:spacing w:line="360" w:lineRule="auto"/>
        <w:jc w:val="both"/>
        <w:rPr>
          <w:sz w:val="28"/>
          <w:szCs w:val="28"/>
          <w:lang w:val="en-ZA"/>
        </w:rPr>
      </w:pPr>
      <w:r w:rsidRPr="00FA4570">
        <w:rPr>
          <w:sz w:val="28"/>
          <w:szCs w:val="28"/>
          <w:lang w:val="en-ZA"/>
        </w:rPr>
        <w:t>[3</w:t>
      </w:r>
      <w:r w:rsidR="008838C6" w:rsidRPr="00FA4570">
        <w:rPr>
          <w:sz w:val="28"/>
          <w:szCs w:val="28"/>
          <w:lang w:val="en-ZA"/>
        </w:rPr>
        <w:t>4</w:t>
      </w:r>
      <w:r w:rsidR="00FB5F09" w:rsidRPr="00FA4570">
        <w:rPr>
          <w:sz w:val="28"/>
          <w:szCs w:val="28"/>
          <w:lang w:val="en-ZA"/>
        </w:rPr>
        <w:t>]</w:t>
      </w:r>
      <w:r w:rsidR="00FB5F09" w:rsidRPr="00FA4570">
        <w:rPr>
          <w:sz w:val="28"/>
          <w:szCs w:val="28"/>
          <w:lang w:val="en-ZA"/>
        </w:rPr>
        <w:tab/>
        <w:t>‘</w:t>
      </w:r>
      <w:r w:rsidR="009D0C07" w:rsidRPr="00FA4570">
        <w:rPr>
          <w:sz w:val="28"/>
          <w:szCs w:val="28"/>
          <w:lang w:val="en-ZA"/>
        </w:rPr>
        <w:t>Representation</w:t>
      </w:r>
      <w:r w:rsidR="00FB5F09" w:rsidRPr="00FA4570">
        <w:rPr>
          <w:sz w:val="28"/>
          <w:szCs w:val="28"/>
          <w:lang w:val="en-ZA"/>
        </w:rPr>
        <w:t>’</w:t>
      </w:r>
      <w:r w:rsidR="009D0C07" w:rsidRPr="00FA4570">
        <w:rPr>
          <w:sz w:val="28"/>
          <w:szCs w:val="28"/>
          <w:lang w:val="en-ZA"/>
        </w:rPr>
        <w:t xml:space="preserve"> in this sense is not confined to the conduct of the trial. A legal representative</w:t>
      </w:r>
      <w:r w:rsidR="00815414" w:rsidRPr="00FA4570">
        <w:rPr>
          <w:sz w:val="28"/>
          <w:szCs w:val="28"/>
          <w:lang w:val="en-ZA"/>
        </w:rPr>
        <w:t>,</w:t>
      </w:r>
      <w:r w:rsidR="009D0C07" w:rsidRPr="00FA4570">
        <w:rPr>
          <w:sz w:val="28"/>
          <w:szCs w:val="28"/>
          <w:lang w:val="en-ZA"/>
        </w:rPr>
        <w:t xml:space="preserve"> who is engaged to represent an accused</w:t>
      </w:r>
      <w:r w:rsidR="00815414" w:rsidRPr="00FA4570">
        <w:rPr>
          <w:sz w:val="28"/>
          <w:szCs w:val="28"/>
          <w:lang w:val="en-ZA"/>
        </w:rPr>
        <w:t>,</w:t>
      </w:r>
      <w:r w:rsidR="009D0C07" w:rsidRPr="00FA4570">
        <w:rPr>
          <w:sz w:val="28"/>
          <w:szCs w:val="28"/>
          <w:lang w:val="en-ZA"/>
        </w:rPr>
        <w:t xml:space="preserve"> is obliged to act in the best interests of their client. That means, </w:t>
      </w:r>
      <w:r w:rsidR="00FB5F09" w:rsidRPr="00FA4570">
        <w:rPr>
          <w:sz w:val="28"/>
          <w:szCs w:val="28"/>
          <w:lang w:val="en-ZA"/>
        </w:rPr>
        <w:t>inter alia</w:t>
      </w:r>
      <w:r w:rsidR="009D0C07" w:rsidRPr="00FA4570">
        <w:rPr>
          <w:sz w:val="28"/>
          <w:szCs w:val="28"/>
          <w:lang w:val="en-ZA"/>
        </w:rPr>
        <w:t xml:space="preserve">, to act </w:t>
      </w:r>
      <w:r w:rsidR="001327E6" w:rsidRPr="00FA4570">
        <w:rPr>
          <w:sz w:val="28"/>
          <w:szCs w:val="28"/>
          <w:lang w:val="en-ZA"/>
        </w:rPr>
        <w:t>according to</w:t>
      </w:r>
      <w:r w:rsidR="009D0C07" w:rsidRPr="00FA4570">
        <w:rPr>
          <w:sz w:val="28"/>
          <w:szCs w:val="28"/>
          <w:lang w:val="en-ZA"/>
        </w:rPr>
        <w:t xml:space="preserve"> the highest standards of professional ethics; </w:t>
      </w:r>
      <w:r w:rsidR="00FB5F09" w:rsidRPr="00FA4570">
        <w:rPr>
          <w:sz w:val="28"/>
          <w:szCs w:val="28"/>
          <w:lang w:val="en-ZA"/>
        </w:rPr>
        <w:t>t</w:t>
      </w:r>
      <w:r w:rsidR="009D0C07" w:rsidRPr="00FA4570">
        <w:rPr>
          <w:sz w:val="28"/>
          <w:szCs w:val="28"/>
          <w:lang w:val="en-ZA"/>
        </w:rPr>
        <w:t xml:space="preserve">o </w:t>
      </w:r>
      <w:r w:rsidR="00152C7E" w:rsidRPr="00FA4570">
        <w:rPr>
          <w:sz w:val="28"/>
          <w:szCs w:val="28"/>
          <w:lang w:val="en-ZA"/>
        </w:rPr>
        <w:t>advise the client of their rights fully and properly</w:t>
      </w:r>
      <w:r w:rsidR="00FB5F09" w:rsidRPr="00FA4570">
        <w:rPr>
          <w:sz w:val="28"/>
          <w:szCs w:val="28"/>
          <w:lang w:val="en-ZA"/>
        </w:rPr>
        <w:t>; a</w:t>
      </w:r>
      <w:r w:rsidR="009D0C07" w:rsidRPr="00FA4570">
        <w:rPr>
          <w:sz w:val="28"/>
          <w:szCs w:val="28"/>
          <w:lang w:val="en-ZA"/>
        </w:rPr>
        <w:t>nd to guide</w:t>
      </w:r>
      <w:r w:rsidR="00FB5F09" w:rsidRPr="00FA4570">
        <w:rPr>
          <w:sz w:val="28"/>
          <w:szCs w:val="28"/>
          <w:lang w:val="en-ZA"/>
        </w:rPr>
        <w:t xml:space="preserve"> and advise</w:t>
      </w:r>
      <w:r w:rsidR="009D0C07" w:rsidRPr="00FA4570">
        <w:rPr>
          <w:sz w:val="28"/>
          <w:szCs w:val="28"/>
          <w:lang w:val="en-ZA"/>
        </w:rPr>
        <w:t xml:space="preserve"> the client in </w:t>
      </w:r>
      <w:r w:rsidR="001327E6" w:rsidRPr="00FA4570">
        <w:rPr>
          <w:sz w:val="28"/>
          <w:szCs w:val="28"/>
          <w:lang w:val="en-ZA"/>
        </w:rPr>
        <w:t>exercising</w:t>
      </w:r>
      <w:r w:rsidR="009D0C07" w:rsidRPr="00FA4570">
        <w:rPr>
          <w:sz w:val="28"/>
          <w:szCs w:val="28"/>
          <w:lang w:val="en-ZA"/>
        </w:rPr>
        <w:t xml:space="preserve"> of those rights. The legal representative </w:t>
      </w:r>
      <w:r w:rsidR="001327E6" w:rsidRPr="00FA4570">
        <w:rPr>
          <w:sz w:val="28"/>
          <w:szCs w:val="28"/>
          <w:lang w:val="en-ZA"/>
        </w:rPr>
        <w:t>must</w:t>
      </w:r>
      <w:r w:rsidR="009D0C07" w:rsidRPr="00FA4570">
        <w:rPr>
          <w:sz w:val="28"/>
          <w:szCs w:val="28"/>
          <w:lang w:val="en-ZA"/>
        </w:rPr>
        <w:t xml:space="preserve"> prepare </w:t>
      </w:r>
      <w:r w:rsidR="001327E6" w:rsidRPr="00FA4570">
        <w:rPr>
          <w:sz w:val="28"/>
          <w:szCs w:val="28"/>
          <w:lang w:val="en-ZA"/>
        </w:rPr>
        <w:t xml:space="preserve">thoroughly </w:t>
      </w:r>
      <w:r w:rsidR="009D0C07" w:rsidRPr="00FA4570">
        <w:rPr>
          <w:sz w:val="28"/>
          <w:szCs w:val="28"/>
          <w:lang w:val="en-ZA"/>
        </w:rPr>
        <w:t>and properly on all aspects of the case</w:t>
      </w:r>
      <w:r w:rsidR="00B437B0" w:rsidRPr="00FA4570">
        <w:rPr>
          <w:sz w:val="28"/>
          <w:szCs w:val="28"/>
          <w:lang w:val="en-ZA"/>
        </w:rPr>
        <w:t>. This includes advising the client about s 93</w:t>
      </w:r>
      <w:r w:rsidR="00B437B0" w:rsidRPr="00FA4570">
        <w:rPr>
          <w:i/>
          <w:sz w:val="28"/>
          <w:szCs w:val="28"/>
          <w:lang w:val="en-ZA"/>
        </w:rPr>
        <w:t>ter</w:t>
      </w:r>
      <w:r w:rsidR="00B437B0" w:rsidRPr="00FA4570">
        <w:rPr>
          <w:sz w:val="28"/>
          <w:szCs w:val="28"/>
          <w:lang w:val="en-ZA"/>
        </w:rPr>
        <w:t xml:space="preserve">(1), where it applies, informing the magistrate of the process and whether a request is made to proceed without assessors. </w:t>
      </w:r>
    </w:p>
    <w:p w14:paraId="14B159DE" w14:textId="77777777" w:rsidR="009D0C07" w:rsidRPr="00FA4570" w:rsidRDefault="009D0C07" w:rsidP="009D0C07">
      <w:pPr>
        <w:spacing w:line="360" w:lineRule="auto"/>
        <w:jc w:val="both"/>
        <w:rPr>
          <w:sz w:val="28"/>
          <w:szCs w:val="28"/>
          <w:lang w:val="en-ZA"/>
        </w:rPr>
      </w:pPr>
      <w:r w:rsidRPr="00FA4570">
        <w:rPr>
          <w:sz w:val="28"/>
          <w:szCs w:val="28"/>
          <w:lang w:val="en-ZA"/>
        </w:rPr>
        <w:t> </w:t>
      </w:r>
    </w:p>
    <w:p w14:paraId="076270A8" w14:textId="3646D43B" w:rsidR="009D0C07" w:rsidRPr="00FA4570" w:rsidRDefault="00B437B0" w:rsidP="009D0C07">
      <w:pPr>
        <w:spacing w:line="360" w:lineRule="auto"/>
        <w:jc w:val="both"/>
        <w:rPr>
          <w:sz w:val="28"/>
          <w:szCs w:val="28"/>
          <w:lang w:val="en-ZA"/>
        </w:rPr>
      </w:pPr>
      <w:r w:rsidRPr="00FA4570">
        <w:rPr>
          <w:sz w:val="28"/>
          <w:szCs w:val="28"/>
          <w:lang w:val="en-ZA"/>
        </w:rPr>
        <w:t>[</w:t>
      </w:r>
      <w:r w:rsidR="003B5F2E" w:rsidRPr="00FA4570">
        <w:rPr>
          <w:sz w:val="28"/>
          <w:szCs w:val="28"/>
          <w:lang w:val="en-ZA"/>
        </w:rPr>
        <w:t>3</w:t>
      </w:r>
      <w:r w:rsidR="008838C6" w:rsidRPr="00FA4570">
        <w:rPr>
          <w:sz w:val="28"/>
          <w:szCs w:val="28"/>
          <w:lang w:val="en-ZA"/>
        </w:rPr>
        <w:t>5</w:t>
      </w:r>
      <w:r w:rsidR="00F65BE2" w:rsidRPr="00FA4570">
        <w:rPr>
          <w:sz w:val="28"/>
          <w:szCs w:val="28"/>
          <w:lang w:val="en-ZA"/>
        </w:rPr>
        <w:t>]</w:t>
      </w:r>
      <w:r w:rsidR="00F65BE2" w:rsidRPr="00FA4570">
        <w:rPr>
          <w:sz w:val="28"/>
          <w:szCs w:val="28"/>
          <w:lang w:val="en-ZA"/>
        </w:rPr>
        <w:tab/>
      </w:r>
      <w:r w:rsidR="009D0C07" w:rsidRPr="00FA4570">
        <w:rPr>
          <w:sz w:val="28"/>
          <w:szCs w:val="28"/>
          <w:lang w:val="en-ZA"/>
        </w:rPr>
        <w:t>A presiding officer must, in the first instance, respect an accused person's choice of legal representative and must defer to the legal representative</w:t>
      </w:r>
      <w:r w:rsidR="00F65BE2" w:rsidRPr="00FA4570">
        <w:rPr>
          <w:sz w:val="28"/>
          <w:szCs w:val="28"/>
          <w:lang w:val="en-ZA"/>
        </w:rPr>
        <w:t>’</w:t>
      </w:r>
      <w:r w:rsidR="009D0C07" w:rsidRPr="00FA4570">
        <w:rPr>
          <w:sz w:val="28"/>
          <w:szCs w:val="28"/>
          <w:lang w:val="en-ZA"/>
        </w:rPr>
        <w:t>s conduct of the matter. These are general principles which are well established. They inform our adversarial system of trial adjudication.</w:t>
      </w:r>
      <w:r w:rsidR="00047B21" w:rsidRPr="00FA4570">
        <w:rPr>
          <w:rStyle w:val="FootnoteReference"/>
          <w:sz w:val="28"/>
          <w:szCs w:val="28"/>
          <w:lang w:val="en-ZA"/>
        </w:rPr>
        <w:footnoteReference w:id="30"/>
      </w:r>
      <w:r w:rsidR="009D0C07" w:rsidRPr="00FA4570">
        <w:rPr>
          <w:sz w:val="28"/>
          <w:szCs w:val="28"/>
          <w:lang w:val="en-ZA"/>
        </w:rPr>
        <w:t xml:space="preserve"> It is against th</w:t>
      </w:r>
      <w:r w:rsidR="002B5E08" w:rsidRPr="00FA4570">
        <w:rPr>
          <w:sz w:val="28"/>
          <w:szCs w:val="28"/>
          <w:lang w:val="en-ZA"/>
        </w:rPr>
        <w:t>is</w:t>
      </w:r>
      <w:r w:rsidR="009D0C07" w:rsidRPr="00FA4570">
        <w:rPr>
          <w:sz w:val="28"/>
          <w:szCs w:val="28"/>
          <w:lang w:val="en-ZA"/>
        </w:rPr>
        <w:t xml:space="preserve"> backdrop that the duties of a trial magistrate must be viewed. Where</w:t>
      </w:r>
      <w:r w:rsidR="00F65BE2" w:rsidRPr="00FA4570">
        <w:rPr>
          <w:sz w:val="28"/>
          <w:szCs w:val="28"/>
          <w:lang w:val="en-ZA"/>
        </w:rPr>
        <w:t xml:space="preserve"> an</w:t>
      </w:r>
      <w:r w:rsidR="009D0C07" w:rsidRPr="00FA4570">
        <w:rPr>
          <w:sz w:val="28"/>
          <w:szCs w:val="28"/>
          <w:lang w:val="en-ZA"/>
        </w:rPr>
        <w:t xml:space="preserve"> accused is represented, it must be established that the representative and the accused were aware of the provisions of </w:t>
      </w:r>
      <w:r w:rsidR="00F65BE2" w:rsidRPr="00FA4570">
        <w:rPr>
          <w:sz w:val="28"/>
          <w:szCs w:val="28"/>
          <w:lang w:val="en-ZA"/>
        </w:rPr>
        <w:t xml:space="preserve">the </w:t>
      </w:r>
      <w:r w:rsidR="009D0C07" w:rsidRPr="00FA4570">
        <w:rPr>
          <w:sz w:val="28"/>
          <w:szCs w:val="28"/>
          <w:lang w:val="en-ZA"/>
        </w:rPr>
        <w:t>section</w:t>
      </w:r>
      <w:r w:rsidR="00F65BE2" w:rsidRPr="00FA4570">
        <w:rPr>
          <w:sz w:val="28"/>
          <w:szCs w:val="28"/>
          <w:lang w:val="en-ZA"/>
        </w:rPr>
        <w:t>, a</w:t>
      </w:r>
      <w:r w:rsidR="009D0C07" w:rsidRPr="00FA4570">
        <w:rPr>
          <w:sz w:val="28"/>
          <w:szCs w:val="28"/>
          <w:lang w:val="en-ZA"/>
        </w:rPr>
        <w:t xml:space="preserve">nd </w:t>
      </w:r>
      <w:r w:rsidR="00740377" w:rsidRPr="00FA4570">
        <w:rPr>
          <w:sz w:val="28"/>
          <w:szCs w:val="28"/>
          <w:lang w:val="en-ZA"/>
        </w:rPr>
        <w:t xml:space="preserve">whether </w:t>
      </w:r>
      <w:r w:rsidR="009D0C07" w:rsidRPr="00FA4570">
        <w:rPr>
          <w:sz w:val="28"/>
          <w:szCs w:val="28"/>
          <w:lang w:val="en-ZA"/>
        </w:rPr>
        <w:t xml:space="preserve">the accused, as represented, has made a request as envisaged. It is incumbent upon the presiding </w:t>
      </w:r>
      <w:r w:rsidR="00F65BE2" w:rsidRPr="00FA4570">
        <w:rPr>
          <w:sz w:val="28"/>
          <w:szCs w:val="28"/>
          <w:lang w:val="en-ZA"/>
        </w:rPr>
        <w:t>o</w:t>
      </w:r>
      <w:r w:rsidR="009D0C07" w:rsidRPr="00FA4570">
        <w:rPr>
          <w:sz w:val="28"/>
          <w:szCs w:val="28"/>
          <w:lang w:val="en-ZA"/>
        </w:rPr>
        <w:t xml:space="preserve">fficer to ensure that the </w:t>
      </w:r>
      <w:r w:rsidR="00F65BE2" w:rsidRPr="00FA4570">
        <w:rPr>
          <w:sz w:val="28"/>
          <w:szCs w:val="28"/>
          <w:lang w:val="en-ZA"/>
        </w:rPr>
        <w:t>c</w:t>
      </w:r>
      <w:r w:rsidR="009D0C07" w:rsidRPr="00FA4570">
        <w:rPr>
          <w:sz w:val="28"/>
          <w:szCs w:val="28"/>
          <w:lang w:val="en-ZA"/>
        </w:rPr>
        <w:t>ourt is constituted in accordance with s 93</w:t>
      </w:r>
      <w:r w:rsidR="00F65BE2" w:rsidRPr="00FA4570">
        <w:rPr>
          <w:i/>
          <w:iCs/>
          <w:sz w:val="28"/>
          <w:szCs w:val="28"/>
          <w:lang w:val="en-ZA"/>
        </w:rPr>
        <w:t>ter</w:t>
      </w:r>
      <w:r w:rsidR="00740377" w:rsidRPr="00FA4570">
        <w:rPr>
          <w:iCs/>
          <w:sz w:val="28"/>
          <w:szCs w:val="28"/>
          <w:lang w:val="en-ZA"/>
        </w:rPr>
        <w:t>(1)</w:t>
      </w:r>
      <w:r w:rsidR="009D0C07" w:rsidRPr="00FA4570">
        <w:rPr>
          <w:sz w:val="28"/>
          <w:szCs w:val="28"/>
          <w:lang w:val="en-ZA"/>
        </w:rPr>
        <w:t xml:space="preserve">. As indicated in </w:t>
      </w:r>
      <w:r w:rsidR="00F65BE2" w:rsidRPr="00FA4570">
        <w:rPr>
          <w:i/>
          <w:iCs/>
          <w:sz w:val="28"/>
          <w:szCs w:val="28"/>
          <w:lang w:val="en-ZA"/>
        </w:rPr>
        <w:t>Gayiya</w:t>
      </w:r>
      <w:r w:rsidR="009D0C07" w:rsidRPr="00FA4570">
        <w:rPr>
          <w:sz w:val="28"/>
          <w:szCs w:val="28"/>
          <w:lang w:val="en-ZA"/>
        </w:rPr>
        <w:t xml:space="preserve">, the presiding officer must take the lead in doing so at a stage before any evidence is </w:t>
      </w:r>
      <w:r w:rsidR="00740377" w:rsidRPr="00FA4570">
        <w:rPr>
          <w:sz w:val="28"/>
          <w:szCs w:val="28"/>
          <w:lang w:val="en-ZA"/>
        </w:rPr>
        <w:t>le</w:t>
      </w:r>
      <w:r w:rsidR="00F65BE2" w:rsidRPr="00FA4570">
        <w:rPr>
          <w:sz w:val="28"/>
          <w:szCs w:val="28"/>
          <w:lang w:val="en-ZA"/>
        </w:rPr>
        <w:t>d</w:t>
      </w:r>
      <w:r w:rsidR="009D0C07" w:rsidRPr="00FA4570">
        <w:rPr>
          <w:sz w:val="28"/>
          <w:szCs w:val="28"/>
          <w:lang w:val="en-ZA"/>
        </w:rPr>
        <w:t>.</w:t>
      </w:r>
    </w:p>
    <w:p w14:paraId="67DB53CB" w14:textId="13506BA9" w:rsidR="00047B21" w:rsidRPr="00FA4570" w:rsidRDefault="00047B21" w:rsidP="009D0C07">
      <w:pPr>
        <w:spacing w:line="360" w:lineRule="auto"/>
        <w:jc w:val="both"/>
        <w:rPr>
          <w:sz w:val="28"/>
          <w:szCs w:val="28"/>
          <w:lang w:val="en-ZA"/>
        </w:rPr>
      </w:pPr>
    </w:p>
    <w:p w14:paraId="0F3EFC47" w14:textId="2DD01A73" w:rsidR="00047B21" w:rsidRPr="00FA4570" w:rsidRDefault="00740377" w:rsidP="009D0C07">
      <w:pPr>
        <w:spacing w:line="360" w:lineRule="auto"/>
        <w:jc w:val="both"/>
        <w:rPr>
          <w:sz w:val="28"/>
          <w:szCs w:val="28"/>
          <w:lang w:val="en-ZA"/>
        </w:rPr>
      </w:pPr>
      <w:r w:rsidRPr="00FA4570">
        <w:rPr>
          <w:sz w:val="28"/>
          <w:szCs w:val="28"/>
          <w:lang w:val="en-ZA"/>
        </w:rPr>
        <w:lastRenderedPageBreak/>
        <w:t>[</w:t>
      </w:r>
      <w:r w:rsidR="003B5F2E" w:rsidRPr="00FA4570">
        <w:rPr>
          <w:sz w:val="28"/>
          <w:szCs w:val="28"/>
          <w:lang w:val="en-ZA"/>
        </w:rPr>
        <w:t>3</w:t>
      </w:r>
      <w:r w:rsidR="008838C6" w:rsidRPr="00FA4570">
        <w:rPr>
          <w:sz w:val="28"/>
          <w:szCs w:val="28"/>
          <w:lang w:val="en-ZA"/>
        </w:rPr>
        <w:t>6</w:t>
      </w:r>
      <w:r w:rsidR="00047B21" w:rsidRPr="00FA4570">
        <w:rPr>
          <w:sz w:val="28"/>
          <w:szCs w:val="28"/>
          <w:lang w:val="en-ZA"/>
        </w:rPr>
        <w:t>]</w:t>
      </w:r>
      <w:r w:rsidR="00047B21" w:rsidRPr="00FA4570">
        <w:rPr>
          <w:sz w:val="28"/>
          <w:szCs w:val="28"/>
          <w:lang w:val="en-ZA"/>
        </w:rPr>
        <w:tab/>
      </w:r>
      <w:r w:rsidR="00F64AAA" w:rsidRPr="00FA4570">
        <w:rPr>
          <w:sz w:val="28"/>
          <w:szCs w:val="28"/>
          <w:lang w:val="en-ZA"/>
        </w:rPr>
        <w:t xml:space="preserve">The approach regarding the intended reliance </w:t>
      </w:r>
      <w:r w:rsidR="008838C6" w:rsidRPr="00FA4570">
        <w:rPr>
          <w:sz w:val="28"/>
          <w:szCs w:val="28"/>
          <w:lang w:val="en-ZA"/>
        </w:rPr>
        <w:t>up</w:t>
      </w:r>
      <w:r w:rsidR="00F64AAA" w:rsidRPr="00FA4570">
        <w:rPr>
          <w:sz w:val="28"/>
          <w:szCs w:val="28"/>
          <w:lang w:val="en-ZA"/>
        </w:rPr>
        <w:t xml:space="preserve">on prescribed minimum sentences as provided by s 51 of Act 105 of 1997, is instructive. In </w:t>
      </w:r>
      <w:r w:rsidR="00F64AAA" w:rsidRPr="00FA4570">
        <w:rPr>
          <w:i/>
          <w:sz w:val="28"/>
          <w:szCs w:val="28"/>
          <w:lang w:val="en-ZA"/>
        </w:rPr>
        <w:t>S v Legoa</w:t>
      </w:r>
      <w:r w:rsidR="00815414" w:rsidRPr="00FA4570">
        <w:rPr>
          <w:sz w:val="28"/>
          <w:szCs w:val="28"/>
          <w:lang w:val="en-ZA"/>
        </w:rPr>
        <w:t>,</w:t>
      </w:r>
      <w:r w:rsidR="00F64AAA" w:rsidRPr="00FA4570">
        <w:rPr>
          <w:rStyle w:val="FootnoteReference"/>
          <w:sz w:val="28"/>
          <w:szCs w:val="28"/>
          <w:lang w:val="en-ZA"/>
        </w:rPr>
        <w:footnoteReference w:id="31"/>
      </w:r>
      <w:r w:rsidR="00F64AAA" w:rsidRPr="00FA4570">
        <w:rPr>
          <w:sz w:val="28"/>
          <w:szCs w:val="28"/>
          <w:lang w:val="en-ZA"/>
        </w:rPr>
        <w:t xml:space="preserve"> it was held that the concept of substantive fairness under the Constitution requires that an accused be informed of facts</w:t>
      </w:r>
      <w:r w:rsidR="006D01FC" w:rsidRPr="00FA4570">
        <w:rPr>
          <w:sz w:val="28"/>
          <w:szCs w:val="28"/>
          <w:lang w:val="en-ZA"/>
        </w:rPr>
        <w:t>,</w:t>
      </w:r>
      <w:r w:rsidR="00F64AAA" w:rsidRPr="00FA4570">
        <w:rPr>
          <w:sz w:val="28"/>
          <w:szCs w:val="28"/>
          <w:lang w:val="en-ZA"/>
        </w:rPr>
        <w:t xml:space="preserve"> which the </w:t>
      </w:r>
      <w:r w:rsidR="006D01FC" w:rsidRPr="00FA4570">
        <w:rPr>
          <w:sz w:val="28"/>
          <w:szCs w:val="28"/>
          <w:lang w:val="en-ZA"/>
        </w:rPr>
        <w:t>S</w:t>
      </w:r>
      <w:r w:rsidR="00F64AAA" w:rsidRPr="00FA4570">
        <w:rPr>
          <w:sz w:val="28"/>
          <w:szCs w:val="28"/>
          <w:lang w:val="en-ZA"/>
        </w:rPr>
        <w:t>tate intends to prove to bring him within the increased sentencing jurisdiction provided by that Act.</w:t>
      </w:r>
      <w:r w:rsidR="007D0119" w:rsidRPr="00FA4570">
        <w:rPr>
          <w:sz w:val="28"/>
          <w:szCs w:val="28"/>
          <w:lang w:val="en-ZA"/>
        </w:rPr>
        <w:t xml:space="preserve"> The court declined to lay down a general rule regarding the form of notice. It held that</w:t>
      </w:r>
      <w:r w:rsidR="006D01FC" w:rsidRPr="00FA4570">
        <w:rPr>
          <w:sz w:val="28"/>
          <w:szCs w:val="28"/>
          <w:lang w:val="en-ZA"/>
        </w:rPr>
        <w:t>:</w:t>
      </w:r>
      <w:r w:rsidR="007D0119" w:rsidRPr="00FA4570">
        <w:rPr>
          <w:sz w:val="28"/>
          <w:szCs w:val="28"/>
          <w:lang w:val="en-ZA"/>
        </w:rPr>
        <w:t xml:space="preserve"> </w:t>
      </w:r>
    </w:p>
    <w:p w14:paraId="38F50644" w14:textId="0EDC7359" w:rsidR="007D0119" w:rsidRPr="00FA4570" w:rsidRDefault="007D0119" w:rsidP="009D0C07">
      <w:pPr>
        <w:spacing w:line="360" w:lineRule="auto"/>
        <w:jc w:val="both"/>
        <w:rPr>
          <w:lang w:val="en-ZA"/>
        </w:rPr>
      </w:pPr>
      <w:r w:rsidRPr="00FA4570">
        <w:rPr>
          <w:lang w:val="en-ZA"/>
        </w:rPr>
        <w:t>‘Whether the accused’s substantive fair trial right, including his ability to answer the charge, has been impaired will therefore depend upon a vigilant examination of the relevant circumstances.</w:t>
      </w:r>
      <w:r w:rsidRPr="00FA4570">
        <w:rPr>
          <w:rStyle w:val="FootnoteReference"/>
          <w:lang w:val="en-ZA"/>
        </w:rPr>
        <w:footnoteReference w:id="32"/>
      </w:r>
    </w:p>
    <w:p w14:paraId="6688906E" w14:textId="77777777" w:rsidR="009D0C07" w:rsidRPr="00FA4570" w:rsidRDefault="009D0C07" w:rsidP="009D0C07">
      <w:pPr>
        <w:spacing w:line="360" w:lineRule="auto"/>
        <w:jc w:val="both"/>
        <w:rPr>
          <w:sz w:val="28"/>
          <w:szCs w:val="28"/>
          <w:lang w:val="en-ZA"/>
        </w:rPr>
      </w:pPr>
      <w:r w:rsidRPr="00FA4570">
        <w:rPr>
          <w:sz w:val="28"/>
          <w:szCs w:val="28"/>
          <w:lang w:val="en-ZA"/>
        </w:rPr>
        <w:t> </w:t>
      </w:r>
    </w:p>
    <w:p w14:paraId="420D6D25" w14:textId="12942A85" w:rsidR="007D0119" w:rsidRPr="00FA4570" w:rsidRDefault="00740377" w:rsidP="009D0C07">
      <w:pPr>
        <w:spacing w:line="360" w:lineRule="auto"/>
        <w:jc w:val="both"/>
        <w:rPr>
          <w:sz w:val="28"/>
          <w:szCs w:val="28"/>
          <w:lang w:val="en-ZA"/>
        </w:rPr>
      </w:pPr>
      <w:r w:rsidRPr="00FA4570">
        <w:rPr>
          <w:sz w:val="28"/>
          <w:szCs w:val="28"/>
          <w:lang w:val="en-ZA"/>
        </w:rPr>
        <w:t>[</w:t>
      </w:r>
      <w:r w:rsidR="003B5F2E" w:rsidRPr="00FA4570">
        <w:rPr>
          <w:sz w:val="28"/>
          <w:szCs w:val="28"/>
          <w:lang w:val="en-ZA"/>
        </w:rPr>
        <w:t>3</w:t>
      </w:r>
      <w:r w:rsidR="008838C6" w:rsidRPr="00FA4570">
        <w:rPr>
          <w:sz w:val="28"/>
          <w:szCs w:val="28"/>
          <w:lang w:val="en-ZA"/>
        </w:rPr>
        <w:t>7</w:t>
      </w:r>
      <w:r w:rsidR="00F65BE2" w:rsidRPr="00FA4570">
        <w:rPr>
          <w:sz w:val="28"/>
          <w:szCs w:val="28"/>
          <w:lang w:val="en-ZA"/>
        </w:rPr>
        <w:t>]</w:t>
      </w:r>
      <w:r w:rsidR="00F65BE2" w:rsidRPr="00FA4570">
        <w:rPr>
          <w:sz w:val="28"/>
          <w:szCs w:val="28"/>
          <w:lang w:val="en-ZA"/>
        </w:rPr>
        <w:tab/>
      </w:r>
      <w:r w:rsidR="007D0119" w:rsidRPr="00FA4570">
        <w:rPr>
          <w:sz w:val="28"/>
          <w:szCs w:val="28"/>
          <w:lang w:val="en-ZA"/>
        </w:rPr>
        <w:t xml:space="preserve">In </w:t>
      </w:r>
      <w:r w:rsidR="007D0119" w:rsidRPr="00FA4570">
        <w:rPr>
          <w:i/>
          <w:sz w:val="28"/>
          <w:szCs w:val="28"/>
          <w:lang w:val="en-ZA"/>
        </w:rPr>
        <w:t>S v Kolea</w:t>
      </w:r>
      <w:r w:rsidR="00815414" w:rsidRPr="00FA4570">
        <w:rPr>
          <w:sz w:val="28"/>
          <w:szCs w:val="28"/>
          <w:lang w:val="en-ZA"/>
        </w:rPr>
        <w:t>,</w:t>
      </w:r>
      <w:r w:rsidR="007D0119" w:rsidRPr="00FA4570">
        <w:rPr>
          <w:rStyle w:val="FootnoteReference"/>
          <w:sz w:val="28"/>
          <w:szCs w:val="28"/>
          <w:lang w:val="en-ZA"/>
        </w:rPr>
        <w:footnoteReference w:id="33"/>
      </w:r>
      <w:r w:rsidR="007D0119" w:rsidRPr="00FA4570">
        <w:rPr>
          <w:sz w:val="28"/>
          <w:szCs w:val="28"/>
          <w:lang w:val="en-ZA"/>
        </w:rPr>
        <w:t xml:space="preserve"> this Court reaffirmed the principle in</w:t>
      </w:r>
      <w:r w:rsidR="007D0119" w:rsidRPr="00FA4570">
        <w:rPr>
          <w:i/>
          <w:sz w:val="28"/>
          <w:szCs w:val="28"/>
          <w:lang w:val="en-ZA"/>
        </w:rPr>
        <w:t xml:space="preserve"> Legoa</w:t>
      </w:r>
      <w:r w:rsidR="007D0119" w:rsidRPr="00FA4570">
        <w:rPr>
          <w:sz w:val="28"/>
          <w:szCs w:val="28"/>
          <w:lang w:val="en-ZA"/>
        </w:rPr>
        <w:t xml:space="preserve">. It also endorsed the approach set out by Ponnan JA in a minority judgment in </w:t>
      </w:r>
      <w:r w:rsidR="007D0119" w:rsidRPr="00FA4570">
        <w:rPr>
          <w:i/>
          <w:sz w:val="28"/>
          <w:szCs w:val="28"/>
          <w:lang w:val="en-ZA"/>
        </w:rPr>
        <w:t>S v Mashinini and Another</w:t>
      </w:r>
      <w:r w:rsidR="006D01FC" w:rsidRPr="00FA4570">
        <w:rPr>
          <w:i/>
          <w:sz w:val="28"/>
          <w:szCs w:val="28"/>
          <w:lang w:val="en-ZA"/>
        </w:rPr>
        <w:t>,</w:t>
      </w:r>
      <w:r w:rsidR="00AF2447" w:rsidRPr="00FA4570">
        <w:rPr>
          <w:rStyle w:val="FootnoteReference"/>
          <w:sz w:val="28"/>
          <w:szCs w:val="28"/>
          <w:lang w:val="en-ZA"/>
        </w:rPr>
        <w:footnoteReference w:id="34"/>
      </w:r>
      <w:r w:rsidR="00AF2447" w:rsidRPr="00FA4570">
        <w:rPr>
          <w:sz w:val="28"/>
          <w:szCs w:val="28"/>
          <w:lang w:val="en-ZA"/>
        </w:rPr>
        <w:t xml:space="preserve"> where the learned judge stated that the fair trial enquiry is first and foremost a fact-based enquiry. The court in </w:t>
      </w:r>
      <w:r w:rsidR="00AF2447" w:rsidRPr="00FA4570">
        <w:rPr>
          <w:i/>
          <w:sz w:val="28"/>
          <w:szCs w:val="28"/>
          <w:lang w:val="en-ZA"/>
        </w:rPr>
        <w:t>Kolea</w:t>
      </w:r>
      <w:r w:rsidR="00AF2447" w:rsidRPr="00FA4570">
        <w:rPr>
          <w:sz w:val="28"/>
          <w:szCs w:val="28"/>
          <w:lang w:val="en-ZA"/>
        </w:rPr>
        <w:t xml:space="preserve"> held that the conclusion to which the majority had come was wrong.</w:t>
      </w:r>
      <w:r w:rsidR="00AF2447" w:rsidRPr="00FA4570">
        <w:rPr>
          <w:rStyle w:val="FootnoteReference"/>
          <w:sz w:val="28"/>
          <w:szCs w:val="28"/>
          <w:lang w:val="en-ZA"/>
        </w:rPr>
        <w:footnoteReference w:id="35"/>
      </w:r>
    </w:p>
    <w:p w14:paraId="649543F0" w14:textId="77777777" w:rsidR="00AF2447" w:rsidRPr="00FA4570" w:rsidRDefault="00AF2447" w:rsidP="009D0C07">
      <w:pPr>
        <w:spacing w:line="360" w:lineRule="auto"/>
        <w:jc w:val="both"/>
        <w:rPr>
          <w:sz w:val="28"/>
          <w:szCs w:val="28"/>
          <w:lang w:val="en-ZA"/>
        </w:rPr>
      </w:pPr>
    </w:p>
    <w:p w14:paraId="2019BD08" w14:textId="23937EDA" w:rsidR="009D0C07" w:rsidRPr="00FA4570" w:rsidRDefault="00740377" w:rsidP="009D0C07">
      <w:pPr>
        <w:spacing w:line="360" w:lineRule="auto"/>
        <w:jc w:val="both"/>
        <w:rPr>
          <w:sz w:val="28"/>
          <w:szCs w:val="28"/>
          <w:lang w:val="en-ZA"/>
        </w:rPr>
      </w:pPr>
      <w:r w:rsidRPr="00FA4570">
        <w:rPr>
          <w:sz w:val="28"/>
          <w:szCs w:val="28"/>
          <w:lang w:val="en-ZA"/>
        </w:rPr>
        <w:t>[</w:t>
      </w:r>
      <w:r w:rsidR="008838C6" w:rsidRPr="00FA4570">
        <w:rPr>
          <w:sz w:val="28"/>
          <w:szCs w:val="28"/>
          <w:lang w:val="en-ZA"/>
        </w:rPr>
        <w:t>38</w:t>
      </w:r>
      <w:r w:rsidR="00AF2447" w:rsidRPr="00FA4570">
        <w:rPr>
          <w:sz w:val="28"/>
          <w:szCs w:val="28"/>
          <w:lang w:val="en-ZA"/>
        </w:rPr>
        <w:t>]</w:t>
      </w:r>
      <w:r w:rsidR="00AF2447" w:rsidRPr="00FA4570">
        <w:rPr>
          <w:sz w:val="28"/>
          <w:szCs w:val="28"/>
          <w:lang w:val="en-ZA"/>
        </w:rPr>
        <w:tab/>
        <w:t>Although we are not here dealing with a fair trial enquiry, compliance with s 93</w:t>
      </w:r>
      <w:r w:rsidR="00AF2447" w:rsidRPr="00FA4570">
        <w:rPr>
          <w:i/>
          <w:sz w:val="28"/>
          <w:szCs w:val="28"/>
          <w:lang w:val="en-ZA"/>
        </w:rPr>
        <w:t>ter</w:t>
      </w:r>
      <w:r w:rsidRPr="00FA4570">
        <w:rPr>
          <w:sz w:val="28"/>
          <w:szCs w:val="28"/>
          <w:lang w:val="en-ZA"/>
        </w:rPr>
        <w:t>(1) of the MCA</w:t>
      </w:r>
      <w:r w:rsidR="00AF2447" w:rsidRPr="00FA4570">
        <w:rPr>
          <w:sz w:val="28"/>
          <w:szCs w:val="28"/>
          <w:lang w:val="en-ZA"/>
        </w:rPr>
        <w:t xml:space="preserve"> is no less a fact-based enquiry. In light of this</w:t>
      </w:r>
      <w:r w:rsidR="006D01FC" w:rsidRPr="00FA4570">
        <w:rPr>
          <w:sz w:val="28"/>
          <w:szCs w:val="28"/>
          <w:lang w:val="en-ZA"/>
        </w:rPr>
        <w:t>,</w:t>
      </w:r>
      <w:r w:rsidR="00AF2447" w:rsidRPr="00FA4570">
        <w:rPr>
          <w:sz w:val="28"/>
          <w:szCs w:val="28"/>
          <w:lang w:val="en-ZA"/>
        </w:rPr>
        <w:t xml:space="preserve"> it is </w:t>
      </w:r>
      <w:r w:rsidRPr="00FA4570">
        <w:rPr>
          <w:sz w:val="28"/>
          <w:szCs w:val="28"/>
          <w:lang w:val="en-ZA"/>
        </w:rPr>
        <w:t>equally undesirable to lay down</w:t>
      </w:r>
      <w:r w:rsidR="00AF2447" w:rsidRPr="00FA4570">
        <w:rPr>
          <w:sz w:val="28"/>
          <w:szCs w:val="28"/>
          <w:lang w:val="en-ZA"/>
        </w:rPr>
        <w:t xml:space="preserve"> a general rule regarding what must be done to establish compliance with the section.  </w:t>
      </w:r>
      <w:r w:rsidR="009D0C07" w:rsidRPr="00FA4570">
        <w:rPr>
          <w:sz w:val="28"/>
          <w:szCs w:val="28"/>
          <w:lang w:val="en-ZA"/>
        </w:rPr>
        <w:t xml:space="preserve">The set of </w:t>
      </w:r>
      <w:r w:rsidR="008838C6" w:rsidRPr="00FA4570">
        <w:rPr>
          <w:sz w:val="28"/>
          <w:szCs w:val="28"/>
          <w:lang w:val="en-ZA"/>
        </w:rPr>
        <w:t>guidelines</w:t>
      </w:r>
      <w:r w:rsidR="009D0C07" w:rsidRPr="00FA4570">
        <w:rPr>
          <w:sz w:val="28"/>
          <w:szCs w:val="28"/>
          <w:lang w:val="en-ZA"/>
        </w:rPr>
        <w:t xml:space="preserve"> </w:t>
      </w:r>
      <w:r w:rsidR="00AF2447" w:rsidRPr="00FA4570">
        <w:rPr>
          <w:sz w:val="28"/>
          <w:szCs w:val="28"/>
          <w:lang w:val="en-ZA"/>
        </w:rPr>
        <w:t>proffered in</w:t>
      </w:r>
      <w:r w:rsidR="009D0C07" w:rsidRPr="00FA4570">
        <w:rPr>
          <w:sz w:val="28"/>
          <w:szCs w:val="28"/>
          <w:lang w:val="en-ZA"/>
        </w:rPr>
        <w:t xml:space="preserve"> </w:t>
      </w:r>
      <w:r w:rsidR="00F65BE2" w:rsidRPr="00FA4570">
        <w:rPr>
          <w:i/>
          <w:iCs/>
          <w:sz w:val="28"/>
          <w:szCs w:val="28"/>
          <w:lang w:val="en-ZA"/>
        </w:rPr>
        <w:t>Langalitshoni</w:t>
      </w:r>
      <w:r w:rsidR="00AF2447" w:rsidRPr="00FA4570">
        <w:rPr>
          <w:sz w:val="28"/>
          <w:szCs w:val="28"/>
          <w:lang w:val="en-ZA"/>
        </w:rPr>
        <w:t xml:space="preserve">, strays into this terrain. </w:t>
      </w:r>
      <w:r w:rsidR="00963B26" w:rsidRPr="00FA4570">
        <w:rPr>
          <w:sz w:val="28"/>
          <w:szCs w:val="28"/>
          <w:lang w:val="en-ZA"/>
        </w:rPr>
        <w:t xml:space="preserve">The requirements are </w:t>
      </w:r>
      <w:r w:rsidR="009D0C07" w:rsidRPr="00FA4570">
        <w:rPr>
          <w:sz w:val="28"/>
          <w:szCs w:val="28"/>
          <w:lang w:val="en-ZA"/>
        </w:rPr>
        <w:t xml:space="preserve">at odds with the notion of a right to legal representation. They are also premised upon a misconception of the nature of the right </w:t>
      </w:r>
      <w:r w:rsidR="00963B26" w:rsidRPr="00FA4570">
        <w:rPr>
          <w:sz w:val="28"/>
          <w:szCs w:val="28"/>
          <w:lang w:val="en-ZA"/>
        </w:rPr>
        <w:t>conferred by s 93</w:t>
      </w:r>
      <w:r w:rsidR="00963B26" w:rsidRPr="00FA4570">
        <w:rPr>
          <w:i/>
          <w:sz w:val="28"/>
          <w:szCs w:val="28"/>
          <w:lang w:val="en-ZA"/>
        </w:rPr>
        <w:t>ter</w:t>
      </w:r>
      <w:r w:rsidR="00963B26" w:rsidRPr="00FA4570">
        <w:rPr>
          <w:sz w:val="28"/>
          <w:szCs w:val="28"/>
          <w:lang w:val="en-ZA"/>
        </w:rPr>
        <w:t xml:space="preserve">(1) </w:t>
      </w:r>
      <w:r w:rsidR="009D0C07" w:rsidRPr="00FA4570">
        <w:rPr>
          <w:sz w:val="28"/>
          <w:szCs w:val="28"/>
          <w:lang w:val="en-ZA"/>
        </w:rPr>
        <w:t xml:space="preserve">and </w:t>
      </w:r>
      <w:r w:rsidR="00963B26" w:rsidRPr="00FA4570">
        <w:rPr>
          <w:sz w:val="28"/>
          <w:szCs w:val="28"/>
          <w:lang w:val="en-ZA"/>
        </w:rPr>
        <w:t>the application of principles of</w:t>
      </w:r>
      <w:r w:rsidR="009D0C07" w:rsidRPr="00FA4570">
        <w:rPr>
          <w:sz w:val="28"/>
          <w:szCs w:val="28"/>
          <w:lang w:val="en-ZA"/>
        </w:rPr>
        <w:t xml:space="preserve"> waiver.</w:t>
      </w:r>
    </w:p>
    <w:p w14:paraId="1675930E" w14:textId="77777777" w:rsidR="009D0C07" w:rsidRPr="00FA4570" w:rsidRDefault="009D0C07" w:rsidP="009D0C07">
      <w:pPr>
        <w:spacing w:line="360" w:lineRule="auto"/>
        <w:jc w:val="both"/>
        <w:rPr>
          <w:sz w:val="28"/>
          <w:szCs w:val="28"/>
          <w:lang w:val="en-ZA"/>
        </w:rPr>
      </w:pPr>
      <w:r w:rsidRPr="00FA4570">
        <w:rPr>
          <w:sz w:val="28"/>
          <w:szCs w:val="28"/>
          <w:lang w:val="en-ZA"/>
        </w:rPr>
        <w:t> </w:t>
      </w:r>
    </w:p>
    <w:p w14:paraId="05DEF274" w14:textId="7F1FF300" w:rsidR="009D0C07" w:rsidRPr="00FA4570" w:rsidRDefault="00740377" w:rsidP="009D0C07">
      <w:pPr>
        <w:spacing w:line="360" w:lineRule="auto"/>
        <w:jc w:val="both"/>
        <w:rPr>
          <w:sz w:val="28"/>
          <w:szCs w:val="28"/>
          <w:lang w:val="en-ZA"/>
        </w:rPr>
      </w:pPr>
      <w:r w:rsidRPr="00FA4570">
        <w:rPr>
          <w:sz w:val="28"/>
          <w:szCs w:val="28"/>
          <w:lang w:val="en-ZA"/>
        </w:rPr>
        <w:t>[</w:t>
      </w:r>
      <w:r w:rsidR="008838C6" w:rsidRPr="00FA4570">
        <w:rPr>
          <w:sz w:val="28"/>
          <w:szCs w:val="28"/>
          <w:lang w:val="en-ZA"/>
        </w:rPr>
        <w:t>39</w:t>
      </w:r>
      <w:r w:rsidR="00F65BE2" w:rsidRPr="00FA4570">
        <w:rPr>
          <w:sz w:val="28"/>
          <w:szCs w:val="28"/>
          <w:lang w:val="en-ZA"/>
        </w:rPr>
        <w:t>]</w:t>
      </w:r>
      <w:r w:rsidR="00F65BE2" w:rsidRPr="00FA4570">
        <w:rPr>
          <w:sz w:val="28"/>
          <w:szCs w:val="28"/>
          <w:lang w:val="en-ZA"/>
        </w:rPr>
        <w:tab/>
      </w:r>
      <w:r w:rsidR="008838C6" w:rsidRPr="00FA4570">
        <w:rPr>
          <w:sz w:val="28"/>
          <w:szCs w:val="28"/>
          <w:lang w:val="en-ZA"/>
        </w:rPr>
        <w:t>T</w:t>
      </w:r>
      <w:r w:rsidR="009D0C07" w:rsidRPr="00FA4570">
        <w:rPr>
          <w:sz w:val="28"/>
          <w:szCs w:val="28"/>
          <w:lang w:val="en-ZA"/>
        </w:rPr>
        <w:t xml:space="preserve">he </w:t>
      </w:r>
      <w:r w:rsidR="006F4534" w:rsidRPr="00FA4570">
        <w:rPr>
          <w:sz w:val="28"/>
          <w:szCs w:val="28"/>
          <w:lang w:val="en-ZA"/>
        </w:rPr>
        <w:t>h</w:t>
      </w:r>
      <w:r w:rsidR="009D0C07" w:rsidRPr="00FA4570">
        <w:rPr>
          <w:sz w:val="28"/>
          <w:szCs w:val="28"/>
          <w:lang w:val="en-ZA"/>
        </w:rPr>
        <w:t xml:space="preserve">igh </w:t>
      </w:r>
      <w:r w:rsidR="006F4534" w:rsidRPr="00FA4570">
        <w:rPr>
          <w:sz w:val="28"/>
          <w:szCs w:val="28"/>
          <w:lang w:val="en-ZA"/>
        </w:rPr>
        <w:t>c</w:t>
      </w:r>
      <w:r w:rsidR="009D0C07" w:rsidRPr="00FA4570">
        <w:rPr>
          <w:sz w:val="28"/>
          <w:szCs w:val="28"/>
          <w:lang w:val="en-ZA"/>
        </w:rPr>
        <w:t>ourt</w:t>
      </w:r>
      <w:r w:rsidR="008838C6" w:rsidRPr="00FA4570">
        <w:rPr>
          <w:sz w:val="28"/>
          <w:szCs w:val="28"/>
          <w:lang w:val="en-ZA"/>
        </w:rPr>
        <w:t xml:space="preserve"> </w:t>
      </w:r>
      <w:r w:rsidR="00963B26" w:rsidRPr="00FA4570">
        <w:rPr>
          <w:sz w:val="28"/>
          <w:szCs w:val="28"/>
          <w:lang w:val="en-ZA"/>
        </w:rPr>
        <w:t>concluded that the respondent’s right was not explained to him. Before this Court, c</w:t>
      </w:r>
      <w:r w:rsidR="009D0C07" w:rsidRPr="00FA4570">
        <w:rPr>
          <w:sz w:val="28"/>
          <w:szCs w:val="28"/>
          <w:lang w:val="en-ZA"/>
        </w:rPr>
        <w:t xml:space="preserve">ounsel for the respondent contended that whatever </w:t>
      </w:r>
      <w:r w:rsidR="006F4534" w:rsidRPr="00FA4570">
        <w:rPr>
          <w:sz w:val="28"/>
          <w:szCs w:val="28"/>
          <w:lang w:val="en-ZA"/>
        </w:rPr>
        <w:t xml:space="preserve">had </w:t>
      </w:r>
      <w:r w:rsidR="009D0C07" w:rsidRPr="00FA4570">
        <w:rPr>
          <w:sz w:val="28"/>
          <w:szCs w:val="28"/>
          <w:lang w:val="en-ZA"/>
        </w:rPr>
        <w:lastRenderedPageBreak/>
        <w:t xml:space="preserve">occurred at the </w:t>
      </w:r>
      <w:r w:rsidR="00152C7E" w:rsidRPr="00FA4570">
        <w:rPr>
          <w:sz w:val="28"/>
          <w:szCs w:val="28"/>
          <w:lang w:val="en-ZA"/>
        </w:rPr>
        <w:t>pre-trial</w:t>
      </w:r>
      <w:r w:rsidR="009D0C07" w:rsidRPr="00FA4570">
        <w:rPr>
          <w:sz w:val="28"/>
          <w:szCs w:val="28"/>
          <w:lang w:val="en-ZA"/>
        </w:rPr>
        <w:t xml:space="preserve"> remand proceedings was irrelevant since it was the trial magistrate</w:t>
      </w:r>
      <w:r w:rsidR="006F4534" w:rsidRPr="00FA4570">
        <w:rPr>
          <w:sz w:val="28"/>
          <w:szCs w:val="28"/>
          <w:lang w:val="en-ZA"/>
        </w:rPr>
        <w:t xml:space="preserve"> who </w:t>
      </w:r>
      <w:r w:rsidR="009D0C07" w:rsidRPr="00FA4570">
        <w:rPr>
          <w:sz w:val="28"/>
          <w:szCs w:val="28"/>
          <w:lang w:val="en-ZA"/>
        </w:rPr>
        <w:t>was obliged to explain and act in accordance with the section. The argument is without substance.</w:t>
      </w:r>
      <w:r w:rsidR="003B5F2E" w:rsidRPr="00FA4570">
        <w:rPr>
          <w:sz w:val="28"/>
          <w:szCs w:val="28"/>
          <w:lang w:val="en-ZA"/>
        </w:rPr>
        <w:t xml:space="preserve"> T</w:t>
      </w:r>
      <w:r w:rsidR="009D0C07" w:rsidRPr="00FA4570">
        <w:rPr>
          <w:sz w:val="28"/>
          <w:szCs w:val="28"/>
          <w:lang w:val="en-ZA"/>
        </w:rPr>
        <w:t>he purpose of the pre</w:t>
      </w:r>
      <w:r w:rsidR="00291281" w:rsidRPr="00FA4570">
        <w:rPr>
          <w:sz w:val="28"/>
          <w:szCs w:val="28"/>
          <w:lang w:val="en-ZA"/>
        </w:rPr>
        <w:t>-</w:t>
      </w:r>
      <w:r w:rsidR="009D0C07" w:rsidRPr="00FA4570">
        <w:rPr>
          <w:sz w:val="28"/>
          <w:szCs w:val="28"/>
          <w:lang w:val="en-ZA"/>
        </w:rPr>
        <w:t>trial conference</w:t>
      </w:r>
      <w:r w:rsidR="008838C6" w:rsidRPr="00FA4570">
        <w:rPr>
          <w:sz w:val="28"/>
          <w:szCs w:val="28"/>
          <w:lang w:val="en-ZA"/>
        </w:rPr>
        <w:t xml:space="preserve"> </w:t>
      </w:r>
      <w:r w:rsidR="006F4534" w:rsidRPr="00FA4570">
        <w:rPr>
          <w:sz w:val="28"/>
          <w:szCs w:val="28"/>
          <w:lang w:val="en-ZA"/>
        </w:rPr>
        <w:t>i</w:t>
      </w:r>
      <w:r w:rsidR="009D0C07" w:rsidRPr="00FA4570">
        <w:rPr>
          <w:sz w:val="28"/>
          <w:szCs w:val="28"/>
          <w:lang w:val="en-ZA"/>
        </w:rPr>
        <w:t xml:space="preserve">s to ensure that the enrolled case is ready to proceed to trial. </w:t>
      </w:r>
      <w:r w:rsidR="00963B26" w:rsidRPr="00FA4570">
        <w:rPr>
          <w:sz w:val="28"/>
          <w:szCs w:val="28"/>
          <w:lang w:val="en-ZA"/>
        </w:rPr>
        <w:t>Such pre-trial proceedings are not to be ignored</w:t>
      </w:r>
      <w:r w:rsidR="009D0C07" w:rsidRPr="00FA4570">
        <w:rPr>
          <w:sz w:val="28"/>
          <w:szCs w:val="28"/>
          <w:lang w:val="en-ZA"/>
        </w:rPr>
        <w:t xml:space="preserve">. </w:t>
      </w:r>
    </w:p>
    <w:p w14:paraId="550804C9" w14:textId="77777777" w:rsidR="009D0C07" w:rsidRPr="00FA4570" w:rsidRDefault="009D0C07" w:rsidP="009D0C07">
      <w:pPr>
        <w:spacing w:line="360" w:lineRule="auto"/>
        <w:jc w:val="both"/>
        <w:rPr>
          <w:sz w:val="28"/>
          <w:szCs w:val="28"/>
          <w:lang w:val="en-ZA"/>
        </w:rPr>
      </w:pPr>
      <w:r w:rsidRPr="00FA4570">
        <w:rPr>
          <w:sz w:val="28"/>
          <w:szCs w:val="28"/>
          <w:lang w:val="en-ZA"/>
        </w:rPr>
        <w:t> </w:t>
      </w:r>
    </w:p>
    <w:p w14:paraId="2FAC7926" w14:textId="57850D5F" w:rsidR="009D0C07" w:rsidRPr="00FA4570" w:rsidRDefault="00291281" w:rsidP="009D0C07">
      <w:pPr>
        <w:spacing w:line="360" w:lineRule="auto"/>
        <w:jc w:val="both"/>
        <w:rPr>
          <w:sz w:val="28"/>
          <w:szCs w:val="28"/>
          <w:lang w:val="en-ZA"/>
        </w:rPr>
      </w:pPr>
      <w:r w:rsidRPr="00FA4570">
        <w:rPr>
          <w:sz w:val="28"/>
          <w:szCs w:val="28"/>
          <w:lang w:val="en-ZA"/>
        </w:rPr>
        <w:t>[4</w:t>
      </w:r>
      <w:r w:rsidR="008838C6" w:rsidRPr="00FA4570">
        <w:rPr>
          <w:sz w:val="28"/>
          <w:szCs w:val="28"/>
          <w:lang w:val="en-ZA"/>
        </w:rPr>
        <w:t>0</w:t>
      </w:r>
      <w:r w:rsidR="006F4534" w:rsidRPr="00FA4570">
        <w:rPr>
          <w:sz w:val="28"/>
          <w:szCs w:val="28"/>
          <w:lang w:val="en-ZA"/>
        </w:rPr>
        <w:t>]</w:t>
      </w:r>
      <w:r w:rsidR="006F4534" w:rsidRPr="00FA4570">
        <w:rPr>
          <w:sz w:val="28"/>
          <w:szCs w:val="28"/>
          <w:lang w:val="en-ZA"/>
        </w:rPr>
        <w:tab/>
      </w:r>
      <w:r w:rsidR="008838C6" w:rsidRPr="00FA4570">
        <w:rPr>
          <w:sz w:val="28"/>
          <w:szCs w:val="28"/>
          <w:lang w:val="en-ZA"/>
        </w:rPr>
        <w:t>The</w:t>
      </w:r>
      <w:r w:rsidR="009D0C07" w:rsidRPr="00FA4570">
        <w:rPr>
          <w:sz w:val="28"/>
          <w:szCs w:val="28"/>
          <w:lang w:val="en-ZA"/>
        </w:rPr>
        <w:t xml:space="preserve"> </w:t>
      </w:r>
      <w:r w:rsidRPr="00FA4570">
        <w:rPr>
          <w:sz w:val="28"/>
          <w:szCs w:val="28"/>
          <w:lang w:val="en-ZA"/>
        </w:rPr>
        <w:t>notes made by the magistrate presiding at the pre-trial remand hearing,</w:t>
      </w:r>
      <w:r w:rsidR="009D0C07" w:rsidRPr="00FA4570">
        <w:rPr>
          <w:sz w:val="28"/>
          <w:szCs w:val="28"/>
          <w:lang w:val="en-ZA"/>
        </w:rPr>
        <w:t xml:space="preserve"> </w:t>
      </w:r>
      <w:r w:rsidRPr="00FA4570">
        <w:rPr>
          <w:sz w:val="28"/>
          <w:szCs w:val="28"/>
          <w:lang w:val="en-ZA"/>
        </w:rPr>
        <w:t xml:space="preserve">state </w:t>
      </w:r>
      <w:r w:rsidR="009D0C07" w:rsidRPr="00FA4570">
        <w:rPr>
          <w:sz w:val="28"/>
          <w:szCs w:val="28"/>
          <w:lang w:val="en-ZA"/>
        </w:rPr>
        <w:t xml:space="preserve">that the provisions of </w:t>
      </w:r>
      <w:r w:rsidR="006F4534" w:rsidRPr="00FA4570">
        <w:rPr>
          <w:sz w:val="28"/>
          <w:szCs w:val="28"/>
          <w:lang w:val="en-ZA"/>
        </w:rPr>
        <w:t xml:space="preserve">the </w:t>
      </w:r>
      <w:r w:rsidR="009D0C07" w:rsidRPr="00FA4570">
        <w:rPr>
          <w:sz w:val="28"/>
          <w:szCs w:val="28"/>
          <w:lang w:val="en-ZA"/>
        </w:rPr>
        <w:t xml:space="preserve">section were explained to the accused. They were understood. The legal representative </w:t>
      </w:r>
      <w:r w:rsidRPr="00FA4570">
        <w:rPr>
          <w:sz w:val="28"/>
          <w:szCs w:val="28"/>
          <w:lang w:val="en-ZA"/>
        </w:rPr>
        <w:t xml:space="preserve">said </w:t>
      </w:r>
      <w:r w:rsidR="006F4534" w:rsidRPr="00FA4570">
        <w:rPr>
          <w:sz w:val="28"/>
          <w:szCs w:val="28"/>
          <w:lang w:val="en-ZA"/>
        </w:rPr>
        <w:t>t</w:t>
      </w:r>
      <w:r w:rsidR="009D0C07" w:rsidRPr="00FA4570">
        <w:rPr>
          <w:sz w:val="28"/>
          <w:szCs w:val="28"/>
          <w:lang w:val="en-ZA"/>
        </w:rPr>
        <w:t>hat the</w:t>
      </w:r>
      <w:r w:rsidR="003B5F2E" w:rsidRPr="00FA4570">
        <w:rPr>
          <w:sz w:val="28"/>
          <w:szCs w:val="28"/>
          <w:lang w:val="en-ZA"/>
        </w:rPr>
        <w:t xml:space="preserve"> two </w:t>
      </w:r>
      <w:r w:rsidRPr="00FA4570">
        <w:rPr>
          <w:sz w:val="28"/>
          <w:szCs w:val="28"/>
          <w:lang w:val="en-ZA"/>
        </w:rPr>
        <w:t xml:space="preserve">accused </w:t>
      </w:r>
      <w:r w:rsidR="009D0C07" w:rsidRPr="00FA4570">
        <w:rPr>
          <w:sz w:val="28"/>
          <w:szCs w:val="28"/>
          <w:lang w:val="en-ZA"/>
        </w:rPr>
        <w:t>did not require assessors. This was plainly a request that the trial proceed</w:t>
      </w:r>
      <w:r w:rsidR="001964BF" w:rsidRPr="00FA4570">
        <w:rPr>
          <w:sz w:val="28"/>
          <w:szCs w:val="28"/>
          <w:lang w:val="en-ZA"/>
        </w:rPr>
        <w:t>s</w:t>
      </w:r>
      <w:r w:rsidR="009D0C07" w:rsidRPr="00FA4570">
        <w:rPr>
          <w:sz w:val="28"/>
          <w:szCs w:val="28"/>
          <w:lang w:val="en-ZA"/>
        </w:rPr>
        <w:t xml:space="preserve"> without assessors. The accused confirmed this to be so. Thus, when the trial magistrate asked the legal representative</w:t>
      </w:r>
      <w:r w:rsidR="006F4534" w:rsidRPr="00FA4570">
        <w:rPr>
          <w:sz w:val="28"/>
          <w:szCs w:val="28"/>
          <w:lang w:val="en-ZA"/>
        </w:rPr>
        <w:t xml:space="preserve"> w</w:t>
      </w:r>
      <w:r w:rsidR="009D0C07" w:rsidRPr="00FA4570">
        <w:rPr>
          <w:sz w:val="28"/>
          <w:szCs w:val="28"/>
          <w:lang w:val="en-ZA"/>
        </w:rPr>
        <w:t>hether that</w:t>
      </w:r>
      <w:r w:rsidRPr="00FA4570">
        <w:rPr>
          <w:sz w:val="28"/>
          <w:szCs w:val="28"/>
          <w:lang w:val="en-ZA"/>
        </w:rPr>
        <w:t xml:space="preserve"> was still the case, he </w:t>
      </w:r>
      <w:r w:rsidR="009D0C07" w:rsidRPr="00FA4570">
        <w:rPr>
          <w:sz w:val="28"/>
          <w:szCs w:val="28"/>
          <w:lang w:val="en-ZA"/>
        </w:rPr>
        <w:t xml:space="preserve">sought to </w:t>
      </w:r>
      <w:r w:rsidRPr="00FA4570">
        <w:rPr>
          <w:sz w:val="28"/>
          <w:szCs w:val="28"/>
          <w:lang w:val="en-ZA"/>
        </w:rPr>
        <w:t>confirm the request.</w:t>
      </w:r>
    </w:p>
    <w:p w14:paraId="06B07063" w14:textId="77777777" w:rsidR="009D0C07" w:rsidRPr="00FA4570" w:rsidRDefault="009D0C07" w:rsidP="009D0C07">
      <w:pPr>
        <w:spacing w:line="360" w:lineRule="auto"/>
        <w:jc w:val="both"/>
        <w:rPr>
          <w:sz w:val="28"/>
          <w:szCs w:val="28"/>
          <w:lang w:val="en-ZA"/>
        </w:rPr>
      </w:pPr>
      <w:r w:rsidRPr="00FA4570">
        <w:rPr>
          <w:sz w:val="28"/>
          <w:szCs w:val="28"/>
          <w:lang w:val="en-ZA"/>
        </w:rPr>
        <w:t> </w:t>
      </w:r>
    </w:p>
    <w:p w14:paraId="468AFB5B" w14:textId="41436B7E" w:rsidR="006F4534" w:rsidRPr="00FA4570" w:rsidRDefault="0037387F" w:rsidP="009D0C07">
      <w:pPr>
        <w:spacing w:line="360" w:lineRule="auto"/>
        <w:jc w:val="both"/>
        <w:rPr>
          <w:sz w:val="28"/>
          <w:szCs w:val="28"/>
          <w:lang w:val="en-ZA"/>
        </w:rPr>
      </w:pPr>
      <w:r w:rsidRPr="00FA4570">
        <w:rPr>
          <w:sz w:val="28"/>
          <w:szCs w:val="28"/>
          <w:lang w:val="en-ZA"/>
        </w:rPr>
        <w:t>[</w:t>
      </w:r>
      <w:r w:rsidR="00291281" w:rsidRPr="00FA4570">
        <w:rPr>
          <w:sz w:val="28"/>
          <w:szCs w:val="28"/>
          <w:lang w:val="en-ZA"/>
        </w:rPr>
        <w:t>4</w:t>
      </w:r>
      <w:r w:rsidR="008838C6" w:rsidRPr="00FA4570">
        <w:rPr>
          <w:sz w:val="28"/>
          <w:szCs w:val="28"/>
          <w:lang w:val="en-ZA"/>
        </w:rPr>
        <w:t>1</w:t>
      </w:r>
      <w:r w:rsidR="006F4534" w:rsidRPr="00FA4570">
        <w:rPr>
          <w:sz w:val="28"/>
          <w:szCs w:val="28"/>
          <w:lang w:val="en-ZA"/>
        </w:rPr>
        <w:t>]</w:t>
      </w:r>
      <w:r w:rsidR="006F4534" w:rsidRPr="00FA4570">
        <w:rPr>
          <w:sz w:val="28"/>
          <w:szCs w:val="28"/>
          <w:lang w:val="en-ZA"/>
        </w:rPr>
        <w:tab/>
      </w:r>
      <w:r w:rsidR="009D0C07" w:rsidRPr="00FA4570">
        <w:rPr>
          <w:sz w:val="28"/>
          <w:szCs w:val="28"/>
          <w:lang w:val="en-ZA"/>
        </w:rPr>
        <w:t>On the facts</w:t>
      </w:r>
      <w:r w:rsidR="00291281" w:rsidRPr="00FA4570">
        <w:rPr>
          <w:sz w:val="28"/>
          <w:szCs w:val="28"/>
          <w:lang w:val="en-ZA"/>
        </w:rPr>
        <w:t>,</w:t>
      </w:r>
      <w:r w:rsidR="009D0C07" w:rsidRPr="00FA4570">
        <w:rPr>
          <w:sz w:val="28"/>
          <w:szCs w:val="28"/>
          <w:lang w:val="en-ZA"/>
        </w:rPr>
        <w:t xml:space="preserve"> </w:t>
      </w:r>
      <w:r w:rsidR="006F4534" w:rsidRPr="00FA4570">
        <w:rPr>
          <w:sz w:val="28"/>
          <w:szCs w:val="28"/>
          <w:lang w:val="en-ZA"/>
        </w:rPr>
        <w:t>s</w:t>
      </w:r>
      <w:r w:rsidR="009D0C07" w:rsidRPr="00FA4570">
        <w:rPr>
          <w:sz w:val="28"/>
          <w:szCs w:val="28"/>
          <w:lang w:val="en-ZA"/>
        </w:rPr>
        <w:t xml:space="preserve"> 93</w:t>
      </w:r>
      <w:r w:rsidR="006F4534" w:rsidRPr="00FA4570">
        <w:rPr>
          <w:i/>
          <w:iCs/>
          <w:sz w:val="28"/>
          <w:szCs w:val="28"/>
          <w:lang w:val="en-ZA"/>
        </w:rPr>
        <w:t>ter</w:t>
      </w:r>
      <w:r w:rsidR="00291281" w:rsidRPr="00FA4570">
        <w:rPr>
          <w:iCs/>
          <w:sz w:val="28"/>
          <w:szCs w:val="28"/>
          <w:lang w:val="en-ZA"/>
        </w:rPr>
        <w:t>(1)</w:t>
      </w:r>
      <w:r w:rsidR="009D0C07" w:rsidRPr="00FA4570">
        <w:rPr>
          <w:sz w:val="28"/>
          <w:szCs w:val="28"/>
          <w:lang w:val="en-ZA"/>
        </w:rPr>
        <w:t xml:space="preserve"> was complied with. </w:t>
      </w:r>
      <w:r w:rsidR="008838C6" w:rsidRPr="00FA4570">
        <w:rPr>
          <w:sz w:val="28"/>
          <w:szCs w:val="28"/>
          <w:lang w:val="en-ZA"/>
        </w:rPr>
        <w:t>T</w:t>
      </w:r>
      <w:r w:rsidR="009D0C07" w:rsidRPr="00FA4570">
        <w:rPr>
          <w:sz w:val="28"/>
          <w:szCs w:val="28"/>
          <w:lang w:val="en-ZA"/>
        </w:rPr>
        <w:t xml:space="preserve">he </w:t>
      </w:r>
      <w:r w:rsidR="006F4534" w:rsidRPr="00FA4570">
        <w:rPr>
          <w:sz w:val="28"/>
          <w:szCs w:val="28"/>
          <w:lang w:val="en-ZA"/>
        </w:rPr>
        <w:t>h</w:t>
      </w:r>
      <w:r w:rsidR="009D0C07" w:rsidRPr="00FA4570">
        <w:rPr>
          <w:sz w:val="28"/>
          <w:szCs w:val="28"/>
          <w:lang w:val="en-ZA"/>
        </w:rPr>
        <w:t xml:space="preserve">igh </w:t>
      </w:r>
      <w:r w:rsidR="006F4534" w:rsidRPr="00FA4570">
        <w:rPr>
          <w:sz w:val="28"/>
          <w:szCs w:val="28"/>
          <w:lang w:val="en-ZA"/>
        </w:rPr>
        <w:t>c</w:t>
      </w:r>
      <w:r w:rsidR="009D0C07" w:rsidRPr="00FA4570">
        <w:rPr>
          <w:sz w:val="28"/>
          <w:szCs w:val="28"/>
          <w:lang w:val="en-ZA"/>
        </w:rPr>
        <w:t xml:space="preserve">ourt ignored </w:t>
      </w:r>
      <w:r w:rsidRPr="00FA4570">
        <w:rPr>
          <w:sz w:val="28"/>
          <w:szCs w:val="28"/>
          <w:lang w:val="en-ZA"/>
        </w:rPr>
        <w:t xml:space="preserve">the </w:t>
      </w:r>
      <w:r w:rsidR="009D0C07" w:rsidRPr="00FA4570">
        <w:rPr>
          <w:sz w:val="28"/>
          <w:szCs w:val="28"/>
          <w:lang w:val="en-ZA"/>
        </w:rPr>
        <w:t>facts as disclosed on the record</w:t>
      </w:r>
      <w:r w:rsidR="008838C6" w:rsidRPr="00FA4570">
        <w:rPr>
          <w:sz w:val="28"/>
          <w:szCs w:val="28"/>
          <w:lang w:val="en-ZA"/>
        </w:rPr>
        <w:t>.</w:t>
      </w:r>
      <w:r w:rsidR="009D0C07" w:rsidRPr="00FA4570">
        <w:rPr>
          <w:sz w:val="28"/>
          <w:szCs w:val="28"/>
          <w:lang w:val="en-ZA"/>
        </w:rPr>
        <w:t xml:space="preserve"> In the circumstances, the </w:t>
      </w:r>
      <w:r w:rsidR="006F4534" w:rsidRPr="00FA4570">
        <w:rPr>
          <w:sz w:val="28"/>
          <w:szCs w:val="28"/>
          <w:lang w:val="en-ZA"/>
        </w:rPr>
        <w:t>h</w:t>
      </w:r>
      <w:r w:rsidR="009D0C07" w:rsidRPr="00FA4570">
        <w:rPr>
          <w:sz w:val="28"/>
          <w:szCs w:val="28"/>
          <w:lang w:val="en-ZA"/>
        </w:rPr>
        <w:t xml:space="preserve">igh </w:t>
      </w:r>
      <w:r w:rsidR="006F4534" w:rsidRPr="00FA4570">
        <w:rPr>
          <w:sz w:val="28"/>
          <w:szCs w:val="28"/>
          <w:lang w:val="en-ZA"/>
        </w:rPr>
        <w:t>c</w:t>
      </w:r>
      <w:r w:rsidR="009D0C07" w:rsidRPr="00FA4570">
        <w:rPr>
          <w:sz w:val="28"/>
          <w:szCs w:val="28"/>
          <w:lang w:val="en-ZA"/>
        </w:rPr>
        <w:t xml:space="preserve">ourt erred both in respect of the law relating to </w:t>
      </w:r>
      <w:r w:rsidR="006F4534" w:rsidRPr="00FA4570">
        <w:rPr>
          <w:sz w:val="28"/>
          <w:szCs w:val="28"/>
          <w:lang w:val="en-ZA"/>
        </w:rPr>
        <w:t>the s</w:t>
      </w:r>
      <w:r w:rsidR="009D0C07" w:rsidRPr="00FA4570">
        <w:rPr>
          <w:sz w:val="28"/>
          <w:szCs w:val="28"/>
          <w:lang w:val="en-ZA"/>
        </w:rPr>
        <w:t>ecti</w:t>
      </w:r>
      <w:r w:rsidR="006F4534" w:rsidRPr="00FA4570">
        <w:rPr>
          <w:sz w:val="28"/>
          <w:szCs w:val="28"/>
          <w:lang w:val="en-ZA"/>
        </w:rPr>
        <w:t>on a</w:t>
      </w:r>
      <w:r w:rsidR="009D0C07" w:rsidRPr="00FA4570">
        <w:rPr>
          <w:sz w:val="28"/>
          <w:szCs w:val="28"/>
          <w:lang w:val="en-ZA"/>
        </w:rPr>
        <w:t xml:space="preserve">nd </w:t>
      </w:r>
      <w:r w:rsidRPr="00FA4570">
        <w:rPr>
          <w:sz w:val="28"/>
          <w:szCs w:val="28"/>
          <w:lang w:val="en-ZA"/>
        </w:rPr>
        <w:t xml:space="preserve">in </w:t>
      </w:r>
      <w:r w:rsidR="009D0C07" w:rsidRPr="00FA4570">
        <w:rPr>
          <w:sz w:val="28"/>
          <w:szCs w:val="28"/>
          <w:lang w:val="en-ZA"/>
        </w:rPr>
        <w:t>its application to the facts. It follows that the appeal must succeed</w:t>
      </w:r>
      <w:r w:rsidR="006F4534" w:rsidRPr="00FA4570">
        <w:rPr>
          <w:sz w:val="28"/>
          <w:szCs w:val="28"/>
          <w:lang w:val="en-ZA"/>
        </w:rPr>
        <w:t xml:space="preserve">. </w:t>
      </w:r>
    </w:p>
    <w:p w14:paraId="27FA4D54" w14:textId="77777777" w:rsidR="006F4534" w:rsidRPr="00FA4570" w:rsidRDefault="006F4534" w:rsidP="009D0C07">
      <w:pPr>
        <w:spacing w:line="360" w:lineRule="auto"/>
        <w:jc w:val="both"/>
        <w:rPr>
          <w:sz w:val="28"/>
          <w:szCs w:val="28"/>
          <w:lang w:val="en-ZA"/>
        </w:rPr>
      </w:pPr>
    </w:p>
    <w:p w14:paraId="56197F44" w14:textId="07C497F1" w:rsidR="006F4534" w:rsidRPr="00FA4570" w:rsidRDefault="0037387F" w:rsidP="009D0C07">
      <w:pPr>
        <w:spacing w:line="360" w:lineRule="auto"/>
        <w:jc w:val="both"/>
        <w:rPr>
          <w:sz w:val="28"/>
          <w:szCs w:val="28"/>
          <w:lang w:val="en-ZA"/>
        </w:rPr>
      </w:pPr>
      <w:r w:rsidRPr="00FA4570">
        <w:rPr>
          <w:sz w:val="28"/>
          <w:szCs w:val="28"/>
          <w:lang w:val="en-ZA"/>
        </w:rPr>
        <w:t>[</w:t>
      </w:r>
      <w:r w:rsidR="00291281" w:rsidRPr="00FA4570">
        <w:rPr>
          <w:sz w:val="28"/>
          <w:szCs w:val="28"/>
          <w:lang w:val="en-ZA"/>
        </w:rPr>
        <w:t>4</w:t>
      </w:r>
      <w:r w:rsidR="008838C6" w:rsidRPr="00FA4570">
        <w:rPr>
          <w:sz w:val="28"/>
          <w:szCs w:val="28"/>
          <w:lang w:val="en-ZA"/>
        </w:rPr>
        <w:t>2</w:t>
      </w:r>
      <w:r w:rsidR="006F4534" w:rsidRPr="00FA4570">
        <w:rPr>
          <w:sz w:val="28"/>
          <w:szCs w:val="28"/>
          <w:lang w:val="en-ZA"/>
        </w:rPr>
        <w:t>]</w:t>
      </w:r>
      <w:r w:rsidR="006F4534" w:rsidRPr="00FA4570">
        <w:rPr>
          <w:sz w:val="28"/>
          <w:szCs w:val="28"/>
          <w:lang w:val="en-ZA"/>
        </w:rPr>
        <w:tab/>
      </w:r>
      <w:r w:rsidR="008838C6" w:rsidRPr="00FA4570">
        <w:rPr>
          <w:sz w:val="28"/>
          <w:szCs w:val="28"/>
          <w:lang w:val="en-ZA"/>
        </w:rPr>
        <w:t>The</w:t>
      </w:r>
      <w:r w:rsidR="009D0C07" w:rsidRPr="00FA4570">
        <w:rPr>
          <w:sz w:val="28"/>
          <w:szCs w:val="28"/>
          <w:lang w:val="en-ZA"/>
        </w:rPr>
        <w:t xml:space="preserve"> respondent was granted leave</w:t>
      </w:r>
      <w:r w:rsidR="006F4534" w:rsidRPr="00FA4570">
        <w:rPr>
          <w:sz w:val="28"/>
          <w:szCs w:val="28"/>
          <w:lang w:val="en-ZA"/>
        </w:rPr>
        <w:t xml:space="preserve"> t</w:t>
      </w:r>
      <w:r w:rsidR="009D0C07" w:rsidRPr="00FA4570">
        <w:rPr>
          <w:sz w:val="28"/>
          <w:szCs w:val="28"/>
          <w:lang w:val="en-ZA"/>
        </w:rPr>
        <w:t>o appeal aga</w:t>
      </w:r>
      <w:r w:rsidRPr="00FA4570">
        <w:rPr>
          <w:sz w:val="28"/>
          <w:szCs w:val="28"/>
          <w:lang w:val="en-ZA"/>
        </w:rPr>
        <w:t>inst his conviction</w:t>
      </w:r>
      <w:r w:rsidR="009D0C07" w:rsidRPr="00FA4570">
        <w:rPr>
          <w:sz w:val="28"/>
          <w:szCs w:val="28"/>
          <w:lang w:val="en-ZA"/>
        </w:rPr>
        <w:t xml:space="preserve">. The </w:t>
      </w:r>
      <w:r w:rsidR="006F4534" w:rsidRPr="00FA4570">
        <w:rPr>
          <w:sz w:val="28"/>
          <w:szCs w:val="28"/>
          <w:lang w:val="en-ZA"/>
        </w:rPr>
        <w:t>h</w:t>
      </w:r>
      <w:r w:rsidR="009D0C07" w:rsidRPr="00FA4570">
        <w:rPr>
          <w:sz w:val="28"/>
          <w:szCs w:val="28"/>
          <w:lang w:val="en-ZA"/>
        </w:rPr>
        <w:t xml:space="preserve">igh </w:t>
      </w:r>
      <w:r w:rsidR="006F4534" w:rsidRPr="00FA4570">
        <w:rPr>
          <w:sz w:val="28"/>
          <w:szCs w:val="28"/>
          <w:lang w:val="en-ZA"/>
        </w:rPr>
        <w:t>c</w:t>
      </w:r>
      <w:r w:rsidR="009D0C07" w:rsidRPr="00FA4570">
        <w:rPr>
          <w:sz w:val="28"/>
          <w:szCs w:val="28"/>
          <w:lang w:val="en-ZA"/>
        </w:rPr>
        <w:t>ourt</w:t>
      </w:r>
      <w:r w:rsidR="00291281" w:rsidRPr="00FA4570">
        <w:rPr>
          <w:sz w:val="28"/>
          <w:szCs w:val="28"/>
          <w:lang w:val="en-ZA"/>
        </w:rPr>
        <w:t xml:space="preserve"> did</w:t>
      </w:r>
      <w:r w:rsidR="009D0C07" w:rsidRPr="00FA4570">
        <w:rPr>
          <w:sz w:val="28"/>
          <w:szCs w:val="28"/>
          <w:lang w:val="en-ZA"/>
        </w:rPr>
        <w:t xml:space="preserve"> not </w:t>
      </w:r>
      <w:r w:rsidR="00497832" w:rsidRPr="00FA4570">
        <w:rPr>
          <w:sz w:val="28"/>
          <w:szCs w:val="28"/>
          <w:lang w:val="en-ZA"/>
        </w:rPr>
        <w:t>deal with</w:t>
      </w:r>
      <w:r w:rsidR="009D0C07" w:rsidRPr="00FA4570">
        <w:rPr>
          <w:sz w:val="28"/>
          <w:szCs w:val="28"/>
          <w:lang w:val="en-ZA"/>
        </w:rPr>
        <w:t xml:space="preserve"> the merits of the appeal</w:t>
      </w:r>
      <w:r w:rsidRPr="00FA4570">
        <w:rPr>
          <w:sz w:val="28"/>
          <w:szCs w:val="28"/>
          <w:lang w:val="en-ZA"/>
        </w:rPr>
        <w:t xml:space="preserve"> against conviction</w:t>
      </w:r>
      <w:r w:rsidR="009D0C07" w:rsidRPr="00FA4570">
        <w:rPr>
          <w:sz w:val="28"/>
          <w:szCs w:val="28"/>
          <w:lang w:val="en-ZA"/>
        </w:rPr>
        <w:t>. The consequence</w:t>
      </w:r>
      <w:r w:rsidR="006F4534" w:rsidRPr="00FA4570">
        <w:rPr>
          <w:sz w:val="28"/>
          <w:szCs w:val="28"/>
          <w:lang w:val="en-ZA"/>
        </w:rPr>
        <w:t xml:space="preserve"> of</w:t>
      </w:r>
      <w:r w:rsidR="009D0C07" w:rsidRPr="00FA4570">
        <w:rPr>
          <w:sz w:val="28"/>
          <w:szCs w:val="28"/>
          <w:lang w:val="en-ZA"/>
        </w:rPr>
        <w:t xml:space="preserve"> </w:t>
      </w:r>
      <w:r w:rsidRPr="00FA4570">
        <w:rPr>
          <w:sz w:val="28"/>
          <w:szCs w:val="28"/>
          <w:lang w:val="en-ZA"/>
        </w:rPr>
        <w:t>this Court’s finding on appeal</w:t>
      </w:r>
      <w:r w:rsidR="006D01FC" w:rsidRPr="00FA4570">
        <w:rPr>
          <w:sz w:val="28"/>
          <w:szCs w:val="28"/>
          <w:lang w:val="en-ZA"/>
        </w:rPr>
        <w:t>,</w:t>
      </w:r>
      <w:r w:rsidR="009D0C07" w:rsidRPr="00FA4570">
        <w:rPr>
          <w:sz w:val="28"/>
          <w:szCs w:val="28"/>
          <w:lang w:val="en-ZA"/>
        </w:rPr>
        <w:t xml:space="preserve"> must be that the respondent</w:t>
      </w:r>
      <w:r w:rsidR="006F4534" w:rsidRPr="00FA4570">
        <w:rPr>
          <w:sz w:val="28"/>
          <w:szCs w:val="28"/>
          <w:lang w:val="en-ZA"/>
        </w:rPr>
        <w:t>’</w:t>
      </w:r>
      <w:r w:rsidR="009D0C07" w:rsidRPr="00FA4570">
        <w:rPr>
          <w:sz w:val="28"/>
          <w:szCs w:val="28"/>
          <w:lang w:val="en-ZA"/>
        </w:rPr>
        <w:t xml:space="preserve">s conviction and sentence </w:t>
      </w:r>
      <w:r w:rsidR="002B5E08" w:rsidRPr="00FA4570">
        <w:rPr>
          <w:sz w:val="28"/>
          <w:szCs w:val="28"/>
          <w:lang w:val="en-ZA"/>
        </w:rPr>
        <w:t>are</w:t>
      </w:r>
      <w:r w:rsidR="009D0C07" w:rsidRPr="00FA4570">
        <w:rPr>
          <w:sz w:val="28"/>
          <w:szCs w:val="28"/>
          <w:lang w:val="en-ZA"/>
        </w:rPr>
        <w:t xml:space="preserve"> reinstated. </w:t>
      </w:r>
      <w:r w:rsidRPr="00FA4570">
        <w:rPr>
          <w:sz w:val="28"/>
          <w:szCs w:val="28"/>
          <w:lang w:val="en-ZA"/>
        </w:rPr>
        <w:t>Once that is so h</w:t>
      </w:r>
      <w:r w:rsidR="009D0C07" w:rsidRPr="00FA4570">
        <w:rPr>
          <w:sz w:val="28"/>
          <w:szCs w:val="28"/>
          <w:lang w:val="en-ZA"/>
        </w:rPr>
        <w:t xml:space="preserve">e </w:t>
      </w:r>
      <w:r w:rsidRPr="00FA4570">
        <w:rPr>
          <w:sz w:val="28"/>
          <w:szCs w:val="28"/>
          <w:lang w:val="en-ZA"/>
        </w:rPr>
        <w:t>is entitled</w:t>
      </w:r>
      <w:r w:rsidR="009D0C07" w:rsidRPr="00FA4570">
        <w:rPr>
          <w:sz w:val="28"/>
          <w:szCs w:val="28"/>
          <w:lang w:val="en-ZA"/>
        </w:rPr>
        <w:t xml:space="preserve"> to prosecute his appeal </w:t>
      </w:r>
      <w:r w:rsidR="00497832" w:rsidRPr="00FA4570">
        <w:rPr>
          <w:sz w:val="28"/>
          <w:szCs w:val="28"/>
          <w:lang w:val="en-ZA"/>
        </w:rPr>
        <w:t>in</w:t>
      </w:r>
      <w:r w:rsidR="009D0C07" w:rsidRPr="00FA4570">
        <w:rPr>
          <w:sz w:val="28"/>
          <w:szCs w:val="28"/>
          <w:lang w:val="en-ZA"/>
        </w:rPr>
        <w:t xml:space="preserve"> the </w:t>
      </w:r>
      <w:r w:rsidR="006F4534" w:rsidRPr="00FA4570">
        <w:rPr>
          <w:sz w:val="28"/>
          <w:szCs w:val="28"/>
          <w:lang w:val="en-ZA"/>
        </w:rPr>
        <w:t>h</w:t>
      </w:r>
      <w:r w:rsidR="009D0C07" w:rsidRPr="00FA4570">
        <w:rPr>
          <w:sz w:val="28"/>
          <w:szCs w:val="28"/>
          <w:lang w:val="en-ZA"/>
        </w:rPr>
        <w:t xml:space="preserve">igh </w:t>
      </w:r>
      <w:r w:rsidR="006F4534" w:rsidRPr="00FA4570">
        <w:rPr>
          <w:sz w:val="28"/>
          <w:szCs w:val="28"/>
          <w:lang w:val="en-ZA"/>
        </w:rPr>
        <w:t>c</w:t>
      </w:r>
      <w:r w:rsidR="00497832" w:rsidRPr="00FA4570">
        <w:rPr>
          <w:sz w:val="28"/>
          <w:szCs w:val="28"/>
          <w:lang w:val="en-ZA"/>
        </w:rPr>
        <w:t>ourt.</w:t>
      </w:r>
      <w:r w:rsidR="009D0C07" w:rsidRPr="00FA4570">
        <w:rPr>
          <w:sz w:val="28"/>
          <w:szCs w:val="28"/>
          <w:lang w:val="en-ZA"/>
        </w:rPr>
        <w:t xml:space="preserve"> </w:t>
      </w:r>
    </w:p>
    <w:p w14:paraId="4AA4A872" w14:textId="77777777" w:rsidR="006F4534" w:rsidRPr="00FA4570" w:rsidRDefault="006F4534" w:rsidP="009D0C07">
      <w:pPr>
        <w:spacing w:line="360" w:lineRule="auto"/>
        <w:jc w:val="both"/>
        <w:rPr>
          <w:sz w:val="28"/>
          <w:szCs w:val="28"/>
          <w:lang w:val="en-ZA"/>
        </w:rPr>
      </w:pPr>
    </w:p>
    <w:p w14:paraId="39D447AD" w14:textId="55FF40BB" w:rsidR="009D0C07" w:rsidRPr="00FA4570" w:rsidRDefault="00497832" w:rsidP="009D0C07">
      <w:pPr>
        <w:spacing w:line="360" w:lineRule="auto"/>
        <w:jc w:val="both"/>
        <w:rPr>
          <w:sz w:val="28"/>
          <w:szCs w:val="28"/>
          <w:lang w:val="en-ZA"/>
        </w:rPr>
      </w:pPr>
      <w:r w:rsidRPr="00FA4570">
        <w:rPr>
          <w:sz w:val="28"/>
          <w:szCs w:val="28"/>
          <w:lang w:val="en-ZA"/>
        </w:rPr>
        <w:t>[4</w:t>
      </w:r>
      <w:r w:rsidR="008838C6" w:rsidRPr="00FA4570">
        <w:rPr>
          <w:sz w:val="28"/>
          <w:szCs w:val="28"/>
          <w:lang w:val="en-ZA"/>
        </w:rPr>
        <w:t>3</w:t>
      </w:r>
      <w:r w:rsidR="006F4534" w:rsidRPr="00FA4570">
        <w:rPr>
          <w:sz w:val="28"/>
          <w:szCs w:val="28"/>
          <w:lang w:val="en-ZA"/>
        </w:rPr>
        <w:t>]</w:t>
      </w:r>
      <w:r w:rsidR="006F4534" w:rsidRPr="00FA4570">
        <w:rPr>
          <w:sz w:val="28"/>
          <w:szCs w:val="28"/>
          <w:lang w:val="en-ZA"/>
        </w:rPr>
        <w:tab/>
      </w:r>
      <w:r w:rsidR="009D0C07" w:rsidRPr="00FA4570">
        <w:rPr>
          <w:sz w:val="28"/>
          <w:szCs w:val="28"/>
          <w:lang w:val="en-ZA"/>
        </w:rPr>
        <w:t>In the result, the following order will issue.</w:t>
      </w:r>
    </w:p>
    <w:p w14:paraId="1FCE9D27" w14:textId="77777777" w:rsidR="009D0C07" w:rsidRPr="00FA4570" w:rsidRDefault="009D0C07" w:rsidP="009D0C07">
      <w:pPr>
        <w:spacing w:line="360" w:lineRule="auto"/>
        <w:jc w:val="both"/>
        <w:rPr>
          <w:sz w:val="28"/>
          <w:szCs w:val="28"/>
          <w:lang w:val="en-ZA"/>
        </w:rPr>
      </w:pPr>
      <w:r w:rsidRPr="00FA4570">
        <w:rPr>
          <w:sz w:val="28"/>
          <w:szCs w:val="28"/>
          <w:lang w:val="en-ZA"/>
        </w:rPr>
        <w:t> </w:t>
      </w:r>
    </w:p>
    <w:p w14:paraId="546FAAD2" w14:textId="6196829D" w:rsidR="009D0C07" w:rsidRPr="00FA4570" w:rsidRDefault="006F4534" w:rsidP="009D0C07">
      <w:pPr>
        <w:spacing w:line="360" w:lineRule="auto"/>
        <w:jc w:val="both"/>
        <w:rPr>
          <w:sz w:val="28"/>
          <w:szCs w:val="28"/>
          <w:lang w:val="en-ZA"/>
        </w:rPr>
      </w:pPr>
      <w:r w:rsidRPr="00FA4570">
        <w:rPr>
          <w:sz w:val="28"/>
          <w:szCs w:val="28"/>
          <w:lang w:val="en-ZA"/>
        </w:rPr>
        <w:t>1</w:t>
      </w:r>
      <w:r w:rsidR="00A56E69" w:rsidRPr="00FA4570">
        <w:rPr>
          <w:sz w:val="28"/>
          <w:szCs w:val="28"/>
          <w:lang w:val="en-ZA"/>
        </w:rPr>
        <w:tab/>
      </w:r>
      <w:r w:rsidR="009D0C07" w:rsidRPr="00FA4570">
        <w:rPr>
          <w:sz w:val="28"/>
          <w:szCs w:val="28"/>
          <w:lang w:val="en-ZA"/>
        </w:rPr>
        <w:t>The appeal is upheld.</w:t>
      </w:r>
    </w:p>
    <w:p w14:paraId="23B38310" w14:textId="19C289ED" w:rsidR="009D0C07" w:rsidRPr="00FA4570" w:rsidRDefault="006F4534" w:rsidP="009D0C07">
      <w:pPr>
        <w:spacing w:line="360" w:lineRule="auto"/>
        <w:jc w:val="both"/>
        <w:rPr>
          <w:sz w:val="28"/>
          <w:szCs w:val="28"/>
          <w:lang w:val="en-ZA"/>
        </w:rPr>
      </w:pPr>
      <w:r w:rsidRPr="00FA4570">
        <w:rPr>
          <w:sz w:val="28"/>
          <w:szCs w:val="28"/>
          <w:lang w:val="en-ZA"/>
        </w:rPr>
        <w:t>2</w:t>
      </w:r>
      <w:r w:rsidR="00A56E69" w:rsidRPr="00FA4570">
        <w:rPr>
          <w:sz w:val="28"/>
          <w:szCs w:val="28"/>
          <w:lang w:val="en-ZA"/>
        </w:rPr>
        <w:tab/>
      </w:r>
      <w:r w:rsidR="009D0C07" w:rsidRPr="00FA4570">
        <w:rPr>
          <w:sz w:val="28"/>
          <w:szCs w:val="28"/>
          <w:lang w:val="en-ZA"/>
        </w:rPr>
        <w:t xml:space="preserve">The </w:t>
      </w:r>
      <w:r w:rsidRPr="00FA4570">
        <w:rPr>
          <w:sz w:val="28"/>
          <w:szCs w:val="28"/>
          <w:lang w:val="en-ZA"/>
        </w:rPr>
        <w:t>h</w:t>
      </w:r>
      <w:r w:rsidR="009D0C07" w:rsidRPr="00FA4570">
        <w:rPr>
          <w:sz w:val="28"/>
          <w:szCs w:val="28"/>
          <w:lang w:val="en-ZA"/>
        </w:rPr>
        <w:t xml:space="preserve">igh </w:t>
      </w:r>
      <w:r w:rsidRPr="00FA4570">
        <w:rPr>
          <w:sz w:val="28"/>
          <w:szCs w:val="28"/>
          <w:lang w:val="en-ZA"/>
        </w:rPr>
        <w:t>c</w:t>
      </w:r>
      <w:r w:rsidR="009D0C07" w:rsidRPr="00FA4570">
        <w:rPr>
          <w:sz w:val="28"/>
          <w:szCs w:val="28"/>
          <w:lang w:val="en-ZA"/>
        </w:rPr>
        <w:t>ourt's order is set aside.</w:t>
      </w:r>
    </w:p>
    <w:p w14:paraId="7D5411A0" w14:textId="6F1B4192" w:rsidR="009D0C07" w:rsidRPr="00FA4570" w:rsidRDefault="006F4534" w:rsidP="00A90150">
      <w:pPr>
        <w:spacing w:line="360" w:lineRule="auto"/>
        <w:ind w:left="709" w:hanging="709"/>
        <w:jc w:val="both"/>
        <w:rPr>
          <w:sz w:val="28"/>
          <w:szCs w:val="28"/>
          <w:lang w:val="en-ZA"/>
        </w:rPr>
      </w:pPr>
      <w:r w:rsidRPr="00FA4570">
        <w:rPr>
          <w:sz w:val="28"/>
          <w:szCs w:val="28"/>
          <w:lang w:val="en-ZA"/>
        </w:rPr>
        <w:lastRenderedPageBreak/>
        <w:t>3</w:t>
      </w:r>
      <w:r w:rsidR="00A56E69" w:rsidRPr="00FA4570">
        <w:rPr>
          <w:sz w:val="28"/>
          <w:szCs w:val="28"/>
          <w:lang w:val="en-ZA"/>
        </w:rPr>
        <w:tab/>
      </w:r>
      <w:r w:rsidR="009D0C07" w:rsidRPr="00FA4570">
        <w:rPr>
          <w:sz w:val="28"/>
          <w:szCs w:val="28"/>
          <w:lang w:val="en-ZA"/>
        </w:rPr>
        <w:t>The respondent</w:t>
      </w:r>
      <w:r w:rsidRPr="00FA4570">
        <w:rPr>
          <w:sz w:val="28"/>
          <w:szCs w:val="28"/>
          <w:lang w:val="en-ZA"/>
        </w:rPr>
        <w:t>’</w:t>
      </w:r>
      <w:r w:rsidR="009D0C07" w:rsidRPr="00FA4570">
        <w:rPr>
          <w:sz w:val="28"/>
          <w:szCs w:val="28"/>
          <w:lang w:val="en-ZA"/>
        </w:rPr>
        <w:t>s conviction and sentence imposed by the Regional Court Durban</w:t>
      </w:r>
      <w:r w:rsidRPr="00FA4570">
        <w:rPr>
          <w:sz w:val="28"/>
          <w:szCs w:val="28"/>
          <w:lang w:val="en-ZA"/>
        </w:rPr>
        <w:t xml:space="preserve">, </w:t>
      </w:r>
      <w:r w:rsidR="00C74727">
        <w:rPr>
          <w:sz w:val="28"/>
          <w:szCs w:val="28"/>
          <w:lang w:val="en-ZA"/>
        </w:rPr>
        <w:t>are</w:t>
      </w:r>
      <w:r w:rsidRPr="00FA4570">
        <w:rPr>
          <w:sz w:val="28"/>
          <w:szCs w:val="28"/>
          <w:lang w:val="en-ZA"/>
        </w:rPr>
        <w:t xml:space="preserve"> </w:t>
      </w:r>
      <w:r w:rsidR="009D0C07" w:rsidRPr="00FA4570">
        <w:rPr>
          <w:sz w:val="28"/>
          <w:szCs w:val="28"/>
          <w:lang w:val="en-ZA"/>
        </w:rPr>
        <w:t>reinstated.</w:t>
      </w:r>
    </w:p>
    <w:p w14:paraId="1935CA3B" w14:textId="1B1B5056" w:rsidR="009D0C07" w:rsidRPr="00FA4570" w:rsidRDefault="006F4534" w:rsidP="009D0C07">
      <w:pPr>
        <w:spacing w:line="360" w:lineRule="auto"/>
        <w:jc w:val="both"/>
        <w:rPr>
          <w:sz w:val="28"/>
          <w:szCs w:val="28"/>
          <w:lang w:val="en-ZA"/>
        </w:rPr>
      </w:pPr>
      <w:r w:rsidRPr="00FA4570">
        <w:rPr>
          <w:sz w:val="28"/>
          <w:szCs w:val="28"/>
          <w:lang w:val="en-ZA"/>
        </w:rPr>
        <w:t>4</w:t>
      </w:r>
      <w:r w:rsidR="00A56E69" w:rsidRPr="00FA4570">
        <w:rPr>
          <w:sz w:val="28"/>
          <w:szCs w:val="28"/>
          <w:lang w:val="en-ZA"/>
        </w:rPr>
        <w:tab/>
      </w:r>
      <w:r w:rsidRPr="00FA4570">
        <w:rPr>
          <w:sz w:val="28"/>
          <w:szCs w:val="28"/>
          <w:lang w:val="en-ZA"/>
        </w:rPr>
        <w:t>The respondent’s a</w:t>
      </w:r>
      <w:r w:rsidR="009D0C07" w:rsidRPr="00FA4570">
        <w:rPr>
          <w:sz w:val="28"/>
          <w:szCs w:val="28"/>
          <w:lang w:val="en-ZA"/>
        </w:rPr>
        <w:t>ppeal against his conviction</w:t>
      </w:r>
      <w:r w:rsidRPr="00FA4570">
        <w:rPr>
          <w:sz w:val="28"/>
          <w:szCs w:val="28"/>
          <w:lang w:val="en-ZA"/>
        </w:rPr>
        <w:t xml:space="preserve"> </w:t>
      </w:r>
      <w:r w:rsidR="009D0C07" w:rsidRPr="00FA4570">
        <w:rPr>
          <w:sz w:val="28"/>
          <w:szCs w:val="28"/>
          <w:lang w:val="en-ZA"/>
        </w:rPr>
        <w:t xml:space="preserve">is remitted to the </w:t>
      </w:r>
      <w:r w:rsidR="00D65EDE" w:rsidRPr="00FA4570">
        <w:rPr>
          <w:sz w:val="28"/>
          <w:szCs w:val="28"/>
          <w:lang w:val="en-ZA"/>
        </w:rPr>
        <w:t>h</w:t>
      </w:r>
      <w:r w:rsidR="009D0C07" w:rsidRPr="00FA4570">
        <w:rPr>
          <w:sz w:val="28"/>
          <w:szCs w:val="28"/>
          <w:lang w:val="en-ZA"/>
        </w:rPr>
        <w:t xml:space="preserve">igh </w:t>
      </w:r>
      <w:r w:rsidR="00D65EDE" w:rsidRPr="00FA4570">
        <w:rPr>
          <w:sz w:val="28"/>
          <w:szCs w:val="28"/>
          <w:lang w:val="en-ZA"/>
        </w:rPr>
        <w:t>c</w:t>
      </w:r>
      <w:r w:rsidR="009D0C07" w:rsidRPr="00FA4570">
        <w:rPr>
          <w:sz w:val="28"/>
          <w:szCs w:val="28"/>
          <w:lang w:val="en-ZA"/>
        </w:rPr>
        <w:t>ourt.</w:t>
      </w:r>
    </w:p>
    <w:p w14:paraId="390D966F" w14:textId="3F9BFAEC" w:rsidR="00A60AD4" w:rsidRPr="00FA4570" w:rsidRDefault="00A60AD4" w:rsidP="000C1370">
      <w:pPr>
        <w:spacing w:line="360" w:lineRule="auto"/>
        <w:jc w:val="both"/>
        <w:rPr>
          <w:rFonts w:eastAsia="Calibri"/>
          <w:sz w:val="28"/>
          <w:szCs w:val="28"/>
          <w:lang w:val="en-ZA"/>
        </w:rPr>
      </w:pPr>
    </w:p>
    <w:p w14:paraId="79D65B11" w14:textId="2ACBA664" w:rsidR="00DC6695" w:rsidRPr="00FA4570" w:rsidRDefault="00DC6695" w:rsidP="000C1370">
      <w:pPr>
        <w:spacing w:line="360" w:lineRule="auto"/>
        <w:jc w:val="both"/>
        <w:rPr>
          <w:rFonts w:eastAsia="Calibri"/>
          <w:sz w:val="20"/>
          <w:szCs w:val="20"/>
          <w:lang w:val="en-ZA"/>
        </w:rPr>
      </w:pPr>
    </w:p>
    <w:p w14:paraId="50A53C9D" w14:textId="77777777" w:rsidR="00497832" w:rsidRPr="00FA4570" w:rsidRDefault="00497832" w:rsidP="00637177">
      <w:pPr>
        <w:pStyle w:val="ListParagraph"/>
        <w:spacing w:line="360" w:lineRule="auto"/>
        <w:ind w:left="6480"/>
        <w:jc w:val="both"/>
        <w:rPr>
          <w:noProof/>
          <w:lang w:val="en-ZA" w:eastAsia="en-ZA"/>
        </w:rPr>
      </w:pPr>
    </w:p>
    <w:p w14:paraId="41F6BBB4" w14:textId="0AF0BD92" w:rsidR="00637177" w:rsidRPr="00FA4570" w:rsidRDefault="00637177" w:rsidP="00637177">
      <w:pPr>
        <w:pStyle w:val="ListParagraph"/>
        <w:spacing w:line="360" w:lineRule="auto"/>
        <w:ind w:left="6480"/>
        <w:jc w:val="both"/>
      </w:pPr>
      <w:r w:rsidRPr="00FA4570">
        <w:rPr>
          <w:noProof/>
          <w:lang w:val="en-ZA" w:eastAsia="en-ZA"/>
        </w:rPr>
        <w:t xml:space="preserve">    </w:t>
      </w:r>
    </w:p>
    <w:p w14:paraId="3976DD25" w14:textId="2A35993C" w:rsidR="008E3C8C" w:rsidRPr="00FA4570" w:rsidRDefault="00F43000" w:rsidP="00D50B1F">
      <w:pPr>
        <w:spacing w:line="360" w:lineRule="auto"/>
        <w:jc w:val="right"/>
        <w:rPr>
          <w:bCs/>
          <w:sz w:val="28"/>
          <w:szCs w:val="28"/>
        </w:rPr>
      </w:pPr>
      <w:r w:rsidRPr="00FA4570">
        <w:rPr>
          <w:bCs/>
          <w:sz w:val="28"/>
          <w:szCs w:val="28"/>
        </w:rPr>
        <w:t>____</w:t>
      </w:r>
      <w:r w:rsidR="008E3C8C" w:rsidRPr="00FA4570">
        <w:rPr>
          <w:bCs/>
          <w:sz w:val="28"/>
          <w:szCs w:val="28"/>
        </w:rPr>
        <w:t>_____</w:t>
      </w:r>
      <w:r w:rsidRPr="00FA4570">
        <w:rPr>
          <w:bCs/>
          <w:sz w:val="28"/>
          <w:szCs w:val="28"/>
        </w:rPr>
        <w:t>________</w:t>
      </w:r>
    </w:p>
    <w:p w14:paraId="0AC9F279" w14:textId="1808DE4F" w:rsidR="008E3C8C" w:rsidRPr="00FA4570" w:rsidRDefault="003B39F0" w:rsidP="008E3C8C">
      <w:pPr>
        <w:spacing w:line="360" w:lineRule="auto"/>
        <w:jc w:val="right"/>
        <w:rPr>
          <w:bCs/>
          <w:sz w:val="28"/>
          <w:szCs w:val="28"/>
        </w:rPr>
      </w:pPr>
      <w:r w:rsidRPr="00FA4570">
        <w:rPr>
          <w:bCs/>
          <w:sz w:val="28"/>
          <w:szCs w:val="28"/>
        </w:rPr>
        <w:t>G G GOOSEN</w:t>
      </w:r>
    </w:p>
    <w:p w14:paraId="43286F22" w14:textId="77777777" w:rsidR="00B23B13" w:rsidRPr="00FA4570" w:rsidRDefault="008D7B35" w:rsidP="0069216F">
      <w:pPr>
        <w:spacing w:line="360" w:lineRule="auto"/>
        <w:jc w:val="right"/>
        <w:rPr>
          <w:bCs/>
          <w:sz w:val="28"/>
          <w:szCs w:val="28"/>
        </w:rPr>
      </w:pPr>
      <w:r w:rsidRPr="00FA4570">
        <w:rPr>
          <w:bCs/>
          <w:sz w:val="28"/>
          <w:szCs w:val="28"/>
        </w:rPr>
        <w:t>JUDGE OF APPEAL</w:t>
      </w:r>
    </w:p>
    <w:p w14:paraId="7DFB3434" w14:textId="77777777" w:rsidR="00B23B13" w:rsidRPr="00FA4570" w:rsidRDefault="00B23B13" w:rsidP="00B23B13">
      <w:pPr>
        <w:spacing w:line="360" w:lineRule="auto"/>
        <w:jc w:val="both"/>
        <w:rPr>
          <w:bCs/>
          <w:sz w:val="28"/>
          <w:szCs w:val="28"/>
        </w:rPr>
      </w:pPr>
    </w:p>
    <w:p w14:paraId="646D192A" w14:textId="77777777" w:rsidR="00A56E69" w:rsidRPr="00FA4570" w:rsidRDefault="00A56E69" w:rsidP="00B23B13">
      <w:pPr>
        <w:spacing w:line="360" w:lineRule="auto"/>
        <w:jc w:val="both"/>
        <w:rPr>
          <w:bCs/>
          <w:sz w:val="28"/>
          <w:szCs w:val="28"/>
        </w:rPr>
      </w:pPr>
    </w:p>
    <w:p w14:paraId="05813A24" w14:textId="26BDBF67" w:rsidR="00B23B13" w:rsidRPr="00FA4570" w:rsidRDefault="00B23B13" w:rsidP="00B23B13">
      <w:pPr>
        <w:spacing w:line="360" w:lineRule="auto"/>
        <w:jc w:val="both"/>
        <w:rPr>
          <w:rFonts w:eastAsia="Calibri"/>
          <w:sz w:val="28"/>
          <w:szCs w:val="28"/>
          <w:lang w:val="en-ZA"/>
        </w:rPr>
      </w:pPr>
      <w:r w:rsidRPr="00FA4570">
        <w:rPr>
          <w:b/>
          <w:sz w:val="28"/>
          <w:szCs w:val="28"/>
        </w:rPr>
        <w:t xml:space="preserve">Schippers JA </w:t>
      </w:r>
    </w:p>
    <w:p w14:paraId="49A0315F" w14:textId="77777777" w:rsidR="00B23B13" w:rsidRPr="00FA4570" w:rsidRDefault="00B23B13" w:rsidP="00B23B13">
      <w:pPr>
        <w:spacing w:line="360" w:lineRule="auto"/>
        <w:contextualSpacing/>
        <w:jc w:val="both"/>
        <w:rPr>
          <w:rFonts w:eastAsia="Calibri"/>
          <w:sz w:val="28"/>
          <w:szCs w:val="28"/>
          <w:lang w:val="en-ZA"/>
        </w:rPr>
      </w:pPr>
    </w:p>
    <w:p w14:paraId="2192EF7E" w14:textId="77777777" w:rsidR="00B23B13" w:rsidRPr="00FA4570" w:rsidRDefault="00B23B13" w:rsidP="008838C6">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I have had the benefit of reading the first judgment by my colleague Goosen JA. I agree that the appeal should be upheld, but I come to that conclusion by a shorter route. In what follows, I utilise the same abbreviations used in the first judgment. </w:t>
      </w:r>
    </w:p>
    <w:p w14:paraId="1CFA706B" w14:textId="77777777" w:rsidR="00B23B13" w:rsidRPr="00FA4570" w:rsidRDefault="00B23B13" w:rsidP="00B23B13">
      <w:pPr>
        <w:spacing w:line="360" w:lineRule="auto"/>
        <w:contextualSpacing/>
        <w:jc w:val="both"/>
        <w:rPr>
          <w:rFonts w:eastAsia="Calibri"/>
          <w:sz w:val="28"/>
          <w:szCs w:val="28"/>
          <w:lang w:val="en-ZA"/>
        </w:rPr>
      </w:pPr>
    </w:p>
    <w:p w14:paraId="4EB782D3"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The issue raised in this appeal is one of statutory interpretation: whether there has been compliance with s 93</w:t>
      </w:r>
      <w:r w:rsidRPr="00FA4570">
        <w:rPr>
          <w:rFonts w:eastAsia="Calibri"/>
          <w:i/>
          <w:sz w:val="28"/>
          <w:szCs w:val="28"/>
          <w:lang w:val="en-ZA"/>
        </w:rPr>
        <w:t>ter</w:t>
      </w:r>
      <w:r w:rsidRPr="00FA4570">
        <w:rPr>
          <w:rFonts w:eastAsia="Calibri"/>
          <w:sz w:val="28"/>
          <w:szCs w:val="28"/>
          <w:lang w:val="en-ZA"/>
        </w:rPr>
        <w:t>(1)</w:t>
      </w:r>
      <w:r w:rsidRPr="00FA4570">
        <w:rPr>
          <w:rFonts w:eastAsia="Calibri"/>
          <w:i/>
          <w:sz w:val="28"/>
          <w:szCs w:val="28"/>
          <w:lang w:val="en-ZA"/>
        </w:rPr>
        <w:t xml:space="preserve"> </w:t>
      </w:r>
      <w:r w:rsidRPr="00FA4570">
        <w:rPr>
          <w:rFonts w:eastAsia="Calibri"/>
          <w:sz w:val="28"/>
          <w:szCs w:val="28"/>
          <w:lang w:val="en-ZA"/>
        </w:rPr>
        <w:t>of the MCA. It provides:</w:t>
      </w:r>
    </w:p>
    <w:p w14:paraId="7122BD34" w14:textId="77777777" w:rsidR="00B23B13" w:rsidRPr="00FA4570" w:rsidRDefault="00B23B13" w:rsidP="00B23B13">
      <w:pPr>
        <w:spacing w:line="360" w:lineRule="auto"/>
        <w:contextualSpacing/>
        <w:jc w:val="both"/>
        <w:rPr>
          <w:rFonts w:eastAsia="Calibri"/>
          <w:lang w:val="en-ZA"/>
        </w:rPr>
      </w:pPr>
      <w:r w:rsidRPr="00FA4570">
        <w:rPr>
          <w:rFonts w:eastAsia="Calibri"/>
          <w:lang w:val="en-ZA"/>
        </w:rPr>
        <w:t>‘The judicial officer presiding at any trial may, if he deems it expedient for the administration of justice─</w:t>
      </w:r>
    </w:p>
    <w:p w14:paraId="5CC16AF3" w14:textId="77777777" w:rsidR="00B23B13" w:rsidRPr="00FA4570" w:rsidRDefault="00B23B13" w:rsidP="00B23B13">
      <w:pPr>
        <w:spacing w:line="360" w:lineRule="auto"/>
        <w:jc w:val="both"/>
        <w:rPr>
          <w:rFonts w:eastAsia="Calibri"/>
          <w:lang w:val="en-ZA"/>
        </w:rPr>
      </w:pPr>
      <w:r w:rsidRPr="00FA4570">
        <w:rPr>
          <w:rFonts w:eastAsia="Calibri"/>
          <w:i/>
          <w:lang w:val="en-ZA"/>
        </w:rPr>
        <w:t>(a)</w:t>
      </w:r>
      <w:r w:rsidRPr="00FA4570">
        <w:rPr>
          <w:rFonts w:eastAsia="Calibri"/>
          <w:i/>
          <w:lang w:val="en-ZA"/>
        </w:rPr>
        <w:tab/>
      </w:r>
      <w:r w:rsidRPr="00FA4570">
        <w:rPr>
          <w:rFonts w:eastAsia="Calibri"/>
          <w:lang w:val="en-ZA"/>
        </w:rPr>
        <w:t xml:space="preserve">before any evidence has been led; or </w:t>
      </w:r>
    </w:p>
    <w:p w14:paraId="0330DE3F" w14:textId="77777777" w:rsidR="00B23B13" w:rsidRPr="00FA4570" w:rsidRDefault="00B23B13" w:rsidP="00B23B13">
      <w:pPr>
        <w:spacing w:line="360" w:lineRule="auto"/>
        <w:jc w:val="both"/>
        <w:rPr>
          <w:rFonts w:eastAsia="Calibri"/>
          <w:lang w:val="en-ZA"/>
        </w:rPr>
      </w:pPr>
      <w:r w:rsidRPr="00FA4570">
        <w:rPr>
          <w:rFonts w:eastAsia="Calibri"/>
          <w:i/>
          <w:lang w:val="en-ZA"/>
        </w:rPr>
        <w:t xml:space="preserve">(b) </w:t>
      </w:r>
      <w:r w:rsidRPr="00FA4570">
        <w:rPr>
          <w:rFonts w:eastAsia="Calibri"/>
          <w:i/>
          <w:lang w:val="en-ZA"/>
        </w:rPr>
        <w:tab/>
      </w:r>
      <w:r w:rsidRPr="00FA4570">
        <w:rPr>
          <w:rFonts w:eastAsia="Calibri"/>
          <w:lang w:val="en-ZA"/>
        </w:rPr>
        <w:t>in considering a community-based punishment in respect of any person who has been convicted of any offence,</w:t>
      </w:r>
    </w:p>
    <w:p w14:paraId="04CAD4EE" w14:textId="77777777" w:rsidR="00B23B13" w:rsidRPr="00FA4570" w:rsidRDefault="00B23B13" w:rsidP="00B23B13">
      <w:pPr>
        <w:spacing w:line="360" w:lineRule="auto"/>
        <w:contextualSpacing/>
        <w:jc w:val="both"/>
        <w:rPr>
          <w:rFonts w:eastAsia="Calibri"/>
          <w:sz w:val="28"/>
          <w:szCs w:val="28"/>
          <w:lang w:val="en-ZA"/>
        </w:rPr>
      </w:pPr>
      <w:r w:rsidRPr="00FA4570">
        <w:rPr>
          <w:rFonts w:eastAsia="Calibri"/>
          <w:lang w:val="en-ZA"/>
        </w:rPr>
        <w:t xml:space="preserve">summon to his assistance any one or two persons who, in his opinion, may be of assistance at the trial of the case or in the determination of a proper sentence, as the case may be, to sit with him as assessor or assessors: Provided that if an accused is standing trial in the court of a regional division on a charge of murder, whether together with other charges or accused or not, </w:t>
      </w:r>
      <w:r w:rsidRPr="00FA4570">
        <w:rPr>
          <w:rFonts w:eastAsia="Calibri"/>
          <w:lang w:val="en-ZA"/>
        </w:rPr>
        <w:lastRenderedPageBreak/>
        <w:t>the judicial officer shall at the trial be assisted by two assessors unless such an accused requests that the trial be proceeded with without assessors, whereupon the judicial officer may in his discretion summon one or two assessors to assist him.’</w:t>
      </w:r>
    </w:p>
    <w:p w14:paraId="74577139" w14:textId="77777777" w:rsidR="00B23B13" w:rsidRPr="00FA4570" w:rsidRDefault="00B23B13" w:rsidP="00B23B13">
      <w:pPr>
        <w:spacing w:line="360" w:lineRule="auto"/>
        <w:contextualSpacing/>
        <w:jc w:val="both"/>
        <w:rPr>
          <w:rFonts w:eastAsia="Calibri"/>
          <w:sz w:val="28"/>
          <w:szCs w:val="28"/>
          <w:lang w:val="en-ZA"/>
        </w:rPr>
      </w:pPr>
    </w:p>
    <w:p w14:paraId="599F8278"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The issue arose in the following circumstances. The respondent and his co-accused were charged with murder in the Regional Court, Durban, KwaZulu-Natal. They were legally represented. The record shows that that at a pre-trial conference they were advised of the use of lay assessors, which they understood; that their attorney confirmed that no assessors would be required; and that the same was confirmed by the accused. </w:t>
      </w:r>
    </w:p>
    <w:p w14:paraId="575D205E" w14:textId="77777777" w:rsidR="00B23B13" w:rsidRPr="00FA4570" w:rsidRDefault="00B23B13" w:rsidP="00B23B13">
      <w:pPr>
        <w:spacing w:line="360" w:lineRule="auto"/>
        <w:contextualSpacing/>
        <w:jc w:val="both"/>
        <w:rPr>
          <w:rFonts w:eastAsia="Calibri"/>
          <w:sz w:val="28"/>
          <w:szCs w:val="28"/>
          <w:lang w:val="en-ZA"/>
        </w:rPr>
      </w:pPr>
    </w:p>
    <w:p w14:paraId="2AAF89C5"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A different magistrate presided over the trial. The accused were represented by the same attorney. Before the trial commenced, the magistrate asked the attorney to confirm that no assessors were required, which he did. The trial proceeded without assessors. The respondent was convicted of murder and sentenced to ten years’ imprisonment. His co-accused was acquitted. </w:t>
      </w:r>
    </w:p>
    <w:p w14:paraId="2B451951" w14:textId="77777777" w:rsidR="00B23B13" w:rsidRPr="00FA4570" w:rsidRDefault="00B23B13" w:rsidP="00B23B13">
      <w:pPr>
        <w:spacing w:after="160" w:line="360" w:lineRule="auto"/>
        <w:ind w:left="720"/>
        <w:contextualSpacing/>
        <w:rPr>
          <w:rFonts w:eastAsia="Calibri"/>
          <w:sz w:val="28"/>
          <w:szCs w:val="28"/>
          <w:lang w:val="en-ZA"/>
        </w:rPr>
      </w:pPr>
    </w:p>
    <w:p w14:paraId="14E90E99"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The respondent was granted leave to appeal to the KwaZulu-Natal Division of the High Court, Pietermaritzburg (the high court). Prior to the hearing of the appeal, the high court (Mathenjwa AJ and Ploos van Amstel J) issued a directive that the parties file supplementary heads of argument on the question whether there had been compliance with the proviso to s 93</w:t>
      </w:r>
      <w:r w:rsidRPr="00FA4570">
        <w:rPr>
          <w:rFonts w:eastAsia="Calibri"/>
          <w:i/>
          <w:sz w:val="28"/>
          <w:szCs w:val="28"/>
          <w:lang w:val="en-ZA"/>
        </w:rPr>
        <w:t>ter</w:t>
      </w:r>
      <w:r w:rsidRPr="00FA4570">
        <w:rPr>
          <w:rFonts w:eastAsia="Calibri"/>
          <w:sz w:val="28"/>
          <w:szCs w:val="28"/>
          <w:lang w:val="en-ZA"/>
        </w:rPr>
        <w:t>(1) of the MCA (the proviso).</w:t>
      </w:r>
    </w:p>
    <w:p w14:paraId="4BE1B2B6" w14:textId="77777777" w:rsidR="00B23B13" w:rsidRPr="00FA4570" w:rsidRDefault="00B23B13" w:rsidP="00B23B13">
      <w:pPr>
        <w:spacing w:line="360" w:lineRule="auto"/>
        <w:contextualSpacing/>
        <w:jc w:val="both"/>
        <w:rPr>
          <w:rFonts w:eastAsia="Calibri"/>
          <w:sz w:val="28"/>
          <w:szCs w:val="28"/>
          <w:lang w:val="en-ZA"/>
        </w:rPr>
      </w:pPr>
    </w:p>
    <w:p w14:paraId="2C91D3A0" w14:textId="5A0E49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The high court did not deal with the merits of the appeal. It held that there was no compliance with the </w:t>
      </w:r>
      <w:r w:rsidR="009E7C8F" w:rsidRPr="00FA4570">
        <w:rPr>
          <w:rFonts w:eastAsia="Calibri"/>
          <w:sz w:val="28"/>
          <w:szCs w:val="28"/>
          <w:lang w:val="en-ZA"/>
        </w:rPr>
        <w:t>proviso and</w:t>
      </w:r>
      <w:r w:rsidRPr="00FA4570">
        <w:rPr>
          <w:rFonts w:eastAsia="Calibri"/>
          <w:sz w:val="28"/>
          <w:szCs w:val="28"/>
          <w:lang w:val="en-ZA"/>
        </w:rPr>
        <w:t xml:space="preserve"> set aside the respondent’s conviction and sentence. The court referred to </w:t>
      </w:r>
      <w:r w:rsidRPr="00FA4570">
        <w:rPr>
          <w:rFonts w:eastAsia="Calibri"/>
          <w:i/>
          <w:sz w:val="28"/>
          <w:szCs w:val="28"/>
          <w:lang w:val="en-ZA"/>
        </w:rPr>
        <w:t>Langalitshoni</w:t>
      </w:r>
      <w:r w:rsidRPr="00FA4570">
        <w:rPr>
          <w:rFonts w:eastAsia="Calibri"/>
          <w:sz w:val="28"/>
          <w:szCs w:val="28"/>
          <w:lang w:val="en-ZA"/>
        </w:rPr>
        <w:t>,</w:t>
      </w:r>
      <w:r w:rsidRPr="00FA4570">
        <w:rPr>
          <w:rFonts w:eastAsia="Calibri"/>
          <w:sz w:val="28"/>
          <w:szCs w:val="28"/>
          <w:vertAlign w:val="superscript"/>
          <w:lang w:val="en-ZA"/>
        </w:rPr>
        <w:footnoteReference w:id="36"/>
      </w:r>
      <w:r w:rsidRPr="00FA4570">
        <w:rPr>
          <w:rFonts w:eastAsia="Calibri"/>
          <w:sz w:val="28"/>
          <w:szCs w:val="28"/>
          <w:lang w:val="en-ZA"/>
        </w:rPr>
        <w:t xml:space="preserve"> in which the magistrate enquired of the accused’s legal representative whether he was going to use the services of </w:t>
      </w:r>
      <w:r w:rsidRPr="00FA4570">
        <w:rPr>
          <w:rFonts w:eastAsia="Calibri"/>
          <w:sz w:val="28"/>
          <w:szCs w:val="28"/>
          <w:lang w:val="en-ZA"/>
        </w:rPr>
        <w:lastRenderedPageBreak/>
        <w:t xml:space="preserve">assessors. The representative replied that assessors were not required. The court in </w:t>
      </w:r>
      <w:r w:rsidRPr="00FA4570">
        <w:rPr>
          <w:rFonts w:eastAsia="Calibri"/>
          <w:i/>
          <w:sz w:val="28"/>
          <w:szCs w:val="28"/>
          <w:lang w:val="en-ZA"/>
        </w:rPr>
        <w:t>Langalitshoni</w:t>
      </w:r>
      <w:r w:rsidRPr="00FA4570">
        <w:rPr>
          <w:rFonts w:eastAsia="Calibri"/>
          <w:sz w:val="28"/>
          <w:szCs w:val="28"/>
          <w:lang w:val="en-ZA"/>
        </w:rPr>
        <w:t xml:space="preserve"> held that ideally, the magistrate should ask the accused directly whether he or she has been made aware of the proviso; the legal representative ‘may then be asked by the magistrate to confirm the correctness of the answer given by the accused person’; and it is then necessary for the magistrate to specifically ask whether the accused wishes that trial proceed without assessors.</w:t>
      </w:r>
      <w:r w:rsidRPr="00FA4570">
        <w:rPr>
          <w:rFonts w:eastAsia="Calibri"/>
          <w:sz w:val="28"/>
          <w:szCs w:val="28"/>
          <w:vertAlign w:val="superscript"/>
          <w:lang w:val="en-ZA"/>
        </w:rPr>
        <w:footnoteReference w:id="37"/>
      </w:r>
      <w:r w:rsidRPr="00FA4570">
        <w:rPr>
          <w:rFonts w:eastAsia="Calibri"/>
          <w:sz w:val="28"/>
          <w:szCs w:val="28"/>
          <w:lang w:val="en-ZA"/>
        </w:rPr>
        <w:t xml:space="preserve"> It set aside the accused’s conviction and sentence for want of compliance with the proviso. </w:t>
      </w:r>
    </w:p>
    <w:p w14:paraId="71705CFD" w14:textId="77777777" w:rsidR="00B23B13" w:rsidRPr="00FA4570" w:rsidRDefault="00B23B13" w:rsidP="00B23B13">
      <w:pPr>
        <w:spacing w:after="160" w:line="254" w:lineRule="auto"/>
        <w:ind w:left="720"/>
        <w:contextualSpacing/>
        <w:rPr>
          <w:rFonts w:eastAsia="Calibri"/>
          <w:sz w:val="28"/>
          <w:szCs w:val="28"/>
          <w:lang w:val="en-ZA"/>
        </w:rPr>
      </w:pPr>
    </w:p>
    <w:p w14:paraId="7EAC5B21"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The high court also referred to the contrary approach in </w:t>
      </w:r>
      <w:r w:rsidRPr="00FA4570">
        <w:rPr>
          <w:rFonts w:eastAsia="Calibri"/>
          <w:i/>
          <w:sz w:val="28"/>
          <w:szCs w:val="28"/>
          <w:lang w:val="en-ZA"/>
        </w:rPr>
        <w:t>Ngomane.</w:t>
      </w:r>
      <w:r w:rsidRPr="00FA4570">
        <w:rPr>
          <w:rFonts w:eastAsia="Calibri"/>
          <w:sz w:val="28"/>
          <w:szCs w:val="28"/>
          <w:vertAlign w:val="superscript"/>
          <w:lang w:val="en-ZA"/>
        </w:rPr>
        <w:footnoteReference w:id="38"/>
      </w:r>
      <w:r w:rsidRPr="00FA4570">
        <w:rPr>
          <w:rFonts w:eastAsia="Calibri"/>
          <w:sz w:val="28"/>
          <w:szCs w:val="28"/>
          <w:lang w:val="en-ZA"/>
        </w:rPr>
        <w:t xml:space="preserve"> There, the court (Bam J and </w:t>
      </w:r>
      <w:r w:rsidRPr="00FA4570">
        <w:rPr>
          <w:rFonts w:eastAsia="Calibri"/>
          <w:color w:val="000000"/>
          <w:sz w:val="28"/>
          <w:szCs w:val="28"/>
          <w:lang w:val="en-ZA"/>
        </w:rPr>
        <w:t>Munzhelele AJ</w:t>
      </w:r>
      <w:r w:rsidRPr="00FA4570">
        <w:rPr>
          <w:rFonts w:eastAsia="Calibri"/>
          <w:sz w:val="28"/>
          <w:szCs w:val="28"/>
          <w:lang w:val="en-ZA"/>
        </w:rPr>
        <w:t xml:space="preserve">) declined to follow </w:t>
      </w:r>
      <w:r w:rsidRPr="00FA4570">
        <w:rPr>
          <w:rFonts w:eastAsia="Calibri"/>
          <w:i/>
          <w:sz w:val="28"/>
          <w:szCs w:val="28"/>
          <w:lang w:val="en-ZA"/>
        </w:rPr>
        <w:t>Langalitshoni</w:t>
      </w:r>
      <w:r w:rsidRPr="00FA4570">
        <w:rPr>
          <w:rFonts w:eastAsia="Calibri"/>
          <w:sz w:val="28"/>
          <w:szCs w:val="28"/>
          <w:lang w:val="en-ZA"/>
        </w:rPr>
        <w:t xml:space="preserve"> and held that the legal representative of the appellants was alert to the issue of assessors; that it had been addressed by the magistrate on two separate occasions; and that the appointment of assessors had been waived on behalf of the appellants. It concluded that when the accused is legally represented, there is no need for the magistrate to explain to the accused in minute detail what the MCA provides, and what their rights are in relation to assessors. </w:t>
      </w:r>
    </w:p>
    <w:p w14:paraId="3530FFB1" w14:textId="77777777" w:rsidR="00B23B13" w:rsidRPr="00FA4570" w:rsidRDefault="00B23B13" w:rsidP="00B23B13">
      <w:pPr>
        <w:spacing w:after="160" w:line="360" w:lineRule="auto"/>
        <w:ind w:left="720"/>
        <w:contextualSpacing/>
        <w:rPr>
          <w:rFonts w:eastAsia="Calibri"/>
          <w:sz w:val="28"/>
          <w:szCs w:val="28"/>
          <w:lang w:val="en-ZA"/>
        </w:rPr>
      </w:pPr>
    </w:p>
    <w:p w14:paraId="33CE0923"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In this case, the high court reasoned that the trial court was not properly constituted at the pre-trial conference; and that before commencement of the trial, the respondent had not been informed that ‘as a matter of law he had a right to be tried in the presence of assessors and with full knowledge thereof he elected not to be tried in the presence of assessors’. The court said that the appeal ‘is on all fours with the facts in </w:t>
      </w:r>
      <w:r w:rsidRPr="00FA4570">
        <w:rPr>
          <w:rFonts w:eastAsia="Calibri"/>
          <w:i/>
          <w:sz w:val="28"/>
          <w:szCs w:val="28"/>
          <w:lang w:val="en-ZA"/>
        </w:rPr>
        <w:t>Nxumalo</w:t>
      </w:r>
      <w:r w:rsidRPr="00FA4570">
        <w:rPr>
          <w:rFonts w:eastAsia="Calibri"/>
          <w:sz w:val="28"/>
          <w:szCs w:val="28"/>
          <w:lang w:val="en-ZA"/>
        </w:rPr>
        <w:t>’,</w:t>
      </w:r>
      <w:r w:rsidRPr="00FA4570">
        <w:rPr>
          <w:rFonts w:eastAsia="Calibri"/>
          <w:sz w:val="28"/>
          <w:szCs w:val="28"/>
          <w:vertAlign w:val="superscript"/>
          <w:lang w:val="en-ZA"/>
        </w:rPr>
        <w:footnoteReference w:id="39"/>
      </w:r>
      <w:r w:rsidRPr="00FA4570">
        <w:rPr>
          <w:rFonts w:eastAsia="Calibri"/>
          <w:sz w:val="28"/>
          <w:szCs w:val="28"/>
          <w:lang w:val="en-ZA"/>
        </w:rPr>
        <w:t xml:space="preserve"> and that it was bound by that decision. In </w:t>
      </w:r>
      <w:r w:rsidRPr="00FA4570">
        <w:rPr>
          <w:rFonts w:eastAsia="Calibri"/>
          <w:i/>
          <w:sz w:val="28"/>
          <w:szCs w:val="28"/>
          <w:lang w:val="en-ZA"/>
        </w:rPr>
        <w:t>Nxumalo</w:t>
      </w:r>
      <w:r w:rsidRPr="00FA4570">
        <w:rPr>
          <w:rFonts w:eastAsia="Calibri"/>
          <w:sz w:val="28"/>
          <w:szCs w:val="28"/>
          <w:lang w:val="en-ZA"/>
        </w:rPr>
        <w:t xml:space="preserve"> the record reflected that the accused’s legal representative had informed </w:t>
      </w:r>
      <w:r w:rsidRPr="00FA4570">
        <w:rPr>
          <w:rFonts w:eastAsia="Calibri"/>
          <w:sz w:val="28"/>
          <w:szCs w:val="28"/>
          <w:lang w:val="en-ZA"/>
        </w:rPr>
        <w:lastRenderedPageBreak/>
        <w:t xml:space="preserve">the court that ‘the defence does not require assessors’, which the representative confirmed at a pre-trial conference and prior to the commencement of the trial. </w:t>
      </w:r>
    </w:p>
    <w:p w14:paraId="02414368" w14:textId="77777777" w:rsidR="00B23B13" w:rsidRPr="00FA4570" w:rsidRDefault="00B23B13" w:rsidP="00B23B13">
      <w:pPr>
        <w:spacing w:after="160" w:line="360" w:lineRule="auto"/>
        <w:ind w:left="720"/>
        <w:contextualSpacing/>
        <w:rPr>
          <w:rFonts w:eastAsia="Calibri"/>
          <w:sz w:val="28"/>
          <w:szCs w:val="28"/>
          <w:lang w:val="en-ZA"/>
        </w:rPr>
      </w:pPr>
    </w:p>
    <w:p w14:paraId="1CC3AF65"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The high court relied on the following paragraphs in </w:t>
      </w:r>
      <w:r w:rsidRPr="00FA4570">
        <w:rPr>
          <w:rFonts w:eastAsia="Calibri"/>
          <w:i/>
          <w:sz w:val="28"/>
          <w:szCs w:val="28"/>
          <w:lang w:val="en-ZA"/>
        </w:rPr>
        <w:t>Nxumalo</w:t>
      </w:r>
      <w:r w:rsidRPr="00FA4570">
        <w:rPr>
          <w:rFonts w:eastAsia="Calibri"/>
          <w:sz w:val="28"/>
          <w:szCs w:val="28"/>
          <w:lang w:val="en-ZA"/>
        </w:rPr>
        <w:t>:</w:t>
      </w:r>
    </w:p>
    <w:p w14:paraId="1A2C7B88" w14:textId="77777777" w:rsidR="00B23B13" w:rsidRPr="00FA4570" w:rsidRDefault="00B23B13" w:rsidP="00B23B13">
      <w:pPr>
        <w:spacing w:line="360" w:lineRule="auto"/>
        <w:jc w:val="both"/>
        <w:rPr>
          <w:rFonts w:eastAsia="Calibri"/>
          <w:lang w:val="en-ZA"/>
        </w:rPr>
      </w:pPr>
      <w:r w:rsidRPr="00FA4570">
        <w:rPr>
          <w:rFonts w:eastAsia="Calibri"/>
          <w:lang w:val="en-ZA"/>
        </w:rPr>
        <w:t>‘. . . Mr Nxumalo himself [the accused], was not involved in these discussions, save for being present when the learned magistrate spoke to Mr Zulu [the legal representative].</w:t>
      </w:r>
    </w:p>
    <w:p w14:paraId="378BBF9D" w14:textId="77777777" w:rsidR="00B23B13" w:rsidRPr="00FA4570" w:rsidRDefault="00B23B13" w:rsidP="00B23B13">
      <w:pPr>
        <w:spacing w:after="160" w:line="360" w:lineRule="auto"/>
        <w:jc w:val="both"/>
        <w:rPr>
          <w:rFonts w:eastAsia="Calibri"/>
          <w:sz w:val="28"/>
          <w:szCs w:val="28"/>
          <w:lang w:val="en-ZA"/>
        </w:rPr>
      </w:pPr>
      <w:r w:rsidRPr="00FA4570">
        <w:rPr>
          <w:rFonts w:eastAsia="Calibri"/>
          <w:lang w:val="en-ZA"/>
        </w:rPr>
        <w:t>The proviso was never explained to Mr Nxumalo, and he never made a request not to sit with assessors. Whether his legal representative explained the proviso to him, is also not reflected on the record. Had that been the case, the learned magistrate could have engaged Mr Nxumalo so that he could have confirmed his understanding of the section, and his request not to have assessors’.</w:t>
      </w:r>
      <w:r w:rsidRPr="00FA4570">
        <w:rPr>
          <w:rFonts w:eastAsia="Calibri"/>
          <w:vertAlign w:val="superscript"/>
          <w:lang w:val="en-ZA"/>
        </w:rPr>
        <w:footnoteReference w:id="40"/>
      </w:r>
      <w:r w:rsidRPr="00FA4570">
        <w:rPr>
          <w:rFonts w:eastAsia="Calibri"/>
          <w:sz w:val="28"/>
          <w:szCs w:val="28"/>
          <w:lang w:val="en-ZA"/>
        </w:rPr>
        <w:t xml:space="preserve"> </w:t>
      </w:r>
    </w:p>
    <w:p w14:paraId="0742AE26" w14:textId="77777777" w:rsidR="00B23B13" w:rsidRPr="00FA4570" w:rsidRDefault="00B23B13" w:rsidP="00B23B13">
      <w:pPr>
        <w:spacing w:line="360" w:lineRule="auto"/>
        <w:contextualSpacing/>
        <w:jc w:val="both"/>
        <w:rPr>
          <w:rFonts w:eastAsia="Calibri"/>
          <w:sz w:val="28"/>
          <w:szCs w:val="28"/>
          <w:lang w:val="en-ZA"/>
        </w:rPr>
      </w:pPr>
    </w:p>
    <w:p w14:paraId="241F9F8E"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It is trite that statutory interpretation is a unitary exercise which requires a court to determine the meaning of a provision, having regard to the language used, the context in which it is used and the purpose of the provision.</w:t>
      </w:r>
      <w:r w:rsidRPr="00FA4570">
        <w:rPr>
          <w:rFonts w:eastAsia="Calibri"/>
          <w:sz w:val="28"/>
          <w:szCs w:val="28"/>
          <w:vertAlign w:val="superscript"/>
          <w:lang w:val="en-ZA"/>
        </w:rPr>
        <w:footnoteReference w:id="41"/>
      </w:r>
      <w:r w:rsidRPr="00FA4570">
        <w:rPr>
          <w:rFonts w:eastAsia="Calibri"/>
          <w:sz w:val="28"/>
          <w:szCs w:val="28"/>
          <w:lang w:val="en-ZA"/>
        </w:rPr>
        <w:t xml:space="preserve"> As was held in </w:t>
      </w:r>
      <w:r w:rsidRPr="00FA4570">
        <w:rPr>
          <w:rFonts w:eastAsia="Calibri"/>
          <w:i/>
          <w:sz w:val="28"/>
          <w:szCs w:val="28"/>
          <w:lang w:val="en-ZA"/>
        </w:rPr>
        <w:t>Endumeni</w:t>
      </w:r>
      <w:r w:rsidRPr="00FA4570">
        <w:rPr>
          <w:rFonts w:eastAsia="Calibri"/>
          <w:sz w:val="28"/>
          <w:szCs w:val="28"/>
          <w:lang w:val="en-ZA"/>
        </w:rPr>
        <w:t>,</w:t>
      </w:r>
      <w:r w:rsidRPr="00FA4570">
        <w:rPr>
          <w:rFonts w:eastAsia="Calibri"/>
          <w:sz w:val="28"/>
          <w:szCs w:val="28"/>
          <w:vertAlign w:val="superscript"/>
          <w:lang w:val="en-ZA"/>
        </w:rPr>
        <w:footnoteReference w:id="42"/>
      </w:r>
      <w:r w:rsidRPr="00FA4570">
        <w:rPr>
          <w:rFonts w:eastAsia="Calibri"/>
          <w:sz w:val="28"/>
          <w:szCs w:val="28"/>
          <w:lang w:val="en-ZA"/>
        </w:rPr>
        <w:t xml:space="preserve"> ‘[t]he inevitable point of departure is the language of the provision itself’.</w:t>
      </w:r>
      <w:r w:rsidRPr="00FA4570">
        <w:rPr>
          <w:rFonts w:eastAsia="Calibri"/>
          <w:sz w:val="28"/>
          <w:szCs w:val="28"/>
          <w:vertAlign w:val="superscript"/>
          <w:lang w:val="en-ZA"/>
        </w:rPr>
        <w:footnoteReference w:id="43"/>
      </w:r>
      <w:r w:rsidRPr="00FA4570">
        <w:rPr>
          <w:rFonts w:eastAsia="Calibri"/>
          <w:sz w:val="28"/>
          <w:szCs w:val="28"/>
          <w:lang w:val="en-ZA"/>
        </w:rPr>
        <w:t xml:space="preserve"> These are the words which the lawgiver has chosen to enact to express the purpose of the legislation and are thus the primary source by which meaning is ascertained.</w:t>
      </w:r>
    </w:p>
    <w:p w14:paraId="6C38C374" w14:textId="77777777" w:rsidR="00B23B13" w:rsidRPr="00FA4570" w:rsidRDefault="00B23B13" w:rsidP="00B23B13">
      <w:pPr>
        <w:spacing w:after="160" w:line="360" w:lineRule="auto"/>
        <w:ind w:left="720"/>
        <w:contextualSpacing/>
        <w:rPr>
          <w:rFonts w:eastAsia="Calibri"/>
          <w:sz w:val="28"/>
          <w:szCs w:val="28"/>
          <w:lang w:val="en-ZA"/>
        </w:rPr>
      </w:pPr>
    </w:p>
    <w:p w14:paraId="58AF342C"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The proviso, on its plain language, states that a regional court magistrate must be assisted by two assessors where an accused is charged with murder, unless the accused requests that the trial proceed without assessors. These requirements are peremptory.</w:t>
      </w:r>
      <w:r w:rsidRPr="00FA4570">
        <w:rPr>
          <w:rFonts w:eastAsia="Calibri"/>
          <w:sz w:val="28"/>
          <w:szCs w:val="28"/>
          <w:vertAlign w:val="superscript"/>
          <w:lang w:val="en-ZA"/>
        </w:rPr>
        <w:footnoteReference w:id="44"/>
      </w:r>
      <w:r w:rsidRPr="00FA4570">
        <w:rPr>
          <w:rFonts w:eastAsia="Calibri"/>
          <w:sz w:val="28"/>
          <w:szCs w:val="28"/>
          <w:lang w:val="en-ZA"/>
        </w:rPr>
        <w:t xml:space="preserve"> Prior to the commencement of the trial, the </w:t>
      </w:r>
      <w:r w:rsidRPr="00FA4570">
        <w:rPr>
          <w:rFonts w:eastAsia="Calibri"/>
          <w:sz w:val="28"/>
          <w:szCs w:val="28"/>
          <w:lang w:val="en-ZA"/>
        </w:rPr>
        <w:lastRenderedPageBreak/>
        <w:t xml:space="preserve">regional magistrate must inform the accused of the proviso – an uncomplicated obligation as appears from </w:t>
      </w:r>
      <w:r w:rsidRPr="00FA4570">
        <w:rPr>
          <w:rFonts w:eastAsia="Calibri"/>
          <w:i/>
          <w:sz w:val="28"/>
          <w:szCs w:val="28"/>
          <w:lang w:val="en-ZA"/>
        </w:rPr>
        <w:t>Gayiya.</w:t>
      </w:r>
      <w:r w:rsidRPr="00FA4570">
        <w:rPr>
          <w:rFonts w:eastAsia="Calibri"/>
          <w:sz w:val="28"/>
          <w:szCs w:val="28"/>
          <w:vertAlign w:val="superscript"/>
          <w:lang w:val="en-ZA"/>
        </w:rPr>
        <w:footnoteReference w:id="45"/>
      </w:r>
      <w:r w:rsidRPr="00FA4570">
        <w:rPr>
          <w:rFonts w:eastAsia="Calibri"/>
          <w:sz w:val="28"/>
          <w:szCs w:val="28"/>
          <w:lang w:val="en-ZA"/>
        </w:rPr>
        <w:t xml:space="preserve"> </w:t>
      </w:r>
    </w:p>
    <w:p w14:paraId="54715FB7" w14:textId="77777777" w:rsidR="00B23B13" w:rsidRPr="00FA4570" w:rsidRDefault="00B23B13" w:rsidP="00B23B13">
      <w:pPr>
        <w:spacing w:after="160" w:line="360" w:lineRule="auto"/>
        <w:ind w:left="720"/>
        <w:contextualSpacing/>
        <w:rPr>
          <w:rFonts w:eastAsia="Calibri"/>
          <w:sz w:val="28"/>
          <w:szCs w:val="28"/>
          <w:lang w:val="en-ZA"/>
        </w:rPr>
      </w:pPr>
    </w:p>
    <w:p w14:paraId="1C71C041"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The proviso says nothing about the ‘waiver’ of a right that the judicial officer be assisted by two assessors. Instead, it refers to a ‘request’ by an accused that the trial proceed with or without assessors. A ‘request’ is defined in the Oxford English Dictionary</w:t>
      </w:r>
      <w:r w:rsidRPr="00FA4570">
        <w:rPr>
          <w:rFonts w:eastAsia="Calibri"/>
          <w:sz w:val="28"/>
          <w:szCs w:val="28"/>
          <w:vertAlign w:val="superscript"/>
          <w:lang w:val="en-ZA"/>
        </w:rPr>
        <w:footnoteReference w:id="46"/>
      </w:r>
      <w:r w:rsidRPr="00FA4570">
        <w:rPr>
          <w:rFonts w:eastAsia="Calibri"/>
          <w:sz w:val="28"/>
          <w:szCs w:val="28"/>
          <w:lang w:val="en-ZA"/>
        </w:rPr>
        <w:t xml:space="preserve"> as ‘[t]he action or an instance of asking . . . for something’. Similarly, it is defined as ‘the act of politely or officially asking for something’,</w:t>
      </w:r>
      <w:r w:rsidRPr="00FA4570">
        <w:rPr>
          <w:rFonts w:eastAsia="Calibri"/>
          <w:sz w:val="28"/>
          <w:szCs w:val="28"/>
          <w:vertAlign w:val="superscript"/>
          <w:lang w:val="en-ZA"/>
        </w:rPr>
        <w:footnoteReference w:id="47"/>
      </w:r>
      <w:r w:rsidRPr="00FA4570">
        <w:rPr>
          <w:rFonts w:eastAsia="Calibri"/>
          <w:sz w:val="28"/>
          <w:szCs w:val="28"/>
          <w:lang w:val="en-ZA"/>
        </w:rPr>
        <w:t xml:space="preserve"> or asking for something formally.</w:t>
      </w:r>
      <w:r w:rsidRPr="00FA4570">
        <w:rPr>
          <w:rFonts w:eastAsia="Calibri"/>
          <w:sz w:val="28"/>
          <w:szCs w:val="28"/>
          <w:vertAlign w:val="superscript"/>
          <w:lang w:val="en-ZA"/>
        </w:rPr>
        <w:footnoteReference w:id="48"/>
      </w:r>
      <w:r w:rsidRPr="00FA4570">
        <w:rPr>
          <w:rFonts w:eastAsia="Calibri"/>
          <w:sz w:val="28"/>
          <w:szCs w:val="28"/>
          <w:lang w:val="en-ZA"/>
        </w:rPr>
        <w:t xml:space="preserve"> </w:t>
      </w:r>
    </w:p>
    <w:p w14:paraId="52E9501C" w14:textId="77777777" w:rsidR="00B23B13" w:rsidRPr="00FA4570" w:rsidRDefault="00B23B13" w:rsidP="00B23B13">
      <w:pPr>
        <w:spacing w:after="160" w:line="360" w:lineRule="auto"/>
        <w:ind w:left="720"/>
        <w:contextualSpacing/>
        <w:rPr>
          <w:rFonts w:eastAsia="Calibri"/>
          <w:sz w:val="28"/>
          <w:szCs w:val="28"/>
          <w:lang w:val="en-ZA"/>
        </w:rPr>
      </w:pPr>
    </w:p>
    <w:p w14:paraId="5BB31B7C"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Thus, on its plain wording, the proviso prescribes the constitution of a regional court in which an accused is charged with murder, unless the accused formally asks that the trial proceed without assessors. Put differently, the request is a statement of the accused’s desire that no assessors are required. And it makes no difference whether that request is conveyed to the magistrate by the accused himself, or by his legal representative. This construction is consistent with the purpose of the proviso: to promote lay participation in the adjudication of criminal cases in order to achieve a measure of community involvement in the criminal justice system,</w:t>
      </w:r>
      <w:r w:rsidRPr="00FA4570">
        <w:rPr>
          <w:rFonts w:eastAsia="Calibri"/>
          <w:sz w:val="28"/>
          <w:szCs w:val="28"/>
          <w:vertAlign w:val="superscript"/>
          <w:lang w:val="en-ZA"/>
        </w:rPr>
        <w:footnoteReference w:id="49"/>
      </w:r>
      <w:r w:rsidRPr="00FA4570">
        <w:rPr>
          <w:rFonts w:eastAsia="Calibri"/>
          <w:sz w:val="28"/>
          <w:szCs w:val="28"/>
          <w:lang w:val="en-ZA"/>
        </w:rPr>
        <w:t xml:space="preserve"> unless the accused requests otherwise.</w:t>
      </w:r>
    </w:p>
    <w:p w14:paraId="013251AC" w14:textId="77777777" w:rsidR="00B23B13" w:rsidRPr="00FA4570" w:rsidRDefault="00B23B13" w:rsidP="00B23B13">
      <w:pPr>
        <w:spacing w:line="360" w:lineRule="auto"/>
        <w:contextualSpacing/>
        <w:jc w:val="both"/>
        <w:rPr>
          <w:rFonts w:eastAsia="Calibri"/>
          <w:sz w:val="28"/>
          <w:szCs w:val="28"/>
          <w:lang w:val="en-ZA"/>
        </w:rPr>
      </w:pPr>
    </w:p>
    <w:p w14:paraId="0273DD00"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The proviso is silent on the manner in which an accused must be informed of the court’s composition; or whether a statement or confirmation by an accused’s legal representative that the trial may proceed without assessors, constitutes compliance with the proviso. Sensibly interpreted however,</w:t>
      </w:r>
      <w:r w:rsidRPr="00FA4570">
        <w:rPr>
          <w:rFonts w:eastAsia="Calibri"/>
          <w:sz w:val="28"/>
          <w:szCs w:val="28"/>
          <w:vertAlign w:val="superscript"/>
          <w:lang w:val="en-ZA"/>
        </w:rPr>
        <w:t xml:space="preserve"> </w:t>
      </w:r>
      <w:r w:rsidRPr="00FA4570">
        <w:rPr>
          <w:rFonts w:eastAsia="Calibri"/>
          <w:sz w:val="28"/>
          <w:szCs w:val="28"/>
          <w:vertAlign w:val="superscript"/>
          <w:lang w:val="en-ZA"/>
        </w:rPr>
        <w:footnoteReference w:id="50"/>
      </w:r>
      <w:r w:rsidRPr="00FA4570">
        <w:rPr>
          <w:rFonts w:eastAsia="Calibri"/>
          <w:sz w:val="28"/>
          <w:szCs w:val="28"/>
          <w:lang w:val="en-ZA"/>
        </w:rPr>
        <w:t xml:space="preserve"> as long as it appears from the record of the proceedings that an accused has been informed </w:t>
      </w:r>
      <w:r w:rsidRPr="00FA4570">
        <w:rPr>
          <w:rFonts w:eastAsia="Calibri"/>
          <w:sz w:val="28"/>
          <w:szCs w:val="28"/>
          <w:lang w:val="en-ZA"/>
        </w:rPr>
        <w:lastRenderedPageBreak/>
        <w:t>of the proviso – by the magistrate or the accused’s legal representative – and that there is a formal request that the trial proceed without assessors, there will be compliance with the proviso. Whether there has been such compliance is a question of fact to be determined in light of the circumstances of the particular case.</w:t>
      </w:r>
    </w:p>
    <w:p w14:paraId="31F1EE3E" w14:textId="77777777" w:rsidR="00B23B13" w:rsidRPr="00FA4570" w:rsidRDefault="00B23B13" w:rsidP="00B23B13">
      <w:pPr>
        <w:spacing w:after="160" w:line="360" w:lineRule="auto"/>
        <w:ind w:left="720"/>
        <w:contextualSpacing/>
        <w:rPr>
          <w:rFonts w:eastAsia="Calibri"/>
          <w:sz w:val="28"/>
          <w:szCs w:val="28"/>
          <w:lang w:val="en-ZA"/>
        </w:rPr>
      </w:pPr>
    </w:p>
    <w:p w14:paraId="294D8A11" w14:textId="77777777" w:rsidR="00B23B13" w:rsidRPr="00FA4570" w:rsidRDefault="00B23B13" w:rsidP="00B23B13">
      <w:pPr>
        <w:numPr>
          <w:ilvl w:val="0"/>
          <w:numId w:val="13"/>
        </w:numPr>
        <w:spacing w:after="160" w:line="360" w:lineRule="auto"/>
        <w:ind w:left="0" w:firstLine="0"/>
        <w:contextualSpacing/>
        <w:jc w:val="both"/>
        <w:rPr>
          <w:rFonts w:eastAsia="Calibri"/>
          <w:lang w:val="en-ZA"/>
        </w:rPr>
      </w:pPr>
      <w:r w:rsidRPr="00FA4570">
        <w:rPr>
          <w:rFonts w:eastAsia="Calibri"/>
          <w:sz w:val="28"/>
          <w:szCs w:val="28"/>
          <w:lang w:val="en-ZA"/>
        </w:rPr>
        <w:t xml:space="preserve">In the case of an accused who is legally represented, it is implicit in a statement or request to the magistrate that no assessors are required, that the accused has been informed of the proviso. This is because judicial officers ‘act on the assumption that a duly admitted lawyer is competent’, as stated by this Court in </w:t>
      </w:r>
      <w:r w:rsidRPr="00FA4570">
        <w:rPr>
          <w:rFonts w:eastAsia="Calibri"/>
          <w:i/>
          <w:sz w:val="28"/>
          <w:szCs w:val="28"/>
          <w:lang w:val="en-ZA"/>
        </w:rPr>
        <w:t>Halgryn</w:t>
      </w:r>
      <w:r w:rsidRPr="00FA4570">
        <w:rPr>
          <w:rFonts w:eastAsia="Calibri"/>
          <w:sz w:val="28"/>
          <w:szCs w:val="28"/>
          <w:lang w:val="en-ZA"/>
        </w:rPr>
        <w:t>.</w:t>
      </w:r>
      <w:r w:rsidRPr="00FA4570">
        <w:rPr>
          <w:rFonts w:eastAsia="Calibri"/>
          <w:sz w:val="28"/>
          <w:szCs w:val="28"/>
          <w:vertAlign w:val="superscript"/>
          <w:lang w:val="en-ZA"/>
        </w:rPr>
        <w:footnoteReference w:id="51"/>
      </w:r>
      <w:r w:rsidRPr="00FA4570">
        <w:rPr>
          <w:rFonts w:eastAsia="Calibri"/>
          <w:sz w:val="28"/>
          <w:szCs w:val="28"/>
          <w:lang w:val="en-ZA"/>
        </w:rPr>
        <w:t xml:space="preserve"> Legal competence necessarily entails knowledge of the law and in this case, the proviso. It can therefore be accepted that a legal representative would inform the accused of the proviso, explain its requirements, and that when the representative informs the court that assessors are or are not required, that the accused has understood what has been explained to him or her, unless, in the exceptional case, something emerges which suggests otherwise.</w:t>
      </w:r>
      <w:r w:rsidRPr="00FA4570">
        <w:rPr>
          <w:rFonts w:eastAsia="Calibri"/>
          <w:sz w:val="28"/>
          <w:szCs w:val="28"/>
          <w:vertAlign w:val="superscript"/>
          <w:lang w:val="en-ZA"/>
        </w:rPr>
        <w:footnoteReference w:id="52"/>
      </w:r>
      <w:r w:rsidRPr="00FA4570">
        <w:rPr>
          <w:rFonts w:eastAsia="Calibri"/>
          <w:sz w:val="28"/>
          <w:szCs w:val="28"/>
          <w:lang w:val="en-ZA"/>
        </w:rPr>
        <w:t xml:space="preserve"> </w:t>
      </w:r>
    </w:p>
    <w:p w14:paraId="1EB66896" w14:textId="77777777" w:rsidR="00B23B13" w:rsidRPr="00FA4570" w:rsidRDefault="00B23B13" w:rsidP="00B23B13">
      <w:pPr>
        <w:spacing w:after="160" w:line="360" w:lineRule="auto"/>
        <w:ind w:left="720"/>
        <w:contextualSpacing/>
        <w:rPr>
          <w:rFonts w:eastAsia="Calibri"/>
          <w:sz w:val="28"/>
          <w:szCs w:val="28"/>
          <w:lang w:val="en-ZA"/>
        </w:rPr>
      </w:pPr>
    </w:p>
    <w:p w14:paraId="56D6F960" w14:textId="77777777" w:rsidR="00B23B13" w:rsidRPr="00FA4570" w:rsidRDefault="00B23B13" w:rsidP="00B23B13">
      <w:pPr>
        <w:numPr>
          <w:ilvl w:val="0"/>
          <w:numId w:val="13"/>
        </w:numPr>
        <w:spacing w:after="160" w:line="360" w:lineRule="auto"/>
        <w:ind w:left="0" w:firstLine="0"/>
        <w:contextualSpacing/>
        <w:jc w:val="both"/>
        <w:rPr>
          <w:rFonts w:eastAsia="Calibri"/>
          <w:lang w:val="en-ZA"/>
        </w:rPr>
      </w:pPr>
      <w:r w:rsidRPr="00FA4570">
        <w:rPr>
          <w:rFonts w:eastAsia="Calibri"/>
          <w:sz w:val="28"/>
          <w:szCs w:val="28"/>
          <w:lang w:val="en-ZA"/>
        </w:rPr>
        <w:t>It is self-evident that an attorney or advocate must demonstrate legal expertise, honesty and faithfulness in the conduct of his or her client’s case.</w:t>
      </w:r>
      <w:r w:rsidRPr="00FA4570">
        <w:rPr>
          <w:rFonts w:eastAsia="Calibri"/>
          <w:sz w:val="28"/>
          <w:szCs w:val="28"/>
          <w:vertAlign w:val="superscript"/>
          <w:lang w:val="en-ZA"/>
        </w:rPr>
        <w:footnoteReference w:id="53"/>
      </w:r>
      <w:r w:rsidRPr="00FA4570">
        <w:rPr>
          <w:rFonts w:eastAsia="Calibri"/>
          <w:sz w:val="28"/>
          <w:szCs w:val="28"/>
          <w:lang w:val="en-ZA"/>
        </w:rPr>
        <w:t xml:space="preserve"> It is the duty of the legal representative ‘to ensure that the accused’s constitutional rights are not violated and that the accused has a fair trial in accordance with all procedural aspects and relevant legislation’.</w:t>
      </w:r>
      <w:r w:rsidRPr="00FA4570">
        <w:rPr>
          <w:rFonts w:eastAsia="Calibri"/>
          <w:sz w:val="28"/>
          <w:szCs w:val="28"/>
          <w:vertAlign w:val="superscript"/>
          <w:lang w:val="en-ZA"/>
        </w:rPr>
        <w:footnoteReference w:id="54"/>
      </w:r>
      <w:r w:rsidRPr="00FA4570">
        <w:rPr>
          <w:rFonts w:eastAsia="Calibri"/>
          <w:sz w:val="28"/>
          <w:szCs w:val="28"/>
          <w:lang w:val="en-ZA"/>
        </w:rPr>
        <w:t xml:space="preserve"> For these reasons, the manner in which the client’s case is to be conducted, vests in the legal representative. In the words of Schreiner JA:</w:t>
      </w:r>
    </w:p>
    <w:p w14:paraId="1029C6E2" w14:textId="77777777" w:rsidR="00B23B13" w:rsidRPr="00FA4570" w:rsidRDefault="00B23B13" w:rsidP="00B23B13">
      <w:pPr>
        <w:spacing w:line="360" w:lineRule="auto"/>
        <w:contextualSpacing/>
        <w:jc w:val="both"/>
        <w:rPr>
          <w:rFonts w:eastAsia="Calibri"/>
          <w:lang w:val="en-ZA"/>
        </w:rPr>
      </w:pPr>
      <w:r w:rsidRPr="00FA4570">
        <w:rPr>
          <w:rFonts w:eastAsia="Calibri"/>
          <w:lang w:val="en-ZA"/>
        </w:rPr>
        <w:t xml:space="preserve">‘. . . Once the client has placed his case in the hands of counsel the latter has complete control and it is he who must decide whether a particular witness, including the client is to be called or </w:t>
      </w:r>
      <w:r w:rsidRPr="00FA4570">
        <w:rPr>
          <w:rFonts w:eastAsia="Calibri"/>
          <w:lang w:val="en-ZA"/>
        </w:rPr>
        <w:lastRenderedPageBreak/>
        <w:t xml:space="preserve">not. So in </w:t>
      </w:r>
      <w:r w:rsidRPr="00FA4570">
        <w:rPr>
          <w:rFonts w:eastAsia="Calibri"/>
          <w:i/>
          <w:lang w:val="en-ZA"/>
        </w:rPr>
        <w:t>Swinfen v Lord Chelmsford</w:t>
      </w:r>
      <w:r w:rsidRPr="00FA4570">
        <w:rPr>
          <w:rFonts w:eastAsia="Calibri"/>
          <w:lang w:val="en-ZA"/>
        </w:rPr>
        <w:t>, 157 E.R. 1436 at p. 1449, POLLOCK, C.B., states the Court’s view that,</w:t>
      </w:r>
    </w:p>
    <w:p w14:paraId="2DBF9695" w14:textId="77777777" w:rsidR="00B23B13" w:rsidRPr="00FA4570" w:rsidRDefault="00B23B13" w:rsidP="00B23B13">
      <w:pPr>
        <w:spacing w:line="360" w:lineRule="auto"/>
        <w:contextualSpacing/>
        <w:jc w:val="both"/>
        <w:rPr>
          <w:rFonts w:eastAsia="Calibri"/>
          <w:sz w:val="22"/>
          <w:szCs w:val="22"/>
          <w:lang w:val="en-ZA"/>
        </w:rPr>
      </w:pPr>
      <w:r w:rsidRPr="00FA4570">
        <w:rPr>
          <w:rFonts w:eastAsia="Calibri"/>
          <w:sz w:val="22"/>
          <w:szCs w:val="22"/>
          <w:lang w:val="en-ZA"/>
        </w:rPr>
        <w:t>“a counsel has complete authority over the suit, the mode of conducting it, and all that is incident to it – such as withdrawing the record, withdrawing a juror, calling no witnesses, or selecting such as, in his discretion, the things ought to be called, and other matters which properly belong to the suit and the management and conduct of the trial”.</w:t>
      </w:r>
      <w:r w:rsidRPr="00FA4570">
        <w:rPr>
          <w:rFonts w:eastAsia="Calibri"/>
          <w:lang w:val="en-ZA"/>
        </w:rPr>
        <w:t>’</w:t>
      </w:r>
      <w:r w:rsidRPr="00FA4570">
        <w:rPr>
          <w:rFonts w:eastAsia="Calibri"/>
          <w:vertAlign w:val="superscript"/>
          <w:lang w:val="en-ZA"/>
        </w:rPr>
        <w:footnoteReference w:id="55"/>
      </w:r>
    </w:p>
    <w:p w14:paraId="2A009ABC" w14:textId="77777777" w:rsidR="00B23B13" w:rsidRPr="00FA4570" w:rsidRDefault="00B23B13" w:rsidP="00B23B13">
      <w:pPr>
        <w:spacing w:after="160" w:line="360" w:lineRule="auto"/>
        <w:contextualSpacing/>
        <w:rPr>
          <w:rFonts w:eastAsia="Calibri"/>
          <w:sz w:val="28"/>
          <w:szCs w:val="28"/>
          <w:lang w:val="en-ZA"/>
        </w:rPr>
      </w:pPr>
    </w:p>
    <w:p w14:paraId="743CF882"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Counsel’s authority over the suit however, does not detract from the mandatory requirements of the proviso. But the proviso does not preclude a situation, for example, where the legal representative advises the accused that in his or her view, and in the interests of the accused, the trial should proceed without assessors. A court should not look behind a decision in a trial made by counsel in good faith and in the best interests of the client, save only to prevent a miscarriage of justice.</w:t>
      </w:r>
      <w:r w:rsidRPr="00FA4570">
        <w:rPr>
          <w:rFonts w:eastAsia="Calibri"/>
          <w:sz w:val="28"/>
          <w:szCs w:val="28"/>
          <w:vertAlign w:val="superscript"/>
          <w:lang w:val="en-ZA"/>
        </w:rPr>
        <w:footnoteReference w:id="56"/>
      </w:r>
      <w:r w:rsidRPr="00FA4570">
        <w:rPr>
          <w:rFonts w:eastAsia="Calibri"/>
          <w:sz w:val="28"/>
          <w:szCs w:val="28"/>
          <w:lang w:val="en-ZA"/>
        </w:rPr>
        <w:t xml:space="preserve"> If the accused accepts that advice, the legal representative would advise the court that assessors are not required, and there would be compliance with the proviso. And in such a case, it cannot be suggested that ‘the accused never made a request [that the court] not sit with assessors’. Neither is it necessary for the record to reflect that the ‘legal representative explained the proviso to him’</w:t>
      </w:r>
      <w:r w:rsidRPr="00FA4570">
        <w:rPr>
          <w:rFonts w:eastAsia="Calibri"/>
          <w:sz w:val="28"/>
          <w:szCs w:val="28"/>
          <w:vertAlign w:val="superscript"/>
          <w:lang w:val="en-ZA"/>
        </w:rPr>
        <w:footnoteReference w:id="57"/>
      </w:r>
      <w:r w:rsidRPr="00FA4570">
        <w:rPr>
          <w:rFonts w:eastAsia="Calibri"/>
          <w:sz w:val="28"/>
          <w:szCs w:val="28"/>
          <w:lang w:val="en-ZA"/>
        </w:rPr>
        <w:t xml:space="preserve"> – that is a given. </w:t>
      </w:r>
    </w:p>
    <w:p w14:paraId="621687BD" w14:textId="77777777" w:rsidR="00B23B13" w:rsidRPr="00FA4570" w:rsidRDefault="00B23B13" w:rsidP="00B23B13">
      <w:pPr>
        <w:spacing w:line="360" w:lineRule="auto"/>
        <w:contextualSpacing/>
        <w:jc w:val="both"/>
        <w:rPr>
          <w:rFonts w:eastAsia="Calibri"/>
          <w:sz w:val="28"/>
          <w:szCs w:val="28"/>
          <w:lang w:val="en-ZA"/>
        </w:rPr>
      </w:pPr>
    </w:p>
    <w:p w14:paraId="156248E3"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The wording of the proviso is clear and unambiguous concerning the composition of the court, and the accused’s entitlement to formally ask that the trial proceed with or without assessors. However, the interpretation of the proviso in </w:t>
      </w:r>
      <w:r w:rsidRPr="00FA4570">
        <w:rPr>
          <w:rFonts w:eastAsia="Calibri"/>
          <w:i/>
          <w:sz w:val="28"/>
          <w:szCs w:val="28"/>
          <w:lang w:val="en-ZA"/>
        </w:rPr>
        <w:t>Langalitshoni</w:t>
      </w:r>
      <w:r w:rsidRPr="00FA4570">
        <w:rPr>
          <w:rFonts w:eastAsia="Calibri"/>
          <w:sz w:val="28"/>
          <w:szCs w:val="28"/>
          <w:lang w:val="en-ZA"/>
        </w:rPr>
        <w:t xml:space="preserve"> and </w:t>
      </w:r>
      <w:r w:rsidRPr="00FA4570">
        <w:rPr>
          <w:rFonts w:eastAsia="Calibri"/>
          <w:i/>
          <w:sz w:val="28"/>
          <w:szCs w:val="28"/>
          <w:lang w:val="en-ZA"/>
        </w:rPr>
        <w:t>Nxumalo</w:t>
      </w:r>
      <w:r w:rsidRPr="00FA4570">
        <w:rPr>
          <w:rFonts w:eastAsia="Calibri"/>
          <w:sz w:val="28"/>
          <w:szCs w:val="28"/>
          <w:lang w:val="en-ZA"/>
        </w:rPr>
        <w:t xml:space="preserve"> produces a manifest absurdity. It is a settled principle that statutes should be construed to avoid absurdities or anomalous results.</w:t>
      </w:r>
      <w:r w:rsidRPr="00FA4570">
        <w:rPr>
          <w:rFonts w:eastAsia="Calibri"/>
          <w:sz w:val="28"/>
          <w:szCs w:val="28"/>
          <w:vertAlign w:val="superscript"/>
          <w:lang w:val="en-ZA"/>
        </w:rPr>
        <w:footnoteReference w:id="58"/>
      </w:r>
      <w:r w:rsidRPr="00FA4570">
        <w:rPr>
          <w:rFonts w:eastAsia="Calibri"/>
          <w:sz w:val="28"/>
          <w:szCs w:val="28"/>
          <w:lang w:val="en-ZA"/>
        </w:rPr>
        <w:t xml:space="preserve"> Had the legal representative in both those cases informed the court that </w:t>
      </w:r>
      <w:r w:rsidRPr="00FA4570">
        <w:rPr>
          <w:rFonts w:eastAsia="Calibri"/>
          <w:sz w:val="28"/>
          <w:szCs w:val="28"/>
          <w:lang w:val="en-ZA"/>
        </w:rPr>
        <w:lastRenderedPageBreak/>
        <w:t xml:space="preserve">assessors </w:t>
      </w:r>
      <w:r w:rsidRPr="00FA4570">
        <w:rPr>
          <w:rFonts w:eastAsia="Calibri"/>
          <w:i/>
          <w:sz w:val="28"/>
          <w:szCs w:val="28"/>
          <w:lang w:val="en-ZA"/>
        </w:rPr>
        <w:t>were</w:t>
      </w:r>
      <w:r w:rsidRPr="00FA4570">
        <w:rPr>
          <w:rFonts w:eastAsia="Calibri"/>
          <w:sz w:val="28"/>
          <w:szCs w:val="28"/>
          <w:lang w:val="en-ZA"/>
        </w:rPr>
        <w:t xml:space="preserve"> required, it would have been accepted that the proviso had been explained to the accused and that there was compliance with the requirements of the proviso. And in that scenario, it cannot be suggested, as the court in </w:t>
      </w:r>
      <w:r w:rsidRPr="00FA4570">
        <w:rPr>
          <w:rFonts w:eastAsia="Calibri"/>
          <w:i/>
          <w:sz w:val="28"/>
          <w:szCs w:val="28"/>
          <w:lang w:val="en-ZA"/>
        </w:rPr>
        <w:t>Langalitshoni</w:t>
      </w:r>
      <w:r w:rsidRPr="00FA4570">
        <w:rPr>
          <w:rFonts w:eastAsia="Calibri"/>
          <w:sz w:val="28"/>
          <w:szCs w:val="28"/>
          <w:lang w:val="en-ZA"/>
        </w:rPr>
        <w:t xml:space="preserve"> found, that the question, ‘Are you going to use the services of assessors’, was ‘misleading’, because it did not convey to the accused the proper constitution of the court.</w:t>
      </w:r>
      <w:r w:rsidRPr="00FA4570">
        <w:rPr>
          <w:rFonts w:eastAsia="Calibri"/>
          <w:sz w:val="28"/>
          <w:szCs w:val="28"/>
          <w:vertAlign w:val="superscript"/>
          <w:lang w:val="en-ZA"/>
        </w:rPr>
        <w:footnoteReference w:id="59"/>
      </w:r>
      <w:r w:rsidRPr="00FA4570">
        <w:rPr>
          <w:rFonts w:eastAsia="Calibri"/>
          <w:sz w:val="28"/>
          <w:szCs w:val="28"/>
          <w:lang w:val="en-ZA"/>
        </w:rPr>
        <w:t xml:space="preserve"> As stated, the legal representative would be aware of the proviso, would have advised the accused of its requirements, and neither the representative nor the accused could conceivably be ‘misled’. Why should the position be any different in the case where the legal representative informs the court that assessors are not required? In both scenarios the proviso requires no more than a formal request by the defence lawyer that the trial proceed with or without assessors. </w:t>
      </w:r>
    </w:p>
    <w:p w14:paraId="7692DD2A" w14:textId="77777777" w:rsidR="00B23B13" w:rsidRPr="00FA4570" w:rsidRDefault="00B23B13" w:rsidP="00B23B13">
      <w:pPr>
        <w:spacing w:after="160" w:line="254" w:lineRule="auto"/>
        <w:ind w:left="720"/>
        <w:contextualSpacing/>
        <w:rPr>
          <w:rFonts w:eastAsia="Calibri"/>
          <w:sz w:val="28"/>
          <w:szCs w:val="28"/>
          <w:lang w:val="en-ZA"/>
        </w:rPr>
      </w:pPr>
    </w:p>
    <w:p w14:paraId="7B3B9701" w14:textId="77777777" w:rsidR="00B23B13" w:rsidRPr="00FA4570" w:rsidRDefault="00B23B13" w:rsidP="00B23B13">
      <w:pPr>
        <w:spacing w:line="360" w:lineRule="auto"/>
        <w:contextualSpacing/>
        <w:jc w:val="both"/>
        <w:rPr>
          <w:rFonts w:eastAsia="Calibri"/>
          <w:sz w:val="28"/>
          <w:szCs w:val="28"/>
          <w:lang w:val="en-ZA"/>
        </w:rPr>
      </w:pPr>
    </w:p>
    <w:p w14:paraId="381D0038"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The decision in </w:t>
      </w:r>
      <w:r w:rsidRPr="00FA4570">
        <w:rPr>
          <w:rFonts w:eastAsia="Calibri"/>
          <w:i/>
          <w:sz w:val="28"/>
          <w:szCs w:val="28"/>
          <w:lang w:val="en-ZA"/>
        </w:rPr>
        <w:t>Hlatshwayo</w:t>
      </w:r>
      <w:r w:rsidRPr="00FA4570">
        <w:rPr>
          <w:rFonts w:eastAsia="Calibri"/>
          <w:sz w:val="28"/>
          <w:szCs w:val="28"/>
          <w:lang w:val="en-ZA"/>
        </w:rPr>
        <w:t xml:space="preserve"> illustrates the point.</w:t>
      </w:r>
      <w:r w:rsidRPr="00FA4570">
        <w:rPr>
          <w:rFonts w:eastAsia="Calibri"/>
          <w:iCs/>
          <w:sz w:val="28"/>
          <w:szCs w:val="28"/>
          <w:vertAlign w:val="superscript"/>
          <w:lang w:val="en-ZA"/>
        </w:rPr>
        <w:footnoteReference w:id="60"/>
      </w:r>
      <w:r w:rsidRPr="00FA4570">
        <w:rPr>
          <w:rFonts w:eastAsia="Calibri"/>
          <w:sz w:val="28"/>
          <w:szCs w:val="28"/>
          <w:lang w:val="en-ZA"/>
        </w:rPr>
        <w:t xml:space="preserve"> It does not appear from the judgment whether the accused were legally represented; it is assumed that they were. On 27 March 2018, during the pre-trial stage, the magistrate completed a pro-forma document forming part of the record and next to paragraph 1.14 thereof, it was indicated that both accused required assessors. That is the clearest indication that they understood the proviso; and there was no question about compliance with it. On 22 May 2018 the accused appeared before a different magistrate (who ultimately presided over the trial) and the case was remanded for trial. The following note was made on the record: ‘Both accused now indicate that they do not require assessors in this case’.</w:t>
      </w:r>
      <w:r w:rsidRPr="00FA4570">
        <w:rPr>
          <w:rFonts w:eastAsia="Calibri"/>
          <w:sz w:val="28"/>
          <w:szCs w:val="28"/>
          <w:vertAlign w:val="superscript"/>
          <w:lang w:val="en-ZA"/>
        </w:rPr>
        <w:footnoteReference w:id="61"/>
      </w:r>
      <w:r w:rsidRPr="00FA4570">
        <w:rPr>
          <w:rFonts w:eastAsia="Calibri"/>
          <w:sz w:val="28"/>
          <w:szCs w:val="28"/>
          <w:lang w:val="en-ZA"/>
        </w:rPr>
        <w:t xml:space="preserve"> At the commencement of the trial the magistrate did not deal with the proviso at all. The accused were convicted of </w:t>
      </w:r>
      <w:r w:rsidRPr="00FA4570">
        <w:rPr>
          <w:rFonts w:eastAsia="Calibri"/>
          <w:sz w:val="28"/>
          <w:szCs w:val="28"/>
          <w:lang w:val="en-ZA"/>
        </w:rPr>
        <w:lastRenderedPageBreak/>
        <w:t>murder and sentenced to 15 years’ imprisonment. On appeal, the convictions and sentences were set aside because there was no compliance with the proviso.</w:t>
      </w:r>
      <w:r w:rsidRPr="00FA4570">
        <w:rPr>
          <w:rFonts w:eastAsia="Calibri"/>
          <w:sz w:val="28"/>
          <w:szCs w:val="28"/>
          <w:vertAlign w:val="superscript"/>
          <w:lang w:val="en-ZA"/>
        </w:rPr>
        <w:footnoteReference w:id="62"/>
      </w:r>
    </w:p>
    <w:p w14:paraId="4B9E2BC0" w14:textId="77777777" w:rsidR="00B23B13" w:rsidRPr="00FA4570" w:rsidRDefault="00B23B13" w:rsidP="00B23B13">
      <w:pPr>
        <w:spacing w:after="160" w:line="360" w:lineRule="auto"/>
        <w:ind w:left="720"/>
        <w:contextualSpacing/>
        <w:rPr>
          <w:rFonts w:eastAsia="Calibri"/>
          <w:sz w:val="28"/>
          <w:szCs w:val="28"/>
          <w:lang w:val="en-ZA"/>
        </w:rPr>
      </w:pPr>
    </w:p>
    <w:p w14:paraId="0E014290" w14:textId="6B7F7128"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It appears from </w:t>
      </w:r>
      <w:r w:rsidRPr="00FA4570">
        <w:rPr>
          <w:rFonts w:eastAsia="Calibri"/>
          <w:i/>
          <w:sz w:val="28"/>
          <w:szCs w:val="28"/>
          <w:lang w:val="en-ZA"/>
        </w:rPr>
        <w:t>Hlatshwayo</w:t>
      </w:r>
      <w:r w:rsidRPr="00FA4570">
        <w:rPr>
          <w:rFonts w:eastAsia="Calibri"/>
          <w:sz w:val="28"/>
          <w:szCs w:val="28"/>
          <w:lang w:val="en-ZA"/>
        </w:rPr>
        <w:t xml:space="preserve"> that the request by the legal representative, on behalf of the accused, that the trial proceed with assessors was accepted by the trial court. So too, a similar request </w:t>
      </w:r>
      <w:r w:rsidR="00765050" w:rsidRPr="00FA4570">
        <w:rPr>
          <w:rFonts w:eastAsia="Calibri"/>
          <w:sz w:val="28"/>
          <w:szCs w:val="28"/>
          <w:lang w:val="en-ZA"/>
        </w:rPr>
        <w:t xml:space="preserve">was </w:t>
      </w:r>
      <w:r w:rsidRPr="00FA4570">
        <w:rPr>
          <w:rFonts w:eastAsia="Calibri"/>
          <w:sz w:val="28"/>
          <w:szCs w:val="28"/>
          <w:lang w:val="en-ZA"/>
        </w:rPr>
        <w:t xml:space="preserve">subsequently made that assessors were no longer required. That explains why it was unnecessary for the magistrate to again deal with the proviso prior to the commencement of the trial. The appeal court however followed </w:t>
      </w:r>
      <w:r w:rsidRPr="00FA4570">
        <w:rPr>
          <w:rFonts w:eastAsia="Calibri"/>
          <w:i/>
          <w:sz w:val="28"/>
          <w:szCs w:val="28"/>
          <w:lang w:val="en-ZA"/>
        </w:rPr>
        <w:t>Langalitshoni</w:t>
      </w:r>
      <w:r w:rsidRPr="00FA4570">
        <w:rPr>
          <w:rFonts w:eastAsia="Calibri"/>
          <w:sz w:val="28"/>
          <w:szCs w:val="28"/>
          <w:lang w:val="en-ZA"/>
        </w:rPr>
        <w:t xml:space="preserve"> and </w:t>
      </w:r>
      <w:r w:rsidRPr="00FA4570">
        <w:rPr>
          <w:rFonts w:eastAsia="Calibri"/>
          <w:i/>
          <w:sz w:val="28"/>
          <w:szCs w:val="28"/>
          <w:lang w:val="en-ZA"/>
        </w:rPr>
        <w:t>Nxumalo</w:t>
      </w:r>
      <w:r w:rsidRPr="00FA4570">
        <w:rPr>
          <w:rFonts w:eastAsia="Calibri"/>
          <w:sz w:val="28"/>
          <w:szCs w:val="28"/>
          <w:lang w:val="en-ZA"/>
        </w:rPr>
        <w:t xml:space="preserve"> in setting aside the convictions and sentences.</w:t>
      </w:r>
    </w:p>
    <w:p w14:paraId="616351AC" w14:textId="77777777" w:rsidR="00B23B13" w:rsidRPr="00FA4570" w:rsidRDefault="00B23B13" w:rsidP="00B23B13">
      <w:pPr>
        <w:spacing w:line="360" w:lineRule="auto"/>
        <w:contextualSpacing/>
        <w:jc w:val="both"/>
        <w:rPr>
          <w:rFonts w:eastAsia="Calibri"/>
          <w:sz w:val="28"/>
          <w:szCs w:val="28"/>
          <w:lang w:val="en-ZA"/>
        </w:rPr>
      </w:pPr>
    </w:p>
    <w:p w14:paraId="3A4118A3"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I return to the facts of this case. The record shows that at the pre-trial conference, the respondent and his co-accused were legally represented. They were advised of the use of lay assessors, obviously sourced in the proviso, which requires the magistrate to be assisted by two assessors. The magistrate could not, and would not, have recorded that they understood that advice, unless it was explained to them. So, contrary to the high court’s finding, the accused were directly involved in the explanation concerning the proviso. The magistrate went further. He asked the respondent’s attorney to confirm that no assessors were required – essentially a confirmation of the accused’s request – which the attorney provided. Thereafter, the record states, ‘both accd confirm the same’, meaning that they, in turn, confirmed the request to their attorney that the trial proceed without assessors. </w:t>
      </w:r>
    </w:p>
    <w:p w14:paraId="6E5B074B" w14:textId="77777777" w:rsidR="00B23B13" w:rsidRPr="00FA4570" w:rsidRDefault="00B23B13" w:rsidP="00B23B13">
      <w:pPr>
        <w:spacing w:after="160" w:line="360" w:lineRule="auto"/>
        <w:ind w:left="720"/>
        <w:contextualSpacing/>
        <w:rPr>
          <w:rFonts w:eastAsia="Calibri"/>
          <w:sz w:val="28"/>
          <w:szCs w:val="28"/>
          <w:lang w:val="en-ZA"/>
        </w:rPr>
      </w:pPr>
    </w:p>
    <w:p w14:paraId="3533BF88"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Subsequently, and prior to the commencement of the trial, the presiding magistrate’s request to the respondent’s attorney to again confirm that no assessors were required, was a belt-and-braces approach to the proviso. The </w:t>
      </w:r>
      <w:r w:rsidRPr="00FA4570">
        <w:rPr>
          <w:rFonts w:eastAsia="Calibri"/>
          <w:sz w:val="28"/>
          <w:szCs w:val="28"/>
          <w:lang w:val="en-ZA"/>
        </w:rPr>
        <w:lastRenderedPageBreak/>
        <w:t xml:space="preserve">attorney provided the requisite confirmation. On these facts, nothing can be clearer than that the magistrate (and it may be accepted, the attorney) explained the proviso to the respondent; that he understood it; and that he requested that the trial proceed without assessors. </w:t>
      </w:r>
    </w:p>
    <w:p w14:paraId="1D47A4D7" w14:textId="77777777" w:rsidR="00B23B13" w:rsidRPr="00FA4570" w:rsidRDefault="00B23B13" w:rsidP="00B23B13">
      <w:pPr>
        <w:spacing w:after="160" w:line="254" w:lineRule="auto"/>
        <w:ind w:left="720"/>
        <w:contextualSpacing/>
        <w:rPr>
          <w:rFonts w:eastAsia="Calibri"/>
          <w:sz w:val="28"/>
          <w:szCs w:val="28"/>
          <w:lang w:val="en-ZA"/>
        </w:rPr>
      </w:pPr>
    </w:p>
    <w:p w14:paraId="608B9D2D"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It follows that the high court erred in holding that the trial court was not properly constituted. And its attempt to distinguish </w:t>
      </w:r>
      <w:r w:rsidRPr="00FA4570">
        <w:rPr>
          <w:rFonts w:eastAsia="Calibri"/>
          <w:i/>
          <w:sz w:val="28"/>
          <w:szCs w:val="28"/>
          <w:lang w:val="en-ZA"/>
        </w:rPr>
        <w:t>Ngomane</w:t>
      </w:r>
      <w:r w:rsidRPr="00FA4570">
        <w:rPr>
          <w:rFonts w:eastAsia="Calibri"/>
          <w:sz w:val="28"/>
          <w:szCs w:val="28"/>
          <w:lang w:val="en-ZA"/>
        </w:rPr>
        <w:t xml:space="preserve"> on the basis that Bam J ‘appears to have entirely overlooked that in </w:t>
      </w:r>
      <w:r w:rsidRPr="00FA4570">
        <w:rPr>
          <w:rFonts w:eastAsia="Calibri"/>
          <w:i/>
          <w:sz w:val="28"/>
          <w:szCs w:val="28"/>
          <w:lang w:val="en-ZA"/>
        </w:rPr>
        <w:t>Gayiya</w:t>
      </w:r>
      <w:r w:rsidRPr="00FA4570">
        <w:rPr>
          <w:rFonts w:eastAsia="Calibri"/>
          <w:sz w:val="28"/>
          <w:szCs w:val="28"/>
          <w:lang w:val="en-ZA"/>
        </w:rPr>
        <w:t xml:space="preserve"> the accused was also legally represented’, and that regardless of legal representation, the accused should still be informed of the proviso, must fail. The accused in </w:t>
      </w:r>
      <w:r w:rsidRPr="00FA4570">
        <w:rPr>
          <w:rFonts w:eastAsia="Calibri"/>
          <w:i/>
          <w:sz w:val="28"/>
          <w:szCs w:val="28"/>
          <w:lang w:val="en-ZA"/>
        </w:rPr>
        <w:t>Gayiya</w:t>
      </w:r>
      <w:r w:rsidRPr="00FA4570">
        <w:rPr>
          <w:rFonts w:eastAsia="Calibri"/>
          <w:sz w:val="28"/>
          <w:szCs w:val="28"/>
          <w:lang w:val="en-ZA"/>
        </w:rPr>
        <w:t xml:space="preserve"> was unrepresented, and that is not what </w:t>
      </w:r>
      <w:r w:rsidRPr="00FA4570">
        <w:rPr>
          <w:rFonts w:eastAsia="Calibri"/>
          <w:i/>
          <w:sz w:val="28"/>
          <w:szCs w:val="28"/>
          <w:lang w:val="en-ZA"/>
        </w:rPr>
        <w:t>Gayiya</w:t>
      </w:r>
      <w:r w:rsidRPr="00FA4570">
        <w:rPr>
          <w:rFonts w:eastAsia="Calibri"/>
          <w:sz w:val="28"/>
          <w:szCs w:val="28"/>
          <w:lang w:val="en-ZA"/>
        </w:rPr>
        <w:t xml:space="preserve"> holds.</w:t>
      </w:r>
    </w:p>
    <w:p w14:paraId="6719B5B7" w14:textId="77777777" w:rsidR="00B23B13" w:rsidRPr="00FA4570" w:rsidRDefault="00B23B13" w:rsidP="00B23B13">
      <w:pPr>
        <w:spacing w:after="160" w:line="254" w:lineRule="auto"/>
        <w:ind w:left="720"/>
        <w:contextualSpacing/>
        <w:rPr>
          <w:rFonts w:eastAsia="Calibri"/>
          <w:sz w:val="28"/>
          <w:szCs w:val="28"/>
          <w:lang w:val="en-ZA"/>
        </w:rPr>
      </w:pPr>
    </w:p>
    <w:p w14:paraId="605D1CAC"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 xml:space="preserve">For the above reasons, the decisions in </w:t>
      </w:r>
      <w:r w:rsidRPr="00FA4570">
        <w:rPr>
          <w:rFonts w:eastAsia="Calibri"/>
          <w:i/>
          <w:sz w:val="28"/>
          <w:szCs w:val="28"/>
          <w:lang w:val="en-ZA"/>
        </w:rPr>
        <w:t>Langalitshoni</w:t>
      </w:r>
      <w:r w:rsidRPr="00FA4570">
        <w:rPr>
          <w:rFonts w:eastAsia="Calibri"/>
          <w:sz w:val="28"/>
          <w:szCs w:val="28"/>
          <w:lang w:val="en-ZA"/>
        </w:rPr>
        <w:t xml:space="preserve">, </w:t>
      </w:r>
      <w:r w:rsidRPr="00FA4570">
        <w:rPr>
          <w:rFonts w:eastAsia="Calibri"/>
          <w:i/>
          <w:sz w:val="28"/>
          <w:szCs w:val="28"/>
          <w:lang w:val="en-ZA"/>
        </w:rPr>
        <w:t>Nxumalo</w:t>
      </w:r>
      <w:r w:rsidRPr="00FA4570">
        <w:rPr>
          <w:rFonts w:eastAsia="Calibri"/>
          <w:sz w:val="28"/>
          <w:szCs w:val="28"/>
          <w:lang w:val="en-ZA"/>
        </w:rPr>
        <w:t xml:space="preserve"> and </w:t>
      </w:r>
      <w:r w:rsidRPr="00FA4570">
        <w:rPr>
          <w:rFonts w:eastAsia="Calibri"/>
          <w:i/>
          <w:sz w:val="28"/>
          <w:szCs w:val="28"/>
          <w:lang w:val="en-ZA"/>
        </w:rPr>
        <w:t>Hlatshwayo</w:t>
      </w:r>
      <w:r w:rsidRPr="00FA4570">
        <w:rPr>
          <w:rFonts w:eastAsia="Calibri"/>
          <w:sz w:val="28"/>
          <w:szCs w:val="28"/>
          <w:lang w:val="en-ZA"/>
        </w:rPr>
        <w:t xml:space="preserve"> are incorrect and should not be followed. The decision in </w:t>
      </w:r>
      <w:r w:rsidRPr="00FA4570">
        <w:rPr>
          <w:rFonts w:eastAsia="Calibri"/>
          <w:i/>
          <w:iCs/>
          <w:sz w:val="28"/>
          <w:szCs w:val="28"/>
          <w:lang w:val="en-ZA"/>
        </w:rPr>
        <w:t>Zulu</w:t>
      </w:r>
      <w:r w:rsidRPr="00FA4570">
        <w:rPr>
          <w:rFonts w:eastAsia="Calibri"/>
          <w:sz w:val="28"/>
          <w:szCs w:val="28"/>
          <w:vertAlign w:val="superscript"/>
          <w:lang w:val="en-ZA"/>
        </w:rPr>
        <w:footnoteReference w:id="63"/>
      </w:r>
      <w:r w:rsidRPr="00FA4570">
        <w:rPr>
          <w:rFonts w:eastAsia="Calibri"/>
          <w:sz w:val="28"/>
          <w:szCs w:val="28"/>
          <w:lang w:val="en-ZA"/>
        </w:rPr>
        <w:t xml:space="preserve"> however, stands on a different footing. There, the trial court informed the accused of the proviso, after he had already pleaded. The appeal court correctly held that the magistrate was required to inform the accused of the proviso before the trial commenced. That was sufficient to set aside the conviction and sentence. However, the court’s endorsement of the approach in </w:t>
      </w:r>
      <w:r w:rsidRPr="00FA4570">
        <w:rPr>
          <w:rFonts w:eastAsia="Calibri"/>
          <w:i/>
          <w:sz w:val="28"/>
          <w:szCs w:val="28"/>
          <w:lang w:val="en-ZA"/>
        </w:rPr>
        <w:t>Langalitshoni</w:t>
      </w:r>
      <w:r w:rsidRPr="00FA4570">
        <w:rPr>
          <w:rFonts w:eastAsia="Calibri"/>
          <w:sz w:val="28"/>
          <w:szCs w:val="28"/>
          <w:lang w:val="en-ZA"/>
        </w:rPr>
        <w:t xml:space="preserve">, </w:t>
      </w:r>
      <w:r w:rsidRPr="00FA4570">
        <w:rPr>
          <w:rFonts w:eastAsia="Calibri"/>
          <w:i/>
          <w:sz w:val="28"/>
          <w:szCs w:val="28"/>
          <w:lang w:val="en-ZA"/>
        </w:rPr>
        <w:t>Nxumalo</w:t>
      </w:r>
      <w:r w:rsidRPr="00FA4570">
        <w:rPr>
          <w:rFonts w:eastAsia="Calibri"/>
          <w:sz w:val="28"/>
          <w:szCs w:val="28"/>
          <w:lang w:val="en-ZA"/>
        </w:rPr>
        <w:t xml:space="preserve"> and </w:t>
      </w:r>
      <w:r w:rsidRPr="00FA4570">
        <w:rPr>
          <w:rFonts w:eastAsia="Calibri"/>
          <w:i/>
          <w:sz w:val="28"/>
          <w:szCs w:val="28"/>
          <w:lang w:val="en-ZA"/>
        </w:rPr>
        <w:t>Hlatshwayo</w:t>
      </w:r>
      <w:r w:rsidRPr="00FA4570">
        <w:rPr>
          <w:rFonts w:eastAsia="Calibri"/>
          <w:sz w:val="28"/>
          <w:szCs w:val="28"/>
          <w:lang w:val="en-ZA"/>
        </w:rPr>
        <w:t xml:space="preserve">, was incorrect. </w:t>
      </w:r>
    </w:p>
    <w:p w14:paraId="6F21E19A" w14:textId="77777777" w:rsidR="00B23B13" w:rsidRPr="00FA4570" w:rsidRDefault="00B23B13" w:rsidP="00B23B13">
      <w:pPr>
        <w:spacing w:after="160" w:line="360" w:lineRule="auto"/>
        <w:ind w:left="720"/>
        <w:contextualSpacing/>
        <w:rPr>
          <w:rFonts w:eastAsia="Calibri"/>
          <w:sz w:val="28"/>
          <w:szCs w:val="28"/>
          <w:lang w:val="en-ZA"/>
        </w:rPr>
      </w:pPr>
    </w:p>
    <w:p w14:paraId="01D8B91A" w14:textId="77777777" w:rsidR="00B23B13" w:rsidRPr="00FA4570" w:rsidRDefault="00B23B13" w:rsidP="00B23B13">
      <w:pPr>
        <w:numPr>
          <w:ilvl w:val="0"/>
          <w:numId w:val="13"/>
        </w:numPr>
        <w:spacing w:after="160" w:line="360" w:lineRule="auto"/>
        <w:ind w:left="0" w:firstLine="0"/>
        <w:contextualSpacing/>
        <w:jc w:val="both"/>
        <w:rPr>
          <w:rFonts w:eastAsia="Calibri"/>
          <w:sz w:val="28"/>
          <w:szCs w:val="28"/>
          <w:lang w:val="en-ZA"/>
        </w:rPr>
      </w:pPr>
      <w:r w:rsidRPr="00FA4570">
        <w:rPr>
          <w:rFonts w:eastAsia="Calibri"/>
          <w:sz w:val="28"/>
          <w:szCs w:val="28"/>
          <w:lang w:val="en-ZA"/>
        </w:rPr>
        <w:t>The appeal must therefore be upheld. I agree with the order issued.</w:t>
      </w:r>
    </w:p>
    <w:p w14:paraId="609D43D8" w14:textId="77777777" w:rsidR="00B23B13" w:rsidRPr="00FA4570" w:rsidRDefault="00B23B13" w:rsidP="00B23B13">
      <w:pPr>
        <w:spacing w:line="360" w:lineRule="auto"/>
        <w:jc w:val="both"/>
        <w:rPr>
          <w:rFonts w:eastAsia="Calibri"/>
          <w:sz w:val="28"/>
          <w:szCs w:val="28"/>
          <w:lang w:val="en-ZA"/>
        </w:rPr>
      </w:pPr>
    </w:p>
    <w:p w14:paraId="0C40AD48" w14:textId="3DA0060D" w:rsidR="00B23B13" w:rsidRPr="00FA4570" w:rsidRDefault="00B23B13" w:rsidP="00B23B13">
      <w:pPr>
        <w:spacing w:line="360" w:lineRule="auto"/>
        <w:jc w:val="right"/>
        <w:rPr>
          <w:rFonts w:eastAsia="Calibri"/>
          <w:sz w:val="28"/>
          <w:szCs w:val="28"/>
          <w:lang w:val="en-ZA"/>
        </w:rPr>
      </w:pPr>
    </w:p>
    <w:p w14:paraId="284467A4" w14:textId="77777777" w:rsidR="00B23B13" w:rsidRPr="00FA4570" w:rsidRDefault="00B23B13" w:rsidP="00B23B13">
      <w:pPr>
        <w:spacing w:line="360" w:lineRule="auto"/>
        <w:rPr>
          <w:rFonts w:eastAsia="Calibri"/>
          <w:sz w:val="28"/>
          <w:szCs w:val="28"/>
          <w:lang w:val="en-ZA"/>
        </w:rPr>
      </w:pPr>
    </w:p>
    <w:p w14:paraId="6348D92A" w14:textId="77777777" w:rsidR="00B23B13" w:rsidRPr="00FA4570" w:rsidRDefault="00B23B13" w:rsidP="00B23B13">
      <w:pPr>
        <w:spacing w:line="360" w:lineRule="auto"/>
        <w:jc w:val="right"/>
        <w:rPr>
          <w:rFonts w:eastAsia="Calibri"/>
          <w:sz w:val="28"/>
          <w:szCs w:val="28"/>
          <w:lang w:val="en-ZA"/>
        </w:rPr>
      </w:pPr>
      <w:r w:rsidRPr="00FA4570">
        <w:rPr>
          <w:rFonts w:eastAsia="Calibri"/>
          <w:sz w:val="28"/>
          <w:szCs w:val="28"/>
          <w:lang w:val="en-ZA"/>
        </w:rPr>
        <w:t>__________________</w:t>
      </w:r>
    </w:p>
    <w:p w14:paraId="7CC0113F" w14:textId="77777777" w:rsidR="00B23B13" w:rsidRPr="00FA4570" w:rsidRDefault="00B23B13" w:rsidP="00B23B13">
      <w:pPr>
        <w:spacing w:line="360" w:lineRule="auto"/>
        <w:jc w:val="right"/>
        <w:rPr>
          <w:rFonts w:eastAsia="Calibri"/>
          <w:sz w:val="28"/>
          <w:szCs w:val="28"/>
          <w:lang w:val="en-ZA"/>
        </w:rPr>
      </w:pPr>
      <w:r w:rsidRPr="00FA4570">
        <w:rPr>
          <w:rFonts w:eastAsia="Calibri"/>
          <w:sz w:val="28"/>
          <w:szCs w:val="28"/>
          <w:lang w:val="en-ZA"/>
        </w:rPr>
        <w:t>A SCHIPPERS</w:t>
      </w:r>
    </w:p>
    <w:p w14:paraId="6F629ACA" w14:textId="77777777" w:rsidR="00B23B13" w:rsidRPr="00FA4570" w:rsidRDefault="00B23B13" w:rsidP="00B23B13">
      <w:pPr>
        <w:spacing w:line="360" w:lineRule="auto"/>
        <w:jc w:val="right"/>
        <w:rPr>
          <w:rFonts w:eastAsia="Calibri"/>
          <w:sz w:val="28"/>
          <w:szCs w:val="28"/>
          <w:lang w:val="en-ZA"/>
        </w:rPr>
      </w:pPr>
      <w:r w:rsidRPr="00FA4570">
        <w:rPr>
          <w:rFonts w:eastAsia="Calibri"/>
          <w:sz w:val="28"/>
          <w:szCs w:val="28"/>
          <w:lang w:val="en-ZA"/>
        </w:rPr>
        <w:t>JUDGE OF APPEAL</w:t>
      </w:r>
    </w:p>
    <w:p w14:paraId="52AA18EB" w14:textId="7F7D89D1" w:rsidR="00F43000" w:rsidRPr="00FA4570" w:rsidRDefault="009A1544" w:rsidP="007252DB">
      <w:pPr>
        <w:spacing w:line="360" w:lineRule="auto"/>
        <w:jc w:val="both"/>
        <w:rPr>
          <w:sz w:val="28"/>
          <w:szCs w:val="28"/>
        </w:rPr>
      </w:pPr>
      <w:r w:rsidRPr="00FA4570">
        <w:br w:type="page"/>
      </w:r>
      <w:r w:rsidR="008D7B35" w:rsidRPr="00FA4570">
        <w:rPr>
          <w:sz w:val="28"/>
          <w:szCs w:val="28"/>
        </w:rPr>
        <w:lastRenderedPageBreak/>
        <w:t>A</w:t>
      </w:r>
      <w:r w:rsidR="000E7EAA" w:rsidRPr="00FA4570">
        <w:rPr>
          <w:sz w:val="28"/>
          <w:szCs w:val="28"/>
        </w:rPr>
        <w:t>ppearances</w:t>
      </w:r>
    </w:p>
    <w:p w14:paraId="033038F4" w14:textId="5ED5C2FD" w:rsidR="00F43000" w:rsidRPr="00FA4570" w:rsidRDefault="00F43000" w:rsidP="00F43000">
      <w:pPr>
        <w:spacing w:line="360" w:lineRule="auto"/>
        <w:rPr>
          <w:sz w:val="28"/>
          <w:szCs w:val="28"/>
        </w:rPr>
      </w:pPr>
      <w:r w:rsidRPr="00FA4570">
        <w:rPr>
          <w:sz w:val="28"/>
          <w:szCs w:val="28"/>
        </w:rPr>
        <w:t>For</w:t>
      </w:r>
      <w:r w:rsidR="00783DBA" w:rsidRPr="00FA4570">
        <w:rPr>
          <w:sz w:val="28"/>
          <w:szCs w:val="28"/>
        </w:rPr>
        <w:t xml:space="preserve"> the</w:t>
      </w:r>
      <w:r w:rsidRPr="00FA4570">
        <w:rPr>
          <w:sz w:val="28"/>
          <w:szCs w:val="28"/>
        </w:rPr>
        <w:t xml:space="preserve"> appellant:</w:t>
      </w:r>
      <w:r w:rsidRPr="00FA4570">
        <w:rPr>
          <w:sz w:val="28"/>
          <w:szCs w:val="28"/>
        </w:rPr>
        <w:tab/>
      </w:r>
      <w:r w:rsidRPr="00FA4570">
        <w:rPr>
          <w:sz w:val="28"/>
          <w:szCs w:val="28"/>
        </w:rPr>
        <w:tab/>
      </w:r>
      <w:r w:rsidR="00A61409" w:rsidRPr="00FA4570">
        <w:rPr>
          <w:sz w:val="28"/>
          <w:szCs w:val="28"/>
        </w:rPr>
        <w:tab/>
      </w:r>
      <w:r w:rsidR="000E7EAA" w:rsidRPr="00FA4570">
        <w:rPr>
          <w:sz w:val="28"/>
          <w:szCs w:val="28"/>
        </w:rPr>
        <w:t>K L Singh</w:t>
      </w:r>
      <w:r w:rsidR="0037387F" w:rsidRPr="00FA4570">
        <w:rPr>
          <w:sz w:val="28"/>
          <w:szCs w:val="28"/>
        </w:rPr>
        <w:t xml:space="preserve"> and </w:t>
      </w:r>
      <w:r w:rsidR="00455B10" w:rsidRPr="00FA4570">
        <w:rPr>
          <w:sz w:val="28"/>
          <w:szCs w:val="28"/>
        </w:rPr>
        <w:t>B Mbokazi</w:t>
      </w:r>
    </w:p>
    <w:p w14:paraId="6C05A63B" w14:textId="35B5DCB3" w:rsidR="00F43000" w:rsidRPr="00FA4570" w:rsidRDefault="00F43000" w:rsidP="00F43000">
      <w:pPr>
        <w:spacing w:line="360" w:lineRule="auto"/>
        <w:rPr>
          <w:bCs/>
          <w:sz w:val="28"/>
          <w:szCs w:val="28"/>
        </w:rPr>
      </w:pPr>
      <w:r w:rsidRPr="00FA4570">
        <w:rPr>
          <w:bCs/>
          <w:sz w:val="28"/>
          <w:szCs w:val="28"/>
        </w:rPr>
        <w:t>Instructed by:</w:t>
      </w:r>
      <w:r w:rsidRPr="00FA4570">
        <w:rPr>
          <w:bCs/>
          <w:sz w:val="28"/>
          <w:szCs w:val="28"/>
        </w:rPr>
        <w:tab/>
      </w:r>
      <w:r w:rsidRPr="00FA4570">
        <w:rPr>
          <w:bCs/>
          <w:sz w:val="28"/>
          <w:szCs w:val="28"/>
        </w:rPr>
        <w:tab/>
      </w:r>
      <w:r w:rsidR="00A61409" w:rsidRPr="00FA4570">
        <w:rPr>
          <w:bCs/>
          <w:sz w:val="28"/>
          <w:szCs w:val="28"/>
        </w:rPr>
        <w:tab/>
      </w:r>
      <w:r w:rsidR="00FA782A" w:rsidRPr="00FA4570">
        <w:rPr>
          <w:bCs/>
          <w:sz w:val="28"/>
          <w:szCs w:val="28"/>
        </w:rPr>
        <w:t>Director of Public Prosecutions</w:t>
      </w:r>
      <w:r w:rsidRPr="00FA4570">
        <w:rPr>
          <w:bCs/>
          <w:sz w:val="28"/>
          <w:szCs w:val="28"/>
        </w:rPr>
        <w:t xml:space="preserve">, </w:t>
      </w:r>
      <w:r w:rsidR="00FA782A" w:rsidRPr="00FA4570">
        <w:rPr>
          <w:bCs/>
          <w:sz w:val="28"/>
          <w:szCs w:val="28"/>
        </w:rPr>
        <w:t>Durban</w:t>
      </w:r>
      <w:r w:rsidRPr="00FA4570">
        <w:rPr>
          <w:bCs/>
          <w:sz w:val="28"/>
          <w:szCs w:val="28"/>
        </w:rPr>
        <w:t xml:space="preserve"> </w:t>
      </w:r>
    </w:p>
    <w:p w14:paraId="020234AD" w14:textId="34A70A66" w:rsidR="00F43000" w:rsidRPr="00FA4570" w:rsidRDefault="00F43000" w:rsidP="00455B10">
      <w:pPr>
        <w:spacing w:line="360" w:lineRule="auto"/>
        <w:ind w:left="459" w:firstLine="1701"/>
        <w:rPr>
          <w:bCs/>
          <w:sz w:val="28"/>
          <w:szCs w:val="28"/>
        </w:rPr>
      </w:pPr>
      <w:r w:rsidRPr="00FA4570">
        <w:rPr>
          <w:bCs/>
          <w:sz w:val="28"/>
          <w:szCs w:val="28"/>
        </w:rPr>
        <w:tab/>
      </w:r>
      <w:r w:rsidR="00A61409" w:rsidRPr="00FA4570">
        <w:rPr>
          <w:bCs/>
          <w:sz w:val="28"/>
          <w:szCs w:val="28"/>
        </w:rPr>
        <w:tab/>
      </w:r>
      <w:r w:rsidR="00FA782A" w:rsidRPr="00FA4570">
        <w:rPr>
          <w:bCs/>
          <w:sz w:val="28"/>
          <w:szCs w:val="28"/>
        </w:rPr>
        <w:t xml:space="preserve">Director of Public Prosecutions, </w:t>
      </w:r>
      <w:r w:rsidR="00455B10" w:rsidRPr="00FA4570">
        <w:rPr>
          <w:bCs/>
          <w:sz w:val="28"/>
          <w:szCs w:val="28"/>
        </w:rPr>
        <w:t>Bloemfontein</w:t>
      </w:r>
    </w:p>
    <w:p w14:paraId="0746CA11" w14:textId="77777777" w:rsidR="00455B10" w:rsidRPr="00FA4570" w:rsidRDefault="00455B10" w:rsidP="00455B10">
      <w:pPr>
        <w:spacing w:line="360" w:lineRule="auto"/>
        <w:ind w:left="459" w:firstLine="1701"/>
        <w:rPr>
          <w:bCs/>
          <w:sz w:val="28"/>
          <w:szCs w:val="28"/>
        </w:rPr>
      </w:pPr>
    </w:p>
    <w:p w14:paraId="7303CDA2" w14:textId="795B4B28" w:rsidR="000E7EAA" w:rsidRPr="00FA4570" w:rsidRDefault="00F43000" w:rsidP="00F43000">
      <w:pPr>
        <w:spacing w:line="360" w:lineRule="auto"/>
        <w:rPr>
          <w:sz w:val="28"/>
          <w:szCs w:val="28"/>
        </w:rPr>
      </w:pPr>
      <w:r w:rsidRPr="00FA4570">
        <w:rPr>
          <w:sz w:val="28"/>
          <w:szCs w:val="28"/>
        </w:rPr>
        <w:t>For</w:t>
      </w:r>
      <w:r w:rsidR="00783DBA" w:rsidRPr="00FA4570">
        <w:rPr>
          <w:sz w:val="28"/>
          <w:szCs w:val="28"/>
        </w:rPr>
        <w:t xml:space="preserve"> the</w:t>
      </w:r>
      <w:r w:rsidR="000D28CE" w:rsidRPr="00FA4570">
        <w:rPr>
          <w:sz w:val="28"/>
          <w:szCs w:val="28"/>
        </w:rPr>
        <w:t xml:space="preserve"> </w:t>
      </w:r>
      <w:r w:rsidRPr="00FA4570">
        <w:rPr>
          <w:sz w:val="28"/>
          <w:szCs w:val="28"/>
        </w:rPr>
        <w:t>respondent:</w:t>
      </w:r>
      <w:r w:rsidR="00D7114E" w:rsidRPr="00FA4570">
        <w:rPr>
          <w:sz w:val="28"/>
          <w:szCs w:val="28"/>
        </w:rPr>
        <w:tab/>
      </w:r>
      <w:r w:rsidR="00A61409" w:rsidRPr="00FA4570">
        <w:rPr>
          <w:sz w:val="28"/>
          <w:szCs w:val="28"/>
        </w:rPr>
        <w:tab/>
      </w:r>
      <w:r w:rsidR="000E7EAA" w:rsidRPr="00FA4570">
        <w:rPr>
          <w:sz w:val="28"/>
          <w:szCs w:val="28"/>
        </w:rPr>
        <w:t>L Barnard</w:t>
      </w:r>
    </w:p>
    <w:p w14:paraId="32BB6471" w14:textId="09814E56" w:rsidR="00F43000" w:rsidRPr="00FA4570" w:rsidRDefault="00F43000" w:rsidP="00F43000">
      <w:pPr>
        <w:spacing w:line="360" w:lineRule="auto"/>
        <w:rPr>
          <w:bCs/>
          <w:sz w:val="28"/>
          <w:szCs w:val="28"/>
        </w:rPr>
      </w:pPr>
      <w:r w:rsidRPr="00FA4570">
        <w:rPr>
          <w:bCs/>
          <w:sz w:val="28"/>
          <w:szCs w:val="28"/>
        </w:rPr>
        <w:t>Instructed by:</w:t>
      </w:r>
      <w:r w:rsidRPr="00FA4570">
        <w:rPr>
          <w:bCs/>
          <w:sz w:val="28"/>
          <w:szCs w:val="28"/>
        </w:rPr>
        <w:tab/>
      </w:r>
      <w:r w:rsidRPr="00FA4570">
        <w:rPr>
          <w:bCs/>
          <w:sz w:val="28"/>
          <w:szCs w:val="28"/>
        </w:rPr>
        <w:tab/>
      </w:r>
      <w:r w:rsidR="00A61409" w:rsidRPr="00FA4570">
        <w:rPr>
          <w:bCs/>
          <w:sz w:val="28"/>
          <w:szCs w:val="28"/>
        </w:rPr>
        <w:tab/>
      </w:r>
      <w:r w:rsidR="00FA782A" w:rsidRPr="00FA4570">
        <w:rPr>
          <w:bCs/>
          <w:sz w:val="28"/>
          <w:szCs w:val="28"/>
        </w:rPr>
        <w:t>Jay Pundit</w:t>
      </w:r>
      <w:r w:rsidR="0091032F" w:rsidRPr="00FA4570">
        <w:rPr>
          <w:bCs/>
          <w:sz w:val="28"/>
          <w:szCs w:val="28"/>
        </w:rPr>
        <w:t xml:space="preserve"> &amp; Co, </w:t>
      </w:r>
      <w:r w:rsidR="00455B10" w:rsidRPr="00FA4570">
        <w:rPr>
          <w:bCs/>
          <w:sz w:val="28"/>
          <w:szCs w:val="28"/>
        </w:rPr>
        <w:t>KwaDukuza</w:t>
      </w:r>
    </w:p>
    <w:p w14:paraId="455C9B6B" w14:textId="66ADB983" w:rsidR="0091032F" w:rsidRPr="0094406C" w:rsidRDefault="0091032F" w:rsidP="0091032F">
      <w:pPr>
        <w:spacing w:line="360" w:lineRule="auto"/>
        <w:rPr>
          <w:bCs/>
          <w:sz w:val="28"/>
          <w:szCs w:val="28"/>
        </w:rPr>
      </w:pPr>
      <w:r w:rsidRPr="00FA4570">
        <w:rPr>
          <w:bCs/>
          <w:sz w:val="28"/>
          <w:szCs w:val="28"/>
        </w:rPr>
        <w:tab/>
      </w:r>
      <w:r w:rsidRPr="00FA4570">
        <w:rPr>
          <w:bCs/>
          <w:sz w:val="28"/>
          <w:szCs w:val="28"/>
        </w:rPr>
        <w:tab/>
      </w:r>
      <w:r w:rsidRPr="00FA4570">
        <w:rPr>
          <w:bCs/>
          <w:sz w:val="28"/>
          <w:szCs w:val="28"/>
        </w:rPr>
        <w:tab/>
      </w:r>
      <w:r w:rsidRPr="00FA4570">
        <w:rPr>
          <w:bCs/>
          <w:sz w:val="28"/>
          <w:szCs w:val="28"/>
        </w:rPr>
        <w:tab/>
      </w:r>
      <w:r w:rsidRPr="00FA4570">
        <w:rPr>
          <w:bCs/>
          <w:sz w:val="28"/>
          <w:szCs w:val="28"/>
        </w:rPr>
        <w:tab/>
      </w:r>
      <w:r w:rsidR="00FA782A" w:rsidRPr="00FA4570">
        <w:rPr>
          <w:bCs/>
          <w:sz w:val="28"/>
          <w:szCs w:val="28"/>
        </w:rPr>
        <w:t>Blair Attorneys</w:t>
      </w:r>
      <w:r w:rsidRPr="00FA4570">
        <w:rPr>
          <w:bCs/>
          <w:sz w:val="28"/>
          <w:szCs w:val="28"/>
        </w:rPr>
        <w:t>, Bloemfontein</w:t>
      </w:r>
      <w:r w:rsidR="0037387F" w:rsidRPr="00FA4570">
        <w:rPr>
          <w:bCs/>
          <w:sz w:val="28"/>
          <w:szCs w:val="28"/>
        </w:rPr>
        <w:t>.</w:t>
      </w:r>
    </w:p>
    <w:p w14:paraId="4D59A98C" w14:textId="30EB139F" w:rsidR="000D28CE" w:rsidRPr="00B11CC9" w:rsidRDefault="00F43000" w:rsidP="00F43000">
      <w:pPr>
        <w:spacing w:line="360" w:lineRule="auto"/>
        <w:rPr>
          <w:bCs/>
        </w:rPr>
      </w:pPr>
      <w:r w:rsidRPr="00B11CC9">
        <w:rPr>
          <w:bCs/>
        </w:rPr>
        <w:tab/>
      </w:r>
      <w:r w:rsidR="002069E5" w:rsidRPr="00B11CC9">
        <w:rPr>
          <w:bCs/>
        </w:rPr>
        <w:tab/>
      </w:r>
      <w:r w:rsidR="002069E5" w:rsidRPr="00B11CC9">
        <w:rPr>
          <w:bCs/>
        </w:rPr>
        <w:tab/>
      </w:r>
      <w:r w:rsidR="002069E5" w:rsidRPr="00B11CC9">
        <w:rPr>
          <w:bCs/>
        </w:rPr>
        <w:tab/>
      </w:r>
      <w:r w:rsidR="00A61409" w:rsidRPr="00B11CC9">
        <w:rPr>
          <w:bCs/>
        </w:rPr>
        <w:tab/>
      </w:r>
    </w:p>
    <w:p w14:paraId="2512A3E3" w14:textId="77777777" w:rsidR="000D28CE" w:rsidRPr="00B11CC9" w:rsidRDefault="000D28CE" w:rsidP="000D28CE">
      <w:pPr>
        <w:rPr>
          <w:bCs/>
        </w:rPr>
      </w:pPr>
    </w:p>
    <w:p w14:paraId="03CA4278" w14:textId="77777777" w:rsidR="000D28CE" w:rsidRPr="00B11CC9" w:rsidRDefault="000D28CE" w:rsidP="00F43000">
      <w:pPr>
        <w:spacing w:line="360" w:lineRule="auto"/>
        <w:rPr>
          <w:bCs/>
        </w:rPr>
      </w:pPr>
    </w:p>
    <w:p w14:paraId="2913BA9B" w14:textId="77777777" w:rsidR="00F43000" w:rsidRPr="00B11CC9" w:rsidRDefault="00F43000" w:rsidP="00F43000"/>
    <w:p w14:paraId="74EAA732" w14:textId="77777777" w:rsidR="00F43000" w:rsidRPr="00B11CC9" w:rsidRDefault="00F43000" w:rsidP="00F43000">
      <w:pPr>
        <w:rPr>
          <w:bCs/>
        </w:rPr>
      </w:pPr>
    </w:p>
    <w:p w14:paraId="5938CFC7" w14:textId="77777777" w:rsidR="00F43000" w:rsidRPr="00B11CC9" w:rsidRDefault="00F43000" w:rsidP="00040B65">
      <w:pPr>
        <w:spacing w:line="360" w:lineRule="auto"/>
        <w:jc w:val="both"/>
        <w:rPr>
          <w:color w:val="FF0000"/>
        </w:rPr>
      </w:pPr>
    </w:p>
    <w:p w14:paraId="387D93E2" w14:textId="2DFD2D35" w:rsidR="005E0CD4" w:rsidRPr="00B11CC9" w:rsidRDefault="00181F71" w:rsidP="005D58D2">
      <w:pPr>
        <w:spacing w:line="360" w:lineRule="auto"/>
        <w:jc w:val="both"/>
      </w:pPr>
      <w:r w:rsidRPr="00B11CC9">
        <w:tab/>
      </w:r>
      <w:r w:rsidRPr="00B11CC9">
        <w:tab/>
      </w:r>
      <w:r w:rsidRPr="00B11CC9">
        <w:tab/>
      </w:r>
      <w:r w:rsidRPr="00B11CC9">
        <w:tab/>
      </w:r>
      <w:r w:rsidRPr="00B11CC9">
        <w:tab/>
        <w:t xml:space="preserve">        </w:t>
      </w:r>
      <w:r w:rsidR="005E0CD4" w:rsidRPr="00B11CC9">
        <w:t xml:space="preserve">     </w:t>
      </w:r>
    </w:p>
    <w:sectPr w:rsidR="005E0CD4" w:rsidRPr="00B11CC9"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0B833" w14:textId="77777777" w:rsidR="00970E64" w:rsidRDefault="00970E64" w:rsidP="005023EF">
      <w:r>
        <w:separator/>
      </w:r>
    </w:p>
  </w:endnote>
  <w:endnote w:type="continuationSeparator" w:id="0">
    <w:p w14:paraId="3E9828D0" w14:textId="77777777" w:rsidR="00970E64" w:rsidRDefault="00970E64"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A66A7" w14:textId="77777777" w:rsidR="00970E64" w:rsidRDefault="00970E64" w:rsidP="005023EF">
      <w:r>
        <w:separator/>
      </w:r>
    </w:p>
  </w:footnote>
  <w:footnote w:type="continuationSeparator" w:id="0">
    <w:p w14:paraId="6D47E92D" w14:textId="77777777" w:rsidR="00970E64" w:rsidRDefault="00970E64" w:rsidP="005023EF">
      <w:r>
        <w:continuationSeparator/>
      </w:r>
    </w:p>
  </w:footnote>
  <w:footnote w:id="1">
    <w:p w14:paraId="586A657B" w14:textId="0F3B245C" w:rsidR="00AF2447" w:rsidRPr="0094406C" w:rsidRDefault="00AF2447" w:rsidP="00D01685">
      <w:pPr>
        <w:pStyle w:val="FootnoteText"/>
        <w:jc w:val="both"/>
      </w:pPr>
      <w:r w:rsidRPr="0094406C">
        <w:rPr>
          <w:rStyle w:val="FootnoteReference"/>
        </w:rPr>
        <w:footnoteRef/>
      </w:r>
      <w:r w:rsidRPr="0094406C">
        <w:t xml:space="preserve"> </w:t>
      </w:r>
      <w:r w:rsidRPr="0094406C">
        <w:rPr>
          <w:i/>
        </w:rPr>
        <w:t xml:space="preserve">Director of Public Prosecutions, Gauteng Division, Pretoria v </w:t>
      </w:r>
      <w:r w:rsidRPr="00873A6B">
        <w:rPr>
          <w:i/>
        </w:rPr>
        <w:t xml:space="preserve">Moabi </w:t>
      </w:r>
      <w:r w:rsidRPr="00873A6B">
        <w:t>[2017] ZASCA 85</w:t>
      </w:r>
      <w:r w:rsidR="00873A6B">
        <w:t>;</w:t>
      </w:r>
      <w:r w:rsidRPr="00873A6B">
        <w:t xml:space="preserve"> 2017 (2) SACR 384 (SCA) para 46.</w:t>
      </w:r>
    </w:p>
  </w:footnote>
  <w:footnote w:id="2">
    <w:p w14:paraId="56B82A44" w14:textId="7731BE9D" w:rsidR="00AF2447" w:rsidRPr="0094406C" w:rsidRDefault="00AF2447" w:rsidP="00D01685">
      <w:pPr>
        <w:pStyle w:val="FootnoteText"/>
        <w:jc w:val="both"/>
      </w:pPr>
      <w:r w:rsidRPr="0094406C">
        <w:rPr>
          <w:rStyle w:val="FootnoteReference"/>
        </w:rPr>
        <w:footnoteRef/>
      </w:r>
      <w:r w:rsidRPr="0094406C">
        <w:t xml:space="preserve"> </w:t>
      </w:r>
      <w:r w:rsidRPr="008F44F6">
        <w:rPr>
          <w:i/>
          <w:iCs/>
        </w:rPr>
        <w:t>S v Gayiya</w:t>
      </w:r>
      <w:r w:rsidRPr="0094406C">
        <w:t xml:space="preserve"> </w:t>
      </w:r>
      <w:r w:rsidRPr="008F22BD">
        <w:t>[2016] ZASCA 65</w:t>
      </w:r>
      <w:r w:rsidR="00E31363" w:rsidRPr="008F22BD">
        <w:t>;</w:t>
      </w:r>
      <w:r w:rsidR="00E31363">
        <w:t xml:space="preserve"> </w:t>
      </w:r>
      <w:r w:rsidRPr="0094406C">
        <w:t xml:space="preserve">2016 (2) </w:t>
      </w:r>
      <w:r w:rsidRPr="0076488A">
        <w:t>SACR</w:t>
      </w:r>
      <w:r w:rsidRPr="0094406C">
        <w:rPr>
          <w:i/>
        </w:rPr>
        <w:t xml:space="preserve"> </w:t>
      </w:r>
      <w:r w:rsidRPr="0094406C">
        <w:t>165 (SCA).</w:t>
      </w:r>
    </w:p>
  </w:footnote>
  <w:footnote w:id="3">
    <w:p w14:paraId="2D9DE980" w14:textId="5B56CC10" w:rsidR="00AF2447" w:rsidRPr="0094406C" w:rsidRDefault="00AF2447" w:rsidP="00D01685">
      <w:pPr>
        <w:pStyle w:val="FootnoteText"/>
        <w:jc w:val="both"/>
      </w:pPr>
      <w:r w:rsidRPr="0094406C">
        <w:rPr>
          <w:rStyle w:val="FootnoteReference"/>
        </w:rPr>
        <w:footnoteRef/>
      </w:r>
      <w:r w:rsidRPr="0094406C">
        <w:t xml:space="preserve"> </w:t>
      </w:r>
      <w:r w:rsidRPr="0094406C">
        <w:rPr>
          <w:i/>
        </w:rPr>
        <w:t xml:space="preserve">Gayiya </w:t>
      </w:r>
      <w:r w:rsidRPr="0094406C">
        <w:t>fn 2 above para 8 read with para 11.</w:t>
      </w:r>
    </w:p>
  </w:footnote>
  <w:footnote w:id="4">
    <w:p w14:paraId="1DDF017E" w14:textId="469E2112" w:rsidR="00AF2447" w:rsidRPr="0094406C" w:rsidRDefault="00AF2447" w:rsidP="00D01685">
      <w:pPr>
        <w:pStyle w:val="FootnoteText"/>
        <w:jc w:val="both"/>
        <w:rPr>
          <w:i/>
        </w:rPr>
      </w:pPr>
      <w:r w:rsidRPr="0094406C">
        <w:rPr>
          <w:rStyle w:val="FootnoteReference"/>
        </w:rPr>
        <w:footnoteRef/>
      </w:r>
      <w:r w:rsidRPr="0094406C">
        <w:t xml:space="preserve"> </w:t>
      </w:r>
      <w:r w:rsidRPr="0094406C">
        <w:rPr>
          <w:i/>
        </w:rPr>
        <w:t xml:space="preserve">Shange v S </w:t>
      </w:r>
      <w:r>
        <w:t>[2017] ZASCA 51 para 5.</w:t>
      </w:r>
    </w:p>
  </w:footnote>
  <w:footnote w:id="5">
    <w:p w14:paraId="1DEFD803" w14:textId="5F16BF5D" w:rsidR="00AF2447" w:rsidRPr="0094406C" w:rsidRDefault="00AF2447" w:rsidP="00D01685">
      <w:pPr>
        <w:pStyle w:val="FootnoteText"/>
        <w:jc w:val="both"/>
      </w:pPr>
      <w:r w:rsidRPr="0094406C">
        <w:rPr>
          <w:rStyle w:val="FootnoteReference"/>
        </w:rPr>
        <w:footnoteRef/>
      </w:r>
      <w:r w:rsidRPr="0094406C">
        <w:t xml:space="preserve"> </w:t>
      </w:r>
      <w:r w:rsidRPr="0094406C">
        <w:rPr>
          <w:i/>
        </w:rPr>
        <w:t xml:space="preserve">Mtambo v State </w:t>
      </w:r>
      <w:r>
        <w:t xml:space="preserve">[2021] ZASCA 17 </w:t>
      </w:r>
      <w:r w:rsidRPr="0094406C">
        <w:t>para 9.</w:t>
      </w:r>
    </w:p>
  </w:footnote>
  <w:footnote w:id="6">
    <w:p w14:paraId="62002173" w14:textId="2D0CC94A" w:rsidR="00AF2447" w:rsidRPr="0094406C" w:rsidRDefault="00AF2447" w:rsidP="00D01685">
      <w:pPr>
        <w:pStyle w:val="FootnoteText"/>
        <w:jc w:val="both"/>
      </w:pPr>
      <w:r w:rsidRPr="0094406C">
        <w:rPr>
          <w:rStyle w:val="FootnoteReference"/>
        </w:rPr>
        <w:footnoteRef/>
      </w:r>
      <w:r w:rsidRPr="0094406C">
        <w:t xml:space="preserve"> </w:t>
      </w:r>
      <w:r w:rsidRPr="0094406C">
        <w:rPr>
          <w:i/>
        </w:rPr>
        <w:t>S v Langalitshoni</w:t>
      </w:r>
      <w:r w:rsidRPr="0094406C">
        <w:t xml:space="preserve"> </w:t>
      </w:r>
      <w:r w:rsidR="00504826" w:rsidRPr="008F22BD">
        <w:t>[2018] ZAECMHC 75;</w:t>
      </w:r>
      <w:r>
        <w:t xml:space="preserve"> </w:t>
      </w:r>
      <w:r w:rsidRPr="0094406C">
        <w:t>2020 (2) SACR 65 (ECM).</w:t>
      </w:r>
    </w:p>
  </w:footnote>
  <w:footnote w:id="7">
    <w:p w14:paraId="40DB1271" w14:textId="3AB3B7F3" w:rsidR="00AF2447" w:rsidRPr="0094406C" w:rsidRDefault="00AF2447" w:rsidP="00D01685">
      <w:pPr>
        <w:pStyle w:val="FootnoteText"/>
        <w:jc w:val="both"/>
      </w:pPr>
      <w:r w:rsidRPr="0094406C">
        <w:rPr>
          <w:rStyle w:val="FootnoteReference"/>
        </w:rPr>
        <w:footnoteRef/>
      </w:r>
      <w:r w:rsidRPr="0094406C">
        <w:t xml:space="preserve"> </w:t>
      </w:r>
      <w:r w:rsidRPr="0094406C">
        <w:rPr>
          <w:i/>
        </w:rPr>
        <w:t>Langalitshoni</w:t>
      </w:r>
      <w:r w:rsidR="00504826">
        <w:t xml:space="preserve"> </w:t>
      </w:r>
      <w:r w:rsidRPr="0094406C">
        <w:t>para 8.</w:t>
      </w:r>
    </w:p>
  </w:footnote>
  <w:footnote w:id="8">
    <w:p w14:paraId="6B8875B7" w14:textId="1B2CE772" w:rsidR="00AF2447" w:rsidRPr="005C4AC0" w:rsidRDefault="00AF2447" w:rsidP="00D01685">
      <w:pPr>
        <w:pStyle w:val="FootnoteText"/>
        <w:jc w:val="both"/>
        <w:rPr>
          <w:lang w:val="en-ZA"/>
        </w:rPr>
      </w:pPr>
      <w:r>
        <w:rPr>
          <w:rStyle w:val="FootnoteReference"/>
        </w:rPr>
        <w:footnoteRef/>
      </w:r>
      <w:r>
        <w:t xml:space="preserve"> </w:t>
      </w:r>
      <w:r>
        <w:rPr>
          <w:i/>
          <w:iCs/>
          <w:lang w:val="en-ZA"/>
        </w:rPr>
        <w:t>Langalitshoni</w:t>
      </w:r>
      <w:r>
        <w:rPr>
          <w:lang w:val="en-ZA"/>
        </w:rPr>
        <w:t xml:space="preserve"> fn </w:t>
      </w:r>
      <w:r w:rsidR="007252DB">
        <w:rPr>
          <w:lang w:val="en-ZA"/>
        </w:rPr>
        <w:t>6</w:t>
      </w:r>
      <w:r>
        <w:rPr>
          <w:lang w:val="en-ZA"/>
        </w:rPr>
        <w:t xml:space="preserve"> above para 9.</w:t>
      </w:r>
    </w:p>
  </w:footnote>
  <w:footnote w:id="9">
    <w:p w14:paraId="2B9EDE11" w14:textId="3ABB929E" w:rsidR="00AF2447" w:rsidRPr="0094406C" w:rsidRDefault="00AF2447" w:rsidP="00D01685">
      <w:pPr>
        <w:pStyle w:val="FootnoteText"/>
        <w:jc w:val="both"/>
      </w:pPr>
      <w:r w:rsidRPr="0094406C">
        <w:rPr>
          <w:rStyle w:val="FootnoteReference"/>
        </w:rPr>
        <w:footnoteRef/>
      </w:r>
      <w:r w:rsidRPr="0094406C">
        <w:t xml:space="preserve"> </w:t>
      </w:r>
      <w:r w:rsidRPr="0094406C">
        <w:rPr>
          <w:i/>
        </w:rPr>
        <w:t>Langalitshoni</w:t>
      </w:r>
      <w:r w:rsidRPr="0094406C">
        <w:t xml:space="preserve"> fn </w:t>
      </w:r>
      <w:r w:rsidR="007252DB">
        <w:t>6</w:t>
      </w:r>
      <w:r w:rsidRPr="0094406C">
        <w:t xml:space="preserve"> above para 11.</w:t>
      </w:r>
    </w:p>
  </w:footnote>
  <w:footnote w:id="10">
    <w:p w14:paraId="1DE33D4F" w14:textId="1DF9CCA7" w:rsidR="00AF2447" w:rsidRPr="0094406C" w:rsidRDefault="00AF2447" w:rsidP="00D01685">
      <w:pPr>
        <w:pStyle w:val="FootnoteText"/>
        <w:jc w:val="both"/>
      </w:pPr>
      <w:r w:rsidRPr="0094406C">
        <w:rPr>
          <w:rStyle w:val="FootnoteReference"/>
        </w:rPr>
        <w:footnoteRef/>
      </w:r>
      <w:r w:rsidRPr="0094406C">
        <w:t xml:space="preserve"> </w:t>
      </w:r>
      <w:r w:rsidRPr="0094406C">
        <w:rPr>
          <w:i/>
        </w:rPr>
        <w:t>S v Ngomane and Another</w:t>
      </w:r>
      <w:r w:rsidRPr="0094406C">
        <w:t xml:space="preserve"> </w:t>
      </w:r>
      <w:r w:rsidR="00E91B55" w:rsidRPr="008F22BD">
        <w:t>[2021] ZAGPPHC 172;</w:t>
      </w:r>
      <w:r w:rsidR="00E91B55">
        <w:t xml:space="preserve"> </w:t>
      </w:r>
      <w:r w:rsidRPr="0094406C">
        <w:t>2021 (2) SACR 654 (GP).</w:t>
      </w:r>
    </w:p>
  </w:footnote>
  <w:footnote w:id="11">
    <w:p w14:paraId="61708827" w14:textId="2932E88D" w:rsidR="00AF2447" w:rsidRPr="0094406C" w:rsidRDefault="00AF2447" w:rsidP="00D01685">
      <w:pPr>
        <w:pStyle w:val="FootnoteText"/>
        <w:jc w:val="both"/>
      </w:pPr>
      <w:r w:rsidRPr="0094406C">
        <w:rPr>
          <w:rStyle w:val="FootnoteReference"/>
        </w:rPr>
        <w:footnoteRef/>
      </w:r>
      <w:r w:rsidRPr="0094406C">
        <w:t xml:space="preserve"> </w:t>
      </w:r>
      <w:r w:rsidRPr="0094406C">
        <w:rPr>
          <w:i/>
        </w:rPr>
        <w:t xml:space="preserve">Ngomane </w:t>
      </w:r>
      <w:r w:rsidRPr="0094406C">
        <w:t>para 17.</w:t>
      </w:r>
    </w:p>
  </w:footnote>
  <w:footnote w:id="12">
    <w:p w14:paraId="1FF05754" w14:textId="7552BDF2" w:rsidR="00AF2447" w:rsidRPr="005C4AC0" w:rsidRDefault="00AF2447" w:rsidP="00D01685">
      <w:pPr>
        <w:pStyle w:val="FootnoteText"/>
        <w:jc w:val="both"/>
        <w:rPr>
          <w:lang w:val="en-ZA"/>
        </w:rPr>
      </w:pPr>
      <w:r>
        <w:rPr>
          <w:rStyle w:val="FootnoteReference"/>
        </w:rPr>
        <w:footnoteRef/>
      </w:r>
      <w:r>
        <w:t xml:space="preserve"> </w:t>
      </w:r>
      <w:r>
        <w:rPr>
          <w:i/>
          <w:iCs/>
          <w:lang w:val="en-ZA"/>
        </w:rPr>
        <w:t>Ngomane</w:t>
      </w:r>
      <w:r>
        <w:rPr>
          <w:lang w:val="en-ZA"/>
        </w:rPr>
        <w:t xml:space="preserve"> para 19.</w:t>
      </w:r>
    </w:p>
  </w:footnote>
  <w:footnote w:id="13">
    <w:p w14:paraId="65D7271D" w14:textId="31EC38F9" w:rsidR="00AF2447" w:rsidRPr="005C4AC0" w:rsidRDefault="00AF2447" w:rsidP="00D01685">
      <w:pPr>
        <w:pStyle w:val="FootnoteText"/>
        <w:jc w:val="both"/>
        <w:rPr>
          <w:lang w:val="en-ZA"/>
        </w:rPr>
      </w:pPr>
      <w:r>
        <w:rPr>
          <w:rStyle w:val="FootnoteReference"/>
        </w:rPr>
        <w:footnoteRef/>
      </w:r>
      <w:r>
        <w:t xml:space="preserve"> </w:t>
      </w:r>
      <w:r>
        <w:rPr>
          <w:i/>
          <w:iCs/>
          <w:lang w:val="en-ZA"/>
        </w:rPr>
        <w:t>Ngomane</w:t>
      </w:r>
      <w:r>
        <w:rPr>
          <w:lang w:val="en-ZA"/>
        </w:rPr>
        <w:t xml:space="preserve"> para 20.</w:t>
      </w:r>
    </w:p>
  </w:footnote>
  <w:footnote w:id="14">
    <w:p w14:paraId="25261A7B" w14:textId="47362438" w:rsidR="00AF2447" w:rsidRPr="00DC66D3" w:rsidRDefault="00AF2447" w:rsidP="00D01685">
      <w:pPr>
        <w:pStyle w:val="FootnoteText"/>
        <w:jc w:val="both"/>
      </w:pPr>
      <w:r w:rsidRPr="0094406C">
        <w:rPr>
          <w:rStyle w:val="FootnoteReference"/>
        </w:rPr>
        <w:footnoteRef/>
      </w:r>
      <w:r w:rsidRPr="0094406C">
        <w:t xml:space="preserve"> </w:t>
      </w:r>
      <w:r w:rsidRPr="0094406C">
        <w:rPr>
          <w:i/>
        </w:rPr>
        <w:t xml:space="preserve">Chala </w:t>
      </w:r>
      <w:r w:rsidR="007252DB" w:rsidRPr="007252DB">
        <w:rPr>
          <w:i/>
        </w:rPr>
        <w:t xml:space="preserve">and Others v Director of Public Prosecutions, </w:t>
      </w:r>
      <w:r w:rsidR="009E7C8F" w:rsidRPr="007252DB">
        <w:rPr>
          <w:i/>
        </w:rPr>
        <w:t>KwaZulu-Natal,</w:t>
      </w:r>
      <w:r w:rsidR="007252DB" w:rsidRPr="007252DB">
        <w:rPr>
          <w:i/>
        </w:rPr>
        <w:t xml:space="preserve"> and Another </w:t>
      </w:r>
      <w:r w:rsidR="007252DB" w:rsidRPr="007252DB">
        <w:t>[2014] ZAKZPHC 62; 2015 (2) SACR 283 (KZP)</w:t>
      </w:r>
      <w:r>
        <w:t>.</w:t>
      </w:r>
    </w:p>
  </w:footnote>
  <w:footnote w:id="15">
    <w:p w14:paraId="5D733078" w14:textId="67505F6A" w:rsidR="00AF2447" w:rsidRPr="00C20DC3" w:rsidRDefault="00AF2447" w:rsidP="00D01685">
      <w:pPr>
        <w:pStyle w:val="FootnoteText"/>
        <w:jc w:val="both"/>
        <w:rPr>
          <w:lang w:val="en-ZA"/>
        </w:rPr>
      </w:pPr>
      <w:r>
        <w:rPr>
          <w:rStyle w:val="FootnoteReference"/>
        </w:rPr>
        <w:footnoteRef/>
      </w:r>
      <w:r>
        <w:t xml:space="preserve"> </w:t>
      </w:r>
      <w:r>
        <w:rPr>
          <w:i/>
          <w:iCs/>
          <w:lang w:val="en-ZA"/>
        </w:rPr>
        <w:t>Chala</w:t>
      </w:r>
      <w:r>
        <w:rPr>
          <w:lang w:val="en-ZA"/>
        </w:rPr>
        <w:t xml:space="preserve"> para 27.</w:t>
      </w:r>
    </w:p>
  </w:footnote>
  <w:footnote w:id="16">
    <w:p w14:paraId="17AB23F3" w14:textId="643DF6C7" w:rsidR="00AF2447" w:rsidRPr="00A231E2" w:rsidRDefault="00AF2447" w:rsidP="00D01685">
      <w:pPr>
        <w:pStyle w:val="FootnoteText"/>
        <w:jc w:val="both"/>
        <w:rPr>
          <w:lang w:val="en-ZA"/>
        </w:rPr>
      </w:pPr>
      <w:r>
        <w:rPr>
          <w:rStyle w:val="FootnoteReference"/>
        </w:rPr>
        <w:footnoteRef/>
      </w:r>
      <w:r>
        <w:t xml:space="preserve"> </w:t>
      </w:r>
      <w:r>
        <w:rPr>
          <w:i/>
          <w:iCs/>
          <w:lang w:val="en-ZA"/>
        </w:rPr>
        <w:t>Chala</w:t>
      </w:r>
      <w:r>
        <w:rPr>
          <w:lang w:val="en-ZA"/>
        </w:rPr>
        <w:t xml:space="preserve"> para 28.</w:t>
      </w:r>
    </w:p>
  </w:footnote>
  <w:footnote w:id="17">
    <w:p w14:paraId="2D7A0D52" w14:textId="29764A69" w:rsidR="00AF2447" w:rsidRPr="0094406C" w:rsidRDefault="00AF2447" w:rsidP="00D01685">
      <w:pPr>
        <w:pStyle w:val="FootnoteText"/>
        <w:jc w:val="both"/>
      </w:pPr>
      <w:r w:rsidRPr="0094406C">
        <w:rPr>
          <w:rStyle w:val="FootnoteReference"/>
        </w:rPr>
        <w:footnoteRef/>
      </w:r>
      <w:r w:rsidRPr="0094406C">
        <w:t xml:space="preserve"> </w:t>
      </w:r>
      <w:r w:rsidRPr="0094406C">
        <w:rPr>
          <w:i/>
        </w:rPr>
        <w:t>Nxumalo v S</w:t>
      </w:r>
      <w:r w:rsidRPr="0094406C">
        <w:t xml:space="preserve"> [2022] ZAKZDHC 23 (10 February 2022) (Lopes and Ploos Van Amstel JJ).</w:t>
      </w:r>
    </w:p>
  </w:footnote>
  <w:footnote w:id="18">
    <w:p w14:paraId="42384D5B" w14:textId="6D4B4230" w:rsidR="00AF2447" w:rsidRPr="00944F79" w:rsidRDefault="00AF2447" w:rsidP="00D01685">
      <w:pPr>
        <w:pStyle w:val="FootnoteText"/>
        <w:jc w:val="both"/>
        <w:rPr>
          <w:lang w:val="en-ZA"/>
        </w:rPr>
      </w:pPr>
      <w:r>
        <w:rPr>
          <w:rStyle w:val="FootnoteReference"/>
        </w:rPr>
        <w:footnoteRef/>
      </w:r>
      <w:r>
        <w:t xml:space="preserve"> </w:t>
      </w:r>
      <w:r>
        <w:rPr>
          <w:i/>
          <w:iCs/>
          <w:lang w:val="en-ZA"/>
        </w:rPr>
        <w:t>Nxumalo</w:t>
      </w:r>
      <w:r>
        <w:rPr>
          <w:lang w:val="en-ZA"/>
        </w:rPr>
        <w:t xml:space="preserve"> para 7.</w:t>
      </w:r>
    </w:p>
  </w:footnote>
  <w:footnote w:id="19">
    <w:p w14:paraId="6CF5C2D8" w14:textId="715011FB" w:rsidR="00AF2447" w:rsidRPr="0094406C" w:rsidRDefault="00AF2447" w:rsidP="00D01685">
      <w:pPr>
        <w:pStyle w:val="FootnoteText"/>
        <w:jc w:val="both"/>
      </w:pPr>
      <w:r w:rsidRPr="0094406C">
        <w:rPr>
          <w:rStyle w:val="FootnoteReference"/>
        </w:rPr>
        <w:footnoteRef/>
      </w:r>
      <w:r w:rsidRPr="0094406C">
        <w:t xml:space="preserve"> </w:t>
      </w:r>
      <w:r w:rsidRPr="0094406C">
        <w:rPr>
          <w:i/>
        </w:rPr>
        <w:t>Hlatshwayo and Another v State</w:t>
      </w:r>
      <w:r w:rsidRPr="0094406C">
        <w:t xml:space="preserve"> [2022] ZAKPHC 8 (28 March 2022) (Bezuidenhout AJ and Ploos </w:t>
      </w:r>
      <w:r>
        <w:t>v</w:t>
      </w:r>
      <w:r w:rsidRPr="0094406C">
        <w:t>an Amstel J).</w:t>
      </w:r>
    </w:p>
  </w:footnote>
  <w:footnote w:id="20">
    <w:p w14:paraId="56987CBF" w14:textId="3E278B03" w:rsidR="00AF2447" w:rsidRPr="0094406C" w:rsidRDefault="00AF2447" w:rsidP="00D01685">
      <w:pPr>
        <w:pStyle w:val="FootnoteText"/>
        <w:jc w:val="both"/>
      </w:pPr>
      <w:r w:rsidRPr="0094406C">
        <w:rPr>
          <w:rStyle w:val="FootnoteReference"/>
        </w:rPr>
        <w:footnoteRef/>
      </w:r>
      <w:r w:rsidRPr="0094406C">
        <w:t xml:space="preserve"> </w:t>
      </w:r>
      <w:r w:rsidRPr="0094406C">
        <w:rPr>
          <w:i/>
        </w:rPr>
        <w:t>Zulu v State</w:t>
      </w:r>
      <w:r w:rsidRPr="0094406C">
        <w:t xml:space="preserve"> [2022] ZAKPHC 20 (13 May 2022) (Khallil AJ and Chili J).</w:t>
      </w:r>
    </w:p>
  </w:footnote>
  <w:footnote w:id="21">
    <w:p w14:paraId="72ED50A5" w14:textId="035D62DE" w:rsidR="00AF2447" w:rsidRPr="0094406C" w:rsidRDefault="00AF2447" w:rsidP="00D01685">
      <w:pPr>
        <w:pStyle w:val="FootnoteText"/>
        <w:jc w:val="both"/>
      </w:pPr>
      <w:r w:rsidRPr="0094406C">
        <w:rPr>
          <w:rStyle w:val="FootnoteReference"/>
        </w:rPr>
        <w:footnoteRef/>
      </w:r>
      <w:r w:rsidRPr="0094406C">
        <w:t xml:space="preserve"> </w:t>
      </w:r>
      <w:r w:rsidRPr="0094406C">
        <w:rPr>
          <w:i/>
        </w:rPr>
        <w:t xml:space="preserve">Green v State </w:t>
      </w:r>
      <w:r w:rsidRPr="0094406C">
        <w:t>[2022] ZAKPHC (29 July 2022) (Du</w:t>
      </w:r>
      <w:r>
        <w:t>m</w:t>
      </w:r>
      <w:r w:rsidRPr="0094406C">
        <w:t>isa AJ and Olsen J).</w:t>
      </w:r>
    </w:p>
  </w:footnote>
  <w:footnote w:id="22">
    <w:p w14:paraId="5A2E24BF" w14:textId="32E3143C" w:rsidR="00094490" w:rsidRPr="00094490" w:rsidRDefault="00094490" w:rsidP="00D01685">
      <w:pPr>
        <w:pStyle w:val="FootnoteText"/>
        <w:jc w:val="both"/>
        <w:rPr>
          <w:lang w:val="en-ZA"/>
        </w:rPr>
      </w:pPr>
      <w:r>
        <w:rPr>
          <w:rStyle w:val="FootnoteReference"/>
        </w:rPr>
        <w:footnoteRef/>
      </w:r>
      <w:r>
        <w:t xml:space="preserve"> </w:t>
      </w:r>
      <w:r w:rsidRPr="00094490">
        <w:t xml:space="preserve">Judgment in the matter presently under appeal was delivered on 10 June 2022, after </w:t>
      </w:r>
      <w:r w:rsidRPr="00094490">
        <w:rPr>
          <w:i/>
          <w:iCs/>
        </w:rPr>
        <w:t>Green</w:t>
      </w:r>
      <w:r w:rsidRPr="00094490">
        <w:t xml:space="preserve"> was argued, but before judgment was delivered.</w:t>
      </w:r>
    </w:p>
  </w:footnote>
  <w:footnote w:id="23">
    <w:p w14:paraId="2B5C07FF" w14:textId="6B842CC3" w:rsidR="00AF2447" w:rsidRPr="0094406C" w:rsidRDefault="00AF2447" w:rsidP="00D01685">
      <w:pPr>
        <w:pStyle w:val="FootnoteText"/>
        <w:jc w:val="both"/>
      </w:pPr>
      <w:r w:rsidRPr="0094406C">
        <w:rPr>
          <w:rStyle w:val="FootnoteReference"/>
        </w:rPr>
        <w:footnoteRef/>
      </w:r>
      <w:r w:rsidRPr="0094406C">
        <w:t xml:space="preserve"> </w:t>
      </w:r>
      <w:r w:rsidRPr="0094406C">
        <w:rPr>
          <w:i/>
        </w:rPr>
        <w:t xml:space="preserve">Green </w:t>
      </w:r>
      <w:r>
        <w:t>fn 2</w:t>
      </w:r>
      <w:r w:rsidR="006D01FC">
        <w:t>1</w:t>
      </w:r>
      <w:r w:rsidRPr="0094406C">
        <w:t xml:space="preserve"> above para 2</w:t>
      </w:r>
      <w:r w:rsidR="006D01FC">
        <w:t>1</w:t>
      </w:r>
      <w:r w:rsidRPr="0094406C">
        <w:t>.</w:t>
      </w:r>
    </w:p>
  </w:footnote>
  <w:footnote w:id="24">
    <w:p w14:paraId="69D13D6D" w14:textId="0E7ACD6A" w:rsidR="001E1A02" w:rsidRPr="00B45EEA" w:rsidRDefault="001E1A02" w:rsidP="00D01685">
      <w:pPr>
        <w:pStyle w:val="FootnoteText"/>
        <w:jc w:val="both"/>
      </w:pPr>
      <w:r>
        <w:rPr>
          <w:rStyle w:val="FootnoteReference"/>
        </w:rPr>
        <w:footnoteRef/>
      </w:r>
      <w:r>
        <w:t xml:space="preserve"> </w:t>
      </w:r>
      <w:r w:rsidRPr="00B45EEA">
        <w:t xml:space="preserve">As erroneously stated in </w:t>
      </w:r>
      <w:r w:rsidRPr="00B45EEA">
        <w:rPr>
          <w:i/>
        </w:rPr>
        <w:t>Nxumalo</w:t>
      </w:r>
      <w:r w:rsidRPr="00B45EEA">
        <w:t xml:space="preserve"> and </w:t>
      </w:r>
      <w:r w:rsidRPr="00B45EEA">
        <w:rPr>
          <w:i/>
        </w:rPr>
        <w:t>Hlatshwayo</w:t>
      </w:r>
      <w:r w:rsidRPr="00B45EEA">
        <w:t xml:space="preserve">. See para </w:t>
      </w:r>
      <w:r w:rsidR="007252DB">
        <w:t>19</w:t>
      </w:r>
      <w:r w:rsidRPr="00B45EEA">
        <w:t xml:space="preserve"> </w:t>
      </w:r>
      <w:r w:rsidR="00B45EEA" w:rsidRPr="00B45EEA">
        <w:t>above.</w:t>
      </w:r>
    </w:p>
  </w:footnote>
  <w:footnote w:id="25">
    <w:p w14:paraId="488D31D1" w14:textId="713538A8" w:rsidR="001E1A02" w:rsidRPr="001E1A02" w:rsidRDefault="001E1A02" w:rsidP="00D01685">
      <w:pPr>
        <w:pStyle w:val="FootnoteText"/>
        <w:jc w:val="both"/>
      </w:pPr>
      <w:r w:rsidRPr="00B45EEA">
        <w:rPr>
          <w:rStyle w:val="FootnoteReference"/>
        </w:rPr>
        <w:footnoteRef/>
      </w:r>
      <w:r w:rsidRPr="00B45EEA">
        <w:t xml:space="preserve"> </w:t>
      </w:r>
      <w:r w:rsidRPr="00B45EEA">
        <w:rPr>
          <w:i/>
        </w:rPr>
        <w:t>Gayiya</w:t>
      </w:r>
      <w:r w:rsidRPr="00B45EEA">
        <w:t xml:space="preserve"> fn </w:t>
      </w:r>
      <w:r w:rsidR="001327E6" w:rsidRPr="00B45EEA">
        <w:t>2 above para 7.</w:t>
      </w:r>
    </w:p>
  </w:footnote>
  <w:footnote w:id="26">
    <w:p w14:paraId="70FC2EA1" w14:textId="64741002" w:rsidR="00AF2447" w:rsidRPr="00687691" w:rsidRDefault="00AF2447" w:rsidP="00D01685">
      <w:pPr>
        <w:pStyle w:val="FootnoteText"/>
        <w:jc w:val="both"/>
        <w:rPr>
          <w:lang w:val="en-ZA"/>
        </w:rPr>
      </w:pPr>
      <w:r>
        <w:rPr>
          <w:rStyle w:val="FootnoteReference"/>
        </w:rPr>
        <w:footnoteRef/>
      </w:r>
      <w:r>
        <w:t xml:space="preserve"> </w:t>
      </w:r>
      <w:r>
        <w:rPr>
          <w:lang w:val="en-ZA"/>
        </w:rPr>
        <w:t>The section appears in Chapter XII of the MC Act, which relates to the criminal jurisdiction of the magistrate’s court.</w:t>
      </w:r>
    </w:p>
  </w:footnote>
  <w:footnote w:id="27">
    <w:p w14:paraId="484C37A1" w14:textId="653C764E" w:rsidR="00AF2447" w:rsidRDefault="00AF2447" w:rsidP="00D01685">
      <w:pPr>
        <w:pStyle w:val="FootnoteText"/>
        <w:jc w:val="both"/>
        <w:rPr>
          <w:lang w:val="en-ZA"/>
        </w:rPr>
      </w:pPr>
      <w:r>
        <w:rPr>
          <w:rStyle w:val="FootnoteReference"/>
        </w:rPr>
        <w:footnoteRef/>
      </w:r>
      <w:r>
        <w:t xml:space="preserve"> </w:t>
      </w:r>
      <w:r>
        <w:rPr>
          <w:lang w:val="en-ZA"/>
        </w:rPr>
        <w:t>MC Act s 93</w:t>
      </w:r>
      <w:r>
        <w:rPr>
          <w:i/>
          <w:iCs/>
          <w:lang w:val="en-ZA"/>
        </w:rPr>
        <w:t>ter</w:t>
      </w:r>
      <w:r>
        <w:rPr>
          <w:lang w:val="en-ZA"/>
        </w:rPr>
        <w:t>(11) provides:</w:t>
      </w:r>
    </w:p>
    <w:p w14:paraId="01E6A8FD" w14:textId="184E1C9E" w:rsidR="00AF2447" w:rsidRPr="003F7FF6" w:rsidRDefault="00AF2447" w:rsidP="00D01685">
      <w:pPr>
        <w:pStyle w:val="FootnoteText"/>
        <w:jc w:val="both"/>
        <w:rPr>
          <w:lang w:val="en-ZA"/>
        </w:rPr>
      </w:pPr>
      <w:r>
        <w:rPr>
          <w:lang w:val="en-ZA"/>
        </w:rPr>
        <w:t>‘</w:t>
      </w:r>
      <w:r w:rsidRPr="003F7FF6">
        <w:rPr>
          <w:lang w:val="en-ZA"/>
        </w:rPr>
        <w:t>(</w:t>
      </w:r>
      <w:r w:rsidRPr="003F7FF6">
        <w:rPr>
          <w:i/>
          <w:iCs/>
          <w:lang w:val="en-ZA"/>
        </w:rPr>
        <w:t>a</w:t>
      </w:r>
      <w:r w:rsidRPr="003F7FF6">
        <w:rPr>
          <w:lang w:val="en-ZA"/>
        </w:rPr>
        <w:t>) If an assessor—</w:t>
      </w:r>
    </w:p>
    <w:p w14:paraId="1F649ED9" w14:textId="120F0102" w:rsidR="00AF2447" w:rsidRPr="003F7FF6" w:rsidRDefault="00AF2447" w:rsidP="00D01685">
      <w:pPr>
        <w:pStyle w:val="FootnoteText"/>
        <w:jc w:val="both"/>
        <w:rPr>
          <w:lang w:val="en-ZA"/>
        </w:rPr>
      </w:pPr>
      <w:r w:rsidRPr="003F7FF6">
        <w:rPr>
          <w:lang w:val="en-ZA"/>
        </w:rPr>
        <w:t>(i)</w:t>
      </w:r>
      <w:r>
        <w:rPr>
          <w:lang w:val="en-ZA"/>
        </w:rPr>
        <w:t xml:space="preserve"> </w:t>
      </w:r>
      <w:r w:rsidRPr="003F7FF6">
        <w:rPr>
          <w:lang w:val="en-ZA"/>
        </w:rPr>
        <w:t>dies;</w:t>
      </w:r>
    </w:p>
    <w:p w14:paraId="05C2E121" w14:textId="5E57F9CB" w:rsidR="00AF2447" w:rsidRPr="003F7FF6" w:rsidRDefault="00AF2447" w:rsidP="00D01685">
      <w:pPr>
        <w:pStyle w:val="FootnoteText"/>
        <w:jc w:val="both"/>
        <w:rPr>
          <w:lang w:val="en-ZA"/>
        </w:rPr>
      </w:pPr>
      <w:r w:rsidRPr="003F7FF6">
        <w:rPr>
          <w:lang w:val="en-ZA"/>
        </w:rPr>
        <w:t>(ii)</w:t>
      </w:r>
      <w:r>
        <w:rPr>
          <w:lang w:val="en-ZA"/>
        </w:rPr>
        <w:t xml:space="preserve"> </w:t>
      </w:r>
      <w:r w:rsidRPr="003F7FF6">
        <w:rPr>
          <w:lang w:val="en-ZA"/>
        </w:rPr>
        <w:t>in the opinion of the presiding officer becomes unable to act as an assessor;</w:t>
      </w:r>
    </w:p>
    <w:p w14:paraId="51D51B8B" w14:textId="01871682" w:rsidR="00AF2447" w:rsidRPr="003F7FF6" w:rsidRDefault="00AF2447" w:rsidP="00D01685">
      <w:pPr>
        <w:pStyle w:val="FootnoteText"/>
        <w:jc w:val="both"/>
        <w:rPr>
          <w:lang w:val="en-ZA"/>
        </w:rPr>
      </w:pPr>
      <w:r w:rsidRPr="003F7FF6">
        <w:rPr>
          <w:lang w:val="en-ZA"/>
        </w:rPr>
        <w:t>(iii</w:t>
      </w:r>
      <w:r>
        <w:rPr>
          <w:lang w:val="en-ZA"/>
        </w:rPr>
        <w:t xml:space="preserve">) </w:t>
      </w:r>
      <w:r w:rsidRPr="003F7FF6">
        <w:rPr>
          <w:lang w:val="en-ZA"/>
        </w:rPr>
        <w:t>is for any reason absent; or</w:t>
      </w:r>
    </w:p>
    <w:p w14:paraId="31179628" w14:textId="1237A6E2" w:rsidR="00AF2447" w:rsidRPr="003F7FF6" w:rsidRDefault="00AF2447" w:rsidP="00D01685">
      <w:pPr>
        <w:pStyle w:val="FootnoteText"/>
        <w:jc w:val="both"/>
        <w:rPr>
          <w:lang w:val="en-ZA"/>
        </w:rPr>
      </w:pPr>
      <w:r w:rsidRPr="003F7FF6">
        <w:rPr>
          <w:lang w:val="en-ZA"/>
        </w:rPr>
        <w:t>(iv)</w:t>
      </w:r>
      <w:r>
        <w:rPr>
          <w:lang w:val="en-ZA"/>
        </w:rPr>
        <w:t xml:space="preserve"> </w:t>
      </w:r>
      <w:r w:rsidRPr="003F7FF6">
        <w:rPr>
          <w:lang w:val="en-ZA"/>
        </w:rPr>
        <w:t>has been ordered to recuse himself or herself or has recused himself or herself in terms of </w:t>
      </w:r>
      <w:hyperlink r:id="rId1" w:anchor="gp" w:history="1">
        <w:r w:rsidRPr="003F7FF6">
          <w:rPr>
            <w:rStyle w:val="Hyperlink"/>
            <w:color w:val="auto"/>
            <w:u w:val="none"/>
            <w:lang w:val="en-ZA"/>
          </w:rPr>
          <w:t>subsection (10)</w:t>
        </w:r>
      </w:hyperlink>
      <w:r w:rsidRPr="003F7FF6">
        <w:rPr>
          <w:lang w:val="en-ZA"/>
        </w:rPr>
        <w:t>,</w:t>
      </w:r>
    </w:p>
    <w:p w14:paraId="70E844FC" w14:textId="77777777" w:rsidR="00AF2447" w:rsidRPr="003F7FF6" w:rsidRDefault="00AF2447" w:rsidP="00D01685">
      <w:pPr>
        <w:pStyle w:val="FootnoteText"/>
        <w:jc w:val="both"/>
        <w:rPr>
          <w:lang w:val="en-ZA"/>
        </w:rPr>
      </w:pPr>
      <w:r w:rsidRPr="003F7FF6">
        <w:rPr>
          <w:lang w:val="en-ZA"/>
        </w:rPr>
        <w:t>at any stage before the completion of the proceedings concerned, the presiding judicial officer may, in the interests of justice and after due consideration of the arguments put forward by the accused person and the prosecutor—</w:t>
      </w:r>
    </w:p>
    <w:p w14:paraId="601589FA" w14:textId="202C7573" w:rsidR="00AF2447" w:rsidRPr="003F7FF6" w:rsidRDefault="00AF2447" w:rsidP="00D01685">
      <w:pPr>
        <w:pStyle w:val="FootnoteText"/>
        <w:jc w:val="both"/>
        <w:rPr>
          <w:lang w:val="en-ZA"/>
        </w:rPr>
      </w:pPr>
      <w:r w:rsidRPr="003F7FF6">
        <w:rPr>
          <w:lang w:val="en-ZA"/>
        </w:rPr>
        <w:t>(</w:t>
      </w:r>
      <w:r w:rsidRPr="003F7FF6">
        <w:rPr>
          <w:i/>
          <w:iCs/>
          <w:lang w:val="en-ZA"/>
        </w:rPr>
        <w:t>aa</w:t>
      </w:r>
      <w:r w:rsidRPr="003F7FF6">
        <w:rPr>
          <w:lang w:val="en-ZA"/>
        </w:rPr>
        <w:t>)</w:t>
      </w:r>
      <w:r>
        <w:rPr>
          <w:lang w:val="en-ZA"/>
        </w:rPr>
        <w:t xml:space="preserve"> </w:t>
      </w:r>
      <w:r w:rsidRPr="003F7FF6">
        <w:rPr>
          <w:lang w:val="en-ZA"/>
        </w:rPr>
        <w:t>direct that the proceedings continue before the remaining member or members of the court;</w:t>
      </w:r>
    </w:p>
    <w:p w14:paraId="06ECB16F" w14:textId="4B370B8E" w:rsidR="00AF2447" w:rsidRPr="003F7FF6" w:rsidRDefault="00AF2447" w:rsidP="00D01685">
      <w:pPr>
        <w:pStyle w:val="FootnoteText"/>
        <w:jc w:val="both"/>
        <w:rPr>
          <w:lang w:val="en-ZA"/>
        </w:rPr>
      </w:pPr>
      <w:r w:rsidRPr="003F7FF6">
        <w:rPr>
          <w:lang w:val="en-ZA"/>
        </w:rPr>
        <w:t>(</w:t>
      </w:r>
      <w:r w:rsidRPr="003F7FF6">
        <w:rPr>
          <w:i/>
          <w:iCs/>
          <w:lang w:val="en-ZA"/>
        </w:rPr>
        <w:t>bb</w:t>
      </w:r>
      <w:r w:rsidRPr="003F7FF6">
        <w:rPr>
          <w:lang w:val="en-ZA"/>
        </w:rPr>
        <w:t>)</w:t>
      </w:r>
      <w:r>
        <w:rPr>
          <w:lang w:val="en-ZA"/>
        </w:rPr>
        <w:t xml:space="preserve"> </w:t>
      </w:r>
      <w:r w:rsidRPr="003F7FF6">
        <w:rPr>
          <w:lang w:val="en-ZA"/>
        </w:rPr>
        <w:t>direct that the proceedings start afresh; or</w:t>
      </w:r>
    </w:p>
    <w:p w14:paraId="0E7F326E" w14:textId="6DDC85F9" w:rsidR="00AF2447" w:rsidRPr="003F7FF6" w:rsidRDefault="00AF2447" w:rsidP="00D01685">
      <w:pPr>
        <w:pStyle w:val="FootnoteText"/>
        <w:jc w:val="both"/>
        <w:rPr>
          <w:lang w:val="en-ZA"/>
        </w:rPr>
      </w:pPr>
      <w:r w:rsidRPr="003F7FF6">
        <w:rPr>
          <w:lang w:val="en-ZA"/>
        </w:rPr>
        <w:t>(</w:t>
      </w:r>
      <w:r w:rsidRPr="003F7FF6">
        <w:rPr>
          <w:i/>
          <w:iCs/>
          <w:lang w:val="en-ZA"/>
        </w:rPr>
        <w:t>cc</w:t>
      </w:r>
      <w:r w:rsidRPr="003F7FF6">
        <w:rPr>
          <w:lang w:val="en-ZA"/>
        </w:rPr>
        <w:t>)</w:t>
      </w:r>
      <w:r>
        <w:rPr>
          <w:lang w:val="en-ZA"/>
        </w:rPr>
        <w:t xml:space="preserve"> </w:t>
      </w:r>
      <w:r w:rsidRPr="003F7FF6">
        <w:rPr>
          <w:lang w:val="en-ZA"/>
        </w:rPr>
        <w:t>in the circumstances contemplated in subparagraph (iii), postpone the proceedings in order to obtain the assessor’s presence:</w:t>
      </w:r>
    </w:p>
    <w:p w14:paraId="40BE63DA" w14:textId="6918EC3F" w:rsidR="00AF2447" w:rsidRPr="003F7FF6" w:rsidRDefault="00AF2447" w:rsidP="00D01685">
      <w:pPr>
        <w:pStyle w:val="FootnoteText"/>
        <w:jc w:val="both"/>
        <w:rPr>
          <w:lang w:val="en-ZA"/>
        </w:rPr>
      </w:pPr>
      <w:r w:rsidRPr="003F7FF6">
        <w:rPr>
          <w:lang w:val="en-ZA"/>
        </w:rPr>
        <w:t>Provided that if the accused person has legal representation and the prosecutor and the accused person consent thereto, the proceedings shall, in the circumstances contemplated in subparagraphs (i), (ii) or (iv), continue before the remaining member or members of the court.</w:t>
      </w:r>
      <w:r>
        <w:rPr>
          <w:lang w:val="en-ZA"/>
        </w:rPr>
        <w:t>’</w:t>
      </w:r>
    </w:p>
    <w:p w14:paraId="5037469B" w14:textId="77777777" w:rsidR="00AF2447" w:rsidRPr="003E5876" w:rsidRDefault="00AF2447" w:rsidP="00D01685">
      <w:pPr>
        <w:pStyle w:val="FootnoteText"/>
        <w:jc w:val="both"/>
        <w:rPr>
          <w:lang w:val="en-ZA"/>
        </w:rPr>
      </w:pPr>
    </w:p>
  </w:footnote>
  <w:footnote w:id="28">
    <w:p w14:paraId="40333FFE" w14:textId="545BE0B0" w:rsidR="00AF2447" w:rsidRPr="0004651E" w:rsidRDefault="00AF2447" w:rsidP="00D01685">
      <w:pPr>
        <w:pStyle w:val="FootnoteText"/>
        <w:jc w:val="both"/>
      </w:pPr>
      <w:r>
        <w:rPr>
          <w:rStyle w:val="FootnoteReference"/>
        </w:rPr>
        <w:footnoteRef/>
      </w:r>
      <w:r>
        <w:t xml:space="preserve"> </w:t>
      </w:r>
      <w:r>
        <w:rPr>
          <w:i/>
        </w:rPr>
        <w:t xml:space="preserve">S v Mpongoshe </w:t>
      </w:r>
      <w:r w:rsidRPr="0004651E">
        <w:rPr>
          <w:lang w:val="en-ZA"/>
        </w:rPr>
        <w:t>1980 (4) SA 593 (A) at 603</w:t>
      </w:r>
      <w:r>
        <w:rPr>
          <w:lang w:val="en-ZA"/>
        </w:rPr>
        <w:t>B-C.</w:t>
      </w:r>
      <w:r>
        <w:rPr>
          <w:i/>
        </w:rPr>
        <w:t xml:space="preserve"> </w:t>
      </w:r>
    </w:p>
  </w:footnote>
  <w:footnote w:id="29">
    <w:p w14:paraId="75082FFA" w14:textId="168FC432" w:rsidR="00AF2447" w:rsidRPr="0004651E" w:rsidRDefault="00AF2447" w:rsidP="00D01685">
      <w:pPr>
        <w:pStyle w:val="FootnoteText"/>
        <w:jc w:val="both"/>
      </w:pPr>
      <w:r>
        <w:rPr>
          <w:rStyle w:val="FootnoteReference"/>
        </w:rPr>
        <w:footnoteRef/>
      </w:r>
      <w:r>
        <w:t xml:space="preserve"> </w:t>
      </w:r>
      <w:r>
        <w:rPr>
          <w:i/>
        </w:rPr>
        <w:t>Beyers v Director of Public Prosecutions, Western Cape</w:t>
      </w:r>
      <w:r>
        <w:t xml:space="preserve"> </w:t>
      </w:r>
      <w:r w:rsidRPr="0004651E">
        <w:rPr>
          <w:lang w:val="en-ZA"/>
        </w:rPr>
        <w:t>2003 (1) SACR 164 (C) at 166j-167a</w:t>
      </w:r>
      <w:r>
        <w:rPr>
          <w:lang w:val="en-ZA"/>
        </w:rPr>
        <w:t>.</w:t>
      </w:r>
    </w:p>
  </w:footnote>
  <w:footnote w:id="30">
    <w:p w14:paraId="1D3519DB" w14:textId="0D15241A" w:rsidR="00AF2447" w:rsidRPr="005C7879" w:rsidRDefault="00AF2447" w:rsidP="00D01685">
      <w:pPr>
        <w:pStyle w:val="FootnoteText"/>
        <w:jc w:val="both"/>
      </w:pPr>
      <w:r>
        <w:rPr>
          <w:rStyle w:val="FootnoteReference"/>
        </w:rPr>
        <w:footnoteRef/>
      </w:r>
      <w:r>
        <w:t xml:space="preserve"> See </w:t>
      </w:r>
      <w:r>
        <w:rPr>
          <w:i/>
        </w:rPr>
        <w:t>R v Matonsi</w:t>
      </w:r>
      <w:r>
        <w:t xml:space="preserve"> 1958 (2) SA 450 (A) at 456; </w:t>
      </w:r>
      <w:r>
        <w:rPr>
          <w:i/>
        </w:rPr>
        <w:t>R v Baartman and Others</w:t>
      </w:r>
      <w:r>
        <w:t xml:space="preserve"> 1960 (3) SA 535 at 538; </w:t>
      </w:r>
      <w:r>
        <w:rPr>
          <w:i/>
        </w:rPr>
        <w:t>S v Mkhise; S v Mosia; S v Jones; S v Le Roux</w:t>
      </w:r>
      <w:r>
        <w:t xml:space="preserve"> 1988 (2) SA 868 (A) at 874E; </w:t>
      </w:r>
      <w:r>
        <w:rPr>
          <w:i/>
        </w:rPr>
        <w:t>S v Louw</w:t>
      </w:r>
      <w:r>
        <w:t xml:space="preserve"> 1990 (3) SA 116 (A) at 124B-125E.</w:t>
      </w:r>
    </w:p>
  </w:footnote>
  <w:footnote w:id="31">
    <w:p w14:paraId="36C29C1A" w14:textId="657CCE92" w:rsidR="00AF2447" w:rsidRPr="00F64AAA" w:rsidRDefault="00AF2447" w:rsidP="00D01685">
      <w:pPr>
        <w:pStyle w:val="FootnoteText"/>
        <w:jc w:val="both"/>
      </w:pPr>
      <w:r>
        <w:rPr>
          <w:rStyle w:val="FootnoteReference"/>
        </w:rPr>
        <w:footnoteRef/>
      </w:r>
      <w:r>
        <w:t xml:space="preserve"> </w:t>
      </w:r>
      <w:r>
        <w:rPr>
          <w:i/>
        </w:rPr>
        <w:t>S v Legoa</w:t>
      </w:r>
      <w:r>
        <w:t xml:space="preserve"> [2002] ZASCA 122; 2003 (1) SACR 13 (SCA).</w:t>
      </w:r>
    </w:p>
  </w:footnote>
  <w:footnote w:id="32">
    <w:p w14:paraId="3A41E231" w14:textId="35163B26" w:rsidR="00AF2447" w:rsidRPr="007D0119" w:rsidRDefault="00AF2447" w:rsidP="00D01685">
      <w:pPr>
        <w:pStyle w:val="FootnoteText"/>
        <w:jc w:val="both"/>
      </w:pPr>
      <w:r>
        <w:rPr>
          <w:rStyle w:val="FootnoteReference"/>
        </w:rPr>
        <w:footnoteRef/>
      </w:r>
      <w:r>
        <w:t xml:space="preserve"> </w:t>
      </w:r>
      <w:r>
        <w:rPr>
          <w:i/>
        </w:rPr>
        <w:t xml:space="preserve">Legoa </w:t>
      </w:r>
      <w:r>
        <w:t>para 21.</w:t>
      </w:r>
    </w:p>
  </w:footnote>
  <w:footnote w:id="33">
    <w:p w14:paraId="2D943106" w14:textId="0967B90A" w:rsidR="00AF2447" w:rsidRPr="007D0119" w:rsidRDefault="00AF2447" w:rsidP="00D01685">
      <w:pPr>
        <w:pStyle w:val="FootnoteText"/>
        <w:jc w:val="both"/>
      </w:pPr>
      <w:r>
        <w:rPr>
          <w:rStyle w:val="FootnoteReference"/>
        </w:rPr>
        <w:footnoteRef/>
      </w:r>
      <w:r>
        <w:t xml:space="preserve"> </w:t>
      </w:r>
      <w:r>
        <w:rPr>
          <w:i/>
        </w:rPr>
        <w:t>S v Kolea</w:t>
      </w:r>
      <w:r>
        <w:t xml:space="preserve"> [2012] ZASCA 199; 2013 (1) SACR 409 (SCA) para 8.</w:t>
      </w:r>
    </w:p>
  </w:footnote>
  <w:footnote w:id="34">
    <w:p w14:paraId="27AD5A85" w14:textId="5C5D5436" w:rsidR="00AF2447" w:rsidRPr="00AF2447" w:rsidRDefault="00AF2447" w:rsidP="00D01685">
      <w:pPr>
        <w:pStyle w:val="FootnoteText"/>
        <w:jc w:val="both"/>
      </w:pPr>
      <w:r>
        <w:rPr>
          <w:rStyle w:val="FootnoteReference"/>
        </w:rPr>
        <w:footnoteRef/>
      </w:r>
      <w:r>
        <w:t xml:space="preserve"> </w:t>
      </w:r>
      <w:r>
        <w:rPr>
          <w:i/>
        </w:rPr>
        <w:t>S v Mashinini and Another</w:t>
      </w:r>
      <w:r>
        <w:t xml:space="preserve"> [2012] ZASCA 1; 2012 (1) SACR 604 (SCA) para 51.</w:t>
      </w:r>
    </w:p>
  </w:footnote>
  <w:footnote w:id="35">
    <w:p w14:paraId="79F89013" w14:textId="513A3D28" w:rsidR="00AF2447" w:rsidRPr="00AF2447" w:rsidRDefault="00AF2447" w:rsidP="00D01685">
      <w:pPr>
        <w:pStyle w:val="FootnoteText"/>
        <w:jc w:val="both"/>
      </w:pPr>
      <w:r>
        <w:rPr>
          <w:rStyle w:val="FootnoteReference"/>
        </w:rPr>
        <w:footnoteRef/>
      </w:r>
      <w:r>
        <w:t xml:space="preserve"> </w:t>
      </w:r>
      <w:r>
        <w:rPr>
          <w:i/>
        </w:rPr>
        <w:t>Kolea</w:t>
      </w:r>
      <w:r>
        <w:t xml:space="preserve"> </w:t>
      </w:r>
      <w:r w:rsidR="00FC7A29">
        <w:t>fn</w:t>
      </w:r>
      <w:r w:rsidR="005D4592">
        <w:t xml:space="preserve"> </w:t>
      </w:r>
      <w:r w:rsidR="006D01FC">
        <w:t>33</w:t>
      </w:r>
      <w:r>
        <w:t xml:space="preserve"> above para </w:t>
      </w:r>
      <w:r w:rsidR="006D01FC">
        <w:t>37</w:t>
      </w:r>
      <w:r>
        <w:t>.</w:t>
      </w:r>
    </w:p>
  </w:footnote>
  <w:footnote w:id="36">
    <w:p w14:paraId="01C05656" w14:textId="77777777" w:rsidR="00B23B13" w:rsidRDefault="00B23B13" w:rsidP="00D01685">
      <w:pPr>
        <w:pStyle w:val="FootnoteText"/>
        <w:jc w:val="both"/>
      </w:pPr>
      <w:r>
        <w:rPr>
          <w:rStyle w:val="FootnoteReference"/>
        </w:rPr>
        <w:footnoteRef/>
      </w:r>
      <w:r>
        <w:t xml:space="preserve"> </w:t>
      </w:r>
      <w:r>
        <w:rPr>
          <w:i/>
        </w:rPr>
        <w:t>S v Langalitshoni</w:t>
      </w:r>
      <w:r>
        <w:t xml:space="preserve"> [2018] ZAECMHC 75; 2020 (2) SACR 65 (ECM).</w:t>
      </w:r>
    </w:p>
  </w:footnote>
  <w:footnote w:id="37">
    <w:p w14:paraId="4ABCDBFC" w14:textId="77777777" w:rsidR="00B23B13" w:rsidRDefault="00B23B13" w:rsidP="00D01685">
      <w:pPr>
        <w:pStyle w:val="FootnoteText"/>
        <w:jc w:val="both"/>
      </w:pPr>
      <w:r>
        <w:rPr>
          <w:rStyle w:val="FootnoteReference"/>
        </w:rPr>
        <w:footnoteRef/>
      </w:r>
      <w:r>
        <w:t xml:space="preserve"> </w:t>
      </w:r>
      <w:r>
        <w:rPr>
          <w:iCs/>
        </w:rPr>
        <w:t>Ibid</w:t>
      </w:r>
      <w:r>
        <w:t xml:space="preserve"> para 9.</w:t>
      </w:r>
    </w:p>
  </w:footnote>
  <w:footnote w:id="38">
    <w:p w14:paraId="4A503BF9" w14:textId="77777777" w:rsidR="00B23B13" w:rsidRDefault="00B23B13" w:rsidP="00D01685">
      <w:pPr>
        <w:pStyle w:val="FootnoteText"/>
        <w:jc w:val="both"/>
      </w:pPr>
      <w:r>
        <w:rPr>
          <w:rStyle w:val="FootnoteReference"/>
        </w:rPr>
        <w:footnoteRef/>
      </w:r>
      <w:r>
        <w:t xml:space="preserve"> </w:t>
      </w:r>
      <w:r>
        <w:rPr>
          <w:i/>
        </w:rPr>
        <w:t>S v Ngomane and Another</w:t>
      </w:r>
      <w:r>
        <w:t xml:space="preserve"> [2021] ZAGPPHC 172; 2021 (1) SACR 654 (GP) (</w:t>
      </w:r>
      <w:r>
        <w:rPr>
          <w:i/>
          <w:iCs/>
        </w:rPr>
        <w:t>Ngomane</w:t>
      </w:r>
      <w:r>
        <w:t xml:space="preserve">). </w:t>
      </w:r>
    </w:p>
  </w:footnote>
  <w:footnote w:id="39">
    <w:p w14:paraId="03199FBE" w14:textId="77777777" w:rsidR="00B23B13" w:rsidRDefault="00B23B13" w:rsidP="00D01685">
      <w:pPr>
        <w:pStyle w:val="FootnoteText"/>
        <w:jc w:val="both"/>
      </w:pPr>
      <w:r>
        <w:rPr>
          <w:rStyle w:val="FootnoteReference"/>
        </w:rPr>
        <w:footnoteRef/>
      </w:r>
      <w:r>
        <w:t xml:space="preserve"> </w:t>
      </w:r>
      <w:r>
        <w:rPr>
          <w:i/>
        </w:rPr>
        <w:t>S v</w:t>
      </w:r>
      <w:r>
        <w:t xml:space="preserve"> </w:t>
      </w:r>
      <w:r>
        <w:rPr>
          <w:i/>
        </w:rPr>
        <w:t xml:space="preserve">Nxumalo </w:t>
      </w:r>
      <w:r>
        <w:t xml:space="preserve">[2022] ZAKZDHC 23. </w:t>
      </w:r>
    </w:p>
  </w:footnote>
  <w:footnote w:id="40">
    <w:p w14:paraId="0911FF2A" w14:textId="77777777" w:rsidR="00B23B13" w:rsidRDefault="00B23B13" w:rsidP="00D01685">
      <w:pPr>
        <w:pStyle w:val="FootnoteText"/>
        <w:jc w:val="both"/>
      </w:pPr>
      <w:r>
        <w:rPr>
          <w:rStyle w:val="FootnoteReference"/>
        </w:rPr>
        <w:footnoteRef/>
      </w:r>
      <w:r>
        <w:t xml:space="preserve"> </w:t>
      </w:r>
      <w:r>
        <w:rPr>
          <w:iCs/>
        </w:rPr>
        <w:t>Ibid</w:t>
      </w:r>
      <w:r>
        <w:t xml:space="preserve"> paras 9 and 10.</w:t>
      </w:r>
    </w:p>
  </w:footnote>
  <w:footnote w:id="41">
    <w:p w14:paraId="12769826" w14:textId="77777777" w:rsidR="00B23B13" w:rsidRDefault="00B23B13" w:rsidP="00D01685">
      <w:pPr>
        <w:pStyle w:val="FootnoteText"/>
        <w:jc w:val="both"/>
      </w:pPr>
      <w:r>
        <w:rPr>
          <w:rStyle w:val="FootnoteReference"/>
        </w:rPr>
        <w:footnoteRef/>
      </w:r>
      <w:r>
        <w:t xml:space="preserve"> </w:t>
      </w:r>
      <w:r>
        <w:rPr>
          <w:i/>
        </w:rPr>
        <w:t xml:space="preserve">Capitec Bank Holdings Ltd and Another v Coral Lagoon Investments 194 (Pty) Ltd and Others </w:t>
      </w:r>
      <w:r>
        <w:rPr>
          <w:iCs/>
        </w:rPr>
        <w:t xml:space="preserve">[2021] ZASCA 99; </w:t>
      </w:r>
      <w:r>
        <w:t>2022 (1) SA 100 (SCA) para 25.</w:t>
      </w:r>
    </w:p>
  </w:footnote>
  <w:footnote w:id="42">
    <w:p w14:paraId="6AB7A284" w14:textId="77777777" w:rsidR="00B23B13" w:rsidRDefault="00B23B13" w:rsidP="00D01685">
      <w:pPr>
        <w:pStyle w:val="FootnoteText"/>
        <w:jc w:val="both"/>
        <w:rPr>
          <w:highlight w:val="yellow"/>
        </w:rPr>
      </w:pPr>
      <w:r>
        <w:rPr>
          <w:rStyle w:val="FootnoteReference"/>
        </w:rPr>
        <w:footnoteRef/>
      </w:r>
      <w:r>
        <w:t xml:space="preserve"> </w:t>
      </w:r>
      <w:r>
        <w:rPr>
          <w:i/>
        </w:rPr>
        <w:t>Natal Joint Municipal Pension Fund v</w:t>
      </w:r>
      <w:r>
        <w:t xml:space="preserve"> </w:t>
      </w:r>
      <w:r>
        <w:rPr>
          <w:i/>
        </w:rPr>
        <w:t>Endumeni Municipality</w:t>
      </w:r>
      <w:r>
        <w:t xml:space="preserve"> [2012] ZASCA 13; 2012 (4) SA 593 (SCA) (</w:t>
      </w:r>
      <w:r>
        <w:rPr>
          <w:i/>
          <w:iCs/>
        </w:rPr>
        <w:t>Endumeni</w:t>
      </w:r>
      <w:r>
        <w:t>).</w:t>
      </w:r>
    </w:p>
  </w:footnote>
  <w:footnote w:id="43">
    <w:p w14:paraId="21E27FCE" w14:textId="77777777" w:rsidR="00B23B13" w:rsidRDefault="00B23B13" w:rsidP="00D01685">
      <w:pPr>
        <w:pStyle w:val="FootnoteText"/>
        <w:jc w:val="both"/>
      </w:pPr>
      <w:r>
        <w:rPr>
          <w:rStyle w:val="FootnoteReference"/>
        </w:rPr>
        <w:footnoteRef/>
      </w:r>
      <w:r>
        <w:t xml:space="preserve"> Ibid para 18.</w:t>
      </w:r>
    </w:p>
  </w:footnote>
  <w:footnote w:id="44">
    <w:p w14:paraId="094DB58A" w14:textId="77777777" w:rsidR="00B23B13" w:rsidRDefault="00B23B13" w:rsidP="00D01685">
      <w:pPr>
        <w:pStyle w:val="FootnoteText"/>
        <w:jc w:val="both"/>
      </w:pPr>
      <w:r>
        <w:rPr>
          <w:rStyle w:val="FootnoteReference"/>
        </w:rPr>
        <w:footnoteRef/>
      </w:r>
      <w:r>
        <w:t xml:space="preserve"> </w:t>
      </w:r>
      <w:r>
        <w:rPr>
          <w:i/>
        </w:rPr>
        <w:t>S v</w:t>
      </w:r>
      <w:r>
        <w:t xml:space="preserve"> </w:t>
      </w:r>
      <w:r>
        <w:rPr>
          <w:i/>
        </w:rPr>
        <w:t xml:space="preserve">Gayiya </w:t>
      </w:r>
      <w:r>
        <w:t>[2016] ZASCA 65; 2016 (2) SACR 165 (SCA) paras 8 and 11.</w:t>
      </w:r>
    </w:p>
  </w:footnote>
  <w:footnote w:id="45">
    <w:p w14:paraId="053A2F5A" w14:textId="77777777" w:rsidR="00B23B13" w:rsidRDefault="00B23B13" w:rsidP="00D01685">
      <w:pPr>
        <w:pStyle w:val="FootnoteText"/>
        <w:jc w:val="both"/>
      </w:pPr>
      <w:r>
        <w:rPr>
          <w:rStyle w:val="FootnoteReference"/>
        </w:rPr>
        <w:footnoteRef/>
      </w:r>
      <w:r>
        <w:t xml:space="preserve"> </w:t>
      </w:r>
      <w:r>
        <w:rPr>
          <w:iCs/>
        </w:rPr>
        <w:t>Ibid</w:t>
      </w:r>
      <w:r>
        <w:t xml:space="preserve"> para 8.</w:t>
      </w:r>
    </w:p>
  </w:footnote>
  <w:footnote w:id="46">
    <w:p w14:paraId="2437365C" w14:textId="77777777" w:rsidR="00B23B13" w:rsidRDefault="00B23B13" w:rsidP="00D01685">
      <w:pPr>
        <w:pStyle w:val="FootnoteText"/>
        <w:jc w:val="both"/>
      </w:pPr>
      <w:r>
        <w:rPr>
          <w:rStyle w:val="FootnoteReference"/>
        </w:rPr>
        <w:footnoteRef/>
      </w:r>
      <w:r>
        <w:t xml:space="preserve"> L Brown </w:t>
      </w:r>
      <w:r>
        <w:rPr>
          <w:i/>
        </w:rPr>
        <w:t>The New Shorter Oxford English Dictionary on Historical Principles</w:t>
      </w:r>
      <w:r>
        <w:t xml:space="preserve"> 3 ed (1993) Vol 2 p 2556.</w:t>
      </w:r>
    </w:p>
  </w:footnote>
  <w:footnote w:id="47">
    <w:p w14:paraId="752D36C5" w14:textId="77777777" w:rsidR="00B23B13" w:rsidRDefault="00B23B13" w:rsidP="00D01685">
      <w:pPr>
        <w:pStyle w:val="FootnoteText"/>
        <w:jc w:val="both"/>
      </w:pPr>
      <w:r>
        <w:rPr>
          <w:rStyle w:val="FootnoteReference"/>
        </w:rPr>
        <w:footnoteRef/>
      </w:r>
      <w:r>
        <w:t xml:space="preserve"> https://dictionary.cambridge.org/dictionary/english/request.</w:t>
      </w:r>
    </w:p>
  </w:footnote>
  <w:footnote w:id="48">
    <w:p w14:paraId="629B0B1E" w14:textId="77777777" w:rsidR="00B23B13" w:rsidRDefault="00B23B13" w:rsidP="00D01685">
      <w:pPr>
        <w:pStyle w:val="FootnoteText"/>
        <w:jc w:val="both"/>
      </w:pPr>
      <w:r>
        <w:rPr>
          <w:rStyle w:val="FootnoteReference"/>
        </w:rPr>
        <w:footnoteRef/>
      </w:r>
      <w:r>
        <w:t xml:space="preserve"> https://www.collinsdictionary.com/dictionary/english/request.</w:t>
      </w:r>
    </w:p>
  </w:footnote>
  <w:footnote w:id="49">
    <w:p w14:paraId="710658EF" w14:textId="77777777" w:rsidR="00B23B13" w:rsidRDefault="00B23B13" w:rsidP="00D01685">
      <w:pPr>
        <w:pStyle w:val="FootnoteText"/>
        <w:jc w:val="both"/>
      </w:pPr>
      <w:r>
        <w:rPr>
          <w:rStyle w:val="FootnoteReference"/>
        </w:rPr>
        <w:footnoteRef/>
      </w:r>
      <w:r>
        <w:t xml:space="preserve"> A Kruger </w:t>
      </w:r>
      <w:r>
        <w:rPr>
          <w:i/>
          <w:iCs/>
        </w:rPr>
        <w:t>Hiemstra’s Criminal Procedure</w:t>
      </w:r>
      <w:r>
        <w:t xml:space="preserve"> 21-9 Issue 12 (May 2019).</w:t>
      </w:r>
    </w:p>
  </w:footnote>
  <w:footnote w:id="50">
    <w:p w14:paraId="1B8EBD44" w14:textId="77777777" w:rsidR="00B23B13" w:rsidRDefault="00B23B13" w:rsidP="00D01685">
      <w:pPr>
        <w:pStyle w:val="FootnoteText"/>
        <w:jc w:val="both"/>
      </w:pPr>
      <w:r>
        <w:rPr>
          <w:rStyle w:val="FootnoteReference"/>
        </w:rPr>
        <w:footnoteRef/>
      </w:r>
      <w:r>
        <w:t xml:space="preserve"> </w:t>
      </w:r>
      <w:r>
        <w:rPr>
          <w:i/>
          <w:iCs/>
        </w:rPr>
        <w:t>Endumeni</w:t>
      </w:r>
      <w:r>
        <w:t xml:space="preserve"> para 18.</w:t>
      </w:r>
    </w:p>
  </w:footnote>
  <w:footnote w:id="51">
    <w:p w14:paraId="4DFF97AB" w14:textId="77777777" w:rsidR="00B23B13" w:rsidRDefault="00B23B13" w:rsidP="00D01685">
      <w:pPr>
        <w:pStyle w:val="FootnoteText"/>
        <w:jc w:val="both"/>
      </w:pPr>
      <w:r>
        <w:rPr>
          <w:rStyle w:val="FootnoteReference"/>
        </w:rPr>
        <w:footnoteRef/>
      </w:r>
      <w:r>
        <w:t xml:space="preserve"> </w:t>
      </w:r>
      <w:r>
        <w:rPr>
          <w:i/>
        </w:rPr>
        <w:t>S v Halgryn</w:t>
      </w:r>
      <w:r>
        <w:t xml:space="preserve"> [2002] ZASCA 59; 2002 (2) SACR 211 (SCA); [2002] 4 All SA 157 (SCA) para 12.</w:t>
      </w:r>
    </w:p>
  </w:footnote>
  <w:footnote w:id="52">
    <w:p w14:paraId="616A5D47" w14:textId="77777777" w:rsidR="00B23B13" w:rsidRDefault="00B23B13" w:rsidP="00D01685">
      <w:pPr>
        <w:pStyle w:val="FootnoteText"/>
        <w:jc w:val="both"/>
      </w:pPr>
      <w:r>
        <w:rPr>
          <w:rStyle w:val="FootnoteReference"/>
        </w:rPr>
        <w:footnoteRef/>
      </w:r>
      <w:r>
        <w:t xml:space="preserve"> </w:t>
      </w:r>
      <w:r>
        <w:rPr>
          <w:i/>
        </w:rPr>
        <w:t>S v Green</w:t>
      </w:r>
      <w:r>
        <w:t xml:space="preserve"> [2022] ZAKZPHC 31 para 23.</w:t>
      </w:r>
    </w:p>
  </w:footnote>
  <w:footnote w:id="53">
    <w:p w14:paraId="488944AF" w14:textId="77777777" w:rsidR="00B23B13" w:rsidRDefault="00B23B13" w:rsidP="00D01685">
      <w:pPr>
        <w:pStyle w:val="FootnoteText"/>
        <w:jc w:val="both"/>
      </w:pPr>
      <w:r>
        <w:rPr>
          <w:rStyle w:val="FootnoteReference"/>
        </w:rPr>
        <w:footnoteRef/>
      </w:r>
      <w:r>
        <w:t xml:space="preserve"> </w:t>
      </w:r>
      <w:r>
        <w:rPr>
          <w:i/>
        </w:rPr>
        <w:t>R v Matonsi</w:t>
      </w:r>
      <w:r>
        <w:t xml:space="preserve"> 1958 (2) SA 450 (A) at 458A per Van Blerk AJA.</w:t>
      </w:r>
    </w:p>
  </w:footnote>
  <w:footnote w:id="54">
    <w:p w14:paraId="551CC9E3" w14:textId="77777777" w:rsidR="00B23B13" w:rsidRDefault="00B23B13" w:rsidP="00D01685">
      <w:pPr>
        <w:pStyle w:val="FootnoteText"/>
        <w:jc w:val="both"/>
      </w:pPr>
      <w:r>
        <w:rPr>
          <w:rStyle w:val="FootnoteReference"/>
        </w:rPr>
        <w:footnoteRef/>
      </w:r>
      <w:r>
        <w:t xml:space="preserve"> </w:t>
      </w:r>
      <w:r>
        <w:rPr>
          <w:i/>
        </w:rPr>
        <w:t>Ngomane</w:t>
      </w:r>
      <w:r>
        <w:t xml:space="preserve"> para 22; </w:t>
      </w:r>
      <w:r>
        <w:rPr>
          <w:iCs/>
        </w:rPr>
        <w:t>Ibid</w:t>
      </w:r>
      <w:r>
        <w:t xml:space="preserve"> para 21.</w:t>
      </w:r>
    </w:p>
  </w:footnote>
  <w:footnote w:id="55">
    <w:p w14:paraId="4C79DAE9" w14:textId="77777777" w:rsidR="00B23B13" w:rsidRDefault="00B23B13" w:rsidP="00D01685">
      <w:pPr>
        <w:pStyle w:val="FootnoteText"/>
        <w:jc w:val="both"/>
      </w:pPr>
      <w:r>
        <w:rPr>
          <w:rStyle w:val="FootnoteReference"/>
        </w:rPr>
        <w:footnoteRef/>
      </w:r>
      <w:r>
        <w:t xml:space="preserve"> </w:t>
      </w:r>
      <w:r>
        <w:rPr>
          <w:i/>
        </w:rPr>
        <w:t>Matonsi</w:t>
      </w:r>
      <w:r>
        <w:t xml:space="preserve"> fn 19 at 456C-D.</w:t>
      </w:r>
    </w:p>
  </w:footnote>
  <w:footnote w:id="56">
    <w:p w14:paraId="79D0077D" w14:textId="77777777" w:rsidR="00B23B13" w:rsidRDefault="00B23B13" w:rsidP="00D01685">
      <w:pPr>
        <w:pStyle w:val="FootnoteText"/>
        <w:jc w:val="both"/>
      </w:pPr>
      <w:r>
        <w:rPr>
          <w:rStyle w:val="FootnoteReference"/>
        </w:rPr>
        <w:footnoteRef/>
      </w:r>
      <w:r>
        <w:t xml:space="preserve"> </w:t>
      </w:r>
      <w:r>
        <w:rPr>
          <w:i/>
        </w:rPr>
        <w:t>GDB v Her Majesty The Queen</w:t>
      </w:r>
      <w:r>
        <w:t xml:space="preserve"> 2000 SCC 2002; [2000] 1 SCR 520 para 34.</w:t>
      </w:r>
    </w:p>
  </w:footnote>
  <w:footnote w:id="57">
    <w:p w14:paraId="3CBC475D" w14:textId="77777777" w:rsidR="00B23B13" w:rsidRDefault="00B23B13" w:rsidP="00D01685">
      <w:pPr>
        <w:pStyle w:val="FootnoteText"/>
        <w:jc w:val="both"/>
      </w:pPr>
      <w:r>
        <w:rPr>
          <w:rStyle w:val="FootnoteReference"/>
        </w:rPr>
        <w:footnoteRef/>
      </w:r>
      <w:r>
        <w:t xml:space="preserve"> </w:t>
      </w:r>
      <w:r>
        <w:rPr>
          <w:i/>
        </w:rPr>
        <w:t xml:space="preserve">Nxumalo </w:t>
      </w:r>
      <w:r>
        <w:t>paras 9 and 10.</w:t>
      </w:r>
    </w:p>
  </w:footnote>
  <w:footnote w:id="58">
    <w:p w14:paraId="1E0A857E" w14:textId="77777777" w:rsidR="00B23B13" w:rsidRDefault="00B23B13" w:rsidP="00D01685">
      <w:pPr>
        <w:pStyle w:val="FootnoteText"/>
        <w:jc w:val="both"/>
      </w:pPr>
      <w:r>
        <w:rPr>
          <w:rStyle w:val="FootnoteReference"/>
        </w:rPr>
        <w:footnoteRef/>
      </w:r>
      <w:r>
        <w:t xml:space="preserve"> </w:t>
      </w:r>
      <w:r>
        <w:rPr>
          <w:i/>
        </w:rPr>
        <w:t xml:space="preserve">Venter v R </w:t>
      </w:r>
      <w:r>
        <w:t xml:space="preserve">1907 TS 910 at 915, affirmed in </w:t>
      </w:r>
      <w:r>
        <w:rPr>
          <w:i/>
          <w:iCs/>
        </w:rPr>
        <w:t>Smit v Minister of Justice and Correctional Services and Others</w:t>
      </w:r>
      <w:r>
        <w:t xml:space="preserve"> [2020] ZACC 29; 2021 (3) BCLR 219 (CC) para 121, where Madlanga J, citing Innes CJ, said: ‘[W]hen to give the plain words of the statute their ordinary meaning would lead to absurdity so glaring that it could never have been contemplated by the Legislature, or where it would lead to a result contrary to the intention of the Legislature, as shown by the context or by such other considerations as the Court is justified in taking into account, the Court may depart from the ordinary effect of the words to the extent necessary to remove the absurdity and to give effect to the true intention of the Legislature.’ </w:t>
      </w:r>
    </w:p>
  </w:footnote>
  <w:footnote w:id="59">
    <w:p w14:paraId="14AFE9EC" w14:textId="77777777" w:rsidR="00B23B13" w:rsidRDefault="00B23B13" w:rsidP="00D01685">
      <w:pPr>
        <w:pStyle w:val="FootnoteText"/>
        <w:jc w:val="both"/>
      </w:pPr>
      <w:r>
        <w:rPr>
          <w:rStyle w:val="FootnoteReference"/>
        </w:rPr>
        <w:footnoteRef/>
      </w:r>
      <w:r>
        <w:rPr>
          <w:i/>
        </w:rPr>
        <w:t xml:space="preserve"> Langalitshoni</w:t>
      </w:r>
      <w:r>
        <w:t xml:space="preserve"> para 11. </w:t>
      </w:r>
    </w:p>
  </w:footnote>
  <w:footnote w:id="60">
    <w:p w14:paraId="3BADD096" w14:textId="77777777" w:rsidR="00B23B13" w:rsidRDefault="00B23B13" w:rsidP="00D01685">
      <w:pPr>
        <w:pStyle w:val="FootnoteText"/>
        <w:jc w:val="both"/>
      </w:pPr>
      <w:r>
        <w:rPr>
          <w:rStyle w:val="FootnoteReference"/>
        </w:rPr>
        <w:footnoteRef/>
      </w:r>
      <w:r>
        <w:t xml:space="preserve"> </w:t>
      </w:r>
      <w:r>
        <w:rPr>
          <w:i/>
        </w:rPr>
        <w:t xml:space="preserve">S v Hlatshwayo and Another </w:t>
      </w:r>
      <w:r>
        <w:t>[2022] ZAKPHC 8 (28 March 2022).</w:t>
      </w:r>
    </w:p>
  </w:footnote>
  <w:footnote w:id="61">
    <w:p w14:paraId="1627D9C5" w14:textId="77777777" w:rsidR="00B23B13" w:rsidRDefault="00B23B13" w:rsidP="00D01685">
      <w:pPr>
        <w:pStyle w:val="FootnoteText"/>
        <w:jc w:val="both"/>
      </w:pPr>
      <w:r>
        <w:rPr>
          <w:rStyle w:val="FootnoteReference"/>
        </w:rPr>
        <w:footnoteRef/>
      </w:r>
      <w:r>
        <w:t xml:space="preserve"> Ibid para 4.</w:t>
      </w:r>
    </w:p>
  </w:footnote>
  <w:footnote w:id="62">
    <w:p w14:paraId="11DA14CA" w14:textId="77777777" w:rsidR="00B23B13" w:rsidRDefault="00B23B13" w:rsidP="00D01685">
      <w:pPr>
        <w:pStyle w:val="FootnoteText"/>
        <w:jc w:val="both"/>
      </w:pPr>
      <w:r>
        <w:rPr>
          <w:rStyle w:val="FootnoteReference"/>
        </w:rPr>
        <w:footnoteRef/>
      </w:r>
      <w:r>
        <w:t xml:space="preserve"> </w:t>
      </w:r>
      <w:r>
        <w:rPr>
          <w:iCs/>
        </w:rPr>
        <w:t>Ibid</w:t>
      </w:r>
      <w:r>
        <w:t xml:space="preserve"> paras 14-16. </w:t>
      </w:r>
    </w:p>
  </w:footnote>
  <w:footnote w:id="63">
    <w:p w14:paraId="765C4207" w14:textId="77777777" w:rsidR="00B23B13" w:rsidRDefault="00B23B13" w:rsidP="00D01685">
      <w:pPr>
        <w:pStyle w:val="FootnoteText"/>
        <w:jc w:val="both"/>
      </w:pPr>
      <w:r>
        <w:rPr>
          <w:rStyle w:val="FootnoteReference"/>
        </w:rPr>
        <w:footnoteRef/>
      </w:r>
      <w:r>
        <w:t xml:space="preserve"> </w:t>
      </w:r>
      <w:r>
        <w:rPr>
          <w:i/>
        </w:rPr>
        <w:t>Busani Richard</w:t>
      </w:r>
      <w:r>
        <w:t xml:space="preserve"> </w:t>
      </w:r>
      <w:r>
        <w:rPr>
          <w:i/>
        </w:rPr>
        <w:t>Zulu v The State</w:t>
      </w:r>
      <w:r>
        <w:t xml:space="preserve"> [2022] ZAKPHC 20 (13 May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0BA4" w14:textId="4A621516" w:rsidR="00AF2447" w:rsidRDefault="00970E64">
    <w:pPr>
      <w:pStyle w:val="Header"/>
      <w:jc w:val="right"/>
    </w:pPr>
    <w:sdt>
      <w:sdtPr>
        <w:id w:val="-533184116"/>
        <w:docPartObj>
          <w:docPartGallery w:val="Page Numbers (Top of Page)"/>
          <w:docPartUnique/>
        </w:docPartObj>
      </w:sdtPr>
      <w:sdtEndPr>
        <w:rPr>
          <w:noProof/>
        </w:rPr>
      </w:sdtEndPr>
      <w:sdtContent>
        <w:r w:rsidR="00AF2447">
          <w:fldChar w:fldCharType="begin"/>
        </w:r>
        <w:r w:rsidR="00AF2447">
          <w:instrText xml:space="preserve"> PAGE   \* MERGEFORMAT </w:instrText>
        </w:r>
        <w:r w:rsidR="00AF2447">
          <w:fldChar w:fldCharType="separate"/>
        </w:r>
        <w:r w:rsidR="00C47016">
          <w:rPr>
            <w:noProof/>
          </w:rPr>
          <w:t>3</w:t>
        </w:r>
        <w:r w:rsidR="00AF2447">
          <w:rPr>
            <w:noProof/>
          </w:rPr>
          <w:fldChar w:fldCharType="end"/>
        </w:r>
      </w:sdtContent>
    </w:sdt>
  </w:p>
  <w:p w14:paraId="64408AE9" w14:textId="77777777" w:rsidR="00AF2447" w:rsidRDefault="00AF2447">
    <w:pPr>
      <w:pStyle w:val="Header"/>
    </w:pPr>
  </w:p>
  <w:p w14:paraId="75535076" w14:textId="77777777" w:rsidR="00AF2447" w:rsidRDefault="00AF24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322C83"/>
    <w:multiLevelType w:val="hybridMultilevel"/>
    <w:tmpl w:val="8A3801B4"/>
    <w:lvl w:ilvl="0" w:tplc="AFA6E0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8">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F214411"/>
    <w:multiLevelType w:val="hybridMultilevel"/>
    <w:tmpl w:val="731C9DBE"/>
    <w:lvl w:ilvl="0" w:tplc="6464BB20">
      <w:start w:val="44"/>
      <w:numFmt w:val="decimal"/>
      <w:lvlText w:val="[%1]"/>
      <w:lvlJc w:val="left"/>
      <w:pPr>
        <w:ind w:left="1440" w:hanging="360"/>
      </w:pPr>
      <w:rPr>
        <w:rFonts w:ascii="Times New Roman" w:hAnsi="Times New Roman" w:cs="Times New Roman" w:hint="default"/>
        <w:b w:val="0"/>
        <w:sz w:val="28"/>
        <w:szCs w:val="28"/>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2">
    <w:nsid w:val="74096118"/>
    <w:multiLevelType w:val="hybridMultilevel"/>
    <w:tmpl w:val="370C1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0"/>
  </w:num>
  <w:num w:numId="5">
    <w:abstractNumId w:val="9"/>
  </w:num>
  <w:num w:numId="6">
    <w:abstractNumId w:val="4"/>
  </w:num>
  <w:num w:numId="7">
    <w:abstractNumId w:val="7"/>
  </w:num>
  <w:num w:numId="8">
    <w:abstractNumId w:val="8"/>
  </w:num>
  <w:num w:numId="9">
    <w:abstractNumId w:val="2"/>
  </w:num>
  <w:num w:numId="10">
    <w:abstractNumId w:val="3"/>
  </w:num>
  <w:num w:numId="11">
    <w:abstractNumId w:val="12"/>
  </w:num>
  <w:num w:numId="12">
    <w:abstractNumId w:val="6"/>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8E3"/>
    <w:rsid w:val="00001B9A"/>
    <w:rsid w:val="000028CE"/>
    <w:rsid w:val="00004CDD"/>
    <w:rsid w:val="000078C0"/>
    <w:rsid w:val="0001201C"/>
    <w:rsid w:val="000128B0"/>
    <w:rsid w:val="00013F1F"/>
    <w:rsid w:val="00014159"/>
    <w:rsid w:val="0001567E"/>
    <w:rsid w:val="00015759"/>
    <w:rsid w:val="00015CDF"/>
    <w:rsid w:val="00015E7E"/>
    <w:rsid w:val="0001732F"/>
    <w:rsid w:val="00017AA6"/>
    <w:rsid w:val="00017E19"/>
    <w:rsid w:val="000202EF"/>
    <w:rsid w:val="00023842"/>
    <w:rsid w:val="00023AA2"/>
    <w:rsid w:val="000267AE"/>
    <w:rsid w:val="000307C8"/>
    <w:rsid w:val="00031F15"/>
    <w:rsid w:val="00032865"/>
    <w:rsid w:val="00033B85"/>
    <w:rsid w:val="00033B9F"/>
    <w:rsid w:val="00034635"/>
    <w:rsid w:val="00034CE6"/>
    <w:rsid w:val="000404DB"/>
    <w:rsid w:val="00040611"/>
    <w:rsid w:val="00040B65"/>
    <w:rsid w:val="00041CBA"/>
    <w:rsid w:val="00044F23"/>
    <w:rsid w:val="0004540D"/>
    <w:rsid w:val="00046101"/>
    <w:rsid w:val="0004651E"/>
    <w:rsid w:val="00047339"/>
    <w:rsid w:val="00047B21"/>
    <w:rsid w:val="0005062C"/>
    <w:rsid w:val="00052C1C"/>
    <w:rsid w:val="00053740"/>
    <w:rsid w:val="00053D6C"/>
    <w:rsid w:val="00053FF2"/>
    <w:rsid w:val="0005538E"/>
    <w:rsid w:val="00055AD5"/>
    <w:rsid w:val="00055C99"/>
    <w:rsid w:val="000600FC"/>
    <w:rsid w:val="00060A27"/>
    <w:rsid w:val="000637FA"/>
    <w:rsid w:val="000639C5"/>
    <w:rsid w:val="000644DA"/>
    <w:rsid w:val="000648D0"/>
    <w:rsid w:val="0006511B"/>
    <w:rsid w:val="00067EC8"/>
    <w:rsid w:val="00075D7F"/>
    <w:rsid w:val="00077042"/>
    <w:rsid w:val="00080877"/>
    <w:rsid w:val="000815BD"/>
    <w:rsid w:val="0008450F"/>
    <w:rsid w:val="00084A04"/>
    <w:rsid w:val="00085254"/>
    <w:rsid w:val="000853B3"/>
    <w:rsid w:val="0009007F"/>
    <w:rsid w:val="00090E16"/>
    <w:rsid w:val="00092984"/>
    <w:rsid w:val="000933C2"/>
    <w:rsid w:val="00093927"/>
    <w:rsid w:val="00093BB8"/>
    <w:rsid w:val="00094490"/>
    <w:rsid w:val="00094BAE"/>
    <w:rsid w:val="0009629E"/>
    <w:rsid w:val="00096D7C"/>
    <w:rsid w:val="000A1F2D"/>
    <w:rsid w:val="000A3662"/>
    <w:rsid w:val="000A542C"/>
    <w:rsid w:val="000B034A"/>
    <w:rsid w:val="000B0842"/>
    <w:rsid w:val="000B2624"/>
    <w:rsid w:val="000B2C3C"/>
    <w:rsid w:val="000B498F"/>
    <w:rsid w:val="000B6953"/>
    <w:rsid w:val="000B73BA"/>
    <w:rsid w:val="000B7C09"/>
    <w:rsid w:val="000C1370"/>
    <w:rsid w:val="000C19D4"/>
    <w:rsid w:val="000C1E28"/>
    <w:rsid w:val="000C25EC"/>
    <w:rsid w:val="000C6189"/>
    <w:rsid w:val="000D28CE"/>
    <w:rsid w:val="000D3D83"/>
    <w:rsid w:val="000D723F"/>
    <w:rsid w:val="000D7B16"/>
    <w:rsid w:val="000D7DC5"/>
    <w:rsid w:val="000E07D8"/>
    <w:rsid w:val="000E2370"/>
    <w:rsid w:val="000E3AE8"/>
    <w:rsid w:val="000E4080"/>
    <w:rsid w:val="000E4AC6"/>
    <w:rsid w:val="000E5110"/>
    <w:rsid w:val="000E616C"/>
    <w:rsid w:val="000E6F29"/>
    <w:rsid w:val="000E7EAA"/>
    <w:rsid w:val="000F141A"/>
    <w:rsid w:val="000F26CC"/>
    <w:rsid w:val="000F3079"/>
    <w:rsid w:val="000F3229"/>
    <w:rsid w:val="000F38D5"/>
    <w:rsid w:val="000F45D2"/>
    <w:rsid w:val="0010259F"/>
    <w:rsid w:val="001051AB"/>
    <w:rsid w:val="00112757"/>
    <w:rsid w:val="00113BE9"/>
    <w:rsid w:val="00114D5C"/>
    <w:rsid w:val="00116255"/>
    <w:rsid w:val="00116D28"/>
    <w:rsid w:val="001173DD"/>
    <w:rsid w:val="00117B0F"/>
    <w:rsid w:val="001218FD"/>
    <w:rsid w:val="00122485"/>
    <w:rsid w:val="00123077"/>
    <w:rsid w:val="0012308D"/>
    <w:rsid w:val="00123C58"/>
    <w:rsid w:val="00125610"/>
    <w:rsid w:val="00125745"/>
    <w:rsid w:val="001301F3"/>
    <w:rsid w:val="00130D21"/>
    <w:rsid w:val="0013126A"/>
    <w:rsid w:val="001327E6"/>
    <w:rsid w:val="00132E62"/>
    <w:rsid w:val="00133113"/>
    <w:rsid w:val="0013371E"/>
    <w:rsid w:val="00134156"/>
    <w:rsid w:val="001363A1"/>
    <w:rsid w:val="001369F2"/>
    <w:rsid w:val="001401AF"/>
    <w:rsid w:val="00140596"/>
    <w:rsid w:val="001406DB"/>
    <w:rsid w:val="00140BF4"/>
    <w:rsid w:val="00141EE1"/>
    <w:rsid w:val="00142EA0"/>
    <w:rsid w:val="00144246"/>
    <w:rsid w:val="00144A7F"/>
    <w:rsid w:val="00144C2D"/>
    <w:rsid w:val="00150BE9"/>
    <w:rsid w:val="0015111A"/>
    <w:rsid w:val="00151B7C"/>
    <w:rsid w:val="00152C7E"/>
    <w:rsid w:val="00154136"/>
    <w:rsid w:val="001552E6"/>
    <w:rsid w:val="001562BD"/>
    <w:rsid w:val="00156619"/>
    <w:rsid w:val="00156B90"/>
    <w:rsid w:val="0016054A"/>
    <w:rsid w:val="00160B6B"/>
    <w:rsid w:val="00163044"/>
    <w:rsid w:val="00163532"/>
    <w:rsid w:val="00164FDE"/>
    <w:rsid w:val="0017036E"/>
    <w:rsid w:val="0017101D"/>
    <w:rsid w:val="001763CC"/>
    <w:rsid w:val="001779BB"/>
    <w:rsid w:val="001806A3"/>
    <w:rsid w:val="00181225"/>
    <w:rsid w:val="001813E0"/>
    <w:rsid w:val="00181535"/>
    <w:rsid w:val="00181F71"/>
    <w:rsid w:val="00183C38"/>
    <w:rsid w:val="0018417A"/>
    <w:rsid w:val="00185DB7"/>
    <w:rsid w:val="001871AD"/>
    <w:rsid w:val="00190699"/>
    <w:rsid w:val="00190CD3"/>
    <w:rsid w:val="001927F6"/>
    <w:rsid w:val="00194DE9"/>
    <w:rsid w:val="00195560"/>
    <w:rsid w:val="001964BF"/>
    <w:rsid w:val="00196989"/>
    <w:rsid w:val="001A0009"/>
    <w:rsid w:val="001A03E2"/>
    <w:rsid w:val="001A2033"/>
    <w:rsid w:val="001A26AA"/>
    <w:rsid w:val="001A3E96"/>
    <w:rsid w:val="001A4230"/>
    <w:rsid w:val="001A594F"/>
    <w:rsid w:val="001A60A3"/>
    <w:rsid w:val="001A75B7"/>
    <w:rsid w:val="001A7A18"/>
    <w:rsid w:val="001B0A38"/>
    <w:rsid w:val="001B0A5A"/>
    <w:rsid w:val="001B218D"/>
    <w:rsid w:val="001B2EEA"/>
    <w:rsid w:val="001B5E69"/>
    <w:rsid w:val="001B67F6"/>
    <w:rsid w:val="001C0439"/>
    <w:rsid w:val="001C25A9"/>
    <w:rsid w:val="001C4A2C"/>
    <w:rsid w:val="001C60B5"/>
    <w:rsid w:val="001C6558"/>
    <w:rsid w:val="001C6FBF"/>
    <w:rsid w:val="001D0541"/>
    <w:rsid w:val="001D1924"/>
    <w:rsid w:val="001D26E5"/>
    <w:rsid w:val="001D28B7"/>
    <w:rsid w:val="001D2C29"/>
    <w:rsid w:val="001D3386"/>
    <w:rsid w:val="001D5022"/>
    <w:rsid w:val="001D55E8"/>
    <w:rsid w:val="001D765D"/>
    <w:rsid w:val="001D7AD1"/>
    <w:rsid w:val="001D7B33"/>
    <w:rsid w:val="001E0605"/>
    <w:rsid w:val="001E19C1"/>
    <w:rsid w:val="001E1A02"/>
    <w:rsid w:val="001E1B79"/>
    <w:rsid w:val="001E393C"/>
    <w:rsid w:val="001E4E0C"/>
    <w:rsid w:val="001E58F7"/>
    <w:rsid w:val="001F0246"/>
    <w:rsid w:val="001F0465"/>
    <w:rsid w:val="001F0ACB"/>
    <w:rsid w:val="001F0F9C"/>
    <w:rsid w:val="001F3841"/>
    <w:rsid w:val="001F7872"/>
    <w:rsid w:val="00202451"/>
    <w:rsid w:val="00202C9C"/>
    <w:rsid w:val="00203035"/>
    <w:rsid w:val="002052C0"/>
    <w:rsid w:val="002069E5"/>
    <w:rsid w:val="002073CD"/>
    <w:rsid w:val="00210C6A"/>
    <w:rsid w:val="002114EC"/>
    <w:rsid w:val="002143AC"/>
    <w:rsid w:val="00217499"/>
    <w:rsid w:val="00222136"/>
    <w:rsid w:val="0022233E"/>
    <w:rsid w:val="00223AEC"/>
    <w:rsid w:val="00224A0E"/>
    <w:rsid w:val="00226052"/>
    <w:rsid w:val="002265E5"/>
    <w:rsid w:val="002266AC"/>
    <w:rsid w:val="002308D7"/>
    <w:rsid w:val="0023112C"/>
    <w:rsid w:val="00232C2E"/>
    <w:rsid w:val="00232E2C"/>
    <w:rsid w:val="00234B71"/>
    <w:rsid w:val="002407F9"/>
    <w:rsid w:val="00241362"/>
    <w:rsid w:val="00241BEF"/>
    <w:rsid w:val="0024265E"/>
    <w:rsid w:val="00242C99"/>
    <w:rsid w:val="002445CE"/>
    <w:rsid w:val="002464C9"/>
    <w:rsid w:val="0026028E"/>
    <w:rsid w:val="002603CE"/>
    <w:rsid w:val="00261FDC"/>
    <w:rsid w:val="002642C6"/>
    <w:rsid w:val="0026443F"/>
    <w:rsid w:val="00264DAE"/>
    <w:rsid w:val="00271AEF"/>
    <w:rsid w:val="00273BB7"/>
    <w:rsid w:val="0027443D"/>
    <w:rsid w:val="00274669"/>
    <w:rsid w:val="00274A22"/>
    <w:rsid w:val="00275D95"/>
    <w:rsid w:val="002766BB"/>
    <w:rsid w:val="00276912"/>
    <w:rsid w:val="00276D86"/>
    <w:rsid w:val="002774D4"/>
    <w:rsid w:val="0028047F"/>
    <w:rsid w:val="00280F54"/>
    <w:rsid w:val="00281645"/>
    <w:rsid w:val="00282059"/>
    <w:rsid w:val="00283FA2"/>
    <w:rsid w:val="002849E5"/>
    <w:rsid w:val="0028531F"/>
    <w:rsid w:val="00285F3E"/>
    <w:rsid w:val="002876C3"/>
    <w:rsid w:val="002876C7"/>
    <w:rsid w:val="00287B86"/>
    <w:rsid w:val="00290A50"/>
    <w:rsid w:val="00291281"/>
    <w:rsid w:val="002916AA"/>
    <w:rsid w:val="0029377C"/>
    <w:rsid w:val="002A199D"/>
    <w:rsid w:val="002A26E5"/>
    <w:rsid w:val="002A46C7"/>
    <w:rsid w:val="002A4B87"/>
    <w:rsid w:val="002A5D5D"/>
    <w:rsid w:val="002B2800"/>
    <w:rsid w:val="002B48FE"/>
    <w:rsid w:val="002B4E31"/>
    <w:rsid w:val="002B5E08"/>
    <w:rsid w:val="002B7CC2"/>
    <w:rsid w:val="002C723E"/>
    <w:rsid w:val="002C7C98"/>
    <w:rsid w:val="002D0A2E"/>
    <w:rsid w:val="002D1593"/>
    <w:rsid w:val="002D59E9"/>
    <w:rsid w:val="002D5F62"/>
    <w:rsid w:val="002D6080"/>
    <w:rsid w:val="002D7A30"/>
    <w:rsid w:val="002E23A2"/>
    <w:rsid w:val="002E3EF6"/>
    <w:rsid w:val="002E4936"/>
    <w:rsid w:val="002E5FCD"/>
    <w:rsid w:val="002E6C89"/>
    <w:rsid w:val="002F240C"/>
    <w:rsid w:val="002F729A"/>
    <w:rsid w:val="00300B66"/>
    <w:rsid w:val="00301B5E"/>
    <w:rsid w:val="00303F39"/>
    <w:rsid w:val="00305E51"/>
    <w:rsid w:val="00306347"/>
    <w:rsid w:val="003073CB"/>
    <w:rsid w:val="00307BF6"/>
    <w:rsid w:val="003106A5"/>
    <w:rsid w:val="00313166"/>
    <w:rsid w:val="003135E0"/>
    <w:rsid w:val="00315026"/>
    <w:rsid w:val="003151A7"/>
    <w:rsid w:val="00316423"/>
    <w:rsid w:val="00317763"/>
    <w:rsid w:val="00317F69"/>
    <w:rsid w:val="00321118"/>
    <w:rsid w:val="00321661"/>
    <w:rsid w:val="003225D4"/>
    <w:rsid w:val="00327BEF"/>
    <w:rsid w:val="00331D9C"/>
    <w:rsid w:val="00331F16"/>
    <w:rsid w:val="0033233C"/>
    <w:rsid w:val="00334079"/>
    <w:rsid w:val="00336B1C"/>
    <w:rsid w:val="003374E4"/>
    <w:rsid w:val="0033794E"/>
    <w:rsid w:val="00337BF4"/>
    <w:rsid w:val="00340233"/>
    <w:rsid w:val="00340A7C"/>
    <w:rsid w:val="00343A8F"/>
    <w:rsid w:val="00344681"/>
    <w:rsid w:val="003508EB"/>
    <w:rsid w:val="00350D99"/>
    <w:rsid w:val="003514B9"/>
    <w:rsid w:val="00351B4B"/>
    <w:rsid w:val="00353528"/>
    <w:rsid w:val="00353C2A"/>
    <w:rsid w:val="00354421"/>
    <w:rsid w:val="00355ABF"/>
    <w:rsid w:val="0035679F"/>
    <w:rsid w:val="0036002E"/>
    <w:rsid w:val="0036026A"/>
    <w:rsid w:val="00361C13"/>
    <w:rsid w:val="00361E70"/>
    <w:rsid w:val="0036244E"/>
    <w:rsid w:val="00364FD1"/>
    <w:rsid w:val="003653B5"/>
    <w:rsid w:val="003657B2"/>
    <w:rsid w:val="00365A75"/>
    <w:rsid w:val="003679B1"/>
    <w:rsid w:val="00370203"/>
    <w:rsid w:val="0037387F"/>
    <w:rsid w:val="00373DB7"/>
    <w:rsid w:val="00374415"/>
    <w:rsid w:val="00375FDD"/>
    <w:rsid w:val="00380398"/>
    <w:rsid w:val="003807D7"/>
    <w:rsid w:val="00381278"/>
    <w:rsid w:val="003828B8"/>
    <w:rsid w:val="00383787"/>
    <w:rsid w:val="00383D59"/>
    <w:rsid w:val="003858DE"/>
    <w:rsid w:val="003869DE"/>
    <w:rsid w:val="00386A69"/>
    <w:rsid w:val="003877E1"/>
    <w:rsid w:val="00387FD4"/>
    <w:rsid w:val="003911BD"/>
    <w:rsid w:val="00392119"/>
    <w:rsid w:val="00392AF1"/>
    <w:rsid w:val="00393D5E"/>
    <w:rsid w:val="00394422"/>
    <w:rsid w:val="00395256"/>
    <w:rsid w:val="00395FF5"/>
    <w:rsid w:val="00396B45"/>
    <w:rsid w:val="00397D3B"/>
    <w:rsid w:val="003A171B"/>
    <w:rsid w:val="003A1D65"/>
    <w:rsid w:val="003A28B9"/>
    <w:rsid w:val="003A2F50"/>
    <w:rsid w:val="003A3460"/>
    <w:rsid w:val="003A68B6"/>
    <w:rsid w:val="003B03DF"/>
    <w:rsid w:val="003B0B2D"/>
    <w:rsid w:val="003B113A"/>
    <w:rsid w:val="003B3660"/>
    <w:rsid w:val="003B39F0"/>
    <w:rsid w:val="003B5F2E"/>
    <w:rsid w:val="003C02B4"/>
    <w:rsid w:val="003C0EF2"/>
    <w:rsid w:val="003C1E0F"/>
    <w:rsid w:val="003C4E37"/>
    <w:rsid w:val="003C52C3"/>
    <w:rsid w:val="003C6D17"/>
    <w:rsid w:val="003D0730"/>
    <w:rsid w:val="003D18FF"/>
    <w:rsid w:val="003D269F"/>
    <w:rsid w:val="003D4416"/>
    <w:rsid w:val="003D4F37"/>
    <w:rsid w:val="003D5109"/>
    <w:rsid w:val="003E0565"/>
    <w:rsid w:val="003E0944"/>
    <w:rsid w:val="003E0B55"/>
    <w:rsid w:val="003E0C8F"/>
    <w:rsid w:val="003E1634"/>
    <w:rsid w:val="003E2469"/>
    <w:rsid w:val="003E51C8"/>
    <w:rsid w:val="003E5876"/>
    <w:rsid w:val="003E589E"/>
    <w:rsid w:val="003E6C1B"/>
    <w:rsid w:val="003F03DC"/>
    <w:rsid w:val="003F3634"/>
    <w:rsid w:val="003F4A3C"/>
    <w:rsid w:val="003F4CC3"/>
    <w:rsid w:val="003F53A1"/>
    <w:rsid w:val="003F774A"/>
    <w:rsid w:val="003F7FF6"/>
    <w:rsid w:val="00400314"/>
    <w:rsid w:val="00400F97"/>
    <w:rsid w:val="0040246F"/>
    <w:rsid w:val="00402AAB"/>
    <w:rsid w:val="00403516"/>
    <w:rsid w:val="0040554A"/>
    <w:rsid w:val="004066B2"/>
    <w:rsid w:val="00406814"/>
    <w:rsid w:val="00406AA7"/>
    <w:rsid w:val="00406F0A"/>
    <w:rsid w:val="00406F30"/>
    <w:rsid w:val="00407823"/>
    <w:rsid w:val="0041188E"/>
    <w:rsid w:val="00412A5B"/>
    <w:rsid w:val="004133FA"/>
    <w:rsid w:val="00413648"/>
    <w:rsid w:val="0041597F"/>
    <w:rsid w:val="00415C6C"/>
    <w:rsid w:val="00420D99"/>
    <w:rsid w:val="004212A7"/>
    <w:rsid w:val="0042254A"/>
    <w:rsid w:val="00423768"/>
    <w:rsid w:val="00424F3C"/>
    <w:rsid w:val="004250B1"/>
    <w:rsid w:val="004309EC"/>
    <w:rsid w:val="00432BD1"/>
    <w:rsid w:val="00433D37"/>
    <w:rsid w:val="004367D9"/>
    <w:rsid w:val="00440125"/>
    <w:rsid w:val="00441A07"/>
    <w:rsid w:val="00446037"/>
    <w:rsid w:val="00446B7D"/>
    <w:rsid w:val="00446CF3"/>
    <w:rsid w:val="004470FA"/>
    <w:rsid w:val="00447D59"/>
    <w:rsid w:val="0045166F"/>
    <w:rsid w:val="004540BB"/>
    <w:rsid w:val="00455600"/>
    <w:rsid w:val="00455B10"/>
    <w:rsid w:val="00456961"/>
    <w:rsid w:val="00457F22"/>
    <w:rsid w:val="00462293"/>
    <w:rsid w:val="004623EA"/>
    <w:rsid w:val="0046467F"/>
    <w:rsid w:val="00464C52"/>
    <w:rsid w:val="00464C8C"/>
    <w:rsid w:val="00466F6B"/>
    <w:rsid w:val="0046737A"/>
    <w:rsid w:val="00470017"/>
    <w:rsid w:val="004713B0"/>
    <w:rsid w:val="004727B0"/>
    <w:rsid w:val="0047314A"/>
    <w:rsid w:val="00474C0E"/>
    <w:rsid w:val="00476178"/>
    <w:rsid w:val="00476310"/>
    <w:rsid w:val="0047746A"/>
    <w:rsid w:val="00477A67"/>
    <w:rsid w:val="0048194F"/>
    <w:rsid w:val="00481CF0"/>
    <w:rsid w:val="00482F35"/>
    <w:rsid w:val="004834FD"/>
    <w:rsid w:val="00484D5F"/>
    <w:rsid w:val="00485993"/>
    <w:rsid w:val="00485C08"/>
    <w:rsid w:val="004864DD"/>
    <w:rsid w:val="004868B5"/>
    <w:rsid w:val="00486E9F"/>
    <w:rsid w:val="00487348"/>
    <w:rsid w:val="00487613"/>
    <w:rsid w:val="00487BDD"/>
    <w:rsid w:val="00487C75"/>
    <w:rsid w:val="00491A79"/>
    <w:rsid w:val="00497832"/>
    <w:rsid w:val="004A145D"/>
    <w:rsid w:val="004A240D"/>
    <w:rsid w:val="004A2551"/>
    <w:rsid w:val="004A3B59"/>
    <w:rsid w:val="004A46E2"/>
    <w:rsid w:val="004A4AC9"/>
    <w:rsid w:val="004A4B33"/>
    <w:rsid w:val="004A4BD0"/>
    <w:rsid w:val="004A5201"/>
    <w:rsid w:val="004A7705"/>
    <w:rsid w:val="004A7FB1"/>
    <w:rsid w:val="004B0C34"/>
    <w:rsid w:val="004B10AD"/>
    <w:rsid w:val="004B219D"/>
    <w:rsid w:val="004B2905"/>
    <w:rsid w:val="004B37A7"/>
    <w:rsid w:val="004B4F54"/>
    <w:rsid w:val="004B5077"/>
    <w:rsid w:val="004C0015"/>
    <w:rsid w:val="004C0917"/>
    <w:rsid w:val="004C1EA9"/>
    <w:rsid w:val="004C39E3"/>
    <w:rsid w:val="004C4294"/>
    <w:rsid w:val="004C76D6"/>
    <w:rsid w:val="004D036D"/>
    <w:rsid w:val="004D086B"/>
    <w:rsid w:val="004D0C14"/>
    <w:rsid w:val="004D0C86"/>
    <w:rsid w:val="004D247C"/>
    <w:rsid w:val="004D4B5F"/>
    <w:rsid w:val="004D5605"/>
    <w:rsid w:val="004D575F"/>
    <w:rsid w:val="004D6471"/>
    <w:rsid w:val="004D6C51"/>
    <w:rsid w:val="004D6D54"/>
    <w:rsid w:val="004E03AB"/>
    <w:rsid w:val="004E175B"/>
    <w:rsid w:val="004E268C"/>
    <w:rsid w:val="004E3353"/>
    <w:rsid w:val="004E5D9C"/>
    <w:rsid w:val="004E5ED6"/>
    <w:rsid w:val="004E5FAF"/>
    <w:rsid w:val="004E60E6"/>
    <w:rsid w:val="004E72D0"/>
    <w:rsid w:val="004F306E"/>
    <w:rsid w:val="004F4507"/>
    <w:rsid w:val="004F47EB"/>
    <w:rsid w:val="004F6686"/>
    <w:rsid w:val="004F721C"/>
    <w:rsid w:val="004F7928"/>
    <w:rsid w:val="005023EF"/>
    <w:rsid w:val="00502C4D"/>
    <w:rsid w:val="00503581"/>
    <w:rsid w:val="00503C2C"/>
    <w:rsid w:val="005042AB"/>
    <w:rsid w:val="00504826"/>
    <w:rsid w:val="0050562A"/>
    <w:rsid w:val="00507536"/>
    <w:rsid w:val="00512500"/>
    <w:rsid w:val="00512D47"/>
    <w:rsid w:val="0051652C"/>
    <w:rsid w:val="005176EB"/>
    <w:rsid w:val="00517DB0"/>
    <w:rsid w:val="00520768"/>
    <w:rsid w:val="005209E5"/>
    <w:rsid w:val="00521B76"/>
    <w:rsid w:val="00522F4C"/>
    <w:rsid w:val="00523C9C"/>
    <w:rsid w:val="00523F7B"/>
    <w:rsid w:val="00524776"/>
    <w:rsid w:val="00524BBD"/>
    <w:rsid w:val="00524D19"/>
    <w:rsid w:val="005255CD"/>
    <w:rsid w:val="00525995"/>
    <w:rsid w:val="00526B29"/>
    <w:rsid w:val="00526F1F"/>
    <w:rsid w:val="0052751C"/>
    <w:rsid w:val="00527D95"/>
    <w:rsid w:val="00530F26"/>
    <w:rsid w:val="0053208F"/>
    <w:rsid w:val="0053339C"/>
    <w:rsid w:val="00534618"/>
    <w:rsid w:val="0053571A"/>
    <w:rsid w:val="00535B6E"/>
    <w:rsid w:val="00535E53"/>
    <w:rsid w:val="00536053"/>
    <w:rsid w:val="005422DE"/>
    <w:rsid w:val="0054367E"/>
    <w:rsid w:val="00550410"/>
    <w:rsid w:val="005515EB"/>
    <w:rsid w:val="0055470B"/>
    <w:rsid w:val="00555174"/>
    <w:rsid w:val="00555870"/>
    <w:rsid w:val="005558B3"/>
    <w:rsid w:val="00560594"/>
    <w:rsid w:val="005626A7"/>
    <w:rsid w:val="00564DE9"/>
    <w:rsid w:val="00570AAF"/>
    <w:rsid w:val="00570B5F"/>
    <w:rsid w:val="00570F21"/>
    <w:rsid w:val="0057141E"/>
    <w:rsid w:val="0057322F"/>
    <w:rsid w:val="00576234"/>
    <w:rsid w:val="005775F8"/>
    <w:rsid w:val="00581C10"/>
    <w:rsid w:val="0059168D"/>
    <w:rsid w:val="005919E4"/>
    <w:rsid w:val="005932B1"/>
    <w:rsid w:val="005A0757"/>
    <w:rsid w:val="005A0F21"/>
    <w:rsid w:val="005A57AC"/>
    <w:rsid w:val="005A5974"/>
    <w:rsid w:val="005A7BC6"/>
    <w:rsid w:val="005A7C0F"/>
    <w:rsid w:val="005B1F94"/>
    <w:rsid w:val="005B3397"/>
    <w:rsid w:val="005B3853"/>
    <w:rsid w:val="005B6E78"/>
    <w:rsid w:val="005C1EFC"/>
    <w:rsid w:val="005C3D5E"/>
    <w:rsid w:val="005C49A1"/>
    <w:rsid w:val="005C4AC0"/>
    <w:rsid w:val="005C6407"/>
    <w:rsid w:val="005C7879"/>
    <w:rsid w:val="005C7E11"/>
    <w:rsid w:val="005D3E8E"/>
    <w:rsid w:val="005D4592"/>
    <w:rsid w:val="005D58D2"/>
    <w:rsid w:val="005D6437"/>
    <w:rsid w:val="005E056B"/>
    <w:rsid w:val="005E05BB"/>
    <w:rsid w:val="005E0CD4"/>
    <w:rsid w:val="005E1B9C"/>
    <w:rsid w:val="005E2A12"/>
    <w:rsid w:val="005E45DF"/>
    <w:rsid w:val="005E53A1"/>
    <w:rsid w:val="005E6C50"/>
    <w:rsid w:val="005F0269"/>
    <w:rsid w:val="005F066A"/>
    <w:rsid w:val="005F2A25"/>
    <w:rsid w:val="005F2A4D"/>
    <w:rsid w:val="005F39BE"/>
    <w:rsid w:val="005F446C"/>
    <w:rsid w:val="005F5523"/>
    <w:rsid w:val="005F7AC8"/>
    <w:rsid w:val="0060013A"/>
    <w:rsid w:val="00600850"/>
    <w:rsid w:val="0060239C"/>
    <w:rsid w:val="00602DBB"/>
    <w:rsid w:val="00604606"/>
    <w:rsid w:val="00605EA1"/>
    <w:rsid w:val="006060FD"/>
    <w:rsid w:val="0060758D"/>
    <w:rsid w:val="00610A7F"/>
    <w:rsid w:val="00612469"/>
    <w:rsid w:val="00613AF2"/>
    <w:rsid w:val="00614833"/>
    <w:rsid w:val="00614A18"/>
    <w:rsid w:val="00615E44"/>
    <w:rsid w:val="006234EA"/>
    <w:rsid w:val="006238DE"/>
    <w:rsid w:val="00626380"/>
    <w:rsid w:val="00627868"/>
    <w:rsid w:val="00632823"/>
    <w:rsid w:val="006336C8"/>
    <w:rsid w:val="00634D7A"/>
    <w:rsid w:val="00635310"/>
    <w:rsid w:val="00636616"/>
    <w:rsid w:val="00637177"/>
    <w:rsid w:val="00637B09"/>
    <w:rsid w:val="00637CFD"/>
    <w:rsid w:val="00640344"/>
    <w:rsid w:val="00640976"/>
    <w:rsid w:val="00640A8C"/>
    <w:rsid w:val="00642CD0"/>
    <w:rsid w:val="00645EFE"/>
    <w:rsid w:val="006465DA"/>
    <w:rsid w:val="00647B54"/>
    <w:rsid w:val="00647C15"/>
    <w:rsid w:val="00650157"/>
    <w:rsid w:val="00653CB4"/>
    <w:rsid w:val="0065467D"/>
    <w:rsid w:val="00655D53"/>
    <w:rsid w:val="00655D91"/>
    <w:rsid w:val="00656412"/>
    <w:rsid w:val="0066058F"/>
    <w:rsid w:val="006615B4"/>
    <w:rsid w:val="0066278A"/>
    <w:rsid w:val="00662F82"/>
    <w:rsid w:val="00666007"/>
    <w:rsid w:val="00672186"/>
    <w:rsid w:val="00673071"/>
    <w:rsid w:val="006736AF"/>
    <w:rsid w:val="00674D02"/>
    <w:rsid w:val="00675B4C"/>
    <w:rsid w:val="00676B13"/>
    <w:rsid w:val="00680F63"/>
    <w:rsid w:val="006835B2"/>
    <w:rsid w:val="00687691"/>
    <w:rsid w:val="00691C34"/>
    <w:rsid w:val="0069216F"/>
    <w:rsid w:val="006A0506"/>
    <w:rsid w:val="006A30A7"/>
    <w:rsid w:val="006A3CEC"/>
    <w:rsid w:val="006A40D6"/>
    <w:rsid w:val="006A4F33"/>
    <w:rsid w:val="006A551B"/>
    <w:rsid w:val="006A6BB1"/>
    <w:rsid w:val="006A747C"/>
    <w:rsid w:val="006B0AF6"/>
    <w:rsid w:val="006B12E6"/>
    <w:rsid w:val="006B2277"/>
    <w:rsid w:val="006B344E"/>
    <w:rsid w:val="006B58EE"/>
    <w:rsid w:val="006B5FD8"/>
    <w:rsid w:val="006B6475"/>
    <w:rsid w:val="006B6DBF"/>
    <w:rsid w:val="006C00C0"/>
    <w:rsid w:val="006C083D"/>
    <w:rsid w:val="006C13A8"/>
    <w:rsid w:val="006C15E1"/>
    <w:rsid w:val="006C1C8C"/>
    <w:rsid w:val="006C21D7"/>
    <w:rsid w:val="006C4C77"/>
    <w:rsid w:val="006D01FC"/>
    <w:rsid w:val="006D050E"/>
    <w:rsid w:val="006D2439"/>
    <w:rsid w:val="006D25CD"/>
    <w:rsid w:val="006D273E"/>
    <w:rsid w:val="006D2784"/>
    <w:rsid w:val="006D4F92"/>
    <w:rsid w:val="006D69BC"/>
    <w:rsid w:val="006D70DD"/>
    <w:rsid w:val="006E05D3"/>
    <w:rsid w:val="006E087F"/>
    <w:rsid w:val="006E2841"/>
    <w:rsid w:val="006E4258"/>
    <w:rsid w:val="006E45B8"/>
    <w:rsid w:val="006E63F2"/>
    <w:rsid w:val="006E7141"/>
    <w:rsid w:val="006F13CF"/>
    <w:rsid w:val="006F1F6E"/>
    <w:rsid w:val="006F26FB"/>
    <w:rsid w:val="006F30E4"/>
    <w:rsid w:val="006F380E"/>
    <w:rsid w:val="006F38DA"/>
    <w:rsid w:val="006F4534"/>
    <w:rsid w:val="006F5D41"/>
    <w:rsid w:val="006F6D14"/>
    <w:rsid w:val="006F79C9"/>
    <w:rsid w:val="007007A5"/>
    <w:rsid w:val="00702604"/>
    <w:rsid w:val="0070380F"/>
    <w:rsid w:val="00703988"/>
    <w:rsid w:val="007055F6"/>
    <w:rsid w:val="00710284"/>
    <w:rsid w:val="00710D98"/>
    <w:rsid w:val="00711A64"/>
    <w:rsid w:val="007123B0"/>
    <w:rsid w:val="00713113"/>
    <w:rsid w:val="007153DE"/>
    <w:rsid w:val="00715B32"/>
    <w:rsid w:val="00716433"/>
    <w:rsid w:val="007179F7"/>
    <w:rsid w:val="0072083C"/>
    <w:rsid w:val="007211DA"/>
    <w:rsid w:val="007216A9"/>
    <w:rsid w:val="00722131"/>
    <w:rsid w:val="00722C5C"/>
    <w:rsid w:val="0072442A"/>
    <w:rsid w:val="007252DB"/>
    <w:rsid w:val="00725B44"/>
    <w:rsid w:val="0072685F"/>
    <w:rsid w:val="007322EE"/>
    <w:rsid w:val="007327F5"/>
    <w:rsid w:val="00732F87"/>
    <w:rsid w:val="007341E7"/>
    <w:rsid w:val="007347F1"/>
    <w:rsid w:val="00734EE4"/>
    <w:rsid w:val="007354A2"/>
    <w:rsid w:val="00736C51"/>
    <w:rsid w:val="00740377"/>
    <w:rsid w:val="00741586"/>
    <w:rsid w:val="007430DA"/>
    <w:rsid w:val="007442B5"/>
    <w:rsid w:val="0074629F"/>
    <w:rsid w:val="00746C70"/>
    <w:rsid w:val="00746F87"/>
    <w:rsid w:val="007472CF"/>
    <w:rsid w:val="00747551"/>
    <w:rsid w:val="007504E7"/>
    <w:rsid w:val="00750A2E"/>
    <w:rsid w:val="0075113D"/>
    <w:rsid w:val="00751C98"/>
    <w:rsid w:val="0075221D"/>
    <w:rsid w:val="00752469"/>
    <w:rsid w:val="00753C11"/>
    <w:rsid w:val="00754DF0"/>
    <w:rsid w:val="00755C2B"/>
    <w:rsid w:val="007575E8"/>
    <w:rsid w:val="0076269E"/>
    <w:rsid w:val="00762A3C"/>
    <w:rsid w:val="00762F1F"/>
    <w:rsid w:val="0076488A"/>
    <w:rsid w:val="00764C4B"/>
    <w:rsid w:val="00765050"/>
    <w:rsid w:val="00770877"/>
    <w:rsid w:val="00771EC2"/>
    <w:rsid w:val="00772E3A"/>
    <w:rsid w:val="00772E6C"/>
    <w:rsid w:val="00774ADC"/>
    <w:rsid w:val="00776664"/>
    <w:rsid w:val="007772C6"/>
    <w:rsid w:val="0077749F"/>
    <w:rsid w:val="0077784F"/>
    <w:rsid w:val="0077799E"/>
    <w:rsid w:val="007806B4"/>
    <w:rsid w:val="007838B8"/>
    <w:rsid w:val="00783DBA"/>
    <w:rsid w:val="00787799"/>
    <w:rsid w:val="00791318"/>
    <w:rsid w:val="00792212"/>
    <w:rsid w:val="007924F1"/>
    <w:rsid w:val="00792B50"/>
    <w:rsid w:val="00794403"/>
    <w:rsid w:val="007954BB"/>
    <w:rsid w:val="00795E7A"/>
    <w:rsid w:val="007976B8"/>
    <w:rsid w:val="007A02C9"/>
    <w:rsid w:val="007A1BBC"/>
    <w:rsid w:val="007A2CB2"/>
    <w:rsid w:val="007A5EEB"/>
    <w:rsid w:val="007B3A35"/>
    <w:rsid w:val="007B4B46"/>
    <w:rsid w:val="007B5CF4"/>
    <w:rsid w:val="007B5F6A"/>
    <w:rsid w:val="007B65D6"/>
    <w:rsid w:val="007B6739"/>
    <w:rsid w:val="007B7108"/>
    <w:rsid w:val="007C082B"/>
    <w:rsid w:val="007C0F4D"/>
    <w:rsid w:val="007C2B09"/>
    <w:rsid w:val="007C40C7"/>
    <w:rsid w:val="007C45AE"/>
    <w:rsid w:val="007C54BC"/>
    <w:rsid w:val="007C753E"/>
    <w:rsid w:val="007D0119"/>
    <w:rsid w:val="007D1DA1"/>
    <w:rsid w:val="007D23AD"/>
    <w:rsid w:val="007D3730"/>
    <w:rsid w:val="007D3AE2"/>
    <w:rsid w:val="007D6C22"/>
    <w:rsid w:val="007D70EC"/>
    <w:rsid w:val="007E012F"/>
    <w:rsid w:val="007E1387"/>
    <w:rsid w:val="007E2541"/>
    <w:rsid w:val="007E3E21"/>
    <w:rsid w:val="007E67A2"/>
    <w:rsid w:val="007E6E84"/>
    <w:rsid w:val="007E7750"/>
    <w:rsid w:val="007E7E86"/>
    <w:rsid w:val="007F26AD"/>
    <w:rsid w:val="007F2F3F"/>
    <w:rsid w:val="007F3E84"/>
    <w:rsid w:val="007F775F"/>
    <w:rsid w:val="007F7899"/>
    <w:rsid w:val="008021CD"/>
    <w:rsid w:val="00802548"/>
    <w:rsid w:val="0080458E"/>
    <w:rsid w:val="008067B1"/>
    <w:rsid w:val="0080683B"/>
    <w:rsid w:val="008105BE"/>
    <w:rsid w:val="008119D5"/>
    <w:rsid w:val="008137FE"/>
    <w:rsid w:val="00813A9F"/>
    <w:rsid w:val="00815414"/>
    <w:rsid w:val="008159AB"/>
    <w:rsid w:val="008163BA"/>
    <w:rsid w:val="00816A00"/>
    <w:rsid w:val="00816B60"/>
    <w:rsid w:val="0082038A"/>
    <w:rsid w:val="00821843"/>
    <w:rsid w:val="0082320E"/>
    <w:rsid w:val="008251A8"/>
    <w:rsid w:val="00826353"/>
    <w:rsid w:val="00826D1B"/>
    <w:rsid w:val="008270F8"/>
    <w:rsid w:val="008273A1"/>
    <w:rsid w:val="0083175E"/>
    <w:rsid w:val="00834BDA"/>
    <w:rsid w:val="008408EE"/>
    <w:rsid w:val="00842E18"/>
    <w:rsid w:val="00844695"/>
    <w:rsid w:val="00844BD5"/>
    <w:rsid w:val="00846328"/>
    <w:rsid w:val="008502DA"/>
    <w:rsid w:val="00851A19"/>
    <w:rsid w:val="00853601"/>
    <w:rsid w:val="00857053"/>
    <w:rsid w:val="00857242"/>
    <w:rsid w:val="00861AE3"/>
    <w:rsid w:val="008624BE"/>
    <w:rsid w:val="00862EA1"/>
    <w:rsid w:val="00865B64"/>
    <w:rsid w:val="008661D9"/>
    <w:rsid w:val="00867DA8"/>
    <w:rsid w:val="0087164B"/>
    <w:rsid w:val="008718BD"/>
    <w:rsid w:val="00873A6B"/>
    <w:rsid w:val="00874D32"/>
    <w:rsid w:val="0087682E"/>
    <w:rsid w:val="00877912"/>
    <w:rsid w:val="00880344"/>
    <w:rsid w:val="0088086D"/>
    <w:rsid w:val="008823DE"/>
    <w:rsid w:val="008833CD"/>
    <w:rsid w:val="00883504"/>
    <w:rsid w:val="008838C6"/>
    <w:rsid w:val="008842C8"/>
    <w:rsid w:val="008846CE"/>
    <w:rsid w:val="00886DE4"/>
    <w:rsid w:val="0088704F"/>
    <w:rsid w:val="008878F4"/>
    <w:rsid w:val="00891481"/>
    <w:rsid w:val="00894FC8"/>
    <w:rsid w:val="00895315"/>
    <w:rsid w:val="00896351"/>
    <w:rsid w:val="008963FC"/>
    <w:rsid w:val="008967CD"/>
    <w:rsid w:val="008976CD"/>
    <w:rsid w:val="00897F02"/>
    <w:rsid w:val="008A1D9E"/>
    <w:rsid w:val="008A20CC"/>
    <w:rsid w:val="008A2832"/>
    <w:rsid w:val="008A2AC2"/>
    <w:rsid w:val="008A2E05"/>
    <w:rsid w:val="008A2EA8"/>
    <w:rsid w:val="008A4DAC"/>
    <w:rsid w:val="008A521C"/>
    <w:rsid w:val="008A5269"/>
    <w:rsid w:val="008A590B"/>
    <w:rsid w:val="008A6247"/>
    <w:rsid w:val="008B27B9"/>
    <w:rsid w:val="008B3391"/>
    <w:rsid w:val="008B4696"/>
    <w:rsid w:val="008B59D4"/>
    <w:rsid w:val="008B5D5F"/>
    <w:rsid w:val="008B7130"/>
    <w:rsid w:val="008B7208"/>
    <w:rsid w:val="008C005E"/>
    <w:rsid w:val="008C2048"/>
    <w:rsid w:val="008C39BB"/>
    <w:rsid w:val="008C3D8D"/>
    <w:rsid w:val="008C4A04"/>
    <w:rsid w:val="008C6149"/>
    <w:rsid w:val="008C62ED"/>
    <w:rsid w:val="008C693A"/>
    <w:rsid w:val="008C6FF6"/>
    <w:rsid w:val="008C7DB4"/>
    <w:rsid w:val="008D2647"/>
    <w:rsid w:val="008D3643"/>
    <w:rsid w:val="008D4002"/>
    <w:rsid w:val="008D5067"/>
    <w:rsid w:val="008D5275"/>
    <w:rsid w:val="008D5AE1"/>
    <w:rsid w:val="008D705F"/>
    <w:rsid w:val="008D7B35"/>
    <w:rsid w:val="008E0232"/>
    <w:rsid w:val="008E0948"/>
    <w:rsid w:val="008E1C88"/>
    <w:rsid w:val="008E2FF2"/>
    <w:rsid w:val="008E31BC"/>
    <w:rsid w:val="008E3C8C"/>
    <w:rsid w:val="008E4F8D"/>
    <w:rsid w:val="008E53C7"/>
    <w:rsid w:val="008E572E"/>
    <w:rsid w:val="008F063C"/>
    <w:rsid w:val="008F0A81"/>
    <w:rsid w:val="008F0FE2"/>
    <w:rsid w:val="008F22BD"/>
    <w:rsid w:val="008F3E13"/>
    <w:rsid w:val="008F44F6"/>
    <w:rsid w:val="008F4FCF"/>
    <w:rsid w:val="008F58F1"/>
    <w:rsid w:val="008F657B"/>
    <w:rsid w:val="0090013C"/>
    <w:rsid w:val="009011B9"/>
    <w:rsid w:val="0090239A"/>
    <w:rsid w:val="00902C91"/>
    <w:rsid w:val="00905A2B"/>
    <w:rsid w:val="009061DE"/>
    <w:rsid w:val="0091032F"/>
    <w:rsid w:val="00911943"/>
    <w:rsid w:val="00912768"/>
    <w:rsid w:val="0091297B"/>
    <w:rsid w:val="00913E90"/>
    <w:rsid w:val="009157D7"/>
    <w:rsid w:val="00917FE0"/>
    <w:rsid w:val="0092109A"/>
    <w:rsid w:val="0092226B"/>
    <w:rsid w:val="009224BD"/>
    <w:rsid w:val="00922A95"/>
    <w:rsid w:val="00922C15"/>
    <w:rsid w:val="009233D7"/>
    <w:rsid w:val="00923A83"/>
    <w:rsid w:val="009269B2"/>
    <w:rsid w:val="0093101D"/>
    <w:rsid w:val="00931ECC"/>
    <w:rsid w:val="00932682"/>
    <w:rsid w:val="00932C1C"/>
    <w:rsid w:val="0093337C"/>
    <w:rsid w:val="0093457A"/>
    <w:rsid w:val="009352AF"/>
    <w:rsid w:val="00935D3B"/>
    <w:rsid w:val="00935EF9"/>
    <w:rsid w:val="00937254"/>
    <w:rsid w:val="00940E00"/>
    <w:rsid w:val="00942954"/>
    <w:rsid w:val="00943188"/>
    <w:rsid w:val="009435D4"/>
    <w:rsid w:val="00943F28"/>
    <w:rsid w:val="0094406C"/>
    <w:rsid w:val="00944370"/>
    <w:rsid w:val="00944422"/>
    <w:rsid w:val="0094459C"/>
    <w:rsid w:val="00944F79"/>
    <w:rsid w:val="009451E4"/>
    <w:rsid w:val="00945420"/>
    <w:rsid w:val="009531F2"/>
    <w:rsid w:val="009539FF"/>
    <w:rsid w:val="009551EF"/>
    <w:rsid w:val="00960086"/>
    <w:rsid w:val="00960CAC"/>
    <w:rsid w:val="009634D2"/>
    <w:rsid w:val="00963B26"/>
    <w:rsid w:val="00964E34"/>
    <w:rsid w:val="00964EA7"/>
    <w:rsid w:val="00970C1E"/>
    <w:rsid w:val="00970E64"/>
    <w:rsid w:val="00972D4D"/>
    <w:rsid w:val="00973AB5"/>
    <w:rsid w:val="0097535E"/>
    <w:rsid w:val="00975E40"/>
    <w:rsid w:val="00977858"/>
    <w:rsid w:val="00980346"/>
    <w:rsid w:val="00984243"/>
    <w:rsid w:val="00984FDD"/>
    <w:rsid w:val="00985903"/>
    <w:rsid w:val="0098697C"/>
    <w:rsid w:val="00987293"/>
    <w:rsid w:val="00987763"/>
    <w:rsid w:val="00987E57"/>
    <w:rsid w:val="00991564"/>
    <w:rsid w:val="0099325E"/>
    <w:rsid w:val="009933FB"/>
    <w:rsid w:val="0099517D"/>
    <w:rsid w:val="00997460"/>
    <w:rsid w:val="009A0EFF"/>
    <w:rsid w:val="009A1544"/>
    <w:rsid w:val="009A1B4A"/>
    <w:rsid w:val="009A247A"/>
    <w:rsid w:val="009A50E7"/>
    <w:rsid w:val="009A5133"/>
    <w:rsid w:val="009A5CDF"/>
    <w:rsid w:val="009A654B"/>
    <w:rsid w:val="009B25E8"/>
    <w:rsid w:val="009B2813"/>
    <w:rsid w:val="009B4F01"/>
    <w:rsid w:val="009B503A"/>
    <w:rsid w:val="009C08FD"/>
    <w:rsid w:val="009C253D"/>
    <w:rsid w:val="009C28D4"/>
    <w:rsid w:val="009C348C"/>
    <w:rsid w:val="009C36D7"/>
    <w:rsid w:val="009C6B86"/>
    <w:rsid w:val="009C78F0"/>
    <w:rsid w:val="009D0377"/>
    <w:rsid w:val="009D0C07"/>
    <w:rsid w:val="009D1C8C"/>
    <w:rsid w:val="009D2208"/>
    <w:rsid w:val="009D231A"/>
    <w:rsid w:val="009D61C9"/>
    <w:rsid w:val="009D6F89"/>
    <w:rsid w:val="009E2B39"/>
    <w:rsid w:val="009E3AD4"/>
    <w:rsid w:val="009E6588"/>
    <w:rsid w:val="009E6CBF"/>
    <w:rsid w:val="009E6D64"/>
    <w:rsid w:val="009E6DC2"/>
    <w:rsid w:val="009E7C8F"/>
    <w:rsid w:val="009F29E1"/>
    <w:rsid w:val="009F601F"/>
    <w:rsid w:val="009F61B5"/>
    <w:rsid w:val="009F79A7"/>
    <w:rsid w:val="00A01326"/>
    <w:rsid w:val="00A030E0"/>
    <w:rsid w:val="00A031D5"/>
    <w:rsid w:val="00A104B1"/>
    <w:rsid w:val="00A1090C"/>
    <w:rsid w:val="00A1103D"/>
    <w:rsid w:val="00A1254D"/>
    <w:rsid w:val="00A135F4"/>
    <w:rsid w:val="00A13CB9"/>
    <w:rsid w:val="00A1481D"/>
    <w:rsid w:val="00A16A10"/>
    <w:rsid w:val="00A17272"/>
    <w:rsid w:val="00A21958"/>
    <w:rsid w:val="00A21BAF"/>
    <w:rsid w:val="00A231E2"/>
    <w:rsid w:val="00A248F9"/>
    <w:rsid w:val="00A26046"/>
    <w:rsid w:val="00A27377"/>
    <w:rsid w:val="00A3143D"/>
    <w:rsid w:val="00A3347E"/>
    <w:rsid w:val="00A3365A"/>
    <w:rsid w:val="00A33BFC"/>
    <w:rsid w:val="00A35D6D"/>
    <w:rsid w:val="00A35E1B"/>
    <w:rsid w:val="00A3645C"/>
    <w:rsid w:val="00A364A3"/>
    <w:rsid w:val="00A36904"/>
    <w:rsid w:val="00A36E66"/>
    <w:rsid w:val="00A405DF"/>
    <w:rsid w:val="00A4481B"/>
    <w:rsid w:val="00A456B0"/>
    <w:rsid w:val="00A51D65"/>
    <w:rsid w:val="00A5442F"/>
    <w:rsid w:val="00A55BC7"/>
    <w:rsid w:val="00A562BE"/>
    <w:rsid w:val="00A56E69"/>
    <w:rsid w:val="00A60AD4"/>
    <w:rsid w:val="00A61179"/>
    <w:rsid w:val="00A61409"/>
    <w:rsid w:val="00A61B32"/>
    <w:rsid w:val="00A61D3E"/>
    <w:rsid w:val="00A61E29"/>
    <w:rsid w:val="00A61FE1"/>
    <w:rsid w:val="00A63833"/>
    <w:rsid w:val="00A645E2"/>
    <w:rsid w:val="00A64EAD"/>
    <w:rsid w:val="00A70298"/>
    <w:rsid w:val="00A744AF"/>
    <w:rsid w:val="00A75478"/>
    <w:rsid w:val="00A75801"/>
    <w:rsid w:val="00A77166"/>
    <w:rsid w:val="00A82F63"/>
    <w:rsid w:val="00A844ED"/>
    <w:rsid w:val="00A85157"/>
    <w:rsid w:val="00A858BB"/>
    <w:rsid w:val="00A8647B"/>
    <w:rsid w:val="00A86CAB"/>
    <w:rsid w:val="00A90150"/>
    <w:rsid w:val="00A9192A"/>
    <w:rsid w:val="00A91E70"/>
    <w:rsid w:val="00A920EF"/>
    <w:rsid w:val="00A94898"/>
    <w:rsid w:val="00A94C0C"/>
    <w:rsid w:val="00AA7F1C"/>
    <w:rsid w:val="00AB0FA6"/>
    <w:rsid w:val="00AB128B"/>
    <w:rsid w:val="00AB39D7"/>
    <w:rsid w:val="00AB4BE9"/>
    <w:rsid w:val="00AB58CA"/>
    <w:rsid w:val="00AB7047"/>
    <w:rsid w:val="00AB734D"/>
    <w:rsid w:val="00AB7483"/>
    <w:rsid w:val="00AC2059"/>
    <w:rsid w:val="00AC2AD1"/>
    <w:rsid w:val="00AC6E54"/>
    <w:rsid w:val="00AC73C6"/>
    <w:rsid w:val="00AD300D"/>
    <w:rsid w:val="00AD4403"/>
    <w:rsid w:val="00AD4B24"/>
    <w:rsid w:val="00AD5E40"/>
    <w:rsid w:val="00AD60FF"/>
    <w:rsid w:val="00AD69E7"/>
    <w:rsid w:val="00AE2083"/>
    <w:rsid w:val="00AE62DB"/>
    <w:rsid w:val="00AE6682"/>
    <w:rsid w:val="00AE7FF7"/>
    <w:rsid w:val="00AF1E1C"/>
    <w:rsid w:val="00AF2447"/>
    <w:rsid w:val="00AF2CE1"/>
    <w:rsid w:val="00AF2ECF"/>
    <w:rsid w:val="00AF39AC"/>
    <w:rsid w:val="00AF41C8"/>
    <w:rsid w:val="00AF7CED"/>
    <w:rsid w:val="00B004E6"/>
    <w:rsid w:val="00B02222"/>
    <w:rsid w:val="00B0534A"/>
    <w:rsid w:val="00B0598C"/>
    <w:rsid w:val="00B05A20"/>
    <w:rsid w:val="00B060AE"/>
    <w:rsid w:val="00B07873"/>
    <w:rsid w:val="00B07D4D"/>
    <w:rsid w:val="00B07FAC"/>
    <w:rsid w:val="00B105E6"/>
    <w:rsid w:val="00B10D6B"/>
    <w:rsid w:val="00B11CC9"/>
    <w:rsid w:val="00B13685"/>
    <w:rsid w:val="00B139DE"/>
    <w:rsid w:val="00B1458C"/>
    <w:rsid w:val="00B157E9"/>
    <w:rsid w:val="00B15ECD"/>
    <w:rsid w:val="00B16DC3"/>
    <w:rsid w:val="00B177C5"/>
    <w:rsid w:val="00B20589"/>
    <w:rsid w:val="00B20AE9"/>
    <w:rsid w:val="00B21160"/>
    <w:rsid w:val="00B221A4"/>
    <w:rsid w:val="00B2312E"/>
    <w:rsid w:val="00B2360E"/>
    <w:rsid w:val="00B23B13"/>
    <w:rsid w:val="00B2469B"/>
    <w:rsid w:val="00B253A3"/>
    <w:rsid w:val="00B2618E"/>
    <w:rsid w:val="00B2763F"/>
    <w:rsid w:val="00B31810"/>
    <w:rsid w:val="00B32915"/>
    <w:rsid w:val="00B34BED"/>
    <w:rsid w:val="00B35557"/>
    <w:rsid w:val="00B4079C"/>
    <w:rsid w:val="00B4231A"/>
    <w:rsid w:val="00B42954"/>
    <w:rsid w:val="00B437B0"/>
    <w:rsid w:val="00B4518D"/>
    <w:rsid w:val="00B45A3D"/>
    <w:rsid w:val="00B45E6C"/>
    <w:rsid w:val="00B45EEA"/>
    <w:rsid w:val="00B462DE"/>
    <w:rsid w:val="00B518E1"/>
    <w:rsid w:val="00B52E74"/>
    <w:rsid w:val="00B553CD"/>
    <w:rsid w:val="00B61F4B"/>
    <w:rsid w:val="00B62AE0"/>
    <w:rsid w:val="00B63C33"/>
    <w:rsid w:val="00B63ECA"/>
    <w:rsid w:val="00B655A1"/>
    <w:rsid w:val="00B65A77"/>
    <w:rsid w:val="00B664C8"/>
    <w:rsid w:val="00B66C85"/>
    <w:rsid w:val="00B67910"/>
    <w:rsid w:val="00B70373"/>
    <w:rsid w:val="00B73745"/>
    <w:rsid w:val="00B74BFE"/>
    <w:rsid w:val="00B75EBB"/>
    <w:rsid w:val="00B76B89"/>
    <w:rsid w:val="00B805FB"/>
    <w:rsid w:val="00B81C5C"/>
    <w:rsid w:val="00B8665E"/>
    <w:rsid w:val="00B877BA"/>
    <w:rsid w:val="00B87C00"/>
    <w:rsid w:val="00B95180"/>
    <w:rsid w:val="00B96308"/>
    <w:rsid w:val="00B96AB1"/>
    <w:rsid w:val="00BA3CB2"/>
    <w:rsid w:val="00BA3FE5"/>
    <w:rsid w:val="00BA4740"/>
    <w:rsid w:val="00BA5358"/>
    <w:rsid w:val="00BA537D"/>
    <w:rsid w:val="00BB0A27"/>
    <w:rsid w:val="00BB0B0B"/>
    <w:rsid w:val="00BB0E9B"/>
    <w:rsid w:val="00BB1B22"/>
    <w:rsid w:val="00BB3337"/>
    <w:rsid w:val="00BB6EB2"/>
    <w:rsid w:val="00BB6EC2"/>
    <w:rsid w:val="00BB755C"/>
    <w:rsid w:val="00BB7BE8"/>
    <w:rsid w:val="00BC0338"/>
    <w:rsid w:val="00BC07AA"/>
    <w:rsid w:val="00BC283D"/>
    <w:rsid w:val="00BC2B37"/>
    <w:rsid w:val="00BC4851"/>
    <w:rsid w:val="00BC4926"/>
    <w:rsid w:val="00BC6EFE"/>
    <w:rsid w:val="00BC778D"/>
    <w:rsid w:val="00BC7F02"/>
    <w:rsid w:val="00BD2D93"/>
    <w:rsid w:val="00BD3FD5"/>
    <w:rsid w:val="00BD531D"/>
    <w:rsid w:val="00BD5AD0"/>
    <w:rsid w:val="00BD6128"/>
    <w:rsid w:val="00BD650D"/>
    <w:rsid w:val="00BD7C74"/>
    <w:rsid w:val="00BE0A30"/>
    <w:rsid w:val="00BE0C3F"/>
    <w:rsid w:val="00BE1452"/>
    <w:rsid w:val="00BE22A6"/>
    <w:rsid w:val="00BF017A"/>
    <w:rsid w:val="00BF0ED2"/>
    <w:rsid w:val="00BF12C0"/>
    <w:rsid w:val="00BF2D38"/>
    <w:rsid w:val="00BF310B"/>
    <w:rsid w:val="00BF31E4"/>
    <w:rsid w:val="00BF5952"/>
    <w:rsid w:val="00BF7AF6"/>
    <w:rsid w:val="00BF7EAB"/>
    <w:rsid w:val="00C02463"/>
    <w:rsid w:val="00C03AFA"/>
    <w:rsid w:val="00C03EC7"/>
    <w:rsid w:val="00C03F4F"/>
    <w:rsid w:val="00C043B0"/>
    <w:rsid w:val="00C06900"/>
    <w:rsid w:val="00C102ED"/>
    <w:rsid w:val="00C12DAC"/>
    <w:rsid w:val="00C1779F"/>
    <w:rsid w:val="00C20DC3"/>
    <w:rsid w:val="00C21E54"/>
    <w:rsid w:val="00C26212"/>
    <w:rsid w:val="00C30567"/>
    <w:rsid w:val="00C31092"/>
    <w:rsid w:val="00C310C9"/>
    <w:rsid w:val="00C328F1"/>
    <w:rsid w:val="00C32AC8"/>
    <w:rsid w:val="00C33026"/>
    <w:rsid w:val="00C366A1"/>
    <w:rsid w:val="00C36747"/>
    <w:rsid w:val="00C41404"/>
    <w:rsid w:val="00C43AD0"/>
    <w:rsid w:val="00C45AAC"/>
    <w:rsid w:val="00C4659D"/>
    <w:rsid w:val="00C47016"/>
    <w:rsid w:val="00C500E4"/>
    <w:rsid w:val="00C52961"/>
    <w:rsid w:val="00C53CF0"/>
    <w:rsid w:val="00C5469B"/>
    <w:rsid w:val="00C55E6B"/>
    <w:rsid w:val="00C574DF"/>
    <w:rsid w:val="00C61353"/>
    <w:rsid w:val="00C643BE"/>
    <w:rsid w:val="00C64880"/>
    <w:rsid w:val="00C66506"/>
    <w:rsid w:val="00C704C5"/>
    <w:rsid w:val="00C707AF"/>
    <w:rsid w:val="00C714A7"/>
    <w:rsid w:val="00C71F48"/>
    <w:rsid w:val="00C73F54"/>
    <w:rsid w:val="00C74727"/>
    <w:rsid w:val="00C76471"/>
    <w:rsid w:val="00C80F17"/>
    <w:rsid w:val="00C8374D"/>
    <w:rsid w:val="00C83D22"/>
    <w:rsid w:val="00C84600"/>
    <w:rsid w:val="00C84608"/>
    <w:rsid w:val="00C84BBD"/>
    <w:rsid w:val="00C84CDE"/>
    <w:rsid w:val="00C87838"/>
    <w:rsid w:val="00C90295"/>
    <w:rsid w:val="00C905E8"/>
    <w:rsid w:val="00C936A2"/>
    <w:rsid w:val="00C95335"/>
    <w:rsid w:val="00CA0988"/>
    <w:rsid w:val="00CA1761"/>
    <w:rsid w:val="00CA1841"/>
    <w:rsid w:val="00CA38F0"/>
    <w:rsid w:val="00CA5023"/>
    <w:rsid w:val="00CA6F3B"/>
    <w:rsid w:val="00CA790C"/>
    <w:rsid w:val="00CB3AAF"/>
    <w:rsid w:val="00CB507F"/>
    <w:rsid w:val="00CB7FAD"/>
    <w:rsid w:val="00CC0022"/>
    <w:rsid w:val="00CC15CB"/>
    <w:rsid w:val="00CC297F"/>
    <w:rsid w:val="00CC2BCE"/>
    <w:rsid w:val="00CC2C6C"/>
    <w:rsid w:val="00CC3C11"/>
    <w:rsid w:val="00CC5016"/>
    <w:rsid w:val="00CC6B43"/>
    <w:rsid w:val="00CD2867"/>
    <w:rsid w:val="00CD3C7C"/>
    <w:rsid w:val="00CD40E1"/>
    <w:rsid w:val="00CD4335"/>
    <w:rsid w:val="00CD5D65"/>
    <w:rsid w:val="00CD7EB3"/>
    <w:rsid w:val="00CE13FA"/>
    <w:rsid w:val="00CE205D"/>
    <w:rsid w:val="00CE33E4"/>
    <w:rsid w:val="00CE3FF3"/>
    <w:rsid w:val="00CE4AE9"/>
    <w:rsid w:val="00CE5515"/>
    <w:rsid w:val="00CF1D90"/>
    <w:rsid w:val="00CF2D15"/>
    <w:rsid w:val="00CF303D"/>
    <w:rsid w:val="00CF50BD"/>
    <w:rsid w:val="00CF5501"/>
    <w:rsid w:val="00D0072D"/>
    <w:rsid w:val="00D011F9"/>
    <w:rsid w:val="00D01685"/>
    <w:rsid w:val="00D045F8"/>
    <w:rsid w:val="00D07F0E"/>
    <w:rsid w:val="00D1011D"/>
    <w:rsid w:val="00D10A35"/>
    <w:rsid w:val="00D10DDA"/>
    <w:rsid w:val="00D13B0B"/>
    <w:rsid w:val="00D13D46"/>
    <w:rsid w:val="00D15CD7"/>
    <w:rsid w:val="00D15D4C"/>
    <w:rsid w:val="00D1674D"/>
    <w:rsid w:val="00D171BA"/>
    <w:rsid w:val="00D17D9D"/>
    <w:rsid w:val="00D17F7C"/>
    <w:rsid w:val="00D2044C"/>
    <w:rsid w:val="00D20492"/>
    <w:rsid w:val="00D20605"/>
    <w:rsid w:val="00D210B2"/>
    <w:rsid w:val="00D21422"/>
    <w:rsid w:val="00D21A97"/>
    <w:rsid w:val="00D21FDB"/>
    <w:rsid w:val="00D2229D"/>
    <w:rsid w:val="00D23585"/>
    <w:rsid w:val="00D24910"/>
    <w:rsid w:val="00D31088"/>
    <w:rsid w:val="00D32154"/>
    <w:rsid w:val="00D32FED"/>
    <w:rsid w:val="00D34217"/>
    <w:rsid w:val="00D342A7"/>
    <w:rsid w:val="00D374B6"/>
    <w:rsid w:val="00D41F5D"/>
    <w:rsid w:val="00D42C39"/>
    <w:rsid w:val="00D447A2"/>
    <w:rsid w:val="00D44AB7"/>
    <w:rsid w:val="00D44CE6"/>
    <w:rsid w:val="00D45C54"/>
    <w:rsid w:val="00D4634D"/>
    <w:rsid w:val="00D507D6"/>
    <w:rsid w:val="00D50900"/>
    <w:rsid w:val="00D50B1F"/>
    <w:rsid w:val="00D53FD2"/>
    <w:rsid w:val="00D54CD3"/>
    <w:rsid w:val="00D54FBE"/>
    <w:rsid w:val="00D553DD"/>
    <w:rsid w:val="00D560F3"/>
    <w:rsid w:val="00D62F1C"/>
    <w:rsid w:val="00D6341C"/>
    <w:rsid w:val="00D63CBC"/>
    <w:rsid w:val="00D64BD6"/>
    <w:rsid w:val="00D65091"/>
    <w:rsid w:val="00D65C0D"/>
    <w:rsid w:val="00D65EDE"/>
    <w:rsid w:val="00D70330"/>
    <w:rsid w:val="00D70AB4"/>
    <w:rsid w:val="00D70CC3"/>
    <w:rsid w:val="00D7114E"/>
    <w:rsid w:val="00D71C4D"/>
    <w:rsid w:val="00D724E7"/>
    <w:rsid w:val="00D73E50"/>
    <w:rsid w:val="00D7481B"/>
    <w:rsid w:val="00D74C83"/>
    <w:rsid w:val="00D76522"/>
    <w:rsid w:val="00D80F04"/>
    <w:rsid w:val="00D818B7"/>
    <w:rsid w:val="00D82398"/>
    <w:rsid w:val="00D824D4"/>
    <w:rsid w:val="00D82DC6"/>
    <w:rsid w:val="00D8350A"/>
    <w:rsid w:val="00D83C1C"/>
    <w:rsid w:val="00D83F9E"/>
    <w:rsid w:val="00D849C8"/>
    <w:rsid w:val="00D84E9E"/>
    <w:rsid w:val="00D851E2"/>
    <w:rsid w:val="00D8748E"/>
    <w:rsid w:val="00D874EB"/>
    <w:rsid w:val="00D87F8A"/>
    <w:rsid w:val="00D915D3"/>
    <w:rsid w:val="00D91FD0"/>
    <w:rsid w:val="00D9348F"/>
    <w:rsid w:val="00D938B6"/>
    <w:rsid w:val="00D94E83"/>
    <w:rsid w:val="00D95458"/>
    <w:rsid w:val="00D95548"/>
    <w:rsid w:val="00D9750D"/>
    <w:rsid w:val="00DA1AB8"/>
    <w:rsid w:val="00DA28BC"/>
    <w:rsid w:val="00DA2F53"/>
    <w:rsid w:val="00DA3039"/>
    <w:rsid w:val="00DA3317"/>
    <w:rsid w:val="00DA40C8"/>
    <w:rsid w:val="00DA560C"/>
    <w:rsid w:val="00DA5AD3"/>
    <w:rsid w:val="00DA6413"/>
    <w:rsid w:val="00DA6A28"/>
    <w:rsid w:val="00DB3F2A"/>
    <w:rsid w:val="00DB5F73"/>
    <w:rsid w:val="00DB664E"/>
    <w:rsid w:val="00DB6A28"/>
    <w:rsid w:val="00DB72F6"/>
    <w:rsid w:val="00DB76E2"/>
    <w:rsid w:val="00DC3042"/>
    <w:rsid w:val="00DC3AEF"/>
    <w:rsid w:val="00DC4A46"/>
    <w:rsid w:val="00DC5B8F"/>
    <w:rsid w:val="00DC6695"/>
    <w:rsid w:val="00DC66D3"/>
    <w:rsid w:val="00DC71F3"/>
    <w:rsid w:val="00DC7C93"/>
    <w:rsid w:val="00DD1205"/>
    <w:rsid w:val="00DD3EC9"/>
    <w:rsid w:val="00DD42A2"/>
    <w:rsid w:val="00DD61A4"/>
    <w:rsid w:val="00DD646C"/>
    <w:rsid w:val="00DD7D9E"/>
    <w:rsid w:val="00DD7DA4"/>
    <w:rsid w:val="00DE1A13"/>
    <w:rsid w:val="00DE23B1"/>
    <w:rsid w:val="00DE263D"/>
    <w:rsid w:val="00DE3C8C"/>
    <w:rsid w:val="00DE5D6F"/>
    <w:rsid w:val="00DE7634"/>
    <w:rsid w:val="00DF02FF"/>
    <w:rsid w:val="00DF0991"/>
    <w:rsid w:val="00DF21AE"/>
    <w:rsid w:val="00DF3306"/>
    <w:rsid w:val="00DF50E8"/>
    <w:rsid w:val="00DF738D"/>
    <w:rsid w:val="00E018E4"/>
    <w:rsid w:val="00E033B1"/>
    <w:rsid w:val="00E049A6"/>
    <w:rsid w:val="00E04D77"/>
    <w:rsid w:val="00E0572D"/>
    <w:rsid w:val="00E0591A"/>
    <w:rsid w:val="00E101B1"/>
    <w:rsid w:val="00E10C37"/>
    <w:rsid w:val="00E10ECD"/>
    <w:rsid w:val="00E13942"/>
    <w:rsid w:val="00E2121C"/>
    <w:rsid w:val="00E216DF"/>
    <w:rsid w:val="00E21E84"/>
    <w:rsid w:val="00E21F0C"/>
    <w:rsid w:val="00E24006"/>
    <w:rsid w:val="00E24111"/>
    <w:rsid w:val="00E31363"/>
    <w:rsid w:val="00E33FF9"/>
    <w:rsid w:val="00E349DC"/>
    <w:rsid w:val="00E36EAF"/>
    <w:rsid w:val="00E42681"/>
    <w:rsid w:val="00E42E5E"/>
    <w:rsid w:val="00E430AB"/>
    <w:rsid w:val="00E43993"/>
    <w:rsid w:val="00E45BB0"/>
    <w:rsid w:val="00E45F85"/>
    <w:rsid w:val="00E504B9"/>
    <w:rsid w:val="00E50C30"/>
    <w:rsid w:val="00E54028"/>
    <w:rsid w:val="00E54BAB"/>
    <w:rsid w:val="00E55676"/>
    <w:rsid w:val="00E55AF8"/>
    <w:rsid w:val="00E57867"/>
    <w:rsid w:val="00E57C5E"/>
    <w:rsid w:val="00E60980"/>
    <w:rsid w:val="00E611D0"/>
    <w:rsid w:val="00E61575"/>
    <w:rsid w:val="00E61DF5"/>
    <w:rsid w:val="00E64059"/>
    <w:rsid w:val="00E6645F"/>
    <w:rsid w:val="00E72239"/>
    <w:rsid w:val="00E726F7"/>
    <w:rsid w:val="00E7371C"/>
    <w:rsid w:val="00E75AD8"/>
    <w:rsid w:val="00E801F4"/>
    <w:rsid w:val="00E81286"/>
    <w:rsid w:val="00E81338"/>
    <w:rsid w:val="00E82413"/>
    <w:rsid w:val="00E82BFB"/>
    <w:rsid w:val="00E85640"/>
    <w:rsid w:val="00E856C2"/>
    <w:rsid w:val="00E86918"/>
    <w:rsid w:val="00E86FD2"/>
    <w:rsid w:val="00E87405"/>
    <w:rsid w:val="00E879D7"/>
    <w:rsid w:val="00E91B55"/>
    <w:rsid w:val="00E93F46"/>
    <w:rsid w:val="00E941A7"/>
    <w:rsid w:val="00E94223"/>
    <w:rsid w:val="00E950CF"/>
    <w:rsid w:val="00E97140"/>
    <w:rsid w:val="00E97368"/>
    <w:rsid w:val="00EA0958"/>
    <w:rsid w:val="00EA0CDF"/>
    <w:rsid w:val="00EA111B"/>
    <w:rsid w:val="00EA14BA"/>
    <w:rsid w:val="00EA180C"/>
    <w:rsid w:val="00EA2553"/>
    <w:rsid w:val="00EA3379"/>
    <w:rsid w:val="00EA34D9"/>
    <w:rsid w:val="00EA73B5"/>
    <w:rsid w:val="00EB361C"/>
    <w:rsid w:val="00EB3A35"/>
    <w:rsid w:val="00EB41F4"/>
    <w:rsid w:val="00EB626F"/>
    <w:rsid w:val="00EB6400"/>
    <w:rsid w:val="00EB694B"/>
    <w:rsid w:val="00EB7C22"/>
    <w:rsid w:val="00EB7CFA"/>
    <w:rsid w:val="00EB7D4D"/>
    <w:rsid w:val="00EB7F64"/>
    <w:rsid w:val="00EC0C33"/>
    <w:rsid w:val="00EC1DF8"/>
    <w:rsid w:val="00EC3BB3"/>
    <w:rsid w:val="00EC3D69"/>
    <w:rsid w:val="00EC4068"/>
    <w:rsid w:val="00EC6177"/>
    <w:rsid w:val="00EC799D"/>
    <w:rsid w:val="00ED0606"/>
    <w:rsid w:val="00ED0CF7"/>
    <w:rsid w:val="00ED12C1"/>
    <w:rsid w:val="00ED15E3"/>
    <w:rsid w:val="00ED1D0C"/>
    <w:rsid w:val="00ED36E9"/>
    <w:rsid w:val="00ED4B5B"/>
    <w:rsid w:val="00ED4E84"/>
    <w:rsid w:val="00ED54AD"/>
    <w:rsid w:val="00EE193D"/>
    <w:rsid w:val="00EE5904"/>
    <w:rsid w:val="00EE6C10"/>
    <w:rsid w:val="00EE6CB6"/>
    <w:rsid w:val="00EE6DD0"/>
    <w:rsid w:val="00EF0B1B"/>
    <w:rsid w:val="00EF2818"/>
    <w:rsid w:val="00EF3790"/>
    <w:rsid w:val="00EF3801"/>
    <w:rsid w:val="00EF4F45"/>
    <w:rsid w:val="00EF4F9B"/>
    <w:rsid w:val="00EF634B"/>
    <w:rsid w:val="00EF70F4"/>
    <w:rsid w:val="00EF73D5"/>
    <w:rsid w:val="00F0093A"/>
    <w:rsid w:val="00F00DBF"/>
    <w:rsid w:val="00F03B6B"/>
    <w:rsid w:val="00F054FA"/>
    <w:rsid w:val="00F05C8A"/>
    <w:rsid w:val="00F0716C"/>
    <w:rsid w:val="00F07E64"/>
    <w:rsid w:val="00F10AAD"/>
    <w:rsid w:val="00F11937"/>
    <w:rsid w:val="00F1311B"/>
    <w:rsid w:val="00F13665"/>
    <w:rsid w:val="00F13979"/>
    <w:rsid w:val="00F152DF"/>
    <w:rsid w:val="00F16032"/>
    <w:rsid w:val="00F16847"/>
    <w:rsid w:val="00F16B24"/>
    <w:rsid w:val="00F16EA4"/>
    <w:rsid w:val="00F17FD3"/>
    <w:rsid w:val="00F207D2"/>
    <w:rsid w:val="00F21D1C"/>
    <w:rsid w:val="00F254B6"/>
    <w:rsid w:val="00F267DB"/>
    <w:rsid w:val="00F2694E"/>
    <w:rsid w:val="00F26A59"/>
    <w:rsid w:val="00F27003"/>
    <w:rsid w:val="00F3030B"/>
    <w:rsid w:val="00F31642"/>
    <w:rsid w:val="00F32768"/>
    <w:rsid w:val="00F328FF"/>
    <w:rsid w:val="00F33D4E"/>
    <w:rsid w:val="00F347A6"/>
    <w:rsid w:val="00F34CCC"/>
    <w:rsid w:val="00F354E4"/>
    <w:rsid w:val="00F3555A"/>
    <w:rsid w:val="00F37EB1"/>
    <w:rsid w:val="00F403BA"/>
    <w:rsid w:val="00F42D86"/>
    <w:rsid w:val="00F43000"/>
    <w:rsid w:val="00F453E2"/>
    <w:rsid w:val="00F46078"/>
    <w:rsid w:val="00F46BED"/>
    <w:rsid w:val="00F4734C"/>
    <w:rsid w:val="00F5177A"/>
    <w:rsid w:val="00F519C9"/>
    <w:rsid w:val="00F53AE8"/>
    <w:rsid w:val="00F53F9B"/>
    <w:rsid w:val="00F54765"/>
    <w:rsid w:val="00F55DC8"/>
    <w:rsid w:val="00F55EB5"/>
    <w:rsid w:val="00F60ED1"/>
    <w:rsid w:val="00F61024"/>
    <w:rsid w:val="00F6142C"/>
    <w:rsid w:val="00F61569"/>
    <w:rsid w:val="00F615A4"/>
    <w:rsid w:val="00F623A0"/>
    <w:rsid w:val="00F64AAA"/>
    <w:rsid w:val="00F64D3B"/>
    <w:rsid w:val="00F64F55"/>
    <w:rsid w:val="00F653C3"/>
    <w:rsid w:val="00F65BE2"/>
    <w:rsid w:val="00F660E2"/>
    <w:rsid w:val="00F67616"/>
    <w:rsid w:val="00F71491"/>
    <w:rsid w:val="00F71BEF"/>
    <w:rsid w:val="00F726FC"/>
    <w:rsid w:val="00F73855"/>
    <w:rsid w:val="00F756B2"/>
    <w:rsid w:val="00F75C37"/>
    <w:rsid w:val="00F77590"/>
    <w:rsid w:val="00F824AC"/>
    <w:rsid w:val="00F82EB8"/>
    <w:rsid w:val="00F84F1C"/>
    <w:rsid w:val="00F8541A"/>
    <w:rsid w:val="00F86360"/>
    <w:rsid w:val="00F91891"/>
    <w:rsid w:val="00F91ACE"/>
    <w:rsid w:val="00F92432"/>
    <w:rsid w:val="00F9625D"/>
    <w:rsid w:val="00FA1332"/>
    <w:rsid w:val="00FA4570"/>
    <w:rsid w:val="00FA6561"/>
    <w:rsid w:val="00FA6EEF"/>
    <w:rsid w:val="00FA72EA"/>
    <w:rsid w:val="00FA782A"/>
    <w:rsid w:val="00FB2A65"/>
    <w:rsid w:val="00FB4048"/>
    <w:rsid w:val="00FB5647"/>
    <w:rsid w:val="00FB5F09"/>
    <w:rsid w:val="00FB651B"/>
    <w:rsid w:val="00FC082E"/>
    <w:rsid w:val="00FC28B8"/>
    <w:rsid w:val="00FC2BF2"/>
    <w:rsid w:val="00FC643B"/>
    <w:rsid w:val="00FC766A"/>
    <w:rsid w:val="00FC7A29"/>
    <w:rsid w:val="00FD0FEE"/>
    <w:rsid w:val="00FD1501"/>
    <w:rsid w:val="00FD1893"/>
    <w:rsid w:val="00FD26D0"/>
    <w:rsid w:val="00FD37DF"/>
    <w:rsid w:val="00FD5B50"/>
    <w:rsid w:val="00FD6297"/>
    <w:rsid w:val="00FD77CF"/>
    <w:rsid w:val="00FE16FE"/>
    <w:rsid w:val="00FE7AD7"/>
    <w:rsid w:val="00FF0373"/>
    <w:rsid w:val="00FF53B5"/>
    <w:rsid w:val="00FF5A22"/>
    <w:rsid w:val="00FF5C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3F7FF6"/>
    <w:rPr>
      <w:color w:val="605E5C"/>
      <w:shd w:val="clear" w:color="auto" w:fill="E1DFDD"/>
    </w:rPr>
  </w:style>
  <w:style w:type="paragraph" w:styleId="NormalWeb">
    <w:name w:val="Normal (Web)"/>
    <w:basedOn w:val="Normal"/>
    <w:uiPriority w:val="99"/>
    <w:semiHidden/>
    <w:unhideWhenUsed/>
    <w:rsid w:val="009D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3758">
      <w:bodyDiv w:val="1"/>
      <w:marLeft w:val="0"/>
      <w:marRight w:val="0"/>
      <w:marTop w:val="0"/>
      <w:marBottom w:val="0"/>
      <w:divBdr>
        <w:top w:val="none" w:sz="0" w:space="0" w:color="auto"/>
        <w:left w:val="none" w:sz="0" w:space="0" w:color="auto"/>
        <w:bottom w:val="none" w:sz="0" w:space="0" w:color="auto"/>
        <w:right w:val="none" w:sz="0" w:space="0" w:color="auto"/>
      </w:divBdr>
    </w:div>
    <w:div w:id="566963348">
      <w:bodyDiv w:val="1"/>
      <w:marLeft w:val="0"/>
      <w:marRight w:val="0"/>
      <w:marTop w:val="0"/>
      <w:marBottom w:val="0"/>
      <w:divBdr>
        <w:top w:val="none" w:sz="0" w:space="0" w:color="auto"/>
        <w:left w:val="none" w:sz="0" w:space="0" w:color="auto"/>
        <w:bottom w:val="none" w:sz="0" w:space="0" w:color="auto"/>
        <w:right w:val="none" w:sz="0" w:space="0" w:color="auto"/>
      </w:divBdr>
    </w:div>
    <w:div w:id="10355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Library/IframeContent.aspx?dpath=zb/jilc/kilc/ezrg/rzrg/szrg/h2f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6303-A6D0-403A-84D7-F62C5539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6653</Words>
  <Characters>37924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Mokone</cp:lastModifiedBy>
  <cp:revision>2</cp:revision>
  <cp:lastPrinted>2023-05-23T11:37:00Z</cp:lastPrinted>
  <dcterms:created xsi:type="dcterms:W3CDTF">2023-06-23T10:04:00Z</dcterms:created>
  <dcterms:modified xsi:type="dcterms:W3CDTF">2023-06-23T10:04:00Z</dcterms:modified>
</cp:coreProperties>
</file>