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E40C6" w14:textId="77777777" w:rsidR="00F747D3" w:rsidRDefault="00F747D3" w:rsidP="00F747D3">
      <w:pPr>
        <w:spacing w:line="360" w:lineRule="auto"/>
        <w:jc w:val="both"/>
        <w:rPr>
          <w:rFonts w:ascii="Arial" w:hAnsi="Arial" w:cs="Arial"/>
          <w:lang w:val="en-GB"/>
        </w:rPr>
      </w:pPr>
      <w:bookmarkStart w:id="0" w:name="_GoBack"/>
      <w:bookmarkEnd w:id="0"/>
    </w:p>
    <w:p w14:paraId="3877DD4C" w14:textId="77777777" w:rsidR="00F747D3" w:rsidRPr="00507C65" w:rsidRDefault="00F747D3" w:rsidP="00F747D3">
      <w:pPr>
        <w:spacing w:line="360" w:lineRule="auto"/>
        <w:jc w:val="both"/>
        <w:rPr>
          <w:rFonts w:ascii="Arial" w:hAnsi="Arial" w:cs="Arial"/>
          <w:lang w:val="en-GB"/>
        </w:rPr>
      </w:pPr>
      <w:r w:rsidRPr="00507C65">
        <w:rPr>
          <w:rFonts w:ascii="Arial" w:hAnsi="Arial" w:cs="Arial"/>
          <w:noProof/>
          <w:lang w:val="en-US" w:eastAsia="en-US"/>
        </w:rPr>
        <w:drawing>
          <wp:anchor distT="0" distB="0" distL="114300" distR="114300" simplePos="0" relativeHeight="251659264" behindDoc="0" locked="0" layoutInCell="1" allowOverlap="1" wp14:anchorId="31B8877E" wp14:editId="0F32C8F0">
            <wp:simplePos x="0" y="0"/>
            <wp:positionH relativeFrom="column">
              <wp:posOffset>2427605</wp:posOffset>
            </wp:positionH>
            <wp:positionV relativeFrom="paragraph">
              <wp:posOffset>231775</wp:posOffset>
            </wp:positionV>
            <wp:extent cx="800100" cy="9144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17FB4" w14:textId="77777777" w:rsidR="00F747D3" w:rsidRPr="00507C65" w:rsidRDefault="00F747D3" w:rsidP="00F747D3">
      <w:pPr>
        <w:spacing w:line="360" w:lineRule="auto"/>
        <w:jc w:val="both"/>
        <w:rPr>
          <w:rFonts w:ascii="Arial" w:hAnsi="Arial" w:cs="Arial"/>
          <w:lang w:val="en-GB"/>
        </w:rPr>
      </w:pPr>
    </w:p>
    <w:p w14:paraId="423D0717" w14:textId="77777777" w:rsidR="00F747D3" w:rsidRPr="00507C65" w:rsidRDefault="00F747D3" w:rsidP="00F747D3">
      <w:pPr>
        <w:spacing w:line="360" w:lineRule="auto"/>
        <w:jc w:val="both"/>
        <w:rPr>
          <w:rFonts w:ascii="Arial" w:hAnsi="Arial" w:cs="Arial"/>
          <w:b/>
          <w:bCs/>
          <w:lang w:val="en-GB"/>
        </w:rPr>
      </w:pPr>
    </w:p>
    <w:p w14:paraId="3A45CA02" w14:textId="77777777" w:rsidR="00F747D3" w:rsidRPr="00507C65" w:rsidRDefault="00F747D3" w:rsidP="00F747D3">
      <w:pPr>
        <w:spacing w:line="360" w:lineRule="auto"/>
        <w:jc w:val="both"/>
        <w:rPr>
          <w:rFonts w:ascii="Arial" w:hAnsi="Arial" w:cs="Arial"/>
          <w:b/>
          <w:bCs/>
          <w:lang w:val="en-GB"/>
        </w:rPr>
      </w:pPr>
    </w:p>
    <w:p w14:paraId="22638199" w14:textId="77777777" w:rsidR="00F747D3" w:rsidRDefault="00F747D3" w:rsidP="00F747D3">
      <w:pPr>
        <w:spacing w:line="360" w:lineRule="auto"/>
        <w:jc w:val="center"/>
        <w:rPr>
          <w:rFonts w:ascii="Arial" w:hAnsi="Arial" w:cs="Arial"/>
          <w:b/>
          <w:bCs/>
          <w:lang w:val="en-GB"/>
        </w:rPr>
      </w:pPr>
    </w:p>
    <w:p w14:paraId="5E6FA060" w14:textId="77777777" w:rsidR="00F747D3" w:rsidRPr="00507C65" w:rsidRDefault="00F747D3" w:rsidP="00F747D3">
      <w:pPr>
        <w:spacing w:line="360" w:lineRule="auto"/>
        <w:jc w:val="center"/>
        <w:rPr>
          <w:rFonts w:ascii="Arial" w:hAnsi="Arial" w:cs="Arial"/>
          <w:b/>
          <w:bCs/>
          <w:lang w:val="en-GB"/>
        </w:rPr>
      </w:pPr>
      <w:r w:rsidRPr="00507C65">
        <w:rPr>
          <w:rFonts w:ascii="Arial" w:hAnsi="Arial" w:cs="Arial"/>
          <w:b/>
          <w:bCs/>
          <w:lang w:val="en-GB"/>
        </w:rPr>
        <w:t>THE SUPREME COURT OF APPEAL OF SOUTH AFRICA</w:t>
      </w:r>
    </w:p>
    <w:p w14:paraId="7B685BE3" w14:textId="77777777" w:rsidR="00F747D3" w:rsidRPr="00507C65" w:rsidRDefault="00F747D3" w:rsidP="00F747D3">
      <w:pPr>
        <w:spacing w:line="360" w:lineRule="auto"/>
        <w:jc w:val="center"/>
        <w:rPr>
          <w:rFonts w:ascii="Arial" w:hAnsi="Arial" w:cs="Arial"/>
          <w:b/>
          <w:lang w:val="en-GB"/>
        </w:rPr>
      </w:pPr>
      <w:r w:rsidRPr="00507C65">
        <w:rPr>
          <w:rFonts w:ascii="Arial" w:hAnsi="Arial" w:cs="Arial"/>
          <w:b/>
          <w:lang w:val="en-GB"/>
        </w:rPr>
        <w:t>JUDGMENT</w:t>
      </w:r>
    </w:p>
    <w:p w14:paraId="6D9A0B93" w14:textId="65437AD2" w:rsidR="00F747D3" w:rsidRPr="00507C65" w:rsidRDefault="00F747D3" w:rsidP="002C11E2">
      <w:pPr>
        <w:spacing w:line="360" w:lineRule="auto"/>
        <w:ind w:left="540" w:right="26"/>
        <w:jc w:val="both"/>
        <w:rPr>
          <w:rFonts w:ascii="Arial" w:hAnsi="Arial" w:cs="Arial"/>
          <w:b/>
        </w:rPr>
      </w:pPr>
      <w:r w:rsidRPr="00507C65">
        <w:rPr>
          <w:rFonts w:ascii="Arial" w:hAnsi="Arial" w:cs="Arial"/>
          <w:b/>
        </w:rPr>
        <w:tab/>
      </w:r>
      <w:r w:rsidRPr="00507C65">
        <w:rPr>
          <w:rFonts w:ascii="Arial" w:hAnsi="Arial" w:cs="Arial"/>
          <w:b/>
        </w:rPr>
        <w:tab/>
      </w:r>
      <w:r w:rsidRPr="00507C65">
        <w:rPr>
          <w:rFonts w:ascii="Arial" w:hAnsi="Arial" w:cs="Arial"/>
          <w:b/>
        </w:rPr>
        <w:tab/>
      </w:r>
      <w:r w:rsidRPr="00507C65">
        <w:rPr>
          <w:rFonts w:ascii="Arial" w:hAnsi="Arial" w:cs="Arial"/>
          <w:b/>
        </w:rPr>
        <w:tab/>
      </w:r>
      <w:r w:rsidRPr="00507C65">
        <w:rPr>
          <w:rFonts w:ascii="Arial" w:hAnsi="Arial" w:cs="Arial"/>
          <w:b/>
        </w:rPr>
        <w:tab/>
      </w:r>
      <w:r w:rsidRPr="00507C65">
        <w:rPr>
          <w:rFonts w:ascii="Arial" w:hAnsi="Arial" w:cs="Arial"/>
          <w:b/>
        </w:rPr>
        <w:tab/>
      </w:r>
      <w:r w:rsidRPr="00507C65">
        <w:rPr>
          <w:rFonts w:ascii="Arial" w:hAnsi="Arial" w:cs="Arial"/>
          <w:b/>
        </w:rPr>
        <w:tab/>
        <w:t xml:space="preserve">      </w:t>
      </w:r>
      <w:r>
        <w:rPr>
          <w:rFonts w:ascii="Arial" w:hAnsi="Arial" w:cs="Arial"/>
          <w:b/>
        </w:rPr>
        <w:tab/>
        <w:t xml:space="preserve">   </w:t>
      </w:r>
      <w:r w:rsidR="00B73ED4">
        <w:rPr>
          <w:rFonts w:ascii="Arial" w:hAnsi="Arial" w:cs="Arial"/>
          <w:b/>
        </w:rPr>
        <w:tab/>
      </w:r>
      <w:r w:rsidR="00B73ED4">
        <w:rPr>
          <w:rFonts w:ascii="Arial" w:hAnsi="Arial" w:cs="Arial"/>
          <w:b/>
        </w:rPr>
        <w:tab/>
      </w:r>
      <w:r w:rsidR="002C11E2">
        <w:rPr>
          <w:rFonts w:ascii="Arial" w:hAnsi="Arial" w:cs="Arial"/>
          <w:b/>
        </w:rPr>
        <w:t xml:space="preserve">        </w:t>
      </w:r>
      <w:r w:rsidRPr="00B73ED4">
        <w:rPr>
          <w:rFonts w:ascii="Arial" w:hAnsi="Arial" w:cs="Arial"/>
          <w:b/>
        </w:rPr>
        <w:t>Reportable</w:t>
      </w:r>
      <w:r w:rsidRPr="00507C65">
        <w:rPr>
          <w:rFonts w:ascii="Arial" w:hAnsi="Arial" w:cs="Arial"/>
        </w:rPr>
        <w:tab/>
      </w:r>
      <w:r w:rsidRPr="00507C65">
        <w:rPr>
          <w:rFonts w:ascii="Arial" w:hAnsi="Arial" w:cs="Arial"/>
        </w:rPr>
        <w:tab/>
      </w:r>
      <w:r w:rsidRPr="00507C65">
        <w:rPr>
          <w:rFonts w:ascii="Arial" w:hAnsi="Arial" w:cs="Arial"/>
        </w:rPr>
        <w:tab/>
      </w:r>
      <w:r w:rsidRPr="00507C65">
        <w:rPr>
          <w:rFonts w:ascii="Arial" w:hAnsi="Arial" w:cs="Arial"/>
        </w:rPr>
        <w:tab/>
      </w:r>
      <w:r w:rsidRPr="00507C65">
        <w:rPr>
          <w:rFonts w:ascii="Arial" w:hAnsi="Arial" w:cs="Arial"/>
        </w:rPr>
        <w:tab/>
      </w:r>
      <w:r w:rsidRPr="00507C65">
        <w:rPr>
          <w:rFonts w:ascii="Arial" w:hAnsi="Arial" w:cs="Arial"/>
        </w:rPr>
        <w:tab/>
      </w:r>
      <w:r w:rsidRPr="00507C65">
        <w:rPr>
          <w:rFonts w:ascii="Arial" w:hAnsi="Arial" w:cs="Arial"/>
        </w:rPr>
        <w:tab/>
        <w:t xml:space="preserve"> </w:t>
      </w:r>
      <w:r w:rsidRPr="00507C65">
        <w:rPr>
          <w:rFonts w:ascii="Arial" w:hAnsi="Arial" w:cs="Arial"/>
        </w:rPr>
        <w:tab/>
      </w:r>
      <w:r w:rsidRPr="00507C65">
        <w:rPr>
          <w:rFonts w:ascii="Arial" w:hAnsi="Arial" w:cs="Arial"/>
        </w:rPr>
        <w:tab/>
        <w:t xml:space="preserve">       Case No: </w:t>
      </w:r>
      <w:r>
        <w:rPr>
          <w:rFonts w:ascii="Arial" w:hAnsi="Arial" w:cs="Arial"/>
        </w:rPr>
        <w:t>733</w:t>
      </w:r>
      <w:r w:rsidRPr="00507C65">
        <w:rPr>
          <w:rFonts w:ascii="Arial" w:hAnsi="Arial" w:cs="Arial"/>
        </w:rPr>
        <w:t xml:space="preserve">/2022 </w:t>
      </w:r>
    </w:p>
    <w:p w14:paraId="49BAE6D6" w14:textId="77777777" w:rsidR="00F747D3" w:rsidRPr="00186B43" w:rsidRDefault="00F747D3" w:rsidP="00F747D3">
      <w:pPr>
        <w:spacing w:after="160" w:line="360" w:lineRule="auto"/>
        <w:jc w:val="both"/>
        <w:rPr>
          <w:rFonts w:ascii="Arial" w:eastAsiaTheme="minorHAnsi" w:hAnsi="Arial" w:cs="Arial"/>
          <w:lang w:eastAsia="en-US"/>
        </w:rPr>
      </w:pPr>
      <w:r w:rsidRPr="00186B43">
        <w:rPr>
          <w:rFonts w:ascii="Arial" w:eastAsiaTheme="minorHAnsi" w:hAnsi="Arial" w:cs="Arial"/>
          <w:lang w:eastAsia="en-US"/>
        </w:rPr>
        <w:t xml:space="preserve">In the matter between: </w:t>
      </w:r>
    </w:p>
    <w:p w14:paraId="223670E4" w14:textId="77777777" w:rsidR="00F747D3" w:rsidRPr="00186B43" w:rsidRDefault="00F747D3" w:rsidP="00F747D3">
      <w:pPr>
        <w:spacing w:after="160" w:line="360" w:lineRule="auto"/>
        <w:jc w:val="both"/>
        <w:rPr>
          <w:rFonts w:ascii="Arial" w:eastAsiaTheme="minorHAnsi" w:hAnsi="Arial" w:cs="Arial"/>
          <w:lang w:eastAsia="en-US"/>
        </w:rPr>
      </w:pPr>
      <w:r w:rsidRPr="00186B43">
        <w:rPr>
          <w:rFonts w:ascii="Arial" w:eastAsiaTheme="minorHAnsi" w:hAnsi="Arial" w:cs="Arial"/>
          <w:b/>
          <w:bCs/>
          <w:lang w:eastAsia="en-US"/>
        </w:rPr>
        <w:t>VANTAGE GOLDFIELDS SA (PTY) LTD</w:t>
      </w:r>
      <w:r w:rsidRPr="00186B43">
        <w:rPr>
          <w:rFonts w:ascii="Arial" w:eastAsiaTheme="minorHAnsi" w:hAnsi="Arial" w:cs="Arial"/>
          <w:b/>
          <w:bCs/>
          <w:lang w:eastAsia="en-US"/>
        </w:rPr>
        <w:tab/>
        <w:t xml:space="preserve">              </w:t>
      </w:r>
      <w:r w:rsidRPr="00186B43">
        <w:rPr>
          <w:rFonts w:ascii="Arial" w:eastAsiaTheme="minorHAnsi" w:hAnsi="Arial" w:cs="Arial"/>
          <w:b/>
          <w:bCs/>
          <w:lang w:eastAsia="en-US"/>
        </w:rPr>
        <w:tab/>
        <w:t xml:space="preserve">     FIRST APPELLANT</w:t>
      </w:r>
    </w:p>
    <w:p w14:paraId="1D95A9CE" w14:textId="77777777" w:rsidR="00F747D3" w:rsidRPr="00186B43" w:rsidRDefault="00F747D3" w:rsidP="00F747D3">
      <w:pPr>
        <w:spacing w:after="160" w:line="360" w:lineRule="auto"/>
        <w:jc w:val="both"/>
        <w:rPr>
          <w:rFonts w:ascii="Arial" w:eastAsiaTheme="minorHAnsi" w:hAnsi="Arial" w:cs="Arial"/>
          <w:b/>
          <w:lang w:eastAsia="en-US"/>
        </w:rPr>
      </w:pPr>
      <w:r w:rsidRPr="00186B43">
        <w:rPr>
          <w:rFonts w:ascii="Arial" w:eastAsiaTheme="minorHAnsi" w:hAnsi="Arial" w:cs="Arial"/>
          <w:b/>
          <w:lang w:eastAsia="en-US"/>
        </w:rPr>
        <w:t>VANTAGE GOLDFIELDS LTD</w:t>
      </w:r>
      <w:r w:rsidRPr="00186B43">
        <w:rPr>
          <w:rFonts w:ascii="Arial" w:eastAsiaTheme="minorHAnsi" w:hAnsi="Arial" w:cs="Arial"/>
          <w:b/>
          <w:lang w:eastAsia="en-US"/>
        </w:rPr>
        <w:tab/>
      </w:r>
      <w:r w:rsidRPr="00186B43">
        <w:rPr>
          <w:rFonts w:ascii="Arial" w:eastAsiaTheme="minorHAnsi" w:hAnsi="Arial" w:cs="Arial"/>
          <w:b/>
          <w:lang w:eastAsia="en-US"/>
        </w:rPr>
        <w:tab/>
      </w:r>
      <w:r w:rsidRPr="00186B43">
        <w:rPr>
          <w:rFonts w:ascii="Arial" w:eastAsiaTheme="minorHAnsi" w:hAnsi="Arial" w:cs="Arial"/>
          <w:b/>
          <w:lang w:eastAsia="en-US"/>
        </w:rPr>
        <w:tab/>
      </w:r>
      <w:r w:rsidRPr="00186B43">
        <w:rPr>
          <w:rFonts w:ascii="Arial" w:eastAsiaTheme="minorHAnsi" w:hAnsi="Arial" w:cs="Arial"/>
          <w:b/>
          <w:lang w:eastAsia="en-US"/>
        </w:rPr>
        <w:tab/>
      </w:r>
      <w:r w:rsidRPr="00186B43">
        <w:rPr>
          <w:rFonts w:ascii="Arial" w:eastAsiaTheme="minorHAnsi" w:hAnsi="Arial" w:cs="Arial"/>
          <w:b/>
          <w:lang w:eastAsia="en-US"/>
        </w:rPr>
        <w:tab/>
        <w:t>SECOND APPELLANT</w:t>
      </w:r>
    </w:p>
    <w:p w14:paraId="11A0088C" w14:textId="77777777" w:rsidR="00F747D3" w:rsidRPr="00186B43" w:rsidRDefault="00F747D3" w:rsidP="00F747D3">
      <w:pPr>
        <w:spacing w:after="160" w:line="360" w:lineRule="auto"/>
        <w:jc w:val="both"/>
        <w:rPr>
          <w:rFonts w:ascii="Arial" w:eastAsiaTheme="minorHAnsi" w:hAnsi="Arial" w:cs="Arial"/>
          <w:lang w:eastAsia="en-US"/>
        </w:rPr>
      </w:pPr>
      <w:r w:rsidRPr="00186B43">
        <w:rPr>
          <w:rFonts w:ascii="Arial" w:eastAsiaTheme="minorHAnsi" w:hAnsi="Arial" w:cs="Arial"/>
          <w:lang w:eastAsia="en-US"/>
        </w:rPr>
        <w:t>and</w:t>
      </w:r>
    </w:p>
    <w:p w14:paraId="4374ABFD" w14:textId="77777777" w:rsidR="00F747D3" w:rsidRPr="00186B43" w:rsidRDefault="00F747D3" w:rsidP="00F747D3">
      <w:pPr>
        <w:spacing w:after="160" w:line="360" w:lineRule="auto"/>
        <w:ind w:right="26"/>
        <w:jc w:val="both"/>
        <w:rPr>
          <w:rFonts w:ascii="Arial" w:eastAsiaTheme="minorHAnsi" w:hAnsi="Arial" w:cs="Arial"/>
          <w:b/>
          <w:lang w:eastAsia="en-US"/>
        </w:rPr>
      </w:pPr>
      <w:r w:rsidRPr="00186B43">
        <w:rPr>
          <w:rFonts w:ascii="Arial" w:eastAsiaTheme="minorHAnsi" w:hAnsi="Arial" w:cs="Arial"/>
          <w:b/>
          <w:lang w:eastAsia="en-US"/>
        </w:rPr>
        <w:t>ARQOMANZI (PTY) LTD</w:t>
      </w:r>
      <w:r w:rsidRPr="00186B43">
        <w:rPr>
          <w:rFonts w:ascii="Arial" w:eastAsiaTheme="minorHAnsi" w:hAnsi="Arial" w:cs="Arial"/>
          <w:b/>
          <w:lang w:eastAsia="en-US"/>
        </w:rPr>
        <w:tab/>
      </w:r>
      <w:r w:rsidRPr="00186B43">
        <w:rPr>
          <w:rFonts w:ascii="Arial" w:eastAsiaTheme="minorHAnsi" w:hAnsi="Arial" w:cs="Arial"/>
          <w:b/>
          <w:lang w:eastAsia="en-US"/>
        </w:rPr>
        <w:tab/>
      </w:r>
      <w:r w:rsidRPr="00186B43">
        <w:rPr>
          <w:rFonts w:ascii="Arial" w:eastAsiaTheme="minorHAnsi" w:hAnsi="Arial" w:cs="Arial"/>
          <w:b/>
          <w:lang w:eastAsia="en-US"/>
        </w:rPr>
        <w:tab/>
        <w:t xml:space="preserve">                                  FIRST RESPONDENT</w:t>
      </w:r>
    </w:p>
    <w:p w14:paraId="6DF6ED89" w14:textId="77777777" w:rsidR="00F747D3" w:rsidRPr="00186B43" w:rsidRDefault="00F747D3" w:rsidP="00F747D3">
      <w:pPr>
        <w:spacing w:after="160"/>
        <w:jc w:val="both"/>
        <w:rPr>
          <w:rFonts w:ascii="Arial" w:eastAsiaTheme="minorHAnsi" w:hAnsi="Arial" w:cs="Arial"/>
          <w:b/>
          <w:lang w:eastAsia="en-US"/>
        </w:rPr>
      </w:pPr>
      <w:r w:rsidRPr="00186B43">
        <w:rPr>
          <w:rFonts w:ascii="Arial" w:eastAsiaTheme="minorHAnsi" w:hAnsi="Arial" w:cs="Arial"/>
          <w:b/>
          <w:lang w:eastAsia="en-US"/>
        </w:rPr>
        <w:t>VANTAGE GOLDFIELDS (PTY) LTD</w:t>
      </w:r>
      <w:r w:rsidRPr="00186B43">
        <w:rPr>
          <w:rFonts w:ascii="Arial" w:eastAsiaTheme="minorHAnsi" w:hAnsi="Arial" w:cs="Arial"/>
          <w:b/>
          <w:lang w:eastAsia="en-US"/>
        </w:rPr>
        <w:tab/>
        <w:t xml:space="preserve">                             SECOND RESPONDENT</w:t>
      </w:r>
    </w:p>
    <w:p w14:paraId="35039ECD" w14:textId="77777777" w:rsidR="00F747D3" w:rsidRPr="00186B43" w:rsidRDefault="00F747D3" w:rsidP="00F747D3">
      <w:pPr>
        <w:spacing w:after="160"/>
        <w:jc w:val="both"/>
        <w:rPr>
          <w:rFonts w:ascii="Arial" w:eastAsiaTheme="minorHAnsi" w:hAnsi="Arial" w:cs="Arial"/>
          <w:b/>
          <w:lang w:eastAsia="en-US"/>
        </w:rPr>
      </w:pPr>
      <w:r w:rsidRPr="00186B43">
        <w:rPr>
          <w:rFonts w:ascii="Arial" w:eastAsiaTheme="minorHAnsi" w:hAnsi="Arial" w:cs="Arial"/>
          <w:b/>
          <w:lang w:eastAsia="en-US"/>
        </w:rPr>
        <w:t>(in business rescue)</w:t>
      </w:r>
    </w:p>
    <w:p w14:paraId="66EFE607" w14:textId="77777777" w:rsidR="00F747D3" w:rsidRPr="00186B43" w:rsidRDefault="00F747D3" w:rsidP="00F747D3">
      <w:pPr>
        <w:spacing w:after="160"/>
        <w:jc w:val="both"/>
        <w:rPr>
          <w:rFonts w:ascii="Arial" w:eastAsiaTheme="minorHAnsi" w:hAnsi="Arial" w:cs="Arial"/>
          <w:b/>
          <w:lang w:eastAsia="en-US"/>
        </w:rPr>
      </w:pPr>
      <w:r w:rsidRPr="00186B43">
        <w:rPr>
          <w:rFonts w:ascii="Arial" w:eastAsiaTheme="minorHAnsi" w:hAnsi="Arial" w:cs="Arial"/>
          <w:b/>
          <w:lang w:eastAsia="en-US"/>
        </w:rPr>
        <w:t>BARBROOK MINES (PTY) LTD</w:t>
      </w:r>
      <w:r w:rsidRPr="00186B43">
        <w:rPr>
          <w:rFonts w:ascii="Arial" w:eastAsiaTheme="minorHAnsi" w:hAnsi="Arial" w:cs="Arial"/>
          <w:b/>
          <w:lang w:eastAsia="en-US"/>
        </w:rPr>
        <w:tab/>
      </w:r>
      <w:r w:rsidRPr="00186B43">
        <w:rPr>
          <w:rFonts w:ascii="Arial" w:eastAsiaTheme="minorHAnsi" w:hAnsi="Arial" w:cs="Arial"/>
          <w:b/>
          <w:lang w:eastAsia="en-US"/>
        </w:rPr>
        <w:tab/>
      </w:r>
      <w:r w:rsidRPr="00186B43">
        <w:rPr>
          <w:rFonts w:ascii="Arial" w:eastAsiaTheme="minorHAnsi" w:hAnsi="Arial" w:cs="Arial"/>
          <w:b/>
          <w:lang w:eastAsia="en-US"/>
        </w:rPr>
        <w:tab/>
      </w:r>
      <w:r w:rsidRPr="00186B43">
        <w:rPr>
          <w:rFonts w:ascii="Arial" w:eastAsiaTheme="minorHAnsi" w:hAnsi="Arial" w:cs="Arial"/>
          <w:b/>
          <w:lang w:eastAsia="en-US"/>
        </w:rPr>
        <w:tab/>
      </w:r>
      <w:r w:rsidRPr="00186B43">
        <w:rPr>
          <w:rFonts w:ascii="Arial" w:eastAsiaTheme="minorHAnsi" w:hAnsi="Arial" w:cs="Arial"/>
          <w:b/>
          <w:lang w:eastAsia="en-US"/>
        </w:rPr>
        <w:tab/>
        <w:t xml:space="preserve"> THIRD RESPONDENT</w:t>
      </w:r>
    </w:p>
    <w:p w14:paraId="1C58864B" w14:textId="77777777" w:rsidR="00F747D3" w:rsidRPr="00186B43" w:rsidRDefault="00F747D3" w:rsidP="00F747D3">
      <w:pPr>
        <w:spacing w:after="160"/>
        <w:jc w:val="both"/>
        <w:rPr>
          <w:rFonts w:ascii="Arial" w:eastAsiaTheme="minorHAnsi" w:hAnsi="Arial" w:cs="Arial"/>
          <w:b/>
          <w:lang w:eastAsia="en-US"/>
        </w:rPr>
      </w:pPr>
      <w:r w:rsidRPr="00186B43">
        <w:rPr>
          <w:rFonts w:ascii="Arial" w:eastAsiaTheme="minorHAnsi" w:hAnsi="Arial" w:cs="Arial"/>
          <w:b/>
          <w:lang w:eastAsia="en-US"/>
        </w:rPr>
        <w:t>(in business rescue)</w:t>
      </w:r>
    </w:p>
    <w:p w14:paraId="41492987" w14:textId="77777777" w:rsidR="00A70307" w:rsidRPr="00B73ED4" w:rsidRDefault="00F747D3" w:rsidP="00F747D3">
      <w:pPr>
        <w:spacing w:after="160" w:line="360" w:lineRule="auto"/>
        <w:jc w:val="both"/>
        <w:rPr>
          <w:rFonts w:ascii="Arial" w:eastAsiaTheme="minorHAnsi" w:hAnsi="Arial" w:cs="Arial"/>
          <w:b/>
          <w:lang w:eastAsia="en-US"/>
        </w:rPr>
      </w:pPr>
      <w:r w:rsidRPr="00186B43">
        <w:rPr>
          <w:rFonts w:ascii="Arial" w:eastAsiaTheme="minorHAnsi" w:hAnsi="Arial" w:cs="Arial"/>
          <w:b/>
          <w:lang w:eastAsia="en-US"/>
        </w:rPr>
        <w:t>MAKONJWAAN IMPERIAL MINING</w:t>
      </w:r>
      <w:r w:rsidR="00A70307">
        <w:rPr>
          <w:rFonts w:ascii="Arial" w:eastAsiaTheme="minorHAnsi" w:hAnsi="Arial" w:cs="Arial"/>
          <w:b/>
          <w:lang w:eastAsia="en-US"/>
        </w:rPr>
        <w:t xml:space="preserve"> </w:t>
      </w:r>
      <w:r w:rsidR="00A70307" w:rsidRPr="00B73ED4">
        <w:rPr>
          <w:rFonts w:ascii="Arial" w:eastAsiaTheme="minorHAnsi" w:hAnsi="Arial" w:cs="Arial"/>
          <w:b/>
          <w:lang w:eastAsia="en-US"/>
        </w:rPr>
        <w:t>COMPANY (PTY) LTD</w:t>
      </w:r>
    </w:p>
    <w:p w14:paraId="0B24A65E" w14:textId="020793DB" w:rsidR="00F747D3" w:rsidRPr="00186B43" w:rsidRDefault="00A70307" w:rsidP="00F747D3">
      <w:pPr>
        <w:spacing w:after="160" w:line="360" w:lineRule="auto"/>
        <w:jc w:val="both"/>
        <w:rPr>
          <w:rFonts w:ascii="Arial" w:eastAsiaTheme="minorHAnsi" w:hAnsi="Arial" w:cs="Arial"/>
          <w:b/>
          <w:lang w:eastAsia="en-US"/>
        </w:rPr>
      </w:pPr>
      <w:r w:rsidRPr="00B73ED4">
        <w:rPr>
          <w:rFonts w:ascii="Arial" w:eastAsiaTheme="minorHAnsi" w:hAnsi="Arial" w:cs="Arial"/>
          <w:b/>
          <w:lang w:eastAsia="en-US"/>
        </w:rPr>
        <w:t>(in business rescue)</w:t>
      </w:r>
      <w:r w:rsidR="00F747D3" w:rsidRPr="00B73ED4">
        <w:rPr>
          <w:rFonts w:ascii="Arial" w:eastAsiaTheme="minorHAnsi" w:hAnsi="Arial" w:cs="Arial"/>
          <w:b/>
          <w:lang w:eastAsia="en-US"/>
        </w:rPr>
        <w:tab/>
      </w:r>
      <w:r w:rsidR="00F747D3" w:rsidRPr="00B73ED4">
        <w:rPr>
          <w:rFonts w:ascii="Arial" w:eastAsiaTheme="minorHAnsi" w:hAnsi="Arial" w:cs="Arial"/>
          <w:b/>
          <w:lang w:eastAsia="en-US"/>
        </w:rPr>
        <w:tab/>
      </w:r>
      <w:r w:rsidR="00F747D3" w:rsidRPr="00B73ED4">
        <w:rPr>
          <w:rFonts w:ascii="Arial" w:eastAsiaTheme="minorHAnsi" w:hAnsi="Arial" w:cs="Arial"/>
          <w:b/>
          <w:lang w:eastAsia="en-US"/>
        </w:rPr>
        <w:tab/>
        <w:t xml:space="preserve">        </w:t>
      </w:r>
      <w:r w:rsidRPr="00B73ED4">
        <w:rPr>
          <w:rFonts w:ascii="Arial" w:eastAsiaTheme="minorHAnsi" w:hAnsi="Arial" w:cs="Arial"/>
          <w:b/>
          <w:lang w:eastAsia="en-US"/>
        </w:rPr>
        <w:tab/>
      </w:r>
      <w:r w:rsidRPr="00B73ED4">
        <w:rPr>
          <w:rFonts w:ascii="Arial" w:eastAsiaTheme="minorHAnsi" w:hAnsi="Arial" w:cs="Arial"/>
          <w:b/>
          <w:lang w:eastAsia="en-US"/>
        </w:rPr>
        <w:tab/>
        <w:t xml:space="preserve">        </w:t>
      </w:r>
      <w:r w:rsidR="00F747D3" w:rsidRPr="00B73ED4">
        <w:rPr>
          <w:rFonts w:ascii="Arial" w:eastAsiaTheme="minorHAnsi" w:hAnsi="Arial" w:cs="Arial"/>
          <w:b/>
          <w:lang w:eastAsia="en-US"/>
        </w:rPr>
        <w:t>FOURTH</w:t>
      </w:r>
      <w:r w:rsidR="00F747D3" w:rsidRPr="00186B43">
        <w:rPr>
          <w:rFonts w:ascii="Arial" w:eastAsiaTheme="minorHAnsi" w:hAnsi="Arial" w:cs="Arial"/>
          <w:b/>
          <w:lang w:eastAsia="en-US"/>
        </w:rPr>
        <w:t xml:space="preserve"> RESPONDENT</w:t>
      </w:r>
    </w:p>
    <w:p w14:paraId="180F23B1" w14:textId="77777777" w:rsidR="00F747D3" w:rsidRPr="00186B43" w:rsidRDefault="00F747D3" w:rsidP="00F747D3">
      <w:pPr>
        <w:spacing w:after="160" w:line="360" w:lineRule="auto"/>
        <w:jc w:val="both"/>
        <w:rPr>
          <w:rFonts w:ascii="Arial" w:eastAsiaTheme="minorHAnsi" w:hAnsi="Arial" w:cs="Arial"/>
          <w:b/>
          <w:lang w:eastAsia="en-US"/>
        </w:rPr>
      </w:pPr>
      <w:r w:rsidRPr="00186B43">
        <w:rPr>
          <w:rFonts w:ascii="Arial" w:eastAsiaTheme="minorHAnsi" w:hAnsi="Arial" w:cs="Arial"/>
          <w:b/>
          <w:lang w:eastAsia="en-US"/>
        </w:rPr>
        <w:t>ROBERT CHARLES DEVEREUX NO</w:t>
      </w:r>
      <w:r w:rsidRPr="00186B43">
        <w:rPr>
          <w:rFonts w:ascii="Arial" w:eastAsiaTheme="minorHAnsi" w:hAnsi="Arial" w:cs="Arial"/>
          <w:b/>
          <w:lang w:eastAsia="en-US"/>
        </w:rPr>
        <w:tab/>
      </w:r>
      <w:r w:rsidRPr="00186B43">
        <w:rPr>
          <w:rFonts w:ascii="Arial" w:eastAsiaTheme="minorHAnsi" w:hAnsi="Arial" w:cs="Arial"/>
          <w:b/>
          <w:lang w:eastAsia="en-US"/>
        </w:rPr>
        <w:tab/>
      </w:r>
      <w:r w:rsidRPr="00186B43">
        <w:rPr>
          <w:rFonts w:ascii="Arial" w:eastAsiaTheme="minorHAnsi" w:hAnsi="Arial" w:cs="Arial"/>
          <w:b/>
          <w:lang w:eastAsia="en-US"/>
        </w:rPr>
        <w:tab/>
      </w:r>
      <w:r w:rsidRPr="00186B43">
        <w:rPr>
          <w:rFonts w:ascii="Arial" w:eastAsiaTheme="minorHAnsi" w:hAnsi="Arial" w:cs="Arial"/>
          <w:b/>
          <w:lang w:eastAsia="en-US"/>
        </w:rPr>
        <w:tab/>
        <w:t xml:space="preserve"> FIFTH RESPONDENT</w:t>
      </w:r>
    </w:p>
    <w:p w14:paraId="17D8F1FA" w14:textId="77777777" w:rsidR="00F747D3" w:rsidRPr="00186B43" w:rsidRDefault="00F747D3" w:rsidP="00F747D3">
      <w:pPr>
        <w:spacing w:after="160" w:line="360" w:lineRule="auto"/>
        <w:jc w:val="both"/>
        <w:rPr>
          <w:rFonts w:ascii="Arial" w:eastAsiaTheme="minorHAnsi" w:hAnsi="Arial" w:cs="Arial"/>
          <w:b/>
          <w:lang w:eastAsia="en-US"/>
        </w:rPr>
      </w:pPr>
      <w:r w:rsidRPr="00186B43">
        <w:rPr>
          <w:rFonts w:ascii="Arial" w:eastAsiaTheme="minorHAnsi" w:hAnsi="Arial" w:cs="Arial"/>
          <w:b/>
          <w:lang w:eastAsia="en-US"/>
        </w:rPr>
        <w:t>DANIEL TERBLANCHE NO                                                     SIXTH RESPONDENT</w:t>
      </w:r>
    </w:p>
    <w:p w14:paraId="78C7D1E4" w14:textId="77777777" w:rsidR="00F747D3" w:rsidRPr="00186B43" w:rsidRDefault="00F747D3" w:rsidP="00F747D3">
      <w:pPr>
        <w:spacing w:after="160" w:line="360" w:lineRule="auto"/>
        <w:jc w:val="both"/>
        <w:rPr>
          <w:rFonts w:ascii="Arial" w:eastAsiaTheme="minorHAnsi" w:hAnsi="Arial" w:cs="Arial"/>
          <w:b/>
          <w:lang w:eastAsia="en-US"/>
        </w:rPr>
      </w:pPr>
      <w:r w:rsidRPr="00186B43">
        <w:rPr>
          <w:rFonts w:ascii="Arial" w:eastAsiaTheme="minorHAnsi" w:hAnsi="Arial" w:cs="Arial"/>
          <w:b/>
          <w:lang w:eastAsia="en-US"/>
        </w:rPr>
        <w:t>THE STANDARD BANK OF SOUTH AFRICA LTD               SEVENTH RESPONDENT</w:t>
      </w:r>
    </w:p>
    <w:p w14:paraId="24CC225F" w14:textId="77777777" w:rsidR="00F747D3" w:rsidRPr="00186B43" w:rsidRDefault="00F747D3" w:rsidP="00F747D3">
      <w:pPr>
        <w:spacing w:after="160" w:line="360" w:lineRule="auto"/>
        <w:jc w:val="both"/>
        <w:rPr>
          <w:rFonts w:ascii="Arial" w:eastAsiaTheme="minorHAnsi" w:hAnsi="Arial" w:cs="Arial"/>
          <w:b/>
          <w:lang w:eastAsia="en-US"/>
        </w:rPr>
      </w:pPr>
      <w:r w:rsidRPr="00186B43">
        <w:rPr>
          <w:rFonts w:ascii="Arial" w:eastAsiaTheme="minorHAnsi" w:hAnsi="Arial" w:cs="Arial"/>
          <w:b/>
          <w:lang w:eastAsia="en-US"/>
        </w:rPr>
        <w:t>THE MINISTER OF MINERAL RESOURCES</w:t>
      </w:r>
      <w:r w:rsidRPr="00186B43">
        <w:rPr>
          <w:rFonts w:ascii="Arial" w:eastAsiaTheme="minorHAnsi" w:hAnsi="Arial" w:cs="Arial"/>
          <w:b/>
          <w:lang w:eastAsia="en-US"/>
        </w:rPr>
        <w:tab/>
      </w:r>
      <w:r w:rsidRPr="00186B43">
        <w:rPr>
          <w:rFonts w:ascii="Arial" w:eastAsiaTheme="minorHAnsi" w:hAnsi="Arial" w:cs="Arial"/>
          <w:b/>
          <w:lang w:eastAsia="en-US"/>
        </w:rPr>
        <w:tab/>
        <w:t xml:space="preserve">         EIGHTH RESPONDENT</w:t>
      </w:r>
    </w:p>
    <w:p w14:paraId="464F6ACE" w14:textId="77777777" w:rsidR="00F747D3" w:rsidRPr="00186B43" w:rsidRDefault="00F747D3" w:rsidP="00F747D3">
      <w:pPr>
        <w:spacing w:after="160" w:line="360" w:lineRule="auto"/>
        <w:jc w:val="both"/>
        <w:rPr>
          <w:rFonts w:ascii="Arial" w:eastAsiaTheme="minorHAnsi" w:hAnsi="Arial" w:cs="Arial"/>
          <w:b/>
          <w:lang w:eastAsia="en-US"/>
        </w:rPr>
      </w:pPr>
      <w:r w:rsidRPr="00186B43">
        <w:rPr>
          <w:rFonts w:ascii="Arial" w:eastAsiaTheme="minorHAnsi" w:hAnsi="Arial" w:cs="Arial"/>
          <w:b/>
          <w:lang w:eastAsia="en-US"/>
        </w:rPr>
        <w:t>AND ENERGY</w:t>
      </w:r>
    </w:p>
    <w:p w14:paraId="6FC147EF" w14:textId="77777777" w:rsidR="00F747D3" w:rsidRPr="00186B43" w:rsidRDefault="00F747D3" w:rsidP="00F747D3">
      <w:pPr>
        <w:spacing w:after="160" w:line="360" w:lineRule="auto"/>
        <w:jc w:val="both"/>
        <w:rPr>
          <w:rFonts w:ascii="Arial" w:eastAsiaTheme="minorHAnsi" w:hAnsi="Arial" w:cs="Arial"/>
          <w:b/>
          <w:lang w:eastAsia="en-US"/>
        </w:rPr>
      </w:pPr>
      <w:r w:rsidRPr="00186B43">
        <w:rPr>
          <w:rFonts w:ascii="Arial" w:eastAsiaTheme="minorHAnsi" w:hAnsi="Arial" w:cs="Arial"/>
          <w:b/>
          <w:lang w:eastAsia="en-US"/>
        </w:rPr>
        <w:t>KPMG SOUTH AFRICA INC</w:t>
      </w:r>
      <w:r w:rsidRPr="00186B43">
        <w:rPr>
          <w:rFonts w:ascii="Arial" w:eastAsiaTheme="minorHAnsi" w:hAnsi="Arial" w:cs="Arial"/>
          <w:b/>
          <w:lang w:eastAsia="en-US"/>
        </w:rPr>
        <w:tab/>
      </w:r>
      <w:r w:rsidRPr="00186B43">
        <w:rPr>
          <w:rFonts w:ascii="Arial" w:eastAsiaTheme="minorHAnsi" w:hAnsi="Arial" w:cs="Arial"/>
          <w:b/>
          <w:lang w:eastAsia="en-US"/>
        </w:rPr>
        <w:tab/>
      </w:r>
      <w:r w:rsidRPr="00186B43">
        <w:rPr>
          <w:rFonts w:ascii="Arial" w:eastAsiaTheme="minorHAnsi" w:hAnsi="Arial" w:cs="Arial"/>
          <w:b/>
          <w:lang w:eastAsia="en-US"/>
        </w:rPr>
        <w:tab/>
      </w:r>
      <w:r w:rsidRPr="00186B43">
        <w:rPr>
          <w:rFonts w:ascii="Arial" w:eastAsiaTheme="minorHAnsi" w:hAnsi="Arial" w:cs="Arial"/>
          <w:b/>
          <w:lang w:eastAsia="en-US"/>
        </w:rPr>
        <w:tab/>
        <w:t xml:space="preserve">            NINTH RESPONDENT</w:t>
      </w:r>
    </w:p>
    <w:p w14:paraId="64F199A0" w14:textId="77777777" w:rsidR="00F747D3" w:rsidRPr="00186B43" w:rsidRDefault="00F747D3" w:rsidP="00F747D3">
      <w:pPr>
        <w:spacing w:after="160" w:line="360" w:lineRule="auto"/>
        <w:jc w:val="both"/>
        <w:rPr>
          <w:rFonts w:ascii="Arial" w:eastAsiaTheme="minorHAnsi" w:hAnsi="Arial" w:cs="Arial"/>
          <w:b/>
          <w:lang w:eastAsia="en-US"/>
        </w:rPr>
      </w:pPr>
      <w:r w:rsidRPr="00186B43">
        <w:rPr>
          <w:rFonts w:ascii="Arial" w:eastAsiaTheme="minorHAnsi" w:hAnsi="Arial" w:cs="Arial"/>
          <w:b/>
          <w:lang w:eastAsia="en-US"/>
        </w:rPr>
        <w:t>LOMSHIYO TRADITIONAL AUTHORITY                                 TENTH RESPONDENT</w:t>
      </w:r>
    </w:p>
    <w:p w14:paraId="239F8E6E" w14:textId="6A76ADAA" w:rsidR="00F747D3" w:rsidRPr="002C11E2" w:rsidRDefault="00F747D3" w:rsidP="00F747D3">
      <w:pPr>
        <w:spacing w:before="120" w:after="120" w:line="360" w:lineRule="auto"/>
        <w:jc w:val="both"/>
        <w:rPr>
          <w:rFonts w:ascii="Arial" w:hAnsi="Arial" w:cs="Arial"/>
          <w:lang w:val="en-GB"/>
        </w:rPr>
      </w:pPr>
      <w:r w:rsidRPr="00507C65">
        <w:rPr>
          <w:rFonts w:ascii="Arial" w:hAnsi="Arial" w:cs="Arial"/>
          <w:b/>
          <w:bCs/>
          <w:lang w:val="en-GB"/>
        </w:rPr>
        <w:lastRenderedPageBreak/>
        <w:t>Neutral citation:</w:t>
      </w:r>
      <w:r w:rsidRPr="00507C65">
        <w:rPr>
          <w:rFonts w:ascii="Arial" w:hAnsi="Arial" w:cs="Arial"/>
          <w:bCs/>
          <w:lang w:val="en-GB"/>
        </w:rPr>
        <w:tab/>
      </w:r>
      <w:bookmarkStart w:id="1" w:name="_Hlk132571972"/>
      <w:r>
        <w:rPr>
          <w:rFonts w:ascii="Arial" w:hAnsi="Arial" w:cs="Arial"/>
          <w:bCs/>
          <w:i/>
          <w:lang w:val="en-GB"/>
        </w:rPr>
        <w:t>Vantage Goldfields SA</w:t>
      </w:r>
      <w:r w:rsidRPr="00507C65">
        <w:rPr>
          <w:rFonts w:ascii="Arial" w:hAnsi="Arial" w:cs="Arial"/>
          <w:bCs/>
          <w:i/>
          <w:lang w:val="en-GB"/>
        </w:rPr>
        <w:t xml:space="preserve"> (Pty) Ltd &amp; Another v </w:t>
      </w:r>
      <w:r>
        <w:rPr>
          <w:rFonts w:ascii="Arial" w:hAnsi="Arial" w:cs="Arial"/>
          <w:bCs/>
          <w:i/>
          <w:lang w:val="en-GB"/>
        </w:rPr>
        <w:t>Arqomanzi (Pty) Ltd</w:t>
      </w:r>
      <w:r w:rsidRPr="00507C65">
        <w:rPr>
          <w:rFonts w:ascii="Arial" w:hAnsi="Arial" w:cs="Arial"/>
          <w:bCs/>
          <w:i/>
          <w:lang w:val="en-GB"/>
        </w:rPr>
        <w:t xml:space="preserve"> &amp; Others</w:t>
      </w:r>
      <w:r>
        <w:rPr>
          <w:rFonts w:ascii="Arial" w:hAnsi="Arial" w:cs="Arial"/>
          <w:bCs/>
          <w:lang w:val="en-GB"/>
        </w:rPr>
        <w:t xml:space="preserve"> (733</w:t>
      </w:r>
      <w:r w:rsidRPr="00507C65">
        <w:rPr>
          <w:rFonts w:ascii="Arial" w:hAnsi="Arial" w:cs="Arial"/>
          <w:bCs/>
          <w:lang w:val="en-GB"/>
        </w:rPr>
        <w:t xml:space="preserve">/2022) [2023] ZASCA </w:t>
      </w:r>
      <w:r w:rsidR="002C11E2" w:rsidRPr="002C11E2">
        <w:rPr>
          <w:rFonts w:ascii="Arial" w:hAnsi="Arial" w:cs="Arial"/>
          <w:bCs/>
          <w:lang w:val="en-GB"/>
        </w:rPr>
        <w:t>106</w:t>
      </w:r>
      <w:r w:rsidRPr="002C11E2">
        <w:rPr>
          <w:rFonts w:ascii="Arial" w:hAnsi="Arial" w:cs="Arial"/>
          <w:bCs/>
          <w:lang w:val="en-GB"/>
        </w:rPr>
        <w:t xml:space="preserve"> (</w:t>
      </w:r>
      <w:r w:rsidR="002C11E2" w:rsidRPr="002C11E2">
        <w:rPr>
          <w:rFonts w:ascii="Arial" w:hAnsi="Arial" w:cs="Arial"/>
          <w:bCs/>
          <w:lang w:val="en-GB"/>
        </w:rPr>
        <w:t>27</w:t>
      </w:r>
      <w:r w:rsidRPr="002C11E2">
        <w:rPr>
          <w:rFonts w:ascii="Arial" w:hAnsi="Arial" w:cs="Arial"/>
          <w:bCs/>
          <w:lang w:val="en-GB"/>
        </w:rPr>
        <w:t xml:space="preserve"> June 2023)</w:t>
      </w:r>
    </w:p>
    <w:bookmarkEnd w:id="1"/>
    <w:p w14:paraId="3B27DCBD" w14:textId="77777777" w:rsidR="00F747D3" w:rsidRPr="002C11E2" w:rsidRDefault="00F747D3" w:rsidP="00F747D3">
      <w:pPr>
        <w:spacing w:before="120" w:after="120" w:line="360" w:lineRule="auto"/>
        <w:ind w:left="1440" w:hanging="1440"/>
        <w:jc w:val="both"/>
        <w:rPr>
          <w:rFonts w:ascii="Arial" w:hAnsi="Arial" w:cs="Arial"/>
          <w:bCs/>
          <w:iCs/>
          <w:lang w:val="en-GB"/>
        </w:rPr>
      </w:pPr>
      <w:r w:rsidRPr="002C11E2">
        <w:rPr>
          <w:rFonts w:ascii="Arial" w:hAnsi="Arial" w:cs="Arial"/>
          <w:b/>
          <w:bCs/>
          <w:lang w:val="en-GB"/>
        </w:rPr>
        <w:t>Coram:</w:t>
      </w:r>
      <w:r w:rsidRPr="002C11E2">
        <w:rPr>
          <w:rFonts w:ascii="Arial" w:hAnsi="Arial" w:cs="Arial"/>
          <w:lang w:val="en-GB"/>
        </w:rPr>
        <w:tab/>
        <w:t>PONNAN, MOCUMIE, MBATHA and MATOJANE JJA and MALI AJA</w:t>
      </w:r>
    </w:p>
    <w:p w14:paraId="034C2325" w14:textId="77777777" w:rsidR="00F747D3" w:rsidRPr="002C11E2" w:rsidRDefault="00F747D3" w:rsidP="00F747D3">
      <w:pPr>
        <w:spacing w:before="120" w:after="120" w:line="360" w:lineRule="auto"/>
        <w:jc w:val="both"/>
        <w:rPr>
          <w:rFonts w:ascii="Arial" w:hAnsi="Arial" w:cs="Arial"/>
          <w:bCs/>
          <w:lang w:val="en-GB"/>
        </w:rPr>
      </w:pPr>
      <w:r w:rsidRPr="002C11E2">
        <w:rPr>
          <w:rFonts w:ascii="Arial" w:hAnsi="Arial" w:cs="Arial"/>
          <w:b/>
          <w:bCs/>
          <w:lang w:val="en-GB"/>
        </w:rPr>
        <w:t>Heard</w:t>
      </w:r>
      <w:r w:rsidRPr="002C11E2">
        <w:rPr>
          <w:rFonts w:ascii="Arial" w:hAnsi="Arial" w:cs="Arial"/>
          <w:b/>
          <w:lang w:val="en-GB"/>
        </w:rPr>
        <w:t>:</w:t>
      </w:r>
      <w:r w:rsidRPr="002C11E2">
        <w:rPr>
          <w:rFonts w:ascii="Arial" w:hAnsi="Arial" w:cs="Arial"/>
          <w:lang w:val="en-GB"/>
        </w:rPr>
        <w:tab/>
        <w:t xml:space="preserve">10 May 2023 </w:t>
      </w:r>
    </w:p>
    <w:p w14:paraId="1AECE5CF" w14:textId="59EED1AA" w:rsidR="00F747D3" w:rsidRPr="00F747D3" w:rsidRDefault="00F747D3" w:rsidP="00F747D3">
      <w:pPr>
        <w:spacing w:before="120" w:after="120" w:line="360" w:lineRule="auto"/>
        <w:jc w:val="both"/>
        <w:rPr>
          <w:rFonts w:ascii="Arial" w:hAnsi="Arial" w:cs="Arial"/>
          <w:b/>
          <w:bCs/>
          <w:lang w:val="en-GB"/>
        </w:rPr>
      </w:pPr>
      <w:r w:rsidRPr="002C11E2">
        <w:rPr>
          <w:rFonts w:ascii="Arial" w:hAnsi="Arial" w:cs="Arial"/>
          <w:b/>
          <w:bCs/>
          <w:lang w:val="en-GB"/>
        </w:rPr>
        <w:t>Delivered</w:t>
      </w:r>
      <w:r w:rsidRPr="002C11E2">
        <w:rPr>
          <w:rFonts w:ascii="Arial" w:hAnsi="Arial" w:cs="Arial"/>
          <w:b/>
          <w:lang w:val="en-GB"/>
        </w:rPr>
        <w:t>:</w:t>
      </w:r>
      <w:r w:rsidRPr="002C11E2">
        <w:rPr>
          <w:rFonts w:ascii="Arial" w:hAnsi="Arial" w:cs="Arial"/>
          <w:b/>
          <w:lang w:val="en-GB"/>
        </w:rPr>
        <w:tab/>
      </w:r>
      <w:r w:rsidRPr="002C11E2">
        <w:rPr>
          <w:rFonts w:ascii="Arial" w:hAnsi="Arial" w:cs="Arial"/>
          <w:lang w:val="en-GB"/>
        </w:rPr>
        <w:t xml:space="preserve">This judgment was handed down electronically by circulation to the parties’ legal representatives by email, publication on the Supreme Court of Appeal website and released to SAFLII. The date and time for hand-down is deemed to be </w:t>
      </w:r>
      <w:r w:rsidR="002C11E2" w:rsidRPr="002C11E2">
        <w:rPr>
          <w:rFonts w:ascii="Arial" w:hAnsi="Arial" w:cs="Arial"/>
          <w:bCs/>
          <w:lang w:val="en-GB"/>
        </w:rPr>
        <w:t>27</w:t>
      </w:r>
      <w:r w:rsidRPr="002C11E2">
        <w:rPr>
          <w:rFonts w:ascii="Arial" w:hAnsi="Arial" w:cs="Arial"/>
          <w:bCs/>
          <w:lang w:val="en-GB"/>
        </w:rPr>
        <w:t xml:space="preserve"> June 2023)</w:t>
      </w:r>
      <w:r w:rsidRPr="002C11E2">
        <w:rPr>
          <w:rFonts w:ascii="Arial" w:hAnsi="Arial" w:cs="Arial"/>
          <w:lang w:val="en-GB"/>
        </w:rPr>
        <w:t>.</w:t>
      </w:r>
      <w:r w:rsidRPr="002204D9">
        <w:rPr>
          <w:rFonts w:ascii="Arial" w:hAnsi="Arial" w:cs="Arial"/>
          <w:lang w:val="en-GB"/>
        </w:rPr>
        <w:t xml:space="preserve"> </w:t>
      </w:r>
    </w:p>
    <w:p w14:paraId="5FA249E5" w14:textId="01DA0848" w:rsidR="00F747D3" w:rsidRDefault="00F747D3" w:rsidP="00F747D3">
      <w:pPr>
        <w:spacing w:line="360" w:lineRule="auto"/>
        <w:jc w:val="both"/>
        <w:rPr>
          <w:rFonts w:ascii="Arial" w:hAnsi="Arial" w:cs="Arial"/>
        </w:rPr>
      </w:pPr>
      <w:r w:rsidRPr="00507C65">
        <w:rPr>
          <w:rFonts w:ascii="Arial" w:hAnsi="Arial" w:cs="Arial"/>
          <w:b/>
        </w:rPr>
        <w:t>Summary:</w:t>
      </w:r>
      <w:r w:rsidRPr="00507C65">
        <w:rPr>
          <w:rFonts w:ascii="Arial" w:hAnsi="Arial" w:cs="Arial"/>
        </w:rPr>
        <w:tab/>
      </w:r>
      <w:r w:rsidR="00817572">
        <w:rPr>
          <w:rFonts w:ascii="Arial" w:hAnsi="Arial" w:cs="Arial"/>
        </w:rPr>
        <w:t xml:space="preserve">Cession in </w:t>
      </w:r>
      <w:r w:rsidR="00817572" w:rsidRPr="00817572">
        <w:rPr>
          <w:rFonts w:ascii="Arial" w:hAnsi="Arial" w:cs="Arial"/>
          <w:i/>
          <w:iCs/>
        </w:rPr>
        <w:t>securitatem debiti</w:t>
      </w:r>
      <w:r w:rsidR="00817572">
        <w:rPr>
          <w:rFonts w:ascii="Arial" w:hAnsi="Arial" w:cs="Arial"/>
          <w:i/>
          <w:iCs/>
        </w:rPr>
        <w:t xml:space="preserve"> </w:t>
      </w:r>
      <w:r w:rsidR="00817572">
        <w:rPr>
          <w:rFonts w:ascii="Arial" w:hAnsi="Arial" w:cs="Arial"/>
        </w:rPr>
        <w:t xml:space="preserve">– realisation by way of </w:t>
      </w:r>
      <w:r w:rsidR="00817572">
        <w:rPr>
          <w:rFonts w:ascii="Arial" w:hAnsi="Arial" w:cs="Arial"/>
          <w:i/>
          <w:iCs/>
        </w:rPr>
        <w:t>parate executie</w:t>
      </w:r>
      <w:r w:rsidR="00677344">
        <w:rPr>
          <w:rFonts w:ascii="Arial" w:hAnsi="Arial" w:cs="Arial"/>
          <w:i/>
          <w:iCs/>
        </w:rPr>
        <w:t xml:space="preserve"> </w:t>
      </w:r>
      <w:r w:rsidR="00677344">
        <w:rPr>
          <w:rFonts w:ascii="Arial" w:hAnsi="Arial" w:cs="Arial"/>
        </w:rPr>
        <w:t>of property ceded</w:t>
      </w:r>
      <w:r w:rsidR="00677344">
        <w:rPr>
          <w:rFonts w:ascii="Arial" w:hAnsi="Arial" w:cs="Arial"/>
          <w:iCs/>
        </w:rPr>
        <w:t xml:space="preserve"> – M</w:t>
      </w:r>
      <w:r w:rsidR="00817572" w:rsidRPr="00F427E4">
        <w:rPr>
          <w:rFonts w:ascii="Arial" w:hAnsi="Arial" w:cs="Arial"/>
        </w:rPr>
        <w:t xml:space="preserve">ineral and Petroleum Resources Development </w:t>
      </w:r>
      <w:r w:rsidR="00817572">
        <w:rPr>
          <w:rFonts w:ascii="Arial" w:hAnsi="Arial" w:cs="Arial"/>
        </w:rPr>
        <w:t xml:space="preserve">Act </w:t>
      </w:r>
      <w:r w:rsidR="00817572" w:rsidRPr="00F427E4">
        <w:rPr>
          <w:rFonts w:ascii="Arial" w:hAnsi="Arial" w:cs="Arial"/>
        </w:rPr>
        <w:t>28 of 2002</w:t>
      </w:r>
      <w:r w:rsidR="00817572">
        <w:rPr>
          <w:rFonts w:ascii="Arial" w:hAnsi="Arial" w:cs="Arial"/>
        </w:rPr>
        <w:t xml:space="preserve"> - whether consent of the Minister under s 11 required where there has been a change of control in the ultimate holding company.</w:t>
      </w:r>
    </w:p>
    <w:p w14:paraId="6FF9BDE4" w14:textId="77777777" w:rsidR="00F747D3" w:rsidRPr="00507C65" w:rsidRDefault="00F747D3" w:rsidP="00F747D3">
      <w:pPr>
        <w:rPr>
          <w:rFonts w:ascii="Arial" w:eastAsia="MS Mincho" w:hAnsi="Arial" w:cs="Arial"/>
          <w:b/>
          <w:lang w:eastAsia="en-ZA"/>
        </w:rPr>
      </w:pPr>
      <w:r w:rsidRPr="00507C65">
        <w:rPr>
          <w:rFonts w:ascii="Arial" w:eastAsia="MS Mincho" w:hAnsi="Arial" w:cs="Arial"/>
          <w:b/>
          <w:lang w:eastAsia="en-ZA"/>
        </w:rPr>
        <w:br w:type="page"/>
      </w:r>
    </w:p>
    <w:p w14:paraId="5AF6BCA7" w14:textId="77777777" w:rsidR="00F747D3" w:rsidRPr="00507C65" w:rsidRDefault="00F747D3" w:rsidP="00F747D3">
      <w:pPr>
        <w:pBdr>
          <w:bottom w:val="single" w:sz="12" w:space="1" w:color="auto"/>
        </w:pBdr>
        <w:spacing w:line="360" w:lineRule="auto"/>
        <w:jc w:val="both"/>
        <w:rPr>
          <w:rFonts w:ascii="Arial" w:eastAsia="MS Mincho" w:hAnsi="Arial" w:cs="Arial"/>
          <w:b/>
          <w:lang w:eastAsia="en-ZA"/>
        </w:rPr>
      </w:pPr>
    </w:p>
    <w:p w14:paraId="46B03101" w14:textId="77777777" w:rsidR="00F747D3" w:rsidRPr="00507C65" w:rsidRDefault="00F747D3" w:rsidP="00F747D3">
      <w:pPr>
        <w:spacing w:line="360" w:lineRule="auto"/>
        <w:jc w:val="both"/>
        <w:rPr>
          <w:rFonts w:ascii="Arial" w:eastAsia="MS Mincho" w:hAnsi="Arial" w:cs="Arial"/>
          <w:b/>
          <w:lang w:eastAsia="en-ZA"/>
        </w:rPr>
      </w:pPr>
    </w:p>
    <w:p w14:paraId="7054C123" w14:textId="77777777" w:rsidR="00F747D3" w:rsidRPr="00507C65" w:rsidRDefault="00F747D3" w:rsidP="00F747D3">
      <w:pPr>
        <w:pBdr>
          <w:bottom w:val="single" w:sz="12" w:space="1" w:color="auto"/>
        </w:pBdr>
        <w:spacing w:line="360" w:lineRule="auto"/>
        <w:jc w:val="center"/>
        <w:rPr>
          <w:rFonts w:ascii="Arial" w:eastAsia="MS Mincho" w:hAnsi="Arial" w:cs="Arial"/>
          <w:b/>
          <w:lang w:eastAsia="en-ZA"/>
        </w:rPr>
      </w:pPr>
      <w:r w:rsidRPr="00507C65">
        <w:rPr>
          <w:rFonts w:ascii="Arial" w:eastAsia="MS Mincho" w:hAnsi="Arial" w:cs="Arial"/>
          <w:b/>
          <w:lang w:eastAsia="en-ZA"/>
        </w:rPr>
        <w:t>ORDER</w:t>
      </w:r>
    </w:p>
    <w:p w14:paraId="7E824A61" w14:textId="77777777" w:rsidR="00F747D3" w:rsidRPr="00507C65" w:rsidRDefault="00F747D3" w:rsidP="00F747D3">
      <w:pPr>
        <w:pBdr>
          <w:bottom w:val="single" w:sz="12" w:space="1" w:color="auto"/>
        </w:pBdr>
        <w:spacing w:line="360" w:lineRule="auto"/>
        <w:jc w:val="both"/>
        <w:rPr>
          <w:rFonts w:ascii="Arial" w:eastAsia="MS Mincho" w:hAnsi="Arial" w:cs="Arial"/>
          <w:b/>
          <w:lang w:eastAsia="en-ZA"/>
        </w:rPr>
      </w:pPr>
    </w:p>
    <w:p w14:paraId="676C7661" w14:textId="77777777" w:rsidR="00F747D3" w:rsidRPr="00507C65" w:rsidRDefault="00F747D3" w:rsidP="00F747D3">
      <w:pPr>
        <w:spacing w:line="360" w:lineRule="auto"/>
        <w:jc w:val="both"/>
        <w:rPr>
          <w:rFonts w:ascii="Arial" w:eastAsia="MS Mincho" w:hAnsi="Arial" w:cs="Arial"/>
          <w:b/>
          <w:lang w:val="en-GB"/>
        </w:rPr>
      </w:pPr>
    </w:p>
    <w:p w14:paraId="47064CEA" w14:textId="39CD5E3E" w:rsidR="00F747D3" w:rsidRPr="00006442" w:rsidRDefault="00F747D3" w:rsidP="00F747D3">
      <w:pPr>
        <w:spacing w:line="360" w:lineRule="auto"/>
        <w:jc w:val="both"/>
      </w:pPr>
      <w:r w:rsidRPr="00507C65">
        <w:rPr>
          <w:rFonts w:ascii="Arial" w:eastAsia="MS Mincho" w:hAnsi="Arial" w:cs="Arial"/>
          <w:b/>
          <w:lang w:val="en-GB"/>
        </w:rPr>
        <w:t>On appeal from:</w:t>
      </w:r>
      <w:r w:rsidRPr="00507C65">
        <w:rPr>
          <w:rFonts w:ascii="Arial" w:eastAsia="MS Mincho" w:hAnsi="Arial" w:cs="Arial"/>
          <w:lang w:val="en-GB"/>
        </w:rPr>
        <w:t xml:space="preserve"> </w:t>
      </w:r>
      <w:r>
        <w:rPr>
          <w:rFonts w:ascii="Arial" w:eastAsia="MS Mincho" w:hAnsi="Arial" w:cs="Arial"/>
          <w:lang w:val="en-GB"/>
        </w:rPr>
        <w:t>Mpumalanga</w:t>
      </w:r>
      <w:r w:rsidRPr="00507C65">
        <w:rPr>
          <w:rFonts w:ascii="Arial" w:eastAsia="MS Mincho" w:hAnsi="Arial" w:cs="Arial"/>
          <w:lang w:val="en-GB"/>
        </w:rPr>
        <w:t xml:space="preserve"> Division of the High </w:t>
      </w:r>
      <w:r>
        <w:rPr>
          <w:rFonts w:ascii="Arial" w:eastAsia="MS Mincho" w:hAnsi="Arial" w:cs="Arial"/>
          <w:lang w:val="en-GB"/>
        </w:rPr>
        <w:t>Court, Mbombela (Legodi</w:t>
      </w:r>
      <w:r w:rsidRPr="00507C65">
        <w:rPr>
          <w:rFonts w:ascii="Arial" w:eastAsia="MS Mincho" w:hAnsi="Arial" w:cs="Arial"/>
          <w:lang w:val="en-GB"/>
        </w:rPr>
        <w:t xml:space="preserve"> J</w:t>
      </w:r>
      <w:r>
        <w:rPr>
          <w:rFonts w:ascii="Arial" w:eastAsia="MS Mincho" w:hAnsi="Arial" w:cs="Arial"/>
          <w:lang w:val="en-GB"/>
        </w:rPr>
        <w:t>P</w:t>
      </w:r>
      <w:r w:rsidRPr="00507C65">
        <w:rPr>
          <w:rFonts w:ascii="Arial" w:eastAsia="MS Mincho" w:hAnsi="Arial" w:cs="Arial"/>
          <w:lang w:val="en-GB"/>
        </w:rPr>
        <w:t xml:space="preserve">, sitting as </w:t>
      </w:r>
      <w:r w:rsidRPr="00507C65">
        <w:rPr>
          <w:rFonts w:ascii="Arial" w:eastAsia="MS Mincho" w:hAnsi="Arial" w:cs="Arial"/>
          <w:color w:val="000000" w:themeColor="text1"/>
          <w:lang w:val="en-GB"/>
        </w:rPr>
        <w:t>c</w:t>
      </w:r>
      <w:r w:rsidRPr="00507C65">
        <w:rPr>
          <w:rFonts w:ascii="Arial" w:eastAsia="MS Mincho" w:hAnsi="Arial" w:cs="Arial"/>
          <w:lang w:val="en-GB"/>
        </w:rPr>
        <w:t xml:space="preserve">ourt of first </w:t>
      </w:r>
      <w:r w:rsidRPr="002C11E2">
        <w:rPr>
          <w:rFonts w:ascii="Arial" w:eastAsia="MS Mincho" w:hAnsi="Arial" w:cs="Arial"/>
          <w:lang w:val="en-GB"/>
        </w:rPr>
        <w:t>instance)</w:t>
      </w:r>
      <w:r w:rsidR="00DD0E19" w:rsidRPr="002C11E2">
        <w:t>.</w:t>
      </w:r>
    </w:p>
    <w:p w14:paraId="57C19981" w14:textId="77777777" w:rsidR="002F7471" w:rsidRDefault="002F7471" w:rsidP="002F7471">
      <w:pPr>
        <w:spacing w:line="360" w:lineRule="auto"/>
        <w:jc w:val="both"/>
        <w:rPr>
          <w:rFonts w:ascii="Arial" w:hAnsi="Arial" w:cs="Arial"/>
          <w:lang w:val="en-GB"/>
        </w:rPr>
      </w:pPr>
      <w:r>
        <w:rPr>
          <w:rFonts w:ascii="Arial" w:hAnsi="Arial" w:cs="Arial"/>
          <w:lang w:val="en-GB"/>
        </w:rPr>
        <w:t>The appeal is dismissed with costs, including those of the Minister and of two counsel where so employed.</w:t>
      </w:r>
    </w:p>
    <w:p w14:paraId="392AC44D" w14:textId="77777777" w:rsidR="00F747D3" w:rsidRPr="00507C65" w:rsidRDefault="00F747D3" w:rsidP="002F7471">
      <w:pPr>
        <w:pBdr>
          <w:bottom w:val="single" w:sz="12" w:space="1" w:color="auto"/>
        </w:pBdr>
        <w:spacing w:line="360" w:lineRule="auto"/>
        <w:ind w:left="720" w:hanging="720"/>
        <w:jc w:val="both"/>
        <w:rPr>
          <w:rFonts w:ascii="Arial" w:eastAsia="MS Mincho" w:hAnsi="Arial" w:cs="Arial"/>
          <w:b/>
          <w:lang w:eastAsia="en-ZA"/>
        </w:rPr>
      </w:pPr>
    </w:p>
    <w:p w14:paraId="38B9A107" w14:textId="77777777" w:rsidR="00F747D3" w:rsidRPr="00507C65" w:rsidRDefault="00F747D3" w:rsidP="00F747D3">
      <w:pPr>
        <w:spacing w:line="360" w:lineRule="auto"/>
        <w:jc w:val="both"/>
        <w:rPr>
          <w:rFonts w:ascii="Arial" w:eastAsia="MS Mincho" w:hAnsi="Arial" w:cs="Arial"/>
          <w:b/>
          <w:lang w:eastAsia="en-ZA"/>
        </w:rPr>
      </w:pPr>
    </w:p>
    <w:p w14:paraId="44636854" w14:textId="77777777" w:rsidR="00F747D3" w:rsidRPr="00507C65" w:rsidRDefault="00F747D3" w:rsidP="00F747D3">
      <w:pPr>
        <w:pBdr>
          <w:bottom w:val="single" w:sz="12" w:space="1" w:color="auto"/>
        </w:pBdr>
        <w:spacing w:line="360" w:lineRule="auto"/>
        <w:jc w:val="center"/>
        <w:rPr>
          <w:rFonts w:ascii="Arial" w:eastAsia="MS Mincho" w:hAnsi="Arial" w:cs="Arial"/>
          <w:b/>
          <w:lang w:eastAsia="en-ZA"/>
        </w:rPr>
      </w:pPr>
      <w:r w:rsidRPr="00507C65">
        <w:rPr>
          <w:rFonts w:ascii="Arial" w:eastAsia="MS Mincho" w:hAnsi="Arial" w:cs="Arial"/>
          <w:b/>
          <w:lang w:eastAsia="en-ZA"/>
        </w:rPr>
        <w:t>JUDGMENT</w:t>
      </w:r>
    </w:p>
    <w:p w14:paraId="34A62FBD" w14:textId="77777777" w:rsidR="00F747D3" w:rsidRPr="00507C65" w:rsidRDefault="00F747D3" w:rsidP="00F747D3">
      <w:pPr>
        <w:pBdr>
          <w:bottom w:val="single" w:sz="12" w:space="1" w:color="auto"/>
        </w:pBdr>
        <w:spacing w:line="360" w:lineRule="auto"/>
        <w:jc w:val="both"/>
        <w:rPr>
          <w:rFonts w:ascii="Arial" w:eastAsia="MS Mincho" w:hAnsi="Arial" w:cs="Arial"/>
          <w:b/>
          <w:lang w:eastAsia="en-ZA"/>
        </w:rPr>
      </w:pPr>
    </w:p>
    <w:p w14:paraId="66823B9A" w14:textId="77777777" w:rsidR="00F747D3" w:rsidRPr="00507C65" w:rsidRDefault="00F747D3" w:rsidP="00F747D3">
      <w:pPr>
        <w:spacing w:line="360" w:lineRule="auto"/>
        <w:jc w:val="both"/>
        <w:rPr>
          <w:rFonts w:ascii="Arial" w:eastAsia="MS Mincho" w:hAnsi="Arial" w:cs="Arial"/>
          <w:b/>
          <w:lang w:eastAsia="en-ZA"/>
        </w:rPr>
      </w:pPr>
    </w:p>
    <w:p w14:paraId="2D3569E6" w14:textId="51E94DA4" w:rsidR="00F747D3" w:rsidRPr="00507C65" w:rsidRDefault="00F747D3" w:rsidP="00F747D3">
      <w:pPr>
        <w:spacing w:line="360" w:lineRule="auto"/>
        <w:jc w:val="both"/>
        <w:rPr>
          <w:rFonts w:ascii="Arial" w:eastAsia="MS Mincho" w:hAnsi="Arial" w:cs="Arial"/>
          <w:b/>
          <w:lang w:eastAsia="en-ZA"/>
        </w:rPr>
      </w:pPr>
      <w:r>
        <w:rPr>
          <w:rFonts w:ascii="Arial" w:eastAsia="MS Mincho" w:hAnsi="Arial" w:cs="Arial"/>
          <w:b/>
          <w:lang w:eastAsia="en-ZA"/>
        </w:rPr>
        <w:t xml:space="preserve">Ponnan and </w:t>
      </w:r>
      <w:r w:rsidRPr="00507C65">
        <w:rPr>
          <w:rFonts w:ascii="Arial" w:eastAsia="MS Mincho" w:hAnsi="Arial" w:cs="Arial"/>
          <w:b/>
          <w:lang w:eastAsia="en-ZA"/>
        </w:rPr>
        <w:t xml:space="preserve">Matojane </w:t>
      </w:r>
      <w:r w:rsidRPr="002C11E2">
        <w:rPr>
          <w:rFonts w:ascii="Arial" w:eastAsia="MS Mincho" w:hAnsi="Arial" w:cs="Arial"/>
          <w:b/>
          <w:lang w:eastAsia="en-ZA"/>
        </w:rPr>
        <w:t xml:space="preserve">JJA </w:t>
      </w:r>
      <w:r w:rsidR="00B73ED4" w:rsidRPr="002C11E2">
        <w:rPr>
          <w:rFonts w:ascii="Arial" w:eastAsia="MS Mincho" w:hAnsi="Arial" w:cs="Arial"/>
          <w:b/>
          <w:lang w:eastAsia="en-ZA"/>
        </w:rPr>
        <w:t>(</w:t>
      </w:r>
      <w:r w:rsidR="002C11E2" w:rsidRPr="002C11E2">
        <w:rPr>
          <w:rFonts w:ascii="Arial" w:eastAsia="MS Mincho" w:hAnsi="Arial" w:cs="Arial"/>
          <w:b/>
          <w:lang w:eastAsia="en-ZA"/>
        </w:rPr>
        <w:t>Mocumie and Mbatha JJA and Mali AJA</w:t>
      </w:r>
      <w:r w:rsidRPr="002C11E2">
        <w:rPr>
          <w:rFonts w:ascii="Arial" w:eastAsia="MS Mincho" w:hAnsi="Arial" w:cs="Arial"/>
          <w:b/>
          <w:lang w:eastAsia="en-ZA"/>
        </w:rPr>
        <w:t xml:space="preserve"> concurring):</w:t>
      </w:r>
    </w:p>
    <w:p w14:paraId="752C660E" w14:textId="77777777" w:rsidR="00F747D3" w:rsidRDefault="00F747D3" w:rsidP="009C1C23">
      <w:pPr>
        <w:spacing w:line="360" w:lineRule="auto"/>
        <w:jc w:val="both"/>
        <w:rPr>
          <w:rFonts w:ascii="Arial" w:hAnsi="Arial" w:cs="Arial"/>
          <w:lang w:val="en-US"/>
        </w:rPr>
      </w:pPr>
    </w:p>
    <w:p w14:paraId="43542E8E" w14:textId="0A08701A" w:rsidR="007D3B54" w:rsidRDefault="00691471" w:rsidP="009C1C23">
      <w:pPr>
        <w:spacing w:line="360" w:lineRule="auto"/>
        <w:jc w:val="both"/>
        <w:rPr>
          <w:rFonts w:ascii="Arial" w:hAnsi="Arial" w:cs="Arial"/>
          <w:lang w:val="en-US"/>
        </w:rPr>
      </w:pPr>
      <w:r w:rsidRPr="00507C65">
        <w:rPr>
          <w:rFonts w:ascii="Arial" w:hAnsi="Arial" w:cs="Arial"/>
          <w:lang w:val="en-US"/>
        </w:rPr>
        <w:t>[1]</w:t>
      </w:r>
      <w:r>
        <w:rPr>
          <w:rFonts w:ascii="Arial" w:hAnsi="Arial" w:cs="Arial"/>
          <w:lang w:val="en-US"/>
        </w:rPr>
        <w:tab/>
      </w:r>
      <w:r w:rsidR="007D3B54">
        <w:rPr>
          <w:rFonts w:ascii="Arial" w:hAnsi="Arial" w:cs="Arial"/>
          <w:lang w:val="en-US"/>
        </w:rPr>
        <w:t xml:space="preserve">The application, the subject of this appeal, was preceded by </w:t>
      </w:r>
      <w:bookmarkStart w:id="2" w:name="_Hlk138492049"/>
      <w:r w:rsidR="007D3B54">
        <w:rPr>
          <w:rFonts w:ascii="Arial" w:hAnsi="Arial" w:cs="Arial"/>
          <w:lang w:val="en-US"/>
        </w:rPr>
        <w:t>two earlier high court applications, the second of which was recently disposed of by this Court on appeal.</w:t>
      </w:r>
      <w:bookmarkEnd w:id="2"/>
      <w:r w:rsidR="005132A5">
        <w:rPr>
          <w:rFonts w:ascii="Arial" w:hAnsi="Arial" w:cs="Arial"/>
          <w:lang w:val="en-US"/>
        </w:rPr>
        <w:t xml:space="preserve"> We commend that judgment</w:t>
      </w:r>
      <w:r w:rsidR="00C77FF5">
        <w:rPr>
          <w:rFonts w:ascii="Arial" w:hAnsi="Arial" w:cs="Arial"/>
          <w:lang w:val="en-US"/>
        </w:rPr>
        <w:t xml:space="preserve"> to the reader</w:t>
      </w:r>
      <w:r w:rsidR="005132A5">
        <w:rPr>
          <w:rFonts w:ascii="Arial" w:hAnsi="Arial" w:cs="Arial"/>
          <w:lang w:val="en-US"/>
        </w:rPr>
        <w:t xml:space="preserve">, which is reported </w:t>
      </w:r>
      <w:r w:rsidR="005132A5">
        <w:rPr>
          <w:rFonts w:ascii="Arial" w:hAnsi="Arial" w:cs="Arial"/>
          <w:i/>
          <w:iCs/>
          <w:lang w:val="en-US"/>
        </w:rPr>
        <w:t xml:space="preserve">sub nom </w:t>
      </w:r>
      <w:r w:rsidR="005132A5">
        <w:rPr>
          <w:rFonts w:ascii="Arial" w:hAnsi="Arial" w:cs="Arial"/>
          <w:i/>
          <w:iCs/>
        </w:rPr>
        <w:t>Vantage Goldfields SA (Pty) Ltd and Others v Arqomanzi (Pty) Ltd</w:t>
      </w:r>
      <w:r w:rsidR="005132A5">
        <w:rPr>
          <w:rStyle w:val="FootnoteReference"/>
          <w:rFonts w:ascii="Arial" w:hAnsi="Arial" w:cs="Arial"/>
          <w:vertAlign w:val="baseline"/>
          <w:lang w:val="en-US"/>
        </w:rPr>
        <w:t>.</w:t>
      </w:r>
      <w:r w:rsidR="007D3B54">
        <w:rPr>
          <w:rStyle w:val="FootnoteReference"/>
          <w:rFonts w:ascii="Arial" w:hAnsi="Arial" w:cs="Arial"/>
          <w:lang w:val="en-US"/>
        </w:rPr>
        <w:footnoteReference w:id="1"/>
      </w:r>
      <w:r w:rsidR="007D3B54">
        <w:rPr>
          <w:rFonts w:ascii="Arial" w:hAnsi="Arial" w:cs="Arial"/>
          <w:lang w:val="en-US"/>
        </w:rPr>
        <w:t xml:space="preserve"> </w:t>
      </w:r>
      <w:r w:rsidR="00B33B34">
        <w:rPr>
          <w:rFonts w:ascii="Arial" w:hAnsi="Arial" w:cs="Arial"/>
          <w:lang w:val="en-US"/>
        </w:rPr>
        <w:t>A</w:t>
      </w:r>
      <w:r w:rsidR="007D3B54">
        <w:rPr>
          <w:rFonts w:ascii="Arial" w:hAnsi="Arial" w:cs="Arial"/>
          <w:lang w:val="en-US"/>
        </w:rPr>
        <w:t xml:space="preserve">ny attempt at a </w:t>
      </w:r>
      <w:r w:rsidR="005132A5">
        <w:rPr>
          <w:rFonts w:ascii="Arial" w:hAnsi="Arial" w:cs="Arial"/>
          <w:lang w:val="en-US"/>
        </w:rPr>
        <w:t>detailed</w:t>
      </w:r>
      <w:r w:rsidR="007D3B54">
        <w:rPr>
          <w:rFonts w:ascii="Arial" w:hAnsi="Arial" w:cs="Arial"/>
          <w:lang w:val="en-US"/>
        </w:rPr>
        <w:t xml:space="preserve"> recitation </w:t>
      </w:r>
      <w:r w:rsidR="005132A5">
        <w:rPr>
          <w:rFonts w:ascii="Arial" w:hAnsi="Arial" w:cs="Arial"/>
          <w:lang w:val="en-US"/>
        </w:rPr>
        <w:t xml:space="preserve">of the </w:t>
      </w:r>
      <w:r w:rsidR="00B33B34">
        <w:rPr>
          <w:rFonts w:ascii="Arial" w:hAnsi="Arial" w:cs="Arial"/>
          <w:lang w:val="en-US"/>
        </w:rPr>
        <w:t xml:space="preserve">facts or the </w:t>
      </w:r>
      <w:r w:rsidR="007D3B54">
        <w:rPr>
          <w:rFonts w:ascii="Arial" w:hAnsi="Arial" w:cs="Arial"/>
          <w:lang w:val="en-US"/>
        </w:rPr>
        <w:t xml:space="preserve">history </w:t>
      </w:r>
      <w:r w:rsidR="00B33B34">
        <w:rPr>
          <w:rFonts w:ascii="Arial" w:hAnsi="Arial" w:cs="Arial"/>
          <w:lang w:val="en-US"/>
        </w:rPr>
        <w:t xml:space="preserve">preceding this appeal </w:t>
      </w:r>
      <w:r w:rsidR="007D3B54">
        <w:rPr>
          <w:rFonts w:ascii="Arial" w:hAnsi="Arial" w:cs="Arial"/>
          <w:lang w:val="en-US"/>
        </w:rPr>
        <w:t>would render this judgment indigestible</w:t>
      </w:r>
      <w:r w:rsidR="005132A5">
        <w:rPr>
          <w:rFonts w:ascii="Arial" w:hAnsi="Arial" w:cs="Arial"/>
          <w:lang w:val="en-US"/>
        </w:rPr>
        <w:t>. In what follows, we will confine ourselves to those facts that are relevant for a proper appreciation of the issues that arise f</w:t>
      </w:r>
      <w:r w:rsidR="00F747D3">
        <w:rPr>
          <w:rFonts w:ascii="Arial" w:hAnsi="Arial" w:cs="Arial"/>
          <w:lang w:val="en-US"/>
        </w:rPr>
        <w:t xml:space="preserve">or determination </w:t>
      </w:r>
      <w:r w:rsidR="00F747D3" w:rsidRPr="002C11E2">
        <w:rPr>
          <w:rFonts w:ascii="Arial" w:hAnsi="Arial" w:cs="Arial"/>
          <w:lang w:val="en-US"/>
        </w:rPr>
        <w:t>in th</w:t>
      </w:r>
      <w:r w:rsidR="00933152" w:rsidRPr="002C11E2">
        <w:rPr>
          <w:rFonts w:ascii="Arial" w:hAnsi="Arial" w:cs="Arial"/>
          <w:lang w:val="en-US"/>
        </w:rPr>
        <w:t>is</w:t>
      </w:r>
      <w:r w:rsidR="00F747D3" w:rsidRPr="002C11E2">
        <w:rPr>
          <w:rFonts w:ascii="Arial" w:hAnsi="Arial" w:cs="Arial"/>
          <w:lang w:val="en-US"/>
        </w:rPr>
        <w:t xml:space="preserve"> appeal</w:t>
      </w:r>
      <w:r w:rsidR="00F747D3">
        <w:rPr>
          <w:rFonts w:ascii="Arial" w:hAnsi="Arial" w:cs="Arial"/>
          <w:lang w:val="en-US"/>
        </w:rPr>
        <w:t>.</w:t>
      </w:r>
    </w:p>
    <w:p w14:paraId="0F8AE703" w14:textId="77777777" w:rsidR="007D3B54" w:rsidRDefault="007D3B54" w:rsidP="009C1C23">
      <w:pPr>
        <w:spacing w:line="360" w:lineRule="auto"/>
        <w:jc w:val="both"/>
        <w:rPr>
          <w:rFonts w:ascii="Arial" w:hAnsi="Arial" w:cs="Arial"/>
          <w:lang w:val="en-US"/>
        </w:rPr>
      </w:pPr>
    </w:p>
    <w:p w14:paraId="5ECD275E" w14:textId="41FADA6C" w:rsidR="00B33B34" w:rsidRDefault="00691471" w:rsidP="009C1C23">
      <w:pPr>
        <w:spacing w:line="360" w:lineRule="auto"/>
        <w:jc w:val="both"/>
        <w:rPr>
          <w:rFonts w:ascii="Arial" w:hAnsi="Arial" w:cs="Arial"/>
          <w:lang w:val="en-US"/>
        </w:rPr>
      </w:pPr>
      <w:r>
        <w:rPr>
          <w:rFonts w:ascii="Arial" w:hAnsi="Arial" w:cs="Arial"/>
          <w:lang w:val="en-US"/>
        </w:rPr>
        <w:t>[2</w:t>
      </w:r>
      <w:r w:rsidRPr="00507C65">
        <w:rPr>
          <w:rFonts w:ascii="Arial" w:hAnsi="Arial" w:cs="Arial"/>
          <w:lang w:val="en-US"/>
        </w:rPr>
        <w:t>]</w:t>
      </w:r>
      <w:r>
        <w:rPr>
          <w:rFonts w:ascii="Arial" w:hAnsi="Arial" w:cs="Arial"/>
          <w:lang w:val="en-US"/>
        </w:rPr>
        <w:tab/>
      </w:r>
      <w:r w:rsidR="009C1C23" w:rsidRPr="00AB56D3">
        <w:rPr>
          <w:rFonts w:ascii="Arial" w:hAnsi="Arial" w:cs="Arial"/>
          <w:lang w:val="en-US"/>
        </w:rPr>
        <w:t>The second appellant</w:t>
      </w:r>
      <w:r w:rsidR="009C1C23">
        <w:rPr>
          <w:rFonts w:ascii="Arial" w:hAnsi="Arial" w:cs="Arial"/>
          <w:lang w:val="en-US"/>
        </w:rPr>
        <w:t>,</w:t>
      </w:r>
      <w:r w:rsidR="009C1C23" w:rsidRPr="00AB56D3">
        <w:rPr>
          <w:rFonts w:ascii="Arial" w:hAnsi="Arial" w:cs="Arial"/>
          <w:lang w:val="en-US"/>
        </w:rPr>
        <w:t xml:space="preserve"> Vantage Goldfields Ltd</w:t>
      </w:r>
      <w:r w:rsidR="007029B3">
        <w:rPr>
          <w:rFonts w:ascii="Arial" w:hAnsi="Arial" w:cs="Arial"/>
          <w:lang w:val="en-US"/>
        </w:rPr>
        <w:t xml:space="preserve"> (Vantage),</w:t>
      </w:r>
      <w:r w:rsidR="009C1C23" w:rsidRPr="00AB56D3">
        <w:rPr>
          <w:rFonts w:ascii="Arial" w:hAnsi="Arial" w:cs="Arial"/>
          <w:lang w:val="en-US"/>
        </w:rPr>
        <w:t xml:space="preserve"> </w:t>
      </w:r>
      <w:r w:rsidR="007029B3">
        <w:rPr>
          <w:rFonts w:ascii="Arial" w:hAnsi="Arial" w:cs="Arial"/>
          <w:lang w:val="en-US"/>
        </w:rPr>
        <w:t xml:space="preserve">is the ultimate holding company of the Vantage </w:t>
      </w:r>
      <w:r w:rsidR="00C77FF5">
        <w:rPr>
          <w:rFonts w:ascii="Arial" w:hAnsi="Arial" w:cs="Arial"/>
          <w:lang w:val="en-US"/>
        </w:rPr>
        <w:t>group of c</w:t>
      </w:r>
      <w:r w:rsidR="00B33B34">
        <w:rPr>
          <w:rFonts w:ascii="Arial" w:hAnsi="Arial" w:cs="Arial"/>
          <w:lang w:val="en-US"/>
        </w:rPr>
        <w:t>ompanies</w:t>
      </w:r>
      <w:r w:rsidR="00C77FF5">
        <w:rPr>
          <w:rFonts w:ascii="Arial" w:hAnsi="Arial" w:cs="Arial"/>
          <w:lang w:val="en-US"/>
        </w:rPr>
        <w:t xml:space="preserve"> (collectively referred to herein as the Vantage Companies)</w:t>
      </w:r>
      <w:r w:rsidR="007029B3">
        <w:rPr>
          <w:rFonts w:ascii="Arial" w:hAnsi="Arial" w:cs="Arial"/>
          <w:lang w:val="en-US"/>
        </w:rPr>
        <w:t>. It holds 100 of the issued shares in the first appellant,</w:t>
      </w:r>
      <w:r w:rsidR="009C1C23" w:rsidRPr="00AB56D3">
        <w:rPr>
          <w:rFonts w:ascii="Arial" w:hAnsi="Arial" w:cs="Arial"/>
          <w:lang w:val="en-US"/>
        </w:rPr>
        <w:t xml:space="preserve"> Vantage Goldfields SA (Pty) Ltd (VGSA)</w:t>
      </w:r>
      <w:r w:rsidR="007029B3">
        <w:rPr>
          <w:rFonts w:ascii="Arial" w:hAnsi="Arial" w:cs="Arial"/>
          <w:lang w:val="en-US"/>
        </w:rPr>
        <w:t xml:space="preserve">. </w:t>
      </w:r>
      <w:r w:rsidR="009C1C23" w:rsidRPr="00AB56D3">
        <w:rPr>
          <w:rFonts w:ascii="Arial" w:hAnsi="Arial" w:cs="Arial"/>
          <w:lang w:val="en-US"/>
        </w:rPr>
        <w:t>VGSA</w:t>
      </w:r>
      <w:r w:rsidR="00B33B34">
        <w:rPr>
          <w:rFonts w:ascii="Arial" w:hAnsi="Arial" w:cs="Arial"/>
          <w:lang w:val="en-US"/>
        </w:rPr>
        <w:t>, in turn,</w:t>
      </w:r>
      <w:r w:rsidR="009C1C23" w:rsidRPr="00AB56D3">
        <w:rPr>
          <w:rFonts w:ascii="Arial" w:hAnsi="Arial" w:cs="Arial"/>
          <w:lang w:val="en-US"/>
        </w:rPr>
        <w:t xml:space="preserve"> owns 74</w:t>
      </w:r>
      <w:r w:rsidR="009C1C23">
        <w:rPr>
          <w:rFonts w:ascii="Arial" w:hAnsi="Arial" w:cs="Arial"/>
          <w:lang w:val="en-US"/>
        </w:rPr>
        <w:t xml:space="preserve"> percent</w:t>
      </w:r>
      <w:r w:rsidR="009C1C23" w:rsidRPr="00AB56D3">
        <w:rPr>
          <w:rFonts w:ascii="Arial" w:hAnsi="Arial" w:cs="Arial"/>
          <w:lang w:val="en-US"/>
        </w:rPr>
        <w:t xml:space="preserve"> of the </w:t>
      </w:r>
      <w:r w:rsidR="007029B3">
        <w:rPr>
          <w:rFonts w:ascii="Arial" w:hAnsi="Arial" w:cs="Arial"/>
          <w:lang w:val="en-US"/>
        </w:rPr>
        <w:t xml:space="preserve">issued </w:t>
      </w:r>
      <w:r w:rsidR="009C1C23" w:rsidRPr="00AB56D3">
        <w:rPr>
          <w:rFonts w:ascii="Arial" w:hAnsi="Arial" w:cs="Arial"/>
          <w:lang w:val="en-US"/>
        </w:rPr>
        <w:t xml:space="preserve">shares in </w:t>
      </w:r>
      <w:r w:rsidR="00B33B34">
        <w:rPr>
          <w:rFonts w:ascii="Arial" w:hAnsi="Arial" w:cs="Arial"/>
          <w:lang w:val="en-US"/>
        </w:rPr>
        <w:t xml:space="preserve">the second </w:t>
      </w:r>
      <w:r w:rsidR="005B4A87" w:rsidRPr="00B73ED4">
        <w:rPr>
          <w:rFonts w:ascii="Arial" w:hAnsi="Arial" w:cs="Arial"/>
          <w:lang w:val="en-US"/>
        </w:rPr>
        <w:t>respondent</w:t>
      </w:r>
      <w:r w:rsidR="00B33B34" w:rsidRPr="00B73ED4">
        <w:rPr>
          <w:rFonts w:ascii="Arial" w:hAnsi="Arial" w:cs="Arial"/>
          <w:lang w:val="en-US"/>
        </w:rPr>
        <w:t>,</w:t>
      </w:r>
      <w:r w:rsidR="00B33B34">
        <w:rPr>
          <w:rFonts w:ascii="Arial" w:hAnsi="Arial" w:cs="Arial"/>
          <w:lang w:val="en-US"/>
        </w:rPr>
        <w:t xml:space="preserve"> </w:t>
      </w:r>
      <w:r w:rsidR="009C1C23">
        <w:rPr>
          <w:rFonts w:ascii="Arial" w:hAnsi="Arial" w:cs="Arial"/>
          <w:lang w:val="en-US"/>
        </w:rPr>
        <w:t xml:space="preserve">Vantage </w:t>
      </w:r>
      <w:r w:rsidR="009C1C23" w:rsidRPr="00B73ED4">
        <w:rPr>
          <w:rFonts w:ascii="Arial" w:hAnsi="Arial" w:cs="Arial"/>
          <w:lang w:val="en-US"/>
        </w:rPr>
        <w:t xml:space="preserve">Goldfields </w:t>
      </w:r>
      <w:r w:rsidR="00F51CAC" w:rsidRPr="00B73ED4">
        <w:rPr>
          <w:rFonts w:ascii="Arial" w:hAnsi="Arial" w:cs="Arial"/>
          <w:lang w:val="en-US"/>
        </w:rPr>
        <w:t xml:space="preserve">(Pty) </w:t>
      </w:r>
      <w:r w:rsidR="009C1C23" w:rsidRPr="00B73ED4">
        <w:rPr>
          <w:rFonts w:ascii="Arial" w:hAnsi="Arial" w:cs="Arial"/>
          <w:lang w:val="en-US"/>
        </w:rPr>
        <w:t>Ltd (VGL)</w:t>
      </w:r>
      <w:r w:rsidR="00C77FF5" w:rsidRPr="00B73ED4">
        <w:rPr>
          <w:rFonts w:ascii="Arial" w:hAnsi="Arial" w:cs="Arial"/>
          <w:lang w:val="en-US"/>
        </w:rPr>
        <w:t>,</w:t>
      </w:r>
      <w:r w:rsidR="009C1C23" w:rsidRPr="00B73ED4">
        <w:rPr>
          <w:rFonts w:ascii="Arial" w:hAnsi="Arial" w:cs="Arial"/>
          <w:lang w:val="en-US"/>
        </w:rPr>
        <w:t xml:space="preserve"> an</w:t>
      </w:r>
      <w:r w:rsidR="007029B3" w:rsidRPr="00B73ED4">
        <w:rPr>
          <w:rFonts w:ascii="Arial" w:hAnsi="Arial" w:cs="Arial"/>
          <w:lang w:val="en-US"/>
        </w:rPr>
        <w:t>d</w:t>
      </w:r>
      <w:r w:rsidR="009C1C23" w:rsidRPr="00AB56D3">
        <w:rPr>
          <w:rFonts w:ascii="Arial" w:hAnsi="Arial" w:cs="Arial"/>
          <w:lang w:val="en-US"/>
        </w:rPr>
        <w:t xml:space="preserve"> </w:t>
      </w:r>
      <w:r w:rsidR="00B606FF">
        <w:rPr>
          <w:rFonts w:ascii="Arial" w:hAnsi="Arial" w:cs="Arial"/>
          <w:lang w:val="en-US"/>
        </w:rPr>
        <w:t xml:space="preserve">42 percent of the issued shares in </w:t>
      </w:r>
      <w:r w:rsidR="005B4A87" w:rsidRPr="00B73ED4">
        <w:rPr>
          <w:rFonts w:ascii="Arial" w:hAnsi="Arial" w:cs="Arial"/>
          <w:lang w:val="en-US"/>
        </w:rPr>
        <w:t>the fourth respondent</w:t>
      </w:r>
      <w:r w:rsidR="005B4A87">
        <w:rPr>
          <w:rFonts w:ascii="Arial" w:hAnsi="Arial" w:cs="Arial"/>
          <w:lang w:val="en-US"/>
        </w:rPr>
        <w:t xml:space="preserve">, </w:t>
      </w:r>
      <w:r w:rsidR="00B606FF" w:rsidRPr="00430BE0">
        <w:rPr>
          <w:rFonts w:ascii="Arial" w:hAnsi="Arial" w:cs="Arial"/>
          <w:lang w:val="en-US"/>
        </w:rPr>
        <w:t>Makonjwaan Impe</w:t>
      </w:r>
      <w:r w:rsidR="00B606FF">
        <w:rPr>
          <w:rFonts w:ascii="Arial" w:hAnsi="Arial" w:cs="Arial"/>
          <w:lang w:val="en-US"/>
        </w:rPr>
        <w:t>rial Mining Company (Pty) Ltd (MIMCO</w:t>
      </w:r>
      <w:r w:rsidR="00B606FF" w:rsidRPr="00430BE0">
        <w:rPr>
          <w:rFonts w:ascii="Arial" w:hAnsi="Arial" w:cs="Arial"/>
          <w:lang w:val="en-US"/>
        </w:rPr>
        <w:t>)</w:t>
      </w:r>
      <w:r w:rsidR="00B606FF">
        <w:rPr>
          <w:rFonts w:ascii="Arial" w:hAnsi="Arial" w:cs="Arial"/>
          <w:lang w:val="en-US"/>
        </w:rPr>
        <w:t>. VGL owns the remaining</w:t>
      </w:r>
      <w:r w:rsidR="009C1C23">
        <w:rPr>
          <w:rFonts w:ascii="Arial" w:hAnsi="Arial" w:cs="Arial"/>
          <w:lang w:val="en-US"/>
        </w:rPr>
        <w:t xml:space="preserve"> 58</w:t>
      </w:r>
      <w:r w:rsidR="00B606FF">
        <w:rPr>
          <w:rFonts w:ascii="Arial" w:hAnsi="Arial" w:cs="Arial"/>
          <w:lang w:val="en-US"/>
        </w:rPr>
        <w:t xml:space="preserve"> percent </w:t>
      </w:r>
      <w:r w:rsidR="009C1C23" w:rsidRPr="00AB56D3">
        <w:rPr>
          <w:rFonts w:ascii="Arial" w:hAnsi="Arial" w:cs="Arial"/>
          <w:lang w:val="en-US"/>
        </w:rPr>
        <w:t xml:space="preserve">of the issued shares in </w:t>
      </w:r>
      <w:bookmarkStart w:id="3" w:name="_Hlk135484029"/>
      <w:r w:rsidR="009C1C23" w:rsidRPr="00AB56D3">
        <w:rPr>
          <w:rFonts w:ascii="Arial" w:hAnsi="Arial" w:cs="Arial"/>
          <w:lang w:val="en-US"/>
        </w:rPr>
        <w:t>MIMCO</w:t>
      </w:r>
      <w:bookmarkEnd w:id="3"/>
      <w:r w:rsidR="00B33B34">
        <w:rPr>
          <w:rFonts w:ascii="Arial" w:hAnsi="Arial" w:cs="Arial"/>
          <w:lang w:val="en-US"/>
        </w:rPr>
        <w:t xml:space="preserve"> </w:t>
      </w:r>
      <w:r w:rsidR="009C1C23" w:rsidRPr="00AB56D3">
        <w:rPr>
          <w:rFonts w:ascii="Arial" w:hAnsi="Arial" w:cs="Arial"/>
          <w:lang w:val="en-US"/>
        </w:rPr>
        <w:t>and 100</w:t>
      </w:r>
      <w:r w:rsidR="009C1C23">
        <w:rPr>
          <w:rFonts w:ascii="Arial" w:hAnsi="Arial" w:cs="Arial"/>
          <w:lang w:val="en-US"/>
        </w:rPr>
        <w:t xml:space="preserve"> percent</w:t>
      </w:r>
      <w:r w:rsidR="009C1C23" w:rsidRPr="00AB56D3">
        <w:rPr>
          <w:rFonts w:ascii="Arial" w:hAnsi="Arial" w:cs="Arial"/>
          <w:lang w:val="en-US"/>
        </w:rPr>
        <w:t xml:space="preserve"> of the issued shares in </w:t>
      </w:r>
      <w:r w:rsidR="005B4A87" w:rsidRPr="00B73ED4">
        <w:rPr>
          <w:rFonts w:ascii="Arial" w:hAnsi="Arial" w:cs="Arial"/>
          <w:lang w:val="en-US"/>
        </w:rPr>
        <w:t>the third respondent</w:t>
      </w:r>
      <w:r w:rsidR="005B4A87">
        <w:rPr>
          <w:rFonts w:ascii="Arial" w:hAnsi="Arial" w:cs="Arial"/>
          <w:lang w:val="en-US"/>
        </w:rPr>
        <w:t xml:space="preserve">, </w:t>
      </w:r>
      <w:r w:rsidR="009C1C23" w:rsidRPr="00AB56D3">
        <w:rPr>
          <w:rFonts w:ascii="Arial" w:hAnsi="Arial" w:cs="Arial"/>
          <w:lang w:val="en-US"/>
        </w:rPr>
        <w:t>Barbrook</w:t>
      </w:r>
      <w:r w:rsidR="00B606FF">
        <w:rPr>
          <w:rFonts w:ascii="Arial" w:hAnsi="Arial" w:cs="Arial"/>
          <w:lang w:val="en-US"/>
        </w:rPr>
        <w:t xml:space="preserve"> Mines (Pty) Ltd</w:t>
      </w:r>
      <w:r w:rsidR="009C1C23" w:rsidRPr="00AB56D3">
        <w:rPr>
          <w:rFonts w:ascii="Arial" w:hAnsi="Arial" w:cs="Arial"/>
          <w:lang w:val="en-US"/>
        </w:rPr>
        <w:t xml:space="preserve">. </w:t>
      </w:r>
      <w:r w:rsidR="00B606FF">
        <w:rPr>
          <w:rFonts w:ascii="Arial" w:hAnsi="Arial" w:cs="Arial"/>
          <w:lang w:val="en-US"/>
        </w:rPr>
        <w:t xml:space="preserve">An </w:t>
      </w:r>
      <w:r w:rsidR="00B606FF">
        <w:rPr>
          <w:rFonts w:ascii="Arial" w:hAnsi="Arial" w:cs="Arial"/>
          <w:lang w:val="en-US"/>
        </w:rPr>
        <w:lastRenderedPageBreak/>
        <w:t xml:space="preserve">Australian company, </w:t>
      </w:r>
      <w:r w:rsidR="009C1C23" w:rsidRPr="00AB56D3">
        <w:rPr>
          <w:rFonts w:ascii="Arial" w:hAnsi="Arial" w:cs="Arial"/>
          <w:lang w:val="en-US"/>
        </w:rPr>
        <w:t xml:space="preserve">Macquarie </w:t>
      </w:r>
      <w:r w:rsidR="00B606FF">
        <w:rPr>
          <w:rFonts w:ascii="Arial" w:hAnsi="Arial" w:cs="Arial"/>
          <w:lang w:val="en-US"/>
        </w:rPr>
        <w:t xml:space="preserve">Metals </w:t>
      </w:r>
      <w:r w:rsidR="00A70307" w:rsidRPr="00B73ED4">
        <w:rPr>
          <w:rFonts w:ascii="Arial" w:hAnsi="Arial" w:cs="Arial"/>
          <w:lang w:val="en-US"/>
        </w:rPr>
        <w:t>(Pty)</w:t>
      </w:r>
      <w:r w:rsidR="00A70307">
        <w:rPr>
          <w:rFonts w:ascii="Arial" w:hAnsi="Arial" w:cs="Arial"/>
          <w:lang w:val="en-US"/>
        </w:rPr>
        <w:t xml:space="preserve"> </w:t>
      </w:r>
      <w:r w:rsidR="00B606FF">
        <w:rPr>
          <w:rFonts w:ascii="Arial" w:hAnsi="Arial" w:cs="Arial"/>
          <w:lang w:val="en-US"/>
        </w:rPr>
        <w:t>Limited</w:t>
      </w:r>
      <w:r w:rsidR="00C77FF5">
        <w:rPr>
          <w:rFonts w:ascii="Arial" w:hAnsi="Arial" w:cs="Arial"/>
          <w:lang w:val="en-US"/>
        </w:rPr>
        <w:t xml:space="preserve"> (Macquarie)</w:t>
      </w:r>
      <w:r w:rsidR="00B606FF">
        <w:rPr>
          <w:rFonts w:ascii="Arial" w:hAnsi="Arial" w:cs="Arial"/>
          <w:lang w:val="en-US"/>
        </w:rPr>
        <w:t xml:space="preserve">, recently </w:t>
      </w:r>
      <w:r w:rsidR="009C1C23" w:rsidRPr="00AB56D3">
        <w:rPr>
          <w:rFonts w:ascii="Arial" w:hAnsi="Arial" w:cs="Arial"/>
          <w:lang w:val="en-US"/>
        </w:rPr>
        <w:t xml:space="preserve">acquired </w:t>
      </w:r>
      <w:r w:rsidR="00B606FF">
        <w:rPr>
          <w:rFonts w:ascii="Arial" w:hAnsi="Arial" w:cs="Arial"/>
          <w:lang w:val="en-US"/>
        </w:rPr>
        <w:t xml:space="preserve">a </w:t>
      </w:r>
      <w:r w:rsidR="009C1C23" w:rsidRPr="00AB56D3">
        <w:rPr>
          <w:rFonts w:ascii="Arial" w:hAnsi="Arial" w:cs="Arial"/>
          <w:lang w:val="en-US"/>
        </w:rPr>
        <w:t>98</w:t>
      </w:r>
      <w:r w:rsidR="009C1C23">
        <w:rPr>
          <w:rFonts w:ascii="Arial" w:hAnsi="Arial" w:cs="Arial"/>
          <w:lang w:val="en-US"/>
        </w:rPr>
        <w:t xml:space="preserve"> percent</w:t>
      </w:r>
      <w:r w:rsidR="009C1C23" w:rsidRPr="00AB56D3">
        <w:rPr>
          <w:rFonts w:ascii="Arial" w:hAnsi="Arial" w:cs="Arial"/>
          <w:lang w:val="en-US"/>
        </w:rPr>
        <w:t xml:space="preserve"> </w:t>
      </w:r>
      <w:r w:rsidR="00B606FF">
        <w:rPr>
          <w:rFonts w:ascii="Arial" w:hAnsi="Arial" w:cs="Arial"/>
          <w:lang w:val="en-US"/>
        </w:rPr>
        <w:t>stake in Vantage</w:t>
      </w:r>
      <w:r w:rsidR="009C1C23" w:rsidRPr="00AB56D3">
        <w:rPr>
          <w:rFonts w:ascii="Arial" w:hAnsi="Arial" w:cs="Arial"/>
          <w:lang w:val="en-US"/>
        </w:rPr>
        <w:t>.</w:t>
      </w:r>
      <w:r w:rsidR="00B33B34">
        <w:rPr>
          <w:rFonts w:ascii="Arial" w:hAnsi="Arial" w:cs="Arial"/>
          <w:lang w:val="en-US"/>
        </w:rPr>
        <w:t xml:space="preserve"> </w:t>
      </w:r>
    </w:p>
    <w:p w14:paraId="7F6C33B6" w14:textId="77777777" w:rsidR="00B33B34" w:rsidRDefault="00B33B34" w:rsidP="009C1C23">
      <w:pPr>
        <w:spacing w:line="360" w:lineRule="auto"/>
        <w:jc w:val="both"/>
        <w:rPr>
          <w:rFonts w:ascii="Arial" w:hAnsi="Arial" w:cs="Arial"/>
          <w:lang w:val="en-US"/>
        </w:rPr>
      </w:pPr>
    </w:p>
    <w:p w14:paraId="7508C2E7" w14:textId="44A7AF8B" w:rsidR="0078492D" w:rsidRPr="00C77FF5" w:rsidRDefault="00691471" w:rsidP="003E083F">
      <w:pPr>
        <w:spacing w:line="360" w:lineRule="auto"/>
        <w:jc w:val="both"/>
        <w:rPr>
          <w:rFonts w:ascii="Arial" w:hAnsi="Arial" w:cs="Arial"/>
          <w:lang w:val="en-US"/>
        </w:rPr>
      </w:pPr>
      <w:r>
        <w:rPr>
          <w:rFonts w:ascii="Arial" w:hAnsi="Arial" w:cs="Arial"/>
          <w:lang w:val="en-US"/>
        </w:rPr>
        <w:t>[3</w:t>
      </w:r>
      <w:r w:rsidRPr="00507C65">
        <w:rPr>
          <w:rFonts w:ascii="Arial" w:hAnsi="Arial" w:cs="Arial"/>
          <w:lang w:val="en-US"/>
        </w:rPr>
        <w:t>]</w:t>
      </w:r>
      <w:r>
        <w:rPr>
          <w:rFonts w:ascii="Arial" w:hAnsi="Arial" w:cs="Arial"/>
          <w:lang w:val="en-US"/>
        </w:rPr>
        <w:tab/>
      </w:r>
      <w:r w:rsidR="00B33B34">
        <w:rPr>
          <w:rFonts w:ascii="Arial" w:hAnsi="Arial" w:cs="Arial"/>
          <w:lang w:val="en-US"/>
        </w:rPr>
        <w:t>This appeal relates to an ongoing dispute between the first respondent, Arqomanzi Proprietary Limited (Arqomanzi) a</w:t>
      </w:r>
      <w:r w:rsidR="00B73ED4">
        <w:rPr>
          <w:rFonts w:ascii="Arial" w:hAnsi="Arial" w:cs="Arial"/>
          <w:lang w:val="en-US"/>
        </w:rPr>
        <w:t>nd the appellants in respect of</w:t>
      </w:r>
      <w:r w:rsidR="00765C33">
        <w:rPr>
          <w:rFonts w:ascii="Arial" w:hAnsi="Arial" w:cs="Arial"/>
          <w:lang w:val="en-US"/>
        </w:rPr>
        <w:t xml:space="preserve"> </w:t>
      </w:r>
      <w:r w:rsidR="00B33B34">
        <w:rPr>
          <w:rFonts w:ascii="Arial" w:hAnsi="Arial" w:cs="Arial"/>
          <w:lang w:val="en-US"/>
        </w:rPr>
        <w:t>business rescue proceedings of the Vantage Companies.</w:t>
      </w:r>
      <w:r w:rsidR="003E083F">
        <w:rPr>
          <w:rFonts w:ascii="Arial" w:hAnsi="Arial" w:cs="Arial"/>
        </w:rPr>
        <w:t>The Vantage Companies faced financial distress after the collapse on 5 February</w:t>
      </w:r>
      <w:r w:rsidR="003E083F" w:rsidRPr="009D2B25">
        <w:rPr>
          <w:rFonts w:ascii="Arial" w:hAnsi="Arial" w:cs="Arial"/>
        </w:rPr>
        <w:t xml:space="preserve"> 2016</w:t>
      </w:r>
      <w:r w:rsidR="003E083F">
        <w:rPr>
          <w:rFonts w:ascii="Arial" w:hAnsi="Arial" w:cs="Arial"/>
        </w:rPr>
        <w:t xml:space="preserve"> of </w:t>
      </w:r>
      <w:r w:rsidR="003E083F" w:rsidRPr="009D2B25">
        <w:rPr>
          <w:rFonts w:ascii="Arial" w:hAnsi="Arial" w:cs="Arial"/>
        </w:rPr>
        <w:t>the crown pillar at MIMCO</w:t>
      </w:r>
      <w:r w:rsidR="003E083F">
        <w:rPr>
          <w:rFonts w:ascii="Arial" w:hAnsi="Arial" w:cs="Arial"/>
        </w:rPr>
        <w:t>’s</w:t>
      </w:r>
      <w:r w:rsidR="003E083F" w:rsidRPr="009D2B25">
        <w:rPr>
          <w:rFonts w:ascii="Arial" w:hAnsi="Arial" w:cs="Arial"/>
        </w:rPr>
        <w:t xml:space="preserve"> Lily Mine, a gold mine located near Barberton in Mpumalanga</w:t>
      </w:r>
      <w:r w:rsidR="003E083F">
        <w:rPr>
          <w:rFonts w:ascii="Arial" w:hAnsi="Arial" w:cs="Arial"/>
        </w:rPr>
        <w:t>, which claimed</w:t>
      </w:r>
      <w:r w:rsidR="003E083F" w:rsidRPr="009D2B25">
        <w:rPr>
          <w:rFonts w:ascii="Arial" w:hAnsi="Arial" w:cs="Arial"/>
        </w:rPr>
        <w:t xml:space="preserve"> the lives</w:t>
      </w:r>
      <w:r w:rsidR="003E083F">
        <w:rPr>
          <w:rFonts w:ascii="Arial" w:hAnsi="Arial" w:cs="Arial"/>
        </w:rPr>
        <w:t xml:space="preserve"> of three workers and</w:t>
      </w:r>
      <w:r w:rsidR="003E083F" w:rsidRPr="009D2B25">
        <w:rPr>
          <w:rFonts w:ascii="Arial" w:hAnsi="Arial" w:cs="Arial"/>
        </w:rPr>
        <w:t xml:space="preserve"> rendered the mine in</w:t>
      </w:r>
      <w:r w:rsidR="003E083F">
        <w:rPr>
          <w:rFonts w:ascii="Arial" w:hAnsi="Arial" w:cs="Arial"/>
        </w:rPr>
        <w:t>accessible</w:t>
      </w:r>
      <w:r w:rsidR="003E083F" w:rsidRPr="009D2B25">
        <w:rPr>
          <w:rFonts w:ascii="Arial" w:hAnsi="Arial" w:cs="Arial"/>
        </w:rPr>
        <w:t xml:space="preserve">. Consequently, MIMCO was placed </w:t>
      </w:r>
      <w:r w:rsidR="003E083F">
        <w:rPr>
          <w:rFonts w:ascii="Arial" w:hAnsi="Arial" w:cs="Arial"/>
        </w:rPr>
        <w:t>in</w:t>
      </w:r>
      <w:r w:rsidR="003E083F" w:rsidRPr="009D2B25">
        <w:rPr>
          <w:rFonts w:ascii="Arial" w:hAnsi="Arial" w:cs="Arial"/>
        </w:rPr>
        <w:t xml:space="preserve"> business rescue on </w:t>
      </w:r>
      <w:r w:rsidR="003E083F">
        <w:rPr>
          <w:rFonts w:ascii="Arial" w:hAnsi="Arial" w:cs="Arial"/>
        </w:rPr>
        <w:t>4 April</w:t>
      </w:r>
      <w:r w:rsidR="003E083F" w:rsidRPr="009D2B25">
        <w:rPr>
          <w:rFonts w:ascii="Arial" w:hAnsi="Arial" w:cs="Arial"/>
        </w:rPr>
        <w:t xml:space="preserve"> 2016.</w:t>
      </w:r>
      <w:r w:rsidR="003E083F">
        <w:rPr>
          <w:rFonts w:ascii="Arial" w:hAnsi="Arial" w:cs="Arial"/>
        </w:rPr>
        <w:t xml:space="preserve"> </w:t>
      </w:r>
      <w:r w:rsidR="0078492D">
        <w:rPr>
          <w:rFonts w:ascii="Arial" w:hAnsi="Arial" w:cs="Arial"/>
        </w:rPr>
        <w:t>In August 2016, VGL requested an increase of R10 million in its existing banking facilities from the seventh respondent, the Standard Bank of South Africa Limited (Standard Bank), which was granted on condition that certain additional security be provided in the form of</w:t>
      </w:r>
      <w:r w:rsidR="008B7B5C">
        <w:rPr>
          <w:rFonts w:ascii="Arial" w:hAnsi="Arial" w:cs="Arial"/>
        </w:rPr>
        <w:t xml:space="preserve"> </w:t>
      </w:r>
      <w:r w:rsidR="0078492D">
        <w:rPr>
          <w:rFonts w:ascii="Arial" w:hAnsi="Arial" w:cs="Arial"/>
        </w:rPr>
        <w:t>a cession to Standard Bank of the VGSA-VGL claim and the VGL-Barbrook claim. The condition was accepted</w:t>
      </w:r>
      <w:r w:rsidR="00C77FF5">
        <w:rPr>
          <w:rFonts w:ascii="Arial" w:hAnsi="Arial" w:cs="Arial"/>
        </w:rPr>
        <w:t>,</w:t>
      </w:r>
      <w:r w:rsidR="0078492D">
        <w:rPr>
          <w:rFonts w:ascii="Arial" w:hAnsi="Arial" w:cs="Arial"/>
        </w:rPr>
        <w:t xml:space="preserve"> and on 6 September 2016, the claims were ceded </w:t>
      </w:r>
      <w:r w:rsidR="0078492D">
        <w:rPr>
          <w:rFonts w:ascii="Arial" w:hAnsi="Arial" w:cs="Arial"/>
          <w:i/>
          <w:iCs/>
        </w:rPr>
        <w:t xml:space="preserve">in securitatem debiti </w:t>
      </w:r>
      <w:r w:rsidR="0078492D" w:rsidRPr="0078492D">
        <w:rPr>
          <w:rFonts w:ascii="Arial" w:hAnsi="Arial" w:cs="Arial"/>
        </w:rPr>
        <w:t xml:space="preserve">to </w:t>
      </w:r>
      <w:r w:rsidR="0078492D">
        <w:rPr>
          <w:rFonts w:ascii="Arial" w:hAnsi="Arial" w:cs="Arial"/>
        </w:rPr>
        <w:t>S</w:t>
      </w:r>
      <w:r w:rsidR="0078492D" w:rsidRPr="0078492D">
        <w:rPr>
          <w:rFonts w:ascii="Arial" w:hAnsi="Arial" w:cs="Arial"/>
        </w:rPr>
        <w:t xml:space="preserve">tandard </w:t>
      </w:r>
      <w:r w:rsidR="0078492D">
        <w:rPr>
          <w:rFonts w:ascii="Arial" w:hAnsi="Arial" w:cs="Arial"/>
        </w:rPr>
        <w:t>B</w:t>
      </w:r>
      <w:r w:rsidR="0078492D" w:rsidRPr="0078492D">
        <w:rPr>
          <w:rFonts w:ascii="Arial" w:hAnsi="Arial" w:cs="Arial"/>
        </w:rPr>
        <w:t>ank</w:t>
      </w:r>
      <w:r w:rsidR="0078492D">
        <w:rPr>
          <w:rFonts w:ascii="Arial" w:hAnsi="Arial" w:cs="Arial"/>
        </w:rPr>
        <w:t xml:space="preserve">. Both </w:t>
      </w:r>
      <w:r w:rsidR="00B33B34">
        <w:rPr>
          <w:rFonts w:ascii="Arial" w:hAnsi="Arial" w:cs="Arial"/>
        </w:rPr>
        <w:t>c</w:t>
      </w:r>
      <w:r w:rsidR="0078492D">
        <w:rPr>
          <w:rFonts w:ascii="Arial" w:hAnsi="Arial" w:cs="Arial"/>
        </w:rPr>
        <w:t>essions entitled Standard Bank, upon any breach, which was not remedied, to sell or otherwise reali</w:t>
      </w:r>
      <w:r w:rsidR="00C77FF5">
        <w:rPr>
          <w:rFonts w:ascii="Arial" w:hAnsi="Arial" w:cs="Arial"/>
        </w:rPr>
        <w:t>s</w:t>
      </w:r>
      <w:r w:rsidR="0078492D">
        <w:rPr>
          <w:rFonts w:ascii="Arial" w:hAnsi="Arial" w:cs="Arial"/>
        </w:rPr>
        <w:t>e the security.</w:t>
      </w:r>
    </w:p>
    <w:p w14:paraId="6C2A066F" w14:textId="77777777" w:rsidR="0078492D" w:rsidRDefault="0078492D" w:rsidP="003E083F">
      <w:pPr>
        <w:spacing w:line="360" w:lineRule="auto"/>
        <w:jc w:val="both"/>
        <w:rPr>
          <w:rFonts w:ascii="Arial" w:hAnsi="Arial" w:cs="Arial"/>
        </w:rPr>
      </w:pPr>
    </w:p>
    <w:p w14:paraId="2345CD88" w14:textId="569EA38D" w:rsidR="003E083F" w:rsidRDefault="00691471" w:rsidP="003E083F">
      <w:pPr>
        <w:spacing w:line="360" w:lineRule="auto"/>
        <w:jc w:val="both"/>
        <w:rPr>
          <w:rFonts w:ascii="Arial" w:hAnsi="Arial" w:cs="Arial"/>
        </w:rPr>
      </w:pPr>
      <w:r>
        <w:rPr>
          <w:rFonts w:ascii="Arial" w:hAnsi="Arial" w:cs="Arial"/>
          <w:lang w:val="en-US"/>
        </w:rPr>
        <w:t>[</w:t>
      </w:r>
      <w:r w:rsidR="00C77FF5">
        <w:rPr>
          <w:rFonts w:ascii="Arial" w:hAnsi="Arial" w:cs="Arial"/>
          <w:lang w:val="en-US"/>
        </w:rPr>
        <w:t>4</w:t>
      </w:r>
      <w:r w:rsidRPr="00507C65">
        <w:rPr>
          <w:rFonts w:ascii="Arial" w:hAnsi="Arial" w:cs="Arial"/>
          <w:lang w:val="en-US"/>
        </w:rPr>
        <w:t>]</w:t>
      </w:r>
      <w:r>
        <w:rPr>
          <w:rFonts w:ascii="Arial" w:hAnsi="Arial" w:cs="Arial"/>
          <w:lang w:val="en-US"/>
        </w:rPr>
        <w:tab/>
      </w:r>
      <w:r w:rsidR="0078492D">
        <w:rPr>
          <w:rFonts w:ascii="Arial" w:hAnsi="Arial" w:cs="Arial"/>
        </w:rPr>
        <w:t xml:space="preserve">MIMCO’s financial turmoil </w:t>
      </w:r>
      <w:r w:rsidR="00C77FF5">
        <w:rPr>
          <w:rFonts w:ascii="Arial" w:hAnsi="Arial" w:cs="Arial"/>
        </w:rPr>
        <w:t>contributed</w:t>
      </w:r>
      <w:r w:rsidR="0078492D">
        <w:rPr>
          <w:rFonts w:ascii="Arial" w:hAnsi="Arial" w:cs="Arial"/>
        </w:rPr>
        <w:t xml:space="preserve"> to VGL and Barbrook facing similar difficulties</w:t>
      </w:r>
      <w:r w:rsidR="004C278F">
        <w:rPr>
          <w:rFonts w:ascii="Arial" w:hAnsi="Arial" w:cs="Arial"/>
        </w:rPr>
        <w:t xml:space="preserve">, </w:t>
      </w:r>
      <w:r w:rsidR="003E083F" w:rsidRPr="009D2B25">
        <w:rPr>
          <w:rFonts w:ascii="Arial" w:hAnsi="Arial" w:cs="Arial"/>
        </w:rPr>
        <w:t>leading to the placement</w:t>
      </w:r>
      <w:r w:rsidR="003E083F">
        <w:rPr>
          <w:rFonts w:ascii="Arial" w:hAnsi="Arial" w:cs="Arial"/>
        </w:rPr>
        <w:t xml:space="preserve"> in</w:t>
      </w:r>
      <w:r w:rsidR="003E083F" w:rsidRPr="009D2B25">
        <w:rPr>
          <w:rFonts w:ascii="Arial" w:hAnsi="Arial" w:cs="Arial"/>
        </w:rPr>
        <w:t xml:space="preserve"> business rescue </w:t>
      </w:r>
      <w:r w:rsidR="003E083F">
        <w:rPr>
          <w:rFonts w:ascii="Arial" w:hAnsi="Arial" w:cs="Arial"/>
        </w:rPr>
        <w:t xml:space="preserve">of both </w:t>
      </w:r>
      <w:r w:rsidR="003E083F" w:rsidRPr="009D2B25">
        <w:rPr>
          <w:rFonts w:ascii="Arial" w:hAnsi="Arial" w:cs="Arial"/>
        </w:rPr>
        <w:t xml:space="preserve">on </w:t>
      </w:r>
      <w:r w:rsidR="003E083F">
        <w:rPr>
          <w:rFonts w:ascii="Arial" w:hAnsi="Arial" w:cs="Arial"/>
        </w:rPr>
        <w:t>12 December</w:t>
      </w:r>
      <w:r w:rsidR="003E083F" w:rsidRPr="009D2B25">
        <w:rPr>
          <w:rFonts w:ascii="Arial" w:hAnsi="Arial" w:cs="Arial"/>
        </w:rPr>
        <w:t xml:space="preserve"> 2016.</w:t>
      </w:r>
      <w:r w:rsidR="0078492D">
        <w:rPr>
          <w:rFonts w:ascii="Arial" w:hAnsi="Arial" w:cs="Arial"/>
        </w:rPr>
        <w:t xml:space="preserve"> </w:t>
      </w:r>
      <w:r w:rsidR="00C053FE">
        <w:rPr>
          <w:rFonts w:ascii="Arial" w:hAnsi="Arial" w:cs="Arial"/>
        </w:rPr>
        <w:t>The creditors of VGL and Barbrook adopted business rescue plans on 16 February 2017 and 6 August 2018</w:t>
      </w:r>
      <w:r w:rsidR="00C77FF5">
        <w:rPr>
          <w:rFonts w:ascii="Arial" w:hAnsi="Arial" w:cs="Arial"/>
        </w:rPr>
        <w:t>,</w:t>
      </w:r>
      <w:r w:rsidR="00C053FE">
        <w:rPr>
          <w:rFonts w:ascii="Arial" w:hAnsi="Arial" w:cs="Arial"/>
        </w:rPr>
        <w:t xml:space="preserve"> respectively. The adopted plans w</w:t>
      </w:r>
      <w:r w:rsidR="00B33B34">
        <w:rPr>
          <w:rFonts w:ascii="Arial" w:hAnsi="Arial" w:cs="Arial"/>
        </w:rPr>
        <w:t>ere</w:t>
      </w:r>
      <w:r w:rsidR="00C053FE">
        <w:rPr>
          <w:rFonts w:ascii="Arial" w:hAnsi="Arial" w:cs="Arial"/>
        </w:rPr>
        <w:t xml:space="preserve"> interdependent</w:t>
      </w:r>
      <w:r w:rsidR="0078492D">
        <w:rPr>
          <w:rFonts w:ascii="Arial" w:hAnsi="Arial" w:cs="Arial"/>
        </w:rPr>
        <w:t xml:space="preserve">. Their success was dependent on finance that was principally to be sourced from the Industrial Development Corporation, which was, however, conditional </w:t>
      </w:r>
      <w:r w:rsidR="008B7B5C">
        <w:rPr>
          <w:rFonts w:ascii="Arial" w:hAnsi="Arial" w:cs="Arial"/>
        </w:rPr>
        <w:t>up</w:t>
      </w:r>
      <w:r w:rsidR="0078492D">
        <w:rPr>
          <w:rFonts w:ascii="Arial" w:hAnsi="Arial" w:cs="Arial"/>
        </w:rPr>
        <w:t xml:space="preserve">on </w:t>
      </w:r>
      <w:r w:rsidR="00B33B34">
        <w:rPr>
          <w:rFonts w:ascii="Arial" w:hAnsi="Arial" w:cs="Arial"/>
        </w:rPr>
        <w:t>a</w:t>
      </w:r>
      <w:r w:rsidR="008B7B5C">
        <w:rPr>
          <w:rFonts w:ascii="Arial" w:hAnsi="Arial" w:cs="Arial"/>
        </w:rPr>
        <w:t xml:space="preserve"> certain</w:t>
      </w:r>
      <w:r w:rsidR="00B33B34">
        <w:rPr>
          <w:rFonts w:ascii="Arial" w:hAnsi="Arial" w:cs="Arial"/>
        </w:rPr>
        <w:t xml:space="preserve"> </w:t>
      </w:r>
      <w:r w:rsidR="0078492D">
        <w:rPr>
          <w:rFonts w:ascii="Arial" w:hAnsi="Arial" w:cs="Arial"/>
        </w:rPr>
        <w:t>Flaming Silver Trading 373 (Pty) Ltd</w:t>
      </w:r>
      <w:r w:rsidR="00B33B34">
        <w:rPr>
          <w:rFonts w:ascii="Arial" w:hAnsi="Arial" w:cs="Arial"/>
        </w:rPr>
        <w:t>,</w:t>
      </w:r>
      <w:r w:rsidR="0078492D">
        <w:rPr>
          <w:rFonts w:ascii="Arial" w:hAnsi="Arial" w:cs="Arial"/>
        </w:rPr>
        <w:t xml:space="preserve"> acquiring VGSA’s shares in VGL and MIMCO and providing a minimum of at least R60 million in equity funding.</w:t>
      </w:r>
    </w:p>
    <w:p w14:paraId="47EAA1F6" w14:textId="77777777" w:rsidR="005132A5" w:rsidRDefault="005132A5" w:rsidP="003E083F">
      <w:pPr>
        <w:spacing w:line="360" w:lineRule="auto"/>
        <w:jc w:val="both"/>
        <w:rPr>
          <w:rFonts w:ascii="Arial" w:hAnsi="Arial" w:cs="Arial"/>
        </w:rPr>
      </w:pPr>
    </w:p>
    <w:p w14:paraId="0F54461E" w14:textId="326260F0" w:rsidR="00566E64" w:rsidRDefault="00691471" w:rsidP="003E083F">
      <w:pPr>
        <w:spacing w:line="360" w:lineRule="auto"/>
        <w:jc w:val="both"/>
        <w:rPr>
          <w:rFonts w:ascii="Arial" w:hAnsi="Arial" w:cs="Arial"/>
        </w:rPr>
      </w:pPr>
      <w:r>
        <w:rPr>
          <w:rFonts w:ascii="Arial" w:hAnsi="Arial" w:cs="Arial"/>
          <w:lang w:val="en-US"/>
        </w:rPr>
        <w:t>[</w:t>
      </w:r>
      <w:r w:rsidR="00C77FF5">
        <w:rPr>
          <w:rFonts w:ascii="Arial" w:hAnsi="Arial" w:cs="Arial"/>
          <w:lang w:val="en-US"/>
        </w:rPr>
        <w:t>5</w:t>
      </w:r>
      <w:r w:rsidRPr="00507C65">
        <w:rPr>
          <w:rFonts w:ascii="Arial" w:hAnsi="Arial" w:cs="Arial"/>
          <w:lang w:val="en-US"/>
        </w:rPr>
        <w:t>]</w:t>
      </w:r>
      <w:r>
        <w:rPr>
          <w:rFonts w:ascii="Arial" w:hAnsi="Arial" w:cs="Arial"/>
          <w:lang w:val="en-US"/>
        </w:rPr>
        <w:tab/>
      </w:r>
      <w:bookmarkStart w:id="4" w:name="_Hlk138491816"/>
      <w:r w:rsidR="004C278F">
        <w:rPr>
          <w:rFonts w:ascii="Arial" w:hAnsi="Arial" w:cs="Arial"/>
        </w:rPr>
        <w:t>When it became apparent that the necessary funding for the adopted plans would not become available, Arqomanzi engaged in discussions with Standard Bank with a view to acquiring the VGSA-VGL claim.</w:t>
      </w:r>
      <w:r w:rsidR="00BA4A61">
        <w:rPr>
          <w:rFonts w:ascii="Arial" w:hAnsi="Arial" w:cs="Arial"/>
        </w:rPr>
        <w:t xml:space="preserve"> </w:t>
      </w:r>
      <w:r w:rsidR="00EC47A0">
        <w:rPr>
          <w:rFonts w:ascii="Arial" w:hAnsi="Arial" w:cs="Arial"/>
        </w:rPr>
        <w:t xml:space="preserve">Standard Bank was willing to cede this claim to Arqomanzi at an agreed price, but only if VGSA failed to remedy its breach after having been given notice to do so. </w:t>
      </w:r>
      <w:r w:rsidR="00BA4A61">
        <w:rPr>
          <w:rFonts w:ascii="Arial" w:hAnsi="Arial" w:cs="Arial"/>
        </w:rPr>
        <w:t>On 23</w:t>
      </w:r>
      <w:r w:rsidR="00BA4A61">
        <w:rPr>
          <w:rFonts w:ascii="Arial" w:hAnsi="Arial" w:cs="Arial"/>
          <w:vertAlign w:val="superscript"/>
        </w:rPr>
        <w:t xml:space="preserve"> </w:t>
      </w:r>
      <w:r w:rsidR="00BA4A61">
        <w:rPr>
          <w:rFonts w:ascii="Arial" w:hAnsi="Arial" w:cs="Arial"/>
        </w:rPr>
        <w:t xml:space="preserve">July 2019, Standard Bank delivered a written demand to VGSA to remedy its breach. In this </w:t>
      </w:r>
      <w:r>
        <w:rPr>
          <w:rFonts w:ascii="Arial" w:hAnsi="Arial" w:cs="Arial"/>
        </w:rPr>
        <w:t xml:space="preserve">demand, Standard Bank informed </w:t>
      </w:r>
      <w:r w:rsidR="00BA4A61">
        <w:rPr>
          <w:rFonts w:ascii="Arial" w:hAnsi="Arial" w:cs="Arial"/>
        </w:rPr>
        <w:t xml:space="preserve">VGSA that should it fail to timeously remedy its breach, then it intended to </w:t>
      </w:r>
      <w:r w:rsidR="00BA4A61">
        <w:rPr>
          <w:rFonts w:ascii="Arial" w:hAnsi="Arial" w:cs="Arial"/>
        </w:rPr>
        <w:lastRenderedPageBreak/>
        <w:t xml:space="preserve">dispose of the claim for </w:t>
      </w:r>
      <w:r w:rsidR="00DF7B8A" w:rsidRPr="00DF7B8A">
        <w:rPr>
          <w:rFonts w:ascii="Arial" w:hAnsi="Arial" w:cs="Arial"/>
        </w:rPr>
        <w:t>R8 911 771.</w:t>
      </w:r>
      <w:r w:rsidR="00BA4A61" w:rsidRPr="00DF7B8A">
        <w:rPr>
          <w:rFonts w:ascii="Arial" w:hAnsi="Arial" w:cs="Arial"/>
        </w:rPr>
        <w:t>35.</w:t>
      </w:r>
      <w:r w:rsidR="00BA4A61">
        <w:rPr>
          <w:rFonts w:ascii="Arial" w:hAnsi="Arial" w:cs="Arial"/>
        </w:rPr>
        <w:t xml:space="preserve"> VGSA fail</w:t>
      </w:r>
      <w:r w:rsidR="00566E64">
        <w:rPr>
          <w:rFonts w:ascii="Arial" w:hAnsi="Arial" w:cs="Arial"/>
        </w:rPr>
        <w:t>ed</w:t>
      </w:r>
      <w:r w:rsidR="00BA4A61">
        <w:rPr>
          <w:rFonts w:ascii="Arial" w:hAnsi="Arial" w:cs="Arial"/>
        </w:rPr>
        <w:t xml:space="preserve"> to remedy </w:t>
      </w:r>
      <w:r w:rsidR="00EC47A0">
        <w:rPr>
          <w:rFonts w:ascii="Arial" w:hAnsi="Arial" w:cs="Arial"/>
        </w:rPr>
        <w:t>the</w:t>
      </w:r>
      <w:r w:rsidR="00BA4A61">
        <w:rPr>
          <w:rFonts w:ascii="Arial" w:hAnsi="Arial" w:cs="Arial"/>
        </w:rPr>
        <w:t xml:space="preserve"> breach and Standard Bank realised its security by selling the claim to Arqomanzi on 1 August 2019</w:t>
      </w:r>
      <w:r w:rsidR="00566E64">
        <w:rPr>
          <w:rFonts w:ascii="Arial" w:hAnsi="Arial" w:cs="Arial"/>
        </w:rPr>
        <w:t xml:space="preserve"> (the sale agreement)</w:t>
      </w:r>
      <w:r w:rsidR="00BA4A61">
        <w:rPr>
          <w:rFonts w:ascii="Arial" w:hAnsi="Arial" w:cs="Arial"/>
        </w:rPr>
        <w:t>.</w:t>
      </w:r>
    </w:p>
    <w:p w14:paraId="2F12A805" w14:textId="77777777" w:rsidR="00566E64" w:rsidRDefault="00566E64" w:rsidP="003E083F">
      <w:pPr>
        <w:spacing w:line="360" w:lineRule="auto"/>
        <w:jc w:val="both"/>
        <w:rPr>
          <w:rFonts w:ascii="Arial" w:hAnsi="Arial" w:cs="Arial"/>
        </w:rPr>
      </w:pPr>
    </w:p>
    <w:p w14:paraId="79C4875A" w14:textId="5385832F" w:rsidR="00C053FE" w:rsidRDefault="00691471" w:rsidP="003E083F">
      <w:pPr>
        <w:spacing w:line="360" w:lineRule="auto"/>
        <w:jc w:val="both"/>
        <w:rPr>
          <w:rFonts w:ascii="Arial" w:hAnsi="Arial" w:cs="Arial"/>
        </w:rPr>
      </w:pPr>
      <w:r>
        <w:rPr>
          <w:rFonts w:ascii="Arial" w:hAnsi="Arial" w:cs="Arial"/>
          <w:lang w:val="en-US"/>
        </w:rPr>
        <w:t>[</w:t>
      </w:r>
      <w:r w:rsidR="00EC47A0">
        <w:rPr>
          <w:rFonts w:ascii="Arial" w:hAnsi="Arial" w:cs="Arial"/>
          <w:lang w:val="en-US"/>
        </w:rPr>
        <w:t>6</w:t>
      </w:r>
      <w:r w:rsidRPr="00507C65">
        <w:rPr>
          <w:rFonts w:ascii="Arial" w:hAnsi="Arial" w:cs="Arial"/>
          <w:lang w:val="en-US"/>
        </w:rPr>
        <w:t>]</w:t>
      </w:r>
      <w:r>
        <w:rPr>
          <w:rFonts w:ascii="Arial" w:hAnsi="Arial" w:cs="Arial"/>
          <w:lang w:val="en-US"/>
        </w:rPr>
        <w:tab/>
      </w:r>
      <w:r w:rsidR="00BA4A61">
        <w:rPr>
          <w:rFonts w:ascii="Arial" w:hAnsi="Arial" w:cs="Arial"/>
        </w:rPr>
        <w:t xml:space="preserve">However, the fifth and sixth respondents, </w:t>
      </w:r>
      <w:r w:rsidR="00BA4A61" w:rsidRPr="002C11E2">
        <w:rPr>
          <w:rFonts w:ascii="Arial" w:hAnsi="Arial" w:cs="Arial"/>
        </w:rPr>
        <w:t xml:space="preserve">the </w:t>
      </w:r>
      <w:r w:rsidR="00FE1DD6" w:rsidRPr="002C11E2">
        <w:rPr>
          <w:rFonts w:ascii="Arial" w:hAnsi="Arial" w:cs="Arial"/>
        </w:rPr>
        <w:t>B</w:t>
      </w:r>
      <w:r w:rsidR="00BA4A61" w:rsidRPr="002C11E2">
        <w:rPr>
          <w:rFonts w:ascii="Arial" w:hAnsi="Arial" w:cs="Arial"/>
        </w:rPr>
        <w:t xml:space="preserve">usiness </w:t>
      </w:r>
      <w:r w:rsidR="00FE1DD6" w:rsidRPr="002C11E2">
        <w:rPr>
          <w:rFonts w:ascii="Arial" w:hAnsi="Arial" w:cs="Arial"/>
        </w:rPr>
        <w:t>R</w:t>
      </w:r>
      <w:r w:rsidR="00BA4A61" w:rsidRPr="002C11E2">
        <w:rPr>
          <w:rFonts w:ascii="Arial" w:hAnsi="Arial" w:cs="Arial"/>
        </w:rPr>
        <w:t xml:space="preserve">escue </w:t>
      </w:r>
      <w:r w:rsidR="00FE1DD6" w:rsidRPr="002C11E2">
        <w:rPr>
          <w:rFonts w:ascii="Arial" w:hAnsi="Arial" w:cs="Arial"/>
        </w:rPr>
        <w:t>P</w:t>
      </w:r>
      <w:r w:rsidR="00BA4A61" w:rsidRPr="002C11E2">
        <w:rPr>
          <w:rFonts w:ascii="Arial" w:hAnsi="Arial" w:cs="Arial"/>
        </w:rPr>
        <w:t>ractitioners</w:t>
      </w:r>
      <w:r w:rsidR="00BA4A61">
        <w:rPr>
          <w:rFonts w:ascii="Arial" w:hAnsi="Arial" w:cs="Arial"/>
        </w:rPr>
        <w:t xml:space="preserve"> (the BRPs) refused to acknowledge</w:t>
      </w:r>
      <w:r w:rsidR="00BA4A61" w:rsidRPr="00BA4A61">
        <w:rPr>
          <w:rFonts w:ascii="Arial" w:hAnsi="Arial" w:cs="Arial"/>
        </w:rPr>
        <w:t xml:space="preserve"> </w:t>
      </w:r>
      <w:r w:rsidR="00BA4A61">
        <w:rPr>
          <w:rFonts w:ascii="Arial" w:hAnsi="Arial" w:cs="Arial"/>
        </w:rPr>
        <w:t>Arqomanzi as the owner of the VGSA-VGL claim.</w:t>
      </w:r>
      <w:r w:rsidR="00566E64">
        <w:rPr>
          <w:rFonts w:ascii="Arial" w:hAnsi="Arial" w:cs="Arial"/>
        </w:rPr>
        <w:t xml:space="preserve"> </w:t>
      </w:r>
      <w:bookmarkEnd w:id="4"/>
      <w:r w:rsidR="00566E64">
        <w:rPr>
          <w:rFonts w:ascii="Arial" w:hAnsi="Arial" w:cs="Arial"/>
        </w:rPr>
        <w:t xml:space="preserve">Consequently, on 8 October 2019, Arqomanzi issued an application </w:t>
      </w:r>
      <w:r w:rsidR="00250896">
        <w:rPr>
          <w:rFonts w:ascii="Arial" w:hAnsi="Arial" w:cs="Arial"/>
        </w:rPr>
        <w:t xml:space="preserve">(the first application) </w:t>
      </w:r>
      <w:r w:rsidR="00566E64">
        <w:rPr>
          <w:rFonts w:ascii="Arial" w:hAnsi="Arial" w:cs="Arial"/>
        </w:rPr>
        <w:t>out of the Mpumalanga Division of the High Court, Mbombela</w:t>
      </w:r>
      <w:r w:rsidR="00F74F5A">
        <w:rPr>
          <w:rFonts w:ascii="Arial" w:hAnsi="Arial" w:cs="Arial"/>
        </w:rPr>
        <w:t xml:space="preserve"> (the high court)</w:t>
      </w:r>
      <w:r w:rsidR="00566E64">
        <w:rPr>
          <w:rFonts w:ascii="Arial" w:hAnsi="Arial" w:cs="Arial"/>
        </w:rPr>
        <w:t>. The application</w:t>
      </w:r>
      <w:r w:rsidR="00EC47A0">
        <w:rPr>
          <w:rFonts w:ascii="Arial" w:hAnsi="Arial" w:cs="Arial"/>
        </w:rPr>
        <w:t>,</w:t>
      </w:r>
      <w:r w:rsidR="00EC47A0" w:rsidRPr="00EC47A0">
        <w:rPr>
          <w:rFonts w:ascii="Arial" w:hAnsi="Arial" w:cs="Arial"/>
        </w:rPr>
        <w:t xml:space="preserve"> </w:t>
      </w:r>
      <w:r w:rsidR="00EC47A0">
        <w:rPr>
          <w:rFonts w:ascii="Arial" w:hAnsi="Arial" w:cs="Arial"/>
        </w:rPr>
        <w:t>which was opposed by VGSA,</w:t>
      </w:r>
      <w:r w:rsidR="00566E64">
        <w:rPr>
          <w:rFonts w:ascii="Arial" w:hAnsi="Arial" w:cs="Arial"/>
        </w:rPr>
        <w:t xml:space="preserve"> succeeded for the most part before Roelofse AJ</w:t>
      </w:r>
      <w:r w:rsidR="00EC47A0">
        <w:rPr>
          <w:rFonts w:ascii="Arial" w:hAnsi="Arial" w:cs="Arial"/>
        </w:rPr>
        <w:t>. I</w:t>
      </w:r>
      <w:r w:rsidR="00566E64">
        <w:rPr>
          <w:rFonts w:ascii="Arial" w:hAnsi="Arial" w:cs="Arial"/>
        </w:rPr>
        <w:t xml:space="preserve">n his judgment of 11 November 2019, </w:t>
      </w:r>
      <w:r w:rsidR="00EC47A0">
        <w:rPr>
          <w:rFonts w:ascii="Arial" w:hAnsi="Arial" w:cs="Arial"/>
        </w:rPr>
        <w:t xml:space="preserve">the learned judge </w:t>
      </w:r>
      <w:r w:rsidR="00566E64">
        <w:rPr>
          <w:rFonts w:ascii="Arial" w:hAnsi="Arial" w:cs="Arial"/>
        </w:rPr>
        <w:t xml:space="preserve">made the following key findings: (i) Standard Bank lawfully and validly </w:t>
      </w:r>
      <w:r>
        <w:rPr>
          <w:rFonts w:ascii="Arial" w:hAnsi="Arial" w:cs="Arial"/>
        </w:rPr>
        <w:t>ce</w:t>
      </w:r>
      <w:r w:rsidR="00566E64" w:rsidRPr="00691471">
        <w:rPr>
          <w:rFonts w:ascii="Arial" w:hAnsi="Arial" w:cs="Arial"/>
        </w:rPr>
        <w:t>ded</w:t>
      </w:r>
      <w:r w:rsidR="00566E64">
        <w:rPr>
          <w:rFonts w:ascii="Arial" w:hAnsi="Arial" w:cs="Arial"/>
        </w:rPr>
        <w:t xml:space="preserve"> the VGSA-VGL claim to Arqomanzi; (ii) Arqomanzi was an independent creditor of VGL; and, (iii) as the funding contemplated in the adopted plans had not been realised, those plans could no longer be implemented. Even though VGSA was granted leave by Roelofse AJ to </w:t>
      </w:r>
      <w:r w:rsidR="005132A5">
        <w:rPr>
          <w:rFonts w:ascii="Arial" w:hAnsi="Arial" w:cs="Arial"/>
        </w:rPr>
        <w:t>appeal</w:t>
      </w:r>
      <w:r w:rsidR="00566E64">
        <w:rPr>
          <w:rFonts w:ascii="Arial" w:hAnsi="Arial" w:cs="Arial"/>
        </w:rPr>
        <w:t xml:space="preserve"> his judgment, the appeal lapsed when VGSA failed to timeously prosecute it.</w:t>
      </w:r>
      <w:r w:rsidR="00591763">
        <w:rPr>
          <w:rFonts w:ascii="Arial" w:hAnsi="Arial" w:cs="Arial"/>
        </w:rPr>
        <w:t xml:space="preserve"> Thereafter, in compliance with Roelofse AJ’s order,</w:t>
      </w:r>
      <w:r w:rsidR="00591763" w:rsidRPr="00591763">
        <w:rPr>
          <w:rFonts w:ascii="Arial" w:hAnsi="Arial" w:cs="Arial"/>
        </w:rPr>
        <w:t xml:space="preserve"> </w:t>
      </w:r>
      <w:r w:rsidR="00591763">
        <w:rPr>
          <w:rFonts w:ascii="Arial" w:hAnsi="Arial" w:cs="Arial"/>
        </w:rPr>
        <w:t>the BRPs published amended business rescue plans for MIMCO and Barbrook on 22 and 25 June 2020, respectively.</w:t>
      </w:r>
    </w:p>
    <w:p w14:paraId="0389891A" w14:textId="77777777" w:rsidR="008B7B5C" w:rsidRDefault="008B7B5C" w:rsidP="003E083F">
      <w:pPr>
        <w:spacing w:line="360" w:lineRule="auto"/>
        <w:jc w:val="both"/>
        <w:rPr>
          <w:rFonts w:ascii="Arial" w:hAnsi="Arial" w:cs="Arial"/>
        </w:rPr>
      </w:pPr>
    </w:p>
    <w:p w14:paraId="4E5D523B" w14:textId="2EE4037A" w:rsidR="00591763" w:rsidRDefault="00691471" w:rsidP="003E083F">
      <w:pPr>
        <w:spacing w:line="360" w:lineRule="auto"/>
        <w:jc w:val="both"/>
        <w:rPr>
          <w:rFonts w:ascii="Arial" w:hAnsi="Arial" w:cs="Arial"/>
        </w:rPr>
      </w:pPr>
      <w:r>
        <w:rPr>
          <w:rFonts w:ascii="Arial" w:hAnsi="Arial" w:cs="Arial"/>
          <w:lang w:val="en-US"/>
        </w:rPr>
        <w:t>[</w:t>
      </w:r>
      <w:r w:rsidR="00EC47A0">
        <w:rPr>
          <w:rFonts w:ascii="Arial" w:hAnsi="Arial" w:cs="Arial"/>
          <w:lang w:val="en-US"/>
        </w:rPr>
        <w:t>7</w:t>
      </w:r>
      <w:r w:rsidRPr="00507C65">
        <w:rPr>
          <w:rFonts w:ascii="Arial" w:hAnsi="Arial" w:cs="Arial"/>
          <w:lang w:val="en-US"/>
        </w:rPr>
        <w:t>]</w:t>
      </w:r>
      <w:r>
        <w:rPr>
          <w:rFonts w:ascii="Arial" w:hAnsi="Arial" w:cs="Arial"/>
          <w:lang w:val="en-US"/>
        </w:rPr>
        <w:tab/>
      </w:r>
      <w:r w:rsidR="00591763">
        <w:rPr>
          <w:rFonts w:ascii="Arial" w:hAnsi="Arial" w:cs="Arial"/>
        </w:rPr>
        <w:t xml:space="preserve">During July 2020, </w:t>
      </w:r>
      <w:bookmarkStart w:id="5" w:name="_Hlk138492167"/>
      <w:r w:rsidR="00591763">
        <w:rPr>
          <w:rFonts w:ascii="Arial" w:hAnsi="Arial" w:cs="Arial"/>
        </w:rPr>
        <w:t>Arqomanzi negotiated with Standard Bank to acquire the VG</w:t>
      </w:r>
      <w:r w:rsidR="00765C33">
        <w:rPr>
          <w:rFonts w:ascii="Arial" w:hAnsi="Arial" w:cs="Arial"/>
        </w:rPr>
        <w:t>L</w:t>
      </w:r>
      <w:r w:rsidR="00591763">
        <w:rPr>
          <w:rFonts w:ascii="Arial" w:hAnsi="Arial" w:cs="Arial"/>
        </w:rPr>
        <w:t>-Barbrook claim.</w:t>
      </w:r>
      <w:bookmarkEnd w:id="5"/>
      <w:r w:rsidR="00591763">
        <w:rPr>
          <w:rFonts w:ascii="Arial" w:hAnsi="Arial" w:cs="Arial"/>
        </w:rPr>
        <w:t xml:space="preserve"> </w:t>
      </w:r>
      <w:r w:rsidR="008B7B5C">
        <w:rPr>
          <w:rFonts w:ascii="Arial" w:hAnsi="Arial" w:cs="Arial"/>
        </w:rPr>
        <w:t xml:space="preserve">Once again, </w:t>
      </w:r>
      <w:r w:rsidR="00591763">
        <w:rPr>
          <w:rFonts w:ascii="Arial" w:hAnsi="Arial" w:cs="Arial"/>
        </w:rPr>
        <w:t>Standard Bank was willing to cede this claim to Arqomanzi at an agreed price, if VGL did not remedy its breach after having been given notice by Standard Bank to do so. On 17 July 2020, Standard Bank delivered a written demand to VGL to remedy</w:t>
      </w:r>
      <w:r w:rsidR="00250896">
        <w:rPr>
          <w:rFonts w:ascii="Arial" w:hAnsi="Arial" w:cs="Arial"/>
        </w:rPr>
        <w:t xml:space="preserve"> </w:t>
      </w:r>
      <w:r w:rsidR="00EC47A0">
        <w:rPr>
          <w:rFonts w:ascii="Arial" w:hAnsi="Arial" w:cs="Arial"/>
        </w:rPr>
        <w:t>its</w:t>
      </w:r>
      <w:r w:rsidR="008B7B5C">
        <w:rPr>
          <w:rFonts w:ascii="Arial" w:hAnsi="Arial" w:cs="Arial"/>
        </w:rPr>
        <w:t xml:space="preserve"> breach </w:t>
      </w:r>
      <w:r w:rsidR="00250896">
        <w:rPr>
          <w:rFonts w:ascii="Arial" w:hAnsi="Arial" w:cs="Arial"/>
        </w:rPr>
        <w:t xml:space="preserve">by making payment of the outstanding amount within 10 days. VGL was informed that should it fail to timeously remedy </w:t>
      </w:r>
      <w:r w:rsidR="008B7B5C">
        <w:rPr>
          <w:rFonts w:ascii="Arial" w:hAnsi="Arial" w:cs="Arial"/>
        </w:rPr>
        <w:t>the</w:t>
      </w:r>
      <w:r w:rsidR="00250896">
        <w:rPr>
          <w:rFonts w:ascii="Arial" w:hAnsi="Arial" w:cs="Arial"/>
        </w:rPr>
        <w:t xml:space="preserve"> breach, then Standard Bank intended to dispose of the claim for R1.</w:t>
      </w:r>
      <w:r w:rsidR="00591763">
        <w:rPr>
          <w:rFonts w:ascii="Arial" w:hAnsi="Arial" w:cs="Arial"/>
        </w:rPr>
        <w:t xml:space="preserve"> </w:t>
      </w:r>
      <w:r w:rsidR="00250896">
        <w:rPr>
          <w:rFonts w:ascii="Arial" w:hAnsi="Arial" w:cs="Arial"/>
        </w:rPr>
        <w:t>When VGL fail</w:t>
      </w:r>
      <w:r w:rsidR="008B7B5C">
        <w:rPr>
          <w:rFonts w:ascii="Arial" w:hAnsi="Arial" w:cs="Arial"/>
        </w:rPr>
        <w:t>ed</w:t>
      </w:r>
      <w:r w:rsidR="00250896">
        <w:rPr>
          <w:rFonts w:ascii="Arial" w:hAnsi="Arial" w:cs="Arial"/>
        </w:rPr>
        <w:t xml:space="preserve">, </w:t>
      </w:r>
      <w:bookmarkStart w:id="6" w:name="_Hlk138492288"/>
      <w:r w:rsidR="00250896">
        <w:rPr>
          <w:rFonts w:ascii="Arial" w:hAnsi="Arial" w:cs="Arial"/>
        </w:rPr>
        <w:t xml:space="preserve">Standard Bank realised its security by selling the VGL-Barbrook claim to Arqomanzi </w:t>
      </w:r>
      <w:bookmarkEnd w:id="6"/>
      <w:r w:rsidR="00250896">
        <w:rPr>
          <w:rFonts w:ascii="Arial" w:hAnsi="Arial" w:cs="Arial"/>
        </w:rPr>
        <w:t xml:space="preserve">on 23 July 2020 (this agreement </w:t>
      </w:r>
      <w:r w:rsidR="008B7B5C">
        <w:rPr>
          <w:rFonts w:ascii="Arial" w:hAnsi="Arial" w:cs="Arial"/>
        </w:rPr>
        <w:t>came to be</w:t>
      </w:r>
      <w:r w:rsidR="00250896">
        <w:rPr>
          <w:rFonts w:ascii="Arial" w:hAnsi="Arial" w:cs="Arial"/>
        </w:rPr>
        <w:t xml:space="preserve"> described </w:t>
      </w:r>
      <w:r w:rsidR="00EC47A0">
        <w:rPr>
          <w:rFonts w:ascii="Arial" w:hAnsi="Arial" w:cs="Arial"/>
        </w:rPr>
        <w:t xml:space="preserve">in the papers </w:t>
      </w:r>
      <w:r w:rsidR="00250896">
        <w:rPr>
          <w:rFonts w:ascii="Arial" w:hAnsi="Arial" w:cs="Arial"/>
        </w:rPr>
        <w:t>as the ‘</w:t>
      </w:r>
      <w:r w:rsidR="008B7B5C">
        <w:rPr>
          <w:rFonts w:ascii="Arial" w:hAnsi="Arial" w:cs="Arial"/>
        </w:rPr>
        <w:t>a</w:t>
      </w:r>
      <w:r w:rsidR="00250896">
        <w:rPr>
          <w:rFonts w:ascii="Arial" w:hAnsi="Arial" w:cs="Arial"/>
        </w:rPr>
        <w:t>ddendum’</w:t>
      </w:r>
      <w:r w:rsidR="008B7B5C">
        <w:rPr>
          <w:rFonts w:ascii="Arial" w:hAnsi="Arial" w:cs="Arial"/>
        </w:rPr>
        <w:t>)</w:t>
      </w:r>
      <w:r w:rsidR="00250896">
        <w:rPr>
          <w:rFonts w:ascii="Arial" w:hAnsi="Arial" w:cs="Arial"/>
        </w:rPr>
        <w:t>.</w:t>
      </w:r>
    </w:p>
    <w:p w14:paraId="6D288C94" w14:textId="77777777" w:rsidR="00250896" w:rsidRDefault="00250896" w:rsidP="003E083F">
      <w:pPr>
        <w:spacing w:line="360" w:lineRule="auto"/>
        <w:jc w:val="both"/>
        <w:rPr>
          <w:rFonts w:ascii="Arial" w:hAnsi="Arial" w:cs="Arial"/>
        </w:rPr>
      </w:pPr>
    </w:p>
    <w:p w14:paraId="47A6003A" w14:textId="72162C79" w:rsidR="00250896" w:rsidRDefault="00691471" w:rsidP="003E083F">
      <w:pPr>
        <w:spacing w:line="360" w:lineRule="auto"/>
        <w:jc w:val="both"/>
        <w:rPr>
          <w:rFonts w:ascii="Arial" w:hAnsi="Arial" w:cs="Arial"/>
        </w:rPr>
      </w:pPr>
      <w:r>
        <w:rPr>
          <w:rFonts w:ascii="Arial" w:hAnsi="Arial" w:cs="Arial"/>
          <w:lang w:val="en-US"/>
        </w:rPr>
        <w:t>[</w:t>
      </w:r>
      <w:r w:rsidR="00EC47A0">
        <w:rPr>
          <w:rFonts w:ascii="Arial" w:hAnsi="Arial" w:cs="Arial"/>
          <w:lang w:val="en-US"/>
        </w:rPr>
        <w:t>8</w:t>
      </w:r>
      <w:r w:rsidRPr="00507C65">
        <w:rPr>
          <w:rFonts w:ascii="Arial" w:hAnsi="Arial" w:cs="Arial"/>
          <w:lang w:val="en-US"/>
        </w:rPr>
        <w:t>]</w:t>
      </w:r>
      <w:r>
        <w:rPr>
          <w:rFonts w:ascii="Arial" w:hAnsi="Arial" w:cs="Arial"/>
          <w:lang w:val="en-US"/>
        </w:rPr>
        <w:tab/>
      </w:r>
      <w:r w:rsidR="00250896">
        <w:rPr>
          <w:rFonts w:ascii="Arial" w:hAnsi="Arial" w:cs="Arial"/>
        </w:rPr>
        <w:t xml:space="preserve">On 20 January 2021, the BRPs intimated that the proposed amended business rescue plans for all of the Vantage Companies would be circulated shortly, after which a meeting would be convened to discuss and vote on the plans. A few days later, however, they informed Arqomanzi that they would no longer be publishing the </w:t>
      </w:r>
      <w:r w:rsidR="00250896">
        <w:rPr>
          <w:rFonts w:ascii="Arial" w:hAnsi="Arial" w:cs="Arial"/>
        </w:rPr>
        <w:lastRenderedPageBreak/>
        <w:t>proposed amended business rescue plans. They advised that they would instead act in accordance with the appellants</w:t>
      </w:r>
      <w:r w:rsidR="008B7B5C">
        <w:rPr>
          <w:rFonts w:ascii="Arial" w:hAnsi="Arial" w:cs="Arial"/>
        </w:rPr>
        <w:t>’</w:t>
      </w:r>
      <w:r w:rsidR="00250896">
        <w:rPr>
          <w:rFonts w:ascii="Arial" w:hAnsi="Arial" w:cs="Arial"/>
        </w:rPr>
        <w:t xml:space="preserve"> invitation to disregard the order of Roelofse AJ and unilaterally amend the adopted plans, which, in effect, involved replacing the original funders with new ones. </w:t>
      </w:r>
    </w:p>
    <w:p w14:paraId="466391A7" w14:textId="77777777" w:rsidR="00250896" w:rsidRDefault="00250896" w:rsidP="003E083F">
      <w:pPr>
        <w:spacing w:line="360" w:lineRule="auto"/>
        <w:jc w:val="both"/>
        <w:rPr>
          <w:rFonts w:ascii="Arial" w:hAnsi="Arial" w:cs="Arial"/>
        </w:rPr>
      </w:pPr>
    </w:p>
    <w:p w14:paraId="74D792AD" w14:textId="77777777" w:rsidR="00250896" w:rsidRDefault="000667A2" w:rsidP="003E083F">
      <w:pPr>
        <w:spacing w:line="360" w:lineRule="auto"/>
        <w:jc w:val="both"/>
        <w:rPr>
          <w:rFonts w:ascii="Arial" w:hAnsi="Arial" w:cs="Arial"/>
        </w:rPr>
      </w:pPr>
      <w:r w:rsidRPr="00507C65">
        <w:rPr>
          <w:rFonts w:ascii="Arial" w:hAnsi="Arial" w:cs="Arial"/>
          <w:lang w:val="en-US"/>
        </w:rPr>
        <w:t>[</w:t>
      </w:r>
      <w:r w:rsidR="00EC47A0">
        <w:rPr>
          <w:rFonts w:ascii="Arial" w:hAnsi="Arial" w:cs="Arial"/>
          <w:lang w:val="en-US"/>
        </w:rPr>
        <w:t>9</w:t>
      </w:r>
      <w:r w:rsidRPr="00507C65">
        <w:rPr>
          <w:rFonts w:ascii="Arial" w:hAnsi="Arial" w:cs="Arial"/>
          <w:lang w:val="en-US"/>
        </w:rPr>
        <w:t>]</w:t>
      </w:r>
      <w:r>
        <w:rPr>
          <w:rFonts w:ascii="Arial" w:hAnsi="Arial" w:cs="Arial"/>
          <w:lang w:val="en-US"/>
        </w:rPr>
        <w:tab/>
      </w:r>
      <w:r w:rsidR="00EC47A0">
        <w:rPr>
          <w:rFonts w:ascii="Arial" w:hAnsi="Arial" w:cs="Arial"/>
          <w:lang w:val="en-US"/>
        </w:rPr>
        <w:t xml:space="preserve">Consequently, </w:t>
      </w:r>
      <w:r w:rsidR="00EC47A0">
        <w:rPr>
          <w:rFonts w:ascii="Arial" w:hAnsi="Arial" w:cs="Arial"/>
        </w:rPr>
        <w:t>o</w:t>
      </w:r>
      <w:r w:rsidR="00250896">
        <w:rPr>
          <w:rFonts w:ascii="Arial" w:hAnsi="Arial" w:cs="Arial"/>
        </w:rPr>
        <w:t>n 16 February 2021, Arqomanzi launched urgent proceedings</w:t>
      </w:r>
      <w:r w:rsidR="00F74F5A">
        <w:rPr>
          <w:rFonts w:ascii="Arial" w:hAnsi="Arial" w:cs="Arial"/>
        </w:rPr>
        <w:t xml:space="preserve"> in the high court to stop the implementation of the amended plans (the second application). Greyling-Coetzer AJ issued a rule </w:t>
      </w:r>
      <w:r w:rsidR="00F74F5A" w:rsidRPr="00916383">
        <w:rPr>
          <w:rFonts w:ascii="Arial" w:hAnsi="Arial" w:cs="Arial"/>
          <w:i/>
        </w:rPr>
        <w:t>nisi</w:t>
      </w:r>
      <w:r w:rsidR="00F74F5A">
        <w:rPr>
          <w:rFonts w:ascii="Arial" w:hAnsi="Arial" w:cs="Arial"/>
        </w:rPr>
        <w:t xml:space="preserve"> interdicting the BRPs from implementing the amended plans. The rule was confirmed by Legodi JP on the return day, who found that the BRPs could not unilaterally amend the adopted plans. On appeal, this Court made the following key findings: (i) the adopted plans could not be implemented because of a lack of funding; (ii) a cl</w:t>
      </w:r>
      <w:r w:rsidR="00313C26">
        <w:rPr>
          <w:rFonts w:ascii="Arial" w:hAnsi="Arial" w:cs="Arial"/>
        </w:rPr>
        <w:t>au</w:t>
      </w:r>
      <w:r w:rsidR="00F74F5A">
        <w:rPr>
          <w:rFonts w:ascii="Arial" w:hAnsi="Arial" w:cs="Arial"/>
        </w:rPr>
        <w:t>se in a business rescue plan that provides for the unilateral amendment of the plan by the BRPs is contrary to th</w:t>
      </w:r>
      <w:r>
        <w:rPr>
          <w:rFonts w:ascii="Arial" w:hAnsi="Arial" w:cs="Arial"/>
        </w:rPr>
        <w:t xml:space="preserve">e scheme of the Companies Act </w:t>
      </w:r>
      <w:r w:rsidR="004D42D6">
        <w:rPr>
          <w:rFonts w:ascii="Arial" w:hAnsi="Arial" w:cs="Arial"/>
        </w:rPr>
        <w:t xml:space="preserve">71 0f 2008 (the Companies Act) </w:t>
      </w:r>
      <w:r>
        <w:rPr>
          <w:rFonts w:ascii="Arial" w:hAnsi="Arial" w:cs="Arial"/>
        </w:rPr>
        <w:t>– a</w:t>
      </w:r>
      <w:r w:rsidR="00F74F5A">
        <w:rPr>
          <w:rFonts w:ascii="Arial" w:hAnsi="Arial" w:cs="Arial"/>
        </w:rPr>
        <w:t>t best, such a cl</w:t>
      </w:r>
      <w:r w:rsidR="008B7B5C">
        <w:rPr>
          <w:rFonts w:ascii="Arial" w:hAnsi="Arial" w:cs="Arial"/>
        </w:rPr>
        <w:t>au</w:t>
      </w:r>
      <w:r w:rsidR="00F74F5A">
        <w:rPr>
          <w:rFonts w:ascii="Arial" w:hAnsi="Arial" w:cs="Arial"/>
        </w:rPr>
        <w:t>se would only allow for amendments of</w:t>
      </w:r>
      <w:r w:rsidR="008B7B5C">
        <w:rPr>
          <w:rFonts w:ascii="Arial" w:hAnsi="Arial" w:cs="Arial"/>
        </w:rPr>
        <w:t xml:space="preserve"> an</w:t>
      </w:r>
      <w:r w:rsidR="00F74F5A">
        <w:rPr>
          <w:rFonts w:ascii="Arial" w:hAnsi="Arial" w:cs="Arial"/>
        </w:rPr>
        <w:t xml:space="preserve"> administrative nature that do not affect its substance; (iii) the replacement of the fund</w:t>
      </w:r>
      <w:r w:rsidR="008B7B5C">
        <w:rPr>
          <w:rFonts w:ascii="Arial" w:hAnsi="Arial" w:cs="Arial"/>
        </w:rPr>
        <w:t>ers</w:t>
      </w:r>
      <w:r w:rsidR="00F74F5A">
        <w:rPr>
          <w:rFonts w:ascii="Arial" w:hAnsi="Arial" w:cs="Arial"/>
        </w:rPr>
        <w:t xml:space="preserve"> and </w:t>
      </w:r>
      <w:r w:rsidR="008B7B5C">
        <w:rPr>
          <w:rFonts w:ascii="Arial" w:hAnsi="Arial" w:cs="Arial"/>
        </w:rPr>
        <w:t xml:space="preserve">the </w:t>
      </w:r>
      <w:r w:rsidR="00F74F5A">
        <w:rPr>
          <w:rFonts w:ascii="Arial" w:hAnsi="Arial" w:cs="Arial"/>
        </w:rPr>
        <w:t>funding model was not merely an administrative amendment</w:t>
      </w:r>
      <w:r w:rsidR="008B7B5C">
        <w:rPr>
          <w:rFonts w:ascii="Arial" w:hAnsi="Arial" w:cs="Arial"/>
        </w:rPr>
        <w:t>,</w:t>
      </w:r>
      <w:r w:rsidR="00F74F5A">
        <w:rPr>
          <w:rFonts w:ascii="Arial" w:hAnsi="Arial" w:cs="Arial"/>
        </w:rPr>
        <w:t xml:space="preserve"> it was central to the plans; and, (iv) the BRPs were not entitled to amend the adopted plans in the manner that they did.</w:t>
      </w:r>
      <w:r w:rsidR="00EC47A0">
        <w:rPr>
          <w:rStyle w:val="FootnoteReference"/>
          <w:rFonts w:ascii="Arial" w:hAnsi="Arial" w:cs="Arial"/>
        </w:rPr>
        <w:footnoteReference w:id="2"/>
      </w:r>
    </w:p>
    <w:p w14:paraId="0D22DCFA" w14:textId="77777777" w:rsidR="00F74F5A" w:rsidRDefault="00F74F5A" w:rsidP="003E083F">
      <w:pPr>
        <w:spacing w:line="360" w:lineRule="auto"/>
        <w:jc w:val="both"/>
        <w:rPr>
          <w:rFonts w:ascii="Arial" w:hAnsi="Arial" w:cs="Arial"/>
        </w:rPr>
      </w:pPr>
    </w:p>
    <w:p w14:paraId="0D842C7A" w14:textId="15F3512F" w:rsidR="0041361C" w:rsidRDefault="000667A2" w:rsidP="003E083F">
      <w:pPr>
        <w:spacing w:line="360" w:lineRule="auto"/>
        <w:jc w:val="both"/>
        <w:rPr>
          <w:rFonts w:ascii="Arial" w:hAnsi="Arial" w:cs="Arial"/>
        </w:rPr>
      </w:pPr>
      <w:r w:rsidRPr="00507C65">
        <w:rPr>
          <w:rFonts w:ascii="Arial" w:hAnsi="Arial" w:cs="Arial"/>
          <w:lang w:val="en-US"/>
        </w:rPr>
        <w:t>[1</w:t>
      </w:r>
      <w:r w:rsidR="00EC47A0">
        <w:rPr>
          <w:rFonts w:ascii="Arial" w:hAnsi="Arial" w:cs="Arial"/>
          <w:lang w:val="en-US"/>
        </w:rPr>
        <w:t>0</w:t>
      </w:r>
      <w:r w:rsidRPr="00507C65">
        <w:rPr>
          <w:rFonts w:ascii="Arial" w:hAnsi="Arial" w:cs="Arial"/>
          <w:lang w:val="en-US"/>
        </w:rPr>
        <w:t>]</w:t>
      </w:r>
      <w:r>
        <w:rPr>
          <w:rFonts w:ascii="Arial" w:hAnsi="Arial" w:cs="Arial"/>
          <w:lang w:val="en-US"/>
        </w:rPr>
        <w:tab/>
      </w:r>
      <w:bookmarkStart w:id="7" w:name="_Hlk138492716"/>
      <w:r w:rsidR="000A586D">
        <w:rPr>
          <w:rFonts w:ascii="Arial" w:hAnsi="Arial" w:cs="Arial"/>
          <w:lang w:val="en-US"/>
        </w:rPr>
        <w:t xml:space="preserve">Despite </w:t>
      </w:r>
      <w:r w:rsidR="000A586D">
        <w:rPr>
          <w:rFonts w:ascii="Arial" w:hAnsi="Arial" w:cs="Arial"/>
        </w:rPr>
        <w:t xml:space="preserve">Arqomanzi having paid </w:t>
      </w:r>
      <w:r w:rsidR="00F74F5A">
        <w:rPr>
          <w:rFonts w:ascii="Arial" w:hAnsi="Arial" w:cs="Arial"/>
        </w:rPr>
        <w:t xml:space="preserve">to </w:t>
      </w:r>
      <w:r w:rsidR="00533E73">
        <w:rPr>
          <w:rFonts w:ascii="Arial" w:hAnsi="Arial" w:cs="Arial"/>
        </w:rPr>
        <w:t>S</w:t>
      </w:r>
      <w:r w:rsidR="00F74F5A">
        <w:rPr>
          <w:rFonts w:ascii="Arial" w:hAnsi="Arial" w:cs="Arial"/>
        </w:rPr>
        <w:t>tandard Bank</w:t>
      </w:r>
      <w:r w:rsidR="00533E73">
        <w:rPr>
          <w:rFonts w:ascii="Arial" w:hAnsi="Arial" w:cs="Arial"/>
        </w:rPr>
        <w:t xml:space="preserve"> the purchase price for both the VGSA-VGL and VGL-Barbrook claims in the aggregate amount of R15 482</w:t>
      </w:r>
      <w:r>
        <w:rPr>
          <w:rFonts w:ascii="Arial" w:hAnsi="Arial" w:cs="Arial"/>
        </w:rPr>
        <w:t> </w:t>
      </w:r>
      <w:r w:rsidR="00533E73">
        <w:rPr>
          <w:rFonts w:ascii="Arial" w:hAnsi="Arial" w:cs="Arial"/>
        </w:rPr>
        <w:t>677</w:t>
      </w:r>
      <w:r w:rsidR="000A586D" w:rsidRPr="000A586D">
        <w:rPr>
          <w:rFonts w:ascii="Arial" w:hAnsi="Arial" w:cs="Arial"/>
        </w:rPr>
        <w:t xml:space="preserve"> </w:t>
      </w:r>
      <w:r w:rsidR="000A586D">
        <w:rPr>
          <w:rFonts w:ascii="Arial" w:hAnsi="Arial" w:cs="Arial"/>
        </w:rPr>
        <w:t xml:space="preserve">on 15 January 2021, </w:t>
      </w:r>
      <w:r w:rsidR="00533E73">
        <w:rPr>
          <w:rFonts w:ascii="Arial" w:hAnsi="Arial" w:cs="Arial"/>
        </w:rPr>
        <w:t xml:space="preserve">the appellants and the BRPs denied </w:t>
      </w:r>
      <w:r w:rsidR="00765C33" w:rsidRPr="00B73ED4">
        <w:rPr>
          <w:rFonts w:ascii="Arial" w:hAnsi="Arial" w:cs="Arial"/>
        </w:rPr>
        <w:t>in the second application</w:t>
      </w:r>
      <w:r w:rsidR="00765C33">
        <w:rPr>
          <w:rFonts w:ascii="Arial" w:hAnsi="Arial" w:cs="Arial"/>
        </w:rPr>
        <w:t xml:space="preserve"> </w:t>
      </w:r>
      <w:r w:rsidR="00533E73">
        <w:rPr>
          <w:rFonts w:ascii="Arial" w:hAnsi="Arial" w:cs="Arial"/>
        </w:rPr>
        <w:t>that Arqomanzi had lawfully acquired the VGL-Barbrook claim. They also contended that the loan account claims were fully subordinated under two subordination agreements dated 7 April 2015 and 23</w:t>
      </w:r>
      <w:r w:rsidR="00533E73">
        <w:rPr>
          <w:rFonts w:ascii="Arial" w:hAnsi="Arial" w:cs="Arial"/>
          <w:vertAlign w:val="superscript"/>
        </w:rPr>
        <w:t xml:space="preserve"> </w:t>
      </w:r>
      <w:r w:rsidR="00533E73">
        <w:rPr>
          <w:rFonts w:ascii="Arial" w:hAnsi="Arial" w:cs="Arial"/>
        </w:rPr>
        <w:t xml:space="preserve">February 2013. They further asserted that the Vantage proposal </w:t>
      </w:r>
      <w:r w:rsidR="008B7B5C">
        <w:rPr>
          <w:rFonts w:ascii="Arial" w:hAnsi="Arial" w:cs="Arial"/>
        </w:rPr>
        <w:t xml:space="preserve">(the Vantage proposal) </w:t>
      </w:r>
      <w:r w:rsidR="000A586D">
        <w:rPr>
          <w:rFonts w:ascii="Arial" w:hAnsi="Arial" w:cs="Arial"/>
        </w:rPr>
        <w:t>w</w:t>
      </w:r>
      <w:r w:rsidR="00533E73">
        <w:rPr>
          <w:rFonts w:ascii="Arial" w:hAnsi="Arial" w:cs="Arial"/>
        </w:rPr>
        <w:t>as superior to Arqomanzi’s</w:t>
      </w:r>
      <w:r w:rsidR="00D7440C">
        <w:rPr>
          <w:rFonts w:ascii="Arial" w:hAnsi="Arial" w:cs="Arial"/>
        </w:rPr>
        <w:t xml:space="preserve"> proposed amended business rescue plans because the former would not require </w:t>
      </w:r>
      <w:r w:rsidR="0041361C">
        <w:rPr>
          <w:rFonts w:ascii="Arial" w:hAnsi="Arial" w:cs="Arial"/>
        </w:rPr>
        <w:t xml:space="preserve">the </w:t>
      </w:r>
      <w:r w:rsidR="00D7440C">
        <w:rPr>
          <w:rFonts w:ascii="Arial" w:hAnsi="Arial" w:cs="Arial"/>
        </w:rPr>
        <w:t>consent</w:t>
      </w:r>
      <w:r w:rsidR="0041361C">
        <w:rPr>
          <w:rFonts w:ascii="Arial" w:hAnsi="Arial" w:cs="Arial"/>
        </w:rPr>
        <w:t xml:space="preserve"> of the eight respondent, the Minister of Mineral Resources and Energy (the Minister)</w:t>
      </w:r>
      <w:r w:rsidR="000A586D">
        <w:rPr>
          <w:rFonts w:ascii="Arial" w:hAnsi="Arial" w:cs="Arial"/>
        </w:rPr>
        <w:t>,</w:t>
      </w:r>
      <w:r w:rsidR="0041361C">
        <w:rPr>
          <w:rFonts w:ascii="Arial" w:hAnsi="Arial" w:cs="Arial"/>
        </w:rPr>
        <w:t xml:space="preserve"> under</w:t>
      </w:r>
      <w:r w:rsidR="00533E73">
        <w:rPr>
          <w:rFonts w:ascii="Arial" w:hAnsi="Arial" w:cs="Arial"/>
        </w:rPr>
        <w:t xml:space="preserve"> s</w:t>
      </w:r>
      <w:r w:rsidR="007363C5">
        <w:rPr>
          <w:rFonts w:ascii="Arial" w:hAnsi="Arial" w:cs="Arial"/>
        </w:rPr>
        <w:t xml:space="preserve"> </w:t>
      </w:r>
      <w:r w:rsidR="00533E73" w:rsidRPr="00F427E4">
        <w:rPr>
          <w:rFonts w:ascii="Arial" w:hAnsi="Arial" w:cs="Arial"/>
        </w:rPr>
        <w:t xml:space="preserve">11 of the Mineral and Petroleum Resources Development </w:t>
      </w:r>
      <w:r>
        <w:rPr>
          <w:rFonts w:ascii="Arial" w:hAnsi="Arial" w:cs="Arial"/>
        </w:rPr>
        <w:t xml:space="preserve">Act </w:t>
      </w:r>
      <w:r w:rsidR="00533E73" w:rsidRPr="00F427E4">
        <w:rPr>
          <w:rFonts w:ascii="Arial" w:hAnsi="Arial" w:cs="Arial"/>
        </w:rPr>
        <w:t>28 of 2002</w:t>
      </w:r>
      <w:r w:rsidR="00533E73">
        <w:rPr>
          <w:rFonts w:ascii="Arial" w:hAnsi="Arial" w:cs="Arial"/>
        </w:rPr>
        <w:t xml:space="preserve"> </w:t>
      </w:r>
      <w:r w:rsidR="00533E73" w:rsidRPr="00142A4D">
        <w:rPr>
          <w:rFonts w:ascii="Arial" w:hAnsi="Arial" w:cs="Arial"/>
        </w:rPr>
        <w:t>(MPRDA)</w:t>
      </w:r>
      <w:r w:rsidR="0041361C">
        <w:rPr>
          <w:rFonts w:ascii="Arial" w:hAnsi="Arial" w:cs="Arial"/>
        </w:rPr>
        <w:t xml:space="preserve">, whereas Arqomanzi’s amendment would. As the issues raised would impact on Arqomanzi’s voting </w:t>
      </w:r>
      <w:r w:rsidR="0041361C" w:rsidRPr="00B73ED4">
        <w:rPr>
          <w:rFonts w:ascii="Arial" w:hAnsi="Arial" w:cs="Arial"/>
        </w:rPr>
        <w:t>interest,</w:t>
      </w:r>
      <w:r w:rsidR="0041361C">
        <w:rPr>
          <w:rFonts w:ascii="Arial" w:hAnsi="Arial" w:cs="Arial"/>
        </w:rPr>
        <w:t xml:space="preserve"> when the new business rescue plans were to </w:t>
      </w:r>
      <w:r w:rsidR="0041361C">
        <w:rPr>
          <w:rFonts w:ascii="Arial" w:hAnsi="Arial" w:cs="Arial"/>
        </w:rPr>
        <w:lastRenderedPageBreak/>
        <w:t>be voted on, Arqomanzi launched a third application (the application the subject of this appeal).</w:t>
      </w:r>
    </w:p>
    <w:p w14:paraId="22AB0D01" w14:textId="77777777" w:rsidR="000A586D" w:rsidRDefault="000A586D" w:rsidP="003E083F">
      <w:pPr>
        <w:spacing w:line="360" w:lineRule="auto"/>
        <w:jc w:val="both"/>
        <w:rPr>
          <w:rFonts w:ascii="Arial" w:hAnsi="Arial" w:cs="Arial"/>
        </w:rPr>
      </w:pPr>
    </w:p>
    <w:p w14:paraId="171E9A2F" w14:textId="0B2F0775" w:rsidR="00591763" w:rsidRDefault="000667A2" w:rsidP="003E083F">
      <w:pPr>
        <w:spacing w:line="360" w:lineRule="auto"/>
        <w:jc w:val="both"/>
        <w:rPr>
          <w:rFonts w:ascii="Arial" w:hAnsi="Arial" w:cs="Arial"/>
        </w:rPr>
      </w:pPr>
      <w:r w:rsidRPr="00507C65">
        <w:rPr>
          <w:rFonts w:ascii="Arial" w:hAnsi="Arial" w:cs="Arial"/>
          <w:lang w:val="en-US"/>
        </w:rPr>
        <w:t>[1</w:t>
      </w:r>
      <w:r w:rsidR="000A586D">
        <w:rPr>
          <w:rFonts w:ascii="Arial" w:hAnsi="Arial" w:cs="Arial"/>
          <w:lang w:val="en-US"/>
        </w:rPr>
        <w:t>1</w:t>
      </w:r>
      <w:r w:rsidRPr="00507C65">
        <w:rPr>
          <w:rFonts w:ascii="Arial" w:hAnsi="Arial" w:cs="Arial"/>
          <w:lang w:val="en-US"/>
        </w:rPr>
        <w:t>]</w:t>
      </w:r>
      <w:r>
        <w:rPr>
          <w:rFonts w:ascii="Arial" w:hAnsi="Arial" w:cs="Arial"/>
          <w:lang w:val="en-US"/>
        </w:rPr>
        <w:tab/>
      </w:r>
      <w:r w:rsidR="0041361C">
        <w:rPr>
          <w:rFonts w:ascii="Arial" w:hAnsi="Arial" w:cs="Arial"/>
        </w:rPr>
        <w:t>Legodi JP found in Arqomanzi’s favour in the third application. In his judgment of 26 October 2021, the learned judge held: (i) the Vantage proposal cannot be implemented without</w:t>
      </w:r>
      <w:r w:rsidR="00533E73">
        <w:rPr>
          <w:rFonts w:ascii="Arial" w:hAnsi="Arial" w:cs="Arial"/>
        </w:rPr>
        <w:t xml:space="preserve"> </w:t>
      </w:r>
      <w:r w:rsidR="0041361C">
        <w:rPr>
          <w:rFonts w:ascii="Arial" w:hAnsi="Arial" w:cs="Arial"/>
        </w:rPr>
        <w:t xml:space="preserve">s 11 consent and the BRPs and appellants were interdicted from representing otherwise; (ii) </w:t>
      </w:r>
      <w:r w:rsidR="0090446B">
        <w:rPr>
          <w:rFonts w:ascii="Arial" w:hAnsi="Arial" w:cs="Arial"/>
        </w:rPr>
        <w:t>Standard Bank lawfully and validly ceded the VGL-Bar</w:t>
      </w:r>
      <w:r w:rsidR="000A586D">
        <w:rPr>
          <w:rFonts w:ascii="Arial" w:hAnsi="Arial" w:cs="Arial"/>
        </w:rPr>
        <w:t>b</w:t>
      </w:r>
      <w:r w:rsidR="0090446B">
        <w:rPr>
          <w:rFonts w:ascii="Arial" w:hAnsi="Arial" w:cs="Arial"/>
        </w:rPr>
        <w:t>rook claim to Arqomanzi and the l</w:t>
      </w:r>
      <w:r w:rsidR="008B7B5C">
        <w:rPr>
          <w:rFonts w:ascii="Arial" w:hAnsi="Arial" w:cs="Arial"/>
        </w:rPr>
        <w:t>a</w:t>
      </w:r>
      <w:r w:rsidR="0090446B">
        <w:rPr>
          <w:rFonts w:ascii="Arial" w:hAnsi="Arial" w:cs="Arial"/>
        </w:rPr>
        <w:t>tter is an independent creditor of Barbrook; (iii) the subordination agreement of 7 April 2015 in respect of the VGSA-VGL claim</w:t>
      </w:r>
      <w:r w:rsidR="000A586D">
        <w:rPr>
          <w:rFonts w:ascii="Arial" w:hAnsi="Arial" w:cs="Arial"/>
        </w:rPr>
        <w:t>,</w:t>
      </w:r>
      <w:r w:rsidR="0090446B">
        <w:rPr>
          <w:rFonts w:ascii="Arial" w:hAnsi="Arial" w:cs="Arial"/>
        </w:rPr>
        <w:t xml:space="preserve"> subordinated only R14 million of the claim in favour of VGL’s creditors; and, (iv) the subordination agreement of 27 February 2013 in respect of the V</w:t>
      </w:r>
      <w:r>
        <w:rPr>
          <w:rFonts w:ascii="Arial" w:hAnsi="Arial" w:cs="Arial"/>
        </w:rPr>
        <w:t>GL-Barbrook</w:t>
      </w:r>
      <w:r w:rsidR="000A586D">
        <w:rPr>
          <w:rFonts w:ascii="Arial" w:hAnsi="Arial" w:cs="Arial"/>
        </w:rPr>
        <w:t xml:space="preserve"> claim,</w:t>
      </w:r>
      <w:r>
        <w:rPr>
          <w:rFonts w:ascii="Arial" w:hAnsi="Arial" w:cs="Arial"/>
        </w:rPr>
        <w:t xml:space="preserve"> subordinated only R</w:t>
      </w:r>
      <w:r w:rsidR="0090446B">
        <w:rPr>
          <w:rFonts w:ascii="Arial" w:hAnsi="Arial" w:cs="Arial"/>
        </w:rPr>
        <w:t>17 million of the claim in favour of Barbrook’s creditors. The appeal against these orders is with the leave of the high court.</w:t>
      </w:r>
    </w:p>
    <w:p w14:paraId="0C0DC71B" w14:textId="77777777" w:rsidR="0090446B" w:rsidRDefault="0090446B" w:rsidP="003E083F">
      <w:pPr>
        <w:spacing w:line="360" w:lineRule="auto"/>
        <w:jc w:val="both"/>
        <w:rPr>
          <w:rFonts w:ascii="Arial" w:hAnsi="Arial" w:cs="Arial"/>
        </w:rPr>
      </w:pPr>
    </w:p>
    <w:bookmarkEnd w:id="7"/>
    <w:p w14:paraId="079C1BF9" w14:textId="7F2FC38C" w:rsidR="0090446B" w:rsidRDefault="000667A2" w:rsidP="003E083F">
      <w:pPr>
        <w:spacing w:line="360" w:lineRule="auto"/>
        <w:jc w:val="both"/>
        <w:rPr>
          <w:rFonts w:ascii="Arial" w:hAnsi="Arial" w:cs="Arial"/>
        </w:rPr>
      </w:pPr>
      <w:r w:rsidRPr="00507C65">
        <w:rPr>
          <w:rFonts w:ascii="Arial" w:hAnsi="Arial" w:cs="Arial"/>
          <w:lang w:val="en-US"/>
        </w:rPr>
        <w:t>[1</w:t>
      </w:r>
      <w:r w:rsidR="000A586D">
        <w:rPr>
          <w:rFonts w:ascii="Arial" w:hAnsi="Arial" w:cs="Arial"/>
          <w:lang w:val="en-US"/>
        </w:rPr>
        <w:t>2</w:t>
      </w:r>
      <w:r w:rsidRPr="00507C65">
        <w:rPr>
          <w:rFonts w:ascii="Arial" w:hAnsi="Arial" w:cs="Arial"/>
          <w:lang w:val="en-US"/>
        </w:rPr>
        <w:t>]</w:t>
      </w:r>
      <w:r>
        <w:rPr>
          <w:rFonts w:ascii="Arial" w:hAnsi="Arial" w:cs="Arial"/>
          <w:lang w:val="en-US"/>
        </w:rPr>
        <w:tab/>
      </w:r>
      <w:r w:rsidR="00B54F93">
        <w:rPr>
          <w:rFonts w:ascii="Arial" w:hAnsi="Arial" w:cs="Arial"/>
        </w:rPr>
        <w:t xml:space="preserve">The following issues arise in the </w:t>
      </w:r>
      <w:r w:rsidR="00B54F93" w:rsidRPr="002C11E2">
        <w:rPr>
          <w:rFonts w:ascii="Arial" w:hAnsi="Arial" w:cs="Arial"/>
        </w:rPr>
        <w:t xml:space="preserve">appeal: </w:t>
      </w:r>
      <w:r w:rsidR="007363C5" w:rsidRPr="002C11E2">
        <w:rPr>
          <w:rFonts w:ascii="Arial" w:hAnsi="Arial" w:cs="Arial"/>
        </w:rPr>
        <w:t>F</w:t>
      </w:r>
      <w:r w:rsidR="00B54F93" w:rsidRPr="002C11E2">
        <w:rPr>
          <w:rFonts w:ascii="Arial" w:hAnsi="Arial" w:cs="Arial"/>
        </w:rPr>
        <w:t>irst,</w:t>
      </w:r>
      <w:r w:rsidR="00B54F93">
        <w:rPr>
          <w:rFonts w:ascii="Arial" w:hAnsi="Arial" w:cs="Arial"/>
        </w:rPr>
        <w:t xml:space="preserve"> whether </w:t>
      </w:r>
      <w:r w:rsidR="004F4BAF">
        <w:rPr>
          <w:rFonts w:ascii="Arial" w:hAnsi="Arial" w:cs="Arial"/>
        </w:rPr>
        <w:t>the</w:t>
      </w:r>
      <w:r w:rsidR="00B54F93">
        <w:rPr>
          <w:rFonts w:ascii="Arial" w:hAnsi="Arial" w:cs="Arial"/>
        </w:rPr>
        <w:t xml:space="preserve"> affected persons (as defined in s 128(1)</w:t>
      </w:r>
      <w:r w:rsidR="00B54F93" w:rsidRPr="000667A2">
        <w:rPr>
          <w:rFonts w:ascii="Arial" w:hAnsi="Arial" w:cs="Arial"/>
          <w:i/>
        </w:rPr>
        <w:t>(a)</w:t>
      </w:r>
      <w:r w:rsidR="00B54F93">
        <w:rPr>
          <w:rFonts w:ascii="Arial" w:hAnsi="Arial" w:cs="Arial"/>
        </w:rPr>
        <w:t xml:space="preserve"> of the Companies Act 71 of 2008)</w:t>
      </w:r>
      <w:r w:rsidR="00B54F93">
        <w:rPr>
          <w:rStyle w:val="FootnoteReference"/>
          <w:rFonts w:ascii="Arial" w:hAnsi="Arial" w:cs="Arial"/>
        </w:rPr>
        <w:footnoteReference w:id="3"/>
      </w:r>
      <w:r w:rsidR="00E31F8D">
        <w:rPr>
          <w:rFonts w:ascii="Arial" w:hAnsi="Arial" w:cs="Arial"/>
        </w:rPr>
        <w:t xml:space="preserve"> should be joined as parties to the appeal. Second, whether </w:t>
      </w:r>
      <w:r w:rsidR="00990293">
        <w:rPr>
          <w:rFonts w:ascii="Arial" w:hAnsi="Arial" w:cs="Arial"/>
        </w:rPr>
        <w:t>Arqomanzi</w:t>
      </w:r>
      <w:r w:rsidR="00E31F8D">
        <w:rPr>
          <w:rFonts w:ascii="Arial" w:hAnsi="Arial" w:cs="Arial"/>
        </w:rPr>
        <w:t xml:space="preserve"> </w:t>
      </w:r>
      <w:r w:rsidR="00990293">
        <w:rPr>
          <w:rFonts w:ascii="Arial" w:hAnsi="Arial" w:cs="Arial"/>
        </w:rPr>
        <w:t xml:space="preserve">had </w:t>
      </w:r>
      <w:r w:rsidR="00E31F8D">
        <w:rPr>
          <w:rFonts w:ascii="Arial" w:hAnsi="Arial" w:cs="Arial"/>
        </w:rPr>
        <w:t xml:space="preserve">validly and lawfully </w:t>
      </w:r>
      <w:r w:rsidR="00990293">
        <w:rPr>
          <w:rFonts w:ascii="Arial" w:hAnsi="Arial" w:cs="Arial"/>
        </w:rPr>
        <w:t>acquired</w:t>
      </w:r>
      <w:r w:rsidR="00E31F8D">
        <w:rPr>
          <w:rFonts w:ascii="Arial" w:hAnsi="Arial" w:cs="Arial"/>
        </w:rPr>
        <w:t xml:space="preserve"> the loan account claims</w:t>
      </w:r>
      <w:r w:rsidR="0022148A">
        <w:rPr>
          <w:rFonts w:ascii="Arial" w:hAnsi="Arial" w:cs="Arial"/>
        </w:rPr>
        <w:t xml:space="preserve"> that</w:t>
      </w:r>
      <w:r w:rsidR="00E31F8D">
        <w:rPr>
          <w:rFonts w:ascii="Arial" w:hAnsi="Arial" w:cs="Arial"/>
        </w:rPr>
        <w:t xml:space="preserve"> had initially been ceded to </w:t>
      </w:r>
      <w:r w:rsidR="00990293">
        <w:rPr>
          <w:rFonts w:ascii="Arial" w:hAnsi="Arial" w:cs="Arial"/>
        </w:rPr>
        <w:t>Standard Bank</w:t>
      </w:r>
      <w:r w:rsidR="00E31F8D">
        <w:rPr>
          <w:rFonts w:ascii="Arial" w:hAnsi="Arial" w:cs="Arial"/>
        </w:rPr>
        <w:t xml:space="preserve"> </w:t>
      </w:r>
      <w:r w:rsidR="00E31F8D" w:rsidRPr="00E31F8D">
        <w:rPr>
          <w:rFonts w:ascii="Arial" w:hAnsi="Arial" w:cs="Arial"/>
          <w:i/>
          <w:iCs/>
        </w:rPr>
        <w:t>in securitatem debiti</w:t>
      </w:r>
      <w:r w:rsidR="00E31F8D">
        <w:rPr>
          <w:rFonts w:ascii="Arial" w:hAnsi="Arial" w:cs="Arial"/>
        </w:rPr>
        <w:t>. Third, whe</w:t>
      </w:r>
      <w:r w:rsidR="0022148A">
        <w:rPr>
          <w:rFonts w:ascii="Arial" w:hAnsi="Arial" w:cs="Arial"/>
        </w:rPr>
        <w:t>ther</w:t>
      </w:r>
      <w:r w:rsidR="00E31F8D">
        <w:rPr>
          <w:rFonts w:ascii="Arial" w:hAnsi="Arial" w:cs="Arial"/>
        </w:rPr>
        <w:t xml:space="preserve"> Arqomanzi is an independent creditor of VGL and Barbrook. Fourth, whether</w:t>
      </w:r>
      <w:r w:rsidR="0022148A">
        <w:rPr>
          <w:rFonts w:ascii="Arial" w:hAnsi="Arial" w:cs="Arial"/>
        </w:rPr>
        <w:t xml:space="preserve">, by virtue of </w:t>
      </w:r>
      <w:r w:rsidR="000A586D">
        <w:rPr>
          <w:rFonts w:ascii="Arial" w:hAnsi="Arial" w:cs="Arial"/>
        </w:rPr>
        <w:t xml:space="preserve">the </w:t>
      </w:r>
      <w:r w:rsidR="0022148A">
        <w:rPr>
          <w:rFonts w:ascii="Arial" w:hAnsi="Arial" w:cs="Arial"/>
        </w:rPr>
        <w:t>two subordination agreements, Arqomani has a voting interest in the Vantage Companies</w:t>
      </w:r>
      <w:r w:rsidR="00E31F8D">
        <w:rPr>
          <w:rFonts w:ascii="Arial" w:hAnsi="Arial" w:cs="Arial"/>
        </w:rPr>
        <w:t>. Fifth, whether MIMCO’s and Barbrook’s mining rights can be exercised without the consent of the Minister under s 11 of the MPRDA</w:t>
      </w:r>
      <w:r w:rsidR="009D57CB">
        <w:rPr>
          <w:rFonts w:ascii="Arial" w:hAnsi="Arial" w:cs="Arial"/>
        </w:rPr>
        <w:t>, in circumstances where there has been a change of control in the ultimate holding company of the Vantage</w:t>
      </w:r>
      <w:r w:rsidR="00524271">
        <w:rPr>
          <w:rFonts w:ascii="Arial" w:hAnsi="Arial" w:cs="Arial"/>
        </w:rPr>
        <w:t xml:space="preserve"> </w:t>
      </w:r>
      <w:r w:rsidR="009D57CB">
        <w:rPr>
          <w:rFonts w:ascii="Arial" w:hAnsi="Arial" w:cs="Arial"/>
        </w:rPr>
        <w:t>Group.</w:t>
      </w:r>
    </w:p>
    <w:p w14:paraId="0AE9C5AD" w14:textId="77777777" w:rsidR="009D57CB" w:rsidRDefault="009D57CB" w:rsidP="003E083F">
      <w:pPr>
        <w:spacing w:line="360" w:lineRule="auto"/>
        <w:jc w:val="both"/>
        <w:rPr>
          <w:rFonts w:ascii="Arial" w:hAnsi="Arial" w:cs="Arial"/>
        </w:rPr>
      </w:pPr>
    </w:p>
    <w:p w14:paraId="45512363" w14:textId="77777777" w:rsidR="009D57CB" w:rsidRDefault="009D57CB" w:rsidP="003E083F">
      <w:pPr>
        <w:spacing w:line="360" w:lineRule="auto"/>
        <w:jc w:val="both"/>
        <w:rPr>
          <w:rFonts w:ascii="Arial" w:hAnsi="Arial" w:cs="Arial"/>
          <w:b/>
          <w:bCs/>
        </w:rPr>
      </w:pPr>
      <w:r>
        <w:rPr>
          <w:rFonts w:ascii="Arial" w:hAnsi="Arial" w:cs="Arial"/>
          <w:b/>
          <w:bCs/>
        </w:rPr>
        <w:t>Non-joinder</w:t>
      </w:r>
    </w:p>
    <w:p w14:paraId="54C766E1" w14:textId="1FE0ED63" w:rsidR="009D57CB" w:rsidRDefault="000667A2" w:rsidP="003E083F">
      <w:pPr>
        <w:spacing w:line="360" w:lineRule="auto"/>
        <w:jc w:val="both"/>
        <w:rPr>
          <w:rFonts w:ascii="Arial" w:hAnsi="Arial" w:cs="Arial"/>
        </w:rPr>
      </w:pPr>
      <w:r w:rsidRPr="00507C65">
        <w:rPr>
          <w:rFonts w:ascii="Arial" w:hAnsi="Arial" w:cs="Arial"/>
          <w:lang w:val="en-US"/>
        </w:rPr>
        <w:t>[1</w:t>
      </w:r>
      <w:r w:rsidR="000A586D">
        <w:rPr>
          <w:rFonts w:ascii="Arial" w:hAnsi="Arial" w:cs="Arial"/>
          <w:lang w:val="en-US"/>
        </w:rPr>
        <w:t>3</w:t>
      </w:r>
      <w:r w:rsidRPr="00507C65">
        <w:rPr>
          <w:rFonts w:ascii="Arial" w:hAnsi="Arial" w:cs="Arial"/>
          <w:lang w:val="en-US"/>
        </w:rPr>
        <w:t>]</w:t>
      </w:r>
      <w:r>
        <w:rPr>
          <w:rFonts w:ascii="Arial" w:hAnsi="Arial" w:cs="Arial"/>
          <w:lang w:val="en-US"/>
        </w:rPr>
        <w:tab/>
      </w:r>
      <w:r w:rsidR="009D57CB">
        <w:rPr>
          <w:rFonts w:ascii="Arial" w:hAnsi="Arial" w:cs="Arial"/>
        </w:rPr>
        <w:t xml:space="preserve">The appellants appear not to have raised the issue of the non-joinder of affected persons before the high court, consequently that court did not address the issue in its judgment. Nor, </w:t>
      </w:r>
      <w:r w:rsidR="00524271">
        <w:rPr>
          <w:rFonts w:ascii="Arial" w:hAnsi="Arial" w:cs="Arial"/>
        </w:rPr>
        <w:t>does</w:t>
      </w:r>
      <w:r w:rsidR="009D57CB">
        <w:rPr>
          <w:rFonts w:ascii="Arial" w:hAnsi="Arial" w:cs="Arial"/>
        </w:rPr>
        <w:t xml:space="preserve"> it seem that the issue was raised when the application for leave to appeal was argued</w:t>
      </w:r>
      <w:r w:rsidR="00524271">
        <w:rPr>
          <w:rFonts w:ascii="Arial" w:hAnsi="Arial" w:cs="Arial"/>
        </w:rPr>
        <w:t xml:space="preserve"> before the high court</w:t>
      </w:r>
      <w:r w:rsidR="009D57CB">
        <w:rPr>
          <w:rFonts w:ascii="Arial" w:hAnsi="Arial" w:cs="Arial"/>
        </w:rPr>
        <w:t>.</w:t>
      </w:r>
    </w:p>
    <w:p w14:paraId="00C29E62" w14:textId="42243F37" w:rsidR="009D57CB" w:rsidRDefault="00DF7B8A" w:rsidP="003E083F">
      <w:pPr>
        <w:spacing w:line="360" w:lineRule="auto"/>
        <w:jc w:val="both"/>
        <w:rPr>
          <w:rFonts w:ascii="Arial" w:hAnsi="Arial" w:cs="Arial"/>
        </w:rPr>
      </w:pPr>
      <w:r w:rsidRPr="00B73ED4">
        <w:rPr>
          <w:rFonts w:ascii="Arial" w:hAnsi="Arial" w:cs="Arial"/>
          <w:lang w:val="en-US"/>
        </w:rPr>
        <w:lastRenderedPageBreak/>
        <w:t>[1</w:t>
      </w:r>
      <w:r w:rsidR="000A586D" w:rsidRPr="00B73ED4">
        <w:rPr>
          <w:rFonts w:ascii="Arial" w:hAnsi="Arial" w:cs="Arial"/>
          <w:lang w:val="en-US"/>
        </w:rPr>
        <w:t>4</w:t>
      </w:r>
      <w:r w:rsidRPr="00B73ED4">
        <w:rPr>
          <w:rFonts w:ascii="Arial" w:hAnsi="Arial" w:cs="Arial"/>
          <w:lang w:val="en-US"/>
        </w:rPr>
        <w:t>]</w:t>
      </w:r>
      <w:r w:rsidRPr="004D42D6">
        <w:rPr>
          <w:rFonts w:ascii="Arial" w:hAnsi="Arial" w:cs="Arial"/>
          <w:lang w:val="en-US"/>
        </w:rPr>
        <w:tab/>
      </w:r>
      <w:r w:rsidR="004D42D6" w:rsidRPr="004D42D6">
        <w:rPr>
          <w:rFonts w:ascii="Arial" w:hAnsi="Arial" w:cs="Arial"/>
          <w:color w:val="000000"/>
          <w:shd w:val="clear" w:color="auto" w:fill="FFFFFF"/>
        </w:rPr>
        <w:t>Joinder depends ‘on the manner in which, and the extent to which, the Court’s order may affect the interests of third parties’.</w:t>
      </w:r>
      <w:r w:rsidR="004D42D6" w:rsidRPr="004D42D6">
        <w:rPr>
          <w:rStyle w:val="FootnoteReference"/>
          <w:rFonts w:ascii="Arial" w:hAnsi="Arial" w:cs="Arial"/>
          <w:color w:val="000000"/>
          <w:shd w:val="clear" w:color="auto" w:fill="FFFFFF"/>
        </w:rPr>
        <w:footnoteReference w:id="4"/>
      </w:r>
      <w:r w:rsidR="004D42D6">
        <w:rPr>
          <w:rFonts w:ascii="Arial" w:hAnsi="Arial" w:cs="Arial"/>
        </w:rPr>
        <w:t xml:space="preserve"> </w:t>
      </w:r>
      <w:r w:rsidR="009D57CB" w:rsidRPr="004D42D6">
        <w:rPr>
          <w:rFonts w:ascii="Arial" w:hAnsi="Arial" w:cs="Arial"/>
        </w:rPr>
        <w:t>In the first</w:t>
      </w:r>
      <w:r w:rsidR="00D03155" w:rsidRPr="004D42D6">
        <w:rPr>
          <w:rFonts w:ascii="Arial" w:hAnsi="Arial" w:cs="Arial"/>
        </w:rPr>
        <w:t xml:space="preserve"> instance,</w:t>
      </w:r>
      <w:r w:rsidR="009D57CB" w:rsidRPr="004D42D6">
        <w:rPr>
          <w:rFonts w:ascii="Arial" w:hAnsi="Arial" w:cs="Arial"/>
        </w:rPr>
        <w:t xml:space="preserve"> Arqomanzi sought</w:t>
      </w:r>
      <w:r w:rsidR="00524271" w:rsidRPr="004D42D6">
        <w:rPr>
          <w:rFonts w:ascii="Arial" w:hAnsi="Arial" w:cs="Arial"/>
        </w:rPr>
        <w:t xml:space="preserve"> </w:t>
      </w:r>
      <w:r w:rsidR="009D57CB">
        <w:rPr>
          <w:rFonts w:ascii="Arial" w:hAnsi="Arial" w:cs="Arial"/>
        </w:rPr>
        <w:t xml:space="preserve">an order declaring that the mining rights owned by MIMCO and Barbrook cannot be exercised under the Vantage proposal without s 11 consent and an interdict prohibiting the appellants and the BRPs from contending otherwise. </w:t>
      </w:r>
      <w:r w:rsidR="009D57CB" w:rsidRPr="002C11E2">
        <w:rPr>
          <w:rFonts w:ascii="Arial" w:hAnsi="Arial" w:cs="Arial"/>
        </w:rPr>
        <w:t xml:space="preserve">The relief </w:t>
      </w:r>
      <w:r w:rsidR="008F05FC" w:rsidRPr="002C11E2">
        <w:rPr>
          <w:rFonts w:ascii="Arial" w:hAnsi="Arial" w:cs="Arial"/>
        </w:rPr>
        <w:t>sought</w:t>
      </w:r>
      <w:r w:rsidR="008F05FC">
        <w:rPr>
          <w:rFonts w:ascii="Arial" w:hAnsi="Arial" w:cs="Arial"/>
        </w:rPr>
        <w:t xml:space="preserve"> </w:t>
      </w:r>
      <w:r w:rsidR="009D57CB">
        <w:rPr>
          <w:rFonts w:ascii="Arial" w:hAnsi="Arial" w:cs="Arial"/>
        </w:rPr>
        <w:t xml:space="preserve">was necessary because it </w:t>
      </w:r>
      <w:r w:rsidR="00B64595">
        <w:rPr>
          <w:rFonts w:ascii="Arial" w:hAnsi="Arial" w:cs="Arial"/>
        </w:rPr>
        <w:t>had been</w:t>
      </w:r>
      <w:r w:rsidR="009D57CB">
        <w:rPr>
          <w:rFonts w:ascii="Arial" w:hAnsi="Arial" w:cs="Arial"/>
        </w:rPr>
        <w:t xml:space="preserve"> contended, on the strength of th</w:t>
      </w:r>
      <w:r w:rsidR="00524271">
        <w:rPr>
          <w:rFonts w:ascii="Arial" w:hAnsi="Arial" w:cs="Arial"/>
        </w:rPr>
        <w:t>e</w:t>
      </w:r>
      <w:r w:rsidR="009D57CB">
        <w:rPr>
          <w:rFonts w:ascii="Arial" w:hAnsi="Arial" w:cs="Arial"/>
        </w:rPr>
        <w:t xml:space="preserve"> representation</w:t>
      </w:r>
      <w:r w:rsidR="00524271">
        <w:rPr>
          <w:rFonts w:ascii="Arial" w:hAnsi="Arial" w:cs="Arial"/>
        </w:rPr>
        <w:t xml:space="preserve"> that s 11 </w:t>
      </w:r>
      <w:r w:rsidR="004D42D6">
        <w:rPr>
          <w:rFonts w:ascii="Arial" w:hAnsi="Arial" w:cs="Arial"/>
        </w:rPr>
        <w:t xml:space="preserve">did not find </w:t>
      </w:r>
      <w:r w:rsidR="00524271">
        <w:rPr>
          <w:rFonts w:ascii="Arial" w:hAnsi="Arial" w:cs="Arial"/>
        </w:rPr>
        <w:t>applica</w:t>
      </w:r>
      <w:r w:rsidR="004D42D6">
        <w:rPr>
          <w:rFonts w:ascii="Arial" w:hAnsi="Arial" w:cs="Arial"/>
        </w:rPr>
        <w:t>tion</w:t>
      </w:r>
      <w:r w:rsidR="009D57CB">
        <w:rPr>
          <w:rFonts w:ascii="Arial" w:hAnsi="Arial" w:cs="Arial"/>
        </w:rPr>
        <w:t>, that the Vantage proposal is superior to the amended business rescue plans</w:t>
      </w:r>
      <w:r w:rsidR="00B64595">
        <w:rPr>
          <w:rFonts w:ascii="Arial" w:hAnsi="Arial" w:cs="Arial"/>
        </w:rPr>
        <w:t xml:space="preserve"> proposed by Arqomanzi. The affected persons c</w:t>
      </w:r>
      <w:r w:rsidR="00524271">
        <w:rPr>
          <w:rFonts w:ascii="Arial" w:hAnsi="Arial" w:cs="Arial"/>
        </w:rPr>
        <w:t>ould</w:t>
      </w:r>
      <w:r w:rsidR="00B64595">
        <w:rPr>
          <w:rFonts w:ascii="Arial" w:hAnsi="Arial" w:cs="Arial"/>
        </w:rPr>
        <w:t xml:space="preserve"> </w:t>
      </w:r>
      <w:r w:rsidR="00390FB6">
        <w:rPr>
          <w:rFonts w:ascii="Arial" w:hAnsi="Arial" w:cs="Arial"/>
        </w:rPr>
        <w:t xml:space="preserve">hardly </w:t>
      </w:r>
      <w:r w:rsidR="00B64595">
        <w:rPr>
          <w:rFonts w:ascii="Arial" w:hAnsi="Arial" w:cs="Arial"/>
        </w:rPr>
        <w:t xml:space="preserve">have </w:t>
      </w:r>
      <w:r w:rsidR="00390FB6">
        <w:rPr>
          <w:rFonts w:ascii="Arial" w:hAnsi="Arial" w:cs="Arial"/>
        </w:rPr>
        <w:t>a</w:t>
      </w:r>
      <w:r w:rsidR="00B64595">
        <w:rPr>
          <w:rFonts w:ascii="Arial" w:hAnsi="Arial" w:cs="Arial"/>
        </w:rPr>
        <w:t>n</w:t>
      </w:r>
      <w:r w:rsidR="00390FB6">
        <w:rPr>
          <w:rFonts w:ascii="Arial" w:hAnsi="Arial" w:cs="Arial"/>
        </w:rPr>
        <w:t>y</w:t>
      </w:r>
      <w:r w:rsidR="00B64595">
        <w:rPr>
          <w:rFonts w:ascii="Arial" w:hAnsi="Arial" w:cs="Arial"/>
        </w:rPr>
        <w:t xml:space="preserve"> </w:t>
      </w:r>
      <w:r w:rsidR="00D03155">
        <w:rPr>
          <w:rFonts w:ascii="Arial" w:hAnsi="Arial" w:cs="Arial"/>
        </w:rPr>
        <w:t xml:space="preserve">legal </w:t>
      </w:r>
      <w:r w:rsidR="00B64595">
        <w:rPr>
          <w:rFonts w:ascii="Arial" w:hAnsi="Arial" w:cs="Arial"/>
        </w:rPr>
        <w:t xml:space="preserve">interest </w:t>
      </w:r>
      <w:r w:rsidR="00D03155">
        <w:rPr>
          <w:rFonts w:ascii="Arial" w:hAnsi="Arial" w:cs="Arial"/>
        </w:rPr>
        <w:t>in t</w:t>
      </w:r>
      <w:r w:rsidR="00B64595">
        <w:rPr>
          <w:rFonts w:ascii="Arial" w:hAnsi="Arial" w:cs="Arial"/>
        </w:rPr>
        <w:t>his issue</w:t>
      </w:r>
      <w:r w:rsidR="00D03155">
        <w:rPr>
          <w:rFonts w:ascii="Arial" w:hAnsi="Arial" w:cs="Arial"/>
        </w:rPr>
        <w:t>, which is concerned with the interpretation of s 11 of the MPRDA.</w:t>
      </w:r>
    </w:p>
    <w:p w14:paraId="4542C482" w14:textId="77777777" w:rsidR="00D03155" w:rsidRPr="009D57CB" w:rsidRDefault="00D03155" w:rsidP="003E083F">
      <w:pPr>
        <w:spacing w:line="360" w:lineRule="auto"/>
        <w:jc w:val="both"/>
        <w:rPr>
          <w:rFonts w:ascii="Arial" w:hAnsi="Arial" w:cs="Arial"/>
        </w:rPr>
      </w:pPr>
    </w:p>
    <w:p w14:paraId="2D797DD4" w14:textId="0CAD870C" w:rsidR="00AB06E3" w:rsidRDefault="00DF7B8A" w:rsidP="003E083F">
      <w:pPr>
        <w:spacing w:line="360" w:lineRule="auto"/>
        <w:jc w:val="both"/>
        <w:rPr>
          <w:rFonts w:ascii="Arial" w:hAnsi="Arial" w:cs="Arial"/>
        </w:rPr>
      </w:pPr>
      <w:r w:rsidRPr="00507C65">
        <w:rPr>
          <w:rFonts w:ascii="Arial" w:hAnsi="Arial" w:cs="Arial"/>
          <w:lang w:val="en-US"/>
        </w:rPr>
        <w:t>[1</w:t>
      </w:r>
      <w:r w:rsidR="004D42D6">
        <w:rPr>
          <w:rFonts w:ascii="Arial" w:hAnsi="Arial" w:cs="Arial"/>
          <w:lang w:val="en-US"/>
        </w:rPr>
        <w:t>5</w:t>
      </w:r>
      <w:r w:rsidRPr="00507C65">
        <w:rPr>
          <w:rFonts w:ascii="Arial" w:hAnsi="Arial" w:cs="Arial"/>
          <w:lang w:val="en-US"/>
        </w:rPr>
        <w:t>]</w:t>
      </w:r>
      <w:r>
        <w:rPr>
          <w:rFonts w:ascii="Arial" w:hAnsi="Arial" w:cs="Arial"/>
          <w:lang w:val="en-US"/>
        </w:rPr>
        <w:tab/>
      </w:r>
      <w:r w:rsidR="00D03155">
        <w:rPr>
          <w:rFonts w:ascii="Arial" w:hAnsi="Arial" w:cs="Arial"/>
        </w:rPr>
        <w:t>In the second, Arqomanzi sought an order declaring that Standard Bank had lawfully and validly ceded the VGL-Barbrook claim to it. The issue concerned the validity of the cession. The only parties that had a legal interest in that issue were Arqomanzi, Standard Bank, VGL and Barbrook, all of whom were parties to the proceedings. None of the affected persons could contribute anything to this dispute.</w:t>
      </w:r>
      <w:r w:rsidR="00321C92">
        <w:rPr>
          <w:rFonts w:ascii="Arial" w:hAnsi="Arial" w:cs="Arial"/>
        </w:rPr>
        <w:t xml:space="preserve"> In the third instance, Arqomanzi sought orders interpreting the subordination agreements. The only parties with a legal interest in </w:t>
      </w:r>
      <w:r w:rsidR="00A91CE7" w:rsidRPr="00B73ED4">
        <w:rPr>
          <w:rFonts w:ascii="Arial" w:hAnsi="Arial" w:cs="Arial"/>
        </w:rPr>
        <w:t xml:space="preserve">respect of </w:t>
      </w:r>
      <w:r w:rsidR="00321C92" w:rsidRPr="00B73ED4">
        <w:rPr>
          <w:rFonts w:ascii="Arial" w:hAnsi="Arial" w:cs="Arial"/>
        </w:rPr>
        <w:t>that</w:t>
      </w:r>
      <w:r w:rsidR="00321C92">
        <w:rPr>
          <w:rFonts w:ascii="Arial" w:hAnsi="Arial" w:cs="Arial"/>
        </w:rPr>
        <w:t xml:space="preserve"> issue, were once again Arqomanzi, VGL and Barbrook, as well as VGSA, who like the other three, had been joined to the application. In the fourth instance, Arqomanzi sought an order declaring it an independent creditor of Barbrook. As with the first, this was also concerned with a </w:t>
      </w:r>
      <w:r w:rsidR="00321C92" w:rsidRPr="002C11E2">
        <w:rPr>
          <w:rFonts w:ascii="Arial" w:hAnsi="Arial" w:cs="Arial"/>
        </w:rPr>
        <w:t>q</w:t>
      </w:r>
      <w:r w:rsidR="00024D27" w:rsidRPr="002C11E2">
        <w:rPr>
          <w:rFonts w:ascii="Arial" w:hAnsi="Arial" w:cs="Arial"/>
        </w:rPr>
        <w:t>u</w:t>
      </w:r>
      <w:r w:rsidR="00321C92" w:rsidRPr="002C11E2">
        <w:rPr>
          <w:rFonts w:ascii="Arial" w:hAnsi="Arial" w:cs="Arial"/>
        </w:rPr>
        <w:t>estion of</w:t>
      </w:r>
      <w:r w:rsidR="00321C92">
        <w:rPr>
          <w:rFonts w:ascii="Arial" w:hAnsi="Arial" w:cs="Arial"/>
        </w:rPr>
        <w:t xml:space="preserve"> interpretation – the interpretation of the term</w:t>
      </w:r>
      <w:r w:rsidR="00347143">
        <w:rPr>
          <w:rFonts w:ascii="Arial" w:hAnsi="Arial" w:cs="Arial"/>
        </w:rPr>
        <w:t xml:space="preserve"> ‘independent creditor’, in the context of the Companies Act. None of the affected parties had a legal interest in the subject matter of the litigation concerning this relief.</w:t>
      </w:r>
      <w:r w:rsidR="004F4BAF">
        <w:rPr>
          <w:rFonts w:ascii="Arial" w:hAnsi="Arial" w:cs="Arial"/>
        </w:rPr>
        <w:t xml:space="preserve"> </w:t>
      </w:r>
    </w:p>
    <w:p w14:paraId="28DD01B6" w14:textId="77777777" w:rsidR="00AB06E3" w:rsidRDefault="00AB06E3" w:rsidP="003E083F">
      <w:pPr>
        <w:spacing w:line="360" w:lineRule="auto"/>
        <w:jc w:val="both"/>
        <w:rPr>
          <w:rFonts w:ascii="Arial" w:hAnsi="Arial" w:cs="Arial"/>
        </w:rPr>
      </w:pPr>
    </w:p>
    <w:p w14:paraId="419778D6" w14:textId="77777777" w:rsidR="00591763" w:rsidRDefault="00AB06E3" w:rsidP="003E083F">
      <w:pPr>
        <w:spacing w:line="360" w:lineRule="auto"/>
        <w:jc w:val="both"/>
        <w:rPr>
          <w:rFonts w:ascii="Arial" w:hAnsi="Arial" w:cs="Arial"/>
        </w:rPr>
      </w:pPr>
      <w:r>
        <w:rPr>
          <w:rFonts w:ascii="Arial" w:hAnsi="Arial" w:cs="Arial"/>
        </w:rPr>
        <w:t>[16]</w:t>
      </w:r>
      <w:r>
        <w:rPr>
          <w:rFonts w:ascii="Arial" w:hAnsi="Arial" w:cs="Arial"/>
        </w:rPr>
        <w:tab/>
      </w:r>
      <w:r w:rsidR="004F4BAF">
        <w:rPr>
          <w:rFonts w:ascii="Arial" w:hAnsi="Arial" w:cs="Arial"/>
        </w:rPr>
        <w:t>In the premises, the appellants</w:t>
      </w:r>
      <w:r>
        <w:rPr>
          <w:rFonts w:ascii="Arial" w:hAnsi="Arial" w:cs="Arial"/>
        </w:rPr>
        <w:t>’</w:t>
      </w:r>
      <w:r w:rsidR="004F4BAF">
        <w:rPr>
          <w:rFonts w:ascii="Arial" w:hAnsi="Arial" w:cs="Arial"/>
        </w:rPr>
        <w:t xml:space="preserve"> belated non-joinder argument falls to be rejected.</w:t>
      </w:r>
    </w:p>
    <w:p w14:paraId="6B037BC9" w14:textId="77777777" w:rsidR="00313C26" w:rsidRDefault="00313C26" w:rsidP="003E083F">
      <w:pPr>
        <w:spacing w:line="360" w:lineRule="auto"/>
        <w:jc w:val="both"/>
        <w:rPr>
          <w:rFonts w:ascii="Arial" w:hAnsi="Arial" w:cs="Arial"/>
        </w:rPr>
      </w:pPr>
    </w:p>
    <w:p w14:paraId="7FB0CA3F" w14:textId="77777777" w:rsidR="004F4BAF" w:rsidRDefault="00990293" w:rsidP="003E083F">
      <w:pPr>
        <w:spacing w:line="360" w:lineRule="auto"/>
        <w:jc w:val="both"/>
        <w:rPr>
          <w:rFonts w:ascii="Arial" w:hAnsi="Arial" w:cs="Arial"/>
          <w:b/>
          <w:bCs/>
        </w:rPr>
      </w:pPr>
      <w:r>
        <w:rPr>
          <w:rFonts w:ascii="Arial" w:hAnsi="Arial" w:cs="Arial"/>
          <w:b/>
          <w:bCs/>
        </w:rPr>
        <w:t>T</w:t>
      </w:r>
      <w:r w:rsidR="006D0A49" w:rsidRPr="006D0A49">
        <w:rPr>
          <w:rFonts w:ascii="Arial" w:hAnsi="Arial" w:cs="Arial"/>
          <w:b/>
          <w:bCs/>
        </w:rPr>
        <w:t>he loan account claims</w:t>
      </w:r>
    </w:p>
    <w:p w14:paraId="3C4BD962" w14:textId="46DB6AE3" w:rsidR="006D0A49" w:rsidRDefault="00DF7B8A" w:rsidP="003E083F">
      <w:pPr>
        <w:spacing w:line="360" w:lineRule="auto"/>
        <w:jc w:val="both"/>
        <w:rPr>
          <w:rFonts w:ascii="Arial" w:hAnsi="Arial" w:cs="Arial"/>
        </w:rPr>
      </w:pPr>
      <w:r w:rsidRPr="00507C65">
        <w:rPr>
          <w:rFonts w:ascii="Arial" w:hAnsi="Arial" w:cs="Arial"/>
          <w:lang w:val="en-US"/>
        </w:rPr>
        <w:t>[1</w:t>
      </w:r>
      <w:r w:rsidR="00AB06E3">
        <w:rPr>
          <w:rFonts w:ascii="Arial" w:hAnsi="Arial" w:cs="Arial"/>
          <w:lang w:val="en-US"/>
        </w:rPr>
        <w:t>7</w:t>
      </w:r>
      <w:r w:rsidRPr="00507C65">
        <w:rPr>
          <w:rFonts w:ascii="Arial" w:hAnsi="Arial" w:cs="Arial"/>
          <w:lang w:val="en-US"/>
        </w:rPr>
        <w:t>]</w:t>
      </w:r>
      <w:r>
        <w:rPr>
          <w:rFonts w:ascii="Arial" w:hAnsi="Arial" w:cs="Arial"/>
          <w:lang w:val="en-US"/>
        </w:rPr>
        <w:tab/>
      </w:r>
      <w:r w:rsidR="006D0A49">
        <w:rPr>
          <w:rFonts w:ascii="Arial" w:hAnsi="Arial" w:cs="Arial"/>
        </w:rPr>
        <w:t xml:space="preserve">The appellants challenge Arqomanzi’s acquisition of the loan account claims from Standard Bank. </w:t>
      </w:r>
      <w:r w:rsidR="00FD68CC">
        <w:rPr>
          <w:rFonts w:ascii="Arial" w:hAnsi="Arial" w:cs="Arial"/>
        </w:rPr>
        <w:t>There are two claims on loan account, which were transferred from Standard Bank to Arqomanzi. The first</w:t>
      </w:r>
      <w:r w:rsidR="00A91CE7" w:rsidRPr="00B73ED4">
        <w:rPr>
          <w:rFonts w:ascii="Arial" w:hAnsi="Arial" w:cs="Arial"/>
        </w:rPr>
        <w:t>,</w:t>
      </w:r>
      <w:r w:rsidR="00FD68CC">
        <w:rPr>
          <w:rFonts w:ascii="Arial" w:hAnsi="Arial" w:cs="Arial"/>
        </w:rPr>
        <w:t xml:space="preserve"> is the claim on loan account that VGSA </w:t>
      </w:r>
      <w:r w:rsidR="00FD68CC">
        <w:rPr>
          <w:rFonts w:ascii="Arial" w:hAnsi="Arial" w:cs="Arial"/>
        </w:rPr>
        <w:lastRenderedPageBreak/>
        <w:t xml:space="preserve">held in </w:t>
      </w:r>
      <w:r w:rsidR="00FD68CC" w:rsidRPr="00B73ED4">
        <w:rPr>
          <w:rFonts w:ascii="Arial" w:hAnsi="Arial" w:cs="Arial"/>
        </w:rPr>
        <w:t xml:space="preserve">VGL </w:t>
      </w:r>
      <w:r w:rsidR="00A91CE7" w:rsidRPr="00B73ED4">
        <w:rPr>
          <w:rFonts w:ascii="Arial" w:hAnsi="Arial" w:cs="Arial"/>
        </w:rPr>
        <w:t>that</w:t>
      </w:r>
      <w:r w:rsidR="00A91CE7">
        <w:rPr>
          <w:rFonts w:ascii="Arial" w:hAnsi="Arial" w:cs="Arial"/>
        </w:rPr>
        <w:t xml:space="preserve"> </w:t>
      </w:r>
      <w:r w:rsidR="00FD68CC">
        <w:rPr>
          <w:rFonts w:ascii="Arial" w:hAnsi="Arial" w:cs="Arial"/>
        </w:rPr>
        <w:t>originated in the following circumstances: By 2014, VGL enjoyed the benefit of banking facilities with Standard Bank, subject to annual review. During August 2016, VGL requested an increase of an aggregate of R10 million over its existing banking facilities, which was approved subject to the furnishing of additional security</w:t>
      </w:r>
      <w:r w:rsidR="00AB06E3">
        <w:rPr>
          <w:rFonts w:ascii="Arial" w:hAnsi="Arial" w:cs="Arial"/>
        </w:rPr>
        <w:t>,</w:t>
      </w:r>
      <w:r w:rsidR="00FD68CC">
        <w:rPr>
          <w:rFonts w:ascii="Arial" w:hAnsi="Arial" w:cs="Arial"/>
        </w:rPr>
        <w:t xml:space="preserve"> including the cession of a loan account in VGL by VGSA, an omnibus guarantee and other guarantees. The security required was provided and R5 million was made available to VGL on 7 September 2016 and the balance on 23 September 2016.</w:t>
      </w:r>
    </w:p>
    <w:p w14:paraId="44DF603D" w14:textId="77777777" w:rsidR="00FD68CC" w:rsidRDefault="00FD68CC" w:rsidP="003E083F">
      <w:pPr>
        <w:spacing w:line="360" w:lineRule="auto"/>
        <w:jc w:val="both"/>
        <w:rPr>
          <w:rFonts w:ascii="Arial" w:hAnsi="Arial" w:cs="Arial"/>
        </w:rPr>
      </w:pPr>
    </w:p>
    <w:p w14:paraId="487BE39E" w14:textId="44284650" w:rsidR="00FD68CC" w:rsidRDefault="00DF7B8A" w:rsidP="003E083F">
      <w:pPr>
        <w:spacing w:line="360" w:lineRule="auto"/>
        <w:jc w:val="both"/>
        <w:rPr>
          <w:rFonts w:ascii="Arial" w:hAnsi="Arial" w:cs="Arial"/>
        </w:rPr>
      </w:pPr>
      <w:r w:rsidRPr="00507C65">
        <w:rPr>
          <w:rFonts w:ascii="Arial" w:hAnsi="Arial" w:cs="Arial"/>
          <w:lang w:val="en-US"/>
        </w:rPr>
        <w:t>[1</w:t>
      </w:r>
      <w:r w:rsidR="00AB06E3">
        <w:rPr>
          <w:rFonts w:ascii="Arial" w:hAnsi="Arial" w:cs="Arial"/>
          <w:lang w:val="en-US"/>
        </w:rPr>
        <w:t>8</w:t>
      </w:r>
      <w:r w:rsidRPr="00507C65">
        <w:rPr>
          <w:rFonts w:ascii="Arial" w:hAnsi="Arial" w:cs="Arial"/>
          <w:lang w:val="en-US"/>
        </w:rPr>
        <w:t>]</w:t>
      </w:r>
      <w:r>
        <w:rPr>
          <w:rFonts w:ascii="Arial" w:hAnsi="Arial" w:cs="Arial"/>
          <w:lang w:val="en-US"/>
        </w:rPr>
        <w:tab/>
      </w:r>
      <w:r w:rsidR="00FD68CC">
        <w:rPr>
          <w:rFonts w:ascii="Arial" w:hAnsi="Arial" w:cs="Arial"/>
        </w:rPr>
        <w:t>As at 23 July 2019, both VGL (under the facilities agreement) and VGSA (in terms of the omnibus guarantee) were indebted to Standard Ba</w:t>
      </w:r>
      <w:r>
        <w:rPr>
          <w:rFonts w:ascii="Arial" w:hAnsi="Arial" w:cs="Arial"/>
        </w:rPr>
        <w:t>nk in the amount of R8 911 771.</w:t>
      </w:r>
      <w:r w:rsidR="00FD68CC">
        <w:rPr>
          <w:rFonts w:ascii="Arial" w:hAnsi="Arial" w:cs="Arial"/>
        </w:rPr>
        <w:t>35, inclusive of interest and costs. Included in the security, which was held by Standard Bank, was the cession of VGSA’s</w:t>
      </w:r>
      <w:r w:rsidR="001D1726">
        <w:rPr>
          <w:rFonts w:ascii="Arial" w:hAnsi="Arial" w:cs="Arial"/>
        </w:rPr>
        <w:t xml:space="preserve"> rights in and to monies due to it by VGL dated 6 September 2016 (ie the amount due on loan account). On 23 July 2019, Standard Bank demanded </w:t>
      </w:r>
      <w:r>
        <w:rPr>
          <w:rFonts w:ascii="Arial" w:hAnsi="Arial" w:cs="Arial"/>
        </w:rPr>
        <w:t>payment from VGSA of R8 911 771.</w:t>
      </w:r>
      <w:r w:rsidR="001D1726">
        <w:rPr>
          <w:rFonts w:ascii="Arial" w:hAnsi="Arial" w:cs="Arial"/>
        </w:rPr>
        <w:t>35, plus interest (being the facility debt of VGL</w:t>
      </w:r>
      <w:r w:rsidR="00524271">
        <w:rPr>
          <w:rFonts w:ascii="Arial" w:hAnsi="Arial" w:cs="Arial"/>
        </w:rPr>
        <w:t>,</w:t>
      </w:r>
      <w:r w:rsidR="001D1726">
        <w:rPr>
          <w:rFonts w:ascii="Arial" w:hAnsi="Arial" w:cs="Arial"/>
        </w:rPr>
        <w:t xml:space="preserve"> for which VGSA was liable) within 10 days, failing which it would exercise its rights in terms of the cession. A demand notice was also sent to VGL. Standard Bank indicated that it, without further notification, would endeavour to dispose of its rights to a prospective purc</w:t>
      </w:r>
      <w:r>
        <w:rPr>
          <w:rFonts w:ascii="Arial" w:hAnsi="Arial" w:cs="Arial"/>
        </w:rPr>
        <w:t>haser for the sum of R8 911 771.</w:t>
      </w:r>
      <w:r w:rsidR="001D1726">
        <w:rPr>
          <w:rFonts w:ascii="Arial" w:hAnsi="Arial" w:cs="Arial"/>
        </w:rPr>
        <w:t>35. VGL and VGSA failed to timeously make payment, entitling Standard Bank to reali</w:t>
      </w:r>
      <w:r w:rsidR="001B08A6">
        <w:rPr>
          <w:rFonts w:ascii="Arial" w:hAnsi="Arial" w:cs="Arial"/>
        </w:rPr>
        <w:t>s</w:t>
      </w:r>
      <w:r w:rsidR="001D1726">
        <w:rPr>
          <w:rFonts w:ascii="Arial" w:hAnsi="Arial" w:cs="Arial"/>
        </w:rPr>
        <w:t>e its security</w:t>
      </w:r>
      <w:r w:rsidR="00AB06E3">
        <w:rPr>
          <w:rFonts w:ascii="Arial" w:hAnsi="Arial" w:cs="Arial"/>
        </w:rPr>
        <w:t xml:space="preserve"> -</w:t>
      </w:r>
      <w:r w:rsidR="001B08A6">
        <w:rPr>
          <w:rFonts w:ascii="Arial" w:hAnsi="Arial" w:cs="Arial"/>
        </w:rPr>
        <w:t xml:space="preserve"> as it was entitled to do in terms of the cession.</w:t>
      </w:r>
    </w:p>
    <w:p w14:paraId="53D80DF9" w14:textId="77777777" w:rsidR="001B08A6" w:rsidRDefault="001B08A6" w:rsidP="003E083F">
      <w:pPr>
        <w:spacing w:line="360" w:lineRule="auto"/>
        <w:jc w:val="both"/>
        <w:rPr>
          <w:rFonts w:ascii="Arial" w:hAnsi="Arial" w:cs="Arial"/>
        </w:rPr>
      </w:pPr>
    </w:p>
    <w:p w14:paraId="229CE0AD" w14:textId="7B25057F" w:rsidR="001B08A6" w:rsidRDefault="00DF7B8A" w:rsidP="003E083F">
      <w:pPr>
        <w:spacing w:line="360" w:lineRule="auto"/>
        <w:jc w:val="both"/>
        <w:rPr>
          <w:rFonts w:ascii="Arial" w:hAnsi="Arial" w:cs="Arial"/>
        </w:rPr>
      </w:pPr>
      <w:r>
        <w:rPr>
          <w:rFonts w:ascii="Arial" w:hAnsi="Arial" w:cs="Arial"/>
          <w:lang w:val="en-US"/>
        </w:rPr>
        <w:t>[</w:t>
      </w:r>
      <w:r w:rsidR="00AB06E3">
        <w:rPr>
          <w:rFonts w:ascii="Arial" w:hAnsi="Arial" w:cs="Arial"/>
          <w:lang w:val="en-US"/>
        </w:rPr>
        <w:t>19</w:t>
      </w:r>
      <w:r w:rsidRPr="00507C65">
        <w:rPr>
          <w:rFonts w:ascii="Arial" w:hAnsi="Arial" w:cs="Arial"/>
          <w:lang w:val="en-US"/>
        </w:rPr>
        <w:t>]</w:t>
      </w:r>
      <w:r>
        <w:rPr>
          <w:rFonts w:ascii="Arial" w:hAnsi="Arial" w:cs="Arial"/>
          <w:lang w:val="en-US"/>
        </w:rPr>
        <w:tab/>
      </w:r>
      <w:r w:rsidR="001B08A6">
        <w:rPr>
          <w:rFonts w:ascii="Arial" w:hAnsi="Arial" w:cs="Arial"/>
        </w:rPr>
        <w:t xml:space="preserve">In terms of the sale agreement, which was concluded on 1 August 2019: (i) Arqomanzi would purchase </w:t>
      </w:r>
      <w:r w:rsidR="00C106B5" w:rsidRPr="00B73ED4">
        <w:rPr>
          <w:rFonts w:ascii="Arial" w:hAnsi="Arial" w:cs="Arial"/>
        </w:rPr>
        <w:t>VGSA’s loan account against VGL</w:t>
      </w:r>
      <w:r w:rsidR="00C106B5">
        <w:rPr>
          <w:rFonts w:ascii="Arial" w:hAnsi="Arial" w:cs="Arial"/>
        </w:rPr>
        <w:t xml:space="preserve"> </w:t>
      </w:r>
      <w:r w:rsidR="001B08A6">
        <w:rPr>
          <w:rFonts w:ascii="Arial" w:hAnsi="Arial" w:cs="Arial"/>
        </w:rPr>
        <w:t>from Standard Bank; (ii) the purchase price of the loan account of R8,9 million was payable within five days of certain resolutive conditions</w:t>
      </w:r>
      <w:r w:rsidR="00524271">
        <w:rPr>
          <w:rFonts w:ascii="Arial" w:hAnsi="Arial" w:cs="Arial"/>
        </w:rPr>
        <w:t xml:space="preserve"> being</w:t>
      </w:r>
      <w:r w:rsidR="001B08A6">
        <w:rPr>
          <w:rFonts w:ascii="Arial" w:hAnsi="Arial" w:cs="Arial"/>
        </w:rPr>
        <w:t xml:space="preserve"> either fulfilled or waived; and (iii) the effective date of the purchase of the loan account would be 7 August 2019, on which date </w:t>
      </w:r>
      <w:r w:rsidR="00F308D7">
        <w:rPr>
          <w:rFonts w:ascii="Arial" w:hAnsi="Arial" w:cs="Arial"/>
        </w:rPr>
        <w:t>the</w:t>
      </w:r>
      <w:r w:rsidR="001B08A6">
        <w:rPr>
          <w:rFonts w:ascii="Arial" w:hAnsi="Arial" w:cs="Arial"/>
        </w:rPr>
        <w:t xml:space="preserve"> right, title and interest in and to the loan account would vest in Arqomanzi.</w:t>
      </w:r>
    </w:p>
    <w:p w14:paraId="776410CE" w14:textId="77777777" w:rsidR="001B08A6" w:rsidRDefault="001B08A6" w:rsidP="003E083F">
      <w:pPr>
        <w:spacing w:line="360" w:lineRule="auto"/>
        <w:jc w:val="both"/>
        <w:rPr>
          <w:rFonts w:ascii="Arial" w:hAnsi="Arial" w:cs="Arial"/>
        </w:rPr>
      </w:pPr>
    </w:p>
    <w:p w14:paraId="54E5A55F" w14:textId="522CA5EA" w:rsidR="001B08A6" w:rsidRDefault="00DF7B8A" w:rsidP="003E083F">
      <w:pPr>
        <w:spacing w:line="360" w:lineRule="auto"/>
        <w:jc w:val="both"/>
        <w:rPr>
          <w:rFonts w:ascii="Arial" w:hAnsi="Arial" w:cs="Arial"/>
        </w:rPr>
      </w:pPr>
      <w:r>
        <w:rPr>
          <w:rFonts w:ascii="Arial" w:hAnsi="Arial" w:cs="Arial"/>
          <w:lang w:val="en-US"/>
        </w:rPr>
        <w:t>[2</w:t>
      </w:r>
      <w:r w:rsidR="00AB06E3">
        <w:rPr>
          <w:rFonts w:ascii="Arial" w:hAnsi="Arial" w:cs="Arial"/>
          <w:lang w:val="en-US"/>
        </w:rPr>
        <w:t>0</w:t>
      </w:r>
      <w:r w:rsidRPr="00507C65">
        <w:rPr>
          <w:rFonts w:ascii="Arial" w:hAnsi="Arial" w:cs="Arial"/>
          <w:lang w:val="en-US"/>
        </w:rPr>
        <w:t>]</w:t>
      </w:r>
      <w:r>
        <w:rPr>
          <w:rFonts w:ascii="Arial" w:hAnsi="Arial" w:cs="Arial"/>
          <w:lang w:val="en-US"/>
        </w:rPr>
        <w:tab/>
      </w:r>
      <w:r w:rsidR="001B08A6">
        <w:rPr>
          <w:rFonts w:ascii="Arial" w:hAnsi="Arial" w:cs="Arial"/>
        </w:rPr>
        <w:t>Th</w:t>
      </w:r>
      <w:r w:rsidR="00B73ED4">
        <w:rPr>
          <w:rFonts w:ascii="Arial" w:hAnsi="Arial" w:cs="Arial"/>
        </w:rPr>
        <w:t>e second,</w:t>
      </w:r>
      <w:r w:rsidR="001B08A6">
        <w:rPr>
          <w:rFonts w:ascii="Arial" w:hAnsi="Arial" w:cs="Arial"/>
        </w:rPr>
        <w:t xml:space="preserve"> pertains to the claim on loan account that VGSA held in VGL </w:t>
      </w:r>
      <w:r w:rsidR="00C106B5" w:rsidRPr="00B73ED4">
        <w:rPr>
          <w:rFonts w:ascii="Arial" w:hAnsi="Arial" w:cs="Arial"/>
        </w:rPr>
        <w:t>that</w:t>
      </w:r>
      <w:r w:rsidR="00C106B5">
        <w:rPr>
          <w:rFonts w:ascii="Arial" w:hAnsi="Arial" w:cs="Arial"/>
        </w:rPr>
        <w:t xml:space="preserve"> </w:t>
      </w:r>
      <w:r w:rsidR="001B08A6">
        <w:rPr>
          <w:rFonts w:ascii="Arial" w:hAnsi="Arial" w:cs="Arial"/>
        </w:rPr>
        <w:t xml:space="preserve">originated in the following circumstances: </w:t>
      </w:r>
      <w:r w:rsidR="00C75343">
        <w:rPr>
          <w:rFonts w:ascii="Arial" w:hAnsi="Arial" w:cs="Arial"/>
        </w:rPr>
        <w:t>By July 2020, MIMCO was indebted to Standard Bank in the collective sum of R6 492</w:t>
      </w:r>
      <w:r>
        <w:rPr>
          <w:rFonts w:ascii="Arial" w:hAnsi="Arial" w:cs="Arial"/>
        </w:rPr>
        <w:t> </w:t>
      </w:r>
      <w:r w:rsidR="00C75343">
        <w:rPr>
          <w:rFonts w:ascii="Arial" w:hAnsi="Arial" w:cs="Arial"/>
        </w:rPr>
        <w:t>168</w:t>
      </w:r>
      <w:r>
        <w:rPr>
          <w:rFonts w:ascii="Arial" w:hAnsi="Arial" w:cs="Arial"/>
        </w:rPr>
        <w:t>.</w:t>
      </w:r>
      <w:r w:rsidR="00C75343">
        <w:rPr>
          <w:rFonts w:ascii="Arial" w:hAnsi="Arial" w:cs="Arial"/>
        </w:rPr>
        <w:t xml:space="preserve">46, inclusive of interest and costs, </w:t>
      </w:r>
      <w:r w:rsidR="00F308D7">
        <w:rPr>
          <w:rFonts w:ascii="Arial" w:hAnsi="Arial" w:cs="Arial"/>
        </w:rPr>
        <w:t xml:space="preserve">arising from its overdraft facilities and instalment sale agreements concluded with the </w:t>
      </w:r>
      <w:r w:rsidR="00F308D7" w:rsidRPr="00916383">
        <w:rPr>
          <w:rFonts w:ascii="Arial" w:hAnsi="Arial" w:cs="Arial"/>
        </w:rPr>
        <w:t>bank</w:t>
      </w:r>
      <w:r w:rsidR="00F308D7">
        <w:rPr>
          <w:rFonts w:ascii="Arial" w:hAnsi="Arial" w:cs="Arial"/>
        </w:rPr>
        <w:t xml:space="preserve">, </w:t>
      </w:r>
      <w:r w:rsidR="00C75343">
        <w:rPr>
          <w:rFonts w:ascii="Arial" w:hAnsi="Arial" w:cs="Arial"/>
        </w:rPr>
        <w:t xml:space="preserve">which amount was due owing and payable. In addition, VGL, by virtue of </w:t>
      </w:r>
      <w:r w:rsidR="00C75343">
        <w:rPr>
          <w:rFonts w:ascii="Arial" w:hAnsi="Arial" w:cs="Arial"/>
        </w:rPr>
        <w:lastRenderedPageBreak/>
        <w:t xml:space="preserve">MIMCO’s overdraft and instalment agreement facility and various suretyships that VGL had executed in respect of MIMCO’s indebtedness to Standard Bank, was also indebted to the </w:t>
      </w:r>
      <w:r w:rsidR="00C75343" w:rsidRPr="00916383">
        <w:rPr>
          <w:rFonts w:ascii="Arial" w:hAnsi="Arial" w:cs="Arial"/>
        </w:rPr>
        <w:t>ban</w:t>
      </w:r>
      <w:r w:rsidRPr="00916383">
        <w:rPr>
          <w:rFonts w:ascii="Arial" w:hAnsi="Arial" w:cs="Arial"/>
        </w:rPr>
        <w:t>k</w:t>
      </w:r>
      <w:r>
        <w:rPr>
          <w:rFonts w:ascii="Arial" w:hAnsi="Arial" w:cs="Arial"/>
        </w:rPr>
        <w:t xml:space="preserve"> in the amount of R6 492 168.</w:t>
      </w:r>
      <w:r w:rsidR="00C75343">
        <w:rPr>
          <w:rFonts w:ascii="Arial" w:hAnsi="Arial" w:cs="Arial"/>
        </w:rPr>
        <w:t>46. Barbrook, in turn, was</w:t>
      </w:r>
      <w:r w:rsidR="00AB06E3">
        <w:rPr>
          <w:rFonts w:ascii="Arial" w:hAnsi="Arial" w:cs="Arial"/>
        </w:rPr>
        <w:t xml:space="preserve">, </w:t>
      </w:r>
      <w:r w:rsidR="00C75343">
        <w:rPr>
          <w:rFonts w:ascii="Arial" w:hAnsi="Arial" w:cs="Arial"/>
        </w:rPr>
        <w:t>as at 6 September 2016, indebted to VGL on loan account in the amount of R178 245 000. On 6 September 2016, VGL cede</w:t>
      </w:r>
      <w:r w:rsidR="00AB06E3">
        <w:rPr>
          <w:rFonts w:ascii="Arial" w:hAnsi="Arial" w:cs="Arial"/>
        </w:rPr>
        <w:t>d its</w:t>
      </w:r>
      <w:r w:rsidR="00C75343">
        <w:rPr>
          <w:rFonts w:ascii="Arial" w:hAnsi="Arial" w:cs="Arial"/>
        </w:rPr>
        <w:t xml:space="preserve"> loan account claims against Barbrook to Standard Bank. On 17 July 2020, Standard Bank delivered written demands to VGL and MIMCO (as well as the BRPs), demanding paymen</w:t>
      </w:r>
      <w:r>
        <w:rPr>
          <w:rFonts w:ascii="Arial" w:hAnsi="Arial" w:cs="Arial"/>
        </w:rPr>
        <w:t>t of the amount of R6 492 168.</w:t>
      </w:r>
      <w:r w:rsidR="00C75343">
        <w:rPr>
          <w:rFonts w:ascii="Arial" w:hAnsi="Arial" w:cs="Arial"/>
        </w:rPr>
        <w:t>46, which was then owing, together with interest thereon in respect of MIMCO’s overdraft</w:t>
      </w:r>
      <w:r w:rsidR="0028376A">
        <w:rPr>
          <w:rFonts w:ascii="Arial" w:hAnsi="Arial" w:cs="Arial"/>
        </w:rPr>
        <w:t xml:space="preserve"> and instalment sale agreement, as well as R</w:t>
      </w:r>
      <w:r w:rsidR="001B08A6">
        <w:rPr>
          <w:rFonts w:ascii="Arial" w:hAnsi="Arial" w:cs="Arial"/>
        </w:rPr>
        <w:t xml:space="preserve"> </w:t>
      </w:r>
      <w:r>
        <w:rPr>
          <w:rFonts w:ascii="Arial" w:hAnsi="Arial" w:cs="Arial"/>
        </w:rPr>
        <w:t>8 990 508.</w:t>
      </w:r>
      <w:r w:rsidR="0028376A">
        <w:rPr>
          <w:rFonts w:ascii="Arial" w:hAnsi="Arial" w:cs="Arial"/>
        </w:rPr>
        <w:t>65 (for the debts of VGL).</w:t>
      </w:r>
    </w:p>
    <w:p w14:paraId="09061524" w14:textId="77777777" w:rsidR="0028376A" w:rsidRDefault="0028376A" w:rsidP="003E083F">
      <w:pPr>
        <w:spacing w:line="360" w:lineRule="auto"/>
        <w:jc w:val="both"/>
        <w:rPr>
          <w:rFonts w:ascii="Arial" w:hAnsi="Arial" w:cs="Arial"/>
        </w:rPr>
      </w:pPr>
    </w:p>
    <w:p w14:paraId="5FBFE06B" w14:textId="4E29FC1A" w:rsidR="00064FA6" w:rsidRDefault="00DF7B8A" w:rsidP="003E083F">
      <w:pPr>
        <w:spacing w:line="360" w:lineRule="auto"/>
        <w:jc w:val="both"/>
        <w:rPr>
          <w:rFonts w:ascii="Arial" w:hAnsi="Arial" w:cs="Arial"/>
        </w:rPr>
      </w:pPr>
      <w:r>
        <w:rPr>
          <w:rFonts w:ascii="Arial" w:hAnsi="Arial" w:cs="Arial"/>
          <w:lang w:val="en-US"/>
        </w:rPr>
        <w:t>[2</w:t>
      </w:r>
      <w:r w:rsidR="00AB06E3">
        <w:rPr>
          <w:rFonts w:ascii="Arial" w:hAnsi="Arial" w:cs="Arial"/>
          <w:lang w:val="en-US"/>
        </w:rPr>
        <w:t>1</w:t>
      </w:r>
      <w:r w:rsidRPr="00507C65">
        <w:rPr>
          <w:rFonts w:ascii="Arial" w:hAnsi="Arial" w:cs="Arial"/>
          <w:lang w:val="en-US"/>
        </w:rPr>
        <w:t>]</w:t>
      </w:r>
      <w:r>
        <w:rPr>
          <w:rFonts w:ascii="Arial" w:hAnsi="Arial" w:cs="Arial"/>
          <w:lang w:val="en-US"/>
        </w:rPr>
        <w:tab/>
      </w:r>
      <w:r w:rsidR="0028376A">
        <w:rPr>
          <w:rFonts w:ascii="Arial" w:hAnsi="Arial" w:cs="Arial"/>
        </w:rPr>
        <w:t xml:space="preserve">The letter of demand, specifically advised that should VGL fail to timeously repay </w:t>
      </w:r>
      <w:r w:rsidR="00F308D7">
        <w:rPr>
          <w:rFonts w:ascii="Arial" w:hAnsi="Arial" w:cs="Arial"/>
        </w:rPr>
        <w:t>the</w:t>
      </w:r>
      <w:r w:rsidR="0028376A">
        <w:rPr>
          <w:rFonts w:ascii="Arial" w:hAnsi="Arial" w:cs="Arial"/>
        </w:rPr>
        <w:t xml:space="preserve"> indebtedness, Standard Bank would endeavour to dispose of its rights in terms of the cession to a prospective purchaser for the sum of R1. MIMCO was similarly advised that sh</w:t>
      </w:r>
      <w:r w:rsidR="00F308D7">
        <w:rPr>
          <w:rFonts w:ascii="Arial" w:hAnsi="Arial" w:cs="Arial"/>
        </w:rPr>
        <w:t>ould</w:t>
      </w:r>
      <w:r w:rsidR="0028376A">
        <w:rPr>
          <w:rFonts w:ascii="Arial" w:hAnsi="Arial" w:cs="Arial"/>
        </w:rPr>
        <w:t xml:space="preserve"> </w:t>
      </w:r>
      <w:r w:rsidR="00F308D7">
        <w:rPr>
          <w:rFonts w:ascii="Arial" w:hAnsi="Arial" w:cs="Arial"/>
        </w:rPr>
        <w:t>it</w:t>
      </w:r>
      <w:r w:rsidR="0028376A">
        <w:rPr>
          <w:rFonts w:ascii="Arial" w:hAnsi="Arial" w:cs="Arial"/>
        </w:rPr>
        <w:t xml:space="preserve"> not pay its indebtedness, the MIMCO claims were intended to be sold to a prospective purchaser for the sum of </w:t>
      </w:r>
      <w:r w:rsidR="0028376A" w:rsidRPr="00F12972">
        <w:rPr>
          <w:rFonts w:ascii="Arial" w:hAnsi="Arial" w:cs="Arial"/>
        </w:rPr>
        <w:t>R6 492</w:t>
      </w:r>
      <w:r w:rsidR="00F12972" w:rsidRPr="00F12972">
        <w:rPr>
          <w:rFonts w:ascii="Arial" w:hAnsi="Arial" w:cs="Arial"/>
        </w:rPr>
        <w:t> </w:t>
      </w:r>
      <w:r w:rsidR="0028376A" w:rsidRPr="00F12972">
        <w:rPr>
          <w:rFonts w:ascii="Arial" w:hAnsi="Arial" w:cs="Arial"/>
        </w:rPr>
        <w:t>168</w:t>
      </w:r>
      <w:r w:rsidR="00F12972" w:rsidRPr="00F12972">
        <w:rPr>
          <w:rFonts w:ascii="Arial" w:hAnsi="Arial" w:cs="Arial"/>
        </w:rPr>
        <w:t>.</w:t>
      </w:r>
      <w:r w:rsidR="0028376A" w:rsidRPr="00F12972">
        <w:rPr>
          <w:rFonts w:ascii="Arial" w:hAnsi="Arial" w:cs="Arial"/>
        </w:rPr>
        <w:t>36. No</w:t>
      </w:r>
      <w:r w:rsidR="0028376A">
        <w:rPr>
          <w:rFonts w:ascii="Arial" w:hAnsi="Arial" w:cs="Arial"/>
        </w:rPr>
        <w:t xml:space="preserve"> payments were forthcoming and</w:t>
      </w:r>
      <w:r w:rsidR="00F308D7">
        <w:rPr>
          <w:rFonts w:ascii="Arial" w:hAnsi="Arial" w:cs="Arial"/>
        </w:rPr>
        <w:t>,</w:t>
      </w:r>
      <w:r w:rsidR="0028376A">
        <w:rPr>
          <w:rFonts w:ascii="Arial" w:hAnsi="Arial" w:cs="Arial"/>
        </w:rPr>
        <w:t xml:space="preserve"> on 28 July 2020, Arqomanzi concluded a written agreement (the addendum) with Standard Bank. In terms of the addendum, the parties affirmed that the cession of the loan account, which had been the subject of th</w:t>
      </w:r>
      <w:r w:rsidR="00F308D7">
        <w:rPr>
          <w:rFonts w:ascii="Arial" w:hAnsi="Arial" w:cs="Arial"/>
        </w:rPr>
        <w:t>e</w:t>
      </w:r>
      <w:r w:rsidR="0028376A">
        <w:rPr>
          <w:rFonts w:ascii="Arial" w:hAnsi="Arial" w:cs="Arial"/>
        </w:rPr>
        <w:t xml:space="preserve"> sale agreement (ie VGSA’s claim against VGL) had become effective on 7 August 2019 and the purchase price ther</w:t>
      </w:r>
      <w:r w:rsidR="00F12972">
        <w:rPr>
          <w:rFonts w:ascii="Arial" w:hAnsi="Arial" w:cs="Arial"/>
        </w:rPr>
        <w:t>eof was amended to R8 990 508.</w:t>
      </w:r>
      <w:r w:rsidR="0028376A">
        <w:rPr>
          <w:rFonts w:ascii="Arial" w:hAnsi="Arial" w:cs="Arial"/>
        </w:rPr>
        <w:t xml:space="preserve">65. The parties also provided </w:t>
      </w:r>
      <w:r w:rsidR="00774C4B">
        <w:rPr>
          <w:rFonts w:ascii="Arial" w:hAnsi="Arial" w:cs="Arial"/>
        </w:rPr>
        <w:t xml:space="preserve">in the addendum </w:t>
      </w:r>
      <w:r w:rsidR="0028376A">
        <w:rPr>
          <w:rFonts w:ascii="Arial" w:hAnsi="Arial" w:cs="Arial"/>
        </w:rPr>
        <w:t>for the settlement of the debts due to Standard Bank by VGL, Barbrook and MIMCO by means of the</w:t>
      </w:r>
      <w:r w:rsidR="00774C4B">
        <w:rPr>
          <w:rFonts w:ascii="Arial" w:hAnsi="Arial" w:cs="Arial"/>
        </w:rPr>
        <w:t xml:space="preserve"> sale agreement. The purchase price specified for MIMC</w:t>
      </w:r>
      <w:r w:rsidR="00F308D7">
        <w:rPr>
          <w:rFonts w:ascii="Arial" w:hAnsi="Arial" w:cs="Arial"/>
        </w:rPr>
        <w:t>O</w:t>
      </w:r>
      <w:r w:rsidR="00774C4B">
        <w:rPr>
          <w:rFonts w:ascii="Arial" w:hAnsi="Arial" w:cs="Arial"/>
        </w:rPr>
        <w:t>’s d</w:t>
      </w:r>
      <w:r w:rsidR="00F12972">
        <w:rPr>
          <w:rFonts w:ascii="Arial" w:hAnsi="Arial" w:cs="Arial"/>
        </w:rPr>
        <w:t>ebt was the sum of R6 492 168.</w:t>
      </w:r>
      <w:r w:rsidR="00774C4B">
        <w:rPr>
          <w:rFonts w:ascii="Arial" w:hAnsi="Arial" w:cs="Arial"/>
        </w:rPr>
        <w:t>36 and the purchase price for the loan account was R1. The purchase price was to be payable by Arqomanzi within five business days of the date on which the resolutive conditions were fulfilled or waived. The sale and cession of the MIMCO debtors and the VGL loan account in Barbrook was seen as an indivisible transaction. A composite amount was paid for both items, with R1 allocated as the nominal amount in respect of the loan account.</w:t>
      </w:r>
    </w:p>
    <w:p w14:paraId="51897EA9" w14:textId="77777777" w:rsidR="00C106B5" w:rsidRDefault="00C106B5" w:rsidP="003E083F">
      <w:pPr>
        <w:spacing w:line="360" w:lineRule="auto"/>
        <w:jc w:val="both"/>
        <w:rPr>
          <w:rFonts w:ascii="Arial" w:hAnsi="Arial" w:cs="Arial"/>
          <w:lang w:val="en-US"/>
        </w:rPr>
      </w:pPr>
    </w:p>
    <w:p w14:paraId="5F1155AA" w14:textId="71CC4C44" w:rsidR="00064FA6" w:rsidRDefault="00F12972" w:rsidP="003E083F">
      <w:pPr>
        <w:spacing w:line="360" w:lineRule="auto"/>
        <w:jc w:val="both"/>
        <w:rPr>
          <w:rFonts w:ascii="Arial" w:hAnsi="Arial" w:cs="Arial"/>
        </w:rPr>
      </w:pPr>
      <w:r w:rsidRPr="00522EEB">
        <w:rPr>
          <w:rFonts w:ascii="Arial" w:hAnsi="Arial" w:cs="Arial"/>
          <w:lang w:val="en-US"/>
        </w:rPr>
        <w:t>[2</w:t>
      </w:r>
      <w:r w:rsidR="00AB06E3" w:rsidRPr="00522EEB">
        <w:rPr>
          <w:rFonts w:ascii="Arial" w:hAnsi="Arial" w:cs="Arial"/>
          <w:lang w:val="en-US"/>
        </w:rPr>
        <w:t>2</w:t>
      </w:r>
      <w:r w:rsidRPr="00522EEB">
        <w:rPr>
          <w:rFonts w:ascii="Arial" w:hAnsi="Arial" w:cs="Arial"/>
          <w:lang w:val="en-US"/>
        </w:rPr>
        <w:t>]</w:t>
      </w:r>
      <w:r>
        <w:rPr>
          <w:rFonts w:ascii="Arial" w:hAnsi="Arial" w:cs="Arial"/>
          <w:lang w:val="en-US"/>
        </w:rPr>
        <w:tab/>
      </w:r>
      <w:r w:rsidR="00064FA6">
        <w:rPr>
          <w:rFonts w:ascii="Arial" w:hAnsi="Arial" w:cs="Arial"/>
        </w:rPr>
        <w:t>The appellants</w:t>
      </w:r>
      <w:r w:rsidR="00CC3F95">
        <w:rPr>
          <w:rFonts w:ascii="Arial" w:hAnsi="Arial" w:cs="Arial"/>
        </w:rPr>
        <w:t xml:space="preserve"> claim that the sales </w:t>
      </w:r>
      <w:r w:rsidR="00F308D7">
        <w:rPr>
          <w:rFonts w:ascii="Arial" w:hAnsi="Arial" w:cs="Arial"/>
        </w:rPr>
        <w:t>are</w:t>
      </w:r>
      <w:r w:rsidR="00CC3F95">
        <w:rPr>
          <w:rFonts w:ascii="Arial" w:hAnsi="Arial" w:cs="Arial"/>
        </w:rPr>
        <w:t xml:space="preserve"> invalid. </w:t>
      </w:r>
      <w:r w:rsidR="0022148A">
        <w:rPr>
          <w:rFonts w:ascii="Arial" w:hAnsi="Arial" w:cs="Arial"/>
        </w:rPr>
        <w:t>Although a plethora of grounds were</w:t>
      </w:r>
      <w:r w:rsidR="00CC3F95">
        <w:rPr>
          <w:rFonts w:ascii="Arial" w:hAnsi="Arial" w:cs="Arial"/>
        </w:rPr>
        <w:t xml:space="preserve"> raised before the </w:t>
      </w:r>
      <w:r w:rsidR="0022148A">
        <w:rPr>
          <w:rFonts w:ascii="Arial" w:hAnsi="Arial" w:cs="Arial"/>
        </w:rPr>
        <w:t>h</w:t>
      </w:r>
      <w:r w:rsidR="00CC3F95">
        <w:rPr>
          <w:rFonts w:ascii="Arial" w:hAnsi="Arial" w:cs="Arial"/>
        </w:rPr>
        <w:t xml:space="preserve">igh </w:t>
      </w:r>
      <w:r w:rsidR="0022148A">
        <w:rPr>
          <w:rFonts w:ascii="Arial" w:hAnsi="Arial" w:cs="Arial"/>
        </w:rPr>
        <w:t>c</w:t>
      </w:r>
      <w:r w:rsidR="00CC3F95">
        <w:rPr>
          <w:rFonts w:ascii="Arial" w:hAnsi="Arial" w:cs="Arial"/>
        </w:rPr>
        <w:t xml:space="preserve">ourt, only three are </w:t>
      </w:r>
      <w:r w:rsidR="0022148A">
        <w:rPr>
          <w:rFonts w:ascii="Arial" w:hAnsi="Arial" w:cs="Arial"/>
        </w:rPr>
        <w:t>still being</w:t>
      </w:r>
      <w:r w:rsidR="00CC3F95">
        <w:rPr>
          <w:rFonts w:ascii="Arial" w:hAnsi="Arial" w:cs="Arial"/>
        </w:rPr>
        <w:t xml:space="preserve"> persisted with. It is asserted that: first, the sale agreements have lapsed; second, the loan account claims automatically reverted to the original cedents upon payment by Arqomanzi of the </w:t>
      </w:r>
      <w:r w:rsidR="00CC3F95">
        <w:rPr>
          <w:rFonts w:ascii="Arial" w:hAnsi="Arial" w:cs="Arial"/>
        </w:rPr>
        <w:lastRenderedPageBreak/>
        <w:t>purchase price to Standard Bank; and, third, the sales are invalid because they caused prejudice.</w:t>
      </w:r>
    </w:p>
    <w:p w14:paraId="37105112" w14:textId="77777777" w:rsidR="00CC3F95" w:rsidRDefault="00CC3F95" w:rsidP="003E083F">
      <w:pPr>
        <w:spacing w:line="360" w:lineRule="auto"/>
        <w:jc w:val="both"/>
        <w:rPr>
          <w:rFonts w:ascii="Arial" w:hAnsi="Arial" w:cs="Arial"/>
        </w:rPr>
      </w:pPr>
    </w:p>
    <w:p w14:paraId="0802F21D" w14:textId="3ABA9C10" w:rsidR="00F308D7" w:rsidRDefault="00F12972" w:rsidP="003E083F">
      <w:pPr>
        <w:spacing w:line="360" w:lineRule="auto"/>
        <w:jc w:val="both"/>
        <w:rPr>
          <w:rFonts w:ascii="Arial" w:hAnsi="Arial" w:cs="Arial"/>
        </w:rPr>
      </w:pPr>
      <w:r>
        <w:rPr>
          <w:rFonts w:ascii="Arial" w:hAnsi="Arial" w:cs="Arial"/>
          <w:lang w:val="en-US"/>
        </w:rPr>
        <w:t>[2</w:t>
      </w:r>
      <w:r w:rsidR="00AB06E3">
        <w:rPr>
          <w:rFonts w:ascii="Arial" w:hAnsi="Arial" w:cs="Arial"/>
          <w:lang w:val="en-US"/>
        </w:rPr>
        <w:t>3</w:t>
      </w:r>
      <w:r w:rsidRPr="00507C65">
        <w:rPr>
          <w:rFonts w:ascii="Arial" w:hAnsi="Arial" w:cs="Arial"/>
          <w:lang w:val="en-US"/>
        </w:rPr>
        <w:t>]</w:t>
      </w:r>
      <w:r>
        <w:rPr>
          <w:rFonts w:ascii="Arial" w:hAnsi="Arial" w:cs="Arial"/>
          <w:lang w:val="en-US"/>
        </w:rPr>
        <w:tab/>
      </w:r>
      <w:r w:rsidR="00522EEB">
        <w:rPr>
          <w:rFonts w:ascii="Arial" w:hAnsi="Arial" w:cs="Arial"/>
          <w:lang w:val="en-US"/>
        </w:rPr>
        <w:t xml:space="preserve">As a precursor </w:t>
      </w:r>
      <w:r w:rsidR="00880461">
        <w:rPr>
          <w:rFonts w:ascii="Arial" w:hAnsi="Arial" w:cs="Arial"/>
        </w:rPr>
        <w:t xml:space="preserve">to a consideration </w:t>
      </w:r>
      <w:r w:rsidR="00C106B5" w:rsidRPr="00522EEB">
        <w:rPr>
          <w:rFonts w:ascii="Arial" w:hAnsi="Arial" w:cs="Arial"/>
        </w:rPr>
        <w:t>of</w:t>
      </w:r>
      <w:r w:rsidR="00C106B5">
        <w:rPr>
          <w:rFonts w:ascii="Arial" w:hAnsi="Arial" w:cs="Arial"/>
        </w:rPr>
        <w:t xml:space="preserve"> </w:t>
      </w:r>
      <w:r w:rsidR="00880461">
        <w:rPr>
          <w:rFonts w:ascii="Arial" w:hAnsi="Arial" w:cs="Arial"/>
        </w:rPr>
        <w:t>each of the three contentions,</w:t>
      </w:r>
      <w:r w:rsidR="000A37BB">
        <w:rPr>
          <w:rFonts w:ascii="Arial" w:hAnsi="Arial" w:cs="Arial"/>
        </w:rPr>
        <w:t xml:space="preserve"> </w:t>
      </w:r>
      <w:r w:rsidR="00522EEB">
        <w:rPr>
          <w:rFonts w:ascii="Arial" w:hAnsi="Arial" w:cs="Arial"/>
        </w:rPr>
        <w:t>some preliminary observations:</w:t>
      </w:r>
      <w:r w:rsidR="000A37BB">
        <w:rPr>
          <w:rFonts w:ascii="Arial" w:hAnsi="Arial" w:cs="Arial"/>
        </w:rPr>
        <w:t xml:space="preserve"> T</w:t>
      </w:r>
      <w:r w:rsidR="00CC3F95">
        <w:rPr>
          <w:rFonts w:ascii="Arial" w:hAnsi="Arial" w:cs="Arial"/>
        </w:rPr>
        <w:t xml:space="preserve">he appellants argue that Standard Bank’s decision to realise, by way of </w:t>
      </w:r>
      <w:r w:rsidR="00CC3F95">
        <w:rPr>
          <w:rFonts w:ascii="Arial" w:hAnsi="Arial" w:cs="Arial"/>
          <w:i/>
          <w:iCs/>
        </w:rPr>
        <w:t>parate e</w:t>
      </w:r>
      <w:r w:rsidR="00880461">
        <w:rPr>
          <w:rFonts w:ascii="Arial" w:hAnsi="Arial" w:cs="Arial"/>
          <w:i/>
          <w:iCs/>
        </w:rPr>
        <w:t>xe</w:t>
      </w:r>
      <w:r w:rsidR="00CC3F95">
        <w:rPr>
          <w:rFonts w:ascii="Arial" w:hAnsi="Arial" w:cs="Arial"/>
          <w:i/>
          <w:iCs/>
        </w:rPr>
        <w:t>cutie</w:t>
      </w:r>
      <w:r w:rsidR="00CC3F95" w:rsidRPr="00CC3F95">
        <w:rPr>
          <w:rFonts w:ascii="Arial" w:hAnsi="Arial" w:cs="Arial"/>
        </w:rPr>
        <w:t>, the loan account claims</w:t>
      </w:r>
      <w:r w:rsidR="00CC3F95">
        <w:rPr>
          <w:rFonts w:ascii="Arial" w:hAnsi="Arial" w:cs="Arial"/>
        </w:rPr>
        <w:t xml:space="preserve"> that were ceded to it in</w:t>
      </w:r>
      <w:r w:rsidR="00CC3F95">
        <w:rPr>
          <w:rFonts w:ascii="Arial" w:hAnsi="Arial" w:cs="Arial"/>
          <w:i/>
          <w:iCs/>
        </w:rPr>
        <w:t xml:space="preserve"> securtitatem debiti, </w:t>
      </w:r>
      <w:r w:rsidR="00CC3F95" w:rsidRPr="00CC3F95">
        <w:rPr>
          <w:rFonts w:ascii="Arial" w:hAnsi="Arial" w:cs="Arial"/>
        </w:rPr>
        <w:t>‘gives rise to a novel legal issue</w:t>
      </w:r>
      <w:r w:rsidR="00F308D7">
        <w:rPr>
          <w:rFonts w:ascii="Arial" w:hAnsi="Arial" w:cs="Arial"/>
        </w:rPr>
        <w:t>’</w:t>
      </w:r>
      <w:r w:rsidR="00CC3F95">
        <w:rPr>
          <w:rFonts w:ascii="Arial" w:hAnsi="Arial" w:cs="Arial"/>
        </w:rPr>
        <w:t xml:space="preserve">. Recently, </w:t>
      </w:r>
      <w:r w:rsidR="00CC3F95">
        <w:rPr>
          <w:rFonts w:ascii="Arial" w:hAnsi="Arial" w:cs="Arial"/>
          <w:i/>
          <w:iCs/>
        </w:rPr>
        <w:t>Grobler v Oosthuizen</w:t>
      </w:r>
      <w:r w:rsidR="00CC3F95">
        <w:rPr>
          <w:rFonts w:ascii="Arial" w:hAnsi="Arial" w:cs="Arial"/>
          <w:iCs/>
        </w:rPr>
        <w:t xml:space="preserve"> settled the doctrinal debate regarding the exact nature and construct of a cession </w:t>
      </w:r>
      <w:r w:rsidR="00CC3F95">
        <w:rPr>
          <w:rFonts w:ascii="Arial" w:hAnsi="Arial" w:cs="Arial"/>
        </w:rPr>
        <w:t>in</w:t>
      </w:r>
      <w:r w:rsidR="00CC3F95">
        <w:rPr>
          <w:rFonts w:ascii="Arial" w:hAnsi="Arial" w:cs="Arial"/>
          <w:i/>
          <w:iCs/>
        </w:rPr>
        <w:t xml:space="preserve"> securtitatem debiti </w:t>
      </w:r>
      <w:r w:rsidR="00CC3F95" w:rsidRPr="00CC3F95">
        <w:rPr>
          <w:rFonts w:ascii="Arial" w:hAnsi="Arial" w:cs="Arial"/>
        </w:rPr>
        <w:t>in favour of the pledge theory</w:t>
      </w:r>
      <w:r w:rsidR="00CC3F95">
        <w:rPr>
          <w:rFonts w:ascii="Arial" w:hAnsi="Arial" w:cs="Arial"/>
        </w:rPr>
        <w:t>.</w:t>
      </w:r>
      <w:r w:rsidR="009B1835">
        <w:rPr>
          <w:rStyle w:val="FootnoteReference"/>
          <w:rFonts w:ascii="Arial" w:hAnsi="Arial" w:cs="Arial"/>
        </w:rPr>
        <w:footnoteReference w:id="5"/>
      </w:r>
      <w:r w:rsidR="00726122">
        <w:rPr>
          <w:rFonts w:ascii="Arial" w:hAnsi="Arial" w:cs="Arial"/>
        </w:rPr>
        <w:t xml:space="preserve"> As far as the </w:t>
      </w:r>
      <w:r w:rsidR="00726122">
        <w:rPr>
          <w:rFonts w:ascii="Arial" w:hAnsi="Arial" w:cs="Arial"/>
          <w:i/>
          <w:iCs/>
        </w:rPr>
        <w:t>parate executie</w:t>
      </w:r>
      <w:r w:rsidR="00726122">
        <w:rPr>
          <w:rFonts w:ascii="Arial" w:hAnsi="Arial" w:cs="Arial"/>
          <w:iCs/>
        </w:rPr>
        <w:t xml:space="preserve"> </w:t>
      </w:r>
      <w:r w:rsidR="005D2450" w:rsidRPr="002C11E2">
        <w:rPr>
          <w:rFonts w:ascii="Arial" w:hAnsi="Arial" w:cs="Arial"/>
          <w:iCs/>
        </w:rPr>
        <w:t xml:space="preserve">(immediate execution) </w:t>
      </w:r>
      <w:r w:rsidR="00726122" w:rsidRPr="002C11E2">
        <w:rPr>
          <w:rFonts w:ascii="Arial" w:hAnsi="Arial" w:cs="Arial"/>
          <w:iCs/>
        </w:rPr>
        <w:t>principle</w:t>
      </w:r>
      <w:r w:rsidR="00726122">
        <w:rPr>
          <w:rFonts w:ascii="Arial" w:hAnsi="Arial" w:cs="Arial"/>
          <w:iCs/>
        </w:rPr>
        <w:t xml:space="preserve"> is concerned, it permits the cessionary, upon the cedent’s default to realise the ceded property, without following any judicial procedure. In </w:t>
      </w:r>
      <w:bookmarkStart w:id="8" w:name="_Hlk137729696"/>
      <w:r w:rsidR="00726122">
        <w:rPr>
          <w:rFonts w:ascii="Arial" w:hAnsi="Arial" w:cs="Arial"/>
          <w:i/>
        </w:rPr>
        <w:t>Bock v Duburoro Investments (Pty) Ltd</w:t>
      </w:r>
      <w:bookmarkEnd w:id="8"/>
      <w:r w:rsidR="00726122" w:rsidRPr="00726122">
        <w:rPr>
          <w:rFonts w:ascii="Arial" w:hAnsi="Arial" w:cs="Arial"/>
          <w:iCs/>
        </w:rPr>
        <w:t xml:space="preserve">, </w:t>
      </w:r>
      <w:r w:rsidR="00726122">
        <w:rPr>
          <w:rFonts w:ascii="Arial" w:hAnsi="Arial" w:cs="Arial"/>
          <w:iCs/>
        </w:rPr>
        <w:t xml:space="preserve">this Court reaffirmed the common law rule that </w:t>
      </w:r>
      <w:r w:rsidR="00726122">
        <w:rPr>
          <w:rFonts w:ascii="Arial" w:hAnsi="Arial" w:cs="Arial"/>
          <w:i/>
          <w:iCs/>
        </w:rPr>
        <w:t xml:space="preserve">parate execuie </w:t>
      </w:r>
      <w:r w:rsidR="00726122" w:rsidRPr="00726122">
        <w:rPr>
          <w:rFonts w:ascii="Arial" w:hAnsi="Arial" w:cs="Arial"/>
        </w:rPr>
        <w:t xml:space="preserve">is valid as long as it is not enforced </w:t>
      </w:r>
      <w:r w:rsidR="008C47DA">
        <w:rPr>
          <w:rFonts w:ascii="Arial" w:hAnsi="Arial" w:cs="Arial"/>
        </w:rPr>
        <w:t xml:space="preserve">in </w:t>
      </w:r>
      <w:r w:rsidR="00726122" w:rsidRPr="00726122">
        <w:rPr>
          <w:rFonts w:ascii="Arial" w:hAnsi="Arial" w:cs="Arial"/>
        </w:rPr>
        <w:t>a manner</w:t>
      </w:r>
      <w:r w:rsidR="00726122">
        <w:rPr>
          <w:rFonts w:ascii="Arial" w:hAnsi="Arial" w:cs="Arial"/>
        </w:rPr>
        <w:t xml:space="preserve"> that is against public policy.</w:t>
      </w:r>
      <w:r w:rsidR="00726122">
        <w:rPr>
          <w:rStyle w:val="FootnoteReference"/>
          <w:rFonts w:ascii="Arial" w:hAnsi="Arial" w:cs="Arial"/>
        </w:rPr>
        <w:footnoteReference w:id="6"/>
      </w:r>
      <w:r w:rsidR="00880461">
        <w:rPr>
          <w:rFonts w:ascii="Arial" w:hAnsi="Arial" w:cs="Arial"/>
        </w:rPr>
        <w:t xml:space="preserve"> </w:t>
      </w:r>
    </w:p>
    <w:p w14:paraId="740EFC74" w14:textId="77777777" w:rsidR="00F308D7" w:rsidRDefault="00F308D7" w:rsidP="003E083F">
      <w:pPr>
        <w:spacing w:line="360" w:lineRule="auto"/>
        <w:jc w:val="both"/>
        <w:rPr>
          <w:rFonts w:ascii="Arial" w:hAnsi="Arial" w:cs="Arial"/>
        </w:rPr>
      </w:pPr>
    </w:p>
    <w:p w14:paraId="7DF7D7A3" w14:textId="77777777" w:rsidR="00CC3F95" w:rsidRDefault="008C47DA" w:rsidP="003E083F">
      <w:pPr>
        <w:spacing w:line="360" w:lineRule="auto"/>
        <w:jc w:val="both"/>
        <w:rPr>
          <w:rFonts w:ascii="Arial" w:hAnsi="Arial" w:cs="Arial"/>
        </w:rPr>
      </w:pPr>
      <w:r>
        <w:rPr>
          <w:rFonts w:ascii="Arial" w:hAnsi="Arial" w:cs="Arial"/>
          <w:lang w:val="en-US"/>
        </w:rPr>
        <w:t>[2</w:t>
      </w:r>
      <w:r w:rsidR="003A4AB4">
        <w:rPr>
          <w:rFonts w:ascii="Arial" w:hAnsi="Arial" w:cs="Arial"/>
          <w:lang w:val="en-US"/>
        </w:rPr>
        <w:t>4</w:t>
      </w:r>
      <w:r w:rsidRPr="00507C65">
        <w:rPr>
          <w:rFonts w:ascii="Arial" w:hAnsi="Arial" w:cs="Arial"/>
          <w:lang w:val="en-US"/>
        </w:rPr>
        <w:t>]</w:t>
      </w:r>
      <w:r>
        <w:rPr>
          <w:rFonts w:ascii="Arial" w:hAnsi="Arial" w:cs="Arial"/>
          <w:lang w:val="en-US"/>
        </w:rPr>
        <w:tab/>
      </w:r>
      <w:r w:rsidR="00880461">
        <w:rPr>
          <w:rFonts w:ascii="Arial" w:hAnsi="Arial" w:cs="Arial"/>
        </w:rPr>
        <w:t xml:space="preserve">Against these introductory remarks, we turn to a consideration of the three </w:t>
      </w:r>
      <w:r w:rsidR="00F308D7">
        <w:rPr>
          <w:rFonts w:ascii="Arial" w:hAnsi="Arial" w:cs="Arial"/>
        </w:rPr>
        <w:t>grounds</w:t>
      </w:r>
      <w:r w:rsidR="000A37BB">
        <w:rPr>
          <w:rFonts w:ascii="Arial" w:hAnsi="Arial" w:cs="Arial"/>
        </w:rPr>
        <w:t xml:space="preserve"> upon which it is suggested that Arqomanzi is not the rightful owner of the loan account claims. </w:t>
      </w:r>
    </w:p>
    <w:p w14:paraId="28187ED4" w14:textId="77777777" w:rsidR="00726122" w:rsidRDefault="00726122" w:rsidP="003E083F">
      <w:pPr>
        <w:spacing w:line="360" w:lineRule="auto"/>
        <w:jc w:val="both"/>
        <w:rPr>
          <w:rFonts w:ascii="Arial" w:hAnsi="Arial" w:cs="Arial"/>
        </w:rPr>
      </w:pPr>
    </w:p>
    <w:p w14:paraId="4EC6532C" w14:textId="77777777" w:rsidR="000A37BB" w:rsidRPr="000A37BB" w:rsidRDefault="000A37BB" w:rsidP="003E083F">
      <w:pPr>
        <w:spacing w:line="360" w:lineRule="auto"/>
        <w:jc w:val="both"/>
        <w:rPr>
          <w:rFonts w:ascii="Arial" w:hAnsi="Arial" w:cs="Arial"/>
          <w:i/>
          <w:iCs/>
        </w:rPr>
      </w:pPr>
      <w:r>
        <w:rPr>
          <w:rFonts w:ascii="Arial" w:hAnsi="Arial" w:cs="Arial"/>
          <w:i/>
          <w:iCs/>
        </w:rPr>
        <w:t>As to the first</w:t>
      </w:r>
    </w:p>
    <w:p w14:paraId="297195C1" w14:textId="6E80F063" w:rsidR="00726122" w:rsidRDefault="008C47DA" w:rsidP="003E083F">
      <w:pPr>
        <w:spacing w:line="360" w:lineRule="auto"/>
        <w:jc w:val="both"/>
        <w:rPr>
          <w:rFonts w:ascii="Arial" w:hAnsi="Arial" w:cs="Arial"/>
        </w:rPr>
      </w:pPr>
      <w:r>
        <w:rPr>
          <w:rFonts w:ascii="Arial" w:hAnsi="Arial" w:cs="Arial"/>
          <w:lang w:val="en-US"/>
        </w:rPr>
        <w:t>[2</w:t>
      </w:r>
      <w:r w:rsidR="003A4AB4">
        <w:rPr>
          <w:rFonts w:ascii="Arial" w:hAnsi="Arial" w:cs="Arial"/>
          <w:lang w:val="en-US"/>
        </w:rPr>
        <w:t>5</w:t>
      </w:r>
      <w:r w:rsidRPr="00507C65">
        <w:rPr>
          <w:rFonts w:ascii="Arial" w:hAnsi="Arial" w:cs="Arial"/>
          <w:lang w:val="en-US"/>
        </w:rPr>
        <w:t>]</w:t>
      </w:r>
      <w:r>
        <w:rPr>
          <w:rFonts w:ascii="Arial" w:hAnsi="Arial" w:cs="Arial"/>
          <w:lang w:val="en-US"/>
        </w:rPr>
        <w:tab/>
      </w:r>
      <w:r w:rsidR="00726122">
        <w:rPr>
          <w:rFonts w:ascii="Arial" w:hAnsi="Arial" w:cs="Arial"/>
        </w:rPr>
        <w:t>As far as the VGSA-VGL</w:t>
      </w:r>
      <w:r w:rsidR="00880461">
        <w:rPr>
          <w:rFonts w:ascii="Arial" w:hAnsi="Arial" w:cs="Arial"/>
        </w:rPr>
        <w:t xml:space="preserve"> claim </w:t>
      </w:r>
      <w:r w:rsidR="00726122">
        <w:rPr>
          <w:rFonts w:ascii="Arial" w:hAnsi="Arial" w:cs="Arial"/>
        </w:rPr>
        <w:t>is concerned</w:t>
      </w:r>
      <w:r w:rsidR="00F308D7">
        <w:rPr>
          <w:rFonts w:ascii="Arial" w:hAnsi="Arial" w:cs="Arial"/>
        </w:rPr>
        <w:t>:</w:t>
      </w:r>
      <w:r w:rsidR="00726122">
        <w:rPr>
          <w:rFonts w:ascii="Arial" w:hAnsi="Arial" w:cs="Arial"/>
        </w:rPr>
        <w:t xml:space="preserve"> Roelofse AJ found that Standard Bank lawfully and validly ceded this claim to Arqomanzi. The </w:t>
      </w:r>
      <w:r w:rsidR="00726122" w:rsidRPr="002C11E2">
        <w:rPr>
          <w:rFonts w:ascii="Arial" w:hAnsi="Arial" w:cs="Arial"/>
        </w:rPr>
        <w:t>appellants argue that th</w:t>
      </w:r>
      <w:r w:rsidR="005D2450" w:rsidRPr="002C11E2">
        <w:rPr>
          <w:rFonts w:ascii="Arial" w:hAnsi="Arial" w:cs="Arial"/>
        </w:rPr>
        <w:t>e</w:t>
      </w:r>
      <w:r w:rsidR="00726122">
        <w:rPr>
          <w:rFonts w:ascii="Arial" w:hAnsi="Arial" w:cs="Arial"/>
        </w:rPr>
        <w:t xml:space="preserve"> cession failed after the judgment by Roelofse AJ, due to the non-fulfilment</w:t>
      </w:r>
      <w:r w:rsidR="00F308D7">
        <w:rPr>
          <w:rFonts w:ascii="Arial" w:hAnsi="Arial" w:cs="Arial"/>
        </w:rPr>
        <w:t xml:space="preserve"> of certain</w:t>
      </w:r>
      <w:r w:rsidR="00635811">
        <w:rPr>
          <w:rFonts w:ascii="Arial" w:hAnsi="Arial" w:cs="Arial"/>
        </w:rPr>
        <w:t xml:space="preserve"> other</w:t>
      </w:r>
      <w:r w:rsidR="00F308D7">
        <w:rPr>
          <w:rFonts w:ascii="Arial" w:hAnsi="Arial" w:cs="Arial"/>
        </w:rPr>
        <w:t xml:space="preserve"> conditions</w:t>
      </w:r>
      <w:r w:rsidR="00DD2C8C">
        <w:rPr>
          <w:rFonts w:ascii="Arial" w:hAnsi="Arial" w:cs="Arial"/>
        </w:rPr>
        <w:t>. Before the high court, the appellants contend</w:t>
      </w:r>
      <w:r w:rsidR="00F308D7">
        <w:rPr>
          <w:rFonts w:ascii="Arial" w:hAnsi="Arial" w:cs="Arial"/>
        </w:rPr>
        <w:t>ed</w:t>
      </w:r>
      <w:r w:rsidR="00DD2C8C">
        <w:rPr>
          <w:rFonts w:ascii="Arial" w:hAnsi="Arial" w:cs="Arial"/>
        </w:rPr>
        <w:t xml:space="preserve"> that this caused the sale agreement to lapse, alternatively, if the sale agreement did not lapse, then the addendum lapsed. They no longer persist with the first contention. This is important, because the addendum only revived the sale agreement as a precautionary measure and only to the extent necessary. It follows that if the sale agreement did not lapse, </w:t>
      </w:r>
      <w:r w:rsidR="003A4AB4">
        <w:rPr>
          <w:rFonts w:ascii="Arial" w:hAnsi="Arial" w:cs="Arial"/>
        </w:rPr>
        <w:t xml:space="preserve">any </w:t>
      </w:r>
      <w:r w:rsidR="00DD2C8C">
        <w:rPr>
          <w:rFonts w:ascii="Arial" w:hAnsi="Arial" w:cs="Arial"/>
        </w:rPr>
        <w:t xml:space="preserve">consideration </w:t>
      </w:r>
      <w:r w:rsidR="003A4AB4">
        <w:rPr>
          <w:rFonts w:ascii="Arial" w:hAnsi="Arial" w:cs="Arial"/>
        </w:rPr>
        <w:t>as to</w:t>
      </w:r>
      <w:r w:rsidR="00DD2C8C">
        <w:rPr>
          <w:rFonts w:ascii="Arial" w:hAnsi="Arial" w:cs="Arial"/>
        </w:rPr>
        <w:t xml:space="preserve"> whether the addendum lapsed </w:t>
      </w:r>
      <w:r w:rsidR="00DD2C8C" w:rsidRPr="00522EEB">
        <w:rPr>
          <w:rFonts w:ascii="Arial" w:hAnsi="Arial" w:cs="Arial"/>
        </w:rPr>
        <w:t>become</w:t>
      </w:r>
      <w:r w:rsidR="00306DBD" w:rsidRPr="00522EEB">
        <w:rPr>
          <w:rFonts w:ascii="Arial" w:hAnsi="Arial" w:cs="Arial"/>
        </w:rPr>
        <w:t>s</w:t>
      </w:r>
      <w:r w:rsidR="00DD2C8C" w:rsidRPr="00522EEB">
        <w:rPr>
          <w:rFonts w:ascii="Arial" w:hAnsi="Arial" w:cs="Arial"/>
        </w:rPr>
        <w:t xml:space="preserve"> i</w:t>
      </w:r>
      <w:r w:rsidR="00DD2C8C">
        <w:rPr>
          <w:rFonts w:ascii="Arial" w:hAnsi="Arial" w:cs="Arial"/>
        </w:rPr>
        <w:t>mmaterial to the validity of Arqomanzi’s acquisition of the VGSA-VGL claim.</w:t>
      </w:r>
    </w:p>
    <w:p w14:paraId="058ACDA1" w14:textId="77777777" w:rsidR="00DD2C8C" w:rsidRDefault="00DD2C8C" w:rsidP="003E083F">
      <w:pPr>
        <w:spacing w:line="360" w:lineRule="auto"/>
        <w:jc w:val="both"/>
        <w:rPr>
          <w:rFonts w:ascii="Arial" w:hAnsi="Arial" w:cs="Arial"/>
        </w:rPr>
      </w:pPr>
    </w:p>
    <w:p w14:paraId="38FF5C06" w14:textId="5A4F379D" w:rsidR="003A6AE5" w:rsidRDefault="00377752" w:rsidP="00A335BC">
      <w:pPr>
        <w:spacing w:line="360" w:lineRule="auto"/>
        <w:jc w:val="both"/>
        <w:rPr>
          <w:rFonts w:ascii="Arial" w:hAnsi="Arial" w:cs="Arial"/>
        </w:rPr>
      </w:pPr>
      <w:r>
        <w:rPr>
          <w:rFonts w:ascii="Arial" w:hAnsi="Arial" w:cs="Arial"/>
          <w:lang w:val="en-US"/>
        </w:rPr>
        <w:lastRenderedPageBreak/>
        <w:t>[2</w:t>
      </w:r>
      <w:r w:rsidR="003A4AB4">
        <w:rPr>
          <w:rFonts w:ascii="Arial" w:hAnsi="Arial" w:cs="Arial"/>
          <w:lang w:val="en-US"/>
        </w:rPr>
        <w:t>6</w:t>
      </w:r>
      <w:r w:rsidRPr="00507C65">
        <w:rPr>
          <w:rFonts w:ascii="Arial" w:hAnsi="Arial" w:cs="Arial"/>
          <w:lang w:val="en-US"/>
        </w:rPr>
        <w:t>]</w:t>
      </w:r>
      <w:r>
        <w:rPr>
          <w:rFonts w:ascii="Arial" w:hAnsi="Arial" w:cs="Arial"/>
          <w:lang w:val="en-US"/>
        </w:rPr>
        <w:tab/>
      </w:r>
      <w:r w:rsidR="00DD2C8C">
        <w:rPr>
          <w:rFonts w:ascii="Arial" w:hAnsi="Arial" w:cs="Arial"/>
        </w:rPr>
        <w:t>Regarding the VGL-Barbrook claim</w:t>
      </w:r>
      <w:r w:rsidR="00F308D7">
        <w:rPr>
          <w:rFonts w:ascii="Arial" w:hAnsi="Arial" w:cs="Arial"/>
        </w:rPr>
        <w:t>:</w:t>
      </w:r>
      <w:r w:rsidR="00DD2C8C">
        <w:rPr>
          <w:rFonts w:ascii="Arial" w:hAnsi="Arial" w:cs="Arial"/>
        </w:rPr>
        <w:t xml:space="preserve"> </w:t>
      </w:r>
      <w:r w:rsidR="00F308D7">
        <w:rPr>
          <w:rFonts w:ascii="Arial" w:hAnsi="Arial" w:cs="Arial"/>
        </w:rPr>
        <w:t>T</w:t>
      </w:r>
      <w:r w:rsidR="00DD2C8C">
        <w:rPr>
          <w:rFonts w:ascii="Arial" w:hAnsi="Arial" w:cs="Arial"/>
        </w:rPr>
        <w:t>he appellants, who we</w:t>
      </w:r>
      <w:r w:rsidR="002348B5">
        <w:rPr>
          <w:rFonts w:ascii="Arial" w:hAnsi="Arial" w:cs="Arial"/>
        </w:rPr>
        <w:t>re not privy to the addendum</w:t>
      </w:r>
      <w:r w:rsidR="00306DBD">
        <w:rPr>
          <w:rFonts w:ascii="Arial" w:hAnsi="Arial" w:cs="Arial"/>
        </w:rPr>
        <w:t xml:space="preserve"> </w:t>
      </w:r>
      <w:r w:rsidR="00306DBD" w:rsidRPr="00522EEB">
        <w:rPr>
          <w:rFonts w:ascii="Arial" w:hAnsi="Arial" w:cs="Arial"/>
        </w:rPr>
        <w:t>and</w:t>
      </w:r>
      <w:r w:rsidR="002348B5" w:rsidRPr="00522EEB">
        <w:rPr>
          <w:rFonts w:ascii="Arial" w:hAnsi="Arial" w:cs="Arial"/>
        </w:rPr>
        <w:t xml:space="preserve"> </w:t>
      </w:r>
      <w:r w:rsidR="00747338" w:rsidRPr="002C11E2">
        <w:rPr>
          <w:rFonts w:ascii="Arial" w:hAnsi="Arial" w:cs="Arial"/>
        </w:rPr>
        <w:t xml:space="preserve">had </w:t>
      </w:r>
      <w:r w:rsidR="00DD2C8C" w:rsidRPr="002C11E2">
        <w:rPr>
          <w:rFonts w:ascii="Arial" w:hAnsi="Arial" w:cs="Arial"/>
        </w:rPr>
        <w:t>no</w:t>
      </w:r>
      <w:r w:rsidR="00DD2C8C">
        <w:rPr>
          <w:rFonts w:ascii="Arial" w:hAnsi="Arial" w:cs="Arial"/>
        </w:rPr>
        <w:t xml:space="preserve"> personal knowledge of the facts relating to its conclusion or implementation, contend that it failed on account of the non-fulfilment of a resolutive condition</w:t>
      </w:r>
      <w:r w:rsidR="0092617A">
        <w:rPr>
          <w:rFonts w:ascii="Arial" w:hAnsi="Arial" w:cs="Arial"/>
        </w:rPr>
        <w:t xml:space="preserve">. </w:t>
      </w:r>
      <w:r w:rsidR="006C5381">
        <w:rPr>
          <w:rFonts w:ascii="Arial" w:hAnsi="Arial" w:cs="Arial"/>
        </w:rPr>
        <w:t xml:space="preserve">According to </w:t>
      </w:r>
      <w:r w:rsidR="0092617A">
        <w:rPr>
          <w:rFonts w:ascii="Arial" w:hAnsi="Arial" w:cs="Arial"/>
        </w:rPr>
        <w:t>Arqomanzi</w:t>
      </w:r>
      <w:r w:rsidR="006C5381">
        <w:rPr>
          <w:rFonts w:ascii="Arial" w:hAnsi="Arial" w:cs="Arial"/>
        </w:rPr>
        <w:t xml:space="preserve">, </w:t>
      </w:r>
      <w:r w:rsidR="0092617A">
        <w:rPr>
          <w:rFonts w:ascii="Arial" w:hAnsi="Arial" w:cs="Arial"/>
        </w:rPr>
        <w:t>however</w:t>
      </w:r>
      <w:r w:rsidR="006C5381">
        <w:rPr>
          <w:rFonts w:ascii="Arial" w:hAnsi="Arial" w:cs="Arial"/>
        </w:rPr>
        <w:t xml:space="preserve">, the resolutive condition had been fulfilled. Standard Bank confirmed this. In the circumstances, it could hardly have been open to the appellants, who were strangers to the agreement, to assert that the resolutive condition had not been </w:t>
      </w:r>
      <w:r w:rsidR="003A4AB4">
        <w:rPr>
          <w:rFonts w:ascii="Arial" w:hAnsi="Arial" w:cs="Arial"/>
        </w:rPr>
        <w:t>met</w:t>
      </w:r>
      <w:r w:rsidR="006C5381">
        <w:rPr>
          <w:rFonts w:ascii="Arial" w:hAnsi="Arial" w:cs="Arial"/>
        </w:rPr>
        <w:t xml:space="preserve">, particularly where the parties </w:t>
      </w:r>
      <w:r w:rsidR="00A335BC">
        <w:rPr>
          <w:rFonts w:ascii="Arial" w:hAnsi="Arial" w:cs="Arial"/>
        </w:rPr>
        <w:t xml:space="preserve">to the agreement </w:t>
      </w:r>
      <w:r w:rsidR="006C5381">
        <w:rPr>
          <w:rFonts w:ascii="Arial" w:hAnsi="Arial" w:cs="Arial"/>
        </w:rPr>
        <w:t xml:space="preserve">had </w:t>
      </w:r>
      <w:r w:rsidR="00635811">
        <w:rPr>
          <w:rFonts w:ascii="Arial" w:hAnsi="Arial" w:cs="Arial"/>
        </w:rPr>
        <w:t xml:space="preserve">already </w:t>
      </w:r>
      <w:r w:rsidR="006C5381">
        <w:rPr>
          <w:rFonts w:ascii="Arial" w:hAnsi="Arial" w:cs="Arial"/>
        </w:rPr>
        <w:t xml:space="preserve">performed in accordance with </w:t>
      </w:r>
      <w:r w:rsidR="00306DBD" w:rsidRPr="00522EEB">
        <w:rPr>
          <w:rFonts w:ascii="Arial" w:hAnsi="Arial" w:cs="Arial"/>
        </w:rPr>
        <w:t>its</w:t>
      </w:r>
      <w:r w:rsidR="00306DBD">
        <w:rPr>
          <w:rFonts w:ascii="Arial" w:hAnsi="Arial" w:cs="Arial"/>
        </w:rPr>
        <w:t xml:space="preserve"> </w:t>
      </w:r>
      <w:r w:rsidR="006C5381">
        <w:rPr>
          <w:rFonts w:ascii="Arial" w:hAnsi="Arial" w:cs="Arial"/>
        </w:rPr>
        <w:t>terms.</w:t>
      </w:r>
      <w:r w:rsidR="006C5381">
        <w:rPr>
          <w:rStyle w:val="FootnoteReference"/>
          <w:rFonts w:ascii="Arial" w:hAnsi="Arial" w:cs="Arial"/>
        </w:rPr>
        <w:footnoteReference w:id="7"/>
      </w:r>
      <w:r w:rsidR="00A335BC">
        <w:rPr>
          <w:rFonts w:ascii="Arial" w:hAnsi="Arial" w:cs="Arial"/>
        </w:rPr>
        <w:t xml:space="preserve"> </w:t>
      </w:r>
    </w:p>
    <w:p w14:paraId="377A3769" w14:textId="77777777" w:rsidR="003A6AE5" w:rsidRDefault="003A6AE5" w:rsidP="00A335BC">
      <w:pPr>
        <w:spacing w:line="360" w:lineRule="auto"/>
        <w:jc w:val="both"/>
        <w:rPr>
          <w:rFonts w:ascii="Arial" w:hAnsi="Arial" w:cs="Arial"/>
        </w:rPr>
      </w:pPr>
    </w:p>
    <w:p w14:paraId="66AC79D4" w14:textId="44CD308D" w:rsidR="00A335BC" w:rsidRPr="003A6AE5" w:rsidRDefault="00377752" w:rsidP="00A335BC">
      <w:pPr>
        <w:spacing w:line="360" w:lineRule="auto"/>
        <w:jc w:val="both"/>
        <w:rPr>
          <w:rFonts w:ascii="Arial" w:hAnsi="Arial" w:cs="Arial"/>
          <w:lang w:val="en-GB"/>
        </w:rPr>
      </w:pPr>
      <w:r>
        <w:rPr>
          <w:rFonts w:ascii="Arial" w:hAnsi="Arial" w:cs="Arial"/>
          <w:lang w:val="en-US"/>
        </w:rPr>
        <w:t>[2</w:t>
      </w:r>
      <w:r w:rsidR="003A4AB4">
        <w:rPr>
          <w:rFonts w:ascii="Arial" w:hAnsi="Arial" w:cs="Arial"/>
          <w:lang w:val="en-US"/>
        </w:rPr>
        <w:t>7</w:t>
      </w:r>
      <w:r w:rsidRPr="00507C65">
        <w:rPr>
          <w:rFonts w:ascii="Arial" w:hAnsi="Arial" w:cs="Arial"/>
          <w:lang w:val="en-US"/>
        </w:rPr>
        <w:t>]</w:t>
      </w:r>
      <w:r>
        <w:rPr>
          <w:rFonts w:ascii="Arial" w:hAnsi="Arial" w:cs="Arial"/>
          <w:lang w:val="en-US"/>
        </w:rPr>
        <w:tab/>
      </w:r>
      <w:r w:rsidR="003A4AB4">
        <w:rPr>
          <w:rFonts w:ascii="Arial" w:hAnsi="Arial" w:cs="Arial"/>
        </w:rPr>
        <w:t>A</w:t>
      </w:r>
      <w:r w:rsidR="00A335BC">
        <w:rPr>
          <w:rFonts w:ascii="Arial" w:hAnsi="Arial" w:cs="Arial"/>
        </w:rPr>
        <w:t xml:space="preserve">s </w:t>
      </w:r>
      <w:r w:rsidR="00A335BC" w:rsidRPr="00A335BC">
        <w:rPr>
          <w:rFonts w:ascii="Arial" w:hAnsi="Arial" w:cs="Arial"/>
          <w:lang w:val="en-GB"/>
        </w:rPr>
        <w:t xml:space="preserve">Innes JA </w:t>
      </w:r>
      <w:r w:rsidR="00A335BC">
        <w:rPr>
          <w:rFonts w:ascii="Arial" w:hAnsi="Arial" w:cs="Arial"/>
          <w:lang w:val="en-GB"/>
        </w:rPr>
        <w:t xml:space="preserve">observed </w:t>
      </w:r>
      <w:r w:rsidR="003A6AE5">
        <w:rPr>
          <w:rFonts w:ascii="Arial" w:hAnsi="Arial" w:cs="Arial"/>
          <w:lang w:val="en-GB"/>
        </w:rPr>
        <w:t xml:space="preserve">(obiter) </w:t>
      </w:r>
      <w:r w:rsidR="00A335BC" w:rsidRPr="00A335BC">
        <w:rPr>
          <w:rFonts w:ascii="Arial" w:hAnsi="Arial" w:cs="Arial"/>
          <w:lang w:val="en-GB"/>
        </w:rPr>
        <w:t>in</w:t>
      </w:r>
      <w:r w:rsidR="00747338">
        <w:rPr>
          <w:rFonts w:ascii="Arial" w:hAnsi="Arial" w:cs="Arial"/>
          <w:lang w:val="en-GB"/>
        </w:rPr>
        <w:t xml:space="preserve"> </w:t>
      </w:r>
      <w:r w:rsidR="00A335BC" w:rsidRPr="00A335BC">
        <w:rPr>
          <w:rFonts w:ascii="Arial" w:hAnsi="Arial" w:cs="Arial"/>
          <w:i/>
          <w:iCs/>
          <w:lang w:val="en-GB"/>
        </w:rPr>
        <w:t>Wilken v Kohler</w:t>
      </w:r>
      <w:r w:rsidR="003A6AE5">
        <w:rPr>
          <w:rFonts w:ascii="Arial" w:hAnsi="Arial" w:cs="Arial"/>
          <w:lang w:val="en-GB"/>
        </w:rPr>
        <w:t>:</w:t>
      </w:r>
    </w:p>
    <w:p w14:paraId="01CAAD2F" w14:textId="77777777" w:rsidR="00A335BC" w:rsidRPr="00A335BC" w:rsidRDefault="00A335BC" w:rsidP="00A335BC">
      <w:pPr>
        <w:spacing w:line="360" w:lineRule="auto"/>
        <w:jc w:val="both"/>
        <w:rPr>
          <w:rFonts w:ascii="Arial" w:hAnsi="Arial" w:cs="Arial"/>
          <w:sz w:val="22"/>
          <w:szCs w:val="22"/>
          <w:lang w:val="en-GB"/>
        </w:rPr>
      </w:pPr>
      <w:r w:rsidRPr="00A335BC">
        <w:rPr>
          <w:rFonts w:ascii="Arial" w:hAnsi="Arial" w:cs="Arial"/>
          <w:sz w:val="22"/>
          <w:szCs w:val="22"/>
          <w:lang w:val="en-GB"/>
        </w:rPr>
        <w:t>‘It by no means follows that because a court cannot enforce a contract which the law says shall have no force, it would therefore be bound to upset the result of such a contract which the parties had carried through in accordance with its terms. Suppose, for example, an . . . [oral] agreement of sale of fixed property . . ., a payment of the purchase price and due transfer of the land. Neither party would be able to upset the concluded transaction on the mere ground that . . . it was in reality an agreement to sell, invalid and unenforceable in law, but which both seller and purchaser proposed to carry out.’</w:t>
      </w:r>
      <w:r>
        <w:rPr>
          <w:rStyle w:val="FootnoteReference"/>
          <w:rFonts w:ascii="Arial" w:hAnsi="Arial" w:cs="Arial"/>
          <w:sz w:val="22"/>
          <w:szCs w:val="22"/>
          <w:lang w:val="en-GB"/>
        </w:rPr>
        <w:footnoteReference w:id="8"/>
      </w:r>
    </w:p>
    <w:p w14:paraId="57629E84" w14:textId="77777777" w:rsidR="00635811" w:rsidRDefault="00635811" w:rsidP="00A335BC">
      <w:pPr>
        <w:spacing w:line="360" w:lineRule="auto"/>
        <w:jc w:val="both"/>
        <w:rPr>
          <w:rFonts w:ascii="Arial" w:hAnsi="Arial" w:cs="Arial"/>
          <w:lang w:val="en-GB"/>
        </w:rPr>
      </w:pPr>
    </w:p>
    <w:p w14:paraId="7D6821DE" w14:textId="54CAD772" w:rsidR="003A6AE5" w:rsidRDefault="002252B7" w:rsidP="00A335BC">
      <w:pPr>
        <w:spacing w:line="360" w:lineRule="auto"/>
        <w:jc w:val="both"/>
        <w:rPr>
          <w:rFonts w:ascii="Arial" w:hAnsi="Arial" w:cs="Arial"/>
          <w:lang w:val="en-GB"/>
        </w:rPr>
      </w:pPr>
      <w:r>
        <w:rPr>
          <w:rFonts w:ascii="Arial" w:hAnsi="Arial" w:cs="Arial"/>
          <w:lang w:val="en-US"/>
        </w:rPr>
        <w:t>[2</w:t>
      </w:r>
      <w:r w:rsidR="003A4AB4">
        <w:rPr>
          <w:rFonts w:ascii="Arial" w:hAnsi="Arial" w:cs="Arial"/>
          <w:lang w:val="en-US"/>
        </w:rPr>
        <w:t>8</w:t>
      </w:r>
      <w:r w:rsidRPr="00507C65">
        <w:rPr>
          <w:rFonts w:ascii="Arial" w:hAnsi="Arial" w:cs="Arial"/>
          <w:lang w:val="en-US"/>
        </w:rPr>
        <w:t>]</w:t>
      </w:r>
      <w:r>
        <w:rPr>
          <w:rFonts w:ascii="Arial" w:hAnsi="Arial" w:cs="Arial"/>
          <w:lang w:val="en-US"/>
        </w:rPr>
        <w:tab/>
      </w:r>
      <w:r w:rsidR="00677344">
        <w:rPr>
          <w:rFonts w:ascii="Arial" w:hAnsi="Arial" w:cs="Arial"/>
          <w:lang w:val="en-GB"/>
        </w:rPr>
        <w:t xml:space="preserve">Although, </w:t>
      </w:r>
      <w:r w:rsidR="003A6AE5">
        <w:rPr>
          <w:rFonts w:ascii="Arial" w:hAnsi="Arial" w:cs="Arial"/>
          <w:lang w:val="en-GB"/>
        </w:rPr>
        <w:t>t</w:t>
      </w:r>
      <w:r>
        <w:rPr>
          <w:rFonts w:ascii="Arial" w:hAnsi="Arial" w:cs="Arial"/>
          <w:lang w:val="en-GB"/>
        </w:rPr>
        <w:t xml:space="preserve">his </w:t>
      </w:r>
      <w:r w:rsidR="00A335BC" w:rsidRPr="00A335BC">
        <w:rPr>
          <w:rFonts w:ascii="Arial" w:hAnsi="Arial" w:cs="Arial"/>
          <w:i/>
          <w:iCs/>
          <w:lang w:val="en-GB"/>
        </w:rPr>
        <w:t>obiter</w:t>
      </w:r>
      <w:r>
        <w:rPr>
          <w:rFonts w:ascii="Arial" w:hAnsi="Arial" w:cs="Arial"/>
          <w:lang w:val="en-GB"/>
        </w:rPr>
        <w:t xml:space="preserve"> </w:t>
      </w:r>
      <w:r w:rsidR="00A335BC" w:rsidRPr="00A335BC">
        <w:rPr>
          <w:rFonts w:ascii="Arial" w:hAnsi="Arial" w:cs="Arial"/>
          <w:lang w:val="en-GB"/>
        </w:rPr>
        <w:t xml:space="preserve">statement </w:t>
      </w:r>
      <w:r w:rsidR="003A6AE5">
        <w:rPr>
          <w:rFonts w:ascii="Arial" w:hAnsi="Arial" w:cs="Arial"/>
          <w:lang w:val="en-GB"/>
        </w:rPr>
        <w:t>did come in for some</w:t>
      </w:r>
      <w:r w:rsidR="00A335BC" w:rsidRPr="00A335BC">
        <w:rPr>
          <w:rFonts w:ascii="Arial" w:hAnsi="Arial" w:cs="Arial"/>
          <w:lang w:val="en-GB"/>
        </w:rPr>
        <w:t xml:space="preserve"> critici</w:t>
      </w:r>
      <w:r w:rsidR="003A6AE5">
        <w:rPr>
          <w:rFonts w:ascii="Arial" w:hAnsi="Arial" w:cs="Arial"/>
          <w:lang w:val="en-GB"/>
        </w:rPr>
        <w:t>sm, it has since received the unequivocal approval of this Court.</w:t>
      </w:r>
      <w:r w:rsidR="003A6AE5">
        <w:rPr>
          <w:rStyle w:val="FootnoteReference"/>
          <w:rFonts w:ascii="Arial" w:hAnsi="Arial" w:cs="Arial"/>
          <w:lang w:val="en-GB"/>
        </w:rPr>
        <w:footnoteReference w:id="9"/>
      </w:r>
      <w:r w:rsidR="00635811">
        <w:rPr>
          <w:rFonts w:ascii="Arial" w:hAnsi="Arial" w:cs="Arial"/>
          <w:lang w:val="en-GB"/>
        </w:rPr>
        <w:t xml:space="preserve"> It may </w:t>
      </w:r>
      <w:r w:rsidR="003A4AB4">
        <w:rPr>
          <w:rFonts w:ascii="Arial" w:hAnsi="Arial" w:cs="Arial"/>
          <w:lang w:val="en-GB"/>
        </w:rPr>
        <w:t xml:space="preserve">thus </w:t>
      </w:r>
      <w:r w:rsidR="00635811">
        <w:rPr>
          <w:rFonts w:ascii="Arial" w:hAnsi="Arial" w:cs="Arial"/>
          <w:lang w:val="en-GB"/>
        </w:rPr>
        <w:t>not have been open to the parties to the agreement to seek to upset the result of the agreement that had been carried through in accordance with its terms, much less strangers to the agreement</w:t>
      </w:r>
      <w:r w:rsidR="003A4AB4">
        <w:rPr>
          <w:rFonts w:ascii="Arial" w:hAnsi="Arial" w:cs="Arial"/>
          <w:lang w:val="en-GB"/>
        </w:rPr>
        <w:t>,</w:t>
      </w:r>
      <w:r w:rsidR="00635811">
        <w:rPr>
          <w:rFonts w:ascii="Arial" w:hAnsi="Arial" w:cs="Arial"/>
          <w:lang w:val="en-GB"/>
        </w:rPr>
        <w:t xml:space="preserve"> </w:t>
      </w:r>
      <w:r w:rsidR="003A4AB4">
        <w:rPr>
          <w:rFonts w:ascii="Arial" w:hAnsi="Arial" w:cs="Arial"/>
          <w:lang w:val="en-GB"/>
        </w:rPr>
        <w:t>such as</w:t>
      </w:r>
      <w:r w:rsidR="00635811">
        <w:rPr>
          <w:rFonts w:ascii="Arial" w:hAnsi="Arial" w:cs="Arial"/>
          <w:lang w:val="en-GB"/>
        </w:rPr>
        <w:t xml:space="preserve"> the appellants.</w:t>
      </w:r>
      <w:r w:rsidR="00635811">
        <w:rPr>
          <w:rStyle w:val="FootnoteReference"/>
          <w:rFonts w:ascii="Arial" w:hAnsi="Arial" w:cs="Arial"/>
          <w:lang w:val="en-GB"/>
        </w:rPr>
        <w:footnoteReference w:id="10"/>
      </w:r>
      <w:r>
        <w:rPr>
          <w:rFonts w:ascii="Arial" w:hAnsi="Arial" w:cs="Arial"/>
          <w:lang w:val="en-GB"/>
        </w:rPr>
        <w:t xml:space="preserve"> </w:t>
      </w:r>
      <w:r w:rsidR="003A6AE5">
        <w:rPr>
          <w:rFonts w:ascii="Arial" w:hAnsi="Arial" w:cs="Arial"/>
          <w:lang w:val="en-GB"/>
        </w:rPr>
        <w:t xml:space="preserve">It follows, that the high court correctly rejected the appellants’ argument, in declaring that Standard </w:t>
      </w:r>
      <w:r w:rsidR="003A6AE5" w:rsidRPr="002C11E2">
        <w:rPr>
          <w:rFonts w:ascii="Arial" w:hAnsi="Arial" w:cs="Arial"/>
          <w:lang w:val="en-GB"/>
        </w:rPr>
        <w:t xml:space="preserve">Bank </w:t>
      </w:r>
      <w:r w:rsidR="00747338" w:rsidRPr="002C11E2">
        <w:rPr>
          <w:rFonts w:ascii="Arial" w:hAnsi="Arial" w:cs="Arial"/>
          <w:lang w:val="en-GB"/>
        </w:rPr>
        <w:t xml:space="preserve">had </w:t>
      </w:r>
      <w:r w:rsidR="003A6AE5" w:rsidRPr="002C11E2">
        <w:rPr>
          <w:rFonts w:ascii="Arial" w:hAnsi="Arial" w:cs="Arial"/>
          <w:lang w:val="en-GB"/>
        </w:rPr>
        <w:t xml:space="preserve">lawfully </w:t>
      </w:r>
      <w:r w:rsidR="00747338" w:rsidRPr="002C11E2">
        <w:rPr>
          <w:rFonts w:ascii="Arial" w:hAnsi="Arial" w:cs="Arial"/>
          <w:lang w:val="en-GB"/>
        </w:rPr>
        <w:t xml:space="preserve">and </w:t>
      </w:r>
      <w:r w:rsidR="003A6AE5" w:rsidRPr="002C11E2">
        <w:rPr>
          <w:rFonts w:ascii="Arial" w:hAnsi="Arial" w:cs="Arial"/>
          <w:lang w:val="en-GB"/>
        </w:rPr>
        <w:t>validly</w:t>
      </w:r>
      <w:r w:rsidR="003A6AE5">
        <w:rPr>
          <w:rFonts w:ascii="Arial" w:hAnsi="Arial" w:cs="Arial"/>
          <w:lang w:val="en-GB"/>
        </w:rPr>
        <w:t xml:space="preserve"> ceded the VGL-Barbrook claim to Arqomanzi.</w:t>
      </w:r>
    </w:p>
    <w:p w14:paraId="4CE2F495" w14:textId="411C0931" w:rsidR="000A37BB" w:rsidRPr="00306DBD" w:rsidRDefault="00747338" w:rsidP="00306DBD">
      <w:pPr>
        <w:spacing w:after="160" w:line="259" w:lineRule="auto"/>
        <w:rPr>
          <w:rFonts w:ascii="Arial" w:hAnsi="Arial" w:cs="Arial"/>
          <w:lang w:val="en-GB"/>
        </w:rPr>
      </w:pPr>
      <w:r>
        <w:rPr>
          <w:rFonts w:ascii="Arial" w:hAnsi="Arial" w:cs="Arial"/>
          <w:lang w:val="en-GB"/>
        </w:rPr>
        <w:br w:type="page"/>
      </w:r>
      <w:r w:rsidR="000A37BB" w:rsidRPr="00E47E6B">
        <w:rPr>
          <w:rFonts w:ascii="Arial" w:hAnsi="Arial" w:cs="Arial"/>
          <w:i/>
          <w:iCs/>
          <w:lang w:val="en-GB"/>
        </w:rPr>
        <w:lastRenderedPageBreak/>
        <w:t>As t</w:t>
      </w:r>
      <w:r w:rsidR="000A37BB">
        <w:rPr>
          <w:rFonts w:ascii="Arial" w:hAnsi="Arial" w:cs="Arial"/>
          <w:i/>
          <w:iCs/>
          <w:lang w:val="en-GB"/>
        </w:rPr>
        <w:t>o the second</w:t>
      </w:r>
    </w:p>
    <w:p w14:paraId="39CDDD6F" w14:textId="77777777" w:rsidR="0018099F" w:rsidRDefault="002252B7" w:rsidP="00A335BC">
      <w:pPr>
        <w:spacing w:line="360" w:lineRule="auto"/>
        <w:jc w:val="both"/>
        <w:rPr>
          <w:rFonts w:ascii="Arial" w:hAnsi="Arial" w:cs="Arial"/>
          <w:lang w:val="en-GB"/>
        </w:rPr>
      </w:pPr>
      <w:r>
        <w:rPr>
          <w:rFonts w:ascii="Arial" w:hAnsi="Arial" w:cs="Arial"/>
          <w:lang w:val="en-US"/>
        </w:rPr>
        <w:t>[</w:t>
      </w:r>
      <w:r w:rsidR="003A4AB4">
        <w:rPr>
          <w:rFonts w:ascii="Arial" w:hAnsi="Arial" w:cs="Arial"/>
          <w:lang w:val="en-US"/>
        </w:rPr>
        <w:t>29</w:t>
      </w:r>
      <w:r w:rsidRPr="00507C65">
        <w:rPr>
          <w:rFonts w:ascii="Arial" w:hAnsi="Arial" w:cs="Arial"/>
          <w:lang w:val="en-US"/>
        </w:rPr>
        <w:t>]</w:t>
      </w:r>
      <w:r>
        <w:rPr>
          <w:rFonts w:ascii="Arial" w:hAnsi="Arial" w:cs="Arial"/>
          <w:lang w:val="en-US"/>
        </w:rPr>
        <w:tab/>
      </w:r>
      <w:r w:rsidR="005F55D7">
        <w:rPr>
          <w:rFonts w:ascii="Arial" w:hAnsi="Arial" w:cs="Arial"/>
          <w:lang w:val="en-GB"/>
        </w:rPr>
        <w:t xml:space="preserve">The appellants argue that when Argomanzi paid the purchase price of the loan account claims to Standard Bank, the principal debt </w:t>
      </w:r>
      <w:r w:rsidR="003A4AB4">
        <w:rPr>
          <w:rFonts w:ascii="Arial" w:hAnsi="Arial" w:cs="Arial"/>
          <w:lang w:val="en-GB"/>
        </w:rPr>
        <w:t xml:space="preserve">in each instance </w:t>
      </w:r>
      <w:r w:rsidR="005F55D7">
        <w:rPr>
          <w:rFonts w:ascii="Arial" w:hAnsi="Arial" w:cs="Arial"/>
          <w:lang w:val="en-GB"/>
        </w:rPr>
        <w:t>w</w:t>
      </w:r>
      <w:r w:rsidR="003A4AB4">
        <w:rPr>
          <w:rFonts w:ascii="Arial" w:hAnsi="Arial" w:cs="Arial"/>
          <w:lang w:val="en-GB"/>
        </w:rPr>
        <w:t>as</w:t>
      </w:r>
      <w:r w:rsidR="005F55D7">
        <w:rPr>
          <w:rFonts w:ascii="Arial" w:hAnsi="Arial" w:cs="Arial"/>
          <w:lang w:val="en-GB"/>
        </w:rPr>
        <w:t xml:space="preserve"> extinguished thereby and</w:t>
      </w:r>
      <w:r w:rsidR="003A4AB4">
        <w:rPr>
          <w:rFonts w:ascii="Arial" w:hAnsi="Arial" w:cs="Arial"/>
          <w:lang w:val="en-GB"/>
        </w:rPr>
        <w:t>,</w:t>
      </w:r>
      <w:r w:rsidR="005F55D7">
        <w:rPr>
          <w:rFonts w:ascii="Arial" w:hAnsi="Arial" w:cs="Arial"/>
          <w:lang w:val="en-GB"/>
        </w:rPr>
        <w:t xml:space="preserve"> as a result, the loan account claims automatically reverted to VGSA and VGL. </w:t>
      </w:r>
    </w:p>
    <w:p w14:paraId="29B4B4FB" w14:textId="77777777" w:rsidR="0018099F" w:rsidRDefault="0018099F" w:rsidP="00A335BC">
      <w:pPr>
        <w:spacing w:line="360" w:lineRule="auto"/>
        <w:jc w:val="both"/>
        <w:rPr>
          <w:rFonts w:ascii="Arial" w:hAnsi="Arial" w:cs="Arial"/>
          <w:lang w:val="en-GB"/>
        </w:rPr>
      </w:pPr>
    </w:p>
    <w:p w14:paraId="148FC9DE" w14:textId="2A3EAB66" w:rsidR="005F55D7" w:rsidRDefault="002252B7" w:rsidP="00A335BC">
      <w:pPr>
        <w:spacing w:line="360" w:lineRule="auto"/>
        <w:jc w:val="both"/>
        <w:rPr>
          <w:rFonts w:ascii="Arial" w:hAnsi="Arial" w:cs="Arial"/>
          <w:lang w:val="en-GB"/>
        </w:rPr>
      </w:pPr>
      <w:r w:rsidRPr="00507C65">
        <w:rPr>
          <w:rFonts w:ascii="Arial" w:hAnsi="Arial" w:cs="Arial"/>
          <w:lang w:val="en-US"/>
        </w:rPr>
        <w:t>[</w:t>
      </w:r>
      <w:r>
        <w:rPr>
          <w:rFonts w:ascii="Arial" w:hAnsi="Arial" w:cs="Arial"/>
          <w:lang w:val="en-US"/>
        </w:rPr>
        <w:t>3</w:t>
      </w:r>
      <w:r w:rsidR="003A4AB4">
        <w:rPr>
          <w:rFonts w:ascii="Arial" w:hAnsi="Arial" w:cs="Arial"/>
          <w:lang w:val="en-US"/>
        </w:rPr>
        <w:t>0</w:t>
      </w:r>
      <w:r w:rsidRPr="00507C65">
        <w:rPr>
          <w:rFonts w:ascii="Arial" w:hAnsi="Arial" w:cs="Arial"/>
          <w:lang w:val="en-US"/>
        </w:rPr>
        <w:t>]</w:t>
      </w:r>
      <w:r>
        <w:rPr>
          <w:rFonts w:ascii="Arial" w:hAnsi="Arial" w:cs="Arial"/>
          <w:lang w:val="en-US"/>
        </w:rPr>
        <w:tab/>
      </w:r>
      <w:r w:rsidR="005F55D7">
        <w:rPr>
          <w:rFonts w:ascii="Arial" w:hAnsi="Arial" w:cs="Arial"/>
          <w:lang w:val="en-GB"/>
        </w:rPr>
        <w:t xml:space="preserve">Having purchased the loan account claims from Standard Bank, Arqomanzi paid the purchase price. The payment </w:t>
      </w:r>
      <w:r w:rsidR="005F55D7" w:rsidRPr="003A4AB4">
        <w:rPr>
          <w:rFonts w:ascii="Arial" w:hAnsi="Arial" w:cs="Arial"/>
          <w:lang w:val="en-GB"/>
        </w:rPr>
        <w:t>by Arqomanzi constituted performance under th</w:t>
      </w:r>
      <w:r w:rsidR="002D55AB" w:rsidRPr="003A4AB4">
        <w:rPr>
          <w:rFonts w:ascii="Arial" w:hAnsi="Arial" w:cs="Arial"/>
          <w:lang w:val="en-GB"/>
        </w:rPr>
        <w:t>e</w:t>
      </w:r>
      <w:r w:rsidR="005F55D7" w:rsidRPr="003A4AB4">
        <w:rPr>
          <w:rFonts w:ascii="Arial" w:hAnsi="Arial" w:cs="Arial"/>
          <w:lang w:val="en-GB"/>
        </w:rPr>
        <w:t xml:space="preserve"> sale agreement and the addendum. It was not paid </w:t>
      </w:r>
      <w:r w:rsidR="003A4AB4">
        <w:rPr>
          <w:rFonts w:ascii="Arial" w:hAnsi="Arial" w:cs="Arial"/>
          <w:lang w:val="en-GB"/>
        </w:rPr>
        <w:t>(</w:t>
      </w:r>
      <w:r w:rsidR="005F55D7" w:rsidRPr="003A4AB4">
        <w:rPr>
          <w:rFonts w:ascii="Arial" w:hAnsi="Arial" w:cs="Arial"/>
          <w:lang w:val="en-GB"/>
        </w:rPr>
        <w:t>as the appellants incorrectly contend</w:t>
      </w:r>
      <w:r w:rsidR="003A4AB4">
        <w:rPr>
          <w:rFonts w:ascii="Arial" w:hAnsi="Arial" w:cs="Arial"/>
          <w:lang w:val="en-GB"/>
        </w:rPr>
        <w:t>)</w:t>
      </w:r>
      <w:r w:rsidR="005F55D7" w:rsidRPr="003A4AB4">
        <w:rPr>
          <w:rFonts w:ascii="Arial" w:hAnsi="Arial" w:cs="Arial"/>
          <w:lang w:val="en-GB"/>
        </w:rPr>
        <w:t>, to repay the debts owing by VGSA and VGL to Standard Bank.</w:t>
      </w:r>
      <w:r w:rsidR="0018099F">
        <w:rPr>
          <w:rFonts w:ascii="Arial" w:hAnsi="Arial" w:cs="Arial"/>
          <w:lang w:val="en-GB"/>
        </w:rPr>
        <w:t xml:space="preserve"> Standard Bank applied the proceeds of the sale to satisfy the principal debt that was owing by VGSA and VGL. After Standard Bank realised the loan account claims, it no longer had possession of those claims and VGSA and VGL no longer had any reversionary right in respect of them. What remained, was a reversionary right to be paid the net proceeds of the sale of the claims after the monies owing to Standard Bank had been deducted.</w:t>
      </w:r>
    </w:p>
    <w:p w14:paraId="6B400477" w14:textId="77777777" w:rsidR="002D55AB" w:rsidRDefault="002D55AB" w:rsidP="00A335BC">
      <w:pPr>
        <w:spacing w:line="360" w:lineRule="auto"/>
        <w:jc w:val="both"/>
        <w:rPr>
          <w:rFonts w:ascii="Arial" w:hAnsi="Arial" w:cs="Arial"/>
          <w:lang w:val="en-GB"/>
        </w:rPr>
      </w:pPr>
    </w:p>
    <w:p w14:paraId="11F839A0" w14:textId="77777777" w:rsidR="002D55AB" w:rsidRDefault="002D55AB" w:rsidP="00A335BC">
      <w:pPr>
        <w:spacing w:line="360" w:lineRule="auto"/>
        <w:jc w:val="both"/>
        <w:rPr>
          <w:rFonts w:ascii="Arial" w:hAnsi="Arial" w:cs="Arial"/>
          <w:i/>
          <w:iCs/>
          <w:lang w:val="en-GB"/>
        </w:rPr>
      </w:pPr>
      <w:r>
        <w:rPr>
          <w:rFonts w:ascii="Arial" w:hAnsi="Arial" w:cs="Arial"/>
          <w:i/>
          <w:iCs/>
          <w:lang w:val="en-GB"/>
        </w:rPr>
        <w:t>As to the third</w:t>
      </w:r>
    </w:p>
    <w:p w14:paraId="7AC77448" w14:textId="4B9673E9" w:rsidR="00EF635A" w:rsidRDefault="002252B7" w:rsidP="00A335BC">
      <w:pPr>
        <w:spacing w:line="360" w:lineRule="auto"/>
        <w:jc w:val="both"/>
        <w:rPr>
          <w:rFonts w:ascii="Arial" w:hAnsi="Arial" w:cs="Arial"/>
          <w:lang w:val="en-GB"/>
        </w:rPr>
      </w:pPr>
      <w:r>
        <w:rPr>
          <w:rFonts w:ascii="Arial" w:hAnsi="Arial" w:cs="Arial"/>
          <w:lang w:val="en-US"/>
        </w:rPr>
        <w:t>[3</w:t>
      </w:r>
      <w:r w:rsidR="00483D46">
        <w:rPr>
          <w:rFonts w:ascii="Arial" w:hAnsi="Arial" w:cs="Arial"/>
          <w:lang w:val="en-US"/>
        </w:rPr>
        <w:t>1</w:t>
      </w:r>
      <w:r w:rsidRPr="00507C65">
        <w:rPr>
          <w:rFonts w:ascii="Arial" w:hAnsi="Arial" w:cs="Arial"/>
          <w:lang w:val="en-US"/>
        </w:rPr>
        <w:t>]</w:t>
      </w:r>
      <w:r>
        <w:rPr>
          <w:rFonts w:ascii="Arial" w:hAnsi="Arial" w:cs="Arial"/>
          <w:lang w:val="en-US"/>
        </w:rPr>
        <w:tab/>
      </w:r>
      <w:r w:rsidR="00635811">
        <w:rPr>
          <w:rFonts w:ascii="Arial" w:hAnsi="Arial" w:cs="Arial"/>
          <w:lang w:val="en-GB"/>
        </w:rPr>
        <w:t>T</w:t>
      </w:r>
      <w:r w:rsidR="00390227">
        <w:rPr>
          <w:rFonts w:ascii="Arial" w:hAnsi="Arial" w:cs="Arial"/>
          <w:lang w:val="en-GB"/>
        </w:rPr>
        <w:t xml:space="preserve">he appellants contend that the operation of the </w:t>
      </w:r>
      <w:r w:rsidR="00390227">
        <w:rPr>
          <w:rFonts w:ascii="Arial" w:hAnsi="Arial" w:cs="Arial"/>
          <w:i/>
          <w:lang w:val="en-GB"/>
        </w:rPr>
        <w:t xml:space="preserve">parate executie </w:t>
      </w:r>
      <w:r w:rsidR="00390227">
        <w:rPr>
          <w:rFonts w:ascii="Arial" w:hAnsi="Arial" w:cs="Arial"/>
          <w:lang w:val="en-GB"/>
        </w:rPr>
        <w:t xml:space="preserve">clause in the cessions </w:t>
      </w:r>
      <w:r w:rsidR="00390227" w:rsidRPr="00390227">
        <w:rPr>
          <w:rFonts w:ascii="Arial" w:hAnsi="Arial" w:cs="Arial"/>
          <w:i/>
          <w:iCs/>
          <w:lang w:val="en-GB"/>
        </w:rPr>
        <w:t>in securitatem debiti</w:t>
      </w:r>
      <w:r w:rsidR="00390227">
        <w:rPr>
          <w:rFonts w:ascii="Arial" w:hAnsi="Arial" w:cs="Arial"/>
          <w:lang w:val="en-GB"/>
        </w:rPr>
        <w:t xml:space="preserve"> has caused unacceptable hardship. The </w:t>
      </w:r>
      <w:r w:rsidR="00635811">
        <w:rPr>
          <w:rFonts w:ascii="Arial" w:hAnsi="Arial" w:cs="Arial"/>
          <w:lang w:val="en-GB"/>
        </w:rPr>
        <w:t>c</w:t>
      </w:r>
      <w:r w:rsidR="00390227">
        <w:rPr>
          <w:rFonts w:ascii="Arial" w:hAnsi="Arial" w:cs="Arial"/>
          <w:lang w:val="en-GB"/>
        </w:rPr>
        <w:t>essions provide for a 10-day notice before a sale and thus an opportunity to avoid the reali</w:t>
      </w:r>
      <w:r w:rsidR="00635811">
        <w:rPr>
          <w:rFonts w:ascii="Arial" w:hAnsi="Arial" w:cs="Arial"/>
          <w:lang w:val="en-GB"/>
        </w:rPr>
        <w:t>s</w:t>
      </w:r>
      <w:r w:rsidR="00390227">
        <w:rPr>
          <w:rFonts w:ascii="Arial" w:hAnsi="Arial" w:cs="Arial"/>
          <w:lang w:val="en-GB"/>
        </w:rPr>
        <w:t xml:space="preserve">ation of the security. It is only if the debt remains unpaid after 10 days that the relevant clause </w:t>
      </w:r>
      <w:r w:rsidR="00EF635A">
        <w:rPr>
          <w:rFonts w:ascii="Arial" w:hAnsi="Arial" w:cs="Arial"/>
          <w:lang w:val="en-GB"/>
        </w:rPr>
        <w:t>authorises the realisation of the security by private treaty. Standard Bank was entitled to realise its security in terms of the cession</w:t>
      </w:r>
      <w:r w:rsidR="00306DBD" w:rsidRPr="00E47E6B">
        <w:rPr>
          <w:rFonts w:ascii="Arial" w:hAnsi="Arial" w:cs="Arial"/>
          <w:lang w:val="en-GB"/>
        </w:rPr>
        <w:t>,</w:t>
      </w:r>
      <w:r w:rsidR="00EF635A">
        <w:rPr>
          <w:rFonts w:ascii="Arial" w:hAnsi="Arial" w:cs="Arial"/>
          <w:lang w:val="en-GB"/>
        </w:rPr>
        <w:t xml:space="preserve"> w</w:t>
      </w:r>
      <w:r w:rsidR="00635811">
        <w:rPr>
          <w:rFonts w:ascii="Arial" w:hAnsi="Arial" w:cs="Arial"/>
          <w:lang w:val="en-GB"/>
        </w:rPr>
        <w:t xml:space="preserve">hen </w:t>
      </w:r>
      <w:r w:rsidR="00EF635A">
        <w:rPr>
          <w:rFonts w:ascii="Arial" w:hAnsi="Arial" w:cs="Arial"/>
          <w:lang w:val="en-GB"/>
        </w:rPr>
        <w:t xml:space="preserve">payment of the debt was </w:t>
      </w:r>
      <w:r w:rsidR="00CE3306">
        <w:rPr>
          <w:rFonts w:ascii="Arial" w:hAnsi="Arial" w:cs="Arial"/>
          <w:lang w:val="en-GB"/>
        </w:rPr>
        <w:t xml:space="preserve">not </w:t>
      </w:r>
      <w:r w:rsidR="00EF635A">
        <w:rPr>
          <w:rFonts w:ascii="Arial" w:hAnsi="Arial" w:cs="Arial"/>
          <w:lang w:val="en-GB"/>
        </w:rPr>
        <w:t>forthcoming. The process of realisation would ordinarily result in a change of the identity of the creditor. That is neither unexpected, nor, per se, prejudicial.</w:t>
      </w:r>
      <w:r w:rsidR="00390227">
        <w:rPr>
          <w:rFonts w:ascii="Arial" w:hAnsi="Arial" w:cs="Arial"/>
          <w:lang w:val="en-GB"/>
        </w:rPr>
        <w:t xml:space="preserve"> </w:t>
      </w:r>
    </w:p>
    <w:p w14:paraId="50C4E118" w14:textId="77777777" w:rsidR="00EF635A" w:rsidRDefault="00EF635A" w:rsidP="00A335BC">
      <w:pPr>
        <w:spacing w:line="360" w:lineRule="auto"/>
        <w:jc w:val="both"/>
        <w:rPr>
          <w:rFonts w:ascii="Arial" w:hAnsi="Arial" w:cs="Arial"/>
          <w:lang w:val="en-GB"/>
        </w:rPr>
      </w:pPr>
    </w:p>
    <w:p w14:paraId="2BFC4823" w14:textId="08F9C53E" w:rsidR="00EF635A" w:rsidRDefault="009325A7" w:rsidP="00A335BC">
      <w:pPr>
        <w:spacing w:line="360" w:lineRule="auto"/>
        <w:jc w:val="both"/>
        <w:rPr>
          <w:rFonts w:ascii="Arial" w:hAnsi="Arial" w:cs="Arial"/>
          <w:i/>
          <w:lang w:val="en-GB"/>
        </w:rPr>
      </w:pPr>
      <w:r>
        <w:rPr>
          <w:rFonts w:ascii="Arial" w:hAnsi="Arial" w:cs="Arial"/>
          <w:lang w:val="en-US"/>
        </w:rPr>
        <w:t>[3</w:t>
      </w:r>
      <w:r w:rsidR="0073090D">
        <w:rPr>
          <w:rFonts w:ascii="Arial" w:hAnsi="Arial" w:cs="Arial"/>
          <w:lang w:val="en-US"/>
        </w:rPr>
        <w:t>2</w:t>
      </w:r>
      <w:r w:rsidRPr="00507C65">
        <w:rPr>
          <w:rFonts w:ascii="Arial" w:hAnsi="Arial" w:cs="Arial"/>
          <w:lang w:val="en-US"/>
        </w:rPr>
        <w:t>]</w:t>
      </w:r>
      <w:r>
        <w:rPr>
          <w:rFonts w:ascii="Arial" w:hAnsi="Arial" w:cs="Arial"/>
          <w:lang w:val="en-US"/>
        </w:rPr>
        <w:tab/>
      </w:r>
      <w:r w:rsidR="00EF635A">
        <w:rPr>
          <w:rFonts w:ascii="Arial" w:hAnsi="Arial" w:cs="Arial"/>
          <w:lang w:val="en-GB"/>
        </w:rPr>
        <w:t xml:space="preserve">It is accepted that a provision for immediate execution (a </w:t>
      </w:r>
      <w:r w:rsidR="00EF635A">
        <w:rPr>
          <w:rFonts w:ascii="Arial" w:hAnsi="Arial" w:cs="Arial"/>
          <w:i/>
          <w:iCs/>
          <w:lang w:val="en-GB"/>
        </w:rPr>
        <w:t xml:space="preserve">parate executie </w:t>
      </w:r>
      <w:r w:rsidR="00EF635A">
        <w:rPr>
          <w:rFonts w:ascii="Arial" w:hAnsi="Arial" w:cs="Arial"/>
          <w:lang w:val="en-GB"/>
        </w:rPr>
        <w:t>clause) in an agreement is valid and enforceable when it relates to movables that are held in pledge.</w:t>
      </w:r>
      <w:r w:rsidR="00EF635A">
        <w:rPr>
          <w:rStyle w:val="FootnoteReference"/>
          <w:rFonts w:ascii="Arial" w:hAnsi="Arial" w:cs="Arial"/>
          <w:lang w:val="en-GB"/>
        </w:rPr>
        <w:footnoteReference w:id="11"/>
      </w:r>
      <w:r w:rsidR="00EF635A">
        <w:rPr>
          <w:rFonts w:ascii="Arial" w:hAnsi="Arial" w:cs="Arial"/>
          <w:lang w:val="en-GB"/>
        </w:rPr>
        <w:t xml:space="preserve"> The cession of a personal right</w:t>
      </w:r>
      <w:r w:rsidR="00EF635A" w:rsidRPr="00EF635A">
        <w:rPr>
          <w:rFonts w:ascii="Arial" w:hAnsi="Arial" w:cs="Arial"/>
          <w:i/>
          <w:iCs/>
          <w:lang w:val="en-GB"/>
        </w:rPr>
        <w:t xml:space="preserve"> </w:t>
      </w:r>
      <w:r w:rsidR="00EF635A" w:rsidRPr="00390227">
        <w:rPr>
          <w:rFonts w:ascii="Arial" w:hAnsi="Arial" w:cs="Arial"/>
          <w:i/>
          <w:iCs/>
          <w:lang w:val="en-GB"/>
        </w:rPr>
        <w:t>in securitatem debiti</w:t>
      </w:r>
      <w:r w:rsidR="00EF635A">
        <w:rPr>
          <w:rFonts w:ascii="Arial" w:hAnsi="Arial" w:cs="Arial"/>
          <w:lang w:val="en-GB"/>
        </w:rPr>
        <w:t xml:space="preserve"> is regarded as a </w:t>
      </w:r>
      <w:r w:rsidR="00EF635A">
        <w:rPr>
          <w:rFonts w:ascii="Arial" w:hAnsi="Arial" w:cs="Arial"/>
          <w:lang w:val="en-GB"/>
        </w:rPr>
        <w:lastRenderedPageBreak/>
        <w:t>pledge of that right.</w:t>
      </w:r>
      <w:r w:rsidR="00EF635A">
        <w:rPr>
          <w:rStyle w:val="FootnoteReference"/>
          <w:rFonts w:ascii="Arial" w:hAnsi="Arial" w:cs="Arial"/>
          <w:lang w:val="en-GB"/>
        </w:rPr>
        <w:footnoteReference w:id="12"/>
      </w:r>
      <w:r w:rsidR="00EF635A">
        <w:rPr>
          <w:rFonts w:ascii="Arial" w:hAnsi="Arial" w:cs="Arial"/>
          <w:lang w:val="en-GB"/>
        </w:rPr>
        <w:t xml:space="preserve"> A </w:t>
      </w:r>
      <w:r w:rsidR="008002CF">
        <w:rPr>
          <w:rFonts w:ascii="Arial" w:hAnsi="Arial" w:cs="Arial"/>
          <w:lang w:val="en-GB"/>
        </w:rPr>
        <w:t xml:space="preserve">debtor may, </w:t>
      </w:r>
      <w:r w:rsidR="00CE3306">
        <w:rPr>
          <w:rFonts w:ascii="Arial" w:hAnsi="Arial" w:cs="Arial"/>
          <w:lang w:val="en-GB"/>
        </w:rPr>
        <w:t>when</w:t>
      </w:r>
      <w:r w:rsidR="008002CF">
        <w:rPr>
          <w:rFonts w:ascii="Arial" w:hAnsi="Arial" w:cs="Arial"/>
          <w:lang w:val="en-GB"/>
        </w:rPr>
        <w:t xml:space="preserve"> the creditor seeks to invoke the </w:t>
      </w:r>
      <w:r w:rsidR="008002CF">
        <w:rPr>
          <w:rFonts w:ascii="Arial" w:hAnsi="Arial" w:cs="Arial"/>
          <w:i/>
          <w:iCs/>
          <w:lang w:val="en-GB"/>
        </w:rPr>
        <w:t xml:space="preserve">parate executie </w:t>
      </w:r>
      <w:r w:rsidR="008002CF">
        <w:rPr>
          <w:rFonts w:ascii="Arial" w:hAnsi="Arial" w:cs="Arial"/>
          <w:lang w:val="en-GB"/>
        </w:rPr>
        <w:t>clause in an agreement, ‘seek the protection of the Court if, upon any just ground, he can show that, in carrying out</w:t>
      </w:r>
      <w:r w:rsidR="006C512C">
        <w:rPr>
          <w:rFonts w:ascii="Arial" w:hAnsi="Arial" w:cs="Arial"/>
          <w:lang w:val="en-GB"/>
        </w:rPr>
        <w:t xml:space="preserve"> the agreement and effecting a</w:t>
      </w:r>
      <w:r w:rsidR="008002CF">
        <w:rPr>
          <w:rFonts w:ascii="Arial" w:hAnsi="Arial" w:cs="Arial"/>
          <w:lang w:val="en-GB"/>
        </w:rPr>
        <w:t xml:space="preserve"> sale, the creditor has acted in a manner </w:t>
      </w:r>
      <w:r w:rsidR="008002CF" w:rsidRPr="006C512C">
        <w:rPr>
          <w:rFonts w:ascii="Arial" w:hAnsi="Arial" w:cs="Arial"/>
          <w:lang w:val="en-GB"/>
        </w:rPr>
        <w:t xml:space="preserve">which </w:t>
      </w:r>
      <w:r w:rsidR="006C512C" w:rsidRPr="006C512C">
        <w:rPr>
          <w:rFonts w:ascii="Arial" w:hAnsi="Arial" w:cs="Arial"/>
          <w:lang w:val="en-GB"/>
        </w:rPr>
        <w:t>ha</w:t>
      </w:r>
      <w:r w:rsidR="008002CF" w:rsidRPr="006C512C">
        <w:rPr>
          <w:rFonts w:ascii="Arial" w:hAnsi="Arial" w:cs="Arial"/>
          <w:lang w:val="en-GB"/>
        </w:rPr>
        <w:t>s prejudiced</w:t>
      </w:r>
      <w:r w:rsidR="008002CF">
        <w:rPr>
          <w:rFonts w:ascii="Arial" w:hAnsi="Arial" w:cs="Arial"/>
          <w:lang w:val="en-GB"/>
        </w:rPr>
        <w:t xml:space="preserve"> him in his rights’.</w:t>
      </w:r>
      <w:r w:rsidR="008002CF">
        <w:rPr>
          <w:rStyle w:val="FootnoteReference"/>
          <w:rFonts w:ascii="Arial" w:hAnsi="Arial" w:cs="Arial"/>
          <w:lang w:val="en-GB"/>
        </w:rPr>
        <w:footnoteReference w:id="13"/>
      </w:r>
      <w:r w:rsidR="008002CF">
        <w:rPr>
          <w:rFonts w:ascii="Arial" w:hAnsi="Arial" w:cs="Arial"/>
          <w:lang w:val="en-GB"/>
        </w:rPr>
        <w:t xml:space="preserve"> The onus</w:t>
      </w:r>
      <w:r w:rsidR="0073090D">
        <w:rPr>
          <w:rFonts w:ascii="Arial" w:hAnsi="Arial" w:cs="Arial"/>
          <w:lang w:val="en-GB"/>
        </w:rPr>
        <w:t>, in this regard,</w:t>
      </w:r>
      <w:r w:rsidR="008002CF">
        <w:rPr>
          <w:rFonts w:ascii="Arial" w:hAnsi="Arial" w:cs="Arial"/>
          <w:lang w:val="en-GB"/>
        </w:rPr>
        <w:t xml:space="preserve"> would be on the debtor. Despite being notified in advance by Standard Bank</w:t>
      </w:r>
      <w:r w:rsidR="00CE3306">
        <w:rPr>
          <w:rFonts w:ascii="Arial" w:hAnsi="Arial" w:cs="Arial"/>
          <w:lang w:val="en-GB"/>
        </w:rPr>
        <w:t xml:space="preserve">, </w:t>
      </w:r>
      <w:r w:rsidR="008002CF">
        <w:rPr>
          <w:rFonts w:ascii="Arial" w:hAnsi="Arial" w:cs="Arial"/>
          <w:lang w:val="en-GB"/>
        </w:rPr>
        <w:t>not just that the loan account claims would be sold, but also the amounts at which they were eventually sold, neither VGSA nor VGL took any steps to prevent the sales or to have them declared invalid. The appellants also did not institute a counter application in this matter to have the sales declared invalid.</w:t>
      </w:r>
      <w:r w:rsidR="009E4463">
        <w:rPr>
          <w:rFonts w:ascii="Arial" w:hAnsi="Arial" w:cs="Arial"/>
          <w:lang w:val="en-GB"/>
        </w:rPr>
        <w:t xml:space="preserve"> Moreover, insofar as the VGSA-VGL </w:t>
      </w:r>
      <w:r w:rsidR="00677344">
        <w:rPr>
          <w:rFonts w:ascii="Arial" w:hAnsi="Arial" w:cs="Arial"/>
          <w:lang w:val="en-GB"/>
        </w:rPr>
        <w:t xml:space="preserve">claim </w:t>
      </w:r>
      <w:r w:rsidR="009E4463">
        <w:rPr>
          <w:rFonts w:ascii="Arial" w:hAnsi="Arial" w:cs="Arial"/>
          <w:lang w:val="en-GB"/>
        </w:rPr>
        <w:t>is concerned, the prejudice argument was con</w:t>
      </w:r>
      <w:r w:rsidR="00CE3306">
        <w:rPr>
          <w:rFonts w:ascii="Arial" w:hAnsi="Arial" w:cs="Arial"/>
          <w:lang w:val="en-GB"/>
        </w:rPr>
        <w:t>sidered</w:t>
      </w:r>
      <w:r w:rsidR="009E4463">
        <w:rPr>
          <w:rFonts w:ascii="Arial" w:hAnsi="Arial" w:cs="Arial"/>
          <w:lang w:val="en-GB"/>
        </w:rPr>
        <w:t xml:space="preserve"> and dismissed by Roelofse AJ. The issue is accordingly</w:t>
      </w:r>
      <w:r w:rsidR="009E4463">
        <w:rPr>
          <w:rFonts w:ascii="Arial" w:hAnsi="Arial" w:cs="Arial"/>
          <w:i/>
          <w:lang w:val="en-GB"/>
        </w:rPr>
        <w:t xml:space="preserve"> res judicata.</w:t>
      </w:r>
    </w:p>
    <w:p w14:paraId="08682835" w14:textId="77777777" w:rsidR="0073090D" w:rsidRDefault="0073090D" w:rsidP="00A335BC">
      <w:pPr>
        <w:spacing w:line="360" w:lineRule="auto"/>
        <w:jc w:val="both"/>
        <w:rPr>
          <w:rFonts w:ascii="Arial" w:hAnsi="Arial" w:cs="Arial"/>
          <w:lang w:val="en-GB"/>
        </w:rPr>
      </w:pPr>
    </w:p>
    <w:p w14:paraId="1EDB234B" w14:textId="6E978B78" w:rsidR="00390227" w:rsidRDefault="009325A7" w:rsidP="00A335BC">
      <w:pPr>
        <w:spacing w:line="360" w:lineRule="auto"/>
        <w:jc w:val="both"/>
        <w:rPr>
          <w:rFonts w:ascii="Arial" w:hAnsi="Arial" w:cs="Arial"/>
          <w:lang w:val="en-GB"/>
        </w:rPr>
      </w:pPr>
      <w:r>
        <w:rPr>
          <w:rFonts w:ascii="Arial" w:hAnsi="Arial" w:cs="Arial"/>
          <w:lang w:val="en-US"/>
        </w:rPr>
        <w:t>[3</w:t>
      </w:r>
      <w:r w:rsidR="0073090D">
        <w:rPr>
          <w:rFonts w:ascii="Arial" w:hAnsi="Arial" w:cs="Arial"/>
          <w:lang w:val="en-US"/>
        </w:rPr>
        <w:t>3</w:t>
      </w:r>
      <w:r w:rsidRPr="00507C65">
        <w:rPr>
          <w:rFonts w:ascii="Arial" w:hAnsi="Arial" w:cs="Arial"/>
          <w:lang w:val="en-US"/>
        </w:rPr>
        <w:t>]</w:t>
      </w:r>
      <w:r>
        <w:rPr>
          <w:rFonts w:ascii="Arial" w:hAnsi="Arial" w:cs="Arial"/>
          <w:lang w:val="en-US"/>
        </w:rPr>
        <w:tab/>
      </w:r>
      <w:r w:rsidR="00390227">
        <w:rPr>
          <w:rFonts w:ascii="Arial" w:hAnsi="Arial" w:cs="Arial"/>
          <w:lang w:val="en-GB"/>
        </w:rPr>
        <w:t xml:space="preserve">The appellants argue that the sale of the loan account claims was prejudicial to them for two principal reasons: first, </w:t>
      </w:r>
      <w:r w:rsidR="00390227" w:rsidRPr="002C11E2">
        <w:rPr>
          <w:rFonts w:ascii="Arial" w:hAnsi="Arial" w:cs="Arial"/>
          <w:lang w:val="en-GB"/>
        </w:rPr>
        <w:t>because Standard</w:t>
      </w:r>
      <w:r w:rsidR="00390227">
        <w:rPr>
          <w:rFonts w:ascii="Arial" w:hAnsi="Arial" w:cs="Arial"/>
          <w:lang w:val="en-GB"/>
        </w:rPr>
        <w:t xml:space="preserve"> Bank sold the claims for less than their fair value; and, second, because </w:t>
      </w:r>
      <w:r w:rsidR="00747338">
        <w:rPr>
          <w:rFonts w:ascii="Arial" w:hAnsi="Arial" w:cs="Arial"/>
          <w:lang w:val="en-GB"/>
        </w:rPr>
        <w:t>S</w:t>
      </w:r>
      <w:r w:rsidR="00390227">
        <w:rPr>
          <w:rFonts w:ascii="Arial" w:hAnsi="Arial" w:cs="Arial"/>
          <w:lang w:val="en-GB"/>
        </w:rPr>
        <w:t>tand</w:t>
      </w:r>
      <w:r w:rsidR="00677344">
        <w:rPr>
          <w:rFonts w:ascii="Arial" w:hAnsi="Arial" w:cs="Arial"/>
          <w:lang w:val="en-GB"/>
        </w:rPr>
        <w:t>ard Bank refused to accept a</w:t>
      </w:r>
      <w:r w:rsidR="00390227">
        <w:rPr>
          <w:rFonts w:ascii="Arial" w:hAnsi="Arial" w:cs="Arial"/>
          <w:lang w:val="en-GB"/>
        </w:rPr>
        <w:t xml:space="preserve"> tender of payment</w:t>
      </w:r>
      <w:r w:rsidR="00677344">
        <w:rPr>
          <w:rFonts w:ascii="Arial" w:hAnsi="Arial" w:cs="Arial"/>
          <w:lang w:val="en-GB"/>
        </w:rPr>
        <w:t xml:space="preserve"> from them</w:t>
      </w:r>
      <w:r w:rsidR="00390227">
        <w:rPr>
          <w:rFonts w:ascii="Arial" w:hAnsi="Arial" w:cs="Arial"/>
          <w:lang w:val="en-GB"/>
        </w:rPr>
        <w:t>.</w:t>
      </w:r>
    </w:p>
    <w:p w14:paraId="57E5A3E6" w14:textId="77777777" w:rsidR="009E4463" w:rsidRDefault="009E4463" w:rsidP="00A335BC">
      <w:pPr>
        <w:spacing w:line="360" w:lineRule="auto"/>
        <w:jc w:val="both"/>
        <w:rPr>
          <w:rFonts w:ascii="Arial" w:hAnsi="Arial" w:cs="Arial"/>
          <w:lang w:val="en-GB"/>
        </w:rPr>
      </w:pPr>
    </w:p>
    <w:p w14:paraId="1FCD9C7A" w14:textId="7C9E618D" w:rsidR="009E4463" w:rsidRDefault="009325A7" w:rsidP="00A335BC">
      <w:pPr>
        <w:spacing w:line="360" w:lineRule="auto"/>
        <w:jc w:val="both"/>
        <w:rPr>
          <w:rFonts w:ascii="Arial" w:hAnsi="Arial" w:cs="Arial"/>
          <w:iCs/>
          <w:lang w:val="en-GB"/>
        </w:rPr>
      </w:pPr>
      <w:r>
        <w:rPr>
          <w:rFonts w:ascii="Arial" w:hAnsi="Arial" w:cs="Arial"/>
          <w:lang w:val="en-US"/>
        </w:rPr>
        <w:t>[3</w:t>
      </w:r>
      <w:r w:rsidR="0073090D">
        <w:rPr>
          <w:rFonts w:ascii="Arial" w:hAnsi="Arial" w:cs="Arial"/>
          <w:lang w:val="en-US"/>
        </w:rPr>
        <w:t>4</w:t>
      </w:r>
      <w:r w:rsidRPr="00507C65">
        <w:rPr>
          <w:rFonts w:ascii="Arial" w:hAnsi="Arial" w:cs="Arial"/>
          <w:lang w:val="en-US"/>
        </w:rPr>
        <w:t>]</w:t>
      </w:r>
      <w:r>
        <w:rPr>
          <w:rFonts w:ascii="Arial" w:hAnsi="Arial" w:cs="Arial"/>
          <w:lang w:val="en-US"/>
        </w:rPr>
        <w:tab/>
      </w:r>
      <w:r w:rsidR="009E4463">
        <w:rPr>
          <w:rFonts w:ascii="Arial" w:hAnsi="Arial" w:cs="Arial"/>
          <w:lang w:val="en-GB"/>
        </w:rPr>
        <w:t xml:space="preserve">The appellants contend that the value of VGSA’s loan account in VGL was recorded to be approximately R369 million in the deed of cession. The suggestion seems to be that this amount (or some other unspecified amount) was the true value of the loan account when the sale agreement was concluded. However, that is a </w:t>
      </w:r>
      <w:r w:rsidR="009E4463" w:rsidRPr="009E4463">
        <w:rPr>
          <w:rFonts w:ascii="Arial" w:hAnsi="Arial" w:cs="Arial"/>
          <w:i/>
          <w:iCs/>
          <w:lang w:val="en-GB"/>
        </w:rPr>
        <w:t>non</w:t>
      </w:r>
      <w:r w:rsidR="0073090D">
        <w:rPr>
          <w:rFonts w:ascii="Arial" w:hAnsi="Arial" w:cs="Arial"/>
          <w:i/>
          <w:iCs/>
          <w:lang w:val="en-GB"/>
        </w:rPr>
        <w:t>-</w:t>
      </w:r>
      <w:r w:rsidR="009E4463" w:rsidRPr="009E4463">
        <w:rPr>
          <w:rFonts w:ascii="Arial" w:hAnsi="Arial" w:cs="Arial"/>
          <w:i/>
          <w:iCs/>
          <w:lang w:val="en-GB"/>
        </w:rPr>
        <w:t>sequitur</w:t>
      </w:r>
      <w:r w:rsidR="009E4463">
        <w:rPr>
          <w:rFonts w:ascii="Arial" w:hAnsi="Arial" w:cs="Arial"/>
          <w:i/>
          <w:iCs/>
          <w:lang w:val="en-GB"/>
        </w:rPr>
        <w:t xml:space="preserve">. </w:t>
      </w:r>
      <w:r w:rsidR="009E4463">
        <w:rPr>
          <w:rFonts w:ascii="Arial" w:hAnsi="Arial" w:cs="Arial"/>
          <w:iCs/>
          <w:lang w:val="en-GB"/>
        </w:rPr>
        <w:t xml:space="preserve">The sale was an arm’s length transaction as between a willing buyer and </w:t>
      </w:r>
      <w:r w:rsidR="00960D19">
        <w:rPr>
          <w:rFonts w:ascii="Arial" w:hAnsi="Arial" w:cs="Arial"/>
          <w:iCs/>
          <w:lang w:val="en-GB"/>
        </w:rPr>
        <w:t xml:space="preserve">a </w:t>
      </w:r>
      <w:r w:rsidR="009E4463">
        <w:rPr>
          <w:rFonts w:ascii="Arial" w:hAnsi="Arial" w:cs="Arial"/>
          <w:iCs/>
          <w:lang w:val="en-GB"/>
        </w:rPr>
        <w:t>willing seller.</w:t>
      </w:r>
      <w:r w:rsidR="00960D19">
        <w:rPr>
          <w:rFonts w:ascii="Arial" w:hAnsi="Arial" w:cs="Arial"/>
          <w:iCs/>
          <w:lang w:val="en-GB"/>
        </w:rPr>
        <w:t xml:space="preserve"> VGL, Barbrook and MIMCO are in business rescue because they are financially distressed. According to the adopted plans, they are both commercially and factually insolvent and have been for several years after the conclusion of the </w:t>
      </w:r>
      <w:r w:rsidR="00677344">
        <w:rPr>
          <w:rFonts w:ascii="Arial" w:hAnsi="Arial" w:cs="Arial"/>
          <w:iCs/>
          <w:lang w:val="en-GB"/>
        </w:rPr>
        <w:t>agreements of cession.</w:t>
      </w:r>
    </w:p>
    <w:p w14:paraId="2DF8B9B5" w14:textId="77777777" w:rsidR="00960D19" w:rsidRDefault="00960D19" w:rsidP="00A335BC">
      <w:pPr>
        <w:spacing w:line="360" w:lineRule="auto"/>
        <w:jc w:val="both"/>
        <w:rPr>
          <w:rFonts w:ascii="Arial" w:hAnsi="Arial" w:cs="Arial"/>
          <w:iCs/>
          <w:lang w:val="en-GB"/>
        </w:rPr>
      </w:pPr>
    </w:p>
    <w:p w14:paraId="39F90FDF" w14:textId="4AF38A05" w:rsidR="00960D19" w:rsidRDefault="009325A7" w:rsidP="00A335BC">
      <w:pPr>
        <w:spacing w:line="360" w:lineRule="auto"/>
        <w:jc w:val="both"/>
        <w:rPr>
          <w:rFonts w:ascii="Arial" w:hAnsi="Arial" w:cs="Arial"/>
          <w:iCs/>
          <w:lang w:val="en-GB"/>
        </w:rPr>
      </w:pPr>
      <w:r>
        <w:rPr>
          <w:rFonts w:ascii="Arial" w:hAnsi="Arial" w:cs="Arial"/>
          <w:lang w:val="en-US"/>
        </w:rPr>
        <w:t>[3</w:t>
      </w:r>
      <w:r w:rsidR="0073090D">
        <w:rPr>
          <w:rFonts w:ascii="Arial" w:hAnsi="Arial" w:cs="Arial"/>
          <w:lang w:val="en-US"/>
        </w:rPr>
        <w:t>5</w:t>
      </w:r>
      <w:r w:rsidRPr="00507C65">
        <w:rPr>
          <w:rFonts w:ascii="Arial" w:hAnsi="Arial" w:cs="Arial"/>
          <w:lang w:val="en-US"/>
        </w:rPr>
        <w:t>]</w:t>
      </w:r>
      <w:r>
        <w:rPr>
          <w:rFonts w:ascii="Arial" w:hAnsi="Arial" w:cs="Arial"/>
          <w:lang w:val="en-US"/>
        </w:rPr>
        <w:tab/>
      </w:r>
      <w:r w:rsidR="00960D19">
        <w:rPr>
          <w:rFonts w:ascii="Arial" w:hAnsi="Arial" w:cs="Arial"/>
          <w:iCs/>
          <w:lang w:val="en-GB"/>
        </w:rPr>
        <w:t xml:space="preserve">VGSA was itself unwilling to settle the debt of VGL. VGSA had been invited to pay the VGL debt prior to the sale and afforded a period of 10 days </w:t>
      </w:r>
      <w:r w:rsidR="00CE3306">
        <w:rPr>
          <w:rFonts w:ascii="Arial" w:hAnsi="Arial" w:cs="Arial"/>
          <w:iCs/>
          <w:lang w:val="en-GB"/>
        </w:rPr>
        <w:t xml:space="preserve">within which </w:t>
      </w:r>
      <w:r w:rsidR="00960D19">
        <w:rPr>
          <w:rFonts w:ascii="Arial" w:hAnsi="Arial" w:cs="Arial"/>
          <w:iCs/>
          <w:lang w:val="en-GB"/>
        </w:rPr>
        <w:t>to do so. It did not</w:t>
      </w:r>
      <w:r w:rsidR="00CE3306">
        <w:rPr>
          <w:rFonts w:ascii="Arial" w:hAnsi="Arial" w:cs="Arial"/>
          <w:iCs/>
          <w:lang w:val="en-GB"/>
        </w:rPr>
        <w:t>.</w:t>
      </w:r>
      <w:r w:rsidR="00960D19">
        <w:rPr>
          <w:rFonts w:ascii="Arial" w:hAnsi="Arial" w:cs="Arial"/>
          <w:iCs/>
          <w:lang w:val="en-GB"/>
        </w:rPr>
        <w:t xml:space="preserve"> </w:t>
      </w:r>
      <w:r w:rsidR="00CE3306">
        <w:rPr>
          <w:rFonts w:ascii="Arial" w:hAnsi="Arial" w:cs="Arial"/>
          <w:iCs/>
          <w:lang w:val="en-GB"/>
        </w:rPr>
        <w:t>It</w:t>
      </w:r>
      <w:r w:rsidR="00960D19">
        <w:rPr>
          <w:rFonts w:ascii="Arial" w:hAnsi="Arial" w:cs="Arial"/>
          <w:iCs/>
          <w:lang w:val="en-GB"/>
        </w:rPr>
        <w:t xml:space="preserve"> thus declined the opportunity to avoid the sale to Arqomanzi at the disclosed price. The same applied to the VGL loan account in Barbrook</w:t>
      </w:r>
      <w:r w:rsidR="00E11FA6">
        <w:rPr>
          <w:rFonts w:ascii="Arial" w:hAnsi="Arial" w:cs="Arial"/>
          <w:iCs/>
          <w:lang w:val="en-GB"/>
        </w:rPr>
        <w:t xml:space="preserve">. It refused to </w:t>
      </w:r>
      <w:r w:rsidR="00E11FA6">
        <w:rPr>
          <w:rFonts w:ascii="Arial" w:hAnsi="Arial" w:cs="Arial"/>
          <w:iCs/>
          <w:lang w:val="en-GB"/>
        </w:rPr>
        <w:lastRenderedPageBreak/>
        <w:t>pay the debt to avoid the sale despite advance notification that the proposed selling price for the loan account in Barbrook was R1 and for the MIMCO claims was approximately R6 million.</w:t>
      </w:r>
      <w:r w:rsidR="00E11FA6" w:rsidRPr="00E11FA6">
        <w:rPr>
          <w:rFonts w:ascii="Arial" w:hAnsi="Arial" w:cs="Arial"/>
          <w:iCs/>
          <w:lang w:val="en-GB"/>
        </w:rPr>
        <w:t xml:space="preserve"> </w:t>
      </w:r>
      <w:r w:rsidR="00E11FA6">
        <w:rPr>
          <w:rFonts w:ascii="Arial" w:hAnsi="Arial" w:cs="Arial"/>
          <w:iCs/>
          <w:lang w:val="en-GB"/>
        </w:rPr>
        <w:t xml:space="preserve">It is noteworthy that no attempt was made by the appellants to state the </w:t>
      </w:r>
      <w:r w:rsidR="00426F84">
        <w:rPr>
          <w:rFonts w:ascii="Arial" w:hAnsi="Arial" w:cs="Arial"/>
          <w:iCs/>
          <w:lang w:val="en-GB"/>
        </w:rPr>
        <w:t>true value of the loan accounts – p</w:t>
      </w:r>
      <w:r w:rsidR="00E11FA6">
        <w:rPr>
          <w:rFonts w:ascii="Arial" w:hAnsi="Arial" w:cs="Arial"/>
          <w:iCs/>
          <w:lang w:val="en-GB"/>
        </w:rPr>
        <w:t xml:space="preserve">erhaps with good reason. </w:t>
      </w:r>
      <w:r w:rsidR="0073090D">
        <w:rPr>
          <w:rFonts w:ascii="Arial" w:hAnsi="Arial" w:cs="Arial"/>
          <w:iCs/>
          <w:lang w:val="en-GB"/>
        </w:rPr>
        <w:t>Given the financial distress of VGL, Barbrook and MIMCO, t</w:t>
      </w:r>
      <w:r w:rsidR="00E11FA6">
        <w:rPr>
          <w:rFonts w:ascii="Arial" w:hAnsi="Arial" w:cs="Arial"/>
          <w:iCs/>
          <w:lang w:val="en-GB"/>
        </w:rPr>
        <w:t>hey appear to have had no value beyond what was paid for them. The appellants failed to produce any evidence to establish the real value</w:t>
      </w:r>
      <w:r w:rsidR="00677344">
        <w:rPr>
          <w:rFonts w:ascii="Arial" w:hAnsi="Arial" w:cs="Arial"/>
          <w:iCs/>
          <w:lang w:val="en-GB"/>
        </w:rPr>
        <w:t xml:space="preserve">, which would have been </w:t>
      </w:r>
      <w:r w:rsidR="00E11FA6">
        <w:rPr>
          <w:rFonts w:ascii="Arial" w:hAnsi="Arial" w:cs="Arial"/>
          <w:iCs/>
          <w:lang w:val="en-GB"/>
        </w:rPr>
        <w:t xml:space="preserve">necessary </w:t>
      </w:r>
      <w:r w:rsidR="00CE3306">
        <w:rPr>
          <w:rFonts w:ascii="Arial" w:hAnsi="Arial" w:cs="Arial"/>
          <w:iCs/>
          <w:lang w:val="en-GB"/>
        </w:rPr>
        <w:t xml:space="preserve">for them </w:t>
      </w:r>
      <w:r w:rsidR="00E11FA6">
        <w:rPr>
          <w:rFonts w:ascii="Arial" w:hAnsi="Arial" w:cs="Arial"/>
          <w:iCs/>
          <w:lang w:val="en-GB"/>
        </w:rPr>
        <w:t>to have discharged the onus rest</w:t>
      </w:r>
      <w:r w:rsidR="00CE3306">
        <w:rPr>
          <w:rFonts w:ascii="Arial" w:hAnsi="Arial" w:cs="Arial"/>
          <w:iCs/>
          <w:lang w:val="en-GB"/>
        </w:rPr>
        <w:t>ing</w:t>
      </w:r>
      <w:r w:rsidR="00E11FA6">
        <w:rPr>
          <w:rFonts w:ascii="Arial" w:hAnsi="Arial" w:cs="Arial"/>
          <w:iCs/>
          <w:lang w:val="en-GB"/>
        </w:rPr>
        <w:t xml:space="preserve"> upon them. The appellants accordingly failed to demonstrate with reference to any primary facts that the loan account claims were sold for less than their realisable value.</w:t>
      </w:r>
    </w:p>
    <w:p w14:paraId="22E2C3EB" w14:textId="77777777" w:rsidR="00E11FA6" w:rsidRDefault="00E11FA6" w:rsidP="00A335BC">
      <w:pPr>
        <w:spacing w:line="360" w:lineRule="auto"/>
        <w:jc w:val="both"/>
        <w:rPr>
          <w:rFonts w:ascii="Arial" w:hAnsi="Arial" w:cs="Arial"/>
          <w:iCs/>
          <w:lang w:val="en-GB"/>
        </w:rPr>
      </w:pPr>
    </w:p>
    <w:p w14:paraId="7082C30B" w14:textId="76B14CD7" w:rsidR="00E11FA6" w:rsidRPr="00C06C5E" w:rsidRDefault="00426F84" w:rsidP="00A335BC">
      <w:pPr>
        <w:spacing w:line="360" w:lineRule="auto"/>
        <w:jc w:val="both"/>
        <w:rPr>
          <w:rFonts w:ascii="Arial" w:hAnsi="Arial" w:cs="Arial"/>
          <w:iCs/>
          <w:lang w:val="en-GB"/>
        </w:rPr>
      </w:pPr>
      <w:r>
        <w:rPr>
          <w:rFonts w:ascii="Arial" w:hAnsi="Arial" w:cs="Arial"/>
          <w:iCs/>
          <w:lang w:val="en-GB"/>
        </w:rPr>
        <w:t>[3</w:t>
      </w:r>
      <w:r w:rsidR="0073090D">
        <w:rPr>
          <w:rFonts w:ascii="Arial" w:hAnsi="Arial" w:cs="Arial"/>
          <w:iCs/>
          <w:lang w:val="en-GB"/>
        </w:rPr>
        <w:t>6</w:t>
      </w:r>
      <w:r>
        <w:rPr>
          <w:rFonts w:ascii="Arial" w:hAnsi="Arial" w:cs="Arial"/>
          <w:iCs/>
          <w:lang w:val="en-GB"/>
        </w:rPr>
        <w:t>]</w:t>
      </w:r>
      <w:r>
        <w:rPr>
          <w:rFonts w:ascii="Arial" w:hAnsi="Arial" w:cs="Arial"/>
          <w:iCs/>
          <w:lang w:val="en-GB"/>
        </w:rPr>
        <w:tab/>
      </w:r>
      <w:r w:rsidR="00E11FA6">
        <w:rPr>
          <w:rFonts w:ascii="Arial" w:hAnsi="Arial" w:cs="Arial"/>
          <w:iCs/>
          <w:lang w:val="en-GB"/>
        </w:rPr>
        <w:t>The contention that Standard Bank rejected the appellants’ tende</w:t>
      </w:r>
      <w:r w:rsidR="00CE3306">
        <w:rPr>
          <w:rFonts w:ascii="Arial" w:hAnsi="Arial" w:cs="Arial"/>
          <w:iCs/>
          <w:lang w:val="en-GB"/>
        </w:rPr>
        <w:t>r</w:t>
      </w:r>
      <w:r w:rsidR="00E11FA6">
        <w:rPr>
          <w:rFonts w:ascii="Arial" w:hAnsi="Arial" w:cs="Arial"/>
          <w:iCs/>
          <w:lang w:val="en-GB"/>
        </w:rPr>
        <w:t xml:space="preserve"> to pay the principal debt owed to it</w:t>
      </w:r>
      <w:r w:rsidR="00A1721B">
        <w:rPr>
          <w:rFonts w:ascii="Arial" w:hAnsi="Arial" w:cs="Arial"/>
          <w:iCs/>
          <w:lang w:val="en-GB"/>
        </w:rPr>
        <w:t>,</w:t>
      </w:r>
      <w:r w:rsidR="00E11FA6">
        <w:rPr>
          <w:rFonts w:ascii="Arial" w:hAnsi="Arial" w:cs="Arial"/>
          <w:iCs/>
          <w:lang w:val="en-GB"/>
        </w:rPr>
        <w:t xml:space="preserve"> is factually incorrect as was demonstrated in Standard Bank’s affidavit. Correspondence was exchanged between the appellants’ erstwhile attorney</w:t>
      </w:r>
      <w:r w:rsidR="00C06C5E">
        <w:rPr>
          <w:rFonts w:ascii="Arial" w:hAnsi="Arial" w:cs="Arial"/>
          <w:iCs/>
          <w:lang w:val="en-GB"/>
        </w:rPr>
        <w:t xml:space="preserve"> and Standard Bank’s attorney during September and </w:t>
      </w:r>
      <w:r w:rsidR="00C06C5E" w:rsidRPr="002C11E2">
        <w:rPr>
          <w:rFonts w:ascii="Arial" w:hAnsi="Arial" w:cs="Arial"/>
          <w:iCs/>
          <w:lang w:val="en-GB"/>
        </w:rPr>
        <w:t xml:space="preserve">November 2020. </w:t>
      </w:r>
      <w:r w:rsidR="00A1721B" w:rsidRPr="002C11E2">
        <w:rPr>
          <w:rFonts w:ascii="Arial" w:hAnsi="Arial" w:cs="Arial"/>
          <w:iCs/>
          <w:lang w:val="en-GB"/>
        </w:rPr>
        <w:t>Standard</w:t>
      </w:r>
      <w:r w:rsidR="00C06C5E" w:rsidRPr="002C11E2">
        <w:rPr>
          <w:rFonts w:ascii="Arial" w:hAnsi="Arial" w:cs="Arial"/>
          <w:iCs/>
          <w:lang w:val="en-GB"/>
        </w:rPr>
        <w:t xml:space="preserve"> </w:t>
      </w:r>
      <w:r w:rsidR="004123DE" w:rsidRPr="002C11E2">
        <w:rPr>
          <w:rFonts w:ascii="Arial" w:hAnsi="Arial" w:cs="Arial"/>
          <w:iCs/>
          <w:lang w:val="en-GB"/>
        </w:rPr>
        <w:t>B</w:t>
      </w:r>
      <w:r w:rsidR="00C06C5E" w:rsidRPr="002C11E2">
        <w:rPr>
          <w:rFonts w:ascii="Arial" w:hAnsi="Arial" w:cs="Arial"/>
          <w:iCs/>
          <w:lang w:val="en-GB"/>
        </w:rPr>
        <w:t xml:space="preserve">ank’s attorney initially declined the tender because </w:t>
      </w:r>
      <w:r w:rsidR="00CE3306" w:rsidRPr="002C11E2">
        <w:rPr>
          <w:rFonts w:ascii="Arial" w:hAnsi="Arial" w:cs="Arial"/>
          <w:iCs/>
          <w:lang w:val="en-GB"/>
        </w:rPr>
        <w:t>it</w:t>
      </w:r>
      <w:r w:rsidR="00C06C5E" w:rsidRPr="002C11E2">
        <w:rPr>
          <w:rFonts w:ascii="Arial" w:hAnsi="Arial" w:cs="Arial"/>
          <w:iCs/>
          <w:lang w:val="en-GB"/>
        </w:rPr>
        <w:t xml:space="preserve"> was conditional</w:t>
      </w:r>
      <w:r w:rsidR="00CE3306" w:rsidRPr="002C11E2">
        <w:rPr>
          <w:rFonts w:ascii="Arial" w:hAnsi="Arial" w:cs="Arial"/>
          <w:iCs/>
          <w:lang w:val="en-GB"/>
        </w:rPr>
        <w:t xml:space="preserve"> </w:t>
      </w:r>
      <w:r w:rsidR="004D68B4" w:rsidRPr="002C11E2">
        <w:rPr>
          <w:rFonts w:ascii="Arial" w:hAnsi="Arial" w:cs="Arial"/>
          <w:iCs/>
          <w:lang w:val="en-GB"/>
        </w:rPr>
        <w:t>– h</w:t>
      </w:r>
      <w:r w:rsidR="00C06C5E" w:rsidRPr="002C11E2">
        <w:rPr>
          <w:rFonts w:ascii="Arial" w:hAnsi="Arial" w:cs="Arial"/>
          <w:iCs/>
          <w:lang w:val="en-GB"/>
        </w:rPr>
        <w:t>aving been</w:t>
      </w:r>
      <w:r w:rsidR="00C06C5E">
        <w:rPr>
          <w:rFonts w:ascii="Arial" w:hAnsi="Arial" w:cs="Arial"/>
          <w:iCs/>
          <w:lang w:val="en-GB"/>
        </w:rPr>
        <w:t xml:space="preserve"> made on the basis that the loan account ceded to Standard Bank in </w:t>
      </w:r>
      <w:r w:rsidR="00C06C5E">
        <w:rPr>
          <w:rFonts w:ascii="Arial" w:hAnsi="Arial" w:cs="Arial"/>
          <w:i/>
          <w:lang w:val="en-GB"/>
        </w:rPr>
        <w:t>securitatem debiti</w:t>
      </w:r>
      <w:r w:rsidR="00C06C5E">
        <w:rPr>
          <w:rFonts w:ascii="Arial" w:hAnsi="Arial" w:cs="Arial"/>
          <w:lang w:val="en-GB"/>
        </w:rPr>
        <w:t xml:space="preserve"> had to be restored to the bank. By then, the security had been realised</w:t>
      </w:r>
      <w:r w:rsidR="0073090D">
        <w:rPr>
          <w:rFonts w:ascii="Arial" w:hAnsi="Arial" w:cs="Arial"/>
          <w:lang w:val="en-GB"/>
        </w:rPr>
        <w:t xml:space="preserve"> and</w:t>
      </w:r>
      <w:r w:rsidR="00C06C5E">
        <w:rPr>
          <w:rFonts w:ascii="Arial" w:hAnsi="Arial" w:cs="Arial"/>
          <w:lang w:val="en-GB"/>
        </w:rPr>
        <w:t xml:space="preserve"> the loan account had been sold to Arqomanzi. In terms of the sale agreement, ownership of the loan account had already pa</w:t>
      </w:r>
      <w:r w:rsidR="00CE3306">
        <w:rPr>
          <w:rFonts w:ascii="Arial" w:hAnsi="Arial" w:cs="Arial"/>
          <w:lang w:val="en-GB"/>
        </w:rPr>
        <w:t>s</w:t>
      </w:r>
      <w:r w:rsidR="00C06C5E">
        <w:rPr>
          <w:rFonts w:ascii="Arial" w:hAnsi="Arial" w:cs="Arial"/>
          <w:lang w:val="en-GB"/>
        </w:rPr>
        <w:t>sed to the l</w:t>
      </w:r>
      <w:r w:rsidR="00CE3306">
        <w:rPr>
          <w:rFonts w:ascii="Arial" w:hAnsi="Arial" w:cs="Arial"/>
          <w:lang w:val="en-GB"/>
        </w:rPr>
        <w:t>a</w:t>
      </w:r>
      <w:r w:rsidR="00C06C5E">
        <w:rPr>
          <w:rFonts w:ascii="Arial" w:hAnsi="Arial" w:cs="Arial"/>
          <w:lang w:val="en-GB"/>
        </w:rPr>
        <w:t>tter. Accordingly, the condition of acceptance could not be met.</w:t>
      </w:r>
    </w:p>
    <w:p w14:paraId="6381716F" w14:textId="77777777" w:rsidR="00960D19" w:rsidRDefault="00960D19" w:rsidP="00A335BC">
      <w:pPr>
        <w:spacing w:line="360" w:lineRule="auto"/>
        <w:jc w:val="both"/>
        <w:rPr>
          <w:rFonts w:ascii="Arial" w:hAnsi="Arial" w:cs="Arial"/>
          <w:lang w:val="en-GB"/>
        </w:rPr>
      </w:pPr>
    </w:p>
    <w:p w14:paraId="77E993A6" w14:textId="3E9B5CC0" w:rsidR="00C06C5E" w:rsidRDefault="004D68B4" w:rsidP="00A335BC">
      <w:pPr>
        <w:spacing w:line="360" w:lineRule="auto"/>
        <w:jc w:val="both"/>
        <w:rPr>
          <w:rFonts w:ascii="Arial" w:hAnsi="Arial" w:cs="Arial"/>
          <w:lang w:val="en-GB"/>
        </w:rPr>
      </w:pPr>
      <w:r>
        <w:rPr>
          <w:rFonts w:ascii="Arial" w:hAnsi="Arial" w:cs="Arial"/>
          <w:lang w:val="en-GB"/>
        </w:rPr>
        <w:t>[3</w:t>
      </w:r>
      <w:r w:rsidR="0073090D">
        <w:rPr>
          <w:rFonts w:ascii="Arial" w:hAnsi="Arial" w:cs="Arial"/>
          <w:lang w:val="en-GB"/>
        </w:rPr>
        <w:t>7</w:t>
      </w:r>
      <w:r>
        <w:rPr>
          <w:rFonts w:ascii="Arial" w:hAnsi="Arial" w:cs="Arial"/>
          <w:lang w:val="en-GB"/>
        </w:rPr>
        <w:t>]</w:t>
      </w:r>
      <w:r>
        <w:rPr>
          <w:rFonts w:ascii="Arial" w:hAnsi="Arial" w:cs="Arial"/>
          <w:lang w:val="en-GB"/>
        </w:rPr>
        <w:tab/>
      </w:r>
      <w:r w:rsidR="0073090D">
        <w:rPr>
          <w:rFonts w:ascii="Arial" w:hAnsi="Arial" w:cs="Arial"/>
          <w:lang w:val="en-GB"/>
        </w:rPr>
        <w:t>In any event, t</w:t>
      </w:r>
      <w:r w:rsidR="00C06C5E">
        <w:rPr>
          <w:rFonts w:ascii="Arial" w:hAnsi="Arial" w:cs="Arial"/>
          <w:lang w:val="en-GB"/>
        </w:rPr>
        <w:t>he tender made by VGSA</w:t>
      </w:r>
      <w:r w:rsidR="0073090D">
        <w:rPr>
          <w:rFonts w:ascii="Arial" w:hAnsi="Arial" w:cs="Arial"/>
          <w:lang w:val="en-GB"/>
        </w:rPr>
        <w:t xml:space="preserve"> </w:t>
      </w:r>
      <w:r w:rsidR="00C06C5E">
        <w:rPr>
          <w:rFonts w:ascii="Arial" w:hAnsi="Arial" w:cs="Arial"/>
          <w:lang w:val="en-GB"/>
        </w:rPr>
        <w:t>only ever encompassed payment of the debt due by VGL to Standard Bank</w:t>
      </w:r>
      <w:r w:rsidR="00CE3306">
        <w:rPr>
          <w:rFonts w:ascii="Arial" w:hAnsi="Arial" w:cs="Arial"/>
          <w:lang w:val="en-GB"/>
        </w:rPr>
        <w:t>,</w:t>
      </w:r>
      <w:r w:rsidR="00C06C5E">
        <w:rPr>
          <w:rFonts w:ascii="Arial" w:hAnsi="Arial" w:cs="Arial"/>
          <w:lang w:val="en-GB"/>
        </w:rPr>
        <w:t xml:space="preserve"> as secured by the cession of VGSA’s loan account in VGL. No tender was made by VGSA, Barbrook or MIMCO (or any other member of the Vantage </w:t>
      </w:r>
      <w:r w:rsidR="0073090D">
        <w:rPr>
          <w:rFonts w:ascii="Arial" w:hAnsi="Arial" w:cs="Arial"/>
          <w:lang w:val="en-GB"/>
        </w:rPr>
        <w:t>Companies</w:t>
      </w:r>
      <w:r w:rsidR="00C06C5E">
        <w:rPr>
          <w:rFonts w:ascii="Arial" w:hAnsi="Arial" w:cs="Arial"/>
          <w:lang w:val="en-GB"/>
        </w:rPr>
        <w:t>) to pay the debt of MIMCO, as secured by the cession of VGL’s loan account in Barbrook</w:t>
      </w:r>
      <w:r w:rsidR="00990293">
        <w:rPr>
          <w:rFonts w:ascii="Arial" w:hAnsi="Arial" w:cs="Arial"/>
          <w:lang w:val="en-GB"/>
        </w:rPr>
        <w:t xml:space="preserve">, as well as MIMCO’s cession of book debts. By virtue of the omnibus guarantee and </w:t>
      </w:r>
      <w:r w:rsidR="00990293" w:rsidRPr="00E47E6B">
        <w:rPr>
          <w:rFonts w:ascii="Arial" w:hAnsi="Arial" w:cs="Arial"/>
          <w:lang w:val="en-GB"/>
        </w:rPr>
        <w:t>cessions</w:t>
      </w:r>
      <w:r w:rsidR="007D1047" w:rsidRPr="00E47E6B">
        <w:rPr>
          <w:rFonts w:ascii="Arial" w:hAnsi="Arial" w:cs="Arial"/>
          <w:lang w:val="en-GB"/>
        </w:rPr>
        <w:t>,</w:t>
      </w:r>
      <w:r w:rsidR="00990293">
        <w:rPr>
          <w:rFonts w:ascii="Arial" w:hAnsi="Arial" w:cs="Arial"/>
          <w:lang w:val="en-GB"/>
        </w:rPr>
        <w:t xml:space="preserve"> VGSA, VGL and Barbrook were all liable for the debt of MIMCO.</w:t>
      </w:r>
    </w:p>
    <w:p w14:paraId="56D24FD3" w14:textId="77777777" w:rsidR="00990293" w:rsidRDefault="00990293" w:rsidP="00A335BC">
      <w:pPr>
        <w:spacing w:line="360" w:lineRule="auto"/>
        <w:jc w:val="both"/>
        <w:rPr>
          <w:rFonts w:ascii="Arial" w:hAnsi="Arial" w:cs="Arial"/>
          <w:lang w:val="en-GB"/>
        </w:rPr>
      </w:pPr>
    </w:p>
    <w:p w14:paraId="5D4D29B1" w14:textId="77777777" w:rsidR="00990293" w:rsidRDefault="006F45ED" w:rsidP="00A335BC">
      <w:pPr>
        <w:spacing w:line="360" w:lineRule="auto"/>
        <w:jc w:val="both"/>
        <w:rPr>
          <w:rFonts w:ascii="Arial" w:hAnsi="Arial" w:cs="Arial"/>
          <w:b/>
          <w:bCs/>
        </w:rPr>
      </w:pPr>
      <w:r>
        <w:rPr>
          <w:rFonts w:ascii="Arial" w:hAnsi="Arial" w:cs="Arial"/>
          <w:b/>
          <w:bCs/>
        </w:rPr>
        <w:t>I</w:t>
      </w:r>
      <w:r w:rsidR="00990293" w:rsidRPr="00990293">
        <w:rPr>
          <w:rFonts w:ascii="Arial" w:hAnsi="Arial" w:cs="Arial"/>
          <w:b/>
          <w:bCs/>
        </w:rPr>
        <w:t xml:space="preserve">s </w:t>
      </w:r>
      <w:r w:rsidRPr="00990293">
        <w:rPr>
          <w:rFonts w:ascii="Arial" w:hAnsi="Arial" w:cs="Arial"/>
          <w:b/>
          <w:bCs/>
        </w:rPr>
        <w:t xml:space="preserve">Arqomanzi </w:t>
      </w:r>
      <w:r w:rsidR="00990293" w:rsidRPr="00990293">
        <w:rPr>
          <w:rFonts w:ascii="Arial" w:hAnsi="Arial" w:cs="Arial"/>
          <w:b/>
          <w:bCs/>
        </w:rPr>
        <w:t>an independent creditor</w:t>
      </w:r>
      <w:r>
        <w:rPr>
          <w:rFonts w:ascii="Arial" w:hAnsi="Arial" w:cs="Arial"/>
          <w:b/>
          <w:bCs/>
        </w:rPr>
        <w:t>?</w:t>
      </w:r>
    </w:p>
    <w:p w14:paraId="7445558C" w14:textId="77777777" w:rsidR="00CE3306" w:rsidRDefault="004D68B4" w:rsidP="00A335BC">
      <w:pPr>
        <w:spacing w:line="360" w:lineRule="auto"/>
        <w:jc w:val="both"/>
        <w:rPr>
          <w:rFonts w:ascii="Arial" w:hAnsi="Arial" w:cs="Arial"/>
          <w:iCs/>
        </w:rPr>
      </w:pPr>
      <w:r>
        <w:rPr>
          <w:rFonts w:ascii="Arial" w:hAnsi="Arial" w:cs="Arial"/>
          <w:lang w:val="en-US"/>
        </w:rPr>
        <w:t>[3</w:t>
      </w:r>
      <w:r w:rsidR="0073090D">
        <w:rPr>
          <w:rFonts w:ascii="Arial" w:hAnsi="Arial" w:cs="Arial"/>
          <w:lang w:val="en-US"/>
        </w:rPr>
        <w:t>8</w:t>
      </w:r>
      <w:r w:rsidRPr="00507C65">
        <w:rPr>
          <w:rFonts w:ascii="Arial" w:hAnsi="Arial" w:cs="Arial"/>
          <w:lang w:val="en-US"/>
        </w:rPr>
        <w:t>]</w:t>
      </w:r>
      <w:r>
        <w:rPr>
          <w:rFonts w:ascii="Arial" w:hAnsi="Arial" w:cs="Arial"/>
          <w:lang w:val="en-US"/>
        </w:rPr>
        <w:tab/>
      </w:r>
      <w:r w:rsidR="006F45ED">
        <w:rPr>
          <w:rFonts w:ascii="Arial" w:hAnsi="Arial" w:cs="Arial"/>
        </w:rPr>
        <w:t xml:space="preserve">The appellants argue that even if Arqomanzi is the owner of the loan account claims, it cannot be an independent creditor of VGL and Barbrook. Insofar as the VGSA-VGL claim is concerned: This issue was considered and decided by Roelofse </w:t>
      </w:r>
      <w:r w:rsidR="006F45ED">
        <w:rPr>
          <w:rFonts w:ascii="Arial" w:hAnsi="Arial" w:cs="Arial"/>
        </w:rPr>
        <w:lastRenderedPageBreak/>
        <w:t xml:space="preserve">AJ in the first application, in which the learned judge held that Arqomanzi was an independent creditor of VGL. The issue is accordingly </w:t>
      </w:r>
      <w:r w:rsidR="006F45ED" w:rsidRPr="006F45ED">
        <w:rPr>
          <w:rFonts w:ascii="Arial" w:hAnsi="Arial" w:cs="Arial"/>
          <w:i/>
          <w:iCs/>
        </w:rPr>
        <w:t>res judicata</w:t>
      </w:r>
      <w:r w:rsidR="006F45ED">
        <w:rPr>
          <w:rFonts w:ascii="Arial" w:hAnsi="Arial" w:cs="Arial"/>
          <w:iCs/>
        </w:rPr>
        <w:t xml:space="preserve"> and cannot be reconsidered.</w:t>
      </w:r>
      <w:r w:rsidR="006F45ED">
        <w:rPr>
          <w:rStyle w:val="FootnoteReference"/>
          <w:rFonts w:ascii="Arial" w:hAnsi="Arial" w:cs="Arial"/>
          <w:iCs/>
        </w:rPr>
        <w:footnoteReference w:id="14"/>
      </w:r>
    </w:p>
    <w:p w14:paraId="22EFCB6E" w14:textId="77777777" w:rsidR="00CE3306" w:rsidRDefault="00CE3306" w:rsidP="00A335BC">
      <w:pPr>
        <w:spacing w:line="360" w:lineRule="auto"/>
        <w:jc w:val="both"/>
        <w:rPr>
          <w:rFonts w:ascii="Arial" w:hAnsi="Arial" w:cs="Arial"/>
          <w:iCs/>
        </w:rPr>
      </w:pPr>
    </w:p>
    <w:p w14:paraId="645C0045" w14:textId="55D4DF47" w:rsidR="006F45ED" w:rsidRDefault="004D68B4" w:rsidP="00A335BC">
      <w:pPr>
        <w:spacing w:line="360" w:lineRule="auto"/>
        <w:jc w:val="both"/>
        <w:rPr>
          <w:rFonts w:ascii="Arial" w:hAnsi="Arial" w:cs="Arial"/>
          <w:iCs/>
        </w:rPr>
      </w:pPr>
      <w:r>
        <w:rPr>
          <w:rFonts w:ascii="Arial" w:hAnsi="Arial" w:cs="Arial"/>
          <w:lang w:val="en-US"/>
        </w:rPr>
        <w:t>[</w:t>
      </w:r>
      <w:r w:rsidR="003846E8">
        <w:rPr>
          <w:rFonts w:ascii="Arial" w:hAnsi="Arial" w:cs="Arial"/>
          <w:lang w:val="en-US"/>
        </w:rPr>
        <w:t>39</w:t>
      </w:r>
      <w:r w:rsidRPr="00507C65">
        <w:rPr>
          <w:rFonts w:ascii="Arial" w:hAnsi="Arial" w:cs="Arial"/>
          <w:lang w:val="en-US"/>
        </w:rPr>
        <w:t>]</w:t>
      </w:r>
      <w:r>
        <w:rPr>
          <w:rFonts w:ascii="Arial" w:hAnsi="Arial" w:cs="Arial"/>
          <w:lang w:val="en-US"/>
        </w:rPr>
        <w:tab/>
      </w:r>
      <w:r w:rsidR="006F45ED">
        <w:rPr>
          <w:rFonts w:ascii="Arial" w:hAnsi="Arial" w:cs="Arial"/>
          <w:iCs/>
        </w:rPr>
        <w:t>Regarding the VGL-Barbrook claim</w:t>
      </w:r>
      <w:r w:rsidR="003846E8">
        <w:rPr>
          <w:rFonts w:ascii="Arial" w:hAnsi="Arial" w:cs="Arial"/>
          <w:iCs/>
        </w:rPr>
        <w:t>,</w:t>
      </w:r>
      <w:r w:rsidR="006F45ED">
        <w:rPr>
          <w:rFonts w:ascii="Arial" w:hAnsi="Arial" w:cs="Arial"/>
          <w:iCs/>
        </w:rPr>
        <w:t xml:space="preserve"> </w:t>
      </w:r>
      <w:r w:rsidR="003846E8">
        <w:rPr>
          <w:rFonts w:ascii="Arial" w:hAnsi="Arial" w:cs="Arial"/>
          <w:iCs/>
        </w:rPr>
        <w:t>t</w:t>
      </w:r>
      <w:r w:rsidR="006F45ED">
        <w:rPr>
          <w:rFonts w:ascii="Arial" w:hAnsi="Arial" w:cs="Arial"/>
          <w:iCs/>
        </w:rPr>
        <w:t>he reasoning adopted by Roelofse AJ in the first application must apply. The term ‘independent creditor’ is defined in s</w:t>
      </w:r>
      <w:r w:rsidR="006C512C">
        <w:rPr>
          <w:rFonts w:ascii="Arial" w:hAnsi="Arial" w:cs="Arial"/>
          <w:iCs/>
        </w:rPr>
        <w:t> </w:t>
      </w:r>
      <w:r w:rsidR="006F45ED">
        <w:rPr>
          <w:rFonts w:ascii="Arial" w:hAnsi="Arial" w:cs="Arial"/>
          <w:iCs/>
        </w:rPr>
        <w:t>128(1)</w:t>
      </w:r>
      <w:r w:rsidR="006F45ED" w:rsidRPr="004D68B4">
        <w:rPr>
          <w:rFonts w:ascii="Arial" w:hAnsi="Arial" w:cs="Arial"/>
          <w:i/>
          <w:iCs/>
        </w:rPr>
        <w:t>(g)</w:t>
      </w:r>
      <w:r w:rsidR="006F45ED">
        <w:rPr>
          <w:rFonts w:ascii="Arial" w:hAnsi="Arial" w:cs="Arial"/>
          <w:iCs/>
        </w:rPr>
        <w:t xml:space="preserve"> of the Companies Act. The definition makes clear that the identity of the creditor and its relationship to the company in business rescue are the determining factors. It is common cause that Arqomanzi is not related to any of the Vantage Companies</w:t>
      </w:r>
      <w:r w:rsidR="00276B0E">
        <w:rPr>
          <w:rFonts w:ascii="Arial" w:hAnsi="Arial" w:cs="Arial"/>
          <w:iCs/>
        </w:rPr>
        <w:t>. Arqomanzi is therefore an independent creditor of Barbrook.</w:t>
      </w:r>
    </w:p>
    <w:p w14:paraId="38833195" w14:textId="77777777" w:rsidR="00276B0E" w:rsidRDefault="00276B0E" w:rsidP="00A335BC">
      <w:pPr>
        <w:spacing w:line="360" w:lineRule="auto"/>
        <w:jc w:val="both"/>
        <w:rPr>
          <w:rFonts w:ascii="Arial" w:hAnsi="Arial" w:cs="Arial"/>
          <w:iCs/>
        </w:rPr>
      </w:pPr>
    </w:p>
    <w:p w14:paraId="1C11E4CB" w14:textId="77777777" w:rsidR="00276B0E" w:rsidRDefault="00276B0E" w:rsidP="00A335BC">
      <w:pPr>
        <w:spacing w:line="360" w:lineRule="auto"/>
        <w:jc w:val="both"/>
        <w:rPr>
          <w:rFonts w:ascii="Arial" w:hAnsi="Arial" w:cs="Arial"/>
          <w:b/>
          <w:bCs/>
          <w:iCs/>
        </w:rPr>
      </w:pPr>
      <w:r>
        <w:rPr>
          <w:rFonts w:ascii="Arial" w:hAnsi="Arial" w:cs="Arial"/>
          <w:b/>
          <w:bCs/>
          <w:iCs/>
        </w:rPr>
        <w:t>The Subordination</w:t>
      </w:r>
    </w:p>
    <w:p w14:paraId="7582F40B" w14:textId="77777777" w:rsidR="00846CCC" w:rsidRDefault="004D68B4" w:rsidP="00A335BC">
      <w:pPr>
        <w:spacing w:line="360" w:lineRule="auto"/>
        <w:jc w:val="both"/>
        <w:rPr>
          <w:rFonts w:ascii="Arial" w:hAnsi="Arial" w:cs="Arial"/>
          <w:iCs/>
        </w:rPr>
      </w:pPr>
      <w:r w:rsidRPr="00507C65">
        <w:rPr>
          <w:rFonts w:ascii="Arial" w:hAnsi="Arial" w:cs="Arial"/>
          <w:lang w:val="en-US"/>
        </w:rPr>
        <w:t>[</w:t>
      </w:r>
      <w:r>
        <w:rPr>
          <w:rFonts w:ascii="Arial" w:hAnsi="Arial" w:cs="Arial"/>
          <w:lang w:val="en-US"/>
        </w:rPr>
        <w:t>4</w:t>
      </w:r>
      <w:r w:rsidR="003846E8">
        <w:rPr>
          <w:rFonts w:ascii="Arial" w:hAnsi="Arial" w:cs="Arial"/>
          <w:lang w:val="en-US"/>
        </w:rPr>
        <w:t>0</w:t>
      </w:r>
      <w:r w:rsidRPr="00507C65">
        <w:rPr>
          <w:rFonts w:ascii="Arial" w:hAnsi="Arial" w:cs="Arial"/>
          <w:lang w:val="en-US"/>
        </w:rPr>
        <w:t>]</w:t>
      </w:r>
      <w:r>
        <w:rPr>
          <w:rFonts w:ascii="Arial" w:hAnsi="Arial" w:cs="Arial"/>
          <w:lang w:val="en-US"/>
        </w:rPr>
        <w:tab/>
      </w:r>
      <w:r w:rsidR="001B7C3F">
        <w:rPr>
          <w:rFonts w:ascii="Arial" w:hAnsi="Arial" w:cs="Arial"/>
          <w:iCs/>
        </w:rPr>
        <w:t>The appellants contend that this issue is moot. However, t</w:t>
      </w:r>
      <w:r w:rsidR="00846CCC">
        <w:rPr>
          <w:rFonts w:ascii="Arial" w:hAnsi="Arial" w:cs="Arial"/>
          <w:iCs/>
        </w:rPr>
        <w:t xml:space="preserve">he extent of the loan account claims is crucial in determining Arqomanzi’s interest in the Vantage Companies. The appellants and the BRPs asserted that, based on their interpretation of the subordination agreements, the loan account claims afford Arqomanzi no voting interest. Arqomanzi disputes this. </w:t>
      </w:r>
      <w:r w:rsidR="001B7C3F">
        <w:rPr>
          <w:rFonts w:ascii="Arial" w:hAnsi="Arial" w:cs="Arial"/>
          <w:iCs/>
        </w:rPr>
        <w:t>Since the resolution of this disagreement will impact on the voting when the BRPs present the amended business rescue plans to the creditors, the interpretation of the subordination agreements is still very much a live issue.</w:t>
      </w:r>
    </w:p>
    <w:p w14:paraId="3BD941F5" w14:textId="77777777" w:rsidR="00846CCC" w:rsidRDefault="00846CCC" w:rsidP="00A335BC">
      <w:pPr>
        <w:spacing w:line="360" w:lineRule="auto"/>
        <w:jc w:val="both"/>
        <w:rPr>
          <w:rFonts w:ascii="Arial" w:hAnsi="Arial" w:cs="Arial"/>
          <w:iCs/>
        </w:rPr>
      </w:pPr>
    </w:p>
    <w:p w14:paraId="18C42681" w14:textId="628685E0" w:rsidR="00276B0E" w:rsidRDefault="004D68B4" w:rsidP="00A335BC">
      <w:pPr>
        <w:spacing w:line="360" w:lineRule="auto"/>
        <w:jc w:val="both"/>
        <w:rPr>
          <w:rFonts w:ascii="Arial" w:hAnsi="Arial" w:cs="Arial"/>
          <w:iCs/>
        </w:rPr>
      </w:pPr>
      <w:r>
        <w:rPr>
          <w:rFonts w:ascii="Arial" w:hAnsi="Arial" w:cs="Arial"/>
          <w:lang w:val="en-US"/>
        </w:rPr>
        <w:t>[4</w:t>
      </w:r>
      <w:r w:rsidR="003846E8">
        <w:rPr>
          <w:rFonts w:ascii="Arial" w:hAnsi="Arial" w:cs="Arial"/>
          <w:lang w:val="en-US"/>
        </w:rPr>
        <w:t>1</w:t>
      </w:r>
      <w:r w:rsidRPr="00507C65">
        <w:rPr>
          <w:rFonts w:ascii="Arial" w:hAnsi="Arial" w:cs="Arial"/>
          <w:lang w:val="en-US"/>
        </w:rPr>
        <w:t>]</w:t>
      </w:r>
      <w:r>
        <w:rPr>
          <w:rFonts w:ascii="Arial" w:hAnsi="Arial" w:cs="Arial"/>
          <w:lang w:val="en-US"/>
        </w:rPr>
        <w:tab/>
      </w:r>
      <w:r w:rsidR="00276B0E">
        <w:rPr>
          <w:rFonts w:ascii="Arial" w:hAnsi="Arial" w:cs="Arial"/>
          <w:iCs/>
        </w:rPr>
        <w:t xml:space="preserve">Two subordination agreements are </w:t>
      </w:r>
      <w:r w:rsidR="001B7C3F" w:rsidRPr="002C11E2">
        <w:rPr>
          <w:rFonts w:ascii="Arial" w:hAnsi="Arial" w:cs="Arial"/>
          <w:iCs/>
        </w:rPr>
        <w:t>at</w:t>
      </w:r>
      <w:r w:rsidR="00276B0E" w:rsidRPr="002C11E2">
        <w:rPr>
          <w:rFonts w:ascii="Arial" w:hAnsi="Arial" w:cs="Arial"/>
          <w:iCs/>
        </w:rPr>
        <w:t xml:space="preserve"> play</w:t>
      </w:r>
      <w:r w:rsidR="007506C6" w:rsidRPr="002C11E2">
        <w:rPr>
          <w:rFonts w:ascii="Arial" w:hAnsi="Arial" w:cs="Arial"/>
          <w:iCs/>
        </w:rPr>
        <w:t>:</w:t>
      </w:r>
      <w:r w:rsidR="00276B0E" w:rsidRPr="002C11E2">
        <w:rPr>
          <w:rFonts w:ascii="Arial" w:hAnsi="Arial" w:cs="Arial"/>
          <w:iCs/>
        </w:rPr>
        <w:t xml:space="preserve"> The</w:t>
      </w:r>
      <w:r w:rsidR="00276B0E">
        <w:rPr>
          <w:rFonts w:ascii="Arial" w:hAnsi="Arial" w:cs="Arial"/>
          <w:iCs/>
        </w:rPr>
        <w:t xml:space="preserve"> first was concluded between VGSA and VGL on </w:t>
      </w:r>
      <w:r w:rsidR="00DC57E4">
        <w:rPr>
          <w:rFonts w:ascii="Arial" w:hAnsi="Arial" w:cs="Arial"/>
          <w:iCs/>
        </w:rPr>
        <w:t>7</w:t>
      </w:r>
      <w:r w:rsidR="00276B0E">
        <w:rPr>
          <w:rFonts w:ascii="Arial" w:hAnsi="Arial" w:cs="Arial"/>
          <w:iCs/>
        </w:rPr>
        <w:t xml:space="preserve"> April 2015 and relates to the VGSA-VGL claim</w:t>
      </w:r>
      <w:r w:rsidR="00DC57E4">
        <w:rPr>
          <w:rFonts w:ascii="Arial" w:hAnsi="Arial" w:cs="Arial"/>
          <w:iCs/>
        </w:rPr>
        <w:t xml:space="preserve"> (the first subordination agreement)</w:t>
      </w:r>
      <w:r w:rsidR="00276B0E">
        <w:rPr>
          <w:rFonts w:ascii="Arial" w:hAnsi="Arial" w:cs="Arial"/>
          <w:iCs/>
        </w:rPr>
        <w:t>. The second was concluded between VGL and Barbrook on 27 February 2013 and relates to the VGL-Barbrook claim</w:t>
      </w:r>
      <w:r w:rsidR="00DC57E4">
        <w:rPr>
          <w:rFonts w:ascii="Arial" w:hAnsi="Arial" w:cs="Arial"/>
          <w:iCs/>
        </w:rPr>
        <w:t xml:space="preserve"> (the second subordination agreement)</w:t>
      </w:r>
      <w:r w:rsidR="00276B0E">
        <w:rPr>
          <w:rFonts w:ascii="Arial" w:hAnsi="Arial" w:cs="Arial"/>
          <w:iCs/>
        </w:rPr>
        <w:t>. They are in nearly identical terms.</w:t>
      </w:r>
      <w:r w:rsidR="00F06694">
        <w:rPr>
          <w:rFonts w:ascii="Arial" w:hAnsi="Arial" w:cs="Arial"/>
          <w:iCs/>
        </w:rPr>
        <w:t xml:space="preserve"> The context within which the subordination agreements were concluded was that the auditors were unwilling to render an unqualified opinion. The purpose of the subordination agreements was </w:t>
      </w:r>
      <w:r w:rsidR="00CE3306">
        <w:rPr>
          <w:rFonts w:ascii="Arial" w:hAnsi="Arial" w:cs="Arial"/>
          <w:iCs/>
        </w:rPr>
        <w:t xml:space="preserve">thus </w:t>
      </w:r>
      <w:r w:rsidR="00F06694">
        <w:rPr>
          <w:rFonts w:ascii="Arial" w:hAnsi="Arial" w:cs="Arial"/>
          <w:iCs/>
        </w:rPr>
        <w:t>to render VGL and Barbrook commercially solvent.</w:t>
      </w:r>
    </w:p>
    <w:p w14:paraId="3805D5D1" w14:textId="77777777" w:rsidR="00276B0E" w:rsidRDefault="00276B0E" w:rsidP="00A335BC">
      <w:pPr>
        <w:spacing w:line="360" w:lineRule="auto"/>
        <w:jc w:val="both"/>
        <w:rPr>
          <w:rFonts w:ascii="Arial" w:hAnsi="Arial" w:cs="Arial"/>
          <w:iCs/>
        </w:rPr>
      </w:pPr>
    </w:p>
    <w:p w14:paraId="52E87A2F" w14:textId="26C9CFE2" w:rsidR="006F45ED" w:rsidRPr="004D68B4" w:rsidRDefault="004D68B4" w:rsidP="00A335BC">
      <w:pPr>
        <w:spacing w:line="360" w:lineRule="auto"/>
        <w:jc w:val="both"/>
        <w:rPr>
          <w:rFonts w:ascii="Arial" w:hAnsi="Arial" w:cs="Arial"/>
          <w:iCs/>
        </w:rPr>
      </w:pPr>
      <w:r>
        <w:rPr>
          <w:rFonts w:ascii="Arial" w:hAnsi="Arial" w:cs="Arial"/>
          <w:lang w:val="en-US"/>
        </w:rPr>
        <w:t>[4</w:t>
      </w:r>
      <w:r w:rsidR="003846E8">
        <w:rPr>
          <w:rFonts w:ascii="Arial" w:hAnsi="Arial" w:cs="Arial"/>
          <w:lang w:val="en-US"/>
        </w:rPr>
        <w:t>2</w:t>
      </w:r>
      <w:r w:rsidRPr="00507C65">
        <w:rPr>
          <w:rFonts w:ascii="Arial" w:hAnsi="Arial" w:cs="Arial"/>
          <w:lang w:val="en-US"/>
        </w:rPr>
        <w:t>]</w:t>
      </w:r>
      <w:r>
        <w:rPr>
          <w:rFonts w:ascii="Arial" w:hAnsi="Arial" w:cs="Arial"/>
          <w:lang w:val="en-US"/>
        </w:rPr>
        <w:tab/>
      </w:r>
      <w:r w:rsidR="00276B0E">
        <w:rPr>
          <w:rFonts w:ascii="Arial" w:hAnsi="Arial" w:cs="Arial"/>
          <w:iCs/>
        </w:rPr>
        <w:t>Standard Bank was not informed of the existence of either subordination agreement. It was certainly not informed by VGL or VGSA or any other party</w:t>
      </w:r>
      <w:r w:rsidR="00DC57E4">
        <w:rPr>
          <w:rFonts w:ascii="Arial" w:hAnsi="Arial" w:cs="Arial"/>
          <w:iCs/>
        </w:rPr>
        <w:t xml:space="preserve"> </w:t>
      </w:r>
      <w:r w:rsidR="00846CCC">
        <w:rPr>
          <w:rFonts w:ascii="Arial" w:hAnsi="Arial" w:cs="Arial"/>
          <w:iCs/>
        </w:rPr>
        <w:t xml:space="preserve">of the </w:t>
      </w:r>
      <w:r w:rsidR="00846CCC">
        <w:rPr>
          <w:rFonts w:ascii="Arial" w:hAnsi="Arial" w:cs="Arial"/>
          <w:iCs/>
        </w:rPr>
        <w:lastRenderedPageBreak/>
        <w:t>first subordination agreement</w:t>
      </w:r>
      <w:r w:rsidR="00CE3306">
        <w:rPr>
          <w:rFonts w:ascii="Arial" w:hAnsi="Arial" w:cs="Arial"/>
          <w:iCs/>
        </w:rPr>
        <w:t>,</w:t>
      </w:r>
      <w:r w:rsidR="00846CCC">
        <w:rPr>
          <w:rFonts w:ascii="Arial" w:hAnsi="Arial" w:cs="Arial"/>
          <w:iCs/>
        </w:rPr>
        <w:t xml:space="preserve"> </w:t>
      </w:r>
      <w:r w:rsidR="00DC57E4">
        <w:rPr>
          <w:rFonts w:ascii="Arial" w:hAnsi="Arial" w:cs="Arial"/>
          <w:iCs/>
        </w:rPr>
        <w:t>when the additional facility was granted to VGL in 2006. It was accordingly unaware th</w:t>
      </w:r>
      <w:r w:rsidR="00846CCC">
        <w:rPr>
          <w:rFonts w:ascii="Arial" w:hAnsi="Arial" w:cs="Arial"/>
          <w:iCs/>
        </w:rPr>
        <w:t>ere</w:t>
      </w:r>
      <w:r w:rsidR="00DC57E4">
        <w:rPr>
          <w:rFonts w:ascii="Arial" w:hAnsi="Arial" w:cs="Arial"/>
          <w:iCs/>
        </w:rPr>
        <w:t xml:space="preserve">of. It did, however, have access to the audited financial statements </w:t>
      </w:r>
      <w:r w:rsidR="00846CCC">
        <w:rPr>
          <w:rFonts w:ascii="Arial" w:hAnsi="Arial" w:cs="Arial"/>
          <w:iCs/>
        </w:rPr>
        <w:t xml:space="preserve">(the AFS) </w:t>
      </w:r>
      <w:r w:rsidR="00DC57E4">
        <w:rPr>
          <w:rFonts w:ascii="Arial" w:hAnsi="Arial" w:cs="Arial"/>
          <w:iCs/>
        </w:rPr>
        <w:t>of VGL for the 2014 financial year, which had been signed by its directors on 7 April 2015.</w:t>
      </w:r>
      <w:r w:rsidR="00242383">
        <w:rPr>
          <w:rFonts w:ascii="Arial" w:hAnsi="Arial" w:cs="Arial"/>
          <w:iCs/>
        </w:rPr>
        <w:t xml:space="preserve"> The AFS recorded that R14 million (and not the full face-value) of the VGSA-VGL claim had been subordinated. Arqomanzi asserted </w:t>
      </w:r>
      <w:r w:rsidR="00F06694">
        <w:rPr>
          <w:rFonts w:ascii="Arial" w:hAnsi="Arial" w:cs="Arial"/>
          <w:iCs/>
        </w:rPr>
        <w:t>that VGSA’s financial statements would confirm that only R14 million of the VGSA-VGL claim had been subordinated and challenged VGSA to prov</w:t>
      </w:r>
      <w:r w:rsidR="00677344">
        <w:rPr>
          <w:rFonts w:ascii="Arial" w:hAnsi="Arial" w:cs="Arial"/>
          <w:iCs/>
        </w:rPr>
        <w:t>i</w:t>
      </w:r>
      <w:r w:rsidR="00F06694">
        <w:rPr>
          <w:rFonts w:ascii="Arial" w:hAnsi="Arial" w:cs="Arial"/>
          <w:iCs/>
        </w:rPr>
        <w:t xml:space="preserve">de them. VGSA refused. </w:t>
      </w:r>
      <w:r w:rsidR="00242383">
        <w:rPr>
          <w:rFonts w:ascii="Arial" w:hAnsi="Arial" w:cs="Arial"/>
          <w:iCs/>
        </w:rPr>
        <w:t xml:space="preserve">The appellants failed to deal with this in their affidavits. </w:t>
      </w:r>
      <w:r w:rsidR="00DC57E4">
        <w:rPr>
          <w:rFonts w:ascii="Arial" w:hAnsi="Arial" w:cs="Arial"/>
          <w:iCs/>
        </w:rPr>
        <w:t xml:space="preserve">The </w:t>
      </w:r>
      <w:r w:rsidR="00DC57E4" w:rsidRPr="004123DE">
        <w:rPr>
          <w:rFonts w:ascii="Arial" w:hAnsi="Arial" w:cs="Arial"/>
          <w:iCs/>
        </w:rPr>
        <w:t>audit report</w:t>
      </w:r>
      <w:r w:rsidR="00DC57E4">
        <w:rPr>
          <w:rFonts w:ascii="Arial" w:hAnsi="Arial" w:cs="Arial"/>
          <w:iCs/>
        </w:rPr>
        <w:t xml:space="preserve"> is unqualified, albeit that th</w:t>
      </w:r>
      <w:r w:rsidR="00F06694">
        <w:rPr>
          <w:rFonts w:ascii="Arial" w:hAnsi="Arial" w:cs="Arial"/>
          <w:iCs/>
        </w:rPr>
        <w:t>e</w:t>
      </w:r>
      <w:r w:rsidR="00DC57E4">
        <w:rPr>
          <w:rFonts w:ascii="Arial" w:hAnsi="Arial" w:cs="Arial"/>
          <w:iCs/>
        </w:rPr>
        <w:t xml:space="preserve"> statement of assets and liabilities reveals factual insolvency. It was noted </w:t>
      </w:r>
      <w:r w:rsidR="00846CCC">
        <w:rPr>
          <w:rFonts w:ascii="Arial" w:hAnsi="Arial" w:cs="Arial"/>
          <w:iCs/>
        </w:rPr>
        <w:t xml:space="preserve">in the AFS </w:t>
      </w:r>
      <w:r w:rsidR="00DC57E4">
        <w:rPr>
          <w:rFonts w:ascii="Arial" w:hAnsi="Arial" w:cs="Arial"/>
          <w:iCs/>
        </w:rPr>
        <w:t xml:space="preserve">that the loan by VGSA to VGL (which was to become the subject-matter of the cession) had been subordinated by VGSA to the tune of R14 million in favour </w:t>
      </w:r>
      <w:r w:rsidR="00775CE5">
        <w:rPr>
          <w:rFonts w:ascii="Arial" w:hAnsi="Arial" w:cs="Arial"/>
          <w:iCs/>
        </w:rPr>
        <w:t>of other creditors and until the</w:t>
      </w:r>
      <w:r w:rsidR="00DC57E4">
        <w:rPr>
          <w:rFonts w:ascii="Arial" w:hAnsi="Arial" w:cs="Arial"/>
          <w:iCs/>
        </w:rPr>
        <w:t xml:space="preserve"> assets fairly valued exceeded its liabilities. </w:t>
      </w:r>
    </w:p>
    <w:p w14:paraId="3BA42CF3" w14:textId="77777777" w:rsidR="003846E8" w:rsidRDefault="003846E8" w:rsidP="00A335BC">
      <w:pPr>
        <w:spacing w:line="360" w:lineRule="auto"/>
        <w:jc w:val="both"/>
        <w:rPr>
          <w:rFonts w:ascii="Arial" w:hAnsi="Arial" w:cs="Arial"/>
          <w:lang w:val="en-US"/>
        </w:rPr>
      </w:pPr>
    </w:p>
    <w:p w14:paraId="245D31E2" w14:textId="22C01EF3" w:rsidR="00390227" w:rsidRDefault="004D68B4" w:rsidP="00A335BC">
      <w:pPr>
        <w:spacing w:line="360" w:lineRule="auto"/>
        <w:jc w:val="both"/>
        <w:rPr>
          <w:rFonts w:ascii="Arial" w:hAnsi="Arial" w:cs="Arial"/>
          <w:lang w:val="en-GB"/>
        </w:rPr>
      </w:pPr>
      <w:r>
        <w:rPr>
          <w:rFonts w:ascii="Arial" w:hAnsi="Arial" w:cs="Arial"/>
          <w:lang w:val="en-US"/>
        </w:rPr>
        <w:t>[4</w:t>
      </w:r>
      <w:r w:rsidR="003846E8">
        <w:rPr>
          <w:rFonts w:ascii="Arial" w:hAnsi="Arial" w:cs="Arial"/>
          <w:lang w:val="en-US"/>
        </w:rPr>
        <w:t>3</w:t>
      </w:r>
      <w:r w:rsidRPr="00507C65">
        <w:rPr>
          <w:rFonts w:ascii="Arial" w:hAnsi="Arial" w:cs="Arial"/>
          <w:lang w:val="en-US"/>
        </w:rPr>
        <w:t>]</w:t>
      </w:r>
      <w:r>
        <w:rPr>
          <w:rFonts w:ascii="Arial" w:hAnsi="Arial" w:cs="Arial"/>
          <w:lang w:val="en-US"/>
        </w:rPr>
        <w:tab/>
      </w:r>
      <w:r w:rsidR="001A4492">
        <w:rPr>
          <w:rFonts w:ascii="Arial" w:hAnsi="Arial" w:cs="Arial"/>
          <w:lang w:val="en-GB"/>
        </w:rPr>
        <w:t>Once again, by reference to the 2014 AFS of VGL, Standard Bank had become aware that the loan to Barbrook (which was to become the subject</w:t>
      </w:r>
      <w:r w:rsidR="003846E8">
        <w:rPr>
          <w:rFonts w:ascii="Arial" w:hAnsi="Arial" w:cs="Arial"/>
          <w:lang w:val="en-GB"/>
        </w:rPr>
        <w:t>-</w:t>
      </w:r>
      <w:r w:rsidR="001A4492">
        <w:rPr>
          <w:rFonts w:ascii="Arial" w:hAnsi="Arial" w:cs="Arial"/>
          <w:lang w:val="en-GB"/>
        </w:rPr>
        <w:t xml:space="preserve">matter of the cession) was recorded as a non-current asset </w:t>
      </w:r>
      <w:r>
        <w:rPr>
          <w:rFonts w:ascii="Arial" w:hAnsi="Arial" w:cs="Arial"/>
          <w:lang w:val="en-GB"/>
        </w:rPr>
        <w:t>in the amount of R137 502 000.</w:t>
      </w:r>
      <w:r w:rsidR="001A4492">
        <w:rPr>
          <w:rFonts w:ascii="Arial" w:hAnsi="Arial" w:cs="Arial"/>
          <w:lang w:val="en-GB"/>
        </w:rPr>
        <w:t xml:space="preserve">46, and had been subordinated by VGL to the </w:t>
      </w:r>
      <w:r w:rsidR="007D1047" w:rsidRPr="00E47E6B">
        <w:rPr>
          <w:rFonts w:ascii="Arial" w:hAnsi="Arial" w:cs="Arial"/>
          <w:lang w:val="en-GB"/>
        </w:rPr>
        <w:t>tune</w:t>
      </w:r>
      <w:r w:rsidR="007D1047">
        <w:rPr>
          <w:rFonts w:ascii="Arial" w:hAnsi="Arial" w:cs="Arial"/>
          <w:lang w:val="en-GB"/>
        </w:rPr>
        <w:t xml:space="preserve"> </w:t>
      </w:r>
      <w:r w:rsidR="001A4492">
        <w:rPr>
          <w:rFonts w:ascii="Arial" w:hAnsi="Arial" w:cs="Arial"/>
          <w:lang w:val="en-GB"/>
        </w:rPr>
        <w:t xml:space="preserve">of R17 million in favour of </w:t>
      </w:r>
      <w:r w:rsidR="007D1047" w:rsidRPr="00E47E6B">
        <w:rPr>
          <w:rFonts w:ascii="Arial" w:hAnsi="Arial" w:cs="Arial"/>
          <w:lang w:val="en-GB"/>
        </w:rPr>
        <w:t>the</w:t>
      </w:r>
      <w:r w:rsidR="007D1047">
        <w:rPr>
          <w:rFonts w:ascii="Arial" w:hAnsi="Arial" w:cs="Arial"/>
          <w:lang w:val="en-GB"/>
        </w:rPr>
        <w:t xml:space="preserve"> </w:t>
      </w:r>
      <w:r w:rsidR="00E47E6B">
        <w:rPr>
          <w:rFonts w:ascii="Arial" w:hAnsi="Arial" w:cs="Arial"/>
          <w:lang w:val="en-GB"/>
        </w:rPr>
        <w:t>c</w:t>
      </w:r>
      <w:r w:rsidR="001A4492">
        <w:rPr>
          <w:rFonts w:ascii="Arial" w:hAnsi="Arial" w:cs="Arial"/>
          <w:lang w:val="en-GB"/>
        </w:rPr>
        <w:t>reditors of Barbrook</w:t>
      </w:r>
      <w:r w:rsidR="00AA29B0">
        <w:rPr>
          <w:rFonts w:ascii="Arial" w:hAnsi="Arial" w:cs="Arial"/>
          <w:lang w:val="en-GB"/>
        </w:rPr>
        <w:t>,</w:t>
      </w:r>
      <w:r w:rsidR="001A4492">
        <w:rPr>
          <w:rFonts w:ascii="Arial" w:hAnsi="Arial" w:cs="Arial"/>
          <w:lang w:val="en-GB"/>
        </w:rPr>
        <w:t xml:space="preserve"> until its assets fairly valued exceeded its liabilities. In Barbrook’s AFS for 2014</w:t>
      </w:r>
      <w:r w:rsidR="003846E8">
        <w:rPr>
          <w:rFonts w:ascii="Arial" w:hAnsi="Arial" w:cs="Arial"/>
          <w:lang w:val="en-GB"/>
        </w:rPr>
        <w:t>,</w:t>
      </w:r>
      <w:r w:rsidR="001A4492">
        <w:rPr>
          <w:rFonts w:ascii="Arial" w:hAnsi="Arial" w:cs="Arial"/>
          <w:lang w:val="en-GB"/>
        </w:rPr>
        <w:t xml:space="preserve"> the subordination of the loan account in favour of VGL to the extent of R17 million was repeated.</w:t>
      </w:r>
    </w:p>
    <w:p w14:paraId="264F6925" w14:textId="77777777" w:rsidR="001A4492" w:rsidRDefault="001A4492" w:rsidP="00A335BC">
      <w:pPr>
        <w:spacing w:line="360" w:lineRule="auto"/>
        <w:jc w:val="both"/>
        <w:rPr>
          <w:rFonts w:ascii="Arial" w:hAnsi="Arial" w:cs="Arial"/>
          <w:lang w:val="en-GB"/>
        </w:rPr>
      </w:pPr>
    </w:p>
    <w:p w14:paraId="342D65A9" w14:textId="68161812" w:rsidR="0022148A" w:rsidRDefault="004D68B4" w:rsidP="00A335BC">
      <w:pPr>
        <w:spacing w:line="360" w:lineRule="auto"/>
        <w:jc w:val="both"/>
        <w:rPr>
          <w:rFonts w:ascii="Arial" w:hAnsi="Arial" w:cs="Arial"/>
          <w:lang w:val="en-GB"/>
        </w:rPr>
      </w:pPr>
      <w:r>
        <w:rPr>
          <w:rFonts w:ascii="Arial" w:hAnsi="Arial" w:cs="Arial"/>
          <w:lang w:val="en-US"/>
        </w:rPr>
        <w:t>[4</w:t>
      </w:r>
      <w:r w:rsidR="003846E8">
        <w:rPr>
          <w:rFonts w:ascii="Arial" w:hAnsi="Arial" w:cs="Arial"/>
          <w:lang w:val="en-US"/>
        </w:rPr>
        <w:t>4</w:t>
      </w:r>
      <w:r w:rsidRPr="00507C65">
        <w:rPr>
          <w:rFonts w:ascii="Arial" w:hAnsi="Arial" w:cs="Arial"/>
          <w:lang w:val="en-US"/>
        </w:rPr>
        <w:t>]</w:t>
      </w:r>
      <w:r>
        <w:rPr>
          <w:rFonts w:ascii="Arial" w:hAnsi="Arial" w:cs="Arial"/>
          <w:lang w:val="en-US"/>
        </w:rPr>
        <w:tab/>
      </w:r>
      <w:r w:rsidR="001A4492">
        <w:rPr>
          <w:rFonts w:ascii="Arial" w:hAnsi="Arial" w:cs="Arial"/>
          <w:lang w:val="en-GB"/>
        </w:rPr>
        <w:t xml:space="preserve">After the loan account claims had been ceded to Standard Bank on 6 September 2016, nothing could lawfully have been done that would have adversely affected </w:t>
      </w:r>
      <w:r w:rsidR="001A4492" w:rsidRPr="004123DE">
        <w:rPr>
          <w:rFonts w:ascii="Arial" w:hAnsi="Arial" w:cs="Arial"/>
          <w:lang w:val="en-GB"/>
        </w:rPr>
        <w:t xml:space="preserve">the </w:t>
      </w:r>
      <w:r w:rsidR="00AA29B0" w:rsidRPr="004123DE">
        <w:rPr>
          <w:rFonts w:ascii="Arial" w:hAnsi="Arial" w:cs="Arial"/>
          <w:lang w:val="en-GB"/>
        </w:rPr>
        <w:t>b</w:t>
      </w:r>
      <w:r w:rsidR="001A4492" w:rsidRPr="004123DE">
        <w:rPr>
          <w:rFonts w:ascii="Arial" w:hAnsi="Arial" w:cs="Arial"/>
          <w:lang w:val="en-GB"/>
        </w:rPr>
        <w:t>ank</w:t>
      </w:r>
      <w:r w:rsidR="00AA29B0" w:rsidRPr="004123DE">
        <w:rPr>
          <w:rFonts w:ascii="Arial" w:hAnsi="Arial" w:cs="Arial"/>
          <w:lang w:val="en-GB"/>
        </w:rPr>
        <w:t>’</w:t>
      </w:r>
      <w:r w:rsidR="001A4492" w:rsidRPr="004123DE">
        <w:rPr>
          <w:rFonts w:ascii="Arial" w:hAnsi="Arial" w:cs="Arial"/>
          <w:lang w:val="en-GB"/>
        </w:rPr>
        <w:t>s</w:t>
      </w:r>
      <w:r w:rsidR="001A4492">
        <w:rPr>
          <w:rFonts w:ascii="Arial" w:hAnsi="Arial" w:cs="Arial"/>
          <w:lang w:val="en-GB"/>
        </w:rPr>
        <w:t xml:space="preserve"> security. VGSA and VGL could</w:t>
      </w:r>
      <w:r w:rsidR="007D1047">
        <w:rPr>
          <w:rFonts w:ascii="Arial" w:hAnsi="Arial" w:cs="Arial"/>
          <w:lang w:val="en-GB"/>
        </w:rPr>
        <w:t xml:space="preserve"> </w:t>
      </w:r>
      <w:r w:rsidR="007D1047" w:rsidRPr="00E47E6B">
        <w:rPr>
          <w:rFonts w:ascii="Arial" w:hAnsi="Arial" w:cs="Arial"/>
          <w:lang w:val="en-GB"/>
        </w:rPr>
        <w:t>not,</w:t>
      </w:r>
      <w:r w:rsidR="001A4492" w:rsidRPr="00E47E6B">
        <w:rPr>
          <w:rFonts w:ascii="Arial" w:hAnsi="Arial" w:cs="Arial"/>
          <w:lang w:val="en-GB"/>
        </w:rPr>
        <w:t xml:space="preserve"> for example</w:t>
      </w:r>
      <w:r w:rsidR="007D1047" w:rsidRPr="00E47E6B">
        <w:rPr>
          <w:rFonts w:ascii="Arial" w:hAnsi="Arial" w:cs="Arial"/>
          <w:lang w:val="en-GB"/>
        </w:rPr>
        <w:t>,</w:t>
      </w:r>
      <w:r w:rsidR="001A4492">
        <w:rPr>
          <w:rFonts w:ascii="Arial" w:hAnsi="Arial" w:cs="Arial"/>
          <w:lang w:val="en-GB"/>
        </w:rPr>
        <w:t xml:space="preserve"> agree to increase the extent of the subordination agreements. That would have been a source of serious concern to Standard Bank, if discovered at the time, as it could potentially have entirely undermined the security offered by the cession</w:t>
      </w:r>
      <w:r w:rsidR="006826EC">
        <w:rPr>
          <w:rFonts w:ascii="Arial" w:hAnsi="Arial" w:cs="Arial"/>
          <w:lang w:val="en-GB"/>
        </w:rPr>
        <w:t xml:space="preserve">s. In the result, </w:t>
      </w:r>
      <w:bookmarkStart w:id="9" w:name="_Hlk138495757"/>
      <w:r w:rsidR="006826EC">
        <w:rPr>
          <w:rFonts w:ascii="Arial" w:hAnsi="Arial" w:cs="Arial"/>
          <w:lang w:val="en-GB"/>
        </w:rPr>
        <w:t xml:space="preserve">the </w:t>
      </w:r>
      <w:r w:rsidR="00AA29B0">
        <w:rPr>
          <w:rFonts w:ascii="Arial" w:hAnsi="Arial" w:cs="Arial"/>
          <w:lang w:val="en-GB"/>
        </w:rPr>
        <w:t>h</w:t>
      </w:r>
      <w:r w:rsidR="006826EC">
        <w:rPr>
          <w:rFonts w:ascii="Arial" w:hAnsi="Arial" w:cs="Arial"/>
          <w:lang w:val="en-GB"/>
        </w:rPr>
        <w:t xml:space="preserve">igh </w:t>
      </w:r>
      <w:r w:rsidR="00AA29B0">
        <w:rPr>
          <w:rFonts w:ascii="Arial" w:hAnsi="Arial" w:cs="Arial"/>
          <w:lang w:val="en-GB"/>
        </w:rPr>
        <w:t>c</w:t>
      </w:r>
      <w:r w:rsidR="006826EC">
        <w:rPr>
          <w:rFonts w:ascii="Arial" w:hAnsi="Arial" w:cs="Arial"/>
          <w:lang w:val="en-GB"/>
        </w:rPr>
        <w:t>ourt was correct in rejecting the appellant’s interpretation of the subordination agreements and declaring that only</w:t>
      </w:r>
      <w:r w:rsidR="0022148A">
        <w:rPr>
          <w:rFonts w:ascii="Arial" w:hAnsi="Arial" w:cs="Arial"/>
          <w:lang w:val="en-GB"/>
        </w:rPr>
        <w:t xml:space="preserve"> R14 million of the VGSA-VGL</w:t>
      </w:r>
      <w:r w:rsidR="00560FCB" w:rsidRPr="00E47E6B">
        <w:rPr>
          <w:rFonts w:ascii="Arial" w:hAnsi="Arial" w:cs="Arial"/>
          <w:lang w:val="en-GB"/>
        </w:rPr>
        <w:t>,</w:t>
      </w:r>
      <w:r w:rsidR="0022148A">
        <w:rPr>
          <w:rFonts w:ascii="Arial" w:hAnsi="Arial" w:cs="Arial"/>
          <w:lang w:val="en-GB"/>
        </w:rPr>
        <w:t xml:space="preserve"> and R7 million of the VGL-Barbrook</w:t>
      </w:r>
      <w:r w:rsidR="00560FCB" w:rsidRPr="00E47E6B">
        <w:rPr>
          <w:rFonts w:ascii="Arial" w:hAnsi="Arial" w:cs="Arial"/>
          <w:lang w:val="en-GB"/>
        </w:rPr>
        <w:t>,</w:t>
      </w:r>
      <w:r w:rsidR="0022148A">
        <w:rPr>
          <w:rFonts w:ascii="Arial" w:hAnsi="Arial" w:cs="Arial"/>
          <w:lang w:val="en-GB"/>
        </w:rPr>
        <w:t xml:space="preserve"> claims had been subordinated.</w:t>
      </w:r>
      <w:r w:rsidR="005E608B">
        <w:rPr>
          <w:rFonts w:ascii="Arial" w:hAnsi="Arial" w:cs="Arial"/>
          <w:lang w:val="en-GB"/>
        </w:rPr>
        <w:br w:type="page"/>
      </w:r>
    </w:p>
    <w:bookmarkEnd w:id="9"/>
    <w:p w14:paraId="4CA1E115" w14:textId="77777777" w:rsidR="0022148A" w:rsidRDefault="0022148A" w:rsidP="00A335BC">
      <w:pPr>
        <w:spacing w:line="360" w:lineRule="auto"/>
        <w:jc w:val="both"/>
        <w:rPr>
          <w:rFonts w:ascii="Arial" w:hAnsi="Arial" w:cs="Arial"/>
          <w:b/>
          <w:bCs/>
        </w:rPr>
      </w:pPr>
      <w:r>
        <w:rPr>
          <w:rFonts w:ascii="Arial" w:hAnsi="Arial" w:cs="Arial"/>
          <w:b/>
          <w:bCs/>
        </w:rPr>
        <w:lastRenderedPageBreak/>
        <w:t xml:space="preserve">Section </w:t>
      </w:r>
      <w:r w:rsidRPr="0022148A">
        <w:rPr>
          <w:rFonts w:ascii="Arial" w:hAnsi="Arial" w:cs="Arial"/>
          <w:b/>
          <w:bCs/>
        </w:rPr>
        <w:t>11 of the MPRDA</w:t>
      </w:r>
    </w:p>
    <w:p w14:paraId="7944B08D" w14:textId="77777777" w:rsidR="00AA29B0" w:rsidRDefault="004D68B4" w:rsidP="00A335BC">
      <w:pPr>
        <w:spacing w:line="360" w:lineRule="auto"/>
        <w:jc w:val="both"/>
        <w:rPr>
          <w:rFonts w:ascii="Arial" w:hAnsi="Arial" w:cs="Arial"/>
          <w:lang w:val="en-GB"/>
        </w:rPr>
      </w:pPr>
      <w:r>
        <w:rPr>
          <w:rFonts w:ascii="Arial" w:hAnsi="Arial" w:cs="Arial"/>
          <w:lang w:val="en-GB"/>
        </w:rPr>
        <w:t>[4</w:t>
      </w:r>
      <w:r w:rsidR="003846E8">
        <w:rPr>
          <w:rFonts w:ascii="Arial" w:hAnsi="Arial" w:cs="Arial"/>
          <w:lang w:val="en-GB"/>
        </w:rPr>
        <w:t>5</w:t>
      </w:r>
      <w:r>
        <w:rPr>
          <w:rFonts w:ascii="Arial" w:hAnsi="Arial" w:cs="Arial"/>
          <w:lang w:val="en-GB"/>
        </w:rPr>
        <w:t>]</w:t>
      </w:r>
      <w:r>
        <w:rPr>
          <w:rFonts w:ascii="Arial" w:hAnsi="Arial" w:cs="Arial"/>
          <w:lang w:val="en-GB"/>
        </w:rPr>
        <w:tab/>
      </w:r>
      <w:r w:rsidR="00E7461A">
        <w:rPr>
          <w:rFonts w:ascii="Arial" w:hAnsi="Arial" w:cs="Arial"/>
          <w:lang w:val="en-GB"/>
        </w:rPr>
        <w:t>The question that arises for consideration is whether the implementation of the Vantage proposal requires the consent of the Minister as contemplated in s 11(1) of the MPRDA, which states that</w:t>
      </w:r>
      <w:r w:rsidR="00AA29B0">
        <w:rPr>
          <w:rFonts w:ascii="Arial" w:hAnsi="Arial" w:cs="Arial"/>
          <w:lang w:val="en-GB"/>
        </w:rPr>
        <w:t>:</w:t>
      </w:r>
      <w:r w:rsidR="00E7461A">
        <w:rPr>
          <w:rFonts w:ascii="Arial" w:hAnsi="Arial" w:cs="Arial"/>
          <w:lang w:val="en-GB"/>
        </w:rPr>
        <w:t xml:space="preserve"> </w:t>
      </w:r>
    </w:p>
    <w:p w14:paraId="5B360DD4" w14:textId="77777777" w:rsidR="0022148A" w:rsidRPr="00AA29B0" w:rsidRDefault="00E7461A" w:rsidP="00A335BC">
      <w:pPr>
        <w:spacing w:line="360" w:lineRule="auto"/>
        <w:jc w:val="both"/>
        <w:rPr>
          <w:rFonts w:ascii="Arial" w:hAnsi="Arial" w:cs="Arial"/>
          <w:sz w:val="22"/>
          <w:szCs w:val="22"/>
          <w:lang w:val="en-GB"/>
        </w:rPr>
      </w:pPr>
      <w:r w:rsidRPr="00AA29B0">
        <w:rPr>
          <w:rFonts w:ascii="Arial" w:hAnsi="Arial" w:cs="Arial"/>
          <w:sz w:val="22"/>
          <w:szCs w:val="22"/>
          <w:lang w:val="en-GB"/>
        </w:rPr>
        <w:t>‘[a] prospecting the right mining right or an interest in any such right, or a controlling interest in a company of close corporation, may not be seated, transferred, let, sublet, assigned, alienated or otherwise disposed of without the written consent of the Minister, except in the case of change of controlling interest in listed companies’.</w:t>
      </w:r>
    </w:p>
    <w:p w14:paraId="43BD5A8D" w14:textId="77777777" w:rsidR="00E7461A" w:rsidRDefault="00E7461A" w:rsidP="00A335BC">
      <w:pPr>
        <w:spacing w:line="360" w:lineRule="auto"/>
        <w:jc w:val="both"/>
        <w:rPr>
          <w:rFonts w:ascii="Arial" w:hAnsi="Arial" w:cs="Arial"/>
          <w:lang w:val="en-GB"/>
        </w:rPr>
      </w:pPr>
    </w:p>
    <w:p w14:paraId="5247B993" w14:textId="71151972" w:rsidR="00277A27" w:rsidRDefault="004D68B4" w:rsidP="00A335BC">
      <w:pPr>
        <w:spacing w:line="360" w:lineRule="auto"/>
        <w:jc w:val="both"/>
        <w:rPr>
          <w:rFonts w:ascii="Arial" w:hAnsi="Arial" w:cs="Arial"/>
          <w:lang w:val="en-GB"/>
        </w:rPr>
      </w:pPr>
      <w:r>
        <w:rPr>
          <w:rFonts w:ascii="Arial" w:hAnsi="Arial" w:cs="Arial"/>
          <w:lang w:val="en-US"/>
        </w:rPr>
        <w:t>[4</w:t>
      </w:r>
      <w:r w:rsidR="003846E8">
        <w:rPr>
          <w:rFonts w:ascii="Arial" w:hAnsi="Arial" w:cs="Arial"/>
          <w:lang w:val="en-US"/>
        </w:rPr>
        <w:t>6</w:t>
      </w:r>
      <w:r w:rsidRPr="00507C65">
        <w:rPr>
          <w:rFonts w:ascii="Arial" w:hAnsi="Arial" w:cs="Arial"/>
          <w:lang w:val="en-US"/>
        </w:rPr>
        <w:t>]</w:t>
      </w:r>
      <w:r>
        <w:rPr>
          <w:rFonts w:ascii="Arial" w:hAnsi="Arial" w:cs="Arial"/>
          <w:lang w:val="en-US"/>
        </w:rPr>
        <w:tab/>
      </w:r>
      <w:r w:rsidR="00E7461A">
        <w:rPr>
          <w:rFonts w:ascii="Arial" w:hAnsi="Arial" w:cs="Arial"/>
          <w:lang w:val="en-GB"/>
        </w:rPr>
        <w:t>The shareholders of Vantage h</w:t>
      </w:r>
      <w:r w:rsidR="00AA29B0">
        <w:rPr>
          <w:rFonts w:ascii="Arial" w:hAnsi="Arial" w:cs="Arial"/>
          <w:lang w:val="en-GB"/>
        </w:rPr>
        <w:t>e</w:t>
      </w:r>
      <w:r w:rsidR="00E7461A">
        <w:rPr>
          <w:rFonts w:ascii="Arial" w:hAnsi="Arial" w:cs="Arial"/>
          <w:lang w:val="en-GB"/>
        </w:rPr>
        <w:t>ld the c</w:t>
      </w:r>
      <w:r w:rsidR="00775CE5">
        <w:rPr>
          <w:rFonts w:ascii="Arial" w:hAnsi="Arial" w:cs="Arial"/>
          <w:lang w:val="en-GB"/>
        </w:rPr>
        <w:t>o</w:t>
      </w:r>
      <w:r w:rsidR="00E7461A">
        <w:rPr>
          <w:rFonts w:ascii="Arial" w:hAnsi="Arial" w:cs="Arial"/>
          <w:lang w:val="en-GB"/>
        </w:rPr>
        <w:t>ntrolling interest in MIMCO and Barbrook. Each of MIMCO and Barbrook owns a new order mining right. Before the Australian-based Macquarie acquired an interest in Vantage, 34 shareholders owned 10</w:t>
      </w:r>
      <w:r w:rsidR="003846E8">
        <w:rPr>
          <w:rFonts w:ascii="Arial" w:hAnsi="Arial" w:cs="Arial"/>
          <w:lang w:val="en-GB"/>
        </w:rPr>
        <w:t>0 percent</w:t>
      </w:r>
      <w:r w:rsidR="00E7461A">
        <w:rPr>
          <w:rFonts w:ascii="Arial" w:hAnsi="Arial" w:cs="Arial"/>
          <w:lang w:val="en-GB"/>
        </w:rPr>
        <w:t xml:space="preserve"> of the issued shares and therefore the controlling interest in Vantage.</w:t>
      </w:r>
      <w:r w:rsidR="00277A27">
        <w:rPr>
          <w:rFonts w:ascii="Arial" w:hAnsi="Arial" w:cs="Arial"/>
          <w:lang w:val="en-GB"/>
        </w:rPr>
        <w:t xml:space="preserve"> In 2020, and in order to obtain funding for the implementation of the Vantage proposal, Vantage issued 9</w:t>
      </w:r>
      <w:r w:rsidR="00AA29B0">
        <w:rPr>
          <w:rFonts w:ascii="Arial" w:hAnsi="Arial" w:cs="Arial"/>
          <w:lang w:val="en-GB"/>
        </w:rPr>
        <w:t>8 percent</w:t>
      </w:r>
      <w:r w:rsidR="00277A27">
        <w:rPr>
          <w:rFonts w:ascii="Arial" w:hAnsi="Arial" w:cs="Arial"/>
          <w:lang w:val="en-GB"/>
        </w:rPr>
        <w:t xml:space="preserve"> of its shares to Macquarie. After the issuing of the shares, Macquarie </w:t>
      </w:r>
      <w:r w:rsidR="00AA29B0">
        <w:rPr>
          <w:rFonts w:ascii="Arial" w:hAnsi="Arial" w:cs="Arial"/>
          <w:lang w:val="en-GB"/>
        </w:rPr>
        <w:t xml:space="preserve">now </w:t>
      </w:r>
      <w:r w:rsidR="00277A27">
        <w:rPr>
          <w:rFonts w:ascii="Arial" w:hAnsi="Arial" w:cs="Arial"/>
          <w:lang w:val="en-GB"/>
        </w:rPr>
        <w:t xml:space="preserve">holds the controlling interest in Vantage. </w:t>
      </w:r>
    </w:p>
    <w:p w14:paraId="24A71AE4" w14:textId="77777777" w:rsidR="003846E8" w:rsidRDefault="003846E8" w:rsidP="00A335BC">
      <w:pPr>
        <w:spacing w:line="360" w:lineRule="auto"/>
        <w:jc w:val="both"/>
        <w:rPr>
          <w:rFonts w:ascii="Arial" w:hAnsi="Arial" w:cs="Arial"/>
          <w:lang w:val="en-GB"/>
        </w:rPr>
      </w:pPr>
    </w:p>
    <w:p w14:paraId="39BF522E" w14:textId="1C6C55D6" w:rsidR="00277A27" w:rsidRDefault="004D68B4" w:rsidP="00A335BC">
      <w:pPr>
        <w:spacing w:line="360" w:lineRule="auto"/>
        <w:jc w:val="both"/>
        <w:rPr>
          <w:rFonts w:ascii="Arial" w:hAnsi="Arial" w:cs="Arial"/>
          <w:lang w:val="en-GB"/>
        </w:rPr>
      </w:pPr>
      <w:r>
        <w:rPr>
          <w:rFonts w:ascii="Arial" w:hAnsi="Arial" w:cs="Arial"/>
          <w:lang w:val="en-GB"/>
        </w:rPr>
        <w:t>[4</w:t>
      </w:r>
      <w:r w:rsidR="003846E8">
        <w:rPr>
          <w:rFonts w:ascii="Arial" w:hAnsi="Arial" w:cs="Arial"/>
          <w:lang w:val="en-GB"/>
        </w:rPr>
        <w:t>7</w:t>
      </w:r>
      <w:r>
        <w:rPr>
          <w:rFonts w:ascii="Arial" w:hAnsi="Arial" w:cs="Arial"/>
          <w:lang w:val="en-GB"/>
        </w:rPr>
        <w:t>]</w:t>
      </w:r>
      <w:r>
        <w:rPr>
          <w:rFonts w:ascii="Arial" w:hAnsi="Arial" w:cs="Arial"/>
          <w:lang w:val="en-GB"/>
        </w:rPr>
        <w:tab/>
      </w:r>
      <w:r w:rsidR="0010518D">
        <w:rPr>
          <w:rFonts w:ascii="Arial" w:hAnsi="Arial" w:cs="Arial"/>
          <w:lang w:val="en-GB"/>
        </w:rPr>
        <w:t>The issue of shares to Macquarie resulted in a substantial dilution of the interests previously held by the 34 shareholders. The effect of the issuing by Vantage of the shares to Macquarie was that the 34 shareholders relinquished, by consent, the</w:t>
      </w:r>
      <w:r w:rsidR="00AA29B0">
        <w:rPr>
          <w:rFonts w:ascii="Arial" w:hAnsi="Arial" w:cs="Arial"/>
          <w:lang w:val="en-GB"/>
        </w:rPr>
        <w:t>i</w:t>
      </w:r>
      <w:r w:rsidR="0010518D">
        <w:rPr>
          <w:rFonts w:ascii="Arial" w:hAnsi="Arial" w:cs="Arial"/>
          <w:lang w:val="en-GB"/>
        </w:rPr>
        <w:t xml:space="preserve">r controlling interest in Vantage. </w:t>
      </w:r>
      <w:r w:rsidR="00277A27">
        <w:rPr>
          <w:rFonts w:ascii="Arial" w:hAnsi="Arial" w:cs="Arial"/>
          <w:lang w:val="en-GB"/>
        </w:rPr>
        <w:t xml:space="preserve">Arqomanzi </w:t>
      </w:r>
      <w:r w:rsidR="0010518D">
        <w:rPr>
          <w:rFonts w:ascii="Arial" w:hAnsi="Arial" w:cs="Arial"/>
          <w:lang w:val="en-GB"/>
        </w:rPr>
        <w:t xml:space="preserve">thus </w:t>
      </w:r>
      <w:r w:rsidR="00277A27">
        <w:rPr>
          <w:rFonts w:ascii="Arial" w:hAnsi="Arial" w:cs="Arial"/>
          <w:lang w:val="en-GB"/>
        </w:rPr>
        <w:t xml:space="preserve">contends that the controlling interest in Vantage, and indirectly in MIMCO and Barbrook, was alienated or otherwise disposed of to Macquarie and that Ministerial consent as </w:t>
      </w:r>
      <w:r w:rsidR="00277A27" w:rsidRPr="002C11E2">
        <w:rPr>
          <w:rFonts w:ascii="Arial" w:hAnsi="Arial" w:cs="Arial"/>
          <w:lang w:val="en-GB"/>
        </w:rPr>
        <w:t xml:space="preserve">contemplated in </w:t>
      </w:r>
      <w:r w:rsidR="005E608B" w:rsidRPr="002C11E2">
        <w:rPr>
          <w:rFonts w:ascii="Arial" w:hAnsi="Arial" w:cs="Arial"/>
          <w:lang w:val="en-GB"/>
        </w:rPr>
        <w:t>s</w:t>
      </w:r>
      <w:r w:rsidR="00277A27" w:rsidRPr="002C11E2">
        <w:rPr>
          <w:rFonts w:ascii="Arial" w:hAnsi="Arial" w:cs="Arial"/>
          <w:lang w:val="en-GB"/>
        </w:rPr>
        <w:t xml:space="preserve"> 11(</w:t>
      </w:r>
      <w:r w:rsidR="00277A27">
        <w:rPr>
          <w:rFonts w:ascii="Arial" w:hAnsi="Arial" w:cs="Arial"/>
          <w:lang w:val="en-GB"/>
        </w:rPr>
        <w:t>1) of the MPRDA is required</w:t>
      </w:r>
      <w:r w:rsidR="0010518D">
        <w:rPr>
          <w:rFonts w:ascii="Arial" w:hAnsi="Arial" w:cs="Arial"/>
          <w:lang w:val="en-GB"/>
        </w:rPr>
        <w:t>.</w:t>
      </w:r>
    </w:p>
    <w:p w14:paraId="7BC06EC5" w14:textId="77777777" w:rsidR="0010518D" w:rsidRDefault="0010518D" w:rsidP="00A335BC">
      <w:pPr>
        <w:spacing w:line="360" w:lineRule="auto"/>
        <w:jc w:val="both"/>
        <w:rPr>
          <w:rFonts w:ascii="Arial" w:hAnsi="Arial" w:cs="Arial"/>
          <w:lang w:val="en-GB"/>
        </w:rPr>
      </w:pPr>
    </w:p>
    <w:p w14:paraId="18649258" w14:textId="4CD76FFA" w:rsidR="001235D1" w:rsidRDefault="004D68B4" w:rsidP="00A335BC">
      <w:pPr>
        <w:spacing w:line="360" w:lineRule="auto"/>
        <w:jc w:val="both"/>
        <w:rPr>
          <w:rFonts w:ascii="Arial" w:hAnsi="Arial" w:cs="Arial"/>
          <w:lang w:val="en-GB"/>
        </w:rPr>
      </w:pPr>
      <w:r>
        <w:rPr>
          <w:rFonts w:ascii="Arial" w:hAnsi="Arial" w:cs="Arial"/>
          <w:lang w:val="en-US"/>
        </w:rPr>
        <w:t>[4</w:t>
      </w:r>
      <w:r w:rsidR="003846E8">
        <w:rPr>
          <w:rFonts w:ascii="Arial" w:hAnsi="Arial" w:cs="Arial"/>
          <w:lang w:val="en-US"/>
        </w:rPr>
        <w:t>8</w:t>
      </w:r>
      <w:r w:rsidRPr="00507C65">
        <w:rPr>
          <w:rFonts w:ascii="Arial" w:hAnsi="Arial" w:cs="Arial"/>
          <w:lang w:val="en-US"/>
        </w:rPr>
        <w:t>]</w:t>
      </w:r>
      <w:r>
        <w:rPr>
          <w:rFonts w:ascii="Arial" w:hAnsi="Arial" w:cs="Arial"/>
          <w:lang w:val="en-US"/>
        </w:rPr>
        <w:tab/>
      </w:r>
      <w:r w:rsidR="0010518D">
        <w:rPr>
          <w:rFonts w:ascii="Arial" w:hAnsi="Arial" w:cs="Arial"/>
          <w:lang w:val="en-GB"/>
        </w:rPr>
        <w:t>In interpreting s 11(1)</w:t>
      </w:r>
      <w:r w:rsidR="00AA29B0">
        <w:rPr>
          <w:rFonts w:ascii="Arial" w:hAnsi="Arial" w:cs="Arial"/>
          <w:lang w:val="en-GB"/>
        </w:rPr>
        <w:t>,</w:t>
      </w:r>
      <w:r w:rsidR="0010518D">
        <w:rPr>
          <w:rFonts w:ascii="Arial" w:hAnsi="Arial" w:cs="Arial"/>
          <w:lang w:val="en-GB"/>
        </w:rPr>
        <w:t xml:space="preserve"> the objects of the MPRDA in s 2 must be </w:t>
      </w:r>
      <w:r w:rsidR="003846E8">
        <w:rPr>
          <w:rFonts w:ascii="Arial" w:hAnsi="Arial" w:cs="Arial"/>
          <w:lang w:val="en-GB"/>
        </w:rPr>
        <w:t>borne in mind</w:t>
      </w:r>
      <w:r w:rsidR="0010518D">
        <w:rPr>
          <w:rFonts w:ascii="Arial" w:hAnsi="Arial" w:cs="Arial"/>
          <w:lang w:val="en-GB"/>
        </w:rPr>
        <w:t>. The provisions of ss 2</w:t>
      </w:r>
      <w:r w:rsidR="0010518D" w:rsidRPr="004D68B4">
        <w:rPr>
          <w:rFonts w:ascii="Arial" w:hAnsi="Arial" w:cs="Arial"/>
          <w:i/>
          <w:lang w:val="en-GB"/>
        </w:rPr>
        <w:t>(a)</w:t>
      </w:r>
      <w:r w:rsidR="0010518D">
        <w:rPr>
          <w:rFonts w:ascii="Arial" w:hAnsi="Arial" w:cs="Arial"/>
          <w:lang w:val="en-GB"/>
        </w:rPr>
        <w:t xml:space="preserve"> and </w:t>
      </w:r>
      <w:r w:rsidR="0010518D" w:rsidRPr="004D68B4">
        <w:rPr>
          <w:rFonts w:ascii="Arial" w:hAnsi="Arial" w:cs="Arial"/>
          <w:i/>
          <w:lang w:val="en-GB"/>
        </w:rPr>
        <w:t>(b)</w:t>
      </w:r>
      <w:r w:rsidR="0010518D">
        <w:rPr>
          <w:rFonts w:ascii="Arial" w:hAnsi="Arial" w:cs="Arial"/>
          <w:lang w:val="en-GB"/>
        </w:rPr>
        <w:t xml:space="preserve"> are particularly relevant.</w:t>
      </w:r>
      <w:r w:rsidR="0010518D">
        <w:rPr>
          <w:rStyle w:val="FootnoteReference"/>
          <w:rFonts w:ascii="Arial" w:hAnsi="Arial" w:cs="Arial"/>
          <w:lang w:val="en-GB"/>
        </w:rPr>
        <w:footnoteReference w:id="15"/>
      </w:r>
      <w:r w:rsidR="0010518D">
        <w:rPr>
          <w:rFonts w:ascii="Arial" w:hAnsi="Arial" w:cs="Arial"/>
          <w:lang w:val="en-GB"/>
        </w:rPr>
        <w:t xml:space="preserve"> </w:t>
      </w:r>
      <w:r w:rsidR="00560FCB" w:rsidRPr="00E47E6B">
        <w:rPr>
          <w:rFonts w:ascii="Arial" w:hAnsi="Arial" w:cs="Arial"/>
          <w:lang w:val="en-GB"/>
        </w:rPr>
        <w:t>They</w:t>
      </w:r>
      <w:r w:rsidR="00560FCB">
        <w:rPr>
          <w:rFonts w:ascii="Arial" w:hAnsi="Arial" w:cs="Arial"/>
          <w:lang w:val="en-GB"/>
        </w:rPr>
        <w:t xml:space="preserve"> </w:t>
      </w:r>
      <w:r w:rsidR="001235D1">
        <w:rPr>
          <w:rFonts w:ascii="Arial" w:hAnsi="Arial" w:cs="Arial"/>
          <w:lang w:val="en-GB"/>
        </w:rPr>
        <w:t xml:space="preserve">are buttressed by ss 3 and 4. </w:t>
      </w:r>
      <w:r w:rsidR="00560FCB" w:rsidRPr="00E47E6B">
        <w:rPr>
          <w:rFonts w:ascii="Arial" w:hAnsi="Arial" w:cs="Arial"/>
          <w:lang w:val="en-GB"/>
        </w:rPr>
        <w:t>Section 11(1)</w:t>
      </w:r>
      <w:r w:rsidR="00560FCB">
        <w:rPr>
          <w:rFonts w:ascii="Arial" w:hAnsi="Arial" w:cs="Arial"/>
          <w:lang w:val="en-GB"/>
        </w:rPr>
        <w:t xml:space="preserve"> </w:t>
      </w:r>
      <w:r w:rsidR="0010518D">
        <w:rPr>
          <w:rFonts w:ascii="Arial" w:hAnsi="Arial" w:cs="Arial"/>
          <w:lang w:val="en-GB"/>
        </w:rPr>
        <w:t>prohibit</w:t>
      </w:r>
      <w:r w:rsidR="00560FCB" w:rsidRPr="00E47E6B">
        <w:rPr>
          <w:rFonts w:ascii="Arial" w:hAnsi="Arial" w:cs="Arial"/>
          <w:lang w:val="en-GB"/>
        </w:rPr>
        <w:t>s</w:t>
      </w:r>
      <w:r w:rsidR="001235D1">
        <w:rPr>
          <w:rFonts w:ascii="Arial" w:hAnsi="Arial" w:cs="Arial"/>
          <w:lang w:val="en-GB"/>
        </w:rPr>
        <w:t xml:space="preserve"> any change in ownership or control of a mining right or an interest in a mining right, without the consent of the Minister. </w:t>
      </w:r>
      <w:r w:rsidR="00775CE5">
        <w:rPr>
          <w:rFonts w:ascii="Arial" w:hAnsi="Arial" w:cs="Arial"/>
          <w:lang w:val="en-GB"/>
        </w:rPr>
        <w:t>This seeks to enhance</w:t>
      </w:r>
      <w:r w:rsidR="00560FCB">
        <w:rPr>
          <w:rFonts w:ascii="Arial" w:hAnsi="Arial" w:cs="Arial"/>
          <w:lang w:val="en-GB"/>
        </w:rPr>
        <w:t xml:space="preserve"> </w:t>
      </w:r>
      <w:r w:rsidR="001235D1">
        <w:rPr>
          <w:rFonts w:ascii="Arial" w:hAnsi="Arial" w:cs="Arial"/>
          <w:lang w:val="en-GB"/>
        </w:rPr>
        <w:t>the objects in ss 2</w:t>
      </w:r>
      <w:r w:rsidR="001235D1" w:rsidRPr="002F7471">
        <w:rPr>
          <w:rFonts w:ascii="Arial" w:hAnsi="Arial" w:cs="Arial"/>
          <w:i/>
          <w:lang w:val="en-GB"/>
        </w:rPr>
        <w:t>(a)</w:t>
      </w:r>
      <w:r w:rsidR="001235D1">
        <w:rPr>
          <w:rFonts w:ascii="Arial" w:hAnsi="Arial" w:cs="Arial"/>
          <w:lang w:val="en-GB"/>
        </w:rPr>
        <w:t xml:space="preserve"> and </w:t>
      </w:r>
      <w:r w:rsidR="001235D1" w:rsidRPr="002F7471">
        <w:rPr>
          <w:rFonts w:ascii="Arial" w:hAnsi="Arial" w:cs="Arial"/>
          <w:i/>
          <w:lang w:val="en-GB"/>
        </w:rPr>
        <w:t>(b)</w:t>
      </w:r>
      <w:r w:rsidR="001235D1" w:rsidRPr="00E47E6B">
        <w:rPr>
          <w:rFonts w:ascii="Arial" w:hAnsi="Arial" w:cs="Arial"/>
          <w:lang w:val="en-GB"/>
        </w:rPr>
        <w:t>.</w:t>
      </w:r>
      <w:r w:rsidR="0010518D">
        <w:rPr>
          <w:rFonts w:ascii="Arial" w:hAnsi="Arial" w:cs="Arial"/>
          <w:lang w:val="en-GB"/>
        </w:rPr>
        <w:t xml:space="preserve"> </w:t>
      </w:r>
    </w:p>
    <w:p w14:paraId="654F0857" w14:textId="274FC2E1" w:rsidR="0010518D" w:rsidRDefault="002F7471" w:rsidP="00A335BC">
      <w:pPr>
        <w:spacing w:line="360" w:lineRule="auto"/>
        <w:jc w:val="both"/>
        <w:rPr>
          <w:rFonts w:ascii="Arial" w:hAnsi="Arial" w:cs="Arial"/>
          <w:iCs/>
          <w:lang w:val="en-GB"/>
        </w:rPr>
      </w:pPr>
      <w:r w:rsidRPr="00E47E6B">
        <w:rPr>
          <w:rFonts w:ascii="Arial" w:hAnsi="Arial" w:cs="Arial"/>
          <w:lang w:val="en-GB"/>
        </w:rPr>
        <w:lastRenderedPageBreak/>
        <w:t>[</w:t>
      </w:r>
      <w:r w:rsidR="003846E8" w:rsidRPr="00E47E6B">
        <w:rPr>
          <w:rFonts w:ascii="Arial" w:hAnsi="Arial" w:cs="Arial"/>
          <w:lang w:val="en-GB"/>
        </w:rPr>
        <w:t>49</w:t>
      </w:r>
      <w:r w:rsidRPr="00E47E6B">
        <w:rPr>
          <w:rFonts w:ascii="Arial" w:hAnsi="Arial" w:cs="Arial"/>
          <w:lang w:val="en-GB"/>
        </w:rPr>
        <w:t>]</w:t>
      </w:r>
      <w:r>
        <w:rPr>
          <w:rFonts w:ascii="Arial" w:hAnsi="Arial" w:cs="Arial"/>
          <w:lang w:val="en-GB"/>
        </w:rPr>
        <w:tab/>
      </w:r>
      <w:r w:rsidR="00DB1421">
        <w:rPr>
          <w:rFonts w:ascii="Arial" w:hAnsi="Arial" w:cs="Arial"/>
          <w:lang w:val="en-GB"/>
        </w:rPr>
        <w:t xml:space="preserve">Although s 11(2) does not expressly mention ‘controlling interest’, Coppin J held in </w:t>
      </w:r>
      <w:r w:rsidR="00DB1421">
        <w:rPr>
          <w:rFonts w:ascii="Arial" w:hAnsi="Arial" w:cs="Arial"/>
          <w:i/>
          <w:iCs/>
          <w:lang w:val="en-GB"/>
        </w:rPr>
        <w:t>Mogale Alloys</w:t>
      </w:r>
      <w:r w:rsidR="00DB1421">
        <w:rPr>
          <w:rFonts w:ascii="Arial" w:hAnsi="Arial" w:cs="Arial"/>
          <w:lang w:val="en-GB"/>
        </w:rPr>
        <w:t xml:space="preserve"> that reference to ‘the right’ in subsection 2, must include ‘the controlling interest’ in subsection 1.</w:t>
      </w:r>
      <w:r w:rsidR="00DB1421">
        <w:rPr>
          <w:rStyle w:val="FootnoteReference"/>
          <w:rFonts w:ascii="Arial" w:hAnsi="Arial" w:cs="Arial"/>
          <w:lang w:val="en-GB"/>
        </w:rPr>
        <w:footnoteReference w:id="16"/>
      </w:r>
      <w:r w:rsidR="00DB1421">
        <w:rPr>
          <w:rFonts w:ascii="Arial" w:hAnsi="Arial" w:cs="Arial"/>
          <w:lang w:val="en-GB"/>
        </w:rPr>
        <w:t xml:space="preserve"> </w:t>
      </w:r>
      <w:r w:rsidR="001235D1">
        <w:rPr>
          <w:rFonts w:ascii="Arial" w:hAnsi="Arial" w:cs="Arial"/>
          <w:i/>
          <w:iCs/>
          <w:lang w:val="en-GB"/>
        </w:rPr>
        <w:t xml:space="preserve">Mogale Alloys </w:t>
      </w:r>
      <w:r w:rsidR="00DB1421">
        <w:rPr>
          <w:rFonts w:ascii="Arial" w:hAnsi="Arial" w:cs="Arial"/>
          <w:lang w:val="en-GB"/>
        </w:rPr>
        <w:t>further</w:t>
      </w:r>
      <w:r w:rsidR="001235D1" w:rsidRPr="001235D1">
        <w:rPr>
          <w:rFonts w:ascii="Arial" w:hAnsi="Arial" w:cs="Arial"/>
          <w:lang w:val="en-GB"/>
        </w:rPr>
        <w:t xml:space="preserve"> held </w:t>
      </w:r>
      <w:r w:rsidR="001235D1" w:rsidRPr="002C11E2">
        <w:rPr>
          <w:rFonts w:ascii="Arial" w:hAnsi="Arial" w:cs="Arial"/>
          <w:lang w:val="en-GB"/>
        </w:rPr>
        <w:t>that w</w:t>
      </w:r>
      <w:r w:rsidR="00514AC1" w:rsidRPr="002C11E2">
        <w:rPr>
          <w:rFonts w:ascii="Arial" w:hAnsi="Arial" w:cs="Arial"/>
          <w:lang w:val="en-GB"/>
        </w:rPr>
        <w:t>h</w:t>
      </w:r>
      <w:r w:rsidR="001235D1" w:rsidRPr="002C11E2">
        <w:rPr>
          <w:rFonts w:ascii="Arial" w:hAnsi="Arial" w:cs="Arial"/>
          <w:lang w:val="en-GB"/>
        </w:rPr>
        <w:t>ere the</w:t>
      </w:r>
      <w:r w:rsidR="001235D1" w:rsidRPr="001235D1">
        <w:rPr>
          <w:rFonts w:ascii="Arial" w:hAnsi="Arial" w:cs="Arial"/>
          <w:lang w:val="en-GB"/>
        </w:rPr>
        <w:t xml:space="preserve"> effect of the alienation o</w:t>
      </w:r>
      <w:r w:rsidR="00AA29B0">
        <w:rPr>
          <w:rFonts w:ascii="Arial" w:hAnsi="Arial" w:cs="Arial"/>
          <w:lang w:val="en-GB"/>
        </w:rPr>
        <w:t>r</w:t>
      </w:r>
      <w:r w:rsidR="001235D1" w:rsidRPr="001235D1">
        <w:rPr>
          <w:rFonts w:ascii="Arial" w:hAnsi="Arial" w:cs="Arial"/>
          <w:lang w:val="en-GB"/>
        </w:rPr>
        <w:t xml:space="preserve"> disposal</w:t>
      </w:r>
      <w:r w:rsidR="001235D1">
        <w:rPr>
          <w:rFonts w:ascii="Arial" w:hAnsi="Arial" w:cs="Arial"/>
          <w:i/>
          <w:iCs/>
          <w:lang w:val="en-GB"/>
        </w:rPr>
        <w:t xml:space="preserve"> </w:t>
      </w:r>
      <w:r w:rsidR="001235D1">
        <w:rPr>
          <w:rFonts w:ascii="Arial" w:hAnsi="Arial" w:cs="Arial"/>
          <w:iCs/>
          <w:lang w:val="en-GB"/>
        </w:rPr>
        <w:t xml:space="preserve">would be that the holder of the controlling interest would lose such control, then the alienation of disposal would require </w:t>
      </w:r>
      <w:r w:rsidR="00AA29B0">
        <w:rPr>
          <w:rFonts w:ascii="Arial" w:hAnsi="Arial" w:cs="Arial"/>
          <w:iCs/>
          <w:lang w:val="en-GB"/>
        </w:rPr>
        <w:t>M</w:t>
      </w:r>
      <w:r w:rsidR="001235D1">
        <w:rPr>
          <w:rFonts w:ascii="Arial" w:hAnsi="Arial" w:cs="Arial"/>
          <w:iCs/>
          <w:lang w:val="en-GB"/>
        </w:rPr>
        <w:t xml:space="preserve">inisterial consent, even if no one else </w:t>
      </w:r>
      <w:r w:rsidR="00AA29B0">
        <w:rPr>
          <w:rFonts w:ascii="Arial" w:hAnsi="Arial" w:cs="Arial"/>
          <w:iCs/>
          <w:lang w:val="en-GB"/>
        </w:rPr>
        <w:t>ac</w:t>
      </w:r>
      <w:r w:rsidR="001235D1">
        <w:rPr>
          <w:rFonts w:ascii="Arial" w:hAnsi="Arial" w:cs="Arial"/>
          <w:iCs/>
          <w:lang w:val="en-GB"/>
        </w:rPr>
        <w:t>quires that controlling interest.</w:t>
      </w:r>
      <w:r w:rsidR="001235D1">
        <w:rPr>
          <w:rStyle w:val="FootnoteReference"/>
          <w:rFonts w:ascii="Arial" w:hAnsi="Arial" w:cs="Arial"/>
          <w:iCs/>
          <w:lang w:val="en-GB"/>
        </w:rPr>
        <w:footnoteReference w:id="17"/>
      </w:r>
      <w:r w:rsidR="00DB1421">
        <w:rPr>
          <w:rFonts w:ascii="Arial" w:hAnsi="Arial" w:cs="Arial"/>
          <w:iCs/>
          <w:lang w:val="en-GB"/>
        </w:rPr>
        <w:t xml:space="preserve"> Here, the controlling interest in Vantage was held by 34 shareholders before the new shares were issued to Macquarie. The issuing of 9</w:t>
      </w:r>
      <w:r w:rsidR="003846E8">
        <w:rPr>
          <w:rFonts w:ascii="Arial" w:hAnsi="Arial" w:cs="Arial"/>
          <w:iCs/>
          <w:lang w:val="en-GB"/>
        </w:rPr>
        <w:t>8 percent</w:t>
      </w:r>
      <w:r w:rsidR="00DB1421">
        <w:rPr>
          <w:rFonts w:ascii="Arial" w:hAnsi="Arial" w:cs="Arial"/>
          <w:iCs/>
          <w:lang w:val="en-GB"/>
        </w:rPr>
        <w:t xml:space="preserve"> of the authorised shares in Vantage to Macquarie resulted in the controlling interest being ‘alienated or otherwise disposed of</w:t>
      </w:r>
      <w:r w:rsidR="00AA29B0">
        <w:rPr>
          <w:rFonts w:ascii="Arial" w:hAnsi="Arial" w:cs="Arial"/>
          <w:iCs/>
          <w:lang w:val="en-GB"/>
        </w:rPr>
        <w:t>’</w:t>
      </w:r>
      <w:r w:rsidR="00D3299A">
        <w:rPr>
          <w:rFonts w:ascii="Arial" w:hAnsi="Arial" w:cs="Arial"/>
          <w:iCs/>
          <w:lang w:val="en-GB"/>
        </w:rPr>
        <w:t>. This change in the controlling interest of Vantage, resulted in a</w:t>
      </w:r>
      <w:r w:rsidR="00AA29B0">
        <w:rPr>
          <w:rFonts w:ascii="Arial" w:hAnsi="Arial" w:cs="Arial"/>
          <w:iCs/>
          <w:lang w:val="en-GB"/>
        </w:rPr>
        <w:t xml:space="preserve"> </w:t>
      </w:r>
      <w:r w:rsidR="00D3299A">
        <w:rPr>
          <w:rFonts w:ascii="Arial" w:hAnsi="Arial" w:cs="Arial"/>
          <w:iCs/>
          <w:lang w:val="en-GB"/>
        </w:rPr>
        <w:t>change in the controlling interest in MIMCO and Barbrook, both of whom held the mining rights. Macquarie’s acquisition of the 9</w:t>
      </w:r>
      <w:r w:rsidR="00AA29B0">
        <w:rPr>
          <w:rFonts w:ascii="Arial" w:hAnsi="Arial" w:cs="Arial"/>
          <w:iCs/>
          <w:lang w:val="en-GB"/>
        </w:rPr>
        <w:t>8 percent</w:t>
      </w:r>
      <w:r w:rsidR="00D3299A">
        <w:rPr>
          <w:rFonts w:ascii="Arial" w:hAnsi="Arial" w:cs="Arial"/>
          <w:iCs/>
          <w:lang w:val="en-GB"/>
        </w:rPr>
        <w:t xml:space="preserve"> of the shares in Vantage had the effect of essentially disposing of or otherwise alien</w:t>
      </w:r>
      <w:r w:rsidR="00817572">
        <w:rPr>
          <w:rFonts w:ascii="Arial" w:hAnsi="Arial" w:cs="Arial"/>
          <w:iCs/>
          <w:lang w:val="en-GB"/>
        </w:rPr>
        <w:t>a</w:t>
      </w:r>
      <w:r w:rsidR="00D3299A">
        <w:rPr>
          <w:rFonts w:ascii="Arial" w:hAnsi="Arial" w:cs="Arial"/>
          <w:iCs/>
          <w:lang w:val="en-GB"/>
        </w:rPr>
        <w:t>ting the mining right or interest in the mining right as contemplated in s 11 of the MPRDA. Put differently, the new issue by Vantage of shares, which formed part of its authorised</w:t>
      </w:r>
      <w:r w:rsidR="00AA29B0">
        <w:rPr>
          <w:rFonts w:ascii="Arial" w:hAnsi="Arial" w:cs="Arial"/>
          <w:iCs/>
          <w:lang w:val="en-GB"/>
        </w:rPr>
        <w:t xml:space="preserve"> but</w:t>
      </w:r>
      <w:r w:rsidR="00D3299A">
        <w:rPr>
          <w:rFonts w:ascii="Arial" w:hAnsi="Arial" w:cs="Arial"/>
          <w:iCs/>
          <w:lang w:val="en-GB"/>
        </w:rPr>
        <w:t xml:space="preserve"> </w:t>
      </w:r>
      <w:r w:rsidR="00AA29B0">
        <w:rPr>
          <w:rFonts w:ascii="Arial" w:hAnsi="Arial" w:cs="Arial"/>
          <w:iCs/>
          <w:lang w:val="en-GB"/>
        </w:rPr>
        <w:t>un</w:t>
      </w:r>
      <w:r w:rsidR="00D3299A">
        <w:rPr>
          <w:rFonts w:ascii="Arial" w:hAnsi="Arial" w:cs="Arial"/>
          <w:iCs/>
          <w:lang w:val="en-GB"/>
        </w:rPr>
        <w:t>issued capital to Macquarie, resulted in an alienation or other disposal of such mining rights</w:t>
      </w:r>
      <w:r w:rsidR="00AA29B0">
        <w:rPr>
          <w:rFonts w:ascii="Arial" w:hAnsi="Arial" w:cs="Arial"/>
          <w:iCs/>
          <w:lang w:val="en-GB"/>
        </w:rPr>
        <w:t>,</w:t>
      </w:r>
      <w:r w:rsidR="00D3299A">
        <w:rPr>
          <w:rFonts w:ascii="Arial" w:hAnsi="Arial" w:cs="Arial"/>
          <w:iCs/>
          <w:lang w:val="en-GB"/>
        </w:rPr>
        <w:t xml:space="preserve"> since the ultimate owner and controller of such mining rights changed from the 34 Vantage shareholders to Macquarie. This required Ministerial consent.</w:t>
      </w:r>
    </w:p>
    <w:p w14:paraId="23FFF1A9" w14:textId="77777777" w:rsidR="00D3299A" w:rsidRDefault="00D3299A" w:rsidP="00A335BC">
      <w:pPr>
        <w:spacing w:line="360" w:lineRule="auto"/>
        <w:jc w:val="both"/>
        <w:rPr>
          <w:rFonts w:ascii="Arial" w:hAnsi="Arial" w:cs="Arial"/>
          <w:iCs/>
          <w:lang w:val="en-GB"/>
        </w:rPr>
      </w:pPr>
    </w:p>
    <w:p w14:paraId="2CE6A422" w14:textId="680F8D95" w:rsidR="00AC0600" w:rsidRDefault="002F7471" w:rsidP="00A335BC">
      <w:pPr>
        <w:spacing w:line="360" w:lineRule="auto"/>
        <w:jc w:val="both"/>
        <w:rPr>
          <w:rFonts w:ascii="Arial" w:hAnsi="Arial" w:cs="Arial"/>
          <w:lang w:val="en-GB"/>
        </w:rPr>
      </w:pPr>
      <w:r w:rsidRPr="00507C65">
        <w:rPr>
          <w:rFonts w:ascii="Arial" w:hAnsi="Arial" w:cs="Arial"/>
          <w:lang w:val="en-US"/>
        </w:rPr>
        <w:t>[</w:t>
      </w:r>
      <w:r>
        <w:rPr>
          <w:rFonts w:ascii="Arial" w:hAnsi="Arial" w:cs="Arial"/>
          <w:lang w:val="en-US"/>
        </w:rPr>
        <w:t>5</w:t>
      </w:r>
      <w:r w:rsidR="00817572">
        <w:rPr>
          <w:rFonts w:ascii="Arial" w:hAnsi="Arial" w:cs="Arial"/>
          <w:lang w:val="en-US"/>
        </w:rPr>
        <w:t>0</w:t>
      </w:r>
      <w:r w:rsidRPr="00507C65">
        <w:rPr>
          <w:rFonts w:ascii="Arial" w:hAnsi="Arial" w:cs="Arial"/>
          <w:lang w:val="en-US"/>
        </w:rPr>
        <w:t>]</w:t>
      </w:r>
      <w:r>
        <w:rPr>
          <w:rFonts w:ascii="Arial" w:hAnsi="Arial" w:cs="Arial"/>
          <w:lang w:val="en-US"/>
        </w:rPr>
        <w:tab/>
      </w:r>
      <w:r w:rsidR="00D3299A">
        <w:rPr>
          <w:rFonts w:ascii="Arial" w:hAnsi="Arial" w:cs="Arial"/>
          <w:lang w:val="en-GB"/>
        </w:rPr>
        <w:t>It would be an absurdity to confine the interpretation of s 11(1) of the MPRDA to direct cessions, transfers, leases</w:t>
      </w:r>
      <w:r w:rsidR="00AA29B0">
        <w:rPr>
          <w:rFonts w:ascii="Arial" w:hAnsi="Arial" w:cs="Arial"/>
          <w:lang w:val="en-GB"/>
        </w:rPr>
        <w:t>,</w:t>
      </w:r>
      <w:r w:rsidR="00D3299A">
        <w:rPr>
          <w:rFonts w:ascii="Arial" w:hAnsi="Arial" w:cs="Arial"/>
          <w:lang w:val="en-GB"/>
        </w:rPr>
        <w:t xml:space="preserve"> etc, since, by doing so, Ministerial consent (and therefore two of the </w:t>
      </w:r>
      <w:r w:rsidR="00775CE5">
        <w:rPr>
          <w:rFonts w:ascii="Arial" w:hAnsi="Arial" w:cs="Arial"/>
          <w:lang w:val="en-GB"/>
        </w:rPr>
        <w:t xml:space="preserve">principle </w:t>
      </w:r>
      <w:r w:rsidR="00D3299A">
        <w:rPr>
          <w:rFonts w:ascii="Arial" w:hAnsi="Arial" w:cs="Arial"/>
          <w:lang w:val="en-GB"/>
        </w:rPr>
        <w:t>objects of the MPRDA) could easily be thwarted. The interpretation contended for by the appellants is subversive of the objects of the MPRDA. Section 11(1) must accordingly be interpreted as including both direct and indirect cessions, transfers, leases</w:t>
      </w:r>
      <w:r w:rsidR="00817572">
        <w:rPr>
          <w:rFonts w:ascii="Arial" w:hAnsi="Arial" w:cs="Arial"/>
          <w:lang w:val="en-GB"/>
        </w:rPr>
        <w:t>,</w:t>
      </w:r>
      <w:r w:rsidR="00D3299A">
        <w:rPr>
          <w:rFonts w:ascii="Arial" w:hAnsi="Arial" w:cs="Arial"/>
          <w:lang w:val="en-GB"/>
        </w:rPr>
        <w:t xml:space="preserve"> etc and a change of control by the issue of new shares in a company that controls the mining right.</w:t>
      </w:r>
      <w:r w:rsidR="00BE26DD">
        <w:rPr>
          <w:rFonts w:ascii="Arial" w:hAnsi="Arial" w:cs="Arial"/>
          <w:lang w:val="en-GB"/>
        </w:rPr>
        <w:t xml:space="preserve"> It follows, that the interpretation of s 11(1), which has been advanced by the appellants, was correctly rejected by the high court. </w:t>
      </w:r>
    </w:p>
    <w:p w14:paraId="2733679F" w14:textId="77777777" w:rsidR="00AC0600" w:rsidRDefault="00AC0600" w:rsidP="00A335BC">
      <w:pPr>
        <w:spacing w:line="360" w:lineRule="auto"/>
        <w:jc w:val="both"/>
        <w:rPr>
          <w:rFonts w:ascii="Arial" w:hAnsi="Arial" w:cs="Arial"/>
          <w:lang w:val="en-GB"/>
        </w:rPr>
      </w:pPr>
    </w:p>
    <w:p w14:paraId="7A1B0C3C" w14:textId="623E1BCF" w:rsidR="00A93F95" w:rsidRDefault="002F7471" w:rsidP="00A335BC">
      <w:pPr>
        <w:spacing w:line="360" w:lineRule="auto"/>
        <w:jc w:val="both"/>
        <w:rPr>
          <w:rFonts w:ascii="Arial" w:hAnsi="Arial" w:cs="Arial"/>
          <w:lang w:val="en-GB"/>
        </w:rPr>
      </w:pPr>
      <w:r>
        <w:rPr>
          <w:rFonts w:ascii="Arial" w:hAnsi="Arial" w:cs="Arial"/>
          <w:lang w:val="en-US"/>
        </w:rPr>
        <w:lastRenderedPageBreak/>
        <w:t>[5</w:t>
      </w:r>
      <w:r w:rsidR="00817572">
        <w:rPr>
          <w:rFonts w:ascii="Arial" w:hAnsi="Arial" w:cs="Arial"/>
          <w:lang w:val="en-US"/>
        </w:rPr>
        <w:t>1</w:t>
      </w:r>
      <w:r w:rsidRPr="00507C65">
        <w:rPr>
          <w:rFonts w:ascii="Arial" w:hAnsi="Arial" w:cs="Arial"/>
          <w:lang w:val="en-US"/>
        </w:rPr>
        <w:t>]</w:t>
      </w:r>
      <w:r>
        <w:rPr>
          <w:rFonts w:ascii="Arial" w:hAnsi="Arial" w:cs="Arial"/>
          <w:lang w:val="en-US"/>
        </w:rPr>
        <w:tab/>
      </w:r>
      <w:r w:rsidR="00BE26DD">
        <w:rPr>
          <w:rFonts w:ascii="Arial" w:hAnsi="Arial" w:cs="Arial"/>
          <w:lang w:val="en-GB"/>
        </w:rPr>
        <w:t>The appellants advance no argument as to why, if the</w:t>
      </w:r>
      <w:r w:rsidR="00AC0600">
        <w:rPr>
          <w:rFonts w:ascii="Arial" w:hAnsi="Arial" w:cs="Arial"/>
          <w:lang w:val="en-GB"/>
        </w:rPr>
        <w:t>i</w:t>
      </w:r>
      <w:r w:rsidR="00BE26DD">
        <w:rPr>
          <w:rFonts w:ascii="Arial" w:hAnsi="Arial" w:cs="Arial"/>
          <w:lang w:val="en-GB"/>
        </w:rPr>
        <w:t>r interpretation of s 11 is to be rejected, the high court was incorrect in granting the order interdicting them from contending that the Vantage proposal does not require s 11 Ministerial consent.</w:t>
      </w:r>
    </w:p>
    <w:p w14:paraId="03BDD1C8" w14:textId="77777777" w:rsidR="00775CE5" w:rsidRDefault="00775CE5" w:rsidP="00A335BC">
      <w:pPr>
        <w:spacing w:line="360" w:lineRule="auto"/>
        <w:jc w:val="both"/>
        <w:rPr>
          <w:rFonts w:ascii="Arial" w:hAnsi="Arial" w:cs="Arial"/>
          <w:lang w:val="en-GB"/>
        </w:rPr>
      </w:pPr>
    </w:p>
    <w:p w14:paraId="7AB152F4" w14:textId="77777777" w:rsidR="0022148A" w:rsidRDefault="002F7471" w:rsidP="00A335BC">
      <w:pPr>
        <w:spacing w:line="360" w:lineRule="auto"/>
        <w:jc w:val="both"/>
        <w:rPr>
          <w:rFonts w:ascii="Arial" w:hAnsi="Arial" w:cs="Arial"/>
          <w:lang w:val="en-GB"/>
        </w:rPr>
      </w:pPr>
      <w:r w:rsidRPr="00E47E6B">
        <w:rPr>
          <w:rFonts w:ascii="Arial" w:hAnsi="Arial" w:cs="Arial"/>
          <w:lang w:val="en-US"/>
        </w:rPr>
        <w:t>[5</w:t>
      </w:r>
      <w:r w:rsidR="00817572" w:rsidRPr="00E47E6B">
        <w:rPr>
          <w:rFonts w:ascii="Arial" w:hAnsi="Arial" w:cs="Arial"/>
          <w:lang w:val="en-US"/>
        </w:rPr>
        <w:t>2</w:t>
      </w:r>
      <w:r w:rsidRPr="00E47E6B">
        <w:rPr>
          <w:rFonts w:ascii="Arial" w:hAnsi="Arial" w:cs="Arial"/>
          <w:lang w:val="en-US"/>
        </w:rPr>
        <w:t>]</w:t>
      </w:r>
      <w:r>
        <w:rPr>
          <w:rFonts w:ascii="Arial" w:hAnsi="Arial" w:cs="Arial"/>
          <w:lang w:val="en-US"/>
        </w:rPr>
        <w:tab/>
      </w:r>
      <w:r w:rsidR="00817572">
        <w:rPr>
          <w:rFonts w:ascii="Arial" w:hAnsi="Arial" w:cs="Arial"/>
          <w:lang w:val="en-GB"/>
        </w:rPr>
        <w:t>Accordingly</w:t>
      </w:r>
      <w:r w:rsidR="00A93F95">
        <w:rPr>
          <w:rFonts w:ascii="Arial" w:hAnsi="Arial" w:cs="Arial"/>
          <w:lang w:val="en-GB"/>
        </w:rPr>
        <w:t xml:space="preserve">, </w:t>
      </w:r>
      <w:r w:rsidR="00AC0600">
        <w:rPr>
          <w:rFonts w:ascii="Arial" w:hAnsi="Arial" w:cs="Arial"/>
          <w:lang w:val="en-GB"/>
        </w:rPr>
        <w:t xml:space="preserve">for the reasons given, </w:t>
      </w:r>
      <w:r w:rsidR="00A93F95">
        <w:rPr>
          <w:rFonts w:ascii="Arial" w:hAnsi="Arial" w:cs="Arial"/>
          <w:lang w:val="en-GB"/>
        </w:rPr>
        <w:t xml:space="preserve">the appeal must fail. Costs remain: Costs, including those of two counsel, must obviously follow the result. Standard Bank </w:t>
      </w:r>
      <w:r w:rsidR="004D4D32">
        <w:rPr>
          <w:rFonts w:ascii="Arial" w:hAnsi="Arial" w:cs="Arial"/>
          <w:lang w:val="en-GB"/>
        </w:rPr>
        <w:t xml:space="preserve">was cited as the eight respondent in the application </w:t>
      </w:r>
      <w:r w:rsidR="004D4D32" w:rsidRPr="004D4D32">
        <w:rPr>
          <w:rFonts w:ascii="Arial" w:hAnsi="Arial" w:cs="Arial"/>
          <w:i/>
          <w:iCs/>
          <w:lang w:val="en-GB"/>
        </w:rPr>
        <w:t>a quo</w:t>
      </w:r>
      <w:r w:rsidR="004D4D32">
        <w:rPr>
          <w:rFonts w:ascii="Arial" w:hAnsi="Arial" w:cs="Arial"/>
          <w:lang w:val="en-GB"/>
        </w:rPr>
        <w:t xml:space="preserve">, on the basis that it was an interested party in the relief sought. </w:t>
      </w:r>
      <w:r w:rsidR="00D72597">
        <w:rPr>
          <w:rFonts w:ascii="Arial" w:hAnsi="Arial" w:cs="Arial"/>
          <w:lang w:val="en-GB"/>
        </w:rPr>
        <w:t>I</w:t>
      </w:r>
      <w:r w:rsidR="004D4D32">
        <w:rPr>
          <w:rFonts w:ascii="Arial" w:hAnsi="Arial" w:cs="Arial"/>
          <w:lang w:val="en-GB"/>
        </w:rPr>
        <w:t>t had filed its own affidavit (and subsequently a supplementary affidavit) in the application ‘to avoid speculation and hearsay evidence in respect of the cessions by the other parties</w:t>
      </w:r>
      <w:r w:rsidR="00D72597">
        <w:rPr>
          <w:rFonts w:ascii="Arial" w:hAnsi="Arial" w:cs="Arial"/>
          <w:lang w:val="en-GB"/>
        </w:rPr>
        <w:t>’.</w:t>
      </w:r>
      <w:r w:rsidR="004D4D32">
        <w:rPr>
          <w:rFonts w:ascii="Arial" w:hAnsi="Arial" w:cs="Arial"/>
          <w:lang w:val="en-GB"/>
        </w:rPr>
        <w:t xml:space="preserve"> </w:t>
      </w:r>
      <w:r w:rsidR="00D72597">
        <w:rPr>
          <w:rFonts w:ascii="Arial" w:hAnsi="Arial" w:cs="Arial"/>
          <w:lang w:val="en-GB"/>
        </w:rPr>
        <w:t>I</w:t>
      </w:r>
      <w:r w:rsidR="004D4D32">
        <w:rPr>
          <w:rFonts w:ascii="Arial" w:hAnsi="Arial" w:cs="Arial"/>
          <w:lang w:val="en-GB"/>
        </w:rPr>
        <w:t>t did indicate</w:t>
      </w:r>
      <w:r w:rsidR="00D72597">
        <w:rPr>
          <w:rFonts w:ascii="Arial" w:hAnsi="Arial" w:cs="Arial"/>
          <w:lang w:val="en-GB"/>
        </w:rPr>
        <w:t>, as before the high court,</w:t>
      </w:r>
      <w:r w:rsidR="004D4D32">
        <w:rPr>
          <w:rFonts w:ascii="Arial" w:hAnsi="Arial" w:cs="Arial"/>
          <w:lang w:val="en-GB"/>
        </w:rPr>
        <w:t xml:space="preserve"> that it would abide the judgment of th</w:t>
      </w:r>
      <w:r w:rsidR="00AC0600">
        <w:rPr>
          <w:rFonts w:ascii="Arial" w:hAnsi="Arial" w:cs="Arial"/>
          <w:lang w:val="en-GB"/>
        </w:rPr>
        <w:t>is</w:t>
      </w:r>
      <w:r w:rsidR="004D4D32">
        <w:rPr>
          <w:rFonts w:ascii="Arial" w:hAnsi="Arial" w:cs="Arial"/>
          <w:lang w:val="en-GB"/>
        </w:rPr>
        <w:t xml:space="preserve"> </w:t>
      </w:r>
      <w:r w:rsidR="00AC0600">
        <w:rPr>
          <w:rFonts w:ascii="Arial" w:hAnsi="Arial" w:cs="Arial"/>
          <w:lang w:val="en-GB"/>
        </w:rPr>
        <w:t>C</w:t>
      </w:r>
      <w:r w:rsidR="004D4D32">
        <w:rPr>
          <w:rFonts w:ascii="Arial" w:hAnsi="Arial" w:cs="Arial"/>
          <w:lang w:val="en-GB"/>
        </w:rPr>
        <w:t>ourt</w:t>
      </w:r>
      <w:r w:rsidR="00AC0600">
        <w:rPr>
          <w:rFonts w:ascii="Arial" w:hAnsi="Arial" w:cs="Arial"/>
          <w:lang w:val="en-GB"/>
        </w:rPr>
        <w:t xml:space="preserve"> and</w:t>
      </w:r>
      <w:r w:rsidR="00D72597">
        <w:rPr>
          <w:rFonts w:ascii="Arial" w:hAnsi="Arial" w:cs="Arial"/>
          <w:lang w:val="en-GB"/>
        </w:rPr>
        <w:t>,</w:t>
      </w:r>
      <w:r w:rsidR="004D4D32">
        <w:rPr>
          <w:rFonts w:ascii="Arial" w:hAnsi="Arial" w:cs="Arial"/>
          <w:lang w:val="en-GB"/>
        </w:rPr>
        <w:t xml:space="preserve"> </w:t>
      </w:r>
      <w:r w:rsidR="00D72597">
        <w:rPr>
          <w:rFonts w:ascii="Arial" w:hAnsi="Arial" w:cs="Arial"/>
          <w:lang w:val="en-GB"/>
        </w:rPr>
        <w:t xml:space="preserve">irrespective of the outcome, it </w:t>
      </w:r>
      <w:r w:rsidR="004D4D32">
        <w:rPr>
          <w:rFonts w:ascii="Arial" w:hAnsi="Arial" w:cs="Arial"/>
          <w:lang w:val="en-GB"/>
        </w:rPr>
        <w:t>did not seek costs</w:t>
      </w:r>
      <w:r w:rsidR="00D72597">
        <w:rPr>
          <w:rFonts w:ascii="Arial" w:hAnsi="Arial" w:cs="Arial"/>
          <w:lang w:val="en-GB"/>
        </w:rPr>
        <w:t xml:space="preserve"> in either court. </w:t>
      </w:r>
    </w:p>
    <w:p w14:paraId="7FC84FE6" w14:textId="77777777" w:rsidR="00D72597" w:rsidRDefault="00D72597" w:rsidP="00A335BC">
      <w:pPr>
        <w:spacing w:line="360" w:lineRule="auto"/>
        <w:jc w:val="both"/>
        <w:rPr>
          <w:rFonts w:ascii="Arial" w:hAnsi="Arial" w:cs="Arial"/>
          <w:lang w:val="en-GB"/>
        </w:rPr>
      </w:pPr>
    </w:p>
    <w:p w14:paraId="42AE3519" w14:textId="0E84CB99" w:rsidR="00E17F0D" w:rsidRDefault="002F7471" w:rsidP="00A335BC">
      <w:pPr>
        <w:spacing w:line="360" w:lineRule="auto"/>
        <w:jc w:val="both"/>
        <w:rPr>
          <w:rFonts w:ascii="Arial" w:hAnsi="Arial" w:cs="Arial"/>
          <w:lang w:val="en-GB"/>
        </w:rPr>
      </w:pPr>
      <w:r>
        <w:rPr>
          <w:rFonts w:ascii="Arial" w:hAnsi="Arial" w:cs="Arial"/>
          <w:lang w:val="en-US"/>
        </w:rPr>
        <w:t>[5</w:t>
      </w:r>
      <w:r w:rsidR="00817572">
        <w:rPr>
          <w:rFonts w:ascii="Arial" w:hAnsi="Arial" w:cs="Arial"/>
          <w:lang w:val="en-US"/>
        </w:rPr>
        <w:t>3</w:t>
      </w:r>
      <w:r w:rsidRPr="00507C65">
        <w:rPr>
          <w:rFonts w:ascii="Arial" w:hAnsi="Arial" w:cs="Arial"/>
          <w:lang w:val="en-US"/>
        </w:rPr>
        <w:t>]</w:t>
      </w:r>
      <w:r>
        <w:rPr>
          <w:rFonts w:ascii="Arial" w:hAnsi="Arial" w:cs="Arial"/>
          <w:lang w:val="en-US"/>
        </w:rPr>
        <w:tab/>
      </w:r>
      <w:r w:rsidR="00D72597">
        <w:rPr>
          <w:rFonts w:ascii="Arial" w:hAnsi="Arial" w:cs="Arial"/>
          <w:lang w:val="en-GB"/>
        </w:rPr>
        <w:t>The Minister initially did not file any papers, when the affidavits were exchanged in the litigation before the high court. The Minister came to participate in the matter at the instance of the high court. This, to deal with the competing contentions raised in the heads of argument filed by the parties in</w:t>
      </w:r>
      <w:r w:rsidR="00AC0600">
        <w:rPr>
          <w:rFonts w:ascii="Arial" w:hAnsi="Arial" w:cs="Arial"/>
          <w:lang w:val="en-GB"/>
        </w:rPr>
        <w:t>sofar as</w:t>
      </w:r>
      <w:r w:rsidR="00D72597">
        <w:rPr>
          <w:rFonts w:ascii="Arial" w:hAnsi="Arial" w:cs="Arial"/>
          <w:lang w:val="en-GB"/>
        </w:rPr>
        <w:t xml:space="preserve"> the interpretation of s 11 of the MPRDA</w:t>
      </w:r>
      <w:r w:rsidR="00AC0600">
        <w:rPr>
          <w:rFonts w:ascii="Arial" w:hAnsi="Arial" w:cs="Arial"/>
          <w:lang w:val="en-GB"/>
        </w:rPr>
        <w:t>, was concerned</w:t>
      </w:r>
      <w:r w:rsidR="00D72597">
        <w:rPr>
          <w:rFonts w:ascii="Arial" w:hAnsi="Arial" w:cs="Arial"/>
          <w:lang w:val="en-GB"/>
        </w:rPr>
        <w:t>. Counsel</w:t>
      </w:r>
      <w:r w:rsidR="00E17F0D">
        <w:rPr>
          <w:rFonts w:ascii="Arial" w:hAnsi="Arial" w:cs="Arial"/>
          <w:lang w:val="en-GB"/>
        </w:rPr>
        <w:t>,</w:t>
      </w:r>
      <w:r w:rsidR="00D72597">
        <w:rPr>
          <w:rFonts w:ascii="Arial" w:hAnsi="Arial" w:cs="Arial"/>
          <w:lang w:val="en-GB"/>
        </w:rPr>
        <w:t xml:space="preserve"> who represented the Minister</w:t>
      </w:r>
      <w:r w:rsidR="00292C34">
        <w:rPr>
          <w:rFonts w:ascii="Arial" w:hAnsi="Arial" w:cs="Arial"/>
          <w:lang w:val="en-GB"/>
        </w:rPr>
        <w:t>,</w:t>
      </w:r>
      <w:r w:rsidR="00E17F0D">
        <w:rPr>
          <w:rFonts w:ascii="Arial" w:hAnsi="Arial" w:cs="Arial"/>
          <w:lang w:val="en-GB"/>
        </w:rPr>
        <w:t xml:space="preserve"> both before this court and the one below,</w:t>
      </w:r>
      <w:r w:rsidR="00D72597">
        <w:rPr>
          <w:rFonts w:ascii="Arial" w:hAnsi="Arial" w:cs="Arial"/>
          <w:lang w:val="en-GB"/>
        </w:rPr>
        <w:t xml:space="preserve"> supported </w:t>
      </w:r>
      <w:r w:rsidR="00E17F0D">
        <w:rPr>
          <w:rFonts w:ascii="Arial" w:hAnsi="Arial" w:cs="Arial"/>
          <w:lang w:val="en-GB"/>
        </w:rPr>
        <w:t>the interpretation advanced by Arqomanzi. In the circumstances, costs were sought on behalf of the Minister</w:t>
      </w:r>
      <w:r w:rsidR="00AC0600">
        <w:rPr>
          <w:rFonts w:ascii="Arial" w:hAnsi="Arial" w:cs="Arial"/>
          <w:lang w:val="en-GB"/>
        </w:rPr>
        <w:t xml:space="preserve"> in the event of</w:t>
      </w:r>
      <w:r w:rsidR="00E17F0D">
        <w:rPr>
          <w:rFonts w:ascii="Arial" w:hAnsi="Arial" w:cs="Arial"/>
          <w:lang w:val="en-GB"/>
        </w:rPr>
        <w:t xml:space="preserve"> the appeal</w:t>
      </w:r>
      <w:r w:rsidR="00AC0600">
        <w:rPr>
          <w:rFonts w:ascii="Arial" w:hAnsi="Arial" w:cs="Arial"/>
          <w:lang w:val="en-GB"/>
        </w:rPr>
        <w:t xml:space="preserve"> failing</w:t>
      </w:r>
      <w:r w:rsidR="00E17F0D">
        <w:rPr>
          <w:rFonts w:ascii="Arial" w:hAnsi="Arial" w:cs="Arial"/>
          <w:lang w:val="en-GB"/>
        </w:rPr>
        <w:t>. There was no resistance from the appellants to such an order issuing.</w:t>
      </w:r>
    </w:p>
    <w:p w14:paraId="3037D461" w14:textId="77777777" w:rsidR="00E17F0D" w:rsidRDefault="00E17F0D" w:rsidP="00A335BC">
      <w:pPr>
        <w:spacing w:line="360" w:lineRule="auto"/>
        <w:jc w:val="both"/>
        <w:rPr>
          <w:rFonts w:ascii="Arial" w:hAnsi="Arial" w:cs="Arial"/>
          <w:lang w:val="en-GB"/>
        </w:rPr>
      </w:pPr>
    </w:p>
    <w:p w14:paraId="68DB4DF9" w14:textId="77777777" w:rsidR="00E17F0D" w:rsidRDefault="002F7471" w:rsidP="00A335BC">
      <w:pPr>
        <w:spacing w:line="360" w:lineRule="auto"/>
        <w:jc w:val="both"/>
        <w:rPr>
          <w:rFonts w:ascii="Arial" w:hAnsi="Arial" w:cs="Arial"/>
          <w:lang w:val="en-GB"/>
        </w:rPr>
      </w:pPr>
      <w:r>
        <w:rPr>
          <w:rFonts w:ascii="Arial" w:hAnsi="Arial" w:cs="Arial"/>
          <w:lang w:val="en-US"/>
        </w:rPr>
        <w:t>[5</w:t>
      </w:r>
      <w:r w:rsidR="00817572">
        <w:rPr>
          <w:rFonts w:ascii="Arial" w:hAnsi="Arial" w:cs="Arial"/>
          <w:lang w:val="en-US"/>
        </w:rPr>
        <w:t>4</w:t>
      </w:r>
      <w:r w:rsidRPr="00507C65">
        <w:rPr>
          <w:rFonts w:ascii="Arial" w:hAnsi="Arial" w:cs="Arial"/>
          <w:lang w:val="en-US"/>
        </w:rPr>
        <w:t>]</w:t>
      </w:r>
      <w:r>
        <w:rPr>
          <w:rFonts w:ascii="Arial" w:hAnsi="Arial" w:cs="Arial"/>
          <w:lang w:val="en-US"/>
        </w:rPr>
        <w:tab/>
      </w:r>
      <w:r w:rsidR="00E17F0D">
        <w:rPr>
          <w:rFonts w:ascii="Arial" w:hAnsi="Arial" w:cs="Arial"/>
          <w:lang w:val="en-GB"/>
        </w:rPr>
        <w:t>In the result:</w:t>
      </w:r>
    </w:p>
    <w:p w14:paraId="22F9AE35" w14:textId="52199B95" w:rsidR="00F747D3" w:rsidRDefault="00E17F0D" w:rsidP="00A335BC">
      <w:pPr>
        <w:spacing w:line="360" w:lineRule="auto"/>
        <w:jc w:val="both"/>
        <w:rPr>
          <w:rFonts w:ascii="Arial" w:hAnsi="Arial" w:cs="Arial"/>
          <w:lang w:val="en-GB"/>
        </w:rPr>
      </w:pPr>
      <w:r>
        <w:rPr>
          <w:rFonts w:ascii="Arial" w:hAnsi="Arial" w:cs="Arial"/>
          <w:lang w:val="en-GB"/>
        </w:rPr>
        <w:t>The appeal is dismissed with costs, includ</w:t>
      </w:r>
      <w:r w:rsidR="00AC0600">
        <w:rPr>
          <w:rFonts w:ascii="Arial" w:hAnsi="Arial" w:cs="Arial"/>
          <w:lang w:val="en-GB"/>
        </w:rPr>
        <w:t>ing</w:t>
      </w:r>
      <w:r>
        <w:rPr>
          <w:rFonts w:ascii="Arial" w:hAnsi="Arial" w:cs="Arial"/>
          <w:lang w:val="en-GB"/>
        </w:rPr>
        <w:t xml:space="preserve"> those of the Minister and of t</w:t>
      </w:r>
      <w:r w:rsidR="002F7471">
        <w:rPr>
          <w:rFonts w:ascii="Arial" w:hAnsi="Arial" w:cs="Arial"/>
          <w:lang w:val="en-GB"/>
        </w:rPr>
        <w:t>wo counsel where so employed.</w:t>
      </w:r>
    </w:p>
    <w:p w14:paraId="5F9CEB10" w14:textId="77777777" w:rsidR="002F7471" w:rsidRDefault="002F7471" w:rsidP="00F747D3">
      <w:pPr>
        <w:spacing w:line="360" w:lineRule="auto"/>
        <w:jc w:val="both"/>
        <w:rPr>
          <w:rFonts w:ascii="Arial" w:hAnsi="Arial" w:cs="Arial"/>
          <w:lang w:val="en-GB"/>
        </w:rPr>
      </w:pPr>
    </w:p>
    <w:p w14:paraId="21F2AD6A" w14:textId="77777777" w:rsidR="002F7471" w:rsidRDefault="002F7471" w:rsidP="00F747D3">
      <w:pPr>
        <w:spacing w:line="360" w:lineRule="auto"/>
        <w:jc w:val="both"/>
        <w:rPr>
          <w:rFonts w:ascii="Arial" w:hAnsi="Arial" w:cs="Arial"/>
          <w:lang w:val="en-GB"/>
        </w:rPr>
      </w:pPr>
    </w:p>
    <w:p w14:paraId="75F384DC" w14:textId="13560045" w:rsidR="002F7471" w:rsidRPr="00E47E6B" w:rsidRDefault="002F7471" w:rsidP="002F7471">
      <w:pPr>
        <w:jc w:val="right"/>
        <w:rPr>
          <w:rFonts w:ascii="Arial" w:hAnsi="Arial" w:cs="Arial"/>
          <w:bCs/>
          <w:u w:val="single"/>
          <w:shd w:val="clear" w:color="auto" w:fill="FFFFFF"/>
        </w:rPr>
      </w:pPr>
      <w:r w:rsidRPr="00E47E6B">
        <w:rPr>
          <w:rFonts w:ascii="Arial" w:hAnsi="Arial" w:cs="Arial"/>
          <w:bCs/>
          <w:lang w:eastAsia="en-ZA"/>
        </w:rPr>
        <w:t>______________</w:t>
      </w:r>
    </w:p>
    <w:p w14:paraId="1A3CE575" w14:textId="79DFE59D" w:rsidR="002F7471" w:rsidRPr="00E47E6B" w:rsidRDefault="002F7471" w:rsidP="002F7471">
      <w:pPr>
        <w:jc w:val="right"/>
        <w:rPr>
          <w:rFonts w:ascii="Arial" w:hAnsi="Arial" w:cs="Arial"/>
          <w:bCs/>
        </w:rPr>
      </w:pPr>
      <w:r w:rsidRPr="00E47E6B">
        <w:rPr>
          <w:rFonts w:ascii="Arial" w:hAnsi="Arial" w:cs="Arial"/>
          <w:bCs/>
        </w:rPr>
        <w:tab/>
      </w:r>
      <w:r w:rsidRPr="00E47E6B">
        <w:rPr>
          <w:rFonts w:ascii="Arial" w:hAnsi="Arial" w:cs="Arial"/>
          <w:bCs/>
        </w:rPr>
        <w:tab/>
      </w:r>
      <w:r w:rsidRPr="00E47E6B">
        <w:rPr>
          <w:rFonts w:ascii="Arial" w:hAnsi="Arial" w:cs="Arial"/>
          <w:bCs/>
        </w:rPr>
        <w:tab/>
      </w:r>
      <w:r w:rsidRPr="00E47E6B">
        <w:rPr>
          <w:rFonts w:ascii="Arial" w:hAnsi="Arial" w:cs="Arial"/>
          <w:bCs/>
        </w:rPr>
        <w:tab/>
      </w:r>
      <w:r w:rsidRPr="00E47E6B">
        <w:rPr>
          <w:rFonts w:ascii="Arial" w:hAnsi="Arial" w:cs="Arial"/>
          <w:bCs/>
        </w:rPr>
        <w:tab/>
      </w:r>
      <w:r w:rsidRPr="00E47E6B">
        <w:rPr>
          <w:rFonts w:ascii="Arial" w:hAnsi="Arial" w:cs="Arial"/>
          <w:bCs/>
        </w:rPr>
        <w:tab/>
      </w:r>
      <w:r w:rsidRPr="00E47E6B">
        <w:rPr>
          <w:rFonts w:ascii="Arial" w:hAnsi="Arial" w:cs="Arial"/>
          <w:bCs/>
        </w:rPr>
        <w:tab/>
        <w:t xml:space="preserve">                     </w:t>
      </w:r>
      <w:r w:rsidR="00E47E6B" w:rsidRPr="00E47E6B">
        <w:rPr>
          <w:rFonts w:ascii="Arial" w:hAnsi="Arial" w:cs="Arial"/>
          <w:bCs/>
        </w:rPr>
        <w:t>V</w:t>
      </w:r>
      <w:r w:rsidRPr="00E47E6B">
        <w:rPr>
          <w:rFonts w:ascii="Arial" w:hAnsi="Arial" w:cs="Arial"/>
          <w:bCs/>
        </w:rPr>
        <w:t>M Ponnan</w:t>
      </w:r>
    </w:p>
    <w:p w14:paraId="2D3B84F5" w14:textId="77777777" w:rsidR="002F7471" w:rsidRPr="00E47E6B" w:rsidRDefault="002F7471" w:rsidP="002F7471">
      <w:pPr>
        <w:jc w:val="right"/>
        <w:rPr>
          <w:rFonts w:ascii="Arial" w:hAnsi="Arial" w:cs="Arial"/>
          <w:bCs/>
        </w:rPr>
      </w:pPr>
      <w:r w:rsidRPr="00E47E6B">
        <w:rPr>
          <w:rFonts w:ascii="Arial" w:hAnsi="Arial" w:cs="Arial"/>
          <w:bCs/>
        </w:rPr>
        <w:tab/>
      </w:r>
      <w:r w:rsidRPr="00E47E6B">
        <w:rPr>
          <w:rFonts w:ascii="Arial" w:hAnsi="Arial" w:cs="Arial"/>
          <w:bCs/>
        </w:rPr>
        <w:tab/>
      </w:r>
      <w:r w:rsidRPr="00E47E6B">
        <w:rPr>
          <w:rFonts w:ascii="Arial" w:hAnsi="Arial" w:cs="Arial"/>
          <w:bCs/>
        </w:rPr>
        <w:tab/>
      </w:r>
      <w:r w:rsidRPr="00E47E6B">
        <w:rPr>
          <w:rFonts w:ascii="Arial" w:hAnsi="Arial" w:cs="Arial"/>
          <w:bCs/>
        </w:rPr>
        <w:tab/>
      </w:r>
      <w:r w:rsidRPr="00E47E6B">
        <w:rPr>
          <w:rFonts w:ascii="Arial" w:hAnsi="Arial" w:cs="Arial"/>
          <w:bCs/>
        </w:rPr>
        <w:tab/>
      </w:r>
      <w:r w:rsidRPr="00E47E6B">
        <w:rPr>
          <w:rFonts w:ascii="Arial" w:hAnsi="Arial" w:cs="Arial"/>
          <w:bCs/>
        </w:rPr>
        <w:tab/>
      </w:r>
      <w:r w:rsidRPr="00E47E6B">
        <w:rPr>
          <w:rFonts w:ascii="Arial" w:hAnsi="Arial" w:cs="Arial"/>
          <w:bCs/>
        </w:rPr>
        <w:tab/>
        <w:t xml:space="preserve">    Judge of Appeal</w:t>
      </w:r>
    </w:p>
    <w:p w14:paraId="473BC9F6" w14:textId="77777777" w:rsidR="002F7471" w:rsidRPr="00E47E6B" w:rsidRDefault="002F7471" w:rsidP="00F747D3">
      <w:pPr>
        <w:spacing w:line="360" w:lineRule="auto"/>
        <w:jc w:val="both"/>
        <w:rPr>
          <w:rFonts w:ascii="Arial" w:hAnsi="Arial" w:cs="Arial"/>
          <w:lang w:val="en-GB"/>
        </w:rPr>
      </w:pPr>
    </w:p>
    <w:p w14:paraId="5BBFB563" w14:textId="77777777" w:rsidR="002F7471" w:rsidRPr="00E47E6B" w:rsidRDefault="002F7471" w:rsidP="00F747D3">
      <w:pPr>
        <w:spacing w:line="360" w:lineRule="auto"/>
        <w:jc w:val="both"/>
        <w:rPr>
          <w:rFonts w:ascii="Arial" w:hAnsi="Arial" w:cs="Arial"/>
          <w:lang w:val="en-GB"/>
        </w:rPr>
      </w:pPr>
    </w:p>
    <w:p w14:paraId="458DB742" w14:textId="6F2D3EE0" w:rsidR="005913E7" w:rsidRPr="00E47E6B" w:rsidRDefault="005913E7" w:rsidP="005913E7">
      <w:pPr>
        <w:jc w:val="right"/>
        <w:rPr>
          <w:rFonts w:ascii="Arial" w:hAnsi="Arial" w:cs="Arial"/>
          <w:bCs/>
          <w:u w:val="single"/>
          <w:shd w:val="clear" w:color="auto" w:fill="FFFFFF"/>
        </w:rPr>
      </w:pPr>
      <w:r w:rsidRPr="00E47E6B">
        <w:rPr>
          <w:rFonts w:ascii="Arial" w:hAnsi="Arial" w:cs="Arial"/>
          <w:bCs/>
          <w:lang w:eastAsia="en-ZA"/>
        </w:rPr>
        <w:t>_____________</w:t>
      </w:r>
    </w:p>
    <w:p w14:paraId="2ED5CF70" w14:textId="71519737" w:rsidR="002F7471" w:rsidRPr="00E47E6B" w:rsidRDefault="00E47E6B" w:rsidP="002F7471">
      <w:pPr>
        <w:jc w:val="right"/>
        <w:rPr>
          <w:rFonts w:ascii="Arial" w:hAnsi="Arial" w:cs="Arial"/>
          <w:lang w:val="en-GB"/>
        </w:rPr>
      </w:pPr>
      <w:r w:rsidRPr="00E47E6B">
        <w:rPr>
          <w:rFonts w:ascii="Arial" w:hAnsi="Arial" w:cs="Arial"/>
          <w:lang w:val="en-GB"/>
        </w:rPr>
        <w:t>K</w:t>
      </w:r>
      <w:r w:rsidR="005913E7">
        <w:rPr>
          <w:rFonts w:ascii="Arial" w:hAnsi="Arial" w:cs="Arial"/>
          <w:lang w:val="en-GB"/>
        </w:rPr>
        <w:t>E Matojane</w:t>
      </w:r>
    </w:p>
    <w:p w14:paraId="2636E425" w14:textId="77777777" w:rsidR="00E47E6B" w:rsidRPr="00E47E6B" w:rsidRDefault="00E47E6B" w:rsidP="00E47E6B">
      <w:pPr>
        <w:jc w:val="right"/>
        <w:rPr>
          <w:rFonts w:ascii="Arial" w:hAnsi="Arial" w:cs="Arial"/>
          <w:bCs/>
        </w:rPr>
      </w:pPr>
      <w:r w:rsidRPr="00E47E6B">
        <w:rPr>
          <w:rFonts w:ascii="Arial" w:hAnsi="Arial" w:cs="Arial"/>
          <w:bCs/>
        </w:rPr>
        <w:t>Judge of Appeal</w:t>
      </w:r>
    </w:p>
    <w:p w14:paraId="4F36CF71" w14:textId="32189A6D" w:rsidR="00775CE5" w:rsidRDefault="00775CE5" w:rsidP="00775CE5">
      <w:pPr>
        <w:spacing w:after="160" w:line="259" w:lineRule="auto"/>
        <w:rPr>
          <w:rFonts w:ascii="Arial" w:hAnsi="Arial" w:cs="Arial"/>
          <w:lang w:val="en-GB"/>
        </w:rPr>
      </w:pPr>
      <w:r>
        <w:rPr>
          <w:rFonts w:ascii="Arial" w:hAnsi="Arial" w:cs="Arial"/>
          <w:lang w:val="en-GB"/>
        </w:rPr>
        <w:br w:type="page"/>
      </w:r>
    </w:p>
    <w:p w14:paraId="2DA02B5E" w14:textId="1F9F201C" w:rsidR="00F747D3" w:rsidRPr="00507C65" w:rsidRDefault="00F747D3" w:rsidP="00775CE5">
      <w:pPr>
        <w:spacing w:after="160" w:line="259" w:lineRule="auto"/>
        <w:rPr>
          <w:rFonts w:ascii="Arial" w:hAnsi="Arial" w:cs="Arial"/>
          <w:lang w:val="en-GB"/>
        </w:rPr>
      </w:pPr>
      <w:r w:rsidRPr="00E47E6B">
        <w:rPr>
          <w:rFonts w:ascii="Arial" w:hAnsi="Arial" w:cs="Arial"/>
          <w:lang w:val="en-GB"/>
        </w:rPr>
        <w:lastRenderedPageBreak/>
        <w:t>APPEARANCES</w:t>
      </w:r>
    </w:p>
    <w:p w14:paraId="74AC80C0" w14:textId="77777777" w:rsidR="00F747D3" w:rsidRPr="00507C65" w:rsidRDefault="00F747D3" w:rsidP="00F747D3">
      <w:pPr>
        <w:spacing w:line="360" w:lineRule="auto"/>
        <w:jc w:val="both"/>
        <w:rPr>
          <w:rFonts w:ascii="Arial" w:hAnsi="Arial" w:cs="Arial"/>
          <w:lang w:val="en-GB"/>
        </w:rPr>
      </w:pPr>
    </w:p>
    <w:p w14:paraId="18D42A28" w14:textId="11682D10" w:rsidR="00F747D3" w:rsidRPr="00507C65" w:rsidRDefault="00F747D3" w:rsidP="00F747D3">
      <w:pPr>
        <w:spacing w:line="360" w:lineRule="auto"/>
        <w:jc w:val="both"/>
        <w:rPr>
          <w:rFonts w:ascii="Arial" w:hAnsi="Arial" w:cs="Arial"/>
          <w:lang w:val="en-GB"/>
        </w:rPr>
      </w:pPr>
      <w:r w:rsidRPr="00507C65">
        <w:rPr>
          <w:rFonts w:ascii="Arial" w:hAnsi="Arial" w:cs="Arial"/>
          <w:lang w:val="en-GB"/>
        </w:rPr>
        <w:t>For appellant</w:t>
      </w:r>
      <w:r>
        <w:rPr>
          <w:rFonts w:ascii="Arial" w:hAnsi="Arial" w:cs="Arial"/>
          <w:lang w:val="en-GB"/>
        </w:rPr>
        <w:t>s</w:t>
      </w:r>
      <w:r w:rsidRPr="00507C65">
        <w:rPr>
          <w:rFonts w:ascii="Arial" w:hAnsi="Arial" w:cs="Arial"/>
          <w:lang w:val="en-GB"/>
        </w:rPr>
        <w:t>:</w:t>
      </w:r>
      <w:r w:rsidRPr="00507C65">
        <w:rPr>
          <w:rFonts w:ascii="Arial" w:hAnsi="Arial" w:cs="Arial"/>
          <w:lang w:val="en-GB"/>
        </w:rPr>
        <w:tab/>
      </w:r>
      <w:r w:rsidRPr="00507C65">
        <w:rPr>
          <w:rFonts w:ascii="Arial" w:hAnsi="Arial" w:cs="Arial"/>
          <w:lang w:val="en-GB"/>
        </w:rPr>
        <w:tab/>
      </w:r>
      <w:r w:rsidRPr="00507C65">
        <w:rPr>
          <w:rFonts w:ascii="Arial" w:hAnsi="Arial" w:cs="Arial"/>
          <w:lang w:val="en-GB"/>
        </w:rPr>
        <w:tab/>
      </w:r>
      <w:r>
        <w:rPr>
          <w:rFonts w:ascii="Arial" w:hAnsi="Arial" w:cs="Arial"/>
          <w:lang w:val="en-GB"/>
        </w:rPr>
        <w:t>CE Watt Pringle SC (with HA van der Merwe)</w:t>
      </w:r>
    </w:p>
    <w:p w14:paraId="1E62034B" w14:textId="77777777" w:rsidR="00F747D3" w:rsidRPr="00507C65" w:rsidRDefault="00F747D3" w:rsidP="00F747D3">
      <w:pPr>
        <w:spacing w:line="360" w:lineRule="auto"/>
        <w:jc w:val="both"/>
        <w:rPr>
          <w:rFonts w:ascii="Arial" w:hAnsi="Arial" w:cs="Arial"/>
          <w:lang w:val="en-GB"/>
        </w:rPr>
      </w:pPr>
      <w:r w:rsidRPr="00507C65">
        <w:rPr>
          <w:rFonts w:ascii="Arial" w:hAnsi="Arial" w:cs="Arial"/>
          <w:lang w:val="en-GB"/>
        </w:rPr>
        <w:t>Instructed by:</w:t>
      </w:r>
      <w:r w:rsidRPr="00507C65">
        <w:rPr>
          <w:rFonts w:ascii="Arial" w:hAnsi="Arial" w:cs="Arial"/>
          <w:lang w:val="en-GB"/>
        </w:rPr>
        <w:tab/>
      </w:r>
      <w:r w:rsidRPr="00507C65">
        <w:rPr>
          <w:rFonts w:ascii="Arial" w:hAnsi="Arial" w:cs="Arial"/>
          <w:lang w:val="en-GB"/>
        </w:rPr>
        <w:tab/>
      </w:r>
      <w:r w:rsidRPr="00507C65">
        <w:rPr>
          <w:rFonts w:ascii="Arial" w:hAnsi="Arial" w:cs="Arial"/>
          <w:lang w:val="en-GB"/>
        </w:rPr>
        <w:tab/>
      </w:r>
      <w:r>
        <w:rPr>
          <w:rFonts w:ascii="Arial" w:hAnsi="Arial" w:cs="Arial"/>
          <w:lang w:val="en-GB"/>
        </w:rPr>
        <w:t>Beech &amp; Veltman Incorporated</w:t>
      </w:r>
      <w:r w:rsidRPr="00507C65">
        <w:rPr>
          <w:rFonts w:ascii="Arial" w:hAnsi="Arial" w:cs="Arial"/>
          <w:lang w:val="en-GB"/>
        </w:rPr>
        <w:t>, Johannesburg</w:t>
      </w:r>
    </w:p>
    <w:p w14:paraId="31252804" w14:textId="77777777" w:rsidR="00F747D3" w:rsidRPr="00507C65" w:rsidRDefault="00F747D3" w:rsidP="00F747D3">
      <w:pPr>
        <w:spacing w:line="360" w:lineRule="auto"/>
        <w:ind w:left="2880" w:firstLine="720"/>
        <w:jc w:val="both"/>
        <w:rPr>
          <w:rFonts w:ascii="Arial" w:hAnsi="Arial" w:cs="Arial"/>
          <w:lang w:val="en-GB"/>
        </w:rPr>
      </w:pPr>
      <w:r>
        <w:rPr>
          <w:rFonts w:ascii="Arial" w:hAnsi="Arial" w:cs="Arial"/>
          <w:lang w:val="en-GB"/>
        </w:rPr>
        <w:t>Phatsoane Henny Attorneys</w:t>
      </w:r>
      <w:r w:rsidRPr="00507C65">
        <w:rPr>
          <w:rFonts w:ascii="Arial" w:hAnsi="Arial" w:cs="Arial"/>
          <w:lang w:val="en-GB"/>
        </w:rPr>
        <w:t>, Bloemfontein</w:t>
      </w:r>
    </w:p>
    <w:p w14:paraId="797CFE23" w14:textId="77777777" w:rsidR="00F747D3" w:rsidRPr="00507C65" w:rsidRDefault="00F747D3" w:rsidP="00F747D3">
      <w:pPr>
        <w:spacing w:line="360" w:lineRule="auto"/>
        <w:jc w:val="both"/>
        <w:rPr>
          <w:rFonts w:ascii="Arial" w:hAnsi="Arial" w:cs="Arial"/>
          <w:lang w:val="en-GB"/>
        </w:rPr>
      </w:pPr>
    </w:p>
    <w:p w14:paraId="4B2E7901" w14:textId="64958B9D" w:rsidR="00F747D3" w:rsidRPr="00507C65" w:rsidRDefault="00F747D3" w:rsidP="00F747D3">
      <w:pPr>
        <w:spacing w:line="360" w:lineRule="auto"/>
        <w:jc w:val="both"/>
        <w:rPr>
          <w:rFonts w:ascii="Arial" w:hAnsi="Arial" w:cs="Arial"/>
          <w:lang w:val="en-GB"/>
        </w:rPr>
      </w:pPr>
      <w:r w:rsidRPr="00507C65">
        <w:rPr>
          <w:rFonts w:ascii="Arial" w:hAnsi="Arial" w:cs="Arial"/>
          <w:lang w:val="en-GB"/>
        </w:rPr>
        <w:t xml:space="preserve">For </w:t>
      </w:r>
      <w:r>
        <w:rPr>
          <w:rFonts w:ascii="Arial" w:hAnsi="Arial" w:cs="Arial"/>
          <w:lang w:val="en-GB"/>
        </w:rPr>
        <w:t xml:space="preserve">the </w:t>
      </w:r>
      <w:r w:rsidRPr="00507C65">
        <w:rPr>
          <w:rFonts w:ascii="Arial" w:hAnsi="Arial" w:cs="Arial"/>
          <w:lang w:val="en-GB"/>
        </w:rPr>
        <w:t xml:space="preserve">first </w:t>
      </w:r>
      <w:r w:rsidR="006C512C">
        <w:rPr>
          <w:rFonts w:ascii="Arial" w:hAnsi="Arial" w:cs="Arial"/>
          <w:lang w:val="en-GB"/>
        </w:rPr>
        <w:t>respondent:</w:t>
      </w:r>
      <w:r w:rsidR="006C512C">
        <w:rPr>
          <w:rFonts w:ascii="Arial" w:hAnsi="Arial" w:cs="Arial"/>
          <w:lang w:val="en-GB"/>
        </w:rPr>
        <w:tab/>
      </w:r>
      <w:r w:rsidR="006C512C">
        <w:rPr>
          <w:rFonts w:ascii="Arial" w:hAnsi="Arial" w:cs="Arial"/>
          <w:lang w:val="en-GB"/>
        </w:rPr>
        <w:tab/>
      </w:r>
      <w:r>
        <w:rPr>
          <w:rFonts w:ascii="Arial" w:hAnsi="Arial" w:cs="Arial"/>
          <w:lang w:val="en-GB"/>
        </w:rPr>
        <w:t>A Subel SC (with JL Myburgh and M Sechaba)</w:t>
      </w:r>
    </w:p>
    <w:p w14:paraId="50E4F19B" w14:textId="77777777" w:rsidR="00F747D3" w:rsidRPr="00507C65" w:rsidRDefault="00F747D3" w:rsidP="00F747D3">
      <w:pPr>
        <w:spacing w:line="360" w:lineRule="auto"/>
        <w:jc w:val="both"/>
        <w:rPr>
          <w:rFonts w:ascii="Arial" w:hAnsi="Arial" w:cs="Arial"/>
          <w:lang w:val="en-GB"/>
        </w:rPr>
      </w:pPr>
      <w:r w:rsidRPr="00507C65">
        <w:rPr>
          <w:rFonts w:ascii="Arial" w:hAnsi="Arial" w:cs="Arial"/>
          <w:lang w:val="en-GB"/>
        </w:rPr>
        <w:t>Instructed by:</w:t>
      </w:r>
      <w:r w:rsidRPr="00507C65">
        <w:rPr>
          <w:rFonts w:ascii="Arial" w:hAnsi="Arial" w:cs="Arial"/>
          <w:lang w:val="en-GB"/>
        </w:rPr>
        <w:tab/>
      </w:r>
      <w:r w:rsidRPr="00507C65">
        <w:rPr>
          <w:rFonts w:ascii="Arial" w:hAnsi="Arial" w:cs="Arial"/>
          <w:lang w:val="en-GB"/>
        </w:rPr>
        <w:tab/>
      </w:r>
      <w:r w:rsidRPr="00507C65">
        <w:rPr>
          <w:rFonts w:ascii="Arial" w:hAnsi="Arial" w:cs="Arial"/>
          <w:lang w:val="en-GB"/>
        </w:rPr>
        <w:tab/>
      </w:r>
      <w:r>
        <w:rPr>
          <w:rFonts w:ascii="Arial" w:hAnsi="Arial" w:cs="Arial"/>
          <w:lang w:val="en-GB"/>
        </w:rPr>
        <w:t>Fluxman Incorporated</w:t>
      </w:r>
      <w:r w:rsidRPr="00507C65">
        <w:rPr>
          <w:rFonts w:ascii="Arial" w:hAnsi="Arial" w:cs="Arial"/>
          <w:lang w:val="en-GB"/>
        </w:rPr>
        <w:t xml:space="preserve">, </w:t>
      </w:r>
      <w:r>
        <w:rPr>
          <w:rFonts w:ascii="Arial" w:hAnsi="Arial" w:cs="Arial"/>
          <w:lang w:val="en-GB"/>
        </w:rPr>
        <w:t>Johannesburg</w:t>
      </w:r>
    </w:p>
    <w:p w14:paraId="7A15A3C4" w14:textId="77777777" w:rsidR="00F747D3" w:rsidRPr="00507C65" w:rsidRDefault="00F747D3" w:rsidP="00F747D3">
      <w:pPr>
        <w:spacing w:line="360" w:lineRule="auto"/>
        <w:ind w:left="2880" w:firstLine="720"/>
        <w:jc w:val="both"/>
        <w:rPr>
          <w:rFonts w:ascii="Arial" w:hAnsi="Arial" w:cs="Arial"/>
          <w:lang w:val="en-GB"/>
        </w:rPr>
      </w:pPr>
      <w:r>
        <w:rPr>
          <w:rFonts w:ascii="Arial" w:hAnsi="Arial" w:cs="Arial"/>
          <w:lang w:val="en-GB"/>
        </w:rPr>
        <w:t>Lovius Block Attorneys</w:t>
      </w:r>
      <w:r w:rsidRPr="00507C65">
        <w:rPr>
          <w:rFonts w:ascii="Arial" w:hAnsi="Arial" w:cs="Arial"/>
          <w:lang w:val="en-GB"/>
        </w:rPr>
        <w:t>, Bloemfontein.</w:t>
      </w:r>
    </w:p>
    <w:p w14:paraId="2B389BF4" w14:textId="77777777" w:rsidR="00F747D3" w:rsidRPr="00507C65" w:rsidRDefault="00F747D3" w:rsidP="00F747D3">
      <w:pPr>
        <w:spacing w:line="360" w:lineRule="auto"/>
        <w:jc w:val="both"/>
        <w:rPr>
          <w:rFonts w:ascii="Arial" w:hAnsi="Arial" w:cs="Arial"/>
          <w:lang w:val="en-GB"/>
        </w:rPr>
      </w:pPr>
    </w:p>
    <w:p w14:paraId="35C39BF5" w14:textId="5819E6D7" w:rsidR="00F747D3" w:rsidRPr="00507C65" w:rsidRDefault="00F747D3" w:rsidP="00F747D3">
      <w:pPr>
        <w:spacing w:line="360" w:lineRule="auto"/>
        <w:jc w:val="both"/>
        <w:rPr>
          <w:rFonts w:ascii="Arial" w:hAnsi="Arial" w:cs="Arial"/>
          <w:lang w:val="en-GB"/>
        </w:rPr>
      </w:pPr>
      <w:r>
        <w:rPr>
          <w:rFonts w:ascii="Arial" w:hAnsi="Arial" w:cs="Arial"/>
          <w:lang w:val="en-GB"/>
        </w:rPr>
        <w:t>For eighth</w:t>
      </w:r>
      <w:r w:rsidRPr="00507C65">
        <w:rPr>
          <w:rFonts w:ascii="Arial" w:hAnsi="Arial" w:cs="Arial"/>
          <w:lang w:val="en-GB"/>
        </w:rPr>
        <w:t xml:space="preserve"> respondent: </w:t>
      </w:r>
      <w:r w:rsidRPr="00507C65">
        <w:rPr>
          <w:rFonts w:ascii="Arial" w:hAnsi="Arial" w:cs="Arial"/>
          <w:lang w:val="en-GB"/>
        </w:rPr>
        <w:tab/>
      </w:r>
      <w:r w:rsidRPr="00507C65">
        <w:rPr>
          <w:rFonts w:ascii="Arial" w:hAnsi="Arial" w:cs="Arial"/>
          <w:lang w:val="en-GB"/>
        </w:rPr>
        <w:tab/>
        <w:t>M</w:t>
      </w:r>
      <w:r>
        <w:rPr>
          <w:rFonts w:ascii="Arial" w:hAnsi="Arial" w:cs="Arial"/>
          <w:lang w:val="en-GB"/>
        </w:rPr>
        <w:t>P van der Merwe</w:t>
      </w:r>
    </w:p>
    <w:p w14:paraId="2C42E850" w14:textId="77777777" w:rsidR="00F747D3" w:rsidRPr="00507C65" w:rsidRDefault="00F747D3" w:rsidP="00F747D3">
      <w:pPr>
        <w:spacing w:line="360" w:lineRule="auto"/>
        <w:jc w:val="both"/>
        <w:rPr>
          <w:rFonts w:ascii="Arial" w:hAnsi="Arial" w:cs="Arial"/>
          <w:lang w:val="en-GB"/>
        </w:rPr>
      </w:pPr>
      <w:r w:rsidRPr="00507C65">
        <w:rPr>
          <w:rFonts w:ascii="Arial" w:hAnsi="Arial" w:cs="Arial"/>
          <w:lang w:val="en-GB"/>
        </w:rPr>
        <w:t>Instructed by:</w:t>
      </w:r>
      <w:r w:rsidRPr="00507C65">
        <w:rPr>
          <w:rFonts w:ascii="Arial" w:hAnsi="Arial" w:cs="Arial"/>
          <w:lang w:val="en-GB"/>
        </w:rPr>
        <w:tab/>
      </w:r>
      <w:r w:rsidRPr="00507C65">
        <w:rPr>
          <w:rFonts w:ascii="Arial" w:hAnsi="Arial" w:cs="Arial"/>
          <w:lang w:val="en-GB"/>
        </w:rPr>
        <w:tab/>
      </w:r>
      <w:r w:rsidRPr="00507C65">
        <w:rPr>
          <w:rFonts w:ascii="Arial" w:hAnsi="Arial" w:cs="Arial"/>
          <w:lang w:val="en-GB"/>
        </w:rPr>
        <w:tab/>
      </w:r>
      <w:r>
        <w:rPr>
          <w:rFonts w:ascii="Arial" w:hAnsi="Arial" w:cs="Arial"/>
          <w:lang w:val="en-GB"/>
        </w:rPr>
        <w:t>State Attorney, Pretoria.</w:t>
      </w:r>
    </w:p>
    <w:p w14:paraId="1DD70487" w14:textId="77777777" w:rsidR="00F747D3" w:rsidRPr="00507C65" w:rsidRDefault="00F747D3" w:rsidP="00F747D3">
      <w:pPr>
        <w:spacing w:line="360" w:lineRule="auto"/>
        <w:ind w:left="2880" w:firstLine="720"/>
        <w:jc w:val="both"/>
        <w:rPr>
          <w:rFonts w:ascii="Arial" w:hAnsi="Arial" w:cs="Arial"/>
          <w:lang w:val="en-GB"/>
        </w:rPr>
      </w:pPr>
      <w:r>
        <w:rPr>
          <w:rFonts w:ascii="Arial" w:hAnsi="Arial" w:cs="Arial"/>
          <w:lang w:val="en-GB"/>
        </w:rPr>
        <w:t>State Attorney</w:t>
      </w:r>
      <w:r w:rsidRPr="00507C65">
        <w:rPr>
          <w:rFonts w:ascii="Arial" w:hAnsi="Arial" w:cs="Arial"/>
          <w:lang w:val="en-GB"/>
        </w:rPr>
        <w:t>, Bloemfontein.</w:t>
      </w:r>
    </w:p>
    <w:p w14:paraId="5CD5831C" w14:textId="77777777" w:rsidR="00F747D3" w:rsidRPr="00390227" w:rsidRDefault="00F747D3" w:rsidP="00A335BC">
      <w:pPr>
        <w:spacing w:line="360" w:lineRule="auto"/>
        <w:jc w:val="both"/>
        <w:rPr>
          <w:rFonts w:ascii="Arial" w:hAnsi="Arial" w:cs="Arial"/>
          <w:lang w:val="en-GB"/>
        </w:rPr>
      </w:pPr>
    </w:p>
    <w:p w14:paraId="0613C1BC" w14:textId="77777777" w:rsidR="002D55AB" w:rsidRPr="002D55AB" w:rsidRDefault="002D55AB" w:rsidP="00A335BC">
      <w:pPr>
        <w:spacing w:line="360" w:lineRule="auto"/>
        <w:jc w:val="both"/>
        <w:rPr>
          <w:rFonts w:ascii="Arial" w:hAnsi="Arial" w:cs="Arial"/>
          <w:lang w:val="en-GB"/>
        </w:rPr>
      </w:pPr>
    </w:p>
    <w:p w14:paraId="3EFC06BD" w14:textId="77777777" w:rsidR="0018099F" w:rsidRDefault="0018099F" w:rsidP="00A335BC">
      <w:pPr>
        <w:spacing w:line="360" w:lineRule="auto"/>
        <w:jc w:val="both"/>
        <w:rPr>
          <w:rFonts w:ascii="Arial" w:hAnsi="Arial" w:cs="Arial"/>
          <w:lang w:val="en-GB"/>
        </w:rPr>
      </w:pPr>
    </w:p>
    <w:p w14:paraId="659B5866" w14:textId="77777777" w:rsidR="0018099F" w:rsidRPr="0018099F" w:rsidRDefault="0018099F" w:rsidP="00A335BC">
      <w:pPr>
        <w:spacing w:line="360" w:lineRule="auto"/>
        <w:jc w:val="both"/>
        <w:rPr>
          <w:rFonts w:ascii="Arial" w:hAnsi="Arial" w:cs="Arial"/>
          <w:i/>
          <w:iCs/>
          <w:lang w:val="en-GB"/>
        </w:rPr>
      </w:pPr>
    </w:p>
    <w:p w14:paraId="139B35CC" w14:textId="77777777" w:rsidR="003A6AE5" w:rsidRDefault="003A6AE5" w:rsidP="00A335BC">
      <w:pPr>
        <w:spacing w:line="360" w:lineRule="auto"/>
        <w:jc w:val="both"/>
        <w:rPr>
          <w:rFonts w:ascii="Arial" w:hAnsi="Arial" w:cs="Arial"/>
          <w:lang w:val="en-GB"/>
        </w:rPr>
      </w:pPr>
    </w:p>
    <w:p w14:paraId="446B866F" w14:textId="77777777" w:rsidR="003A6AE5" w:rsidRPr="00A335BC" w:rsidRDefault="003A6AE5" w:rsidP="00A335BC">
      <w:pPr>
        <w:spacing w:line="360" w:lineRule="auto"/>
        <w:jc w:val="both"/>
        <w:rPr>
          <w:rFonts w:ascii="Arial" w:hAnsi="Arial" w:cs="Arial"/>
          <w:lang w:val="en-GB"/>
        </w:rPr>
      </w:pPr>
    </w:p>
    <w:p w14:paraId="6C113A6C" w14:textId="77777777" w:rsidR="00DD2C8C" w:rsidRDefault="00DD2C8C" w:rsidP="003E083F">
      <w:pPr>
        <w:spacing w:line="360" w:lineRule="auto"/>
        <w:jc w:val="both"/>
        <w:rPr>
          <w:rFonts w:ascii="Arial" w:hAnsi="Arial" w:cs="Arial"/>
        </w:rPr>
      </w:pPr>
    </w:p>
    <w:p w14:paraId="6BFB22DD" w14:textId="77777777" w:rsidR="00A335BC" w:rsidRDefault="00A335BC" w:rsidP="003E083F">
      <w:pPr>
        <w:spacing w:line="360" w:lineRule="auto"/>
        <w:jc w:val="both"/>
        <w:rPr>
          <w:rFonts w:ascii="Arial" w:hAnsi="Arial" w:cs="Arial"/>
        </w:rPr>
      </w:pPr>
    </w:p>
    <w:p w14:paraId="1C756C34" w14:textId="77777777" w:rsidR="00A335BC" w:rsidRDefault="00A335BC" w:rsidP="003E083F">
      <w:pPr>
        <w:spacing w:line="360" w:lineRule="auto"/>
        <w:jc w:val="both"/>
        <w:rPr>
          <w:rFonts w:ascii="Arial" w:hAnsi="Arial" w:cs="Arial"/>
        </w:rPr>
      </w:pPr>
    </w:p>
    <w:p w14:paraId="5FC4BA5D" w14:textId="77777777" w:rsidR="00DD2C8C" w:rsidRDefault="00DD2C8C" w:rsidP="003E083F">
      <w:pPr>
        <w:spacing w:line="360" w:lineRule="auto"/>
        <w:jc w:val="both"/>
        <w:rPr>
          <w:rFonts w:ascii="Arial" w:hAnsi="Arial" w:cs="Arial"/>
        </w:rPr>
      </w:pPr>
    </w:p>
    <w:p w14:paraId="192E79D3" w14:textId="77777777" w:rsidR="00DD2C8C" w:rsidRPr="00726122" w:rsidRDefault="00DD2C8C" w:rsidP="003E083F">
      <w:pPr>
        <w:spacing w:line="360" w:lineRule="auto"/>
        <w:jc w:val="both"/>
        <w:rPr>
          <w:rFonts w:ascii="Arial" w:hAnsi="Arial" w:cs="Arial"/>
        </w:rPr>
      </w:pPr>
    </w:p>
    <w:p w14:paraId="270446AE" w14:textId="77777777" w:rsidR="00064FA6" w:rsidRDefault="00064FA6" w:rsidP="003E083F">
      <w:pPr>
        <w:spacing w:line="360" w:lineRule="auto"/>
        <w:jc w:val="both"/>
        <w:rPr>
          <w:rFonts w:ascii="Arial" w:hAnsi="Arial" w:cs="Arial"/>
        </w:rPr>
      </w:pPr>
    </w:p>
    <w:p w14:paraId="6A184F6F" w14:textId="77777777" w:rsidR="00064FA6" w:rsidRDefault="00064FA6" w:rsidP="003E083F">
      <w:pPr>
        <w:spacing w:line="360" w:lineRule="auto"/>
        <w:jc w:val="both"/>
        <w:rPr>
          <w:rFonts w:ascii="Arial" w:hAnsi="Arial" w:cs="Arial"/>
        </w:rPr>
      </w:pPr>
    </w:p>
    <w:p w14:paraId="41AC4771" w14:textId="77777777" w:rsidR="00774C4B" w:rsidRDefault="00774C4B" w:rsidP="003E083F">
      <w:pPr>
        <w:spacing w:line="360" w:lineRule="auto"/>
        <w:jc w:val="both"/>
        <w:rPr>
          <w:rFonts w:ascii="Arial" w:hAnsi="Arial" w:cs="Arial"/>
        </w:rPr>
      </w:pPr>
    </w:p>
    <w:p w14:paraId="093D8608" w14:textId="77777777" w:rsidR="00774C4B" w:rsidRDefault="00774C4B" w:rsidP="003E083F">
      <w:pPr>
        <w:spacing w:line="360" w:lineRule="auto"/>
        <w:jc w:val="both"/>
        <w:rPr>
          <w:rFonts w:ascii="Arial" w:hAnsi="Arial" w:cs="Arial"/>
        </w:rPr>
      </w:pPr>
    </w:p>
    <w:p w14:paraId="184B9B6E" w14:textId="77777777" w:rsidR="001B08A6" w:rsidRDefault="001B08A6" w:rsidP="003E083F">
      <w:pPr>
        <w:spacing w:line="360" w:lineRule="auto"/>
        <w:jc w:val="both"/>
        <w:rPr>
          <w:rFonts w:ascii="Arial" w:hAnsi="Arial" w:cs="Arial"/>
        </w:rPr>
      </w:pPr>
    </w:p>
    <w:p w14:paraId="2796791E" w14:textId="77777777" w:rsidR="001B08A6" w:rsidRPr="006D0A49" w:rsidRDefault="001B08A6" w:rsidP="003E083F">
      <w:pPr>
        <w:spacing w:line="360" w:lineRule="auto"/>
        <w:jc w:val="both"/>
        <w:rPr>
          <w:rFonts w:ascii="Arial" w:hAnsi="Arial" w:cs="Arial"/>
        </w:rPr>
      </w:pPr>
    </w:p>
    <w:p w14:paraId="52B1498A" w14:textId="77777777" w:rsidR="004F4BAF" w:rsidRDefault="004F4BAF" w:rsidP="003E083F">
      <w:pPr>
        <w:spacing w:line="360" w:lineRule="auto"/>
        <w:jc w:val="both"/>
        <w:rPr>
          <w:rFonts w:ascii="Arial" w:hAnsi="Arial" w:cs="Arial"/>
        </w:rPr>
      </w:pPr>
    </w:p>
    <w:p w14:paraId="765F2492" w14:textId="77777777" w:rsidR="004F4BAF" w:rsidRDefault="004F4BAF" w:rsidP="003E083F">
      <w:pPr>
        <w:spacing w:line="360" w:lineRule="auto"/>
        <w:jc w:val="both"/>
        <w:rPr>
          <w:rFonts w:ascii="Arial" w:hAnsi="Arial" w:cs="Arial"/>
        </w:rPr>
      </w:pPr>
    </w:p>
    <w:p w14:paraId="3B0AF564" w14:textId="77777777" w:rsidR="00566E64" w:rsidRDefault="00566E64" w:rsidP="003E083F">
      <w:pPr>
        <w:spacing w:line="360" w:lineRule="auto"/>
        <w:jc w:val="both"/>
        <w:rPr>
          <w:rFonts w:ascii="Arial" w:hAnsi="Arial" w:cs="Arial"/>
        </w:rPr>
      </w:pPr>
    </w:p>
    <w:sectPr w:rsidR="00566E64" w:rsidSect="00E93376">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8F98F" w14:textId="77777777" w:rsidR="002E3A92" w:rsidRDefault="002E3A92" w:rsidP="007D3B54">
      <w:r>
        <w:separator/>
      </w:r>
    </w:p>
  </w:endnote>
  <w:endnote w:type="continuationSeparator" w:id="0">
    <w:p w14:paraId="64C55483" w14:textId="77777777" w:rsidR="002E3A92" w:rsidRDefault="002E3A92" w:rsidP="007D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1A30A" w14:textId="77777777" w:rsidR="002E3A92" w:rsidRDefault="002E3A92" w:rsidP="007D3B54">
      <w:r>
        <w:separator/>
      </w:r>
    </w:p>
  </w:footnote>
  <w:footnote w:type="continuationSeparator" w:id="0">
    <w:p w14:paraId="08C5BFF4" w14:textId="77777777" w:rsidR="002E3A92" w:rsidRDefault="002E3A92" w:rsidP="007D3B54">
      <w:r>
        <w:continuationSeparator/>
      </w:r>
    </w:p>
  </w:footnote>
  <w:footnote w:id="1">
    <w:p w14:paraId="48D4826B" w14:textId="77777777" w:rsidR="007D3B54" w:rsidRPr="007D3B54" w:rsidRDefault="007D3B54">
      <w:pPr>
        <w:pStyle w:val="FootnoteText"/>
        <w:rPr>
          <w:rFonts w:ascii="Arial" w:hAnsi="Arial" w:cs="Arial"/>
          <w:lang w:val="en-US"/>
        </w:rPr>
      </w:pPr>
      <w:r w:rsidRPr="007D3B54">
        <w:rPr>
          <w:rStyle w:val="FootnoteReference"/>
          <w:rFonts w:ascii="Arial" w:hAnsi="Arial" w:cs="Arial"/>
        </w:rPr>
        <w:footnoteRef/>
      </w:r>
      <w:r w:rsidRPr="007D3B54">
        <w:rPr>
          <w:rFonts w:ascii="Arial" w:hAnsi="Arial" w:cs="Arial"/>
        </w:rPr>
        <w:t xml:space="preserve"> </w:t>
      </w:r>
      <w:r>
        <w:rPr>
          <w:rFonts w:ascii="Arial" w:hAnsi="Arial" w:cs="Arial"/>
          <w:i/>
          <w:iCs/>
        </w:rPr>
        <w:t xml:space="preserve">Vantage Goldfields SA (Pty) Ltd and Others v Arqomanzi (Pty) Ltd </w:t>
      </w:r>
      <w:r>
        <w:rPr>
          <w:rFonts w:ascii="Arial" w:hAnsi="Arial" w:cs="Arial"/>
        </w:rPr>
        <w:t>[2022] ZASCA 185.</w:t>
      </w:r>
    </w:p>
  </w:footnote>
  <w:footnote w:id="2">
    <w:p w14:paraId="1B9C0DBA" w14:textId="77777777" w:rsidR="00EC47A0" w:rsidRPr="00EC47A0" w:rsidRDefault="00EC47A0">
      <w:pPr>
        <w:pStyle w:val="FootnoteText"/>
        <w:rPr>
          <w:rFonts w:ascii="Arial" w:hAnsi="Arial" w:cs="Arial"/>
          <w:lang w:val="en-US"/>
        </w:rPr>
      </w:pPr>
      <w:r w:rsidRPr="00EC47A0">
        <w:rPr>
          <w:rStyle w:val="FootnoteReference"/>
          <w:rFonts w:ascii="Arial" w:hAnsi="Arial" w:cs="Arial"/>
        </w:rPr>
        <w:footnoteRef/>
      </w:r>
      <w:r>
        <w:rPr>
          <w:rFonts w:ascii="Arial" w:hAnsi="Arial" w:cs="Arial"/>
        </w:rPr>
        <w:t xml:space="preserve"> Ibid.</w:t>
      </w:r>
    </w:p>
  </w:footnote>
  <w:footnote w:id="3">
    <w:p w14:paraId="4CC75DA7" w14:textId="77777777" w:rsidR="00B54F93" w:rsidRPr="00B54F93" w:rsidRDefault="00B54F93" w:rsidP="00DF7B8A">
      <w:pPr>
        <w:pStyle w:val="FootnoteText"/>
        <w:jc w:val="both"/>
        <w:rPr>
          <w:rFonts w:ascii="Arial" w:hAnsi="Arial" w:cs="Arial"/>
        </w:rPr>
      </w:pPr>
      <w:r w:rsidRPr="00B54F93">
        <w:rPr>
          <w:rStyle w:val="FootnoteReference"/>
          <w:rFonts w:ascii="Arial" w:hAnsi="Arial" w:cs="Arial"/>
        </w:rPr>
        <w:footnoteRef/>
      </w:r>
      <w:r w:rsidR="000667A2">
        <w:rPr>
          <w:rFonts w:ascii="Arial" w:hAnsi="Arial" w:cs="Arial"/>
        </w:rPr>
        <w:t xml:space="preserve"> </w:t>
      </w:r>
      <w:r w:rsidRPr="00B54F93">
        <w:rPr>
          <w:rFonts w:ascii="Arial" w:hAnsi="Arial" w:cs="Arial"/>
        </w:rPr>
        <w:t>According to section 128(1)</w:t>
      </w:r>
      <w:r w:rsidRPr="006C512C">
        <w:rPr>
          <w:rFonts w:ascii="Arial" w:hAnsi="Arial" w:cs="Arial"/>
          <w:i/>
        </w:rPr>
        <w:t>(a)</w:t>
      </w:r>
      <w:r w:rsidRPr="00B54F93">
        <w:rPr>
          <w:rFonts w:ascii="Arial" w:hAnsi="Arial" w:cs="Arial"/>
        </w:rPr>
        <w:t xml:space="preserve">, an ‘affected person’, in relation to a company, means- </w:t>
      </w:r>
    </w:p>
    <w:p w14:paraId="1760BBA4" w14:textId="77777777" w:rsidR="00B54F93" w:rsidRPr="00B54F93" w:rsidRDefault="00B54F93" w:rsidP="002F7471">
      <w:pPr>
        <w:pStyle w:val="FootnoteText"/>
        <w:numPr>
          <w:ilvl w:val="0"/>
          <w:numId w:val="1"/>
        </w:numPr>
        <w:ind w:left="0" w:firstLine="0"/>
        <w:jc w:val="both"/>
        <w:rPr>
          <w:rFonts w:ascii="Arial" w:hAnsi="Arial" w:cs="Arial"/>
        </w:rPr>
      </w:pPr>
      <w:r w:rsidRPr="00B54F93">
        <w:rPr>
          <w:rFonts w:ascii="Arial" w:hAnsi="Arial" w:cs="Arial"/>
        </w:rPr>
        <w:t xml:space="preserve">a shareholder or creditor of the company; </w:t>
      </w:r>
    </w:p>
    <w:p w14:paraId="750B5299" w14:textId="77777777" w:rsidR="00B54F93" w:rsidRPr="00B54F93" w:rsidRDefault="00B54F93" w:rsidP="002F7471">
      <w:pPr>
        <w:pStyle w:val="FootnoteText"/>
        <w:numPr>
          <w:ilvl w:val="0"/>
          <w:numId w:val="1"/>
        </w:numPr>
        <w:ind w:left="0" w:firstLine="0"/>
        <w:jc w:val="both"/>
        <w:rPr>
          <w:rFonts w:ascii="Arial" w:hAnsi="Arial" w:cs="Arial"/>
        </w:rPr>
      </w:pPr>
      <w:r w:rsidRPr="00B54F93">
        <w:rPr>
          <w:rFonts w:ascii="Arial" w:hAnsi="Arial" w:cs="Arial"/>
        </w:rPr>
        <w:t xml:space="preserve">any registered trade union representing employees of the company; and </w:t>
      </w:r>
    </w:p>
    <w:p w14:paraId="4E6CB77C" w14:textId="77777777" w:rsidR="00B54F93" w:rsidRPr="00B54F93" w:rsidRDefault="00B54F93" w:rsidP="00916383">
      <w:pPr>
        <w:pStyle w:val="FootnoteText"/>
        <w:numPr>
          <w:ilvl w:val="0"/>
          <w:numId w:val="1"/>
        </w:numPr>
        <w:ind w:left="720"/>
        <w:jc w:val="both"/>
        <w:rPr>
          <w:rFonts w:ascii="Arial" w:hAnsi="Arial" w:cs="Arial"/>
          <w:lang w:val="en-US"/>
        </w:rPr>
      </w:pPr>
      <w:r w:rsidRPr="00B54F93">
        <w:rPr>
          <w:rFonts w:ascii="Arial" w:hAnsi="Arial" w:cs="Arial"/>
        </w:rPr>
        <w:t>if any of the employees of the company are not represented by a registered trade union, each of those employees or t</w:t>
      </w:r>
      <w:r w:rsidR="002F7471">
        <w:rPr>
          <w:rFonts w:ascii="Arial" w:hAnsi="Arial" w:cs="Arial"/>
        </w:rPr>
        <w:t>heir respective representatives.</w:t>
      </w:r>
    </w:p>
  </w:footnote>
  <w:footnote w:id="4">
    <w:p w14:paraId="3BC7EC49" w14:textId="531CCA97" w:rsidR="004D42D6" w:rsidRPr="004D42D6" w:rsidRDefault="004D42D6" w:rsidP="004D42D6">
      <w:pPr>
        <w:pStyle w:val="FootnoteText"/>
        <w:rPr>
          <w:rFonts w:ascii="Arial" w:hAnsi="Arial" w:cs="Arial"/>
        </w:rPr>
      </w:pPr>
      <w:r w:rsidRPr="004D42D6">
        <w:rPr>
          <w:rStyle w:val="FootnoteReference"/>
          <w:rFonts w:ascii="Arial" w:hAnsi="Arial" w:cs="Arial"/>
        </w:rPr>
        <w:footnoteRef/>
      </w:r>
      <w:r w:rsidRPr="004D42D6">
        <w:rPr>
          <w:rFonts w:ascii="Arial" w:hAnsi="Arial" w:cs="Arial"/>
        </w:rPr>
        <w:t xml:space="preserve"> </w:t>
      </w:r>
      <w:r w:rsidRPr="002C11E2">
        <w:rPr>
          <w:rFonts w:ascii="Arial" w:hAnsi="Arial" w:cs="Arial"/>
          <w:i/>
          <w:iCs/>
          <w:color w:val="242121"/>
          <w:shd w:val="clear" w:color="auto" w:fill="FFFFFF"/>
        </w:rPr>
        <w:t>Amalgamated Engineering Union v Minister of Labour</w:t>
      </w:r>
      <w:r w:rsidR="00754E9F" w:rsidRPr="002C11E2">
        <w:rPr>
          <w:rFonts w:ascii="Arial" w:hAnsi="Arial" w:cs="Arial"/>
          <w:iCs/>
          <w:color w:val="242121"/>
          <w:shd w:val="clear" w:color="auto" w:fill="FFFFFF"/>
        </w:rPr>
        <w:t xml:space="preserve"> </w:t>
      </w:r>
      <w:hyperlink r:id="rId1" w:tooltip="View LawCiteRecord" w:history="1">
        <w:r w:rsidRPr="002C11E2">
          <w:rPr>
            <w:rStyle w:val="Hyperlink"/>
            <w:rFonts w:ascii="Arial" w:hAnsi="Arial" w:cs="Arial"/>
            <w:bCs/>
            <w:color w:val="auto"/>
            <w:u w:val="none"/>
            <w:shd w:val="clear" w:color="auto" w:fill="FFFFFF"/>
          </w:rPr>
          <w:t>1949 (3) SA 637(A)</w:t>
        </w:r>
      </w:hyperlink>
      <w:r w:rsidR="00754E9F" w:rsidRPr="002C11E2">
        <w:rPr>
          <w:rFonts w:ascii="Arial" w:hAnsi="Arial" w:cs="Arial"/>
          <w:color w:val="242121"/>
          <w:shd w:val="clear" w:color="auto" w:fill="FFFFFF"/>
        </w:rPr>
        <w:t xml:space="preserve"> </w:t>
      </w:r>
      <w:r w:rsidRPr="002C11E2">
        <w:rPr>
          <w:rFonts w:ascii="Arial" w:hAnsi="Arial" w:cs="Arial"/>
          <w:color w:val="242121"/>
          <w:shd w:val="clear" w:color="auto" w:fill="FFFFFF"/>
        </w:rPr>
        <w:t>at 657.</w:t>
      </w:r>
    </w:p>
  </w:footnote>
  <w:footnote w:id="5">
    <w:p w14:paraId="7FC076FF" w14:textId="77777777" w:rsidR="009B1835" w:rsidRPr="00726122" w:rsidRDefault="009B1835" w:rsidP="00377752">
      <w:pPr>
        <w:pStyle w:val="FootnoteText"/>
        <w:jc w:val="both"/>
        <w:rPr>
          <w:rFonts w:ascii="Arial" w:hAnsi="Arial" w:cs="Arial"/>
        </w:rPr>
      </w:pPr>
      <w:r w:rsidRPr="00726122">
        <w:rPr>
          <w:rStyle w:val="FootnoteReference"/>
          <w:rFonts w:ascii="Arial" w:hAnsi="Arial" w:cs="Arial"/>
        </w:rPr>
        <w:footnoteRef/>
      </w:r>
      <w:r w:rsidRPr="00726122">
        <w:rPr>
          <w:rFonts w:ascii="Arial" w:hAnsi="Arial" w:cs="Arial"/>
        </w:rPr>
        <w:t xml:space="preserve"> </w:t>
      </w:r>
      <w:r w:rsidRPr="00726122">
        <w:rPr>
          <w:rFonts w:ascii="Arial" w:hAnsi="Arial" w:cs="Arial"/>
          <w:i/>
          <w:iCs/>
        </w:rPr>
        <w:t>Grobler v Oosthuizen</w:t>
      </w:r>
      <w:r w:rsidRPr="00726122">
        <w:rPr>
          <w:rFonts w:ascii="Arial" w:hAnsi="Arial" w:cs="Arial"/>
        </w:rPr>
        <w:t xml:space="preserve"> 2009 (5) SA 500 (SCA)</w:t>
      </w:r>
      <w:r w:rsidR="006C512C">
        <w:rPr>
          <w:rFonts w:ascii="Arial" w:hAnsi="Arial" w:cs="Arial"/>
        </w:rPr>
        <w:t xml:space="preserve"> (</w:t>
      </w:r>
      <w:r w:rsidR="006C512C" w:rsidRPr="00726122">
        <w:rPr>
          <w:rFonts w:ascii="Arial" w:hAnsi="Arial" w:cs="Arial"/>
          <w:i/>
          <w:iCs/>
        </w:rPr>
        <w:t>Grobler</w:t>
      </w:r>
      <w:r w:rsidR="006C512C">
        <w:rPr>
          <w:rFonts w:ascii="Arial" w:hAnsi="Arial" w:cs="Arial"/>
          <w:iCs/>
        </w:rPr>
        <w:t>)</w:t>
      </w:r>
      <w:r w:rsidRPr="00726122">
        <w:rPr>
          <w:rFonts w:ascii="Arial" w:hAnsi="Arial" w:cs="Arial"/>
        </w:rPr>
        <w:t>.</w:t>
      </w:r>
    </w:p>
  </w:footnote>
  <w:footnote w:id="6">
    <w:p w14:paraId="15A2039C" w14:textId="77777777" w:rsidR="00726122" w:rsidRPr="00726122" w:rsidRDefault="00726122" w:rsidP="00377752">
      <w:pPr>
        <w:pStyle w:val="FootnoteText"/>
        <w:jc w:val="both"/>
        <w:rPr>
          <w:rFonts w:ascii="Arial" w:hAnsi="Arial" w:cs="Arial"/>
        </w:rPr>
      </w:pPr>
      <w:r w:rsidRPr="00726122">
        <w:rPr>
          <w:rStyle w:val="FootnoteReference"/>
          <w:rFonts w:ascii="Arial" w:hAnsi="Arial" w:cs="Arial"/>
        </w:rPr>
        <w:footnoteRef/>
      </w:r>
      <w:r>
        <w:rPr>
          <w:rFonts w:ascii="Arial" w:hAnsi="Arial" w:cs="Arial"/>
        </w:rPr>
        <w:t xml:space="preserve"> </w:t>
      </w:r>
      <w:r w:rsidRPr="00726122">
        <w:rPr>
          <w:rFonts w:ascii="Arial" w:hAnsi="Arial" w:cs="Arial"/>
          <w:i/>
        </w:rPr>
        <w:t>Bock v Duburoro Investments (Pty) Lt</w:t>
      </w:r>
      <w:r>
        <w:rPr>
          <w:rFonts w:ascii="Arial" w:hAnsi="Arial" w:cs="Arial"/>
          <w:i/>
        </w:rPr>
        <w:t xml:space="preserve">d </w:t>
      </w:r>
      <w:r w:rsidRPr="00726122">
        <w:rPr>
          <w:rFonts w:ascii="Arial" w:hAnsi="Arial" w:cs="Arial"/>
          <w:iCs/>
        </w:rPr>
        <w:t>200</w:t>
      </w:r>
      <w:r>
        <w:rPr>
          <w:rFonts w:ascii="Arial" w:hAnsi="Arial" w:cs="Arial"/>
          <w:iCs/>
        </w:rPr>
        <w:t>4 (2) SA 242 (SCA)</w:t>
      </w:r>
      <w:r w:rsidR="006C512C">
        <w:rPr>
          <w:rFonts w:ascii="Arial" w:hAnsi="Arial" w:cs="Arial"/>
          <w:iCs/>
        </w:rPr>
        <w:t xml:space="preserve"> (</w:t>
      </w:r>
      <w:r w:rsidR="006C512C" w:rsidRPr="00726122">
        <w:rPr>
          <w:rFonts w:ascii="Arial" w:hAnsi="Arial" w:cs="Arial"/>
          <w:i/>
        </w:rPr>
        <w:t>Bock</w:t>
      </w:r>
      <w:r w:rsidR="006C512C">
        <w:rPr>
          <w:rFonts w:ascii="Arial" w:hAnsi="Arial" w:cs="Arial"/>
        </w:rPr>
        <w:t>)</w:t>
      </w:r>
      <w:r>
        <w:rPr>
          <w:rFonts w:ascii="Arial" w:hAnsi="Arial" w:cs="Arial"/>
          <w:iCs/>
        </w:rPr>
        <w:t>.</w:t>
      </w:r>
    </w:p>
  </w:footnote>
  <w:footnote w:id="7">
    <w:p w14:paraId="03712B9A" w14:textId="77777777" w:rsidR="006C5381" w:rsidRPr="003A6AE5" w:rsidRDefault="006C5381" w:rsidP="002252B7">
      <w:pPr>
        <w:pStyle w:val="FootnoteText"/>
        <w:jc w:val="both"/>
        <w:rPr>
          <w:rFonts w:ascii="Arial" w:hAnsi="Arial" w:cs="Arial"/>
        </w:rPr>
      </w:pPr>
      <w:r w:rsidRPr="003A6AE5">
        <w:rPr>
          <w:rStyle w:val="FootnoteReference"/>
          <w:rFonts w:ascii="Arial" w:hAnsi="Arial" w:cs="Arial"/>
        </w:rPr>
        <w:footnoteRef/>
      </w:r>
      <w:r w:rsidRPr="003A6AE5">
        <w:rPr>
          <w:rFonts w:ascii="Arial" w:hAnsi="Arial" w:cs="Arial"/>
        </w:rPr>
        <w:t xml:space="preserve"> </w:t>
      </w:r>
      <w:r w:rsidRPr="003A6AE5">
        <w:rPr>
          <w:rFonts w:ascii="Arial" w:hAnsi="Arial" w:cs="Arial"/>
          <w:i/>
          <w:iCs/>
        </w:rPr>
        <w:t xml:space="preserve">MV ‘Tarik III’ Credit Europe Bank NV v The Fund Comprising the Proceeds of the Sale of the MV Tarik III and Others </w:t>
      </w:r>
      <w:r w:rsidRPr="003A6AE5">
        <w:rPr>
          <w:rFonts w:ascii="Arial" w:hAnsi="Arial" w:cs="Arial"/>
        </w:rPr>
        <w:t xml:space="preserve">[2022] ZASCA 136; [2022] 4 All SA 621 (SCA) </w:t>
      </w:r>
      <w:r w:rsidR="006C512C">
        <w:rPr>
          <w:rFonts w:ascii="Arial" w:hAnsi="Arial" w:cs="Arial"/>
        </w:rPr>
        <w:t>(</w:t>
      </w:r>
      <w:r w:rsidR="006C512C" w:rsidRPr="003A6AE5">
        <w:rPr>
          <w:rFonts w:ascii="Arial" w:hAnsi="Arial" w:cs="Arial"/>
          <w:i/>
          <w:iCs/>
        </w:rPr>
        <w:t xml:space="preserve">MV ‘Tarik </w:t>
      </w:r>
      <w:r w:rsidR="006C512C" w:rsidRPr="006C512C">
        <w:rPr>
          <w:rFonts w:ascii="Arial" w:hAnsi="Arial" w:cs="Arial"/>
          <w:iCs/>
        </w:rPr>
        <w:t>III’</w:t>
      </w:r>
      <w:r w:rsidR="006C512C">
        <w:rPr>
          <w:rFonts w:ascii="Arial" w:hAnsi="Arial" w:cs="Arial"/>
          <w:iCs/>
        </w:rPr>
        <w:t xml:space="preserve">) </w:t>
      </w:r>
      <w:r w:rsidRPr="006C512C">
        <w:rPr>
          <w:rFonts w:ascii="Arial" w:hAnsi="Arial" w:cs="Arial"/>
        </w:rPr>
        <w:t>para</w:t>
      </w:r>
      <w:r w:rsidRPr="003A6AE5">
        <w:rPr>
          <w:rFonts w:ascii="Arial" w:hAnsi="Arial" w:cs="Arial"/>
        </w:rPr>
        <w:t xml:space="preserve"> 21.</w:t>
      </w:r>
    </w:p>
  </w:footnote>
  <w:footnote w:id="8">
    <w:p w14:paraId="27A261B4" w14:textId="77777777" w:rsidR="00A335BC" w:rsidRPr="003A6AE5" w:rsidRDefault="00A335BC" w:rsidP="002252B7">
      <w:pPr>
        <w:pStyle w:val="FootnoteText"/>
        <w:jc w:val="both"/>
        <w:rPr>
          <w:rFonts w:ascii="Arial" w:hAnsi="Arial" w:cs="Arial"/>
          <w:lang w:val="en-US"/>
        </w:rPr>
      </w:pPr>
      <w:r w:rsidRPr="003A6AE5">
        <w:rPr>
          <w:rStyle w:val="FootnoteReference"/>
          <w:rFonts w:ascii="Arial" w:hAnsi="Arial" w:cs="Arial"/>
        </w:rPr>
        <w:footnoteRef/>
      </w:r>
      <w:r w:rsidRPr="003A6AE5">
        <w:rPr>
          <w:rFonts w:ascii="Arial" w:hAnsi="Arial" w:cs="Arial"/>
        </w:rPr>
        <w:t xml:space="preserve"> </w:t>
      </w:r>
      <w:r w:rsidRPr="003A6AE5">
        <w:rPr>
          <w:rFonts w:ascii="Arial" w:hAnsi="Arial" w:cs="Arial"/>
          <w:i/>
          <w:iCs/>
          <w:lang w:val="en-GB"/>
        </w:rPr>
        <w:t xml:space="preserve">Wilken v Kohler </w:t>
      </w:r>
      <w:r w:rsidRPr="003A6AE5">
        <w:rPr>
          <w:rFonts w:ascii="Arial" w:hAnsi="Arial" w:cs="Arial"/>
          <w:lang w:val="en-GB"/>
        </w:rPr>
        <w:t>1913 AD 135 at 144.</w:t>
      </w:r>
    </w:p>
  </w:footnote>
  <w:footnote w:id="9">
    <w:p w14:paraId="1B8AF70E" w14:textId="67016C9A" w:rsidR="003A6AE5" w:rsidRPr="002C11E2" w:rsidRDefault="003A6AE5" w:rsidP="002252B7">
      <w:pPr>
        <w:pStyle w:val="FootnoteText"/>
        <w:jc w:val="both"/>
        <w:rPr>
          <w:rFonts w:ascii="Arial" w:hAnsi="Arial" w:cs="Arial"/>
        </w:rPr>
      </w:pPr>
      <w:r w:rsidRPr="003A6AE5">
        <w:rPr>
          <w:rStyle w:val="FootnoteReference"/>
          <w:rFonts w:ascii="Arial" w:hAnsi="Arial" w:cs="Arial"/>
        </w:rPr>
        <w:footnoteRef/>
      </w:r>
      <w:r w:rsidRPr="003A6AE5">
        <w:rPr>
          <w:rFonts w:ascii="Arial" w:hAnsi="Arial" w:cs="Arial"/>
        </w:rPr>
        <w:t xml:space="preserve"> </w:t>
      </w:r>
      <w:r w:rsidRPr="003A6AE5">
        <w:rPr>
          <w:rFonts w:ascii="Arial" w:hAnsi="Arial" w:cs="Arial"/>
          <w:i/>
          <w:lang w:val="en-US"/>
        </w:rPr>
        <w:t>Legator McKenna Inc</w:t>
      </w:r>
      <w:r w:rsidR="00E17582">
        <w:rPr>
          <w:rFonts w:ascii="Arial" w:hAnsi="Arial" w:cs="Arial"/>
          <w:i/>
          <w:lang w:val="en-US"/>
        </w:rPr>
        <w:t>.</w:t>
      </w:r>
      <w:r w:rsidRPr="003A6AE5">
        <w:rPr>
          <w:rFonts w:ascii="Arial" w:hAnsi="Arial" w:cs="Arial"/>
          <w:i/>
          <w:lang w:val="en-US"/>
        </w:rPr>
        <w:t xml:space="preserve"> and Another v Shea and Others</w:t>
      </w:r>
      <w:r w:rsidRPr="003A6AE5">
        <w:rPr>
          <w:rFonts w:ascii="Arial" w:hAnsi="Arial" w:cs="Arial"/>
        </w:rPr>
        <w:t xml:space="preserve"> [2008] ZASCA 144; 2010 (1) SA 35 (SCA) [2009] 2 All SA </w:t>
      </w:r>
      <w:r w:rsidRPr="002C11E2">
        <w:rPr>
          <w:rFonts w:ascii="Arial" w:hAnsi="Arial" w:cs="Arial"/>
        </w:rPr>
        <w:t>45 (SCA) paras 27 and 28.</w:t>
      </w:r>
    </w:p>
  </w:footnote>
  <w:footnote w:id="10">
    <w:p w14:paraId="3D34A48F" w14:textId="5E92BE69" w:rsidR="00635811" w:rsidRPr="00635811" w:rsidRDefault="00635811" w:rsidP="002252B7">
      <w:pPr>
        <w:pStyle w:val="FootnoteText"/>
        <w:jc w:val="both"/>
        <w:rPr>
          <w:rFonts w:ascii="Arial" w:hAnsi="Arial" w:cs="Arial"/>
          <w:lang w:val="en-US"/>
        </w:rPr>
      </w:pPr>
      <w:r w:rsidRPr="002C11E2">
        <w:rPr>
          <w:rStyle w:val="FootnoteReference"/>
          <w:rFonts w:ascii="Arial" w:hAnsi="Arial" w:cs="Arial"/>
        </w:rPr>
        <w:footnoteRef/>
      </w:r>
      <w:r w:rsidRPr="002C11E2">
        <w:rPr>
          <w:rFonts w:ascii="Arial" w:hAnsi="Arial" w:cs="Arial"/>
        </w:rPr>
        <w:t xml:space="preserve"> </w:t>
      </w:r>
      <w:r w:rsidRPr="002C11E2">
        <w:rPr>
          <w:rFonts w:ascii="Arial" w:hAnsi="Arial" w:cs="Arial"/>
          <w:i/>
          <w:iCs/>
        </w:rPr>
        <w:t xml:space="preserve">MV ‘Tarik III’ </w:t>
      </w:r>
      <w:r w:rsidRPr="002C11E2">
        <w:rPr>
          <w:rFonts w:ascii="Arial" w:hAnsi="Arial" w:cs="Arial"/>
        </w:rPr>
        <w:t xml:space="preserve">fn </w:t>
      </w:r>
      <w:r w:rsidR="00E17582" w:rsidRPr="002C11E2">
        <w:rPr>
          <w:rFonts w:ascii="Arial" w:hAnsi="Arial" w:cs="Arial"/>
        </w:rPr>
        <w:t>7</w:t>
      </w:r>
      <w:r w:rsidRPr="002C11E2">
        <w:rPr>
          <w:rFonts w:ascii="Arial" w:hAnsi="Arial" w:cs="Arial"/>
        </w:rPr>
        <w:t xml:space="preserve"> above</w:t>
      </w:r>
      <w:r>
        <w:rPr>
          <w:rFonts w:ascii="Arial" w:hAnsi="Arial" w:cs="Arial"/>
        </w:rPr>
        <w:t>.</w:t>
      </w:r>
    </w:p>
  </w:footnote>
  <w:footnote w:id="11">
    <w:p w14:paraId="2799DEF0" w14:textId="3E9FBAA1" w:rsidR="00EF635A" w:rsidRPr="00EF635A" w:rsidRDefault="00EF635A" w:rsidP="009325A7">
      <w:pPr>
        <w:pStyle w:val="FootnoteText"/>
        <w:jc w:val="both"/>
        <w:rPr>
          <w:rFonts w:ascii="Arial" w:hAnsi="Arial" w:cs="Arial"/>
          <w:iCs/>
        </w:rPr>
      </w:pPr>
      <w:r w:rsidRPr="00EF635A">
        <w:rPr>
          <w:rStyle w:val="FootnoteReference"/>
          <w:rFonts w:ascii="Arial" w:hAnsi="Arial" w:cs="Arial"/>
        </w:rPr>
        <w:footnoteRef/>
      </w:r>
      <w:r w:rsidRPr="00EF635A">
        <w:rPr>
          <w:rFonts w:ascii="Arial" w:hAnsi="Arial" w:cs="Arial"/>
        </w:rPr>
        <w:t xml:space="preserve"> </w:t>
      </w:r>
      <w:r w:rsidR="006C512C">
        <w:rPr>
          <w:rFonts w:ascii="Arial" w:hAnsi="Arial" w:cs="Arial"/>
          <w:i/>
        </w:rPr>
        <w:t xml:space="preserve">Bock </w:t>
      </w:r>
      <w:r w:rsidRPr="002C11E2">
        <w:rPr>
          <w:rFonts w:ascii="Arial" w:hAnsi="Arial" w:cs="Arial"/>
          <w:iCs/>
        </w:rPr>
        <w:t xml:space="preserve">fn </w:t>
      </w:r>
      <w:r w:rsidR="00E17582" w:rsidRPr="002C11E2">
        <w:rPr>
          <w:rFonts w:ascii="Arial" w:hAnsi="Arial" w:cs="Arial"/>
          <w:iCs/>
        </w:rPr>
        <w:t>6</w:t>
      </w:r>
      <w:r w:rsidRPr="002C11E2">
        <w:rPr>
          <w:rFonts w:ascii="Arial" w:hAnsi="Arial" w:cs="Arial"/>
          <w:iCs/>
        </w:rPr>
        <w:t xml:space="preserve"> above</w:t>
      </w:r>
      <w:r w:rsidRPr="00EF635A">
        <w:rPr>
          <w:rFonts w:ascii="Arial" w:hAnsi="Arial" w:cs="Arial"/>
          <w:iCs/>
        </w:rPr>
        <w:t xml:space="preserve"> para 7.</w:t>
      </w:r>
    </w:p>
  </w:footnote>
  <w:footnote w:id="12">
    <w:p w14:paraId="550A609F" w14:textId="00921C51" w:rsidR="00EF635A" w:rsidRPr="002C11E2" w:rsidRDefault="00EF635A" w:rsidP="009325A7">
      <w:pPr>
        <w:pStyle w:val="FootnoteText"/>
        <w:jc w:val="both"/>
        <w:rPr>
          <w:rFonts w:ascii="Arial" w:hAnsi="Arial" w:cs="Arial"/>
        </w:rPr>
      </w:pPr>
      <w:r w:rsidRPr="00EF635A">
        <w:rPr>
          <w:rStyle w:val="FootnoteReference"/>
          <w:rFonts w:ascii="Arial" w:hAnsi="Arial" w:cs="Arial"/>
        </w:rPr>
        <w:footnoteRef/>
      </w:r>
      <w:r w:rsidRPr="00EF635A">
        <w:rPr>
          <w:rFonts w:ascii="Arial" w:hAnsi="Arial" w:cs="Arial"/>
        </w:rPr>
        <w:t xml:space="preserve"> </w:t>
      </w:r>
      <w:r w:rsidR="006C512C" w:rsidRPr="002C11E2">
        <w:rPr>
          <w:rFonts w:ascii="Arial" w:hAnsi="Arial" w:cs="Arial"/>
          <w:i/>
          <w:iCs/>
        </w:rPr>
        <w:t>Grobler</w:t>
      </w:r>
      <w:r w:rsidRPr="002C11E2">
        <w:rPr>
          <w:rFonts w:ascii="Arial" w:hAnsi="Arial" w:cs="Arial"/>
        </w:rPr>
        <w:t xml:space="preserve"> fn </w:t>
      </w:r>
      <w:r w:rsidR="00E17582" w:rsidRPr="002C11E2">
        <w:rPr>
          <w:rFonts w:ascii="Arial" w:hAnsi="Arial" w:cs="Arial"/>
        </w:rPr>
        <w:t>5</w:t>
      </w:r>
      <w:r w:rsidRPr="002C11E2">
        <w:rPr>
          <w:rFonts w:ascii="Arial" w:hAnsi="Arial" w:cs="Arial"/>
        </w:rPr>
        <w:t xml:space="preserve"> above at 508B.</w:t>
      </w:r>
    </w:p>
  </w:footnote>
  <w:footnote w:id="13">
    <w:p w14:paraId="0A299FE3" w14:textId="0054F2F2" w:rsidR="008002CF" w:rsidRPr="008002CF" w:rsidRDefault="008002CF" w:rsidP="009325A7">
      <w:pPr>
        <w:pStyle w:val="FootnoteText"/>
        <w:jc w:val="both"/>
        <w:rPr>
          <w:rFonts w:ascii="Arial" w:hAnsi="Arial" w:cs="Arial"/>
        </w:rPr>
      </w:pPr>
      <w:r w:rsidRPr="002C11E2">
        <w:rPr>
          <w:rStyle w:val="FootnoteReference"/>
          <w:rFonts w:ascii="Arial" w:hAnsi="Arial" w:cs="Arial"/>
        </w:rPr>
        <w:footnoteRef/>
      </w:r>
      <w:r w:rsidRPr="002C11E2">
        <w:rPr>
          <w:rFonts w:ascii="Arial" w:hAnsi="Arial" w:cs="Arial"/>
        </w:rPr>
        <w:t xml:space="preserve"> </w:t>
      </w:r>
      <w:r w:rsidR="006C512C" w:rsidRPr="002C11E2">
        <w:rPr>
          <w:rFonts w:ascii="Arial" w:hAnsi="Arial" w:cs="Arial"/>
          <w:i/>
        </w:rPr>
        <w:t>Bock</w:t>
      </w:r>
      <w:r w:rsidRPr="002C11E2">
        <w:rPr>
          <w:rFonts w:ascii="Arial" w:hAnsi="Arial" w:cs="Arial"/>
          <w:i/>
        </w:rPr>
        <w:t xml:space="preserve"> </w:t>
      </w:r>
      <w:r w:rsidRPr="002C11E2">
        <w:rPr>
          <w:rFonts w:ascii="Arial" w:hAnsi="Arial" w:cs="Arial"/>
          <w:iCs/>
        </w:rPr>
        <w:t xml:space="preserve">fn </w:t>
      </w:r>
      <w:r w:rsidR="00E17582" w:rsidRPr="002C11E2">
        <w:rPr>
          <w:rFonts w:ascii="Arial" w:hAnsi="Arial" w:cs="Arial"/>
          <w:iCs/>
        </w:rPr>
        <w:t>6</w:t>
      </w:r>
      <w:r w:rsidRPr="002C11E2">
        <w:rPr>
          <w:rFonts w:ascii="Arial" w:hAnsi="Arial" w:cs="Arial"/>
          <w:iCs/>
        </w:rPr>
        <w:t xml:space="preserve"> above para</w:t>
      </w:r>
      <w:r w:rsidRPr="00EF635A">
        <w:rPr>
          <w:rFonts w:ascii="Arial" w:hAnsi="Arial" w:cs="Arial"/>
          <w:iCs/>
        </w:rPr>
        <w:t xml:space="preserve"> 7.</w:t>
      </w:r>
    </w:p>
  </w:footnote>
  <w:footnote w:id="14">
    <w:p w14:paraId="79E77F0F" w14:textId="0B98E106" w:rsidR="006F45ED" w:rsidRPr="006F45ED" w:rsidRDefault="006F45ED">
      <w:pPr>
        <w:pStyle w:val="FootnoteText"/>
        <w:rPr>
          <w:rFonts w:ascii="Arial" w:hAnsi="Arial" w:cs="Arial"/>
        </w:rPr>
      </w:pPr>
      <w:r w:rsidRPr="006F45ED">
        <w:rPr>
          <w:rStyle w:val="FootnoteReference"/>
          <w:rFonts w:ascii="Arial" w:hAnsi="Arial" w:cs="Arial"/>
        </w:rPr>
        <w:footnoteRef/>
      </w:r>
      <w:r>
        <w:rPr>
          <w:rFonts w:ascii="Arial" w:hAnsi="Arial" w:cs="Arial"/>
        </w:rPr>
        <w:t xml:space="preserve"> </w:t>
      </w:r>
      <w:r>
        <w:rPr>
          <w:rFonts w:ascii="Arial" w:hAnsi="Arial" w:cs="Arial"/>
          <w:i/>
          <w:iCs/>
        </w:rPr>
        <w:t>Prinsloo N</w:t>
      </w:r>
      <w:r w:rsidR="00E17582">
        <w:rPr>
          <w:rFonts w:ascii="Arial" w:hAnsi="Arial" w:cs="Arial"/>
          <w:i/>
          <w:iCs/>
        </w:rPr>
        <w:t xml:space="preserve"> </w:t>
      </w:r>
      <w:r>
        <w:rPr>
          <w:rFonts w:ascii="Arial" w:hAnsi="Arial" w:cs="Arial"/>
          <w:i/>
          <w:iCs/>
        </w:rPr>
        <w:t xml:space="preserve">O &amp; Others v Goldex 15 (Pty) Ltd &amp; Another </w:t>
      </w:r>
      <w:r>
        <w:rPr>
          <w:rFonts w:ascii="Arial" w:hAnsi="Arial" w:cs="Arial"/>
        </w:rPr>
        <w:t>2014 (5) SA 297 (SCA) para 10.</w:t>
      </w:r>
    </w:p>
  </w:footnote>
  <w:footnote w:id="15">
    <w:p w14:paraId="41025A1C" w14:textId="77777777" w:rsidR="0010518D" w:rsidRDefault="0010518D" w:rsidP="002F7471">
      <w:pPr>
        <w:pStyle w:val="FootnoteText"/>
        <w:jc w:val="both"/>
        <w:rPr>
          <w:rFonts w:ascii="Arial" w:hAnsi="Arial" w:cs="Arial"/>
        </w:rPr>
      </w:pPr>
      <w:r w:rsidRPr="0010518D">
        <w:rPr>
          <w:rStyle w:val="FootnoteReference"/>
          <w:rFonts w:ascii="Arial" w:hAnsi="Arial" w:cs="Arial"/>
        </w:rPr>
        <w:footnoteRef/>
      </w:r>
      <w:r w:rsidRPr="0010518D">
        <w:rPr>
          <w:rFonts w:ascii="Arial" w:hAnsi="Arial" w:cs="Arial"/>
        </w:rPr>
        <w:t xml:space="preserve"> </w:t>
      </w:r>
      <w:r>
        <w:rPr>
          <w:rFonts w:ascii="Arial" w:hAnsi="Arial" w:cs="Arial"/>
        </w:rPr>
        <w:t>Section 2 headed ‘Objects of the Act’, provide</w:t>
      </w:r>
      <w:r w:rsidR="00DB1421">
        <w:rPr>
          <w:rFonts w:ascii="Arial" w:hAnsi="Arial" w:cs="Arial"/>
        </w:rPr>
        <w:t>s</w:t>
      </w:r>
      <w:r>
        <w:rPr>
          <w:rFonts w:ascii="Arial" w:hAnsi="Arial" w:cs="Arial"/>
        </w:rPr>
        <w:t xml:space="preserve">: </w:t>
      </w:r>
    </w:p>
    <w:p w14:paraId="1247C129" w14:textId="77777777" w:rsidR="0010518D" w:rsidRDefault="0010518D" w:rsidP="006C512C">
      <w:pPr>
        <w:pStyle w:val="FootnoteText"/>
        <w:numPr>
          <w:ilvl w:val="0"/>
          <w:numId w:val="2"/>
        </w:numPr>
        <w:ind w:left="0" w:firstLine="0"/>
        <w:jc w:val="both"/>
        <w:rPr>
          <w:rFonts w:ascii="Arial" w:hAnsi="Arial" w:cs="Arial"/>
        </w:rPr>
      </w:pPr>
      <w:r>
        <w:rPr>
          <w:rFonts w:ascii="Arial" w:hAnsi="Arial" w:cs="Arial"/>
        </w:rPr>
        <w:t>The objects of the Act are to –</w:t>
      </w:r>
    </w:p>
    <w:p w14:paraId="65CA0554" w14:textId="77777777" w:rsidR="0010518D" w:rsidRDefault="0010518D" w:rsidP="002F7471">
      <w:pPr>
        <w:pStyle w:val="FootnoteText"/>
        <w:numPr>
          <w:ilvl w:val="0"/>
          <w:numId w:val="3"/>
        </w:numPr>
        <w:jc w:val="both"/>
        <w:rPr>
          <w:rFonts w:ascii="Arial" w:hAnsi="Arial" w:cs="Arial"/>
        </w:rPr>
      </w:pPr>
      <w:r>
        <w:rPr>
          <w:rFonts w:ascii="Arial" w:hAnsi="Arial" w:cs="Arial"/>
        </w:rPr>
        <w:t>recognise the internationally accepted right of the State to exercise sovereignty over the mineral and petroleum resources within the Republic;</w:t>
      </w:r>
    </w:p>
    <w:p w14:paraId="123B53A4" w14:textId="77777777" w:rsidR="0010518D" w:rsidRPr="00DB1421" w:rsidRDefault="0010518D" w:rsidP="002F7471">
      <w:pPr>
        <w:pStyle w:val="FootnoteText"/>
        <w:numPr>
          <w:ilvl w:val="0"/>
          <w:numId w:val="3"/>
        </w:numPr>
        <w:jc w:val="both"/>
        <w:rPr>
          <w:rFonts w:ascii="Arial" w:hAnsi="Arial" w:cs="Arial"/>
        </w:rPr>
      </w:pPr>
      <w:r>
        <w:rPr>
          <w:rFonts w:ascii="Arial" w:hAnsi="Arial" w:cs="Arial"/>
        </w:rPr>
        <w:t xml:space="preserve">give effect to the principle of the State’s custodianship of the nation’s mineral and </w:t>
      </w:r>
      <w:r w:rsidRPr="00DB1421">
        <w:rPr>
          <w:rFonts w:ascii="Arial" w:hAnsi="Arial" w:cs="Arial"/>
        </w:rPr>
        <w:t>petroleum resources.’</w:t>
      </w:r>
    </w:p>
  </w:footnote>
  <w:footnote w:id="16">
    <w:p w14:paraId="0904722E" w14:textId="77777777" w:rsidR="00DB1421" w:rsidRPr="006C512C" w:rsidRDefault="00DB1421" w:rsidP="002F7471">
      <w:pPr>
        <w:pStyle w:val="FootnoteText"/>
        <w:jc w:val="both"/>
        <w:rPr>
          <w:rFonts w:ascii="Arial" w:hAnsi="Arial" w:cs="Arial"/>
        </w:rPr>
      </w:pPr>
      <w:r w:rsidRPr="00DB1421">
        <w:rPr>
          <w:rStyle w:val="FootnoteReference"/>
          <w:rFonts w:ascii="Arial" w:hAnsi="Arial" w:cs="Arial"/>
        </w:rPr>
        <w:footnoteRef/>
      </w:r>
      <w:r>
        <w:t xml:space="preserve"> </w:t>
      </w:r>
      <w:r>
        <w:rPr>
          <w:rFonts w:ascii="Arial" w:hAnsi="Arial" w:cs="Arial"/>
          <w:i/>
          <w:iCs/>
        </w:rPr>
        <w:t xml:space="preserve">Mogale Alloys (Pty) Ltd v Nuco Chrome Bophuthatswana (Pty) Ltd </w:t>
      </w:r>
      <w:r w:rsidRPr="00DB1421">
        <w:rPr>
          <w:rFonts w:ascii="Arial" w:hAnsi="Arial" w:cs="Arial"/>
        </w:rPr>
        <w:t>2011 (6) SA 96 (GSJ) para 3</w:t>
      </w:r>
      <w:r>
        <w:rPr>
          <w:rFonts w:ascii="Arial" w:hAnsi="Arial" w:cs="Arial"/>
        </w:rPr>
        <w:t>7</w:t>
      </w:r>
      <w:r w:rsidRPr="00DB1421">
        <w:rPr>
          <w:rFonts w:ascii="Arial" w:hAnsi="Arial" w:cs="Arial"/>
        </w:rPr>
        <w:t>.</w:t>
      </w:r>
    </w:p>
  </w:footnote>
  <w:footnote w:id="17">
    <w:p w14:paraId="0A9CF9A6" w14:textId="77777777" w:rsidR="001235D1" w:rsidRPr="00DB1421" w:rsidRDefault="001235D1" w:rsidP="002F7471">
      <w:pPr>
        <w:pStyle w:val="FootnoteText"/>
        <w:jc w:val="both"/>
        <w:rPr>
          <w:rFonts w:ascii="Arial" w:hAnsi="Arial" w:cs="Arial"/>
        </w:rPr>
      </w:pPr>
      <w:r w:rsidRPr="001235D1">
        <w:rPr>
          <w:rStyle w:val="FootnoteReference"/>
          <w:rFonts w:ascii="Arial" w:hAnsi="Arial" w:cs="Arial"/>
        </w:rPr>
        <w:footnoteRef/>
      </w:r>
      <w:r>
        <w:rPr>
          <w:rFonts w:ascii="Arial" w:hAnsi="Arial" w:cs="Arial"/>
        </w:rPr>
        <w:t xml:space="preserve"> </w:t>
      </w:r>
      <w:r w:rsidR="00DB1421">
        <w:rPr>
          <w:rFonts w:ascii="Arial" w:hAnsi="Arial" w:cs="Arial"/>
        </w:rPr>
        <w:t>Ibid</w:t>
      </w:r>
      <w:r w:rsidR="00DB1421" w:rsidRPr="00DB1421">
        <w:rPr>
          <w:rFonts w:ascii="Arial" w:hAnsi="Arial" w:cs="Arial"/>
        </w:rPr>
        <w:t xml:space="preserve"> para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829774"/>
      <w:docPartObj>
        <w:docPartGallery w:val="Page Numbers (Top of Page)"/>
        <w:docPartUnique/>
      </w:docPartObj>
    </w:sdtPr>
    <w:sdtEndPr>
      <w:rPr>
        <w:noProof/>
      </w:rPr>
    </w:sdtEndPr>
    <w:sdtContent>
      <w:p w14:paraId="00378472" w14:textId="52DE0202" w:rsidR="00E93376" w:rsidRDefault="00E93376">
        <w:pPr>
          <w:pStyle w:val="Header"/>
          <w:jc w:val="right"/>
        </w:pPr>
        <w:r>
          <w:fldChar w:fldCharType="begin"/>
        </w:r>
        <w:r>
          <w:instrText xml:space="preserve"> PAGE   \* MERGEFORMAT </w:instrText>
        </w:r>
        <w:r>
          <w:fldChar w:fldCharType="separate"/>
        </w:r>
        <w:r w:rsidR="00E00506">
          <w:rPr>
            <w:noProof/>
          </w:rPr>
          <w:t>2</w:t>
        </w:r>
        <w:r>
          <w:rPr>
            <w:noProof/>
          </w:rPr>
          <w:fldChar w:fldCharType="end"/>
        </w:r>
      </w:p>
    </w:sdtContent>
  </w:sdt>
  <w:p w14:paraId="345792A4" w14:textId="77777777" w:rsidR="00E93376" w:rsidRDefault="00E93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64402"/>
    <w:multiLevelType w:val="hybridMultilevel"/>
    <w:tmpl w:val="B4887A64"/>
    <w:lvl w:ilvl="0" w:tplc="AC1C2B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9443D92"/>
    <w:multiLevelType w:val="hybridMultilevel"/>
    <w:tmpl w:val="DD8A993A"/>
    <w:lvl w:ilvl="0" w:tplc="DEE0F3E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7F3C6C63"/>
    <w:multiLevelType w:val="hybridMultilevel"/>
    <w:tmpl w:val="91C6C408"/>
    <w:lvl w:ilvl="0" w:tplc="D97CFE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23"/>
    <w:rsid w:val="00024D27"/>
    <w:rsid w:val="00034DF8"/>
    <w:rsid w:val="000512BB"/>
    <w:rsid w:val="00055486"/>
    <w:rsid w:val="00064FA6"/>
    <w:rsid w:val="000667A2"/>
    <w:rsid w:val="000A37BB"/>
    <w:rsid w:val="000A586D"/>
    <w:rsid w:val="000D05EF"/>
    <w:rsid w:val="0010518D"/>
    <w:rsid w:val="001235D1"/>
    <w:rsid w:val="0017242A"/>
    <w:rsid w:val="0018099F"/>
    <w:rsid w:val="001A4492"/>
    <w:rsid w:val="001B08A6"/>
    <w:rsid w:val="001B7C3F"/>
    <w:rsid w:val="001C6F75"/>
    <w:rsid w:val="001D1726"/>
    <w:rsid w:val="00215F7A"/>
    <w:rsid w:val="0022148A"/>
    <w:rsid w:val="002252B7"/>
    <w:rsid w:val="002348B5"/>
    <w:rsid w:val="00242383"/>
    <w:rsid w:val="00250896"/>
    <w:rsid w:val="00276B0E"/>
    <w:rsid w:val="00277A27"/>
    <w:rsid w:val="0028376A"/>
    <w:rsid w:val="00292C34"/>
    <w:rsid w:val="002C11E2"/>
    <w:rsid w:val="002C5D70"/>
    <w:rsid w:val="002D55AB"/>
    <w:rsid w:val="002E3A92"/>
    <w:rsid w:val="002F7471"/>
    <w:rsid w:val="00306DBD"/>
    <w:rsid w:val="00313C26"/>
    <w:rsid w:val="00321C92"/>
    <w:rsid w:val="00322FA8"/>
    <w:rsid w:val="00347143"/>
    <w:rsid w:val="00377752"/>
    <w:rsid w:val="003846E8"/>
    <w:rsid w:val="00390227"/>
    <w:rsid w:val="00390FB6"/>
    <w:rsid w:val="003A4AB4"/>
    <w:rsid w:val="003A6AE5"/>
    <w:rsid w:val="003B11E4"/>
    <w:rsid w:val="003B1A9C"/>
    <w:rsid w:val="003C5414"/>
    <w:rsid w:val="003E083F"/>
    <w:rsid w:val="004123DE"/>
    <w:rsid w:val="0041361C"/>
    <w:rsid w:val="00426F84"/>
    <w:rsid w:val="00427B34"/>
    <w:rsid w:val="004640E4"/>
    <w:rsid w:val="004823CA"/>
    <w:rsid w:val="00483D46"/>
    <w:rsid w:val="004C278F"/>
    <w:rsid w:val="004D42D6"/>
    <w:rsid w:val="004D4D32"/>
    <w:rsid w:val="004D68B4"/>
    <w:rsid w:val="004F4BAF"/>
    <w:rsid w:val="005132A5"/>
    <w:rsid w:val="00514AC1"/>
    <w:rsid w:val="00522EEB"/>
    <w:rsid w:val="00524271"/>
    <w:rsid w:val="00533E73"/>
    <w:rsid w:val="00534C59"/>
    <w:rsid w:val="005357B9"/>
    <w:rsid w:val="00560FCB"/>
    <w:rsid w:val="00566E64"/>
    <w:rsid w:val="005913E7"/>
    <w:rsid w:val="00591763"/>
    <w:rsid w:val="00593C83"/>
    <w:rsid w:val="005A768D"/>
    <w:rsid w:val="005B4A87"/>
    <w:rsid w:val="005D2450"/>
    <w:rsid w:val="005E608B"/>
    <w:rsid w:val="005F55D7"/>
    <w:rsid w:val="00632008"/>
    <w:rsid w:val="00635811"/>
    <w:rsid w:val="00677344"/>
    <w:rsid w:val="006826EC"/>
    <w:rsid w:val="00691471"/>
    <w:rsid w:val="006C512C"/>
    <w:rsid w:val="006C5381"/>
    <w:rsid w:val="006D0A49"/>
    <w:rsid w:val="006F45ED"/>
    <w:rsid w:val="007029B3"/>
    <w:rsid w:val="00726122"/>
    <w:rsid w:val="0073090D"/>
    <w:rsid w:val="007363C5"/>
    <w:rsid w:val="00747338"/>
    <w:rsid w:val="007506C6"/>
    <w:rsid w:val="00754E9F"/>
    <w:rsid w:val="00765C33"/>
    <w:rsid w:val="00774C4B"/>
    <w:rsid w:val="00775CE5"/>
    <w:rsid w:val="0078492D"/>
    <w:rsid w:val="007D1047"/>
    <w:rsid w:val="007D3B54"/>
    <w:rsid w:val="008002CF"/>
    <w:rsid w:val="00817572"/>
    <w:rsid w:val="00846CCC"/>
    <w:rsid w:val="00857BAF"/>
    <w:rsid w:val="00880461"/>
    <w:rsid w:val="008B7B5C"/>
    <w:rsid w:val="008C47DA"/>
    <w:rsid w:val="008E49DB"/>
    <w:rsid w:val="008F05FC"/>
    <w:rsid w:val="008F2104"/>
    <w:rsid w:val="0090446B"/>
    <w:rsid w:val="00916383"/>
    <w:rsid w:val="0092617A"/>
    <w:rsid w:val="009325A7"/>
    <w:rsid w:val="00933152"/>
    <w:rsid w:val="00960D19"/>
    <w:rsid w:val="00990293"/>
    <w:rsid w:val="009B1835"/>
    <w:rsid w:val="009C1C23"/>
    <w:rsid w:val="009D0926"/>
    <w:rsid w:val="009D57CB"/>
    <w:rsid w:val="009D5CAB"/>
    <w:rsid w:val="009E4463"/>
    <w:rsid w:val="00A1721B"/>
    <w:rsid w:val="00A31F86"/>
    <w:rsid w:val="00A335BC"/>
    <w:rsid w:val="00A6799D"/>
    <w:rsid w:val="00A70307"/>
    <w:rsid w:val="00A91CE7"/>
    <w:rsid w:val="00A93F95"/>
    <w:rsid w:val="00AA29B0"/>
    <w:rsid w:val="00AB06E3"/>
    <w:rsid w:val="00AC0600"/>
    <w:rsid w:val="00AE338F"/>
    <w:rsid w:val="00B33B34"/>
    <w:rsid w:val="00B54F93"/>
    <w:rsid w:val="00B606FF"/>
    <w:rsid w:val="00B64595"/>
    <w:rsid w:val="00B73ED4"/>
    <w:rsid w:val="00BA3D3F"/>
    <w:rsid w:val="00BA4A61"/>
    <w:rsid w:val="00BB5722"/>
    <w:rsid w:val="00BC5042"/>
    <w:rsid w:val="00BE26DD"/>
    <w:rsid w:val="00C053FE"/>
    <w:rsid w:val="00C06C5E"/>
    <w:rsid w:val="00C106B5"/>
    <w:rsid w:val="00C4624E"/>
    <w:rsid w:val="00C5727F"/>
    <w:rsid w:val="00C75343"/>
    <w:rsid w:val="00C77FF5"/>
    <w:rsid w:val="00CC3F95"/>
    <w:rsid w:val="00CE3306"/>
    <w:rsid w:val="00D03155"/>
    <w:rsid w:val="00D3299A"/>
    <w:rsid w:val="00D72597"/>
    <w:rsid w:val="00D7440C"/>
    <w:rsid w:val="00DB1421"/>
    <w:rsid w:val="00DC57E4"/>
    <w:rsid w:val="00DD0E19"/>
    <w:rsid w:val="00DD2C8C"/>
    <w:rsid w:val="00DF7B8A"/>
    <w:rsid w:val="00E00506"/>
    <w:rsid w:val="00E11FA6"/>
    <w:rsid w:val="00E17582"/>
    <w:rsid w:val="00E17F0D"/>
    <w:rsid w:val="00E31F8D"/>
    <w:rsid w:val="00E47E6B"/>
    <w:rsid w:val="00E7461A"/>
    <w:rsid w:val="00E93376"/>
    <w:rsid w:val="00EC2D65"/>
    <w:rsid w:val="00EC4077"/>
    <w:rsid w:val="00EC47A0"/>
    <w:rsid w:val="00ED31F3"/>
    <w:rsid w:val="00EF635A"/>
    <w:rsid w:val="00F06694"/>
    <w:rsid w:val="00F12972"/>
    <w:rsid w:val="00F308D7"/>
    <w:rsid w:val="00F51CAC"/>
    <w:rsid w:val="00F747D3"/>
    <w:rsid w:val="00F74F5A"/>
    <w:rsid w:val="00F81D21"/>
    <w:rsid w:val="00FC652F"/>
    <w:rsid w:val="00FD68CC"/>
    <w:rsid w:val="00FE1D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0F6C"/>
  <w15:chartTrackingRefBased/>
  <w15:docId w15:val="{B7AC64AC-B411-4E4E-9205-C0D7BD29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C23"/>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3B54"/>
    <w:rPr>
      <w:sz w:val="20"/>
      <w:szCs w:val="20"/>
    </w:rPr>
  </w:style>
  <w:style w:type="character" w:customStyle="1" w:styleId="FootnoteTextChar">
    <w:name w:val="Footnote Text Char"/>
    <w:basedOn w:val="DefaultParagraphFont"/>
    <w:link w:val="FootnoteText"/>
    <w:uiPriority w:val="99"/>
    <w:semiHidden/>
    <w:rsid w:val="007D3B54"/>
    <w:rPr>
      <w:rFonts w:ascii="Times New Roman" w:eastAsia="Times New Roman" w:hAnsi="Times New Roman" w:cs="Times New Roman"/>
      <w:kern w:val="0"/>
      <w:sz w:val="20"/>
      <w:szCs w:val="20"/>
      <w:lang w:eastAsia="en-GB"/>
      <w14:ligatures w14:val="none"/>
    </w:rPr>
  </w:style>
  <w:style w:type="character" w:styleId="FootnoteReference">
    <w:name w:val="footnote reference"/>
    <w:basedOn w:val="DefaultParagraphFont"/>
    <w:uiPriority w:val="99"/>
    <w:semiHidden/>
    <w:unhideWhenUsed/>
    <w:rsid w:val="007D3B54"/>
    <w:rPr>
      <w:vertAlign w:val="superscript"/>
    </w:rPr>
  </w:style>
  <w:style w:type="character" w:styleId="Hyperlink">
    <w:name w:val="Hyperlink"/>
    <w:basedOn w:val="DefaultParagraphFont"/>
    <w:uiPriority w:val="99"/>
    <w:unhideWhenUsed/>
    <w:rsid w:val="00A335BC"/>
    <w:rPr>
      <w:color w:val="0563C1" w:themeColor="hyperlink"/>
      <w:u w:val="single"/>
    </w:rPr>
  </w:style>
  <w:style w:type="character" w:customStyle="1" w:styleId="UnresolvedMention1">
    <w:name w:val="Unresolved Mention1"/>
    <w:basedOn w:val="DefaultParagraphFont"/>
    <w:uiPriority w:val="99"/>
    <w:semiHidden/>
    <w:unhideWhenUsed/>
    <w:rsid w:val="00A335BC"/>
    <w:rPr>
      <w:color w:val="605E5C"/>
      <w:shd w:val="clear" w:color="auto" w:fill="E1DFDD"/>
    </w:rPr>
  </w:style>
  <w:style w:type="paragraph" w:styleId="BalloonText">
    <w:name w:val="Balloon Text"/>
    <w:basedOn w:val="Normal"/>
    <w:link w:val="BalloonTextChar"/>
    <w:uiPriority w:val="99"/>
    <w:semiHidden/>
    <w:unhideWhenUsed/>
    <w:rsid w:val="00736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C5"/>
    <w:rPr>
      <w:rFonts w:ascii="Segoe UI" w:eastAsia="Times New Roman" w:hAnsi="Segoe UI" w:cs="Segoe UI"/>
      <w:kern w:val="0"/>
      <w:sz w:val="18"/>
      <w:szCs w:val="18"/>
      <w:lang w:eastAsia="en-GB"/>
      <w14:ligatures w14:val="none"/>
    </w:rPr>
  </w:style>
  <w:style w:type="character" w:styleId="CommentReference">
    <w:name w:val="annotation reference"/>
    <w:basedOn w:val="DefaultParagraphFont"/>
    <w:uiPriority w:val="99"/>
    <w:semiHidden/>
    <w:unhideWhenUsed/>
    <w:rsid w:val="009D5CAB"/>
    <w:rPr>
      <w:sz w:val="16"/>
      <w:szCs w:val="16"/>
    </w:rPr>
  </w:style>
  <w:style w:type="paragraph" w:styleId="CommentText">
    <w:name w:val="annotation text"/>
    <w:basedOn w:val="Normal"/>
    <w:link w:val="CommentTextChar"/>
    <w:uiPriority w:val="99"/>
    <w:semiHidden/>
    <w:unhideWhenUsed/>
    <w:rsid w:val="009D5CAB"/>
    <w:rPr>
      <w:sz w:val="20"/>
      <w:szCs w:val="20"/>
    </w:rPr>
  </w:style>
  <w:style w:type="character" w:customStyle="1" w:styleId="CommentTextChar">
    <w:name w:val="Comment Text Char"/>
    <w:basedOn w:val="DefaultParagraphFont"/>
    <w:link w:val="CommentText"/>
    <w:uiPriority w:val="99"/>
    <w:semiHidden/>
    <w:rsid w:val="009D5CAB"/>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9D5CAB"/>
    <w:rPr>
      <w:b/>
      <w:bCs/>
    </w:rPr>
  </w:style>
  <w:style w:type="character" w:customStyle="1" w:styleId="CommentSubjectChar">
    <w:name w:val="Comment Subject Char"/>
    <w:basedOn w:val="CommentTextChar"/>
    <w:link w:val="CommentSubject"/>
    <w:uiPriority w:val="99"/>
    <w:semiHidden/>
    <w:rsid w:val="009D5CAB"/>
    <w:rPr>
      <w:rFonts w:ascii="Times New Roman" w:eastAsia="Times New Roman" w:hAnsi="Times New Roman" w:cs="Times New Roman"/>
      <w:b/>
      <w:bCs/>
      <w:kern w:val="0"/>
      <w:sz w:val="20"/>
      <w:szCs w:val="20"/>
      <w:lang w:eastAsia="en-GB"/>
      <w14:ligatures w14:val="none"/>
    </w:rPr>
  </w:style>
  <w:style w:type="paragraph" w:styleId="Header">
    <w:name w:val="header"/>
    <w:basedOn w:val="Normal"/>
    <w:link w:val="HeaderChar"/>
    <w:uiPriority w:val="99"/>
    <w:unhideWhenUsed/>
    <w:rsid w:val="00E93376"/>
    <w:pPr>
      <w:tabs>
        <w:tab w:val="center" w:pos="4513"/>
        <w:tab w:val="right" w:pos="9026"/>
      </w:tabs>
    </w:pPr>
  </w:style>
  <w:style w:type="character" w:customStyle="1" w:styleId="HeaderChar">
    <w:name w:val="Header Char"/>
    <w:basedOn w:val="DefaultParagraphFont"/>
    <w:link w:val="Header"/>
    <w:uiPriority w:val="99"/>
    <w:rsid w:val="00E93376"/>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E93376"/>
    <w:pPr>
      <w:tabs>
        <w:tab w:val="center" w:pos="4513"/>
        <w:tab w:val="right" w:pos="9026"/>
      </w:tabs>
    </w:pPr>
  </w:style>
  <w:style w:type="character" w:customStyle="1" w:styleId="FooterChar">
    <w:name w:val="Footer Char"/>
    <w:basedOn w:val="DefaultParagraphFont"/>
    <w:link w:val="Footer"/>
    <w:uiPriority w:val="99"/>
    <w:rsid w:val="00E93376"/>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938850">
      <w:bodyDiv w:val="1"/>
      <w:marLeft w:val="0"/>
      <w:marRight w:val="0"/>
      <w:marTop w:val="0"/>
      <w:marBottom w:val="0"/>
      <w:divBdr>
        <w:top w:val="none" w:sz="0" w:space="0" w:color="auto"/>
        <w:left w:val="none" w:sz="0" w:space="0" w:color="auto"/>
        <w:bottom w:val="none" w:sz="0" w:space="0" w:color="auto"/>
        <w:right w:val="none" w:sz="0" w:space="0" w:color="auto"/>
      </w:divBdr>
    </w:div>
    <w:div w:id="18555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mobi/cgi-bin/LawCite?cit=1949%20%283%29%20SA%20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1AC-A82C-45C1-B1F8-75E8E64E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6078</Words>
  <Characters>34650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Judge-V Ponnan</dc:creator>
  <cp:keywords/>
  <dc:description/>
  <cp:lastModifiedBy>Mokone</cp:lastModifiedBy>
  <cp:revision>2</cp:revision>
  <dcterms:created xsi:type="dcterms:W3CDTF">2023-06-27T11:45:00Z</dcterms:created>
  <dcterms:modified xsi:type="dcterms:W3CDTF">2023-06-27T11:45:00Z</dcterms:modified>
</cp:coreProperties>
</file>