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5C3E6" w14:textId="77777777" w:rsidR="00BF2950" w:rsidRDefault="00BF2950" w:rsidP="00BF2950">
      <w:pPr>
        <w:rPr>
          <w:rFonts w:ascii="Arial" w:hAnsi="Arial" w:cs="Arial"/>
          <w:b/>
          <w:bCs/>
          <w:sz w:val="24"/>
          <w:szCs w:val="24"/>
          <w:lang w:val="en-US"/>
        </w:rPr>
      </w:pPr>
      <w:r>
        <w:rPr>
          <w:noProof/>
          <w:lang w:val="en-US"/>
        </w:rPr>
        <w:drawing>
          <wp:anchor distT="0" distB="0" distL="114300" distR="114300" simplePos="0" relativeHeight="251659264" behindDoc="0" locked="0" layoutInCell="1" allowOverlap="1" wp14:anchorId="51E1627F" wp14:editId="4E8C83B1">
            <wp:simplePos x="0" y="0"/>
            <wp:positionH relativeFrom="margin">
              <wp:align>center</wp:align>
            </wp:positionH>
            <wp:positionV relativeFrom="paragraph">
              <wp:posOffset>76200</wp:posOffset>
            </wp:positionV>
            <wp:extent cx="800100" cy="914400"/>
            <wp:effectExtent l="0" t="0" r="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7349095F" w14:textId="77777777" w:rsidR="00BF2950" w:rsidRDefault="00BF2950" w:rsidP="00BF2950">
      <w:pPr>
        <w:rPr>
          <w:rFonts w:ascii="Arial" w:hAnsi="Arial" w:cs="Arial"/>
          <w:b/>
          <w:bCs/>
          <w:sz w:val="24"/>
          <w:szCs w:val="24"/>
          <w:lang w:val="en-US"/>
        </w:rPr>
      </w:pPr>
    </w:p>
    <w:p w14:paraId="53F971E7" w14:textId="77777777" w:rsidR="00BF2950" w:rsidRDefault="00BF2950" w:rsidP="00BF2950">
      <w:pPr>
        <w:jc w:val="center"/>
        <w:rPr>
          <w:rFonts w:ascii="Arial" w:hAnsi="Arial" w:cs="Arial"/>
          <w:b/>
          <w:bCs/>
          <w:sz w:val="24"/>
          <w:szCs w:val="24"/>
          <w:lang w:val="en-GB"/>
        </w:rPr>
      </w:pPr>
    </w:p>
    <w:p w14:paraId="23939671" w14:textId="77777777" w:rsidR="00BF2950" w:rsidRDefault="00BF2950" w:rsidP="00BF2950">
      <w:pPr>
        <w:jc w:val="center"/>
        <w:rPr>
          <w:rFonts w:ascii="Arial" w:hAnsi="Arial" w:cs="Arial"/>
          <w:b/>
          <w:bCs/>
          <w:sz w:val="24"/>
          <w:szCs w:val="24"/>
          <w:lang w:val="en-GB"/>
        </w:rPr>
      </w:pPr>
    </w:p>
    <w:p w14:paraId="6FFF39A0" w14:textId="77777777" w:rsidR="00BF2950" w:rsidRDefault="00BF2950" w:rsidP="00BF2950">
      <w:pPr>
        <w:jc w:val="center"/>
        <w:rPr>
          <w:rFonts w:ascii="Arial" w:hAnsi="Arial" w:cs="Arial"/>
          <w:b/>
          <w:bCs/>
          <w:sz w:val="24"/>
          <w:szCs w:val="24"/>
          <w:lang w:val="en-GB"/>
        </w:rPr>
      </w:pPr>
      <w:r>
        <w:rPr>
          <w:rFonts w:ascii="Arial" w:hAnsi="Arial" w:cs="Arial"/>
          <w:b/>
          <w:bCs/>
          <w:sz w:val="24"/>
          <w:szCs w:val="24"/>
          <w:lang w:val="en-GB"/>
        </w:rPr>
        <w:t>THE SUPREME COURT OF APPEAL OF SOUTH AFRICA</w:t>
      </w:r>
    </w:p>
    <w:p w14:paraId="2D52A164" w14:textId="77777777" w:rsidR="00BF2950" w:rsidRDefault="00BF2950" w:rsidP="00BF2950">
      <w:pPr>
        <w:keepNext/>
        <w:jc w:val="center"/>
        <w:outlineLvl w:val="2"/>
        <w:rPr>
          <w:b/>
          <w:iCs/>
          <w:sz w:val="24"/>
          <w:szCs w:val="24"/>
          <w:lang w:val="en-GB"/>
        </w:rPr>
      </w:pPr>
      <w:r>
        <w:rPr>
          <w:rFonts w:ascii="Arial" w:hAnsi="Arial" w:cs="Arial"/>
          <w:b/>
          <w:iCs/>
          <w:sz w:val="24"/>
          <w:szCs w:val="24"/>
          <w:lang w:val="en-GB"/>
        </w:rPr>
        <w:t>JUDGMENT</w:t>
      </w:r>
    </w:p>
    <w:p w14:paraId="56065351" w14:textId="77777777" w:rsidR="00BF2950" w:rsidRDefault="00BF2950" w:rsidP="00BF2950">
      <w:pPr>
        <w:rPr>
          <w:rFonts w:ascii="Arial" w:hAnsi="Arial" w:cs="Arial"/>
          <w:b/>
          <w:bCs/>
          <w:sz w:val="24"/>
          <w:szCs w:val="24"/>
          <w:lang w:val="en-US"/>
        </w:rPr>
      </w:pPr>
    </w:p>
    <w:p w14:paraId="4BB72A09" w14:textId="1E4E9415" w:rsidR="00BF2950" w:rsidRDefault="00BF2950" w:rsidP="00BF2950">
      <w:pPr>
        <w:rPr>
          <w:rFonts w:ascii="Arial" w:hAnsi="Arial" w:cs="Arial"/>
          <w:b/>
          <w:bCs/>
          <w:sz w:val="24"/>
          <w:szCs w:val="24"/>
          <w:lang w:val="en-US"/>
        </w:rPr>
      </w:pPr>
      <w:r>
        <w:rPr>
          <w:rFonts w:ascii="Arial" w:hAnsi="Arial" w:cs="Arial"/>
          <w:b/>
          <w:bCs/>
          <w:sz w:val="24"/>
          <w:szCs w:val="24"/>
          <w:lang w:val="en-US"/>
        </w:rPr>
        <w:t xml:space="preserve">                                                                                        </w:t>
      </w:r>
      <w:r w:rsidR="004E4325">
        <w:rPr>
          <w:rFonts w:ascii="Arial" w:hAnsi="Arial" w:cs="Arial"/>
          <w:b/>
          <w:bCs/>
          <w:sz w:val="24"/>
          <w:szCs w:val="24"/>
          <w:lang w:val="en-US"/>
        </w:rPr>
        <w:tab/>
      </w:r>
      <w:r w:rsidR="004E4325">
        <w:rPr>
          <w:rFonts w:ascii="Arial" w:hAnsi="Arial" w:cs="Arial"/>
          <w:b/>
          <w:bCs/>
          <w:sz w:val="24"/>
          <w:szCs w:val="24"/>
          <w:lang w:val="en-US"/>
        </w:rPr>
        <w:tab/>
      </w:r>
      <w:r w:rsidR="001A48BB">
        <w:rPr>
          <w:rFonts w:ascii="Arial" w:hAnsi="Arial" w:cs="Arial"/>
          <w:b/>
          <w:bCs/>
          <w:sz w:val="24"/>
          <w:szCs w:val="24"/>
          <w:lang w:val="en-US"/>
        </w:rPr>
        <w:t xml:space="preserve">        </w:t>
      </w:r>
      <w:r>
        <w:rPr>
          <w:rFonts w:ascii="Arial" w:hAnsi="Arial" w:cs="Arial"/>
          <w:b/>
          <w:bCs/>
          <w:sz w:val="24"/>
          <w:szCs w:val="24"/>
          <w:lang w:val="en-US"/>
        </w:rPr>
        <w:t xml:space="preserve">Reportable </w:t>
      </w:r>
    </w:p>
    <w:p w14:paraId="4CD46C6B" w14:textId="77777777" w:rsidR="00BF2950" w:rsidRDefault="00BF2950" w:rsidP="00BF2950">
      <w:pPr>
        <w:jc w:val="right"/>
        <w:rPr>
          <w:rFonts w:ascii="Arial" w:hAnsi="Arial" w:cs="Arial"/>
          <w:bCs/>
          <w:sz w:val="24"/>
          <w:szCs w:val="24"/>
          <w:lang w:val="en-US"/>
        </w:rPr>
      </w:pPr>
      <w:r>
        <w:rPr>
          <w:rFonts w:ascii="Arial" w:hAnsi="Arial" w:cs="Arial"/>
          <w:bCs/>
          <w:sz w:val="24"/>
          <w:szCs w:val="24"/>
          <w:lang w:val="en-US"/>
        </w:rPr>
        <w:t>Case no: 483/22</w:t>
      </w:r>
    </w:p>
    <w:p w14:paraId="0C5013D9" w14:textId="77777777" w:rsidR="00BF2950" w:rsidRDefault="00BF2950" w:rsidP="00BF2950">
      <w:pPr>
        <w:rPr>
          <w:rFonts w:ascii="Arial" w:hAnsi="Arial" w:cs="Arial"/>
          <w:bCs/>
          <w:sz w:val="24"/>
          <w:szCs w:val="24"/>
          <w:lang w:val="en-US"/>
        </w:rPr>
      </w:pPr>
    </w:p>
    <w:p w14:paraId="7716308A" w14:textId="77777777" w:rsidR="00BF2950" w:rsidRDefault="00BF2950" w:rsidP="00BF2950">
      <w:pPr>
        <w:rPr>
          <w:rFonts w:ascii="Arial" w:hAnsi="Arial" w:cs="Arial"/>
          <w:bCs/>
          <w:sz w:val="24"/>
          <w:szCs w:val="24"/>
          <w:lang w:val="en-US"/>
        </w:rPr>
      </w:pPr>
      <w:r>
        <w:rPr>
          <w:rFonts w:ascii="Arial" w:hAnsi="Arial" w:cs="Arial"/>
          <w:bCs/>
          <w:sz w:val="24"/>
          <w:szCs w:val="24"/>
          <w:lang w:val="en-US"/>
        </w:rPr>
        <w:t>In the matter between:</w:t>
      </w:r>
    </w:p>
    <w:p w14:paraId="29510DA1" w14:textId="77777777" w:rsidR="00BF2950" w:rsidRDefault="00BF2950" w:rsidP="00BF2950">
      <w:pPr>
        <w:ind w:right="-154"/>
        <w:jc w:val="left"/>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p>
    <w:p w14:paraId="258497C1" w14:textId="5B8F02A3" w:rsidR="00BF2950" w:rsidRDefault="00BF2950" w:rsidP="00367915">
      <w:pPr>
        <w:ind w:right="-46"/>
        <w:jc w:val="left"/>
        <w:rPr>
          <w:rFonts w:ascii="Arial" w:hAnsi="Arial" w:cs="Arial"/>
          <w:sz w:val="24"/>
          <w:szCs w:val="24"/>
          <w:lang w:val="en-US"/>
        </w:rPr>
      </w:pPr>
      <w:r w:rsidRPr="00367915">
        <w:rPr>
          <w:rFonts w:ascii="Arial" w:hAnsi="Arial" w:cs="Arial"/>
          <w:b/>
          <w:sz w:val="24"/>
          <w:szCs w:val="24"/>
          <w:lang w:val="en-US"/>
        </w:rPr>
        <w:t>FIRM-O-SEAL CC</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367915">
        <w:rPr>
          <w:rFonts w:ascii="Arial" w:hAnsi="Arial" w:cs="Arial"/>
          <w:sz w:val="24"/>
          <w:szCs w:val="24"/>
          <w:lang w:val="en-US"/>
        </w:rPr>
        <w:t xml:space="preserve">                </w:t>
      </w:r>
      <w:r w:rsidR="00367915" w:rsidRPr="00367915">
        <w:rPr>
          <w:rFonts w:ascii="Arial" w:hAnsi="Arial" w:cs="Arial"/>
          <w:b/>
          <w:sz w:val="24"/>
          <w:szCs w:val="24"/>
          <w:lang w:val="en-US"/>
        </w:rPr>
        <w:t>APPELLANT</w:t>
      </w:r>
    </w:p>
    <w:p w14:paraId="6ABE9EC7" w14:textId="77777777" w:rsidR="00BF2950" w:rsidRDefault="00BF2950" w:rsidP="00BF2950">
      <w:pPr>
        <w:rPr>
          <w:rFonts w:ascii="Arial" w:hAnsi="Arial" w:cs="Arial"/>
          <w:sz w:val="24"/>
          <w:szCs w:val="24"/>
          <w:lang w:val="en-US"/>
        </w:rPr>
      </w:pPr>
    </w:p>
    <w:p w14:paraId="2DDE2610" w14:textId="77777777" w:rsidR="00BF2950" w:rsidRDefault="00BF2950" w:rsidP="00BF2950">
      <w:pPr>
        <w:rPr>
          <w:rFonts w:ascii="Arial" w:hAnsi="Arial" w:cs="Arial"/>
          <w:sz w:val="24"/>
          <w:szCs w:val="24"/>
          <w:lang w:val="en-US"/>
        </w:rPr>
      </w:pPr>
      <w:r>
        <w:rPr>
          <w:rFonts w:ascii="Arial" w:hAnsi="Arial" w:cs="Arial"/>
          <w:sz w:val="24"/>
          <w:szCs w:val="24"/>
          <w:lang w:val="en-US"/>
        </w:rPr>
        <w:t>and</w:t>
      </w:r>
    </w:p>
    <w:p w14:paraId="3E6711A0" w14:textId="77777777" w:rsidR="00BF2950" w:rsidRDefault="00BF2950" w:rsidP="00BF2950">
      <w:pPr>
        <w:rPr>
          <w:rFonts w:ascii="Arial" w:hAnsi="Arial" w:cs="Arial"/>
          <w:sz w:val="24"/>
          <w:szCs w:val="24"/>
          <w:lang w:val="en-US"/>
        </w:rPr>
      </w:pPr>
    </w:p>
    <w:p w14:paraId="131BEA7D" w14:textId="0543E9D7" w:rsidR="00BF2950" w:rsidRPr="00367915" w:rsidRDefault="00BF2950" w:rsidP="00BF2950">
      <w:pPr>
        <w:rPr>
          <w:rFonts w:ascii="Arial" w:hAnsi="Arial" w:cs="Arial"/>
          <w:b/>
          <w:sz w:val="24"/>
          <w:szCs w:val="24"/>
          <w:lang w:val="en-US"/>
        </w:rPr>
      </w:pPr>
      <w:r w:rsidRPr="00367915">
        <w:rPr>
          <w:rFonts w:ascii="Arial" w:hAnsi="Arial" w:cs="Arial"/>
          <w:b/>
          <w:sz w:val="24"/>
          <w:szCs w:val="24"/>
          <w:lang w:val="en-US"/>
        </w:rPr>
        <w:t>WYNA</w:t>
      </w:r>
      <w:r w:rsidR="00367915">
        <w:rPr>
          <w:rFonts w:ascii="Arial" w:hAnsi="Arial" w:cs="Arial"/>
          <w:b/>
          <w:sz w:val="24"/>
          <w:szCs w:val="24"/>
          <w:lang w:val="en-US"/>
        </w:rPr>
        <w:t xml:space="preserve">ND PRINSLOO &amp; VAN </w:t>
      </w:r>
      <w:r w:rsidR="00367915" w:rsidRPr="00EB595C">
        <w:rPr>
          <w:rFonts w:ascii="Arial" w:hAnsi="Arial" w:cs="Arial"/>
          <w:b/>
          <w:sz w:val="24"/>
          <w:szCs w:val="24"/>
          <w:lang w:val="en-US"/>
        </w:rPr>
        <w:t>EEDEN INC</w:t>
      </w:r>
      <w:r w:rsidR="00EB595C" w:rsidRPr="00EB595C">
        <w:rPr>
          <w:rFonts w:ascii="Arial" w:hAnsi="Arial" w:cs="Arial"/>
          <w:b/>
          <w:sz w:val="24"/>
          <w:szCs w:val="24"/>
          <w:lang w:val="en-US"/>
        </w:rPr>
        <w:t>.</w:t>
      </w:r>
      <w:r w:rsidR="00367915">
        <w:rPr>
          <w:rFonts w:ascii="Arial" w:hAnsi="Arial" w:cs="Arial"/>
          <w:b/>
          <w:sz w:val="24"/>
          <w:szCs w:val="24"/>
          <w:lang w:val="en-US"/>
        </w:rPr>
        <w:tab/>
      </w:r>
      <w:r w:rsidR="00367915">
        <w:rPr>
          <w:rFonts w:ascii="Arial" w:hAnsi="Arial" w:cs="Arial"/>
          <w:b/>
          <w:sz w:val="24"/>
          <w:szCs w:val="24"/>
          <w:lang w:val="en-US"/>
        </w:rPr>
        <w:tab/>
      </w:r>
      <w:r w:rsidR="00367915">
        <w:rPr>
          <w:rFonts w:ascii="Arial" w:hAnsi="Arial" w:cs="Arial"/>
          <w:b/>
          <w:sz w:val="24"/>
          <w:szCs w:val="24"/>
          <w:lang w:val="en-US"/>
        </w:rPr>
        <w:tab/>
        <w:t xml:space="preserve"> FIRST RESPONDENT</w:t>
      </w:r>
    </w:p>
    <w:p w14:paraId="30FF7C34" w14:textId="41614B81" w:rsidR="00BF2950" w:rsidRPr="00367915" w:rsidRDefault="00BF2950" w:rsidP="00BF2950">
      <w:pPr>
        <w:rPr>
          <w:rFonts w:ascii="Arial" w:hAnsi="Arial" w:cs="Arial"/>
          <w:b/>
          <w:sz w:val="24"/>
          <w:szCs w:val="24"/>
          <w:lang w:val="en-US"/>
        </w:rPr>
      </w:pPr>
      <w:r w:rsidRPr="00367915">
        <w:rPr>
          <w:rFonts w:ascii="Arial" w:hAnsi="Arial" w:cs="Arial"/>
          <w:b/>
          <w:sz w:val="24"/>
          <w:szCs w:val="24"/>
          <w:lang w:val="en-US"/>
        </w:rPr>
        <w:t>DERICK VAN WYK</w:t>
      </w:r>
      <w:r w:rsidRPr="00367915">
        <w:rPr>
          <w:rFonts w:ascii="Arial" w:hAnsi="Arial" w:cs="Arial"/>
          <w:b/>
          <w:sz w:val="24"/>
          <w:szCs w:val="24"/>
          <w:lang w:val="en-US"/>
        </w:rPr>
        <w:tab/>
      </w:r>
      <w:r w:rsidRPr="00367915">
        <w:rPr>
          <w:rFonts w:ascii="Arial" w:hAnsi="Arial" w:cs="Arial"/>
          <w:b/>
          <w:sz w:val="24"/>
          <w:szCs w:val="24"/>
          <w:lang w:val="en-US"/>
        </w:rPr>
        <w:tab/>
      </w:r>
      <w:r w:rsidRPr="00367915">
        <w:rPr>
          <w:rFonts w:ascii="Arial" w:hAnsi="Arial" w:cs="Arial"/>
          <w:b/>
          <w:sz w:val="24"/>
          <w:szCs w:val="24"/>
          <w:lang w:val="en-US"/>
        </w:rPr>
        <w:tab/>
      </w:r>
      <w:r w:rsidRPr="00367915">
        <w:rPr>
          <w:rFonts w:ascii="Arial" w:hAnsi="Arial" w:cs="Arial"/>
          <w:b/>
          <w:sz w:val="24"/>
          <w:szCs w:val="24"/>
          <w:lang w:val="en-US"/>
        </w:rPr>
        <w:tab/>
      </w:r>
      <w:r w:rsidRPr="00367915">
        <w:rPr>
          <w:rFonts w:ascii="Arial" w:hAnsi="Arial" w:cs="Arial"/>
          <w:b/>
          <w:sz w:val="24"/>
          <w:szCs w:val="24"/>
          <w:lang w:val="en-US"/>
        </w:rPr>
        <w:tab/>
      </w:r>
      <w:r w:rsidRPr="00367915">
        <w:rPr>
          <w:rFonts w:ascii="Arial" w:hAnsi="Arial" w:cs="Arial"/>
          <w:b/>
          <w:sz w:val="24"/>
          <w:szCs w:val="24"/>
          <w:lang w:val="en-US"/>
        </w:rPr>
        <w:tab/>
      </w:r>
      <w:r w:rsidR="00367915">
        <w:rPr>
          <w:rFonts w:ascii="Arial" w:hAnsi="Arial" w:cs="Arial"/>
          <w:b/>
          <w:sz w:val="24"/>
          <w:szCs w:val="24"/>
          <w:lang w:val="en-US"/>
        </w:rPr>
        <w:t xml:space="preserve">       </w:t>
      </w:r>
      <w:r w:rsidRPr="00367915">
        <w:rPr>
          <w:rFonts w:ascii="Arial" w:hAnsi="Arial" w:cs="Arial"/>
          <w:b/>
          <w:sz w:val="24"/>
          <w:szCs w:val="24"/>
          <w:lang w:val="en-US"/>
        </w:rPr>
        <w:t>S</w:t>
      </w:r>
      <w:r w:rsidR="00367915">
        <w:rPr>
          <w:rFonts w:ascii="Arial" w:hAnsi="Arial" w:cs="Arial"/>
          <w:b/>
          <w:sz w:val="24"/>
          <w:szCs w:val="24"/>
          <w:lang w:val="en-US"/>
        </w:rPr>
        <w:t>ECOND RESPONDENT</w:t>
      </w:r>
    </w:p>
    <w:p w14:paraId="544C929C" w14:textId="77777777" w:rsidR="00BF2950" w:rsidRPr="00367915" w:rsidRDefault="00BF2950" w:rsidP="00BF2950">
      <w:pPr>
        <w:jc w:val="left"/>
        <w:rPr>
          <w:rFonts w:ascii="Arial" w:hAnsi="Arial" w:cs="Arial"/>
          <w:b/>
          <w:sz w:val="24"/>
          <w:szCs w:val="24"/>
          <w:lang w:val="en-US"/>
        </w:rPr>
      </w:pPr>
    </w:p>
    <w:p w14:paraId="7C7816A6" w14:textId="25621210" w:rsidR="00DF33F4" w:rsidRPr="00EB595C" w:rsidRDefault="00BF2950" w:rsidP="007E64D2">
      <w:pPr>
        <w:ind w:left="2160" w:hanging="2160"/>
        <w:rPr>
          <w:rFonts w:ascii="Arial" w:hAnsi="Arial" w:cs="Arial"/>
          <w:sz w:val="24"/>
          <w:szCs w:val="24"/>
          <w:lang w:val="en-US"/>
        </w:rPr>
      </w:pPr>
      <w:r>
        <w:rPr>
          <w:rFonts w:ascii="Arial" w:hAnsi="Arial" w:cs="Arial"/>
          <w:b/>
          <w:bCs/>
          <w:sz w:val="24"/>
          <w:szCs w:val="24"/>
          <w:lang w:val="en-US"/>
        </w:rPr>
        <w:t>Neutral citation:</w:t>
      </w:r>
      <w:r>
        <w:rPr>
          <w:rFonts w:ascii="Arial" w:hAnsi="Arial" w:cs="Arial"/>
          <w:b/>
          <w:bCs/>
          <w:sz w:val="24"/>
          <w:szCs w:val="24"/>
          <w:lang w:val="en-US"/>
        </w:rPr>
        <w:tab/>
      </w:r>
      <w:bookmarkStart w:id="0" w:name="_GoBack"/>
      <w:r w:rsidRPr="00DF33F4">
        <w:rPr>
          <w:rFonts w:ascii="Arial" w:hAnsi="Arial" w:cs="Arial"/>
          <w:i/>
          <w:sz w:val="24"/>
          <w:szCs w:val="24"/>
          <w:lang w:val="en-US"/>
        </w:rPr>
        <w:t>Firm-O-Seal CC v Prinsloo &amp; Van Eeden Inc</w:t>
      </w:r>
      <w:r w:rsidR="00EB595C">
        <w:rPr>
          <w:rFonts w:ascii="Arial" w:hAnsi="Arial" w:cs="Arial"/>
          <w:i/>
          <w:sz w:val="24"/>
          <w:szCs w:val="24"/>
          <w:lang w:val="en-US"/>
        </w:rPr>
        <w:t>.</w:t>
      </w:r>
      <w:r w:rsidRPr="00DF33F4">
        <w:rPr>
          <w:rFonts w:ascii="Arial" w:hAnsi="Arial" w:cs="Arial"/>
          <w:i/>
          <w:sz w:val="24"/>
          <w:szCs w:val="24"/>
          <w:lang w:val="en-US"/>
        </w:rPr>
        <w:t xml:space="preserve"> and Another</w:t>
      </w:r>
      <w:r>
        <w:rPr>
          <w:rFonts w:ascii="Arial" w:hAnsi="Arial" w:cs="Arial"/>
          <w:sz w:val="24"/>
          <w:szCs w:val="24"/>
          <w:lang w:val="en-US"/>
        </w:rPr>
        <w:t xml:space="preserve"> </w:t>
      </w:r>
      <w:bookmarkEnd w:id="0"/>
      <w:r>
        <w:rPr>
          <w:rFonts w:ascii="Arial" w:hAnsi="Arial" w:cs="Arial"/>
          <w:sz w:val="24"/>
          <w:szCs w:val="24"/>
          <w:lang w:val="en-US"/>
        </w:rPr>
        <w:t xml:space="preserve">(483/22) [2023] ZASCA </w:t>
      </w:r>
      <w:r w:rsidR="00EB595C" w:rsidRPr="00EB595C">
        <w:rPr>
          <w:rFonts w:ascii="Arial" w:hAnsi="Arial" w:cs="Arial"/>
          <w:sz w:val="24"/>
          <w:szCs w:val="24"/>
          <w:lang w:val="en-US"/>
        </w:rPr>
        <w:t>107</w:t>
      </w:r>
      <w:r w:rsidRPr="00EB595C">
        <w:rPr>
          <w:rFonts w:ascii="Arial" w:hAnsi="Arial" w:cs="Arial"/>
          <w:sz w:val="24"/>
          <w:szCs w:val="24"/>
          <w:lang w:val="en-US"/>
        </w:rPr>
        <w:t xml:space="preserve"> (</w:t>
      </w:r>
      <w:r w:rsidR="00EB595C" w:rsidRPr="00EB595C">
        <w:rPr>
          <w:rFonts w:ascii="Arial" w:hAnsi="Arial" w:cs="Arial"/>
          <w:sz w:val="24"/>
          <w:szCs w:val="24"/>
          <w:lang w:val="en-US"/>
        </w:rPr>
        <w:t xml:space="preserve">27 </w:t>
      </w:r>
      <w:r w:rsidRPr="00EB595C">
        <w:rPr>
          <w:rFonts w:ascii="Arial" w:hAnsi="Arial" w:cs="Arial"/>
          <w:sz w:val="24"/>
          <w:szCs w:val="24"/>
          <w:lang w:val="en-US"/>
        </w:rPr>
        <w:t>June 2023)</w:t>
      </w:r>
    </w:p>
    <w:p w14:paraId="6259A22D" w14:textId="5B6580A5" w:rsidR="00DF33F4" w:rsidRPr="00EB595C" w:rsidRDefault="00BF2950" w:rsidP="007E64D2">
      <w:pPr>
        <w:ind w:left="1440" w:hanging="1440"/>
        <w:rPr>
          <w:rFonts w:ascii="Arial" w:hAnsi="Arial" w:cs="Arial"/>
          <w:sz w:val="24"/>
          <w:szCs w:val="24"/>
          <w:lang w:val="en-US"/>
        </w:rPr>
      </w:pPr>
      <w:r w:rsidRPr="00EB595C">
        <w:rPr>
          <w:rFonts w:ascii="Arial" w:hAnsi="Arial" w:cs="Arial"/>
          <w:b/>
          <w:bCs/>
          <w:sz w:val="24"/>
          <w:szCs w:val="24"/>
          <w:lang w:val="en-US"/>
        </w:rPr>
        <w:t>Coram:</w:t>
      </w:r>
      <w:r w:rsidRPr="00EB595C">
        <w:rPr>
          <w:rFonts w:ascii="Arial" w:hAnsi="Arial" w:cs="Arial"/>
          <w:sz w:val="24"/>
          <w:szCs w:val="24"/>
          <w:lang w:val="en-US"/>
        </w:rPr>
        <w:tab/>
        <w:t>PONNAN and MEYER JJA and KATHREE-SETILOANE AJA</w:t>
      </w:r>
    </w:p>
    <w:p w14:paraId="23AF957B" w14:textId="77777777" w:rsidR="00BF2950" w:rsidRPr="00EB595C" w:rsidRDefault="00BF2950" w:rsidP="00BF2950">
      <w:pPr>
        <w:rPr>
          <w:rFonts w:ascii="Arial" w:hAnsi="Arial" w:cs="Arial"/>
          <w:sz w:val="24"/>
          <w:szCs w:val="24"/>
          <w:lang w:val="en-US"/>
        </w:rPr>
      </w:pPr>
      <w:r w:rsidRPr="00EB595C">
        <w:rPr>
          <w:rFonts w:ascii="Arial" w:hAnsi="Arial" w:cs="Arial"/>
          <w:b/>
          <w:bCs/>
          <w:sz w:val="24"/>
          <w:szCs w:val="24"/>
          <w:lang w:val="en-US"/>
        </w:rPr>
        <w:t>Heard:</w:t>
      </w:r>
      <w:r w:rsidRPr="00EB595C">
        <w:rPr>
          <w:rFonts w:ascii="Arial" w:hAnsi="Arial" w:cs="Arial"/>
          <w:b/>
          <w:bCs/>
          <w:sz w:val="24"/>
          <w:szCs w:val="24"/>
          <w:lang w:val="en-US"/>
        </w:rPr>
        <w:tab/>
      </w:r>
      <w:r w:rsidRPr="00EB595C">
        <w:rPr>
          <w:rFonts w:ascii="Arial" w:hAnsi="Arial" w:cs="Arial"/>
          <w:sz w:val="24"/>
          <w:szCs w:val="24"/>
          <w:lang w:val="en-US"/>
        </w:rPr>
        <w:t>19 May 2023</w:t>
      </w:r>
    </w:p>
    <w:p w14:paraId="673F7710" w14:textId="12F924C5" w:rsidR="00DF33F4" w:rsidRPr="00EB595C" w:rsidRDefault="00BF2950" w:rsidP="00BF2950">
      <w:pPr>
        <w:rPr>
          <w:rFonts w:ascii="Arial" w:hAnsi="Arial" w:cs="Arial"/>
          <w:b/>
          <w:bCs/>
          <w:sz w:val="24"/>
          <w:szCs w:val="24"/>
          <w:lang w:val="en-US"/>
        </w:rPr>
      </w:pPr>
      <w:r w:rsidRPr="00EB595C">
        <w:rPr>
          <w:rFonts w:ascii="Arial" w:hAnsi="Arial" w:cs="Arial"/>
          <w:b/>
          <w:bCs/>
          <w:sz w:val="24"/>
          <w:szCs w:val="24"/>
          <w:lang w:val="en-US"/>
        </w:rPr>
        <w:t>Delivered:</w:t>
      </w:r>
      <w:r w:rsidRPr="00EB595C">
        <w:rPr>
          <w:rFonts w:ascii="Arial" w:hAnsi="Arial" w:cs="Arial"/>
          <w:b/>
          <w:bCs/>
          <w:sz w:val="24"/>
          <w:szCs w:val="24"/>
          <w:lang w:val="en-US"/>
        </w:rPr>
        <w:tab/>
      </w:r>
      <w:r w:rsidR="00EB595C" w:rsidRPr="00EB595C">
        <w:rPr>
          <w:rFonts w:ascii="Arial" w:hAnsi="Arial" w:cs="Arial"/>
          <w:bCs/>
          <w:sz w:val="24"/>
          <w:szCs w:val="24"/>
          <w:lang w:val="en-US"/>
        </w:rPr>
        <w:t>27</w:t>
      </w:r>
      <w:r w:rsidRPr="00EB595C">
        <w:rPr>
          <w:rFonts w:ascii="Arial" w:hAnsi="Arial" w:cs="Arial"/>
          <w:sz w:val="24"/>
          <w:szCs w:val="24"/>
          <w:lang w:val="en-US"/>
        </w:rPr>
        <w:t xml:space="preserve"> June </w:t>
      </w:r>
      <w:r w:rsidRPr="00EB595C">
        <w:rPr>
          <w:rFonts w:ascii="Arial" w:hAnsi="Arial" w:cs="Arial"/>
          <w:bCs/>
          <w:sz w:val="24"/>
          <w:szCs w:val="24"/>
          <w:lang w:val="en-US"/>
        </w:rPr>
        <w:t>2023</w:t>
      </w:r>
    </w:p>
    <w:p w14:paraId="4A73FFD7" w14:textId="692A40C3" w:rsidR="0089723E" w:rsidRDefault="00BF2950" w:rsidP="008B5C55">
      <w:pPr>
        <w:rPr>
          <w:rFonts w:ascii="Arial" w:hAnsi="Arial" w:cs="Arial"/>
          <w:sz w:val="24"/>
          <w:szCs w:val="24"/>
          <w:lang w:val="en-US"/>
        </w:rPr>
      </w:pPr>
      <w:r w:rsidRPr="00EB595C">
        <w:rPr>
          <w:rFonts w:ascii="Arial" w:hAnsi="Arial" w:cs="Arial"/>
          <w:b/>
          <w:bCs/>
          <w:sz w:val="24"/>
          <w:szCs w:val="24"/>
          <w:lang w:val="en-US"/>
        </w:rPr>
        <w:t>Summary:</w:t>
      </w:r>
      <w:r w:rsidRPr="00EB595C">
        <w:rPr>
          <w:rFonts w:ascii="Arial" w:hAnsi="Arial" w:cs="Arial"/>
          <w:sz w:val="24"/>
          <w:szCs w:val="24"/>
          <w:lang w:val="en-US"/>
        </w:rPr>
        <w:tab/>
      </w:r>
      <w:r w:rsidR="008B5C55" w:rsidRPr="00EB595C">
        <w:rPr>
          <w:rFonts w:ascii="Arial" w:hAnsi="Arial" w:cs="Arial"/>
          <w:sz w:val="24"/>
          <w:szCs w:val="24"/>
          <w:lang w:val="en-US"/>
        </w:rPr>
        <w:t>Locus standi - section</w:t>
      </w:r>
      <w:r w:rsidRPr="00EB595C">
        <w:rPr>
          <w:rFonts w:ascii="Arial" w:hAnsi="Arial" w:cs="Arial"/>
          <w:sz w:val="24"/>
          <w:szCs w:val="24"/>
          <w:lang w:val="en-US"/>
        </w:rPr>
        <w:t xml:space="preserve"> 137(4) of </w:t>
      </w:r>
      <w:r w:rsidR="007E64D2" w:rsidRPr="00EB595C">
        <w:rPr>
          <w:rFonts w:ascii="Arial" w:hAnsi="Arial" w:cs="Arial"/>
          <w:sz w:val="24"/>
          <w:szCs w:val="24"/>
          <w:lang w:val="en-US"/>
        </w:rPr>
        <w:t xml:space="preserve">the </w:t>
      </w:r>
      <w:r w:rsidRPr="00EB595C">
        <w:rPr>
          <w:rFonts w:ascii="Arial" w:hAnsi="Arial" w:cs="Arial"/>
          <w:sz w:val="24"/>
          <w:szCs w:val="24"/>
          <w:lang w:val="en-US"/>
        </w:rPr>
        <w:t>Companies Act 71 of</w:t>
      </w:r>
      <w:r>
        <w:rPr>
          <w:rFonts w:ascii="Arial" w:hAnsi="Arial" w:cs="Arial"/>
          <w:sz w:val="24"/>
          <w:szCs w:val="24"/>
          <w:lang w:val="en-US"/>
        </w:rPr>
        <w:t xml:space="preserve"> 2008</w:t>
      </w:r>
      <w:r w:rsidR="00D233FD">
        <w:rPr>
          <w:rFonts w:ascii="Arial" w:hAnsi="Arial" w:cs="Arial"/>
          <w:sz w:val="24"/>
          <w:szCs w:val="24"/>
          <w:lang w:val="en-US"/>
        </w:rPr>
        <w:t xml:space="preserve"> - </w:t>
      </w:r>
      <w:r>
        <w:rPr>
          <w:rFonts w:ascii="Arial" w:hAnsi="Arial" w:cs="Arial"/>
          <w:sz w:val="24"/>
          <w:szCs w:val="24"/>
          <w:lang w:val="en-US"/>
        </w:rPr>
        <w:t xml:space="preserve">special plea of lack of </w:t>
      </w:r>
      <w:r w:rsidRPr="00D233FD">
        <w:rPr>
          <w:rFonts w:ascii="Arial" w:hAnsi="Arial" w:cs="Arial"/>
          <w:sz w:val="24"/>
          <w:szCs w:val="24"/>
          <w:lang w:val="en-US"/>
        </w:rPr>
        <w:t>locus standi</w:t>
      </w:r>
      <w:r>
        <w:rPr>
          <w:rFonts w:ascii="Arial" w:hAnsi="Arial" w:cs="Arial"/>
          <w:sz w:val="24"/>
          <w:szCs w:val="24"/>
          <w:lang w:val="en-US"/>
        </w:rPr>
        <w:t xml:space="preserve"> to institute legal proceedings</w:t>
      </w:r>
      <w:r w:rsidR="008B5C55">
        <w:rPr>
          <w:rFonts w:ascii="Arial" w:hAnsi="Arial" w:cs="Arial"/>
          <w:sz w:val="24"/>
          <w:szCs w:val="24"/>
          <w:lang w:val="en-US"/>
        </w:rPr>
        <w:t>.</w:t>
      </w:r>
      <w:r w:rsidR="00DF33F4">
        <w:rPr>
          <w:rFonts w:ascii="Arial" w:hAnsi="Arial" w:cs="Arial"/>
          <w:sz w:val="24"/>
          <w:szCs w:val="24"/>
          <w:lang w:val="en-US"/>
        </w:rPr>
        <w:t xml:space="preserve"> </w:t>
      </w:r>
    </w:p>
    <w:p w14:paraId="75E81242" w14:textId="6B4C6E69" w:rsidR="00BF2950" w:rsidRDefault="007E64D2" w:rsidP="007E64D2">
      <w:pPr>
        <w:spacing w:after="160" w:line="259" w:lineRule="auto"/>
        <w:jc w:val="left"/>
        <w:rPr>
          <w:rFonts w:ascii="Arial" w:hAnsi="Arial" w:cs="Arial"/>
          <w:b/>
          <w:bCs/>
          <w:sz w:val="24"/>
          <w:szCs w:val="24"/>
          <w:lang w:val="en-US"/>
        </w:rPr>
      </w:pPr>
      <w:r>
        <w:rPr>
          <w:rFonts w:ascii="Arial" w:hAnsi="Arial" w:cs="Arial"/>
          <w:sz w:val="24"/>
          <w:szCs w:val="24"/>
          <w:lang w:val="en-US"/>
        </w:rPr>
        <w:br w:type="page"/>
      </w:r>
    </w:p>
    <w:p w14:paraId="3F690460" w14:textId="77777777" w:rsidR="00E71950" w:rsidRPr="00E71950" w:rsidRDefault="00E71950" w:rsidP="00077550">
      <w:pPr>
        <w:spacing w:line="240" w:lineRule="auto"/>
        <w:rPr>
          <w:rFonts w:ascii="Arial" w:hAnsi="Arial" w:cs="Arial"/>
          <w:bCs/>
          <w:sz w:val="24"/>
          <w:szCs w:val="24"/>
          <w:lang w:val="en-US"/>
        </w:rPr>
      </w:pPr>
      <w:r w:rsidRPr="00E71950">
        <w:rPr>
          <w:rFonts w:ascii="Arial" w:hAnsi="Arial" w:cs="Arial"/>
          <w:bCs/>
          <w:sz w:val="24"/>
          <w:szCs w:val="24"/>
          <w:lang w:val="en-US"/>
        </w:rPr>
        <w:lastRenderedPageBreak/>
        <w:t>___________________________________________________________________</w:t>
      </w:r>
    </w:p>
    <w:p w14:paraId="3AD9B7AF" w14:textId="77777777" w:rsidR="00077550" w:rsidRDefault="00077550" w:rsidP="00077550">
      <w:pPr>
        <w:spacing w:line="240" w:lineRule="auto"/>
        <w:jc w:val="center"/>
        <w:rPr>
          <w:rFonts w:ascii="Arial" w:hAnsi="Arial" w:cs="Arial"/>
          <w:b/>
          <w:bCs/>
          <w:sz w:val="24"/>
          <w:szCs w:val="24"/>
          <w:lang w:val="en-US"/>
        </w:rPr>
      </w:pPr>
    </w:p>
    <w:p w14:paraId="4D688220" w14:textId="77777777" w:rsidR="00077550" w:rsidRDefault="00077550" w:rsidP="00077550">
      <w:pPr>
        <w:spacing w:line="240" w:lineRule="auto"/>
        <w:jc w:val="center"/>
        <w:rPr>
          <w:rFonts w:ascii="Arial" w:hAnsi="Arial" w:cs="Arial"/>
          <w:b/>
          <w:bCs/>
          <w:sz w:val="24"/>
          <w:szCs w:val="24"/>
          <w:lang w:val="en-US"/>
        </w:rPr>
      </w:pPr>
      <w:r>
        <w:rPr>
          <w:rFonts w:ascii="Arial" w:hAnsi="Arial" w:cs="Arial"/>
          <w:b/>
          <w:bCs/>
          <w:sz w:val="24"/>
          <w:szCs w:val="24"/>
          <w:lang w:val="en-US"/>
        </w:rPr>
        <w:t>ORDER</w:t>
      </w:r>
    </w:p>
    <w:p w14:paraId="3D54DF64" w14:textId="77777777" w:rsidR="00E71950" w:rsidRPr="00E71950" w:rsidRDefault="00E71950" w:rsidP="00077550">
      <w:pPr>
        <w:spacing w:line="240" w:lineRule="auto"/>
        <w:rPr>
          <w:rFonts w:ascii="Arial" w:hAnsi="Arial" w:cs="Arial"/>
          <w:bCs/>
          <w:sz w:val="24"/>
          <w:szCs w:val="24"/>
          <w:lang w:val="en-US"/>
        </w:rPr>
      </w:pPr>
      <w:r w:rsidRPr="00E71950">
        <w:rPr>
          <w:rFonts w:ascii="Arial" w:hAnsi="Arial" w:cs="Arial"/>
          <w:bCs/>
          <w:sz w:val="24"/>
          <w:szCs w:val="24"/>
          <w:lang w:val="en-US"/>
        </w:rPr>
        <w:t>___________________________________________________________________</w:t>
      </w:r>
    </w:p>
    <w:p w14:paraId="7C0ACA07" w14:textId="77777777" w:rsidR="00077550" w:rsidRDefault="00077550" w:rsidP="00077550">
      <w:pPr>
        <w:spacing w:line="240" w:lineRule="auto"/>
        <w:rPr>
          <w:rFonts w:ascii="Arial" w:hAnsi="Arial" w:cs="Arial"/>
          <w:b/>
          <w:bCs/>
          <w:sz w:val="24"/>
          <w:szCs w:val="24"/>
          <w:lang w:val="en-US"/>
        </w:rPr>
      </w:pPr>
    </w:p>
    <w:p w14:paraId="44F5726B" w14:textId="77777777" w:rsidR="00BF2950" w:rsidRDefault="00BF2950" w:rsidP="00627649">
      <w:pPr>
        <w:rPr>
          <w:rFonts w:ascii="Arial" w:hAnsi="Arial" w:cs="Arial"/>
          <w:sz w:val="24"/>
          <w:szCs w:val="24"/>
          <w:lang w:val="en-US"/>
        </w:rPr>
      </w:pPr>
      <w:r>
        <w:rPr>
          <w:rFonts w:ascii="Arial" w:hAnsi="Arial" w:cs="Arial"/>
          <w:b/>
          <w:bCs/>
          <w:sz w:val="24"/>
          <w:szCs w:val="24"/>
          <w:lang w:val="en-US"/>
        </w:rPr>
        <w:t>On appeal from:</w:t>
      </w:r>
      <w:r>
        <w:rPr>
          <w:rFonts w:ascii="Arial" w:hAnsi="Arial" w:cs="Arial"/>
          <w:sz w:val="24"/>
          <w:szCs w:val="24"/>
          <w:lang w:val="en-US"/>
        </w:rPr>
        <w:t xml:space="preserve"> Mpumalanga Division of the High Court, Middelburg (Ratshibvumo J, sitting as court of first instance):</w:t>
      </w:r>
    </w:p>
    <w:p w14:paraId="173340B9" w14:textId="77777777" w:rsidR="00C53293" w:rsidRDefault="00C53293" w:rsidP="00627649">
      <w:pPr>
        <w:spacing w:line="240" w:lineRule="auto"/>
        <w:rPr>
          <w:rFonts w:ascii="Arial" w:hAnsi="Arial" w:cs="Arial"/>
          <w:sz w:val="24"/>
          <w:szCs w:val="24"/>
          <w:lang w:val="en-US"/>
        </w:rPr>
      </w:pPr>
    </w:p>
    <w:p w14:paraId="2446C87C" w14:textId="77777777" w:rsidR="00BF2950" w:rsidRPr="00C53293" w:rsidRDefault="00C53293" w:rsidP="00627649">
      <w:pPr>
        <w:rPr>
          <w:rFonts w:ascii="Arial" w:hAnsi="Arial" w:cs="Arial"/>
          <w:sz w:val="24"/>
          <w:szCs w:val="24"/>
          <w:lang w:val="en-US"/>
        </w:rPr>
      </w:pPr>
      <w:r>
        <w:rPr>
          <w:rFonts w:ascii="Arial" w:hAnsi="Arial" w:cs="Arial"/>
          <w:sz w:val="24"/>
          <w:szCs w:val="24"/>
          <w:lang w:val="en-US"/>
        </w:rPr>
        <w:t>1</w:t>
      </w:r>
      <w:r w:rsidR="00012D97">
        <w:rPr>
          <w:rFonts w:ascii="Arial" w:hAnsi="Arial" w:cs="Arial"/>
          <w:sz w:val="24"/>
          <w:szCs w:val="24"/>
          <w:lang w:val="en-US"/>
        </w:rPr>
        <w:tab/>
      </w:r>
      <w:r w:rsidR="00BF2950" w:rsidRPr="00C53293">
        <w:rPr>
          <w:rFonts w:ascii="Arial" w:hAnsi="Arial" w:cs="Arial"/>
          <w:sz w:val="24"/>
          <w:szCs w:val="24"/>
          <w:lang w:val="en-US"/>
        </w:rPr>
        <w:t>The appeal is upheld with costs.</w:t>
      </w:r>
    </w:p>
    <w:p w14:paraId="4A85F744" w14:textId="70F73D78" w:rsidR="00BF2950" w:rsidRPr="00C53293" w:rsidRDefault="00C53293" w:rsidP="00627649">
      <w:pPr>
        <w:rPr>
          <w:rFonts w:ascii="Arial" w:hAnsi="Arial" w:cs="Arial"/>
          <w:sz w:val="24"/>
          <w:szCs w:val="24"/>
          <w:lang w:val="en-US"/>
        </w:rPr>
      </w:pPr>
      <w:r>
        <w:rPr>
          <w:rFonts w:ascii="Arial" w:hAnsi="Arial" w:cs="Arial"/>
          <w:sz w:val="24"/>
          <w:szCs w:val="24"/>
          <w:lang w:val="en-US"/>
        </w:rPr>
        <w:t>2</w:t>
      </w:r>
      <w:r w:rsidR="00012D97">
        <w:rPr>
          <w:rFonts w:ascii="Arial" w:hAnsi="Arial" w:cs="Arial"/>
          <w:sz w:val="24"/>
          <w:szCs w:val="24"/>
          <w:lang w:val="en-US"/>
        </w:rPr>
        <w:tab/>
      </w:r>
      <w:r w:rsidR="00BF2950" w:rsidRPr="00C53293">
        <w:rPr>
          <w:rFonts w:ascii="Arial" w:hAnsi="Arial" w:cs="Arial"/>
          <w:sz w:val="24"/>
          <w:szCs w:val="24"/>
          <w:lang w:val="en-US"/>
        </w:rPr>
        <w:t>The order of the high court is set aside and r</w:t>
      </w:r>
      <w:r w:rsidR="00391267">
        <w:rPr>
          <w:rFonts w:ascii="Arial" w:hAnsi="Arial" w:cs="Arial"/>
          <w:sz w:val="24"/>
          <w:szCs w:val="24"/>
          <w:lang w:val="en-US"/>
        </w:rPr>
        <w:t>eplaced with the following</w:t>
      </w:r>
      <w:r w:rsidR="00BF2950" w:rsidRPr="00C53293">
        <w:rPr>
          <w:rFonts w:ascii="Arial" w:hAnsi="Arial" w:cs="Arial"/>
          <w:sz w:val="24"/>
          <w:szCs w:val="24"/>
          <w:lang w:val="en-US"/>
        </w:rPr>
        <w:t>:</w:t>
      </w:r>
    </w:p>
    <w:p w14:paraId="106BCAB7" w14:textId="2A59B229" w:rsidR="00BF2950" w:rsidRDefault="00BF2950" w:rsidP="00012D97">
      <w:pPr>
        <w:ind w:left="720"/>
        <w:rPr>
          <w:rFonts w:ascii="Arial" w:hAnsi="Arial" w:cs="Arial"/>
          <w:sz w:val="24"/>
          <w:szCs w:val="24"/>
          <w:lang w:val="en-US"/>
        </w:rPr>
      </w:pPr>
      <w:r w:rsidRPr="00627649">
        <w:rPr>
          <w:rFonts w:ascii="Arial" w:hAnsi="Arial" w:cs="Arial"/>
          <w:sz w:val="24"/>
          <w:szCs w:val="24"/>
          <w:lang w:val="en-US"/>
        </w:rPr>
        <w:t xml:space="preserve">‘The special plea </w:t>
      </w:r>
      <w:r w:rsidR="000A14B9">
        <w:rPr>
          <w:rFonts w:ascii="Arial" w:hAnsi="Arial" w:cs="Arial"/>
          <w:sz w:val="24"/>
          <w:szCs w:val="24"/>
          <w:lang w:val="en-US"/>
        </w:rPr>
        <w:t>of</w:t>
      </w:r>
      <w:r w:rsidR="009543D4">
        <w:rPr>
          <w:rFonts w:ascii="Arial" w:hAnsi="Arial" w:cs="Arial"/>
          <w:sz w:val="24"/>
          <w:szCs w:val="24"/>
          <w:lang w:val="en-US"/>
        </w:rPr>
        <w:t xml:space="preserve"> </w:t>
      </w:r>
      <w:r w:rsidRPr="00627649">
        <w:rPr>
          <w:rFonts w:ascii="Arial" w:hAnsi="Arial" w:cs="Arial"/>
          <w:sz w:val="24"/>
          <w:szCs w:val="24"/>
          <w:lang w:val="en-US"/>
        </w:rPr>
        <w:t xml:space="preserve">lack of </w:t>
      </w:r>
      <w:r w:rsidRPr="00627649">
        <w:rPr>
          <w:rFonts w:ascii="Arial" w:hAnsi="Arial" w:cs="Arial"/>
          <w:i/>
          <w:iCs/>
          <w:sz w:val="24"/>
          <w:szCs w:val="24"/>
          <w:lang w:val="en-US"/>
        </w:rPr>
        <w:t>locus standi</w:t>
      </w:r>
      <w:r w:rsidR="00627649">
        <w:rPr>
          <w:rFonts w:ascii="Arial" w:hAnsi="Arial" w:cs="Arial"/>
          <w:sz w:val="24"/>
          <w:szCs w:val="24"/>
          <w:lang w:val="en-US"/>
        </w:rPr>
        <w:t xml:space="preserve"> is dismissed with costs.’</w:t>
      </w:r>
    </w:p>
    <w:p w14:paraId="124C8E3F" w14:textId="77777777" w:rsidR="00623161" w:rsidRPr="00E71950" w:rsidRDefault="00623161" w:rsidP="00623161">
      <w:pPr>
        <w:spacing w:line="240" w:lineRule="auto"/>
        <w:rPr>
          <w:rFonts w:ascii="Arial" w:hAnsi="Arial" w:cs="Arial"/>
          <w:bCs/>
          <w:sz w:val="24"/>
          <w:szCs w:val="24"/>
          <w:lang w:val="en-US"/>
        </w:rPr>
      </w:pPr>
      <w:r w:rsidRPr="00E71950">
        <w:rPr>
          <w:rFonts w:ascii="Arial" w:hAnsi="Arial" w:cs="Arial"/>
          <w:bCs/>
          <w:sz w:val="24"/>
          <w:szCs w:val="24"/>
          <w:lang w:val="en-US"/>
        </w:rPr>
        <w:t>___________________________________________________________________</w:t>
      </w:r>
    </w:p>
    <w:p w14:paraId="1DF9D078" w14:textId="77777777" w:rsidR="002D4249" w:rsidRDefault="002D4249" w:rsidP="002D4249">
      <w:pPr>
        <w:spacing w:line="240" w:lineRule="auto"/>
        <w:jc w:val="center"/>
        <w:rPr>
          <w:rFonts w:ascii="Arial" w:hAnsi="Arial" w:cs="Arial"/>
          <w:b/>
          <w:bCs/>
          <w:sz w:val="24"/>
          <w:szCs w:val="24"/>
          <w:lang w:val="en-US"/>
        </w:rPr>
      </w:pPr>
    </w:p>
    <w:p w14:paraId="13BF4D4F" w14:textId="77777777" w:rsidR="00BF2950" w:rsidRDefault="00BF2950" w:rsidP="002D4249">
      <w:pPr>
        <w:spacing w:line="240" w:lineRule="auto"/>
        <w:jc w:val="center"/>
        <w:rPr>
          <w:rFonts w:ascii="Arial" w:hAnsi="Arial" w:cs="Arial"/>
          <w:b/>
          <w:bCs/>
          <w:sz w:val="24"/>
          <w:szCs w:val="24"/>
          <w:lang w:val="en-US"/>
        </w:rPr>
      </w:pPr>
      <w:r>
        <w:rPr>
          <w:rFonts w:ascii="Arial" w:hAnsi="Arial" w:cs="Arial"/>
          <w:b/>
          <w:bCs/>
          <w:sz w:val="24"/>
          <w:szCs w:val="24"/>
          <w:lang w:val="en-US"/>
        </w:rPr>
        <w:t>JUDGMENT</w:t>
      </w:r>
    </w:p>
    <w:p w14:paraId="2D058EA4" w14:textId="77777777" w:rsidR="002D4249" w:rsidRPr="002D4249" w:rsidRDefault="002D4249" w:rsidP="002D4249">
      <w:pPr>
        <w:spacing w:line="240" w:lineRule="auto"/>
        <w:rPr>
          <w:rFonts w:ascii="Arial" w:hAnsi="Arial" w:cs="Arial"/>
          <w:bCs/>
          <w:sz w:val="24"/>
          <w:szCs w:val="24"/>
          <w:lang w:val="en-US"/>
        </w:rPr>
      </w:pPr>
      <w:r w:rsidRPr="002D4249">
        <w:rPr>
          <w:rFonts w:ascii="Arial" w:hAnsi="Arial" w:cs="Arial"/>
          <w:bCs/>
          <w:sz w:val="24"/>
          <w:szCs w:val="24"/>
          <w:lang w:val="en-US"/>
        </w:rPr>
        <w:t>___________________________________________________________________</w:t>
      </w:r>
    </w:p>
    <w:p w14:paraId="493DF33B" w14:textId="0CE5A662" w:rsidR="00BF2950" w:rsidRDefault="007E64D2" w:rsidP="00BF2950">
      <w:pPr>
        <w:spacing w:before="240"/>
        <w:rPr>
          <w:rFonts w:ascii="Arial" w:hAnsi="Arial" w:cs="Arial"/>
          <w:sz w:val="24"/>
          <w:szCs w:val="24"/>
          <w:lang w:val="en-US"/>
        </w:rPr>
      </w:pPr>
      <w:r>
        <w:rPr>
          <w:rFonts w:ascii="Arial" w:hAnsi="Arial" w:cs="Arial"/>
          <w:b/>
          <w:bCs/>
          <w:sz w:val="24"/>
          <w:szCs w:val="24"/>
          <w:lang w:val="en-US"/>
        </w:rPr>
        <w:t xml:space="preserve">Ponnan JA and </w:t>
      </w:r>
      <w:r w:rsidR="00BF2950">
        <w:rPr>
          <w:rFonts w:ascii="Arial" w:hAnsi="Arial" w:cs="Arial"/>
          <w:b/>
          <w:bCs/>
          <w:sz w:val="24"/>
          <w:szCs w:val="24"/>
          <w:lang w:val="en-US"/>
        </w:rPr>
        <w:t>Kathree-Setiloane AJA (</w:t>
      </w:r>
      <w:r w:rsidR="003F55A0">
        <w:rPr>
          <w:rFonts w:ascii="Arial" w:hAnsi="Arial" w:cs="Arial"/>
          <w:b/>
          <w:bCs/>
          <w:sz w:val="24"/>
          <w:szCs w:val="24"/>
          <w:lang w:val="en-US"/>
        </w:rPr>
        <w:t>Meyer JA</w:t>
      </w:r>
      <w:r w:rsidR="001A48BB">
        <w:rPr>
          <w:rFonts w:ascii="Arial" w:hAnsi="Arial" w:cs="Arial"/>
          <w:b/>
          <w:bCs/>
          <w:sz w:val="24"/>
          <w:szCs w:val="24"/>
          <w:lang w:val="en-US"/>
        </w:rPr>
        <w:t xml:space="preserve"> </w:t>
      </w:r>
      <w:r w:rsidR="00BF2950">
        <w:rPr>
          <w:rFonts w:ascii="Arial" w:hAnsi="Arial" w:cs="Arial"/>
          <w:b/>
          <w:bCs/>
          <w:sz w:val="24"/>
          <w:szCs w:val="24"/>
          <w:lang w:val="en-US"/>
        </w:rPr>
        <w:t>concurring):</w:t>
      </w:r>
    </w:p>
    <w:p w14:paraId="3876E281" w14:textId="77777777" w:rsidR="002A6052" w:rsidRDefault="002A6052" w:rsidP="002A6052">
      <w:pPr>
        <w:spacing w:line="240" w:lineRule="auto"/>
        <w:rPr>
          <w:rFonts w:ascii="Arial" w:hAnsi="Arial" w:cs="Arial"/>
          <w:sz w:val="24"/>
          <w:szCs w:val="24"/>
          <w:lang w:val="en-US"/>
        </w:rPr>
      </w:pPr>
    </w:p>
    <w:p w14:paraId="43DC38E4" w14:textId="45C19936" w:rsidR="00BF2950" w:rsidRPr="00EB595C" w:rsidRDefault="00BF2950" w:rsidP="00BF2950">
      <w:pPr>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8B5C55">
        <w:rPr>
          <w:rFonts w:ascii="Arial" w:hAnsi="Arial" w:cs="Arial"/>
          <w:sz w:val="24"/>
          <w:szCs w:val="24"/>
          <w:lang w:val="en-US"/>
        </w:rPr>
        <w:t xml:space="preserve">The appellant, </w:t>
      </w:r>
      <w:r>
        <w:rPr>
          <w:rFonts w:ascii="Arial" w:hAnsi="Arial" w:cs="Arial"/>
          <w:sz w:val="24"/>
          <w:szCs w:val="24"/>
          <w:lang w:val="en-US"/>
        </w:rPr>
        <w:t>Firm-</w:t>
      </w:r>
      <w:r w:rsidR="0051365A">
        <w:rPr>
          <w:rFonts w:ascii="Arial" w:hAnsi="Arial" w:cs="Arial"/>
          <w:sz w:val="24"/>
          <w:szCs w:val="24"/>
          <w:lang w:val="en-US"/>
        </w:rPr>
        <w:t>O</w:t>
      </w:r>
      <w:r>
        <w:rPr>
          <w:rFonts w:ascii="Arial" w:hAnsi="Arial" w:cs="Arial"/>
          <w:sz w:val="24"/>
          <w:szCs w:val="24"/>
          <w:lang w:val="en-US"/>
        </w:rPr>
        <w:t xml:space="preserve">-Seal </w:t>
      </w:r>
      <w:r w:rsidR="008B5C55">
        <w:rPr>
          <w:rFonts w:ascii="Arial" w:hAnsi="Arial" w:cs="Arial"/>
          <w:sz w:val="24"/>
          <w:szCs w:val="24"/>
          <w:lang w:val="en-US"/>
        </w:rPr>
        <w:t>CC</w:t>
      </w:r>
      <w:r w:rsidR="00AA0E72">
        <w:rPr>
          <w:rFonts w:ascii="Arial" w:hAnsi="Arial" w:cs="Arial"/>
          <w:sz w:val="24"/>
          <w:szCs w:val="24"/>
          <w:lang w:val="en-US"/>
        </w:rPr>
        <w:t>,</w:t>
      </w:r>
      <w:r w:rsidR="008B5C55">
        <w:rPr>
          <w:rFonts w:ascii="Arial" w:hAnsi="Arial" w:cs="Arial"/>
          <w:sz w:val="24"/>
          <w:szCs w:val="24"/>
          <w:lang w:val="en-US"/>
        </w:rPr>
        <w:t xml:space="preserve"> </w:t>
      </w:r>
      <w:r>
        <w:rPr>
          <w:rFonts w:ascii="Arial" w:hAnsi="Arial" w:cs="Arial"/>
          <w:sz w:val="24"/>
          <w:szCs w:val="24"/>
          <w:lang w:val="en-US"/>
        </w:rPr>
        <w:t>instituted action in the Mpumalanga Division of the High Court, Middelburg (</w:t>
      </w:r>
      <w:r w:rsidR="008B5C55">
        <w:rPr>
          <w:rFonts w:ascii="Arial" w:hAnsi="Arial" w:cs="Arial"/>
          <w:sz w:val="24"/>
          <w:szCs w:val="24"/>
          <w:lang w:val="en-US"/>
        </w:rPr>
        <w:t xml:space="preserve">the </w:t>
      </w:r>
      <w:r>
        <w:rPr>
          <w:rFonts w:ascii="Arial" w:hAnsi="Arial" w:cs="Arial"/>
          <w:sz w:val="24"/>
          <w:szCs w:val="24"/>
          <w:lang w:val="en-US"/>
        </w:rPr>
        <w:t xml:space="preserve">high court) against </w:t>
      </w:r>
      <w:r w:rsidR="00AA0E72">
        <w:rPr>
          <w:rFonts w:ascii="Arial" w:hAnsi="Arial" w:cs="Arial"/>
          <w:sz w:val="24"/>
          <w:szCs w:val="24"/>
          <w:lang w:val="en-US"/>
        </w:rPr>
        <w:t xml:space="preserve">the first respondent, </w:t>
      </w:r>
      <w:r>
        <w:rPr>
          <w:rFonts w:ascii="Arial" w:hAnsi="Arial" w:cs="Arial"/>
          <w:sz w:val="24"/>
          <w:szCs w:val="24"/>
          <w:lang w:val="en-US"/>
        </w:rPr>
        <w:t xml:space="preserve">Wynand Prinsloo &amp; Van Eeden </w:t>
      </w:r>
      <w:r w:rsidRPr="00EB595C">
        <w:rPr>
          <w:rFonts w:ascii="Arial" w:hAnsi="Arial" w:cs="Arial"/>
          <w:sz w:val="24"/>
          <w:szCs w:val="24"/>
          <w:lang w:val="en-US"/>
        </w:rPr>
        <w:t>Inc</w:t>
      </w:r>
      <w:r w:rsidR="003A1A59" w:rsidRPr="00EB595C">
        <w:rPr>
          <w:rFonts w:ascii="Arial" w:hAnsi="Arial" w:cs="Arial"/>
          <w:sz w:val="24"/>
          <w:szCs w:val="24"/>
          <w:lang w:val="en-US"/>
        </w:rPr>
        <w:t>.</w:t>
      </w:r>
      <w:r w:rsidR="00AA0E72" w:rsidRPr="00EB595C">
        <w:rPr>
          <w:rFonts w:ascii="Arial" w:hAnsi="Arial" w:cs="Arial"/>
          <w:sz w:val="24"/>
          <w:szCs w:val="24"/>
          <w:lang w:val="en-US"/>
        </w:rPr>
        <w:t>,</w:t>
      </w:r>
      <w:r w:rsidRPr="00EB595C">
        <w:rPr>
          <w:rFonts w:ascii="Arial" w:hAnsi="Arial" w:cs="Arial"/>
          <w:sz w:val="24"/>
          <w:szCs w:val="24"/>
          <w:lang w:val="en-US"/>
        </w:rPr>
        <w:t xml:space="preserve"> and </w:t>
      </w:r>
      <w:r w:rsidR="008B5C55" w:rsidRPr="00EB595C">
        <w:rPr>
          <w:rFonts w:ascii="Arial" w:hAnsi="Arial" w:cs="Arial"/>
          <w:sz w:val="24"/>
          <w:szCs w:val="24"/>
          <w:lang w:val="en-US"/>
        </w:rPr>
        <w:t>the</w:t>
      </w:r>
      <w:r w:rsidR="00AA0E72" w:rsidRPr="00EB595C">
        <w:rPr>
          <w:rFonts w:ascii="Arial" w:hAnsi="Arial" w:cs="Arial"/>
          <w:sz w:val="24"/>
          <w:szCs w:val="24"/>
          <w:lang w:val="en-US"/>
        </w:rPr>
        <w:t xml:space="preserve"> second</w:t>
      </w:r>
      <w:r w:rsidR="008B5C55" w:rsidRPr="00EB595C">
        <w:rPr>
          <w:rFonts w:ascii="Arial" w:hAnsi="Arial" w:cs="Arial"/>
          <w:sz w:val="24"/>
          <w:szCs w:val="24"/>
          <w:lang w:val="en-US"/>
        </w:rPr>
        <w:t xml:space="preserve"> respondent, </w:t>
      </w:r>
      <w:r w:rsidRPr="00EB595C">
        <w:rPr>
          <w:rFonts w:ascii="Arial" w:hAnsi="Arial" w:cs="Arial"/>
          <w:sz w:val="24"/>
          <w:szCs w:val="24"/>
          <w:lang w:val="en-US"/>
        </w:rPr>
        <w:t xml:space="preserve">Mr Derick </w:t>
      </w:r>
      <w:r w:rsidR="00DA4584" w:rsidRPr="00EB595C">
        <w:rPr>
          <w:rFonts w:ascii="Arial" w:hAnsi="Arial" w:cs="Arial"/>
          <w:sz w:val="24"/>
          <w:szCs w:val="24"/>
          <w:lang w:val="en-US"/>
        </w:rPr>
        <w:t>v</w:t>
      </w:r>
      <w:r w:rsidRPr="00EB595C">
        <w:rPr>
          <w:rFonts w:ascii="Arial" w:hAnsi="Arial" w:cs="Arial"/>
          <w:sz w:val="24"/>
          <w:szCs w:val="24"/>
          <w:lang w:val="en-US"/>
        </w:rPr>
        <w:t>an Wyk</w:t>
      </w:r>
      <w:r w:rsidR="00E0168B" w:rsidRPr="00EB595C">
        <w:rPr>
          <w:rFonts w:ascii="Arial" w:hAnsi="Arial" w:cs="Arial"/>
          <w:sz w:val="24"/>
          <w:szCs w:val="24"/>
          <w:lang w:val="en-US"/>
        </w:rPr>
        <w:t xml:space="preserve">, who, at the relevant time, </w:t>
      </w:r>
      <w:r w:rsidR="00AA0E72" w:rsidRPr="00EB595C">
        <w:rPr>
          <w:rFonts w:ascii="Arial" w:hAnsi="Arial" w:cs="Arial"/>
          <w:sz w:val="24"/>
          <w:szCs w:val="24"/>
          <w:lang w:val="en-US"/>
        </w:rPr>
        <w:t>served as an attorney and director of the first respondent</w:t>
      </w:r>
      <w:r w:rsidR="008B5C55" w:rsidRPr="00EB595C">
        <w:rPr>
          <w:rFonts w:ascii="Arial" w:hAnsi="Arial" w:cs="Arial"/>
          <w:sz w:val="24"/>
          <w:szCs w:val="24"/>
          <w:lang w:val="en-US"/>
        </w:rPr>
        <w:t>.</w:t>
      </w:r>
      <w:r w:rsidRPr="00EB595C">
        <w:rPr>
          <w:rFonts w:ascii="Arial" w:hAnsi="Arial" w:cs="Arial"/>
          <w:sz w:val="24"/>
          <w:szCs w:val="24"/>
          <w:lang w:val="en-US"/>
        </w:rPr>
        <w:t xml:space="preserve"> </w:t>
      </w:r>
    </w:p>
    <w:p w14:paraId="727F6E59" w14:textId="77777777" w:rsidR="00BF2950" w:rsidRPr="00EB595C" w:rsidRDefault="00BF2950" w:rsidP="00BF2950">
      <w:pPr>
        <w:rPr>
          <w:rFonts w:ascii="Arial" w:hAnsi="Arial" w:cs="Arial"/>
          <w:sz w:val="24"/>
          <w:szCs w:val="24"/>
          <w:lang w:val="en-US"/>
        </w:rPr>
      </w:pPr>
    </w:p>
    <w:p w14:paraId="1DB93F46" w14:textId="4D48DA2C" w:rsidR="00BF2950" w:rsidRDefault="00BF2950" w:rsidP="00BF2950">
      <w:pPr>
        <w:rPr>
          <w:rFonts w:ascii="Arial" w:hAnsi="Arial" w:cs="Arial"/>
          <w:sz w:val="24"/>
          <w:szCs w:val="24"/>
          <w:lang w:val="en-US"/>
        </w:rPr>
      </w:pPr>
      <w:r w:rsidRPr="00EB595C">
        <w:rPr>
          <w:rFonts w:ascii="Arial" w:hAnsi="Arial" w:cs="Arial"/>
          <w:sz w:val="24"/>
          <w:szCs w:val="24"/>
          <w:lang w:val="en-US"/>
        </w:rPr>
        <w:t>[2]</w:t>
      </w:r>
      <w:r w:rsidRPr="00EB595C">
        <w:rPr>
          <w:rFonts w:ascii="Arial" w:hAnsi="Arial" w:cs="Arial"/>
          <w:sz w:val="24"/>
          <w:szCs w:val="24"/>
          <w:lang w:val="en-US"/>
        </w:rPr>
        <w:tab/>
      </w:r>
      <w:r w:rsidR="00391267" w:rsidRPr="00EB595C">
        <w:rPr>
          <w:rFonts w:ascii="Arial" w:hAnsi="Arial" w:cs="Arial"/>
          <w:sz w:val="24"/>
          <w:szCs w:val="24"/>
          <w:lang w:val="en-US"/>
        </w:rPr>
        <w:t xml:space="preserve">Four claims were asserted arising out of professional legal services rendered by the respondents to the appellant. </w:t>
      </w:r>
      <w:r w:rsidRPr="00EB595C">
        <w:rPr>
          <w:rFonts w:ascii="Arial" w:hAnsi="Arial" w:cs="Arial"/>
          <w:sz w:val="24"/>
          <w:szCs w:val="24"/>
          <w:lang w:val="en-US"/>
        </w:rPr>
        <w:t xml:space="preserve">The claims </w:t>
      </w:r>
      <w:r w:rsidR="008B5C55" w:rsidRPr="00EB595C">
        <w:rPr>
          <w:rFonts w:ascii="Arial" w:hAnsi="Arial" w:cs="Arial"/>
          <w:sz w:val="24"/>
          <w:szCs w:val="24"/>
          <w:lang w:val="en-US"/>
        </w:rPr>
        <w:t>were met by</w:t>
      </w:r>
      <w:r w:rsidRPr="00EB595C">
        <w:rPr>
          <w:rFonts w:ascii="Arial" w:hAnsi="Arial" w:cs="Arial"/>
          <w:sz w:val="24"/>
          <w:szCs w:val="24"/>
          <w:lang w:val="en-US"/>
        </w:rPr>
        <w:t xml:space="preserve"> </w:t>
      </w:r>
      <w:r w:rsidR="008B5C55" w:rsidRPr="00EB595C">
        <w:rPr>
          <w:rFonts w:ascii="Arial" w:hAnsi="Arial" w:cs="Arial"/>
          <w:sz w:val="24"/>
          <w:szCs w:val="24"/>
          <w:lang w:val="en-US"/>
        </w:rPr>
        <w:t xml:space="preserve">five </w:t>
      </w:r>
      <w:r w:rsidRPr="00EB595C">
        <w:rPr>
          <w:rFonts w:ascii="Arial" w:hAnsi="Arial" w:cs="Arial"/>
          <w:sz w:val="24"/>
          <w:szCs w:val="24"/>
          <w:lang w:val="en-US"/>
        </w:rPr>
        <w:t>special pleas</w:t>
      </w:r>
      <w:r w:rsidR="008B5C55" w:rsidRPr="00EB595C">
        <w:rPr>
          <w:rFonts w:ascii="Arial" w:hAnsi="Arial" w:cs="Arial"/>
          <w:sz w:val="24"/>
          <w:szCs w:val="24"/>
          <w:lang w:val="en-US"/>
        </w:rPr>
        <w:t xml:space="preserve"> - four</w:t>
      </w:r>
      <w:r w:rsidRPr="00EB595C">
        <w:rPr>
          <w:rFonts w:ascii="Arial" w:hAnsi="Arial" w:cs="Arial"/>
          <w:sz w:val="24"/>
          <w:szCs w:val="24"/>
          <w:lang w:val="en-US"/>
        </w:rPr>
        <w:t xml:space="preserve"> of prescription and one </w:t>
      </w:r>
      <w:r w:rsidR="00284AFD" w:rsidRPr="00EB595C">
        <w:rPr>
          <w:rFonts w:ascii="Arial" w:hAnsi="Arial" w:cs="Arial"/>
          <w:sz w:val="24"/>
          <w:szCs w:val="24"/>
          <w:lang w:val="en-US"/>
        </w:rPr>
        <w:t>of</w:t>
      </w:r>
      <w:r w:rsidRPr="00EB595C">
        <w:rPr>
          <w:rFonts w:ascii="Arial" w:hAnsi="Arial" w:cs="Arial"/>
          <w:sz w:val="24"/>
          <w:szCs w:val="24"/>
          <w:lang w:val="en-US"/>
        </w:rPr>
        <w:t xml:space="preserve"> lack of </w:t>
      </w:r>
      <w:r w:rsidRPr="00EB595C">
        <w:rPr>
          <w:rFonts w:ascii="Arial" w:hAnsi="Arial" w:cs="Arial"/>
          <w:i/>
          <w:iCs/>
          <w:sz w:val="24"/>
          <w:szCs w:val="24"/>
          <w:lang w:val="en-US"/>
        </w:rPr>
        <w:t>locus standi</w:t>
      </w:r>
      <w:r w:rsidRPr="00EB595C">
        <w:rPr>
          <w:rFonts w:ascii="Arial" w:hAnsi="Arial" w:cs="Arial"/>
          <w:sz w:val="24"/>
          <w:szCs w:val="24"/>
          <w:lang w:val="en-US"/>
        </w:rPr>
        <w:t xml:space="preserve">. </w:t>
      </w:r>
      <w:r w:rsidR="001D1CB2" w:rsidRPr="00EB595C">
        <w:rPr>
          <w:rFonts w:ascii="Arial" w:hAnsi="Arial" w:cs="Arial"/>
          <w:sz w:val="24"/>
          <w:szCs w:val="24"/>
        </w:rPr>
        <w:t xml:space="preserve">The parties agreed, pursuant to </w:t>
      </w:r>
      <w:r w:rsidR="003A1A59" w:rsidRPr="00EB595C">
        <w:rPr>
          <w:rFonts w:ascii="Arial" w:hAnsi="Arial" w:cs="Arial"/>
          <w:sz w:val="24"/>
          <w:szCs w:val="24"/>
        </w:rPr>
        <w:t>R</w:t>
      </w:r>
      <w:r w:rsidR="001D1CB2" w:rsidRPr="00EB595C">
        <w:rPr>
          <w:rFonts w:ascii="Arial" w:hAnsi="Arial" w:cs="Arial"/>
          <w:sz w:val="24"/>
          <w:szCs w:val="24"/>
        </w:rPr>
        <w:t>ule 33(4) of the Uniform Rules of Court, that the special pleas be adjudicated prior to and separately from the remaining</w:t>
      </w:r>
      <w:r w:rsidR="001D1CB2" w:rsidRPr="001D1CB2">
        <w:rPr>
          <w:rFonts w:ascii="Arial" w:hAnsi="Arial" w:cs="Arial"/>
          <w:sz w:val="24"/>
          <w:szCs w:val="24"/>
        </w:rPr>
        <w:t xml:space="preserve"> issues</w:t>
      </w:r>
      <w:r w:rsidR="001D1CB2">
        <w:rPr>
          <w:rFonts w:ascii="Arial" w:hAnsi="Arial" w:cs="Arial"/>
          <w:sz w:val="24"/>
          <w:szCs w:val="24"/>
        </w:rPr>
        <w:t xml:space="preserve"> and the high court made an order to that effect.</w:t>
      </w:r>
      <w:r w:rsidR="001D1CB2" w:rsidRPr="001D1CB2">
        <w:rPr>
          <w:rFonts w:ascii="Arial" w:hAnsi="Arial" w:cs="Arial"/>
          <w:sz w:val="24"/>
          <w:szCs w:val="24"/>
        </w:rPr>
        <w:t xml:space="preserve"> </w:t>
      </w:r>
      <w:r w:rsidR="001D1CB2">
        <w:rPr>
          <w:rFonts w:ascii="Arial" w:hAnsi="Arial" w:cs="Arial"/>
          <w:sz w:val="24"/>
          <w:szCs w:val="24"/>
        </w:rPr>
        <w:t>A</w:t>
      </w:r>
      <w:r w:rsidR="001D1CB2" w:rsidRPr="001D1CB2">
        <w:rPr>
          <w:rFonts w:ascii="Arial" w:hAnsi="Arial" w:cs="Arial"/>
          <w:sz w:val="24"/>
          <w:szCs w:val="24"/>
        </w:rPr>
        <w:t xml:space="preserve">fter hearing the parties, </w:t>
      </w:r>
      <w:r>
        <w:rPr>
          <w:rFonts w:ascii="Arial" w:hAnsi="Arial" w:cs="Arial"/>
          <w:sz w:val="24"/>
          <w:szCs w:val="24"/>
          <w:lang w:val="en-US"/>
        </w:rPr>
        <w:t xml:space="preserve">the high court upheld the special plea </w:t>
      </w:r>
      <w:r w:rsidR="00284AFD">
        <w:rPr>
          <w:rFonts w:ascii="Arial" w:hAnsi="Arial" w:cs="Arial"/>
          <w:sz w:val="24"/>
          <w:szCs w:val="24"/>
          <w:lang w:val="en-US"/>
        </w:rPr>
        <w:t>of</w:t>
      </w:r>
      <w:r>
        <w:rPr>
          <w:rFonts w:ascii="Arial" w:hAnsi="Arial" w:cs="Arial"/>
          <w:sz w:val="24"/>
          <w:szCs w:val="24"/>
          <w:lang w:val="en-US"/>
        </w:rPr>
        <w:t xml:space="preserve"> lack of </w:t>
      </w:r>
      <w:r>
        <w:rPr>
          <w:rFonts w:ascii="Arial" w:hAnsi="Arial" w:cs="Arial"/>
          <w:i/>
          <w:iCs/>
          <w:sz w:val="24"/>
          <w:szCs w:val="24"/>
          <w:lang w:val="en-US"/>
        </w:rPr>
        <w:t>locus standi</w:t>
      </w:r>
      <w:r w:rsidR="00A84BD8">
        <w:rPr>
          <w:rFonts w:ascii="Arial" w:hAnsi="Arial" w:cs="Arial"/>
          <w:sz w:val="24"/>
          <w:szCs w:val="24"/>
          <w:lang w:val="en-US"/>
        </w:rPr>
        <w:t xml:space="preserve"> and consequently</w:t>
      </w:r>
      <w:r w:rsidR="001D1CB2">
        <w:rPr>
          <w:rFonts w:ascii="Arial" w:hAnsi="Arial" w:cs="Arial"/>
          <w:sz w:val="24"/>
          <w:szCs w:val="24"/>
          <w:lang w:val="en-US"/>
        </w:rPr>
        <w:t xml:space="preserve"> </w:t>
      </w:r>
      <w:r>
        <w:rPr>
          <w:rFonts w:ascii="Arial" w:hAnsi="Arial" w:cs="Arial"/>
          <w:sz w:val="24"/>
          <w:szCs w:val="24"/>
          <w:lang w:val="en-US"/>
        </w:rPr>
        <w:t>dismissed the claims with costs.</w:t>
      </w:r>
      <w:r w:rsidR="00AA0E72">
        <w:rPr>
          <w:rFonts w:ascii="Arial" w:hAnsi="Arial" w:cs="Arial"/>
          <w:sz w:val="24"/>
          <w:szCs w:val="24"/>
          <w:lang w:val="en-US"/>
        </w:rPr>
        <w:t xml:space="preserve"> It did not think it necessary to consider the</w:t>
      </w:r>
      <w:r>
        <w:rPr>
          <w:rFonts w:ascii="Arial" w:hAnsi="Arial" w:cs="Arial"/>
          <w:sz w:val="24"/>
          <w:szCs w:val="24"/>
          <w:lang w:val="en-US"/>
        </w:rPr>
        <w:t xml:space="preserve"> </w:t>
      </w:r>
      <w:r w:rsidR="004B473D">
        <w:rPr>
          <w:rFonts w:ascii="Arial" w:hAnsi="Arial" w:cs="Arial"/>
          <w:sz w:val="24"/>
          <w:szCs w:val="24"/>
          <w:lang w:val="en-US"/>
        </w:rPr>
        <w:t xml:space="preserve">four </w:t>
      </w:r>
      <w:r w:rsidR="00FA6CE9">
        <w:rPr>
          <w:rFonts w:ascii="Arial" w:hAnsi="Arial" w:cs="Arial"/>
          <w:sz w:val="24"/>
          <w:szCs w:val="24"/>
          <w:lang w:val="en-US"/>
        </w:rPr>
        <w:t>remaining</w:t>
      </w:r>
      <w:r>
        <w:rPr>
          <w:rFonts w:ascii="Arial" w:hAnsi="Arial" w:cs="Arial"/>
          <w:sz w:val="24"/>
          <w:szCs w:val="24"/>
          <w:lang w:val="en-US"/>
        </w:rPr>
        <w:t xml:space="preserve"> special pleas of prescription</w:t>
      </w:r>
      <w:r w:rsidR="00AA0E72">
        <w:rPr>
          <w:rFonts w:ascii="Arial" w:hAnsi="Arial" w:cs="Arial"/>
          <w:sz w:val="24"/>
          <w:szCs w:val="24"/>
          <w:lang w:val="en-US"/>
        </w:rPr>
        <w:t xml:space="preserve"> or to enter into the substantive merits of the matter. I</w:t>
      </w:r>
      <w:r>
        <w:rPr>
          <w:rFonts w:ascii="Arial" w:hAnsi="Arial" w:cs="Arial"/>
          <w:sz w:val="24"/>
          <w:szCs w:val="24"/>
          <w:lang w:val="en-US"/>
        </w:rPr>
        <w:t xml:space="preserve">t </w:t>
      </w:r>
      <w:r w:rsidR="00AA0E72">
        <w:rPr>
          <w:rFonts w:ascii="Arial" w:hAnsi="Arial" w:cs="Arial"/>
          <w:sz w:val="24"/>
          <w:szCs w:val="24"/>
          <w:lang w:val="en-US"/>
        </w:rPr>
        <w:t>took the view that</w:t>
      </w:r>
      <w:r w:rsidR="007E64D2">
        <w:rPr>
          <w:rFonts w:ascii="Arial" w:hAnsi="Arial" w:cs="Arial"/>
          <w:sz w:val="24"/>
          <w:szCs w:val="24"/>
          <w:lang w:val="en-US"/>
        </w:rPr>
        <w:t xml:space="preserve"> </w:t>
      </w:r>
      <w:r w:rsidR="00D9030D">
        <w:rPr>
          <w:rFonts w:ascii="Arial" w:hAnsi="Arial" w:cs="Arial"/>
          <w:sz w:val="24"/>
          <w:szCs w:val="24"/>
          <w:lang w:val="en-US"/>
        </w:rPr>
        <w:t xml:space="preserve">the </w:t>
      </w:r>
      <w:r>
        <w:rPr>
          <w:rFonts w:ascii="Arial" w:hAnsi="Arial" w:cs="Arial"/>
          <w:sz w:val="24"/>
          <w:szCs w:val="24"/>
          <w:lang w:val="en-US"/>
        </w:rPr>
        <w:t xml:space="preserve">finding on the special plea </w:t>
      </w:r>
      <w:r w:rsidR="0005557B">
        <w:rPr>
          <w:rFonts w:ascii="Arial" w:hAnsi="Arial" w:cs="Arial"/>
          <w:sz w:val="24"/>
          <w:szCs w:val="24"/>
          <w:lang w:val="en-US"/>
        </w:rPr>
        <w:t>of</w:t>
      </w:r>
      <w:r>
        <w:rPr>
          <w:rFonts w:ascii="Arial" w:hAnsi="Arial" w:cs="Arial"/>
          <w:sz w:val="24"/>
          <w:szCs w:val="24"/>
          <w:lang w:val="en-US"/>
        </w:rPr>
        <w:t xml:space="preserve"> lack of </w:t>
      </w:r>
      <w:r>
        <w:rPr>
          <w:rFonts w:ascii="Arial" w:hAnsi="Arial" w:cs="Arial"/>
          <w:i/>
          <w:iCs/>
          <w:sz w:val="24"/>
          <w:szCs w:val="24"/>
          <w:lang w:val="en-US"/>
        </w:rPr>
        <w:t>locus standi</w:t>
      </w:r>
      <w:r>
        <w:rPr>
          <w:rFonts w:ascii="Arial" w:hAnsi="Arial" w:cs="Arial"/>
          <w:sz w:val="24"/>
          <w:szCs w:val="24"/>
          <w:lang w:val="en-US"/>
        </w:rPr>
        <w:t xml:space="preserve"> </w:t>
      </w:r>
      <w:r w:rsidR="00AA0E72">
        <w:rPr>
          <w:rFonts w:ascii="Arial" w:hAnsi="Arial" w:cs="Arial"/>
          <w:sz w:val="24"/>
          <w:szCs w:val="24"/>
          <w:lang w:val="en-US"/>
        </w:rPr>
        <w:t>was</w:t>
      </w:r>
      <w:r>
        <w:rPr>
          <w:rFonts w:ascii="Arial" w:hAnsi="Arial" w:cs="Arial"/>
          <w:sz w:val="24"/>
          <w:szCs w:val="24"/>
          <w:lang w:val="en-US"/>
        </w:rPr>
        <w:t xml:space="preserve"> dispositive of the </w:t>
      </w:r>
      <w:r w:rsidR="00D9030D">
        <w:rPr>
          <w:rFonts w:ascii="Arial" w:hAnsi="Arial" w:cs="Arial"/>
          <w:sz w:val="24"/>
          <w:szCs w:val="24"/>
          <w:lang w:val="en-US"/>
        </w:rPr>
        <w:t>matter</w:t>
      </w:r>
      <w:r w:rsidR="00A84BD8">
        <w:rPr>
          <w:rFonts w:ascii="Arial" w:hAnsi="Arial" w:cs="Arial"/>
          <w:sz w:val="24"/>
          <w:szCs w:val="24"/>
          <w:lang w:val="en-US"/>
        </w:rPr>
        <w:t>. The appeal is with the leave of that court.</w:t>
      </w:r>
    </w:p>
    <w:p w14:paraId="0260528A" w14:textId="153E586E" w:rsidR="00BF2950" w:rsidRDefault="00BF2950" w:rsidP="00BF2950">
      <w:pPr>
        <w:rPr>
          <w:rFonts w:ascii="Arial" w:hAnsi="Arial" w:cs="Arial"/>
          <w:b/>
          <w:bCs/>
          <w:sz w:val="24"/>
          <w:szCs w:val="24"/>
          <w:lang w:val="en-US"/>
        </w:rPr>
      </w:pPr>
    </w:p>
    <w:p w14:paraId="54103FF0" w14:textId="4C8DAE6F" w:rsidR="00845ED5" w:rsidRDefault="00BF2950" w:rsidP="00BF2950">
      <w:pPr>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4D50E7">
        <w:rPr>
          <w:rFonts w:ascii="Arial" w:hAnsi="Arial" w:cs="Arial"/>
          <w:sz w:val="24"/>
          <w:szCs w:val="24"/>
          <w:lang w:val="en-US"/>
        </w:rPr>
        <w:t xml:space="preserve">The special plea was </w:t>
      </w:r>
      <w:r w:rsidR="00A84BD8">
        <w:rPr>
          <w:rFonts w:ascii="Arial" w:hAnsi="Arial" w:cs="Arial"/>
          <w:sz w:val="24"/>
          <w:szCs w:val="24"/>
          <w:lang w:val="en-US"/>
        </w:rPr>
        <w:t>framed thus</w:t>
      </w:r>
      <w:r w:rsidR="004D50E7">
        <w:rPr>
          <w:rFonts w:ascii="Arial" w:hAnsi="Arial" w:cs="Arial"/>
          <w:sz w:val="24"/>
          <w:szCs w:val="24"/>
          <w:lang w:val="en-US"/>
        </w:rPr>
        <w:t xml:space="preserve">: </w:t>
      </w:r>
    </w:p>
    <w:p w14:paraId="1C251D48" w14:textId="77777777" w:rsidR="00845ED5" w:rsidRPr="006A6DDC" w:rsidRDefault="00845ED5" w:rsidP="00BF2950">
      <w:pPr>
        <w:rPr>
          <w:rFonts w:ascii="Arial" w:hAnsi="Arial" w:cs="Arial"/>
          <w:i/>
          <w:u w:val="single"/>
          <w:lang w:val="en-US"/>
        </w:rPr>
      </w:pPr>
      <w:r w:rsidRPr="006A6DDC">
        <w:rPr>
          <w:rFonts w:ascii="Arial" w:hAnsi="Arial" w:cs="Arial"/>
          <w:lang w:val="en-US"/>
        </w:rPr>
        <w:t>‘1.5.</w:t>
      </w:r>
      <w:r w:rsidRPr="006A6DDC">
        <w:rPr>
          <w:rFonts w:ascii="Arial" w:hAnsi="Arial" w:cs="Arial"/>
          <w:lang w:val="en-US"/>
        </w:rPr>
        <w:tab/>
      </w:r>
      <w:r w:rsidRPr="006A6DDC">
        <w:rPr>
          <w:rFonts w:ascii="Arial" w:hAnsi="Arial" w:cs="Arial"/>
          <w:u w:val="single"/>
          <w:lang w:val="en-US"/>
        </w:rPr>
        <w:t xml:space="preserve">SPECIAL PLEA: LACK OF </w:t>
      </w:r>
      <w:r w:rsidRPr="006A6DDC">
        <w:rPr>
          <w:rFonts w:ascii="Arial" w:hAnsi="Arial" w:cs="Arial"/>
          <w:i/>
          <w:u w:val="single"/>
          <w:lang w:val="en-US"/>
        </w:rPr>
        <w:t>LOCUS STANDI</w:t>
      </w:r>
    </w:p>
    <w:p w14:paraId="41F91CD8" w14:textId="1949EFA4" w:rsidR="00845ED5" w:rsidRPr="006A6DDC" w:rsidRDefault="00845ED5" w:rsidP="00BF2950">
      <w:pPr>
        <w:rPr>
          <w:rFonts w:ascii="Arial" w:hAnsi="Arial" w:cs="Arial"/>
          <w:lang w:val="en-US"/>
        </w:rPr>
      </w:pPr>
      <w:r w:rsidRPr="006A6DDC">
        <w:rPr>
          <w:rFonts w:ascii="Arial" w:hAnsi="Arial" w:cs="Arial"/>
          <w:lang w:val="en-US"/>
        </w:rPr>
        <w:t>1.5.1.</w:t>
      </w:r>
      <w:r w:rsidRPr="006A6DDC">
        <w:rPr>
          <w:rFonts w:ascii="Arial" w:hAnsi="Arial" w:cs="Arial"/>
          <w:lang w:val="en-US"/>
        </w:rPr>
        <w:tab/>
        <w:t>The summons was issued in the name of and</w:t>
      </w:r>
      <w:r w:rsidR="00654EFB">
        <w:rPr>
          <w:rFonts w:ascii="Arial" w:hAnsi="Arial" w:cs="Arial"/>
          <w:lang w:val="en-US"/>
        </w:rPr>
        <w:t xml:space="preserve"> on</w:t>
      </w:r>
      <w:r w:rsidRPr="006A6DDC">
        <w:rPr>
          <w:rFonts w:ascii="Arial" w:hAnsi="Arial" w:cs="Arial"/>
          <w:lang w:val="en-US"/>
        </w:rPr>
        <w:t xml:space="preserve"> instruction of the directors of “Firm-O-Seal CC” on 2 December 2020.</w:t>
      </w:r>
    </w:p>
    <w:p w14:paraId="580F4793" w14:textId="77777777" w:rsidR="007B4E62" w:rsidRPr="006A6DDC" w:rsidRDefault="00845ED5" w:rsidP="00BF2950">
      <w:pPr>
        <w:rPr>
          <w:rFonts w:ascii="Arial" w:hAnsi="Arial" w:cs="Arial"/>
          <w:lang w:val="en-US"/>
        </w:rPr>
      </w:pPr>
      <w:r w:rsidRPr="006A6DDC">
        <w:rPr>
          <w:rFonts w:ascii="Arial" w:hAnsi="Arial" w:cs="Arial"/>
          <w:lang w:val="en-US"/>
        </w:rPr>
        <w:lastRenderedPageBreak/>
        <w:t>1.5.2.</w:t>
      </w:r>
      <w:r w:rsidRPr="006A6DDC">
        <w:rPr>
          <w:rFonts w:ascii="Arial" w:hAnsi="Arial" w:cs="Arial"/>
          <w:lang w:val="en-US"/>
        </w:rPr>
        <w:tab/>
        <w:t>The particulars of claim appended</w:t>
      </w:r>
      <w:r w:rsidR="007B4E62" w:rsidRPr="006A6DDC">
        <w:rPr>
          <w:rFonts w:ascii="Arial" w:hAnsi="Arial" w:cs="Arial"/>
          <w:lang w:val="en-US"/>
        </w:rPr>
        <w:t xml:space="preserve"> to the summons at paragraph 2 contain the averment that the respondent was placed under business rescue on 5 June 2019.</w:t>
      </w:r>
    </w:p>
    <w:p w14:paraId="4C0C82DC" w14:textId="124E450D" w:rsidR="007B4E62" w:rsidRPr="006A6DDC" w:rsidRDefault="007B4E62" w:rsidP="00BF2950">
      <w:pPr>
        <w:rPr>
          <w:rFonts w:ascii="Arial" w:hAnsi="Arial" w:cs="Arial"/>
          <w:lang w:val="en-US"/>
        </w:rPr>
      </w:pPr>
      <w:r w:rsidRPr="006A6DDC">
        <w:rPr>
          <w:rFonts w:ascii="Arial" w:hAnsi="Arial" w:cs="Arial"/>
          <w:lang w:val="en-US"/>
        </w:rPr>
        <w:t>1.5.3.</w:t>
      </w:r>
      <w:r w:rsidRPr="006A6DDC">
        <w:rPr>
          <w:rFonts w:ascii="Arial" w:hAnsi="Arial" w:cs="Arial"/>
          <w:lang w:val="en-US"/>
        </w:rPr>
        <w:tab/>
        <w:t xml:space="preserve">On 27 January 2021, the attorneys for the appointed business rescue practitioner, confirmed that the business rescue practitioner Mr Mahier Tayob did not authorize the action already instituted against the defendants </w:t>
      </w:r>
      <w:r w:rsidR="00654EFB">
        <w:rPr>
          <w:rFonts w:ascii="Arial" w:hAnsi="Arial" w:cs="Arial"/>
          <w:lang w:val="en-US"/>
        </w:rPr>
        <w:t xml:space="preserve">. . </w:t>
      </w:r>
      <w:r w:rsidRPr="006A6DDC">
        <w:rPr>
          <w:rFonts w:ascii="Arial" w:hAnsi="Arial" w:cs="Arial"/>
          <w:lang w:val="en-US"/>
        </w:rPr>
        <w:t>.</w:t>
      </w:r>
    </w:p>
    <w:p w14:paraId="0DE87759" w14:textId="3CDF9A6D" w:rsidR="007B4E62" w:rsidRPr="006A6DDC" w:rsidRDefault="007B4E62" w:rsidP="00BF2950">
      <w:pPr>
        <w:rPr>
          <w:rFonts w:ascii="Arial" w:hAnsi="Arial" w:cs="Arial"/>
          <w:lang w:val="en-US"/>
        </w:rPr>
      </w:pPr>
      <w:r w:rsidRPr="006A6DDC">
        <w:rPr>
          <w:rFonts w:ascii="Arial" w:hAnsi="Arial" w:cs="Arial"/>
          <w:lang w:val="en-US"/>
        </w:rPr>
        <w:t>1.5.4.</w:t>
      </w:r>
      <w:r w:rsidRPr="006A6DDC">
        <w:rPr>
          <w:rFonts w:ascii="Arial" w:hAnsi="Arial" w:cs="Arial"/>
          <w:lang w:val="en-US"/>
        </w:rPr>
        <w:tab/>
        <w:t xml:space="preserve">On 2 February 2021, the defendants requested that the respondent furnish them with a power of attorney as contemplated under Rule </w:t>
      </w:r>
      <w:r w:rsidR="00654EFB">
        <w:rPr>
          <w:rFonts w:ascii="Arial" w:hAnsi="Arial" w:cs="Arial"/>
          <w:lang w:val="en-US"/>
        </w:rPr>
        <w:t xml:space="preserve">7 . . </w:t>
      </w:r>
      <w:r w:rsidRPr="006A6DDC">
        <w:rPr>
          <w:rFonts w:ascii="Arial" w:hAnsi="Arial" w:cs="Arial"/>
          <w:lang w:val="en-US"/>
        </w:rPr>
        <w:t>.</w:t>
      </w:r>
    </w:p>
    <w:p w14:paraId="11997560" w14:textId="77734ECE" w:rsidR="007B4E62" w:rsidRPr="006A6DDC" w:rsidRDefault="007B4E62" w:rsidP="00BF2950">
      <w:pPr>
        <w:rPr>
          <w:rFonts w:ascii="Arial" w:hAnsi="Arial" w:cs="Arial"/>
          <w:lang w:val="en-US"/>
        </w:rPr>
      </w:pPr>
      <w:r w:rsidRPr="006A6DDC">
        <w:rPr>
          <w:rFonts w:ascii="Arial" w:hAnsi="Arial" w:cs="Arial"/>
          <w:lang w:val="en-US"/>
        </w:rPr>
        <w:t>1.5.5.</w:t>
      </w:r>
      <w:r w:rsidRPr="006A6DDC">
        <w:rPr>
          <w:rFonts w:ascii="Arial" w:hAnsi="Arial" w:cs="Arial"/>
          <w:lang w:val="en-US"/>
        </w:rPr>
        <w:tab/>
        <w:t>On 4 March 2021, the respondent favoured the defendants with its reply under Rule 7</w:t>
      </w:r>
      <w:r w:rsidR="00654EFB">
        <w:rPr>
          <w:rFonts w:ascii="Arial" w:hAnsi="Arial" w:cs="Arial"/>
          <w:lang w:val="en-US"/>
        </w:rPr>
        <w:t xml:space="preserve"> . . </w:t>
      </w:r>
      <w:r w:rsidRPr="006A6DDC">
        <w:rPr>
          <w:rFonts w:ascii="Arial" w:hAnsi="Arial" w:cs="Arial"/>
          <w:lang w:val="en-US"/>
        </w:rPr>
        <w:t>.</w:t>
      </w:r>
    </w:p>
    <w:p w14:paraId="2627AC2F" w14:textId="4CF9AA66" w:rsidR="007B4E62" w:rsidRPr="006A6DDC" w:rsidRDefault="007B4E62" w:rsidP="00BF2950">
      <w:pPr>
        <w:rPr>
          <w:rFonts w:ascii="Arial" w:hAnsi="Arial" w:cs="Arial"/>
          <w:lang w:val="en-US"/>
        </w:rPr>
      </w:pPr>
      <w:r w:rsidRPr="006A6DDC">
        <w:rPr>
          <w:rFonts w:ascii="Arial" w:hAnsi="Arial" w:cs="Arial"/>
          <w:lang w:val="en-US"/>
        </w:rPr>
        <w:t>1.5.6.</w:t>
      </w:r>
      <w:r w:rsidRPr="006A6DDC">
        <w:rPr>
          <w:rFonts w:ascii="Arial" w:hAnsi="Arial" w:cs="Arial"/>
          <w:lang w:val="en-US"/>
        </w:rPr>
        <w:tab/>
        <w:t xml:space="preserve">Annexure </w:t>
      </w:r>
      <w:r w:rsidRPr="006A6DDC">
        <w:rPr>
          <w:rFonts w:ascii="Arial" w:hAnsi="Arial" w:cs="Arial"/>
          <w:b/>
          <w:lang w:val="en-US"/>
        </w:rPr>
        <w:t xml:space="preserve">“A” </w:t>
      </w:r>
      <w:r w:rsidRPr="006A6DDC">
        <w:rPr>
          <w:rFonts w:ascii="Arial" w:hAnsi="Arial" w:cs="Arial"/>
          <w:lang w:val="en-US"/>
        </w:rPr>
        <w:t xml:space="preserve">as read with annexure </w:t>
      </w:r>
      <w:r w:rsidRPr="006A6DDC">
        <w:rPr>
          <w:rFonts w:ascii="Arial" w:hAnsi="Arial" w:cs="Arial"/>
          <w:b/>
          <w:lang w:val="en-US"/>
        </w:rPr>
        <w:t xml:space="preserve">“C” </w:t>
      </w:r>
      <w:r w:rsidRPr="006A6DDC">
        <w:rPr>
          <w:rFonts w:ascii="Arial" w:hAnsi="Arial" w:cs="Arial"/>
          <w:lang w:val="en-US"/>
        </w:rPr>
        <w:t xml:space="preserve">confirmed the fact that when the process was issued, the plaintiff has not resolved and was consequently not </w:t>
      </w:r>
      <w:r w:rsidR="00E114FD">
        <w:rPr>
          <w:rFonts w:ascii="Arial" w:hAnsi="Arial" w:cs="Arial"/>
          <w:lang w:val="en-US"/>
        </w:rPr>
        <w:t>authoris</w:t>
      </w:r>
      <w:r w:rsidRPr="006A6DDC">
        <w:rPr>
          <w:rFonts w:ascii="Arial" w:hAnsi="Arial" w:cs="Arial"/>
          <w:lang w:val="en-US"/>
        </w:rPr>
        <w:t>ed to have bought the action.</w:t>
      </w:r>
    </w:p>
    <w:p w14:paraId="6DB3FA42" w14:textId="77777777" w:rsidR="007B4E62" w:rsidRPr="006A6DDC" w:rsidRDefault="007B4E62" w:rsidP="00BF2950">
      <w:pPr>
        <w:rPr>
          <w:rFonts w:ascii="Arial" w:hAnsi="Arial" w:cs="Arial"/>
          <w:lang w:val="en-US"/>
        </w:rPr>
      </w:pPr>
      <w:r w:rsidRPr="006A6DDC">
        <w:rPr>
          <w:rFonts w:ascii="Arial" w:hAnsi="Arial" w:cs="Arial"/>
          <w:lang w:val="en-US"/>
        </w:rPr>
        <w:t>1.5.7.</w:t>
      </w:r>
      <w:r w:rsidRPr="006A6DDC">
        <w:rPr>
          <w:rFonts w:ascii="Arial" w:hAnsi="Arial" w:cs="Arial"/>
          <w:lang w:val="en-US"/>
        </w:rPr>
        <w:tab/>
        <w:t>The director(s) of the respondent in bringing the action acted outside the scope and ambit of section 137(2)</w:t>
      </w:r>
      <w:r w:rsidRPr="006A6DDC">
        <w:rPr>
          <w:rFonts w:ascii="Arial" w:hAnsi="Arial" w:cs="Arial"/>
          <w:i/>
          <w:lang w:val="en-US"/>
        </w:rPr>
        <w:t xml:space="preserve">(b) </w:t>
      </w:r>
      <w:r w:rsidRPr="006A6DDC">
        <w:rPr>
          <w:rFonts w:ascii="Arial" w:hAnsi="Arial" w:cs="Arial"/>
          <w:lang w:val="en-US"/>
        </w:rPr>
        <w:t>of the Companies Act 71 of 2011 (the “Act”).</w:t>
      </w:r>
    </w:p>
    <w:p w14:paraId="5B51071C" w14:textId="77777777" w:rsidR="007B4E62" w:rsidRPr="006A6DDC" w:rsidRDefault="007B4E62" w:rsidP="00BF2950">
      <w:pPr>
        <w:rPr>
          <w:rFonts w:ascii="Arial" w:hAnsi="Arial" w:cs="Arial"/>
          <w:lang w:val="en-US"/>
        </w:rPr>
      </w:pPr>
      <w:r w:rsidRPr="006A6DDC">
        <w:rPr>
          <w:rFonts w:ascii="Arial" w:hAnsi="Arial" w:cs="Arial"/>
          <w:lang w:val="en-US"/>
        </w:rPr>
        <w:t>1.5.8.</w:t>
      </w:r>
      <w:r w:rsidRPr="006A6DDC">
        <w:rPr>
          <w:rFonts w:ascii="Arial" w:hAnsi="Arial" w:cs="Arial"/>
          <w:lang w:val="en-US"/>
        </w:rPr>
        <w:tab/>
        <w:t>Consequently the bringing of the action is void as contemplated under section 137(4) of the Act.</w:t>
      </w:r>
    </w:p>
    <w:p w14:paraId="4E41E7C7" w14:textId="63924393" w:rsidR="00BF2950" w:rsidRPr="006A6DDC" w:rsidRDefault="007B4E62" w:rsidP="008B0A36">
      <w:pPr>
        <w:rPr>
          <w:rFonts w:ascii="Arial" w:hAnsi="Arial" w:cs="Arial"/>
          <w:lang w:val="en-US"/>
        </w:rPr>
      </w:pPr>
      <w:r w:rsidRPr="006A6DDC">
        <w:rPr>
          <w:rFonts w:ascii="Arial" w:hAnsi="Arial" w:cs="Arial"/>
          <w:lang w:val="en-US"/>
        </w:rPr>
        <w:t>1.5.9.</w:t>
      </w:r>
      <w:r w:rsidRPr="006A6DDC">
        <w:rPr>
          <w:rFonts w:ascii="Arial" w:hAnsi="Arial" w:cs="Arial"/>
          <w:lang w:val="en-US"/>
        </w:rPr>
        <w:tab/>
        <w:t xml:space="preserve">In the premises, the plaintiff did not resolve and therefore lacked </w:t>
      </w:r>
      <w:r w:rsidRPr="006A6DDC">
        <w:rPr>
          <w:rFonts w:ascii="Arial" w:hAnsi="Arial" w:cs="Arial"/>
          <w:i/>
          <w:lang w:val="en-US"/>
        </w:rPr>
        <w:t>locus standi</w:t>
      </w:r>
      <w:r w:rsidR="00E114FD">
        <w:rPr>
          <w:rFonts w:ascii="Arial" w:hAnsi="Arial" w:cs="Arial"/>
          <w:i/>
          <w:lang w:val="en-US"/>
        </w:rPr>
        <w:t xml:space="preserve"> </w:t>
      </w:r>
      <w:r w:rsidR="008B0A36" w:rsidRPr="006A6DDC">
        <w:rPr>
          <w:rFonts w:ascii="Arial" w:hAnsi="Arial" w:cs="Arial"/>
          <w:lang w:val="en-US"/>
        </w:rPr>
        <w:t>to have instituted the action and on that basis the particulars of claim as read with annexures “A” and “C” cannot sustain a cause of action.</w:t>
      </w:r>
      <w:r w:rsidR="00A44F2F" w:rsidRPr="006A6DDC">
        <w:rPr>
          <w:rFonts w:ascii="Arial" w:hAnsi="Arial" w:cs="Arial"/>
          <w:lang w:val="en-US"/>
        </w:rPr>
        <w:t>’</w:t>
      </w:r>
    </w:p>
    <w:p w14:paraId="5165A944" w14:textId="77777777" w:rsidR="00BF2950" w:rsidRPr="006E7581" w:rsidRDefault="00BF2950" w:rsidP="006E7581">
      <w:pPr>
        <w:rPr>
          <w:rFonts w:ascii="Arial" w:hAnsi="Arial" w:cs="Arial"/>
          <w:sz w:val="24"/>
          <w:szCs w:val="24"/>
          <w:lang w:val="en-US"/>
        </w:rPr>
      </w:pPr>
    </w:p>
    <w:p w14:paraId="1A4C495F" w14:textId="6984113F" w:rsidR="00A44F2F" w:rsidRDefault="00BF2950" w:rsidP="00A44F2F">
      <w:pPr>
        <w:rPr>
          <w:rFonts w:ascii="Arial" w:hAnsi="Arial" w:cs="Arial"/>
          <w:iCs/>
          <w:sz w:val="24"/>
          <w:szCs w:val="24"/>
          <w:lang w:val="en-US"/>
        </w:rPr>
      </w:pPr>
      <w:r>
        <w:rPr>
          <w:rFonts w:ascii="Arial" w:hAnsi="Arial" w:cs="Arial"/>
          <w:sz w:val="24"/>
          <w:szCs w:val="24"/>
          <w:lang w:val="en-US"/>
        </w:rPr>
        <w:t>[4]</w:t>
      </w:r>
      <w:r>
        <w:rPr>
          <w:rFonts w:ascii="Arial" w:hAnsi="Arial" w:cs="Arial"/>
          <w:sz w:val="24"/>
          <w:szCs w:val="24"/>
          <w:lang w:val="en-US"/>
        </w:rPr>
        <w:tab/>
      </w:r>
      <w:r w:rsidR="00654EFB">
        <w:rPr>
          <w:rFonts w:ascii="Arial" w:hAnsi="Arial" w:cs="Arial"/>
          <w:sz w:val="24"/>
          <w:szCs w:val="24"/>
          <w:lang w:val="en-US"/>
        </w:rPr>
        <w:t>The special</w:t>
      </w:r>
      <w:r>
        <w:rPr>
          <w:rFonts w:ascii="Arial" w:hAnsi="Arial" w:cs="Arial"/>
          <w:sz w:val="24"/>
          <w:szCs w:val="24"/>
          <w:lang w:val="en-US"/>
        </w:rPr>
        <w:t xml:space="preserve"> plea </w:t>
      </w:r>
      <w:r w:rsidR="00654EFB">
        <w:rPr>
          <w:rFonts w:ascii="Arial" w:hAnsi="Arial" w:cs="Arial"/>
          <w:sz w:val="24"/>
          <w:szCs w:val="24"/>
          <w:lang w:val="en-US"/>
        </w:rPr>
        <w:t>was answered by the following replication:</w:t>
      </w:r>
    </w:p>
    <w:p w14:paraId="133E2795" w14:textId="0A99D906" w:rsidR="00A44F2F" w:rsidRPr="00E114FD" w:rsidRDefault="00E114FD" w:rsidP="00A44F2F">
      <w:pPr>
        <w:rPr>
          <w:rFonts w:ascii="Arial" w:hAnsi="Arial" w:cs="Arial"/>
          <w:lang w:val="en-US"/>
        </w:rPr>
      </w:pPr>
      <w:r w:rsidRPr="00E114FD">
        <w:rPr>
          <w:rFonts w:ascii="Arial" w:hAnsi="Arial" w:cs="Arial"/>
          <w:lang w:val="en-US"/>
        </w:rPr>
        <w:t>‘</w:t>
      </w:r>
      <w:r w:rsidR="00A44F2F" w:rsidRPr="00E114FD">
        <w:rPr>
          <w:rFonts w:ascii="Arial" w:hAnsi="Arial" w:cs="Arial"/>
          <w:lang w:val="en-US"/>
        </w:rPr>
        <w:t>10.1</w:t>
      </w:r>
      <w:r w:rsidR="00A44F2F" w:rsidRPr="00E114FD">
        <w:rPr>
          <w:rFonts w:ascii="Arial" w:hAnsi="Arial" w:cs="Arial"/>
          <w:lang w:val="en-US"/>
        </w:rPr>
        <w:tab/>
        <w:t>The plaintiff denies the defendants’ allegation that the plaintiff does not have locus standi and puts the defendants to the proof thereof.</w:t>
      </w:r>
    </w:p>
    <w:p w14:paraId="337AF28D" w14:textId="279C6F1B" w:rsidR="00A44F2F" w:rsidRPr="00E114FD" w:rsidRDefault="00A44F2F" w:rsidP="00A44F2F">
      <w:pPr>
        <w:rPr>
          <w:rFonts w:ascii="Arial" w:hAnsi="Arial" w:cs="Arial"/>
          <w:lang w:val="en-US"/>
        </w:rPr>
      </w:pPr>
      <w:r w:rsidRPr="00E114FD">
        <w:rPr>
          <w:rFonts w:ascii="Arial" w:hAnsi="Arial" w:cs="Arial"/>
          <w:lang w:val="en-US"/>
        </w:rPr>
        <w:t>10.2</w:t>
      </w:r>
      <w:r w:rsidRPr="00E114FD">
        <w:rPr>
          <w:rFonts w:ascii="Arial" w:hAnsi="Arial" w:cs="Arial"/>
          <w:lang w:val="en-US"/>
        </w:rPr>
        <w:tab/>
      </w:r>
      <w:r w:rsidR="00654EFB">
        <w:rPr>
          <w:rFonts w:ascii="Arial" w:hAnsi="Arial" w:cs="Arial"/>
          <w:lang w:val="en-US"/>
        </w:rPr>
        <w:t>. . .</w:t>
      </w:r>
      <w:r w:rsidRPr="00E114FD">
        <w:rPr>
          <w:rFonts w:ascii="Arial" w:hAnsi="Arial" w:cs="Arial"/>
          <w:lang w:val="en-US"/>
        </w:rPr>
        <w:t xml:space="preserve"> the plaintiff further pleads as follows:</w:t>
      </w:r>
    </w:p>
    <w:p w14:paraId="64334EA6" w14:textId="0595E2D2" w:rsidR="00A44F2F" w:rsidRPr="00E114FD" w:rsidRDefault="00E114FD" w:rsidP="00A44F2F">
      <w:pPr>
        <w:rPr>
          <w:rFonts w:ascii="Arial" w:hAnsi="Arial" w:cs="Arial"/>
          <w:lang w:val="en-US"/>
        </w:rPr>
      </w:pPr>
      <w:r>
        <w:rPr>
          <w:rFonts w:ascii="Arial" w:hAnsi="Arial" w:cs="Arial"/>
          <w:lang w:val="en-US"/>
        </w:rPr>
        <w:t>10.2.1</w:t>
      </w:r>
      <w:r>
        <w:rPr>
          <w:rFonts w:ascii="Arial" w:hAnsi="Arial" w:cs="Arial"/>
          <w:lang w:val="en-US"/>
        </w:rPr>
        <w:tab/>
      </w:r>
      <w:r w:rsidR="00A44F2F" w:rsidRPr="00E114FD">
        <w:rPr>
          <w:rFonts w:ascii="Arial" w:hAnsi="Arial" w:cs="Arial"/>
          <w:lang w:val="en-US"/>
        </w:rPr>
        <w:t>On the 25</w:t>
      </w:r>
      <w:r w:rsidR="00A44F2F" w:rsidRPr="00E114FD">
        <w:rPr>
          <w:rFonts w:ascii="Arial" w:hAnsi="Arial" w:cs="Arial"/>
          <w:vertAlign w:val="superscript"/>
          <w:lang w:val="en-US"/>
        </w:rPr>
        <w:t>th</w:t>
      </w:r>
      <w:r w:rsidR="00A44F2F" w:rsidRPr="00E114FD">
        <w:rPr>
          <w:rFonts w:ascii="Arial" w:hAnsi="Arial" w:cs="Arial"/>
          <w:lang w:val="en-US"/>
        </w:rPr>
        <w:t xml:space="preserve"> of November 2020, Mr Schutte of Karien Schutte Attorneys, forwarded to Mr Essop, who at all material times represented the business rescue practitioner, the draft particulars of claim in this action.</w:t>
      </w:r>
    </w:p>
    <w:p w14:paraId="19F8DE3F" w14:textId="77777777" w:rsidR="00A44F2F" w:rsidRPr="00E114FD" w:rsidRDefault="00A44F2F" w:rsidP="00A44F2F">
      <w:pPr>
        <w:rPr>
          <w:rFonts w:ascii="Arial" w:hAnsi="Arial" w:cs="Arial"/>
          <w:lang w:val="en-US"/>
        </w:rPr>
      </w:pPr>
      <w:r w:rsidRPr="00E114FD">
        <w:rPr>
          <w:rFonts w:ascii="Arial" w:hAnsi="Arial" w:cs="Arial"/>
          <w:lang w:val="en-US"/>
        </w:rPr>
        <w:t>10.2.2</w:t>
      </w:r>
      <w:r w:rsidRPr="00E114FD">
        <w:rPr>
          <w:rFonts w:ascii="Arial" w:hAnsi="Arial" w:cs="Arial"/>
          <w:lang w:val="en-US"/>
        </w:rPr>
        <w:tab/>
        <w:t>Mr Essop was requested by Mr Schutte to obtain the business rescue practitioner’s consent to proceed with the issuing of the action.</w:t>
      </w:r>
    </w:p>
    <w:p w14:paraId="7046F527" w14:textId="77777777" w:rsidR="00A44F2F" w:rsidRPr="00E114FD" w:rsidRDefault="00A44F2F" w:rsidP="00A44F2F">
      <w:pPr>
        <w:rPr>
          <w:rFonts w:ascii="Arial" w:hAnsi="Arial" w:cs="Arial"/>
          <w:lang w:val="en-US"/>
        </w:rPr>
      </w:pPr>
      <w:r w:rsidRPr="00E114FD">
        <w:rPr>
          <w:rFonts w:ascii="Arial" w:hAnsi="Arial" w:cs="Arial"/>
          <w:lang w:val="en-US"/>
        </w:rPr>
        <w:t>10.2.3</w:t>
      </w:r>
      <w:r w:rsidRPr="00E114FD">
        <w:rPr>
          <w:rFonts w:ascii="Arial" w:hAnsi="Arial" w:cs="Arial"/>
          <w:lang w:val="en-US"/>
        </w:rPr>
        <w:tab/>
        <w:t>On the 2</w:t>
      </w:r>
      <w:r w:rsidRPr="00E114FD">
        <w:rPr>
          <w:rFonts w:ascii="Arial" w:hAnsi="Arial" w:cs="Arial"/>
          <w:vertAlign w:val="superscript"/>
          <w:lang w:val="en-US"/>
        </w:rPr>
        <w:t>nd</w:t>
      </w:r>
      <w:r w:rsidRPr="00E114FD">
        <w:rPr>
          <w:rFonts w:ascii="Arial" w:hAnsi="Arial" w:cs="Arial"/>
          <w:lang w:val="en-US"/>
        </w:rPr>
        <w:t xml:space="preserve"> of December 2020, Mr Essop confirmed to Mr Schutte that the business rescue practitioner had consented to the institution of the action.</w:t>
      </w:r>
    </w:p>
    <w:p w14:paraId="0ACFD3B6" w14:textId="77777777" w:rsidR="00A44F2F" w:rsidRPr="00E114FD" w:rsidRDefault="00A44F2F" w:rsidP="00A44F2F">
      <w:pPr>
        <w:rPr>
          <w:rFonts w:ascii="Arial" w:hAnsi="Arial" w:cs="Arial"/>
          <w:lang w:val="en-US"/>
        </w:rPr>
      </w:pPr>
      <w:r w:rsidRPr="00E114FD">
        <w:rPr>
          <w:rFonts w:ascii="Arial" w:hAnsi="Arial" w:cs="Arial"/>
          <w:lang w:val="en-US"/>
        </w:rPr>
        <w:t>10.2.4</w:t>
      </w:r>
      <w:r w:rsidRPr="00E114FD">
        <w:rPr>
          <w:rFonts w:ascii="Arial" w:hAnsi="Arial" w:cs="Arial"/>
          <w:lang w:val="en-US"/>
        </w:rPr>
        <w:tab/>
        <w:t>Karien Schutte Attorneys accordingly proceeded with the issuing of summons.</w:t>
      </w:r>
    </w:p>
    <w:p w14:paraId="26F75CAF" w14:textId="77777777" w:rsidR="00A44F2F" w:rsidRPr="00E114FD" w:rsidRDefault="00A44F2F" w:rsidP="00A44F2F">
      <w:pPr>
        <w:rPr>
          <w:rFonts w:ascii="Arial" w:hAnsi="Arial" w:cs="Arial"/>
          <w:lang w:val="en-US"/>
        </w:rPr>
      </w:pPr>
      <w:r w:rsidRPr="00E114FD">
        <w:rPr>
          <w:rFonts w:ascii="Arial" w:hAnsi="Arial" w:cs="Arial"/>
          <w:lang w:val="en-US"/>
        </w:rPr>
        <w:t>10.2.5</w:t>
      </w:r>
      <w:r w:rsidRPr="00E114FD">
        <w:rPr>
          <w:rFonts w:ascii="Arial" w:hAnsi="Arial" w:cs="Arial"/>
          <w:lang w:val="en-US"/>
        </w:rPr>
        <w:tab/>
        <w:t>However, it later transpired that in confirming consent to proceed, Mr Essop had confused this action with another matter, which was also dealt with by Karien Schutte Attorneys, also on behalf of the plaintiff.</w:t>
      </w:r>
    </w:p>
    <w:p w14:paraId="63BCB183" w14:textId="77777777" w:rsidR="00B15076" w:rsidRPr="00E114FD" w:rsidRDefault="00A44F2F" w:rsidP="00A44F2F">
      <w:pPr>
        <w:rPr>
          <w:rFonts w:ascii="Arial" w:hAnsi="Arial" w:cs="Arial"/>
          <w:lang w:val="en-US"/>
        </w:rPr>
      </w:pPr>
      <w:r w:rsidRPr="00E114FD">
        <w:rPr>
          <w:rFonts w:ascii="Arial" w:hAnsi="Arial" w:cs="Arial"/>
          <w:lang w:val="en-US"/>
        </w:rPr>
        <w:lastRenderedPageBreak/>
        <w:t>10.2.6</w:t>
      </w:r>
      <w:r w:rsidRPr="00E114FD">
        <w:rPr>
          <w:rFonts w:ascii="Arial" w:hAnsi="Arial" w:cs="Arial"/>
          <w:lang w:val="en-US"/>
        </w:rPr>
        <w:tab/>
        <w:t xml:space="preserve">The business rescue practitioner has upon learning the correct situation, and after considering the merits of the plaintiff’s case against the defendants, mandated and authorised the action </w:t>
      </w:r>
      <w:r w:rsidR="00B15076" w:rsidRPr="00E114FD">
        <w:rPr>
          <w:rFonts w:ascii="Arial" w:hAnsi="Arial" w:cs="Arial"/>
          <w:lang w:val="en-US"/>
        </w:rPr>
        <w:t>by plaintiff against the defendants, for which purpose the business rescue practitioner on 3 March 2021 has signed a written power of attorney. The power of attorney is attached to the plaintiff’s reply in terms of Uniform Rule 7(1) and is repeated here, as if specifically pleaded.</w:t>
      </w:r>
    </w:p>
    <w:p w14:paraId="7A58EAAC" w14:textId="77777777" w:rsidR="00B15076" w:rsidRPr="00E114FD" w:rsidRDefault="00B15076" w:rsidP="00A44F2F">
      <w:pPr>
        <w:rPr>
          <w:rFonts w:ascii="Arial" w:hAnsi="Arial" w:cs="Arial"/>
          <w:lang w:val="en-US"/>
        </w:rPr>
      </w:pPr>
      <w:r w:rsidRPr="00E114FD">
        <w:rPr>
          <w:rFonts w:ascii="Arial" w:hAnsi="Arial" w:cs="Arial"/>
          <w:lang w:val="en-US"/>
        </w:rPr>
        <w:t>10.2.7 The business rescue practitioner has also ratified the steps already undertaken by the plaintiff in this action.</w:t>
      </w:r>
    </w:p>
    <w:p w14:paraId="6BE33571" w14:textId="77777777" w:rsidR="00B15076" w:rsidRPr="00E114FD" w:rsidRDefault="00B15076" w:rsidP="00A44F2F">
      <w:pPr>
        <w:rPr>
          <w:rFonts w:ascii="Arial" w:hAnsi="Arial" w:cs="Arial"/>
          <w:lang w:val="en-US"/>
        </w:rPr>
      </w:pPr>
      <w:r w:rsidRPr="00E114FD">
        <w:rPr>
          <w:rFonts w:ascii="Arial" w:hAnsi="Arial" w:cs="Arial"/>
          <w:lang w:val="en-US"/>
        </w:rPr>
        <w:t>10.3</w:t>
      </w:r>
      <w:r w:rsidRPr="00E114FD">
        <w:rPr>
          <w:rFonts w:ascii="Arial" w:hAnsi="Arial" w:cs="Arial"/>
          <w:lang w:val="en-US"/>
        </w:rPr>
        <w:tab/>
        <w:t>The plaintiff accordingly denies the defendants’ allegation that the plaintiff does not have locus standi and puts the defendants to the proof thereof.</w:t>
      </w:r>
    </w:p>
    <w:p w14:paraId="7B32BB4E" w14:textId="77777777" w:rsidR="00B15076" w:rsidRDefault="00B15076" w:rsidP="00A44F2F">
      <w:pPr>
        <w:rPr>
          <w:rFonts w:ascii="Arial" w:hAnsi="Arial" w:cs="Arial"/>
          <w:lang w:val="en-US"/>
        </w:rPr>
      </w:pPr>
      <w:r w:rsidRPr="00E114FD">
        <w:rPr>
          <w:rFonts w:ascii="Arial" w:hAnsi="Arial" w:cs="Arial"/>
          <w:lang w:val="en-US"/>
        </w:rPr>
        <w:t>10.4</w:t>
      </w:r>
      <w:r w:rsidRPr="00E114FD">
        <w:rPr>
          <w:rFonts w:ascii="Arial" w:hAnsi="Arial" w:cs="Arial"/>
          <w:lang w:val="en-US"/>
        </w:rPr>
        <w:tab/>
        <w:t>Alternatively, the plaintiff pleads that the institution of the action was ratified in terms of Section 137(4) of the Companies Act 71 of 2008 by the business rescue practitioner.</w:t>
      </w:r>
    </w:p>
    <w:p w14:paraId="636C576B" w14:textId="67A4C03E" w:rsidR="00177B75" w:rsidRPr="00177B75" w:rsidRDefault="00177B75" w:rsidP="00177B75">
      <w:pPr>
        <w:rPr>
          <w:rFonts w:ascii="Arial" w:hAnsi="Arial" w:cs="Arial"/>
          <w:lang w:val="en-US"/>
        </w:rPr>
      </w:pPr>
      <w:r w:rsidRPr="00177B75">
        <w:rPr>
          <w:rFonts w:ascii="Arial" w:hAnsi="Arial" w:cs="Arial"/>
          <w:lang w:val="en-US"/>
        </w:rPr>
        <w:t xml:space="preserve">10.5 </w:t>
      </w:r>
      <w:r w:rsidRPr="00177B75">
        <w:rPr>
          <w:rFonts w:ascii="Arial" w:hAnsi="Arial" w:cs="Arial"/>
          <w:lang w:val="en-US"/>
        </w:rPr>
        <w:tab/>
        <w:t>Section 137(4) . . . provides:</w:t>
      </w:r>
    </w:p>
    <w:p w14:paraId="0235C251" w14:textId="335C6EE0" w:rsidR="00177B75" w:rsidRPr="00E114FD" w:rsidRDefault="00177B75" w:rsidP="00A44F2F">
      <w:pPr>
        <w:rPr>
          <w:rFonts w:ascii="Arial" w:hAnsi="Arial" w:cs="Arial"/>
          <w:lang w:val="en-US"/>
        </w:rPr>
      </w:pPr>
      <w:r w:rsidRPr="00177B75">
        <w:rPr>
          <w:rFonts w:ascii="Arial" w:hAnsi="Arial" w:cs="Arial"/>
          <w:lang w:val="en-US"/>
        </w:rPr>
        <w:t>If, during a company’s business rescue proceedings, the board, or one or more directors of the company, purports to take any action on behalf of the company that requires the approval of the practitioner, that action is void unless approved by the practitioner.</w:t>
      </w:r>
    </w:p>
    <w:p w14:paraId="780DCDD6" w14:textId="3534AB0F" w:rsidR="00BF2950" w:rsidRDefault="00654EFB" w:rsidP="00BF2950">
      <w:pPr>
        <w:rPr>
          <w:rFonts w:ascii="Arial" w:hAnsi="Arial" w:cs="Arial"/>
          <w:lang w:val="en-US"/>
        </w:rPr>
      </w:pPr>
      <w:r>
        <w:rPr>
          <w:rFonts w:ascii="Arial" w:hAnsi="Arial" w:cs="Arial"/>
          <w:lang w:val="en-US"/>
        </w:rPr>
        <w:t>. . .</w:t>
      </w:r>
      <w:r w:rsidR="00B15076" w:rsidRPr="00E114FD">
        <w:rPr>
          <w:rFonts w:ascii="Arial" w:hAnsi="Arial" w:cs="Arial"/>
          <w:lang w:val="en-US"/>
        </w:rPr>
        <w:t>’</w:t>
      </w:r>
      <w:r w:rsidR="00ED23DB" w:rsidRPr="00E114FD">
        <w:rPr>
          <w:rFonts w:ascii="Arial" w:hAnsi="Arial" w:cs="Arial"/>
          <w:lang w:val="en-US"/>
        </w:rPr>
        <w:t xml:space="preserve"> </w:t>
      </w:r>
    </w:p>
    <w:p w14:paraId="6AD4E133" w14:textId="77777777" w:rsidR="00177B75" w:rsidRPr="00177B75" w:rsidRDefault="00177B75" w:rsidP="00BF2950">
      <w:pPr>
        <w:rPr>
          <w:rFonts w:ascii="Arial" w:hAnsi="Arial" w:cs="Arial"/>
          <w:lang w:val="en-US"/>
        </w:rPr>
      </w:pPr>
    </w:p>
    <w:p w14:paraId="3351ECAA" w14:textId="722C975A" w:rsidR="006A6DDC" w:rsidRPr="00576AAB" w:rsidRDefault="007B7D50" w:rsidP="006A6DDC">
      <w:pPr>
        <w:rPr>
          <w:rFonts w:ascii="Arial" w:hAnsi="Arial" w:cs="Arial"/>
          <w:sz w:val="24"/>
          <w:szCs w:val="24"/>
          <w:lang w:val="en-US"/>
        </w:rPr>
      </w:pPr>
      <w:r>
        <w:rPr>
          <w:rFonts w:ascii="Arial" w:hAnsi="Arial" w:cs="Arial"/>
          <w:sz w:val="24"/>
          <w:szCs w:val="24"/>
          <w:lang w:val="en-US"/>
        </w:rPr>
        <w:t>[</w:t>
      </w:r>
      <w:r w:rsidR="00654EFB">
        <w:rPr>
          <w:rFonts w:ascii="Arial" w:hAnsi="Arial" w:cs="Arial"/>
          <w:sz w:val="24"/>
          <w:szCs w:val="24"/>
          <w:lang w:val="en-US"/>
        </w:rPr>
        <w:t>5</w:t>
      </w:r>
      <w:r>
        <w:rPr>
          <w:rFonts w:ascii="Arial" w:hAnsi="Arial" w:cs="Arial"/>
          <w:sz w:val="24"/>
          <w:szCs w:val="24"/>
          <w:lang w:val="en-US"/>
        </w:rPr>
        <w:t>]</w:t>
      </w:r>
      <w:r w:rsidR="00576AAB">
        <w:rPr>
          <w:rFonts w:ascii="Arial" w:hAnsi="Arial" w:cs="Arial"/>
          <w:sz w:val="24"/>
          <w:szCs w:val="24"/>
          <w:lang w:val="en-US"/>
        </w:rPr>
        <w:tab/>
      </w:r>
      <w:r w:rsidR="00177B75">
        <w:rPr>
          <w:rFonts w:ascii="Arial" w:hAnsi="Arial" w:cs="Arial"/>
          <w:sz w:val="24"/>
          <w:szCs w:val="24"/>
          <w:lang w:val="en-US"/>
        </w:rPr>
        <w:t xml:space="preserve">We have quoted </w:t>
      </w:r>
      <w:r w:rsidR="00177B75">
        <w:rPr>
          <w:rFonts w:ascii="Arial" w:hAnsi="Arial" w:cs="Arial"/>
          <w:i/>
          <w:iCs/>
          <w:sz w:val="24"/>
          <w:szCs w:val="24"/>
          <w:lang w:val="en-US"/>
        </w:rPr>
        <w:t xml:space="preserve">in extenso </w:t>
      </w:r>
      <w:r w:rsidR="00177B75">
        <w:rPr>
          <w:rFonts w:ascii="Arial" w:hAnsi="Arial" w:cs="Arial"/>
          <w:sz w:val="24"/>
          <w:szCs w:val="24"/>
          <w:lang w:val="en-US"/>
        </w:rPr>
        <w:t>from the pleadings to show that the high court appears to have misapprehended the enquiry. It</w:t>
      </w:r>
      <w:r w:rsidR="006A6DDC">
        <w:rPr>
          <w:rFonts w:ascii="Arial" w:hAnsi="Arial" w:cs="Arial"/>
          <w:sz w:val="24"/>
          <w:szCs w:val="24"/>
          <w:lang w:val="en-US"/>
        </w:rPr>
        <w:t xml:space="preserve"> approached the enquiry on the basis of the general rule that ‘a contract or agreement which is expressly prohibited by statute is illegal and null and void’ (</w:t>
      </w:r>
      <w:r w:rsidR="006A6DDC">
        <w:rPr>
          <w:rFonts w:ascii="Arial" w:hAnsi="Arial" w:cs="Arial"/>
          <w:i/>
          <w:iCs/>
          <w:sz w:val="24"/>
          <w:szCs w:val="24"/>
          <w:lang w:val="en-US"/>
        </w:rPr>
        <w:t>Neugarten and Others v Standard Bank of South Africa Ltd</w:t>
      </w:r>
      <w:r w:rsidR="001A48BB" w:rsidRPr="001A48BB">
        <w:rPr>
          <w:rStyle w:val="FootnoteReference"/>
          <w:rFonts w:ascii="Arial" w:hAnsi="Arial" w:cs="Arial"/>
          <w:iCs/>
          <w:sz w:val="24"/>
          <w:szCs w:val="24"/>
          <w:lang w:val="en-US"/>
        </w:rPr>
        <w:footnoteReference w:id="1"/>
      </w:r>
      <w:r w:rsidR="006A6DDC">
        <w:rPr>
          <w:rFonts w:ascii="Arial" w:hAnsi="Arial" w:cs="Arial"/>
          <w:sz w:val="24"/>
          <w:szCs w:val="24"/>
          <w:lang w:val="en-US"/>
        </w:rPr>
        <w:t>). However, with respect to the high court</w:t>
      </w:r>
      <w:r w:rsidR="00177B75">
        <w:rPr>
          <w:rFonts w:ascii="Arial" w:hAnsi="Arial" w:cs="Arial"/>
          <w:sz w:val="24"/>
          <w:szCs w:val="24"/>
          <w:lang w:val="en-US"/>
        </w:rPr>
        <w:t>,</w:t>
      </w:r>
      <w:r w:rsidR="006A6DDC">
        <w:rPr>
          <w:rFonts w:ascii="Arial" w:hAnsi="Arial" w:cs="Arial"/>
          <w:sz w:val="24"/>
          <w:szCs w:val="24"/>
          <w:lang w:val="en-US"/>
        </w:rPr>
        <w:t xml:space="preserve"> that was to misconstrue the enquiry. </w:t>
      </w:r>
    </w:p>
    <w:p w14:paraId="68F111C5" w14:textId="77777777" w:rsidR="006A6DDC" w:rsidRDefault="006A6DDC" w:rsidP="006A6DDC">
      <w:pPr>
        <w:rPr>
          <w:rFonts w:ascii="Arial" w:hAnsi="Arial" w:cs="Arial"/>
          <w:sz w:val="24"/>
          <w:szCs w:val="24"/>
          <w:lang w:val="en-US"/>
        </w:rPr>
      </w:pPr>
    </w:p>
    <w:p w14:paraId="51BEBFD5" w14:textId="2C1E6576" w:rsidR="006A6DDC" w:rsidRPr="00576AAB" w:rsidRDefault="003F3136" w:rsidP="006A6DDC">
      <w:pPr>
        <w:rPr>
          <w:rFonts w:ascii="Arial" w:hAnsi="Arial" w:cs="Arial"/>
          <w:sz w:val="24"/>
          <w:szCs w:val="24"/>
          <w:lang w:val="af-ZA"/>
        </w:rPr>
      </w:pPr>
      <w:r>
        <w:rPr>
          <w:rFonts w:ascii="Arial" w:hAnsi="Arial" w:cs="Arial"/>
          <w:sz w:val="24"/>
          <w:szCs w:val="24"/>
          <w:lang w:val="en-US"/>
        </w:rPr>
        <w:t>[</w:t>
      </w:r>
      <w:r w:rsidR="00177B75">
        <w:rPr>
          <w:rFonts w:ascii="Arial" w:hAnsi="Arial" w:cs="Arial"/>
          <w:sz w:val="24"/>
          <w:szCs w:val="24"/>
          <w:lang w:val="en-US"/>
        </w:rPr>
        <w:t>6</w:t>
      </w:r>
      <w:r w:rsidR="00E114FD">
        <w:rPr>
          <w:rFonts w:ascii="Arial" w:hAnsi="Arial" w:cs="Arial"/>
          <w:sz w:val="24"/>
          <w:szCs w:val="24"/>
          <w:lang w:val="en-US"/>
        </w:rPr>
        <w:t>]</w:t>
      </w:r>
      <w:r w:rsidR="00E114FD">
        <w:rPr>
          <w:rFonts w:ascii="Arial" w:hAnsi="Arial" w:cs="Arial"/>
          <w:sz w:val="24"/>
          <w:szCs w:val="24"/>
          <w:lang w:val="en-US"/>
        </w:rPr>
        <w:tab/>
      </w:r>
      <w:r w:rsidR="006A6DDC" w:rsidRPr="0080339B">
        <w:rPr>
          <w:rFonts w:ascii="Arial" w:hAnsi="Arial" w:cs="Arial"/>
          <w:i/>
          <w:iCs/>
          <w:sz w:val="24"/>
          <w:szCs w:val="24"/>
          <w:lang w:val="af-ZA"/>
        </w:rPr>
        <w:t>Locus standi in iudicio</w:t>
      </w:r>
      <w:r>
        <w:rPr>
          <w:rFonts w:ascii="Arial" w:hAnsi="Arial" w:cs="Arial"/>
          <w:sz w:val="24"/>
          <w:szCs w:val="24"/>
          <w:lang w:val="af-ZA"/>
        </w:rPr>
        <w:t xml:space="preserve"> </w:t>
      </w:r>
      <w:r w:rsidR="006A6DDC" w:rsidRPr="0080339B">
        <w:rPr>
          <w:rFonts w:ascii="Arial" w:hAnsi="Arial" w:cs="Arial"/>
          <w:sz w:val="24"/>
          <w:szCs w:val="24"/>
          <w:lang w:val="af-ZA"/>
        </w:rPr>
        <w:t>is an access mechanism controlled by the court itself.</w:t>
      </w:r>
      <w:r w:rsidR="006A6DDC" w:rsidRPr="0080339B">
        <w:rPr>
          <w:rFonts w:ascii="Arial" w:hAnsi="Arial" w:cs="Arial"/>
          <w:sz w:val="24"/>
          <w:szCs w:val="24"/>
          <w:vertAlign w:val="superscript"/>
          <w:lang w:val="af-ZA"/>
        </w:rPr>
        <w:footnoteReference w:id="2"/>
      </w:r>
      <w:r w:rsidR="006A6DDC" w:rsidRPr="0080339B">
        <w:rPr>
          <w:rFonts w:ascii="Arial" w:hAnsi="Arial" w:cs="Arial"/>
          <w:sz w:val="24"/>
          <w:szCs w:val="24"/>
          <w:lang w:val="af-ZA"/>
        </w:rPr>
        <w:t xml:space="preserve"> </w:t>
      </w:r>
      <w:r w:rsidR="00177B75" w:rsidRPr="00177B75">
        <w:rPr>
          <w:rFonts w:ascii="Arial" w:hAnsi="Arial" w:cs="Arial"/>
          <w:sz w:val="24"/>
          <w:szCs w:val="24"/>
        </w:rPr>
        <w:t xml:space="preserve">Generally, the requirements for </w:t>
      </w:r>
      <w:r w:rsidR="00177B75" w:rsidRPr="00EB595C">
        <w:rPr>
          <w:rFonts w:ascii="Arial" w:hAnsi="Arial" w:cs="Arial"/>
          <w:i/>
          <w:sz w:val="24"/>
          <w:szCs w:val="24"/>
        </w:rPr>
        <w:t>locus standi</w:t>
      </w:r>
      <w:r w:rsidR="00177B75" w:rsidRPr="00EB595C">
        <w:rPr>
          <w:rFonts w:ascii="Arial" w:hAnsi="Arial" w:cs="Arial"/>
          <w:sz w:val="24"/>
          <w:szCs w:val="24"/>
        </w:rPr>
        <w:t xml:space="preserve"> are these: the plaintiff must have an adequate interest in the subject matter of the litigation, usually described as a direct interest in the relief sought; the interest must not be too remote; the interest must be actual, not abstract or academic; and</w:t>
      </w:r>
      <w:r w:rsidR="00576AAB" w:rsidRPr="00EB595C">
        <w:rPr>
          <w:rFonts w:ascii="Arial" w:hAnsi="Arial" w:cs="Arial"/>
          <w:sz w:val="24"/>
          <w:szCs w:val="24"/>
        </w:rPr>
        <w:t>,</w:t>
      </w:r>
      <w:r w:rsidR="00177B75" w:rsidRPr="00EB595C">
        <w:rPr>
          <w:rFonts w:ascii="Arial" w:hAnsi="Arial" w:cs="Arial"/>
          <w:sz w:val="24"/>
          <w:szCs w:val="24"/>
        </w:rPr>
        <w:t xml:space="preserve"> it must be a current interest and not a</w:t>
      </w:r>
      <w:r w:rsidR="00177B75" w:rsidRPr="00177B75">
        <w:rPr>
          <w:rFonts w:ascii="Arial" w:hAnsi="Arial" w:cs="Arial"/>
          <w:sz w:val="24"/>
          <w:szCs w:val="24"/>
        </w:rPr>
        <w:t xml:space="preserve"> hypothetical one.</w:t>
      </w:r>
      <w:r w:rsidR="00177B75" w:rsidRPr="00177B75">
        <w:rPr>
          <w:rFonts w:ascii="Arial" w:hAnsi="Arial" w:cs="Arial"/>
          <w:sz w:val="24"/>
          <w:szCs w:val="24"/>
          <w:vertAlign w:val="superscript"/>
        </w:rPr>
        <w:footnoteReference w:id="3"/>
      </w:r>
      <w:r w:rsidR="00576AAB">
        <w:rPr>
          <w:rFonts w:ascii="Arial" w:hAnsi="Arial" w:cs="Arial"/>
          <w:sz w:val="24"/>
          <w:szCs w:val="24"/>
          <w:lang w:val="af-ZA"/>
        </w:rPr>
        <w:t xml:space="preserve"> </w:t>
      </w:r>
      <w:r w:rsidR="006A6DDC" w:rsidRPr="0080339B">
        <w:rPr>
          <w:rFonts w:ascii="Arial" w:hAnsi="Arial" w:cs="Arial"/>
          <w:sz w:val="24"/>
          <w:szCs w:val="24"/>
        </w:rPr>
        <w:t>Standing is thus not just a procedural question</w:t>
      </w:r>
      <w:r w:rsidR="006A6DDC">
        <w:rPr>
          <w:rFonts w:ascii="Arial" w:hAnsi="Arial" w:cs="Arial"/>
          <w:sz w:val="24"/>
          <w:szCs w:val="24"/>
        </w:rPr>
        <w:t>,</w:t>
      </w:r>
      <w:r w:rsidR="006A6DDC" w:rsidRPr="0080339B">
        <w:rPr>
          <w:rFonts w:ascii="Arial" w:hAnsi="Arial" w:cs="Arial"/>
          <w:sz w:val="24"/>
          <w:szCs w:val="24"/>
        </w:rPr>
        <w:t xml:space="preserve"> </w:t>
      </w:r>
      <w:r w:rsidR="006A6DDC">
        <w:rPr>
          <w:rFonts w:ascii="Arial" w:hAnsi="Arial" w:cs="Arial"/>
          <w:sz w:val="24"/>
          <w:szCs w:val="24"/>
        </w:rPr>
        <w:t>i</w:t>
      </w:r>
      <w:r w:rsidR="006A6DDC" w:rsidRPr="0080339B">
        <w:rPr>
          <w:rFonts w:ascii="Arial" w:hAnsi="Arial" w:cs="Arial"/>
          <w:sz w:val="24"/>
          <w:szCs w:val="24"/>
        </w:rPr>
        <w:t xml:space="preserve">t is also a question of substance, concerning as it does the sufficiency of a litigant’s interest in the </w:t>
      </w:r>
      <w:r w:rsidR="006A6DDC" w:rsidRPr="0080339B">
        <w:rPr>
          <w:rFonts w:ascii="Arial" w:hAnsi="Arial" w:cs="Arial"/>
          <w:sz w:val="24"/>
          <w:szCs w:val="24"/>
        </w:rPr>
        <w:lastRenderedPageBreak/>
        <w:t>proceedings.</w:t>
      </w:r>
      <w:r w:rsidR="006A6DDC" w:rsidRPr="0080339B">
        <w:rPr>
          <w:rFonts w:ascii="Arial" w:hAnsi="Arial" w:cs="Arial"/>
          <w:sz w:val="24"/>
          <w:szCs w:val="24"/>
          <w:vertAlign w:val="superscript"/>
        </w:rPr>
        <w:footnoteReference w:id="4"/>
      </w:r>
      <w:r w:rsidR="006A6DDC" w:rsidRPr="0080339B">
        <w:rPr>
          <w:rFonts w:ascii="Arial" w:hAnsi="Arial" w:cs="Arial"/>
          <w:sz w:val="24"/>
          <w:szCs w:val="24"/>
        </w:rPr>
        <w:t xml:space="preserve"> The sufficiency of the interest depends on the particular facts in any given situation.</w:t>
      </w:r>
      <w:r w:rsidR="006A6DDC" w:rsidRPr="0080339B">
        <w:rPr>
          <w:rFonts w:ascii="Arial" w:hAnsi="Arial" w:cs="Arial"/>
          <w:sz w:val="24"/>
          <w:szCs w:val="24"/>
          <w:vertAlign w:val="superscript"/>
        </w:rPr>
        <w:footnoteReference w:id="5"/>
      </w:r>
      <w:r w:rsidR="006A6DDC" w:rsidRPr="0080339B">
        <w:rPr>
          <w:rFonts w:ascii="Arial" w:hAnsi="Arial" w:cs="Arial"/>
          <w:sz w:val="24"/>
          <w:szCs w:val="24"/>
        </w:rPr>
        <w:t xml:space="preserve"> </w:t>
      </w:r>
      <w:r w:rsidR="006A6DDC" w:rsidRPr="0080339B">
        <w:rPr>
          <w:rFonts w:ascii="Arial" w:hAnsi="Arial" w:cs="Arial"/>
          <w:iCs/>
          <w:sz w:val="24"/>
          <w:szCs w:val="24"/>
        </w:rPr>
        <w:t xml:space="preserve">The real enquiry </w:t>
      </w:r>
      <w:r w:rsidR="006A6DDC">
        <w:rPr>
          <w:rFonts w:ascii="Arial" w:hAnsi="Arial" w:cs="Arial"/>
          <w:iCs/>
          <w:sz w:val="24"/>
          <w:szCs w:val="24"/>
        </w:rPr>
        <w:t>being</w:t>
      </w:r>
      <w:r w:rsidR="006A6DDC" w:rsidRPr="0080339B">
        <w:rPr>
          <w:rFonts w:ascii="Arial" w:hAnsi="Arial" w:cs="Arial"/>
          <w:iCs/>
          <w:sz w:val="24"/>
          <w:szCs w:val="24"/>
        </w:rPr>
        <w:t xml:space="preserve"> whether the events constitute a wrong as against the litigant.</w:t>
      </w:r>
      <w:r w:rsidR="006A6DDC" w:rsidRPr="0080339B">
        <w:rPr>
          <w:rFonts w:ascii="Arial" w:hAnsi="Arial" w:cs="Arial"/>
          <w:iCs/>
          <w:sz w:val="24"/>
          <w:szCs w:val="24"/>
          <w:vertAlign w:val="superscript"/>
        </w:rPr>
        <w:footnoteReference w:id="6"/>
      </w:r>
    </w:p>
    <w:p w14:paraId="5EB62B83" w14:textId="77777777" w:rsidR="00177B75" w:rsidRDefault="00177B75" w:rsidP="006A6DDC">
      <w:pPr>
        <w:rPr>
          <w:rFonts w:ascii="Arial" w:hAnsi="Arial" w:cs="Arial"/>
          <w:iCs/>
          <w:sz w:val="24"/>
          <w:szCs w:val="24"/>
        </w:rPr>
      </w:pPr>
    </w:p>
    <w:p w14:paraId="1DD22779" w14:textId="1756D549" w:rsidR="006A6DDC" w:rsidRDefault="003F3136" w:rsidP="006A6DDC">
      <w:pPr>
        <w:rPr>
          <w:rFonts w:ascii="Arial" w:hAnsi="Arial" w:cs="Arial"/>
          <w:sz w:val="24"/>
          <w:szCs w:val="24"/>
        </w:rPr>
      </w:pPr>
      <w:r>
        <w:rPr>
          <w:rFonts w:ascii="Arial" w:hAnsi="Arial" w:cs="Arial"/>
          <w:sz w:val="24"/>
          <w:szCs w:val="24"/>
          <w:lang w:val="en-US"/>
        </w:rPr>
        <w:t>[</w:t>
      </w:r>
      <w:r w:rsidR="00576AAB">
        <w:rPr>
          <w:rFonts w:ascii="Arial" w:hAnsi="Arial" w:cs="Arial"/>
          <w:sz w:val="24"/>
          <w:szCs w:val="24"/>
          <w:lang w:val="en-US"/>
        </w:rPr>
        <w:t>7</w:t>
      </w:r>
      <w:r>
        <w:rPr>
          <w:rFonts w:ascii="Arial" w:hAnsi="Arial" w:cs="Arial"/>
          <w:sz w:val="24"/>
          <w:szCs w:val="24"/>
          <w:lang w:val="en-US"/>
        </w:rPr>
        <w:t>]</w:t>
      </w:r>
      <w:r w:rsidR="00576AAB">
        <w:rPr>
          <w:rFonts w:ascii="Arial" w:hAnsi="Arial" w:cs="Arial"/>
          <w:sz w:val="24"/>
          <w:szCs w:val="24"/>
          <w:lang w:val="en-US"/>
        </w:rPr>
        <w:tab/>
        <w:t>T</w:t>
      </w:r>
      <w:r w:rsidR="006A6DDC">
        <w:rPr>
          <w:rFonts w:ascii="Arial" w:hAnsi="Arial" w:cs="Arial"/>
          <w:sz w:val="24"/>
          <w:szCs w:val="24"/>
        </w:rPr>
        <w:t>he high court failed to consider whether, in each instance, the claim asserted was indeed in the nature of an ‘action’ that ‘requires the approval of the practitioner’ as contemplated by the section. Absent that determination, the special plea could not succeed. This</w:t>
      </w:r>
      <w:r w:rsidR="00576AAB">
        <w:rPr>
          <w:rFonts w:ascii="Arial" w:hAnsi="Arial" w:cs="Arial"/>
          <w:sz w:val="24"/>
          <w:szCs w:val="24"/>
        </w:rPr>
        <w:t>,</w:t>
      </w:r>
      <w:r w:rsidR="006A6DDC">
        <w:rPr>
          <w:rFonts w:ascii="Arial" w:hAnsi="Arial" w:cs="Arial"/>
          <w:sz w:val="24"/>
          <w:szCs w:val="24"/>
        </w:rPr>
        <w:t xml:space="preserve"> because w</w:t>
      </w:r>
      <w:r w:rsidR="006A6DDC" w:rsidRPr="001F315D">
        <w:rPr>
          <w:rFonts w:ascii="Arial" w:hAnsi="Arial" w:cs="Arial"/>
          <w:sz w:val="24"/>
          <w:szCs w:val="24"/>
        </w:rPr>
        <w:t xml:space="preserve">here </w:t>
      </w:r>
      <w:r w:rsidR="006A6DDC" w:rsidRPr="003F3136">
        <w:rPr>
          <w:rFonts w:ascii="Arial" w:hAnsi="Arial" w:cs="Arial"/>
          <w:i/>
          <w:sz w:val="24"/>
          <w:szCs w:val="24"/>
        </w:rPr>
        <w:t>locus standi</w:t>
      </w:r>
      <w:r w:rsidR="006A6DDC" w:rsidRPr="001F315D">
        <w:rPr>
          <w:rFonts w:ascii="Arial" w:hAnsi="Arial" w:cs="Arial"/>
          <w:sz w:val="24"/>
          <w:szCs w:val="24"/>
        </w:rPr>
        <w:t xml:space="preserve"> is challenged, it must be dealt with on the assumption that all allegations of fact</w:t>
      </w:r>
      <w:r>
        <w:rPr>
          <w:rFonts w:ascii="Arial" w:hAnsi="Arial" w:cs="Arial"/>
          <w:sz w:val="24"/>
          <w:szCs w:val="24"/>
        </w:rPr>
        <w:t xml:space="preserve"> relied upon by the party whose </w:t>
      </w:r>
      <w:r w:rsidR="006A6DDC" w:rsidRPr="001F315D">
        <w:rPr>
          <w:rFonts w:ascii="Arial" w:hAnsi="Arial" w:cs="Arial"/>
          <w:i/>
          <w:iCs/>
          <w:sz w:val="24"/>
          <w:szCs w:val="24"/>
        </w:rPr>
        <w:t>locus standi</w:t>
      </w:r>
      <w:r>
        <w:rPr>
          <w:rFonts w:ascii="Arial" w:hAnsi="Arial" w:cs="Arial"/>
          <w:sz w:val="24"/>
          <w:szCs w:val="24"/>
        </w:rPr>
        <w:t xml:space="preserve"> </w:t>
      </w:r>
      <w:r w:rsidR="006A6DDC" w:rsidRPr="001F315D">
        <w:rPr>
          <w:rFonts w:ascii="Arial" w:hAnsi="Arial" w:cs="Arial"/>
          <w:sz w:val="24"/>
          <w:szCs w:val="24"/>
        </w:rPr>
        <w:t>is attacked are true.</w:t>
      </w:r>
      <w:r w:rsidR="006A6DDC" w:rsidRPr="001F315D">
        <w:rPr>
          <w:rFonts w:ascii="Arial" w:hAnsi="Arial" w:cs="Arial"/>
          <w:sz w:val="24"/>
          <w:szCs w:val="24"/>
          <w:vertAlign w:val="superscript"/>
        </w:rPr>
        <w:footnoteReference w:id="7"/>
      </w:r>
      <w:r w:rsidR="006A6DDC" w:rsidRPr="001F315D">
        <w:rPr>
          <w:rFonts w:ascii="Arial" w:hAnsi="Arial" w:cs="Arial"/>
          <w:sz w:val="24"/>
          <w:szCs w:val="24"/>
        </w:rPr>
        <w:t xml:space="preserve"> </w:t>
      </w:r>
      <w:r w:rsidR="006A6DDC">
        <w:rPr>
          <w:rFonts w:ascii="Arial" w:hAnsi="Arial" w:cs="Arial"/>
          <w:sz w:val="24"/>
          <w:szCs w:val="24"/>
        </w:rPr>
        <w:t xml:space="preserve">Properly construed, as the debate at the bar in </w:t>
      </w:r>
      <w:r w:rsidR="006A6DDC" w:rsidRPr="00EB595C">
        <w:rPr>
          <w:rFonts w:ascii="Arial" w:hAnsi="Arial" w:cs="Arial"/>
          <w:sz w:val="24"/>
          <w:szCs w:val="24"/>
        </w:rPr>
        <w:t xml:space="preserve">this </w:t>
      </w:r>
      <w:r w:rsidR="00332152" w:rsidRPr="00EB595C">
        <w:rPr>
          <w:rFonts w:ascii="Arial" w:hAnsi="Arial" w:cs="Arial"/>
          <w:sz w:val="24"/>
          <w:szCs w:val="24"/>
        </w:rPr>
        <w:t>C</w:t>
      </w:r>
      <w:r w:rsidR="006A6DDC" w:rsidRPr="00EB595C">
        <w:rPr>
          <w:rFonts w:ascii="Arial" w:hAnsi="Arial" w:cs="Arial"/>
          <w:sz w:val="24"/>
          <w:szCs w:val="24"/>
        </w:rPr>
        <w:t>ourt</w:t>
      </w:r>
      <w:r w:rsidR="006A6DDC">
        <w:rPr>
          <w:rFonts w:ascii="Arial" w:hAnsi="Arial" w:cs="Arial"/>
          <w:sz w:val="24"/>
          <w:szCs w:val="24"/>
        </w:rPr>
        <w:t xml:space="preserve"> </w:t>
      </w:r>
      <w:r w:rsidR="00576AAB">
        <w:rPr>
          <w:rFonts w:ascii="Arial" w:hAnsi="Arial" w:cs="Arial"/>
          <w:sz w:val="24"/>
          <w:szCs w:val="24"/>
        </w:rPr>
        <w:t>appeared</w:t>
      </w:r>
      <w:r w:rsidR="006A6DDC">
        <w:rPr>
          <w:rFonts w:ascii="Arial" w:hAnsi="Arial" w:cs="Arial"/>
          <w:sz w:val="24"/>
          <w:szCs w:val="24"/>
        </w:rPr>
        <w:t xml:space="preserve"> to demonstrate, the </w:t>
      </w:r>
      <w:r w:rsidR="006A6DDC" w:rsidRPr="00E0168B">
        <w:rPr>
          <w:rFonts w:ascii="Arial" w:hAnsi="Arial" w:cs="Arial"/>
          <w:sz w:val="24"/>
          <w:szCs w:val="24"/>
        </w:rPr>
        <w:t xml:space="preserve">question </w:t>
      </w:r>
      <w:r w:rsidR="00902A2A" w:rsidRPr="00E0168B">
        <w:rPr>
          <w:rFonts w:ascii="Arial" w:hAnsi="Arial" w:cs="Arial"/>
          <w:sz w:val="24"/>
          <w:szCs w:val="24"/>
        </w:rPr>
        <w:t xml:space="preserve">perhaps is </w:t>
      </w:r>
      <w:r w:rsidR="006A6DDC" w:rsidRPr="00E0168B">
        <w:rPr>
          <w:rFonts w:ascii="Arial" w:hAnsi="Arial" w:cs="Arial"/>
          <w:sz w:val="24"/>
          <w:szCs w:val="24"/>
        </w:rPr>
        <w:t>rather whether the claim</w:t>
      </w:r>
      <w:r w:rsidR="00D77B5B" w:rsidRPr="00E0168B">
        <w:rPr>
          <w:rFonts w:ascii="Arial" w:hAnsi="Arial" w:cs="Arial"/>
          <w:sz w:val="24"/>
          <w:szCs w:val="24"/>
        </w:rPr>
        <w:t>s</w:t>
      </w:r>
      <w:r w:rsidR="006A6DDC" w:rsidRPr="00E0168B">
        <w:rPr>
          <w:rFonts w:ascii="Arial" w:hAnsi="Arial" w:cs="Arial"/>
          <w:sz w:val="24"/>
          <w:szCs w:val="24"/>
        </w:rPr>
        <w:t xml:space="preserve"> as pleaded </w:t>
      </w:r>
      <w:r w:rsidR="00D77B5B" w:rsidRPr="00E0168B">
        <w:rPr>
          <w:rFonts w:ascii="Arial" w:hAnsi="Arial" w:cs="Arial"/>
          <w:sz w:val="24"/>
          <w:szCs w:val="24"/>
        </w:rPr>
        <w:t xml:space="preserve">are </w:t>
      </w:r>
      <w:r w:rsidR="006A6DDC" w:rsidRPr="00E0168B">
        <w:rPr>
          <w:rFonts w:ascii="Arial" w:hAnsi="Arial" w:cs="Arial"/>
          <w:sz w:val="24"/>
          <w:szCs w:val="24"/>
        </w:rPr>
        <w:t>bad</w:t>
      </w:r>
      <w:r w:rsidR="006A6DDC">
        <w:rPr>
          <w:rFonts w:ascii="Arial" w:hAnsi="Arial" w:cs="Arial"/>
          <w:sz w:val="24"/>
          <w:szCs w:val="24"/>
        </w:rPr>
        <w:t xml:space="preserve"> in law. But, that is not before us for the present and need not detain us.</w:t>
      </w:r>
    </w:p>
    <w:p w14:paraId="22411650" w14:textId="77777777" w:rsidR="006A6DDC" w:rsidRDefault="006A6DDC" w:rsidP="006A6DDC">
      <w:pPr>
        <w:rPr>
          <w:rFonts w:ascii="Arial" w:hAnsi="Arial" w:cs="Arial"/>
          <w:sz w:val="24"/>
          <w:szCs w:val="24"/>
        </w:rPr>
      </w:pPr>
    </w:p>
    <w:p w14:paraId="37743051" w14:textId="3C9B319D" w:rsidR="00D233FD" w:rsidRDefault="003F3136" w:rsidP="006A6DDC">
      <w:pPr>
        <w:rPr>
          <w:rFonts w:ascii="Arial" w:hAnsi="Arial" w:cs="Arial"/>
          <w:sz w:val="24"/>
          <w:szCs w:val="24"/>
          <w:lang w:val="en-US"/>
        </w:rPr>
      </w:pPr>
      <w:r>
        <w:rPr>
          <w:rFonts w:ascii="Arial" w:hAnsi="Arial" w:cs="Arial"/>
          <w:sz w:val="24"/>
          <w:szCs w:val="24"/>
          <w:lang w:val="en-US"/>
        </w:rPr>
        <w:t>[</w:t>
      </w:r>
      <w:r w:rsidR="00576AAB">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r>
      <w:r w:rsidR="006A6DDC" w:rsidRPr="0081347B">
        <w:rPr>
          <w:rFonts w:ascii="Arial" w:hAnsi="Arial" w:cs="Arial"/>
          <w:sz w:val="24"/>
          <w:szCs w:val="24"/>
        </w:rPr>
        <w:t xml:space="preserve">On the strength of its finding on voidness, the high court concluded that </w:t>
      </w:r>
      <w:r w:rsidR="006A6DDC" w:rsidRPr="0081347B">
        <w:rPr>
          <w:rFonts w:ascii="Arial" w:hAnsi="Arial" w:cs="Arial"/>
          <w:i/>
          <w:iCs/>
          <w:sz w:val="24"/>
          <w:szCs w:val="24"/>
        </w:rPr>
        <w:t>ex post facto</w:t>
      </w:r>
      <w:r w:rsidR="006A6DDC" w:rsidRPr="0081347B">
        <w:rPr>
          <w:rFonts w:ascii="Arial" w:hAnsi="Arial" w:cs="Arial"/>
          <w:sz w:val="24"/>
          <w:szCs w:val="24"/>
        </w:rPr>
        <w:t xml:space="preserve"> ratification was not possible. As the former has been found to be wanting, the latter must suffer a similar fate. </w:t>
      </w:r>
      <w:r>
        <w:rPr>
          <w:rFonts w:ascii="Arial" w:hAnsi="Arial" w:cs="Arial"/>
          <w:sz w:val="24"/>
          <w:szCs w:val="24"/>
        </w:rPr>
        <w:t xml:space="preserve">In any event, </w:t>
      </w:r>
      <w:r w:rsidRPr="0081347B">
        <w:rPr>
          <w:rFonts w:ascii="Arial" w:hAnsi="Arial" w:cs="Arial"/>
          <w:sz w:val="24"/>
          <w:szCs w:val="24"/>
          <w:lang w:val="en-US"/>
        </w:rPr>
        <w:t>it</w:t>
      </w:r>
      <w:r w:rsidR="006A6DDC" w:rsidRPr="0081347B">
        <w:rPr>
          <w:rFonts w:ascii="Arial" w:hAnsi="Arial" w:cs="Arial"/>
          <w:sz w:val="24"/>
          <w:szCs w:val="24"/>
          <w:lang w:val="en-US"/>
        </w:rPr>
        <w:t xml:space="preserve"> is clear from the common cause facts that the practitioner had consented to the </w:t>
      </w:r>
      <w:r w:rsidR="006A6DDC">
        <w:rPr>
          <w:rFonts w:ascii="Arial" w:hAnsi="Arial" w:cs="Arial"/>
          <w:sz w:val="24"/>
          <w:szCs w:val="24"/>
          <w:lang w:val="en-US"/>
        </w:rPr>
        <w:t>institution of the</w:t>
      </w:r>
      <w:r w:rsidR="006A6DDC" w:rsidRPr="0081347B">
        <w:rPr>
          <w:rFonts w:ascii="Arial" w:hAnsi="Arial" w:cs="Arial"/>
          <w:sz w:val="24"/>
          <w:szCs w:val="24"/>
          <w:lang w:val="en-US"/>
        </w:rPr>
        <w:t xml:space="preserve"> action. Significantly, in this regard, well before </w:t>
      </w:r>
      <w:r w:rsidR="00576AAB">
        <w:rPr>
          <w:rFonts w:ascii="Arial" w:hAnsi="Arial" w:cs="Arial"/>
          <w:sz w:val="24"/>
          <w:szCs w:val="24"/>
          <w:lang w:val="en-US"/>
        </w:rPr>
        <w:t xml:space="preserve">the </w:t>
      </w:r>
      <w:r w:rsidR="006A6DDC" w:rsidRPr="00EB595C">
        <w:rPr>
          <w:rFonts w:ascii="Arial" w:hAnsi="Arial" w:cs="Arial"/>
          <w:sz w:val="24"/>
          <w:szCs w:val="24"/>
          <w:lang w:val="en-US"/>
        </w:rPr>
        <w:t>instituti</w:t>
      </w:r>
      <w:r w:rsidR="00576AAB" w:rsidRPr="00EB595C">
        <w:rPr>
          <w:rFonts w:ascii="Arial" w:hAnsi="Arial" w:cs="Arial"/>
          <w:sz w:val="24"/>
          <w:szCs w:val="24"/>
          <w:lang w:val="en-US"/>
        </w:rPr>
        <w:t>o</w:t>
      </w:r>
      <w:r w:rsidR="006A6DDC" w:rsidRPr="00EB595C">
        <w:rPr>
          <w:rFonts w:ascii="Arial" w:hAnsi="Arial" w:cs="Arial"/>
          <w:sz w:val="24"/>
          <w:szCs w:val="24"/>
          <w:lang w:val="en-US"/>
        </w:rPr>
        <w:t xml:space="preserve">n </w:t>
      </w:r>
      <w:r w:rsidR="000870BE" w:rsidRPr="00EB595C">
        <w:rPr>
          <w:rFonts w:ascii="Arial" w:hAnsi="Arial" w:cs="Arial"/>
          <w:sz w:val="24"/>
          <w:szCs w:val="24"/>
          <w:lang w:val="en-US"/>
        </w:rPr>
        <w:t xml:space="preserve">of </w:t>
      </w:r>
      <w:r w:rsidR="006A6DDC" w:rsidRPr="00EB595C">
        <w:rPr>
          <w:rFonts w:ascii="Arial" w:hAnsi="Arial" w:cs="Arial"/>
          <w:sz w:val="24"/>
          <w:szCs w:val="24"/>
          <w:lang w:val="en-US"/>
        </w:rPr>
        <w:t>the action</w:t>
      </w:r>
      <w:r w:rsidR="006A6DDC" w:rsidRPr="0081347B">
        <w:rPr>
          <w:rFonts w:ascii="Arial" w:hAnsi="Arial" w:cs="Arial"/>
          <w:sz w:val="24"/>
          <w:szCs w:val="24"/>
          <w:lang w:val="en-US"/>
        </w:rPr>
        <w:t xml:space="preserve"> the appellant’s attorney </w:t>
      </w:r>
      <w:r w:rsidR="006A6DDC">
        <w:rPr>
          <w:rFonts w:ascii="Arial" w:hAnsi="Arial" w:cs="Arial"/>
          <w:sz w:val="24"/>
          <w:szCs w:val="24"/>
          <w:lang w:val="en-US"/>
        </w:rPr>
        <w:t>sought</w:t>
      </w:r>
      <w:r w:rsidR="006A6DDC" w:rsidRPr="0081347B">
        <w:rPr>
          <w:rFonts w:ascii="Arial" w:hAnsi="Arial" w:cs="Arial"/>
          <w:sz w:val="24"/>
          <w:szCs w:val="24"/>
          <w:lang w:val="en-US"/>
        </w:rPr>
        <w:t xml:space="preserve"> the practitioner’s</w:t>
      </w:r>
      <w:r w:rsidR="006A6DDC">
        <w:rPr>
          <w:rFonts w:ascii="Arial" w:hAnsi="Arial" w:cs="Arial"/>
          <w:sz w:val="24"/>
          <w:szCs w:val="24"/>
          <w:lang w:val="en-US"/>
        </w:rPr>
        <w:t xml:space="preserve"> </w:t>
      </w:r>
      <w:r>
        <w:rPr>
          <w:rFonts w:ascii="Arial" w:hAnsi="Arial" w:cs="Arial"/>
          <w:sz w:val="24"/>
          <w:szCs w:val="24"/>
          <w:lang w:val="en-US"/>
        </w:rPr>
        <w:t xml:space="preserve">consent. On 2 </w:t>
      </w:r>
      <w:r w:rsidR="006A6DDC" w:rsidRPr="0081347B">
        <w:rPr>
          <w:rFonts w:ascii="Arial" w:hAnsi="Arial" w:cs="Arial"/>
          <w:sz w:val="24"/>
          <w:szCs w:val="24"/>
          <w:lang w:val="en-US"/>
        </w:rPr>
        <w:t xml:space="preserve">December 2020, the practitioner’s representative confirmed that the practitioner had consented to the institution of the action. Thereafter, the appellant’s attorney proceeded to issue the summons. </w:t>
      </w:r>
    </w:p>
    <w:p w14:paraId="4A291DF6" w14:textId="77777777" w:rsidR="00D233FD" w:rsidRDefault="00D233FD" w:rsidP="006A6DDC">
      <w:pPr>
        <w:rPr>
          <w:rFonts w:ascii="Arial" w:hAnsi="Arial" w:cs="Arial"/>
          <w:sz w:val="24"/>
          <w:szCs w:val="24"/>
          <w:lang w:val="en-US"/>
        </w:rPr>
      </w:pPr>
    </w:p>
    <w:p w14:paraId="3601CE3C" w14:textId="1C6DF173" w:rsidR="006A6DDC" w:rsidRDefault="00D233FD" w:rsidP="006A6DDC">
      <w:pPr>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r>
      <w:r w:rsidR="006A6DDC">
        <w:rPr>
          <w:rFonts w:ascii="Arial" w:hAnsi="Arial" w:cs="Arial"/>
          <w:sz w:val="24"/>
          <w:szCs w:val="24"/>
          <w:lang w:val="en-US"/>
        </w:rPr>
        <w:t>A</w:t>
      </w:r>
      <w:r w:rsidR="006A6DDC" w:rsidRPr="0081347B">
        <w:rPr>
          <w:rFonts w:ascii="Arial" w:hAnsi="Arial" w:cs="Arial"/>
          <w:sz w:val="24"/>
          <w:szCs w:val="24"/>
          <w:lang w:val="en-US"/>
        </w:rPr>
        <w:t>pproximately two months later,</w:t>
      </w:r>
      <w:r w:rsidR="006A6DDC">
        <w:rPr>
          <w:rFonts w:ascii="Arial" w:hAnsi="Arial" w:cs="Arial"/>
          <w:sz w:val="24"/>
          <w:szCs w:val="24"/>
          <w:lang w:val="en-US"/>
        </w:rPr>
        <w:t xml:space="preserve"> there was an intimation that</w:t>
      </w:r>
      <w:r w:rsidR="006A6DDC" w:rsidRPr="0081347B">
        <w:rPr>
          <w:rFonts w:ascii="Arial" w:hAnsi="Arial" w:cs="Arial"/>
          <w:sz w:val="24"/>
          <w:szCs w:val="24"/>
          <w:lang w:val="en-US"/>
        </w:rPr>
        <w:t xml:space="preserve"> the practitioner</w:t>
      </w:r>
      <w:r w:rsidR="006A6DDC">
        <w:rPr>
          <w:rFonts w:ascii="Arial" w:hAnsi="Arial" w:cs="Arial"/>
          <w:sz w:val="24"/>
          <w:szCs w:val="24"/>
          <w:lang w:val="en-US"/>
        </w:rPr>
        <w:t xml:space="preserve"> may</w:t>
      </w:r>
      <w:r w:rsidR="006A6DDC" w:rsidRPr="0081347B">
        <w:rPr>
          <w:rFonts w:ascii="Arial" w:hAnsi="Arial" w:cs="Arial"/>
          <w:sz w:val="24"/>
          <w:szCs w:val="24"/>
          <w:lang w:val="en-US"/>
        </w:rPr>
        <w:t xml:space="preserve"> not </w:t>
      </w:r>
      <w:r w:rsidR="006A6DDC">
        <w:rPr>
          <w:rFonts w:ascii="Arial" w:hAnsi="Arial" w:cs="Arial"/>
          <w:sz w:val="24"/>
          <w:szCs w:val="24"/>
          <w:lang w:val="en-US"/>
        </w:rPr>
        <w:t xml:space="preserve">have </w:t>
      </w:r>
      <w:r w:rsidR="006A6DDC" w:rsidRPr="0081347B">
        <w:rPr>
          <w:rFonts w:ascii="Arial" w:hAnsi="Arial" w:cs="Arial"/>
          <w:sz w:val="24"/>
          <w:szCs w:val="24"/>
          <w:lang w:val="en-US"/>
        </w:rPr>
        <w:t>consented</w:t>
      </w:r>
      <w:r w:rsidR="006A6DDC">
        <w:rPr>
          <w:rFonts w:ascii="Arial" w:hAnsi="Arial" w:cs="Arial"/>
          <w:sz w:val="24"/>
          <w:szCs w:val="24"/>
          <w:lang w:val="en-US"/>
        </w:rPr>
        <w:t xml:space="preserve"> because</w:t>
      </w:r>
      <w:r w:rsidR="006A6DDC" w:rsidRPr="0081347B">
        <w:rPr>
          <w:rFonts w:ascii="Arial" w:hAnsi="Arial" w:cs="Arial"/>
          <w:sz w:val="24"/>
          <w:szCs w:val="24"/>
          <w:lang w:val="en-US"/>
        </w:rPr>
        <w:t xml:space="preserve"> his representative had confused th</w:t>
      </w:r>
      <w:r w:rsidR="006A6DDC">
        <w:rPr>
          <w:rFonts w:ascii="Arial" w:hAnsi="Arial" w:cs="Arial"/>
          <w:sz w:val="24"/>
          <w:szCs w:val="24"/>
          <w:lang w:val="en-US"/>
        </w:rPr>
        <w:t>is</w:t>
      </w:r>
      <w:r w:rsidR="006A6DDC" w:rsidRPr="0081347B">
        <w:rPr>
          <w:rFonts w:ascii="Arial" w:hAnsi="Arial" w:cs="Arial"/>
          <w:sz w:val="24"/>
          <w:szCs w:val="24"/>
          <w:lang w:val="en-US"/>
        </w:rPr>
        <w:t xml:space="preserve"> action with another. However, once the </w:t>
      </w:r>
      <w:r w:rsidR="006A6DDC" w:rsidRPr="00EB595C">
        <w:rPr>
          <w:rFonts w:ascii="Arial" w:hAnsi="Arial" w:cs="Arial"/>
          <w:sz w:val="24"/>
          <w:szCs w:val="24"/>
          <w:lang w:val="en-US"/>
        </w:rPr>
        <w:t>practitioner became aware</w:t>
      </w:r>
      <w:r w:rsidR="006A6DDC" w:rsidRPr="0081347B">
        <w:rPr>
          <w:rFonts w:ascii="Arial" w:hAnsi="Arial" w:cs="Arial"/>
          <w:sz w:val="24"/>
          <w:szCs w:val="24"/>
          <w:lang w:val="en-US"/>
        </w:rPr>
        <w:t xml:space="preserve"> </w:t>
      </w:r>
      <w:r w:rsidR="006A6DDC">
        <w:rPr>
          <w:rFonts w:ascii="Arial" w:hAnsi="Arial" w:cs="Arial"/>
          <w:sz w:val="24"/>
          <w:szCs w:val="24"/>
          <w:lang w:val="en-US"/>
        </w:rPr>
        <w:t>that there may have been some confusion</w:t>
      </w:r>
      <w:r w:rsidR="006A6DDC" w:rsidRPr="0081347B">
        <w:rPr>
          <w:rFonts w:ascii="Arial" w:hAnsi="Arial" w:cs="Arial"/>
          <w:sz w:val="24"/>
          <w:szCs w:val="24"/>
          <w:lang w:val="en-US"/>
        </w:rPr>
        <w:t>, he signed a power of attorney authoris</w:t>
      </w:r>
      <w:r w:rsidR="006A6DDC">
        <w:rPr>
          <w:rFonts w:ascii="Arial" w:hAnsi="Arial" w:cs="Arial"/>
          <w:sz w:val="24"/>
          <w:szCs w:val="24"/>
          <w:lang w:val="en-US"/>
        </w:rPr>
        <w:t>ing</w:t>
      </w:r>
      <w:r w:rsidR="006A6DDC" w:rsidRPr="0081347B">
        <w:rPr>
          <w:rFonts w:ascii="Arial" w:hAnsi="Arial" w:cs="Arial"/>
          <w:sz w:val="24"/>
          <w:szCs w:val="24"/>
          <w:lang w:val="en-US"/>
        </w:rPr>
        <w:t xml:space="preserve"> the institution of the proceedings. Accordingly, the members of the appellant had the requisite approval of the practitioner to institute the action against the respondents.</w:t>
      </w:r>
    </w:p>
    <w:p w14:paraId="62C88481" w14:textId="4DBB142B" w:rsidR="006A6DDC" w:rsidRDefault="006A6DDC" w:rsidP="006A6DDC">
      <w:pPr>
        <w:rPr>
          <w:rFonts w:ascii="Arial" w:hAnsi="Arial" w:cs="Arial"/>
          <w:sz w:val="24"/>
          <w:szCs w:val="24"/>
          <w:lang w:val="en-US"/>
        </w:rPr>
      </w:pPr>
    </w:p>
    <w:p w14:paraId="54883A0C" w14:textId="72542D0C" w:rsidR="009B4A6F" w:rsidRDefault="00D233FD" w:rsidP="006A6DDC">
      <w:pPr>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t xml:space="preserve">It follows that the conclusion reached by the high court that the appellant lacked </w:t>
      </w:r>
      <w:r>
        <w:rPr>
          <w:rFonts w:ascii="Arial" w:hAnsi="Arial" w:cs="Arial"/>
          <w:i/>
          <w:iCs/>
          <w:sz w:val="24"/>
          <w:szCs w:val="24"/>
          <w:lang w:val="en-US"/>
        </w:rPr>
        <w:t xml:space="preserve">locus standi </w:t>
      </w:r>
      <w:r>
        <w:rPr>
          <w:rFonts w:ascii="Arial" w:hAnsi="Arial" w:cs="Arial"/>
          <w:sz w:val="24"/>
          <w:szCs w:val="24"/>
          <w:lang w:val="en-US"/>
        </w:rPr>
        <w:t xml:space="preserve">to approach the court for the relief sought cannot be supported. </w:t>
      </w:r>
      <w:r w:rsidR="009B4A6F">
        <w:rPr>
          <w:rFonts w:ascii="Arial" w:hAnsi="Arial" w:cs="Arial"/>
          <w:sz w:val="24"/>
          <w:szCs w:val="24"/>
          <w:lang w:val="en-US"/>
        </w:rPr>
        <w:t xml:space="preserve">It remains to observe that </w:t>
      </w:r>
      <w:r w:rsidR="0076149F">
        <w:rPr>
          <w:rFonts w:ascii="Arial" w:hAnsi="Arial" w:cs="Arial"/>
          <w:sz w:val="24"/>
          <w:szCs w:val="24"/>
          <w:lang w:val="en-US"/>
        </w:rPr>
        <w:t>there is little to commend the approach of the high court. I</w:t>
      </w:r>
      <w:r w:rsidR="009B4A6F">
        <w:rPr>
          <w:rFonts w:ascii="Arial" w:hAnsi="Arial" w:cs="Arial"/>
          <w:sz w:val="24"/>
          <w:szCs w:val="24"/>
          <w:lang w:val="en-US"/>
        </w:rPr>
        <w:t xml:space="preserve">n confining itself to the single issue, as it did, the approach of the high court </w:t>
      </w:r>
      <w:r w:rsidR="0076149F">
        <w:rPr>
          <w:rFonts w:ascii="Arial" w:hAnsi="Arial" w:cs="Arial"/>
          <w:sz w:val="24"/>
          <w:szCs w:val="24"/>
          <w:lang w:val="en-US"/>
        </w:rPr>
        <w:t>‘opened the door to a fractional disposal of proceedings and the piecemeal hearings of appeals on each part so disposed of’.</w:t>
      </w:r>
      <w:r w:rsidR="0076149F">
        <w:rPr>
          <w:rStyle w:val="FootnoteReference"/>
          <w:rFonts w:ascii="Arial" w:hAnsi="Arial" w:cs="Arial"/>
          <w:sz w:val="24"/>
          <w:szCs w:val="24"/>
          <w:lang w:val="en-US"/>
        </w:rPr>
        <w:footnoteReference w:id="8"/>
      </w:r>
    </w:p>
    <w:p w14:paraId="48963BCB" w14:textId="77777777" w:rsidR="009B4A6F" w:rsidRDefault="009B4A6F" w:rsidP="006A6DDC">
      <w:pPr>
        <w:rPr>
          <w:rFonts w:ascii="Arial" w:hAnsi="Arial" w:cs="Arial"/>
          <w:sz w:val="24"/>
          <w:szCs w:val="24"/>
          <w:lang w:val="en-US"/>
        </w:rPr>
      </w:pPr>
    </w:p>
    <w:p w14:paraId="421A6331" w14:textId="0FBC7F34" w:rsidR="006A6DDC" w:rsidRDefault="006A6DDC" w:rsidP="006A6DDC">
      <w:pPr>
        <w:spacing w:before="120" w:after="120"/>
        <w:rPr>
          <w:rFonts w:ascii="Arial" w:hAnsi="Arial" w:cs="Arial"/>
          <w:sz w:val="24"/>
          <w:szCs w:val="24"/>
          <w:lang w:val="en-US"/>
        </w:rPr>
      </w:pPr>
      <w:r>
        <w:rPr>
          <w:rFonts w:ascii="Arial" w:hAnsi="Arial" w:cs="Arial"/>
          <w:sz w:val="24"/>
          <w:szCs w:val="24"/>
          <w:lang w:val="en-US"/>
        </w:rPr>
        <w:t>[</w:t>
      </w:r>
      <w:r w:rsidR="003F3136">
        <w:rPr>
          <w:rFonts w:ascii="Arial" w:hAnsi="Arial" w:cs="Arial"/>
          <w:sz w:val="24"/>
          <w:szCs w:val="24"/>
          <w:lang w:val="en-US"/>
        </w:rPr>
        <w:t>1</w:t>
      </w:r>
      <w:r w:rsidR="00D233FD">
        <w:rPr>
          <w:rFonts w:ascii="Arial" w:hAnsi="Arial" w:cs="Arial"/>
          <w:sz w:val="24"/>
          <w:szCs w:val="24"/>
          <w:lang w:val="en-US"/>
        </w:rPr>
        <w:t>1</w:t>
      </w:r>
      <w:r>
        <w:rPr>
          <w:rFonts w:ascii="Arial" w:hAnsi="Arial" w:cs="Arial"/>
          <w:sz w:val="24"/>
          <w:szCs w:val="24"/>
          <w:lang w:val="en-US"/>
        </w:rPr>
        <w:t xml:space="preserve">] </w:t>
      </w:r>
      <w:r>
        <w:rPr>
          <w:rFonts w:ascii="Arial" w:hAnsi="Arial" w:cs="Arial"/>
          <w:sz w:val="24"/>
          <w:szCs w:val="24"/>
          <w:lang w:val="en-US"/>
        </w:rPr>
        <w:tab/>
        <w:t>In the result:</w:t>
      </w:r>
    </w:p>
    <w:p w14:paraId="095C25B9" w14:textId="77777777" w:rsidR="006A6DDC" w:rsidRPr="00C53293" w:rsidRDefault="006A6DDC" w:rsidP="006A6DDC">
      <w:pPr>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Pr="00C53293">
        <w:rPr>
          <w:rFonts w:ascii="Arial" w:hAnsi="Arial" w:cs="Arial"/>
          <w:sz w:val="24"/>
          <w:szCs w:val="24"/>
          <w:lang w:val="en-US"/>
        </w:rPr>
        <w:t>The appeal is upheld with costs.</w:t>
      </w:r>
    </w:p>
    <w:p w14:paraId="2F1FD24C" w14:textId="13687C13" w:rsidR="006A6DDC" w:rsidRPr="00C53293" w:rsidRDefault="006A6DDC" w:rsidP="006A6DDC">
      <w:pPr>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Pr="00C53293">
        <w:rPr>
          <w:rFonts w:ascii="Arial" w:hAnsi="Arial" w:cs="Arial"/>
          <w:sz w:val="24"/>
          <w:szCs w:val="24"/>
          <w:lang w:val="en-US"/>
        </w:rPr>
        <w:t>The order of the high court is set aside and r</w:t>
      </w:r>
      <w:r w:rsidR="00391267">
        <w:rPr>
          <w:rFonts w:ascii="Arial" w:hAnsi="Arial" w:cs="Arial"/>
          <w:sz w:val="24"/>
          <w:szCs w:val="24"/>
          <w:lang w:val="en-US"/>
        </w:rPr>
        <w:t>eplaced with the following</w:t>
      </w:r>
      <w:r w:rsidRPr="00C53293">
        <w:rPr>
          <w:rFonts w:ascii="Arial" w:hAnsi="Arial" w:cs="Arial"/>
          <w:sz w:val="24"/>
          <w:szCs w:val="24"/>
          <w:lang w:val="en-US"/>
        </w:rPr>
        <w:t>:</w:t>
      </w:r>
    </w:p>
    <w:p w14:paraId="72D367E7" w14:textId="77777777" w:rsidR="006A6DDC" w:rsidRDefault="006A6DDC" w:rsidP="006A6DDC">
      <w:pPr>
        <w:ind w:left="720"/>
        <w:rPr>
          <w:rFonts w:ascii="Arial" w:hAnsi="Arial" w:cs="Arial"/>
          <w:sz w:val="24"/>
          <w:szCs w:val="24"/>
          <w:lang w:val="en-US"/>
        </w:rPr>
      </w:pPr>
      <w:r w:rsidRPr="00627649">
        <w:rPr>
          <w:rFonts w:ascii="Arial" w:hAnsi="Arial" w:cs="Arial"/>
          <w:sz w:val="24"/>
          <w:szCs w:val="24"/>
          <w:lang w:val="en-US"/>
        </w:rPr>
        <w:t xml:space="preserve">‘The special plea </w:t>
      </w:r>
      <w:r>
        <w:rPr>
          <w:rFonts w:ascii="Arial" w:hAnsi="Arial" w:cs="Arial"/>
          <w:sz w:val="24"/>
          <w:szCs w:val="24"/>
          <w:lang w:val="en-US"/>
        </w:rPr>
        <w:t xml:space="preserve">of </w:t>
      </w:r>
      <w:r w:rsidRPr="00627649">
        <w:rPr>
          <w:rFonts w:ascii="Arial" w:hAnsi="Arial" w:cs="Arial"/>
          <w:sz w:val="24"/>
          <w:szCs w:val="24"/>
          <w:lang w:val="en-US"/>
        </w:rPr>
        <w:t xml:space="preserve">lack of </w:t>
      </w:r>
      <w:r w:rsidRPr="00627649">
        <w:rPr>
          <w:rFonts w:ascii="Arial" w:hAnsi="Arial" w:cs="Arial"/>
          <w:i/>
          <w:iCs/>
          <w:sz w:val="24"/>
          <w:szCs w:val="24"/>
          <w:lang w:val="en-US"/>
        </w:rPr>
        <w:t>locus standi</w:t>
      </w:r>
      <w:r>
        <w:rPr>
          <w:rFonts w:ascii="Arial" w:hAnsi="Arial" w:cs="Arial"/>
          <w:sz w:val="24"/>
          <w:szCs w:val="24"/>
          <w:lang w:val="en-US"/>
        </w:rPr>
        <w:t xml:space="preserve"> is dismissed with costs.’</w:t>
      </w:r>
    </w:p>
    <w:p w14:paraId="1D018233" w14:textId="45B7DD03" w:rsidR="006A6DDC" w:rsidRDefault="006A6DDC" w:rsidP="006A6DDC">
      <w:pPr>
        <w:rPr>
          <w:rFonts w:ascii="Arial" w:hAnsi="Arial" w:cs="Arial"/>
          <w:sz w:val="24"/>
          <w:szCs w:val="24"/>
          <w:lang w:val="en-US"/>
        </w:rPr>
      </w:pPr>
    </w:p>
    <w:p w14:paraId="39A6A73D" w14:textId="3092A15E" w:rsidR="003F3136" w:rsidRDefault="003F3136" w:rsidP="006A6DDC">
      <w:pPr>
        <w:rPr>
          <w:rFonts w:ascii="Arial" w:hAnsi="Arial" w:cs="Arial"/>
          <w:sz w:val="24"/>
          <w:szCs w:val="24"/>
          <w:lang w:val="en-US"/>
        </w:rPr>
      </w:pPr>
    </w:p>
    <w:p w14:paraId="04456C64" w14:textId="77777777" w:rsidR="003F3136" w:rsidRPr="0081347B" w:rsidRDefault="003F3136" w:rsidP="006A6DDC">
      <w:pPr>
        <w:rPr>
          <w:rFonts w:ascii="Arial" w:hAnsi="Arial" w:cs="Arial"/>
          <w:sz w:val="24"/>
          <w:szCs w:val="24"/>
          <w:lang w:val="en-US"/>
        </w:rPr>
      </w:pPr>
    </w:p>
    <w:p w14:paraId="39450546" w14:textId="03FD9D70" w:rsidR="006A6DDC" w:rsidRDefault="006A6DDC" w:rsidP="006A6DDC">
      <w:pPr>
        <w:jc w:val="right"/>
        <w:rPr>
          <w:rFonts w:ascii="Arial" w:hAnsi="Arial" w:cs="Arial"/>
          <w:bCs/>
          <w:sz w:val="24"/>
          <w:szCs w:val="24"/>
          <w:lang w:val="en-US"/>
        </w:rPr>
      </w:pPr>
      <w:r>
        <w:rPr>
          <w:rFonts w:ascii="Arial" w:hAnsi="Arial" w:cs="Arial"/>
          <w:bCs/>
          <w:sz w:val="24"/>
          <w:szCs w:val="24"/>
          <w:lang w:val="en-US"/>
        </w:rPr>
        <w:t>_________________</w:t>
      </w:r>
    </w:p>
    <w:p w14:paraId="7323491C" w14:textId="1FCD109E" w:rsidR="006A6DDC" w:rsidRPr="006A6DDC" w:rsidRDefault="006A6DDC" w:rsidP="006A6DDC">
      <w:pPr>
        <w:jc w:val="right"/>
        <w:rPr>
          <w:rFonts w:ascii="Arial" w:hAnsi="Arial" w:cs="Arial"/>
          <w:bCs/>
          <w:sz w:val="24"/>
          <w:szCs w:val="24"/>
        </w:rPr>
      </w:pPr>
      <w:r w:rsidRPr="000959EA">
        <w:rPr>
          <w:rFonts w:ascii="Arial" w:hAnsi="Arial" w:cs="Arial"/>
          <w:bCs/>
        </w:rPr>
        <w:tab/>
      </w:r>
      <w:r w:rsidRPr="000959EA">
        <w:rPr>
          <w:rFonts w:ascii="Arial" w:hAnsi="Arial" w:cs="Arial"/>
          <w:bCs/>
        </w:rPr>
        <w:tab/>
      </w:r>
      <w:r w:rsidRPr="000959EA">
        <w:rPr>
          <w:rFonts w:ascii="Arial" w:hAnsi="Arial" w:cs="Arial"/>
          <w:bCs/>
        </w:rPr>
        <w:tab/>
      </w:r>
      <w:r w:rsidRPr="000959EA">
        <w:rPr>
          <w:rFonts w:ascii="Arial" w:hAnsi="Arial" w:cs="Arial"/>
          <w:bCs/>
        </w:rPr>
        <w:tab/>
      </w:r>
      <w:r w:rsidRPr="000959EA">
        <w:rPr>
          <w:rFonts w:ascii="Arial" w:hAnsi="Arial" w:cs="Arial"/>
          <w:bCs/>
        </w:rPr>
        <w:tab/>
      </w:r>
      <w:r w:rsidRPr="000959EA">
        <w:rPr>
          <w:rFonts w:ascii="Arial" w:hAnsi="Arial" w:cs="Arial"/>
          <w:bCs/>
        </w:rPr>
        <w:tab/>
      </w:r>
      <w:r w:rsidRPr="000959EA">
        <w:rPr>
          <w:rFonts w:ascii="Arial" w:hAnsi="Arial" w:cs="Arial"/>
          <w:bCs/>
        </w:rPr>
        <w:tab/>
      </w:r>
      <w:r w:rsidRPr="006A6DDC">
        <w:rPr>
          <w:rFonts w:ascii="Arial" w:hAnsi="Arial" w:cs="Arial"/>
          <w:bCs/>
          <w:sz w:val="24"/>
          <w:szCs w:val="24"/>
        </w:rPr>
        <w:t xml:space="preserve">                     VM P</w:t>
      </w:r>
      <w:r w:rsidR="00086219">
        <w:rPr>
          <w:rFonts w:ascii="Arial" w:hAnsi="Arial" w:cs="Arial"/>
          <w:bCs/>
          <w:sz w:val="24"/>
          <w:szCs w:val="24"/>
        </w:rPr>
        <w:t>ONNAN</w:t>
      </w:r>
    </w:p>
    <w:p w14:paraId="095A7A29" w14:textId="2813AC6D" w:rsidR="00BF2950" w:rsidRPr="003F3136" w:rsidRDefault="006A6DDC" w:rsidP="00066630">
      <w:pPr>
        <w:jc w:val="right"/>
        <w:rPr>
          <w:rFonts w:ascii="Arial" w:hAnsi="Arial" w:cs="Arial"/>
          <w:bCs/>
          <w:sz w:val="24"/>
          <w:szCs w:val="24"/>
        </w:rPr>
      </w:pPr>
      <w:r w:rsidRPr="006A6DDC">
        <w:rPr>
          <w:rFonts w:ascii="Arial" w:hAnsi="Arial" w:cs="Arial"/>
          <w:bCs/>
          <w:sz w:val="24"/>
          <w:szCs w:val="24"/>
        </w:rPr>
        <w:tab/>
      </w:r>
      <w:r w:rsidRPr="006A6DDC">
        <w:rPr>
          <w:rFonts w:ascii="Arial" w:hAnsi="Arial" w:cs="Arial"/>
          <w:bCs/>
          <w:sz w:val="24"/>
          <w:szCs w:val="24"/>
        </w:rPr>
        <w:tab/>
      </w:r>
      <w:r w:rsidRPr="006A6DDC">
        <w:rPr>
          <w:rFonts w:ascii="Arial" w:hAnsi="Arial" w:cs="Arial"/>
          <w:bCs/>
          <w:sz w:val="24"/>
          <w:szCs w:val="24"/>
        </w:rPr>
        <w:tab/>
      </w:r>
      <w:r w:rsidRPr="006A6DDC">
        <w:rPr>
          <w:rFonts w:ascii="Arial" w:hAnsi="Arial" w:cs="Arial"/>
          <w:bCs/>
          <w:sz w:val="24"/>
          <w:szCs w:val="24"/>
        </w:rPr>
        <w:tab/>
      </w:r>
      <w:r w:rsidRPr="006A6DDC">
        <w:rPr>
          <w:rFonts w:ascii="Arial" w:hAnsi="Arial" w:cs="Arial"/>
          <w:bCs/>
          <w:sz w:val="24"/>
          <w:szCs w:val="24"/>
        </w:rPr>
        <w:tab/>
      </w:r>
      <w:r w:rsidRPr="006A6DDC">
        <w:rPr>
          <w:rFonts w:ascii="Arial" w:hAnsi="Arial" w:cs="Arial"/>
          <w:bCs/>
          <w:sz w:val="24"/>
          <w:szCs w:val="24"/>
        </w:rPr>
        <w:tab/>
      </w:r>
      <w:r w:rsidRPr="006A6DDC">
        <w:rPr>
          <w:rFonts w:ascii="Arial" w:hAnsi="Arial" w:cs="Arial"/>
          <w:bCs/>
          <w:sz w:val="24"/>
          <w:szCs w:val="24"/>
        </w:rPr>
        <w:tab/>
        <w:t xml:space="preserve">    </w:t>
      </w:r>
      <w:r w:rsidR="00086219">
        <w:rPr>
          <w:rFonts w:ascii="Arial" w:hAnsi="Arial" w:cs="Arial"/>
          <w:bCs/>
          <w:sz w:val="24"/>
          <w:szCs w:val="24"/>
        </w:rPr>
        <w:tab/>
        <w:t>JUDGE OF APPEAL</w:t>
      </w:r>
    </w:p>
    <w:p w14:paraId="6F0D3395" w14:textId="77777777" w:rsidR="00BF2950" w:rsidRDefault="00BF2950" w:rsidP="00BF2950">
      <w:pPr>
        <w:jc w:val="right"/>
        <w:rPr>
          <w:rFonts w:ascii="Arial" w:hAnsi="Arial" w:cs="Arial"/>
          <w:b/>
          <w:bCs/>
          <w:sz w:val="24"/>
          <w:szCs w:val="24"/>
          <w:lang w:val="en-US"/>
        </w:rPr>
      </w:pPr>
    </w:p>
    <w:p w14:paraId="6880E046" w14:textId="77777777" w:rsidR="00012D97" w:rsidRDefault="00012D97" w:rsidP="00BF2950">
      <w:pPr>
        <w:jc w:val="right"/>
        <w:rPr>
          <w:rFonts w:ascii="Arial" w:hAnsi="Arial" w:cs="Arial"/>
          <w:b/>
          <w:bCs/>
          <w:sz w:val="24"/>
          <w:szCs w:val="24"/>
          <w:lang w:val="en-US"/>
        </w:rPr>
      </w:pPr>
    </w:p>
    <w:p w14:paraId="3328D517" w14:textId="77777777" w:rsidR="00BF2950" w:rsidRDefault="00BF2950" w:rsidP="00BF2950">
      <w:pPr>
        <w:jc w:val="right"/>
        <w:rPr>
          <w:rFonts w:ascii="Arial" w:hAnsi="Arial" w:cs="Arial"/>
          <w:bCs/>
          <w:sz w:val="24"/>
          <w:szCs w:val="24"/>
          <w:lang w:val="en-US"/>
        </w:rPr>
      </w:pPr>
      <w:r>
        <w:rPr>
          <w:rFonts w:ascii="Arial" w:hAnsi="Arial" w:cs="Arial"/>
          <w:bCs/>
          <w:sz w:val="24"/>
          <w:szCs w:val="24"/>
          <w:lang w:val="en-US"/>
        </w:rPr>
        <w:t>________________________</w:t>
      </w:r>
    </w:p>
    <w:p w14:paraId="4083B044" w14:textId="77777777" w:rsidR="00BF2950" w:rsidRDefault="00BF2950" w:rsidP="00BF2950">
      <w:pPr>
        <w:jc w:val="right"/>
        <w:rPr>
          <w:rFonts w:ascii="Arial" w:hAnsi="Arial" w:cs="Arial"/>
          <w:bCs/>
          <w:sz w:val="24"/>
          <w:szCs w:val="24"/>
          <w:lang w:val="en-US"/>
        </w:rPr>
      </w:pPr>
      <w:r>
        <w:rPr>
          <w:rFonts w:ascii="Arial" w:hAnsi="Arial" w:cs="Arial"/>
          <w:bCs/>
          <w:sz w:val="24"/>
          <w:szCs w:val="24"/>
          <w:lang w:val="en-US"/>
        </w:rPr>
        <w:t>F KATHREE-SETILOANE</w:t>
      </w:r>
    </w:p>
    <w:p w14:paraId="170E0389" w14:textId="77777777" w:rsidR="00BF2950" w:rsidRDefault="00BF2950" w:rsidP="00BF2950">
      <w:pPr>
        <w:jc w:val="right"/>
        <w:rPr>
          <w:rFonts w:ascii="Arial" w:hAnsi="Arial" w:cs="Arial"/>
          <w:sz w:val="24"/>
          <w:szCs w:val="24"/>
          <w:lang w:val="en-US"/>
        </w:rPr>
      </w:pPr>
      <w:r>
        <w:rPr>
          <w:rFonts w:ascii="Arial" w:hAnsi="Arial" w:cs="Arial"/>
          <w:bCs/>
          <w:sz w:val="24"/>
          <w:szCs w:val="24"/>
          <w:lang w:val="en-US"/>
        </w:rPr>
        <w:t>ACTING JUDGE OF APPEAL</w:t>
      </w:r>
    </w:p>
    <w:p w14:paraId="0FAA68A7" w14:textId="77777777" w:rsidR="00BF2950" w:rsidRDefault="00BF2950" w:rsidP="00BF2950">
      <w:pPr>
        <w:rPr>
          <w:rFonts w:ascii="Arial" w:hAnsi="Arial" w:cs="Arial"/>
          <w:sz w:val="24"/>
          <w:szCs w:val="24"/>
          <w:lang w:val="en-US"/>
        </w:rPr>
      </w:pPr>
    </w:p>
    <w:p w14:paraId="177D85E5" w14:textId="77777777" w:rsidR="00BF2950" w:rsidRDefault="00BF2950" w:rsidP="00BF2950">
      <w:pPr>
        <w:rPr>
          <w:rFonts w:ascii="Arial" w:hAnsi="Arial" w:cs="Arial"/>
          <w:sz w:val="24"/>
          <w:szCs w:val="24"/>
          <w:lang w:val="en-US"/>
        </w:rPr>
      </w:pPr>
    </w:p>
    <w:p w14:paraId="4CD0BB75" w14:textId="418E9A93" w:rsidR="00BF2950" w:rsidRDefault="00BF2950" w:rsidP="00BF2950">
      <w:pPr>
        <w:rPr>
          <w:rFonts w:ascii="Arial" w:hAnsi="Arial" w:cs="Arial"/>
          <w:sz w:val="24"/>
          <w:szCs w:val="24"/>
          <w:lang w:val="en-US"/>
        </w:rPr>
      </w:pPr>
      <w:r>
        <w:rPr>
          <w:rFonts w:ascii="Arial" w:hAnsi="Arial" w:cs="Arial"/>
          <w:sz w:val="24"/>
          <w:szCs w:val="24"/>
          <w:lang w:val="en-US"/>
        </w:rPr>
        <w:br w:type="page"/>
      </w:r>
    </w:p>
    <w:p w14:paraId="7EB45875" w14:textId="77777777" w:rsidR="00BF2950" w:rsidRDefault="00BF2950" w:rsidP="00BF2950">
      <w:pPr>
        <w:rPr>
          <w:rFonts w:ascii="Arial" w:hAnsi="Arial" w:cs="Arial"/>
          <w:sz w:val="24"/>
          <w:szCs w:val="24"/>
          <w:lang w:val="en-US"/>
        </w:rPr>
      </w:pPr>
      <w:r>
        <w:rPr>
          <w:rFonts w:ascii="Arial" w:hAnsi="Arial" w:cs="Arial"/>
          <w:sz w:val="24"/>
          <w:szCs w:val="24"/>
          <w:lang w:val="en-US"/>
        </w:rPr>
        <w:lastRenderedPageBreak/>
        <w:t>Appearances</w:t>
      </w:r>
    </w:p>
    <w:p w14:paraId="67B2825A" w14:textId="77777777" w:rsidR="00BF2950" w:rsidRDefault="00BF2950" w:rsidP="00BF2950">
      <w:pPr>
        <w:rPr>
          <w:rFonts w:ascii="Arial" w:hAnsi="Arial" w:cs="Arial"/>
          <w:sz w:val="24"/>
          <w:szCs w:val="24"/>
          <w:lang w:val="en-US"/>
        </w:rPr>
      </w:pPr>
    </w:p>
    <w:p w14:paraId="463FAEA8" w14:textId="77777777" w:rsidR="00BF2950" w:rsidRDefault="00136D78" w:rsidP="00136D78">
      <w:pPr>
        <w:ind w:left="4253" w:hanging="4253"/>
        <w:rPr>
          <w:rFonts w:ascii="Arial" w:hAnsi="Arial" w:cs="Arial"/>
          <w:sz w:val="24"/>
          <w:szCs w:val="24"/>
          <w:lang w:val="en-US"/>
        </w:rPr>
      </w:pPr>
      <w:r>
        <w:rPr>
          <w:rFonts w:ascii="Arial" w:hAnsi="Arial" w:cs="Arial"/>
          <w:sz w:val="24"/>
          <w:szCs w:val="24"/>
          <w:lang w:val="en-US"/>
        </w:rPr>
        <w:t>For appellant:</w:t>
      </w:r>
      <w:r>
        <w:rPr>
          <w:rFonts w:ascii="Arial" w:hAnsi="Arial" w:cs="Arial"/>
          <w:sz w:val="24"/>
          <w:szCs w:val="24"/>
          <w:lang w:val="en-US"/>
        </w:rPr>
        <w:tab/>
      </w:r>
      <w:r w:rsidR="00BF2950">
        <w:rPr>
          <w:rFonts w:ascii="Arial" w:hAnsi="Arial" w:cs="Arial"/>
          <w:sz w:val="24"/>
          <w:szCs w:val="24"/>
          <w:lang w:val="en-US"/>
        </w:rPr>
        <w:t>PJ Greyling</w:t>
      </w:r>
    </w:p>
    <w:p w14:paraId="141C3575" w14:textId="77777777" w:rsidR="00BF2950" w:rsidRDefault="00136D78" w:rsidP="00136D78">
      <w:pPr>
        <w:ind w:left="4253" w:hanging="4253"/>
        <w:rPr>
          <w:rFonts w:ascii="Arial" w:hAnsi="Arial" w:cs="Arial"/>
          <w:sz w:val="24"/>
          <w:szCs w:val="24"/>
          <w:lang w:val="en-US"/>
        </w:rPr>
      </w:pPr>
      <w:r>
        <w:rPr>
          <w:rFonts w:ascii="Arial" w:hAnsi="Arial" w:cs="Arial"/>
          <w:sz w:val="24"/>
          <w:szCs w:val="24"/>
          <w:lang w:val="en-US"/>
        </w:rPr>
        <w:t>Instructed by:</w:t>
      </w:r>
      <w:r>
        <w:rPr>
          <w:rFonts w:ascii="Arial" w:hAnsi="Arial" w:cs="Arial"/>
          <w:sz w:val="24"/>
          <w:szCs w:val="24"/>
          <w:lang w:val="en-US"/>
        </w:rPr>
        <w:tab/>
      </w:r>
      <w:r w:rsidR="00BF2950">
        <w:rPr>
          <w:rFonts w:ascii="Arial" w:hAnsi="Arial" w:cs="Arial"/>
          <w:sz w:val="24"/>
          <w:szCs w:val="24"/>
          <w:lang w:val="en-US"/>
        </w:rPr>
        <w:t xml:space="preserve">Karien Schutte Attorneys, Johannesburg </w:t>
      </w:r>
    </w:p>
    <w:p w14:paraId="193B757D" w14:textId="77777777" w:rsidR="00BF2950" w:rsidRDefault="00BF2950" w:rsidP="00136D78">
      <w:pPr>
        <w:ind w:left="5040" w:hanging="787"/>
        <w:rPr>
          <w:rFonts w:ascii="Arial" w:hAnsi="Arial" w:cs="Arial"/>
          <w:sz w:val="24"/>
          <w:szCs w:val="24"/>
          <w:lang w:val="en-US"/>
        </w:rPr>
      </w:pPr>
      <w:r>
        <w:rPr>
          <w:rFonts w:ascii="Arial" w:hAnsi="Arial" w:cs="Arial"/>
          <w:sz w:val="24"/>
          <w:szCs w:val="24"/>
          <w:lang w:val="en-US"/>
        </w:rPr>
        <w:t xml:space="preserve">Maree Partners, Bloemfontein </w:t>
      </w:r>
    </w:p>
    <w:p w14:paraId="191707CA" w14:textId="77777777" w:rsidR="00BF2950" w:rsidRDefault="00BF2950" w:rsidP="00BF2950">
      <w:pPr>
        <w:ind w:left="5040" w:hanging="5040"/>
        <w:rPr>
          <w:rFonts w:ascii="Arial" w:hAnsi="Arial" w:cs="Arial"/>
          <w:sz w:val="24"/>
          <w:szCs w:val="24"/>
          <w:lang w:val="en-US"/>
        </w:rPr>
      </w:pPr>
    </w:p>
    <w:p w14:paraId="23929FE2" w14:textId="77777777" w:rsidR="00BF2950" w:rsidRDefault="00136D78" w:rsidP="00136D78">
      <w:pPr>
        <w:ind w:left="4253" w:hanging="4395"/>
        <w:rPr>
          <w:rFonts w:ascii="Arial" w:hAnsi="Arial" w:cs="Arial"/>
          <w:sz w:val="24"/>
          <w:szCs w:val="24"/>
          <w:lang w:val="en-US"/>
        </w:rPr>
      </w:pPr>
      <w:r>
        <w:rPr>
          <w:rFonts w:ascii="Arial" w:hAnsi="Arial" w:cs="Arial"/>
          <w:sz w:val="24"/>
          <w:szCs w:val="24"/>
          <w:lang w:val="en-US"/>
        </w:rPr>
        <w:t>For respondent:</w:t>
      </w:r>
      <w:r>
        <w:rPr>
          <w:rFonts w:ascii="Arial" w:hAnsi="Arial" w:cs="Arial"/>
          <w:sz w:val="24"/>
          <w:szCs w:val="24"/>
          <w:lang w:val="en-US"/>
        </w:rPr>
        <w:tab/>
      </w:r>
      <w:r w:rsidR="00BF2950">
        <w:rPr>
          <w:rFonts w:ascii="Arial" w:hAnsi="Arial" w:cs="Arial"/>
          <w:sz w:val="24"/>
          <w:szCs w:val="24"/>
          <w:lang w:val="en-US"/>
        </w:rPr>
        <w:t>SJ Myburg with E Mann</w:t>
      </w:r>
    </w:p>
    <w:p w14:paraId="4B0C703A" w14:textId="77777777" w:rsidR="00BF2950" w:rsidRDefault="00136D78" w:rsidP="006426C1">
      <w:pPr>
        <w:ind w:left="4253" w:hanging="4395"/>
        <w:rPr>
          <w:rFonts w:ascii="Arial" w:hAnsi="Arial" w:cs="Arial"/>
          <w:sz w:val="24"/>
          <w:szCs w:val="24"/>
          <w:lang w:val="en-US"/>
        </w:rPr>
      </w:pPr>
      <w:r>
        <w:rPr>
          <w:rFonts w:ascii="Arial" w:hAnsi="Arial" w:cs="Arial"/>
          <w:sz w:val="24"/>
          <w:szCs w:val="24"/>
          <w:lang w:val="en-US"/>
        </w:rPr>
        <w:t>Instructed by:</w:t>
      </w:r>
      <w:r>
        <w:rPr>
          <w:rFonts w:ascii="Arial" w:hAnsi="Arial" w:cs="Arial"/>
          <w:sz w:val="24"/>
          <w:szCs w:val="24"/>
          <w:lang w:val="en-US"/>
        </w:rPr>
        <w:tab/>
      </w:r>
      <w:r w:rsidR="00BF2950">
        <w:rPr>
          <w:rFonts w:ascii="Arial" w:hAnsi="Arial" w:cs="Arial"/>
          <w:sz w:val="24"/>
          <w:szCs w:val="24"/>
          <w:lang w:val="en-US"/>
        </w:rPr>
        <w:t xml:space="preserve">Ngwane Mamod Inc, Johannesburg </w:t>
      </w:r>
    </w:p>
    <w:p w14:paraId="373A33B8" w14:textId="77777777" w:rsidR="00BF2950" w:rsidRDefault="00BF2950" w:rsidP="006426C1">
      <w:pPr>
        <w:ind w:left="5040" w:hanging="787"/>
        <w:rPr>
          <w:rFonts w:ascii="Arial" w:hAnsi="Arial" w:cs="Arial"/>
          <w:sz w:val="24"/>
          <w:szCs w:val="24"/>
          <w:lang w:val="en-US"/>
        </w:rPr>
      </w:pPr>
      <w:r>
        <w:rPr>
          <w:rFonts w:ascii="Arial" w:hAnsi="Arial" w:cs="Arial"/>
          <w:sz w:val="24"/>
          <w:szCs w:val="24"/>
          <w:lang w:val="en-US"/>
        </w:rPr>
        <w:t>Matsepes Attorneys, Bloemfontein</w:t>
      </w:r>
    </w:p>
    <w:p w14:paraId="4EDEDABB" w14:textId="77777777" w:rsidR="00BF2950" w:rsidRDefault="00BF2950" w:rsidP="00BF2950">
      <w:pPr>
        <w:rPr>
          <w:rFonts w:ascii="Arial" w:hAnsi="Arial" w:cs="Arial"/>
          <w:sz w:val="24"/>
          <w:szCs w:val="24"/>
          <w:lang w:val="en-US"/>
        </w:rPr>
      </w:pPr>
    </w:p>
    <w:p w14:paraId="567A1D4F" w14:textId="77777777" w:rsidR="00BF2950" w:rsidRDefault="00BF2950" w:rsidP="00BF2950">
      <w:pPr>
        <w:rPr>
          <w:rFonts w:ascii="Arial" w:hAnsi="Arial" w:cs="Arial"/>
          <w:sz w:val="24"/>
          <w:szCs w:val="24"/>
          <w:lang w:val="en-US"/>
        </w:rPr>
      </w:pPr>
    </w:p>
    <w:p w14:paraId="25C356B0" w14:textId="77777777" w:rsidR="007B08AA" w:rsidRPr="00BF2950" w:rsidRDefault="007B08AA" w:rsidP="00BF2950"/>
    <w:sectPr w:rsidR="007B08AA" w:rsidRPr="00BF2950" w:rsidSect="006426C1">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A12E0" w14:textId="77777777" w:rsidR="0028653A" w:rsidRDefault="0028653A" w:rsidP="00BF2950">
      <w:pPr>
        <w:spacing w:line="240" w:lineRule="auto"/>
      </w:pPr>
      <w:r>
        <w:separator/>
      </w:r>
    </w:p>
  </w:endnote>
  <w:endnote w:type="continuationSeparator" w:id="0">
    <w:p w14:paraId="2FABFBE8" w14:textId="77777777" w:rsidR="0028653A" w:rsidRDefault="0028653A" w:rsidP="00BF29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56C27" w14:textId="77777777" w:rsidR="0028653A" w:rsidRDefault="0028653A" w:rsidP="00BF2950">
      <w:pPr>
        <w:spacing w:line="240" w:lineRule="auto"/>
      </w:pPr>
      <w:r>
        <w:separator/>
      </w:r>
    </w:p>
  </w:footnote>
  <w:footnote w:type="continuationSeparator" w:id="0">
    <w:p w14:paraId="4BE5E968" w14:textId="77777777" w:rsidR="0028653A" w:rsidRDefault="0028653A" w:rsidP="00BF2950">
      <w:pPr>
        <w:spacing w:line="240" w:lineRule="auto"/>
      </w:pPr>
      <w:r>
        <w:continuationSeparator/>
      </w:r>
    </w:p>
  </w:footnote>
  <w:footnote w:id="1">
    <w:p w14:paraId="50629305" w14:textId="6DC95379" w:rsidR="001A48BB" w:rsidRDefault="001A48BB">
      <w:pPr>
        <w:pStyle w:val="FootnoteText"/>
      </w:pPr>
      <w:r>
        <w:rPr>
          <w:rStyle w:val="FootnoteReference"/>
        </w:rPr>
        <w:footnoteRef/>
      </w:r>
      <w:r>
        <w:t xml:space="preserve"> </w:t>
      </w:r>
      <w:r w:rsidRPr="001F315D">
        <w:rPr>
          <w:rFonts w:ascii="Arial" w:hAnsi="Arial" w:cs="Arial"/>
          <w:i/>
          <w:iCs/>
          <w:lang w:val="en-US"/>
        </w:rPr>
        <w:t>Neugarten and Others v Standard Bank of South Africa Ltd</w:t>
      </w:r>
      <w:r w:rsidRPr="001F315D">
        <w:rPr>
          <w:rFonts w:ascii="Arial" w:hAnsi="Arial" w:cs="Arial"/>
          <w:lang w:val="en-US"/>
        </w:rPr>
        <w:t xml:space="preserve"> 1989 (1) SA 797 (A) at 808D - 809E.</w:t>
      </w:r>
    </w:p>
  </w:footnote>
  <w:footnote w:id="2">
    <w:p w14:paraId="7B67FA10" w14:textId="35DDA966" w:rsidR="006A6DDC" w:rsidRPr="001F315D" w:rsidRDefault="006A6DDC" w:rsidP="006A6DDC">
      <w:pPr>
        <w:pStyle w:val="FootnoteText"/>
        <w:rPr>
          <w:rFonts w:ascii="Arial" w:hAnsi="Arial" w:cs="Arial"/>
          <w:iCs/>
        </w:rPr>
      </w:pPr>
      <w:r w:rsidRPr="001F315D">
        <w:rPr>
          <w:rStyle w:val="FootnoteReference"/>
          <w:rFonts w:ascii="Arial" w:hAnsi="Arial" w:cs="Arial"/>
        </w:rPr>
        <w:footnoteRef/>
      </w:r>
      <w:r w:rsidRPr="001F315D">
        <w:rPr>
          <w:rFonts w:ascii="Arial" w:hAnsi="Arial" w:cs="Arial"/>
        </w:rPr>
        <w:t xml:space="preserve"> </w:t>
      </w:r>
      <w:r w:rsidRPr="001F315D">
        <w:rPr>
          <w:rFonts w:ascii="Arial" w:hAnsi="Arial" w:cs="Arial"/>
          <w:i/>
          <w:iCs/>
        </w:rPr>
        <w:t xml:space="preserve">Watt v Sea Plant Products </w:t>
      </w:r>
      <w:r w:rsidRPr="00177B75">
        <w:rPr>
          <w:rFonts w:ascii="Arial" w:hAnsi="Arial" w:cs="Arial"/>
          <w:i/>
          <w:iCs/>
        </w:rPr>
        <w:t xml:space="preserve">Bpk </w:t>
      </w:r>
      <w:hyperlink r:id="rId1" w:tooltip="View LawCiteRecord" w:history="1">
        <w:r w:rsidRPr="00177B75">
          <w:rPr>
            <w:rStyle w:val="Hyperlink"/>
            <w:rFonts w:ascii="Arial" w:hAnsi="Arial" w:cs="Arial"/>
            <w:bCs/>
            <w:iCs/>
            <w:color w:val="auto"/>
            <w:u w:val="none"/>
          </w:rPr>
          <w:t>[1998] 4 All SA 109</w:t>
        </w:r>
      </w:hyperlink>
      <w:r w:rsidRPr="001F315D">
        <w:rPr>
          <w:rFonts w:ascii="Arial" w:hAnsi="Arial" w:cs="Arial"/>
          <w:iCs/>
        </w:rPr>
        <w:t xml:space="preserve"> (C) at </w:t>
      </w:r>
      <w:r w:rsidRPr="00EB595C">
        <w:rPr>
          <w:rFonts w:ascii="Arial" w:hAnsi="Arial" w:cs="Arial"/>
          <w:iCs/>
        </w:rPr>
        <w:t>113</w:t>
      </w:r>
      <w:r w:rsidR="00C754DD" w:rsidRPr="00EB595C">
        <w:rPr>
          <w:rFonts w:ascii="Arial" w:hAnsi="Arial" w:cs="Arial"/>
          <w:iCs/>
        </w:rPr>
        <w:t>H.</w:t>
      </w:r>
    </w:p>
  </w:footnote>
  <w:footnote w:id="3">
    <w:p w14:paraId="138A342D" w14:textId="79946396" w:rsidR="00177B75" w:rsidRPr="00177B75" w:rsidRDefault="00177B75" w:rsidP="00177B75">
      <w:pPr>
        <w:pStyle w:val="FootnoteText"/>
        <w:rPr>
          <w:rFonts w:ascii="Arial" w:hAnsi="Arial" w:cs="Arial"/>
        </w:rPr>
      </w:pPr>
      <w:r w:rsidRPr="00177B75">
        <w:rPr>
          <w:rStyle w:val="FootnoteReference"/>
          <w:rFonts w:ascii="Arial" w:hAnsi="Arial" w:cs="Arial"/>
        </w:rPr>
        <w:footnoteRef/>
      </w:r>
      <w:r w:rsidRPr="00177B75">
        <w:rPr>
          <w:rFonts w:ascii="Arial" w:hAnsi="Arial" w:cs="Arial"/>
        </w:rPr>
        <w:t xml:space="preserve"> </w:t>
      </w:r>
      <w:r w:rsidRPr="00177B75">
        <w:rPr>
          <w:rFonts w:ascii="Arial" w:hAnsi="Arial" w:cs="Arial"/>
          <w:i/>
        </w:rPr>
        <w:t>Four Wheel Drive CC v Leshni Rattan NO</w:t>
      </w:r>
      <w:r w:rsidRPr="00177B75">
        <w:rPr>
          <w:rFonts w:ascii="Arial" w:hAnsi="Arial" w:cs="Arial"/>
        </w:rPr>
        <w:t xml:space="preserve"> [2018] ZASCA 124 para 7.</w:t>
      </w:r>
    </w:p>
  </w:footnote>
  <w:footnote w:id="4">
    <w:p w14:paraId="5EF13072" w14:textId="77777777" w:rsidR="006A6DDC" w:rsidRPr="001F315D" w:rsidRDefault="006A6DDC" w:rsidP="006A6DDC">
      <w:pPr>
        <w:pStyle w:val="FootnoteText"/>
        <w:rPr>
          <w:rFonts w:ascii="Arial" w:hAnsi="Arial" w:cs="Arial"/>
        </w:rPr>
      </w:pPr>
      <w:r w:rsidRPr="001F315D">
        <w:rPr>
          <w:rStyle w:val="FootnoteReference"/>
          <w:rFonts w:ascii="Arial" w:hAnsi="Arial" w:cs="Arial"/>
        </w:rPr>
        <w:footnoteRef/>
      </w:r>
      <w:r w:rsidRPr="001F315D">
        <w:rPr>
          <w:rFonts w:ascii="Arial" w:hAnsi="Arial" w:cs="Arial"/>
        </w:rPr>
        <w:t xml:space="preserve"> </w:t>
      </w:r>
      <w:r w:rsidRPr="001F315D">
        <w:rPr>
          <w:rFonts w:ascii="Arial" w:hAnsi="Arial" w:cs="Arial"/>
          <w:i/>
        </w:rPr>
        <w:t>Wessels en Andere v Sinodale Kerkkantoor Kommissie van die Nederduitse Gereformeerde Kerk, OVS</w:t>
      </w:r>
      <w:r w:rsidRPr="001F315D">
        <w:rPr>
          <w:rFonts w:ascii="Arial" w:hAnsi="Arial" w:cs="Arial"/>
        </w:rPr>
        <w:t xml:space="preserve"> 1978 (3) SA 716 (A) at 725H; </w:t>
      </w:r>
      <w:r w:rsidRPr="001F315D">
        <w:rPr>
          <w:rFonts w:ascii="Arial" w:hAnsi="Arial" w:cs="Arial"/>
          <w:i/>
        </w:rPr>
        <w:t>Cabinet of the Transitional Government for the Territory of South West Africa v Eins</w:t>
      </w:r>
      <w:r w:rsidRPr="001F315D">
        <w:rPr>
          <w:rFonts w:ascii="Arial" w:hAnsi="Arial" w:cs="Arial"/>
        </w:rPr>
        <w:t xml:space="preserve"> 1988 (3) SA 369 11 (A) at 388B-E.</w:t>
      </w:r>
    </w:p>
  </w:footnote>
  <w:footnote w:id="5">
    <w:p w14:paraId="65DC7056" w14:textId="77777777" w:rsidR="006A6DDC" w:rsidRPr="001F315D" w:rsidRDefault="006A6DDC" w:rsidP="006A6DDC">
      <w:pPr>
        <w:pStyle w:val="FootnoteText"/>
        <w:rPr>
          <w:rFonts w:ascii="Arial" w:hAnsi="Arial" w:cs="Arial"/>
        </w:rPr>
      </w:pPr>
      <w:r w:rsidRPr="001F315D">
        <w:rPr>
          <w:rStyle w:val="FootnoteReference"/>
          <w:rFonts w:ascii="Arial" w:hAnsi="Arial" w:cs="Arial"/>
        </w:rPr>
        <w:footnoteRef/>
      </w:r>
      <w:r w:rsidRPr="001F315D">
        <w:rPr>
          <w:rFonts w:ascii="Arial" w:hAnsi="Arial" w:cs="Arial"/>
        </w:rPr>
        <w:t xml:space="preserve"> </w:t>
      </w:r>
      <w:r w:rsidRPr="001F315D">
        <w:rPr>
          <w:rFonts w:ascii="Arial" w:hAnsi="Arial" w:cs="Arial"/>
          <w:i/>
        </w:rPr>
        <w:t>Jacobs en 'n Ander v Waks en Andere</w:t>
      </w:r>
      <w:r w:rsidRPr="001F315D">
        <w:rPr>
          <w:rFonts w:ascii="Arial" w:hAnsi="Arial" w:cs="Arial"/>
        </w:rPr>
        <w:t xml:space="preserve"> 1992 (1) SA 521 (A) at 534D); </w:t>
      </w:r>
      <w:r w:rsidRPr="001F315D">
        <w:rPr>
          <w:rFonts w:ascii="Arial" w:hAnsi="Arial" w:cs="Arial"/>
          <w:i/>
        </w:rPr>
        <w:t>Gross and Others v Pentz</w:t>
      </w:r>
      <w:r w:rsidRPr="001F315D">
        <w:rPr>
          <w:rFonts w:ascii="Arial" w:hAnsi="Arial" w:cs="Arial"/>
        </w:rPr>
        <w:t xml:space="preserve"> 1996 (4) SA 617 (A) 632 B-D.</w:t>
      </w:r>
    </w:p>
  </w:footnote>
  <w:footnote w:id="6">
    <w:p w14:paraId="54CE74CC" w14:textId="7CBAA84D" w:rsidR="006A6DDC" w:rsidRPr="001F315D" w:rsidRDefault="006A6DDC" w:rsidP="006A6DDC">
      <w:pPr>
        <w:pStyle w:val="FootnoteText"/>
        <w:rPr>
          <w:rFonts w:ascii="Arial" w:hAnsi="Arial" w:cs="Arial"/>
        </w:rPr>
      </w:pPr>
      <w:r w:rsidRPr="001F315D">
        <w:rPr>
          <w:rStyle w:val="FootnoteReference"/>
          <w:rFonts w:ascii="Arial" w:hAnsi="Arial" w:cs="Arial"/>
        </w:rPr>
        <w:footnoteRef/>
      </w:r>
      <w:r w:rsidRPr="001F315D">
        <w:rPr>
          <w:rFonts w:ascii="Arial" w:hAnsi="Arial" w:cs="Arial"/>
        </w:rPr>
        <w:t xml:space="preserve"> </w:t>
      </w:r>
      <w:r w:rsidRPr="001F315D">
        <w:rPr>
          <w:rFonts w:ascii="Arial" w:hAnsi="Arial" w:cs="Arial"/>
          <w:bCs/>
          <w:i/>
        </w:rPr>
        <w:t>Muller v De Wet NO &amp; Others</w:t>
      </w:r>
      <w:r w:rsidRPr="001F315D">
        <w:rPr>
          <w:rFonts w:ascii="Arial" w:hAnsi="Arial" w:cs="Arial"/>
          <w:bCs/>
        </w:rPr>
        <w:t xml:space="preserve"> 2001(2) SA 489 (W).</w:t>
      </w:r>
    </w:p>
  </w:footnote>
  <w:footnote w:id="7">
    <w:p w14:paraId="0F63A2FC" w14:textId="4A4CDC33" w:rsidR="006A6DDC" w:rsidRPr="001F315D" w:rsidRDefault="006A6DDC" w:rsidP="006A6DDC">
      <w:pPr>
        <w:pStyle w:val="FootnoteText"/>
        <w:rPr>
          <w:rFonts w:ascii="Arial" w:hAnsi="Arial" w:cs="Arial"/>
        </w:rPr>
      </w:pPr>
      <w:r w:rsidRPr="001F315D">
        <w:rPr>
          <w:rStyle w:val="FootnoteReference"/>
          <w:rFonts w:ascii="Arial" w:hAnsi="Arial" w:cs="Arial"/>
        </w:rPr>
        <w:footnoteRef/>
      </w:r>
      <w:r w:rsidRPr="001F315D">
        <w:rPr>
          <w:rFonts w:ascii="Arial" w:hAnsi="Arial" w:cs="Arial"/>
        </w:rPr>
        <w:t xml:space="preserve"> </w:t>
      </w:r>
      <w:r w:rsidRPr="001F315D">
        <w:rPr>
          <w:rFonts w:ascii="Arial" w:hAnsi="Arial" w:cs="Arial"/>
          <w:i/>
          <w:iCs/>
        </w:rPr>
        <w:t>Kuter v SA Pharmacy Board</w:t>
      </w:r>
      <w:r w:rsidRPr="001F315D">
        <w:rPr>
          <w:rFonts w:ascii="Arial" w:hAnsi="Arial" w:cs="Arial"/>
        </w:rPr>
        <w:t> </w:t>
      </w:r>
      <w:hyperlink r:id="rId2" w:tooltip="View LawCiteRecord" w:history="1">
        <w:r w:rsidRPr="009B4A6F">
          <w:rPr>
            <w:rStyle w:val="Hyperlink"/>
            <w:rFonts w:ascii="Arial" w:hAnsi="Arial" w:cs="Arial"/>
            <w:bCs/>
            <w:color w:val="auto"/>
            <w:u w:val="none"/>
          </w:rPr>
          <w:t>1953 (2) SA 307</w:t>
        </w:r>
      </w:hyperlink>
      <w:r w:rsidR="001249C5">
        <w:rPr>
          <w:rFonts w:ascii="Arial" w:hAnsi="Arial" w:cs="Arial"/>
        </w:rPr>
        <w:t xml:space="preserve"> </w:t>
      </w:r>
      <w:r w:rsidRPr="001F315D">
        <w:rPr>
          <w:rFonts w:ascii="Arial" w:hAnsi="Arial" w:cs="Arial"/>
        </w:rPr>
        <w:t xml:space="preserve">(T) at 313; </w:t>
      </w:r>
      <w:r w:rsidRPr="001F315D">
        <w:rPr>
          <w:rFonts w:ascii="Arial" w:hAnsi="Arial" w:cs="Arial"/>
          <w:i/>
        </w:rPr>
        <w:t>Letseng Diamonds Limited v JCI Limited and Others</w:t>
      </w:r>
      <w:r w:rsidRPr="001F315D">
        <w:rPr>
          <w:rFonts w:ascii="Arial" w:hAnsi="Arial" w:cs="Arial"/>
        </w:rPr>
        <w:t xml:space="preserve"> [2007] ZAGPHC 119 para 13.</w:t>
      </w:r>
    </w:p>
  </w:footnote>
  <w:footnote w:id="8">
    <w:p w14:paraId="2FAFFCFB" w14:textId="048CFFC8" w:rsidR="0076149F" w:rsidRPr="0076149F" w:rsidRDefault="0076149F" w:rsidP="0076149F">
      <w:pPr>
        <w:pStyle w:val="FootnoteText"/>
        <w:rPr>
          <w:rFonts w:ascii="Arial" w:hAnsi="Arial" w:cs="Arial"/>
        </w:rPr>
      </w:pPr>
      <w:r w:rsidRPr="0076149F">
        <w:rPr>
          <w:rStyle w:val="FootnoteReference"/>
          <w:rFonts w:ascii="Arial" w:hAnsi="Arial" w:cs="Arial"/>
        </w:rPr>
        <w:footnoteRef/>
      </w:r>
      <w:r w:rsidRPr="0076149F">
        <w:rPr>
          <w:rFonts w:ascii="Arial" w:hAnsi="Arial" w:cs="Arial"/>
        </w:rPr>
        <w:t xml:space="preserve"> </w:t>
      </w:r>
      <w:r w:rsidRPr="0076149F">
        <w:rPr>
          <w:rFonts w:ascii="Arial" w:hAnsi="Arial" w:cs="Arial"/>
          <w:i/>
          <w:iCs/>
        </w:rPr>
        <w:t>Theron NO and Another v Loubser NO and Others</w:t>
      </w:r>
      <w:r>
        <w:rPr>
          <w:rFonts w:ascii="Arial" w:hAnsi="Arial" w:cs="Arial"/>
          <w:i/>
          <w:iCs/>
        </w:rPr>
        <w:t>:</w:t>
      </w:r>
      <w:r w:rsidRPr="0076149F">
        <w:rPr>
          <w:rFonts w:ascii="Arial" w:hAnsi="Arial" w:cs="Arial"/>
          <w:i/>
          <w:iCs/>
        </w:rPr>
        <w:t xml:space="preserve"> In</w:t>
      </w:r>
      <w:r>
        <w:rPr>
          <w:rFonts w:ascii="Arial" w:hAnsi="Arial" w:cs="Arial"/>
          <w:i/>
          <w:iCs/>
        </w:rPr>
        <w:t xml:space="preserve"> </w:t>
      </w:r>
      <w:r w:rsidRPr="0076149F">
        <w:rPr>
          <w:rFonts w:ascii="Arial" w:hAnsi="Arial" w:cs="Arial"/>
          <w:i/>
          <w:iCs/>
        </w:rPr>
        <w:t>Re</w:t>
      </w:r>
      <w:r>
        <w:rPr>
          <w:rFonts w:ascii="Arial" w:hAnsi="Arial" w:cs="Arial"/>
          <w:i/>
          <w:iCs/>
        </w:rPr>
        <w:t>:</w:t>
      </w:r>
      <w:r w:rsidRPr="0076149F">
        <w:rPr>
          <w:rFonts w:ascii="Arial" w:hAnsi="Arial" w:cs="Arial"/>
          <w:i/>
          <w:iCs/>
        </w:rPr>
        <w:t xml:space="preserve"> Theron NO and Another v Loubser and Others</w:t>
      </w:r>
      <w:r w:rsidRPr="0076149F">
        <w:rPr>
          <w:rFonts w:ascii="Arial" w:hAnsi="Arial" w:cs="Arial"/>
        </w:rPr>
        <w:t xml:space="preserve"> [2013] ZASCA 195; [2014] 1 All SA 460 (SCA); 2014 (3) SA 323 (SCA) para 19.</w:t>
      </w:r>
    </w:p>
    <w:p w14:paraId="0FA56EFE" w14:textId="0D88F8B0" w:rsidR="0076149F" w:rsidRPr="0076149F" w:rsidRDefault="0076149F">
      <w:pPr>
        <w:pStyle w:val="FootnoteText"/>
        <w:rPr>
          <w:rFonts w:ascii="Arial" w:hAnsi="Arial" w:cs="Arial"/>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532994"/>
      <w:docPartObj>
        <w:docPartGallery w:val="Page Numbers (Top of Page)"/>
        <w:docPartUnique/>
      </w:docPartObj>
    </w:sdtPr>
    <w:sdtEndPr>
      <w:rPr>
        <w:rFonts w:ascii="Arial" w:hAnsi="Arial" w:cs="Arial"/>
        <w:noProof/>
        <w:sz w:val="24"/>
        <w:szCs w:val="24"/>
      </w:rPr>
    </w:sdtEndPr>
    <w:sdtContent>
      <w:p w14:paraId="2166D59F" w14:textId="1F850BCE" w:rsidR="006426C1" w:rsidRPr="006426C1" w:rsidRDefault="006426C1">
        <w:pPr>
          <w:pStyle w:val="Header"/>
          <w:jc w:val="right"/>
          <w:rPr>
            <w:rFonts w:ascii="Arial" w:hAnsi="Arial" w:cs="Arial"/>
            <w:sz w:val="24"/>
            <w:szCs w:val="24"/>
          </w:rPr>
        </w:pPr>
        <w:r w:rsidRPr="006426C1">
          <w:rPr>
            <w:rFonts w:ascii="Arial" w:hAnsi="Arial" w:cs="Arial"/>
            <w:sz w:val="24"/>
            <w:szCs w:val="24"/>
          </w:rPr>
          <w:fldChar w:fldCharType="begin"/>
        </w:r>
        <w:r w:rsidRPr="006426C1">
          <w:rPr>
            <w:rFonts w:ascii="Arial" w:hAnsi="Arial" w:cs="Arial"/>
            <w:sz w:val="24"/>
            <w:szCs w:val="24"/>
          </w:rPr>
          <w:instrText xml:space="preserve"> PAGE   \* MERGEFORMAT </w:instrText>
        </w:r>
        <w:r w:rsidRPr="006426C1">
          <w:rPr>
            <w:rFonts w:ascii="Arial" w:hAnsi="Arial" w:cs="Arial"/>
            <w:sz w:val="24"/>
            <w:szCs w:val="24"/>
          </w:rPr>
          <w:fldChar w:fldCharType="separate"/>
        </w:r>
        <w:r w:rsidR="00002C24">
          <w:rPr>
            <w:rFonts w:ascii="Arial" w:hAnsi="Arial" w:cs="Arial"/>
            <w:noProof/>
            <w:sz w:val="24"/>
            <w:szCs w:val="24"/>
          </w:rPr>
          <w:t>7</w:t>
        </w:r>
        <w:r w:rsidRPr="006426C1">
          <w:rPr>
            <w:rFonts w:ascii="Arial" w:hAnsi="Arial" w:cs="Arial"/>
            <w:noProof/>
            <w:sz w:val="24"/>
            <w:szCs w:val="24"/>
          </w:rPr>
          <w:fldChar w:fldCharType="end"/>
        </w:r>
      </w:p>
    </w:sdtContent>
  </w:sdt>
  <w:p w14:paraId="011E022B" w14:textId="77777777" w:rsidR="006426C1" w:rsidRDefault="006426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2115"/>
    <w:multiLevelType w:val="hybridMultilevel"/>
    <w:tmpl w:val="A1888168"/>
    <w:lvl w:ilvl="0" w:tplc="0A34C6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E576C1"/>
    <w:multiLevelType w:val="hybridMultilevel"/>
    <w:tmpl w:val="9508E45C"/>
    <w:lvl w:ilvl="0" w:tplc="006EF676">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EA04486"/>
    <w:multiLevelType w:val="hybridMultilevel"/>
    <w:tmpl w:val="5FF0F578"/>
    <w:lvl w:ilvl="0" w:tplc="8C02D4FA">
      <w:start w:val="1"/>
      <w:numFmt w:val="lowerRoman"/>
      <w:lvlText w:val="(%1)"/>
      <w:lvlJc w:val="left"/>
      <w:pPr>
        <w:ind w:left="1440" w:hanging="720"/>
      </w:pPr>
      <w:rPr>
        <w:rFonts w:ascii="Arial" w:eastAsiaTheme="minorHAnsi" w:hAnsi="Arial"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3892361"/>
    <w:multiLevelType w:val="hybridMultilevel"/>
    <w:tmpl w:val="182497B8"/>
    <w:lvl w:ilvl="0" w:tplc="07B04B52">
      <w:start w:val="1"/>
      <w:numFmt w:val="lowerLetter"/>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3372AE6"/>
    <w:multiLevelType w:val="hybridMultilevel"/>
    <w:tmpl w:val="A01CC674"/>
    <w:lvl w:ilvl="0" w:tplc="0E34459A">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6A06729"/>
    <w:multiLevelType w:val="hybridMultilevel"/>
    <w:tmpl w:val="FDF09192"/>
    <w:lvl w:ilvl="0" w:tplc="F73ECCBC">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6">
    <w:nsid w:val="415929C6"/>
    <w:multiLevelType w:val="hybridMultilevel"/>
    <w:tmpl w:val="E628267E"/>
    <w:lvl w:ilvl="0" w:tplc="29446C68">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B844032"/>
    <w:multiLevelType w:val="hybridMultilevel"/>
    <w:tmpl w:val="2B0E353E"/>
    <w:lvl w:ilvl="0" w:tplc="AA04C97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C75095F"/>
    <w:multiLevelType w:val="hybridMultilevel"/>
    <w:tmpl w:val="D3B09F9C"/>
    <w:lvl w:ilvl="0" w:tplc="A5D2F95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03610BC"/>
    <w:multiLevelType w:val="hybridMultilevel"/>
    <w:tmpl w:val="09148FB4"/>
    <w:lvl w:ilvl="0" w:tplc="5BE4968C">
      <w:start w:val="1"/>
      <w:numFmt w:val="lowerRoman"/>
      <w:lvlText w:val="(%1)"/>
      <w:lvlJc w:val="left"/>
      <w:pPr>
        <w:ind w:left="1440" w:hanging="720"/>
      </w:pPr>
      <w:rPr>
        <w:rFonts w:ascii="Arial" w:eastAsiaTheme="minorHAnsi" w:hAnsi="Arial"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50"/>
    <w:rsid w:val="00002C24"/>
    <w:rsid w:val="00005956"/>
    <w:rsid w:val="00012D97"/>
    <w:rsid w:val="00044FE6"/>
    <w:rsid w:val="0005557B"/>
    <w:rsid w:val="00066630"/>
    <w:rsid w:val="00077550"/>
    <w:rsid w:val="00086219"/>
    <w:rsid w:val="000870BE"/>
    <w:rsid w:val="000A0213"/>
    <w:rsid w:val="000A14B9"/>
    <w:rsid w:val="000A1610"/>
    <w:rsid w:val="000A56E2"/>
    <w:rsid w:val="000C79C4"/>
    <w:rsid w:val="000E332B"/>
    <w:rsid w:val="000E4FEA"/>
    <w:rsid w:val="001021A0"/>
    <w:rsid w:val="00105204"/>
    <w:rsid w:val="00106D80"/>
    <w:rsid w:val="001249C5"/>
    <w:rsid w:val="00136D78"/>
    <w:rsid w:val="0015356E"/>
    <w:rsid w:val="0016278F"/>
    <w:rsid w:val="00162B91"/>
    <w:rsid w:val="00163E28"/>
    <w:rsid w:val="00163FDF"/>
    <w:rsid w:val="001677D1"/>
    <w:rsid w:val="00177B75"/>
    <w:rsid w:val="001A32D5"/>
    <w:rsid w:val="001A33AE"/>
    <w:rsid w:val="001A48BB"/>
    <w:rsid w:val="001C3F5F"/>
    <w:rsid w:val="001D1CB2"/>
    <w:rsid w:val="001D4C7D"/>
    <w:rsid w:val="001F3834"/>
    <w:rsid w:val="001F7808"/>
    <w:rsid w:val="00200FDA"/>
    <w:rsid w:val="00202433"/>
    <w:rsid w:val="00215787"/>
    <w:rsid w:val="00226044"/>
    <w:rsid w:val="00231B26"/>
    <w:rsid w:val="00245545"/>
    <w:rsid w:val="002502BC"/>
    <w:rsid w:val="00251B03"/>
    <w:rsid w:val="00264959"/>
    <w:rsid w:val="00277E87"/>
    <w:rsid w:val="00284AFD"/>
    <w:rsid w:val="00284E9D"/>
    <w:rsid w:val="0028653A"/>
    <w:rsid w:val="002A6052"/>
    <w:rsid w:val="002B77AD"/>
    <w:rsid w:val="002D4249"/>
    <w:rsid w:val="00307211"/>
    <w:rsid w:val="00332152"/>
    <w:rsid w:val="00334B6E"/>
    <w:rsid w:val="00336FF6"/>
    <w:rsid w:val="00360C6B"/>
    <w:rsid w:val="00367915"/>
    <w:rsid w:val="00387BE4"/>
    <w:rsid w:val="00391267"/>
    <w:rsid w:val="00393325"/>
    <w:rsid w:val="003A1A59"/>
    <w:rsid w:val="003B3918"/>
    <w:rsid w:val="003E6B9F"/>
    <w:rsid w:val="003F3136"/>
    <w:rsid w:val="003F55A0"/>
    <w:rsid w:val="004163C4"/>
    <w:rsid w:val="00426700"/>
    <w:rsid w:val="004279EB"/>
    <w:rsid w:val="004404F6"/>
    <w:rsid w:val="00463A75"/>
    <w:rsid w:val="004A350F"/>
    <w:rsid w:val="004A3DF0"/>
    <w:rsid w:val="004B473D"/>
    <w:rsid w:val="004D50E7"/>
    <w:rsid w:val="004E3EBD"/>
    <w:rsid w:val="004E4325"/>
    <w:rsid w:val="005130CF"/>
    <w:rsid w:val="0051365A"/>
    <w:rsid w:val="00521AD6"/>
    <w:rsid w:val="00547DEC"/>
    <w:rsid w:val="00576AAB"/>
    <w:rsid w:val="00595C49"/>
    <w:rsid w:val="005C2D75"/>
    <w:rsid w:val="005C715C"/>
    <w:rsid w:val="005E23FF"/>
    <w:rsid w:val="005F113B"/>
    <w:rsid w:val="005F2375"/>
    <w:rsid w:val="005F79B0"/>
    <w:rsid w:val="00623161"/>
    <w:rsid w:val="00627649"/>
    <w:rsid w:val="006426C1"/>
    <w:rsid w:val="006512AF"/>
    <w:rsid w:val="00654032"/>
    <w:rsid w:val="00654EFB"/>
    <w:rsid w:val="0065604E"/>
    <w:rsid w:val="00656640"/>
    <w:rsid w:val="00663D88"/>
    <w:rsid w:val="00666D54"/>
    <w:rsid w:val="006853D7"/>
    <w:rsid w:val="00690BB4"/>
    <w:rsid w:val="00694620"/>
    <w:rsid w:val="006A6DDC"/>
    <w:rsid w:val="006C24A2"/>
    <w:rsid w:val="006D6E98"/>
    <w:rsid w:val="006E7581"/>
    <w:rsid w:val="006F704E"/>
    <w:rsid w:val="00714C7B"/>
    <w:rsid w:val="00730ADD"/>
    <w:rsid w:val="0075446A"/>
    <w:rsid w:val="0076149F"/>
    <w:rsid w:val="00761AD7"/>
    <w:rsid w:val="00776C47"/>
    <w:rsid w:val="00780DC5"/>
    <w:rsid w:val="0078236E"/>
    <w:rsid w:val="007842AA"/>
    <w:rsid w:val="00792CD6"/>
    <w:rsid w:val="00797D6A"/>
    <w:rsid w:val="007B08AA"/>
    <w:rsid w:val="007B4E62"/>
    <w:rsid w:val="007B7D50"/>
    <w:rsid w:val="007D5529"/>
    <w:rsid w:val="007D6953"/>
    <w:rsid w:val="007E64D2"/>
    <w:rsid w:val="007F2760"/>
    <w:rsid w:val="007F7E45"/>
    <w:rsid w:val="00814614"/>
    <w:rsid w:val="00836684"/>
    <w:rsid w:val="00844819"/>
    <w:rsid w:val="00845ED5"/>
    <w:rsid w:val="00857FC1"/>
    <w:rsid w:val="0089723E"/>
    <w:rsid w:val="008A0204"/>
    <w:rsid w:val="008B0A36"/>
    <w:rsid w:val="008B5C55"/>
    <w:rsid w:val="008E7850"/>
    <w:rsid w:val="00902A2A"/>
    <w:rsid w:val="00910619"/>
    <w:rsid w:val="009534DF"/>
    <w:rsid w:val="009543D4"/>
    <w:rsid w:val="0099563A"/>
    <w:rsid w:val="009A27EF"/>
    <w:rsid w:val="009A4A79"/>
    <w:rsid w:val="009B051D"/>
    <w:rsid w:val="009B4A6F"/>
    <w:rsid w:val="009B4E6B"/>
    <w:rsid w:val="009C36D1"/>
    <w:rsid w:val="00A05060"/>
    <w:rsid w:val="00A12884"/>
    <w:rsid w:val="00A31CD7"/>
    <w:rsid w:val="00A44F2F"/>
    <w:rsid w:val="00A608A8"/>
    <w:rsid w:val="00A84BD8"/>
    <w:rsid w:val="00A935E7"/>
    <w:rsid w:val="00AA0E72"/>
    <w:rsid w:val="00AB0550"/>
    <w:rsid w:val="00AB625D"/>
    <w:rsid w:val="00AD62C4"/>
    <w:rsid w:val="00B1103D"/>
    <w:rsid w:val="00B15076"/>
    <w:rsid w:val="00B23AC5"/>
    <w:rsid w:val="00B41A66"/>
    <w:rsid w:val="00B83992"/>
    <w:rsid w:val="00B87338"/>
    <w:rsid w:val="00B919AE"/>
    <w:rsid w:val="00B92632"/>
    <w:rsid w:val="00B93297"/>
    <w:rsid w:val="00BB661F"/>
    <w:rsid w:val="00BE043B"/>
    <w:rsid w:val="00BF0C8D"/>
    <w:rsid w:val="00BF2950"/>
    <w:rsid w:val="00C26093"/>
    <w:rsid w:val="00C3347A"/>
    <w:rsid w:val="00C53293"/>
    <w:rsid w:val="00C638A8"/>
    <w:rsid w:val="00C754DD"/>
    <w:rsid w:val="00C928C3"/>
    <w:rsid w:val="00CA1EFD"/>
    <w:rsid w:val="00CC2C2E"/>
    <w:rsid w:val="00CC75F4"/>
    <w:rsid w:val="00CE5427"/>
    <w:rsid w:val="00CF0258"/>
    <w:rsid w:val="00CF038B"/>
    <w:rsid w:val="00D07497"/>
    <w:rsid w:val="00D1407B"/>
    <w:rsid w:val="00D233FD"/>
    <w:rsid w:val="00D42A5D"/>
    <w:rsid w:val="00D61BF7"/>
    <w:rsid w:val="00D72F28"/>
    <w:rsid w:val="00D77B5B"/>
    <w:rsid w:val="00D9030D"/>
    <w:rsid w:val="00D94BA0"/>
    <w:rsid w:val="00DA2374"/>
    <w:rsid w:val="00DA2532"/>
    <w:rsid w:val="00DA4584"/>
    <w:rsid w:val="00DD4E5E"/>
    <w:rsid w:val="00DD5D1D"/>
    <w:rsid w:val="00DF33F4"/>
    <w:rsid w:val="00E0168B"/>
    <w:rsid w:val="00E054DD"/>
    <w:rsid w:val="00E114FD"/>
    <w:rsid w:val="00E20A78"/>
    <w:rsid w:val="00E332A7"/>
    <w:rsid w:val="00E43C24"/>
    <w:rsid w:val="00E71950"/>
    <w:rsid w:val="00E967EA"/>
    <w:rsid w:val="00EB2201"/>
    <w:rsid w:val="00EB595C"/>
    <w:rsid w:val="00ED2237"/>
    <w:rsid w:val="00ED23DB"/>
    <w:rsid w:val="00EF70A7"/>
    <w:rsid w:val="00F02AF5"/>
    <w:rsid w:val="00F2141C"/>
    <w:rsid w:val="00F30016"/>
    <w:rsid w:val="00F31414"/>
    <w:rsid w:val="00F624AE"/>
    <w:rsid w:val="00F64504"/>
    <w:rsid w:val="00F7319B"/>
    <w:rsid w:val="00F83519"/>
    <w:rsid w:val="00F83711"/>
    <w:rsid w:val="00FA10C8"/>
    <w:rsid w:val="00FA6CE9"/>
    <w:rsid w:val="00FC519F"/>
    <w:rsid w:val="00FD6BC5"/>
    <w:rsid w:val="00FF548B"/>
    <w:rsid w:val="00FF6D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2C79E"/>
  <w15:chartTrackingRefBased/>
  <w15:docId w15:val="{B2B531E6-5D77-438A-AF1F-F66700CA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161"/>
    <w:pPr>
      <w:spacing w:after="0" w:line="360" w:lineRule="auto"/>
      <w:jc w:val="both"/>
    </w:pPr>
  </w:style>
  <w:style w:type="paragraph" w:styleId="Heading2">
    <w:name w:val="heading 2"/>
    <w:basedOn w:val="Normal"/>
    <w:next w:val="Normal"/>
    <w:link w:val="Heading2Char"/>
    <w:uiPriority w:val="9"/>
    <w:semiHidden/>
    <w:unhideWhenUsed/>
    <w:qFormat/>
    <w:rsid w:val="0076149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F2950"/>
    <w:pPr>
      <w:spacing w:line="240" w:lineRule="auto"/>
    </w:pPr>
    <w:rPr>
      <w:sz w:val="20"/>
      <w:szCs w:val="20"/>
    </w:rPr>
  </w:style>
  <w:style w:type="character" w:customStyle="1" w:styleId="FootnoteTextChar">
    <w:name w:val="Footnote Text Char"/>
    <w:basedOn w:val="DefaultParagraphFont"/>
    <w:link w:val="FootnoteText"/>
    <w:uiPriority w:val="99"/>
    <w:rsid w:val="00BF2950"/>
    <w:rPr>
      <w:sz w:val="20"/>
      <w:szCs w:val="20"/>
    </w:rPr>
  </w:style>
  <w:style w:type="paragraph" w:styleId="ListParagraph">
    <w:name w:val="List Paragraph"/>
    <w:basedOn w:val="Normal"/>
    <w:uiPriority w:val="34"/>
    <w:qFormat/>
    <w:rsid w:val="00BF2950"/>
    <w:pPr>
      <w:ind w:left="720"/>
      <w:contextualSpacing/>
    </w:pPr>
  </w:style>
  <w:style w:type="character" w:styleId="FootnoteReference">
    <w:name w:val="footnote reference"/>
    <w:basedOn w:val="DefaultParagraphFont"/>
    <w:uiPriority w:val="99"/>
    <w:semiHidden/>
    <w:unhideWhenUsed/>
    <w:rsid w:val="00BF2950"/>
    <w:rPr>
      <w:vertAlign w:val="superscript"/>
    </w:rPr>
  </w:style>
  <w:style w:type="paragraph" w:styleId="Header">
    <w:name w:val="header"/>
    <w:basedOn w:val="Normal"/>
    <w:link w:val="HeaderChar"/>
    <w:uiPriority w:val="99"/>
    <w:unhideWhenUsed/>
    <w:rsid w:val="006426C1"/>
    <w:pPr>
      <w:tabs>
        <w:tab w:val="center" w:pos="4513"/>
        <w:tab w:val="right" w:pos="9026"/>
      </w:tabs>
      <w:spacing w:line="240" w:lineRule="auto"/>
    </w:pPr>
  </w:style>
  <w:style w:type="character" w:customStyle="1" w:styleId="HeaderChar">
    <w:name w:val="Header Char"/>
    <w:basedOn w:val="DefaultParagraphFont"/>
    <w:link w:val="Header"/>
    <w:uiPriority w:val="99"/>
    <w:rsid w:val="006426C1"/>
  </w:style>
  <w:style w:type="paragraph" w:styleId="Footer">
    <w:name w:val="footer"/>
    <w:basedOn w:val="Normal"/>
    <w:link w:val="FooterChar"/>
    <w:uiPriority w:val="99"/>
    <w:unhideWhenUsed/>
    <w:rsid w:val="006426C1"/>
    <w:pPr>
      <w:tabs>
        <w:tab w:val="center" w:pos="4513"/>
        <w:tab w:val="right" w:pos="9026"/>
      </w:tabs>
      <w:spacing w:line="240" w:lineRule="auto"/>
    </w:pPr>
  </w:style>
  <w:style w:type="character" w:customStyle="1" w:styleId="FooterChar">
    <w:name w:val="Footer Char"/>
    <w:basedOn w:val="DefaultParagraphFont"/>
    <w:link w:val="Footer"/>
    <w:uiPriority w:val="99"/>
    <w:rsid w:val="006426C1"/>
  </w:style>
  <w:style w:type="paragraph" w:styleId="Revision">
    <w:name w:val="Revision"/>
    <w:hidden/>
    <w:uiPriority w:val="99"/>
    <w:semiHidden/>
    <w:rsid w:val="0005557B"/>
    <w:pPr>
      <w:spacing w:after="0" w:line="240" w:lineRule="auto"/>
    </w:pPr>
  </w:style>
  <w:style w:type="paragraph" w:styleId="BalloonText">
    <w:name w:val="Balloon Text"/>
    <w:basedOn w:val="Normal"/>
    <w:link w:val="BalloonTextChar"/>
    <w:uiPriority w:val="99"/>
    <w:semiHidden/>
    <w:unhideWhenUsed/>
    <w:rsid w:val="008E785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850"/>
    <w:rPr>
      <w:rFonts w:ascii="Segoe UI" w:hAnsi="Segoe UI" w:cs="Segoe UI"/>
      <w:sz w:val="18"/>
      <w:szCs w:val="18"/>
    </w:rPr>
  </w:style>
  <w:style w:type="character" w:styleId="CommentReference">
    <w:name w:val="annotation reference"/>
    <w:basedOn w:val="DefaultParagraphFont"/>
    <w:uiPriority w:val="99"/>
    <w:semiHidden/>
    <w:unhideWhenUsed/>
    <w:rsid w:val="00E20A78"/>
    <w:rPr>
      <w:sz w:val="16"/>
      <w:szCs w:val="16"/>
    </w:rPr>
  </w:style>
  <w:style w:type="paragraph" w:styleId="CommentText">
    <w:name w:val="annotation text"/>
    <w:basedOn w:val="Normal"/>
    <w:link w:val="CommentTextChar"/>
    <w:uiPriority w:val="99"/>
    <w:semiHidden/>
    <w:unhideWhenUsed/>
    <w:rsid w:val="00E20A78"/>
    <w:pPr>
      <w:spacing w:line="240" w:lineRule="auto"/>
    </w:pPr>
    <w:rPr>
      <w:sz w:val="20"/>
      <w:szCs w:val="20"/>
    </w:rPr>
  </w:style>
  <w:style w:type="character" w:customStyle="1" w:styleId="CommentTextChar">
    <w:name w:val="Comment Text Char"/>
    <w:basedOn w:val="DefaultParagraphFont"/>
    <w:link w:val="CommentText"/>
    <w:uiPriority w:val="99"/>
    <w:semiHidden/>
    <w:rsid w:val="00E20A78"/>
    <w:rPr>
      <w:sz w:val="20"/>
      <w:szCs w:val="20"/>
    </w:rPr>
  </w:style>
  <w:style w:type="paragraph" w:styleId="CommentSubject">
    <w:name w:val="annotation subject"/>
    <w:basedOn w:val="CommentText"/>
    <w:next w:val="CommentText"/>
    <w:link w:val="CommentSubjectChar"/>
    <w:uiPriority w:val="99"/>
    <w:semiHidden/>
    <w:unhideWhenUsed/>
    <w:rsid w:val="00E20A78"/>
    <w:rPr>
      <w:b/>
      <w:bCs/>
    </w:rPr>
  </w:style>
  <w:style w:type="character" w:customStyle="1" w:styleId="CommentSubjectChar">
    <w:name w:val="Comment Subject Char"/>
    <w:basedOn w:val="CommentTextChar"/>
    <w:link w:val="CommentSubject"/>
    <w:uiPriority w:val="99"/>
    <w:semiHidden/>
    <w:rsid w:val="00E20A78"/>
    <w:rPr>
      <w:b/>
      <w:bCs/>
      <w:sz w:val="20"/>
      <w:szCs w:val="20"/>
    </w:rPr>
  </w:style>
  <w:style w:type="character" w:styleId="Hyperlink">
    <w:name w:val="Hyperlink"/>
    <w:basedOn w:val="DefaultParagraphFont"/>
    <w:uiPriority w:val="99"/>
    <w:unhideWhenUsed/>
    <w:rsid w:val="006A6DDC"/>
    <w:rPr>
      <w:color w:val="0563C1" w:themeColor="hyperlink"/>
      <w:u w:val="single"/>
    </w:rPr>
  </w:style>
  <w:style w:type="character" w:customStyle="1" w:styleId="Heading2Char">
    <w:name w:val="Heading 2 Char"/>
    <w:basedOn w:val="DefaultParagraphFont"/>
    <w:link w:val="Heading2"/>
    <w:uiPriority w:val="9"/>
    <w:semiHidden/>
    <w:rsid w:val="0076149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050820">
      <w:bodyDiv w:val="1"/>
      <w:marLeft w:val="0"/>
      <w:marRight w:val="0"/>
      <w:marTop w:val="0"/>
      <w:marBottom w:val="0"/>
      <w:divBdr>
        <w:top w:val="none" w:sz="0" w:space="0" w:color="auto"/>
        <w:left w:val="none" w:sz="0" w:space="0" w:color="auto"/>
        <w:bottom w:val="none" w:sz="0" w:space="0" w:color="auto"/>
        <w:right w:val="none" w:sz="0" w:space="0" w:color="auto"/>
      </w:divBdr>
    </w:div>
    <w:div w:id="1474642539">
      <w:bodyDiv w:val="1"/>
      <w:marLeft w:val="0"/>
      <w:marRight w:val="0"/>
      <w:marTop w:val="0"/>
      <w:marBottom w:val="0"/>
      <w:divBdr>
        <w:top w:val="none" w:sz="0" w:space="0" w:color="auto"/>
        <w:left w:val="none" w:sz="0" w:space="0" w:color="auto"/>
        <w:bottom w:val="none" w:sz="0" w:space="0" w:color="auto"/>
        <w:right w:val="none" w:sz="0" w:space="0" w:color="auto"/>
      </w:divBdr>
    </w:div>
    <w:div w:id="178673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saflii.org/cgi-bin/LawCite?cit=1953%20%282%29%20SA%20307" TargetMode="External"/><Relationship Id="rId1" Type="http://schemas.openxmlformats.org/officeDocument/2006/relationships/hyperlink" Target="http://www.saflii.org/cgi-bin/LawCite?cit=%5b1998%5d%204%20All%20SA%20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A3757-25AE-468F-BA55-F3039B1B2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Thurtell</dc:creator>
  <cp:keywords/>
  <dc:description/>
  <cp:lastModifiedBy>Mokone</cp:lastModifiedBy>
  <cp:revision>2</cp:revision>
  <dcterms:created xsi:type="dcterms:W3CDTF">2023-06-27T11:56:00Z</dcterms:created>
  <dcterms:modified xsi:type="dcterms:W3CDTF">2023-06-27T11:56:00Z</dcterms:modified>
</cp:coreProperties>
</file>