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FF717" w14:textId="77777777" w:rsidR="0058227E" w:rsidRPr="00FD14F1" w:rsidRDefault="0058227E" w:rsidP="0058227E">
      <w:pPr>
        <w:spacing w:line="360" w:lineRule="auto"/>
        <w:rPr>
          <w:b/>
          <w:bCs/>
          <w:sz w:val="28"/>
          <w:szCs w:val="28"/>
        </w:rPr>
      </w:pPr>
      <w:r w:rsidRPr="00FD14F1">
        <w:rPr>
          <w:noProof/>
          <w:lang w:eastAsia="en-ZA"/>
        </w:rPr>
        <w:drawing>
          <wp:anchor distT="0" distB="0" distL="114300" distR="114300" simplePos="0" relativeHeight="251659264" behindDoc="0" locked="0" layoutInCell="1" allowOverlap="1" wp14:anchorId="216D390D" wp14:editId="76325B0C">
            <wp:simplePos x="0" y="0"/>
            <wp:positionH relativeFrom="column">
              <wp:posOffset>2465705</wp:posOffset>
            </wp:positionH>
            <wp:positionV relativeFrom="paragraph">
              <wp:posOffset>138430</wp:posOffset>
            </wp:positionV>
            <wp:extent cx="800100" cy="9144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28F70B64" w14:textId="77777777" w:rsidR="0058227E" w:rsidRPr="00FD14F1" w:rsidRDefault="0058227E" w:rsidP="0058227E">
      <w:pPr>
        <w:spacing w:line="360" w:lineRule="auto"/>
        <w:jc w:val="center"/>
        <w:rPr>
          <w:b/>
          <w:bCs/>
          <w:sz w:val="28"/>
          <w:szCs w:val="28"/>
        </w:rPr>
      </w:pPr>
    </w:p>
    <w:p w14:paraId="287CD398" w14:textId="77777777" w:rsidR="0058227E" w:rsidRPr="00FD14F1" w:rsidRDefault="0058227E" w:rsidP="00700EF0">
      <w:pPr>
        <w:spacing w:line="360" w:lineRule="auto"/>
        <w:rPr>
          <w:b/>
          <w:bCs/>
          <w:sz w:val="28"/>
          <w:szCs w:val="28"/>
        </w:rPr>
      </w:pPr>
    </w:p>
    <w:p w14:paraId="57CE4702" w14:textId="77777777" w:rsidR="0058227E" w:rsidRPr="009732E0" w:rsidRDefault="0058227E" w:rsidP="00700EF0">
      <w:pPr>
        <w:spacing w:line="240" w:lineRule="auto"/>
        <w:jc w:val="center"/>
        <w:rPr>
          <w:rFonts w:ascii="Times New Roman" w:hAnsi="Times New Roman" w:cs="Times New Roman"/>
          <w:b/>
          <w:bCs/>
          <w:sz w:val="28"/>
          <w:szCs w:val="28"/>
        </w:rPr>
      </w:pPr>
      <w:r w:rsidRPr="009732E0">
        <w:rPr>
          <w:rFonts w:ascii="Times New Roman" w:hAnsi="Times New Roman" w:cs="Times New Roman"/>
          <w:b/>
          <w:bCs/>
          <w:sz w:val="28"/>
          <w:szCs w:val="28"/>
        </w:rPr>
        <w:t>THE SUPREME COURT OF APPEAL OF SOUTH AFRICA</w:t>
      </w:r>
    </w:p>
    <w:p w14:paraId="1F86FAEF" w14:textId="77777777" w:rsidR="0058227E" w:rsidRPr="00FA2B4F" w:rsidRDefault="0058227E" w:rsidP="00DC775C">
      <w:pPr>
        <w:pStyle w:val="Heading3"/>
        <w:jc w:val="center"/>
        <w:rPr>
          <w:rFonts w:ascii="Times New Roman" w:hAnsi="Times New Roman" w:cs="Times New Roman"/>
          <w:b/>
          <w:i/>
          <w:color w:val="auto"/>
          <w:sz w:val="28"/>
          <w:szCs w:val="28"/>
        </w:rPr>
      </w:pPr>
      <w:r w:rsidRPr="00FA2B4F">
        <w:rPr>
          <w:rFonts w:ascii="Times New Roman" w:hAnsi="Times New Roman" w:cs="Times New Roman"/>
          <w:b/>
          <w:color w:val="auto"/>
          <w:sz w:val="28"/>
          <w:szCs w:val="28"/>
        </w:rPr>
        <w:t>JUDGMENT</w:t>
      </w:r>
    </w:p>
    <w:p w14:paraId="1855692F" w14:textId="77777777" w:rsidR="0058227E" w:rsidRPr="009732E0" w:rsidRDefault="0058227E" w:rsidP="0058227E">
      <w:pPr>
        <w:spacing w:line="360" w:lineRule="auto"/>
        <w:jc w:val="center"/>
        <w:rPr>
          <w:rFonts w:ascii="Times New Roman" w:hAnsi="Times New Roman" w:cs="Times New Roman"/>
          <w:b/>
          <w:bCs/>
          <w:strike/>
          <w:sz w:val="28"/>
          <w:szCs w:val="28"/>
        </w:rPr>
      </w:pPr>
      <w:r w:rsidRPr="009732E0">
        <w:rPr>
          <w:rFonts w:ascii="Times New Roman" w:hAnsi="Times New Roman" w:cs="Times New Roman"/>
          <w:sz w:val="28"/>
          <w:szCs w:val="28"/>
        </w:rPr>
        <w:tab/>
      </w:r>
    </w:p>
    <w:p w14:paraId="1FB0F90F" w14:textId="77777777" w:rsidR="0058227E" w:rsidRPr="00700EF0" w:rsidRDefault="00EB7D5E" w:rsidP="00700EF0">
      <w:pPr>
        <w:spacing w:after="0" w:line="259" w:lineRule="auto"/>
        <w:jc w:val="right"/>
        <w:rPr>
          <w:rFonts w:ascii="Times New Roman" w:eastAsiaTheme="minorHAnsi" w:hAnsi="Times New Roman" w:cs="Times New Roman"/>
          <w:b/>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sidR="0058227E" w:rsidRPr="00700EF0">
        <w:rPr>
          <w:rFonts w:ascii="Times New Roman" w:hAnsi="Times New Roman" w:cs="Times New Roman"/>
          <w:b/>
          <w:sz w:val="28"/>
          <w:szCs w:val="28"/>
        </w:rPr>
        <w:t>Not Reportable</w:t>
      </w:r>
    </w:p>
    <w:p w14:paraId="634F64C7" w14:textId="77777777" w:rsidR="0058227E" w:rsidRPr="009732E0" w:rsidRDefault="0058227E" w:rsidP="00700EF0">
      <w:pPr>
        <w:spacing w:after="0" w:line="259" w:lineRule="auto"/>
        <w:jc w:val="right"/>
        <w:rPr>
          <w:rFonts w:ascii="Times New Roman" w:eastAsiaTheme="minorHAnsi" w:hAnsi="Times New Roman" w:cs="Times New Roman"/>
          <w:sz w:val="28"/>
          <w:szCs w:val="28"/>
        </w:rPr>
      </w:pPr>
      <w:r w:rsidRPr="009732E0">
        <w:rPr>
          <w:rFonts w:ascii="Times New Roman" w:eastAsiaTheme="minorHAnsi" w:hAnsi="Times New Roman" w:cs="Times New Roman"/>
          <w:sz w:val="28"/>
          <w:szCs w:val="28"/>
        </w:rPr>
        <w:t>Case no: 451/2022</w:t>
      </w:r>
    </w:p>
    <w:p w14:paraId="77DA0633" w14:textId="77777777" w:rsidR="0058227E" w:rsidRPr="009732E0" w:rsidRDefault="0058227E" w:rsidP="00F345C0">
      <w:pPr>
        <w:spacing w:after="160" w:line="259" w:lineRule="auto"/>
        <w:rPr>
          <w:rFonts w:ascii="Times New Roman" w:eastAsiaTheme="minorHAnsi" w:hAnsi="Times New Roman" w:cs="Times New Roman"/>
          <w:sz w:val="28"/>
          <w:szCs w:val="28"/>
        </w:rPr>
      </w:pPr>
    </w:p>
    <w:p w14:paraId="022CBF8D" w14:textId="77777777" w:rsidR="0058227E" w:rsidRPr="004145B9" w:rsidRDefault="0058227E" w:rsidP="00F345C0">
      <w:pPr>
        <w:spacing w:after="160" w:line="259" w:lineRule="auto"/>
        <w:rPr>
          <w:rFonts w:ascii="Times New Roman" w:eastAsiaTheme="minorHAnsi" w:hAnsi="Times New Roman" w:cs="Times New Roman"/>
          <w:b/>
          <w:sz w:val="28"/>
          <w:szCs w:val="28"/>
        </w:rPr>
      </w:pPr>
      <w:r w:rsidRPr="004145B9">
        <w:rPr>
          <w:rFonts w:ascii="Times New Roman" w:eastAsiaTheme="minorHAnsi" w:hAnsi="Times New Roman" w:cs="Times New Roman"/>
          <w:sz w:val="28"/>
          <w:szCs w:val="28"/>
        </w:rPr>
        <w:t>In the matter between:</w:t>
      </w:r>
    </w:p>
    <w:p w14:paraId="09BD42CB" w14:textId="77777777" w:rsidR="0058227E" w:rsidRPr="004145B9" w:rsidRDefault="0058227E" w:rsidP="00F345C0">
      <w:pPr>
        <w:spacing w:after="160" w:line="259" w:lineRule="auto"/>
        <w:rPr>
          <w:rFonts w:ascii="Times New Roman" w:eastAsiaTheme="minorHAnsi" w:hAnsi="Times New Roman" w:cs="Times New Roman"/>
          <w:b/>
          <w:sz w:val="28"/>
          <w:szCs w:val="28"/>
        </w:rPr>
      </w:pPr>
      <w:r w:rsidRPr="004145B9">
        <w:rPr>
          <w:rFonts w:ascii="Times New Roman" w:eastAsiaTheme="minorHAnsi" w:hAnsi="Times New Roman" w:cs="Times New Roman"/>
          <w:b/>
          <w:sz w:val="28"/>
          <w:szCs w:val="28"/>
        </w:rPr>
        <w:t>ROLSTON PILLAY</w:t>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t xml:space="preserve"> </w:t>
      </w:r>
      <w:r w:rsidRPr="004145B9">
        <w:rPr>
          <w:rFonts w:ascii="Times New Roman" w:eastAsiaTheme="minorHAnsi" w:hAnsi="Times New Roman" w:cs="Times New Roman"/>
          <w:b/>
          <w:sz w:val="28"/>
          <w:szCs w:val="28"/>
        </w:rPr>
        <w:t>APPELLANT</w:t>
      </w:r>
    </w:p>
    <w:p w14:paraId="3CB80C90" w14:textId="77777777" w:rsidR="0058227E" w:rsidRPr="004145B9" w:rsidRDefault="0058227E" w:rsidP="00F345C0">
      <w:pPr>
        <w:spacing w:after="160" w:line="259" w:lineRule="auto"/>
        <w:rPr>
          <w:rFonts w:ascii="Times New Roman" w:eastAsiaTheme="minorHAnsi" w:hAnsi="Times New Roman" w:cs="Times New Roman"/>
          <w:b/>
          <w:sz w:val="28"/>
          <w:szCs w:val="28"/>
        </w:rPr>
      </w:pPr>
      <w:r w:rsidRPr="004145B9">
        <w:rPr>
          <w:rFonts w:ascii="Times New Roman" w:eastAsiaTheme="minorHAnsi" w:hAnsi="Times New Roman" w:cs="Times New Roman"/>
          <w:sz w:val="28"/>
          <w:szCs w:val="28"/>
        </w:rPr>
        <w:t>and</w:t>
      </w:r>
    </w:p>
    <w:p w14:paraId="7BC6BE3A" w14:textId="77777777" w:rsidR="0058227E" w:rsidRPr="004145B9" w:rsidRDefault="0058227E" w:rsidP="00F345C0">
      <w:pPr>
        <w:spacing w:after="160" w:line="259" w:lineRule="auto"/>
        <w:rPr>
          <w:rFonts w:ascii="Times New Roman" w:eastAsiaTheme="minorHAnsi" w:hAnsi="Times New Roman" w:cs="Times New Roman"/>
          <w:b/>
          <w:sz w:val="28"/>
          <w:szCs w:val="28"/>
        </w:rPr>
      </w:pPr>
      <w:r w:rsidRPr="004145B9">
        <w:rPr>
          <w:rFonts w:ascii="Times New Roman" w:eastAsiaTheme="minorHAnsi" w:hAnsi="Times New Roman" w:cs="Times New Roman"/>
          <w:b/>
          <w:sz w:val="28"/>
          <w:szCs w:val="28"/>
        </w:rPr>
        <w:t>THE STATE</w:t>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r>
      <w:r w:rsidR="006240C4" w:rsidRPr="004145B9">
        <w:rPr>
          <w:rFonts w:ascii="Times New Roman" w:eastAsiaTheme="minorHAnsi" w:hAnsi="Times New Roman" w:cs="Times New Roman"/>
          <w:sz w:val="28"/>
          <w:szCs w:val="28"/>
        </w:rPr>
        <w:tab/>
        <w:t xml:space="preserve">         </w:t>
      </w:r>
      <w:r w:rsidRPr="004145B9">
        <w:rPr>
          <w:rFonts w:ascii="Times New Roman" w:eastAsiaTheme="minorHAnsi" w:hAnsi="Times New Roman" w:cs="Times New Roman"/>
          <w:b/>
          <w:sz w:val="28"/>
          <w:szCs w:val="28"/>
        </w:rPr>
        <w:t>RESPONDENT</w:t>
      </w:r>
    </w:p>
    <w:p w14:paraId="127CA465" w14:textId="77777777" w:rsidR="0058227E" w:rsidRPr="004145B9" w:rsidRDefault="0058227E" w:rsidP="00F345C0">
      <w:pPr>
        <w:spacing w:after="160" w:line="259" w:lineRule="auto"/>
        <w:rPr>
          <w:rFonts w:ascii="Times New Roman" w:eastAsiaTheme="minorHAnsi" w:hAnsi="Times New Roman" w:cs="Times New Roman"/>
          <w:sz w:val="28"/>
          <w:szCs w:val="28"/>
        </w:rPr>
      </w:pPr>
    </w:p>
    <w:p w14:paraId="52BB6AC4" w14:textId="601DB049" w:rsidR="0058227E" w:rsidRPr="004145B9" w:rsidRDefault="0058227E" w:rsidP="00F345C0">
      <w:pPr>
        <w:spacing w:after="160" w:line="259" w:lineRule="auto"/>
        <w:rPr>
          <w:rFonts w:ascii="Times New Roman" w:eastAsiaTheme="minorHAnsi" w:hAnsi="Times New Roman" w:cs="Times New Roman"/>
          <w:sz w:val="28"/>
          <w:szCs w:val="28"/>
        </w:rPr>
      </w:pPr>
      <w:r w:rsidRPr="004145B9">
        <w:rPr>
          <w:rFonts w:ascii="Times New Roman" w:eastAsiaTheme="minorHAnsi" w:hAnsi="Times New Roman" w:cs="Times New Roman"/>
          <w:b/>
          <w:sz w:val="28"/>
          <w:szCs w:val="28"/>
        </w:rPr>
        <w:t>Neutral citation:</w:t>
      </w:r>
      <w:r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ab/>
      </w:r>
      <w:r w:rsidRPr="004145B9">
        <w:rPr>
          <w:rFonts w:ascii="Times New Roman" w:eastAsiaTheme="minorHAnsi" w:hAnsi="Times New Roman" w:cs="Times New Roman"/>
          <w:i/>
          <w:sz w:val="28"/>
          <w:szCs w:val="28"/>
        </w:rPr>
        <w:t xml:space="preserve">Rolston Pillay v The State </w:t>
      </w:r>
      <w:r w:rsidR="00C116F7" w:rsidRPr="004145B9">
        <w:rPr>
          <w:rFonts w:ascii="Times New Roman" w:eastAsiaTheme="minorHAnsi" w:hAnsi="Times New Roman" w:cs="Times New Roman"/>
          <w:sz w:val="28"/>
          <w:szCs w:val="28"/>
        </w:rPr>
        <w:t>(</w:t>
      </w:r>
      <w:r w:rsidR="00EB7D5E" w:rsidRPr="004145B9">
        <w:rPr>
          <w:rFonts w:ascii="Times New Roman" w:eastAsiaTheme="minorHAnsi" w:hAnsi="Times New Roman" w:cs="Times New Roman"/>
          <w:sz w:val="28"/>
          <w:szCs w:val="28"/>
        </w:rPr>
        <w:t xml:space="preserve">451/2022) [2023] ZASCA </w:t>
      </w:r>
      <w:r w:rsidR="008677BE">
        <w:rPr>
          <w:rFonts w:ascii="Times New Roman" w:eastAsiaTheme="minorHAnsi" w:hAnsi="Times New Roman" w:cs="Times New Roman"/>
          <w:color w:val="000000" w:themeColor="text1"/>
          <w:sz w:val="28"/>
          <w:szCs w:val="28"/>
        </w:rPr>
        <w:t>113</w:t>
      </w:r>
      <w:r w:rsidR="008677BE">
        <w:rPr>
          <w:rFonts w:ascii="Times New Roman" w:eastAsiaTheme="minorHAnsi" w:hAnsi="Times New Roman" w:cs="Times New Roman"/>
          <w:sz w:val="28"/>
          <w:szCs w:val="28"/>
        </w:rPr>
        <w:t xml:space="preserve"> </w:t>
      </w:r>
      <w:r w:rsidR="008677BE" w:rsidRPr="008677BE">
        <w:rPr>
          <w:rFonts w:ascii="Times New Roman" w:eastAsiaTheme="minorHAnsi" w:hAnsi="Times New Roman" w:cs="Times New Roman"/>
          <w:sz w:val="28"/>
          <w:szCs w:val="28"/>
        </w:rPr>
        <w:t xml:space="preserve">(27 </w:t>
      </w:r>
      <w:r w:rsidRPr="008677BE">
        <w:rPr>
          <w:rFonts w:ascii="Times New Roman" w:eastAsiaTheme="minorHAnsi" w:hAnsi="Times New Roman" w:cs="Times New Roman"/>
          <w:sz w:val="28"/>
          <w:szCs w:val="28"/>
        </w:rPr>
        <w:t>Ju</w:t>
      </w:r>
      <w:r w:rsidR="00EB7D5E" w:rsidRPr="008677BE">
        <w:rPr>
          <w:rFonts w:ascii="Times New Roman" w:eastAsiaTheme="minorHAnsi" w:hAnsi="Times New Roman" w:cs="Times New Roman"/>
          <w:sz w:val="28"/>
          <w:szCs w:val="28"/>
        </w:rPr>
        <w:t>ly</w:t>
      </w:r>
      <w:r w:rsidRPr="008677BE">
        <w:rPr>
          <w:rFonts w:ascii="Times New Roman" w:eastAsiaTheme="minorHAnsi" w:hAnsi="Times New Roman" w:cs="Times New Roman"/>
          <w:sz w:val="28"/>
          <w:szCs w:val="28"/>
        </w:rPr>
        <w:t xml:space="preserve"> 2023)</w:t>
      </w:r>
      <w:r w:rsidRPr="004145B9">
        <w:rPr>
          <w:rFonts w:ascii="Times New Roman" w:eastAsiaTheme="minorHAnsi" w:hAnsi="Times New Roman" w:cs="Times New Roman"/>
          <w:sz w:val="28"/>
          <w:szCs w:val="28"/>
        </w:rPr>
        <w:t xml:space="preserve"> </w:t>
      </w:r>
    </w:p>
    <w:p w14:paraId="7AFBC441" w14:textId="77777777" w:rsidR="0058227E" w:rsidRPr="004145B9" w:rsidRDefault="0058227E" w:rsidP="00700EF0">
      <w:pPr>
        <w:spacing w:after="0" w:line="360" w:lineRule="auto"/>
        <w:ind w:left="1440" w:hanging="1440"/>
        <w:jc w:val="both"/>
        <w:rPr>
          <w:rFonts w:ascii="Times New Roman" w:eastAsiaTheme="minorHAnsi" w:hAnsi="Times New Roman" w:cs="Times New Roman"/>
          <w:sz w:val="28"/>
          <w:szCs w:val="28"/>
        </w:rPr>
      </w:pPr>
      <w:r w:rsidRPr="004145B9">
        <w:rPr>
          <w:rFonts w:ascii="Times New Roman" w:eastAsiaTheme="minorHAnsi" w:hAnsi="Times New Roman" w:cs="Times New Roman"/>
          <w:b/>
          <w:sz w:val="28"/>
          <w:szCs w:val="28"/>
        </w:rPr>
        <w:t>Coram:</w:t>
      </w:r>
      <w:r w:rsidRPr="004145B9">
        <w:rPr>
          <w:rFonts w:ascii="Times New Roman" w:eastAsiaTheme="minorHAnsi" w:hAnsi="Times New Roman" w:cs="Times New Roman"/>
          <w:sz w:val="28"/>
          <w:szCs w:val="28"/>
        </w:rPr>
        <w:tab/>
        <w:t>SALDULK</w:t>
      </w:r>
      <w:r w:rsidR="006240C4" w:rsidRPr="004145B9">
        <w:rPr>
          <w:rFonts w:ascii="Times New Roman" w:eastAsiaTheme="minorHAnsi" w:hAnsi="Times New Roman" w:cs="Times New Roman"/>
          <w:sz w:val="28"/>
          <w:szCs w:val="28"/>
        </w:rPr>
        <w:t xml:space="preserve">ER, CARELSE and HUGHES JJA and </w:t>
      </w:r>
      <w:r w:rsidRPr="004145B9">
        <w:rPr>
          <w:rFonts w:ascii="Times New Roman" w:eastAsiaTheme="minorHAnsi" w:hAnsi="Times New Roman" w:cs="Times New Roman"/>
          <w:sz w:val="28"/>
          <w:szCs w:val="28"/>
        </w:rPr>
        <w:t>NHLANGULELA and MALI AJJA</w:t>
      </w:r>
      <w:r w:rsidRPr="004145B9">
        <w:rPr>
          <w:rFonts w:ascii="Times New Roman" w:eastAsiaTheme="minorHAnsi" w:hAnsi="Times New Roman" w:cs="Times New Roman"/>
          <w:sz w:val="28"/>
          <w:szCs w:val="28"/>
        </w:rPr>
        <w:tab/>
      </w:r>
    </w:p>
    <w:p w14:paraId="27A4F6C3" w14:textId="77777777" w:rsidR="0058227E" w:rsidRPr="004145B9" w:rsidRDefault="0058227E" w:rsidP="00781164">
      <w:pPr>
        <w:spacing w:after="160" w:line="360" w:lineRule="auto"/>
        <w:rPr>
          <w:rFonts w:ascii="Times New Roman" w:eastAsiaTheme="minorHAnsi" w:hAnsi="Times New Roman" w:cs="Times New Roman"/>
          <w:sz w:val="28"/>
          <w:szCs w:val="28"/>
        </w:rPr>
      </w:pPr>
      <w:r w:rsidRPr="004145B9">
        <w:rPr>
          <w:rFonts w:ascii="Times New Roman" w:eastAsiaTheme="minorHAnsi" w:hAnsi="Times New Roman" w:cs="Times New Roman"/>
          <w:b/>
          <w:sz w:val="28"/>
          <w:szCs w:val="28"/>
        </w:rPr>
        <w:t>Heard:</w:t>
      </w:r>
      <w:r w:rsidR="00DC775C" w:rsidRPr="004145B9">
        <w:rPr>
          <w:rFonts w:ascii="Times New Roman" w:eastAsiaTheme="minorHAnsi" w:hAnsi="Times New Roman" w:cs="Times New Roman"/>
          <w:sz w:val="28"/>
          <w:szCs w:val="28"/>
        </w:rPr>
        <w:tab/>
      </w:r>
      <w:r w:rsidRPr="004145B9">
        <w:rPr>
          <w:rFonts w:ascii="Times New Roman" w:eastAsiaTheme="minorHAnsi" w:hAnsi="Times New Roman" w:cs="Times New Roman"/>
          <w:sz w:val="28"/>
          <w:szCs w:val="28"/>
        </w:rPr>
        <w:t>2 May 2023</w:t>
      </w:r>
    </w:p>
    <w:p w14:paraId="7E9B6822" w14:textId="1CB9A60F" w:rsidR="0058227E" w:rsidRPr="004145B9" w:rsidRDefault="0058227E" w:rsidP="00781164">
      <w:pPr>
        <w:spacing w:after="16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b/>
          <w:sz w:val="28"/>
          <w:szCs w:val="28"/>
        </w:rPr>
        <w:t>Delivered:</w:t>
      </w:r>
      <w:r w:rsidR="0012444A" w:rsidRPr="004145B9">
        <w:rPr>
          <w:rFonts w:ascii="Times New Roman" w:eastAsiaTheme="minorHAnsi" w:hAnsi="Times New Roman" w:cs="Times New Roman"/>
          <w:sz w:val="28"/>
          <w:szCs w:val="28"/>
        </w:rPr>
        <w:tab/>
      </w:r>
      <w:r w:rsidR="00781164" w:rsidRPr="004145B9">
        <w:rPr>
          <w:rFonts w:ascii="Times New Roman" w:hAnsi="Times New Roman" w:cs="Times New Roman"/>
          <w:sz w:val="28"/>
          <w:szCs w:val="28"/>
        </w:rPr>
        <w:t>This judgment was handed down electronically by circulation to the parties’ representative via email, publication on the Supreme Court of Appeal website and release to SAFLII. The date and time</w:t>
      </w:r>
      <w:r w:rsidR="00B76ABC">
        <w:rPr>
          <w:rFonts w:ascii="Times New Roman" w:hAnsi="Times New Roman" w:cs="Times New Roman"/>
          <w:sz w:val="28"/>
          <w:szCs w:val="28"/>
        </w:rPr>
        <w:t xml:space="preserve"> of hand-down is deemed to be 10</w:t>
      </w:r>
      <w:r w:rsidR="00781164" w:rsidRPr="004145B9">
        <w:rPr>
          <w:rFonts w:ascii="Times New Roman" w:hAnsi="Times New Roman" w:cs="Times New Roman"/>
          <w:sz w:val="28"/>
          <w:szCs w:val="28"/>
        </w:rPr>
        <w:t xml:space="preserve">:00 am on </w:t>
      </w:r>
      <w:r w:rsidR="00B76ABC">
        <w:rPr>
          <w:rFonts w:ascii="Times New Roman" w:hAnsi="Times New Roman" w:cs="Times New Roman"/>
          <w:sz w:val="28"/>
          <w:szCs w:val="28"/>
        </w:rPr>
        <w:t>27</w:t>
      </w:r>
      <w:r w:rsidR="00781164" w:rsidRPr="004145B9">
        <w:rPr>
          <w:rFonts w:ascii="Times New Roman" w:hAnsi="Times New Roman" w:cs="Times New Roman"/>
          <w:sz w:val="28"/>
          <w:szCs w:val="28"/>
        </w:rPr>
        <w:t xml:space="preserve"> July 2023.</w:t>
      </w:r>
    </w:p>
    <w:p w14:paraId="2AF6E3A1" w14:textId="77777777" w:rsidR="0091283E" w:rsidRPr="004145B9" w:rsidRDefault="0058227E" w:rsidP="00781164">
      <w:pPr>
        <w:spacing w:after="16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b/>
          <w:sz w:val="28"/>
          <w:szCs w:val="28"/>
        </w:rPr>
        <w:t>Summary:</w:t>
      </w:r>
      <w:r w:rsidR="00ED548F" w:rsidRPr="004145B9">
        <w:rPr>
          <w:rFonts w:ascii="Times New Roman" w:eastAsiaTheme="minorHAnsi" w:hAnsi="Times New Roman" w:cs="Times New Roman"/>
          <w:sz w:val="28"/>
          <w:szCs w:val="28"/>
        </w:rPr>
        <w:tab/>
      </w:r>
      <w:r w:rsidRPr="004145B9">
        <w:rPr>
          <w:rFonts w:ascii="Times New Roman" w:eastAsiaTheme="minorHAnsi" w:hAnsi="Times New Roman" w:cs="Times New Roman"/>
          <w:sz w:val="28"/>
          <w:szCs w:val="28"/>
        </w:rPr>
        <w:t>Evidence –</w:t>
      </w:r>
      <w:r w:rsidR="00FE321E"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assessment of evidence of a single witness – cautionary rules – contradictions in the evidence of a single witness – onus of proof where ac</w:t>
      </w:r>
      <w:r w:rsidR="000B70F7" w:rsidRPr="004145B9">
        <w:rPr>
          <w:rFonts w:ascii="Times New Roman" w:eastAsiaTheme="minorHAnsi" w:hAnsi="Times New Roman" w:cs="Times New Roman"/>
          <w:sz w:val="28"/>
          <w:szCs w:val="28"/>
        </w:rPr>
        <w:t>cu</w:t>
      </w:r>
      <w:r w:rsidRPr="004145B9">
        <w:rPr>
          <w:rFonts w:ascii="Times New Roman" w:eastAsiaTheme="minorHAnsi" w:hAnsi="Times New Roman" w:cs="Times New Roman"/>
          <w:sz w:val="28"/>
          <w:szCs w:val="28"/>
        </w:rPr>
        <w:t xml:space="preserve">sed pleads self-defence – appeal against conviction and sentence upheld. </w:t>
      </w:r>
    </w:p>
    <w:p w14:paraId="5C8753F4" w14:textId="77777777" w:rsidR="0058227E" w:rsidRPr="004145B9" w:rsidRDefault="00ED548F" w:rsidP="00F345C0">
      <w:pPr>
        <w:spacing w:after="160" w:line="360" w:lineRule="auto"/>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br w:type="page"/>
      </w:r>
      <w:r w:rsidR="0058227E" w:rsidRPr="004145B9">
        <w:rPr>
          <w:rFonts w:ascii="Times New Roman" w:eastAsiaTheme="minorHAnsi" w:hAnsi="Times New Roman" w:cs="Times New Roman"/>
          <w:sz w:val="28"/>
          <w:szCs w:val="28"/>
        </w:rPr>
        <w:lastRenderedPageBreak/>
        <w:t>________________________________________________________________</w:t>
      </w:r>
    </w:p>
    <w:p w14:paraId="4EACA7E2" w14:textId="77777777" w:rsidR="0058227E" w:rsidRPr="004145B9" w:rsidRDefault="0058227E" w:rsidP="00700EF0">
      <w:pPr>
        <w:spacing w:after="0" w:line="259" w:lineRule="auto"/>
        <w:jc w:val="center"/>
        <w:rPr>
          <w:rFonts w:ascii="Times New Roman" w:eastAsiaTheme="minorHAnsi" w:hAnsi="Times New Roman" w:cs="Times New Roman"/>
          <w:b/>
          <w:sz w:val="28"/>
          <w:szCs w:val="28"/>
        </w:rPr>
      </w:pPr>
      <w:r w:rsidRPr="004145B9">
        <w:rPr>
          <w:rFonts w:ascii="Times New Roman" w:eastAsiaTheme="minorHAnsi" w:hAnsi="Times New Roman" w:cs="Times New Roman"/>
          <w:b/>
          <w:sz w:val="28"/>
          <w:szCs w:val="28"/>
        </w:rPr>
        <w:t>ORDER</w:t>
      </w:r>
    </w:p>
    <w:p w14:paraId="50B166B0" w14:textId="77777777" w:rsidR="0058227E" w:rsidRPr="004145B9" w:rsidRDefault="0058227E" w:rsidP="00F345C0">
      <w:pPr>
        <w:spacing w:after="160" w:line="259" w:lineRule="auto"/>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________________________________________________________________</w:t>
      </w:r>
    </w:p>
    <w:p w14:paraId="40BD42C2" w14:textId="77777777" w:rsidR="0058227E" w:rsidRPr="004145B9" w:rsidRDefault="0058227E" w:rsidP="00D95175">
      <w:pPr>
        <w:spacing w:after="160" w:line="360" w:lineRule="auto"/>
        <w:rPr>
          <w:rFonts w:ascii="Times New Roman" w:eastAsiaTheme="minorHAnsi" w:hAnsi="Times New Roman" w:cs="Times New Roman"/>
          <w:sz w:val="28"/>
          <w:szCs w:val="28"/>
        </w:rPr>
      </w:pPr>
      <w:r w:rsidRPr="004145B9">
        <w:rPr>
          <w:rFonts w:ascii="Times New Roman" w:eastAsiaTheme="minorHAnsi" w:hAnsi="Times New Roman" w:cs="Times New Roman"/>
          <w:b/>
          <w:sz w:val="28"/>
          <w:szCs w:val="28"/>
        </w:rPr>
        <w:t>On appeal from:</w:t>
      </w:r>
      <w:r w:rsidRPr="004145B9">
        <w:rPr>
          <w:rFonts w:ascii="Times New Roman" w:eastAsiaTheme="minorHAnsi" w:hAnsi="Times New Roman" w:cs="Times New Roman"/>
          <w:sz w:val="28"/>
          <w:szCs w:val="28"/>
        </w:rPr>
        <w:t xml:space="preserve"> Gauteng Division of the High Court, Pretoria (Phahlane J and Motha AJ sitting as a court of appeal):</w:t>
      </w:r>
    </w:p>
    <w:p w14:paraId="37B6D7A1" w14:textId="77777777" w:rsidR="00D95175" w:rsidRPr="004145B9" w:rsidRDefault="00D95175" w:rsidP="00D95175">
      <w:pPr>
        <w:shd w:val="clear" w:color="auto" w:fill="FFFFFF"/>
        <w:spacing w:after="0" w:line="360" w:lineRule="auto"/>
        <w:rPr>
          <w:rFonts w:ascii="Times New Roman" w:eastAsia="Times New Roman" w:hAnsi="Times New Roman" w:cs="Times New Roman"/>
          <w:color w:val="222222"/>
          <w:sz w:val="28"/>
          <w:szCs w:val="28"/>
          <w:lang w:eastAsia="en-ZA"/>
        </w:rPr>
      </w:pPr>
      <w:r w:rsidRPr="004145B9">
        <w:rPr>
          <w:rFonts w:ascii="Times New Roman" w:eastAsia="Times New Roman" w:hAnsi="Times New Roman" w:cs="Times New Roman"/>
          <w:color w:val="222222"/>
          <w:sz w:val="28"/>
          <w:szCs w:val="28"/>
          <w:lang w:eastAsia="en-ZA"/>
        </w:rPr>
        <w:t>1</w:t>
      </w:r>
      <w:r w:rsidR="00ED548F" w:rsidRPr="004145B9">
        <w:rPr>
          <w:rFonts w:ascii="Times New Roman" w:eastAsia="Times New Roman" w:hAnsi="Times New Roman" w:cs="Times New Roman"/>
          <w:color w:val="222222"/>
          <w:sz w:val="28"/>
          <w:szCs w:val="28"/>
          <w:lang w:eastAsia="en-ZA"/>
        </w:rPr>
        <w:tab/>
      </w:r>
      <w:r w:rsidRPr="004145B9">
        <w:rPr>
          <w:rFonts w:ascii="Times New Roman" w:eastAsia="Times New Roman" w:hAnsi="Times New Roman" w:cs="Times New Roman"/>
          <w:color w:val="222222"/>
          <w:sz w:val="28"/>
          <w:szCs w:val="28"/>
          <w:lang w:eastAsia="en-ZA"/>
        </w:rPr>
        <w:t>The appeal is upheld.</w:t>
      </w:r>
    </w:p>
    <w:p w14:paraId="7C7B1C71" w14:textId="77777777" w:rsidR="00D95175" w:rsidRPr="004145B9" w:rsidRDefault="00D95175" w:rsidP="00D95175">
      <w:pPr>
        <w:shd w:val="clear" w:color="auto" w:fill="FFFFFF"/>
        <w:spacing w:after="0" w:line="360" w:lineRule="auto"/>
        <w:rPr>
          <w:rFonts w:ascii="Times New Roman" w:eastAsia="Times New Roman" w:hAnsi="Times New Roman" w:cs="Times New Roman"/>
          <w:color w:val="222222"/>
          <w:sz w:val="28"/>
          <w:szCs w:val="28"/>
          <w:lang w:eastAsia="en-ZA"/>
        </w:rPr>
      </w:pPr>
      <w:r w:rsidRPr="004145B9">
        <w:rPr>
          <w:rFonts w:ascii="Times New Roman" w:eastAsia="Times New Roman" w:hAnsi="Times New Roman" w:cs="Times New Roman"/>
          <w:color w:val="222222"/>
          <w:sz w:val="28"/>
          <w:szCs w:val="28"/>
          <w:lang w:eastAsia="en-ZA"/>
        </w:rPr>
        <w:t>2</w:t>
      </w:r>
      <w:r w:rsidR="00ED548F" w:rsidRPr="004145B9">
        <w:rPr>
          <w:rFonts w:ascii="Times New Roman" w:eastAsia="Times New Roman" w:hAnsi="Times New Roman" w:cs="Times New Roman"/>
          <w:color w:val="222222"/>
          <w:sz w:val="28"/>
          <w:szCs w:val="28"/>
          <w:lang w:eastAsia="en-ZA"/>
        </w:rPr>
        <w:tab/>
      </w:r>
      <w:r w:rsidRPr="004145B9">
        <w:rPr>
          <w:rFonts w:ascii="Times New Roman" w:eastAsia="Times New Roman" w:hAnsi="Times New Roman" w:cs="Times New Roman"/>
          <w:color w:val="222222"/>
          <w:sz w:val="28"/>
          <w:szCs w:val="28"/>
          <w:lang w:eastAsia="en-ZA"/>
        </w:rPr>
        <w:t xml:space="preserve">The order of the full bench in respect of the conviction and sentence is set </w:t>
      </w:r>
      <w:r w:rsidR="00ED548F" w:rsidRPr="004145B9">
        <w:rPr>
          <w:rFonts w:ascii="Times New Roman" w:eastAsia="Times New Roman" w:hAnsi="Times New Roman" w:cs="Times New Roman"/>
          <w:color w:val="222222"/>
          <w:sz w:val="28"/>
          <w:szCs w:val="28"/>
          <w:lang w:eastAsia="en-ZA"/>
        </w:rPr>
        <w:tab/>
      </w:r>
      <w:r w:rsidRPr="004145B9">
        <w:rPr>
          <w:rFonts w:ascii="Times New Roman" w:eastAsia="Times New Roman" w:hAnsi="Times New Roman" w:cs="Times New Roman"/>
          <w:color w:val="222222"/>
          <w:sz w:val="28"/>
          <w:szCs w:val="28"/>
          <w:lang w:eastAsia="en-ZA"/>
        </w:rPr>
        <w:t>aside and replaced with the following order:</w:t>
      </w:r>
    </w:p>
    <w:p w14:paraId="19FF1CE7" w14:textId="77777777" w:rsidR="00D95175" w:rsidRPr="004145B9" w:rsidRDefault="00ED548F" w:rsidP="00D95175">
      <w:pPr>
        <w:shd w:val="clear" w:color="auto" w:fill="FFFFFF"/>
        <w:spacing w:after="0" w:line="360" w:lineRule="auto"/>
        <w:rPr>
          <w:rFonts w:ascii="Times New Roman" w:eastAsia="Times New Roman" w:hAnsi="Times New Roman" w:cs="Times New Roman"/>
          <w:color w:val="222222"/>
          <w:sz w:val="28"/>
          <w:szCs w:val="28"/>
          <w:lang w:eastAsia="en-ZA"/>
        </w:rPr>
      </w:pPr>
      <w:r w:rsidRPr="004145B9">
        <w:rPr>
          <w:rFonts w:ascii="Times New Roman" w:eastAsia="Times New Roman" w:hAnsi="Times New Roman" w:cs="Times New Roman"/>
          <w:color w:val="222222"/>
          <w:sz w:val="28"/>
          <w:szCs w:val="28"/>
          <w:lang w:eastAsia="en-ZA"/>
        </w:rPr>
        <w:tab/>
      </w:r>
      <w:r w:rsidR="00D95175" w:rsidRPr="004145B9">
        <w:rPr>
          <w:rFonts w:ascii="Times New Roman" w:eastAsia="Times New Roman" w:hAnsi="Times New Roman" w:cs="Times New Roman"/>
          <w:color w:val="222222"/>
          <w:sz w:val="28"/>
          <w:szCs w:val="28"/>
          <w:lang w:eastAsia="en-ZA"/>
        </w:rPr>
        <w:t>‘The appellant is found not guilty and discharged’.</w:t>
      </w:r>
    </w:p>
    <w:p w14:paraId="6B049B83" w14:textId="77777777" w:rsidR="00074F3D" w:rsidRPr="004145B9" w:rsidRDefault="0058227E" w:rsidP="00700EF0">
      <w:pPr>
        <w:pBdr>
          <w:bottom w:val="single" w:sz="12" w:space="0" w:color="auto"/>
        </w:pBdr>
        <w:spacing w:after="160" w:line="259" w:lineRule="auto"/>
        <w:rPr>
          <w:rFonts w:ascii="Times New Roman" w:eastAsiaTheme="minorHAnsi" w:hAnsi="Times New Roman" w:cs="Times New Roman"/>
          <w:b/>
          <w:sz w:val="28"/>
          <w:szCs w:val="28"/>
        </w:rPr>
      </w:pPr>
      <w:r w:rsidRPr="004145B9">
        <w:rPr>
          <w:rFonts w:ascii="Times New Roman" w:eastAsiaTheme="minorHAnsi" w:hAnsi="Times New Roman" w:cs="Times New Roman"/>
          <w:sz w:val="28"/>
          <w:szCs w:val="28"/>
          <w:lang w:val="en-US"/>
        </w:rPr>
        <w:t>________________________________________________________________</w:t>
      </w:r>
    </w:p>
    <w:p w14:paraId="2ACEE960" w14:textId="77777777" w:rsidR="0058227E" w:rsidRPr="004145B9" w:rsidRDefault="0058227E" w:rsidP="00700EF0">
      <w:pPr>
        <w:pBdr>
          <w:bottom w:val="single" w:sz="12" w:space="0" w:color="auto"/>
        </w:pBdr>
        <w:spacing w:after="0" w:line="259" w:lineRule="auto"/>
        <w:jc w:val="center"/>
        <w:rPr>
          <w:rFonts w:ascii="Times New Roman" w:eastAsiaTheme="minorHAnsi" w:hAnsi="Times New Roman" w:cs="Times New Roman"/>
          <w:b/>
          <w:sz w:val="28"/>
          <w:szCs w:val="28"/>
        </w:rPr>
      </w:pPr>
      <w:r w:rsidRPr="004145B9">
        <w:rPr>
          <w:rFonts w:ascii="Times New Roman" w:eastAsiaTheme="minorHAnsi" w:hAnsi="Times New Roman" w:cs="Times New Roman"/>
          <w:b/>
          <w:sz w:val="28"/>
          <w:szCs w:val="28"/>
        </w:rPr>
        <w:t>JUDGMENT</w:t>
      </w:r>
    </w:p>
    <w:p w14:paraId="5EDBDA38" w14:textId="77777777" w:rsidR="0058227E" w:rsidRPr="004145B9" w:rsidRDefault="0058227E" w:rsidP="00700EF0">
      <w:pPr>
        <w:pBdr>
          <w:bottom w:val="single" w:sz="12" w:space="0" w:color="auto"/>
        </w:pBdr>
        <w:spacing w:after="160" w:line="259" w:lineRule="auto"/>
        <w:jc w:val="right"/>
        <w:rPr>
          <w:rFonts w:ascii="Times New Roman" w:eastAsiaTheme="minorHAnsi" w:hAnsi="Times New Roman" w:cs="Times New Roman"/>
          <w:b/>
          <w:sz w:val="28"/>
          <w:szCs w:val="28"/>
        </w:rPr>
      </w:pPr>
    </w:p>
    <w:p w14:paraId="334F8816" w14:textId="77777777" w:rsidR="0058227E" w:rsidRPr="004145B9" w:rsidRDefault="0058227E" w:rsidP="00C7482E">
      <w:pPr>
        <w:spacing w:after="160" w:line="360" w:lineRule="auto"/>
        <w:rPr>
          <w:rFonts w:ascii="Times New Roman" w:eastAsiaTheme="minorHAnsi" w:hAnsi="Times New Roman" w:cs="Times New Roman"/>
          <w:sz w:val="28"/>
          <w:szCs w:val="28"/>
        </w:rPr>
      </w:pPr>
      <w:r w:rsidRPr="004145B9">
        <w:rPr>
          <w:rFonts w:ascii="Times New Roman" w:eastAsiaTheme="minorHAnsi" w:hAnsi="Times New Roman" w:cs="Times New Roman"/>
          <w:b/>
          <w:sz w:val="28"/>
          <w:szCs w:val="28"/>
        </w:rPr>
        <w:t>Nhlangulela AJA (</w:t>
      </w:r>
      <w:r w:rsidR="00C7482E" w:rsidRPr="004145B9">
        <w:rPr>
          <w:rFonts w:ascii="Times New Roman" w:eastAsiaTheme="minorHAnsi" w:hAnsi="Times New Roman" w:cs="Times New Roman"/>
          <w:b/>
          <w:sz w:val="28"/>
          <w:szCs w:val="28"/>
        </w:rPr>
        <w:t xml:space="preserve">Saldulker, Carelse and Hughes JJA and Mali AJA </w:t>
      </w:r>
      <w:r w:rsidRPr="004145B9">
        <w:rPr>
          <w:rFonts w:ascii="Times New Roman" w:eastAsiaTheme="minorHAnsi" w:hAnsi="Times New Roman" w:cs="Times New Roman"/>
          <w:b/>
          <w:sz w:val="28"/>
          <w:szCs w:val="28"/>
        </w:rPr>
        <w:t>concurring)</w:t>
      </w:r>
    </w:p>
    <w:p w14:paraId="0D24837F" w14:textId="77777777" w:rsidR="0058227E" w:rsidRPr="004145B9" w:rsidRDefault="0058227E" w:rsidP="00C7482E">
      <w:pPr>
        <w:spacing w:after="0" w:line="360" w:lineRule="auto"/>
        <w:jc w:val="both"/>
        <w:rPr>
          <w:rFonts w:ascii="Times New Roman" w:eastAsiaTheme="minorHAnsi" w:hAnsi="Times New Roman" w:cs="Times New Roman"/>
          <w:b/>
          <w:sz w:val="28"/>
          <w:szCs w:val="28"/>
        </w:rPr>
      </w:pPr>
      <w:r w:rsidRPr="004145B9">
        <w:rPr>
          <w:rFonts w:ascii="Times New Roman" w:eastAsiaTheme="minorHAnsi" w:hAnsi="Times New Roman" w:cs="Times New Roman"/>
          <w:b/>
          <w:sz w:val="28"/>
          <w:szCs w:val="28"/>
        </w:rPr>
        <w:t>Introduction</w:t>
      </w:r>
    </w:p>
    <w:p w14:paraId="4CD547E6" w14:textId="317499E9" w:rsidR="0058227E" w:rsidRPr="004145B9" w:rsidRDefault="006240C4" w:rsidP="00DB1848">
      <w:pPr>
        <w:spacing w:after="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[1]</w:t>
      </w:r>
      <w:r w:rsidRPr="004145B9">
        <w:rPr>
          <w:rFonts w:ascii="Times New Roman" w:eastAsiaTheme="minorHAnsi" w:hAnsi="Times New Roman" w:cs="Times New Roman"/>
          <w:sz w:val="28"/>
          <w:szCs w:val="28"/>
        </w:rPr>
        <w:tab/>
      </w:r>
      <w:r w:rsidR="00F33483" w:rsidRPr="004145B9">
        <w:rPr>
          <w:rFonts w:ascii="Times New Roman" w:eastAsiaTheme="minorHAnsi" w:hAnsi="Times New Roman" w:cs="Times New Roman"/>
          <w:sz w:val="28"/>
          <w:szCs w:val="28"/>
        </w:rPr>
        <w:t xml:space="preserve">On 12 June 2020, </w:t>
      </w:r>
      <w:r w:rsidR="0058227E" w:rsidRPr="004145B9">
        <w:rPr>
          <w:rFonts w:ascii="Times New Roman" w:eastAsiaTheme="minorHAnsi" w:hAnsi="Times New Roman" w:cs="Times New Roman"/>
          <w:sz w:val="28"/>
          <w:szCs w:val="28"/>
        </w:rPr>
        <w:t>Rolston Pillay (the appellant) was convicted by the regional court, Benoni</w:t>
      </w:r>
      <w:r w:rsidR="00950ACE"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for murder read with</w:t>
      </w:r>
      <w:r w:rsidR="00950ACE"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s 51(2) of the Criminal</w:t>
      </w:r>
      <w:r w:rsidR="00E06C5D" w:rsidRPr="004145B9">
        <w:rPr>
          <w:rFonts w:ascii="Times New Roman" w:eastAsiaTheme="minorHAnsi" w:hAnsi="Times New Roman" w:cs="Times New Roman"/>
          <w:sz w:val="28"/>
          <w:szCs w:val="28"/>
        </w:rPr>
        <w:t xml:space="preserve"> Law Amendment Act 105 of 1997</w:t>
      </w:r>
      <w:r w:rsidR="0058227E" w:rsidRPr="004145B9">
        <w:rPr>
          <w:rFonts w:ascii="Times New Roman" w:eastAsiaTheme="minorHAnsi" w:hAnsi="Times New Roman" w:cs="Times New Roman"/>
          <w:sz w:val="28"/>
          <w:szCs w:val="28"/>
        </w:rPr>
        <w:t>, further</w:t>
      </w:r>
      <w:r w:rsidR="00950ACE"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read with Part II of Schedule 2 to the C</w:t>
      </w:r>
      <w:r w:rsidR="003C747C" w:rsidRPr="004145B9">
        <w:rPr>
          <w:rFonts w:ascii="Times New Roman" w:eastAsiaTheme="minorHAnsi" w:hAnsi="Times New Roman" w:cs="Times New Roman"/>
          <w:sz w:val="28"/>
          <w:szCs w:val="28"/>
        </w:rPr>
        <w:t xml:space="preserve">riminal </w:t>
      </w:r>
      <w:r w:rsidR="0058227E" w:rsidRPr="004145B9">
        <w:rPr>
          <w:rFonts w:ascii="Times New Roman" w:eastAsiaTheme="minorHAnsi" w:hAnsi="Times New Roman" w:cs="Times New Roman"/>
          <w:sz w:val="28"/>
          <w:szCs w:val="28"/>
        </w:rPr>
        <w:t>P</w:t>
      </w:r>
      <w:r w:rsidR="003C747C" w:rsidRPr="004145B9">
        <w:rPr>
          <w:rFonts w:ascii="Times New Roman" w:eastAsiaTheme="minorHAnsi" w:hAnsi="Times New Roman" w:cs="Times New Roman"/>
          <w:sz w:val="28"/>
          <w:szCs w:val="28"/>
        </w:rPr>
        <w:t xml:space="preserve">rocedure </w:t>
      </w:r>
      <w:r w:rsidR="0058227E" w:rsidRPr="004145B9">
        <w:rPr>
          <w:rFonts w:ascii="Times New Roman" w:eastAsiaTheme="minorHAnsi" w:hAnsi="Times New Roman" w:cs="Times New Roman"/>
          <w:sz w:val="28"/>
          <w:szCs w:val="28"/>
        </w:rPr>
        <w:t>A</w:t>
      </w:r>
      <w:r w:rsidR="003C747C" w:rsidRPr="004145B9">
        <w:rPr>
          <w:rFonts w:ascii="Times New Roman" w:eastAsiaTheme="minorHAnsi" w:hAnsi="Times New Roman" w:cs="Times New Roman"/>
          <w:sz w:val="28"/>
          <w:szCs w:val="28"/>
        </w:rPr>
        <w:t>ct 51 of 1977 (the CPA)</w:t>
      </w:r>
      <w:r w:rsidR="0058227E" w:rsidRPr="004145B9">
        <w:rPr>
          <w:rFonts w:ascii="Times New Roman" w:eastAsiaTheme="minorHAnsi" w:hAnsi="Times New Roman" w:cs="Times New Roman"/>
          <w:sz w:val="28"/>
          <w:szCs w:val="28"/>
        </w:rPr>
        <w:t>. Pursuant thereto,</w:t>
      </w:r>
      <w:r w:rsidR="00F33483" w:rsidRPr="004145B9">
        <w:rPr>
          <w:rFonts w:ascii="Times New Roman" w:eastAsiaTheme="minorHAnsi" w:hAnsi="Times New Roman" w:cs="Times New Roman"/>
          <w:sz w:val="28"/>
          <w:szCs w:val="28"/>
        </w:rPr>
        <w:t xml:space="preserve"> on 13 August 2020, the</w:t>
      </w:r>
      <w:r w:rsidR="0058227E" w:rsidRPr="004145B9">
        <w:rPr>
          <w:rFonts w:ascii="Times New Roman" w:eastAsiaTheme="minorHAnsi" w:hAnsi="Times New Roman" w:cs="Times New Roman"/>
          <w:sz w:val="28"/>
          <w:szCs w:val="28"/>
        </w:rPr>
        <w:t xml:space="preserve"> regional court found no substantial and compelling circumstances</w:t>
      </w:r>
      <w:r w:rsidR="00950ACE"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 xml:space="preserve">and sentenced the appellant to 15 </w:t>
      </w:r>
      <w:r w:rsidR="00874181" w:rsidRPr="004145B9">
        <w:rPr>
          <w:rFonts w:ascii="Times New Roman" w:eastAsiaTheme="minorHAnsi" w:hAnsi="Times New Roman" w:cs="Times New Roman"/>
          <w:sz w:val="28"/>
          <w:szCs w:val="28"/>
        </w:rPr>
        <w:t>years’</w:t>
      </w:r>
      <w:r w:rsidR="0058227E" w:rsidRPr="004145B9">
        <w:rPr>
          <w:rFonts w:ascii="Times New Roman" w:eastAsiaTheme="minorHAnsi" w:hAnsi="Times New Roman" w:cs="Times New Roman"/>
          <w:sz w:val="28"/>
          <w:szCs w:val="28"/>
        </w:rPr>
        <w:t xml:space="preserve"> imprisonmen</w:t>
      </w:r>
      <w:r w:rsidR="00CB3E96" w:rsidRPr="004145B9">
        <w:rPr>
          <w:rFonts w:ascii="Times New Roman" w:eastAsiaTheme="minorHAnsi" w:hAnsi="Times New Roman" w:cs="Times New Roman"/>
          <w:sz w:val="28"/>
          <w:szCs w:val="28"/>
        </w:rPr>
        <w:t xml:space="preserve">t. </w:t>
      </w:r>
      <w:r w:rsidR="00F33483" w:rsidRPr="004145B9">
        <w:rPr>
          <w:rFonts w:ascii="Times New Roman" w:eastAsiaTheme="minorHAnsi" w:hAnsi="Times New Roman" w:cs="Times New Roman"/>
          <w:sz w:val="28"/>
          <w:szCs w:val="28"/>
        </w:rPr>
        <w:t>On the same day, t</w:t>
      </w:r>
      <w:r w:rsidR="00CB3E96" w:rsidRPr="004145B9">
        <w:rPr>
          <w:rFonts w:ascii="Times New Roman" w:eastAsiaTheme="minorHAnsi" w:hAnsi="Times New Roman" w:cs="Times New Roman"/>
          <w:sz w:val="28"/>
          <w:szCs w:val="28"/>
        </w:rPr>
        <w:t>he appellant</w:t>
      </w:r>
      <w:r w:rsidR="00F33483" w:rsidRPr="004145B9">
        <w:rPr>
          <w:rFonts w:ascii="Times New Roman" w:eastAsiaTheme="minorHAnsi" w:hAnsi="Times New Roman" w:cs="Times New Roman"/>
          <w:sz w:val="28"/>
          <w:szCs w:val="28"/>
        </w:rPr>
        <w:t xml:space="preserve"> applied for leave</w:t>
      </w:r>
      <w:r w:rsidR="00CB3E96" w:rsidRPr="004145B9">
        <w:rPr>
          <w:rFonts w:ascii="Times New Roman" w:eastAsiaTheme="minorHAnsi" w:hAnsi="Times New Roman" w:cs="Times New Roman"/>
          <w:sz w:val="28"/>
          <w:szCs w:val="28"/>
        </w:rPr>
        <w:t xml:space="preserve"> to lead further </w:t>
      </w:r>
      <w:r w:rsidR="00623307" w:rsidRPr="004145B9">
        <w:rPr>
          <w:rFonts w:ascii="Times New Roman" w:eastAsiaTheme="minorHAnsi" w:hAnsi="Times New Roman" w:cs="Times New Roman"/>
          <w:sz w:val="28"/>
          <w:szCs w:val="28"/>
        </w:rPr>
        <w:t>evidence in</w:t>
      </w:r>
      <w:r w:rsidR="00CB3E96" w:rsidRPr="004145B9">
        <w:rPr>
          <w:rFonts w:ascii="Times New Roman" w:eastAsiaTheme="minorHAnsi" w:hAnsi="Times New Roman" w:cs="Times New Roman"/>
          <w:sz w:val="28"/>
          <w:szCs w:val="28"/>
        </w:rPr>
        <w:t xml:space="preserve"> terms of s 309B(5)</w:t>
      </w:r>
      <w:r w:rsidR="00CB3E96" w:rsidRPr="004145B9">
        <w:rPr>
          <w:rFonts w:ascii="Times New Roman" w:eastAsiaTheme="minorHAnsi" w:hAnsi="Times New Roman" w:cs="Times New Roman"/>
          <w:i/>
          <w:sz w:val="28"/>
          <w:szCs w:val="28"/>
        </w:rPr>
        <w:t xml:space="preserve">(a) </w:t>
      </w:r>
      <w:r w:rsidR="00CB3E96" w:rsidRPr="004145B9">
        <w:rPr>
          <w:rFonts w:ascii="Times New Roman" w:eastAsiaTheme="minorHAnsi" w:hAnsi="Times New Roman" w:cs="Times New Roman"/>
          <w:sz w:val="28"/>
          <w:szCs w:val="28"/>
        </w:rPr>
        <w:t>of the CPA,</w:t>
      </w:r>
      <w:r w:rsidR="003C747C" w:rsidRPr="004145B9">
        <w:rPr>
          <w:rStyle w:val="FootnoteReference"/>
          <w:rFonts w:ascii="Times New Roman" w:eastAsiaTheme="minorHAnsi" w:hAnsi="Times New Roman" w:cs="Times New Roman"/>
          <w:sz w:val="28"/>
          <w:szCs w:val="28"/>
        </w:rPr>
        <w:footnoteReference w:id="1"/>
      </w:r>
      <w:r w:rsidR="00CB3E96" w:rsidRPr="004145B9">
        <w:rPr>
          <w:rFonts w:ascii="Times New Roman" w:eastAsiaTheme="minorHAnsi" w:hAnsi="Times New Roman" w:cs="Times New Roman"/>
          <w:sz w:val="28"/>
          <w:szCs w:val="28"/>
        </w:rPr>
        <w:t xml:space="preserve"> </w:t>
      </w:r>
      <w:r w:rsidR="00971C95" w:rsidRPr="004145B9">
        <w:rPr>
          <w:rFonts w:ascii="Times New Roman" w:eastAsiaTheme="minorHAnsi" w:hAnsi="Times New Roman" w:cs="Times New Roman"/>
          <w:sz w:val="28"/>
          <w:szCs w:val="28"/>
        </w:rPr>
        <w:t>and leave to appeal against both conviction and sentence</w:t>
      </w:r>
      <w:r w:rsidR="00F33483" w:rsidRPr="004145B9">
        <w:rPr>
          <w:rFonts w:ascii="Times New Roman" w:eastAsiaTheme="minorHAnsi" w:hAnsi="Times New Roman" w:cs="Times New Roman"/>
          <w:sz w:val="28"/>
          <w:szCs w:val="28"/>
        </w:rPr>
        <w:t xml:space="preserve"> which was</w:t>
      </w:r>
      <w:r w:rsidR="00971C95" w:rsidRPr="004145B9">
        <w:rPr>
          <w:rFonts w:ascii="Times New Roman" w:eastAsiaTheme="minorHAnsi" w:hAnsi="Times New Roman" w:cs="Times New Roman"/>
          <w:sz w:val="28"/>
          <w:szCs w:val="28"/>
        </w:rPr>
        <w:t xml:space="preserve"> granted, in both instances. The regional court also admitted the new evidence. </w:t>
      </w:r>
      <w:r w:rsidR="0058227E" w:rsidRPr="004145B9">
        <w:rPr>
          <w:rFonts w:ascii="Times New Roman" w:eastAsiaTheme="minorHAnsi" w:hAnsi="Times New Roman" w:cs="Times New Roman"/>
          <w:sz w:val="28"/>
          <w:szCs w:val="28"/>
        </w:rPr>
        <w:t xml:space="preserve">The </w:t>
      </w:r>
      <w:r w:rsidR="00804887" w:rsidRPr="004145B9">
        <w:rPr>
          <w:rFonts w:ascii="Times New Roman" w:eastAsiaTheme="minorHAnsi" w:hAnsi="Times New Roman" w:cs="Times New Roman"/>
          <w:sz w:val="28"/>
          <w:szCs w:val="28"/>
        </w:rPr>
        <w:t xml:space="preserve">full bench of the </w:t>
      </w:r>
      <w:r w:rsidR="00623307" w:rsidRPr="004145B9">
        <w:rPr>
          <w:rFonts w:ascii="Times New Roman" w:eastAsiaTheme="minorHAnsi" w:hAnsi="Times New Roman" w:cs="Times New Roman"/>
          <w:sz w:val="28"/>
          <w:szCs w:val="28"/>
        </w:rPr>
        <w:t>Gauteng</w:t>
      </w:r>
      <w:r w:rsidR="0073541B" w:rsidRPr="004145B9">
        <w:rPr>
          <w:rFonts w:ascii="Times New Roman" w:eastAsiaTheme="minorHAnsi" w:hAnsi="Times New Roman" w:cs="Times New Roman"/>
          <w:sz w:val="28"/>
          <w:szCs w:val="28"/>
        </w:rPr>
        <w:t xml:space="preserve"> Division of the High Court, Pretoria</w:t>
      </w:r>
      <w:r w:rsidR="00D05D12" w:rsidRPr="004145B9">
        <w:rPr>
          <w:rFonts w:ascii="Times New Roman" w:eastAsiaTheme="minorHAnsi" w:hAnsi="Times New Roman" w:cs="Times New Roman"/>
          <w:sz w:val="28"/>
          <w:szCs w:val="28"/>
        </w:rPr>
        <w:t>,</w:t>
      </w:r>
      <w:r w:rsidR="0073541B" w:rsidRPr="004145B9">
        <w:rPr>
          <w:rFonts w:ascii="Times New Roman" w:eastAsiaTheme="minorHAnsi" w:hAnsi="Times New Roman" w:cs="Times New Roman"/>
          <w:sz w:val="28"/>
          <w:szCs w:val="28"/>
        </w:rPr>
        <w:t xml:space="preserve"> </w:t>
      </w:r>
      <w:r w:rsidR="00804887" w:rsidRPr="004145B9">
        <w:rPr>
          <w:rFonts w:ascii="Times New Roman" w:eastAsiaTheme="minorHAnsi" w:hAnsi="Times New Roman" w:cs="Times New Roman"/>
          <w:sz w:val="28"/>
          <w:szCs w:val="28"/>
        </w:rPr>
        <w:t>per</w:t>
      </w:r>
      <w:r w:rsidR="00F0689B" w:rsidRPr="004145B9">
        <w:rPr>
          <w:rFonts w:ascii="Times New Roman" w:eastAsiaTheme="minorHAnsi" w:hAnsi="Times New Roman" w:cs="Times New Roman"/>
          <w:sz w:val="28"/>
          <w:szCs w:val="28"/>
        </w:rPr>
        <w:t xml:space="preserve"> Phahlane J</w:t>
      </w:r>
      <w:r w:rsidR="00804887" w:rsidRPr="004145B9">
        <w:rPr>
          <w:rFonts w:ascii="Times New Roman" w:eastAsiaTheme="minorHAnsi" w:hAnsi="Times New Roman" w:cs="Times New Roman"/>
          <w:sz w:val="28"/>
          <w:szCs w:val="28"/>
        </w:rPr>
        <w:t xml:space="preserve"> </w:t>
      </w:r>
      <w:r w:rsidR="002336E4" w:rsidRPr="004145B9">
        <w:rPr>
          <w:rFonts w:ascii="Times New Roman" w:eastAsiaTheme="minorHAnsi" w:hAnsi="Times New Roman" w:cs="Times New Roman"/>
          <w:sz w:val="28"/>
          <w:szCs w:val="28"/>
        </w:rPr>
        <w:t xml:space="preserve">and </w:t>
      </w:r>
      <w:r w:rsidR="0073541B" w:rsidRPr="004145B9">
        <w:rPr>
          <w:rFonts w:ascii="Times New Roman" w:eastAsiaTheme="minorHAnsi" w:hAnsi="Times New Roman" w:cs="Times New Roman"/>
          <w:sz w:val="28"/>
          <w:szCs w:val="28"/>
        </w:rPr>
        <w:t xml:space="preserve">Motha </w:t>
      </w:r>
      <w:r w:rsidR="004C49A3" w:rsidRPr="004145B9">
        <w:rPr>
          <w:rFonts w:ascii="Times New Roman" w:eastAsiaTheme="minorHAnsi" w:hAnsi="Times New Roman" w:cs="Times New Roman"/>
          <w:sz w:val="28"/>
          <w:szCs w:val="28"/>
        </w:rPr>
        <w:lastRenderedPageBreak/>
        <w:t>A</w:t>
      </w:r>
      <w:r w:rsidR="0073541B" w:rsidRPr="004145B9">
        <w:rPr>
          <w:rFonts w:ascii="Times New Roman" w:eastAsiaTheme="minorHAnsi" w:hAnsi="Times New Roman" w:cs="Times New Roman"/>
          <w:sz w:val="28"/>
          <w:szCs w:val="28"/>
        </w:rPr>
        <w:t xml:space="preserve">J </w:t>
      </w:r>
      <w:r w:rsidR="00D05D12" w:rsidRPr="004145B9">
        <w:rPr>
          <w:rFonts w:ascii="Times New Roman" w:eastAsiaTheme="minorHAnsi" w:hAnsi="Times New Roman" w:cs="Times New Roman"/>
          <w:sz w:val="28"/>
          <w:szCs w:val="28"/>
        </w:rPr>
        <w:t>(the full bench)</w:t>
      </w:r>
      <w:r w:rsidR="00700EF0"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dismissed the appeal both in respect of the conviction and sentence. This appeal is with the leave of this Court, special leave having been granted.</w:t>
      </w:r>
    </w:p>
    <w:p w14:paraId="2D341534" w14:textId="77777777" w:rsidR="0058227E" w:rsidRPr="004145B9" w:rsidRDefault="0058227E" w:rsidP="00DB1848">
      <w:pPr>
        <w:spacing w:after="0" w:line="360" w:lineRule="auto"/>
        <w:jc w:val="both"/>
        <w:rPr>
          <w:rFonts w:ascii="Times New Roman" w:eastAsiaTheme="minorHAnsi" w:hAnsi="Times New Roman" w:cs="Times New Roman"/>
          <w:sz w:val="28"/>
          <w:szCs w:val="28"/>
        </w:rPr>
      </w:pPr>
    </w:p>
    <w:p w14:paraId="421E2CC7" w14:textId="77777777" w:rsidR="0058227E" w:rsidRPr="004145B9" w:rsidRDefault="0058227E" w:rsidP="00DB1848">
      <w:pPr>
        <w:spacing w:after="0" w:line="360" w:lineRule="auto"/>
        <w:jc w:val="both"/>
        <w:rPr>
          <w:rFonts w:ascii="Times New Roman" w:eastAsiaTheme="minorHAnsi" w:hAnsi="Times New Roman" w:cs="Times New Roman"/>
          <w:b/>
          <w:sz w:val="28"/>
          <w:szCs w:val="28"/>
        </w:rPr>
      </w:pPr>
      <w:r w:rsidRPr="004145B9">
        <w:rPr>
          <w:rFonts w:ascii="Times New Roman" w:eastAsiaTheme="minorHAnsi" w:hAnsi="Times New Roman" w:cs="Times New Roman"/>
          <w:b/>
          <w:sz w:val="28"/>
          <w:szCs w:val="28"/>
        </w:rPr>
        <w:t>The background facts</w:t>
      </w:r>
    </w:p>
    <w:p w14:paraId="1AA8B3AC" w14:textId="7F77AF58" w:rsidR="0058227E" w:rsidRPr="004145B9" w:rsidRDefault="006240C4" w:rsidP="00DB1848">
      <w:pPr>
        <w:spacing w:after="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[2]</w:t>
      </w:r>
      <w:r w:rsidRPr="004145B9">
        <w:rPr>
          <w:rFonts w:ascii="Times New Roman" w:eastAsiaTheme="minorHAnsi" w:hAnsi="Times New Roman" w:cs="Times New Roman"/>
          <w:sz w:val="28"/>
          <w:szCs w:val="28"/>
        </w:rPr>
        <w:tab/>
      </w:r>
      <w:r w:rsidR="0058227E" w:rsidRPr="004145B9">
        <w:rPr>
          <w:rFonts w:ascii="Times New Roman" w:eastAsiaTheme="minorHAnsi" w:hAnsi="Times New Roman" w:cs="Times New Roman"/>
          <w:sz w:val="28"/>
          <w:szCs w:val="28"/>
        </w:rPr>
        <w:t>It is not disputed that on 19 May 2017, at or near Benoni, the appellant shot</w:t>
      </w:r>
      <w:r w:rsidR="00950ACE"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Veli Molala</w:t>
      </w:r>
      <w:r w:rsidR="000F3B57" w:rsidRPr="004145B9">
        <w:rPr>
          <w:rFonts w:ascii="Times New Roman" w:eastAsiaTheme="minorHAnsi" w:hAnsi="Times New Roman" w:cs="Times New Roman"/>
          <w:sz w:val="28"/>
          <w:szCs w:val="28"/>
        </w:rPr>
        <w:t xml:space="preserve"> </w:t>
      </w:r>
      <w:r w:rsidR="001D690B" w:rsidRPr="004145B9">
        <w:rPr>
          <w:rFonts w:ascii="Times New Roman" w:eastAsiaTheme="minorHAnsi" w:hAnsi="Times New Roman" w:cs="Times New Roman"/>
          <w:sz w:val="28"/>
          <w:szCs w:val="28"/>
        </w:rPr>
        <w:t>(the deceased)</w:t>
      </w:r>
      <w:r w:rsidR="0058227E" w:rsidRPr="004145B9">
        <w:rPr>
          <w:rFonts w:ascii="Times New Roman" w:eastAsiaTheme="minorHAnsi" w:hAnsi="Times New Roman" w:cs="Times New Roman"/>
          <w:sz w:val="28"/>
          <w:szCs w:val="28"/>
        </w:rPr>
        <w:t>, a male aged 17 years, who died a</w:t>
      </w:r>
      <w:r w:rsidR="0091283E" w:rsidRPr="004145B9">
        <w:rPr>
          <w:rFonts w:ascii="Times New Roman" w:eastAsiaTheme="minorHAnsi" w:hAnsi="Times New Roman" w:cs="Times New Roman"/>
          <w:sz w:val="28"/>
          <w:szCs w:val="28"/>
        </w:rPr>
        <w:t xml:space="preserve">s a result of a gunshot wound. </w:t>
      </w:r>
      <w:r w:rsidR="0058227E" w:rsidRPr="004145B9">
        <w:rPr>
          <w:rFonts w:ascii="Times New Roman" w:eastAsiaTheme="minorHAnsi" w:hAnsi="Times New Roman" w:cs="Times New Roman"/>
          <w:sz w:val="28"/>
          <w:szCs w:val="28"/>
        </w:rPr>
        <w:t>He pleaded not guilty and submitted a written plea explanation in terms of s</w:t>
      </w:r>
      <w:r w:rsidR="0091283E" w:rsidRPr="004145B9">
        <w:rPr>
          <w:rFonts w:ascii="Times New Roman" w:eastAsiaTheme="minorHAnsi" w:hAnsi="Times New Roman" w:cs="Times New Roman"/>
          <w:sz w:val="28"/>
          <w:szCs w:val="28"/>
        </w:rPr>
        <w:t xml:space="preserve"> 115(</w:t>
      </w:r>
      <w:r w:rsidR="007148B2" w:rsidRPr="004145B9">
        <w:rPr>
          <w:rFonts w:ascii="Times New Roman" w:eastAsiaTheme="minorHAnsi" w:hAnsi="Times New Roman" w:cs="Times New Roman"/>
          <w:sz w:val="28"/>
          <w:szCs w:val="28"/>
        </w:rPr>
        <w:t>1</w:t>
      </w:r>
      <w:r w:rsidR="0091283E"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 xml:space="preserve"> of the CPA.</w:t>
      </w:r>
    </w:p>
    <w:p w14:paraId="55019E1B" w14:textId="77777777" w:rsidR="0058227E" w:rsidRPr="004145B9" w:rsidRDefault="0058227E" w:rsidP="00DB1848">
      <w:pPr>
        <w:spacing w:after="0" w:line="360" w:lineRule="auto"/>
        <w:jc w:val="both"/>
        <w:rPr>
          <w:rFonts w:ascii="Times New Roman" w:eastAsiaTheme="minorHAnsi" w:hAnsi="Times New Roman" w:cs="Times New Roman"/>
          <w:strike/>
          <w:sz w:val="28"/>
          <w:szCs w:val="28"/>
        </w:rPr>
      </w:pPr>
    </w:p>
    <w:p w14:paraId="3A1B5CBB" w14:textId="77777777" w:rsidR="0058227E" w:rsidRPr="004145B9" w:rsidRDefault="00BB4800" w:rsidP="00DB1848">
      <w:pPr>
        <w:spacing w:after="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[3]</w:t>
      </w:r>
      <w:r w:rsidRPr="004145B9">
        <w:rPr>
          <w:rFonts w:ascii="Times New Roman" w:eastAsiaTheme="minorHAnsi" w:hAnsi="Times New Roman" w:cs="Times New Roman"/>
          <w:sz w:val="28"/>
          <w:szCs w:val="28"/>
        </w:rPr>
        <w:tab/>
      </w:r>
      <w:r w:rsidR="003F1912" w:rsidRPr="004145B9">
        <w:rPr>
          <w:rFonts w:ascii="Times New Roman" w:eastAsiaTheme="minorHAnsi" w:hAnsi="Times New Roman" w:cs="Times New Roman"/>
          <w:sz w:val="28"/>
          <w:szCs w:val="28"/>
        </w:rPr>
        <w:t>On 19 May 2017, the appellant</w:t>
      </w:r>
      <w:r w:rsidR="003C747C"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 xml:space="preserve"> attached to the Ekurhuleni M</w:t>
      </w:r>
      <w:r w:rsidRPr="004145B9">
        <w:rPr>
          <w:rFonts w:ascii="Times New Roman" w:eastAsiaTheme="minorHAnsi" w:hAnsi="Times New Roman" w:cs="Times New Roman"/>
          <w:sz w:val="28"/>
          <w:szCs w:val="28"/>
        </w:rPr>
        <w:t xml:space="preserve">etro Police Department (EMPD), </w:t>
      </w:r>
      <w:r w:rsidR="0058227E" w:rsidRPr="004145B9">
        <w:rPr>
          <w:rFonts w:ascii="Times New Roman" w:eastAsiaTheme="minorHAnsi" w:hAnsi="Times New Roman" w:cs="Times New Roman"/>
          <w:sz w:val="28"/>
          <w:szCs w:val="28"/>
        </w:rPr>
        <w:t>was engaged in patrol duties</w:t>
      </w:r>
      <w:r w:rsidR="00950ACE" w:rsidRPr="004145B9">
        <w:rPr>
          <w:rFonts w:ascii="Times New Roman" w:eastAsiaTheme="minorHAnsi" w:hAnsi="Times New Roman" w:cs="Times New Roman"/>
          <w:sz w:val="28"/>
          <w:szCs w:val="28"/>
        </w:rPr>
        <w:t xml:space="preserve">. He </w:t>
      </w:r>
      <w:r w:rsidR="0058227E" w:rsidRPr="004145B9">
        <w:rPr>
          <w:rFonts w:ascii="Times New Roman" w:eastAsiaTheme="minorHAnsi" w:hAnsi="Times New Roman" w:cs="Times New Roman"/>
          <w:sz w:val="28"/>
          <w:szCs w:val="28"/>
        </w:rPr>
        <w:t xml:space="preserve">attended an accident scene </w:t>
      </w:r>
      <w:r w:rsidR="00DB1848" w:rsidRPr="004145B9">
        <w:rPr>
          <w:rFonts w:ascii="Times New Roman" w:eastAsiaTheme="minorHAnsi" w:hAnsi="Times New Roman" w:cs="Times New Roman"/>
          <w:sz w:val="28"/>
          <w:szCs w:val="28"/>
        </w:rPr>
        <w:t xml:space="preserve">in </w:t>
      </w:r>
      <w:r w:rsidR="0058227E" w:rsidRPr="004145B9">
        <w:rPr>
          <w:rFonts w:ascii="Times New Roman" w:eastAsiaTheme="minorHAnsi" w:hAnsi="Times New Roman" w:cs="Times New Roman"/>
          <w:sz w:val="28"/>
          <w:szCs w:val="28"/>
        </w:rPr>
        <w:t>Great North Road</w:t>
      </w:r>
      <w:r w:rsidR="00DB1848"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 xml:space="preserve"> situated at the corner of 5</w:t>
      </w:r>
      <w:r w:rsidR="0058227E" w:rsidRPr="004145B9">
        <w:rPr>
          <w:rFonts w:ascii="Times New Roman" w:eastAsiaTheme="minorHAnsi" w:hAnsi="Times New Roman" w:cs="Times New Roman"/>
          <w:sz w:val="28"/>
          <w:szCs w:val="28"/>
          <w:vertAlign w:val="superscript"/>
        </w:rPr>
        <w:t>th</w:t>
      </w:r>
      <w:r w:rsidR="0058227E" w:rsidRPr="004145B9">
        <w:rPr>
          <w:rFonts w:ascii="Times New Roman" w:eastAsiaTheme="minorHAnsi" w:hAnsi="Times New Roman" w:cs="Times New Roman"/>
          <w:sz w:val="28"/>
          <w:szCs w:val="28"/>
        </w:rPr>
        <w:t xml:space="preserve"> Avenue and Tom Jones Street, where he was informed by unidentified members of the community that </w:t>
      </w:r>
      <w:r w:rsidR="006240C4" w:rsidRPr="004145B9">
        <w:rPr>
          <w:rFonts w:ascii="Times New Roman" w:eastAsiaTheme="minorHAnsi" w:hAnsi="Times New Roman" w:cs="Times New Roman"/>
          <w:sz w:val="28"/>
          <w:szCs w:val="28"/>
        </w:rPr>
        <w:t>a robbery</w:t>
      </w:r>
      <w:r w:rsidR="0058227E" w:rsidRPr="004145B9">
        <w:rPr>
          <w:rFonts w:ascii="Times New Roman" w:eastAsiaTheme="minorHAnsi" w:hAnsi="Times New Roman" w:cs="Times New Roman"/>
          <w:sz w:val="28"/>
          <w:szCs w:val="28"/>
        </w:rPr>
        <w:t xml:space="preserve"> was taking place at the nearby Wordsworth School, Farra</w:t>
      </w:r>
      <w:r w:rsidR="00AE34E4" w:rsidRPr="004145B9">
        <w:rPr>
          <w:rFonts w:ascii="Times New Roman" w:eastAsiaTheme="minorHAnsi" w:hAnsi="Times New Roman" w:cs="Times New Roman"/>
          <w:sz w:val="28"/>
          <w:szCs w:val="28"/>
        </w:rPr>
        <w:t>r</w:t>
      </w:r>
      <w:r w:rsidR="0058227E" w:rsidRPr="004145B9">
        <w:rPr>
          <w:rFonts w:ascii="Times New Roman" w:eastAsiaTheme="minorHAnsi" w:hAnsi="Times New Roman" w:cs="Times New Roman"/>
          <w:sz w:val="28"/>
          <w:szCs w:val="28"/>
        </w:rPr>
        <w:t xml:space="preserve">mere. He noticed two young men running from the direction of the school towards Bunyan </w:t>
      </w:r>
      <w:r w:rsidR="004C49A3" w:rsidRPr="004145B9">
        <w:rPr>
          <w:rFonts w:ascii="Times New Roman" w:eastAsiaTheme="minorHAnsi" w:hAnsi="Times New Roman" w:cs="Times New Roman"/>
          <w:sz w:val="28"/>
          <w:szCs w:val="28"/>
        </w:rPr>
        <w:t xml:space="preserve">Street </w:t>
      </w:r>
      <w:r w:rsidR="00F67B41" w:rsidRPr="004145B9">
        <w:rPr>
          <w:rFonts w:ascii="Times New Roman" w:eastAsiaTheme="minorHAnsi" w:hAnsi="Times New Roman" w:cs="Times New Roman"/>
          <w:sz w:val="28"/>
          <w:szCs w:val="28"/>
        </w:rPr>
        <w:t>a</w:t>
      </w:r>
      <w:r w:rsidR="006240C4" w:rsidRPr="004145B9">
        <w:rPr>
          <w:rFonts w:ascii="Times New Roman" w:eastAsiaTheme="minorHAnsi" w:hAnsi="Times New Roman" w:cs="Times New Roman"/>
          <w:sz w:val="28"/>
          <w:szCs w:val="28"/>
        </w:rPr>
        <w:t>nd</w:t>
      </w:r>
      <w:r w:rsidR="0058227E" w:rsidRPr="004145B9">
        <w:rPr>
          <w:rFonts w:ascii="Times New Roman" w:eastAsiaTheme="minorHAnsi" w:hAnsi="Times New Roman" w:cs="Times New Roman"/>
          <w:sz w:val="28"/>
          <w:szCs w:val="28"/>
        </w:rPr>
        <w:t xml:space="preserve"> gave chase. According to the</w:t>
      </w:r>
      <w:r w:rsidR="00950ACE" w:rsidRPr="004145B9">
        <w:rPr>
          <w:rFonts w:ascii="Times New Roman" w:eastAsiaTheme="minorHAnsi" w:hAnsi="Times New Roman" w:cs="Times New Roman"/>
          <w:sz w:val="28"/>
          <w:szCs w:val="28"/>
        </w:rPr>
        <w:t xml:space="preserve"> appellant,</w:t>
      </w:r>
      <w:r w:rsidR="0058227E" w:rsidRPr="004145B9">
        <w:rPr>
          <w:rFonts w:ascii="Times New Roman" w:eastAsiaTheme="minorHAnsi" w:hAnsi="Times New Roman" w:cs="Times New Roman"/>
          <w:sz w:val="28"/>
          <w:szCs w:val="28"/>
        </w:rPr>
        <w:t xml:space="preserve"> shots were fired at him by the alleged robbers</w:t>
      </w:r>
      <w:r w:rsidR="006240C4" w:rsidRPr="004145B9">
        <w:rPr>
          <w:rFonts w:ascii="Times New Roman" w:eastAsiaTheme="minorHAnsi" w:hAnsi="Times New Roman" w:cs="Times New Roman"/>
          <w:sz w:val="28"/>
          <w:szCs w:val="28"/>
        </w:rPr>
        <w:t xml:space="preserve">. </w:t>
      </w:r>
    </w:p>
    <w:p w14:paraId="46C1537D" w14:textId="77777777" w:rsidR="0058227E" w:rsidRPr="004145B9" w:rsidRDefault="0058227E" w:rsidP="00DB1848">
      <w:pPr>
        <w:spacing w:after="0" w:line="360" w:lineRule="auto"/>
        <w:jc w:val="both"/>
        <w:rPr>
          <w:rFonts w:ascii="Times New Roman" w:eastAsiaTheme="minorHAnsi" w:hAnsi="Times New Roman" w:cs="Times New Roman"/>
          <w:sz w:val="28"/>
          <w:szCs w:val="28"/>
        </w:rPr>
      </w:pPr>
    </w:p>
    <w:p w14:paraId="01ACCF49" w14:textId="659972FB" w:rsidR="0058227E" w:rsidRPr="004145B9" w:rsidRDefault="0091283E" w:rsidP="00DB1848">
      <w:pPr>
        <w:spacing w:after="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[4]</w:t>
      </w:r>
      <w:r w:rsidRPr="004145B9">
        <w:rPr>
          <w:rFonts w:ascii="Times New Roman" w:eastAsiaTheme="minorHAnsi" w:hAnsi="Times New Roman" w:cs="Times New Roman"/>
          <w:sz w:val="28"/>
          <w:szCs w:val="28"/>
        </w:rPr>
        <w:tab/>
      </w:r>
      <w:r w:rsidR="006D70B7" w:rsidRPr="004145B9">
        <w:rPr>
          <w:rFonts w:ascii="Times New Roman" w:eastAsiaTheme="minorHAnsi" w:hAnsi="Times New Roman" w:cs="Times New Roman"/>
          <w:sz w:val="28"/>
          <w:szCs w:val="28"/>
        </w:rPr>
        <w:t xml:space="preserve">The appellant </w:t>
      </w:r>
      <w:r w:rsidR="0058227E" w:rsidRPr="004145B9">
        <w:rPr>
          <w:rFonts w:ascii="Times New Roman" w:eastAsiaTheme="minorHAnsi" w:hAnsi="Times New Roman" w:cs="Times New Roman"/>
          <w:sz w:val="28"/>
          <w:szCs w:val="28"/>
        </w:rPr>
        <w:t>gave a detailed account of the chase</w:t>
      </w:r>
      <w:r w:rsidR="006D70B7" w:rsidRPr="004145B9">
        <w:rPr>
          <w:rFonts w:ascii="Times New Roman" w:eastAsiaTheme="minorHAnsi" w:hAnsi="Times New Roman" w:cs="Times New Roman"/>
          <w:sz w:val="28"/>
          <w:szCs w:val="28"/>
        </w:rPr>
        <w:t xml:space="preserve"> in pursuit of the alleged robbers.</w:t>
      </w:r>
      <w:r w:rsidR="0058227E" w:rsidRPr="004145B9">
        <w:rPr>
          <w:rFonts w:ascii="Times New Roman" w:eastAsiaTheme="minorHAnsi" w:hAnsi="Times New Roman" w:cs="Times New Roman"/>
          <w:sz w:val="28"/>
          <w:szCs w:val="28"/>
        </w:rPr>
        <w:t xml:space="preserve"> He explained that the alleged robbers ran into Bunyan Street, a one-way </w:t>
      </w:r>
      <w:r w:rsidR="00DB1848" w:rsidRPr="004145B9">
        <w:rPr>
          <w:rFonts w:ascii="Times New Roman" w:eastAsiaTheme="minorHAnsi" w:hAnsi="Times New Roman" w:cs="Times New Roman"/>
          <w:sz w:val="28"/>
          <w:szCs w:val="28"/>
        </w:rPr>
        <w:t>street</w:t>
      </w:r>
      <w:r w:rsidR="0058227E" w:rsidRPr="004145B9">
        <w:rPr>
          <w:rFonts w:ascii="Times New Roman" w:eastAsiaTheme="minorHAnsi" w:hAnsi="Times New Roman" w:cs="Times New Roman"/>
          <w:sz w:val="28"/>
          <w:szCs w:val="28"/>
        </w:rPr>
        <w:t>, where he pursued the alleged robbers</w:t>
      </w:r>
      <w:r w:rsidR="00325107" w:rsidRPr="004145B9">
        <w:rPr>
          <w:rFonts w:ascii="Times New Roman" w:eastAsiaTheme="minorHAnsi" w:hAnsi="Times New Roman" w:cs="Times New Roman"/>
          <w:sz w:val="28"/>
          <w:szCs w:val="28"/>
        </w:rPr>
        <w:t xml:space="preserve"> while</w:t>
      </w:r>
      <w:r w:rsidR="0058227E" w:rsidRPr="004145B9">
        <w:rPr>
          <w:rFonts w:ascii="Times New Roman" w:eastAsiaTheme="minorHAnsi" w:hAnsi="Times New Roman" w:cs="Times New Roman"/>
          <w:sz w:val="28"/>
          <w:szCs w:val="28"/>
        </w:rPr>
        <w:t xml:space="preserve"> driving in the direction of the oncoming traffic. As he approached the alleged robbers he shouted at them to stop, but they did not</w:t>
      </w:r>
      <w:r w:rsidR="00AE34E4"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 xml:space="preserve"> </w:t>
      </w:r>
      <w:r w:rsidR="00AE34E4" w:rsidRPr="004145B9">
        <w:rPr>
          <w:rFonts w:ascii="Times New Roman" w:eastAsiaTheme="minorHAnsi" w:hAnsi="Times New Roman" w:cs="Times New Roman"/>
          <w:sz w:val="28"/>
          <w:szCs w:val="28"/>
        </w:rPr>
        <w:t>I</w:t>
      </w:r>
      <w:r w:rsidR="0058227E" w:rsidRPr="004145B9">
        <w:rPr>
          <w:rFonts w:ascii="Times New Roman" w:eastAsiaTheme="minorHAnsi" w:hAnsi="Times New Roman" w:cs="Times New Roman"/>
          <w:sz w:val="28"/>
          <w:szCs w:val="28"/>
        </w:rPr>
        <w:t>nstead, one of the alleged robbers</w:t>
      </w:r>
      <w:r w:rsidR="00950ACE"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pulled out a revolver and fired a shot at him. In turn, he fired a shot in the direction of the alleged robbers.</w:t>
      </w:r>
    </w:p>
    <w:p w14:paraId="5D98D412" w14:textId="77777777" w:rsidR="0058227E" w:rsidRPr="004145B9" w:rsidRDefault="0058227E" w:rsidP="00DB1848">
      <w:pPr>
        <w:spacing w:after="0" w:line="360" w:lineRule="auto"/>
        <w:jc w:val="both"/>
        <w:rPr>
          <w:rFonts w:ascii="Times New Roman" w:eastAsiaTheme="minorHAnsi" w:hAnsi="Times New Roman" w:cs="Times New Roman"/>
          <w:sz w:val="28"/>
          <w:szCs w:val="28"/>
        </w:rPr>
      </w:pPr>
    </w:p>
    <w:p w14:paraId="4B0CAB5B" w14:textId="084DCBE5" w:rsidR="0058227E" w:rsidRPr="004145B9" w:rsidRDefault="00BB4800" w:rsidP="00DB1848">
      <w:pPr>
        <w:spacing w:after="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[5]</w:t>
      </w:r>
      <w:r w:rsidRPr="004145B9">
        <w:rPr>
          <w:rFonts w:ascii="Times New Roman" w:eastAsiaTheme="minorHAnsi" w:hAnsi="Times New Roman" w:cs="Times New Roman"/>
          <w:sz w:val="28"/>
          <w:szCs w:val="28"/>
        </w:rPr>
        <w:tab/>
      </w:r>
      <w:r w:rsidR="0058227E" w:rsidRPr="004145B9">
        <w:rPr>
          <w:rFonts w:ascii="Times New Roman" w:eastAsiaTheme="minorHAnsi" w:hAnsi="Times New Roman" w:cs="Times New Roman"/>
          <w:sz w:val="28"/>
          <w:szCs w:val="28"/>
        </w:rPr>
        <w:t>The alleged robbers ran towar</w:t>
      </w:r>
      <w:r w:rsidR="0091283E" w:rsidRPr="004145B9">
        <w:rPr>
          <w:rFonts w:ascii="Times New Roman" w:eastAsiaTheme="minorHAnsi" w:hAnsi="Times New Roman" w:cs="Times New Roman"/>
          <w:sz w:val="28"/>
          <w:szCs w:val="28"/>
        </w:rPr>
        <w:t>ds the railway line.</w:t>
      </w:r>
      <w:r w:rsidR="0058227E" w:rsidRPr="004145B9">
        <w:rPr>
          <w:rFonts w:ascii="Times New Roman" w:eastAsiaTheme="minorHAnsi" w:hAnsi="Times New Roman" w:cs="Times New Roman"/>
          <w:sz w:val="28"/>
          <w:szCs w:val="28"/>
        </w:rPr>
        <w:t xml:space="preserve"> He stopped his vehicle along the embankment which was covered with tall grass. As he alighted from </w:t>
      </w:r>
      <w:r w:rsidR="0058227E" w:rsidRPr="004145B9">
        <w:rPr>
          <w:rFonts w:ascii="Times New Roman" w:eastAsiaTheme="minorHAnsi" w:hAnsi="Times New Roman" w:cs="Times New Roman"/>
          <w:sz w:val="28"/>
          <w:szCs w:val="28"/>
        </w:rPr>
        <w:lastRenderedPageBreak/>
        <w:t>his</w:t>
      </w:r>
      <w:r w:rsidR="0091283E" w:rsidRPr="004145B9">
        <w:rPr>
          <w:rFonts w:ascii="Times New Roman" w:eastAsiaTheme="minorHAnsi" w:hAnsi="Times New Roman" w:cs="Times New Roman"/>
          <w:sz w:val="28"/>
          <w:szCs w:val="28"/>
        </w:rPr>
        <w:t xml:space="preserve"> vehicle,</w:t>
      </w:r>
      <w:r w:rsidR="0058227E" w:rsidRPr="004145B9">
        <w:rPr>
          <w:rFonts w:ascii="Times New Roman" w:eastAsiaTheme="minorHAnsi" w:hAnsi="Times New Roman" w:cs="Times New Roman"/>
          <w:sz w:val="28"/>
          <w:szCs w:val="28"/>
        </w:rPr>
        <w:t xml:space="preserve"> one of the alleged robbers fired a second shot in his direction. He</w:t>
      </w:r>
      <w:r w:rsidR="006240C4" w:rsidRPr="004145B9">
        <w:rPr>
          <w:rFonts w:ascii="Times New Roman" w:eastAsiaTheme="minorHAnsi" w:hAnsi="Times New Roman" w:cs="Times New Roman"/>
          <w:sz w:val="28"/>
          <w:szCs w:val="28"/>
        </w:rPr>
        <w:t xml:space="preserve"> took cover underneath a</w:t>
      </w:r>
      <w:r w:rsidR="0058227E" w:rsidRPr="004145B9">
        <w:rPr>
          <w:rFonts w:ascii="Times New Roman" w:eastAsiaTheme="minorHAnsi" w:hAnsi="Times New Roman" w:cs="Times New Roman"/>
          <w:sz w:val="28"/>
          <w:szCs w:val="28"/>
        </w:rPr>
        <w:t xml:space="preserve"> metal barrier on the side of the road where he </w:t>
      </w:r>
      <w:r w:rsidR="00F62D94" w:rsidRPr="004145B9">
        <w:rPr>
          <w:rFonts w:ascii="Times New Roman" w:eastAsiaTheme="minorHAnsi" w:hAnsi="Times New Roman" w:cs="Times New Roman"/>
          <w:sz w:val="28"/>
          <w:szCs w:val="28"/>
        </w:rPr>
        <w:t>fired two gunshots</w:t>
      </w:r>
      <w:r w:rsidR="0058227E" w:rsidRPr="004145B9">
        <w:rPr>
          <w:rFonts w:ascii="Times New Roman" w:eastAsiaTheme="minorHAnsi" w:hAnsi="Times New Roman" w:cs="Times New Roman"/>
          <w:sz w:val="28"/>
          <w:szCs w:val="28"/>
        </w:rPr>
        <w:t xml:space="preserve"> in the direction of the alleged robbers. One of the alleged robbers fell to the ground</w:t>
      </w:r>
      <w:r w:rsidR="00F62D94" w:rsidRPr="004145B9">
        <w:rPr>
          <w:rFonts w:ascii="Times New Roman" w:eastAsiaTheme="minorHAnsi" w:hAnsi="Times New Roman" w:cs="Times New Roman"/>
          <w:sz w:val="28"/>
          <w:szCs w:val="28"/>
        </w:rPr>
        <w:t xml:space="preserve"> and </w:t>
      </w:r>
      <w:r w:rsidR="0058227E" w:rsidRPr="004145B9">
        <w:rPr>
          <w:rFonts w:ascii="Times New Roman" w:eastAsiaTheme="minorHAnsi" w:hAnsi="Times New Roman" w:cs="Times New Roman"/>
          <w:sz w:val="28"/>
          <w:szCs w:val="28"/>
        </w:rPr>
        <w:t xml:space="preserve">the other ran away. He </w:t>
      </w:r>
      <w:r w:rsidR="00AB3981" w:rsidRPr="004145B9">
        <w:rPr>
          <w:rFonts w:ascii="Times New Roman" w:eastAsiaTheme="minorHAnsi" w:hAnsi="Times New Roman" w:cs="Times New Roman"/>
          <w:sz w:val="28"/>
          <w:szCs w:val="28"/>
        </w:rPr>
        <w:t xml:space="preserve">then </w:t>
      </w:r>
      <w:r w:rsidR="0058227E" w:rsidRPr="004145B9">
        <w:rPr>
          <w:rFonts w:ascii="Times New Roman" w:eastAsiaTheme="minorHAnsi" w:hAnsi="Times New Roman" w:cs="Times New Roman"/>
          <w:sz w:val="28"/>
          <w:szCs w:val="28"/>
        </w:rPr>
        <w:t>called for backup. When the paramedics arrived</w:t>
      </w:r>
      <w:r w:rsidR="00DB1848" w:rsidRPr="004145B9">
        <w:rPr>
          <w:rFonts w:ascii="Times New Roman" w:eastAsiaTheme="minorHAnsi" w:hAnsi="Times New Roman" w:cs="Times New Roman"/>
          <w:sz w:val="28"/>
          <w:szCs w:val="28"/>
        </w:rPr>
        <w:t xml:space="preserve"> at the scene they declared</w:t>
      </w:r>
      <w:r w:rsidR="0058227E" w:rsidRPr="004145B9">
        <w:rPr>
          <w:rFonts w:ascii="Times New Roman" w:eastAsiaTheme="minorHAnsi" w:hAnsi="Times New Roman" w:cs="Times New Roman"/>
          <w:sz w:val="28"/>
          <w:szCs w:val="28"/>
        </w:rPr>
        <w:t xml:space="preserve"> </w:t>
      </w:r>
      <w:r w:rsidR="005932C1" w:rsidRPr="004145B9">
        <w:rPr>
          <w:rFonts w:ascii="Times New Roman" w:eastAsiaTheme="minorHAnsi" w:hAnsi="Times New Roman" w:cs="Times New Roman"/>
          <w:sz w:val="28"/>
          <w:szCs w:val="28"/>
        </w:rPr>
        <w:t xml:space="preserve">that </w:t>
      </w:r>
      <w:r w:rsidR="0058227E" w:rsidRPr="004145B9">
        <w:rPr>
          <w:rFonts w:ascii="Times New Roman" w:eastAsiaTheme="minorHAnsi" w:hAnsi="Times New Roman" w:cs="Times New Roman"/>
          <w:sz w:val="28"/>
          <w:szCs w:val="28"/>
        </w:rPr>
        <w:t>the alleged robber</w:t>
      </w:r>
      <w:r w:rsidR="005932C1" w:rsidRPr="004145B9">
        <w:rPr>
          <w:rFonts w:ascii="Times New Roman" w:eastAsiaTheme="minorHAnsi" w:hAnsi="Times New Roman" w:cs="Times New Roman"/>
          <w:sz w:val="28"/>
          <w:szCs w:val="28"/>
        </w:rPr>
        <w:t>, who had been injured by the gunshot,</w:t>
      </w:r>
      <w:r w:rsidR="00F30B8F" w:rsidRPr="004145B9">
        <w:rPr>
          <w:rFonts w:ascii="Times New Roman" w:eastAsiaTheme="minorHAnsi" w:hAnsi="Times New Roman" w:cs="Times New Roman"/>
          <w:sz w:val="28"/>
          <w:szCs w:val="28"/>
        </w:rPr>
        <w:t xml:space="preserve"> </w:t>
      </w:r>
      <w:r w:rsidR="005932C1" w:rsidRPr="004145B9">
        <w:rPr>
          <w:rFonts w:ascii="Times New Roman" w:eastAsiaTheme="minorHAnsi" w:hAnsi="Times New Roman" w:cs="Times New Roman"/>
          <w:sz w:val="28"/>
          <w:szCs w:val="28"/>
        </w:rPr>
        <w:t>was deceased</w:t>
      </w:r>
      <w:r w:rsidR="0058227E" w:rsidRPr="004145B9">
        <w:rPr>
          <w:rFonts w:ascii="Times New Roman" w:eastAsiaTheme="minorHAnsi" w:hAnsi="Times New Roman" w:cs="Times New Roman"/>
          <w:sz w:val="28"/>
          <w:szCs w:val="28"/>
        </w:rPr>
        <w:t>. The</w:t>
      </w:r>
      <w:r w:rsidR="00EB7D5E" w:rsidRPr="004145B9">
        <w:rPr>
          <w:rFonts w:ascii="Times New Roman" w:eastAsiaTheme="minorHAnsi" w:hAnsi="Times New Roman" w:cs="Times New Roman"/>
          <w:sz w:val="28"/>
          <w:szCs w:val="28"/>
        </w:rPr>
        <w:t xml:space="preserve"> appellant</w:t>
      </w:r>
      <w:r w:rsidR="0058227E" w:rsidRPr="004145B9">
        <w:rPr>
          <w:rFonts w:ascii="Times New Roman" w:eastAsiaTheme="minorHAnsi" w:hAnsi="Times New Roman" w:cs="Times New Roman"/>
          <w:sz w:val="28"/>
          <w:szCs w:val="28"/>
        </w:rPr>
        <w:t xml:space="preserve"> </w:t>
      </w:r>
      <w:r w:rsidR="00EB7D5E" w:rsidRPr="004145B9">
        <w:rPr>
          <w:rFonts w:ascii="Times New Roman" w:eastAsiaTheme="minorHAnsi" w:hAnsi="Times New Roman" w:cs="Times New Roman"/>
          <w:sz w:val="28"/>
          <w:szCs w:val="28"/>
        </w:rPr>
        <w:t>testified</w:t>
      </w:r>
      <w:r w:rsidR="0058227E" w:rsidRPr="004145B9">
        <w:rPr>
          <w:rFonts w:ascii="Times New Roman" w:eastAsiaTheme="minorHAnsi" w:hAnsi="Times New Roman" w:cs="Times New Roman"/>
          <w:sz w:val="28"/>
          <w:szCs w:val="28"/>
        </w:rPr>
        <w:t xml:space="preserve"> that </w:t>
      </w:r>
      <w:r w:rsidR="00E83C4F" w:rsidRPr="004145B9">
        <w:rPr>
          <w:rFonts w:ascii="Times New Roman" w:eastAsiaTheme="minorHAnsi" w:hAnsi="Times New Roman" w:cs="Times New Roman"/>
          <w:sz w:val="28"/>
          <w:szCs w:val="28"/>
        </w:rPr>
        <w:t>he acted in self</w:t>
      </w:r>
      <w:r w:rsidR="00F30B8F" w:rsidRPr="004145B9">
        <w:rPr>
          <w:rFonts w:ascii="Times New Roman" w:eastAsiaTheme="minorHAnsi" w:hAnsi="Times New Roman" w:cs="Times New Roman"/>
          <w:sz w:val="28"/>
          <w:szCs w:val="28"/>
        </w:rPr>
        <w:t>-</w:t>
      </w:r>
      <w:r w:rsidR="00E83C4F" w:rsidRPr="004145B9">
        <w:rPr>
          <w:rFonts w:ascii="Times New Roman" w:eastAsiaTheme="minorHAnsi" w:hAnsi="Times New Roman" w:cs="Times New Roman"/>
          <w:sz w:val="28"/>
          <w:szCs w:val="28"/>
        </w:rPr>
        <w:t xml:space="preserve">defence when he fired </w:t>
      </w:r>
      <w:r w:rsidR="0058227E" w:rsidRPr="004145B9">
        <w:rPr>
          <w:rFonts w:ascii="Times New Roman" w:eastAsiaTheme="minorHAnsi" w:hAnsi="Times New Roman" w:cs="Times New Roman"/>
          <w:sz w:val="28"/>
          <w:szCs w:val="28"/>
        </w:rPr>
        <w:t>the fatal shot</w:t>
      </w:r>
      <w:r w:rsidR="00EB7D5E" w:rsidRPr="004145B9">
        <w:rPr>
          <w:rFonts w:ascii="Times New Roman" w:eastAsiaTheme="minorHAnsi" w:hAnsi="Times New Roman" w:cs="Times New Roman"/>
          <w:sz w:val="28"/>
          <w:szCs w:val="28"/>
        </w:rPr>
        <w:t>.</w:t>
      </w:r>
      <w:r w:rsidR="001D690B" w:rsidRPr="004145B9">
        <w:rPr>
          <w:rFonts w:ascii="Times New Roman" w:eastAsiaTheme="minorHAnsi" w:hAnsi="Times New Roman" w:cs="Times New Roman"/>
          <w:sz w:val="28"/>
          <w:szCs w:val="28"/>
        </w:rPr>
        <w:t xml:space="preserve"> </w:t>
      </w:r>
      <w:r w:rsidR="00EB7D5E" w:rsidRPr="004145B9">
        <w:rPr>
          <w:rFonts w:ascii="Times New Roman" w:eastAsiaTheme="minorHAnsi" w:hAnsi="Times New Roman" w:cs="Times New Roman"/>
          <w:sz w:val="28"/>
          <w:szCs w:val="28"/>
        </w:rPr>
        <w:t>It</w:t>
      </w:r>
      <w:r w:rsidR="0058227E" w:rsidRPr="004145B9">
        <w:rPr>
          <w:rFonts w:ascii="Times New Roman" w:eastAsiaTheme="minorHAnsi" w:hAnsi="Times New Roman" w:cs="Times New Roman"/>
          <w:sz w:val="28"/>
          <w:szCs w:val="28"/>
        </w:rPr>
        <w:t xml:space="preserve"> was not disputed</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that the body of the deceased</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did not sustain any further injuries between 19 and 27 May 2017 when the post-mortem was conducted.</w:t>
      </w:r>
    </w:p>
    <w:p w14:paraId="4016935B" w14:textId="77777777" w:rsidR="0058227E" w:rsidRPr="004145B9" w:rsidRDefault="0058227E" w:rsidP="00DB1848">
      <w:pPr>
        <w:spacing w:after="0" w:line="360" w:lineRule="auto"/>
        <w:jc w:val="both"/>
        <w:rPr>
          <w:rFonts w:ascii="Times New Roman" w:eastAsiaTheme="minorHAnsi" w:hAnsi="Times New Roman" w:cs="Times New Roman"/>
          <w:sz w:val="28"/>
          <w:szCs w:val="28"/>
        </w:rPr>
      </w:pPr>
    </w:p>
    <w:p w14:paraId="3D1FE6F8" w14:textId="10FDD33F" w:rsidR="0058227E" w:rsidRPr="004145B9" w:rsidRDefault="0058227E" w:rsidP="00DB1848">
      <w:pPr>
        <w:spacing w:after="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[6</w:t>
      </w:r>
      <w:r w:rsidR="0091283E" w:rsidRPr="004145B9">
        <w:rPr>
          <w:rFonts w:ascii="Times New Roman" w:eastAsiaTheme="minorHAnsi" w:hAnsi="Times New Roman" w:cs="Times New Roman"/>
          <w:sz w:val="28"/>
          <w:szCs w:val="28"/>
        </w:rPr>
        <w:t>]</w:t>
      </w:r>
      <w:r w:rsidR="0091283E" w:rsidRPr="004145B9">
        <w:rPr>
          <w:rFonts w:ascii="Times New Roman" w:eastAsiaTheme="minorHAnsi" w:hAnsi="Times New Roman" w:cs="Times New Roman"/>
          <w:sz w:val="28"/>
          <w:szCs w:val="28"/>
        </w:rPr>
        <w:tab/>
      </w:r>
      <w:r w:rsidRPr="004145B9">
        <w:rPr>
          <w:rFonts w:ascii="Times New Roman" w:eastAsiaTheme="minorHAnsi" w:hAnsi="Times New Roman" w:cs="Times New Roman"/>
          <w:sz w:val="28"/>
          <w:szCs w:val="28"/>
        </w:rPr>
        <w:t>The crisp</w:t>
      </w:r>
      <w:r w:rsidR="00A44488"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issue before us in this appeal is the</w:t>
      </w:r>
      <w:r w:rsidR="00A44488"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 xml:space="preserve">credibility of </w:t>
      </w:r>
      <w:r w:rsidR="00FD715F" w:rsidRPr="004145B9">
        <w:rPr>
          <w:rFonts w:ascii="Times New Roman" w:eastAsiaTheme="minorHAnsi" w:hAnsi="Times New Roman" w:cs="Times New Roman"/>
          <w:sz w:val="28"/>
          <w:szCs w:val="28"/>
        </w:rPr>
        <w:t xml:space="preserve">a </w:t>
      </w:r>
      <w:r w:rsidRPr="004145B9">
        <w:rPr>
          <w:rFonts w:ascii="Times New Roman" w:eastAsiaTheme="minorHAnsi" w:hAnsi="Times New Roman" w:cs="Times New Roman"/>
          <w:sz w:val="28"/>
          <w:szCs w:val="28"/>
        </w:rPr>
        <w:t>single</w:t>
      </w:r>
      <w:r w:rsidR="00A44488" w:rsidRPr="004145B9">
        <w:rPr>
          <w:rFonts w:ascii="Times New Roman" w:eastAsiaTheme="minorHAnsi" w:hAnsi="Times New Roman" w:cs="Times New Roman"/>
          <w:sz w:val="28"/>
          <w:szCs w:val="28"/>
        </w:rPr>
        <w:t xml:space="preserve"> </w:t>
      </w:r>
      <w:r w:rsidR="0091283E" w:rsidRPr="004145B9">
        <w:rPr>
          <w:rFonts w:ascii="Times New Roman" w:eastAsiaTheme="minorHAnsi" w:hAnsi="Times New Roman" w:cs="Times New Roman"/>
          <w:sz w:val="28"/>
          <w:szCs w:val="28"/>
        </w:rPr>
        <w:t xml:space="preserve">eyewitness, </w:t>
      </w:r>
      <w:r w:rsidRPr="004145B9">
        <w:rPr>
          <w:rFonts w:ascii="Times New Roman" w:eastAsiaTheme="minorHAnsi" w:hAnsi="Times New Roman" w:cs="Times New Roman"/>
          <w:sz w:val="28"/>
          <w:szCs w:val="28"/>
        </w:rPr>
        <w:t>Mr Mpilo Kubeka (Mr Kubeka)</w:t>
      </w:r>
      <w:r w:rsidR="00E11915" w:rsidRPr="004145B9">
        <w:rPr>
          <w:rFonts w:ascii="Times New Roman" w:eastAsiaTheme="minorHAnsi" w:hAnsi="Times New Roman" w:cs="Times New Roman"/>
          <w:sz w:val="28"/>
          <w:szCs w:val="28"/>
        </w:rPr>
        <w:t>,</w:t>
      </w:r>
      <w:r w:rsidRPr="004145B9">
        <w:rPr>
          <w:rFonts w:ascii="Times New Roman" w:eastAsiaTheme="minorHAnsi" w:hAnsi="Times New Roman" w:cs="Times New Roman"/>
          <w:sz w:val="28"/>
          <w:szCs w:val="28"/>
        </w:rPr>
        <w:t xml:space="preserve"> who was seated at</w:t>
      </w:r>
      <w:r w:rsidR="00A44488" w:rsidRPr="004145B9">
        <w:rPr>
          <w:rFonts w:ascii="Times New Roman" w:eastAsiaTheme="minorHAnsi" w:hAnsi="Times New Roman" w:cs="Times New Roman"/>
          <w:sz w:val="28"/>
          <w:szCs w:val="28"/>
        </w:rPr>
        <w:t xml:space="preserve"> </w:t>
      </w:r>
      <w:r w:rsidR="0091283E" w:rsidRPr="004145B9">
        <w:rPr>
          <w:rFonts w:ascii="Times New Roman" w:eastAsiaTheme="minorHAnsi" w:hAnsi="Times New Roman" w:cs="Times New Roman"/>
          <w:sz w:val="28"/>
          <w:szCs w:val="28"/>
        </w:rPr>
        <w:t xml:space="preserve">the corner of Bunyan Street and the N12 </w:t>
      </w:r>
      <w:r w:rsidRPr="004145B9">
        <w:rPr>
          <w:rFonts w:ascii="Times New Roman" w:eastAsiaTheme="minorHAnsi" w:hAnsi="Times New Roman" w:cs="Times New Roman"/>
          <w:sz w:val="28"/>
          <w:szCs w:val="28"/>
        </w:rPr>
        <w:t>highway</w:t>
      </w:r>
      <w:r w:rsidR="00FD715F" w:rsidRPr="004145B9">
        <w:rPr>
          <w:rFonts w:ascii="Times New Roman" w:eastAsiaTheme="minorHAnsi" w:hAnsi="Times New Roman" w:cs="Times New Roman"/>
          <w:sz w:val="28"/>
          <w:szCs w:val="28"/>
        </w:rPr>
        <w:t xml:space="preserve"> when the shoot</w:t>
      </w:r>
      <w:r w:rsidR="00C648FE" w:rsidRPr="004145B9">
        <w:rPr>
          <w:rFonts w:ascii="Times New Roman" w:eastAsiaTheme="minorHAnsi" w:hAnsi="Times New Roman" w:cs="Times New Roman"/>
          <w:sz w:val="28"/>
          <w:szCs w:val="28"/>
        </w:rPr>
        <w:t>ing took plac</w:t>
      </w:r>
      <w:r w:rsidR="00FD715F" w:rsidRPr="004145B9">
        <w:rPr>
          <w:rFonts w:ascii="Times New Roman" w:eastAsiaTheme="minorHAnsi" w:hAnsi="Times New Roman" w:cs="Times New Roman"/>
          <w:sz w:val="28"/>
          <w:szCs w:val="28"/>
        </w:rPr>
        <w:t xml:space="preserve">e. </w:t>
      </w:r>
      <w:r w:rsidRPr="004145B9">
        <w:rPr>
          <w:rFonts w:ascii="Times New Roman" w:eastAsiaTheme="minorHAnsi" w:hAnsi="Times New Roman" w:cs="Times New Roman"/>
          <w:sz w:val="28"/>
          <w:szCs w:val="28"/>
        </w:rPr>
        <w:t>His initial testimony was that he observed two boys walking towards the school situated in Farra</w:t>
      </w:r>
      <w:r w:rsidR="00DC775C" w:rsidRPr="004145B9">
        <w:rPr>
          <w:rFonts w:ascii="Times New Roman" w:eastAsiaTheme="minorHAnsi" w:hAnsi="Times New Roman" w:cs="Times New Roman"/>
          <w:sz w:val="28"/>
          <w:szCs w:val="28"/>
        </w:rPr>
        <w:t>r</w:t>
      </w:r>
      <w:r w:rsidRPr="004145B9">
        <w:rPr>
          <w:rFonts w:ascii="Times New Roman" w:eastAsiaTheme="minorHAnsi" w:hAnsi="Times New Roman" w:cs="Times New Roman"/>
          <w:sz w:val="28"/>
          <w:szCs w:val="28"/>
        </w:rPr>
        <w:t>m</w:t>
      </w:r>
      <w:r w:rsidR="00DC775C" w:rsidRPr="004145B9">
        <w:rPr>
          <w:rFonts w:ascii="Times New Roman" w:eastAsiaTheme="minorHAnsi" w:hAnsi="Times New Roman" w:cs="Times New Roman"/>
          <w:sz w:val="28"/>
          <w:szCs w:val="28"/>
        </w:rPr>
        <w:t>e</w:t>
      </w:r>
      <w:r w:rsidRPr="004145B9">
        <w:rPr>
          <w:rFonts w:ascii="Times New Roman" w:eastAsiaTheme="minorHAnsi" w:hAnsi="Times New Roman" w:cs="Times New Roman"/>
          <w:sz w:val="28"/>
          <w:szCs w:val="28"/>
        </w:rPr>
        <w:t>re. After thirty minutes, he noticed</w:t>
      </w:r>
      <w:r w:rsidR="00A44488"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the</w:t>
      </w:r>
      <w:r w:rsidR="00A44488"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two</w:t>
      </w:r>
      <w:r w:rsidR="00A44488" w:rsidRPr="004145B9">
        <w:rPr>
          <w:rFonts w:ascii="Times New Roman" w:eastAsiaTheme="minorHAnsi" w:hAnsi="Times New Roman" w:cs="Times New Roman"/>
          <w:sz w:val="28"/>
          <w:szCs w:val="28"/>
        </w:rPr>
        <w:t xml:space="preserve"> </w:t>
      </w:r>
      <w:r w:rsidR="0091283E" w:rsidRPr="004145B9">
        <w:rPr>
          <w:rFonts w:ascii="Times New Roman" w:eastAsiaTheme="minorHAnsi" w:hAnsi="Times New Roman" w:cs="Times New Roman"/>
          <w:sz w:val="28"/>
          <w:szCs w:val="28"/>
        </w:rPr>
        <w:t>boys running away</w:t>
      </w:r>
      <w:r w:rsidR="00DB1848" w:rsidRPr="004145B9">
        <w:rPr>
          <w:rFonts w:ascii="Times New Roman" w:eastAsiaTheme="minorHAnsi" w:hAnsi="Times New Roman" w:cs="Times New Roman"/>
          <w:sz w:val="28"/>
          <w:szCs w:val="28"/>
        </w:rPr>
        <w:t>,</w:t>
      </w:r>
      <w:r w:rsidR="00DC775C"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being pursued by the appellant</w:t>
      </w:r>
      <w:r w:rsidR="00DC775C" w:rsidRPr="004145B9">
        <w:rPr>
          <w:rFonts w:ascii="Times New Roman" w:eastAsiaTheme="minorHAnsi" w:hAnsi="Times New Roman" w:cs="Times New Roman"/>
          <w:sz w:val="28"/>
          <w:szCs w:val="28"/>
        </w:rPr>
        <w:t>,</w:t>
      </w:r>
      <w:r w:rsidRPr="004145B9">
        <w:rPr>
          <w:rFonts w:ascii="Times New Roman" w:eastAsiaTheme="minorHAnsi" w:hAnsi="Times New Roman" w:cs="Times New Roman"/>
          <w:sz w:val="28"/>
          <w:szCs w:val="28"/>
        </w:rPr>
        <w:t xml:space="preserve"> </w:t>
      </w:r>
      <w:r w:rsidR="009738E0" w:rsidRPr="004145B9">
        <w:rPr>
          <w:rFonts w:ascii="Times New Roman" w:eastAsiaTheme="minorHAnsi" w:hAnsi="Times New Roman" w:cs="Times New Roman"/>
          <w:sz w:val="28"/>
          <w:szCs w:val="28"/>
        </w:rPr>
        <w:t xml:space="preserve">who was driving </w:t>
      </w:r>
      <w:r w:rsidR="00DB1848" w:rsidRPr="004145B9">
        <w:rPr>
          <w:rFonts w:ascii="Times New Roman" w:eastAsiaTheme="minorHAnsi" w:hAnsi="Times New Roman" w:cs="Times New Roman"/>
          <w:sz w:val="28"/>
          <w:szCs w:val="28"/>
        </w:rPr>
        <w:t xml:space="preserve">a </w:t>
      </w:r>
      <w:r w:rsidRPr="004145B9">
        <w:rPr>
          <w:rFonts w:ascii="Times New Roman" w:eastAsiaTheme="minorHAnsi" w:hAnsi="Times New Roman" w:cs="Times New Roman"/>
          <w:sz w:val="28"/>
          <w:szCs w:val="28"/>
        </w:rPr>
        <w:t xml:space="preserve">police vehicle. </w:t>
      </w:r>
      <w:r w:rsidR="003B185F" w:rsidRPr="004145B9">
        <w:rPr>
          <w:rFonts w:ascii="Times New Roman" w:eastAsiaTheme="minorHAnsi" w:hAnsi="Times New Roman" w:cs="Times New Roman"/>
          <w:sz w:val="28"/>
          <w:szCs w:val="28"/>
        </w:rPr>
        <w:t>According to Mr Kubeka</w:t>
      </w:r>
      <w:r w:rsidR="00DC775C" w:rsidRPr="004145B9">
        <w:rPr>
          <w:rFonts w:ascii="Times New Roman" w:eastAsiaTheme="minorHAnsi" w:hAnsi="Times New Roman" w:cs="Times New Roman"/>
          <w:sz w:val="28"/>
          <w:szCs w:val="28"/>
        </w:rPr>
        <w:t>,</w:t>
      </w:r>
      <w:r w:rsidR="003B185F" w:rsidRPr="004145B9">
        <w:rPr>
          <w:rFonts w:ascii="Times New Roman" w:eastAsiaTheme="minorHAnsi" w:hAnsi="Times New Roman" w:cs="Times New Roman"/>
          <w:sz w:val="28"/>
          <w:szCs w:val="28"/>
        </w:rPr>
        <w:t xml:space="preserve"> he did not see the two alleged robbers in possession of a firearm. He denied that the deceased or the other alleged robber fired any shots at the appellant. </w:t>
      </w:r>
      <w:r w:rsidR="00EB7D5E" w:rsidRPr="004145B9">
        <w:rPr>
          <w:rFonts w:ascii="Times New Roman" w:eastAsiaTheme="minorHAnsi" w:hAnsi="Times New Roman" w:cs="Times New Roman"/>
          <w:sz w:val="28"/>
          <w:szCs w:val="28"/>
        </w:rPr>
        <w:t xml:space="preserve">He said </w:t>
      </w:r>
      <w:r w:rsidRPr="004145B9">
        <w:rPr>
          <w:rFonts w:ascii="Times New Roman" w:eastAsiaTheme="minorHAnsi" w:hAnsi="Times New Roman" w:cs="Times New Roman"/>
          <w:sz w:val="28"/>
          <w:szCs w:val="28"/>
        </w:rPr>
        <w:t>that the appellant fired the first gunshot,</w:t>
      </w:r>
      <w:r w:rsidR="003B185F" w:rsidRPr="004145B9">
        <w:rPr>
          <w:rFonts w:ascii="Times New Roman" w:eastAsiaTheme="minorHAnsi" w:hAnsi="Times New Roman" w:cs="Times New Roman"/>
          <w:sz w:val="28"/>
          <w:szCs w:val="28"/>
        </w:rPr>
        <w:t xml:space="preserve"> and a further gunshot when the two alleged robbers were running up the embankment</w:t>
      </w:r>
      <w:r w:rsidR="00B924ED" w:rsidRPr="004145B9">
        <w:rPr>
          <w:rFonts w:ascii="Times New Roman" w:eastAsiaTheme="minorHAnsi" w:hAnsi="Times New Roman" w:cs="Times New Roman"/>
          <w:sz w:val="28"/>
          <w:szCs w:val="28"/>
        </w:rPr>
        <w:t xml:space="preserve"> along the railway line, </w:t>
      </w:r>
      <w:r w:rsidR="000034C4" w:rsidRPr="004145B9">
        <w:rPr>
          <w:rFonts w:ascii="Times New Roman" w:eastAsiaTheme="minorHAnsi" w:hAnsi="Times New Roman" w:cs="Times New Roman"/>
          <w:sz w:val="28"/>
          <w:szCs w:val="28"/>
        </w:rPr>
        <w:t>fatally shooting the deceased who fell to the ground</w:t>
      </w:r>
      <w:r w:rsidR="00676070" w:rsidRPr="004145B9">
        <w:rPr>
          <w:rFonts w:ascii="Times New Roman" w:eastAsiaTheme="minorHAnsi" w:hAnsi="Times New Roman" w:cs="Times New Roman"/>
          <w:sz w:val="28"/>
          <w:szCs w:val="28"/>
        </w:rPr>
        <w:t xml:space="preserve">. </w:t>
      </w:r>
      <w:r w:rsidR="00B72BD0" w:rsidRPr="004145B9">
        <w:rPr>
          <w:rFonts w:ascii="Times New Roman" w:eastAsiaTheme="minorHAnsi" w:hAnsi="Times New Roman" w:cs="Times New Roman"/>
          <w:sz w:val="28"/>
          <w:szCs w:val="28"/>
        </w:rPr>
        <w:t>Mr Kubeka</w:t>
      </w:r>
      <w:r w:rsidRPr="004145B9">
        <w:rPr>
          <w:rFonts w:ascii="Times New Roman" w:eastAsiaTheme="minorHAnsi" w:hAnsi="Times New Roman" w:cs="Times New Roman"/>
          <w:sz w:val="28"/>
          <w:szCs w:val="28"/>
        </w:rPr>
        <w:t xml:space="preserve"> said that</w:t>
      </w:r>
      <w:r w:rsidR="00340C76"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the appellant</w:t>
      </w:r>
      <w:r w:rsidR="00340C76"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 xml:space="preserve">is known to him </w:t>
      </w:r>
      <w:r w:rsidR="00340C76" w:rsidRPr="004145B9">
        <w:rPr>
          <w:rFonts w:ascii="Times New Roman" w:eastAsiaTheme="minorHAnsi" w:hAnsi="Times New Roman" w:cs="Times New Roman"/>
          <w:sz w:val="28"/>
          <w:szCs w:val="28"/>
        </w:rPr>
        <w:t>and</w:t>
      </w:r>
      <w:r w:rsidRPr="004145B9">
        <w:rPr>
          <w:rFonts w:ascii="Times New Roman" w:eastAsiaTheme="minorHAnsi" w:hAnsi="Times New Roman" w:cs="Times New Roman"/>
          <w:sz w:val="28"/>
          <w:szCs w:val="28"/>
        </w:rPr>
        <w:t xml:space="preserve"> has on occasion</w:t>
      </w:r>
      <w:r w:rsidR="00340C76"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provided</w:t>
      </w:r>
      <w:r w:rsidR="00340C76" w:rsidRPr="004145B9">
        <w:rPr>
          <w:rFonts w:ascii="Times New Roman" w:eastAsiaTheme="minorHAnsi" w:hAnsi="Times New Roman" w:cs="Times New Roman"/>
          <w:sz w:val="28"/>
          <w:szCs w:val="28"/>
        </w:rPr>
        <w:t xml:space="preserve"> </w:t>
      </w:r>
      <w:r w:rsidR="0091283E" w:rsidRPr="004145B9">
        <w:rPr>
          <w:rFonts w:ascii="Times New Roman" w:eastAsiaTheme="minorHAnsi" w:hAnsi="Times New Roman" w:cs="Times New Roman"/>
          <w:sz w:val="28"/>
          <w:szCs w:val="28"/>
        </w:rPr>
        <w:t>him with food.</w:t>
      </w:r>
      <w:r w:rsidRPr="004145B9">
        <w:rPr>
          <w:rFonts w:ascii="Times New Roman" w:eastAsiaTheme="minorHAnsi" w:hAnsi="Times New Roman" w:cs="Times New Roman"/>
          <w:sz w:val="28"/>
          <w:szCs w:val="28"/>
        </w:rPr>
        <w:t xml:space="preserve"> He </w:t>
      </w:r>
      <w:r w:rsidR="00260C11" w:rsidRPr="004145B9">
        <w:rPr>
          <w:rFonts w:ascii="Times New Roman" w:eastAsiaTheme="minorHAnsi" w:hAnsi="Times New Roman" w:cs="Times New Roman"/>
          <w:sz w:val="28"/>
          <w:szCs w:val="28"/>
        </w:rPr>
        <w:t>disputed the</w:t>
      </w:r>
      <w:r w:rsidRPr="004145B9">
        <w:rPr>
          <w:rFonts w:ascii="Times New Roman" w:eastAsiaTheme="minorHAnsi" w:hAnsi="Times New Roman" w:cs="Times New Roman"/>
          <w:sz w:val="28"/>
          <w:szCs w:val="28"/>
        </w:rPr>
        <w:t xml:space="preserve"> appellant</w:t>
      </w:r>
      <w:r w:rsidR="00DB1848" w:rsidRPr="004145B9">
        <w:rPr>
          <w:rFonts w:ascii="Times New Roman" w:eastAsiaTheme="minorHAnsi" w:hAnsi="Times New Roman" w:cs="Times New Roman"/>
          <w:sz w:val="28"/>
          <w:szCs w:val="28"/>
        </w:rPr>
        <w:t>’s version that</w:t>
      </w:r>
      <w:r w:rsidR="00340C76" w:rsidRPr="004145B9">
        <w:rPr>
          <w:rFonts w:ascii="Times New Roman" w:eastAsiaTheme="minorHAnsi" w:hAnsi="Times New Roman" w:cs="Times New Roman"/>
          <w:sz w:val="28"/>
          <w:szCs w:val="28"/>
        </w:rPr>
        <w:t xml:space="preserve"> </w:t>
      </w:r>
      <w:r w:rsidR="001F66AF" w:rsidRPr="004145B9">
        <w:rPr>
          <w:rFonts w:ascii="Times New Roman" w:eastAsiaTheme="minorHAnsi" w:hAnsi="Times New Roman" w:cs="Times New Roman"/>
          <w:sz w:val="28"/>
          <w:szCs w:val="28"/>
        </w:rPr>
        <w:t xml:space="preserve">he </w:t>
      </w:r>
      <w:r w:rsidRPr="004145B9">
        <w:rPr>
          <w:rFonts w:ascii="Times New Roman" w:eastAsiaTheme="minorHAnsi" w:hAnsi="Times New Roman" w:cs="Times New Roman"/>
          <w:sz w:val="28"/>
          <w:szCs w:val="28"/>
        </w:rPr>
        <w:t>fired</w:t>
      </w:r>
      <w:r w:rsidR="00340C76" w:rsidRPr="004145B9">
        <w:rPr>
          <w:rFonts w:ascii="Times New Roman" w:eastAsiaTheme="minorHAnsi" w:hAnsi="Times New Roman" w:cs="Times New Roman"/>
          <w:sz w:val="28"/>
          <w:szCs w:val="28"/>
        </w:rPr>
        <w:t xml:space="preserve"> </w:t>
      </w:r>
      <w:r w:rsidR="006240C4" w:rsidRPr="004145B9">
        <w:rPr>
          <w:rFonts w:ascii="Times New Roman" w:eastAsiaTheme="minorHAnsi" w:hAnsi="Times New Roman" w:cs="Times New Roman"/>
          <w:sz w:val="28"/>
          <w:szCs w:val="28"/>
        </w:rPr>
        <w:t>gunshots</w:t>
      </w:r>
      <w:r w:rsidRPr="004145B9">
        <w:rPr>
          <w:rFonts w:ascii="Times New Roman" w:eastAsiaTheme="minorHAnsi" w:hAnsi="Times New Roman" w:cs="Times New Roman"/>
          <w:sz w:val="28"/>
          <w:szCs w:val="28"/>
        </w:rPr>
        <w:t xml:space="preserve"> at the alleged robbers in self-defence.</w:t>
      </w:r>
    </w:p>
    <w:p w14:paraId="0BEC9AED" w14:textId="77777777" w:rsidR="0058227E" w:rsidRPr="004145B9" w:rsidRDefault="0058227E" w:rsidP="00DB1848">
      <w:pPr>
        <w:spacing w:after="0" w:line="360" w:lineRule="auto"/>
        <w:jc w:val="both"/>
        <w:rPr>
          <w:rFonts w:ascii="Times New Roman" w:eastAsiaTheme="minorHAnsi" w:hAnsi="Times New Roman" w:cs="Times New Roman"/>
          <w:sz w:val="28"/>
          <w:szCs w:val="28"/>
        </w:rPr>
      </w:pPr>
    </w:p>
    <w:p w14:paraId="0F003FFB" w14:textId="311C7BFA" w:rsidR="0058227E" w:rsidRPr="004145B9" w:rsidRDefault="0058227E" w:rsidP="00DB1848">
      <w:pPr>
        <w:spacing w:after="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[7]</w:t>
      </w:r>
      <w:r w:rsidRPr="004145B9">
        <w:rPr>
          <w:rFonts w:ascii="Times New Roman" w:eastAsiaTheme="minorHAnsi" w:hAnsi="Times New Roman" w:cs="Times New Roman"/>
          <w:sz w:val="28"/>
          <w:szCs w:val="28"/>
        </w:rPr>
        <w:tab/>
        <w:t>Mr Kubeka</w:t>
      </w:r>
      <w:r w:rsidR="00340C76"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denied that he was coached by Ms Bur</w:t>
      </w:r>
      <w:r w:rsidR="0091283E" w:rsidRPr="004145B9">
        <w:rPr>
          <w:rFonts w:ascii="Times New Roman" w:eastAsiaTheme="minorHAnsi" w:hAnsi="Times New Roman" w:cs="Times New Roman"/>
          <w:sz w:val="28"/>
          <w:szCs w:val="28"/>
        </w:rPr>
        <w:t xml:space="preserve">nell Motshepe (Ms Motshepe), </w:t>
      </w:r>
      <w:r w:rsidR="00F4639D" w:rsidRPr="004145B9">
        <w:rPr>
          <w:rFonts w:ascii="Times New Roman" w:eastAsiaTheme="minorHAnsi" w:hAnsi="Times New Roman" w:cs="Times New Roman"/>
          <w:sz w:val="28"/>
          <w:szCs w:val="28"/>
        </w:rPr>
        <w:t xml:space="preserve">who is </w:t>
      </w:r>
      <w:r w:rsidR="0091283E" w:rsidRPr="004145B9">
        <w:rPr>
          <w:rFonts w:ascii="Times New Roman" w:eastAsiaTheme="minorHAnsi" w:hAnsi="Times New Roman" w:cs="Times New Roman"/>
          <w:sz w:val="28"/>
          <w:szCs w:val="28"/>
        </w:rPr>
        <w:t xml:space="preserve">a </w:t>
      </w:r>
      <w:r w:rsidR="00972145" w:rsidRPr="004145B9">
        <w:rPr>
          <w:rFonts w:ascii="Times New Roman" w:eastAsiaTheme="minorHAnsi" w:hAnsi="Times New Roman" w:cs="Times New Roman"/>
          <w:sz w:val="28"/>
          <w:szCs w:val="28"/>
        </w:rPr>
        <w:t>constable</w:t>
      </w:r>
      <w:r w:rsidR="00F30B8F" w:rsidRPr="004145B9">
        <w:rPr>
          <w:rFonts w:ascii="Times New Roman" w:eastAsiaTheme="minorHAnsi" w:hAnsi="Times New Roman" w:cs="Times New Roman"/>
          <w:sz w:val="28"/>
          <w:szCs w:val="28"/>
        </w:rPr>
        <w:t>,</w:t>
      </w:r>
      <w:r w:rsidR="00972145"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to</w:t>
      </w:r>
      <w:r w:rsidR="00EB7D5E" w:rsidRPr="004145B9">
        <w:rPr>
          <w:rFonts w:ascii="Times New Roman" w:eastAsiaTheme="minorHAnsi" w:hAnsi="Times New Roman" w:cs="Times New Roman"/>
          <w:sz w:val="28"/>
          <w:szCs w:val="28"/>
        </w:rPr>
        <w:t xml:space="preserve"> tailor his</w:t>
      </w:r>
      <w:r w:rsidRPr="004145B9">
        <w:rPr>
          <w:rFonts w:ascii="Times New Roman" w:eastAsiaTheme="minorHAnsi" w:hAnsi="Times New Roman" w:cs="Times New Roman"/>
          <w:sz w:val="28"/>
          <w:szCs w:val="28"/>
        </w:rPr>
        <w:t xml:space="preserve"> evidence in order to</w:t>
      </w:r>
      <w:r w:rsidR="00340C76"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implicate the appellan</w:t>
      </w:r>
      <w:r w:rsidR="00EB7D5E" w:rsidRPr="004145B9">
        <w:rPr>
          <w:rFonts w:ascii="Times New Roman" w:eastAsiaTheme="minorHAnsi" w:hAnsi="Times New Roman" w:cs="Times New Roman"/>
          <w:sz w:val="28"/>
          <w:szCs w:val="28"/>
        </w:rPr>
        <w:t xml:space="preserve">t in the commission </w:t>
      </w:r>
      <w:r w:rsidR="00846682" w:rsidRPr="004145B9">
        <w:rPr>
          <w:rFonts w:ascii="Times New Roman" w:eastAsiaTheme="minorHAnsi" w:hAnsi="Times New Roman" w:cs="Times New Roman"/>
          <w:sz w:val="28"/>
          <w:szCs w:val="28"/>
        </w:rPr>
        <w:t xml:space="preserve">of the </w:t>
      </w:r>
      <w:r w:rsidR="00EB7D5E" w:rsidRPr="004145B9">
        <w:rPr>
          <w:rFonts w:ascii="Times New Roman" w:eastAsiaTheme="minorHAnsi" w:hAnsi="Times New Roman" w:cs="Times New Roman"/>
          <w:sz w:val="28"/>
          <w:szCs w:val="28"/>
        </w:rPr>
        <w:t>murder.</w:t>
      </w:r>
      <w:r w:rsidR="00F21678"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Ms Motshepe</w:t>
      </w:r>
      <w:r w:rsidR="00EB7D5E" w:rsidRPr="004145B9">
        <w:rPr>
          <w:rFonts w:ascii="Times New Roman" w:eastAsiaTheme="minorHAnsi" w:hAnsi="Times New Roman" w:cs="Times New Roman"/>
          <w:sz w:val="28"/>
          <w:szCs w:val="28"/>
        </w:rPr>
        <w:t>, who</w:t>
      </w:r>
      <w:r w:rsidR="0021254C" w:rsidRPr="004145B9">
        <w:rPr>
          <w:rFonts w:ascii="Times New Roman" w:eastAsiaTheme="minorHAnsi" w:hAnsi="Times New Roman" w:cs="Times New Roman"/>
          <w:sz w:val="28"/>
          <w:szCs w:val="28"/>
        </w:rPr>
        <w:t xml:space="preserve"> </w:t>
      </w:r>
      <w:r w:rsidR="00972145" w:rsidRPr="004145B9">
        <w:rPr>
          <w:rFonts w:ascii="Times New Roman" w:eastAsiaTheme="minorHAnsi" w:hAnsi="Times New Roman" w:cs="Times New Roman"/>
          <w:sz w:val="28"/>
          <w:szCs w:val="28"/>
        </w:rPr>
        <w:t xml:space="preserve">was </w:t>
      </w:r>
      <w:r w:rsidRPr="004145B9">
        <w:rPr>
          <w:rFonts w:ascii="Times New Roman" w:eastAsiaTheme="minorHAnsi" w:hAnsi="Times New Roman" w:cs="Times New Roman"/>
          <w:sz w:val="28"/>
          <w:szCs w:val="28"/>
        </w:rPr>
        <w:t xml:space="preserve">attached to the Internal Affairs Unit of the EMPD attended the scene of the crime </w:t>
      </w:r>
      <w:r w:rsidR="00EB7D5E" w:rsidRPr="004145B9">
        <w:rPr>
          <w:rFonts w:ascii="Times New Roman" w:eastAsiaTheme="minorHAnsi" w:hAnsi="Times New Roman" w:cs="Times New Roman"/>
          <w:sz w:val="28"/>
          <w:szCs w:val="28"/>
        </w:rPr>
        <w:t>with</w:t>
      </w:r>
      <w:r w:rsidRPr="004145B9">
        <w:rPr>
          <w:rFonts w:ascii="Times New Roman" w:eastAsiaTheme="minorHAnsi" w:hAnsi="Times New Roman" w:cs="Times New Roman"/>
          <w:sz w:val="28"/>
          <w:szCs w:val="28"/>
        </w:rPr>
        <w:t xml:space="preserve"> Mr </w:t>
      </w:r>
      <w:r w:rsidRPr="004145B9">
        <w:rPr>
          <w:rFonts w:ascii="Times New Roman" w:eastAsiaTheme="minorHAnsi" w:hAnsi="Times New Roman" w:cs="Times New Roman"/>
          <w:sz w:val="28"/>
          <w:szCs w:val="28"/>
        </w:rPr>
        <w:lastRenderedPageBreak/>
        <w:t>Thulani Magagula (Mr Magagula),</w:t>
      </w:r>
      <w:r w:rsidR="00340C76"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the</w:t>
      </w:r>
      <w:r w:rsidR="00EB7D5E" w:rsidRPr="004145B9">
        <w:rPr>
          <w:rFonts w:ascii="Times New Roman" w:eastAsiaTheme="minorHAnsi" w:hAnsi="Times New Roman" w:cs="Times New Roman"/>
          <w:sz w:val="28"/>
          <w:szCs w:val="28"/>
        </w:rPr>
        <w:t xml:space="preserve"> investigating officer</w:t>
      </w:r>
      <w:r w:rsidR="00972145" w:rsidRPr="004145B9">
        <w:rPr>
          <w:rFonts w:ascii="Times New Roman" w:eastAsiaTheme="minorHAnsi" w:hAnsi="Times New Roman" w:cs="Times New Roman"/>
          <w:sz w:val="28"/>
          <w:szCs w:val="28"/>
        </w:rPr>
        <w:t xml:space="preserve"> who was </w:t>
      </w:r>
      <w:r w:rsidRPr="004145B9">
        <w:rPr>
          <w:rFonts w:ascii="Times New Roman" w:eastAsiaTheme="minorHAnsi" w:hAnsi="Times New Roman" w:cs="Times New Roman"/>
          <w:sz w:val="28"/>
          <w:szCs w:val="28"/>
        </w:rPr>
        <w:t>attached to</w:t>
      </w:r>
      <w:r w:rsidR="00340C76" w:rsidRPr="004145B9">
        <w:rPr>
          <w:rFonts w:ascii="Times New Roman" w:eastAsiaTheme="minorHAnsi" w:hAnsi="Times New Roman" w:cs="Times New Roman"/>
          <w:sz w:val="28"/>
          <w:szCs w:val="28"/>
        </w:rPr>
        <w:t xml:space="preserve"> </w:t>
      </w:r>
      <w:r w:rsidRPr="004145B9">
        <w:rPr>
          <w:rFonts w:ascii="Times New Roman" w:eastAsiaTheme="minorHAnsi" w:hAnsi="Times New Roman" w:cs="Times New Roman"/>
          <w:sz w:val="28"/>
          <w:szCs w:val="28"/>
        </w:rPr>
        <w:t xml:space="preserve">the Independent Police Investigative Directorate (IPID), Benoni. Other officers on the scene included Mr Naicker, the detective sergeant </w:t>
      </w:r>
      <w:r w:rsidR="0021254C" w:rsidRPr="004145B9">
        <w:rPr>
          <w:rFonts w:ascii="Times New Roman" w:eastAsiaTheme="minorHAnsi" w:hAnsi="Times New Roman" w:cs="Times New Roman"/>
          <w:sz w:val="28"/>
          <w:szCs w:val="28"/>
        </w:rPr>
        <w:t xml:space="preserve">who was </w:t>
      </w:r>
      <w:r w:rsidRPr="004145B9">
        <w:rPr>
          <w:rFonts w:ascii="Times New Roman" w:eastAsiaTheme="minorHAnsi" w:hAnsi="Times New Roman" w:cs="Times New Roman"/>
          <w:sz w:val="28"/>
          <w:szCs w:val="28"/>
        </w:rPr>
        <w:t>attached to the EMPD</w:t>
      </w:r>
      <w:r w:rsidR="0021254C" w:rsidRPr="004145B9">
        <w:rPr>
          <w:rFonts w:ascii="Times New Roman" w:eastAsiaTheme="minorHAnsi" w:hAnsi="Times New Roman" w:cs="Times New Roman"/>
          <w:sz w:val="28"/>
          <w:szCs w:val="28"/>
        </w:rPr>
        <w:t xml:space="preserve">, </w:t>
      </w:r>
      <w:r w:rsidR="00F30B8F" w:rsidRPr="004145B9">
        <w:rPr>
          <w:rFonts w:ascii="Times New Roman" w:eastAsiaTheme="minorHAnsi" w:hAnsi="Times New Roman" w:cs="Times New Roman"/>
          <w:sz w:val="28"/>
          <w:szCs w:val="28"/>
        </w:rPr>
        <w:t xml:space="preserve">who was tasked </w:t>
      </w:r>
      <w:r w:rsidRPr="004145B9">
        <w:rPr>
          <w:rFonts w:ascii="Times New Roman" w:eastAsiaTheme="minorHAnsi" w:hAnsi="Times New Roman" w:cs="Times New Roman"/>
          <w:sz w:val="28"/>
          <w:szCs w:val="28"/>
        </w:rPr>
        <w:t>to investigate the crime.</w:t>
      </w:r>
      <w:r w:rsidRPr="004145B9">
        <w:rPr>
          <w:rFonts w:ascii="Times New Roman" w:eastAsiaTheme="minorHAnsi" w:hAnsi="Times New Roman" w:cs="Times New Roman"/>
          <w:strike/>
          <w:sz w:val="28"/>
          <w:szCs w:val="28"/>
        </w:rPr>
        <w:t xml:space="preserve"> </w:t>
      </w:r>
    </w:p>
    <w:p w14:paraId="17A33769" w14:textId="77777777" w:rsidR="0058227E" w:rsidRPr="004145B9" w:rsidRDefault="0058227E" w:rsidP="00DB1848">
      <w:pPr>
        <w:spacing w:after="0" w:line="360" w:lineRule="auto"/>
        <w:jc w:val="both"/>
        <w:rPr>
          <w:rFonts w:ascii="Times New Roman" w:eastAsiaTheme="minorHAnsi" w:hAnsi="Times New Roman" w:cs="Times New Roman"/>
          <w:sz w:val="28"/>
          <w:szCs w:val="28"/>
        </w:rPr>
      </w:pPr>
    </w:p>
    <w:p w14:paraId="6B916599" w14:textId="77777777" w:rsidR="0058227E" w:rsidRPr="004145B9" w:rsidRDefault="00F21678" w:rsidP="00DB1848">
      <w:pPr>
        <w:spacing w:after="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[8</w:t>
      </w:r>
      <w:r w:rsidR="0058227E"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ab/>
        <w:t>Ms Motshepe testified that Mr Kubeka</w:t>
      </w:r>
      <w:r w:rsidR="003B244E" w:rsidRPr="004145B9">
        <w:rPr>
          <w:rFonts w:ascii="Times New Roman" w:eastAsiaTheme="minorHAnsi" w:hAnsi="Times New Roman" w:cs="Times New Roman"/>
          <w:sz w:val="28"/>
          <w:szCs w:val="28"/>
        </w:rPr>
        <w:t xml:space="preserve"> told her</w:t>
      </w:r>
      <w:r w:rsidR="0058227E" w:rsidRPr="004145B9">
        <w:rPr>
          <w:rFonts w:ascii="Times New Roman" w:eastAsiaTheme="minorHAnsi" w:hAnsi="Times New Roman" w:cs="Times New Roman"/>
          <w:sz w:val="28"/>
          <w:szCs w:val="28"/>
        </w:rPr>
        <w:t xml:space="preserve"> that the deceased and his companion did not have a firearm in their possession</w:t>
      </w:r>
      <w:r w:rsidR="003B244E" w:rsidRPr="004145B9">
        <w:rPr>
          <w:rFonts w:ascii="Times New Roman" w:eastAsiaTheme="minorHAnsi" w:hAnsi="Times New Roman" w:cs="Times New Roman"/>
          <w:color w:val="000000" w:themeColor="text1"/>
          <w:sz w:val="28"/>
          <w:szCs w:val="28"/>
        </w:rPr>
        <w:t xml:space="preserve">, </w:t>
      </w:r>
      <w:r w:rsidR="0058227E" w:rsidRPr="004145B9">
        <w:rPr>
          <w:rFonts w:ascii="Times New Roman" w:eastAsiaTheme="minorHAnsi" w:hAnsi="Times New Roman" w:cs="Times New Roman"/>
          <w:sz w:val="28"/>
          <w:szCs w:val="28"/>
        </w:rPr>
        <w:t>including the time when the deceased was shot at and fell near the railway line</w:t>
      </w:r>
      <w:r w:rsidR="0091283E" w:rsidRPr="004145B9">
        <w:rPr>
          <w:rFonts w:ascii="Times New Roman" w:eastAsiaTheme="minorHAnsi" w:hAnsi="Times New Roman" w:cs="Times New Roman"/>
          <w:sz w:val="28"/>
          <w:szCs w:val="28"/>
        </w:rPr>
        <w:t xml:space="preserve">. </w:t>
      </w:r>
      <w:r w:rsidR="003B244E" w:rsidRPr="004145B9">
        <w:rPr>
          <w:rFonts w:ascii="Times New Roman" w:eastAsiaTheme="minorHAnsi" w:hAnsi="Times New Roman" w:cs="Times New Roman"/>
          <w:sz w:val="28"/>
          <w:szCs w:val="28"/>
        </w:rPr>
        <w:t>She found half</w:t>
      </w:r>
      <w:r w:rsidR="00F40338" w:rsidRPr="004145B9">
        <w:rPr>
          <w:rFonts w:ascii="Times New Roman" w:eastAsiaTheme="minorHAnsi" w:hAnsi="Times New Roman" w:cs="Times New Roman"/>
          <w:sz w:val="28"/>
          <w:szCs w:val="28"/>
        </w:rPr>
        <w:t xml:space="preserve"> a</w:t>
      </w:r>
      <w:r w:rsidR="003B244E" w:rsidRPr="004145B9">
        <w:rPr>
          <w:rFonts w:ascii="Times New Roman" w:eastAsiaTheme="minorHAnsi" w:hAnsi="Times New Roman" w:cs="Times New Roman"/>
          <w:sz w:val="28"/>
          <w:szCs w:val="28"/>
        </w:rPr>
        <w:t xml:space="preserve"> brick lying on the bonnet of the appellant</w:t>
      </w:r>
      <w:r w:rsidR="00E003AE" w:rsidRPr="004145B9">
        <w:rPr>
          <w:rFonts w:ascii="Times New Roman" w:eastAsiaTheme="minorHAnsi" w:hAnsi="Times New Roman" w:cs="Times New Roman"/>
          <w:sz w:val="28"/>
          <w:szCs w:val="28"/>
        </w:rPr>
        <w:t>’s motor vehicle, whi</w:t>
      </w:r>
      <w:r w:rsidR="00BA1EBF" w:rsidRPr="004145B9">
        <w:rPr>
          <w:rFonts w:ascii="Times New Roman" w:eastAsiaTheme="minorHAnsi" w:hAnsi="Times New Roman" w:cs="Times New Roman"/>
          <w:sz w:val="28"/>
          <w:szCs w:val="28"/>
        </w:rPr>
        <w:t>ch was denied by the appellant and her colleague, Mr Magagula.</w:t>
      </w:r>
      <w:r w:rsidR="003B244E" w:rsidRPr="004145B9">
        <w:rPr>
          <w:rFonts w:ascii="Times New Roman" w:eastAsiaTheme="minorHAnsi" w:hAnsi="Times New Roman" w:cs="Times New Roman"/>
          <w:sz w:val="28"/>
          <w:szCs w:val="28"/>
        </w:rPr>
        <w:t xml:space="preserve"> Because</w:t>
      </w:r>
      <w:r w:rsidR="00EB7D5E" w:rsidRPr="004145B9">
        <w:rPr>
          <w:rFonts w:ascii="Times New Roman" w:eastAsiaTheme="minorHAnsi" w:hAnsi="Times New Roman" w:cs="Times New Roman"/>
          <w:sz w:val="28"/>
          <w:szCs w:val="28"/>
        </w:rPr>
        <w:t xml:space="preserve"> no one wanted to get involved</w:t>
      </w:r>
      <w:r w:rsidR="00F4639D" w:rsidRPr="004145B9">
        <w:rPr>
          <w:rFonts w:ascii="Times New Roman" w:eastAsiaTheme="minorHAnsi" w:hAnsi="Times New Roman" w:cs="Times New Roman"/>
          <w:sz w:val="28"/>
          <w:szCs w:val="28"/>
        </w:rPr>
        <w:t>,</w:t>
      </w:r>
      <w:r w:rsidR="00EB7D5E" w:rsidRPr="004145B9">
        <w:rPr>
          <w:rFonts w:ascii="Times New Roman" w:eastAsiaTheme="minorHAnsi" w:hAnsi="Times New Roman" w:cs="Times New Roman"/>
          <w:sz w:val="28"/>
          <w:szCs w:val="28"/>
        </w:rPr>
        <w:t xml:space="preserve"> </w:t>
      </w:r>
      <w:r w:rsidR="003B244E" w:rsidRPr="004145B9">
        <w:rPr>
          <w:rFonts w:ascii="Times New Roman" w:eastAsiaTheme="minorHAnsi" w:hAnsi="Times New Roman" w:cs="Times New Roman"/>
          <w:sz w:val="28"/>
          <w:szCs w:val="28"/>
        </w:rPr>
        <w:t xml:space="preserve">she did not take any </w:t>
      </w:r>
      <w:r w:rsidR="0058227E" w:rsidRPr="004145B9">
        <w:rPr>
          <w:rFonts w:ascii="Times New Roman" w:eastAsiaTheme="minorHAnsi" w:hAnsi="Times New Roman" w:cs="Times New Roman"/>
          <w:sz w:val="28"/>
          <w:szCs w:val="28"/>
        </w:rPr>
        <w:t xml:space="preserve">written statements at the scene of the crime. </w:t>
      </w:r>
      <w:r w:rsidR="003B244E" w:rsidRPr="004145B9">
        <w:rPr>
          <w:rFonts w:ascii="Times New Roman" w:eastAsiaTheme="minorHAnsi" w:hAnsi="Times New Roman" w:cs="Times New Roman"/>
          <w:sz w:val="28"/>
          <w:szCs w:val="28"/>
        </w:rPr>
        <w:t xml:space="preserve">After receiving information </w:t>
      </w:r>
      <w:r w:rsidR="00E861B5" w:rsidRPr="004145B9">
        <w:rPr>
          <w:rFonts w:ascii="Times New Roman" w:eastAsiaTheme="minorHAnsi" w:hAnsi="Times New Roman" w:cs="Times New Roman"/>
          <w:sz w:val="28"/>
          <w:szCs w:val="28"/>
        </w:rPr>
        <w:t>from Mr</w:t>
      </w:r>
      <w:r w:rsidR="002A11B5" w:rsidRPr="004145B9">
        <w:rPr>
          <w:rFonts w:ascii="Times New Roman" w:eastAsiaTheme="minorHAnsi" w:hAnsi="Times New Roman" w:cs="Times New Roman"/>
          <w:sz w:val="28"/>
          <w:szCs w:val="28"/>
        </w:rPr>
        <w:t xml:space="preserve"> Xolani Mabunda</w:t>
      </w:r>
      <w:r w:rsidR="00F4639D" w:rsidRPr="004145B9">
        <w:rPr>
          <w:rFonts w:ascii="Times New Roman" w:eastAsiaTheme="minorHAnsi" w:hAnsi="Times New Roman" w:cs="Times New Roman"/>
          <w:sz w:val="28"/>
          <w:szCs w:val="28"/>
        </w:rPr>
        <w:t>,</w:t>
      </w:r>
      <w:r w:rsidR="002A11B5" w:rsidRPr="004145B9">
        <w:rPr>
          <w:rFonts w:ascii="Times New Roman" w:eastAsiaTheme="minorHAnsi" w:hAnsi="Times New Roman" w:cs="Times New Roman"/>
          <w:sz w:val="28"/>
          <w:szCs w:val="28"/>
        </w:rPr>
        <w:t xml:space="preserve"> s</w:t>
      </w:r>
      <w:r w:rsidR="0058227E" w:rsidRPr="004145B9">
        <w:rPr>
          <w:rFonts w:ascii="Times New Roman" w:eastAsiaTheme="minorHAnsi" w:hAnsi="Times New Roman" w:cs="Times New Roman"/>
          <w:sz w:val="28"/>
          <w:szCs w:val="28"/>
        </w:rPr>
        <w:t>tatements were only taken</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 xml:space="preserve">a ‘few weeks’ </w:t>
      </w:r>
      <w:r w:rsidR="003B244E" w:rsidRPr="004145B9">
        <w:rPr>
          <w:rFonts w:ascii="Times New Roman" w:eastAsiaTheme="minorHAnsi" w:hAnsi="Times New Roman" w:cs="Times New Roman"/>
          <w:sz w:val="28"/>
          <w:szCs w:val="28"/>
        </w:rPr>
        <w:t>later at</w:t>
      </w:r>
      <w:r w:rsidR="0058227E" w:rsidRPr="004145B9">
        <w:rPr>
          <w:rFonts w:ascii="Times New Roman" w:eastAsiaTheme="minorHAnsi" w:hAnsi="Times New Roman" w:cs="Times New Roman"/>
          <w:sz w:val="28"/>
          <w:szCs w:val="28"/>
        </w:rPr>
        <w:t xml:space="preserve"> the Benoni police station</w:t>
      </w:r>
      <w:r w:rsidR="00A44488" w:rsidRPr="004145B9">
        <w:rPr>
          <w:rFonts w:ascii="Times New Roman" w:eastAsiaTheme="minorHAnsi" w:hAnsi="Times New Roman" w:cs="Times New Roman"/>
          <w:sz w:val="28"/>
          <w:szCs w:val="28"/>
        </w:rPr>
        <w:t xml:space="preserve"> </w:t>
      </w:r>
      <w:r w:rsidR="002A11B5" w:rsidRPr="004145B9">
        <w:rPr>
          <w:rFonts w:ascii="Times New Roman" w:eastAsiaTheme="minorHAnsi" w:hAnsi="Times New Roman" w:cs="Times New Roman"/>
          <w:sz w:val="28"/>
          <w:szCs w:val="28"/>
        </w:rPr>
        <w:t>by</w:t>
      </w:r>
      <w:r w:rsidR="0091283E"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Mr Naicker,</w:t>
      </w:r>
      <w:r w:rsidR="000F3B57" w:rsidRPr="004145B9">
        <w:rPr>
          <w:rFonts w:ascii="Times New Roman" w:eastAsiaTheme="minorHAnsi" w:hAnsi="Times New Roman" w:cs="Times New Roman"/>
          <w:sz w:val="28"/>
          <w:szCs w:val="28"/>
        </w:rPr>
        <w:t xml:space="preserve"> </w:t>
      </w:r>
      <w:r w:rsidR="002A11B5" w:rsidRPr="004145B9">
        <w:rPr>
          <w:rFonts w:ascii="Times New Roman" w:eastAsiaTheme="minorHAnsi" w:hAnsi="Times New Roman" w:cs="Times New Roman"/>
          <w:sz w:val="28"/>
          <w:szCs w:val="28"/>
        </w:rPr>
        <w:t>in her presence.</w:t>
      </w:r>
      <w:r w:rsidR="0058227E" w:rsidRPr="004145B9">
        <w:rPr>
          <w:rFonts w:ascii="Times New Roman" w:eastAsiaTheme="minorHAnsi" w:hAnsi="Times New Roman" w:cs="Times New Roman"/>
          <w:sz w:val="28"/>
          <w:szCs w:val="28"/>
        </w:rPr>
        <w:t xml:space="preserve"> For some inexplicable reason, she only caused the statements to be </w:t>
      </w:r>
      <w:r w:rsidR="0091283E" w:rsidRPr="004145B9">
        <w:rPr>
          <w:rFonts w:ascii="Times New Roman" w:eastAsiaTheme="minorHAnsi" w:hAnsi="Times New Roman" w:cs="Times New Roman"/>
          <w:sz w:val="28"/>
          <w:szCs w:val="28"/>
        </w:rPr>
        <w:t>made available on 12 July 201</w:t>
      </w:r>
      <w:r w:rsidR="002A11B5" w:rsidRPr="004145B9">
        <w:rPr>
          <w:rFonts w:ascii="Times New Roman" w:eastAsiaTheme="minorHAnsi" w:hAnsi="Times New Roman" w:cs="Times New Roman"/>
          <w:sz w:val="28"/>
          <w:szCs w:val="28"/>
        </w:rPr>
        <w:t>7.</w:t>
      </w:r>
      <w:r w:rsidR="009C2633" w:rsidRPr="004145B9">
        <w:rPr>
          <w:rFonts w:ascii="Times New Roman" w:eastAsiaTheme="minorHAnsi" w:hAnsi="Times New Roman" w:cs="Times New Roman"/>
          <w:sz w:val="28"/>
          <w:szCs w:val="28"/>
        </w:rPr>
        <w:t xml:space="preserve"> </w:t>
      </w:r>
      <w:r w:rsidR="002A11B5" w:rsidRPr="004145B9">
        <w:rPr>
          <w:rFonts w:ascii="Times New Roman" w:eastAsiaTheme="minorHAnsi" w:hAnsi="Times New Roman" w:cs="Times New Roman"/>
          <w:sz w:val="28"/>
          <w:szCs w:val="28"/>
        </w:rPr>
        <w:t>Ms Motshepe</w:t>
      </w:r>
      <w:r w:rsidR="0091283E" w:rsidRPr="004145B9">
        <w:rPr>
          <w:rFonts w:ascii="Times New Roman" w:eastAsiaTheme="minorHAnsi" w:hAnsi="Times New Roman" w:cs="Times New Roman"/>
          <w:sz w:val="28"/>
          <w:szCs w:val="28"/>
        </w:rPr>
        <w:t xml:space="preserve"> only </w:t>
      </w:r>
      <w:r w:rsidR="0058227E" w:rsidRPr="004145B9">
        <w:rPr>
          <w:rFonts w:ascii="Times New Roman" w:eastAsiaTheme="minorHAnsi" w:hAnsi="Times New Roman" w:cs="Times New Roman"/>
          <w:sz w:val="28"/>
          <w:szCs w:val="28"/>
        </w:rPr>
        <w:t>submitted her statement to Mr</w:t>
      </w:r>
      <w:r w:rsidR="00DE43EE" w:rsidRPr="004145B9">
        <w:rPr>
          <w:rFonts w:ascii="Times New Roman" w:eastAsiaTheme="minorHAnsi" w:hAnsi="Times New Roman" w:cs="Times New Roman"/>
          <w:sz w:val="28"/>
          <w:szCs w:val="28"/>
        </w:rPr>
        <w:t xml:space="preserve"> </w:t>
      </w:r>
      <w:r w:rsidR="0091283E" w:rsidRPr="004145B9">
        <w:rPr>
          <w:rFonts w:ascii="Times New Roman" w:eastAsiaTheme="minorHAnsi" w:hAnsi="Times New Roman" w:cs="Times New Roman"/>
          <w:sz w:val="28"/>
          <w:szCs w:val="28"/>
        </w:rPr>
        <w:t xml:space="preserve">Naicker </w:t>
      </w:r>
      <w:r w:rsidR="0058227E" w:rsidRPr="004145B9">
        <w:rPr>
          <w:rFonts w:ascii="Times New Roman" w:eastAsiaTheme="minorHAnsi" w:hAnsi="Times New Roman" w:cs="Times New Roman"/>
          <w:sz w:val="28"/>
          <w:szCs w:val="28"/>
        </w:rPr>
        <w:t>on 14 Augu</w:t>
      </w:r>
      <w:r w:rsidR="0091283E" w:rsidRPr="004145B9">
        <w:rPr>
          <w:rFonts w:ascii="Times New Roman" w:eastAsiaTheme="minorHAnsi" w:hAnsi="Times New Roman" w:cs="Times New Roman"/>
          <w:sz w:val="28"/>
          <w:szCs w:val="28"/>
        </w:rPr>
        <w:t>st 2018</w:t>
      </w:r>
      <w:r w:rsidR="002D7779" w:rsidRPr="004145B9">
        <w:rPr>
          <w:rFonts w:ascii="Times New Roman" w:eastAsiaTheme="minorHAnsi" w:hAnsi="Times New Roman" w:cs="Times New Roman"/>
          <w:sz w:val="28"/>
          <w:szCs w:val="28"/>
        </w:rPr>
        <w:t>,</w:t>
      </w:r>
      <w:r w:rsidR="0091283E" w:rsidRPr="004145B9">
        <w:rPr>
          <w:rFonts w:ascii="Times New Roman" w:eastAsiaTheme="minorHAnsi" w:hAnsi="Times New Roman" w:cs="Times New Roman"/>
          <w:sz w:val="28"/>
          <w:szCs w:val="28"/>
        </w:rPr>
        <w:t xml:space="preserve"> </w:t>
      </w:r>
      <w:r w:rsidR="004D723D" w:rsidRPr="004145B9">
        <w:rPr>
          <w:rFonts w:ascii="Times New Roman" w:eastAsiaTheme="minorHAnsi" w:hAnsi="Times New Roman" w:cs="Times New Roman"/>
          <w:sz w:val="28"/>
          <w:szCs w:val="28"/>
        </w:rPr>
        <w:t>instead of May 2017. Since it involved a colleague</w:t>
      </w:r>
      <w:r w:rsidR="00F4639D" w:rsidRPr="004145B9">
        <w:rPr>
          <w:rFonts w:ascii="Times New Roman" w:eastAsiaTheme="minorHAnsi" w:hAnsi="Times New Roman" w:cs="Times New Roman"/>
          <w:sz w:val="28"/>
          <w:szCs w:val="28"/>
        </w:rPr>
        <w:t>,</w:t>
      </w:r>
      <w:r w:rsidR="004D723D" w:rsidRPr="004145B9">
        <w:rPr>
          <w:rFonts w:ascii="Times New Roman" w:eastAsiaTheme="minorHAnsi" w:hAnsi="Times New Roman" w:cs="Times New Roman"/>
          <w:sz w:val="28"/>
          <w:szCs w:val="28"/>
        </w:rPr>
        <w:t xml:space="preserve"> the delay in submitting her statement was unusual, so she conceded. </w:t>
      </w:r>
    </w:p>
    <w:p w14:paraId="43F39019" w14:textId="77777777" w:rsidR="0058227E" w:rsidRPr="004145B9" w:rsidRDefault="0058227E" w:rsidP="00DB1848">
      <w:pPr>
        <w:spacing w:after="0" w:line="360" w:lineRule="auto"/>
        <w:jc w:val="both"/>
        <w:rPr>
          <w:rFonts w:ascii="Times New Roman" w:eastAsiaTheme="minorHAnsi" w:hAnsi="Times New Roman" w:cs="Times New Roman"/>
          <w:sz w:val="28"/>
          <w:szCs w:val="28"/>
        </w:rPr>
      </w:pPr>
    </w:p>
    <w:p w14:paraId="71EBF01D" w14:textId="19563120" w:rsidR="0058227E" w:rsidRPr="004145B9" w:rsidRDefault="00F21678" w:rsidP="00DB1848">
      <w:pPr>
        <w:spacing w:after="0" w:line="360" w:lineRule="auto"/>
        <w:jc w:val="both"/>
        <w:rPr>
          <w:rFonts w:ascii="Times New Roman" w:eastAsiaTheme="minorHAnsi" w:hAnsi="Times New Roman" w:cs="Times New Roman"/>
          <w:sz w:val="28"/>
          <w:szCs w:val="28"/>
        </w:rPr>
      </w:pPr>
      <w:r w:rsidRPr="004145B9">
        <w:rPr>
          <w:rFonts w:ascii="Times New Roman" w:eastAsiaTheme="minorHAnsi" w:hAnsi="Times New Roman" w:cs="Times New Roman"/>
          <w:sz w:val="28"/>
          <w:szCs w:val="28"/>
        </w:rPr>
        <w:t>[9</w:t>
      </w:r>
      <w:r w:rsidR="0058227E"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ab/>
        <w:t>The plea explanation of the appellant was confirmed by him during his testimony.</w:t>
      </w:r>
      <w:r w:rsidR="00EB7D5E"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Importantly</w:t>
      </w:r>
      <w:r w:rsidR="00F4639D"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 xml:space="preserve"> the nub of his defence was that</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he</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feared</w:t>
      </w:r>
      <w:r w:rsidR="006240C4"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for his life after a shot was fired at him</w:t>
      </w:r>
      <w:r w:rsidR="00A44488"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 xml:space="preserve"> This caused him</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to</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stop his</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vehicle</w:t>
      </w:r>
      <w:r w:rsidR="006240C4" w:rsidRPr="004145B9">
        <w:rPr>
          <w:rFonts w:ascii="Times New Roman" w:eastAsiaTheme="minorHAnsi" w:hAnsi="Times New Roman" w:cs="Times New Roman"/>
          <w:sz w:val="28"/>
          <w:szCs w:val="28"/>
        </w:rPr>
        <w:t xml:space="preserve">, jump out, and </w:t>
      </w:r>
      <w:r w:rsidR="0058227E" w:rsidRPr="004145B9">
        <w:rPr>
          <w:rFonts w:ascii="Times New Roman" w:eastAsiaTheme="minorHAnsi" w:hAnsi="Times New Roman" w:cs="Times New Roman"/>
          <w:sz w:val="28"/>
          <w:szCs w:val="28"/>
        </w:rPr>
        <w:t>lay on</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the ground underneath a metal barrier next to</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the road. Despite him seeking cover, a second gunshot was fired in his direction</w:t>
      </w:r>
      <w:r w:rsidR="00A44488"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 xml:space="preserve"> In return, he fired one shot using</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his service firearm in the direction of the alleged robbers</w:t>
      </w:r>
      <w:r w:rsidR="00F4639D" w:rsidRPr="004145B9">
        <w:rPr>
          <w:rFonts w:ascii="Times New Roman" w:eastAsiaTheme="minorHAnsi" w:hAnsi="Times New Roman" w:cs="Times New Roman"/>
          <w:sz w:val="28"/>
          <w:szCs w:val="28"/>
        </w:rPr>
        <w:t xml:space="preserve"> w</w:t>
      </w:r>
      <w:r w:rsidR="0091283E" w:rsidRPr="004145B9">
        <w:rPr>
          <w:rFonts w:ascii="Times New Roman" w:eastAsiaTheme="minorHAnsi" w:hAnsi="Times New Roman" w:cs="Times New Roman"/>
          <w:sz w:val="28"/>
          <w:szCs w:val="28"/>
        </w:rPr>
        <w:t>ho</w:t>
      </w:r>
      <w:r w:rsidR="0058227E" w:rsidRPr="004145B9">
        <w:rPr>
          <w:rFonts w:ascii="Times New Roman" w:eastAsiaTheme="minorHAnsi" w:hAnsi="Times New Roman" w:cs="Times New Roman"/>
          <w:sz w:val="28"/>
          <w:szCs w:val="28"/>
        </w:rPr>
        <w:t xml:space="preserve"> were walking alongside</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the railway line, some</w:t>
      </w:r>
      <w:r w:rsidR="00A44488" w:rsidRPr="004145B9">
        <w:rPr>
          <w:rFonts w:ascii="Times New Roman" w:eastAsiaTheme="minorHAnsi" w:hAnsi="Times New Roman" w:cs="Times New Roman"/>
          <w:sz w:val="28"/>
          <w:szCs w:val="28"/>
        </w:rPr>
        <w:t xml:space="preserve"> </w:t>
      </w:r>
      <w:r w:rsidR="0011091F" w:rsidRPr="004145B9">
        <w:rPr>
          <w:rFonts w:ascii="Times New Roman" w:eastAsiaTheme="minorHAnsi" w:hAnsi="Times New Roman" w:cs="Times New Roman"/>
          <w:sz w:val="28"/>
          <w:szCs w:val="28"/>
        </w:rPr>
        <w:t xml:space="preserve">ten metres </w:t>
      </w:r>
      <w:r w:rsidR="0058227E" w:rsidRPr="004145B9">
        <w:rPr>
          <w:rFonts w:ascii="Times New Roman" w:eastAsiaTheme="minorHAnsi" w:hAnsi="Times New Roman" w:cs="Times New Roman"/>
          <w:sz w:val="28"/>
          <w:szCs w:val="28"/>
        </w:rPr>
        <w:t>from him. After firing two further</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shots to prevent the alleged robbers from returning fire</w:t>
      </w:r>
      <w:r w:rsidR="00F4639D"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rPr>
        <w:t xml:space="preserve"> he saw</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that one of the</w:t>
      </w:r>
      <w:r w:rsidR="00A44488" w:rsidRPr="004145B9">
        <w:rPr>
          <w:rFonts w:ascii="Times New Roman" w:eastAsiaTheme="minorHAnsi" w:hAnsi="Times New Roman" w:cs="Times New Roman"/>
          <w:sz w:val="28"/>
          <w:szCs w:val="28"/>
        </w:rPr>
        <w:t xml:space="preserve"> </w:t>
      </w:r>
      <w:r w:rsidR="00F30B8F" w:rsidRPr="004145B9">
        <w:rPr>
          <w:rFonts w:ascii="Times New Roman" w:eastAsiaTheme="minorHAnsi" w:hAnsi="Times New Roman" w:cs="Times New Roman"/>
          <w:sz w:val="28"/>
          <w:szCs w:val="28"/>
        </w:rPr>
        <w:t xml:space="preserve">alleged robbers </w:t>
      </w:r>
      <w:r w:rsidR="00E11915" w:rsidRPr="004145B9">
        <w:rPr>
          <w:rFonts w:ascii="Times New Roman" w:eastAsiaTheme="minorHAnsi" w:hAnsi="Times New Roman" w:cs="Times New Roman"/>
          <w:sz w:val="28"/>
          <w:szCs w:val="28"/>
        </w:rPr>
        <w:t xml:space="preserve">had </w:t>
      </w:r>
      <w:r w:rsidR="0058227E" w:rsidRPr="004145B9">
        <w:rPr>
          <w:rFonts w:ascii="Times New Roman" w:eastAsiaTheme="minorHAnsi" w:hAnsi="Times New Roman" w:cs="Times New Roman"/>
          <w:sz w:val="28"/>
          <w:szCs w:val="28"/>
        </w:rPr>
        <w:t>f</w:t>
      </w:r>
      <w:r w:rsidR="00E11915" w:rsidRPr="004145B9">
        <w:rPr>
          <w:rFonts w:ascii="Times New Roman" w:eastAsiaTheme="minorHAnsi" w:hAnsi="Times New Roman" w:cs="Times New Roman"/>
          <w:sz w:val="28"/>
          <w:szCs w:val="28"/>
        </w:rPr>
        <w:t>a</w:t>
      </w:r>
      <w:r w:rsidR="0058227E" w:rsidRPr="004145B9">
        <w:rPr>
          <w:rFonts w:ascii="Times New Roman" w:eastAsiaTheme="minorHAnsi" w:hAnsi="Times New Roman" w:cs="Times New Roman"/>
          <w:sz w:val="28"/>
          <w:szCs w:val="28"/>
        </w:rPr>
        <w:t>ll</w:t>
      </w:r>
      <w:r w:rsidR="00E11915" w:rsidRPr="004145B9">
        <w:rPr>
          <w:rFonts w:ascii="Times New Roman" w:eastAsiaTheme="minorHAnsi" w:hAnsi="Times New Roman" w:cs="Times New Roman"/>
          <w:sz w:val="28"/>
          <w:szCs w:val="28"/>
        </w:rPr>
        <w:t>en</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to the ground. The second alleged robber</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 xml:space="preserve">ran away. </w:t>
      </w:r>
      <w:r w:rsidR="0091283E" w:rsidRPr="004145B9">
        <w:rPr>
          <w:rFonts w:ascii="Times New Roman" w:eastAsiaTheme="minorHAnsi" w:hAnsi="Times New Roman" w:cs="Times New Roman"/>
          <w:sz w:val="28"/>
          <w:szCs w:val="28"/>
        </w:rPr>
        <w:t>He was unable to</w:t>
      </w:r>
      <w:r w:rsidR="0058227E" w:rsidRPr="004145B9">
        <w:rPr>
          <w:rFonts w:ascii="Times New Roman" w:eastAsiaTheme="minorHAnsi" w:hAnsi="Times New Roman" w:cs="Times New Roman"/>
          <w:sz w:val="28"/>
          <w:szCs w:val="28"/>
        </w:rPr>
        <w:t xml:space="preserve"> confirm which of the two alleged robbers</w:t>
      </w:r>
      <w:r w:rsidR="00A44488" w:rsidRPr="004145B9">
        <w:rPr>
          <w:rFonts w:ascii="Times New Roman" w:eastAsiaTheme="minorHAnsi" w:hAnsi="Times New Roman" w:cs="Times New Roman"/>
          <w:sz w:val="28"/>
          <w:szCs w:val="28"/>
        </w:rPr>
        <w:t xml:space="preserve"> </w:t>
      </w:r>
      <w:r w:rsidR="00CE2DB6" w:rsidRPr="004145B9">
        <w:rPr>
          <w:rFonts w:ascii="Times New Roman" w:eastAsiaTheme="minorHAnsi" w:hAnsi="Times New Roman" w:cs="Times New Roman"/>
          <w:sz w:val="28"/>
          <w:szCs w:val="28"/>
        </w:rPr>
        <w:t>were</w:t>
      </w:r>
      <w:r w:rsidR="0058227E" w:rsidRPr="004145B9">
        <w:rPr>
          <w:rFonts w:ascii="Times New Roman" w:eastAsiaTheme="minorHAnsi" w:hAnsi="Times New Roman" w:cs="Times New Roman"/>
          <w:sz w:val="28"/>
          <w:szCs w:val="28"/>
        </w:rPr>
        <w:t xml:space="preserve"> in possession of a revolver</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and which of the two fired</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 xml:space="preserve">shots at him. He reiterated that he fired the </w:t>
      </w:r>
      <w:r w:rsidR="0058227E" w:rsidRPr="004145B9">
        <w:rPr>
          <w:rFonts w:ascii="Times New Roman" w:eastAsiaTheme="minorHAnsi" w:hAnsi="Times New Roman" w:cs="Times New Roman"/>
          <w:sz w:val="28"/>
          <w:szCs w:val="28"/>
        </w:rPr>
        <w:lastRenderedPageBreak/>
        <w:t>shots</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 xml:space="preserve">in the direction of the alleged robbers in </w:t>
      </w:r>
      <w:r w:rsidR="00A44488" w:rsidRPr="004145B9">
        <w:rPr>
          <w:rFonts w:ascii="Times New Roman" w:eastAsiaTheme="minorHAnsi" w:hAnsi="Times New Roman" w:cs="Times New Roman"/>
          <w:sz w:val="28"/>
          <w:szCs w:val="28"/>
        </w:rPr>
        <w:t>self-defence</w:t>
      </w:r>
      <w:r w:rsidR="0058227E" w:rsidRPr="004145B9">
        <w:rPr>
          <w:rFonts w:ascii="Times New Roman" w:eastAsiaTheme="minorHAnsi" w:hAnsi="Times New Roman" w:cs="Times New Roman"/>
          <w:sz w:val="28"/>
          <w:szCs w:val="28"/>
        </w:rPr>
        <w:t xml:space="preserve"> because he feared for his life</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and that he</w:t>
      </w:r>
      <w:r w:rsidR="00CE2DB6" w:rsidRPr="004145B9">
        <w:rPr>
          <w:rFonts w:ascii="Times New Roman" w:eastAsiaTheme="minorHAnsi" w:hAnsi="Times New Roman" w:cs="Times New Roman"/>
          <w:sz w:val="28"/>
          <w:szCs w:val="28"/>
        </w:rPr>
        <w:t xml:space="preserve"> </w:t>
      </w:r>
      <w:r w:rsidR="00B9292D" w:rsidRPr="004145B9">
        <w:rPr>
          <w:rFonts w:ascii="Times New Roman" w:eastAsiaTheme="minorHAnsi" w:hAnsi="Times New Roman" w:cs="Times New Roman"/>
          <w:sz w:val="28"/>
          <w:szCs w:val="28"/>
        </w:rPr>
        <w:t>had fired</w:t>
      </w:r>
      <w:r w:rsidR="0058227E" w:rsidRPr="004145B9">
        <w:rPr>
          <w:rFonts w:ascii="Times New Roman" w:eastAsiaTheme="minorHAnsi" w:hAnsi="Times New Roman" w:cs="Times New Roman"/>
          <w:sz w:val="28"/>
          <w:szCs w:val="28"/>
        </w:rPr>
        <w:t xml:space="preserve"> in the direction of the two alleged robbers</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without having specifically</w:t>
      </w:r>
      <w:r w:rsidR="00A44488"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rPr>
        <w:t>aimed at any one of the two alleged robbers.</w:t>
      </w:r>
    </w:p>
    <w:p w14:paraId="03676AFF" w14:textId="77777777" w:rsidR="0058227E" w:rsidRPr="004145B9" w:rsidRDefault="0058227E" w:rsidP="00DB1848">
      <w:pPr>
        <w:spacing w:after="0" w:line="360" w:lineRule="auto"/>
        <w:jc w:val="both"/>
        <w:rPr>
          <w:rFonts w:ascii="Times New Roman" w:eastAsiaTheme="minorHAnsi" w:hAnsi="Times New Roman" w:cs="Times New Roman"/>
          <w:sz w:val="28"/>
          <w:szCs w:val="28"/>
        </w:rPr>
      </w:pPr>
    </w:p>
    <w:p w14:paraId="31805FD3" w14:textId="77777777" w:rsidR="0058227E" w:rsidRPr="004145B9" w:rsidRDefault="00F21678" w:rsidP="00DB1848">
      <w:pPr>
        <w:spacing w:after="0" w:line="360" w:lineRule="auto"/>
        <w:jc w:val="both"/>
        <w:rPr>
          <w:rFonts w:ascii="Times New Roman" w:eastAsiaTheme="minorHAnsi" w:hAnsi="Times New Roman" w:cs="Times New Roman"/>
          <w:sz w:val="28"/>
          <w:szCs w:val="28"/>
          <w:lang w:val="en-US"/>
        </w:rPr>
      </w:pPr>
      <w:r w:rsidRPr="004145B9">
        <w:rPr>
          <w:rFonts w:ascii="Times New Roman" w:eastAsiaTheme="minorHAnsi" w:hAnsi="Times New Roman" w:cs="Times New Roman"/>
          <w:sz w:val="28"/>
          <w:szCs w:val="28"/>
        </w:rPr>
        <w:t>[10</w:t>
      </w:r>
      <w:r w:rsidR="0058227E" w:rsidRPr="004145B9">
        <w:rPr>
          <w:rFonts w:ascii="Times New Roman" w:eastAsiaTheme="minorHAnsi" w:hAnsi="Times New Roman" w:cs="Times New Roman"/>
          <w:sz w:val="28"/>
          <w:szCs w:val="28"/>
        </w:rPr>
        <w:t>]</w:t>
      </w:r>
      <w:r w:rsidR="0058227E" w:rsidRPr="004145B9">
        <w:rPr>
          <w:rFonts w:ascii="Times New Roman" w:eastAsiaTheme="minorHAnsi" w:hAnsi="Times New Roman" w:cs="Times New Roman"/>
          <w:sz w:val="28"/>
          <w:szCs w:val="28"/>
          <w:lang w:val="en-US"/>
        </w:rPr>
        <w:tab/>
        <w:t>The</w:t>
      </w:r>
      <w:r w:rsidR="004D723D" w:rsidRPr="004145B9">
        <w:rPr>
          <w:rFonts w:ascii="Times New Roman" w:eastAsiaTheme="minorHAnsi" w:hAnsi="Times New Roman" w:cs="Times New Roman"/>
          <w:sz w:val="28"/>
          <w:szCs w:val="28"/>
          <w:lang w:val="en-US"/>
        </w:rPr>
        <w:t xml:space="preserve"> further evidence led by the appellant </w:t>
      </w:r>
      <w:r w:rsidR="00732A5A" w:rsidRPr="004145B9">
        <w:rPr>
          <w:rFonts w:ascii="Times New Roman" w:eastAsiaTheme="minorHAnsi" w:hAnsi="Times New Roman" w:cs="Times New Roman"/>
          <w:sz w:val="28"/>
          <w:szCs w:val="28"/>
          <w:lang w:val="en-US"/>
        </w:rPr>
        <w:t>in terms of s 309B(5)</w:t>
      </w:r>
      <w:r w:rsidR="00732A5A" w:rsidRPr="004145B9">
        <w:rPr>
          <w:rFonts w:ascii="Times New Roman" w:eastAsiaTheme="minorHAnsi" w:hAnsi="Times New Roman" w:cs="Times New Roman"/>
          <w:i/>
          <w:sz w:val="28"/>
          <w:szCs w:val="28"/>
          <w:lang w:val="en-US"/>
        </w:rPr>
        <w:t xml:space="preserve">(a) </w:t>
      </w:r>
      <w:r w:rsidR="00732A5A" w:rsidRPr="004145B9">
        <w:rPr>
          <w:rFonts w:ascii="Times New Roman" w:eastAsiaTheme="minorHAnsi" w:hAnsi="Times New Roman" w:cs="Times New Roman"/>
          <w:sz w:val="28"/>
          <w:szCs w:val="28"/>
          <w:lang w:val="en-US"/>
        </w:rPr>
        <w:t>of the CPA which was admitted by the regio</w:t>
      </w:r>
      <w:r w:rsidR="006F62DF" w:rsidRPr="004145B9">
        <w:rPr>
          <w:rFonts w:ascii="Times New Roman" w:eastAsiaTheme="minorHAnsi" w:hAnsi="Times New Roman" w:cs="Times New Roman"/>
          <w:sz w:val="28"/>
          <w:szCs w:val="28"/>
          <w:lang w:val="en-US"/>
        </w:rPr>
        <w:t>nal court materially contradicted</w:t>
      </w:r>
      <w:r w:rsidR="00732A5A" w:rsidRPr="004145B9">
        <w:rPr>
          <w:rFonts w:ascii="Times New Roman" w:eastAsiaTheme="minorHAnsi" w:hAnsi="Times New Roman" w:cs="Times New Roman"/>
          <w:sz w:val="28"/>
          <w:szCs w:val="28"/>
          <w:lang w:val="en-US"/>
        </w:rPr>
        <w:t xml:space="preserve"> </w:t>
      </w:r>
      <w:r w:rsidR="006A57AF" w:rsidRPr="004145B9">
        <w:rPr>
          <w:rFonts w:ascii="Times New Roman" w:eastAsiaTheme="minorHAnsi" w:hAnsi="Times New Roman" w:cs="Times New Roman"/>
          <w:sz w:val="28"/>
          <w:szCs w:val="28"/>
          <w:lang w:val="en-US"/>
        </w:rPr>
        <w:t>Mr Kubeka’s</w:t>
      </w:r>
      <w:r w:rsidR="00732A5A" w:rsidRPr="004145B9">
        <w:rPr>
          <w:rFonts w:ascii="Times New Roman" w:eastAsiaTheme="minorHAnsi" w:hAnsi="Times New Roman" w:cs="Times New Roman"/>
          <w:sz w:val="28"/>
          <w:szCs w:val="28"/>
          <w:lang w:val="en-US"/>
        </w:rPr>
        <w:t xml:space="preserve"> previous testimony.</w:t>
      </w:r>
      <w:r w:rsidR="0058227E" w:rsidRPr="004145B9">
        <w:rPr>
          <w:rFonts w:ascii="Times New Roman" w:eastAsiaTheme="minorHAnsi" w:hAnsi="Times New Roman" w:cs="Times New Roman"/>
          <w:sz w:val="28"/>
          <w:szCs w:val="28"/>
          <w:lang w:val="en-US"/>
        </w:rPr>
        <w:t xml:space="preserve"> Contradicting his earlier evidence and the evidence of Ms Motshepe, Mr Kubeka’s evidence revealed that he had seen a firearm tucked in the trousers of one of the two suspects. He stated that he did not mention this during the trial because he was persuaded</w:t>
      </w:r>
      <w:r w:rsidR="0089322C" w:rsidRPr="004145B9">
        <w:rPr>
          <w:rFonts w:ascii="Times New Roman" w:eastAsiaTheme="minorHAnsi" w:hAnsi="Times New Roman" w:cs="Times New Roman"/>
          <w:sz w:val="28"/>
          <w:szCs w:val="28"/>
          <w:lang w:val="en-US"/>
        </w:rPr>
        <w:t xml:space="preserve"> </w:t>
      </w:r>
      <w:r w:rsidR="0091283E" w:rsidRPr="004145B9">
        <w:rPr>
          <w:rFonts w:ascii="Times New Roman" w:eastAsiaTheme="minorHAnsi" w:hAnsi="Times New Roman" w:cs="Times New Roman"/>
          <w:sz w:val="28"/>
          <w:szCs w:val="28"/>
          <w:lang w:val="en-US"/>
        </w:rPr>
        <w:t xml:space="preserve">by Ms Motshepe </w:t>
      </w:r>
      <w:r w:rsidR="0058227E" w:rsidRPr="004145B9">
        <w:rPr>
          <w:rFonts w:ascii="Times New Roman" w:eastAsiaTheme="minorHAnsi" w:hAnsi="Times New Roman" w:cs="Times New Roman"/>
          <w:sz w:val="28"/>
          <w:szCs w:val="28"/>
          <w:lang w:val="en-US"/>
        </w:rPr>
        <w:t>who convinced him that he should put himself in the position of the deceased</w:t>
      </w:r>
      <w:r w:rsidR="00012F3F" w:rsidRPr="004145B9">
        <w:rPr>
          <w:rFonts w:ascii="Times New Roman" w:eastAsiaTheme="minorHAnsi" w:hAnsi="Times New Roman" w:cs="Times New Roman"/>
          <w:sz w:val="28"/>
          <w:szCs w:val="28"/>
          <w:lang w:val="en-US"/>
        </w:rPr>
        <w:t xml:space="preserve">. It was </w:t>
      </w:r>
      <w:r w:rsidR="0058227E" w:rsidRPr="004145B9">
        <w:rPr>
          <w:rFonts w:ascii="Times New Roman" w:eastAsiaTheme="minorHAnsi" w:hAnsi="Times New Roman" w:cs="Times New Roman"/>
          <w:sz w:val="28"/>
          <w:szCs w:val="28"/>
          <w:lang w:val="en-US"/>
        </w:rPr>
        <w:t>therefore necessary</w:t>
      </w:r>
      <w:r w:rsidR="0089322C"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for him to give evidence that would implicate the appellant. He conceded that he</w:t>
      </w:r>
      <w:r w:rsidR="0089322C"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 xml:space="preserve">fabricated </w:t>
      </w:r>
      <w:r w:rsidR="0089322C" w:rsidRPr="004145B9">
        <w:rPr>
          <w:rFonts w:ascii="Times New Roman" w:eastAsiaTheme="minorHAnsi" w:hAnsi="Times New Roman" w:cs="Times New Roman"/>
          <w:sz w:val="28"/>
          <w:szCs w:val="28"/>
          <w:lang w:val="en-US"/>
        </w:rPr>
        <w:t xml:space="preserve">a material </w:t>
      </w:r>
      <w:r w:rsidR="0058227E" w:rsidRPr="004145B9">
        <w:rPr>
          <w:rFonts w:ascii="Times New Roman" w:eastAsiaTheme="minorHAnsi" w:hAnsi="Times New Roman" w:cs="Times New Roman"/>
          <w:sz w:val="28"/>
          <w:szCs w:val="28"/>
          <w:lang w:val="en-US"/>
        </w:rPr>
        <w:t xml:space="preserve">fact (ie that </w:t>
      </w:r>
      <w:r w:rsidR="00FA32BA" w:rsidRPr="004145B9">
        <w:rPr>
          <w:rFonts w:ascii="Times New Roman" w:eastAsiaTheme="minorHAnsi" w:hAnsi="Times New Roman" w:cs="Times New Roman"/>
          <w:sz w:val="28"/>
          <w:szCs w:val="28"/>
          <w:lang w:val="en-US"/>
        </w:rPr>
        <w:t>n</w:t>
      </w:r>
      <w:r w:rsidR="0058227E" w:rsidRPr="004145B9">
        <w:rPr>
          <w:rFonts w:ascii="Times New Roman" w:eastAsiaTheme="minorHAnsi" w:hAnsi="Times New Roman" w:cs="Times New Roman"/>
          <w:sz w:val="28"/>
          <w:szCs w:val="28"/>
          <w:lang w:val="en-US"/>
        </w:rPr>
        <w:t>one</w:t>
      </w:r>
      <w:r w:rsidR="006F62DF" w:rsidRPr="004145B9">
        <w:rPr>
          <w:rFonts w:ascii="Times New Roman" w:eastAsiaTheme="minorHAnsi" w:hAnsi="Times New Roman" w:cs="Times New Roman"/>
          <w:sz w:val="28"/>
          <w:szCs w:val="28"/>
          <w:lang w:val="en-US"/>
        </w:rPr>
        <w:t xml:space="preserve"> of the alleged robbers were</w:t>
      </w:r>
      <w:r w:rsidR="0058227E" w:rsidRPr="004145B9">
        <w:rPr>
          <w:rFonts w:ascii="Times New Roman" w:eastAsiaTheme="minorHAnsi" w:hAnsi="Times New Roman" w:cs="Times New Roman"/>
          <w:sz w:val="28"/>
          <w:szCs w:val="28"/>
          <w:lang w:val="en-US"/>
        </w:rPr>
        <w:t xml:space="preserve"> in fact in possession of a firearm) in order</w:t>
      </w:r>
      <w:r w:rsidR="0089322C"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to assist the deceased. In addition, he also gave an account of an</w:t>
      </w:r>
      <w:r w:rsidR="0089322C"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incident in which he had been assaulted and forced to attend court by Mr Naicker</w:t>
      </w:r>
      <w:r w:rsidR="00012F3F" w:rsidRPr="004145B9">
        <w:rPr>
          <w:rFonts w:ascii="Times New Roman" w:eastAsiaTheme="minorHAnsi" w:hAnsi="Times New Roman" w:cs="Times New Roman"/>
          <w:sz w:val="28"/>
          <w:szCs w:val="28"/>
          <w:lang w:val="en-US"/>
        </w:rPr>
        <w:t xml:space="preserve"> in order to </w:t>
      </w:r>
      <w:r w:rsidR="0058227E" w:rsidRPr="004145B9">
        <w:rPr>
          <w:rFonts w:ascii="Times New Roman" w:eastAsiaTheme="minorHAnsi" w:hAnsi="Times New Roman" w:cs="Times New Roman"/>
          <w:sz w:val="28"/>
          <w:szCs w:val="28"/>
          <w:lang w:val="en-US"/>
        </w:rPr>
        <w:t>give false evidence to implicate the appellant in the commission o</w:t>
      </w:r>
      <w:r w:rsidR="0091283E" w:rsidRPr="004145B9">
        <w:rPr>
          <w:rFonts w:ascii="Times New Roman" w:eastAsiaTheme="minorHAnsi" w:hAnsi="Times New Roman" w:cs="Times New Roman"/>
          <w:sz w:val="28"/>
          <w:szCs w:val="28"/>
          <w:lang w:val="en-US"/>
        </w:rPr>
        <w:t>f</w:t>
      </w:r>
      <w:r w:rsidR="00B31CCA" w:rsidRPr="004145B9">
        <w:rPr>
          <w:rFonts w:ascii="Times New Roman" w:eastAsiaTheme="minorHAnsi" w:hAnsi="Times New Roman" w:cs="Times New Roman"/>
          <w:sz w:val="28"/>
          <w:szCs w:val="28"/>
          <w:lang w:val="en-US"/>
        </w:rPr>
        <w:t xml:space="preserve"> the</w:t>
      </w:r>
      <w:r w:rsidR="0091283E" w:rsidRPr="004145B9">
        <w:rPr>
          <w:rFonts w:ascii="Times New Roman" w:eastAsiaTheme="minorHAnsi" w:hAnsi="Times New Roman" w:cs="Times New Roman"/>
          <w:sz w:val="28"/>
          <w:szCs w:val="28"/>
          <w:lang w:val="en-US"/>
        </w:rPr>
        <w:t xml:space="preserve"> murder. Mr Naicker confirmed </w:t>
      </w:r>
      <w:r w:rsidR="0058227E" w:rsidRPr="004145B9">
        <w:rPr>
          <w:rFonts w:ascii="Times New Roman" w:eastAsiaTheme="minorHAnsi" w:hAnsi="Times New Roman" w:cs="Times New Roman"/>
          <w:sz w:val="28"/>
          <w:szCs w:val="28"/>
          <w:lang w:val="en-US"/>
        </w:rPr>
        <w:t>Mr Kubeka’s version that he</w:t>
      </w:r>
      <w:r w:rsidR="0089322C"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was forced to attend court but denied</w:t>
      </w:r>
      <w:r w:rsidR="0089322C"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assaulting Mr Kub</w:t>
      </w:r>
      <w:r w:rsidR="00700EF0" w:rsidRPr="004145B9">
        <w:rPr>
          <w:rFonts w:ascii="Times New Roman" w:eastAsiaTheme="minorHAnsi" w:hAnsi="Times New Roman" w:cs="Times New Roman"/>
          <w:sz w:val="28"/>
          <w:szCs w:val="28"/>
          <w:lang w:val="en-US"/>
        </w:rPr>
        <w:t>eka.</w:t>
      </w:r>
    </w:p>
    <w:p w14:paraId="24E8FB6B" w14:textId="77777777" w:rsidR="0058227E" w:rsidRPr="004145B9" w:rsidRDefault="0058227E" w:rsidP="00DB1848">
      <w:pPr>
        <w:spacing w:after="0" w:line="360" w:lineRule="auto"/>
        <w:jc w:val="both"/>
        <w:rPr>
          <w:rFonts w:ascii="Times New Roman" w:eastAsiaTheme="minorHAnsi" w:hAnsi="Times New Roman" w:cs="Times New Roman"/>
          <w:sz w:val="28"/>
          <w:szCs w:val="28"/>
          <w:lang w:val="en-US"/>
        </w:rPr>
      </w:pPr>
    </w:p>
    <w:p w14:paraId="77D87B45" w14:textId="3947A37D" w:rsidR="004608F8" w:rsidRPr="004145B9" w:rsidRDefault="00F21678" w:rsidP="00DB1848">
      <w:pPr>
        <w:spacing w:after="0" w:line="360" w:lineRule="auto"/>
        <w:jc w:val="both"/>
        <w:rPr>
          <w:rFonts w:ascii="Times New Roman" w:eastAsiaTheme="minorHAnsi" w:hAnsi="Times New Roman" w:cs="Times New Roman"/>
          <w:sz w:val="28"/>
          <w:szCs w:val="28"/>
          <w:lang w:val="en-US"/>
        </w:rPr>
      </w:pPr>
      <w:r w:rsidRPr="004145B9">
        <w:rPr>
          <w:rFonts w:ascii="Times New Roman" w:eastAsiaTheme="minorHAnsi" w:hAnsi="Times New Roman" w:cs="Times New Roman"/>
          <w:sz w:val="28"/>
          <w:szCs w:val="28"/>
          <w:lang w:val="en-US"/>
        </w:rPr>
        <w:t>[11</w:t>
      </w:r>
      <w:r w:rsidR="0058227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ab/>
        <w:t>These revelations are common cause accounts. Ultimately</w:t>
      </w:r>
      <w:r w:rsidR="008D0C6D"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 xml:space="preserve"> the magistrate granted leave to appeal against the conviction largely on the strength of the further evidence that was placed before him.</w:t>
      </w:r>
      <w:r w:rsidR="0058227E" w:rsidRPr="004145B9">
        <w:rPr>
          <w:rFonts w:ascii="Times New Roman" w:eastAsiaTheme="minorHAnsi" w:hAnsi="Times New Roman" w:cs="Times New Roman"/>
          <w:sz w:val="28"/>
          <w:szCs w:val="28"/>
        </w:rPr>
        <w:t xml:space="preserve"> </w:t>
      </w:r>
      <w:r w:rsidR="0058227E" w:rsidRPr="004145B9">
        <w:rPr>
          <w:rFonts w:ascii="Times New Roman" w:eastAsiaTheme="minorHAnsi" w:hAnsi="Times New Roman" w:cs="Times New Roman"/>
          <w:sz w:val="28"/>
          <w:szCs w:val="28"/>
          <w:lang w:val="en-US"/>
        </w:rPr>
        <w:t>In terms of the provisions of s 309B(6) of the CPA</w:t>
      </w:r>
      <w:r w:rsidR="000F3B57" w:rsidRPr="004145B9">
        <w:rPr>
          <w:rFonts w:ascii="Times New Roman" w:eastAsiaTheme="minorHAnsi" w:hAnsi="Times New Roman" w:cs="Times New Roman"/>
          <w:sz w:val="28"/>
          <w:szCs w:val="28"/>
          <w:lang w:val="en-US"/>
        </w:rPr>
        <w:t>,</w:t>
      </w:r>
      <w:r w:rsidR="00FD2BC0" w:rsidRPr="004145B9">
        <w:rPr>
          <w:rStyle w:val="FootnoteReference"/>
          <w:rFonts w:ascii="Times New Roman" w:eastAsiaTheme="minorHAnsi" w:hAnsi="Times New Roman" w:cs="Times New Roman"/>
          <w:sz w:val="28"/>
          <w:szCs w:val="28"/>
          <w:lang w:val="en-US"/>
        </w:rPr>
        <w:footnoteReference w:id="2"/>
      </w:r>
      <w:r w:rsidR="0058227E" w:rsidRPr="004145B9">
        <w:rPr>
          <w:rFonts w:ascii="Times New Roman" w:eastAsiaTheme="minorHAnsi" w:hAnsi="Times New Roman" w:cs="Times New Roman"/>
          <w:sz w:val="28"/>
          <w:szCs w:val="28"/>
          <w:lang w:val="en-US"/>
        </w:rPr>
        <w:t xml:space="preserve"> further evidence becomes part of the evidence to be taken into account in the determination of the</w:t>
      </w:r>
      <w:r w:rsidR="0089322C"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 xml:space="preserve">appeal. </w:t>
      </w:r>
    </w:p>
    <w:p w14:paraId="46FDED9E" w14:textId="77777777" w:rsidR="00E11915" w:rsidRPr="004145B9" w:rsidRDefault="00E11915" w:rsidP="00DB1848">
      <w:pPr>
        <w:spacing w:after="0" w:line="360" w:lineRule="auto"/>
        <w:jc w:val="both"/>
        <w:rPr>
          <w:rFonts w:ascii="Times New Roman" w:eastAsiaTheme="minorHAnsi" w:hAnsi="Times New Roman" w:cs="Times New Roman"/>
          <w:b/>
          <w:sz w:val="28"/>
          <w:szCs w:val="28"/>
        </w:rPr>
      </w:pPr>
    </w:p>
    <w:p w14:paraId="66460A10" w14:textId="77777777" w:rsidR="0014365D" w:rsidRPr="004145B9" w:rsidRDefault="0014365D" w:rsidP="00DB1848">
      <w:pPr>
        <w:spacing w:after="0" w:line="360" w:lineRule="auto"/>
        <w:jc w:val="both"/>
        <w:rPr>
          <w:rFonts w:ascii="Times New Roman" w:eastAsiaTheme="minorHAnsi" w:hAnsi="Times New Roman" w:cs="Times New Roman"/>
          <w:b/>
          <w:sz w:val="28"/>
          <w:szCs w:val="28"/>
        </w:rPr>
      </w:pPr>
    </w:p>
    <w:p w14:paraId="1691A170" w14:textId="34EF9579" w:rsidR="00F21678" w:rsidRPr="004145B9" w:rsidRDefault="00FD2BC0" w:rsidP="00DB1848">
      <w:pPr>
        <w:spacing w:after="0" w:line="360" w:lineRule="auto"/>
        <w:jc w:val="both"/>
        <w:rPr>
          <w:rFonts w:ascii="Times New Roman" w:eastAsiaTheme="minorHAnsi" w:hAnsi="Times New Roman" w:cs="Times New Roman"/>
          <w:b/>
          <w:sz w:val="28"/>
          <w:szCs w:val="28"/>
        </w:rPr>
      </w:pPr>
      <w:r w:rsidRPr="004145B9">
        <w:rPr>
          <w:rFonts w:ascii="Times New Roman" w:eastAsiaTheme="minorHAnsi" w:hAnsi="Times New Roman" w:cs="Times New Roman"/>
          <w:b/>
          <w:sz w:val="28"/>
          <w:szCs w:val="28"/>
        </w:rPr>
        <w:lastRenderedPageBreak/>
        <w:t>Before</w:t>
      </w:r>
      <w:r w:rsidR="0058227E" w:rsidRPr="004145B9">
        <w:rPr>
          <w:rFonts w:ascii="Times New Roman" w:eastAsiaTheme="minorHAnsi" w:hAnsi="Times New Roman" w:cs="Times New Roman"/>
          <w:b/>
          <w:sz w:val="28"/>
          <w:szCs w:val="28"/>
        </w:rPr>
        <w:t xml:space="preserve"> the </w:t>
      </w:r>
      <w:r w:rsidRPr="004145B9">
        <w:rPr>
          <w:rFonts w:ascii="Times New Roman" w:eastAsiaTheme="minorHAnsi" w:hAnsi="Times New Roman" w:cs="Times New Roman"/>
          <w:b/>
          <w:sz w:val="28"/>
          <w:szCs w:val="28"/>
        </w:rPr>
        <w:t>full bench</w:t>
      </w:r>
    </w:p>
    <w:p w14:paraId="6BEB13C3" w14:textId="77777777" w:rsidR="00AA14FA" w:rsidRPr="004145B9" w:rsidRDefault="00F21678" w:rsidP="00DB1848">
      <w:pPr>
        <w:spacing w:after="0" w:line="360" w:lineRule="auto"/>
        <w:jc w:val="both"/>
        <w:rPr>
          <w:rFonts w:ascii="Times New Roman" w:eastAsiaTheme="minorHAnsi" w:hAnsi="Times New Roman" w:cs="Times New Roman"/>
          <w:b/>
          <w:sz w:val="28"/>
          <w:szCs w:val="28"/>
        </w:rPr>
      </w:pPr>
      <w:r w:rsidRPr="004145B9">
        <w:rPr>
          <w:rFonts w:ascii="Times New Roman" w:eastAsiaTheme="minorHAnsi" w:hAnsi="Times New Roman" w:cs="Times New Roman"/>
          <w:sz w:val="28"/>
          <w:szCs w:val="28"/>
          <w:lang w:val="en-US"/>
        </w:rPr>
        <w:t>[12</w:t>
      </w:r>
      <w:r w:rsidR="0058227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ab/>
        <w:t xml:space="preserve">The grounds upon which the appeal was noted were </w:t>
      </w:r>
      <w:r w:rsidR="00012F3F" w:rsidRPr="004145B9">
        <w:rPr>
          <w:rFonts w:ascii="Times New Roman" w:eastAsiaTheme="minorHAnsi" w:hAnsi="Times New Roman" w:cs="Times New Roman"/>
          <w:i/>
          <w:sz w:val="28"/>
          <w:szCs w:val="28"/>
          <w:lang w:val="en-US"/>
        </w:rPr>
        <w:t>inter alia</w:t>
      </w:r>
      <w:r w:rsidR="00012F3F"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 xml:space="preserve">that </w:t>
      </w:r>
      <w:r w:rsidR="0089322C" w:rsidRPr="004145B9">
        <w:rPr>
          <w:rFonts w:ascii="Times New Roman" w:eastAsiaTheme="minorHAnsi" w:hAnsi="Times New Roman" w:cs="Times New Roman"/>
          <w:sz w:val="28"/>
          <w:szCs w:val="28"/>
          <w:lang w:val="en-US"/>
        </w:rPr>
        <w:t>t</w:t>
      </w:r>
      <w:r w:rsidR="0058227E" w:rsidRPr="004145B9">
        <w:rPr>
          <w:rFonts w:ascii="Times New Roman" w:eastAsiaTheme="minorHAnsi" w:hAnsi="Times New Roman" w:cs="Times New Roman"/>
          <w:sz w:val="28"/>
          <w:szCs w:val="28"/>
          <w:lang w:val="en-US"/>
        </w:rPr>
        <w:t>he</w:t>
      </w:r>
      <w:r w:rsidR="0089322C" w:rsidRPr="004145B9">
        <w:rPr>
          <w:rFonts w:ascii="Times New Roman" w:eastAsiaTheme="minorHAnsi" w:hAnsi="Times New Roman" w:cs="Times New Roman"/>
          <w:sz w:val="28"/>
          <w:szCs w:val="28"/>
          <w:lang w:val="en-US"/>
        </w:rPr>
        <w:t xml:space="preserve"> full bench</w:t>
      </w:r>
      <w:r w:rsidR="0058227E" w:rsidRPr="004145B9">
        <w:rPr>
          <w:rFonts w:ascii="Times New Roman" w:eastAsiaTheme="minorHAnsi" w:hAnsi="Times New Roman" w:cs="Times New Roman"/>
          <w:sz w:val="28"/>
          <w:szCs w:val="28"/>
          <w:lang w:val="en-US"/>
        </w:rPr>
        <w:t xml:space="preserve"> </w:t>
      </w:r>
      <w:r w:rsidR="0089322C" w:rsidRPr="004145B9">
        <w:rPr>
          <w:rFonts w:ascii="Times New Roman" w:eastAsiaTheme="minorHAnsi" w:hAnsi="Times New Roman" w:cs="Times New Roman"/>
          <w:sz w:val="28"/>
          <w:szCs w:val="28"/>
          <w:lang w:val="en-US"/>
        </w:rPr>
        <w:t xml:space="preserve">erred </w:t>
      </w:r>
      <w:r w:rsidR="0058227E" w:rsidRPr="004145B9">
        <w:rPr>
          <w:rFonts w:ascii="Times New Roman" w:eastAsiaTheme="minorHAnsi" w:hAnsi="Times New Roman" w:cs="Times New Roman"/>
          <w:sz w:val="28"/>
          <w:szCs w:val="28"/>
          <w:lang w:val="en-US"/>
        </w:rPr>
        <w:t>in accepting the veracity of the evidence adduced by Mr Kubeka in the face of the uncontested evidence of the appellant, th</w:t>
      </w:r>
      <w:r w:rsidR="00335A3B" w:rsidRPr="004145B9">
        <w:rPr>
          <w:rFonts w:ascii="Times New Roman" w:eastAsiaTheme="minorHAnsi" w:hAnsi="Times New Roman" w:cs="Times New Roman"/>
          <w:sz w:val="28"/>
          <w:szCs w:val="28"/>
          <w:lang w:val="en-US"/>
        </w:rPr>
        <w:t>at one of the alleged robbers</w:t>
      </w:r>
      <w:r w:rsidR="0058227E" w:rsidRPr="004145B9">
        <w:rPr>
          <w:rFonts w:ascii="Times New Roman" w:eastAsiaTheme="minorHAnsi" w:hAnsi="Times New Roman" w:cs="Times New Roman"/>
          <w:sz w:val="28"/>
          <w:szCs w:val="28"/>
          <w:lang w:val="en-US"/>
        </w:rPr>
        <w:t xml:space="preserve"> </w:t>
      </w:r>
      <w:r w:rsidR="00335A3B" w:rsidRPr="004145B9">
        <w:rPr>
          <w:rFonts w:ascii="Times New Roman" w:eastAsiaTheme="minorHAnsi" w:hAnsi="Times New Roman" w:cs="Times New Roman"/>
          <w:sz w:val="28"/>
          <w:szCs w:val="28"/>
          <w:lang w:val="en-US"/>
        </w:rPr>
        <w:t xml:space="preserve">was in possession of a firearm and fired at the appellant who in turn fired two shots </w:t>
      </w:r>
      <w:r w:rsidR="00EB7D5E" w:rsidRPr="004145B9">
        <w:rPr>
          <w:rFonts w:ascii="Times New Roman" w:eastAsiaTheme="minorHAnsi" w:hAnsi="Times New Roman" w:cs="Times New Roman"/>
          <w:sz w:val="28"/>
          <w:szCs w:val="28"/>
          <w:lang w:val="en-US"/>
        </w:rPr>
        <w:t>in self-</w:t>
      </w:r>
      <w:r w:rsidR="00810364" w:rsidRPr="004145B9">
        <w:rPr>
          <w:rFonts w:ascii="Times New Roman" w:eastAsiaTheme="minorHAnsi" w:hAnsi="Times New Roman" w:cs="Times New Roman"/>
          <w:sz w:val="28"/>
          <w:szCs w:val="28"/>
          <w:lang w:val="en-US"/>
        </w:rPr>
        <w:t>defence</w:t>
      </w:r>
      <w:r w:rsidR="00EB7D5E" w:rsidRPr="004145B9">
        <w:rPr>
          <w:rFonts w:ascii="Times New Roman" w:eastAsiaTheme="minorHAnsi" w:hAnsi="Times New Roman" w:cs="Times New Roman"/>
          <w:sz w:val="28"/>
          <w:szCs w:val="28"/>
          <w:lang w:val="en-US"/>
        </w:rPr>
        <w:t xml:space="preserve">. </w:t>
      </w:r>
      <w:r w:rsidR="00335A3B" w:rsidRPr="004145B9">
        <w:rPr>
          <w:rFonts w:ascii="Times New Roman" w:eastAsiaTheme="minorHAnsi" w:hAnsi="Times New Roman" w:cs="Times New Roman"/>
          <w:sz w:val="28"/>
          <w:szCs w:val="28"/>
          <w:lang w:val="en-US"/>
        </w:rPr>
        <w:t>This resulted</w:t>
      </w:r>
      <w:r w:rsidR="0058227E" w:rsidRPr="004145B9">
        <w:rPr>
          <w:rFonts w:ascii="Times New Roman" w:eastAsiaTheme="minorHAnsi" w:hAnsi="Times New Roman" w:cs="Times New Roman"/>
          <w:sz w:val="28"/>
          <w:szCs w:val="28"/>
          <w:lang w:val="en-US"/>
        </w:rPr>
        <w:t xml:space="preserve"> in the </w:t>
      </w:r>
      <w:r w:rsidR="00810364" w:rsidRPr="004145B9">
        <w:rPr>
          <w:rFonts w:ascii="Times New Roman" w:eastAsiaTheme="minorHAnsi" w:hAnsi="Times New Roman" w:cs="Times New Roman"/>
          <w:sz w:val="28"/>
          <w:szCs w:val="28"/>
          <w:lang w:val="en-US"/>
        </w:rPr>
        <w:t xml:space="preserve">death </w:t>
      </w:r>
      <w:r w:rsidR="0058227E" w:rsidRPr="004145B9">
        <w:rPr>
          <w:rFonts w:ascii="Times New Roman" w:eastAsiaTheme="minorHAnsi" w:hAnsi="Times New Roman" w:cs="Times New Roman"/>
          <w:sz w:val="28"/>
          <w:szCs w:val="28"/>
          <w:lang w:val="en-US"/>
        </w:rPr>
        <w:t>of the deceased</w:t>
      </w:r>
      <w:r w:rsidR="00810364" w:rsidRPr="004145B9">
        <w:rPr>
          <w:rFonts w:ascii="Times New Roman" w:eastAsiaTheme="minorHAnsi" w:hAnsi="Times New Roman" w:cs="Times New Roman"/>
          <w:sz w:val="28"/>
          <w:szCs w:val="28"/>
          <w:lang w:val="en-US"/>
        </w:rPr>
        <w:t xml:space="preserve">. </w:t>
      </w:r>
      <w:r w:rsidR="00BA1EBF" w:rsidRPr="004145B9">
        <w:rPr>
          <w:rFonts w:ascii="Times New Roman" w:eastAsiaTheme="minorHAnsi" w:hAnsi="Times New Roman" w:cs="Times New Roman"/>
          <w:sz w:val="28"/>
          <w:szCs w:val="28"/>
          <w:lang w:val="en-US"/>
        </w:rPr>
        <w:t xml:space="preserve">The trial court admitted the contradictory evidence of the eyewitness, Mr </w:t>
      </w:r>
      <w:r w:rsidR="001143C7" w:rsidRPr="004145B9">
        <w:rPr>
          <w:rFonts w:ascii="Times New Roman" w:eastAsiaTheme="minorHAnsi" w:hAnsi="Times New Roman" w:cs="Times New Roman"/>
          <w:sz w:val="28"/>
          <w:szCs w:val="28"/>
          <w:lang w:val="en-US"/>
        </w:rPr>
        <w:t xml:space="preserve">Kubeka. </w:t>
      </w:r>
      <w:r w:rsidR="00A4378B" w:rsidRPr="004145B9">
        <w:rPr>
          <w:rFonts w:ascii="Times New Roman" w:eastAsiaTheme="minorHAnsi" w:hAnsi="Times New Roman" w:cs="Times New Roman"/>
          <w:sz w:val="28"/>
          <w:szCs w:val="28"/>
          <w:lang w:val="en-US"/>
        </w:rPr>
        <w:t>This evidence has</w:t>
      </w:r>
      <w:r w:rsidR="006B350A" w:rsidRPr="004145B9">
        <w:rPr>
          <w:rFonts w:ascii="Times New Roman" w:eastAsiaTheme="minorHAnsi" w:hAnsi="Times New Roman" w:cs="Times New Roman"/>
          <w:sz w:val="28"/>
          <w:szCs w:val="28"/>
          <w:lang w:val="en-US"/>
        </w:rPr>
        <w:t xml:space="preserve"> a direct bearing on the credib</w:t>
      </w:r>
      <w:r w:rsidR="007C0E42" w:rsidRPr="004145B9">
        <w:rPr>
          <w:rFonts w:ascii="Times New Roman" w:eastAsiaTheme="minorHAnsi" w:hAnsi="Times New Roman" w:cs="Times New Roman"/>
          <w:sz w:val="28"/>
          <w:szCs w:val="28"/>
          <w:lang w:val="en-US"/>
        </w:rPr>
        <w:t>ility of the single eye witness.</w:t>
      </w:r>
      <w:r w:rsidR="001143C7"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 xml:space="preserve"> </w:t>
      </w:r>
    </w:p>
    <w:p w14:paraId="34620405" w14:textId="77777777" w:rsidR="00ED1B7D" w:rsidRPr="004145B9" w:rsidRDefault="00ED1B7D" w:rsidP="00DB1848">
      <w:pPr>
        <w:spacing w:after="0" w:line="360" w:lineRule="auto"/>
        <w:jc w:val="both"/>
        <w:rPr>
          <w:rFonts w:ascii="Times New Roman" w:eastAsiaTheme="minorHAnsi" w:hAnsi="Times New Roman" w:cs="Times New Roman"/>
          <w:sz w:val="28"/>
          <w:szCs w:val="28"/>
          <w:lang w:val="en-US"/>
        </w:rPr>
      </w:pPr>
    </w:p>
    <w:p w14:paraId="2F41081D" w14:textId="77777777" w:rsidR="0058227E" w:rsidRPr="004145B9" w:rsidRDefault="00F21678" w:rsidP="00DB1848">
      <w:pPr>
        <w:spacing w:after="0" w:line="360" w:lineRule="auto"/>
        <w:jc w:val="both"/>
        <w:rPr>
          <w:rFonts w:ascii="Times New Roman" w:eastAsiaTheme="minorHAnsi" w:hAnsi="Times New Roman" w:cs="Times New Roman"/>
          <w:sz w:val="28"/>
          <w:szCs w:val="28"/>
          <w:lang w:val="en-US"/>
        </w:rPr>
      </w:pPr>
      <w:r w:rsidRPr="004145B9">
        <w:rPr>
          <w:rFonts w:ascii="Times New Roman" w:eastAsiaTheme="minorHAnsi" w:hAnsi="Times New Roman" w:cs="Times New Roman"/>
          <w:sz w:val="28"/>
          <w:szCs w:val="28"/>
          <w:lang w:val="en-US"/>
        </w:rPr>
        <w:t>[13</w:t>
      </w:r>
      <w:r w:rsidR="0058227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ab/>
        <w:t>Counsel for the appellant submitted that the</w:t>
      </w:r>
      <w:r w:rsidR="003C1A74" w:rsidRPr="004145B9">
        <w:rPr>
          <w:rFonts w:ascii="Times New Roman" w:eastAsiaTheme="minorHAnsi" w:hAnsi="Times New Roman" w:cs="Times New Roman"/>
          <w:sz w:val="28"/>
          <w:szCs w:val="28"/>
          <w:lang w:val="en-US"/>
        </w:rPr>
        <w:t xml:space="preserve"> full bench</w:t>
      </w:r>
      <w:r w:rsidR="0058227E" w:rsidRPr="004145B9">
        <w:rPr>
          <w:rFonts w:ascii="Times New Roman" w:eastAsiaTheme="minorHAnsi" w:hAnsi="Times New Roman" w:cs="Times New Roman"/>
          <w:sz w:val="28"/>
          <w:szCs w:val="28"/>
          <w:lang w:val="en-US"/>
        </w:rPr>
        <w:t xml:space="preserve"> materially erred when it accepted</w:t>
      </w:r>
      <w:r w:rsidR="0058227E" w:rsidRPr="004145B9">
        <w:rPr>
          <w:rFonts w:ascii="Times New Roman" w:eastAsiaTheme="minorHAnsi" w:hAnsi="Times New Roman" w:cs="Times New Roman"/>
          <w:b/>
          <w:sz w:val="28"/>
          <w:szCs w:val="28"/>
          <w:lang w:val="en-US"/>
        </w:rPr>
        <w:t xml:space="preserve"> </w:t>
      </w:r>
      <w:r w:rsidR="0058227E" w:rsidRPr="004145B9">
        <w:rPr>
          <w:rFonts w:ascii="Times New Roman" w:eastAsiaTheme="minorHAnsi" w:hAnsi="Times New Roman" w:cs="Times New Roman"/>
          <w:sz w:val="28"/>
          <w:szCs w:val="28"/>
          <w:lang w:val="en-US"/>
        </w:rPr>
        <w:t>the evidence of Mr Kubeka,</w:t>
      </w:r>
      <w:r w:rsidR="00557BD8" w:rsidRPr="004145B9">
        <w:rPr>
          <w:rFonts w:ascii="Times New Roman" w:eastAsiaTheme="minorHAnsi" w:hAnsi="Times New Roman" w:cs="Times New Roman"/>
          <w:sz w:val="28"/>
          <w:szCs w:val="28"/>
          <w:lang w:val="en-US"/>
        </w:rPr>
        <w:t xml:space="preserve"> </w:t>
      </w:r>
      <w:r w:rsidR="007869C0" w:rsidRPr="004145B9">
        <w:rPr>
          <w:rFonts w:ascii="Times New Roman" w:eastAsiaTheme="minorHAnsi" w:hAnsi="Times New Roman" w:cs="Times New Roman"/>
          <w:sz w:val="28"/>
          <w:szCs w:val="28"/>
          <w:lang w:val="en-US"/>
        </w:rPr>
        <w:t>who materially</w:t>
      </w:r>
      <w:r w:rsidR="00004CDB" w:rsidRPr="004145B9">
        <w:rPr>
          <w:rFonts w:ascii="Times New Roman" w:eastAsiaTheme="minorHAnsi" w:hAnsi="Times New Roman" w:cs="Times New Roman"/>
          <w:sz w:val="28"/>
          <w:szCs w:val="28"/>
          <w:lang w:val="en-US"/>
        </w:rPr>
        <w:t xml:space="preserve"> contradicted his evidence</w:t>
      </w:r>
      <w:r w:rsidR="0010129C" w:rsidRPr="004145B9">
        <w:rPr>
          <w:rFonts w:ascii="Times New Roman" w:eastAsiaTheme="minorHAnsi" w:hAnsi="Times New Roman" w:cs="Times New Roman"/>
          <w:sz w:val="28"/>
          <w:szCs w:val="28"/>
          <w:lang w:val="en-US"/>
        </w:rPr>
        <w:t xml:space="preserve"> in </w:t>
      </w:r>
      <w:r w:rsidR="0015747C" w:rsidRPr="004145B9">
        <w:rPr>
          <w:rFonts w:ascii="Times New Roman" w:eastAsiaTheme="minorHAnsi" w:hAnsi="Times New Roman" w:cs="Times New Roman"/>
          <w:sz w:val="28"/>
          <w:szCs w:val="28"/>
          <w:lang w:val="en-US"/>
        </w:rPr>
        <w:t>chief, cross</w:t>
      </w:r>
      <w:r w:rsidR="0010129C" w:rsidRPr="004145B9">
        <w:rPr>
          <w:rFonts w:ascii="Times New Roman" w:eastAsiaTheme="minorHAnsi" w:hAnsi="Times New Roman" w:cs="Times New Roman"/>
          <w:sz w:val="28"/>
          <w:szCs w:val="28"/>
          <w:lang w:val="en-US"/>
        </w:rPr>
        <w:t xml:space="preserve">-examination </w:t>
      </w:r>
      <w:r w:rsidR="0015747C" w:rsidRPr="004145B9">
        <w:rPr>
          <w:rFonts w:ascii="Times New Roman" w:eastAsiaTheme="minorHAnsi" w:hAnsi="Times New Roman" w:cs="Times New Roman"/>
          <w:sz w:val="28"/>
          <w:szCs w:val="28"/>
          <w:lang w:val="en-US"/>
        </w:rPr>
        <w:t>and pertinently</w:t>
      </w:r>
      <w:r w:rsidR="00557BD8" w:rsidRPr="004145B9">
        <w:rPr>
          <w:rFonts w:ascii="Times New Roman" w:eastAsiaTheme="minorHAnsi" w:hAnsi="Times New Roman" w:cs="Times New Roman"/>
          <w:sz w:val="28"/>
          <w:szCs w:val="28"/>
          <w:lang w:val="en-US"/>
        </w:rPr>
        <w:t xml:space="preserve"> his</w:t>
      </w:r>
      <w:r w:rsidR="00D709F2" w:rsidRPr="004145B9">
        <w:rPr>
          <w:rFonts w:ascii="Times New Roman" w:eastAsiaTheme="minorHAnsi" w:hAnsi="Times New Roman" w:cs="Times New Roman"/>
          <w:sz w:val="28"/>
          <w:szCs w:val="28"/>
          <w:lang w:val="en-US"/>
        </w:rPr>
        <w:t xml:space="preserve"> statement that he made to the</w:t>
      </w:r>
      <w:r w:rsidR="00F43C43" w:rsidRPr="004145B9">
        <w:rPr>
          <w:rFonts w:ascii="Times New Roman" w:eastAsiaTheme="minorHAnsi" w:hAnsi="Times New Roman" w:cs="Times New Roman"/>
          <w:sz w:val="28"/>
          <w:szCs w:val="28"/>
          <w:lang w:val="en-US"/>
        </w:rPr>
        <w:t xml:space="preserve"> police</w:t>
      </w:r>
      <w:r w:rsidR="00EB7D5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 xml:space="preserve"> In sum</w:t>
      </w:r>
      <w:r w:rsidR="00C512C0"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 xml:space="preserve"> </w:t>
      </w:r>
      <w:r w:rsidR="00F8602E" w:rsidRPr="004145B9">
        <w:rPr>
          <w:rFonts w:ascii="Times New Roman" w:eastAsiaTheme="minorHAnsi" w:hAnsi="Times New Roman" w:cs="Times New Roman"/>
          <w:sz w:val="28"/>
          <w:szCs w:val="28"/>
          <w:lang w:val="en-US"/>
        </w:rPr>
        <w:t>the appellant’s</w:t>
      </w:r>
      <w:r w:rsidR="0058227E" w:rsidRPr="004145B9">
        <w:rPr>
          <w:rFonts w:ascii="Times New Roman" w:eastAsiaTheme="minorHAnsi" w:hAnsi="Times New Roman" w:cs="Times New Roman"/>
          <w:sz w:val="28"/>
          <w:szCs w:val="28"/>
          <w:lang w:val="en-US"/>
        </w:rPr>
        <w:t xml:space="preserve"> complaint is that </w:t>
      </w:r>
      <w:r w:rsidR="00F40338" w:rsidRPr="004145B9">
        <w:rPr>
          <w:rFonts w:ascii="Times New Roman" w:eastAsiaTheme="minorHAnsi" w:hAnsi="Times New Roman" w:cs="Times New Roman"/>
          <w:sz w:val="28"/>
          <w:szCs w:val="28"/>
          <w:lang w:val="en-US"/>
        </w:rPr>
        <w:t>the full bench</w:t>
      </w:r>
      <w:r w:rsidR="0058227E" w:rsidRPr="004145B9">
        <w:rPr>
          <w:rFonts w:ascii="Times New Roman" w:eastAsiaTheme="minorHAnsi" w:hAnsi="Times New Roman" w:cs="Times New Roman"/>
          <w:sz w:val="28"/>
          <w:szCs w:val="28"/>
          <w:lang w:val="en-US"/>
        </w:rPr>
        <w:t xml:space="preserve"> did not treat Mr Kubeka</w:t>
      </w:r>
      <w:r w:rsidR="003D7DDA" w:rsidRPr="004145B9">
        <w:rPr>
          <w:rFonts w:ascii="Times New Roman" w:eastAsiaTheme="minorHAnsi" w:hAnsi="Times New Roman" w:cs="Times New Roman"/>
          <w:sz w:val="28"/>
          <w:szCs w:val="28"/>
          <w:lang w:val="en-US"/>
        </w:rPr>
        <w:t>’s</w:t>
      </w:r>
      <w:r w:rsidR="0058227E" w:rsidRPr="004145B9">
        <w:rPr>
          <w:rFonts w:ascii="Times New Roman" w:eastAsiaTheme="minorHAnsi" w:hAnsi="Times New Roman" w:cs="Times New Roman"/>
          <w:sz w:val="28"/>
          <w:szCs w:val="28"/>
          <w:lang w:val="en-US"/>
        </w:rPr>
        <w:t xml:space="preserve"> </w:t>
      </w:r>
      <w:r w:rsidR="00B07B86" w:rsidRPr="004145B9">
        <w:rPr>
          <w:rFonts w:ascii="Times New Roman" w:eastAsiaTheme="minorHAnsi" w:hAnsi="Times New Roman" w:cs="Times New Roman"/>
          <w:sz w:val="28"/>
          <w:szCs w:val="28"/>
          <w:lang w:val="en-US"/>
        </w:rPr>
        <w:t xml:space="preserve">single evidence </w:t>
      </w:r>
      <w:r w:rsidR="0058227E" w:rsidRPr="004145B9">
        <w:rPr>
          <w:rFonts w:ascii="Times New Roman" w:eastAsiaTheme="minorHAnsi" w:hAnsi="Times New Roman" w:cs="Times New Roman"/>
          <w:sz w:val="28"/>
          <w:szCs w:val="28"/>
          <w:lang w:val="en-US"/>
        </w:rPr>
        <w:t>with caution.</w:t>
      </w:r>
      <w:r w:rsidR="0058227E" w:rsidRPr="004145B9">
        <w:rPr>
          <w:rStyle w:val="FootnoteReference"/>
          <w:rFonts w:ascii="Times New Roman" w:eastAsiaTheme="minorHAnsi" w:hAnsi="Times New Roman" w:cs="Times New Roman"/>
          <w:sz w:val="28"/>
          <w:szCs w:val="28"/>
          <w:lang w:val="en-US"/>
        </w:rPr>
        <w:footnoteReference w:id="3"/>
      </w:r>
    </w:p>
    <w:p w14:paraId="6CE10145" w14:textId="77777777" w:rsidR="002D1760" w:rsidRPr="004145B9" w:rsidRDefault="002D1760" w:rsidP="00DB1848">
      <w:pPr>
        <w:spacing w:after="0" w:line="360" w:lineRule="auto"/>
        <w:jc w:val="both"/>
        <w:rPr>
          <w:rFonts w:ascii="Times New Roman" w:eastAsiaTheme="minorHAnsi" w:hAnsi="Times New Roman" w:cs="Times New Roman"/>
          <w:sz w:val="28"/>
          <w:szCs w:val="28"/>
          <w:lang w:val="en-US"/>
        </w:rPr>
      </w:pPr>
    </w:p>
    <w:p w14:paraId="0EFAB1E0" w14:textId="77777777" w:rsidR="00D05D12" w:rsidRPr="004145B9" w:rsidRDefault="00F21678" w:rsidP="00DB1848">
      <w:pPr>
        <w:spacing w:after="0" w:line="360" w:lineRule="auto"/>
        <w:jc w:val="both"/>
        <w:rPr>
          <w:rFonts w:ascii="Times New Roman" w:eastAsiaTheme="minorHAnsi" w:hAnsi="Times New Roman" w:cs="Times New Roman"/>
          <w:sz w:val="28"/>
          <w:szCs w:val="28"/>
          <w:lang w:val="en-US"/>
        </w:rPr>
      </w:pPr>
      <w:r w:rsidRPr="004145B9">
        <w:rPr>
          <w:rFonts w:ascii="Times New Roman" w:eastAsiaTheme="minorHAnsi" w:hAnsi="Times New Roman" w:cs="Times New Roman"/>
          <w:sz w:val="28"/>
          <w:szCs w:val="28"/>
          <w:lang w:val="en-US"/>
        </w:rPr>
        <w:t>[14</w:t>
      </w:r>
      <w:r w:rsidR="0058227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ab/>
        <w:t>The thrust of the submissions advanced on behalf of the respondent was that the evidence of Mr Kubeka, a single witness,</w:t>
      </w:r>
      <w:r w:rsidR="001432FC" w:rsidRPr="004145B9">
        <w:rPr>
          <w:rFonts w:ascii="Times New Roman" w:eastAsiaTheme="minorHAnsi" w:hAnsi="Times New Roman" w:cs="Times New Roman"/>
          <w:sz w:val="28"/>
          <w:szCs w:val="28"/>
          <w:lang w:val="en-US"/>
        </w:rPr>
        <w:t xml:space="preserve"> is</w:t>
      </w:r>
      <w:r w:rsidR="004B0EEF" w:rsidRPr="004145B9">
        <w:rPr>
          <w:rFonts w:ascii="Times New Roman" w:eastAsiaTheme="minorHAnsi" w:hAnsi="Times New Roman" w:cs="Times New Roman"/>
          <w:sz w:val="28"/>
          <w:szCs w:val="28"/>
          <w:lang w:val="en-US"/>
        </w:rPr>
        <w:t xml:space="preserve"> </w:t>
      </w:r>
      <w:r w:rsidR="00F8602E" w:rsidRPr="004145B9">
        <w:rPr>
          <w:rFonts w:ascii="Times New Roman" w:eastAsiaTheme="minorHAnsi" w:hAnsi="Times New Roman" w:cs="Times New Roman"/>
          <w:sz w:val="28"/>
          <w:szCs w:val="28"/>
          <w:lang w:val="en-US"/>
        </w:rPr>
        <w:t>credible</w:t>
      </w:r>
      <w:r w:rsidR="00B41BF1"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and reliable to sustain a conviction for murder</w:t>
      </w:r>
      <w:r w:rsidR="00FB6C4A" w:rsidRPr="004145B9">
        <w:rPr>
          <w:rFonts w:ascii="Times New Roman" w:eastAsiaTheme="minorHAnsi" w:hAnsi="Times New Roman" w:cs="Times New Roman"/>
          <w:sz w:val="28"/>
          <w:szCs w:val="28"/>
          <w:lang w:val="en-US"/>
        </w:rPr>
        <w:t>,</w:t>
      </w:r>
      <w:r w:rsidR="00F94BD9" w:rsidRPr="004145B9">
        <w:rPr>
          <w:rFonts w:ascii="Times New Roman" w:eastAsiaTheme="minorHAnsi" w:hAnsi="Times New Roman" w:cs="Times New Roman"/>
          <w:sz w:val="28"/>
          <w:szCs w:val="28"/>
          <w:lang w:val="en-US"/>
        </w:rPr>
        <w:t xml:space="preserve"> notwithstanding the fact</w:t>
      </w:r>
      <w:r w:rsidR="00C77AB6"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that he contradi</w:t>
      </w:r>
      <w:r w:rsidR="00C77AB6" w:rsidRPr="004145B9">
        <w:rPr>
          <w:rFonts w:ascii="Times New Roman" w:eastAsiaTheme="minorHAnsi" w:hAnsi="Times New Roman" w:cs="Times New Roman"/>
          <w:sz w:val="28"/>
          <w:szCs w:val="28"/>
          <w:lang w:val="en-US"/>
        </w:rPr>
        <w:t xml:space="preserve">cted himself in </w:t>
      </w:r>
      <w:r w:rsidR="008B2D22" w:rsidRPr="004145B9">
        <w:rPr>
          <w:rFonts w:ascii="Times New Roman" w:eastAsiaTheme="minorHAnsi" w:hAnsi="Times New Roman" w:cs="Times New Roman"/>
          <w:sz w:val="28"/>
          <w:szCs w:val="28"/>
          <w:lang w:val="en-US"/>
        </w:rPr>
        <w:t>material respects.</w:t>
      </w:r>
      <w:r w:rsidR="0058227E" w:rsidRPr="004145B9">
        <w:rPr>
          <w:rFonts w:ascii="Times New Roman" w:eastAsiaTheme="minorHAnsi" w:hAnsi="Times New Roman" w:cs="Times New Roman"/>
          <w:sz w:val="28"/>
          <w:szCs w:val="28"/>
          <w:lang w:val="en-US"/>
        </w:rPr>
        <w:t xml:space="preserve"> The respondent contended that it was improbable that an influence was exerted upon Mr Kubeka to falsely implicate the appellant</w:t>
      </w:r>
      <w:r w:rsidR="00F8602E"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 xml:space="preserve">in the commission of </w:t>
      </w:r>
      <w:r w:rsidR="00B31CCA" w:rsidRPr="004145B9">
        <w:rPr>
          <w:rFonts w:ascii="Times New Roman" w:eastAsiaTheme="minorHAnsi" w:hAnsi="Times New Roman" w:cs="Times New Roman"/>
          <w:sz w:val="28"/>
          <w:szCs w:val="28"/>
          <w:lang w:val="en-US"/>
        </w:rPr>
        <w:t xml:space="preserve">the </w:t>
      </w:r>
      <w:r w:rsidR="0058227E" w:rsidRPr="004145B9">
        <w:rPr>
          <w:rFonts w:ascii="Times New Roman" w:eastAsiaTheme="minorHAnsi" w:hAnsi="Times New Roman" w:cs="Times New Roman"/>
          <w:sz w:val="28"/>
          <w:szCs w:val="28"/>
          <w:lang w:val="en-US"/>
        </w:rPr>
        <w:t xml:space="preserve">murder and that no objective evidence existed to draw an inference that the </w:t>
      </w:r>
      <w:r w:rsidR="00676070" w:rsidRPr="004145B9">
        <w:rPr>
          <w:rFonts w:ascii="Times New Roman" w:eastAsiaTheme="minorHAnsi" w:hAnsi="Times New Roman" w:cs="Times New Roman"/>
          <w:sz w:val="28"/>
          <w:szCs w:val="28"/>
          <w:lang w:val="en-US"/>
        </w:rPr>
        <w:t xml:space="preserve">alleged robbers </w:t>
      </w:r>
      <w:r w:rsidR="0058227E" w:rsidRPr="004145B9">
        <w:rPr>
          <w:rFonts w:ascii="Times New Roman" w:eastAsiaTheme="minorHAnsi" w:hAnsi="Times New Roman" w:cs="Times New Roman"/>
          <w:sz w:val="28"/>
          <w:szCs w:val="28"/>
          <w:lang w:val="en-US"/>
        </w:rPr>
        <w:t xml:space="preserve">had a firearm. </w:t>
      </w:r>
    </w:p>
    <w:p w14:paraId="428690F4" w14:textId="77777777" w:rsidR="002D1760" w:rsidRPr="004145B9" w:rsidRDefault="002D1760" w:rsidP="00DB1848">
      <w:pPr>
        <w:spacing w:after="0" w:line="360" w:lineRule="auto"/>
        <w:jc w:val="both"/>
        <w:rPr>
          <w:rFonts w:ascii="Times New Roman" w:eastAsiaTheme="minorHAnsi" w:hAnsi="Times New Roman" w:cs="Times New Roman"/>
          <w:strike/>
          <w:sz w:val="28"/>
          <w:szCs w:val="28"/>
          <w:lang w:val="en-US"/>
        </w:rPr>
      </w:pPr>
    </w:p>
    <w:p w14:paraId="3F73AB6B" w14:textId="77777777" w:rsidR="0058227E" w:rsidRPr="004145B9" w:rsidRDefault="00F21678" w:rsidP="00DB1848">
      <w:pPr>
        <w:spacing w:after="0" w:line="360" w:lineRule="auto"/>
        <w:jc w:val="both"/>
        <w:rPr>
          <w:rFonts w:ascii="Times New Roman" w:eastAsiaTheme="minorHAnsi" w:hAnsi="Times New Roman" w:cs="Times New Roman"/>
          <w:sz w:val="28"/>
          <w:szCs w:val="28"/>
          <w:lang w:val="en-US"/>
        </w:rPr>
      </w:pPr>
      <w:r w:rsidRPr="004145B9">
        <w:rPr>
          <w:rFonts w:ascii="Times New Roman" w:eastAsiaTheme="minorHAnsi" w:hAnsi="Times New Roman" w:cs="Times New Roman"/>
          <w:sz w:val="28"/>
          <w:szCs w:val="28"/>
          <w:lang w:val="en-US"/>
        </w:rPr>
        <w:t>[15</w:t>
      </w:r>
      <w:r w:rsidR="0058227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ab/>
        <w:t xml:space="preserve">In matters of this nature, this Court is not at liberty to interfere with the findings of fact made by the trial court unless the manner in which the evidence </w:t>
      </w:r>
      <w:r w:rsidR="0058227E" w:rsidRPr="004145B9">
        <w:rPr>
          <w:rFonts w:ascii="Times New Roman" w:eastAsiaTheme="minorHAnsi" w:hAnsi="Times New Roman" w:cs="Times New Roman"/>
          <w:sz w:val="28"/>
          <w:szCs w:val="28"/>
          <w:lang w:val="en-US"/>
        </w:rPr>
        <w:lastRenderedPageBreak/>
        <w:t>was evaluated is proved to be wrong.</w:t>
      </w:r>
      <w:r w:rsidR="0058227E" w:rsidRPr="004145B9">
        <w:rPr>
          <w:rFonts w:ascii="Times New Roman" w:eastAsiaTheme="minorHAnsi" w:hAnsi="Times New Roman" w:cs="Times New Roman"/>
          <w:sz w:val="28"/>
          <w:szCs w:val="28"/>
          <w:vertAlign w:val="superscript"/>
          <w:lang w:val="en-US"/>
        </w:rPr>
        <w:footnoteReference w:id="4"/>
      </w:r>
      <w:r w:rsidR="0058227E" w:rsidRPr="004145B9">
        <w:rPr>
          <w:rFonts w:ascii="Times New Roman" w:eastAsiaTheme="minorHAnsi" w:hAnsi="Times New Roman" w:cs="Times New Roman"/>
          <w:sz w:val="28"/>
          <w:szCs w:val="28"/>
          <w:lang w:val="en-US"/>
        </w:rPr>
        <w:t xml:space="preserve"> In determining the question of whether the </w:t>
      </w:r>
      <w:r w:rsidR="00BE7CD3" w:rsidRPr="004145B9">
        <w:rPr>
          <w:rFonts w:ascii="Times New Roman" w:eastAsiaTheme="minorHAnsi" w:hAnsi="Times New Roman" w:cs="Times New Roman"/>
          <w:sz w:val="28"/>
          <w:szCs w:val="28"/>
          <w:lang w:val="en-US"/>
        </w:rPr>
        <w:t>full bench</w:t>
      </w:r>
      <w:r w:rsidR="0058227E" w:rsidRPr="004145B9">
        <w:rPr>
          <w:rFonts w:ascii="Times New Roman" w:eastAsiaTheme="minorHAnsi" w:hAnsi="Times New Roman" w:cs="Times New Roman"/>
          <w:sz w:val="28"/>
          <w:szCs w:val="28"/>
          <w:lang w:val="en-US"/>
        </w:rPr>
        <w:t xml:space="preserve"> committed an error, of fact or law, the findings of fact made by the trial court must be evaluated against the entire evidence that was led at the trial. That much was stated by this Court in </w:t>
      </w:r>
      <w:r w:rsidR="0058227E" w:rsidRPr="004145B9">
        <w:rPr>
          <w:rFonts w:ascii="Times New Roman" w:eastAsiaTheme="minorHAnsi" w:hAnsi="Times New Roman" w:cs="Times New Roman"/>
          <w:i/>
          <w:sz w:val="28"/>
          <w:szCs w:val="28"/>
          <w:lang w:val="en-US"/>
        </w:rPr>
        <w:t>S v Trainor</w:t>
      </w:r>
      <w:r w:rsidR="00D05D12"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vertAlign w:val="superscript"/>
          <w:lang w:val="en-US"/>
        </w:rPr>
        <w:footnoteReference w:id="5"/>
      </w:r>
      <w:r w:rsidR="0058227E" w:rsidRPr="004145B9">
        <w:rPr>
          <w:rFonts w:ascii="Times New Roman" w:eastAsiaTheme="minorHAnsi" w:hAnsi="Times New Roman" w:cs="Times New Roman"/>
          <w:sz w:val="28"/>
          <w:szCs w:val="28"/>
          <w:lang w:val="en-US"/>
        </w:rPr>
        <w:t xml:space="preserve"> That exercise has to be undertaken against the legal principle that the duty to prove that the accused is guilty lies squarely within the domain of the prosecution, and that duty does not shift to the accused even if they have raised a </w:t>
      </w:r>
      <w:r w:rsidR="00F8602E" w:rsidRPr="004145B9">
        <w:rPr>
          <w:rFonts w:ascii="Times New Roman" w:eastAsiaTheme="minorHAnsi" w:hAnsi="Times New Roman" w:cs="Times New Roman"/>
          <w:sz w:val="28"/>
          <w:szCs w:val="28"/>
          <w:lang w:val="en-US"/>
        </w:rPr>
        <w:t xml:space="preserve">private </w:t>
      </w:r>
      <w:r w:rsidR="0058227E" w:rsidRPr="004145B9">
        <w:rPr>
          <w:rFonts w:ascii="Times New Roman" w:eastAsiaTheme="minorHAnsi" w:hAnsi="Times New Roman" w:cs="Times New Roman"/>
          <w:sz w:val="28"/>
          <w:szCs w:val="28"/>
          <w:lang w:val="en-US"/>
        </w:rPr>
        <w:t>defence</w:t>
      </w:r>
      <w:r w:rsidR="00F8602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vertAlign w:val="superscript"/>
          <w:lang w:val="en-US"/>
        </w:rPr>
        <w:footnoteReference w:id="6"/>
      </w:r>
      <w:r w:rsidR="0058227E" w:rsidRPr="004145B9">
        <w:rPr>
          <w:rFonts w:ascii="Times New Roman" w:eastAsiaTheme="minorHAnsi" w:hAnsi="Times New Roman" w:cs="Times New Roman"/>
          <w:sz w:val="28"/>
          <w:szCs w:val="28"/>
          <w:lang w:val="en-US"/>
        </w:rPr>
        <w:t xml:space="preserve"> Where, in the performance of that exercise, it is found that it is reasonably possible</w:t>
      </w:r>
      <w:r w:rsidR="00F8602E"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that the accused might be innocent, the accused must be acquitted.</w:t>
      </w:r>
      <w:r w:rsidR="00507B4E" w:rsidRPr="004145B9">
        <w:rPr>
          <w:rStyle w:val="FootnoteReference"/>
          <w:rFonts w:ascii="Times New Roman" w:eastAsiaTheme="minorHAnsi" w:hAnsi="Times New Roman" w:cs="Times New Roman"/>
          <w:sz w:val="28"/>
          <w:szCs w:val="28"/>
          <w:lang w:val="en-US"/>
        </w:rPr>
        <w:footnoteReference w:id="7"/>
      </w:r>
    </w:p>
    <w:p w14:paraId="53840C59" w14:textId="77777777" w:rsidR="002D1760" w:rsidRPr="004145B9" w:rsidRDefault="002D1760" w:rsidP="00DB1848">
      <w:pPr>
        <w:spacing w:after="0" w:line="360" w:lineRule="auto"/>
        <w:jc w:val="both"/>
        <w:rPr>
          <w:rFonts w:ascii="Times New Roman" w:eastAsiaTheme="minorHAnsi" w:hAnsi="Times New Roman" w:cs="Times New Roman"/>
          <w:sz w:val="28"/>
          <w:szCs w:val="28"/>
          <w:lang w:val="en-US"/>
        </w:rPr>
      </w:pPr>
    </w:p>
    <w:p w14:paraId="0BDAA26E" w14:textId="1E927805" w:rsidR="0058227E" w:rsidRPr="004145B9" w:rsidRDefault="00F21678" w:rsidP="00DB1848">
      <w:pPr>
        <w:spacing w:after="0" w:line="360" w:lineRule="auto"/>
        <w:jc w:val="both"/>
        <w:rPr>
          <w:rFonts w:ascii="Times New Roman" w:eastAsiaTheme="minorHAnsi" w:hAnsi="Times New Roman" w:cs="Times New Roman"/>
          <w:sz w:val="28"/>
          <w:szCs w:val="28"/>
          <w:lang w:val="en-US"/>
        </w:rPr>
      </w:pPr>
      <w:r w:rsidRPr="004145B9">
        <w:rPr>
          <w:rFonts w:ascii="Times New Roman" w:eastAsiaTheme="minorHAnsi" w:hAnsi="Times New Roman" w:cs="Times New Roman"/>
          <w:sz w:val="28"/>
          <w:szCs w:val="28"/>
          <w:lang w:val="en-US"/>
        </w:rPr>
        <w:t>[16</w:t>
      </w:r>
      <w:r w:rsidR="0058227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ab/>
        <w:t xml:space="preserve">There are fundamental errors committed by </w:t>
      </w:r>
      <w:r w:rsidR="00EB7D5E" w:rsidRPr="004145B9">
        <w:rPr>
          <w:rFonts w:ascii="Times New Roman" w:eastAsiaTheme="minorHAnsi" w:hAnsi="Times New Roman" w:cs="Times New Roman"/>
          <w:sz w:val="28"/>
          <w:szCs w:val="28"/>
          <w:lang w:val="en-US"/>
        </w:rPr>
        <w:t>the full bench</w:t>
      </w:r>
      <w:r w:rsidR="0058227E" w:rsidRPr="004145B9">
        <w:rPr>
          <w:rFonts w:ascii="Times New Roman" w:eastAsiaTheme="minorHAnsi" w:hAnsi="Times New Roman" w:cs="Times New Roman"/>
          <w:sz w:val="28"/>
          <w:szCs w:val="28"/>
          <w:lang w:val="en-US"/>
        </w:rPr>
        <w:t xml:space="preserve"> in this matter. The </w:t>
      </w:r>
      <w:r w:rsidR="00F8602E" w:rsidRPr="004145B9">
        <w:rPr>
          <w:rFonts w:ascii="Times New Roman" w:eastAsiaTheme="minorHAnsi" w:hAnsi="Times New Roman" w:cs="Times New Roman"/>
          <w:sz w:val="28"/>
          <w:szCs w:val="28"/>
          <w:lang w:val="en-US"/>
        </w:rPr>
        <w:t xml:space="preserve">record </w:t>
      </w:r>
      <w:r w:rsidR="0058227E" w:rsidRPr="004145B9">
        <w:rPr>
          <w:rFonts w:ascii="Times New Roman" w:eastAsiaTheme="minorHAnsi" w:hAnsi="Times New Roman" w:cs="Times New Roman"/>
          <w:sz w:val="28"/>
          <w:szCs w:val="28"/>
          <w:lang w:val="en-US"/>
        </w:rPr>
        <w:t>indicates that</w:t>
      </w:r>
      <w:r w:rsidR="00F8602E" w:rsidRPr="004145B9">
        <w:rPr>
          <w:rFonts w:ascii="Times New Roman" w:eastAsiaTheme="minorHAnsi" w:hAnsi="Times New Roman" w:cs="Times New Roman"/>
          <w:sz w:val="28"/>
          <w:szCs w:val="28"/>
          <w:lang w:val="en-US"/>
        </w:rPr>
        <w:t xml:space="preserve"> the </w:t>
      </w:r>
      <w:r w:rsidR="00C3560A" w:rsidRPr="004145B9">
        <w:rPr>
          <w:rFonts w:ascii="Times New Roman" w:eastAsiaTheme="minorHAnsi" w:hAnsi="Times New Roman" w:cs="Times New Roman"/>
          <w:sz w:val="28"/>
          <w:szCs w:val="28"/>
          <w:lang w:val="en-US"/>
        </w:rPr>
        <w:t>full bench</w:t>
      </w:r>
      <w:r w:rsidR="0058227E" w:rsidRPr="004145B9">
        <w:rPr>
          <w:rFonts w:ascii="Times New Roman" w:eastAsiaTheme="minorHAnsi" w:hAnsi="Times New Roman" w:cs="Times New Roman"/>
          <w:sz w:val="28"/>
          <w:szCs w:val="28"/>
          <w:lang w:val="en-US"/>
        </w:rPr>
        <w:t>:</w:t>
      </w:r>
      <w:r w:rsidR="00F8602E"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(a) accepted the evidence of Mr Kubeka</w:t>
      </w:r>
      <w:r w:rsidR="00F8602E"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that he saw the boys running and being chased by the appellant; (b) the appellant fired a total of four gunshots towards the two boys; (c) that the boys did not have a firearm in their possession at all.</w:t>
      </w:r>
      <w:r w:rsidR="00AF65F3" w:rsidRPr="004145B9">
        <w:rPr>
          <w:rFonts w:ascii="Times New Roman" w:eastAsiaTheme="minorHAnsi" w:hAnsi="Times New Roman" w:cs="Times New Roman"/>
          <w:sz w:val="28"/>
          <w:szCs w:val="28"/>
          <w:lang w:val="en-US"/>
        </w:rPr>
        <w:t xml:space="preserve"> </w:t>
      </w:r>
      <w:r w:rsidR="006F62DF" w:rsidRPr="004145B9">
        <w:rPr>
          <w:rFonts w:ascii="Times New Roman" w:eastAsiaTheme="minorHAnsi" w:hAnsi="Times New Roman" w:cs="Times New Roman"/>
          <w:sz w:val="28"/>
          <w:szCs w:val="28"/>
          <w:lang w:val="en-US"/>
        </w:rPr>
        <w:t>In my view o</w:t>
      </w:r>
      <w:r w:rsidR="00AF65F3" w:rsidRPr="004145B9">
        <w:rPr>
          <w:rFonts w:ascii="Times New Roman" w:eastAsiaTheme="minorHAnsi" w:hAnsi="Times New Roman" w:cs="Times New Roman"/>
          <w:sz w:val="28"/>
          <w:szCs w:val="28"/>
          <w:lang w:val="en-US"/>
        </w:rPr>
        <w:t>n the probabilities</w:t>
      </w:r>
      <w:r w:rsidR="00C96EA3" w:rsidRPr="004145B9">
        <w:rPr>
          <w:rFonts w:ascii="Times New Roman" w:eastAsiaTheme="minorHAnsi" w:hAnsi="Times New Roman" w:cs="Times New Roman"/>
          <w:sz w:val="28"/>
          <w:szCs w:val="28"/>
          <w:lang w:val="en-US"/>
        </w:rPr>
        <w:t>,</w:t>
      </w:r>
      <w:r w:rsidR="00AF65F3" w:rsidRPr="004145B9">
        <w:rPr>
          <w:rFonts w:ascii="Times New Roman" w:eastAsiaTheme="minorHAnsi" w:hAnsi="Times New Roman" w:cs="Times New Roman"/>
          <w:sz w:val="28"/>
          <w:szCs w:val="28"/>
          <w:lang w:val="en-US"/>
        </w:rPr>
        <w:t xml:space="preserve"> the position of the cartridges indicated in photographs clearly support the appellant’s version that he fired shots at different places and not all at once in the same vicinity.</w:t>
      </w:r>
      <w:r w:rsidR="0058227E" w:rsidRPr="004145B9">
        <w:rPr>
          <w:rFonts w:ascii="Times New Roman" w:eastAsiaTheme="minorHAnsi" w:hAnsi="Times New Roman" w:cs="Times New Roman"/>
          <w:sz w:val="28"/>
          <w:szCs w:val="28"/>
          <w:lang w:val="en-US"/>
        </w:rPr>
        <w:t xml:space="preserve"> </w:t>
      </w:r>
      <w:r w:rsidR="00121015" w:rsidRPr="004145B9">
        <w:rPr>
          <w:rFonts w:ascii="Times New Roman" w:eastAsiaTheme="minorHAnsi" w:hAnsi="Times New Roman" w:cs="Times New Roman"/>
          <w:sz w:val="28"/>
          <w:szCs w:val="28"/>
          <w:lang w:val="en-US"/>
        </w:rPr>
        <w:t>It is highly improbable that the appellant fired the shots all at once in the same vicinity because the photographs indicate that catridges were found at different places.</w:t>
      </w:r>
    </w:p>
    <w:p w14:paraId="5D95FF3F" w14:textId="77777777" w:rsidR="002D1760" w:rsidRPr="004145B9" w:rsidRDefault="002D1760" w:rsidP="00DB1848">
      <w:pPr>
        <w:spacing w:after="0" w:line="360" w:lineRule="auto"/>
        <w:jc w:val="both"/>
        <w:rPr>
          <w:rFonts w:ascii="Times New Roman" w:eastAsiaTheme="minorHAnsi" w:hAnsi="Times New Roman" w:cs="Times New Roman"/>
          <w:sz w:val="28"/>
          <w:szCs w:val="28"/>
          <w:lang w:val="en-US"/>
        </w:rPr>
      </w:pPr>
    </w:p>
    <w:p w14:paraId="5E6DF0F2" w14:textId="0AF82088" w:rsidR="00FA2B4F" w:rsidRPr="004145B9" w:rsidRDefault="00F21678" w:rsidP="00DB1848">
      <w:pPr>
        <w:spacing w:after="0" w:line="360" w:lineRule="auto"/>
        <w:jc w:val="both"/>
        <w:rPr>
          <w:rFonts w:ascii="Times New Roman" w:eastAsiaTheme="minorHAnsi" w:hAnsi="Times New Roman" w:cs="Times New Roman"/>
          <w:sz w:val="28"/>
          <w:szCs w:val="28"/>
          <w:lang w:val="en-US"/>
        </w:rPr>
      </w:pPr>
      <w:r w:rsidRPr="004145B9">
        <w:rPr>
          <w:rFonts w:ascii="Times New Roman" w:eastAsiaTheme="minorHAnsi" w:hAnsi="Times New Roman" w:cs="Times New Roman"/>
          <w:sz w:val="28"/>
          <w:szCs w:val="28"/>
          <w:lang w:val="en-US"/>
        </w:rPr>
        <w:t>[17</w:t>
      </w:r>
      <w:r w:rsidR="0058227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ab/>
        <w:t xml:space="preserve">The view held by the </w:t>
      </w:r>
      <w:r w:rsidR="00EB7D5E" w:rsidRPr="004145B9">
        <w:rPr>
          <w:rFonts w:ascii="Times New Roman" w:eastAsiaTheme="minorHAnsi" w:hAnsi="Times New Roman" w:cs="Times New Roman"/>
          <w:sz w:val="28"/>
          <w:szCs w:val="28"/>
          <w:lang w:val="en-US"/>
        </w:rPr>
        <w:t>full bench</w:t>
      </w:r>
      <w:r w:rsidR="0058227E" w:rsidRPr="004145B9">
        <w:rPr>
          <w:rFonts w:ascii="Times New Roman" w:eastAsiaTheme="minorHAnsi" w:hAnsi="Times New Roman" w:cs="Times New Roman"/>
          <w:sz w:val="28"/>
          <w:szCs w:val="28"/>
          <w:lang w:val="en-US"/>
        </w:rPr>
        <w:t xml:space="preserve"> that the version of </w:t>
      </w:r>
      <w:r w:rsidR="0026251F" w:rsidRPr="004145B9">
        <w:rPr>
          <w:rFonts w:ascii="Times New Roman" w:eastAsiaTheme="minorHAnsi" w:hAnsi="Times New Roman" w:cs="Times New Roman"/>
          <w:sz w:val="28"/>
          <w:szCs w:val="28"/>
          <w:lang w:val="en-US"/>
        </w:rPr>
        <w:t>self-defen</w:t>
      </w:r>
      <w:r w:rsidR="00517FBA" w:rsidRPr="004145B9">
        <w:rPr>
          <w:rFonts w:ascii="Times New Roman" w:eastAsiaTheme="minorHAnsi" w:hAnsi="Times New Roman" w:cs="Times New Roman"/>
          <w:sz w:val="28"/>
          <w:szCs w:val="28"/>
          <w:lang w:val="en-US"/>
        </w:rPr>
        <w:t>c</w:t>
      </w:r>
      <w:r w:rsidR="0026251F" w:rsidRPr="004145B9">
        <w:rPr>
          <w:rFonts w:ascii="Times New Roman" w:eastAsiaTheme="minorHAnsi" w:hAnsi="Times New Roman" w:cs="Times New Roman"/>
          <w:sz w:val="28"/>
          <w:szCs w:val="28"/>
          <w:lang w:val="en-US"/>
        </w:rPr>
        <w:t>e</w:t>
      </w:r>
      <w:r w:rsidR="0058227E" w:rsidRPr="004145B9">
        <w:rPr>
          <w:rFonts w:ascii="Times New Roman" w:eastAsiaTheme="minorHAnsi" w:hAnsi="Times New Roman" w:cs="Times New Roman"/>
          <w:sz w:val="28"/>
          <w:szCs w:val="28"/>
          <w:lang w:val="en-US"/>
        </w:rPr>
        <w:t xml:space="preserve"> was not true cannot be correct. The </w:t>
      </w:r>
      <w:r w:rsidR="00F8602E" w:rsidRPr="004145B9">
        <w:rPr>
          <w:rFonts w:ascii="Times New Roman" w:eastAsiaTheme="minorHAnsi" w:hAnsi="Times New Roman" w:cs="Times New Roman"/>
          <w:sz w:val="28"/>
          <w:szCs w:val="28"/>
          <w:lang w:val="en-US"/>
        </w:rPr>
        <w:t>admitted evidence</w:t>
      </w:r>
      <w:r w:rsidR="0058227E" w:rsidRPr="004145B9">
        <w:rPr>
          <w:rFonts w:ascii="Times New Roman" w:eastAsiaTheme="minorHAnsi" w:hAnsi="Times New Roman" w:cs="Times New Roman"/>
          <w:sz w:val="28"/>
          <w:szCs w:val="28"/>
          <w:lang w:val="en-US"/>
        </w:rPr>
        <w:t xml:space="preserve"> in terms of s 309B</w:t>
      </w:r>
      <w:r w:rsidR="004C49A3" w:rsidRPr="004145B9">
        <w:rPr>
          <w:rFonts w:ascii="Times New Roman" w:eastAsiaTheme="minorHAnsi" w:hAnsi="Times New Roman" w:cs="Times New Roman"/>
          <w:sz w:val="28"/>
          <w:szCs w:val="28"/>
          <w:lang w:val="en-US"/>
        </w:rPr>
        <w:t>(5)</w:t>
      </w:r>
      <w:r w:rsidR="004C49A3" w:rsidRPr="004145B9">
        <w:rPr>
          <w:rFonts w:ascii="Times New Roman" w:eastAsiaTheme="minorHAnsi" w:hAnsi="Times New Roman" w:cs="Times New Roman"/>
          <w:i/>
          <w:sz w:val="28"/>
          <w:szCs w:val="28"/>
          <w:lang w:val="en-US"/>
        </w:rPr>
        <w:t>(a)</w:t>
      </w:r>
      <w:r w:rsidR="0058227E" w:rsidRPr="004145B9">
        <w:rPr>
          <w:rFonts w:ascii="Times New Roman" w:eastAsiaTheme="minorHAnsi" w:hAnsi="Times New Roman" w:cs="Times New Roman"/>
          <w:sz w:val="28"/>
          <w:szCs w:val="28"/>
          <w:lang w:val="en-US"/>
        </w:rPr>
        <w:t xml:space="preserve"> of the CPA</w:t>
      </w:r>
      <w:r w:rsidR="006F62DF" w:rsidRPr="004145B9">
        <w:rPr>
          <w:rFonts w:ascii="Times New Roman" w:eastAsiaTheme="minorHAnsi" w:hAnsi="Times New Roman" w:cs="Times New Roman"/>
          <w:sz w:val="28"/>
          <w:szCs w:val="28"/>
          <w:lang w:val="en-US"/>
        </w:rPr>
        <w:t xml:space="preserve"> where</w:t>
      </w:r>
      <w:r w:rsidR="0058227E" w:rsidRPr="004145B9">
        <w:rPr>
          <w:rFonts w:ascii="Times New Roman" w:eastAsiaTheme="minorHAnsi" w:hAnsi="Times New Roman" w:cs="Times New Roman"/>
          <w:sz w:val="28"/>
          <w:szCs w:val="28"/>
          <w:lang w:val="en-US"/>
        </w:rPr>
        <w:t xml:space="preserve"> Mr Kubeka stated that</w:t>
      </w:r>
      <w:r w:rsidR="008C315D"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he saw</w:t>
      </w:r>
      <w:r w:rsidR="00FA2B4F" w:rsidRPr="004145B9">
        <w:rPr>
          <w:rFonts w:ascii="Times New Roman" w:eastAsiaTheme="minorHAnsi" w:hAnsi="Times New Roman" w:cs="Times New Roman"/>
          <w:sz w:val="28"/>
          <w:szCs w:val="28"/>
          <w:lang w:val="en-US"/>
        </w:rPr>
        <w:t xml:space="preserve"> one of the two alleged robbers</w:t>
      </w:r>
      <w:r w:rsidR="0058227E" w:rsidRPr="004145B9">
        <w:rPr>
          <w:rFonts w:ascii="Times New Roman" w:eastAsiaTheme="minorHAnsi" w:hAnsi="Times New Roman" w:cs="Times New Roman"/>
          <w:sz w:val="28"/>
          <w:szCs w:val="28"/>
          <w:lang w:val="en-US"/>
        </w:rPr>
        <w:t xml:space="preserve"> with a</w:t>
      </w:r>
      <w:r w:rsidR="008C315D"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lastRenderedPageBreak/>
        <w:t>firearm in his possession is a material contradiction that should</w:t>
      </w:r>
      <w:r w:rsidR="0041711D"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have been taken into account in the determination of the appellant’s guilt or innocence. The acceptance of such contradictory evidence, especially in the absence of corroborating evidence adduced by Mr Kubeka, has a material effect on his credibility as a witness and as such</w:t>
      </w:r>
      <w:r w:rsidR="00FB6C4A"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 xml:space="preserve"> the </w:t>
      </w:r>
      <w:r w:rsidR="00EA7330" w:rsidRPr="004145B9">
        <w:rPr>
          <w:rFonts w:ascii="Times New Roman" w:eastAsiaTheme="minorHAnsi" w:hAnsi="Times New Roman" w:cs="Times New Roman"/>
          <w:sz w:val="28"/>
          <w:szCs w:val="28"/>
          <w:lang w:val="en-US"/>
        </w:rPr>
        <w:t xml:space="preserve">full bench </w:t>
      </w:r>
      <w:r w:rsidR="0058227E" w:rsidRPr="004145B9">
        <w:rPr>
          <w:rFonts w:ascii="Times New Roman" w:eastAsiaTheme="minorHAnsi" w:hAnsi="Times New Roman" w:cs="Times New Roman"/>
          <w:sz w:val="28"/>
          <w:szCs w:val="28"/>
          <w:lang w:val="en-US"/>
        </w:rPr>
        <w:t xml:space="preserve">committed a </w:t>
      </w:r>
      <w:r w:rsidR="00EA7330" w:rsidRPr="004145B9">
        <w:rPr>
          <w:rFonts w:ascii="Times New Roman" w:eastAsiaTheme="minorHAnsi" w:hAnsi="Times New Roman" w:cs="Times New Roman"/>
          <w:sz w:val="28"/>
          <w:szCs w:val="28"/>
          <w:lang w:val="en-US"/>
        </w:rPr>
        <w:t xml:space="preserve">material </w:t>
      </w:r>
      <w:r w:rsidR="0058227E" w:rsidRPr="004145B9">
        <w:rPr>
          <w:rFonts w:ascii="Times New Roman" w:eastAsiaTheme="minorHAnsi" w:hAnsi="Times New Roman" w:cs="Times New Roman"/>
          <w:sz w:val="28"/>
          <w:szCs w:val="28"/>
          <w:lang w:val="en-US"/>
        </w:rPr>
        <w:t xml:space="preserve">misdirection and ought to have tilted the scale of justice in favour of the appellant. The </w:t>
      </w:r>
      <w:r w:rsidR="00EA7330" w:rsidRPr="004145B9">
        <w:rPr>
          <w:rFonts w:ascii="Times New Roman" w:eastAsiaTheme="minorHAnsi" w:hAnsi="Times New Roman" w:cs="Times New Roman"/>
          <w:sz w:val="28"/>
          <w:szCs w:val="28"/>
          <w:lang w:val="en-US"/>
        </w:rPr>
        <w:t>full bench</w:t>
      </w:r>
      <w:r w:rsidR="0058227E" w:rsidRPr="004145B9">
        <w:rPr>
          <w:rFonts w:ascii="Times New Roman" w:eastAsiaTheme="minorHAnsi" w:hAnsi="Times New Roman" w:cs="Times New Roman"/>
          <w:sz w:val="28"/>
          <w:szCs w:val="28"/>
          <w:lang w:val="en-US"/>
        </w:rPr>
        <w:t xml:space="preserve"> was correct in finding that the evidence of Ms Motshepe and Mr Naicker was unhelpful to the State’s case. </w:t>
      </w:r>
    </w:p>
    <w:p w14:paraId="3AC164AF" w14:textId="77777777" w:rsidR="00EB7D5E" w:rsidRPr="004145B9" w:rsidRDefault="00EB7D5E" w:rsidP="00DB1848">
      <w:pPr>
        <w:spacing w:after="0" w:line="360" w:lineRule="auto"/>
        <w:jc w:val="both"/>
        <w:rPr>
          <w:rFonts w:ascii="Times New Roman" w:eastAsiaTheme="minorHAnsi" w:hAnsi="Times New Roman" w:cs="Times New Roman"/>
          <w:sz w:val="28"/>
          <w:szCs w:val="28"/>
          <w:lang w:val="en-US"/>
        </w:rPr>
      </w:pPr>
    </w:p>
    <w:p w14:paraId="28404F37" w14:textId="77777777" w:rsidR="001D690B" w:rsidRPr="004145B9" w:rsidRDefault="00F21678" w:rsidP="00DB1848">
      <w:pPr>
        <w:spacing w:after="0" w:line="360" w:lineRule="auto"/>
        <w:jc w:val="both"/>
        <w:rPr>
          <w:rFonts w:ascii="Times New Roman" w:eastAsiaTheme="minorHAnsi" w:hAnsi="Times New Roman" w:cs="Times New Roman"/>
          <w:color w:val="000000" w:themeColor="text1"/>
          <w:sz w:val="28"/>
          <w:szCs w:val="28"/>
          <w:lang w:val="en-US"/>
        </w:rPr>
      </w:pPr>
      <w:r w:rsidRPr="004145B9">
        <w:rPr>
          <w:rFonts w:ascii="Times New Roman" w:eastAsiaTheme="minorHAnsi" w:hAnsi="Times New Roman" w:cs="Times New Roman"/>
          <w:sz w:val="28"/>
          <w:szCs w:val="28"/>
          <w:lang w:val="en-US"/>
        </w:rPr>
        <w:t>[18</w:t>
      </w:r>
      <w:r w:rsidR="0058227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ab/>
        <w:t>The consultation with witnesses after a few weeks</w:t>
      </w:r>
      <w:r w:rsidR="00325107"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 xml:space="preserve"> or after more than two months, and the presence of two witnesses together with Ms Motshepe in one room when the witness statements were recorded by Mr Naicker on 12 July 2019, are matters that ordinarily </w:t>
      </w:r>
      <w:r w:rsidR="00B31CCA" w:rsidRPr="004145B9">
        <w:rPr>
          <w:rFonts w:ascii="Times New Roman" w:eastAsiaTheme="minorHAnsi" w:hAnsi="Times New Roman" w:cs="Times New Roman"/>
          <w:sz w:val="28"/>
          <w:szCs w:val="28"/>
          <w:lang w:val="en-US"/>
        </w:rPr>
        <w:t xml:space="preserve">ought to have been found by the </w:t>
      </w:r>
      <w:r w:rsidR="0005481D" w:rsidRPr="004145B9">
        <w:rPr>
          <w:rFonts w:ascii="Times New Roman" w:eastAsiaTheme="minorHAnsi" w:hAnsi="Times New Roman" w:cs="Times New Roman"/>
          <w:sz w:val="28"/>
          <w:szCs w:val="28"/>
          <w:lang w:val="en-US"/>
        </w:rPr>
        <w:t>full bench</w:t>
      </w:r>
      <w:r w:rsidR="0058227E" w:rsidRPr="004145B9">
        <w:rPr>
          <w:rFonts w:ascii="Times New Roman" w:eastAsiaTheme="minorHAnsi" w:hAnsi="Times New Roman" w:cs="Times New Roman"/>
          <w:sz w:val="28"/>
          <w:szCs w:val="28"/>
          <w:lang w:val="en-US"/>
        </w:rPr>
        <w:t xml:space="preserve"> to undermine the reliabili</w:t>
      </w:r>
      <w:r w:rsidR="00B31CCA" w:rsidRPr="004145B9">
        <w:rPr>
          <w:rFonts w:ascii="Times New Roman" w:eastAsiaTheme="minorHAnsi" w:hAnsi="Times New Roman" w:cs="Times New Roman"/>
          <w:sz w:val="28"/>
          <w:szCs w:val="28"/>
          <w:lang w:val="en-US"/>
        </w:rPr>
        <w:t>ty of Mr Kubeka’s evidence. The</w:t>
      </w:r>
      <w:r w:rsidR="0058227E" w:rsidRPr="004145B9">
        <w:rPr>
          <w:rFonts w:ascii="Times New Roman" w:eastAsiaTheme="minorHAnsi" w:hAnsi="Times New Roman" w:cs="Times New Roman"/>
          <w:sz w:val="28"/>
          <w:szCs w:val="28"/>
          <w:lang w:val="en-US"/>
        </w:rPr>
        <w:t xml:space="preserve"> </w:t>
      </w:r>
      <w:r w:rsidR="0005481D" w:rsidRPr="004145B9">
        <w:rPr>
          <w:rFonts w:ascii="Times New Roman" w:eastAsiaTheme="minorHAnsi" w:hAnsi="Times New Roman" w:cs="Times New Roman"/>
          <w:sz w:val="28"/>
          <w:szCs w:val="28"/>
          <w:lang w:val="en-US"/>
        </w:rPr>
        <w:t xml:space="preserve">full bench </w:t>
      </w:r>
      <w:r w:rsidR="0058227E" w:rsidRPr="004145B9">
        <w:rPr>
          <w:rFonts w:ascii="Times New Roman" w:eastAsiaTheme="minorHAnsi" w:hAnsi="Times New Roman" w:cs="Times New Roman"/>
          <w:sz w:val="28"/>
          <w:szCs w:val="28"/>
          <w:lang w:val="en-US"/>
        </w:rPr>
        <w:t xml:space="preserve">should have rejected the evidence of Mr Kubeka </w:t>
      </w:r>
      <w:r w:rsidR="0058227E" w:rsidRPr="004145B9">
        <w:rPr>
          <w:rFonts w:ascii="Times New Roman" w:eastAsiaTheme="minorHAnsi" w:hAnsi="Times New Roman" w:cs="Times New Roman"/>
          <w:color w:val="000000" w:themeColor="text1"/>
          <w:sz w:val="28"/>
          <w:szCs w:val="28"/>
          <w:lang w:val="en-US"/>
        </w:rPr>
        <w:t>on the basis that it is not satisfactory in every material respect.</w:t>
      </w:r>
      <w:r w:rsidR="0058227E" w:rsidRPr="004145B9">
        <w:rPr>
          <w:rFonts w:ascii="Times New Roman" w:eastAsiaTheme="minorHAnsi" w:hAnsi="Times New Roman" w:cs="Times New Roman"/>
          <w:color w:val="000000" w:themeColor="text1"/>
          <w:sz w:val="28"/>
          <w:szCs w:val="28"/>
          <w:vertAlign w:val="superscript"/>
          <w:lang w:val="en-US"/>
        </w:rPr>
        <w:footnoteReference w:id="8"/>
      </w:r>
    </w:p>
    <w:p w14:paraId="462BA8F4" w14:textId="77777777" w:rsidR="00FA2B4F" w:rsidRPr="004145B9" w:rsidRDefault="00FA2B4F" w:rsidP="00DB1848">
      <w:pPr>
        <w:spacing w:after="0" w:line="360" w:lineRule="auto"/>
        <w:jc w:val="both"/>
        <w:rPr>
          <w:rFonts w:ascii="Times New Roman" w:eastAsiaTheme="minorHAnsi" w:hAnsi="Times New Roman" w:cs="Times New Roman"/>
          <w:color w:val="000000" w:themeColor="text1"/>
          <w:sz w:val="28"/>
          <w:szCs w:val="28"/>
          <w:lang w:val="en-US"/>
        </w:rPr>
      </w:pPr>
    </w:p>
    <w:p w14:paraId="13FD666B" w14:textId="77777777" w:rsidR="0058227E" w:rsidRPr="004145B9" w:rsidRDefault="00F21678" w:rsidP="00DB1848">
      <w:pPr>
        <w:spacing w:after="0" w:line="360" w:lineRule="auto"/>
        <w:jc w:val="both"/>
        <w:rPr>
          <w:rFonts w:ascii="Times New Roman" w:eastAsiaTheme="minorHAnsi" w:hAnsi="Times New Roman" w:cs="Times New Roman"/>
          <w:color w:val="000000" w:themeColor="text1"/>
          <w:sz w:val="28"/>
          <w:szCs w:val="28"/>
          <w:lang w:val="en-US"/>
        </w:rPr>
      </w:pPr>
      <w:r w:rsidRPr="004145B9">
        <w:rPr>
          <w:rFonts w:ascii="Times New Roman" w:eastAsiaTheme="minorHAnsi" w:hAnsi="Times New Roman" w:cs="Times New Roman"/>
          <w:sz w:val="28"/>
          <w:szCs w:val="28"/>
          <w:lang w:val="en-US"/>
        </w:rPr>
        <w:t>[19</w:t>
      </w:r>
      <w:r w:rsidR="0058227E"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ab/>
        <w:t xml:space="preserve">The further evidence of the presence of a firearm in the hands of one of the two alleged robbers </w:t>
      </w:r>
      <w:r w:rsidR="000B70F7" w:rsidRPr="004145B9">
        <w:rPr>
          <w:rFonts w:ascii="Times New Roman" w:eastAsiaTheme="minorHAnsi" w:hAnsi="Times New Roman" w:cs="Times New Roman"/>
          <w:sz w:val="28"/>
          <w:szCs w:val="28"/>
          <w:lang w:val="en-US"/>
        </w:rPr>
        <w:t>supported the</w:t>
      </w:r>
      <w:r w:rsidR="0058227E" w:rsidRPr="004145B9">
        <w:rPr>
          <w:rFonts w:ascii="Times New Roman" w:eastAsiaTheme="minorHAnsi" w:hAnsi="Times New Roman" w:cs="Times New Roman"/>
          <w:sz w:val="28"/>
          <w:szCs w:val="28"/>
          <w:lang w:val="en-US"/>
        </w:rPr>
        <w:t xml:space="preserve"> appellant’s defence. It ought to be so because the prosecution anchored the State’s case firmly on the proposition that the service firearm of the appellant was the only firearm that was present at the scene of the crime. On the contrary, the </w:t>
      </w:r>
      <w:r w:rsidR="00664CD9" w:rsidRPr="004145B9">
        <w:rPr>
          <w:rFonts w:ascii="Times New Roman" w:eastAsiaTheme="minorHAnsi" w:hAnsi="Times New Roman" w:cs="Times New Roman"/>
          <w:sz w:val="28"/>
          <w:szCs w:val="28"/>
          <w:lang w:val="en-US"/>
        </w:rPr>
        <w:t>S</w:t>
      </w:r>
      <w:r w:rsidR="0058227E" w:rsidRPr="004145B9">
        <w:rPr>
          <w:rFonts w:ascii="Times New Roman" w:eastAsiaTheme="minorHAnsi" w:hAnsi="Times New Roman" w:cs="Times New Roman"/>
          <w:sz w:val="28"/>
          <w:szCs w:val="28"/>
          <w:lang w:val="en-US"/>
        </w:rPr>
        <w:t xml:space="preserve">tate presented no evidence, other than the evidence of Mr Kubeka, to </w:t>
      </w:r>
      <w:r w:rsidR="00575291" w:rsidRPr="004145B9">
        <w:rPr>
          <w:rFonts w:ascii="Times New Roman" w:eastAsiaTheme="minorHAnsi" w:hAnsi="Times New Roman" w:cs="Times New Roman"/>
          <w:sz w:val="28"/>
          <w:szCs w:val="28"/>
          <w:lang w:val="en-US"/>
        </w:rPr>
        <w:t>show that</w:t>
      </w:r>
      <w:r w:rsidR="0058227E" w:rsidRPr="004145B9">
        <w:rPr>
          <w:rFonts w:ascii="Times New Roman" w:eastAsiaTheme="minorHAnsi" w:hAnsi="Times New Roman" w:cs="Times New Roman"/>
          <w:sz w:val="28"/>
          <w:szCs w:val="28"/>
          <w:lang w:val="en-US"/>
        </w:rPr>
        <w:t xml:space="preserve"> the appellant </w:t>
      </w:r>
      <w:r w:rsidR="00575291" w:rsidRPr="004145B9">
        <w:rPr>
          <w:rFonts w:ascii="Times New Roman" w:eastAsiaTheme="minorHAnsi" w:hAnsi="Times New Roman" w:cs="Times New Roman"/>
          <w:sz w:val="28"/>
          <w:szCs w:val="28"/>
          <w:lang w:val="en-US"/>
        </w:rPr>
        <w:t xml:space="preserve">had not been </w:t>
      </w:r>
      <w:r w:rsidR="00EA7330" w:rsidRPr="004145B9">
        <w:rPr>
          <w:rFonts w:ascii="Times New Roman" w:eastAsiaTheme="minorHAnsi" w:hAnsi="Times New Roman" w:cs="Times New Roman"/>
          <w:sz w:val="28"/>
          <w:szCs w:val="28"/>
          <w:lang w:val="en-US"/>
        </w:rPr>
        <w:t xml:space="preserve">threatened </w:t>
      </w:r>
      <w:r w:rsidR="00575291" w:rsidRPr="004145B9">
        <w:rPr>
          <w:rFonts w:ascii="Times New Roman" w:eastAsiaTheme="minorHAnsi" w:hAnsi="Times New Roman" w:cs="Times New Roman"/>
          <w:sz w:val="28"/>
          <w:szCs w:val="28"/>
          <w:lang w:val="en-US"/>
        </w:rPr>
        <w:t>in any manner at the time when he</w:t>
      </w:r>
      <w:r w:rsidR="0058227E" w:rsidRPr="004145B9">
        <w:rPr>
          <w:rFonts w:ascii="Times New Roman" w:eastAsiaTheme="minorHAnsi" w:hAnsi="Times New Roman" w:cs="Times New Roman"/>
          <w:sz w:val="28"/>
          <w:szCs w:val="28"/>
          <w:lang w:val="en-US"/>
        </w:rPr>
        <w:t xml:space="preserve"> shot and killed the deceased</w:t>
      </w:r>
      <w:r w:rsidR="00575291"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 xml:space="preserve"> This Court stated in </w:t>
      </w:r>
      <w:r w:rsidR="0058227E" w:rsidRPr="004145B9">
        <w:rPr>
          <w:rFonts w:ascii="Times New Roman" w:eastAsiaTheme="minorHAnsi" w:hAnsi="Times New Roman" w:cs="Times New Roman"/>
          <w:i/>
          <w:sz w:val="28"/>
          <w:szCs w:val="28"/>
          <w:lang w:val="en-US"/>
        </w:rPr>
        <w:t>S v De Oliveira</w:t>
      </w:r>
      <w:r w:rsidR="0058227E" w:rsidRPr="004145B9">
        <w:rPr>
          <w:rFonts w:ascii="Times New Roman" w:eastAsiaTheme="minorHAnsi" w:hAnsi="Times New Roman" w:cs="Times New Roman"/>
          <w:sz w:val="28"/>
          <w:szCs w:val="28"/>
          <w:vertAlign w:val="superscript"/>
          <w:lang w:val="en-US"/>
        </w:rPr>
        <w:footnoteReference w:id="9"/>
      </w:r>
      <w:r w:rsidR="0058227E" w:rsidRPr="004145B9">
        <w:rPr>
          <w:rFonts w:ascii="Times New Roman" w:eastAsiaTheme="minorHAnsi" w:hAnsi="Times New Roman" w:cs="Times New Roman"/>
          <w:sz w:val="28"/>
          <w:szCs w:val="28"/>
          <w:lang w:val="en-US"/>
        </w:rPr>
        <w:t xml:space="preserve"> concerning </w:t>
      </w:r>
      <w:r w:rsidR="0058227E" w:rsidRPr="004145B9">
        <w:rPr>
          <w:rFonts w:ascii="Times New Roman" w:eastAsiaTheme="minorHAnsi" w:hAnsi="Times New Roman" w:cs="Times New Roman"/>
          <w:i/>
          <w:sz w:val="28"/>
          <w:szCs w:val="28"/>
          <w:lang w:val="en-US"/>
        </w:rPr>
        <w:t>S v Ntuli,</w:t>
      </w:r>
      <w:r w:rsidR="0058227E" w:rsidRPr="004145B9">
        <w:rPr>
          <w:rFonts w:ascii="Times New Roman" w:eastAsiaTheme="minorHAnsi" w:hAnsi="Times New Roman" w:cs="Times New Roman"/>
          <w:sz w:val="28"/>
          <w:szCs w:val="28"/>
          <w:vertAlign w:val="superscript"/>
          <w:lang w:val="en-US"/>
        </w:rPr>
        <w:footnoteReference w:id="10"/>
      </w:r>
      <w:r w:rsidR="0058227E" w:rsidRPr="004145B9">
        <w:rPr>
          <w:rFonts w:ascii="Times New Roman" w:eastAsiaTheme="minorHAnsi" w:hAnsi="Times New Roman" w:cs="Times New Roman"/>
          <w:sz w:val="28"/>
          <w:szCs w:val="28"/>
          <w:lang w:val="en-US"/>
        </w:rPr>
        <w:t xml:space="preserve"> that where the defence</w:t>
      </w:r>
      <w:r w:rsidR="000B70F7"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 xml:space="preserve">of </w:t>
      </w:r>
      <w:r w:rsidR="003C6710" w:rsidRPr="004145B9">
        <w:rPr>
          <w:rFonts w:ascii="Times New Roman" w:eastAsiaTheme="minorHAnsi" w:hAnsi="Times New Roman" w:cs="Times New Roman"/>
          <w:sz w:val="28"/>
          <w:szCs w:val="28"/>
          <w:lang w:val="en-US"/>
        </w:rPr>
        <w:t>self-defence</w:t>
      </w:r>
      <w:r w:rsidR="0058227E" w:rsidRPr="004145B9">
        <w:rPr>
          <w:rFonts w:ascii="Times New Roman" w:eastAsiaTheme="minorHAnsi" w:hAnsi="Times New Roman" w:cs="Times New Roman"/>
          <w:sz w:val="28"/>
          <w:szCs w:val="28"/>
          <w:lang w:val="en-US"/>
        </w:rPr>
        <w:t xml:space="preserve"> has been specifically pleaded by the accused or emanates</w:t>
      </w:r>
      <w:r w:rsidR="000B70F7"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from</w:t>
      </w:r>
      <w:r w:rsidR="000B70F7" w:rsidRPr="004145B9">
        <w:rPr>
          <w:rFonts w:ascii="Times New Roman" w:eastAsiaTheme="minorHAnsi" w:hAnsi="Times New Roman" w:cs="Times New Roman"/>
          <w:sz w:val="28"/>
          <w:szCs w:val="28"/>
          <w:lang w:val="en-US"/>
        </w:rPr>
        <w:t xml:space="preserve"> </w:t>
      </w:r>
      <w:r w:rsidR="0058227E" w:rsidRPr="004145B9">
        <w:rPr>
          <w:rFonts w:ascii="Times New Roman" w:eastAsiaTheme="minorHAnsi" w:hAnsi="Times New Roman" w:cs="Times New Roman"/>
          <w:sz w:val="28"/>
          <w:szCs w:val="28"/>
          <w:lang w:val="en-US"/>
        </w:rPr>
        <w:t xml:space="preserve">the evidence, the onus </w:t>
      </w:r>
      <w:r w:rsidR="0058227E" w:rsidRPr="004145B9">
        <w:rPr>
          <w:rFonts w:ascii="Times New Roman" w:eastAsiaTheme="minorHAnsi" w:hAnsi="Times New Roman" w:cs="Times New Roman"/>
          <w:sz w:val="28"/>
          <w:szCs w:val="28"/>
          <w:lang w:val="en-US"/>
        </w:rPr>
        <w:lastRenderedPageBreak/>
        <w:t>nevertheless remains on the State to prove beyond reasonable doubt that the accused acted unlawfully and that he realised</w:t>
      </w:r>
      <w:r w:rsidR="00325107" w:rsidRPr="004145B9">
        <w:rPr>
          <w:rFonts w:ascii="Times New Roman" w:eastAsiaTheme="minorHAnsi" w:hAnsi="Times New Roman" w:cs="Times New Roman"/>
          <w:sz w:val="28"/>
          <w:szCs w:val="28"/>
          <w:lang w:val="en-US"/>
        </w:rPr>
        <w:t>,</w:t>
      </w:r>
      <w:r w:rsidR="0058227E" w:rsidRPr="004145B9">
        <w:rPr>
          <w:rFonts w:ascii="Times New Roman" w:eastAsiaTheme="minorHAnsi" w:hAnsi="Times New Roman" w:cs="Times New Roman"/>
          <w:sz w:val="28"/>
          <w:szCs w:val="28"/>
          <w:lang w:val="en-US"/>
        </w:rPr>
        <w:t xml:space="preserve"> or ought reasonably to have realised that he was exceeding the bounds of self-defence</w:t>
      </w:r>
      <w:r w:rsidR="000B70F7" w:rsidRPr="004145B9">
        <w:rPr>
          <w:rFonts w:ascii="Times New Roman" w:eastAsiaTheme="minorHAnsi" w:hAnsi="Times New Roman" w:cs="Times New Roman"/>
          <w:sz w:val="28"/>
          <w:szCs w:val="28"/>
          <w:lang w:val="en-US"/>
        </w:rPr>
        <w:t>.</w:t>
      </w:r>
      <w:r w:rsidR="000B70F7" w:rsidRPr="004145B9">
        <w:rPr>
          <w:rFonts w:ascii="Times New Roman" w:eastAsiaTheme="minorHAnsi" w:hAnsi="Times New Roman" w:cs="Times New Roman"/>
          <w:color w:val="000000" w:themeColor="text1"/>
          <w:sz w:val="28"/>
          <w:szCs w:val="28"/>
          <w:lang w:val="en-US"/>
        </w:rPr>
        <w:t xml:space="preserve"> </w:t>
      </w:r>
      <w:r w:rsidR="0058227E" w:rsidRPr="004145B9">
        <w:rPr>
          <w:rFonts w:ascii="Times New Roman" w:eastAsiaTheme="minorHAnsi" w:hAnsi="Times New Roman" w:cs="Times New Roman"/>
          <w:color w:val="000000" w:themeColor="text1"/>
          <w:sz w:val="28"/>
          <w:szCs w:val="28"/>
          <w:lang w:val="en-US"/>
        </w:rPr>
        <w:t xml:space="preserve">The </w:t>
      </w:r>
      <w:r w:rsidR="00F30B8F" w:rsidRPr="004145B9">
        <w:rPr>
          <w:rFonts w:ascii="Times New Roman" w:eastAsiaTheme="minorHAnsi" w:hAnsi="Times New Roman" w:cs="Times New Roman"/>
          <w:color w:val="000000" w:themeColor="text1"/>
          <w:sz w:val="28"/>
          <w:szCs w:val="28"/>
          <w:lang w:val="en-US"/>
        </w:rPr>
        <w:t>full bench</w:t>
      </w:r>
      <w:r w:rsidR="0058227E" w:rsidRPr="004145B9">
        <w:rPr>
          <w:rFonts w:ascii="Times New Roman" w:eastAsiaTheme="minorHAnsi" w:hAnsi="Times New Roman" w:cs="Times New Roman"/>
          <w:color w:val="000000" w:themeColor="text1"/>
          <w:sz w:val="28"/>
          <w:szCs w:val="28"/>
          <w:lang w:val="en-US"/>
        </w:rPr>
        <w:t xml:space="preserve"> ought to have found that </w:t>
      </w:r>
      <w:r w:rsidR="00EA7330" w:rsidRPr="004145B9">
        <w:rPr>
          <w:rFonts w:ascii="Times New Roman" w:eastAsiaTheme="minorHAnsi" w:hAnsi="Times New Roman" w:cs="Times New Roman"/>
          <w:color w:val="000000" w:themeColor="text1"/>
          <w:sz w:val="28"/>
          <w:szCs w:val="28"/>
          <w:lang w:val="en-US"/>
        </w:rPr>
        <w:t xml:space="preserve">the </w:t>
      </w:r>
      <w:r w:rsidR="00FA2B4F" w:rsidRPr="004145B9">
        <w:rPr>
          <w:rFonts w:ascii="Times New Roman" w:eastAsiaTheme="minorHAnsi" w:hAnsi="Times New Roman" w:cs="Times New Roman"/>
          <w:color w:val="000000" w:themeColor="text1"/>
          <w:sz w:val="28"/>
          <w:szCs w:val="28"/>
          <w:lang w:val="en-US"/>
        </w:rPr>
        <w:t>defen</w:t>
      </w:r>
      <w:r w:rsidR="00EA7330" w:rsidRPr="004145B9">
        <w:rPr>
          <w:rFonts w:ascii="Times New Roman" w:eastAsiaTheme="minorHAnsi" w:hAnsi="Times New Roman" w:cs="Times New Roman"/>
          <w:color w:val="000000" w:themeColor="text1"/>
          <w:sz w:val="28"/>
          <w:szCs w:val="28"/>
          <w:lang w:val="en-US"/>
        </w:rPr>
        <w:t>c</w:t>
      </w:r>
      <w:r w:rsidR="000B70F7" w:rsidRPr="004145B9">
        <w:rPr>
          <w:rFonts w:ascii="Times New Roman" w:eastAsiaTheme="minorHAnsi" w:hAnsi="Times New Roman" w:cs="Times New Roman"/>
          <w:color w:val="000000" w:themeColor="text1"/>
          <w:sz w:val="28"/>
          <w:szCs w:val="28"/>
          <w:lang w:val="en-US"/>
        </w:rPr>
        <w:t>e</w:t>
      </w:r>
      <w:r w:rsidR="0058227E" w:rsidRPr="004145B9">
        <w:rPr>
          <w:rFonts w:ascii="Times New Roman" w:eastAsiaTheme="minorHAnsi" w:hAnsi="Times New Roman" w:cs="Times New Roman"/>
          <w:color w:val="000000" w:themeColor="text1"/>
          <w:sz w:val="28"/>
          <w:szCs w:val="28"/>
          <w:lang w:val="en-US"/>
        </w:rPr>
        <w:t xml:space="preserve"> as pleaded by the appellant was reasonably possibly true in its essential features.</w:t>
      </w:r>
      <w:r w:rsidR="0058227E" w:rsidRPr="004145B9">
        <w:rPr>
          <w:rFonts w:ascii="Times New Roman" w:eastAsiaTheme="minorHAnsi" w:hAnsi="Times New Roman" w:cs="Times New Roman"/>
          <w:color w:val="000000" w:themeColor="text1"/>
          <w:sz w:val="28"/>
          <w:szCs w:val="28"/>
          <w:vertAlign w:val="superscript"/>
          <w:lang w:val="en-US"/>
        </w:rPr>
        <w:footnoteReference w:id="11"/>
      </w:r>
      <w:r w:rsidR="0058227E" w:rsidRPr="004145B9">
        <w:rPr>
          <w:rFonts w:ascii="Times New Roman" w:eastAsiaTheme="minorHAnsi" w:hAnsi="Times New Roman" w:cs="Times New Roman"/>
          <w:color w:val="000000" w:themeColor="text1"/>
          <w:sz w:val="28"/>
          <w:szCs w:val="28"/>
          <w:lang w:val="en-US"/>
        </w:rPr>
        <w:t xml:space="preserve"> The appellant did not have a duty to convince the court of the truthfulness of his version </w:t>
      </w:r>
      <w:r w:rsidR="00EB7D5E" w:rsidRPr="004145B9">
        <w:rPr>
          <w:rFonts w:ascii="Times New Roman" w:eastAsiaTheme="minorHAnsi" w:hAnsi="Times New Roman" w:cs="Times New Roman"/>
          <w:color w:val="000000" w:themeColor="text1"/>
          <w:sz w:val="28"/>
          <w:szCs w:val="28"/>
          <w:lang w:val="en-US"/>
        </w:rPr>
        <w:t>that he acted in</w:t>
      </w:r>
      <w:r w:rsidR="0058227E" w:rsidRPr="004145B9">
        <w:rPr>
          <w:rFonts w:ascii="Times New Roman" w:eastAsiaTheme="minorHAnsi" w:hAnsi="Times New Roman" w:cs="Times New Roman"/>
          <w:color w:val="000000" w:themeColor="text1"/>
          <w:sz w:val="28"/>
          <w:szCs w:val="28"/>
          <w:lang w:val="en-US"/>
        </w:rPr>
        <w:t xml:space="preserve"> self-defen</w:t>
      </w:r>
      <w:r w:rsidR="000B70F7" w:rsidRPr="004145B9">
        <w:rPr>
          <w:rFonts w:ascii="Times New Roman" w:eastAsiaTheme="minorHAnsi" w:hAnsi="Times New Roman" w:cs="Times New Roman"/>
          <w:color w:val="000000" w:themeColor="text1"/>
          <w:sz w:val="28"/>
          <w:szCs w:val="28"/>
          <w:lang w:val="en-US"/>
        </w:rPr>
        <w:t>c</w:t>
      </w:r>
      <w:r w:rsidR="0058227E" w:rsidRPr="004145B9">
        <w:rPr>
          <w:rFonts w:ascii="Times New Roman" w:eastAsiaTheme="minorHAnsi" w:hAnsi="Times New Roman" w:cs="Times New Roman"/>
          <w:color w:val="000000" w:themeColor="text1"/>
          <w:sz w:val="28"/>
          <w:szCs w:val="28"/>
          <w:lang w:val="en-US"/>
        </w:rPr>
        <w:t>e.</w:t>
      </w:r>
      <w:r w:rsidR="0058227E" w:rsidRPr="004145B9">
        <w:rPr>
          <w:rFonts w:ascii="Times New Roman" w:eastAsiaTheme="minorHAnsi" w:hAnsi="Times New Roman" w:cs="Times New Roman"/>
          <w:color w:val="000000" w:themeColor="text1"/>
          <w:sz w:val="28"/>
          <w:szCs w:val="28"/>
          <w:vertAlign w:val="superscript"/>
          <w:lang w:val="en-US"/>
        </w:rPr>
        <w:footnoteReference w:id="12"/>
      </w:r>
    </w:p>
    <w:p w14:paraId="7B4EDF2C" w14:textId="77777777" w:rsidR="000B70F7" w:rsidRPr="004145B9" w:rsidRDefault="000B70F7" w:rsidP="00DB1848">
      <w:pPr>
        <w:spacing w:after="0" w:line="259" w:lineRule="auto"/>
        <w:jc w:val="both"/>
        <w:rPr>
          <w:rFonts w:ascii="Times New Roman" w:eastAsiaTheme="minorHAnsi" w:hAnsi="Times New Roman" w:cs="Times New Roman"/>
          <w:b/>
          <w:bCs/>
          <w:color w:val="000000" w:themeColor="text1"/>
          <w:sz w:val="28"/>
          <w:szCs w:val="28"/>
          <w:lang w:val="en-US"/>
        </w:rPr>
      </w:pPr>
    </w:p>
    <w:p w14:paraId="1BD4A60E" w14:textId="77777777" w:rsidR="005078E8" w:rsidRPr="004145B9" w:rsidRDefault="0058227E" w:rsidP="00F21678">
      <w:pPr>
        <w:spacing w:after="0" w:line="259" w:lineRule="auto"/>
        <w:jc w:val="both"/>
        <w:rPr>
          <w:rFonts w:ascii="Times New Roman" w:eastAsiaTheme="minorHAnsi" w:hAnsi="Times New Roman" w:cs="Times New Roman"/>
          <w:b/>
          <w:bCs/>
          <w:color w:val="000000" w:themeColor="text1"/>
          <w:sz w:val="28"/>
          <w:szCs w:val="28"/>
          <w:lang w:val="en-US"/>
        </w:rPr>
      </w:pPr>
      <w:r w:rsidRPr="004145B9">
        <w:rPr>
          <w:rFonts w:ascii="Times New Roman" w:eastAsiaTheme="minorHAnsi" w:hAnsi="Times New Roman" w:cs="Times New Roman"/>
          <w:b/>
          <w:bCs/>
          <w:color w:val="000000" w:themeColor="text1"/>
          <w:sz w:val="28"/>
          <w:szCs w:val="28"/>
          <w:lang w:val="en-US"/>
        </w:rPr>
        <w:t>Conclusion</w:t>
      </w:r>
    </w:p>
    <w:p w14:paraId="47F31F5B" w14:textId="77777777" w:rsidR="0058227E" w:rsidRPr="004145B9" w:rsidRDefault="0058227E" w:rsidP="00DB1848">
      <w:pPr>
        <w:spacing w:after="0" w:line="360" w:lineRule="auto"/>
        <w:jc w:val="both"/>
        <w:rPr>
          <w:rFonts w:ascii="Times New Roman" w:eastAsiaTheme="minorHAnsi" w:hAnsi="Times New Roman" w:cs="Times New Roman"/>
          <w:strike/>
          <w:color w:val="000000" w:themeColor="text1"/>
          <w:sz w:val="28"/>
          <w:szCs w:val="28"/>
          <w:lang w:val="en-US"/>
        </w:rPr>
      </w:pPr>
      <w:r w:rsidRPr="004145B9">
        <w:rPr>
          <w:rFonts w:ascii="Times New Roman" w:eastAsiaTheme="minorHAnsi" w:hAnsi="Times New Roman" w:cs="Times New Roman"/>
          <w:color w:val="000000" w:themeColor="text1"/>
          <w:sz w:val="28"/>
          <w:szCs w:val="28"/>
          <w:lang w:val="en-US"/>
        </w:rPr>
        <w:t>[2</w:t>
      </w:r>
      <w:r w:rsidR="00F21678" w:rsidRPr="004145B9">
        <w:rPr>
          <w:rFonts w:ascii="Times New Roman" w:eastAsiaTheme="minorHAnsi" w:hAnsi="Times New Roman" w:cs="Times New Roman"/>
          <w:color w:val="000000" w:themeColor="text1"/>
          <w:sz w:val="28"/>
          <w:szCs w:val="28"/>
          <w:lang w:val="en-US"/>
        </w:rPr>
        <w:t>0</w:t>
      </w:r>
      <w:r w:rsidRPr="004145B9">
        <w:rPr>
          <w:rFonts w:ascii="Times New Roman" w:eastAsiaTheme="minorHAnsi" w:hAnsi="Times New Roman" w:cs="Times New Roman"/>
          <w:color w:val="000000" w:themeColor="text1"/>
          <w:sz w:val="28"/>
          <w:szCs w:val="28"/>
          <w:lang w:val="en-US"/>
        </w:rPr>
        <w:t>]</w:t>
      </w:r>
      <w:r w:rsidRPr="004145B9">
        <w:rPr>
          <w:rFonts w:ascii="Times New Roman" w:eastAsiaTheme="minorHAnsi" w:hAnsi="Times New Roman" w:cs="Times New Roman"/>
          <w:color w:val="000000" w:themeColor="text1"/>
          <w:sz w:val="28"/>
          <w:szCs w:val="28"/>
          <w:lang w:val="en-US"/>
        </w:rPr>
        <w:tab/>
        <w:t xml:space="preserve">In light of the fact that </w:t>
      </w:r>
      <w:r w:rsidR="00EA7330" w:rsidRPr="004145B9">
        <w:rPr>
          <w:rFonts w:ascii="Times New Roman" w:eastAsiaTheme="minorHAnsi" w:hAnsi="Times New Roman" w:cs="Times New Roman"/>
          <w:color w:val="000000" w:themeColor="text1"/>
          <w:sz w:val="28"/>
          <w:szCs w:val="28"/>
          <w:lang w:val="en-US"/>
        </w:rPr>
        <w:t xml:space="preserve">the </w:t>
      </w:r>
      <w:r w:rsidRPr="004145B9">
        <w:rPr>
          <w:rFonts w:ascii="Times New Roman" w:eastAsiaTheme="minorHAnsi" w:hAnsi="Times New Roman" w:cs="Times New Roman"/>
          <w:color w:val="000000" w:themeColor="text1"/>
          <w:sz w:val="28"/>
          <w:szCs w:val="28"/>
          <w:lang w:val="en-US"/>
        </w:rPr>
        <w:t xml:space="preserve">further </w:t>
      </w:r>
      <w:r w:rsidR="00EA7330" w:rsidRPr="004145B9">
        <w:rPr>
          <w:rFonts w:ascii="Times New Roman" w:eastAsiaTheme="minorHAnsi" w:hAnsi="Times New Roman" w:cs="Times New Roman"/>
          <w:color w:val="000000" w:themeColor="text1"/>
          <w:sz w:val="28"/>
          <w:szCs w:val="28"/>
          <w:lang w:val="en-US"/>
        </w:rPr>
        <w:t xml:space="preserve">material </w:t>
      </w:r>
      <w:r w:rsidRPr="004145B9">
        <w:rPr>
          <w:rFonts w:ascii="Times New Roman" w:eastAsiaTheme="minorHAnsi" w:hAnsi="Times New Roman" w:cs="Times New Roman"/>
          <w:color w:val="000000" w:themeColor="text1"/>
          <w:sz w:val="28"/>
          <w:szCs w:val="28"/>
          <w:lang w:val="en-US"/>
        </w:rPr>
        <w:t xml:space="preserve">evidence was not taken into account and the approach to the evidence concerning </w:t>
      </w:r>
      <w:r w:rsidR="00B31CCA" w:rsidRPr="004145B9">
        <w:rPr>
          <w:rFonts w:ascii="Times New Roman" w:eastAsiaTheme="minorHAnsi" w:hAnsi="Times New Roman" w:cs="Times New Roman"/>
          <w:color w:val="000000" w:themeColor="text1"/>
          <w:sz w:val="28"/>
          <w:szCs w:val="28"/>
          <w:lang w:val="en-US"/>
        </w:rPr>
        <w:t>self</w:t>
      </w:r>
      <w:r w:rsidR="005122B2" w:rsidRPr="004145B9">
        <w:rPr>
          <w:rFonts w:ascii="Times New Roman" w:eastAsiaTheme="minorHAnsi" w:hAnsi="Times New Roman" w:cs="Times New Roman"/>
          <w:color w:val="000000" w:themeColor="text1"/>
          <w:sz w:val="28"/>
          <w:szCs w:val="28"/>
          <w:lang w:val="en-US"/>
        </w:rPr>
        <w:t>-</w:t>
      </w:r>
      <w:r w:rsidRPr="004145B9">
        <w:rPr>
          <w:rFonts w:ascii="Times New Roman" w:eastAsiaTheme="minorHAnsi" w:hAnsi="Times New Roman" w:cs="Times New Roman"/>
          <w:color w:val="000000" w:themeColor="text1"/>
          <w:sz w:val="28"/>
          <w:szCs w:val="28"/>
          <w:lang w:val="en-US"/>
        </w:rPr>
        <w:t>defenc</w:t>
      </w:r>
      <w:r w:rsidR="000B70F7" w:rsidRPr="004145B9">
        <w:rPr>
          <w:rFonts w:ascii="Times New Roman" w:eastAsiaTheme="minorHAnsi" w:hAnsi="Times New Roman" w:cs="Times New Roman"/>
          <w:color w:val="000000" w:themeColor="text1"/>
          <w:sz w:val="28"/>
          <w:szCs w:val="28"/>
          <w:lang w:val="en-US"/>
        </w:rPr>
        <w:t>e</w:t>
      </w:r>
      <w:r w:rsidRPr="004145B9">
        <w:rPr>
          <w:rFonts w:ascii="Times New Roman" w:eastAsiaTheme="minorHAnsi" w:hAnsi="Times New Roman" w:cs="Times New Roman"/>
          <w:color w:val="000000" w:themeColor="text1"/>
          <w:sz w:val="28"/>
          <w:szCs w:val="28"/>
          <w:lang w:val="en-US"/>
        </w:rPr>
        <w:t xml:space="preserve"> was improper, the </w:t>
      </w:r>
      <w:r w:rsidR="00EA7330" w:rsidRPr="004145B9">
        <w:rPr>
          <w:rFonts w:ascii="Times New Roman" w:eastAsiaTheme="minorHAnsi" w:hAnsi="Times New Roman" w:cs="Times New Roman"/>
          <w:color w:val="000000" w:themeColor="text1"/>
          <w:sz w:val="28"/>
          <w:szCs w:val="28"/>
          <w:lang w:val="en-US"/>
        </w:rPr>
        <w:t>full bench</w:t>
      </w:r>
      <w:r w:rsidRPr="004145B9">
        <w:rPr>
          <w:rFonts w:ascii="Times New Roman" w:eastAsiaTheme="minorHAnsi" w:hAnsi="Times New Roman" w:cs="Times New Roman"/>
          <w:color w:val="000000" w:themeColor="text1"/>
          <w:sz w:val="28"/>
          <w:szCs w:val="28"/>
          <w:lang w:val="en-US"/>
        </w:rPr>
        <w:t xml:space="preserve"> misdirect</w:t>
      </w:r>
      <w:r w:rsidR="000B70F7" w:rsidRPr="004145B9">
        <w:rPr>
          <w:rFonts w:ascii="Times New Roman" w:eastAsiaTheme="minorHAnsi" w:hAnsi="Times New Roman" w:cs="Times New Roman"/>
          <w:color w:val="000000" w:themeColor="text1"/>
          <w:sz w:val="28"/>
          <w:szCs w:val="28"/>
          <w:lang w:val="en-US"/>
        </w:rPr>
        <w:t>ed itself.</w:t>
      </w:r>
      <w:r w:rsidRPr="004145B9">
        <w:rPr>
          <w:rFonts w:ascii="Times New Roman" w:eastAsiaTheme="minorHAnsi" w:hAnsi="Times New Roman" w:cs="Times New Roman"/>
          <w:color w:val="000000" w:themeColor="text1"/>
          <w:sz w:val="28"/>
          <w:szCs w:val="28"/>
          <w:lang w:val="en-US"/>
        </w:rPr>
        <w:t xml:space="preserve"> For those reasons the State failed to discharge the onus of proof that the appellant is guilty of murder beyond reasonable doubt. In the circumstances, the conviction and sentence cannot stand. </w:t>
      </w:r>
    </w:p>
    <w:p w14:paraId="5506CFB5" w14:textId="77777777" w:rsidR="0058227E" w:rsidRPr="004145B9" w:rsidRDefault="0058227E" w:rsidP="00DB1848">
      <w:pPr>
        <w:spacing w:after="0" w:line="360" w:lineRule="auto"/>
        <w:jc w:val="both"/>
        <w:rPr>
          <w:rFonts w:ascii="Times New Roman" w:eastAsiaTheme="minorHAnsi" w:hAnsi="Times New Roman" w:cs="Times New Roman"/>
          <w:color w:val="000000" w:themeColor="text1"/>
          <w:sz w:val="28"/>
          <w:szCs w:val="28"/>
          <w:lang w:val="en-US"/>
        </w:rPr>
      </w:pPr>
    </w:p>
    <w:p w14:paraId="015B30F1" w14:textId="77777777" w:rsidR="005078E8" w:rsidRPr="004145B9" w:rsidRDefault="0058227E" w:rsidP="00DB1848">
      <w:pPr>
        <w:spacing w:after="0" w:line="360" w:lineRule="auto"/>
        <w:jc w:val="both"/>
        <w:rPr>
          <w:rFonts w:ascii="Times New Roman" w:eastAsiaTheme="minorHAnsi" w:hAnsi="Times New Roman" w:cs="Times New Roman"/>
          <w:b/>
          <w:color w:val="000000" w:themeColor="text1"/>
          <w:sz w:val="28"/>
          <w:szCs w:val="28"/>
          <w:lang w:val="en-US"/>
        </w:rPr>
      </w:pPr>
      <w:r w:rsidRPr="004145B9">
        <w:rPr>
          <w:rFonts w:ascii="Times New Roman" w:eastAsiaTheme="minorHAnsi" w:hAnsi="Times New Roman" w:cs="Times New Roman"/>
          <w:b/>
          <w:bCs/>
          <w:color w:val="000000" w:themeColor="text1"/>
          <w:sz w:val="28"/>
          <w:szCs w:val="28"/>
          <w:lang w:val="en-US"/>
        </w:rPr>
        <w:t>Order</w:t>
      </w:r>
    </w:p>
    <w:p w14:paraId="22714D64" w14:textId="77777777" w:rsidR="0058227E" w:rsidRPr="004145B9" w:rsidRDefault="0058227E" w:rsidP="00DB1848">
      <w:pPr>
        <w:spacing w:after="0" w:line="360" w:lineRule="auto"/>
        <w:jc w:val="both"/>
        <w:rPr>
          <w:rFonts w:ascii="Times New Roman" w:eastAsiaTheme="minorHAnsi" w:hAnsi="Times New Roman" w:cs="Times New Roman"/>
          <w:color w:val="000000" w:themeColor="text1"/>
          <w:sz w:val="28"/>
          <w:szCs w:val="28"/>
          <w:lang w:val="en-US"/>
        </w:rPr>
      </w:pPr>
      <w:r w:rsidRPr="004145B9">
        <w:rPr>
          <w:rFonts w:ascii="Times New Roman" w:eastAsiaTheme="minorHAnsi" w:hAnsi="Times New Roman" w:cs="Times New Roman"/>
          <w:color w:val="000000" w:themeColor="text1"/>
          <w:sz w:val="28"/>
          <w:szCs w:val="28"/>
          <w:lang w:val="en-US"/>
        </w:rPr>
        <w:t>[2</w:t>
      </w:r>
      <w:r w:rsidR="00F21678" w:rsidRPr="004145B9">
        <w:rPr>
          <w:rFonts w:ascii="Times New Roman" w:eastAsiaTheme="minorHAnsi" w:hAnsi="Times New Roman" w:cs="Times New Roman"/>
          <w:color w:val="000000" w:themeColor="text1"/>
          <w:sz w:val="28"/>
          <w:szCs w:val="28"/>
          <w:lang w:val="en-US"/>
        </w:rPr>
        <w:t>1</w:t>
      </w:r>
      <w:r w:rsidRPr="004145B9">
        <w:rPr>
          <w:rFonts w:ascii="Times New Roman" w:eastAsiaTheme="minorHAnsi" w:hAnsi="Times New Roman" w:cs="Times New Roman"/>
          <w:color w:val="000000" w:themeColor="text1"/>
          <w:sz w:val="28"/>
          <w:szCs w:val="28"/>
          <w:lang w:val="en-US"/>
        </w:rPr>
        <w:t>]</w:t>
      </w:r>
      <w:r w:rsidRPr="004145B9">
        <w:rPr>
          <w:rFonts w:ascii="Times New Roman" w:eastAsiaTheme="minorHAnsi" w:hAnsi="Times New Roman" w:cs="Times New Roman"/>
          <w:color w:val="000000" w:themeColor="text1"/>
          <w:sz w:val="28"/>
          <w:szCs w:val="28"/>
          <w:lang w:val="en-US"/>
        </w:rPr>
        <w:tab/>
        <w:t>In the result, the following order is made:</w:t>
      </w:r>
    </w:p>
    <w:p w14:paraId="6FB2C5E0" w14:textId="77777777" w:rsidR="00D95175" w:rsidRPr="004145B9" w:rsidRDefault="00D95175" w:rsidP="00D95175">
      <w:pPr>
        <w:shd w:val="clear" w:color="auto" w:fill="FFFFFF"/>
        <w:spacing w:after="0" w:line="360" w:lineRule="auto"/>
        <w:rPr>
          <w:rFonts w:ascii="Times New Roman" w:eastAsia="Times New Roman" w:hAnsi="Times New Roman" w:cs="Times New Roman"/>
          <w:color w:val="222222"/>
          <w:sz w:val="28"/>
          <w:szCs w:val="28"/>
          <w:lang w:eastAsia="en-ZA"/>
        </w:rPr>
      </w:pPr>
      <w:r w:rsidRPr="004145B9">
        <w:rPr>
          <w:rFonts w:ascii="Times New Roman" w:eastAsia="Times New Roman" w:hAnsi="Times New Roman" w:cs="Times New Roman"/>
          <w:color w:val="222222"/>
          <w:sz w:val="28"/>
          <w:szCs w:val="28"/>
          <w:lang w:eastAsia="en-ZA"/>
        </w:rPr>
        <w:t>1</w:t>
      </w:r>
      <w:r w:rsidR="00804887" w:rsidRPr="004145B9">
        <w:rPr>
          <w:rFonts w:ascii="Times New Roman" w:eastAsia="Times New Roman" w:hAnsi="Times New Roman" w:cs="Times New Roman"/>
          <w:color w:val="222222"/>
          <w:sz w:val="28"/>
          <w:szCs w:val="28"/>
          <w:lang w:eastAsia="en-ZA"/>
        </w:rPr>
        <w:tab/>
      </w:r>
      <w:r w:rsidRPr="004145B9">
        <w:rPr>
          <w:rFonts w:ascii="Times New Roman" w:eastAsia="Times New Roman" w:hAnsi="Times New Roman" w:cs="Times New Roman"/>
          <w:color w:val="222222"/>
          <w:sz w:val="28"/>
          <w:szCs w:val="28"/>
          <w:lang w:eastAsia="en-ZA"/>
        </w:rPr>
        <w:t>The appeal is upheld.</w:t>
      </w:r>
    </w:p>
    <w:p w14:paraId="385E11D5" w14:textId="77777777" w:rsidR="00D95175" w:rsidRPr="004145B9" w:rsidRDefault="00D95175" w:rsidP="00D95175">
      <w:pPr>
        <w:shd w:val="clear" w:color="auto" w:fill="FFFFFF"/>
        <w:spacing w:after="0" w:line="360" w:lineRule="auto"/>
        <w:rPr>
          <w:rFonts w:ascii="Times New Roman" w:eastAsia="Times New Roman" w:hAnsi="Times New Roman" w:cs="Times New Roman"/>
          <w:color w:val="222222"/>
          <w:sz w:val="28"/>
          <w:szCs w:val="28"/>
          <w:lang w:eastAsia="en-ZA"/>
        </w:rPr>
      </w:pPr>
      <w:r w:rsidRPr="004145B9">
        <w:rPr>
          <w:rFonts w:ascii="Times New Roman" w:eastAsia="Times New Roman" w:hAnsi="Times New Roman" w:cs="Times New Roman"/>
          <w:color w:val="222222"/>
          <w:sz w:val="28"/>
          <w:szCs w:val="28"/>
          <w:lang w:eastAsia="en-ZA"/>
        </w:rPr>
        <w:t>2</w:t>
      </w:r>
      <w:r w:rsidR="00804887" w:rsidRPr="004145B9">
        <w:rPr>
          <w:rFonts w:ascii="Times New Roman" w:eastAsia="Times New Roman" w:hAnsi="Times New Roman" w:cs="Times New Roman"/>
          <w:color w:val="222222"/>
          <w:sz w:val="28"/>
          <w:szCs w:val="28"/>
          <w:lang w:eastAsia="en-ZA"/>
        </w:rPr>
        <w:tab/>
      </w:r>
      <w:r w:rsidRPr="004145B9">
        <w:rPr>
          <w:rFonts w:ascii="Times New Roman" w:eastAsia="Times New Roman" w:hAnsi="Times New Roman" w:cs="Times New Roman"/>
          <w:color w:val="222222"/>
          <w:sz w:val="28"/>
          <w:szCs w:val="28"/>
          <w:lang w:eastAsia="en-ZA"/>
        </w:rPr>
        <w:t xml:space="preserve">The order of the full bench in respect of the conviction and sentence is set </w:t>
      </w:r>
      <w:r w:rsidR="00804887" w:rsidRPr="004145B9">
        <w:rPr>
          <w:rFonts w:ascii="Times New Roman" w:eastAsia="Times New Roman" w:hAnsi="Times New Roman" w:cs="Times New Roman"/>
          <w:color w:val="222222"/>
          <w:sz w:val="28"/>
          <w:szCs w:val="28"/>
          <w:lang w:eastAsia="en-ZA"/>
        </w:rPr>
        <w:tab/>
      </w:r>
      <w:r w:rsidRPr="004145B9">
        <w:rPr>
          <w:rFonts w:ascii="Times New Roman" w:eastAsia="Times New Roman" w:hAnsi="Times New Roman" w:cs="Times New Roman"/>
          <w:color w:val="222222"/>
          <w:sz w:val="28"/>
          <w:szCs w:val="28"/>
          <w:lang w:eastAsia="en-ZA"/>
        </w:rPr>
        <w:t>aside and replaced with the following order:</w:t>
      </w:r>
    </w:p>
    <w:p w14:paraId="0BDEE662" w14:textId="77777777" w:rsidR="00206AE9" w:rsidRDefault="00804887" w:rsidP="00D95175">
      <w:pPr>
        <w:shd w:val="clear" w:color="auto" w:fill="FFFFFF"/>
        <w:spacing w:after="0" w:line="360" w:lineRule="auto"/>
        <w:rPr>
          <w:rFonts w:ascii="Times New Roman" w:eastAsia="Times New Roman" w:hAnsi="Times New Roman" w:cs="Times New Roman"/>
          <w:color w:val="222222"/>
          <w:sz w:val="28"/>
          <w:szCs w:val="28"/>
          <w:lang w:eastAsia="en-ZA"/>
        </w:rPr>
      </w:pPr>
      <w:r w:rsidRPr="004145B9">
        <w:rPr>
          <w:rFonts w:ascii="Times New Roman" w:eastAsia="Times New Roman" w:hAnsi="Times New Roman" w:cs="Times New Roman"/>
          <w:color w:val="222222"/>
          <w:sz w:val="28"/>
          <w:szCs w:val="28"/>
          <w:lang w:eastAsia="en-ZA"/>
        </w:rPr>
        <w:tab/>
      </w:r>
      <w:r w:rsidR="00D95175" w:rsidRPr="004145B9">
        <w:rPr>
          <w:rFonts w:ascii="Times New Roman" w:eastAsia="Times New Roman" w:hAnsi="Times New Roman" w:cs="Times New Roman"/>
          <w:color w:val="222222"/>
          <w:sz w:val="28"/>
          <w:szCs w:val="28"/>
          <w:lang w:eastAsia="en-ZA"/>
        </w:rPr>
        <w:t>‘The appellant is found not guilty and discharged’.</w:t>
      </w:r>
    </w:p>
    <w:p w14:paraId="0138F474" w14:textId="389F75B5" w:rsidR="00206AE9" w:rsidRDefault="00206AE9" w:rsidP="00D95175">
      <w:pPr>
        <w:shd w:val="clear" w:color="auto" w:fill="FFFFFF"/>
        <w:spacing w:after="0" w:line="360" w:lineRule="auto"/>
        <w:rPr>
          <w:rFonts w:ascii="Times New Roman" w:eastAsia="Times New Roman" w:hAnsi="Times New Roman" w:cs="Times New Roman"/>
          <w:color w:val="222222"/>
          <w:sz w:val="28"/>
          <w:szCs w:val="28"/>
          <w:lang w:eastAsia="en-ZA"/>
        </w:rPr>
      </w:pPr>
    </w:p>
    <w:p w14:paraId="0106B81F" w14:textId="7B1F892C" w:rsidR="00D95175" w:rsidRDefault="00D95175" w:rsidP="00700EF0">
      <w:pPr>
        <w:shd w:val="clear" w:color="auto" w:fill="FFFFFF"/>
        <w:spacing w:after="0" w:line="360" w:lineRule="auto"/>
        <w:rPr>
          <w:rFonts w:ascii="Times New Roman" w:eastAsiaTheme="minorHAnsi" w:hAnsi="Times New Roman" w:cs="Times New Roman"/>
          <w:sz w:val="28"/>
          <w:szCs w:val="28"/>
        </w:rPr>
      </w:pPr>
    </w:p>
    <w:p w14:paraId="1087B59E" w14:textId="696224BC" w:rsidR="0058227E" w:rsidRPr="005358D6" w:rsidRDefault="00B87B40" w:rsidP="005358D6">
      <w:pPr>
        <w:pStyle w:val="NoSpacing"/>
        <w:jc w:val="right"/>
        <w:rPr>
          <w:rFonts w:ascii="Times New Roman" w:eastAsiaTheme="minorHAnsi" w:hAnsi="Times New Roman" w:cs="Times New Roman"/>
          <w:sz w:val="28"/>
          <w:szCs w:val="28"/>
          <w:lang w:val="en-US"/>
        </w:rPr>
      </w:pPr>
      <w:r>
        <w:rPr>
          <w:rFonts w:ascii="Times New Roman" w:eastAsiaTheme="minorHAnsi" w:hAnsi="Times New Roman" w:cs="Times New Roman"/>
          <w:noProof/>
          <w:sz w:val="28"/>
          <w:szCs w:val="28"/>
          <w:lang w:eastAsia="en-ZA"/>
          <w14:ligatures w14:val="standardContextual"/>
        </w:rPr>
        <mc:AlternateContent>
          <mc:Choice Requires="wpi">
            <w:drawing>
              <wp:anchor distT="0" distB="0" distL="114300" distR="114300" simplePos="0" relativeHeight="251660288" behindDoc="0" locked="0" layoutInCell="1" allowOverlap="1" wp14:anchorId="363258CD" wp14:editId="3E1B56DE">
                <wp:simplePos x="0" y="0"/>
                <wp:positionH relativeFrom="column">
                  <wp:posOffset>4476800</wp:posOffset>
                </wp:positionH>
                <wp:positionV relativeFrom="paragraph">
                  <wp:posOffset>116756</wp:posOffset>
                </wp:positionV>
                <wp:extent cx="360" cy="360"/>
                <wp:effectExtent l="38100" t="38100" r="38100" b="38100"/>
                <wp:wrapNone/>
                <wp:docPr id="1425317588"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5200C1" id="Ink 3" o:spid="_x0000_s1026" type="#_x0000_t75" style="position:absolute;margin-left:351.3pt;margin-top:8pt;width:2.5pt;height: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">
                <v:imagedata r:id="rId12" o:title=""/>
              </v:shape>
            </w:pict>
          </mc:Fallback>
        </mc:AlternateContent>
      </w:r>
      <w:r w:rsidR="005F02D3">
        <w:rPr>
          <w:rFonts w:ascii="Times New Roman" w:eastAsiaTheme="minorHAnsi" w:hAnsi="Times New Roman" w:cs="Times New Roman"/>
          <w:sz w:val="28"/>
          <w:szCs w:val="28"/>
          <w:lang w:val="en-US"/>
        </w:rPr>
        <w:t>________________</w:t>
      </w:r>
      <w:bookmarkStart w:id="0" w:name="_GoBack"/>
      <w:bookmarkEnd w:id="0"/>
      <w:r w:rsidR="0058227E" w:rsidRPr="005358D6">
        <w:rPr>
          <w:rFonts w:ascii="Times New Roman" w:eastAsiaTheme="minorHAnsi" w:hAnsi="Times New Roman" w:cs="Times New Roman"/>
          <w:sz w:val="28"/>
          <w:szCs w:val="28"/>
          <w:lang w:val="en-US"/>
        </w:rPr>
        <w:t>______________</w:t>
      </w:r>
    </w:p>
    <w:p w14:paraId="414F2CD0" w14:textId="77777777" w:rsidR="0058227E" w:rsidRPr="005358D6" w:rsidRDefault="0058227E" w:rsidP="005358D6">
      <w:pPr>
        <w:pStyle w:val="NoSpacing"/>
        <w:jc w:val="right"/>
        <w:rPr>
          <w:rFonts w:ascii="Times New Roman" w:eastAsiaTheme="minorHAnsi" w:hAnsi="Times New Roman" w:cs="Times New Roman"/>
          <w:sz w:val="28"/>
          <w:szCs w:val="28"/>
          <w:lang w:val="en-US"/>
        </w:rPr>
      </w:pPr>
      <w:r w:rsidRPr="005358D6">
        <w:rPr>
          <w:rFonts w:ascii="Times New Roman" w:eastAsiaTheme="minorHAnsi" w:hAnsi="Times New Roman" w:cs="Times New Roman"/>
          <w:sz w:val="28"/>
          <w:szCs w:val="28"/>
          <w:lang w:val="en-US"/>
        </w:rPr>
        <w:t xml:space="preserve">Z M NHLANGULELA </w:t>
      </w:r>
    </w:p>
    <w:p w14:paraId="15770D2B" w14:textId="77777777" w:rsidR="00EB7D5E" w:rsidRPr="005358D6" w:rsidRDefault="0058227E" w:rsidP="005358D6">
      <w:pPr>
        <w:pStyle w:val="NoSpacing"/>
        <w:jc w:val="right"/>
        <w:rPr>
          <w:rFonts w:ascii="Times New Roman" w:eastAsiaTheme="minorHAnsi" w:hAnsi="Times New Roman" w:cs="Times New Roman"/>
          <w:sz w:val="28"/>
          <w:szCs w:val="28"/>
          <w:lang w:val="en-US"/>
        </w:rPr>
      </w:pPr>
      <w:r w:rsidRPr="005358D6">
        <w:rPr>
          <w:rFonts w:ascii="Times New Roman" w:eastAsiaTheme="minorHAnsi" w:hAnsi="Times New Roman" w:cs="Times New Roman"/>
          <w:sz w:val="28"/>
          <w:szCs w:val="28"/>
          <w:lang w:val="en-US"/>
        </w:rPr>
        <w:t>ACTING JUDGE OF APPEAL</w:t>
      </w:r>
    </w:p>
    <w:p w14:paraId="1340E9CA" w14:textId="77777777" w:rsidR="0058227E" w:rsidRPr="006F0077" w:rsidRDefault="00EB7D5E" w:rsidP="00700EF0">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lang w:val="en-US"/>
        </w:rPr>
        <w:br w:type="page"/>
      </w:r>
      <w:r w:rsidR="0058227E" w:rsidRPr="006F0077">
        <w:rPr>
          <w:rFonts w:ascii="Times New Roman" w:eastAsiaTheme="minorHAnsi" w:hAnsi="Times New Roman" w:cs="Times New Roman"/>
          <w:sz w:val="28"/>
          <w:szCs w:val="28"/>
        </w:rPr>
        <w:lastRenderedPageBreak/>
        <w:t>Appearances:</w:t>
      </w:r>
    </w:p>
    <w:p w14:paraId="3C55A294" w14:textId="77777777" w:rsidR="0058227E" w:rsidRPr="006F0077" w:rsidRDefault="0058227E" w:rsidP="0058227E">
      <w:pPr>
        <w:spacing w:after="160" w:line="360" w:lineRule="auto"/>
        <w:jc w:val="both"/>
        <w:rPr>
          <w:rFonts w:ascii="Times New Roman" w:eastAsiaTheme="minorHAnsi" w:hAnsi="Times New Roman" w:cs="Times New Roman"/>
          <w:sz w:val="28"/>
          <w:szCs w:val="28"/>
        </w:rPr>
      </w:pPr>
    </w:p>
    <w:p w14:paraId="3C4AEA72" w14:textId="77777777" w:rsidR="0058227E" w:rsidRPr="006F0077" w:rsidRDefault="00832F5D" w:rsidP="0058227E">
      <w:pPr>
        <w:spacing w:after="160" w:line="276"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For appellant:</w:t>
      </w:r>
      <w:r>
        <w:rPr>
          <w:rFonts w:ascii="Times New Roman" w:eastAsiaTheme="minorHAnsi" w:hAnsi="Times New Roman" w:cs="Times New Roman"/>
          <w:sz w:val="28"/>
          <w:szCs w:val="28"/>
        </w:rPr>
        <w:tab/>
        <w:t>M van Wyngaard</w:t>
      </w:r>
    </w:p>
    <w:p w14:paraId="2110F9B9" w14:textId="77777777" w:rsidR="0058227E" w:rsidRPr="006F0077" w:rsidRDefault="0058227E" w:rsidP="0058227E">
      <w:pPr>
        <w:spacing w:after="160" w:line="276" w:lineRule="auto"/>
        <w:jc w:val="both"/>
        <w:rPr>
          <w:rFonts w:ascii="Times New Roman" w:eastAsiaTheme="minorHAnsi" w:hAnsi="Times New Roman" w:cs="Times New Roman"/>
          <w:sz w:val="28"/>
          <w:szCs w:val="28"/>
        </w:rPr>
      </w:pPr>
      <w:r w:rsidRPr="006F0077">
        <w:rPr>
          <w:rFonts w:ascii="Times New Roman" w:eastAsiaTheme="minorHAnsi" w:hAnsi="Times New Roman" w:cs="Times New Roman"/>
          <w:bCs/>
          <w:sz w:val="28"/>
          <w:szCs w:val="28"/>
        </w:rPr>
        <w:t>Instructed by:</w:t>
      </w:r>
      <w:r w:rsidRPr="006F0077">
        <w:rPr>
          <w:rFonts w:ascii="Times New Roman" w:eastAsiaTheme="minorHAnsi" w:hAnsi="Times New Roman" w:cs="Times New Roman"/>
          <w:bCs/>
          <w:sz w:val="28"/>
          <w:szCs w:val="28"/>
        </w:rPr>
        <w:tab/>
        <w:t>Leonnie Naude Inc</w:t>
      </w:r>
      <w:r w:rsidRPr="006F0077">
        <w:rPr>
          <w:rFonts w:ascii="Times New Roman" w:eastAsiaTheme="minorHAnsi" w:hAnsi="Times New Roman" w:cs="Times New Roman"/>
          <w:sz w:val="28"/>
          <w:szCs w:val="28"/>
        </w:rPr>
        <w:t>, Benoni</w:t>
      </w:r>
    </w:p>
    <w:p w14:paraId="2348EDAC" w14:textId="77777777" w:rsidR="0058227E" w:rsidRDefault="0058227E" w:rsidP="0058227E">
      <w:pPr>
        <w:spacing w:after="160" w:line="276" w:lineRule="auto"/>
        <w:jc w:val="both"/>
        <w:rPr>
          <w:rFonts w:ascii="Times New Roman" w:eastAsiaTheme="minorHAnsi" w:hAnsi="Times New Roman" w:cs="Times New Roman"/>
          <w:bCs/>
          <w:sz w:val="28"/>
          <w:szCs w:val="28"/>
        </w:rPr>
      </w:pPr>
      <w:r w:rsidRPr="006F0077">
        <w:rPr>
          <w:rFonts w:ascii="Times New Roman" w:eastAsiaTheme="minorHAnsi" w:hAnsi="Times New Roman" w:cs="Times New Roman"/>
          <w:sz w:val="28"/>
          <w:szCs w:val="28"/>
        </w:rPr>
        <w:tab/>
      </w:r>
      <w:r w:rsidRPr="006F0077">
        <w:rPr>
          <w:rFonts w:ascii="Times New Roman" w:eastAsiaTheme="minorHAnsi" w:hAnsi="Times New Roman" w:cs="Times New Roman"/>
          <w:sz w:val="28"/>
          <w:szCs w:val="28"/>
        </w:rPr>
        <w:tab/>
      </w:r>
      <w:r w:rsidRPr="006F0077">
        <w:rPr>
          <w:rFonts w:ascii="Times New Roman" w:eastAsiaTheme="minorHAnsi" w:hAnsi="Times New Roman" w:cs="Times New Roman"/>
          <w:sz w:val="28"/>
          <w:szCs w:val="28"/>
        </w:rPr>
        <w:tab/>
        <w:t>Hendre Conradie Inc, (Rossouw Attorneys), Bloemfontein</w:t>
      </w:r>
    </w:p>
    <w:p w14:paraId="3FD2B38E" w14:textId="77777777" w:rsidR="00ED1B7D" w:rsidRPr="006F0077" w:rsidRDefault="00ED1B7D" w:rsidP="0058227E">
      <w:pPr>
        <w:spacing w:after="160" w:line="276" w:lineRule="auto"/>
        <w:jc w:val="both"/>
        <w:rPr>
          <w:rFonts w:ascii="Times New Roman" w:eastAsiaTheme="minorHAnsi" w:hAnsi="Times New Roman" w:cs="Times New Roman"/>
          <w:sz w:val="28"/>
          <w:szCs w:val="28"/>
        </w:rPr>
      </w:pPr>
    </w:p>
    <w:p w14:paraId="113F20C9" w14:textId="77777777" w:rsidR="0058227E" w:rsidRPr="006F0077" w:rsidRDefault="0058227E" w:rsidP="0058227E">
      <w:pPr>
        <w:spacing w:after="160" w:line="276" w:lineRule="auto"/>
        <w:jc w:val="both"/>
        <w:rPr>
          <w:rFonts w:ascii="Times New Roman" w:eastAsiaTheme="minorHAnsi" w:hAnsi="Times New Roman" w:cs="Times New Roman"/>
          <w:sz w:val="28"/>
          <w:szCs w:val="28"/>
        </w:rPr>
      </w:pPr>
      <w:r w:rsidRPr="006F0077">
        <w:rPr>
          <w:rFonts w:ascii="Times New Roman" w:eastAsiaTheme="minorHAnsi" w:hAnsi="Times New Roman" w:cs="Times New Roman"/>
          <w:sz w:val="28"/>
          <w:szCs w:val="28"/>
        </w:rPr>
        <w:t>For respondent:</w:t>
      </w:r>
      <w:r w:rsidRPr="006F0077">
        <w:rPr>
          <w:rFonts w:ascii="Times New Roman" w:eastAsiaTheme="minorHAnsi" w:hAnsi="Times New Roman" w:cs="Times New Roman"/>
          <w:sz w:val="28"/>
          <w:szCs w:val="28"/>
        </w:rPr>
        <w:tab/>
        <w:t xml:space="preserve">M Jansen van Vuuren </w:t>
      </w:r>
    </w:p>
    <w:p w14:paraId="3DD97C76" w14:textId="77777777" w:rsidR="0058227E" w:rsidRPr="006F0077" w:rsidRDefault="0058227E" w:rsidP="0058227E">
      <w:pPr>
        <w:spacing w:after="160" w:line="276" w:lineRule="auto"/>
        <w:jc w:val="both"/>
        <w:rPr>
          <w:rFonts w:ascii="Times New Roman" w:eastAsiaTheme="minorHAnsi" w:hAnsi="Times New Roman" w:cs="Times New Roman"/>
          <w:bCs/>
          <w:sz w:val="28"/>
          <w:szCs w:val="28"/>
        </w:rPr>
      </w:pPr>
      <w:r w:rsidRPr="006F0077">
        <w:rPr>
          <w:rFonts w:ascii="Times New Roman" w:eastAsiaTheme="minorHAnsi" w:hAnsi="Times New Roman" w:cs="Times New Roman"/>
          <w:bCs/>
          <w:sz w:val="28"/>
          <w:szCs w:val="28"/>
        </w:rPr>
        <w:t>Instructed by:</w:t>
      </w:r>
      <w:r w:rsidRPr="006F0077">
        <w:rPr>
          <w:rFonts w:ascii="Times New Roman" w:eastAsiaTheme="minorHAnsi" w:hAnsi="Times New Roman" w:cs="Times New Roman"/>
          <w:bCs/>
          <w:sz w:val="28"/>
          <w:szCs w:val="28"/>
        </w:rPr>
        <w:tab/>
        <w:t>Director of Public Prosecutions, Pretoria</w:t>
      </w:r>
    </w:p>
    <w:p w14:paraId="5B88929B" w14:textId="77777777" w:rsidR="00B9647D" w:rsidRPr="00ED1B7D" w:rsidRDefault="0058227E" w:rsidP="00ED1B7D">
      <w:pPr>
        <w:spacing w:after="160" w:line="276" w:lineRule="auto"/>
        <w:jc w:val="both"/>
        <w:rPr>
          <w:rFonts w:ascii="Times New Roman" w:eastAsiaTheme="minorHAnsi" w:hAnsi="Times New Roman" w:cs="Times New Roman"/>
          <w:bCs/>
          <w:sz w:val="28"/>
          <w:szCs w:val="28"/>
        </w:rPr>
      </w:pPr>
      <w:r w:rsidRPr="006F0077">
        <w:rPr>
          <w:rFonts w:ascii="Times New Roman" w:eastAsiaTheme="minorHAnsi" w:hAnsi="Times New Roman" w:cs="Times New Roman"/>
          <w:bCs/>
          <w:sz w:val="28"/>
          <w:szCs w:val="28"/>
        </w:rPr>
        <w:tab/>
      </w:r>
      <w:r w:rsidRPr="006F0077">
        <w:rPr>
          <w:rFonts w:ascii="Times New Roman" w:eastAsiaTheme="minorHAnsi" w:hAnsi="Times New Roman" w:cs="Times New Roman"/>
          <w:bCs/>
          <w:sz w:val="28"/>
          <w:szCs w:val="28"/>
        </w:rPr>
        <w:tab/>
      </w:r>
      <w:r w:rsidRPr="006F0077">
        <w:rPr>
          <w:rFonts w:ascii="Times New Roman" w:eastAsiaTheme="minorHAnsi" w:hAnsi="Times New Roman" w:cs="Times New Roman"/>
          <w:bCs/>
          <w:sz w:val="28"/>
          <w:szCs w:val="28"/>
        </w:rPr>
        <w:tab/>
        <w:t>Director of Publ</w:t>
      </w:r>
      <w:r w:rsidR="00ED1B7D">
        <w:rPr>
          <w:rFonts w:ascii="Times New Roman" w:eastAsiaTheme="minorHAnsi" w:hAnsi="Times New Roman" w:cs="Times New Roman"/>
          <w:bCs/>
          <w:sz w:val="28"/>
          <w:szCs w:val="28"/>
        </w:rPr>
        <w:t>ic Prosecutions, Bloemfontein.</w:t>
      </w:r>
    </w:p>
    <w:sectPr w:rsidR="00B9647D" w:rsidRPr="00ED1B7D" w:rsidSect="00972145">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733DA" w14:textId="77777777" w:rsidR="00907EAE" w:rsidRDefault="00907EAE" w:rsidP="0058227E">
      <w:pPr>
        <w:spacing w:after="0" w:line="240" w:lineRule="auto"/>
      </w:pPr>
      <w:r>
        <w:separator/>
      </w:r>
    </w:p>
  </w:endnote>
  <w:endnote w:type="continuationSeparator" w:id="0">
    <w:p w14:paraId="47E47FB3" w14:textId="77777777" w:rsidR="00907EAE" w:rsidRDefault="00907EAE" w:rsidP="0058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E432E" w14:textId="77777777" w:rsidR="00907EAE" w:rsidRDefault="00907EAE" w:rsidP="0058227E">
      <w:pPr>
        <w:spacing w:after="0" w:line="240" w:lineRule="auto"/>
      </w:pPr>
      <w:r>
        <w:separator/>
      </w:r>
    </w:p>
  </w:footnote>
  <w:footnote w:type="continuationSeparator" w:id="0">
    <w:p w14:paraId="3EF0FC9E" w14:textId="77777777" w:rsidR="00907EAE" w:rsidRDefault="00907EAE" w:rsidP="0058227E">
      <w:pPr>
        <w:spacing w:after="0" w:line="240" w:lineRule="auto"/>
      </w:pPr>
      <w:r>
        <w:continuationSeparator/>
      </w:r>
    </w:p>
  </w:footnote>
  <w:footnote w:id="1">
    <w:p w14:paraId="47488BF3" w14:textId="77777777" w:rsidR="003C747C" w:rsidRPr="0014365D" w:rsidRDefault="003C747C" w:rsidP="003C747C">
      <w:pPr>
        <w:pStyle w:val="FootnoteText"/>
        <w:spacing w:after="0"/>
        <w:jc w:val="both"/>
        <w:rPr>
          <w:rFonts w:ascii="Times New Roman" w:hAnsi="Times New Roman" w:cs="Times New Roman"/>
          <w:lang w:val="en-US"/>
        </w:rPr>
      </w:pPr>
      <w:r w:rsidRPr="0011091F">
        <w:rPr>
          <w:rStyle w:val="FootnoteReference"/>
          <w:rFonts w:ascii="Times New Roman" w:hAnsi="Times New Roman" w:cs="Times New Roman"/>
        </w:rPr>
        <w:footnoteRef/>
      </w:r>
      <w:r w:rsidRPr="0011091F">
        <w:rPr>
          <w:rFonts w:ascii="Times New Roman" w:hAnsi="Times New Roman" w:cs="Times New Roman"/>
        </w:rPr>
        <w:t xml:space="preserve"> </w:t>
      </w:r>
      <w:r w:rsidRPr="0014365D">
        <w:rPr>
          <w:rFonts w:ascii="Times New Roman" w:hAnsi="Times New Roman" w:cs="Times New Roman"/>
          <w:lang w:val="en-US"/>
        </w:rPr>
        <w:t>The provisions of s 309B(5)</w:t>
      </w:r>
      <w:r w:rsidRPr="0014365D">
        <w:rPr>
          <w:rFonts w:ascii="Times New Roman" w:hAnsi="Times New Roman" w:cs="Times New Roman"/>
          <w:i/>
          <w:lang w:val="en-US"/>
        </w:rPr>
        <w:t>(a)</w:t>
      </w:r>
      <w:r w:rsidRPr="0014365D">
        <w:rPr>
          <w:rFonts w:ascii="Times New Roman" w:hAnsi="Times New Roman" w:cs="Times New Roman"/>
          <w:lang w:val="en-US"/>
        </w:rPr>
        <w:t xml:space="preserve"> reads as follows: </w:t>
      </w:r>
    </w:p>
    <w:p w14:paraId="452DCF54" w14:textId="77777777" w:rsidR="003C747C" w:rsidRDefault="003C747C" w:rsidP="003C747C">
      <w:pPr>
        <w:pStyle w:val="FootnoteText"/>
      </w:pPr>
      <w:r w:rsidRPr="0014365D">
        <w:rPr>
          <w:rFonts w:ascii="Times New Roman" w:hAnsi="Times New Roman" w:cs="Times New Roman"/>
          <w:lang w:val="en-US"/>
        </w:rPr>
        <w:t>‘An application for leave to appeal may be accompanied by an application to adduce further evidence (hereafter referred to as an application for further evidence) relating to the conviction, sentence or order in respect of which the appeal is sought to be noted.’</w:t>
      </w:r>
    </w:p>
  </w:footnote>
  <w:footnote w:id="2">
    <w:p w14:paraId="0977B27E" w14:textId="77777777" w:rsidR="008D0C6D" w:rsidRDefault="006B350A" w:rsidP="00700EF0">
      <w:pPr>
        <w:pStyle w:val="FootnoteText"/>
        <w:spacing w:after="0" w:line="240" w:lineRule="auto"/>
        <w:jc w:val="both"/>
        <w:rPr>
          <w:rFonts w:ascii="Times New Roman" w:hAnsi="Times New Roman" w:cs="Times New Roman"/>
          <w:lang w:val="en-US"/>
        </w:rPr>
      </w:pPr>
      <w:r w:rsidRPr="0091283E">
        <w:rPr>
          <w:rStyle w:val="FootnoteReference"/>
          <w:rFonts w:ascii="Times New Roman" w:hAnsi="Times New Roman" w:cs="Times New Roman"/>
        </w:rPr>
        <w:footnoteRef/>
      </w:r>
      <w:r w:rsidRPr="0091283E">
        <w:rPr>
          <w:rFonts w:ascii="Times New Roman" w:hAnsi="Times New Roman" w:cs="Times New Roman"/>
        </w:rPr>
        <w:t xml:space="preserve"> </w:t>
      </w:r>
      <w:r w:rsidRPr="0091283E">
        <w:rPr>
          <w:rFonts w:ascii="Times New Roman" w:hAnsi="Times New Roman" w:cs="Times New Roman"/>
          <w:lang w:val="en-US"/>
        </w:rPr>
        <w:t>Section 309B(6)</w:t>
      </w:r>
      <w:r w:rsidR="00F40338">
        <w:rPr>
          <w:rFonts w:ascii="Times New Roman" w:hAnsi="Times New Roman" w:cs="Times New Roman"/>
          <w:lang w:val="en-US"/>
        </w:rPr>
        <w:t xml:space="preserve"> of the CPA</w:t>
      </w:r>
      <w:r w:rsidRPr="0091283E">
        <w:rPr>
          <w:rFonts w:ascii="Times New Roman" w:hAnsi="Times New Roman" w:cs="Times New Roman"/>
          <w:lang w:val="en-US"/>
        </w:rPr>
        <w:t xml:space="preserve"> reads: </w:t>
      </w:r>
    </w:p>
    <w:p w14:paraId="5007519B" w14:textId="77777777" w:rsidR="006B350A" w:rsidRPr="0091283E" w:rsidRDefault="006B350A" w:rsidP="00700EF0">
      <w:pPr>
        <w:pStyle w:val="FootnoteText"/>
        <w:spacing w:after="0" w:line="240" w:lineRule="auto"/>
        <w:jc w:val="both"/>
        <w:rPr>
          <w:rFonts w:ascii="Times New Roman" w:hAnsi="Times New Roman" w:cs="Times New Roman"/>
          <w:lang w:val="en-US"/>
        </w:rPr>
      </w:pPr>
      <w:r w:rsidRPr="0091283E">
        <w:rPr>
          <w:rFonts w:ascii="Times New Roman" w:hAnsi="Times New Roman" w:cs="Times New Roman"/>
          <w:lang w:val="en-US"/>
        </w:rPr>
        <w:t>‘</w:t>
      </w:r>
      <w:r w:rsidR="00F40338">
        <w:rPr>
          <w:rFonts w:ascii="Times New Roman" w:hAnsi="Times New Roman" w:cs="Times New Roman"/>
          <w:lang w:val="en-US"/>
        </w:rPr>
        <w:t>A</w:t>
      </w:r>
      <w:r w:rsidRPr="0091283E">
        <w:rPr>
          <w:rFonts w:ascii="Times New Roman" w:hAnsi="Times New Roman" w:cs="Times New Roman"/>
          <w:lang w:val="en-US"/>
        </w:rPr>
        <w:t>ny evidence received under subsection 5 shall for the purposes of an appeal be deemed to be evidence taken or admitted at the trial in question.’</w:t>
      </w:r>
    </w:p>
  </w:footnote>
  <w:footnote w:id="3">
    <w:p w14:paraId="43D28C3D" w14:textId="77777777" w:rsidR="008D0C6D" w:rsidRDefault="006B350A" w:rsidP="00700EF0">
      <w:pPr>
        <w:pStyle w:val="FootnoteText"/>
        <w:spacing w:after="0" w:line="240" w:lineRule="auto"/>
        <w:jc w:val="both"/>
        <w:rPr>
          <w:rFonts w:ascii="Times New Roman" w:hAnsi="Times New Roman" w:cs="Times New Roman"/>
          <w:lang w:val="en-US"/>
        </w:rPr>
      </w:pPr>
      <w:r w:rsidRPr="0091283E">
        <w:rPr>
          <w:rStyle w:val="FootnoteReference"/>
          <w:rFonts w:ascii="Times New Roman" w:hAnsi="Times New Roman" w:cs="Times New Roman"/>
        </w:rPr>
        <w:footnoteRef/>
      </w:r>
      <w:r w:rsidRPr="0091283E">
        <w:rPr>
          <w:rFonts w:ascii="Times New Roman" w:hAnsi="Times New Roman" w:cs="Times New Roman"/>
        </w:rPr>
        <w:t xml:space="preserve"> </w:t>
      </w:r>
      <w:r w:rsidRPr="0091283E">
        <w:rPr>
          <w:rFonts w:ascii="Times New Roman" w:hAnsi="Times New Roman" w:cs="Times New Roman"/>
          <w:lang w:val="en-US"/>
        </w:rPr>
        <w:t xml:space="preserve">Section 208 of the CPA provides that: </w:t>
      </w:r>
    </w:p>
    <w:p w14:paraId="7F5ACD55" w14:textId="77777777" w:rsidR="00F40338" w:rsidRDefault="006B350A" w:rsidP="00700EF0">
      <w:pPr>
        <w:pStyle w:val="FootnoteText"/>
        <w:spacing w:after="0" w:line="240" w:lineRule="auto"/>
        <w:jc w:val="both"/>
        <w:rPr>
          <w:rFonts w:ascii="Times New Roman" w:hAnsi="Times New Roman" w:cs="Times New Roman"/>
          <w:lang w:val="en-US"/>
        </w:rPr>
      </w:pPr>
      <w:r w:rsidRPr="0091283E">
        <w:rPr>
          <w:rFonts w:ascii="Times New Roman" w:hAnsi="Times New Roman" w:cs="Times New Roman"/>
          <w:lang w:val="en-US"/>
        </w:rPr>
        <w:t xml:space="preserve">‘An accused may be convicted of any offence on the single evidence of any competent witness.’ </w:t>
      </w:r>
    </w:p>
    <w:p w14:paraId="59843987" w14:textId="7A2F1996" w:rsidR="006B350A" w:rsidRPr="0091283E" w:rsidRDefault="006B350A" w:rsidP="00700EF0">
      <w:pPr>
        <w:pStyle w:val="FootnoteText"/>
        <w:spacing w:after="0" w:line="240" w:lineRule="auto"/>
        <w:jc w:val="both"/>
        <w:rPr>
          <w:rFonts w:ascii="Times New Roman" w:hAnsi="Times New Roman" w:cs="Times New Roman"/>
        </w:rPr>
      </w:pPr>
      <w:r w:rsidRPr="0091283E">
        <w:rPr>
          <w:rFonts w:ascii="Times New Roman" w:hAnsi="Times New Roman" w:cs="Times New Roman"/>
          <w:lang w:val="en-US"/>
        </w:rPr>
        <w:t>However, the power of the court to do</w:t>
      </w:r>
      <w:r w:rsidR="00F40338">
        <w:rPr>
          <w:rFonts w:ascii="Times New Roman" w:hAnsi="Times New Roman" w:cs="Times New Roman"/>
          <w:lang w:val="en-US"/>
        </w:rPr>
        <w:t xml:space="preserve"> so</w:t>
      </w:r>
      <w:r w:rsidRPr="0091283E">
        <w:rPr>
          <w:rFonts w:ascii="Times New Roman" w:hAnsi="Times New Roman" w:cs="Times New Roman"/>
          <w:lang w:val="en-US"/>
        </w:rPr>
        <w:t xml:space="preserve"> must be guided by the principles stated in </w:t>
      </w:r>
      <w:r w:rsidRPr="0091283E">
        <w:rPr>
          <w:rFonts w:ascii="Times New Roman" w:hAnsi="Times New Roman" w:cs="Times New Roman"/>
          <w:i/>
          <w:iCs/>
          <w:lang w:val="en-US"/>
        </w:rPr>
        <w:t>S v Webber</w:t>
      </w:r>
      <w:r w:rsidRPr="0091283E">
        <w:rPr>
          <w:rFonts w:ascii="Times New Roman" w:hAnsi="Times New Roman" w:cs="Times New Roman"/>
          <w:lang w:val="en-US"/>
        </w:rPr>
        <w:t xml:space="preserve"> 1971 (3) SA 754 (A)</w:t>
      </w:r>
      <w:r w:rsidR="00517FBA">
        <w:rPr>
          <w:rFonts w:ascii="Times New Roman" w:hAnsi="Times New Roman" w:cs="Times New Roman"/>
          <w:lang w:val="en-US"/>
        </w:rPr>
        <w:t xml:space="preserve"> at 757H</w:t>
      </w:r>
      <w:r w:rsidRPr="0091283E">
        <w:rPr>
          <w:rFonts w:ascii="Times New Roman" w:hAnsi="Times New Roman" w:cs="Times New Roman"/>
          <w:lang w:val="en-US"/>
        </w:rPr>
        <w:t xml:space="preserve"> that the single evidence must be clear and satisfactory and in </w:t>
      </w:r>
      <w:r w:rsidRPr="0091283E">
        <w:rPr>
          <w:rFonts w:ascii="Times New Roman" w:hAnsi="Times New Roman" w:cs="Times New Roman"/>
          <w:i/>
          <w:iCs/>
          <w:color w:val="000000" w:themeColor="text1"/>
        </w:rPr>
        <w:t xml:space="preserve">S v Sauls and Others </w:t>
      </w:r>
      <w:r>
        <w:rPr>
          <w:rFonts w:ascii="Times New Roman" w:hAnsi="Times New Roman" w:cs="Times New Roman"/>
          <w:color w:val="000000" w:themeColor="text1"/>
        </w:rPr>
        <w:t xml:space="preserve">1981 (3) SA </w:t>
      </w:r>
      <w:r w:rsidRPr="0091283E">
        <w:rPr>
          <w:rFonts w:ascii="Times New Roman" w:hAnsi="Times New Roman" w:cs="Times New Roman"/>
          <w:color w:val="000000" w:themeColor="text1"/>
        </w:rPr>
        <w:t>172 (A)</w:t>
      </w:r>
      <w:r w:rsidR="00FB6C4A">
        <w:rPr>
          <w:rFonts w:ascii="Times New Roman" w:hAnsi="Times New Roman" w:cs="Times New Roman"/>
          <w:color w:val="000000" w:themeColor="text1"/>
        </w:rPr>
        <w:t xml:space="preserve"> at 180F where it was stated</w:t>
      </w:r>
      <w:r w:rsidRPr="0091283E">
        <w:rPr>
          <w:rFonts w:ascii="Times New Roman" w:hAnsi="Times New Roman" w:cs="Times New Roman"/>
          <w:color w:val="000000" w:themeColor="text1"/>
        </w:rPr>
        <w:t xml:space="preserve"> that if </w:t>
      </w:r>
      <w:r w:rsidR="00FB6C4A">
        <w:rPr>
          <w:rFonts w:ascii="Times New Roman" w:hAnsi="Times New Roman" w:cs="Times New Roman"/>
          <w:color w:val="000000" w:themeColor="text1"/>
        </w:rPr>
        <w:t>the evidence</w:t>
      </w:r>
      <w:r w:rsidRPr="0091283E">
        <w:rPr>
          <w:rFonts w:ascii="Times New Roman" w:hAnsi="Times New Roman" w:cs="Times New Roman"/>
          <w:color w:val="000000" w:themeColor="text1"/>
        </w:rPr>
        <w:t xml:space="preserve"> is flawed</w:t>
      </w:r>
      <w:r w:rsidR="00FB6C4A">
        <w:rPr>
          <w:rFonts w:ascii="Times New Roman" w:hAnsi="Times New Roman" w:cs="Times New Roman"/>
          <w:color w:val="000000" w:themeColor="text1"/>
        </w:rPr>
        <w:t>,</w:t>
      </w:r>
      <w:r w:rsidRPr="0091283E">
        <w:rPr>
          <w:rFonts w:ascii="Times New Roman" w:hAnsi="Times New Roman" w:cs="Times New Roman"/>
          <w:color w:val="000000" w:themeColor="text1"/>
        </w:rPr>
        <w:t xml:space="preserve"> its merits and demerits must be evaluated closely to establish if it is trustworthy or not.</w:t>
      </w:r>
    </w:p>
  </w:footnote>
  <w:footnote w:id="4">
    <w:p w14:paraId="409FCF6D" w14:textId="77777777" w:rsidR="006B350A" w:rsidRPr="0091283E" w:rsidRDefault="006B350A" w:rsidP="00D3410C">
      <w:pPr>
        <w:pStyle w:val="FootnoteText"/>
        <w:spacing w:after="0" w:line="240" w:lineRule="auto"/>
        <w:jc w:val="both"/>
        <w:rPr>
          <w:rFonts w:ascii="Times New Roman" w:hAnsi="Times New Roman" w:cs="Times New Roman"/>
        </w:rPr>
      </w:pPr>
      <w:r w:rsidRPr="0091283E">
        <w:rPr>
          <w:rStyle w:val="FootnoteReference"/>
          <w:rFonts w:ascii="Times New Roman" w:hAnsi="Times New Roman" w:cs="Times New Roman"/>
        </w:rPr>
        <w:footnoteRef/>
      </w:r>
      <w:r w:rsidRPr="0091283E">
        <w:rPr>
          <w:rFonts w:ascii="Times New Roman" w:hAnsi="Times New Roman" w:cs="Times New Roman"/>
        </w:rPr>
        <w:t xml:space="preserve"> </w:t>
      </w:r>
      <w:r w:rsidRPr="0091283E">
        <w:rPr>
          <w:rFonts w:ascii="Times New Roman" w:hAnsi="Times New Roman" w:cs="Times New Roman"/>
          <w:i/>
          <w:lang w:val="en-US"/>
        </w:rPr>
        <w:t>Rex v Dhlumayo and Another</w:t>
      </w:r>
      <w:r w:rsidRPr="0091283E">
        <w:rPr>
          <w:rFonts w:ascii="Times New Roman" w:hAnsi="Times New Roman" w:cs="Times New Roman"/>
          <w:lang w:val="en-US"/>
        </w:rPr>
        <w:t xml:space="preserve"> 1948 (2) SA 677 (A) at 706; </w:t>
      </w:r>
      <w:r w:rsidRPr="0091283E">
        <w:rPr>
          <w:rFonts w:ascii="Times New Roman" w:hAnsi="Times New Roman" w:cs="Times New Roman"/>
          <w:i/>
          <w:lang w:val="en-US"/>
        </w:rPr>
        <w:t>S v Francis</w:t>
      </w:r>
      <w:r w:rsidRPr="0091283E">
        <w:rPr>
          <w:rFonts w:ascii="Times New Roman" w:hAnsi="Times New Roman" w:cs="Times New Roman"/>
          <w:lang w:val="en-US"/>
        </w:rPr>
        <w:t xml:space="preserve"> 1991 (1) SACR 198 (A) </w:t>
      </w:r>
      <w:r w:rsidR="005755D9">
        <w:rPr>
          <w:rFonts w:ascii="Times New Roman" w:hAnsi="Times New Roman" w:cs="Times New Roman"/>
          <w:lang w:val="en-US"/>
        </w:rPr>
        <w:t xml:space="preserve">at </w:t>
      </w:r>
      <w:r w:rsidRPr="0091283E">
        <w:rPr>
          <w:rFonts w:ascii="Times New Roman" w:hAnsi="Times New Roman" w:cs="Times New Roman"/>
          <w:lang w:val="en-US"/>
        </w:rPr>
        <w:t xml:space="preserve">204C-F; </w:t>
      </w:r>
      <w:r w:rsidRPr="0091283E">
        <w:rPr>
          <w:rFonts w:ascii="Times New Roman" w:hAnsi="Times New Roman" w:cs="Times New Roman"/>
          <w:i/>
          <w:lang w:val="en-US"/>
        </w:rPr>
        <w:t>S v Hadebe</w:t>
      </w:r>
      <w:r w:rsidRPr="0091283E">
        <w:rPr>
          <w:rFonts w:ascii="Times New Roman" w:hAnsi="Times New Roman" w:cs="Times New Roman"/>
          <w:lang w:val="en-US"/>
        </w:rPr>
        <w:t xml:space="preserve"> 1997 (2) SACR 641 SCA at 645E-G.</w:t>
      </w:r>
      <w:r w:rsidRPr="0091283E">
        <w:rPr>
          <w:rStyle w:val="FootnoteReference"/>
          <w:rFonts w:ascii="Times New Roman" w:hAnsi="Times New Roman" w:cs="Times New Roman"/>
        </w:rPr>
        <w:t xml:space="preserve"> </w:t>
      </w:r>
    </w:p>
    <w:p w14:paraId="4DE56B34" w14:textId="77777777" w:rsidR="006B350A" w:rsidRPr="0091283E" w:rsidRDefault="006B350A" w:rsidP="00D3410C">
      <w:pPr>
        <w:pStyle w:val="FootnoteText"/>
        <w:spacing w:after="0" w:line="240" w:lineRule="auto"/>
        <w:jc w:val="both"/>
        <w:rPr>
          <w:rFonts w:ascii="Times New Roman" w:hAnsi="Times New Roman" w:cs="Times New Roman"/>
        </w:rPr>
      </w:pPr>
      <w:r w:rsidRPr="0091283E">
        <w:rPr>
          <w:rStyle w:val="FootnoteReference"/>
          <w:rFonts w:ascii="Times New Roman" w:hAnsi="Times New Roman" w:cs="Times New Roman"/>
        </w:rPr>
        <w:t>5</w:t>
      </w:r>
      <w:r w:rsidRPr="0091283E">
        <w:rPr>
          <w:rFonts w:ascii="Times New Roman" w:hAnsi="Times New Roman" w:cs="Times New Roman"/>
        </w:rPr>
        <w:t xml:space="preserve"> </w:t>
      </w:r>
      <w:r w:rsidRPr="0091283E">
        <w:rPr>
          <w:rFonts w:ascii="Times New Roman" w:hAnsi="Times New Roman" w:cs="Times New Roman"/>
          <w:i/>
          <w:lang w:val="en-US"/>
        </w:rPr>
        <w:t>S v Trainor</w:t>
      </w:r>
      <w:r w:rsidRPr="0091283E">
        <w:rPr>
          <w:rFonts w:ascii="Times New Roman" w:hAnsi="Times New Roman" w:cs="Times New Roman"/>
          <w:lang w:val="en-US"/>
        </w:rPr>
        <w:t xml:space="preserve"> [2003] 1 All SA 435 (SCA) para 9.</w:t>
      </w:r>
      <w:r w:rsidRPr="0091283E">
        <w:rPr>
          <w:rStyle w:val="FootnoteReference"/>
          <w:rFonts w:ascii="Times New Roman" w:hAnsi="Times New Roman" w:cs="Times New Roman"/>
        </w:rPr>
        <w:t xml:space="preserve"> </w:t>
      </w:r>
    </w:p>
    <w:p w14:paraId="754E853A" w14:textId="77777777" w:rsidR="006B350A" w:rsidRDefault="006B350A" w:rsidP="00D3410C">
      <w:pPr>
        <w:pStyle w:val="FootnoteText"/>
        <w:spacing w:after="0" w:line="240" w:lineRule="auto"/>
        <w:jc w:val="both"/>
        <w:rPr>
          <w:rFonts w:ascii="Times New Roman" w:hAnsi="Times New Roman" w:cs="Times New Roman"/>
          <w:lang w:val="en-US"/>
        </w:rPr>
      </w:pPr>
      <w:r w:rsidRPr="0091283E">
        <w:rPr>
          <w:rStyle w:val="FootnoteReference"/>
          <w:rFonts w:ascii="Times New Roman" w:hAnsi="Times New Roman" w:cs="Times New Roman"/>
        </w:rPr>
        <w:t>6</w:t>
      </w:r>
      <w:r w:rsidRPr="0091283E">
        <w:rPr>
          <w:rFonts w:ascii="Times New Roman" w:hAnsi="Times New Roman" w:cs="Times New Roman"/>
        </w:rPr>
        <w:t xml:space="preserve"> </w:t>
      </w:r>
      <w:r w:rsidRPr="0091283E">
        <w:rPr>
          <w:rFonts w:ascii="Times New Roman" w:hAnsi="Times New Roman" w:cs="Times New Roman"/>
          <w:i/>
          <w:iCs/>
          <w:lang w:val="en-US"/>
        </w:rPr>
        <w:t>S v De Oliveira</w:t>
      </w:r>
      <w:r w:rsidRPr="0091283E">
        <w:rPr>
          <w:rFonts w:ascii="Times New Roman" w:hAnsi="Times New Roman" w:cs="Times New Roman"/>
          <w:i/>
          <w:lang w:val="en-US"/>
        </w:rPr>
        <w:t xml:space="preserve"> </w:t>
      </w:r>
      <w:r w:rsidRPr="0091283E">
        <w:rPr>
          <w:rFonts w:ascii="Times New Roman" w:hAnsi="Times New Roman" w:cs="Times New Roman"/>
          <w:lang w:val="en-US"/>
        </w:rPr>
        <w:t>1993 (2) SACR 59 (A) at 63H-64A.</w:t>
      </w:r>
    </w:p>
    <w:p w14:paraId="6059EC04" w14:textId="77777777" w:rsidR="00D3410C" w:rsidRDefault="00D3410C" w:rsidP="00D3410C">
      <w:pPr>
        <w:pStyle w:val="FootnoteText"/>
        <w:spacing w:after="0" w:line="240" w:lineRule="auto"/>
        <w:jc w:val="both"/>
        <w:rPr>
          <w:rFonts w:ascii="Times New Roman" w:hAnsi="Times New Roman" w:cs="Times New Roman"/>
          <w:lang w:val="en-US"/>
        </w:rPr>
      </w:pPr>
      <w:r>
        <w:rPr>
          <w:rStyle w:val="FootnoteReference"/>
          <w:rFonts w:ascii="Times New Roman" w:hAnsi="Times New Roman" w:cs="Times New Roman"/>
        </w:rPr>
        <w:t>7</w:t>
      </w:r>
      <w:r w:rsidRPr="0091283E">
        <w:rPr>
          <w:rFonts w:ascii="Times New Roman" w:hAnsi="Times New Roman" w:cs="Times New Roman"/>
        </w:rPr>
        <w:t xml:space="preserve"> </w:t>
      </w:r>
      <w:r w:rsidRPr="0091283E">
        <w:rPr>
          <w:rFonts w:ascii="Times New Roman" w:hAnsi="Times New Roman" w:cs="Times New Roman"/>
          <w:i/>
          <w:lang w:val="en-US"/>
        </w:rPr>
        <w:t>R v Difford</w:t>
      </w:r>
      <w:r w:rsidRPr="0091283E">
        <w:rPr>
          <w:rFonts w:ascii="Times New Roman" w:hAnsi="Times New Roman" w:cs="Times New Roman"/>
          <w:lang w:val="en-US"/>
        </w:rPr>
        <w:t xml:space="preserve"> 1937 AD 370 at 373 and 383.</w:t>
      </w:r>
      <w:r>
        <w:rPr>
          <w:rFonts w:ascii="Times New Roman" w:hAnsi="Times New Roman" w:cs="Times New Roman"/>
          <w:lang w:val="en-US"/>
        </w:rPr>
        <w:t xml:space="preserve"> </w:t>
      </w:r>
    </w:p>
    <w:p w14:paraId="74C04FA9" w14:textId="77777777" w:rsidR="00D3410C" w:rsidRDefault="00D3410C" w:rsidP="00700EF0">
      <w:pPr>
        <w:pStyle w:val="FootnoteText"/>
        <w:spacing w:after="0" w:line="240" w:lineRule="auto"/>
        <w:jc w:val="both"/>
        <w:rPr>
          <w:rFonts w:ascii="Times New Roman" w:hAnsi="Times New Roman" w:cs="Times New Roman"/>
          <w:lang w:val="en-US"/>
        </w:rPr>
      </w:pPr>
    </w:p>
    <w:p w14:paraId="10BCEA0D" w14:textId="77777777" w:rsidR="0005481D" w:rsidRPr="001C7998" w:rsidRDefault="0005481D" w:rsidP="00700EF0">
      <w:pPr>
        <w:pStyle w:val="FootnoteText"/>
        <w:spacing w:after="0" w:line="240" w:lineRule="auto"/>
        <w:jc w:val="both"/>
        <w:rPr>
          <w:rFonts w:ascii="Times New Roman" w:hAnsi="Times New Roman" w:cs="Times New Roman"/>
          <w:lang w:val="en-US"/>
        </w:rPr>
      </w:pPr>
    </w:p>
  </w:footnote>
  <w:footnote w:id="5">
    <w:p w14:paraId="3A6BBEAD" w14:textId="77777777" w:rsidR="00F749A4" w:rsidRPr="0091283E" w:rsidRDefault="00F749A4" w:rsidP="00700EF0">
      <w:pPr>
        <w:pStyle w:val="FootnoteText"/>
        <w:spacing w:after="0" w:line="240" w:lineRule="auto"/>
        <w:jc w:val="both"/>
        <w:rPr>
          <w:rFonts w:ascii="Times New Roman" w:hAnsi="Times New Roman" w:cs="Times New Roman"/>
          <w:lang w:val="en-US"/>
        </w:rPr>
      </w:pPr>
    </w:p>
  </w:footnote>
  <w:footnote w:id="6">
    <w:p w14:paraId="527ED767" w14:textId="77777777" w:rsidR="00F749A4" w:rsidRPr="0091283E" w:rsidRDefault="00F749A4" w:rsidP="00700EF0">
      <w:pPr>
        <w:pStyle w:val="FootnoteText"/>
        <w:spacing w:after="0" w:line="240" w:lineRule="auto"/>
        <w:jc w:val="both"/>
        <w:rPr>
          <w:rFonts w:ascii="Times New Roman" w:hAnsi="Times New Roman" w:cs="Times New Roman"/>
          <w:lang w:val="en-US"/>
        </w:rPr>
      </w:pPr>
    </w:p>
  </w:footnote>
  <w:footnote w:id="7">
    <w:p w14:paraId="671A5B1D" w14:textId="77777777" w:rsidR="006B350A" w:rsidRPr="00A765B4" w:rsidRDefault="006B350A" w:rsidP="00700EF0">
      <w:pPr>
        <w:pStyle w:val="FootnoteText"/>
        <w:spacing w:after="0" w:line="240" w:lineRule="auto"/>
        <w:jc w:val="both"/>
        <w:rPr>
          <w:rFonts w:ascii="Times New Roman" w:hAnsi="Times New Roman" w:cs="Times New Roman"/>
          <w:sz w:val="24"/>
          <w:szCs w:val="24"/>
          <w:lang w:val="en-US"/>
        </w:rPr>
      </w:pPr>
    </w:p>
  </w:footnote>
  <w:footnote w:id="8">
    <w:p w14:paraId="7926596C" w14:textId="77777777" w:rsidR="006B350A" w:rsidRPr="0091283E" w:rsidRDefault="006B350A" w:rsidP="00700EF0">
      <w:pPr>
        <w:pStyle w:val="FootnoteText"/>
        <w:spacing w:after="0" w:line="240" w:lineRule="auto"/>
        <w:jc w:val="both"/>
        <w:rPr>
          <w:rFonts w:ascii="Times New Roman" w:hAnsi="Times New Roman" w:cs="Times New Roman"/>
          <w:lang w:val="en-US"/>
        </w:rPr>
      </w:pPr>
      <w:r w:rsidRPr="0091283E">
        <w:rPr>
          <w:rStyle w:val="FootnoteReference"/>
          <w:rFonts w:ascii="Times New Roman" w:hAnsi="Times New Roman" w:cs="Times New Roman"/>
        </w:rPr>
        <w:footnoteRef/>
      </w:r>
      <w:r w:rsidRPr="0091283E">
        <w:rPr>
          <w:rFonts w:ascii="Times New Roman" w:hAnsi="Times New Roman" w:cs="Times New Roman"/>
        </w:rPr>
        <w:t xml:space="preserve"> </w:t>
      </w:r>
      <w:r w:rsidRPr="0091283E">
        <w:rPr>
          <w:rFonts w:ascii="Times New Roman" w:hAnsi="Times New Roman" w:cs="Times New Roman"/>
          <w:i/>
          <w:lang w:val="en-US"/>
        </w:rPr>
        <w:t>R v Mokoena</w:t>
      </w:r>
      <w:r w:rsidRPr="0091283E">
        <w:rPr>
          <w:rFonts w:ascii="Times New Roman" w:hAnsi="Times New Roman" w:cs="Times New Roman"/>
          <w:lang w:val="en-US"/>
        </w:rPr>
        <w:t xml:space="preserve"> 1932 OPD 79 at 80 as refined in </w:t>
      </w:r>
      <w:r w:rsidRPr="0091283E">
        <w:rPr>
          <w:rFonts w:ascii="Times New Roman" w:hAnsi="Times New Roman" w:cs="Times New Roman"/>
          <w:i/>
          <w:lang w:val="en-US"/>
        </w:rPr>
        <w:t>S v Webber</w:t>
      </w:r>
      <w:r w:rsidRPr="0091283E">
        <w:rPr>
          <w:rFonts w:ascii="Times New Roman" w:hAnsi="Times New Roman" w:cs="Times New Roman"/>
          <w:lang w:val="en-US"/>
        </w:rPr>
        <w:t xml:space="preserve"> 1971 (3) SA 754 (A) at 758 and </w:t>
      </w:r>
      <w:r w:rsidRPr="0091283E">
        <w:rPr>
          <w:rFonts w:ascii="Times New Roman" w:hAnsi="Times New Roman" w:cs="Times New Roman"/>
          <w:i/>
          <w:lang w:val="en-US"/>
        </w:rPr>
        <w:t>S v Sauls and Others</w:t>
      </w:r>
      <w:r w:rsidRPr="0091283E">
        <w:rPr>
          <w:rFonts w:ascii="Times New Roman" w:hAnsi="Times New Roman" w:cs="Times New Roman"/>
          <w:lang w:val="en-US"/>
        </w:rPr>
        <w:t xml:space="preserve"> 1981 (3) SA 172 (A) at 180E-G. See also especially in </w:t>
      </w:r>
      <w:r w:rsidRPr="0091283E">
        <w:rPr>
          <w:rFonts w:ascii="Times New Roman" w:hAnsi="Times New Roman" w:cs="Times New Roman"/>
          <w:i/>
          <w:lang w:val="en-US"/>
        </w:rPr>
        <w:t>S v Ffrench-Beytagh</w:t>
      </w:r>
      <w:r w:rsidRPr="0091283E">
        <w:rPr>
          <w:rFonts w:ascii="Times New Roman" w:hAnsi="Times New Roman" w:cs="Times New Roman"/>
          <w:lang w:val="en-US"/>
        </w:rPr>
        <w:t xml:space="preserve"> 1972 (3) SA 430 (A) at 445-446. </w:t>
      </w:r>
    </w:p>
  </w:footnote>
  <w:footnote w:id="9">
    <w:p w14:paraId="4F418808" w14:textId="77777777" w:rsidR="006B350A" w:rsidRPr="0091283E" w:rsidRDefault="006B350A" w:rsidP="00700EF0">
      <w:pPr>
        <w:pStyle w:val="FootnoteText"/>
        <w:spacing w:after="0" w:line="240" w:lineRule="auto"/>
        <w:jc w:val="both"/>
        <w:rPr>
          <w:rFonts w:ascii="Times New Roman" w:hAnsi="Times New Roman" w:cs="Times New Roman"/>
          <w:lang w:val="en-US"/>
        </w:rPr>
      </w:pPr>
      <w:r w:rsidRPr="0091283E">
        <w:rPr>
          <w:rStyle w:val="FootnoteReference"/>
          <w:rFonts w:ascii="Times New Roman" w:hAnsi="Times New Roman" w:cs="Times New Roman"/>
        </w:rPr>
        <w:footnoteRef/>
      </w:r>
      <w:r w:rsidRPr="0091283E">
        <w:rPr>
          <w:rFonts w:ascii="Times New Roman" w:hAnsi="Times New Roman" w:cs="Times New Roman"/>
        </w:rPr>
        <w:t xml:space="preserve"> </w:t>
      </w:r>
      <w:r w:rsidRPr="0091283E">
        <w:rPr>
          <w:rFonts w:ascii="Times New Roman" w:hAnsi="Times New Roman" w:cs="Times New Roman"/>
          <w:iCs/>
          <w:lang w:val="en-US"/>
        </w:rPr>
        <w:t xml:space="preserve">Op cit fn </w:t>
      </w:r>
      <w:r w:rsidR="00A900D3">
        <w:rPr>
          <w:rFonts w:ascii="Times New Roman" w:hAnsi="Times New Roman" w:cs="Times New Roman"/>
          <w:iCs/>
          <w:lang w:val="en-US"/>
        </w:rPr>
        <w:t>6</w:t>
      </w:r>
      <w:r w:rsidRPr="0091283E">
        <w:rPr>
          <w:rFonts w:ascii="Times New Roman" w:hAnsi="Times New Roman" w:cs="Times New Roman"/>
          <w:iCs/>
          <w:lang w:val="en-US"/>
        </w:rPr>
        <w:t>.</w:t>
      </w:r>
    </w:p>
  </w:footnote>
  <w:footnote w:id="10">
    <w:p w14:paraId="200C883B" w14:textId="77777777" w:rsidR="006B350A" w:rsidRPr="006A4008" w:rsidRDefault="006B350A" w:rsidP="00700EF0">
      <w:pPr>
        <w:pStyle w:val="FootnoteText"/>
        <w:spacing w:after="0" w:line="240" w:lineRule="auto"/>
        <w:jc w:val="both"/>
        <w:rPr>
          <w:lang w:val="en-US"/>
        </w:rPr>
      </w:pPr>
      <w:r w:rsidRPr="0091283E">
        <w:rPr>
          <w:rStyle w:val="FootnoteReference"/>
          <w:rFonts w:ascii="Times New Roman" w:hAnsi="Times New Roman" w:cs="Times New Roman"/>
        </w:rPr>
        <w:footnoteRef/>
      </w:r>
      <w:r w:rsidRPr="0091283E">
        <w:rPr>
          <w:rFonts w:ascii="Times New Roman" w:hAnsi="Times New Roman" w:cs="Times New Roman"/>
        </w:rPr>
        <w:t xml:space="preserve"> </w:t>
      </w:r>
      <w:r w:rsidRPr="0091283E">
        <w:rPr>
          <w:rFonts w:ascii="Times New Roman" w:hAnsi="Times New Roman" w:cs="Times New Roman"/>
          <w:i/>
          <w:iCs/>
          <w:lang w:val="en-US"/>
        </w:rPr>
        <w:t>S v Ntuli</w:t>
      </w:r>
      <w:r w:rsidRPr="0091283E">
        <w:rPr>
          <w:rFonts w:ascii="Times New Roman" w:hAnsi="Times New Roman" w:cs="Times New Roman"/>
          <w:i/>
          <w:lang w:val="en-US"/>
        </w:rPr>
        <w:t xml:space="preserve"> </w:t>
      </w:r>
      <w:r w:rsidRPr="0091283E">
        <w:rPr>
          <w:rFonts w:ascii="Times New Roman" w:hAnsi="Times New Roman" w:cs="Times New Roman"/>
          <w:lang w:val="en-US"/>
        </w:rPr>
        <w:t>1975 (1) SA 429 (A) at 436D-437G.</w:t>
      </w:r>
    </w:p>
  </w:footnote>
  <w:footnote w:id="11">
    <w:p w14:paraId="1BD2F370" w14:textId="77777777" w:rsidR="006B350A" w:rsidRPr="0091283E" w:rsidRDefault="006B350A" w:rsidP="00700EF0">
      <w:pPr>
        <w:pStyle w:val="FootnoteText"/>
        <w:spacing w:after="0" w:line="240" w:lineRule="auto"/>
        <w:jc w:val="both"/>
        <w:rPr>
          <w:rFonts w:ascii="Times New Roman" w:hAnsi="Times New Roman" w:cs="Times New Roman"/>
          <w:lang w:val="en-US"/>
        </w:rPr>
      </w:pPr>
      <w:r w:rsidRPr="0091283E">
        <w:rPr>
          <w:rStyle w:val="FootnoteReference"/>
          <w:rFonts w:ascii="Times New Roman" w:hAnsi="Times New Roman" w:cs="Times New Roman"/>
        </w:rPr>
        <w:footnoteRef/>
      </w:r>
      <w:r w:rsidRPr="0091283E">
        <w:rPr>
          <w:rFonts w:ascii="Times New Roman" w:hAnsi="Times New Roman" w:cs="Times New Roman"/>
        </w:rPr>
        <w:t xml:space="preserve"> </w:t>
      </w:r>
      <w:r w:rsidRPr="0091283E">
        <w:rPr>
          <w:rFonts w:ascii="Times New Roman" w:hAnsi="Times New Roman" w:cs="Times New Roman"/>
          <w:i/>
          <w:lang w:val="en-US"/>
        </w:rPr>
        <w:t>S v Van der Meyden</w:t>
      </w:r>
      <w:r w:rsidRPr="0091283E">
        <w:rPr>
          <w:rFonts w:ascii="Times New Roman" w:hAnsi="Times New Roman" w:cs="Times New Roman"/>
          <w:lang w:val="en-US"/>
        </w:rPr>
        <w:t xml:space="preserve"> 1999 (1) SACR SA 172 at 448F-G.</w:t>
      </w:r>
    </w:p>
  </w:footnote>
  <w:footnote w:id="12">
    <w:p w14:paraId="06D1C56A" w14:textId="77777777" w:rsidR="006B350A" w:rsidRPr="004A6DA6" w:rsidRDefault="006B350A" w:rsidP="00700EF0">
      <w:pPr>
        <w:pStyle w:val="FootnoteText"/>
        <w:spacing w:after="0" w:line="240" w:lineRule="auto"/>
        <w:jc w:val="both"/>
        <w:rPr>
          <w:lang w:val="en-US"/>
        </w:rPr>
      </w:pPr>
      <w:r w:rsidRPr="0091283E">
        <w:rPr>
          <w:rStyle w:val="FootnoteReference"/>
          <w:rFonts w:ascii="Times New Roman" w:hAnsi="Times New Roman" w:cs="Times New Roman"/>
        </w:rPr>
        <w:footnoteRef/>
      </w:r>
      <w:r w:rsidRPr="0091283E">
        <w:rPr>
          <w:rFonts w:ascii="Times New Roman" w:hAnsi="Times New Roman" w:cs="Times New Roman"/>
        </w:rPr>
        <w:t xml:space="preserve"> </w:t>
      </w:r>
      <w:r w:rsidRPr="0091283E">
        <w:rPr>
          <w:rFonts w:ascii="Times New Roman" w:hAnsi="Times New Roman" w:cs="Times New Roman"/>
          <w:i/>
          <w:lang w:val="en-US"/>
        </w:rPr>
        <w:t>S v V</w:t>
      </w:r>
      <w:r w:rsidRPr="0091283E">
        <w:rPr>
          <w:rFonts w:ascii="Times New Roman" w:hAnsi="Times New Roman" w:cs="Times New Roman"/>
          <w:lang w:val="en-US"/>
        </w:rPr>
        <w:t xml:space="preserve"> 2000 (1) SACR 453 (SCA) at 455B.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5821"/>
      <w:docPartObj>
        <w:docPartGallery w:val="Page Numbers (Top of Page)"/>
        <w:docPartUnique/>
      </w:docPartObj>
    </w:sdtPr>
    <w:sdtEndPr>
      <w:rPr>
        <w:noProof/>
      </w:rPr>
    </w:sdtEndPr>
    <w:sdtContent>
      <w:p w14:paraId="643A7B18" w14:textId="4900052A" w:rsidR="006B350A" w:rsidRDefault="006B350A" w:rsidP="00700EF0">
        <w:pPr>
          <w:pStyle w:val="Header"/>
          <w:jc w:val="right"/>
        </w:pPr>
        <w:r w:rsidRPr="00700EF0">
          <w:rPr>
            <w:rFonts w:ascii="Times New Roman" w:hAnsi="Times New Roman" w:cs="Times New Roman"/>
            <w:sz w:val="28"/>
            <w:szCs w:val="28"/>
          </w:rPr>
          <w:fldChar w:fldCharType="begin"/>
        </w:r>
        <w:r w:rsidRPr="00700EF0">
          <w:rPr>
            <w:rFonts w:ascii="Times New Roman" w:hAnsi="Times New Roman" w:cs="Times New Roman"/>
            <w:sz w:val="28"/>
            <w:szCs w:val="28"/>
          </w:rPr>
          <w:instrText xml:space="preserve"> PAGE   \* MERGEFORMAT </w:instrText>
        </w:r>
        <w:r w:rsidRPr="00700EF0">
          <w:rPr>
            <w:rFonts w:ascii="Times New Roman" w:hAnsi="Times New Roman" w:cs="Times New Roman"/>
            <w:sz w:val="28"/>
            <w:szCs w:val="28"/>
          </w:rPr>
          <w:fldChar w:fldCharType="separate"/>
        </w:r>
        <w:r w:rsidR="005F02D3">
          <w:rPr>
            <w:rFonts w:ascii="Times New Roman" w:hAnsi="Times New Roman" w:cs="Times New Roman"/>
            <w:noProof/>
            <w:sz w:val="28"/>
            <w:szCs w:val="28"/>
          </w:rPr>
          <w:t>4</w:t>
        </w:r>
        <w:r w:rsidRPr="00700EF0">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2EB6"/>
    <w:multiLevelType w:val="hybridMultilevel"/>
    <w:tmpl w:val="98AC6A52"/>
    <w:lvl w:ilvl="0" w:tplc="F4E248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FD57361"/>
    <w:multiLevelType w:val="hybridMultilevel"/>
    <w:tmpl w:val="6CC436E6"/>
    <w:lvl w:ilvl="0" w:tplc="A58C87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4575ED4"/>
    <w:multiLevelType w:val="hybridMultilevel"/>
    <w:tmpl w:val="0BF6167A"/>
    <w:lvl w:ilvl="0" w:tplc="CA5E1B8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7E"/>
    <w:rsid w:val="000034C4"/>
    <w:rsid w:val="00004CDB"/>
    <w:rsid w:val="00012F3F"/>
    <w:rsid w:val="00040FD0"/>
    <w:rsid w:val="0004689D"/>
    <w:rsid w:val="0005481D"/>
    <w:rsid w:val="000610DC"/>
    <w:rsid w:val="00074F3D"/>
    <w:rsid w:val="00076919"/>
    <w:rsid w:val="000A0979"/>
    <w:rsid w:val="000A0B52"/>
    <w:rsid w:val="000B5C9C"/>
    <w:rsid w:val="000B70F7"/>
    <w:rsid w:val="000B7E0A"/>
    <w:rsid w:val="000E39C2"/>
    <w:rsid w:val="000F3B57"/>
    <w:rsid w:val="0010129C"/>
    <w:rsid w:val="0011091F"/>
    <w:rsid w:val="001143C7"/>
    <w:rsid w:val="00115895"/>
    <w:rsid w:val="00121015"/>
    <w:rsid w:val="00122768"/>
    <w:rsid w:val="0012444A"/>
    <w:rsid w:val="00125715"/>
    <w:rsid w:val="00136F26"/>
    <w:rsid w:val="001432FC"/>
    <w:rsid w:val="0014365D"/>
    <w:rsid w:val="00151A89"/>
    <w:rsid w:val="0015747C"/>
    <w:rsid w:val="00183B88"/>
    <w:rsid w:val="001933E6"/>
    <w:rsid w:val="001B0836"/>
    <w:rsid w:val="001C58B3"/>
    <w:rsid w:val="001C7998"/>
    <w:rsid w:val="001D690B"/>
    <w:rsid w:val="001E522B"/>
    <w:rsid w:val="001F51EC"/>
    <w:rsid w:val="001F5B24"/>
    <w:rsid w:val="001F66AF"/>
    <w:rsid w:val="00206AE9"/>
    <w:rsid w:val="0021254C"/>
    <w:rsid w:val="00223CFD"/>
    <w:rsid w:val="002336E4"/>
    <w:rsid w:val="00260AB0"/>
    <w:rsid w:val="00260C11"/>
    <w:rsid w:val="0026251F"/>
    <w:rsid w:val="002A11B5"/>
    <w:rsid w:val="002D1760"/>
    <w:rsid w:val="002D7779"/>
    <w:rsid w:val="002E2C07"/>
    <w:rsid w:val="00313A7A"/>
    <w:rsid w:val="00315968"/>
    <w:rsid w:val="00325107"/>
    <w:rsid w:val="00335A3B"/>
    <w:rsid w:val="00340C76"/>
    <w:rsid w:val="00382BF9"/>
    <w:rsid w:val="003B185F"/>
    <w:rsid w:val="003B244E"/>
    <w:rsid w:val="003C176F"/>
    <w:rsid w:val="003C1A74"/>
    <w:rsid w:val="003C6710"/>
    <w:rsid w:val="003C747C"/>
    <w:rsid w:val="003D7DDA"/>
    <w:rsid w:val="003E4134"/>
    <w:rsid w:val="003F1912"/>
    <w:rsid w:val="0041113A"/>
    <w:rsid w:val="004145B9"/>
    <w:rsid w:val="0041711D"/>
    <w:rsid w:val="004608F8"/>
    <w:rsid w:val="004659DC"/>
    <w:rsid w:val="00471A1D"/>
    <w:rsid w:val="004833A7"/>
    <w:rsid w:val="004A153B"/>
    <w:rsid w:val="004B0EEF"/>
    <w:rsid w:val="004C49A3"/>
    <w:rsid w:val="004D723D"/>
    <w:rsid w:val="004E391A"/>
    <w:rsid w:val="004E607D"/>
    <w:rsid w:val="004F3042"/>
    <w:rsid w:val="004F4A52"/>
    <w:rsid w:val="005078E8"/>
    <w:rsid w:val="00507B4E"/>
    <w:rsid w:val="005122B2"/>
    <w:rsid w:val="00515506"/>
    <w:rsid w:val="00517FBA"/>
    <w:rsid w:val="00525172"/>
    <w:rsid w:val="005358D6"/>
    <w:rsid w:val="00542811"/>
    <w:rsid w:val="00556475"/>
    <w:rsid w:val="00557BD8"/>
    <w:rsid w:val="00575291"/>
    <w:rsid w:val="005755D9"/>
    <w:rsid w:val="0058227E"/>
    <w:rsid w:val="005932C1"/>
    <w:rsid w:val="005B3831"/>
    <w:rsid w:val="005F02D3"/>
    <w:rsid w:val="00610252"/>
    <w:rsid w:val="0062179B"/>
    <w:rsid w:val="00621D78"/>
    <w:rsid w:val="00623307"/>
    <w:rsid w:val="006240C4"/>
    <w:rsid w:val="00641AFE"/>
    <w:rsid w:val="00642168"/>
    <w:rsid w:val="006519EF"/>
    <w:rsid w:val="00657E6B"/>
    <w:rsid w:val="00664888"/>
    <w:rsid w:val="00664CD9"/>
    <w:rsid w:val="00666AF5"/>
    <w:rsid w:val="0067278B"/>
    <w:rsid w:val="00676070"/>
    <w:rsid w:val="006A57AF"/>
    <w:rsid w:val="006B350A"/>
    <w:rsid w:val="006C1A9E"/>
    <w:rsid w:val="006D3383"/>
    <w:rsid w:val="006D70B7"/>
    <w:rsid w:val="006E3D81"/>
    <w:rsid w:val="006E4193"/>
    <w:rsid w:val="006E7253"/>
    <w:rsid w:val="006F0077"/>
    <w:rsid w:val="006F18BF"/>
    <w:rsid w:val="006F62DF"/>
    <w:rsid w:val="00700EF0"/>
    <w:rsid w:val="007148B2"/>
    <w:rsid w:val="00722892"/>
    <w:rsid w:val="00732A5A"/>
    <w:rsid w:val="0073541B"/>
    <w:rsid w:val="00750D1C"/>
    <w:rsid w:val="00755C3B"/>
    <w:rsid w:val="007613C8"/>
    <w:rsid w:val="00781164"/>
    <w:rsid w:val="00781F5E"/>
    <w:rsid w:val="00786523"/>
    <w:rsid w:val="007869C0"/>
    <w:rsid w:val="00787743"/>
    <w:rsid w:val="007A7CC7"/>
    <w:rsid w:val="007C0E42"/>
    <w:rsid w:val="007D6928"/>
    <w:rsid w:val="007F2D1F"/>
    <w:rsid w:val="0080234D"/>
    <w:rsid w:val="00804887"/>
    <w:rsid w:val="00810364"/>
    <w:rsid w:val="008220F7"/>
    <w:rsid w:val="00832F5D"/>
    <w:rsid w:val="00846682"/>
    <w:rsid w:val="00856973"/>
    <w:rsid w:val="008677BE"/>
    <w:rsid w:val="00874181"/>
    <w:rsid w:val="00877A59"/>
    <w:rsid w:val="00890CE5"/>
    <w:rsid w:val="0089322C"/>
    <w:rsid w:val="008A0121"/>
    <w:rsid w:val="008B2D22"/>
    <w:rsid w:val="008C315D"/>
    <w:rsid w:val="008C52F0"/>
    <w:rsid w:val="008D0C6D"/>
    <w:rsid w:val="008D70EF"/>
    <w:rsid w:val="00905873"/>
    <w:rsid w:val="00907EAE"/>
    <w:rsid w:val="0091283E"/>
    <w:rsid w:val="00925BB5"/>
    <w:rsid w:val="00943121"/>
    <w:rsid w:val="00950ACE"/>
    <w:rsid w:val="00956684"/>
    <w:rsid w:val="00971C95"/>
    <w:rsid w:val="00972145"/>
    <w:rsid w:val="009732E0"/>
    <w:rsid w:val="009738E0"/>
    <w:rsid w:val="00986298"/>
    <w:rsid w:val="009955C4"/>
    <w:rsid w:val="009A793D"/>
    <w:rsid w:val="009C09AC"/>
    <w:rsid w:val="009C2633"/>
    <w:rsid w:val="009D5EF7"/>
    <w:rsid w:val="009E43E3"/>
    <w:rsid w:val="009E50E1"/>
    <w:rsid w:val="00A07845"/>
    <w:rsid w:val="00A4378B"/>
    <w:rsid w:val="00A44488"/>
    <w:rsid w:val="00A5062C"/>
    <w:rsid w:val="00A7514F"/>
    <w:rsid w:val="00A765B4"/>
    <w:rsid w:val="00A82380"/>
    <w:rsid w:val="00A900D3"/>
    <w:rsid w:val="00A95000"/>
    <w:rsid w:val="00AA14FA"/>
    <w:rsid w:val="00AA33C7"/>
    <w:rsid w:val="00AB3981"/>
    <w:rsid w:val="00AC3DCF"/>
    <w:rsid w:val="00AE34E4"/>
    <w:rsid w:val="00AE3EEA"/>
    <w:rsid w:val="00AF3F18"/>
    <w:rsid w:val="00AF65A0"/>
    <w:rsid w:val="00AF65F3"/>
    <w:rsid w:val="00B02459"/>
    <w:rsid w:val="00B07B86"/>
    <w:rsid w:val="00B24027"/>
    <w:rsid w:val="00B31CCA"/>
    <w:rsid w:val="00B35D9A"/>
    <w:rsid w:val="00B41BF1"/>
    <w:rsid w:val="00B43DB4"/>
    <w:rsid w:val="00B6106F"/>
    <w:rsid w:val="00B72BD0"/>
    <w:rsid w:val="00B76ABC"/>
    <w:rsid w:val="00B87B40"/>
    <w:rsid w:val="00B924ED"/>
    <w:rsid w:val="00B9292D"/>
    <w:rsid w:val="00B9647D"/>
    <w:rsid w:val="00BA1E05"/>
    <w:rsid w:val="00BA1EBF"/>
    <w:rsid w:val="00BB4800"/>
    <w:rsid w:val="00BB7379"/>
    <w:rsid w:val="00BD4B60"/>
    <w:rsid w:val="00BE4C74"/>
    <w:rsid w:val="00BE6401"/>
    <w:rsid w:val="00BE7CD3"/>
    <w:rsid w:val="00BF7DD0"/>
    <w:rsid w:val="00C116F7"/>
    <w:rsid w:val="00C3560A"/>
    <w:rsid w:val="00C512C0"/>
    <w:rsid w:val="00C648FE"/>
    <w:rsid w:val="00C72987"/>
    <w:rsid w:val="00C7482E"/>
    <w:rsid w:val="00C77AB6"/>
    <w:rsid w:val="00C91E7C"/>
    <w:rsid w:val="00C96C68"/>
    <w:rsid w:val="00C96EA3"/>
    <w:rsid w:val="00CA70C9"/>
    <w:rsid w:val="00CB01D3"/>
    <w:rsid w:val="00CB3E96"/>
    <w:rsid w:val="00CB6887"/>
    <w:rsid w:val="00CD32C0"/>
    <w:rsid w:val="00CE1DB9"/>
    <w:rsid w:val="00CE2DB6"/>
    <w:rsid w:val="00CE75CB"/>
    <w:rsid w:val="00CF376A"/>
    <w:rsid w:val="00D05D12"/>
    <w:rsid w:val="00D3133B"/>
    <w:rsid w:val="00D3410C"/>
    <w:rsid w:val="00D44FFD"/>
    <w:rsid w:val="00D45986"/>
    <w:rsid w:val="00D46ACD"/>
    <w:rsid w:val="00D50EF7"/>
    <w:rsid w:val="00D5556F"/>
    <w:rsid w:val="00D709F2"/>
    <w:rsid w:val="00D72DD3"/>
    <w:rsid w:val="00D7667A"/>
    <w:rsid w:val="00D771D5"/>
    <w:rsid w:val="00D831C7"/>
    <w:rsid w:val="00D95175"/>
    <w:rsid w:val="00DB1848"/>
    <w:rsid w:val="00DB47BB"/>
    <w:rsid w:val="00DC0632"/>
    <w:rsid w:val="00DC775C"/>
    <w:rsid w:val="00DE43EE"/>
    <w:rsid w:val="00DE6FA0"/>
    <w:rsid w:val="00E003AE"/>
    <w:rsid w:val="00E03254"/>
    <w:rsid w:val="00E06C5D"/>
    <w:rsid w:val="00E11915"/>
    <w:rsid w:val="00E805A4"/>
    <w:rsid w:val="00E83C4F"/>
    <w:rsid w:val="00E861B5"/>
    <w:rsid w:val="00EA3B7B"/>
    <w:rsid w:val="00EA7330"/>
    <w:rsid w:val="00EB5B8F"/>
    <w:rsid w:val="00EB7D5E"/>
    <w:rsid w:val="00ED1B7D"/>
    <w:rsid w:val="00ED548F"/>
    <w:rsid w:val="00ED74D2"/>
    <w:rsid w:val="00ED7555"/>
    <w:rsid w:val="00EE4459"/>
    <w:rsid w:val="00F0689B"/>
    <w:rsid w:val="00F155D1"/>
    <w:rsid w:val="00F162B4"/>
    <w:rsid w:val="00F21678"/>
    <w:rsid w:val="00F30B8F"/>
    <w:rsid w:val="00F33483"/>
    <w:rsid w:val="00F345C0"/>
    <w:rsid w:val="00F36510"/>
    <w:rsid w:val="00F40338"/>
    <w:rsid w:val="00F43C43"/>
    <w:rsid w:val="00F4639D"/>
    <w:rsid w:val="00F62D94"/>
    <w:rsid w:val="00F67B41"/>
    <w:rsid w:val="00F73241"/>
    <w:rsid w:val="00F749A4"/>
    <w:rsid w:val="00F765E9"/>
    <w:rsid w:val="00F8602E"/>
    <w:rsid w:val="00F901F4"/>
    <w:rsid w:val="00F94BD9"/>
    <w:rsid w:val="00FA2B4F"/>
    <w:rsid w:val="00FA32BA"/>
    <w:rsid w:val="00FA5B3D"/>
    <w:rsid w:val="00FB37EE"/>
    <w:rsid w:val="00FB6C4A"/>
    <w:rsid w:val="00FC1C2E"/>
    <w:rsid w:val="00FD2BC0"/>
    <w:rsid w:val="00FD715F"/>
    <w:rsid w:val="00FE32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2C97"/>
  <w15:chartTrackingRefBased/>
  <w15:docId w15:val="{E5AB50CA-37F4-7D43-8A45-A5AA201F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7E"/>
    <w:pPr>
      <w:spacing w:after="200" w:line="288" w:lineRule="auto"/>
      <w:jc w:val="left"/>
    </w:pPr>
    <w:rPr>
      <w:rFonts w:eastAsiaTheme="minorEastAsia"/>
      <w:kern w:val="0"/>
      <w:sz w:val="21"/>
      <w:szCs w:val="21"/>
      <w14:ligatures w14:val="none"/>
    </w:rPr>
  </w:style>
  <w:style w:type="paragraph" w:styleId="Heading3">
    <w:name w:val="heading 3"/>
    <w:basedOn w:val="Normal"/>
    <w:next w:val="Normal"/>
    <w:link w:val="Heading3Char"/>
    <w:uiPriority w:val="9"/>
    <w:unhideWhenUsed/>
    <w:qFormat/>
    <w:rsid w:val="0058227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227E"/>
    <w:rPr>
      <w:rFonts w:asciiTheme="majorHAnsi" w:eastAsiaTheme="majorEastAsia" w:hAnsiTheme="majorHAnsi" w:cstheme="majorBidi"/>
      <w:color w:val="538135" w:themeColor="accent6" w:themeShade="BF"/>
      <w:kern w:val="0"/>
      <w14:ligatures w14:val="none"/>
    </w:rPr>
  </w:style>
  <w:style w:type="paragraph" w:styleId="FootnoteText">
    <w:name w:val="footnote text"/>
    <w:basedOn w:val="Normal"/>
    <w:link w:val="FootnoteTextChar"/>
    <w:uiPriority w:val="99"/>
    <w:unhideWhenUsed/>
    <w:rsid w:val="0058227E"/>
    <w:rPr>
      <w:sz w:val="20"/>
      <w:szCs w:val="20"/>
    </w:rPr>
  </w:style>
  <w:style w:type="character" w:customStyle="1" w:styleId="FootnoteTextChar">
    <w:name w:val="Footnote Text Char"/>
    <w:basedOn w:val="DefaultParagraphFont"/>
    <w:link w:val="FootnoteText"/>
    <w:uiPriority w:val="99"/>
    <w:rsid w:val="0058227E"/>
    <w:rPr>
      <w:rFonts w:eastAsiaTheme="minorEastAsia"/>
      <w:kern w:val="0"/>
      <w:sz w:val="20"/>
      <w:szCs w:val="20"/>
      <w14:ligatures w14:val="none"/>
    </w:rPr>
  </w:style>
  <w:style w:type="paragraph" w:styleId="ListParagraph">
    <w:name w:val="List Paragraph"/>
    <w:basedOn w:val="Normal"/>
    <w:uiPriority w:val="34"/>
    <w:qFormat/>
    <w:rsid w:val="0058227E"/>
    <w:pPr>
      <w:ind w:left="720"/>
      <w:contextualSpacing/>
    </w:pPr>
  </w:style>
  <w:style w:type="paragraph" w:styleId="Header">
    <w:name w:val="header"/>
    <w:basedOn w:val="Normal"/>
    <w:link w:val="HeaderChar"/>
    <w:uiPriority w:val="99"/>
    <w:unhideWhenUsed/>
    <w:rsid w:val="0058227E"/>
    <w:pPr>
      <w:tabs>
        <w:tab w:val="center" w:pos="4513"/>
        <w:tab w:val="right" w:pos="9026"/>
      </w:tabs>
    </w:pPr>
  </w:style>
  <w:style w:type="character" w:customStyle="1" w:styleId="HeaderChar">
    <w:name w:val="Header Char"/>
    <w:basedOn w:val="DefaultParagraphFont"/>
    <w:link w:val="Header"/>
    <w:uiPriority w:val="99"/>
    <w:rsid w:val="0058227E"/>
    <w:rPr>
      <w:rFonts w:eastAsiaTheme="minorEastAsia"/>
      <w:kern w:val="0"/>
      <w:sz w:val="21"/>
      <w:szCs w:val="21"/>
      <w14:ligatures w14:val="none"/>
    </w:rPr>
  </w:style>
  <w:style w:type="character" w:styleId="FootnoteReference">
    <w:name w:val="footnote reference"/>
    <w:basedOn w:val="DefaultParagraphFont"/>
    <w:uiPriority w:val="99"/>
    <w:semiHidden/>
    <w:unhideWhenUsed/>
    <w:rsid w:val="0058227E"/>
    <w:rPr>
      <w:vertAlign w:val="superscript"/>
    </w:rPr>
  </w:style>
  <w:style w:type="character" w:styleId="CommentReference">
    <w:name w:val="annotation reference"/>
    <w:basedOn w:val="DefaultParagraphFont"/>
    <w:uiPriority w:val="99"/>
    <w:semiHidden/>
    <w:unhideWhenUsed/>
    <w:rsid w:val="0058227E"/>
    <w:rPr>
      <w:sz w:val="16"/>
      <w:szCs w:val="16"/>
    </w:rPr>
  </w:style>
  <w:style w:type="paragraph" w:styleId="CommentText">
    <w:name w:val="annotation text"/>
    <w:basedOn w:val="Normal"/>
    <w:link w:val="CommentTextChar"/>
    <w:uiPriority w:val="99"/>
    <w:unhideWhenUsed/>
    <w:rsid w:val="0058227E"/>
    <w:rPr>
      <w:sz w:val="20"/>
      <w:szCs w:val="20"/>
    </w:rPr>
  </w:style>
  <w:style w:type="character" w:customStyle="1" w:styleId="CommentTextChar">
    <w:name w:val="Comment Text Char"/>
    <w:basedOn w:val="DefaultParagraphFont"/>
    <w:link w:val="CommentText"/>
    <w:uiPriority w:val="99"/>
    <w:rsid w:val="0058227E"/>
    <w:rPr>
      <w:rFonts w:eastAsiaTheme="minorEastAsia"/>
      <w:kern w:val="0"/>
      <w:sz w:val="20"/>
      <w:szCs w:val="20"/>
      <w14:ligatures w14:val="none"/>
    </w:rPr>
  </w:style>
  <w:style w:type="paragraph" w:styleId="Footer">
    <w:name w:val="footer"/>
    <w:basedOn w:val="Normal"/>
    <w:link w:val="FooterChar"/>
    <w:uiPriority w:val="99"/>
    <w:unhideWhenUsed/>
    <w:rsid w:val="0091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83E"/>
    <w:rPr>
      <w:rFonts w:eastAsiaTheme="minorEastAsia"/>
      <w:kern w:val="0"/>
      <w:sz w:val="21"/>
      <w:szCs w:val="21"/>
      <w14:ligatures w14:val="none"/>
    </w:rPr>
  </w:style>
  <w:style w:type="paragraph" w:styleId="CommentSubject">
    <w:name w:val="annotation subject"/>
    <w:basedOn w:val="CommentText"/>
    <w:next w:val="CommentText"/>
    <w:link w:val="CommentSubjectChar"/>
    <w:uiPriority w:val="99"/>
    <w:semiHidden/>
    <w:unhideWhenUsed/>
    <w:rsid w:val="00874181"/>
    <w:pPr>
      <w:spacing w:line="240" w:lineRule="auto"/>
    </w:pPr>
    <w:rPr>
      <w:b/>
      <w:bCs/>
    </w:rPr>
  </w:style>
  <w:style w:type="character" w:customStyle="1" w:styleId="CommentSubjectChar">
    <w:name w:val="Comment Subject Char"/>
    <w:basedOn w:val="CommentTextChar"/>
    <w:link w:val="CommentSubject"/>
    <w:uiPriority w:val="99"/>
    <w:semiHidden/>
    <w:rsid w:val="00874181"/>
    <w:rPr>
      <w:rFonts w:eastAsiaTheme="minorEastAsia"/>
      <w:b/>
      <w:bCs/>
      <w:kern w:val="0"/>
      <w:sz w:val="20"/>
      <w:szCs w:val="20"/>
      <w14:ligatures w14:val="none"/>
    </w:rPr>
  </w:style>
  <w:style w:type="paragraph" w:styleId="BalloonText">
    <w:name w:val="Balloon Text"/>
    <w:basedOn w:val="Normal"/>
    <w:link w:val="BalloonTextChar"/>
    <w:uiPriority w:val="99"/>
    <w:semiHidden/>
    <w:unhideWhenUsed/>
    <w:rsid w:val="00874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81"/>
    <w:rPr>
      <w:rFonts w:ascii="Segoe UI" w:eastAsiaTheme="minorEastAsia" w:hAnsi="Segoe UI" w:cs="Segoe UI"/>
      <w:kern w:val="0"/>
      <w:sz w:val="18"/>
      <w:szCs w:val="18"/>
      <w14:ligatures w14:val="none"/>
    </w:rPr>
  </w:style>
  <w:style w:type="paragraph" w:styleId="NoSpacing">
    <w:name w:val="No Spacing"/>
    <w:uiPriority w:val="1"/>
    <w:qFormat/>
    <w:rsid w:val="005358D6"/>
    <w:pPr>
      <w:jc w:val="left"/>
    </w:pPr>
    <w:rPr>
      <w:rFonts w:eastAsiaTheme="minorEastAsia"/>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5400">
      <w:bodyDiv w:val="1"/>
      <w:marLeft w:val="0"/>
      <w:marRight w:val="0"/>
      <w:marTop w:val="0"/>
      <w:marBottom w:val="0"/>
      <w:divBdr>
        <w:top w:val="none" w:sz="0" w:space="0" w:color="auto"/>
        <w:left w:val="none" w:sz="0" w:space="0" w:color="auto"/>
        <w:bottom w:val="none" w:sz="0" w:space="0" w:color="auto"/>
        <w:right w:val="none" w:sz="0" w:space="0" w:color="auto"/>
      </w:divBdr>
      <w:divsChild>
        <w:div w:id="719936619">
          <w:marLeft w:val="0"/>
          <w:marRight w:val="0"/>
          <w:marTop w:val="0"/>
          <w:marBottom w:val="0"/>
          <w:divBdr>
            <w:top w:val="none" w:sz="0" w:space="0" w:color="auto"/>
            <w:left w:val="none" w:sz="0" w:space="0" w:color="auto"/>
            <w:bottom w:val="none" w:sz="0" w:space="0" w:color="auto"/>
            <w:right w:val="none" w:sz="0" w:space="0" w:color="auto"/>
          </w:divBdr>
        </w:div>
        <w:div w:id="666055053">
          <w:marLeft w:val="0"/>
          <w:marRight w:val="0"/>
          <w:marTop w:val="0"/>
          <w:marBottom w:val="0"/>
          <w:divBdr>
            <w:top w:val="none" w:sz="0" w:space="0" w:color="auto"/>
            <w:left w:val="none" w:sz="0" w:space="0" w:color="auto"/>
            <w:bottom w:val="none" w:sz="0" w:space="0" w:color="auto"/>
            <w:right w:val="none" w:sz="0" w:space="0" w:color="auto"/>
          </w:divBdr>
        </w:div>
        <w:div w:id="1983385995">
          <w:marLeft w:val="0"/>
          <w:marRight w:val="0"/>
          <w:marTop w:val="0"/>
          <w:marBottom w:val="0"/>
          <w:divBdr>
            <w:top w:val="none" w:sz="0" w:space="0" w:color="auto"/>
            <w:left w:val="none" w:sz="0" w:space="0" w:color="auto"/>
            <w:bottom w:val="none" w:sz="0" w:space="0" w:color="auto"/>
            <w:right w:val="none" w:sz="0" w:space="0" w:color="auto"/>
          </w:divBdr>
        </w:div>
        <w:div w:id="18733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6T16:53:05.751"/>
    </inkml:context>
    <inkml:brush xml:id="br0">
      <inkml:brushProperty name="width" value="0.08571" units="cm"/>
      <inkml:brushProperty name="height" value="0.08571" units="cm"/>
    </inkml:brush>
  </inkml:definitions>
  <inkml:trace contextRef="#ctx0" brushRef="#br0">0 0 8027,'0'0'0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A996-8AB3-442F-9F31-C36BB0E5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MSWAZI NHLANGULELA</dc:creator>
  <cp:keywords/>
  <dc:description/>
  <cp:lastModifiedBy>Pearl Nko</cp:lastModifiedBy>
  <cp:revision>2</cp:revision>
  <cp:lastPrinted>2023-07-27T06:11:00Z</cp:lastPrinted>
  <dcterms:created xsi:type="dcterms:W3CDTF">2023-07-27T06:15:00Z</dcterms:created>
  <dcterms:modified xsi:type="dcterms:W3CDTF">2023-07-27T06:15:00Z</dcterms:modified>
</cp:coreProperties>
</file>