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B363F" w14:textId="303525E3" w:rsidR="00F17FD3" w:rsidRDefault="00F17FD3" w:rsidP="00F17FD3">
      <w:pPr>
        <w:rPr>
          <w:bCs/>
          <w:sz w:val="28"/>
          <w:szCs w:val="28"/>
          <w:lang w:val="en-ZA"/>
        </w:rPr>
      </w:pPr>
    </w:p>
    <w:p w14:paraId="591AD9B2" w14:textId="77777777" w:rsidR="00C03053" w:rsidRPr="00452F47" w:rsidRDefault="00C03053" w:rsidP="00F17FD3">
      <w:pPr>
        <w:rPr>
          <w:bCs/>
          <w:sz w:val="28"/>
          <w:szCs w:val="28"/>
          <w:lang w:val="en-ZA"/>
        </w:rPr>
      </w:pPr>
    </w:p>
    <w:p w14:paraId="6C1CD744" w14:textId="77777777" w:rsidR="00F17FD3" w:rsidRPr="00452F47" w:rsidRDefault="00F17FD3" w:rsidP="00F17FD3">
      <w:pPr>
        <w:jc w:val="center"/>
        <w:rPr>
          <w:b/>
          <w:bCs/>
          <w:sz w:val="28"/>
          <w:szCs w:val="28"/>
        </w:rPr>
      </w:pPr>
    </w:p>
    <w:p w14:paraId="297B3760" w14:textId="77777777" w:rsidR="00F17FD3" w:rsidRPr="00452F47" w:rsidRDefault="00F17FD3" w:rsidP="00F17FD3">
      <w:pPr>
        <w:jc w:val="center"/>
        <w:rPr>
          <w:b/>
          <w:bCs/>
          <w:sz w:val="28"/>
          <w:szCs w:val="28"/>
        </w:rPr>
      </w:pPr>
    </w:p>
    <w:p w14:paraId="77083876" w14:textId="77777777" w:rsidR="00F17FD3" w:rsidRPr="001F72AC" w:rsidRDefault="00F17FD3" w:rsidP="00F17FD3">
      <w:pPr>
        <w:jc w:val="center"/>
        <w:rPr>
          <w:b/>
          <w:bCs/>
          <w:sz w:val="28"/>
          <w:szCs w:val="28"/>
        </w:rPr>
      </w:pPr>
      <w:r w:rsidRPr="001F72AC">
        <w:rPr>
          <w:noProof/>
          <w:lang w:val="en-ZA" w:eastAsia="en-ZA"/>
        </w:rPr>
        <w:drawing>
          <wp:anchor distT="0" distB="0" distL="114300" distR="114300" simplePos="0" relativeHeight="251659264" behindDoc="0" locked="0" layoutInCell="1" allowOverlap="1" wp14:anchorId="44B2A350" wp14:editId="3FB4212F">
            <wp:simplePos x="0" y="0"/>
            <wp:positionH relativeFrom="page">
              <wp:align>center</wp:align>
            </wp:positionH>
            <wp:positionV relativeFrom="paragraph">
              <wp:posOffset>-683895</wp:posOffset>
            </wp:positionV>
            <wp:extent cx="799200" cy="914400"/>
            <wp:effectExtent l="0" t="0" r="127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200" cy="914400"/>
                    </a:xfrm>
                    <a:prstGeom prst="rect">
                      <a:avLst/>
                    </a:prstGeom>
                    <a:noFill/>
                  </pic:spPr>
                </pic:pic>
              </a:graphicData>
            </a:graphic>
            <wp14:sizeRelH relativeFrom="page">
              <wp14:pctWidth>0</wp14:pctWidth>
            </wp14:sizeRelH>
            <wp14:sizeRelV relativeFrom="page">
              <wp14:pctHeight>0</wp14:pctHeight>
            </wp14:sizeRelV>
          </wp:anchor>
        </w:drawing>
      </w:r>
    </w:p>
    <w:p w14:paraId="116AF7DD" w14:textId="77777777" w:rsidR="00F17FD3" w:rsidRPr="001F72AC" w:rsidRDefault="00F17FD3" w:rsidP="00C84BBD">
      <w:pPr>
        <w:spacing w:line="360" w:lineRule="auto"/>
        <w:rPr>
          <w:b/>
          <w:bCs/>
          <w:sz w:val="28"/>
          <w:szCs w:val="28"/>
        </w:rPr>
      </w:pPr>
    </w:p>
    <w:p w14:paraId="4FB38977" w14:textId="77777777" w:rsidR="00F17FD3" w:rsidRPr="001F72AC" w:rsidRDefault="00F17FD3" w:rsidP="00F17FD3">
      <w:pPr>
        <w:spacing w:line="360" w:lineRule="auto"/>
        <w:jc w:val="center"/>
        <w:rPr>
          <w:b/>
          <w:bCs/>
          <w:sz w:val="28"/>
          <w:szCs w:val="28"/>
        </w:rPr>
      </w:pPr>
      <w:r w:rsidRPr="001F72AC">
        <w:rPr>
          <w:b/>
          <w:bCs/>
          <w:sz w:val="28"/>
          <w:szCs w:val="28"/>
        </w:rPr>
        <w:t>THE SUPREME COURT OF APPEAL OF SOUTH AFRICA</w:t>
      </w:r>
    </w:p>
    <w:p w14:paraId="591CD5CA" w14:textId="691EFC43" w:rsidR="00F17FD3" w:rsidRPr="001F72AC" w:rsidRDefault="00F17FD3" w:rsidP="00C84BBD">
      <w:pPr>
        <w:pStyle w:val="Heading3"/>
        <w:jc w:val="center"/>
        <w:rPr>
          <w:rFonts w:ascii="Times New Roman" w:hAnsi="Times New Roman" w:cs="Times New Roman"/>
          <w:b/>
          <w:i w:val="0"/>
          <w:szCs w:val="28"/>
        </w:rPr>
      </w:pPr>
      <w:r w:rsidRPr="001F72AC">
        <w:rPr>
          <w:rFonts w:ascii="Times New Roman" w:hAnsi="Times New Roman" w:cs="Times New Roman"/>
          <w:b/>
          <w:i w:val="0"/>
          <w:szCs w:val="28"/>
        </w:rPr>
        <w:t>JUDGMENT</w:t>
      </w:r>
    </w:p>
    <w:p w14:paraId="259382FF" w14:textId="77777777" w:rsidR="009224BD" w:rsidRPr="001F72AC" w:rsidRDefault="009224BD" w:rsidP="009224BD"/>
    <w:p w14:paraId="00BB462A" w14:textId="7ED1B465" w:rsidR="009224BD" w:rsidRPr="001F72AC" w:rsidRDefault="009224BD" w:rsidP="009224BD">
      <w:pPr>
        <w:spacing w:line="360" w:lineRule="auto"/>
        <w:jc w:val="right"/>
        <w:rPr>
          <w:b/>
          <w:sz w:val="28"/>
          <w:szCs w:val="28"/>
          <w:lang w:val="en-ZA"/>
        </w:rPr>
      </w:pPr>
      <w:r w:rsidRPr="001F72AC">
        <w:rPr>
          <w:b/>
          <w:sz w:val="28"/>
          <w:szCs w:val="28"/>
        </w:rPr>
        <w:t>Reportable</w:t>
      </w:r>
    </w:p>
    <w:p w14:paraId="2B7F6671" w14:textId="057B9B09" w:rsidR="009224BD" w:rsidRPr="001F72AC" w:rsidRDefault="009224BD" w:rsidP="009224BD">
      <w:pPr>
        <w:spacing w:line="360" w:lineRule="auto"/>
        <w:jc w:val="right"/>
        <w:rPr>
          <w:sz w:val="28"/>
          <w:szCs w:val="28"/>
        </w:rPr>
      </w:pPr>
      <w:r w:rsidRPr="001F72AC">
        <w:rPr>
          <w:sz w:val="28"/>
          <w:szCs w:val="28"/>
        </w:rPr>
        <w:t xml:space="preserve">Case no: </w:t>
      </w:r>
      <w:r w:rsidR="00961E30" w:rsidRPr="001F72AC">
        <w:rPr>
          <w:sz w:val="28"/>
          <w:szCs w:val="28"/>
        </w:rPr>
        <w:t>8</w:t>
      </w:r>
      <w:r w:rsidR="000E7EAA" w:rsidRPr="001F72AC">
        <w:rPr>
          <w:sz w:val="28"/>
          <w:szCs w:val="28"/>
        </w:rPr>
        <w:t>0</w:t>
      </w:r>
      <w:r w:rsidR="00961E30" w:rsidRPr="001F72AC">
        <w:rPr>
          <w:sz w:val="28"/>
          <w:szCs w:val="28"/>
        </w:rPr>
        <w:t>4</w:t>
      </w:r>
      <w:r w:rsidRPr="001F72AC">
        <w:rPr>
          <w:sz w:val="28"/>
          <w:szCs w:val="28"/>
        </w:rPr>
        <w:t>/202</w:t>
      </w:r>
      <w:r w:rsidR="000E7EAA" w:rsidRPr="001F72AC">
        <w:rPr>
          <w:sz w:val="28"/>
          <w:szCs w:val="28"/>
        </w:rPr>
        <w:t>2</w:t>
      </w:r>
    </w:p>
    <w:p w14:paraId="71F76329" w14:textId="77777777" w:rsidR="008E394E" w:rsidRPr="001F72AC" w:rsidRDefault="008E394E" w:rsidP="009224BD">
      <w:pPr>
        <w:spacing w:line="360" w:lineRule="auto"/>
        <w:jc w:val="right"/>
        <w:rPr>
          <w:sz w:val="28"/>
          <w:szCs w:val="28"/>
        </w:rPr>
      </w:pPr>
    </w:p>
    <w:p w14:paraId="2D51052C" w14:textId="77777777" w:rsidR="009224BD" w:rsidRPr="001F72AC" w:rsidRDefault="009224BD" w:rsidP="009224BD">
      <w:pPr>
        <w:spacing w:line="360" w:lineRule="auto"/>
        <w:rPr>
          <w:sz w:val="28"/>
          <w:szCs w:val="28"/>
        </w:rPr>
      </w:pPr>
      <w:r w:rsidRPr="001F72AC">
        <w:rPr>
          <w:sz w:val="28"/>
          <w:szCs w:val="28"/>
        </w:rPr>
        <w:t>In the matter between:</w:t>
      </w:r>
    </w:p>
    <w:p w14:paraId="11795228" w14:textId="694D30CC" w:rsidR="00961E30" w:rsidRPr="001F72AC" w:rsidRDefault="00961E30" w:rsidP="00CA3092">
      <w:pPr>
        <w:spacing w:line="360" w:lineRule="auto"/>
        <w:rPr>
          <w:rFonts w:eastAsiaTheme="minorHAnsi"/>
          <w:b/>
          <w:sz w:val="28"/>
          <w:szCs w:val="28"/>
        </w:rPr>
      </w:pPr>
      <w:r w:rsidRPr="001F72AC">
        <w:rPr>
          <w:rFonts w:eastAsiaTheme="minorHAnsi"/>
          <w:b/>
          <w:sz w:val="28"/>
          <w:szCs w:val="28"/>
        </w:rPr>
        <w:t xml:space="preserve">ESTATE LATE GOOLAM MURTUZA HAFIZ                   </w:t>
      </w:r>
      <w:r w:rsidR="00452F47" w:rsidRPr="001F72AC">
        <w:rPr>
          <w:rFonts w:eastAsiaTheme="minorHAnsi"/>
          <w:b/>
          <w:sz w:val="28"/>
          <w:szCs w:val="28"/>
        </w:rPr>
        <w:t xml:space="preserve"> </w:t>
      </w:r>
      <w:r w:rsidRPr="001F72AC">
        <w:rPr>
          <w:rFonts w:eastAsiaTheme="minorHAnsi"/>
          <w:b/>
          <w:sz w:val="28"/>
          <w:szCs w:val="28"/>
        </w:rPr>
        <w:t>First Appellant</w:t>
      </w:r>
    </w:p>
    <w:p w14:paraId="2FB5E2E6" w14:textId="5155F98B" w:rsidR="00961E30" w:rsidRPr="001F72AC" w:rsidRDefault="00961E30" w:rsidP="00CA3092">
      <w:pPr>
        <w:spacing w:line="360" w:lineRule="auto"/>
        <w:rPr>
          <w:rFonts w:eastAsiaTheme="minorHAnsi"/>
          <w:b/>
          <w:sz w:val="28"/>
          <w:szCs w:val="28"/>
        </w:rPr>
      </w:pPr>
      <w:r w:rsidRPr="001F72AC">
        <w:rPr>
          <w:rFonts w:eastAsiaTheme="minorHAnsi"/>
          <w:b/>
          <w:sz w:val="28"/>
          <w:szCs w:val="28"/>
        </w:rPr>
        <w:t>MOHAMED IQBAL ESSOP</w:t>
      </w:r>
      <w:r w:rsidRPr="001F72AC">
        <w:rPr>
          <w:rFonts w:eastAsiaTheme="minorHAnsi"/>
          <w:b/>
          <w:sz w:val="28"/>
          <w:szCs w:val="28"/>
        </w:rPr>
        <w:tab/>
        <w:t xml:space="preserve">                                             </w:t>
      </w:r>
      <w:r w:rsidR="00452F47" w:rsidRPr="001F72AC">
        <w:rPr>
          <w:rFonts w:eastAsiaTheme="minorHAnsi"/>
          <w:b/>
          <w:sz w:val="28"/>
          <w:szCs w:val="28"/>
        </w:rPr>
        <w:t xml:space="preserve"> </w:t>
      </w:r>
      <w:r w:rsidRPr="001F72AC">
        <w:rPr>
          <w:rFonts w:eastAsiaTheme="minorHAnsi"/>
          <w:b/>
          <w:sz w:val="28"/>
          <w:szCs w:val="28"/>
        </w:rPr>
        <w:t xml:space="preserve"> Second Appellant</w:t>
      </w:r>
    </w:p>
    <w:p w14:paraId="5B966366" w14:textId="6A5337DD" w:rsidR="00961E30" w:rsidRPr="001F72AC" w:rsidRDefault="00961E30" w:rsidP="00CA3092">
      <w:pPr>
        <w:spacing w:line="360" w:lineRule="auto"/>
        <w:rPr>
          <w:rFonts w:eastAsiaTheme="minorHAnsi"/>
          <w:b/>
          <w:sz w:val="28"/>
          <w:szCs w:val="28"/>
        </w:rPr>
      </w:pPr>
      <w:r w:rsidRPr="001F72AC">
        <w:rPr>
          <w:rFonts w:eastAsiaTheme="minorHAnsi"/>
          <w:b/>
          <w:sz w:val="28"/>
          <w:szCs w:val="28"/>
        </w:rPr>
        <w:t>SAYED HOOSEN AHMED</w:t>
      </w:r>
      <w:r w:rsidRPr="001F72AC">
        <w:rPr>
          <w:rFonts w:eastAsiaTheme="minorHAnsi"/>
          <w:b/>
          <w:sz w:val="28"/>
          <w:szCs w:val="28"/>
        </w:rPr>
        <w:tab/>
        <w:t xml:space="preserve">                                                 Third Appellant</w:t>
      </w:r>
    </w:p>
    <w:p w14:paraId="706A232B" w14:textId="44B91F70" w:rsidR="00961E30" w:rsidRPr="001F72AC" w:rsidRDefault="008E394E" w:rsidP="00CA3092">
      <w:pPr>
        <w:spacing w:line="360" w:lineRule="auto"/>
        <w:rPr>
          <w:rFonts w:eastAsiaTheme="minorHAnsi"/>
          <w:b/>
          <w:sz w:val="28"/>
          <w:szCs w:val="28"/>
        </w:rPr>
      </w:pPr>
      <w:r w:rsidRPr="001F72AC">
        <w:rPr>
          <w:rFonts w:eastAsiaTheme="minorHAnsi"/>
          <w:sz w:val="28"/>
          <w:szCs w:val="28"/>
        </w:rPr>
        <w:t>and</w:t>
      </w:r>
    </w:p>
    <w:p w14:paraId="0F09C598" w14:textId="0CF7F3D7" w:rsidR="00961E30" w:rsidRPr="001F72AC" w:rsidRDefault="00961E30" w:rsidP="00CA3092">
      <w:pPr>
        <w:spacing w:line="360" w:lineRule="auto"/>
        <w:rPr>
          <w:rFonts w:eastAsiaTheme="minorHAnsi"/>
          <w:b/>
          <w:sz w:val="28"/>
          <w:szCs w:val="28"/>
        </w:rPr>
      </w:pPr>
      <w:r w:rsidRPr="001F72AC">
        <w:rPr>
          <w:rFonts w:eastAsiaTheme="minorHAnsi"/>
          <w:b/>
          <w:sz w:val="28"/>
          <w:szCs w:val="28"/>
        </w:rPr>
        <w:t>AHMED ZAKIR HAFIZ</w:t>
      </w:r>
      <w:r w:rsidRPr="001F72AC">
        <w:rPr>
          <w:rFonts w:eastAsiaTheme="minorHAnsi"/>
          <w:b/>
          <w:sz w:val="28"/>
          <w:szCs w:val="28"/>
        </w:rPr>
        <w:tab/>
      </w:r>
      <w:r w:rsidRPr="001F72AC">
        <w:rPr>
          <w:rFonts w:eastAsiaTheme="minorHAnsi"/>
          <w:b/>
          <w:sz w:val="28"/>
          <w:szCs w:val="28"/>
        </w:rPr>
        <w:tab/>
      </w:r>
      <w:r w:rsidRPr="001F72AC">
        <w:rPr>
          <w:rFonts w:eastAsiaTheme="minorHAnsi"/>
          <w:b/>
          <w:sz w:val="28"/>
          <w:szCs w:val="28"/>
        </w:rPr>
        <w:tab/>
      </w:r>
      <w:r w:rsidRPr="001F72AC">
        <w:rPr>
          <w:rFonts w:eastAsiaTheme="minorHAnsi"/>
          <w:b/>
          <w:sz w:val="28"/>
          <w:szCs w:val="28"/>
        </w:rPr>
        <w:tab/>
        <w:t xml:space="preserve">                 First Respondent</w:t>
      </w:r>
    </w:p>
    <w:p w14:paraId="3BFE54EE" w14:textId="1F524504" w:rsidR="00961E30" w:rsidRPr="001F72AC" w:rsidRDefault="00961E30" w:rsidP="00CA3092">
      <w:pPr>
        <w:spacing w:line="360" w:lineRule="auto"/>
        <w:rPr>
          <w:rFonts w:eastAsiaTheme="minorHAnsi"/>
          <w:b/>
          <w:sz w:val="28"/>
          <w:szCs w:val="28"/>
        </w:rPr>
      </w:pPr>
      <w:r w:rsidRPr="001F72AC">
        <w:rPr>
          <w:rFonts w:eastAsiaTheme="minorHAnsi"/>
          <w:b/>
          <w:sz w:val="28"/>
          <w:szCs w:val="28"/>
        </w:rPr>
        <w:t>AKHMED RAZA WAHAB                                                Second Respondent</w:t>
      </w:r>
    </w:p>
    <w:p w14:paraId="3A0CE342" w14:textId="322E6FFD" w:rsidR="00961E30" w:rsidRPr="001F72AC" w:rsidRDefault="00961E30" w:rsidP="00CA3092">
      <w:pPr>
        <w:spacing w:line="360" w:lineRule="auto"/>
        <w:rPr>
          <w:rFonts w:eastAsiaTheme="minorHAnsi"/>
          <w:b/>
          <w:sz w:val="28"/>
          <w:szCs w:val="28"/>
        </w:rPr>
      </w:pPr>
      <w:r w:rsidRPr="001F72AC">
        <w:rPr>
          <w:rFonts w:eastAsiaTheme="minorHAnsi"/>
          <w:b/>
          <w:sz w:val="28"/>
          <w:szCs w:val="28"/>
        </w:rPr>
        <w:t>SAYED MUKTHAR MOHAMMED</w:t>
      </w:r>
      <w:r w:rsidRPr="001F72AC">
        <w:rPr>
          <w:rFonts w:eastAsiaTheme="minorHAnsi"/>
          <w:b/>
          <w:sz w:val="28"/>
          <w:szCs w:val="28"/>
        </w:rPr>
        <w:tab/>
      </w:r>
      <w:r w:rsidRPr="001F72AC">
        <w:rPr>
          <w:rFonts w:eastAsiaTheme="minorHAnsi"/>
          <w:b/>
          <w:sz w:val="28"/>
          <w:szCs w:val="28"/>
        </w:rPr>
        <w:tab/>
        <w:t xml:space="preserve">               Third Respondent</w:t>
      </w:r>
    </w:p>
    <w:p w14:paraId="45467DB6" w14:textId="3A8B05F7" w:rsidR="00961E30" w:rsidRPr="001F72AC" w:rsidRDefault="00961E30" w:rsidP="00CA3092">
      <w:pPr>
        <w:spacing w:line="360" w:lineRule="auto"/>
        <w:rPr>
          <w:rFonts w:eastAsiaTheme="minorHAnsi"/>
          <w:b/>
          <w:sz w:val="28"/>
          <w:szCs w:val="28"/>
        </w:rPr>
      </w:pPr>
      <w:r w:rsidRPr="001F72AC">
        <w:rPr>
          <w:rFonts w:eastAsiaTheme="minorHAnsi"/>
          <w:b/>
          <w:sz w:val="28"/>
          <w:szCs w:val="28"/>
        </w:rPr>
        <w:t>SHAKEEEL AHMED HAFIZ                                           Fourth Respondent</w:t>
      </w:r>
    </w:p>
    <w:p w14:paraId="210DF903" w14:textId="0270B265" w:rsidR="00961E30" w:rsidRPr="001F72AC" w:rsidRDefault="00961E30" w:rsidP="00CA3092">
      <w:pPr>
        <w:spacing w:line="360" w:lineRule="auto"/>
        <w:rPr>
          <w:rFonts w:eastAsiaTheme="minorHAnsi"/>
          <w:b/>
          <w:sz w:val="28"/>
          <w:szCs w:val="28"/>
        </w:rPr>
      </w:pPr>
      <w:r w:rsidRPr="001F72AC">
        <w:rPr>
          <w:rFonts w:eastAsiaTheme="minorHAnsi"/>
          <w:b/>
          <w:sz w:val="28"/>
          <w:szCs w:val="28"/>
        </w:rPr>
        <w:t>ANEEZ AHMED HAFIZ                                                       Fifth Respondent</w:t>
      </w:r>
    </w:p>
    <w:p w14:paraId="4A190121" w14:textId="77777777" w:rsidR="00961E30" w:rsidRPr="001F72AC" w:rsidRDefault="00961E30" w:rsidP="00CA3092">
      <w:pPr>
        <w:spacing w:line="360" w:lineRule="auto"/>
        <w:rPr>
          <w:rFonts w:eastAsiaTheme="minorHAnsi"/>
          <w:b/>
          <w:sz w:val="28"/>
          <w:szCs w:val="28"/>
        </w:rPr>
      </w:pPr>
      <w:r w:rsidRPr="001F72AC">
        <w:rPr>
          <w:rFonts w:eastAsiaTheme="minorHAnsi"/>
          <w:b/>
          <w:sz w:val="28"/>
          <w:szCs w:val="28"/>
        </w:rPr>
        <w:t>MASTER OF THE HIGH COURT,</w:t>
      </w:r>
    </w:p>
    <w:p w14:paraId="7040A57D" w14:textId="3878821E" w:rsidR="00961E30" w:rsidRPr="001F72AC" w:rsidRDefault="00961E30" w:rsidP="00CA3092">
      <w:pPr>
        <w:spacing w:line="360" w:lineRule="auto"/>
        <w:rPr>
          <w:rFonts w:eastAsiaTheme="minorHAnsi"/>
          <w:b/>
          <w:sz w:val="28"/>
          <w:szCs w:val="28"/>
        </w:rPr>
      </w:pPr>
      <w:r w:rsidRPr="001F72AC">
        <w:rPr>
          <w:rFonts w:eastAsiaTheme="minorHAnsi"/>
          <w:b/>
          <w:sz w:val="28"/>
          <w:szCs w:val="28"/>
        </w:rPr>
        <w:t>PIETERMARITZBURG                                                       Sixth Respondent</w:t>
      </w:r>
    </w:p>
    <w:p w14:paraId="220B7FDA" w14:textId="02247FF0" w:rsidR="00961E30" w:rsidRPr="001F72AC" w:rsidRDefault="00961E30" w:rsidP="00CA3092">
      <w:pPr>
        <w:spacing w:line="360" w:lineRule="auto"/>
        <w:rPr>
          <w:rFonts w:eastAsiaTheme="minorHAnsi"/>
          <w:b/>
          <w:sz w:val="28"/>
          <w:szCs w:val="28"/>
        </w:rPr>
      </w:pPr>
      <w:r w:rsidRPr="001F72AC">
        <w:rPr>
          <w:rFonts w:eastAsiaTheme="minorHAnsi"/>
          <w:b/>
          <w:sz w:val="28"/>
          <w:szCs w:val="28"/>
        </w:rPr>
        <w:t>REGISTRAR OF DEEDS, KWAZULU-NATAL           Seventh Respondent</w:t>
      </w:r>
    </w:p>
    <w:p w14:paraId="2E349441" w14:textId="0A784186" w:rsidR="00961E30" w:rsidRPr="001F72AC" w:rsidRDefault="00961E30" w:rsidP="00CA3092">
      <w:pPr>
        <w:spacing w:line="360" w:lineRule="auto"/>
        <w:rPr>
          <w:rFonts w:eastAsiaTheme="minorHAnsi"/>
          <w:b/>
          <w:sz w:val="28"/>
          <w:szCs w:val="28"/>
        </w:rPr>
      </w:pPr>
      <w:r w:rsidRPr="001F72AC">
        <w:rPr>
          <w:rFonts w:eastAsiaTheme="minorHAnsi"/>
          <w:b/>
          <w:sz w:val="28"/>
          <w:szCs w:val="28"/>
        </w:rPr>
        <w:t>eTHEKWINI METROPOLITAN MUNICIPALITY      Eighth Respondent</w:t>
      </w:r>
    </w:p>
    <w:p w14:paraId="1840266E" w14:textId="77777777" w:rsidR="009224BD" w:rsidRPr="001F72AC" w:rsidRDefault="009224BD" w:rsidP="00961E30">
      <w:pPr>
        <w:widowControl w:val="0"/>
        <w:tabs>
          <w:tab w:val="right" w:pos="9360"/>
        </w:tabs>
        <w:autoSpaceDE w:val="0"/>
        <w:autoSpaceDN w:val="0"/>
        <w:adjustRightInd w:val="0"/>
        <w:spacing w:line="360" w:lineRule="auto"/>
        <w:rPr>
          <w:b/>
          <w:bCs/>
          <w:sz w:val="28"/>
          <w:szCs w:val="28"/>
        </w:rPr>
      </w:pPr>
    </w:p>
    <w:p w14:paraId="5A12312C" w14:textId="476B939E" w:rsidR="007E2541" w:rsidRPr="001F72AC" w:rsidRDefault="009224BD" w:rsidP="00CA3092">
      <w:pPr>
        <w:spacing w:line="360" w:lineRule="auto"/>
        <w:ind w:left="2160" w:hanging="2160"/>
        <w:jc w:val="both"/>
        <w:rPr>
          <w:b/>
          <w:bCs/>
          <w:sz w:val="28"/>
          <w:szCs w:val="28"/>
        </w:rPr>
      </w:pPr>
      <w:r w:rsidRPr="001F72AC">
        <w:rPr>
          <w:b/>
          <w:bCs/>
          <w:sz w:val="28"/>
          <w:szCs w:val="28"/>
        </w:rPr>
        <w:t>Neutral citation:</w:t>
      </w:r>
      <w:r w:rsidRPr="001F72AC">
        <w:rPr>
          <w:b/>
          <w:bCs/>
          <w:sz w:val="28"/>
          <w:szCs w:val="28"/>
        </w:rPr>
        <w:tab/>
      </w:r>
      <w:r w:rsidR="00AB68A7" w:rsidRPr="001F72AC">
        <w:rPr>
          <w:rFonts w:eastAsiaTheme="minorHAnsi"/>
          <w:i/>
          <w:sz w:val="28"/>
          <w:szCs w:val="28"/>
        </w:rPr>
        <w:t>Estate late</w:t>
      </w:r>
      <w:r w:rsidR="00E146E7" w:rsidRPr="001F72AC">
        <w:rPr>
          <w:rFonts w:eastAsiaTheme="minorHAnsi"/>
          <w:i/>
          <w:sz w:val="28"/>
          <w:szCs w:val="28"/>
        </w:rPr>
        <w:t xml:space="preserve"> </w:t>
      </w:r>
      <w:r w:rsidR="00AB68A7" w:rsidRPr="001F72AC">
        <w:rPr>
          <w:rFonts w:eastAsiaTheme="minorHAnsi"/>
          <w:i/>
          <w:sz w:val="28"/>
          <w:szCs w:val="28"/>
        </w:rPr>
        <w:t>Hafiz and Others</w:t>
      </w:r>
      <w:r w:rsidR="000E7EAA" w:rsidRPr="001F72AC">
        <w:rPr>
          <w:bCs/>
          <w:i/>
          <w:sz w:val="28"/>
          <w:szCs w:val="28"/>
        </w:rPr>
        <w:t xml:space="preserve"> </w:t>
      </w:r>
      <w:r w:rsidRPr="001F72AC">
        <w:rPr>
          <w:bCs/>
          <w:i/>
          <w:sz w:val="28"/>
          <w:szCs w:val="28"/>
        </w:rPr>
        <w:t xml:space="preserve">v </w:t>
      </w:r>
      <w:r w:rsidR="00AB68A7" w:rsidRPr="001F72AC">
        <w:rPr>
          <w:bCs/>
          <w:i/>
          <w:sz w:val="28"/>
          <w:szCs w:val="28"/>
        </w:rPr>
        <w:t>Hafiz and Others</w:t>
      </w:r>
      <w:r w:rsidRPr="001F72AC">
        <w:rPr>
          <w:bCs/>
          <w:i/>
          <w:sz w:val="28"/>
          <w:szCs w:val="28"/>
        </w:rPr>
        <w:t xml:space="preserve"> </w:t>
      </w:r>
      <w:r w:rsidRPr="001F72AC">
        <w:rPr>
          <w:bCs/>
          <w:sz w:val="28"/>
          <w:szCs w:val="28"/>
        </w:rPr>
        <w:t>(</w:t>
      </w:r>
      <w:r w:rsidR="00AB68A7" w:rsidRPr="001F72AC">
        <w:rPr>
          <w:bCs/>
          <w:sz w:val="28"/>
          <w:szCs w:val="28"/>
        </w:rPr>
        <w:t>804</w:t>
      </w:r>
      <w:r w:rsidRPr="001F72AC">
        <w:rPr>
          <w:bCs/>
          <w:sz w:val="28"/>
          <w:szCs w:val="28"/>
        </w:rPr>
        <w:t>/202</w:t>
      </w:r>
      <w:r w:rsidR="000E7EAA" w:rsidRPr="001F72AC">
        <w:rPr>
          <w:bCs/>
          <w:sz w:val="28"/>
          <w:szCs w:val="28"/>
        </w:rPr>
        <w:t>2</w:t>
      </w:r>
      <w:r w:rsidRPr="001F72AC">
        <w:rPr>
          <w:bCs/>
          <w:sz w:val="28"/>
          <w:szCs w:val="28"/>
        </w:rPr>
        <w:t xml:space="preserve">) [2023] ZASCA </w:t>
      </w:r>
      <w:r w:rsidR="001F72AC" w:rsidRPr="001F72AC">
        <w:rPr>
          <w:bCs/>
          <w:sz w:val="28"/>
          <w:szCs w:val="28"/>
        </w:rPr>
        <w:t>114</w:t>
      </w:r>
      <w:r w:rsidRPr="001F72AC">
        <w:rPr>
          <w:bCs/>
          <w:sz w:val="28"/>
          <w:szCs w:val="28"/>
        </w:rPr>
        <w:t xml:space="preserve"> (</w:t>
      </w:r>
      <w:r w:rsidR="001F72AC" w:rsidRPr="001F72AC">
        <w:rPr>
          <w:bCs/>
          <w:sz w:val="28"/>
          <w:szCs w:val="28"/>
        </w:rPr>
        <w:t xml:space="preserve">27 </w:t>
      </w:r>
      <w:r w:rsidR="003F57E2" w:rsidRPr="001F72AC">
        <w:rPr>
          <w:bCs/>
          <w:sz w:val="28"/>
          <w:szCs w:val="28"/>
        </w:rPr>
        <w:t xml:space="preserve">July </w:t>
      </w:r>
      <w:r w:rsidRPr="001F72AC">
        <w:rPr>
          <w:bCs/>
          <w:sz w:val="28"/>
          <w:szCs w:val="28"/>
        </w:rPr>
        <w:t>2023)</w:t>
      </w:r>
    </w:p>
    <w:p w14:paraId="06F53A55" w14:textId="154CF204" w:rsidR="007E2541" w:rsidRPr="001F72AC" w:rsidRDefault="009224BD" w:rsidP="00CA3092">
      <w:pPr>
        <w:spacing w:line="360" w:lineRule="auto"/>
        <w:ind w:left="1440" w:hanging="1440"/>
        <w:jc w:val="both"/>
        <w:rPr>
          <w:b/>
          <w:bCs/>
          <w:sz w:val="28"/>
          <w:szCs w:val="28"/>
        </w:rPr>
      </w:pPr>
      <w:r w:rsidRPr="001F72AC">
        <w:rPr>
          <w:b/>
          <w:bCs/>
          <w:sz w:val="28"/>
          <w:szCs w:val="28"/>
        </w:rPr>
        <w:t>Coram:</w:t>
      </w:r>
      <w:r w:rsidRPr="001F72AC">
        <w:rPr>
          <w:sz w:val="28"/>
          <w:szCs w:val="28"/>
        </w:rPr>
        <w:tab/>
      </w:r>
      <w:r w:rsidR="003B39F0" w:rsidRPr="001F72AC">
        <w:rPr>
          <w:bCs/>
          <w:sz w:val="28"/>
          <w:szCs w:val="28"/>
        </w:rPr>
        <w:t>DAMBUZA A</w:t>
      </w:r>
      <w:r w:rsidR="000E7EAA" w:rsidRPr="001F72AC">
        <w:rPr>
          <w:bCs/>
          <w:sz w:val="28"/>
          <w:szCs w:val="28"/>
        </w:rPr>
        <w:t>D</w:t>
      </w:r>
      <w:r w:rsidR="003B39F0" w:rsidRPr="001F72AC">
        <w:rPr>
          <w:bCs/>
          <w:sz w:val="28"/>
          <w:szCs w:val="28"/>
        </w:rPr>
        <w:t xml:space="preserve">P and </w:t>
      </w:r>
      <w:r w:rsidR="00AB68A7" w:rsidRPr="001F72AC">
        <w:rPr>
          <w:bCs/>
          <w:sz w:val="28"/>
          <w:szCs w:val="28"/>
        </w:rPr>
        <w:t>GOOSEN JA and MALI, SIWENDU and UNTERHALTER AJJA</w:t>
      </w:r>
    </w:p>
    <w:p w14:paraId="08CB7E16" w14:textId="43ED31D5" w:rsidR="007E2541" w:rsidRPr="001F72AC" w:rsidRDefault="009224BD" w:rsidP="00F444A0">
      <w:pPr>
        <w:spacing w:line="360" w:lineRule="auto"/>
        <w:ind w:hanging="22"/>
        <w:jc w:val="both"/>
        <w:rPr>
          <w:b/>
          <w:bCs/>
          <w:sz w:val="28"/>
          <w:szCs w:val="28"/>
        </w:rPr>
      </w:pPr>
      <w:r w:rsidRPr="001F72AC">
        <w:rPr>
          <w:b/>
          <w:bCs/>
          <w:sz w:val="28"/>
          <w:szCs w:val="28"/>
        </w:rPr>
        <w:lastRenderedPageBreak/>
        <w:t>Heard</w:t>
      </w:r>
      <w:r w:rsidR="00962480" w:rsidRPr="001F72AC">
        <w:rPr>
          <w:b/>
          <w:sz w:val="28"/>
          <w:szCs w:val="28"/>
        </w:rPr>
        <w:t>:</w:t>
      </w:r>
      <w:r w:rsidR="00962480" w:rsidRPr="001F72AC">
        <w:rPr>
          <w:sz w:val="28"/>
          <w:szCs w:val="28"/>
        </w:rPr>
        <w:tab/>
        <w:t>Appeal disposed of without the hear</w:t>
      </w:r>
      <w:r w:rsidR="00B77AA4" w:rsidRPr="001F72AC">
        <w:rPr>
          <w:sz w:val="28"/>
          <w:szCs w:val="28"/>
        </w:rPr>
        <w:t>ing of oral argument in terms of</w:t>
      </w:r>
      <w:r w:rsidR="00962480" w:rsidRPr="001F72AC">
        <w:rPr>
          <w:sz w:val="28"/>
          <w:szCs w:val="28"/>
        </w:rPr>
        <w:t xml:space="preserve"> s 19</w:t>
      </w:r>
      <w:r w:rsidR="00962480" w:rsidRPr="001F72AC">
        <w:rPr>
          <w:i/>
          <w:sz w:val="28"/>
          <w:szCs w:val="28"/>
        </w:rPr>
        <w:t xml:space="preserve">(a) </w:t>
      </w:r>
      <w:r w:rsidR="00962480" w:rsidRPr="001F72AC">
        <w:rPr>
          <w:sz w:val="28"/>
          <w:szCs w:val="28"/>
        </w:rPr>
        <w:t xml:space="preserve">of the Superior Courts Act 10 of 2013. </w:t>
      </w:r>
    </w:p>
    <w:p w14:paraId="52E33D89" w14:textId="40AA4F25" w:rsidR="008A20CC" w:rsidRPr="001F72AC" w:rsidRDefault="008A20CC" w:rsidP="00CA3092">
      <w:pPr>
        <w:spacing w:before="120" w:line="360" w:lineRule="auto"/>
        <w:jc w:val="both"/>
        <w:rPr>
          <w:sz w:val="28"/>
          <w:szCs w:val="28"/>
        </w:rPr>
      </w:pPr>
      <w:r w:rsidRPr="001F72AC">
        <w:rPr>
          <w:b/>
          <w:bCs/>
          <w:sz w:val="28"/>
          <w:szCs w:val="28"/>
        </w:rPr>
        <w:t>Delivered</w:t>
      </w:r>
      <w:r w:rsidRPr="001F72AC">
        <w:rPr>
          <w:sz w:val="28"/>
          <w:szCs w:val="28"/>
        </w:rPr>
        <w:t>:</w:t>
      </w:r>
      <w:r w:rsidRPr="001F72AC">
        <w:rPr>
          <w:sz w:val="28"/>
          <w:szCs w:val="28"/>
        </w:rPr>
        <w:tab/>
      </w:r>
      <w:r w:rsidR="00282059" w:rsidRPr="001F72AC">
        <w:rPr>
          <w:sz w:val="28"/>
          <w:szCs w:val="28"/>
        </w:rPr>
        <w:t xml:space="preserve">This judgment was handed down electronically by circulation to the parties’ representatives </w:t>
      </w:r>
      <w:r w:rsidR="00AB68A7" w:rsidRPr="001F72AC">
        <w:rPr>
          <w:sz w:val="28"/>
          <w:szCs w:val="28"/>
        </w:rPr>
        <w:t>via</w:t>
      </w:r>
      <w:r w:rsidR="00282059" w:rsidRPr="001F72AC">
        <w:rPr>
          <w:sz w:val="28"/>
          <w:szCs w:val="28"/>
        </w:rPr>
        <w:t xml:space="preserve"> email, publication on the Supreme Court of Appeal website and release to SAFLII. The date and time for hand-down is deemed to be 11</w:t>
      </w:r>
      <w:r w:rsidR="00E146E7" w:rsidRPr="001F72AC">
        <w:rPr>
          <w:sz w:val="28"/>
          <w:szCs w:val="28"/>
        </w:rPr>
        <w:t>h00</w:t>
      </w:r>
      <w:r w:rsidR="00282059" w:rsidRPr="001F72AC">
        <w:rPr>
          <w:sz w:val="28"/>
          <w:szCs w:val="28"/>
        </w:rPr>
        <w:t xml:space="preserve"> on </w:t>
      </w:r>
      <w:r w:rsidR="001F72AC" w:rsidRPr="001F72AC">
        <w:rPr>
          <w:sz w:val="28"/>
          <w:szCs w:val="28"/>
        </w:rPr>
        <w:t xml:space="preserve">27 </w:t>
      </w:r>
      <w:r w:rsidR="003F57E2" w:rsidRPr="001F72AC">
        <w:rPr>
          <w:sz w:val="28"/>
          <w:szCs w:val="28"/>
        </w:rPr>
        <w:t xml:space="preserve">July </w:t>
      </w:r>
      <w:r w:rsidR="00282059" w:rsidRPr="001F72AC">
        <w:rPr>
          <w:sz w:val="28"/>
          <w:szCs w:val="28"/>
        </w:rPr>
        <w:t>2023.</w:t>
      </w:r>
    </w:p>
    <w:p w14:paraId="7C2236E4" w14:textId="6E2E964B" w:rsidR="00E42E5E" w:rsidRPr="001F72AC" w:rsidRDefault="008159AB" w:rsidP="00CA3092">
      <w:pPr>
        <w:spacing w:before="120" w:line="360" w:lineRule="auto"/>
        <w:jc w:val="both"/>
        <w:rPr>
          <w:bCs/>
          <w:sz w:val="28"/>
          <w:szCs w:val="28"/>
        </w:rPr>
      </w:pPr>
      <w:r w:rsidRPr="001F72AC">
        <w:rPr>
          <w:b/>
          <w:bCs/>
          <w:sz w:val="28"/>
          <w:szCs w:val="28"/>
        </w:rPr>
        <w:t>Summary:</w:t>
      </w:r>
      <w:r w:rsidR="00B75EBB" w:rsidRPr="001F72AC">
        <w:rPr>
          <w:b/>
          <w:bCs/>
          <w:sz w:val="28"/>
          <w:szCs w:val="28"/>
        </w:rPr>
        <w:tab/>
      </w:r>
      <w:r w:rsidR="006A3034" w:rsidRPr="001F72AC">
        <w:rPr>
          <w:sz w:val="28"/>
          <w:szCs w:val="28"/>
        </w:rPr>
        <w:t xml:space="preserve">Trust – validity of deed of trust – </w:t>
      </w:r>
      <w:r w:rsidR="003B599B" w:rsidRPr="001F72AC">
        <w:rPr>
          <w:sz w:val="28"/>
          <w:szCs w:val="28"/>
        </w:rPr>
        <w:t xml:space="preserve">requirements for valid trust established </w:t>
      </w:r>
      <w:r w:rsidR="006773D7" w:rsidRPr="001F72AC">
        <w:rPr>
          <w:sz w:val="28"/>
          <w:szCs w:val="28"/>
        </w:rPr>
        <w:t>–</w:t>
      </w:r>
      <w:r w:rsidR="003B599B" w:rsidRPr="001F72AC">
        <w:rPr>
          <w:sz w:val="28"/>
          <w:szCs w:val="28"/>
        </w:rPr>
        <w:t xml:space="preserve"> </w:t>
      </w:r>
      <w:r w:rsidR="006A3034" w:rsidRPr="001F72AC">
        <w:rPr>
          <w:sz w:val="28"/>
          <w:szCs w:val="28"/>
        </w:rPr>
        <w:t>ambiguity in clause relating to succession of trustees – interpretation of trust deed</w:t>
      </w:r>
      <w:r w:rsidR="006773D7" w:rsidRPr="001F72AC">
        <w:rPr>
          <w:sz w:val="28"/>
          <w:szCs w:val="28"/>
        </w:rPr>
        <w:t xml:space="preserve"> </w:t>
      </w:r>
      <w:bookmarkStart w:id="0" w:name="_Hlk138146906"/>
      <w:r w:rsidR="006A3034" w:rsidRPr="001F72AC">
        <w:rPr>
          <w:sz w:val="28"/>
          <w:szCs w:val="28"/>
        </w:rPr>
        <w:t>–</w:t>
      </w:r>
      <w:bookmarkEnd w:id="0"/>
      <w:r w:rsidR="006A3034" w:rsidRPr="001F72AC">
        <w:rPr>
          <w:sz w:val="28"/>
          <w:szCs w:val="28"/>
        </w:rPr>
        <w:t xml:space="preserve"> appeal dismissed.</w:t>
      </w:r>
      <w:r w:rsidR="00C328F1" w:rsidRPr="001F72AC">
        <w:rPr>
          <w:sz w:val="28"/>
          <w:szCs w:val="28"/>
        </w:rPr>
        <w:t xml:space="preserve"> </w:t>
      </w:r>
    </w:p>
    <w:p w14:paraId="36FAF66C" w14:textId="54C58DAD" w:rsidR="00BB1B22" w:rsidRPr="001F72AC" w:rsidRDefault="00E42E5E" w:rsidP="00BB7BE8">
      <w:pPr>
        <w:spacing w:after="160" w:line="259" w:lineRule="auto"/>
        <w:rPr>
          <w:b/>
          <w:sz w:val="28"/>
          <w:szCs w:val="28"/>
        </w:rPr>
      </w:pPr>
      <w:r w:rsidRPr="001F72AC">
        <w:rPr>
          <w:bCs/>
          <w:sz w:val="28"/>
          <w:szCs w:val="28"/>
        </w:rPr>
        <w:br w:type="page"/>
      </w:r>
      <w:r w:rsidR="005023EF" w:rsidRPr="001F72AC">
        <w:rPr>
          <w:b/>
          <w:sz w:val="28"/>
          <w:szCs w:val="28"/>
        </w:rPr>
        <w:lastRenderedPageBreak/>
        <w:t>___________________________________</w:t>
      </w:r>
      <w:r w:rsidR="00452F47" w:rsidRPr="001F72AC">
        <w:rPr>
          <w:b/>
          <w:sz w:val="28"/>
          <w:szCs w:val="28"/>
        </w:rPr>
        <w:t>_____________________________</w:t>
      </w:r>
    </w:p>
    <w:p w14:paraId="40B2148A" w14:textId="77777777" w:rsidR="005023EF" w:rsidRPr="001F72AC" w:rsidRDefault="005023EF" w:rsidP="000E3AE8">
      <w:pPr>
        <w:spacing w:line="276" w:lineRule="auto"/>
        <w:jc w:val="center"/>
        <w:rPr>
          <w:b/>
          <w:sz w:val="28"/>
          <w:szCs w:val="28"/>
        </w:rPr>
      </w:pPr>
      <w:r w:rsidRPr="001F72AC">
        <w:rPr>
          <w:b/>
          <w:sz w:val="28"/>
          <w:szCs w:val="28"/>
        </w:rPr>
        <w:t>ORDER</w:t>
      </w:r>
    </w:p>
    <w:p w14:paraId="0ACAD0EC" w14:textId="537FC400" w:rsidR="005023EF" w:rsidRPr="001F72AC" w:rsidRDefault="005023EF" w:rsidP="000E3AE8">
      <w:pPr>
        <w:spacing w:line="276" w:lineRule="auto"/>
        <w:jc w:val="both"/>
        <w:rPr>
          <w:b/>
          <w:sz w:val="28"/>
          <w:szCs w:val="28"/>
        </w:rPr>
      </w:pPr>
      <w:r w:rsidRPr="001F72AC">
        <w:rPr>
          <w:b/>
          <w:sz w:val="28"/>
          <w:szCs w:val="28"/>
        </w:rPr>
        <w:t>___________________________________</w:t>
      </w:r>
      <w:r w:rsidR="00452F47" w:rsidRPr="001F72AC">
        <w:rPr>
          <w:b/>
          <w:sz w:val="28"/>
          <w:szCs w:val="28"/>
        </w:rPr>
        <w:t>_____________________________</w:t>
      </w:r>
    </w:p>
    <w:p w14:paraId="71021D8B" w14:textId="2380432E" w:rsidR="00351B4B" w:rsidRPr="001F72AC" w:rsidRDefault="00E0572D" w:rsidP="00452F47">
      <w:pPr>
        <w:pStyle w:val="ListBullet"/>
        <w:numPr>
          <w:ilvl w:val="0"/>
          <w:numId w:val="0"/>
        </w:numPr>
        <w:spacing w:before="240" w:after="0" w:line="360" w:lineRule="auto"/>
        <w:jc w:val="both"/>
        <w:rPr>
          <w:rFonts w:ascii="Times New Roman" w:hAnsi="Times New Roman" w:cs="Times New Roman"/>
          <w:bCs/>
          <w:sz w:val="28"/>
          <w:szCs w:val="28"/>
        </w:rPr>
      </w:pPr>
      <w:r w:rsidRPr="001F72AC">
        <w:rPr>
          <w:rFonts w:ascii="Times New Roman" w:hAnsi="Times New Roman" w:cs="Times New Roman"/>
          <w:b/>
          <w:bCs/>
          <w:sz w:val="28"/>
          <w:szCs w:val="28"/>
        </w:rPr>
        <w:t xml:space="preserve">On appeal from: </w:t>
      </w:r>
      <w:r w:rsidR="00452F47" w:rsidRPr="001F72AC">
        <w:rPr>
          <w:rFonts w:ascii="Times New Roman" w:hAnsi="Times New Roman" w:cs="Times New Roman"/>
          <w:bCs/>
          <w:sz w:val="28"/>
          <w:szCs w:val="28"/>
        </w:rPr>
        <w:t>KwaZulu-Natal Division</w:t>
      </w:r>
      <w:r w:rsidR="00285F3E" w:rsidRPr="001F72AC">
        <w:rPr>
          <w:rFonts w:ascii="Times New Roman" w:hAnsi="Times New Roman" w:cs="Times New Roman"/>
          <w:bCs/>
          <w:sz w:val="28"/>
          <w:szCs w:val="28"/>
        </w:rPr>
        <w:t xml:space="preserve"> </w:t>
      </w:r>
      <w:r w:rsidR="00B35557" w:rsidRPr="001F72AC">
        <w:rPr>
          <w:rFonts w:ascii="Times New Roman" w:hAnsi="Times New Roman" w:cs="Times New Roman"/>
          <w:bCs/>
          <w:sz w:val="28"/>
          <w:szCs w:val="28"/>
        </w:rPr>
        <w:t xml:space="preserve">of the High Court, </w:t>
      </w:r>
      <w:r w:rsidR="00452F47" w:rsidRPr="001F72AC">
        <w:rPr>
          <w:rFonts w:ascii="Times New Roman" w:hAnsi="Times New Roman" w:cs="Times New Roman"/>
          <w:bCs/>
          <w:sz w:val="28"/>
          <w:szCs w:val="28"/>
        </w:rPr>
        <w:t>Pietermaritzburg</w:t>
      </w:r>
      <w:r w:rsidR="00BB7BE8" w:rsidRPr="001F72AC">
        <w:rPr>
          <w:rFonts w:ascii="Times New Roman" w:hAnsi="Times New Roman" w:cs="Times New Roman"/>
          <w:bCs/>
          <w:sz w:val="28"/>
          <w:szCs w:val="28"/>
        </w:rPr>
        <w:t xml:space="preserve"> (</w:t>
      </w:r>
      <w:r w:rsidR="006A3034" w:rsidRPr="001F72AC">
        <w:rPr>
          <w:rFonts w:ascii="Times New Roman" w:hAnsi="Times New Roman" w:cs="Times New Roman"/>
          <w:bCs/>
          <w:sz w:val="28"/>
          <w:szCs w:val="28"/>
        </w:rPr>
        <w:t>Madondo AJP, Seegobin J and Ntshulana AJ</w:t>
      </w:r>
      <w:r w:rsidR="000815BD" w:rsidRPr="001F72AC">
        <w:rPr>
          <w:rFonts w:ascii="Times New Roman" w:hAnsi="Times New Roman" w:cs="Times New Roman"/>
          <w:sz w:val="28"/>
          <w:szCs w:val="28"/>
        </w:rPr>
        <w:t>,</w:t>
      </w:r>
      <w:r w:rsidR="00BB7BE8" w:rsidRPr="001F72AC">
        <w:rPr>
          <w:rFonts w:ascii="Times New Roman" w:hAnsi="Times New Roman" w:cs="Times New Roman"/>
          <w:bCs/>
          <w:sz w:val="28"/>
          <w:szCs w:val="28"/>
        </w:rPr>
        <w:t xml:space="preserve"> sitting as</w:t>
      </w:r>
      <w:r w:rsidR="00B35557" w:rsidRPr="001F72AC">
        <w:rPr>
          <w:rFonts w:ascii="Times New Roman" w:hAnsi="Times New Roman" w:cs="Times New Roman"/>
          <w:bCs/>
          <w:sz w:val="28"/>
          <w:szCs w:val="28"/>
        </w:rPr>
        <w:t xml:space="preserve"> </w:t>
      </w:r>
      <w:r w:rsidR="005D3E8E" w:rsidRPr="001F72AC">
        <w:rPr>
          <w:rFonts w:ascii="Times New Roman" w:hAnsi="Times New Roman" w:cs="Times New Roman"/>
          <w:bCs/>
          <w:sz w:val="28"/>
          <w:szCs w:val="28"/>
        </w:rPr>
        <w:t xml:space="preserve">court of </w:t>
      </w:r>
      <w:r w:rsidR="006A3034" w:rsidRPr="001F72AC">
        <w:rPr>
          <w:rFonts w:ascii="Times New Roman" w:hAnsi="Times New Roman" w:cs="Times New Roman"/>
          <w:bCs/>
          <w:sz w:val="28"/>
          <w:szCs w:val="28"/>
        </w:rPr>
        <w:t>appeal</w:t>
      </w:r>
      <w:r w:rsidR="00C936A2" w:rsidRPr="001F72AC">
        <w:rPr>
          <w:rFonts w:ascii="Times New Roman" w:hAnsi="Times New Roman" w:cs="Times New Roman"/>
          <w:bCs/>
          <w:sz w:val="28"/>
          <w:szCs w:val="28"/>
        </w:rPr>
        <w:t>)</w:t>
      </w:r>
      <w:r w:rsidR="00BB7BE8" w:rsidRPr="001F72AC">
        <w:rPr>
          <w:rFonts w:ascii="Times New Roman" w:hAnsi="Times New Roman" w:cs="Times New Roman"/>
          <w:bCs/>
          <w:sz w:val="28"/>
          <w:szCs w:val="28"/>
        </w:rPr>
        <w:t>:</w:t>
      </w:r>
    </w:p>
    <w:p w14:paraId="26385D57" w14:textId="77777777" w:rsidR="000C5811" w:rsidRPr="001F72AC" w:rsidRDefault="000C5811" w:rsidP="000C5811">
      <w:pPr>
        <w:spacing w:line="360" w:lineRule="auto"/>
        <w:jc w:val="both"/>
        <w:rPr>
          <w:rFonts w:eastAsia="Calibri"/>
          <w:sz w:val="28"/>
          <w:szCs w:val="28"/>
        </w:rPr>
      </w:pPr>
      <w:bookmarkStart w:id="1" w:name="_Hlk137981564"/>
      <w:r w:rsidRPr="001F72AC">
        <w:rPr>
          <w:rFonts w:eastAsia="Calibri"/>
          <w:sz w:val="28"/>
          <w:szCs w:val="28"/>
        </w:rPr>
        <w:t>1</w:t>
      </w:r>
      <w:r w:rsidRPr="001F72AC">
        <w:rPr>
          <w:rFonts w:eastAsia="Calibri"/>
          <w:sz w:val="28"/>
          <w:szCs w:val="28"/>
        </w:rPr>
        <w:tab/>
        <w:t>Save to the extent set out in paragraph 2 below, the appeal is dismissed.</w:t>
      </w:r>
    </w:p>
    <w:p w14:paraId="5B618747" w14:textId="4231E0F2" w:rsidR="000C5811" w:rsidRPr="001F72AC" w:rsidRDefault="000C5811" w:rsidP="000C5811">
      <w:pPr>
        <w:spacing w:line="360" w:lineRule="auto"/>
        <w:jc w:val="both"/>
        <w:rPr>
          <w:rFonts w:eastAsia="Calibri"/>
          <w:sz w:val="28"/>
          <w:szCs w:val="28"/>
        </w:rPr>
      </w:pPr>
      <w:r w:rsidRPr="001F72AC">
        <w:rPr>
          <w:rFonts w:eastAsia="Calibri"/>
          <w:sz w:val="28"/>
          <w:szCs w:val="28"/>
        </w:rPr>
        <w:t>2</w:t>
      </w:r>
      <w:r w:rsidRPr="001F72AC">
        <w:rPr>
          <w:rFonts w:eastAsia="Calibri"/>
          <w:sz w:val="28"/>
          <w:szCs w:val="28"/>
        </w:rPr>
        <w:tab/>
        <w:t xml:space="preserve">Paragraph 2 of the order of the full court is varied </w:t>
      </w:r>
      <w:r w:rsidR="003F57E2" w:rsidRPr="001F72AC">
        <w:rPr>
          <w:rFonts w:eastAsia="Calibri"/>
          <w:sz w:val="28"/>
          <w:szCs w:val="28"/>
        </w:rPr>
        <w:t xml:space="preserve">so that the order </w:t>
      </w:r>
      <w:r w:rsidRPr="001F72AC">
        <w:rPr>
          <w:rFonts w:eastAsia="Calibri"/>
          <w:sz w:val="28"/>
          <w:szCs w:val="28"/>
        </w:rPr>
        <w:t>read</w:t>
      </w:r>
      <w:r w:rsidR="003F57E2" w:rsidRPr="001F72AC">
        <w:rPr>
          <w:rFonts w:eastAsia="Calibri"/>
          <w:sz w:val="28"/>
          <w:szCs w:val="28"/>
        </w:rPr>
        <w:t>s</w:t>
      </w:r>
      <w:r w:rsidRPr="001F72AC">
        <w:rPr>
          <w:rFonts w:eastAsia="Calibri"/>
          <w:sz w:val="28"/>
          <w:szCs w:val="28"/>
        </w:rPr>
        <w:t xml:space="preserve"> as follows:</w:t>
      </w:r>
    </w:p>
    <w:p w14:paraId="31945E7C" w14:textId="77777777" w:rsidR="003F57E2" w:rsidRPr="001F72AC" w:rsidRDefault="000C5811" w:rsidP="000C5811">
      <w:pPr>
        <w:spacing w:line="360" w:lineRule="auto"/>
        <w:jc w:val="both"/>
        <w:rPr>
          <w:rFonts w:eastAsia="Calibri"/>
          <w:sz w:val="28"/>
          <w:szCs w:val="28"/>
        </w:rPr>
      </w:pPr>
      <w:r w:rsidRPr="001F72AC">
        <w:rPr>
          <w:rFonts w:eastAsia="Calibri"/>
          <w:sz w:val="28"/>
          <w:szCs w:val="28"/>
        </w:rPr>
        <w:t>‘</w:t>
      </w:r>
      <w:r w:rsidR="003F57E2" w:rsidRPr="001F72AC">
        <w:rPr>
          <w:rFonts w:eastAsia="Calibri"/>
          <w:sz w:val="28"/>
          <w:szCs w:val="28"/>
        </w:rPr>
        <w:t>1. The appeal is upheld.</w:t>
      </w:r>
    </w:p>
    <w:p w14:paraId="73E29210" w14:textId="77777777" w:rsidR="003F57E2" w:rsidRPr="001F72AC" w:rsidRDefault="003F57E2" w:rsidP="000C5811">
      <w:pPr>
        <w:spacing w:line="360" w:lineRule="auto"/>
        <w:jc w:val="both"/>
        <w:rPr>
          <w:rFonts w:eastAsia="Calibri"/>
          <w:sz w:val="28"/>
          <w:szCs w:val="28"/>
        </w:rPr>
      </w:pPr>
      <w:r w:rsidRPr="001F72AC">
        <w:rPr>
          <w:rFonts w:eastAsia="Calibri"/>
          <w:sz w:val="28"/>
          <w:szCs w:val="28"/>
        </w:rPr>
        <w:t>2. The order of the court a quo is set aside and is substituted by the following:</w:t>
      </w:r>
    </w:p>
    <w:p w14:paraId="1786F2E9" w14:textId="473914DF" w:rsidR="005B67A6" w:rsidRPr="001F72AC" w:rsidRDefault="005B67A6" w:rsidP="000C5811">
      <w:pPr>
        <w:spacing w:line="360" w:lineRule="auto"/>
        <w:jc w:val="both"/>
        <w:rPr>
          <w:rFonts w:eastAsia="Calibri"/>
          <w:sz w:val="28"/>
          <w:szCs w:val="28"/>
        </w:rPr>
      </w:pPr>
      <w:r w:rsidRPr="001F72AC">
        <w:rPr>
          <w:rFonts w:eastAsia="Calibri"/>
          <w:sz w:val="28"/>
          <w:szCs w:val="28"/>
        </w:rPr>
        <w:t>2.1 It is declared that the Goolam Murtuza Hafiz Trust is valid and the said Trust shall be administered in accordance with the terms of the Memorandum of Trust Agreement dated 6 September 1994.</w:t>
      </w:r>
    </w:p>
    <w:p w14:paraId="337E9563" w14:textId="77777777" w:rsidR="003F57E2" w:rsidRPr="001F72AC" w:rsidRDefault="000C5811" w:rsidP="000C5811">
      <w:pPr>
        <w:spacing w:line="360" w:lineRule="auto"/>
        <w:jc w:val="both"/>
        <w:rPr>
          <w:rFonts w:eastAsia="Calibri"/>
          <w:sz w:val="28"/>
          <w:szCs w:val="28"/>
        </w:rPr>
      </w:pPr>
      <w:r w:rsidRPr="001F72AC">
        <w:rPr>
          <w:rFonts w:eastAsia="Calibri"/>
          <w:sz w:val="28"/>
          <w:szCs w:val="28"/>
        </w:rPr>
        <w:t>2.2</w:t>
      </w:r>
      <w:r w:rsidR="005B67A6" w:rsidRPr="001F72AC">
        <w:rPr>
          <w:rFonts w:eastAsia="Calibri"/>
          <w:sz w:val="28"/>
          <w:szCs w:val="28"/>
        </w:rPr>
        <w:t xml:space="preserve"> It is declared that the Trustee for the time being of the Goolam Murtuza Hafiz Trust shall be Ahmed Zakir Hafiz (Identity no. 620928625089).</w:t>
      </w:r>
    </w:p>
    <w:p w14:paraId="478FA33B" w14:textId="492C1525" w:rsidR="000C5811" w:rsidRPr="001F72AC" w:rsidRDefault="003F57E2" w:rsidP="000C5811">
      <w:pPr>
        <w:spacing w:line="360" w:lineRule="auto"/>
        <w:jc w:val="both"/>
        <w:rPr>
          <w:rFonts w:eastAsia="Calibri"/>
          <w:sz w:val="28"/>
          <w:szCs w:val="28"/>
        </w:rPr>
      </w:pPr>
      <w:r w:rsidRPr="001F72AC">
        <w:rPr>
          <w:rFonts w:eastAsia="Calibri"/>
          <w:sz w:val="28"/>
          <w:szCs w:val="28"/>
        </w:rPr>
        <w:t>3. The first respondent, the fifth respondent and the sixth respondent together with the Goolam Murtuza Hafiz Trust, are directed to pay the first and second applicants</w:t>
      </w:r>
      <w:r w:rsidR="001F72AC" w:rsidRPr="001F72AC">
        <w:rPr>
          <w:rFonts w:eastAsia="Calibri"/>
          <w:sz w:val="28"/>
          <w:szCs w:val="28"/>
        </w:rPr>
        <w:t>’</w:t>
      </w:r>
      <w:r w:rsidRPr="001F72AC">
        <w:rPr>
          <w:rFonts w:eastAsia="Calibri"/>
          <w:sz w:val="28"/>
          <w:szCs w:val="28"/>
        </w:rPr>
        <w:t xml:space="preserve"> costs in respect of the application and counter application in the court a quo and the appeal costs, jointly and severally the one paying the other to be absolved.</w:t>
      </w:r>
      <w:r w:rsidR="005B67A6" w:rsidRPr="001F72AC">
        <w:rPr>
          <w:rFonts w:eastAsia="Calibri"/>
          <w:sz w:val="28"/>
          <w:szCs w:val="28"/>
        </w:rPr>
        <w:t>’</w:t>
      </w:r>
    </w:p>
    <w:p w14:paraId="6C75F29C" w14:textId="77777777" w:rsidR="000C5811" w:rsidRPr="001F72AC" w:rsidRDefault="000C5811" w:rsidP="000C5811">
      <w:pPr>
        <w:spacing w:line="360" w:lineRule="auto"/>
        <w:jc w:val="both"/>
        <w:rPr>
          <w:rFonts w:eastAsia="Calibri"/>
          <w:sz w:val="28"/>
          <w:szCs w:val="28"/>
        </w:rPr>
      </w:pPr>
      <w:r w:rsidRPr="001F72AC">
        <w:rPr>
          <w:rFonts w:eastAsia="Calibri"/>
          <w:sz w:val="28"/>
          <w:szCs w:val="28"/>
        </w:rPr>
        <w:t>3</w:t>
      </w:r>
      <w:r w:rsidRPr="001F72AC">
        <w:rPr>
          <w:rFonts w:eastAsia="Calibri"/>
          <w:sz w:val="28"/>
          <w:szCs w:val="28"/>
        </w:rPr>
        <w:tab/>
        <w:t>The appellants are ordered to pay the first and second respondents’ costs of appeal.</w:t>
      </w:r>
    </w:p>
    <w:bookmarkEnd w:id="1"/>
    <w:p w14:paraId="110D8A57" w14:textId="74C271E8" w:rsidR="000E3AE8" w:rsidRPr="001F72AC" w:rsidRDefault="000E3AE8" w:rsidP="00452F47">
      <w:pPr>
        <w:pStyle w:val="ListBullet"/>
        <w:numPr>
          <w:ilvl w:val="0"/>
          <w:numId w:val="0"/>
        </w:numPr>
        <w:spacing w:after="0" w:line="360" w:lineRule="auto"/>
        <w:jc w:val="both"/>
        <w:rPr>
          <w:rFonts w:ascii="Times New Roman" w:hAnsi="Times New Roman" w:cs="Times New Roman"/>
          <w:b/>
          <w:sz w:val="28"/>
          <w:szCs w:val="28"/>
        </w:rPr>
      </w:pPr>
      <w:r w:rsidRPr="001F72AC">
        <w:rPr>
          <w:rFonts w:ascii="Times New Roman" w:hAnsi="Times New Roman" w:cs="Times New Roman"/>
          <w:b/>
          <w:sz w:val="28"/>
          <w:szCs w:val="28"/>
        </w:rPr>
        <w:t>___________________________________</w:t>
      </w:r>
      <w:r w:rsidR="00452F47" w:rsidRPr="001F72AC">
        <w:rPr>
          <w:rFonts w:ascii="Times New Roman" w:hAnsi="Times New Roman" w:cs="Times New Roman"/>
          <w:b/>
          <w:sz w:val="28"/>
          <w:szCs w:val="28"/>
        </w:rPr>
        <w:t>_____________________________</w:t>
      </w:r>
    </w:p>
    <w:p w14:paraId="20CB09E8" w14:textId="1E1EE0EC" w:rsidR="000E3AE8" w:rsidRPr="001F72AC" w:rsidRDefault="000E3AE8" w:rsidP="00452F47">
      <w:pPr>
        <w:pStyle w:val="ListBullet"/>
        <w:numPr>
          <w:ilvl w:val="0"/>
          <w:numId w:val="0"/>
        </w:numPr>
        <w:spacing w:after="0" w:line="360" w:lineRule="auto"/>
        <w:jc w:val="center"/>
        <w:rPr>
          <w:rFonts w:ascii="Times New Roman" w:hAnsi="Times New Roman" w:cs="Times New Roman"/>
          <w:b/>
          <w:sz w:val="28"/>
          <w:szCs w:val="28"/>
        </w:rPr>
      </w:pPr>
      <w:r w:rsidRPr="001F72AC">
        <w:rPr>
          <w:rFonts w:ascii="Times New Roman" w:hAnsi="Times New Roman" w:cs="Times New Roman"/>
          <w:b/>
          <w:sz w:val="28"/>
          <w:szCs w:val="28"/>
        </w:rPr>
        <w:t>JUDGMENT</w:t>
      </w:r>
    </w:p>
    <w:p w14:paraId="2847D303" w14:textId="191CD114" w:rsidR="000E3AE8" w:rsidRPr="001F72AC" w:rsidRDefault="000E3AE8" w:rsidP="00452F47">
      <w:pPr>
        <w:pStyle w:val="ListBullet"/>
        <w:numPr>
          <w:ilvl w:val="0"/>
          <w:numId w:val="0"/>
        </w:numPr>
        <w:spacing w:after="0" w:line="360" w:lineRule="auto"/>
        <w:rPr>
          <w:rFonts w:ascii="Times New Roman" w:hAnsi="Times New Roman" w:cs="Times New Roman"/>
          <w:b/>
          <w:sz w:val="28"/>
          <w:szCs w:val="28"/>
        </w:rPr>
      </w:pPr>
      <w:r w:rsidRPr="001F72AC">
        <w:rPr>
          <w:rFonts w:ascii="Times New Roman" w:hAnsi="Times New Roman" w:cs="Times New Roman"/>
          <w:b/>
          <w:sz w:val="28"/>
          <w:szCs w:val="28"/>
        </w:rPr>
        <w:t>___________________________________</w:t>
      </w:r>
      <w:r w:rsidR="00452F47" w:rsidRPr="001F72AC">
        <w:rPr>
          <w:rFonts w:ascii="Times New Roman" w:hAnsi="Times New Roman" w:cs="Times New Roman"/>
          <w:b/>
          <w:sz w:val="28"/>
          <w:szCs w:val="28"/>
        </w:rPr>
        <w:t>_____________________________</w:t>
      </w:r>
    </w:p>
    <w:p w14:paraId="6E7337D2" w14:textId="231E03B0" w:rsidR="009539FF" w:rsidRPr="001F72AC" w:rsidRDefault="009224BD" w:rsidP="00CA3092">
      <w:pPr>
        <w:spacing w:after="120" w:line="360" w:lineRule="auto"/>
        <w:jc w:val="both"/>
        <w:rPr>
          <w:b/>
          <w:sz w:val="28"/>
          <w:szCs w:val="28"/>
        </w:rPr>
      </w:pPr>
      <w:r w:rsidRPr="001F72AC">
        <w:rPr>
          <w:b/>
          <w:sz w:val="28"/>
          <w:szCs w:val="28"/>
        </w:rPr>
        <w:t>Goosen</w:t>
      </w:r>
      <w:r w:rsidR="008B3391" w:rsidRPr="001F72AC">
        <w:rPr>
          <w:b/>
          <w:sz w:val="28"/>
          <w:szCs w:val="28"/>
        </w:rPr>
        <w:t xml:space="preserve"> </w:t>
      </w:r>
      <w:r w:rsidR="000E3AE8" w:rsidRPr="001F72AC">
        <w:rPr>
          <w:b/>
          <w:sz w:val="28"/>
          <w:szCs w:val="28"/>
        </w:rPr>
        <w:t>J</w:t>
      </w:r>
      <w:r w:rsidR="00075D7F" w:rsidRPr="001F72AC">
        <w:rPr>
          <w:b/>
          <w:sz w:val="28"/>
          <w:szCs w:val="28"/>
        </w:rPr>
        <w:t>A</w:t>
      </w:r>
      <w:r w:rsidR="00FF5A22" w:rsidRPr="001F72AC">
        <w:rPr>
          <w:b/>
          <w:sz w:val="28"/>
          <w:szCs w:val="28"/>
        </w:rPr>
        <w:t xml:space="preserve"> (</w:t>
      </w:r>
      <w:r w:rsidR="0070341B" w:rsidRPr="001F72AC">
        <w:rPr>
          <w:b/>
          <w:sz w:val="28"/>
          <w:szCs w:val="28"/>
        </w:rPr>
        <w:t>Dambuza ADP and Mali</w:t>
      </w:r>
      <w:r w:rsidR="00E63AD3" w:rsidRPr="001F72AC">
        <w:rPr>
          <w:b/>
          <w:sz w:val="28"/>
          <w:szCs w:val="28"/>
        </w:rPr>
        <w:t xml:space="preserve"> and</w:t>
      </w:r>
      <w:r w:rsidR="0070341B" w:rsidRPr="001F72AC">
        <w:rPr>
          <w:b/>
          <w:sz w:val="28"/>
          <w:szCs w:val="28"/>
        </w:rPr>
        <w:t xml:space="preserve"> Siwendu and Unterhalter AJJA concuring</w:t>
      </w:r>
      <w:r w:rsidR="003D4416" w:rsidRPr="001F72AC">
        <w:rPr>
          <w:b/>
          <w:sz w:val="28"/>
          <w:szCs w:val="28"/>
        </w:rPr>
        <w:t>)</w:t>
      </w:r>
      <w:r w:rsidR="000815BD" w:rsidRPr="001F72AC">
        <w:rPr>
          <w:b/>
          <w:sz w:val="28"/>
          <w:szCs w:val="28"/>
        </w:rPr>
        <w:t>:</w:t>
      </w:r>
    </w:p>
    <w:p w14:paraId="0B6C1B71" w14:textId="5D72B95A" w:rsidR="00873FC6" w:rsidRPr="001F72AC" w:rsidRDefault="00331D9C" w:rsidP="00452F47">
      <w:pPr>
        <w:spacing w:line="360" w:lineRule="auto"/>
        <w:jc w:val="both"/>
        <w:rPr>
          <w:rFonts w:eastAsia="Calibri"/>
          <w:sz w:val="28"/>
          <w:szCs w:val="28"/>
          <w:lang w:val="en-ZA"/>
        </w:rPr>
      </w:pPr>
      <w:r w:rsidRPr="001F72AC">
        <w:rPr>
          <w:rFonts w:eastAsia="Calibri"/>
          <w:sz w:val="28"/>
          <w:szCs w:val="28"/>
          <w:lang w:val="en-ZA"/>
        </w:rPr>
        <w:lastRenderedPageBreak/>
        <w:t>[</w:t>
      </w:r>
      <w:r w:rsidR="00452F47" w:rsidRPr="001F72AC">
        <w:rPr>
          <w:rFonts w:eastAsia="Calibri"/>
          <w:sz w:val="28"/>
          <w:szCs w:val="28"/>
          <w:lang w:val="en-ZA"/>
        </w:rPr>
        <w:t>1</w:t>
      </w:r>
      <w:r w:rsidRPr="001F72AC">
        <w:rPr>
          <w:rFonts w:eastAsia="Calibri"/>
          <w:sz w:val="28"/>
          <w:szCs w:val="28"/>
          <w:lang w:val="en-ZA"/>
        </w:rPr>
        <w:t>]</w:t>
      </w:r>
      <w:r w:rsidRPr="001F72AC">
        <w:rPr>
          <w:rFonts w:eastAsia="Calibri"/>
          <w:sz w:val="28"/>
          <w:szCs w:val="28"/>
          <w:lang w:val="en-ZA"/>
        </w:rPr>
        <w:tab/>
        <w:t>Th</w:t>
      </w:r>
      <w:r w:rsidR="00452F47" w:rsidRPr="001F72AC">
        <w:rPr>
          <w:rFonts w:eastAsia="Calibri"/>
          <w:sz w:val="28"/>
          <w:szCs w:val="28"/>
          <w:lang w:val="en-ZA"/>
        </w:rPr>
        <w:t xml:space="preserve">is appeal concerns the validity of the Goolam Murtuza Hafiz Trust (the </w:t>
      </w:r>
      <w:r w:rsidR="001379DD" w:rsidRPr="001F72AC">
        <w:rPr>
          <w:rFonts w:eastAsia="Calibri"/>
          <w:sz w:val="28"/>
          <w:szCs w:val="28"/>
          <w:lang w:val="en-ZA"/>
        </w:rPr>
        <w:t>Hafiz Trust</w:t>
      </w:r>
      <w:r w:rsidR="00452F47" w:rsidRPr="001F72AC">
        <w:rPr>
          <w:rFonts w:eastAsia="Calibri"/>
          <w:sz w:val="28"/>
          <w:szCs w:val="28"/>
          <w:lang w:val="en-ZA"/>
        </w:rPr>
        <w:t>) created</w:t>
      </w:r>
      <w:r w:rsidR="00010858" w:rsidRPr="001F72AC">
        <w:rPr>
          <w:rFonts w:eastAsia="Calibri"/>
          <w:sz w:val="28"/>
          <w:szCs w:val="28"/>
          <w:lang w:val="en-ZA"/>
        </w:rPr>
        <w:t xml:space="preserve"> in 1994</w:t>
      </w:r>
      <w:r w:rsidR="00452F47" w:rsidRPr="001F72AC">
        <w:rPr>
          <w:rFonts w:eastAsia="Calibri"/>
          <w:sz w:val="28"/>
          <w:szCs w:val="28"/>
          <w:lang w:val="en-ZA"/>
        </w:rPr>
        <w:t xml:space="preserve">. The order challenged on appeal is that of the full court of the </w:t>
      </w:r>
      <w:bookmarkStart w:id="2" w:name="_Hlk136941258"/>
      <w:r w:rsidR="00452F47" w:rsidRPr="001F72AC">
        <w:rPr>
          <w:rFonts w:eastAsia="Calibri"/>
          <w:sz w:val="28"/>
          <w:szCs w:val="28"/>
          <w:lang w:val="en-ZA"/>
        </w:rPr>
        <w:t>KwaZulu-Natal Division of the High Court</w:t>
      </w:r>
      <w:r w:rsidR="00873FC6" w:rsidRPr="001F72AC">
        <w:rPr>
          <w:rFonts w:eastAsia="Calibri"/>
          <w:sz w:val="28"/>
          <w:szCs w:val="28"/>
          <w:lang w:val="en-ZA"/>
        </w:rPr>
        <w:t>, Pietermaritzburg</w:t>
      </w:r>
      <w:bookmarkEnd w:id="2"/>
      <w:r w:rsidR="00873FC6" w:rsidRPr="001F72AC">
        <w:rPr>
          <w:rFonts w:eastAsia="Calibri"/>
          <w:sz w:val="28"/>
          <w:szCs w:val="28"/>
          <w:lang w:val="en-ZA"/>
        </w:rPr>
        <w:t xml:space="preserve"> (the </w:t>
      </w:r>
      <w:r w:rsidR="00AF66A3" w:rsidRPr="001F72AC">
        <w:rPr>
          <w:rFonts w:eastAsia="Calibri"/>
          <w:sz w:val="28"/>
          <w:szCs w:val="28"/>
          <w:lang w:val="en-ZA"/>
        </w:rPr>
        <w:t>full</w:t>
      </w:r>
      <w:r w:rsidR="00873FC6" w:rsidRPr="001F72AC">
        <w:rPr>
          <w:rFonts w:eastAsia="Calibri"/>
          <w:sz w:val="28"/>
          <w:szCs w:val="28"/>
          <w:lang w:val="en-ZA"/>
        </w:rPr>
        <w:t xml:space="preserve"> court). </w:t>
      </w:r>
      <w:r w:rsidR="002A72F9" w:rsidRPr="001F72AC">
        <w:rPr>
          <w:rFonts w:eastAsia="Calibri"/>
          <w:sz w:val="28"/>
          <w:szCs w:val="28"/>
          <w:lang w:val="en-ZA"/>
        </w:rPr>
        <w:t>It</w:t>
      </w:r>
      <w:r w:rsidR="00011D12" w:rsidRPr="001F72AC">
        <w:rPr>
          <w:rFonts w:eastAsia="Calibri"/>
          <w:sz w:val="28"/>
          <w:szCs w:val="28"/>
          <w:lang w:val="en-ZA"/>
        </w:rPr>
        <w:t xml:space="preserve"> upheld an appeal against an order of the KwaZulu-Natal Division of the High Court, Pietermaritzburg</w:t>
      </w:r>
      <w:r w:rsidR="00010858" w:rsidRPr="001F72AC">
        <w:rPr>
          <w:rFonts w:eastAsia="Calibri"/>
          <w:sz w:val="28"/>
          <w:szCs w:val="28"/>
          <w:lang w:val="en-ZA"/>
        </w:rPr>
        <w:t xml:space="preserve"> </w:t>
      </w:r>
      <w:r w:rsidR="00011D12" w:rsidRPr="001F72AC">
        <w:rPr>
          <w:rFonts w:eastAsia="Calibri"/>
          <w:sz w:val="28"/>
          <w:szCs w:val="28"/>
          <w:lang w:val="en-ZA"/>
        </w:rPr>
        <w:t xml:space="preserve">(the high court). </w:t>
      </w:r>
      <w:r w:rsidR="00873FC6" w:rsidRPr="001F72AC">
        <w:rPr>
          <w:rFonts w:eastAsia="Calibri"/>
          <w:sz w:val="28"/>
          <w:szCs w:val="28"/>
          <w:lang w:val="en-ZA"/>
        </w:rPr>
        <w:t>Special leave to appeal was granted by this Court on 3 December 2020.</w:t>
      </w:r>
      <w:r w:rsidR="00E63AD3" w:rsidRPr="001F72AC">
        <w:rPr>
          <w:rStyle w:val="FootnoteReference"/>
          <w:rFonts w:eastAsia="Calibri"/>
          <w:sz w:val="28"/>
          <w:szCs w:val="28"/>
          <w:lang w:val="en-ZA"/>
        </w:rPr>
        <w:footnoteReference w:id="1"/>
      </w:r>
    </w:p>
    <w:p w14:paraId="3A8B2527" w14:textId="77777777" w:rsidR="00546FC8" w:rsidRPr="001F72AC" w:rsidRDefault="00546FC8" w:rsidP="00452F47">
      <w:pPr>
        <w:spacing w:line="360" w:lineRule="auto"/>
        <w:jc w:val="both"/>
        <w:rPr>
          <w:rFonts w:eastAsia="Calibri"/>
          <w:b/>
          <w:bCs/>
          <w:sz w:val="28"/>
          <w:szCs w:val="28"/>
          <w:lang w:val="en-ZA"/>
        </w:rPr>
      </w:pPr>
    </w:p>
    <w:p w14:paraId="30BA5FA9" w14:textId="16C5BA5C" w:rsidR="00873FC6" w:rsidRPr="001F72AC" w:rsidRDefault="00011D12" w:rsidP="00452F47">
      <w:pPr>
        <w:spacing w:line="360" w:lineRule="auto"/>
        <w:jc w:val="both"/>
        <w:rPr>
          <w:rFonts w:eastAsia="Calibri"/>
          <w:b/>
          <w:bCs/>
          <w:sz w:val="28"/>
          <w:szCs w:val="28"/>
          <w:lang w:val="en-ZA"/>
        </w:rPr>
      </w:pPr>
      <w:r w:rsidRPr="001F72AC">
        <w:rPr>
          <w:rFonts w:eastAsia="Calibri"/>
          <w:b/>
          <w:bCs/>
          <w:sz w:val="28"/>
          <w:szCs w:val="28"/>
          <w:lang w:val="en-ZA"/>
        </w:rPr>
        <w:t>The parties</w:t>
      </w:r>
    </w:p>
    <w:p w14:paraId="78F4B63A" w14:textId="3B988545" w:rsidR="00873FC6" w:rsidRPr="001F72AC" w:rsidRDefault="00745A32" w:rsidP="00452F47">
      <w:pPr>
        <w:spacing w:line="360" w:lineRule="auto"/>
        <w:jc w:val="both"/>
        <w:rPr>
          <w:rFonts w:eastAsia="Calibri"/>
          <w:sz w:val="28"/>
          <w:szCs w:val="28"/>
          <w:lang w:val="en-ZA"/>
        </w:rPr>
      </w:pPr>
      <w:r w:rsidRPr="001F72AC">
        <w:rPr>
          <w:rFonts w:eastAsia="Calibri"/>
          <w:sz w:val="28"/>
          <w:szCs w:val="28"/>
          <w:lang w:val="en-ZA"/>
        </w:rPr>
        <w:t>[</w:t>
      </w:r>
      <w:r w:rsidR="00011D12" w:rsidRPr="001F72AC">
        <w:rPr>
          <w:rFonts w:eastAsia="Calibri"/>
          <w:sz w:val="28"/>
          <w:szCs w:val="28"/>
          <w:lang w:val="en-ZA"/>
        </w:rPr>
        <w:t>2</w:t>
      </w:r>
      <w:r w:rsidRPr="001F72AC">
        <w:rPr>
          <w:rFonts w:eastAsia="Calibri"/>
          <w:sz w:val="28"/>
          <w:szCs w:val="28"/>
          <w:lang w:val="en-ZA"/>
        </w:rPr>
        <w:t>]</w:t>
      </w:r>
      <w:r w:rsidRPr="001F72AC">
        <w:rPr>
          <w:rFonts w:eastAsia="Calibri"/>
          <w:sz w:val="28"/>
          <w:szCs w:val="28"/>
          <w:lang w:val="en-ZA"/>
        </w:rPr>
        <w:tab/>
        <w:t xml:space="preserve">The first appellant is the executor of the estate of the late Goolam Murtuza Hafiz, who was the </w:t>
      </w:r>
      <w:r w:rsidR="00011D12" w:rsidRPr="001F72AC">
        <w:rPr>
          <w:rFonts w:eastAsia="Calibri"/>
          <w:sz w:val="28"/>
          <w:szCs w:val="28"/>
          <w:lang w:val="en-ZA"/>
        </w:rPr>
        <w:t xml:space="preserve">settlor </w:t>
      </w:r>
      <w:r w:rsidRPr="001F72AC">
        <w:rPr>
          <w:rFonts w:eastAsia="Calibri"/>
          <w:sz w:val="28"/>
          <w:szCs w:val="28"/>
          <w:lang w:val="en-ZA"/>
        </w:rPr>
        <w:t>and founder of the Hafiz Trust. The second and third appellants</w:t>
      </w:r>
      <w:r w:rsidR="00714717" w:rsidRPr="001F72AC">
        <w:rPr>
          <w:rFonts w:eastAsia="Calibri"/>
          <w:sz w:val="28"/>
          <w:szCs w:val="28"/>
          <w:lang w:val="en-ZA"/>
        </w:rPr>
        <w:t>, Mohamed Iqbal Essop and Sayed Hoosen Ahmed respectively,</w:t>
      </w:r>
      <w:r w:rsidRPr="001F72AC">
        <w:rPr>
          <w:rFonts w:eastAsia="Calibri"/>
          <w:sz w:val="28"/>
          <w:szCs w:val="28"/>
          <w:lang w:val="en-ZA"/>
        </w:rPr>
        <w:t xml:space="preserve"> </w:t>
      </w:r>
      <w:r w:rsidR="00010858" w:rsidRPr="001F72AC">
        <w:rPr>
          <w:rFonts w:eastAsia="Calibri"/>
          <w:sz w:val="28"/>
          <w:szCs w:val="28"/>
          <w:lang w:val="en-ZA"/>
        </w:rPr>
        <w:t>were</w:t>
      </w:r>
      <w:r w:rsidRPr="001F72AC">
        <w:rPr>
          <w:rFonts w:eastAsia="Calibri"/>
          <w:sz w:val="28"/>
          <w:szCs w:val="28"/>
          <w:lang w:val="en-ZA"/>
        </w:rPr>
        <w:t xml:space="preserve"> declared to be trustees of the Hafiz Trust </w:t>
      </w:r>
      <w:r w:rsidR="00010858" w:rsidRPr="001F72AC">
        <w:rPr>
          <w:rFonts w:eastAsia="Calibri"/>
          <w:sz w:val="28"/>
          <w:szCs w:val="28"/>
          <w:lang w:val="en-ZA"/>
        </w:rPr>
        <w:t>by</w:t>
      </w:r>
      <w:r w:rsidRPr="001F72AC">
        <w:rPr>
          <w:rFonts w:eastAsia="Calibri"/>
          <w:sz w:val="28"/>
          <w:szCs w:val="28"/>
          <w:lang w:val="en-ZA"/>
        </w:rPr>
        <w:t xml:space="preserve"> the high court. </w:t>
      </w:r>
    </w:p>
    <w:p w14:paraId="1E45D6E6" w14:textId="77777777" w:rsidR="003F570A" w:rsidRPr="001F72AC" w:rsidRDefault="003F570A" w:rsidP="00452F47">
      <w:pPr>
        <w:spacing w:line="360" w:lineRule="auto"/>
        <w:jc w:val="both"/>
        <w:rPr>
          <w:rFonts w:eastAsia="Calibri"/>
          <w:sz w:val="28"/>
          <w:szCs w:val="28"/>
          <w:lang w:val="en-ZA"/>
        </w:rPr>
      </w:pPr>
    </w:p>
    <w:p w14:paraId="7E173384" w14:textId="7E6AC982" w:rsidR="003F570A" w:rsidRPr="001F72AC" w:rsidRDefault="003F570A" w:rsidP="00452F47">
      <w:pPr>
        <w:spacing w:line="360" w:lineRule="auto"/>
        <w:jc w:val="both"/>
        <w:rPr>
          <w:rFonts w:eastAsia="Calibri"/>
          <w:sz w:val="28"/>
          <w:szCs w:val="28"/>
          <w:lang w:val="en-ZA"/>
        </w:rPr>
      </w:pPr>
      <w:r w:rsidRPr="001F72AC">
        <w:rPr>
          <w:rFonts w:eastAsia="Calibri"/>
          <w:sz w:val="28"/>
          <w:szCs w:val="28"/>
          <w:lang w:val="en-ZA"/>
        </w:rPr>
        <w:t>[</w:t>
      </w:r>
      <w:r w:rsidR="00011D12" w:rsidRPr="001F72AC">
        <w:rPr>
          <w:rFonts w:eastAsia="Calibri"/>
          <w:sz w:val="28"/>
          <w:szCs w:val="28"/>
          <w:lang w:val="en-ZA"/>
        </w:rPr>
        <w:t>3</w:t>
      </w:r>
      <w:r w:rsidRPr="001F72AC">
        <w:rPr>
          <w:rFonts w:eastAsia="Calibri"/>
          <w:sz w:val="28"/>
          <w:szCs w:val="28"/>
          <w:lang w:val="en-ZA"/>
        </w:rPr>
        <w:t>]</w:t>
      </w:r>
      <w:r w:rsidRPr="001F72AC">
        <w:rPr>
          <w:rFonts w:eastAsia="Calibri"/>
          <w:sz w:val="28"/>
          <w:szCs w:val="28"/>
          <w:lang w:val="en-ZA"/>
        </w:rPr>
        <w:tab/>
      </w:r>
      <w:r w:rsidR="001D5B11" w:rsidRPr="001F72AC">
        <w:rPr>
          <w:rFonts w:eastAsia="Calibri"/>
          <w:sz w:val="28"/>
          <w:szCs w:val="28"/>
          <w:lang w:val="en-ZA"/>
        </w:rPr>
        <w:t xml:space="preserve">The first, second and third respondents </w:t>
      </w:r>
      <w:r w:rsidR="00010858" w:rsidRPr="001F72AC">
        <w:rPr>
          <w:rFonts w:eastAsia="Calibri"/>
          <w:sz w:val="28"/>
          <w:szCs w:val="28"/>
          <w:lang w:val="en-ZA"/>
        </w:rPr>
        <w:t>were</w:t>
      </w:r>
      <w:r w:rsidR="001D5B11" w:rsidRPr="001F72AC">
        <w:rPr>
          <w:rFonts w:eastAsia="Calibri"/>
          <w:sz w:val="28"/>
          <w:szCs w:val="28"/>
          <w:lang w:val="en-ZA"/>
        </w:rPr>
        <w:t xml:space="preserve"> declared to be trustees by the full court. Only</w:t>
      </w:r>
      <w:r w:rsidR="00ED502B" w:rsidRPr="001F72AC">
        <w:rPr>
          <w:rFonts w:eastAsia="Calibri"/>
          <w:sz w:val="28"/>
          <w:szCs w:val="28"/>
          <w:lang w:val="en-ZA"/>
        </w:rPr>
        <w:t xml:space="preserve"> </w:t>
      </w:r>
      <w:r w:rsidR="001D5B11" w:rsidRPr="001F72AC">
        <w:rPr>
          <w:rFonts w:eastAsia="Calibri"/>
          <w:sz w:val="28"/>
          <w:szCs w:val="28"/>
          <w:lang w:val="en-ZA"/>
        </w:rPr>
        <w:t>the first and second respondents participated in the appeal. The first, fourth and fifth respondents are the sons of Goolam Hafiz.</w:t>
      </w:r>
      <w:r w:rsidR="007557D3" w:rsidRPr="001F72AC">
        <w:rPr>
          <w:rStyle w:val="FootnoteReference"/>
          <w:rFonts w:eastAsia="Calibri"/>
          <w:sz w:val="28"/>
          <w:szCs w:val="28"/>
          <w:lang w:val="en-ZA"/>
        </w:rPr>
        <w:footnoteReference w:id="2"/>
      </w:r>
      <w:r w:rsidR="001D5B11" w:rsidRPr="001F72AC">
        <w:rPr>
          <w:rFonts w:eastAsia="Calibri"/>
          <w:sz w:val="28"/>
          <w:szCs w:val="28"/>
          <w:lang w:val="en-ZA"/>
        </w:rPr>
        <w:t xml:space="preserve"> </w:t>
      </w:r>
      <w:r w:rsidR="00CC6A34" w:rsidRPr="001F72AC">
        <w:rPr>
          <w:rFonts w:eastAsia="Calibri"/>
          <w:sz w:val="28"/>
          <w:szCs w:val="28"/>
          <w:lang w:val="en-ZA"/>
        </w:rPr>
        <w:t>The sixth respondent is the Master of the High Court, Pietermaritzburg (the Master). The seventh and eighth respondents</w:t>
      </w:r>
      <w:r w:rsidR="00BB035B" w:rsidRPr="001F72AC">
        <w:rPr>
          <w:rFonts w:eastAsia="Calibri"/>
          <w:sz w:val="28"/>
          <w:szCs w:val="28"/>
          <w:lang w:val="en-ZA"/>
        </w:rPr>
        <w:t xml:space="preserve">, </w:t>
      </w:r>
      <w:r w:rsidR="00010858" w:rsidRPr="001F72AC">
        <w:rPr>
          <w:rFonts w:eastAsia="Calibri"/>
          <w:sz w:val="28"/>
          <w:szCs w:val="28"/>
          <w:lang w:val="en-ZA"/>
        </w:rPr>
        <w:t xml:space="preserve">namely </w:t>
      </w:r>
      <w:r w:rsidR="00BB035B" w:rsidRPr="001F72AC">
        <w:rPr>
          <w:rFonts w:eastAsia="Calibri"/>
          <w:sz w:val="28"/>
          <w:szCs w:val="28"/>
          <w:lang w:val="en-ZA"/>
        </w:rPr>
        <w:t>the Reg</w:t>
      </w:r>
      <w:r w:rsidR="003A698E" w:rsidRPr="001F72AC">
        <w:rPr>
          <w:rFonts w:eastAsia="Calibri"/>
          <w:sz w:val="28"/>
          <w:szCs w:val="28"/>
          <w:lang w:val="en-ZA"/>
        </w:rPr>
        <w:t>is</w:t>
      </w:r>
      <w:r w:rsidR="00BB035B" w:rsidRPr="001F72AC">
        <w:rPr>
          <w:rFonts w:eastAsia="Calibri"/>
          <w:sz w:val="28"/>
          <w:szCs w:val="28"/>
          <w:lang w:val="en-ZA"/>
        </w:rPr>
        <w:t xml:space="preserve">trar of Deeds and the </w:t>
      </w:r>
      <w:r w:rsidR="005706BF" w:rsidRPr="001F72AC">
        <w:rPr>
          <w:rFonts w:eastAsia="Calibri"/>
          <w:sz w:val="28"/>
          <w:szCs w:val="28"/>
          <w:lang w:val="en-ZA"/>
        </w:rPr>
        <w:t>eT</w:t>
      </w:r>
      <w:r w:rsidR="00BB035B" w:rsidRPr="001F72AC">
        <w:rPr>
          <w:rFonts w:eastAsia="Calibri"/>
          <w:sz w:val="28"/>
          <w:szCs w:val="28"/>
          <w:lang w:val="en-ZA"/>
        </w:rPr>
        <w:t>hekwini Municipality,</w:t>
      </w:r>
      <w:r w:rsidR="00CC6A34" w:rsidRPr="001F72AC">
        <w:rPr>
          <w:rFonts w:eastAsia="Calibri"/>
          <w:sz w:val="28"/>
          <w:szCs w:val="28"/>
          <w:lang w:val="en-ZA"/>
        </w:rPr>
        <w:t xml:space="preserve"> took no part in the proceedings.</w:t>
      </w:r>
    </w:p>
    <w:p w14:paraId="75F65CBB" w14:textId="77777777" w:rsidR="00873FC6" w:rsidRPr="001F72AC" w:rsidRDefault="00873FC6" w:rsidP="00452F47">
      <w:pPr>
        <w:spacing w:line="360" w:lineRule="auto"/>
        <w:jc w:val="both"/>
        <w:rPr>
          <w:rFonts w:eastAsia="Calibri"/>
          <w:sz w:val="28"/>
          <w:szCs w:val="28"/>
          <w:lang w:val="en-ZA"/>
        </w:rPr>
      </w:pPr>
    </w:p>
    <w:p w14:paraId="075074FD" w14:textId="13F9DA80" w:rsidR="00873FC6" w:rsidRPr="001F72AC" w:rsidRDefault="00873FC6" w:rsidP="00452F47">
      <w:pPr>
        <w:spacing w:line="360" w:lineRule="auto"/>
        <w:jc w:val="both"/>
        <w:rPr>
          <w:rFonts w:eastAsia="Calibri"/>
          <w:b/>
          <w:sz w:val="28"/>
          <w:szCs w:val="28"/>
          <w:lang w:val="en-ZA"/>
        </w:rPr>
      </w:pPr>
      <w:r w:rsidRPr="001F72AC">
        <w:rPr>
          <w:rFonts w:eastAsia="Calibri"/>
          <w:b/>
          <w:sz w:val="28"/>
          <w:szCs w:val="28"/>
          <w:lang w:val="en-ZA"/>
        </w:rPr>
        <w:t>Background</w:t>
      </w:r>
    </w:p>
    <w:p w14:paraId="765E1FE0" w14:textId="12DCD695" w:rsidR="00873FC6" w:rsidRPr="001F72AC" w:rsidRDefault="00873FC6" w:rsidP="00452F47">
      <w:pPr>
        <w:spacing w:line="360" w:lineRule="auto"/>
        <w:jc w:val="both"/>
        <w:rPr>
          <w:rFonts w:eastAsia="Calibri"/>
          <w:sz w:val="28"/>
          <w:szCs w:val="28"/>
          <w:lang w:val="en-ZA"/>
        </w:rPr>
      </w:pPr>
      <w:r w:rsidRPr="001F72AC">
        <w:rPr>
          <w:rFonts w:eastAsia="Calibri"/>
          <w:sz w:val="28"/>
          <w:szCs w:val="28"/>
          <w:lang w:val="en-ZA"/>
        </w:rPr>
        <w:t>[</w:t>
      </w:r>
      <w:r w:rsidR="00011D12" w:rsidRPr="001F72AC">
        <w:rPr>
          <w:rFonts w:eastAsia="Calibri"/>
          <w:sz w:val="28"/>
          <w:szCs w:val="28"/>
          <w:lang w:val="en-ZA"/>
        </w:rPr>
        <w:t>4</w:t>
      </w:r>
      <w:r w:rsidRPr="001F72AC">
        <w:rPr>
          <w:rFonts w:eastAsia="Calibri"/>
          <w:sz w:val="28"/>
          <w:szCs w:val="28"/>
          <w:lang w:val="en-ZA"/>
        </w:rPr>
        <w:t>]</w:t>
      </w:r>
      <w:r w:rsidRPr="001F72AC">
        <w:rPr>
          <w:rFonts w:eastAsia="Calibri"/>
          <w:sz w:val="28"/>
          <w:szCs w:val="28"/>
          <w:lang w:val="en-ZA"/>
        </w:rPr>
        <w:tab/>
        <w:t>Goolam Hafiz was</w:t>
      </w:r>
      <w:r w:rsidR="00010858" w:rsidRPr="001F72AC">
        <w:rPr>
          <w:rFonts w:eastAsia="Calibri"/>
          <w:sz w:val="28"/>
          <w:szCs w:val="28"/>
          <w:lang w:val="en-ZA"/>
        </w:rPr>
        <w:t xml:space="preserve"> </w:t>
      </w:r>
      <w:r w:rsidRPr="001F72AC">
        <w:rPr>
          <w:rFonts w:eastAsia="Calibri"/>
          <w:sz w:val="28"/>
          <w:szCs w:val="28"/>
          <w:lang w:val="en-ZA"/>
        </w:rPr>
        <w:t>a prominent member of a Suni Islamic community in Sherwood, Durban. In 1904, his grandfather, Hajee Shah Goolam M</w:t>
      </w:r>
      <w:r w:rsidR="00A94CB8" w:rsidRPr="001F72AC">
        <w:rPr>
          <w:rFonts w:eastAsia="Calibri"/>
          <w:sz w:val="28"/>
          <w:szCs w:val="28"/>
          <w:lang w:val="en-ZA"/>
        </w:rPr>
        <w:t>o</w:t>
      </w:r>
      <w:r w:rsidRPr="001F72AC">
        <w:rPr>
          <w:rFonts w:eastAsia="Calibri"/>
          <w:sz w:val="28"/>
          <w:szCs w:val="28"/>
          <w:lang w:val="en-ZA"/>
        </w:rPr>
        <w:t>h</w:t>
      </w:r>
      <w:r w:rsidR="00A94CB8" w:rsidRPr="001F72AC">
        <w:rPr>
          <w:rFonts w:eastAsia="Calibri"/>
          <w:sz w:val="28"/>
          <w:szCs w:val="28"/>
          <w:lang w:val="en-ZA"/>
        </w:rPr>
        <w:t>am</w:t>
      </w:r>
      <w:r w:rsidRPr="001F72AC">
        <w:rPr>
          <w:rFonts w:eastAsia="Calibri"/>
          <w:sz w:val="28"/>
          <w:szCs w:val="28"/>
          <w:lang w:val="en-ZA"/>
        </w:rPr>
        <w:t>med</w:t>
      </w:r>
      <w:r w:rsidR="00F040F9" w:rsidRPr="001F72AC">
        <w:rPr>
          <w:rFonts w:eastAsia="Calibri"/>
          <w:sz w:val="28"/>
          <w:szCs w:val="28"/>
          <w:lang w:val="en-ZA"/>
        </w:rPr>
        <w:t xml:space="preserve"> (Hajee M</w:t>
      </w:r>
      <w:r w:rsidR="00A94CB8" w:rsidRPr="001F72AC">
        <w:rPr>
          <w:rFonts w:eastAsia="Calibri"/>
          <w:sz w:val="28"/>
          <w:szCs w:val="28"/>
          <w:lang w:val="en-ZA"/>
        </w:rPr>
        <w:t>o</w:t>
      </w:r>
      <w:r w:rsidR="00F040F9" w:rsidRPr="001F72AC">
        <w:rPr>
          <w:rFonts w:eastAsia="Calibri"/>
          <w:sz w:val="28"/>
          <w:szCs w:val="28"/>
          <w:lang w:val="en-ZA"/>
        </w:rPr>
        <w:t>h</w:t>
      </w:r>
      <w:r w:rsidR="00A94CB8" w:rsidRPr="001F72AC">
        <w:rPr>
          <w:rFonts w:eastAsia="Calibri"/>
          <w:sz w:val="28"/>
          <w:szCs w:val="28"/>
          <w:lang w:val="en-ZA"/>
        </w:rPr>
        <w:t>a</w:t>
      </w:r>
      <w:r w:rsidR="00F040F9" w:rsidRPr="001F72AC">
        <w:rPr>
          <w:rFonts w:eastAsia="Calibri"/>
          <w:sz w:val="28"/>
          <w:szCs w:val="28"/>
          <w:lang w:val="en-ZA"/>
        </w:rPr>
        <w:t>mmed)</w:t>
      </w:r>
      <w:r w:rsidRPr="001F72AC">
        <w:rPr>
          <w:rFonts w:eastAsia="Calibri"/>
          <w:sz w:val="28"/>
          <w:szCs w:val="28"/>
          <w:lang w:val="en-ZA"/>
        </w:rPr>
        <w:t>, took ownership</w:t>
      </w:r>
      <w:r w:rsidR="00F040F9" w:rsidRPr="001F72AC">
        <w:rPr>
          <w:rFonts w:eastAsia="Calibri"/>
          <w:sz w:val="28"/>
          <w:szCs w:val="28"/>
          <w:lang w:val="en-ZA"/>
        </w:rPr>
        <w:t>, in trust</w:t>
      </w:r>
      <w:r w:rsidR="00CC6A34" w:rsidRPr="001F72AC">
        <w:rPr>
          <w:rFonts w:eastAsia="Calibri"/>
          <w:sz w:val="28"/>
          <w:szCs w:val="28"/>
          <w:lang w:val="en-ZA"/>
        </w:rPr>
        <w:t>,</w:t>
      </w:r>
      <w:r w:rsidR="00F040F9" w:rsidRPr="001F72AC">
        <w:rPr>
          <w:rFonts w:eastAsia="Calibri"/>
          <w:sz w:val="28"/>
          <w:szCs w:val="28"/>
          <w:lang w:val="en-ZA"/>
        </w:rPr>
        <w:t xml:space="preserve"> of a property on which was erected the Sherwood Mosque. </w:t>
      </w:r>
      <w:r w:rsidR="0087700C" w:rsidRPr="001F72AC">
        <w:rPr>
          <w:rFonts w:eastAsia="Calibri"/>
          <w:sz w:val="28"/>
          <w:szCs w:val="28"/>
          <w:lang w:val="en-ZA"/>
        </w:rPr>
        <w:t>The deed of transfer provided that</w:t>
      </w:r>
      <w:r w:rsidR="00B01631" w:rsidRPr="001F72AC">
        <w:rPr>
          <w:rFonts w:eastAsia="Calibri"/>
          <w:sz w:val="28"/>
          <w:szCs w:val="28"/>
          <w:lang w:val="en-ZA"/>
        </w:rPr>
        <w:t xml:space="preserve">, on the death </w:t>
      </w:r>
      <w:r w:rsidR="00B01631" w:rsidRPr="001F72AC">
        <w:rPr>
          <w:rFonts w:eastAsia="Calibri"/>
          <w:sz w:val="28"/>
          <w:szCs w:val="28"/>
          <w:lang w:val="en-ZA"/>
        </w:rPr>
        <w:lastRenderedPageBreak/>
        <w:t xml:space="preserve">of Hajee Mohammed, trusteeship would pass to his eldest male descendant and thereafter to </w:t>
      </w:r>
      <w:r w:rsidR="003F57E2" w:rsidRPr="001F72AC">
        <w:rPr>
          <w:rFonts w:eastAsia="Calibri"/>
          <w:sz w:val="28"/>
          <w:szCs w:val="28"/>
          <w:lang w:val="en-ZA"/>
        </w:rPr>
        <w:t xml:space="preserve">the </w:t>
      </w:r>
      <w:r w:rsidR="00B01631" w:rsidRPr="001F72AC">
        <w:rPr>
          <w:rFonts w:eastAsia="Calibri"/>
          <w:sz w:val="28"/>
          <w:szCs w:val="28"/>
          <w:lang w:val="en-ZA"/>
        </w:rPr>
        <w:t>eldest male descendant, in turn.</w:t>
      </w:r>
      <w:r w:rsidR="00B01631" w:rsidRPr="001F72AC">
        <w:rPr>
          <w:rStyle w:val="FootnoteReference"/>
          <w:rFonts w:eastAsia="Calibri"/>
          <w:sz w:val="28"/>
          <w:szCs w:val="28"/>
          <w:lang w:val="en-ZA"/>
        </w:rPr>
        <w:footnoteReference w:id="3"/>
      </w:r>
    </w:p>
    <w:p w14:paraId="7A817BC2" w14:textId="77777777" w:rsidR="00024DD4" w:rsidRPr="001F72AC" w:rsidRDefault="00024DD4" w:rsidP="00452F47">
      <w:pPr>
        <w:spacing w:line="360" w:lineRule="auto"/>
        <w:jc w:val="both"/>
        <w:rPr>
          <w:rFonts w:eastAsia="Calibri"/>
          <w:sz w:val="28"/>
          <w:szCs w:val="28"/>
          <w:lang w:val="en-ZA"/>
        </w:rPr>
      </w:pPr>
    </w:p>
    <w:p w14:paraId="62031712" w14:textId="33A0D048" w:rsidR="00491DAF" w:rsidRPr="001F72AC" w:rsidRDefault="00024DD4" w:rsidP="00452F47">
      <w:pPr>
        <w:spacing w:line="360" w:lineRule="auto"/>
        <w:jc w:val="both"/>
        <w:rPr>
          <w:rFonts w:eastAsia="Calibri"/>
          <w:sz w:val="28"/>
          <w:szCs w:val="28"/>
          <w:lang w:val="en-ZA"/>
        </w:rPr>
      </w:pPr>
      <w:r w:rsidRPr="001F72AC">
        <w:rPr>
          <w:rFonts w:eastAsia="Calibri"/>
          <w:sz w:val="28"/>
          <w:szCs w:val="28"/>
          <w:lang w:val="en-ZA"/>
        </w:rPr>
        <w:t>[</w:t>
      </w:r>
      <w:r w:rsidR="00011D12" w:rsidRPr="001F72AC">
        <w:rPr>
          <w:rFonts w:eastAsia="Calibri"/>
          <w:sz w:val="28"/>
          <w:szCs w:val="28"/>
          <w:lang w:val="en-ZA"/>
        </w:rPr>
        <w:t>5</w:t>
      </w:r>
      <w:r w:rsidRPr="001F72AC">
        <w:rPr>
          <w:rFonts w:eastAsia="Calibri"/>
          <w:sz w:val="28"/>
          <w:szCs w:val="28"/>
          <w:lang w:val="en-ZA"/>
        </w:rPr>
        <w:t>]</w:t>
      </w:r>
      <w:r w:rsidRPr="001F72AC">
        <w:rPr>
          <w:rFonts w:eastAsia="Calibri"/>
          <w:sz w:val="28"/>
          <w:szCs w:val="28"/>
          <w:lang w:val="en-ZA"/>
        </w:rPr>
        <w:tab/>
      </w:r>
      <w:r w:rsidR="00A94CB8" w:rsidRPr="001F72AC">
        <w:rPr>
          <w:rFonts w:eastAsia="Calibri"/>
          <w:sz w:val="28"/>
          <w:szCs w:val="28"/>
          <w:lang w:val="en-ZA"/>
        </w:rPr>
        <w:t xml:space="preserve">Hajee Mohammed </w:t>
      </w:r>
      <w:r w:rsidR="0087700C" w:rsidRPr="001F72AC">
        <w:rPr>
          <w:rFonts w:eastAsia="Calibri"/>
          <w:sz w:val="28"/>
          <w:szCs w:val="28"/>
          <w:lang w:val="en-ZA"/>
        </w:rPr>
        <w:t>handed over</w:t>
      </w:r>
      <w:r w:rsidR="00A94CB8" w:rsidRPr="001F72AC">
        <w:rPr>
          <w:rFonts w:eastAsia="Calibri"/>
          <w:sz w:val="28"/>
          <w:szCs w:val="28"/>
          <w:lang w:val="en-ZA"/>
        </w:rPr>
        <w:t xml:space="preserve"> </w:t>
      </w:r>
      <w:r w:rsidR="00D131C6" w:rsidRPr="001F72AC">
        <w:rPr>
          <w:rFonts w:eastAsia="Calibri"/>
          <w:sz w:val="28"/>
          <w:szCs w:val="28"/>
          <w:lang w:val="en-ZA"/>
        </w:rPr>
        <w:t xml:space="preserve">control of the </w:t>
      </w:r>
      <w:r w:rsidR="00011D12" w:rsidRPr="001F72AC">
        <w:rPr>
          <w:rFonts w:eastAsia="Calibri"/>
          <w:sz w:val="28"/>
          <w:szCs w:val="28"/>
          <w:lang w:val="en-ZA"/>
        </w:rPr>
        <w:t>m</w:t>
      </w:r>
      <w:r w:rsidR="00A94CB8" w:rsidRPr="001F72AC">
        <w:rPr>
          <w:rFonts w:eastAsia="Calibri"/>
          <w:sz w:val="28"/>
          <w:szCs w:val="28"/>
          <w:lang w:val="en-ZA"/>
        </w:rPr>
        <w:t xml:space="preserve">osque to his son, Goolam Hafiz </w:t>
      </w:r>
      <w:r w:rsidR="00650520" w:rsidRPr="001F72AC">
        <w:rPr>
          <w:rFonts w:eastAsia="Calibri"/>
          <w:sz w:val="28"/>
          <w:szCs w:val="28"/>
          <w:lang w:val="en-ZA"/>
        </w:rPr>
        <w:t xml:space="preserve">Soofi </w:t>
      </w:r>
      <w:r w:rsidR="0087700C" w:rsidRPr="001F72AC">
        <w:rPr>
          <w:rFonts w:eastAsia="Calibri"/>
          <w:sz w:val="28"/>
          <w:szCs w:val="28"/>
          <w:lang w:val="en-ZA"/>
        </w:rPr>
        <w:t>(</w:t>
      </w:r>
      <w:r w:rsidR="00650520" w:rsidRPr="001F72AC">
        <w:rPr>
          <w:rFonts w:eastAsia="Calibri"/>
          <w:sz w:val="28"/>
          <w:szCs w:val="28"/>
          <w:lang w:val="en-ZA"/>
        </w:rPr>
        <w:t xml:space="preserve">Goolam Soofi), who </w:t>
      </w:r>
      <w:r w:rsidR="00B01631" w:rsidRPr="001F72AC">
        <w:rPr>
          <w:rFonts w:eastAsia="Calibri"/>
          <w:sz w:val="28"/>
          <w:szCs w:val="28"/>
          <w:lang w:val="en-ZA"/>
        </w:rPr>
        <w:t>held</w:t>
      </w:r>
      <w:r w:rsidR="00650520" w:rsidRPr="001F72AC">
        <w:rPr>
          <w:rFonts w:eastAsia="Calibri"/>
          <w:sz w:val="28"/>
          <w:szCs w:val="28"/>
          <w:lang w:val="en-ZA"/>
        </w:rPr>
        <w:t xml:space="preserve"> office until his death in 1953. Goolam Soofi’s </w:t>
      </w:r>
      <w:r w:rsidR="0087700C" w:rsidRPr="001F72AC">
        <w:rPr>
          <w:rFonts w:eastAsia="Calibri"/>
          <w:sz w:val="28"/>
          <w:szCs w:val="28"/>
          <w:lang w:val="en-ZA"/>
        </w:rPr>
        <w:t xml:space="preserve">eldest </w:t>
      </w:r>
      <w:r w:rsidR="00650520" w:rsidRPr="001F72AC">
        <w:rPr>
          <w:rFonts w:eastAsia="Calibri"/>
          <w:sz w:val="28"/>
          <w:szCs w:val="28"/>
          <w:lang w:val="en-ZA"/>
        </w:rPr>
        <w:t>son, Goolam Hafiz</w:t>
      </w:r>
      <w:r w:rsidR="0087700C" w:rsidRPr="001F72AC">
        <w:rPr>
          <w:rFonts w:eastAsia="Calibri"/>
          <w:sz w:val="28"/>
          <w:szCs w:val="28"/>
          <w:lang w:val="en-ZA"/>
        </w:rPr>
        <w:t>,</w:t>
      </w:r>
      <w:r w:rsidR="00650520" w:rsidRPr="001F72AC">
        <w:rPr>
          <w:rFonts w:eastAsia="Calibri"/>
          <w:sz w:val="28"/>
          <w:szCs w:val="28"/>
          <w:lang w:val="en-ZA"/>
        </w:rPr>
        <w:t xml:space="preserve"> </w:t>
      </w:r>
      <w:r w:rsidR="00B01631" w:rsidRPr="001F72AC">
        <w:rPr>
          <w:rFonts w:eastAsia="Calibri"/>
          <w:sz w:val="28"/>
          <w:szCs w:val="28"/>
          <w:lang w:val="en-ZA"/>
        </w:rPr>
        <w:t xml:space="preserve">then </w:t>
      </w:r>
      <w:r w:rsidR="00650520" w:rsidRPr="001F72AC">
        <w:rPr>
          <w:rFonts w:eastAsia="Calibri"/>
          <w:sz w:val="28"/>
          <w:szCs w:val="28"/>
          <w:lang w:val="en-ZA"/>
        </w:rPr>
        <w:t xml:space="preserve">took up office as trustee of </w:t>
      </w:r>
      <w:r w:rsidR="00BB035B" w:rsidRPr="001F72AC">
        <w:rPr>
          <w:rFonts w:eastAsia="Calibri"/>
          <w:sz w:val="28"/>
          <w:szCs w:val="28"/>
          <w:lang w:val="en-ZA"/>
        </w:rPr>
        <w:t>the Sherwood mosque</w:t>
      </w:r>
      <w:r w:rsidR="0070341B" w:rsidRPr="001F72AC">
        <w:rPr>
          <w:rFonts w:eastAsia="Calibri"/>
          <w:sz w:val="28"/>
          <w:szCs w:val="28"/>
          <w:lang w:val="en-ZA"/>
        </w:rPr>
        <w:t xml:space="preserve"> (</w:t>
      </w:r>
      <w:r w:rsidR="0087700C" w:rsidRPr="001F72AC">
        <w:rPr>
          <w:rFonts w:eastAsia="Calibri"/>
          <w:sz w:val="28"/>
          <w:szCs w:val="28"/>
          <w:lang w:val="en-ZA"/>
        </w:rPr>
        <w:t>the Mosque Trust</w:t>
      </w:r>
      <w:r w:rsidR="0070341B" w:rsidRPr="001F72AC">
        <w:rPr>
          <w:rFonts w:eastAsia="Calibri"/>
          <w:sz w:val="28"/>
          <w:szCs w:val="28"/>
          <w:lang w:val="en-ZA"/>
        </w:rPr>
        <w:t>)</w:t>
      </w:r>
      <w:r w:rsidR="00650520" w:rsidRPr="001F72AC">
        <w:rPr>
          <w:rFonts w:eastAsia="Calibri"/>
          <w:sz w:val="28"/>
          <w:szCs w:val="28"/>
          <w:lang w:val="en-ZA"/>
        </w:rPr>
        <w:t>.</w:t>
      </w:r>
      <w:r w:rsidR="0070341B" w:rsidRPr="001F72AC">
        <w:rPr>
          <w:rStyle w:val="FootnoteReference"/>
          <w:rFonts w:eastAsia="Calibri"/>
          <w:sz w:val="28"/>
          <w:szCs w:val="28"/>
          <w:lang w:val="en-ZA"/>
        </w:rPr>
        <w:footnoteReference w:id="4"/>
      </w:r>
      <w:r w:rsidR="00650520" w:rsidRPr="001F72AC">
        <w:rPr>
          <w:rFonts w:eastAsia="Calibri"/>
          <w:sz w:val="28"/>
          <w:szCs w:val="28"/>
          <w:lang w:val="en-ZA"/>
        </w:rPr>
        <w:t xml:space="preserve"> </w:t>
      </w:r>
    </w:p>
    <w:p w14:paraId="31C63B7C" w14:textId="77777777" w:rsidR="00D131C6" w:rsidRPr="001F72AC" w:rsidRDefault="00D131C6" w:rsidP="00452F47">
      <w:pPr>
        <w:spacing w:line="360" w:lineRule="auto"/>
        <w:jc w:val="both"/>
        <w:rPr>
          <w:rFonts w:eastAsia="Calibri"/>
          <w:sz w:val="28"/>
          <w:szCs w:val="28"/>
          <w:lang w:val="en-ZA"/>
        </w:rPr>
      </w:pPr>
    </w:p>
    <w:p w14:paraId="03BBEA06" w14:textId="313A8F97" w:rsidR="00D131C6" w:rsidRPr="001F72AC" w:rsidRDefault="00D131C6" w:rsidP="00452F47">
      <w:pPr>
        <w:spacing w:line="360" w:lineRule="auto"/>
        <w:jc w:val="both"/>
        <w:rPr>
          <w:rFonts w:eastAsia="Calibri"/>
          <w:sz w:val="28"/>
          <w:szCs w:val="28"/>
          <w:lang w:val="en-ZA"/>
        </w:rPr>
      </w:pPr>
      <w:r w:rsidRPr="001F72AC">
        <w:rPr>
          <w:rFonts w:eastAsia="Calibri"/>
          <w:sz w:val="28"/>
          <w:szCs w:val="28"/>
          <w:lang w:val="en-ZA"/>
        </w:rPr>
        <w:t>[</w:t>
      </w:r>
      <w:r w:rsidR="00011D12" w:rsidRPr="001F72AC">
        <w:rPr>
          <w:rFonts w:eastAsia="Calibri"/>
          <w:sz w:val="28"/>
          <w:szCs w:val="28"/>
          <w:lang w:val="en-ZA"/>
        </w:rPr>
        <w:t>6</w:t>
      </w:r>
      <w:r w:rsidRPr="001F72AC">
        <w:rPr>
          <w:rFonts w:eastAsia="Calibri"/>
          <w:sz w:val="28"/>
          <w:szCs w:val="28"/>
          <w:lang w:val="en-ZA"/>
        </w:rPr>
        <w:t>]</w:t>
      </w:r>
      <w:r w:rsidRPr="001F72AC">
        <w:rPr>
          <w:rFonts w:eastAsia="Calibri"/>
          <w:sz w:val="28"/>
          <w:szCs w:val="28"/>
          <w:lang w:val="en-ZA"/>
        </w:rPr>
        <w:tab/>
        <w:t>In 1983, Goolam Hafiz</w:t>
      </w:r>
      <w:r w:rsidR="00546FC8" w:rsidRPr="001F72AC">
        <w:rPr>
          <w:rFonts w:eastAsia="Calibri"/>
          <w:sz w:val="28"/>
          <w:szCs w:val="28"/>
          <w:lang w:val="en-ZA"/>
        </w:rPr>
        <w:t>’s</w:t>
      </w:r>
      <w:r w:rsidRPr="001F72AC">
        <w:rPr>
          <w:rFonts w:eastAsia="Calibri"/>
          <w:sz w:val="28"/>
          <w:szCs w:val="28"/>
          <w:lang w:val="en-ZA"/>
        </w:rPr>
        <w:t xml:space="preserve"> eldest son, Ahmed Hafiz</w:t>
      </w:r>
      <w:r w:rsidR="0031705B" w:rsidRPr="001F72AC">
        <w:rPr>
          <w:rFonts w:eastAsia="Calibri"/>
          <w:sz w:val="28"/>
          <w:szCs w:val="28"/>
          <w:lang w:val="en-ZA"/>
        </w:rPr>
        <w:t xml:space="preserve"> (the first respondent)</w:t>
      </w:r>
      <w:r w:rsidR="0087700C" w:rsidRPr="001F72AC">
        <w:rPr>
          <w:rFonts w:eastAsia="Calibri"/>
          <w:sz w:val="28"/>
          <w:szCs w:val="28"/>
          <w:lang w:val="en-ZA"/>
        </w:rPr>
        <w:t>,</w:t>
      </w:r>
      <w:r w:rsidRPr="001F72AC">
        <w:rPr>
          <w:rFonts w:eastAsia="Calibri"/>
          <w:sz w:val="28"/>
          <w:szCs w:val="28"/>
          <w:lang w:val="en-ZA"/>
        </w:rPr>
        <w:t xml:space="preserve"> </w:t>
      </w:r>
      <w:r w:rsidR="00546FC8" w:rsidRPr="001F72AC">
        <w:rPr>
          <w:rFonts w:eastAsia="Calibri"/>
          <w:sz w:val="28"/>
          <w:szCs w:val="28"/>
          <w:lang w:val="en-ZA"/>
        </w:rPr>
        <w:t>took up the running of the affairs of the mosque</w:t>
      </w:r>
      <w:r w:rsidRPr="001F72AC">
        <w:rPr>
          <w:rFonts w:eastAsia="Calibri"/>
          <w:sz w:val="28"/>
          <w:szCs w:val="28"/>
          <w:lang w:val="en-ZA"/>
        </w:rPr>
        <w:t xml:space="preserve"> on a full-time basis</w:t>
      </w:r>
      <w:r w:rsidR="00546FC8" w:rsidRPr="001F72AC">
        <w:rPr>
          <w:rFonts w:eastAsia="Calibri"/>
          <w:sz w:val="28"/>
          <w:szCs w:val="28"/>
          <w:lang w:val="en-ZA"/>
        </w:rPr>
        <w:t xml:space="preserve">.  </w:t>
      </w:r>
      <w:r w:rsidRPr="001F72AC">
        <w:rPr>
          <w:rFonts w:eastAsia="Calibri"/>
          <w:sz w:val="28"/>
          <w:szCs w:val="28"/>
          <w:lang w:val="en-ZA"/>
        </w:rPr>
        <w:t xml:space="preserve">In 1991, Goolam Hafiz purchased </w:t>
      </w:r>
      <w:r w:rsidR="003A698E" w:rsidRPr="001F72AC">
        <w:rPr>
          <w:rFonts w:eastAsia="Calibri"/>
          <w:sz w:val="28"/>
          <w:szCs w:val="28"/>
          <w:lang w:val="en-ZA"/>
        </w:rPr>
        <w:t>Sub</w:t>
      </w:r>
      <w:r w:rsidRPr="001F72AC">
        <w:rPr>
          <w:rFonts w:eastAsia="Calibri"/>
          <w:sz w:val="28"/>
          <w:szCs w:val="28"/>
          <w:lang w:val="en-ZA"/>
        </w:rPr>
        <w:t xml:space="preserve"> 17</w:t>
      </w:r>
      <w:r w:rsidR="003A698E" w:rsidRPr="001F72AC">
        <w:rPr>
          <w:rFonts w:eastAsia="Calibri"/>
          <w:sz w:val="28"/>
          <w:szCs w:val="28"/>
          <w:lang w:val="en-ZA"/>
        </w:rPr>
        <w:t>4</w:t>
      </w:r>
      <w:r w:rsidRPr="001F72AC">
        <w:rPr>
          <w:rFonts w:eastAsia="Calibri"/>
          <w:sz w:val="28"/>
          <w:szCs w:val="28"/>
          <w:lang w:val="en-ZA"/>
        </w:rPr>
        <w:t xml:space="preserve"> (of 136) of the Farm Riding</w:t>
      </w:r>
      <w:r w:rsidR="003A698E" w:rsidRPr="001F72AC">
        <w:rPr>
          <w:rFonts w:eastAsia="Calibri"/>
          <w:sz w:val="28"/>
          <w:szCs w:val="28"/>
          <w:lang w:val="en-ZA"/>
        </w:rPr>
        <w:t xml:space="preserve"> 15152</w:t>
      </w:r>
      <w:r w:rsidRPr="001F72AC">
        <w:rPr>
          <w:rFonts w:eastAsia="Calibri"/>
          <w:sz w:val="28"/>
          <w:szCs w:val="28"/>
          <w:lang w:val="en-ZA"/>
        </w:rPr>
        <w:t xml:space="preserve"> (</w:t>
      </w:r>
      <w:r w:rsidR="00AE09C4" w:rsidRPr="001F72AC">
        <w:rPr>
          <w:rFonts w:eastAsia="Calibri"/>
          <w:sz w:val="28"/>
          <w:szCs w:val="28"/>
          <w:lang w:val="en-ZA"/>
        </w:rPr>
        <w:t>P</w:t>
      </w:r>
      <w:r w:rsidRPr="001F72AC">
        <w:rPr>
          <w:rFonts w:eastAsia="Calibri"/>
          <w:sz w:val="28"/>
          <w:szCs w:val="28"/>
          <w:lang w:val="en-ZA"/>
        </w:rPr>
        <w:t>roperty 1</w:t>
      </w:r>
      <w:r w:rsidR="00AE09C4" w:rsidRPr="001F72AC">
        <w:rPr>
          <w:rFonts w:eastAsia="Calibri"/>
          <w:sz w:val="28"/>
          <w:szCs w:val="28"/>
          <w:lang w:val="en-ZA"/>
        </w:rPr>
        <w:t>)</w:t>
      </w:r>
      <w:r w:rsidRPr="001F72AC">
        <w:rPr>
          <w:rFonts w:eastAsia="Calibri"/>
          <w:sz w:val="28"/>
          <w:szCs w:val="28"/>
          <w:lang w:val="en-ZA"/>
        </w:rPr>
        <w:t xml:space="preserve">, situated </w:t>
      </w:r>
      <w:r w:rsidR="006B55F7" w:rsidRPr="001F72AC">
        <w:rPr>
          <w:rFonts w:eastAsia="Calibri"/>
          <w:sz w:val="28"/>
          <w:szCs w:val="28"/>
          <w:lang w:val="en-ZA"/>
        </w:rPr>
        <w:t>alongside</w:t>
      </w:r>
      <w:r w:rsidRPr="001F72AC">
        <w:rPr>
          <w:rFonts w:eastAsia="Calibri"/>
          <w:sz w:val="28"/>
          <w:szCs w:val="28"/>
          <w:lang w:val="en-ZA"/>
        </w:rPr>
        <w:t xml:space="preserve"> the</w:t>
      </w:r>
      <w:r w:rsidR="006B55F7" w:rsidRPr="001F72AC">
        <w:rPr>
          <w:rFonts w:eastAsia="Calibri"/>
          <w:sz w:val="28"/>
          <w:szCs w:val="28"/>
          <w:lang w:val="en-ZA"/>
        </w:rPr>
        <w:t xml:space="preserve"> </w:t>
      </w:r>
      <w:r w:rsidR="002639D8" w:rsidRPr="001F72AC">
        <w:rPr>
          <w:rFonts w:eastAsia="Calibri"/>
          <w:sz w:val="28"/>
          <w:szCs w:val="28"/>
          <w:lang w:val="en-ZA"/>
        </w:rPr>
        <w:t>m</w:t>
      </w:r>
      <w:r w:rsidRPr="001F72AC">
        <w:rPr>
          <w:rFonts w:eastAsia="Calibri"/>
          <w:sz w:val="28"/>
          <w:szCs w:val="28"/>
          <w:lang w:val="en-ZA"/>
        </w:rPr>
        <w:t xml:space="preserve">osque. </w:t>
      </w:r>
      <w:r w:rsidR="00941411" w:rsidRPr="001F72AC">
        <w:rPr>
          <w:rFonts w:eastAsia="Calibri"/>
          <w:sz w:val="28"/>
          <w:szCs w:val="28"/>
          <w:lang w:val="en-ZA"/>
        </w:rPr>
        <w:t xml:space="preserve">Ahmed Hafiz </w:t>
      </w:r>
      <w:r w:rsidR="006B55F7" w:rsidRPr="001F72AC">
        <w:rPr>
          <w:rFonts w:eastAsia="Calibri"/>
          <w:sz w:val="28"/>
          <w:szCs w:val="28"/>
          <w:lang w:val="en-ZA"/>
        </w:rPr>
        <w:t>raised</w:t>
      </w:r>
      <w:r w:rsidR="00941411" w:rsidRPr="001F72AC">
        <w:rPr>
          <w:rFonts w:eastAsia="Calibri"/>
          <w:sz w:val="28"/>
          <w:szCs w:val="28"/>
          <w:lang w:val="en-ZA"/>
        </w:rPr>
        <w:t xml:space="preserve"> a loan </w:t>
      </w:r>
      <w:r w:rsidR="006B55F7" w:rsidRPr="001F72AC">
        <w:rPr>
          <w:rFonts w:eastAsia="Calibri"/>
          <w:sz w:val="28"/>
          <w:szCs w:val="28"/>
          <w:lang w:val="en-ZA"/>
        </w:rPr>
        <w:t>to</w:t>
      </w:r>
      <w:r w:rsidR="00941411" w:rsidRPr="001F72AC">
        <w:rPr>
          <w:rFonts w:eastAsia="Calibri"/>
          <w:sz w:val="28"/>
          <w:szCs w:val="28"/>
          <w:lang w:val="en-ZA"/>
        </w:rPr>
        <w:t xml:space="preserve"> purchas</w:t>
      </w:r>
      <w:r w:rsidR="006B55F7" w:rsidRPr="001F72AC">
        <w:rPr>
          <w:rFonts w:eastAsia="Calibri"/>
          <w:sz w:val="28"/>
          <w:szCs w:val="28"/>
          <w:lang w:val="en-ZA"/>
        </w:rPr>
        <w:t>e</w:t>
      </w:r>
      <w:r w:rsidR="00941411" w:rsidRPr="001F72AC">
        <w:rPr>
          <w:rFonts w:eastAsia="Calibri"/>
          <w:sz w:val="28"/>
          <w:szCs w:val="28"/>
          <w:lang w:val="en-ZA"/>
        </w:rPr>
        <w:t xml:space="preserve"> the property. </w:t>
      </w:r>
      <w:r w:rsidRPr="001F72AC">
        <w:rPr>
          <w:rFonts w:eastAsia="Calibri"/>
          <w:sz w:val="28"/>
          <w:szCs w:val="28"/>
          <w:lang w:val="en-ZA"/>
        </w:rPr>
        <w:t>The loan was settled from donat</w:t>
      </w:r>
      <w:r w:rsidR="006B55F7" w:rsidRPr="001F72AC">
        <w:rPr>
          <w:rFonts w:eastAsia="Calibri"/>
          <w:sz w:val="28"/>
          <w:szCs w:val="28"/>
          <w:lang w:val="en-ZA"/>
        </w:rPr>
        <w:t>ions</w:t>
      </w:r>
      <w:r w:rsidRPr="001F72AC">
        <w:rPr>
          <w:rFonts w:eastAsia="Calibri"/>
          <w:sz w:val="28"/>
          <w:szCs w:val="28"/>
          <w:lang w:val="en-ZA"/>
        </w:rPr>
        <w:t xml:space="preserve"> by members of the Suni community.</w:t>
      </w:r>
      <w:r w:rsidR="00941411" w:rsidRPr="001F72AC">
        <w:rPr>
          <w:rFonts w:eastAsia="Calibri"/>
          <w:sz w:val="28"/>
          <w:szCs w:val="28"/>
          <w:lang w:val="en-ZA"/>
        </w:rPr>
        <w:t xml:space="preserve"> </w:t>
      </w:r>
      <w:r w:rsidR="005F4381" w:rsidRPr="001F72AC">
        <w:rPr>
          <w:rFonts w:eastAsia="Calibri"/>
          <w:sz w:val="28"/>
          <w:szCs w:val="28"/>
          <w:lang w:val="en-ZA"/>
        </w:rPr>
        <w:t>On 6 September 1994, Goolam Hafiz</w:t>
      </w:r>
      <w:r w:rsidR="00967111" w:rsidRPr="001F72AC">
        <w:rPr>
          <w:rFonts w:eastAsia="Calibri"/>
          <w:sz w:val="28"/>
          <w:szCs w:val="28"/>
          <w:lang w:val="en-ZA"/>
        </w:rPr>
        <w:t xml:space="preserve"> (as settlor)</w:t>
      </w:r>
      <w:r w:rsidR="005F4381" w:rsidRPr="001F72AC">
        <w:rPr>
          <w:rFonts w:eastAsia="Calibri"/>
          <w:sz w:val="28"/>
          <w:szCs w:val="28"/>
          <w:lang w:val="en-ZA"/>
        </w:rPr>
        <w:t xml:space="preserve"> and Ahmed Hafiz</w:t>
      </w:r>
      <w:r w:rsidR="00967111" w:rsidRPr="001F72AC">
        <w:rPr>
          <w:rFonts w:eastAsia="Calibri"/>
          <w:sz w:val="28"/>
          <w:szCs w:val="28"/>
          <w:lang w:val="en-ZA"/>
        </w:rPr>
        <w:t xml:space="preserve"> (as F</w:t>
      </w:r>
      <w:r w:rsidR="00EB36FD" w:rsidRPr="001F72AC">
        <w:rPr>
          <w:rFonts w:eastAsia="Calibri"/>
          <w:sz w:val="28"/>
          <w:szCs w:val="28"/>
          <w:lang w:val="en-ZA"/>
        </w:rPr>
        <w:t>i</w:t>
      </w:r>
      <w:r w:rsidR="00967111" w:rsidRPr="001F72AC">
        <w:rPr>
          <w:rFonts w:eastAsia="Calibri"/>
          <w:sz w:val="28"/>
          <w:szCs w:val="28"/>
          <w:lang w:val="en-ZA"/>
        </w:rPr>
        <w:t>rst Trustee)</w:t>
      </w:r>
      <w:r w:rsidR="005F4381" w:rsidRPr="001F72AC">
        <w:rPr>
          <w:rFonts w:eastAsia="Calibri"/>
          <w:sz w:val="28"/>
          <w:szCs w:val="28"/>
          <w:lang w:val="en-ZA"/>
        </w:rPr>
        <w:t xml:space="preserve"> entered into a</w:t>
      </w:r>
      <w:r w:rsidR="006B55F7" w:rsidRPr="001F72AC">
        <w:rPr>
          <w:rFonts w:eastAsia="Calibri"/>
          <w:sz w:val="28"/>
          <w:szCs w:val="28"/>
          <w:lang w:val="en-ZA"/>
        </w:rPr>
        <w:t xml:space="preserve"> written</w:t>
      </w:r>
      <w:r w:rsidR="005F4381" w:rsidRPr="001F72AC">
        <w:rPr>
          <w:rFonts w:eastAsia="Calibri"/>
          <w:sz w:val="28"/>
          <w:szCs w:val="28"/>
          <w:lang w:val="en-ZA"/>
        </w:rPr>
        <w:t xml:space="preserve"> </w:t>
      </w:r>
      <w:r w:rsidR="001379DD" w:rsidRPr="001F72AC">
        <w:rPr>
          <w:rFonts w:eastAsia="Calibri"/>
          <w:sz w:val="28"/>
          <w:szCs w:val="28"/>
          <w:lang w:val="en-ZA"/>
        </w:rPr>
        <w:t>a</w:t>
      </w:r>
      <w:r w:rsidR="005F4381" w:rsidRPr="001F72AC">
        <w:rPr>
          <w:rFonts w:eastAsia="Calibri"/>
          <w:sz w:val="28"/>
          <w:szCs w:val="28"/>
          <w:lang w:val="en-ZA"/>
        </w:rPr>
        <w:t>greement</w:t>
      </w:r>
      <w:r w:rsidR="001379DD" w:rsidRPr="001F72AC">
        <w:rPr>
          <w:rFonts w:eastAsia="Calibri"/>
          <w:sz w:val="28"/>
          <w:szCs w:val="28"/>
          <w:lang w:val="en-ZA"/>
        </w:rPr>
        <w:t xml:space="preserve"> </w:t>
      </w:r>
      <w:r w:rsidR="006B55F7" w:rsidRPr="001F72AC">
        <w:rPr>
          <w:rFonts w:eastAsia="Calibri"/>
          <w:sz w:val="28"/>
          <w:szCs w:val="28"/>
          <w:lang w:val="en-ZA"/>
        </w:rPr>
        <w:t>(</w:t>
      </w:r>
      <w:r w:rsidR="001379DD" w:rsidRPr="001F72AC">
        <w:rPr>
          <w:rFonts w:eastAsia="Calibri"/>
          <w:sz w:val="28"/>
          <w:szCs w:val="28"/>
          <w:lang w:val="en-ZA"/>
        </w:rPr>
        <w:t xml:space="preserve">the </w:t>
      </w:r>
      <w:r w:rsidR="004573A8" w:rsidRPr="001F72AC">
        <w:rPr>
          <w:rFonts w:eastAsia="Calibri"/>
          <w:sz w:val="28"/>
          <w:szCs w:val="28"/>
          <w:lang w:val="en-ZA"/>
        </w:rPr>
        <w:t xml:space="preserve">1994 </w:t>
      </w:r>
      <w:r w:rsidR="001379DD" w:rsidRPr="001F72AC">
        <w:rPr>
          <w:rFonts w:eastAsia="Calibri"/>
          <w:sz w:val="28"/>
          <w:szCs w:val="28"/>
          <w:lang w:val="en-ZA"/>
        </w:rPr>
        <w:t>d</w:t>
      </w:r>
      <w:r w:rsidR="004573A8" w:rsidRPr="001F72AC">
        <w:rPr>
          <w:rFonts w:eastAsia="Calibri"/>
          <w:sz w:val="28"/>
          <w:szCs w:val="28"/>
          <w:lang w:val="en-ZA"/>
        </w:rPr>
        <w:t xml:space="preserve">eed of </w:t>
      </w:r>
      <w:r w:rsidR="001379DD" w:rsidRPr="001F72AC">
        <w:rPr>
          <w:rFonts w:eastAsia="Calibri"/>
          <w:sz w:val="28"/>
          <w:szCs w:val="28"/>
          <w:lang w:val="en-ZA"/>
        </w:rPr>
        <w:t>t</w:t>
      </w:r>
      <w:r w:rsidR="004573A8" w:rsidRPr="001F72AC">
        <w:rPr>
          <w:rFonts w:eastAsia="Calibri"/>
          <w:sz w:val="28"/>
          <w:szCs w:val="28"/>
          <w:lang w:val="en-ZA"/>
        </w:rPr>
        <w:t>rust</w:t>
      </w:r>
      <w:r w:rsidR="006B55F7" w:rsidRPr="001F72AC">
        <w:rPr>
          <w:rFonts w:eastAsia="Calibri"/>
          <w:sz w:val="28"/>
          <w:szCs w:val="28"/>
          <w:lang w:val="en-ZA"/>
        </w:rPr>
        <w:t>),</w:t>
      </w:r>
      <w:r w:rsidR="004573A8" w:rsidRPr="001F72AC">
        <w:rPr>
          <w:rFonts w:eastAsia="Calibri"/>
          <w:sz w:val="28"/>
          <w:szCs w:val="28"/>
          <w:lang w:val="en-ZA"/>
        </w:rPr>
        <w:t xml:space="preserve"> </w:t>
      </w:r>
      <w:r w:rsidR="006B55F7" w:rsidRPr="001F72AC">
        <w:rPr>
          <w:rFonts w:eastAsia="Calibri"/>
          <w:sz w:val="28"/>
          <w:szCs w:val="28"/>
          <w:lang w:val="en-ZA"/>
        </w:rPr>
        <w:t>i</w:t>
      </w:r>
      <w:r w:rsidR="004573A8" w:rsidRPr="001F72AC">
        <w:rPr>
          <w:rFonts w:eastAsia="Calibri"/>
          <w:sz w:val="28"/>
          <w:szCs w:val="28"/>
          <w:lang w:val="en-ZA"/>
        </w:rPr>
        <w:t xml:space="preserve">n </w:t>
      </w:r>
      <w:r w:rsidR="006B55F7" w:rsidRPr="001F72AC">
        <w:rPr>
          <w:rFonts w:eastAsia="Calibri"/>
          <w:sz w:val="28"/>
          <w:szCs w:val="28"/>
          <w:lang w:val="en-ZA"/>
        </w:rPr>
        <w:t>which</w:t>
      </w:r>
      <w:r w:rsidR="004573A8" w:rsidRPr="001F72AC">
        <w:rPr>
          <w:rFonts w:eastAsia="Calibri"/>
          <w:sz w:val="28"/>
          <w:szCs w:val="28"/>
          <w:lang w:val="en-ZA"/>
        </w:rPr>
        <w:t xml:space="preserve"> Goolam Hafiz undertook to donate Property 1 in trust to the </w:t>
      </w:r>
      <w:r w:rsidR="001379DD" w:rsidRPr="001F72AC">
        <w:rPr>
          <w:rFonts w:eastAsia="Calibri"/>
          <w:sz w:val="28"/>
          <w:szCs w:val="28"/>
          <w:lang w:val="en-ZA"/>
        </w:rPr>
        <w:t>Hafiz Trust</w:t>
      </w:r>
      <w:r w:rsidR="004573A8" w:rsidRPr="001F72AC">
        <w:rPr>
          <w:rFonts w:eastAsia="Calibri"/>
          <w:sz w:val="28"/>
          <w:szCs w:val="28"/>
          <w:lang w:val="en-ZA"/>
        </w:rPr>
        <w:t xml:space="preserve">. Ahmed Hafiz was </w:t>
      </w:r>
      <w:r w:rsidR="00967111" w:rsidRPr="001F72AC">
        <w:rPr>
          <w:rFonts w:eastAsia="Calibri"/>
          <w:sz w:val="28"/>
          <w:szCs w:val="28"/>
          <w:lang w:val="en-ZA"/>
        </w:rPr>
        <w:t>named</w:t>
      </w:r>
      <w:r w:rsidR="004573A8" w:rsidRPr="001F72AC">
        <w:rPr>
          <w:rFonts w:eastAsia="Calibri"/>
          <w:sz w:val="28"/>
          <w:szCs w:val="28"/>
          <w:lang w:val="en-ZA"/>
        </w:rPr>
        <w:t xml:space="preserve"> as </w:t>
      </w:r>
      <w:r w:rsidR="001379DD" w:rsidRPr="001F72AC">
        <w:rPr>
          <w:rFonts w:eastAsia="Calibri"/>
          <w:sz w:val="28"/>
          <w:szCs w:val="28"/>
          <w:lang w:val="en-ZA"/>
        </w:rPr>
        <w:t>F</w:t>
      </w:r>
      <w:r w:rsidR="004573A8" w:rsidRPr="001F72AC">
        <w:rPr>
          <w:rFonts w:eastAsia="Calibri"/>
          <w:sz w:val="28"/>
          <w:szCs w:val="28"/>
          <w:lang w:val="en-ZA"/>
        </w:rPr>
        <w:t xml:space="preserve">irst </w:t>
      </w:r>
      <w:r w:rsidR="001379DD" w:rsidRPr="001F72AC">
        <w:rPr>
          <w:rFonts w:eastAsia="Calibri"/>
          <w:sz w:val="28"/>
          <w:szCs w:val="28"/>
          <w:lang w:val="en-ZA"/>
        </w:rPr>
        <w:t>T</w:t>
      </w:r>
      <w:r w:rsidR="004573A8" w:rsidRPr="001F72AC">
        <w:rPr>
          <w:rFonts w:eastAsia="Calibri"/>
          <w:sz w:val="28"/>
          <w:szCs w:val="28"/>
          <w:lang w:val="en-ZA"/>
        </w:rPr>
        <w:t xml:space="preserve">rustee and undertook to administer the </w:t>
      </w:r>
      <w:r w:rsidR="001379DD" w:rsidRPr="001F72AC">
        <w:rPr>
          <w:rFonts w:eastAsia="Calibri"/>
          <w:sz w:val="28"/>
          <w:szCs w:val="28"/>
          <w:lang w:val="en-ZA"/>
        </w:rPr>
        <w:t>trust</w:t>
      </w:r>
      <w:r w:rsidR="004573A8" w:rsidRPr="001F72AC">
        <w:rPr>
          <w:rFonts w:eastAsia="Calibri"/>
          <w:sz w:val="28"/>
          <w:szCs w:val="28"/>
          <w:lang w:val="en-ZA"/>
        </w:rPr>
        <w:t xml:space="preserve"> for </w:t>
      </w:r>
      <w:r w:rsidR="006B55F7" w:rsidRPr="001F72AC">
        <w:rPr>
          <w:rFonts w:eastAsia="Calibri"/>
          <w:sz w:val="28"/>
          <w:szCs w:val="28"/>
          <w:lang w:val="en-ZA"/>
        </w:rPr>
        <w:t xml:space="preserve">the </w:t>
      </w:r>
      <w:r w:rsidR="004573A8" w:rsidRPr="001F72AC">
        <w:rPr>
          <w:rFonts w:eastAsia="Calibri"/>
          <w:sz w:val="28"/>
          <w:szCs w:val="28"/>
          <w:lang w:val="en-ZA"/>
        </w:rPr>
        <w:t xml:space="preserve">purposes set out in the agreement. </w:t>
      </w:r>
    </w:p>
    <w:p w14:paraId="1CBF16CC" w14:textId="77777777" w:rsidR="004573A8" w:rsidRPr="001F72AC" w:rsidRDefault="004573A8" w:rsidP="00452F47">
      <w:pPr>
        <w:spacing w:line="360" w:lineRule="auto"/>
        <w:jc w:val="both"/>
        <w:rPr>
          <w:rFonts w:eastAsia="Calibri"/>
          <w:sz w:val="28"/>
          <w:szCs w:val="28"/>
          <w:lang w:val="en-ZA"/>
        </w:rPr>
      </w:pPr>
    </w:p>
    <w:p w14:paraId="6C7FE827" w14:textId="0825948D" w:rsidR="004573A8" w:rsidRPr="001F72AC" w:rsidRDefault="004573A8" w:rsidP="00452F47">
      <w:pPr>
        <w:spacing w:line="360" w:lineRule="auto"/>
        <w:jc w:val="both"/>
        <w:rPr>
          <w:rFonts w:eastAsia="Calibri"/>
          <w:sz w:val="28"/>
          <w:szCs w:val="28"/>
          <w:lang w:val="en-ZA"/>
        </w:rPr>
      </w:pPr>
      <w:r w:rsidRPr="001F72AC">
        <w:rPr>
          <w:rFonts w:eastAsia="Calibri"/>
          <w:sz w:val="28"/>
          <w:szCs w:val="28"/>
          <w:lang w:val="en-ZA"/>
        </w:rPr>
        <w:t>[</w:t>
      </w:r>
      <w:r w:rsidR="00546FC8" w:rsidRPr="001F72AC">
        <w:rPr>
          <w:rFonts w:eastAsia="Calibri"/>
          <w:sz w:val="28"/>
          <w:szCs w:val="28"/>
          <w:lang w:val="en-ZA"/>
        </w:rPr>
        <w:t>7</w:t>
      </w:r>
      <w:r w:rsidRPr="001F72AC">
        <w:rPr>
          <w:rFonts w:eastAsia="Calibri"/>
          <w:sz w:val="28"/>
          <w:szCs w:val="28"/>
          <w:lang w:val="en-ZA"/>
        </w:rPr>
        <w:t>]</w:t>
      </w:r>
      <w:r w:rsidRPr="001F72AC">
        <w:rPr>
          <w:rFonts w:eastAsia="Calibri"/>
          <w:sz w:val="28"/>
          <w:szCs w:val="28"/>
          <w:lang w:val="en-ZA"/>
        </w:rPr>
        <w:tab/>
      </w:r>
      <w:r w:rsidR="006B55F7" w:rsidRPr="001F72AC">
        <w:rPr>
          <w:rFonts w:eastAsia="Calibri"/>
          <w:sz w:val="28"/>
          <w:szCs w:val="28"/>
          <w:lang w:val="en-ZA"/>
        </w:rPr>
        <w:t>T</w:t>
      </w:r>
      <w:r w:rsidR="001379DD" w:rsidRPr="001F72AC">
        <w:rPr>
          <w:rFonts w:eastAsia="Calibri"/>
          <w:sz w:val="28"/>
          <w:szCs w:val="28"/>
          <w:lang w:val="en-ZA"/>
        </w:rPr>
        <w:t>he Hafiz Trust</w:t>
      </w:r>
      <w:r w:rsidRPr="001F72AC">
        <w:rPr>
          <w:rFonts w:eastAsia="Calibri"/>
          <w:sz w:val="28"/>
          <w:szCs w:val="28"/>
          <w:lang w:val="en-ZA"/>
        </w:rPr>
        <w:t xml:space="preserve"> was registered and the Master</w:t>
      </w:r>
      <w:r w:rsidR="00927BDC" w:rsidRPr="001F72AC">
        <w:rPr>
          <w:rFonts w:eastAsia="Calibri"/>
          <w:sz w:val="28"/>
          <w:szCs w:val="28"/>
          <w:lang w:val="en-ZA"/>
        </w:rPr>
        <w:t xml:space="preserve"> </w:t>
      </w:r>
      <w:r w:rsidRPr="001F72AC">
        <w:rPr>
          <w:rFonts w:eastAsia="Calibri"/>
          <w:sz w:val="28"/>
          <w:szCs w:val="28"/>
          <w:lang w:val="en-ZA"/>
        </w:rPr>
        <w:t xml:space="preserve">issued letters of authority to Ahmed Hafiz </w:t>
      </w:r>
      <w:r w:rsidR="00546FC8" w:rsidRPr="001F72AC">
        <w:rPr>
          <w:rFonts w:eastAsia="Calibri"/>
          <w:sz w:val="28"/>
          <w:szCs w:val="28"/>
          <w:lang w:val="en-ZA"/>
        </w:rPr>
        <w:t>on 21 September 1994</w:t>
      </w:r>
      <w:r w:rsidRPr="001F72AC">
        <w:rPr>
          <w:rFonts w:eastAsia="Calibri"/>
          <w:sz w:val="28"/>
          <w:szCs w:val="28"/>
          <w:lang w:val="en-ZA"/>
        </w:rPr>
        <w:t xml:space="preserve">. Property 1 was donated to </w:t>
      </w:r>
      <w:r w:rsidR="001379DD" w:rsidRPr="001F72AC">
        <w:rPr>
          <w:rFonts w:eastAsia="Calibri"/>
          <w:sz w:val="28"/>
          <w:szCs w:val="28"/>
          <w:lang w:val="en-ZA"/>
        </w:rPr>
        <w:t xml:space="preserve">the Hafiz Trust </w:t>
      </w:r>
      <w:r w:rsidRPr="001F72AC">
        <w:rPr>
          <w:rFonts w:eastAsia="Calibri"/>
          <w:sz w:val="28"/>
          <w:szCs w:val="28"/>
          <w:lang w:val="en-ZA"/>
        </w:rPr>
        <w:t xml:space="preserve">on 30 September 1995 and </w:t>
      </w:r>
      <w:r w:rsidR="00546FC8" w:rsidRPr="001F72AC">
        <w:rPr>
          <w:rFonts w:eastAsia="Calibri"/>
          <w:sz w:val="28"/>
          <w:szCs w:val="28"/>
          <w:lang w:val="en-ZA"/>
        </w:rPr>
        <w:t>was</w:t>
      </w:r>
      <w:r w:rsidRPr="001F72AC">
        <w:rPr>
          <w:rFonts w:eastAsia="Calibri"/>
          <w:sz w:val="28"/>
          <w:szCs w:val="28"/>
          <w:lang w:val="en-ZA"/>
        </w:rPr>
        <w:t xml:space="preserve"> </w:t>
      </w:r>
      <w:r w:rsidR="00546FC8" w:rsidRPr="001F72AC">
        <w:rPr>
          <w:rFonts w:eastAsia="Calibri"/>
          <w:sz w:val="28"/>
          <w:szCs w:val="28"/>
          <w:lang w:val="en-ZA"/>
        </w:rPr>
        <w:t xml:space="preserve">transferred to </w:t>
      </w:r>
      <w:r w:rsidR="001379DD" w:rsidRPr="001F72AC">
        <w:rPr>
          <w:rFonts w:eastAsia="Calibri"/>
          <w:sz w:val="28"/>
          <w:szCs w:val="28"/>
          <w:lang w:val="en-ZA"/>
        </w:rPr>
        <w:t>the trust</w:t>
      </w:r>
      <w:r w:rsidRPr="001F72AC">
        <w:rPr>
          <w:rFonts w:eastAsia="Calibri"/>
          <w:sz w:val="28"/>
          <w:szCs w:val="28"/>
          <w:lang w:val="en-ZA"/>
        </w:rPr>
        <w:t xml:space="preserve"> on 16 February 1996.</w:t>
      </w:r>
      <w:r w:rsidR="001379DD" w:rsidRPr="001F72AC">
        <w:rPr>
          <w:rFonts w:eastAsia="Calibri"/>
          <w:sz w:val="28"/>
          <w:szCs w:val="28"/>
          <w:lang w:val="en-ZA"/>
        </w:rPr>
        <w:t xml:space="preserve"> </w:t>
      </w:r>
      <w:r w:rsidRPr="001F72AC">
        <w:rPr>
          <w:rFonts w:eastAsia="Calibri"/>
          <w:sz w:val="28"/>
          <w:szCs w:val="28"/>
          <w:lang w:val="en-ZA"/>
        </w:rPr>
        <w:t>During 1996, a second property, Portion 177 (of 135) of the Farm Riding</w:t>
      </w:r>
      <w:r w:rsidR="003A698E" w:rsidRPr="001F72AC">
        <w:rPr>
          <w:rFonts w:eastAsia="Calibri"/>
          <w:sz w:val="28"/>
          <w:szCs w:val="28"/>
          <w:lang w:val="en-ZA"/>
        </w:rPr>
        <w:t xml:space="preserve"> 15152</w:t>
      </w:r>
      <w:r w:rsidRPr="001F72AC">
        <w:rPr>
          <w:rFonts w:eastAsia="Calibri"/>
          <w:sz w:val="28"/>
          <w:szCs w:val="28"/>
          <w:lang w:val="en-ZA"/>
        </w:rPr>
        <w:t xml:space="preserve"> (Property 2)</w:t>
      </w:r>
      <w:r w:rsidR="00906A21" w:rsidRPr="001F72AC">
        <w:rPr>
          <w:rFonts w:eastAsia="Calibri"/>
          <w:sz w:val="28"/>
          <w:szCs w:val="28"/>
          <w:lang w:val="en-ZA"/>
        </w:rPr>
        <w:t xml:space="preserve">, also </w:t>
      </w:r>
      <w:r w:rsidR="006B55F7" w:rsidRPr="001F72AC">
        <w:rPr>
          <w:rFonts w:eastAsia="Calibri"/>
          <w:sz w:val="28"/>
          <w:szCs w:val="28"/>
          <w:lang w:val="en-ZA"/>
        </w:rPr>
        <w:t>alongside</w:t>
      </w:r>
      <w:r w:rsidR="00906A21" w:rsidRPr="001F72AC">
        <w:rPr>
          <w:rFonts w:eastAsia="Calibri"/>
          <w:sz w:val="28"/>
          <w:szCs w:val="28"/>
          <w:lang w:val="en-ZA"/>
        </w:rPr>
        <w:t xml:space="preserve"> the mosque, </w:t>
      </w:r>
      <w:r w:rsidRPr="001F72AC">
        <w:rPr>
          <w:rFonts w:eastAsia="Calibri"/>
          <w:sz w:val="28"/>
          <w:szCs w:val="28"/>
          <w:lang w:val="en-ZA"/>
        </w:rPr>
        <w:t>was acquired</w:t>
      </w:r>
      <w:r w:rsidR="006B55F7" w:rsidRPr="001F72AC">
        <w:rPr>
          <w:rFonts w:eastAsia="Calibri"/>
          <w:sz w:val="28"/>
          <w:szCs w:val="28"/>
          <w:lang w:val="en-ZA"/>
        </w:rPr>
        <w:t>.</w:t>
      </w:r>
      <w:r w:rsidRPr="001F72AC">
        <w:rPr>
          <w:rFonts w:eastAsia="Calibri"/>
          <w:sz w:val="28"/>
          <w:szCs w:val="28"/>
          <w:lang w:val="en-ZA"/>
        </w:rPr>
        <w:t xml:space="preserve"> </w:t>
      </w:r>
      <w:r w:rsidR="001379DD" w:rsidRPr="001F72AC">
        <w:rPr>
          <w:rFonts w:eastAsia="Calibri"/>
          <w:sz w:val="28"/>
          <w:szCs w:val="28"/>
          <w:lang w:val="en-ZA"/>
        </w:rPr>
        <w:t xml:space="preserve">Goolam Hafiz </w:t>
      </w:r>
      <w:r w:rsidR="00AE09C4" w:rsidRPr="001F72AC">
        <w:rPr>
          <w:rFonts w:eastAsia="Calibri"/>
          <w:sz w:val="28"/>
          <w:szCs w:val="28"/>
          <w:lang w:val="en-ZA"/>
        </w:rPr>
        <w:t xml:space="preserve">transferred </w:t>
      </w:r>
      <w:r w:rsidR="00546FC8" w:rsidRPr="001F72AC">
        <w:rPr>
          <w:rFonts w:eastAsia="Calibri"/>
          <w:sz w:val="28"/>
          <w:szCs w:val="28"/>
          <w:lang w:val="en-ZA"/>
        </w:rPr>
        <w:t xml:space="preserve">it </w:t>
      </w:r>
      <w:r w:rsidR="00AE09C4" w:rsidRPr="001F72AC">
        <w:rPr>
          <w:rFonts w:eastAsia="Calibri"/>
          <w:sz w:val="28"/>
          <w:szCs w:val="28"/>
          <w:lang w:val="en-ZA"/>
        </w:rPr>
        <w:t xml:space="preserve">to </w:t>
      </w:r>
      <w:r w:rsidR="001379DD" w:rsidRPr="001F72AC">
        <w:rPr>
          <w:rFonts w:eastAsia="Calibri"/>
          <w:sz w:val="28"/>
          <w:szCs w:val="28"/>
          <w:lang w:val="en-ZA"/>
        </w:rPr>
        <w:t>the Hafiz Trust</w:t>
      </w:r>
      <w:r w:rsidR="00AE09C4" w:rsidRPr="001F72AC">
        <w:rPr>
          <w:rFonts w:eastAsia="Calibri"/>
          <w:sz w:val="28"/>
          <w:szCs w:val="28"/>
          <w:lang w:val="en-ZA"/>
        </w:rPr>
        <w:t xml:space="preserve"> in May 2000.</w:t>
      </w:r>
    </w:p>
    <w:p w14:paraId="68B427ED" w14:textId="77777777" w:rsidR="00AE09C4" w:rsidRPr="001F72AC" w:rsidRDefault="00AE09C4" w:rsidP="00452F47">
      <w:pPr>
        <w:spacing w:line="360" w:lineRule="auto"/>
        <w:jc w:val="both"/>
        <w:rPr>
          <w:rFonts w:eastAsia="Calibri"/>
          <w:sz w:val="28"/>
          <w:szCs w:val="28"/>
          <w:lang w:val="en-ZA"/>
        </w:rPr>
      </w:pPr>
    </w:p>
    <w:p w14:paraId="74E16D22" w14:textId="746075A9" w:rsidR="007510BE" w:rsidRPr="001F72AC" w:rsidRDefault="00AE09C4" w:rsidP="00452F47">
      <w:pPr>
        <w:spacing w:line="360" w:lineRule="auto"/>
        <w:jc w:val="both"/>
        <w:rPr>
          <w:rFonts w:eastAsia="Calibri"/>
          <w:sz w:val="28"/>
          <w:szCs w:val="28"/>
          <w:lang w:val="en-ZA"/>
        </w:rPr>
      </w:pPr>
      <w:r w:rsidRPr="001F72AC">
        <w:rPr>
          <w:rFonts w:eastAsia="Calibri"/>
          <w:sz w:val="28"/>
          <w:szCs w:val="28"/>
          <w:lang w:val="en-ZA"/>
        </w:rPr>
        <w:lastRenderedPageBreak/>
        <w:t>[</w:t>
      </w:r>
      <w:r w:rsidR="00546FC8" w:rsidRPr="001F72AC">
        <w:rPr>
          <w:rFonts w:eastAsia="Calibri"/>
          <w:sz w:val="28"/>
          <w:szCs w:val="28"/>
          <w:lang w:val="en-ZA"/>
        </w:rPr>
        <w:t>8</w:t>
      </w:r>
      <w:r w:rsidRPr="001F72AC">
        <w:rPr>
          <w:rFonts w:eastAsia="Calibri"/>
          <w:sz w:val="28"/>
          <w:szCs w:val="28"/>
          <w:lang w:val="en-ZA"/>
        </w:rPr>
        <w:t>]</w:t>
      </w:r>
      <w:r w:rsidRPr="001F72AC">
        <w:rPr>
          <w:rFonts w:eastAsia="Calibri"/>
          <w:sz w:val="28"/>
          <w:szCs w:val="28"/>
          <w:lang w:val="en-ZA"/>
        </w:rPr>
        <w:tab/>
        <w:t>In August 2004,</w:t>
      </w:r>
      <w:r w:rsidR="00906A21" w:rsidRPr="001F72AC">
        <w:rPr>
          <w:rFonts w:eastAsia="Calibri"/>
          <w:sz w:val="28"/>
          <w:szCs w:val="28"/>
          <w:lang w:val="en-ZA"/>
        </w:rPr>
        <w:t xml:space="preserve"> Property 1 and Property 2 were linked by </w:t>
      </w:r>
      <w:r w:rsidRPr="001F72AC">
        <w:rPr>
          <w:rFonts w:eastAsia="Calibri"/>
          <w:sz w:val="28"/>
          <w:szCs w:val="28"/>
          <w:lang w:val="en-ZA"/>
        </w:rPr>
        <w:t xml:space="preserve">a </w:t>
      </w:r>
      <w:r w:rsidR="001379DD" w:rsidRPr="001F72AC">
        <w:rPr>
          <w:rFonts w:eastAsia="Calibri"/>
          <w:sz w:val="28"/>
          <w:szCs w:val="28"/>
          <w:lang w:val="en-ZA"/>
        </w:rPr>
        <w:t>n</w:t>
      </w:r>
      <w:r w:rsidRPr="001F72AC">
        <w:rPr>
          <w:rFonts w:eastAsia="Calibri"/>
          <w:sz w:val="28"/>
          <w:szCs w:val="28"/>
          <w:lang w:val="en-ZA"/>
        </w:rPr>
        <w:t xml:space="preserve">otarial </w:t>
      </w:r>
      <w:r w:rsidR="001379DD" w:rsidRPr="001F72AC">
        <w:rPr>
          <w:rFonts w:eastAsia="Calibri"/>
          <w:sz w:val="28"/>
          <w:szCs w:val="28"/>
          <w:lang w:val="en-ZA"/>
        </w:rPr>
        <w:t>t</w:t>
      </w:r>
      <w:r w:rsidRPr="001F72AC">
        <w:rPr>
          <w:rFonts w:eastAsia="Calibri"/>
          <w:sz w:val="28"/>
          <w:szCs w:val="28"/>
          <w:lang w:val="en-ZA"/>
        </w:rPr>
        <w:t xml:space="preserve">ie </w:t>
      </w:r>
      <w:r w:rsidR="001379DD" w:rsidRPr="001F72AC">
        <w:rPr>
          <w:rFonts w:eastAsia="Calibri"/>
          <w:sz w:val="28"/>
          <w:szCs w:val="28"/>
          <w:lang w:val="en-ZA"/>
        </w:rPr>
        <w:t>a</w:t>
      </w:r>
      <w:r w:rsidRPr="001F72AC">
        <w:rPr>
          <w:rFonts w:eastAsia="Calibri"/>
          <w:sz w:val="28"/>
          <w:szCs w:val="28"/>
          <w:lang w:val="en-ZA"/>
        </w:rPr>
        <w:t>greement</w:t>
      </w:r>
      <w:r w:rsidR="00546FC8" w:rsidRPr="001F72AC">
        <w:rPr>
          <w:rFonts w:eastAsia="Calibri"/>
          <w:sz w:val="28"/>
          <w:szCs w:val="28"/>
          <w:lang w:val="en-ZA"/>
        </w:rPr>
        <w:t xml:space="preserve"> </w:t>
      </w:r>
      <w:r w:rsidRPr="001F72AC">
        <w:rPr>
          <w:rFonts w:eastAsia="Calibri"/>
          <w:sz w:val="28"/>
          <w:szCs w:val="28"/>
          <w:lang w:val="en-ZA"/>
        </w:rPr>
        <w:t xml:space="preserve">concluded between the </w:t>
      </w:r>
      <w:r w:rsidR="001379DD" w:rsidRPr="001F72AC">
        <w:rPr>
          <w:rFonts w:eastAsia="Calibri"/>
          <w:sz w:val="28"/>
          <w:szCs w:val="28"/>
          <w:lang w:val="en-ZA"/>
        </w:rPr>
        <w:t>Mosque Trust</w:t>
      </w:r>
      <w:r w:rsidR="006B55F7" w:rsidRPr="001F72AC">
        <w:rPr>
          <w:rFonts w:eastAsia="Calibri"/>
          <w:sz w:val="28"/>
          <w:szCs w:val="28"/>
          <w:lang w:val="en-ZA"/>
        </w:rPr>
        <w:t xml:space="preserve"> </w:t>
      </w:r>
      <w:r w:rsidRPr="001F72AC">
        <w:rPr>
          <w:rFonts w:eastAsia="Calibri"/>
          <w:sz w:val="28"/>
          <w:szCs w:val="28"/>
          <w:lang w:val="en-ZA"/>
        </w:rPr>
        <w:t xml:space="preserve">and </w:t>
      </w:r>
      <w:r w:rsidR="001379DD" w:rsidRPr="001F72AC">
        <w:rPr>
          <w:rFonts w:eastAsia="Calibri"/>
          <w:sz w:val="28"/>
          <w:szCs w:val="28"/>
          <w:lang w:val="en-ZA"/>
        </w:rPr>
        <w:t xml:space="preserve">the Hafiz Trust, </w:t>
      </w:r>
      <w:r w:rsidRPr="001F72AC">
        <w:rPr>
          <w:rFonts w:eastAsia="Calibri"/>
          <w:sz w:val="28"/>
          <w:szCs w:val="28"/>
          <w:lang w:val="en-ZA"/>
        </w:rPr>
        <w:t xml:space="preserve">represented by </w:t>
      </w:r>
      <w:r w:rsidR="006B55F7" w:rsidRPr="001F72AC">
        <w:rPr>
          <w:rFonts w:eastAsia="Calibri"/>
          <w:sz w:val="28"/>
          <w:szCs w:val="28"/>
          <w:lang w:val="en-ZA"/>
        </w:rPr>
        <w:t xml:space="preserve">Goolam Hafiz and </w:t>
      </w:r>
      <w:r w:rsidRPr="001F72AC">
        <w:rPr>
          <w:rFonts w:eastAsia="Calibri"/>
          <w:sz w:val="28"/>
          <w:szCs w:val="28"/>
          <w:lang w:val="en-ZA"/>
        </w:rPr>
        <w:t>Ahmed Hafiz</w:t>
      </w:r>
      <w:r w:rsidR="006B55F7" w:rsidRPr="001F72AC">
        <w:rPr>
          <w:rFonts w:eastAsia="Calibri"/>
          <w:sz w:val="28"/>
          <w:szCs w:val="28"/>
          <w:lang w:val="en-ZA"/>
        </w:rPr>
        <w:t xml:space="preserve"> </w:t>
      </w:r>
      <w:r w:rsidR="00906A21" w:rsidRPr="001F72AC">
        <w:rPr>
          <w:rFonts w:eastAsia="Calibri"/>
          <w:sz w:val="28"/>
          <w:szCs w:val="28"/>
          <w:lang w:val="en-ZA"/>
        </w:rPr>
        <w:t>respective</w:t>
      </w:r>
      <w:r w:rsidR="006B55F7" w:rsidRPr="001F72AC">
        <w:rPr>
          <w:rFonts w:eastAsia="Calibri"/>
          <w:sz w:val="28"/>
          <w:szCs w:val="28"/>
          <w:lang w:val="en-ZA"/>
        </w:rPr>
        <w:t>ly.</w:t>
      </w:r>
      <w:r w:rsidRPr="001F72AC">
        <w:rPr>
          <w:rFonts w:eastAsia="Calibri"/>
          <w:sz w:val="28"/>
          <w:szCs w:val="28"/>
          <w:lang w:val="en-ZA"/>
        </w:rPr>
        <w:t xml:space="preserve"> </w:t>
      </w:r>
      <w:r w:rsidR="003F57E2" w:rsidRPr="001F72AC">
        <w:rPr>
          <w:rFonts w:eastAsia="Calibri"/>
          <w:sz w:val="28"/>
          <w:szCs w:val="28"/>
          <w:lang w:val="en-ZA"/>
        </w:rPr>
        <w:t>This</w:t>
      </w:r>
      <w:r w:rsidR="0006537B" w:rsidRPr="001F72AC">
        <w:rPr>
          <w:rFonts w:eastAsia="Calibri"/>
          <w:sz w:val="28"/>
          <w:szCs w:val="28"/>
          <w:lang w:val="en-ZA"/>
        </w:rPr>
        <w:t xml:space="preserve"> was to </w:t>
      </w:r>
      <w:r w:rsidR="005628F9" w:rsidRPr="001F72AC">
        <w:rPr>
          <w:rFonts w:eastAsia="Calibri"/>
          <w:sz w:val="28"/>
          <w:szCs w:val="28"/>
          <w:lang w:val="en-ZA"/>
        </w:rPr>
        <w:t>enable</w:t>
      </w:r>
      <w:r w:rsidR="0006537B" w:rsidRPr="001F72AC">
        <w:rPr>
          <w:rFonts w:eastAsia="Calibri"/>
          <w:sz w:val="28"/>
          <w:szCs w:val="28"/>
          <w:lang w:val="en-ZA"/>
        </w:rPr>
        <w:t xml:space="preserve"> the properties </w:t>
      </w:r>
      <w:r w:rsidR="005628F9" w:rsidRPr="001F72AC">
        <w:rPr>
          <w:rFonts w:eastAsia="Calibri"/>
          <w:sz w:val="28"/>
          <w:szCs w:val="28"/>
          <w:lang w:val="en-ZA"/>
        </w:rPr>
        <w:t>to be</w:t>
      </w:r>
      <w:r w:rsidR="0006537B" w:rsidRPr="001F72AC">
        <w:rPr>
          <w:rFonts w:eastAsia="Calibri"/>
          <w:sz w:val="28"/>
          <w:szCs w:val="28"/>
          <w:lang w:val="en-ZA"/>
        </w:rPr>
        <w:t xml:space="preserve"> developed by the construction of a hall, residential </w:t>
      </w:r>
      <w:proofErr w:type="gramStart"/>
      <w:r w:rsidR="0006537B" w:rsidRPr="001F72AC">
        <w:rPr>
          <w:rFonts w:eastAsia="Calibri"/>
          <w:sz w:val="28"/>
          <w:szCs w:val="28"/>
          <w:lang w:val="en-ZA"/>
        </w:rPr>
        <w:t>building</w:t>
      </w:r>
      <w:r w:rsidR="002639D8" w:rsidRPr="001F72AC">
        <w:rPr>
          <w:rFonts w:eastAsia="Calibri"/>
          <w:sz w:val="28"/>
          <w:szCs w:val="28"/>
          <w:lang w:val="en-ZA"/>
        </w:rPr>
        <w:t>s</w:t>
      </w:r>
      <w:proofErr w:type="gramEnd"/>
      <w:r w:rsidR="0006537B" w:rsidRPr="001F72AC">
        <w:rPr>
          <w:rFonts w:eastAsia="Calibri"/>
          <w:sz w:val="28"/>
          <w:szCs w:val="28"/>
          <w:lang w:val="en-ZA"/>
        </w:rPr>
        <w:t xml:space="preserve"> and an office complex. </w:t>
      </w:r>
      <w:r w:rsidR="005628F9" w:rsidRPr="001F72AC">
        <w:rPr>
          <w:rFonts w:eastAsia="Calibri"/>
          <w:sz w:val="28"/>
          <w:szCs w:val="28"/>
          <w:lang w:val="en-ZA"/>
        </w:rPr>
        <w:t xml:space="preserve"> T</w:t>
      </w:r>
      <w:r w:rsidR="0006537B" w:rsidRPr="001F72AC">
        <w:rPr>
          <w:rFonts w:eastAsia="Calibri"/>
          <w:sz w:val="28"/>
          <w:szCs w:val="28"/>
          <w:lang w:val="en-ZA"/>
        </w:rPr>
        <w:t>he Hafiz Trust</w:t>
      </w:r>
      <w:r w:rsidR="007510BE" w:rsidRPr="001F72AC">
        <w:rPr>
          <w:rFonts w:eastAsia="Calibri"/>
          <w:sz w:val="28"/>
          <w:szCs w:val="28"/>
          <w:lang w:val="en-ZA"/>
        </w:rPr>
        <w:t xml:space="preserve"> was advised to </w:t>
      </w:r>
      <w:r w:rsidR="005628F9" w:rsidRPr="001F72AC">
        <w:rPr>
          <w:rFonts w:eastAsia="Calibri"/>
          <w:sz w:val="28"/>
          <w:szCs w:val="28"/>
          <w:lang w:val="en-ZA"/>
        </w:rPr>
        <w:t>register</w:t>
      </w:r>
      <w:r w:rsidR="007510BE" w:rsidRPr="001F72AC">
        <w:rPr>
          <w:rFonts w:eastAsia="Calibri"/>
          <w:sz w:val="28"/>
          <w:szCs w:val="28"/>
          <w:lang w:val="en-ZA"/>
        </w:rPr>
        <w:t xml:space="preserve"> as a public benefit organisation</w:t>
      </w:r>
      <w:r w:rsidR="0006537B" w:rsidRPr="001F72AC">
        <w:rPr>
          <w:rFonts w:eastAsia="Calibri"/>
          <w:sz w:val="28"/>
          <w:szCs w:val="28"/>
          <w:lang w:val="en-ZA"/>
        </w:rPr>
        <w:t xml:space="preserve"> in terms of the Nonprofit Organisations Act 71 of 1997.</w:t>
      </w:r>
      <w:r w:rsidR="007510BE" w:rsidRPr="001F72AC">
        <w:rPr>
          <w:rFonts w:eastAsia="Calibri"/>
          <w:sz w:val="28"/>
          <w:szCs w:val="28"/>
          <w:lang w:val="en-ZA"/>
        </w:rPr>
        <w:t xml:space="preserve"> </w:t>
      </w:r>
      <w:r w:rsidR="005628F9" w:rsidRPr="001F72AC">
        <w:rPr>
          <w:rFonts w:eastAsia="Calibri"/>
          <w:sz w:val="28"/>
          <w:szCs w:val="28"/>
          <w:lang w:val="en-ZA"/>
        </w:rPr>
        <w:t>This required</w:t>
      </w:r>
      <w:r w:rsidR="00B51E8E" w:rsidRPr="001F72AC">
        <w:rPr>
          <w:rFonts w:eastAsia="Calibri"/>
          <w:sz w:val="28"/>
          <w:szCs w:val="28"/>
          <w:lang w:val="en-ZA"/>
        </w:rPr>
        <w:t xml:space="preserve"> </w:t>
      </w:r>
      <w:r w:rsidR="005628F9" w:rsidRPr="001F72AC">
        <w:rPr>
          <w:rFonts w:eastAsia="Calibri"/>
          <w:sz w:val="28"/>
          <w:szCs w:val="28"/>
          <w:lang w:val="en-ZA"/>
        </w:rPr>
        <w:t xml:space="preserve">an </w:t>
      </w:r>
      <w:r w:rsidR="00B51E8E" w:rsidRPr="001F72AC">
        <w:rPr>
          <w:rFonts w:eastAsia="Calibri"/>
          <w:sz w:val="28"/>
          <w:szCs w:val="28"/>
          <w:lang w:val="en-ZA"/>
        </w:rPr>
        <w:t>amend</w:t>
      </w:r>
      <w:r w:rsidR="005628F9" w:rsidRPr="001F72AC">
        <w:rPr>
          <w:rFonts w:eastAsia="Calibri"/>
          <w:sz w:val="28"/>
          <w:szCs w:val="28"/>
          <w:lang w:val="en-ZA"/>
        </w:rPr>
        <w:t>ment of</w:t>
      </w:r>
      <w:r w:rsidR="00B51E8E" w:rsidRPr="001F72AC">
        <w:rPr>
          <w:rFonts w:eastAsia="Calibri"/>
          <w:sz w:val="28"/>
          <w:szCs w:val="28"/>
          <w:lang w:val="en-ZA"/>
        </w:rPr>
        <w:t xml:space="preserve"> the 1994 </w:t>
      </w:r>
      <w:r w:rsidR="00AB48BB" w:rsidRPr="001F72AC">
        <w:rPr>
          <w:rFonts w:eastAsia="Calibri"/>
          <w:sz w:val="28"/>
          <w:szCs w:val="28"/>
          <w:lang w:val="en-ZA"/>
        </w:rPr>
        <w:t>d</w:t>
      </w:r>
      <w:r w:rsidR="00B51E8E" w:rsidRPr="001F72AC">
        <w:rPr>
          <w:rFonts w:eastAsia="Calibri"/>
          <w:sz w:val="28"/>
          <w:szCs w:val="28"/>
          <w:lang w:val="en-ZA"/>
        </w:rPr>
        <w:t xml:space="preserve">eed of </w:t>
      </w:r>
      <w:r w:rsidR="00AB48BB" w:rsidRPr="001F72AC">
        <w:rPr>
          <w:rFonts w:eastAsia="Calibri"/>
          <w:sz w:val="28"/>
          <w:szCs w:val="28"/>
          <w:lang w:val="en-ZA"/>
        </w:rPr>
        <w:t>t</w:t>
      </w:r>
      <w:r w:rsidR="00B51E8E" w:rsidRPr="001F72AC">
        <w:rPr>
          <w:rFonts w:eastAsia="Calibri"/>
          <w:sz w:val="28"/>
          <w:szCs w:val="28"/>
          <w:lang w:val="en-ZA"/>
        </w:rPr>
        <w:t>rust</w:t>
      </w:r>
      <w:r w:rsidR="00AB48BB" w:rsidRPr="001F72AC">
        <w:rPr>
          <w:rFonts w:eastAsia="Calibri"/>
          <w:sz w:val="28"/>
          <w:szCs w:val="28"/>
          <w:lang w:val="en-ZA"/>
        </w:rPr>
        <w:t xml:space="preserve">. </w:t>
      </w:r>
    </w:p>
    <w:p w14:paraId="23F43C4A" w14:textId="77777777" w:rsidR="00B51E8E" w:rsidRPr="001F72AC" w:rsidRDefault="00B51E8E" w:rsidP="00452F47">
      <w:pPr>
        <w:spacing w:line="360" w:lineRule="auto"/>
        <w:jc w:val="both"/>
        <w:rPr>
          <w:rFonts w:eastAsia="Calibri"/>
          <w:sz w:val="28"/>
          <w:szCs w:val="28"/>
          <w:lang w:val="en-ZA"/>
        </w:rPr>
      </w:pPr>
    </w:p>
    <w:p w14:paraId="400884A2" w14:textId="5BFC7BE9" w:rsidR="006217B9" w:rsidRPr="001F72AC" w:rsidRDefault="00B51E8E" w:rsidP="00452F47">
      <w:pPr>
        <w:spacing w:line="360" w:lineRule="auto"/>
        <w:jc w:val="both"/>
        <w:rPr>
          <w:rFonts w:eastAsia="Calibri"/>
          <w:sz w:val="28"/>
          <w:szCs w:val="28"/>
          <w:lang w:val="en-ZA"/>
        </w:rPr>
      </w:pPr>
      <w:r w:rsidRPr="001F72AC">
        <w:rPr>
          <w:rFonts w:eastAsia="Calibri"/>
          <w:sz w:val="28"/>
          <w:szCs w:val="28"/>
          <w:lang w:val="en-ZA"/>
        </w:rPr>
        <w:t>[</w:t>
      </w:r>
      <w:r w:rsidR="005628F9" w:rsidRPr="001F72AC">
        <w:rPr>
          <w:rFonts w:eastAsia="Calibri"/>
          <w:sz w:val="28"/>
          <w:szCs w:val="28"/>
          <w:lang w:val="en-ZA"/>
        </w:rPr>
        <w:t>9</w:t>
      </w:r>
      <w:r w:rsidRPr="001F72AC">
        <w:rPr>
          <w:rFonts w:eastAsia="Calibri"/>
          <w:sz w:val="28"/>
          <w:szCs w:val="28"/>
          <w:lang w:val="en-ZA"/>
        </w:rPr>
        <w:t>]</w:t>
      </w:r>
      <w:r w:rsidRPr="001F72AC">
        <w:rPr>
          <w:rFonts w:eastAsia="Calibri"/>
          <w:sz w:val="28"/>
          <w:szCs w:val="28"/>
          <w:lang w:val="en-ZA"/>
        </w:rPr>
        <w:tab/>
        <w:t>Goolam Hafiz</w:t>
      </w:r>
      <w:r w:rsidR="005628F9" w:rsidRPr="001F72AC">
        <w:rPr>
          <w:rFonts w:eastAsia="Calibri"/>
          <w:sz w:val="28"/>
          <w:szCs w:val="28"/>
          <w:lang w:val="en-ZA"/>
        </w:rPr>
        <w:t xml:space="preserve"> and his three sons</w:t>
      </w:r>
      <w:r w:rsidRPr="001F72AC">
        <w:rPr>
          <w:rFonts w:eastAsia="Calibri"/>
          <w:sz w:val="28"/>
          <w:szCs w:val="28"/>
          <w:lang w:val="en-ZA"/>
        </w:rPr>
        <w:t xml:space="preserve"> </w:t>
      </w:r>
      <w:r w:rsidR="005628F9" w:rsidRPr="001F72AC">
        <w:rPr>
          <w:rFonts w:eastAsia="Calibri"/>
          <w:sz w:val="28"/>
          <w:szCs w:val="28"/>
          <w:lang w:val="en-ZA"/>
        </w:rPr>
        <w:t xml:space="preserve">met on 14 December 2004 to amend the </w:t>
      </w:r>
      <w:r w:rsidRPr="001F72AC">
        <w:rPr>
          <w:rFonts w:eastAsia="Calibri"/>
          <w:sz w:val="28"/>
          <w:szCs w:val="28"/>
          <w:lang w:val="en-ZA"/>
        </w:rPr>
        <w:t xml:space="preserve"> </w:t>
      </w:r>
      <w:r w:rsidR="00AB48BB" w:rsidRPr="001F72AC">
        <w:rPr>
          <w:rFonts w:eastAsia="Calibri"/>
          <w:sz w:val="28"/>
          <w:szCs w:val="28"/>
          <w:lang w:val="en-ZA"/>
        </w:rPr>
        <w:t>d</w:t>
      </w:r>
      <w:r w:rsidRPr="001F72AC">
        <w:rPr>
          <w:rFonts w:eastAsia="Calibri"/>
          <w:sz w:val="28"/>
          <w:szCs w:val="28"/>
          <w:lang w:val="en-ZA"/>
        </w:rPr>
        <w:t xml:space="preserve">eed of </w:t>
      </w:r>
      <w:r w:rsidR="00AB48BB" w:rsidRPr="001F72AC">
        <w:rPr>
          <w:rFonts w:eastAsia="Calibri"/>
          <w:sz w:val="28"/>
          <w:szCs w:val="28"/>
          <w:lang w:val="en-ZA"/>
        </w:rPr>
        <w:t>t</w:t>
      </w:r>
      <w:r w:rsidRPr="001F72AC">
        <w:rPr>
          <w:rFonts w:eastAsia="Calibri"/>
          <w:sz w:val="28"/>
          <w:szCs w:val="28"/>
          <w:lang w:val="en-ZA"/>
        </w:rPr>
        <w:t>rust</w:t>
      </w:r>
      <w:r w:rsidR="00AB48BB" w:rsidRPr="001F72AC">
        <w:rPr>
          <w:rFonts w:eastAsia="Calibri"/>
          <w:sz w:val="28"/>
          <w:szCs w:val="28"/>
          <w:lang w:val="en-ZA"/>
        </w:rPr>
        <w:t xml:space="preserve">. </w:t>
      </w:r>
      <w:r w:rsidR="005628F9" w:rsidRPr="001F72AC">
        <w:rPr>
          <w:rFonts w:eastAsia="Calibri"/>
          <w:sz w:val="28"/>
          <w:szCs w:val="28"/>
          <w:lang w:val="en-ZA"/>
        </w:rPr>
        <w:t>T</w:t>
      </w:r>
      <w:r w:rsidR="00AB48BB" w:rsidRPr="001F72AC">
        <w:rPr>
          <w:rFonts w:eastAsia="Calibri"/>
          <w:sz w:val="28"/>
          <w:szCs w:val="28"/>
          <w:lang w:val="en-ZA"/>
        </w:rPr>
        <w:t>he 2004 deed of amendment was approved by resolution</w:t>
      </w:r>
      <w:r w:rsidR="0063028A" w:rsidRPr="001F72AC">
        <w:rPr>
          <w:rFonts w:eastAsia="Calibri"/>
          <w:sz w:val="28"/>
          <w:szCs w:val="28"/>
          <w:lang w:val="en-ZA"/>
        </w:rPr>
        <w:t xml:space="preserve"> and</w:t>
      </w:r>
      <w:r w:rsidR="00AB48BB" w:rsidRPr="001F72AC">
        <w:rPr>
          <w:rFonts w:eastAsia="Calibri"/>
          <w:sz w:val="28"/>
          <w:szCs w:val="28"/>
          <w:lang w:val="en-ZA"/>
        </w:rPr>
        <w:t xml:space="preserve"> signed by each of the participants. </w:t>
      </w:r>
      <w:r w:rsidR="005628F9" w:rsidRPr="001F72AC">
        <w:rPr>
          <w:rFonts w:eastAsia="Calibri"/>
          <w:sz w:val="28"/>
          <w:szCs w:val="28"/>
          <w:lang w:val="en-ZA"/>
        </w:rPr>
        <w:t>A</w:t>
      </w:r>
      <w:r w:rsidR="00AB48BB" w:rsidRPr="001F72AC">
        <w:rPr>
          <w:rFonts w:eastAsia="Calibri"/>
          <w:sz w:val="28"/>
          <w:szCs w:val="28"/>
          <w:lang w:val="en-ZA"/>
        </w:rPr>
        <w:t>t a subsequent meeting held on 3 January 2005</w:t>
      </w:r>
      <w:r w:rsidR="0063028A" w:rsidRPr="001F72AC">
        <w:rPr>
          <w:rFonts w:eastAsia="Calibri"/>
          <w:sz w:val="28"/>
          <w:szCs w:val="28"/>
          <w:lang w:val="en-ZA"/>
        </w:rPr>
        <w:t>,</w:t>
      </w:r>
      <w:r w:rsidR="00AB48BB" w:rsidRPr="001F72AC">
        <w:rPr>
          <w:rFonts w:eastAsia="Calibri"/>
          <w:sz w:val="28"/>
          <w:szCs w:val="28"/>
          <w:lang w:val="en-ZA"/>
        </w:rPr>
        <w:t xml:space="preserve"> the assumption of two further trustees was approved, namely </w:t>
      </w:r>
      <w:r w:rsidR="006217B9" w:rsidRPr="001F72AC">
        <w:rPr>
          <w:rFonts w:eastAsia="Calibri"/>
          <w:sz w:val="28"/>
          <w:szCs w:val="28"/>
          <w:lang w:val="en-ZA"/>
        </w:rPr>
        <w:t>A</w:t>
      </w:r>
      <w:r w:rsidR="00D62DEA" w:rsidRPr="001F72AC">
        <w:rPr>
          <w:rFonts w:eastAsia="Calibri"/>
          <w:sz w:val="28"/>
          <w:szCs w:val="28"/>
          <w:lang w:val="en-ZA"/>
        </w:rPr>
        <w:t>k</w:t>
      </w:r>
      <w:r w:rsidR="006217B9" w:rsidRPr="001F72AC">
        <w:rPr>
          <w:rFonts w:eastAsia="Calibri"/>
          <w:sz w:val="28"/>
          <w:szCs w:val="28"/>
          <w:lang w:val="en-ZA"/>
        </w:rPr>
        <w:t>hmed Wahab and Sayed Mohamed.</w:t>
      </w:r>
    </w:p>
    <w:p w14:paraId="7CB1B69F" w14:textId="77777777" w:rsidR="0063028A" w:rsidRPr="001F72AC" w:rsidRDefault="0063028A" w:rsidP="00452F47">
      <w:pPr>
        <w:spacing w:line="360" w:lineRule="auto"/>
        <w:jc w:val="both"/>
        <w:rPr>
          <w:rFonts w:eastAsia="Calibri"/>
          <w:sz w:val="28"/>
          <w:szCs w:val="28"/>
          <w:lang w:val="en-ZA"/>
        </w:rPr>
      </w:pPr>
    </w:p>
    <w:p w14:paraId="11903367" w14:textId="551A72D7" w:rsidR="00E65A17" w:rsidRPr="001F72AC" w:rsidRDefault="00E65A17" w:rsidP="00452F47">
      <w:pPr>
        <w:spacing w:line="360" w:lineRule="auto"/>
        <w:jc w:val="both"/>
        <w:rPr>
          <w:rFonts w:eastAsia="Calibri"/>
          <w:sz w:val="28"/>
          <w:szCs w:val="28"/>
          <w:lang w:val="en-ZA"/>
        </w:rPr>
      </w:pPr>
      <w:r w:rsidRPr="001F72AC">
        <w:rPr>
          <w:rFonts w:eastAsia="Calibri"/>
          <w:sz w:val="28"/>
          <w:szCs w:val="28"/>
          <w:lang w:val="en-ZA"/>
        </w:rPr>
        <w:t>[1</w:t>
      </w:r>
      <w:r w:rsidR="005628F9" w:rsidRPr="001F72AC">
        <w:rPr>
          <w:rFonts w:eastAsia="Calibri"/>
          <w:sz w:val="28"/>
          <w:szCs w:val="28"/>
          <w:lang w:val="en-ZA"/>
        </w:rPr>
        <w:t>0</w:t>
      </w:r>
      <w:r w:rsidRPr="001F72AC">
        <w:rPr>
          <w:rFonts w:eastAsia="Calibri"/>
          <w:sz w:val="28"/>
          <w:szCs w:val="28"/>
          <w:lang w:val="en-ZA"/>
        </w:rPr>
        <w:t>]</w:t>
      </w:r>
      <w:r w:rsidRPr="001F72AC">
        <w:rPr>
          <w:rFonts w:eastAsia="Calibri"/>
          <w:sz w:val="28"/>
          <w:szCs w:val="28"/>
          <w:lang w:val="en-ZA"/>
        </w:rPr>
        <w:tab/>
        <w:t xml:space="preserve">On 31 January 2005, the 2004 </w:t>
      </w:r>
      <w:r w:rsidR="00AB48BB" w:rsidRPr="001F72AC">
        <w:rPr>
          <w:rFonts w:eastAsia="Calibri"/>
          <w:sz w:val="28"/>
          <w:szCs w:val="28"/>
          <w:lang w:val="en-ZA"/>
        </w:rPr>
        <w:t>d</w:t>
      </w:r>
      <w:r w:rsidRPr="001F72AC">
        <w:rPr>
          <w:rFonts w:eastAsia="Calibri"/>
          <w:sz w:val="28"/>
          <w:szCs w:val="28"/>
          <w:lang w:val="en-ZA"/>
        </w:rPr>
        <w:t xml:space="preserve">eed of </w:t>
      </w:r>
      <w:r w:rsidR="00AB48BB" w:rsidRPr="001F72AC">
        <w:rPr>
          <w:rFonts w:eastAsia="Calibri"/>
          <w:sz w:val="28"/>
          <w:szCs w:val="28"/>
          <w:lang w:val="en-ZA"/>
        </w:rPr>
        <w:t>a</w:t>
      </w:r>
      <w:r w:rsidRPr="001F72AC">
        <w:rPr>
          <w:rFonts w:eastAsia="Calibri"/>
          <w:sz w:val="28"/>
          <w:szCs w:val="28"/>
          <w:lang w:val="en-ZA"/>
        </w:rPr>
        <w:t xml:space="preserve">mendment </w:t>
      </w:r>
      <w:r w:rsidR="00967111" w:rsidRPr="001F72AC">
        <w:rPr>
          <w:rFonts w:eastAsia="Calibri"/>
          <w:sz w:val="28"/>
          <w:szCs w:val="28"/>
          <w:lang w:val="en-ZA"/>
        </w:rPr>
        <w:t xml:space="preserve">and resolution approving the assumption of additional trustees, </w:t>
      </w:r>
      <w:r w:rsidRPr="001F72AC">
        <w:rPr>
          <w:rFonts w:eastAsia="Calibri"/>
          <w:sz w:val="28"/>
          <w:szCs w:val="28"/>
          <w:lang w:val="en-ZA"/>
        </w:rPr>
        <w:t xml:space="preserve">was lodged with the Master. On 4 February 2005, the Master </w:t>
      </w:r>
      <w:r w:rsidR="000537D6" w:rsidRPr="001F72AC">
        <w:rPr>
          <w:rFonts w:eastAsia="Calibri"/>
          <w:sz w:val="28"/>
          <w:szCs w:val="28"/>
          <w:lang w:val="en-ZA"/>
        </w:rPr>
        <w:t>advised</w:t>
      </w:r>
      <w:r w:rsidRPr="001F72AC">
        <w:rPr>
          <w:rFonts w:eastAsia="Calibri"/>
          <w:sz w:val="28"/>
          <w:szCs w:val="28"/>
          <w:lang w:val="en-ZA"/>
        </w:rPr>
        <w:t xml:space="preserve"> that Shakeel and Aneez Hafiz had </w:t>
      </w:r>
      <w:r w:rsidR="00AB48BB" w:rsidRPr="001F72AC">
        <w:rPr>
          <w:rFonts w:eastAsia="Calibri"/>
          <w:sz w:val="28"/>
          <w:szCs w:val="28"/>
          <w:lang w:val="en-ZA"/>
        </w:rPr>
        <w:t>n</w:t>
      </w:r>
      <w:r w:rsidRPr="001F72AC">
        <w:rPr>
          <w:rFonts w:eastAsia="Calibri"/>
          <w:sz w:val="28"/>
          <w:szCs w:val="28"/>
          <w:lang w:val="en-ZA"/>
        </w:rPr>
        <w:t xml:space="preserve">ot been appointed as trustees of </w:t>
      </w:r>
      <w:r w:rsidR="00AB48BB" w:rsidRPr="001F72AC">
        <w:rPr>
          <w:rFonts w:eastAsia="Calibri"/>
          <w:sz w:val="28"/>
          <w:szCs w:val="28"/>
          <w:lang w:val="en-ZA"/>
        </w:rPr>
        <w:t>the Hafiz Trust</w:t>
      </w:r>
      <w:r w:rsidRPr="001F72AC">
        <w:rPr>
          <w:rFonts w:eastAsia="Calibri"/>
          <w:sz w:val="28"/>
          <w:szCs w:val="28"/>
          <w:lang w:val="en-ZA"/>
        </w:rPr>
        <w:t xml:space="preserve">. The Master was </w:t>
      </w:r>
      <w:r w:rsidR="00AB48BB" w:rsidRPr="001F72AC">
        <w:rPr>
          <w:rFonts w:eastAsia="Calibri"/>
          <w:sz w:val="28"/>
          <w:szCs w:val="28"/>
          <w:lang w:val="en-ZA"/>
        </w:rPr>
        <w:t xml:space="preserve">nevertheless </w:t>
      </w:r>
      <w:r w:rsidRPr="001F72AC">
        <w:rPr>
          <w:rFonts w:eastAsia="Calibri"/>
          <w:sz w:val="28"/>
          <w:szCs w:val="28"/>
          <w:lang w:val="en-ZA"/>
        </w:rPr>
        <w:t>requested</w:t>
      </w:r>
      <w:r w:rsidR="00906A21" w:rsidRPr="001F72AC">
        <w:rPr>
          <w:rFonts w:eastAsia="Calibri"/>
          <w:sz w:val="28"/>
          <w:szCs w:val="28"/>
          <w:lang w:val="en-ZA"/>
        </w:rPr>
        <w:t xml:space="preserve"> </w:t>
      </w:r>
      <w:r w:rsidRPr="001F72AC">
        <w:rPr>
          <w:rFonts w:eastAsia="Calibri"/>
          <w:sz w:val="28"/>
          <w:szCs w:val="28"/>
          <w:lang w:val="en-ZA"/>
        </w:rPr>
        <w:t xml:space="preserve">to proceed with the appointment of </w:t>
      </w:r>
      <w:r w:rsidR="00AB48BB" w:rsidRPr="001F72AC">
        <w:rPr>
          <w:rFonts w:eastAsia="Calibri"/>
          <w:sz w:val="28"/>
          <w:szCs w:val="28"/>
          <w:lang w:val="en-ZA"/>
        </w:rPr>
        <w:t>Akhmed Wahab and Sayed Mohamed</w:t>
      </w:r>
      <w:r w:rsidR="00D62DEA" w:rsidRPr="001F72AC">
        <w:rPr>
          <w:rFonts w:eastAsia="Calibri"/>
          <w:sz w:val="28"/>
          <w:szCs w:val="28"/>
          <w:lang w:val="en-ZA"/>
        </w:rPr>
        <w:t xml:space="preserve"> as trustees.</w:t>
      </w:r>
      <w:r w:rsidRPr="001F72AC">
        <w:rPr>
          <w:rFonts w:eastAsia="Calibri"/>
          <w:sz w:val="28"/>
          <w:szCs w:val="28"/>
          <w:lang w:val="en-ZA"/>
        </w:rPr>
        <w:t xml:space="preserve"> The Master issued letters of authority </w:t>
      </w:r>
      <w:r w:rsidR="000537D6" w:rsidRPr="001F72AC">
        <w:rPr>
          <w:rFonts w:eastAsia="Calibri"/>
          <w:sz w:val="28"/>
          <w:szCs w:val="28"/>
          <w:lang w:val="en-ZA"/>
        </w:rPr>
        <w:t>to</w:t>
      </w:r>
      <w:r w:rsidRPr="001F72AC">
        <w:rPr>
          <w:rFonts w:eastAsia="Calibri"/>
          <w:sz w:val="28"/>
          <w:szCs w:val="28"/>
          <w:lang w:val="en-ZA"/>
        </w:rPr>
        <w:t xml:space="preserve"> them on 26 August 2005.</w:t>
      </w:r>
    </w:p>
    <w:p w14:paraId="65A8E6DE" w14:textId="77777777" w:rsidR="00927BDC" w:rsidRPr="001F72AC" w:rsidRDefault="00927BDC" w:rsidP="00452F47">
      <w:pPr>
        <w:spacing w:line="360" w:lineRule="auto"/>
        <w:jc w:val="both"/>
        <w:rPr>
          <w:rFonts w:eastAsia="Calibri"/>
          <w:sz w:val="28"/>
          <w:szCs w:val="28"/>
          <w:lang w:val="en-ZA"/>
        </w:rPr>
      </w:pPr>
    </w:p>
    <w:p w14:paraId="3EF29FE1" w14:textId="338EBA99" w:rsidR="00B230D8" w:rsidRPr="001F72AC" w:rsidRDefault="00927BDC" w:rsidP="00452F47">
      <w:pPr>
        <w:spacing w:line="360" w:lineRule="auto"/>
        <w:jc w:val="both"/>
        <w:rPr>
          <w:rFonts w:eastAsia="Calibri"/>
          <w:sz w:val="28"/>
          <w:szCs w:val="28"/>
          <w:lang w:val="en-ZA"/>
        </w:rPr>
      </w:pPr>
      <w:r w:rsidRPr="001F72AC">
        <w:rPr>
          <w:rFonts w:eastAsia="Calibri"/>
          <w:sz w:val="28"/>
          <w:szCs w:val="28"/>
          <w:lang w:val="en-ZA"/>
        </w:rPr>
        <w:t>[1</w:t>
      </w:r>
      <w:r w:rsidR="000537D6" w:rsidRPr="001F72AC">
        <w:rPr>
          <w:rFonts w:eastAsia="Calibri"/>
          <w:sz w:val="28"/>
          <w:szCs w:val="28"/>
          <w:lang w:val="en-ZA"/>
        </w:rPr>
        <w:t>1</w:t>
      </w:r>
      <w:r w:rsidRPr="001F72AC">
        <w:rPr>
          <w:rFonts w:eastAsia="Calibri"/>
          <w:sz w:val="28"/>
          <w:szCs w:val="28"/>
          <w:lang w:val="en-ZA"/>
        </w:rPr>
        <w:t>]</w:t>
      </w:r>
      <w:r w:rsidRPr="001F72AC">
        <w:rPr>
          <w:rFonts w:eastAsia="Calibri"/>
          <w:sz w:val="28"/>
          <w:szCs w:val="28"/>
          <w:lang w:val="en-ZA"/>
        </w:rPr>
        <w:tab/>
      </w:r>
      <w:r w:rsidR="00D62DEA" w:rsidRPr="001F72AC">
        <w:rPr>
          <w:rFonts w:eastAsia="Calibri"/>
          <w:sz w:val="28"/>
          <w:szCs w:val="28"/>
          <w:lang w:val="en-ZA"/>
        </w:rPr>
        <w:t xml:space="preserve">The Hafiz Trust was </w:t>
      </w:r>
      <w:r w:rsidR="00626CAC" w:rsidRPr="001F72AC">
        <w:rPr>
          <w:rFonts w:eastAsia="Calibri"/>
          <w:sz w:val="28"/>
          <w:szCs w:val="28"/>
          <w:lang w:val="en-ZA"/>
        </w:rPr>
        <w:t xml:space="preserve">registered as a </w:t>
      </w:r>
      <w:proofErr w:type="gramStart"/>
      <w:r w:rsidR="00626CAC" w:rsidRPr="001F72AC">
        <w:rPr>
          <w:rFonts w:eastAsia="Calibri"/>
          <w:sz w:val="28"/>
          <w:szCs w:val="28"/>
          <w:lang w:val="en-ZA"/>
        </w:rPr>
        <w:t>non profit</w:t>
      </w:r>
      <w:proofErr w:type="gramEnd"/>
      <w:r w:rsidR="00626CAC" w:rsidRPr="001F72AC">
        <w:rPr>
          <w:rFonts w:eastAsia="Calibri"/>
          <w:sz w:val="28"/>
          <w:szCs w:val="28"/>
          <w:lang w:val="en-ZA"/>
        </w:rPr>
        <w:t xml:space="preserve"> organisation and </w:t>
      </w:r>
      <w:r w:rsidR="00D62DEA" w:rsidRPr="001F72AC">
        <w:rPr>
          <w:rFonts w:eastAsia="Calibri"/>
          <w:sz w:val="28"/>
          <w:szCs w:val="28"/>
          <w:lang w:val="en-ZA"/>
        </w:rPr>
        <w:t xml:space="preserve">managed by </w:t>
      </w:r>
      <w:r w:rsidR="000537D6" w:rsidRPr="001F72AC">
        <w:rPr>
          <w:rFonts w:eastAsia="Calibri"/>
          <w:sz w:val="28"/>
          <w:szCs w:val="28"/>
          <w:lang w:val="en-ZA"/>
        </w:rPr>
        <w:t>the</w:t>
      </w:r>
      <w:r w:rsidR="00D62DEA" w:rsidRPr="001F72AC">
        <w:rPr>
          <w:rFonts w:eastAsia="Calibri"/>
          <w:sz w:val="28"/>
          <w:szCs w:val="28"/>
          <w:lang w:val="en-ZA"/>
        </w:rPr>
        <w:t xml:space="preserve"> three appointed trustees</w:t>
      </w:r>
      <w:r w:rsidR="002639D8" w:rsidRPr="001F72AC">
        <w:rPr>
          <w:rFonts w:eastAsia="Calibri"/>
          <w:sz w:val="28"/>
          <w:szCs w:val="28"/>
          <w:lang w:val="en-ZA"/>
        </w:rPr>
        <w:t>, without demure</w:t>
      </w:r>
      <w:r w:rsidR="005C4DC3" w:rsidRPr="001F72AC">
        <w:rPr>
          <w:rFonts w:eastAsia="Calibri"/>
          <w:sz w:val="28"/>
          <w:szCs w:val="28"/>
          <w:lang w:val="en-ZA"/>
        </w:rPr>
        <w:t>,</w:t>
      </w:r>
      <w:r w:rsidR="002639D8" w:rsidRPr="001F72AC">
        <w:rPr>
          <w:rFonts w:eastAsia="Calibri"/>
          <w:sz w:val="28"/>
          <w:szCs w:val="28"/>
          <w:lang w:val="en-ZA"/>
        </w:rPr>
        <w:t xml:space="preserve"> for a period of six years.</w:t>
      </w:r>
      <w:r w:rsidR="00D62DEA" w:rsidRPr="001F72AC">
        <w:rPr>
          <w:rFonts w:eastAsia="Calibri"/>
          <w:sz w:val="28"/>
          <w:szCs w:val="28"/>
          <w:lang w:val="en-ZA"/>
        </w:rPr>
        <w:t xml:space="preserve"> </w:t>
      </w:r>
      <w:r w:rsidRPr="001F72AC">
        <w:rPr>
          <w:rFonts w:eastAsia="Calibri"/>
          <w:sz w:val="28"/>
          <w:szCs w:val="28"/>
          <w:lang w:val="en-ZA"/>
        </w:rPr>
        <w:t>In 2011, Goolam Hafiz decided</w:t>
      </w:r>
      <w:r w:rsidR="002639D8" w:rsidRPr="001F72AC">
        <w:rPr>
          <w:rFonts w:eastAsia="Calibri"/>
          <w:sz w:val="28"/>
          <w:szCs w:val="28"/>
          <w:lang w:val="en-ZA"/>
        </w:rPr>
        <w:t xml:space="preserve"> </w:t>
      </w:r>
      <w:r w:rsidRPr="001F72AC">
        <w:rPr>
          <w:rFonts w:eastAsia="Calibri"/>
          <w:sz w:val="28"/>
          <w:szCs w:val="28"/>
          <w:lang w:val="en-ZA"/>
        </w:rPr>
        <w:t xml:space="preserve">that </w:t>
      </w:r>
      <w:r w:rsidR="00D62DEA" w:rsidRPr="001F72AC">
        <w:rPr>
          <w:rFonts w:eastAsia="Calibri"/>
          <w:sz w:val="28"/>
          <w:szCs w:val="28"/>
          <w:lang w:val="en-ZA"/>
        </w:rPr>
        <w:t>his two younger sons</w:t>
      </w:r>
      <w:r w:rsidR="00895046" w:rsidRPr="001F72AC">
        <w:rPr>
          <w:rFonts w:eastAsia="Calibri"/>
          <w:sz w:val="28"/>
          <w:szCs w:val="28"/>
          <w:lang w:val="en-ZA"/>
        </w:rPr>
        <w:t>, Shakeel and Aneez Hafiz,</w:t>
      </w:r>
      <w:r w:rsidR="002639D8" w:rsidRPr="001F72AC">
        <w:rPr>
          <w:rFonts w:eastAsia="Calibri"/>
          <w:sz w:val="28"/>
          <w:szCs w:val="28"/>
          <w:lang w:val="en-ZA"/>
        </w:rPr>
        <w:t xml:space="preserve"> </w:t>
      </w:r>
      <w:r w:rsidRPr="001F72AC">
        <w:rPr>
          <w:rFonts w:eastAsia="Calibri"/>
          <w:sz w:val="28"/>
          <w:szCs w:val="28"/>
          <w:lang w:val="en-ZA"/>
        </w:rPr>
        <w:t xml:space="preserve">should </w:t>
      </w:r>
      <w:r w:rsidR="006B1635" w:rsidRPr="001F72AC">
        <w:rPr>
          <w:rFonts w:eastAsia="Calibri"/>
          <w:sz w:val="28"/>
          <w:szCs w:val="28"/>
          <w:lang w:val="en-ZA"/>
        </w:rPr>
        <w:t>als</w:t>
      </w:r>
      <w:r w:rsidR="002639D8" w:rsidRPr="001F72AC">
        <w:rPr>
          <w:rFonts w:eastAsia="Calibri"/>
          <w:sz w:val="28"/>
          <w:szCs w:val="28"/>
          <w:lang w:val="en-ZA"/>
        </w:rPr>
        <w:t>o</w:t>
      </w:r>
      <w:r w:rsidR="006B1635" w:rsidRPr="001F72AC">
        <w:rPr>
          <w:rFonts w:eastAsia="Calibri"/>
          <w:sz w:val="28"/>
          <w:szCs w:val="28"/>
          <w:lang w:val="en-ZA"/>
        </w:rPr>
        <w:t xml:space="preserve"> </w:t>
      </w:r>
      <w:r w:rsidRPr="001F72AC">
        <w:rPr>
          <w:rFonts w:eastAsia="Calibri"/>
          <w:sz w:val="28"/>
          <w:szCs w:val="28"/>
          <w:lang w:val="en-ZA"/>
        </w:rPr>
        <w:t>be appointed as trustees</w:t>
      </w:r>
      <w:r w:rsidR="00626CAC" w:rsidRPr="001F72AC">
        <w:rPr>
          <w:rFonts w:eastAsia="Calibri"/>
          <w:sz w:val="28"/>
          <w:szCs w:val="28"/>
          <w:lang w:val="en-ZA"/>
        </w:rPr>
        <w:t>.</w:t>
      </w:r>
      <w:r w:rsidR="006B1635" w:rsidRPr="001F72AC">
        <w:rPr>
          <w:rFonts w:eastAsia="Calibri"/>
          <w:sz w:val="28"/>
          <w:szCs w:val="28"/>
          <w:lang w:val="en-ZA"/>
        </w:rPr>
        <w:t xml:space="preserve"> </w:t>
      </w:r>
      <w:r w:rsidR="000537D6" w:rsidRPr="001F72AC">
        <w:rPr>
          <w:rFonts w:eastAsia="Calibri"/>
          <w:sz w:val="28"/>
          <w:szCs w:val="28"/>
          <w:lang w:val="en-ZA"/>
        </w:rPr>
        <w:t>T</w:t>
      </w:r>
      <w:r w:rsidR="00B230D8" w:rsidRPr="001F72AC">
        <w:rPr>
          <w:rFonts w:eastAsia="Calibri"/>
          <w:sz w:val="28"/>
          <w:szCs w:val="28"/>
          <w:lang w:val="en-ZA"/>
        </w:rPr>
        <w:t>he Master</w:t>
      </w:r>
      <w:r w:rsidR="006B1635" w:rsidRPr="001F72AC">
        <w:rPr>
          <w:rFonts w:eastAsia="Calibri"/>
          <w:sz w:val="28"/>
          <w:szCs w:val="28"/>
          <w:lang w:val="en-ZA"/>
        </w:rPr>
        <w:t xml:space="preserve"> </w:t>
      </w:r>
      <w:r w:rsidR="000537D6" w:rsidRPr="001F72AC">
        <w:rPr>
          <w:rFonts w:eastAsia="Calibri"/>
          <w:sz w:val="28"/>
          <w:szCs w:val="28"/>
          <w:lang w:val="en-ZA"/>
        </w:rPr>
        <w:t>was requested to appoint them and did so</w:t>
      </w:r>
      <w:r w:rsidR="006B1635" w:rsidRPr="001F72AC">
        <w:rPr>
          <w:rFonts w:eastAsia="Calibri"/>
          <w:sz w:val="28"/>
          <w:szCs w:val="28"/>
          <w:lang w:val="en-ZA"/>
        </w:rPr>
        <w:t xml:space="preserve">. </w:t>
      </w:r>
      <w:r w:rsidR="00B230D8" w:rsidRPr="001F72AC">
        <w:rPr>
          <w:rFonts w:eastAsia="Calibri"/>
          <w:sz w:val="28"/>
          <w:szCs w:val="28"/>
          <w:lang w:val="en-ZA"/>
        </w:rPr>
        <w:t xml:space="preserve">In June 2011, Goolam Hafiz </w:t>
      </w:r>
      <w:r w:rsidR="004C00F1" w:rsidRPr="001F72AC">
        <w:rPr>
          <w:rFonts w:eastAsia="Calibri"/>
          <w:sz w:val="28"/>
          <w:szCs w:val="28"/>
          <w:lang w:val="en-ZA"/>
        </w:rPr>
        <w:t xml:space="preserve">convened a meeting </w:t>
      </w:r>
      <w:r w:rsidR="000537D6" w:rsidRPr="001F72AC">
        <w:rPr>
          <w:rFonts w:eastAsia="Calibri"/>
          <w:sz w:val="28"/>
          <w:szCs w:val="28"/>
          <w:lang w:val="en-ZA"/>
        </w:rPr>
        <w:t>where i</w:t>
      </w:r>
      <w:r w:rsidR="004C00F1" w:rsidRPr="001F72AC">
        <w:rPr>
          <w:rFonts w:eastAsia="Calibri"/>
          <w:sz w:val="28"/>
          <w:szCs w:val="28"/>
          <w:lang w:val="en-ZA"/>
        </w:rPr>
        <w:t>t was decided to appoint</w:t>
      </w:r>
      <w:r w:rsidR="00B230D8" w:rsidRPr="001F72AC">
        <w:rPr>
          <w:rFonts w:eastAsia="Calibri"/>
          <w:sz w:val="28"/>
          <w:szCs w:val="28"/>
          <w:lang w:val="en-ZA"/>
        </w:rPr>
        <w:t xml:space="preserve"> two further trustees, namely the </w:t>
      </w:r>
      <w:r w:rsidR="00895046" w:rsidRPr="001F72AC">
        <w:rPr>
          <w:rFonts w:eastAsia="Calibri"/>
          <w:sz w:val="28"/>
          <w:szCs w:val="28"/>
          <w:lang w:val="en-ZA"/>
        </w:rPr>
        <w:t xml:space="preserve">Mohamed </w:t>
      </w:r>
      <w:proofErr w:type="spellStart"/>
      <w:r w:rsidR="00895046" w:rsidRPr="001F72AC">
        <w:rPr>
          <w:rFonts w:eastAsia="Calibri"/>
          <w:sz w:val="28"/>
          <w:szCs w:val="28"/>
          <w:lang w:val="en-ZA"/>
        </w:rPr>
        <w:t>Essop</w:t>
      </w:r>
      <w:proofErr w:type="spellEnd"/>
      <w:r w:rsidR="00895046" w:rsidRPr="001F72AC">
        <w:rPr>
          <w:rFonts w:eastAsia="Calibri"/>
          <w:sz w:val="28"/>
          <w:szCs w:val="28"/>
          <w:lang w:val="en-ZA"/>
        </w:rPr>
        <w:t xml:space="preserve"> and Sayed Ahmed.</w:t>
      </w:r>
    </w:p>
    <w:p w14:paraId="3799DDB6" w14:textId="77777777" w:rsidR="00CA2E0C" w:rsidRPr="001F72AC" w:rsidRDefault="00CA2E0C" w:rsidP="00452F47">
      <w:pPr>
        <w:spacing w:line="360" w:lineRule="auto"/>
        <w:jc w:val="both"/>
        <w:rPr>
          <w:rFonts w:eastAsia="Calibri"/>
          <w:sz w:val="28"/>
          <w:szCs w:val="28"/>
          <w:lang w:val="en-ZA"/>
        </w:rPr>
      </w:pPr>
    </w:p>
    <w:p w14:paraId="70D0FB2E" w14:textId="24322315" w:rsidR="00AC322B" w:rsidRPr="001F72AC" w:rsidRDefault="00CA2E0C" w:rsidP="00452F47">
      <w:pPr>
        <w:spacing w:line="360" w:lineRule="auto"/>
        <w:jc w:val="both"/>
        <w:rPr>
          <w:rFonts w:eastAsia="Calibri"/>
          <w:sz w:val="28"/>
          <w:szCs w:val="28"/>
          <w:lang w:val="en-ZA"/>
        </w:rPr>
      </w:pPr>
      <w:r w:rsidRPr="001F72AC">
        <w:rPr>
          <w:rFonts w:eastAsia="Calibri"/>
          <w:sz w:val="28"/>
          <w:szCs w:val="28"/>
          <w:lang w:val="en-ZA"/>
        </w:rPr>
        <w:t>[1</w:t>
      </w:r>
      <w:r w:rsidR="000537D6" w:rsidRPr="001F72AC">
        <w:rPr>
          <w:rFonts w:eastAsia="Calibri"/>
          <w:sz w:val="28"/>
          <w:szCs w:val="28"/>
          <w:lang w:val="en-ZA"/>
        </w:rPr>
        <w:t>2</w:t>
      </w:r>
      <w:r w:rsidRPr="001F72AC">
        <w:rPr>
          <w:rFonts w:eastAsia="Calibri"/>
          <w:sz w:val="28"/>
          <w:szCs w:val="28"/>
          <w:lang w:val="en-ZA"/>
        </w:rPr>
        <w:t>]</w:t>
      </w:r>
      <w:r w:rsidRPr="001F72AC">
        <w:rPr>
          <w:rFonts w:eastAsia="Calibri"/>
          <w:sz w:val="28"/>
          <w:szCs w:val="28"/>
          <w:lang w:val="en-ZA"/>
        </w:rPr>
        <w:tab/>
      </w:r>
      <w:r w:rsidR="00AC322B" w:rsidRPr="001F72AC">
        <w:rPr>
          <w:rFonts w:eastAsia="Calibri"/>
          <w:sz w:val="28"/>
          <w:szCs w:val="28"/>
          <w:lang w:val="en-ZA"/>
        </w:rPr>
        <w:t xml:space="preserve">In response to the request for appointment of these additional trustees, the Master convened a meeting of the trustees of </w:t>
      </w:r>
      <w:r w:rsidR="006B1635" w:rsidRPr="001F72AC">
        <w:rPr>
          <w:rFonts w:eastAsia="Calibri"/>
          <w:sz w:val="28"/>
          <w:szCs w:val="28"/>
          <w:lang w:val="en-ZA"/>
        </w:rPr>
        <w:t>the Hafiz Trust</w:t>
      </w:r>
      <w:r w:rsidR="00AC322B" w:rsidRPr="001F72AC">
        <w:rPr>
          <w:rFonts w:eastAsia="Calibri"/>
          <w:sz w:val="28"/>
          <w:szCs w:val="28"/>
          <w:lang w:val="en-ZA"/>
        </w:rPr>
        <w:t xml:space="preserve">. </w:t>
      </w:r>
      <w:r w:rsidR="000537D6" w:rsidRPr="001F72AC">
        <w:rPr>
          <w:rFonts w:eastAsia="Calibri"/>
          <w:sz w:val="28"/>
          <w:szCs w:val="28"/>
          <w:lang w:val="en-ZA"/>
        </w:rPr>
        <w:t>T</w:t>
      </w:r>
      <w:r w:rsidR="00AC322B" w:rsidRPr="001F72AC">
        <w:rPr>
          <w:rFonts w:eastAsia="Calibri"/>
          <w:sz w:val="28"/>
          <w:szCs w:val="28"/>
          <w:lang w:val="en-ZA"/>
        </w:rPr>
        <w:t xml:space="preserve">he Master informed the trustees that she had formed the </w:t>
      </w:r>
      <w:r w:rsidR="006B1635" w:rsidRPr="001F72AC">
        <w:rPr>
          <w:rFonts w:eastAsia="Calibri"/>
          <w:sz w:val="28"/>
          <w:szCs w:val="28"/>
          <w:lang w:val="en-ZA"/>
        </w:rPr>
        <w:t>view</w:t>
      </w:r>
      <w:r w:rsidR="00AC322B" w:rsidRPr="001F72AC">
        <w:rPr>
          <w:rFonts w:eastAsia="Calibri"/>
          <w:sz w:val="28"/>
          <w:szCs w:val="28"/>
          <w:lang w:val="en-ZA"/>
        </w:rPr>
        <w:t xml:space="preserve"> that all of the </w:t>
      </w:r>
      <w:r w:rsidR="007557D3" w:rsidRPr="001F72AC">
        <w:rPr>
          <w:rFonts w:eastAsia="Calibri"/>
          <w:sz w:val="28"/>
          <w:szCs w:val="28"/>
          <w:lang w:val="en-ZA"/>
        </w:rPr>
        <w:t xml:space="preserve">trustee </w:t>
      </w:r>
      <w:r w:rsidR="00AC322B" w:rsidRPr="001F72AC">
        <w:rPr>
          <w:rFonts w:eastAsia="Calibri"/>
          <w:sz w:val="28"/>
          <w:szCs w:val="28"/>
          <w:lang w:val="en-ZA"/>
        </w:rPr>
        <w:t xml:space="preserve">appointments ought to be withdrawn and that the deed of trust required amendment. </w:t>
      </w:r>
      <w:r w:rsidR="007557D3" w:rsidRPr="001F72AC">
        <w:rPr>
          <w:rFonts w:eastAsia="Calibri"/>
          <w:sz w:val="28"/>
          <w:szCs w:val="28"/>
          <w:lang w:val="en-ZA"/>
        </w:rPr>
        <w:t>P</w:t>
      </w:r>
      <w:r w:rsidR="00AC322B" w:rsidRPr="001F72AC">
        <w:rPr>
          <w:rFonts w:eastAsia="Calibri"/>
          <w:sz w:val="28"/>
          <w:szCs w:val="28"/>
          <w:lang w:val="en-ZA"/>
        </w:rPr>
        <w:t xml:space="preserve">ending the amendment of the deed the </w:t>
      </w:r>
      <w:r w:rsidR="006B1635" w:rsidRPr="001F72AC">
        <w:rPr>
          <w:rFonts w:eastAsia="Calibri"/>
          <w:sz w:val="28"/>
          <w:szCs w:val="28"/>
          <w:lang w:val="en-ZA"/>
        </w:rPr>
        <w:t>Hafiz Trust</w:t>
      </w:r>
      <w:r w:rsidR="00AC322B" w:rsidRPr="001F72AC">
        <w:rPr>
          <w:rFonts w:eastAsia="Calibri"/>
          <w:sz w:val="28"/>
          <w:szCs w:val="28"/>
          <w:lang w:val="en-ZA"/>
        </w:rPr>
        <w:t xml:space="preserve"> </w:t>
      </w:r>
      <w:r w:rsidR="000537D6" w:rsidRPr="001F72AC">
        <w:rPr>
          <w:rFonts w:eastAsia="Calibri"/>
          <w:sz w:val="28"/>
          <w:szCs w:val="28"/>
          <w:lang w:val="en-ZA"/>
        </w:rPr>
        <w:t>was</w:t>
      </w:r>
      <w:r w:rsidR="00AC322B" w:rsidRPr="001F72AC">
        <w:rPr>
          <w:rFonts w:eastAsia="Calibri"/>
          <w:sz w:val="28"/>
          <w:szCs w:val="28"/>
          <w:lang w:val="en-ZA"/>
        </w:rPr>
        <w:t xml:space="preserve"> to be administered by Ahmed Hafiz and Goolam Hafiz.</w:t>
      </w:r>
    </w:p>
    <w:p w14:paraId="037879DE" w14:textId="77777777" w:rsidR="00AC322B" w:rsidRPr="001F72AC" w:rsidRDefault="00AC322B" w:rsidP="00452F47">
      <w:pPr>
        <w:spacing w:line="360" w:lineRule="auto"/>
        <w:jc w:val="both"/>
        <w:rPr>
          <w:rFonts w:eastAsia="Calibri"/>
          <w:sz w:val="28"/>
          <w:szCs w:val="28"/>
          <w:lang w:val="en-ZA"/>
        </w:rPr>
      </w:pPr>
    </w:p>
    <w:p w14:paraId="3D3CDC97" w14:textId="0F43A36C" w:rsidR="00C3118B" w:rsidRPr="001F72AC" w:rsidRDefault="00AC322B" w:rsidP="00452F47">
      <w:pPr>
        <w:spacing w:line="360" w:lineRule="auto"/>
        <w:jc w:val="both"/>
        <w:rPr>
          <w:rFonts w:eastAsia="Calibri"/>
          <w:sz w:val="28"/>
          <w:szCs w:val="28"/>
          <w:lang w:val="en-ZA"/>
        </w:rPr>
      </w:pPr>
      <w:r w:rsidRPr="001F72AC">
        <w:rPr>
          <w:rFonts w:eastAsia="Calibri"/>
          <w:sz w:val="28"/>
          <w:szCs w:val="28"/>
          <w:lang w:val="en-ZA"/>
        </w:rPr>
        <w:t>[</w:t>
      </w:r>
      <w:r w:rsidR="006B1635" w:rsidRPr="001F72AC">
        <w:rPr>
          <w:rFonts w:eastAsia="Calibri"/>
          <w:sz w:val="28"/>
          <w:szCs w:val="28"/>
          <w:lang w:val="en-ZA"/>
        </w:rPr>
        <w:t>1</w:t>
      </w:r>
      <w:r w:rsidR="007D6B69" w:rsidRPr="001F72AC">
        <w:rPr>
          <w:rFonts w:eastAsia="Calibri"/>
          <w:sz w:val="28"/>
          <w:szCs w:val="28"/>
          <w:lang w:val="en-ZA"/>
        </w:rPr>
        <w:t>3</w:t>
      </w:r>
      <w:r w:rsidRPr="001F72AC">
        <w:rPr>
          <w:rFonts w:eastAsia="Calibri"/>
          <w:sz w:val="28"/>
          <w:szCs w:val="28"/>
          <w:lang w:val="en-ZA"/>
        </w:rPr>
        <w:t>]</w:t>
      </w:r>
      <w:r w:rsidRPr="001F72AC">
        <w:rPr>
          <w:rFonts w:eastAsia="Calibri"/>
          <w:sz w:val="28"/>
          <w:szCs w:val="28"/>
          <w:lang w:val="en-ZA"/>
        </w:rPr>
        <w:tab/>
      </w:r>
      <w:r w:rsidR="00B15A69" w:rsidRPr="001F72AC">
        <w:rPr>
          <w:rFonts w:eastAsia="Calibri"/>
          <w:sz w:val="28"/>
          <w:szCs w:val="28"/>
          <w:lang w:val="en-ZA"/>
        </w:rPr>
        <w:t xml:space="preserve">Ahmed Hafiz and </w:t>
      </w:r>
      <w:r w:rsidR="006B1635" w:rsidRPr="001F72AC">
        <w:rPr>
          <w:rFonts w:eastAsia="Calibri"/>
          <w:sz w:val="28"/>
          <w:szCs w:val="28"/>
          <w:lang w:val="en-ZA"/>
        </w:rPr>
        <w:t>Akhmed Wahab</w:t>
      </w:r>
      <w:r w:rsidR="00B15A69" w:rsidRPr="001F72AC">
        <w:rPr>
          <w:rFonts w:eastAsia="Calibri"/>
          <w:sz w:val="28"/>
          <w:szCs w:val="28"/>
          <w:lang w:val="en-ZA"/>
        </w:rPr>
        <w:t xml:space="preserve"> </w:t>
      </w:r>
      <w:r w:rsidRPr="001F72AC">
        <w:rPr>
          <w:rFonts w:eastAsia="Calibri"/>
          <w:sz w:val="28"/>
          <w:szCs w:val="28"/>
          <w:lang w:val="en-ZA"/>
        </w:rPr>
        <w:t xml:space="preserve">indicated that they intended to challenge the </w:t>
      </w:r>
      <w:proofErr w:type="gramStart"/>
      <w:r w:rsidRPr="001F72AC">
        <w:rPr>
          <w:rFonts w:eastAsia="Calibri"/>
          <w:sz w:val="28"/>
          <w:szCs w:val="28"/>
          <w:lang w:val="en-ZA"/>
        </w:rPr>
        <w:t>Master’s</w:t>
      </w:r>
      <w:proofErr w:type="gramEnd"/>
      <w:r w:rsidRPr="001F72AC">
        <w:rPr>
          <w:rFonts w:eastAsia="Calibri"/>
          <w:sz w:val="28"/>
          <w:szCs w:val="28"/>
          <w:lang w:val="en-ZA"/>
        </w:rPr>
        <w:t xml:space="preserve"> decision to withdr</w:t>
      </w:r>
      <w:r w:rsidR="006B1635" w:rsidRPr="001F72AC">
        <w:rPr>
          <w:rFonts w:eastAsia="Calibri"/>
          <w:sz w:val="28"/>
          <w:szCs w:val="28"/>
          <w:lang w:val="en-ZA"/>
        </w:rPr>
        <w:t>a</w:t>
      </w:r>
      <w:r w:rsidRPr="001F72AC">
        <w:rPr>
          <w:rFonts w:eastAsia="Calibri"/>
          <w:sz w:val="28"/>
          <w:szCs w:val="28"/>
          <w:lang w:val="en-ZA"/>
        </w:rPr>
        <w:t>w the</w:t>
      </w:r>
      <w:r w:rsidR="006B1635" w:rsidRPr="001F72AC">
        <w:rPr>
          <w:rFonts w:eastAsia="Calibri"/>
          <w:sz w:val="28"/>
          <w:szCs w:val="28"/>
          <w:lang w:val="en-ZA"/>
        </w:rPr>
        <w:t xml:space="preserve"> letters of authority</w:t>
      </w:r>
      <w:r w:rsidR="00B15A69" w:rsidRPr="001F72AC">
        <w:rPr>
          <w:rFonts w:eastAsia="Calibri"/>
          <w:sz w:val="28"/>
          <w:szCs w:val="28"/>
          <w:lang w:val="en-ZA"/>
        </w:rPr>
        <w:t xml:space="preserve"> issued in 2005</w:t>
      </w:r>
      <w:r w:rsidRPr="001F72AC">
        <w:rPr>
          <w:rFonts w:eastAsia="Calibri"/>
          <w:sz w:val="28"/>
          <w:szCs w:val="28"/>
          <w:lang w:val="en-ZA"/>
        </w:rPr>
        <w:t>. In the meantime, a</w:t>
      </w:r>
      <w:r w:rsidR="007D6B69" w:rsidRPr="001F72AC">
        <w:rPr>
          <w:rFonts w:eastAsia="Calibri"/>
          <w:sz w:val="28"/>
          <w:szCs w:val="28"/>
          <w:lang w:val="en-ZA"/>
        </w:rPr>
        <w:t xml:space="preserve">n </w:t>
      </w:r>
      <w:r w:rsidRPr="001F72AC">
        <w:rPr>
          <w:rFonts w:eastAsia="Calibri"/>
          <w:sz w:val="28"/>
          <w:szCs w:val="28"/>
          <w:lang w:val="en-ZA"/>
        </w:rPr>
        <w:t>agreement</w:t>
      </w:r>
      <w:r w:rsidR="00906A21" w:rsidRPr="001F72AC">
        <w:rPr>
          <w:rFonts w:eastAsia="Calibri"/>
          <w:sz w:val="28"/>
          <w:szCs w:val="28"/>
          <w:lang w:val="en-ZA"/>
        </w:rPr>
        <w:t xml:space="preserve"> of trust</w:t>
      </w:r>
      <w:r w:rsidRPr="001F72AC">
        <w:rPr>
          <w:rFonts w:eastAsia="Calibri"/>
          <w:sz w:val="28"/>
          <w:szCs w:val="28"/>
          <w:lang w:val="en-ZA"/>
        </w:rPr>
        <w:t xml:space="preserve"> was </w:t>
      </w:r>
      <w:r w:rsidR="009561C5" w:rsidRPr="001F72AC">
        <w:rPr>
          <w:rFonts w:eastAsia="Calibri"/>
          <w:sz w:val="28"/>
          <w:szCs w:val="28"/>
          <w:lang w:val="en-ZA"/>
        </w:rPr>
        <w:t xml:space="preserve">concluded </w:t>
      </w:r>
      <w:r w:rsidRPr="001F72AC">
        <w:rPr>
          <w:rFonts w:eastAsia="Calibri"/>
          <w:sz w:val="28"/>
          <w:szCs w:val="28"/>
          <w:lang w:val="en-ZA"/>
        </w:rPr>
        <w:t xml:space="preserve">between Goolam Hafiz and </w:t>
      </w:r>
      <w:r w:rsidR="00B15A69" w:rsidRPr="001F72AC">
        <w:rPr>
          <w:rFonts w:eastAsia="Calibri"/>
          <w:sz w:val="28"/>
          <w:szCs w:val="28"/>
          <w:lang w:val="en-ZA"/>
        </w:rPr>
        <w:t>Sayed Mohamed, Shakeel Hafiz, Aneez Hafiz, Mohamed Essop and Sayed Ahmed</w:t>
      </w:r>
      <w:r w:rsidR="00906A21" w:rsidRPr="001F72AC">
        <w:rPr>
          <w:rFonts w:eastAsia="Calibri"/>
          <w:sz w:val="28"/>
          <w:szCs w:val="28"/>
          <w:lang w:val="en-ZA"/>
        </w:rPr>
        <w:t xml:space="preserve"> (the 2011 deed of trust)</w:t>
      </w:r>
      <w:r w:rsidR="007D6B69" w:rsidRPr="001F72AC">
        <w:rPr>
          <w:rFonts w:eastAsia="Calibri"/>
          <w:sz w:val="28"/>
          <w:szCs w:val="28"/>
          <w:lang w:val="en-ZA"/>
        </w:rPr>
        <w:t xml:space="preserve">, </w:t>
      </w:r>
      <w:r w:rsidR="009561C5" w:rsidRPr="001F72AC">
        <w:rPr>
          <w:rFonts w:eastAsia="Calibri"/>
          <w:sz w:val="28"/>
          <w:szCs w:val="28"/>
          <w:lang w:val="en-ZA"/>
        </w:rPr>
        <w:t>on 14 December 2011</w:t>
      </w:r>
      <w:r w:rsidR="007D6B69" w:rsidRPr="001F72AC">
        <w:rPr>
          <w:rFonts w:eastAsia="Calibri"/>
          <w:sz w:val="28"/>
          <w:szCs w:val="28"/>
          <w:lang w:val="en-ZA"/>
        </w:rPr>
        <w:t xml:space="preserve"> which purported to amend the 1994 trust deed</w:t>
      </w:r>
      <w:r w:rsidR="009561C5" w:rsidRPr="001F72AC">
        <w:rPr>
          <w:rFonts w:eastAsia="Calibri"/>
          <w:sz w:val="28"/>
          <w:szCs w:val="28"/>
          <w:lang w:val="en-ZA"/>
        </w:rPr>
        <w:t xml:space="preserve">. </w:t>
      </w:r>
      <w:r w:rsidR="00B15A69" w:rsidRPr="001F72AC">
        <w:rPr>
          <w:rFonts w:eastAsia="Calibri"/>
          <w:sz w:val="28"/>
          <w:szCs w:val="28"/>
          <w:lang w:val="en-ZA"/>
        </w:rPr>
        <w:t>Ahmed Hafiz</w:t>
      </w:r>
      <w:r w:rsidR="007D6B69" w:rsidRPr="001F72AC">
        <w:rPr>
          <w:rFonts w:eastAsia="Calibri"/>
          <w:sz w:val="28"/>
          <w:szCs w:val="28"/>
          <w:lang w:val="en-ZA"/>
        </w:rPr>
        <w:t xml:space="preserve"> and Akhmed Wakab were not involved. </w:t>
      </w:r>
      <w:r w:rsidR="009561C5" w:rsidRPr="001F72AC">
        <w:rPr>
          <w:rFonts w:eastAsia="Calibri"/>
          <w:sz w:val="28"/>
          <w:szCs w:val="28"/>
          <w:lang w:val="en-ZA"/>
        </w:rPr>
        <w:t>On 22 December 2011, the Master issued letters of authority appointing the five persons</w:t>
      </w:r>
      <w:r w:rsidR="007D6B69" w:rsidRPr="001F72AC">
        <w:rPr>
          <w:rFonts w:eastAsia="Calibri"/>
          <w:sz w:val="28"/>
          <w:szCs w:val="28"/>
          <w:lang w:val="en-ZA"/>
        </w:rPr>
        <w:t xml:space="preserve"> involved</w:t>
      </w:r>
      <w:r w:rsidR="009561C5" w:rsidRPr="001F72AC">
        <w:rPr>
          <w:rFonts w:eastAsia="Calibri"/>
          <w:sz w:val="28"/>
          <w:szCs w:val="28"/>
          <w:lang w:val="en-ZA"/>
        </w:rPr>
        <w:t xml:space="preserve"> as trustees of the </w:t>
      </w:r>
      <w:r w:rsidR="00B15A69" w:rsidRPr="001F72AC">
        <w:rPr>
          <w:rFonts w:eastAsia="Calibri"/>
          <w:sz w:val="28"/>
          <w:szCs w:val="28"/>
          <w:lang w:val="en-ZA"/>
        </w:rPr>
        <w:t>Hafiz Trust</w:t>
      </w:r>
      <w:r w:rsidR="009561C5" w:rsidRPr="001F72AC">
        <w:rPr>
          <w:rFonts w:eastAsia="Calibri"/>
          <w:sz w:val="28"/>
          <w:szCs w:val="28"/>
          <w:lang w:val="en-ZA"/>
        </w:rPr>
        <w:t>.</w:t>
      </w:r>
      <w:r w:rsidR="007D6B69" w:rsidRPr="001F72AC">
        <w:rPr>
          <w:rFonts w:eastAsia="Calibri"/>
          <w:sz w:val="28"/>
          <w:szCs w:val="28"/>
          <w:lang w:val="en-ZA"/>
        </w:rPr>
        <w:t xml:space="preserve"> Following objections and representations the Master issued a ruling, on 27 July 2012, which: </w:t>
      </w:r>
      <w:r w:rsidR="0063028A" w:rsidRPr="001F72AC">
        <w:rPr>
          <w:rFonts w:eastAsia="Calibri"/>
          <w:sz w:val="28"/>
          <w:szCs w:val="28"/>
          <w:lang w:val="en-ZA"/>
        </w:rPr>
        <w:t>(</w:t>
      </w:r>
      <w:r w:rsidR="00B04A32" w:rsidRPr="001F72AC">
        <w:rPr>
          <w:rFonts w:eastAsia="Calibri"/>
          <w:sz w:val="28"/>
          <w:szCs w:val="28"/>
          <w:lang w:val="en-ZA"/>
        </w:rPr>
        <w:t>a)</w:t>
      </w:r>
      <w:r w:rsidR="0063028A" w:rsidRPr="001F72AC">
        <w:rPr>
          <w:rFonts w:eastAsia="Calibri"/>
          <w:sz w:val="28"/>
          <w:szCs w:val="28"/>
          <w:lang w:val="en-ZA"/>
        </w:rPr>
        <w:t xml:space="preserve"> </w:t>
      </w:r>
      <w:r w:rsidR="00B04A32" w:rsidRPr="001F72AC">
        <w:rPr>
          <w:rFonts w:eastAsia="Calibri"/>
          <w:sz w:val="28"/>
          <w:szCs w:val="28"/>
          <w:lang w:val="en-ZA"/>
        </w:rPr>
        <w:t>withdrew all letter</w:t>
      </w:r>
      <w:r w:rsidR="005635C3" w:rsidRPr="001F72AC">
        <w:rPr>
          <w:rFonts w:eastAsia="Calibri"/>
          <w:sz w:val="28"/>
          <w:szCs w:val="28"/>
          <w:lang w:val="en-ZA"/>
        </w:rPr>
        <w:t>s</w:t>
      </w:r>
      <w:r w:rsidR="00B04A32" w:rsidRPr="001F72AC">
        <w:rPr>
          <w:rFonts w:eastAsia="Calibri"/>
          <w:sz w:val="28"/>
          <w:szCs w:val="28"/>
          <w:lang w:val="en-ZA"/>
        </w:rPr>
        <w:t xml:space="preserve"> of authority issued after 21 September 1994;</w:t>
      </w:r>
      <w:r w:rsidR="0063028A" w:rsidRPr="001F72AC">
        <w:rPr>
          <w:rFonts w:eastAsia="Calibri"/>
          <w:sz w:val="28"/>
          <w:szCs w:val="28"/>
          <w:lang w:val="en-ZA"/>
        </w:rPr>
        <w:t>(</w:t>
      </w:r>
      <w:r w:rsidR="00B04A32" w:rsidRPr="001F72AC">
        <w:rPr>
          <w:rFonts w:eastAsia="Calibri"/>
          <w:sz w:val="28"/>
          <w:szCs w:val="28"/>
          <w:lang w:val="en-ZA"/>
        </w:rPr>
        <w:t>b)</w:t>
      </w:r>
      <w:r w:rsidR="0063028A" w:rsidRPr="001F72AC">
        <w:rPr>
          <w:rFonts w:eastAsia="Calibri"/>
          <w:sz w:val="28"/>
          <w:szCs w:val="28"/>
          <w:lang w:val="en-ZA"/>
        </w:rPr>
        <w:t xml:space="preserve"> </w:t>
      </w:r>
      <w:r w:rsidR="00B04A32" w:rsidRPr="001F72AC">
        <w:rPr>
          <w:rFonts w:eastAsia="Calibri"/>
          <w:sz w:val="28"/>
          <w:szCs w:val="28"/>
          <w:lang w:val="en-ZA"/>
        </w:rPr>
        <w:t xml:space="preserve">withdrew acceptance of any amendments to the </w:t>
      </w:r>
      <w:r w:rsidR="005635C3" w:rsidRPr="001F72AC">
        <w:rPr>
          <w:rFonts w:eastAsia="Calibri"/>
          <w:sz w:val="28"/>
          <w:szCs w:val="28"/>
          <w:lang w:val="en-ZA"/>
        </w:rPr>
        <w:t>t</w:t>
      </w:r>
      <w:r w:rsidR="00B04A32" w:rsidRPr="001F72AC">
        <w:rPr>
          <w:rFonts w:eastAsia="Calibri"/>
          <w:sz w:val="28"/>
          <w:szCs w:val="28"/>
          <w:lang w:val="en-ZA"/>
        </w:rPr>
        <w:t xml:space="preserve">rust </w:t>
      </w:r>
      <w:r w:rsidR="005635C3" w:rsidRPr="001F72AC">
        <w:rPr>
          <w:rFonts w:eastAsia="Calibri"/>
          <w:sz w:val="28"/>
          <w:szCs w:val="28"/>
          <w:lang w:val="en-ZA"/>
        </w:rPr>
        <w:t>d</w:t>
      </w:r>
      <w:r w:rsidR="00B04A32" w:rsidRPr="001F72AC">
        <w:rPr>
          <w:rFonts w:eastAsia="Calibri"/>
          <w:sz w:val="28"/>
          <w:szCs w:val="28"/>
          <w:lang w:val="en-ZA"/>
        </w:rPr>
        <w:t>eed effected after that date;</w:t>
      </w:r>
      <w:r w:rsidR="003A698E" w:rsidRPr="001F72AC">
        <w:rPr>
          <w:rFonts w:eastAsia="Calibri"/>
          <w:sz w:val="28"/>
          <w:szCs w:val="28"/>
          <w:lang w:val="en-ZA"/>
        </w:rPr>
        <w:t xml:space="preserve"> and</w:t>
      </w:r>
      <w:r w:rsidR="007D6B69" w:rsidRPr="001F72AC">
        <w:rPr>
          <w:rFonts w:eastAsia="Calibri"/>
          <w:sz w:val="28"/>
          <w:szCs w:val="28"/>
          <w:lang w:val="en-ZA"/>
        </w:rPr>
        <w:t xml:space="preserve"> </w:t>
      </w:r>
      <w:r w:rsidR="0063028A" w:rsidRPr="001F72AC">
        <w:rPr>
          <w:rFonts w:eastAsia="Calibri"/>
          <w:sz w:val="28"/>
          <w:szCs w:val="28"/>
          <w:lang w:val="en-ZA"/>
        </w:rPr>
        <w:t>(</w:t>
      </w:r>
      <w:r w:rsidR="00B04A32" w:rsidRPr="001F72AC">
        <w:rPr>
          <w:rFonts w:eastAsia="Calibri"/>
          <w:sz w:val="28"/>
          <w:szCs w:val="28"/>
          <w:lang w:val="en-ZA"/>
        </w:rPr>
        <w:t>c)</w:t>
      </w:r>
      <w:r w:rsidR="0063028A" w:rsidRPr="001F72AC">
        <w:rPr>
          <w:rFonts w:eastAsia="Calibri"/>
          <w:sz w:val="28"/>
          <w:szCs w:val="28"/>
          <w:lang w:val="en-ZA"/>
        </w:rPr>
        <w:t xml:space="preserve"> </w:t>
      </w:r>
      <w:r w:rsidR="007D6B69" w:rsidRPr="001F72AC">
        <w:rPr>
          <w:rFonts w:eastAsia="Calibri"/>
          <w:sz w:val="28"/>
          <w:szCs w:val="28"/>
          <w:lang w:val="en-ZA"/>
        </w:rPr>
        <w:t>expressed the opinion</w:t>
      </w:r>
      <w:r w:rsidR="00B04A32" w:rsidRPr="001F72AC">
        <w:rPr>
          <w:rFonts w:eastAsia="Calibri"/>
          <w:sz w:val="28"/>
          <w:szCs w:val="28"/>
          <w:lang w:val="en-ZA"/>
        </w:rPr>
        <w:t xml:space="preserve"> that the 1994 </w:t>
      </w:r>
      <w:r w:rsidR="005635C3" w:rsidRPr="001F72AC">
        <w:rPr>
          <w:rFonts w:eastAsia="Calibri"/>
          <w:sz w:val="28"/>
          <w:szCs w:val="28"/>
          <w:lang w:val="en-ZA"/>
        </w:rPr>
        <w:t>d</w:t>
      </w:r>
      <w:r w:rsidR="00B04A32" w:rsidRPr="001F72AC">
        <w:rPr>
          <w:rFonts w:eastAsia="Calibri"/>
          <w:sz w:val="28"/>
          <w:szCs w:val="28"/>
          <w:lang w:val="en-ZA"/>
        </w:rPr>
        <w:t>eed of</w:t>
      </w:r>
      <w:r w:rsidR="005635C3" w:rsidRPr="001F72AC">
        <w:rPr>
          <w:rFonts w:eastAsia="Calibri"/>
          <w:sz w:val="28"/>
          <w:szCs w:val="28"/>
          <w:lang w:val="en-ZA"/>
        </w:rPr>
        <w:t xml:space="preserve"> t</w:t>
      </w:r>
      <w:r w:rsidR="00B04A32" w:rsidRPr="001F72AC">
        <w:rPr>
          <w:rFonts w:eastAsia="Calibri"/>
          <w:sz w:val="28"/>
          <w:szCs w:val="28"/>
          <w:lang w:val="en-ZA"/>
        </w:rPr>
        <w:t xml:space="preserve">rust only </w:t>
      </w:r>
      <w:r w:rsidR="005635C3" w:rsidRPr="001F72AC">
        <w:rPr>
          <w:rFonts w:eastAsia="Calibri"/>
          <w:sz w:val="28"/>
          <w:szCs w:val="28"/>
          <w:lang w:val="en-ZA"/>
        </w:rPr>
        <w:t>provided</w:t>
      </w:r>
      <w:r w:rsidR="00B04A32" w:rsidRPr="001F72AC">
        <w:rPr>
          <w:rFonts w:eastAsia="Calibri"/>
          <w:sz w:val="28"/>
          <w:szCs w:val="28"/>
          <w:lang w:val="en-ZA"/>
        </w:rPr>
        <w:t xml:space="preserve"> for the appointment of the</w:t>
      </w:r>
      <w:r w:rsidR="005635C3" w:rsidRPr="001F72AC">
        <w:rPr>
          <w:rFonts w:eastAsia="Calibri"/>
          <w:sz w:val="28"/>
          <w:szCs w:val="28"/>
          <w:lang w:val="en-ZA"/>
        </w:rPr>
        <w:t xml:space="preserve"> first </w:t>
      </w:r>
      <w:r w:rsidR="00B04A32" w:rsidRPr="001F72AC">
        <w:rPr>
          <w:rFonts w:eastAsia="Calibri"/>
          <w:sz w:val="28"/>
          <w:szCs w:val="28"/>
          <w:lang w:val="en-ZA"/>
        </w:rPr>
        <w:t>trustee upon the death of the se</w:t>
      </w:r>
      <w:r w:rsidR="00C3118B" w:rsidRPr="001F72AC">
        <w:rPr>
          <w:rFonts w:eastAsia="Calibri"/>
          <w:sz w:val="28"/>
          <w:szCs w:val="28"/>
          <w:lang w:val="en-ZA"/>
        </w:rPr>
        <w:t>ttlor</w:t>
      </w:r>
      <w:r w:rsidR="00B04A32" w:rsidRPr="001F72AC">
        <w:rPr>
          <w:rFonts w:eastAsia="Calibri"/>
          <w:sz w:val="28"/>
          <w:szCs w:val="28"/>
          <w:lang w:val="en-ZA"/>
        </w:rPr>
        <w:t>.</w:t>
      </w:r>
    </w:p>
    <w:p w14:paraId="012587AC" w14:textId="77777777" w:rsidR="005C4DC3" w:rsidRPr="001F72AC" w:rsidRDefault="005C4DC3" w:rsidP="00452F47">
      <w:pPr>
        <w:spacing w:line="360" w:lineRule="auto"/>
        <w:jc w:val="both"/>
        <w:rPr>
          <w:rFonts w:eastAsia="Calibri"/>
          <w:sz w:val="28"/>
          <w:szCs w:val="28"/>
          <w:lang w:val="en-ZA"/>
        </w:rPr>
      </w:pPr>
    </w:p>
    <w:p w14:paraId="30DB8123" w14:textId="60ED0933" w:rsidR="005635C3" w:rsidRPr="001F72AC" w:rsidRDefault="00011D12" w:rsidP="00452F47">
      <w:pPr>
        <w:spacing w:line="360" w:lineRule="auto"/>
        <w:jc w:val="both"/>
        <w:rPr>
          <w:rFonts w:eastAsia="Calibri"/>
          <w:b/>
          <w:bCs/>
          <w:sz w:val="28"/>
          <w:szCs w:val="28"/>
          <w:lang w:val="en-ZA"/>
        </w:rPr>
      </w:pPr>
      <w:r w:rsidRPr="001F72AC">
        <w:rPr>
          <w:rFonts w:eastAsia="Calibri"/>
          <w:b/>
          <w:bCs/>
          <w:sz w:val="28"/>
          <w:szCs w:val="28"/>
          <w:lang w:val="en-ZA"/>
        </w:rPr>
        <w:t>The litigation</w:t>
      </w:r>
    </w:p>
    <w:p w14:paraId="4A69D3CB" w14:textId="6A93FC97" w:rsidR="005635C3" w:rsidRPr="001F72AC" w:rsidRDefault="005635C3" w:rsidP="00452F47">
      <w:pPr>
        <w:spacing w:line="360" w:lineRule="auto"/>
        <w:jc w:val="both"/>
        <w:rPr>
          <w:rFonts w:eastAsia="Calibri"/>
          <w:sz w:val="28"/>
          <w:szCs w:val="28"/>
          <w:lang w:val="en-ZA"/>
        </w:rPr>
      </w:pPr>
      <w:r w:rsidRPr="001F72AC">
        <w:rPr>
          <w:rFonts w:eastAsia="Calibri"/>
          <w:sz w:val="28"/>
          <w:szCs w:val="28"/>
          <w:lang w:val="en-ZA"/>
        </w:rPr>
        <w:t>[</w:t>
      </w:r>
      <w:r w:rsidR="005C4DC3" w:rsidRPr="001F72AC">
        <w:rPr>
          <w:rFonts w:eastAsia="Calibri"/>
          <w:sz w:val="28"/>
          <w:szCs w:val="28"/>
          <w:lang w:val="en-ZA"/>
        </w:rPr>
        <w:t>1</w:t>
      </w:r>
      <w:r w:rsidR="007D6B69" w:rsidRPr="001F72AC">
        <w:rPr>
          <w:rFonts w:eastAsia="Calibri"/>
          <w:sz w:val="28"/>
          <w:szCs w:val="28"/>
          <w:lang w:val="en-ZA"/>
        </w:rPr>
        <w:t>4</w:t>
      </w:r>
      <w:r w:rsidRPr="001F72AC">
        <w:rPr>
          <w:rFonts w:eastAsia="Calibri"/>
          <w:sz w:val="28"/>
          <w:szCs w:val="28"/>
          <w:lang w:val="en-ZA"/>
        </w:rPr>
        <w:t>]</w:t>
      </w:r>
      <w:r w:rsidRPr="001F72AC">
        <w:rPr>
          <w:rFonts w:eastAsia="Calibri"/>
          <w:sz w:val="28"/>
          <w:szCs w:val="28"/>
          <w:lang w:val="en-ZA"/>
        </w:rPr>
        <w:tab/>
        <w:t>Goolam Hafiz brought an application before the high court to declare that the Hafiz Trust was not a valid trust</w:t>
      </w:r>
      <w:r w:rsidR="005C4DC3" w:rsidRPr="001F72AC">
        <w:rPr>
          <w:rFonts w:eastAsia="Calibri"/>
          <w:sz w:val="28"/>
          <w:szCs w:val="28"/>
          <w:lang w:val="en-ZA"/>
        </w:rPr>
        <w:t xml:space="preserve"> (the main application)</w:t>
      </w:r>
      <w:r w:rsidRPr="001F72AC">
        <w:rPr>
          <w:rFonts w:eastAsia="Calibri"/>
          <w:sz w:val="28"/>
          <w:szCs w:val="28"/>
          <w:lang w:val="en-ZA"/>
        </w:rPr>
        <w:t xml:space="preserve">. He sought </w:t>
      </w:r>
      <w:r w:rsidR="007D6B69" w:rsidRPr="001F72AC">
        <w:rPr>
          <w:rFonts w:eastAsia="Calibri"/>
          <w:sz w:val="28"/>
          <w:szCs w:val="28"/>
          <w:lang w:val="en-ZA"/>
        </w:rPr>
        <w:t>the</w:t>
      </w:r>
      <w:r w:rsidRPr="001F72AC">
        <w:rPr>
          <w:rFonts w:eastAsia="Calibri"/>
          <w:sz w:val="28"/>
          <w:szCs w:val="28"/>
          <w:lang w:val="en-ZA"/>
        </w:rPr>
        <w:t xml:space="preserve"> transfer </w:t>
      </w:r>
      <w:r w:rsidR="00F601B4" w:rsidRPr="001F72AC">
        <w:rPr>
          <w:rFonts w:eastAsia="Calibri"/>
          <w:sz w:val="28"/>
          <w:szCs w:val="28"/>
          <w:lang w:val="en-ZA"/>
        </w:rPr>
        <w:t xml:space="preserve">of </w:t>
      </w:r>
      <w:r w:rsidRPr="001F72AC">
        <w:rPr>
          <w:rFonts w:eastAsia="Calibri"/>
          <w:sz w:val="28"/>
          <w:szCs w:val="28"/>
          <w:lang w:val="en-ZA"/>
        </w:rPr>
        <w:t>the donated property, Property 1, back into his name.</w:t>
      </w:r>
      <w:r w:rsidR="003A698E" w:rsidRPr="001F72AC">
        <w:rPr>
          <w:rStyle w:val="FootnoteReference"/>
          <w:rFonts w:eastAsia="Calibri"/>
          <w:sz w:val="28"/>
          <w:szCs w:val="28"/>
          <w:lang w:val="en-ZA"/>
        </w:rPr>
        <w:footnoteReference w:id="5"/>
      </w:r>
      <w:r w:rsidRPr="001F72AC">
        <w:rPr>
          <w:rFonts w:eastAsia="Calibri"/>
          <w:sz w:val="28"/>
          <w:szCs w:val="28"/>
          <w:lang w:val="en-ZA"/>
        </w:rPr>
        <w:t xml:space="preserve"> Ahmed Hafiz and Akhmed Wahab launched a counter-application, in which they sought a </w:t>
      </w:r>
      <w:r w:rsidR="008F4602" w:rsidRPr="001F72AC">
        <w:rPr>
          <w:rFonts w:eastAsia="Calibri"/>
          <w:sz w:val="28"/>
          <w:szCs w:val="28"/>
          <w:lang w:val="en-ZA"/>
        </w:rPr>
        <w:lastRenderedPageBreak/>
        <w:t xml:space="preserve">declaration that the Hafiz Trust was validly founded and that it be administered in terms of the 2004 deed of amendment. </w:t>
      </w:r>
      <w:r w:rsidR="005C4DC3" w:rsidRPr="001F72AC">
        <w:rPr>
          <w:rFonts w:eastAsia="Calibri"/>
          <w:sz w:val="28"/>
          <w:szCs w:val="28"/>
          <w:lang w:val="en-ZA"/>
        </w:rPr>
        <w:t xml:space="preserve">They also sought </w:t>
      </w:r>
      <w:r w:rsidR="00F601B4" w:rsidRPr="001F72AC">
        <w:rPr>
          <w:rFonts w:eastAsia="Calibri"/>
          <w:sz w:val="28"/>
          <w:szCs w:val="28"/>
          <w:lang w:val="en-ZA"/>
        </w:rPr>
        <w:t>confirmation</w:t>
      </w:r>
      <w:r w:rsidR="005C4DC3" w:rsidRPr="001F72AC">
        <w:rPr>
          <w:rFonts w:eastAsia="Calibri"/>
          <w:sz w:val="28"/>
          <w:szCs w:val="28"/>
          <w:lang w:val="en-ZA"/>
        </w:rPr>
        <w:t xml:space="preserve"> that </w:t>
      </w:r>
      <w:r w:rsidR="00F601B4" w:rsidRPr="001F72AC">
        <w:rPr>
          <w:rFonts w:eastAsia="Calibri"/>
          <w:sz w:val="28"/>
          <w:szCs w:val="28"/>
          <w:lang w:val="en-ZA"/>
        </w:rPr>
        <w:t>they, together with</w:t>
      </w:r>
      <w:r w:rsidR="005C4DC3" w:rsidRPr="001F72AC">
        <w:rPr>
          <w:rFonts w:eastAsia="Calibri"/>
          <w:sz w:val="28"/>
          <w:szCs w:val="28"/>
          <w:lang w:val="en-ZA"/>
        </w:rPr>
        <w:t xml:space="preserve"> Sayed Mohamed</w:t>
      </w:r>
      <w:r w:rsidR="00F601B4" w:rsidRPr="001F72AC">
        <w:rPr>
          <w:rFonts w:eastAsia="Calibri"/>
          <w:sz w:val="28"/>
          <w:szCs w:val="28"/>
          <w:lang w:val="en-ZA"/>
        </w:rPr>
        <w:t>,</w:t>
      </w:r>
      <w:r w:rsidR="005C4DC3" w:rsidRPr="001F72AC">
        <w:rPr>
          <w:rFonts w:eastAsia="Calibri"/>
          <w:sz w:val="28"/>
          <w:szCs w:val="28"/>
          <w:lang w:val="en-ZA"/>
        </w:rPr>
        <w:t xml:space="preserve"> were the trustees of the Hafiz Trust. </w:t>
      </w:r>
      <w:r w:rsidR="00F601B4" w:rsidRPr="001F72AC">
        <w:rPr>
          <w:rFonts w:eastAsia="Calibri"/>
          <w:sz w:val="28"/>
          <w:szCs w:val="28"/>
          <w:lang w:val="en-ZA"/>
        </w:rPr>
        <w:t>D</w:t>
      </w:r>
      <w:r w:rsidR="008F4602" w:rsidRPr="001F72AC">
        <w:rPr>
          <w:rFonts w:eastAsia="Calibri"/>
          <w:sz w:val="28"/>
          <w:szCs w:val="28"/>
          <w:lang w:val="en-ZA"/>
        </w:rPr>
        <w:t xml:space="preserve">uring the course of the litigation </w:t>
      </w:r>
      <w:r w:rsidR="00F601B4" w:rsidRPr="001F72AC">
        <w:rPr>
          <w:rFonts w:eastAsia="Calibri"/>
          <w:sz w:val="28"/>
          <w:szCs w:val="28"/>
          <w:lang w:val="en-ZA"/>
        </w:rPr>
        <w:t>Goolam Hafiz was substituted by</w:t>
      </w:r>
      <w:r w:rsidR="008F4602" w:rsidRPr="001F72AC">
        <w:rPr>
          <w:rFonts w:eastAsia="Calibri"/>
          <w:sz w:val="28"/>
          <w:szCs w:val="28"/>
          <w:lang w:val="en-ZA"/>
        </w:rPr>
        <w:t xml:space="preserve"> the </w:t>
      </w:r>
      <w:r w:rsidR="00F601B4" w:rsidRPr="001F72AC">
        <w:rPr>
          <w:rFonts w:eastAsia="Calibri"/>
          <w:sz w:val="28"/>
          <w:szCs w:val="28"/>
          <w:lang w:val="en-ZA"/>
        </w:rPr>
        <w:t>e</w:t>
      </w:r>
      <w:r w:rsidR="008F4602" w:rsidRPr="001F72AC">
        <w:rPr>
          <w:rFonts w:eastAsia="Calibri"/>
          <w:sz w:val="28"/>
          <w:szCs w:val="28"/>
          <w:lang w:val="en-ZA"/>
        </w:rPr>
        <w:t>xecutor of his estate.</w:t>
      </w:r>
    </w:p>
    <w:p w14:paraId="68D7F77C" w14:textId="77777777" w:rsidR="00011D12" w:rsidRPr="001F72AC" w:rsidRDefault="00011D12" w:rsidP="00452F47">
      <w:pPr>
        <w:spacing w:line="360" w:lineRule="auto"/>
        <w:jc w:val="both"/>
        <w:rPr>
          <w:rFonts w:eastAsia="Calibri"/>
          <w:sz w:val="28"/>
          <w:szCs w:val="28"/>
          <w:lang w:val="en-ZA"/>
        </w:rPr>
      </w:pPr>
    </w:p>
    <w:p w14:paraId="2A6BF31D" w14:textId="3278B592" w:rsidR="00011D12" w:rsidRPr="001F72AC" w:rsidRDefault="005C4DC3" w:rsidP="00011D12">
      <w:pPr>
        <w:spacing w:line="360" w:lineRule="auto"/>
        <w:jc w:val="both"/>
        <w:rPr>
          <w:rFonts w:eastAsia="Calibri"/>
          <w:sz w:val="28"/>
          <w:szCs w:val="28"/>
          <w:lang w:val="en-ZA"/>
        </w:rPr>
      </w:pPr>
      <w:r w:rsidRPr="001F72AC">
        <w:rPr>
          <w:rFonts w:eastAsia="Calibri"/>
          <w:sz w:val="28"/>
          <w:szCs w:val="28"/>
          <w:lang w:val="en-ZA"/>
        </w:rPr>
        <w:t>[1</w:t>
      </w:r>
      <w:r w:rsidR="00F601B4" w:rsidRPr="001F72AC">
        <w:rPr>
          <w:rFonts w:eastAsia="Calibri"/>
          <w:sz w:val="28"/>
          <w:szCs w:val="28"/>
          <w:lang w:val="en-ZA"/>
        </w:rPr>
        <w:t>5</w:t>
      </w:r>
      <w:r w:rsidRPr="001F72AC">
        <w:rPr>
          <w:rFonts w:eastAsia="Calibri"/>
          <w:sz w:val="28"/>
          <w:szCs w:val="28"/>
          <w:lang w:val="en-ZA"/>
        </w:rPr>
        <w:t>]</w:t>
      </w:r>
      <w:r w:rsidRPr="001F72AC">
        <w:rPr>
          <w:rFonts w:eastAsia="Calibri"/>
          <w:sz w:val="28"/>
          <w:szCs w:val="28"/>
          <w:lang w:val="en-ZA"/>
        </w:rPr>
        <w:tab/>
      </w:r>
      <w:r w:rsidR="00011D12" w:rsidRPr="001F72AC">
        <w:rPr>
          <w:rFonts w:eastAsia="Calibri"/>
          <w:sz w:val="28"/>
          <w:szCs w:val="28"/>
          <w:lang w:val="en-ZA"/>
        </w:rPr>
        <w:t xml:space="preserve">The high court </w:t>
      </w:r>
      <w:r w:rsidR="00F601B4" w:rsidRPr="001F72AC">
        <w:rPr>
          <w:rFonts w:eastAsia="Calibri"/>
          <w:sz w:val="28"/>
          <w:szCs w:val="28"/>
          <w:lang w:val="en-ZA"/>
        </w:rPr>
        <w:t>found</w:t>
      </w:r>
      <w:r w:rsidRPr="001F72AC">
        <w:rPr>
          <w:rFonts w:eastAsia="Calibri"/>
          <w:sz w:val="28"/>
          <w:szCs w:val="28"/>
          <w:lang w:val="en-ZA"/>
        </w:rPr>
        <w:t xml:space="preserve"> that a valid trust was not established. </w:t>
      </w:r>
      <w:r w:rsidR="00F601B4" w:rsidRPr="001F72AC">
        <w:rPr>
          <w:rFonts w:eastAsia="Calibri"/>
          <w:sz w:val="28"/>
          <w:szCs w:val="28"/>
          <w:lang w:val="en-ZA"/>
        </w:rPr>
        <w:t xml:space="preserve">It held that </w:t>
      </w:r>
      <w:r w:rsidRPr="001F72AC">
        <w:rPr>
          <w:rFonts w:eastAsia="Calibri"/>
          <w:sz w:val="28"/>
          <w:szCs w:val="28"/>
          <w:lang w:val="en-ZA"/>
        </w:rPr>
        <w:t xml:space="preserve"> </w:t>
      </w:r>
      <w:r w:rsidR="005A0324" w:rsidRPr="001F72AC">
        <w:rPr>
          <w:rFonts w:eastAsia="Calibri"/>
          <w:sz w:val="28"/>
          <w:szCs w:val="28"/>
          <w:lang w:val="en-ZA"/>
        </w:rPr>
        <w:t xml:space="preserve">the 1994 deed of trust was amended </w:t>
      </w:r>
      <w:r w:rsidR="00011D12" w:rsidRPr="001F72AC">
        <w:rPr>
          <w:rFonts w:eastAsia="Calibri"/>
          <w:sz w:val="28"/>
          <w:szCs w:val="28"/>
          <w:lang w:val="en-ZA"/>
        </w:rPr>
        <w:t xml:space="preserve">by the 2011 deed of trust, and that this latter deed established a valid trust. </w:t>
      </w:r>
      <w:r w:rsidR="00F601B4" w:rsidRPr="001F72AC">
        <w:rPr>
          <w:rFonts w:eastAsia="Calibri"/>
          <w:sz w:val="28"/>
          <w:szCs w:val="28"/>
          <w:lang w:val="en-ZA"/>
        </w:rPr>
        <w:t>It ordered</w:t>
      </w:r>
      <w:r w:rsidRPr="001F72AC">
        <w:rPr>
          <w:rFonts w:eastAsia="Calibri"/>
          <w:sz w:val="28"/>
          <w:szCs w:val="28"/>
          <w:lang w:val="en-ZA"/>
        </w:rPr>
        <w:t xml:space="preserve"> that the parties to the 2011 agreement, together with Ahmed Hafiz and Akhmed Wahab, were the trustees of the Hafiz Trust.</w:t>
      </w:r>
      <w:r w:rsidR="00F601B4" w:rsidRPr="001F72AC">
        <w:rPr>
          <w:rStyle w:val="FootnoteReference"/>
          <w:rFonts w:eastAsia="Calibri"/>
          <w:sz w:val="28"/>
          <w:szCs w:val="28"/>
          <w:lang w:val="en-ZA"/>
        </w:rPr>
        <w:footnoteReference w:id="6"/>
      </w:r>
      <w:r w:rsidRPr="001F72AC">
        <w:rPr>
          <w:rFonts w:eastAsia="Calibri"/>
          <w:sz w:val="28"/>
          <w:szCs w:val="28"/>
          <w:lang w:val="en-ZA"/>
        </w:rPr>
        <w:t xml:space="preserve"> </w:t>
      </w:r>
    </w:p>
    <w:p w14:paraId="26DF53AC" w14:textId="77777777" w:rsidR="0090325A" w:rsidRPr="001F72AC" w:rsidRDefault="0090325A" w:rsidP="00011D12">
      <w:pPr>
        <w:spacing w:line="360" w:lineRule="auto"/>
        <w:jc w:val="both"/>
        <w:rPr>
          <w:rFonts w:eastAsia="Calibri"/>
          <w:sz w:val="28"/>
          <w:szCs w:val="28"/>
          <w:lang w:val="en-ZA"/>
        </w:rPr>
      </w:pPr>
    </w:p>
    <w:p w14:paraId="18DD4420" w14:textId="49B9D312" w:rsidR="00011D12" w:rsidRPr="001F72AC" w:rsidRDefault="0090325A" w:rsidP="000565F5">
      <w:pPr>
        <w:spacing w:line="360" w:lineRule="auto"/>
        <w:jc w:val="both"/>
        <w:rPr>
          <w:rFonts w:eastAsia="Calibri"/>
          <w:lang w:val="en-ZA"/>
        </w:rPr>
      </w:pPr>
      <w:r w:rsidRPr="001F72AC">
        <w:rPr>
          <w:rFonts w:eastAsia="Calibri"/>
          <w:sz w:val="28"/>
          <w:szCs w:val="28"/>
          <w:lang w:val="en-ZA"/>
        </w:rPr>
        <w:t>[</w:t>
      </w:r>
      <w:r w:rsidR="00725B6C" w:rsidRPr="001F72AC">
        <w:rPr>
          <w:rFonts w:eastAsia="Calibri"/>
          <w:sz w:val="28"/>
          <w:szCs w:val="28"/>
          <w:lang w:val="en-ZA"/>
        </w:rPr>
        <w:t>1</w:t>
      </w:r>
      <w:r w:rsidR="00F601B4" w:rsidRPr="001F72AC">
        <w:rPr>
          <w:rFonts w:eastAsia="Calibri"/>
          <w:sz w:val="28"/>
          <w:szCs w:val="28"/>
          <w:lang w:val="en-ZA"/>
        </w:rPr>
        <w:t>6</w:t>
      </w:r>
      <w:r w:rsidRPr="001F72AC">
        <w:rPr>
          <w:rFonts w:eastAsia="Calibri"/>
          <w:sz w:val="28"/>
          <w:szCs w:val="28"/>
          <w:lang w:val="en-ZA"/>
        </w:rPr>
        <w:t>]</w:t>
      </w:r>
      <w:r w:rsidRPr="001F72AC">
        <w:rPr>
          <w:rFonts w:eastAsia="Calibri"/>
          <w:sz w:val="28"/>
          <w:szCs w:val="28"/>
          <w:lang w:val="en-ZA"/>
        </w:rPr>
        <w:tab/>
      </w:r>
      <w:r w:rsidR="00D464F1" w:rsidRPr="001F72AC">
        <w:rPr>
          <w:rFonts w:eastAsia="Calibri"/>
          <w:sz w:val="28"/>
          <w:szCs w:val="28"/>
          <w:lang w:val="en-ZA"/>
        </w:rPr>
        <w:t>T</w:t>
      </w:r>
      <w:r w:rsidRPr="001F72AC">
        <w:rPr>
          <w:rFonts w:eastAsia="Calibri"/>
          <w:sz w:val="28"/>
          <w:szCs w:val="28"/>
          <w:lang w:val="en-ZA"/>
        </w:rPr>
        <w:t xml:space="preserve">he full court set </w:t>
      </w:r>
      <w:r w:rsidR="00D464F1" w:rsidRPr="001F72AC">
        <w:rPr>
          <w:rFonts w:eastAsia="Calibri"/>
          <w:sz w:val="28"/>
          <w:szCs w:val="28"/>
          <w:lang w:val="en-ZA"/>
        </w:rPr>
        <w:t xml:space="preserve">aside the high court’s order. </w:t>
      </w:r>
      <w:r w:rsidRPr="001F72AC">
        <w:rPr>
          <w:rFonts w:eastAsia="Calibri"/>
          <w:sz w:val="28"/>
          <w:szCs w:val="28"/>
          <w:lang w:val="en-ZA"/>
        </w:rPr>
        <w:t>It</w:t>
      </w:r>
      <w:r w:rsidR="001C7EE9" w:rsidRPr="001F72AC">
        <w:rPr>
          <w:rFonts w:eastAsia="Calibri"/>
          <w:sz w:val="28"/>
          <w:szCs w:val="28"/>
          <w:lang w:val="en-ZA"/>
        </w:rPr>
        <w:t xml:space="preserve"> </w:t>
      </w:r>
      <w:r w:rsidR="00D464F1" w:rsidRPr="001F72AC">
        <w:rPr>
          <w:rFonts w:eastAsia="Calibri"/>
          <w:sz w:val="28"/>
          <w:szCs w:val="28"/>
          <w:lang w:val="en-ZA"/>
        </w:rPr>
        <w:t>declared that the Hafiz Trust was validly created and that it was to be administered in accordance with the 1994 deed as am</w:t>
      </w:r>
      <w:r w:rsidR="000565F5" w:rsidRPr="001F72AC">
        <w:rPr>
          <w:rFonts w:eastAsia="Calibri"/>
          <w:sz w:val="28"/>
          <w:szCs w:val="28"/>
          <w:lang w:val="en-ZA"/>
        </w:rPr>
        <w:t>e</w:t>
      </w:r>
      <w:r w:rsidR="00D464F1" w:rsidRPr="001F72AC">
        <w:rPr>
          <w:rFonts w:eastAsia="Calibri"/>
          <w:sz w:val="28"/>
          <w:szCs w:val="28"/>
          <w:lang w:val="en-ZA"/>
        </w:rPr>
        <w:t xml:space="preserve">nded by the 2004 deed of amendment. </w:t>
      </w:r>
      <w:r w:rsidR="000565F5" w:rsidRPr="001F72AC">
        <w:rPr>
          <w:rFonts w:eastAsia="Calibri"/>
          <w:sz w:val="28"/>
          <w:szCs w:val="28"/>
          <w:lang w:val="en-ZA"/>
        </w:rPr>
        <w:t xml:space="preserve">It declared that Ahmed Hafiz, Akmed Wahab and Sayed Mohamed were the trustees of the Hafiz Trust. </w:t>
      </w:r>
      <w:r w:rsidRPr="001F72AC">
        <w:rPr>
          <w:rFonts w:eastAsia="Calibri"/>
          <w:sz w:val="28"/>
          <w:szCs w:val="28"/>
          <w:lang w:val="en-ZA"/>
        </w:rPr>
        <w:t>In addition, it varied clause 4.1 of the 1994 deed of trust</w:t>
      </w:r>
      <w:r w:rsidR="00D464F1" w:rsidRPr="001F72AC">
        <w:rPr>
          <w:rFonts w:eastAsia="Calibri"/>
          <w:sz w:val="28"/>
          <w:szCs w:val="28"/>
          <w:lang w:val="en-ZA"/>
        </w:rPr>
        <w:t xml:space="preserve"> to read that </w:t>
      </w:r>
      <w:r w:rsidR="000565F5" w:rsidRPr="001F72AC">
        <w:rPr>
          <w:rFonts w:eastAsia="Calibri"/>
          <w:sz w:val="28"/>
          <w:szCs w:val="28"/>
          <w:lang w:val="en-ZA"/>
        </w:rPr>
        <w:t xml:space="preserve">the First Trustee was Ahmed Hafiz and upon his death, the office of trustee would descend to his eldest male issue. </w:t>
      </w:r>
    </w:p>
    <w:p w14:paraId="61085231" w14:textId="77777777" w:rsidR="00011D12" w:rsidRPr="001F72AC" w:rsidRDefault="00011D12" w:rsidP="00452F47">
      <w:pPr>
        <w:spacing w:line="360" w:lineRule="auto"/>
        <w:jc w:val="both"/>
        <w:rPr>
          <w:rFonts w:eastAsia="Calibri"/>
          <w:sz w:val="28"/>
          <w:szCs w:val="28"/>
          <w:lang w:val="en-ZA"/>
        </w:rPr>
      </w:pPr>
    </w:p>
    <w:p w14:paraId="6F692956" w14:textId="6A73182E" w:rsidR="008F4602" w:rsidRPr="001F72AC" w:rsidRDefault="008F4602" w:rsidP="00452F47">
      <w:pPr>
        <w:spacing w:line="360" w:lineRule="auto"/>
        <w:jc w:val="both"/>
        <w:rPr>
          <w:rFonts w:eastAsia="Calibri"/>
          <w:sz w:val="28"/>
          <w:szCs w:val="28"/>
          <w:lang w:val="en-ZA"/>
        </w:rPr>
      </w:pPr>
      <w:r w:rsidRPr="001F72AC">
        <w:rPr>
          <w:rFonts w:eastAsia="Calibri"/>
          <w:b/>
          <w:bCs/>
          <w:sz w:val="28"/>
          <w:szCs w:val="28"/>
          <w:lang w:val="en-ZA"/>
        </w:rPr>
        <w:t>The issues</w:t>
      </w:r>
    </w:p>
    <w:p w14:paraId="348309EF" w14:textId="26A97720" w:rsidR="008F4602" w:rsidRPr="001F72AC" w:rsidRDefault="008F4602" w:rsidP="00452F47">
      <w:pPr>
        <w:spacing w:line="360" w:lineRule="auto"/>
        <w:jc w:val="both"/>
        <w:rPr>
          <w:rFonts w:eastAsia="Calibri"/>
          <w:sz w:val="28"/>
          <w:szCs w:val="28"/>
          <w:lang w:val="en-ZA"/>
        </w:rPr>
      </w:pPr>
      <w:r w:rsidRPr="001F72AC">
        <w:rPr>
          <w:rFonts w:eastAsia="Calibri"/>
          <w:sz w:val="28"/>
          <w:szCs w:val="28"/>
          <w:lang w:val="en-ZA"/>
        </w:rPr>
        <w:t>[</w:t>
      </w:r>
      <w:r w:rsidR="00725B6C" w:rsidRPr="001F72AC">
        <w:rPr>
          <w:rFonts w:eastAsia="Calibri"/>
          <w:sz w:val="28"/>
          <w:szCs w:val="28"/>
          <w:lang w:val="en-ZA"/>
        </w:rPr>
        <w:t>1</w:t>
      </w:r>
      <w:r w:rsidR="00F601B4" w:rsidRPr="001F72AC">
        <w:rPr>
          <w:rFonts w:eastAsia="Calibri"/>
          <w:sz w:val="28"/>
          <w:szCs w:val="28"/>
          <w:lang w:val="en-ZA"/>
        </w:rPr>
        <w:t>7</w:t>
      </w:r>
      <w:r w:rsidRPr="001F72AC">
        <w:rPr>
          <w:rFonts w:eastAsia="Calibri"/>
          <w:sz w:val="28"/>
          <w:szCs w:val="28"/>
          <w:lang w:val="en-ZA"/>
        </w:rPr>
        <w:t>]</w:t>
      </w:r>
      <w:r w:rsidRPr="001F72AC">
        <w:rPr>
          <w:rFonts w:eastAsia="Calibri"/>
          <w:sz w:val="28"/>
          <w:szCs w:val="28"/>
          <w:lang w:val="en-ZA"/>
        </w:rPr>
        <w:tab/>
        <w:t xml:space="preserve">Three issues arise for decision. The first is whether the </w:t>
      </w:r>
      <w:r w:rsidR="0090325A" w:rsidRPr="001F72AC">
        <w:rPr>
          <w:rFonts w:eastAsia="Calibri"/>
          <w:sz w:val="28"/>
          <w:szCs w:val="28"/>
          <w:lang w:val="en-ZA"/>
        </w:rPr>
        <w:t>Hafiz Trust</w:t>
      </w:r>
      <w:r w:rsidRPr="001F72AC">
        <w:rPr>
          <w:rFonts w:eastAsia="Calibri"/>
          <w:sz w:val="28"/>
          <w:szCs w:val="28"/>
          <w:lang w:val="en-ZA"/>
        </w:rPr>
        <w:t xml:space="preserve"> </w:t>
      </w:r>
      <w:r w:rsidR="0090325A" w:rsidRPr="001F72AC">
        <w:rPr>
          <w:rFonts w:eastAsia="Calibri"/>
          <w:sz w:val="28"/>
          <w:szCs w:val="28"/>
          <w:lang w:val="en-ZA"/>
        </w:rPr>
        <w:t xml:space="preserve">was </w:t>
      </w:r>
      <w:r w:rsidRPr="001F72AC">
        <w:rPr>
          <w:rFonts w:eastAsia="Calibri"/>
          <w:sz w:val="28"/>
          <w:szCs w:val="28"/>
          <w:lang w:val="en-ZA"/>
        </w:rPr>
        <w:t xml:space="preserve">validly </w:t>
      </w:r>
      <w:r w:rsidR="0090325A" w:rsidRPr="001F72AC">
        <w:rPr>
          <w:rFonts w:eastAsia="Calibri"/>
          <w:sz w:val="28"/>
          <w:szCs w:val="28"/>
          <w:lang w:val="en-ZA"/>
        </w:rPr>
        <w:t>created in 1994</w:t>
      </w:r>
      <w:r w:rsidRPr="001F72AC">
        <w:rPr>
          <w:rFonts w:eastAsia="Calibri"/>
          <w:sz w:val="28"/>
          <w:szCs w:val="28"/>
          <w:lang w:val="en-ZA"/>
        </w:rPr>
        <w:t xml:space="preserve">. The second is whether the </w:t>
      </w:r>
      <w:r w:rsidR="0090325A" w:rsidRPr="001F72AC">
        <w:rPr>
          <w:rFonts w:eastAsia="Calibri"/>
          <w:sz w:val="28"/>
          <w:szCs w:val="28"/>
          <w:lang w:val="en-ZA"/>
        </w:rPr>
        <w:t xml:space="preserve">1994 </w:t>
      </w:r>
      <w:r w:rsidRPr="001F72AC">
        <w:rPr>
          <w:rFonts w:eastAsia="Calibri"/>
          <w:sz w:val="28"/>
          <w:szCs w:val="28"/>
          <w:lang w:val="en-ZA"/>
        </w:rPr>
        <w:t xml:space="preserve">trust deed was amended, and if so, by what instrument. The third </w:t>
      </w:r>
      <w:r w:rsidR="004C00F1" w:rsidRPr="001F72AC">
        <w:rPr>
          <w:rFonts w:eastAsia="Calibri"/>
          <w:sz w:val="28"/>
          <w:szCs w:val="28"/>
          <w:lang w:val="en-ZA"/>
        </w:rPr>
        <w:t xml:space="preserve">concerns the identity of </w:t>
      </w:r>
      <w:r w:rsidRPr="001F72AC">
        <w:rPr>
          <w:rFonts w:eastAsia="Calibri"/>
          <w:sz w:val="28"/>
          <w:szCs w:val="28"/>
          <w:lang w:val="en-ZA"/>
        </w:rPr>
        <w:t xml:space="preserve">the trustees of the </w:t>
      </w:r>
      <w:r w:rsidR="001425CA" w:rsidRPr="001F72AC">
        <w:rPr>
          <w:rFonts w:eastAsia="Calibri"/>
          <w:sz w:val="28"/>
          <w:szCs w:val="28"/>
          <w:lang w:val="en-ZA"/>
        </w:rPr>
        <w:t>Hafiz T</w:t>
      </w:r>
      <w:r w:rsidRPr="001F72AC">
        <w:rPr>
          <w:rFonts w:eastAsia="Calibri"/>
          <w:sz w:val="28"/>
          <w:szCs w:val="28"/>
          <w:lang w:val="en-ZA"/>
        </w:rPr>
        <w:t xml:space="preserve">rust. </w:t>
      </w:r>
    </w:p>
    <w:p w14:paraId="533FEE43" w14:textId="77777777" w:rsidR="008F4602" w:rsidRPr="001F72AC" w:rsidRDefault="008F4602" w:rsidP="00452F47">
      <w:pPr>
        <w:spacing w:line="360" w:lineRule="auto"/>
        <w:jc w:val="both"/>
        <w:rPr>
          <w:rFonts w:eastAsia="Calibri"/>
          <w:b/>
          <w:sz w:val="28"/>
          <w:szCs w:val="28"/>
          <w:lang w:val="en-ZA"/>
        </w:rPr>
      </w:pPr>
    </w:p>
    <w:p w14:paraId="7BA89B3A" w14:textId="71A17215" w:rsidR="00C3118B" w:rsidRPr="001F72AC" w:rsidRDefault="0090325A" w:rsidP="00452F47">
      <w:pPr>
        <w:spacing w:line="360" w:lineRule="auto"/>
        <w:jc w:val="both"/>
        <w:rPr>
          <w:rFonts w:eastAsia="Calibri"/>
          <w:b/>
          <w:sz w:val="28"/>
          <w:szCs w:val="28"/>
          <w:lang w:val="en-ZA"/>
        </w:rPr>
      </w:pPr>
      <w:r w:rsidRPr="001F72AC">
        <w:rPr>
          <w:rFonts w:eastAsia="Calibri"/>
          <w:b/>
          <w:sz w:val="28"/>
          <w:szCs w:val="28"/>
          <w:lang w:val="en-ZA"/>
        </w:rPr>
        <w:t>Was a trust validly established?</w:t>
      </w:r>
    </w:p>
    <w:p w14:paraId="35CB539A" w14:textId="439AD2D6" w:rsidR="00725B6C" w:rsidRPr="001F72AC" w:rsidRDefault="0090325A" w:rsidP="00725B6C">
      <w:pPr>
        <w:spacing w:line="360" w:lineRule="auto"/>
        <w:jc w:val="both"/>
        <w:rPr>
          <w:rFonts w:eastAsia="Calibri"/>
          <w:sz w:val="28"/>
          <w:szCs w:val="28"/>
        </w:rPr>
      </w:pPr>
      <w:r w:rsidRPr="001F72AC">
        <w:rPr>
          <w:rFonts w:eastAsia="Calibri"/>
          <w:sz w:val="28"/>
          <w:szCs w:val="28"/>
          <w:lang w:val="en-ZA"/>
        </w:rPr>
        <w:lastRenderedPageBreak/>
        <w:t>[</w:t>
      </w:r>
      <w:r w:rsidR="00F601B4" w:rsidRPr="001F72AC">
        <w:rPr>
          <w:rFonts w:eastAsia="Calibri"/>
          <w:sz w:val="28"/>
          <w:szCs w:val="28"/>
          <w:lang w:val="en-ZA"/>
        </w:rPr>
        <w:t>18</w:t>
      </w:r>
      <w:r w:rsidRPr="001F72AC">
        <w:rPr>
          <w:rFonts w:eastAsia="Calibri"/>
          <w:sz w:val="28"/>
          <w:szCs w:val="28"/>
          <w:lang w:val="en-ZA"/>
        </w:rPr>
        <w:t>]</w:t>
      </w:r>
      <w:r w:rsidRPr="001F72AC">
        <w:rPr>
          <w:rFonts w:eastAsia="Calibri"/>
          <w:sz w:val="28"/>
          <w:szCs w:val="28"/>
          <w:lang w:val="en-ZA"/>
        </w:rPr>
        <w:tab/>
      </w:r>
      <w:r w:rsidR="00F601B4" w:rsidRPr="001F72AC">
        <w:rPr>
          <w:rFonts w:eastAsia="Calibri"/>
          <w:sz w:val="28"/>
          <w:szCs w:val="28"/>
          <w:lang w:val="en-ZA"/>
        </w:rPr>
        <w:t>T</w:t>
      </w:r>
      <w:r w:rsidR="00725B6C" w:rsidRPr="001F72AC">
        <w:rPr>
          <w:rFonts w:eastAsia="Calibri"/>
          <w:sz w:val="28"/>
          <w:szCs w:val="28"/>
          <w:lang w:val="en-ZA"/>
        </w:rPr>
        <w:t xml:space="preserve">he validity of the Hafiz Trust depends upon whether: </w:t>
      </w:r>
    </w:p>
    <w:p w14:paraId="5453135C" w14:textId="77777777" w:rsidR="00725B6C" w:rsidRPr="001F72AC" w:rsidRDefault="00725B6C" w:rsidP="00725B6C">
      <w:pPr>
        <w:spacing w:line="360" w:lineRule="auto"/>
        <w:jc w:val="both"/>
        <w:rPr>
          <w:rFonts w:eastAsia="Calibri"/>
          <w:sz w:val="28"/>
          <w:szCs w:val="28"/>
        </w:rPr>
      </w:pPr>
      <w:r w:rsidRPr="001F72AC">
        <w:rPr>
          <w:rFonts w:eastAsia="Calibri"/>
          <w:sz w:val="28"/>
          <w:szCs w:val="28"/>
        </w:rPr>
        <w:t>(a) Goolam Hafiz intended to create a trust in his life time;</w:t>
      </w:r>
    </w:p>
    <w:p w14:paraId="121A9727" w14:textId="77777777" w:rsidR="00725B6C" w:rsidRPr="001F72AC" w:rsidRDefault="00725B6C" w:rsidP="00725B6C">
      <w:pPr>
        <w:spacing w:line="360" w:lineRule="auto"/>
        <w:jc w:val="both"/>
        <w:rPr>
          <w:rFonts w:eastAsia="Calibri"/>
          <w:sz w:val="28"/>
          <w:szCs w:val="28"/>
        </w:rPr>
      </w:pPr>
      <w:r w:rsidRPr="001F72AC">
        <w:rPr>
          <w:rFonts w:eastAsia="Calibri"/>
          <w:sz w:val="28"/>
          <w:szCs w:val="28"/>
        </w:rPr>
        <w:t xml:space="preserve">(b) his intention was expressed in a manner that created an obligation upon the trustee or trustees and whether such obligation was accepted; </w:t>
      </w:r>
    </w:p>
    <w:p w14:paraId="212567C5" w14:textId="23AE6D4A" w:rsidR="00725B6C" w:rsidRPr="001F72AC" w:rsidRDefault="00725B6C" w:rsidP="00725B6C">
      <w:pPr>
        <w:spacing w:line="360" w:lineRule="auto"/>
        <w:jc w:val="both"/>
        <w:rPr>
          <w:rFonts w:eastAsia="Calibri"/>
          <w:sz w:val="28"/>
          <w:szCs w:val="28"/>
          <w:lang w:val="en-ZA"/>
        </w:rPr>
      </w:pPr>
      <w:r w:rsidRPr="001F72AC">
        <w:rPr>
          <w:rFonts w:eastAsia="Calibri"/>
          <w:sz w:val="28"/>
          <w:szCs w:val="28"/>
        </w:rPr>
        <w:t xml:space="preserve">(c) whether the </w:t>
      </w:r>
      <w:r w:rsidR="00DC70C2" w:rsidRPr="001F72AC">
        <w:rPr>
          <w:rFonts w:eastAsia="Calibri"/>
          <w:sz w:val="28"/>
          <w:szCs w:val="28"/>
        </w:rPr>
        <w:t>trust</w:t>
      </w:r>
      <w:r w:rsidRPr="001F72AC">
        <w:rPr>
          <w:rFonts w:eastAsia="Calibri"/>
          <w:sz w:val="28"/>
          <w:szCs w:val="28"/>
        </w:rPr>
        <w:t xml:space="preserve"> property was defined with reasonable certainty;</w:t>
      </w:r>
    </w:p>
    <w:p w14:paraId="330AB7AD" w14:textId="622E0EED" w:rsidR="00725B6C" w:rsidRPr="001F72AC" w:rsidRDefault="00725B6C" w:rsidP="00725B6C">
      <w:pPr>
        <w:spacing w:line="360" w:lineRule="auto"/>
        <w:jc w:val="both"/>
        <w:rPr>
          <w:rFonts w:eastAsia="Calibri"/>
          <w:sz w:val="28"/>
          <w:szCs w:val="28"/>
        </w:rPr>
      </w:pPr>
      <w:r w:rsidRPr="001F72AC">
        <w:rPr>
          <w:rFonts w:eastAsia="Calibri"/>
          <w:sz w:val="28"/>
          <w:szCs w:val="28"/>
        </w:rPr>
        <w:t>(d) whether the obje</w:t>
      </w:r>
      <w:r w:rsidR="005F14F5" w:rsidRPr="001F72AC">
        <w:rPr>
          <w:rFonts w:eastAsia="Calibri"/>
          <w:sz w:val="28"/>
          <w:szCs w:val="28"/>
        </w:rPr>
        <w:t>c</w:t>
      </w:r>
      <w:r w:rsidRPr="001F72AC">
        <w:rPr>
          <w:rFonts w:eastAsia="Calibri"/>
          <w:sz w:val="28"/>
          <w:szCs w:val="28"/>
        </w:rPr>
        <w:t>ts of the trust were set out with reasonable certainty and whether they are lawful.</w:t>
      </w:r>
      <w:r w:rsidRPr="001F72AC">
        <w:rPr>
          <w:rFonts w:eastAsia="Calibri"/>
          <w:sz w:val="28"/>
          <w:szCs w:val="28"/>
          <w:vertAlign w:val="superscript"/>
        </w:rPr>
        <w:footnoteReference w:id="7"/>
      </w:r>
    </w:p>
    <w:p w14:paraId="76CAC33E" w14:textId="3D3529C9" w:rsidR="00725B6C" w:rsidRPr="001F72AC" w:rsidRDefault="00725B6C" w:rsidP="008C7B97">
      <w:pPr>
        <w:spacing w:line="360" w:lineRule="auto"/>
        <w:jc w:val="both"/>
        <w:rPr>
          <w:rFonts w:eastAsia="Calibri"/>
          <w:sz w:val="28"/>
          <w:szCs w:val="28"/>
          <w:lang w:val="en-ZA"/>
        </w:rPr>
      </w:pPr>
    </w:p>
    <w:p w14:paraId="2E1DD819" w14:textId="763392BE" w:rsidR="00725B6C" w:rsidRPr="001F72AC" w:rsidRDefault="00725B6C" w:rsidP="00725B6C">
      <w:pPr>
        <w:spacing w:line="360" w:lineRule="auto"/>
        <w:jc w:val="both"/>
        <w:rPr>
          <w:rFonts w:eastAsia="Calibri"/>
          <w:sz w:val="28"/>
          <w:szCs w:val="28"/>
        </w:rPr>
      </w:pPr>
      <w:r w:rsidRPr="001F72AC">
        <w:rPr>
          <w:rFonts w:eastAsia="Calibri"/>
          <w:sz w:val="28"/>
          <w:szCs w:val="28"/>
        </w:rPr>
        <w:t>[</w:t>
      </w:r>
      <w:r w:rsidR="005F14F5" w:rsidRPr="001F72AC">
        <w:rPr>
          <w:rFonts w:eastAsia="Calibri"/>
          <w:sz w:val="28"/>
          <w:szCs w:val="28"/>
        </w:rPr>
        <w:t>19</w:t>
      </w:r>
      <w:r w:rsidRPr="001F72AC">
        <w:rPr>
          <w:rFonts w:eastAsia="Calibri"/>
          <w:sz w:val="28"/>
          <w:szCs w:val="28"/>
        </w:rPr>
        <w:t>]</w:t>
      </w:r>
      <w:r w:rsidRPr="001F72AC">
        <w:rPr>
          <w:rFonts w:eastAsia="Calibri"/>
          <w:sz w:val="28"/>
          <w:szCs w:val="28"/>
        </w:rPr>
        <w:tab/>
      </w:r>
      <w:r w:rsidR="005F14F5" w:rsidRPr="001F72AC">
        <w:rPr>
          <w:rFonts w:eastAsia="Calibri"/>
          <w:sz w:val="28"/>
          <w:szCs w:val="28"/>
        </w:rPr>
        <w:t>T</w:t>
      </w:r>
      <w:r w:rsidRPr="001F72AC">
        <w:rPr>
          <w:rFonts w:eastAsia="Calibri"/>
          <w:sz w:val="28"/>
          <w:szCs w:val="28"/>
        </w:rPr>
        <w:t xml:space="preserve">he lawfulness of the objects of the Hafiz Trust </w:t>
      </w:r>
      <w:r w:rsidR="005F14F5" w:rsidRPr="001F72AC">
        <w:rPr>
          <w:rFonts w:eastAsia="Calibri"/>
          <w:sz w:val="28"/>
          <w:szCs w:val="28"/>
        </w:rPr>
        <w:t>and</w:t>
      </w:r>
      <w:r w:rsidRPr="001F72AC">
        <w:rPr>
          <w:rFonts w:eastAsia="Calibri"/>
          <w:sz w:val="28"/>
          <w:szCs w:val="28"/>
        </w:rPr>
        <w:t xml:space="preserve"> the definition of the trust property</w:t>
      </w:r>
      <w:r w:rsidR="005F14F5" w:rsidRPr="001F72AC">
        <w:rPr>
          <w:rFonts w:eastAsia="Calibri"/>
          <w:sz w:val="28"/>
          <w:szCs w:val="28"/>
        </w:rPr>
        <w:t xml:space="preserve"> were not in issue</w:t>
      </w:r>
      <w:r w:rsidRPr="001F72AC">
        <w:rPr>
          <w:rFonts w:eastAsia="Calibri"/>
          <w:sz w:val="28"/>
          <w:szCs w:val="28"/>
        </w:rPr>
        <w:t xml:space="preserve">. The controversy centered on the expressed intention of the settlor and whether the 1994 trust deed envisaged the appointment of a trustee in the life time of the settlor. </w:t>
      </w:r>
    </w:p>
    <w:p w14:paraId="608A20EC" w14:textId="77777777" w:rsidR="00725B6C" w:rsidRPr="001F72AC" w:rsidRDefault="00725B6C" w:rsidP="008C7B97">
      <w:pPr>
        <w:spacing w:line="360" w:lineRule="auto"/>
        <w:jc w:val="both"/>
        <w:rPr>
          <w:rFonts w:eastAsia="Calibri"/>
          <w:sz w:val="28"/>
          <w:szCs w:val="28"/>
          <w:lang w:val="en-ZA"/>
        </w:rPr>
      </w:pPr>
    </w:p>
    <w:p w14:paraId="37C47362" w14:textId="1FC9D446" w:rsidR="0090325A" w:rsidRPr="001F72AC" w:rsidRDefault="00725B6C" w:rsidP="008C7B97">
      <w:pPr>
        <w:spacing w:line="360" w:lineRule="auto"/>
        <w:jc w:val="both"/>
        <w:rPr>
          <w:rFonts w:eastAsia="Calibri"/>
          <w:sz w:val="28"/>
          <w:szCs w:val="28"/>
          <w:lang w:val="en-ZA"/>
        </w:rPr>
      </w:pPr>
      <w:r w:rsidRPr="001F72AC">
        <w:rPr>
          <w:rFonts w:eastAsia="Calibri"/>
          <w:sz w:val="28"/>
          <w:szCs w:val="28"/>
          <w:lang w:val="en-ZA"/>
        </w:rPr>
        <w:t>[2</w:t>
      </w:r>
      <w:r w:rsidR="005F14F5" w:rsidRPr="001F72AC">
        <w:rPr>
          <w:rFonts w:eastAsia="Calibri"/>
          <w:sz w:val="28"/>
          <w:szCs w:val="28"/>
          <w:lang w:val="en-ZA"/>
        </w:rPr>
        <w:t>0</w:t>
      </w:r>
      <w:r w:rsidRPr="001F72AC">
        <w:rPr>
          <w:rFonts w:eastAsia="Calibri"/>
          <w:sz w:val="28"/>
          <w:szCs w:val="28"/>
          <w:lang w:val="en-ZA"/>
        </w:rPr>
        <w:t>]</w:t>
      </w:r>
      <w:r w:rsidRPr="001F72AC">
        <w:rPr>
          <w:rFonts w:eastAsia="Calibri"/>
          <w:sz w:val="28"/>
          <w:szCs w:val="28"/>
          <w:lang w:val="en-ZA"/>
        </w:rPr>
        <w:tab/>
      </w:r>
      <w:r w:rsidR="0090325A" w:rsidRPr="001F72AC">
        <w:rPr>
          <w:rFonts w:eastAsia="Calibri"/>
          <w:sz w:val="28"/>
          <w:szCs w:val="28"/>
          <w:lang w:val="en-ZA"/>
        </w:rPr>
        <w:t xml:space="preserve">Whether a trust was validly established </w:t>
      </w:r>
      <w:r w:rsidR="001C7EE9" w:rsidRPr="001F72AC">
        <w:rPr>
          <w:rFonts w:eastAsia="Calibri"/>
          <w:sz w:val="28"/>
          <w:szCs w:val="28"/>
          <w:lang w:val="en-ZA"/>
        </w:rPr>
        <w:t>depends on the</w:t>
      </w:r>
      <w:r w:rsidR="0090325A" w:rsidRPr="001F72AC">
        <w:rPr>
          <w:rFonts w:eastAsia="Calibri"/>
          <w:sz w:val="28"/>
          <w:szCs w:val="28"/>
          <w:lang w:val="en-ZA"/>
        </w:rPr>
        <w:t xml:space="preserve"> evidence. </w:t>
      </w:r>
      <w:r w:rsidR="00E760D6" w:rsidRPr="001F72AC">
        <w:rPr>
          <w:rFonts w:eastAsia="Calibri"/>
          <w:sz w:val="28"/>
          <w:szCs w:val="28"/>
          <w:lang w:val="en-ZA"/>
        </w:rPr>
        <w:t xml:space="preserve">An </w:t>
      </w:r>
      <w:r w:rsidR="00E760D6" w:rsidRPr="001F72AC">
        <w:rPr>
          <w:rFonts w:eastAsia="Calibri"/>
          <w:i/>
          <w:iCs/>
          <w:sz w:val="28"/>
          <w:szCs w:val="28"/>
          <w:lang w:val="en-ZA"/>
        </w:rPr>
        <w:t xml:space="preserve">inter vivos </w:t>
      </w:r>
      <w:r w:rsidR="00E760D6" w:rsidRPr="001F72AC">
        <w:rPr>
          <w:rFonts w:eastAsia="Calibri"/>
          <w:sz w:val="28"/>
          <w:szCs w:val="28"/>
          <w:lang w:val="en-ZA"/>
        </w:rPr>
        <w:t xml:space="preserve">trust is created by </w:t>
      </w:r>
      <w:r w:rsidR="00345780" w:rsidRPr="001F72AC">
        <w:rPr>
          <w:rFonts w:eastAsia="Calibri"/>
          <w:sz w:val="28"/>
          <w:szCs w:val="28"/>
          <w:lang w:val="en-ZA"/>
        </w:rPr>
        <w:t xml:space="preserve">a </w:t>
      </w:r>
      <w:r w:rsidR="00E760D6" w:rsidRPr="001F72AC">
        <w:rPr>
          <w:rFonts w:eastAsia="Calibri"/>
          <w:sz w:val="28"/>
          <w:szCs w:val="28"/>
          <w:lang w:val="en-ZA"/>
        </w:rPr>
        <w:t>bilateral agreement between its founder and the prospective trustee or trustees.</w:t>
      </w:r>
      <w:r w:rsidR="002A6851" w:rsidRPr="001F72AC">
        <w:rPr>
          <w:rStyle w:val="FootnoteReference"/>
          <w:rFonts w:eastAsia="Calibri"/>
          <w:sz w:val="28"/>
          <w:szCs w:val="28"/>
          <w:lang w:val="en-ZA"/>
        </w:rPr>
        <w:footnoteReference w:id="8"/>
      </w:r>
      <w:r w:rsidR="00E760D6" w:rsidRPr="001F72AC">
        <w:rPr>
          <w:rFonts w:eastAsia="Calibri"/>
          <w:sz w:val="28"/>
          <w:szCs w:val="28"/>
          <w:lang w:val="en-ZA"/>
        </w:rPr>
        <w:t xml:space="preserve"> The agreement may be oral or in written form. T</w:t>
      </w:r>
      <w:r w:rsidR="00741DE4" w:rsidRPr="001F72AC">
        <w:rPr>
          <w:rFonts w:eastAsia="Calibri"/>
          <w:sz w:val="28"/>
          <w:szCs w:val="28"/>
          <w:lang w:val="en-ZA"/>
        </w:rPr>
        <w:t xml:space="preserve">he document alleged to </w:t>
      </w:r>
      <w:r w:rsidR="001A278A" w:rsidRPr="001F72AC">
        <w:rPr>
          <w:rFonts w:eastAsia="Calibri"/>
          <w:sz w:val="28"/>
          <w:szCs w:val="28"/>
          <w:lang w:val="en-ZA"/>
        </w:rPr>
        <w:t xml:space="preserve">be </w:t>
      </w:r>
      <w:r w:rsidR="00741DE4" w:rsidRPr="001F72AC">
        <w:rPr>
          <w:rFonts w:eastAsia="Calibri"/>
          <w:sz w:val="28"/>
          <w:szCs w:val="28"/>
          <w:lang w:val="en-ZA"/>
        </w:rPr>
        <w:t xml:space="preserve">the </w:t>
      </w:r>
      <w:r w:rsidR="0090325A" w:rsidRPr="001F72AC">
        <w:rPr>
          <w:rFonts w:eastAsia="Calibri"/>
          <w:sz w:val="28"/>
          <w:szCs w:val="28"/>
          <w:lang w:val="en-ZA"/>
        </w:rPr>
        <w:t xml:space="preserve">trust deed serves as evidence </w:t>
      </w:r>
      <w:r w:rsidR="00E760D6" w:rsidRPr="001F72AC">
        <w:rPr>
          <w:rFonts w:eastAsia="Calibri"/>
          <w:sz w:val="28"/>
          <w:szCs w:val="28"/>
          <w:lang w:val="en-ZA"/>
        </w:rPr>
        <w:t xml:space="preserve">of the creation of the trust </w:t>
      </w:r>
      <w:r w:rsidR="0090325A" w:rsidRPr="001F72AC">
        <w:rPr>
          <w:rFonts w:eastAsia="Calibri"/>
          <w:sz w:val="28"/>
          <w:szCs w:val="28"/>
          <w:lang w:val="en-ZA"/>
        </w:rPr>
        <w:t>along with other relevant evidence.</w:t>
      </w:r>
      <w:r w:rsidR="00741DE4" w:rsidRPr="001F72AC">
        <w:rPr>
          <w:rStyle w:val="FootnoteReference"/>
          <w:rFonts w:eastAsia="Calibri"/>
          <w:sz w:val="28"/>
          <w:szCs w:val="28"/>
          <w:lang w:val="en-ZA"/>
        </w:rPr>
        <w:footnoteReference w:id="9"/>
      </w:r>
      <w:r w:rsidR="0090325A" w:rsidRPr="001F72AC">
        <w:rPr>
          <w:rFonts w:eastAsia="Calibri"/>
          <w:sz w:val="28"/>
          <w:szCs w:val="28"/>
          <w:lang w:val="en-ZA"/>
        </w:rPr>
        <w:t xml:space="preserve"> </w:t>
      </w:r>
      <w:r w:rsidR="005F14F5" w:rsidRPr="001F72AC">
        <w:rPr>
          <w:rFonts w:eastAsia="Calibri"/>
          <w:sz w:val="28"/>
          <w:szCs w:val="28"/>
          <w:lang w:val="en-ZA"/>
        </w:rPr>
        <w:t>This</w:t>
      </w:r>
      <w:r w:rsidR="0090325A" w:rsidRPr="001F72AC">
        <w:rPr>
          <w:rFonts w:eastAsia="Calibri"/>
          <w:sz w:val="28"/>
          <w:szCs w:val="28"/>
          <w:lang w:val="en-ZA"/>
        </w:rPr>
        <w:t xml:space="preserve"> may </w:t>
      </w:r>
      <w:r w:rsidR="005F14F5" w:rsidRPr="001F72AC">
        <w:rPr>
          <w:rFonts w:eastAsia="Calibri"/>
          <w:sz w:val="28"/>
          <w:szCs w:val="28"/>
          <w:lang w:val="en-ZA"/>
        </w:rPr>
        <w:t>concern</w:t>
      </w:r>
      <w:r w:rsidR="000D54DD" w:rsidRPr="001F72AC">
        <w:rPr>
          <w:rFonts w:eastAsia="Calibri"/>
          <w:sz w:val="28"/>
          <w:szCs w:val="28"/>
          <w:lang w:val="en-ZA"/>
        </w:rPr>
        <w:t xml:space="preserve"> the declared intention of the settlor</w:t>
      </w:r>
      <w:r w:rsidR="00E16A1F" w:rsidRPr="001F72AC">
        <w:rPr>
          <w:rFonts w:eastAsia="Calibri"/>
          <w:sz w:val="28"/>
          <w:szCs w:val="28"/>
          <w:lang w:val="en-ZA"/>
        </w:rPr>
        <w:t xml:space="preserve"> determined at the time that a trust instrument is executed</w:t>
      </w:r>
      <w:r w:rsidR="00E16A1F" w:rsidRPr="001F72AC">
        <w:rPr>
          <w:rFonts w:eastAsia="Calibri"/>
          <w:sz w:val="28"/>
          <w:szCs w:val="28"/>
          <w:vertAlign w:val="superscript"/>
        </w:rPr>
        <w:footnoteReference w:id="10"/>
      </w:r>
      <w:r w:rsidR="000D54DD" w:rsidRPr="001F72AC">
        <w:rPr>
          <w:rFonts w:eastAsia="Calibri"/>
          <w:sz w:val="28"/>
          <w:szCs w:val="28"/>
          <w:lang w:val="en-ZA"/>
        </w:rPr>
        <w:t xml:space="preserve">; the assumption of the obligations of trusteeship by an intended trustee; the formal appointment of such trustee; and the transfer of ownership and control of the trust property into the hands of the </w:t>
      </w:r>
      <w:r w:rsidR="00741DE4" w:rsidRPr="001F72AC">
        <w:rPr>
          <w:rFonts w:eastAsia="Calibri"/>
          <w:sz w:val="28"/>
          <w:szCs w:val="28"/>
          <w:lang w:val="en-ZA"/>
        </w:rPr>
        <w:t xml:space="preserve">person said to be the </w:t>
      </w:r>
      <w:r w:rsidR="000D54DD" w:rsidRPr="001F72AC">
        <w:rPr>
          <w:rFonts w:eastAsia="Calibri"/>
          <w:sz w:val="28"/>
          <w:szCs w:val="28"/>
          <w:lang w:val="en-ZA"/>
        </w:rPr>
        <w:t>trustee</w:t>
      </w:r>
      <w:r w:rsidR="00741DE4" w:rsidRPr="001F72AC">
        <w:rPr>
          <w:rFonts w:eastAsia="Calibri"/>
          <w:sz w:val="28"/>
          <w:szCs w:val="28"/>
          <w:lang w:val="en-ZA"/>
        </w:rPr>
        <w:t>.</w:t>
      </w:r>
    </w:p>
    <w:p w14:paraId="64FB5357" w14:textId="77777777" w:rsidR="000D54DD" w:rsidRPr="001F72AC" w:rsidRDefault="000D54DD" w:rsidP="008C7B97">
      <w:pPr>
        <w:spacing w:line="360" w:lineRule="auto"/>
        <w:jc w:val="both"/>
        <w:rPr>
          <w:rFonts w:eastAsia="Calibri"/>
          <w:sz w:val="28"/>
          <w:szCs w:val="28"/>
          <w:lang w:val="en-ZA"/>
        </w:rPr>
      </w:pPr>
    </w:p>
    <w:p w14:paraId="0DF0B3FA" w14:textId="4ED9309A" w:rsidR="008C7B97" w:rsidRPr="001F72AC" w:rsidRDefault="00C3118B" w:rsidP="008C7B97">
      <w:pPr>
        <w:spacing w:line="360" w:lineRule="auto"/>
        <w:jc w:val="both"/>
      </w:pPr>
      <w:r w:rsidRPr="001F72AC">
        <w:rPr>
          <w:rFonts w:eastAsia="Calibri"/>
          <w:sz w:val="28"/>
          <w:szCs w:val="28"/>
          <w:lang w:val="en-ZA"/>
        </w:rPr>
        <w:t>[2</w:t>
      </w:r>
      <w:r w:rsidR="005F14F5" w:rsidRPr="001F72AC">
        <w:rPr>
          <w:rFonts w:eastAsia="Calibri"/>
          <w:sz w:val="28"/>
          <w:szCs w:val="28"/>
          <w:lang w:val="en-ZA"/>
        </w:rPr>
        <w:t>1</w:t>
      </w:r>
      <w:r w:rsidRPr="001F72AC">
        <w:rPr>
          <w:rFonts w:eastAsia="Calibri"/>
          <w:sz w:val="28"/>
          <w:szCs w:val="28"/>
          <w:lang w:val="en-ZA"/>
        </w:rPr>
        <w:t>]</w:t>
      </w:r>
      <w:r w:rsidR="008C7B97" w:rsidRPr="001F72AC">
        <w:rPr>
          <w:rFonts w:eastAsia="Calibri"/>
          <w:sz w:val="28"/>
          <w:szCs w:val="28"/>
          <w:lang w:val="en-ZA"/>
        </w:rPr>
        <w:tab/>
      </w:r>
      <w:r w:rsidR="001A3B06" w:rsidRPr="001F72AC">
        <w:rPr>
          <w:rFonts w:eastAsia="Calibri"/>
          <w:sz w:val="28"/>
          <w:szCs w:val="28"/>
          <w:lang w:val="en-ZA"/>
        </w:rPr>
        <w:t xml:space="preserve">To the extent that </w:t>
      </w:r>
      <w:r w:rsidR="001A278A" w:rsidRPr="001F72AC">
        <w:rPr>
          <w:rFonts w:eastAsia="Calibri"/>
          <w:sz w:val="28"/>
          <w:szCs w:val="28"/>
          <w:lang w:val="en-ZA"/>
        </w:rPr>
        <w:t>a document alleged to be a trust instrument or clause thereof</w:t>
      </w:r>
      <w:r w:rsidR="001A3B06" w:rsidRPr="001F72AC">
        <w:rPr>
          <w:rFonts w:eastAsia="Calibri"/>
          <w:sz w:val="28"/>
          <w:szCs w:val="28"/>
          <w:lang w:val="en-ZA"/>
        </w:rPr>
        <w:t xml:space="preserve"> is equivocal</w:t>
      </w:r>
      <w:r w:rsidR="00E760D6" w:rsidRPr="001F72AC">
        <w:rPr>
          <w:rFonts w:eastAsia="Calibri"/>
          <w:sz w:val="28"/>
          <w:szCs w:val="28"/>
          <w:lang w:val="en-ZA"/>
        </w:rPr>
        <w:t>,</w:t>
      </w:r>
      <w:r w:rsidR="001A3B06" w:rsidRPr="001F72AC">
        <w:rPr>
          <w:rFonts w:eastAsia="Calibri"/>
          <w:sz w:val="28"/>
          <w:szCs w:val="28"/>
          <w:lang w:val="en-ZA"/>
        </w:rPr>
        <w:t xml:space="preserve"> i</w:t>
      </w:r>
      <w:r w:rsidR="00E16A1F" w:rsidRPr="001F72AC">
        <w:rPr>
          <w:rFonts w:eastAsia="Calibri"/>
          <w:sz w:val="28"/>
          <w:szCs w:val="28"/>
          <w:lang w:val="en-ZA"/>
        </w:rPr>
        <w:t xml:space="preserve">t </w:t>
      </w:r>
      <w:r w:rsidR="00E760D6" w:rsidRPr="001F72AC">
        <w:rPr>
          <w:rFonts w:eastAsia="Calibri"/>
          <w:sz w:val="28"/>
          <w:szCs w:val="28"/>
          <w:lang w:val="en-ZA"/>
        </w:rPr>
        <w:t xml:space="preserve">will be read </w:t>
      </w:r>
      <w:r w:rsidR="00DD484A" w:rsidRPr="001F72AC">
        <w:rPr>
          <w:rFonts w:eastAsia="Calibri"/>
          <w:sz w:val="28"/>
          <w:szCs w:val="28"/>
          <w:lang w:val="en-ZA"/>
        </w:rPr>
        <w:t xml:space="preserve">in the </w:t>
      </w:r>
      <w:r w:rsidR="00E760D6" w:rsidRPr="001F72AC">
        <w:rPr>
          <w:rFonts w:eastAsia="Calibri"/>
          <w:sz w:val="28"/>
          <w:szCs w:val="28"/>
          <w:lang w:val="en-ZA"/>
        </w:rPr>
        <w:t>context</w:t>
      </w:r>
      <w:r w:rsidR="00DD484A" w:rsidRPr="001F72AC">
        <w:rPr>
          <w:rFonts w:eastAsia="Calibri"/>
          <w:sz w:val="28"/>
          <w:szCs w:val="28"/>
          <w:lang w:val="en-ZA"/>
        </w:rPr>
        <w:t xml:space="preserve"> of the evidence</w:t>
      </w:r>
      <w:r w:rsidR="00E760D6" w:rsidRPr="001F72AC">
        <w:rPr>
          <w:rFonts w:eastAsia="Calibri"/>
          <w:sz w:val="28"/>
          <w:szCs w:val="28"/>
          <w:lang w:val="en-ZA"/>
        </w:rPr>
        <w:t xml:space="preserve"> to determine whether </w:t>
      </w:r>
      <w:r w:rsidR="00DD484A" w:rsidRPr="001F72AC">
        <w:rPr>
          <w:rFonts w:eastAsia="Calibri"/>
          <w:sz w:val="28"/>
          <w:szCs w:val="28"/>
          <w:lang w:val="en-ZA"/>
        </w:rPr>
        <w:t>it</w:t>
      </w:r>
      <w:r w:rsidR="00E760D6" w:rsidRPr="001F72AC">
        <w:rPr>
          <w:rFonts w:eastAsia="Calibri"/>
          <w:sz w:val="28"/>
          <w:szCs w:val="28"/>
          <w:lang w:val="en-ZA"/>
        </w:rPr>
        <w:t xml:space="preserve"> supports the conclusion that a valid trust was created thereby. Interpretation </w:t>
      </w:r>
      <w:r w:rsidR="002A6851" w:rsidRPr="001F72AC">
        <w:rPr>
          <w:rFonts w:eastAsia="Calibri"/>
          <w:sz w:val="28"/>
          <w:szCs w:val="28"/>
          <w:lang w:val="en-ZA"/>
        </w:rPr>
        <w:t>to determine the meaning and effect</w:t>
      </w:r>
      <w:r w:rsidR="002A6851" w:rsidRPr="001F72AC">
        <w:rPr>
          <w:rFonts w:eastAsia="Calibri"/>
          <w:sz w:val="28"/>
          <w:szCs w:val="28"/>
        </w:rPr>
        <w:t xml:space="preserve"> </w:t>
      </w:r>
      <w:r w:rsidR="002A6851" w:rsidRPr="001F72AC">
        <w:rPr>
          <w:rFonts w:eastAsia="Calibri"/>
          <w:sz w:val="28"/>
          <w:szCs w:val="28"/>
          <w:lang w:val="en-ZA"/>
        </w:rPr>
        <w:t xml:space="preserve">of the </w:t>
      </w:r>
      <w:r w:rsidR="00E760D6" w:rsidRPr="001F72AC">
        <w:rPr>
          <w:rFonts w:eastAsia="Calibri"/>
          <w:sz w:val="28"/>
          <w:szCs w:val="28"/>
          <w:lang w:val="en-ZA"/>
        </w:rPr>
        <w:t xml:space="preserve">instrument, found to create a valid trust, </w:t>
      </w:r>
      <w:r w:rsidR="001A278A" w:rsidRPr="001F72AC">
        <w:rPr>
          <w:rFonts w:eastAsia="Calibri"/>
          <w:sz w:val="28"/>
          <w:szCs w:val="28"/>
        </w:rPr>
        <w:t>would involve</w:t>
      </w:r>
      <w:r w:rsidR="008F4602" w:rsidRPr="001F72AC">
        <w:rPr>
          <w:rFonts w:eastAsia="Calibri"/>
          <w:sz w:val="28"/>
          <w:szCs w:val="28"/>
        </w:rPr>
        <w:t xml:space="preserve"> </w:t>
      </w:r>
      <w:r w:rsidR="00DD484A" w:rsidRPr="001F72AC">
        <w:rPr>
          <w:rFonts w:eastAsia="Calibri"/>
          <w:sz w:val="28"/>
          <w:szCs w:val="28"/>
        </w:rPr>
        <w:t xml:space="preserve">the </w:t>
      </w:r>
      <w:r w:rsidR="002A6851" w:rsidRPr="001F72AC">
        <w:rPr>
          <w:iCs/>
          <w:sz w:val="28"/>
          <w:szCs w:val="28"/>
        </w:rPr>
        <w:t>unitary exercise</w:t>
      </w:r>
      <w:r w:rsidR="002A6851" w:rsidRPr="001F72AC">
        <w:rPr>
          <w:rFonts w:eastAsia="Calibri"/>
          <w:sz w:val="28"/>
          <w:szCs w:val="28"/>
        </w:rPr>
        <w:t xml:space="preserve"> of </w:t>
      </w:r>
      <w:r w:rsidR="008F4602" w:rsidRPr="001F72AC">
        <w:rPr>
          <w:rFonts w:eastAsia="Calibri"/>
          <w:sz w:val="28"/>
          <w:szCs w:val="28"/>
        </w:rPr>
        <w:t>c</w:t>
      </w:r>
      <w:r w:rsidR="008C7B97" w:rsidRPr="001F72AC">
        <w:rPr>
          <w:rFonts w:eastAsia="Calibri"/>
          <w:sz w:val="28"/>
          <w:szCs w:val="28"/>
        </w:rPr>
        <w:t>onsider</w:t>
      </w:r>
      <w:r w:rsidR="002A6851" w:rsidRPr="001F72AC">
        <w:rPr>
          <w:rFonts w:eastAsia="Calibri"/>
          <w:sz w:val="28"/>
          <w:szCs w:val="28"/>
        </w:rPr>
        <w:t>ing</w:t>
      </w:r>
      <w:r w:rsidR="008C7B97" w:rsidRPr="001F72AC">
        <w:rPr>
          <w:rFonts w:eastAsia="Calibri"/>
          <w:sz w:val="28"/>
          <w:szCs w:val="28"/>
        </w:rPr>
        <w:t xml:space="preserve"> of the text, context, and purpose of the instrument.</w:t>
      </w:r>
      <w:r w:rsidR="008C7B97" w:rsidRPr="001F72AC">
        <w:rPr>
          <w:sz w:val="28"/>
          <w:szCs w:val="28"/>
          <w:vertAlign w:val="superscript"/>
        </w:rPr>
        <w:footnoteReference w:id="11"/>
      </w:r>
      <w:r w:rsidR="008C7B97" w:rsidRPr="001F72AC">
        <w:rPr>
          <w:i/>
          <w:sz w:val="28"/>
          <w:szCs w:val="28"/>
        </w:rPr>
        <w:t xml:space="preserve"> </w:t>
      </w:r>
    </w:p>
    <w:p w14:paraId="1A28634A" w14:textId="62A0C0DB" w:rsidR="001A3B06" w:rsidRPr="001F72AC" w:rsidRDefault="001A3B06" w:rsidP="001A3B06">
      <w:pPr>
        <w:spacing w:line="360" w:lineRule="auto"/>
        <w:jc w:val="both"/>
        <w:rPr>
          <w:rFonts w:eastAsia="Calibri"/>
          <w:lang w:val="en-ZA"/>
        </w:rPr>
      </w:pPr>
    </w:p>
    <w:p w14:paraId="102C2258" w14:textId="4BC487BE" w:rsidR="001A3B06" w:rsidRPr="001F72AC" w:rsidRDefault="008C7B97" w:rsidP="001A3B06">
      <w:pPr>
        <w:spacing w:line="360" w:lineRule="auto"/>
        <w:jc w:val="both"/>
        <w:rPr>
          <w:rFonts w:eastAsia="Calibri"/>
          <w:sz w:val="28"/>
          <w:szCs w:val="28"/>
          <w:lang w:val="en-ZA"/>
        </w:rPr>
      </w:pPr>
      <w:r w:rsidRPr="001F72AC">
        <w:rPr>
          <w:rFonts w:eastAsia="Calibri"/>
          <w:sz w:val="28"/>
          <w:szCs w:val="28"/>
          <w:lang w:val="en-ZA"/>
        </w:rPr>
        <w:t>[2</w:t>
      </w:r>
      <w:r w:rsidR="005F14F5" w:rsidRPr="001F72AC">
        <w:rPr>
          <w:rFonts w:eastAsia="Calibri"/>
          <w:sz w:val="28"/>
          <w:szCs w:val="28"/>
          <w:lang w:val="en-ZA"/>
        </w:rPr>
        <w:t>2</w:t>
      </w:r>
      <w:r w:rsidRPr="001F72AC">
        <w:rPr>
          <w:rFonts w:eastAsia="Calibri"/>
          <w:sz w:val="28"/>
          <w:szCs w:val="28"/>
          <w:lang w:val="en-ZA"/>
        </w:rPr>
        <w:t>]</w:t>
      </w:r>
      <w:r w:rsidRPr="001F72AC">
        <w:rPr>
          <w:rFonts w:eastAsia="Calibri"/>
          <w:sz w:val="28"/>
          <w:szCs w:val="28"/>
          <w:lang w:val="en-ZA"/>
        </w:rPr>
        <w:tab/>
      </w:r>
      <w:r w:rsidR="001A3B06" w:rsidRPr="001F72AC">
        <w:rPr>
          <w:rFonts w:eastAsia="Calibri"/>
          <w:sz w:val="28"/>
          <w:szCs w:val="28"/>
          <w:lang w:val="en-ZA"/>
        </w:rPr>
        <w:t xml:space="preserve">The 1994 trust </w:t>
      </w:r>
      <w:r w:rsidR="005F14F5" w:rsidRPr="001F72AC">
        <w:rPr>
          <w:rFonts w:eastAsia="Calibri"/>
          <w:sz w:val="28"/>
          <w:szCs w:val="28"/>
          <w:lang w:val="en-ZA"/>
        </w:rPr>
        <w:t>deed states</w:t>
      </w:r>
      <w:r w:rsidR="001A3B06" w:rsidRPr="001F72AC">
        <w:rPr>
          <w:rFonts w:eastAsia="Calibri"/>
          <w:sz w:val="28"/>
          <w:szCs w:val="28"/>
          <w:lang w:val="en-ZA"/>
        </w:rPr>
        <w:t xml:space="preserve"> that it is an agreement entered into between Goolam Hafiz, as settlor, and Ahmed Hafiz as First Trustee. </w:t>
      </w:r>
      <w:r w:rsidR="005F14F5" w:rsidRPr="001F72AC">
        <w:rPr>
          <w:rFonts w:eastAsia="Calibri"/>
          <w:sz w:val="28"/>
          <w:szCs w:val="28"/>
          <w:lang w:val="en-ZA"/>
        </w:rPr>
        <w:t>It</w:t>
      </w:r>
      <w:r w:rsidR="001A3B06" w:rsidRPr="001F72AC">
        <w:rPr>
          <w:rFonts w:eastAsia="Calibri"/>
          <w:sz w:val="28"/>
          <w:szCs w:val="28"/>
          <w:lang w:val="en-ZA"/>
        </w:rPr>
        <w:t xml:space="preserve"> was signed by them in their respective capacities</w:t>
      </w:r>
      <w:r w:rsidR="005F14F5" w:rsidRPr="001F72AC">
        <w:rPr>
          <w:rFonts w:eastAsia="Calibri"/>
          <w:sz w:val="28"/>
          <w:szCs w:val="28"/>
          <w:lang w:val="en-ZA"/>
        </w:rPr>
        <w:t>.</w:t>
      </w:r>
      <w:r w:rsidR="001A3B06" w:rsidRPr="001F72AC">
        <w:rPr>
          <w:rFonts w:eastAsia="Calibri"/>
          <w:sz w:val="28"/>
          <w:szCs w:val="28"/>
          <w:lang w:val="en-ZA"/>
        </w:rPr>
        <w:t xml:space="preserve"> The preamble reads:</w:t>
      </w:r>
    </w:p>
    <w:p w14:paraId="082E3CA0" w14:textId="77777777" w:rsidR="001A3B06" w:rsidRPr="001F72AC" w:rsidRDefault="001A3B06" w:rsidP="001A3B06">
      <w:pPr>
        <w:spacing w:line="360" w:lineRule="auto"/>
        <w:jc w:val="both"/>
        <w:rPr>
          <w:rFonts w:eastAsia="Calibri"/>
          <w:lang w:val="en-ZA"/>
        </w:rPr>
      </w:pPr>
      <w:r w:rsidRPr="001F72AC">
        <w:rPr>
          <w:rFonts w:eastAsia="Calibri"/>
          <w:lang w:val="en-ZA"/>
        </w:rPr>
        <w:t>‘Whereas it has been agreed between the parties that it is the intention and desire of the SETTLOR that he shall donate sub 174 of 136 of the Farm Riding No 15152 in extent of One thousand and eighty square metres (1080), to be administered by the Trustee or Trustees to operate a Trust for the objects set out more fully hereunder and whereas the First Trustee has agreed to accept ownership of the Trust and to undertake the obligations of the Trust according to the terms set out in this agreement.’</w:t>
      </w:r>
    </w:p>
    <w:p w14:paraId="55071083" w14:textId="70D87181" w:rsidR="00052C43" w:rsidRPr="001F72AC" w:rsidRDefault="00052C43" w:rsidP="00725B6C">
      <w:pPr>
        <w:spacing w:line="360" w:lineRule="auto"/>
      </w:pPr>
    </w:p>
    <w:p w14:paraId="5858C768" w14:textId="3B33FE1D" w:rsidR="000D54DD" w:rsidRPr="001F72AC" w:rsidRDefault="00052C43" w:rsidP="000D54DD">
      <w:pPr>
        <w:spacing w:line="360" w:lineRule="auto"/>
        <w:jc w:val="both"/>
        <w:rPr>
          <w:rFonts w:eastAsia="Calibri"/>
          <w:sz w:val="28"/>
          <w:szCs w:val="28"/>
        </w:rPr>
      </w:pPr>
      <w:r w:rsidRPr="001F72AC">
        <w:rPr>
          <w:rFonts w:eastAsia="Calibri"/>
          <w:sz w:val="28"/>
          <w:szCs w:val="28"/>
          <w:lang w:val="en-ZA"/>
        </w:rPr>
        <w:t>[2</w:t>
      </w:r>
      <w:r w:rsidR="005F14F5" w:rsidRPr="001F72AC">
        <w:rPr>
          <w:rFonts w:eastAsia="Calibri"/>
          <w:sz w:val="28"/>
          <w:szCs w:val="28"/>
          <w:lang w:val="en-ZA"/>
        </w:rPr>
        <w:t>3</w:t>
      </w:r>
      <w:r w:rsidRPr="001F72AC">
        <w:rPr>
          <w:rFonts w:eastAsia="Calibri"/>
          <w:sz w:val="28"/>
          <w:szCs w:val="28"/>
          <w:lang w:val="en-ZA"/>
        </w:rPr>
        <w:t>]</w:t>
      </w:r>
      <w:r w:rsidRPr="001F72AC">
        <w:rPr>
          <w:rFonts w:eastAsia="Calibri"/>
          <w:sz w:val="28"/>
          <w:szCs w:val="28"/>
          <w:lang w:val="en-ZA"/>
        </w:rPr>
        <w:tab/>
      </w:r>
      <w:r w:rsidR="005F14F5" w:rsidRPr="001F72AC">
        <w:rPr>
          <w:rFonts w:eastAsia="Calibri"/>
          <w:sz w:val="28"/>
          <w:szCs w:val="28"/>
        </w:rPr>
        <w:t>T</w:t>
      </w:r>
      <w:r w:rsidR="000D54DD" w:rsidRPr="001F72AC">
        <w:rPr>
          <w:rFonts w:eastAsia="Calibri"/>
          <w:sz w:val="28"/>
          <w:szCs w:val="28"/>
        </w:rPr>
        <w:t xml:space="preserve">he expressed purpose was to transfer ownership of </w:t>
      </w:r>
      <w:r w:rsidR="00235710" w:rsidRPr="001F72AC">
        <w:rPr>
          <w:rFonts w:eastAsia="Calibri"/>
          <w:sz w:val="28"/>
          <w:szCs w:val="28"/>
        </w:rPr>
        <w:t>Property 1</w:t>
      </w:r>
      <w:r w:rsidR="000D54DD" w:rsidRPr="001F72AC">
        <w:rPr>
          <w:rFonts w:eastAsia="Calibri"/>
          <w:sz w:val="28"/>
          <w:szCs w:val="28"/>
        </w:rPr>
        <w:t xml:space="preserve"> into a trust. </w:t>
      </w:r>
      <w:r w:rsidR="004F116D" w:rsidRPr="001F72AC">
        <w:rPr>
          <w:rFonts w:eastAsia="Calibri"/>
          <w:sz w:val="28"/>
          <w:szCs w:val="28"/>
        </w:rPr>
        <w:t xml:space="preserve">Ahmed Hafiz was appointed as trustee upon registration of the Hafiz Trust. </w:t>
      </w:r>
      <w:r w:rsidR="00BE046E" w:rsidRPr="001F72AC">
        <w:rPr>
          <w:rFonts w:eastAsia="Calibri"/>
          <w:sz w:val="28"/>
          <w:szCs w:val="28"/>
        </w:rPr>
        <w:t>T</w:t>
      </w:r>
      <w:r w:rsidR="004F116D" w:rsidRPr="001F72AC">
        <w:rPr>
          <w:rFonts w:eastAsia="Calibri"/>
          <w:sz w:val="28"/>
          <w:szCs w:val="28"/>
        </w:rPr>
        <w:t xml:space="preserve">hereafter </w:t>
      </w:r>
      <w:r w:rsidR="00BE046E" w:rsidRPr="001F72AC">
        <w:rPr>
          <w:rFonts w:eastAsia="Calibri"/>
          <w:sz w:val="28"/>
          <w:szCs w:val="28"/>
        </w:rPr>
        <w:t>Property 1 was</w:t>
      </w:r>
      <w:r w:rsidR="004F116D" w:rsidRPr="001F72AC">
        <w:rPr>
          <w:rFonts w:eastAsia="Calibri"/>
          <w:sz w:val="28"/>
          <w:szCs w:val="28"/>
        </w:rPr>
        <w:t xml:space="preserve"> donate</w:t>
      </w:r>
      <w:r w:rsidR="00BE046E" w:rsidRPr="001F72AC">
        <w:rPr>
          <w:rFonts w:eastAsia="Calibri"/>
          <w:sz w:val="28"/>
          <w:szCs w:val="28"/>
        </w:rPr>
        <w:t>d</w:t>
      </w:r>
      <w:r w:rsidR="004F116D" w:rsidRPr="001F72AC">
        <w:rPr>
          <w:rFonts w:eastAsia="Calibri"/>
          <w:sz w:val="28"/>
          <w:szCs w:val="28"/>
        </w:rPr>
        <w:t xml:space="preserve"> to the Hafiz Trust</w:t>
      </w:r>
      <w:r w:rsidR="00BE046E" w:rsidRPr="001F72AC">
        <w:rPr>
          <w:rFonts w:eastAsia="Calibri"/>
          <w:sz w:val="28"/>
          <w:szCs w:val="28"/>
        </w:rPr>
        <w:t xml:space="preserve"> </w:t>
      </w:r>
      <w:r w:rsidR="004F116D" w:rsidRPr="001F72AC">
        <w:rPr>
          <w:rFonts w:eastAsia="Calibri"/>
          <w:sz w:val="28"/>
          <w:szCs w:val="28"/>
        </w:rPr>
        <w:t>and was transferred into the name of the Hafiz Trust. The evidence establishes that a second property was donated to the Hafiz Trust; that a notarial tie agreement was concluded with the Mosque Trust; and that the properties were extensively developed</w:t>
      </w:r>
      <w:r w:rsidR="00BE046E" w:rsidRPr="001F72AC">
        <w:rPr>
          <w:rFonts w:eastAsia="Calibri"/>
          <w:sz w:val="28"/>
          <w:szCs w:val="28"/>
        </w:rPr>
        <w:t>.</w:t>
      </w:r>
    </w:p>
    <w:p w14:paraId="298FE190" w14:textId="77777777" w:rsidR="004F116D" w:rsidRPr="001F72AC" w:rsidRDefault="004F116D" w:rsidP="000D54DD">
      <w:pPr>
        <w:spacing w:line="360" w:lineRule="auto"/>
        <w:jc w:val="both"/>
        <w:rPr>
          <w:rFonts w:eastAsia="Calibri"/>
          <w:sz w:val="28"/>
          <w:szCs w:val="28"/>
        </w:rPr>
      </w:pPr>
    </w:p>
    <w:p w14:paraId="00970526" w14:textId="418118D8" w:rsidR="004F116D" w:rsidRPr="001F72AC" w:rsidRDefault="004F116D" w:rsidP="000D54DD">
      <w:pPr>
        <w:spacing w:line="360" w:lineRule="auto"/>
        <w:jc w:val="both"/>
        <w:rPr>
          <w:rFonts w:eastAsia="Calibri"/>
          <w:sz w:val="28"/>
          <w:szCs w:val="28"/>
        </w:rPr>
      </w:pPr>
      <w:r w:rsidRPr="001F72AC">
        <w:rPr>
          <w:rFonts w:eastAsia="Calibri"/>
          <w:sz w:val="28"/>
          <w:szCs w:val="28"/>
        </w:rPr>
        <w:lastRenderedPageBreak/>
        <w:t>[2</w:t>
      </w:r>
      <w:r w:rsidR="00BE046E" w:rsidRPr="001F72AC">
        <w:rPr>
          <w:rFonts w:eastAsia="Calibri"/>
          <w:sz w:val="28"/>
          <w:szCs w:val="28"/>
        </w:rPr>
        <w:t>4</w:t>
      </w:r>
      <w:r w:rsidRPr="001F72AC">
        <w:rPr>
          <w:rFonts w:eastAsia="Calibri"/>
          <w:sz w:val="28"/>
          <w:szCs w:val="28"/>
        </w:rPr>
        <w:t>]</w:t>
      </w:r>
      <w:r w:rsidRPr="001F72AC">
        <w:rPr>
          <w:rFonts w:eastAsia="Calibri"/>
          <w:sz w:val="28"/>
          <w:szCs w:val="28"/>
        </w:rPr>
        <w:tab/>
        <w:t xml:space="preserve">The only question is whether clause 4 of the 1994 deed of trust </w:t>
      </w:r>
      <w:r w:rsidR="00BE046E" w:rsidRPr="001F72AC">
        <w:rPr>
          <w:rFonts w:eastAsia="Calibri"/>
          <w:sz w:val="28"/>
          <w:szCs w:val="28"/>
        </w:rPr>
        <w:t>was intended to mean</w:t>
      </w:r>
      <w:r w:rsidRPr="001F72AC">
        <w:rPr>
          <w:rFonts w:eastAsia="Calibri"/>
          <w:sz w:val="28"/>
          <w:szCs w:val="28"/>
        </w:rPr>
        <w:t xml:space="preserve"> that the </w:t>
      </w:r>
      <w:r w:rsidR="00895046" w:rsidRPr="001F72AC">
        <w:rPr>
          <w:rFonts w:eastAsia="Calibri"/>
          <w:sz w:val="28"/>
          <w:szCs w:val="28"/>
        </w:rPr>
        <w:t>F</w:t>
      </w:r>
      <w:r w:rsidRPr="001F72AC">
        <w:rPr>
          <w:rFonts w:eastAsia="Calibri"/>
          <w:sz w:val="28"/>
          <w:szCs w:val="28"/>
        </w:rPr>
        <w:t xml:space="preserve">irst </w:t>
      </w:r>
      <w:r w:rsidR="00895046" w:rsidRPr="001F72AC">
        <w:rPr>
          <w:rFonts w:eastAsia="Calibri"/>
          <w:sz w:val="28"/>
          <w:szCs w:val="28"/>
        </w:rPr>
        <w:t>T</w:t>
      </w:r>
      <w:r w:rsidRPr="001F72AC">
        <w:rPr>
          <w:rFonts w:eastAsia="Calibri"/>
          <w:sz w:val="28"/>
          <w:szCs w:val="28"/>
        </w:rPr>
        <w:t>rustee would only be appointed upon the death of the settlor.</w:t>
      </w:r>
      <w:r w:rsidR="00D817ED" w:rsidRPr="001F72AC">
        <w:rPr>
          <w:rFonts w:eastAsia="Calibri"/>
          <w:sz w:val="28"/>
          <w:szCs w:val="28"/>
        </w:rPr>
        <w:t xml:space="preserve"> If that is so, then the control of the trust property would remain in the hands of the settlor until his death and </w:t>
      </w:r>
      <w:r w:rsidR="00BE046E" w:rsidRPr="001F72AC">
        <w:rPr>
          <w:rFonts w:eastAsia="Calibri"/>
          <w:sz w:val="28"/>
          <w:szCs w:val="28"/>
        </w:rPr>
        <w:t xml:space="preserve">could </w:t>
      </w:r>
      <w:r w:rsidR="00D817ED" w:rsidRPr="001F72AC">
        <w:rPr>
          <w:rFonts w:eastAsia="Calibri"/>
          <w:sz w:val="28"/>
          <w:szCs w:val="28"/>
        </w:rPr>
        <w:t xml:space="preserve">only then pass to the </w:t>
      </w:r>
      <w:r w:rsidR="00993706" w:rsidRPr="001F72AC">
        <w:rPr>
          <w:rFonts w:eastAsia="Calibri"/>
          <w:sz w:val="28"/>
          <w:szCs w:val="28"/>
        </w:rPr>
        <w:t>F</w:t>
      </w:r>
      <w:r w:rsidR="00CC607B" w:rsidRPr="001F72AC">
        <w:rPr>
          <w:rFonts w:eastAsia="Calibri"/>
          <w:sz w:val="28"/>
          <w:szCs w:val="28"/>
        </w:rPr>
        <w:t xml:space="preserve">irst </w:t>
      </w:r>
      <w:r w:rsidR="00993706" w:rsidRPr="001F72AC">
        <w:rPr>
          <w:rFonts w:eastAsia="Calibri"/>
          <w:sz w:val="28"/>
          <w:szCs w:val="28"/>
        </w:rPr>
        <w:t>T</w:t>
      </w:r>
      <w:r w:rsidR="00D817ED" w:rsidRPr="001F72AC">
        <w:rPr>
          <w:rFonts w:eastAsia="Calibri"/>
          <w:sz w:val="28"/>
          <w:szCs w:val="28"/>
        </w:rPr>
        <w:t xml:space="preserve">rustee. The envisaged trust would </w:t>
      </w:r>
      <w:r w:rsidR="00BE046E" w:rsidRPr="001F72AC">
        <w:rPr>
          <w:rFonts w:eastAsia="Calibri"/>
          <w:sz w:val="28"/>
          <w:szCs w:val="28"/>
        </w:rPr>
        <w:t>therefore</w:t>
      </w:r>
      <w:r w:rsidR="00D817ED" w:rsidRPr="001F72AC">
        <w:rPr>
          <w:rFonts w:eastAsia="Calibri"/>
          <w:sz w:val="28"/>
          <w:szCs w:val="28"/>
        </w:rPr>
        <w:t xml:space="preserve"> be constituted on the death of the settlor.</w:t>
      </w:r>
    </w:p>
    <w:p w14:paraId="5C7607D5" w14:textId="77777777" w:rsidR="004F116D" w:rsidRPr="001F72AC" w:rsidRDefault="004F116D" w:rsidP="000D54DD">
      <w:pPr>
        <w:spacing w:line="360" w:lineRule="auto"/>
        <w:jc w:val="both"/>
        <w:rPr>
          <w:rFonts w:eastAsia="Calibri"/>
          <w:sz w:val="28"/>
          <w:szCs w:val="28"/>
        </w:rPr>
      </w:pPr>
    </w:p>
    <w:p w14:paraId="7EE5739E" w14:textId="69538D90" w:rsidR="004F116D" w:rsidRPr="001F72AC" w:rsidRDefault="004F116D" w:rsidP="004F116D">
      <w:pPr>
        <w:spacing w:line="360" w:lineRule="auto"/>
        <w:jc w:val="both"/>
        <w:rPr>
          <w:rFonts w:eastAsia="Calibri"/>
          <w:sz w:val="28"/>
          <w:szCs w:val="28"/>
          <w:lang w:val="en-ZA"/>
        </w:rPr>
      </w:pPr>
      <w:r w:rsidRPr="001F72AC">
        <w:rPr>
          <w:rFonts w:eastAsia="Calibri"/>
          <w:sz w:val="28"/>
          <w:szCs w:val="28"/>
        </w:rPr>
        <w:t>[</w:t>
      </w:r>
      <w:r w:rsidR="001A3B06" w:rsidRPr="001F72AC">
        <w:rPr>
          <w:rFonts w:eastAsia="Calibri"/>
          <w:sz w:val="28"/>
          <w:szCs w:val="28"/>
        </w:rPr>
        <w:t>2</w:t>
      </w:r>
      <w:r w:rsidR="004C2606" w:rsidRPr="001F72AC">
        <w:rPr>
          <w:rFonts w:eastAsia="Calibri"/>
          <w:sz w:val="28"/>
          <w:szCs w:val="28"/>
        </w:rPr>
        <w:t>5</w:t>
      </w:r>
      <w:r w:rsidRPr="001F72AC">
        <w:rPr>
          <w:rFonts w:eastAsia="Calibri"/>
          <w:sz w:val="28"/>
          <w:szCs w:val="28"/>
        </w:rPr>
        <w:t>]</w:t>
      </w:r>
      <w:r w:rsidRPr="001F72AC">
        <w:rPr>
          <w:rFonts w:eastAsia="Calibri"/>
          <w:sz w:val="28"/>
          <w:szCs w:val="28"/>
        </w:rPr>
        <w:tab/>
      </w:r>
      <w:r w:rsidRPr="001F72AC">
        <w:rPr>
          <w:rFonts w:eastAsia="Calibri"/>
          <w:sz w:val="28"/>
          <w:szCs w:val="28"/>
          <w:lang w:val="en-ZA"/>
        </w:rPr>
        <w:t>Clause 4 reads as follows:</w:t>
      </w:r>
    </w:p>
    <w:p w14:paraId="439174E7" w14:textId="77777777" w:rsidR="004F116D" w:rsidRPr="001F72AC" w:rsidRDefault="004F116D" w:rsidP="004F116D">
      <w:pPr>
        <w:spacing w:line="360" w:lineRule="auto"/>
        <w:jc w:val="both"/>
        <w:rPr>
          <w:rFonts w:eastAsia="Calibri"/>
          <w:lang w:val="en-ZA"/>
        </w:rPr>
      </w:pPr>
      <w:r w:rsidRPr="001F72AC">
        <w:rPr>
          <w:rFonts w:eastAsia="Calibri"/>
          <w:lang w:val="en-ZA"/>
        </w:rPr>
        <w:t>‘There shall be perpetual succession as follows:</w:t>
      </w:r>
    </w:p>
    <w:p w14:paraId="3E3E892D" w14:textId="77777777" w:rsidR="004F116D" w:rsidRPr="001F72AC" w:rsidRDefault="004F116D" w:rsidP="004F116D">
      <w:pPr>
        <w:spacing w:line="360" w:lineRule="auto"/>
        <w:jc w:val="both"/>
        <w:rPr>
          <w:rFonts w:eastAsia="Calibri"/>
          <w:lang w:val="en-ZA"/>
        </w:rPr>
      </w:pPr>
      <w:r w:rsidRPr="001F72AC">
        <w:rPr>
          <w:rFonts w:eastAsia="Calibri"/>
          <w:lang w:val="en-ZA"/>
        </w:rPr>
        <w:t>4.1</w:t>
      </w:r>
      <w:r w:rsidRPr="001F72AC">
        <w:rPr>
          <w:rFonts w:eastAsia="Calibri"/>
          <w:lang w:val="en-ZA"/>
        </w:rPr>
        <w:tab/>
        <w:t>On the death of the settlor the office of Trustee shall descend to the First Trustee and thereafter to the eldest male issue of the first Trustee, if any.</w:t>
      </w:r>
    </w:p>
    <w:p w14:paraId="0021533A" w14:textId="77777777" w:rsidR="004F116D" w:rsidRPr="001F72AC" w:rsidRDefault="004F116D" w:rsidP="004F116D">
      <w:pPr>
        <w:spacing w:line="360" w:lineRule="auto"/>
        <w:jc w:val="both"/>
        <w:rPr>
          <w:rFonts w:eastAsia="Calibri"/>
          <w:lang w:val="en-ZA"/>
        </w:rPr>
      </w:pPr>
      <w:r w:rsidRPr="001F72AC">
        <w:rPr>
          <w:rFonts w:eastAsia="Calibri"/>
          <w:lang w:val="en-ZA"/>
        </w:rPr>
        <w:t>4.2</w:t>
      </w:r>
      <w:r w:rsidRPr="001F72AC">
        <w:rPr>
          <w:rFonts w:eastAsia="Calibri"/>
          <w:lang w:val="en-ZA"/>
        </w:rPr>
        <w:tab/>
        <w:t>Failing succession as envisaged in Clause 4.1 the office of the Trustee shall descend to the second trustee and thereafter to the eldest male of the second trustee, if any.</w:t>
      </w:r>
    </w:p>
    <w:p w14:paraId="19827D50" w14:textId="77777777" w:rsidR="004F116D" w:rsidRPr="001F72AC" w:rsidRDefault="004F116D" w:rsidP="004F116D">
      <w:pPr>
        <w:spacing w:line="360" w:lineRule="auto"/>
        <w:jc w:val="both"/>
        <w:rPr>
          <w:rFonts w:eastAsia="Calibri"/>
          <w:lang w:val="en-ZA"/>
        </w:rPr>
      </w:pPr>
      <w:r w:rsidRPr="001F72AC">
        <w:rPr>
          <w:rFonts w:eastAsia="Calibri"/>
          <w:lang w:val="en-ZA"/>
        </w:rPr>
        <w:t>4.3</w:t>
      </w:r>
      <w:r w:rsidRPr="001F72AC">
        <w:rPr>
          <w:rFonts w:eastAsia="Calibri"/>
          <w:lang w:val="en-ZA"/>
        </w:rPr>
        <w:tab/>
        <w:t>Failing succession as envisaged in Clause 4.1 and 4.2 above the office of Trustee shall descend to the third trustee and thereafter to the eldest male issue of the third trustee, if any.</w:t>
      </w:r>
    </w:p>
    <w:p w14:paraId="3E0E241B" w14:textId="3C70A3F5" w:rsidR="004F116D" w:rsidRPr="001F72AC" w:rsidRDefault="004F116D" w:rsidP="004F116D">
      <w:pPr>
        <w:spacing w:line="360" w:lineRule="auto"/>
        <w:jc w:val="both"/>
        <w:rPr>
          <w:rFonts w:eastAsia="Calibri"/>
          <w:lang w:val="en-ZA"/>
        </w:rPr>
      </w:pPr>
      <w:r w:rsidRPr="001F72AC">
        <w:rPr>
          <w:rFonts w:eastAsia="Calibri"/>
          <w:lang w:val="en-ZA"/>
        </w:rPr>
        <w:t>4.4</w:t>
      </w:r>
      <w:r w:rsidRPr="001F72AC">
        <w:rPr>
          <w:rFonts w:eastAsia="Calibri"/>
          <w:lang w:val="en-ZA"/>
        </w:rPr>
        <w:tab/>
        <w:t>Failing succession as envisaged in clause 4.1, 4.2 and 4.3 the office of Trustee shall pass to the male descendants from the female issue of the settlor in the same manner as envisaged in clause 4.1 and 4.2 and 4.3 above.</w:t>
      </w:r>
      <w:r w:rsidR="00235710" w:rsidRPr="001F72AC">
        <w:rPr>
          <w:rStyle w:val="FootnoteReference"/>
          <w:rFonts w:eastAsia="Calibri"/>
          <w:lang w:val="en-ZA"/>
        </w:rPr>
        <w:footnoteReference w:id="12"/>
      </w:r>
    </w:p>
    <w:p w14:paraId="374E21D7" w14:textId="3F8BF0F0" w:rsidR="004F116D" w:rsidRPr="001F72AC" w:rsidRDefault="004F116D" w:rsidP="000D54DD">
      <w:pPr>
        <w:spacing w:line="360" w:lineRule="auto"/>
        <w:jc w:val="both"/>
        <w:rPr>
          <w:rFonts w:eastAsia="Calibri"/>
          <w:sz w:val="28"/>
          <w:szCs w:val="28"/>
        </w:rPr>
      </w:pPr>
    </w:p>
    <w:p w14:paraId="55BF5B29" w14:textId="2CB21A11" w:rsidR="00DC4AC9" w:rsidRPr="001F72AC" w:rsidRDefault="004F116D" w:rsidP="00452F47">
      <w:pPr>
        <w:spacing w:line="360" w:lineRule="auto"/>
        <w:jc w:val="both"/>
        <w:rPr>
          <w:rFonts w:eastAsia="Calibri"/>
          <w:sz w:val="28"/>
          <w:szCs w:val="28"/>
          <w:lang w:val="en-ZA"/>
        </w:rPr>
      </w:pPr>
      <w:r w:rsidRPr="001F72AC">
        <w:rPr>
          <w:rFonts w:eastAsia="Calibri"/>
          <w:sz w:val="28"/>
          <w:szCs w:val="28"/>
          <w:lang w:val="en-ZA"/>
        </w:rPr>
        <w:t>[</w:t>
      </w:r>
      <w:r w:rsidR="001A3B06" w:rsidRPr="001F72AC">
        <w:rPr>
          <w:rFonts w:eastAsia="Calibri"/>
          <w:sz w:val="28"/>
          <w:szCs w:val="28"/>
          <w:lang w:val="en-ZA"/>
        </w:rPr>
        <w:t>2</w:t>
      </w:r>
      <w:r w:rsidR="004C2606" w:rsidRPr="001F72AC">
        <w:rPr>
          <w:rFonts w:eastAsia="Calibri"/>
          <w:sz w:val="28"/>
          <w:szCs w:val="28"/>
          <w:lang w:val="en-ZA"/>
        </w:rPr>
        <w:t>6</w:t>
      </w:r>
      <w:r w:rsidRPr="001F72AC">
        <w:rPr>
          <w:rFonts w:eastAsia="Calibri"/>
          <w:sz w:val="28"/>
          <w:szCs w:val="28"/>
          <w:lang w:val="en-ZA"/>
        </w:rPr>
        <w:t>]</w:t>
      </w:r>
      <w:r w:rsidRPr="001F72AC">
        <w:rPr>
          <w:rFonts w:eastAsia="Calibri"/>
          <w:sz w:val="28"/>
          <w:szCs w:val="28"/>
          <w:lang w:val="en-ZA"/>
        </w:rPr>
        <w:tab/>
      </w:r>
      <w:r w:rsidR="001E6E12" w:rsidRPr="001F72AC">
        <w:rPr>
          <w:rFonts w:eastAsia="Calibri"/>
          <w:sz w:val="28"/>
          <w:szCs w:val="28"/>
        </w:rPr>
        <w:t xml:space="preserve">The phrase </w:t>
      </w:r>
      <w:r w:rsidR="00C9040D" w:rsidRPr="001F72AC">
        <w:rPr>
          <w:rFonts w:eastAsia="Calibri"/>
          <w:sz w:val="28"/>
          <w:szCs w:val="28"/>
        </w:rPr>
        <w:t>‘</w:t>
      </w:r>
      <w:r w:rsidR="001E6E12" w:rsidRPr="001F72AC">
        <w:rPr>
          <w:rFonts w:eastAsia="Calibri"/>
          <w:sz w:val="28"/>
          <w:szCs w:val="28"/>
        </w:rPr>
        <w:t>office of trustee</w:t>
      </w:r>
      <w:r w:rsidR="00C9040D" w:rsidRPr="001F72AC">
        <w:rPr>
          <w:rFonts w:eastAsia="Calibri"/>
          <w:sz w:val="28"/>
          <w:szCs w:val="28"/>
        </w:rPr>
        <w:t>’</w:t>
      </w:r>
      <w:r w:rsidR="001E6E12" w:rsidRPr="001F72AC">
        <w:rPr>
          <w:rFonts w:eastAsia="Calibri"/>
          <w:sz w:val="28"/>
          <w:szCs w:val="28"/>
        </w:rPr>
        <w:t xml:space="preserve"> ordinarily refer</w:t>
      </w:r>
      <w:r w:rsidR="00A45991" w:rsidRPr="001F72AC">
        <w:rPr>
          <w:rFonts w:eastAsia="Calibri"/>
          <w:sz w:val="28"/>
          <w:szCs w:val="28"/>
        </w:rPr>
        <w:t>s</w:t>
      </w:r>
      <w:r w:rsidR="001E6E12" w:rsidRPr="001F72AC">
        <w:rPr>
          <w:rFonts w:eastAsia="Calibri"/>
          <w:sz w:val="28"/>
          <w:szCs w:val="28"/>
        </w:rPr>
        <w:t xml:space="preserve"> to the position of trusteeship and the rights and obligations conf</w:t>
      </w:r>
      <w:r w:rsidR="00C9040D" w:rsidRPr="001F72AC">
        <w:rPr>
          <w:rFonts w:eastAsia="Calibri"/>
          <w:sz w:val="28"/>
          <w:szCs w:val="28"/>
        </w:rPr>
        <w:t>erred</w:t>
      </w:r>
      <w:r w:rsidR="001E6E12" w:rsidRPr="001F72AC">
        <w:rPr>
          <w:rFonts w:eastAsia="Calibri"/>
          <w:sz w:val="28"/>
          <w:szCs w:val="28"/>
        </w:rPr>
        <w:t xml:space="preserve"> by law on the occupant of that office.</w:t>
      </w:r>
      <w:r w:rsidR="005A7186" w:rsidRPr="001F72AC">
        <w:rPr>
          <w:rStyle w:val="FootnoteReference"/>
          <w:rFonts w:eastAsia="Calibri"/>
          <w:sz w:val="28"/>
          <w:szCs w:val="28"/>
        </w:rPr>
        <w:footnoteReference w:id="13"/>
      </w:r>
      <w:r w:rsidR="001E6E12" w:rsidRPr="001F72AC">
        <w:rPr>
          <w:rFonts w:eastAsia="Calibri"/>
          <w:sz w:val="28"/>
          <w:szCs w:val="28"/>
        </w:rPr>
        <w:t xml:space="preserve"> </w:t>
      </w:r>
      <w:r w:rsidR="004C2606" w:rsidRPr="001F72AC">
        <w:rPr>
          <w:rFonts w:eastAsia="Calibri"/>
          <w:sz w:val="28"/>
          <w:szCs w:val="28"/>
        </w:rPr>
        <w:t>I</w:t>
      </w:r>
      <w:r w:rsidR="001E6E12" w:rsidRPr="001F72AC">
        <w:rPr>
          <w:rFonts w:eastAsia="Calibri"/>
          <w:sz w:val="28"/>
          <w:szCs w:val="28"/>
        </w:rPr>
        <w:t>n its ordinary meaning</w:t>
      </w:r>
      <w:r w:rsidR="00C9040D" w:rsidRPr="001F72AC">
        <w:rPr>
          <w:rFonts w:eastAsia="Calibri"/>
          <w:sz w:val="28"/>
          <w:szCs w:val="28"/>
        </w:rPr>
        <w:t xml:space="preserve">, </w:t>
      </w:r>
      <w:r w:rsidR="004C2606" w:rsidRPr="001F72AC">
        <w:rPr>
          <w:rFonts w:eastAsia="Calibri"/>
          <w:sz w:val="28"/>
          <w:szCs w:val="28"/>
        </w:rPr>
        <w:t xml:space="preserve">it refers </w:t>
      </w:r>
      <w:r w:rsidR="001E6E12" w:rsidRPr="001F72AC">
        <w:rPr>
          <w:rFonts w:eastAsia="Calibri"/>
          <w:sz w:val="28"/>
          <w:szCs w:val="28"/>
        </w:rPr>
        <w:t xml:space="preserve">to a specific office </w:t>
      </w:r>
      <w:r w:rsidR="00C9040D" w:rsidRPr="001F72AC">
        <w:rPr>
          <w:rFonts w:eastAsia="Calibri"/>
          <w:sz w:val="28"/>
          <w:szCs w:val="28"/>
        </w:rPr>
        <w:t xml:space="preserve">occupied </w:t>
      </w:r>
      <w:r w:rsidR="001E6E12" w:rsidRPr="001F72AC">
        <w:rPr>
          <w:rFonts w:eastAsia="Calibri"/>
          <w:sz w:val="28"/>
          <w:szCs w:val="28"/>
        </w:rPr>
        <w:t>in relation to a specified trust</w:t>
      </w:r>
      <w:r w:rsidR="004C2606" w:rsidRPr="001F72AC">
        <w:rPr>
          <w:rFonts w:eastAsia="Calibri"/>
          <w:sz w:val="28"/>
          <w:szCs w:val="28"/>
        </w:rPr>
        <w:t>.</w:t>
      </w:r>
      <w:r w:rsidR="005A7186" w:rsidRPr="001F72AC">
        <w:rPr>
          <w:rStyle w:val="FootnoteReference"/>
          <w:rFonts w:eastAsia="Calibri"/>
          <w:sz w:val="28"/>
          <w:szCs w:val="28"/>
        </w:rPr>
        <w:footnoteReference w:id="14"/>
      </w:r>
      <w:r w:rsidR="00C9040D" w:rsidRPr="001F72AC">
        <w:rPr>
          <w:rFonts w:eastAsia="Calibri"/>
          <w:sz w:val="28"/>
          <w:szCs w:val="28"/>
        </w:rPr>
        <w:t xml:space="preserve"> </w:t>
      </w:r>
      <w:r w:rsidR="00E14663" w:rsidRPr="001F72AC">
        <w:rPr>
          <w:rFonts w:eastAsia="Calibri"/>
          <w:sz w:val="28"/>
          <w:szCs w:val="28"/>
          <w:lang w:val="en-ZA"/>
        </w:rPr>
        <w:t xml:space="preserve"> </w:t>
      </w:r>
      <w:r w:rsidR="00E14663" w:rsidRPr="001F72AC">
        <w:rPr>
          <w:rFonts w:eastAsia="Calibri"/>
          <w:sz w:val="28"/>
          <w:szCs w:val="28"/>
        </w:rPr>
        <w:t>A</w:t>
      </w:r>
      <w:r w:rsidR="009940F7" w:rsidRPr="001F72AC">
        <w:rPr>
          <w:rFonts w:eastAsia="Calibri"/>
          <w:sz w:val="28"/>
          <w:szCs w:val="28"/>
        </w:rPr>
        <w:t>t face value</w:t>
      </w:r>
      <w:r w:rsidR="00D817ED" w:rsidRPr="001F72AC">
        <w:rPr>
          <w:rFonts w:eastAsia="Calibri"/>
          <w:sz w:val="28"/>
          <w:szCs w:val="28"/>
        </w:rPr>
        <w:t xml:space="preserve"> </w:t>
      </w:r>
      <w:r w:rsidR="00E14663" w:rsidRPr="001F72AC">
        <w:rPr>
          <w:rFonts w:eastAsia="Calibri"/>
          <w:sz w:val="28"/>
          <w:szCs w:val="28"/>
        </w:rPr>
        <w:t xml:space="preserve">the clause </w:t>
      </w:r>
      <w:r w:rsidR="00613C39" w:rsidRPr="001F72AC">
        <w:rPr>
          <w:rFonts w:eastAsia="Calibri"/>
          <w:sz w:val="28"/>
          <w:szCs w:val="28"/>
        </w:rPr>
        <w:t>suggest</w:t>
      </w:r>
      <w:r w:rsidR="009940F7" w:rsidRPr="001F72AC">
        <w:rPr>
          <w:rFonts w:eastAsia="Calibri"/>
          <w:sz w:val="28"/>
          <w:szCs w:val="28"/>
        </w:rPr>
        <w:t>s</w:t>
      </w:r>
      <w:r w:rsidR="00613C39" w:rsidRPr="001F72AC">
        <w:rPr>
          <w:rFonts w:eastAsia="Calibri"/>
          <w:sz w:val="28"/>
          <w:szCs w:val="28"/>
        </w:rPr>
        <w:t xml:space="preserve"> that </w:t>
      </w:r>
      <w:r w:rsidR="009940F7" w:rsidRPr="001F72AC">
        <w:rPr>
          <w:rFonts w:eastAsia="Calibri"/>
          <w:sz w:val="28"/>
          <w:szCs w:val="28"/>
        </w:rPr>
        <w:t xml:space="preserve">the office  of </w:t>
      </w:r>
      <w:r w:rsidR="00C9040D" w:rsidRPr="001F72AC">
        <w:rPr>
          <w:rFonts w:eastAsia="Calibri"/>
          <w:sz w:val="28"/>
          <w:szCs w:val="28"/>
        </w:rPr>
        <w:t>t</w:t>
      </w:r>
      <w:r w:rsidR="001E6E12" w:rsidRPr="001F72AC">
        <w:rPr>
          <w:rFonts w:eastAsia="Calibri"/>
          <w:sz w:val="28"/>
          <w:szCs w:val="28"/>
        </w:rPr>
        <w:t>rusteeship</w:t>
      </w:r>
      <w:r w:rsidR="009940F7" w:rsidRPr="001F72AC">
        <w:rPr>
          <w:rFonts w:eastAsia="Calibri"/>
          <w:sz w:val="28"/>
          <w:szCs w:val="28"/>
        </w:rPr>
        <w:t xml:space="preserve"> would ‘descend’ or </w:t>
      </w:r>
      <w:r w:rsidR="00613C39" w:rsidRPr="001F72AC">
        <w:rPr>
          <w:rFonts w:eastAsia="Calibri"/>
          <w:sz w:val="28"/>
          <w:szCs w:val="28"/>
        </w:rPr>
        <w:t xml:space="preserve">pass to the </w:t>
      </w:r>
      <w:r w:rsidR="009940F7" w:rsidRPr="001F72AC">
        <w:rPr>
          <w:rFonts w:eastAsia="Calibri"/>
          <w:sz w:val="28"/>
          <w:szCs w:val="28"/>
        </w:rPr>
        <w:t>F</w:t>
      </w:r>
      <w:r w:rsidR="00613C39" w:rsidRPr="001F72AC">
        <w:rPr>
          <w:rFonts w:eastAsia="Calibri"/>
          <w:sz w:val="28"/>
          <w:szCs w:val="28"/>
        </w:rPr>
        <w:t xml:space="preserve">irst </w:t>
      </w:r>
      <w:r w:rsidR="009940F7" w:rsidRPr="001F72AC">
        <w:rPr>
          <w:rFonts w:eastAsia="Calibri"/>
          <w:sz w:val="28"/>
          <w:szCs w:val="28"/>
        </w:rPr>
        <w:t>T</w:t>
      </w:r>
      <w:r w:rsidR="00613C39" w:rsidRPr="001F72AC">
        <w:rPr>
          <w:rFonts w:eastAsia="Calibri"/>
          <w:sz w:val="28"/>
          <w:szCs w:val="28"/>
        </w:rPr>
        <w:t>rustee</w:t>
      </w:r>
      <w:r w:rsidR="0017568A" w:rsidRPr="001F72AC">
        <w:rPr>
          <w:rFonts w:eastAsia="Calibri"/>
          <w:sz w:val="28"/>
          <w:szCs w:val="28"/>
        </w:rPr>
        <w:t xml:space="preserve"> upon </w:t>
      </w:r>
      <w:r w:rsidR="009940F7" w:rsidRPr="001F72AC">
        <w:rPr>
          <w:rFonts w:eastAsia="Calibri"/>
          <w:sz w:val="28"/>
          <w:szCs w:val="28"/>
        </w:rPr>
        <w:t xml:space="preserve">the </w:t>
      </w:r>
      <w:r w:rsidR="0017568A" w:rsidRPr="001F72AC">
        <w:rPr>
          <w:rFonts w:eastAsia="Calibri"/>
          <w:sz w:val="28"/>
          <w:szCs w:val="28"/>
        </w:rPr>
        <w:t>death</w:t>
      </w:r>
      <w:r w:rsidR="009940F7" w:rsidRPr="001F72AC">
        <w:rPr>
          <w:rFonts w:eastAsia="Calibri"/>
          <w:sz w:val="28"/>
          <w:szCs w:val="28"/>
        </w:rPr>
        <w:t xml:space="preserve"> of the settlor</w:t>
      </w:r>
      <w:r w:rsidR="00E14663" w:rsidRPr="001F72AC">
        <w:rPr>
          <w:rFonts w:eastAsia="Calibri"/>
          <w:sz w:val="28"/>
          <w:szCs w:val="28"/>
        </w:rPr>
        <w:t>.</w:t>
      </w:r>
      <w:r w:rsidR="00613C39" w:rsidRPr="001F72AC">
        <w:rPr>
          <w:rFonts w:eastAsia="Calibri"/>
          <w:sz w:val="28"/>
          <w:szCs w:val="28"/>
        </w:rPr>
        <w:t xml:space="preserve"> </w:t>
      </w:r>
      <w:r w:rsidR="00E14663" w:rsidRPr="001F72AC">
        <w:rPr>
          <w:rFonts w:eastAsia="Calibri"/>
          <w:sz w:val="28"/>
          <w:szCs w:val="28"/>
        </w:rPr>
        <w:t>T</w:t>
      </w:r>
      <w:r w:rsidR="001E6E12" w:rsidRPr="001F72AC">
        <w:rPr>
          <w:rFonts w:eastAsia="Calibri"/>
          <w:sz w:val="28"/>
          <w:szCs w:val="28"/>
        </w:rPr>
        <w:t>here is</w:t>
      </w:r>
      <w:r w:rsidR="00E14663" w:rsidRPr="001F72AC">
        <w:rPr>
          <w:rFonts w:eastAsia="Calibri"/>
          <w:sz w:val="28"/>
          <w:szCs w:val="28"/>
        </w:rPr>
        <w:t xml:space="preserve">, however, </w:t>
      </w:r>
      <w:r w:rsidR="001E6E12" w:rsidRPr="001F72AC">
        <w:rPr>
          <w:rFonts w:eastAsia="Calibri"/>
          <w:sz w:val="28"/>
          <w:szCs w:val="28"/>
        </w:rPr>
        <w:t xml:space="preserve">no </w:t>
      </w:r>
      <w:r w:rsidR="004C2606" w:rsidRPr="001F72AC">
        <w:rPr>
          <w:rFonts w:eastAsia="Calibri"/>
          <w:sz w:val="28"/>
          <w:szCs w:val="28"/>
        </w:rPr>
        <w:t xml:space="preserve">other </w:t>
      </w:r>
      <w:r w:rsidR="001E6E12" w:rsidRPr="001F72AC">
        <w:rPr>
          <w:rFonts w:eastAsia="Calibri"/>
          <w:sz w:val="28"/>
          <w:szCs w:val="28"/>
        </w:rPr>
        <w:t>text in the 1994 deed which confer</w:t>
      </w:r>
      <w:r w:rsidR="004C2606" w:rsidRPr="001F72AC">
        <w:rPr>
          <w:rFonts w:eastAsia="Calibri"/>
          <w:sz w:val="28"/>
          <w:szCs w:val="28"/>
        </w:rPr>
        <w:t>s</w:t>
      </w:r>
      <w:r w:rsidR="001E6E12" w:rsidRPr="001F72AC">
        <w:rPr>
          <w:rFonts w:eastAsia="Calibri"/>
          <w:sz w:val="28"/>
          <w:szCs w:val="28"/>
        </w:rPr>
        <w:t xml:space="preserve"> upon the </w:t>
      </w:r>
      <w:r w:rsidR="0017568A" w:rsidRPr="001F72AC">
        <w:rPr>
          <w:rFonts w:eastAsia="Calibri"/>
          <w:sz w:val="28"/>
          <w:szCs w:val="28"/>
        </w:rPr>
        <w:t>settlor</w:t>
      </w:r>
      <w:r w:rsidR="001E6E12" w:rsidRPr="001F72AC">
        <w:rPr>
          <w:rFonts w:eastAsia="Calibri"/>
          <w:sz w:val="28"/>
          <w:szCs w:val="28"/>
        </w:rPr>
        <w:t xml:space="preserve"> any responsibilities or duties as trustee</w:t>
      </w:r>
      <w:r w:rsidR="00613C39" w:rsidRPr="001F72AC">
        <w:rPr>
          <w:rFonts w:eastAsia="Calibri"/>
          <w:sz w:val="28"/>
          <w:szCs w:val="28"/>
        </w:rPr>
        <w:t xml:space="preserve">. </w:t>
      </w:r>
      <w:r w:rsidR="004C2606" w:rsidRPr="001F72AC">
        <w:rPr>
          <w:rFonts w:eastAsia="Calibri"/>
          <w:sz w:val="28"/>
          <w:szCs w:val="28"/>
        </w:rPr>
        <w:t>T</w:t>
      </w:r>
      <w:r w:rsidR="00613C39" w:rsidRPr="001F72AC">
        <w:rPr>
          <w:rFonts w:eastAsia="Calibri"/>
          <w:sz w:val="28"/>
          <w:szCs w:val="28"/>
        </w:rPr>
        <w:t xml:space="preserve">he settlor was </w:t>
      </w:r>
      <w:r w:rsidR="004C2606" w:rsidRPr="001F72AC">
        <w:rPr>
          <w:rFonts w:eastAsia="Calibri"/>
          <w:sz w:val="28"/>
          <w:szCs w:val="28"/>
        </w:rPr>
        <w:t xml:space="preserve">not </w:t>
      </w:r>
      <w:r w:rsidR="00613C39" w:rsidRPr="001F72AC">
        <w:rPr>
          <w:rFonts w:eastAsia="Calibri"/>
          <w:sz w:val="28"/>
          <w:szCs w:val="28"/>
        </w:rPr>
        <w:t xml:space="preserve">appointed as trustee. There is no evidence that </w:t>
      </w:r>
      <w:r w:rsidR="004C2606" w:rsidRPr="001F72AC">
        <w:rPr>
          <w:rFonts w:eastAsia="Calibri"/>
          <w:sz w:val="28"/>
          <w:szCs w:val="28"/>
        </w:rPr>
        <w:t>he</w:t>
      </w:r>
      <w:r w:rsidR="00613C39" w:rsidRPr="001F72AC">
        <w:rPr>
          <w:rFonts w:eastAsia="Calibri"/>
          <w:sz w:val="28"/>
          <w:szCs w:val="28"/>
        </w:rPr>
        <w:t>, at any stage, regard</w:t>
      </w:r>
      <w:r w:rsidR="0017568A" w:rsidRPr="001F72AC">
        <w:rPr>
          <w:rFonts w:eastAsia="Calibri"/>
          <w:sz w:val="28"/>
          <w:szCs w:val="28"/>
        </w:rPr>
        <w:t>ed</w:t>
      </w:r>
      <w:r w:rsidR="00613C39" w:rsidRPr="001F72AC">
        <w:rPr>
          <w:rFonts w:eastAsia="Calibri"/>
          <w:sz w:val="28"/>
          <w:szCs w:val="28"/>
        </w:rPr>
        <w:t xml:space="preserve"> himself as a </w:t>
      </w:r>
      <w:r w:rsidR="00613C39" w:rsidRPr="001F72AC">
        <w:rPr>
          <w:rFonts w:eastAsia="Calibri"/>
          <w:sz w:val="28"/>
          <w:szCs w:val="28"/>
        </w:rPr>
        <w:lastRenderedPageBreak/>
        <w:t xml:space="preserve">trustee of the Hafiz Trust. The evidence </w:t>
      </w:r>
      <w:r w:rsidR="004C2606" w:rsidRPr="001F72AC">
        <w:rPr>
          <w:rFonts w:eastAsia="Calibri"/>
          <w:sz w:val="28"/>
          <w:szCs w:val="28"/>
        </w:rPr>
        <w:t xml:space="preserve">is </w:t>
      </w:r>
      <w:r w:rsidR="00613C39" w:rsidRPr="001F72AC">
        <w:rPr>
          <w:rFonts w:eastAsia="Calibri"/>
          <w:sz w:val="28"/>
          <w:szCs w:val="28"/>
        </w:rPr>
        <w:t xml:space="preserve">to the contrary, as </w:t>
      </w:r>
      <w:r w:rsidR="004C2606" w:rsidRPr="001F72AC">
        <w:rPr>
          <w:rFonts w:eastAsia="Calibri"/>
          <w:sz w:val="28"/>
          <w:szCs w:val="28"/>
        </w:rPr>
        <w:t>demonstrated</w:t>
      </w:r>
      <w:r w:rsidR="00613C39" w:rsidRPr="001F72AC">
        <w:rPr>
          <w:rFonts w:eastAsia="Calibri"/>
          <w:sz w:val="28"/>
          <w:szCs w:val="28"/>
        </w:rPr>
        <w:t xml:space="preserve"> by the notarial tie agreement. </w:t>
      </w:r>
      <w:r w:rsidR="004C2606" w:rsidRPr="001F72AC">
        <w:rPr>
          <w:rFonts w:eastAsia="Calibri"/>
          <w:sz w:val="28"/>
          <w:szCs w:val="28"/>
        </w:rPr>
        <w:t>The</w:t>
      </w:r>
      <w:r w:rsidR="00613C39" w:rsidRPr="001F72AC">
        <w:rPr>
          <w:rFonts w:eastAsia="Calibri"/>
          <w:sz w:val="28"/>
          <w:szCs w:val="28"/>
        </w:rPr>
        <w:t xml:space="preserve"> 1994 deed of trust instead point</w:t>
      </w:r>
      <w:r w:rsidR="004C2606" w:rsidRPr="001F72AC">
        <w:rPr>
          <w:rFonts w:eastAsia="Calibri"/>
          <w:sz w:val="28"/>
          <w:szCs w:val="28"/>
        </w:rPr>
        <w:t>s</w:t>
      </w:r>
      <w:r w:rsidR="00613C39" w:rsidRPr="001F72AC">
        <w:rPr>
          <w:rFonts w:eastAsia="Calibri"/>
          <w:sz w:val="28"/>
          <w:szCs w:val="28"/>
        </w:rPr>
        <w:t xml:space="preserve"> to Ahmed Hafiz as </w:t>
      </w:r>
      <w:r w:rsidR="00895046" w:rsidRPr="001F72AC">
        <w:rPr>
          <w:rFonts w:eastAsia="Calibri"/>
          <w:sz w:val="28"/>
          <w:szCs w:val="28"/>
        </w:rPr>
        <w:t>First T</w:t>
      </w:r>
      <w:r w:rsidR="00613C39" w:rsidRPr="001F72AC">
        <w:rPr>
          <w:rFonts w:eastAsia="Calibri"/>
          <w:sz w:val="28"/>
          <w:szCs w:val="28"/>
        </w:rPr>
        <w:t>rustee</w:t>
      </w:r>
      <w:r w:rsidR="00235710" w:rsidRPr="001F72AC">
        <w:rPr>
          <w:rFonts w:eastAsia="Calibri"/>
          <w:sz w:val="28"/>
          <w:szCs w:val="28"/>
        </w:rPr>
        <w:t xml:space="preserve"> of the Hafiz Trust</w:t>
      </w:r>
      <w:r w:rsidR="00613C39" w:rsidRPr="001F72AC">
        <w:rPr>
          <w:rFonts w:eastAsia="Calibri"/>
          <w:sz w:val="28"/>
          <w:szCs w:val="28"/>
        </w:rPr>
        <w:t xml:space="preserve">, his acceptance of the </w:t>
      </w:r>
      <w:r w:rsidR="00D817ED" w:rsidRPr="001F72AC">
        <w:rPr>
          <w:rFonts w:eastAsia="Calibri"/>
          <w:sz w:val="28"/>
          <w:szCs w:val="28"/>
        </w:rPr>
        <w:t>office</w:t>
      </w:r>
      <w:r w:rsidR="00613C39" w:rsidRPr="001F72AC">
        <w:rPr>
          <w:rFonts w:eastAsia="Calibri"/>
          <w:sz w:val="28"/>
          <w:szCs w:val="28"/>
        </w:rPr>
        <w:t xml:space="preserve"> and the </w:t>
      </w:r>
      <w:proofErr w:type="gramStart"/>
      <w:r w:rsidR="0017568A" w:rsidRPr="001F72AC">
        <w:rPr>
          <w:rFonts w:eastAsia="Calibri"/>
          <w:sz w:val="28"/>
          <w:szCs w:val="28"/>
        </w:rPr>
        <w:t>M</w:t>
      </w:r>
      <w:r w:rsidR="00613C39" w:rsidRPr="001F72AC">
        <w:rPr>
          <w:rFonts w:eastAsia="Calibri"/>
          <w:sz w:val="28"/>
          <w:szCs w:val="28"/>
        </w:rPr>
        <w:t>aster’s</w:t>
      </w:r>
      <w:proofErr w:type="gramEnd"/>
      <w:r w:rsidR="00613C39" w:rsidRPr="001F72AC">
        <w:rPr>
          <w:rFonts w:eastAsia="Calibri"/>
          <w:sz w:val="28"/>
          <w:szCs w:val="28"/>
        </w:rPr>
        <w:t xml:space="preserve"> acceptance of his appointment</w:t>
      </w:r>
      <w:r w:rsidR="00DC4AC9" w:rsidRPr="001F72AC">
        <w:rPr>
          <w:rFonts w:eastAsia="Calibri"/>
          <w:sz w:val="28"/>
          <w:szCs w:val="28"/>
        </w:rPr>
        <w:t xml:space="preserve">. </w:t>
      </w:r>
      <w:r w:rsidR="00A45991" w:rsidRPr="001F72AC">
        <w:rPr>
          <w:rFonts w:eastAsia="Calibri"/>
          <w:sz w:val="28"/>
          <w:szCs w:val="28"/>
        </w:rPr>
        <w:t xml:space="preserve">It was not intended that the </w:t>
      </w:r>
      <w:r w:rsidR="00613C39" w:rsidRPr="001F72AC">
        <w:rPr>
          <w:rFonts w:eastAsia="Calibri"/>
          <w:sz w:val="28"/>
          <w:szCs w:val="28"/>
        </w:rPr>
        <w:t>settlor</w:t>
      </w:r>
      <w:r w:rsidR="008F0AEA" w:rsidRPr="001F72AC">
        <w:rPr>
          <w:rFonts w:eastAsia="Calibri"/>
          <w:sz w:val="28"/>
          <w:szCs w:val="28"/>
        </w:rPr>
        <w:t xml:space="preserve"> </w:t>
      </w:r>
      <w:r w:rsidR="00A45991" w:rsidRPr="001F72AC">
        <w:rPr>
          <w:rFonts w:eastAsia="Calibri"/>
          <w:sz w:val="28"/>
          <w:szCs w:val="28"/>
        </w:rPr>
        <w:t xml:space="preserve">should hold </w:t>
      </w:r>
      <w:proofErr w:type="spellStart"/>
      <w:r w:rsidR="00A45991" w:rsidRPr="001F72AC">
        <w:rPr>
          <w:rFonts w:eastAsia="Calibri"/>
          <w:sz w:val="28"/>
          <w:szCs w:val="28"/>
        </w:rPr>
        <w:t>the</w:t>
      </w:r>
      <w:r w:rsidR="008F0AEA" w:rsidRPr="001F72AC">
        <w:rPr>
          <w:rFonts w:eastAsia="Calibri"/>
          <w:sz w:val="28"/>
          <w:szCs w:val="28"/>
        </w:rPr>
        <w:t>‘</w:t>
      </w:r>
      <w:r w:rsidR="00DC4AC9" w:rsidRPr="001F72AC">
        <w:rPr>
          <w:rFonts w:eastAsia="Calibri"/>
          <w:sz w:val="28"/>
          <w:szCs w:val="28"/>
        </w:rPr>
        <w:t>office</w:t>
      </w:r>
      <w:proofErr w:type="spellEnd"/>
      <w:r w:rsidR="00DC4AC9" w:rsidRPr="001F72AC">
        <w:rPr>
          <w:rFonts w:eastAsia="Calibri"/>
          <w:sz w:val="28"/>
          <w:szCs w:val="28"/>
        </w:rPr>
        <w:t xml:space="preserve"> of trustee</w:t>
      </w:r>
      <w:r w:rsidR="008F0AEA" w:rsidRPr="001F72AC">
        <w:rPr>
          <w:rFonts w:eastAsia="Calibri"/>
          <w:sz w:val="28"/>
          <w:szCs w:val="28"/>
        </w:rPr>
        <w:t>’</w:t>
      </w:r>
      <w:r w:rsidR="00DC4AC9" w:rsidRPr="001F72AC">
        <w:rPr>
          <w:rFonts w:eastAsia="Calibri"/>
          <w:sz w:val="28"/>
          <w:szCs w:val="28"/>
        </w:rPr>
        <w:t xml:space="preserve"> in </w:t>
      </w:r>
      <w:r w:rsidR="00BA5D3A" w:rsidRPr="001F72AC">
        <w:rPr>
          <w:rFonts w:eastAsia="Calibri"/>
          <w:sz w:val="28"/>
          <w:szCs w:val="28"/>
        </w:rPr>
        <w:t>the Hafiz Trust.</w:t>
      </w:r>
    </w:p>
    <w:p w14:paraId="4420BAB2" w14:textId="1B3E5047" w:rsidR="008F0AEA" w:rsidRPr="001F72AC" w:rsidRDefault="008F0AEA" w:rsidP="00452F47">
      <w:pPr>
        <w:spacing w:line="360" w:lineRule="auto"/>
        <w:jc w:val="both"/>
        <w:rPr>
          <w:rFonts w:eastAsia="Calibri"/>
          <w:sz w:val="28"/>
          <w:szCs w:val="28"/>
        </w:rPr>
      </w:pPr>
    </w:p>
    <w:p w14:paraId="484F0D05" w14:textId="6D0392E0" w:rsidR="004631A3" w:rsidRPr="001F72AC" w:rsidRDefault="008F0AEA" w:rsidP="00452F47">
      <w:pPr>
        <w:spacing w:line="360" w:lineRule="auto"/>
        <w:jc w:val="both"/>
        <w:rPr>
          <w:rFonts w:eastAsia="Calibri"/>
          <w:sz w:val="28"/>
          <w:szCs w:val="28"/>
        </w:rPr>
      </w:pPr>
      <w:r w:rsidRPr="001F72AC">
        <w:rPr>
          <w:rFonts w:eastAsia="Calibri"/>
          <w:sz w:val="28"/>
          <w:szCs w:val="28"/>
        </w:rPr>
        <w:t>[</w:t>
      </w:r>
      <w:r w:rsidR="004C2606" w:rsidRPr="001F72AC">
        <w:rPr>
          <w:rFonts w:eastAsia="Calibri"/>
          <w:sz w:val="28"/>
          <w:szCs w:val="28"/>
        </w:rPr>
        <w:t>2</w:t>
      </w:r>
      <w:r w:rsidR="00DF6DCF" w:rsidRPr="001F72AC">
        <w:rPr>
          <w:rFonts w:eastAsia="Calibri"/>
          <w:sz w:val="28"/>
          <w:szCs w:val="28"/>
        </w:rPr>
        <w:t>7</w:t>
      </w:r>
      <w:r w:rsidRPr="001F72AC">
        <w:rPr>
          <w:rFonts w:eastAsia="Calibri"/>
          <w:sz w:val="28"/>
          <w:szCs w:val="28"/>
        </w:rPr>
        <w:t>]</w:t>
      </w:r>
      <w:r w:rsidR="0088146F" w:rsidRPr="001F72AC">
        <w:rPr>
          <w:rFonts w:eastAsia="Calibri"/>
          <w:sz w:val="28"/>
          <w:szCs w:val="28"/>
        </w:rPr>
        <w:tab/>
      </w:r>
      <w:r w:rsidR="00895046" w:rsidRPr="001F72AC">
        <w:rPr>
          <w:rFonts w:eastAsia="Calibri"/>
          <w:sz w:val="28"/>
          <w:szCs w:val="28"/>
        </w:rPr>
        <w:t>The expressed purpose</w:t>
      </w:r>
      <w:r w:rsidR="00DC4AC9" w:rsidRPr="001F72AC">
        <w:rPr>
          <w:rFonts w:eastAsia="Calibri"/>
          <w:sz w:val="28"/>
          <w:szCs w:val="28"/>
        </w:rPr>
        <w:t xml:space="preserve"> of clause 4</w:t>
      </w:r>
      <w:r w:rsidR="006542E5" w:rsidRPr="001F72AC">
        <w:rPr>
          <w:rFonts w:eastAsia="Calibri"/>
          <w:sz w:val="28"/>
          <w:szCs w:val="28"/>
        </w:rPr>
        <w:t xml:space="preserve"> was to provide for perpetual succession of the </w:t>
      </w:r>
      <w:r w:rsidR="00A45991" w:rsidRPr="001F72AC">
        <w:rPr>
          <w:rFonts w:eastAsia="Calibri"/>
          <w:sz w:val="28"/>
          <w:szCs w:val="28"/>
        </w:rPr>
        <w:t xml:space="preserve">Hafiz Trust. </w:t>
      </w:r>
      <w:r w:rsidR="009940F7" w:rsidRPr="001F72AC">
        <w:rPr>
          <w:rFonts w:eastAsia="Calibri"/>
          <w:sz w:val="28"/>
          <w:szCs w:val="28"/>
        </w:rPr>
        <w:t xml:space="preserve">It is </w:t>
      </w:r>
      <w:r w:rsidR="00A45991" w:rsidRPr="001F72AC">
        <w:rPr>
          <w:rFonts w:eastAsia="Calibri"/>
          <w:sz w:val="28"/>
          <w:szCs w:val="28"/>
        </w:rPr>
        <w:t xml:space="preserve">with this in mind </w:t>
      </w:r>
      <w:r w:rsidR="009940F7" w:rsidRPr="001F72AC">
        <w:rPr>
          <w:rFonts w:eastAsia="Calibri"/>
          <w:sz w:val="28"/>
          <w:szCs w:val="28"/>
        </w:rPr>
        <w:t xml:space="preserve">that </w:t>
      </w:r>
      <w:r w:rsidR="005368C7" w:rsidRPr="001F72AC">
        <w:rPr>
          <w:rFonts w:eastAsia="Calibri"/>
          <w:sz w:val="28"/>
          <w:szCs w:val="28"/>
        </w:rPr>
        <w:t>it must be interpreted</w:t>
      </w:r>
      <w:r w:rsidR="00A45991" w:rsidRPr="001F72AC">
        <w:rPr>
          <w:rFonts w:eastAsia="Calibri"/>
          <w:sz w:val="28"/>
          <w:szCs w:val="28"/>
        </w:rPr>
        <w:t>. The clause deals with</w:t>
      </w:r>
      <w:r w:rsidR="004006D6" w:rsidRPr="001F72AC">
        <w:rPr>
          <w:rFonts w:eastAsia="Calibri"/>
          <w:sz w:val="28"/>
          <w:szCs w:val="28"/>
        </w:rPr>
        <w:t xml:space="preserve"> the continued existence of the trust upon the occurrence of the death of the settlor. </w:t>
      </w:r>
      <w:r w:rsidR="00D0517F" w:rsidRPr="001F72AC">
        <w:rPr>
          <w:rFonts w:eastAsia="Calibri"/>
          <w:sz w:val="28"/>
          <w:szCs w:val="28"/>
        </w:rPr>
        <w:t xml:space="preserve">The First Trustee was named as trustee elsewhere in the deed of trust and was appointed on that basis. </w:t>
      </w:r>
      <w:r w:rsidR="00DF6DCF" w:rsidRPr="001F72AC">
        <w:rPr>
          <w:rFonts w:eastAsia="Calibri"/>
          <w:sz w:val="28"/>
          <w:szCs w:val="28"/>
        </w:rPr>
        <w:t>C</w:t>
      </w:r>
      <w:r w:rsidR="00D0517F" w:rsidRPr="001F72AC">
        <w:rPr>
          <w:rFonts w:eastAsia="Calibri"/>
          <w:sz w:val="28"/>
          <w:szCs w:val="28"/>
        </w:rPr>
        <w:t xml:space="preserve">lause 4 </w:t>
      </w:r>
      <w:r w:rsidR="00DF6DCF" w:rsidRPr="001F72AC">
        <w:rPr>
          <w:rFonts w:eastAsia="Calibri"/>
          <w:sz w:val="28"/>
          <w:szCs w:val="28"/>
        </w:rPr>
        <w:t xml:space="preserve">therefore </w:t>
      </w:r>
      <w:r w:rsidR="00D0517F" w:rsidRPr="001F72AC">
        <w:rPr>
          <w:rFonts w:eastAsia="Calibri"/>
          <w:sz w:val="28"/>
          <w:szCs w:val="28"/>
        </w:rPr>
        <w:t xml:space="preserve">provides for the continued existence of the office of trusteeship after the death of the settlor. Read in the context of the deed of trust as a whole, it does not mean that the First Trustee would only be appointed once the settlor had died. Upon the occurrence of the death of the settlor the office of trusteeship would continue to be held by the First Trustee as incumbent and thereafter be occupied as envisaged by clause 4. </w:t>
      </w:r>
      <w:r w:rsidR="004631A3" w:rsidRPr="001F72AC">
        <w:rPr>
          <w:rFonts w:eastAsia="Calibri"/>
          <w:sz w:val="28"/>
          <w:szCs w:val="28"/>
        </w:rPr>
        <w:t xml:space="preserve"> </w:t>
      </w:r>
      <w:r w:rsidR="00235710" w:rsidRPr="001F72AC">
        <w:rPr>
          <w:rFonts w:eastAsia="Calibri"/>
          <w:sz w:val="28"/>
          <w:szCs w:val="28"/>
        </w:rPr>
        <w:t>Seen in this light,</w:t>
      </w:r>
      <w:r w:rsidR="004631A3" w:rsidRPr="001F72AC">
        <w:rPr>
          <w:rFonts w:eastAsia="Calibri"/>
          <w:sz w:val="28"/>
          <w:szCs w:val="28"/>
        </w:rPr>
        <w:t xml:space="preserve"> clause 4 </w:t>
      </w:r>
      <w:r w:rsidR="00235710" w:rsidRPr="001F72AC">
        <w:rPr>
          <w:rFonts w:eastAsia="Calibri"/>
          <w:sz w:val="28"/>
          <w:szCs w:val="28"/>
        </w:rPr>
        <w:t>merely reflects a</w:t>
      </w:r>
      <w:r w:rsidR="00993706" w:rsidRPr="001F72AC">
        <w:rPr>
          <w:rFonts w:eastAsia="Calibri"/>
          <w:sz w:val="28"/>
          <w:szCs w:val="28"/>
        </w:rPr>
        <w:t>n</w:t>
      </w:r>
      <w:r w:rsidR="00235710" w:rsidRPr="001F72AC">
        <w:rPr>
          <w:rFonts w:eastAsia="Calibri"/>
          <w:sz w:val="28"/>
          <w:szCs w:val="28"/>
        </w:rPr>
        <w:t xml:space="preserve"> </w:t>
      </w:r>
      <w:r w:rsidR="004631A3" w:rsidRPr="001F72AC">
        <w:rPr>
          <w:rFonts w:eastAsia="Calibri"/>
          <w:sz w:val="28"/>
          <w:szCs w:val="28"/>
        </w:rPr>
        <w:t>express</w:t>
      </w:r>
      <w:r w:rsidR="00235710" w:rsidRPr="001F72AC">
        <w:rPr>
          <w:rFonts w:eastAsia="Calibri"/>
          <w:sz w:val="28"/>
          <w:szCs w:val="28"/>
        </w:rPr>
        <w:t>ion of</w:t>
      </w:r>
      <w:r w:rsidR="004631A3" w:rsidRPr="001F72AC">
        <w:rPr>
          <w:rFonts w:eastAsia="Calibri"/>
          <w:sz w:val="28"/>
          <w:szCs w:val="28"/>
        </w:rPr>
        <w:t xml:space="preserve"> an intention on the part of the settlor to ensure that </w:t>
      </w:r>
      <w:r w:rsidR="00BA5D3A" w:rsidRPr="001F72AC">
        <w:rPr>
          <w:rFonts w:eastAsia="Calibri"/>
          <w:sz w:val="28"/>
          <w:szCs w:val="28"/>
        </w:rPr>
        <w:t>control of the Hafiz Trust would remain with his descendants.</w:t>
      </w:r>
      <w:r w:rsidR="00235710" w:rsidRPr="001F72AC">
        <w:rPr>
          <w:rFonts w:eastAsia="Calibri"/>
          <w:sz w:val="28"/>
          <w:szCs w:val="28"/>
        </w:rPr>
        <w:t xml:space="preserve"> </w:t>
      </w:r>
      <w:r w:rsidR="0098697A" w:rsidRPr="001F72AC">
        <w:rPr>
          <w:rFonts w:eastAsia="Calibri"/>
          <w:sz w:val="28"/>
          <w:szCs w:val="28"/>
        </w:rPr>
        <w:t>It can thus be read in a manner that is consistent with the overriding intention expressed in the deed of trust</w:t>
      </w:r>
      <w:r w:rsidR="00DF6DCF" w:rsidRPr="001F72AC">
        <w:rPr>
          <w:rFonts w:eastAsia="Calibri"/>
          <w:sz w:val="28"/>
          <w:szCs w:val="28"/>
        </w:rPr>
        <w:t>.</w:t>
      </w:r>
      <w:r w:rsidR="0098697A" w:rsidRPr="001F72AC">
        <w:rPr>
          <w:rFonts w:eastAsia="Calibri"/>
          <w:sz w:val="28"/>
          <w:szCs w:val="28"/>
        </w:rPr>
        <w:t xml:space="preserve"> </w:t>
      </w:r>
    </w:p>
    <w:p w14:paraId="38396F77" w14:textId="77777777" w:rsidR="004631A3" w:rsidRPr="001F72AC" w:rsidRDefault="004631A3" w:rsidP="00452F47">
      <w:pPr>
        <w:spacing w:line="360" w:lineRule="auto"/>
        <w:jc w:val="both"/>
        <w:rPr>
          <w:rFonts w:eastAsia="Calibri"/>
          <w:sz w:val="28"/>
          <w:szCs w:val="28"/>
        </w:rPr>
      </w:pPr>
    </w:p>
    <w:p w14:paraId="31D9C303" w14:textId="0BC9BE59" w:rsidR="005C7B2A" w:rsidRPr="001F72AC" w:rsidRDefault="004631A3" w:rsidP="00452F47">
      <w:pPr>
        <w:spacing w:line="360" w:lineRule="auto"/>
        <w:jc w:val="both"/>
        <w:rPr>
          <w:rFonts w:eastAsia="Calibri"/>
          <w:sz w:val="28"/>
          <w:szCs w:val="28"/>
        </w:rPr>
      </w:pPr>
      <w:r w:rsidRPr="001F72AC">
        <w:rPr>
          <w:rFonts w:eastAsia="Calibri"/>
          <w:sz w:val="28"/>
          <w:szCs w:val="28"/>
        </w:rPr>
        <w:t>[</w:t>
      </w:r>
      <w:r w:rsidR="00BF0922" w:rsidRPr="001F72AC">
        <w:rPr>
          <w:rFonts w:eastAsia="Calibri"/>
          <w:sz w:val="28"/>
          <w:szCs w:val="28"/>
        </w:rPr>
        <w:t>2</w:t>
      </w:r>
      <w:r w:rsidR="00DF6DCF" w:rsidRPr="001F72AC">
        <w:rPr>
          <w:rFonts w:eastAsia="Calibri"/>
          <w:sz w:val="28"/>
          <w:szCs w:val="28"/>
        </w:rPr>
        <w:t>8</w:t>
      </w:r>
      <w:r w:rsidRPr="001F72AC">
        <w:rPr>
          <w:rFonts w:eastAsia="Calibri"/>
          <w:sz w:val="28"/>
          <w:szCs w:val="28"/>
        </w:rPr>
        <w:t>]</w:t>
      </w:r>
      <w:r w:rsidRPr="001F72AC">
        <w:rPr>
          <w:rFonts w:eastAsia="Calibri"/>
          <w:sz w:val="28"/>
          <w:szCs w:val="28"/>
        </w:rPr>
        <w:tab/>
      </w:r>
      <w:r w:rsidR="00BF0922" w:rsidRPr="001F72AC">
        <w:rPr>
          <w:rFonts w:eastAsia="Calibri"/>
          <w:sz w:val="28"/>
          <w:szCs w:val="28"/>
        </w:rPr>
        <w:t>T</w:t>
      </w:r>
      <w:r w:rsidR="00855A93" w:rsidRPr="001F72AC">
        <w:rPr>
          <w:rFonts w:eastAsia="Calibri"/>
          <w:sz w:val="28"/>
          <w:szCs w:val="28"/>
        </w:rPr>
        <w:t>he evidence as a whole</w:t>
      </w:r>
      <w:r w:rsidR="00BF0922" w:rsidRPr="001F72AC">
        <w:rPr>
          <w:rFonts w:eastAsia="Calibri"/>
          <w:sz w:val="28"/>
          <w:szCs w:val="28"/>
        </w:rPr>
        <w:t xml:space="preserve">, </w:t>
      </w:r>
      <w:r w:rsidR="0098697A" w:rsidRPr="001F72AC">
        <w:rPr>
          <w:rFonts w:eastAsia="Calibri"/>
          <w:sz w:val="28"/>
          <w:szCs w:val="28"/>
        </w:rPr>
        <w:t>overwhelmingly</w:t>
      </w:r>
      <w:r w:rsidR="00855A93" w:rsidRPr="001F72AC">
        <w:rPr>
          <w:rFonts w:eastAsia="Calibri"/>
          <w:sz w:val="28"/>
          <w:szCs w:val="28"/>
        </w:rPr>
        <w:t xml:space="preserve"> establishes </w:t>
      </w:r>
      <w:r w:rsidRPr="001F72AC">
        <w:rPr>
          <w:rFonts w:eastAsia="Calibri"/>
          <w:sz w:val="28"/>
          <w:szCs w:val="28"/>
        </w:rPr>
        <w:t>that a trust was in fact constituted by the deed of trust</w:t>
      </w:r>
      <w:r w:rsidR="00BA5D3A" w:rsidRPr="001F72AC">
        <w:rPr>
          <w:rFonts w:eastAsia="Calibri"/>
          <w:sz w:val="28"/>
          <w:szCs w:val="28"/>
        </w:rPr>
        <w:t xml:space="preserve"> and that ownership and control of the trust property passed into the hands of the nominated First Trustee during the lifetime of the settlor. </w:t>
      </w:r>
      <w:r w:rsidRPr="001F72AC">
        <w:rPr>
          <w:rFonts w:eastAsia="Calibri"/>
          <w:sz w:val="28"/>
          <w:szCs w:val="28"/>
        </w:rPr>
        <w:t xml:space="preserve"> </w:t>
      </w:r>
      <w:r w:rsidR="00BA5D3A" w:rsidRPr="001F72AC">
        <w:rPr>
          <w:rFonts w:eastAsia="Calibri"/>
          <w:sz w:val="28"/>
          <w:szCs w:val="28"/>
        </w:rPr>
        <w:t>T</w:t>
      </w:r>
      <w:r w:rsidR="00DC4AC9" w:rsidRPr="001F72AC">
        <w:rPr>
          <w:rFonts w:eastAsia="Calibri"/>
          <w:sz w:val="28"/>
          <w:szCs w:val="28"/>
        </w:rPr>
        <w:t xml:space="preserve">he full </w:t>
      </w:r>
      <w:r w:rsidR="005C7B2A" w:rsidRPr="001F72AC">
        <w:rPr>
          <w:rFonts w:eastAsia="Calibri"/>
          <w:sz w:val="28"/>
          <w:szCs w:val="28"/>
        </w:rPr>
        <w:t>c</w:t>
      </w:r>
      <w:r w:rsidR="00DC4AC9" w:rsidRPr="001F72AC">
        <w:rPr>
          <w:rFonts w:eastAsia="Calibri"/>
          <w:sz w:val="28"/>
          <w:szCs w:val="28"/>
        </w:rPr>
        <w:t>ourt</w:t>
      </w:r>
      <w:r w:rsidR="00BA5D3A" w:rsidRPr="001F72AC">
        <w:rPr>
          <w:rFonts w:eastAsia="Calibri"/>
          <w:sz w:val="28"/>
          <w:szCs w:val="28"/>
        </w:rPr>
        <w:t xml:space="preserve"> therefore</w:t>
      </w:r>
      <w:r w:rsidR="00DC4AC9" w:rsidRPr="001F72AC">
        <w:rPr>
          <w:rFonts w:eastAsia="Calibri"/>
          <w:sz w:val="28"/>
          <w:szCs w:val="28"/>
        </w:rPr>
        <w:t xml:space="preserve"> correct</w:t>
      </w:r>
      <w:r w:rsidR="00BA5D3A" w:rsidRPr="001F72AC">
        <w:rPr>
          <w:rFonts w:eastAsia="Calibri"/>
          <w:sz w:val="28"/>
          <w:szCs w:val="28"/>
        </w:rPr>
        <w:t>ly found that the trust was validly established.</w:t>
      </w:r>
      <w:r w:rsidR="00DC4AC9" w:rsidRPr="001F72AC">
        <w:rPr>
          <w:rFonts w:eastAsia="Calibri"/>
          <w:sz w:val="28"/>
          <w:szCs w:val="28"/>
        </w:rPr>
        <w:t xml:space="preserve"> </w:t>
      </w:r>
    </w:p>
    <w:p w14:paraId="4DDB0798" w14:textId="77777777" w:rsidR="005C7B2A" w:rsidRPr="001F72AC" w:rsidRDefault="005C7B2A" w:rsidP="00452F47">
      <w:pPr>
        <w:spacing w:line="360" w:lineRule="auto"/>
        <w:jc w:val="both"/>
        <w:rPr>
          <w:rFonts w:eastAsia="Calibri"/>
          <w:sz w:val="28"/>
          <w:szCs w:val="28"/>
        </w:rPr>
      </w:pPr>
    </w:p>
    <w:p w14:paraId="2E0457D7" w14:textId="5DD08787" w:rsidR="00F96A9B" w:rsidRPr="001F72AC" w:rsidRDefault="005C7B2A" w:rsidP="00452F47">
      <w:pPr>
        <w:spacing w:line="360" w:lineRule="auto"/>
        <w:jc w:val="both"/>
        <w:rPr>
          <w:rFonts w:eastAsia="Calibri"/>
          <w:sz w:val="28"/>
          <w:szCs w:val="28"/>
        </w:rPr>
      </w:pPr>
      <w:r w:rsidRPr="001F72AC">
        <w:rPr>
          <w:rFonts w:eastAsia="Calibri"/>
          <w:sz w:val="28"/>
          <w:szCs w:val="28"/>
        </w:rPr>
        <w:t>[</w:t>
      </w:r>
      <w:r w:rsidR="00DF6DCF" w:rsidRPr="001F72AC">
        <w:rPr>
          <w:rFonts w:eastAsia="Calibri"/>
          <w:sz w:val="28"/>
          <w:szCs w:val="28"/>
        </w:rPr>
        <w:t>29</w:t>
      </w:r>
      <w:r w:rsidRPr="001F72AC">
        <w:rPr>
          <w:rFonts w:eastAsia="Calibri"/>
          <w:sz w:val="28"/>
          <w:szCs w:val="28"/>
        </w:rPr>
        <w:t>]</w:t>
      </w:r>
      <w:r w:rsidRPr="001F72AC">
        <w:rPr>
          <w:rFonts w:eastAsia="Calibri"/>
          <w:sz w:val="28"/>
          <w:szCs w:val="28"/>
        </w:rPr>
        <w:tab/>
      </w:r>
      <w:r w:rsidR="00DC4AC9" w:rsidRPr="001F72AC">
        <w:rPr>
          <w:rFonts w:eastAsia="Calibri"/>
          <w:sz w:val="28"/>
          <w:szCs w:val="28"/>
        </w:rPr>
        <w:t>The full court varied cl</w:t>
      </w:r>
      <w:r w:rsidRPr="001F72AC">
        <w:rPr>
          <w:rFonts w:eastAsia="Calibri"/>
          <w:sz w:val="28"/>
          <w:szCs w:val="28"/>
        </w:rPr>
        <w:t>au</w:t>
      </w:r>
      <w:r w:rsidR="00DC4AC9" w:rsidRPr="001F72AC">
        <w:rPr>
          <w:rFonts w:eastAsia="Calibri"/>
          <w:sz w:val="28"/>
          <w:szCs w:val="28"/>
        </w:rPr>
        <w:t xml:space="preserve">se 4.1 to read that upon the death of the first </w:t>
      </w:r>
      <w:r w:rsidRPr="001F72AC">
        <w:rPr>
          <w:rFonts w:eastAsia="Calibri"/>
          <w:sz w:val="28"/>
          <w:szCs w:val="28"/>
        </w:rPr>
        <w:t>t</w:t>
      </w:r>
      <w:r w:rsidR="00DC4AC9" w:rsidRPr="001F72AC">
        <w:rPr>
          <w:rFonts w:eastAsia="Calibri"/>
          <w:sz w:val="28"/>
          <w:szCs w:val="28"/>
        </w:rPr>
        <w:t xml:space="preserve">rustee, the office of </w:t>
      </w:r>
      <w:r w:rsidRPr="001F72AC">
        <w:rPr>
          <w:rFonts w:eastAsia="Calibri"/>
          <w:sz w:val="28"/>
          <w:szCs w:val="28"/>
        </w:rPr>
        <w:t>t</w:t>
      </w:r>
      <w:r w:rsidR="00DC4AC9" w:rsidRPr="001F72AC">
        <w:rPr>
          <w:rFonts w:eastAsia="Calibri"/>
          <w:sz w:val="28"/>
          <w:szCs w:val="28"/>
        </w:rPr>
        <w:t xml:space="preserve">rustee shall descend to his male descendant. It left clauses </w:t>
      </w:r>
      <w:r w:rsidR="00DC4AC9" w:rsidRPr="001F72AC">
        <w:rPr>
          <w:rFonts w:eastAsia="Calibri"/>
          <w:sz w:val="28"/>
          <w:szCs w:val="28"/>
        </w:rPr>
        <w:lastRenderedPageBreak/>
        <w:t xml:space="preserve">4.2 and 4.3 in their original form. </w:t>
      </w:r>
      <w:r w:rsidR="00BF0922" w:rsidRPr="001F72AC">
        <w:rPr>
          <w:rFonts w:eastAsia="Calibri"/>
          <w:sz w:val="28"/>
          <w:szCs w:val="28"/>
        </w:rPr>
        <w:t>In doing so, i</w:t>
      </w:r>
      <w:r w:rsidR="005629FC" w:rsidRPr="001F72AC">
        <w:rPr>
          <w:rFonts w:eastAsia="Calibri"/>
          <w:sz w:val="28"/>
          <w:szCs w:val="28"/>
        </w:rPr>
        <w:t xml:space="preserve">t </w:t>
      </w:r>
      <w:r w:rsidR="00BF0922" w:rsidRPr="001F72AC">
        <w:rPr>
          <w:rFonts w:eastAsia="Calibri"/>
          <w:sz w:val="28"/>
          <w:szCs w:val="28"/>
        </w:rPr>
        <w:t>brought</w:t>
      </w:r>
      <w:r w:rsidR="005629FC" w:rsidRPr="001F72AC">
        <w:rPr>
          <w:rFonts w:eastAsia="Calibri"/>
          <w:sz w:val="28"/>
          <w:szCs w:val="28"/>
        </w:rPr>
        <w:t xml:space="preserve"> clause 4.1 in line with </w:t>
      </w:r>
      <w:r w:rsidR="00BF0922" w:rsidRPr="001F72AC">
        <w:rPr>
          <w:rFonts w:eastAsia="Calibri"/>
          <w:sz w:val="28"/>
          <w:szCs w:val="28"/>
        </w:rPr>
        <w:t>what</w:t>
      </w:r>
      <w:r w:rsidR="005629FC" w:rsidRPr="001F72AC">
        <w:rPr>
          <w:rFonts w:eastAsia="Calibri"/>
          <w:sz w:val="28"/>
          <w:szCs w:val="28"/>
        </w:rPr>
        <w:t xml:space="preserve"> had already occurred</w:t>
      </w:r>
      <w:r w:rsidRPr="001F72AC">
        <w:rPr>
          <w:rFonts w:eastAsia="Calibri"/>
          <w:sz w:val="28"/>
          <w:szCs w:val="28"/>
        </w:rPr>
        <w:t xml:space="preserve">. </w:t>
      </w:r>
      <w:r w:rsidR="00F96A9B" w:rsidRPr="001F72AC">
        <w:rPr>
          <w:rFonts w:eastAsia="Calibri"/>
          <w:sz w:val="28"/>
          <w:szCs w:val="28"/>
        </w:rPr>
        <w:t>It</w:t>
      </w:r>
      <w:r w:rsidR="005629FC" w:rsidRPr="001F72AC">
        <w:rPr>
          <w:rFonts w:eastAsia="Calibri"/>
          <w:sz w:val="28"/>
          <w:szCs w:val="28"/>
        </w:rPr>
        <w:t xml:space="preserve"> exercised the discretion conferred upon it by s 13 of the Trust Property Control Act, 57 of 1988 (the TPCA).</w:t>
      </w:r>
    </w:p>
    <w:p w14:paraId="6607DC22" w14:textId="77777777" w:rsidR="00F96A9B" w:rsidRPr="001F72AC" w:rsidRDefault="00F96A9B" w:rsidP="00452F47">
      <w:pPr>
        <w:spacing w:line="360" w:lineRule="auto"/>
        <w:jc w:val="both"/>
        <w:rPr>
          <w:rFonts w:eastAsia="Calibri"/>
          <w:sz w:val="28"/>
          <w:szCs w:val="28"/>
        </w:rPr>
      </w:pPr>
    </w:p>
    <w:p w14:paraId="3DF07315" w14:textId="35959E02" w:rsidR="00E16AB7" w:rsidRPr="001F72AC" w:rsidRDefault="00F96A9B" w:rsidP="00E16AB7">
      <w:pPr>
        <w:spacing w:line="360" w:lineRule="auto"/>
        <w:jc w:val="both"/>
        <w:rPr>
          <w:rFonts w:eastAsia="Calibri"/>
          <w:sz w:val="28"/>
          <w:szCs w:val="28"/>
        </w:rPr>
      </w:pPr>
      <w:r w:rsidRPr="001F72AC">
        <w:rPr>
          <w:rFonts w:eastAsia="Calibri"/>
          <w:sz w:val="28"/>
          <w:szCs w:val="28"/>
        </w:rPr>
        <w:t>[3</w:t>
      </w:r>
      <w:r w:rsidR="00DF6DCF" w:rsidRPr="001F72AC">
        <w:rPr>
          <w:rFonts w:eastAsia="Calibri"/>
          <w:sz w:val="28"/>
          <w:szCs w:val="28"/>
        </w:rPr>
        <w:t>0</w:t>
      </w:r>
      <w:r w:rsidRPr="001F72AC">
        <w:rPr>
          <w:rFonts w:eastAsia="Calibri"/>
          <w:sz w:val="28"/>
          <w:szCs w:val="28"/>
        </w:rPr>
        <w:t>]</w:t>
      </w:r>
      <w:r w:rsidRPr="001F72AC">
        <w:rPr>
          <w:rFonts w:eastAsia="Calibri"/>
          <w:sz w:val="28"/>
          <w:szCs w:val="28"/>
        </w:rPr>
        <w:tab/>
        <w:t>There was, however, no application made to vary clause 4.1 of the 1994 deed of trust.</w:t>
      </w:r>
      <w:r w:rsidR="0090154A" w:rsidRPr="001F72AC">
        <w:rPr>
          <w:rFonts w:eastAsia="Calibri"/>
          <w:sz w:val="28"/>
          <w:szCs w:val="28"/>
        </w:rPr>
        <w:t xml:space="preserve"> No case was made out to suggest that </w:t>
      </w:r>
      <w:r w:rsidR="00BF0922" w:rsidRPr="001F72AC">
        <w:rPr>
          <w:rFonts w:eastAsia="Calibri"/>
          <w:sz w:val="28"/>
          <w:szCs w:val="28"/>
        </w:rPr>
        <w:t xml:space="preserve">the </w:t>
      </w:r>
      <w:r w:rsidR="0090154A" w:rsidRPr="001F72AC">
        <w:rPr>
          <w:rFonts w:eastAsia="Calibri"/>
          <w:sz w:val="28"/>
          <w:szCs w:val="28"/>
        </w:rPr>
        <w:t>clause  served to hamper</w:t>
      </w:r>
      <w:r w:rsidR="00DC4AC9" w:rsidRPr="001F72AC">
        <w:rPr>
          <w:rFonts w:eastAsia="Calibri"/>
          <w:sz w:val="28"/>
          <w:szCs w:val="28"/>
        </w:rPr>
        <w:t xml:space="preserve"> </w:t>
      </w:r>
      <w:r w:rsidR="00E16AB7" w:rsidRPr="001F72AC">
        <w:rPr>
          <w:rFonts w:eastAsia="Calibri"/>
          <w:sz w:val="28"/>
          <w:szCs w:val="28"/>
        </w:rPr>
        <w:t xml:space="preserve">the achievement of the objects of the founder, or </w:t>
      </w:r>
      <w:r w:rsidR="009D2903" w:rsidRPr="001F72AC">
        <w:rPr>
          <w:rFonts w:eastAsia="Calibri"/>
          <w:sz w:val="28"/>
          <w:szCs w:val="28"/>
        </w:rPr>
        <w:t xml:space="preserve">was </w:t>
      </w:r>
      <w:r w:rsidR="00E16AB7" w:rsidRPr="001F72AC">
        <w:rPr>
          <w:rFonts w:eastAsia="Calibri"/>
          <w:sz w:val="28"/>
          <w:szCs w:val="28"/>
        </w:rPr>
        <w:t>prejudic</w:t>
      </w:r>
      <w:r w:rsidR="009D2903" w:rsidRPr="001F72AC">
        <w:rPr>
          <w:rFonts w:eastAsia="Calibri"/>
          <w:sz w:val="28"/>
          <w:szCs w:val="28"/>
        </w:rPr>
        <w:t xml:space="preserve">ial to </w:t>
      </w:r>
      <w:r w:rsidR="00E16AB7" w:rsidRPr="001F72AC">
        <w:rPr>
          <w:rFonts w:eastAsia="Calibri"/>
          <w:sz w:val="28"/>
          <w:szCs w:val="28"/>
        </w:rPr>
        <w:t xml:space="preserve">the interests of beneficiaries, or </w:t>
      </w:r>
      <w:r w:rsidR="009D2903" w:rsidRPr="001F72AC">
        <w:rPr>
          <w:rFonts w:eastAsia="Calibri"/>
          <w:sz w:val="28"/>
          <w:szCs w:val="28"/>
        </w:rPr>
        <w:t>was</w:t>
      </w:r>
      <w:r w:rsidR="00E16AB7" w:rsidRPr="001F72AC">
        <w:rPr>
          <w:rFonts w:eastAsia="Calibri"/>
          <w:sz w:val="28"/>
          <w:szCs w:val="28"/>
        </w:rPr>
        <w:t xml:space="preserve"> in conflict with the public interest. </w:t>
      </w:r>
      <w:r w:rsidR="00BF0922" w:rsidRPr="001F72AC">
        <w:rPr>
          <w:rFonts w:eastAsia="Calibri"/>
          <w:sz w:val="28"/>
          <w:szCs w:val="28"/>
        </w:rPr>
        <w:t>Section</w:t>
      </w:r>
      <w:r w:rsidR="009D2903" w:rsidRPr="001F72AC">
        <w:rPr>
          <w:rFonts w:eastAsia="Calibri"/>
          <w:sz w:val="28"/>
          <w:szCs w:val="28"/>
        </w:rPr>
        <w:t xml:space="preserve"> 13</w:t>
      </w:r>
      <w:r w:rsidR="00E16AB7" w:rsidRPr="001F72AC">
        <w:rPr>
          <w:rFonts w:eastAsia="Calibri"/>
          <w:sz w:val="28"/>
          <w:szCs w:val="28"/>
        </w:rPr>
        <w:t xml:space="preserve"> does not confer upon a court a general power to vary a deed of trust. A court’s power is confined to the circumstances which are set out in the section.</w:t>
      </w:r>
      <w:r w:rsidR="00E16AB7" w:rsidRPr="001F72AC">
        <w:rPr>
          <w:rFonts w:eastAsia="Calibri"/>
          <w:sz w:val="28"/>
          <w:szCs w:val="28"/>
          <w:vertAlign w:val="superscript"/>
        </w:rPr>
        <w:footnoteReference w:id="15"/>
      </w:r>
      <w:r w:rsidR="00E16AB7" w:rsidRPr="001F72AC">
        <w:rPr>
          <w:rFonts w:eastAsia="Calibri"/>
          <w:sz w:val="28"/>
          <w:szCs w:val="28"/>
        </w:rPr>
        <w:t xml:space="preserve"> Once the full court had determined that the Hafiz Trust was validly established, </w:t>
      </w:r>
      <w:r w:rsidR="009D2903" w:rsidRPr="001F72AC">
        <w:rPr>
          <w:rFonts w:eastAsia="Calibri"/>
          <w:sz w:val="28"/>
          <w:szCs w:val="28"/>
        </w:rPr>
        <w:t xml:space="preserve">any obstacle that clause 4.1 might have posed to the achievement of the objects of the trust was negated. </w:t>
      </w:r>
      <w:r w:rsidR="00C117F7" w:rsidRPr="001F72AC">
        <w:rPr>
          <w:rFonts w:eastAsia="Calibri"/>
          <w:sz w:val="28"/>
          <w:szCs w:val="28"/>
        </w:rPr>
        <w:t xml:space="preserve">It was not open to the court, </w:t>
      </w:r>
      <w:r w:rsidR="00E16AB7" w:rsidRPr="001F72AC">
        <w:rPr>
          <w:rFonts w:eastAsia="Calibri"/>
          <w:i/>
          <w:iCs/>
          <w:sz w:val="28"/>
          <w:szCs w:val="28"/>
        </w:rPr>
        <w:t>mero motu</w:t>
      </w:r>
      <w:r w:rsidR="00C117F7" w:rsidRPr="001F72AC">
        <w:rPr>
          <w:rFonts w:eastAsia="Calibri"/>
          <w:sz w:val="28"/>
          <w:szCs w:val="28"/>
        </w:rPr>
        <w:t xml:space="preserve">, to </w:t>
      </w:r>
      <w:r w:rsidR="00E16AB7" w:rsidRPr="001F72AC">
        <w:rPr>
          <w:rFonts w:eastAsia="Calibri"/>
          <w:sz w:val="28"/>
          <w:szCs w:val="28"/>
        </w:rPr>
        <w:t>var</w:t>
      </w:r>
      <w:r w:rsidR="00C117F7" w:rsidRPr="001F72AC">
        <w:rPr>
          <w:rFonts w:eastAsia="Calibri"/>
          <w:sz w:val="28"/>
          <w:szCs w:val="28"/>
        </w:rPr>
        <w:t xml:space="preserve">y </w:t>
      </w:r>
      <w:r w:rsidR="00E16AB7" w:rsidRPr="001F72AC">
        <w:rPr>
          <w:rFonts w:eastAsia="Calibri"/>
          <w:sz w:val="28"/>
          <w:szCs w:val="28"/>
        </w:rPr>
        <w:t xml:space="preserve">clause 4.1. </w:t>
      </w:r>
      <w:r w:rsidR="00C117F7" w:rsidRPr="001F72AC">
        <w:rPr>
          <w:rFonts w:eastAsia="Calibri"/>
          <w:sz w:val="28"/>
          <w:szCs w:val="28"/>
        </w:rPr>
        <w:t>T</w:t>
      </w:r>
      <w:r w:rsidR="00E16AB7" w:rsidRPr="001F72AC">
        <w:rPr>
          <w:rFonts w:eastAsia="Calibri"/>
          <w:sz w:val="28"/>
          <w:szCs w:val="28"/>
        </w:rPr>
        <w:t>he full court’s order of variation cannot stand.</w:t>
      </w:r>
    </w:p>
    <w:p w14:paraId="7CDD6CAE" w14:textId="77777777" w:rsidR="00DC4AC9" w:rsidRPr="001F72AC" w:rsidRDefault="00DC4AC9" w:rsidP="00452F47">
      <w:pPr>
        <w:spacing w:line="360" w:lineRule="auto"/>
        <w:jc w:val="both"/>
        <w:rPr>
          <w:rFonts w:eastAsia="Calibri"/>
          <w:sz w:val="28"/>
          <w:szCs w:val="28"/>
        </w:rPr>
      </w:pPr>
    </w:p>
    <w:p w14:paraId="54CE691A" w14:textId="58825E87" w:rsidR="005C7B2A" w:rsidRPr="001F72AC" w:rsidRDefault="005C7B2A" w:rsidP="00452F47">
      <w:pPr>
        <w:spacing w:line="360" w:lineRule="auto"/>
        <w:jc w:val="both"/>
        <w:rPr>
          <w:rFonts w:eastAsia="Calibri"/>
          <w:b/>
          <w:bCs/>
          <w:sz w:val="28"/>
          <w:szCs w:val="28"/>
        </w:rPr>
      </w:pPr>
      <w:r w:rsidRPr="001F72AC">
        <w:rPr>
          <w:rFonts w:eastAsia="Calibri"/>
          <w:b/>
          <w:bCs/>
          <w:sz w:val="28"/>
          <w:szCs w:val="28"/>
        </w:rPr>
        <w:t>The amendment of the deed of trust</w:t>
      </w:r>
    </w:p>
    <w:p w14:paraId="12830AF1" w14:textId="4C89E9E6" w:rsidR="00587494" w:rsidRPr="001F72AC" w:rsidRDefault="00311493" w:rsidP="00452F47">
      <w:pPr>
        <w:spacing w:line="360" w:lineRule="auto"/>
        <w:jc w:val="both"/>
        <w:rPr>
          <w:rFonts w:eastAsia="Calibri"/>
          <w:sz w:val="28"/>
          <w:szCs w:val="28"/>
        </w:rPr>
      </w:pPr>
      <w:r w:rsidRPr="001F72AC">
        <w:rPr>
          <w:rFonts w:eastAsia="Calibri"/>
          <w:sz w:val="28"/>
          <w:szCs w:val="28"/>
        </w:rPr>
        <w:t>[3</w:t>
      </w:r>
      <w:r w:rsidR="00DF6DCF" w:rsidRPr="001F72AC">
        <w:rPr>
          <w:rFonts w:eastAsia="Calibri"/>
          <w:sz w:val="28"/>
          <w:szCs w:val="28"/>
        </w:rPr>
        <w:t>1</w:t>
      </w:r>
      <w:r w:rsidRPr="001F72AC">
        <w:rPr>
          <w:rFonts w:eastAsia="Calibri"/>
          <w:sz w:val="28"/>
          <w:szCs w:val="28"/>
        </w:rPr>
        <w:t>]</w:t>
      </w:r>
      <w:r w:rsidRPr="001F72AC">
        <w:rPr>
          <w:rFonts w:eastAsia="Calibri"/>
          <w:sz w:val="28"/>
          <w:szCs w:val="28"/>
        </w:rPr>
        <w:tab/>
      </w:r>
      <w:r w:rsidR="00C117F7" w:rsidRPr="001F72AC">
        <w:rPr>
          <w:rFonts w:eastAsia="Calibri"/>
          <w:sz w:val="28"/>
          <w:szCs w:val="28"/>
        </w:rPr>
        <w:t>T</w:t>
      </w:r>
      <w:r w:rsidR="00DC4AC9" w:rsidRPr="001F72AC">
        <w:rPr>
          <w:rFonts w:eastAsia="Calibri"/>
          <w:sz w:val="28"/>
          <w:szCs w:val="28"/>
        </w:rPr>
        <w:t xml:space="preserve">he </w:t>
      </w:r>
      <w:r w:rsidRPr="001F72AC">
        <w:rPr>
          <w:rFonts w:eastAsia="Calibri"/>
          <w:sz w:val="28"/>
          <w:szCs w:val="28"/>
        </w:rPr>
        <w:t>second</w:t>
      </w:r>
      <w:r w:rsidR="00DC4AC9" w:rsidRPr="001F72AC">
        <w:rPr>
          <w:rFonts w:eastAsia="Calibri"/>
          <w:sz w:val="28"/>
          <w:szCs w:val="28"/>
        </w:rPr>
        <w:t xml:space="preserve"> question</w:t>
      </w:r>
      <w:r w:rsidR="00C117F7" w:rsidRPr="001F72AC">
        <w:rPr>
          <w:rFonts w:eastAsia="Calibri"/>
          <w:sz w:val="28"/>
          <w:szCs w:val="28"/>
        </w:rPr>
        <w:t xml:space="preserve"> is </w:t>
      </w:r>
      <w:r w:rsidR="00DC4AC9" w:rsidRPr="001F72AC">
        <w:rPr>
          <w:rFonts w:eastAsia="Calibri"/>
          <w:sz w:val="28"/>
          <w:szCs w:val="28"/>
        </w:rPr>
        <w:t>whether the 1994 trust deed was amended</w:t>
      </w:r>
      <w:r w:rsidRPr="001F72AC">
        <w:rPr>
          <w:rFonts w:eastAsia="Calibri"/>
          <w:sz w:val="28"/>
          <w:szCs w:val="28"/>
        </w:rPr>
        <w:t xml:space="preserve"> b</w:t>
      </w:r>
      <w:r w:rsidR="00DC4AC9" w:rsidRPr="001F72AC">
        <w:rPr>
          <w:rFonts w:eastAsia="Calibri"/>
          <w:sz w:val="28"/>
          <w:szCs w:val="28"/>
        </w:rPr>
        <w:t xml:space="preserve">y the </w:t>
      </w:r>
      <w:r w:rsidRPr="001F72AC">
        <w:rPr>
          <w:rFonts w:eastAsia="Calibri"/>
          <w:sz w:val="28"/>
          <w:szCs w:val="28"/>
        </w:rPr>
        <w:t xml:space="preserve">2004 </w:t>
      </w:r>
      <w:r w:rsidR="00DC4AC9" w:rsidRPr="001F72AC">
        <w:rPr>
          <w:rFonts w:eastAsia="Calibri"/>
          <w:sz w:val="28"/>
          <w:szCs w:val="28"/>
        </w:rPr>
        <w:t>deed of amendment</w:t>
      </w:r>
      <w:r w:rsidR="00C117F7" w:rsidRPr="001F72AC">
        <w:rPr>
          <w:rFonts w:eastAsia="Calibri"/>
          <w:sz w:val="28"/>
          <w:szCs w:val="28"/>
        </w:rPr>
        <w:t xml:space="preserve"> as sought</w:t>
      </w:r>
      <w:r w:rsidR="003E5AAE" w:rsidRPr="001F72AC">
        <w:rPr>
          <w:rFonts w:eastAsia="Calibri"/>
          <w:sz w:val="28"/>
          <w:szCs w:val="28"/>
        </w:rPr>
        <w:t xml:space="preserve"> in the counter-application</w:t>
      </w:r>
      <w:r w:rsidR="00C117F7" w:rsidRPr="001F72AC">
        <w:rPr>
          <w:rFonts w:eastAsia="Calibri"/>
          <w:sz w:val="28"/>
          <w:szCs w:val="28"/>
        </w:rPr>
        <w:t>.</w:t>
      </w:r>
      <w:r w:rsidR="003E5AAE" w:rsidRPr="001F72AC">
        <w:rPr>
          <w:rFonts w:eastAsia="Calibri"/>
          <w:sz w:val="28"/>
          <w:szCs w:val="28"/>
        </w:rPr>
        <w:t xml:space="preserve"> </w:t>
      </w:r>
      <w:r w:rsidR="00587494" w:rsidRPr="001F72AC">
        <w:rPr>
          <w:rFonts w:eastAsia="Calibri"/>
          <w:sz w:val="28"/>
          <w:szCs w:val="28"/>
        </w:rPr>
        <w:t xml:space="preserve">The facts </w:t>
      </w:r>
      <w:r w:rsidR="00394C6E" w:rsidRPr="001F72AC">
        <w:rPr>
          <w:rFonts w:eastAsia="Calibri"/>
          <w:sz w:val="28"/>
          <w:szCs w:val="28"/>
        </w:rPr>
        <w:t>giving rise</w:t>
      </w:r>
      <w:r w:rsidR="00587494" w:rsidRPr="001F72AC">
        <w:rPr>
          <w:rFonts w:eastAsia="Calibri"/>
          <w:sz w:val="28"/>
          <w:szCs w:val="28"/>
        </w:rPr>
        <w:t xml:space="preserve"> to the </w:t>
      </w:r>
      <w:r w:rsidR="00394C6E" w:rsidRPr="001F72AC">
        <w:rPr>
          <w:rFonts w:eastAsia="Calibri"/>
          <w:sz w:val="28"/>
          <w:szCs w:val="28"/>
        </w:rPr>
        <w:t>2004 deed of ame</w:t>
      </w:r>
      <w:r w:rsidR="00406A3E" w:rsidRPr="001F72AC">
        <w:rPr>
          <w:rFonts w:eastAsia="Calibri"/>
          <w:sz w:val="28"/>
          <w:szCs w:val="28"/>
        </w:rPr>
        <w:t>n</w:t>
      </w:r>
      <w:r w:rsidR="00394C6E" w:rsidRPr="001F72AC">
        <w:rPr>
          <w:rFonts w:eastAsia="Calibri"/>
          <w:sz w:val="28"/>
          <w:szCs w:val="28"/>
        </w:rPr>
        <w:t>dment were</w:t>
      </w:r>
      <w:r w:rsidR="00587494" w:rsidRPr="001F72AC">
        <w:rPr>
          <w:rFonts w:eastAsia="Calibri"/>
          <w:sz w:val="28"/>
          <w:szCs w:val="28"/>
        </w:rPr>
        <w:t xml:space="preserve"> common ground. Shakeel </w:t>
      </w:r>
      <w:r w:rsidR="00644587" w:rsidRPr="001F72AC">
        <w:rPr>
          <w:rFonts w:eastAsia="Calibri"/>
          <w:sz w:val="28"/>
          <w:szCs w:val="28"/>
        </w:rPr>
        <w:t>and Aneez Hafiz were</w:t>
      </w:r>
      <w:r w:rsidR="00587494" w:rsidRPr="001F72AC">
        <w:rPr>
          <w:rFonts w:eastAsia="Calibri"/>
          <w:sz w:val="28"/>
          <w:szCs w:val="28"/>
        </w:rPr>
        <w:t xml:space="preserve"> not</w:t>
      </w:r>
      <w:r w:rsidR="00644587" w:rsidRPr="001F72AC">
        <w:rPr>
          <w:rFonts w:eastAsia="Calibri"/>
          <w:sz w:val="28"/>
          <w:szCs w:val="28"/>
        </w:rPr>
        <w:t xml:space="preserve"> t</w:t>
      </w:r>
      <w:r w:rsidR="00587494" w:rsidRPr="001F72AC">
        <w:rPr>
          <w:rFonts w:eastAsia="Calibri"/>
          <w:sz w:val="28"/>
          <w:szCs w:val="28"/>
        </w:rPr>
        <w:t xml:space="preserve">rustees of the </w:t>
      </w:r>
      <w:r w:rsidR="00644587" w:rsidRPr="001F72AC">
        <w:rPr>
          <w:rFonts w:eastAsia="Calibri"/>
          <w:sz w:val="28"/>
          <w:szCs w:val="28"/>
        </w:rPr>
        <w:t>Hafiz Trust when they agreed to the amendment of the 1994 deed of trust at the meeting held in December 2004. Goolam Hafiz</w:t>
      </w:r>
      <w:r w:rsidR="00587494" w:rsidRPr="001F72AC">
        <w:rPr>
          <w:rFonts w:eastAsia="Calibri"/>
          <w:sz w:val="28"/>
          <w:szCs w:val="28"/>
        </w:rPr>
        <w:t xml:space="preserve"> </w:t>
      </w:r>
      <w:r w:rsidR="00C117F7" w:rsidRPr="001F72AC">
        <w:rPr>
          <w:rFonts w:eastAsia="Calibri"/>
          <w:sz w:val="28"/>
          <w:szCs w:val="28"/>
        </w:rPr>
        <w:t xml:space="preserve">had </w:t>
      </w:r>
      <w:r w:rsidR="00644587" w:rsidRPr="001F72AC">
        <w:rPr>
          <w:rFonts w:eastAsia="Calibri"/>
          <w:sz w:val="28"/>
          <w:szCs w:val="28"/>
        </w:rPr>
        <w:t>c</w:t>
      </w:r>
      <w:r w:rsidR="00587494" w:rsidRPr="001F72AC">
        <w:rPr>
          <w:rFonts w:eastAsia="Calibri"/>
          <w:sz w:val="28"/>
          <w:szCs w:val="28"/>
        </w:rPr>
        <w:t>ontended</w:t>
      </w:r>
      <w:r w:rsidR="00644587" w:rsidRPr="001F72AC">
        <w:rPr>
          <w:rFonts w:eastAsia="Calibri"/>
          <w:sz w:val="28"/>
          <w:szCs w:val="28"/>
        </w:rPr>
        <w:t xml:space="preserve"> </w:t>
      </w:r>
      <w:r w:rsidR="00587494" w:rsidRPr="001F72AC">
        <w:rPr>
          <w:rFonts w:eastAsia="Calibri"/>
          <w:sz w:val="28"/>
          <w:szCs w:val="28"/>
        </w:rPr>
        <w:t>that it was always his intention</w:t>
      </w:r>
      <w:r w:rsidR="00644587" w:rsidRPr="001F72AC">
        <w:rPr>
          <w:rFonts w:eastAsia="Calibri"/>
          <w:sz w:val="28"/>
          <w:szCs w:val="28"/>
        </w:rPr>
        <w:t xml:space="preserve"> that his</w:t>
      </w:r>
      <w:r w:rsidR="00587494" w:rsidRPr="001F72AC">
        <w:rPr>
          <w:rFonts w:eastAsia="Calibri"/>
          <w:sz w:val="28"/>
          <w:szCs w:val="28"/>
        </w:rPr>
        <w:t xml:space="preserve"> two younger sons also be appointed as trustees of the </w:t>
      </w:r>
      <w:r w:rsidR="00644587" w:rsidRPr="001F72AC">
        <w:rPr>
          <w:rFonts w:eastAsia="Calibri"/>
          <w:sz w:val="28"/>
          <w:szCs w:val="28"/>
        </w:rPr>
        <w:t>trust</w:t>
      </w:r>
      <w:r w:rsidR="00587494" w:rsidRPr="001F72AC">
        <w:rPr>
          <w:rFonts w:eastAsia="Calibri"/>
          <w:sz w:val="28"/>
          <w:szCs w:val="28"/>
        </w:rPr>
        <w:t xml:space="preserve">. </w:t>
      </w:r>
      <w:r w:rsidR="00644587" w:rsidRPr="001F72AC">
        <w:rPr>
          <w:rFonts w:eastAsia="Calibri"/>
          <w:sz w:val="28"/>
          <w:szCs w:val="28"/>
        </w:rPr>
        <w:t>Ahmed Hafiz d</w:t>
      </w:r>
      <w:r w:rsidR="00587494" w:rsidRPr="001F72AC">
        <w:rPr>
          <w:rFonts w:eastAsia="Calibri"/>
          <w:sz w:val="28"/>
          <w:szCs w:val="28"/>
        </w:rPr>
        <w:t>isputed this version.</w:t>
      </w:r>
      <w:r w:rsidR="00CA3092" w:rsidRPr="001F72AC">
        <w:rPr>
          <w:rStyle w:val="FootnoteReference"/>
          <w:rFonts w:eastAsia="Calibri"/>
          <w:sz w:val="28"/>
          <w:szCs w:val="28"/>
        </w:rPr>
        <w:footnoteReference w:id="16"/>
      </w:r>
      <w:r w:rsidR="00587494" w:rsidRPr="001F72AC">
        <w:rPr>
          <w:rFonts w:eastAsia="Calibri"/>
          <w:sz w:val="28"/>
          <w:szCs w:val="28"/>
        </w:rPr>
        <w:t xml:space="preserve"> He stated that it was always known that they were not trustees. </w:t>
      </w:r>
      <w:r w:rsidR="00C117F7" w:rsidRPr="001F72AC">
        <w:rPr>
          <w:rFonts w:eastAsia="Calibri"/>
          <w:sz w:val="28"/>
          <w:szCs w:val="28"/>
        </w:rPr>
        <w:t>They</w:t>
      </w:r>
      <w:r w:rsidR="00644587" w:rsidRPr="001F72AC">
        <w:rPr>
          <w:rFonts w:eastAsia="Calibri"/>
          <w:sz w:val="28"/>
          <w:szCs w:val="28"/>
        </w:rPr>
        <w:t xml:space="preserve"> were not </w:t>
      </w:r>
      <w:r w:rsidR="00644587" w:rsidRPr="001F72AC">
        <w:rPr>
          <w:rFonts w:eastAsia="Calibri"/>
          <w:sz w:val="28"/>
          <w:szCs w:val="28"/>
        </w:rPr>
        <w:lastRenderedPageBreak/>
        <w:t>required to agree to an amendment of the trust deed in the</w:t>
      </w:r>
      <w:r w:rsidR="00C117F7" w:rsidRPr="001F72AC">
        <w:rPr>
          <w:rFonts w:eastAsia="Calibri"/>
          <w:sz w:val="28"/>
          <w:szCs w:val="28"/>
        </w:rPr>
        <w:t>ir</w:t>
      </w:r>
      <w:r w:rsidR="00644587" w:rsidRPr="001F72AC">
        <w:rPr>
          <w:rFonts w:eastAsia="Calibri"/>
          <w:sz w:val="28"/>
          <w:szCs w:val="28"/>
        </w:rPr>
        <w:t xml:space="preserve"> capacity as trustees. All that was required was that they agree</w:t>
      </w:r>
      <w:r w:rsidR="0088146F" w:rsidRPr="001F72AC">
        <w:rPr>
          <w:rFonts w:eastAsia="Calibri"/>
          <w:sz w:val="28"/>
          <w:szCs w:val="28"/>
        </w:rPr>
        <w:t>,</w:t>
      </w:r>
      <w:r w:rsidR="00644587" w:rsidRPr="001F72AC">
        <w:rPr>
          <w:rFonts w:eastAsia="Calibri"/>
          <w:sz w:val="28"/>
          <w:szCs w:val="28"/>
        </w:rPr>
        <w:t xml:space="preserve"> as ‘potential’ trustees</w:t>
      </w:r>
      <w:r w:rsidR="0088146F" w:rsidRPr="001F72AC">
        <w:rPr>
          <w:rFonts w:eastAsia="Calibri"/>
          <w:sz w:val="28"/>
          <w:szCs w:val="28"/>
        </w:rPr>
        <w:t>,</w:t>
      </w:r>
      <w:r w:rsidR="00891BEA" w:rsidRPr="001F72AC">
        <w:rPr>
          <w:rFonts w:eastAsia="Calibri"/>
          <w:sz w:val="28"/>
          <w:szCs w:val="28"/>
        </w:rPr>
        <w:t xml:space="preserve"> who may succeed to trusteeship as provided by clause 4 of the deed of trust.</w:t>
      </w:r>
    </w:p>
    <w:p w14:paraId="47DDD5E4" w14:textId="77777777" w:rsidR="00891BEA" w:rsidRPr="001F72AC" w:rsidRDefault="00891BEA" w:rsidP="00452F47">
      <w:pPr>
        <w:spacing w:line="360" w:lineRule="auto"/>
        <w:jc w:val="both"/>
        <w:rPr>
          <w:rFonts w:eastAsia="Calibri"/>
          <w:sz w:val="28"/>
          <w:szCs w:val="28"/>
        </w:rPr>
      </w:pPr>
    </w:p>
    <w:p w14:paraId="48F22109" w14:textId="43378000" w:rsidR="00891BEA" w:rsidRPr="001F72AC" w:rsidRDefault="00891BEA" w:rsidP="00452F47">
      <w:pPr>
        <w:spacing w:line="360" w:lineRule="auto"/>
        <w:jc w:val="both"/>
        <w:rPr>
          <w:rFonts w:eastAsia="Calibri"/>
          <w:sz w:val="28"/>
          <w:szCs w:val="28"/>
        </w:rPr>
      </w:pPr>
      <w:r w:rsidRPr="001F72AC">
        <w:rPr>
          <w:rFonts w:eastAsia="Calibri"/>
          <w:sz w:val="28"/>
          <w:szCs w:val="28"/>
        </w:rPr>
        <w:t>[</w:t>
      </w:r>
      <w:r w:rsidR="009D2903" w:rsidRPr="001F72AC">
        <w:rPr>
          <w:rFonts w:eastAsia="Calibri"/>
          <w:sz w:val="28"/>
          <w:szCs w:val="28"/>
        </w:rPr>
        <w:t>3</w:t>
      </w:r>
      <w:r w:rsidR="00DF6DCF" w:rsidRPr="001F72AC">
        <w:rPr>
          <w:rFonts w:eastAsia="Calibri"/>
          <w:sz w:val="28"/>
          <w:szCs w:val="28"/>
        </w:rPr>
        <w:t>2</w:t>
      </w:r>
      <w:r w:rsidRPr="001F72AC">
        <w:rPr>
          <w:rFonts w:eastAsia="Calibri"/>
          <w:sz w:val="28"/>
          <w:szCs w:val="28"/>
        </w:rPr>
        <w:t>]</w:t>
      </w:r>
      <w:r w:rsidRPr="001F72AC">
        <w:rPr>
          <w:rFonts w:eastAsia="Calibri"/>
          <w:sz w:val="28"/>
          <w:szCs w:val="28"/>
        </w:rPr>
        <w:tab/>
        <w:t>Cl</w:t>
      </w:r>
      <w:r w:rsidR="00B350F0" w:rsidRPr="001F72AC">
        <w:rPr>
          <w:rFonts w:eastAsia="Calibri"/>
          <w:sz w:val="28"/>
          <w:szCs w:val="28"/>
        </w:rPr>
        <w:t>au</w:t>
      </w:r>
      <w:r w:rsidRPr="001F72AC">
        <w:rPr>
          <w:rFonts w:eastAsia="Calibri"/>
          <w:sz w:val="28"/>
          <w:szCs w:val="28"/>
        </w:rPr>
        <w:t>se 7.1 provides that the trust deed may be varied by agreement in writing</w:t>
      </w:r>
      <w:r w:rsidR="00B350F0" w:rsidRPr="001F72AC">
        <w:rPr>
          <w:rFonts w:eastAsia="Calibri"/>
          <w:sz w:val="28"/>
          <w:szCs w:val="28"/>
        </w:rPr>
        <w:t xml:space="preserve"> b</w:t>
      </w:r>
      <w:r w:rsidRPr="001F72AC">
        <w:rPr>
          <w:rFonts w:eastAsia="Calibri"/>
          <w:sz w:val="28"/>
          <w:szCs w:val="28"/>
        </w:rPr>
        <w:t>etween the first, second and third trustees. Cl</w:t>
      </w:r>
      <w:r w:rsidR="00B350F0" w:rsidRPr="001F72AC">
        <w:rPr>
          <w:rFonts w:eastAsia="Calibri"/>
          <w:sz w:val="28"/>
          <w:szCs w:val="28"/>
        </w:rPr>
        <w:t>au</w:t>
      </w:r>
      <w:r w:rsidRPr="001F72AC">
        <w:rPr>
          <w:rFonts w:eastAsia="Calibri"/>
          <w:sz w:val="28"/>
          <w:szCs w:val="28"/>
        </w:rPr>
        <w:t xml:space="preserve">se 7.2 states that any such agreement shall be binding </w:t>
      </w:r>
      <w:r w:rsidR="00B350F0" w:rsidRPr="001F72AC">
        <w:rPr>
          <w:rFonts w:eastAsia="Calibri"/>
          <w:sz w:val="28"/>
          <w:szCs w:val="28"/>
        </w:rPr>
        <w:t>‘</w:t>
      </w:r>
      <w:r w:rsidRPr="001F72AC">
        <w:rPr>
          <w:rFonts w:eastAsia="Calibri"/>
          <w:sz w:val="28"/>
          <w:szCs w:val="28"/>
        </w:rPr>
        <w:t xml:space="preserve">on any person appointed as </w:t>
      </w:r>
      <w:r w:rsidR="00D66F98" w:rsidRPr="001F72AC">
        <w:rPr>
          <w:rFonts w:eastAsia="Calibri"/>
          <w:sz w:val="28"/>
          <w:szCs w:val="28"/>
        </w:rPr>
        <w:t>T</w:t>
      </w:r>
      <w:r w:rsidRPr="001F72AC">
        <w:rPr>
          <w:rFonts w:eastAsia="Calibri"/>
          <w:sz w:val="28"/>
          <w:szCs w:val="28"/>
        </w:rPr>
        <w:t xml:space="preserve">rustee and on any beneficiaries of </w:t>
      </w:r>
      <w:r w:rsidR="00D66F98" w:rsidRPr="001F72AC">
        <w:rPr>
          <w:rFonts w:eastAsia="Calibri"/>
          <w:sz w:val="28"/>
          <w:szCs w:val="28"/>
        </w:rPr>
        <w:t>[</w:t>
      </w:r>
      <w:r w:rsidRPr="001F72AC">
        <w:rPr>
          <w:rFonts w:eastAsia="Calibri"/>
          <w:sz w:val="28"/>
          <w:szCs w:val="28"/>
        </w:rPr>
        <w:t>the</w:t>
      </w:r>
      <w:r w:rsidR="00D66F98" w:rsidRPr="001F72AC">
        <w:rPr>
          <w:rFonts w:eastAsia="Calibri"/>
          <w:sz w:val="28"/>
          <w:szCs w:val="28"/>
        </w:rPr>
        <w:t>]</w:t>
      </w:r>
      <w:r w:rsidRPr="001F72AC">
        <w:rPr>
          <w:rFonts w:eastAsia="Calibri"/>
          <w:sz w:val="28"/>
          <w:szCs w:val="28"/>
        </w:rPr>
        <w:t xml:space="preserve"> </w:t>
      </w:r>
      <w:r w:rsidR="00D66F98" w:rsidRPr="001F72AC">
        <w:rPr>
          <w:rFonts w:eastAsia="Calibri"/>
          <w:sz w:val="28"/>
          <w:szCs w:val="28"/>
        </w:rPr>
        <w:t>T</w:t>
      </w:r>
      <w:r w:rsidRPr="001F72AC">
        <w:rPr>
          <w:rFonts w:eastAsia="Calibri"/>
          <w:sz w:val="28"/>
          <w:szCs w:val="28"/>
        </w:rPr>
        <w:t>rust, whether majors or minors, born or unborn, at the date at which such agreement is concluded</w:t>
      </w:r>
      <w:r w:rsidR="00B350F0" w:rsidRPr="001F72AC">
        <w:rPr>
          <w:rFonts w:eastAsia="Calibri"/>
          <w:sz w:val="28"/>
          <w:szCs w:val="28"/>
        </w:rPr>
        <w:t>’</w:t>
      </w:r>
      <w:r w:rsidRPr="001F72AC">
        <w:rPr>
          <w:rFonts w:eastAsia="Calibri"/>
          <w:sz w:val="28"/>
          <w:szCs w:val="28"/>
        </w:rPr>
        <w:t>.</w:t>
      </w:r>
    </w:p>
    <w:p w14:paraId="330DAACB" w14:textId="77777777" w:rsidR="00891BEA" w:rsidRPr="001F72AC" w:rsidRDefault="00891BEA" w:rsidP="00452F47">
      <w:pPr>
        <w:spacing w:line="360" w:lineRule="auto"/>
        <w:jc w:val="both"/>
        <w:rPr>
          <w:rFonts w:eastAsia="Calibri"/>
          <w:sz w:val="28"/>
          <w:szCs w:val="28"/>
        </w:rPr>
      </w:pPr>
    </w:p>
    <w:p w14:paraId="36F2359C" w14:textId="2981819B" w:rsidR="000150E6" w:rsidRPr="001F72AC" w:rsidRDefault="007F3B57" w:rsidP="00452F47">
      <w:pPr>
        <w:spacing w:line="360" w:lineRule="auto"/>
        <w:jc w:val="both"/>
        <w:rPr>
          <w:rFonts w:eastAsia="Calibri"/>
          <w:sz w:val="28"/>
          <w:szCs w:val="28"/>
        </w:rPr>
      </w:pPr>
      <w:r w:rsidRPr="001F72AC">
        <w:rPr>
          <w:rFonts w:eastAsia="Calibri"/>
          <w:sz w:val="28"/>
          <w:szCs w:val="28"/>
        </w:rPr>
        <w:t>[</w:t>
      </w:r>
      <w:r w:rsidR="009D2903" w:rsidRPr="001F72AC">
        <w:rPr>
          <w:rFonts w:eastAsia="Calibri"/>
          <w:sz w:val="28"/>
          <w:szCs w:val="28"/>
        </w:rPr>
        <w:t>3</w:t>
      </w:r>
      <w:r w:rsidR="00DF6DCF" w:rsidRPr="001F72AC">
        <w:rPr>
          <w:rFonts w:eastAsia="Calibri"/>
          <w:sz w:val="28"/>
          <w:szCs w:val="28"/>
        </w:rPr>
        <w:t>3</w:t>
      </w:r>
      <w:r w:rsidRPr="001F72AC">
        <w:rPr>
          <w:rFonts w:eastAsia="Calibri"/>
          <w:sz w:val="28"/>
          <w:szCs w:val="28"/>
        </w:rPr>
        <w:t>]</w:t>
      </w:r>
      <w:r w:rsidRPr="001F72AC">
        <w:rPr>
          <w:rFonts w:eastAsia="Calibri"/>
          <w:sz w:val="28"/>
          <w:szCs w:val="28"/>
        </w:rPr>
        <w:tab/>
      </w:r>
      <w:r w:rsidR="00891BEA" w:rsidRPr="001F72AC">
        <w:rPr>
          <w:rFonts w:eastAsia="Calibri"/>
          <w:sz w:val="28"/>
          <w:szCs w:val="28"/>
        </w:rPr>
        <w:t>The question that arises is whether</w:t>
      </w:r>
      <w:r w:rsidRPr="001F72AC">
        <w:rPr>
          <w:rFonts w:eastAsia="Calibri"/>
          <w:sz w:val="28"/>
          <w:szCs w:val="28"/>
        </w:rPr>
        <w:t xml:space="preserve"> clau</w:t>
      </w:r>
      <w:r w:rsidR="00891BEA" w:rsidRPr="001F72AC">
        <w:rPr>
          <w:rFonts w:eastAsia="Calibri"/>
          <w:sz w:val="28"/>
          <w:szCs w:val="28"/>
        </w:rPr>
        <w:t>se 7.1 mean</w:t>
      </w:r>
      <w:r w:rsidR="00C117F7" w:rsidRPr="001F72AC">
        <w:rPr>
          <w:rFonts w:eastAsia="Calibri"/>
          <w:sz w:val="28"/>
          <w:szCs w:val="28"/>
        </w:rPr>
        <w:t>s</w:t>
      </w:r>
      <w:r w:rsidR="00891BEA" w:rsidRPr="001F72AC">
        <w:rPr>
          <w:rFonts w:eastAsia="Calibri"/>
          <w:sz w:val="28"/>
          <w:szCs w:val="28"/>
        </w:rPr>
        <w:t xml:space="preserve"> that an amendment can only be </w:t>
      </w:r>
      <w:proofErr w:type="gramStart"/>
      <w:r w:rsidR="00855A93" w:rsidRPr="001F72AC">
        <w:rPr>
          <w:rFonts w:eastAsia="Calibri"/>
          <w:sz w:val="28"/>
          <w:szCs w:val="28"/>
        </w:rPr>
        <w:t>e</w:t>
      </w:r>
      <w:r w:rsidR="00891BEA" w:rsidRPr="001F72AC">
        <w:rPr>
          <w:rFonts w:eastAsia="Calibri"/>
          <w:sz w:val="28"/>
          <w:szCs w:val="28"/>
        </w:rPr>
        <w:t>ffected</w:t>
      </w:r>
      <w:proofErr w:type="gramEnd"/>
      <w:r w:rsidR="00891BEA" w:rsidRPr="001F72AC">
        <w:rPr>
          <w:rFonts w:eastAsia="Calibri"/>
          <w:sz w:val="28"/>
          <w:szCs w:val="28"/>
        </w:rPr>
        <w:t xml:space="preserve"> by the </w:t>
      </w:r>
      <w:r w:rsidRPr="001F72AC">
        <w:rPr>
          <w:rFonts w:eastAsia="Calibri"/>
          <w:sz w:val="28"/>
          <w:szCs w:val="28"/>
        </w:rPr>
        <w:t xml:space="preserve">named </w:t>
      </w:r>
      <w:r w:rsidR="00891BEA" w:rsidRPr="001F72AC">
        <w:rPr>
          <w:rFonts w:eastAsia="Calibri"/>
          <w:sz w:val="28"/>
          <w:szCs w:val="28"/>
        </w:rPr>
        <w:t>trustees</w:t>
      </w:r>
      <w:r w:rsidRPr="001F72AC">
        <w:rPr>
          <w:rFonts w:eastAsia="Calibri"/>
          <w:sz w:val="28"/>
          <w:szCs w:val="28"/>
        </w:rPr>
        <w:t xml:space="preserve"> a</w:t>
      </w:r>
      <w:r w:rsidR="00891BEA" w:rsidRPr="001F72AC">
        <w:rPr>
          <w:rFonts w:eastAsia="Calibri"/>
          <w:sz w:val="28"/>
          <w:szCs w:val="28"/>
        </w:rPr>
        <w:t>cting in their capacity as trustees. If that is so, then the amendment of the trust deed in 2004</w:t>
      </w:r>
      <w:r w:rsidRPr="001F72AC">
        <w:rPr>
          <w:rFonts w:eastAsia="Calibri"/>
          <w:sz w:val="28"/>
          <w:szCs w:val="28"/>
        </w:rPr>
        <w:t xml:space="preserve"> (as also in </w:t>
      </w:r>
      <w:r w:rsidR="00891BEA" w:rsidRPr="001F72AC">
        <w:rPr>
          <w:rFonts w:eastAsia="Calibri"/>
          <w:sz w:val="28"/>
          <w:szCs w:val="28"/>
        </w:rPr>
        <w:t>2011</w:t>
      </w:r>
      <w:r w:rsidRPr="001F72AC">
        <w:rPr>
          <w:rFonts w:eastAsia="Calibri"/>
          <w:sz w:val="28"/>
          <w:szCs w:val="28"/>
        </w:rPr>
        <w:t>), w</w:t>
      </w:r>
      <w:r w:rsidR="00891BEA" w:rsidRPr="001F72AC">
        <w:rPr>
          <w:rFonts w:eastAsia="Calibri"/>
          <w:sz w:val="28"/>
          <w:szCs w:val="28"/>
        </w:rPr>
        <w:t xml:space="preserve">as not validly </w:t>
      </w:r>
      <w:proofErr w:type="gramStart"/>
      <w:r w:rsidR="001F72AC">
        <w:rPr>
          <w:rFonts w:eastAsia="Calibri"/>
          <w:sz w:val="28"/>
          <w:szCs w:val="28"/>
        </w:rPr>
        <w:t>e</w:t>
      </w:r>
      <w:r w:rsidR="00891BEA" w:rsidRPr="001F72AC">
        <w:rPr>
          <w:rFonts w:eastAsia="Calibri"/>
          <w:sz w:val="28"/>
          <w:szCs w:val="28"/>
        </w:rPr>
        <w:t>ffected</w:t>
      </w:r>
      <w:proofErr w:type="gramEnd"/>
      <w:r w:rsidR="00891BEA" w:rsidRPr="001F72AC">
        <w:rPr>
          <w:rFonts w:eastAsia="Calibri"/>
          <w:sz w:val="28"/>
          <w:szCs w:val="28"/>
        </w:rPr>
        <w:t xml:space="preserve">. </w:t>
      </w:r>
      <w:r w:rsidRPr="001F72AC">
        <w:rPr>
          <w:rFonts w:eastAsia="Calibri"/>
          <w:sz w:val="28"/>
          <w:szCs w:val="28"/>
        </w:rPr>
        <w:t>Counsel</w:t>
      </w:r>
      <w:r w:rsidR="00891BEA" w:rsidRPr="001F72AC">
        <w:rPr>
          <w:rFonts w:eastAsia="Calibri"/>
          <w:sz w:val="28"/>
          <w:szCs w:val="28"/>
        </w:rPr>
        <w:t xml:space="preserve"> for the first respondent argued that the clause does not require that the second and third trustees act as trustees. All that was required was that the persons named as trustees should agree to the variation of the deed of trust. The original trust</w:t>
      </w:r>
      <w:r w:rsidR="00855A93" w:rsidRPr="001F72AC">
        <w:rPr>
          <w:rFonts w:eastAsia="Calibri"/>
          <w:sz w:val="28"/>
          <w:szCs w:val="28"/>
        </w:rPr>
        <w:t xml:space="preserve"> deed</w:t>
      </w:r>
      <w:r w:rsidR="00891BEA" w:rsidRPr="001F72AC">
        <w:rPr>
          <w:rFonts w:eastAsia="Calibri"/>
          <w:sz w:val="28"/>
          <w:szCs w:val="28"/>
        </w:rPr>
        <w:t xml:space="preserve"> did not envisage that the second and third trustees be appointed as trustees from the outset. </w:t>
      </w:r>
      <w:r w:rsidR="00D204DD" w:rsidRPr="001F72AC">
        <w:rPr>
          <w:rFonts w:eastAsia="Calibri"/>
          <w:sz w:val="28"/>
          <w:szCs w:val="28"/>
        </w:rPr>
        <w:t>They agreed as a matter of fact to the amendment of the trust deed.</w:t>
      </w:r>
      <w:r w:rsidR="000150E6" w:rsidRPr="001F72AC">
        <w:rPr>
          <w:rFonts w:eastAsia="Calibri"/>
          <w:sz w:val="28"/>
          <w:szCs w:val="28"/>
        </w:rPr>
        <w:t xml:space="preserve"> </w:t>
      </w:r>
    </w:p>
    <w:p w14:paraId="76BE61BC" w14:textId="77777777" w:rsidR="00D66F98" w:rsidRPr="001F72AC" w:rsidRDefault="00D66F98" w:rsidP="00452F47">
      <w:pPr>
        <w:spacing w:line="360" w:lineRule="auto"/>
        <w:jc w:val="both"/>
        <w:rPr>
          <w:rFonts w:eastAsia="Calibri"/>
          <w:sz w:val="28"/>
          <w:szCs w:val="28"/>
        </w:rPr>
      </w:pPr>
    </w:p>
    <w:p w14:paraId="47410834" w14:textId="7C175938" w:rsidR="00A8225F" w:rsidRPr="001F72AC" w:rsidRDefault="000150E6" w:rsidP="00452F47">
      <w:pPr>
        <w:spacing w:line="360" w:lineRule="auto"/>
        <w:jc w:val="both"/>
        <w:rPr>
          <w:rFonts w:eastAsia="Calibri"/>
          <w:sz w:val="28"/>
          <w:szCs w:val="28"/>
        </w:rPr>
      </w:pPr>
      <w:r w:rsidRPr="001F72AC">
        <w:rPr>
          <w:rFonts w:eastAsia="Calibri"/>
          <w:sz w:val="28"/>
          <w:szCs w:val="28"/>
        </w:rPr>
        <w:t>[</w:t>
      </w:r>
      <w:r w:rsidR="009D2903" w:rsidRPr="001F72AC">
        <w:rPr>
          <w:rFonts w:eastAsia="Calibri"/>
          <w:sz w:val="28"/>
          <w:szCs w:val="28"/>
        </w:rPr>
        <w:t>3</w:t>
      </w:r>
      <w:r w:rsidR="00DF6DCF" w:rsidRPr="001F72AC">
        <w:rPr>
          <w:rFonts w:eastAsia="Calibri"/>
          <w:sz w:val="28"/>
          <w:szCs w:val="28"/>
        </w:rPr>
        <w:t>4</w:t>
      </w:r>
      <w:r w:rsidRPr="001F72AC">
        <w:rPr>
          <w:rFonts w:eastAsia="Calibri"/>
          <w:sz w:val="28"/>
          <w:szCs w:val="28"/>
        </w:rPr>
        <w:t>]</w:t>
      </w:r>
      <w:r w:rsidRPr="001F72AC">
        <w:rPr>
          <w:rFonts w:eastAsia="Calibri"/>
          <w:sz w:val="28"/>
          <w:szCs w:val="28"/>
        </w:rPr>
        <w:tab/>
      </w:r>
      <w:r w:rsidR="004D738D" w:rsidRPr="001F72AC">
        <w:rPr>
          <w:rFonts w:eastAsia="Calibri"/>
          <w:sz w:val="28"/>
          <w:szCs w:val="28"/>
        </w:rPr>
        <w:t>S</w:t>
      </w:r>
      <w:r w:rsidR="00891BEA" w:rsidRPr="001F72AC">
        <w:rPr>
          <w:rFonts w:eastAsia="Calibri"/>
          <w:sz w:val="28"/>
          <w:szCs w:val="28"/>
        </w:rPr>
        <w:t xml:space="preserve">uch construction would give rise to absurdity. It would mean that a trustee could enter into an agreement with other persons who were not required to act in </w:t>
      </w:r>
      <w:r w:rsidR="009D2903" w:rsidRPr="001F72AC">
        <w:rPr>
          <w:rFonts w:eastAsia="Calibri"/>
          <w:sz w:val="28"/>
          <w:szCs w:val="28"/>
        </w:rPr>
        <w:t>a</w:t>
      </w:r>
      <w:r w:rsidR="00891BEA" w:rsidRPr="001F72AC">
        <w:rPr>
          <w:rFonts w:eastAsia="Calibri"/>
          <w:sz w:val="28"/>
          <w:szCs w:val="28"/>
        </w:rPr>
        <w:t xml:space="preserve"> fiduciary capacity</w:t>
      </w:r>
      <w:r w:rsidRPr="001F72AC">
        <w:rPr>
          <w:rFonts w:eastAsia="Calibri"/>
          <w:sz w:val="28"/>
          <w:szCs w:val="28"/>
        </w:rPr>
        <w:t xml:space="preserve"> </w:t>
      </w:r>
      <w:r w:rsidR="004D738D" w:rsidRPr="001F72AC">
        <w:rPr>
          <w:rFonts w:eastAsia="Calibri"/>
          <w:sz w:val="28"/>
          <w:szCs w:val="28"/>
        </w:rPr>
        <w:t>to</w:t>
      </w:r>
      <w:r w:rsidR="00891BEA" w:rsidRPr="001F72AC">
        <w:rPr>
          <w:rFonts w:eastAsia="Calibri"/>
          <w:sz w:val="28"/>
          <w:szCs w:val="28"/>
        </w:rPr>
        <w:t xml:space="preserve"> amend</w:t>
      </w:r>
      <w:r w:rsidRPr="001F72AC">
        <w:rPr>
          <w:rFonts w:eastAsia="Calibri"/>
          <w:sz w:val="28"/>
          <w:szCs w:val="28"/>
        </w:rPr>
        <w:t xml:space="preserve"> </w:t>
      </w:r>
      <w:r w:rsidR="009351E7" w:rsidRPr="001F72AC">
        <w:rPr>
          <w:rFonts w:eastAsia="Calibri"/>
          <w:sz w:val="28"/>
          <w:szCs w:val="28"/>
        </w:rPr>
        <w:t xml:space="preserve">a </w:t>
      </w:r>
      <w:r w:rsidRPr="001F72AC">
        <w:rPr>
          <w:rFonts w:eastAsia="Calibri"/>
          <w:sz w:val="28"/>
          <w:szCs w:val="28"/>
        </w:rPr>
        <w:t>d</w:t>
      </w:r>
      <w:r w:rsidR="00891BEA" w:rsidRPr="001F72AC">
        <w:rPr>
          <w:rFonts w:eastAsia="Calibri"/>
          <w:sz w:val="28"/>
          <w:szCs w:val="28"/>
        </w:rPr>
        <w:t xml:space="preserve">eed of trust. </w:t>
      </w:r>
      <w:r w:rsidR="00D204DD" w:rsidRPr="001F72AC">
        <w:rPr>
          <w:rFonts w:eastAsia="Calibri"/>
          <w:sz w:val="28"/>
          <w:szCs w:val="28"/>
        </w:rPr>
        <w:t xml:space="preserve">It </w:t>
      </w:r>
      <w:r w:rsidR="00891BEA" w:rsidRPr="001F72AC">
        <w:rPr>
          <w:rFonts w:eastAsia="Calibri"/>
          <w:sz w:val="28"/>
          <w:szCs w:val="28"/>
        </w:rPr>
        <w:t>would</w:t>
      </w:r>
      <w:r w:rsidR="00D204DD" w:rsidRPr="001F72AC">
        <w:rPr>
          <w:rFonts w:eastAsia="Calibri"/>
          <w:sz w:val="28"/>
          <w:szCs w:val="28"/>
        </w:rPr>
        <w:t xml:space="preserve"> </w:t>
      </w:r>
      <w:r w:rsidR="00891BEA" w:rsidRPr="001F72AC">
        <w:rPr>
          <w:rFonts w:eastAsia="Calibri"/>
          <w:sz w:val="28"/>
          <w:szCs w:val="28"/>
        </w:rPr>
        <w:t>offend the essential principles upon which a trustee assumes the obligations imposed by the trust.</w:t>
      </w:r>
      <w:r w:rsidR="00D204DD" w:rsidRPr="001F72AC">
        <w:rPr>
          <w:rFonts w:eastAsia="Calibri"/>
          <w:sz w:val="28"/>
          <w:szCs w:val="28"/>
        </w:rPr>
        <w:t xml:space="preserve"> </w:t>
      </w:r>
      <w:r w:rsidR="004D738D" w:rsidRPr="001F72AC">
        <w:rPr>
          <w:rFonts w:eastAsia="Calibri"/>
          <w:sz w:val="28"/>
          <w:szCs w:val="28"/>
        </w:rPr>
        <w:t>The language of clause</w:t>
      </w:r>
      <w:r w:rsidR="00891BEA" w:rsidRPr="001F72AC">
        <w:rPr>
          <w:rFonts w:eastAsia="Calibri"/>
          <w:sz w:val="28"/>
          <w:szCs w:val="28"/>
        </w:rPr>
        <w:t xml:space="preserve"> 7.1 </w:t>
      </w:r>
      <w:r w:rsidR="004D738D" w:rsidRPr="001F72AC">
        <w:rPr>
          <w:rFonts w:eastAsia="Calibri"/>
          <w:sz w:val="28"/>
          <w:szCs w:val="28"/>
        </w:rPr>
        <w:t xml:space="preserve">is clear. It </w:t>
      </w:r>
      <w:r w:rsidR="00891BEA" w:rsidRPr="001F72AC">
        <w:rPr>
          <w:rFonts w:eastAsia="Calibri"/>
          <w:sz w:val="28"/>
          <w:szCs w:val="28"/>
        </w:rPr>
        <w:t>mean</w:t>
      </w:r>
      <w:r w:rsidR="000D2805" w:rsidRPr="001F72AC">
        <w:rPr>
          <w:rFonts w:eastAsia="Calibri"/>
          <w:sz w:val="28"/>
          <w:szCs w:val="28"/>
        </w:rPr>
        <w:t>s</w:t>
      </w:r>
      <w:r w:rsidR="00891BEA" w:rsidRPr="001F72AC">
        <w:rPr>
          <w:rFonts w:eastAsia="Calibri"/>
          <w:sz w:val="28"/>
          <w:szCs w:val="28"/>
        </w:rPr>
        <w:t xml:space="preserve"> that a variation of the trust deed may only be </w:t>
      </w:r>
      <w:proofErr w:type="gramStart"/>
      <w:r w:rsidR="00331C52" w:rsidRPr="001F72AC">
        <w:rPr>
          <w:rFonts w:eastAsia="Calibri"/>
          <w:sz w:val="28"/>
          <w:szCs w:val="28"/>
        </w:rPr>
        <w:t>effected</w:t>
      </w:r>
      <w:proofErr w:type="gramEnd"/>
      <w:r w:rsidR="00891BEA" w:rsidRPr="001F72AC">
        <w:rPr>
          <w:rFonts w:eastAsia="Calibri"/>
          <w:sz w:val="28"/>
          <w:szCs w:val="28"/>
        </w:rPr>
        <w:t xml:space="preserve"> by the named trustees acting in their capacity as trustees. </w:t>
      </w:r>
      <w:r w:rsidR="002D1A48" w:rsidRPr="001F72AC">
        <w:rPr>
          <w:rFonts w:eastAsia="Calibri"/>
          <w:sz w:val="28"/>
          <w:szCs w:val="28"/>
        </w:rPr>
        <w:t>Accordingly, the</w:t>
      </w:r>
      <w:r w:rsidR="00891BEA" w:rsidRPr="001F72AC">
        <w:rPr>
          <w:rFonts w:eastAsia="Calibri"/>
          <w:sz w:val="28"/>
          <w:szCs w:val="28"/>
        </w:rPr>
        <w:t xml:space="preserve"> agreement to vary the original deed by the deed of amendment of 2004</w:t>
      </w:r>
      <w:r w:rsidRPr="001F72AC">
        <w:rPr>
          <w:rFonts w:eastAsia="Calibri"/>
          <w:sz w:val="28"/>
          <w:szCs w:val="28"/>
        </w:rPr>
        <w:t>, c</w:t>
      </w:r>
      <w:r w:rsidR="00891BEA" w:rsidRPr="001F72AC">
        <w:rPr>
          <w:rFonts w:eastAsia="Calibri"/>
          <w:sz w:val="28"/>
          <w:szCs w:val="28"/>
        </w:rPr>
        <w:t xml:space="preserve">ould not and did not validly vary the original deed of trust. </w:t>
      </w:r>
      <w:r w:rsidR="00855A93" w:rsidRPr="001F72AC">
        <w:rPr>
          <w:rFonts w:eastAsia="Calibri"/>
          <w:sz w:val="28"/>
          <w:szCs w:val="28"/>
        </w:rPr>
        <w:t xml:space="preserve"> Therefore, </w:t>
      </w:r>
      <w:r w:rsidR="00891BEA" w:rsidRPr="001F72AC">
        <w:rPr>
          <w:rFonts w:eastAsia="Calibri"/>
          <w:sz w:val="28"/>
          <w:szCs w:val="28"/>
        </w:rPr>
        <w:t xml:space="preserve">the </w:t>
      </w:r>
      <w:r w:rsidR="002D1A48" w:rsidRPr="001F72AC">
        <w:rPr>
          <w:rFonts w:eastAsia="Calibri"/>
          <w:sz w:val="28"/>
          <w:szCs w:val="28"/>
        </w:rPr>
        <w:t xml:space="preserve">1994 </w:t>
      </w:r>
      <w:r w:rsidR="00891BEA" w:rsidRPr="001F72AC">
        <w:rPr>
          <w:rFonts w:eastAsia="Calibri"/>
          <w:sz w:val="28"/>
          <w:szCs w:val="28"/>
        </w:rPr>
        <w:t>trust deed remains ext</w:t>
      </w:r>
      <w:r w:rsidR="00A8225F" w:rsidRPr="001F72AC">
        <w:rPr>
          <w:rFonts w:eastAsia="Calibri"/>
          <w:sz w:val="28"/>
          <w:szCs w:val="28"/>
        </w:rPr>
        <w:t>a</w:t>
      </w:r>
      <w:r w:rsidR="00891BEA" w:rsidRPr="001F72AC">
        <w:rPr>
          <w:rFonts w:eastAsia="Calibri"/>
          <w:sz w:val="28"/>
          <w:szCs w:val="28"/>
        </w:rPr>
        <w:t xml:space="preserve">nt. </w:t>
      </w:r>
    </w:p>
    <w:p w14:paraId="6204B52D" w14:textId="77777777" w:rsidR="00A8225F" w:rsidRPr="001F72AC" w:rsidRDefault="00A8225F" w:rsidP="00452F47">
      <w:pPr>
        <w:spacing w:line="360" w:lineRule="auto"/>
        <w:jc w:val="both"/>
        <w:rPr>
          <w:rFonts w:eastAsia="Calibri"/>
          <w:sz w:val="28"/>
          <w:szCs w:val="28"/>
        </w:rPr>
      </w:pPr>
    </w:p>
    <w:p w14:paraId="704244BB" w14:textId="369E4689" w:rsidR="00A8225F" w:rsidRPr="001F72AC" w:rsidRDefault="00A8225F" w:rsidP="00452F47">
      <w:pPr>
        <w:spacing w:line="360" w:lineRule="auto"/>
        <w:jc w:val="both"/>
        <w:rPr>
          <w:rFonts w:eastAsia="Calibri"/>
          <w:b/>
          <w:bCs/>
          <w:sz w:val="28"/>
          <w:szCs w:val="28"/>
        </w:rPr>
      </w:pPr>
      <w:r w:rsidRPr="001F72AC">
        <w:rPr>
          <w:rFonts w:eastAsia="Calibri"/>
          <w:b/>
          <w:bCs/>
          <w:sz w:val="28"/>
          <w:szCs w:val="28"/>
        </w:rPr>
        <w:t>The appointed trustees</w:t>
      </w:r>
    </w:p>
    <w:p w14:paraId="706F32D6" w14:textId="317579D9" w:rsidR="00A8225F" w:rsidRPr="001F72AC" w:rsidRDefault="00A8225F" w:rsidP="00452F47">
      <w:pPr>
        <w:spacing w:line="360" w:lineRule="auto"/>
        <w:jc w:val="both"/>
        <w:rPr>
          <w:rFonts w:eastAsia="Calibri"/>
          <w:sz w:val="28"/>
          <w:szCs w:val="28"/>
        </w:rPr>
      </w:pPr>
      <w:r w:rsidRPr="001F72AC">
        <w:rPr>
          <w:rFonts w:eastAsia="Calibri"/>
          <w:sz w:val="28"/>
          <w:szCs w:val="28"/>
        </w:rPr>
        <w:t>[</w:t>
      </w:r>
      <w:r w:rsidR="00D204DD" w:rsidRPr="001F72AC">
        <w:rPr>
          <w:rFonts w:eastAsia="Calibri"/>
          <w:sz w:val="28"/>
          <w:szCs w:val="28"/>
        </w:rPr>
        <w:t>3</w:t>
      </w:r>
      <w:r w:rsidR="00DF6DCF" w:rsidRPr="001F72AC">
        <w:rPr>
          <w:rFonts w:eastAsia="Calibri"/>
          <w:sz w:val="28"/>
          <w:szCs w:val="28"/>
        </w:rPr>
        <w:t>5</w:t>
      </w:r>
      <w:r w:rsidRPr="001F72AC">
        <w:rPr>
          <w:rFonts w:eastAsia="Calibri"/>
          <w:sz w:val="28"/>
          <w:szCs w:val="28"/>
        </w:rPr>
        <w:t>]</w:t>
      </w:r>
      <w:r w:rsidRPr="001F72AC">
        <w:rPr>
          <w:rFonts w:eastAsia="Calibri"/>
          <w:sz w:val="28"/>
          <w:szCs w:val="28"/>
        </w:rPr>
        <w:tab/>
        <w:t>The final question concerns</w:t>
      </w:r>
      <w:r w:rsidR="00891BEA" w:rsidRPr="001F72AC">
        <w:rPr>
          <w:rFonts w:eastAsia="Calibri"/>
          <w:sz w:val="28"/>
          <w:szCs w:val="28"/>
        </w:rPr>
        <w:t xml:space="preserve"> the order declaring</w:t>
      </w:r>
      <w:r w:rsidRPr="001F72AC">
        <w:rPr>
          <w:rFonts w:eastAsia="Calibri"/>
          <w:sz w:val="28"/>
          <w:szCs w:val="28"/>
        </w:rPr>
        <w:t xml:space="preserve"> Ahmed Hafiz, Akhmed W</w:t>
      </w:r>
      <w:r w:rsidR="00CA108A" w:rsidRPr="001F72AC">
        <w:rPr>
          <w:rFonts w:eastAsia="Calibri"/>
          <w:sz w:val="28"/>
          <w:szCs w:val="28"/>
        </w:rPr>
        <w:t>a</w:t>
      </w:r>
      <w:r w:rsidRPr="001F72AC">
        <w:rPr>
          <w:rFonts w:eastAsia="Calibri"/>
          <w:sz w:val="28"/>
          <w:szCs w:val="28"/>
        </w:rPr>
        <w:t xml:space="preserve">hab and Sayed Mohamed to be the trustees for the time being of the Hafiz Trust. There </w:t>
      </w:r>
      <w:r w:rsidR="00D204DD" w:rsidRPr="001F72AC">
        <w:rPr>
          <w:rFonts w:eastAsia="Calibri"/>
          <w:sz w:val="28"/>
          <w:szCs w:val="28"/>
        </w:rPr>
        <w:t>was</w:t>
      </w:r>
      <w:r w:rsidRPr="001F72AC">
        <w:rPr>
          <w:rFonts w:eastAsia="Calibri"/>
          <w:sz w:val="28"/>
          <w:szCs w:val="28"/>
        </w:rPr>
        <w:t xml:space="preserve"> no controversy concerning the appointment of Ahmed Hafiz, who was designated by the trust deed to be the First Trustee. </w:t>
      </w:r>
      <w:r w:rsidR="004D738D" w:rsidRPr="001F72AC">
        <w:rPr>
          <w:rFonts w:eastAsia="Calibri"/>
          <w:sz w:val="28"/>
          <w:szCs w:val="28"/>
        </w:rPr>
        <w:t xml:space="preserve">Letters of authority were issued to him on 21 September 1994. </w:t>
      </w:r>
      <w:r w:rsidRPr="001F72AC">
        <w:rPr>
          <w:rFonts w:eastAsia="Calibri"/>
          <w:sz w:val="28"/>
          <w:szCs w:val="28"/>
        </w:rPr>
        <w:t xml:space="preserve"> </w:t>
      </w:r>
    </w:p>
    <w:p w14:paraId="544C52E7" w14:textId="77777777" w:rsidR="00A8225F" w:rsidRPr="001F72AC" w:rsidRDefault="00A8225F" w:rsidP="00452F47">
      <w:pPr>
        <w:spacing w:line="360" w:lineRule="auto"/>
        <w:jc w:val="both"/>
        <w:rPr>
          <w:rFonts w:eastAsia="Calibri"/>
          <w:sz w:val="28"/>
          <w:szCs w:val="28"/>
        </w:rPr>
      </w:pPr>
    </w:p>
    <w:p w14:paraId="0818A22F" w14:textId="7A3AE8C0" w:rsidR="005B67A6" w:rsidRPr="001F72AC" w:rsidRDefault="00920E7F" w:rsidP="00452F47">
      <w:pPr>
        <w:spacing w:line="360" w:lineRule="auto"/>
        <w:jc w:val="both"/>
        <w:rPr>
          <w:rFonts w:eastAsia="Calibri"/>
          <w:sz w:val="28"/>
          <w:szCs w:val="28"/>
        </w:rPr>
      </w:pPr>
      <w:r w:rsidRPr="001F72AC">
        <w:rPr>
          <w:rFonts w:eastAsia="Calibri"/>
          <w:sz w:val="28"/>
          <w:szCs w:val="28"/>
        </w:rPr>
        <w:t>[</w:t>
      </w:r>
      <w:r w:rsidR="00D204DD" w:rsidRPr="001F72AC">
        <w:rPr>
          <w:rFonts w:eastAsia="Calibri"/>
          <w:sz w:val="28"/>
          <w:szCs w:val="28"/>
        </w:rPr>
        <w:t>3</w:t>
      </w:r>
      <w:r w:rsidR="00DF6DCF" w:rsidRPr="001F72AC">
        <w:rPr>
          <w:rFonts w:eastAsia="Calibri"/>
          <w:sz w:val="28"/>
          <w:szCs w:val="28"/>
        </w:rPr>
        <w:t>6</w:t>
      </w:r>
      <w:r w:rsidRPr="001F72AC">
        <w:rPr>
          <w:rFonts w:eastAsia="Calibri"/>
          <w:sz w:val="28"/>
          <w:szCs w:val="28"/>
        </w:rPr>
        <w:t>]</w:t>
      </w:r>
      <w:r w:rsidRPr="001F72AC">
        <w:rPr>
          <w:rFonts w:eastAsia="Calibri"/>
          <w:sz w:val="28"/>
          <w:szCs w:val="28"/>
        </w:rPr>
        <w:tab/>
        <w:t xml:space="preserve">The </w:t>
      </w:r>
      <w:r w:rsidR="00B350F0" w:rsidRPr="001F72AC">
        <w:rPr>
          <w:rFonts w:eastAsia="Calibri"/>
          <w:sz w:val="28"/>
          <w:szCs w:val="28"/>
        </w:rPr>
        <w:t>1994 trust</w:t>
      </w:r>
      <w:r w:rsidRPr="001F72AC">
        <w:rPr>
          <w:rFonts w:eastAsia="Calibri"/>
          <w:sz w:val="28"/>
          <w:szCs w:val="28"/>
        </w:rPr>
        <w:t xml:space="preserve"> de</w:t>
      </w:r>
      <w:r w:rsidR="00B350F0" w:rsidRPr="001F72AC">
        <w:rPr>
          <w:rFonts w:eastAsia="Calibri"/>
          <w:sz w:val="28"/>
          <w:szCs w:val="28"/>
        </w:rPr>
        <w:t>e</w:t>
      </w:r>
      <w:r w:rsidRPr="001F72AC">
        <w:rPr>
          <w:rFonts w:eastAsia="Calibri"/>
          <w:sz w:val="28"/>
          <w:szCs w:val="28"/>
        </w:rPr>
        <w:t>d</w:t>
      </w:r>
      <w:r w:rsidR="00B350F0" w:rsidRPr="001F72AC">
        <w:rPr>
          <w:rFonts w:eastAsia="Calibri"/>
          <w:sz w:val="28"/>
          <w:szCs w:val="28"/>
        </w:rPr>
        <w:t xml:space="preserve"> </w:t>
      </w:r>
      <w:r w:rsidRPr="001F72AC">
        <w:rPr>
          <w:rFonts w:eastAsia="Calibri"/>
          <w:sz w:val="28"/>
          <w:szCs w:val="28"/>
        </w:rPr>
        <w:t>is</w:t>
      </w:r>
      <w:r w:rsidR="002D1A48" w:rsidRPr="001F72AC">
        <w:rPr>
          <w:rFonts w:eastAsia="Calibri"/>
          <w:sz w:val="28"/>
          <w:szCs w:val="28"/>
        </w:rPr>
        <w:t>, apart from clause 4,</w:t>
      </w:r>
      <w:r w:rsidR="00B350F0" w:rsidRPr="001F72AC">
        <w:rPr>
          <w:rFonts w:eastAsia="Calibri"/>
          <w:sz w:val="28"/>
          <w:szCs w:val="28"/>
        </w:rPr>
        <w:t xml:space="preserve"> silent about the appointment of </w:t>
      </w:r>
      <w:r w:rsidR="001F72AC">
        <w:rPr>
          <w:rFonts w:eastAsia="Calibri"/>
          <w:sz w:val="28"/>
          <w:szCs w:val="28"/>
        </w:rPr>
        <w:t xml:space="preserve">other </w:t>
      </w:r>
      <w:r w:rsidR="00B350F0" w:rsidRPr="001F72AC">
        <w:rPr>
          <w:rFonts w:eastAsia="Calibri"/>
          <w:sz w:val="28"/>
          <w:szCs w:val="28"/>
        </w:rPr>
        <w:t xml:space="preserve">trustees. It </w:t>
      </w:r>
      <w:r w:rsidR="00D204DD" w:rsidRPr="001F72AC">
        <w:rPr>
          <w:rFonts w:eastAsia="Calibri"/>
          <w:sz w:val="28"/>
          <w:szCs w:val="28"/>
        </w:rPr>
        <w:t xml:space="preserve">says nothing </w:t>
      </w:r>
      <w:r w:rsidR="00B350F0" w:rsidRPr="001F72AC">
        <w:rPr>
          <w:rFonts w:eastAsia="Calibri"/>
          <w:sz w:val="28"/>
          <w:szCs w:val="28"/>
        </w:rPr>
        <w:t xml:space="preserve">about the number of trustees to be appointed. The </w:t>
      </w:r>
      <w:r w:rsidR="00D204DD" w:rsidRPr="001F72AC">
        <w:rPr>
          <w:rFonts w:eastAsia="Calibri"/>
          <w:sz w:val="28"/>
          <w:szCs w:val="28"/>
        </w:rPr>
        <w:t xml:space="preserve">language employed in clauses 5, 6 and 7 of the </w:t>
      </w:r>
      <w:r w:rsidR="00B350F0" w:rsidRPr="001F72AC">
        <w:rPr>
          <w:rFonts w:eastAsia="Calibri"/>
          <w:sz w:val="28"/>
          <w:szCs w:val="28"/>
        </w:rPr>
        <w:t>deed</w:t>
      </w:r>
      <w:r w:rsidR="00D204DD" w:rsidRPr="001F72AC">
        <w:rPr>
          <w:rFonts w:eastAsia="Calibri"/>
          <w:sz w:val="28"/>
          <w:szCs w:val="28"/>
        </w:rPr>
        <w:t xml:space="preserve"> suggests</w:t>
      </w:r>
      <w:r w:rsidR="00B350F0" w:rsidRPr="001F72AC">
        <w:rPr>
          <w:rFonts w:eastAsia="Calibri"/>
          <w:sz w:val="28"/>
          <w:szCs w:val="28"/>
        </w:rPr>
        <w:t xml:space="preserve"> that more than one trustee may be appointed. </w:t>
      </w:r>
      <w:r w:rsidRPr="001F72AC">
        <w:rPr>
          <w:rFonts w:eastAsia="Calibri"/>
          <w:sz w:val="28"/>
          <w:szCs w:val="28"/>
        </w:rPr>
        <w:t>Where a trust deed is silent as to the appointment of additional trustees, the Master may</w:t>
      </w:r>
      <w:r w:rsidR="003160C6" w:rsidRPr="001F72AC">
        <w:rPr>
          <w:rFonts w:eastAsia="Calibri"/>
          <w:sz w:val="28"/>
          <w:szCs w:val="28"/>
        </w:rPr>
        <w:t xml:space="preserve"> </w:t>
      </w:r>
      <w:r w:rsidR="00711F73" w:rsidRPr="001F72AC">
        <w:rPr>
          <w:rFonts w:eastAsia="Calibri"/>
          <w:sz w:val="28"/>
          <w:szCs w:val="28"/>
        </w:rPr>
        <w:t>appoint any person to act as trustee of the trust.</w:t>
      </w:r>
      <w:r w:rsidR="00711F73" w:rsidRPr="001F72AC">
        <w:rPr>
          <w:rStyle w:val="FootnoteReference"/>
          <w:rFonts w:eastAsia="Calibri"/>
          <w:sz w:val="28"/>
          <w:szCs w:val="28"/>
        </w:rPr>
        <w:footnoteReference w:id="17"/>
      </w:r>
      <w:r w:rsidR="00711F73" w:rsidRPr="001F72AC">
        <w:rPr>
          <w:rFonts w:eastAsia="Calibri"/>
          <w:sz w:val="28"/>
          <w:szCs w:val="28"/>
        </w:rPr>
        <w:t xml:space="preserve"> </w:t>
      </w:r>
    </w:p>
    <w:p w14:paraId="474843D9" w14:textId="77777777" w:rsidR="005B67A6" w:rsidRPr="001F72AC" w:rsidRDefault="005B67A6" w:rsidP="00452F47">
      <w:pPr>
        <w:spacing w:line="360" w:lineRule="auto"/>
        <w:jc w:val="both"/>
        <w:rPr>
          <w:rFonts w:eastAsia="Calibri"/>
          <w:sz w:val="28"/>
          <w:szCs w:val="28"/>
        </w:rPr>
      </w:pPr>
    </w:p>
    <w:p w14:paraId="0F8A431D" w14:textId="50E7FCAD" w:rsidR="00312F34" w:rsidRPr="001F72AC" w:rsidRDefault="005B67A6" w:rsidP="00312F34">
      <w:pPr>
        <w:spacing w:line="360" w:lineRule="auto"/>
        <w:jc w:val="both"/>
        <w:rPr>
          <w:rFonts w:eastAsia="Calibri"/>
          <w:sz w:val="28"/>
          <w:szCs w:val="28"/>
        </w:rPr>
      </w:pPr>
      <w:r w:rsidRPr="001F72AC">
        <w:rPr>
          <w:rFonts w:eastAsia="Calibri"/>
          <w:sz w:val="28"/>
          <w:szCs w:val="28"/>
        </w:rPr>
        <w:t>[</w:t>
      </w:r>
      <w:r w:rsidR="004760C5" w:rsidRPr="001F72AC">
        <w:rPr>
          <w:rFonts w:eastAsia="Calibri"/>
          <w:sz w:val="28"/>
          <w:szCs w:val="28"/>
        </w:rPr>
        <w:t>3</w:t>
      </w:r>
      <w:r w:rsidR="00DF6DCF" w:rsidRPr="001F72AC">
        <w:rPr>
          <w:rFonts w:eastAsia="Calibri"/>
          <w:sz w:val="28"/>
          <w:szCs w:val="28"/>
        </w:rPr>
        <w:t>7</w:t>
      </w:r>
      <w:r w:rsidRPr="001F72AC">
        <w:rPr>
          <w:rFonts w:eastAsia="Calibri"/>
          <w:sz w:val="28"/>
          <w:szCs w:val="28"/>
        </w:rPr>
        <w:t>]</w:t>
      </w:r>
      <w:r w:rsidRPr="001F72AC">
        <w:rPr>
          <w:rFonts w:eastAsia="Calibri"/>
          <w:sz w:val="28"/>
          <w:szCs w:val="28"/>
        </w:rPr>
        <w:tab/>
      </w:r>
      <w:r w:rsidR="003C30A0" w:rsidRPr="001F72AC">
        <w:rPr>
          <w:rFonts w:eastAsia="Calibri"/>
          <w:sz w:val="28"/>
          <w:szCs w:val="28"/>
        </w:rPr>
        <w:t>The affidavit</w:t>
      </w:r>
      <w:r w:rsidR="004760C5" w:rsidRPr="001F72AC">
        <w:rPr>
          <w:rFonts w:eastAsia="Calibri"/>
          <w:sz w:val="28"/>
          <w:szCs w:val="28"/>
        </w:rPr>
        <w:t>s</w:t>
      </w:r>
      <w:r w:rsidR="003C30A0" w:rsidRPr="001F72AC">
        <w:rPr>
          <w:rFonts w:eastAsia="Calibri"/>
          <w:sz w:val="28"/>
          <w:szCs w:val="28"/>
        </w:rPr>
        <w:t xml:space="preserve"> </w:t>
      </w:r>
      <w:r w:rsidR="004760C5" w:rsidRPr="001F72AC">
        <w:rPr>
          <w:rFonts w:eastAsia="Calibri"/>
          <w:sz w:val="28"/>
          <w:szCs w:val="28"/>
        </w:rPr>
        <w:t>say very little</w:t>
      </w:r>
      <w:r w:rsidR="003C30A0" w:rsidRPr="001F72AC">
        <w:rPr>
          <w:rFonts w:eastAsia="Calibri"/>
          <w:sz w:val="28"/>
          <w:szCs w:val="28"/>
        </w:rPr>
        <w:t xml:space="preserve"> about the appointment </w:t>
      </w:r>
      <w:r w:rsidR="004760C5" w:rsidRPr="001F72AC">
        <w:rPr>
          <w:rFonts w:eastAsia="Calibri"/>
          <w:sz w:val="28"/>
          <w:szCs w:val="28"/>
        </w:rPr>
        <w:t xml:space="preserve">of additional trustees </w:t>
      </w:r>
      <w:r w:rsidR="003C30A0" w:rsidRPr="001F72AC">
        <w:rPr>
          <w:rFonts w:eastAsia="Calibri"/>
          <w:sz w:val="28"/>
          <w:szCs w:val="28"/>
        </w:rPr>
        <w:t xml:space="preserve">in 2005.  </w:t>
      </w:r>
      <w:r w:rsidR="0031705B" w:rsidRPr="001F72AC">
        <w:rPr>
          <w:rFonts w:eastAsia="Calibri"/>
          <w:sz w:val="28"/>
          <w:szCs w:val="28"/>
        </w:rPr>
        <w:t>The affidavits</w:t>
      </w:r>
      <w:r w:rsidR="004760C5" w:rsidRPr="001F72AC">
        <w:rPr>
          <w:rFonts w:eastAsia="Calibri"/>
          <w:sz w:val="28"/>
          <w:szCs w:val="28"/>
        </w:rPr>
        <w:t xml:space="preserve"> </w:t>
      </w:r>
      <w:r w:rsidR="007C05C8" w:rsidRPr="001F72AC">
        <w:rPr>
          <w:rFonts w:eastAsia="Calibri"/>
          <w:sz w:val="28"/>
          <w:szCs w:val="28"/>
        </w:rPr>
        <w:t xml:space="preserve">merely state that they were asked to serve as trustees in order to ensure that ‘un-related’ </w:t>
      </w:r>
      <w:r w:rsidR="004760C5" w:rsidRPr="001F72AC">
        <w:rPr>
          <w:rFonts w:eastAsia="Calibri"/>
          <w:sz w:val="28"/>
          <w:szCs w:val="28"/>
        </w:rPr>
        <w:t xml:space="preserve">persons were </w:t>
      </w:r>
      <w:r w:rsidR="004D738D" w:rsidRPr="001F72AC">
        <w:rPr>
          <w:rFonts w:eastAsia="Calibri"/>
          <w:sz w:val="28"/>
          <w:szCs w:val="28"/>
        </w:rPr>
        <w:t xml:space="preserve">appointed </w:t>
      </w:r>
      <w:r w:rsidR="007C05C8" w:rsidRPr="001F72AC">
        <w:rPr>
          <w:rFonts w:eastAsia="Calibri"/>
          <w:sz w:val="28"/>
          <w:szCs w:val="28"/>
        </w:rPr>
        <w:t>to secure re</w:t>
      </w:r>
      <w:r w:rsidR="003160C6" w:rsidRPr="001F72AC">
        <w:rPr>
          <w:rFonts w:eastAsia="Calibri"/>
          <w:sz w:val="28"/>
          <w:szCs w:val="28"/>
        </w:rPr>
        <w:t>g</w:t>
      </w:r>
      <w:r w:rsidR="007C05C8" w:rsidRPr="001F72AC">
        <w:rPr>
          <w:rFonts w:eastAsia="Calibri"/>
          <w:sz w:val="28"/>
          <w:szCs w:val="28"/>
        </w:rPr>
        <w:t xml:space="preserve">istration as a non-profit organistion. </w:t>
      </w:r>
      <w:r w:rsidR="00241553" w:rsidRPr="001F72AC">
        <w:rPr>
          <w:rFonts w:eastAsia="Calibri"/>
          <w:sz w:val="28"/>
          <w:szCs w:val="28"/>
        </w:rPr>
        <w:t>The request</w:t>
      </w:r>
      <w:r w:rsidR="004760C5" w:rsidRPr="001F72AC">
        <w:rPr>
          <w:rFonts w:eastAsia="Calibri"/>
          <w:sz w:val="28"/>
          <w:szCs w:val="28"/>
        </w:rPr>
        <w:t xml:space="preserve"> </w:t>
      </w:r>
      <w:r w:rsidR="00241553" w:rsidRPr="001F72AC">
        <w:rPr>
          <w:rFonts w:eastAsia="Calibri"/>
          <w:sz w:val="28"/>
          <w:szCs w:val="28"/>
        </w:rPr>
        <w:t xml:space="preserve">emanated from a ‘meeting of trustees’ involving Shakeel and </w:t>
      </w:r>
      <w:proofErr w:type="gramStart"/>
      <w:r w:rsidR="00241553" w:rsidRPr="001F72AC">
        <w:rPr>
          <w:rFonts w:eastAsia="Calibri"/>
          <w:sz w:val="28"/>
          <w:szCs w:val="28"/>
        </w:rPr>
        <w:t>Aneez Hafiz, and</w:t>
      </w:r>
      <w:proofErr w:type="gramEnd"/>
      <w:r w:rsidR="00241553" w:rsidRPr="001F72AC">
        <w:rPr>
          <w:rFonts w:eastAsia="Calibri"/>
          <w:sz w:val="28"/>
          <w:szCs w:val="28"/>
        </w:rPr>
        <w:t xml:space="preserve"> took the form of a resolution adopted by the ‘trustees’.</w:t>
      </w:r>
      <w:r w:rsidR="001121A2" w:rsidRPr="001F72AC">
        <w:rPr>
          <w:rFonts w:eastAsia="Calibri"/>
          <w:sz w:val="28"/>
          <w:szCs w:val="28"/>
        </w:rPr>
        <w:t xml:space="preserve"> </w:t>
      </w:r>
      <w:r w:rsidR="00A326D8" w:rsidRPr="001F72AC">
        <w:rPr>
          <w:rFonts w:eastAsia="Calibri"/>
          <w:sz w:val="28"/>
          <w:szCs w:val="28"/>
        </w:rPr>
        <w:t xml:space="preserve">They had no authority to act in that capacity. </w:t>
      </w:r>
      <w:r w:rsidR="00946169" w:rsidRPr="001F72AC">
        <w:rPr>
          <w:rFonts w:eastAsia="Calibri"/>
          <w:sz w:val="28"/>
          <w:szCs w:val="28"/>
        </w:rPr>
        <w:t>Nothing is known about the basis upon which the Master then exercised the discretion to appoint the additional trustees. The counter application did not seek an order setting aside</w:t>
      </w:r>
      <w:r w:rsidR="0034744D" w:rsidRPr="001F72AC">
        <w:rPr>
          <w:rFonts w:eastAsia="Calibri"/>
          <w:sz w:val="28"/>
          <w:szCs w:val="28"/>
        </w:rPr>
        <w:t xml:space="preserve"> </w:t>
      </w:r>
      <w:r w:rsidR="00946169" w:rsidRPr="001F72AC">
        <w:rPr>
          <w:rFonts w:eastAsia="Calibri"/>
          <w:sz w:val="28"/>
          <w:szCs w:val="28"/>
        </w:rPr>
        <w:t xml:space="preserve">the decision of the Master to </w:t>
      </w:r>
      <w:r w:rsidR="00A326D8" w:rsidRPr="001F72AC">
        <w:rPr>
          <w:rFonts w:eastAsia="Calibri"/>
          <w:sz w:val="28"/>
          <w:szCs w:val="28"/>
        </w:rPr>
        <w:t>withdraw the letters of authority</w:t>
      </w:r>
      <w:r w:rsidR="00946169" w:rsidRPr="001F72AC">
        <w:rPr>
          <w:rFonts w:eastAsia="Calibri"/>
          <w:sz w:val="28"/>
          <w:szCs w:val="28"/>
        </w:rPr>
        <w:t xml:space="preserve">. It sought </w:t>
      </w:r>
      <w:r w:rsidR="00A326D8" w:rsidRPr="001F72AC">
        <w:rPr>
          <w:rFonts w:eastAsia="Calibri"/>
          <w:sz w:val="28"/>
          <w:szCs w:val="28"/>
        </w:rPr>
        <w:t>their appointment by order of court</w:t>
      </w:r>
      <w:r w:rsidR="00946169" w:rsidRPr="001F72AC">
        <w:rPr>
          <w:rFonts w:eastAsia="Calibri"/>
          <w:sz w:val="28"/>
          <w:szCs w:val="28"/>
        </w:rPr>
        <w:t xml:space="preserve">. For such order to be made the court </w:t>
      </w:r>
      <w:r w:rsidR="00946169" w:rsidRPr="001F72AC">
        <w:rPr>
          <w:rFonts w:eastAsia="Calibri"/>
          <w:sz w:val="28"/>
          <w:szCs w:val="28"/>
        </w:rPr>
        <w:lastRenderedPageBreak/>
        <w:t>would have to be placed in the same position as the Master would be to enable it to exercise the discretion. There is</w:t>
      </w:r>
      <w:r w:rsidR="00B77A8E" w:rsidRPr="001F72AC">
        <w:rPr>
          <w:rFonts w:eastAsia="Calibri"/>
          <w:sz w:val="28"/>
          <w:szCs w:val="28"/>
        </w:rPr>
        <w:t>,</w:t>
      </w:r>
      <w:r w:rsidR="00946169" w:rsidRPr="001F72AC">
        <w:rPr>
          <w:rFonts w:eastAsia="Calibri"/>
          <w:sz w:val="28"/>
          <w:szCs w:val="28"/>
        </w:rPr>
        <w:t xml:space="preserve"> however</w:t>
      </w:r>
      <w:r w:rsidR="00B77A8E" w:rsidRPr="001F72AC">
        <w:rPr>
          <w:rFonts w:eastAsia="Calibri"/>
          <w:sz w:val="28"/>
          <w:szCs w:val="28"/>
        </w:rPr>
        <w:t>,</w:t>
      </w:r>
      <w:r w:rsidR="00946169" w:rsidRPr="001F72AC">
        <w:rPr>
          <w:rFonts w:eastAsia="Calibri"/>
          <w:sz w:val="28"/>
          <w:szCs w:val="28"/>
        </w:rPr>
        <w:t xml:space="preserve"> </w:t>
      </w:r>
      <w:r w:rsidR="00B77A8E" w:rsidRPr="001F72AC">
        <w:rPr>
          <w:rFonts w:eastAsia="Calibri"/>
          <w:sz w:val="28"/>
          <w:szCs w:val="28"/>
        </w:rPr>
        <w:t xml:space="preserve">no </w:t>
      </w:r>
      <w:r w:rsidR="00946169" w:rsidRPr="001F72AC">
        <w:rPr>
          <w:rFonts w:eastAsia="Calibri"/>
          <w:sz w:val="28"/>
          <w:szCs w:val="28"/>
        </w:rPr>
        <w:t xml:space="preserve">factual basis upon which the court could do so. </w:t>
      </w:r>
      <w:r w:rsidR="00312F34" w:rsidRPr="001F72AC">
        <w:rPr>
          <w:rFonts w:eastAsia="Calibri"/>
          <w:sz w:val="28"/>
          <w:szCs w:val="28"/>
        </w:rPr>
        <w:t xml:space="preserve">In these circumstances, the full court erred in its declaration since there was insufficient basis in the evidence to support the order. </w:t>
      </w:r>
    </w:p>
    <w:p w14:paraId="07371E60" w14:textId="463D6D20" w:rsidR="004760C5" w:rsidRPr="001F72AC" w:rsidRDefault="004760C5" w:rsidP="00452F47">
      <w:pPr>
        <w:spacing w:line="360" w:lineRule="auto"/>
        <w:jc w:val="both"/>
        <w:rPr>
          <w:rFonts w:eastAsia="Calibri"/>
          <w:sz w:val="28"/>
          <w:szCs w:val="28"/>
        </w:rPr>
      </w:pPr>
    </w:p>
    <w:p w14:paraId="798ECB7B" w14:textId="0A086DA5" w:rsidR="003160C6" w:rsidRPr="001F72AC" w:rsidRDefault="003160C6" w:rsidP="00452F47">
      <w:pPr>
        <w:spacing w:line="360" w:lineRule="auto"/>
        <w:jc w:val="both"/>
        <w:rPr>
          <w:rFonts w:eastAsia="Calibri"/>
          <w:sz w:val="28"/>
          <w:szCs w:val="28"/>
        </w:rPr>
      </w:pPr>
      <w:r w:rsidRPr="001F72AC">
        <w:rPr>
          <w:rFonts w:eastAsia="Calibri"/>
          <w:sz w:val="28"/>
          <w:szCs w:val="28"/>
        </w:rPr>
        <w:t>[</w:t>
      </w:r>
      <w:r w:rsidR="00312F34" w:rsidRPr="001F72AC">
        <w:rPr>
          <w:rFonts w:eastAsia="Calibri"/>
          <w:sz w:val="28"/>
          <w:szCs w:val="28"/>
        </w:rPr>
        <w:t>3</w:t>
      </w:r>
      <w:r w:rsidR="00DF6DCF" w:rsidRPr="001F72AC">
        <w:rPr>
          <w:rFonts w:eastAsia="Calibri"/>
          <w:sz w:val="28"/>
          <w:szCs w:val="28"/>
        </w:rPr>
        <w:t>8</w:t>
      </w:r>
      <w:r w:rsidRPr="001F72AC">
        <w:rPr>
          <w:rFonts w:eastAsia="Calibri"/>
          <w:sz w:val="28"/>
          <w:szCs w:val="28"/>
        </w:rPr>
        <w:t>]</w:t>
      </w:r>
      <w:r w:rsidRPr="001F72AC">
        <w:rPr>
          <w:rFonts w:eastAsia="Calibri"/>
          <w:sz w:val="28"/>
          <w:szCs w:val="28"/>
        </w:rPr>
        <w:tab/>
        <w:t xml:space="preserve">The position of Ahmed Hafiz is different. He was nominated as </w:t>
      </w:r>
      <w:r w:rsidR="008E088C" w:rsidRPr="001F72AC">
        <w:rPr>
          <w:rFonts w:eastAsia="Calibri"/>
          <w:sz w:val="28"/>
          <w:szCs w:val="28"/>
        </w:rPr>
        <w:t xml:space="preserve">a trustee by the settlor. He accepted his nomination and was duly appointed by the Master on 21 September 1994. The </w:t>
      </w:r>
      <w:proofErr w:type="gramStart"/>
      <w:r w:rsidR="008E088C" w:rsidRPr="001F72AC">
        <w:rPr>
          <w:rFonts w:eastAsia="Calibri"/>
          <w:sz w:val="28"/>
          <w:szCs w:val="28"/>
        </w:rPr>
        <w:t>Master’s</w:t>
      </w:r>
      <w:proofErr w:type="gramEnd"/>
      <w:r w:rsidR="008E088C" w:rsidRPr="001F72AC">
        <w:rPr>
          <w:rFonts w:eastAsia="Calibri"/>
          <w:sz w:val="28"/>
          <w:szCs w:val="28"/>
        </w:rPr>
        <w:t xml:space="preserve"> subsequent concerns relating to the appointment of trustees did not relate to the appointment of Ahmed Hafiz as trustee.</w:t>
      </w:r>
      <w:r w:rsidR="008E088C" w:rsidRPr="001F72AC">
        <w:rPr>
          <w:rStyle w:val="FootnoteReference"/>
          <w:rFonts w:eastAsia="Calibri"/>
          <w:sz w:val="28"/>
          <w:szCs w:val="28"/>
        </w:rPr>
        <w:footnoteReference w:id="18"/>
      </w:r>
    </w:p>
    <w:p w14:paraId="18AD65E6" w14:textId="77777777" w:rsidR="00711F73" w:rsidRPr="001F72AC" w:rsidRDefault="00711F73" w:rsidP="00452F47">
      <w:pPr>
        <w:spacing w:line="360" w:lineRule="auto"/>
        <w:jc w:val="both"/>
        <w:rPr>
          <w:rFonts w:eastAsia="Calibri"/>
          <w:sz w:val="28"/>
          <w:szCs w:val="28"/>
        </w:rPr>
      </w:pPr>
    </w:p>
    <w:p w14:paraId="15EA0E7D" w14:textId="36FF3F99" w:rsidR="00B350F0" w:rsidRPr="001F72AC" w:rsidRDefault="00711F73" w:rsidP="00452F47">
      <w:pPr>
        <w:spacing w:line="360" w:lineRule="auto"/>
        <w:jc w:val="both"/>
        <w:rPr>
          <w:rFonts w:eastAsia="Calibri"/>
          <w:sz w:val="28"/>
          <w:szCs w:val="28"/>
        </w:rPr>
      </w:pPr>
      <w:r w:rsidRPr="001F72AC">
        <w:rPr>
          <w:rFonts w:eastAsia="Calibri"/>
          <w:sz w:val="28"/>
          <w:szCs w:val="28"/>
        </w:rPr>
        <w:t>[</w:t>
      </w:r>
      <w:r w:rsidR="001F72AC">
        <w:rPr>
          <w:rFonts w:eastAsia="Calibri"/>
          <w:sz w:val="28"/>
          <w:szCs w:val="28"/>
        </w:rPr>
        <w:t>3</w:t>
      </w:r>
      <w:r w:rsidR="00DF6DCF" w:rsidRPr="001F72AC">
        <w:rPr>
          <w:rFonts w:eastAsia="Calibri"/>
          <w:sz w:val="28"/>
          <w:szCs w:val="28"/>
        </w:rPr>
        <w:t>9</w:t>
      </w:r>
      <w:r w:rsidRPr="001F72AC">
        <w:rPr>
          <w:rFonts w:eastAsia="Calibri"/>
          <w:sz w:val="28"/>
          <w:szCs w:val="28"/>
        </w:rPr>
        <w:t>]</w:t>
      </w:r>
      <w:r w:rsidRPr="001F72AC">
        <w:rPr>
          <w:rFonts w:eastAsia="Calibri"/>
          <w:sz w:val="28"/>
          <w:szCs w:val="28"/>
        </w:rPr>
        <w:tab/>
        <w:t>I</w:t>
      </w:r>
      <w:r w:rsidR="00B350F0" w:rsidRPr="001F72AC">
        <w:rPr>
          <w:rFonts w:eastAsia="Calibri"/>
          <w:sz w:val="28"/>
          <w:szCs w:val="28"/>
        </w:rPr>
        <w:t xml:space="preserve">n relation to costs, </w:t>
      </w:r>
      <w:r w:rsidRPr="001F72AC">
        <w:rPr>
          <w:rFonts w:eastAsia="Calibri"/>
          <w:sz w:val="28"/>
          <w:szCs w:val="28"/>
        </w:rPr>
        <w:t xml:space="preserve">it was submitted that </w:t>
      </w:r>
      <w:r w:rsidR="007A5827" w:rsidRPr="001F72AC">
        <w:rPr>
          <w:rFonts w:eastAsia="Calibri"/>
          <w:sz w:val="28"/>
          <w:szCs w:val="28"/>
        </w:rPr>
        <w:t xml:space="preserve">the full court ought to have ordered that the costs be borne by the Hafiz Trust. This was premised on the contention that the litigation arose because of the actions of the </w:t>
      </w:r>
      <w:r w:rsidR="00A326D8" w:rsidRPr="001F72AC">
        <w:rPr>
          <w:rFonts w:eastAsia="Calibri"/>
          <w:sz w:val="28"/>
          <w:szCs w:val="28"/>
        </w:rPr>
        <w:t>settlor</w:t>
      </w:r>
      <w:r w:rsidR="007A5827" w:rsidRPr="001F72AC">
        <w:rPr>
          <w:rFonts w:eastAsia="Calibri"/>
          <w:sz w:val="28"/>
          <w:szCs w:val="28"/>
        </w:rPr>
        <w:t xml:space="preserve"> and the disputed appointment of trustees by the Master. The litigation was s</w:t>
      </w:r>
      <w:r w:rsidR="000B732F" w:rsidRPr="001F72AC">
        <w:rPr>
          <w:rFonts w:eastAsia="Calibri"/>
          <w:sz w:val="28"/>
          <w:szCs w:val="28"/>
        </w:rPr>
        <w:t>a</w:t>
      </w:r>
      <w:r w:rsidR="007A5827" w:rsidRPr="001F72AC">
        <w:rPr>
          <w:rFonts w:eastAsia="Calibri"/>
          <w:sz w:val="28"/>
          <w:szCs w:val="28"/>
        </w:rPr>
        <w:t xml:space="preserve">id to have been conducted in the interest of the Hafiz Trust. </w:t>
      </w:r>
      <w:r w:rsidR="0071060B" w:rsidRPr="001F72AC">
        <w:rPr>
          <w:rFonts w:eastAsia="Calibri"/>
          <w:sz w:val="28"/>
          <w:szCs w:val="28"/>
        </w:rPr>
        <w:t>However, w</w:t>
      </w:r>
      <w:r w:rsidR="007A5827" w:rsidRPr="001F72AC">
        <w:rPr>
          <w:rFonts w:eastAsia="Calibri"/>
          <w:sz w:val="28"/>
          <w:szCs w:val="28"/>
        </w:rPr>
        <w:t>hat is plain from t</w:t>
      </w:r>
      <w:r w:rsidR="00A326D8" w:rsidRPr="001F72AC">
        <w:rPr>
          <w:rFonts w:eastAsia="Calibri"/>
          <w:sz w:val="28"/>
          <w:szCs w:val="28"/>
        </w:rPr>
        <w:t>he</w:t>
      </w:r>
      <w:r w:rsidR="007A5827" w:rsidRPr="001F72AC">
        <w:rPr>
          <w:rFonts w:eastAsia="Calibri"/>
          <w:sz w:val="28"/>
          <w:szCs w:val="28"/>
        </w:rPr>
        <w:t xml:space="preserve"> record is that the real dispute relates to the position of trusteeship </w:t>
      </w:r>
      <w:r w:rsidR="00A326D8" w:rsidRPr="001F72AC">
        <w:rPr>
          <w:rFonts w:eastAsia="Calibri"/>
          <w:sz w:val="28"/>
          <w:szCs w:val="28"/>
        </w:rPr>
        <w:t>of</w:t>
      </w:r>
      <w:r w:rsidR="007A5827" w:rsidRPr="001F72AC">
        <w:rPr>
          <w:rFonts w:eastAsia="Calibri"/>
          <w:sz w:val="28"/>
          <w:szCs w:val="28"/>
        </w:rPr>
        <w:t xml:space="preserve"> the Hafiz Trust. There is</w:t>
      </w:r>
      <w:r w:rsidR="00A326D8" w:rsidRPr="001F72AC">
        <w:rPr>
          <w:rFonts w:eastAsia="Calibri"/>
          <w:sz w:val="28"/>
          <w:szCs w:val="28"/>
        </w:rPr>
        <w:t xml:space="preserve">, therefore, </w:t>
      </w:r>
      <w:r w:rsidR="007A5827" w:rsidRPr="001F72AC">
        <w:rPr>
          <w:rFonts w:eastAsia="Calibri"/>
          <w:sz w:val="28"/>
          <w:szCs w:val="28"/>
        </w:rPr>
        <w:t xml:space="preserve">no </w:t>
      </w:r>
      <w:r w:rsidR="00A326D8" w:rsidRPr="001F72AC">
        <w:rPr>
          <w:rFonts w:eastAsia="Calibri"/>
          <w:sz w:val="28"/>
          <w:szCs w:val="28"/>
        </w:rPr>
        <w:t>basis</w:t>
      </w:r>
      <w:r w:rsidR="007A5827" w:rsidRPr="001F72AC">
        <w:rPr>
          <w:rFonts w:eastAsia="Calibri"/>
          <w:sz w:val="28"/>
          <w:szCs w:val="28"/>
        </w:rPr>
        <w:t xml:space="preserve"> to interfere with the full court’s costs order. As regards the costs on appeal, the appellants unsuccessfully persisted in supporting the high court order. The fact that the full court’s order must be varied does not </w:t>
      </w:r>
      <w:r w:rsidR="000B732F" w:rsidRPr="001F72AC">
        <w:rPr>
          <w:rFonts w:eastAsia="Calibri"/>
          <w:sz w:val="28"/>
          <w:szCs w:val="28"/>
        </w:rPr>
        <w:t>warrant a</w:t>
      </w:r>
      <w:r w:rsidR="0071060B" w:rsidRPr="001F72AC">
        <w:rPr>
          <w:rFonts w:eastAsia="Calibri"/>
          <w:sz w:val="28"/>
          <w:szCs w:val="28"/>
        </w:rPr>
        <w:t xml:space="preserve"> </w:t>
      </w:r>
      <w:r w:rsidR="000B732F" w:rsidRPr="001F72AC">
        <w:rPr>
          <w:rFonts w:eastAsia="Calibri"/>
          <w:sz w:val="28"/>
          <w:szCs w:val="28"/>
        </w:rPr>
        <w:t>d</w:t>
      </w:r>
      <w:r w:rsidR="00CA3092" w:rsidRPr="001F72AC">
        <w:rPr>
          <w:rFonts w:eastAsia="Calibri"/>
          <w:sz w:val="28"/>
          <w:szCs w:val="28"/>
        </w:rPr>
        <w:t>e</w:t>
      </w:r>
      <w:r w:rsidR="000B732F" w:rsidRPr="001F72AC">
        <w:rPr>
          <w:rFonts w:eastAsia="Calibri"/>
          <w:sz w:val="28"/>
          <w:szCs w:val="28"/>
        </w:rPr>
        <w:t xml:space="preserve">parture from the ordinary rule regarding costs. There is also no reason why the costs should be borne by the Hafiz Trust. </w:t>
      </w:r>
    </w:p>
    <w:p w14:paraId="16E87D86" w14:textId="77777777" w:rsidR="00B350F0" w:rsidRPr="001F72AC" w:rsidRDefault="00B350F0" w:rsidP="00452F47">
      <w:pPr>
        <w:spacing w:line="360" w:lineRule="auto"/>
        <w:jc w:val="both"/>
        <w:rPr>
          <w:rFonts w:eastAsia="Calibri"/>
          <w:sz w:val="28"/>
          <w:szCs w:val="28"/>
        </w:rPr>
      </w:pPr>
    </w:p>
    <w:p w14:paraId="76DFF6E3" w14:textId="16EFAAB5" w:rsidR="00B350F0" w:rsidRPr="001F72AC" w:rsidRDefault="000B732F" w:rsidP="00452F47">
      <w:pPr>
        <w:spacing w:line="360" w:lineRule="auto"/>
        <w:jc w:val="both"/>
        <w:rPr>
          <w:rFonts w:eastAsia="Calibri"/>
          <w:sz w:val="28"/>
          <w:szCs w:val="28"/>
        </w:rPr>
      </w:pPr>
      <w:r w:rsidRPr="001F72AC">
        <w:rPr>
          <w:rFonts w:eastAsia="Calibri"/>
          <w:sz w:val="28"/>
          <w:szCs w:val="28"/>
        </w:rPr>
        <w:t>[</w:t>
      </w:r>
      <w:r w:rsidR="00FC3680" w:rsidRPr="001F72AC">
        <w:rPr>
          <w:rFonts w:eastAsia="Calibri"/>
          <w:sz w:val="28"/>
          <w:szCs w:val="28"/>
        </w:rPr>
        <w:t>4</w:t>
      </w:r>
      <w:r w:rsidR="00DF6DCF" w:rsidRPr="001F72AC">
        <w:rPr>
          <w:rFonts w:eastAsia="Calibri"/>
          <w:sz w:val="28"/>
          <w:szCs w:val="28"/>
        </w:rPr>
        <w:t>0</w:t>
      </w:r>
      <w:r w:rsidRPr="001F72AC">
        <w:rPr>
          <w:rFonts w:eastAsia="Calibri"/>
          <w:sz w:val="28"/>
          <w:szCs w:val="28"/>
        </w:rPr>
        <w:t>]</w:t>
      </w:r>
      <w:r w:rsidRPr="001F72AC">
        <w:rPr>
          <w:rFonts w:eastAsia="Calibri"/>
          <w:sz w:val="28"/>
          <w:szCs w:val="28"/>
        </w:rPr>
        <w:tab/>
      </w:r>
      <w:r w:rsidR="00B350F0" w:rsidRPr="001F72AC">
        <w:rPr>
          <w:rFonts w:eastAsia="Calibri"/>
          <w:sz w:val="28"/>
          <w:szCs w:val="28"/>
        </w:rPr>
        <w:t>In the result, the following order will issue</w:t>
      </w:r>
      <w:r w:rsidRPr="001F72AC">
        <w:rPr>
          <w:rFonts w:eastAsia="Calibri"/>
          <w:sz w:val="28"/>
          <w:szCs w:val="28"/>
        </w:rPr>
        <w:t>:</w:t>
      </w:r>
    </w:p>
    <w:p w14:paraId="236D55ED" w14:textId="77777777" w:rsidR="003F57E2" w:rsidRPr="001F72AC" w:rsidRDefault="003F57E2" w:rsidP="003F57E2">
      <w:pPr>
        <w:spacing w:line="360" w:lineRule="auto"/>
        <w:jc w:val="both"/>
        <w:rPr>
          <w:rFonts w:eastAsia="Calibri"/>
          <w:sz w:val="28"/>
          <w:szCs w:val="28"/>
        </w:rPr>
      </w:pPr>
      <w:r w:rsidRPr="001F72AC">
        <w:rPr>
          <w:rFonts w:eastAsia="Calibri"/>
          <w:sz w:val="28"/>
          <w:szCs w:val="28"/>
        </w:rPr>
        <w:t>1</w:t>
      </w:r>
      <w:r w:rsidRPr="001F72AC">
        <w:rPr>
          <w:rFonts w:eastAsia="Calibri"/>
          <w:sz w:val="28"/>
          <w:szCs w:val="28"/>
        </w:rPr>
        <w:tab/>
        <w:t>Save to the extent set out in paragraph 2 below, the appeal is dismissed.</w:t>
      </w:r>
    </w:p>
    <w:p w14:paraId="34861EF1" w14:textId="77777777" w:rsidR="003F57E2" w:rsidRPr="001F72AC" w:rsidRDefault="003F57E2" w:rsidP="003F57E2">
      <w:pPr>
        <w:spacing w:line="360" w:lineRule="auto"/>
        <w:jc w:val="both"/>
        <w:rPr>
          <w:rFonts w:eastAsia="Calibri"/>
          <w:sz w:val="28"/>
          <w:szCs w:val="28"/>
        </w:rPr>
      </w:pPr>
      <w:r w:rsidRPr="001F72AC">
        <w:rPr>
          <w:rFonts w:eastAsia="Calibri"/>
          <w:sz w:val="28"/>
          <w:szCs w:val="28"/>
        </w:rPr>
        <w:t>2</w:t>
      </w:r>
      <w:r w:rsidRPr="001F72AC">
        <w:rPr>
          <w:rFonts w:eastAsia="Calibri"/>
          <w:sz w:val="28"/>
          <w:szCs w:val="28"/>
        </w:rPr>
        <w:tab/>
        <w:t>Paragraph 2 of the order of the full court is varied so that the order reads as follows:</w:t>
      </w:r>
    </w:p>
    <w:p w14:paraId="185DE616" w14:textId="77777777" w:rsidR="003F57E2" w:rsidRPr="001F72AC" w:rsidRDefault="003F57E2" w:rsidP="003F57E2">
      <w:pPr>
        <w:spacing w:line="360" w:lineRule="auto"/>
        <w:jc w:val="both"/>
        <w:rPr>
          <w:rFonts w:eastAsia="Calibri"/>
          <w:sz w:val="28"/>
          <w:szCs w:val="28"/>
        </w:rPr>
      </w:pPr>
      <w:r w:rsidRPr="001F72AC">
        <w:rPr>
          <w:rFonts w:eastAsia="Calibri"/>
          <w:sz w:val="28"/>
          <w:szCs w:val="28"/>
        </w:rPr>
        <w:lastRenderedPageBreak/>
        <w:t>‘1. The appeal is upheld.</w:t>
      </w:r>
    </w:p>
    <w:p w14:paraId="655087FF" w14:textId="77777777" w:rsidR="003F57E2" w:rsidRPr="001F72AC" w:rsidRDefault="003F57E2" w:rsidP="003F57E2">
      <w:pPr>
        <w:spacing w:line="360" w:lineRule="auto"/>
        <w:jc w:val="both"/>
        <w:rPr>
          <w:rFonts w:eastAsia="Calibri"/>
          <w:sz w:val="28"/>
          <w:szCs w:val="28"/>
        </w:rPr>
      </w:pPr>
      <w:r w:rsidRPr="001F72AC">
        <w:rPr>
          <w:rFonts w:eastAsia="Calibri"/>
          <w:sz w:val="28"/>
          <w:szCs w:val="28"/>
        </w:rPr>
        <w:t>2. The order of the court a quo is set aside and is substituted by the following:</w:t>
      </w:r>
    </w:p>
    <w:p w14:paraId="5D7E2FB4" w14:textId="77777777" w:rsidR="003F57E2" w:rsidRPr="001F72AC" w:rsidRDefault="003F57E2" w:rsidP="003F57E2">
      <w:pPr>
        <w:spacing w:line="360" w:lineRule="auto"/>
        <w:jc w:val="both"/>
        <w:rPr>
          <w:rFonts w:eastAsia="Calibri"/>
          <w:sz w:val="28"/>
          <w:szCs w:val="28"/>
        </w:rPr>
      </w:pPr>
      <w:r w:rsidRPr="001F72AC">
        <w:rPr>
          <w:rFonts w:eastAsia="Calibri"/>
          <w:sz w:val="28"/>
          <w:szCs w:val="28"/>
        </w:rPr>
        <w:t>2.1 It is declared that the Goolam Murtuza Hafiz Trust is valid and the said Trust shall be administered in accordance with the terms of the Memorandum of Trust Agreement dated 6 September 1994.</w:t>
      </w:r>
    </w:p>
    <w:p w14:paraId="4CF90613" w14:textId="77777777" w:rsidR="003F57E2" w:rsidRPr="001F72AC" w:rsidRDefault="003F57E2" w:rsidP="003F57E2">
      <w:pPr>
        <w:spacing w:line="360" w:lineRule="auto"/>
        <w:jc w:val="both"/>
        <w:rPr>
          <w:rFonts w:eastAsia="Calibri"/>
          <w:sz w:val="28"/>
          <w:szCs w:val="28"/>
        </w:rPr>
      </w:pPr>
      <w:r w:rsidRPr="001F72AC">
        <w:rPr>
          <w:rFonts w:eastAsia="Calibri"/>
          <w:sz w:val="28"/>
          <w:szCs w:val="28"/>
        </w:rPr>
        <w:t>2.2 It is declared that the Trustee for the time being of the Goolam Murtuza Hafiz Trust shall be Ahmed Zakir Hafiz (Identity no. 620928625089).</w:t>
      </w:r>
    </w:p>
    <w:p w14:paraId="086AE025" w14:textId="57E9269F" w:rsidR="003F57E2" w:rsidRPr="001F72AC" w:rsidRDefault="003F57E2" w:rsidP="003F57E2">
      <w:pPr>
        <w:spacing w:line="360" w:lineRule="auto"/>
        <w:jc w:val="both"/>
        <w:rPr>
          <w:rFonts w:eastAsia="Calibri"/>
          <w:sz w:val="28"/>
          <w:szCs w:val="28"/>
        </w:rPr>
      </w:pPr>
      <w:r w:rsidRPr="001F72AC">
        <w:rPr>
          <w:rFonts w:eastAsia="Calibri"/>
          <w:sz w:val="28"/>
          <w:szCs w:val="28"/>
        </w:rPr>
        <w:t>3. The first respondent, the fifth respondent and the sixth respondent together with the Goolam Murtuza Hafiz Trust, are directed to pay the first and second applicants</w:t>
      </w:r>
      <w:r w:rsidR="001F72AC">
        <w:rPr>
          <w:rFonts w:eastAsia="Calibri"/>
          <w:sz w:val="28"/>
          <w:szCs w:val="28"/>
        </w:rPr>
        <w:t>’</w:t>
      </w:r>
      <w:r w:rsidRPr="001F72AC">
        <w:rPr>
          <w:rFonts w:eastAsia="Calibri"/>
          <w:sz w:val="28"/>
          <w:szCs w:val="28"/>
        </w:rPr>
        <w:t xml:space="preserve"> costs in respect of the application and counter application in the court a quo and the appeal costs, jointly and severally the one paying the other to be absolved.’</w:t>
      </w:r>
    </w:p>
    <w:p w14:paraId="24DB6BA8" w14:textId="35497CAD" w:rsidR="00CA2E0C" w:rsidRPr="001F72AC" w:rsidRDefault="003F57E2" w:rsidP="00452F47">
      <w:pPr>
        <w:spacing w:line="360" w:lineRule="auto"/>
        <w:jc w:val="both"/>
        <w:rPr>
          <w:rFonts w:eastAsia="Calibri"/>
          <w:sz w:val="28"/>
          <w:szCs w:val="28"/>
          <w:lang w:val="en-ZA"/>
        </w:rPr>
      </w:pPr>
      <w:r w:rsidRPr="001F72AC">
        <w:rPr>
          <w:rFonts w:eastAsia="Calibri"/>
          <w:sz w:val="28"/>
          <w:szCs w:val="28"/>
        </w:rPr>
        <w:t>3</w:t>
      </w:r>
      <w:r w:rsidRPr="001F72AC">
        <w:rPr>
          <w:rFonts w:eastAsia="Calibri"/>
          <w:sz w:val="28"/>
          <w:szCs w:val="28"/>
        </w:rPr>
        <w:tab/>
        <w:t>The appellants are ordered to pay the first and second respondents’ costs of appeal.</w:t>
      </w:r>
      <w:r w:rsidR="00AC322B" w:rsidRPr="001F72AC">
        <w:rPr>
          <w:rFonts w:eastAsia="Calibri"/>
          <w:sz w:val="28"/>
          <w:szCs w:val="28"/>
          <w:lang w:val="en-ZA"/>
        </w:rPr>
        <w:t xml:space="preserve"> </w:t>
      </w:r>
    </w:p>
    <w:p w14:paraId="1221FBAE" w14:textId="77777777" w:rsidR="00B230D8" w:rsidRPr="001F72AC" w:rsidRDefault="00B230D8" w:rsidP="00452F47">
      <w:pPr>
        <w:spacing w:line="360" w:lineRule="auto"/>
        <w:jc w:val="both"/>
        <w:rPr>
          <w:rFonts w:eastAsia="Calibri"/>
          <w:sz w:val="28"/>
          <w:szCs w:val="28"/>
          <w:lang w:val="en-ZA"/>
        </w:rPr>
      </w:pPr>
    </w:p>
    <w:p w14:paraId="34A4B58C" w14:textId="77777777" w:rsidR="00873FC6" w:rsidRPr="001F72AC" w:rsidRDefault="00873FC6" w:rsidP="00452F47">
      <w:pPr>
        <w:spacing w:line="360" w:lineRule="auto"/>
        <w:jc w:val="both"/>
        <w:rPr>
          <w:rFonts w:eastAsia="Calibri"/>
          <w:sz w:val="28"/>
          <w:szCs w:val="28"/>
          <w:lang w:val="en-ZA"/>
        </w:rPr>
      </w:pPr>
    </w:p>
    <w:p w14:paraId="41F6BBB4" w14:textId="138F6E47" w:rsidR="00637177" w:rsidRPr="001F72AC" w:rsidRDefault="00873FC6" w:rsidP="004F6384">
      <w:pPr>
        <w:spacing w:line="360" w:lineRule="auto"/>
        <w:jc w:val="both"/>
      </w:pPr>
      <w:r w:rsidRPr="001F72AC">
        <w:rPr>
          <w:rFonts w:eastAsia="Calibri"/>
          <w:sz w:val="28"/>
          <w:szCs w:val="28"/>
          <w:lang w:val="en-ZA"/>
        </w:rPr>
        <w:t xml:space="preserve"> </w:t>
      </w:r>
      <w:r w:rsidR="00452F47" w:rsidRPr="001F72AC">
        <w:rPr>
          <w:rFonts w:eastAsia="Calibri"/>
          <w:sz w:val="28"/>
          <w:szCs w:val="28"/>
          <w:lang w:val="en-ZA"/>
        </w:rPr>
        <w:t xml:space="preserve"> </w:t>
      </w:r>
      <w:r w:rsidR="00637177" w:rsidRPr="001F72AC">
        <w:rPr>
          <w:noProof/>
          <w:lang w:val="en-ZA" w:eastAsia="en-ZA"/>
        </w:rPr>
        <w:t xml:space="preserve">  </w:t>
      </w:r>
    </w:p>
    <w:p w14:paraId="3976DD25" w14:textId="2A35993C" w:rsidR="008E3C8C" w:rsidRPr="001F72AC" w:rsidRDefault="00F43000" w:rsidP="00D50B1F">
      <w:pPr>
        <w:spacing w:line="360" w:lineRule="auto"/>
        <w:jc w:val="right"/>
        <w:rPr>
          <w:bCs/>
          <w:sz w:val="28"/>
          <w:szCs w:val="28"/>
        </w:rPr>
      </w:pPr>
      <w:r w:rsidRPr="001F72AC">
        <w:rPr>
          <w:bCs/>
          <w:sz w:val="28"/>
          <w:szCs w:val="28"/>
        </w:rPr>
        <w:t>____</w:t>
      </w:r>
      <w:r w:rsidR="008E3C8C" w:rsidRPr="001F72AC">
        <w:rPr>
          <w:bCs/>
          <w:sz w:val="28"/>
          <w:szCs w:val="28"/>
        </w:rPr>
        <w:t>_____</w:t>
      </w:r>
      <w:r w:rsidRPr="001F72AC">
        <w:rPr>
          <w:bCs/>
          <w:sz w:val="28"/>
          <w:szCs w:val="28"/>
        </w:rPr>
        <w:t>________</w:t>
      </w:r>
    </w:p>
    <w:p w14:paraId="0AC9F279" w14:textId="1808DE4F" w:rsidR="008E3C8C" w:rsidRPr="001F72AC" w:rsidRDefault="003B39F0" w:rsidP="008E3C8C">
      <w:pPr>
        <w:spacing w:line="360" w:lineRule="auto"/>
        <w:jc w:val="right"/>
        <w:rPr>
          <w:bCs/>
          <w:sz w:val="28"/>
          <w:szCs w:val="28"/>
        </w:rPr>
      </w:pPr>
      <w:r w:rsidRPr="001F72AC">
        <w:rPr>
          <w:bCs/>
          <w:sz w:val="28"/>
          <w:szCs w:val="28"/>
        </w:rPr>
        <w:t>G G GOOSEN</w:t>
      </w:r>
    </w:p>
    <w:p w14:paraId="4D8E5B1A" w14:textId="3F8CEFAE" w:rsidR="00117D2D" w:rsidRPr="001F72AC" w:rsidRDefault="008D7B35" w:rsidP="00312F34">
      <w:pPr>
        <w:spacing w:line="360" w:lineRule="auto"/>
        <w:jc w:val="right"/>
        <w:rPr>
          <w:bCs/>
          <w:sz w:val="28"/>
          <w:szCs w:val="28"/>
        </w:rPr>
      </w:pPr>
      <w:r w:rsidRPr="001F72AC">
        <w:rPr>
          <w:bCs/>
          <w:sz w:val="28"/>
          <w:szCs w:val="28"/>
        </w:rPr>
        <w:t>JUDGE OF APPEAL</w:t>
      </w:r>
      <w:r w:rsidR="00117D2D" w:rsidRPr="001F72AC">
        <w:rPr>
          <w:bCs/>
        </w:rPr>
        <w:br w:type="page"/>
      </w:r>
    </w:p>
    <w:p w14:paraId="52AA18EB" w14:textId="1228032C" w:rsidR="00F43000" w:rsidRPr="001F72AC" w:rsidRDefault="008D7B35" w:rsidP="0081041B">
      <w:pPr>
        <w:spacing w:after="160" w:line="360" w:lineRule="auto"/>
        <w:jc w:val="both"/>
        <w:rPr>
          <w:sz w:val="28"/>
          <w:szCs w:val="28"/>
        </w:rPr>
      </w:pPr>
      <w:r w:rsidRPr="001F72AC">
        <w:rPr>
          <w:sz w:val="28"/>
          <w:szCs w:val="28"/>
        </w:rPr>
        <w:lastRenderedPageBreak/>
        <w:t>A</w:t>
      </w:r>
      <w:r w:rsidR="000E7EAA" w:rsidRPr="001F72AC">
        <w:rPr>
          <w:sz w:val="28"/>
          <w:szCs w:val="28"/>
        </w:rPr>
        <w:t>ppearances</w:t>
      </w:r>
    </w:p>
    <w:p w14:paraId="033038F4" w14:textId="20319183" w:rsidR="00F43000" w:rsidRPr="001F72AC" w:rsidRDefault="00F43000" w:rsidP="0081041B">
      <w:pPr>
        <w:spacing w:line="360" w:lineRule="auto"/>
        <w:jc w:val="both"/>
        <w:rPr>
          <w:sz w:val="28"/>
          <w:szCs w:val="28"/>
        </w:rPr>
      </w:pPr>
      <w:r w:rsidRPr="001F72AC">
        <w:rPr>
          <w:sz w:val="28"/>
          <w:szCs w:val="28"/>
        </w:rPr>
        <w:t>For</w:t>
      </w:r>
      <w:r w:rsidR="00783DBA" w:rsidRPr="001F72AC">
        <w:rPr>
          <w:sz w:val="28"/>
          <w:szCs w:val="28"/>
        </w:rPr>
        <w:t xml:space="preserve"> the</w:t>
      </w:r>
      <w:r w:rsidRPr="001F72AC">
        <w:rPr>
          <w:sz w:val="28"/>
          <w:szCs w:val="28"/>
        </w:rPr>
        <w:t xml:space="preserve"> appellant</w:t>
      </w:r>
      <w:r w:rsidR="0073210A" w:rsidRPr="001F72AC">
        <w:rPr>
          <w:sz w:val="28"/>
          <w:szCs w:val="28"/>
        </w:rPr>
        <w:t>s</w:t>
      </w:r>
      <w:r w:rsidRPr="001F72AC">
        <w:rPr>
          <w:sz w:val="28"/>
          <w:szCs w:val="28"/>
        </w:rPr>
        <w:t>:</w:t>
      </w:r>
      <w:r w:rsidRPr="001F72AC">
        <w:rPr>
          <w:sz w:val="28"/>
          <w:szCs w:val="28"/>
        </w:rPr>
        <w:tab/>
      </w:r>
      <w:r w:rsidRPr="001F72AC">
        <w:rPr>
          <w:sz w:val="28"/>
          <w:szCs w:val="28"/>
        </w:rPr>
        <w:tab/>
      </w:r>
      <w:r w:rsidR="00A61409" w:rsidRPr="001F72AC">
        <w:rPr>
          <w:sz w:val="28"/>
          <w:szCs w:val="28"/>
        </w:rPr>
        <w:tab/>
      </w:r>
      <w:r w:rsidR="0081041B" w:rsidRPr="001F72AC">
        <w:rPr>
          <w:sz w:val="28"/>
          <w:szCs w:val="28"/>
        </w:rPr>
        <w:tab/>
      </w:r>
      <w:r w:rsidR="0073210A" w:rsidRPr="001F72AC">
        <w:rPr>
          <w:sz w:val="28"/>
          <w:szCs w:val="28"/>
        </w:rPr>
        <w:t>V I Gajoo SC</w:t>
      </w:r>
    </w:p>
    <w:p w14:paraId="6C05A63B" w14:textId="1943A8D9" w:rsidR="00F43000" w:rsidRPr="001F72AC" w:rsidRDefault="00F43000" w:rsidP="0081041B">
      <w:pPr>
        <w:spacing w:line="360" w:lineRule="auto"/>
        <w:jc w:val="both"/>
        <w:rPr>
          <w:bCs/>
          <w:sz w:val="28"/>
          <w:szCs w:val="28"/>
        </w:rPr>
      </w:pPr>
      <w:r w:rsidRPr="001F72AC">
        <w:rPr>
          <w:bCs/>
          <w:sz w:val="28"/>
          <w:szCs w:val="28"/>
        </w:rPr>
        <w:t>Instructed by:</w:t>
      </w:r>
      <w:r w:rsidRPr="001F72AC">
        <w:rPr>
          <w:bCs/>
          <w:sz w:val="28"/>
          <w:szCs w:val="28"/>
        </w:rPr>
        <w:tab/>
      </w:r>
      <w:r w:rsidRPr="001F72AC">
        <w:rPr>
          <w:bCs/>
          <w:sz w:val="28"/>
          <w:szCs w:val="28"/>
        </w:rPr>
        <w:tab/>
      </w:r>
      <w:r w:rsidR="00A61409" w:rsidRPr="001F72AC">
        <w:rPr>
          <w:bCs/>
          <w:sz w:val="28"/>
          <w:szCs w:val="28"/>
        </w:rPr>
        <w:tab/>
      </w:r>
      <w:r w:rsidR="0081041B" w:rsidRPr="001F72AC">
        <w:rPr>
          <w:bCs/>
          <w:sz w:val="28"/>
          <w:szCs w:val="28"/>
        </w:rPr>
        <w:tab/>
      </w:r>
      <w:r w:rsidR="009C761E" w:rsidRPr="001F72AC">
        <w:rPr>
          <w:bCs/>
          <w:sz w:val="28"/>
          <w:szCs w:val="28"/>
        </w:rPr>
        <w:t>Harkoo Brijlal &amp; Reddy Inc, Durban</w:t>
      </w:r>
      <w:r w:rsidRPr="001F72AC">
        <w:rPr>
          <w:bCs/>
          <w:sz w:val="28"/>
          <w:szCs w:val="28"/>
        </w:rPr>
        <w:t xml:space="preserve"> </w:t>
      </w:r>
    </w:p>
    <w:p w14:paraId="2FC70B1D" w14:textId="4D11FCF5" w:rsidR="00F43000" w:rsidRPr="001F72AC" w:rsidRDefault="00F43000" w:rsidP="0081041B">
      <w:pPr>
        <w:spacing w:line="360" w:lineRule="auto"/>
        <w:ind w:left="459" w:firstLine="1701"/>
        <w:jc w:val="both"/>
        <w:rPr>
          <w:bCs/>
          <w:sz w:val="28"/>
          <w:szCs w:val="28"/>
        </w:rPr>
      </w:pPr>
      <w:r w:rsidRPr="001F72AC">
        <w:rPr>
          <w:bCs/>
          <w:sz w:val="28"/>
          <w:szCs w:val="28"/>
        </w:rPr>
        <w:tab/>
      </w:r>
      <w:r w:rsidR="00A61409" w:rsidRPr="001F72AC">
        <w:rPr>
          <w:bCs/>
          <w:sz w:val="28"/>
          <w:szCs w:val="28"/>
        </w:rPr>
        <w:tab/>
      </w:r>
      <w:r w:rsidR="0081041B" w:rsidRPr="001F72AC">
        <w:rPr>
          <w:bCs/>
          <w:sz w:val="28"/>
          <w:szCs w:val="28"/>
        </w:rPr>
        <w:tab/>
      </w:r>
      <w:r w:rsidR="0033348D" w:rsidRPr="001F72AC">
        <w:rPr>
          <w:bCs/>
          <w:sz w:val="28"/>
          <w:szCs w:val="28"/>
        </w:rPr>
        <w:t xml:space="preserve">H </w:t>
      </w:r>
      <w:r w:rsidR="009C761E" w:rsidRPr="001F72AC">
        <w:rPr>
          <w:bCs/>
          <w:sz w:val="28"/>
          <w:szCs w:val="28"/>
        </w:rPr>
        <w:t>Bekker Attorneys</w:t>
      </w:r>
      <w:r w:rsidR="0033348D" w:rsidRPr="001F72AC">
        <w:rPr>
          <w:bCs/>
          <w:sz w:val="28"/>
          <w:szCs w:val="28"/>
        </w:rPr>
        <w:t xml:space="preserve"> Inc</w:t>
      </w:r>
      <w:r w:rsidRPr="001F72AC">
        <w:rPr>
          <w:bCs/>
          <w:sz w:val="28"/>
          <w:szCs w:val="28"/>
        </w:rPr>
        <w:t>, Bloemfontein</w:t>
      </w:r>
    </w:p>
    <w:p w14:paraId="020234AD" w14:textId="77777777" w:rsidR="00F43000" w:rsidRPr="001F72AC" w:rsidRDefault="00F43000" w:rsidP="0081041B">
      <w:pPr>
        <w:spacing w:line="360" w:lineRule="auto"/>
        <w:jc w:val="both"/>
        <w:rPr>
          <w:bCs/>
          <w:sz w:val="28"/>
          <w:szCs w:val="28"/>
        </w:rPr>
      </w:pPr>
      <w:r w:rsidRPr="001F72AC">
        <w:rPr>
          <w:bCs/>
          <w:sz w:val="28"/>
          <w:szCs w:val="28"/>
        </w:rPr>
        <w:t xml:space="preserve"> </w:t>
      </w:r>
    </w:p>
    <w:p w14:paraId="7303CDA2" w14:textId="53B15390" w:rsidR="000E7EAA" w:rsidRPr="001F72AC" w:rsidRDefault="00F43000" w:rsidP="0081041B">
      <w:pPr>
        <w:spacing w:line="360" w:lineRule="auto"/>
        <w:jc w:val="both"/>
        <w:rPr>
          <w:sz w:val="28"/>
          <w:szCs w:val="28"/>
        </w:rPr>
      </w:pPr>
      <w:r w:rsidRPr="001F72AC">
        <w:rPr>
          <w:sz w:val="28"/>
          <w:szCs w:val="28"/>
        </w:rPr>
        <w:t>For</w:t>
      </w:r>
      <w:r w:rsidR="00783DBA" w:rsidRPr="001F72AC">
        <w:rPr>
          <w:sz w:val="28"/>
          <w:szCs w:val="28"/>
        </w:rPr>
        <w:t xml:space="preserve"> the</w:t>
      </w:r>
      <w:r w:rsidR="0073210A" w:rsidRPr="001F72AC">
        <w:rPr>
          <w:sz w:val="28"/>
          <w:szCs w:val="28"/>
        </w:rPr>
        <w:t xml:space="preserve"> first and second</w:t>
      </w:r>
      <w:r w:rsidR="000D28CE" w:rsidRPr="001F72AC">
        <w:rPr>
          <w:sz w:val="28"/>
          <w:szCs w:val="28"/>
        </w:rPr>
        <w:t xml:space="preserve"> </w:t>
      </w:r>
      <w:r w:rsidRPr="001F72AC">
        <w:rPr>
          <w:sz w:val="28"/>
          <w:szCs w:val="28"/>
        </w:rPr>
        <w:t>respondent</w:t>
      </w:r>
      <w:r w:rsidR="0073210A" w:rsidRPr="001F72AC">
        <w:rPr>
          <w:sz w:val="28"/>
          <w:szCs w:val="28"/>
        </w:rPr>
        <w:t>s</w:t>
      </w:r>
      <w:r w:rsidRPr="001F72AC">
        <w:rPr>
          <w:sz w:val="28"/>
          <w:szCs w:val="28"/>
        </w:rPr>
        <w:t>:</w:t>
      </w:r>
      <w:r w:rsidR="004F6384" w:rsidRPr="001F72AC">
        <w:rPr>
          <w:sz w:val="28"/>
          <w:szCs w:val="28"/>
        </w:rPr>
        <w:tab/>
      </w:r>
      <w:r w:rsidR="009C761E" w:rsidRPr="001F72AC">
        <w:rPr>
          <w:sz w:val="28"/>
          <w:szCs w:val="28"/>
        </w:rPr>
        <w:t>F M Moola SC</w:t>
      </w:r>
    </w:p>
    <w:p w14:paraId="32BB6471" w14:textId="6EBB29EC" w:rsidR="00F43000" w:rsidRPr="001F72AC" w:rsidRDefault="00F43000" w:rsidP="009C761E">
      <w:pPr>
        <w:spacing w:line="360" w:lineRule="auto"/>
        <w:ind w:left="4320" w:hanging="4320"/>
        <w:jc w:val="both"/>
        <w:rPr>
          <w:bCs/>
          <w:sz w:val="28"/>
          <w:szCs w:val="28"/>
        </w:rPr>
      </w:pPr>
      <w:r w:rsidRPr="001F72AC">
        <w:rPr>
          <w:bCs/>
          <w:sz w:val="28"/>
          <w:szCs w:val="28"/>
        </w:rPr>
        <w:t>Instructed by:</w:t>
      </w:r>
      <w:r w:rsidRPr="001F72AC">
        <w:rPr>
          <w:bCs/>
          <w:sz w:val="28"/>
          <w:szCs w:val="28"/>
        </w:rPr>
        <w:tab/>
      </w:r>
      <w:r w:rsidR="009C761E" w:rsidRPr="001F72AC">
        <w:rPr>
          <w:bCs/>
          <w:sz w:val="28"/>
          <w:szCs w:val="28"/>
        </w:rPr>
        <w:t>Larson Falconer Hassan Parsee Inc, U</w:t>
      </w:r>
      <w:r w:rsidR="0071060B" w:rsidRPr="001F72AC">
        <w:rPr>
          <w:bCs/>
          <w:sz w:val="28"/>
          <w:szCs w:val="28"/>
        </w:rPr>
        <w:t>m</w:t>
      </w:r>
      <w:r w:rsidR="009C761E" w:rsidRPr="001F72AC">
        <w:rPr>
          <w:bCs/>
          <w:sz w:val="28"/>
          <w:szCs w:val="28"/>
        </w:rPr>
        <w:t>hlanga Rocks</w:t>
      </w:r>
    </w:p>
    <w:p w14:paraId="455C9B6B" w14:textId="11A2C987" w:rsidR="0091032F" w:rsidRPr="004F6384" w:rsidRDefault="0091032F" w:rsidP="0081041B">
      <w:pPr>
        <w:spacing w:line="360" w:lineRule="auto"/>
        <w:jc w:val="both"/>
        <w:rPr>
          <w:bCs/>
          <w:sz w:val="28"/>
          <w:szCs w:val="28"/>
        </w:rPr>
      </w:pPr>
      <w:r w:rsidRPr="001F72AC">
        <w:rPr>
          <w:bCs/>
          <w:sz w:val="28"/>
          <w:szCs w:val="28"/>
        </w:rPr>
        <w:tab/>
      </w:r>
      <w:r w:rsidRPr="001F72AC">
        <w:rPr>
          <w:bCs/>
          <w:sz w:val="28"/>
          <w:szCs w:val="28"/>
        </w:rPr>
        <w:tab/>
      </w:r>
      <w:r w:rsidRPr="001F72AC">
        <w:rPr>
          <w:bCs/>
          <w:sz w:val="28"/>
          <w:szCs w:val="28"/>
        </w:rPr>
        <w:tab/>
      </w:r>
      <w:r w:rsidRPr="001F72AC">
        <w:rPr>
          <w:bCs/>
          <w:sz w:val="28"/>
          <w:szCs w:val="28"/>
        </w:rPr>
        <w:tab/>
      </w:r>
      <w:r w:rsidRPr="001F72AC">
        <w:rPr>
          <w:bCs/>
          <w:sz w:val="28"/>
          <w:szCs w:val="28"/>
        </w:rPr>
        <w:tab/>
      </w:r>
      <w:r w:rsidR="0073210A" w:rsidRPr="001F72AC">
        <w:rPr>
          <w:bCs/>
          <w:sz w:val="28"/>
          <w:szCs w:val="28"/>
        </w:rPr>
        <w:tab/>
      </w:r>
      <w:r w:rsidR="009C761E" w:rsidRPr="001F72AC">
        <w:rPr>
          <w:bCs/>
          <w:sz w:val="28"/>
          <w:szCs w:val="28"/>
        </w:rPr>
        <w:t>Phatshoane Henney Inc,</w:t>
      </w:r>
      <w:r w:rsidRPr="001F72AC">
        <w:rPr>
          <w:bCs/>
          <w:sz w:val="28"/>
          <w:szCs w:val="28"/>
        </w:rPr>
        <w:t xml:space="preserve"> Bloemfontein</w:t>
      </w:r>
      <w:r w:rsidR="0071060B" w:rsidRPr="001F72AC">
        <w:rPr>
          <w:bCs/>
          <w:sz w:val="28"/>
          <w:szCs w:val="28"/>
        </w:rPr>
        <w:t>.</w:t>
      </w:r>
    </w:p>
    <w:p w14:paraId="4D59A98C" w14:textId="30EB139F" w:rsidR="000D28CE" w:rsidRPr="004F6384" w:rsidRDefault="00F43000" w:rsidP="0081041B">
      <w:pPr>
        <w:spacing w:line="360" w:lineRule="auto"/>
        <w:jc w:val="both"/>
        <w:rPr>
          <w:bCs/>
          <w:sz w:val="28"/>
          <w:szCs w:val="28"/>
        </w:rPr>
      </w:pPr>
      <w:r w:rsidRPr="004F6384">
        <w:rPr>
          <w:bCs/>
          <w:sz w:val="28"/>
          <w:szCs w:val="28"/>
        </w:rPr>
        <w:tab/>
      </w:r>
      <w:r w:rsidR="002069E5" w:rsidRPr="004F6384">
        <w:rPr>
          <w:bCs/>
          <w:sz w:val="28"/>
          <w:szCs w:val="28"/>
        </w:rPr>
        <w:tab/>
      </w:r>
      <w:r w:rsidR="002069E5" w:rsidRPr="004F6384">
        <w:rPr>
          <w:bCs/>
          <w:sz w:val="28"/>
          <w:szCs w:val="28"/>
        </w:rPr>
        <w:tab/>
      </w:r>
      <w:r w:rsidR="002069E5" w:rsidRPr="004F6384">
        <w:rPr>
          <w:bCs/>
          <w:sz w:val="28"/>
          <w:szCs w:val="28"/>
        </w:rPr>
        <w:tab/>
      </w:r>
      <w:r w:rsidR="00A61409" w:rsidRPr="004F6384">
        <w:rPr>
          <w:bCs/>
          <w:sz w:val="28"/>
          <w:szCs w:val="28"/>
        </w:rPr>
        <w:tab/>
      </w:r>
    </w:p>
    <w:p w14:paraId="2913BA9B" w14:textId="77777777" w:rsidR="00F43000" w:rsidRPr="00452F47" w:rsidRDefault="00F43000" w:rsidP="00F43000"/>
    <w:p w14:paraId="74EAA732" w14:textId="77777777" w:rsidR="00F43000" w:rsidRPr="00452F47" w:rsidRDefault="00F43000" w:rsidP="00F43000">
      <w:pPr>
        <w:rPr>
          <w:bCs/>
        </w:rPr>
      </w:pPr>
    </w:p>
    <w:p w14:paraId="5938CFC7" w14:textId="77777777" w:rsidR="00F43000" w:rsidRPr="00452F47" w:rsidRDefault="00F43000" w:rsidP="00040B65">
      <w:pPr>
        <w:spacing w:line="360" w:lineRule="auto"/>
        <w:jc w:val="both"/>
        <w:rPr>
          <w:color w:val="FF0000"/>
        </w:rPr>
      </w:pPr>
    </w:p>
    <w:p w14:paraId="387D93E2" w14:textId="2DFD2D35" w:rsidR="005E0CD4" w:rsidRPr="00452F47" w:rsidRDefault="00181F71" w:rsidP="005D58D2">
      <w:pPr>
        <w:spacing w:line="360" w:lineRule="auto"/>
        <w:jc w:val="both"/>
      </w:pPr>
      <w:r w:rsidRPr="00452F47">
        <w:tab/>
      </w:r>
      <w:r w:rsidRPr="00452F47">
        <w:tab/>
      </w:r>
      <w:r w:rsidRPr="00452F47">
        <w:tab/>
      </w:r>
      <w:r w:rsidRPr="00452F47">
        <w:tab/>
      </w:r>
      <w:r w:rsidRPr="00452F47">
        <w:tab/>
        <w:t xml:space="preserve">        </w:t>
      </w:r>
      <w:r w:rsidR="005E0CD4" w:rsidRPr="00452F47">
        <w:t xml:space="preserve">     </w:t>
      </w:r>
    </w:p>
    <w:sectPr w:rsidR="005E0CD4" w:rsidRPr="00452F47" w:rsidSect="005023EF">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EF622" w14:textId="77777777" w:rsidR="008B5FB4" w:rsidRDefault="008B5FB4" w:rsidP="005023EF">
      <w:r>
        <w:separator/>
      </w:r>
    </w:p>
  </w:endnote>
  <w:endnote w:type="continuationSeparator" w:id="0">
    <w:p w14:paraId="429CDB27" w14:textId="77777777" w:rsidR="008B5FB4" w:rsidRDefault="008B5FB4" w:rsidP="0050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84885" w14:textId="77777777" w:rsidR="008B5FB4" w:rsidRDefault="008B5FB4" w:rsidP="005023EF">
      <w:r>
        <w:separator/>
      </w:r>
    </w:p>
  </w:footnote>
  <w:footnote w:type="continuationSeparator" w:id="0">
    <w:p w14:paraId="05710FC8" w14:textId="77777777" w:rsidR="008B5FB4" w:rsidRDefault="008B5FB4" w:rsidP="005023EF">
      <w:r>
        <w:continuationSeparator/>
      </w:r>
    </w:p>
  </w:footnote>
  <w:footnote w:id="1">
    <w:p w14:paraId="406BADB3" w14:textId="43413EFA" w:rsidR="00E63AD3" w:rsidRPr="00DC70C2" w:rsidRDefault="00E63AD3" w:rsidP="00E63AD3">
      <w:pPr>
        <w:pStyle w:val="FootnoteText"/>
        <w:jc w:val="both"/>
        <w:rPr>
          <w:lang w:val="en-ZA"/>
        </w:rPr>
      </w:pPr>
      <w:r w:rsidRPr="00DC70C2">
        <w:rPr>
          <w:rStyle w:val="FootnoteReference"/>
        </w:rPr>
        <w:footnoteRef/>
      </w:r>
      <w:r w:rsidRPr="00DC70C2">
        <w:t xml:space="preserve"> </w:t>
      </w:r>
      <w:r w:rsidRPr="00DC70C2">
        <w:rPr>
          <w:lang w:val="en-ZA"/>
        </w:rPr>
        <w:t>The application was commenced before the high court in 2013. It was heard in February 2018 and judgment was delivered on 23 August 2018. The appeal was heard by the full court on 27 January 2020 and judgment was delivered on 12 May 2020.</w:t>
      </w:r>
    </w:p>
  </w:footnote>
  <w:footnote w:id="2">
    <w:p w14:paraId="61C1763D" w14:textId="5D479641" w:rsidR="007557D3" w:rsidRPr="00DC70C2" w:rsidRDefault="007557D3">
      <w:pPr>
        <w:pStyle w:val="FootnoteText"/>
        <w:rPr>
          <w:lang w:val="en-ZA"/>
        </w:rPr>
      </w:pPr>
      <w:r w:rsidRPr="00DC70C2">
        <w:rPr>
          <w:rStyle w:val="FootnoteReference"/>
        </w:rPr>
        <w:footnoteRef/>
      </w:r>
      <w:r w:rsidRPr="00DC70C2">
        <w:t xml:space="preserve"> </w:t>
      </w:r>
      <w:r w:rsidRPr="00DC70C2">
        <w:rPr>
          <w:lang w:val="en-ZA"/>
        </w:rPr>
        <w:t>I shall refer to these parties by name.</w:t>
      </w:r>
    </w:p>
  </w:footnote>
  <w:footnote w:id="3">
    <w:p w14:paraId="1B890AA8" w14:textId="740B1288" w:rsidR="00B01631" w:rsidRPr="00DC70C2" w:rsidRDefault="00B01631">
      <w:pPr>
        <w:pStyle w:val="FootnoteText"/>
        <w:rPr>
          <w:lang w:val="en-ZA"/>
        </w:rPr>
      </w:pPr>
      <w:r w:rsidRPr="00DC70C2">
        <w:rPr>
          <w:rStyle w:val="FootnoteReference"/>
        </w:rPr>
        <w:footnoteRef/>
      </w:r>
      <w:r w:rsidRPr="00DC70C2">
        <w:t xml:space="preserve"> </w:t>
      </w:r>
      <w:r w:rsidRPr="00DC70C2">
        <w:rPr>
          <w:lang w:val="en-ZA"/>
        </w:rPr>
        <w:t>In the event of a failure of progeniture trusteeship would vest in a person elected by the Suni community.</w:t>
      </w:r>
    </w:p>
  </w:footnote>
  <w:footnote w:id="4">
    <w:p w14:paraId="6E8D7AEF" w14:textId="15744D16" w:rsidR="0070341B" w:rsidRPr="00DC70C2" w:rsidRDefault="0070341B">
      <w:pPr>
        <w:pStyle w:val="FootnoteText"/>
        <w:rPr>
          <w:lang w:val="en-ZA"/>
        </w:rPr>
      </w:pPr>
      <w:r w:rsidRPr="00DC70C2">
        <w:rPr>
          <w:rStyle w:val="FootnoteReference"/>
        </w:rPr>
        <w:footnoteRef/>
      </w:r>
      <w:r w:rsidRPr="00DC70C2">
        <w:t xml:space="preserve"> </w:t>
      </w:r>
      <w:r w:rsidRPr="00DC70C2">
        <w:rPr>
          <w:lang w:val="en-ZA"/>
        </w:rPr>
        <w:t xml:space="preserve">The 1904 deed of transfer of the property on which the Sherwood mosque is situated does not name the trust. </w:t>
      </w:r>
      <w:r w:rsidR="00B01631" w:rsidRPr="00DC70C2">
        <w:rPr>
          <w:lang w:val="en-ZA"/>
        </w:rPr>
        <w:t>I</w:t>
      </w:r>
      <w:r w:rsidRPr="00DC70C2">
        <w:rPr>
          <w:lang w:val="en-ZA"/>
        </w:rPr>
        <w:t xml:space="preserve">n the papers reference was made to the Suni </w:t>
      </w:r>
      <w:proofErr w:type="spellStart"/>
      <w:r w:rsidRPr="00DC70C2">
        <w:rPr>
          <w:lang w:val="en-ZA"/>
        </w:rPr>
        <w:t>Mohamedan</w:t>
      </w:r>
      <w:proofErr w:type="spellEnd"/>
      <w:r w:rsidRPr="00DC70C2">
        <w:rPr>
          <w:lang w:val="en-ZA"/>
        </w:rPr>
        <w:t xml:space="preserve"> Faith Trust.</w:t>
      </w:r>
    </w:p>
  </w:footnote>
  <w:footnote w:id="5">
    <w:p w14:paraId="60872FD1" w14:textId="66BB6EB6" w:rsidR="003A698E" w:rsidRPr="00DC70C2" w:rsidRDefault="003A698E" w:rsidP="00FE6D9F">
      <w:pPr>
        <w:pStyle w:val="FootnoteText"/>
        <w:jc w:val="both"/>
        <w:rPr>
          <w:lang w:val="en-ZA"/>
        </w:rPr>
      </w:pPr>
      <w:r w:rsidRPr="00DC70C2">
        <w:rPr>
          <w:rStyle w:val="FootnoteReference"/>
        </w:rPr>
        <w:footnoteRef/>
      </w:r>
      <w:r w:rsidRPr="00DC70C2">
        <w:t xml:space="preserve"> </w:t>
      </w:r>
      <w:r w:rsidRPr="00DC70C2">
        <w:rPr>
          <w:lang w:val="en-ZA"/>
        </w:rPr>
        <w:t>The notice of motion made no reference to Property 2 which was also donated to the Hafiz Trust.</w:t>
      </w:r>
    </w:p>
  </w:footnote>
  <w:footnote w:id="6">
    <w:p w14:paraId="68B91629" w14:textId="6CBFF0EF" w:rsidR="00F601B4" w:rsidRPr="00DC70C2" w:rsidRDefault="00F601B4">
      <w:pPr>
        <w:pStyle w:val="FootnoteText"/>
        <w:rPr>
          <w:lang w:val="en-ZA"/>
        </w:rPr>
      </w:pPr>
      <w:r w:rsidRPr="00DC70C2">
        <w:rPr>
          <w:rStyle w:val="FootnoteReference"/>
        </w:rPr>
        <w:footnoteRef/>
      </w:r>
      <w:r w:rsidRPr="00DC70C2">
        <w:t xml:space="preserve"> </w:t>
      </w:r>
      <w:r w:rsidRPr="00DC70C2">
        <w:rPr>
          <w:lang w:val="en-ZA"/>
        </w:rPr>
        <w:t>These orders were not sought in the notice of motion. They were raised in answer to the counter-application.</w:t>
      </w:r>
    </w:p>
  </w:footnote>
  <w:footnote w:id="7">
    <w:p w14:paraId="3B90D7DD" w14:textId="77777777" w:rsidR="00725B6C" w:rsidRPr="00DC70C2" w:rsidRDefault="00725B6C" w:rsidP="00725B6C">
      <w:pPr>
        <w:pStyle w:val="FootnoteText"/>
        <w:jc w:val="both"/>
        <w:rPr>
          <w:lang w:val="en-ZA"/>
        </w:rPr>
      </w:pPr>
      <w:r w:rsidRPr="00DC70C2">
        <w:rPr>
          <w:rStyle w:val="FootnoteReference"/>
        </w:rPr>
        <w:footnoteRef/>
      </w:r>
      <w:r w:rsidRPr="00DC70C2">
        <w:t xml:space="preserve"> </w:t>
      </w:r>
      <w:r w:rsidRPr="00DC70C2">
        <w:rPr>
          <w:i/>
          <w:iCs/>
          <w:lang w:val="en-ZA"/>
        </w:rPr>
        <w:t>Administrator, Estate Richards v Nichol and Another</w:t>
      </w:r>
      <w:r w:rsidRPr="00DC70C2">
        <w:rPr>
          <w:lang w:val="en-ZA"/>
        </w:rPr>
        <w:t xml:space="preserve"> 1996 (4) SA 253 (C) at 258D-F; </w:t>
      </w:r>
      <w:bookmarkStart w:id="3" w:name="_Hlk137457712"/>
      <w:r w:rsidRPr="00DC70C2">
        <w:rPr>
          <w:iCs/>
          <w:lang w:val="en-ZA"/>
        </w:rPr>
        <w:t>Cameron</w:t>
      </w:r>
      <w:r w:rsidRPr="00DC70C2">
        <w:rPr>
          <w:i/>
          <w:iCs/>
          <w:lang w:val="en-ZA"/>
        </w:rPr>
        <w:t xml:space="preserve"> </w:t>
      </w:r>
      <w:r w:rsidRPr="00DC70C2">
        <w:rPr>
          <w:iCs/>
          <w:lang w:val="en-ZA"/>
        </w:rPr>
        <w:t>et al</w:t>
      </w:r>
      <w:r w:rsidRPr="00DC70C2">
        <w:rPr>
          <w:lang w:val="en-ZA"/>
        </w:rPr>
        <w:t xml:space="preserve"> </w:t>
      </w:r>
      <w:proofErr w:type="spellStart"/>
      <w:r w:rsidRPr="00DC70C2">
        <w:rPr>
          <w:i/>
          <w:lang w:val="en-ZA"/>
        </w:rPr>
        <w:t>Honorés</w:t>
      </w:r>
      <w:proofErr w:type="spellEnd"/>
      <w:r w:rsidRPr="00DC70C2">
        <w:rPr>
          <w:i/>
          <w:lang w:val="en-ZA"/>
        </w:rPr>
        <w:t xml:space="preserve"> South African Law of Trusts</w:t>
      </w:r>
      <w:r w:rsidRPr="00DC70C2">
        <w:rPr>
          <w:lang w:val="en-ZA"/>
        </w:rPr>
        <w:t xml:space="preserve"> 6 ed (2018)</w:t>
      </w:r>
      <w:bookmarkEnd w:id="3"/>
      <w:r w:rsidRPr="00DC70C2">
        <w:rPr>
          <w:lang w:val="en-ZA"/>
        </w:rPr>
        <w:t xml:space="preserve"> at 136-137.</w:t>
      </w:r>
    </w:p>
  </w:footnote>
  <w:footnote w:id="8">
    <w:p w14:paraId="1FD90054" w14:textId="7A77A586" w:rsidR="002A6851" w:rsidRPr="00DC70C2" w:rsidRDefault="002A6851">
      <w:pPr>
        <w:pStyle w:val="FootnoteText"/>
        <w:rPr>
          <w:lang w:val="en-ZA"/>
        </w:rPr>
      </w:pPr>
      <w:r w:rsidRPr="00DC70C2">
        <w:rPr>
          <w:rStyle w:val="FootnoteReference"/>
        </w:rPr>
        <w:footnoteRef/>
      </w:r>
      <w:r w:rsidRPr="00DC70C2">
        <w:t xml:space="preserve"> </w:t>
      </w:r>
      <w:r w:rsidRPr="00DC70C2">
        <w:rPr>
          <w:i/>
          <w:iCs/>
          <w:lang w:val="en-ZA"/>
        </w:rPr>
        <w:t>Crookes NO v Watson</w:t>
      </w:r>
      <w:r w:rsidRPr="00DC70C2">
        <w:rPr>
          <w:lang w:val="en-ZA"/>
        </w:rPr>
        <w:t xml:space="preserve"> 1956 (1) SA 277 (A) at 298B-C.</w:t>
      </w:r>
    </w:p>
  </w:footnote>
  <w:footnote w:id="9">
    <w:p w14:paraId="77663F21" w14:textId="7071067C" w:rsidR="00741DE4" w:rsidRPr="00DC70C2" w:rsidRDefault="00741DE4" w:rsidP="00DC61BE">
      <w:pPr>
        <w:pStyle w:val="FootnoteText"/>
        <w:contextualSpacing/>
        <w:jc w:val="both"/>
        <w:rPr>
          <w:lang w:val="en-ZA"/>
        </w:rPr>
      </w:pPr>
      <w:r w:rsidRPr="00DC70C2">
        <w:rPr>
          <w:rStyle w:val="FootnoteReference"/>
        </w:rPr>
        <w:footnoteRef/>
      </w:r>
      <w:r w:rsidRPr="00DC70C2">
        <w:t xml:space="preserve"> </w:t>
      </w:r>
      <w:r w:rsidRPr="00DC70C2">
        <w:rPr>
          <w:lang w:val="en-ZA"/>
        </w:rPr>
        <w:t>The intention to create a trust must be expressed in a form that is apt for the creation of an obligation. Where it is expressed in written form by way of testament, transfer, treaty or contract such formalities as are prescribed for the written form apply. A</w:t>
      </w:r>
      <w:r w:rsidR="007A5A47" w:rsidRPr="00DC70C2">
        <w:rPr>
          <w:lang w:val="en-ZA"/>
        </w:rPr>
        <w:t xml:space="preserve"> trust may also be constituted orally. The written form, where it exists, is evidence of the requirements for constitution of the trust. See </w:t>
      </w:r>
      <w:r w:rsidR="007A5A47" w:rsidRPr="00DC70C2">
        <w:rPr>
          <w:iCs/>
          <w:lang w:val="en-ZA"/>
        </w:rPr>
        <w:t>Cameron</w:t>
      </w:r>
      <w:r w:rsidR="007A5A47" w:rsidRPr="00DC70C2">
        <w:rPr>
          <w:i/>
          <w:iCs/>
          <w:lang w:val="en-ZA"/>
        </w:rPr>
        <w:t xml:space="preserve"> </w:t>
      </w:r>
      <w:r w:rsidR="007A5A47" w:rsidRPr="00DC70C2">
        <w:rPr>
          <w:iCs/>
          <w:lang w:val="en-ZA"/>
        </w:rPr>
        <w:t>et al</w:t>
      </w:r>
      <w:r w:rsidR="007A5A47" w:rsidRPr="00DC70C2">
        <w:rPr>
          <w:lang w:val="en-ZA"/>
        </w:rPr>
        <w:t xml:space="preserve"> </w:t>
      </w:r>
      <w:proofErr w:type="spellStart"/>
      <w:r w:rsidR="007A5A47" w:rsidRPr="00DC70C2">
        <w:rPr>
          <w:i/>
          <w:lang w:val="en-ZA"/>
        </w:rPr>
        <w:t>Honorés</w:t>
      </w:r>
      <w:proofErr w:type="spellEnd"/>
      <w:r w:rsidR="007A5A47" w:rsidRPr="00DC70C2">
        <w:rPr>
          <w:i/>
          <w:lang w:val="en-ZA"/>
        </w:rPr>
        <w:t xml:space="preserve"> South African Law of Trusts</w:t>
      </w:r>
      <w:r w:rsidR="007A5A47" w:rsidRPr="00DC70C2">
        <w:rPr>
          <w:lang w:val="en-ZA"/>
        </w:rPr>
        <w:t xml:space="preserve"> 6 ed (2018)</w:t>
      </w:r>
      <w:r w:rsidR="00DC61BE" w:rsidRPr="00DC70C2">
        <w:rPr>
          <w:lang w:val="en-ZA"/>
        </w:rPr>
        <w:t xml:space="preserve"> at 160 -162.</w:t>
      </w:r>
    </w:p>
  </w:footnote>
  <w:footnote w:id="10">
    <w:p w14:paraId="43569454" w14:textId="77777777" w:rsidR="00E16A1F" w:rsidRPr="00DC70C2" w:rsidRDefault="00E16A1F" w:rsidP="00E16A1F">
      <w:pPr>
        <w:pStyle w:val="FootnoteText"/>
        <w:contextualSpacing/>
        <w:jc w:val="both"/>
        <w:rPr>
          <w:lang w:val="en-ZA"/>
        </w:rPr>
      </w:pPr>
      <w:r w:rsidRPr="00DC70C2">
        <w:rPr>
          <w:rStyle w:val="FootnoteReference"/>
        </w:rPr>
        <w:footnoteRef/>
      </w:r>
      <w:r w:rsidRPr="00DC70C2">
        <w:t xml:space="preserve"> </w:t>
      </w:r>
      <w:proofErr w:type="spellStart"/>
      <w:r w:rsidRPr="00DC70C2">
        <w:rPr>
          <w:i/>
          <w:iCs/>
          <w:lang w:val="en-ZA"/>
        </w:rPr>
        <w:t>Moosa</w:t>
      </w:r>
      <w:proofErr w:type="spellEnd"/>
      <w:r w:rsidRPr="00DC70C2">
        <w:rPr>
          <w:i/>
          <w:iCs/>
          <w:lang w:val="en-ZA"/>
        </w:rPr>
        <w:t xml:space="preserve"> and Another v </w:t>
      </w:r>
      <w:proofErr w:type="spellStart"/>
      <w:r w:rsidRPr="00DC70C2">
        <w:rPr>
          <w:i/>
          <w:iCs/>
          <w:lang w:val="en-ZA"/>
        </w:rPr>
        <w:t>Jhavery</w:t>
      </w:r>
      <w:proofErr w:type="spellEnd"/>
      <w:r w:rsidRPr="00DC70C2">
        <w:rPr>
          <w:i/>
          <w:iCs/>
          <w:lang w:val="en-ZA"/>
        </w:rPr>
        <w:t xml:space="preserve"> </w:t>
      </w:r>
      <w:r w:rsidRPr="00DC70C2">
        <w:rPr>
          <w:lang w:val="en-ZA"/>
        </w:rPr>
        <w:t xml:space="preserve">1958 (4) SA 165 (N) at 169D-F; </w:t>
      </w:r>
      <w:r w:rsidRPr="00DC70C2">
        <w:rPr>
          <w:i/>
          <w:iCs/>
          <w:lang w:val="en-ZA"/>
        </w:rPr>
        <w:t>Mohamed NO and Others v</w:t>
      </w:r>
      <w:r w:rsidRPr="00DC70C2">
        <w:rPr>
          <w:lang w:val="en-ZA"/>
        </w:rPr>
        <w:t xml:space="preserve"> </w:t>
      </w:r>
      <w:r w:rsidRPr="00DC70C2">
        <w:rPr>
          <w:i/>
          <w:iCs/>
          <w:lang w:val="en-ZA"/>
        </w:rPr>
        <w:t xml:space="preserve">Ally </w:t>
      </w:r>
      <w:r w:rsidRPr="00DC70C2">
        <w:rPr>
          <w:lang w:val="en-ZA"/>
        </w:rPr>
        <w:t>1999 (2) SA 42 (SCA); [1999] 1 All SA 419 (A) at 424.</w:t>
      </w:r>
      <w:r w:rsidRPr="00DC70C2">
        <w:rPr>
          <w:i/>
          <w:iCs/>
          <w:lang w:val="en-ZA"/>
        </w:rPr>
        <w:t xml:space="preserve"> </w:t>
      </w:r>
    </w:p>
  </w:footnote>
  <w:footnote w:id="11">
    <w:p w14:paraId="21ED5F91" w14:textId="2E4D4322" w:rsidR="008C7B97" w:rsidRPr="00DC70C2" w:rsidRDefault="008C7B97" w:rsidP="008C7B97">
      <w:pPr>
        <w:pStyle w:val="FootnoteText"/>
        <w:jc w:val="both"/>
      </w:pPr>
      <w:r w:rsidRPr="00DC70C2">
        <w:rPr>
          <w:rStyle w:val="FootnoteReference"/>
        </w:rPr>
        <w:footnoteRef/>
      </w:r>
      <w:r w:rsidRPr="00DC70C2">
        <w:t xml:space="preserve"> </w:t>
      </w:r>
      <w:r w:rsidRPr="00DC70C2">
        <w:rPr>
          <w:i/>
        </w:rPr>
        <w:t xml:space="preserve">Natal Joint Municipal Pension Fund v Endumeni Municipality </w:t>
      </w:r>
      <w:r w:rsidRPr="00DC70C2">
        <w:t>[2012] ZASCA 13; [2012] 2 All SA 262 (SCA); 2012 (4) SA 593 (SCA) para 18.</w:t>
      </w:r>
      <w:r w:rsidR="002A6851" w:rsidRPr="00DC70C2">
        <w:rPr>
          <w:i/>
        </w:rPr>
        <w:t xml:space="preserve"> Chisuse v Director-General, Department of Home Affairs</w:t>
      </w:r>
      <w:r w:rsidR="002A6851" w:rsidRPr="00DC70C2">
        <w:t xml:space="preserve"> [2020] ZACC 20; 2020 (10) BCLR 1173 (CC); 2020 (6) SA 14 (CC) para 52</w:t>
      </w:r>
      <w:r w:rsidR="002A6851" w:rsidRPr="00DC70C2">
        <w:rPr>
          <w:i/>
        </w:rPr>
        <w:t>; University of Johannesburg v Auckland Park Theological Seminary and Another</w:t>
      </w:r>
      <w:r w:rsidR="002A6851" w:rsidRPr="00DC70C2">
        <w:t xml:space="preserve"> [2021] ZACC 13; 2021 (8) BCLR 807 (CC); 2021 (6) SA 1 (CC) para 65.</w:t>
      </w:r>
      <w:r w:rsidR="002A6851" w:rsidRPr="00DC70C2">
        <w:rPr>
          <w:i/>
          <w:sz w:val="24"/>
          <w:szCs w:val="24"/>
        </w:rPr>
        <w:t xml:space="preserve"> </w:t>
      </w:r>
      <w:r w:rsidR="002A6851" w:rsidRPr="00DC70C2">
        <w:rPr>
          <w:i/>
        </w:rPr>
        <w:t xml:space="preserve">Capitec Bank Holdings Limited and Another v Coral Lagoon Investments 194 (Pty) Ltd and Others </w:t>
      </w:r>
      <w:r w:rsidR="002A6851" w:rsidRPr="00DC70C2">
        <w:t>[2021] ZASCA 99; [2021] 3 All SA 647 (SCA); 2022 (1) SA 100 (SCA) para 25.</w:t>
      </w:r>
    </w:p>
  </w:footnote>
  <w:footnote w:id="12">
    <w:p w14:paraId="484ECF30" w14:textId="144A7892" w:rsidR="00235710" w:rsidRPr="00E14663" w:rsidRDefault="00235710">
      <w:pPr>
        <w:pStyle w:val="FootnoteText"/>
        <w:rPr>
          <w:lang w:val="en-ZA"/>
        </w:rPr>
      </w:pPr>
      <w:r>
        <w:rPr>
          <w:rStyle w:val="FootnoteReference"/>
        </w:rPr>
        <w:footnoteRef/>
      </w:r>
      <w:r>
        <w:t xml:space="preserve"> </w:t>
      </w:r>
      <w:r w:rsidRPr="00235710">
        <w:rPr>
          <w:lang w:val="en-ZA"/>
        </w:rPr>
        <w:t>Clause 1 states that the ‘second trustee’ shall refer to Shakeel Hafiz and the ‘third trustee’ shall refer to Aneez Hafiz.</w:t>
      </w:r>
    </w:p>
  </w:footnote>
  <w:footnote w:id="13">
    <w:p w14:paraId="63610207" w14:textId="0D4588A6" w:rsidR="005A7186" w:rsidRPr="00DC70C2" w:rsidRDefault="005A7186" w:rsidP="00CA3092">
      <w:pPr>
        <w:pStyle w:val="FootnoteText"/>
        <w:jc w:val="both"/>
        <w:rPr>
          <w:lang w:val="en-ZA"/>
        </w:rPr>
      </w:pPr>
      <w:r w:rsidRPr="00DC70C2">
        <w:rPr>
          <w:rStyle w:val="FootnoteReference"/>
        </w:rPr>
        <w:footnoteRef/>
      </w:r>
      <w:r w:rsidRPr="00DC70C2">
        <w:t xml:space="preserve"> </w:t>
      </w:r>
      <w:r w:rsidRPr="00DC70C2">
        <w:rPr>
          <w:lang w:val="en-ZA"/>
        </w:rPr>
        <w:t xml:space="preserve">See the explanation on Trusteeship as a public office in </w:t>
      </w:r>
      <w:r w:rsidRPr="00DC70C2">
        <w:rPr>
          <w:iCs/>
          <w:lang w:val="en-ZA"/>
        </w:rPr>
        <w:t>Cameron</w:t>
      </w:r>
      <w:r w:rsidRPr="00DC70C2">
        <w:rPr>
          <w:i/>
          <w:iCs/>
          <w:lang w:val="en-ZA"/>
        </w:rPr>
        <w:t xml:space="preserve"> </w:t>
      </w:r>
      <w:r w:rsidRPr="00DC70C2">
        <w:rPr>
          <w:iCs/>
          <w:lang w:val="en-ZA"/>
        </w:rPr>
        <w:t>et al</w:t>
      </w:r>
      <w:r w:rsidRPr="00DC70C2">
        <w:rPr>
          <w:lang w:val="en-ZA"/>
        </w:rPr>
        <w:t xml:space="preserve"> </w:t>
      </w:r>
      <w:proofErr w:type="spellStart"/>
      <w:r w:rsidRPr="00DC70C2">
        <w:rPr>
          <w:i/>
          <w:lang w:val="en-ZA"/>
        </w:rPr>
        <w:t>Honorés</w:t>
      </w:r>
      <w:proofErr w:type="spellEnd"/>
      <w:r w:rsidRPr="00DC70C2">
        <w:rPr>
          <w:i/>
          <w:lang w:val="en-ZA"/>
        </w:rPr>
        <w:t xml:space="preserve"> South African Law of Trusts</w:t>
      </w:r>
      <w:r w:rsidRPr="00DC70C2">
        <w:rPr>
          <w:lang w:val="en-ZA"/>
        </w:rPr>
        <w:t xml:space="preserve"> 6 ed (2018) at 69 and the trustee’s acceptance of office at 247. </w:t>
      </w:r>
    </w:p>
  </w:footnote>
  <w:footnote w:id="14">
    <w:p w14:paraId="7E4BE1E1" w14:textId="675792C9" w:rsidR="005A7186" w:rsidRPr="00DC70C2" w:rsidRDefault="005A7186" w:rsidP="00CA3092">
      <w:pPr>
        <w:pStyle w:val="FootnoteText"/>
        <w:jc w:val="both"/>
        <w:rPr>
          <w:lang w:val="en-ZA"/>
        </w:rPr>
      </w:pPr>
      <w:r w:rsidRPr="00DC70C2">
        <w:rPr>
          <w:rStyle w:val="FootnoteReference"/>
        </w:rPr>
        <w:footnoteRef/>
      </w:r>
      <w:r w:rsidRPr="00DC70C2">
        <w:t xml:space="preserve"> </w:t>
      </w:r>
      <w:r w:rsidRPr="00DC70C2">
        <w:rPr>
          <w:lang w:val="en-ZA"/>
        </w:rPr>
        <w:t xml:space="preserve">Ibid at 248. </w:t>
      </w:r>
    </w:p>
  </w:footnote>
  <w:footnote w:id="15">
    <w:p w14:paraId="4309A04F" w14:textId="77777777" w:rsidR="00E16AB7" w:rsidRPr="00DC70C2" w:rsidRDefault="00E16AB7" w:rsidP="00E16AB7">
      <w:pPr>
        <w:pStyle w:val="FootnoteText"/>
        <w:jc w:val="both"/>
        <w:rPr>
          <w:lang w:val="en-ZA"/>
        </w:rPr>
      </w:pPr>
      <w:r w:rsidRPr="00DC70C2">
        <w:rPr>
          <w:rStyle w:val="FootnoteReference"/>
        </w:rPr>
        <w:footnoteRef/>
      </w:r>
      <w:r w:rsidRPr="00DC70C2">
        <w:t xml:space="preserve"> </w:t>
      </w:r>
      <w:proofErr w:type="spellStart"/>
      <w:r w:rsidRPr="00DC70C2">
        <w:rPr>
          <w:i/>
          <w:iCs/>
          <w:lang w:val="en-ZA"/>
        </w:rPr>
        <w:t>Gowar</w:t>
      </w:r>
      <w:proofErr w:type="spellEnd"/>
      <w:r w:rsidRPr="00DC70C2">
        <w:rPr>
          <w:i/>
          <w:iCs/>
          <w:lang w:val="en-ZA"/>
        </w:rPr>
        <w:t xml:space="preserve"> and Another v </w:t>
      </w:r>
      <w:proofErr w:type="spellStart"/>
      <w:r w:rsidRPr="00DC70C2">
        <w:rPr>
          <w:i/>
          <w:iCs/>
          <w:lang w:val="en-ZA"/>
        </w:rPr>
        <w:t>Gowar</w:t>
      </w:r>
      <w:proofErr w:type="spellEnd"/>
      <w:r w:rsidRPr="00DC70C2">
        <w:rPr>
          <w:i/>
          <w:iCs/>
          <w:lang w:val="en-ZA"/>
        </w:rPr>
        <w:t xml:space="preserve"> and Others</w:t>
      </w:r>
      <w:r w:rsidRPr="00DC70C2">
        <w:rPr>
          <w:lang w:val="en-ZA"/>
        </w:rPr>
        <w:t xml:space="preserve"> [2016] ZASCA 101; [2016] 3 All SA 382 (SCA); 2016 (5) SA 225 (SCA) para 34.</w:t>
      </w:r>
    </w:p>
  </w:footnote>
  <w:footnote w:id="16">
    <w:p w14:paraId="69DF1394" w14:textId="73347E18" w:rsidR="00CA3092" w:rsidRPr="00DC70C2" w:rsidRDefault="00CA3092" w:rsidP="009351E7">
      <w:pPr>
        <w:pStyle w:val="FootnoteText"/>
        <w:jc w:val="both"/>
        <w:rPr>
          <w:lang w:val="en-ZA"/>
        </w:rPr>
      </w:pPr>
      <w:r w:rsidRPr="00DC70C2">
        <w:rPr>
          <w:rStyle w:val="FootnoteReference"/>
        </w:rPr>
        <w:footnoteRef/>
      </w:r>
      <w:r w:rsidRPr="00DC70C2">
        <w:t xml:space="preserve"> </w:t>
      </w:r>
      <w:r w:rsidRPr="00DC70C2">
        <w:rPr>
          <w:lang w:val="en-ZA"/>
        </w:rPr>
        <w:t xml:space="preserve">No finding was made by the full court on this aspect, and it is not necessary that such finding be made. </w:t>
      </w:r>
      <w:r w:rsidRPr="00DC70C2">
        <w:t xml:space="preserve">The 1994 deed of trust does not appoint them as trustees. </w:t>
      </w:r>
      <w:r w:rsidR="009351E7" w:rsidRPr="00DC70C2">
        <w:t>I</w:t>
      </w:r>
      <w:r w:rsidRPr="00DC70C2">
        <w:t>f clause 4 is taken to relate to the appointment of trustees to the ‘office of trustee’ created by the 1994 deed, then on the plain meaning of the language used, they would only be appointed as trustees in the event of the failure of appointment of a trustee in terms of clause 4.1. It is therefore difficult to reconcile this with the donor’s assertion that it was always intended that they should be appointed as trustees.</w:t>
      </w:r>
      <w:r w:rsidR="009351E7" w:rsidRPr="00DC70C2">
        <w:t xml:space="preserve"> The only indication that they were required to be appointed as trustees appears from clause 7, which deals with the variation of the trust.</w:t>
      </w:r>
    </w:p>
  </w:footnote>
  <w:footnote w:id="17">
    <w:p w14:paraId="4703C840" w14:textId="41A5B95F" w:rsidR="00711F73" w:rsidRPr="00DC70C2" w:rsidRDefault="00711F73" w:rsidP="00711F73">
      <w:pPr>
        <w:pStyle w:val="FootnoteText"/>
        <w:jc w:val="both"/>
        <w:rPr>
          <w:lang w:val="en-ZA"/>
        </w:rPr>
      </w:pPr>
      <w:r w:rsidRPr="00DC70C2">
        <w:rPr>
          <w:rStyle w:val="FootnoteReference"/>
        </w:rPr>
        <w:footnoteRef/>
      </w:r>
      <w:r w:rsidRPr="00DC70C2">
        <w:t xml:space="preserve"> </w:t>
      </w:r>
      <w:r w:rsidR="00BC7C95" w:rsidRPr="00DC70C2">
        <w:rPr>
          <w:lang w:val="en-ZA"/>
        </w:rPr>
        <w:t>Section</w:t>
      </w:r>
      <w:r w:rsidRPr="00DC70C2">
        <w:rPr>
          <w:lang w:val="en-ZA"/>
        </w:rPr>
        <w:t xml:space="preserve"> 7 of the T</w:t>
      </w:r>
      <w:r w:rsidR="00EC4AE6" w:rsidRPr="00DC70C2">
        <w:rPr>
          <w:lang w:val="en-ZA"/>
        </w:rPr>
        <w:t xml:space="preserve">rust </w:t>
      </w:r>
      <w:r w:rsidRPr="00DC70C2">
        <w:rPr>
          <w:lang w:val="en-ZA"/>
        </w:rPr>
        <w:t>P</w:t>
      </w:r>
      <w:r w:rsidR="00EC4AE6" w:rsidRPr="00DC70C2">
        <w:rPr>
          <w:lang w:val="en-ZA"/>
        </w:rPr>
        <w:t xml:space="preserve">roperty </w:t>
      </w:r>
      <w:r w:rsidRPr="00DC70C2">
        <w:rPr>
          <w:lang w:val="en-ZA"/>
        </w:rPr>
        <w:t>C</w:t>
      </w:r>
      <w:r w:rsidR="00EC4AE6" w:rsidRPr="00DC70C2">
        <w:rPr>
          <w:lang w:val="en-ZA"/>
        </w:rPr>
        <w:t xml:space="preserve">ontrol </w:t>
      </w:r>
      <w:r w:rsidRPr="00DC70C2">
        <w:rPr>
          <w:lang w:val="en-ZA"/>
        </w:rPr>
        <w:t>A</w:t>
      </w:r>
      <w:r w:rsidR="00EC4AE6" w:rsidRPr="00DC70C2">
        <w:rPr>
          <w:lang w:val="en-ZA"/>
        </w:rPr>
        <w:t>ct 57 of 1988</w:t>
      </w:r>
      <w:r w:rsidRPr="00DC70C2">
        <w:rPr>
          <w:lang w:val="en-ZA"/>
        </w:rPr>
        <w:t xml:space="preserve"> provides that:</w:t>
      </w:r>
    </w:p>
    <w:p w14:paraId="5C7006EF" w14:textId="77777777" w:rsidR="00711F73" w:rsidRPr="00DC70C2" w:rsidRDefault="00711F73" w:rsidP="00711F73">
      <w:pPr>
        <w:pStyle w:val="FootnoteText"/>
        <w:jc w:val="both"/>
        <w:rPr>
          <w:lang w:val="en-ZA"/>
        </w:rPr>
      </w:pPr>
      <w:r w:rsidRPr="00DC70C2">
        <w:rPr>
          <w:lang w:val="en-ZA"/>
        </w:rPr>
        <w:t>‘(1)  If the office of trustee cannot be filled or becomes vacant, the Master shall, in the absence of any provision in the trust instrument, after consultation with so many interested parties as he may deem necessary, appoint any person as trustee.</w:t>
      </w:r>
    </w:p>
    <w:p w14:paraId="1B73657B" w14:textId="1200A03C" w:rsidR="00711F73" w:rsidRPr="00DC70C2" w:rsidRDefault="00711F73" w:rsidP="008E088C">
      <w:pPr>
        <w:pStyle w:val="FootnoteText"/>
        <w:jc w:val="both"/>
        <w:rPr>
          <w:lang w:val="en-ZA"/>
        </w:rPr>
      </w:pPr>
      <w:r w:rsidRPr="00DC70C2">
        <w:rPr>
          <w:lang w:val="en-ZA"/>
        </w:rPr>
        <w:t>(2)  When the Master considers it desirable, he may, notwithstanding the provisions of the trust instrument, appoint as co-trustee of any serving trustee any person whom he deems fit.’</w:t>
      </w:r>
    </w:p>
  </w:footnote>
  <w:footnote w:id="18">
    <w:p w14:paraId="753932B8" w14:textId="66422133" w:rsidR="008E088C" w:rsidRPr="008E088C" w:rsidRDefault="008E088C">
      <w:pPr>
        <w:pStyle w:val="FootnoteText"/>
        <w:rPr>
          <w:lang w:val="en-ZA"/>
        </w:rPr>
      </w:pPr>
      <w:r w:rsidRPr="00DC70C2">
        <w:rPr>
          <w:rStyle w:val="FootnoteReference"/>
        </w:rPr>
        <w:footnoteRef/>
      </w:r>
      <w:r w:rsidRPr="00DC70C2">
        <w:t xml:space="preserve"> </w:t>
      </w:r>
      <w:r w:rsidRPr="00DC70C2">
        <w:rPr>
          <w:lang w:val="en-ZA"/>
        </w:rPr>
        <w:t xml:space="preserve">The </w:t>
      </w:r>
      <w:proofErr w:type="gramStart"/>
      <w:r w:rsidRPr="00DC70C2">
        <w:rPr>
          <w:lang w:val="en-ZA"/>
        </w:rPr>
        <w:t>Master’s</w:t>
      </w:r>
      <w:proofErr w:type="gramEnd"/>
      <w:r w:rsidRPr="00DC70C2">
        <w:rPr>
          <w:lang w:val="en-ZA"/>
        </w:rPr>
        <w:t xml:space="preserve"> ruling related to appointments made after 21 September 1994. See para 17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184116"/>
      <w:docPartObj>
        <w:docPartGallery w:val="Page Numbers (Top of Page)"/>
        <w:docPartUnique/>
      </w:docPartObj>
    </w:sdtPr>
    <w:sdtEndPr>
      <w:rPr>
        <w:noProof/>
      </w:rPr>
    </w:sdtEndPr>
    <w:sdtContent>
      <w:p w14:paraId="63F90BA4" w14:textId="4029C89F" w:rsidR="00AC322B" w:rsidRDefault="00AC322B">
        <w:pPr>
          <w:pStyle w:val="Header"/>
          <w:jc w:val="right"/>
        </w:pPr>
        <w:r>
          <w:fldChar w:fldCharType="begin"/>
        </w:r>
        <w:r>
          <w:instrText xml:space="preserve"> PAGE   \* MERGEFORMAT </w:instrText>
        </w:r>
        <w:r>
          <w:fldChar w:fldCharType="separate"/>
        </w:r>
        <w:r w:rsidR="00EA2676">
          <w:rPr>
            <w:noProof/>
          </w:rPr>
          <w:t>20</w:t>
        </w:r>
        <w:r>
          <w:rPr>
            <w:noProof/>
          </w:rPr>
          <w:fldChar w:fldCharType="end"/>
        </w:r>
      </w:p>
    </w:sdtContent>
  </w:sdt>
  <w:p w14:paraId="64408AE9" w14:textId="77777777" w:rsidR="00AC322B" w:rsidRDefault="00AC322B">
    <w:pPr>
      <w:pStyle w:val="Header"/>
    </w:pPr>
  </w:p>
  <w:p w14:paraId="75535076" w14:textId="77777777" w:rsidR="00AC322B" w:rsidRDefault="00AC32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3A88C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FE7929"/>
    <w:multiLevelType w:val="hybridMultilevel"/>
    <w:tmpl w:val="CDACD8AE"/>
    <w:lvl w:ilvl="0" w:tplc="4A448992">
      <w:start w:val="1"/>
      <w:numFmt w:val="decimal"/>
      <w:lvlText w:val="[%1]"/>
      <w:lvlJc w:val="left"/>
      <w:pPr>
        <w:ind w:left="0"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87B59"/>
    <w:multiLevelType w:val="hybridMultilevel"/>
    <w:tmpl w:val="5F8C04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4D613E8"/>
    <w:multiLevelType w:val="hybridMultilevel"/>
    <w:tmpl w:val="B798C3A6"/>
    <w:lvl w:ilvl="0" w:tplc="E51E4CD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A5778CB"/>
    <w:multiLevelType w:val="hybridMultilevel"/>
    <w:tmpl w:val="A8B6D3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B7E2EA0"/>
    <w:multiLevelType w:val="hybridMultilevel"/>
    <w:tmpl w:val="35708EBA"/>
    <w:lvl w:ilvl="0" w:tplc="082CF6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C07535F"/>
    <w:multiLevelType w:val="hybridMultilevel"/>
    <w:tmpl w:val="88C8E1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7902BD3"/>
    <w:multiLevelType w:val="hybridMultilevel"/>
    <w:tmpl w:val="091A6740"/>
    <w:lvl w:ilvl="0" w:tplc="1C090001">
      <w:start w:val="1"/>
      <w:numFmt w:val="bullet"/>
      <w:lvlText w:val=""/>
      <w:lvlJc w:val="left"/>
      <w:pPr>
        <w:ind w:left="784" w:hanging="360"/>
      </w:pPr>
      <w:rPr>
        <w:rFonts w:ascii="Symbol" w:hAnsi="Symbol" w:hint="default"/>
      </w:rPr>
    </w:lvl>
    <w:lvl w:ilvl="1" w:tplc="1C090003" w:tentative="1">
      <w:start w:val="1"/>
      <w:numFmt w:val="bullet"/>
      <w:lvlText w:val="o"/>
      <w:lvlJc w:val="left"/>
      <w:pPr>
        <w:ind w:left="1504" w:hanging="360"/>
      </w:pPr>
      <w:rPr>
        <w:rFonts w:ascii="Courier New" w:hAnsi="Courier New" w:cs="Courier New" w:hint="default"/>
      </w:rPr>
    </w:lvl>
    <w:lvl w:ilvl="2" w:tplc="1C090005" w:tentative="1">
      <w:start w:val="1"/>
      <w:numFmt w:val="bullet"/>
      <w:lvlText w:val=""/>
      <w:lvlJc w:val="left"/>
      <w:pPr>
        <w:ind w:left="2224" w:hanging="360"/>
      </w:pPr>
      <w:rPr>
        <w:rFonts w:ascii="Wingdings" w:hAnsi="Wingdings" w:hint="default"/>
      </w:rPr>
    </w:lvl>
    <w:lvl w:ilvl="3" w:tplc="1C090001" w:tentative="1">
      <w:start w:val="1"/>
      <w:numFmt w:val="bullet"/>
      <w:lvlText w:val=""/>
      <w:lvlJc w:val="left"/>
      <w:pPr>
        <w:ind w:left="2944" w:hanging="360"/>
      </w:pPr>
      <w:rPr>
        <w:rFonts w:ascii="Symbol" w:hAnsi="Symbol" w:hint="default"/>
      </w:rPr>
    </w:lvl>
    <w:lvl w:ilvl="4" w:tplc="1C090003" w:tentative="1">
      <w:start w:val="1"/>
      <w:numFmt w:val="bullet"/>
      <w:lvlText w:val="o"/>
      <w:lvlJc w:val="left"/>
      <w:pPr>
        <w:ind w:left="3664" w:hanging="360"/>
      </w:pPr>
      <w:rPr>
        <w:rFonts w:ascii="Courier New" w:hAnsi="Courier New" w:cs="Courier New" w:hint="default"/>
      </w:rPr>
    </w:lvl>
    <w:lvl w:ilvl="5" w:tplc="1C090005" w:tentative="1">
      <w:start w:val="1"/>
      <w:numFmt w:val="bullet"/>
      <w:lvlText w:val=""/>
      <w:lvlJc w:val="left"/>
      <w:pPr>
        <w:ind w:left="4384" w:hanging="360"/>
      </w:pPr>
      <w:rPr>
        <w:rFonts w:ascii="Wingdings" w:hAnsi="Wingdings" w:hint="default"/>
      </w:rPr>
    </w:lvl>
    <w:lvl w:ilvl="6" w:tplc="1C090001" w:tentative="1">
      <w:start w:val="1"/>
      <w:numFmt w:val="bullet"/>
      <w:lvlText w:val=""/>
      <w:lvlJc w:val="left"/>
      <w:pPr>
        <w:ind w:left="5104" w:hanging="360"/>
      </w:pPr>
      <w:rPr>
        <w:rFonts w:ascii="Symbol" w:hAnsi="Symbol" w:hint="default"/>
      </w:rPr>
    </w:lvl>
    <w:lvl w:ilvl="7" w:tplc="1C090003" w:tentative="1">
      <w:start w:val="1"/>
      <w:numFmt w:val="bullet"/>
      <w:lvlText w:val="o"/>
      <w:lvlJc w:val="left"/>
      <w:pPr>
        <w:ind w:left="5824" w:hanging="360"/>
      </w:pPr>
      <w:rPr>
        <w:rFonts w:ascii="Courier New" w:hAnsi="Courier New" w:cs="Courier New" w:hint="default"/>
      </w:rPr>
    </w:lvl>
    <w:lvl w:ilvl="8" w:tplc="1C090005" w:tentative="1">
      <w:start w:val="1"/>
      <w:numFmt w:val="bullet"/>
      <w:lvlText w:val=""/>
      <w:lvlJc w:val="left"/>
      <w:pPr>
        <w:ind w:left="6544" w:hanging="360"/>
      </w:pPr>
      <w:rPr>
        <w:rFonts w:ascii="Wingdings" w:hAnsi="Wingdings" w:hint="default"/>
      </w:rPr>
    </w:lvl>
  </w:abstractNum>
  <w:abstractNum w:abstractNumId="8" w15:restartNumberingAfterBreak="0">
    <w:nsid w:val="52124275"/>
    <w:multiLevelType w:val="hybridMultilevel"/>
    <w:tmpl w:val="95F417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54C544AE"/>
    <w:multiLevelType w:val="hybridMultilevel"/>
    <w:tmpl w:val="EB662F60"/>
    <w:lvl w:ilvl="0" w:tplc="BF8CF5B2">
      <w:start w:val="1"/>
      <w:numFmt w:val="lowerLetter"/>
      <w:lvlText w:val="(%1)"/>
      <w:lvlJc w:val="center"/>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0" w15:restartNumberingAfterBreak="0">
    <w:nsid w:val="59654BA6"/>
    <w:multiLevelType w:val="hybridMultilevel"/>
    <w:tmpl w:val="A3CA12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B231662"/>
    <w:multiLevelType w:val="hybridMultilevel"/>
    <w:tmpl w:val="CE7C0F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835533571">
    <w:abstractNumId w:val="0"/>
  </w:num>
  <w:num w:numId="2" w16cid:durableId="933324339">
    <w:abstractNumId w:val="1"/>
  </w:num>
  <w:num w:numId="3" w16cid:durableId="557056707">
    <w:abstractNumId w:val="6"/>
  </w:num>
  <w:num w:numId="4" w16cid:durableId="1900438498">
    <w:abstractNumId w:val="11"/>
  </w:num>
  <w:num w:numId="5" w16cid:durableId="985014268">
    <w:abstractNumId w:val="10"/>
  </w:num>
  <w:num w:numId="6" w16cid:durableId="1578590097">
    <w:abstractNumId w:val="4"/>
  </w:num>
  <w:num w:numId="7" w16cid:durableId="17707878">
    <w:abstractNumId w:val="7"/>
  </w:num>
  <w:num w:numId="8" w16cid:durableId="272710634">
    <w:abstractNumId w:val="8"/>
  </w:num>
  <w:num w:numId="9" w16cid:durableId="1728527371">
    <w:abstractNumId w:val="2"/>
  </w:num>
  <w:num w:numId="10" w16cid:durableId="1114400828">
    <w:abstractNumId w:val="3"/>
  </w:num>
  <w:num w:numId="11" w16cid:durableId="2069959619">
    <w:abstractNumId w:val="9"/>
  </w:num>
  <w:num w:numId="12" w16cid:durableId="20041209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DW2NDO1NDcxMDI1MbZQ0lEKTi0uzszPAykwqQUAj2+7wCwAAAA="/>
  </w:docVars>
  <w:rsids>
    <w:rsidRoot w:val="00F17FD3"/>
    <w:rsid w:val="000008E3"/>
    <w:rsid w:val="00001B9A"/>
    <w:rsid w:val="000028CE"/>
    <w:rsid w:val="00004CDD"/>
    <w:rsid w:val="000078C0"/>
    <w:rsid w:val="00010858"/>
    <w:rsid w:val="00011D12"/>
    <w:rsid w:val="0001201C"/>
    <w:rsid w:val="000128B0"/>
    <w:rsid w:val="00013F1F"/>
    <w:rsid w:val="00014159"/>
    <w:rsid w:val="000150E6"/>
    <w:rsid w:val="00015759"/>
    <w:rsid w:val="00015CDF"/>
    <w:rsid w:val="00015E7E"/>
    <w:rsid w:val="0001732F"/>
    <w:rsid w:val="00017AA6"/>
    <w:rsid w:val="00017B75"/>
    <w:rsid w:val="00017E19"/>
    <w:rsid w:val="000202EF"/>
    <w:rsid w:val="00020836"/>
    <w:rsid w:val="00023842"/>
    <w:rsid w:val="00023AA2"/>
    <w:rsid w:val="00024DD4"/>
    <w:rsid w:val="000267AE"/>
    <w:rsid w:val="000307C8"/>
    <w:rsid w:val="00031F15"/>
    <w:rsid w:val="00032865"/>
    <w:rsid w:val="00033B85"/>
    <w:rsid w:val="00033B9F"/>
    <w:rsid w:val="00034635"/>
    <w:rsid w:val="00034CE6"/>
    <w:rsid w:val="000404DB"/>
    <w:rsid w:val="00040611"/>
    <w:rsid w:val="00040B65"/>
    <w:rsid w:val="00041CBA"/>
    <w:rsid w:val="00042D98"/>
    <w:rsid w:val="00044F23"/>
    <w:rsid w:val="0004540D"/>
    <w:rsid w:val="00046101"/>
    <w:rsid w:val="00047339"/>
    <w:rsid w:val="00052C1C"/>
    <w:rsid w:val="00052C43"/>
    <w:rsid w:val="00053740"/>
    <w:rsid w:val="000537D6"/>
    <w:rsid w:val="00053FF2"/>
    <w:rsid w:val="0005538E"/>
    <w:rsid w:val="00055AD5"/>
    <w:rsid w:val="00055C99"/>
    <w:rsid w:val="000565F5"/>
    <w:rsid w:val="00056A69"/>
    <w:rsid w:val="000600FC"/>
    <w:rsid w:val="00060A27"/>
    <w:rsid w:val="000637FA"/>
    <w:rsid w:val="000639C5"/>
    <w:rsid w:val="000644DA"/>
    <w:rsid w:val="000648D0"/>
    <w:rsid w:val="0006511B"/>
    <w:rsid w:val="0006537B"/>
    <w:rsid w:val="00067EC8"/>
    <w:rsid w:val="00073BEA"/>
    <w:rsid w:val="00075D7F"/>
    <w:rsid w:val="00080877"/>
    <w:rsid w:val="000815BD"/>
    <w:rsid w:val="0008450F"/>
    <w:rsid w:val="00084A04"/>
    <w:rsid w:val="00085254"/>
    <w:rsid w:val="000853B3"/>
    <w:rsid w:val="0009007F"/>
    <w:rsid w:val="00090E16"/>
    <w:rsid w:val="00092984"/>
    <w:rsid w:val="000933C2"/>
    <w:rsid w:val="00093927"/>
    <w:rsid w:val="00093BB8"/>
    <w:rsid w:val="0009455D"/>
    <w:rsid w:val="0009629E"/>
    <w:rsid w:val="0009638E"/>
    <w:rsid w:val="00096D7C"/>
    <w:rsid w:val="000A3662"/>
    <w:rsid w:val="000B034A"/>
    <w:rsid w:val="000B0842"/>
    <w:rsid w:val="000B2624"/>
    <w:rsid w:val="000B2C3C"/>
    <w:rsid w:val="000B498F"/>
    <w:rsid w:val="000B60F9"/>
    <w:rsid w:val="000B6953"/>
    <w:rsid w:val="000B732F"/>
    <w:rsid w:val="000B73BA"/>
    <w:rsid w:val="000B7C09"/>
    <w:rsid w:val="000C1370"/>
    <w:rsid w:val="000C19D4"/>
    <w:rsid w:val="000C1E28"/>
    <w:rsid w:val="000C25EC"/>
    <w:rsid w:val="000C5811"/>
    <w:rsid w:val="000D2805"/>
    <w:rsid w:val="000D28CE"/>
    <w:rsid w:val="000D2A7C"/>
    <w:rsid w:val="000D3D83"/>
    <w:rsid w:val="000D54DD"/>
    <w:rsid w:val="000D6F02"/>
    <w:rsid w:val="000D723F"/>
    <w:rsid w:val="000D7B16"/>
    <w:rsid w:val="000D7DC5"/>
    <w:rsid w:val="000E07D8"/>
    <w:rsid w:val="000E2370"/>
    <w:rsid w:val="000E29F2"/>
    <w:rsid w:val="000E3AE8"/>
    <w:rsid w:val="000E4080"/>
    <w:rsid w:val="000E4AC6"/>
    <w:rsid w:val="000E5110"/>
    <w:rsid w:val="000E616C"/>
    <w:rsid w:val="000E6F29"/>
    <w:rsid w:val="000E7EAA"/>
    <w:rsid w:val="000F141A"/>
    <w:rsid w:val="000F26CC"/>
    <w:rsid w:val="000F3079"/>
    <w:rsid w:val="000F3229"/>
    <w:rsid w:val="000F38D5"/>
    <w:rsid w:val="000F45D2"/>
    <w:rsid w:val="001003E1"/>
    <w:rsid w:val="0010259F"/>
    <w:rsid w:val="001051AB"/>
    <w:rsid w:val="001121A2"/>
    <w:rsid w:val="00112757"/>
    <w:rsid w:val="00113BE9"/>
    <w:rsid w:val="00114D5C"/>
    <w:rsid w:val="00116255"/>
    <w:rsid w:val="00116D28"/>
    <w:rsid w:val="001173DD"/>
    <w:rsid w:val="00117B0F"/>
    <w:rsid w:val="00117D2D"/>
    <w:rsid w:val="001218FD"/>
    <w:rsid w:val="00122485"/>
    <w:rsid w:val="00123077"/>
    <w:rsid w:val="0012308D"/>
    <w:rsid w:val="00123C58"/>
    <w:rsid w:val="00125610"/>
    <w:rsid w:val="00125745"/>
    <w:rsid w:val="001301F3"/>
    <w:rsid w:val="00130D21"/>
    <w:rsid w:val="0013126A"/>
    <w:rsid w:val="00132E62"/>
    <w:rsid w:val="00133113"/>
    <w:rsid w:val="0013371E"/>
    <w:rsid w:val="00134156"/>
    <w:rsid w:val="001363A1"/>
    <w:rsid w:val="001379DD"/>
    <w:rsid w:val="001401AF"/>
    <w:rsid w:val="00140596"/>
    <w:rsid w:val="001406DB"/>
    <w:rsid w:val="00140BF4"/>
    <w:rsid w:val="00141EE1"/>
    <w:rsid w:val="001425CA"/>
    <w:rsid w:val="00142A3A"/>
    <w:rsid w:val="0014437B"/>
    <w:rsid w:val="00144A7F"/>
    <w:rsid w:val="00144C2D"/>
    <w:rsid w:val="00146161"/>
    <w:rsid w:val="00150BE9"/>
    <w:rsid w:val="0015111A"/>
    <w:rsid w:val="00151B7C"/>
    <w:rsid w:val="001552E6"/>
    <w:rsid w:val="001562BD"/>
    <w:rsid w:val="00156619"/>
    <w:rsid w:val="00156B90"/>
    <w:rsid w:val="0016054A"/>
    <w:rsid w:val="00160B6B"/>
    <w:rsid w:val="00163532"/>
    <w:rsid w:val="00164FDE"/>
    <w:rsid w:val="0017036E"/>
    <w:rsid w:val="0017101D"/>
    <w:rsid w:val="0017568A"/>
    <w:rsid w:val="001763CC"/>
    <w:rsid w:val="001806A3"/>
    <w:rsid w:val="00181225"/>
    <w:rsid w:val="001813E0"/>
    <w:rsid w:val="00181535"/>
    <w:rsid w:val="00181F71"/>
    <w:rsid w:val="00183C38"/>
    <w:rsid w:val="00185B56"/>
    <w:rsid w:val="00185DB7"/>
    <w:rsid w:val="001871AD"/>
    <w:rsid w:val="00190699"/>
    <w:rsid w:val="00190CD3"/>
    <w:rsid w:val="0019136C"/>
    <w:rsid w:val="001927F6"/>
    <w:rsid w:val="00194DE9"/>
    <w:rsid w:val="00195560"/>
    <w:rsid w:val="00196989"/>
    <w:rsid w:val="001A0009"/>
    <w:rsid w:val="001A03E2"/>
    <w:rsid w:val="001A2033"/>
    <w:rsid w:val="001A278A"/>
    <w:rsid w:val="001A33C1"/>
    <w:rsid w:val="001A3B06"/>
    <w:rsid w:val="001A3E96"/>
    <w:rsid w:val="001A4230"/>
    <w:rsid w:val="001A594F"/>
    <w:rsid w:val="001A60A3"/>
    <w:rsid w:val="001A75B7"/>
    <w:rsid w:val="001A7A18"/>
    <w:rsid w:val="001B0A38"/>
    <w:rsid w:val="001B0A5A"/>
    <w:rsid w:val="001B218D"/>
    <w:rsid w:val="001B2EEA"/>
    <w:rsid w:val="001B5E69"/>
    <w:rsid w:val="001B67F6"/>
    <w:rsid w:val="001C0439"/>
    <w:rsid w:val="001C25A9"/>
    <w:rsid w:val="001C4A2C"/>
    <w:rsid w:val="001C60B5"/>
    <w:rsid w:val="001C6558"/>
    <w:rsid w:val="001C6FBF"/>
    <w:rsid w:val="001C7EE9"/>
    <w:rsid w:val="001D0541"/>
    <w:rsid w:val="001D1924"/>
    <w:rsid w:val="001D26E5"/>
    <w:rsid w:val="001D28B7"/>
    <w:rsid w:val="001D2C29"/>
    <w:rsid w:val="001D3386"/>
    <w:rsid w:val="001D5022"/>
    <w:rsid w:val="001D55E8"/>
    <w:rsid w:val="001D5B11"/>
    <w:rsid w:val="001D765D"/>
    <w:rsid w:val="001D7AD1"/>
    <w:rsid w:val="001D7B33"/>
    <w:rsid w:val="001E0605"/>
    <w:rsid w:val="001E0EBA"/>
    <w:rsid w:val="001E19C1"/>
    <w:rsid w:val="001E1B79"/>
    <w:rsid w:val="001E393C"/>
    <w:rsid w:val="001E4E0C"/>
    <w:rsid w:val="001E58F7"/>
    <w:rsid w:val="001E6502"/>
    <w:rsid w:val="001E6E12"/>
    <w:rsid w:val="001F0246"/>
    <w:rsid w:val="001F0465"/>
    <w:rsid w:val="001F0ACB"/>
    <w:rsid w:val="001F0F9C"/>
    <w:rsid w:val="001F3841"/>
    <w:rsid w:val="001F72AC"/>
    <w:rsid w:val="001F7872"/>
    <w:rsid w:val="001F78A9"/>
    <w:rsid w:val="00202C9C"/>
    <w:rsid w:val="00203035"/>
    <w:rsid w:val="002069E5"/>
    <w:rsid w:val="002073CD"/>
    <w:rsid w:val="00210C6A"/>
    <w:rsid w:val="002143AC"/>
    <w:rsid w:val="002157E7"/>
    <w:rsid w:val="00217499"/>
    <w:rsid w:val="00222136"/>
    <w:rsid w:val="0022233E"/>
    <w:rsid w:val="00223AEC"/>
    <w:rsid w:val="00224A0E"/>
    <w:rsid w:val="00226052"/>
    <w:rsid w:val="002265E5"/>
    <w:rsid w:val="0022665A"/>
    <w:rsid w:val="002266AC"/>
    <w:rsid w:val="002308D7"/>
    <w:rsid w:val="0023112C"/>
    <w:rsid w:val="00231B69"/>
    <w:rsid w:val="00232C2E"/>
    <w:rsid w:val="00232E2C"/>
    <w:rsid w:val="0023381E"/>
    <w:rsid w:val="00235710"/>
    <w:rsid w:val="00237A8A"/>
    <w:rsid w:val="002407F9"/>
    <w:rsid w:val="00241362"/>
    <w:rsid w:val="00241553"/>
    <w:rsid w:val="00241BEF"/>
    <w:rsid w:val="0024265E"/>
    <w:rsid w:val="00242C99"/>
    <w:rsid w:val="002445CE"/>
    <w:rsid w:val="002464C9"/>
    <w:rsid w:val="0026028E"/>
    <w:rsid w:val="002603CE"/>
    <w:rsid w:val="00261FDC"/>
    <w:rsid w:val="002639D8"/>
    <w:rsid w:val="002642C6"/>
    <w:rsid w:val="0026443F"/>
    <w:rsid w:val="00264DAE"/>
    <w:rsid w:val="00271AEF"/>
    <w:rsid w:val="00273BB7"/>
    <w:rsid w:val="0027443D"/>
    <w:rsid w:val="00274669"/>
    <w:rsid w:val="00274A22"/>
    <w:rsid w:val="00275D95"/>
    <w:rsid w:val="00276004"/>
    <w:rsid w:val="002766BB"/>
    <w:rsid w:val="00276D86"/>
    <w:rsid w:val="002774D4"/>
    <w:rsid w:val="0028047F"/>
    <w:rsid w:val="00280F54"/>
    <w:rsid w:val="00282059"/>
    <w:rsid w:val="00283FA2"/>
    <w:rsid w:val="002849E5"/>
    <w:rsid w:val="0028531F"/>
    <w:rsid w:val="00285B37"/>
    <w:rsid w:val="00285F3E"/>
    <w:rsid w:val="002876C3"/>
    <w:rsid w:val="002876C7"/>
    <w:rsid w:val="00287B86"/>
    <w:rsid w:val="00290A50"/>
    <w:rsid w:val="002916AA"/>
    <w:rsid w:val="0029377C"/>
    <w:rsid w:val="002A0C38"/>
    <w:rsid w:val="002A199D"/>
    <w:rsid w:val="002A26E5"/>
    <w:rsid w:val="002A46C7"/>
    <w:rsid w:val="002A4B87"/>
    <w:rsid w:val="002A5D5D"/>
    <w:rsid w:val="002A6851"/>
    <w:rsid w:val="002A72F9"/>
    <w:rsid w:val="002B48FE"/>
    <w:rsid w:val="002B7CC2"/>
    <w:rsid w:val="002C723E"/>
    <w:rsid w:val="002C7C98"/>
    <w:rsid w:val="002D0A2E"/>
    <w:rsid w:val="002D1A48"/>
    <w:rsid w:val="002D59E9"/>
    <w:rsid w:val="002D5F62"/>
    <w:rsid w:val="002D7A30"/>
    <w:rsid w:val="002E4936"/>
    <w:rsid w:val="002E6C89"/>
    <w:rsid w:val="002F240C"/>
    <w:rsid w:val="002F729A"/>
    <w:rsid w:val="00301B5E"/>
    <w:rsid w:val="00303F39"/>
    <w:rsid w:val="00305E51"/>
    <w:rsid w:val="00306347"/>
    <w:rsid w:val="003073CB"/>
    <w:rsid w:val="00307BF6"/>
    <w:rsid w:val="003106A5"/>
    <w:rsid w:val="00311493"/>
    <w:rsid w:val="00312F34"/>
    <w:rsid w:val="00313166"/>
    <w:rsid w:val="003135E0"/>
    <w:rsid w:val="003136A9"/>
    <w:rsid w:val="00315026"/>
    <w:rsid w:val="003151A7"/>
    <w:rsid w:val="003160C6"/>
    <w:rsid w:val="00316423"/>
    <w:rsid w:val="0031705B"/>
    <w:rsid w:val="00317763"/>
    <w:rsid w:val="00317F69"/>
    <w:rsid w:val="00321661"/>
    <w:rsid w:val="003225D4"/>
    <w:rsid w:val="00324952"/>
    <w:rsid w:val="00331C52"/>
    <w:rsid w:val="00331D9C"/>
    <w:rsid w:val="00331F16"/>
    <w:rsid w:val="0033348D"/>
    <w:rsid w:val="00334079"/>
    <w:rsid w:val="00335A3B"/>
    <w:rsid w:val="00336B1C"/>
    <w:rsid w:val="003374E4"/>
    <w:rsid w:val="0033794E"/>
    <w:rsid w:val="00340233"/>
    <w:rsid w:val="003403FE"/>
    <w:rsid w:val="00340A7C"/>
    <w:rsid w:val="00343A8F"/>
    <w:rsid w:val="00344681"/>
    <w:rsid w:val="00345780"/>
    <w:rsid w:val="0034744D"/>
    <w:rsid w:val="003508EB"/>
    <w:rsid w:val="003514B9"/>
    <w:rsid w:val="00351B4B"/>
    <w:rsid w:val="00353528"/>
    <w:rsid w:val="00353C2A"/>
    <w:rsid w:val="00354421"/>
    <w:rsid w:val="00355ABF"/>
    <w:rsid w:val="0035679F"/>
    <w:rsid w:val="0036002E"/>
    <w:rsid w:val="0036026A"/>
    <w:rsid w:val="00361C13"/>
    <w:rsid w:val="00361E70"/>
    <w:rsid w:val="0036244E"/>
    <w:rsid w:val="00364FD1"/>
    <w:rsid w:val="003653B5"/>
    <w:rsid w:val="003657B2"/>
    <w:rsid w:val="003679B1"/>
    <w:rsid w:val="00367F07"/>
    <w:rsid w:val="00370203"/>
    <w:rsid w:val="00373DB7"/>
    <w:rsid w:val="00374415"/>
    <w:rsid w:val="00375FDD"/>
    <w:rsid w:val="00380398"/>
    <w:rsid w:val="003807D7"/>
    <w:rsid w:val="00381278"/>
    <w:rsid w:val="003828B8"/>
    <w:rsid w:val="00383787"/>
    <w:rsid w:val="00383D59"/>
    <w:rsid w:val="003847EF"/>
    <w:rsid w:val="003858DE"/>
    <w:rsid w:val="003869DE"/>
    <w:rsid w:val="00386A69"/>
    <w:rsid w:val="003877E1"/>
    <w:rsid w:val="0038780F"/>
    <w:rsid w:val="00387FD4"/>
    <w:rsid w:val="003911BD"/>
    <w:rsid w:val="00392119"/>
    <w:rsid w:val="00392AF1"/>
    <w:rsid w:val="00393D5E"/>
    <w:rsid w:val="00394422"/>
    <w:rsid w:val="00394C6E"/>
    <w:rsid w:val="00395256"/>
    <w:rsid w:val="00395FF5"/>
    <w:rsid w:val="00396B45"/>
    <w:rsid w:val="00397D3B"/>
    <w:rsid w:val="003A171B"/>
    <w:rsid w:val="003A1D65"/>
    <w:rsid w:val="003A28B9"/>
    <w:rsid w:val="003A2F50"/>
    <w:rsid w:val="003A3460"/>
    <w:rsid w:val="003A68B6"/>
    <w:rsid w:val="003A698E"/>
    <w:rsid w:val="003B03DF"/>
    <w:rsid w:val="003B0B2D"/>
    <w:rsid w:val="003B113A"/>
    <w:rsid w:val="003B39F0"/>
    <w:rsid w:val="003B599B"/>
    <w:rsid w:val="003C02B4"/>
    <w:rsid w:val="003C1E0F"/>
    <w:rsid w:val="003C30A0"/>
    <w:rsid w:val="003C4E37"/>
    <w:rsid w:val="003C52C3"/>
    <w:rsid w:val="003C6D17"/>
    <w:rsid w:val="003C6DF1"/>
    <w:rsid w:val="003C7897"/>
    <w:rsid w:val="003D0730"/>
    <w:rsid w:val="003D18FF"/>
    <w:rsid w:val="003D269F"/>
    <w:rsid w:val="003D4416"/>
    <w:rsid w:val="003D4F37"/>
    <w:rsid w:val="003D5109"/>
    <w:rsid w:val="003E0565"/>
    <w:rsid w:val="003E0944"/>
    <w:rsid w:val="003E0B55"/>
    <w:rsid w:val="003E0C8F"/>
    <w:rsid w:val="003E2469"/>
    <w:rsid w:val="003E51C8"/>
    <w:rsid w:val="003E589E"/>
    <w:rsid w:val="003E5AAE"/>
    <w:rsid w:val="003E6C1B"/>
    <w:rsid w:val="003F03DC"/>
    <w:rsid w:val="003F3634"/>
    <w:rsid w:val="003F4A3C"/>
    <w:rsid w:val="003F4CC3"/>
    <w:rsid w:val="003F53A1"/>
    <w:rsid w:val="003F570A"/>
    <w:rsid w:val="003F57E2"/>
    <w:rsid w:val="003F774A"/>
    <w:rsid w:val="00400314"/>
    <w:rsid w:val="004006D6"/>
    <w:rsid w:val="00400F97"/>
    <w:rsid w:val="0040246F"/>
    <w:rsid w:val="00402AAB"/>
    <w:rsid w:val="00403516"/>
    <w:rsid w:val="0040554A"/>
    <w:rsid w:val="004066B2"/>
    <w:rsid w:val="00406814"/>
    <w:rsid w:val="00406A3E"/>
    <w:rsid w:val="00406AA7"/>
    <w:rsid w:val="00406F0A"/>
    <w:rsid w:val="00406F30"/>
    <w:rsid w:val="00407823"/>
    <w:rsid w:val="0041188E"/>
    <w:rsid w:val="00412A5B"/>
    <w:rsid w:val="004133FA"/>
    <w:rsid w:val="00413648"/>
    <w:rsid w:val="0041597F"/>
    <w:rsid w:val="00415C6C"/>
    <w:rsid w:val="00420D99"/>
    <w:rsid w:val="004212A7"/>
    <w:rsid w:val="0042254A"/>
    <w:rsid w:val="00423768"/>
    <w:rsid w:val="004250B1"/>
    <w:rsid w:val="004309EC"/>
    <w:rsid w:val="00432BD1"/>
    <w:rsid w:val="00433D37"/>
    <w:rsid w:val="00440125"/>
    <w:rsid w:val="00441A07"/>
    <w:rsid w:val="00446B7D"/>
    <w:rsid w:val="00446CF3"/>
    <w:rsid w:val="004470FA"/>
    <w:rsid w:val="00447D59"/>
    <w:rsid w:val="0045166F"/>
    <w:rsid w:val="00452F47"/>
    <w:rsid w:val="004540BB"/>
    <w:rsid w:val="00456961"/>
    <w:rsid w:val="004573A8"/>
    <w:rsid w:val="00457F22"/>
    <w:rsid w:val="00462293"/>
    <w:rsid w:val="004623EA"/>
    <w:rsid w:val="004631A3"/>
    <w:rsid w:val="0046467F"/>
    <w:rsid w:val="00464C52"/>
    <w:rsid w:val="00464C8C"/>
    <w:rsid w:val="00466F6B"/>
    <w:rsid w:val="0046737A"/>
    <w:rsid w:val="00470017"/>
    <w:rsid w:val="004713B0"/>
    <w:rsid w:val="004727B0"/>
    <w:rsid w:val="0047314A"/>
    <w:rsid w:val="00474C0E"/>
    <w:rsid w:val="004760C5"/>
    <w:rsid w:val="00476178"/>
    <w:rsid w:val="00476310"/>
    <w:rsid w:val="0047746A"/>
    <w:rsid w:val="00477A67"/>
    <w:rsid w:val="00480E28"/>
    <w:rsid w:val="0048194F"/>
    <w:rsid w:val="00481CF0"/>
    <w:rsid w:val="00482F35"/>
    <w:rsid w:val="004834FD"/>
    <w:rsid w:val="0048372C"/>
    <w:rsid w:val="00484D5F"/>
    <w:rsid w:val="00485993"/>
    <w:rsid w:val="00485C08"/>
    <w:rsid w:val="004868B5"/>
    <w:rsid w:val="00486E9F"/>
    <w:rsid w:val="00487348"/>
    <w:rsid w:val="00487613"/>
    <w:rsid w:val="00487BDD"/>
    <w:rsid w:val="00487C75"/>
    <w:rsid w:val="00491A79"/>
    <w:rsid w:val="00491DAF"/>
    <w:rsid w:val="004A145D"/>
    <w:rsid w:val="004A240D"/>
    <w:rsid w:val="004A2551"/>
    <w:rsid w:val="004A3B59"/>
    <w:rsid w:val="004A3CCF"/>
    <w:rsid w:val="004A46E2"/>
    <w:rsid w:val="004A4AC9"/>
    <w:rsid w:val="004A4B33"/>
    <w:rsid w:val="004A4BD0"/>
    <w:rsid w:val="004A5201"/>
    <w:rsid w:val="004A7705"/>
    <w:rsid w:val="004B0C34"/>
    <w:rsid w:val="004B10AD"/>
    <w:rsid w:val="004B219D"/>
    <w:rsid w:val="004B36A0"/>
    <w:rsid w:val="004B37A7"/>
    <w:rsid w:val="004B4F54"/>
    <w:rsid w:val="004B5077"/>
    <w:rsid w:val="004C0015"/>
    <w:rsid w:val="004C00F1"/>
    <w:rsid w:val="004C0917"/>
    <w:rsid w:val="004C1EA9"/>
    <w:rsid w:val="004C2606"/>
    <w:rsid w:val="004C39E3"/>
    <w:rsid w:val="004C4294"/>
    <w:rsid w:val="004C76D6"/>
    <w:rsid w:val="004D036D"/>
    <w:rsid w:val="004D086B"/>
    <w:rsid w:val="004D0C14"/>
    <w:rsid w:val="004D0C86"/>
    <w:rsid w:val="004D247C"/>
    <w:rsid w:val="004D4B5F"/>
    <w:rsid w:val="004D5605"/>
    <w:rsid w:val="004D575F"/>
    <w:rsid w:val="004D6471"/>
    <w:rsid w:val="004D6C51"/>
    <w:rsid w:val="004D6D54"/>
    <w:rsid w:val="004D738D"/>
    <w:rsid w:val="004E0046"/>
    <w:rsid w:val="004E175B"/>
    <w:rsid w:val="004E268C"/>
    <w:rsid w:val="004E3353"/>
    <w:rsid w:val="004E5D9C"/>
    <w:rsid w:val="004E5ED6"/>
    <w:rsid w:val="004E60E6"/>
    <w:rsid w:val="004E72D0"/>
    <w:rsid w:val="004F116D"/>
    <w:rsid w:val="004F306E"/>
    <w:rsid w:val="004F4507"/>
    <w:rsid w:val="004F47EB"/>
    <w:rsid w:val="004F6384"/>
    <w:rsid w:val="004F6686"/>
    <w:rsid w:val="004F721C"/>
    <w:rsid w:val="004F7928"/>
    <w:rsid w:val="005023EF"/>
    <w:rsid w:val="00502C4D"/>
    <w:rsid w:val="00503581"/>
    <w:rsid w:val="00503C2C"/>
    <w:rsid w:val="005042AB"/>
    <w:rsid w:val="0050562A"/>
    <w:rsid w:val="00507536"/>
    <w:rsid w:val="00512500"/>
    <w:rsid w:val="00512D47"/>
    <w:rsid w:val="0051652C"/>
    <w:rsid w:val="005176EB"/>
    <w:rsid w:val="00517DB0"/>
    <w:rsid w:val="00520768"/>
    <w:rsid w:val="005209E5"/>
    <w:rsid w:val="00520E7A"/>
    <w:rsid w:val="00521B76"/>
    <w:rsid w:val="00522F4C"/>
    <w:rsid w:val="00523C9C"/>
    <w:rsid w:val="00523F7B"/>
    <w:rsid w:val="00524776"/>
    <w:rsid w:val="00524BBD"/>
    <w:rsid w:val="00524D19"/>
    <w:rsid w:val="005255CD"/>
    <w:rsid w:val="00525995"/>
    <w:rsid w:val="00525BFE"/>
    <w:rsid w:val="00526B29"/>
    <w:rsid w:val="00526F1F"/>
    <w:rsid w:val="0052751C"/>
    <w:rsid w:val="00527D95"/>
    <w:rsid w:val="00530F26"/>
    <w:rsid w:val="0053208F"/>
    <w:rsid w:val="00533CD8"/>
    <w:rsid w:val="00534618"/>
    <w:rsid w:val="0053571A"/>
    <w:rsid w:val="00535E53"/>
    <w:rsid w:val="00536053"/>
    <w:rsid w:val="005368C7"/>
    <w:rsid w:val="005422DE"/>
    <w:rsid w:val="0054367E"/>
    <w:rsid w:val="00543942"/>
    <w:rsid w:val="00546FC8"/>
    <w:rsid w:val="00550410"/>
    <w:rsid w:val="005515EB"/>
    <w:rsid w:val="0055470B"/>
    <w:rsid w:val="00555174"/>
    <w:rsid w:val="00555870"/>
    <w:rsid w:val="005558B3"/>
    <w:rsid w:val="00560594"/>
    <w:rsid w:val="005616E8"/>
    <w:rsid w:val="005626A7"/>
    <w:rsid w:val="005628F9"/>
    <w:rsid w:val="005629FC"/>
    <w:rsid w:val="005635C3"/>
    <w:rsid w:val="00564DE9"/>
    <w:rsid w:val="005706BF"/>
    <w:rsid w:val="00570AAF"/>
    <w:rsid w:val="00570B5F"/>
    <w:rsid w:val="00570F21"/>
    <w:rsid w:val="0057141E"/>
    <w:rsid w:val="0057322F"/>
    <w:rsid w:val="00576234"/>
    <w:rsid w:val="005775F8"/>
    <w:rsid w:val="00581C10"/>
    <w:rsid w:val="00587494"/>
    <w:rsid w:val="0059168D"/>
    <w:rsid w:val="005919E4"/>
    <w:rsid w:val="005932B1"/>
    <w:rsid w:val="005A0324"/>
    <w:rsid w:val="005A0757"/>
    <w:rsid w:val="005A0F21"/>
    <w:rsid w:val="005A57AC"/>
    <w:rsid w:val="005A5974"/>
    <w:rsid w:val="005A7186"/>
    <w:rsid w:val="005A7BC6"/>
    <w:rsid w:val="005A7C0F"/>
    <w:rsid w:val="005B1F94"/>
    <w:rsid w:val="005B3397"/>
    <w:rsid w:val="005B3853"/>
    <w:rsid w:val="005B67A6"/>
    <w:rsid w:val="005B6E78"/>
    <w:rsid w:val="005C128B"/>
    <w:rsid w:val="005C1EFC"/>
    <w:rsid w:val="005C3D5E"/>
    <w:rsid w:val="005C49A1"/>
    <w:rsid w:val="005C4DC3"/>
    <w:rsid w:val="005C6407"/>
    <w:rsid w:val="005C7B2A"/>
    <w:rsid w:val="005D158D"/>
    <w:rsid w:val="005D3E8E"/>
    <w:rsid w:val="005D58D2"/>
    <w:rsid w:val="005D6437"/>
    <w:rsid w:val="005E056B"/>
    <w:rsid w:val="005E05BB"/>
    <w:rsid w:val="005E0CD4"/>
    <w:rsid w:val="005E1B9C"/>
    <w:rsid w:val="005E2A12"/>
    <w:rsid w:val="005E401C"/>
    <w:rsid w:val="005E45DF"/>
    <w:rsid w:val="005E4A85"/>
    <w:rsid w:val="005E53A1"/>
    <w:rsid w:val="005E6C50"/>
    <w:rsid w:val="005F0269"/>
    <w:rsid w:val="005F066A"/>
    <w:rsid w:val="005F14F5"/>
    <w:rsid w:val="005F2A25"/>
    <w:rsid w:val="005F2A4D"/>
    <w:rsid w:val="005F39BE"/>
    <w:rsid w:val="005F4381"/>
    <w:rsid w:val="005F446C"/>
    <w:rsid w:val="005F471B"/>
    <w:rsid w:val="005F5523"/>
    <w:rsid w:val="005F7AC8"/>
    <w:rsid w:val="0060013A"/>
    <w:rsid w:val="00600850"/>
    <w:rsid w:val="006017C8"/>
    <w:rsid w:val="00602DBB"/>
    <w:rsid w:val="00603310"/>
    <w:rsid w:val="00604606"/>
    <w:rsid w:val="00605EA1"/>
    <w:rsid w:val="006060FD"/>
    <w:rsid w:val="0060758D"/>
    <w:rsid w:val="00610A7F"/>
    <w:rsid w:val="00612469"/>
    <w:rsid w:val="00613AF2"/>
    <w:rsid w:val="00613C39"/>
    <w:rsid w:val="00614833"/>
    <w:rsid w:val="00614A18"/>
    <w:rsid w:val="00615E44"/>
    <w:rsid w:val="006217B9"/>
    <w:rsid w:val="006221A2"/>
    <w:rsid w:val="006234EA"/>
    <w:rsid w:val="006238DE"/>
    <w:rsid w:val="00626380"/>
    <w:rsid w:val="00626CAC"/>
    <w:rsid w:val="00627868"/>
    <w:rsid w:val="0063028A"/>
    <w:rsid w:val="00630E9A"/>
    <w:rsid w:val="006320F6"/>
    <w:rsid w:val="00632823"/>
    <w:rsid w:val="006336C8"/>
    <w:rsid w:val="00634D7A"/>
    <w:rsid w:val="00635310"/>
    <w:rsid w:val="00636616"/>
    <w:rsid w:val="00637177"/>
    <w:rsid w:val="00637B09"/>
    <w:rsid w:val="00637CFD"/>
    <w:rsid w:val="00640344"/>
    <w:rsid w:val="00640976"/>
    <w:rsid w:val="00640A8C"/>
    <w:rsid w:val="00642E76"/>
    <w:rsid w:val="00644587"/>
    <w:rsid w:val="00645EFE"/>
    <w:rsid w:val="006465DA"/>
    <w:rsid w:val="00647B54"/>
    <w:rsid w:val="00647C15"/>
    <w:rsid w:val="00650157"/>
    <w:rsid w:val="00650520"/>
    <w:rsid w:val="00653904"/>
    <w:rsid w:val="00653CB4"/>
    <w:rsid w:val="006542E5"/>
    <w:rsid w:val="0065467D"/>
    <w:rsid w:val="00655D53"/>
    <w:rsid w:val="00655D91"/>
    <w:rsid w:val="00656412"/>
    <w:rsid w:val="0066058F"/>
    <w:rsid w:val="006615B4"/>
    <w:rsid w:val="00662F82"/>
    <w:rsid w:val="00672186"/>
    <w:rsid w:val="00673071"/>
    <w:rsid w:val="006736AF"/>
    <w:rsid w:val="00674D02"/>
    <w:rsid w:val="00675B4C"/>
    <w:rsid w:val="00676B13"/>
    <w:rsid w:val="006773D7"/>
    <w:rsid w:val="00681237"/>
    <w:rsid w:val="006835B2"/>
    <w:rsid w:val="00691C34"/>
    <w:rsid w:val="0069216F"/>
    <w:rsid w:val="006A0506"/>
    <w:rsid w:val="006A3034"/>
    <w:rsid w:val="006A3CEC"/>
    <w:rsid w:val="006A40D6"/>
    <w:rsid w:val="006A551B"/>
    <w:rsid w:val="006A6BB1"/>
    <w:rsid w:val="006A747C"/>
    <w:rsid w:val="006B0AF6"/>
    <w:rsid w:val="006B12E6"/>
    <w:rsid w:val="006B1635"/>
    <w:rsid w:val="006B344E"/>
    <w:rsid w:val="006B55F7"/>
    <w:rsid w:val="006B58EE"/>
    <w:rsid w:val="006B5FD8"/>
    <w:rsid w:val="006B6475"/>
    <w:rsid w:val="006B6BE6"/>
    <w:rsid w:val="006C00C0"/>
    <w:rsid w:val="006C083D"/>
    <w:rsid w:val="006C0B2E"/>
    <w:rsid w:val="006C13A8"/>
    <w:rsid w:val="006C15E1"/>
    <w:rsid w:val="006C1C8C"/>
    <w:rsid w:val="006C21D7"/>
    <w:rsid w:val="006C4C77"/>
    <w:rsid w:val="006C5095"/>
    <w:rsid w:val="006D050E"/>
    <w:rsid w:val="006D2439"/>
    <w:rsid w:val="006D25CD"/>
    <w:rsid w:val="006D273E"/>
    <w:rsid w:val="006D2784"/>
    <w:rsid w:val="006D4B0C"/>
    <w:rsid w:val="006D4F92"/>
    <w:rsid w:val="006D69BC"/>
    <w:rsid w:val="006D70DD"/>
    <w:rsid w:val="006D731B"/>
    <w:rsid w:val="006E05D3"/>
    <w:rsid w:val="006E087F"/>
    <w:rsid w:val="006E2841"/>
    <w:rsid w:val="006E63F2"/>
    <w:rsid w:val="006E7141"/>
    <w:rsid w:val="006F13CF"/>
    <w:rsid w:val="006F1F6E"/>
    <w:rsid w:val="006F26FB"/>
    <w:rsid w:val="006F30E4"/>
    <w:rsid w:val="006F380E"/>
    <w:rsid w:val="006F38DA"/>
    <w:rsid w:val="006F5D41"/>
    <w:rsid w:val="006F79C9"/>
    <w:rsid w:val="007007A5"/>
    <w:rsid w:val="00702604"/>
    <w:rsid w:val="0070341B"/>
    <w:rsid w:val="0070380F"/>
    <w:rsid w:val="00703988"/>
    <w:rsid w:val="007055F6"/>
    <w:rsid w:val="00710284"/>
    <w:rsid w:val="0071060B"/>
    <w:rsid w:val="00710D98"/>
    <w:rsid w:val="00711A64"/>
    <w:rsid w:val="00711F73"/>
    <w:rsid w:val="007123B0"/>
    <w:rsid w:val="00713113"/>
    <w:rsid w:val="00714717"/>
    <w:rsid w:val="007153DE"/>
    <w:rsid w:val="00715B32"/>
    <w:rsid w:val="00716433"/>
    <w:rsid w:val="007179F7"/>
    <w:rsid w:val="0072083C"/>
    <w:rsid w:val="007211DA"/>
    <w:rsid w:val="007216A9"/>
    <w:rsid w:val="00722131"/>
    <w:rsid w:val="00722C5C"/>
    <w:rsid w:val="00725B44"/>
    <w:rsid w:val="00725B6C"/>
    <w:rsid w:val="0072685F"/>
    <w:rsid w:val="0073210A"/>
    <w:rsid w:val="007322EE"/>
    <w:rsid w:val="007327F5"/>
    <w:rsid w:val="00732F87"/>
    <w:rsid w:val="007341E7"/>
    <w:rsid w:val="007347F1"/>
    <w:rsid w:val="00734EE4"/>
    <w:rsid w:val="007354A2"/>
    <w:rsid w:val="00736C51"/>
    <w:rsid w:val="00741586"/>
    <w:rsid w:val="00741DE4"/>
    <w:rsid w:val="007430DA"/>
    <w:rsid w:val="007442B5"/>
    <w:rsid w:val="00745A32"/>
    <w:rsid w:val="0074629F"/>
    <w:rsid w:val="00746C70"/>
    <w:rsid w:val="00746F87"/>
    <w:rsid w:val="007472CF"/>
    <w:rsid w:val="00747551"/>
    <w:rsid w:val="007504E7"/>
    <w:rsid w:val="00750A2E"/>
    <w:rsid w:val="007510BE"/>
    <w:rsid w:val="0075113D"/>
    <w:rsid w:val="0075221D"/>
    <w:rsid w:val="00752469"/>
    <w:rsid w:val="00753C11"/>
    <w:rsid w:val="00754DF0"/>
    <w:rsid w:val="007557D3"/>
    <w:rsid w:val="00755C2B"/>
    <w:rsid w:val="007575E8"/>
    <w:rsid w:val="00760C35"/>
    <w:rsid w:val="00761E50"/>
    <w:rsid w:val="0076269E"/>
    <w:rsid w:val="00762A3C"/>
    <w:rsid w:val="00762F1F"/>
    <w:rsid w:val="00764C4B"/>
    <w:rsid w:val="0076669F"/>
    <w:rsid w:val="00770877"/>
    <w:rsid w:val="00770BCE"/>
    <w:rsid w:val="00771EC2"/>
    <w:rsid w:val="00772E3A"/>
    <w:rsid w:val="00772E6C"/>
    <w:rsid w:val="00774ADC"/>
    <w:rsid w:val="00776664"/>
    <w:rsid w:val="007772C6"/>
    <w:rsid w:val="0077749F"/>
    <w:rsid w:val="0077784F"/>
    <w:rsid w:val="0077799E"/>
    <w:rsid w:val="007806B4"/>
    <w:rsid w:val="007838B8"/>
    <w:rsid w:val="00783DBA"/>
    <w:rsid w:val="00787799"/>
    <w:rsid w:val="00787CD7"/>
    <w:rsid w:val="00791227"/>
    <w:rsid w:val="00791318"/>
    <w:rsid w:val="00791BFA"/>
    <w:rsid w:val="00792212"/>
    <w:rsid w:val="007924F1"/>
    <w:rsid w:val="00792B50"/>
    <w:rsid w:val="00794403"/>
    <w:rsid w:val="007954BB"/>
    <w:rsid w:val="00795E7A"/>
    <w:rsid w:val="007976B8"/>
    <w:rsid w:val="007A02C9"/>
    <w:rsid w:val="007A2CB2"/>
    <w:rsid w:val="007A5827"/>
    <w:rsid w:val="007A5A47"/>
    <w:rsid w:val="007A5EEB"/>
    <w:rsid w:val="007B1CF4"/>
    <w:rsid w:val="007B3A35"/>
    <w:rsid w:val="007B4B46"/>
    <w:rsid w:val="007B5CF4"/>
    <w:rsid w:val="007B5F6A"/>
    <w:rsid w:val="007B65D6"/>
    <w:rsid w:val="007B6739"/>
    <w:rsid w:val="007B7108"/>
    <w:rsid w:val="007C05C8"/>
    <w:rsid w:val="007C082B"/>
    <w:rsid w:val="007C0F4D"/>
    <w:rsid w:val="007C2B09"/>
    <w:rsid w:val="007C40C7"/>
    <w:rsid w:val="007C45AE"/>
    <w:rsid w:val="007C54BC"/>
    <w:rsid w:val="007C753E"/>
    <w:rsid w:val="007D1DA1"/>
    <w:rsid w:val="007D23AD"/>
    <w:rsid w:val="007D3730"/>
    <w:rsid w:val="007D3AE2"/>
    <w:rsid w:val="007D6B69"/>
    <w:rsid w:val="007D6C22"/>
    <w:rsid w:val="007D70EC"/>
    <w:rsid w:val="007E012F"/>
    <w:rsid w:val="007E1387"/>
    <w:rsid w:val="007E2541"/>
    <w:rsid w:val="007E3E21"/>
    <w:rsid w:val="007E67A2"/>
    <w:rsid w:val="007E6E84"/>
    <w:rsid w:val="007E7750"/>
    <w:rsid w:val="007E7E86"/>
    <w:rsid w:val="007F26AD"/>
    <w:rsid w:val="007F2F3F"/>
    <w:rsid w:val="007F3B57"/>
    <w:rsid w:val="007F3E84"/>
    <w:rsid w:val="007F775F"/>
    <w:rsid w:val="007F7899"/>
    <w:rsid w:val="008021CD"/>
    <w:rsid w:val="00802548"/>
    <w:rsid w:val="0080458E"/>
    <w:rsid w:val="008067B1"/>
    <w:rsid w:val="0080683B"/>
    <w:rsid w:val="0081041B"/>
    <w:rsid w:val="008105BE"/>
    <w:rsid w:val="008119D5"/>
    <w:rsid w:val="008132D9"/>
    <w:rsid w:val="008137FE"/>
    <w:rsid w:val="00813A9F"/>
    <w:rsid w:val="008159AB"/>
    <w:rsid w:val="008163BA"/>
    <w:rsid w:val="00816A00"/>
    <w:rsid w:val="00816B60"/>
    <w:rsid w:val="00821843"/>
    <w:rsid w:val="0082320E"/>
    <w:rsid w:val="008251A8"/>
    <w:rsid w:val="00826353"/>
    <w:rsid w:val="00826D1B"/>
    <w:rsid w:val="008270F8"/>
    <w:rsid w:val="008273A1"/>
    <w:rsid w:val="0083175E"/>
    <w:rsid w:val="00834BDA"/>
    <w:rsid w:val="00835AEC"/>
    <w:rsid w:val="00836A9C"/>
    <w:rsid w:val="008408EE"/>
    <w:rsid w:val="00842E18"/>
    <w:rsid w:val="00844695"/>
    <w:rsid w:val="00846328"/>
    <w:rsid w:val="008502DA"/>
    <w:rsid w:val="00851A19"/>
    <w:rsid w:val="00855A93"/>
    <w:rsid w:val="00857053"/>
    <w:rsid w:val="00857242"/>
    <w:rsid w:val="0086057E"/>
    <w:rsid w:val="00861AE3"/>
    <w:rsid w:val="008624BE"/>
    <w:rsid w:val="00862EA1"/>
    <w:rsid w:val="00865B64"/>
    <w:rsid w:val="008661D9"/>
    <w:rsid w:val="00867DA8"/>
    <w:rsid w:val="008718BD"/>
    <w:rsid w:val="00873FC6"/>
    <w:rsid w:val="00874D32"/>
    <w:rsid w:val="0087682E"/>
    <w:rsid w:val="0087700C"/>
    <w:rsid w:val="00877912"/>
    <w:rsid w:val="00880344"/>
    <w:rsid w:val="0088086D"/>
    <w:rsid w:val="0088146F"/>
    <w:rsid w:val="008823DE"/>
    <w:rsid w:val="008833CD"/>
    <w:rsid w:val="00883504"/>
    <w:rsid w:val="008842C8"/>
    <w:rsid w:val="008846CE"/>
    <w:rsid w:val="00885B2E"/>
    <w:rsid w:val="00886DE4"/>
    <w:rsid w:val="0088704F"/>
    <w:rsid w:val="008878F4"/>
    <w:rsid w:val="00887CDD"/>
    <w:rsid w:val="00887E3F"/>
    <w:rsid w:val="00891481"/>
    <w:rsid w:val="00891BEA"/>
    <w:rsid w:val="00894FC8"/>
    <w:rsid w:val="00895046"/>
    <w:rsid w:val="00895315"/>
    <w:rsid w:val="00896351"/>
    <w:rsid w:val="008963FC"/>
    <w:rsid w:val="008967CD"/>
    <w:rsid w:val="008976CD"/>
    <w:rsid w:val="00897F02"/>
    <w:rsid w:val="008A078C"/>
    <w:rsid w:val="008A1D9E"/>
    <w:rsid w:val="008A20CC"/>
    <w:rsid w:val="008A2832"/>
    <w:rsid w:val="008A2AC2"/>
    <w:rsid w:val="008A2E05"/>
    <w:rsid w:val="008A2EA8"/>
    <w:rsid w:val="008A4DAC"/>
    <w:rsid w:val="008A521C"/>
    <w:rsid w:val="008A5269"/>
    <w:rsid w:val="008A590B"/>
    <w:rsid w:val="008A6247"/>
    <w:rsid w:val="008B27B9"/>
    <w:rsid w:val="008B2EF1"/>
    <w:rsid w:val="008B3391"/>
    <w:rsid w:val="008B4696"/>
    <w:rsid w:val="008B5D5F"/>
    <w:rsid w:val="008B5FB4"/>
    <w:rsid w:val="008B7130"/>
    <w:rsid w:val="008C005E"/>
    <w:rsid w:val="008C2048"/>
    <w:rsid w:val="008C2D9C"/>
    <w:rsid w:val="008C39BB"/>
    <w:rsid w:val="008C3D8D"/>
    <w:rsid w:val="008C4A04"/>
    <w:rsid w:val="008C6149"/>
    <w:rsid w:val="008C62ED"/>
    <w:rsid w:val="008C693A"/>
    <w:rsid w:val="008C6FF6"/>
    <w:rsid w:val="008C7B97"/>
    <w:rsid w:val="008C7DB4"/>
    <w:rsid w:val="008D2647"/>
    <w:rsid w:val="008D3643"/>
    <w:rsid w:val="008D4002"/>
    <w:rsid w:val="008D5067"/>
    <w:rsid w:val="008D5275"/>
    <w:rsid w:val="008D5AE1"/>
    <w:rsid w:val="008D5CBD"/>
    <w:rsid w:val="008D705F"/>
    <w:rsid w:val="008D7B35"/>
    <w:rsid w:val="008E0232"/>
    <w:rsid w:val="008E0831"/>
    <w:rsid w:val="008E088C"/>
    <w:rsid w:val="008E0948"/>
    <w:rsid w:val="008E1C88"/>
    <w:rsid w:val="008E2FF2"/>
    <w:rsid w:val="008E31BC"/>
    <w:rsid w:val="008E394E"/>
    <w:rsid w:val="008E3C8C"/>
    <w:rsid w:val="008E4F8D"/>
    <w:rsid w:val="008E53C7"/>
    <w:rsid w:val="008E572E"/>
    <w:rsid w:val="008F063C"/>
    <w:rsid w:val="008F0A81"/>
    <w:rsid w:val="008F0AEA"/>
    <w:rsid w:val="008F0FE2"/>
    <w:rsid w:val="008F4602"/>
    <w:rsid w:val="008F4FCF"/>
    <w:rsid w:val="008F579E"/>
    <w:rsid w:val="008F58F1"/>
    <w:rsid w:val="008F657B"/>
    <w:rsid w:val="0090013C"/>
    <w:rsid w:val="009011B9"/>
    <w:rsid w:val="0090154A"/>
    <w:rsid w:val="0090239A"/>
    <w:rsid w:val="00902C91"/>
    <w:rsid w:val="0090325A"/>
    <w:rsid w:val="00905A2B"/>
    <w:rsid w:val="009061DE"/>
    <w:rsid w:val="00906A21"/>
    <w:rsid w:val="0091032F"/>
    <w:rsid w:val="00911943"/>
    <w:rsid w:val="00912768"/>
    <w:rsid w:val="0091297B"/>
    <w:rsid w:val="00913E90"/>
    <w:rsid w:val="009157D7"/>
    <w:rsid w:val="00917FE0"/>
    <w:rsid w:val="00920E7F"/>
    <w:rsid w:val="0092109A"/>
    <w:rsid w:val="0092226B"/>
    <w:rsid w:val="009224BD"/>
    <w:rsid w:val="00922A95"/>
    <w:rsid w:val="00922C15"/>
    <w:rsid w:val="009233D7"/>
    <w:rsid w:val="00923A83"/>
    <w:rsid w:val="009269B2"/>
    <w:rsid w:val="00927BDC"/>
    <w:rsid w:val="0093029D"/>
    <w:rsid w:val="0093101D"/>
    <w:rsid w:val="00931ECC"/>
    <w:rsid w:val="00932682"/>
    <w:rsid w:val="00932C1C"/>
    <w:rsid w:val="0093337C"/>
    <w:rsid w:val="0093457A"/>
    <w:rsid w:val="009351E7"/>
    <w:rsid w:val="009352AF"/>
    <w:rsid w:val="00935D3B"/>
    <w:rsid w:val="00935EF9"/>
    <w:rsid w:val="0093797F"/>
    <w:rsid w:val="009409DC"/>
    <w:rsid w:val="00940E00"/>
    <w:rsid w:val="00941411"/>
    <w:rsid w:val="00942954"/>
    <w:rsid w:val="00943188"/>
    <w:rsid w:val="0094333F"/>
    <w:rsid w:val="009435D4"/>
    <w:rsid w:val="00943F28"/>
    <w:rsid w:val="00944370"/>
    <w:rsid w:val="00944422"/>
    <w:rsid w:val="0094459C"/>
    <w:rsid w:val="009451E4"/>
    <w:rsid w:val="00945420"/>
    <w:rsid w:val="00946169"/>
    <w:rsid w:val="009531F2"/>
    <w:rsid w:val="009539FF"/>
    <w:rsid w:val="009551EF"/>
    <w:rsid w:val="009561C5"/>
    <w:rsid w:val="00960086"/>
    <w:rsid w:val="00960CAC"/>
    <w:rsid w:val="00961E30"/>
    <w:rsid w:val="00962480"/>
    <w:rsid w:val="009634D2"/>
    <w:rsid w:val="00964E34"/>
    <w:rsid w:val="00964EA7"/>
    <w:rsid w:val="00967111"/>
    <w:rsid w:val="00970C1E"/>
    <w:rsid w:val="00972D4D"/>
    <w:rsid w:val="00973AB5"/>
    <w:rsid w:val="0097535E"/>
    <w:rsid w:val="00975E40"/>
    <w:rsid w:val="00977858"/>
    <w:rsid w:val="00980346"/>
    <w:rsid w:val="00984243"/>
    <w:rsid w:val="00985903"/>
    <w:rsid w:val="0098697A"/>
    <w:rsid w:val="0098697C"/>
    <w:rsid w:val="00987293"/>
    <w:rsid w:val="00987763"/>
    <w:rsid w:val="00987E57"/>
    <w:rsid w:val="00991564"/>
    <w:rsid w:val="0099325E"/>
    <w:rsid w:val="009933FB"/>
    <w:rsid w:val="00993706"/>
    <w:rsid w:val="009940F7"/>
    <w:rsid w:val="0099517D"/>
    <w:rsid w:val="00997460"/>
    <w:rsid w:val="009A02B3"/>
    <w:rsid w:val="009A0EFF"/>
    <w:rsid w:val="009A1544"/>
    <w:rsid w:val="009A1B4A"/>
    <w:rsid w:val="009A2080"/>
    <w:rsid w:val="009A50E7"/>
    <w:rsid w:val="009A5133"/>
    <w:rsid w:val="009A5CDF"/>
    <w:rsid w:val="009A654B"/>
    <w:rsid w:val="009B25E8"/>
    <w:rsid w:val="009B2813"/>
    <w:rsid w:val="009B4F01"/>
    <w:rsid w:val="009B503A"/>
    <w:rsid w:val="009C08FD"/>
    <w:rsid w:val="009C253D"/>
    <w:rsid w:val="009C28D4"/>
    <w:rsid w:val="009C348C"/>
    <w:rsid w:val="009C36D7"/>
    <w:rsid w:val="009C6B86"/>
    <w:rsid w:val="009C761E"/>
    <w:rsid w:val="009C78F0"/>
    <w:rsid w:val="009D0377"/>
    <w:rsid w:val="009D1C8C"/>
    <w:rsid w:val="009D2208"/>
    <w:rsid w:val="009D231A"/>
    <w:rsid w:val="009D2903"/>
    <w:rsid w:val="009D61C9"/>
    <w:rsid w:val="009D6F89"/>
    <w:rsid w:val="009E2B39"/>
    <w:rsid w:val="009E3AD4"/>
    <w:rsid w:val="009E6588"/>
    <w:rsid w:val="009E6B28"/>
    <w:rsid w:val="009E6DC2"/>
    <w:rsid w:val="009E7921"/>
    <w:rsid w:val="009F0FB3"/>
    <w:rsid w:val="009F29E1"/>
    <w:rsid w:val="009F601F"/>
    <w:rsid w:val="009F61B5"/>
    <w:rsid w:val="009F79A7"/>
    <w:rsid w:val="00A01326"/>
    <w:rsid w:val="00A02F1A"/>
    <w:rsid w:val="00A030E0"/>
    <w:rsid w:val="00A031D5"/>
    <w:rsid w:val="00A104B1"/>
    <w:rsid w:val="00A1090C"/>
    <w:rsid w:val="00A1103D"/>
    <w:rsid w:val="00A1254D"/>
    <w:rsid w:val="00A135F4"/>
    <w:rsid w:val="00A13CB9"/>
    <w:rsid w:val="00A1481D"/>
    <w:rsid w:val="00A16A10"/>
    <w:rsid w:val="00A17272"/>
    <w:rsid w:val="00A21958"/>
    <w:rsid w:val="00A21BAF"/>
    <w:rsid w:val="00A248F9"/>
    <w:rsid w:val="00A26046"/>
    <w:rsid w:val="00A27377"/>
    <w:rsid w:val="00A3143D"/>
    <w:rsid w:val="00A326D8"/>
    <w:rsid w:val="00A3347E"/>
    <w:rsid w:val="00A3365A"/>
    <w:rsid w:val="00A33BFC"/>
    <w:rsid w:val="00A35D6D"/>
    <w:rsid w:val="00A35E1B"/>
    <w:rsid w:val="00A3645C"/>
    <w:rsid w:val="00A36E66"/>
    <w:rsid w:val="00A37B86"/>
    <w:rsid w:val="00A40475"/>
    <w:rsid w:val="00A405DF"/>
    <w:rsid w:val="00A442C0"/>
    <w:rsid w:val="00A4481B"/>
    <w:rsid w:val="00A456B0"/>
    <w:rsid w:val="00A45991"/>
    <w:rsid w:val="00A50C33"/>
    <w:rsid w:val="00A51D65"/>
    <w:rsid w:val="00A55BC7"/>
    <w:rsid w:val="00A562BE"/>
    <w:rsid w:val="00A61179"/>
    <w:rsid w:val="00A61409"/>
    <w:rsid w:val="00A61B32"/>
    <w:rsid w:val="00A61D3E"/>
    <w:rsid w:val="00A61E29"/>
    <w:rsid w:val="00A61FE1"/>
    <w:rsid w:val="00A63833"/>
    <w:rsid w:val="00A645E2"/>
    <w:rsid w:val="00A64EAD"/>
    <w:rsid w:val="00A65961"/>
    <w:rsid w:val="00A70298"/>
    <w:rsid w:val="00A744AF"/>
    <w:rsid w:val="00A75478"/>
    <w:rsid w:val="00A75801"/>
    <w:rsid w:val="00A77166"/>
    <w:rsid w:val="00A8225F"/>
    <w:rsid w:val="00A82F63"/>
    <w:rsid w:val="00A844ED"/>
    <w:rsid w:val="00A85157"/>
    <w:rsid w:val="00A858BB"/>
    <w:rsid w:val="00A8647B"/>
    <w:rsid w:val="00A9192A"/>
    <w:rsid w:val="00A91E70"/>
    <w:rsid w:val="00A920EF"/>
    <w:rsid w:val="00A930FE"/>
    <w:rsid w:val="00A94898"/>
    <w:rsid w:val="00A94C0C"/>
    <w:rsid w:val="00A94CB8"/>
    <w:rsid w:val="00AA7F1C"/>
    <w:rsid w:val="00AB0FA6"/>
    <w:rsid w:val="00AB128B"/>
    <w:rsid w:val="00AB39D7"/>
    <w:rsid w:val="00AB48BB"/>
    <w:rsid w:val="00AB4BE9"/>
    <w:rsid w:val="00AB58CA"/>
    <w:rsid w:val="00AB68A7"/>
    <w:rsid w:val="00AB7047"/>
    <w:rsid w:val="00AB734D"/>
    <w:rsid w:val="00AB7483"/>
    <w:rsid w:val="00AC2059"/>
    <w:rsid w:val="00AC2AD1"/>
    <w:rsid w:val="00AC322B"/>
    <w:rsid w:val="00AC6E54"/>
    <w:rsid w:val="00AC73C6"/>
    <w:rsid w:val="00AD300D"/>
    <w:rsid w:val="00AD4403"/>
    <w:rsid w:val="00AD4B24"/>
    <w:rsid w:val="00AD5E40"/>
    <w:rsid w:val="00AD60FF"/>
    <w:rsid w:val="00AD69E7"/>
    <w:rsid w:val="00AE09C4"/>
    <w:rsid w:val="00AE2083"/>
    <w:rsid w:val="00AE62DB"/>
    <w:rsid w:val="00AE6682"/>
    <w:rsid w:val="00AE7FF7"/>
    <w:rsid w:val="00AF1E1C"/>
    <w:rsid w:val="00AF2CE1"/>
    <w:rsid w:val="00AF2ECF"/>
    <w:rsid w:val="00AF39AC"/>
    <w:rsid w:val="00AF41C8"/>
    <w:rsid w:val="00AF66A3"/>
    <w:rsid w:val="00AF7CED"/>
    <w:rsid w:val="00B004E6"/>
    <w:rsid w:val="00B01631"/>
    <w:rsid w:val="00B02222"/>
    <w:rsid w:val="00B04A32"/>
    <w:rsid w:val="00B0534A"/>
    <w:rsid w:val="00B0598C"/>
    <w:rsid w:val="00B05A20"/>
    <w:rsid w:val="00B060AE"/>
    <w:rsid w:val="00B07873"/>
    <w:rsid w:val="00B07D4D"/>
    <w:rsid w:val="00B07FAC"/>
    <w:rsid w:val="00B105E6"/>
    <w:rsid w:val="00B10D6B"/>
    <w:rsid w:val="00B13685"/>
    <w:rsid w:val="00B1458C"/>
    <w:rsid w:val="00B157E9"/>
    <w:rsid w:val="00B15A69"/>
    <w:rsid w:val="00B15ECD"/>
    <w:rsid w:val="00B16DC3"/>
    <w:rsid w:val="00B177C5"/>
    <w:rsid w:val="00B20589"/>
    <w:rsid w:val="00B221A4"/>
    <w:rsid w:val="00B230D8"/>
    <w:rsid w:val="00B2360E"/>
    <w:rsid w:val="00B2469B"/>
    <w:rsid w:val="00B253A3"/>
    <w:rsid w:val="00B2618E"/>
    <w:rsid w:val="00B2763F"/>
    <w:rsid w:val="00B31810"/>
    <w:rsid w:val="00B32915"/>
    <w:rsid w:val="00B34BED"/>
    <w:rsid w:val="00B350F0"/>
    <w:rsid w:val="00B35557"/>
    <w:rsid w:val="00B4079C"/>
    <w:rsid w:val="00B422DB"/>
    <w:rsid w:val="00B4231A"/>
    <w:rsid w:val="00B42954"/>
    <w:rsid w:val="00B4518D"/>
    <w:rsid w:val="00B45A3D"/>
    <w:rsid w:val="00B45E6C"/>
    <w:rsid w:val="00B462DE"/>
    <w:rsid w:val="00B518E1"/>
    <w:rsid w:val="00B51E8E"/>
    <w:rsid w:val="00B52E74"/>
    <w:rsid w:val="00B54267"/>
    <w:rsid w:val="00B553CD"/>
    <w:rsid w:val="00B61F4B"/>
    <w:rsid w:val="00B63C33"/>
    <w:rsid w:val="00B655A1"/>
    <w:rsid w:val="00B65A77"/>
    <w:rsid w:val="00B65ADB"/>
    <w:rsid w:val="00B664C8"/>
    <w:rsid w:val="00B66C85"/>
    <w:rsid w:val="00B67910"/>
    <w:rsid w:val="00B70373"/>
    <w:rsid w:val="00B73745"/>
    <w:rsid w:val="00B74BFE"/>
    <w:rsid w:val="00B75EBB"/>
    <w:rsid w:val="00B76B89"/>
    <w:rsid w:val="00B77A8E"/>
    <w:rsid w:val="00B77AA4"/>
    <w:rsid w:val="00B805FB"/>
    <w:rsid w:val="00B81C5C"/>
    <w:rsid w:val="00B8665E"/>
    <w:rsid w:val="00B87C00"/>
    <w:rsid w:val="00B95180"/>
    <w:rsid w:val="00B96308"/>
    <w:rsid w:val="00BA3CB2"/>
    <w:rsid w:val="00BA3FE5"/>
    <w:rsid w:val="00BA4740"/>
    <w:rsid w:val="00BA5358"/>
    <w:rsid w:val="00BA537D"/>
    <w:rsid w:val="00BA58A8"/>
    <w:rsid w:val="00BA5D3A"/>
    <w:rsid w:val="00BB035B"/>
    <w:rsid w:val="00BB0A27"/>
    <w:rsid w:val="00BB0B0B"/>
    <w:rsid w:val="00BB0E9B"/>
    <w:rsid w:val="00BB1B22"/>
    <w:rsid w:val="00BB3337"/>
    <w:rsid w:val="00BB6EB2"/>
    <w:rsid w:val="00BB6EC2"/>
    <w:rsid w:val="00BB755C"/>
    <w:rsid w:val="00BB7BE8"/>
    <w:rsid w:val="00BC0338"/>
    <w:rsid w:val="00BC07AA"/>
    <w:rsid w:val="00BC1059"/>
    <w:rsid w:val="00BC283D"/>
    <w:rsid w:val="00BC2B37"/>
    <w:rsid w:val="00BC4851"/>
    <w:rsid w:val="00BC4926"/>
    <w:rsid w:val="00BC6EFE"/>
    <w:rsid w:val="00BC778D"/>
    <w:rsid w:val="00BC7C95"/>
    <w:rsid w:val="00BC7F02"/>
    <w:rsid w:val="00BD2D93"/>
    <w:rsid w:val="00BD3FD5"/>
    <w:rsid w:val="00BD531D"/>
    <w:rsid w:val="00BD5AD0"/>
    <w:rsid w:val="00BD6128"/>
    <w:rsid w:val="00BD650D"/>
    <w:rsid w:val="00BD7C74"/>
    <w:rsid w:val="00BE046E"/>
    <w:rsid w:val="00BE0A30"/>
    <w:rsid w:val="00BE1452"/>
    <w:rsid w:val="00BE22A6"/>
    <w:rsid w:val="00BF017A"/>
    <w:rsid w:val="00BF0922"/>
    <w:rsid w:val="00BF0ED2"/>
    <w:rsid w:val="00BF12C0"/>
    <w:rsid w:val="00BF2D38"/>
    <w:rsid w:val="00BF31E4"/>
    <w:rsid w:val="00BF5952"/>
    <w:rsid w:val="00BF5B1C"/>
    <w:rsid w:val="00BF7AF6"/>
    <w:rsid w:val="00BF7EAB"/>
    <w:rsid w:val="00C02463"/>
    <w:rsid w:val="00C03053"/>
    <w:rsid w:val="00C03AFA"/>
    <w:rsid w:val="00C03EC7"/>
    <w:rsid w:val="00C03F4F"/>
    <w:rsid w:val="00C043B0"/>
    <w:rsid w:val="00C06900"/>
    <w:rsid w:val="00C117F7"/>
    <w:rsid w:val="00C12DAC"/>
    <w:rsid w:val="00C166F0"/>
    <w:rsid w:val="00C1779F"/>
    <w:rsid w:val="00C20D98"/>
    <w:rsid w:val="00C21E54"/>
    <w:rsid w:val="00C30567"/>
    <w:rsid w:val="00C31092"/>
    <w:rsid w:val="00C310C9"/>
    <w:rsid w:val="00C3118B"/>
    <w:rsid w:val="00C328F1"/>
    <w:rsid w:val="00C33026"/>
    <w:rsid w:val="00C359A6"/>
    <w:rsid w:val="00C366A1"/>
    <w:rsid w:val="00C36747"/>
    <w:rsid w:val="00C41404"/>
    <w:rsid w:val="00C43AD0"/>
    <w:rsid w:val="00C45AAC"/>
    <w:rsid w:val="00C4659D"/>
    <w:rsid w:val="00C500E4"/>
    <w:rsid w:val="00C52961"/>
    <w:rsid w:val="00C53CF0"/>
    <w:rsid w:val="00C53D51"/>
    <w:rsid w:val="00C55E6B"/>
    <w:rsid w:val="00C56824"/>
    <w:rsid w:val="00C574DF"/>
    <w:rsid w:val="00C61353"/>
    <w:rsid w:val="00C643BE"/>
    <w:rsid w:val="00C64880"/>
    <w:rsid w:val="00C66506"/>
    <w:rsid w:val="00C66B7E"/>
    <w:rsid w:val="00C707AF"/>
    <w:rsid w:val="00C714A7"/>
    <w:rsid w:val="00C71F48"/>
    <w:rsid w:val="00C72434"/>
    <w:rsid w:val="00C73F54"/>
    <w:rsid w:val="00C76471"/>
    <w:rsid w:val="00C83BA2"/>
    <w:rsid w:val="00C84600"/>
    <w:rsid w:val="00C84608"/>
    <w:rsid w:val="00C84BBD"/>
    <w:rsid w:val="00C84CDE"/>
    <w:rsid w:val="00C87838"/>
    <w:rsid w:val="00C90295"/>
    <w:rsid w:val="00C9040D"/>
    <w:rsid w:val="00C90573"/>
    <w:rsid w:val="00C905E8"/>
    <w:rsid w:val="00C936A2"/>
    <w:rsid w:val="00C95335"/>
    <w:rsid w:val="00CA108A"/>
    <w:rsid w:val="00CA173B"/>
    <w:rsid w:val="00CA1841"/>
    <w:rsid w:val="00CA2E0C"/>
    <w:rsid w:val="00CA3092"/>
    <w:rsid w:val="00CA38F0"/>
    <w:rsid w:val="00CA6F3B"/>
    <w:rsid w:val="00CA790C"/>
    <w:rsid w:val="00CB3AAF"/>
    <w:rsid w:val="00CB507F"/>
    <w:rsid w:val="00CB7FAD"/>
    <w:rsid w:val="00CC0022"/>
    <w:rsid w:val="00CC15CB"/>
    <w:rsid w:val="00CC297F"/>
    <w:rsid w:val="00CC2BCE"/>
    <w:rsid w:val="00CC2C6C"/>
    <w:rsid w:val="00CC3C11"/>
    <w:rsid w:val="00CC5016"/>
    <w:rsid w:val="00CC607B"/>
    <w:rsid w:val="00CC6A34"/>
    <w:rsid w:val="00CC6B43"/>
    <w:rsid w:val="00CD2867"/>
    <w:rsid w:val="00CD2976"/>
    <w:rsid w:val="00CD3C7C"/>
    <w:rsid w:val="00CD40E1"/>
    <w:rsid w:val="00CD4335"/>
    <w:rsid w:val="00CD7EB3"/>
    <w:rsid w:val="00CE13FA"/>
    <w:rsid w:val="00CE1B26"/>
    <w:rsid w:val="00CE205D"/>
    <w:rsid w:val="00CE2903"/>
    <w:rsid w:val="00CE33E4"/>
    <w:rsid w:val="00CE3FF3"/>
    <w:rsid w:val="00CE4565"/>
    <w:rsid w:val="00CE4AE9"/>
    <w:rsid w:val="00CE5515"/>
    <w:rsid w:val="00CF1D90"/>
    <w:rsid w:val="00CF2D15"/>
    <w:rsid w:val="00CF303D"/>
    <w:rsid w:val="00CF5501"/>
    <w:rsid w:val="00CF5C0A"/>
    <w:rsid w:val="00D0072D"/>
    <w:rsid w:val="00D011F9"/>
    <w:rsid w:val="00D045F8"/>
    <w:rsid w:val="00D0517F"/>
    <w:rsid w:val="00D1011D"/>
    <w:rsid w:val="00D10A35"/>
    <w:rsid w:val="00D10DDA"/>
    <w:rsid w:val="00D131C6"/>
    <w:rsid w:val="00D13B0B"/>
    <w:rsid w:val="00D13D46"/>
    <w:rsid w:val="00D15CD7"/>
    <w:rsid w:val="00D15D4C"/>
    <w:rsid w:val="00D1674D"/>
    <w:rsid w:val="00D171BA"/>
    <w:rsid w:val="00D17D9D"/>
    <w:rsid w:val="00D17F7C"/>
    <w:rsid w:val="00D2044C"/>
    <w:rsid w:val="00D20492"/>
    <w:rsid w:val="00D204DD"/>
    <w:rsid w:val="00D20605"/>
    <w:rsid w:val="00D210B2"/>
    <w:rsid w:val="00D21422"/>
    <w:rsid w:val="00D21A97"/>
    <w:rsid w:val="00D21FDB"/>
    <w:rsid w:val="00D2229D"/>
    <w:rsid w:val="00D23585"/>
    <w:rsid w:val="00D24910"/>
    <w:rsid w:val="00D31088"/>
    <w:rsid w:val="00D32154"/>
    <w:rsid w:val="00D32FED"/>
    <w:rsid w:val="00D342A7"/>
    <w:rsid w:val="00D374B6"/>
    <w:rsid w:val="00D41F5D"/>
    <w:rsid w:val="00D42102"/>
    <w:rsid w:val="00D42C39"/>
    <w:rsid w:val="00D447A2"/>
    <w:rsid w:val="00D44AB7"/>
    <w:rsid w:val="00D44CE6"/>
    <w:rsid w:val="00D45C54"/>
    <w:rsid w:val="00D4634D"/>
    <w:rsid w:val="00D464F1"/>
    <w:rsid w:val="00D507D6"/>
    <w:rsid w:val="00D50900"/>
    <w:rsid w:val="00D50B1F"/>
    <w:rsid w:val="00D51E83"/>
    <w:rsid w:val="00D53FD2"/>
    <w:rsid w:val="00D54CD3"/>
    <w:rsid w:val="00D54FBE"/>
    <w:rsid w:val="00D553DD"/>
    <w:rsid w:val="00D55956"/>
    <w:rsid w:val="00D560F3"/>
    <w:rsid w:val="00D574D7"/>
    <w:rsid w:val="00D62C4F"/>
    <w:rsid w:val="00D62DEA"/>
    <w:rsid w:val="00D62F1C"/>
    <w:rsid w:val="00D63CBC"/>
    <w:rsid w:val="00D64BD6"/>
    <w:rsid w:val="00D65091"/>
    <w:rsid w:val="00D65C0D"/>
    <w:rsid w:val="00D66F98"/>
    <w:rsid w:val="00D70330"/>
    <w:rsid w:val="00D70AB4"/>
    <w:rsid w:val="00D70CC3"/>
    <w:rsid w:val="00D7114E"/>
    <w:rsid w:val="00D71C4D"/>
    <w:rsid w:val="00D724E7"/>
    <w:rsid w:val="00D73E50"/>
    <w:rsid w:val="00D7481B"/>
    <w:rsid w:val="00D74C83"/>
    <w:rsid w:val="00D76522"/>
    <w:rsid w:val="00D768F7"/>
    <w:rsid w:val="00D80F04"/>
    <w:rsid w:val="00D817ED"/>
    <w:rsid w:val="00D818B7"/>
    <w:rsid w:val="00D82398"/>
    <w:rsid w:val="00D824D4"/>
    <w:rsid w:val="00D82DC6"/>
    <w:rsid w:val="00D8350A"/>
    <w:rsid w:val="00D83C1C"/>
    <w:rsid w:val="00D83F9E"/>
    <w:rsid w:val="00D849C8"/>
    <w:rsid w:val="00D84E9E"/>
    <w:rsid w:val="00D851E2"/>
    <w:rsid w:val="00D8748E"/>
    <w:rsid w:val="00D874EB"/>
    <w:rsid w:val="00D87F8A"/>
    <w:rsid w:val="00D915D3"/>
    <w:rsid w:val="00D91FD0"/>
    <w:rsid w:val="00D9348F"/>
    <w:rsid w:val="00D938B6"/>
    <w:rsid w:val="00D94E83"/>
    <w:rsid w:val="00D95458"/>
    <w:rsid w:val="00D95548"/>
    <w:rsid w:val="00D9750D"/>
    <w:rsid w:val="00DA1AB8"/>
    <w:rsid w:val="00DA28BC"/>
    <w:rsid w:val="00DA2F53"/>
    <w:rsid w:val="00DA3317"/>
    <w:rsid w:val="00DA40C8"/>
    <w:rsid w:val="00DA560C"/>
    <w:rsid w:val="00DA5AD3"/>
    <w:rsid w:val="00DA6413"/>
    <w:rsid w:val="00DA6A28"/>
    <w:rsid w:val="00DB3F2A"/>
    <w:rsid w:val="00DB664E"/>
    <w:rsid w:val="00DB6A28"/>
    <w:rsid w:val="00DB72F6"/>
    <w:rsid w:val="00DB76E2"/>
    <w:rsid w:val="00DC3042"/>
    <w:rsid w:val="00DC3AEF"/>
    <w:rsid w:val="00DC4A46"/>
    <w:rsid w:val="00DC4AC9"/>
    <w:rsid w:val="00DC5B8F"/>
    <w:rsid w:val="00DC61BE"/>
    <w:rsid w:val="00DC70C2"/>
    <w:rsid w:val="00DC71F3"/>
    <w:rsid w:val="00DC7C93"/>
    <w:rsid w:val="00DD1205"/>
    <w:rsid w:val="00DD1CBB"/>
    <w:rsid w:val="00DD3EC9"/>
    <w:rsid w:val="00DD42A2"/>
    <w:rsid w:val="00DD484A"/>
    <w:rsid w:val="00DD61A4"/>
    <w:rsid w:val="00DD646C"/>
    <w:rsid w:val="00DD7D9E"/>
    <w:rsid w:val="00DD7DA4"/>
    <w:rsid w:val="00DE1A13"/>
    <w:rsid w:val="00DE23B1"/>
    <w:rsid w:val="00DE3C8C"/>
    <w:rsid w:val="00DE5D6F"/>
    <w:rsid w:val="00DE7634"/>
    <w:rsid w:val="00DF02FF"/>
    <w:rsid w:val="00DF21AE"/>
    <w:rsid w:val="00DF3306"/>
    <w:rsid w:val="00DF4FA4"/>
    <w:rsid w:val="00DF50E8"/>
    <w:rsid w:val="00DF6DCF"/>
    <w:rsid w:val="00DF738D"/>
    <w:rsid w:val="00E018E4"/>
    <w:rsid w:val="00E033B1"/>
    <w:rsid w:val="00E049A6"/>
    <w:rsid w:val="00E04D77"/>
    <w:rsid w:val="00E0572D"/>
    <w:rsid w:val="00E0591A"/>
    <w:rsid w:val="00E101B1"/>
    <w:rsid w:val="00E10C37"/>
    <w:rsid w:val="00E10ECD"/>
    <w:rsid w:val="00E13942"/>
    <w:rsid w:val="00E14663"/>
    <w:rsid w:val="00E146E7"/>
    <w:rsid w:val="00E16A1F"/>
    <w:rsid w:val="00E16AB7"/>
    <w:rsid w:val="00E2121C"/>
    <w:rsid w:val="00E216DF"/>
    <w:rsid w:val="00E21E84"/>
    <w:rsid w:val="00E21F0C"/>
    <w:rsid w:val="00E24006"/>
    <w:rsid w:val="00E24111"/>
    <w:rsid w:val="00E27570"/>
    <w:rsid w:val="00E33FEF"/>
    <w:rsid w:val="00E33FF9"/>
    <w:rsid w:val="00E34819"/>
    <w:rsid w:val="00E349DC"/>
    <w:rsid w:val="00E367DF"/>
    <w:rsid w:val="00E40F4E"/>
    <w:rsid w:val="00E42681"/>
    <w:rsid w:val="00E42E5E"/>
    <w:rsid w:val="00E430AB"/>
    <w:rsid w:val="00E43993"/>
    <w:rsid w:val="00E45BB0"/>
    <w:rsid w:val="00E504B9"/>
    <w:rsid w:val="00E50C30"/>
    <w:rsid w:val="00E54028"/>
    <w:rsid w:val="00E54BAB"/>
    <w:rsid w:val="00E55676"/>
    <w:rsid w:val="00E55AF8"/>
    <w:rsid w:val="00E57867"/>
    <w:rsid w:val="00E57C5E"/>
    <w:rsid w:val="00E60980"/>
    <w:rsid w:val="00E611D0"/>
    <w:rsid w:val="00E61575"/>
    <w:rsid w:val="00E61DF5"/>
    <w:rsid w:val="00E63AD3"/>
    <w:rsid w:val="00E64059"/>
    <w:rsid w:val="00E65A17"/>
    <w:rsid w:val="00E6645F"/>
    <w:rsid w:val="00E72239"/>
    <w:rsid w:val="00E726F7"/>
    <w:rsid w:val="00E7371C"/>
    <w:rsid w:val="00E75AD8"/>
    <w:rsid w:val="00E760D6"/>
    <w:rsid w:val="00E801F4"/>
    <w:rsid w:val="00E80E56"/>
    <w:rsid w:val="00E81286"/>
    <w:rsid w:val="00E81338"/>
    <w:rsid w:val="00E82413"/>
    <w:rsid w:val="00E82BFB"/>
    <w:rsid w:val="00E85640"/>
    <w:rsid w:val="00E856C2"/>
    <w:rsid w:val="00E86918"/>
    <w:rsid w:val="00E86FD2"/>
    <w:rsid w:val="00E87405"/>
    <w:rsid w:val="00E879D7"/>
    <w:rsid w:val="00E93F46"/>
    <w:rsid w:val="00E941A7"/>
    <w:rsid w:val="00E94223"/>
    <w:rsid w:val="00E950CF"/>
    <w:rsid w:val="00E97140"/>
    <w:rsid w:val="00E97368"/>
    <w:rsid w:val="00EA0958"/>
    <w:rsid w:val="00EA111B"/>
    <w:rsid w:val="00EA14BA"/>
    <w:rsid w:val="00EA180C"/>
    <w:rsid w:val="00EA2553"/>
    <w:rsid w:val="00EA2676"/>
    <w:rsid w:val="00EA3379"/>
    <w:rsid w:val="00EA34D9"/>
    <w:rsid w:val="00EA491B"/>
    <w:rsid w:val="00EA672A"/>
    <w:rsid w:val="00EA73B5"/>
    <w:rsid w:val="00EB361C"/>
    <w:rsid w:val="00EB36FD"/>
    <w:rsid w:val="00EB41F4"/>
    <w:rsid w:val="00EB626F"/>
    <w:rsid w:val="00EB6400"/>
    <w:rsid w:val="00EB694B"/>
    <w:rsid w:val="00EB7C22"/>
    <w:rsid w:val="00EB7CFA"/>
    <w:rsid w:val="00EB7D4D"/>
    <w:rsid w:val="00EB7F64"/>
    <w:rsid w:val="00EC0C33"/>
    <w:rsid w:val="00EC1A6D"/>
    <w:rsid w:val="00EC1DF8"/>
    <w:rsid w:val="00EC3BB3"/>
    <w:rsid w:val="00EC3D69"/>
    <w:rsid w:val="00EC4068"/>
    <w:rsid w:val="00EC4AE6"/>
    <w:rsid w:val="00EC6177"/>
    <w:rsid w:val="00EC799D"/>
    <w:rsid w:val="00ED0606"/>
    <w:rsid w:val="00ED0CF7"/>
    <w:rsid w:val="00ED12C1"/>
    <w:rsid w:val="00ED15E3"/>
    <w:rsid w:val="00ED1D0C"/>
    <w:rsid w:val="00ED36E9"/>
    <w:rsid w:val="00ED3B68"/>
    <w:rsid w:val="00ED4B5B"/>
    <w:rsid w:val="00ED4E84"/>
    <w:rsid w:val="00ED502B"/>
    <w:rsid w:val="00ED54AD"/>
    <w:rsid w:val="00ED7F03"/>
    <w:rsid w:val="00EE193D"/>
    <w:rsid w:val="00EE5904"/>
    <w:rsid w:val="00EE6C10"/>
    <w:rsid w:val="00EE6CB6"/>
    <w:rsid w:val="00EE6DD0"/>
    <w:rsid w:val="00EF0B1B"/>
    <w:rsid w:val="00EF3790"/>
    <w:rsid w:val="00EF3801"/>
    <w:rsid w:val="00EF4F45"/>
    <w:rsid w:val="00EF4F9B"/>
    <w:rsid w:val="00EF634B"/>
    <w:rsid w:val="00EF70F4"/>
    <w:rsid w:val="00EF73D5"/>
    <w:rsid w:val="00F0093A"/>
    <w:rsid w:val="00F00DBF"/>
    <w:rsid w:val="00F01EB2"/>
    <w:rsid w:val="00F03B6B"/>
    <w:rsid w:val="00F040F9"/>
    <w:rsid w:val="00F054FA"/>
    <w:rsid w:val="00F05C8A"/>
    <w:rsid w:val="00F05CFB"/>
    <w:rsid w:val="00F0716C"/>
    <w:rsid w:val="00F07E64"/>
    <w:rsid w:val="00F10AAD"/>
    <w:rsid w:val="00F11937"/>
    <w:rsid w:val="00F1311B"/>
    <w:rsid w:val="00F13665"/>
    <w:rsid w:val="00F13979"/>
    <w:rsid w:val="00F14BB9"/>
    <w:rsid w:val="00F152DF"/>
    <w:rsid w:val="00F16032"/>
    <w:rsid w:val="00F16B24"/>
    <w:rsid w:val="00F16EA4"/>
    <w:rsid w:val="00F17FD3"/>
    <w:rsid w:val="00F207D2"/>
    <w:rsid w:val="00F21D1C"/>
    <w:rsid w:val="00F254B6"/>
    <w:rsid w:val="00F267DB"/>
    <w:rsid w:val="00F2694E"/>
    <w:rsid w:val="00F26A59"/>
    <w:rsid w:val="00F27003"/>
    <w:rsid w:val="00F3030B"/>
    <w:rsid w:val="00F31642"/>
    <w:rsid w:val="00F32768"/>
    <w:rsid w:val="00F328FF"/>
    <w:rsid w:val="00F33D4E"/>
    <w:rsid w:val="00F347A6"/>
    <w:rsid w:val="00F354E4"/>
    <w:rsid w:val="00F3555A"/>
    <w:rsid w:val="00F37EB1"/>
    <w:rsid w:val="00F403BA"/>
    <w:rsid w:val="00F42D86"/>
    <w:rsid w:val="00F43000"/>
    <w:rsid w:val="00F444A0"/>
    <w:rsid w:val="00F46078"/>
    <w:rsid w:val="00F46BED"/>
    <w:rsid w:val="00F4734C"/>
    <w:rsid w:val="00F5177A"/>
    <w:rsid w:val="00F519C9"/>
    <w:rsid w:val="00F53AE8"/>
    <w:rsid w:val="00F53F9B"/>
    <w:rsid w:val="00F54765"/>
    <w:rsid w:val="00F55DC8"/>
    <w:rsid w:val="00F55EB5"/>
    <w:rsid w:val="00F601B4"/>
    <w:rsid w:val="00F60ED1"/>
    <w:rsid w:val="00F61024"/>
    <w:rsid w:val="00F6142C"/>
    <w:rsid w:val="00F61569"/>
    <w:rsid w:val="00F615A4"/>
    <w:rsid w:val="00F623A0"/>
    <w:rsid w:val="00F64D3B"/>
    <w:rsid w:val="00F64F55"/>
    <w:rsid w:val="00F653C3"/>
    <w:rsid w:val="00F660E2"/>
    <w:rsid w:val="00F67616"/>
    <w:rsid w:val="00F7073B"/>
    <w:rsid w:val="00F71491"/>
    <w:rsid w:val="00F726FC"/>
    <w:rsid w:val="00F73855"/>
    <w:rsid w:val="00F756B2"/>
    <w:rsid w:val="00F75C37"/>
    <w:rsid w:val="00F77590"/>
    <w:rsid w:val="00F824AC"/>
    <w:rsid w:val="00F82EB8"/>
    <w:rsid w:val="00F84F1C"/>
    <w:rsid w:val="00F8541A"/>
    <w:rsid w:val="00F86360"/>
    <w:rsid w:val="00F91891"/>
    <w:rsid w:val="00F91ACE"/>
    <w:rsid w:val="00F92432"/>
    <w:rsid w:val="00F9625D"/>
    <w:rsid w:val="00F96A9B"/>
    <w:rsid w:val="00FA1332"/>
    <w:rsid w:val="00FA6561"/>
    <w:rsid w:val="00FA6EEF"/>
    <w:rsid w:val="00FA72EA"/>
    <w:rsid w:val="00FB2A65"/>
    <w:rsid w:val="00FB4048"/>
    <w:rsid w:val="00FB5647"/>
    <w:rsid w:val="00FB651B"/>
    <w:rsid w:val="00FC082E"/>
    <w:rsid w:val="00FC28B8"/>
    <w:rsid w:val="00FC2BF2"/>
    <w:rsid w:val="00FC3680"/>
    <w:rsid w:val="00FC4B17"/>
    <w:rsid w:val="00FC587E"/>
    <w:rsid w:val="00FC766A"/>
    <w:rsid w:val="00FD0FEE"/>
    <w:rsid w:val="00FD1501"/>
    <w:rsid w:val="00FD1893"/>
    <w:rsid w:val="00FD26D0"/>
    <w:rsid w:val="00FD37DF"/>
    <w:rsid w:val="00FD5B50"/>
    <w:rsid w:val="00FD6297"/>
    <w:rsid w:val="00FD77CF"/>
    <w:rsid w:val="00FE13F0"/>
    <w:rsid w:val="00FE16FE"/>
    <w:rsid w:val="00FE6D9F"/>
    <w:rsid w:val="00FE7AD7"/>
    <w:rsid w:val="00FF0373"/>
    <w:rsid w:val="00FF53B5"/>
    <w:rsid w:val="00FF5A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1049F"/>
  <w15:docId w15:val="{16B24970-C5D5-4F1D-AB7F-12B29EB7F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FD3"/>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semiHidden/>
    <w:unhideWhenUsed/>
    <w:qFormat/>
    <w:rsid w:val="006C50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F17FD3"/>
    <w:pPr>
      <w:keepNext/>
      <w:spacing w:line="360" w:lineRule="auto"/>
      <w:jc w:val="both"/>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7FD3"/>
    <w:rPr>
      <w:rFonts w:ascii="Arial" w:eastAsia="Times New Roman" w:hAnsi="Arial" w:cs="Arial"/>
      <w:i/>
      <w:iCs/>
      <w:sz w:val="28"/>
      <w:szCs w:val="24"/>
      <w:lang w:val="en-GB"/>
    </w:rPr>
  </w:style>
  <w:style w:type="paragraph" w:styleId="Header">
    <w:name w:val="header"/>
    <w:basedOn w:val="Normal"/>
    <w:link w:val="HeaderChar"/>
    <w:uiPriority w:val="99"/>
    <w:unhideWhenUsed/>
    <w:rsid w:val="005023EF"/>
    <w:pPr>
      <w:tabs>
        <w:tab w:val="center" w:pos="4513"/>
        <w:tab w:val="right" w:pos="9026"/>
      </w:tabs>
    </w:pPr>
  </w:style>
  <w:style w:type="character" w:customStyle="1" w:styleId="HeaderChar">
    <w:name w:val="Header Char"/>
    <w:basedOn w:val="DefaultParagraphFont"/>
    <w:link w:val="Header"/>
    <w:uiPriority w:val="99"/>
    <w:rsid w:val="005023E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023EF"/>
    <w:pPr>
      <w:tabs>
        <w:tab w:val="center" w:pos="4513"/>
        <w:tab w:val="right" w:pos="9026"/>
      </w:tabs>
    </w:pPr>
  </w:style>
  <w:style w:type="character" w:customStyle="1" w:styleId="FooterChar">
    <w:name w:val="Footer Char"/>
    <w:basedOn w:val="DefaultParagraphFont"/>
    <w:link w:val="Footer"/>
    <w:uiPriority w:val="99"/>
    <w:rsid w:val="005023EF"/>
    <w:rPr>
      <w:rFonts w:ascii="Times New Roman" w:eastAsia="Times New Roman" w:hAnsi="Times New Roman" w:cs="Times New Roman"/>
      <w:sz w:val="24"/>
      <w:szCs w:val="24"/>
      <w:lang w:val="en-GB"/>
    </w:rPr>
  </w:style>
  <w:style w:type="paragraph" w:styleId="ListBullet">
    <w:name w:val="List Bullet"/>
    <w:basedOn w:val="Normal"/>
    <w:uiPriority w:val="99"/>
    <w:unhideWhenUsed/>
    <w:rsid w:val="005023EF"/>
    <w:pPr>
      <w:numPr>
        <w:numId w:val="1"/>
      </w:numPr>
      <w:spacing w:after="160" w:line="259" w:lineRule="auto"/>
      <w:contextualSpacing/>
    </w:pPr>
    <w:rPr>
      <w:rFonts w:asciiTheme="minorHAnsi" w:eastAsiaTheme="minorHAnsi" w:hAnsiTheme="minorHAnsi" w:cstheme="minorBidi"/>
      <w:sz w:val="22"/>
      <w:szCs w:val="22"/>
      <w:lang w:val="en-ZA"/>
    </w:rPr>
  </w:style>
  <w:style w:type="paragraph" w:styleId="FootnoteText">
    <w:name w:val="footnote text"/>
    <w:basedOn w:val="Normal"/>
    <w:link w:val="FootnoteTextChar"/>
    <w:uiPriority w:val="99"/>
    <w:rsid w:val="000E3AE8"/>
    <w:rPr>
      <w:sz w:val="20"/>
      <w:szCs w:val="20"/>
    </w:rPr>
  </w:style>
  <w:style w:type="character" w:customStyle="1" w:styleId="FootnoteTextChar">
    <w:name w:val="Footnote Text Char"/>
    <w:basedOn w:val="DefaultParagraphFont"/>
    <w:link w:val="FootnoteText"/>
    <w:uiPriority w:val="99"/>
    <w:rsid w:val="000E3AE8"/>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0E3AE8"/>
    <w:rPr>
      <w:vertAlign w:val="superscript"/>
    </w:rPr>
  </w:style>
  <w:style w:type="paragraph" w:styleId="BalloonText">
    <w:name w:val="Balloon Text"/>
    <w:basedOn w:val="Normal"/>
    <w:link w:val="BalloonTextChar"/>
    <w:uiPriority w:val="99"/>
    <w:semiHidden/>
    <w:unhideWhenUsed/>
    <w:rsid w:val="00C84C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CDE"/>
    <w:rPr>
      <w:rFonts w:ascii="Segoe UI" w:eastAsia="Times New Roman" w:hAnsi="Segoe UI" w:cs="Segoe UI"/>
      <w:sz w:val="18"/>
      <w:szCs w:val="18"/>
      <w:lang w:val="en-GB"/>
    </w:rPr>
  </w:style>
  <w:style w:type="paragraph" w:styleId="ListParagraph">
    <w:name w:val="List Paragraph"/>
    <w:basedOn w:val="Normal"/>
    <w:uiPriority w:val="34"/>
    <w:qFormat/>
    <w:rsid w:val="00D54FBE"/>
    <w:pPr>
      <w:ind w:left="720"/>
      <w:contextualSpacing/>
    </w:pPr>
  </w:style>
  <w:style w:type="paragraph" w:customStyle="1" w:styleId="lg-a-1">
    <w:name w:val="lg-a-1"/>
    <w:basedOn w:val="Normal"/>
    <w:rsid w:val="00F91ACE"/>
    <w:pPr>
      <w:spacing w:before="100" w:beforeAutospacing="1" w:after="100" w:afterAutospacing="1"/>
    </w:pPr>
    <w:rPr>
      <w:lang w:val="en-ZA" w:eastAsia="en-GB"/>
    </w:rPr>
  </w:style>
  <w:style w:type="character" w:styleId="Hyperlink">
    <w:name w:val="Hyperlink"/>
    <w:basedOn w:val="DefaultParagraphFont"/>
    <w:uiPriority w:val="99"/>
    <w:semiHidden/>
    <w:unhideWhenUsed/>
    <w:rsid w:val="00F91ACE"/>
    <w:rPr>
      <w:color w:val="0000FF"/>
      <w:u w:val="single"/>
    </w:rPr>
  </w:style>
  <w:style w:type="paragraph" w:customStyle="1" w:styleId="lg-i-a-1">
    <w:name w:val="lg-i-a-1"/>
    <w:basedOn w:val="Normal"/>
    <w:rsid w:val="00F91ACE"/>
    <w:pPr>
      <w:spacing w:before="100" w:beforeAutospacing="1" w:after="100" w:afterAutospacing="1"/>
    </w:pPr>
    <w:rPr>
      <w:lang w:val="en-ZA" w:eastAsia="en-GB"/>
    </w:rPr>
  </w:style>
  <w:style w:type="character" w:styleId="CommentReference">
    <w:name w:val="annotation reference"/>
    <w:basedOn w:val="DefaultParagraphFont"/>
    <w:uiPriority w:val="99"/>
    <w:semiHidden/>
    <w:unhideWhenUsed/>
    <w:rsid w:val="00846328"/>
    <w:rPr>
      <w:sz w:val="16"/>
      <w:szCs w:val="16"/>
    </w:rPr>
  </w:style>
  <w:style w:type="paragraph" w:styleId="CommentText">
    <w:name w:val="annotation text"/>
    <w:basedOn w:val="Normal"/>
    <w:link w:val="CommentTextChar"/>
    <w:uiPriority w:val="99"/>
    <w:unhideWhenUsed/>
    <w:rsid w:val="00846328"/>
    <w:rPr>
      <w:sz w:val="20"/>
      <w:szCs w:val="20"/>
    </w:rPr>
  </w:style>
  <w:style w:type="character" w:customStyle="1" w:styleId="CommentTextChar">
    <w:name w:val="Comment Text Char"/>
    <w:basedOn w:val="DefaultParagraphFont"/>
    <w:link w:val="CommentText"/>
    <w:uiPriority w:val="99"/>
    <w:rsid w:val="0084632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46328"/>
    <w:rPr>
      <w:b/>
      <w:bCs/>
    </w:rPr>
  </w:style>
  <w:style w:type="character" w:customStyle="1" w:styleId="CommentSubjectChar">
    <w:name w:val="Comment Subject Char"/>
    <w:basedOn w:val="CommentTextChar"/>
    <w:link w:val="CommentSubject"/>
    <w:uiPriority w:val="99"/>
    <w:semiHidden/>
    <w:rsid w:val="00846328"/>
    <w:rPr>
      <w:rFonts w:ascii="Times New Roman" w:eastAsia="Times New Roman" w:hAnsi="Times New Roman" w:cs="Times New Roman"/>
      <w:b/>
      <w:bCs/>
      <w:sz w:val="20"/>
      <w:szCs w:val="20"/>
      <w:lang w:val="en-GB"/>
    </w:rPr>
  </w:style>
  <w:style w:type="paragraph" w:styleId="Revision">
    <w:name w:val="Revision"/>
    <w:hidden/>
    <w:uiPriority w:val="99"/>
    <w:semiHidden/>
    <w:rsid w:val="006D25CD"/>
    <w:pPr>
      <w:spacing w:after="0" w:line="240" w:lineRule="auto"/>
    </w:pPr>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semiHidden/>
    <w:rsid w:val="006C5095"/>
    <w:rPr>
      <w:rFonts w:asciiTheme="majorHAnsi" w:eastAsiaTheme="majorEastAsia" w:hAnsiTheme="majorHAnsi" w:cstheme="majorBidi"/>
      <w:color w:val="2E74B5" w:themeColor="accent1" w:themeShade="BF"/>
      <w:sz w:val="26"/>
      <w:szCs w:val="26"/>
      <w:lang w:val="en-GB"/>
    </w:rPr>
  </w:style>
  <w:style w:type="paragraph" w:styleId="Title">
    <w:name w:val="Title"/>
    <w:basedOn w:val="Normal"/>
    <w:next w:val="Normal"/>
    <w:link w:val="TitleChar"/>
    <w:uiPriority w:val="10"/>
    <w:qFormat/>
    <w:rsid w:val="00231B6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1B69"/>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56078">
      <w:bodyDiv w:val="1"/>
      <w:marLeft w:val="0"/>
      <w:marRight w:val="0"/>
      <w:marTop w:val="0"/>
      <w:marBottom w:val="0"/>
      <w:divBdr>
        <w:top w:val="none" w:sz="0" w:space="0" w:color="auto"/>
        <w:left w:val="none" w:sz="0" w:space="0" w:color="auto"/>
        <w:bottom w:val="none" w:sz="0" w:space="0" w:color="auto"/>
        <w:right w:val="none" w:sz="0" w:space="0" w:color="auto"/>
      </w:divBdr>
    </w:div>
    <w:div w:id="1294213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63EB4-1391-4461-8AC0-1F7A80D08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3925</Words>
  <Characters>22378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Botha</dc:creator>
  <cp:keywords/>
  <dc:description/>
  <cp:lastModifiedBy>Glenn Goosen</cp:lastModifiedBy>
  <cp:revision>2</cp:revision>
  <cp:lastPrinted>2022-12-13T08:59:00Z</cp:lastPrinted>
  <dcterms:created xsi:type="dcterms:W3CDTF">2023-07-26T08:40:00Z</dcterms:created>
  <dcterms:modified xsi:type="dcterms:W3CDTF">2023-07-26T08:40:00Z</dcterms:modified>
</cp:coreProperties>
</file>