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9283B" w14:textId="77777777" w:rsidR="00F41D45" w:rsidRPr="00925A9D" w:rsidRDefault="00F41D45" w:rsidP="002923EB">
      <w:pPr>
        <w:pStyle w:val="Pa3"/>
        <w:jc w:val="center"/>
        <w:rPr>
          <w:noProof/>
          <w:lang w:val="en-GB" w:eastAsia="en-GB"/>
        </w:rPr>
      </w:pPr>
      <w:bookmarkStart w:id="0" w:name="OLE_LINK1"/>
      <w:bookmarkStart w:id="1" w:name="_GoBack"/>
      <w:bookmarkEnd w:id="1"/>
    </w:p>
    <w:p w14:paraId="2C3E32D4" w14:textId="5388F775" w:rsidR="002923EB" w:rsidRPr="00925A9D" w:rsidRDefault="00FD17E6">
      <w:pPr>
        <w:pStyle w:val="Pa3"/>
        <w:jc w:val="center"/>
        <w:rPr>
          <w:rStyle w:val="A0"/>
          <w:b w:val="0"/>
          <w:bCs w:val="0"/>
          <w:color w:val="auto"/>
          <w:sz w:val="24"/>
          <w:szCs w:val="24"/>
          <w:lang w:val="en-GB"/>
        </w:rPr>
      </w:pPr>
      <w:r w:rsidRPr="00925A9D">
        <w:rPr>
          <w:noProof/>
          <w:lang w:val="en-ZA" w:eastAsia="en-ZA"/>
        </w:rPr>
        <w:drawing>
          <wp:inline distT="0" distB="0" distL="0" distR="0" wp14:anchorId="3376EF24" wp14:editId="6012D026">
            <wp:extent cx="790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14:paraId="090564CC" w14:textId="77777777" w:rsidR="00C42DF9" w:rsidRPr="00925A9D" w:rsidRDefault="00C42DF9" w:rsidP="00B527A5">
      <w:pPr>
        <w:rPr>
          <w:lang w:val="en-US"/>
        </w:rPr>
      </w:pPr>
    </w:p>
    <w:p w14:paraId="0FEF6739" w14:textId="77777777" w:rsidR="002923EB" w:rsidRPr="00925A9D" w:rsidRDefault="002923EB" w:rsidP="00C85755">
      <w:pPr>
        <w:pStyle w:val="Pa3"/>
        <w:spacing w:line="360" w:lineRule="auto"/>
        <w:jc w:val="center"/>
        <w:rPr>
          <w:rStyle w:val="A0"/>
          <w:color w:val="auto"/>
          <w:sz w:val="24"/>
          <w:szCs w:val="24"/>
        </w:rPr>
      </w:pPr>
      <w:r w:rsidRPr="00925A9D">
        <w:rPr>
          <w:rStyle w:val="A0"/>
          <w:bCs w:val="0"/>
          <w:color w:val="auto"/>
          <w:sz w:val="24"/>
          <w:szCs w:val="24"/>
        </w:rPr>
        <w:t>THE SUPREME COURT OF APPEAL</w:t>
      </w:r>
      <w:r w:rsidR="009123F0" w:rsidRPr="00925A9D">
        <w:rPr>
          <w:rStyle w:val="A0"/>
          <w:bCs w:val="0"/>
          <w:color w:val="auto"/>
          <w:sz w:val="24"/>
          <w:szCs w:val="24"/>
        </w:rPr>
        <w:t xml:space="preserve"> </w:t>
      </w:r>
      <w:r w:rsidRPr="00925A9D">
        <w:rPr>
          <w:rStyle w:val="A0"/>
          <w:color w:val="auto"/>
          <w:sz w:val="24"/>
          <w:szCs w:val="24"/>
        </w:rPr>
        <w:t xml:space="preserve">OF SOUTH AFRICA </w:t>
      </w:r>
    </w:p>
    <w:p w14:paraId="6E57C26E" w14:textId="77777777" w:rsidR="002923EB" w:rsidRPr="00925A9D" w:rsidRDefault="009123F0" w:rsidP="00C85755">
      <w:pPr>
        <w:spacing w:line="360" w:lineRule="auto"/>
        <w:jc w:val="center"/>
        <w:rPr>
          <w:sz w:val="24"/>
        </w:rPr>
      </w:pPr>
      <w:r w:rsidRPr="00925A9D">
        <w:rPr>
          <w:b/>
          <w:sz w:val="24"/>
        </w:rPr>
        <w:t>JUDGMENT</w:t>
      </w:r>
    </w:p>
    <w:bookmarkEnd w:id="0"/>
    <w:p w14:paraId="37CAF62A" w14:textId="77777777" w:rsidR="00E412B1" w:rsidRPr="00925A9D" w:rsidRDefault="00E412B1" w:rsidP="00C85755">
      <w:pPr>
        <w:spacing w:line="360" w:lineRule="auto"/>
        <w:ind w:right="26"/>
        <w:rPr>
          <w:bCs/>
          <w:sz w:val="24"/>
        </w:rPr>
      </w:pPr>
    </w:p>
    <w:p w14:paraId="7745B5B8" w14:textId="4F0A05F6" w:rsidR="0058036E" w:rsidRPr="00925A9D" w:rsidRDefault="00FB3C17" w:rsidP="00960BC4">
      <w:pPr>
        <w:spacing w:line="360" w:lineRule="auto"/>
        <w:jc w:val="right"/>
        <w:rPr>
          <w:b/>
          <w:sz w:val="24"/>
        </w:rPr>
      </w:pPr>
      <w:r w:rsidRPr="00925A9D">
        <w:rPr>
          <w:b/>
          <w:bCs/>
          <w:sz w:val="24"/>
        </w:rPr>
        <w:t>Reportable</w:t>
      </w:r>
    </w:p>
    <w:p w14:paraId="48594450" w14:textId="2171500C" w:rsidR="002533B8" w:rsidRPr="00925A9D" w:rsidRDefault="002533B8" w:rsidP="00960BC4">
      <w:pPr>
        <w:spacing w:line="360" w:lineRule="auto"/>
        <w:jc w:val="right"/>
        <w:rPr>
          <w:sz w:val="24"/>
        </w:rPr>
      </w:pPr>
      <w:r w:rsidRPr="00925A9D">
        <w:rPr>
          <w:b/>
          <w:sz w:val="24"/>
        </w:rPr>
        <w:tab/>
      </w:r>
      <w:r w:rsidRPr="00925A9D">
        <w:rPr>
          <w:sz w:val="24"/>
        </w:rPr>
        <w:t xml:space="preserve">Case No: </w:t>
      </w:r>
      <w:r w:rsidR="00030F03" w:rsidRPr="00925A9D">
        <w:rPr>
          <w:sz w:val="24"/>
        </w:rPr>
        <w:t>648</w:t>
      </w:r>
      <w:r w:rsidR="00B624E7" w:rsidRPr="00925A9D">
        <w:rPr>
          <w:sz w:val="24"/>
        </w:rPr>
        <w:t>/2022</w:t>
      </w:r>
    </w:p>
    <w:p w14:paraId="239E8BA7" w14:textId="77777777" w:rsidR="00B527A5" w:rsidRPr="00925A9D" w:rsidRDefault="00B527A5" w:rsidP="00C85755">
      <w:pPr>
        <w:spacing w:line="276" w:lineRule="auto"/>
        <w:ind w:right="-328"/>
        <w:jc w:val="both"/>
        <w:rPr>
          <w:bCs/>
          <w:sz w:val="24"/>
        </w:rPr>
      </w:pPr>
    </w:p>
    <w:p w14:paraId="4DF54A27" w14:textId="21946920" w:rsidR="0058036E" w:rsidRPr="00925A9D" w:rsidRDefault="009123F0" w:rsidP="00960BC4">
      <w:pPr>
        <w:spacing w:before="160" w:after="160" w:line="360" w:lineRule="auto"/>
        <w:jc w:val="both"/>
        <w:rPr>
          <w:bCs/>
          <w:sz w:val="24"/>
        </w:rPr>
      </w:pPr>
      <w:r w:rsidRPr="00925A9D">
        <w:rPr>
          <w:bCs/>
          <w:sz w:val="24"/>
        </w:rPr>
        <w:t>In the matter between:</w:t>
      </w:r>
    </w:p>
    <w:p w14:paraId="562A8C23" w14:textId="60639CB6" w:rsidR="00EB728F" w:rsidRPr="00925A9D" w:rsidRDefault="00030F03" w:rsidP="00C85755">
      <w:pPr>
        <w:tabs>
          <w:tab w:val="right" w:pos="8280"/>
        </w:tabs>
        <w:spacing w:line="276" w:lineRule="auto"/>
        <w:ind w:right="26"/>
        <w:jc w:val="both"/>
        <w:rPr>
          <w:b/>
          <w:sz w:val="24"/>
        </w:rPr>
      </w:pPr>
      <w:r w:rsidRPr="00925A9D">
        <w:rPr>
          <w:b/>
          <w:sz w:val="24"/>
        </w:rPr>
        <w:t xml:space="preserve">DIS-CHEM PHARMACIES LIMITED                   </w:t>
      </w:r>
      <w:r w:rsidR="004669CE" w:rsidRPr="00925A9D">
        <w:rPr>
          <w:b/>
          <w:sz w:val="24"/>
        </w:rPr>
        <w:t xml:space="preserve">          </w:t>
      </w:r>
      <w:r w:rsidRPr="00925A9D">
        <w:rPr>
          <w:b/>
          <w:sz w:val="24"/>
        </w:rPr>
        <w:t xml:space="preserve">                              </w:t>
      </w:r>
      <w:r w:rsidR="005C0168" w:rsidRPr="00925A9D">
        <w:rPr>
          <w:b/>
          <w:sz w:val="24"/>
        </w:rPr>
        <w:t>A</w:t>
      </w:r>
      <w:r w:rsidR="00C42DF9" w:rsidRPr="00925A9D">
        <w:rPr>
          <w:b/>
          <w:sz w:val="24"/>
        </w:rPr>
        <w:t>PPELLANT</w:t>
      </w:r>
    </w:p>
    <w:p w14:paraId="394F0FFA" w14:textId="77777777" w:rsidR="0058036E" w:rsidRPr="00925A9D" w:rsidRDefault="0058036E" w:rsidP="005C0168">
      <w:pPr>
        <w:tabs>
          <w:tab w:val="right" w:pos="8280"/>
        </w:tabs>
        <w:spacing w:line="360" w:lineRule="auto"/>
        <w:jc w:val="both"/>
        <w:rPr>
          <w:sz w:val="24"/>
        </w:rPr>
      </w:pPr>
    </w:p>
    <w:p w14:paraId="2924CDED" w14:textId="08DA8F30" w:rsidR="0058036E" w:rsidRPr="00925A9D" w:rsidRDefault="00F63088" w:rsidP="00C85755">
      <w:pPr>
        <w:tabs>
          <w:tab w:val="right" w:pos="8280"/>
        </w:tabs>
        <w:spacing w:line="276" w:lineRule="auto"/>
        <w:ind w:right="26"/>
        <w:jc w:val="both"/>
        <w:rPr>
          <w:sz w:val="24"/>
        </w:rPr>
      </w:pPr>
      <w:r w:rsidRPr="00925A9D">
        <w:rPr>
          <w:sz w:val="24"/>
        </w:rPr>
        <w:t>a</w:t>
      </w:r>
      <w:r w:rsidR="004309F0" w:rsidRPr="00925A9D">
        <w:rPr>
          <w:sz w:val="24"/>
        </w:rPr>
        <w:t>nd</w:t>
      </w:r>
    </w:p>
    <w:p w14:paraId="03FCCA5A" w14:textId="77777777" w:rsidR="00E412B1" w:rsidRPr="00925A9D" w:rsidRDefault="00E412B1" w:rsidP="005C0168">
      <w:pPr>
        <w:tabs>
          <w:tab w:val="right" w:pos="8280"/>
        </w:tabs>
        <w:spacing w:line="360" w:lineRule="auto"/>
        <w:jc w:val="both"/>
        <w:rPr>
          <w:sz w:val="24"/>
        </w:rPr>
      </w:pPr>
    </w:p>
    <w:p w14:paraId="13EB9C97" w14:textId="44BBE280" w:rsidR="005F44B6" w:rsidRPr="00925A9D" w:rsidRDefault="00217CD3" w:rsidP="00C85755">
      <w:pPr>
        <w:tabs>
          <w:tab w:val="right" w:pos="8280"/>
        </w:tabs>
        <w:spacing w:line="276" w:lineRule="auto"/>
        <w:jc w:val="both"/>
        <w:rPr>
          <w:b/>
          <w:sz w:val="24"/>
        </w:rPr>
      </w:pPr>
      <w:r w:rsidRPr="00925A9D">
        <w:rPr>
          <w:b/>
          <w:sz w:val="24"/>
        </w:rPr>
        <w:t>DAINFERN SQUARE (PTY) LTD</w:t>
      </w:r>
      <w:r w:rsidR="00FD0B24" w:rsidRPr="00925A9D">
        <w:rPr>
          <w:b/>
          <w:sz w:val="24"/>
        </w:rPr>
        <w:tab/>
      </w:r>
      <w:r w:rsidR="00C42DF9" w:rsidRPr="00925A9D">
        <w:rPr>
          <w:b/>
          <w:sz w:val="24"/>
        </w:rPr>
        <w:t xml:space="preserve">                                             FIRST RESPONDENT</w:t>
      </w:r>
    </w:p>
    <w:p w14:paraId="50E301AE" w14:textId="5591ABD1" w:rsidR="005F44B6" w:rsidRPr="00925A9D" w:rsidRDefault="005F44B6" w:rsidP="00C85755">
      <w:pPr>
        <w:tabs>
          <w:tab w:val="right" w:pos="8280"/>
        </w:tabs>
        <w:spacing w:line="276" w:lineRule="auto"/>
        <w:jc w:val="both"/>
        <w:rPr>
          <w:b/>
          <w:sz w:val="24"/>
        </w:rPr>
      </w:pPr>
    </w:p>
    <w:p w14:paraId="1022EC20" w14:textId="22416BF0" w:rsidR="00E94475" w:rsidRPr="00925A9D" w:rsidRDefault="00217CD3" w:rsidP="00F63088">
      <w:pPr>
        <w:tabs>
          <w:tab w:val="right" w:pos="8280"/>
        </w:tabs>
        <w:spacing w:line="276" w:lineRule="auto"/>
        <w:jc w:val="both"/>
        <w:rPr>
          <w:b/>
          <w:sz w:val="24"/>
        </w:rPr>
      </w:pPr>
      <w:r w:rsidRPr="00925A9D">
        <w:rPr>
          <w:b/>
          <w:sz w:val="24"/>
        </w:rPr>
        <w:t>MPILO WINSTON DLAMINI N</w:t>
      </w:r>
      <w:r w:rsidR="005341CE" w:rsidRPr="00925A9D">
        <w:rPr>
          <w:b/>
          <w:sz w:val="24"/>
        </w:rPr>
        <w:t xml:space="preserve"> </w:t>
      </w:r>
      <w:r w:rsidRPr="00925A9D">
        <w:rPr>
          <w:b/>
          <w:sz w:val="24"/>
        </w:rPr>
        <w:t>O</w:t>
      </w:r>
      <w:r w:rsidR="005341CE" w:rsidRPr="00925A9D">
        <w:rPr>
          <w:b/>
          <w:sz w:val="24"/>
        </w:rPr>
        <w:t xml:space="preserve"> </w:t>
      </w:r>
      <w:r w:rsidR="005C0168" w:rsidRPr="00925A9D">
        <w:rPr>
          <w:b/>
          <w:sz w:val="24"/>
        </w:rPr>
        <w:t xml:space="preserve"> </w:t>
      </w:r>
      <w:r w:rsidR="00C42DF9" w:rsidRPr="00925A9D">
        <w:rPr>
          <w:b/>
          <w:sz w:val="24"/>
        </w:rPr>
        <w:t xml:space="preserve">                                       SECOND RESPONDENT</w:t>
      </w:r>
    </w:p>
    <w:p w14:paraId="18AD02A6" w14:textId="50795DCC" w:rsidR="005F44B6" w:rsidRPr="00925A9D" w:rsidRDefault="005F44B6" w:rsidP="005C0168">
      <w:pPr>
        <w:tabs>
          <w:tab w:val="right" w:pos="8280"/>
        </w:tabs>
        <w:spacing w:line="360" w:lineRule="auto"/>
        <w:jc w:val="both"/>
        <w:rPr>
          <w:b/>
          <w:sz w:val="24"/>
        </w:rPr>
      </w:pPr>
    </w:p>
    <w:p w14:paraId="404B48E9" w14:textId="5B2FF354" w:rsidR="005F44B6" w:rsidRPr="00925A9D" w:rsidRDefault="00217CD3" w:rsidP="00C85755">
      <w:pPr>
        <w:tabs>
          <w:tab w:val="right" w:pos="8280"/>
        </w:tabs>
        <w:spacing w:line="276" w:lineRule="auto"/>
        <w:jc w:val="both"/>
        <w:rPr>
          <w:b/>
          <w:sz w:val="24"/>
        </w:rPr>
      </w:pPr>
      <w:r w:rsidRPr="00925A9D">
        <w:rPr>
          <w:b/>
          <w:sz w:val="24"/>
        </w:rPr>
        <w:t>NOBLE SPECTATUS FUNDS (PTY) LTD</w:t>
      </w:r>
      <w:r w:rsidR="008C251F" w:rsidRPr="00925A9D">
        <w:rPr>
          <w:b/>
          <w:sz w:val="24"/>
        </w:rPr>
        <w:t xml:space="preserve">    </w:t>
      </w:r>
      <w:r w:rsidR="005F44B6" w:rsidRPr="00925A9D">
        <w:rPr>
          <w:b/>
          <w:sz w:val="24"/>
        </w:rPr>
        <w:tab/>
      </w:r>
      <w:r w:rsidR="00C42DF9" w:rsidRPr="00925A9D">
        <w:rPr>
          <w:b/>
          <w:sz w:val="24"/>
        </w:rPr>
        <w:t xml:space="preserve">                           THIRD RESPONDENT</w:t>
      </w:r>
    </w:p>
    <w:p w14:paraId="11E1A354" w14:textId="175C04FF" w:rsidR="00B527A5" w:rsidRPr="00925A9D" w:rsidRDefault="00B527A5" w:rsidP="00217CD3">
      <w:pPr>
        <w:tabs>
          <w:tab w:val="right" w:pos="8280"/>
        </w:tabs>
        <w:spacing w:line="360" w:lineRule="auto"/>
        <w:jc w:val="both"/>
        <w:rPr>
          <w:b/>
          <w:sz w:val="24"/>
        </w:rPr>
      </w:pPr>
    </w:p>
    <w:p w14:paraId="108D60EF" w14:textId="2D931F12" w:rsidR="00C646E9" w:rsidRPr="00925A9D" w:rsidRDefault="00B57EC6" w:rsidP="00960BC4">
      <w:pPr>
        <w:tabs>
          <w:tab w:val="left" w:pos="2268"/>
        </w:tabs>
        <w:spacing w:line="360" w:lineRule="auto"/>
        <w:ind w:left="2265" w:hanging="2265"/>
        <w:jc w:val="both"/>
        <w:rPr>
          <w:bCs/>
          <w:sz w:val="24"/>
        </w:rPr>
      </w:pPr>
      <w:r w:rsidRPr="00925A9D">
        <w:rPr>
          <w:b/>
          <w:bCs/>
          <w:sz w:val="24"/>
        </w:rPr>
        <w:t>Neutral C</w:t>
      </w:r>
      <w:r w:rsidR="002533B8" w:rsidRPr="00925A9D">
        <w:rPr>
          <w:b/>
          <w:bCs/>
          <w:sz w:val="24"/>
        </w:rPr>
        <w:t>itation:</w:t>
      </w:r>
      <w:r w:rsidR="00FD0B24" w:rsidRPr="00925A9D">
        <w:rPr>
          <w:b/>
          <w:bCs/>
          <w:sz w:val="24"/>
        </w:rPr>
        <w:tab/>
      </w:r>
      <w:r w:rsidR="00217CD3" w:rsidRPr="00925A9D">
        <w:rPr>
          <w:bCs/>
          <w:i/>
          <w:sz w:val="24"/>
        </w:rPr>
        <w:t>Dis-Chem Pharmacies Limited</w:t>
      </w:r>
      <w:r w:rsidR="008C251F" w:rsidRPr="00925A9D">
        <w:rPr>
          <w:bCs/>
          <w:i/>
          <w:sz w:val="24"/>
        </w:rPr>
        <w:t xml:space="preserve"> v </w:t>
      </w:r>
      <w:r w:rsidR="00217CD3" w:rsidRPr="00925A9D">
        <w:rPr>
          <w:bCs/>
          <w:i/>
          <w:sz w:val="24"/>
        </w:rPr>
        <w:t>Dainfern Square (Pty) Ltd</w:t>
      </w:r>
      <w:r w:rsidR="008C251F" w:rsidRPr="00925A9D">
        <w:rPr>
          <w:bCs/>
          <w:i/>
          <w:sz w:val="24"/>
        </w:rPr>
        <w:t xml:space="preserve"> &amp; O</w:t>
      </w:r>
      <w:r w:rsidR="00C85755" w:rsidRPr="00925A9D">
        <w:rPr>
          <w:bCs/>
          <w:i/>
          <w:sz w:val="24"/>
        </w:rPr>
        <w:t>thers</w:t>
      </w:r>
      <w:r w:rsidR="00C85755" w:rsidRPr="00925A9D">
        <w:rPr>
          <w:bCs/>
          <w:sz w:val="24"/>
        </w:rPr>
        <w:t xml:space="preserve"> </w:t>
      </w:r>
      <w:r w:rsidR="002533B8" w:rsidRPr="00925A9D">
        <w:rPr>
          <w:bCs/>
          <w:sz w:val="24"/>
        </w:rPr>
        <w:t>(</w:t>
      </w:r>
      <w:r w:rsidR="00217CD3" w:rsidRPr="00925A9D">
        <w:rPr>
          <w:bCs/>
          <w:sz w:val="24"/>
        </w:rPr>
        <w:t>648</w:t>
      </w:r>
      <w:r w:rsidR="00D960A7" w:rsidRPr="00925A9D">
        <w:rPr>
          <w:bCs/>
          <w:sz w:val="24"/>
        </w:rPr>
        <w:t>/2022</w:t>
      </w:r>
      <w:r w:rsidR="00AF3EBA" w:rsidRPr="00925A9D">
        <w:rPr>
          <w:bCs/>
          <w:sz w:val="24"/>
        </w:rPr>
        <w:t>) [20</w:t>
      </w:r>
      <w:r w:rsidR="00D960A7" w:rsidRPr="00925A9D">
        <w:rPr>
          <w:bCs/>
          <w:sz w:val="24"/>
        </w:rPr>
        <w:t>23</w:t>
      </w:r>
      <w:r w:rsidR="002533B8" w:rsidRPr="00925A9D">
        <w:rPr>
          <w:bCs/>
          <w:sz w:val="24"/>
        </w:rPr>
        <w:t>] ZASCA</w:t>
      </w:r>
      <w:r w:rsidR="00FD09D6" w:rsidRPr="00925A9D">
        <w:rPr>
          <w:bCs/>
          <w:sz w:val="24"/>
        </w:rPr>
        <w:t xml:space="preserve"> </w:t>
      </w:r>
      <w:r w:rsidR="007340EB" w:rsidRPr="00925A9D">
        <w:rPr>
          <w:bCs/>
          <w:sz w:val="24"/>
        </w:rPr>
        <w:t>115</w:t>
      </w:r>
      <w:r w:rsidR="00B0731F" w:rsidRPr="00925A9D">
        <w:rPr>
          <w:bCs/>
          <w:sz w:val="24"/>
        </w:rPr>
        <w:t xml:space="preserve"> </w:t>
      </w:r>
      <w:r w:rsidR="00FD09D6" w:rsidRPr="00925A9D">
        <w:rPr>
          <w:bCs/>
          <w:sz w:val="24"/>
        </w:rPr>
        <w:t>(</w:t>
      </w:r>
      <w:r w:rsidR="009C0087" w:rsidRPr="00925A9D">
        <w:rPr>
          <w:bCs/>
          <w:sz w:val="24"/>
        </w:rPr>
        <w:t>27</w:t>
      </w:r>
      <w:r w:rsidR="00AD2004" w:rsidRPr="00925A9D">
        <w:rPr>
          <w:bCs/>
          <w:sz w:val="24"/>
        </w:rPr>
        <w:t xml:space="preserve"> Ju</w:t>
      </w:r>
      <w:r w:rsidR="00736808" w:rsidRPr="00925A9D">
        <w:rPr>
          <w:bCs/>
          <w:sz w:val="24"/>
        </w:rPr>
        <w:t>ly</w:t>
      </w:r>
      <w:r w:rsidR="005858D9" w:rsidRPr="00925A9D">
        <w:rPr>
          <w:bCs/>
          <w:sz w:val="24"/>
        </w:rPr>
        <w:t xml:space="preserve"> 2023</w:t>
      </w:r>
      <w:r w:rsidR="002533B8" w:rsidRPr="00925A9D">
        <w:rPr>
          <w:bCs/>
          <w:sz w:val="24"/>
        </w:rPr>
        <w:t>)</w:t>
      </w:r>
    </w:p>
    <w:p w14:paraId="287F2706" w14:textId="1607BDC0" w:rsidR="00C646E9" w:rsidRPr="00925A9D" w:rsidRDefault="00C646E9" w:rsidP="00960BC4">
      <w:pPr>
        <w:spacing w:line="360" w:lineRule="auto"/>
        <w:ind w:left="1440" w:hanging="1440"/>
        <w:jc w:val="both"/>
        <w:rPr>
          <w:bCs/>
          <w:sz w:val="24"/>
        </w:rPr>
      </w:pPr>
      <w:r w:rsidRPr="00925A9D">
        <w:rPr>
          <w:b/>
          <w:sz w:val="24"/>
        </w:rPr>
        <w:t>Coram:</w:t>
      </w:r>
      <w:r w:rsidR="00C42DF9" w:rsidRPr="00925A9D">
        <w:rPr>
          <w:bCs/>
          <w:sz w:val="24"/>
        </w:rPr>
        <w:tab/>
      </w:r>
      <w:r w:rsidR="00217CD3" w:rsidRPr="00925A9D">
        <w:rPr>
          <w:bCs/>
          <w:sz w:val="24"/>
        </w:rPr>
        <w:t>NICHOL</w:t>
      </w:r>
      <w:r w:rsidR="005341CE" w:rsidRPr="00925A9D">
        <w:rPr>
          <w:bCs/>
          <w:sz w:val="24"/>
        </w:rPr>
        <w:t>L</w:t>
      </w:r>
      <w:r w:rsidR="00217CD3" w:rsidRPr="00925A9D">
        <w:rPr>
          <w:bCs/>
          <w:sz w:val="24"/>
        </w:rPr>
        <w:t>S</w:t>
      </w:r>
      <w:r w:rsidR="002D0B3D" w:rsidRPr="00925A9D">
        <w:rPr>
          <w:bCs/>
          <w:sz w:val="24"/>
        </w:rPr>
        <w:t>,</w:t>
      </w:r>
      <w:r w:rsidR="00E065C6" w:rsidRPr="00925A9D">
        <w:rPr>
          <w:bCs/>
          <w:sz w:val="24"/>
        </w:rPr>
        <w:t xml:space="preserve"> </w:t>
      </w:r>
      <w:r w:rsidR="00217CD3" w:rsidRPr="00925A9D">
        <w:rPr>
          <w:bCs/>
          <w:sz w:val="24"/>
        </w:rPr>
        <w:t xml:space="preserve">MOTHLE </w:t>
      </w:r>
      <w:r w:rsidR="003532E2" w:rsidRPr="00925A9D">
        <w:rPr>
          <w:bCs/>
          <w:sz w:val="24"/>
        </w:rPr>
        <w:t>and</w:t>
      </w:r>
      <w:r w:rsidR="00217CD3" w:rsidRPr="00925A9D">
        <w:rPr>
          <w:bCs/>
          <w:sz w:val="24"/>
        </w:rPr>
        <w:t xml:space="preserve"> MOLEFE</w:t>
      </w:r>
      <w:r w:rsidRPr="00925A9D">
        <w:rPr>
          <w:bCs/>
          <w:sz w:val="24"/>
        </w:rPr>
        <w:t xml:space="preserve"> </w:t>
      </w:r>
      <w:r w:rsidR="00E065C6" w:rsidRPr="00925A9D">
        <w:rPr>
          <w:bCs/>
          <w:sz w:val="24"/>
        </w:rPr>
        <w:t>J</w:t>
      </w:r>
      <w:r w:rsidR="00217CD3" w:rsidRPr="00925A9D">
        <w:rPr>
          <w:bCs/>
          <w:sz w:val="24"/>
        </w:rPr>
        <w:t>JA and KATHREE-SETILOANE and MALI</w:t>
      </w:r>
      <w:r w:rsidRPr="00925A9D">
        <w:rPr>
          <w:bCs/>
          <w:sz w:val="24"/>
        </w:rPr>
        <w:t xml:space="preserve"> </w:t>
      </w:r>
      <w:r w:rsidR="00E065C6" w:rsidRPr="00925A9D">
        <w:rPr>
          <w:bCs/>
          <w:sz w:val="24"/>
        </w:rPr>
        <w:t>A</w:t>
      </w:r>
      <w:r w:rsidRPr="00925A9D">
        <w:rPr>
          <w:bCs/>
          <w:sz w:val="24"/>
        </w:rPr>
        <w:t>J</w:t>
      </w:r>
      <w:r w:rsidR="002D0B3D" w:rsidRPr="00925A9D">
        <w:rPr>
          <w:bCs/>
          <w:sz w:val="24"/>
        </w:rPr>
        <w:t>J</w:t>
      </w:r>
      <w:r w:rsidRPr="00925A9D">
        <w:rPr>
          <w:bCs/>
          <w:sz w:val="24"/>
        </w:rPr>
        <w:t>A</w:t>
      </w:r>
    </w:p>
    <w:p w14:paraId="63DB246E" w14:textId="4E84E470" w:rsidR="00C85755" w:rsidRPr="00925A9D" w:rsidRDefault="002533B8">
      <w:pPr>
        <w:tabs>
          <w:tab w:val="left" w:pos="-1440"/>
        </w:tabs>
        <w:spacing w:line="360" w:lineRule="auto"/>
        <w:jc w:val="both"/>
        <w:rPr>
          <w:bCs/>
          <w:sz w:val="24"/>
        </w:rPr>
      </w:pPr>
      <w:r w:rsidRPr="00925A9D">
        <w:rPr>
          <w:b/>
          <w:bCs/>
          <w:sz w:val="24"/>
        </w:rPr>
        <w:t>Heard:</w:t>
      </w:r>
      <w:r w:rsidR="00FD0B24" w:rsidRPr="00925A9D">
        <w:rPr>
          <w:b/>
          <w:bCs/>
          <w:sz w:val="24"/>
        </w:rPr>
        <w:tab/>
      </w:r>
      <w:r w:rsidR="00217CD3" w:rsidRPr="00925A9D">
        <w:rPr>
          <w:bCs/>
          <w:sz w:val="24"/>
        </w:rPr>
        <w:t>15 May</w:t>
      </w:r>
      <w:r w:rsidR="003E17DF" w:rsidRPr="00925A9D">
        <w:rPr>
          <w:bCs/>
          <w:sz w:val="24"/>
        </w:rPr>
        <w:t xml:space="preserve"> </w:t>
      </w:r>
      <w:r w:rsidR="005858D9" w:rsidRPr="00925A9D">
        <w:rPr>
          <w:bCs/>
          <w:sz w:val="24"/>
        </w:rPr>
        <w:t>2023</w:t>
      </w:r>
    </w:p>
    <w:p w14:paraId="1436A2D8" w14:textId="2BA30AB5" w:rsidR="00E16FCC" w:rsidRPr="00925A9D" w:rsidRDefault="002533B8">
      <w:pPr>
        <w:tabs>
          <w:tab w:val="left" w:pos="-1440"/>
        </w:tabs>
        <w:spacing w:line="360" w:lineRule="auto"/>
        <w:jc w:val="both"/>
        <w:rPr>
          <w:sz w:val="24"/>
        </w:rPr>
      </w:pPr>
      <w:r w:rsidRPr="00925A9D">
        <w:rPr>
          <w:b/>
          <w:bCs/>
          <w:sz w:val="24"/>
        </w:rPr>
        <w:t>Delivered:</w:t>
      </w:r>
      <w:r w:rsidR="00FD0B24" w:rsidRPr="00925A9D">
        <w:rPr>
          <w:b/>
          <w:bCs/>
          <w:sz w:val="24"/>
        </w:rPr>
        <w:tab/>
      </w:r>
      <w:r w:rsidR="00736808" w:rsidRPr="00925A9D">
        <w:rPr>
          <w:sz w:val="24"/>
        </w:rPr>
        <w:t>This judgment was handed down electronically by circulation to the parties’ l</w:t>
      </w:r>
      <w:r w:rsidR="00B95894" w:rsidRPr="00925A9D">
        <w:rPr>
          <w:sz w:val="24"/>
        </w:rPr>
        <w:t>egal representatives via e-mail</w:t>
      </w:r>
      <w:r w:rsidR="00736808" w:rsidRPr="00925A9D">
        <w:rPr>
          <w:sz w:val="24"/>
        </w:rPr>
        <w:t xml:space="preserve"> publication on the Supreme Court of Appeal</w:t>
      </w:r>
      <w:r w:rsidR="00E16FCC" w:rsidRPr="00925A9D">
        <w:rPr>
          <w:sz w:val="24"/>
        </w:rPr>
        <w:t xml:space="preserve"> website and released to SAFLII. The date and time for hand-down are deemed to be </w:t>
      </w:r>
      <w:r w:rsidR="009C0087" w:rsidRPr="00925A9D">
        <w:rPr>
          <w:sz w:val="24"/>
        </w:rPr>
        <w:t>27</w:t>
      </w:r>
      <w:r w:rsidR="00E16FCC" w:rsidRPr="00925A9D">
        <w:rPr>
          <w:sz w:val="24"/>
        </w:rPr>
        <w:t xml:space="preserve"> July 2023 at 11h00.</w:t>
      </w:r>
    </w:p>
    <w:p w14:paraId="771C8BA9" w14:textId="77777777" w:rsidR="003D09B5" w:rsidRPr="00925A9D" w:rsidRDefault="003D09B5" w:rsidP="00960BC4">
      <w:pPr>
        <w:spacing w:line="360" w:lineRule="auto"/>
        <w:contextualSpacing/>
        <w:jc w:val="both"/>
        <w:rPr>
          <w:b/>
          <w:bCs/>
          <w:sz w:val="24"/>
        </w:rPr>
      </w:pPr>
    </w:p>
    <w:p w14:paraId="749832D7" w14:textId="77777777" w:rsidR="003D09B5" w:rsidRPr="00925A9D" w:rsidRDefault="003D09B5" w:rsidP="00960BC4">
      <w:pPr>
        <w:spacing w:line="360" w:lineRule="auto"/>
        <w:contextualSpacing/>
        <w:jc w:val="both"/>
        <w:rPr>
          <w:b/>
          <w:bCs/>
          <w:sz w:val="24"/>
        </w:rPr>
      </w:pPr>
    </w:p>
    <w:p w14:paraId="56C420F1" w14:textId="1D26CD21" w:rsidR="00C42DF9" w:rsidRPr="00925A9D" w:rsidRDefault="002533B8" w:rsidP="00960BC4">
      <w:pPr>
        <w:spacing w:line="360" w:lineRule="auto"/>
        <w:contextualSpacing/>
        <w:jc w:val="both"/>
        <w:rPr>
          <w:sz w:val="24"/>
        </w:rPr>
      </w:pPr>
      <w:r w:rsidRPr="00925A9D">
        <w:rPr>
          <w:b/>
          <w:bCs/>
          <w:sz w:val="24"/>
        </w:rPr>
        <w:lastRenderedPageBreak/>
        <w:t>Summary:</w:t>
      </w:r>
      <w:r w:rsidR="00171A27" w:rsidRPr="00925A9D">
        <w:rPr>
          <w:b/>
          <w:bCs/>
          <w:sz w:val="24"/>
        </w:rPr>
        <w:t xml:space="preserve"> </w:t>
      </w:r>
      <w:r w:rsidR="009177C9" w:rsidRPr="00925A9D">
        <w:rPr>
          <w:bCs/>
          <w:sz w:val="24"/>
        </w:rPr>
        <w:t>Alternative Dispute Resolution – jurisdiction of arbitrator</w:t>
      </w:r>
      <w:r w:rsidR="005B243A" w:rsidRPr="00925A9D">
        <w:rPr>
          <w:bCs/>
          <w:sz w:val="24"/>
        </w:rPr>
        <w:t xml:space="preserve"> </w:t>
      </w:r>
      <w:r w:rsidR="005B243A" w:rsidRPr="00925A9D">
        <w:rPr>
          <w:sz w:val="24"/>
        </w:rPr>
        <w:t xml:space="preserve">– </w:t>
      </w:r>
      <w:r w:rsidR="009177C9" w:rsidRPr="00925A9D">
        <w:rPr>
          <w:bCs/>
          <w:sz w:val="24"/>
        </w:rPr>
        <w:t>unjustified enrichment</w:t>
      </w:r>
      <w:r w:rsidR="005B243A" w:rsidRPr="00925A9D">
        <w:rPr>
          <w:bCs/>
          <w:sz w:val="24"/>
        </w:rPr>
        <w:t xml:space="preserve"> –</w:t>
      </w:r>
      <w:r w:rsidR="00917BAB" w:rsidRPr="00925A9D">
        <w:rPr>
          <w:sz w:val="24"/>
        </w:rPr>
        <w:t xml:space="preserve"> whether an arbitrator has jurisdicti</w:t>
      </w:r>
      <w:r w:rsidR="00B95894" w:rsidRPr="00925A9D">
        <w:rPr>
          <w:sz w:val="24"/>
        </w:rPr>
        <w:t>on over the appellant’s</w:t>
      </w:r>
      <w:r w:rsidR="00917BAB" w:rsidRPr="00925A9D">
        <w:rPr>
          <w:sz w:val="24"/>
        </w:rPr>
        <w:t xml:space="preserve"> unjustified enrichment</w:t>
      </w:r>
      <w:r w:rsidR="00B95894" w:rsidRPr="00925A9D">
        <w:rPr>
          <w:sz w:val="24"/>
        </w:rPr>
        <w:t xml:space="preserve"> claim</w:t>
      </w:r>
      <w:r w:rsidR="009177C9" w:rsidRPr="00925A9D">
        <w:rPr>
          <w:bCs/>
          <w:sz w:val="24"/>
        </w:rPr>
        <w:t xml:space="preserve"> </w:t>
      </w:r>
      <w:r w:rsidR="003532E2" w:rsidRPr="00925A9D">
        <w:rPr>
          <w:bCs/>
          <w:sz w:val="24"/>
        </w:rPr>
        <w:t xml:space="preserve">– </w:t>
      </w:r>
      <w:r w:rsidR="005B243A" w:rsidRPr="00925A9D">
        <w:rPr>
          <w:sz w:val="24"/>
        </w:rPr>
        <w:t>whe</w:t>
      </w:r>
      <w:r w:rsidR="007C2ABF" w:rsidRPr="00925A9D">
        <w:rPr>
          <w:sz w:val="24"/>
        </w:rPr>
        <w:t>ther</w:t>
      </w:r>
      <w:r w:rsidR="00555B7C" w:rsidRPr="00925A9D">
        <w:rPr>
          <w:sz w:val="24"/>
        </w:rPr>
        <w:t xml:space="preserve"> the </w:t>
      </w:r>
      <w:r w:rsidR="009177C9" w:rsidRPr="00925A9D">
        <w:rPr>
          <w:sz w:val="24"/>
        </w:rPr>
        <w:t>application for an order declaring that the arbitrator did not have jurisdiction to determine a claim of unjustified enrichment was premature</w:t>
      </w:r>
      <w:r w:rsidR="00B81CB4" w:rsidRPr="00925A9D">
        <w:rPr>
          <w:sz w:val="24"/>
        </w:rPr>
        <w:t xml:space="preserve"> – </w:t>
      </w:r>
      <w:r w:rsidR="00C276F5" w:rsidRPr="00925A9D">
        <w:rPr>
          <w:sz w:val="24"/>
        </w:rPr>
        <w:t xml:space="preserve">whether the </w:t>
      </w:r>
      <w:r w:rsidR="009177C9" w:rsidRPr="00925A9D">
        <w:rPr>
          <w:sz w:val="24"/>
        </w:rPr>
        <w:t xml:space="preserve">arbitrator </w:t>
      </w:r>
      <w:r w:rsidR="00705056" w:rsidRPr="00925A9D">
        <w:rPr>
          <w:sz w:val="24"/>
        </w:rPr>
        <w:t>erred in dismissing a special defence of jurisdiction as raised by the first respondent.</w:t>
      </w:r>
    </w:p>
    <w:p w14:paraId="15C8E146" w14:textId="587D927B" w:rsidR="009123F0" w:rsidRPr="00925A9D" w:rsidRDefault="009123F0" w:rsidP="00C85755">
      <w:pPr>
        <w:spacing w:line="360" w:lineRule="auto"/>
        <w:ind w:right="-58"/>
        <w:jc w:val="both"/>
        <w:rPr>
          <w:b/>
          <w:bCs/>
          <w:sz w:val="24"/>
        </w:rPr>
      </w:pPr>
      <w:r w:rsidRPr="00925A9D">
        <w:rPr>
          <w:b/>
          <w:bCs/>
          <w:sz w:val="24"/>
        </w:rPr>
        <w:t>_______________________________________</w:t>
      </w:r>
      <w:r w:rsidR="00B77B45" w:rsidRPr="00925A9D">
        <w:rPr>
          <w:b/>
          <w:bCs/>
          <w:sz w:val="24"/>
        </w:rPr>
        <w:t>____________________</w:t>
      </w:r>
      <w:r w:rsidR="00FB471F" w:rsidRPr="00925A9D">
        <w:rPr>
          <w:b/>
          <w:bCs/>
          <w:sz w:val="24"/>
        </w:rPr>
        <w:t>___</w:t>
      </w:r>
      <w:r w:rsidR="00536A52" w:rsidRPr="00925A9D">
        <w:rPr>
          <w:b/>
          <w:bCs/>
          <w:sz w:val="24"/>
        </w:rPr>
        <w:t>_____</w:t>
      </w:r>
    </w:p>
    <w:p w14:paraId="5676F971" w14:textId="77777777" w:rsidR="009123F0" w:rsidRPr="00925A9D" w:rsidRDefault="009123F0" w:rsidP="00FB471F">
      <w:pPr>
        <w:ind w:left="720" w:right="26" w:hanging="720"/>
        <w:jc w:val="center"/>
        <w:rPr>
          <w:b/>
          <w:bCs/>
          <w:sz w:val="24"/>
        </w:rPr>
      </w:pPr>
    </w:p>
    <w:p w14:paraId="2D4C5B0A" w14:textId="77777777" w:rsidR="002533B8" w:rsidRPr="00925A9D" w:rsidRDefault="002533B8" w:rsidP="00B77B45">
      <w:pPr>
        <w:tabs>
          <w:tab w:val="right" w:pos="8197"/>
        </w:tabs>
        <w:ind w:left="720" w:right="26" w:hanging="720"/>
        <w:jc w:val="center"/>
        <w:rPr>
          <w:b/>
          <w:bCs/>
          <w:sz w:val="24"/>
        </w:rPr>
      </w:pPr>
      <w:r w:rsidRPr="00925A9D">
        <w:rPr>
          <w:b/>
          <w:bCs/>
          <w:sz w:val="24"/>
        </w:rPr>
        <w:t>ORDER</w:t>
      </w:r>
    </w:p>
    <w:p w14:paraId="654D5331" w14:textId="4E3EC0F7" w:rsidR="009123F0" w:rsidRPr="00925A9D" w:rsidRDefault="009123F0" w:rsidP="00B77B45">
      <w:pPr>
        <w:ind w:right="26"/>
        <w:jc w:val="both"/>
        <w:rPr>
          <w:bCs/>
          <w:sz w:val="24"/>
        </w:rPr>
      </w:pPr>
      <w:r w:rsidRPr="00925A9D">
        <w:rPr>
          <w:b/>
          <w:bCs/>
          <w:sz w:val="24"/>
        </w:rPr>
        <w:t>_______________________________________</w:t>
      </w:r>
      <w:r w:rsidR="00B77B45" w:rsidRPr="00925A9D">
        <w:rPr>
          <w:b/>
          <w:bCs/>
          <w:sz w:val="24"/>
        </w:rPr>
        <w:t>____________________</w:t>
      </w:r>
      <w:r w:rsidR="00FB471F" w:rsidRPr="00925A9D">
        <w:rPr>
          <w:b/>
          <w:bCs/>
          <w:sz w:val="24"/>
        </w:rPr>
        <w:t>___</w:t>
      </w:r>
      <w:r w:rsidR="00536A52" w:rsidRPr="00925A9D">
        <w:rPr>
          <w:b/>
          <w:bCs/>
          <w:sz w:val="24"/>
        </w:rPr>
        <w:t>_____</w:t>
      </w:r>
    </w:p>
    <w:p w14:paraId="627D605B" w14:textId="77777777" w:rsidR="002533B8" w:rsidRPr="00925A9D" w:rsidRDefault="002533B8" w:rsidP="00C85755">
      <w:pPr>
        <w:spacing w:line="360" w:lineRule="auto"/>
        <w:jc w:val="both"/>
        <w:rPr>
          <w:sz w:val="24"/>
        </w:rPr>
      </w:pPr>
    </w:p>
    <w:p w14:paraId="7EE66FED" w14:textId="0B88BB06" w:rsidR="00F81523" w:rsidRPr="00925A9D" w:rsidRDefault="0084574A" w:rsidP="00C85755">
      <w:pPr>
        <w:spacing w:line="360" w:lineRule="auto"/>
        <w:jc w:val="both"/>
        <w:rPr>
          <w:sz w:val="24"/>
        </w:rPr>
      </w:pPr>
      <w:r w:rsidRPr="00925A9D">
        <w:rPr>
          <w:b/>
          <w:sz w:val="24"/>
        </w:rPr>
        <w:t>On appeal from</w:t>
      </w:r>
      <w:r w:rsidR="00BF5112" w:rsidRPr="00925A9D">
        <w:rPr>
          <w:sz w:val="24"/>
        </w:rPr>
        <w:t>:</w:t>
      </w:r>
      <w:r w:rsidR="00F81523" w:rsidRPr="00925A9D">
        <w:rPr>
          <w:sz w:val="24"/>
        </w:rPr>
        <w:t xml:space="preserve"> </w:t>
      </w:r>
      <w:r w:rsidR="006559A5" w:rsidRPr="00925A9D">
        <w:rPr>
          <w:sz w:val="24"/>
        </w:rPr>
        <w:t>Gauteng</w:t>
      </w:r>
      <w:r w:rsidR="00274675" w:rsidRPr="00925A9D">
        <w:rPr>
          <w:sz w:val="24"/>
        </w:rPr>
        <w:t xml:space="preserve"> Division</w:t>
      </w:r>
      <w:r w:rsidR="006559A5" w:rsidRPr="00925A9D">
        <w:rPr>
          <w:sz w:val="24"/>
        </w:rPr>
        <w:t xml:space="preserve"> of the High Court</w:t>
      </w:r>
      <w:r w:rsidR="00274675" w:rsidRPr="00925A9D">
        <w:rPr>
          <w:sz w:val="24"/>
        </w:rPr>
        <w:t>,</w:t>
      </w:r>
      <w:r w:rsidR="00351EB9" w:rsidRPr="00925A9D">
        <w:rPr>
          <w:sz w:val="24"/>
        </w:rPr>
        <w:t xml:space="preserve"> Pretoria</w:t>
      </w:r>
      <w:r w:rsidR="00705056" w:rsidRPr="00925A9D">
        <w:rPr>
          <w:sz w:val="24"/>
        </w:rPr>
        <w:t xml:space="preserve"> (Janse van Nieuwenhuizen J</w:t>
      </w:r>
      <w:r w:rsidR="00351EB9" w:rsidRPr="00925A9D">
        <w:rPr>
          <w:sz w:val="24"/>
        </w:rPr>
        <w:t xml:space="preserve"> </w:t>
      </w:r>
      <w:r w:rsidR="00F81523" w:rsidRPr="00925A9D">
        <w:rPr>
          <w:sz w:val="24"/>
        </w:rPr>
        <w:t>si</w:t>
      </w:r>
      <w:r w:rsidR="00705056" w:rsidRPr="00925A9D">
        <w:rPr>
          <w:sz w:val="24"/>
        </w:rPr>
        <w:t>tting as court of first instance</w:t>
      </w:r>
      <w:r w:rsidR="00F81523" w:rsidRPr="00925A9D">
        <w:rPr>
          <w:sz w:val="24"/>
        </w:rPr>
        <w:t>):</w:t>
      </w:r>
    </w:p>
    <w:p w14:paraId="6960D460" w14:textId="73E344CF" w:rsidR="00712D62" w:rsidRPr="00925A9D" w:rsidRDefault="005341CE" w:rsidP="00767B06">
      <w:pPr>
        <w:tabs>
          <w:tab w:val="left" w:pos="567"/>
        </w:tabs>
        <w:spacing w:line="360" w:lineRule="auto"/>
        <w:ind w:left="567" w:hanging="567"/>
        <w:jc w:val="both"/>
        <w:rPr>
          <w:sz w:val="24"/>
        </w:rPr>
      </w:pPr>
      <w:r w:rsidRPr="00925A9D">
        <w:rPr>
          <w:sz w:val="24"/>
        </w:rPr>
        <w:t>1</w:t>
      </w:r>
      <w:r w:rsidRPr="00925A9D">
        <w:rPr>
          <w:sz w:val="24"/>
        </w:rPr>
        <w:tab/>
      </w:r>
      <w:r w:rsidR="00917BAB" w:rsidRPr="00925A9D">
        <w:rPr>
          <w:sz w:val="24"/>
        </w:rPr>
        <w:t>The appeal is upheld</w:t>
      </w:r>
      <w:r w:rsidR="00B84615" w:rsidRPr="00925A9D">
        <w:rPr>
          <w:sz w:val="24"/>
        </w:rPr>
        <w:t xml:space="preserve"> with costs, including costs of two counsel where so employed.</w:t>
      </w:r>
    </w:p>
    <w:p w14:paraId="6937A622" w14:textId="5347041E" w:rsidR="00917BAB" w:rsidRPr="00925A9D" w:rsidRDefault="005341CE" w:rsidP="00767B06">
      <w:pPr>
        <w:tabs>
          <w:tab w:val="left" w:pos="567"/>
        </w:tabs>
        <w:spacing w:line="360" w:lineRule="auto"/>
        <w:jc w:val="both"/>
        <w:rPr>
          <w:sz w:val="24"/>
        </w:rPr>
      </w:pPr>
      <w:r w:rsidRPr="00925A9D">
        <w:rPr>
          <w:sz w:val="24"/>
        </w:rPr>
        <w:t>2</w:t>
      </w:r>
      <w:r w:rsidRPr="00925A9D">
        <w:rPr>
          <w:sz w:val="24"/>
        </w:rPr>
        <w:tab/>
      </w:r>
      <w:r w:rsidR="00917BAB" w:rsidRPr="00925A9D">
        <w:rPr>
          <w:sz w:val="24"/>
        </w:rPr>
        <w:t>The order of the high court is set aside and is substituted by:</w:t>
      </w:r>
    </w:p>
    <w:p w14:paraId="1BD2E778" w14:textId="2B16BC29" w:rsidR="00917BAB" w:rsidRPr="00925A9D" w:rsidRDefault="005341CE" w:rsidP="00767B06">
      <w:pPr>
        <w:pStyle w:val="ListParagraph"/>
        <w:numPr>
          <w:ilvl w:val="0"/>
          <w:numId w:val="0"/>
        </w:numPr>
        <w:tabs>
          <w:tab w:val="clear" w:pos="1134"/>
          <w:tab w:val="left" w:pos="567"/>
        </w:tabs>
        <w:spacing w:after="0" w:line="360" w:lineRule="auto"/>
        <w:ind w:left="567" w:hanging="567"/>
        <w:rPr>
          <w:sz w:val="24"/>
          <w:szCs w:val="24"/>
        </w:rPr>
      </w:pPr>
      <w:r w:rsidRPr="00925A9D">
        <w:rPr>
          <w:sz w:val="24"/>
          <w:szCs w:val="24"/>
        </w:rPr>
        <w:tab/>
      </w:r>
      <w:r w:rsidR="00917BAB" w:rsidRPr="00925A9D">
        <w:rPr>
          <w:sz w:val="24"/>
          <w:szCs w:val="24"/>
        </w:rPr>
        <w:t>‘1 The application is dismissed with costs; and</w:t>
      </w:r>
    </w:p>
    <w:p w14:paraId="42C05BB0" w14:textId="207518FF" w:rsidR="00712D62" w:rsidRPr="00925A9D" w:rsidRDefault="005341CE" w:rsidP="00767B06">
      <w:pPr>
        <w:pStyle w:val="ListParagraph"/>
        <w:numPr>
          <w:ilvl w:val="0"/>
          <w:numId w:val="0"/>
        </w:numPr>
        <w:tabs>
          <w:tab w:val="clear" w:pos="1134"/>
          <w:tab w:val="left" w:pos="567"/>
        </w:tabs>
        <w:spacing w:after="0" w:line="360" w:lineRule="auto"/>
        <w:ind w:left="567" w:hanging="567"/>
        <w:rPr>
          <w:sz w:val="24"/>
          <w:szCs w:val="24"/>
        </w:rPr>
      </w:pPr>
      <w:r w:rsidRPr="00925A9D">
        <w:rPr>
          <w:sz w:val="24"/>
          <w:szCs w:val="24"/>
        </w:rPr>
        <w:tab/>
      </w:r>
      <w:r w:rsidR="00917BAB" w:rsidRPr="00925A9D">
        <w:rPr>
          <w:sz w:val="24"/>
          <w:szCs w:val="24"/>
        </w:rPr>
        <w:t>2 It is declared that the arbitrator has jurisdiction over the respondent’s</w:t>
      </w:r>
      <w:r w:rsidR="00B84615" w:rsidRPr="00925A9D">
        <w:rPr>
          <w:sz w:val="24"/>
          <w:szCs w:val="24"/>
        </w:rPr>
        <w:t xml:space="preserve"> claim</w:t>
      </w:r>
      <w:r w:rsidR="00712D62" w:rsidRPr="00925A9D">
        <w:rPr>
          <w:sz w:val="24"/>
          <w:szCs w:val="24"/>
        </w:rPr>
        <w:t>.</w:t>
      </w:r>
      <w:r w:rsidR="00917BAB" w:rsidRPr="00925A9D">
        <w:rPr>
          <w:sz w:val="24"/>
          <w:szCs w:val="24"/>
        </w:rPr>
        <w:t>’</w:t>
      </w:r>
    </w:p>
    <w:p w14:paraId="688A4F98" w14:textId="597B5F04" w:rsidR="009123F0" w:rsidRPr="00925A9D" w:rsidRDefault="009123F0" w:rsidP="00BB0D8F">
      <w:pPr>
        <w:spacing w:line="360" w:lineRule="auto"/>
        <w:jc w:val="both"/>
        <w:rPr>
          <w:b/>
          <w:bCs/>
          <w:sz w:val="24"/>
        </w:rPr>
      </w:pPr>
      <w:r w:rsidRPr="00925A9D">
        <w:rPr>
          <w:b/>
          <w:bCs/>
          <w:sz w:val="24"/>
        </w:rPr>
        <w:t>_______________________________________</w:t>
      </w:r>
      <w:r w:rsidR="00B77B45" w:rsidRPr="00925A9D">
        <w:rPr>
          <w:b/>
          <w:bCs/>
          <w:sz w:val="24"/>
        </w:rPr>
        <w:t>____________________</w:t>
      </w:r>
      <w:r w:rsidR="00FB471F" w:rsidRPr="00925A9D">
        <w:rPr>
          <w:b/>
          <w:bCs/>
          <w:sz w:val="24"/>
        </w:rPr>
        <w:t>___</w:t>
      </w:r>
      <w:r w:rsidR="00536A52" w:rsidRPr="00925A9D">
        <w:rPr>
          <w:b/>
          <w:bCs/>
          <w:sz w:val="24"/>
        </w:rPr>
        <w:t>_____</w:t>
      </w:r>
    </w:p>
    <w:p w14:paraId="1D1C6033" w14:textId="77777777" w:rsidR="002533B8" w:rsidRPr="00925A9D" w:rsidRDefault="002533B8" w:rsidP="00EE369D">
      <w:pPr>
        <w:tabs>
          <w:tab w:val="right" w:pos="8197"/>
        </w:tabs>
        <w:ind w:left="720" w:right="26" w:hanging="720"/>
        <w:jc w:val="center"/>
        <w:rPr>
          <w:b/>
          <w:bCs/>
          <w:sz w:val="24"/>
        </w:rPr>
      </w:pPr>
    </w:p>
    <w:p w14:paraId="64A3402B" w14:textId="77777777" w:rsidR="002533B8" w:rsidRPr="00925A9D" w:rsidRDefault="002533B8" w:rsidP="00EE369D">
      <w:pPr>
        <w:tabs>
          <w:tab w:val="right" w:pos="8197"/>
        </w:tabs>
        <w:ind w:left="720" w:right="26" w:hanging="720"/>
        <w:jc w:val="center"/>
        <w:rPr>
          <w:b/>
          <w:bCs/>
          <w:sz w:val="24"/>
        </w:rPr>
      </w:pPr>
      <w:r w:rsidRPr="00925A9D">
        <w:rPr>
          <w:b/>
          <w:bCs/>
          <w:sz w:val="24"/>
        </w:rPr>
        <w:t>JUDGMENT</w:t>
      </w:r>
    </w:p>
    <w:p w14:paraId="65E1A1F0" w14:textId="08E3BCFD" w:rsidR="009123F0" w:rsidRPr="00925A9D" w:rsidRDefault="009123F0" w:rsidP="003532E2">
      <w:pPr>
        <w:spacing w:after="240"/>
        <w:jc w:val="both"/>
        <w:rPr>
          <w:bCs/>
          <w:sz w:val="24"/>
        </w:rPr>
      </w:pPr>
      <w:r w:rsidRPr="00925A9D">
        <w:rPr>
          <w:b/>
          <w:bCs/>
          <w:sz w:val="24"/>
        </w:rPr>
        <w:t>_______________________________________</w:t>
      </w:r>
      <w:r w:rsidR="00B77B45" w:rsidRPr="00925A9D">
        <w:rPr>
          <w:b/>
          <w:bCs/>
          <w:sz w:val="24"/>
        </w:rPr>
        <w:t>____________________</w:t>
      </w:r>
      <w:r w:rsidR="00FB471F" w:rsidRPr="00925A9D">
        <w:rPr>
          <w:b/>
          <w:bCs/>
          <w:sz w:val="24"/>
        </w:rPr>
        <w:t>___</w:t>
      </w:r>
      <w:r w:rsidR="00536A52" w:rsidRPr="00925A9D">
        <w:rPr>
          <w:b/>
          <w:bCs/>
          <w:sz w:val="24"/>
        </w:rPr>
        <w:t>_____</w:t>
      </w:r>
    </w:p>
    <w:p w14:paraId="6D6F41B8" w14:textId="1809B054" w:rsidR="00A7400E" w:rsidRPr="00925A9D" w:rsidRDefault="00274675" w:rsidP="003532E2">
      <w:pPr>
        <w:spacing w:line="360" w:lineRule="auto"/>
        <w:jc w:val="both"/>
        <w:rPr>
          <w:b/>
          <w:sz w:val="24"/>
          <w:lang w:val="en-ZA"/>
        </w:rPr>
      </w:pPr>
      <w:r w:rsidRPr="00925A9D">
        <w:rPr>
          <w:b/>
          <w:sz w:val="24"/>
          <w:lang w:val="en-ZA"/>
        </w:rPr>
        <w:t xml:space="preserve">Mothle </w:t>
      </w:r>
      <w:r w:rsidR="002317E0" w:rsidRPr="00925A9D">
        <w:rPr>
          <w:b/>
          <w:sz w:val="24"/>
          <w:lang w:val="en-ZA"/>
        </w:rPr>
        <w:t>JA (</w:t>
      </w:r>
      <w:r w:rsidR="00EA4375" w:rsidRPr="00925A9D">
        <w:rPr>
          <w:b/>
          <w:sz w:val="24"/>
          <w:lang w:val="en-ZA"/>
        </w:rPr>
        <w:t>Nicholls and Molefe JJA and Kathree-Setiloane and Mali AJJA</w:t>
      </w:r>
      <w:r w:rsidR="002317E0" w:rsidRPr="00925A9D">
        <w:rPr>
          <w:b/>
          <w:sz w:val="24"/>
          <w:lang w:val="en-ZA"/>
        </w:rPr>
        <w:t xml:space="preserve"> concurring)</w:t>
      </w:r>
    </w:p>
    <w:p w14:paraId="1175C3FC" w14:textId="77777777" w:rsidR="003532E2" w:rsidRPr="00925A9D" w:rsidRDefault="003532E2">
      <w:pPr>
        <w:spacing w:line="360" w:lineRule="auto"/>
        <w:jc w:val="both"/>
        <w:rPr>
          <w:b/>
          <w:sz w:val="24"/>
          <w:lang w:val="en-ZA"/>
        </w:rPr>
      </w:pPr>
    </w:p>
    <w:p w14:paraId="2DBE412C" w14:textId="2A24DA9A" w:rsidR="009B27DC" w:rsidRPr="00C01158" w:rsidRDefault="00C01158" w:rsidP="00C01158">
      <w:pPr>
        <w:tabs>
          <w:tab w:val="left" w:pos="567"/>
        </w:tabs>
        <w:spacing w:line="360" w:lineRule="auto"/>
        <w:rPr>
          <w:sz w:val="22"/>
          <w:szCs w:val="22"/>
        </w:rPr>
      </w:pPr>
      <w:r w:rsidRPr="00925A9D">
        <w:rPr>
          <w:rFonts w:eastAsia="Calibri"/>
          <w:sz w:val="24"/>
          <w:lang w:val="en-ZA"/>
        </w:rPr>
        <w:t>[1]</w:t>
      </w:r>
      <w:r w:rsidRPr="00925A9D">
        <w:rPr>
          <w:rFonts w:eastAsia="Calibri"/>
          <w:sz w:val="24"/>
          <w:lang w:val="en-ZA"/>
        </w:rPr>
        <w:tab/>
      </w:r>
      <w:r w:rsidR="00EB63D3" w:rsidRPr="00C01158">
        <w:rPr>
          <w:sz w:val="24"/>
        </w:rPr>
        <w:t>This appeal concerns a dispute between a tenant and a landlord over the interpretation of an arbitration clause in a written lease agreement. The</w:t>
      </w:r>
      <w:r w:rsidR="000B12CE" w:rsidRPr="00C01158">
        <w:rPr>
          <w:sz w:val="24"/>
        </w:rPr>
        <w:t xml:space="preserve"> </w:t>
      </w:r>
      <w:r w:rsidR="00EB63D3" w:rsidRPr="00C01158">
        <w:rPr>
          <w:sz w:val="24"/>
        </w:rPr>
        <w:t>crisp issue</w:t>
      </w:r>
      <w:r w:rsidR="0048686B" w:rsidRPr="00C01158">
        <w:rPr>
          <w:sz w:val="24"/>
        </w:rPr>
        <w:t xml:space="preserve"> is </w:t>
      </w:r>
      <w:r w:rsidR="000B12CE" w:rsidRPr="00C01158">
        <w:rPr>
          <w:sz w:val="24"/>
        </w:rPr>
        <w:t>whether</w:t>
      </w:r>
      <w:r w:rsidR="009D7997" w:rsidRPr="00C01158">
        <w:rPr>
          <w:sz w:val="24"/>
        </w:rPr>
        <w:t>, on a correct interpretation of the</w:t>
      </w:r>
      <w:r w:rsidR="006E1782" w:rsidRPr="00C01158">
        <w:rPr>
          <w:sz w:val="24"/>
        </w:rPr>
        <w:t xml:space="preserve"> arbitration clause,</w:t>
      </w:r>
      <w:r w:rsidR="00FF7B0A" w:rsidRPr="00C01158">
        <w:rPr>
          <w:sz w:val="24"/>
        </w:rPr>
        <w:t xml:space="preserve"> the second respondent</w:t>
      </w:r>
      <w:r w:rsidR="009D7997" w:rsidRPr="00C01158">
        <w:rPr>
          <w:sz w:val="24"/>
        </w:rPr>
        <w:t xml:space="preserve"> the arbitrator</w:t>
      </w:r>
      <w:r w:rsidR="003A2B0A" w:rsidRPr="00C01158">
        <w:rPr>
          <w:sz w:val="24"/>
        </w:rPr>
        <w:t xml:space="preserve"> </w:t>
      </w:r>
      <w:r w:rsidR="005341CE" w:rsidRPr="00C01158">
        <w:rPr>
          <w:sz w:val="24"/>
        </w:rPr>
        <w:t>– Mr</w:t>
      </w:r>
      <w:r w:rsidR="003A2B0A" w:rsidRPr="00C01158">
        <w:rPr>
          <w:sz w:val="24"/>
        </w:rPr>
        <w:t xml:space="preserve"> Mpilo Winston Dlamini SC</w:t>
      </w:r>
      <w:r w:rsidR="005341CE" w:rsidRPr="00C01158">
        <w:rPr>
          <w:sz w:val="24"/>
        </w:rPr>
        <w:t xml:space="preserve"> –</w:t>
      </w:r>
      <w:r w:rsidR="000C28AA" w:rsidRPr="00C01158">
        <w:rPr>
          <w:sz w:val="24"/>
        </w:rPr>
        <w:t xml:space="preserve"> had</w:t>
      </w:r>
      <w:r w:rsidR="009D7997" w:rsidRPr="00C01158">
        <w:rPr>
          <w:sz w:val="24"/>
        </w:rPr>
        <w:t xml:space="preserve"> the requisite jurisdiction to </w:t>
      </w:r>
      <w:r w:rsidR="008224A8" w:rsidRPr="00C01158">
        <w:rPr>
          <w:sz w:val="24"/>
        </w:rPr>
        <w:t>adjudicate an</w:t>
      </w:r>
      <w:r w:rsidR="00FF7B0A" w:rsidRPr="00C01158">
        <w:rPr>
          <w:sz w:val="24"/>
        </w:rPr>
        <w:t xml:space="preserve"> enrichment</w:t>
      </w:r>
      <w:r w:rsidR="009D7997" w:rsidRPr="00C01158">
        <w:rPr>
          <w:sz w:val="24"/>
        </w:rPr>
        <w:t xml:space="preserve"> claim</w:t>
      </w:r>
      <w:r w:rsidR="00322BE6" w:rsidRPr="00C01158">
        <w:rPr>
          <w:sz w:val="24"/>
        </w:rPr>
        <w:t>, essentially</w:t>
      </w:r>
      <w:r w:rsidR="000C28AA" w:rsidRPr="00C01158">
        <w:rPr>
          <w:sz w:val="24"/>
        </w:rPr>
        <w:t xml:space="preserve"> for </w:t>
      </w:r>
      <w:r w:rsidR="00517BD1" w:rsidRPr="00C01158">
        <w:rPr>
          <w:sz w:val="24"/>
        </w:rPr>
        <w:t xml:space="preserve">a </w:t>
      </w:r>
      <w:r w:rsidR="000C28AA" w:rsidRPr="00C01158">
        <w:rPr>
          <w:sz w:val="24"/>
        </w:rPr>
        <w:t>refund of</w:t>
      </w:r>
      <w:r w:rsidR="006E1782" w:rsidRPr="00C01158">
        <w:rPr>
          <w:sz w:val="24"/>
        </w:rPr>
        <w:t xml:space="preserve"> excess payment of</w:t>
      </w:r>
      <w:r w:rsidR="000C28AA" w:rsidRPr="00C01158">
        <w:rPr>
          <w:sz w:val="24"/>
        </w:rPr>
        <w:t xml:space="preserve"> turnover</w:t>
      </w:r>
      <w:r w:rsidR="006E1782" w:rsidRPr="00C01158">
        <w:rPr>
          <w:sz w:val="24"/>
        </w:rPr>
        <w:t xml:space="preserve"> rental,</w:t>
      </w:r>
      <w:r w:rsidR="00BD22B0" w:rsidRPr="00C01158">
        <w:rPr>
          <w:sz w:val="24"/>
        </w:rPr>
        <w:t xml:space="preserve"> lodged</w:t>
      </w:r>
      <w:r w:rsidR="003A2B0A" w:rsidRPr="00C01158">
        <w:rPr>
          <w:sz w:val="24"/>
        </w:rPr>
        <w:t xml:space="preserve"> by </w:t>
      </w:r>
      <w:r w:rsidR="000C28AA" w:rsidRPr="00C01158">
        <w:rPr>
          <w:sz w:val="24"/>
        </w:rPr>
        <w:t xml:space="preserve">the appellant, </w:t>
      </w:r>
      <w:r w:rsidR="003A2B0A" w:rsidRPr="00C01158">
        <w:rPr>
          <w:sz w:val="24"/>
        </w:rPr>
        <w:t>Dis-Chem Pharmacies Limited (Dis-Chem)</w:t>
      </w:r>
      <w:r w:rsidR="000C28AA" w:rsidRPr="00C01158">
        <w:rPr>
          <w:sz w:val="24"/>
        </w:rPr>
        <w:t xml:space="preserve"> as</w:t>
      </w:r>
      <w:r w:rsidR="00EB63D3" w:rsidRPr="00C01158">
        <w:rPr>
          <w:sz w:val="24"/>
        </w:rPr>
        <w:t xml:space="preserve"> the</w:t>
      </w:r>
      <w:r w:rsidR="00790327" w:rsidRPr="00C01158">
        <w:rPr>
          <w:sz w:val="24"/>
        </w:rPr>
        <w:t xml:space="preserve"> tenant, against</w:t>
      </w:r>
      <w:r w:rsidR="000C28AA" w:rsidRPr="00C01158">
        <w:rPr>
          <w:sz w:val="24"/>
        </w:rPr>
        <w:t xml:space="preserve"> the first respondent,</w:t>
      </w:r>
      <w:r w:rsidR="00790327" w:rsidRPr="00C01158">
        <w:rPr>
          <w:sz w:val="24"/>
        </w:rPr>
        <w:t xml:space="preserve"> Dainfern Square (Pty) Ltd (Dainfern)</w:t>
      </w:r>
      <w:r w:rsidR="009639C2" w:rsidRPr="00C01158">
        <w:rPr>
          <w:sz w:val="24"/>
        </w:rPr>
        <w:t>,</w:t>
      </w:r>
      <w:r w:rsidR="000C28AA" w:rsidRPr="00C01158">
        <w:rPr>
          <w:sz w:val="24"/>
        </w:rPr>
        <w:t xml:space="preserve"> its erstwhile landlord</w:t>
      </w:r>
      <w:r w:rsidR="00BD22B0" w:rsidRPr="00C01158">
        <w:rPr>
          <w:sz w:val="24"/>
        </w:rPr>
        <w:t xml:space="preserve">. </w:t>
      </w:r>
    </w:p>
    <w:p w14:paraId="3055895F" w14:textId="77777777" w:rsidR="009B27DC" w:rsidRPr="00925A9D" w:rsidRDefault="009B27DC" w:rsidP="009B27DC">
      <w:pPr>
        <w:pStyle w:val="ListParagraph"/>
        <w:numPr>
          <w:ilvl w:val="0"/>
          <w:numId w:val="0"/>
        </w:numPr>
        <w:tabs>
          <w:tab w:val="clear" w:pos="1134"/>
          <w:tab w:val="left" w:pos="567"/>
        </w:tabs>
        <w:spacing w:after="0" w:line="360" w:lineRule="auto"/>
        <w:rPr>
          <w:sz w:val="24"/>
          <w:szCs w:val="24"/>
        </w:rPr>
      </w:pPr>
    </w:p>
    <w:p w14:paraId="0B967DC7" w14:textId="3F8BB931" w:rsidR="00790327" w:rsidRPr="00C01158" w:rsidRDefault="00C01158" w:rsidP="00C01158">
      <w:pPr>
        <w:tabs>
          <w:tab w:val="left" w:pos="567"/>
        </w:tabs>
        <w:spacing w:line="360" w:lineRule="auto"/>
        <w:rPr>
          <w:sz w:val="22"/>
          <w:szCs w:val="22"/>
        </w:rPr>
      </w:pPr>
      <w:r w:rsidRPr="00925A9D">
        <w:rPr>
          <w:rFonts w:eastAsia="Calibri"/>
          <w:sz w:val="24"/>
          <w:lang w:val="en-ZA"/>
        </w:rPr>
        <w:lastRenderedPageBreak/>
        <w:t>[2]</w:t>
      </w:r>
      <w:r w:rsidRPr="00925A9D">
        <w:rPr>
          <w:rFonts w:eastAsia="Calibri"/>
          <w:sz w:val="24"/>
          <w:lang w:val="en-ZA"/>
        </w:rPr>
        <w:tab/>
      </w:r>
      <w:r w:rsidR="009B27DC" w:rsidRPr="00C01158">
        <w:rPr>
          <w:sz w:val="24"/>
          <w:lang w:eastAsia="en-ZA"/>
        </w:rPr>
        <w:t xml:space="preserve">The background facts which are largely common cause are that during </w:t>
      </w:r>
      <w:r w:rsidR="002C5EA4" w:rsidRPr="00C01158">
        <w:rPr>
          <w:sz w:val="24"/>
          <w:lang w:eastAsia="en-ZA"/>
        </w:rPr>
        <w:t>October 2016</w:t>
      </w:r>
      <w:r w:rsidR="009B27DC" w:rsidRPr="00C01158">
        <w:rPr>
          <w:sz w:val="24"/>
          <w:lang w:eastAsia="en-ZA"/>
        </w:rPr>
        <w:t xml:space="preserve"> and at Johannesburg, Dis-Chem entered into a written lease agreement with Dainfern, the owner of Dainfern Square Shopping Centre. In terms of the lease agreement, Dis-Chem</w:t>
      </w:r>
      <w:r w:rsidR="006E1782" w:rsidRPr="00C01158">
        <w:rPr>
          <w:sz w:val="24"/>
          <w:lang w:eastAsia="en-ZA"/>
        </w:rPr>
        <w:t xml:space="preserve"> took occupation of </w:t>
      </w:r>
      <w:r w:rsidR="00AD2004" w:rsidRPr="00C01158">
        <w:rPr>
          <w:sz w:val="24"/>
          <w:lang w:eastAsia="en-ZA"/>
        </w:rPr>
        <w:t xml:space="preserve">shop 27 in </w:t>
      </w:r>
      <w:r w:rsidR="006E1782" w:rsidRPr="00C01158">
        <w:rPr>
          <w:sz w:val="24"/>
          <w:lang w:eastAsia="en-ZA"/>
        </w:rPr>
        <w:t>the business premises and</w:t>
      </w:r>
      <w:r w:rsidR="009B27DC" w:rsidRPr="00C01158">
        <w:rPr>
          <w:sz w:val="24"/>
          <w:lang w:eastAsia="en-ZA"/>
        </w:rPr>
        <w:t xml:space="preserve"> was liable for paym</w:t>
      </w:r>
      <w:r w:rsidR="009639C2" w:rsidRPr="00C01158">
        <w:rPr>
          <w:sz w:val="24"/>
          <w:lang w:eastAsia="en-ZA"/>
        </w:rPr>
        <w:t>ent of monthly rental and</w:t>
      </w:r>
      <w:r w:rsidR="009B27DC" w:rsidRPr="00C01158">
        <w:rPr>
          <w:sz w:val="24"/>
          <w:lang w:eastAsia="en-ZA"/>
        </w:rPr>
        <w:t xml:space="preserve"> turnover rental to Dainfern. </w:t>
      </w:r>
      <w:r w:rsidR="009639C2" w:rsidRPr="00C01158">
        <w:rPr>
          <w:sz w:val="24"/>
          <w:lang w:eastAsia="en-ZA"/>
        </w:rPr>
        <w:t>A formula for calculation of Dis-Chem’s</w:t>
      </w:r>
      <w:r w:rsidR="009B27DC" w:rsidRPr="00C01158">
        <w:rPr>
          <w:sz w:val="24"/>
          <w:lang w:eastAsia="en-ZA"/>
        </w:rPr>
        <w:t xml:space="preserve"> </w:t>
      </w:r>
      <w:r w:rsidR="009639C2" w:rsidRPr="00C01158">
        <w:rPr>
          <w:sz w:val="24"/>
          <w:lang w:eastAsia="en-ZA"/>
        </w:rPr>
        <w:t xml:space="preserve">financial year-end </w:t>
      </w:r>
      <w:r w:rsidR="009B27DC" w:rsidRPr="00C01158">
        <w:rPr>
          <w:sz w:val="24"/>
          <w:lang w:eastAsia="en-ZA"/>
        </w:rPr>
        <w:t>turnover rental</w:t>
      </w:r>
      <w:r w:rsidR="009639C2" w:rsidRPr="00C01158">
        <w:rPr>
          <w:sz w:val="24"/>
          <w:lang w:eastAsia="en-ZA"/>
        </w:rPr>
        <w:t xml:space="preserve"> was expressed</w:t>
      </w:r>
      <w:r w:rsidR="009B27DC" w:rsidRPr="00C01158">
        <w:rPr>
          <w:sz w:val="24"/>
          <w:lang w:eastAsia="en-ZA"/>
        </w:rPr>
        <w:t xml:space="preserve"> in annexure </w:t>
      </w:r>
      <w:r w:rsidR="003C49BA" w:rsidRPr="00C01158">
        <w:rPr>
          <w:sz w:val="24"/>
          <w:lang w:eastAsia="en-ZA"/>
        </w:rPr>
        <w:t>‘</w:t>
      </w:r>
      <w:r w:rsidR="009B27DC" w:rsidRPr="00C01158">
        <w:rPr>
          <w:sz w:val="24"/>
          <w:lang w:eastAsia="en-ZA"/>
        </w:rPr>
        <w:t>F</w:t>
      </w:r>
      <w:r w:rsidR="003C49BA" w:rsidRPr="00C01158">
        <w:rPr>
          <w:sz w:val="24"/>
          <w:lang w:eastAsia="en-ZA"/>
        </w:rPr>
        <w:t>’</w:t>
      </w:r>
      <w:r w:rsidR="009B27DC" w:rsidRPr="00C01158">
        <w:rPr>
          <w:sz w:val="24"/>
          <w:lang w:eastAsia="en-ZA"/>
        </w:rPr>
        <w:t xml:space="preserve"> to the</w:t>
      </w:r>
      <w:r w:rsidR="000C28AA" w:rsidRPr="00C01158">
        <w:rPr>
          <w:sz w:val="24"/>
          <w:lang w:eastAsia="en-ZA"/>
        </w:rPr>
        <w:t xml:space="preserve"> lease</w:t>
      </w:r>
      <w:r w:rsidR="009B27DC" w:rsidRPr="00C01158">
        <w:rPr>
          <w:sz w:val="24"/>
          <w:lang w:eastAsia="en-ZA"/>
        </w:rPr>
        <w:t xml:space="preserve"> agreement. </w:t>
      </w:r>
    </w:p>
    <w:p w14:paraId="734C6FBD" w14:textId="07E4C485" w:rsidR="000B524F" w:rsidRPr="00925A9D" w:rsidRDefault="00790327" w:rsidP="006E1782">
      <w:pPr>
        <w:pStyle w:val="ListParagraph"/>
        <w:numPr>
          <w:ilvl w:val="0"/>
          <w:numId w:val="0"/>
        </w:numPr>
        <w:tabs>
          <w:tab w:val="clear" w:pos="1134"/>
          <w:tab w:val="left" w:pos="567"/>
        </w:tabs>
        <w:spacing w:after="0" w:line="360" w:lineRule="auto"/>
        <w:rPr>
          <w:sz w:val="22"/>
          <w:szCs w:val="22"/>
        </w:rPr>
      </w:pPr>
      <w:r w:rsidRPr="00925A9D">
        <w:rPr>
          <w:sz w:val="24"/>
        </w:rPr>
        <w:t xml:space="preserve"> </w:t>
      </w:r>
    </w:p>
    <w:p w14:paraId="55043F68" w14:textId="7BAF166D" w:rsidR="002E357E" w:rsidRPr="00C01158" w:rsidRDefault="00C01158" w:rsidP="00C01158">
      <w:pPr>
        <w:shd w:val="clear" w:color="auto" w:fill="FFFFFF"/>
        <w:tabs>
          <w:tab w:val="left" w:pos="567"/>
        </w:tabs>
        <w:spacing w:line="360" w:lineRule="auto"/>
        <w:rPr>
          <w:sz w:val="24"/>
          <w:lang w:eastAsia="en-ZA"/>
        </w:rPr>
      </w:pPr>
      <w:r w:rsidRPr="00925A9D">
        <w:rPr>
          <w:rFonts w:eastAsia="Calibri"/>
          <w:sz w:val="24"/>
          <w:lang w:val="en-ZA" w:eastAsia="en-ZA"/>
        </w:rPr>
        <w:t>[3]</w:t>
      </w:r>
      <w:r w:rsidRPr="00925A9D">
        <w:rPr>
          <w:rFonts w:eastAsia="Calibri"/>
          <w:sz w:val="24"/>
          <w:lang w:val="en-ZA" w:eastAsia="en-ZA"/>
        </w:rPr>
        <w:tab/>
      </w:r>
      <w:r w:rsidR="00DC54E0" w:rsidRPr="00C01158">
        <w:rPr>
          <w:sz w:val="24"/>
          <w:lang w:eastAsia="en-ZA"/>
        </w:rPr>
        <w:t xml:space="preserve">The </w:t>
      </w:r>
      <w:r w:rsidR="00C43026" w:rsidRPr="00C01158">
        <w:rPr>
          <w:sz w:val="24"/>
          <w:lang w:eastAsia="en-ZA"/>
        </w:rPr>
        <w:t xml:space="preserve">full text of annexure </w:t>
      </w:r>
      <w:r w:rsidR="004F5B5B" w:rsidRPr="00C01158">
        <w:rPr>
          <w:sz w:val="24"/>
          <w:lang w:eastAsia="en-ZA"/>
        </w:rPr>
        <w:t>‘</w:t>
      </w:r>
      <w:r w:rsidR="00C43026" w:rsidRPr="00C01158">
        <w:rPr>
          <w:sz w:val="24"/>
          <w:lang w:eastAsia="en-ZA"/>
        </w:rPr>
        <w:t>F</w:t>
      </w:r>
      <w:r w:rsidR="004F5B5B" w:rsidRPr="00C01158">
        <w:rPr>
          <w:sz w:val="24"/>
          <w:lang w:eastAsia="en-ZA"/>
        </w:rPr>
        <w:t>’</w:t>
      </w:r>
      <w:r w:rsidR="003C38EE" w:rsidRPr="00C01158">
        <w:rPr>
          <w:sz w:val="24"/>
          <w:lang w:eastAsia="en-ZA"/>
        </w:rPr>
        <w:t xml:space="preserve"> to </w:t>
      </w:r>
      <w:r w:rsidR="00D94232" w:rsidRPr="00C01158">
        <w:rPr>
          <w:sz w:val="24"/>
          <w:lang w:eastAsia="en-ZA"/>
        </w:rPr>
        <w:t>the written lease agreement</w:t>
      </w:r>
      <w:r w:rsidR="00C43026" w:rsidRPr="00C01158">
        <w:rPr>
          <w:sz w:val="24"/>
          <w:lang w:eastAsia="en-ZA"/>
        </w:rPr>
        <w:t xml:space="preserve"> is attached to Dis-Chem’s</w:t>
      </w:r>
      <w:r w:rsidR="007205AA" w:rsidRPr="00C01158">
        <w:rPr>
          <w:sz w:val="24"/>
          <w:lang w:eastAsia="en-ZA"/>
        </w:rPr>
        <w:t xml:space="preserve"> claim</w:t>
      </w:r>
      <w:r w:rsidR="00C43026" w:rsidRPr="00C01158">
        <w:rPr>
          <w:sz w:val="24"/>
          <w:lang w:eastAsia="en-ZA"/>
        </w:rPr>
        <w:t>. S</w:t>
      </w:r>
      <w:r w:rsidR="00AD2004" w:rsidRPr="00C01158">
        <w:rPr>
          <w:sz w:val="24"/>
          <w:lang w:eastAsia="en-ZA"/>
        </w:rPr>
        <w:t>ince the merits of the claim</w:t>
      </w:r>
      <w:r w:rsidR="003C49BA" w:rsidRPr="00C01158">
        <w:rPr>
          <w:sz w:val="24"/>
          <w:lang w:eastAsia="en-ZA"/>
        </w:rPr>
        <w:t xml:space="preserve"> </w:t>
      </w:r>
      <w:r w:rsidR="00B95894" w:rsidRPr="00C01158">
        <w:rPr>
          <w:sz w:val="24"/>
          <w:lang w:eastAsia="en-ZA"/>
        </w:rPr>
        <w:t>are yet to</w:t>
      </w:r>
      <w:r w:rsidR="008224A8" w:rsidRPr="00C01158">
        <w:rPr>
          <w:sz w:val="24"/>
          <w:lang w:eastAsia="en-ZA"/>
        </w:rPr>
        <w:t xml:space="preserve"> be</w:t>
      </w:r>
      <w:r w:rsidR="00C43026" w:rsidRPr="00C01158">
        <w:rPr>
          <w:sz w:val="24"/>
          <w:lang w:eastAsia="en-ZA"/>
        </w:rPr>
        <w:t xml:space="preserve"> considered</w:t>
      </w:r>
      <w:r w:rsidR="00D2296C" w:rsidRPr="00C01158">
        <w:rPr>
          <w:sz w:val="24"/>
          <w:lang w:eastAsia="en-ZA"/>
        </w:rPr>
        <w:t xml:space="preserve"> </w:t>
      </w:r>
      <w:r w:rsidR="008224A8" w:rsidRPr="00C01158">
        <w:rPr>
          <w:sz w:val="24"/>
          <w:lang w:eastAsia="en-ZA"/>
        </w:rPr>
        <w:t>and decided</w:t>
      </w:r>
      <w:r w:rsidR="003C49BA" w:rsidRPr="00C01158">
        <w:rPr>
          <w:sz w:val="24"/>
          <w:lang w:eastAsia="en-ZA"/>
        </w:rPr>
        <w:t xml:space="preserve"> on</w:t>
      </w:r>
      <w:r w:rsidR="008224A8" w:rsidRPr="00C01158">
        <w:rPr>
          <w:sz w:val="24"/>
          <w:lang w:eastAsia="en-ZA"/>
        </w:rPr>
        <w:t>,</w:t>
      </w:r>
      <w:r w:rsidR="003C49BA" w:rsidRPr="00C01158">
        <w:rPr>
          <w:sz w:val="24"/>
          <w:lang w:eastAsia="en-ZA"/>
        </w:rPr>
        <w:t xml:space="preserve"> </w:t>
      </w:r>
      <w:r w:rsidR="00D2296C" w:rsidRPr="00C01158">
        <w:rPr>
          <w:sz w:val="24"/>
          <w:lang w:eastAsia="en-ZA"/>
        </w:rPr>
        <w:t>it</w:t>
      </w:r>
      <w:r w:rsidR="004F5B5B" w:rsidRPr="00C01158">
        <w:rPr>
          <w:sz w:val="24"/>
          <w:lang w:eastAsia="en-ZA"/>
        </w:rPr>
        <w:t xml:space="preserve"> </w:t>
      </w:r>
      <w:r w:rsidR="00192EA2" w:rsidRPr="00C01158">
        <w:rPr>
          <w:sz w:val="24"/>
          <w:lang w:eastAsia="en-ZA"/>
        </w:rPr>
        <w:t>is unnecessary</w:t>
      </w:r>
      <w:r w:rsidR="009639C2" w:rsidRPr="00C01158">
        <w:rPr>
          <w:sz w:val="24"/>
          <w:lang w:eastAsia="en-ZA"/>
        </w:rPr>
        <w:t xml:space="preserve"> at this stage</w:t>
      </w:r>
      <w:r w:rsidR="00D2296C" w:rsidRPr="00C01158">
        <w:rPr>
          <w:sz w:val="24"/>
          <w:lang w:eastAsia="en-ZA"/>
        </w:rPr>
        <w:t xml:space="preserve"> to refer to the full text of annexure</w:t>
      </w:r>
      <w:r w:rsidR="00D61D42" w:rsidRPr="00C01158">
        <w:rPr>
          <w:sz w:val="24"/>
          <w:lang w:eastAsia="en-ZA"/>
        </w:rPr>
        <w:t> </w:t>
      </w:r>
      <w:r w:rsidR="00FD12FC" w:rsidRPr="00C01158">
        <w:rPr>
          <w:sz w:val="24"/>
          <w:lang w:eastAsia="en-ZA"/>
        </w:rPr>
        <w:t>‘</w:t>
      </w:r>
      <w:r w:rsidR="00D2296C" w:rsidRPr="00C01158">
        <w:rPr>
          <w:sz w:val="24"/>
          <w:lang w:eastAsia="en-ZA"/>
        </w:rPr>
        <w:t>F</w:t>
      </w:r>
      <w:r w:rsidR="00FD12FC" w:rsidRPr="00C01158">
        <w:rPr>
          <w:sz w:val="24"/>
          <w:lang w:eastAsia="en-ZA"/>
        </w:rPr>
        <w:t>’</w:t>
      </w:r>
      <w:r w:rsidR="00D2296C" w:rsidRPr="00C01158">
        <w:rPr>
          <w:sz w:val="24"/>
          <w:lang w:eastAsia="en-ZA"/>
        </w:rPr>
        <w:t>. In this judgment, reference is made only to the material terms</w:t>
      </w:r>
      <w:r w:rsidR="000C28AA" w:rsidRPr="00C01158">
        <w:rPr>
          <w:sz w:val="24"/>
          <w:lang w:eastAsia="en-ZA"/>
        </w:rPr>
        <w:t xml:space="preserve"> of the annexure as</w:t>
      </w:r>
      <w:r w:rsidR="00D2296C" w:rsidRPr="00C01158">
        <w:rPr>
          <w:sz w:val="24"/>
          <w:lang w:eastAsia="en-ZA"/>
        </w:rPr>
        <w:t xml:space="preserve"> pleaded in the claim</w:t>
      </w:r>
      <w:r w:rsidR="00192EA2" w:rsidRPr="00C01158">
        <w:rPr>
          <w:sz w:val="24"/>
          <w:lang w:eastAsia="en-ZA"/>
        </w:rPr>
        <w:t>.</w:t>
      </w:r>
      <w:r w:rsidR="003C49BA" w:rsidRPr="00C01158">
        <w:rPr>
          <w:sz w:val="24"/>
          <w:lang w:eastAsia="en-ZA"/>
        </w:rPr>
        <w:t xml:space="preserve"> </w:t>
      </w:r>
      <w:r w:rsidR="00192EA2" w:rsidRPr="00C01158">
        <w:rPr>
          <w:sz w:val="24"/>
          <w:lang w:eastAsia="en-ZA"/>
        </w:rPr>
        <w:t xml:space="preserve">These </w:t>
      </w:r>
      <w:r w:rsidR="003C49BA" w:rsidRPr="00C01158">
        <w:rPr>
          <w:sz w:val="24"/>
          <w:lang w:eastAsia="en-ZA"/>
        </w:rPr>
        <w:t>are</w:t>
      </w:r>
      <w:r w:rsidR="00D2296C" w:rsidRPr="00C01158">
        <w:rPr>
          <w:sz w:val="24"/>
          <w:lang w:eastAsia="en-ZA"/>
        </w:rPr>
        <w:t>:</w:t>
      </w:r>
      <w:r w:rsidR="002E357E" w:rsidRPr="00C01158">
        <w:rPr>
          <w:sz w:val="24"/>
          <w:lang w:eastAsia="en-ZA"/>
        </w:rPr>
        <w:t xml:space="preserve"> </w:t>
      </w:r>
    </w:p>
    <w:p w14:paraId="11A3A92A" w14:textId="5ECABFFB" w:rsidR="004177BA" w:rsidRPr="00925A9D" w:rsidRDefault="003C38EE" w:rsidP="004177BA">
      <w:pPr>
        <w:pStyle w:val="ListParagraph"/>
        <w:numPr>
          <w:ilvl w:val="0"/>
          <w:numId w:val="0"/>
        </w:numPr>
        <w:tabs>
          <w:tab w:val="clear" w:pos="1134"/>
          <w:tab w:val="left" w:pos="567"/>
        </w:tabs>
        <w:spacing w:after="0" w:line="360" w:lineRule="auto"/>
        <w:rPr>
          <w:sz w:val="22"/>
          <w:szCs w:val="22"/>
          <w:lang w:eastAsia="en-ZA"/>
        </w:rPr>
      </w:pPr>
      <w:r w:rsidRPr="00925A9D">
        <w:rPr>
          <w:sz w:val="22"/>
          <w:szCs w:val="22"/>
          <w:lang w:eastAsia="en-ZA"/>
        </w:rPr>
        <w:t>‘</w:t>
      </w:r>
      <w:r w:rsidR="004177BA" w:rsidRPr="00925A9D">
        <w:rPr>
          <w:sz w:val="22"/>
          <w:szCs w:val="22"/>
          <w:lang w:eastAsia="en-ZA"/>
        </w:rPr>
        <w:t>In terms of the agreement of lease [Dis-Chem] would let from [Dainfern] shop no 27 in the Dainfern Square shopping centre.</w:t>
      </w:r>
    </w:p>
    <w:p w14:paraId="222F07AB" w14:textId="42A9AF58" w:rsidR="004177BA" w:rsidRPr="00925A9D" w:rsidRDefault="004177BA" w:rsidP="004177BA">
      <w:pPr>
        <w:pStyle w:val="ListParagraph"/>
        <w:numPr>
          <w:ilvl w:val="0"/>
          <w:numId w:val="0"/>
        </w:numPr>
        <w:tabs>
          <w:tab w:val="clear" w:pos="1134"/>
          <w:tab w:val="left" w:pos="567"/>
        </w:tabs>
        <w:spacing w:after="0" w:line="360" w:lineRule="auto"/>
        <w:rPr>
          <w:sz w:val="22"/>
          <w:szCs w:val="22"/>
          <w:lang w:eastAsia="en-ZA"/>
        </w:rPr>
      </w:pPr>
      <w:r w:rsidRPr="00925A9D">
        <w:rPr>
          <w:sz w:val="22"/>
          <w:szCs w:val="22"/>
          <w:lang w:eastAsia="en-ZA"/>
        </w:rPr>
        <w:t xml:space="preserve">. . . </w:t>
      </w:r>
    </w:p>
    <w:p w14:paraId="1EE2B614" w14:textId="0179EE4C" w:rsidR="0057791A" w:rsidRPr="00925A9D" w:rsidRDefault="003C38EE" w:rsidP="004177BA">
      <w:pPr>
        <w:pStyle w:val="ListParagraph"/>
        <w:numPr>
          <w:ilvl w:val="0"/>
          <w:numId w:val="0"/>
        </w:numPr>
        <w:shd w:val="clear" w:color="auto" w:fill="FFFFFF"/>
        <w:tabs>
          <w:tab w:val="clear" w:pos="1134"/>
          <w:tab w:val="left" w:pos="567"/>
        </w:tabs>
        <w:spacing w:after="0" w:line="360" w:lineRule="auto"/>
        <w:rPr>
          <w:sz w:val="22"/>
          <w:szCs w:val="22"/>
          <w:lang w:eastAsia="en-ZA"/>
        </w:rPr>
      </w:pPr>
      <w:r w:rsidRPr="00925A9D">
        <w:rPr>
          <w:sz w:val="22"/>
          <w:szCs w:val="22"/>
          <w:lang w:eastAsia="en-ZA"/>
        </w:rPr>
        <w:t>The</w:t>
      </w:r>
      <w:r w:rsidR="004177BA" w:rsidRPr="00925A9D">
        <w:rPr>
          <w:sz w:val="22"/>
          <w:szCs w:val="22"/>
          <w:lang w:eastAsia="en-ZA"/>
        </w:rPr>
        <w:t xml:space="preserve"> agreement of lease had the following</w:t>
      </w:r>
      <w:r w:rsidRPr="00925A9D">
        <w:rPr>
          <w:sz w:val="22"/>
          <w:szCs w:val="22"/>
          <w:lang w:eastAsia="en-ZA"/>
        </w:rPr>
        <w:t xml:space="preserve"> </w:t>
      </w:r>
      <w:r w:rsidR="002E357E" w:rsidRPr="00925A9D">
        <w:rPr>
          <w:sz w:val="22"/>
          <w:szCs w:val="22"/>
          <w:lang w:eastAsia="en-ZA"/>
        </w:rPr>
        <w:t xml:space="preserve">express </w:t>
      </w:r>
      <w:r w:rsidR="002E357E" w:rsidRPr="00925A9D">
        <w:rPr>
          <w:i/>
          <w:sz w:val="22"/>
          <w:szCs w:val="22"/>
          <w:lang w:eastAsia="en-ZA"/>
        </w:rPr>
        <w:t>alternatively</w:t>
      </w:r>
      <w:r w:rsidR="002E357E" w:rsidRPr="00925A9D">
        <w:rPr>
          <w:sz w:val="22"/>
          <w:szCs w:val="22"/>
          <w:lang w:eastAsia="en-ZA"/>
        </w:rPr>
        <w:t xml:space="preserve"> implied further </w:t>
      </w:r>
      <w:r w:rsidR="002E357E" w:rsidRPr="00925A9D">
        <w:rPr>
          <w:i/>
          <w:sz w:val="22"/>
          <w:szCs w:val="22"/>
          <w:lang w:eastAsia="en-ZA"/>
        </w:rPr>
        <w:t>alternatively</w:t>
      </w:r>
      <w:r w:rsidR="002E357E" w:rsidRPr="00925A9D">
        <w:rPr>
          <w:sz w:val="22"/>
          <w:szCs w:val="22"/>
          <w:lang w:eastAsia="en-ZA"/>
        </w:rPr>
        <w:t xml:space="preserve"> tacit</w:t>
      </w:r>
      <w:r w:rsidR="00AD2004" w:rsidRPr="00925A9D">
        <w:rPr>
          <w:sz w:val="22"/>
          <w:szCs w:val="22"/>
          <w:lang w:eastAsia="en-ZA"/>
        </w:rPr>
        <w:t xml:space="preserve"> terms </w:t>
      </w:r>
      <w:r w:rsidR="002E357E" w:rsidRPr="00925A9D">
        <w:rPr>
          <w:sz w:val="22"/>
          <w:szCs w:val="22"/>
          <w:lang w:eastAsia="en-ZA"/>
        </w:rPr>
        <w:t xml:space="preserve">(and the agreement of lease, properly construed, provided </w:t>
      </w:r>
      <w:r w:rsidR="002E357E" w:rsidRPr="00925A9D">
        <w:rPr>
          <w:i/>
          <w:sz w:val="22"/>
          <w:szCs w:val="22"/>
          <w:lang w:eastAsia="en-ZA"/>
        </w:rPr>
        <w:t>inter alia</w:t>
      </w:r>
      <w:r w:rsidR="00AD2004" w:rsidRPr="00925A9D">
        <w:rPr>
          <w:sz w:val="22"/>
          <w:szCs w:val="22"/>
          <w:lang w:eastAsia="en-ZA"/>
        </w:rPr>
        <w:t xml:space="preserve"> as follows</w:t>
      </w:r>
      <w:r w:rsidR="004177BA" w:rsidRPr="00925A9D">
        <w:rPr>
          <w:sz w:val="22"/>
          <w:szCs w:val="22"/>
          <w:lang w:eastAsia="en-ZA"/>
        </w:rPr>
        <w:t>)</w:t>
      </w:r>
      <w:r w:rsidR="002E357E" w:rsidRPr="00925A9D">
        <w:rPr>
          <w:sz w:val="22"/>
          <w:szCs w:val="22"/>
          <w:lang w:eastAsia="en-ZA"/>
        </w:rPr>
        <w:t>:</w:t>
      </w:r>
    </w:p>
    <w:p w14:paraId="3D4D64AF" w14:textId="13E2A6D1" w:rsidR="00A25297" w:rsidRPr="00925A9D" w:rsidRDefault="00A25297" w:rsidP="00034BAC">
      <w:pPr>
        <w:pStyle w:val="ListParagraph"/>
        <w:numPr>
          <w:ilvl w:val="0"/>
          <w:numId w:val="0"/>
        </w:numPr>
        <w:tabs>
          <w:tab w:val="clear" w:pos="1134"/>
          <w:tab w:val="left" w:pos="567"/>
        </w:tabs>
        <w:spacing w:after="0" w:line="360" w:lineRule="auto"/>
        <w:rPr>
          <w:sz w:val="22"/>
          <w:szCs w:val="22"/>
          <w:lang w:eastAsia="en-ZA"/>
        </w:rPr>
      </w:pPr>
      <w:r w:rsidRPr="00925A9D">
        <w:rPr>
          <w:sz w:val="22"/>
          <w:szCs w:val="22"/>
          <w:lang w:eastAsia="en-ZA"/>
        </w:rPr>
        <w:t>…</w:t>
      </w:r>
    </w:p>
    <w:p w14:paraId="2C1EBAC5" w14:textId="0BF830F6" w:rsidR="00A25297" w:rsidRPr="00925A9D" w:rsidRDefault="00A25297" w:rsidP="00034BAC">
      <w:pPr>
        <w:pStyle w:val="ListParagraph"/>
        <w:numPr>
          <w:ilvl w:val="0"/>
          <w:numId w:val="0"/>
        </w:numPr>
        <w:tabs>
          <w:tab w:val="clear" w:pos="1134"/>
          <w:tab w:val="left" w:pos="567"/>
        </w:tabs>
        <w:spacing w:after="0" w:line="360" w:lineRule="auto"/>
        <w:rPr>
          <w:sz w:val="22"/>
          <w:szCs w:val="22"/>
          <w:lang w:eastAsia="en-ZA"/>
        </w:rPr>
      </w:pPr>
      <w:r w:rsidRPr="00925A9D">
        <w:rPr>
          <w:sz w:val="22"/>
          <w:szCs w:val="22"/>
          <w:lang w:eastAsia="en-ZA"/>
        </w:rPr>
        <w:t>The agreement of lease would commence on 1 June 2015 and [Dis-Chem’s] rental obligations</w:t>
      </w:r>
      <w:r w:rsidR="004177BA" w:rsidRPr="00925A9D">
        <w:rPr>
          <w:sz w:val="22"/>
          <w:szCs w:val="22"/>
          <w:lang w:eastAsia="en-ZA"/>
        </w:rPr>
        <w:t>,</w:t>
      </w:r>
      <w:r w:rsidRPr="00925A9D">
        <w:rPr>
          <w:sz w:val="22"/>
          <w:szCs w:val="22"/>
          <w:lang w:eastAsia="en-ZA"/>
        </w:rPr>
        <w:t xml:space="preserve"> </w:t>
      </w:r>
      <w:r w:rsidR="00FF7B0A" w:rsidRPr="00925A9D">
        <w:rPr>
          <w:sz w:val="22"/>
          <w:szCs w:val="22"/>
          <w:lang w:eastAsia="en-ZA"/>
        </w:rPr>
        <w:t xml:space="preserve">from 23 </w:t>
      </w:r>
      <w:r w:rsidRPr="00925A9D">
        <w:rPr>
          <w:sz w:val="22"/>
          <w:szCs w:val="22"/>
          <w:lang w:eastAsia="en-ZA"/>
        </w:rPr>
        <w:t>July 2015;</w:t>
      </w:r>
    </w:p>
    <w:p w14:paraId="5E6A3D14" w14:textId="14790322" w:rsidR="00A25297" w:rsidRPr="00925A9D" w:rsidRDefault="004177BA" w:rsidP="00034BAC">
      <w:pPr>
        <w:pStyle w:val="ListParagraph"/>
        <w:numPr>
          <w:ilvl w:val="0"/>
          <w:numId w:val="0"/>
        </w:numPr>
        <w:tabs>
          <w:tab w:val="clear" w:pos="1134"/>
          <w:tab w:val="left" w:pos="567"/>
        </w:tabs>
        <w:spacing w:after="0" w:line="360" w:lineRule="auto"/>
        <w:rPr>
          <w:sz w:val="22"/>
          <w:szCs w:val="22"/>
          <w:lang w:eastAsia="en-ZA"/>
        </w:rPr>
      </w:pPr>
      <w:r w:rsidRPr="00925A9D">
        <w:rPr>
          <w:sz w:val="22"/>
          <w:szCs w:val="22"/>
          <w:lang w:eastAsia="en-ZA"/>
        </w:rPr>
        <w:t>B</w:t>
      </w:r>
      <w:r w:rsidR="00A25297" w:rsidRPr="00925A9D">
        <w:rPr>
          <w:sz w:val="22"/>
          <w:szCs w:val="22"/>
          <w:lang w:eastAsia="en-ZA"/>
        </w:rPr>
        <w:t>asic rental would be R115 p</w:t>
      </w:r>
      <w:r w:rsidRPr="00925A9D">
        <w:rPr>
          <w:sz w:val="22"/>
          <w:szCs w:val="22"/>
          <w:lang w:eastAsia="en-ZA"/>
        </w:rPr>
        <w:t>/</w:t>
      </w:r>
      <w:r w:rsidR="00A25297" w:rsidRPr="00925A9D">
        <w:rPr>
          <w:sz w:val="22"/>
          <w:szCs w:val="22"/>
          <w:lang w:eastAsia="en-ZA"/>
        </w:rPr>
        <w:t>m</w:t>
      </w:r>
      <w:r w:rsidR="00A25297" w:rsidRPr="00925A9D">
        <w:rPr>
          <w:sz w:val="22"/>
          <w:szCs w:val="22"/>
          <w:vertAlign w:val="superscript"/>
          <w:lang w:eastAsia="en-ZA"/>
        </w:rPr>
        <w:t>2</w:t>
      </w:r>
      <w:r w:rsidR="00A25297" w:rsidRPr="00925A9D">
        <w:rPr>
          <w:sz w:val="22"/>
          <w:szCs w:val="22"/>
          <w:lang w:eastAsia="en-ZA"/>
        </w:rPr>
        <w:t xml:space="preserve"> (subject to escalation at a rate of 7%</w:t>
      </w:r>
      <w:r w:rsidRPr="00925A9D">
        <w:rPr>
          <w:sz w:val="22"/>
          <w:szCs w:val="22"/>
          <w:lang w:eastAsia="en-ZA"/>
        </w:rPr>
        <w:t>,</w:t>
      </w:r>
      <w:r w:rsidR="00A25297" w:rsidRPr="00925A9D">
        <w:rPr>
          <w:sz w:val="22"/>
          <w:szCs w:val="22"/>
          <w:lang w:eastAsia="en-ZA"/>
        </w:rPr>
        <w:t xml:space="preserve"> on 1</w:t>
      </w:r>
      <w:r w:rsidR="00D61D42" w:rsidRPr="00925A9D">
        <w:rPr>
          <w:sz w:val="22"/>
          <w:szCs w:val="22"/>
          <w:lang w:eastAsia="en-ZA"/>
        </w:rPr>
        <w:t> </w:t>
      </w:r>
      <w:r w:rsidR="00A25297" w:rsidRPr="00925A9D">
        <w:rPr>
          <w:sz w:val="22"/>
          <w:szCs w:val="22"/>
          <w:lang w:eastAsia="en-ZA"/>
        </w:rPr>
        <w:t>May of every succeeding year);</w:t>
      </w:r>
    </w:p>
    <w:p w14:paraId="77746F65" w14:textId="433F729A" w:rsidR="000B524F" w:rsidRPr="00925A9D" w:rsidRDefault="008C5D83" w:rsidP="00034BAC">
      <w:pPr>
        <w:pStyle w:val="ListParagraph"/>
        <w:numPr>
          <w:ilvl w:val="0"/>
          <w:numId w:val="0"/>
        </w:numPr>
        <w:tabs>
          <w:tab w:val="clear" w:pos="1134"/>
          <w:tab w:val="left" w:pos="567"/>
        </w:tabs>
        <w:spacing w:after="0" w:line="360" w:lineRule="auto"/>
        <w:rPr>
          <w:sz w:val="22"/>
          <w:szCs w:val="22"/>
          <w:lang w:eastAsia="en-ZA"/>
        </w:rPr>
      </w:pPr>
      <w:r w:rsidRPr="00925A9D">
        <w:rPr>
          <w:sz w:val="22"/>
          <w:szCs w:val="22"/>
          <w:lang w:eastAsia="en-ZA"/>
        </w:rPr>
        <w:t>In addition to basic rental [Dis-Chem] would be liable for payment of turnover rental calculated in accordance with annexure “F” to the agreement of lease;</w:t>
      </w:r>
    </w:p>
    <w:p w14:paraId="1C8B8A8A" w14:textId="741C443A" w:rsidR="008C5D83" w:rsidRPr="00925A9D" w:rsidRDefault="008C5D83" w:rsidP="00034BAC">
      <w:pPr>
        <w:pStyle w:val="ListParagraph"/>
        <w:numPr>
          <w:ilvl w:val="0"/>
          <w:numId w:val="0"/>
        </w:numPr>
        <w:tabs>
          <w:tab w:val="clear" w:pos="1134"/>
          <w:tab w:val="left" w:pos="567"/>
        </w:tabs>
        <w:spacing w:after="0" w:line="360" w:lineRule="auto"/>
        <w:rPr>
          <w:sz w:val="22"/>
          <w:szCs w:val="22"/>
          <w:lang w:eastAsia="en-ZA"/>
        </w:rPr>
      </w:pPr>
      <w:r w:rsidRPr="00925A9D">
        <w:rPr>
          <w:sz w:val="22"/>
          <w:szCs w:val="22"/>
          <w:lang w:eastAsia="en-ZA"/>
        </w:rPr>
        <w:t>Turnover rental (with annexure “F” to the agreement of lease properly construed);</w:t>
      </w:r>
    </w:p>
    <w:p w14:paraId="36040D72" w14:textId="5F6D308C" w:rsidR="008C5D83" w:rsidRPr="00925A9D" w:rsidRDefault="00192EA2" w:rsidP="00B52333">
      <w:pPr>
        <w:pStyle w:val="ListParagraph"/>
        <w:numPr>
          <w:ilvl w:val="0"/>
          <w:numId w:val="0"/>
        </w:numPr>
        <w:tabs>
          <w:tab w:val="clear" w:pos="1134"/>
          <w:tab w:val="left" w:pos="0"/>
        </w:tabs>
        <w:spacing w:after="0" w:line="360" w:lineRule="auto"/>
        <w:rPr>
          <w:sz w:val="22"/>
          <w:szCs w:val="22"/>
          <w:lang w:eastAsia="en-ZA"/>
        </w:rPr>
      </w:pPr>
      <w:r w:rsidRPr="00925A9D">
        <w:rPr>
          <w:sz w:val="22"/>
          <w:szCs w:val="22"/>
          <w:lang w:eastAsia="en-ZA"/>
        </w:rPr>
        <w:t>would</w:t>
      </w:r>
      <w:r w:rsidR="008C5D83" w:rsidRPr="00925A9D">
        <w:rPr>
          <w:sz w:val="22"/>
          <w:szCs w:val="22"/>
          <w:lang w:eastAsia="en-ZA"/>
        </w:rPr>
        <w:t xml:space="preserve"> be payable within two months from the end of each turnover period;</w:t>
      </w:r>
    </w:p>
    <w:p w14:paraId="7DDED250" w14:textId="7AEC425F" w:rsidR="008C5D83" w:rsidRPr="00925A9D" w:rsidRDefault="00192EA2" w:rsidP="00034BAC">
      <w:pPr>
        <w:pStyle w:val="ListParagraph"/>
        <w:numPr>
          <w:ilvl w:val="0"/>
          <w:numId w:val="0"/>
        </w:numPr>
        <w:tabs>
          <w:tab w:val="clear" w:pos="1134"/>
          <w:tab w:val="left" w:pos="567"/>
        </w:tabs>
        <w:spacing w:after="0" w:line="360" w:lineRule="auto"/>
        <w:rPr>
          <w:sz w:val="22"/>
          <w:szCs w:val="22"/>
          <w:lang w:eastAsia="en-ZA"/>
        </w:rPr>
      </w:pPr>
      <w:r w:rsidRPr="00925A9D">
        <w:rPr>
          <w:sz w:val="22"/>
          <w:szCs w:val="22"/>
          <w:lang w:eastAsia="en-ZA"/>
        </w:rPr>
        <w:t>would</w:t>
      </w:r>
      <w:r w:rsidR="008C5D83" w:rsidRPr="00925A9D">
        <w:rPr>
          <w:sz w:val="22"/>
          <w:szCs w:val="22"/>
          <w:lang w:eastAsia="en-ZA"/>
        </w:rPr>
        <w:t xml:space="preserve"> be payable in addition to the</w:t>
      </w:r>
      <w:r w:rsidR="00D22AB6" w:rsidRPr="00925A9D">
        <w:rPr>
          <w:sz w:val="22"/>
          <w:szCs w:val="22"/>
          <w:lang w:eastAsia="en-ZA"/>
        </w:rPr>
        <w:t xml:space="preserve"> basic</w:t>
      </w:r>
      <w:r w:rsidR="008C5D83" w:rsidRPr="00925A9D">
        <w:rPr>
          <w:sz w:val="22"/>
          <w:szCs w:val="22"/>
          <w:lang w:eastAsia="en-ZA"/>
        </w:rPr>
        <w:t xml:space="preserve"> rental;</w:t>
      </w:r>
      <w:r w:rsidR="00416DC2" w:rsidRPr="00925A9D">
        <w:rPr>
          <w:sz w:val="22"/>
          <w:szCs w:val="22"/>
          <w:lang w:eastAsia="en-ZA"/>
        </w:rPr>
        <w:t xml:space="preserve"> and</w:t>
      </w:r>
    </w:p>
    <w:p w14:paraId="3D816773" w14:textId="3C173E81" w:rsidR="00416DC2" w:rsidRPr="00925A9D" w:rsidRDefault="00192EA2" w:rsidP="00B52333">
      <w:pPr>
        <w:pStyle w:val="ListParagraph"/>
        <w:numPr>
          <w:ilvl w:val="0"/>
          <w:numId w:val="0"/>
        </w:numPr>
        <w:tabs>
          <w:tab w:val="clear" w:pos="1134"/>
          <w:tab w:val="left" w:pos="709"/>
        </w:tabs>
        <w:spacing w:after="0" w:line="360" w:lineRule="auto"/>
        <w:rPr>
          <w:sz w:val="22"/>
          <w:szCs w:val="22"/>
          <w:lang w:eastAsia="en-ZA"/>
        </w:rPr>
      </w:pPr>
      <w:r w:rsidRPr="00925A9D">
        <w:rPr>
          <w:sz w:val="22"/>
          <w:szCs w:val="22"/>
          <w:lang w:eastAsia="en-ZA"/>
        </w:rPr>
        <w:t>w</w:t>
      </w:r>
      <w:r w:rsidR="008C5D83" w:rsidRPr="00925A9D">
        <w:rPr>
          <w:sz w:val="22"/>
          <w:szCs w:val="22"/>
          <w:lang w:eastAsia="en-ZA"/>
        </w:rPr>
        <w:t>ould be calculated as the amount equal to the difference between the</w:t>
      </w:r>
      <w:r w:rsidR="00034BAC" w:rsidRPr="00925A9D">
        <w:rPr>
          <w:sz w:val="22"/>
          <w:szCs w:val="22"/>
          <w:lang w:eastAsia="en-ZA"/>
        </w:rPr>
        <w:t xml:space="preserve"> </w:t>
      </w:r>
      <w:r w:rsidR="00D61D42" w:rsidRPr="00925A9D">
        <w:rPr>
          <w:sz w:val="22"/>
          <w:szCs w:val="22"/>
          <w:lang w:eastAsia="en-ZA"/>
        </w:rPr>
        <w:t>basic rental</w:t>
      </w:r>
      <w:r w:rsidR="008C5D83" w:rsidRPr="00925A9D">
        <w:rPr>
          <w:sz w:val="22"/>
          <w:szCs w:val="22"/>
          <w:lang w:eastAsia="en-ZA"/>
        </w:rPr>
        <w:t xml:space="preserve"> (referred to as “Gross Rental” in annexure “F”) and 1</w:t>
      </w:r>
      <w:r w:rsidR="00110771" w:rsidRPr="00925A9D">
        <w:rPr>
          <w:sz w:val="22"/>
          <w:szCs w:val="22"/>
          <w:lang w:eastAsia="en-ZA"/>
        </w:rPr>
        <w:t>.</w:t>
      </w:r>
      <w:r w:rsidR="008C5D83" w:rsidRPr="00925A9D">
        <w:rPr>
          <w:sz w:val="22"/>
          <w:szCs w:val="22"/>
          <w:lang w:eastAsia="en-ZA"/>
        </w:rPr>
        <w:t>75% of net</w:t>
      </w:r>
      <w:r w:rsidR="00416DC2" w:rsidRPr="00925A9D">
        <w:rPr>
          <w:sz w:val="22"/>
          <w:szCs w:val="22"/>
          <w:lang w:eastAsia="en-ZA"/>
        </w:rPr>
        <w:t>t</w:t>
      </w:r>
      <w:r w:rsidR="008C5D83" w:rsidRPr="00925A9D">
        <w:rPr>
          <w:sz w:val="22"/>
          <w:szCs w:val="22"/>
          <w:lang w:eastAsia="en-ZA"/>
        </w:rPr>
        <w:t xml:space="preserve"> </w:t>
      </w:r>
      <w:r w:rsidR="003644C9" w:rsidRPr="00925A9D">
        <w:rPr>
          <w:sz w:val="22"/>
          <w:szCs w:val="22"/>
          <w:lang w:eastAsia="en-ZA"/>
        </w:rPr>
        <w:t xml:space="preserve">turnover (if </w:t>
      </w:r>
      <w:r w:rsidR="008C5D83" w:rsidRPr="00925A9D">
        <w:rPr>
          <w:sz w:val="22"/>
          <w:szCs w:val="22"/>
          <w:lang w:eastAsia="en-ZA"/>
        </w:rPr>
        <w:t xml:space="preserve">any) and accordingly, would be payable if and </w:t>
      </w:r>
      <w:r w:rsidR="003644C9" w:rsidRPr="00925A9D">
        <w:rPr>
          <w:sz w:val="22"/>
          <w:szCs w:val="22"/>
          <w:lang w:eastAsia="en-ZA"/>
        </w:rPr>
        <w:t>to the extent that 1</w:t>
      </w:r>
      <w:r w:rsidR="00416DC2" w:rsidRPr="00925A9D">
        <w:rPr>
          <w:sz w:val="22"/>
          <w:szCs w:val="22"/>
          <w:lang w:eastAsia="en-ZA"/>
        </w:rPr>
        <w:t>.</w:t>
      </w:r>
      <w:r w:rsidR="003644C9" w:rsidRPr="00925A9D">
        <w:rPr>
          <w:sz w:val="22"/>
          <w:szCs w:val="22"/>
          <w:lang w:eastAsia="en-ZA"/>
        </w:rPr>
        <w:t>75</w:t>
      </w:r>
      <w:r w:rsidR="00D61D42" w:rsidRPr="00925A9D">
        <w:rPr>
          <w:sz w:val="22"/>
          <w:szCs w:val="22"/>
          <w:lang w:eastAsia="en-ZA"/>
        </w:rPr>
        <w:t>% of</w:t>
      </w:r>
      <w:r w:rsidR="003644C9" w:rsidRPr="00925A9D">
        <w:rPr>
          <w:sz w:val="22"/>
          <w:szCs w:val="22"/>
          <w:lang w:eastAsia="en-ZA"/>
        </w:rPr>
        <w:t xml:space="preserve"> </w:t>
      </w:r>
      <w:r w:rsidR="00D61D42" w:rsidRPr="00925A9D">
        <w:rPr>
          <w:sz w:val="22"/>
          <w:szCs w:val="22"/>
          <w:lang w:eastAsia="en-ZA"/>
        </w:rPr>
        <w:t>nett turnover</w:t>
      </w:r>
      <w:r w:rsidR="003644C9" w:rsidRPr="00925A9D">
        <w:rPr>
          <w:sz w:val="22"/>
          <w:szCs w:val="22"/>
          <w:lang w:eastAsia="en-ZA"/>
        </w:rPr>
        <w:t xml:space="preserve"> exceeds the basic </w:t>
      </w:r>
      <w:r w:rsidR="00D61D42" w:rsidRPr="00925A9D">
        <w:rPr>
          <w:sz w:val="22"/>
          <w:szCs w:val="22"/>
          <w:lang w:eastAsia="en-ZA"/>
        </w:rPr>
        <w:t>rental</w:t>
      </w:r>
      <w:r w:rsidR="00416DC2" w:rsidRPr="00925A9D">
        <w:rPr>
          <w:sz w:val="22"/>
          <w:szCs w:val="22"/>
          <w:lang w:eastAsia="en-ZA"/>
        </w:rPr>
        <w:t>;</w:t>
      </w:r>
    </w:p>
    <w:p w14:paraId="57A3FEA5" w14:textId="7705440D" w:rsidR="008C5D83" w:rsidRPr="00925A9D" w:rsidRDefault="00416DC2" w:rsidP="00416DC2">
      <w:pPr>
        <w:pStyle w:val="ListParagraph"/>
        <w:numPr>
          <w:ilvl w:val="0"/>
          <w:numId w:val="0"/>
        </w:numPr>
        <w:tabs>
          <w:tab w:val="clear" w:pos="1134"/>
          <w:tab w:val="left" w:pos="567"/>
        </w:tabs>
        <w:spacing w:after="0" w:line="360" w:lineRule="auto"/>
        <w:ind w:left="540" w:hanging="540"/>
        <w:rPr>
          <w:sz w:val="22"/>
          <w:szCs w:val="22"/>
          <w:lang w:eastAsia="en-ZA"/>
        </w:rPr>
      </w:pPr>
      <w:r w:rsidRPr="00925A9D">
        <w:rPr>
          <w:sz w:val="22"/>
          <w:szCs w:val="22"/>
          <w:lang w:eastAsia="en-ZA"/>
        </w:rPr>
        <w:t xml:space="preserve">. . . </w:t>
      </w:r>
    </w:p>
    <w:p w14:paraId="532109CB" w14:textId="5065D5BF" w:rsidR="003644C9" w:rsidRPr="00925A9D" w:rsidRDefault="003644C9" w:rsidP="00034BAC">
      <w:pPr>
        <w:pStyle w:val="ListParagraph"/>
        <w:numPr>
          <w:ilvl w:val="0"/>
          <w:numId w:val="0"/>
        </w:numPr>
        <w:tabs>
          <w:tab w:val="clear" w:pos="1134"/>
          <w:tab w:val="left" w:pos="567"/>
        </w:tabs>
        <w:spacing w:after="0" w:line="360" w:lineRule="auto"/>
        <w:rPr>
          <w:sz w:val="22"/>
          <w:szCs w:val="22"/>
          <w:lang w:eastAsia="en-ZA"/>
        </w:rPr>
      </w:pPr>
      <w:r w:rsidRPr="00925A9D">
        <w:rPr>
          <w:sz w:val="22"/>
          <w:szCs w:val="22"/>
          <w:lang w:eastAsia="en-ZA"/>
        </w:rPr>
        <w:t>A “turnover period” would be the period that commenced at the date of commencement of the agreement of lease and ended at [Dis-Chem’s] financial year-end (and thereafter, on ev</w:t>
      </w:r>
      <w:r w:rsidR="009F0EB6" w:rsidRPr="00925A9D">
        <w:rPr>
          <w:sz w:val="22"/>
          <w:szCs w:val="22"/>
          <w:lang w:eastAsia="en-ZA"/>
        </w:rPr>
        <w:t>ery anniversary of [Dis-Chem’s]</w:t>
      </w:r>
      <w:r w:rsidRPr="00925A9D">
        <w:rPr>
          <w:sz w:val="22"/>
          <w:szCs w:val="22"/>
          <w:lang w:eastAsia="en-ZA"/>
        </w:rPr>
        <w:t xml:space="preserve"> financial year-end)</w:t>
      </w:r>
      <w:r w:rsidR="009F0EB6" w:rsidRPr="00925A9D">
        <w:rPr>
          <w:sz w:val="22"/>
          <w:szCs w:val="22"/>
          <w:lang w:eastAsia="en-ZA"/>
        </w:rPr>
        <w:t>.</w:t>
      </w:r>
      <w:r w:rsidR="00192EA2" w:rsidRPr="00925A9D">
        <w:rPr>
          <w:sz w:val="22"/>
          <w:szCs w:val="22"/>
          <w:lang w:eastAsia="en-ZA"/>
        </w:rPr>
        <w:t>’</w:t>
      </w:r>
    </w:p>
    <w:p w14:paraId="001747C2" w14:textId="1463F5E7" w:rsidR="00E47875" w:rsidRPr="00C01158" w:rsidRDefault="00C01158" w:rsidP="00C01158">
      <w:pPr>
        <w:tabs>
          <w:tab w:val="left" w:pos="567"/>
        </w:tabs>
        <w:spacing w:line="360" w:lineRule="auto"/>
        <w:rPr>
          <w:sz w:val="22"/>
          <w:szCs w:val="22"/>
        </w:rPr>
      </w:pPr>
      <w:r w:rsidRPr="00925A9D">
        <w:rPr>
          <w:rFonts w:eastAsia="Calibri"/>
          <w:sz w:val="24"/>
          <w:lang w:val="en-ZA"/>
        </w:rPr>
        <w:lastRenderedPageBreak/>
        <w:t>[4]</w:t>
      </w:r>
      <w:r w:rsidRPr="00925A9D">
        <w:rPr>
          <w:rFonts w:eastAsia="Calibri"/>
          <w:sz w:val="24"/>
          <w:lang w:val="en-ZA"/>
        </w:rPr>
        <w:tab/>
      </w:r>
      <w:r w:rsidR="006861B5" w:rsidRPr="00C01158">
        <w:rPr>
          <w:sz w:val="24"/>
        </w:rPr>
        <w:t xml:space="preserve">In May 2020, </w:t>
      </w:r>
      <w:r w:rsidR="009F0EB6" w:rsidRPr="00C01158">
        <w:rPr>
          <w:sz w:val="24"/>
        </w:rPr>
        <w:t xml:space="preserve">Dis-Chem </w:t>
      </w:r>
      <w:r w:rsidR="00D21FE5" w:rsidRPr="00C01158">
        <w:rPr>
          <w:sz w:val="24"/>
        </w:rPr>
        <w:t>lodged a claim with the arbitrator in which it alleged</w:t>
      </w:r>
      <w:r w:rsidR="009F0EB6" w:rsidRPr="00C01158">
        <w:rPr>
          <w:sz w:val="24"/>
        </w:rPr>
        <w:t xml:space="preserve"> that on 20 May 2016, 19 May 2017 and 22 May 2018, Dainfern claimed payment of turnover rental by issuing invoices in the amounts of R646 258.26</w:t>
      </w:r>
      <w:r w:rsidR="001657FD" w:rsidRPr="00C01158">
        <w:rPr>
          <w:sz w:val="24"/>
        </w:rPr>
        <w:t>,</w:t>
      </w:r>
      <w:r w:rsidR="009F0EB6" w:rsidRPr="00C01158">
        <w:rPr>
          <w:sz w:val="24"/>
        </w:rPr>
        <w:t xml:space="preserve"> R1</w:t>
      </w:r>
      <w:r w:rsidR="007E3C80" w:rsidRPr="00C01158">
        <w:rPr>
          <w:sz w:val="24"/>
        </w:rPr>
        <w:t> </w:t>
      </w:r>
      <w:r w:rsidR="009F0EB6" w:rsidRPr="00C01158">
        <w:rPr>
          <w:sz w:val="24"/>
        </w:rPr>
        <w:t>543</w:t>
      </w:r>
      <w:r w:rsidR="007E3C80" w:rsidRPr="00C01158">
        <w:rPr>
          <w:sz w:val="24"/>
        </w:rPr>
        <w:t xml:space="preserve"> </w:t>
      </w:r>
      <w:r w:rsidR="009F0EB6" w:rsidRPr="00C01158">
        <w:rPr>
          <w:sz w:val="24"/>
        </w:rPr>
        <w:t>300.34 and R2 010 065.97 on those dates.</w:t>
      </w:r>
      <w:r w:rsidR="00254C13" w:rsidRPr="00C01158">
        <w:rPr>
          <w:sz w:val="24"/>
        </w:rPr>
        <w:t xml:space="preserve"> </w:t>
      </w:r>
      <w:r w:rsidR="009F0EB6" w:rsidRPr="00C01158">
        <w:rPr>
          <w:sz w:val="24"/>
        </w:rPr>
        <w:t>Dis-Chem</w:t>
      </w:r>
      <w:r w:rsidR="00A42033" w:rsidRPr="00C01158">
        <w:rPr>
          <w:sz w:val="24"/>
        </w:rPr>
        <w:t xml:space="preserve"> further alleg</w:t>
      </w:r>
      <w:r w:rsidR="009639C2" w:rsidRPr="00C01158">
        <w:rPr>
          <w:sz w:val="24"/>
        </w:rPr>
        <w:t>ed in the claim</w:t>
      </w:r>
      <w:r w:rsidR="00A42033" w:rsidRPr="00C01158">
        <w:rPr>
          <w:sz w:val="24"/>
        </w:rPr>
        <w:t xml:space="preserve"> that it paid those amounts as they were requested on 1 June of </w:t>
      </w:r>
      <w:r w:rsidR="003C49BA" w:rsidRPr="00C01158">
        <w:rPr>
          <w:sz w:val="24"/>
        </w:rPr>
        <w:t>three consecutive years</w:t>
      </w:r>
      <w:r w:rsidR="002C5EA4" w:rsidRPr="00C01158">
        <w:rPr>
          <w:sz w:val="24"/>
        </w:rPr>
        <w:t xml:space="preserve"> - </w:t>
      </w:r>
      <w:r w:rsidR="00A42033" w:rsidRPr="00C01158">
        <w:rPr>
          <w:sz w:val="24"/>
        </w:rPr>
        <w:t>2016, 2017 and 2018 respectively</w:t>
      </w:r>
      <w:r w:rsidR="00FB2BB7" w:rsidRPr="00C01158">
        <w:rPr>
          <w:sz w:val="24"/>
        </w:rPr>
        <w:t>. The payments made:</w:t>
      </w:r>
    </w:p>
    <w:p w14:paraId="3BE8E66E" w14:textId="33EF562C" w:rsidR="00D76E8D" w:rsidRPr="00925A9D" w:rsidRDefault="00E47875" w:rsidP="008D69F0">
      <w:pPr>
        <w:pStyle w:val="ListParagraph"/>
        <w:numPr>
          <w:ilvl w:val="0"/>
          <w:numId w:val="0"/>
        </w:numPr>
        <w:tabs>
          <w:tab w:val="clear" w:pos="1134"/>
          <w:tab w:val="left" w:pos="567"/>
        </w:tabs>
        <w:spacing w:after="0" w:line="360" w:lineRule="auto"/>
        <w:rPr>
          <w:sz w:val="22"/>
          <w:szCs w:val="22"/>
        </w:rPr>
      </w:pPr>
      <w:r w:rsidRPr="00925A9D">
        <w:rPr>
          <w:sz w:val="24"/>
        </w:rPr>
        <w:t>‘</w:t>
      </w:r>
      <w:r w:rsidRPr="00925A9D">
        <w:rPr>
          <w:sz w:val="22"/>
          <w:szCs w:val="22"/>
        </w:rPr>
        <w:t>13.1 [W]</w:t>
      </w:r>
      <w:r w:rsidR="008D69F0" w:rsidRPr="00925A9D">
        <w:rPr>
          <w:sz w:val="22"/>
          <w:szCs w:val="22"/>
        </w:rPr>
        <w:t>ere</w:t>
      </w:r>
      <w:r w:rsidRPr="00925A9D">
        <w:rPr>
          <w:sz w:val="22"/>
          <w:szCs w:val="22"/>
        </w:rPr>
        <w:t xml:space="preserve"> made </w:t>
      </w:r>
      <w:r w:rsidR="00A42033" w:rsidRPr="00925A9D">
        <w:rPr>
          <w:sz w:val="22"/>
          <w:szCs w:val="22"/>
        </w:rPr>
        <w:t xml:space="preserve">in the </w:t>
      </w:r>
      <w:r w:rsidR="00A42033" w:rsidRPr="00925A9D">
        <w:rPr>
          <w:i/>
          <w:sz w:val="22"/>
          <w:szCs w:val="22"/>
        </w:rPr>
        <w:t>bona fide</w:t>
      </w:r>
      <w:r w:rsidR="00A42033" w:rsidRPr="00925A9D">
        <w:rPr>
          <w:sz w:val="22"/>
          <w:szCs w:val="22"/>
        </w:rPr>
        <w:t xml:space="preserve"> and mistaken belief that the amounts invoiced were due and payable when, in truth, they were not, in that turnover rental:</w:t>
      </w:r>
    </w:p>
    <w:p w14:paraId="73650691" w14:textId="7E0E4448" w:rsidR="00A42033" w:rsidRPr="00925A9D" w:rsidRDefault="00672D74" w:rsidP="00E16FCC">
      <w:pPr>
        <w:pStyle w:val="ListParagraph"/>
        <w:numPr>
          <w:ilvl w:val="0"/>
          <w:numId w:val="0"/>
        </w:numPr>
        <w:tabs>
          <w:tab w:val="clear" w:pos="1134"/>
          <w:tab w:val="left" w:pos="0"/>
        </w:tabs>
        <w:spacing w:after="0" w:line="360" w:lineRule="auto"/>
        <w:rPr>
          <w:sz w:val="22"/>
          <w:szCs w:val="22"/>
        </w:rPr>
      </w:pPr>
      <w:r w:rsidRPr="00925A9D">
        <w:rPr>
          <w:sz w:val="22"/>
          <w:szCs w:val="22"/>
        </w:rPr>
        <w:t xml:space="preserve">13.1.1 </w:t>
      </w:r>
      <w:r w:rsidR="008D69F0" w:rsidRPr="00925A9D">
        <w:rPr>
          <w:sz w:val="22"/>
          <w:szCs w:val="22"/>
        </w:rPr>
        <w:t>Ought</w:t>
      </w:r>
      <w:r w:rsidR="00A42033" w:rsidRPr="00925A9D">
        <w:rPr>
          <w:sz w:val="22"/>
          <w:szCs w:val="22"/>
        </w:rPr>
        <w:t xml:space="preserve"> to have been calculated as the difference (if any) between basic rental and 1.75% of [Dis-Chem’s] nett turnover; and</w:t>
      </w:r>
    </w:p>
    <w:p w14:paraId="28F8CD2F" w14:textId="045E693C" w:rsidR="00A42033" w:rsidRPr="00925A9D" w:rsidRDefault="00672D74" w:rsidP="00E16FCC">
      <w:pPr>
        <w:pStyle w:val="ListParagraph"/>
        <w:numPr>
          <w:ilvl w:val="0"/>
          <w:numId w:val="0"/>
        </w:numPr>
        <w:tabs>
          <w:tab w:val="clear" w:pos="1134"/>
          <w:tab w:val="left" w:pos="567"/>
        </w:tabs>
        <w:spacing w:after="0" w:line="360" w:lineRule="auto"/>
        <w:rPr>
          <w:sz w:val="22"/>
          <w:szCs w:val="22"/>
        </w:rPr>
      </w:pPr>
      <w:r w:rsidRPr="00925A9D">
        <w:rPr>
          <w:sz w:val="22"/>
          <w:szCs w:val="22"/>
        </w:rPr>
        <w:t xml:space="preserve">13.1.2 </w:t>
      </w:r>
      <w:r w:rsidR="008D69F0" w:rsidRPr="00925A9D">
        <w:rPr>
          <w:sz w:val="22"/>
          <w:szCs w:val="22"/>
        </w:rPr>
        <w:t>Ought</w:t>
      </w:r>
      <w:r w:rsidR="00A42033" w:rsidRPr="00925A9D">
        <w:rPr>
          <w:sz w:val="22"/>
          <w:szCs w:val="22"/>
        </w:rPr>
        <w:t xml:space="preserve"> to have been payable only in the event and to the</w:t>
      </w:r>
      <w:r w:rsidR="00747D28" w:rsidRPr="00925A9D">
        <w:rPr>
          <w:sz w:val="22"/>
          <w:szCs w:val="22"/>
        </w:rPr>
        <w:t xml:space="preserve"> extent by which 1.75% of Dis-Chem’s nett turnover, over a turnover period, exceeded the basic rental for the same period</w:t>
      </w:r>
      <w:r w:rsidR="000051BE" w:rsidRPr="00925A9D">
        <w:rPr>
          <w:sz w:val="22"/>
          <w:szCs w:val="22"/>
        </w:rPr>
        <w:t>’</w:t>
      </w:r>
      <w:r w:rsidR="001A3CA2" w:rsidRPr="00925A9D">
        <w:rPr>
          <w:sz w:val="22"/>
          <w:szCs w:val="22"/>
        </w:rPr>
        <w:t>.</w:t>
      </w:r>
    </w:p>
    <w:p w14:paraId="03F2AAEC" w14:textId="77777777" w:rsidR="000051BE" w:rsidRPr="00925A9D" w:rsidRDefault="000051BE" w:rsidP="00A42033">
      <w:pPr>
        <w:pStyle w:val="ListParagraph"/>
        <w:numPr>
          <w:ilvl w:val="0"/>
          <w:numId w:val="0"/>
        </w:numPr>
        <w:tabs>
          <w:tab w:val="clear" w:pos="1134"/>
          <w:tab w:val="left" w:pos="567"/>
        </w:tabs>
        <w:spacing w:after="0" w:line="360" w:lineRule="auto"/>
        <w:rPr>
          <w:sz w:val="24"/>
        </w:rPr>
      </w:pPr>
    </w:p>
    <w:p w14:paraId="1032CE7D" w14:textId="2DFCC93E" w:rsidR="00DC4F1D" w:rsidRPr="00C01158" w:rsidRDefault="00C01158" w:rsidP="00C01158">
      <w:pPr>
        <w:tabs>
          <w:tab w:val="left" w:pos="567"/>
        </w:tabs>
        <w:spacing w:line="360" w:lineRule="auto"/>
        <w:rPr>
          <w:sz w:val="24"/>
        </w:rPr>
      </w:pPr>
      <w:r w:rsidRPr="00925A9D">
        <w:rPr>
          <w:rFonts w:eastAsia="Calibri"/>
          <w:sz w:val="24"/>
          <w:lang w:val="en-ZA"/>
        </w:rPr>
        <w:t>[5]</w:t>
      </w:r>
      <w:r w:rsidRPr="00925A9D">
        <w:rPr>
          <w:rFonts w:eastAsia="Calibri"/>
          <w:sz w:val="24"/>
          <w:lang w:val="en-ZA"/>
        </w:rPr>
        <w:tab/>
      </w:r>
      <w:r w:rsidR="00D94232" w:rsidRPr="00C01158">
        <w:rPr>
          <w:sz w:val="24"/>
        </w:rPr>
        <w:t>Dis-Chem</w:t>
      </w:r>
      <w:r w:rsidR="00D21FE5" w:rsidRPr="00C01158">
        <w:rPr>
          <w:sz w:val="24"/>
        </w:rPr>
        <w:t xml:space="preserve"> alleged</w:t>
      </w:r>
      <w:r w:rsidR="003C38EE" w:rsidRPr="00C01158">
        <w:rPr>
          <w:sz w:val="24"/>
        </w:rPr>
        <w:t xml:space="preserve"> </w:t>
      </w:r>
      <w:r w:rsidR="00747D28" w:rsidRPr="00C01158">
        <w:rPr>
          <w:sz w:val="24"/>
        </w:rPr>
        <w:t>that</w:t>
      </w:r>
      <w:r w:rsidR="009639C2" w:rsidRPr="00C01158">
        <w:rPr>
          <w:sz w:val="24"/>
        </w:rPr>
        <w:t xml:space="preserve"> when it paid the invoices,</w:t>
      </w:r>
      <w:r w:rsidR="00747D28" w:rsidRPr="00C01158">
        <w:rPr>
          <w:sz w:val="24"/>
        </w:rPr>
        <w:t xml:space="preserve"> it made a </w:t>
      </w:r>
      <w:r w:rsidR="00747D28" w:rsidRPr="00C01158">
        <w:rPr>
          <w:i/>
          <w:sz w:val="24"/>
        </w:rPr>
        <w:t>bona fide</w:t>
      </w:r>
      <w:r w:rsidR="00747D28" w:rsidRPr="00C01158">
        <w:rPr>
          <w:sz w:val="24"/>
        </w:rPr>
        <w:t xml:space="preserve"> (but reasonable and mistaken) acceptance of the correctness of Dainfern’s invoices.</w:t>
      </w:r>
      <w:r w:rsidR="00DB6573" w:rsidRPr="00C01158">
        <w:rPr>
          <w:sz w:val="24"/>
        </w:rPr>
        <w:t xml:space="preserve"> </w:t>
      </w:r>
      <w:r w:rsidR="00D01814" w:rsidRPr="00C01158">
        <w:rPr>
          <w:sz w:val="24"/>
        </w:rPr>
        <w:t xml:space="preserve">No turnover rental was payable in circumstances where 1.75% of Dis-Chem’s turnover in any one of the relevant periods did not exceed the basic rental. Consequently, </w:t>
      </w:r>
      <w:r w:rsidR="00DB6573" w:rsidRPr="00C01158">
        <w:rPr>
          <w:sz w:val="24"/>
        </w:rPr>
        <w:t>the total amount invoiced in the three years, being R4</w:t>
      </w:r>
      <w:r w:rsidR="001A3CA2" w:rsidRPr="00C01158">
        <w:rPr>
          <w:sz w:val="24"/>
        </w:rPr>
        <w:t> </w:t>
      </w:r>
      <w:r w:rsidR="00DB6573" w:rsidRPr="00C01158">
        <w:rPr>
          <w:sz w:val="24"/>
        </w:rPr>
        <w:t>199</w:t>
      </w:r>
      <w:r w:rsidR="001A3CA2" w:rsidRPr="00C01158">
        <w:rPr>
          <w:sz w:val="24"/>
        </w:rPr>
        <w:t> </w:t>
      </w:r>
      <w:r w:rsidR="00DB6573" w:rsidRPr="00C01158">
        <w:rPr>
          <w:sz w:val="24"/>
        </w:rPr>
        <w:t>624.57 was an overpayment</w:t>
      </w:r>
      <w:r w:rsidR="00D01814" w:rsidRPr="00C01158">
        <w:rPr>
          <w:sz w:val="24"/>
        </w:rPr>
        <w:t>.</w:t>
      </w:r>
      <w:r w:rsidR="00DB6573" w:rsidRPr="00C01158">
        <w:rPr>
          <w:sz w:val="24"/>
        </w:rPr>
        <w:t xml:space="preserve"> Therefore, Dainfern has been enriched and Dis-Chem impoverished to the extent of the total amount, and despite demand, Dainfern </w:t>
      </w:r>
      <w:r w:rsidR="00D01814" w:rsidRPr="00C01158">
        <w:rPr>
          <w:sz w:val="24"/>
        </w:rPr>
        <w:t xml:space="preserve">has </w:t>
      </w:r>
      <w:r w:rsidR="00DB6573" w:rsidRPr="00C01158">
        <w:rPr>
          <w:sz w:val="24"/>
        </w:rPr>
        <w:t>refused to repay</w:t>
      </w:r>
      <w:r w:rsidR="00DC4F1D" w:rsidRPr="00C01158">
        <w:rPr>
          <w:sz w:val="24"/>
        </w:rPr>
        <w:t xml:space="preserve"> the</w:t>
      </w:r>
      <w:r w:rsidR="00640A55" w:rsidRPr="00C01158">
        <w:rPr>
          <w:sz w:val="24"/>
        </w:rPr>
        <w:t xml:space="preserve"> excess</w:t>
      </w:r>
      <w:r w:rsidR="00DC4F1D" w:rsidRPr="00C01158">
        <w:rPr>
          <w:sz w:val="24"/>
        </w:rPr>
        <w:t xml:space="preserve"> amount.</w:t>
      </w:r>
      <w:r w:rsidR="00C41DE9" w:rsidRPr="00C01158">
        <w:rPr>
          <w:sz w:val="24"/>
        </w:rPr>
        <w:t xml:space="preserve"> Dis-Chem specifically made an allegation in </w:t>
      </w:r>
      <w:r w:rsidR="00BA682B" w:rsidRPr="00C01158">
        <w:rPr>
          <w:sz w:val="24"/>
        </w:rPr>
        <w:t>its</w:t>
      </w:r>
      <w:r w:rsidR="00C41DE9" w:rsidRPr="00C01158">
        <w:rPr>
          <w:sz w:val="24"/>
        </w:rPr>
        <w:t xml:space="preserve"> claim that Dainfern was unjustifiably enriched.</w:t>
      </w:r>
    </w:p>
    <w:p w14:paraId="6C93CE28" w14:textId="463EA359" w:rsidR="00EC1A5C" w:rsidRPr="00925A9D" w:rsidRDefault="00EC1A5C" w:rsidP="00EC1A5C">
      <w:pPr>
        <w:spacing w:line="360" w:lineRule="auto"/>
        <w:jc w:val="both"/>
        <w:rPr>
          <w:sz w:val="22"/>
          <w:szCs w:val="22"/>
          <w:shd w:val="clear" w:color="auto" w:fill="FFFFFF"/>
          <w:lang w:val="en-ZA" w:eastAsia="en-ZA"/>
        </w:rPr>
      </w:pPr>
    </w:p>
    <w:p w14:paraId="5452B57D" w14:textId="053EF9EC" w:rsidR="00055977" w:rsidRPr="00C01158" w:rsidRDefault="00C01158" w:rsidP="00C01158">
      <w:pPr>
        <w:tabs>
          <w:tab w:val="left" w:pos="567"/>
        </w:tabs>
        <w:spacing w:line="360" w:lineRule="auto"/>
        <w:rPr>
          <w:sz w:val="24"/>
          <w:shd w:val="clear" w:color="auto" w:fill="FFFFFF"/>
          <w:lang w:eastAsia="en-ZA"/>
        </w:rPr>
      </w:pPr>
      <w:r w:rsidRPr="00925A9D">
        <w:rPr>
          <w:rFonts w:eastAsia="Calibri"/>
          <w:sz w:val="24"/>
          <w:lang w:val="en-ZA" w:eastAsia="en-ZA"/>
        </w:rPr>
        <w:t>[6]</w:t>
      </w:r>
      <w:r w:rsidRPr="00925A9D">
        <w:rPr>
          <w:rFonts w:eastAsia="Calibri"/>
          <w:sz w:val="24"/>
          <w:lang w:val="en-ZA" w:eastAsia="en-ZA"/>
        </w:rPr>
        <w:tab/>
      </w:r>
      <w:r w:rsidR="00055977" w:rsidRPr="00C01158">
        <w:rPr>
          <w:sz w:val="24"/>
        </w:rPr>
        <w:t>It is apposite to mention that at the time Dis-Chem lodged the claim, Dainfern had sold the prop</w:t>
      </w:r>
      <w:r w:rsidR="00B354A1" w:rsidRPr="00C01158">
        <w:rPr>
          <w:sz w:val="24"/>
        </w:rPr>
        <w:t xml:space="preserve">erty to </w:t>
      </w:r>
      <w:r w:rsidR="00A56C49" w:rsidRPr="00C01158">
        <w:rPr>
          <w:sz w:val="24"/>
        </w:rPr>
        <w:t>the third</w:t>
      </w:r>
      <w:r w:rsidR="00B354A1" w:rsidRPr="00C01158">
        <w:rPr>
          <w:sz w:val="24"/>
        </w:rPr>
        <w:t xml:space="preserve"> respondent, Noble Spectatus Funds (Pty) Ltd (Noble Spectatus Fund)</w:t>
      </w:r>
      <w:r w:rsidR="00055977" w:rsidRPr="00C01158">
        <w:rPr>
          <w:sz w:val="24"/>
        </w:rPr>
        <w:t>. Dis-Chem included an alternative claim against Noble Spectatus</w:t>
      </w:r>
      <w:r w:rsidR="00B354A1" w:rsidRPr="00C01158">
        <w:rPr>
          <w:sz w:val="24"/>
        </w:rPr>
        <w:t xml:space="preserve"> Fund</w:t>
      </w:r>
      <w:r w:rsidR="00055977" w:rsidRPr="00C01158">
        <w:rPr>
          <w:sz w:val="24"/>
        </w:rPr>
        <w:t xml:space="preserve"> as successors in title.</w:t>
      </w:r>
      <w:r w:rsidR="00B354A1" w:rsidRPr="00C01158">
        <w:rPr>
          <w:sz w:val="24"/>
          <w:shd w:val="clear" w:color="auto" w:fill="FFFFFF"/>
          <w:lang w:eastAsia="en-ZA"/>
        </w:rPr>
        <w:t xml:space="preserve"> </w:t>
      </w:r>
      <w:r w:rsidR="001F421F" w:rsidRPr="00C01158">
        <w:rPr>
          <w:sz w:val="24"/>
          <w:shd w:val="clear" w:color="auto" w:fill="FFFFFF"/>
          <w:lang w:eastAsia="en-ZA"/>
        </w:rPr>
        <w:t>Consequently,</w:t>
      </w:r>
      <w:r w:rsidR="00640A55" w:rsidRPr="00C01158">
        <w:rPr>
          <w:sz w:val="24"/>
          <w:shd w:val="clear" w:color="auto" w:fill="FFFFFF"/>
          <w:lang w:eastAsia="en-ZA"/>
        </w:rPr>
        <w:t xml:space="preserve"> </w:t>
      </w:r>
      <w:r w:rsidR="00F92A74" w:rsidRPr="00C01158">
        <w:rPr>
          <w:sz w:val="24"/>
          <w:shd w:val="clear" w:color="auto" w:fill="FFFFFF"/>
          <w:lang w:eastAsia="en-ZA"/>
        </w:rPr>
        <w:t>Noble Spectatus</w:t>
      </w:r>
      <w:r w:rsidR="00B354A1" w:rsidRPr="00C01158">
        <w:rPr>
          <w:sz w:val="24"/>
          <w:shd w:val="clear" w:color="auto" w:fill="FFFFFF"/>
          <w:lang w:eastAsia="en-ZA"/>
        </w:rPr>
        <w:t xml:space="preserve"> Fund</w:t>
      </w:r>
      <w:r w:rsidR="00640A55" w:rsidRPr="00C01158">
        <w:rPr>
          <w:sz w:val="24"/>
          <w:shd w:val="clear" w:color="auto" w:fill="FFFFFF"/>
          <w:lang w:eastAsia="en-ZA"/>
        </w:rPr>
        <w:t>, as well as the arbitrator, cited as the third and the second respondents respectively,</w:t>
      </w:r>
      <w:r w:rsidR="00F92A74" w:rsidRPr="00C01158">
        <w:rPr>
          <w:sz w:val="24"/>
          <w:shd w:val="clear" w:color="auto" w:fill="FFFFFF"/>
          <w:lang w:eastAsia="en-ZA"/>
        </w:rPr>
        <w:t xml:space="preserve"> did not participate in this appeal</w:t>
      </w:r>
      <w:r w:rsidR="00055977" w:rsidRPr="00C01158">
        <w:rPr>
          <w:sz w:val="24"/>
          <w:shd w:val="clear" w:color="auto" w:fill="FFFFFF"/>
          <w:lang w:eastAsia="en-ZA"/>
        </w:rPr>
        <w:t>.</w:t>
      </w:r>
      <w:r w:rsidR="00640A55" w:rsidRPr="00C01158">
        <w:rPr>
          <w:sz w:val="24"/>
          <w:shd w:val="clear" w:color="auto" w:fill="FFFFFF"/>
          <w:lang w:eastAsia="en-ZA"/>
        </w:rPr>
        <w:t xml:space="preserve"> The dispute in this appeal</w:t>
      </w:r>
      <w:r w:rsidR="00244D9C" w:rsidRPr="00C01158">
        <w:rPr>
          <w:sz w:val="24"/>
          <w:shd w:val="clear" w:color="auto" w:fill="FFFFFF"/>
          <w:lang w:eastAsia="en-ZA"/>
        </w:rPr>
        <w:t xml:space="preserve"> is thus</w:t>
      </w:r>
      <w:r w:rsidR="00640A55" w:rsidRPr="00C01158">
        <w:rPr>
          <w:sz w:val="24"/>
          <w:shd w:val="clear" w:color="auto" w:fill="FFFFFF"/>
          <w:lang w:eastAsia="en-ZA"/>
        </w:rPr>
        <w:t xml:space="preserve"> </w:t>
      </w:r>
      <w:r w:rsidR="00F74AC4" w:rsidRPr="00C01158">
        <w:rPr>
          <w:sz w:val="24"/>
          <w:shd w:val="clear" w:color="auto" w:fill="FFFFFF"/>
          <w:lang w:eastAsia="en-ZA"/>
        </w:rPr>
        <w:t>primari</w:t>
      </w:r>
      <w:r w:rsidR="00640A55" w:rsidRPr="00C01158">
        <w:rPr>
          <w:sz w:val="24"/>
          <w:shd w:val="clear" w:color="auto" w:fill="FFFFFF"/>
          <w:lang w:eastAsia="en-ZA"/>
        </w:rPr>
        <w:t xml:space="preserve">ly </w:t>
      </w:r>
      <w:r w:rsidR="00663A16" w:rsidRPr="00C01158">
        <w:rPr>
          <w:sz w:val="24"/>
          <w:shd w:val="clear" w:color="auto" w:fill="FFFFFF"/>
          <w:lang w:eastAsia="en-ZA"/>
        </w:rPr>
        <w:t>between Dis</w:t>
      </w:r>
      <w:r w:rsidR="00640A55" w:rsidRPr="00C01158">
        <w:rPr>
          <w:sz w:val="24"/>
          <w:shd w:val="clear" w:color="auto" w:fill="FFFFFF"/>
          <w:lang w:eastAsia="en-ZA"/>
        </w:rPr>
        <w:t>-Chem and Dainfern.</w:t>
      </w:r>
    </w:p>
    <w:p w14:paraId="04095FB2" w14:textId="77777777" w:rsidR="00055977" w:rsidRPr="00925A9D" w:rsidRDefault="00055977" w:rsidP="00055977">
      <w:pPr>
        <w:pStyle w:val="ListParagraph"/>
        <w:numPr>
          <w:ilvl w:val="0"/>
          <w:numId w:val="0"/>
        </w:numPr>
        <w:tabs>
          <w:tab w:val="clear" w:pos="1134"/>
          <w:tab w:val="left" w:pos="567"/>
        </w:tabs>
        <w:spacing w:after="0" w:line="360" w:lineRule="auto"/>
        <w:rPr>
          <w:sz w:val="24"/>
          <w:shd w:val="clear" w:color="auto" w:fill="FFFFFF"/>
          <w:lang w:eastAsia="en-ZA"/>
        </w:rPr>
      </w:pPr>
    </w:p>
    <w:p w14:paraId="4D4A8D49" w14:textId="49D18CF9" w:rsidR="00F74AC4" w:rsidRPr="00C01158" w:rsidRDefault="00C01158" w:rsidP="00C01158">
      <w:pPr>
        <w:tabs>
          <w:tab w:val="left" w:pos="567"/>
        </w:tabs>
        <w:spacing w:line="360" w:lineRule="auto"/>
        <w:rPr>
          <w:sz w:val="22"/>
          <w:szCs w:val="22"/>
        </w:rPr>
      </w:pPr>
      <w:r w:rsidRPr="00925A9D">
        <w:rPr>
          <w:rFonts w:eastAsia="Calibri"/>
          <w:sz w:val="24"/>
          <w:lang w:val="en-ZA"/>
        </w:rPr>
        <w:t>[7]</w:t>
      </w:r>
      <w:r w:rsidRPr="00925A9D">
        <w:rPr>
          <w:rFonts w:eastAsia="Calibri"/>
          <w:sz w:val="24"/>
          <w:lang w:val="en-ZA"/>
        </w:rPr>
        <w:tab/>
      </w:r>
      <w:r w:rsidR="00D21FE5" w:rsidRPr="00C01158">
        <w:rPr>
          <w:sz w:val="24"/>
        </w:rPr>
        <w:t xml:space="preserve">Dainfern entered </w:t>
      </w:r>
      <w:r w:rsidR="00244D9C" w:rsidRPr="00C01158">
        <w:rPr>
          <w:sz w:val="24"/>
        </w:rPr>
        <w:t xml:space="preserve">two special pleas to the </w:t>
      </w:r>
      <w:r w:rsidR="00E33669" w:rsidRPr="00C01158">
        <w:rPr>
          <w:sz w:val="24"/>
        </w:rPr>
        <w:t>claim</w:t>
      </w:r>
      <w:r w:rsidR="00426E14" w:rsidRPr="00C01158">
        <w:rPr>
          <w:sz w:val="24"/>
        </w:rPr>
        <w:t>:</w:t>
      </w:r>
      <w:r w:rsidR="00387F51" w:rsidRPr="00C01158">
        <w:rPr>
          <w:sz w:val="24"/>
        </w:rPr>
        <w:t xml:space="preserve"> </w:t>
      </w:r>
      <w:r w:rsidR="00CC1E07" w:rsidRPr="00C01158">
        <w:rPr>
          <w:sz w:val="24"/>
        </w:rPr>
        <w:t>one on jurisdiction and the other on prescription.</w:t>
      </w:r>
      <w:r w:rsidR="00244D9C" w:rsidRPr="00C01158">
        <w:rPr>
          <w:sz w:val="24"/>
        </w:rPr>
        <w:t xml:space="preserve"> It, however, did not plead over.</w:t>
      </w:r>
      <w:r w:rsidR="00387F51" w:rsidRPr="00C01158">
        <w:rPr>
          <w:sz w:val="24"/>
        </w:rPr>
        <w:t xml:space="preserve"> </w:t>
      </w:r>
      <w:r w:rsidR="00244D9C" w:rsidRPr="00C01158">
        <w:rPr>
          <w:sz w:val="24"/>
        </w:rPr>
        <w:t>In relation to the special plea of jurisdiction,</w:t>
      </w:r>
      <w:r w:rsidR="00CC1E07" w:rsidRPr="00C01158">
        <w:rPr>
          <w:sz w:val="24"/>
        </w:rPr>
        <w:t xml:space="preserve"> Dainfern contended</w:t>
      </w:r>
      <w:r w:rsidR="002267C3" w:rsidRPr="00C01158">
        <w:rPr>
          <w:sz w:val="24"/>
        </w:rPr>
        <w:t xml:space="preserve"> that since Dis-Chem had sought an award for </w:t>
      </w:r>
      <w:r w:rsidR="002267C3" w:rsidRPr="00C01158">
        <w:rPr>
          <w:sz w:val="24"/>
        </w:rPr>
        <w:lastRenderedPageBreak/>
        <w:t xml:space="preserve">payment on the basis of a </w:t>
      </w:r>
      <w:r w:rsidR="002267C3" w:rsidRPr="00C01158">
        <w:rPr>
          <w:i/>
          <w:sz w:val="24"/>
        </w:rPr>
        <w:t>condictio</w:t>
      </w:r>
      <w:r w:rsidR="002267C3" w:rsidRPr="00C01158">
        <w:rPr>
          <w:sz w:val="24"/>
        </w:rPr>
        <w:t>: (a) the claim is one in</w:t>
      </w:r>
      <w:r w:rsidR="00B354A1" w:rsidRPr="00C01158">
        <w:rPr>
          <w:sz w:val="24"/>
        </w:rPr>
        <w:t xml:space="preserve"> unjustified enrichment</w:t>
      </w:r>
      <w:r w:rsidR="002267C3" w:rsidRPr="00C01158">
        <w:rPr>
          <w:sz w:val="24"/>
        </w:rPr>
        <w:t>, and not</w:t>
      </w:r>
      <w:r w:rsidR="00E65209" w:rsidRPr="00C01158">
        <w:rPr>
          <w:sz w:val="24"/>
        </w:rPr>
        <w:t xml:space="preserve"> grounded</w:t>
      </w:r>
      <w:r w:rsidR="002267C3" w:rsidRPr="00C01158">
        <w:rPr>
          <w:sz w:val="24"/>
        </w:rPr>
        <w:t xml:space="preserve"> in contract; and (b) the dispute does not pertain to the interpretation of any provision of the agreement of lease or the implementation thereof.</w:t>
      </w:r>
      <w:r w:rsidR="00387F51" w:rsidRPr="00C01158">
        <w:rPr>
          <w:sz w:val="24"/>
        </w:rPr>
        <w:t xml:space="preserve"> </w:t>
      </w:r>
      <w:r w:rsidR="00244D9C" w:rsidRPr="00C01158">
        <w:rPr>
          <w:sz w:val="24"/>
        </w:rPr>
        <w:t xml:space="preserve">Dainfern accordingly </w:t>
      </w:r>
      <w:r w:rsidR="00E72358" w:rsidRPr="00C01158">
        <w:rPr>
          <w:sz w:val="24"/>
        </w:rPr>
        <w:t xml:space="preserve">pleaded </w:t>
      </w:r>
      <w:r w:rsidR="00CC5525" w:rsidRPr="00C01158">
        <w:rPr>
          <w:sz w:val="24"/>
        </w:rPr>
        <w:t xml:space="preserve">that </w:t>
      </w:r>
      <w:r w:rsidR="00640A55" w:rsidRPr="00C01158">
        <w:rPr>
          <w:sz w:val="24"/>
        </w:rPr>
        <w:t>the dispute fell beyond the ambit of the parties’ terms of the arbitration agreement and consequently the arbitrator had no requisite jurisdiction to determine the dispute</w:t>
      </w:r>
      <w:r w:rsidR="00426E14" w:rsidRPr="00C01158">
        <w:rPr>
          <w:sz w:val="24"/>
        </w:rPr>
        <w:t xml:space="preserve"> </w:t>
      </w:r>
      <w:r w:rsidR="00244D9C" w:rsidRPr="00C01158">
        <w:rPr>
          <w:sz w:val="24"/>
        </w:rPr>
        <w:t>in relation to the plea of prescription.</w:t>
      </w:r>
    </w:p>
    <w:p w14:paraId="2489B3D1" w14:textId="77777777" w:rsidR="00E72358" w:rsidRPr="00925A9D" w:rsidRDefault="00E72358" w:rsidP="00E72358">
      <w:pPr>
        <w:pStyle w:val="ListParagraph"/>
        <w:numPr>
          <w:ilvl w:val="0"/>
          <w:numId w:val="0"/>
        </w:numPr>
        <w:tabs>
          <w:tab w:val="clear" w:pos="1134"/>
          <w:tab w:val="left" w:pos="567"/>
        </w:tabs>
        <w:spacing w:after="0" w:line="360" w:lineRule="auto"/>
        <w:rPr>
          <w:sz w:val="22"/>
          <w:szCs w:val="22"/>
        </w:rPr>
      </w:pPr>
    </w:p>
    <w:p w14:paraId="79CAA25D" w14:textId="6B76FE24" w:rsidR="00CC1E07" w:rsidRPr="00C01158" w:rsidRDefault="00C01158" w:rsidP="00C01158">
      <w:pPr>
        <w:tabs>
          <w:tab w:val="left" w:pos="567"/>
        </w:tabs>
        <w:spacing w:line="360" w:lineRule="auto"/>
        <w:rPr>
          <w:sz w:val="24"/>
        </w:rPr>
      </w:pPr>
      <w:r w:rsidRPr="00925A9D">
        <w:rPr>
          <w:rFonts w:eastAsia="Calibri"/>
          <w:sz w:val="24"/>
          <w:lang w:val="en-ZA"/>
        </w:rPr>
        <w:t>[8]</w:t>
      </w:r>
      <w:r w:rsidRPr="00925A9D">
        <w:rPr>
          <w:rFonts w:eastAsia="Calibri"/>
          <w:sz w:val="24"/>
          <w:lang w:val="en-ZA"/>
        </w:rPr>
        <w:tab/>
      </w:r>
      <w:r w:rsidR="00E72358" w:rsidRPr="00C01158">
        <w:rPr>
          <w:sz w:val="24"/>
        </w:rPr>
        <w:t>Dainfern pleaded</w:t>
      </w:r>
      <w:r w:rsidR="00D22AB6" w:rsidRPr="00C01158">
        <w:rPr>
          <w:sz w:val="24"/>
        </w:rPr>
        <w:t xml:space="preserve"> in the alternative (and only in the event that the first special plea is not upheld)</w:t>
      </w:r>
      <w:r w:rsidR="00E72358" w:rsidRPr="00C01158">
        <w:rPr>
          <w:sz w:val="24"/>
        </w:rPr>
        <w:t>,</w:t>
      </w:r>
      <w:r w:rsidR="00CC1E07" w:rsidRPr="00C01158">
        <w:rPr>
          <w:sz w:val="24"/>
        </w:rPr>
        <w:t xml:space="preserve"> that in paragraph 12.1 of the</w:t>
      </w:r>
      <w:r w:rsidR="002711CE" w:rsidRPr="00C01158">
        <w:rPr>
          <w:sz w:val="24"/>
        </w:rPr>
        <w:t xml:space="preserve"> </w:t>
      </w:r>
      <w:r w:rsidR="00D40719" w:rsidRPr="00C01158">
        <w:rPr>
          <w:sz w:val="24"/>
        </w:rPr>
        <w:t>s</w:t>
      </w:r>
      <w:r w:rsidR="002711CE" w:rsidRPr="00C01158">
        <w:rPr>
          <w:sz w:val="24"/>
        </w:rPr>
        <w:t xml:space="preserve">tatement of </w:t>
      </w:r>
      <w:r w:rsidR="00D40719" w:rsidRPr="00C01158">
        <w:rPr>
          <w:sz w:val="24"/>
        </w:rPr>
        <w:t>c</w:t>
      </w:r>
      <w:r w:rsidR="002711CE" w:rsidRPr="00C01158">
        <w:rPr>
          <w:sz w:val="24"/>
        </w:rPr>
        <w:t>laim, Dis</w:t>
      </w:r>
      <w:r w:rsidR="00F50FF5" w:rsidRPr="00C01158">
        <w:rPr>
          <w:sz w:val="24"/>
        </w:rPr>
        <w:t>-Chem claim</w:t>
      </w:r>
      <w:r w:rsidR="005F5E13" w:rsidRPr="00C01158">
        <w:rPr>
          <w:sz w:val="24"/>
        </w:rPr>
        <w:t>ed</w:t>
      </w:r>
      <w:r w:rsidR="00F50FF5" w:rsidRPr="00C01158">
        <w:rPr>
          <w:sz w:val="24"/>
        </w:rPr>
        <w:t xml:space="preserve"> that on or about 1 June 2016, it paid to D</w:t>
      </w:r>
      <w:r w:rsidR="002711CE" w:rsidRPr="00C01158">
        <w:rPr>
          <w:sz w:val="24"/>
        </w:rPr>
        <w:t xml:space="preserve">ainfern an amount of </w:t>
      </w:r>
      <w:r w:rsidR="00F50FF5" w:rsidRPr="00C01158">
        <w:rPr>
          <w:sz w:val="24"/>
        </w:rPr>
        <w:t>R646</w:t>
      </w:r>
      <w:r w:rsidR="002711CE" w:rsidRPr="00C01158">
        <w:rPr>
          <w:sz w:val="24"/>
        </w:rPr>
        <w:t xml:space="preserve"> 258.26</w:t>
      </w:r>
      <w:r w:rsidR="00F50FF5" w:rsidRPr="00C01158">
        <w:rPr>
          <w:sz w:val="24"/>
        </w:rPr>
        <w:t xml:space="preserve"> from the invoice received in May 2016.</w:t>
      </w:r>
      <w:r w:rsidR="002711CE" w:rsidRPr="00C01158">
        <w:rPr>
          <w:sz w:val="24"/>
        </w:rPr>
        <w:t xml:space="preserve"> Dainfern</w:t>
      </w:r>
      <w:r w:rsidR="00F017EE" w:rsidRPr="00C01158">
        <w:rPr>
          <w:sz w:val="24"/>
        </w:rPr>
        <w:t xml:space="preserve"> also</w:t>
      </w:r>
      <w:r w:rsidR="002711CE" w:rsidRPr="00C01158">
        <w:rPr>
          <w:sz w:val="24"/>
        </w:rPr>
        <w:t xml:space="preserve"> plead</w:t>
      </w:r>
      <w:r w:rsidR="005F5E13" w:rsidRPr="00C01158">
        <w:rPr>
          <w:sz w:val="24"/>
        </w:rPr>
        <w:t>ed</w:t>
      </w:r>
      <w:r w:rsidR="002711CE" w:rsidRPr="00C01158">
        <w:rPr>
          <w:sz w:val="24"/>
        </w:rPr>
        <w:t xml:space="preserve"> </w:t>
      </w:r>
      <w:r w:rsidR="00A56C49" w:rsidRPr="00C01158">
        <w:rPr>
          <w:sz w:val="24"/>
        </w:rPr>
        <w:t>that Dis</w:t>
      </w:r>
      <w:r w:rsidR="002711CE" w:rsidRPr="00C01158">
        <w:rPr>
          <w:sz w:val="24"/>
        </w:rPr>
        <w:t xml:space="preserve">-Chem ‘had knowledge of the identity of the debtor, </w:t>
      </w:r>
      <w:r w:rsidR="00A10DD5" w:rsidRPr="00C01158">
        <w:rPr>
          <w:sz w:val="24"/>
        </w:rPr>
        <w:t>[</w:t>
      </w:r>
      <w:r w:rsidR="002711CE" w:rsidRPr="00C01158">
        <w:rPr>
          <w:sz w:val="24"/>
        </w:rPr>
        <w:t>Dainfern</w:t>
      </w:r>
      <w:r w:rsidR="00A10DD5" w:rsidRPr="00C01158">
        <w:rPr>
          <w:sz w:val="24"/>
        </w:rPr>
        <w:t>]</w:t>
      </w:r>
      <w:r w:rsidR="002711CE" w:rsidRPr="00C01158">
        <w:rPr>
          <w:sz w:val="24"/>
        </w:rPr>
        <w:t>, and the fact</w:t>
      </w:r>
      <w:r w:rsidR="00F017EE" w:rsidRPr="00C01158">
        <w:rPr>
          <w:sz w:val="24"/>
        </w:rPr>
        <w:t>s</w:t>
      </w:r>
      <w:r w:rsidR="002711CE" w:rsidRPr="00C01158">
        <w:rPr>
          <w:sz w:val="24"/>
        </w:rPr>
        <w:t xml:space="preserve"> from which the debt in the amount of R646 258.26 allegedly</w:t>
      </w:r>
      <w:r w:rsidR="00F017EE" w:rsidRPr="00C01158">
        <w:rPr>
          <w:sz w:val="24"/>
        </w:rPr>
        <w:t xml:space="preserve"> arose</w:t>
      </w:r>
      <w:r w:rsidR="002711CE" w:rsidRPr="00C01158">
        <w:rPr>
          <w:sz w:val="24"/>
        </w:rPr>
        <w:t>,</w:t>
      </w:r>
      <w:r w:rsidR="00F017EE" w:rsidRPr="00C01158">
        <w:rPr>
          <w:sz w:val="24"/>
        </w:rPr>
        <w:t xml:space="preserve"> [which] is</w:t>
      </w:r>
      <w:r w:rsidR="002711CE" w:rsidRPr="00C01158">
        <w:rPr>
          <w:sz w:val="24"/>
        </w:rPr>
        <w:t xml:space="preserve"> more than three years prior to the referral of the dispute to arbitration, </w:t>
      </w:r>
      <w:r w:rsidR="002711CE" w:rsidRPr="00C01158">
        <w:rPr>
          <w:i/>
          <w:sz w:val="24"/>
        </w:rPr>
        <w:t>alternatively</w:t>
      </w:r>
      <w:r w:rsidR="009D37EC" w:rsidRPr="00C01158">
        <w:rPr>
          <w:i/>
          <w:sz w:val="24"/>
        </w:rPr>
        <w:t xml:space="preserve"> </w:t>
      </w:r>
      <w:r w:rsidR="00F017EE" w:rsidRPr="00C01158">
        <w:rPr>
          <w:iCs/>
          <w:sz w:val="24"/>
        </w:rPr>
        <w:t>Dis-Chem</w:t>
      </w:r>
      <w:r w:rsidR="002711CE" w:rsidRPr="00C01158">
        <w:rPr>
          <w:sz w:val="24"/>
        </w:rPr>
        <w:t xml:space="preserve"> could have acquired such knowledge by exercising reasonable care.</w:t>
      </w:r>
      <w:r w:rsidR="00F017EE" w:rsidRPr="00C01158">
        <w:rPr>
          <w:sz w:val="24"/>
        </w:rPr>
        <w:t xml:space="preserve"> Dis-</w:t>
      </w:r>
      <w:r w:rsidR="00712B42" w:rsidRPr="00C01158">
        <w:rPr>
          <w:sz w:val="24"/>
        </w:rPr>
        <w:t>Chem’s claim</w:t>
      </w:r>
      <w:r w:rsidR="002711CE" w:rsidRPr="00C01158">
        <w:rPr>
          <w:sz w:val="24"/>
        </w:rPr>
        <w:t xml:space="preserve"> has accordingly prescribed to the extent of R646 258.26</w:t>
      </w:r>
      <w:r w:rsidR="00A10DD5" w:rsidRPr="00C01158">
        <w:rPr>
          <w:sz w:val="24"/>
        </w:rPr>
        <w:t>’</w:t>
      </w:r>
      <w:r w:rsidR="002711CE" w:rsidRPr="00C01158">
        <w:rPr>
          <w:sz w:val="24"/>
        </w:rPr>
        <w:t>.</w:t>
      </w:r>
      <w:r w:rsidR="00923911" w:rsidRPr="00C01158">
        <w:rPr>
          <w:sz w:val="24"/>
        </w:rPr>
        <w:t xml:space="preserve"> Significantly, Dainfern did not plead-</w:t>
      </w:r>
      <w:r w:rsidR="00E60A10" w:rsidRPr="00C01158">
        <w:rPr>
          <w:sz w:val="24"/>
        </w:rPr>
        <w:t>over in</w:t>
      </w:r>
      <w:r w:rsidR="00F017EE" w:rsidRPr="00C01158">
        <w:rPr>
          <w:sz w:val="24"/>
        </w:rPr>
        <w:t xml:space="preserve"> respect of</w:t>
      </w:r>
      <w:r w:rsidR="00923911" w:rsidRPr="00C01158">
        <w:rPr>
          <w:sz w:val="24"/>
        </w:rPr>
        <w:t xml:space="preserve"> the allegation that it applied a</w:t>
      </w:r>
      <w:r w:rsidR="00A10DD5" w:rsidRPr="00C01158">
        <w:rPr>
          <w:sz w:val="24"/>
        </w:rPr>
        <w:t>n</w:t>
      </w:r>
      <w:r w:rsidR="00923911" w:rsidRPr="00C01158">
        <w:rPr>
          <w:sz w:val="24"/>
        </w:rPr>
        <w:t xml:space="preserve"> </w:t>
      </w:r>
      <w:r w:rsidR="00A10DD5" w:rsidRPr="00C01158">
        <w:rPr>
          <w:sz w:val="24"/>
        </w:rPr>
        <w:t>incorrect</w:t>
      </w:r>
      <w:r w:rsidR="00923911" w:rsidRPr="00C01158">
        <w:rPr>
          <w:sz w:val="24"/>
        </w:rPr>
        <w:t xml:space="preserve"> interpretation in generating the invoices in the course of implementing the formula in annexure </w:t>
      </w:r>
      <w:r w:rsidR="00A10DD5" w:rsidRPr="00C01158">
        <w:rPr>
          <w:sz w:val="24"/>
        </w:rPr>
        <w:t>‘</w:t>
      </w:r>
      <w:r w:rsidR="00923911" w:rsidRPr="00C01158">
        <w:rPr>
          <w:sz w:val="24"/>
        </w:rPr>
        <w:t>F</w:t>
      </w:r>
      <w:r w:rsidR="00A10DD5" w:rsidRPr="00C01158">
        <w:rPr>
          <w:sz w:val="24"/>
        </w:rPr>
        <w:t>’</w:t>
      </w:r>
      <w:r w:rsidR="00923911" w:rsidRPr="00C01158">
        <w:rPr>
          <w:sz w:val="24"/>
        </w:rPr>
        <w:t>, for collection of turn</w:t>
      </w:r>
      <w:r w:rsidR="00C2032C" w:rsidRPr="00C01158">
        <w:rPr>
          <w:sz w:val="24"/>
        </w:rPr>
        <w:t xml:space="preserve">over rental. </w:t>
      </w:r>
    </w:p>
    <w:p w14:paraId="3EE68F03" w14:textId="77777777" w:rsidR="00461C31" w:rsidRPr="00925A9D" w:rsidRDefault="00461C31" w:rsidP="001C377F">
      <w:pPr>
        <w:pStyle w:val="ListParagraph"/>
        <w:numPr>
          <w:ilvl w:val="0"/>
          <w:numId w:val="0"/>
        </w:numPr>
        <w:tabs>
          <w:tab w:val="clear" w:pos="1134"/>
          <w:tab w:val="left" w:pos="567"/>
        </w:tabs>
        <w:spacing w:after="0" w:line="360" w:lineRule="auto"/>
        <w:rPr>
          <w:sz w:val="22"/>
          <w:szCs w:val="22"/>
        </w:rPr>
      </w:pPr>
    </w:p>
    <w:p w14:paraId="27320381" w14:textId="39B6BFD6" w:rsidR="003C38EE" w:rsidRPr="00C01158" w:rsidRDefault="00C01158" w:rsidP="00C01158">
      <w:pPr>
        <w:tabs>
          <w:tab w:val="left" w:pos="567"/>
        </w:tabs>
        <w:spacing w:line="360" w:lineRule="auto"/>
        <w:rPr>
          <w:sz w:val="22"/>
          <w:szCs w:val="22"/>
        </w:rPr>
      </w:pPr>
      <w:r w:rsidRPr="00925A9D">
        <w:rPr>
          <w:rFonts w:eastAsia="Calibri"/>
          <w:sz w:val="24"/>
          <w:lang w:val="en-ZA"/>
        </w:rPr>
        <w:t>[9]</w:t>
      </w:r>
      <w:r w:rsidRPr="00925A9D">
        <w:rPr>
          <w:rFonts w:eastAsia="Calibri"/>
          <w:sz w:val="24"/>
          <w:lang w:val="en-ZA"/>
        </w:rPr>
        <w:tab/>
      </w:r>
      <w:r w:rsidR="003A54A8" w:rsidRPr="00C01158">
        <w:rPr>
          <w:sz w:val="24"/>
        </w:rPr>
        <w:t>Dis-Chem</w:t>
      </w:r>
      <w:r w:rsidR="00461C31" w:rsidRPr="00C01158">
        <w:rPr>
          <w:sz w:val="24"/>
        </w:rPr>
        <w:t xml:space="preserve"> submit</w:t>
      </w:r>
      <w:r w:rsidR="003A54A8" w:rsidRPr="00C01158">
        <w:rPr>
          <w:sz w:val="24"/>
        </w:rPr>
        <w:t>ted</w:t>
      </w:r>
      <w:r w:rsidR="00461C31" w:rsidRPr="00C01158">
        <w:rPr>
          <w:sz w:val="24"/>
        </w:rPr>
        <w:t xml:space="preserve"> the matter to the arbitrator who</w:t>
      </w:r>
      <w:r w:rsidR="003C38EE" w:rsidRPr="00C01158">
        <w:rPr>
          <w:sz w:val="24"/>
        </w:rPr>
        <w:t xml:space="preserve"> ruled that </w:t>
      </w:r>
      <w:r w:rsidR="00461C31" w:rsidRPr="00C01158">
        <w:rPr>
          <w:sz w:val="24"/>
        </w:rPr>
        <w:t>the</w:t>
      </w:r>
      <w:r w:rsidR="00BB61E1" w:rsidRPr="00C01158">
        <w:rPr>
          <w:sz w:val="24"/>
        </w:rPr>
        <w:t xml:space="preserve"> central</w:t>
      </w:r>
      <w:r w:rsidR="00461C31" w:rsidRPr="00C01158">
        <w:rPr>
          <w:sz w:val="24"/>
        </w:rPr>
        <w:t xml:space="preserve"> dispute wa</w:t>
      </w:r>
      <w:r w:rsidR="003716CF" w:rsidRPr="00C01158">
        <w:rPr>
          <w:sz w:val="24"/>
        </w:rPr>
        <w:t>s one of interpretation of annexure</w:t>
      </w:r>
      <w:r w:rsidR="00BB61E1" w:rsidRPr="00C01158">
        <w:rPr>
          <w:sz w:val="24"/>
        </w:rPr>
        <w:t xml:space="preserve"> </w:t>
      </w:r>
      <w:r w:rsidR="00A6736F" w:rsidRPr="00C01158">
        <w:rPr>
          <w:sz w:val="24"/>
        </w:rPr>
        <w:t>‘</w:t>
      </w:r>
      <w:r w:rsidR="00BB61E1" w:rsidRPr="00C01158">
        <w:rPr>
          <w:sz w:val="24"/>
        </w:rPr>
        <w:t>F</w:t>
      </w:r>
      <w:r w:rsidR="00A6736F" w:rsidRPr="00C01158">
        <w:rPr>
          <w:sz w:val="24"/>
        </w:rPr>
        <w:t>’</w:t>
      </w:r>
      <w:r w:rsidR="003716CF" w:rsidRPr="00C01158">
        <w:rPr>
          <w:sz w:val="24"/>
        </w:rPr>
        <w:t xml:space="preserve"> to the lease agreement and consequently</w:t>
      </w:r>
      <w:r w:rsidR="00461C31" w:rsidRPr="00C01158">
        <w:rPr>
          <w:sz w:val="24"/>
        </w:rPr>
        <w:t xml:space="preserve"> </w:t>
      </w:r>
      <w:r w:rsidR="003C38EE" w:rsidRPr="00C01158">
        <w:rPr>
          <w:sz w:val="24"/>
        </w:rPr>
        <w:t>h</w:t>
      </w:r>
      <w:r w:rsidR="00461C31" w:rsidRPr="00C01158">
        <w:rPr>
          <w:sz w:val="24"/>
        </w:rPr>
        <w:t>e had jurisdiction to determine</w:t>
      </w:r>
      <w:r w:rsidR="003C38EE" w:rsidRPr="00C01158">
        <w:rPr>
          <w:sz w:val="24"/>
        </w:rPr>
        <w:t xml:space="preserve"> the claim</w:t>
      </w:r>
      <w:r w:rsidR="00461C31" w:rsidRPr="00C01158">
        <w:rPr>
          <w:sz w:val="24"/>
        </w:rPr>
        <w:t>. The arbitrator</w:t>
      </w:r>
      <w:r w:rsidR="003C38EE" w:rsidRPr="00C01158">
        <w:rPr>
          <w:sz w:val="24"/>
        </w:rPr>
        <w:t xml:space="preserve"> dismissed</w:t>
      </w:r>
      <w:r w:rsidR="00461C31" w:rsidRPr="00C01158">
        <w:rPr>
          <w:sz w:val="24"/>
        </w:rPr>
        <w:t xml:space="preserve"> Dainfern’s </w:t>
      </w:r>
      <w:r w:rsidR="000A0522" w:rsidRPr="00C01158">
        <w:rPr>
          <w:sz w:val="24"/>
        </w:rPr>
        <w:t>special</w:t>
      </w:r>
      <w:r w:rsidR="00973D2B" w:rsidRPr="00C01158">
        <w:rPr>
          <w:sz w:val="24"/>
        </w:rPr>
        <w:t xml:space="preserve"> </w:t>
      </w:r>
      <w:r w:rsidR="00461C31" w:rsidRPr="00C01158">
        <w:rPr>
          <w:sz w:val="24"/>
        </w:rPr>
        <w:t>plea</w:t>
      </w:r>
      <w:r w:rsidR="00E65209" w:rsidRPr="00C01158">
        <w:rPr>
          <w:sz w:val="24"/>
        </w:rPr>
        <w:t>. Dainfern applied</w:t>
      </w:r>
      <w:r w:rsidR="003C38EE" w:rsidRPr="00C01158">
        <w:rPr>
          <w:sz w:val="24"/>
        </w:rPr>
        <w:t xml:space="preserve"> to the Gauteng Division of the High</w:t>
      </w:r>
      <w:r w:rsidR="00501827" w:rsidRPr="00C01158">
        <w:rPr>
          <w:sz w:val="24"/>
        </w:rPr>
        <w:t> </w:t>
      </w:r>
      <w:r w:rsidR="003C38EE" w:rsidRPr="00C01158">
        <w:rPr>
          <w:sz w:val="24"/>
        </w:rPr>
        <w:t>Court, P</w:t>
      </w:r>
      <w:r w:rsidR="00E65209" w:rsidRPr="00C01158">
        <w:rPr>
          <w:sz w:val="24"/>
        </w:rPr>
        <w:t>retoria (</w:t>
      </w:r>
      <w:r w:rsidR="00A6736F" w:rsidRPr="00C01158">
        <w:rPr>
          <w:sz w:val="24"/>
        </w:rPr>
        <w:t xml:space="preserve">the </w:t>
      </w:r>
      <w:r w:rsidR="00E65209" w:rsidRPr="00C01158">
        <w:rPr>
          <w:sz w:val="24"/>
        </w:rPr>
        <w:t>high</w:t>
      </w:r>
      <w:r w:rsidR="00EA4375" w:rsidRPr="00C01158">
        <w:rPr>
          <w:sz w:val="24"/>
        </w:rPr>
        <w:t> </w:t>
      </w:r>
      <w:r w:rsidR="00E65209" w:rsidRPr="00C01158">
        <w:rPr>
          <w:sz w:val="24"/>
        </w:rPr>
        <w:t>court), which</w:t>
      </w:r>
      <w:r w:rsidR="008D0ED5" w:rsidRPr="00C01158">
        <w:rPr>
          <w:sz w:val="24"/>
        </w:rPr>
        <w:t xml:space="preserve"> declared</w:t>
      </w:r>
      <w:r w:rsidR="00E65209" w:rsidRPr="00C01158">
        <w:rPr>
          <w:sz w:val="24"/>
        </w:rPr>
        <w:t xml:space="preserve"> (per Janse van Nieuwenhuizen J)</w:t>
      </w:r>
      <w:r w:rsidR="00A70598" w:rsidRPr="00C01158">
        <w:rPr>
          <w:sz w:val="24"/>
        </w:rPr>
        <w:t xml:space="preserve"> that</w:t>
      </w:r>
      <w:r w:rsidR="00461C31" w:rsidRPr="00C01158">
        <w:rPr>
          <w:sz w:val="24"/>
        </w:rPr>
        <w:t xml:space="preserve"> </w:t>
      </w:r>
      <w:r w:rsidR="003C38EE" w:rsidRPr="00C01158">
        <w:rPr>
          <w:sz w:val="24"/>
        </w:rPr>
        <w:t>the</w:t>
      </w:r>
      <w:r w:rsidR="00A70598" w:rsidRPr="00C01158">
        <w:rPr>
          <w:sz w:val="24"/>
        </w:rPr>
        <w:t xml:space="preserve"> dispute </w:t>
      </w:r>
      <w:r w:rsidR="008D0ED5" w:rsidRPr="00C01158">
        <w:rPr>
          <w:sz w:val="24"/>
        </w:rPr>
        <w:t>d</w:t>
      </w:r>
      <w:r w:rsidR="005F5E13" w:rsidRPr="00C01158">
        <w:rPr>
          <w:sz w:val="24"/>
        </w:rPr>
        <w:t>id</w:t>
      </w:r>
      <w:r w:rsidR="008D0ED5" w:rsidRPr="00C01158">
        <w:rPr>
          <w:sz w:val="24"/>
        </w:rPr>
        <w:t xml:space="preserve"> not fall within the provisions of clause 33</w:t>
      </w:r>
      <w:r w:rsidR="00E65209" w:rsidRPr="00C01158">
        <w:rPr>
          <w:sz w:val="24"/>
        </w:rPr>
        <w:t>.1</w:t>
      </w:r>
      <w:r w:rsidR="008D0ED5" w:rsidRPr="00C01158">
        <w:rPr>
          <w:sz w:val="24"/>
        </w:rPr>
        <w:t xml:space="preserve"> of the lease agreement and was accordingly incorrectly referred to arbitration by Dis-Chem. </w:t>
      </w:r>
      <w:r w:rsidR="00D21FE5" w:rsidRPr="00C01158">
        <w:rPr>
          <w:sz w:val="24"/>
        </w:rPr>
        <w:t>Dis-Chem sought</w:t>
      </w:r>
      <w:r w:rsidR="008D0ED5" w:rsidRPr="00C01158">
        <w:rPr>
          <w:sz w:val="24"/>
        </w:rPr>
        <w:t xml:space="preserve"> and successfully obtained</w:t>
      </w:r>
      <w:r w:rsidR="00D21FE5" w:rsidRPr="00C01158">
        <w:rPr>
          <w:sz w:val="24"/>
        </w:rPr>
        <w:t xml:space="preserve"> leave to appeal the judgment and order of the high court</w:t>
      </w:r>
      <w:r w:rsidR="008D0ED5" w:rsidRPr="00C01158">
        <w:rPr>
          <w:sz w:val="24"/>
        </w:rPr>
        <w:t>,</w:t>
      </w:r>
      <w:r w:rsidR="00D21FE5" w:rsidRPr="00C01158">
        <w:rPr>
          <w:sz w:val="24"/>
        </w:rPr>
        <w:t xml:space="preserve"> to this Court. </w:t>
      </w:r>
    </w:p>
    <w:p w14:paraId="092D3AB6" w14:textId="21835DF4" w:rsidR="003C38EE" w:rsidRPr="00925A9D" w:rsidRDefault="003C38EE" w:rsidP="003C38EE">
      <w:pPr>
        <w:pStyle w:val="ListParagraph"/>
        <w:numPr>
          <w:ilvl w:val="0"/>
          <w:numId w:val="0"/>
        </w:numPr>
        <w:tabs>
          <w:tab w:val="clear" w:pos="1134"/>
          <w:tab w:val="left" w:pos="567"/>
        </w:tabs>
        <w:spacing w:after="0" w:line="360" w:lineRule="auto"/>
        <w:rPr>
          <w:sz w:val="22"/>
          <w:szCs w:val="22"/>
        </w:rPr>
      </w:pPr>
    </w:p>
    <w:p w14:paraId="7EC590A7" w14:textId="43B7D2E3" w:rsidR="00783C09" w:rsidRPr="00C01158" w:rsidRDefault="00C01158" w:rsidP="00C01158">
      <w:pPr>
        <w:tabs>
          <w:tab w:val="left" w:pos="709"/>
        </w:tabs>
        <w:spacing w:line="360" w:lineRule="auto"/>
        <w:rPr>
          <w:sz w:val="24"/>
        </w:rPr>
      </w:pPr>
      <w:r w:rsidRPr="00925A9D">
        <w:rPr>
          <w:rFonts w:eastAsia="Calibri"/>
          <w:sz w:val="24"/>
          <w:lang w:val="en-ZA"/>
        </w:rPr>
        <w:t>[10]</w:t>
      </w:r>
      <w:r w:rsidRPr="00925A9D">
        <w:rPr>
          <w:rFonts w:eastAsia="Calibri"/>
          <w:sz w:val="24"/>
          <w:lang w:val="en-ZA"/>
        </w:rPr>
        <w:tab/>
      </w:r>
      <w:r w:rsidR="004D42BD" w:rsidRPr="00C01158">
        <w:rPr>
          <w:sz w:val="24"/>
          <w:shd w:val="clear" w:color="auto" w:fill="FFFFFF"/>
          <w:lang w:eastAsia="en-ZA"/>
        </w:rPr>
        <w:t xml:space="preserve">Central to </w:t>
      </w:r>
      <w:r w:rsidR="003A54A8" w:rsidRPr="00C01158">
        <w:rPr>
          <w:sz w:val="24"/>
          <w:shd w:val="clear" w:color="auto" w:fill="FFFFFF"/>
          <w:lang w:eastAsia="en-ZA"/>
        </w:rPr>
        <w:t>the crisp issue of the arbitrator’s jurisdiction</w:t>
      </w:r>
      <w:r w:rsidR="004D42BD" w:rsidRPr="00C01158">
        <w:rPr>
          <w:sz w:val="24"/>
          <w:shd w:val="clear" w:color="auto" w:fill="FFFFFF"/>
          <w:lang w:eastAsia="en-ZA"/>
        </w:rPr>
        <w:t>, is t</w:t>
      </w:r>
      <w:r w:rsidR="00502317" w:rsidRPr="00C01158">
        <w:rPr>
          <w:sz w:val="24"/>
          <w:shd w:val="clear" w:color="auto" w:fill="FFFFFF"/>
          <w:lang w:eastAsia="en-ZA"/>
        </w:rPr>
        <w:t>he interpretation of the</w:t>
      </w:r>
      <w:r w:rsidR="000051BE" w:rsidRPr="00C01158">
        <w:rPr>
          <w:sz w:val="24"/>
          <w:shd w:val="clear" w:color="auto" w:fill="FFFFFF"/>
          <w:lang w:eastAsia="en-ZA"/>
        </w:rPr>
        <w:t xml:space="preserve"> </w:t>
      </w:r>
      <w:r w:rsidR="00D21FE5" w:rsidRPr="00C01158">
        <w:rPr>
          <w:sz w:val="24"/>
          <w:shd w:val="clear" w:color="auto" w:fill="FFFFFF"/>
          <w:lang w:eastAsia="en-ZA"/>
        </w:rPr>
        <w:t>arbitration cl</w:t>
      </w:r>
      <w:r w:rsidR="00502317" w:rsidRPr="00C01158">
        <w:rPr>
          <w:sz w:val="24"/>
          <w:shd w:val="clear" w:color="auto" w:fill="FFFFFF"/>
          <w:lang w:eastAsia="en-ZA"/>
        </w:rPr>
        <w:t>ause 33</w:t>
      </w:r>
      <w:r w:rsidR="00CF6993" w:rsidRPr="00C01158">
        <w:rPr>
          <w:sz w:val="24"/>
          <w:shd w:val="clear" w:color="auto" w:fill="FFFFFF"/>
          <w:lang w:eastAsia="en-ZA"/>
        </w:rPr>
        <w:t>.1</w:t>
      </w:r>
      <w:r w:rsidR="00502317" w:rsidRPr="00C01158">
        <w:rPr>
          <w:sz w:val="24"/>
          <w:shd w:val="clear" w:color="auto" w:fill="FFFFFF"/>
          <w:lang w:eastAsia="en-ZA"/>
        </w:rPr>
        <w:t xml:space="preserve"> of the lease agreement, which</w:t>
      </w:r>
      <w:r w:rsidR="00D21FE5" w:rsidRPr="00C01158">
        <w:rPr>
          <w:sz w:val="24"/>
          <w:shd w:val="clear" w:color="auto" w:fill="FFFFFF"/>
          <w:lang w:eastAsia="en-ZA"/>
        </w:rPr>
        <w:t xml:space="preserve"> provides:</w:t>
      </w:r>
    </w:p>
    <w:p w14:paraId="2989B7C5" w14:textId="45265EC5" w:rsidR="000051BE" w:rsidRPr="00925A9D" w:rsidRDefault="000051BE" w:rsidP="000051BE">
      <w:pPr>
        <w:pStyle w:val="ListParagraph"/>
        <w:numPr>
          <w:ilvl w:val="0"/>
          <w:numId w:val="0"/>
        </w:numPr>
        <w:tabs>
          <w:tab w:val="clear" w:pos="1134"/>
          <w:tab w:val="left" w:pos="567"/>
        </w:tabs>
        <w:spacing w:after="0" w:line="360" w:lineRule="auto"/>
        <w:rPr>
          <w:sz w:val="22"/>
          <w:szCs w:val="22"/>
          <w:shd w:val="clear" w:color="auto" w:fill="FFFFFF"/>
          <w:lang w:eastAsia="en-ZA"/>
        </w:rPr>
      </w:pPr>
      <w:r w:rsidRPr="00925A9D">
        <w:rPr>
          <w:sz w:val="22"/>
          <w:szCs w:val="22"/>
          <w:shd w:val="clear" w:color="auto" w:fill="FFFFFF"/>
          <w:lang w:eastAsia="en-ZA"/>
        </w:rPr>
        <w:t>‘</w:t>
      </w:r>
      <w:r w:rsidR="00CF6993" w:rsidRPr="00925A9D">
        <w:rPr>
          <w:sz w:val="22"/>
          <w:szCs w:val="22"/>
          <w:shd w:val="clear" w:color="auto" w:fill="FFFFFF"/>
          <w:lang w:eastAsia="en-ZA"/>
        </w:rPr>
        <w:t xml:space="preserve">In the event of any dispute or difference or doubt or question arising between the parties as to the interpretation of any provision of this Agreement of Lease or the implementation thereof, and the parties being unable to resolve the issue, then in the discretion of either party, the </w:t>
      </w:r>
      <w:r w:rsidR="00CF6993" w:rsidRPr="00925A9D">
        <w:rPr>
          <w:sz w:val="22"/>
          <w:szCs w:val="22"/>
          <w:shd w:val="clear" w:color="auto" w:fill="FFFFFF"/>
          <w:lang w:eastAsia="en-ZA"/>
        </w:rPr>
        <w:lastRenderedPageBreak/>
        <w:t>issue shall be submitted to arbitration in accordance with the provisions of this clause and the decision of the arbitrator/s or the umpire as the case may be, shall be final and binding upon the parties.’</w:t>
      </w:r>
    </w:p>
    <w:p w14:paraId="76A84FF7" w14:textId="77777777" w:rsidR="00923911" w:rsidRPr="00925A9D" w:rsidRDefault="00923911" w:rsidP="000051BE">
      <w:pPr>
        <w:pStyle w:val="ListParagraph"/>
        <w:numPr>
          <w:ilvl w:val="0"/>
          <w:numId w:val="0"/>
        </w:numPr>
        <w:tabs>
          <w:tab w:val="clear" w:pos="1134"/>
          <w:tab w:val="left" w:pos="567"/>
        </w:tabs>
        <w:spacing w:after="0" w:line="360" w:lineRule="auto"/>
        <w:rPr>
          <w:sz w:val="24"/>
          <w:szCs w:val="24"/>
          <w:shd w:val="clear" w:color="auto" w:fill="FFFFFF"/>
          <w:lang w:eastAsia="en-ZA"/>
        </w:rPr>
      </w:pPr>
    </w:p>
    <w:p w14:paraId="0D1995DB" w14:textId="578B54DD" w:rsidR="00434465" w:rsidRPr="00C01158" w:rsidRDefault="00C01158" w:rsidP="00C01158">
      <w:pPr>
        <w:tabs>
          <w:tab w:val="left" w:pos="0"/>
        </w:tabs>
        <w:spacing w:line="360" w:lineRule="auto"/>
        <w:rPr>
          <w:sz w:val="22"/>
          <w:szCs w:val="22"/>
          <w:shd w:val="clear" w:color="auto" w:fill="FFFFFF"/>
          <w:lang w:eastAsia="en-ZA"/>
        </w:rPr>
      </w:pPr>
      <w:r w:rsidRPr="00925A9D">
        <w:rPr>
          <w:rFonts w:eastAsia="Calibri"/>
          <w:sz w:val="24"/>
          <w:lang w:val="en-ZA" w:eastAsia="en-ZA"/>
        </w:rPr>
        <w:t>[11]</w:t>
      </w:r>
      <w:r w:rsidRPr="00925A9D">
        <w:rPr>
          <w:rFonts w:eastAsia="Calibri"/>
          <w:sz w:val="24"/>
          <w:lang w:val="en-ZA" w:eastAsia="en-ZA"/>
        </w:rPr>
        <w:tab/>
      </w:r>
      <w:r w:rsidR="00B51C3D" w:rsidRPr="00C01158">
        <w:rPr>
          <w:sz w:val="24"/>
          <w:shd w:val="clear" w:color="auto" w:fill="FFFFFF"/>
          <w:lang w:eastAsia="en-ZA"/>
        </w:rPr>
        <w:t>In addition, and read with</w:t>
      </w:r>
      <w:r w:rsidR="00BB61E1" w:rsidRPr="00C01158">
        <w:rPr>
          <w:sz w:val="24"/>
          <w:lang w:val="en-US"/>
        </w:rPr>
        <w:t xml:space="preserve"> the arbitration clause</w:t>
      </w:r>
      <w:r w:rsidR="00D63CBD" w:rsidRPr="00C01158">
        <w:rPr>
          <w:sz w:val="24"/>
          <w:lang w:val="en-US"/>
        </w:rPr>
        <w:t>,</w:t>
      </w:r>
      <w:r w:rsidR="00BB61E1" w:rsidRPr="00C01158">
        <w:rPr>
          <w:sz w:val="24"/>
          <w:lang w:val="en-US"/>
        </w:rPr>
        <w:t xml:space="preserve"> is c</w:t>
      </w:r>
      <w:r w:rsidR="005C63AB" w:rsidRPr="00C01158">
        <w:rPr>
          <w:sz w:val="24"/>
          <w:lang w:val="en-US"/>
        </w:rPr>
        <w:t>lause 24 of the lease agreement</w:t>
      </w:r>
      <w:r w:rsidR="00BB61E1" w:rsidRPr="00C01158">
        <w:rPr>
          <w:sz w:val="24"/>
          <w:lang w:val="en-US"/>
        </w:rPr>
        <w:t>, which</w:t>
      </w:r>
      <w:r w:rsidR="005C63AB" w:rsidRPr="00C01158">
        <w:rPr>
          <w:sz w:val="24"/>
          <w:lang w:val="en-US"/>
        </w:rPr>
        <w:t xml:space="preserve"> deals with the issue of jurisdic</w:t>
      </w:r>
      <w:r w:rsidR="00434465" w:rsidRPr="00C01158">
        <w:rPr>
          <w:sz w:val="24"/>
          <w:lang w:val="en-US"/>
        </w:rPr>
        <w:t>tion and costs. It provides</w:t>
      </w:r>
      <w:r w:rsidR="00D63CBD" w:rsidRPr="00C01158">
        <w:rPr>
          <w:sz w:val="24"/>
          <w:lang w:val="en-US"/>
        </w:rPr>
        <w:t xml:space="preserve"> thus</w:t>
      </w:r>
      <w:r w:rsidR="00434465" w:rsidRPr="00C01158">
        <w:rPr>
          <w:sz w:val="24"/>
          <w:lang w:val="en-US"/>
        </w:rPr>
        <w:t>:</w:t>
      </w:r>
      <w:r w:rsidR="007270A6" w:rsidRPr="00C01158">
        <w:rPr>
          <w:sz w:val="24"/>
          <w:lang w:val="en-US"/>
        </w:rPr>
        <w:t xml:space="preserve"> ‘</w:t>
      </w:r>
      <w:r w:rsidR="00434465" w:rsidRPr="00C01158">
        <w:rPr>
          <w:sz w:val="22"/>
          <w:szCs w:val="22"/>
          <w:lang w:val="en-US"/>
        </w:rPr>
        <w:t>S</w:t>
      </w:r>
      <w:r w:rsidR="00D63CBD" w:rsidRPr="00C01158">
        <w:rPr>
          <w:sz w:val="22"/>
          <w:szCs w:val="22"/>
          <w:lang w:val="en-US"/>
        </w:rPr>
        <w:t xml:space="preserve">hould there be </w:t>
      </w:r>
      <w:r w:rsidR="007270A6" w:rsidRPr="00C01158">
        <w:rPr>
          <w:sz w:val="22"/>
          <w:szCs w:val="22"/>
          <w:lang w:val="en-US"/>
        </w:rPr>
        <w:t>a breach of this agreement by the defaulting party then the aggrieved party shall choose whether the dispute is to be brought in the Magistrate’s Court or by way of arbitration as set out in clause 33 belo</w:t>
      </w:r>
      <w:r w:rsidR="00A6736F" w:rsidRPr="00C01158">
        <w:rPr>
          <w:sz w:val="22"/>
          <w:szCs w:val="22"/>
          <w:lang w:val="en-US"/>
        </w:rPr>
        <w:t>w.’</w:t>
      </w:r>
    </w:p>
    <w:p w14:paraId="14526E99" w14:textId="77777777" w:rsidR="00434465" w:rsidRPr="00925A9D" w:rsidRDefault="00434465" w:rsidP="00434465">
      <w:pPr>
        <w:pStyle w:val="ListParagraph"/>
        <w:numPr>
          <w:ilvl w:val="0"/>
          <w:numId w:val="0"/>
        </w:numPr>
        <w:tabs>
          <w:tab w:val="clear" w:pos="1134"/>
          <w:tab w:val="left" w:pos="567"/>
        </w:tabs>
        <w:spacing w:after="0" w:line="360" w:lineRule="auto"/>
        <w:rPr>
          <w:sz w:val="24"/>
          <w:szCs w:val="24"/>
          <w:lang w:val="en-US"/>
        </w:rPr>
      </w:pPr>
    </w:p>
    <w:p w14:paraId="73B125B6" w14:textId="0F21476B" w:rsidR="004D1539" w:rsidRPr="00C01158" w:rsidRDefault="00C01158" w:rsidP="00C01158">
      <w:pPr>
        <w:tabs>
          <w:tab w:val="left" w:pos="0"/>
        </w:tabs>
        <w:spacing w:line="360" w:lineRule="auto"/>
        <w:rPr>
          <w:sz w:val="22"/>
          <w:szCs w:val="22"/>
          <w:lang w:val="en-US"/>
        </w:rPr>
      </w:pPr>
      <w:r w:rsidRPr="00925A9D">
        <w:rPr>
          <w:rFonts w:eastAsia="Calibri"/>
          <w:sz w:val="24"/>
          <w:lang w:val="en-US"/>
        </w:rPr>
        <w:t>[12]</w:t>
      </w:r>
      <w:r w:rsidRPr="00925A9D">
        <w:rPr>
          <w:rFonts w:eastAsia="Calibri"/>
          <w:sz w:val="24"/>
          <w:lang w:val="en-US"/>
        </w:rPr>
        <w:tab/>
      </w:r>
      <w:r w:rsidR="00AD23CA" w:rsidRPr="00C01158">
        <w:rPr>
          <w:sz w:val="24"/>
          <w:lang w:val="en-US"/>
        </w:rPr>
        <w:t>In making his ruling, the arbitrator</w:t>
      </w:r>
      <w:r w:rsidR="00BB7D95" w:rsidRPr="00C01158">
        <w:rPr>
          <w:sz w:val="24"/>
          <w:lang w:val="en-US"/>
        </w:rPr>
        <w:t xml:space="preserve"> concluded that</w:t>
      </w:r>
      <w:r w:rsidR="004D1539" w:rsidRPr="00C01158">
        <w:rPr>
          <w:sz w:val="24"/>
          <w:lang w:val="en-US"/>
        </w:rPr>
        <w:t>:</w:t>
      </w:r>
      <w:r w:rsidR="00BB7D95" w:rsidRPr="00C01158">
        <w:rPr>
          <w:sz w:val="24"/>
          <w:lang w:val="en-US"/>
        </w:rPr>
        <w:t xml:space="preserve"> </w:t>
      </w:r>
    </w:p>
    <w:p w14:paraId="5675A6C5" w14:textId="517EA8E7" w:rsidR="0029107C" w:rsidRPr="00925A9D" w:rsidRDefault="00BB7D95" w:rsidP="005B04B8">
      <w:pPr>
        <w:spacing w:line="360" w:lineRule="auto"/>
        <w:jc w:val="both"/>
        <w:rPr>
          <w:sz w:val="22"/>
          <w:szCs w:val="22"/>
          <w:lang w:val="en-US"/>
        </w:rPr>
      </w:pPr>
      <w:r w:rsidRPr="00925A9D">
        <w:rPr>
          <w:sz w:val="22"/>
          <w:szCs w:val="22"/>
          <w:lang w:val="en-US"/>
        </w:rPr>
        <w:t>‘</w:t>
      </w:r>
      <w:r w:rsidR="00185F0C" w:rsidRPr="00925A9D">
        <w:rPr>
          <w:sz w:val="22"/>
          <w:szCs w:val="22"/>
          <w:lang w:val="en-US"/>
        </w:rPr>
        <w:t>Dis-Chem’</w:t>
      </w:r>
      <w:r w:rsidR="00E4397E" w:rsidRPr="00925A9D">
        <w:rPr>
          <w:sz w:val="22"/>
          <w:szCs w:val="22"/>
          <w:lang w:val="en-US"/>
        </w:rPr>
        <w:t>s claim for the turn</w:t>
      </w:r>
      <w:r w:rsidR="00185F0C" w:rsidRPr="00925A9D">
        <w:rPr>
          <w:sz w:val="22"/>
          <w:szCs w:val="22"/>
          <w:lang w:val="en-US"/>
        </w:rPr>
        <w:t>over rental allegedly paid over to Dainfern, although not specifically</w:t>
      </w:r>
      <w:r w:rsidR="00E4397E" w:rsidRPr="00925A9D">
        <w:rPr>
          <w:sz w:val="22"/>
          <w:szCs w:val="22"/>
          <w:lang w:val="en-US"/>
        </w:rPr>
        <w:t xml:space="preserve"> envisaged in the arbitration clause since the clause is silent about overpayment or enrichment, it is in actual fact a claim relating to the lease agreement because it involves the interpretation of annexure </w:t>
      </w:r>
      <w:r w:rsidR="004D1539" w:rsidRPr="00925A9D">
        <w:rPr>
          <w:sz w:val="22"/>
          <w:szCs w:val="22"/>
          <w:lang w:val="en-US"/>
        </w:rPr>
        <w:t>“</w:t>
      </w:r>
      <w:r w:rsidR="00E4397E" w:rsidRPr="00925A9D">
        <w:rPr>
          <w:sz w:val="22"/>
          <w:szCs w:val="22"/>
          <w:lang w:val="en-US"/>
        </w:rPr>
        <w:t>F”</w:t>
      </w:r>
      <w:r w:rsidR="004D1539" w:rsidRPr="00925A9D">
        <w:rPr>
          <w:sz w:val="22"/>
          <w:szCs w:val="22"/>
          <w:lang w:val="en-US"/>
        </w:rPr>
        <w:t>.’</w:t>
      </w:r>
      <w:r w:rsidR="00E4397E" w:rsidRPr="00925A9D">
        <w:rPr>
          <w:sz w:val="22"/>
          <w:szCs w:val="22"/>
          <w:lang w:val="en-US"/>
        </w:rPr>
        <w:t xml:space="preserve"> and … therefore [it is] referable to arbitration.’</w:t>
      </w:r>
    </w:p>
    <w:p w14:paraId="09509DA5" w14:textId="77777777" w:rsidR="000729E2" w:rsidRPr="00925A9D" w:rsidRDefault="000729E2" w:rsidP="000729E2">
      <w:pPr>
        <w:pStyle w:val="ListParagraph"/>
        <w:numPr>
          <w:ilvl w:val="0"/>
          <w:numId w:val="0"/>
        </w:numPr>
        <w:tabs>
          <w:tab w:val="clear" w:pos="1134"/>
          <w:tab w:val="left" w:pos="567"/>
        </w:tabs>
        <w:spacing w:after="0" w:line="360" w:lineRule="auto"/>
        <w:rPr>
          <w:sz w:val="24"/>
          <w:lang w:val="en-US"/>
        </w:rPr>
      </w:pPr>
    </w:p>
    <w:p w14:paraId="069CB1D1" w14:textId="772E8F6A" w:rsidR="00A94490" w:rsidRPr="00C01158" w:rsidRDefault="00C01158" w:rsidP="00C01158">
      <w:pPr>
        <w:tabs>
          <w:tab w:val="left" w:pos="709"/>
        </w:tabs>
        <w:spacing w:line="360" w:lineRule="auto"/>
        <w:rPr>
          <w:sz w:val="24"/>
          <w:lang w:val="en-US"/>
        </w:rPr>
      </w:pPr>
      <w:r w:rsidRPr="00925A9D">
        <w:rPr>
          <w:rFonts w:eastAsia="Calibri"/>
          <w:sz w:val="24"/>
          <w:lang w:val="en-US"/>
        </w:rPr>
        <w:t>[13]</w:t>
      </w:r>
      <w:r w:rsidRPr="00925A9D">
        <w:rPr>
          <w:rFonts w:eastAsia="Calibri"/>
          <w:sz w:val="24"/>
          <w:lang w:val="en-US"/>
        </w:rPr>
        <w:tab/>
      </w:r>
      <w:r w:rsidR="00B84615" w:rsidRPr="00C01158">
        <w:rPr>
          <w:sz w:val="24"/>
          <w:lang w:val="en-US"/>
        </w:rPr>
        <w:t>The</w:t>
      </w:r>
      <w:r w:rsidR="00254FA7" w:rsidRPr="00C01158">
        <w:rPr>
          <w:sz w:val="24"/>
          <w:lang w:val="en-US"/>
        </w:rPr>
        <w:t xml:space="preserve"> high court in accepting Dainfern’s argument</w:t>
      </w:r>
      <w:r w:rsidR="00461C31" w:rsidRPr="00C01158">
        <w:rPr>
          <w:sz w:val="24"/>
          <w:lang w:val="en-US"/>
        </w:rPr>
        <w:t>, similarly</w:t>
      </w:r>
      <w:r w:rsidR="000729E2" w:rsidRPr="00C01158">
        <w:rPr>
          <w:sz w:val="24"/>
          <w:lang w:val="en-US"/>
        </w:rPr>
        <w:t xml:space="preserve"> confined</w:t>
      </w:r>
      <w:r w:rsidR="00461C31" w:rsidRPr="00C01158">
        <w:rPr>
          <w:sz w:val="24"/>
          <w:lang w:val="en-US"/>
        </w:rPr>
        <w:t xml:space="preserve"> its remarks and findings to the question of interpretati</w:t>
      </w:r>
      <w:r w:rsidR="00BB61E1" w:rsidRPr="00C01158">
        <w:rPr>
          <w:sz w:val="24"/>
          <w:lang w:val="en-US"/>
        </w:rPr>
        <w:t>on of clause 33.1. The learned Judge at the outset,</w:t>
      </w:r>
      <w:r w:rsidR="00254FA7" w:rsidRPr="00C01158">
        <w:rPr>
          <w:sz w:val="24"/>
          <w:lang w:val="en-US"/>
        </w:rPr>
        <w:t xml:space="preserve"> correctl</w:t>
      </w:r>
      <w:r w:rsidR="00BB61E1" w:rsidRPr="00C01158">
        <w:rPr>
          <w:sz w:val="24"/>
          <w:lang w:val="en-US"/>
        </w:rPr>
        <w:t>y held</w:t>
      </w:r>
      <w:r w:rsidR="009027BA" w:rsidRPr="00C01158">
        <w:rPr>
          <w:sz w:val="24"/>
          <w:lang w:val="en-US"/>
        </w:rPr>
        <w:t xml:space="preserve">, with reference to the matter of </w:t>
      </w:r>
      <w:r w:rsidR="009027BA" w:rsidRPr="00C01158">
        <w:rPr>
          <w:i/>
          <w:sz w:val="24"/>
          <w:lang w:val="en-US"/>
        </w:rPr>
        <w:t xml:space="preserve">Hos + Medical Aid Scheme v Thebe </w:t>
      </w:r>
      <w:r w:rsidR="009454A2" w:rsidRPr="00C01158">
        <w:rPr>
          <w:i/>
          <w:sz w:val="24"/>
          <w:lang w:val="en-US"/>
        </w:rPr>
        <w:t>Ya Bophelo</w:t>
      </w:r>
      <w:r w:rsidR="009027BA" w:rsidRPr="00C01158">
        <w:rPr>
          <w:i/>
          <w:sz w:val="24"/>
          <w:lang w:val="en-US"/>
        </w:rPr>
        <w:t xml:space="preserve"> Healthcare Marketing &amp; Consulting (Pty) Ltd and </w:t>
      </w:r>
      <w:r w:rsidR="004D1539" w:rsidRPr="00C01158">
        <w:rPr>
          <w:i/>
          <w:sz w:val="24"/>
          <w:lang w:val="en-US"/>
        </w:rPr>
        <w:t>O</w:t>
      </w:r>
      <w:r w:rsidR="009027BA" w:rsidRPr="00C01158">
        <w:rPr>
          <w:i/>
          <w:sz w:val="24"/>
          <w:lang w:val="en-US"/>
        </w:rPr>
        <w:t>thers</w:t>
      </w:r>
      <w:r w:rsidR="009027BA" w:rsidRPr="00925A9D">
        <w:rPr>
          <w:rStyle w:val="FootnoteReference"/>
          <w:sz w:val="24"/>
          <w:lang w:val="en-US"/>
        </w:rPr>
        <w:footnoteReference w:id="1"/>
      </w:r>
      <w:r w:rsidR="00BC100F" w:rsidRPr="00C01158">
        <w:rPr>
          <w:sz w:val="24"/>
          <w:lang w:val="en-US"/>
        </w:rPr>
        <w:t xml:space="preserve"> </w:t>
      </w:r>
      <w:r w:rsidR="009027BA" w:rsidRPr="00C01158">
        <w:rPr>
          <w:sz w:val="24"/>
          <w:lang w:val="en-US"/>
        </w:rPr>
        <w:t>that the source of the arbitrator’s power is the agreement between the parties.</w:t>
      </w:r>
      <w:r w:rsidR="003B6D34" w:rsidRPr="00C01158">
        <w:rPr>
          <w:sz w:val="24"/>
          <w:lang w:val="en-US"/>
        </w:rPr>
        <w:t xml:space="preserve"> </w:t>
      </w:r>
      <w:r w:rsidR="000C130A" w:rsidRPr="00C01158">
        <w:rPr>
          <w:sz w:val="24"/>
          <w:lang w:val="en-US"/>
        </w:rPr>
        <w:t>She</w:t>
      </w:r>
      <w:r w:rsidR="003E1E56" w:rsidRPr="00C01158">
        <w:rPr>
          <w:sz w:val="24"/>
          <w:lang w:val="en-US"/>
        </w:rPr>
        <w:t>,</w:t>
      </w:r>
      <w:r w:rsidR="003B6D34" w:rsidRPr="00C01158">
        <w:rPr>
          <w:sz w:val="24"/>
          <w:lang w:val="en-US"/>
        </w:rPr>
        <w:t xml:space="preserve"> however</w:t>
      </w:r>
      <w:r w:rsidR="003E1E56" w:rsidRPr="00C01158">
        <w:rPr>
          <w:sz w:val="24"/>
          <w:lang w:val="en-US"/>
        </w:rPr>
        <w:t>,</w:t>
      </w:r>
      <w:r w:rsidR="00F670A0" w:rsidRPr="00C01158">
        <w:rPr>
          <w:sz w:val="24"/>
          <w:lang w:val="en-US"/>
        </w:rPr>
        <w:t xml:space="preserve"> </w:t>
      </w:r>
      <w:r w:rsidR="00C2032C" w:rsidRPr="00C01158">
        <w:rPr>
          <w:sz w:val="24"/>
          <w:lang w:val="en-US"/>
        </w:rPr>
        <w:t>summarily</w:t>
      </w:r>
      <w:r w:rsidR="00A544EF" w:rsidRPr="00C01158">
        <w:rPr>
          <w:sz w:val="24"/>
          <w:lang w:val="en-US"/>
        </w:rPr>
        <w:t xml:space="preserve"> concluded that</w:t>
      </w:r>
      <w:r w:rsidR="009027BA" w:rsidRPr="00C01158">
        <w:rPr>
          <w:sz w:val="24"/>
          <w:lang w:val="en-US"/>
        </w:rPr>
        <w:t xml:space="preserve"> </w:t>
      </w:r>
      <w:r w:rsidR="00B95894" w:rsidRPr="00C01158">
        <w:rPr>
          <w:sz w:val="24"/>
          <w:lang w:val="en-US"/>
        </w:rPr>
        <w:t>since</w:t>
      </w:r>
      <w:r w:rsidR="00973D2B" w:rsidRPr="00C01158">
        <w:rPr>
          <w:sz w:val="24"/>
          <w:lang w:val="en-US"/>
        </w:rPr>
        <w:t xml:space="preserve"> </w:t>
      </w:r>
      <w:r w:rsidR="009027BA" w:rsidRPr="00C01158">
        <w:rPr>
          <w:sz w:val="24"/>
          <w:lang w:val="en-US"/>
        </w:rPr>
        <w:t xml:space="preserve">the arbitration clause </w:t>
      </w:r>
      <w:r w:rsidR="009454A2" w:rsidRPr="00C01158">
        <w:rPr>
          <w:sz w:val="24"/>
          <w:lang w:val="en-US"/>
        </w:rPr>
        <w:t>‘</w:t>
      </w:r>
      <w:r w:rsidR="009027BA" w:rsidRPr="00C01158">
        <w:rPr>
          <w:sz w:val="24"/>
          <w:lang w:val="en-US"/>
        </w:rPr>
        <w:t>does not</w:t>
      </w:r>
      <w:r w:rsidR="009454A2" w:rsidRPr="00C01158">
        <w:rPr>
          <w:sz w:val="24"/>
          <w:lang w:val="en-US"/>
        </w:rPr>
        <w:t xml:space="preserve"> make provision for a claim based on</w:t>
      </w:r>
      <w:r w:rsidR="009027BA" w:rsidRPr="00C01158">
        <w:rPr>
          <w:sz w:val="24"/>
          <w:lang w:val="en-US"/>
        </w:rPr>
        <w:t xml:space="preserve"> unjustified enrichme</w:t>
      </w:r>
      <w:r w:rsidR="009454A2" w:rsidRPr="00C01158">
        <w:rPr>
          <w:sz w:val="24"/>
          <w:lang w:val="en-US"/>
        </w:rPr>
        <w:t>nt</w:t>
      </w:r>
      <w:r w:rsidR="00F74AC4" w:rsidRPr="00C01158">
        <w:rPr>
          <w:sz w:val="24"/>
          <w:lang w:val="en-US"/>
        </w:rPr>
        <w:t xml:space="preserve"> [it]</w:t>
      </w:r>
      <w:r w:rsidR="00AA7F69" w:rsidRPr="00C01158">
        <w:rPr>
          <w:sz w:val="24"/>
          <w:lang w:val="en-US"/>
        </w:rPr>
        <w:t xml:space="preserve"> does</w:t>
      </w:r>
      <w:r w:rsidR="009454A2" w:rsidRPr="00C01158">
        <w:rPr>
          <w:sz w:val="24"/>
          <w:lang w:val="en-US"/>
        </w:rPr>
        <w:t xml:space="preserve"> not find application.</w:t>
      </w:r>
      <w:r w:rsidR="000C130A" w:rsidRPr="00C01158">
        <w:rPr>
          <w:sz w:val="24"/>
          <w:lang w:val="en-US"/>
        </w:rPr>
        <w:t>’</w:t>
      </w:r>
      <w:r w:rsidR="009454A2" w:rsidRPr="00C01158">
        <w:rPr>
          <w:sz w:val="24"/>
          <w:lang w:val="en-US"/>
        </w:rPr>
        <w:t xml:space="preserve"> </w:t>
      </w:r>
    </w:p>
    <w:p w14:paraId="3BBD169A" w14:textId="77777777" w:rsidR="002163E9" w:rsidRPr="00925A9D" w:rsidRDefault="002163E9" w:rsidP="00526E02">
      <w:pPr>
        <w:pStyle w:val="ListParagraph"/>
        <w:numPr>
          <w:ilvl w:val="0"/>
          <w:numId w:val="0"/>
        </w:numPr>
        <w:spacing w:after="0" w:line="360" w:lineRule="auto"/>
        <w:rPr>
          <w:sz w:val="22"/>
          <w:szCs w:val="22"/>
          <w:lang w:val="en-US"/>
        </w:rPr>
      </w:pPr>
    </w:p>
    <w:p w14:paraId="18E8A710" w14:textId="5EDF1C04" w:rsidR="002163E9" w:rsidRPr="00C01158" w:rsidRDefault="00C01158" w:rsidP="00C01158">
      <w:pPr>
        <w:tabs>
          <w:tab w:val="left" w:pos="0"/>
        </w:tabs>
        <w:spacing w:line="360" w:lineRule="auto"/>
        <w:rPr>
          <w:sz w:val="24"/>
          <w:shd w:val="clear" w:color="auto" w:fill="FFFFFF"/>
          <w:lang w:eastAsia="en-ZA"/>
        </w:rPr>
      </w:pPr>
      <w:r w:rsidRPr="00925A9D">
        <w:rPr>
          <w:rFonts w:eastAsia="Calibri"/>
          <w:sz w:val="24"/>
          <w:lang w:val="en-ZA" w:eastAsia="en-ZA"/>
        </w:rPr>
        <w:t>[14]</w:t>
      </w:r>
      <w:r w:rsidRPr="00925A9D">
        <w:rPr>
          <w:rFonts w:eastAsia="Calibri"/>
          <w:sz w:val="24"/>
          <w:lang w:val="en-ZA" w:eastAsia="en-ZA"/>
        </w:rPr>
        <w:tab/>
      </w:r>
      <w:r w:rsidR="000C130A" w:rsidRPr="00C01158">
        <w:rPr>
          <w:sz w:val="24"/>
          <w:shd w:val="clear" w:color="auto" w:fill="FFFFFF"/>
          <w:lang w:eastAsia="en-ZA"/>
        </w:rPr>
        <w:t xml:space="preserve">On </w:t>
      </w:r>
      <w:r w:rsidR="002163E9" w:rsidRPr="00C01158">
        <w:rPr>
          <w:sz w:val="24"/>
          <w:shd w:val="clear" w:color="auto" w:fill="FFFFFF"/>
          <w:lang w:eastAsia="en-ZA"/>
        </w:rPr>
        <w:t>a proper construction of the text of</w:t>
      </w:r>
      <w:r w:rsidR="00DF3522" w:rsidRPr="00C01158">
        <w:rPr>
          <w:sz w:val="24"/>
          <w:shd w:val="clear" w:color="auto" w:fill="FFFFFF"/>
          <w:lang w:eastAsia="en-ZA"/>
        </w:rPr>
        <w:t xml:space="preserve"> the arbitration</w:t>
      </w:r>
      <w:r w:rsidR="002163E9" w:rsidRPr="00C01158">
        <w:rPr>
          <w:sz w:val="24"/>
          <w:shd w:val="clear" w:color="auto" w:fill="FFFFFF"/>
          <w:lang w:eastAsia="en-ZA"/>
        </w:rPr>
        <w:t xml:space="preserve"> clause 33.1 of the lease agreement, </w:t>
      </w:r>
      <w:r w:rsidR="00C2032C" w:rsidRPr="00C01158">
        <w:rPr>
          <w:sz w:val="24"/>
          <w:shd w:val="clear" w:color="auto" w:fill="FFFFFF"/>
          <w:lang w:eastAsia="en-ZA"/>
        </w:rPr>
        <w:t>‘</w:t>
      </w:r>
      <w:r w:rsidR="002163E9" w:rsidRPr="00C01158">
        <w:rPr>
          <w:sz w:val="24"/>
          <w:shd w:val="clear" w:color="auto" w:fill="FFFFFF"/>
          <w:lang w:eastAsia="en-ZA"/>
        </w:rPr>
        <w:t>any di</w:t>
      </w:r>
      <w:r w:rsidR="00432392" w:rsidRPr="00C01158">
        <w:rPr>
          <w:sz w:val="24"/>
          <w:shd w:val="clear" w:color="auto" w:fill="FFFFFF"/>
          <w:lang w:eastAsia="en-ZA"/>
        </w:rPr>
        <w:t>sputes or differences, doubts or question</w:t>
      </w:r>
      <w:r w:rsidR="002163E9" w:rsidRPr="00C01158">
        <w:rPr>
          <w:sz w:val="24"/>
          <w:shd w:val="clear" w:color="auto" w:fill="FFFFFF"/>
          <w:lang w:eastAsia="en-ZA"/>
        </w:rPr>
        <w:t xml:space="preserve"> arising between the parties</w:t>
      </w:r>
      <w:r w:rsidR="00EF07E5" w:rsidRPr="00C01158">
        <w:rPr>
          <w:sz w:val="24"/>
          <w:shd w:val="clear" w:color="auto" w:fill="FFFFFF"/>
          <w:lang w:eastAsia="en-ZA"/>
        </w:rPr>
        <w:t>’</w:t>
      </w:r>
      <w:r w:rsidR="002163E9" w:rsidRPr="00C01158">
        <w:rPr>
          <w:sz w:val="24"/>
          <w:shd w:val="clear" w:color="auto" w:fill="FFFFFF"/>
          <w:lang w:eastAsia="en-ZA"/>
        </w:rPr>
        <w:t>, may be categorised</w:t>
      </w:r>
      <w:r w:rsidR="003B6D34" w:rsidRPr="00C01158">
        <w:rPr>
          <w:sz w:val="24"/>
          <w:shd w:val="clear" w:color="auto" w:fill="FFFFFF"/>
          <w:lang w:eastAsia="en-ZA"/>
        </w:rPr>
        <w:t xml:space="preserve"> as either</w:t>
      </w:r>
      <w:r w:rsidR="002163E9" w:rsidRPr="00C01158">
        <w:rPr>
          <w:sz w:val="24"/>
          <w:shd w:val="clear" w:color="auto" w:fill="FFFFFF"/>
          <w:lang w:eastAsia="en-ZA"/>
        </w:rPr>
        <w:t xml:space="preserve"> an </w:t>
      </w:r>
      <w:r w:rsidR="002163E9" w:rsidRPr="00C01158">
        <w:rPr>
          <w:i/>
          <w:sz w:val="24"/>
          <w:shd w:val="clear" w:color="auto" w:fill="FFFFFF"/>
          <w:lang w:eastAsia="en-ZA"/>
        </w:rPr>
        <w:t xml:space="preserve">interpretation </w:t>
      </w:r>
      <w:r w:rsidR="002163E9" w:rsidRPr="00C01158">
        <w:rPr>
          <w:sz w:val="24"/>
          <w:shd w:val="clear" w:color="auto" w:fill="FFFFFF"/>
          <w:lang w:eastAsia="en-ZA"/>
        </w:rPr>
        <w:t>of any provision of the agreement of lease;</w:t>
      </w:r>
      <w:r w:rsidR="00A9715E" w:rsidRPr="00C01158">
        <w:rPr>
          <w:sz w:val="24"/>
          <w:shd w:val="clear" w:color="auto" w:fill="FFFFFF"/>
          <w:lang w:eastAsia="en-ZA"/>
        </w:rPr>
        <w:t xml:space="preserve"> </w:t>
      </w:r>
      <w:r w:rsidR="002163E9" w:rsidRPr="00C01158">
        <w:rPr>
          <w:sz w:val="24"/>
          <w:shd w:val="clear" w:color="auto" w:fill="FFFFFF"/>
          <w:lang w:eastAsia="en-ZA"/>
        </w:rPr>
        <w:t>or</w:t>
      </w:r>
      <w:r w:rsidR="00A9715E" w:rsidRPr="00C01158">
        <w:rPr>
          <w:sz w:val="24"/>
          <w:shd w:val="clear" w:color="auto" w:fill="FFFFFF"/>
          <w:lang w:eastAsia="en-ZA"/>
        </w:rPr>
        <w:t xml:space="preserve"> </w:t>
      </w:r>
      <w:r w:rsidR="002163E9" w:rsidRPr="00C01158">
        <w:rPr>
          <w:i/>
          <w:sz w:val="24"/>
          <w:shd w:val="clear" w:color="auto" w:fill="FFFFFF"/>
          <w:lang w:eastAsia="en-ZA"/>
        </w:rPr>
        <w:t>the implementation</w:t>
      </w:r>
      <w:r w:rsidR="002163E9" w:rsidRPr="00C01158">
        <w:rPr>
          <w:sz w:val="24"/>
          <w:shd w:val="clear" w:color="auto" w:fill="FFFFFF"/>
          <w:lang w:eastAsia="en-ZA"/>
        </w:rPr>
        <w:t xml:space="preserve"> of the lease agreement.</w:t>
      </w:r>
      <w:r w:rsidR="003B6D34" w:rsidRPr="00C01158">
        <w:rPr>
          <w:sz w:val="24"/>
          <w:shd w:val="clear" w:color="auto" w:fill="FFFFFF"/>
          <w:lang w:eastAsia="en-ZA"/>
        </w:rPr>
        <w:t xml:space="preserve"> The phrase may also be construed as including both interpretation and implementation as referenced above.</w:t>
      </w:r>
      <w:r w:rsidR="002163E9" w:rsidRPr="00C01158">
        <w:rPr>
          <w:sz w:val="24"/>
          <w:shd w:val="clear" w:color="auto" w:fill="FFFFFF"/>
          <w:lang w:eastAsia="en-ZA"/>
        </w:rPr>
        <w:t xml:space="preserve"> </w:t>
      </w:r>
    </w:p>
    <w:p w14:paraId="698B08B9" w14:textId="77777777" w:rsidR="00D63CBD" w:rsidRPr="00925A9D" w:rsidRDefault="00D63CBD" w:rsidP="00D63CBD">
      <w:pPr>
        <w:pStyle w:val="ListParagraph"/>
        <w:numPr>
          <w:ilvl w:val="0"/>
          <w:numId w:val="0"/>
        </w:numPr>
        <w:tabs>
          <w:tab w:val="clear" w:pos="1134"/>
          <w:tab w:val="left" w:pos="567"/>
        </w:tabs>
        <w:spacing w:after="0" w:line="360" w:lineRule="auto"/>
        <w:rPr>
          <w:sz w:val="24"/>
          <w:shd w:val="clear" w:color="auto" w:fill="FFFFFF"/>
          <w:lang w:eastAsia="en-ZA"/>
        </w:rPr>
      </w:pPr>
    </w:p>
    <w:p w14:paraId="19CCCAB6" w14:textId="1AE2BED3" w:rsidR="002163E9" w:rsidRPr="00C01158" w:rsidRDefault="00C01158" w:rsidP="00C01158">
      <w:pPr>
        <w:tabs>
          <w:tab w:val="left" w:pos="709"/>
        </w:tabs>
        <w:spacing w:line="360" w:lineRule="auto"/>
        <w:rPr>
          <w:sz w:val="24"/>
          <w:shd w:val="clear" w:color="auto" w:fill="FFFFFF"/>
          <w:lang w:eastAsia="en-ZA"/>
        </w:rPr>
      </w:pPr>
      <w:r w:rsidRPr="00925A9D">
        <w:rPr>
          <w:rFonts w:eastAsia="Calibri"/>
          <w:sz w:val="24"/>
          <w:lang w:val="en-ZA" w:eastAsia="en-ZA"/>
        </w:rPr>
        <w:lastRenderedPageBreak/>
        <w:t>[15]</w:t>
      </w:r>
      <w:r w:rsidRPr="00925A9D">
        <w:rPr>
          <w:rFonts w:eastAsia="Calibri"/>
          <w:sz w:val="24"/>
          <w:lang w:val="en-ZA" w:eastAsia="en-ZA"/>
        </w:rPr>
        <w:tab/>
      </w:r>
      <w:r w:rsidR="00D63CBD" w:rsidRPr="00C01158">
        <w:rPr>
          <w:sz w:val="24"/>
          <w:shd w:val="clear" w:color="auto" w:fill="FFFFFF"/>
          <w:lang w:eastAsia="en-ZA"/>
        </w:rPr>
        <w:t>The</w:t>
      </w:r>
      <w:r w:rsidR="002163E9" w:rsidRPr="00C01158">
        <w:rPr>
          <w:sz w:val="24"/>
          <w:shd w:val="clear" w:color="auto" w:fill="FFFFFF"/>
          <w:lang w:eastAsia="en-ZA"/>
        </w:rPr>
        <w:t xml:space="preserve"> high court adopted Dainfern’s </w:t>
      </w:r>
      <w:r w:rsidR="00EF07E5" w:rsidRPr="00C01158">
        <w:rPr>
          <w:sz w:val="24"/>
          <w:shd w:val="clear" w:color="auto" w:fill="FFFFFF"/>
          <w:lang w:eastAsia="en-ZA"/>
        </w:rPr>
        <w:t>approach</w:t>
      </w:r>
      <w:r w:rsidR="002163E9" w:rsidRPr="00C01158">
        <w:rPr>
          <w:sz w:val="24"/>
          <w:shd w:val="clear" w:color="auto" w:fill="FFFFFF"/>
          <w:lang w:eastAsia="en-ZA"/>
        </w:rPr>
        <w:t>, which essentially implies that the claim by Dis-Chem should be vie</w:t>
      </w:r>
      <w:r w:rsidR="00432392" w:rsidRPr="00C01158">
        <w:rPr>
          <w:sz w:val="24"/>
          <w:shd w:val="clear" w:color="auto" w:fill="FFFFFF"/>
          <w:lang w:eastAsia="en-ZA"/>
        </w:rPr>
        <w:t xml:space="preserve">wed as consisting </w:t>
      </w:r>
      <w:r w:rsidR="0054415E" w:rsidRPr="00C01158">
        <w:rPr>
          <w:sz w:val="24"/>
          <w:shd w:val="clear" w:color="auto" w:fill="FFFFFF"/>
          <w:lang w:eastAsia="en-ZA"/>
        </w:rPr>
        <w:t xml:space="preserve">of </w:t>
      </w:r>
      <w:r w:rsidR="00432392" w:rsidRPr="00C01158">
        <w:rPr>
          <w:sz w:val="24"/>
          <w:shd w:val="clear" w:color="auto" w:fill="FFFFFF"/>
          <w:lang w:eastAsia="en-ZA"/>
        </w:rPr>
        <w:t>two parts</w:t>
      </w:r>
      <w:r w:rsidR="002163E9" w:rsidRPr="00C01158">
        <w:rPr>
          <w:sz w:val="24"/>
          <w:shd w:val="clear" w:color="auto" w:fill="FFFFFF"/>
          <w:lang w:eastAsia="en-ZA"/>
        </w:rPr>
        <w:t>. The one component is where Dainfern’s application of the formula to calculate turnover rental and issuing the in</w:t>
      </w:r>
      <w:r w:rsidR="00432392" w:rsidRPr="00C01158">
        <w:rPr>
          <w:sz w:val="24"/>
          <w:shd w:val="clear" w:color="auto" w:fill="FFFFFF"/>
          <w:lang w:eastAsia="en-ZA"/>
        </w:rPr>
        <w:t>flated invoices, is raised. Dainfern concedes that this part</w:t>
      </w:r>
      <w:r w:rsidR="002163E9" w:rsidRPr="00C01158">
        <w:rPr>
          <w:sz w:val="24"/>
          <w:shd w:val="clear" w:color="auto" w:fill="FFFFFF"/>
          <w:lang w:eastAsia="en-ZA"/>
        </w:rPr>
        <w:t xml:space="preserve"> of the claim relates to the interpretation of annexure </w:t>
      </w:r>
      <w:r w:rsidR="00BB4B1F" w:rsidRPr="00C01158">
        <w:rPr>
          <w:sz w:val="24"/>
          <w:shd w:val="clear" w:color="auto" w:fill="FFFFFF"/>
          <w:lang w:eastAsia="en-ZA"/>
        </w:rPr>
        <w:t>‘</w:t>
      </w:r>
      <w:r w:rsidR="002163E9" w:rsidRPr="00C01158">
        <w:rPr>
          <w:sz w:val="24"/>
          <w:shd w:val="clear" w:color="auto" w:fill="FFFFFF"/>
          <w:lang w:eastAsia="en-ZA"/>
        </w:rPr>
        <w:t>F</w:t>
      </w:r>
      <w:r w:rsidR="00BB4B1F" w:rsidRPr="00C01158">
        <w:rPr>
          <w:sz w:val="24"/>
          <w:shd w:val="clear" w:color="auto" w:fill="FFFFFF"/>
          <w:lang w:eastAsia="en-ZA"/>
        </w:rPr>
        <w:t>’</w:t>
      </w:r>
      <w:r w:rsidR="002163E9" w:rsidRPr="00C01158">
        <w:rPr>
          <w:sz w:val="24"/>
          <w:shd w:val="clear" w:color="auto" w:fill="FFFFFF"/>
          <w:lang w:eastAsia="en-ZA"/>
        </w:rPr>
        <w:t xml:space="preserve">. It falls within the arbitrator’s jurisdiction. There is thus no dispute in this regard. </w:t>
      </w:r>
    </w:p>
    <w:p w14:paraId="608961E3" w14:textId="77777777" w:rsidR="002163E9" w:rsidRPr="00925A9D" w:rsidRDefault="002163E9" w:rsidP="002163E9">
      <w:pPr>
        <w:pStyle w:val="ListParagraph"/>
        <w:numPr>
          <w:ilvl w:val="0"/>
          <w:numId w:val="0"/>
        </w:numPr>
        <w:tabs>
          <w:tab w:val="clear" w:pos="1134"/>
          <w:tab w:val="left" w:pos="567"/>
        </w:tabs>
        <w:spacing w:after="0" w:line="360" w:lineRule="auto"/>
        <w:rPr>
          <w:sz w:val="24"/>
          <w:shd w:val="clear" w:color="auto" w:fill="FFFFFF"/>
          <w:lang w:eastAsia="en-ZA"/>
        </w:rPr>
      </w:pPr>
    </w:p>
    <w:p w14:paraId="77C8C698" w14:textId="097F96E4" w:rsidR="002163E9" w:rsidRPr="00C01158" w:rsidRDefault="00C01158" w:rsidP="00C01158">
      <w:pPr>
        <w:tabs>
          <w:tab w:val="left" w:pos="709"/>
        </w:tabs>
        <w:spacing w:line="360" w:lineRule="auto"/>
        <w:rPr>
          <w:sz w:val="24"/>
          <w:shd w:val="clear" w:color="auto" w:fill="FFFFFF"/>
          <w:lang w:eastAsia="en-ZA"/>
        </w:rPr>
      </w:pPr>
      <w:r w:rsidRPr="00925A9D">
        <w:rPr>
          <w:rFonts w:eastAsia="Calibri"/>
          <w:sz w:val="24"/>
          <w:lang w:val="en-ZA" w:eastAsia="en-ZA"/>
        </w:rPr>
        <w:t>[16]</w:t>
      </w:r>
      <w:r w:rsidRPr="00925A9D">
        <w:rPr>
          <w:rFonts w:eastAsia="Calibri"/>
          <w:sz w:val="24"/>
          <w:lang w:val="en-ZA" w:eastAsia="en-ZA"/>
        </w:rPr>
        <w:tab/>
      </w:r>
      <w:r w:rsidR="00B84615" w:rsidRPr="00C01158">
        <w:rPr>
          <w:sz w:val="24"/>
          <w:shd w:val="clear" w:color="auto" w:fill="FFFFFF"/>
          <w:lang w:eastAsia="en-ZA"/>
        </w:rPr>
        <w:t>The</w:t>
      </w:r>
      <w:r w:rsidR="00432392" w:rsidRPr="00C01158">
        <w:rPr>
          <w:sz w:val="24"/>
          <w:shd w:val="clear" w:color="auto" w:fill="FFFFFF"/>
          <w:lang w:eastAsia="en-ZA"/>
        </w:rPr>
        <w:t xml:space="preserve"> disputed part</w:t>
      </w:r>
      <w:r w:rsidR="002163E9" w:rsidRPr="00C01158">
        <w:rPr>
          <w:sz w:val="24"/>
          <w:shd w:val="clear" w:color="auto" w:fill="FFFFFF"/>
          <w:lang w:eastAsia="en-ZA"/>
        </w:rPr>
        <w:t xml:space="preserve"> of the claim relates to the relief s</w:t>
      </w:r>
      <w:r w:rsidR="00432392" w:rsidRPr="00C01158">
        <w:rPr>
          <w:sz w:val="24"/>
          <w:shd w:val="clear" w:color="auto" w:fill="FFFFFF"/>
          <w:lang w:eastAsia="en-ZA"/>
        </w:rPr>
        <w:t xml:space="preserve">ought by Dis-Chem, should it </w:t>
      </w:r>
      <w:r w:rsidR="00526E02" w:rsidRPr="00C01158">
        <w:rPr>
          <w:sz w:val="24"/>
          <w:shd w:val="clear" w:color="auto" w:fill="FFFFFF"/>
          <w:lang w:eastAsia="en-ZA"/>
        </w:rPr>
        <w:t>succeed</w:t>
      </w:r>
      <w:r w:rsidR="00B51C3D" w:rsidRPr="00C01158">
        <w:rPr>
          <w:sz w:val="24"/>
          <w:shd w:val="clear" w:color="auto" w:fill="FFFFFF"/>
          <w:lang w:eastAsia="en-ZA"/>
        </w:rPr>
        <w:t>,</w:t>
      </w:r>
      <w:r w:rsidR="002163E9" w:rsidRPr="00C01158">
        <w:rPr>
          <w:sz w:val="24"/>
          <w:shd w:val="clear" w:color="auto" w:fill="FFFFFF"/>
          <w:lang w:eastAsia="en-ZA"/>
        </w:rPr>
        <w:t xml:space="preserve"> on</w:t>
      </w:r>
      <w:r w:rsidR="00B95894" w:rsidRPr="00C01158">
        <w:rPr>
          <w:sz w:val="24"/>
          <w:shd w:val="clear" w:color="auto" w:fill="FFFFFF"/>
          <w:lang w:eastAsia="en-ZA"/>
        </w:rPr>
        <w:t xml:space="preserve"> its</w:t>
      </w:r>
      <w:r w:rsidR="002163E9" w:rsidRPr="00C01158">
        <w:rPr>
          <w:sz w:val="24"/>
          <w:shd w:val="clear" w:color="auto" w:fill="FFFFFF"/>
          <w:lang w:eastAsia="en-ZA"/>
        </w:rPr>
        <w:t xml:space="preserve"> interpretation</w:t>
      </w:r>
      <w:r w:rsidR="00B51C3D" w:rsidRPr="00C01158">
        <w:rPr>
          <w:sz w:val="24"/>
          <w:shd w:val="clear" w:color="auto" w:fill="FFFFFF"/>
          <w:lang w:eastAsia="en-ZA"/>
        </w:rPr>
        <w:t>, to prove that the invoices</w:t>
      </w:r>
      <w:r w:rsidR="002163E9" w:rsidRPr="00C01158">
        <w:rPr>
          <w:sz w:val="24"/>
          <w:shd w:val="clear" w:color="auto" w:fill="FFFFFF"/>
          <w:lang w:eastAsia="en-ZA"/>
        </w:rPr>
        <w:t xml:space="preserve"> were incorrect. Dainfern contends that the relief or award sought by Dis-Chem is in the form of unjustified enrichment;</w:t>
      </w:r>
      <w:r w:rsidR="00B95894" w:rsidRPr="00C01158">
        <w:rPr>
          <w:sz w:val="24"/>
          <w:shd w:val="clear" w:color="auto" w:fill="FFFFFF"/>
          <w:lang w:eastAsia="en-ZA"/>
        </w:rPr>
        <w:t xml:space="preserve"> which is</w:t>
      </w:r>
      <w:r w:rsidR="002163E9" w:rsidRPr="00C01158">
        <w:rPr>
          <w:sz w:val="24"/>
          <w:shd w:val="clear" w:color="auto" w:fill="FFFFFF"/>
          <w:lang w:eastAsia="en-ZA"/>
        </w:rPr>
        <w:t xml:space="preserve"> a separate course of action that may raise ‘other re</w:t>
      </w:r>
      <w:r w:rsidR="00432392" w:rsidRPr="00C01158">
        <w:rPr>
          <w:sz w:val="24"/>
          <w:shd w:val="clear" w:color="auto" w:fill="FFFFFF"/>
          <w:lang w:eastAsia="en-ZA"/>
        </w:rPr>
        <w:t>quirements’. It is this part</w:t>
      </w:r>
      <w:r w:rsidR="002163E9" w:rsidRPr="00C01158">
        <w:rPr>
          <w:sz w:val="24"/>
          <w:shd w:val="clear" w:color="auto" w:fill="FFFFFF"/>
          <w:lang w:eastAsia="en-ZA"/>
        </w:rPr>
        <w:t xml:space="preserve"> of the claim, so</w:t>
      </w:r>
      <w:r w:rsidR="00432392" w:rsidRPr="00C01158">
        <w:rPr>
          <w:sz w:val="24"/>
          <w:shd w:val="clear" w:color="auto" w:fill="FFFFFF"/>
          <w:lang w:eastAsia="en-ZA"/>
        </w:rPr>
        <w:t xml:space="preserve"> continues</w:t>
      </w:r>
      <w:r w:rsidR="002163E9" w:rsidRPr="00C01158">
        <w:rPr>
          <w:sz w:val="24"/>
          <w:shd w:val="clear" w:color="auto" w:fill="FFFFFF"/>
          <w:lang w:eastAsia="en-ZA"/>
        </w:rPr>
        <w:t xml:space="preserve"> Dainfern</w:t>
      </w:r>
      <w:r w:rsidR="00432392" w:rsidRPr="00C01158">
        <w:rPr>
          <w:sz w:val="24"/>
          <w:shd w:val="clear" w:color="auto" w:fill="FFFFFF"/>
          <w:lang w:eastAsia="en-ZA"/>
        </w:rPr>
        <w:t>’s argument, which</w:t>
      </w:r>
      <w:r w:rsidR="002163E9" w:rsidRPr="00C01158">
        <w:rPr>
          <w:sz w:val="24"/>
          <w:shd w:val="clear" w:color="auto" w:fill="FFFFFF"/>
          <w:lang w:eastAsia="en-ZA"/>
        </w:rPr>
        <w:t xml:space="preserve"> falls out</w:t>
      </w:r>
      <w:r w:rsidR="0054415E" w:rsidRPr="00C01158">
        <w:rPr>
          <w:sz w:val="24"/>
          <w:shd w:val="clear" w:color="auto" w:fill="FFFFFF"/>
          <w:lang w:eastAsia="en-ZA"/>
        </w:rPr>
        <w:t>side</w:t>
      </w:r>
      <w:r w:rsidR="002163E9" w:rsidRPr="00C01158">
        <w:rPr>
          <w:sz w:val="24"/>
          <w:shd w:val="clear" w:color="auto" w:fill="FFFFFF"/>
          <w:lang w:eastAsia="en-ZA"/>
        </w:rPr>
        <w:t xml:space="preserve"> of the agreement and beyond the terms of the arbitration clause 33.1 of the lease agreem</w:t>
      </w:r>
      <w:r w:rsidR="00432392" w:rsidRPr="00C01158">
        <w:rPr>
          <w:sz w:val="24"/>
          <w:shd w:val="clear" w:color="auto" w:fill="FFFFFF"/>
          <w:lang w:eastAsia="en-ZA"/>
        </w:rPr>
        <w:t>ent.</w:t>
      </w:r>
      <w:r w:rsidR="00DC4DC0" w:rsidRPr="00C01158">
        <w:rPr>
          <w:sz w:val="24"/>
          <w:shd w:val="clear" w:color="auto" w:fill="FFFFFF"/>
          <w:lang w:eastAsia="en-ZA"/>
        </w:rPr>
        <w:t xml:space="preserve"> The contention is that</w:t>
      </w:r>
      <w:r w:rsidR="002163E9" w:rsidRPr="00C01158">
        <w:rPr>
          <w:sz w:val="24"/>
          <w:shd w:val="clear" w:color="auto" w:fill="FFFFFF"/>
          <w:lang w:eastAsia="en-ZA"/>
        </w:rPr>
        <w:t xml:space="preserve"> the arbitrator has no jurisdiction to make an award based on unjustified enrichment. This is the nub of the objection to jurisdiction, on which the high</w:t>
      </w:r>
      <w:r w:rsidR="007B4C05" w:rsidRPr="00C01158">
        <w:rPr>
          <w:sz w:val="24"/>
          <w:shd w:val="clear" w:color="auto" w:fill="FFFFFF"/>
          <w:lang w:eastAsia="en-ZA"/>
        </w:rPr>
        <w:t> </w:t>
      </w:r>
      <w:r w:rsidR="002163E9" w:rsidRPr="00C01158">
        <w:rPr>
          <w:sz w:val="24"/>
          <w:shd w:val="clear" w:color="auto" w:fill="FFFFFF"/>
          <w:lang w:eastAsia="en-ZA"/>
        </w:rPr>
        <w:t>court also based its conclusion.</w:t>
      </w:r>
    </w:p>
    <w:p w14:paraId="72A89E49" w14:textId="77777777" w:rsidR="00A94490" w:rsidRPr="00925A9D" w:rsidRDefault="00A94490" w:rsidP="00AE311F">
      <w:pPr>
        <w:spacing w:line="360" w:lineRule="auto"/>
        <w:rPr>
          <w:sz w:val="24"/>
          <w:lang w:val="en-US"/>
        </w:rPr>
      </w:pPr>
    </w:p>
    <w:p w14:paraId="3BEB0212" w14:textId="3731098C" w:rsidR="00AE091C" w:rsidRPr="00C01158" w:rsidRDefault="00C01158" w:rsidP="00C01158">
      <w:pPr>
        <w:tabs>
          <w:tab w:val="left" w:pos="709"/>
        </w:tabs>
        <w:spacing w:line="360" w:lineRule="auto"/>
        <w:rPr>
          <w:sz w:val="22"/>
          <w:szCs w:val="22"/>
          <w:lang w:val="en-US"/>
        </w:rPr>
      </w:pPr>
      <w:r w:rsidRPr="00925A9D">
        <w:rPr>
          <w:rFonts w:eastAsia="Calibri"/>
          <w:sz w:val="24"/>
          <w:lang w:val="en-US"/>
        </w:rPr>
        <w:t>[17]</w:t>
      </w:r>
      <w:r w:rsidRPr="00925A9D">
        <w:rPr>
          <w:rFonts w:eastAsia="Calibri"/>
          <w:sz w:val="24"/>
          <w:lang w:val="en-US"/>
        </w:rPr>
        <w:tab/>
      </w:r>
      <w:r w:rsidR="009454A2" w:rsidRPr="00C01158">
        <w:rPr>
          <w:sz w:val="24"/>
          <w:lang w:val="en-US"/>
        </w:rPr>
        <w:t>T</w:t>
      </w:r>
      <w:r w:rsidR="002163E9" w:rsidRPr="00C01158">
        <w:rPr>
          <w:sz w:val="24"/>
          <w:lang w:val="en-US"/>
        </w:rPr>
        <w:t>he high court held</w:t>
      </w:r>
      <w:r w:rsidR="009454A2" w:rsidRPr="00C01158">
        <w:rPr>
          <w:sz w:val="24"/>
          <w:lang w:val="en-US"/>
        </w:rPr>
        <w:t xml:space="preserve"> that since the </w:t>
      </w:r>
      <w:r w:rsidR="00BC100F" w:rsidRPr="00C01158">
        <w:rPr>
          <w:sz w:val="24"/>
          <w:lang w:val="en-US"/>
        </w:rPr>
        <w:t>claim was o</w:t>
      </w:r>
      <w:r w:rsidR="00E808E3" w:rsidRPr="00C01158">
        <w:rPr>
          <w:sz w:val="24"/>
          <w:lang w:val="en-US"/>
        </w:rPr>
        <w:t>ne of enrichment, it contemplate</w:t>
      </w:r>
      <w:r w:rsidR="0054415E" w:rsidRPr="00C01158">
        <w:rPr>
          <w:sz w:val="24"/>
          <w:lang w:val="en-US"/>
        </w:rPr>
        <w:t>d</w:t>
      </w:r>
      <w:r w:rsidR="00BC100F" w:rsidRPr="00C01158">
        <w:rPr>
          <w:sz w:val="24"/>
          <w:lang w:val="en-US"/>
        </w:rPr>
        <w:t xml:space="preserve"> </w:t>
      </w:r>
      <w:r w:rsidR="00E808E3" w:rsidRPr="00C01158">
        <w:rPr>
          <w:sz w:val="24"/>
          <w:lang w:val="en-US"/>
        </w:rPr>
        <w:t>‘</w:t>
      </w:r>
      <w:r w:rsidR="00BC100F" w:rsidRPr="00C01158">
        <w:rPr>
          <w:sz w:val="24"/>
          <w:lang w:val="en-US"/>
        </w:rPr>
        <w:t>other requirements</w:t>
      </w:r>
      <w:r w:rsidR="00E808E3" w:rsidRPr="00C01158">
        <w:rPr>
          <w:sz w:val="24"/>
          <w:lang w:val="en-US"/>
        </w:rPr>
        <w:t>’</w:t>
      </w:r>
      <w:r w:rsidR="00BC100F" w:rsidRPr="00C01158">
        <w:rPr>
          <w:sz w:val="24"/>
          <w:lang w:val="en-US"/>
        </w:rPr>
        <w:t xml:space="preserve"> of enrichment, beyond the interpretation which wo</w:t>
      </w:r>
      <w:r w:rsidR="003A54A8" w:rsidRPr="00C01158">
        <w:rPr>
          <w:sz w:val="24"/>
          <w:lang w:val="en-US"/>
        </w:rPr>
        <w:t>uld have to be considered.</w:t>
      </w:r>
      <w:r w:rsidR="00A544EF" w:rsidRPr="00C01158">
        <w:rPr>
          <w:sz w:val="24"/>
          <w:lang w:val="en-US"/>
        </w:rPr>
        <w:t xml:space="preserve"> </w:t>
      </w:r>
      <w:r w:rsidR="00AE091C" w:rsidRPr="00C01158">
        <w:rPr>
          <w:sz w:val="24"/>
          <w:lang w:val="en-US"/>
        </w:rPr>
        <w:t>It held that:</w:t>
      </w:r>
    </w:p>
    <w:p w14:paraId="18F43221" w14:textId="7C0F01A6" w:rsidR="00AE091C" w:rsidRPr="00925A9D" w:rsidRDefault="00AE091C" w:rsidP="008A731C">
      <w:pPr>
        <w:spacing w:line="360" w:lineRule="auto"/>
        <w:jc w:val="both"/>
        <w:rPr>
          <w:sz w:val="22"/>
          <w:szCs w:val="22"/>
          <w:lang w:val="en-US"/>
        </w:rPr>
      </w:pPr>
      <w:r w:rsidRPr="00925A9D">
        <w:rPr>
          <w:sz w:val="22"/>
          <w:szCs w:val="22"/>
          <w:lang w:val="en-US"/>
        </w:rPr>
        <w:t>“</w:t>
      </w:r>
      <w:r w:rsidR="009454A2" w:rsidRPr="00925A9D">
        <w:rPr>
          <w:sz w:val="22"/>
          <w:szCs w:val="22"/>
          <w:lang w:val="en-US"/>
        </w:rPr>
        <w:t>These other requirements</w:t>
      </w:r>
      <w:r w:rsidRPr="00925A9D">
        <w:rPr>
          <w:sz w:val="22"/>
          <w:szCs w:val="22"/>
          <w:lang w:val="en-US"/>
        </w:rPr>
        <w:t xml:space="preserve"> are not expressly mentioned in clause 33.</w:t>
      </w:r>
      <w:r w:rsidR="00E05776" w:rsidRPr="00925A9D">
        <w:rPr>
          <w:sz w:val="22"/>
          <w:szCs w:val="22"/>
          <w:lang w:val="en-US"/>
        </w:rPr>
        <w:t>1. This</w:t>
      </w:r>
      <w:r w:rsidRPr="00925A9D">
        <w:rPr>
          <w:sz w:val="22"/>
          <w:szCs w:val="22"/>
          <w:lang w:val="en-US"/>
        </w:rPr>
        <w:t xml:space="preserve"> would entail that the arbitrator may only adjudicate on the interpretation of annexure “F” to the agreement and the remainder of the issues in dispute will </w:t>
      </w:r>
      <w:r w:rsidR="00A94490" w:rsidRPr="00925A9D">
        <w:rPr>
          <w:sz w:val="22"/>
          <w:szCs w:val="22"/>
          <w:lang w:val="en-US"/>
        </w:rPr>
        <w:t>need to be</w:t>
      </w:r>
      <w:r w:rsidR="0046623D" w:rsidRPr="00925A9D">
        <w:rPr>
          <w:sz w:val="22"/>
          <w:szCs w:val="22"/>
          <w:lang w:val="en-US"/>
        </w:rPr>
        <w:t xml:space="preserve"> determined</w:t>
      </w:r>
      <w:r w:rsidR="00A94490" w:rsidRPr="00925A9D">
        <w:rPr>
          <w:sz w:val="22"/>
          <w:szCs w:val="22"/>
          <w:lang w:val="en-US"/>
        </w:rPr>
        <w:t xml:space="preserve"> by another forum.</w:t>
      </w:r>
      <w:r w:rsidR="009501D3" w:rsidRPr="00925A9D">
        <w:rPr>
          <w:sz w:val="22"/>
          <w:szCs w:val="22"/>
          <w:lang w:val="en-US"/>
        </w:rPr>
        <w:t xml:space="preserve"> This an arbitrator may not do. In the words of Ponnan JA: </w:t>
      </w:r>
      <w:r w:rsidRPr="00925A9D">
        <w:rPr>
          <w:sz w:val="22"/>
          <w:szCs w:val="22"/>
          <w:lang w:val="en-US"/>
        </w:rPr>
        <w:t>“</w:t>
      </w:r>
      <w:r w:rsidR="009B186A" w:rsidRPr="00925A9D">
        <w:rPr>
          <w:sz w:val="22"/>
          <w:szCs w:val="22"/>
          <w:lang w:val="en-US"/>
        </w:rPr>
        <w:t>[</w:t>
      </w:r>
      <w:r w:rsidRPr="00925A9D">
        <w:rPr>
          <w:sz w:val="22"/>
          <w:szCs w:val="22"/>
          <w:lang w:val="en-US"/>
        </w:rPr>
        <w:t>t</w:t>
      </w:r>
      <w:r w:rsidR="009B186A" w:rsidRPr="00925A9D">
        <w:rPr>
          <w:sz w:val="22"/>
          <w:szCs w:val="22"/>
          <w:lang w:val="en-US"/>
        </w:rPr>
        <w:t>]</w:t>
      </w:r>
      <w:r w:rsidR="0046623D" w:rsidRPr="00925A9D">
        <w:rPr>
          <w:sz w:val="22"/>
          <w:szCs w:val="22"/>
          <w:lang w:val="en-US"/>
        </w:rPr>
        <w:t>he award</w:t>
      </w:r>
      <w:r w:rsidR="00C41D86" w:rsidRPr="00925A9D">
        <w:rPr>
          <w:sz w:val="22"/>
          <w:szCs w:val="22"/>
          <w:lang w:val="en-US"/>
        </w:rPr>
        <w:t xml:space="preserve"> or determination may therefore not reserve a decision on an issue before the arbitrator or expert for another to resolve</w:t>
      </w:r>
      <w:r w:rsidRPr="00925A9D">
        <w:rPr>
          <w:sz w:val="22"/>
          <w:szCs w:val="22"/>
          <w:lang w:val="en-US"/>
        </w:rPr>
        <w:t>.</w:t>
      </w:r>
      <w:r w:rsidR="009501D3" w:rsidRPr="00925A9D">
        <w:rPr>
          <w:sz w:val="22"/>
          <w:szCs w:val="22"/>
          <w:lang w:val="en-US"/>
        </w:rPr>
        <w:t>”</w:t>
      </w:r>
      <w:r w:rsidR="00C41D86" w:rsidRPr="00925A9D">
        <w:rPr>
          <w:sz w:val="22"/>
          <w:szCs w:val="22"/>
          <w:lang w:val="en-US"/>
        </w:rPr>
        <w:t>’</w:t>
      </w:r>
      <w:r w:rsidR="0046623D" w:rsidRPr="00925A9D">
        <w:rPr>
          <w:sz w:val="22"/>
          <w:szCs w:val="22"/>
          <w:lang w:val="en-US"/>
        </w:rPr>
        <w:t xml:space="preserve"> </w:t>
      </w:r>
    </w:p>
    <w:p w14:paraId="00FD1D10" w14:textId="661B60D1" w:rsidR="000729E2" w:rsidRPr="00925A9D" w:rsidRDefault="00B51C3D" w:rsidP="008A731C">
      <w:pPr>
        <w:spacing w:line="360" w:lineRule="auto"/>
        <w:jc w:val="both"/>
        <w:rPr>
          <w:sz w:val="24"/>
          <w:lang w:val="en-US"/>
        </w:rPr>
      </w:pPr>
      <w:r w:rsidRPr="00925A9D">
        <w:rPr>
          <w:sz w:val="24"/>
          <w:lang w:val="en-US"/>
        </w:rPr>
        <w:t>The quoted text attributed to Ponnan J</w:t>
      </w:r>
      <w:r w:rsidR="005A66EE" w:rsidRPr="00925A9D">
        <w:rPr>
          <w:sz w:val="24"/>
          <w:lang w:val="en-US"/>
        </w:rPr>
        <w:t>A</w:t>
      </w:r>
      <w:r w:rsidRPr="00925A9D">
        <w:rPr>
          <w:sz w:val="24"/>
          <w:lang w:val="en-US"/>
        </w:rPr>
        <w:t xml:space="preserve"> was extrapolated from</w:t>
      </w:r>
      <w:r w:rsidRPr="00925A9D">
        <w:rPr>
          <w:i/>
          <w:sz w:val="24"/>
          <w:lang w:eastAsia="en-ZA"/>
        </w:rPr>
        <w:t xml:space="preserve"> Termico (Pty) Ltd v SPX Technologies (Pty) Ltd &amp; </w:t>
      </w:r>
      <w:r w:rsidR="00EF07E5" w:rsidRPr="00925A9D">
        <w:rPr>
          <w:i/>
          <w:sz w:val="24"/>
          <w:lang w:eastAsia="en-ZA"/>
        </w:rPr>
        <w:t>O</w:t>
      </w:r>
      <w:r w:rsidRPr="00925A9D">
        <w:rPr>
          <w:i/>
          <w:sz w:val="24"/>
          <w:lang w:eastAsia="en-ZA"/>
        </w:rPr>
        <w:t>thers</w:t>
      </w:r>
      <w:r w:rsidR="00EF07E5" w:rsidRPr="00925A9D">
        <w:rPr>
          <w:i/>
          <w:sz w:val="24"/>
          <w:lang w:eastAsia="en-ZA"/>
        </w:rPr>
        <w:t xml:space="preserve"> (Termico)</w:t>
      </w:r>
      <w:r w:rsidRPr="00925A9D">
        <w:rPr>
          <w:rStyle w:val="FootnoteReference"/>
          <w:i/>
          <w:sz w:val="24"/>
          <w:lang w:eastAsia="en-ZA"/>
        </w:rPr>
        <w:footnoteReference w:id="2"/>
      </w:r>
      <w:r w:rsidR="008F56A3" w:rsidRPr="00925A9D">
        <w:rPr>
          <w:sz w:val="24"/>
          <w:lang w:eastAsia="en-ZA"/>
        </w:rPr>
        <w:t>.</w:t>
      </w:r>
      <w:r w:rsidR="005A66EE" w:rsidRPr="00925A9D">
        <w:rPr>
          <w:sz w:val="24"/>
          <w:lang w:eastAsia="en-ZA"/>
        </w:rPr>
        <w:t xml:space="preserve"> I will return to this aspect later in the judgment.</w:t>
      </w:r>
    </w:p>
    <w:p w14:paraId="28B98515" w14:textId="77777777" w:rsidR="001B58C3" w:rsidRPr="00925A9D" w:rsidRDefault="001B58C3" w:rsidP="00AE311F">
      <w:pPr>
        <w:pStyle w:val="ListParagraph"/>
        <w:numPr>
          <w:ilvl w:val="0"/>
          <w:numId w:val="0"/>
        </w:numPr>
        <w:spacing w:after="0" w:line="360" w:lineRule="auto"/>
        <w:rPr>
          <w:sz w:val="22"/>
          <w:szCs w:val="22"/>
          <w:lang w:val="en-US"/>
        </w:rPr>
      </w:pPr>
    </w:p>
    <w:p w14:paraId="2DBB8520" w14:textId="27E107E4" w:rsidR="001B58C3" w:rsidRPr="00C01158" w:rsidRDefault="00C01158" w:rsidP="00C01158">
      <w:pPr>
        <w:tabs>
          <w:tab w:val="left" w:pos="709"/>
        </w:tabs>
        <w:spacing w:line="360" w:lineRule="auto"/>
        <w:rPr>
          <w:sz w:val="24"/>
          <w:lang w:val="en-US"/>
        </w:rPr>
      </w:pPr>
      <w:r w:rsidRPr="00925A9D">
        <w:rPr>
          <w:rFonts w:eastAsia="Calibri"/>
          <w:sz w:val="24"/>
          <w:lang w:val="en-US"/>
        </w:rPr>
        <w:t>[18]</w:t>
      </w:r>
      <w:r w:rsidRPr="00925A9D">
        <w:rPr>
          <w:rFonts w:eastAsia="Calibri"/>
          <w:sz w:val="24"/>
          <w:lang w:val="en-US"/>
        </w:rPr>
        <w:tab/>
      </w:r>
      <w:r w:rsidR="001B58C3" w:rsidRPr="00C01158">
        <w:rPr>
          <w:sz w:val="24"/>
          <w:lang w:val="en-US"/>
        </w:rPr>
        <w:t xml:space="preserve">In the present case, by concluding as it did, the high court erred in overlooking the nature of the dispute. Central to Dis-Chem’s claim, as described by the arbitrator in his award, is the determination of the dispute as to the correct interpretation in the </w:t>
      </w:r>
      <w:r w:rsidR="001B58C3" w:rsidRPr="00C01158">
        <w:rPr>
          <w:sz w:val="24"/>
          <w:lang w:val="en-US"/>
        </w:rPr>
        <w:lastRenderedPageBreak/>
        <w:t xml:space="preserve">course of </w:t>
      </w:r>
      <w:r w:rsidR="00BE3617" w:rsidRPr="00C01158">
        <w:rPr>
          <w:sz w:val="24"/>
          <w:lang w:val="en-US"/>
        </w:rPr>
        <w:t xml:space="preserve">the </w:t>
      </w:r>
      <w:r w:rsidR="001B58C3" w:rsidRPr="00C01158">
        <w:rPr>
          <w:sz w:val="24"/>
          <w:lang w:val="en-US"/>
        </w:rPr>
        <w:t>implementation</w:t>
      </w:r>
      <w:r w:rsidR="00AC7FD6" w:rsidRPr="00C01158">
        <w:rPr>
          <w:sz w:val="24"/>
          <w:lang w:val="en-US"/>
        </w:rPr>
        <w:t xml:space="preserve"> of annexure ‘F’</w:t>
      </w:r>
      <w:r w:rsidR="001B58C3" w:rsidRPr="00C01158">
        <w:rPr>
          <w:sz w:val="24"/>
          <w:lang w:val="en-US"/>
        </w:rPr>
        <w:t xml:space="preserve"> of the lease agreement, relating to turnover rental. Until that determination is made, the issue as to whether any party was unjustifiably enriched or impoverished, does not arise. Less so ‘other requirements’ that would go with enrichment which, as it turns out, do not appear anywhere in the pleadings. Dainfern, in its response to Dis-Chem’s claim, had not pleaded any ‘other requirements’ of unjustified enrichment and how ‘the other requirements’ find application to exclude the jurisdiction of the arbitrator. Equally so, the high court has not attempted to identify or define the ‘other requirements’ alluded to. </w:t>
      </w:r>
    </w:p>
    <w:p w14:paraId="0DEEF425" w14:textId="77777777" w:rsidR="001B58C3" w:rsidRPr="00925A9D" w:rsidRDefault="001B58C3" w:rsidP="001B58C3">
      <w:pPr>
        <w:pStyle w:val="ListParagraph"/>
        <w:numPr>
          <w:ilvl w:val="0"/>
          <w:numId w:val="0"/>
        </w:numPr>
        <w:tabs>
          <w:tab w:val="left" w:pos="709"/>
        </w:tabs>
        <w:spacing w:after="0" w:line="360" w:lineRule="auto"/>
        <w:rPr>
          <w:sz w:val="24"/>
          <w:lang w:val="en-US"/>
        </w:rPr>
      </w:pPr>
    </w:p>
    <w:p w14:paraId="2318E8EA" w14:textId="77D29A13" w:rsidR="001B58C3" w:rsidRPr="00C01158" w:rsidRDefault="00C01158" w:rsidP="00C01158">
      <w:pPr>
        <w:tabs>
          <w:tab w:val="left" w:pos="709"/>
        </w:tabs>
        <w:spacing w:line="360" w:lineRule="auto"/>
        <w:rPr>
          <w:sz w:val="24"/>
          <w:lang w:val="en-US"/>
        </w:rPr>
      </w:pPr>
      <w:r w:rsidRPr="00925A9D">
        <w:rPr>
          <w:rFonts w:eastAsia="Calibri"/>
          <w:sz w:val="24"/>
          <w:lang w:val="en-US"/>
        </w:rPr>
        <w:t>[19]</w:t>
      </w:r>
      <w:r w:rsidRPr="00925A9D">
        <w:rPr>
          <w:rFonts w:eastAsia="Calibri"/>
          <w:sz w:val="24"/>
          <w:lang w:val="en-US"/>
        </w:rPr>
        <w:tab/>
      </w:r>
      <w:r w:rsidR="001B58C3" w:rsidRPr="00C01158">
        <w:rPr>
          <w:sz w:val="24"/>
          <w:lang w:val="en-US"/>
        </w:rPr>
        <w:t xml:space="preserve">The conclusion </w:t>
      </w:r>
      <w:r w:rsidR="003F0458" w:rsidRPr="00C01158">
        <w:rPr>
          <w:sz w:val="24"/>
          <w:lang w:val="en-US"/>
        </w:rPr>
        <w:t>of</w:t>
      </w:r>
      <w:r w:rsidR="001B58C3" w:rsidRPr="00C01158">
        <w:rPr>
          <w:sz w:val="24"/>
          <w:lang w:val="en-US"/>
        </w:rPr>
        <w:t xml:space="preserve"> the high court based on these unnamed </w:t>
      </w:r>
      <w:r w:rsidR="00BE3617" w:rsidRPr="00C01158">
        <w:rPr>
          <w:sz w:val="24"/>
          <w:lang w:val="en-US"/>
        </w:rPr>
        <w:t>‘</w:t>
      </w:r>
      <w:r w:rsidR="001B58C3" w:rsidRPr="00C01158">
        <w:rPr>
          <w:sz w:val="24"/>
          <w:lang w:val="en-US"/>
        </w:rPr>
        <w:t>other requirements</w:t>
      </w:r>
      <w:r w:rsidR="00BE3617" w:rsidRPr="00C01158">
        <w:rPr>
          <w:sz w:val="24"/>
          <w:lang w:val="en-US"/>
        </w:rPr>
        <w:t>’</w:t>
      </w:r>
      <w:r w:rsidR="001B58C3" w:rsidRPr="00C01158">
        <w:rPr>
          <w:sz w:val="24"/>
          <w:lang w:val="en-US"/>
        </w:rPr>
        <w:t xml:space="preserve"> amounts to speculation as to what may or may not arise in the course of the arbitration of the dispute. </w:t>
      </w:r>
      <w:r w:rsidR="005E667E" w:rsidRPr="00C01158">
        <w:rPr>
          <w:sz w:val="24"/>
          <w:lang w:val="en-US"/>
        </w:rPr>
        <w:t xml:space="preserve">Therefore, </w:t>
      </w:r>
      <w:r w:rsidR="001B58C3" w:rsidRPr="00C01158">
        <w:rPr>
          <w:sz w:val="24"/>
          <w:shd w:val="clear" w:color="auto" w:fill="FFFFFF"/>
          <w:lang w:eastAsia="en-ZA"/>
        </w:rPr>
        <w:t>the high court’s reasoning is grounded on conjecture.</w:t>
      </w:r>
      <w:r w:rsidR="000B6BDD" w:rsidRPr="00C01158">
        <w:rPr>
          <w:sz w:val="24"/>
          <w:shd w:val="clear" w:color="auto" w:fill="FFFFFF"/>
          <w:lang w:eastAsia="en-ZA"/>
        </w:rPr>
        <w:t xml:space="preserve"> Over the years, th</w:t>
      </w:r>
      <w:r w:rsidR="00F07EFF" w:rsidRPr="00C01158">
        <w:rPr>
          <w:sz w:val="24"/>
          <w:shd w:val="clear" w:color="auto" w:fill="FFFFFF"/>
          <w:lang w:eastAsia="en-ZA"/>
        </w:rPr>
        <w:t>e courts in South Africa, including this</w:t>
      </w:r>
      <w:r w:rsidR="000B6BDD" w:rsidRPr="00C01158">
        <w:rPr>
          <w:sz w:val="24"/>
          <w:shd w:val="clear" w:color="auto" w:fill="FFFFFF"/>
          <w:lang w:eastAsia="en-ZA"/>
        </w:rPr>
        <w:t xml:space="preserve"> Court</w:t>
      </w:r>
      <w:r w:rsidR="00F07EFF" w:rsidRPr="00C01158">
        <w:rPr>
          <w:sz w:val="24"/>
          <w:shd w:val="clear" w:color="auto" w:fill="FFFFFF"/>
          <w:lang w:eastAsia="en-ZA"/>
        </w:rPr>
        <w:t xml:space="preserve">, relying </w:t>
      </w:r>
      <w:r w:rsidR="009A4053" w:rsidRPr="00C01158">
        <w:rPr>
          <w:sz w:val="24"/>
          <w:shd w:val="clear" w:color="auto" w:fill="FFFFFF"/>
          <w:lang w:eastAsia="en-ZA"/>
        </w:rPr>
        <w:t>on cases</w:t>
      </w:r>
      <w:r w:rsidR="00F07EFF" w:rsidRPr="00C01158">
        <w:rPr>
          <w:sz w:val="24"/>
          <w:shd w:val="clear" w:color="auto" w:fill="FFFFFF"/>
          <w:lang w:eastAsia="en-ZA"/>
        </w:rPr>
        <w:t xml:space="preserve"> decided in England,</w:t>
      </w:r>
      <w:r w:rsidR="000B6BDD" w:rsidRPr="00C01158">
        <w:rPr>
          <w:sz w:val="24"/>
          <w:shd w:val="clear" w:color="auto" w:fill="FFFFFF"/>
          <w:lang w:eastAsia="en-ZA"/>
        </w:rPr>
        <w:t xml:space="preserve"> ha</w:t>
      </w:r>
      <w:r w:rsidR="00F07EFF" w:rsidRPr="00C01158">
        <w:rPr>
          <w:sz w:val="24"/>
          <w:shd w:val="clear" w:color="auto" w:fill="FFFFFF"/>
          <w:lang w:eastAsia="en-ZA"/>
        </w:rPr>
        <w:t>ve</w:t>
      </w:r>
      <w:r w:rsidR="000B6BDD" w:rsidRPr="00C01158">
        <w:rPr>
          <w:sz w:val="24"/>
          <w:shd w:val="clear" w:color="auto" w:fill="FFFFFF"/>
          <w:lang w:eastAsia="en-ZA"/>
        </w:rPr>
        <w:t xml:space="preserve"> developed the approach and principles applicable to the determination of the scope of jurisdiction of an arbitrator. The following are some of the authorities relevant to the issue in this appeal.</w:t>
      </w:r>
      <w:r w:rsidR="001B58C3" w:rsidRPr="00C01158">
        <w:rPr>
          <w:sz w:val="24"/>
          <w:shd w:val="clear" w:color="auto" w:fill="FFFFFF"/>
          <w:lang w:eastAsia="en-ZA"/>
        </w:rPr>
        <w:t xml:space="preserve"> </w:t>
      </w:r>
    </w:p>
    <w:p w14:paraId="0DAC18B3" w14:textId="7F3D1721" w:rsidR="001B58C3" w:rsidRPr="00925A9D" w:rsidRDefault="001B58C3" w:rsidP="001B58C3">
      <w:pPr>
        <w:pStyle w:val="ListParagraph"/>
        <w:numPr>
          <w:ilvl w:val="0"/>
          <w:numId w:val="0"/>
        </w:numPr>
        <w:tabs>
          <w:tab w:val="clear" w:pos="1134"/>
          <w:tab w:val="left" w:pos="567"/>
        </w:tabs>
        <w:spacing w:after="0" w:line="360" w:lineRule="auto"/>
        <w:rPr>
          <w:sz w:val="24"/>
          <w:shd w:val="clear" w:color="auto" w:fill="FFFFFF"/>
          <w:lang w:eastAsia="en-ZA"/>
        </w:rPr>
      </w:pPr>
    </w:p>
    <w:p w14:paraId="6104B803" w14:textId="6F67B649" w:rsidR="00DD05E1" w:rsidRPr="00C01158" w:rsidRDefault="00C01158" w:rsidP="00C01158">
      <w:pPr>
        <w:tabs>
          <w:tab w:val="left" w:pos="0"/>
          <w:tab w:val="left" w:pos="709"/>
        </w:tabs>
        <w:spacing w:line="360" w:lineRule="auto"/>
        <w:rPr>
          <w:sz w:val="24"/>
          <w:lang w:eastAsia="en-ZA"/>
        </w:rPr>
      </w:pPr>
      <w:r w:rsidRPr="00925A9D">
        <w:rPr>
          <w:rFonts w:eastAsia="Calibri"/>
          <w:sz w:val="24"/>
          <w:lang w:val="en-ZA" w:eastAsia="en-ZA"/>
        </w:rPr>
        <w:t>[20]</w:t>
      </w:r>
      <w:r w:rsidRPr="00925A9D">
        <w:rPr>
          <w:rFonts w:eastAsia="Calibri"/>
          <w:sz w:val="24"/>
          <w:lang w:val="en-ZA" w:eastAsia="en-ZA"/>
        </w:rPr>
        <w:tab/>
      </w:r>
      <w:r w:rsidR="00DD05E1" w:rsidRPr="00C01158">
        <w:rPr>
          <w:sz w:val="24"/>
          <w:lang w:eastAsia="en-ZA"/>
        </w:rPr>
        <w:t xml:space="preserve">In </w:t>
      </w:r>
      <w:r w:rsidR="00DD05E1" w:rsidRPr="00C01158">
        <w:rPr>
          <w:i/>
          <w:sz w:val="24"/>
          <w:lang w:eastAsia="en-ZA"/>
        </w:rPr>
        <w:t>North East Finance v Standard Bank</w:t>
      </w:r>
      <w:r w:rsidR="006B6695" w:rsidRPr="00C01158">
        <w:rPr>
          <w:i/>
          <w:sz w:val="24"/>
          <w:lang w:eastAsia="en-ZA"/>
        </w:rPr>
        <w:t xml:space="preserve"> (North East Finance),</w:t>
      </w:r>
      <w:r w:rsidR="00DD05E1" w:rsidRPr="00925A9D">
        <w:rPr>
          <w:rStyle w:val="FootnoteReference"/>
          <w:sz w:val="24"/>
          <w:lang w:eastAsia="en-ZA"/>
        </w:rPr>
        <w:footnoteReference w:id="3"/>
      </w:r>
      <w:r w:rsidR="00DD05E1" w:rsidRPr="00C01158">
        <w:rPr>
          <w:sz w:val="24"/>
          <w:lang w:eastAsia="en-ZA"/>
        </w:rPr>
        <w:t xml:space="preserve"> </w:t>
      </w:r>
      <w:r w:rsidR="006B6695" w:rsidRPr="00C01158">
        <w:rPr>
          <w:sz w:val="24"/>
          <w:lang w:eastAsia="en-ZA"/>
        </w:rPr>
        <w:t>t</w:t>
      </w:r>
      <w:r w:rsidR="00DD05E1" w:rsidRPr="00C01158">
        <w:rPr>
          <w:sz w:val="24"/>
          <w:lang w:eastAsia="en-ZA"/>
        </w:rPr>
        <w:t>his Court held:</w:t>
      </w:r>
    </w:p>
    <w:p w14:paraId="5471D594" w14:textId="70FD51FB" w:rsidR="00B813C8" w:rsidRPr="00925A9D" w:rsidRDefault="00DD05E1" w:rsidP="00453E91">
      <w:pPr>
        <w:pStyle w:val="ListParagraph"/>
        <w:numPr>
          <w:ilvl w:val="0"/>
          <w:numId w:val="0"/>
        </w:numPr>
        <w:tabs>
          <w:tab w:val="left" w:pos="0"/>
        </w:tabs>
        <w:spacing w:line="360" w:lineRule="auto"/>
        <w:rPr>
          <w:sz w:val="22"/>
          <w:szCs w:val="22"/>
          <w:lang w:eastAsia="en-ZA"/>
        </w:rPr>
      </w:pPr>
      <w:r w:rsidRPr="00925A9D">
        <w:rPr>
          <w:sz w:val="22"/>
          <w:szCs w:val="22"/>
          <w:lang w:eastAsia="en-ZA"/>
        </w:rPr>
        <w:t xml:space="preserve">‘In addition, a contract must be interpreted so as to give it a commercially sensible meaning: </w:t>
      </w:r>
      <w:r w:rsidRPr="00925A9D">
        <w:rPr>
          <w:i/>
          <w:sz w:val="22"/>
          <w:szCs w:val="22"/>
          <w:lang w:eastAsia="en-ZA"/>
        </w:rPr>
        <w:t>Ekurhuleni Metropolitan Municipality v Germiston Municipal Retirement Fund</w:t>
      </w:r>
      <w:r w:rsidR="00B813C8" w:rsidRPr="00925A9D">
        <w:rPr>
          <w:sz w:val="22"/>
          <w:szCs w:val="22"/>
          <w:lang w:eastAsia="en-ZA"/>
        </w:rPr>
        <w:t>.</w:t>
      </w:r>
      <w:r w:rsidR="00D77FDB" w:rsidRPr="00925A9D">
        <w:rPr>
          <w:rStyle w:val="FootnoteReference"/>
          <w:sz w:val="22"/>
          <w:szCs w:val="22"/>
          <w:lang w:eastAsia="en-ZA"/>
        </w:rPr>
        <w:footnoteReference w:id="4"/>
      </w:r>
      <w:r w:rsidRPr="00925A9D">
        <w:rPr>
          <w:sz w:val="22"/>
          <w:szCs w:val="22"/>
          <w:lang w:eastAsia="en-ZA"/>
        </w:rPr>
        <w:t xml:space="preserve"> This is the approach taken to considering the ambit of an arbitration clause adopted in </w:t>
      </w:r>
      <w:r w:rsidRPr="00925A9D">
        <w:rPr>
          <w:i/>
          <w:sz w:val="22"/>
          <w:szCs w:val="22"/>
          <w:lang w:eastAsia="en-ZA"/>
        </w:rPr>
        <w:t>Fiona Trust</w:t>
      </w:r>
      <w:r w:rsidRPr="00925A9D">
        <w:rPr>
          <w:sz w:val="22"/>
          <w:szCs w:val="22"/>
          <w:lang w:eastAsia="en-ZA"/>
        </w:rPr>
        <w:t>. We must thus examine what the parties intended by having regard to the purpose of their contract.</w:t>
      </w:r>
      <w:r w:rsidR="00B813C8" w:rsidRPr="00925A9D">
        <w:rPr>
          <w:sz w:val="22"/>
          <w:szCs w:val="22"/>
          <w:lang w:eastAsia="en-ZA"/>
        </w:rPr>
        <w:t>’</w:t>
      </w:r>
    </w:p>
    <w:p w14:paraId="6805FB66" w14:textId="779B7ECD" w:rsidR="00BF2036" w:rsidRPr="00925A9D" w:rsidRDefault="009D5A65" w:rsidP="00453E91">
      <w:pPr>
        <w:tabs>
          <w:tab w:val="left" w:pos="0"/>
        </w:tabs>
        <w:spacing w:line="360" w:lineRule="auto"/>
        <w:jc w:val="both"/>
        <w:rPr>
          <w:sz w:val="24"/>
          <w:lang w:eastAsia="en-ZA"/>
        </w:rPr>
      </w:pPr>
      <w:r w:rsidRPr="00925A9D">
        <w:rPr>
          <w:sz w:val="24"/>
          <w:lang w:eastAsia="en-ZA"/>
        </w:rPr>
        <w:t>In a</w:t>
      </w:r>
      <w:r w:rsidR="00B813C8" w:rsidRPr="00925A9D">
        <w:rPr>
          <w:sz w:val="24"/>
          <w:lang w:eastAsia="en-ZA"/>
        </w:rPr>
        <w:t xml:space="preserve">dopting </w:t>
      </w:r>
      <w:r w:rsidR="005A66EE" w:rsidRPr="00925A9D">
        <w:rPr>
          <w:sz w:val="24"/>
          <w:lang w:eastAsia="en-ZA"/>
        </w:rPr>
        <w:t>the approach of the courts in England,</w:t>
      </w:r>
      <w:r w:rsidR="00B813C8" w:rsidRPr="00925A9D">
        <w:rPr>
          <w:sz w:val="24"/>
          <w:lang w:eastAsia="en-ZA"/>
        </w:rPr>
        <w:t xml:space="preserve"> the court in </w:t>
      </w:r>
      <w:r w:rsidR="00B813C8" w:rsidRPr="00925A9D">
        <w:rPr>
          <w:i/>
          <w:sz w:val="24"/>
          <w:lang w:eastAsia="en-ZA"/>
        </w:rPr>
        <w:t>North East Finance</w:t>
      </w:r>
      <w:r w:rsidR="005A66EE" w:rsidRPr="00925A9D">
        <w:rPr>
          <w:sz w:val="24"/>
          <w:lang w:eastAsia="en-ZA"/>
        </w:rPr>
        <w:t xml:space="preserve"> referred to an address by Lord Hoffman</w:t>
      </w:r>
      <w:r w:rsidRPr="00925A9D">
        <w:rPr>
          <w:sz w:val="24"/>
          <w:lang w:eastAsia="en-ZA"/>
        </w:rPr>
        <w:t xml:space="preserve"> </w:t>
      </w:r>
      <w:r w:rsidRPr="00925A9D">
        <w:rPr>
          <w:i/>
          <w:sz w:val="24"/>
          <w:lang w:eastAsia="en-ZA"/>
        </w:rPr>
        <w:t>in Fiona Trust</w:t>
      </w:r>
      <w:r w:rsidRPr="00925A9D">
        <w:rPr>
          <w:sz w:val="24"/>
          <w:lang w:eastAsia="en-ZA"/>
        </w:rPr>
        <w:t>,</w:t>
      </w:r>
      <w:r w:rsidR="005A66EE" w:rsidRPr="00925A9D">
        <w:rPr>
          <w:sz w:val="24"/>
          <w:lang w:eastAsia="en-ZA"/>
        </w:rPr>
        <w:t xml:space="preserve"> </w:t>
      </w:r>
      <w:r w:rsidR="00FB731D" w:rsidRPr="00925A9D">
        <w:rPr>
          <w:sz w:val="24"/>
          <w:lang w:eastAsia="en-ZA"/>
        </w:rPr>
        <w:t>and held:</w:t>
      </w:r>
      <w:r w:rsidR="00B813C8" w:rsidRPr="00925A9D">
        <w:rPr>
          <w:rStyle w:val="FootnoteReference"/>
          <w:sz w:val="24"/>
          <w:lang w:eastAsia="en-ZA"/>
        </w:rPr>
        <w:footnoteReference w:id="5"/>
      </w:r>
      <w:r w:rsidR="00453E91" w:rsidRPr="00925A9D">
        <w:rPr>
          <w:sz w:val="24"/>
          <w:lang w:eastAsia="en-ZA"/>
        </w:rPr>
        <w:t xml:space="preserve"> </w:t>
      </w:r>
    </w:p>
    <w:p w14:paraId="1E3DEEE3" w14:textId="38962685" w:rsidR="005A66EE" w:rsidRPr="00925A9D" w:rsidRDefault="00FB731D" w:rsidP="00453E91">
      <w:pPr>
        <w:tabs>
          <w:tab w:val="left" w:pos="0"/>
        </w:tabs>
        <w:spacing w:line="360" w:lineRule="auto"/>
        <w:jc w:val="both"/>
        <w:rPr>
          <w:bCs/>
          <w:sz w:val="22"/>
          <w:szCs w:val="22"/>
        </w:rPr>
      </w:pPr>
      <w:r w:rsidRPr="00925A9D">
        <w:rPr>
          <w:sz w:val="24"/>
          <w:lang w:eastAsia="en-ZA"/>
        </w:rPr>
        <w:t>‘</w:t>
      </w:r>
      <w:r w:rsidR="005A66EE" w:rsidRPr="00925A9D">
        <w:rPr>
          <w:bCs/>
          <w:sz w:val="22"/>
          <w:szCs w:val="22"/>
        </w:rPr>
        <w:t xml:space="preserve">It was necessary, therefore, Lord Hoffman said, to have regard to the purpose of the agreement as a whole and of the arbitration clause in particular. In doing so, the court would assume that generally parties intended to have all their disputes under an agreement </w:t>
      </w:r>
      <w:r w:rsidR="005A66EE" w:rsidRPr="00925A9D">
        <w:rPr>
          <w:bCs/>
          <w:sz w:val="22"/>
          <w:szCs w:val="22"/>
        </w:rPr>
        <w:lastRenderedPageBreak/>
        <w:t>determined by the same tribunal – not some disputes by an arbitrator and others by a court. If the parties intended otherwise, it was easy enough for them to say so.’</w:t>
      </w:r>
    </w:p>
    <w:p w14:paraId="4D63BDB7" w14:textId="77777777" w:rsidR="00B813C8" w:rsidRPr="00925A9D" w:rsidRDefault="00B813C8" w:rsidP="00B813C8">
      <w:pPr>
        <w:tabs>
          <w:tab w:val="left" w:pos="0"/>
        </w:tabs>
        <w:spacing w:line="360" w:lineRule="auto"/>
        <w:rPr>
          <w:sz w:val="22"/>
          <w:szCs w:val="22"/>
          <w:lang w:eastAsia="en-ZA"/>
        </w:rPr>
      </w:pPr>
    </w:p>
    <w:p w14:paraId="531A00F5" w14:textId="56666C7A" w:rsidR="006C55B0" w:rsidRPr="00C01158" w:rsidRDefault="00C01158" w:rsidP="00C01158">
      <w:pPr>
        <w:tabs>
          <w:tab w:val="left" w:pos="0"/>
          <w:tab w:val="left" w:pos="720"/>
          <w:tab w:val="left" w:pos="1440"/>
          <w:tab w:val="left" w:pos="2160"/>
          <w:tab w:val="left" w:pos="3060"/>
        </w:tabs>
        <w:spacing w:line="360" w:lineRule="auto"/>
        <w:rPr>
          <w:bCs/>
          <w:sz w:val="24"/>
        </w:rPr>
      </w:pPr>
      <w:r w:rsidRPr="00925A9D">
        <w:rPr>
          <w:rFonts w:eastAsia="Calibri"/>
          <w:sz w:val="24"/>
          <w:lang w:val="en-ZA"/>
        </w:rPr>
        <w:t>[21]</w:t>
      </w:r>
      <w:r w:rsidRPr="00925A9D">
        <w:rPr>
          <w:rFonts w:eastAsia="Calibri"/>
          <w:sz w:val="24"/>
          <w:lang w:val="en-ZA"/>
        </w:rPr>
        <w:tab/>
      </w:r>
      <w:r w:rsidR="00B813C8" w:rsidRPr="00C01158">
        <w:rPr>
          <w:bCs/>
          <w:sz w:val="24"/>
        </w:rPr>
        <w:t xml:space="preserve">In </w:t>
      </w:r>
      <w:r w:rsidR="00B813C8" w:rsidRPr="00C01158">
        <w:rPr>
          <w:bCs/>
          <w:i/>
          <w:iCs/>
          <w:sz w:val="24"/>
        </w:rPr>
        <w:t>Fili Shipping Co Ltd v Premium Nafta Products and Others</w:t>
      </w:r>
      <w:r w:rsidR="00BF2036" w:rsidRPr="00C01158">
        <w:rPr>
          <w:bCs/>
          <w:i/>
          <w:iCs/>
          <w:sz w:val="24"/>
        </w:rPr>
        <w:t>,</w:t>
      </w:r>
      <w:r w:rsidR="006B7D1F" w:rsidRPr="00925A9D">
        <w:rPr>
          <w:rStyle w:val="FootnoteReference"/>
          <w:bCs/>
          <w:sz w:val="24"/>
        </w:rPr>
        <w:footnoteReference w:id="6"/>
      </w:r>
      <w:r w:rsidR="00B813C8" w:rsidRPr="00C01158">
        <w:rPr>
          <w:bCs/>
          <w:sz w:val="24"/>
        </w:rPr>
        <w:t xml:space="preserve"> Lord Hoffmann, delivering the speech with which all their lordships concurred, said:</w:t>
      </w:r>
    </w:p>
    <w:p w14:paraId="5B5A931E" w14:textId="27A3957E" w:rsidR="00B813C8" w:rsidRPr="00925A9D" w:rsidRDefault="006B7D1F" w:rsidP="00453E91">
      <w:pPr>
        <w:pStyle w:val="ListParagraph"/>
        <w:numPr>
          <w:ilvl w:val="0"/>
          <w:numId w:val="0"/>
        </w:numPr>
        <w:tabs>
          <w:tab w:val="left" w:pos="0"/>
          <w:tab w:val="left" w:pos="720"/>
          <w:tab w:val="left" w:pos="1440"/>
          <w:tab w:val="left" w:pos="2160"/>
          <w:tab w:val="left" w:pos="3060"/>
        </w:tabs>
        <w:spacing w:line="360" w:lineRule="auto"/>
        <w:rPr>
          <w:bCs/>
          <w:sz w:val="22"/>
          <w:szCs w:val="22"/>
        </w:rPr>
      </w:pPr>
      <w:r w:rsidRPr="00925A9D">
        <w:rPr>
          <w:bCs/>
          <w:sz w:val="22"/>
          <w:szCs w:val="22"/>
        </w:rPr>
        <w:t>‘</w:t>
      </w:r>
      <w:r w:rsidR="00B813C8" w:rsidRPr="00925A9D">
        <w:rPr>
          <w:bCs/>
          <w:sz w:val="22"/>
          <w:szCs w:val="22"/>
        </w:rPr>
        <w:t>In my opinion the construction of an arbitration clause should start from the assumption that</w:t>
      </w:r>
      <w:r w:rsidRPr="00925A9D">
        <w:rPr>
          <w:bCs/>
          <w:sz w:val="22"/>
          <w:szCs w:val="22"/>
        </w:rPr>
        <w:t xml:space="preserve"> </w:t>
      </w:r>
      <w:r w:rsidR="00B813C8" w:rsidRPr="00925A9D">
        <w:rPr>
          <w:bCs/>
          <w:sz w:val="22"/>
          <w:szCs w:val="22"/>
        </w:rPr>
        <w:t>the parties, as rational businessmen, are inclined to have intended any dispute arising out of</w:t>
      </w:r>
      <w:r w:rsidRPr="00925A9D">
        <w:rPr>
          <w:bCs/>
          <w:sz w:val="22"/>
          <w:szCs w:val="22"/>
        </w:rPr>
        <w:t xml:space="preserve"> </w:t>
      </w:r>
      <w:r w:rsidR="00B813C8" w:rsidRPr="00925A9D">
        <w:rPr>
          <w:bCs/>
          <w:sz w:val="22"/>
          <w:szCs w:val="22"/>
        </w:rPr>
        <w:t>the relationship into which they have entered or purported to enter to be decided by the</w:t>
      </w:r>
      <w:r w:rsidRPr="00925A9D">
        <w:rPr>
          <w:bCs/>
          <w:sz w:val="22"/>
          <w:szCs w:val="22"/>
        </w:rPr>
        <w:t xml:space="preserve"> </w:t>
      </w:r>
      <w:r w:rsidR="00B813C8" w:rsidRPr="00925A9D">
        <w:rPr>
          <w:bCs/>
          <w:sz w:val="22"/>
          <w:szCs w:val="22"/>
        </w:rPr>
        <w:t>same tribunal. The clause should be construed in accordance with this presumption unless</w:t>
      </w:r>
      <w:r w:rsidRPr="00925A9D">
        <w:rPr>
          <w:bCs/>
          <w:sz w:val="22"/>
          <w:szCs w:val="22"/>
        </w:rPr>
        <w:t xml:space="preserve"> </w:t>
      </w:r>
      <w:r w:rsidR="00B813C8" w:rsidRPr="00925A9D">
        <w:rPr>
          <w:bCs/>
          <w:sz w:val="22"/>
          <w:szCs w:val="22"/>
        </w:rPr>
        <w:t>the language makes it clear that certain questions were intended to be excluded from the</w:t>
      </w:r>
      <w:r w:rsidRPr="00925A9D">
        <w:rPr>
          <w:bCs/>
          <w:sz w:val="22"/>
          <w:szCs w:val="22"/>
        </w:rPr>
        <w:t xml:space="preserve"> arbitrator’s jurisdiction.’</w:t>
      </w:r>
    </w:p>
    <w:p w14:paraId="1D23AF73" w14:textId="77777777" w:rsidR="003F258A" w:rsidRPr="00925A9D" w:rsidRDefault="003F258A" w:rsidP="003F258A">
      <w:pPr>
        <w:pStyle w:val="ListParagraph"/>
        <w:numPr>
          <w:ilvl w:val="0"/>
          <w:numId w:val="0"/>
        </w:numPr>
        <w:tabs>
          <w:tab w:val="left" w:pos="0"/>
          <w:tab w:val="left" w:pos="720"/>
          <w:tab w:val="left" w:pos="1440"/>
          <w:tab w:val="left" w:pos="2160"/>
          <w:tab w:val="left" w:pos="3060"/>
        </w:tabs>
        <w:spacing w:after="0" w:line="360" w:lineRule="auto"/>
        <w:rPr>
          <w:bCs/>
          <w:sz w:val="24"/>
        </w:rPr>
      </w:pPr>
    </w:p>
    <w:p w14:paraId="6315756D" w14:textId="7191EFB1" w:rsidR="00031006" w:rsidRPr="00C01158" w:rsidRDefault="00C01158" w:rsidP="00C01158">
      <w:pPr>
        <w:tabs>
          <w:tab w:val="left" w:pos="0"/>
        </w:tabs>
        <w:spacing w:line="360" w:lineRule="auto"/>
        <w:rPr>
          <w:sz w:val="24"/>
          <w:shd w:val="clear" w:color="auto" w:fill="FFFFFF"/>
          <w:lang w:eastAsia="en-ZA"/>
        </w:rPr>
      </w:pPr>
      <w:r w:rsidRPr="00925A9D">
        <w:rPr>
          <w:rFonts w:eastAsia="Calibri"/>
          <w:sz w:val="24"/>
          <w:lang w:val="en-ZA" w:eastAsia="en-ZA"/>
        </w:rPr>
        <w:t>[22]</w:t>
      </w:r>
      <w:r w:rsidRPr="00925A9D">
        <w:rPr>
          <w:rFonts w:eastAsia="Calibri"/>
          <w:sz w:val="24"/>
          <w:lang w:val="en-ZA" w:eastAsia="en-ZA"/>
        </w:rPr>
        <w:tab/>
      </w:r>
      <w:r w:rsidR="00031006" w:rsidRPr="00C01158">
        <w:rPr>
          <w:sz w:val="24"/>
          <w:shd w:val="clear" w:color="auto" w:fill="FFFFFF"/>
          <w:lang w:eastAsia="en-ZA"/>
        </w:rPr>
        <w:t>The essence of Dis-Chem’s objection is that</w:t>
      </w:r>
      <w:r w:rsidR="00233F59" w:rsidRPr="00C01158">
        <w:rPr>
          <w:sz w:val="24"/>
          <w:shd w:val="clear" w:color="auto" w:fill="FFFFFF"/>
          <w:lang w:eastAsia="en-ZA"/>
        </w:rPr>
        <w:t xml:space="preserve"> </w:t>
      </w:r>
      <w:r w:rsidR="00031006" w:rsidRPr="00C01158">
        <w:rPr>
          <w:sz w:val="24"/>
          <w:shd w:val="clear" w:color="auto" w:fill="FFFFFF"/>
          <w:lang w:eastAsia="en-ZA"/>
        </w:rPr>
        <w:t>when</w:t>
      </w:r>
      <w:r w:rsidR="00233F59" w:rsidRPr="00C01158">
        <w:rPr>
          <w:sz w:val="24"/>
          <w:shd w:val="clear" w:color="auto" w:fill="FFFFFF"/>
          <w:lang w:eastAsia="en-ZA"/>
        </w:rPr>
        <w:t xml:space="preserve"> Dainfern</w:t>
      </w:r>
      <w:r w:rsidR="00031006" w:rsidRPr="00C01158">
        <w:rPr>
          <w:sz w:val="24"/>
          <w:shd w:val="clear" w:color="auto" w:fill="FFFFFF"/>
          <w:lang w:eastAsia="en-ZA"/>
        </w:rPr>
        <w:t xml:space="preserve"> generated the invoices</w:t>
      </w:r>
      <w:r w:rsidR="00233F59" w:rsidRPr="00C01158">
        <w:rPr>
          <w:sz w:val="24"/>
          <w:shd w:val="clear" w:color="auto" w:fill="FFFFFF"/>
          <w:lang w:eastAsia="en-ZA"/>
        </w:rPr>
        <w:t xml:space="preserve"> it </w:t>
      </w:r>
      <w:r w:rsidR="00031006" w:rsidRPr="00C01158">
        <w:rPr>
          <w:sz w:val="24"/>
          <w:shd w:val="clear" w:color="auto" w:fill="FFFFFF"/>
          <w:lang w:eastAsia="en-ZA"/>
        </w:rPr>
        <w:t>interpreted the calculation clauses</w:t>
      </w:r>
      <w:r w:rsidR="003D4C2F" w:rsidRPr="00C01158">
        <w:rPr>
          <w:sz w:val="24"/>
          <w:shd w:val="clear" w:color="auto" w:fill="FFFFFF"/>
          <w:lang w:eastAsia="en-ZA"/>
        </w:rPr>
        <w:t xml:space="preserve"> incorrectly. </w:t>
      </w:r>
      <w:r w:rsidR="006F5A2F" w:rsidRPr="00C01158">
        <w:rPr>
          <w:sz w:val="24"/>
          <w:shd w:val="clear" w:color="auto" w:fill="FFFFFF"/>
          <w:lang w:eastAsia="en-ZA"/>
        </w:rPr>
        <w:t xml:space="preserve">There </w:t>
      </w:r>
      <w:r w:rsidR="00EE387E" w:rsidRPr="00C01158">
        <w:rPr>
          <w:sz w:val="24"/>
          <w:shd w:val="clear" w:color="auto" w:fill="FFFFFF"/>
          <w:lang w:eastAsia="en-ZA"/>
        </w:rPr>
        <w:t>is no doubt that even on a narrow construction, the objecti</w:t>
      </w:r>
      <w:r w:rsidR="00031006" w:rsidRPr="00C01158">
        <w:rPr>
          <w:sz w:val="24"/>
          <w:shd w:val="clear" w:color="auto" w:fill="FFFFFF"/>
          <w:lang w:eastAsia="en-ZA"/>
        </w:rPr>
        <w:t>on to the invoices arise</w:t>
      </w:r>
      <w:r w:rsidR="003C15FF" w:rsidRPr="00C01158">
        <w:rPr>
          <w:sz w:val="24"/>
          <w:shd w:val="clear" w:color="auto" w:fill="FFFFFF"/>
          <w:lang w:eastAsia="en-ZA"/>
        </w:rPr>
        <w:t>s</w:t>
      </w:r>
      <w:r w:rsidR="00EE387E" w:rsidRPr="00C01158">
        <w:rPr>
          <w:sz w:val="24"/>
          <w:shd w:val="clear" w:color="auto" w:fill="FFFFFF"/>
          <w:lang w:eastAsia="en-ZA"/>
        </w:rPr>
        <w:t xml:space="preserve"> first,</w:t>
      </w:r>
      <w:r w:rsidR="00031006" w:rsidRPr="00C01158">
        <w:rPr>
          <w:sz w:val="24"/>
          <w:shd w:val="clear" w:color="auto" w:fill="FFFFFF"/>
          <w:lang w:eastAsia="en-ZA"/>
        </w:rPr>
        <w:t xml:space="preserve"> during the course of the implementation of the calculation clause in annexure </w:t>
      </w:r>
      <w:r w:rsidR="00233F59" w:rsidRPr="00C01158">
        <w:rPr>
          <w:sz w:val="24"/>
          <w:shd w:val="clear" w:color="auto" w:fill="FFFFFF"/>
          <w:lang w:eastAsia="en-ZA"/>
        </w:rPr>
        <w:t>‘</w:t>
      </w:r>
      <w:r w:rsidR="00031006" w:rsidRPr="00C01158">
        <w:rPr>
          <w:sz w:val="24"/>
          <w:shd w:val="clear" w:color="auto" w:fill="FFFFFF"/>
          <w:lang w:eastAsia="en-ZA"/>
        </w:rPr>
        <w:t>F</w:t>
      </w:r>
      <w:r w:rsidR="00233F59" w:rsidRPr="00C01158">
        <w:rPr>
          <w:sz w:val="24"/>
          <w:shd w:val="clear" w:color="auto" w:fill="FFFFFF"/>
          <w:lang w:eastAsia="en-ZA"/>
        </w:rPr>
        <w:t>’</w:t>
      </w:r>
      <w:r w:rsidR="00031006" w:rsidRPr="00C01158">
        <w:rPr>
          <w:sz w:val="24"/>
          <w:shd w:val="clear" w:color="auto" w:fill="FFFFFF"/>
          <w:lang w:eastAsia="en-ZA"/>
        </w:rPr>
        <w:t xml:space="preserve"> of the</w:t>
      </w:r>
      <w:r w:rsidR="006A58BE" w:rsidRPr="00C01158">
        <w:rPr>
          <w:sz w:val="24"/>
          <w:shd w:val="clear" w:color="auto" w:fill="FFFFFF"/>
          <w:lang w:eastAsia="en-ZA"/>
        </w:rPr>
        <w:t xml:space="preserve"> lease agreement; and second, Dainfern</w:t>
      </w:r>
      <w:r w:rsidR="00031006" w:rsidRPr="00C01158">
        <w:rPr>
          <w:sz w:val="24"/>
          <w:shd w:val="clear" w:color="auto" w:fill="FFFFFF"/>
          <w:lang w:eastAsia="en-ZA"/>
        </w:rPr>
        <w:t xml:space="preserve"> applied a </w:t>
      </w:r>
      <w:r w:rsidR="00C17CEC" w:rsidRPr="00C01158">
        <w:rPr>
          <w:sz w:val="24"/>
          <w:shd w:val="clear" w:color="auto" w:fill="FFFFFF"/>
          <w:lang w:eastAsia="en-ZA"/>
        </w:rPr>
        <w:t>wrong interpretation</w:t>
      </w:r>
      <w:r w:rsidR="00EE387E" w:rsidRPr="00C01158">
        <w:rPr>
          <w:sz w:val="24"/>
          <w:shd w:val="clear" w:color="auto" w:fill="FFFFFF"/>
          <w:lang w:eastAsia="en-ZA"/>
        </w:rPr>
        <w:t xml:space="preserve"> o</w:t>
      </w:r>
      <w:r w:rsidR="00AC7FD6" w:rsidRPr="00C01158">
        <w:rPr>
          <w:sz w:val="24"/>
          <w:shd w:val="clear" w:color="auto" w:fill="FFFFFF"/>
          <w:lang w:eastAsia="en-ZA"/>
        </w:rPr>
        <w:t>f the calculations in annexure ‘F’</w:t>
      </w:r>
      <w:r w:rsidR="00EE387E" w:rsidRPr="00C01158">
        <w:rPr>
          <w:sz w:val="24"/>
          <w:shd w:val="clear" w:color="auto" w:fill="FFFFFF"/>
          <w:lang w:eastAsia="en-ZA"/>
        </w:rPr>
        <w:t xml:space="preserve"> to </w:t>
      </w:r>
      <w:r w:rsidR="00031006" w:rsidRPr="00C01158">
        <w:rPr>
          <w:sz w:val="24"/>
          <w:shd w:val="clear" w:color="auto" w:fill="FFFFFF"/>
          <w:lang w:eastAsia="en-ZA"/>
        </w:rPr>
        <w:t xml:space="preserve">the lease agreement. </w:t>
      </w:r>
      <w:r w:rsidR="003A4CE4" w:rsidRPr="00C01158">
        <w:rPr>
          <w:sz w:val="24"/>
          <w:shd w:val="clear" w:color="auto" w:fill="FFFFFF"/>
          <w:lang w:eastAsia="en-ZA"/>
        </w:rPr>
        <w:t>Therefore</w:t>
      </w:r>
      <w:r w:rsidR="00954821" w:rsidRPr="00C01158">
        <w:rPr>
          <w:sz w:val="24"/>
          <w:shd w:val="clear" w:color="auto" w:fill="FFFFFF"/>
          <w:lang w:eastAsia="en-ZA"/>
        </w:rPr>
        <w:t>,</w:t>
      </w:r>
      <w:r w:rsidR="00031006" w:rsidRPr="00C01158">
        <w:rPr>
          <w:sz w:val="24"/>
          <w:shd w:val="clear" w:color="auto" w:fill="FFFFFF"/>
          <w:lang w:eastAsia="en-ZA"/>
        </w:rPr>
        <w:t xml:space="preserve"> the objection falls squarely within the ambit of clause 33.1 and it is within the arbitrator’s jurisdiction.</w:t>
      </w:r>
    </w:p>
    <w:p w14:paraId="444E0126" w14:textId="77777777" w:rsidR="00B97C5F" w:rsidRPr="00925A9D" w:rsidRDefault="00B97C5F" w:rsidP="00B97C5F">
      <w:pPr>
        <w:pStyle w:val="ListParagraph"/>
        <w:numPr>
          <w:ilvl w:val="0"/>
          <w:numId w:val="0"/>
        </w:numPr>
        <w:tabs>
          <w:tab w:val="clear" w:pos="1134"/>
          <w:tab w:val="left" w:pos="0"/>
        </w:tabs>
        <w:spacing w:after="0" w:line="360" w:lineRule="auto"/>
        <w:rPr>
          <w:sz w:val="24"/>
          <w:shd w:val="clear" w:color="auto" w:fill="FFFFFF"/>
          <w:lang w:eastAsia="en-ZA"/>
        </w:rPr>
      </w:pPr>
    </w:p>
    <w:p w14:paraId="7B579D19" w14:textId="39D82958" w:rsidR="005D75DA" w:rsidRPr="00C01158" w:rsidRDefault="00C01158" w:rsidP="00C01158">
      <w:pPr>
        <w:tabs>
          <w:tab w:val="left" w:pos="0"/>
        </w:tabs>
        <w:spacing w:line="360" w:lineRule="auto"/>
        <w:rPr>
          <w:sz w:val="24"/>
          <w:shd w:val="clear" w:color="auto" w:fill="FFFFFF"/>
          <w:lang w:eastAsia="en-ZA"/>
        </w:rPr>
      </w:pPr>
      <w:r w:rsidRPr="00925A9D">
        <w:rPr>
          <w:rFonts w:eastAsia="Calibri"/>
          <w:sz w:val="24"/>
          <w:lang w:val="en-ZA" w:eastAsia="en-ZA"/>
        </w:rPr>
        <w:t>[23]</w:t>
      </w:r>
      <w:r w:rsidRPr="00925A9D">
        <w:rPr>
          <w:rFonts w:eastAsia="Calibri"/>
          <w:sz w:val="24"/>
          <w:lang w:val="en-ZA" w:eastAsia="en-ZA"/>
        </w:rPr>
        <w:tab/>
      </w:r>
      <w:r w:rsidR="00FD49B4" w:rsidRPr="00C01158">
        <w:rPr>
          <w:sz w:val="24"/>
          <w:lang w:eastAsia="en-ZA"/>
        </w:rPr>
        <w:t>Dis-Chem submits, and correctly so, that the arbitration clause does not refer to any course of act</w:t>
      </w:r>
      <w:r w:rsidR="006A58BE" w:rsidRPr="00C01158">
        <w:rPr>
          <w:sz w:val="24"/>
          <w:lang w:eastAsia="en-ZA"/>
        </w:rPr>
        <w:t>ion or any claim. It refers to ‘</w:t>
      </w:r>
      <w:r w:rsidR="00FD49B4" w:rsidRPr="00C01158">
        <w:rPr>
          <w:sz w:val="24"/>
          <w:lang w:eastAsia="en-ZA"/>
        </w:rPr>
        <w:t>any dispute or d</w:t>
      </w:r>
      <w:r w:rsidR="006A58BE" w:rsidRPr="00C01158">
        <w:rPr>
          <w:sz w:val="24"/>
          <w:lang w:eastAsia="en-ZA"/>
        </w:rPr>
        <w:t>ifference or doubt or question’</w:t>
      </w:r>
      <w:r w:rsidR="00233F59" w:rsidRPr="00C01158">
        <w:rPr>
          <w:sz w:val="24"/>
          <w:lang w:eastAsia="en-ZA"/>
        </w:rPr>
        <w:t>.</w:t>
      </w:r>
      <w:r w:rsidR="006A58BE" w:rsidRPr="00C01158">
        <w:rPr>
          <w:sz w:val="24"/>
          <w:lang w:eastAsia="en-ZA"/>
        </w:rPr>
        <w:t xml:space="preserve"> T</w:t>
      </w:r>
      <w:r w:rsidR="00FD49B4" w:rsidRPr="00C01158">
        <w:rPr>
          <w:sz w:val="24"/>
          <w:lang w:eastAsia="en-ZA"/>
        </w:rPr>
        <w:t>he entitlement it may have to recover from Dainfern depends entirely on the determination of a dispute as to the correct interpretation</w:t>
      </w:r>
      <w:r w:rsidR="00527F2D" w:rsidRPr="00C01158">
        <w:rPr>
          <w:sz w:val="24"/>
          <w:lang w:eastAsia="en-ZA"/>
        </w:rPr>
        <w:t xml:space="preserve"> and</w:t>
      </w:r>
      <w:r w:rsidR="00FD49B4" w:rsidRPr="00C01158">
        <w:rPr>
          <w:sz w:val="24"/>
          <w:lang w:eastAsia="en-ZA"/>
        </w:rPr>
        <w:t xml:space="preserve"> the implementation of certain provisions of the lease agreement, in this case annexure </w:t>
      </w:r>
      <w:r w:rsidR="00AC7FD6" w:rsidRPr="00C01158">
        <w:rPr>
          <w:sz w:val="24"/>
          <w:lang w:eastAsia="en-ZA"/>
        </w:rPr>
        <w:t>‘</w:t>
      </w:r>
      <w:r w:rsidR="00FD49B4" w:rsidRPr="00C01158">
        <w:rPr>
          <w:sz w:val="24"/>
          <w:lang w:eastAsia="en-ZA"/>
        </w:rPr>
        <w:t>F</w:t>
      </w:r>
      <w:r w:rsidR="00AC7FD6" w:rsidRPr="00C01158">
        <w:rPr>
          <w:sz w:val="24"/>
          <w:lang w:eastAsia="en-ZA"/>
        </w:rPr>
        <w:t>’</w:t>
      </w:r>
      <w:r w:rsidR="00FD49B4" w:rsidRPr="00C01158">
        <w:rPr>
          <w:sz w:val="24"/>
          <w:lang w:eastAsia="en-ZA"/>
        </w:rPr>
        <w:t xml:space="preserve">. </w:t>
      </w:r>
      <w:r w:rsidR="005D75DA" w:rsidRPr="00C01158">
        <w:rPr>
          <w:sz w:val="24"/>
          <w:shd w:val="clear" w:color="auto" w:fill="FFFFFF"/>
          <w:lang w:eastAsia="en-ZA"/>
        </w:rPr>
        <w:t xml:space="preserve"> </w:t>
      </w:r>
    </w:p>
    <w:p w14:paraId="47461437" w14:textId="77777777" w:rsidR="00E16FCC" w:rsidRPr="00925A9D" w:rsidRDefault="00E16FCC" w:rsidP="00E16FCC">
      <w:pPr>
        <w:pStyle w:val="ListParagraph"/>
        <w:numPr>
          <w:ilvl w:val="0"/>
          <w:numId w:val="0"/>
        </w:numPr>
        <w:tabs>
          <w:tab w:val="clear" w:pos="1134"/>
          <w:tab w:val="left" w:pos="0"/>
        </w:tabs>
        <w:spacing w:after="0" w:line="360" w:lineRule="auto"/>
        <w:rPr>
          <w:sz w:val="24"/>
          <w:shd w:val="clear" w:color="auto" w:fill="FFFFFF"/>
          <w:lang w:eastAsia="en-ZA"/>
        </w:rPr>
      </w:pPr>
    </w:p>
    <w:p w14:paraId="59794AA5" w14:textId="56E1F317" w:rsidR="005D75DA" w:rsidRPr="00C01158" w:rsidRDefault="00C01158" w:rsidP="00C01158">
      <w:pPr>
        <w:tabs>
          <w:tab w:val="left" w:pos="709"/>
        </w:tabs>
        <w:spacing w:line="360" w:lineRule="auto"/>
        <w:rPr>
          <w:sz w:val="24"/>
          <w:shd w:val="clear" w:color="auto" w:fill="FFFFFF"/>
          <w:lang w:eastAsia="en-ZA"/>
        </w:rPr>
      </w:pPr>
      <w:r w:rsidRPr="00925A9D">
        <w:rPr>
          <w:rFonts w:eastAsia="Calibri"/>
          <w:sz w:val="24"/>
          <w:lang w:val="en-ZA" w:eastAsia="en-ZA"/>
        </w:rPr>
        <w:t>[24]</w:t>
      </w:r>
      <w:r w:rsidRPr="00925A9D">
        <w:rPr>
          <w:rFonts w:eastAsia="Calibri"/>
          <w:sz w:val="24"/>
          <w:lang w:val="en-ZA" w:eastAsia="en-ZA"/>
        </w:rPr>
        <w:tab/>
      </w:r>
      <w:r w:rsidR="005D75DA" w:rsidRPr="00C01158">
        <w:rPr>
          <w:i/>
          <w:sz w:val="24"/>
          <w:lang w:eastAsia="en-ZA"/>
        </w:rPr>
        <w:t>In Zhongji Development Construction Engineering Company Limited v Kamoto Copper Company Sarl (Zhongji),</w:t>
      </w:r>
      <w:r w:rsidR="005D75DA" w:rsidRPr="00925A9D">
        <w:rPr>
          <w:rStyle w:val="FootnoteReference"/>
          <w:sz w:val="24"/>
          <w:lang w:eastAsia="en-ZA"/>
        </w:rPr>
        <w:footnoteReference w:id="7"/>
      </w:r>
      <w:r w:rsidR="005D75DA" w:rsidRPr="00C01158">
        <w:rPr>
          <w:sz w:val="24"/>
          <w:lang w:eastAsia="en-ZA"/>
        </w:rPr>
        <w:t xml:space="preserve"> this Court, with reference to the seminal case in England, stated as follows:</w:t>
      </w:r>
    </w:p>
    <w:p w14:paraId="1D3190FB" w14:textId="77777777" w:rsidR="005D75DA" w:rsidRPr="00925A9D" w:rsidRDefault="005D75DA" w:rsidP="005D75DA">
      <w:pPr>
        <w:pStyle w:val="ListParagraph"/>
        <w:numPr>
          <w:ilvl w:val="0"/>
          <w:numId w:val="0"/>
        </w:numPr>
        <w:tabs>
          <w:tab w:val="left" w:pos="0"/>
          <w:tab w:val="left" w:pos="720"/>
          <w:tab w:val="left" w:pos="1440"/>
          <w:tab w:val="left" w:pos="2160"/>
          <w:tab w:val="left" w:pos="3060"/>
        </w:tabs>
        <w:spacing w:line="360" w:lineRule="auto"/>
        <w:rPr>
          <w:bCs/>
          <w:sz w:val="22"/>
          <w:szCs w:val="22"/>
        </w:rPr>
      </w:pPr>
      <w:r w:rsidRPr="00925A9D">
        <w:rPr>
          <w:bCs/>
          <w:sz w:val="22"/>
          <w:szCs w:val="22"/>
        </w:rPr>
        <w:t xml:space="preserve">‘In </w:t>
      </w:r>
      <w:r w:rsidRPr="00925A9D">
        <w:rPr>
          <w:bCs/>
          <w:i/>
          <w:sz w:val="22"/>
          <w:szCs w:val="22"/>
        </w:rPr>
        <w:t>Fiona Trust</w:t>
      </w:r>
      <w:r w:rsidRPr="00925A9D">
        <w:rPr>
          <w:bCs/>
          <w:sz w:val="22"/>
          <w:szCs w:val="22"/>
        </w:rPr>
        <w:t xml:space="preserve"> (which the House of Lords upheld in </w:t>
      </w:r>
      <w:r w:rsidRPr="00925A9D">
        <w:rPr>
          <w:bCs/>
          <w:i/>
          <w:sz w:val="22"/>
          <w:szCs w:val="22"/>
        </w:rPr>
        <w:t>Fili Shipping</w:t>
      </w:r>
      <w:r w:rsidRPr="00925A9D">
        <w:rPr>
          <w:bCs/>
          <w:sz w:val="22"/>
          <w:szCs w:val="22"/>
        </w:rPr>
        <w:t>), decided in the English Court of Appeal, Longmore LJ, delivering the court’s unanimous judgment, said:</w:t>
      </w:r>
    </w:p>
    <w:p w14:paraId="1193BC63" w14:textId="77777777" w:rsidR="005D75DA" w:rsidRPr="00925A9D" w:rsidRDefault="005D75DA" w:rsidP="005D75DA">
      <w:pPr>
        <w:pStyle w:val="ListParagraph"/>
        <w:numPr>
          <w:ilvl w:val="0"/>
          <w:numId w:val="0"/>
        </w:numPr>
        <w:tabs>
          <w:tab w:val="left" w:pos="0"/>
          <w:tab w:val="left" w:pos="720"/>
          <w:tab w:val="left" w:pos="1440"/>
          <w:tab w:val="left" w:pos="2160"/>
          <w:tab w:val="left" w:pos="3060"/>
        </w:tabs>
        <w:spacing w:line="360" w:lineRule="auto"/>
        <w:rPr>
          <w:bCs/>
          <w:sz w:val="22"/>
          <w:szCs w:val="22"/>
        </w:rPr>
      </w:pPr>
      <w:r w:rsidRPr="00925A9D">
        <w:rPr>
          <w:bCs/>
          <w:sz w:val="22"/>
          <w:szCs w:val="22"/>
        </w:rPr>
        <w:lastRenderedPageBreak/>
        <w:t>“As it seems to us any jurisdiction or arbitration clause in an international commercial contract should be liberally construed. The words ‘arising out of’ should cover ‘every dispute except a dispute as to whether there was ever a contract at all’.”</w:t>
      </w:r>
    </w:p>
    <w:p w14:paraId="6BAED537" w14:textId="77777777" w:rsidR="005D75DA" w:rsidRPr="00925A9D" w:rsidRDefault="005D75DA" w:rsidP="005D75DA">
      <w:pPr>
        <w:pStyle w:val="ListParagraph"/>
        <w:numPr>
          <w:ilvl w:val="0"/>
          <w:numId w:val="0"/>
        </w:numPr>
        <w:tabs>
          <w:tab w:val="left" w:pos="0"/>
          <w:tab w:val="left" w:pos="720"/>
          <w:tab w:val="left" w:pos="1440"/>
          <w:tab w:val="left" w:pos="2160"/>
          <w:tab w:val="left" w:pos="3060"/>
        </w:tabs>
        <w:spacing w:line="360" w:lineRule="auto"/>
        <w:ind w:left="360" w:hanging="360"/>
        <w:rPr>
          <w:bCs/>
          <w:sz w:val="22"/>
          <w:szCs w:val="22"/>
        </w:rPr>
      </w:pPr>
      <w:r w:rsidRPr="00925A9D">
        <w:rPr>
          <w:bCs/>
          <w:sz w:val="22"/>
          <w:szCs w:val="22"/>
        </w:rPr>
        <w:t>And</w:t>
      </w:r>
    </w:p>
    <w:p w14:paraId="2D36821D" w14:textId="77777777" w:rsidR="005D75DA" w:rsidRPr="00925A9D" w:rsidRDefault="005D75DA" w:rsidP="005D75DA">
      <w:pPr>
        <w:pStyle w:val="ListParagraph"/>
        <w:numPr>
          <w:ilvl w:val="0"/>
          <w:numId w:val="0"/>
        </w:numPr>
        <w:tabs>
          <w:tab w:val="left" w:pos="0"/>
          <w:tab w:val="left" w:pos="720"/>
          <w:tab w:val="left" w:pos="1440"/>
          <w:tab w:val="left" w:pos="2160"/>
          <w:tab w:val="left" w:pos="3060"/>
        </w:tabs>
        <w:spacing w:line="360" w:lineRule="auto"/>
        <w:rPr>
          <w:bCs/>
          <w:sz w:val="22"/>
          <w:szCs w:val="22"/>
        </w:rPr>
      </w:pPr>
      <w:r w:rsidRPr="00925A9D">
        <w:rPr>
          <w:bCs/>
          <w:sz w:val="22"/>
          <w:szCs w:val="22"/>
        </w:rPr>
        <w:t>“One of the reasons given in the cases for a liberal construction of an arbitration clause is the presumption in favour of one-stop arbitration. It is not to be expected that any commercial man would knowingly create a system which required that the court should first decide whether the contract should be rectified or avoided or rescinded (as the case might be) and then, if the contract is held to be valid, required the arbitrator to resolve the issues that have arisen.”</w:t>
      </w:r>
    </w:p>
    <w:p w14:paraId="1F2A5200" w14:textId="30888A5D" w:rsidR="005D75DA" w:rsidRPr="00925A9D" w:rsidRDefault="005D75DA" w:rsidP="00C82859">
      <w:pPr>
        <w:pStyle w:val="ListParagraph"/>
        <w:numPr>
          <w:ilvl w:val="0"/>
          <w:numId w:val="0"/>
        </w:numPr>
        <w:tabs>
          <w:tab w:val="left" w:pos="0"/>
          <w:tab w:val="left" w:pos="720"/>
          <w:tab w:val="left" w:pos="1440"/>
          <w:tab w:val="left" w:pos="2160"/>
          <w:tab w:val="left" w:pos="3060"/>
        </w:tabs>
        <w:spacing w:after="0" w:line="360" w:lineRule="auto"/>
        <w:ind w:left="357" w:hanging="357"/>
        <w:rPr>
          <w:bCs/>
          <w:sz w:val="24"/>
          <w:szCs w:val="24"/>
        </w:rPr>
      </w:pPr>
    </w:p>
    <w:p w14:paraId="657162ED" w14:textId="04ACCC3C" w:rsidR="007648F7" w:rsidRPr="00C01158" w:rsidRDefault="00C01158" w:rsidP="00C01158">
      <w:pPr>
        <w:tabs>
          <w:tab w:val="left" w:pos="0"/>
        </w:tabs>
        <w:spacing w:line="360" w:lineRule="auto"/>
        <w:rPr>
          <w:sz w:val="24"/>
          <w:shd w:val="clear" w:color="auto" w:fill="FFFFFF"/>
          <w:lang w:eastAsia="en-ZA"/>
        </w:rPr>
      </w:pPr>
      <w:r w:rsidRPr="00925A9D">
        <w:rPr>
          <w:rFonts w:eastAsia="Calibri"/>
          <w:sz w:val="24"/>
          <w:lang w:val="en-ZA" w:eastAsia="en-ZA"/>
        </w:rPr>
        <w:t>[25]</w:t>
      </w:r>
      <w:r w:rsidRPr="00925A9D">
        <w:rPr>
          <w:rFonts w:eastAsia="Calibri"/>
          <w:sz w:val="24"/>
          <w:lang w:val="en-ZA" w:eastAsia="en-ZA"/>
        </w:rPr>
        <w:tab/>
      </w:r>
      <w:r w:rsidR="00C42B5D" w:rsidRPr="00C01158">
        <w:rPr>
          <w:sz w:val="24"/>
          <w:lang w:eastAsia="en-ZA"/>
        </w:rPr>
        <w:t>Also in</w:t>
      </w:r>
      <w:r w:rsidR="005D75DA" w:rsidRPr="00C01158">
        <w:rPr>
          <w:i/>
          <w:sz w:val="24"/>
          <w:lang w:eastAsia="en-ZA"/>
        </w:rPr>
        <w:t xml:space="preserve"> Termico, </w:t>
      </w:r>
      <w:r w:rsidR="005D75DA" w:rsidRPr="00C01158">
        <w:rPr>
          <w:sz w:val="24"/>
          <w:lang w:eastAsia="en-ZA"/>
        </w:rPr>
        <w:t>this Court determined two principles relevant and applicable to the present appeal</w:t>
      </w:r>
      <w:r w:rsidR="005D75DA" w:rsidRPr="00C01158">
        <w:rPr>
          <w:i/>
          <w:sz w:val="24"/>
          <w:lang w:eastAsia="en-ZA"/>
        </w:rPr>
        <w:t>.</w:t>
      </w:r>
      <w:r w:rsidR="00FD49B4" w:rsidRPr="00C01158">
        <w:rPr>
          <w:sz w:val="24"/>
          <w:lang w:eastAsia="en-ZA"/>
        </w:rPr>
        <w:t xml:space="preserve"> There,</w:t>
      </w:r>
      <w:r w:rsidR="0011422F" w:rsidRPr="00C01158">
        <w:rPr>
          <w:sz w:val="24"/>
          <w:lang w:eastAsia="en-ZA"/>
        </w:rPr>
        <w:t xml:space="preserve"> this Court</w:t>
      </w:r>
      <w:r w:rsidR="0001267F" w:rsidRPr="00C01158">
        <w:rPr>
          <w:sz w:val="24"/>
          <w:lang w:eastAsia="en-ZA"/>
        </w:rPr>
        <w:t xml:space="preserve"> dealt with an arbitration award </w:t>
      </w:r>
      <w:r w:rsidR="000057F7" w:rsidRPr="00C01158">
        <w:rPr>
          <w:sz w:val="24"/>
          <w:lang w:eastAsia="en-ZA"/>
        </w:rPr>
        <w:t>that</w:t>
      </w:r>
      <w:r w:rsidR="0001267F" w:rsidRPr="00C01158">
        <w:rPr>
          <w:sz w:val="24"/>
          <w:lang w:eastAsia="en-ZA"/>
        </w:rPr>
        <w:t xml:space="preserve"> did not include relief in the form of money. The arbitrators had refrained from including a monetary value in the award</w:t>
      </w:r>
      <w:r w:rsidR="00C42B5D" w:rsidRPr="00C01158">
        <w:rPr>
          <w:sz w:val="24"/>
          <w:lang w:eastAsia="en-ZA"/>
        </w:rPr>
        <w:t>,</w:t>
      </w:r>
      <w:r w:rsidR="0001267F" w:rsidRPr="00C01158">
        <w:rPr>
          <w:sz w:val="24"/>
          <w:lang w:eastAsia="en-ZA"/>
        </w:rPr>
        <w:t xml:space="preserve"> for the reason that</w:t>
      </w:r>
      <w:r w:rsidR="000E7D10" w:rsidRPr="00C01158">
        <w:rPr>
          <w:sz w:val="24"/>
          <w:lang w:eastAsia="en-ZA"/>
        </w:rPr>
        <w:t xml:space="preserve"> it was not part of the claim. In acquiring the shares</w:t>
      </w:r>
      <w:r w:rsidR="0001267F" w:rsidRPr="00C01158">
        <w:rPr>
          <w:sz w:val="24"/>
          <w:lang w:eastAsia="en-ZA"/>
        </w:rPr>
        <w:t>, the claimant had received a loan from the respondent, whose value</w:t>
      </w:r>
      <w:r w:rsidR="00280CCF" w:rsidRPr="00C01158">
        <w:rPr>
          <w:sz w:val="24"/>
          <w:lang w:eastAsia="en-ZA"/>
        </w:rPr>
        <w:t>, at the time of the arbitration,</w:t>
      </w:r>
      <w:r w:rsidR="0001267F" w:rsidRPr="00C01158">
        <w:rPr>
          <w:sz w:val="24"/>
          <w:lang w:eastAsia="en-ZA"/>
        </w:rPr>
        <w:t xml:space="preserve"> was not as yet determined. The high court </w:t>
      </w:r>
      <w:r w:rsidR="000E7D10" w:rsidRPr="00C01158">
        <w:rPr>
          <w:sz w:val="24"/>
          <w:lang w:eastAsia="en-ZA"/>
        </w:rPr>
        <w:t>concluded that by failing to</w:t>
      </w:r>
      <w:r w:rsidR="00280CCF" w:rsidRPr="00C01158">
        <w:rPr>
          <w:sz w:val="24"/>
          <w:lang w:eastAsia="en-ZA"/>
        </w:rPr>
        <w:t xml:space="preserve"> make an award for the value of the shares,</w:t>
      </w:r>
      <w:r w:rsidR="000E7D10" w:rsidRPr="00C01158">
        <w:rPr>
          <w:sz w:val="24"/>
          <w:lang w:eastAsia="en-ZA"/>
        </w:rPr>
        <w:t xml:space="preserve"> the arbitrators committed an</w:t>
      </w:r>
      <w:r w:rsidR="0001267F" w:rsidRPr="00C01158">
        <w:rPr>
          <w:sz w:val="24"/>
          <w:lang w:eastAsia="en-ZA"/>
        </w:rPr>
        <w:t xml:space="preserve"> irregularity</w:t>
      </w:r>
      <w:r w:rsidR="000E7D10" w:rsidRPr="00C01158">
        <w:rPr>
          <w:sz w:val="24"/>
          <w:lang w:eastAsia="en-ZA"/>
        </w:rPr>
        <w:t>.</w:t>
      </w:r>
      <w:r w:rsidR="0001267F" w:rsidRPr="00C01158">
        <w:rPr>
          <w:sz w:val="24"/>
          <w:lang w:eastAsia="en-ZA"/>
        </w:rPr>
        <w:t xml:space="preserve"> On appeal, this Court</w:t>
      </w:r>
      <w:r w:rsidR="00C42B5D" w:rsidRPr="00C01158">
        <w:rPr>
          <w:sz w:val="24"/>
          <w:lang w:eastAsia="en-ZA"/>
        </w:rPr>
        <w:t xml:space="preserve"> first</w:t>
      </w:r>
      <w:r w:rsidR="0001267F" w:rsidRPr="00C01158">
        <w:rPr>
          <w:sz w:val="24"/>
          <w:lang w:eastAsia="en-ZA"/>
        </w:rPr>
        <w:t xml:space="preserve"> held that</w:t>
      </w:r>
      <w:r w:rsidR="00970C83" w:rsidRPr="00C01158">
        <w:rPr>
          <w:sz w:val="24"/>
          <w:lang w:eastAsia="en-ZA"/>
        </w:rPr>
        <w:t xml:space="preserve"> the decision of the arbitrators did not constitute any irregularity, as that case was not </w:t>
      </w:r>
      <w:r w:rsidR="000057F7" w:rsidRPr="00C01158">
        <w:rPr>
          <w:sz w:val="24"/>
          <w:lang w:eastAsia="en-ZA"/>
        </w:rPr>
        <w:t>one</w:t>
      </w:r>
      <w:r w:rsidR="0011422F" w:rsidRPr="00C01158">
        <w:rPr>
          <w:sz w:val="24"/>
          <w:lang w:eastAsia="en-ZA"/>
        </w:rPr>
        <w:t xml:space="preserve"> where an</w:t>
      </w:r>
      <w:r w:rsidR="00FD49B4" w:rsidRPr="00C01158">
        <w:rPr>
          <w:sz w:val="24"/>
          <w:lang w:eastAsia="en-ZA"/>
        </w:rPr>
        <w:t xml:space="preserve"> </w:t>
      </w:r>
      <w:r w:rsidR="000E5A1D" w:rsidRPr="00C01158">
        <w:rPr>
          <w:sz w:val="24"/>
          <w:lang w:eastAsia="en-ZA"/>
        </w:rPr>
        <w:t>‘</w:t>
      </w:r>
      <w:r w:rsidR="00FD49B4" w:rsidRPr="00C01158">
        <w:rPr>
          <w:i/>
          <w:sz w:val="24"/>
          <w:lang w:eastAsia="en-ZA"/>
        </w:rPr>
        <w:t>arbitrator neglect</w:t>
      </w:r>
      <w:r w:rsidR="000057F7" w:rsidRPr="00C01158">
        <w:rPr>
          <w:i/>
          <w:sz w:val="24"/>
          <w:lang w:eastAsia="en-ZA"/>
        </w:rPr>
        <w:t>ed</w:t>
      </w:r>
      <w:r w:rsidR="00FD49B4" w:rsidRPr="00C01158">
        <w:rPr>
          <w:i/>
          <w:sz w:val="24"/>
          <w:lang w:eastAsia="en-ZA"/>
        </w:rPr>
        <w:t xml:space="preserve"> to determine all the dispute</w:t>
      </w:r>
      <w:r w:rsidR="000057F7" w:rsidRPr="00C01158">
        <w:rPr>
          <w:i/>
          <w:sz w:val="24"/>
          <w:lang w:eastAsia="en-ZA"/>
        </w:rPr>
        <w:t>s</w:t>
      </w:r>
      <w:r w:rsidR="00FD49B4" w:rsidRPr="00C01158">
        <w:rPr>
          <w:i/>
          <w:sz w:val="24"/>
          <w:lang w:eastAsia="en-ZA"/>
        </w:rPr>
        <w:t xml:space="preserve"> that ha</w:t>
      </w:r>
      <w:r w:rsidR="000057F7" w:rsidRPr="00C01158">
        <w:rPr>
          <w:i/>
          <w:sz w:val="24"/>
          <w:lang w:eastAsia="en-ZA"/>
        </w:rPr>
        <w:t>d</w:t>
      </w:r>
      <w:r w:rsidR="00FD49B4" w:rsidRPr="00C01158">
        <w:rPr>
          <w:i/>
          <w:sz w:val="24"/>
          <w:lang w:eastAsia="en-ZA"/>
        </w:rPr>
        <w:t xml:space="preserve"> been r</w:t>
      </w:r>
      <w:r w:rsidR="00254FA7" w:rsidRPr="00C01158">
        <w:rPr>
          <w:i/>
          <w:sz w:val="24"/>
          <w:lang w:eastAsia="en-ZA"/>
        </w:rPr>
        <w:t>eferred to arbitration</w:t>
      </w:r>
      <w:r w:rsidR="00254FA7" w:rsidRPr="00C01158">
        <w:rPr>
          <w:bCs/>
          <w:i/>
          <w:sz w:val="24"/>
          <w:lang w:eastAsia="en-ZA"/>
        </w:rPr>
        <w:t>,</w:t>
      </w:r>
      <w:r w:rsidR="00254FA7" w:rsidRPr="00C01158">
        <w:rPr>
          <w:b/>
          <w:i/>
          <w:sz w:val="24"/>
          <w:lang w:eastAsia="en-ZA"/>
        </w:rPr>
        <w:t xml:space="preserve"> </w:t>
      </w:r>
      <w:r w:rsidR="00254FA7" w:rsidRPr="00C01158">
        <w:rPr>
          <w:i/>
          <w:sz w:val="24"/>
          <w:lang w:eastAsia="en-ZA"/>
        </w:rPr>
        <w:t>he/she</w:t>
      </w:r>
      <w:r w:rsidR="00FD49B4" w:rsidRPr="00C01158">
        <w:rPr>
          <w:i/>
          <w:sz w:val="24"/>
          <w:lang w:eastAsia="en-ZA"/>
        </w:rPr>
        <w:t xml:space="preserve"> in doing so</w:t>
      </w:r>
      <w:r w:rsidR="00C42B5D" w:rsidRPr="00C01158">
        <w:rPr>
          <w:i/>
          <w:sz w:val="24"/>
          <w:lang w:eastAsia="en-ZA"/>
        </w:rPr>
        <w:t xml:space="preserve">, </w:t>
      </w:r>
      <w:r w:rsidR="00C42B5D" w:rsidRPr="00C01158">
        <w:rPr>
          <w:sz w:val="24"/>
          <w:lang w:eastAsia="en-ZA"/>
        </w:rPr>
        <w:t>[would]</w:t>
      </w:r>
      <w:r w:rsidR="00FD49B4" w:rsidRPr="00C01158">
        <w:rPr>
          <w:i/>
          <w:sz w:val="24"/>
          <w:lang w:eastAsia="en-ZA"/>
        </w:rPr>
        <w:t xml:space="preserve"> commit a reviewable irregularity</w:t>
      </w:r>
      <w:r w:rsidR="000E5A1D" w:rsidRPr="00C01158">
        <w:rPr>
          <w:i/>
          <w:sz w:val="24"/>
          <w:lang w:eastAsia="en-ZA"/>
        </w:rPr>
        <w:t>’</w:t>
      </w:r>
      <w:r w:rsidR="00FD49B4" w:rsidRPr="00C01158">
        <w:rPr>
          <w:i/>
          <w:sz w:val="24"/>
          <w:lang w:eastAsia="en-ZA"/>
        </w:rPr>
        <w:t>.</w:t>
      </w:r>
      <w:r w:rsidR="00FD49B4" w:rsidRPr="00C01158">
        <w:rPr>
          <w:sz w:val="24"/>
          <w:lang w:eastAsia="en-ZA"/>
        </w:rPr>
        <w:t xml:space="preserve"> </w:t>
      </w:r>
      <w:r w:rsidR="007E2EE5" w:rsidRPr="00C01158">
        <w:rPr>
          <w:sz w:val="24"/>
          <w:lang w:eastAsia="en-ZA"/>
        </w:rPr>
        <w:t xml:space="preserve">Here </w:t>
      </w:r>
      <w:r w:rsidR="00FD49B4" w:rsidRPr="00C01158">
        <w:rPr>
          <w:sz w:val="24"/>
          <w:lang w:eastAsia="en-ZA"/>
        </w:rPr>
        <w:t>Dainfern went to court to seek a review an</w:t>
      </w:r>
      <w:r w:rsidR="007648F7" w:rsidRPr="00C01158">
        <w:rPr>
          <w:sz w:val="24"/>
          <w:lang w:eastAsia="en-ZA"/>
        </w:rPr>
        <w:t>d declaratory</w:t>
      </w:r>
      <w:r w:rsidR="002706A7" w:rsidRPr="00C01158">
        <w:rPr>
          <w:sz w:val="24"/>
          <w:lang w:eastAsia="en-ZA"/>
        </w:rPr>
        <w:t xml:space="preserve"> relief</w:t>
      </w:r>
      <w:r w:rsidR="007648F7" w:rsidRPr="00C01158">
        <w:rPr>
          <w:sz w:val="24"/>
          <w:lang w:eastAsia="en-ZA"/>
        </w:rPr>
        <w:t xml:space="preserve"> in </w:t>
      </w:r>
      <w:r w:rsidR="00954821" w:rsidRPr="00C01158">
        <w:rPr>
          <w:sz w:val="24"/>
          <w:lang w:eastAsia="en-ZA"/>
        </w:rPr>
        <w:t>circumstances where</w:t>
      </w:r>
      <w:r w:rsidR="00FD49B4" w:rsidRPr="00C01158">
        <w:rPr>
          <w:sz w:val="24"/>
          <w:lang w:eastAsia="en-ZA"/>
        </w:rPr>
        <w:t xml:space="preserve"> there was no mi</w:t>
      </w:r>
      <w:r w:rsidR="00970C83" w:rsidRPr="00C01158">
        <w:rPr>
          <w:sz w:val="24"/>
          <w:lang w:eastAsia="en-ZA"/>
        </w:rPr>
        <w:t>sconduct or</w:t>
      </w:r>
      <w:r w:rsidR="0011422F" w:rsidRPr="00C01158">
        <w:rPr>
          <w:sz w:val="24"/>
          <w:lang w:eastAsia="en-ZA"/>
        </w:rPr>
        <w:t xml:space="preserve"> gross irregularity</w:t>
      </w:r>
      <w:r w:rsidR="00FD49B4" w:rsidRPr="00C01158">
        <w:rPr>
          <w:sz w:val="24"/>
          <w:lang w:eastAsia="en-ZA"/>
        </w:rPr>
        <w:t>. In</w:t>
      </w:r>
      <w:r w:rsidR="00C42B5D" w:rsidRPr="00C01158">
        <w:rPr>
          <w:sz w:val="24"/>
          <w:lang w:eastAsia="en-ZA"/>
        </w:rPr>
        <w:t xml:space="preserve"> </w:t>
      </w:r>
      <w:r w:rsidR="00C42B5D" w:rsidRPr="00C01158">
        <w:rPr>
          <w:i/>
          <w:sz w:val="24"/>
          <w:lang w:eastAsia="en-ZA"/>
        </w:rPr>
        <w:t>Termico</w:t>
      </w:r>
      <w:r w:rsidR="00C42B5D" w:rsidRPr="00C01158">
        <w:rPr>
          <w:sz w:val="24"/>
          <w:lang w:eastAsia="en-ZA"/>
        </w:rPr>
        <w:t>, the second principle was that</w:t>
      </w:r>
      <w:r w:rsidR="00FD49B4" w:rsidRPr="00C01158">
        <w:rPr>
          <w:sz w:val="24"/>
          <w:lang w:eastAsia="en-ZA"/>
        </w:rPr>
        <w:t>, a party can only apply to review an arbitration award if all the disputes submitted to the arbitrator have been disposed of in a manner that achieves finalit</w:t>
      </w:r>
      <w:r w:rsidR="007648F7" w:rsidRPr="00C01158">
        <w:rPr>
          <w:sz w:val="24"/>
          <w:lang w:eastAsia="en-ZA"/>
        </w:rPr>
        <w:t>y and certainty.</w:t>
      </w:r>
      <w:r w:rsidR="007648F7" w:rsidRPr="00925A9D">
        <w:rPr>
          <w:rStyle w:val="FootnoteReference"/>
          <w:sz w:val="24"/>
          <w:lang w:eastAsia="en-ZA"/>
        </w:rPr>
        <w:footnoteReference w:id="8"/>
      </w:r>
    </w:p>
    <w:p w14:paraId="28604E32" w14:textId="77777777" w:rsidR="006E7802" w:rsidRPr="00925A9D" w:rsidRDefault="006E7802" w:rsidP="006E7802">
      <w:pPr>
        <w:pStyle w:val="ListParagraph"/>
        <w:numPr>
          <w:ilvl w:val="0"/>
          <w:numId w:val="0"/>
        </w:numPr>
        <w:tabs>
          <w:tab w:val="clear" w:pos="1134"/>
          <w:tab w:val="left" w:pos="567"/>
        </w:tabs>
        <w:spacing w:after="0" w:line="360" w:lineRule="auto"/>
        <w:rPr>
          <w:sz w:val="24"/>
          <w:shd w:val="clear" w:color="auto" w:fill="FFFFFF"/>
          <w:lang w:eastAsia="en-ZA"/>
        </w:rPr>
      </w:pPr>
    </w:p>
    <w:p w14:paraId="0038E994" w14:textId="01E71E02" w:rsidR="009420FF" w:rsidRPr="00C01158" w:rsidRDefault="00C01158" w:rsidP="00C01158">
      <w:pPr>
        <w:tabs>
          <w:tab w:val="left" w:pos="709"/>
        </w:tabs>
        <w:spacing w:line="360" w:lineRule="auto"/>
        <w:rPr>
          <w:sz w:val="24"/>
          <w:shd w:val="clear" w:color="auto" w:fill="FFFFFF"/>
          <w:lang w:eastAsia="en-ZA"/>
        </w:rPr>
      </w:pPr>
      <w:r w:rsidRPr="00925A9D">
        <w:rPr>
          <w:rFonts w:eastAsia="Calibri"/>
          <w:sz w:val="24"/>
          <w:lang w:val="en-ZA" w:eastAsia="en-ZA"/>
        </w:rPr>
        <w:t>[26]</w:t>
      </w:r>
      <w:r w:rsidRPr="00925A9D">
        <w:rPr>
          <w:rFonts w:eastAsia="Calibri"/>
          <w:sz w:val="24"/>
          <w:lang w:val="en-ZA" w:eastAsia="en-ZA"/>
        </w:rPr>
        <w:tab/>
      </w:r>
      <w:r w:rsidR="00970C83" w:rsidRPr="00C01158">
        <w:rPr>
          <w:sz w:val="24"/>
          <w:lang w:eastAsia="en-ZA"/>
        </w:rPr>
        <w:t xml:space="preserve">Therefore </w:t>
      </w:r>
      <w:r w:rsidR="008F56A3" w:rsidRPr="00C01158">
        <w:rPr>
          <w:sz w:val="24"/>
          <w:lang w:eastAsia="en-ZA"/>
        </w:rPr>
        <w:t xml:space="preserve">Dis-Chem submits, correctly so, that </w:t>
      </w:r>
      <w:r w:rsidR="00D63CBD" w:rsidRPr="00C01158">
        <w:rPr>
          <w:sz w:val="24"/>
          <w:lang w:eastAsia="en-ZA"/>
        </w:rPr>
        <w:t>Dainfern</w:t>
      </w:r>
      <w:r w:rsidR="008F56A3" w:rsidRPr="00C01158">
        <w:rPr>
          <w:sz w:val="24"/>
          <w:lang w:eastAsia="en-ZA"/>
        </w:rPr>
        <w:t xml:space="preserve"> prematurely</w:t>
      </w:r>
      <w:r w:rsidR="006E7802" w:rsidRPr="00C01158">
        <w:rPr>
          <w:sz w:val="24"/>
          <w:lang w:eastAsia="en-ZA"/>
        </w:rPr>
        <w:t xml:space="preserve"> </w:t>
      </w:r>
      <w:r w:rsidR="007E2EE5" w:rsidRPr="00C01158">
        <w:rPr>
          <w:sz w:val="24"/>
          <w:lang w:eastAsia="en-ZA"/>
        </w:rPr>
        <w:t xml:space="preserve">approached </w:t>
      </w:r>
      <w:r w:rsidR="006E7802" w:rsidRPr="00C01158">
        <w:rPr>
          <w:sz w:val="24"/>
          <w:lang w:eastAsia="en-ZA"/>
        </w:rPr>
        <w:t>the high court to seek</w:t>
      </w:r>
      <w:r w:rsidR="00B95894" w:rsidRPr="00C01158">
        <w:rPr>
          <w:sz w:val="24"/>
          <w:lang w:eastAsia="en-ZA"/>
        </w:rPr>
        <w:t xml:space="preserve"> a review</w:t>
      </w:r>
      <w:r w:rsidR="00C25D26" w:rsidRPr="00C01158">
        <w:rPr>
          <w:sz w:val="24"/>
          <w:lang w:eastAsia="en-ZA"/>
        </w:rPr>
        <w:t xml:space="preserve"> against what it perceived to be</w:t>
      </w:r>
      <w:r w:rsidR="006E7802" w:rsidRPr="00C01158">
        <w:rPr>
          <w:sz w:val="24"/>
          <w:lang w:eastAsia="en-ZA"/>
        </w:rPr>
        <w:t xml:space="preserve"> a ‘wrong’ decision</w:t>
      </w:r>
      <w:r w:rsidR="00C25D26" w:rsidRPr="00C01158">
        <w:rPr>
          <w:sz w:val="24"/>
          <w:lang w:eastAsia="en-ZA"/>
        </w:rPr>
        <w:t xml:space="preserve"> of the arbitrator</w:t>
      </w:r>
      <w:r w:rsidR="006E7802" w:rsidRPr="00C01158">
        <w:rPr>
          <w:sz w:val="24"/>
          <w:lang w:eastAsia="en-ZA"/>
        </w:rPr>
        <w:t>. It couched</w:t>
      </w:r>
      <w:r w:rsidR="00B95894" w:rsidRPr="00C01158">
        <w:rPr>
          <w:sz w:val="24"/>
          <w:lang w:eastAsia="en-ZA"/>
        </w:rPr>
        <w:t xml:space="preserve"> the</w:t>
      </w:r>
      <w:r w:rsidR="00C25D26" w:rsidRPr="00C01158">
        <w:rPr>
          <w:sz w:val="24"/>
          <w:lang w:eastAsia="en-ZA"/>
        </w:rPr>
        <w:t xml:space="preserve"> review</w:t>
      </w:r>
      <w:r w:rsidR="006E7802" w:rsidRPr="00C01158">
        <w:rPr>
          <w:sz w:val="24"/>
          <w:lang w:eastAsia="en-ZA"/>
        </w:rPr>
        <w:t xml:space="preserve"> in the form of declaratory relief,</w:t>
      </w:r>
      <w:r w:rsidR="00B95894" w:rsidRPr="00C01158">
        <w:rPr>
          <w:sz w:val="24"/>
          <w:lang w:eastAsia="en-ZA"/>
        </w:rPr>
        <w:t xml:space="preserve"> despite</w:t>
      </w:r>
      <w:r w:rsidR="006E7802" w:rsidRPr="00C01158">
        <w:rPr>
          <w:sz w:val="24"/>
          <w:lang w:eastAsia="en-ZA"/>
        </w:rPr>
        <w:t xml:space="preserve"> being aware that the arbitration had not re</w:t>
      </w:r>
      <w:r w:rsidR="004A4D9B" w:rsidRPr="00C01158">
        <w:rPr>
          <w:sz w:val="24"/>
          <w:lang w:eastAsia="en-ZA"/>
        </w:rPr>
        <w:t>ached finali</w:t>
      </w:r>
      <w:r w:rsidR="00970C83" w:rsidRPr="00C01158">
        <w:rPr>
          <w:sz w:val="24"/>
          <w:lang w:eastAsia="en-ZA"/>
        </w:rPr>
        <w:t>ty and certainty on the merits of the</w:t>
      </w:r>
      <w:r w:rsidR="004A4D9B" w:rsidRPr="00C01158">
        <w:rPr>
          <w:sz w:val="24"/>
          <w:lang w:eastAsia="en-ZA"/>
        </w:rPr>
        <w:t xml:space="preserve"> claim</w:t>
      </w:r>
      <w:r w:rsidR="006E7802" w:rsidRPr="00C01158">
        <w:rPr>
          <w:sz w:val="24"/>
          <w:lang w:eastAsia="en-ZA"/>
        </w:rPr>
        <w:t>.</w:t>
      </w:r>
      <w:r w:rsidR="009420FF" w:rsidRPr="00C01158">
        <w:rPr>
          <w:sz w:val="24"/>
          <w:lang w:eastAsia="en-ZA"/>
        </w:rPr>
        <w:t xml:space="preserve"> </w:t>
      </w:r>
      <w:r w:rsidR="009420FF" w:rsidRPr="00C01158">
        <w:rPr>
          <w:i/>
          <w:sz w:val="24"/>
          <w:lang w:eastAsia="en-ZA"/>
        </w:rPr>
        <w:t>In Zhong</w:t>
      </w:r>
      <w:r w:rsidR="008F56A3" w:rsidRPr="00C01158">
        <w:rPr>
          <w:i/>
          <w:sz w:val="24"/>
          <w:lang w:eastAsia="en-ZA"/>
        </w:rPr>
        <w:t>j</w:t>
      </w:r>
      <w:r w:rsidR="009420FF" w:rsidRPr="00C01158">
        <w:rPr>
          <w:i/>
          <w:sz w:val="24"/>
          <w:lang w:eastAsia="en-ZA"/>
        </w:rPr>
        <w:t>i</w:t>
      </w:r>
      <w:r w:rsidR="000057F7" w:rsidRPr="00C01158">
        <w:rPr>
          <w:i/>
          <w:sz w:val="24"/>
          <w:lang w:eastAsia="en-ZA"/>
        </w:rPr>
        <w:t>,</w:t>
      </w:r>
      <w:r w:rsidR="008F56A3" w:rsidRPr="00925A9D">
        <w:rPr>
          <w:rStyle w:val="FootnoteReference"/>
          <w:sz w:val="24"/>
          <w:lang w:eastAsia="en-ZA"/>
        </w:rPr>
        <w:footnoteReference w:id="9"/>
      </w:r>
      <w:r w:rsidR="008F56A3" w:rsidRPr="00C01158">
        <w:rPr>
          <w:sz w:val="24"/>
          <w:lang w:eastAsia="en-ZA"/>
        </w:rPr>
        <w:t xml:space="preserve"> </w:t>
      </w:r>
      <w:r w:rsidR="009420FF" w:rsidRPr="00C01158">
        <w:rPr>
          <w:sz w:val="24"/>
          <w:lang w:eastAsia="en-ZA"/>
        </w:rPr>
        <w:t>this Court stated as follows:</w:t>
      </w:r>
    </w:p>
    <w:p w14:paraId="70551615" w14:textId="77777777" w:rsidR="009974CC" w:rsidRPr="00925A9D" w:rsidRDefault="009420FF" w:rsidP="000F39B2">
      <w:pPr>
        <w:tabs>
          <w:tab w:val="left" w:pos="0"/>
          <w:tab w:val="left" w:pos="720"/>
          <w:tab w:val="left" w:pos="1440"/>
          <w:tab w:val="left" w:pos="2160"/>
          <w:tab w:val="left" w:pos="3060"/>
        </w:tabs>
        <w:spacing w:line="360" w:lineRule="auto"/>
        <w:jc w:val="both"/>
        <w:rPr>
          <w:bCs/>
          <w:sz w:val="22"/>
          <w:szCs w:val="22"/>
        </w:rPr>
      </w:pPr>
      <w:r w:rsidRPr="00925A9D">
        <w:rPr>
          <w:bCs/>
          <w:sz w:val="22"/>
          <w:szCs w:val="22"/>
        </w:rPr>
        <w:lastRenderedPageBreak/>
        <w:t xml:space="preserve">‘Zhongji </w:t>
      </w:r>
      <w:r w:rsidR="00115AE6" w:rsidRPr="00925A9D">
        <w:rPr>
          <w:bCs/>
          <w:sz w:val="22"/>
          <w:szCs w:val="22"/>
        </w:rPr>
        <w:t>Construction’s</w:t>
      </w:r>
      <w:r w:rsidRPr="00925A9D">
        <w:rPr>
          <w:bCs/>
          <w:sz w:val="22"/>
          <w:szCs w:val="22"/>
        </w:rPr>
        <w:t xml:space="preserve"> application to the high court was accordingly premature and perhaps unnecessary. In </w:t>
      </w:r>
      <w:r w:rsidRPr="00925A9D">
        <w:rPr>
          <w:bCs/>
          <w:i/>
          <w:sz w:val="22"/>
          <w:szCs w:val="22"/>
        </w:rPr>
        <w:t>Geld</w:t>
      </w:r>
      <w:r w:rsidR="008F56A3" w:rsidRPr="00925A9D">
        <w:rPr>
          <w:bCs/>
          <w:i/>
          <w:sz w:val="22"/>
          <w:szCs w:val="22"/>
        </w:rPr>
        <w:t>enhuys and Neethling v Beuthin</w:t>
      </w:r>
      <w:r w:rsidR="008F56A3" w:rsidRPr="00925A9D">
        <w:rPr>
          <w:bCs/>
          <w:sz w:val="22"/>
          <w:szCs w:val="22"/>
        </w:rPr>
        <w:t>,</w:t>
      </w:r>
      <w:r w:rsidRPr="00925A9D">
        <w:rPr>
          <w:bCs/>
          <w:sz w:val="22"/>
          <w:szCs w:val="22"/>
        </w:rPr>
        <w:t xml:space="preserve"> Innes CJ said: </w:t>
      </w:r>
    </w:p>
    <w:p w14:paraId="77554D01" w14:textId="4EABF804" w:rsidR="00115AE6" w:rsidRPr="00925A9D" w:rsidRDefault="009420FF" w:rsidP="000F39B2">
      <w:pPr>
        <w:tabs>
          <w:tab w:val="left" w:pos="0"/>
          <w:tab w:val="left" w:pos="720"/>
          <w:tab w:val="left" w:pos="1440"/>
          <w:tab w:val="left" w:pos="2160"/>
          <w:tab w:val="left" w:pos="3060"/>
        </w:tabs>
        <w:spacing w:line="360" w:lineRule="auto"/>
        <w:jc w:val="both"/>
        <w:rPr>
          <w:bCs/>
          <w:sz w:val="22"/>
          <w:szCs w:val="22"/>
        </w:rPr>
      </w:pPr>
      <w:r w:rsidRPr="00925A9D">
        <w:rPr>
          <w:bCs/>
          <w:sz w:val="22"/>
          <w:szCs w:val="22"/>
        </w:rPr>
        <w:t>“Courts of Law exist for the settlement of concrete controversies and actual infringements of rights, not to pronounce upon abstract questions, or to advise upon differing contentions, however important. And I think we shall do well to adhere to the principle laid down by a long</w:t>
      </w:r>
      <w:r w:rsidR="00115AE6" w:rsidRPr="00925A9D">
        <w:rPr>
          <w:bCs/>
          <w:sz w:val="22"/>
          <w:szCs w:val="22"/>
        </w:rPr>
        <w:t xml:space="preserve"> </w:t>
      </w:r>
      <w:r w:rsidRPr="00925A9D">
        <w:rPr>
          <w:bCs/>
          <w:sz w:val="22"/>
          <w:szCs w:val="22"/>
        </w:rPr>
        <w:t>line of South African decisions, namely that a declaratory order cannot be claimed merely</w:t>
      </w:r>
      <w:r w:rsidR="00115AE6" w:rsidRPr="00925A9D">
        <w:rPr>
          <w:bCs/>
          <w:sz w:val="22"/>
          <w:szCs w:val="22"/>
        </w:rPr>
        <w:t xml:space="preserve"> because the rights of the claimant have been disputed, but that such a claim must be founded upon an actual infringement.</w:t>
      </w:r>
      <w:r w:rsidR="009974CC" w:rsidRPr="00925A9D">
        <w:rPr>
          <w:bCs/>
          <w:sz w:val="22"/>
          <w:szCs w:val="22"/>
        </w:rPr>
        <w:t>”’</w:t>
      </w:r>
      <w:r w:rsidR="008F56A3" w:rsidRPr="00925A9D">
        <w:rPr>
          <w:bCs/>
          <w:sz w:val="22"/>
          <w:szCs w:val="22"/>
        </w:rPr>
        <w:t xml:space="preserve"> </w:t>
      </w:r>
    </w:p>
    <w:p w14:paraId="01DDC8FA" w14:textId="02D68833" w:rsidR="006E7802" w:rsidRPr="00925A9D" w:rsidRDefault="006E7802" w:rsidP="00833BC9">
      <w:pPr>
        <w:tabs>
          <w:tab w:val="left" w:pos="0"/>
          <w:tab w:val="left" w:pos="720"/>
          <w:tab w:val="left" w:pos="1440"/>
          <w:tab w:val="left" w:pos="2160"/>
          <w:tab w:val="left" w:pos="3060"/>
        </w:tabs>
        <w:spacing w:line="360" w:lineRule="auto"/>
        <w:jc w:val="both"/>
        <w:rPr>
          <w:sz w:val="24"/>
          <w:shd w:val="clear" w:color="auto" w:fill="FFFFFF"/>
          <w:lang w:eastAsia="en-ZA"/>
        </w:rPr>
      </w:pPr>
      <w:r w:rsidRPr="00925A9D">
        <w:rPr>
          <w:sz w:val="24"/>
          <w:lang w:eastAsia="en-ZA"/>
        </w:rPr>
        <w:t>Th</w:t>
      </w:r>
      <w:r w:rsidR="00833BC9" w:rsidRPr="00925A9D">
        <w:rPr>
          <w:sz w:val="24"/>
          <w:lang w:eastAsia="en-ZA"/>
        </w:rPr>
        <w:t>us, the</w:t>
      </w:r>
      <w:r w:rsidRPr="00925A9D">
        <w:rPr>
          <w:sz w:val="24"/>
          <w:lang w:eastAsia="en-ZA"/>
        </w:rPr>
        <w:t xml:space="preserve"> </w:t>
      </w:r>
      <w:r w:rsidR="002706A7" w:rsidRPr="00925A9D">
        <w:rPr>
          <w:sz w:val="24"/>
          <w:lang w:eastAsia="en-ZA"/>
        </w:rPr>
        <w:t>reliance on</w:t>
      </w:r>
      <w:r w:rsidR="00280CCF" w:rsidRPr="00925A9D">
        <w:rPr>
          <w:sz w:val="24"/>
          <w:lang w:eastAsia="en-ZA"/>
        </w:rPr>
        <w:t xml:space="preserve"> the decision in </w:t>
      </w:r>
      <w:r w:rsidR="00280CCF" w:rsidRPr="00925A9D">
        <w:rPr>
          <w:i/>
          <w:sz w:val="24"/>
          <w:lang w:eastAsia="en-ZA"/>
        </w:rPr>
        <w:t>Tzaneng</w:t>
      </w:r>
      <w:r w:rsidR="00833BC9" w:rsidRPr="00925A9D">
        <w:rPr>
          <w:bCs/>
          <w:i/>
          <w:sz w:val="22"/>
          <w:szCs w:val="22"/>
        </w:rPr>
        <w:t xml:space="preserve"> Treated Timbers (Pty) Ltd v Komatiland Forest SOC Limited and another</w:t>
      </w:r>
      <w:r w:rsidR="00833BC9" w:rsidRPr="00925A9D">
        <w:rPr>
          <w:rStyle w:val="FootnoteReference"/>
          <w:bCs/>
          <w:sz w:val="22"/>
          <w:szCs w:val="22"/>
        </w:rPr>
        <w:footnoteReference w:id="10"/>
      </w:r>
      <w:r w:rsidR="002706A7" w:rsidRPr="00925A9D">
        <w:rPr>
          <w:sz w:val="24"/>
          <w:lang w:eastAsia="en-ZA"/>
        </w:rPr>
        <w:t xml:space="preserve"> </w:t>
      </w:r>
      <w:r w:rsidR="001447AA" w:rsidRPr="00925A9D">
        <w:rPr>
          <w:sz w:val="24"/>
          <w:lang w:eastAsia="en-ZA"/>
        </w:rPr>
        <w:t>that it was permissible for a court to grant</w:t>
      </w:r>
      <w:r w:rsidR="000E5A1D" w:rsidRPr="00925A9D">
        <w:rPr>
          <w:sz w:val="24"/>
          <w:lang w:eastAsia="en-ZA"/>
        </w:rPr>
        <w:t xml:space="preserve"> </w:t>
      </w:r>
      <w:r w:rsidR="001447AA" w:rsidRPr="00925A9D">
        <w:rPr>
          <w:sz w:val="24"/>
          <w:lang w:eastAsia="en-ZA"/>
        </w:rPr>
        <w:t xml:space="preserve">declaratory relief against a ruling of an </w:t>
      </w:r>
      <w:r w:rsidR="00FF1D9A" w:rsidRPr="00925A9D">
        <w:rPr>
          <w:sz w:val="24"/>
          <w:lang w:eastAsia="en-ZA"/>
        </w:rPr>
        <w:t>arbitrat</w:t>
      </w:r>
      <w:r w:rsidR="00B95894" w:rsidRPr="00925A9D">
        <w:rPr>
          <w:sz w:val="24"/>
          <w:lang w:eastAsia="en-ZA"/>
        </w:rPr>
        <w:t>o</w:t>
      </w:r>
      <w:r w:rsidR="00FF1D9A" w:rsidRPr="00925A9D">
        <w:rPr>
          <w:sz w:val="24"/>
          <w:lang w:eastAsia="en-ZA"/>
        </w:rPr>
        <w:t>r</w:t>
      </w:r>
      <w:r w:rsidR="001447AA" w:rsidRPr="00925A9D">
        <w:rPr>
          <w:sz w:val="24"/>
          <w:lang w:eastAsia="en-ZA"/>
        </w:rPr>
        <w:t xml:space="preserve">, </w:t>
      </w:r>
      <w:r w:rsidR="0011032F" w:rsidRPr="00925A9D">
        <w:rPr>
          <w:sz w:val="24"/>
          <w:lang w:eastAsia="en-ZA"/>
        </w:rPr>
        <w:t xml:space="preserve">before </w:t>
      </w:r>
      <w:r w:rsidR="00FF1D9A" w:rsidRPr="00925A9D">
        <w:rPr>
          <w:sz w:val="24"/>
          <w:lang w:eastAsia="en-ZA"/>
        </w:rPr>
        <w:t>the</w:t>
      </w:r>
      <w:r w:rsidR="00545E45" w:rsidRPr="00925A9D">
        <w:rPr>
          <w:sz w:val="24"/>
          <w:lang w:eastAsia="en-ZA"/>
        </w:rPr>
        <w:t xml:space="preserve"> </w:t>
      </w:r>
      <w:r w:rsidR="001447AA" w:rsidRPr="00925A9D">
        <w:rPr>
          <w:sz w:val="24"/>
          <w:lang w:eastAsia="en-ZA"/>
        </w:rPr>
        <w:t>arbitration had reached finality and certainty on the merits</w:t>
      </w:r>
      <w:r w:rsidR="00C42B5D" w:rsidRPr="00925A9D">
        <w:rPr>
          <w:sz w:val="24"/>
          <w:lang w:eastAsia="en-ZA"/>
        </w:rPr>
        <w:t>, was clearly misplaced</w:t>
      </w:r>
      <w:r w:rsidR="001447AA" w:rsidRPr="00925A9D">
        <w:rPr>
          <w:sz w:val="24"/>
          <w:lang w:eastAsia="en-ZA"/>
        </w:rPr>
        <w:t xml:space="preserve">. </w:t>
      </w:r>
      <w:r w:rsidR="00833BC9" w:rsidRPr="00925A9D">
        <w:rPr>
          <w:sz w:val="24"/>
          <w:lang w:eastAsia="en-ZA"/>
        </w:rPr>
        <w:t xml:space="preserve">The high </w:t>
      </w:r>
      <w:r w:rsidR="001447AA" w:rsidRPr="00925A9D">
        <w:rPr>
          <w:sz w:val="24"/>
          <w:lang w:eastAsia="en-ZA"/>
        </w:rPr>
        <w:t>court</w:t>
      </w:r>
      <w:r w:rsidR="00B95894" w:rsidRPr="00925A9D">
        <w:rPr>
          <w:sz w:val="24"/>
          <w:lang w:eastAsia="en-ZA"/>
        </w:rPr>
        <w:t xml:space="preserve"> therefore,</w:t>
      </w:r>
      <w:r w:rsidR="001447AA" w:rsidRPr="00925A9D">
        <w:rPr>
          <w:sz w:val="24"/>
          <w:lang w:eastAsia="en-ZA"/>
        </w:rPr>
        <w:t xml:space="preserve"> erred</w:t>
      </w:r>
      <w:r w:rsidRPr="00925A9D">
        <w:rPr>
          <w:sz w:val="24"/>
          <w:lang w:eastAsia="en-ZA"/>
        </w:rPr>
        <w:t xml:space="preserve"> in </w:t>
      </w:r>
      <w:r w:rsidR="00833BC9" w:rsidRPr="00925A9D">
        <w:rPr>
          <w:sz w:val="24"/>
          <w:lang w:eastAsia="en-ZA"/>
        </w:rPr>
        <w:t>granting a declarator</w:t>
      </w:r>
      <w:r w:rsidR="001447AA" w:rsidRPr="00925A9D">
        <w:rPr>
          <w:sz w:val="24"/>
          <w:lang w:eastAsia="en-ZA"/>
        </w:rPr>
        <w:t>y order</w:t>
      </w:r>
      <w:r w:rsidR="0029729C" w:rsidRPr="00925A9D">
        <w:rPr>
          <w:sz w:val="24"/>
          <w:lang w:eastAsia="en-ZA"/>
        </w:rPr>
        <w:t xml:space="preserve"> </w:t>
      </w:r>
      <w:r w:rsidR="00B27D77" w:rsidRPr="00925A9D">
        <w:rPr>
          <w:sz w:val="24"/>
          <w:lang w:eastAsia="en-ZA"/>
        </w:rPr>
        <w:t>in</w:t>
      </w:r>
      <w:r w:rsidR="0029729C" w:rsidRPr="00925A9D">
        <w:rPr>
          <w:sz w:val="24"/>
          <w:lang w:eastAsia="en-ZA"/>
        </w:rPr>
        <w:t xml:space="preserve"> circumstances</w:t>
      </w:r>
      <w:r w:rsidR="00C42B5D" w:rsidRPr="00925A9D">
        <w:rPr>
          <w:sz w:val="24"/>
          <w:lang w:eastAsia="en-ZA"/>
        </w:rPr>
        <w:t xml:space="preserve"> where the merits of the claim had not reached finality and certainty</w:t>
      </w:r>
      <w:r w:rsidR="000736EB" w:rsidRPr="00925A9D">
        <w:rPr>
          <w:sz w:val="24"/>
          <w:lang w:eastAsia="en-ZA"/>
        </w:rPr>
        <w:t>.</w:t>
      </w:r>
      <w:r w:rsidR="000736EB" w:rsidRPr="00925A9D">
        <w:rPr>
          <w:sz w:val="24"/>
          <w:shd w:val="clear" w:color="auto" w:fill="FFFFFF"/>
          <w:lang w:eastAsia="en-ZA"/>
        </w:rPr>
        <w:t xml:space="preserve"> The </w:t>
      </w:r>
      <w:r w:rsidR="00C25D26" w:rsidRPr="00925A9D">
        <w:rPr>
          <w:sz w:val="24"/>
          <w:shd w:val="clear" w:color="auto" w:fill="FFFFFF"/>
          <w:lang w:eastAsia="en-ZA"/>
        </w:rPr>
        <w:t>high court’s order must</w:t>
      </w:r>
      <w:r w:rsidR="004A4D9B" w:rsidRPr="00925A9D">
        <w:rPr>
          <w:sz w:val="24"/>
          <w:shd w:val="clear" w:color="auto" w:fill="FFFFFF"/>
          <w:lang w:eastAsia="en-ZA"/>
        </w:rPr>
        <w:t xml:space="preserve"> thus</w:t>
      </w:r>
      <w:r w:rsidR="00C25D26" w:rsidRPr="00925A9D">
        <w:rPr>
          <w:sz w:val="24"/>
          <w:shd w:val="clear" w:color="auto" w:fill="FFFFFF"/>
          <w:lang w:eastAsia="en-ZA"/>
        </w:rPr>
        <w:t xml:space="preserve"> be set aside and the </w:t>
      </w:r>
      <w:r w:rsidR="000736EB" w:rsidRPr="00925A9D">
        <w:rPr>
          <w:sz w:val="24"/>
          <w:shd w:val="clear" w:color="auto" w:fill="FFFFFF"/>
          <w:lang w:eastAsia="en-ZA"/>
        </w:rPr>
        <w:t>appeal in this Court m</w:t>
      </w:r>
      <w:r w:rsidR="004A4D9B" w:rsidRPr="00925A9D">
        <w:rPr>
          <w:sz w:val="24"/>
          <w:shd w:val="clear" w:color="auto" w:fill="FFFFFF"/>
          <w:lang w:eastAsia="en-ZA"/>
        </w:rPr>
        <w:t>ust</w:t>
      </w:r>
      <w:r w:rsidR="00C25D26" w:rsidRPr="00925A9D">
        <w:rPr>
          <w:sz w:val="24"/>
          <w:shd w:val="clear" w:color="auto" w:fill="FFFFFF"/>
          <w:lang w:eastAsia="en-ZA"/>
        </w:rPr>
        <w:t xml:space="preserve"> </w:t>
      </w:r>
      <w:r w:rsidR="000736EB" w:rsidRPr="00925A9D">
        <w:rPr>
          <w:sz w:val="24"/>
          <w:shd w:val="clear" w:color="auto" w:fill="FFFFFF"/>
          <w:lang w:eastAsia="en-ZA"/>
        </w:rPr>
        <w:t>succeed</w:t>
      </w:r>
      <w:r w:rsidR="00C25D26" w:rsidRPr="00925A9D">
        <w:rPr>
          <w:sz w:val="24"/>
          <w:shd w:val="clear" w:color="auto" w:fill="FFFFFF"/>
          <w:lang w:eastAsia="en-ZA"/>
        </w:rPr>
        <w:t xml:space="preserve">. I see no reason why the </w:t>
      </w:r>
      <w:r w:rsidR="000736EB" w:rsidRPr="00925A9D">
        <w:rPr>
          <w:sz w:val="24"/>
          <w:shd w:val="clear" w:color="auto" w:fill="FFFFFF"/>
          <w:lang w:eastAsia="en-ZA"/>
        </w:rPr>
        <w:t xml:space="preserve">costs </w:t>
      </w:r>
      <w:r w:rsidR="00AD02F2" w:rsidRPr="00925A9D">
        <w:rPr>
          <w:sz w:val="24"/>
          <w:shd w:val="clear" w:color="auto" w:fill="FFFFFF"/>
          <w:lang w:eastAsia="en-ZA"/>
        </w:rPr>
        <w:t>should</w:t>
      </w:r>
      <w:r w:rsidR="00C25D26" w:rsidRPr="00925A9D">
        <w:rPr>
          <w:sz w:val="24"/>
          <w:shd w:val="clear" w:color="auto" w:fill="FFFFFF"/>
          <w:lang w:eastAsia="en-ZA"/>
        </w:rPr>
        <w:t xml:space="preserve"> not</w:t>
      </w:r>
      <w:r w:rsidR="000736EB" w:rsidRPr="00925A9D">
        <w:rPr>
          <w:sz w:val="24"/>
          <w:shd w:val="clear" w:color="auto" w:fill="FFFFFF"/>
          <w:lang w:eastAsia="en-ZA"/>
        </w:rPr>
        <w:t xml:space="preserve"> follow the result.</w:t>
      </w:r>
    </w:p>
    <w:p w14:paraId="2A21A55B" w14:textId="77777777" w:rsidR="00545E45" w:rsidRPr="00925A9D" w:rsidRDefault="00545E45" w:rsidP="00D63CBD">
      <w:pPr>
        <w:pStyle w:val="ListParagraph"/>
        <w:numPr>
          <w:ilvl w:val="0"/>
          <w:numId w:val="0"/>
        </w:numPr>
        <w:tabs>
          <w:tab w:val="clear" w:pos="1134"/>
          <w:tab w:val="left" w:pos="567"/>
        </w:tabs>
        <w:spacing w:after="0" w:line="360" w:lineRule="auto"/>
        <w:rPr>
          <w:sz w:val="24"/>
          <w:shd w:val="clear" w:color="auto" w:fill="FFFFFF"/>
          <w:lang w:eastAsia="en-ZA"/>
        </w:rPr>
      </w:pPr>
    </w:p>
    <w:p w14:paraId="7F9B9823" w14:textId="647B33B6" w:rsidR="000736EB" w:rsidRPr="00C01158" w:rsidRDefault="00C01158" w:rsidP="00C01158">
      <w:pPr>
        <w:tabs>
          <w:tab w:val="left" w:pos="709"/>
        </w:tabs>
        <w:spacing w:line="360" w:lineRule="auto"/>
        <w:ind w:left="3195" w:hanging="3195"/>
        <w:rPr>
          <w:sz w:val="24"/>
          <w:shd w:val="clear" w:color="auto" w:fill="FFFFFF"/>
          <w:lang w:eastAsia="en-ZA"/>
        </w:rPr>
      </w:pPr>
      <w:r w:rsidRPr="00925A9D">
        <w:rPr>
          <w:rFonts w:eastAsia="Calibri"/>
          <w:sz w:val="24"/>
          <w:lang w:val="en-ZA" w:eastAsia="en-ZA"/>
        </w:rPr>
        <w:t>[27]</w:t>
      </w:r>
      <w:r w:rsidRPr="00925A9D">
        <w:rPr>
          <w:rFonts w:eastAsia="Calibri"/>
          <w:sz w:val="24"/>
          <w:lang w:val="en-ZA" w:eastAsia="en-ZA"/>
        </w:rPr>
        <w:tab/>
      </w:r>
      <w:r w:rsidR="000736EB" w:rsidRPr="00C01158">
        <w:rPr>
          <w:sz w:val="24"/>
          <w:shd w:val="clear" w:color="auto" w:fill="FFFFFF"/>
          <w:lang w:eastAsia="en-ZA"/>
        </w:rPr>
        <w:t>In the result, the following order is made</w:t>
      </w:r>
    </w:p>
    <w:p w14:paraId="2B456826" w14:textId="39159067" w:rsidR="000736EB" w:rsidRPr="00925A9D" w:rsidRDefault="009974CC" w:rsidP="00767B06">
      <w:pPr>
        <w:tabs>
          <w:tab w:val="left" w:pos="567"/>
        </w:tabs>
        <w:spacing w:line="360" w:lineRule="auto"/>
        <w:ind w:left="709" w:hanging="709"/>
        <w:jc w:val="both"/>
        <w:rPr>
          <w:sz w:val="24"/>
        </w:rPr>
      </w:pPr>
      <w:r w:rsidRPr="00925A9D">
        <w:rPr>
          <w:sz w:val="24"/>
        </w:rPr>
        <w:t>1</w:t>
      </w:r>
      <w:r w:rsidR="00767B06" w:rsidRPr="00925A9D">
        <w:rPr>
          <w:sz w:val="24"/>
        </w:rPr>
        <w:tab/>
      </w:r>
      <w:r w:rsidR="00767B06" w:rsidRPr="00925A9D">
        <w:rPr>
          <w:sz w:val="24"/>
        </w:rPr>
        <w:tab/>
      </w:r>
      <w:r w:rsidRPr="00925A9D">
        <w:rPr>
          <w:sz w:val="24"/>
        </w:rPr>
        <w:tab/>
      </w:r>
      <w:r w:rsidR="000736EB" w:rsidRPr="00925A9D">
        <w:rPr>
          <w:sz w:val="24"/>
        </w:rPr>
        <w:t>The appeal is up</w:t>
      </w:r>
      <w:r w:rsidR="00B95894" w:rsidRPr="00925A9D">
        <w:rPr>
          <w:sz w:val="24"/>
        </w:rPr>
        <w:t>held with costs, including those</w:t>
      </w:r>
      <w:r w:rsidR="000736EB" w:rsidRPr="00925A9D">
        <w:rPr>
          <w:sz w:val="24"/>
        </w:rPr>
        <w:t xml:space="preserve"> of two counsel where so employed.</w:t>
      </w:r>
    </w:p>
    <w:p w14:paraId="20B93334" w14:textId="6CD31AAB" w:rsidR="000736EB" w:rsidRPr="00C01158" w:rsidRDefault="00C01158" w:rsidP="00C01158">
      <w:pPr>
        <w:tabs>
          <w:tab w:val="left" w:pos="709"/>
          <w:tab w:val="left" w:pos="851"/>
        </w:tabs>
        <w:spacing w:line="360" w:lineRule="auto"/>
        <w:rPr>
          <w:sz w:val="24"/>
        </w:rPr>
      </w:pPr>
      <w:r w:rsidRPr="00925A9D">
        <w:rPr>
          <w:rFonts w:eastAsia="Calibri"/>
          <w:sz w:val="24"/>
          <w:szCs w:val="25"/>
          <w:lang w:val="en-ZA"/>
        </w:rPr>
        <w:t>2</w:t>
      </w:r>
      <w:r w:rsidRPr="00925A9D">
        <w:rPr>
          <w:rFonts w:eastAsia="Calibri"/>
          <w:sz w:val="24"/>
          <w:szCs w:val="25"/>
          <w:lang w:val="en-ZA"/>
        </w:rPr>
        <w:tab/>
      </w:r>
      <w:r w:rsidR="000736EB" w:rsidRPr="00C01158">
        <w:rPr>
          <w:sz w:val="24"/>
        </w:rPr>
        <w:t>The order of the high court is set aside and is substituted by:</w:t>
      </w:r>
    </w:p>
    <w:p w14:paraId="7BEE0A9C" w14:textId="1D4C260B" w:rsidR="000736EB" w:rsidRPr="00925A9D" w:rsidRDefault="009974CC" w:rsidP="00E97C3E">
      <w:pPr>
        <w:pStyle w:val="ListParagraph"/>
        <w:numPr>
          <w:ilvl w:val="0"/>
          <w:numId w:val="0"/>
        </w:numPr>
        <w:tabs>
          <w:tab w:val="clear" w:pos="1134"/>
          <w:tab w:val="left" w:pos="709"/>
        </w:tabs>
        <w:spacing w:after="0" w:line="360" w:lineRule="auto"/>
        <w:ind w:hanging="720"/>
        <w:rPr>
          <w:sz w:val="24"/>
          <w:szCs w:val="24"/>
        </w:rPr>
      </w:pPr>
      <w:r w:rsidRPr="00925A9D">
        <w:rPr>
          <w:sz w:val="24"/>
          <w:szCs w:val="24"/>
        </w:rPr>
        <w:tab/>
      </w:r>
      <w:r w:rsidRPr="00925A9D">
        <w:rPr>
          <w:sz w:val="24"/>
          <w:szCs w:val="24"/>
        </w:rPr>
        <w:tab/>
      </w:r>
      <w:r w:rsidR="000736EB" w:rsidRPr="00925A9D">
        <w:rPr>
          <w:sz w:val="24"/>
          <w:szCs w:val="24"/>
        </w:rPr>
        <w:t>‘1 The application is dismissed with costs; and</w:t>
      </w:r>
    </w:p>
    <w:p w14:paraId="2474136C" w14:textId="2ED6792F" w:rsidR="005254D5" w:rsidRPr="00925A9D" w:rsidRDefault="009974CC" w:rsidP="00E97C3E">
      <w:pPr>
        <w:tabs>
          <w:tab w:val="left" w:pos="709"/>
        </w:tabs>
        <w:spacing w:line="360" w:lineRule="auto"/>
        <w:jc w:val="both"/>
        <w:rPr>
          <w:sz w:val="24"/>
        </w:rPr>
      </w:pPr>
      <w:r w:rsidRPr="00925A9D">
        <w:rPr>
          <w:sz w:val="24"/>
        </w:rPr>
        <w:tab/>
      </w:r>
      <w:r w:rsidR="000736EB" w:rsidRPr="00925A9D">
        <w:rPr>
          <w:sz w:val="24"/>
        </w:rPr>
        <w:t>2 It is declared that the arbitrator has jurisdiction over the respondent’s</w:t>
      </w:r>
      <w:r w:rsidR="00B84615" w:rsidRPr="00925A9D">
        <w:rPr>
          <w:sz w:val="24"/>
        </w:rPr>
        <w:t xml:space="preserve"> claim</w:t>
      </w:r>
      <w:r w:rsidR="000736EB" w:rsidRPr="00925A9D">
        <w:rPr>
          <w:sz w:val="24"/>
        </w:rPr>
        <w:t>.’</w:t>
      </w:r>
    </w:p>
    <w:p w14:paraId="729D4EB6" w14:textId="77777777" w:rsidR="00EE4444" w:rsidRPr="00925A9D" w:rsidRDefault="00EE4444" w:rsidP="000C3E40">
      <w:pPr>
        <w:spacing w:line="360" w:lineRule="auto"/>
      </w:pPr>
    </w:p>
    <w:p w14:paraId="3E9DC4D5" w14:textId="77777777" w:rsidR="003D09B5" w:rsidRPr="00925A9D" w:rsidRDefault="003D09B5" w:rsidP="000C3E40">
      <w:pPr>
        <w:spacing w:line="360" w:lineRule="auto"/>
      </w:pPr>
    </w:p>
    <w:p w14:paraId="7E7D32C6" w14:textId="77777777" w:rsidR="003D09B5" w:rsidRPr="00925A9D" w:rsidRDefault="003D09B5" w:rsidP="000C3E40">
      <w:pPr>
        <w:spacing w:line="360" w:lineRule="auto"/>
      </w:pPr>
    </w:p>
    <w:p w14:paraId="17E18B2A" w14:textId="42DDB169" w:rsidR="00A7400E" w:rsidRPr="00925A9D" w:rsidRDefault="00C25D26" w:rsidP="00BC658B">
      <w:pPr>
        <w:pStyle w:val="ListParagraph"/>
        <w:numPr>
          <w:ilvl w:val="0"/>
          <w:numId w:val="0"/>
        </w:numPr>
        <w:spacing w:line="360" w:lineRule="auto"/>
        <w:ind w:right="32"/>
        <w:jc w:val="right"/>
        <w:rPr>
          <w:i/>
          <w:sz w:val="24"/>
          <w:szCs w:val="24"/>
        </w:rPr>
      </w:pPr>
      <w:r w:rsidRPr="00925A9D">
        <w:rPr>
          <w:sz w:val="24"/>
          <w:szCs w:val="24"/>
        </w:rPr>
        <w:t>______</w:t>
      </w:r>
      <w:r w:rsidR="00A7400E" w:rsidRPr="00925A9D">
        <w:rPr>
          <w:sz w:val="24"/>
          <w:szCs w:val="24"/>
        </w:rPr>
        <w:t>______________</w:t>
      </w:r>
    </w:p>
    <w:p w14:paraId="42A4853A" w14:textId="77777777" w:rsidR="00A7400E" w:rsidRPr="00925A9D" w:rsidRDefault="005C52C2" w:rsidP="00D93BA6">
      <w:pPr>
        <w:spacing w:line="360" w:lineRule="auto"/>
        <w:jc w:val="right"/>
        <w:rPr>
          <w:bCs/>
          <w:sz w:val="24"/>
          <w:lang w:val="en-ZA"/>
        </w:rPr>
      </w:pPr>
      <w:r w:rsidRPr="00925A9D">
        <w:rPr>
          <w:bCs/>
          <w:sz w:val="24"/>
          <w:lang w:val="en-ZA"/>
        </w:rPr>
        <w:t xml:space="preserve">SP MOTHLE </w:t>
      </w:r>
    </w:p>
    <w:p w14:paraId="7CF6184B" w14:textId="104790CA" w:rsidR="00115AE6" w:rsidRPr="00925A9D" w:rsidRDefault="005C52C2" w:rsidP="0029729C">
      <w:pPr>
        <w:spacing w:line="360" w:lineRule="auto"/>
        <w:jc w:val="right"/>
        <w:rPr>
          <w:bCs/>
          <w:sz w:val="24"/>
          <w:lang w:val="en-ZA"/>
        </w:rPr>
      </w:pPr>
      <w:r w:rsidRPr="00925A9D">
        <w:rPr>
          <w:bCs/>
          <w:sz w:val="24"/>
          <w:lang w:val="en-ZA"/>
        </w:rPr>
        <w:t>JUDGE OF APPEAL</w:t>
      </w:r>
    </w:p>
    <w:p w14:paraId="5CAE774F" w14:textId="77777777" w:rsidR="00E16FCC" w:rsidRPr="00925A9D" w:rsidRDefault="00E16FCC" w:rsidP="0029729C">
      <w:pPr>
        <w:spacing w:line="360" w:lineRule="auto"/>
        <w:jc w:val="right"/>
        <w:rPr>
          <w:bCs/>
          <w:sz w:val="24"/>
          <w:lang w:val="en-ZA"/>
        </w:rPr>
      </w:pPr>
    </w:p>
    <w:p w14:paraId="7D290F99" w14:textId="77777777" w:rsidR="00E16FCC" w:rsidRPr="00925A9D" w:rsidRDefault="00E16FCC" w:rsidP="0029729C">
      <w:pPr>
        <w:spacing w:line="360" w:lineRule="auto"/>
        <w:jc w:val="right"/>
        <w:rPr>
          <w:bCs/>
          <w:sz w:val="24"/>
          <w:lang w:val="en-ZA"/>
        </w:rPr>
      </w:pPr>
    </w:p>
    <w:p w14:paraId="4668F619" w14:textId="47595D0A" w:rsidR="002533B8" w:rsidRPr="00925A9D" w:rsidRDefault="002533B8" w:rsidP="00C85755">
      <w:pPr>
        <w:widowControl w:val="0"/>
        <w:autoSpaceDE w:val="0"/>
        <w:autoSpaceDN w:val="0"/>
        <w:adjustRightInd w:val="0"/>
        <w:spacing w:line="360" w:lineRule="auto"/>
        <w:rPr>
          <w:sz w:val="24"/>
        </w:rPr>
      </w:pPr>
      <w:r w:rsidRPr="00925A9D">
        <w:rPr>
          <w:sz w:val="24"/>
        </w:rPr>
        <w:lastRenderedPageBreak/>
        <w:t>A</w:t>
      </w:r>
      <w:r w:rsidR="009974CC" w:rsidRPr="00925A9D">
        <w:rPr>
          <w:sz w:val="24"/>
        </w:rPr>
        <w:t>ppearances</w:t>
      </w:r>
    </w:p>
    <w:p w14:paraId="43B5E730" w14:textId="77777777" w:rsidR="002533B8" w:rsidRPr="00925A9D" w:rsidRDefault="002533B8" w:rsidP="00C85755">
      <w:pPr>
        <w:widowControl w:val="0"/>
        <w:autoSpaceDE w:val="0"/>
        <w:autoSpaceDN w:val="0"/>
        <w:adjustRightInd w:val="0"/>
        <w:spacing w:line="360" w:lineRule="auto"/>
        <w:rPr>
          <w:sz w:val="24"/>
        </w:rPr>
      </w:pPr>
    </w:p>
    <w:p w14:paraId="3472E891" w14:textId="78934AF8" w:rsidR="00C34D57" w:rsidRPr="00925A9D" w:rsidRDefault="002533B8" w:rsidP="00C85755">
      <w:pPr>
        <w:widowControl w:val="0"/>
        <w:tabs>
          <w:tab w:val="left" w:pos="2127"/>
        </w:tabs>
        <w:autoSpaceDE w:val="0"/>
        <w:autoSpaceDN w:val="0"/>
        <w:adjustRightInd w:val="0"/>
        <w:spacing w:line="360" w:lineRule="auto"/>
        <w:rPr>
          <w:sz w:val="24"/>
        </w:rPr>
      </w:pPr>
      <w:r w:rsidRPr="00925A9D">
        <w:rPr>
          <w:sz w:val="24"/>
        </w:rPr>
        <w:t xml:space="preserve">For </w:t>
      </w:r>
      <w:r w:rsidR="007E55A0" w:rsidRPr="00925A9D">
        <w:rPr>
          <w:sz w:val="24"/>
        </w:rPr>
        <w:t>the appellant</w:t>
      </w:r>
      <w:r w:rsidR="001E5774" w:rsidRPr="00925A9D">
        <w:rPr>
          <w:sz w:val="24"/>
        </w:rPr>
        <w:t>:</w:t>
      </w:r>
      <w:r w:rsidR="0078743A" w:rsidRPr="00925A9D">
        <w:rPr>
          <w:sz w:val="24"/>
        </w:rPr>
        <w:tab/>
      </w:r>
      <w:r w:rsidR="0078743A" w:rsidRPr="00925A9D">
        <w:rPr>
          <w:sz w:val="24"/>
        </w:rPr>
        <w:tab/>
      </w:r>
      <w:r w:rsidR="0078743A" w:rsidRPr="00925A9D">
        <w:rPr>
          <w:sz w:val="24"/>
        </w:rPr>
        <w:tab/>
      </w:r>
      <w:r w:rsidR="0078743A" w:rsidRPr="00925A9D">
        <w:rPr>
          <w:sz w:val="24"/>
        </w:rPr>
        <w:tab/>
      </w:r>
      <w:r w:rsidR="002B0A16" w:rsidRPr="00925A9D">
        <w:rPr>
          <w:sz w:val="24"/>
        </w:rPr>
        <w:t>A</w:t>
      </w:r>
      <w:r w:rsidR="009974CC" w:rsidRPr="00925A9D">
        <w:rPr>
          <w:sz w:val="24"/>
        </w:rPr>
        <w:t xml:space="preserve"> </w:t>
      </w:r>
      <w:r w:rsidR="002B0A16" w:rsidRPr="00925A9D">
        <w:rPr>
          <w:sz w:val="24"/>
        </w:rPr>
        <w:t>J Daniels SC</w:t>
      </w:r>
    </w:p>
    <w:p w14:paraId="5F500918" w14:textId="6A3D3165" w:rsidR="00D75FAB" w:rsidRPr="00925A9D" w:rsidRDefault="002533B8" w:rsidP="0078743A">
      <w:pPr>
        <w:widowControl w:val="0"/>
        <w:tabs>
          <w:tab w:val="left" w:pos="2127"/>
        </w:tabs>
        <w:autoSpaceDE w:val="0"/>
        <w:autoSpaceDN w:val="0"/>
        <w:adjustRightInd w:val="0"/>
        <w:spacing w:line="360" w:lineRule="auto"/>
        <w:ind w:left="3600" w:hanging="3600"/>
        <w:rPr>
          <w:sz w:val="24"/>
        </w:rPr>
      </w:pPr>
      <w:r w:rsidRPr="00925A9D">
        <w:rPr>
          <w:sz w:val="24"/>
        </w:rPr>
        <w:t>Instructed by:</w:t>
      </w:r>
      <w:r w:rsidR="002B0A16" w:rsidRPr="00925A9D">
        <w:rPr>
          <w:sz w:val="24"/>
        </w:rPr>
        <w:tab/>
      </w:r>
      <w:r w:rsidR="002B0A16" w:rsidRPr="00925A9D">
        <w:rPr>
          <w:sz w:val="24"/>
        </w:rPr>
        <w:tab/>
        <w:t>Saltzman Attorneys, Johannesburg</w:t>
      </w:r>
      <w:r w:rsidR="00104BCA" w:rsidRPr="00925A9D">
        <w:rPr>
          <w:sz w:val="24"/>
        </w:rPr>
        <w:t>.</w:t>
      </w:r>
    </w:p>
    <w:p w14:paraId="318DA3A1" w14:textId="21EBB592" w:rsidR="002533B8" w:rsidRPr="00925A9D" w:rsidRDefault="00D75FAB" w:rsidP="00D75FAB">
      <w:pPr>
        <w:widowControl w:val="0"/>
        <w:tabs>
          <w:tab w:val="left" w:pos="2127"/>
        </w:tabs>
        <w:autoSpaceDE w:val="0"/>
        <w:autoSpaceDN w:val="0"/>
        <w:adjustRightInd w:val="0"/>
        <w:spacing w:line="360" w:lineRule="auto"/>
        <w:ind w:left="3600" w:hanging="3600"/>
        <w:rPr>
          <w:sz w:val="24"/>
        </w:rPr>
      </w:pPr>
      <w:r w:rsidRPr="00925A9D">
        <w:rPr>
          <w:sz w:val="24"/>
        </w:rPr>
        <w:t xml:space="preserve">                                                </w:t>
      </w:r>
      <w:r w:rsidR="002B0A16" w:rsidRPr="00925A9D">
        <w:rPr>
          <w:sz w:val="24"/>
        </w:rPr>
        <w:t xml:space="preserve">      EG Cooper </w:t>
      </w:r>
      <w:r w:rsidR="00AE5241" w:rsidRPr="00925A9D">
        <w:rPr>
          <w:sz w:val="24"/>
        </w:rPr>
        <w:t>Madjiedt</w:t>
      </w:r>
      <w:r w:rsidR="002B0A16" w:rsidRPr="00925A9D">
        <w:rPr>
          <w:sz w:val="24"/>
        </w:rPr>
        <w:t xml:space="preserve"> Inc</w:t>
      </w:r>
      <w:r w:rsidRPr="00925A9D">
        <w:rPr>
          <w:sz w:val="24"/>
        </w:rPr>
        <w:t>, Bloemfontein</w:t>
      </w:r>
      <w:r w:rsidR="00AC7FD6" w:rsidRPr="00925A9D">
        <w:rPr>
          <w:sz w:val="24"/>
        </w:rPr>
        <w:t>.</w:t>
      </w:r>
    </w:p>
    <w:p w14:paraId="21CB2DE2" w14:textId="77777777" w:rsidR="00CC248B" w:rsidRPr="00925A9D" w:rsidRDefault="00CC248B" w:rsidP="00C85755">
      <w:pPr>
        <w:widowControl w:val="0"/>
        <w:tabs>
          <w:tab w:val="left" w:pos="2127"/>
        </w:tabs>
        <w:autoSpaceDE w:val="0"/>
        <w:autoSpaceDN w:val="0"/>
        <w:adjustRightInd w:val="0"/>
        <w:spacing w:line="360" w:lineRule="auto"/>
        <w:rPr>
          <w:sz w:val="24"/>
        </w:rPr>
      </w:pPr>
    </w:p>
    <w:p w14:paraId="0AABFB24" w14:textId="2C06F4D7" w:rsidR="00C34D57" w:rsidRPr="00925A9D" w:rsidRDefault="00A551E0" w:rsidP="00C85755">
      <w:pPr>
        <w:widowControl w:val="0"/>
        <w:tabs>
          <w:tab w:val="left" w:pos="2127"/>
        </w:tabs>
        <w:autoSpaceDE w:val="0"/>
        <w:autoSpaceDN w:val="0"/>
        <w:adjustRightInd w:val="0"/>
        <w:spacing w:line="360" w:lineRule="auto"/>
        <w:rPr>
          <w:sz w:val="24"/>
        </w:rPr>
      </w:pPr>
      <w:r w:rsidRPr="00925A9D">
        <w:rPr>
          <w:sz w:val="24"/>
        </w:rPr>
        <w:t>For</w:t>
      </w:r>
      <w:r w:rsidR="007350A7" w:rsidRPr="00925A9D">
        <w:rPr>
          <w:sz w:val="24"/>
        </w:rPr>
        <w:t xml:space="preserve"> </w:t>
      </w:r>
      <w:r w:rsidR="0068519D" w:rsidRPr="00925A9D">
        <w:rPr>
          <w:sz w:val="24"/>
        </w:rPr>
        <w:t xml:space="preserve">first </w:t>
      </w:r>
      <w:r w:rsidR="0036575B" w:rsidRPr="00925A9D">
        <w:rPr>
          <w:sz w:val="24"/>
        </w:rPr>
        <w:t>respondent</w:t>
      </w:r>
      <w:r w:rsidR="001E5774" w:rsidRPr="00925A9D">
        <w:rPr>
          <w:sz w:val="24"/>
        </w:rPr>
        <w:t>:</w:t>
      </w:r>
      <w:r w:rsidR="007350A7" w:rsidRPr="00925A9D">
        <w:rPr>
          <w:sz w:val="24"/>
        </w:rPr>
        <w:t xml:space="preserve">  </w:t>
      </w:r>
      <w:r w:rsidRPr="00925A9D">
        <w:rPr>
          <w:sz w:val="24"/>
        </w:rPr>
        <w:t xml:space="preserve">       </w:t>
      </w:r>
      <w:r w:rsidR="002B0A16" w:rsidRPr="00925A9D">
        <w:rPr>
          <w:sz w:val="24"/>
        </w:rPr>
        <w:t xml:space="preserve">             E Fagan </w:t>
      </w:r>
      <w:r w:rsidR="0039221F" w:rsidRPr="00925A9D">
        <w:rPr>
          <w:sz w:val="24"/>
        </w:rPr>
        <w:t>SC</w:t>
      </w:r>
      <w:r w:rsidR="00D93BA6" w:rsidRPr="00925A9D">
        <w:rPr>
          <w:sz w:val="24"/>
        </w:rPr>
        <w:t xml:space="preserve"> </w:t>
      </w:r>
      <w:r w:rsidR="004177BA" w:rsidRPr="00925A9D">
        <w:rPr>
          <w:sz w:val="24"/>
        </w:rPr>
        <w:t xml:space="preserve">and </w:t>
      </w:r>
      <w:r w:rsidR="002B0A16" w:rsidRPr="00925A9D">
        <w:rPr>
          <w:sz w:val="24"/>
        </w:rPr>
        <w:t>S Mathiba</w:t>
      </w:r>
    </w:p>
    <w:p w14:paraId="02CE44DC" w14:textId="5C3B4E71" w:rsidR="004E074E" w:rsidRPr="00925A9D" w:rsidRDefault="004E074E" w:rsidP="00C85755">
      <w:pPr>
        <w:widowControl w:val="0"/>
        <w:tabs>
          <w:tab w:val="left" w:pos="2127"/>
        </w:tabs>
        <w:autoSpaceDE w:val="0"/>
        <w:autoSpaceDN w:val="0"/>
        <w:adjustRightInd w:val="0"/>
        <w:spacing w:line="360" w:lineRule="auto"/>
        <w:rPr>
          <w:sz w:val="24"/>
        </w:rPr>
      </w:pPr>
      <w:r w:rsidRPr="00925A9D">
        <w:rPr>
          <w:sz w:val="24"/>
        </w:rPr>
        <w:t>Instructed by:</w:t>
      </w:r>
      <w:r w:rsidR="001E5774" w:rsidRPr="00925A9D">
        <w:rPr>
          <w:sz w:val="24"/>
        </w:rPr>
        <w:tab/>
      </w:r>
      <w:r w:rsidR="001E5774" w:rsidRPr="00925A9D">
        <w:rPr>
          <w:sz w:val="24"/>
        </w:rPr>
        <w:tab/>
      </w:r>
      <w:r w:rsidR="001E5774" w:rsidRPr="00925A9D">
        <w:rPr>
          <w:sz w:val="24"/>
        </w:rPr>
        <w:tab/>
      </w:r>
      <w:r w:rsidR="0078743A" w:rsidRPr="00925A9D">
        <w:rPr>
          <w:sz w:val="24"/>
        </w:rPr>
        <w:tab/>
      </w:r>
      <w:r w:rsidR="002B0A16" w:rsidRPr="00925A9D">
        <w:rPr>
          <w:sz w:val="24"/>
        </w:rPr>
        <w:t>GVS Law, Durbanville</w:t>
      </w:r>
      <w:r w:rsidR="00104BCA" w:rsidRPr="00925A9D">
        <w:rPr>
          <w:sz w:val="24"/>
        </w:rPr>
        <w:t>.</w:t>
      </w:r>
    </w:p>
    <w:p w14:paraId="3E3468EA" w14:textId="4F68006D" w:rsidR="00510B11" w:rsidRPr="00925A9D" w:rsidRDefault="00712D62" w:rsidP="00C85755">
      <w:pPr>
        <w:widowControl w:val="0"/>
        <w:tabs>
          <w:tab w:val="left" w:pos="2127"/>
        </w:tabs>
        <w:autoSpaceDE w:val="0"/>
        <w:autoSpaceDN w:val="0"/>
        <w:adjustRightInd w:val="0"/>
        <w:spacing w:line="360" w:lineRule="auto"/>
        <w:rPr>
          <w:sz w:val="24"/>
        </w:rPr>
      </w:pPr>
      <w:r w:rsidRPr="00925A9D">
        <w:rPr>
          <w:sz w:val="24"/>
        </w:rPr>
        <w:tab/>
      </w:r>
      <w:r w:rsidRPr="00925A9D">
        <w:rPr>
          <w:sz w:val="24"/>
        </w:rPr>
        <w:tab/>
      </w:r>
      <w:r w:rsidRPr="00925A9D">
        <w:rPr>
          <w:sz w:val="24"/>
        </w:rPr>
        <w:tab/>
      </w:r>
      <w:r w:rsidR="0078743A" w:rsidRPr="00925A9D">
        <w:rPr>
          <w:sz w:val="24"/>
        </w:rPr>
        <w:tab/>
      </w:r>
      <w:r w:rsidR="002B0A16" w:rsidRPr="00925A9D">
        <w:rPr>
          <w:sz w:val="24"/>
        </w:rPr>
        <w:t>Sym</w:t>
      </w:r>
      <w:r w:rsidR="007A72CC" w:rsidRPr="00925A9D">
        <w:rPr>
          <w:sz w:val="24"/>
        </w:rPr>
        <w:t>i</w:t>
      </w:r>
      <w:r w:rsidR="002B0A16" w:rsidRPr="00925A9D">
        <w:rPr>
          <w:sz w:val="24"/>
        </w:rPr>
        <w:t>n</w:t>
      </w:r>
      <w:r w:rsidR="007A72CC" w:rsidRPr="00925A9D">
        <w:rPr>
          <w:sz w:val="24"/>
        </w:rPr>
        <w:t>g</w:t>
      </w:r>
      <w:r w:rsidR="002B0A16" w:rsidRPr="00925A9D">
        <w:rPr>
          <w:sz w:val="24"/>
        </w:rPr>
        <w:t>ton</w:t>
      </w:r>
      <w:r w:rsidR="007A72CC" w:rsidRPr="00925A9D">
        <w:rPr>
          <w:sz w:val="24"/>
        </w:rPr>
        <w:t xml:space="preserve"> &amp;</w:t>
      </w:r>
      <w:r w:rsidR="002B0A16" w:rsidRPr="00925A9D">
        <w:rPr>
          <w:sz w:val="24"/>
        </w:rPr>
        <w:t xml:space="preserve"> De Kok, Bloemfontein</w:t>
      </w:r>
      <w:r w:rsidR="00104BCA" w:rsidRPr="00925A9D">
        <w:rPr>
          <w:sz w:val="24"/>
        </w:rPr>
        <w:t>.</w:t>
      </w:r>
    </w:p>
    <w:p w14:paraId="1B9BE583" w14:textId="7333B7A6" w:rsidR="00A551E0" w:rsidRPr="00925A9D" w:rsidRDefault="00A551E0" w:rsidP="00C85755">
      <w:pPr>
        <w:widowControl w:val="0"/>
        <w:tabs>
          <w:tab w:val="left" w:pos="2127"/>
        </w:tabs>
        <w:autoSpaceDE w:val="0"/>
        <w:autoSpaceDN w:val="0"/>
        <w:adjustRightInd w:val="0"/>
        <w:spacing w:line="360" w:lineRule="auto"/>
        <w:rPr>
          <w:sz w:val="24"/>
        </w:rPr>
      </w:pPr>
    </w:p>
    <w:p w14:paraId="7BA9AD4D" w14:textId="77777777" w:rsidR="00E64BFE" w:rsidRPr="00925A9D" w:rsidRDefault="00E64BFE" w:rsidP="00C85755">
      <w:pPr>
        <w:tabs>
          <w:tab w:val="left" w:pos="0"/>
          <w:tab w:val="left" w:pos="720"/>
          <w:tab w:val="left" w:pos="1440"/>
          <w:tab w:val="left" w:pos="2160"/>
          <w:tab w:val="left" w:pos="3060"/>
        </w:tabs>
        <w:spacing w:line="360" w:lineRule="auto"/>
        <w:rPr>
          <w:bCs/>
          <w:sz w:val="24"/>
        </w:rPr>
      </w:pPr>
    </w:p>
    <w:p w14:paraId="376A6114" w14:textId="77777777" w:rsidR="00E64BFE" w:rsidRPr="00925A9D" w:rsidRDefault="00E64BFE" w:rsidP="00C85755">
      <w:pPr>
        <w:tabs>
          <w:tab w:val="left" w:pos="0"/>
          <w:tab w:val="left" w:pos="720"/>
          <w:tab w:val="left" w:pos="1440"/>
          <w:tab w:val="left" w:pos="2160"/>
          <w:tab w:val="left" w:pos="3060"/>
        </w:tabs>
        <w:spacing w:line="360" w:lineRule="auto"/>
        <w:rPr>
          <w:bCs/>
          <w:sz w:val="24"/>
        </w:rPr>
      </w:pPr>
    </w:p>
    <w:p w14:paraId="7CE35FAD" w14:textId="66F5AE4B" w:rsidR="008A2C47" w:rsidRPr="00925A9D" w:rsidRDefault="008A2C47" w:rsidP="009420FF">
      <w:pPr>
        <w:tabs>
          <w:tab w:val="left" w:pos="0"/>
          <w:tab w:val="left" w:pos="720"/>
          <w:tab w:val="left" w:pos="1440"/>
          <w:tab w:val="left" w:pos="2160"/>
          <w:tab w:val="left" w:pos="3060"/>
        </w:tabs>
        <w:spacing w:line="360" w:lineRule="auto"/>
        <w:rPr>
          <w:bCs/>
          <w:sz w:val="24"/>
        </w:rPr>
      </w:pPr>
      <w:r w:rsidRPr="00925A9D">
        <w:rPr>
          <w:bCs/>
          <w:sz w:val="24"/>
        </w:rPr>
        <w:t xml:space="preserve"> </w:t>
      </w:r>
    </w:p>
    <w:p w14:paraId="39DA760C" w14:textId="77777777" w:rsidR="008A2C47" w:rsidRPr="00925A9D" w:rsidRDefault="008A2C47" w:rsidP="008A2C47">
      <w:pPr>
        <w:tabs>
          <w:tab w:val="left" w:pos="0"/>
          <w:tab w:val="left" w:pos="720"/>
          <w:tab w:val="left" w:pos="1440"/>
          <w:tab w:val="left" w:pos="2160"/>
          <w:tab w:val="left" w:pos="3060"/>
        </w:tabs>
        <w:spacing w:line="360" w:lineRule="auto"/>
        <w:rPr>
          <w:bCs/>
          <w:sz w:val="24"/>
        </w:rPr>
      </w:pPr>
    </w:p>
    <w:p w14:paraId="138A7DFF" w14:textId="4517DCE3" w:rsidR="00115AE6" w:rsidRPr="00925A9D" w:rsidRDefault="00970C83" w:rsidP="00970C83">
      <w:pPr>
        <w:pStyle w:val="ListParagraph"/>
        <w:numPr>
          <w:ilvl w:val="0"/>
          <w:numId w:val="0"/>
        </w:numPr>
        <w:tabs>
          <w:tab w:val="left" w:pos="0"/>
          <w:tab w:val="left" w:pos="720"/>
          <w:tab w:val="left" w:pos="1440"/>
          <w:tab w:val="left" w:pos="2160"/>
          <w:tab w:val="left" w:pos="3060"/>
        </w:tabs>
        <w:spacing w:line="360" w:lineRule="auto"/>
        <w:ind w:left="4500"/>
        <w:rPr>
          <w:bCs/>
          <w:sz w:val="24"/>
        </w:rPr>
      </w:pPr>
      <w:r w:rsidRPr="00925A9D">
        <w:rPr>
          <w:bCs/>
          <w:sz w:val="24"/>
        </w:rPr>
        <w:t xml:space="preserve"> </w:t>
      </w:r>
    </w:p>
    <w:p w14:paraId="6122366B" w14:textId="4AFDE5BD" w:rsidR="00115AE6" w:rsidRPr="00925A9D" w:rsidRDefault="00970C83" w:rsidP="00115AE6">
      <w:pPr>
        <w:rPr>
          <w:sz w:val="24"/>
          <w:lang w:eastAsia="en-ZA"/>
        </w:rPr>
      </w:pPr>
      <w:r w:rsidRPr="00925A9D">
        <w:rPr>
          <w:bCs/>
          <w:sz w:val="24"/>
        </w:rPr>
        <w:t xml:space="preserve"> </w:t>
      </w:r>
    </w:p>
    <w:p w14:paraId="0CEF6A20" w14:textId="77777777" w:rsidR="008A2C47" w:rsidRPr="00925A9D" w:rsidRDefault="008A2C47" w:rsidP="008A2C47">
      <w:pPr>
        <w:tabs>
          <w:tab w:val="left" w:pos="0"/>
          <w:tab w:val="left" w:pos="720"/>
          <w:tab w:val="left" w:pos="1440"/>
          <w:tab w:val="left" w:pos="2160"/>
          <w:tab w:val="left" w:pos="3060"/>
        </w:tabs>
        <w:spacing w:line="360" w:lineRule="auto"/>
        <w:rPr>
          <w:bCs/>
          <w:sz w:val="24"/>
        </w:rPr>
      </w:pPr>
    </w:p>
    <w:p w14:paraId="57C71734" w14:textId="77777777" w:rsidR="008A2C47" w:rsidRPr="00925A9D" w:rsidRDefault="008A2C47" w:rsidP="008A2C47">
      <w:pPr>
        <w:tabs>
          <w:tab w:val="left" w:pos="0"/>
          <w:tab w:val="left" w:pos="720"/>
          <w:tab w:val="left" w:pos="1440"/>
          <w:tab w:val="left" w:pos="2160"/>
          <w:tab w:val="left" w:pos="3060"/>
        </w:tabs>
        <w:spacing w:line="360" w:lineRule="auto"/>
        <w:rPr>
          <w:bCs/>
          <w:sz w:val="24"/>
        </w:rPr>
      </w:pPr>
    </w:p>
    <w:p w14:paraId="4DA60767" w14:textId="6FFBD25C" w:rsidR="00121508" w:rsidRPr="00925A9D" w:rsidRDefault="00970C83" w:rsidP="00121508">
      <w:pPr>
        <w:tabs>
          <w:tab w:val="left" w:pos="0"/>
          <w:tab w:val="left" w:pos="720"/>
          <w:tab w:val="left" w:pos="1440"/>
          <w:tab w:val="left" w:pos="2160"/>
          <w:tab w:val="left" w:pos="3060"/>
        </w:tabs>
        <w:spacing w:line="360" w:lineRule="auto"/>
        <w:rPr>
          <w:bCs/>
          <w:sz w:val="24"/>
        </w:rPr>
      </w:pPr>
      <w:r w:rsidRPr="00925A9D">
        <w:rPr>
          <w:bCs/>
          <w:sz w:val="24"/>
        </w:rPr>
        <w:t xml:space="preserve"> </w:t>
      </w:r>
    </w:p>
    <w:p w14:paraId="7576DC45" w14:textId="77777777" w:rsidR="00121508" w:rsidRPr="00925A9D" w:rsidRDefault="00121508" w:rsidP="00121508">
      <w:pPr>
        <w:tabs>
          <w:tab w:val="left" w:pos="0"/>
          <w:tab w:val="left" w:pos="720"/>
          <w:tab w:val="left" w:pos="1440"/>
          <w:tab w:val="left" w:pos="2160"/>
          <w:tab w:val="left" w:pos="3060"/>
        </w:tabs>
        <w:spacing w:line="360" w:lineRule="auto"/>
        <w:rPr>
          <w:bCs/>
          <w:sz w:val="24"/>
        </w:rPr>
      </w:pPr>
    </w:p>
    <w:p w14:paraId="09823113" w14:textId="71F658C3" w:rsidR="00121508" w:rsidRPr="00925A9D" w:rsidRDefault="00970C83" w:rsidP="00121508">
      <w:pPr>
        <w:tabs>
          <w:tab w:val="left" w:pos="0"/>
          <w:tab w:val="left" w:pos="720"/>
          <w:tab w:val="left" w:pos="1440"/>
          <w:tab w:val="left" w:pos="2160"/>
          <w:tab w:val="left" w:pos="3060"/>
        </w:tabs>
        <w:spacing w:line="360" w:lineRule="auto"/>
        <w:rPr>
          <w:bCs/>
          <w:sz w:val="24"/>
        </w:rPr>
      </w:pPr>
      <w:r w:rsidRPr="00925A9D">
        <w:rPr>
          <w:bCs/>
          <w:sz w:val="24"/>
        </w:rPr>
        <w:t xml:space="preserve"> </w:t>
      </w:r>
    </w:p>
    <w:p w14:paraId="62A15687" w14:textId="12B8382A" w:rsidR="00121508" w:rsidRPr="00925A9D" w:rsidRDefault="00121508" w:rsidP="00121508">
      <w:pPr>
        <w:tabs>
          <w:tab w:val="left" w:pos="0"/>
          <w:tab w:val="left" w:pos="720"/>
          <w:tab w:val="left" w:pos="1440"/>
          <w:tab w:val="left" w:pos="2160"/>
          <w:tab w:val="left" w:pos="3060"/>
        </w:tabs>
        <w:spacing w:line="360" w:lineRule="auto"/>
        <w:rPr>
          <w:bCs/>
          <w:sz w:val="24"/>
        </w:rPr>
      </w:pPr>
    </w:p>
    <w:p w14:paraId="415A98BD" w14:textId="404F5888" w:rsidR="00121508" w:rsidRPr="00925A9D" w:rsidRDefault="00970C83" w:rsidP="00121508">
      <w:pPr>
        <w:tabs>
          <w:tab w:val="left" w:pos="0"/>
          <w:tab w:val="left" w:pos="720"/>
          <w:tab w:val="left" w:pos="1440"/>
          <w:tab w:val="left" w:pos="2160"/>
          <w:tab w:val="left" w:pos="3060"/>
        </w:tabs>
        <w:spacing w:line="360" w:lineRule="auto"/>
        <w:rPr>
          <w:bCs/>
          <w:sz w:val="24"/>
        </w:rPr>
      </w:pPr>
      <w:r w:rsidRPr="00925A9D">
        <w:rPr>
          <w:bCs/>
          <w:sz w:val="24"/>
        </w:rPr>
        <w:t xml:space="preserve"> </w:t>
      </w:r>
    </w:p>
    <w:p w14:paraId="79471B84" w14:textId="0193F30B" w:rsidR="00121508" w:rsidRPr="00925A9D" w:rsidRDefault="00970C83" w:rsidP="00121508">
      <w:pPr>
        <w:tabs>
          <w:tab w:val="left" w:pos="0"/>
          <w:tab w:val="left" w:pos="720"/>
          <w:tab w:val="left" w:pos="1440"/>
          <w:tab w:val="left" w:pos="2160"/>
          <w:tab w:val="left" w:pos="3060"/>
        </w:tabs>
        <w:spacing w:line="360" w:lineRule="auto"/>
        <w:rPr>
          <w:bCs/>
          <w:sz w:val="24"/>
        </w:rPr>
      </w:pPr>
      <w:r w:rsidRPr="00925A9D">
        <w:rPr>
          <w:bCs/>
          <w:sz w:val="24"/>
        </w:rPr>
        <w:t xml:space="preserve"> </w:t>
      </w:r>
    </w:p>
    <w:p w14:paraId="071B0AB8" w14:textId="53A94450" w:rsidR="00F47B77" w:rsidRPr="00925A9D" w:rsidRDefault="00970C83" w:rsidP="00121508">
      <w:pPr>
        <w:tabs>
          <w:tab w:val="left" w:pos="0"/>
          <w:tab w:val="left" w:pos="720"/>
          <w:tab w:val="left" w:pos="1440"/>
          <w:tab w:val="left" w:pos="2160"/>
          <w:tab w:val="left" w:pos="3060"/>
        </w:tabs>
        <w:spacing w:line="360" w:lineRule="auto"/>
        <w:rPr>
          <w:bCs/>
          <w:sz w:val="24"/>
        </w:rPr>
      </w:pPr>
      <w:r w:rsidRPr="00925A9D">
        <w:rPr>
          <w:bCs/>
          <w:sz w:val="24"/>
        </w:rPr>
        <w:t xml:space="preserve"> </w:t>
      </w:r>
    </w:p>
    <w:sectPr w:rsidR="00F47B77" w:rsidRPr="00925A9D" w:rsidSect="00960BC4">
      <w:headerReference w:type="even" r:id="rId9"/>
      <w:headerReference w:type="default" r:id="rId10"/>
      <w:pgSz w:w="11906" w:h="16838"/>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87B5D" w14:textId="77777777" w:rsidR="005C34EE" w:rsidRDefault="005C34EE">
      <w:r>
        <w:separator/>
      </w:r>
    </w:p>
  </w:endnote>
  <w:endnote w:type="continuationSeparator" w:id="0">
    <w:p w14:paraId="5945E24D" w14:textId="77777777" w:rsidR="005C34EE" w:rsidRDefault="005C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B889A" w14:textId="77777777" w:rsidR="005C34EE" w:rsidRDefault="005C34EE">
      <w:r>
        <w:separator/>
      </w:r>
    </w:p>
  </w:footnote>
  <w:footnote w:type="continuationSeparator" w:id="0">
    <w:p w14:paraId="771DC95B" w14:textId="77777777" w:rsidR="005C34EE" w:rsidRDefault="005C34EE">
      <w:r>
        <w:continuationSeparator/>
      </w:r>
    </w:p>
  </w:footnote>
  <w:footnote w:id="1">
    <w:p w14:paraId="40CA96A0" w14:textId="2BDD2EFD" w:rsidR="003B6D34" w:rsidRPr="00BB4B1F" w:rsidRDefault="003B6D34" w:rsidP="00BB4B1F">
      <w:pPr>
        <w:pStyle w:val="FootnoteText"/>
        <w:jc w:val="both"/>
        <w:rPr>
          <w:rFonts w:ascii="Arial" w:hAnsi="Arial" w:cs="Arial"/>
        </w:rPr>
      </w:pPr>
      <w:r w:rsidRPr="00BB4B1F">
        <w:rPr>
          <w:rStyle w:val="FootnoteReference"/>
          <w:rFonts w:ascii="Arial" w:hAnsi="Arial" w:cs="Arial"/>
        </w:rPr>
        <w:footnoteRef/>
      </w:r>
      <w:r w:rsidRPr="00BB4B1F">
        <w:rPr>
          <w:rFonts w:ascii="Arial" w:hAnsi="Arial" w:cs="Arial"/>
        </w:rPr>
        <w:t xml:space="preserve"> </w:t>
      </w:r>
      <w:r w:rsidRPr="00BB4B1F">
        <w:rPr>
          <w:rFonts w:ascii="Arial" w:hAnsi="Arial" w:cs="Arial"/>
          <w:i/>
          <w:lang w:val="en-GB"/>
        </w:rPr>
        <w:t>Hos+Med Medical Aid Scheme v Thebe ya Bophelo Healthcare Marketing &amp; Consulting (Pty) Ltd and Others</w:t>
      </w:r>
      <w:r w:rsidRPr="00BB4B1F">
        <w:rPr>
          <w:rFonts w:ascii="Arial" w:hAnsi="Arial" w:cs="Arial"/>
          <w:lang w:val="en-GB"/>
        </w:rPr>
        <w:t xml:space="preserve"> [2007] ZASCA 163; </w:t>
      </w:r>
      <w:r w:rsidRPr="00766D55">
        <w:rPr>
          <w:rFonts w:ascii="Arial" w:hAnsi="Arial" w:cs="Arial"/>
        </w:rPr>
        <w:t>2008 (2) SA 608 SCA; [2008] 2 All SA 132 (SCA).</w:t>
      </w:r>
    </w:p>
  </w:footnote>
  <w:footnote w:id="2">
    <w:p w14:paraId="57136BA1" w14:textId="77777777" w:rsidR="003B6D34" w:rsidRPr="00766D55" w:rsidRDefault="003B6D34">
      <w:pPr>
        <w:pStyle w:val="FootnoteText"/>
        <w:jc w:val="both"/>
        <w:rPr>
          <w:rFonts w:ascii="Arial" w:hAnsi="Arial" w:cs="Arial"/>
          <w:lang w:val="en-GB"/>
        </w:rPr>
      </w:pPr>
      <w:r w:rsidRPr="00766D55">
        <w:rPr>
          <w:rStyle w:val="FootnoteReference"/>
          <w:rFonts w:ascii="Arial" w:hAnsi="Arial" w:cs="Arial"/>
        </w:rPr>
        <w:footnoteRef/>
      </w:r>
      <w:r w:rsidRPr="00766D55">
        <w:rPr>
          <w:rFonts w:ascii="Arial" w:hAnsi="Arial" w:cs="Arial"/>
        </w:rPr>
        <w:t xml:space="preserve"> </w:t>
      </w:r>
      <w:r w:rsidRPr="00766D55">
        <w:rPr>
          <w:rFonts w:ascii="Arial" w:hAnsi="Arial" w:cs="Arial"/>
          <w:i/>
          <w:iCs/>
        </w:rPr>
        <w:t>Termico (Pty) Ltd v SPX Technologies (Pty) Ltd</w:t>
      </w:r>
      <w:r w:rsidRPr="00766D55">
        <w:rPr>
          <w:rFonts w:ascii="Arial" w:hAnsi="Arial" w:cs="Arial"/>
        </w:rPr>
        <w:t xml:space="preserve"> and Others; </w:t>
      </w:r>
      <w:r w:rsidRPr="00766D55">
        <w:rPr>
          <w:rFonts w:ascii="Arial" w:hAnsi="Arial" w:cs="Arial"/>
          <w:i/>
          <w:iCs/>
        </w:rPr>
        <w:t xml:space="preserve">SPX Technologies (Pty) Ltd v Termico (Pty) Ltd </w:t>
      </w:r>
      <w:r w:rsidRPr="00766D55">
        <w:rPr>
          <w:rFonts w:ascii="Arial" w:hAnsi="Arial" w:cs="Arial"/>
        </w:rPr>
        <w:t>[2019] ZASCA 109; 2020 (2) SA 295 (SCA).</w:t>
      </w:r>
    </w:p>
  </w:footnote>
  <w:footnote w:id="3">
    <w:p w14:paraId="6BE7C427" w14:textId="7C5C18DC" w:rsidR="003B6D34" w:rsidRPr="00766D55" w:rsidRDefault="003B6D34">
      <w:pPr>
        <w:pStyle w:val="FootnoteText"/>
        <w:jc w:val="both"/>
        <w:rPr>
          <w:rFonts w:ascii="Arial" w:hAnsi="Arial" w:cs="Arial"/>
          <w:lang w:val="en-GB"/>
        </w:rPr>
      </w:pPr>
      <w:r w:rsidRPr="00766D55">
        <w:rPr>
          <w:rStyle w:val="FootnoteReference"/>
          <w:rFonts w:ascii="Arial" w:hAnsi="Arial" w:cs="Arial"/>
        </w:rPr>
        <w:footnoteRef/>
      </w:r>
      <w:r w:rsidRPr="00766D55">
        <w:rPr>
          <w:rFonts w:ascii="Arial" w:hAnsi="Arial" w:cs="Arial"/>
        </w:rPr>
        <w:t xml:space="preserve"> </w:t>
      </w:r>
      <w:r w:rsidRPr="00766D55">
        <w:rPr>
          <w:rFonts w:ascii="Arial" w:hAnsi="Arial" w:cs="Arial"/>
          <w:i/>
          <w:iCs/>
          <w:lang w:val="en-GB"/>
        </w:rPr>
        <w:t>North East Finance (Pty) Ltd v Standard Bank</w:t>
      </w:r>
      <w:r w:rsidRPr="00766D55">
        <w:rPr>
          <w:rFonts w:ascii="Arial" w:hAnsi="Arial" w:cs="Arial"/>
          <w:lang w:val="en-GB"/>
        </w:rPr>
        <w:t xml:space="preserve"> of South Africa Ltd [2013] ZASCA 76; 2013 (5) SA 1 (SCA); [2013] 3 All SA 291 (SCA) para 25.</w:t>
      </w:r>
    </w:p>
  </w:footnote>
  <w:footnote w:id="4">
    <w:p w14:paraId="02E1C88C" w14:textId="60BB3C0C" w:rsidR="003B6D34" w:rsidRPr="00766D55" w:rsidRDefault="003B6D34">
      <w:pPr>
        <w:tabs>
          <w:tab w:val="left" w:pos="0"/>
        </w:tabs>
        <w:jc w:val="both"/>
        <w:rPr>
          <w:sz w:val="20"/>
          <w:szCs w:val="20"/>
        </w:rPr>
      </w:pPr>
      <w:r w:rsidRPr="00766D55">
        <w:rPr>
          <w:rStyle w:val="FootnoteReference"/>
          <w:rFonts w:cs="Arial"/>
          <w:sz w:val="20"/>
          <w:szCs w:val="20"/>
        </w:rPr>
        <w:footnoteRef/>
      </w:r>
      <w:r w:rsidRPr="00766D55">
        <w:rPr>
          <w:sz w:val="20"/>
          <w:szCs w:val="20"/>
        </w:rPr>
        <w:t xml:space="preserve"> </w:t>
      </w:r>
      <w:r w:rsidRPr="00766D55">
        <w:rPr>
          <w:i/>
          <w:iCs/>
          <w:color w:val="222222"/>
          <w:sz w:val="20"/>
          <w:szCs w:val="20"/>
          <w:lang w:eastAsia="en-ZA"/>
        </w:rPr>
        <w:t>Ekurhuleni Metropolitan Municipality v Germiston Municipal Retirement Fund</w:t>
      </w:r>
      <w:r w:rsidRPr="00766D55">
        <w:rPr>
          <w:color w:val="222222"/>
          <w:sz w:val="20"/>
          <w:szCs w:val="20"/>
          <w:lang w:eastAsia="en-ZA"/>
        </w:rPr>
        <w:t xml:space="preserve"> [2009] ZASCA 154; 2010 (2) SA 498 (SCA); [2010] 2 All SA 195 (SCA) para 13. See also </w:t>
      </w:r>
      <w:r w:rsidRPr="00766D55">
        <w:rPr>
          <w:i/>
          <w:iCs/>
          <w:color w:val="222222"/>
          <w:sz w:val="20"/>
          <w:szCs w:val="20"/>
          <w:lang w:eastAsia="en-ZA"/>
        </w:rPr>
        <w:t>Natal Joint Municipal Pension Fund v Endumeni Municipality</w:t>
      </w:r>
      <w:r w:rsidRPr="00766D55">
        <w:rPr>
          <w:color w:val="222222"/>
          <w:sz w:val="20"/>
          <w:szCs w:val="20"/>
          <w:lang w:eastAsia="en-ZA"/>
        </w:rPr>
        <w:t xml:space="preserve"> [2012] ZASCA 13; 2012 (4) SA 593 (SCA); [2012] 2 All SA 262 (SCA) para 18.</w:t>
      </w:r>
    </w:p>
  </w:footnote>
  <w:footnote w:id="5">
    <w:p w14:paraId="004454D6" w14:textId="7CE645A7" w:rsidR="003B6D34" w:rsidRPr="00766D55" w:rsidRDefault="003B6D34">
      <w:pPr>
        <w:pStyle w:val="FootnoteText"/>
        <w:jc w:val="both"/>
        <w:rPr>
          <w:rFonts w:ascii="Arial" w:hAnsi="Arial" w:cs="Arial"/>
          <w:lang w:val="en-GB"/>
        </w:rPr>
      </w:pPr>
      <w:r w:rsidRPr="00766D55">
        <w:rPr>
          <w:rStyle w:val="FootnoteReference"/>
          <w:rFonts w:ascii="Arial" w:hAnsi="Arial" w:cs="Arial"/>
        </w:rPr>
        <w:footnoteRef/>
      </w:r>
      <w:r w:rsidRPr="00766D55">
        <w:rPr>
          <w:rFonts w:ascii="Arial" w:hAnsi="Arial" w:cs="Arial"/>
        </w:rPr>
        <w:t xml:space="preserve"> </w:t>
      </w:r>
      <w:r w:rsidRPr="00766D55">
        <w:rPr>
          <w:rFonts w:ascii="Arial" w:hAnsi="Arial" w:cs="Arial"/>
          <w:lang w:val="en-GB"/>
        </w:rPr>
        <w:t xml:space="preserve">Fn 5 above para 21. </w:t>
      </w:r>
    </w:p>
  </w:footnote>
  <w:footnote w:id="6">
    <w:p w14:paraId="668E18DA" w14:textId="31F94ACF" w:rsidR="003B6D34" w:rsidRPr="004C02C5" w:rsidRDefault="003B6D34">
      <w:pPr>
        <w:pStyle w:val="FootnoteText"/>
        <w:jc w:val="both"/>
        <w:rPr>
          <w:rFonts w:ascii="Arial" w:hAnsi="Arial" w:cs="Arial"/>
          <w:lang w:val="en-GB"/>
        </w:rPr>
      </w:pPr>
      <w:r w:rsidRPr="00766D55">
        <w:rPr>
          <w:rStyle w:val="FootnoteReference"/>
          <w:rFonts w:ascii="Arial" w:hAnsi="Arial" w:cs="Arial"/>
        </w:rPr>
        <w:footnoteRef/>
      </w:r>
      <w:r w:rsidRPr="00766D55">
        <w:rPr>
          <w:rFonts w:ascii="Arial" w:hAnsi="Arial" w:cs="Arial"/>
        </w:rPr>
        <w:t xml:space="preserve"> </w:t>
      </w:r>
      <w:r w:rsidRPr="00766D55">
        <w:rPr>
          <w:rFonts w:ascii="Arial" w:hAnsi="Arial" w:cs="Arial"/>
          <w:i/>
          <w:iCs/>
        </w:rPr>
        <w:t>Fili Shipping Co Ltd v Premium Nafta Products and Others</w:t>
      </w:r>
      <w:r w:rsidRPr="00766D55">
        <w:rPr>
          <w:rFonts w:ascii="Arial" w:hAnsi="Arial" w:cs="Arial"/>
        </w:rPr>
        <w:t xml:space="preserve"> [2007] UKHL 40; [2007] Bus LR.</w:t>
      </w:r>
    </w:p>
  </w:footnote>
  <w:footnote w:id="7">
    <w:p w14:paraId="60DE121A" w14:textId="77777777" w:rsidR="003B6D34" w:rsidRPr="00766D55" w:rsidRDefault="003B6D34" w:rsidP="005D75DA">
      <w:pPr>
        <w:pStyle w:val="FootnoteText"/>
        <w:jc w:val="both"/>
        <w:rPr>
          <w:rFonts w:ascii="Arial" w:hAnsi="Arial" w:cs="Arial"/>
          <w:lang w:val="en-GB"/>
        </w:rPr>
      </w:pPr>
      <w:r w:rsidRPr="00766D55">
        <w:rPr>
          <w:rStyle w:val="FootnoteReference"/>
          <w:rFonts w:ascii="Arial" w:hAnsi="Arial" w:cs="Arial"/>
        </w:rPr>
        <w:footnoteRef/>
      </w:r>
      <w:r w:rsidRPr="00766D55">
        <w:rPr>
          <w:rFonts w:ascii="Arial" w:hAnsi="Arial" w:cs="Arial"/>
        </w:rPr>
        <w:t xml:space="preserve"> </w:t>
      </w:r>
      <w:r w:rsidRPr="00766D55">
        <w:rPr>
          <w:rFonts w:ascii="Arial" w:hAnsi="Arial" w:cs="Arial"/>
          <w:i/>
          <w:iCs/>
          <w:lang w:val="en-GB"/>
        </w:rPr>
        <w:t>Zhongji Development Construction Engineering Company Limited v Kamoto Cooper Company</w:t>
      </w:r>
      <w:r w:rsidRPr="00766D55">
        <w:rPr>
          <w:rFonts w:ascii="Arial" w:hAnsi="Arial" w:cs="Arial"/>
          <w:lang w:val="en-GB"/>
        </w:rPr>
        <w:t xml:space="preserve"> </w:t>
      </w:r>
      <w:r w:rsidRPr="00766D55">
        <w:rPr>
          <w:rFonts w:ascii="Arial" w:hAnsi="Arial" w:cs="Arial"/>
          <w:i/>
          <w:lang w:val="en-GB"/>
        </w:rPr>
        <w:t xml:space="preserve">Sarl </w:t>
      </w:r>
      <w:r w:rsidRPr="00766D55">
        <w:rPr>
          <w:rFonts w:ascii="Arial" w:hAnsi="Arial" w:cs="Arial"/>
          <w:lang w:val="en-GB"/>
        </w:rPr>
        <w:t>[2014] ZASCA 160; 2015 (1) SA 345 (SCA); [2014] 4 All SA 617 (SCA) para 32.</w:t>
      </w:r>
    </w:p>
  </w:footnote>
  <w:footnote w:id="8">
    <w:p w14:paraId="72D97535" w14:textId="5019644C" w:rsidR="003B6D34" w:rsidRPr="00766D55" w:rsidRDefault="003B6D34" w:rsidP="0029729C">
      <w:pPr>
        <w:pStyle w:val="FootnoteText"/>
        <w:jc w:val="both"/>
        <w:rPr>
          <w:rFonts w:ascii="Arial" w:hAnsi="Arial" w:cs="Arial"/>
          <w:lang w:val="en-GB"/>
        </w:rPr>
      </w:pPr>
      <w:r w:rsidRPr="00766D55">
        <w:rPr>
          <w:rStyle w:val="FootnoteReference"/>
          <w:rFonts w:ascii="Arial" w:hAnsi="Arial" w:cs="Arial"/>
        </w:rPr>
        <w:footnoteRef/>
      </w:r>
      <w:r w:rsidRPr="00766D55">
        <w:rPr>
          <w:rFonts w:ascii="Arial" w:hAnsi="Arial" w:cs="Arial"/>
        </w:rPr>
        <w:t xml:space="preserve"> </w:t>
      </w:r>
      <w:r w:rsidRPr="005E667E">
        <w:rPr>
          <w:rFonts w:ascii="Arial" w:hAnsi="Arial" w:cs="Arial"/>
        </w:rPr>
        <w:t>F</w:t>
      </w:r>
      <w:r w:rsidR="003D09B5">
        <w:rPr>
          <w:rFonts w:ascii="Arial" w:hAnsi="Arial" w:cs="Arial"/>
        </w:rPr>
        <w:t>n</w:t>
      </w:r>
      <w:r w:rsidR="001E6C98">
        <w:rPr>
          <w:rFonts w:ascii="Arial" w:hAnsi="Arial" w:cs="Arial"/>
        </w:rPr>
        <w:t xml:space="preserve"> 2 above </w:t>
      </w:r>
      <w:r w:rsidRPr="00766D55">
        <w:rPr>
          <w:rFonts w:ascii="Arial" w:hAnsi="Arial" w:cs="Arial"/>
        </w:rPr>
        <w:t>para</w:t>
      </w:r>
      <w:r w:rsidRPr="00766D55">
        <w:rPr>
          <w:rFonts w:ascii="Arial" w:hAnsi="Arial" w:cs="Arial"/>
          <w:lang w:val="en-GB"/>
        </w:rPr>
        <w:t xml:space="preserve"> 13.</w:t>
      </w:r>
    </w:p>
  </w:footnote>
  <w:footnote w:id="9">
    <w:p w14:paraId="3251EADC" w14:textId="04BDB2C2" w:rsidR="003B6D34" w:rsidRPr="000B0995" w:rsidRDefault="003B6D34" w:rsidP="0029729C">
      <w:pPr>
        <w:pStyle w:val="FootnoteText"/>
        <w:jc w:val="both"/>
        <w:rPr>
          <w:rFonts w:ascii="Arial" w:hAnsi="Arial" w:cs="Arial"/>
          <w:lang w:val="en-GB"/>
        </w:rPr>
      </w:pPr>
      <w:r w:rsidRPr="000B0995">
        <w:rPr>
          <w:rStyle w:val="FootnoteReference"/>
          <w:rFonts w:ascii="Arial" w:hAnsi="Arial" w:cs="Arial"/>
        </w:rPr>
        <w:footnoteRef/>
      </w:r>
      <w:r w:rsidRPr="000B0995">
        <w:rPr>
          <w:rFonts w:ascii="Arial" w:hAnsi="Arial" w:cs="Arial"/>
        </w:rPr>
        <w:t xml:space="preserve"> </w:t>
      </w:r>
      <w:r w:rsidRPr="000B0995">
        <w:rPr>
          <w:rFonts w:ascii="Arial" w:hAnsi="Arial" w:cs="Arial"/>
          <w:i/>
          <w:iCs/>
          <w:lang w:val="en-GB"/>
        </w:rPr>
        <w:t xml:space="preserve">Zhongji </w:t>
      </w:r>
      <w:r w:rsidRPr="000B0995">
        <w:rPr>
          <w:rFonts w:ascii="Arial" w:hAnsi="Arial" w:cs="Arial"/>
          <w:iCs/>
          <w:lang w:val="en-GB"/>
        </w:rPr>
        <w:t>fn</w:t>
      </w:r>
      <w:r w:rsidR="003D09B5">
        <w:rPr>
          <w:rFonts w:ascii="Arial" w:hAnsi="Arial" w:cs="Arial"/>
          <w:iCs/>
          <w:lang w:val="en-GB"/>
        </w:rPr>
        <w:t xml:space="preserve"> </w:t>
      </w:r>
      <w:r w:rsidRPr="000B0995">
        <w:rPr>
          <w:rFonts w:ascii="Arial" w:hAnsi="Arial" w:cs="Arial"/>
          <w:iCs/>
          <w:lang w:val="en-GB"/>
        </w:rPr>
        <w:t xml:space="preserve">9 above </w:t>
      </w:r>
      <w:r w:rsidRPr="000B0995">
        <w:rPr>
          <w:rFonts w:ascii="Arial" w:hAnsi="Arial" w:cs="Arial"/>
          <w:lang w:val="en-GB"/>
        </w:rPr>
        <w:t>para 38.</w:t>
      </w:r>
    </w:p>
  </w:footnote>
  <w:footnote w:id="10">
    <w:p w14:paraId="47E7CDB3" w14:textId="66A02653" w:rsidR="003B6D34" w:rsidRPr="000B0995" w:rsidRDefault="003B6D34">
      <w:pPr>
        <w:pStyle w:val="FootnoteText"/>
        <w:rPr>
          <w:rFonts w:ascii="Arial" w:hAnsi="Arial" w:cs="Arial"/>
          <w:lang w:val="en-GB"/>
        </w:rPr>
      </w:pPr>
      <w:r w:rsidRPr="000B0995">
        <w:rPr>
          <w:rStyle w:val="FootnoteReference"/>
          <w:rFonts w:ascii="Arial" w:hAnsi="Arial" w:cs="Arial"/>
        </w:rPr>
        <w:footnoteRef/>
      </w:r>
      <w:r w:rsidRPr="000B0995">
        <w:rPr>
          <w:rFonts w:ascii="Arial" w:hAnsi="Arial" w:cs="Arial"/>
        </w:rPr>
        <w:t xml:space="preserve"> </w:t>
      </w:r>
      <w:r w:rsidRPr="00FF1D9A">
        <w:rPr>
          <w:rFonts w:ascii="Arial" w:hAnsi="Arial" w:cs="Arial"/>
          <w:i/>
        </w:rPr>
        <w:t>Tzaneng Treated Timbers (Pty) Ltd v Komatiland Forest</w:t>
      </w:r>
      <w:r w:rsidR="00AE2013" w:rsidRPr="00FF1D9A">
        <w:rPr>
          <w:rFonts w:ascii="Arial" w:hAnsi="Arial" w:cs="Arial"/>
          <w:i/>
        </w:rPr>
        <w:t xml:space="preserve"> Limited and </w:t>
      </w:r>
      <w:r w:rsidR="000A3056" w:rsidRPr="00FF1D9A">
        <w:rPr>
          <w:rFonts w:ascii="Arial" w:hAnsi="Arial" w:cs="Arial"/>
          <w:i/>
        </w:rPr>
        <w:t>Another</w:t>
      </w:r>
      <w:r w:rsidR="000A3056" w:rsidRPr="00FF1D9A">
        <w:rPr>
          <w:rFonts w:ascii="Arial" w:hAnsi="Arial" w:cs="Arial"/>
        </w:rPr>
        <w:t xml:space="preserve"> </w:t>
      </w:r>
      <w:r w:rsidR="000A3056" w:rsidRPr="000A3056">
        <w:rPr>
          <w:rFonts w:ascii="Arial" w:hAnsi="Arial" w:cs="Arial"/>
        </w:rPr>
        <w:t>(</w:t>
      </w:r>
      <w:r w:rsidRPr="000B0995">
        <w:rPr>
          <w:rFonts w:ascii="Arial" w:hAnsi="Arial" w:cs="Arial"/>
        </w:rPr>
        <w:t xml:space="preserve">A3966/2020) [2021] </w:t>
      </w:r>
      <w:r w:rsidR="00FF1D9A" w:rsidRPr="000B0995">
        <w:rPr>
          <w:rFonts w:ascii="Arial" w:hAnsi="Arial" w:cs="Arial"/>
        </w:rPr>
        <w:t>ZAGPPHCSOC 376</w:t>
      </w:r>
      <w:r w:rsidRPr="000B0995">
        <w:rPr>
          <w:rFonts w:ascii="Arial" w:hAnsi="Arial" w:cs="Arial"/>
        </w:rPr>
        <w:t xml:space="preserve"> (22 June 2021)</w:t>
      </w:r>
      <w:r w:rsidR="000A3056">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0E1A" w14:textId="77777777" w:rsidR="003B6D34" w:rsidRDefault="003B6D34" w:rsidP="006E6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CE4F3" w14:textId="77777777" w:rsidR="003B6D34" w:rsidRDefault="003B6D34" w:rsidP="00F7193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25B58" w14:textId="36244A1F" w:rsidR="003B6D34" w:rsidRPr="003A1840" w:rsidRDefault="003B6D34" w:rsidP="003A1840">
    <w:pPr>
      <w:pStyle w:val="Header"/>
      <w:framePr w:wrap="around" w:vAnchor="text" w:hAnchor="page" w:x="10190" w:y="-54"/>
      <w:rPr>
        <w:rStyle w:val="PageNumber"/>
        <w:sz w:val="24"/>
      </w:rPr>
    </w:pPr>
    <w:r w:rsidRPr="003A1840">
      <w:rPr>
        <w:rStyle w:val="PageNumber"/>
        <w:sz w:val="24"/>
      </w:rPr>
      <w:fldChar w:fldCharType="begin"/>
    </w:r>
    <w:r w:rsidRPr="003A1840">
      <w:rPr>
        <w:rStyle w:val="PageNumber"/>
        <w:sz w:val="24"/>
      </w:rPr>
      <w:instrText xml:space="preserve">PAGE  </w:instrText>
    </w:r>
    <w:r w:rsidRPr="003A1840">
      <w:rPr>
        <w:rStyle w:val="PageNumber"/>
        <w:sz w:val="24"/>
      </w:rPr>
      <w:fldChar w:fldCharType="separate"/>
    </w:r>
    <w:r w:rsidR="00C01158">
      <w:rPr>
        <w:rStyle w:val="PageNumber"/>
        <w:noProof/>
        <w:sz w:val="24"/>
      </w:rPr>
      <w:t>2</w:t>
    </w:r>
    <w:r w:rsidRPr="003A1840">
      <w:rPr>
        <w:rStyle w:val="PageNumber"/>
        <w:sz w:val="24"/>
      </w:rPr>
      <w:fldChar w:fldCharType="end"/>
    </w:r>
  </w:p>
  <w:p w14:paraId="0226E868" w14:textId="77777777" w:rsidR="003B6D34" w:rsidRPr="002533B8" w:rsidRDefault="003B6D34" w:rsidP="00F71936">
    <w:pPr>
      <w:pStyle w:val="Header"/>
      <w:ind w:right="360"/>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986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06D32"/>
    <w:multiLevelType w:val="hybridMultilevel"/>
    <w:tmpl w:val="AB10F864"/>
    <w:lvl w:ilvl="0" w:tplc="84C62EDE">
      <w:start w:val="10"/>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C30307"/>
    <w:multiLevelType w:val="hybridMultilevel"/>
    <w:tmpl w:val="8ABCC1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654467"/>
    <w:multiLevelType w:val="hybridMultilevel"/>
    <w:tmpl w:val="F7AAFDAC"/>
    <w:lvl w:ilvl="0" w:tplc="BDFAADD2">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31832C4"/>
    <w:multiLevelType w:val="hybridMultilevel"/>
    <w:tmpl w:val="9C62FD7A"/>
    <w:lvl w:ilvl="0" w:tplc="0D9219BC">
      <w:start w:val="14"/>
      <w:numFmt w:val="decimal"/>
      <w:lvlText w:val="%1"/>
      <w:lvlJc w:val="left"/>
      <w:pPr>
        <w:ind w:left="4500" w:hanging="360"/>
      </w:pPr>
      <w:rPr>
        <w:rFonts w:hint="default"/>
      </w:rPr>
    </w:lvl>
    <w:lvl w:ilvl="1" w:tplc="1C090019" w:tentative="1">
      <w:start w:val="1"/>
      <w:numFmt w:val="lowerLetter"/>
      <w:lvlText w:val="%2."/>
      <w:lvlJc w:val="left"/>
      <w:pPr>
        <w:ind w:left="5220" w:hanging="360"/>
      </w:pPr>
    </w:lvl>
    <w:lvl w:ilvl="2" w:tplc="1C09001B" w:tentative="1">
      <w:start w:val="1"/>
      <w:numFmt w:val="lowerRoman"/>
      <w:lvlText w:val="%3."/>
      <w:lvlJc w:val="right"/>
      <w:pPr>
        <w:ind w:left="5940" w:hanging="180"/>
      </w:pPr>
    </w:lvl>
    <w:lvl w:ilvl="3" w:tplc="1C09000F" w:tentative="1">
      <w:start w:val="1"/>
      <w:numFmt w:val="decimal"/>
      <w:lvlText w:val="%4."/>
      <w:lvlJc w:val="left"/>
      <w:pPr>
        <w:ind w:left="6660" w:hanging="360"/>
      </w:pPr>
    </w:lvl>
    <w:lvl w:ilvl="4" w:tplc="1C090019" w:tentative="1">
      <w:start w:val="1"/>
      <w:numFmt w:val="lowerLetter"/>
      <w:lvlText w:val="%5."/>
      <w:lvlJc w:val="left"/>
      <w:pPr>
        <w:ind w:left="7380" w:hanging="360"/>
      </w:pPr>
    </w:lvl>
    <w:lvl w:ilvl="5" w:tplc="1C09001B" w:tentative="1">
      <w:start w:val="1"/>
      <w:numFmt w:val="lowerRoman"/>
      <w:lvlText w:val="%6."/>
      <w:lvlJc w:val="right"/>
      <w:pPr>
        <w:ind w:left="8100" w:hanging="180"/>
      </w:pPr>
    </w:lvl>
    <w:lvl w:ilvl="6" w:tplc="1C09000F" w:tentative="1">
      <w:start w:val="1"/>
      <w:numFmt w:val="decimal"/>
      <w:lvlText w:val="%7."/>
      <w:lvlJc w:val="left"/>
      <w:pPr>
        <w:ind w:left="8820" w:hanging="360"/>
      </w:pPr>
    </w:lvl>
    <w:lvl w:ilvl="7" w:tplc="1C090019" w:tentative="1">
      <w:start w:val="1"/>
      <w:numFmt w:val="lowerLetter"/>
      <w:lvlText w:val="%8."/>
      <w:lvlJc w:val="left"/>
      <w:pPr>
        <w:ind w:left="9540" w:hanging="360"/>
      </w:pPr>
    </w:lvl>
    <w:lvl w:ilvl="8" w:tplc="1C09001B" w:tentative="1">
      <w:start w:val="1"/>
      <w:numFmt w:val="lowerRoman"/>
      <w:lvlText w:val="%9."/>
      <w:lvlJc w:val="right"/>
      <w:pPr>
        <w:ind w:left="10260" w:hanging="180"/>
      </w:pPr>
    </w:lvl>
  </w:abstractNum>
  <w:abstractNum w:abstractNumId="5" w15:restartNumberingAfterBreak="0">
    <w:nsid w:val="155B68C3"/>
    <w:multiLevelType w:val="hybridMultilevel"/>
    <w:tmpl w:val="5F06C0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753900"/>
    <w:multiLevelType w:val="hybridMultilevel"/>
    <w:tmpl w:val="F7308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A201AE"/>
    <w:multiLevelType w:val="hybridMultilevel"/>
    <w:tmpl w:val="4A7E3DF0"/>
    <w:lvl w:ilvl="0" w:tplc="29EED4A4">
      <w:start w:val="1"/>
      <w:numFmt w:val="decimal"/>
      <w:lvlText w:val="[%1]"/>
      <w:lvlJc w:val="left"/>
      <w:pPr>
        <w:ind w:left="720"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1960E8"/>
    <w:multiLevelType w:val="hybridMultilevel"/>
    <w:tmpl w:val="BB02C0C4"/>
    <w:lvl w:ilvl="0" w:tplc="DF149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5A489B"/>
    <w:multiLevelType w:val="multilevel"/>
    <w:tmpl w:val="2EE42B2A"/>
    <w:lvl w:ilvl="0">
      <w:start w:val="1"/>
      <w:numFmt w:val="decimal"/>
      <w:lvlRestart w:val="0"/>
      <w:lvlText w:val="%1."/>
      <w:lvlJc w:val="center"/>
      <w:pPr>
        <w:tabs>
          <w:tab w:val="num" w:pos="-1983"/>
        </w:tabs>
        <w:ind w:left="-1813" w:firstLine="2097"/>
      </w:pPr>
      <w:rPr>
        <w:rFonts w:hint="default"/>
      </w:rPr>
    </w:lvl>
    <w:lvl w:ilvl="1">
      <w:start w:val="1"/>
      <w:numFmt w:val="decimal"/>
      <w:lvlText w:val="%1.%2"/>
      <w:lvlJc w:val="left"/>
      <w:pPr>
        <w:tabs>
          <w:tab w:val="num" w:pos="1417"/>
        </w:tabs>
        <w:ind w:left="1417" w:hanging="1417"/>
      </w:pPr>
      <w:rPr>
        <w:rFonts w:hint="default"/>
      </w:rPr>
    </w:lvl>
    <w:lvl w:ilvl="2">
      <w:start w:val="1"/>
      <w:numFmt w:val="decimal"/>
      <w:lvlText w:val="%1.%2.%3"/>
      <w:lvlJc w:val="left"/>
      <w:pPr>
        <w:tabs>
          <w:tab w:val="num" w:pos="1984"/>
        </w:tabs>
        <w:ind w:left="2154" w:hanging="2154"/>
      </w:pPr>
      <w:rPr>
        <w:rFonts w:hint="default"/>
      </w:rPr>
    </w:lvl>
    <w:lvl w:ilvl="3">
      <w:start w:val="1"/>
      <w:numFmt w:val="decimal"/>
      <w:lvlText w:val="%1.%2.%3.%4"/>
      <w:lvlJc w:val="left"/>
      <w:pPr>
        <w:tabs>
          <w:tab w:val="num" w:pos="2211"/>
        </w:tabs>
        <w:ind w:left="2891" w:hanging="2891"/>
      </w:pPr>
      <w:rPr>
        <w:rFonts w:hint="default"/>
      </w:rPr>
    </w:lvl>
    <w:lvl w:ilvl="4">
      <w:start w:val="1"/>
      <w:numFmt w:val="decimal"/>
      <w:lvlText w:val="%1.%2.%3.%4.%5"/>
      <w:lvlJc w:val="left"/>
      <w:pPr>
        <w:tabs>
          <w:tab w:val="num" w:pos="2608"/>
        </w:tabs>
        <w:ind w:left="2608" w:hanging="2608"/>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797"/>
        </w:tabs>
        <w:ind w:left="1797" w:hanging="1797"/>
      </w:pPr>
      <w:rPr>
        <w:rFonts w:hint="default"/>
      </w:rPr>
    </w:lvl>
    <w:lvl w:ilvl="7">
      <w:start w:val="1"/>
      <w:numFmt w:val="decimal"/>
      <w:lvlText w:val="%1.%2.%3.%4.%5.%6.%7.%8"/>
      <w:lvlJc w:val="left"/>
      <w:pPr>
        <w:tabs>
          <w:tab w:val="num" w:pos="1797"/>
        </w:tabs>
        <w:ind w:left="1797" w:hanging="1797"/>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4D94C9F"/>
    <w:multiLevelType w:val="hybridMultilevel"/>
    <w:tmpl w:val="389879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E44270"/>
    <w:multiLevelType w:val="hybridMultilevel"/>
    <w:tmpl w:val="4290E1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A05222"/>
    <w:multiLevelType w:val="hybridMultilevel"/>
    <w:tmpl w:val="2902B668"/>
    <w:lvl w:ilvl="0" w:tplc="1366987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0E50A2E"/>
    <w:multiLevelType w:val="hybridMultilevel"/>
    <w:tmpl w:val="B4F2475A"/>
    <w:lvl w:ilvl="0" w:tplc="442A8FD0">
      <w:start w:val="2"/>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3F4A42AF"/>
    <w:multiLevelType w:val="hybridMultilevel"/>
    <w:tmpl w:val="46EE717E"/>
    <w:lvl w:ilvl="0" w:tplc="AF0CF5DA">
      <w:start w:val="1"/>
      <w:numFmt w:val="decimal"/>
      <w:lvlText w:val="[%1]"/>
      <w:lvlJc w:val="left"/>
      <w:pPr>
        <w:ind w:left="3195" w:hanging="360"/>
      </w:pPr>
      <w:rPr>
        <w:rFonts w:ascii="Arial" w:hAnsi="Arial" w:cs="Arial" w:hint="default"/>
        <w:b w:val="0"/>
        <w:bCs w:val="0"/>
        <w:i w:val="0"/>
        <w:iCs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55D5125"/>
    <w:multiLevelType w:val="hybridMultilevel"/>
    <w:tmpl w:val="5888AB32"/>
    <w:lvl w:ilvl="0" w:tplc="F9CA722A">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6" w15:restartNumberingAfterBreak="0">
    <w:nsid w:val="526A6E10"/>
    <w:multiLevelType w:val="multilevel"/>
    <w:tmpl w:val="73C48EBA"/>
    <w:lvl w:ilvl="0">
      <w:start w:val="1"/>
      <w:numFmt w:val="decimal"/>
      <w:pStyle w:val="ListParagraph"/>
      <w:lvlText w:val="[%1]"/>
      <w:lvlJc w:val="left"/>
      <w:pPr>
        <w:ind w:left="5274" w:hanging="1134"/>
      </w:pPr>
      <w:rPr>
        <w:rFonts w:ascii="Arial" w:hAnsi="Arial" w:hint="default"/>
        <w:i w:val="0"/>
        <w:sz w:val="25"/>
      </w:rPr>
    </w:lvl>
    <w:lvl w:ilvl="1">
      <w:start w:val="1"/>
      <w:numFmt w:val="decimal"/>
      <w:lvlText w:val="[%1.%2]"/>
      <w:lvlJc w:val="left"/>
      <w:pPr>
        <w:ind w:left="5274" w:hanging="1134"/>
      </w:pPr>
      <w:rPr>
        <w:rFonts w:ascii="Arial" w:hAnsi="Arial" w:hint="default"/>
        <w:i w:val="0"/>
        <w:sz w:val="25"/>
      </w:rPr>
    </w:lvl>
    <w:lvl w:ilvl="2">
      <w:start w:val="1"/>
      <w:numFmt w:val="decimal"/>
      <w:lvlText w:val="[%1.%2.%3]"/>
      <w:lvlJc w:val="left"/>
      <w:pPr>
        <w:ind w:left="5841" w:hanging="1701"/>
      </w:pPr>
      <w:rPr>
        <w:rFonts w:ascii="Arial" w:hAnsi="Arial" w:hint="default"/>
        <w:sz w:val="25"/>
      </w:rPr>
    </w:lvl>
    <w:lvl w:ilvl="3">
      <w:start w:val="1"/>
      <w:numFmt w:val="decimal"/>
      <w:lvlText w:val="[%1.%2.%3.%4]"/>
      <w:lvlJc w:val="left"/>
      <w:pPr>
        <w:ind w:left="6125" w:hanging="1985"/>
      </w:pPr>
      <w:rPr>
        <w:rFonts w:ascii="Arial" w:hAnsi="Arial" w:hint="default"/>
        <w:sz w:val="25"/>
      </w:rPr>
    </w:lvl>
    <w:lvl w:ilvl="4">
      <w:start w:val="1"/>
      <w:numFmt w:val="decimal"/>
      <w:lvlText w:val="[%1.%2.%3.%4.%5]"/>
      <w:lvlJc w:val="left"/>
      <w:pPr>
        <w:ind w:left="6125" w:hanging="1985"/>
      </w:pPr>
      <w:rPr>
        <w:rFonts w:ascii="Arial" w:hAnsi="Arial" w:hint="default"/>
        <w:sz w:val="25"/>
      </w:rPr>
    </w:lvl>
    <w:lvl w:ilvl="5">
      <w:start w:val="1"/>
      <w:numFmt w:val="decimal"/>
      <w:lvlText w:val="[%1.%2.%3.%4.%5.%6]"/>
      <w:lvlJc w:val="left"/>
      <w:pPr>
        <w:ind w:left="5292" w:hanging="1152"/>
      </w:pPr>
      <w:rPr>
        <w:rFonts w:ascii="Arial" w:hAnsi="Arial" w:hint="default"/>
        <w:sz w:val="25"/>
      </w:rPr>
    </w:lvl>
    <w:lvl w:ilvl="6">
      <w:start w:val="1"/>
      <w:numFmt w:val="decimal"/>
      <w:lvlText w:val="[%1.%2.%3.%4.%5.%6.%7]"/>
      <w:lvlJc w:val="left"/>
      <w:pPr>
        <w:ind w:left="5436" w:hanging="1296"/>
      </w:pPr>
      <w:rPr>
        <w:rFonts w:hint="default"/>
      </w:rPr>
    </w:lvl>
    <w:lvl w:ilvl="7">
      <w:start w:val="1"/>
      <w:numFmt w:val="decimal"/>
      <w:lvlText w:val="%1.%2.%3.%4.%5.%6.%7.%8"/>
      <w:lvlJc w:val="left"/>
      <w:pPr>
        <w:ind w:left="5580" w:hanging="1440"/>
      </w:pPr>
      <w:rPr>
        <w:rFonts w:hint="default"/>
      </w:rPr>
    </w:lvl>
    <w:lvl w:ilvl="8">
      <w:start w:val="1"/>
      <w:numFmt w:val="decimal"/>
      <w:lvlText w:val="%1.%2.%3.%4.%5.%6.%7.%8.%9"/>
      <w:lvlJc w:val="left"/>
      <w:pPr>
        <w:ind w:left="5724" w:hanging="1584"/>
      </w:pPr>
      <w:rPr>
        <w:rFonts w:hint="default"/>
      </w:rPr>
    </w:lvl>
  </w:abstractNum>
  <w:abstractNum w:abstractNumId="17" w15:restartNumberingAfterBreak="0">
    <w:nsid w:val="5C7A76FB"/>
    <w:multiLevelType w:val="hybridMultilevel"/>
    <w:tmpl w:val="AC28EE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D10060A"/>
    <w:multiLevelType w:val="hybridMultilevel"/>
    <w:tmpl w:val="09CE95A4"/>
    <w:lvl w:ilvl="0" w:tplc="08B20B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51D54D0"/>
    <w:multiLevelType w:val="hybridMultilevel"/>
    <w:tmpl w:val="3EF82CF6"/>
    <w:lvl w:ilvl="0" w:tplc="29EED4A4">
      <w:start w:val="1"/>
      <w:numFmt w:val="decimal"/>
      <w:lvlText w:val="[%1]"/>
      <w:lvlJc w:val="left"/>
      <w:pPr>
        <w:ind w:left="720"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5EF4606"/>
    <w:multiLevelType w:val="hybridMultilevel"/>
    <w:tmpl w:val="D32CBFC4"/>
    <w:lvl w:ilvl="0" w:tplc="AE78BFF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68540A2"/>
    <w:multiLevelType w:val="hybridMultilevel"/>
    <w:tmpl w:val="0BDE80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7E17674"/>
    <w:multiLevelType w:val="hybridMultilevel"/>
    <w:tmpl w:val="5416414A"/>
    <w:lvl w:ilvl="0" w:tplc="436030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54102"/>
    <w:multiLevelType w:val="hybridMultilevel"/>
    <w:tmpl w:val="13FE450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E270D5E"/>
    <w:multiLevelType w:val="hybridMultilevel"/>
    <w:tmpl w:val="30F21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07921D6"/>
    <w:multiLevelType w:val="hybridMultilevel"/>
    <w:tmpl w:val="4AECC1AA"/>
    <w:lvl w:ilvl="0" w:tplc="4504267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15:restartNumberingAfterBreak="0">
    <w:nsid w:val="70EC70A8"/>
    <w:multiLevelType w:val="hybridMultilevel"/>
    <w:tmpl w:val="45D44D30"/>
    <w:lvl w:ilvl="0" w:tplc="84C62EDE">
      <w:start w:val="10"/>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1297C7F"/>
    <w:multiLevelType w:val="hybridMultilevel"/>
    <w:tmpl w:val="549AE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29C1CDD"/>
    <w:multiLevelType w:val="hybridMultilevel"/>
    <w:tmpl w:val="5CDA9BB0"/>
    <w:lvl w:ilvl="0" w:tplc="397EE5E2">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36C471E"/>
    <w:multiLevelType w:val="hybridMultilevel"/>
    <w:tmpl w:val="BB7C0EA8"/>
    <w:lvl w:ilvl="0" w:tplc="FDC63F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3BC3CF0"/>
    <w:multiLevelType w:val="hybridMultilevel"/>
    <w:tmpl w:val="CE066AD2"/>
    <w:lvl w:ilvl="0" w:tplc="44E8EE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605618E"/>
    <w:multiLevelType w:val="hybridMultilevel"/>
    <w:tmpl w:val="B8AE887E"/>
    <w:lvl w:ilvl="0" w:tplc="0D560E02">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2" w15:restartNumberingAfterBreak="0">
    <w:nsid w:val="76C242BB"/>
    <w:multiLevelType w:val="hybridMultilevel"/>
    <w:tmpl w:val="D682B28E"/>
    <w:lvl w:ilvl="0" w:tplc="5BDCA044">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3" w15:restartNumberingAfterBreak="0">
    <w:nsid w:val="7E652F11"/>
    <w:multiLevelType w:val="hybridMultilevel"/>
    <w:tmpl w:val="587ACB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3"/>
  </w:num>
  <w:num w:numId="3">
    <w:abstractNumId w:val="18"/>
  </w:num>
  <w:num w:numId="4">
    <w:abstractNumId w:val="8"/>
  </w:num>
  <w:num w:numId="5">
    <w:abstractNumId w:val="28"/>
  </w:num>
  <w:num w:numId="6">
    <w:abstractNumId w:val="12"/>
  </w:num>
  <w:num w:numId="7">
    <w:abstractNumId w:val="20"/>
  </w:num>
  <w:num w:numId="8">
    <w:abstractNumId w:val="2"/>
  </w:num>
  <w:num w:numId="9">
    <w:abstractNumId w:val="17"/>
  </w:num>
  <w:num w:numId="10">
    <w:abstractNumId w:val="32"/>
  </w:num>
  <w:num w:numId="11">
    <w:abstractNumId w:val="23"/>
  </w:num>
  <w:num w:numId="12">
    <w:abstractNumId w:val="29"/>
  </w:num>
  <w:num w:numId="13">
    <w:abstractNumId w:val="6"/>
  </w:num>
  <w:num w:numId="14">
    <w:abstractNumId w:val="24"/>
  </w:num>
  <w:num w:numId="15">
    <w:abstractNumId w:val="27"/>
  </w:num>
  <w:num w:numId="16">
    <w:abstractNumId w:val="21"/>
  </w:num>
  <w:num w:numId="17">
    <w:abstractNumId w:val="33"/>
  </w:num>
  <w:num w:numId="18">
    <w:abstractNumId w:val="0"/>
  </w:num>
  <w:num w:numId="19">
    <w:abstractNumId w:val="22"/>
  </w:num>
  <w:num w:numId="20">
    <w:abstractNumId w:val="9"/>
  </w:num>
  <w:num w:numId="21">
    <w:abstractNumId w:val="15"/>
  </w:num>
  <w:num w:numId="22">
    <w:abstractNumId w:val="16"/>
  </w:num>
  <w:num w:numId="23">
    <w:abstractNumId w:val="11"/>
  </w:num>
  <w:num w:numId="24">
    <w:abstractNumId w:val="31"/>
  </w:num>
  <w:num w:numId="25">
    <w:abstractNumId w:val="30"/>
  </w:num>
  <w:num w:numId="26">
    <w:abstractNumId w:val="14"/>
  </w:num>
  <w:num w:numId="27">
    <w:abstractNumId w:val="19"/>
  </w:num>
  <w:num w:numId="28">
    <w:abstractNumId w:val="5"/>
  </w:num>
  <w:num w:numId="29">
    <w:abstractNumId w:val="26"/>
  </w:num>
  <w:num w:numId="30">
    <w:abstractNumId w:val="1"/>
  </w:num>
  <w:num w:numId="31">
    <w:abstractNumId w:val="10"/>
  </w:num>
  <w:num w:numId="32">
    <w:abstractNumId w:val="4"/>
  </w:num>
  <w:num w:numId="33">
    <w:abstractNumId w:val="1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53"/>
    <w:rsid w:val="000005A9"/>
    <w:rsid w:val="00000701"/>
    <w:rsid w:val="00000D39"/>
    <w:rsid w:val="00001378"/>
    <w:rsid w:val="000020D2"/>
    <w:rsid w:val="00002A84"/>
    <w:rsid w:val="00002CCC"/>
    <w:rsid w:val="00003107"/>
    <w:rsid w:val="000041E5"/>
    <w:rsid w:val="00004DB6"/>
    <w:rsid w:val="000051BE"/>
    <w:rsid w:val="000057F7"/>
    <w:rsid w:val="000072E4"/>
    <w:rsid w:val="00007A21"/>
    <w:rsid w:val="000120B2"/>
    <w:rsid w:val="0001267F"/>
    <w:rsid w:val="00014191"/>
    <w:rsid w:val="000143C7"/>
    <w:rsid w:val="000149AA"/>
    <w:rsid w:val="00014A07"/>
    <w:rsid w:val="00014DE2"/>
    <w:rsid w:val="00015692"/>
    <w:rsid w:val="00015CBB"/>
    <w:rsid w:val="00017636"/>
    <w:rsid w:val="000204F5"/>
    <w:rsid w:val="000206E0"/>
    <w:rsid w:val="00021330"/>
    <w:rsid w:val="00021D79"/>
    <w:rsid w:val="000223BB"/>
    <w:rsid w:val="0002311F"/>
    <w:rsid w:val="00024355"/>
    <w:rsid w:val="0002640F"/>
    <w:rsid w:val="00026C55"/>
    <w:rsid w:val="000304F1"/>
    <w:rsid w:val="00030F03"/>
    <w:rsid w:val="00031006"/>
    <w:rsid w:val="0003116F"/>
    <w:rsid w:val="000326E5"/>
    <w:rsid w:val="00032AFD"/>
    <w:rsid w:val="00034BAC"/>
    <w:rsid w:val="00034E4E"/>
    <w:rsid w:val="00037C1B"/>
    <w:rsid w:val="000402CB"/>
    <w:rsid w:val="000403B5"/>
    <w:rsid w:val="000403DF"/>
    <w:rsid w:val="00041250"/>
    <w:rsid w:val="000438B2"/>
    <w:rsid w:val="00043E95"/>
    <w:rsid w:val="000447C3"/>
    <w:rsid w:val="00045AF9"/>
    <w:rsid w:val="00045C2A"/>
    <w:rsid w:val="0004631F"/>
    <w:rsid w:val="00046409"/>
    <w:rsid w:val="00046CC1"/>
    <w:rsid w:val="000476AB"/>
    <w:rsid w:val="000478A4"/>
    <w:rsid w:val="00047B88"/>
    <w:rsid w:val="00050775"/>
    <w:rsid w:val="0005111B"/>
    <w:rsid w:val="00052A84"/>
    <w:rsid w:val="00053428"/>
    <w:rsid w:val="00053B31"/>
    <w:rsid w:val="00054DF6"/>
    <w:rsid w:val="00055977"/>
    <w:rsid w:val="000577A4"/>
    <w:rsid w:val="00062A55"/>
    <w:rsid w:val="0006307F"/>
    <w:rsid w:val="0006357A"/>
    <w:rsid w:val="00063585"/>
    <w:rsid w:val="000639E6"/>
    <w:rsid w:val="00063A49"/>
    <w:rsid w:val="000657C6"/>
    <w:rsid w:val="00065CA7"/>
    <w:rsid w:val="00066162"/>
    <w:rsid w:val="00066CD8"/>
    <w:rsid w:val="000671FB"/>
    <w:rsid w:val="000729E2"/>
    <w:rsid w:val="00073644"/>
    <w:rsid w:val="000736EB"/>
    <w:rsid w:val="00073A64"/>
    <w:rsid w:val="00073AA7"/>
    <w:rsid w:val="000744B4"/>
    <w:rsid w:val="0007691C"/>
    <w:rsid w:val="00076D52"/>
    <w:rsid w:val="000776C7"/>
    <w:rsid w:val="000776CE"/>
    <w:rsid w:val="00077C85"/>
    <w:rsid w:val="000807F9"/>
    <w:rsid w:val="00080C57"/>
    <w:rsid w:val="00081901"/>
    <w:rsid w:val="000829C2"/>
    <w:rsid w:val="00082ED2"/>
    <w:rsid w:val="000836BA"/>
    <w:rsid w:val="000837F1"/>
    <w:rsid w:val="00083A24"/>
    <w:rsid w:val="00083EB5"/>
    <w:rsid w:val="00084C73"/>
    <w:rsid w:val="00084D14"/>
    <w:rsid w:val="000855D3"/>
    <w:rsid w:val="00085720"/>
    <w:rsid w:val="0008572E"/>
    <w:rsid w:val="0008613D"/>
    <w:rsid w:val="0008698F"/>
    <w:rsid w:val="00086CC1"/>
    <w:rsid w:val="00087276"/>
    <w:rsid w:val="000919AE"/>
    <w:rsid w:val="000922D1"/>
    <w:rsid w:val="0009281E"/>
    <w:rsid w:val="0009367E"/>
    <w:rsid w:val="0009418E"/>
    <w:rsid w:val="00094714"/>
    <w:rsid w:val="00094AD2"/>
    <w:rsid w:val="00094B00"/>
    <w:rsid w:val="0009734C"/>
    <w:rsid w:val="000A0522"/>
    <w:rsid w:val="000A265C"/>
    <w:rsid w:val="000A3056"/>
    <w:rsid w:val="000A48F6"/>
    <w:rsid w:val="000A559D"/>
    <w:rsid w:val="000A62CA"/>
    <w:rsid w:val="000A65D1"/>
    <w:rsid w:val="000A699A"/>
    <w:rsid w:val="000A6ABA"/>
    <w:rsid w:val="000A7771"/>
    <w:rsid w:val="000B0995"/>
    <w:rsid w:val="000B0C8C"/>
    <w:rsid w:val="000B12CE"/>
    <w:rsid w:val="000B2145"/>
    <w:rsid w:val="000B4223"/>
    <w:rsid w:val="000B4B5D"/>
    <w:rsid w:val="000B4E15"/>
    <w:rsid w:val="000B5178"/>
    <w:rsid w:val="000B524F"/>
    <w:rsid w:val="000B6BDD"/>
    <w:rsid w:val="000B6DC0"/>
    <w:rsid w:val="000C015D"/>
    <w:rsid w:val="000C0739"/>
    <w:rsid w:val="000C130A"/>
    <w:rsid w:val="000C28AA"/>
    <w:rsid w:val="000C3E40"/>
    <w:rsid w:val="000C4975"/>
    <w:rsid w:val="000C533C"/>
    <w:rsid w:val="000C75C4"/>
    <w:rsid w:val="000D1913"/>
    <w:rsid w:val="000D260D"/>
    <w:rsid w:val="000D3BB5"/>
    <w:rsid w:val="000D6B27"/>
    <w:rsid w:val="000D724C"/>
    <w:rsid w:val="000D73BC"/>
    <w:rsid w:val="000E1A90"/>
    <w:rsid w:val="000E256F"/>
    <w:rsid w:val="000E2EE2"/>
    <w:rsid w:val="000E3544"/>
    <w:rsid w:val="000E5670"/>
    <w:rsid w:val="000E5A1D"/>
    <w:rsid w:val="000E703C"/>
    <w:rsid w:val="000E70E0"/>
    <w:rsid w:val="000E7D10"/>
    <w:rsid w:val="000F1112"/>
    <w:rsid w:val="000F2EF6"/>
    <w:rsid w:val="000F39B2"/>
    <w:rsid w:val="000F58F9"/>
    <w:rsid w:val="000F7F39"/>
    <w:rsid w:val="00101C51"/>
    <w:rsid w:val="00102D33"/>
    <w:rsid w:val="00103B60"/>
    <w:rsid w:val="00104044"/>
    <w:rsid w:val="00104BCA"/>
    <w:rsid w:val="0010535E"/>
    <w:rsid w:val="0010546D"/>
    <w:rsid w:val="001055CC"/>
    <w:rsid w:val="00105FF0"/>
    <w:rsid w:val="00105FFC"/>
    <w:rsid w:val="00106222"/>
    <w:rsid w:val="00106381"/>
    <w:rsid w:val="00107576"/>
    <w:rsid w:val="0011032F"/>
    <w:rsid w:val="00110771"/>
    <w:rsid w:val="00111290"/>
    <w:rsid w:val="0011179A"/>
    <w:rsid w:val="00111A2C"/>
    <w:rsid w:val="00111DA1"/>
    <w:rsid w:val="0011250B"/>
    <w:rsid w:val="00112E36"/>
    <w:rsid w:val="00113935"/>
    <w:rsid w:val="00113AA3"/>
    <w:rsid w:val="0011422F"/>
    <w:rsid w:val="00114F44"/>
    <w:rsid w:val="00115976"/>
    <w:rsid w:val="00115A45"/>
    <w:rsid w:val="00115AE6"/>
    <w:rsid w:val="001174B8"/>
    <w:rsid w:val="00117ED1"/>
    <w:rsid w:val="00120866"/>
    <w:rsid w:val="00121508"/>
    <w:rsid w:val="0012164C"/>
    <w:rsid w:val="0012180E"/>
    <w:rsid w:val="00121BA3"/>
    <w:rsid w:val="001223C6"/>
    <w:rsid w:val="0012501D"/>
    <w:rsid w:val="001251DA"/>
    <w:rsid w:val="00125714"/>
    <w:rsid w:val="00126978"/>
    <w:rsid w:val="00126D56"/>
    <w:rsid w:val="00127AF9"/>
    <w:rsid w:val="00130858"/>
    <w:rsid w:val="00131358"/>
    <w:rsid w:val="00131B3F"/>
    <w:rsid w:val="00131D54"/>
    <w:rsid w:val="0013235D"/>
    <w:rsid w:val="001326C9"/>
    <w:rsid w:val="00133AEC"/>
    <w:rsid w:val="00133FC5"/>
    <w:rsid w:val="00140170"/>
    <w:rsid w:val="00140356"/>
    <w:rsid w:val="00140EE0"/>
    <w:rsid w:val="001415E2"/>
    <w:rsid w:val="001418DE"/>
    <w:rsid w:val="001428EE"/>
    <w:rsid w:val="00142F2C"/>
    <w:rsid w:val="001440C3"/>
    <w:rsid w:val="001447AA"/>
    <w:rsid w:val="0014571F"/>
    <w:rsid w:val="00145D6A"/>
    <w:rsid w:val="001466DC"/>
    <w:rsid w:val="00147914"/>
    <w:rsid w:val="00147B0C"/>
    <w:rsid w:val="00147D88"/>
    <w:rsid w:val="0015019F"/>
    <w:rsid w:val="00150B37"/>
    <w:rsid w:val="001510CA"/>
    <w:rsid w:val="00151A5D"/>
    <w:rsid w:val="001537FB"/>
    <w:rsid w:val="0015393B"/>
    <w:rsid w:val="001546C3"/>
    <w:rsid w:val="0015523A"/>
    <w:rsid w:val="00155896"/>
    <w:rsid w:val="00161437"/>
    <w:rsid w:val="00161914"/>
    <w:rsid w:val="00162633"/>
    <w:rsid w:val="00163273"/>
    <w:rsid w:val="00163E5B"/>
    <w:rsid w:val="00164860"/>
    <w:rsid w:val="001657FD"/>
    <w:rsid w:val="001659CE"/>
    <w:rsid w:val="0016740A"/>
    <w:rsid w:val="001700D8"/>
    <w:rsid w:val="00170123"/>
    <w:rsid w:val="00170496"/>
    <w:rsid w:val="00170C6E"/>
    <w:rsid w:val="00171A27"/>
    <w:rsid w:val="0017292D"/>
    <w:rsid w:val="00172FDF"/>
    <w:rsid w:val="00173866"/>
    <w:rsid w:val="00173D0A"/>
    <w:rsid w:val="00174392"/>
    <w:rsid w:val="00174A72"/>
    <w:rsid w:val="00174FC5"/>
    <w:rsid w:val="001752AB"/>
    <w:rsid w:val="001769EF"/>
    <w:rsid w:val="00177662"/>
    <w:rsid w:val="00177E02"/>
    <w:rsid w:val="00181F40"/>
    <w:rsid w:val="0018267B"/>
    <w:rsid w:val="001833E1"/>
    <w:rsid w:val="00183446"/>
    <w:rsid w:val="001850B5"/>
    <w:rsid w:val="00185B08"/>
    <w:rsid w:val="00185F0C"/>
    <w:rsid w:val="0018607B"/>
    <w:rsid w:val="0018663D"/>
    <w:rsid w:val="00187D24"/>
    <w:rsid w:val="00190F4C"/>
    <w:rsid w:val="00191601"/>
    <w:rsid w:val="001919D2"/>
    <w:rsid w:val="00192287"/>
    <w:rsid w:val="00192EA2"/>
    <w:rsid w:val="00193927"/>
    <w:rsid w:val="00194917"/>
    <w:rsid w:val="00195772"/>
    <w:rsid w:val="001959B2"/>
    <w:rsid w:val="0019615D"/>
    <w:rsid w:val="00197469"/>
    <w:rsid w:val="00197AD1"/>
    <w:rsid w:val="001A03A4"/>
    <w:rsid w:val="001A1FF3"/>
    <w:rsid w:val="001A3CA2"/>
    <w:rsid w:val="001A3CF5"/>
    <w:rsid w:val="001A5E7E"/>
    <w:rsid w:val="001A6EFF"/>
    <w:rsid w:val="001A6F09"/>
    <w:rsid w:val="001A6FDE"/>
    <w:rsid w:val="001A74C0"/>
    <w:rsid w:val="001B04A4"/>
    <w:rsid w:val="001B0720"/>
    <w:rsid w:val="001B1E5D"/>
    <w:rsid w:val="001B3135"/>
    <w:rsid w:val="001B344A"/>
    <w:rsid w:val="001B357F"/>
    <w:rsid w:val="001B58C3"/>
    <w:rsid w:val="001B5C8E"/>
    <w:rsid w:val="001B5C9F"/>
    <w:rsid w:val="001B6A42"/>
    <w:rsid w:val="001B7DA0"/>
    <w:rsid w:val="001C00ED"/>
    <w:rsid w:val="001C111C"/>
    <w:rsid w:val="001C1609"/>
    <w:rsid w:val="001C1F60"/>
    <w:rsid w:val="001C377F"/>
    <w:rsid w:val="001C3F3D"/>
    <w:rsid w:val="001C3F89"/>
    <w:rsid w:val="001C4381"/>
    <w:rsid w:val="001C46BC"/>
    <w:rsid w:val="001C4D70"/>
    <w:rsid w:val="001C7FFD"/>
    <w:rsid w:val="001D2842"/>
    <w:rsid w:val="001D29FB"/>
    <w:rsid w:val="001D3160"/>
    <w:rsid w:val="001D35BF"/>
    <w:rsid w:val="001D5D64"/>
    <w:rsid w:val="001D7B78"/>
    <w:rsid w:val="001E031A"/>
    <w:rsid w:val="001E0DCC"/>
    <w:rsid w:val="001E0E42"/>
    <w:rsid w:val="001E1212"/>
    <w:rsid w:val="001E1899"/>
    <w:rsid w:val="001E3045"/>
    <w:rsid w:val="001E4DF3"/>
    <w:rsid w:val="001E5774"/>
    <w:rsid w:val="001E6401"/>
    <w:rsid w:val="001E65B4"/>
    <w:rsid w:val="001E6C98"/>
    <w:rsid w:val="001F1137"/>
    <w:rsid w:val="001F2722"/>
    <w:rsid w:val="001F3BF0"/>
    <w:rsid w:val="001F421F"/>
    <w:rsid w:val="001F4E27"/>
    <w:rsid w:val="001F5FE7"/>
    <w:rsid w:val="001F689A"/>
    <w:rsid w:val="001F72DE"/>
    <w:rsid w:val="001F7C48"/>
    <w:rsid w:val="00200C5F"/>
    <w:rsid w:val="002014E8"/>
    <w:rsid w:val="00202863"/>
    <w:rsid w:val="00202A7F"/>
    <w:rsid w:val="00202BF3"/>
    <w:rsid w:val="0020633C"/>
    <w:rsid w:val="00206D51"/>
    <w:rsid w:val="002073D0"/>
    <w:rsid w:val="0020743C"/>
    <w:rsid w:val="002101BB"/>
    <w:rsid w:val="00211B12"/>
    <w:rsid w:val="00211E8A"/>
    <w:rsid w:val="002144B5"/>
    <w:rsid w:val="00214DA3"/>
    <w:rsid w:val="00215034"/>
    <w:rsid w:val="00215713"/>
    <w:rsid w:val="00215C50"/>
    <w:rsid w:val="00215C8D"/>
    <w:rsid w:val="002163E9"/>
    <w:rsid w:val="002164BD"/>
    <w:rsid w:val="002169EB"/>
    <w:rsid w:val="00217CD3"/>
    <w:rsid w:val="00217E61"/>
    <w:rsid w:val="00220DAB"/>
    <w:rsid w:val="002216B0"/>
    <w:rsid w:val="002223A9"/>
    <w:rsid w:val="002229BF"/>
    <w:rsid w:val="00224562"/>
    <w:rsid w:val="002249AC"/>
    <w:rsid w:val="0022533E"/>
    <w:rsid w:val="002267C3"/>
    <w:rsid w:val="0022733B"/>
    <w:rsid w:val="00227CB0"/>
    <w:rsid w:val="0023169D"/>
    <w:rsid w:val="002317E0"/>
    <w:rsid w:val="00231956"/>
    <w:rsid w:val="00233F59"/>
    <w:rsid w:val="00234246"/>
    <w:rsid w:val="00234BD0"/>
    <w:rsid w:val="00234CA2"/>
    <w:rsid w:val="002352E0"/>
    <w:rsid w:val="002354C1"/>
    <w:rsid w:val="0023578A"/>
    <w:rsid w:val="0023636B"/>
    <w:rsid w:val="00236596"/>
    <w:rsid w:val="00241AAC"/>
    <w:rsid w:val="00242D7A"/>
    <w:rsid w:val="00243629"/>
    <w:rsid w:val="00243BD2"/>
    <w:rsid w:val="00243C76"/>
    <w:rsid w:val="00244D9C"/>
    <w:rsid w:val="002457B3"/>
    <w:rsid w:val="00245839"/>
    <w:rsid w:val="00246195"/>
    <w:rsid w:val="00247559"/>
    <w:rsid w:val="002509E7"/>
    <w:rsid w:val="002529ED"/>
    <w:rsid w:val="002533B8"/>
    <w:rsid w:val="0025418C"/>
    <w:rsid w:val="00254713"/>
    <w:rsid w:val="00254861"/>
    <w:rsid w:val="00254C13"/>
    <w:rsid w:val="00254FA7"/>
    <w:rsid w:val="00256158"/>
    <w:rsid w:val="002565A8"/>
    <w:rsid w:val="002568CF"/>
    <w:rsid w:val="00256BD8"/>
    <w:rsid w:val="002574C7"/>
    <w:rsid w:val="002575B1"/>
    <w:rsid w:val="00261626"/>
    <w:rsid w:val="002636E4"/>
    <w:rsid w:val="0026394D"/>
    <w:rsid w:val="0026576C"/>
    <w:rsid w:val="002659C5"/>
    <w:rsid w:val="0026674B"/>
    <w:rsid w:val="00270412"/>
    <w:rsid w:val="002706A7"/>
    <w:rsid w:val="002711CE"/>
    <w:rsid w:val="0027255E"/>
    <w:rsid w:val="00272FA8"/>
    <w:rsid w:val="002735AB"/>
    <w:rsid w:val="00273D03"/>
    <w:rsid w:val="00274675"/>
    <w:rsid w:val="00274BCD"/>
    <w:rsid w:val="00275293"/>
    <w:rsid w:val="0027648C"/>
    <w:rsid w:val="002773A1"/>
    <w:rsid w:val="00277429"/>
    <w:rsid w:val="00280CCF"/>
    <w:rsid w:val="00281D2D"/>
    <w:rsid w:val="00283162"/>
    <w:rsid w:val="00283CD6"/>
    <w:rsid w:val="00283DAF"/>
    <w:rsid w:val="00283EB0"/>
    <w:rsid w:val="00285FAA"/>
    <w:rsid w:val="002903B0"/>
    <w:rsid w:val="00290C42"/>
    <w:rsid w:val="0029107C"/>
    <w:rsid w:val="002912F4"/>
    <w:rsid w:val="002923EB"/>
    <w:rsid w:val="002924E9"/>
    <w:rsid w:val="002958A8"/>
    <w:rsid w:val="00296F2A"/>
    <w:rsid w:val="00296FA1"/>
    <w:rsid w:val="0029729C"/>
    <w:rsid w:val="0029730C"/>
    <w:rsid w:val="002A24A5"/>
    <w:rsid w:val="002A2684"/>
    <w:rsid w:val="002A30ED"/>
    <w:rsid w:val="002A38CB"/>
    <w:rsid w:val="002A3BB2"/>
    <w:rsid w:val="002A4A52"/>
    <w:rsid w:val="002A5DB0"/>
    <w:rsid w:val="002A7B17"/>
    <w:rsid w:val="002B06A4"/>
    <w:rsid w:val="002B0A16"/>
    <w:rsid w:val="002B0C02"/>
    <w:rsid w:val="002B1796"/>
    <w:rsid w:val="002B245A"/>
    <w:rsid w:val="002B2C82"/>
    <w:rsid w:val="002B336F"/>
    <w:rsid w:val="002B4BA6"/>
    <w:rsid w:val="002B58B9"/>
    <w:rsid w:val="002B5942"/>
    <w:rsid w:val="002C079D"/>
    <w:rsid w:val="002C0C3E"/>
    <w:rsid w:val="002C0ED2"/>
    <w:rsid w:val="002C10A3"/>
    <w:rsid w:val="002C35E9"/>
    <w:rsid w:val="002C53F3"/>
    <w:rsid w:val="002C53F9"/>
    <w:rsid w:val="002C5EA4"/>
    <w:rsid w:val="002C6CDF"/>
    <w:rsid w:val="002D072C"/>
    <w:rsid w:val="002D09EC"/>
    <w:rsid w:val="002D0B3D"/>
    <w:rsid w:val="002D1969"/>
    <w:rsid w:val="002D3CFD"/>
    <w:rsid w:val="002D4743"/>
    <w:rsid w:val="002D48E7"/>
    <w:rsid w:val="002D4F74"/>
    <w:rsid w:val="002D64B4"/>
    <w:rsid w:val="002D7196"/>
    <w:rsid w:val="002E0646"/>
    <w:rsid w:val="002E0A34"/>
    <w:rsid w:val="002E0B35"/>
    <w:rsid w:val="002E0CCD"/>
    <w:rsid w:val="002E0FEA"/>
    <w:rsid w:val="002E18EE"/>
    <w:rsid w:val="002E1ADD"/>
    <w:rsid w:val="002E1ED7"/>
    <w:rsid w:val="002E20D2"/>
    <w:rsid w:val="002E25A1"/>
    <w:rsid w:val="002E357E"/>
    <w:rsid w:val="002E468A"/>
    <w:rsid w:val="002E4ED4"/>
    <w:rsid w:val="002E54E7"/>
    <w:rsid w:val="002E67B5"/>
    <w:rsid w:val="002F1357"/>
    <w:rsid w:val="002F2C46"/>
    <w:rsid w:val="002F40CC"/>
    <w:rsid w:val="002F4AAC"/>
    <w:rsid w:val="002F5AF7"/>
    <w:rsid w:val="002F6643"/>
    <w:rsid w:val="002F6848"/>
    <w:rsid w:val="002F7707"/>
    <w:rsid w:val="002F7EFC"/>
    <w:rsid w:val="0030026E"/>
    <w:rsid w:val="00301008"/>
    <w:rsid w:val="00301338"/>
    <w:rsid w:val="00301B68"/>
    <w:rsid w:val="00303A83"/>
    <w:rsid w:val="0030418D"/>
    <w:rsid w:val="0030465A"/>
    <w:rsid w:val="00304810"/>
    <w:rsid w:val="00305298"/>
    <w:rsid w:val="00305ABB"/>
    <w:rsid w:val="00307019"/>
    <w:rsid w:val="00310A33"/>
    <w:rsid w:val="00310EA7"/>
    <w:rsid w:val="0031119A"/>
    <w:rsid w:val="0031261D"/>
    <w:rsid w:val="00314AB4"/>
    <w:rsid w:val="00314DD4"/>
    <w:rsid w:val="0031641D"/>
    <w:rsid w:val="00316E46"/>
    <w:rsid w:val="00317AF8"/>
    <w:rsid w:val="00317F49"/>
    <w:rsid w:val="00320378"/>
    <w:rsid w:val="00322944"/>
    <w:rsid w:val="00322B52"/>
    <w:rsid w:val="00322BE6"/>
    <w:rsid w:val="00322C14"/>
    <w:rsid w:val="0032386A"/>
    <w:rsid w:val="0032471E"/>
    <w:rsid w:val="003249FD"/>
    <w:rsid w:val="00324AEB"/>
    <w:rsid w:val="00324C2A"/>
    <w:rsid w:val="00324D3C"/>
    <w:rsid w:val="00325DF6"/>
    <w:rsid w:val="00326E83"/>
    <w:rsid w:val="00326F81"/>
    <w:rsid w:val="003272F4"/>
    <w:rsid w:val="00327637"/>
    <w:rsid w:val="00330BED"/>
    <w:rsid w:val="00330D50"/>
    <w:rsid w:val="00331D31"/>
    <w:rsid w:val="00332661"/>
    <w:rsid w:val="00334800"/>
    <w:rsid w:val="003352DC"/>
    <w:rsid w:val="00335969"/>
    <w:rsid w:val="003359DC"/>
    <w:rsid w:val="00336A3E"/>
    <w:rsid w:val="00336AC4"/>
    <w:rsid w:val="00340F93"/>
    <w:rsid w:val="00342739"/>
    <w:rsid w:val="00343569"/>
    <w:rsid w:val="00343C11"/>
    <w:rsid w:val="00345382"/>
    <w:rsid w:val="00346E14"/>
    <w:rsid w:val="003470B5"/>
    <w:rsid w:val="0035076E"/>
    <w:rsid w:val="00350EB8"/>
    <w:rsid w:val="00351AA1"/>
    <w:rsid w:val="00351EB9"/>
    <w:rsid w:val="00352188"/>
    <w:rsid w:val="00352B53"/>
    <w:rsid w:val="003532E2"/>
    <w:rsid w:val="003536CF"/>
    <w:rsid w:val="0035384E"/>
    <w:rsid w:val="00353B10"/>
    <w:rsid w:val="00353D13"/>
    <w:rsid w:val="00354CB7"/>
    <w:rsid w:val="00354D73"/>
    <w:rsid w:val="003550D4"/>
    <w:rsid w:val="00355685"/>
    <w:rsid w:val="00360659"/>
    <w:rsid w:val="003606C4"/>
    <w:rsid w:val="00361EB3"/>
    <w:rsid w:val="0036258F"/>
    <w:rsid w:val="003628BA"/>
    <w:rsid w:val="003637F5"/>
    <w:rsid w:val="003639DB"/>
    <w:rsid w:val="00364351"/>
    <w:rsid w:val="003644C9"/>
    <w:rsid w:val="0036468B"/>
    <w:rsid w:val="0036554E"/>
    <w:rsid w:val="0036575B"/>
    <w:rsid w:val="00365850"/>
    <w:rsid w:val="00365F49"/>
    <w:rsid w:val="00367396"/>
    <w:rsid w:val="003712A1"/>
    <w:rsid w:val="003716CF"/>
    <w:rsid w:val="003725B6"/>
    <w:rsid w:val="00373168"/>
    <w:rsid w:val="0037437C"/>
    <w:rsid w:val="003749E0"/>
    <w:rsid w:val="00374B8A"/>
    <w:rsid w:val="0037566C"/>
    <w:rsid w:val="00375D75"/>
    <w:rsid w:val="003762A0"/>
    <w:rsid w:val="00376475"/>
    <w:rsid w:val="00376F14"/>
    <w:rsid w:val="0037726F"/>
    <w:rsid w:val="003812F7"/>
    <w:rsid w:val="00384DD2"/>
    <w:rsid w:val="003854D2"/>
    <w:rsid w:val="003864C9"/>
    <w:rsid w:val="003864F1"/>
    <w:rsid w:val="0038712C"/>
    <w:rsid w:val="00387F51"/>
    <w:rsid w:val="00390E82"/>
    <w:rsid w:val="00391FC1"/>
    <w:rsid w:val="0039221F"/>
    <w:rsid w:val="003938E5"/>
    <w:rsid w:val="0039407A"/>
    <w:rsid w:val="00394B7C"/>
    <w:rsid w:val="00396DBA"/>
    <w:rsid w:val="0039711C"/>
    <w:rsid w:val="003978AB"/>
    <w:rsid w:val="003A168C"/>
    <w:rsid w:val="003A17D4"/>
    <w:rsid w:val="003A1840"/>
    <w:rsid w:val="003A198F"/>
    <w:rsid w:val="003A2B0A"/>
    <w:rsid w:val="003A3E33"/>
    <w:rsid w:val="003A41DD"/>
    <w:rsid w:val="003A4CE4"/>
    <w:rsid w:val="003A5333"/>
    <w:rsid w:val="003A54A8"/>
    <w:rsid w:val="003A5A5A"/>
    <w:rsid w:val="003A6962"/>
    <w:rsid w:val="003A719F"/>
    <w:rsid w:val="003A76B6"/>
    <w:rsid w:val="003A7790"/>
    <w:rsid w:val="003A7DEA"/>
    <w:rsid w:val="003B058E"/>
    <w:rsid w:val="003B05DA"/>
    <w:rsid w:val="003B0720"/>
    <w:rsid w:val="003B09BC"/>
    <w:rsid w:val="003B10CC"/>
    <w:rsid w:val="003B246A"/>
    <w:rsid w:val="003B2896"/>
    <w:rsid w:val="003B50C6"/>
    <w:rsid w:val="003B54CB"/>
    <w:rsid w:val="003B6205"/>
    <w:rsid w:val="003B6527"/>
    <w:rsid w:val="003B6D34"/>
    <w:rsid w:val="003B6D3A"/>
    <w:rsid w:val="003C139B"/>
    <w:rsid w:val="003C15FF"/>
    <w:rsid w:val="003C1912"/>
    <w:rsid w:val="003C2C09"/>
    <w:rsid w:val="003C384F"/>
    <w:rsid w:val="003C38EE"/>
    <w:rsid w:val="003C402D"/>
    <w:rsid w:val="003C477F"/>
    <w:rsid w:val="003C49BA"/>
    <w:rsid w:val="003C4D26"/>
    <w:rsid w:val="003C4D2B"/>
    <w:rsid w:val="003C4DD3"/>
    <w:rsid w:val="003C53BA"/>
    <w:rsid w:val="003C6623"/>
    <w:rsid w:val="003C7735"/>
    <w:rsid w:val="003D09B5"/>
    <w:rsid w:val="003D2365"/>
    <w:rsid w:val="003D30A8"/>
    <w:rsid w:val="003D469D"/>
    <w:rsid w:val="003D4A26"/>
    <w:rsid w:val="003D4BE0"/>
    <w:rsid w:val="003D4C2F"/>
    <w:rsid w:val="003D56FB"/>
    <w:rsid w:val="003D75DA"/>
    <w:rsid w:val="003D7CF8"/>
    <w:rsid w:val="003E0477"/>
    <w:rsid w:val="003E1216"/>
    <w:rsid w:val="003E17DF"/>
    <w:rsid w:val="003E1E56"/>
    <w:rsid w:val="003E276E"/>
    <w:rsid w:val="003E36F6"/>
    <w:rsid w:val="003E3D0E"/>
    <w:rsid w:val="003E5108"/>
    <w:rsid w:val="003E57A4"/>
    <w:rsid w:val="003E6743"/>
    <w:rsid w:val="003E6787"/>
    <w:rsid w:val="003E70FB"/>
    <w:rsid w:val="003F0458"/>
    <w:rsid w:val="003F151C"/>
    <w:rsid w:val="003F258A"/>
    <w:rsid w:val="003F2F95"/>
    <w:rsid w:val="003F3862"/>
    <w:rsid w:val="003F4299"/>
    <w:rsid w:val="003F4F08"/>
    <w:rsid w:val="003F742C"/>
    <w:rsid w:val="004014FB"/>
    <w:rsid w:val="004022D5"/>
    <w:rsid w:val="00402C4C"/>
    <w:rsid w:val="00403022"/>
    <w:rsid w:val="004032BA"/>
    <w:rsid w:val="00404467"/>
    <w:rsid w:val="00404589"/>
    <w:rsid w:val="004048EA"/>
    <w:rsid w:val="00405CBF"/>
    <w:rsid w:val="004067A0"/>
    <w:rsid w:val="004076B8"/>
    <w:rsid w:val="004103FA"/>
    <w:rsid w:val="00410A1E"/>
    <w:rsid w:val="00410A77"/>
    <w:rsid w:val="00410AF1"/>
    <w:rsid w:val="00411771"/>
    <w:rsid w:val="0041392F"/>
    <w:rsid w:val="004146B7"/>
    <w:rsid w:val="00414A52"/>
    <w:rsid w:val="00414C08"/>
    <w:rsid w:val="00416DC2"/>
    <w:rsid w:val="004177BA"/>
    <w:rsid w:val="00420285"/>
    <w:rsid w:val="00421708"/>
    <w:rsid w:val="00422662"/>
    <w:rsid w:val="00422679"/>
    <w:rsid w:val="00423E68"/>
    <w:rsid w:val="00425F08"/>
    <w:rsid w:val="00426C54"/>
    <w:rsid w:val="00426E14"/>
    <w:rsid w:val="0042704F"/>
    <w:rsid w:val="00430539"/>
    <w:rsid w:val="004309F0"/>
    <w:rsid w:val="0043134B"/>
    <w:rsid w:val="00431578"/>
    <w:rsid w:val="00432392"/>
    <w:rsid w:val="004323EF"/>
    <w:rsid w:val="00432A15"/>
    <w:rsid w:val="00432A17"/>
    <w:rsid w:val="004341ED"/>
    <w:rsid w:val="00434262"/>
    <w:rsid w:val="00434371"/>
    <w:rsid w:val="00434465"/>
    <w:rsid w:val="004348B4"/>
    <w:rsid w:val="00434D39"/>
    <w:rsid w:val="00436479"/>
    <w:rsid w:val="00440741"/>
    <w:rsid w:val="00443F80"/>
    <w:rsid w:val="004442F6"/>
    <w:rsid w:val="00444F74"/>
    <w:rsid w:val="004451CA"/>
    <w:rsid w:val="00445249"/>
    <w:rsid w:val="00447713"/>
    <w:rsid w:val="00447D58"/>
    <w:rsid w:val="004509F5"/>
    <w:rsid w:val="00450B14"/>
    <w:rsid w:val="004517CA"/>
    <w:rsid w:val="00451A5D"/>
    <w:rsid w:val="00452728"/>
    <w:rsid w:val="00453BE1"/>
    <w:rsid w:val="00453E91"/>
    <w:rsid w:val="00454A7F"/>
    <w:rsid w:val="00455253"/>
    <w:rsid w:val="00455CBE"/>
    <w:rsid w:val="00456CCC"/>
    <w:rsid w:val="004576F4"/>
    <w:rsid w:val="00457B9A"/>
    <w:rsid w:val="00461C31"/>
    <w:rsid w:val="00463E18"/>
    <w:rsid w:val="004645D6"/>
    <w:rsid w:val="00464703"/>
    <w:rsid w:val="004657E5"/>
    <w:rsid w:val="0046584B"/>
    <w:rsid w:val="0046623D"/>
    <w:rsid w:val="00466392"/>
    <w:rsid w:val="004669CE"/>
    <w:rsid w:val="00466AB2"/>
    <w:rsid w:val="00466E0E"/>
    <w:rsid w:val="00467BF1"/>
    <w:rsid w:val="00470021"/>
    <w:rsid w:val="00470BD4"/>
    <w:rsid w:val="00473D0A"/>
    <w:rsid w:val="00473DE4"/>
    <w:rsid w:val="00474AB4"/>
    <w:rsid w:val="00474E70"/>
    <w:rsid w:val="0047558E"/>
    <w:rsid w:val="004768CD"/>
    <w:rsid w:val="00476A54"/>
    <w:rsid w:val="00481F20"/>
    <w:rsid w:val="00483C8D"/>
    <w:rsid w:val="004845D8"/>
    <w:rsid w:val="0048686B"/>
    <w:rsid w:val="00486C8D"/>
    <w:rsid w:val="004908D1"/>
    <w:rsid w:val="00492274"/>
    <w:rsid w:val="004924B9"/>
    <w:rsid w:val="00492BA4"/>
    <w:rsid w:val="0049381C"/>
    <w:rsid w:val="00494082"/>
    <w:rsid w:val="00495774"/>
    <w:rsid w:val="00496365"/>
    <w:rsid w:val="00496756"/>
    <w:rsid w:val="004969F7"/>
    <w:rsid w:val="00496A1D"/>
    <w:rsid w:val="004978D6"/>
    <w:rsid w:val="00497C3B"/>
    <w:rsid w:val="004A1267"/>
    <w:rsid w:val="004A410A"/>
    <w:rsid w:val="004A4D9B"/>
    <w:rsid w:val="004A563F"/>
    <w:rsid w:val="004A5EC4"/>
    <w:rsid w:val="004A6934"/>
    <w:rsid w:val="004A6A5C"/>
    <w:rsid w:val="004B06B1"/>
    <w:rsid w:val="004B0B6A"/>
    <w:rsid w:val="004B1526"/>
    <w:rsid w:val="004B1958"/>
    <w:rsid w:val="004B21D4"/>
    <w:rsid w:val="004B2BEC"/>
    <w:rsid w:val="004B3B05"/>
    <w:rsid w:val="004B5926"/>
    <w:rsid w:val="004B70E5"/>
    <w:rsid w:val="004C00C9"/>
    <w:rsid w:val="004C02C5"/>
    <w:rsid w:val="004C0829"/>
    <w:rsid w:val="004C08CB"/>
    <w:rsid w:val="004C17F1"/>
    <w:rsid w:val="004C1DDF"/>
    <w:rsid w:val="004C2706"/>
    <w:rsid w:val="004C2962"/>
    <w:rsid w:val="004C32B5"/>
    <w:rsid w:val="004C4915"/>
    <w:rsid w:val="004C4DD8"/>
    <w:rsid w:val="004C505B"/>
    <w:rsid w:val="004C62D3"/>
    <w:rsid w:val="004C6CE4"/>
    <w:rsid w:val="004C74EC"/>
    <w:rsid w:val="004D0AD4"/>
    <w:rsid w:val="004D1539"/>
    <w:rsid w:val="004D1C66"/>
    <w:rsid w:val="004D42BD"/>
    <w:rsid w:val="004D48E6"/>
    <w:rsid w:val="004D5213"/>
    <w:rsid w:val="004D59D0"/>
    <w:rsid w:val="004D6F45"/>
    <w:rsid w:val="004D73FC"/>
    <w:rsid w:val="004D79BE"/>
    <w:rsid w:val="004E074E"/>
    <w:rsid w:val="004E0C81"/>
    <w:rsid w:val="004E1C8B"/>
    <w:rsid w:val="004E3544"/>
    <w:rsid w:val="004E35D1"/>
    <w:rsid w:val="004E4E9E"/>
    <w:rsid w:val="004E5982"/>
    <w:rsid w:val="004E6B6E"/>
    <w:rsid w:val="004F1EED"/>
    <w:rsid w:val="004F22BC"/>
    <w:rsid w:val="004F345C"/>
    <w:rsid w:val="004F38C3"/>
    <w:rsid w:val="004F48E5"/>
    <w:rsid w:val="004F52C4"/>
    <w:rsid w:val="004F5B5B"/>
    <w:rsid w:val="004F5D83"/>
    <w:rsid w:val="004F72DD"/>
    <w:rsid w:val="00501794"/>
    <w:rsid w:val="00501827"/>
    <w:rsid w:val="00502317"/>
    <w:rsid w:val="0050327A"/>
    <w:rsid w:val="00504ABF"/>
    <w:rsid w:val="00504C17"/>
    <w:rsid w:val="00505F0C"/>
    <w:rsid w:val="00506417"/>
    <w:rsid w:val="00507122"/>
    <w:rsid w:val="00507C03"/>
    <w:rsid w:val="005101B5"/>
    <w:rsid w:val="005107BB"/>
    <w:rsid w:val="00510B11"/>
    <w:rsid w:val="00512455"/>
    <w:rsid w:val="00513991"/>
    <w:rsid w:val="0051465C"/>
    <w:rsid w:val="00515DCE"/>
    <w:rsid w:val="00516570"/>
    <w:rsid w:val="0051769C"/>
    <w:rsid w:val="00517BD1"/>
    <w:rsid w:val="005200ED"/>
    <w:rsid w:val="005209F9"/>
    <w:rsid w:val="00521448"/>
    <w:rsid w:val="005215B5"/>
    <w:rsid w:val="00521941"/>
    <w:rsid w:val="0052214A"/>
    <w:rsid w:val="00522550"/>
    <w:rsid w:val="00524621"/>
    <w:rsid w:val="005254D5"/>
    <w:rsid w:val="0052630E"/>
    <w:rsid w:val="005263FA"/>
    <w:rsid w:val="00526993"/>
    <w:rsid w:val="00526E02"/>
    <w:rsid w:val="005277EE"/>
    <w:rsid w:val="0052784F"/>
    <w:rsid w:val="00527F2D"/>
    <w:rsid w:val="00530D3F"/>
    <w:rsid w:val="005311D7"/>
    <w:rsid w:val="00531397"/>
    <w:rsid w:val="005327ED"/>
    <w:rsid w:val="005333D7"/>
    <w:rsid w:val="005341CE"/>
    <w:rsid w:val="005342F2"/>
    <w:rsid w:val="0053490B"/>
    <w:rsid w:val="00536A52"/>
    <w:rsid w:val="00536CF2"/>
    <w:rsid w:val="00536F92"/>
    <w:rsid w:val="00537D6A"/>
    <w:rsid w:val="0054154D"/>
    <w:rsid w:val="00541C70"/>
    <w:rsid w:val="00541ECD"/>
    <w:rsid w:val="0054411D"/>
    <w:rsid w:val="0054415E"/>
    <w:rsid w:val="00544235"/>
    <w:rsid w:val="00544AB9"/>
    <w:rsid w:val="00545351"/>
    <w:rsid w:val="00545CE8"/>
    <w:rsid w:val="00545E45"/>
    <w:rsid w:val="00545F05"/>
    <w:rsid w:val="005460DA"/>
    <w:rsid w:val="00546910"/>
    <w:rsid w:val="00546FC0"/>
    <w:rsid w:val="00547580"/>
    <w:rsid w:val="00552441"/>
    <w:rsid w:val="00552FBA"/>
    <w:rsid w:val="005539DC"/>
    <w:rsid w:val="005543A0"/>
    <w:rsid w:val="00555B7C"/>
    <w:rsid w:val="005565F0"/>
    <w:rsid w:val="00556E30"/>
    <w:rsid w:val="00557A00"/>
    <w:rsid w:val="0056081E"/>
    <w:rsid w:val="00561A7A"/>
    <w:rsid w:val="00562627"/>
    <w:rsid w:val="00562B01"/>
    <w:rsid w:val="0056360C"/>
    <w:rsid w:val="005637FC"/>
    <w:rsid w:val="005641CC"/>
    <w:rsid w:val="005651C6"/>
    <w:rsid w:val="005652B6"/>
    <w:rsid w:val="00565442"/>
    <w:rsid w:val="00565FA2"/>
    <w:rsid w:val="0056665C"/>
    <w:rsid w:val="005667A2"/>
    <w:rsid w:val="00570958"/>
    <w:rsid w:val="00570CEE"/>
    <w:rsid w:val="00575CE1"/>
    <w:rsid w:val="0057791A"/>
    <w:rsid w:val="00577B4E"/>
    <w:rsid w:val="005801CD"/>
    <w:rsid w:val="0058036E"/>
    <w:rsid w:val="00580BF9"/>
    <w:rsid w:val="00580C26"/>
    <w:rsid w:val="0058309E"/>
    <w:rsid w:val="0058341F"/>
    <w:rsid w:val="00583D19"/>
    <w:rsid w:val="00584615"/>
    <w:rsid w:val="00585272"/>
    <w:rsid w:val="005858D9"/>
    <w:rsid w:val="00585F11"/>
    <w:rsid w:val="00586129"/>
    <w:rsid w:val="00586627"/>
    <w:rsid w:val="0058674C"/>
    <w:rsid w:val="00586FBF"/>
    <w:rsid w:val="005871E1"/>
    <w:rsid w:val="00587B0A"/>
    <w:rsid w:val="0059045A"/>
    <w:rsid w:val="00590F14"/>
    <w:rsid w:val="00592FC5"/>
    <w:rsid w:val="00593B68"/>
    <w:rsid w:val="00593D75"/>
    <w:rsid w:val="005949CF"/>
    <w:rsid w:val="00595294"/>
    <w:rsid w:val="00595B48"/>
    <w:rsid w:val="00596ABB"/>
    <w:rsid w:val="00596FA9"/>
    <w:rsid w:val="005A0E13"/>
    <w:rsid w:val="005A0EDD"/>
    <w:rsid w:val="005A1101"/>
    <w:rsid w:val="005A11C4"/>
    <w:rsid w:val="005A2138"/>
    <w:rsid w:val="005A40CF"/>
    <w:rsid w:val="005A4B91"/>
    <w:rsid w:val="005A4BE7"/>
    <w:rsid w:val="005A5111"/>
    <w:rsid w:val="005A5160"/>
    <w:rsid w:val="005A53D9"/>
    <w:rsid w:val="005A66EE"/>
    <w:rsid w:val="005A72A6"/>
    <w:rsid w:val="005A776E"/>
    <w:rsid w:val="005B04B8"/>
    <w:rsid w:val="005B1B71"/>
    <w:rsid w:val="005B1F7B"/>
    <w:rsid w:val="005B243A"/>
    <w:rsid w:val="005B2539"/>
    <w:rsid w:val="005B2810"/>
    <w:rsid w:val="005B2BC2"/>
    <w:rsid w:val="005B36B1"/>
    <w:rsid w:val="005B4A17"/>
    <w:rsid w:val="005B55F3"/>
    <w:rsid w:val="005B7D06"/>
    <w:rsid w:val="005B7D6A"/>
    <w:rsid w:val="005C0168"/>
    <w:rsid w:val="005C025F"/>
    <w:rsid w:val="005C0BCD"/>
    <w:rsid w:val="005C1199"/>
    <w:rsid w:val="005C15DD"/>
    <w:rsid w:val="005C34EE"/>
    <w:rsid w:val="005C3C01"/>
    <w:rsid w:val="005C3CEF"/>
    <w:rsid w:val="005C52C2"/>
    <w:rsid w:val="005C5315"/>
    <w:rsid w:val="005C63AB"/>
    <w:rsid w:val="005C6517"/>
    <w:rsid w:val="005C667D"/>
    <w:rsid w:val="005C76EF"/>
    <w:rsid w:val="005D1272"/>
    <w:rsid w:val="005D187A"/>
    <w:rsid w:val="005D28F0"/>
    <w:rsid w:val="005D34DA"/>
    <w:rsid w:val="005D3576"/>
    <w:rsid w:val="005D42EA"/>
    <w:rsid w:val="005D4CD7"/>
    <w:rsid w:val="005D4F10"/>
    <w:rsid w:val="005D5C98"/>
    <w:rsid w:val="005D75DA"/>
    <w:rsid w:val="005E1307"/>
    <w:rsid w:val="005E13E7"/>
    <w:rsid w:val="005E1A39"/>
    <w:rsid w:val="005E1BF0"/>
    <w:rsid w:val="005E2104"/>
    <w:rsid w:val="005E46C0"/>
    <w:rsid w:val="005E4EA8"/>
    <w:rsid w:val="005E5774"/>
    <w:rsid w:val="005E645D"/>
    <w:rsid w:val="005E667E"/>
    <w:rsid w:val="005E765A"/>
    <w:rsid w:val="005F0DEA"/>
    <w:rsid w:val="005F1CFC"/>
    <w:rsid w:val="005F3BE7"/>
    <w:rsid w:val="005F44B6"/>
    <w:rsid w:val="005F4595"/>
    <w:rsid w:val="005F4E4F"/>
    <w:rsid w:val="005F5709"/>
    <w:rsid w:val="005F595D"/>
    <w:rsid w:val="005F5BB6"/>
    <w:rsid w:val="005F5E13"/>
    <w:rsid w:val="006019A8"/>
    <w:rsid w:val="00602649"/>
    <w:rsid w:val="00603049"/>
    <w:rsid w:val="006032D4"/>
    <w:rsid w:val="006036C0"/>
    <w:rsid w:val="00603BC5"/>
    <w:rsid w:val="00604432"/>
    <w:rsid w:val="0060560F"/>
    <w:rsid w:val="00605834"/>
    <w:rsid w:val="0060620A"/>
    <w:rsid w:val="00606B2A"/>
    <w:rsid w:val="00607AA7"/>
    <w:rsid w:val="00610EB1"/>
    <w:rsid w:val="006115DA"/>
    <w:rsid w:val="00612E2E"/>
    <w:rsid w:val="00613ADE"/>
    <w:rsid w:val="006143B6"/>
    <w:rsid w:val="00615B87"/>
    <w:rsid w:val="006166F4"/>
    <w:rsid w:val="00616B2B"/>
    <w:rsid w:val="00617061"/>
    <w:rsid w:val="00617A8F"/>
    <w:rsid w:val="00620889"/>
    <w:rsid w:val="00620B12"/>
    <w:rsid w:val="00622017"/>
    <w:rsid w:val="00624333"/>
    <w:rsid w:val="00624B7F"/>
    <w:rsid w:val="00624E4D"/>
    <w:rsid w:val="00625A43"/>
    <w:rsid w:val="006264E9"/>
    <w:rsid w:val="00626E39"/>
    <w:rsid w:val="00627BEB"/>
    <w:rsid w:val="006307F5"/>
    <w:rsid w:val="00630C57"/>
    <w:rsid w:val="00630E2F"/>
    <w:rsid w:val="0063144E"/>
    <w:rsid w:val="00631DBB"/>
    <w:rsid w:val="00631DEF"/>
    <w:rsid w:val="00631FF0"/>
    <w:rsid w:val="006334A7"/>
    <w:rsid w:val="00633721"/>
    <w:rsid w:val="00634771"/>
    <w:rsid w:val="00636A00"/>
    <w:rsid w:val="006375E5"/>
    <w:rsid w:val="006378EF"/>
    <w:rsid w:val="00637902"/>
    <w:rsid w:val="00640A55"/>
    <w:rsid w:val="006419FB"/>
    <w:rsid w:val="00643083"/>
    <w:rsid w:val="00643B6D"/>
    <w:rsid w:val="0064638E"/>
    <w:rsid w:val="00650055"/>
    <w:rsid w:val="00650D74"/>
    <w:rsid w:val="00651784"/>
    <w:rsid w:val="006519DA"/>
    <w:rsid w:val="00651E2E"/>
    <w:rsid w:val="006550B4"/>
    <w:rsid w:val="006559A5"/>
    <w:rsid w:val="00656864"/>
    <w:rsid w:val="00657061"/>
    <w:rsid w:val="0065759D"/>
    <w:rsid w:val="006579D7"/>
    <w:rsid w:val="00657FC2"/>
    <w:rsid w:val="0066001C"/>
    <w:rsid w:val="00660495"/>
    <w:rsid w:val="0066168F"/>
    <w:rsid w:val="00661DFA"/>
    <w:rsid w:val="00662A75"/>
    <w:rsid w:val="00663A16"/>
    <w:rsid w:val="00664B2C"/>
    <w:rsid w:val="00664BC4"/>
    <w:rsid w:val="00665206"/>
    <w:rsid w:val="00665A95"/>
    <w:rsid w:val="00665C0B"/>
    <w:rsid w:val="006662DC"/>
    <w:rsid w:val="006673C0"/>
    <w:rsid w:val="00670263"/>
    <w:rsid w:val="00670857"/>
    <w:rsid w:val="00670EC9"/>
    <w:rsid w:val="00671C6B"/>
    <w:rsid w:val="006721F8"/>
    <w:rsid w:val="00672609"/>
    <w:rsid w:val="00672D10"/>
    <w:rsid w:val="00672D57"/>
    <w:rsid w:val="00672D74"/>
    <w:rsid w:val="00674C75"/>
    <w:rsid w:val="00675345"/>
    <w:rsid w:val="00676087"/>
    <w:rsid w:val="00676F64"/>
    <w:rsid w:val="006774EE"/>
    <w:rsid w:val="006811F6"/>
    <w:rsid w:val="00681729"/>
    <w:rsid w:val="00681839"/>
    <w:rsid w:val="00681968"/>
    <w:rsid w:val="00682266"/>
    <w:rsid w:val="00682300"/>
    <w:rsid w:val="006834A6"/>
    <w:rsid w:val="0068352A"/>
    <w:rsid w:val="006837D7"/>
    <w:rsid w:val="00683F55"/>
    <w:rsid w:val="00684387"/>
    <w:rsid w:val="0068519D"/>
    <w:rsid w:val="006860D8"/>
    <w:rsid w:val="006861B5"/>
    <w:rsid w:val="00686767"/>
    <w:rsid w:val="00686A4F"/>
    <w:rsid w:val="00692009"/>
    <w:rsid w:val="00692602"/>
    <w:rsid w:val="00693CF4"/>
    <w:rsid w:val="0069530E"/>
    <w:rsid w:val="00695439"/>
    <w:rsid w:val="006958EA"/>
    <w:rsid w:val="00695C53"/>
    <w:rsid w:val="00695E1E"/>
    <w:rsid w:val="00696F5D"/>
    <w:rsid w:val="0069785E"/>
    <w:rsid w:val="00697C71"/>
    <w:rsid w:val="006A025C"/>
    <w:rsid w:val="006A0DDB"/>
    <w:rsid w:val="006A16EB"/>
    <w:rsid w:val="006A1A44"/>
    <w:rsid w:val="006A2C3C"/>
    <w:rsid w:val="006A2ECD"/>
    <w:rsid w:val="006A35F4"/>
    <w:rsid w:val="006A3736"/>
    <w:rsid w:val="006A402E"/>
    <w:rsid w:val="006A58BE"/>
    <w:rsid w:val="006A623A"/>
    <w:rsid w:val="006A6A17"/>
    <w:rsid w:val="006A6E34"/>
    <w:rsid w:val="006A748B"/>
    <w:rsid w:val="006A763D"/>
    <w:rsid w:val="006B004B"/>
    <w:rsid w:val="006B007F"/>
    <w:rsid w:val="006B15A8"/>
    <w:rsid w:val="006B2630"/>
    <w:rsid w:val="006B2A97"/>
    <w:rsid w:val="006B3C6A"/>
    <w:rsid w:val="006B4073"/>
    <w:rsid w:val="006B503A"/>
    <w:rsid w:val="006B524B"/>
    <w:rsid w:val="006B564E"/>
    <w:rsid w:val="006B6695"/>
    <w:rsid w:val="006B7D1F"/>
    <w:rsid w:val="006C00EB"/>
    <w:rsid w:val="006C0BDE"/>
    <w:rsid w:val="006C1034"/>
    <w:rsid w:val="006C13CD"/>
    <w:rsid w:val="006C17ED"/>
    <w:rsid w:val="006C20AC"/>
    <w:rsid w:val="006C2603"/>
    <w:rsid w:val="006C38E0"/>
    <w:rsid w:val="006C4A89"/>
    <w:rsid w:val="006C55B0"/>
    <w:rsid w:val="006C7EF9"/>
    <w:rsid w:val="006D06FE"/>
    <w:rsid w:val="006D0FC4"/>
    <w:rsid w:val="006D0FEA"/>
    <w:rsid w:val="006D1A9B"/>
    <w:rsid w:val="006D3241"/>
    <w:rsid w:val="006D41DE"/>
    <w:rsid w:val="006D48D1"/>
    <w:rsid w:val="006D4C54"/>
    <w:rsid w:val="006D4F69"/>
    <w:rsid w:val="006D6809"/>
    <w:rsid w:val="006D73A0"/>
    <w:rsid w:val="006D7A2F"/>
    <w:rsid w:val="006E00AC"/>
    <w:rsid w:val="006E1782"/>
    <w:rsid w:val="006E379D"/>
    <w:rsid w:val="006E5549"/>
    <w:rsid w:val="006E6387"/>
    <w:rsid w:val="006E66B2"/>
    <w:rsid w:val="006E6EFD"/>
    <w:rsid w:val="006E7322"/>
    <w:rsid w:val="006E7342"/>
    <w:rsid w:val="006E7802"/>
    <w:rsid w:val="006F15C1"/>
    <w:rsid w:val="006F19AC"/>
    <w:rsid w:val="006F2A37"/>
    <w:rsid w:val="006F4402"/>
    <w:rsid w:val="006F4807"/>
    <w:rsid w:val="006F4AAD"/>
    <w:rsid w:val="006F5A2F"/>
    <w:rsid w:val="006F5BD1"/>
    <w:rsid w:val="00702384"/>
    <w:rsid w:val="0070417E"/>
    <w:rsid w:val="007045C4"/>
    <w:rsid w:val="00705056"/>
    <w:rsid w:val="007057D0"/>
    <w:rsid w:val="00707486"/>
    <w:rsid w:val="00707B28"/>
    <w:rsid w:val="00707C1B"/>
    <w:rsid w:val="0071004D"/>
    <w:rsid w:val="0071014A"/>
    <w:rsid w:val="00710B0E"/>
    <w:rsid w:val="00711B85"/>
    <w:rsid w:val="007122D0"/>
    <w:rsid w:val="007124A9"/>
    <w:rsid w:val="00712B42"/>
    <w:rsid w:val="00712D62"/>
    <w:rsid w:val="0071342B"/>
    <w:rsid w:val="00713A75"/>
    <w:rsid w:val="00713E31"/>
    <w:rsid w:val="00714BBD"/>
    <w:rsid w:val="007158B1"/>
    <w:rsid w:val="00715D16"/>
    <w:rsid w:val="00716E8B"/>
    <w:rsid w:val="007205AA"/>
    <w:rsid w:val="00720925"/>
    <w:rsid w:val="00722D8F"/>
    <w:rsid w:val="00724713"/>
    <w:rsid w:val="007249AE"/>
    <w:rsid w:val="007270A6"/>
    <w:rsid w:val="007275C2"/>
    <w:rsid w:val="00727E2F"/>
    <w:rsid w:val="00730800"/>
    <w:rsid w:val="007327F2"/>
    <w:rsid w:val="00733E45"/>
    <w:rsid w:val="007340EB"/>
    <w:rsid w:val="00734A1D"/>
    <w:rsid w:val="00734F25"/>
    <w:rsid w:val="007350A7"/>
    <w:rsid w:val="007353E2"/>
    <w:rsid w:val="0073621E"/>
    <w:rsid w:val="00736808"/>
    <w:rsid w:val="00736950"/>
    <w:rsid w:val="00737DB4"/>
    <w:rsid w:val="00741C9C"/>
    <w:rsid w:val="0074273A"/>
    <w:rsid w:val="007444E8"/>
    <w:rsid w:val="00744991"/>
    <w:rsid w:val="00745D78"/>
    <w:rsid w:val="00747D28"/>
    <w:rsid w:val="00750A48"/>
    <w:rsid w:val="00752359"/>
    <w:rsid w:val="00753226"/>
    <w:rsid w:val="007534D3"/>
    <w:rsid w:val="007536F3"/>
    <w:rsid w:val="00753DE2"/>
    <w:rsid w:val="00754048"/>
    <w:rsid w:val="0075530C"/>
    <w:rsid w:val="00757823"/>
    <w:rsid w:val="007613FC"/>
    <w:rsid w:val="007648F7"/>
    <w:rsid w:val="00764E8E"/>
    <w:rsid w:val="007654F7"/>
    <w:rsid w:val="00765F21"/>
    <w:rsid w:val="007667C2"/>
    <w:rsid w:val="0076694D"/>
    <w:rsid w:val="00766B7A"/>
    <w:rsid w:val="00766D55"/>
    <w:rsid w:val="00766E0B"/>
    <w:rsid w:val="007670D7"/>
    <w:rsid w:val="00767B06"/>
    <w:rsid w:val="00770999"/>
    <w:rsid w:val="00771A7D"/>
    <w:rsid w:val="00772D3F"/>
    <w:rsid w:val="00773A6A"/>
    <w:rsid w:val="00773BA6"/>
    <w:rsid w:val="00774DA7"/>
    <w:rsid w:val="007757B5"/>
    <w:rsid w:val="00775CBE"/>
    <w:rsid w:val="00775FCE"/>
    <w:rsid w:val="00776212"/>
    <w:rsid w:val="0078030A"/>
    <w:rsid w:val="00780FC8"/>
    <w:rsid w:val="00781345"/>
    <w:rsid w:val="00781CC2"/>
    <w:rsid w:val="00781D9B"/>
    <w:rsid w:val="00782086"/>
    <w:rsid w:val="0078336B"/>
    <w:rsid w:val="00783726"/>
    <w:rsid w:val="00783A01"/>
    <w:rsid w:val="00783C09"/>
    <w:rsid w:val="00784593"/>
    <w:rsid w:val="00785148"/>
    <w:rsid w:val="007855BD"/>
    <w:rsid w:val="00785969"/>
    <w:rsid w:val="00786CF9"/>
    <w:rsid w:val="00786D4B"/>
    <w:rsid w:val="00786E55"/>
    <w:rsid w:val="00787156"/>
    <w:rsid w:val="007871A2"/>
    <w:rsid w:val="0078743A"/>
    <w:rsid w:val="00790327"/>
    <w:rsid w:val="00790681"/>
    <w:rsid w:val="00790D5D"/>
    <w:rsid w:val="00791893"/>
    <w:rsid w:val="00791ED3"/>
    <w:rsid w:val="0079430E"/>
    <w:rsid w:val="00794474"/>
    <w:rsid w:val="00795710"/>
    <w:rsid w:val="00796440"/>
    <w:rsid w:val="007A191E"/>
    <w:rsid w:val="007A268E"/>
    <w:rsid w:val="007A35BA"/>
    <w:rsid w:val="007A39AC"/>
    <w:rsid w:val="007A3D7F"/>
    <w:rsid w:val="007A72CC"/>
    <w:rsid w:val="007A73AB"/>
    <w:rsid w:val="007A7FF4"/>
    <w:rsid w:val="007B043C"/>
    <w:rsid w:val="007B16F4"/>
    <w:rsid w:val="007B1705"/>
    <w:rsid w:val="007B245C"/>
    <w:rsid w:val="007B317A"/>
    <w:rsid w:val="007B3563"/>
    <w:rsid w:val="007B4255"/>
    <w:rsid w:val="007B4C05"/>
    <w:rsid w:val="007B5C40"/>
    <w:rsid w:val="007B6872"/>
    <w:rsid w:val="007B7A28"/>
    <w:rsid w:val="007C07C4"/>
    <w:rsid w:val="007C1CA0"/>
    <w:rsid w:val="007C2ABF"/>
    <w:rsid w:val="007C2FCA"/>
    <w:rsid w:val="007C33BF"/>
    <w:rsid w:val="007C3695"/>
    <w:rsid w:val="007C48BC"/>
    <w:rsid w:val="007C50C9"/>
    <w:rsid w:val="007C5D04"/>
    <w:rsid w:val="007C5D64"/>
    <w:rsid w:val="007C6C5F"/>
    <w:rsid w:val="007C769A"/>
    <w:rsid w:val="007D0C22"/>
    <w:rsid w:val="007D2586"/>
    <w:rsid w:val="007D2848"/>
    <w:rsid w:val="007D38CD"/>
    <w:rsid w:val="007D397C"/>
    <w:rsid w:val="007D4CAA"/>
    <w:rsid w:val="007D77A3"/>
    <w:rsid w:val="007D79CD"/>
    <w:rsid w:val="007E01A1"/>
    <w:rsid w:val="007E03F1"/>
    <w:rsid w:val="007E0720"/>
    <w:rsid w:val="007E072B"/>
    <w:rsid w:val="007E1705"/>
    <w:rsid w:val="007E17B2"/>
    <w:rsid w:val="007E1965"/>
    <w:rsid w:val="007E2EE5"/>
    <w:rsid w:val="007E303D"/>
    <w:rsid w:val="007E3228"/>
    <w:rsid w:val="007E34D1"/>
    <w:rsid w:val="007E3C80"/>
    <w:rsid w:val="007E4623"/>
    <w:rsid w:val="007E5186"/>
    <w:rsid w:val="007E55A0"/>
    <w:rsid w:val="007E598D"/>
    <w:rsid w:val="007E5E77"/>
    <w:rsid w:val="007E6B55"/>
    <w:rsid w:val="007E70AD"/>
    <w:rsid w:val="007E7DE8"/>
    <w:rsid w:val="007E7E53"/>
    <w:rsid w:val="007E7EAE"/>
    <w:rsid w:val="007F26BF"/>
    <w:rsid w:val="007F2E06"/>
    <w:rsid w:val="007F784D"/>
    <w:rsid w:val="0080000F"/>
    <w:rsid w:val="0080079B"/>
    <w:rsid w:val="008007D3"/>
    <w:rsid w:val="0080085F"/>
    <w:rsid w:val="00800D94"/>
    <w:rsid w:val="008025C3"/>
    <w:rsid w:val="00802757"/>
    <w:rsid w:val="00803DBD"/>
    <w:rsid w:val="00804D70"/>
    <w:rsid w:val="008052FC"/>
    <w:rsid w:val="00805E38"/>
    <w:rsid w:val="008060E2"/>
    <w:rsid w:val="008073F2"/>
    <w:rsid w:val="00811013"/>
    <w:rsid w:val="008115B6"/>
    <w:rsid w:val="00812A62"/>
    <w:rsid w:val="0081587C"/>
    <w:rsid w:val="00816E43"/>
    <w:rsid w:val="008224A8"/>
    <w:rsid w:val="0082251F"/>
    <w:rsid w:val="008241D8"/>
    <w:rsid w:val="0082524D"/>
    <w:rsid w:val="00825AE6"/>
    <w:rsid w:val="0082617F"/>
    <w:rsid w:val="008265B7"/>
    <w:rsid w:val="00826630"/>
    <w:rsid w:val="00826CED"/>
    <w:rsid w:val="008274F5"/>
    <w:rsid w:val="00827ACF"/>
    <w:rsid w:val="0083041D"/>
    <w:rsid w:val="00831234"/>
    <w:rsid w:val="00833131"/>
    <w:rsid w:val="00833BC9"/>
    <w:rsid w:val="00834985"/>
    <w:rsid w:val="00836654"/>
    <w:rsid w:val="00840EC7"/>
    <w:rsid w:val="0084189C"/>
    <w:rsid w:val="008422DF"/>
    <w:rsid w:val="00842B46"/>
    <w:rsid w:val="00844417"/>
    <w:rsid w:val="0084574A"/>
    <w:rsid w:val="00846B3D"/>
    <w:rsid w:val="008476BE"/>
    <w:rsid w:val="00847823"/>
    <w:rsid w:val="00847F7F"/>
    <w:rsid w:val="00851487"/>
    <w:rsid w:val="00851A80"/>
    <w:rsid w:val="00852AD0"/>
    <w:rsid w:val="00852BCB"/>
    <w:rsid w:val="008534B4"/>
    <w:rsid w:val="008547D6"/>
    <w:rsid w:val="0085488E"/>
    <w:rsid w:val="008558E2"/>
    <w:rsid w:val="008558F5"/>
    <w:rsid w:val="00856285"/>
    <w:rsid w:val="00856D15"/>
    <w:rsid w:val="00860482"/>
    <w:rsid w:val="00860929"/>
    <w:rsid w:val="00861955"/>
    <w:rsid w:val="00862709"/>
    <w:rsid w:val="00863DF4"/>
    <w:rsid w:val="00864171"/>
    <w:rsid w:val="008643A7"/>
    <w:rsid w:val="008647ED"/>
    <w:rsid w:val="008669CC"/>
    <w:rsid w:val="008675B9"/>
    <w:rsid w:val="00867B9C"/>
    <w:rsid w:val="00870768"/>
    <w:rsid w:val="00870F53"/>
    <w:rsid w:val="00872471"/>
    <w:rsid w:val="00872ED4"/>
    <w:rsid w:val="008734CE"/>
    <w:rsid w:val="00873539"/>
    <w:rsid w:val="00873C7B"/>
    <w:rsid w:val="00873E75"/>
    <w:rsid w:val="008757D4"/>
    <w:rsid w:val="0087748E"/>
    <w:rsid w:val="00877980"/>
    <w:rsid w:val="00877CA8"/>
    <w:rsid w:val="00877CF7"/>
    <w:rsid w:val="00883462"/>
    <w:rsid w:val="00884535"/>
    <w:rsid w:val="00885A38"/>
    <w:rsid w:val="00885D4D"/>
    <w:rsid w:val="00885E88"/>
    <w:rsid w:val="008862DB"/>
    <w:rsid w:val="008900B9"/>
    <w:rsid w:val="00891085"/>
    <w:rsid w:val="00891B8A"/>
    <w:rsid w:val="00891E68"/>
    <w:rsid w:val="00891F59"/>
    <w:rsid w:val="00897551"/>
    <w:rsid w:val="008A05EE"/>
    <w:rsid w:val="008A1419"/>
    <w:rsid w:val="008A1D51"/>
    <w:rsid w:val="008A2C47"/>
    <w:rsid w:val="008A3041"/>
    <w:rsid w:val="008A359B"/>
    <w:rsid w:val="008A4057"/>
    <w:rsid w:val="008A5A6A"/>
    <w:rsid w:val="008A6405"/>
    <w:rsid w:val="008A731C"/>
    <w:rsid w:val="008A7417"/>
    <w:rsid w:val="008B0459"/>
    <w:rsid w:val="008B1B13"/>
    <w:rsid w:val="008B31BC"/>
    <w:rsid w:val="008B3F9B"/>
    <w:rsid w:val="008B4983"/>
    <w:rsid w:val="008B50AD"/>
    <w:rsid w:val="008B55CD"/>
    <w:rsid w:val="008B6176"/>
    <w:rsid w:val="008C02D0"/>
    <w:rsid w:val="008C0932"/>
    <w:rsid w:val="008C1FEF"/>
    <w:rsid w:val="008C248F"/>
    <w:rsid w:val="008C251F"/>
    <w:rsid w:val="008C2B10"/>
    <w:rsid w:val="008C334E"/>
    <w:rsid w:val="008C3356"/>
    <w:rsid w:val="008C5465"/>
    <w:rsid w:val="008C58B2"/>
    <w:rsid w:val="008C5D83"/>
    <w:rsid w:val="008C64B4"/>
    <w:rsid w:val="008C6B6F"/>
    <w:rsid w:val="008D0387"/>
    <w:rsid w:val="008D05B1"/>
    <w:rsid w:val="008D0ED5"/>
    <w:rsid w:val="008D24E4"/>
    <w:rsid w:val="008D2C76"/>
    <w:rsid w:val="008D2E29"/>
    <w:rsid w:val="008D5AB8"/>
    <w:rsid w:val="008D6832"/>
    <w:rsid w:val="008D69F0"/>
    <w:rsid w:val="008D6CBE"/>
    <w:rsid w:val="008D7502"/>
    <w:rsid w:val="008E13A7"/>
    <w:rsid w:val="008E360B"/>
    <w:rsid w:val="008E4BAD"/>
    <w:rsid w:val="008E511D"/>
    <w:rsid w:val="008E59CA"/>
    <w:rsid w:val="008E5F06"/>
    <w:rsid w:val="008E6BF2"/>
    <w:rsid w:val="008F0C59"/>
    <w:rsid w:val="008F2FF8"/>
    <w:rsid w:val="008F3105"/>
    <w:rsid w:val="008F46DE"/>
    <w:rsid w:val="008F4F09"/>
    <w:rsid w:val="008F5249"/>
    <w:rsid w:val="008F56A3"/>
    <w:rsid w:val="008F66D7"/>
    <w:rsid w:val="008F72D2"/>
    <w:rsid w:val="008F7909"/>
    <w:rsid w:val="009004E0"/>
    <w:rsid w:val="009015B3"/>
    <w:rsid w:val="00902233"/>
    <w:rsid w:val="009027BA"/>
    <w:rsid w:val="00904FCD"/>
    <w:rsid w:val="00905F79"/>
    <w:rsid w:val="009062B4"/>
    <w:rsid w:val="0090640A"/>
    <w:rsid w:val="0090677E"/>
    <w:rsid w:val="009077CA"/>
    <w:rsid w:val="00910556"/>
    <w:rsid w:val="00910EFD"/>
    <w:rsid w:val="00911F48"/>
    <w:rsid w:val="009123F0"/>
    <w:rsid w:val="0091299D"/>
    <w:rsid w:val="00913665"/>
    <w:rsid w:val="00913962"/>
    <w:rsid w:val="00913C00"/>
    <w:rsid w:val="00914679"/>
    <w:rsid w:val="009165D6"/>
    <w:rsid w:val="009177C9"/>
    <w:rsid w:val="00917BAB"/>
    <w:rsid w:val="00917D2A"/>
    <w:rsid w:val="00921C5D"/>
    <w:rsid w:val="00922EBC"/>
    <w:rsid w:val="00923911"/>
    <w:rsid w:val="00924E66"/>
    <w:rsid w:val="009257FB"/>
    <w:rsid w:val="00925868"/>
    <w:rsid w:val="00925A9D"/>
    <w:rsid w:val="00926772"/>
    <w:rsid w:val="00926786"/>
    <w:rsid w:val="0093017F"/>
    <w:rsid w:val="009336C1"/>
    <w:rsid w:val="00933B1C"/>
    <w:rsid w:val="00934FF6"/>
    <w:rsid w:val="009371C8"/>
    <w:rsid w:val="0093736D"/>
    <w:rsid w:val="00940447"/>
    <w:rsid w:val="00940741"/>
    <w:rsid w:val="009407C8"/>
    <w:rsid w:val="009411B0"/>
    <w:rsid w:val="00941F99"/>
    <w:rsid w:val="009420FF"/>
    <w:rsid w:val="00943858"/>
    <w:rsid w:val="00943AB6"/>
    <w:rsid w:val="009450D6"/>
    <w:rsid w:val="009454A2"/>
    <w:rsid w:val="009478D7"/>
    <w:rsid w:val="00947D5F"/>
    <w:rsid w:val="009501D3"/>
    <w:rsid w:val="0095026B"/>
    <w:rsid w:val="009512F9"/>
    <w:rsid w:val="00951708"/>
    <w:rsid w:val="00951BF2"/>
    <w:rsid w:val="009522BD"/>
    <w:rsid w:val="00952A3B"/>
    <w:rsid w:val="0095333B"/>
    <w:rsid w:val="00954105"/>
    <w:rsid w:val="0095460D"/>
    <w:rsid w:val="00954821"/>
    <w:rsid w:val="00956566"/>
    <w:rsid w:val="0095785F"/>
    <w:rsid w:val="00957FB6"/>
    <w:rsid w:val="009602F4"/>
    <w:rsid w:val="00960AF4"/>
    <w:rsid w:val="00960BC4"/>
    <w:rsid w:val="00961F5A"/>
    <w:rsid w:val="009639C2"/>
    <w:rsid w:val="00963D96"/>
    <w:rsid w:val="0096414B"/>
    <w:rsid w:val="00964B6A"/>
    <w:rsid w:val="009652DC"/>
    <w:rsid w:val="00965722"/>
    <w:rsid w:val="00965F8D"/>
    <w:rsid w:val="009669B6"/>
    <w:rsid w:val="00966D14"/>
    <w:rsid w:val="00966EFF"/>
    <w:rsid w:val="009672F3"/>
    <w:rsid w:val="00967A7D"/>
    <w:rsid w:val="00967B7B"/>
    <w:rsid w:val="00970C83"/>
    <w:rsid w:val="009714FB"/>
    <w:rsid w:val="009720BB"/>
    <w:rsid w:val="009721F0"/>
    <w:rsid w:val="009722E1"/>
    <w:rsid w:val="00972E70"/>
    <w:rsid w:val="00973D2B"/>
    <w:rsid w:val="00974D0D"/>
    <w:rsid w:val="009755A6"/>
    <w:rsid w:val="00975A01"/>
    <w:rsid w:val="00976132"/>
    <w:rsid w:val="009764BB"/>
    <w:rsid w:val="00976A2B"/>
    <w:rsid w:val="00977897"/>
    <w:rsid w:val="00980ADA"/>
    <w:rsid w:val="00981B56"/>
    <w:rsid w:val="0098294E"/>
    <w:rsid w:val="00982A31"/>
    <w:rsid w:val="00982C4A"/>
    <w:rsid w:val="0098418E"/>
    <w:rsid w:val="00986753"/>
    <w:rsid w:val="0098690C"/>
    <w:rsid w:val="00986F22"/>
    <w:rsid w:val="00992232"/>
    <w:rsid w:val="00993937"/>
    <w:rsid w:val="00994A27"/>
    <w:rsid w:val="00994D29"/>
    <w:rsid w:val="00995256"/>
    <w:rsid w:val="00997442"/>
    <w:rsid w:val="009974CC"/>
    <w:rsid w:val="00997847"/>
    <w:rsid w:val="009A01AC"/>
    <w:rsid w:val="009A0B49"/>
    <w:rsid w:val="009A11BF"/>
    <w:rsid w:val="009A2FF5"/>
    <w:rsid w:val="009A3154"/>
    <w:rsid w:val="009A4053"/>
    <w:rsid w:val="009A41B5"/>
    <w:rsid w:val="009A42D7"/>
    <w:rsid w:val="009A47D3"/>
    <w:rsid w:val="009A5EDA"/>
    <w:rsid w:val="009A63B2"/>
    <w:rsid w:val="009B0D85"/>
    <w:rsid w:val="009B145E"/>
    <w:rsid w:val="009B186A"/>
    <w:rsid w:val="009B229A"/>
    <w:rsid w:val="009B27DC"/>
    <w:rsid w:val="009B4BE5"/>
    <w:rsid w:val="009B5F6B"/>
    <w:rsid w:val="009B6DA1"/>
    <w:rsid w:val="009B7432"/>
    <w:rsid w:val="009C0087"/>
    <w:rsid w:val="009C0278"/>
    <w:rsid w:val="009C0891"/>
    <w:rsid w:val="009C0E54"/>
    <w:rsid w:val="009C2AA7"/>
    <w:rsid w:val="009C361D"/>
    <w:rsid w:val="009C3C27"/>
    <w:rsid w:val="009C4157"/>
    <w:rsid w:val="009C49C2"/>
    <w:rsid w:val="009C60C5"/>
    <w:rsid w:val="009C6FA7"/>
    <w:rsid w:val="009C7509"/>
    <w:rsid w:val="009C76A9"/>
    <w:rsid w:val="009C7952"/>
    <w:rsid w:val="009C7BA9"/>
    <w:rsid w:val="009D08FB"/>
    <w:rsid w:val="009D0BEB"/>
    <w:rsid w:val="009D1F73"/>
    <w:rsid w:val="009D1FDB"/>
    <w:rsid w:val="009D1FF9"/>
    <w:rsid w:val="009D3528"/>
    <w:rsid w:val="009D37EC"/>
    <w:rsid w:val="009D5A65"/>
    <w:rsid w:val="009D7553"/>
    <w:rsid w:val="009D7997"/>
    <w:rsid w:val="009D7CEF"/>
    <w:rsid w:val="009E2C61"/>
    <w:rsid w:val="009E45EF"/>
    <w:rsid w:val="009E5F7E"/>
    <w:rsid w:val="009E64C6"/>
    <w:rsid w:val="009F0EB6"/>
    <w:rsid w:val="009F4DCD"/>
    <w:rsid w:val="009F501F"/>
    <w:rsid w:val="009F5FF8"/>
    <w:rsid w:val="009F6CCF"/>
    <w:rsid w:val="009F6DE5"/>
    <w:rsid w:val="009F79C6"/>
    <w:rsid w:val="00A00E53"/>
    <w:rsid w:val="00A01823"/>
    <w:rsid w:val="00A019CA"/>
    <w:rsid w:val="00A02417"/>
    <w:rsid w:val="00A0261A"/>
    <w:rsid w:val="00A03875"/>
    <w:rsid w:val="00A03ACD"/>
    <w:rsid w:val="00A03C33"/>
    <w:rsid w:val="00A04760"/>
    <w:rsid w:val="00A0486E"/>
    <w:rsid w:val="00A05404"/>
    <w:rsid w:val="00A05F6B"/>
    <w:rsid w:val="00A05FC8"/>
    <w:rsid w:val="00A0689A"/>
    <w:rsid w:val="00A10537"/>
    <w:rsid w:val="00A10D33"/>
    <w:rsid w:val="00A10DD5"/>
    <w:rsid w:val="00A1151A"/>
    <w:rsid w:val="00A120AD"/>
    <w:rsid w:val="00A12DF3"/>
    <w:rsid w:val="00A12E59"/>
    <w:rsid w:val="00A14D60"/>
    <w:rsid w:val="00A157F0"/>
    <w:rsid w:val="00A16085"/>
    <w:rsid w:val="00A16402"/>
    <w:rsid w:val="00A16DD3"/>
    <w:rsid w:val="00A16E2B"/>
    <w:rsid w:val="00A2088C"/>
    <w:rsid w:val="00A20BF6"/>
    <w:rsid w:val="00A20FA4"/>
    <w:rsid w:val="00A214EC"/>
    <w:rsid w:val="00A2246B"/>
    <w:rsid w:val="00A2277F"/>
    <w:rsid w:val="00A23704"/>
    <w:rsid w:val="00A25297"/>
    <w:rsid w:val="00A2568E"/>
    <w:rsid w:val="00A268C9"/>
    <w:rsid w:val="00A277F7"/>
    <w:rsid w:val="00A27E36"/>
    <w:rsid w:val="00A302AA"/>
    <w:rsid w:val="00A3206E"/>
    <w:rsid w:val="00A323FF"/>
    <w:rsid w:val="00A35766"/>
    <w:rsid w:val="00A36314"/>
    <w:rsid w:val="00A36DD7"/>
    <w:rsid w:val="00A37041"/>
    <w:rsid w:val="00A3757E"/>
    <w:rsid w:val="00A37849"/>
    <w:rsid w:val="00A42033"/>
    <w:rsid w:val="00A4203B"/>
    <w:rsid w:val="00A42DB3"/>
    <w:rsid w:val="00A43145"/>
    <w:rsid w:val="00A43B41"/>
    <w:rsid w:val="00A45940"/>
    <w:rsid w:val="00A475E8"/>
    <w:rsid w:val="00A5102A"/>
    <w:rsid w:val="00A51AC5"/>
    <w:rsid w:val="00A51B50"/>
    <w:rsid w:val="00A521CC"/>
    <w:rsid w:val="00A541E3"/>
    <w:rsid w:val="00A544EF"/>
    <w:rsid w:val="00A551E0"/>
    <w:rsid w:val="00A55BEE"/>
    <w:rsid w:val="00A56C49"/>
    <w:rsid w:val="00A56EA8"/>
    <w:rsid w:val="00A57651"/>
    <w:rsid w:val="00A61E00"/>
    <w:rsid w:val="00A62B08"/>
    <w:rsid w:val="00A62D44"/>
    <w:rsid w:val="00A63D77"/>
    <w:rsid w:val="00A641BE"/>
    <w:rsid w:val="00A64AEC"/>
    <w:rsid w:val="00A64E8A"/>
    <w:rsid w:val="00A65301"/>
    <w:rsid w:val="00A6673C"/>
    <w:rsid w:val="00A66EDC"/>
    <w:rsid w:val="00A6736F"/>
    <w:rsid w:val="00A70033"/>
    <w:rsid w:val="00A70598"/>
    <w:rsid w:val="00A720D9"/>
    <w:rsid w:val="00A726A6"/>
    <w:rsid w:val="00A7400E"/>
    <w:rsid w:val="00A740D1"/>
    <w:rsid w:val="00A75276"/>
    <w:rsid w:val="00A753C1"/>
    <w:rsid w:val="00A75E93"/>
    <w:rsid w:val="00A76941"/>
    <w:rsid w:val="00A77C04"/>
    <w:rsid w:val="00A77C49"/>
    <w:rsid w:val="00A80799"/>
    <w:rsid w:val="00A821CD"/>
    <w:rsid w:val="00A823C2"/>
    <w:rsid w:val="00A842A4"/>
    <w:rsid w:val="00A845F7"/>
    <w:rsid w:val="00A911D2"/>
    <w:rsid w:val="00A91E39"/>
    <w:rsid w:val="00A940FD"/>
    <w:rsid w:val="00A94131"/>
    <w:rsid w:val="00A943E3"/>
    <w:rsid w:val="00A94490"/>
    <w:rsid w:val="00A94F10"/>
    <w:rsid w:val="00A9715E"/>
    <w:rsid w:val="00AA120D"/>
    <w:rsid w:val="00AA1A7F"/>
    <w:rsid w:val="00AA2E74"/>
    <w:rsid w:val="00AA46DB"/>
    <w:rsid w:val="00AA5207"/>
    <w:rsid w:val="00AA6B8B"/>
    <w:rsid w:val="00AA74F5"/>
    <w:rsid w:val="00AA7506"/>
    <w:rsid w:val="00AA7D79"/>
    <w:rsid w:val="00AA7F69"/>
    <w:rsid w:val="00AB27BE"/>
    <w:rsid w:val="00AB48DD"/>
    <w:rsid w:val="00AB547E"/>
    <w:rsid w:val="00AB7871"/>
    <w:rsid w:val="00AB7926"/>
    <w:rsid w:val="00AC0AD4"/>
    <w:rsid w:val="00AC3100"/>
    <w:rsid w:val="00AC3344"/>
    <w:rsid w:val="00AC3732"/>
    <w:rsid w:val="00AC3879"/>
    <w:rsid w:val="00AC4212"/>
    <w:rsid w:val="00AC4DB1"/>
    <w:rsid w:val="00AC554E"/>
    <w:rsid w:val="00AC56A9"/>
    <w:rsid w:val="00AC7FD6"/>
    <w:rsid w:val="00AD02F2"/>
    <w:rsid w:val="00AD0620"/>
    <w:rsid w:val="00AD14BD"/>
    <w:rsid w:val="00AD1693"/>
    <w:rsid w:val="00AD1750"/>
    <w:rsid w:val="00AD2004"/>
    <w:rsid w:val="00AD23CA"/>
    <w:rsid w:val="00AD5996"/>
    <w:rsid w:val="00AD5A85"/>
    <w:rsid w:val="00AD795A"/>
    <w:rsid w:val="00AE091C"/>
    <w:rsid w:val="00AE0B85"/>
    <w:rsid w:val="00AE1CB2"/>
    <w:rsid w:val="00AE1CDC"/>
    <w:rsid w:val="00AE2013"/>
    <w:rsid w:val="00AE25D2"/>
    <w:rsid w:val="00AE311F"/>
    <w:rsid w:val="00AE378A"/>
    <w:rsid w:val="00AE3E25"/>
    <w:rsid w:val="00AE4115"/>
    <w:rsid w:val="00AE41FD"/>
    <w:rsid w:val="00AE50E6"/>
    <w:rsid w:val="00AE5241"/>
    <w:rsid w:val="00AE56C7"/>
    <w:rsid w:val="00AE7531"/>
    <w:rsid w:val="00AE768F"/>
    <w:rsid w:val="00AF047A"/>
    <w:rsid w:val="00AF26CE"/>
    <w:rsid w:val="00AF3023"/>
    <w:rsid w:val="00AF3070"/>
    <w:rsid w:val="00AF35AB"/>
    <w:rsid w:val="00AF3ADB"/>
    <w:rsid w:val="00AF3D16"/>
    <w:rsid w:val="00AF3EBA"/>
    <w:rsid w:val="00AF4FB5"/>
    <w:rsid w:val="00AF7A48"/>
    <w:rsid w:val="00B011E0"/>
    <w:rsid w:val="00B01456"/>
    <w:rsid w:val="00B01BCA"/>
    <w:rsid w:val="00B02A84"/>
    <w:rsid w:val="00B0332B"/>
    <w:rsid w:val="00B038BD"/>
    <w:rsid w:val="00B05A34"/>
    <w:rsid w:val="00B05C96"/>
    <w:rsid w:val="00B0731F"/>
    <w:rsid w:val="00B11063"/>
    <w:rsid w:val="00B11C69"/>
    <w:rsid w:val="00B13058"/>
    <w:rsid w:val="00B145D0"/>
    <w:rsid w:val="00B145D1"/>
    <w:rsid w:val="00B1621B"/>
    <w:rsid w:val="00B172B9"/>
    <w:rsid w:val="00B21FB1"/>
    <w:rsid w:val="00B233F1"/>
    <w:rsid w:val="00B248F6"/>
    <w:rsid w:val="00B24A85"/>
    <w:rsid w:val="00B2694E"/>
    <w:rsid w:val="00B2706C"/>
    <w:rsid w:val="00B27899"/>
    <w:rsid w:val="00B27D77"/>
    <w:rsid w:val="00B30573"/>
    <w:rsid w:val="00B3088B"/>
    <w:rsid w:val="00B30E4C"/>
    <w:rsid w:val="00B31002"/>
    <w:rsid w:val="00B316BB"/>
    <w:rsid w:val="00B33382"/>
    <w:rsid w:val="00B354A1"/>
    <w:rsid w:val="00B3571A"/>
    <w:rsid w:val="00B35AFD"/>
    <w:rsid w:val="00B3608E"/>
    <w:rsid w:val="00B36BC4"/>
    <w:rsid w:val="00B37856"/>
    <w:rsid w:val="00B40356"/>
    <w:rsid w:val="00B40EA6"/>
    <w:rsid w:val="00B42995"/>
    <w:rsid w:val="00B43C3B"/>
    <w:rsid w:val="00B44321"/>
    <w:rsid w:val="00B47E97"/>
    <w:rsid w:val="00B50148"/>
    <w:rsid w:val="00B5017F"/>
    <w:rsid w:val="00B502F5"/>
    <w:rsid w:val="00B5086F"/>
    <w:rsid w:val="00B51C3D"/>
    <w:rsid w:val="00B52236"/>
    <w:rsid w:val="00B52333"/>
    <w:rsid w:val="00B527A5"/>
    <w:rsid w:val="00B530A0"/>
    <w:rsid w:val="00B53427"/>
    <w:rsid w:val="00B5354D"/>
    <w:rsid w:val="00B53FF0"/>
    <w:rsid w:val="00B5419A"/>
    <w:rsid w:val="00B54E5F"/>
    <w:rsid w:val="00B54F5A"/>
    <w:rsid w:val="00B55D72"/>
    <w:rsid w:val="00B5677A"/>
    <w:rsid w:val="00B567CB"/>
    <w:rsid w:val="00B57E63"/>
    <w:rsid w:val="00B57EC6"/>
    <w:rsid w:val="00B60099"/>
    <w:rsid w:val="00B61194"/>
    <w:rsid w:val="00B622DD"/>
    <w:rsid w:val="00B624E7"/>
    <w:rsid w:val="00B65CD1"/>
    <w:rsid w:val="00B6740D"/>
    <w:rsid w:val="00B71065"/>
    <w:rsid w:val="00B716A4"/>
    <w:rsid w:val="00B71F68"/>
    <w:rsid w:val="00B7336C"/>
    <w:rsid w:val="00B73B81"/>
    <w:rsid w:val="00B755E6"/>
    <w:rsid w:val="00B757F6"/>
    <w:rsid w:val="00B75A1F"/>
    <w:rsid w:val="00B76646"/>
    <w:rsid w:val="00B7730E"/>
    <w:rsid w:val="00B7745F"/>
    <w:rsid w:val="00B77B45"/>
    <w:rsid w:val="00B80AFC"/>
    <w:rsid w:val="00B80F41"/>
    <w:rsid w:val="00B8106A"/>
    <w:rsid w:val="00B813C8"/>
    <w:rsid w:val="00B81CB4"/>
    <w:rsid w:val="00B82687"/>
    <w:rsid w:val="00B82FC7"/>
    <w:rsid w:val="00B8349D"/>
    <w:rsid w:val="00B83AD3"/>
    <w:rsid w:val="00B83F49"/>
    <w:rsid w:val="00B84123"/>
    <w:rsid w:val="00B84615"/>
    <w:rsid w:val="00B85195"/>
    <w:rsid w:val="00B86BC5"/>
    <w:rsid w:val="00B91D43"/>
    <w:rsid w:val="00B939AD"/>
    <w:rsid w:val="00B943D8"/>
    <w:rsid w:val="00B94BA9"/>
    <w:rsid w:val="00B950C4"/>
    <w:rsid w:val="00B95894"/>
    <w:rsid w:val="00B95CAC"/>
    <w:rsid w:val="00B97C5F"/>
    <w:rsid w:val="00BA0225"/>
    <w:rsid w:val="00BA0DA6"/>
    <w:rsid w:val="00BA2077"/>
    <w:rsid w:val="00BA2610"/>
    <w:rsid w:val="00BA299B"/>
    <w:rsid w:val="00BA2C19"/>
    <w:rsid w:val="00BA2D83"/>
    <w:rsid w:val="00BA3776"/>
    <w:rsid w:val="00BA39D1"/>
    <w:rsid w:val="00BA3C3D"/>
    <w:rsid w:val="00BA3CE8"/>
    <w:rsid w:val="00BA4525"/>
    <w:rsid w:val="00BA475B"/>
    <w:rsid w:val="00BA4773"/>
    <w:rsid w:val="00BA682B"/>
    <w:rsid w:val="00BA7FF9"/>
    <w:rsid w:val="00BB008D"/>
    <w:rsid w:val="00BB0D8F"/>
    <w:rsid w:val="00BB23BE"/>
    <w:rsid w:val="00BB3324"/>
    <w:rsid w:val="00BB339C"/>
    <w:rsid w:val="00BB4B1F"/>
    <w:rsid w:val="00BB4D9C"/>
    <w:rsid w:val="00BB4EF2"/>
    <w:rsid w:val="00BB61E1"/>
    <w:rsid w:val="00BB7D95"/>
    <w:rsid w:val="00BC02EA"/>
    <w:rsid w:val="00BC100F"/>
    <w:rsid w:val="00BC2429"/>
    <w:rsid w:val="00BC2CF3"/>
    <w:rsid w:val="00BC2D3B"/>
    <w:rsid w:val="00BC3571"/>
    <w:rsid w:val="00BC377D"/>
    <w:rsid w:val="00BC3CB2"/>
    <w:rsid w:val="00BC5AF6"/>
    <w:rsid w:val="00BC5FAF"/>
    <w:rsid w:val="00BC658B"/>
    <w:rsid w:val="00BC70CE"/>
    <w:rsid w:val="00BD03DA"/>
    <w:rsid w:val="00BD22B0"/>
    <w:rsid w:val="00BD286D"/>
    <w:rsid w:val="00BD2A6D"/>
    <w:rsid w:val="00BE009E"/>
    <w:rsid w:val="00BE1643"/>
    <w:rsid w:val="00BE2DA9"/>
    <w:rsid w:val="00BE3617"/>
    <w:rsid w:val="00BE3C87"/>
    <w:rsid w:val="00BE5228"/>
    <w:rsid w:val="00BE67EC"/>
    <w:rsid w:val="00BF0179"/>
    <w:rsid w:val="00BF05AF"/>
    <w:rsid w:val="00BF1632"/>
    <w:rsid w:val="00BF1E41"/>
    <w:rsid w:val="00BF2036"/>
    <w:rsid w:val="00BF3119"/>
    <w:rsid w:val="00BF4CEE"/>
    <w:rsid w:val="00BF4D3E"/>
    <w:rsid w:val="00BF5112"/>
    <w:rsid w:val="00BF5444"/>
    <w:rsid w:val="00BF6E00"/>
    <w:rsid w:val="00BF7915"/>
    <w:rsid w:val="00BF7C4B"/>
    <w:rsid w:val="00C01158"/>
    <w:rsid w:val="00C01DBF"/>
    <w:rsid w:val="00C02978"/>
    <w:rsid w:val="00C02C78"/>
    <w:rsid w:val="00C03FA7"/>
    <w:rsid w:val="00C051C4"/>
    <w:rsid w:val="00C05CBA"/>
    <w:rsid w:val="00C06B11"/>
    <w:rsid w:val="00C070F2"/>
    <w:rsid w:val="00C072EF"/>
    <w:rsid w:val="00C10724"/>
    <w:rsid w:val="00C118EB"/>
    <w:rsid w:val="00C11C68"/>
    <w:rsid w:val="00C13063"/>
    <w:rsid w:val="00C135DC"/>
    <w:rsid w:val="00C13662"/>
    <w:rsid w:val="00C13EEC"/>
    <w:rsid w:val="00C145AA"/>
    <w:rsid w:val="00C14C8E"/>
    <w:rsid w:val="00C15954"/>
    <w:rsid w:val="00C15CCA"/>
    <w:rsid w:val="00C166D2"/>
    <w:rsid w:val="00C16C8B"/>
    <w:rsid w:val="00C17CEC"/>
    <w:rsid w:val="00C202F7"/>
    <w:rsid w:val="00C2032C"/>
    <w:rsid w:val="00C204F7"/>
    <w:rsid w:val="00C21E0A"/>
    <w:rsid w:val="00C22C2F"/>
    <w:rsid w:val="00C23415"/>
    <w:rsid w:val="00C24225"/>
    <w:rsid w:val="00C24BB8"/>
    <w:rsid w:val="00C25915"/>
    <w:rsid w:val="00C25D26"/>
    <w:rsid w:val="00C25D78"/>
    <w:rsid w:val="00C25E97"/>
    <w:rsid w:val="00C2689E"/>
    <w:rsid w:val="00C268BF"/>
    <w:rsid w:val="00C26C88"/>
    <w:rsid w:val="00C270F1"/>
    <w:rsid w:val="00C276F5"/>
    <w:rsid w:val="00C309E5"/>
    <w:rsid w:val="00C30EF7"/>
    <w:rsid w:val="00C3145B"/>
    <w:rsid w:val="00C31C0A"/>
    <w:rsid w:val="00C32222"/>
    <w:rsid w:val="00C324E6"/>
    <w:rsid w:val="00C326C4"/>
    <w:rsid w:val="00C3333C"/>
    <w:rsid w:val="00C3414E"/>
    <w:rsid w:val="00C343E9"/>
    <w:rsid w:val="00C34798"/>
    <w:rsid w:val="00C348D2"/>
    <w:rsid w:val="00C34D57"/>
    <w:rsid w:val="00C35123"/>
    <w:rsid w:val="00C356F8"/>
    <w:rsid w:val="00C35E6D"/>
    <w:rsid w:val="00C4042D"/>
    <w:rsid w:val="00C40446"/>
    <w:rsid w:val="00C40DF1"/>
    <w:rsid w:val="00C40F25"/>
    <w:rsid w:val="00C410C0"/>
    <w:rsid w:val="00C41D86"/>
    <w:rsid w:val="00C41DE9"/>
    <w:rsid w:val="00C4210E"/>
    <w:rsid w:val="00C42B5D"/>
    <w:rsid w:val="00C42DF9"/>
    <w:rsid w:val="00C43026"/>
    <w:rsid w:val="00C43117"/>
    <w:rsid w:val="00C438E4"/>
    <w:rsid w:val="00C4399C"/>
    <w:rsid w:val="00C45177"/>
    <w:rsid w:val="00C458F8"/>
    <w:rsid w:val="00C45EE6"/>
    <w:rsid w:val="00C47555"/>
    <w:rsid w:val="00C479AE"/>
    <w:rsid w:val="00C50A95"/>
    <w:rsid w:val="00C54D47"/>
    <w:rsid w:val="00C55A18"/>
    <w:rsid w:val="00C55EBC"/>
    <w:rsid w:val="00C56701"/>
    <w:rsid w:val="00C614C9"/>
    <w:rsid w:val="00C62898"/>
    <w:rsid w:val="00C628A1"/>
    <w:rsid w:val="00C6312A"/>
    <w:rsid w:val="00C631EC"/>
    <w:rsid w:val="00C63C97"/>
    <w:rsid w:val="00C641B5"/>
    <w:rsid w:val="00C6429A"/>
    <w:rsid w:val="00C646E9"/>
    <w:rsid w:val="00C70B45"/>
    <w:rsid w:val="00C70F38"/>
    <w:rsid w:val="00C71B53"/>
    <w:rsid w:val="00C71F77"/>
    <w:rsid w:val="00C73225"/>
    <w:rsid w:val="00C74362"/>
    <w:rsid w:val="00C74A6E"/>
    <w:rsid w:val="00C75338"/>
    <w:rsid w:val="00C7593A"/>
    <w:rsid w:val="00C767F5"/>
    <w:rsid w:val="00C80CE8"/>
    <w:rsid w:val="00C82859"/>
    <w:rsid w:val="00C82C46"/>
    <w:rsid w:val="00C85625"/>
    <w:rsid w:val="00C85755"/>
    <w:rsid w:val="00C85B0F"/>
    <w:rsid w:val="00C85E07"/>
    <w:rsid w:val="00C87F4B"/>
    <w:rsid w:val="00C9057C"/>
    <w:rsid w:val="00C92821"/>
    <w:rsid w:val="00C9416E"/>
    <w:rsid w:val="00C94AF1"/>
    <w:rsid w:val="00C94E5C"/>
    <w:rsid w:val="00C9560A"/>
    <w:rsid w:val="00C962B7"/>
    <w:rsid w:val="00C96828"/>
    <w:rsid w:val="00C973FE"/>
    <w:rsid w:val="00C97584"/>
    <w:rsid w:val="00C9775E"/>
    <w:rsid w:val="00C97C32"/>
    <w:rsid w:val="00CA02B9"/>
    <w:rsid w:val="00CA0B7F"/>
    <w:rsid w:val="00CA0D62"/>
    <w:rsid w:val="00CA3B3D"/>
    <w:rsid w:val="00CA41FD"/>
    <w:rsid w:val="00CA616C"/>
    <w:rsid w:val="00CA6E56"/>
    <w:rsid w:val="00CA6EAF"/>
    <w:rsid w:val="00CA7F2D"/>
    <w:rsid w:val="00CB1BD1"/>
    <w:rsid w:val="00CB298F"/>
    <w:rsid w:val="00CB4C58"/>
    <w:rsid w:val="00CB4D18"/>
    <w:rsid w:val="00CB4D42"/>
    <w:rsid w:val="00CB5458"/>
    <w:rsid w:val="00CB571F"/>
    <w:rsid w:val="00CB5FB1"/>
    <w:rsid w:val="00CB6786"/>
    <w:rsid w:val="00CB6BF3"/>
    <w:rsid w:val="00CB7680"/>
    <w:rsid w:val="00CC0919"/>
    <w:rsid w:val="00CC0E71"/>
    <w:rsid w:val="00CC134C"/>
    <w:rsid w:val="00CC16C8"/>
    <w:rsid w:val="00CC19ED"/>
    <w:rsid w:val="00CC1E07"/>
    <w:rsid w:val="00CC248B"/>
    <w:rsid w:val="00CC3301"/>
    <w:rsid w:val="00CC3C58"/>
    <w:rsid w:val="00CC48CD"/>
    <w:rsid w:val="00CC5525"/>
    <w:rsid w:val="00CC6B07"/>
    <w:rsid w:val="00CC6B69"/>
    <w:rsid w:val="00CC7703"/>
    <w:rsid w:val="00CD13C9"/>
    <w:rsid w:val="00CD3F6E"/>
    <w:rsid w:val="00CD4228"/>
    <w:rsid w:val="00CD4843"/>
    <w:rsid w:val="00CD4ED1"/>
    <w:rsid w:val="00CD5B37"/>
    <w:rsid w:val="00CD6929"/>
    <w:rsid w:val="00CD6B7F"/>
    <w:rsid w:val="00CD73C2"/>
    <w:rsid w:val="00CE0D4A"/>
    <w:rsid w:val="00CE1B01"/>
    <w:rsid w:val="00CE1DA4"/>
    <w:rsid w:val="00CE2CE1"/>
    <w:rsid w:val="00CE2EB4"/>
    <w:rsid w:val="00CE2F35"/>
    <w:rsid w:val="00CE3D57"/>
    <w:rsid w:val="00CE401B"/>
    <w:rsid w:val="00CE76A0"/>
    <w:rsid w:val="00CE7B8A"/>
    <w:rsid w:val="00CF1047"/>
    <w:rsid w:val="00CF27BA"/>
    <w:rsid w:val="00CF40FB"/>
    <w:rsid w:val="00CF4193"/>
    <w:rsid w:val="00CF4593"/>
    <w:rsid w:val="00CF6993"/>
    <w:rsid w:val="00CF73A8"/>
    <w:rsid w:val="00D0002A"/>
    <w:rsid w:val="00D01814"/>
    <w:rsid w:val="00D026EF"/>
    <w:rsid w:val="00D02FA3"/>
    <w:rsid w:val="00D0302E"/>
    <w:rsid w:val="00D04137"/>
    <w:rsid w:val="00D049F1"/>
    <w:rsid w:val="00D04F81"/>
    <w:rsid w:val="00D0530A"/>
    <w:rsid w:val="00D05497"/>
    <w:rsid w:val="00D06423"/>
    <w:rsid w:val="00D06804"/>
    <w:rsid w:val="00D06838"/>
    <w:rsid w:val="00D128FE"/>
    <w:rsid w:val="00D12C62"/>
    <w:rsid w:val="00D12FBC"/>
    <w:rsid w:val="00D131B8"/>
    <w:rsid w:val="00D1344F"/>
    <w:rsid w:val="00D13765"/>
    <w:rsid w:val="00D13B12"/>
    <w:rsid w:val="00D14416"/>
    <w:rsid w:val="00D15C69"/>
    <w:rsid w:val="00D15EDF"/>
    <w:rsid w:val="00D16E6B"/>
    <w:rsid w:val="00D1752F"/>
    <w:rsid w:val="00D20BDA"/>
    <w:rsid w:val="00D20E21"/>
    <w:rsid w:val="00D21101"/>
    <w:rsid w:val="00D218B3"/>
    <w:rsid w:val="00D21FE5"/>
    <w:rsid w:val="00D2296C"/>
    <w:rsid w:val="00D22AB6"/>
    <w:rsid w:val="00D24303"/>
    <w:rsid w:val="00D24757"/>
    <w:rsid w:val="00D24C06"/>
    <w:rsid w:val="00D25252"/>
    <w:rsid w:val="00D25CEA"/>
    <w:rsid w:val="00D27F5E"/>
    <w:rsid w:val="00D31D78"/>
    <w:rsid w:val="00D320E0"/>
    <w:rsid w:val="00D328D8"/>
    <w:rsid w:val="00D32FE5"/>
    <w:rsid w:val="00D330B6"/>
    <w:rsid w:val="00D33669"/>
    <w:rsid w:val="00D34772"/>
    <w:rsid w:val="00D3491A"/>
    <w:rsid w:val="00D34DC0"/>
    <w:rsid w:val="00D356A4"/>
    <w:rsid w:val="00D358D0"/>
    <w:rsid w:val="00D35AC5"/>
    <w:rsid w:val="00D36EAB"/>
    <w:rsid w:val="00D40139"/>
    <w:rsid w:val="00D40719"/>
    <w:rsid w:val="00D4145C"/>
    <w:rsid w:val="00D42672"/>
    <w:rsid w:val="00D4277C"/>
    <w:rsid w:val="00D42C8C"/>
    <w:rsid w:val="00D43314"/>
    <w:rsid w:val="00D43994"/>
    <w:rsid w:val="00D43CC3"/>
    <w:rsid w:val="00D44FDF"/>
    <w:rsid w:val="00D45671"/>
    <w:rsid w:val="00D45B02"/>
    <w:rsid w:val="00D46614"/>
    <w:rsid w:val="00D46C22"/>
    <w:rsid w:val="00D46DAD"/>
    <w:rsid w:val="00D47604"/>
    <w:rsid w:val="00D47628"/>
    <w:rsid w:val="00D47FCD"/>
    <w:rsid w:val="00D52D2C"/>
    <w:rsid w:val="00D5312E"/>
    <w:rsid w:val="00D5383F"/>
    <w:rsid w:val="00D53CD2"/>
    <w:rsid w:val="00D5419D"/>
    <w:rsid w:val="00D552ED"/>
    <w:rsid w:val="00D61280"/>
    <w:rsid w:val="00D614C8"/>
    <w:rsid w:val="00D61C18"/>
    <w:rsid w:val="00D61D42"/>
    <w:rsid w:val="00D61E5D"/>
    <w:rsid w:val="00D6210D"/>
    <w:rsid w:val="00D62F01"/>
    <w:rsid w:val="00D6378F"/>
    <w:rsid w:val="00D63B86"/>
    <w:rsid w:val="00D63CBD"/>
    <w:rsid w:val="00D65667"/>
    <w:rsid w:val="00D6576A"/>
    <w:rsid w:val="00D66B1C"/>
    <w:rsid w:val="00D6778E"/>
    <w:rsid w:val="00D67792"/>
    <w:rsid w:val="00D67AF8"/>
    <w:rsid w:val="00D725F8"/>
    <w:rsid w:val="00D72CFD"/>
    <w:rsid w:val="00D7456B"/>
    <w:rsid w:val="00D74AB0"/>
    <w:rsid w:val="00D75FAB"/>
    <w:rsid w:val="00D76B28"/>
    <w:rsid w:val="00D76E8D"/>
    <w:rsid w:val="00D76F80"/>
    <w:rsid w:val="00D77B3C"/>
    <w:rsid w:val="00D77FDB"/>
    <w:rsid w:val="00D81FC0"/>
    <w:rsid w:val="00D82555"/>
    <w:rsid w:val="00D84488"/>
    <w:rsid w:val="00D844AC"/>
    <w:rsid w:val="00D8694E"/>
    <w:rsid w:val="00D90518"/>
    <w:rsid w:val="00D90C83"/>
    <w:rsid w:val="00D9254A"/>
    <w:rsid w:val="00D92836"/>
    <w:rsid w:val="00D93BA6"/>
    <w:rsid w:val="00D94232"/>
    <w:rsid w:val="00D94303"/>
    <w:rsid w:val="00D960A7"/>
    <w:rsid w:val="00DA03F6"/>
    <w:rsid w:val="00DA0907"/>
    <w:rsid w:val="00DA14EE"/>
    <w:rsid w:val="00DA248F"/>
    <w:rsid w:val="00DA285C"/>
    <w:rsid w:val="00DA2906"/>
    <w:rsid w:val="00DA2E32"/>
    <w:rsid w:val="00DA2E99"/>
    <w:rsid w:val="00DA32FF"/>
    <w:rsid w:val="00DA3767"/>
    <w:rsid w:val="00DA41DD"/>
    <w:rsid w:val="00DA5202"/>
    <w:rsid w:val="00DA649F"/>
    <w:rsid w:val="00DA666F"/>
    <w:rsid w:val="00DA72D3"/>
    <w:rsid w:val="00DB009A"/>
    <w:rsid w:val="00DB0D07"/>
    <w:rsid w:val="00DB2A7D"/>
    <w:rsid w:val="00DB2ABC"/>
    <w:rsid w:val="00DB2F75"/>
    <w:rsid w:val="00DB3C88"/>
    <w:rsid w:val="00DB410D"/>
    <w:rsid w:val="00DB4B03"/>
    <w:rsid w:val="00DB6573"/>
    <w:rsid w:val="00DB6665"/>
    <w:rsid w:val="00DB6802"/>
    <w:rsid w:val="00DB7BA6"/>
    <w:rsid w:val="00DC047A"/>
    <w:rsid w:val="00DC07CD"/>
    <w:rsid w:val="00DC0813"/>
    <w:rsid w:val="00DC0A4E"/>
    <w:rsid w:val="00DC18BC"/>
    <w:rsid w:val="00DC1907"/>
    <w:rsid w:val="00DC2A16"/>
    <w:rsid w:val="00DC2CE3"/>
    <w:rsid w:val="00DC3A22"/>
    <w:rsid w:val="00DC3B85"/>
    <w:rsid w:val="00DC4D4E"/>
    <w:rsid w:val="00DC4DC0"/>
    <w:rsid w:val="00DC4E0E"/>
    <w:rsid w:val="00DC4EDA"/>
    <w:rsid w:val="00DC4F1D"/>
    <w:rsid w:val="00DC54E0"/>
    <w:rsid w:val="00DC5841"/>
    <w:rsid w:val="00DC681A"/>
    <w:rsid w:val="00DC6E71"/>
    <w:rsid w:val="00DC6ECD"/>
    <w:rsid w:val="00DC77BA"/>
    <w:rsid w:val="00DC7D49"/>
    <w:rsid w:val="00DD0585"/>
    <w:rsid w:val="00DD05E1"/>
    <w:rsid w:val="00DD06F0"/>
    <w:rsid w:val="00DD0711"/>
    <w:rsid w:val="00DD2574"/>
    <w:rsid w:val="00DD56E8"/>
    <w:rsid w:val="00DD57D7"/>
    <w:rsid w:val="00DD5A75"/>
    <w:rsid w:val="00DD79C2"/>
    <w:rsid w:val="00DD7B33"/>
    <w:rsid w:val="00DD7D0E"/>
    <w:rsid w:val="00DE1C3A"/>
    <w:rsid w:val="00DE22F9"/>
    <w:rsid w:val="00DE279D"/>
    <w:rsid w:val="00DE2CA4"/>
    <w:rsid w:val="00DE3152"/>
    <w:rsid w:val="00DE3C3E"/>
    <w:rsid w:val="00DE3CA1"/>
    <w:rsid w:val="00DE46AC"/>
    <w:rsid w:val="00DE59CD"/>
    <w:rsid w:val="00DE6001"/>
    <w:rsid w:val="00DE656E"/>
    <w:rsid w:val="00DE7A38"/>
    <w:rsid w:val="00DF123E"/>
    <w:rsid w:val="00DF12AD"/>
    <w:rsid w:val="00DF240B"/>
    <w:rsid w:val="00DF2A6A"/>
    <w:rsid w:val="00DF3522"/>
    <w:rsid w:val="00DF3FA0"/>
    <w:rsid w:val="00DF4215"/>
    <w:rsid w:val="00DF57FF"/>
    <w:rsid w:val="00DF66BB"/>
    <w:rsid w:val="00DF6B3A"/>
    <w:rsid w:val="00DF714F"/>
    <w:rsid w:val="00E01568"/>
    <w:rsid w:val="00E01AB9"/>
    <w:rsid w:val="00E035C0"/>
    <w:rsid w:val="00E0468A"/>
    <w:rsid w:val="00E04F86"/>
    <w:rsid w:val="00E05776"/>
    <w:rsid w:val="00E05E72"/>
    <w:rsid w:val="00E065C6"/>
    <w:rsid w:val="00E0733E"/>
    <w:rsid w:val="00E07BB3"/>
    <w:rsid w:val="00E111E8"/>
    <w:rsid w:val="00E1266B"/>
    <w:rsid w:val="00E146B2"/>
    <w:rsid w:val="00E150DC"/>
    <w:rsid w:val="00E1597F"/>
    <w:rsid w:val="00E16513"/>
    <w:rsid w:val="00E1666F"/>
    <w:rsid w:val="00E16FCC"/>
    <w:rsid w:val="00E179C7"/>
    <w:rsid w:val="00E17AFF"/>
    <w:rsid w:val="00E17B4C"/>
    <w:rsid w:val="00E20871"/>
    <w:rsid w:val="00E208A3"/>
    <w:rsid w:val="00E20922"/>
    <w:rsid w:val="00E23E03"/>
    <w:rsid w:val="00E24741"/>
    <w:rsid w:val="00E261B7"/>
    <w:rsid w:val="00E26317"/>
    <w:rsid w:val="00E26E60"/>
    <w:rsid w:val="00E27CE6"/>
    <w:rsid w:val="00E27E08"/>
    <w:rsid w:val="00E324B6"/>
    <w:rsid w:val="00E32B90"/>
    <w:rsid w:val="00E32EDB"/>
    <w:rsid w:val="00E33669"/>
    <w:rsid w:val="00E3386F"/>
    <w:rsid w:val="00E33D68"/>
    <w:rsid w:val="00E34885"/>
    <w:rsid w:val="00E34C20"/>
    <w:rsid w:val="00E35878"/>
    <w:rsid w:val="00E35D7D"/>
    <w:rsid w:val="00E373FC"/>
    <w:rsid w:val="00E4054F"/>
    <w:rsid w:val="00E4080A"/>
    <w:rsid w:val="00E40FD5"/>
    <w:rsid w:val="00E412B1"/>
    <w:rsid w:val="00E41614"/>
    <w:rsid w:val="00E4175B"/>
    <w:rsid w:val="00E41A37"/>
    <w:rsid w:val="00E41C06"/>
    <w:rsid w:val="00E42FA0"/>
    <w:rsid w:val="00E43373"/>
    <w:rsid w:val="00E4397E"/>
    <w:rsid w:val="00E43D4F"/>
    <w:rsid w:val="00E43D9A"/>
    <w:rsid w:val="00E44B1C"/>
    <w:rsid w:val="00E4663D"/>
    <w:rsid w:val="00E46C79"/>
    <w:rsid w:val="00E46C8B"/>
    <w:rsid w:val="00E47875"/>
    <w:rsid w:val="00E50027"/>
    <w:rsid w:val="00E52039"/>
    <w:rsid w:val="00E530D5"/>
    <w:rsid w:val="00E5356E"/>
    <w:rsid w:val="00E53F22"/>
    <w:rsid w:val="00E540F9"/>
    <w:rsid w:val="00E54A31"/>
    <w:rsid w:val="00E555F7"/>
    <w:rsid w:val="00E57F77"/>
    <w:rsid w:val="00E60524"/>
    <w:rsid w:val="00E60835"/>
    <w:rsid w:val="00E60995"/>
    <w:rsid w:val="00E60A10"/>
    <w:rsid w:val="00E60B80"/>
    <w:rsid w:val="00E60CD0"/>
    <w:rsid w:val="00E61689"/>
    <w:rsid w:val="00E61954"/>
    <w:rsid w:val="00E61A04"/>
    <w:rsid w:val="00E62574"/>
    <w:rsid w:val="00E63463"/>
    <w:rsid w:val="00E64B7E"/>
    <w:rsid w:val="00E64BFE"/>
    <w:rsid w:val="00E65209"/>
    <w:rsid w:val="00E66498"/>
    <w:rsid w:val="00E678AD"/>
    <w:rsid w:val="00E67D57"/>
    <w:rsid w:val="00E70D08"/>
    <w:rsid w:val="00E7227B"/>
    <w:rsid w:val="00E72358"/>
    <w:rsid w:val="00E72E94"/>
    <w:rsid w:val="00E730C3"/>
    <w:rsid w:val="00E7345A"/>
    <w:rsid w:val="00E7426E"/>
    <w:rsid w:val="00E74CC7"/>
    <w:rsid w:val="00E76505"/>
    <w:rsid w:val="00E76BA2"/>
    <w:rsid w:val="00E808E3"/>
    <w:rsid w:val="00E81891"/>
    <w:rsid w:val="00E825DB"/>
    <w:rsid w:val="00E82A5E"/>
    <w:rsid w:val="00E83BA2"/>
    <w:rsid w:val="00E83DF5"/>
    <w:rsid w:val="00E84528"/>
    <w:rsid w:val="00E845EC"/>
    <w:rsid w:val="00E84ABB"/>
    <w:rsid w:val="00E84F27"/>
    <w:rsid w:val="00E86229"/>
    <w:rsid w:val="00E86EC6"/>
    <w:rsid w:val="00E87C06"/>
    <w:rsid w:val="00E87F96"/>
    <w:rsid w:val="00E901F5"/>
    <w:rsid w:val="00E9039B"/>
    <w:rsid w:val="00E90D2E"/>
    <w:rsid w:val="00E9446F"/>
    <w:rsid w:val="00E94475"/>
    <w:rsid w:val="00E9666E"/>
    <w:rsid w:val="00E9679A"/>
    <w:rsid w:val="00E967F3"/>
    <w:rsid w:val="00E9764C"/>
    <w:rsid w:val="00E97C3E"/>
    <w:rsid w:val="00EA4375"/>
    <w:rsid w:val="00EA448A"/>
    <w:rsid w:val="00EA51AC"/>
    <w:rsid w:val="00EA570F"/>
    <w:rsid w:val="00EA5E8C"/>
    <w:rsid w:val="00EA6D12"/>
    <w:rsid w:val="00EA753F"/>
    <w:rsid w:val="00EB078C"/>
    <w:rsid w:val="00EB2E42"/>
    <w:rsid w:val="00EB4249"/>
    <w:rsid w:val="00EB5498"/>
    <w:rsid w:val="00EB549A"/>
    <w:rsid w:val="00EB55F9"/>
    <w:rsid w:val="00EB63D3"/>
    <w:rsid w:val="00EB6A6F"/>
    <w:rsid w:val="00EB70CB"/>
    <w:rsid w:val="00EB728F"/>
    <w:rsid w:val="00EB762C"/>
    <w:rsid w:val="00EC002C"/>
    <w:rsid w:val="00EC1A5C"/>
    <w:rsid w:val="00EC1D18"/>
    <w:rsid w:val="00EC1ECB"/>
    <w:rsid w:val="00EC3037"/>
    <w:rsid w:val="00EC3E15"/>
    <w:rsid w:val="00EC4BB9"/>
    <w:rsid w:val="00EC4F30"/>
    <w:rsid w:val="00EC545D"/>
    <w:rsid w:val="00EC711F"/>
    <w:rsid w:val="00EC795D"/>
    <w:rsid w:val="00EC7A65"/>
    <w:rsid w:val="00ED02CB"/>
    <w:rsid w:val="00ED38CD"/>
    <w:rsid w:val="00ED5484"/>
    <w:rsid w:val="00ED59D8"/>
    <w:rsid w:val="00ED5CED"/>
    <w:rsid w:val="00EE1C4A"/>
    <w:rsid w:val="00EE24BE"/>
    <w:rsid w:val="00EE2A39"/>
    <w:rsid w:val="00EE2FD8"/>
    <w:rsid w:val="00EE369D"/>
    <w:rsid w:val="00EE387E"/>
    <w:rsid w:val="00EE3CA3"/>
    <w:rsid w:val="00EE3CB0"/>
    <w:rsid w:val="00EE4444"/>
    <w:rsid w:val="00EE478D"/>
    <w:rsid w:val="00EE4EC2"/>
    <w:rsid w:val="00EE5FA8"/>
    <w:rsid w:val="00EE6A90"/>
    <w:rsid w:val="00EF07E5"/>
    <w:rsid w:val="00EF0EB5"/>
    <w:rsid w:val="00EF15FC"/>
    <w:rsid w:val="00EF261E"/>
    <w:rsid w:val="00EF2E9A"/>
    <w:rsid w:val="00EF358E"/>
    <w:rsid w:val="00EF393F"/>
    <w:rsid w:val="00EF3F5D"/>
    <w:rsid w:val="00EF3F78"/>
    <w:rsid w:val="00EF4D7E"/>
    <w:rsid w:val="00EF5485"/>
    <w:rsid w:val="00EF588A"/>
    <w:rsid w:val="00EF5E23"/>
    <w:rsid w:val="00F015BA"/>
    <w:rsid w:val="00F017EE"/>
    <w:rsid w:val="00F02E63"/>
    <w:rsid w:val="00F04528"/>
    <w:rsid w:val="00F04CD2"/>
    <w:rsid w:val="00F05373"/>
    <w:rsid w:val="00F06430"/>
    <w:rsid w:val="00F073A6"/>
    <w:rsid w:val="00F07E31"/>
    <w:rsid w:val="00F07EFF"/>
    <w:rsid w:val="00F11C44"/>
    <w:rsid w:val="00F12E42"/>
    <w:rsid w:val="00F14BB7"/>
    <w:rsid w:val="00F14D41"/>
    <w:rsid w:val="00F15475"/>
    <w:rsid w:val="00F15F5A"/>
    <w:rsid w:val="00F16DBB"/>
    <w:rsid w:val="00F1719E"/>
    <w:rsid w:val="00F21577"/>
    <w:rsid w:val="00F258C9"/>
    <w:rsid w:val="00F2676A"/>
    <w:rsid w:val="00F27156"/>
    <w:rsid w:val="00F3072B"/>
    <w:rsid w:val="00F31613"/>
    <w:rsid w:val="00F31752"/>
    <w:rsid w:val="00F31A1B"/>
    <w:rsid w:val="00F31C4F"/>
    <w:rsid w:val="00F32554"/>
    <w:rsid w:val="00F329F4"/>
    <w:rsid w:val="00F33163"/>
    <w:rsid w:val="00F33678"/>
    <w:rsid w:val="00F342D2"/>
    <w:rsid w:val="00F34FD0"/>
    <w:rsid w:val="00F35541"/>
    <w:rsid w:val="00F35C56"/>
    <w:rsid w:val="00F36C52"/>
    <w:rsid w:val="00F40698"/>
    <w:rsid w:val="00F41264"/>
    <w:rsid w:val="00F41D45"/>
    <w:rsid w:val="00F42F58"/>
    <w:rsid w:val="00F43AB9"/>
    <w:rsid w:val="00F43DE7"/>
    <w:rsid w:val="00F4412C"/>
    <w:rsid w:val="00F44C9D"/>
    <w:rsid w:val="00F4619E"/>
    <w:rsid w:val="00F46667"/>
    <w:rsid w:val="00F469AC"/>
    <w:rsid w:val="00F46AE6"/>
    <w:rsid w:val="00F479D4"/>
    <w:rsid w:val="00F47B77"/>
    <w:rsid w:val="00F50FF5"/>
    <w:rsid w:val="00F513A8"/>
    <w:rsid w:val="00F51C9B"/>
    <w:rsid w:val="00F544C2"/>
    <w:rsid w:val="00F55901"/>
    <w:rsid w:val="00F55DD0"/>
    <w:rsid w:val="00F571F0"/>
    <w:rsid w:val="00F57D41"/>
    <w:rsid w:val="00F609BC"/>
    <w:rsid w:val="00F6179B"/>
    <w:rsid w:val="00F63088"/>
    <w:rsid w:val="00F649D2"/>
    <w:rsid w:val="00F670A0"/>
    <w:rsid w:val="00F67904"/>
    <w:rsid w:val="00F67B25"/>
    <w:rsid w:val="00F70255"/>
    <w:rsid w:val="00F71936"/>
    <w:rsid w:val="00F7212E"/>
    <w:rsid w:val="00F72A0C"/>
    <w:rsid w:val="00F72A71"/>
    <w:rsid w:val="00F73CB6"/>
    <w:rsid w:val="00F74AC4"/>
    <w:rsid w:val="00F74EA4"/>
    <w:rsid w:val="00F75748"/>
    <w:rsid w:val="00F76461"/>
    <w:rsid w:val="00F803F2"/>
    <w:rsid w:val="00F81523"/>
    <w:rsid w:val="00F81B84"/>
    <w:rsid w:val="00F81E3D"/>
    <w:rsid w:val="00F8385C"/>
    <w:rsid w:val="00F83DF3"/>
    <w:rsid w:val="00F9025D"/>
    <w:rsid w:val="00F90B09"/>
    <w:rsid w:val="00F92A74"/>
    <w:rsid w:val="00F9339E"/>
    <w:rsid w:val="00F93441"/>
    <w:rsid w:val="00F94140"/>
    <w:rsid w:val="00F94C2B"/>
    <w:rsid w:val="00F968D7"/>
    <w:rsid w:val="00F979B6"/>
    <w:rsid w:val="00FA0845"/>
    <w:rsid w:val="00FA0BDB"/>
    <w:rsid w:val="00FA109E"/>
    <w:rsid w:val="00FA252C"/>
    <w:rsid w:val="00FA2D25"/>
    <w:rsid w:val="00FA2F44"/>
    <w:rsid w:val="00FA3A48"/>
    <w:rsid w:val="00FA3BD5"/>
    <w:rsid w:val="00FA413D"/>
    <w:rsid w:val="00FA54AD"/>
    <w:rsid w:val="00FA7349"/>
    <w:rsid w:val="00FB1A00"/>
    <w:rsid w:val="00FB27DA"/>
    <w:rsid w:val="00FB2BB7"/>
    <w:rsid w:val="00FB2C28"/>
    <w:rsid w:val="00FB3C17"/>
    <w:rsid w:val="00FB3CFE"/>
    <w:rsid w:val="00FB471F"/>
    <w:rsid w:val="00FB5269"/>
    <w:rsid w:val="00FB582B"/>
    <w:rsid w:val="00FB5C97"/>
    <w:rsid w:val="00FB731D"/>
    <w:rsid w:val="00FC0BE4"/>
    <w:rsid w:val="00FC3120"/>
    <w:rsid w:val="00FC34FE"/>
    <w:rsid w:val="00FC411D"/>
    <w:rsid w:val="00FC601B"/>
    <w:rsid w:val="00FC656A"/>
    <w:rsid w:val="00FC68AA"/>
    <w:rsid w:val="00FC6986"/>
    <w:rsid w:val="00FC70F8"/>
    <w:rsid w:val="00FC7AB0"/>
    <w:rsid w:val="00FD03FD"/>
    <w:rsid w:val="00FD09D6"/>
    <w:rsid w:val="00FD0B24"/>
    <w:rsid w:val="00FD12FC"/>
    <w:rsid w:val="00FD17E6"/>
    <w:rsid w:val="00FD3D05"/>
    <w:rsid w:val="00FD41C5"/>
    <w:rsid w:val="00FD4890"/>
    <w:rsid w:val="00FD49B4"/>
    <w:rsid w:val="00FD4F61"/>
    <w:rsid w:val="00FD5033"/>
    <w:rsid w:val="00FD5AA4"/>
    <w:rsid w:val="00FD5F83"/>
    <w:rsid w:val="00FE0E44"/>
    <w:rsid w:val="00FE263B"/>
    <w:rsid w:val="00FE2C32"/>
    <w:rsid w:val="00FE2D73"/>
    <w:rsid w:val="00FE6362"/>
    <w:rsid w:val="00FE6D16"/>
    <w:rsid w:val="00FE7C5B"/>
    <w:rsid w:val="00FF0635"/>
    <w:rsid w:val="00FF135C"/>
    <w:rsid w:val="00FF1D26"/>
    <w:rsid w:val="00FF1D9A"/>
    <w:rsid w:val="00FF3F1D"/>
    <w:rsid w:val="00FF3F65"/>
    <w:rsid w:val="00FF7B0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3CE52"/>
  <w15:chartTrackingRefBased/>
  <w15:docId w15:val="{4795B219-7C9D-BA44-B5B0-55360FC2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53"/>
    <w:rPr>
      <w:rFonts w:ascii="Arial" w:hAnsi="Arial" w:cs="Arial"/>
      <w:sz w:val="28"/>
      <w:szCs w:val="24"/>
      <w:lang w:val="en-GB" w:eastAsia="en-US"/>
    </w:rPr>
  </w:style>
  <w:style w:type="paragraph" w:styleId="Heading1">
    <w:name w:val="heading 1"/>
    <w:basedOn w:val="Normal"/>
    <w:next w:val="Normal"/>
    <w:qFormat/>
    <w:rsid w:val="00352B53"/>
    <w:pPr>
      <w:keepNext/>
      <w:jc w:val="center"/>
      <w:outlineLvl w:val="0"/>
    </w:pPr>
    <w:rPr>
      <w:b/>
      <w:bCs/>
      <w:i/>
      <w:iCs/>
      <w:sz w:val="44"/>
    </w:rPr>
  </w:style>
  <w:style w:type="paragraph" w:styleId="Heading3">
    <w:name w:val="heading 3"/>
    <w:basedOn w:val="Normal"/>
    <w:next w:val="Normal"/>
    <w:link w:val="Heading3Char"/>
    <w:semiHidden/>
    <w:unhideWhenUsed/>
    <w:qFormat/>
    <w:rsid w:val="002B336F"/>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qFormat/>
    <w:rsid w:val="002923EB"/>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52B53"/>
    <w:pPr>
      <w:widowControl w:val="0"/>
      <w:autoSpaceDE w:val="0"/>
      <w:autoSpaceDN w:val="0"/>
      <w:adjustRightInd w:val="0"/>
      <w:spacing w:line="720" w:lineRule="auto"/>
      <w:jc w:val="both"/>
    </w:pPr>
    <w:rPr>
      <w:szCs w:val="28"/>
    </w:rPr>
  </w:style>
  <w:style w:type="paragraph" w:styleId="Header">
    <w:name w:val="header"/>
    <w:basedOn w:val="Normal"/>
    <w:rsid w:val="00F71936"/>
    <w:pPr>
      <w:tabs>
        <w:tab w:val="center" w:pos="4153"/>
        <w:tab w:val="right" w:pos="8306"/>
      </w:tabs>
    </w:pPr>
  </w:style>
  <w:style w:type="character" w:styleId="PageNumber">
    <w:name w:val="page number"/>
    <w:basedOn w:val="DefaultParagraphFont"/>
    <w:rsid w:val="00F71936"/>
  </w:style>
  <w:style w:type="paragraph" w:customStyle="1" w:styleId="Pa3">
    <w:name w:val="Pa3"/>
    <w:basedOn w:val="Normal"/>
    <w:next w:val="Normal"/>
    <w:rsid w:val="002923EB"/>
    <w:pPr>
      <w:autoSpaceDE w:val="0"/>
      <w:autoSpaceDN w:val="0"/>
      <w:adjustRightInd w:val="0"/>
      <w:spacing w:line="241" w:lineRule="atLeast"/>
    </w:pPr>
    <w:rPr>
      <w:rFonts w:cs="Times New Roman"/>
      <w:sz w:val="24"/>
      <w:lang w:val="en-US"/>
    </w:rPr>
  </w:style>
  <w:style w:type="character" w:customStyle="1" w:styleId="A0">
    <w:name w:val="A0"/>
    <w:rsid w:val="002923EB"/>
    <w:rPr>
      <w:rFonts w:cs="Arial"/>
      <w:b/>
      <w:bCs/>
      <w:color w:val="221E1F"/>
      <w:sz w:val="20"/>
      <w:szCs w:val="20"/>
    </w:rPr>
  </w:style>
  <w:style w:type="paragraph" w:styleId="Footer">
    <w:name w:val="footer"/>
    <w:basedOn w:val="Normal"/>
    <w:rsid w:val="002533B8"/>
    <w:pPr>
      <w:tabs>
        <w:tab w:val="center" w:pos="4320"/>
        <w:tab w:val="right" w:pos="8640"/>
      </w:tabs>
    </w:pPr>
  </w:style>
  <w:style w:type="paragraph" w:styleId="FootnoteText">
    <w:name w:val="footnote text"/>
    <w:basedOn w:val="Normal"/>
    <w:link w:val="FootnoteTextChar1"/>
    <w:uiPriority w:val="99"/>
    <w:rsid w:val="007045C4"/>
    <w:rPr>
      <w:rFonts w:ascii="Times New Roman" w:hAnsi="Times New Roman" w:cs="Times New Roman"/>
      <w:sz w:val="20"/>
      <w:szCs w:val="20"/>
      <w:lang w:val="en-US"/>
    </w:rPr>
  </w:style>
  <w:style w:type="character" w:customStyle="1" w:styleId="FootnoteTextChar1">
    <w:name w:val="Footnote Text Char1"/>
    <w:link w:val="FootnoteText"/>
    <w:semiHidden/>
    <w:locked/>
    <w:rsid w:val="007045C4"/>
    <w:rPr>
      <w:lang w:val="en-US" w:eastAsia="en-US" w:bidi="ar-SA"/>
    </w:rPr>
  </w:style>
  <w:style w:type="character" w:styleId="FootnoteReference">
    <w:name w:val="footnote reference"/>
    <w:uiPriority w:val="99"/>
    <w:rsid w:val="007045C4"/>
    <w:rPr>
      <w:rFonts w:cs="Times New Roman"/>
      <w:vertAlign w:val="superscript"/>
    </w:rPr>
  </w:style>
  <w:style w:type="paragraph" w:customStyle="1" w:styleId="LightGrid-Accent31">
    <w:name w:val="Light Grid - Accent 31"/>
    <w:basedOn w:val="Normal"/>
    <w:uiPriority w:val="34"/>
    <w:qFormat/>
    <w:rsid w:val="007045C4"/>
    <w:pPr>
      <w:spacing w:after="200" w:line="480" w:lineRule="auto"/>
      <w:ind w:left="720"/>
      <w:contextualSpacing/>
    </w:pPr>
    <w:rPr>
      <w:rFonts w:ascii="Times New Roman" w:hAnsi="Times New Roman" w:cs="Times New Roman"/>
      <w:szCs w:val="22"/>
      <w:lang w:val="en-US"/>
    </w:rPr>
  </w:style>
  <w:style w:type="paragraph" w:styleId="BalloonText">
    <w:name w:val="Balloon Text"/>
    <w:basedOn w:val="Normal"/>
    <w:semiHidden/>
    <w:rsid w:val="00D27F5E"/>
    <w:rPr>
      <w:rFonts w:ascii="Tahoma" w:hAnsi="Tahoma" w:cs="Tahoma"/>
      <w:sz w:val="16"/>
      <w:szCs w:val="16"/>
    </w:rPr>
  </w:style>
  <w:style w:type="character" w:customStyle="1" w:styleId="FootnoteTextChar">
    <w:name w:val="Footnote Text Char"/>
    <w:uiPriority w:val="99"/>
    <w:locked/>
    <w:rsid w:val="002773A1"/>
    <w:rPr>
      <w:rFonts w:ascii="Times New Roman" w:hAnsi="Times New Roman" w:cs="Times New Roman"/>
      <w:sz w:val="20"/>
      <w:szCs w:val="20"/>
    </w:rPr>
  </w:style>
  <w:style w:type="character" w:customStyle="1" w:styleId="mc1">
    <w:name w:val="mc1"/>
    <w:rsid w:val="00D358D0"/>
    <w:rPr>
      <w:rFonts w:ascii="Verdana" w:hAnsi="Verdana" w:hint="default"/>
      <w:b w:val="0"/>
      <w:bCs w:val="0"/>
      <w:i w:val="0"/>
      <w:iCs w:val="0"/>
      <w:color w:val="000000"/>
      <w:sz w:val="17"/>
      <w:szCs w:val="17"/>
      <w:shd w:val="clear" w:color="auto" w:fill="C0C0C0"/>
    </w:rPr>
  </w:style>
  <w:style w:type="character" w:styleId="Strong">
    <w:name w:val="Strong"/>
    <w:qFormat/>
    <w:rsid w:val="00A05F6B"/>
    <w:rPr>
      <w:b/>
      <w:bCs/>
    </w:rPr>
  </w:style>
  <w:style w:type="character" w:styleId="CommentReference">
    <w:name w:val="annotation reference"/>
    <w:rsid w:val="00163273"/>
    <w:rPr>
      <w:sz w:val="18"/>
      <w:szCs w:val="18"/>
    </w:rPr>
  </w:style>
  <w:style w:type="paragraph" w:styleId="CommentText">
    <w:name w:val="annotation text"/>
    <w:basedOn w:val="Normal"/>
    <w:link w:val="CommentTextChar"/>
    <w:rsid w:val="00163273"/>
    <w:rPr>
      <w:sz w:val="24"/>
    </w:rPr>
  </w:style>
  <w:style w:type="character" w:customStyle="1" w:styleId="CommentTextChar">
    <w:name w:val="Comment Text Char"/>
    <w:link w:val="CommentText"/>
    <w:rsid w:val="00163273"/>
    <w:rPr>
      <w:rFonts w:ascii="Arial" w:hAnsi="Arial" w:cs="Arial"/>
      <w:sz w:val="24"/>
      <w:szCs w:val="24"/>
      <w:lang w:val="en-GB"/>
    </w:rPr>
  </w:style>
  <w:style w:type="paragraph" w:styleId="CommentSubject">
    <w:name w:val="annotation subject"/>
    <w:basedOn w:val="CommentText"/>
    <w:next w:val="CommentText"/>
    <w:link w:val="CommentSubjectChar"/>
    <w:rsid w:val="00163273"/>
    <w:rPr>
      <w:b/>
      <w:bCs/>
      <w:sz w:val="20"/>
      <w:szCs w:val="20"/>
    </w:rPr>
  </w:style>
  <w:style w:type="character" w:customStyle="1" w:styleId="CommentSubjectChar">
    <w:name w:val="Comment Subject Char"/>
    <w:link w:val="CommentSubject"/>
    <w:rsid w:val="00163273"/>
    <w:rPr>
      <w:rFonts w:ascii="Arial" w:hAnsi="Arial" w:cs="Arial"/>
      <w:b/>
      <w:bCs/>
      <w:sz w:val="24"/>
      <w:szCs w:val="24"/>
      <w:lang w:val="en-GB"/>
    </w:rPr>
  </w:style>
  <w:style w:type="paragraph" w:customStyle="1" w:styleId="MediumGrid1-Accent21">
    <w:name w:val="Medium Grid 1 - Accent 21"/>
    <w:basedOn w:val="Normal"/>
    <w:uiPriority w:val="34"/>
    <w:qFormat/>
    <w:rsid w:val="002317E0"/>
    <w:pPr>
      <w:ind w:left="720"/>
    </w:pPr>
    <w:rPr>
      <w:rFonts w:ascii="Univers" w:hAnsi="Univers" w:cs="Times New Roman"/>
      <w:bCs/>
      <w:sz w:val="24"/>
    </w:rPr>
  </w:style>
  <w:style w:type="paragraph" w:styleId="ListParagraph">
    <w:name w:val="List Paragraph"/>
    <w:basedOn w:val="Normal"/>
    <w:uiPriority w:val="34"/>
    <w:qFormat/>
    <w:rsid w:val="00A7400E"/>
    <w:pPr>
      <w:numPr>
        <w:numId w:val="22"/>
      </w:numPr>
      <w:tabs>
        <w:tab w:val="left" w:pos="1134"/>
      </w:tabs>
      <w:spacing w:after="200" w:line="480" w:lineRule="auto"/>
      <w:contextualSpacing/>
      <w:jc w:val="both"/>
    </w:pPr>
    <w:rPr>
      <w:rFonts w:eastAsia="Calibri"/>
      <w:sz w:val="25"/>
      <w:szCs w:val="25"/>
      <w:lang w:val="en-ZA"/>
    </w:rPr>
  </w:style>
  <w:style w:type="character" w:customStyle="1" w:styleId="ams">
    <w:name w:val="ams"/>
    <w:basedOn w:val="DefaultParagraphFont"/>
    <w:rsid w:val="0052784F"/>
  </w:style>
  <w:style w:type="paragraph" w:styleId="BodyText3">
    <w:name w:val="Body Text 3"/>
    <w:basedOn w:val="Normal"/>
    <w:link w:val="BodyText3Char"/>
    <w:rsid w:val="008669CC"/>
    <w:pPr>
      <w:spacing w:after="120"/>
    </w:pPr>
    <w:rPr>
      <w:sz w:val="16"/>
      <w:szCs w:val="16"/>
    </w:rPr>
  </w:style>
  <w:style w:type="character" w:customStyle="1" w:styleId="BodyText3Char">
    <w:name w:val="Body Text 3 Char"/>
    <w:basedOn w:val="DefaultParagraphFont"/>
    <w:link w:val="BodyText3"/>
    <w:rsid w:val="008669CC"/>
    <w:rPr>
      <w:rFonts w:ascii="Arial" w:hAnsi="Arial" w:cs="Arial"/>
      <w:sz w:val="16"/>
      <w:szCs w:val="16"/>
      <w:lang w:val="en-GB" w:eastAsia="en-US"/>
    </w:rPr>
  </w:style>
  <w:style w:type="paragraph" w:styleId="Revision">
    <w:name w:val="Revision"/>
    <w:hidden/>
    <w:uiPriority w:val="62"/>
    <w:semiHidden/>
    <w:rsid w:val="00466AB2"/>
    <w:rPr>
      <w:rFonts w:ascii="Arial" w:hAnsi="Arial" w:cs="Arial"/>
      <w:sz w:val="28"/>
      <w:szCs w:val="24"/>
      <w:lang w:val="en-GB" w:eastAsia="en-US"/>
    </w:rPr>
  </w:style>
  <w:style w:type="character" w:customStyle="1" w:styleId="Heading3Char">
    <w:name w:val="Heading 3 Char"/>
    <w:basedOn w:val="DefaultParagraphFont"/>
    <w:link w:val="Heading3"/>
    <w:semiHidden/>
    <w:rsid w:val="002B336F"/>
    <w:rPr>
      <w:rFonts w:asciiTheme="majorHAnsi" w:eastAsiaTheme="majorEastAsia" w:hAnsiTheme="majorHAnsi" w:cstheme="majorBidi"/>
      <w:color w:val="1F3763"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75050">
      <w:bodyDiv w:val="1"/>
      <w:marLeft w:val="0"/>
      <w:marRight w:val="0"/>
      <w:marTop w:val="0"/>
      <w:marBottom w:val="0"/>
      <w:divBdr>
        <w:top w:val="none" w:sz="0" w:space="0" w:color="auto"/>
        <w:left w:val="none" w:sz="0" w:space="0" w:color="auto"/>
        <w:bottom w:val="none" w:sz="0" w:space="0" w:color="auto"/>
        <w:right w:val="none" w:sz="0" w:space="0" w:color="auto"/>
      </w:divBdr>
      <w:divsChild>
        <w:div w:id="30617107">
          <w:marLeft w:val="0"/>
          <w:marRight w:val="0"/>
          <w:marTop w:val="0"/>
          <w:marBottom w:val="0"/>
          <w:divBdr>
            <w:top w:val="none" w:sz="0" w:space="0" w:color="auto"/>
            <w:left w:val="none" w:sz="0" w:space="0" w:color="auto"/>
            <w:bottom w:val="none" w:sz="0" w:space="0" w:color="auto"/>
            <w:right w:val="none" w:sz="0" w:space="0" w:color="auto"/>
          </w:divBdr>
        </w:div>
        <w:div w:id="930552635">
          <w:marLeft w:val="0"/>
          <w:marRight w:val="0"/>
          <w:marTop w:val="0"/>
          <w:marBottom w:val="0"/>
          <w:divBdr>
            <w:top w:val="none" w:sz="0" w:space="0" w:color="auto"/>
            <w:left w:val="none" w:sz="0" w:space="0" w:color="auto"/>
            <w:bottom w:val="none" w:sz="0" w:space="0" w:color="auto"/>
            <w:right w:val="none" w:sz="0" w:space="0" w:color="auto"/>
          </w:divBdr>
        </w:div>
        <w:div w:id="665977660">
          <w:marLeft w:val="0"/>
          <w:marRight w:val="0"/>
          <w:marTop w:val="0"/>
          <w:marBottom w:val="0"/>
          <w:divBdr>
            <w:top w:val="none" w:sz="0" w:space="0" w:color="auto"/>
            <w:left w:val="none" w:sz="0" w:space="0" w:color="auto"/>
            <w:bottom w:val="none" w:sz="0" w:space="0" w:color="auto"/>
            <w:right w:val="none" w:sz="0" w:space="0" w:color="auto"/>
          </w:divBdr>
        </w:div>
      </w:divsChild>
    </w:div>
    <w:div w:id="1006593765">
      <w:bodyDiv w:val="1"/>
      <w:marLeft w:val="0"/>
      <w:marRight w:val="0"/>
      <w:marTop w:val="0"/>
      <w:marBottom w:val="0"/>
      <w:divBdr>
        <w:top w:val="none" w:sz="0" w:space="0" w:color="auto"/>
        <w:left w:val="none" w:sz="0" w:space="0" w:color="auto"/>
        <w:bottom w:val="none" w:sz="0" w:space="0" w:color="auto"/>
        <w:right w:val="none" w:sz="0" w:space="0" w:color="auto"/>
      </w:divBdr>
      <w:divsChild>
        <w:div w:id="2122992879">
          <w:marLeft w:val="0"/>
          <w:marRight w:val="0"/>
          <w:marTop w:val="0"/>
          <w:marBottom w:val="0"/>
          <w:divBdr>
            <w:top w:val="none" w:sz="0" w:space="0" w:color="auto"/>
            <w:left w:val="none" w:sz="0" w:space="0" w:color="auto"/>
            <w:bottom w:val="none" w:sz="0" w:space="0" w:color="auto"/>
            <w:right w:val="none" w:sz="0" w:space="0" w:color="auto"/>
          </w:divBdr>
          <w:divsChild>
            <w:div w:id="1023674502">
              <w:marLeft w:val="0"/>
              <w:marRight w:val="0"/>
              <w:marTop w:val="0"/>
              <w:marBottom w:val="0"/>
              <w:divBdr>
                <w:top w:val="none" w:sz="0" w:space="0" w:color="auto"/>
                <w:left w:val="none" w:sz="0" w:space="0" w:color="auto"/>
                <w:bottom w:val="none" w:sz="0" w:space="0" w:color="auto"/>
                <w:right w:val="none" w:sz="0" w:space="0" w:color="auto"/>
              </w:divBdr>
              <w:divsChild>
                <w:div w:id="741758446">
                  <w:marLeft w:val="0"/>
                  <w:marRight w:val="0"/>
                  <w:marTop w:val="0"/>
                  <w:marBottom w:val="0"/>
                  <w:divBdr>
                    <w:top w:val="none" w:sz="0" w:space="0" w:color="auto"/>
                    <w:left w:val="none" w:sz="0" w:space="0" w:color="auto"/>
                    <w:bottom w:val="none" w:sz="0" w:space="0" w:color="auto"/>
                    <w:right w:val="none" w:sz="0" w:space="0" w:color="auto"/>
                  </w:divBdr>
                  <w:divsChild>
                    <w:div w:id="278488232">
                      <w:marLeft w:val="0"/>
                      <w:marRight w:val="0"/>
                      <w:marTop w:val="0"/>
                      <w:marBottom w:val="0"/>
                      <w:divBdr>
                        <w:top w:val="none" w:sz="0" w:space="0" w:color="auto"/>
                        <w:left w:val="none" w:sz="0" w:space="0" w:color="auto"/>
                        <w:bottom w:val="none" w:sz="0" w:space="0" w:color="auto"/>
                        <w:right w:val="none" w:sz="0" w:space="0" w:color="auto"/>
                      </w:divBdr>
                      <w:divsChild>
                        <w:div w:id="669716208">
                          <w:marLeft w:val="0"/>
                          <w:marRight w:val="0"/>
                          <w:marTop w:val="0"/>
                          <w:marBottom w:val="0"/>
                          <w:divBdr>
                            <w:top w:val="single" w:sz="2" w:space="0" w:color="EFEFEF"/>
                            <w:left w:val="none" w:sz="0" w:space="0" w:color="auto"/>
                            <w:bottom w:val="none" w:sz="0" w:space="0" w:color="auto"/>
                            <w:right w:val="none" w:sz="0" w:space="0" w:color="auto"/>
                          </w:divBdr>
                          <w:divsChild>
                            <w:div w:id="1692300037">
                              <w:marLeft w:val="0"/>
                              <w:marRight w:val="0"/>
                              <w:marTop w:val="0"/>
                              <w:marBottom w:val="0"/>
                              <w:divBdr>
                                <w:top w:val="none" w:sz="0" w:space="0" w:color="auto"/>
                                <w:left w:val="none" w:sz="0" w:space="0" w:color="auto"/>
                                <w:bottom w:val="none" w:sz="0" w:space="0" w:color="auto"/>
                                <w:right w:val="none" w:sz="0" w:space="0" w:color="auto"/>
                              </w:divBdr>
                              <w:divsChild>
                                <w:div w:id="691414234">
                                  <w:marLeft w:val="0"/>
                                  <w:marRight w:val="0"/>
                                  <w:marTop w:val="0"/>
                                  <w:marBottom w:val="0"/>
                                  <w:divBdr>
                                    <w:top w:val="none" w:sz="0" w:space="0" w:color="auto"/>
                                    <w:left w:val="none" w:sz="0" w:space="0" w:color="auto"/>
                                    <w:bottom w:val="none" w:sz="0" w:space="0" w:color="auto"/>
                                    <w:right w:val="none" w:sz="0" w:space="0" w:color="auto"/>
                                  </w:divBdr>
                                  <w:divsChild>
                                    <w:div w:id="889609157">
                                      <w:marLeft w:val="0"/>
                                      <w:marRight w:val="0"/>
                                      <w:marTop w:val="0"/>
                                      <w:marBottom w:val="0"/>
                                      <w:divBdr>
                                        <w:top w:val="none" w:sz="0" w:space="0" w:color="auto"/>
                                        <w:left w:val="none" w:sz="0" w:space="0" w:color="auto"/>
                                        <w:bottom w:val="none" w:sz="0" w:space="0" w:color="auto"/>
                                        <w:right w:val="none" w:sz="0" w:space="0" w:color="auto"/>
                                      </w:divBdr>
                                      <w:divsChild>
                                        <w:div w:id="1427456971">
                                          <w:marLeft w:val="0"/>
                                          <w:marRight w:val="0"/>
                                          <w:marTop w:val="0"/>
                                          <w:marBottom w:val="0"/>
                                          <w:divBdr>
                                            <w:top w:val="none" w:sz="0" w:space="0" w:color="auto"/>
                                            <w:left w:val="none" w:sz="0" w:space="0" w:color="auto"/>
                                            <w:bottom w:val="none" w:sz="0" w:space="0" w:color="auto"/>
                                            <w:right w:val="none" w:sz="0" w:space="0" w:color="auto"/>
                                          </w:divBdr>
                                          <w:divsChild>
                                            <w:div w:id="205989065">
                                              <w:marLeft w:val="0"/>
                                              <w:marRight w:val="0"/>
                                              <w:marTop w:val="0"/>
                                              <w:marBottom w:val="0"/>
                                              <w:divBdr>
                                                <w:top w:val="none" w:sz="0" w:space="0" w:color="auto"/>
                                                <w:left w:val="none" w:sz="0" w:space="0" w:color="auto"/>
                                                <w:bottom w:val="none" w:sz="0" w:space="0" w:color="auto"/>
                                                <w:right w:val="none" w:sz="0" w:space="0" w:color="auto"/>
                                              </w:divBdr>
                                              <w:divsChild>
                                                <w:div w:id="623855204">
                                                  <w:marLeft w:val="0"/>
                                                  <w:marRight w:val="0"/>
                                                  <w:marTop w:val="0"/>
                                                  <w:marBottom w:val="0"/>
                                                  <w:divBdr>
                                                    <w:top w:val="none" w:sz="0" w:space="0" w:color="auto"/>
                                                    <w:left w:val="none" w:sz="0" w:space="0" w:color="auto"/>
                                                    <w:bottom w:val="none" w:sz="0" w:space="0" w:color="auto"/>
                                                    <w:right w:val="none" w:sz="0" w:space="0" w:color="auto"/>
                                                  </w:divBdr>
                                                  <w:divsChild>
                                                    <w:div w:id="2113434082">
                                                      <w:marLeft w:val="0"/>
                                                      <w:marRight w:val="0"/>
                                                      <w:marTop w:val="120"/>
                                                      <w:marBottom w:val="0"/>
                                                      <w:divBdr>
                                                        <w:top w:val="none" w:sz="0" w:space="0" w:color="auto"/>
                                                        <w:left w:val="none" w:sz="0" w:space="0" w:color="auto"/>
                                                        <w:bottom w:val="none" w:sz="0" w:space="0" w:color="auto"/>
                                                        <w:right w:val="none" w:sz="0" w:space="0" w:color="auto"/>
                                                      </w:divBdr>
                                                      <w:divsChild>
                                                        <w:div w:id="37827537">
                                                          <w:marLeft w:val="0"/>
                                                          <w:marRight w:val="0"/>
                                                          <w:marTop w:val="0"/>
                                                          <w:marBottom w:val="0"/>
                                                          <w:divBdr>
                                                            <w:top w:val="none" w:sz="0" w:space="0" w:color="auto"/>
                                                            <w:left w:val="none" w:sz="0" w:space="0" w:color="auto"/>
                                                            <w:bottom w:val="none" w:sz="0" w:space="0" w:color="auto"/>
                                                            <w:right w:val="none" w:sz="0" w:space="0" w:color="auto"/>
                                                          </w:divBdr>
                                                          <w:divsChild>
                                                            <w:div w:id="18310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096446">
                                          <w:marLeft w:val="0"/>
                                          <w:marRight w:val="0"/>
                                          <w:marTop w:val="0"/>
                                          <w:marBottom w:val="0"/>
                                          <w:divBdr>
                                            <w:top w:val="none" w:sz="0" w:space="0" w:color="auto"/>
                                            <w:left w:val="none" w:sz="0" w:space="0" w:color="auto"/>
                                            <w:bottom w:val="none" w:sz="0" w:space="0" w:color="auto"/>
                                            <w:right w:val="none" w:sz="0" w:space="0" w:color="auto"/>
                                          </w:divBdr>
                                          <w:divsChild>
                                            <w:div w:id="1047947690">
                                              <w:marLeft w:val="0"/>
                                              <w:marRight w:val="0"/>
                                              <w:marTop w:val="0"/>
                                              <w:marBottom w:val="0"/>
                                              <w:divBdr>
                                                <w:top w:val="none" w:sz="0" w:space="0" w:color="auto"/>
                                                <w:left w:val="none" w:sz="0" w:space="0" w:color="auto"/>
                                                <w:bottom w:val="none" w:sz="0" w:space="0" w:color="auto"/>
                                                <w:right w:val="none" w:sz="0" w:space="0" w:color="auto"/>
                                              </w:divBdr>
                                              <w:divsChild>
                                                <w:div w:id="1061751527">
                                                  <w:marLeft w:val="0"/>
                                                  <w:marRight w:val="0"/>
                                                  <w:marTop w:val="0"/>
                                                  <w:marBottom w:val="0"/>
                                                  <w:divBdr>
                                                    <w:top w:val="none" w:sz="0" w:space="0" w:color="auto"/>
                                                    <w:left w:val="none" w:sz="0" w:space="0" w:color="auto"/>
                                                    <w:bottom w:val="none" w:sz="0" w:space="0" w:color="auto"/>
                                                    <w:right w:val="none" w:sz="0" w:space="0" w:color="auto"/>
                                                  </w:divBdr>
                                                  <w:divsChild>
                                                    <w:div w:id="804127112">
                                                      <w:marLeft w:val="0"/>
                                                      <w:marRight w:val="0"/>
                                                      <w:marTop w:val="0"/>
                                                      <w:marBottom w:val="0"/>
                                                      <w:divBdr>
                                                        <w:top w:val="none" w:sz="0" w:space="0" w:color="auto"/>
                                                        <w:left w:val="none" w:sz="0" w:space="0" w:color="auto"/>
                                                        <w:bottom w:val="none" w:sz="0" w:space="0" w:color="auto"/>
                                                        <w:right w:val="none" w:sz="0" w:space="0" w:color="auto"/>
                                                      </w:divBdr>
                                                      <w:divsChild>
                                                        <w:div w:id="87850398">
                                                          <w:marLeft w:val="0"/>
                                                          <w:marRight w:val="0"/>
                                                          <w:marTop w:val="0"/>
                                                          <w:marBottom w:val="0"/>
                                                          <w:divBdr>
                                                            <w:top w:val="none" w:sz="0" w:space="0" w:color="auto"/>
                                                            <w:left w:val="none" w:sz="0" w:space="0" w:color="auto"/>
                                                            <w:bottom w:val="none" w:sz="0" w:space="0" w:color="auto"/>
                                                            <w:right w:val="none" w:sz="0" w:space="0" w:color="auto"/>
                                                          </w:divBdr>
                                                          <w:divsChild>
                                                            <w:div w:id="14394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1657119">
      <w:bodyDiv w:val="1"/>
      <w:marLeft w:val="360"/>
      <w:marRight w:val="360"/>
      <w:marTop w:val="0"/>
      <w:marBottom w:val="0"/>
      <w:divBdr>
        <w:top w:val="none" w:sz="0" w:space="0" w:color="auto"/>
        <w:left w:val="none" w:sz="0" w:space="0" w:color="auto"/>
        <w:bottom w:val="none" w:sz="0" w:space="0" w:color="auto"/>
        <w:right w:val="none" w:sz="0" w:space="0" w:color="auto"/>
      </w:divBdr>
      <w:divsChild>
        <w:div w:id="72703754">
          <w:marLeft w:val="1293"/>
          <w:marRight w:val="0"/>
          <w:marTop w:val="0"/>
          <w:marBottom w:val="180"/>
          <w:divBdr>
            <w:top w:val="none" w:sz="0" w:space="0" w:color="auto"/>
            <w:left w:val="none" w:sz="0" w:space="0" w:color="auto"/>
            <w:bottom w:val="none" w:sz="0" w:space="0" w:color="auto"/>
            <w:right w:val="none" w:sz="0" w:space="0" w:color="auto"/>
          </w:divBdr>
        </w:div>
        <w:div w:id="212231240">
          <w:marLeft w:val="0"/>
          <w:marRight w:val="0"/>
          <w:marTop w:val="120"/>
          <w:marBottom w:val="0"/>
          <w:divBdr>
            <w:top w:val="none" w:sz="0" w:space="0" w:color="auto"/>
            <w:left w:val="none" w:sz="0" w:space="0" w:color="auto"/>
            <w:bottom w:val="none" w:sz="0" w:space="0" w:color="auto"/>
            <w:right w:val="none" w:sz="0" w:space="0" w:color="auto"/>
          </w:divBdr>
        </w:div>
        <w:div w:id="259262632">
          <w:marLeft w:val="1984"/>
          <w:marRight w:val="0"/>
          <w:marTop w:val="0"/>
          <w:marBottom w:val="180"/>
          <w:divBdr>
            <w:top w:val="none" w:sz="0" w:space="0" w:color="auto"/>
            <w:left w:val="none" w:sz="0" w:space="0" w:color="auto"/>
            <w:bottom w:val="none" w:sz="0" w:space="0" w:color="auto"/>
            <w:right w:val="none" w:sz="0" w:space="0" w:color="auto"/>
          </w:divBdr>
        </w:div>
        <w:div w:id="630865536">
          <w:marLeft w:val="1293"/>
          <w:marRight w:val="0"/>
          <w:marTop w:val="0"/>
          <w:marBottom w:val="180"/>
          <w:divBdr>
            <w:top w:val="none" w:sz="0" w:space="0" w:color="auto"/>
            <w:left w:val="none" w:sz="0" w:space="0" w:color="auto"/>
            <w:bottom w:val="none" w:sz="0" w:space="0" w:color="auto"/>
            <w:right w:val="none" w:sz="0" w:space="0" w:color="auto"/>
          </w:divBdr>
        </w:div>
        <w:div w:id="690303816">
          <w:marLeft w:val="0"/>
          <w:marRight w:val="0"/>
          <w:marTop w:val="120"/>
          <w:marBottom w:val="0"/>
          <w:divBdr>
            <w:top w:val="none" w:sz="0" w:space="0" w:color="auto"/>
            <w:left w:val="none" w:sz="0" w:space="0" w:color="auto"/>
            <w:bottom w:val="none" w:sz="0" w:space="0" w:color="auto"/>
            <w:right w:val="none" w:sz="0" w:space="0" w:color="auto"/>
          </w:divBdr>
        </w:div>
        <w:div w:id="716515338">
          <w:marLeft w:val="0"/>
          <w:marRight w:val="0"/>
          <w:marTop w:val="288"/>
          <w:marBottom w:val="0"/>
          <w:divBdr>
            <w:top w:val="single" w:sz="8" w:space="2" w:color="808080"/>
            <w:left w:val="none" w:sz="0" w:space="0" w:color="auto"/>
            <w:bottom w:val="none" w:sz="0" w:space="0" w:color="auto"/>
            <w:right w:val="none" w:sz="0" w:space="0" w:color="auto"/>
          </w:divBdr>
        </w:div>
        <w:div w:id="831914038">
          <w:marLeft w:val="1293"/>
          <w:marRight w:val="0"/>
          <w:marTop w:val="0"/>
          <w:marBottom w:val="180"/>
          <w:divBdr>
            <w:top w:val="none" w:sz="0" w:space="0" w:color="auto"/>
            <w:left w:val="none" w:sz="0" w:space="0" w:color="auto"/>
            <w:bottom w:val="none" w:sz="0" w:space="0" w:color="auto"/>
            <w:right w:val="none" w:sz="0" w:space="0" w:color="auto"/>
          </w:divBdr>
        </w:div>
        <w:div w:id="1180969696">
          <w:marLeft w:val="1293"/>
          <w:marRight w:val="0"/>
          <w:marTop w:val="0"/>
          <w:marBottom w:val="180"/>
          <w:divBdr>
            <w:top w:val="none" w:sz="0" w:space="0" w:color="auto"/>
            <w:left w:val="none" w:sz="0" w:space="0" w:color="auto"/>
            <w:bottom w:val="none" w:sz="0" w:space="0" w:color="auto"/>
            <w:right w:val="none" w:sz="0" w:space="0" w:color="auto"/>
          </w:divBdr>
        </w:div>
        <w:div w:id="1362511017">
          <w:marLeft w:val="567"/>
          <w:marRight w:val="0"/>
          <w:marTop w:val="120"/>
          <w:marBottom w:val="20"/>
          <w:divBdr>
            <w:top w:val="none" w:sz="0" w:space="0" w:color="auto"/>
            <w:left w:val="none" w:sz="0" w:space="0" w:color="auto"/>
            <w:bottom w:val="none" w:sz="0" w:space="0" w:color="auto"/>
            <w:right w:val="none" w:sz="0" w:space="0" w:color="auto"/>
          </w:divBdr>
        </w:div>
        <w:div w:id="1816146781">
          <w:marLeft w:val="1984"/>
          <w:marRight w:val="0"/>
          <w:marTop w:val="0"/>
          <w:marBottom w:val="180"/>
          <w:divBdr>
            <w:top w:val="none" w:sz="0" w:space="0" w:color="auto"/>
            <w:left w:val="none" w:sz="0" w:space="0" w:color="auto"/>
            <w:bottom w:val="none" w:sz="0" w:space="0" w:color="auto"/>
            <w:right w:val="none" w:sz="0" w:space="0" w:color="auto"/>
          </w:divBdr>
        </w:div>
        <w:div w:id="1993287034">
          <w:marLeft w:val="1984"/>
          <w:marRight w:val="0"/>
          <w:marTop w:val="0"/>
          <w:marBottom w:val="180"/>
          <w:divBdr>
            <w:top w:val="none" w:sz="0" w:space="0" w:color="auto"/>
            <w:left w:val="none" w:sz="0" w:space="0" w:color="auto"/>
            <w:bottom w:val="none" w:sz="0" w:space="0" w:color="auto"/>
            <w:right w:val="none" w:sz="0" w:space="0" w:color="auto"/>
          </w:divBdr>
        </w:div>
        <w:div w:id="2019844763">
          <w:marLeft w:val="1984"/>
          <w:marRight w:val="0"/>
          <w:marTop w:val="0"/>
          <w:marBottom w:val="180"/>
          <w:divBdr>
            <w:top w:val="none" w:sz="0" w:space="0" w:color="auto"/>
            <w:left w:val="none" w:sz="0" w:space="0" w:color="auto"/>
            <w:bottom w:val="none" w:sz="0" w:space="0" w:color="auto"/>
            <w:right w:val="none" w:sz="0" w:space="0" w:color="auto"/>
          </w:divBdr>
        </w:div>
      </w:divsChild>
    </w:div>
    <w:div w:id="1401054633">
      <w:bodyDiv w:val="1"/>
      <w:marLeft w:val="0"/>
      <w:marRight w:val="0"/>
      <w:marTop w:val="0"/>
      <w:marBottom w:val="0"/>
      <w:divBdr>
        <w:top w:val="none" w:sz="0" w:space="0" w:color="auto"/>
        <w:left w:val="none" w:sz="0" w:space="0" w:color="auto"/>
        <w:bottom w:val="none" w:sz="0" w:space="0" w:color="auto"/>
        <w:right w:val="none" w:sz="0" w:space="0" w:color="auto"/>
      </w:divBdr>
      <w:divsChild>
        <w:div w:id="2033068346">
          <w:marLeft w:val="0"/>
          <w:marRight w:val="0"/>
          <w:marTop w:val="0"/>
          <w:marBottom w:val="0"/>
          <w:divBdr>
            <w:top w:val="none" w:sz="0" w:space="0" w:color="auto"/>
            <w:left w:val="none" w:sz="0" w:space="0" w:color="auto"/>
            <w:bottom w:val="none" w:sz="0" w:space="0" w:color="auto"/>
            <w:right w:val="none" w:sz="0" w:space="0" w:color="auto"/>
          </w:divBdr>
        </w:div>
        <w:div w:id="413093140">
          <w:marLeft w:val="0"/>
          <w:marRight w:val="0"/>
          <w:marTop w:val="0"/>
          <w:marBottom w:val="0"/>
          <w:divBdr>
            <w:top w:val="none" w:sz="0" w:space="0" w:color="auto"/>
            <w:left w:val="none" w:sz="0" w:space="0" w:color="auto"/>
            <w:bottom w:val="none" w:sz="0" w:space="0" w:color="auto"/>
            <w:right w:val="none" w:sz="0" w:space="0" w:color="auto"/>
          </w:divBdr>
        </w:div>
        <w:div w:id="538935154">
          <w:marLeft w:val="0"/>
          <w:marRight w:val="0"/>
          <w:marTop w:val="0"/>
          <w:marBottom w:val="0"/>
          <w:divBdr>
            <w:top w:val="none" w:sz="0" w:space="0" w:color="auto"/>
            <w:left w:val="none" w:sz="0" w:space="0" w:color="auto"/>
            <w:bottom w:val="none" w:sz="0" w:space="0" w:color="auto"/>
            <w:right w:val="none" w:sz="0" w:space="0" w:color="auto"/>
          </w:divBdr>
        </w:div>
        <w:div w:id="1496459666">
          <w:marLeft w:val="0"/>
          <w:marRight w:val="0"/>
          <w:marTop w:val="0"/>
          <w:marBottom w:val="0"/>
          <w:divBdr>
            <w:top w:val="none" w:sz="0" w:space="0" w:color="auto"/>
            <w:left w:val="none" w:sz="0" w:space="0" w:color="auto"/>
            <w:bottom w:val="none" w:sz="0" w:space="0" w:color="auto"/>
            <w:right w:val="none" w:sz="0" w:space="0" w:color="auto"/>
          </w:divBdr>
        </w:div>
        <w:div w:id="1247615086">
          <w:marLeft w:val="0"/>
          <w:marRight w:val="0"/>
          <w:marTop w:val="0"/>
          <w:marBottom w:val="0"/>
          <w:divBdr>
            <w:top w:val="none" w:sz="0" w:space="0" w:color="auto"/>
            <w:left w:val="none" w:sz="0" w:space="0" w:color="auto"/>
            <w:bottom w:val="none" w:sz="0" w:space="0" w:color="auto"/>
            <w:right w:val="none" w:sz="0" w:space="0" w:color="auto"/>
          </w:divBdr>
        </w:div>
      </w:divsChild>
    </w:div>
    <w:div w:id="1448308580">
      <w:bodyDiv w:val="1"/>
      <w:marLeft w:val="360"/>
      <w:marRight w:val="360"/>
      <w:marTop w:val="0"/>
      <w:marBottom w:val="0"/>
      <w:divBdr>
        <w:top w:val="none" w:sz="0" w:space="0" w:color="auto"/>
        <w:left w:val="none" w:sz="0" w:space="0" w:color="auto"/>
        <w:bottom w:val="none" w:sz="0" w:space="0" w:color="auto"/>
        <w:right w:val="none" w:sz="0" w:space="0" w:color="auto"/>
      </w:divBdr>
      <w:divsChild>
        <w:div w:id="1008364161">
          <w:marLeft w:val="0"/>
          <w:marRight w:val="0"/>
          <w:marTop w:val="120"/>
          <w:marBottom w:val="0"/>
          <w:divBdr>
            <w:top w:val="none" w:sz="0" w:space="0" w:color="auto"/>
            <w:left w:val="none" w:sz="0" w:space="0" w:color="auto"/>
            <w:bottom w:val="none" w:sz="0" w:space="0" w:color="auto"/>
            <w:right w:val="none" w:sz="0" w:space="0" w:color="auto"/>
          </w:divBdr>
        </w:div>
        <w:div w:id="1359966134">
          <w:marLeft w:val="1293"/>
          <w:marRight w:val="0"/>
          <w:marTop w:val="0"/>
          <w:marBottom w:val="180"/>
          <w:divBdr>
            <w:top w:val="none" w:sz="0" w:space="0" w:color="auto"/>
            <w:left w:val="none" w:sz="0" w:space="0" w:color="auto"/>
            <w:bottom w:val="none" w:sz="0" w:space="0" w:color="auto"/>
            <w:right w:val="none" w:sz="0" w:space="0" w:color="auto"/>
          </w:divBdr>
        </w:div>
        <w:div w:id="1361512458">
          <w:marLeft w:val="1293"/>
          <w:marRight w:val="0"/>
          <w:marTop w:val="0"/>
          <w:marBottom w:val="180"/>
          <w:divBdr>
            <w:top w:val="none" w:sz="0" w:space="0" w:color="auto"/>
            <w:left w:val="none" w:sz="0" w:space="0" w:color="auto"/>
            <w:bottom w:val="none" w:sz="0" w:space="0" w:color="auto"/>
            <w:right w:val="none" w:sz="0" w:space="0" w:color="auto"/>
          </w:divBdr>
        </w:div>
        <w:div w:id="1635985065">
          <w:marLeft w:val="567"/>
          <w:marRight w:val="0"/>
          <w:marTop w:val="120"/>
          <w:marBottom w:val="20"/>
          <w:divBdr>
            <w:top w:val="none" w:sz="0" w:space="0" w:color="auto"/>
            <w:left w:val="none" w:sz="0" w:space="0" w:color="auto"/>
            <w:bottom w:val="none" w:sz="0" w:space="0" w:color="auto"/>
            <w:right w:val="none" w:sz="0" w:space="0" w:color="auto"/>
          </w:divBdr>
        </w:div>
        <w:div w:id="1668897087">
          <w:marLeft w:val="1293"/>
          <w:marRight w:val="0"/>
          <w:marTop w:val="0"/>
          <w:marBottom w:val="180"/>
          <w:divBdr>
            <w:top w:val="none" w:sz="0" w:space="0" w:color="auto"/>
            <w:left w:val="none" w:sz="0" w:space="0" w:color="auto"/>
            <w:bottom w:val="none" w:sz="0" w:space="0" w:color="auto"/>
            <w:right w:val="none" w:sz="0" w:space="0" w:color="auto"/>
          </w:divBdr>
        </w:div>
        <w:div w:id="1927420842">
          <w:marLeft w:val="567"/>
          <w:marRight w:val="0"/>
          <w:marTop w:val="120"/>
          <w:marBottom w:val="20"/>
          <w:divBdr>
            <w:top w:val="none" w:sz="0" w:space="0" w:color="auto"/>
            <w:left w:val="none" w:sz="0" w:space="0" w:color="auto"/>
            <w:bottom w:val="none" w:sz="0" w:space="0" w:color="auto"/>
            <w:right w:val="none" w:sz="0" w:space="0" w:color="auto"/>
          </w:divBdr>
        </w:div>
        <w:div w:id="2005278788">
          <w:marLeft w:val="567"/>
          <w:marRight w:val="0"/>
          <w:marTop w:val="120"/>
          <w:marBottom w:val="20"/>
          <w:divBdr>
            <w:top w:val="none" w:sz="0" w:space="0" w:color="auto"/>
            <w:left w:val="none" w:sz="0" w:space="0" w:color="auto"/>
            <w:bottom w:val="none" w:sz="0" w:space="0" w:color="auto"/>
            <w:right w:val="none" w:sz="0" w:space="0" w:color="auto"/>
          </w:divBdr>
        </w:div>
      </w:divsChild>
    </w:div>
    <w:div w:id="1522548800">
      <w:bodyDiv w:val="1"/>
      <w:marLeft w:val="0"/>
      <w:marRight w:val="0"/>
      <w:marTop w:val="0"/>
      <w:marBottom w:val="0"/>
      <w:divBdr>
        <w:top w:val="none" w:sz="0" w:space="0" w:color="auto"/>
        <w:left w:val="none" w:sz="0" w:space="0" w:color="auto"/>
        <w:bottom w:val="none" w:sz="0" w:space="0" w:color="auto"/>
        <w:right w:val="none" w:sz="0" w:space="0" w:color="auto"/>
      </w:divBdr>
      <w:divsChild>
        <w:div w:id="1941182361">
          <w:marLeft w:val="0"/>
          <w:marRight w:val="0"/>
          <w:marTop w:val="0"/>
          <w:marBottom w:val="0"/>
          <w:divBdr>
            <w:top w:val="none" w:sz="0" w:space="0" w:color="auto"/>
            <w:left w:val="none" w:sz="0" w:space="0" w:color="auto"/>
            <w:bottom w:val="none" w:sz="0" w:space="0" w:color="auto"/>
            <w:right w:val="none" w:sz="0" w:space="0" w:color="auto"/>
          </w:divBdr>
        </w:div>
      </w:divsChild>
    </w:div>
    <w:div w:id="1653605598">
      <w:bodyDiv w:val="1"/>
      <w:marLeft w:val="0"/>
      <w:marRight w:val="0"/>
      <w:marTop w:val="0"/>
      <w:marBottom w:val="0"/>
      <w:divBdr>
        <w:top w:val="none" w:sz="0" w:space="0" w:color="auto"/>
        <w:left w:val="none" w:sz="0" w:space="0" w:color="auto"/>
        <w:bottom w:val="none" w:sz="0" w:space="0" w:color="auto"/>
        <w:right w:val="none" w:sz="0" w:space="0" w:color="auto"/>
      </w:divBdr>
      <w:divsChild>
        <w:div w:id="1046635619">
          <w:marLeft w:val="0"/>
          <w:marRight w:val="0"/>
          <w:marTop w:val="0"/>
          <w:marBottom w:val="0"/>
          <w:divBdr>
            <w:top w:val="none" w:sz="0" w:space="0" w:color="auto"/>
            <w:left w:val="none" w:sz="0" w:space="0" w:color="auto"/>
            <w:bottom w:val="none" w:sz="0" w:space="0" w:color="auto"/>
            <w:right w:val="none" w:sz="0" w:space="0" w:color="auto"/>
          </w:divBdr>
          <w:divsChild>
            <w:div w:id="1579359702">
              <w:marLeft w:val="0"/>
              <w:marRight w:val="0"/>
              <w:marTop w:val="0"/>
              <w:marBottom w:val="0"/>
              <w:divBdr>
                <w:top w:val="none" w:sz="0" w:space="0" w:color="auto"/>
                <w:left w:val="none" w:sz="0" w:space="0" w:color="auto"/>
                <w:bottom w:val="none" w:sz="0" w:space="0" w:color="auto"/>
                <w:right w:val="none" w:sz="0" w:space="0" w:color="auto"/>
              </w:divBdr>
              <w:divsChild>
                <w:div w:id="1439332716">
                  <w:marLeft w:val="0"/>
                  <w:marRight w:val="0"/>
                  <w:marTop w:val="0"/>
                  <w:marBottom w:val="0"/>
                  <w:divBdr>
                    <w:top w:val="none" w:sz="0" w:space="0" w:color="auto"/>
                    <w:left w:val="none" w:sz="0" w:space="0" w:color="auto"/>
                    <w:bottom w:val="none" w:sz="0" w:space="0" w:color="auto"/>
                    <w:right w:val="none" w:sz="0" w:space="0" w:color="auto"/>
                  </w:divBdr>
                  <w:divsChild>
                    <w:div w:id="95487706">
                      <w:marLeft w:val="0"/>
                      <w:marRight w:val="0"/>
                      <w:marTop w:val="120"/>
                      <w:marBottom w:val="0"/>
                      <w:divBdr>
                        <w:top w:val="none" w:sz="0" w:space="0" w:color="auto"/>
                        <w:left w:val="none" w:sz="0" w:space="0" w:color="auto"/>
                        <w:bottom w:val="none" w:sz="0" w:space="0" w:color="auto"/>
                        <w:right w:val="none" w:sz="0" w:space="0" w:color="auto"/>
                      </w:divBdr>
                      <w:divsChild>
                        <w:div w:id="1274357723">
                          <w:marLeft w:val="0"/>
                          <w:marRight w:val="0"/>
                          <w:marTop w:val="0"/>
                          <w:marBottom w:val="0"/>
                          <w:divBdr>
                            <w:top w:val="none" w:sz="0" w:space="0" w:color="auto"/>
                            <w:left w:val="none" w:sz="0" w:space="0" w:color="auto"/>
                            <w:bottom w:val="none" w:sz="0" w:space="0" w:color="auto"/>
                            <w:right w:val="none" w:sz="0" w:space="0" w:color="auto"/>
                          </w:divBdr>
                          <w:divsChild>
                            <w:div w:id="1546522854">
                              <w:marLeft w:val="0"/>
                              <w:marRight w:val="0"/>
                              <w:marTop w:val="0"/>
                              <w:marBottom w:val="0"/>
                              <w:divBdr>
                                <w:top w:val="none" w:sz="0" w:space="0" w:color="auto"/>
                                <w:left w:val="none" w:sz="0" w:space="0" w:color="auto"/>
                                <w:bottom w:val="none" w:sz="0" w:space="0" w:color="auto"/>
                                <w:right w:val="none" w:sz="0" w:space="0" w:color="auto"/>
                              </w:divBdr>
                              <w:divsChild>
                                <w:div w:id="1070883893">
                                  <w:marLeft w:val="0"/>
                                  <w:marRight w:val="0"/>
                                  <w:marTop w:val="0"/>
                                  <w:marBottom w:val="0"/>
                                  <w:divBdr>
                                    <w:top w:val="none" w:sz="0" w:space="0" w:color="auto"/>
                                    <w:left w:val="none" w:sz="0" w:space="0" w:color="auto"/>
                                    <w:bottom w:val="none" w:sz="0" w:space="0" w:color="auto"/>
                                    <w:right w:val="none" w:sz="0" w:space="0" w:color="auto"/>
                                  </w:divBdr>
                                </w:div>
                                <w:div w:id="2003966605">
                                  <w:marLeft w:val="0"/>
                                  <w:marRight w:val="0"/>
                                  <w:marTop w:val="0"/>
                                  <w:marBottom w:val="0"/>
                                  <w:divBdr>
                                    <w:top w:val="none" w:sz="0" w:space="0" w:color="auto"/>
                                    <w:left w:val="none" w:sz="0" w:space="0" w:color="auto"/>
                                    <w:bottom w:val="none" w:sz="0" w:space="0" w:color="auto"/>
                                    <w:right w:val="none" w:sz="0" w:space="0" w:color="auto"/>
                                  </w:divBdr>
                                </w:div>
                                <w:div w:id="340814548">
                                  <w:marLeft w:val="0"/>
                                  <w:marRight w:val="0"/>
                                  <w:marTop w:val="0"/>
                                  <w:marBottom w:val="0"/>
                                  <w:divBdr>
                                    <w:top w:val="none" w:sz="0" w:space="0" w:color="auto"/>
                                    <w:left w:val="none" w:sz="0" w:space="0" w:color="auto"/>
                                    <w:bottom w:val="none" w:sz="0" w:space="0" w:color="auto"/>
                                    <w:right w:val="none" w:sz="0" w:space="0" w:color="auto"/>
                                  </w:divBdr>
                                </w:div>
                                <w:div w:id="1751851205">
                                  <w:marLeft w:val="0"/>
                                  <w:marRight w:val="0"/>
                                  <w:marTop w:val="0"/>
                                  <w:marBottom w:val="0"/>
                                  <w:divBdr>
                                    <w:top w:val="none" w:sz="0" w:space="0" w:color="auto"/>
                                    <w:left w:val="none" w:sz="0" w:space="0" w:color="auto"/>
                                    <w:bottom w:val="none" w:sz="0" w:space="0" w:color="auto"/>
                                    <w:right w:val="none" w:sz="0" w:space="0" w:color="auto"/>
                                  </w:divBdr>
                                </w:div>
                                <w:div w:id="934241211">
                                  <w:marLeft w:val="0"/>
                                  <w:marRight w:val="0"/>
                                  <w:marTop w:val="0"/>
                                  <w:marBottom w:val="0"/>
                                  <w:divBdr>
                                    <w:top w:val="none" w:sz="0" w:space="0" w:color="auto"/>
                                    <w:left w:val="none" w:sz="0" w:space="0" w:color="auto"/>
                                    <w:bottom w:val="none" w:sz="0" w:space="0" w:color="auto"/>
                                    <w:right w:val="none" w:sz="0" w:space="0" w:color="auto"/>
                                  </w:divBdr>
                                </w:div>
                                <w:div w:id="521167957">
                                  <w:marLeft w:val="0"/>
                                  <w:marRight w:val="0"/>
                                  <w:marTop w:val="0"/>
                                  <w:marBottom w:val="0"/>
                                  <w:divBdr>
                                    <w:top w:val="none" w:sz="0" w:space="0" w:color="auto"/>
                                    <w:left w:val="none" w:sz="0" w:space="0" w:color="auto"/>
                                    <w:bottom w:val="none" w:sz="0" w:space="0" w:color="auto"/>
                                    <w:right w:val="none" w:sz="0" w:space="0" w:color="auto"/>
                                  </w:divBdr>
                                </w:div>
                                <w:div w:id="1073895220">
                                  <w:marLeft w:val="0"/>
                                  <w:marRight w:val="0"/>
                                  <w:marTop w:val="0"/>
                                  <w:marBottom w:val="0"/>
                                  <w:divBdr>
                                    <w:top w:val="none" w:sz="0" w:space="0" w:color="auto"/>
                                    <w:left w:val="none" w:sz="0" w:space="0" w:color="auto"/>
                                    <w:bottom w:val="none" w:sz="0" w:space="0" w:color="auto"/>
                                    <w:right w:val="none" w:sz="0" w:space="0" w:color="auto"/>
                                  </w:divBdr>
                                </w:div>
                                <w:div w:id="329984582">
                                  <w:marLeft w:val="0"/>
                                  <w:marRight w:val="0"/>
                                  <w:marTop w:val="0"/>
                                  <w:marBottom w:val="0"/>
                                  <w:divBdr>
                                    <w:top w:val="none" w:sz="0" w:space="0" w:color="auto"/>
                                    <w:left w:val="none" w:sz="0" w:space="0" w:color="auto"/>
                                    <w:bottom w:val="none" w:sz="0" w:space="0" w:color="auto"/>
                                    <w:right w:val="none" w:sz="0" w:space="0" w:color="auto"/>
                                  </w:divBdr>
                                </w:div>
                                <w:div w:id="1647854000">
                                  <w:marLeft w:val="0"/>
                                  <w:marRight w:val="0"/>
                                  <w:marTop w:val="0"/>
                                  <w:marBottom w:val="0"/>
                                  <w:divBdr>
                                    <w:top w:val="none" w:sz="0" w:space="0" w:color="auto"/>
                                    <w:left w:val="none" w:sz="0" w:space="0" w:color="auto"/>
                                    <w:bottom w:val="none" w:sz="0" w:space="0" w:color="auto"/>
                                    <w:right w:val="none" w:sz="0" w:space="0" w:color="auto"/>
                                  </w:divBdr>
                                </w:div>
                                <w:div w:id="227617074">
                                  <w:marLeft w:val="0"/>
                                  <w:marRight w:val="0"/>
                                  <w:marTop w:val="0"/>
                                  <w:marBottom w:val="0"/>
                                  <w:divBdr>
                                    <w:top w:val="none" w:sz="0" w:space="0" w:color="auto"/>
                                    <w:left w:val="none" w:sz="0" w:space="0" w:color="auto"/>
                                    <w:bottom w:val="none" w:sz="0" w:space="0" w:color="auto"/>
                                    <w:right w:val="none" w:sz="0" w:space="0" w:color="auto"/>
                                  </w:divBdr>
                                </w:div>
                                <w:div w:id="132529550">
                                  <w:marLeft w:val="0"/>
                                  <w:marRight w:val="0"/>
                                  <w:marTop w:val="0"/>
                                  <w:marBottom w:val="0"/>
                                  <w:divBdr>
                                    <w:top w:val="none" w:sz="0" w:space="0" w:color="auto"/>
                                    <w:left w:val="none" w:sz="0" w:space="0" w:color="auto"/>
                                    <w:bottom w:val="none" w:sz="0" w:space="0" w:color="auto"/>
                                    <w:right w:val="none" w:sz="0" w:space="0" w:color="auto"/>
                                  </w:divBdr>
                                </w:div>
                                <w:div w:id="232619941">
                                  <w:marLeft w:val="0"/>
                                  <w:marRight w:val="0"/>
                                  <w:marTop w:val="0"/>
                                  <w:marBottom w:val="0"/>
                                  <w:divBdr>
                                    <w:top w:val="none" w:sz="0" w:space="0" w:color="auto"/>
                                    <w:left w:val="none" w:sz="0" w:space="0" w:color="auto"/>
                                    <w:bottom w:val="none" w:sz="0" w:space="0" w:color="auto"/>
                                    <w:right w:val="none" w:sz="0" w:space="0" w:color="auto"/>
                                  </w:divBdr>
                                </w:div>
                                <w:div w:id="233589532">
                                  <w:marLeft w:val="0"/>
                                  <w:marRight w:val="0"/>
                                  <w:marTop w:val="0"/>
                                  <w:marBottom w:val="0"/>
                                  <w:divBdr>
                                    <w:top w:val="none" w:sz="0" w:space="0" w:color="auto"/>
                                    <w:left w:val="none" w:sz="0" w:space="0" w:color="auto"/>
                                    <w:bottom w:val="none" w:sz="0" w:space="0" w:color="auto"/>
                                    <w:right w:val="none" w:sz="0" w:space="0" w:color="auto"/>
                                  </w:divBdr>
                                </w:div>
                                <w:div w:id="115873265">
                                  <w:marLeft w:val="0"/>
                                  <w:marRight w:val="0"/>
                                  <w:marTop w:val="0"/>
                                  <w:marBottom w:val="0"/>
                                  <w:divBdr>
                                    <w:top w:val="none" w:sz="0" w:space="0" w:color="auto"/>
                                    <w:left w:val="none" w:sz="0" w:space="0" w:color="auto"/>
                                    <w:bottom w:val="none" w:sz="0" w:space="0" w:color="auto"/>
                                    <w:right w:val="none" w:sz="0" w:space="0" w:color="auto"/>
                                  </w:divBdr>
                                </w:div>
                                <w:div w:id="1458259388">
                                  <w:marLeft w:val="0"/>
                                  <w:marRight w:val="0"/>
                                  <w:marTop w:val="0"/>
                                  <w:marBottom w:val="0"/>
                                  <w:divBdr>
                                    <w:top w:val="none" w:sz="0" w:space="0" w:color="auto"/>
                                    <w:left w:val="none" w:sz="0" w:space="0" w:color="auto"/>
                                    <w:bottom w:val="none" w:sz="0" w:space="0" w:color="auto"/>
                                    <w:right w:val="none" w:sz="0" w:space="0" w:color="auto"/>
                                  </w:divBdr>
                                </w:div>
                                <w:div w:id="1706173438">
                                  <w:marLeft w:val="0"/>
                                  <w:marRight w:val="0"/>
                                  <w:marTop w:val="0"/>
                                  <w:marBottom w:val="0"/>
                                  <w:divBdr>
                                    <w:top w:val="none" w:sz="0" w:space="0" w:color="auto"/>
                                    <w:left w:val="none" w:sz="0" w:space="0" w:color="auto"/>
                                    <w:bottom w:val="none" w:sz="0" w:space="0" w:color="auto"/>
                                    <w:right w:val="none" w:sz="0" w:space="0" w:color="auto"/>
                                  </w:divBdr>
                                </w:div>
                                <w:div w:id="1691223417">
                                  <w:marLeft w:val="0"/>
                                  <w:marRight w:val="0"/>
                                  <w:marTop w:val="0"/>
                                  <w:marBottom w:val="0"/>
                                  <w:divBdr>
                                    <w:top w:val="none" w:sz="0" w:space="0" w:color="auto"/>
                                    <w:left w:val="none" w:sz="0" w:space="0" w:color="auto"/>
                                    <w:bottom w:val="none" w:sz="0" w:space="0" w:color="auto"/>
                                    <w:right w:val="none" w:sz="0" w:space="0" w:color="auto"/>
                                  </w:divBdr>
                                </w:div>
                                <w:div w:id="222106719">
                                  <w:marLeft w:val="0"/>
                                  <w:marRight w:val="0"/>
                                  <w:marTop w:val="0"/>
                                  <w:marBottom w:val="0"/>
                                  <w:divBdr>
                                    <w:top w:val="none" w:sz="0" w:space="0" w:color="auto"/>
                                    <w:left w:val="none" w:sz="0" w:space="0" w:color="auto"/>
                                    <w:bottom w:val="none" w:sz="0" w:space="0" w:color="auto"/>
                                    <w:right w:val="none" w:sz="0" w:space="0" w:color="auto"/>
                                  </w:divBdr>
                                </w:div>
                                <w:div w:id="457261469">
                                  <w:marLeft w:val="0"/>
                                  <w:marRight w:val="0"/>
                                  <w:marTop w:val="0"/>
                                  <w:marBottom w:val="0"/>
                                  <w:divBdr>
                                    <w:top w:val="none" w:sz="0" w:space="0" w:color="auto"/>
                                    <w:left w:val="none" w:sz="0" w:space="0" w:color="auto"/>
                                    <w:bottom w:val="none" w:sz="0" w:space="0" w:color="auto"/>
                                    <w:right w:val="none" w:sz="0" w:space="0" w:color="auto"/>
                                  </w:divBdr>
                                </w:div>
                                <w:div w:id="1170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81012">
          <w:marLeft w:val="0"/>
          <w:marRight w:val="0"/>
          <w:marTop w:val="0"/>
          <w:marBottom w:val="0"/>
          <w:divBdr>
            <w:top w:val="none" w:sz="0" w:space="0" w:color="auto"/>
            <w:left w:val="none" w:sz="0" w:space="0" w:color="auto"/>
            <w:bottom w:val="none" w:sz="0" w:space="0" w:color="auto"/>
            <w:right w:val="none" w:sz="0" w:space="0" w:color="auto"/>
          </w:divBdr>
          <w:divsChild>
            <w:div w:id="568734695">
              <w:marLeft w:val="0"/>
              <w:marRight w:val="0"/>
              <w:marTop w:val="0"/>
              <w:marBottom w:val="0"/>
              <w:divBdr>
                <w:top w:val="none" w:sz="0" w:space="0" w:color="auto"/>
                <w:left w:val="none" w:sz="0" w:space="0" w:color="auto"/>
                <w:bottom w:val="none" w:sz="0" w:space="0" w:color="auto"/>
                <w:right w:val="none" w:sz="0" w:space="0" w:color="auto"/>
              </w:divBdr>
              <w:divsChild>
                <w:div w:id="450589431">
                  <w:marLeft w:val="0"/>
                  <w:marRight w:val="0"/>
                  <w:marTop w:val="0"/>
                  <w:marBottom w:val="0"/>
                  <w:divBdr>
                    <w:top w:val="none" w:sz="0" w:space="0" w:color="auto"/>
                    <w:left w:val="none" w:sz="0" w:space="0" w:color="auto"/>
                    <w:bottom w:val="none" w:sz="0" w:space="0" w:color="auto"/>
                    <w:right w:val="none" w:sz="0" w:space="0" w:color="auto"/>
                  </w:divBdr>
                  <w:divsChild>
                    <w:div w:id="701785119">
                      <w:marLeft w:val="0"/>
                      <w:marRight w:val="0"/>
                      <w:marTop w:val="0"/>
                      <w:marBottom w:val="0"/>
                      <w:divBdr>
                        <w:top w:val="none" w:sz="0" w:space="0" w:color="auto"/>
                        <w:left w:val="none" w:sz="0" w:space="0" w:color="auto"/>
                        <w:bottom w:val="none" w:sz="0" w:space="0" w:color="auto"/>
                        <w:right w:val="none" w:sz="0" w:space="0" w:color="auto"/>
                      </w:divBdr>
                      <w:divsChild>
                        <w:div w:id="90128236">
                          <w:marLeft w:val="0"/>
                          <w:marRight w:val="0"/>
                          <w:marTop w:val="0"/>
                          <w:marBottom w:val="0"/>
                          <w:divBdr>
                            <w:top w:val="none" w:sz="0" w:space="0" w:color="auto"/>
                            <w:left w:val="none" w:sz="0" w:space="0" w:color="auto"/>
                            <w:bottom w:val="none" w:sz="0" w:space="0" w:color="auto"/>
                            <w:right w:val="none" w:sz="0" w:space="0" w:color="auto"/>
                          </w:divBdr>
                          <w:divsChild>
                            <w:div w:id="10846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64511">
      <w:bodyDiv w:val="1"/>
      <w:marLeft w:val="0"/>
      <w:marRight w:val="0"/>
      <w:marTop w:val="0"/>
      <w:marBottom w:val="0"/>
      <w:divBdr>
        <w:top w:val="none" w:sz="0" w:space="0" w:color="auto"/>
        <w:left w:val="none" w:sz="0" w:space="0" w:color="auto"/>
        <w:bottom w:val="none" w:sz="0" w:space="0" w:color="auto"/>
        <w:right w:val="none" w:sz="0" w:space="0" w:color="auto"/>
      </w:divBdr>
    </w:div>
    <w:div w:id="21313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6A953-6F9E-497B-9414-51D49204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3436</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dc:creator>
  <cp:keywords/>
  <cp:lastModifiedBy>Mary Bruce</cp:lastModifiedBy>
  <cp:revision>10</cp:revision>
  <cp:lastPrinted>2023-06-13T06:59:00Z</cp:lastPrinted>
  <dcterms:created xsi:type="dcterms:W3CDTF">2023-07-25T12:18:00Z</dcterms:created>
  <dcterms:modified xsi:type="dcterms:W3CDTF">2023-07-27T13:24:00Z</dcterms:modified>
</cp:coreProperties>
</file>