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66D" w:rsidRPr="008069A6" w:rsidRDefault="0035266D" w:rsidP="0035266D">
      <w:pPr>
        <w:jc w:val="center"/>
        <w:rPr>
          <w:b/>
          <w:bCs/>
          <w:sz w:val="24"/>
        </w:rPr>
      </w:pPr>
      <w:bookmarkStart w:id="0" w:name="_GoBack"/>
      <w:bookmarkEnd w:id="0"/>
      <w:r w:rsidRPr="008069A6">
        <w:rPr>
          <w:noProof/>
          <w:sz w:val="24"/>
          <w:lang w:val="en-US"/>
        </w:rPr>
        <w:drawing>
          <wp:anchor distT="0" distB="0" distL="114300" distR="114300" simplePos="0" relativeHeight="251659264" behindDoc="0" locked="0" layoutInCell="1" allowOverlap="1" wp14:anchorId="7EBD5A57" wp14:editId="413FBBBC">
            <wp:simplePos x="0" y="0"/>
            <wp:positionH relativeFrom="column">
              <wp:posOffset>2514600</wp:posOffset>
            </wp:positionH>
            <wp:positionV relativeFrom="paragraph">
              <wp:posOffset>-83820</wp:posOffset>
            </wp:positionV>
            <wp:extent cx="80010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14:sizeRelH relativeFrom="page">
              <wp14:pctWidth>0</wp14:pctWidth>
            </wp14:sizeRelH>
            <wp14:sizeRelV relativeFrom="page">
              <wp14:pctHeight>0</wp14:pctHeight>
            </wp14:sizeRelV>
          </wp:anchor>
        </w:drawing>
      </w:r>
    </w:p>
    <w:p w:rsidR="0035266D" w:rsidRPr="008069A6" w:rsidRDefault="0035266D" w:rsidP="0035266D">
      <w:pPr>
        <w:rPr>
          <w:b/>
          <w:bCs/>
          <w:sz w:val="24"/>
        </w:rPr>
      </w:pPr>
    </w:p>
    <w:p w:rsidR="00C24CE7" w:rsidRPr="008069A6" w:rsidRDefault="00C24CE7" w:rsidP="0035266D">
      <w:pPr>
        <w:rPr>
          <w:b/>
          <w:bCs/>
          <w:sz w:val="24"/>
        </w:rPr>
      </w:pPr>
    </w:p>
    <w:p w:rsidR="00C24CE7" w:rsidRPr="008069A6" w:rsidRDefault="00C24CE7" w:rsidP="0035266D">
      <w:pPr>
        <w:rPr>
          <w:b/>
          <w:bCs/>
          <w:sz w:val="24"/>
        </w:rPr>
      </w:pPr>
    </w:p>
    <w:p w:rsidR="0035266D" w:rsidRPr="008069A6" w:rsidRDefault="0035266D" w:rsidP="0035266D">
      <w:pPr>
        <w:jc w:val="center"/>
        <w:rPr>
          <w:b/>
          <w:bCs/>
          <w:sz w:val="24"/>
        </w:rPr>
      </w:pPr>
      <w:r w:rsidRPr="008069A6">
        <w:rPr>
          <w:b/>
          <w:bCs/>
          <w:sz w:val="24"/>
        </w:rPr>
        <w:t>THE SUPREME COURT OF APPEAL OF SOUTH AFRICA</w:t>
      </w:r>
    </w:p>
    <w:p w:rsidR="0035266D" w:rsidRPr="008069A6" w:rsidRDefault="0035266D" w:rsidP="0035266D">
      <w:pPr>
        <w:pStyle w:val="Heading3"/>
        <w:jc w:val="center"/>
        <w:rPr>
          <w:b/>
          <w:i w:val="0"/>
          <w:szCs w:val="28"/>
        </w:rPr>
      </w:pPr>
      <w:r w:rsidRPr="008069A6">
        <w:rPr>
          <w:b/>
          <w:i w:val="0"/>
          <w:sz w:val="24"/>
        </w:rPr>
        <w:t>JUDGMENT</w:t>
      </w:r>
    </w:p>
    <w:p w:rsidR="0035266D" w:rsidRPr="008069A6" w:rsidRDefault="0035266D" w:rsidP="0035266D">
      <w:pPr>
        <w:ind w:right="26"/>
        <w:jc w:val="right"/>
        <w:rPr>
          <w:bCs/>
          <w:sz w:val="24"/>
        </w:rPr>
      </w:pPr>
    </w:p>
    <w:p w:rsidR="0035266D" w:rsidRPr="008069A6" w:rsidRDefault="0074035B" w:rsidP="0035266D">
      <w:pPr>
        <w:ind w:right="26"/>
        <w:jc w:val="right"/>
        <w:rPr>
          <w:b/>
          <w:sz w:val="24"/>
        </w:rPr>
      </w:pPr>
      <w:r w:rsidRPr="008069A6">
        <w:rPr>
          <w:b/>
          <w:bCs/>
          <w:sz w:val="24"/>
        </w:rPr>
        <w:t>Reportable</w:t>
      </w:r>
    </w:p>
    <w:p w:rsidR="0035266D" w:rsidRPr="008069A6" w:rsidRDefault="0035266D" w:rsidP="0035266D">
      <w:pPr>
        <w:ind w:right="26"/>
        <w:jc w:val="right"/>
        <w:rPr>
          <w:b/>
          <w:sz w:val="24"/>
        </w:rPr>
      </w:pPr>
      <w:r w:rsidRPr="008069A6">
        <w:rPr>
          <w:b/>
          <w:sz w:val="24"/>
        </w:rPr>
        <w:tab/>
      </w:r>
      <w:r w:rsidRPr="008069A6">
        <w:rPr>
          <w:sz w:val="24"/>
        </w:rPr>
        <w:t xml:space="preserve">Case </w:t>
      </w:r>
      <w:r w:rsidR="00C24CE7" w:rsidRPr="008069A6">
        <w:rPr>
          <w:sz w:val="24"/>
        </w:rPr>
        <w:t>n</w:t>
      </w:r>
      <w:r w:rsidRPr="008069A6">
        <w:rPr>
          <w:sz w:val="24"/>
        </w:rPr>
        <w:t>o</w:t>
      </w:r>
      <w:r w:rsidRPr="008069A6">
        <w:rPr>
          <w:b/>
          <w:sz w:val="24"/>
        </w:rPr>
        <w:t>:</w:t>
      </w:r>
      <w:r w:rsidRPr="008069A6">
        <w:rPr>
          <w:sz w:val="24"/>
        </w:rPr>
        <w:t xml:space="preserve"> 364/2022</w:t>
      </w:r>
    </w:p>
    <w:p w:rsidR="0035266D" w:rsidRPr="008069A6" w:rsidRDefault="0035266D" w:rsidP="0035266D">
      <w:pPr>
        <w:ind w:right="26"/>
        <w:jc w:val="right"/>
        <w:rPr>
          <w:bCs/>
          <w:sz w:val="24"/>
        </w:rPr>
      </w:pPr>
    </w:p>
    <w:p w:rsidR="0035266D" w:rsidRPr="008069A6" w:rsidRDefault="0035266D" w:rsidP="0035266D">
      <w:pPr>
        <w:ind w:right="-328"/>
        <w:rPr>
          <w:b/>
          <w:bCs/>
          <w:sz w:val="24"/>
        </w:rPr>
      </w:pPr>
      <w:r w:rsidRPr="008069A6">
        <w:rPr>
          <w:bCs/>
          <w:sz w:val="24"/>
        </w:rPr>
        <w:t>In the matter between:</w:t>
      </w:r>
    </w:p>
    <w:p w:rsidR="0035266D" w:rsidRPr="008069A6" w:rsidRDefault="0035266D" w:rsidP="00DF5B9C">
      <w:pPr>
        <w:tabs>
          <w:tab w:val="right" w:pos="9000"/>
        </w:tabs>
        <w:ind w:right="26"/>
        <w:rPr>
          <w:b/>
          <w:sz w:val="24"/>
        </w:rPr>
      </w:pPr>
      <w:r w:rsidRPr="008069A6">
        <w:rPr>
          <w:b/>
          <w:bCs/>
          <w:sz w:val="24"/>
        </w:rPr>
        <w:t>MUNICIPAL GRATUITY FUND</w:t>
      </w:r>
      <w:r w:rsidRPr="008069A6">
        <w:rPr>
          <w:b/>
          <w:sz w:val="24"/>
        </w:rPr>
        <w:tab/>
      </w:r>
      <w:r w:rsidR="00DF5B9C" w:rsidRPr="008069A6">
        <w:rPr>
          <w:b/>
          <w:sz w:val="24"/>
        </w:rPr>
        <w:t xml:space="preserve">                      </w:t>
      </w:r>
      <w:r w:rsidRPr="008069A6">
        <w:rPr>
          <w:b/>
          <w:sz w:val="24"/>
        </w:rPr>
        <w:t>APPELLANT</w:t>
      </w:r>
    </w:p>
    <w:p w:rsidR="0035266D" w:rsidRPr="008069A6" w:rsidRDefault="0035266D" w:rsidP="005456F0">
      <w:pPr>
        <w:tabs>
          <w:tab w:val="right" w:pos="8931"/>
        </w:tabs>
        <w:spacing w:before="240" w:after="240"/>
        <w:ind w:right="28"/>
        <w:rPr>
          <w:sz w:val="24"/>
        </w:rPr>
      </w:pPr>
      <w:r w:rsidRPr="008069A6">
        <w:rPr>
          <w:sz w:val="24"/>
        </w:rPr>
        <w:t>and</w:t>
      </w:r>
    </w:p>
    <w:p w:rsidR="0035266D" w:rsidRPr="008069A6" w:rsidRDefault="0035266D" w:rsidP="00435846">
      <w:pPr>
        <w:tabs>
          <w:tab w:val="right" w:pos="9000"/>
        </w:tabs>
        <w:spacing w:line="480" w:lineRule="auto"/>
        <w:rPr>
          <w:b/>
          <w:sz w:val="24"/>
        </w:rPr>
      </w:pPr>
      <w:r w:rsidRPr="008069A6">
        <w:rPr>
          <w:b/>
          <w:sz w:val="24"/>
        </w:rPr>
        <w:t>THE PENSION FUNDS ADJUDICATOR</w:t>
      </w:r>
      <w:r w:rsidRPr="008069A6">
        <w:rPr>
          <w:b/>
          <w:sz w:val="24"/>
        </w:rPr>
        <w:tab/>
        <w:t>FIRST RESPONDENT</w:t>
      </w:r>
    </w:p>
    <w:p w:rsidR="0035266D" w:rsidRPr="008069A6" w:rsidRDefault="0035266D" w:rsidP="00435846">
      <w:pPr>
        <w:tabs>
          <w:tab w:val="right" w:pos="9000"/>
        </w:tabs>
        <w:spacing w:line="480" w:lineRule="auto"/>
        <w:rPr>
          <w:b/>
          <w:sz w:val="24"/>
        </w:rPr>
      </w:pPr>
      <w:r w:rsidRPr="008069A6">
        <w:rPr>
          <w:b/>
          <w:sz w:val="24"/>
        </w:rPr>
        <w:t>MUTSILA, TSHIFHIWA SHEMBRY</w:t>
      </w:r>
      <w:r w:rsidRPr="008069A6">
        <w:rPr>
          <w:b/>
          <w:sz w:val="24"/>
        </w:rPr>
        <w:tab/>
        <w:t>SECOND RESPONDENT</w:t>
      </w:r>
    </w:p>
    <w:p w:rsidR="0035266D" w:rsidRPr="008069A6" w:rsidRDefault="0035266D" w:rsidP="0035266D">
      <w:pPr>
        <w:tabs>
          <w:tab w:val="left" w:pos="-1440"/>
        </w:tabs>
        <w:ind w:right="-329"/>
        <w:rPr>
          <w:bCs/>
          <w:sz w:val="24"/>
        </w:rPr>
      </w:pPr>
    </w:p>
    <w:p w:rsidR="0035266D" w:rsidRPr="008069A6" w:rsidRDefault="0035266D" w:rsidP="0035266D">
      <w:pPr>
        <w:ind w:left="1985" w:right="26" w:hanging="1985"/>
        <w:rPr>
          <w:bCs/>
          <w:sz w:val="24"/>
        </w:rPr>
      </w:pPr>
      <w:r w:rsidRPr="008069A6">
        <w:rPr>
          <w:b/>
          <w:bCs/>
          <w:sz w:val="24"/>
        </w:rPr>
        <w:t>Neutral Citation:</w:t>
      </w:r>
      <w:r w:rsidRPr="008069A6">
        <w:rPr>
          <w:bCs/>
          <w:sz w:val="24"/>
        </w:rPr>
        <w:tab/>
      </w:r>
      <w:r w:rsidRPr="008069A6">
        <w:rPr>
          <w:bCs/>
          <w:i/>
          <w:sz w:val="24"/>
        </w:rPr>
        <w:t>Municipal G</w:t>
      </w:r>
      <w:r w:rsidR="00B37C57" w:rsidRPr="008069A6">
        <w:rPr>
          <w:bCs/>
          <w:i/>
          <w:sz w:val="24"/>
        </w:rPr>
        <w:t>ratuity Fund v The Pension Fund</w:t>
      </w:r>
      <w:r w:rsidRPr="008069A6">
        <w:rPr>
          <w:bCs/>
          <w:i/>
          <w:sz w:val="24"/>
        </w:rPr>
        <w:t xml:space="preserve">s Adjudicator </w:t>
      </w:r>
      <w:r w:rsidR="009B475C" w:rsidRPr="008069A6">
        <w:rPr>
          <w:bCs/>
          <w:i/>
          <w:sz w:val="24"/>
        </w:rPr>
        <w:t>and</w:t>
      </w:r>
      <w:r w:rsidRPr="008069A6">
        <w:rPr>
          <w:bCs/>
          <w:i/>
          <w:sz w:val="24"/>
        </w:rPr>
        <w:t xml:space="preserve"> Another </w:t>
      </w:r>
      <w:r w:rsidRPr="008069A6">
        <w:rPr>
          <w:bCs/>
          <w:sz w:val="24"/>
        </w:rPr>
        <w:t>(</w:t>
      </w:r>
      <w:r w:rsidR="00C24CE7" w:rsidRPr="008069A6">
        <w:rPr>
          <w:bCs/>
          <w:sz w:val="24"/>
        </w:rPr>
        <w:t xml:space="preserve">Case no </w:t>
      </w:r>
      <w:r w:rsidRPr="008069A6">
        <w:rPr>
          <w:bCs/>
          <w:sz w:val="24"/>
        </w:rPr>
        <w:t xml:space="preserve">364/2022) [2023] ZASCA </w:t>
      </w:r>
      <w:r w:rsidR="009C61D1">
        <w:rPr>
          <w:bCs/>
          <w:sz w:val="24"/>
        </w:rPr>
        <w:t>116</w:t>
      </w:r>
      <w:r w:rsidRPr="008069A6">
        <w:rPr>
          <w:bCs/>
          <w:sz w:val="24"/>
        </w:rPr>
        <w:t xml:space="preserve"> (</w:t>
      </w:r>
      <w:r w:rsidR="009C61D1">
        <w:rPr>
          <w:bCs/>
          <w:sz w:val="24"/>
        </w:rPr>
        <w:t>31</w:t>
      </w:r>
      <w:r w:rsidR="0074035B" w:rsidRPr="008069A6">
        <w:rPr>
          <w:bCs/>
          <w:sz w:val="24"/>
        </w:rPr>
        <w:t xml:space="preserve"> </w:t>
      </w:r>
      <w:r w:rsidR="00BD073D">
        <w:rPr>
          <w:bCs/>
          <w:sz w:val="24"/>
        </w:rPr>
        <w:t xml:space="preserve">July </w:t>
      </w:r>
      <w:r w:rsidRPr="008069A6">
        <w:rPr>
          <w:bCs/>
          <w:sz w:val="24"/>
        </w:rPr>
        <w:t>2023)</w:t>
      </w:r>
    </w:p>
    <w:p w:rsidR="0035266D" w:rsidRPr="008069A6" w:rsidRDefault="0035266D" w:rsidP="0035266D">
      <w:pPr>
        <w:spacing w:before="120"/>
        <w:ind w:left="1418" w:right="28" w:hanging="1418"/>
        <w:rPr>
          <w:bCs/>
          <w:sz w:val="24"/>
        </w:rPr>
      </w:pPr>
      <w:r w:rsidRPr="008069A6">
        <w:rPr>
          <w:b/>
          <w:bCs/>
          <w:sz w:val="24"/>
        </w:rPr>
        <w:t>Coram:</w:t>
      </w:r>
      <w:r w:rsidRPr="008069A6">
        <w:rPr>
          <w:bCs/>
          <w:sz w:val="24"/>
        </w:rPr>
        <w:tab/>
        <w:t xml:space="preserve">DAMBUZA ADP, MOCUMIE </w:t>
      </w:r>
      <w:r w:rsidR="00616758" w:rsidRPr="008069A6">
        <w:rPr>
          <w:bCs/>
          <w:sz w:val="24"/>
        </w:rPr>
        <w:t>and</w:t>
      </w:r>
      <w:r w:rsidRPr="008069A6">
        <w:rPr>
          <w:bCs/>
          <w:sz w:val="24"/>
        </w:rPr>
        <w:t xml:space="preserve"> MBATHA JJA</w:t>
      </w:r>
      <w:r w:rsidR="00524943" w:rsidRPr="008069A6">
        <w:rPr>
          <w:bCs/>
          <w:sz w:val="24"/>
        </w:rPr>
        <w:t xml:space="preserve"> </w:t>
      </w:r>
      <w:r w:rsidR="00616758" w:rsidRPr="008069A6">
        <w:rPr>
          <w:bCs/>
          <w:sz w:val="24"/>
        </w:rPr>
        <w:t>and</w:t>
      </w:r>
      <w:r w:rsidR="00524943" w:rsidRPr="008069A6">
        <w:rPr>
          <w:bCs/>
          <w:sz w:val="24"/>
        </w:rPr>
        <w:t xml:space="preserve"> NHLANGULELA </w:t>
      </w:r>
      <w:r w:rsidR="00616758" w:rsidRPr="008069A6">
        <w:rPr>
          <w:bCs/>
          <w:sz w:val="24"/>
        </w:rPr>
        <w:t>and</w:t>
      </w:r>
      <w:r w:rsidR="00524943" w:rsidRPr="008069A6">
        <w:rPr>
          <w:bCs/>
          <w:sz w:val="24"/>
        </w:rPr>
        <w:t xml:space="preserve"> DAFFUE </w:t>
      </w:r>
      <w:r w:rsidRPr="008069A6">
        <w:rPr>
          <w:bCs/>
          <w:sz w:val="24"/>
        </w:rPr>
        <w:t>AJJA</w:t>
      </w:r>
    </w:p>
    <w:p w:rsidR="0035266D" w:rsidRPr="008069A6" w:rsidRDefault="0035266D" w:rsidP="0035266D">
      <w:pPr>
        <w:tabs>
          <w:tab w:val="left" w:pos="-1440"/>
        </w:tabs>
        <w:spacing w:before="120"/>
        <w:ind w:left="1418" w:right="-329" w:hanging="1418"/>
        <w:rPr>
          <w:bCs/>
          <w:sz w:val="24"/>
        </w:rPr>
      </w:pPr>
      <w:r w:rsidRPr="008069A6">
        <w:rPr>
          <w:b/>
          <w:bCs/>
          <w:sz w:val="24"/>
        </w:rPr>
        <w:t>Heard:</w:t>
      </w:r>
      <w:r w:rsidRPr="008069A6">
        <w:rPr>
          <w:b/>
          <w:bCs/>
          <w:sz w:val="24"/>
        </w:rPr>
        <w:tab/>
      </w:r>
      <w:r w:rsidRPr="008069A6">
        <w:rPr>
          <w:bCs/>
          <w:sz w:val="24"/>
        </w:rPr>
        <w:t>16 May 2023</w:t>
      </w:r>
    </w:p>
    <w:p w:rsidR="00955E99" w:rsidRPr="00955E99" w:rsidRDefault="0035266D" w:rsidP="008434E1">
      <w:pPr>
        <w:tabs>
          <w:tab w:val="left" w:pos="-1440"/>
        </w:tabs>
        <w:spacing w:before="120"/>
        <w:ind w:right="-329"/>
        <w:rPr>
          <w:sz w:val="24"/>
        </w:rPr>
      </w:pPr>
      <w:r w:rsidRPr="008069A6">
        <w:rPr>
          <w:b/>
          <w:bCs/>
          <w:sz w:val="24"/>
        </w:rPr>
        <w:t>Delivered:</w:t>
      </w:r>
      <w:r w:rsidRPr="008069A6">
        <w:rPr>
          <w:sz w:val="24"/>
        </w:rPr>
        <w:tab/>
      </w:r>
      <w:r w:rsidR="00955E99" w:rsidRPr="008434E1">
        <w:rPr>
          <w:sz w:val="24"/>
        </w:rPr>
        <w:t xml:space="preserve">This judgment was handed down electronically by circulation to the parties’ representative via email, publication on the Supreme Court of Appeal website and release to SAFLII. The date and time of hand-down is deemed to be 11:00 am on </w:t>
      </w:r>
      <w:r w:rsidR="009C61D1">
        <w:rPr>
          <w:sz w:val="24"/>
        </w:rPr>
        <w:t>31</w:t>
      </w:r>
      <w:r w:rsidR="00955E99" w:rsidRPr="008434E1">
        <w:rPr>
          <w:sz w:val="24"/>
        </w:rPr>
        <w:t xml:space="preserve"> July 2023.</w:t>
      </w:r>
    </w:p>
    <w:p w:rsidR="0035266D" w:rsidRPr="008069A6" w:rsidRDefault="0035266D" w:rsidP="00640881">
      <w:pPr>
        <w:spacing w:before="120"/>
        <w:ind w:right="28"/>
        <w:rPr>
          <w:sz w:val="24"/>
          <w:shd w:val="clear" w:color="auto" w:fill="FFFFFF"/>
        </w:rPr>
      </w:pPr>
      <w:r w:rsidRPr="008069A6">
        <w:rPr>
          <w:b/>
          <w:bCs/>
          <w:sz w:val="24"/>
        </w:rPr>
        <w:t>Summary:</w:t>
      </w:r>
      <w:r w:rsidR="00640881" w:rsidRPr="008069A6">
        <w:rPr>
          <w:b/>
          <w:bCs/>
          <w:sz w:val="24"/>
        </w:rPr>
        <w:tab/>
      </w:r>
      <w:r w:rsidR="00BD073D">
        <w:rPr>
          <w:bCs/>
          <w:sz w:val="24"/>
        </w:rPr>
        <w:t xml:space="preserve">Pension Fund Act 24 of 1956 </w:t>
      </w:r>
      <w:r w:rsidRPr="008069A6">
        <w:rPr>
          <w:sz w:val="24"/>
          <w:shd w:val="clear" w:color="auto" w:fill="FFFFFF"/>
        </w:rPr>
        <w:t xml:space="preserve">– whether the </w:t>
      </w:r>
      <w:r w:rsidR="004533E9" w:rsidRPr="008069A6">
        <w:rPr>
          <w:bCs/>
          <w:sz w:val="24"/>
        </w:rPr>
        <w:t xml:space="preserve">Pension Funds </w:t>
      </w:r>
      <w:r w:rsidRPr="008069A6">
        <w:rPr>
          <w:sz w:val="24"/>
          <w:shd w:val="clear" w:color="auto" w:fill="FFFFFF"/>
        </w:rPr>
        <w:t xml:space="preserve">Adjudicator had jurisdiction to consider a complaint by </w:t>
      </w:r>
      <w:r w:rsidR="004533E9" w:rsidRPr="008069A6">
        <w:rPr>
          <w:sz w:val="24"/>
          <w:shd w:val="clear" w:color="auto" w:fill="FFFFFF"/>
        </w:rPr>
        <w:t xml:space="preserve">a </w:t>
      </w:r>
      <w:r w:rsidR="009119C2" w:rsidRPr="008069A6">
        <w:rPr>
          <w:sz w:val="24"/>
          <w:shd w:val="clear" w:color="auto" w:fill="FFFFFF"/>
        </w:rPr>
        <w:t>claimant who</w:t>
      </w:r>
      <w:r w:rsidRPr="008069A6">
        <w:rPr>
          <w:sz w:val="24"/>
          <w:shd w:val="clear" w:color="auto" w:fill="FFFFFF"/>
        </w:rPr>
        <w:t xml:space="preserve"> lodged </w:t>
      </w:r>
      <w:r w:rsidR="004533E9" w:rsidRPr="008069A6">
        <w:rPr>
          <w:sz w:val="24"/>
          <w:shd w:val="clear" w:color="auto" w:fill="FFFFFF"/>
        </w:rPr>
        <w:t xml:space="preserve">their </w:t>
      </w:r>
      <w:r w:rsidRPr="008069A6">
        <w:rPr>
          <w:sz w:val="24"/>
          <w:shd w:val="clear" w:color="auto" w:fill="FFFFFF"/>
        </w:rPr>
        <w:t xml:space="preserve">complaint directly with the </w:t>
      </w:r>
      <w:r w:rsidR="004533E9" w:rsidRPr="008069A6">
        <w:rPr>
          <w:bCs/>
          <w:sz w:val="24"/>
        </w:rPr>
        <w:t xml:space="preserve">Pension Funds </w:t>
      </w:r>
      <w:r w:rsidRPr="008069A6">
        <w:rPr>
          <w:sz w:val="24"/>
          <w:shd w:val="clear" w:color="auto" w:fill="FFFFFF"/>
        </w:rPr>
        <w:t xml:space="preserve">Adjudicator </w:t>
      </w:r>
      <w:r w:rsidR="00D6712D" w:rsidRPr="008069A6">
        <w:rPr>
          <w:sz w:val="24"/>
          <w:shd w:val="clear" w:color="auto" w:fill="FFFFFF"/>
        </w:rPr>
        <w:t>–</w:t>
      </w:r>
      <w:r w:rsidR="007D71CA" w:rsidRPr="008069A6">
        <w:rPr>
          <w:sz w:val="24"/>
          <w:shd w:val="clear" w:color="auto" w:fill="FFFFFF"/>
        </w:rPr>
        <w:t xml:space="preserve"> </w:t>
      </w:r>
      <w:r w:rsidRPr="008069A6">
        <w:rPr>
          <w:sz w:val="24"/>
          <w:shd w:val="clear" w:color="auto" w:fill="FFFFFF"/>
        </w:rPr>
        <w:t xml:space="preserve">whether the </w:t>
      </w:r>
      <w:r w:rsidRPr="008069A6">
        <w:rPr>
          <w:i/>
          <w:sz w:val="24"/>
          <w:shd w:val="clear" w:color="auto" w:fill="FFFFFF"/>
        </w:rPr>
        <w:t>audi alteram partem</w:t>
      </w:r>
      <w:r w:rsidRPr="008069A6">
        <w:rPr>
          <w:sz w:val="24"/>
          <w:shd w:val="clear" w:color="auto" w:fill="FFFFFF"/>
        </w:rPr>
        <w:t xml:space="preserve"> rule was violated in that the </w:t>
      </w:r>
      <w:r w:rsidR="004533E9" w:rsidRPr="008069A6">
        <w:rPr>
          <w:sz w:val="24"/>
          <w:shd w:val="clear" w:color="auto" w:fill="FFFFFF"/>
        </w:rPr>
        <w:t>Municipality Gratuity F</w:t>
      </w:r>
      <w:r w:rsidRPr="008069A6">
        <w:rPr>
          <w:sz w:val="24"/>
          <w:shd w:val="clear" w:color="auto" w:fill="FFFFFF"/>
        </w:rPr>
        <w:t xml:space="preserve">und was not provided an opportunity to make representations to the </w:t>
      </w:r>
      <w:r w:rsidR="004533E9" w:rsidRPr="008069A6">
        <w:rPr>
          <w:bCs/>
          <w:sz w:val="24"/>
        </w:rPr>
        <w:t xml:space="preserve">Pension Funds </w:t>
      </w:r>
      <w:r w:rsidRPr="008069A6">
        <w:rPr>
          <w:sz w:val="24"/>
          <w:shd w:val="clear" w:color="auto" w:fill="FFFFFF"/>
        </w:rPr>
        <w:t>Adjudicator</w:t>
      </w:r>
      <w:r w:rsidR="00BD073D">
        <w:rPr>
          <w:sz w:val="24"/>
          <w:shd w:val="clear" w:color="auto" w:fill="FFFFFF"/>
        </w:rPr>
        <w:t>.</w:t>
      </w:r>
      <w:r w:rsidR="00B37C57" w:rsidRPr="008069A6">
        <w:rPr>
          <w:sz w:val="24"/>
          <w:shd w:val="clear" w:color="auto" w:fill="FFFFFF"/>
        </w:rPr>
        <w:t xml:space="preserve"> </w:t>
      </w:r>
    </w:p>
    <w:p w:rsidR="0035266D" w:rsidRPr="008069A6" w:rsidRDefault="00640881" w:rsidP="0035266D">
      <w:pPr>
        <w:tabs>
          <w:tab w:val="left" w:pos="2127"/>
        </w:tabs>
        <w:spacing w:line="240" w:lineRule="auto"/>
        <w:ind w:right="28"/>
        <w:rPr>
          <w:bCs/>
          <w:sz w:val="24"/>
        </w:rPr>
      </w:pPr>
      <w:r w:rsidRPr="008069A6">
        <w:rPr>
          <w:sz w:val="24"/>
          <w:shd w:val="clear" w:color="auto" w:fill="FFFFFF"/>
        </w:rPr>
        <w:br w:type="page"/>
      </w:r>
      <w:r w:rsidR="0035266D" w:rsidRPr="008069A6">
        <w:rPr>
          <w:bCs/>
          <w:sz w:val="24"/>
        </w:rPr>
        <w:lastRenderedPageBreak/>
        <w:t>___________________________________________________________________</w:t>
      </w:r>
    </w:p>
    <w:p w:rsidR="0035266D" w:rsidRPr="008069A6" w:rsidRDefault="0035266D" w:rsidP="0035266D">
      <w:pPr>
        <w:tabs>
          <w:tab w:val="right" w:pos="8197"/>
        </w:tabs>
        <w:spacing w:line="240" w:lineRule="auto"/>
        <w:ind w:left="720" w:right="26" w:hanging="720"/>
        <w:jc w:val="center"/>
        <w:rPr>
          <w:b/>
          <w:bCs/>
          <w:sz w:val="24"/>
        </w:rPr>
      </w:pPr>
    </w:p>
    <w:p w:rsidR="0035266D" w:rsidRPr="008069A6" w:rsidRDefault="0035266D" w:rsidP="0035266D">
      <w:pPr>
        <w:tabs>
          <w:tab w:val="right" w:pos="8197"/>
        </w:tabs>
        <w:spacing w:line="240" w:lineRule="auto"/>
        <w:ind w:left="720" w:right="26" w:hanging="720"/>
        <w:jc w:val="center"/>
        <w:rPr>
          <w:b/>
          <w:bCs/>
          <w:sz w:val="24"/>
        </w:rPr>
      </w:pPr>
      <w:r w:rsidRPr="008069A6">
        <w:rPr>
          <w:b/>
          <w:bCs/>
          <w:sz w:val="24"/>
        </w:rPr>
        <w:t>ORDER</w:t>
      </w:r>
    </w:p>
    <w:p w:rsidR="0035266D" w:rsidRPr="008069A6" w:rsidRDefault="0035266D" w:rsidP="0035266D">
      <w:pPr>
        <w:ind w:right="28"/>
        <w:rPr>
          <w:sz w:val="24"/>
        </w:rPr>
      </w:pPr>
      <w:r w:rsidRPr="008069A6">
        <w:rPr>
          <w:bCs/>
          <w:sz w:val="24"/>
        </w:rPr>
        <w:t>___________________________________________________________________</w:t>
      </w:r>
    </w:p>
    <w:p w:rsidR="0035266D" w:rsidRPr="008069A6" w:rsidRDefault="0035266D" w:rsidP="0035266D">
      <w:pPr>
        <w:rPr>
          <w:sz w:val="24"/>
        </w:rPr>
      </w:pPr>
      <w:r w:rsidRPr="008069A6">
        <w:rPr>
          <w:b/>
          <w:sz w:val="24"/>
        </w:rPr>
        <w:t>On appeal from</w:t>
      </w:r>
      <w:r w:rsidRPr="008069A6">
        <w:rPr>
          <w:sz w:val="24"/>
        </w:rPr>
        <w:t>: The Gauteng Division of the High Court, Pretoria (</w:t>
      </w:r>
      <w:r w:rsidR="00BA2CEE" w:rsidRPr="008069A6">
        <w:rPr>
          <w:sz w:val="24"/>
        </w:rPr>
        <w:t xml:space="preserve">Baqwa </w:t>
      </w:r>
      <w:r w:rsidR="000C33F7" w:rsidRPr="008069A6">
        <w:rPr>
          <w:sz w:val="24"/>
        </w:rPr>
        <w:t>and</w:t>
      </w:r>
      <w:r w:rsidR="00BA2CEE" w:rsidRPr="008069A6">
        <w:rPr>
          <w:sz w:val="24"/>
        </w:rPr>
        <w:t xml:space="preserve"> Janse van Nieuwenhuizen JJ</w:t>
      </w:r>
      <w:r w:rsidRPr="008069A6">
        <w:rPr>
          <w:sz w:val="24"/>
        </w:rPr>
        <w:t xml:space="preserve"> </w:t>
      </w:r>
      <w:r w:rsidR="000C33F7" w:rsidRPr="008069A6">
        <w:rPr>
          <w:sz w:val="24"/>
        </w:rPr>
        <w:t>and</w:t>
      </w:r>
      <w:r w:rsidRPr="008069A6">
        <w:rPr>
          <w:sz w:val="24"/>
        </w:rPr>
        <w:t xml:space="preserve"> Seboko AJ</w:t>
      </w:r>
      <w:r w:rsidR="00BA2CEE" w:rsidRPr="008069A6">
        <w:rPr>
          <w:sz w:val="24"/>
        </w:rPr>
        <w:t>,</w:t>
      </w:r>
      <w:r w:rsidRPr="008069A6">
        <w:rPr>
          <w:sz w:val="24"/>
        </w:rPr>
        <w:t xml:space="preserve"> sitting as a court of appeal):</w:t>
      </w:r>
    </w:p>
    <w:p w:rsidR="0035266D" w:rsidRPr="008069A6" w:rsidRDefault="0035266D" w:rsidP="0035266D">
      <w:pPr>
        <w:tabs>
          <w:tab w:val="left" w:pos="567"/>
        </w:tabs>
        <w:rPr>
          <w:sz w:val="24"/>
        </w:rPr>
      </w:pPr>
      <w:r w:rsidRPr="008069A6">
        <w:rPr>
          <w:sz w:val="24"/>
        </w:rPr>
        <w:t>1</w:t>
      </w:r>
      <w:r w:rsidRPr="008069A6">
        <w:rPr>
          <w:sz w:val="24"/>
        </w:rPr>
        <w:tab/>
        <w:t xml:space="preserve">The appeal is upheld, </w:t>
      </w:r>
      <w:r w:rsidR="003257AA" w:rsidRPr="008069A6">
        <w:rPr>
          <w:sz w:val="24"/>
        </w:rPr>
        <w:t xml:space="preserve">with </w:t>
      </w:r>
      <w:r w:rsidRPr="008069A6">
        <w:rPr>
          <w:sz w:val="24"/>
        </w:rPr>
        <w:t xml:space="preserve">each party to pay </w:t>
      </w:r>
      <w:r w:rsidR="00BD073D">
        <w:rPr>
          <w:sz w:val="24"/>
        </w:rPr>
        <w:t xml:space="preserve">its </w:t>
      </w:r>
      <w:r w:rsidRPr="008069A6">
        <w:rPr>
          <w:sz w:val="24"/>
        </w:rPr>
        <w:t>own costs.</w:t>
      </w:r>
    </w:p>
    <w:p w:rsidR="0035266D" w:rsidRPr="008069A6" w:rsidRDefault="0035266D" w:rsidP="0035266D">
      <w:pPr>
        <w:tabs>
          <w:tab w:val="left" w:pos="567"/>
        </w:tabs>
        <w:rPr>
          <w:sz w:val="24"/>
        </w:rPr>
      </w:pPr>
      <w:r w:rsidRPr="008069A6">
        <w:rPr>
          <w:sz w:val="24"/>
        </w:rPr>
        <w:t>2</w:t>
      </w:r>
      <w:r w:rsidRPr="008069A6">
        <w:rPr>
          <w:sz w:val="24"/>
        </w:rPr>
        <w:tab/>
        <w:t>The order of the full court is set aside and replaced with the following:</w:t>
      </w:r>
    </w:p>
    <w:p w:rsidR="00D51F9B" w:rsidRPr="008069A6" w:rsidRDefault="0035266D" w:rsidP="0035266D">
      <w:pPr>
        <w:tabs>
          <w:tab w:val="left" w:pos="567"/>
        </w:tabs>
        <w:rPr>
          <w:sz w:val="24"/>
        </w:rPr>
      </w:pPr>
      <w:r w:rsidRPr="008069A6">
        <w:rPr>
          <w:sz w:val="24"/>
        </w:rPr>
        <w:t>‘(a)</w:t>
      </w:r>
      <w:r w:rsidRPr="008069A6">
        <w:rPr>
          <w:sz w:val="24"/>
        </w:rPr>
        <w:tab/>
        <w:t xml:space="preserve">The </w:t>
      </w:r>
      <w:r w:rsidR="00D51F9B" w:rsidRPr="008069A6">
        <w:rPr>
          <w:sz w:val="24"/>
        </w:rPr>
        <w:t>appeal is upheld with each party paying its own costs;</w:t>
      </w:r>
    </w:p>
    <w:p w:rsidR="00D51F9B" w:rsidRPr="008069A6" w:rsidRDefault="00D51F9B" w:rsidP="0035266D">
      <w:pPr>
        <w:tabs>
          <w:tab w:val="left" w:pos="567"/>
        </w:tabs>
        <w:rPr>
          <w:sz w:val="24"/>
        </w:rPr>
      </w:pPr>
      <w:r w:rsidRPr="008069A6">
        <w:rPr>
          <w:sz w:val="24"/>
        </w:rPr>
        <w:t xml:space="preserve"> (b) </w:t>
      </w:r>
      <w:r w:rsidRPr="008069A6">
        <w:rPr>
          <w:sz w:val="24"/>
        </w:rPr>
        <w:tab/>
        <w:t>The order of the court a quo is set aside and replaced with the following:</w:t>
      </w:r>
    </w:p>
    <w:p w:rsidR="0035266D" w:rsidRPr="008069A6" w:rsidRDefault="00D51F9B" w:rsidP="00200A40">
      <w:pPr>
        <w:tabs>
          <w:tab w:val="left" w:pos="567"/>
        </w:tabs>
        <w:ind w:left="567"/>
        <w:rPr>
          <w:sz w:val="24"/>
        </w:rPr>
      </w:pPr>
      <w:r w:rsidRPr="008069A6">
        <w:rPr>
          <w:sz w:val="24"/>
        </w:rPr>
        <w:t>(i) The determination of the Pension Fund</w:t>
      </w:r>
      <w:r w:rsidR="0035266D" w:rsidRPr="008069A6">
        <w:rPr>
          <w:sz w:val="24"/>
        </w:rPr>
        <w:t>s Adjudicator dated 8 September 2014 is set aside.</w:t>
      </w:r>
    </w:p>
    <w:p w:rsidR="0035266D" w:rsidRPr="008069A6" w:rsidRDefault="0035266D" w:rsidP="0035266D">
      <w:pPr>
        <w:tabs>
          <w:tab w:val="left" w:pos="567"/>
        </w:tabs>
        <w:rPr>
          <w:sz w:val="24"/>
        </w:rPr>
      </w:pPr>
      <w:r w:rsidRPr="008069A6">
        <w:rPr>
          <w:sz w:val="24"/>
        </w:rPr>
        <w:tab/>
      </w:r>
      <w:r w:rsidR="00D51F9B" w:rsidRPr="008069A6">
        <w:rPr>
          <w:sz w:val="24"/>
        </w:rPr>
        <w:t xml:space="preserve">(ii) </w:t>
      </w:r>
      <w:r w:rsidRPr="008069A6">
        <w:rPr>
          <w:sz w:val="24"/>
        </w:rPr>
        <w:t xml:space="preserve">Each party shall pay </w:t>
      </w:r>
      <w:r w:rsidR="00BD073D">
        <w:rPr>
          <w:sz w:val="24"/>
        </w:rPr>
        <w:t xml:space="preserve">its </w:t>
      </w:r>
      <w:r w:rsidRPr="008069A6">
        <w:rPr>
          <w:sz w:val="24"/>
        </w:rPr>
        <w:t>own costs.’</w:t>
      </w:r>
    </w:p>
    <w:p w:rsidR="0035266D" w:rsidRPr="008069A6" w:rsidRDefault="0035266D" w:rsidP="0035266D">
      <w:pPr>
        <w:spacing w:line="240" w:lineRule="auto"/>
        <w:rPr>
          <w:bCs/>
          <w:sz w:val="24"/>
        </w:rPr>
      </w:pPr>
      <w:r w:rsidRPr="008069A6">
        <w:rPr>
          <w:bCs/>
          <w:sz w:val="24"/>
        </w:rPr>
        <w:t>___________________________________________________________________</w:t>
      </w:r>
    </w:p>
    <w:p w:rsidR="0035266D" w:rsidRPr="008069A6" w:rsidRDefault="0035266D" w:rsidP="0035266D">
      <w:pPr>
        <w:tabs>
          <w:tab w:val="right" w:pos="8197"/>
        </w:tabs>
        <w:spacing w:line="240" w:lineRule="auto"/>
        <w:ind w:right="26"/>
        <w:rPr>
          <w:bCs/>
          <w:sz w:val="24"/>
        </w:rPr>
      </w:pPr>
    </w:p>
    <w:p w:rsidR="0035266D" w:rsidRPr="008069A6" w:rsidRDefault="0035266D" w:rsidP="0035266D">
      <w:pPr>
        <w:tabs>
          <w:tab w:val="right" w:pos="8197"/>
        </w:tabs>
        <w:spacing w:line="240" w:lineRule="auto"/>
        <w:ind w:left="720" w:right="26" w:hanging="720"/>
        <w:jc w:val="center"/>
        <w:rPr>
          <w:b/>
          <w:bCs/>
          <w:sz w:val="24"/>
        </w:rPr>
      </w:pPr>
      <w:r w:rsidRPr="008069A6">
        <w:rPr>
          <w:b/>
          <w:bCs/>
          <w:sz w:val="24"/>
        </w:rPr>
        <w:t>JUDGMENT</w:t>
      </w:r>
    </w:p>
    <w:p w:rsidR="0035266D" w:rsidRPr="008069A6" w:rsidRDefault="0035266D" w:rsidP="0035266D">
      <w:pPr>
        <w:ind w:right="26"/>
        <w:rPr>
          <w:sz w:val="24"/>
        </w:rPr>
      </w:pPr>
      <w:r w:rsidRPr="008069A6">
        <w:rPr>
          <w:bCs/>
          <w:sz w:val="24"/>
        </w:rPr>
        <w:t>___________________________________________________________________</w:t>
      </w:r>
    </w:p>
    <w:p w:rsidR="0035266D" w:rsidRPr="008069A6" w:rsidRDefault="0035266D" w:rsidP="005456F0">
      <w:pPr>
        <w:tabs>
          <w:tab w:val="left" w:pos="-1440"/>
        </w:tabs>
        <w:spacing w:after="240"/>
        <w:ind w:right="28"/>
        <w:rPr>
          <w:b/>
          <w:bCs/>
          <w:sz w:val="24"/>
        </w:rPr>
      </w:pPr>
      <w:r w:rsidRPr="008069A6">
        <w:rPr>
          <w:b/>
          <w:sz w:val="24"/>
        </w:rPr>
        <w:t>Daffue AJA (</w:t>
      </w:r>
      <w:r w:rsidR="004E0D02" w:rsidRPr="008069A6">
        <w:rPr>
          <w:b/>
          <w:sz w:val="24"/>
        </w:rPr>
        <w:t>Dambuza ADP,</w:t>
      </w:r>
      <w:r w:rsidR="00EA734D" w:rsidRPr="008069A6">
        <w:rPr>
          <w:b/>
          <w:sz w:val="24"/>
        </w:rPr>
        <w:t xml:space="preserve"> </w:t>
      </w:r>
      <w:r w:rsidR="00C26911" w:rsidRPr="008069A6">
        <w:rPr>
          <w:b/>
          <w:sz w:val="24"/>
        </w:rPr>
        <w:t xml:space="preserve">Mocumie </w:t>
      </w:r>
      <w:r w:rsidR="004E0D02" w:rsidRPr="008069A6">
        <w:rPr>
          <w:b/>
          <w:sz w:val="24"/>
        </w:rPr>
        <w:t>and Mbatha J</w:t>
      </w:r>
      <w:r w:rsidR="00C26911" w:rsidRPr="008069A6">
        <w:rPr>
          <w:b/>
          <w:sz w:val="24"/>
        </w:rPr>
        <w:t xml:space="preserve">JA </w:t>
      </w:r>
      <w:r w:rsidR="004E0D02" w:rsidRPr="008069A6">
        <w:rPr>
          <w:b/>
          <w:sz w:val="24"/>
        </w:rPr>
        <w:t>and Nhlangulela AJ</w:t>
      </w:r>
      <w:r w:rsidR="00EA734D" w:rsidRPr="008069A6">
        <w:rPr>
          <w:b/>
          <w:sz w:val="24"/>
        </w:rPr>
        <w:t>J</w:t>
      </w:r>
      <w:r w:rsidR="004E0D02" w:rsidRPr="008069A6">
        <w:rPr>
          <w:b/>
          <w:sz w:val="24"/>
        </w:rPr>
        <w:t>A):</w:t>
      </w:r>
    </w:p>
    <w:p w:rsidR="0035266D" w:rsidRPr="008069A6" w:rsidRDefault="0035266D" w:rsidP="0074035B">
      <w:pPr>
        <w:pStyle w:val="ListParagraph"/>
        <w:ind w:left="0" w:right="26"/>
        <w:rPr>
          <w:b/>
          <w:sz w:val="24"/>
        </w:rPr>
      </w:pPr>
      <w:r w:rsidRPr="008069A6">
        <w:rPr>
          <w:b/>
          <w:sz w:val="24"/>
        </w:rPr>
        <w:t>Introduction</w:t>
      </w:r>
    </w:p>
    <w:p w:rsidR="0074035B" w:rsidRPr="008069A6" w:rsidRDefault="0035266D" w:rsidP="00B80355">
      <w:pPr>
        <w:pStyle w:val="ListParagraph"/>
        <w:numPr>
          <w:ilvl w:val="0"/>
          <w:numId w:val="1"/>
        </w:numPr>
        <w:ind w:left="0" w:right="26" w:firstLine="0"/>
        <w:rPr>
          <w:sz w:val="24"/>
        </w:rPr>
      </w:pPr>
      <w:r w:rsidRPr="008069A6">
        <w:rPr>
          <w:sz w:val="24"/>
        </w:rPr>
        <w:t xml:space="preserve">The ultimate question to be decided in this appeal is whether </w:t>
      </w:r>
      <w:r w:rsidR="00D51F9B" w:rsidRPr="008069A6">
        <w:rPr>
          <w:sz w:val="24"/>
        </w:rPr>
        <w:t>a</w:t>
      </w:r>
      <w:r w:rsidRPr="008069A6">
        <w:rPr>
          <w:sz w:val="24"/>
        </w:rPr>
        <w:t xml:space="preserve"> determination of the Pension Funds Adjudicator (the Adjudicator) </w:t>
      </w:r>
      <w:r w:rsidR="00D51F9B" w:rsidRPr="008069A6">
        <w:rPr>
          <w:sz w:val="24"/>
        </w:rPr>
        <w:t>in terms of which death benefits due to the dependants of the late</w:t>
      </w:r>
      <w:r w:rsidR="002C04CC" w:rsidRPr="008069A6">
        <w:rPr>
          <w:sz w:val="24"/>
        </w:rPr>
        <w:t xml:space="preserve"> Mr</w:t>
      </w:r>
      <w:r w:rsidR="00D51F9B" w:rsidRPr="008069A6">
        <w:rPr>
          <w:sz w:val="24"/>
        </w:rPr>
        <w:t xml:space="preserve"> TE Mutsila (the deceased)</w:t>
      </w:r>
      <w:r w:rsidRPr="008069A6">
        <w:rPr>
          <w:sz w:val="24"/>
        </w:rPr>
        <w:t xml:space="preserve"> should be set aside. During his lifetime</w:t>
      </w:r>
      <w:r w:rsidR="002C04CC" w:rsidRPr="008069A6">
        <w:rPr>
          <w:sz w:val="24"/>
        </w:rPr>
        <w:t>, the deceased</w:t>
      </w:r>
      <w:r w:rsidR="00B80355" w:rsidRPr="008069A6">
        <w:rPr>
          <w:sz w:val="24"/>
        </w:rPr>
        <w:t>, an employee of</w:t>
      </w:r>
      <w:r w:rsidRPr="008069A6">
        <w:rPr>
          <w:sz w:val="24"/>
        </w:rPr>
        <w:t xml:space="preserve"> the Ba-</w:t>
      </w:r>
      <w:r w:rsidR="00B80355" w:rsidRPr="008069A6">
        <w:rPr>
          <w:sz w:val="24"/>
        </w:rPr>
        <w:t>Phalaborwa Municipality, was</w:t>
      </w:r>
      <w:r w:rsidRPr="008069A6">
        <w:rPr>
          <w:sz w:val="24"/>
        </w:rPr>
        <w:t xml:space="preserve"> a member of</w:t>
      </w:r>
      <w:r w:rsidR="00D51F9B" w:rsidRPr="008069A6">
        <w:rPr>
          <w:sz w:val="24"/>
        </w:rPr>
        <w:t xml:space="preserve"> the </w:t>
      </w:r>
      <w:r w:rsidRPr="008069A6">
        <w:rPr>
          <w:sz w:val="24"/>
        </w:rPr>
        <w:t xml:space="preserve">Municipal Gratuity Fund (the Fund), the appellant in this appeal. The Fund was at the time administered by Sanlam Life Insurance Ltd. </w:t>
      </w:r>
      <w:r w:rsidR="00B80355" w:rsidRPr="008069A6">
        <w:rPr>
          <w:sz w:val="24"/>
        </w:rPr>
        <w:t>The deceased passed away on 15 December 2012. Upon his death</w:t>
      </w:r>
      <w:r w:rsidR="0099777F" w:rsidRPr="008069A6">
        <w:rPr>
          <w:sz w:val="24"/>
        </w:rPr>
        <w:t>,</w:t>
      </w:r>
      <w:r w:rsidR="00B80355" w:rsidRPr="008069A6">
        <w:rPr>
          <w:sz w:val="24"/>
        </w:rPr>
        <w:t xml:space="preserve"> a</w:t>
      </w:r>
      <w:r w:rsidRPr="008069A6">
        <w:rPr>
          <w:sz w:val="24"/>
        </w:rPr>
        <w:t xml:space="preserve"> dispute arose concernin</w:t>
      </w:r>
      <w:r w:rsidR="00B80355" w:rsidRPr="008069A6">
        <w:rPr>
          <w:sz w:val="24"/>
        </w:rPr>
        <w:t>g the allocation of the death benefits</w:t>
      </w:r>
      <w:r w:rsidR="00BD073D">
        <w:rPr>
          <w:sz w:val="24"/>
        </w:rPr>
        <w:t xml:space="preserve"> to his dependents</w:t>
      </w:r>
      <w:r w:rsidR="00B80355" w:rsidRPr="008069A6">
        <w:rPr>
          <w:sz w:val="24"/>
        </w:rPr>
        <w:t xml:space="preserve">. </w:t>
      </w:r>
      <w:r w:rsidR="00D74624" w:rsidRPr="008069A6">
        <w:rPr>
          <w:sz w:val="24"/>
        </w:rPr>
        <w:t xml:space="preserve">The second respondent, </w:t>
      </w:r>
      <w:r w:rsidRPr="008069A6">
        <w:rPr>
          <w:sz w:val="24"/>
        </w:rPr>
        <w:t>Ms T</w:t>
      </w:r>
      <w:r w:rsidR="007D71CA" w:rsidRPr="008069A6">
        <w:rPr>
          <w:sz w:val="24"/>
        </w:rPr>
        <w:t xml:space="preserve">shifhiwa </w:t>
      </w:r>
      <w:r w:rsidRPr="008069A6">
        <w:rPr>
          <w:sz w:val="24"/>
        </w:rPr>
        <w:t>S</w:t>
      </w:r>
      <w:r w:rsidR="007D71CA" w:rsidRPr="008069A6">
        <w:rPr>
          <w:sz w:val="24"/>
        </w:rPr>
        <w:t xml:space="preserve">hembry </w:t>
      </w:r>
      <w:r w:rsidRPr="008069A6">
        <w:rPr>
          <w:sz w:val="24"/>
        </w:rPr>
        <w:t xml:space="preserve">Mutsila (Ms Mutsila), the deceased’s widow, was dissatisfied with the approach adopted by the Fund in allocating </w:t>
      </w:r>
      <w:r w:rsidR="00BD073D">
        <w:rPr>
          <w:sz w:val="24"/>
        </w:rPr>
        <w:t xml:space="preserve">the death </w:t>
      </w:r>
      <w:r w:rsidRPr="008069A6">
        <w:rPr>
          <w:sz w:val="24"/>
        </w:rPr>
        <w:t>benefits to certain beneficiaries</w:t>
      </w:r>
      <w:r w:rsidR="00B0452A" w:rsidRPr="008069A6">
        <w:rPr>
          <w:sz w:val="24"/>
        </w:rPr>
        <w:t xml:space="preserve"> whom she considered not to </w:t>
      </w:r>
      <w:r w:rsidR="00BD073D">
        <w:rPr>
          <w:sz w:val="24"/>
        </w:rPr>
        <w:t xml:space="preserve">qualify for </w:t>
      </w:r>
      <w:r w:rsidR="00B0452A" w:rsidRPr="008069A6">
        <w:rPr>
          <w:sz w:val="24"/>
        </w:rPr>
        <w:t>the death benefits</w:t>
      </w:r>
      <w:r w:rsidRPr="008069A6">
        <w:rPr>
          <w:sz w:val="24"/>
        </w:rPr>
        <w:t xml:space="preserve">. She decided </w:t>
      </w:r>
      <w:r w:rsidR="00E33EE4" w:rsidRPr="008069A6">
        <w:rPr>
          <w:sz w:val="24"/>
        </w:rPr>
        <w:t xml:space="preserve">as advised in a letter by the Fund </w:t>
      </w:r>
      <w:r w:rsidRPr="008069A6">
        <w:rPr>
          <w:sz w:val="24"/>
        </w:rPr>
        <w:t>to file a written complaint with the Adjudicator who made a determination, inter alia</w:t>
      </w:r>
      <w:r w:rsidR="0099777F" w:rsidRPr="008069A6">
        <w:rPr>
          <w:sz w:val="24"/>
        </w:rPr>
        <w:t>,</w:t>
      </w:r>
      <w:r w:rsidRPr="008069A6">
        <w:rPr>
          <w:sz w:val="24"/>
        </w:rPr>
        <w:t xml:space="preserve"> setting aside the Fund’s allocation of the death benefits.</w:t>
      </w:r>
      <w:r w:rsidRPr="008069A6">
        <w:rPr>
          <w:sz w:val="24"/>
        </w:rPr>
        <w:tab/>
      </w:r>
    </w:p>
    <w:p w:rsidR="00BD073D" w:rsidRDefault="00BD073D" w:rsidP="0074035B">
      <w:pPr>
        <w:pStyle w:val="ListParagraph"/>
        <w:autoSpaceDE w:val="0"/>
        <w:autoSpaceDN w:val="0"/>
        <w:adjustRightInd w:val="0"/>
        <w:ind w:left="0" w:right="26"/>
        <w:jc w:val="left"/>
        <w:rPr>
          <w:rFonts w:eastAsiaTheme="minorHAnsi"/>
          <w:b/>
          <w:sz w:val="24"/>
          <w:lang w:val="en-ZA"/>
        </w:rPr>
      </w:pPr>
    </w:p>
    <w:p w:rsidR="009119C2" w:rsidRPr="008069A6" w:rsidRDefault="009119C2" w:rsidP="0074035B">
      <w:pPr>
        <w:pStyle w:val="ListParagraph"/>
        <w:autoSpaceDE w:val="0"/>
        <w:autoSpaceDN w:val="0"/>
        <w:adjustRightInd w:val="0"/>
        <w:ind w:left="0" w:right="26"/>
        <w:jc w:val="left"/>
        <w:rPr>
          <w:rFonts w:eastAsiaTheme="minorHAnsi"/>
          <w:b/>
          <w:sz w:val="24"/>
          <w:lang w:val="en-ZA"/>
        </w:rPr>
      </w:pPr>
    </w:p>
    <w:p w:rsidR="009441CA" w:rsidRPr="008069A6" w:rsidRDefault="009441CA" w:rsidP="00023DA6">
      <w:pPr>
        <w:tabs>
          <w:tab w:val="left" w:pos="567"/>
        </w:tabs>
        <w:ind w:right="26"/>
        <w:rPr>
          <w:b/>
          <w:sz w:val="24"/>
        </w:rPr>
      </w:pPr>
      <w:r w:rsidRPr="008069A6">
        <w:rPr>
          <w:b/>
          <w:sz w:val="24"/>
        </w:rPr>
        <w:lastRenderedPageBreak/>
        <w:t>The common cause facts</w:t>
      </w:r>
    </w:p>
    <w:p w:rsidR="007D71CA" w:rsidRPr="008069A6" w:rsidRDefault="007D71CA" w:rsidP="00E42AE3">
      <w:pPr>
        <w:pStyle w:val="ListParagraph"/>
        <w:numPr>
          <w:ilvl w:val="0"/>
          <w:numId w:val="1"/>
        </w:numPr>
        <w:ind w:left="0" w:right="26" w:firstLine="0"/>
        <w:rPr>
          <w:sz w:val="24"/>
        </w:rPr>
      </w:pPr>
      <w:r w:rsidRPr="008069A6">
        <w:rPr>
          <w:sz w:val="24"/>
        </w:rPr>
        <w:t>The deceased</w:t>
      </w:r>
      <w:r w:rsidR="00BD073D">
        <w:rPr>
          <w:sz w:val="24"/>
        </w:rPr>
        <w:t xml:space="preserve"> </w:t>
      </w:r>
      <w:r w:rsidRPr="008069A6">
        <w:rPr>
          <w:sz w:val="24"/>
        </w:rPr>
        <w:t xml:space="preserve">was a member of the Fund. At the time of his </w:t>
      </w:r>
      <w:r w:rsidR="00E33EE4" w:rsidRPr="008069A6">
        <w:rPr>
          <w:sz w:val="24"/>
        </w:rPr>
        <w:t>death,</w:t>
      </w:r>
      <w:r w:rsidRPr="008069A6">
        <w:rPr>
          <w:sz w:val="24"/>
        </w:rPr>
        <w:t xml:space="preserve"> he was married in community of property to Ms Mutsila. Five children were born </w:t>
      </w:r>
      <w:r w:rsidR="00BD020B" w:rsidRPr="008069A6">
        <w:rPr>
          <w:sz w:val="24"/>
        </w:rPr>
        <w:t xml:space="preserve">out of </w:t>
      </w:r>
      <w:r w:rsidRPr="008069A6">
        <w:rPr>
          <w:sz w:val="24"/>
        </w:rPr>
        <w:t>this marriage</w:t>
      </w:r>
      <w:r w:rsidR="009B475C" w:rsidRPr="008069A6">
        <w:rPr>
          <w:sz w:val="24"/>
        </w:rPr>
        <w:t>,</w:t>
      </w:r>
      <w:r w:rsidRPr="008069A6">
        <w:rPr>
          <w:sz w:val="24"/>
        </w:rPr>
        <w:t xml:space="preserve"> of which three were still minors when their father died. Following the death of the deceased, the total death benefits payable to his beneficiaries amounted to R 1 614 434.96. Prior to his death, on 12 January 2009, he had nominated Ms Mutsila and their five children as </w:t>
      </w:r>
      <w:r w:rsidR="00200A40" w:rsidRPr="008069A6">
        <w:rPr>
          <w:sz w:val="24"/>
        </w:rPr>
        <w:t>the</w:t>
      </w:r>
      <w:r w:rsidRPr="008069A6">
        <w:rPr>
          <w:sz w:val="24"/>
        </w:rPr>
        <w:t xml:space="preserve"> beneficiaries</w:t>
      </w:r>
      <w:r w:rsidR="00200A40" w:rsidRPr="008069A6">
        <w:rPr>
          <w:sz w:val="24"/>
        </w:rPr>
        <w:t xml:space="preserve"> of his death benefits in the Fund</w:t>
      </w:r>
      <w:r w:rsidRPr="008069A6">
        <w:rPr>
          <w:sz w:val="24"/>
        </w:rPr>
        <w:t xml:space="preserve">. It also turned out that shortly before he died, on 1 October 2012, the deceased </w:t>
      </w:r>
      <w:r w:rsidR="007D4DFE" w:rsidRPr="008069A6">
        <w:rPr>
          <w:sz w:val="24"/>
        </w:rPr>
        <w:t>h</w:t>
      </w:r>
      <w:r w:rsidRPr="008069A6">
        <w:rPr>
          <w:sz w:val="24"/>
        </w:rPr>
        <w:t>ad taken out a ‘Future Builder Family Funeral Plan’ (Funeral Plan) with Metropolitan Life.</w:t>
      </w:r>
    </w:p>
    <w:p w:rsidR="007D71CA" w:rsidRPr="008069A6" w:rsidRDefault="007D71CA" w:rsidP="00E42AE3">
      <w:pPr>
        <w:pStyle w:val="ListParagraph"/>
        <w:ind w:left="0" w:right="26"/>
        <w:rPr>
          <w:sz w:val="24"/>
        </w:rPr>
      </w:pPr>
    </w:p>
    <w:p w:rsidR="007D71CA" w:rsidRPr="008069A6" w:rsidRDefault="007D71CA" w:rsidP="00E42AE3">
      <w:pPr>
        <w:pStyle w:val="ListParagraph"/>
        <w:numPr>
          <w:ilvl w:val="0"/>
          <w:numId w:val="1"/>
        </w:numPr>
        <w:ind w:left="0" w:right="26" w:firstLine="0"/>
        <w:rPr>
          <w:sz w:val="24"/>
        </w:rPr>
      </w:pPr>
      <w:r w:rsidRPr="008069A6">
        <w:rPr>
          <w:sz w:val="24"/>
        </w:rPr>
        <w:t>In terms of th</w:t>
      </w:r>
      <w:r w:rsidR="00BD073D">
        <w:rPr>
          <w:sz w:val="24"/>
        </w:rPr>
        <w:t>e</w:t>
      </w:r>
      <w:r w:rsidRPr="008069A6">
        <w:rPr>
          <w:sz w:val="24"/>
        </w:rPr>
        <w:t xml:space="preserve"> Funeral Plan, the deceased arranged funeral benefits for himself, his life partner Ms Masete</w:t>
      </w:r>
      <w:r w:rsidR="00BD073D">
        <w:rPr>
          <w:sz w:val="24"/>
        </w:rPr>
        <w:t xml:space="preserve"> and</w:t>
      </w:r>
      <w:r w:rsidRPr="008069A6">
        <w:rPr>
          <w:sz w:val="24"/>
        </w:rPr>
        <w:t xml:space="preserve"> her three children</w:t>
      </w:r>
      <w:r w:rsidR="00BD073D">
        <w:rPr>
          <w:sz w:val="24"/>
        </w:rPr>
        <w:t xml:space="preserve">. Also included in the Funeral Plan </w:t>
      </w:r>
      <w:r w:rsidR="00955E99">
        <w:rPr>
          <w:sz w:val="24"/>
        </w:rPr>
        <w:t>were</w:t>
      </w:r>
      <w:r w:rsidRPr="008069A6">
        <w:rPr>
          <w:sz w:val="24"/>
        </w:rPr>
        <w:t xml:space="preserve"> three of his own children with Ms Mutsila, his mother</w:t>
      </w:r>
      <w:r w:rsidR="00BD073D">
        <w:rPr>
          <w:sz w:val="24"/>
        </w:rPr>
        <w:t>,</w:t>
      </w:r>
      <w:r w:rsidRPr="008069A6">
        <w:rPr>
          <w:sz w:val="24"/>
        </w:rPr>
        <w:t xml:space="preserve"> Ms Elizabeth Mutsila</w:t>
      </w:r>
      <w:r w:rsidR="00B0452A" w:rsidRPr="008069A6">
        <w:rPr>
          <w:sz w:val="24"/>
        </w:rPr>
        <w:t xml:space="preserve"> </w:t>
      </w:r>
      <w:r w:rsidR="001B3F78" w:rsidRPr="008069A6">
        <w:rPr>
          <w:sz w:val="24"/>
        </w:rPr>
        <w:t>and Ms</w:t>
      </w:r>
      <w:r w:rsidRPr="008069A6">
        <w:rPr>
          <w:sz w:val="24"/>
        </w:rPr>
        <w:t xml:space="preserve"> Betty M Masete</w:t>
      </w:r>
      <w:r w:rsidR="00B0452A" w:rsidRPr="008069A6">
        <w:rPr>
          <w:sz w:val="24"/>
        </w:rPr>
        <w:t xml:space="preserve">, described </w:t>
      </w:r>
      <w:r w:rsidR="00BD073D">
        <w:rPr>
          <w:sz w:val="24"/>
        </w:rPr>
        <w:t xml:space="preserve">in the Funeral Plan </w:t>
      </w:r>
      <w:r w:rsidR="00B0452A" w:rsidRPr="008069A6">
        <w:rPr>
          <w:sz w:val="24"/>
        </w:rPr>
        <w:t>as his mother-in-</w:t>
      </w:r>
      <w:r w:rsidR="001B3F78" w:rsidRPr="008069A6">
        <w:rPr>
          <w:sz w:val="24"/>
        </w:rPr>
        <w:t>law.</w:t>
      </w:r>
      <w:r w:rsidRPr="008069A6">
        <w:rPr>
          <w:sz w:val="24"/>
        </w:rPr>
        <w:t xml:space="preserve"> Although the Funeral Plan provides for funeral benefits in respect of the three Masete children, only the youngest two are relevant to the present dispute. </w:t>
      </w:r>
    </w:p>
    <w:p w:rsidR="007D4DFE" w:rsidRPr="008069A6" w:rsidRDefault="007D4DFE" w:rsidP="00E42AE3">
      <w:pPr>
        <w:ind w:right="26"/>
        <w:rPr>
          <w:sz w:val="24"/>
        </w:rPr>
      </w:pPr>
    </w:p>
    <w:p w:rsidR="007D71CA" w:rsidRPr="008069A6" w:rsidRDefault="007D71CA" w:rsidP="00E42AE3">
      <w:pPr>
        <w:pStyle w:val="ListParagraph"/>
        <w:numPr>
          <w:ilvl w:val="0"/>
          <w:numId w:val="1"/>
        </w:numPr>
        <w:ind w:left="0" w:right="26" w:firstLine="0"/>
        <w:rPr>
          <w:sz w:val="24"/>
        </w:rPr>
      </w:pPr>
      <w:r w:rsidRPr="008069A6">
        <w:rPr>
          <w:sz w:val="24"/>
        </w:rPr>
        <w:t xml:space="preserve">Ms Masete and Ms Mutsila both applied </w:t>
      </w:r>
      <w:r w:rsidR="00D51F9B" w:rsidRPr="008069A6">
        <w:rPr>
          <w:sz w:val="24"/>
        </w:rPr>
        <w:t xml:space="preserve">to the Fund </w:t>
      </w:r>
      <w:r w:rsidRPr="008069A6">
        <w:rPr>
          <w:sz w:val="24"/>
        </w:rPr>
        <w:t xml:space="preserve">for payment of the death benefits to themselves as well as their children, </w:t>
      </w:r>
      <w:r w:rsidR="00E33EE4" w:rsidRPr="008069A6">
        <w:rPr>
          <w:sz w:val="24"/>
        </w:rPr>
        <w:t>i.e.</w:t>
      </w:r>
      <w:r w:rsidRPr="008069A6">
        <w:rPr>
          <w:sz w:val="24"/>
        </w:rPr>
        <w:t xml:space="preserve"> Ms Mutsila’s five children and Ms Masete’s two children. The Chief Executive Officer (CEO) of the Fund, Mr Jacobson, conducted an investigation whereafter he presented a report to the Fund’s board of trustees. He recommended that preference should be given to factual dependants</w:t>
      </w:r>
      <w:r w:rsidR="00BD073D">
        <w:rPr>
          <w:sz w:val="24"/>
        </w:rPr>
        <w:t xml:space="preserve"> and</w:t>
      </w:r>
      <w:r w:rsidRPr="008069A6">
        <w:rPr>
          <w:sz w:val="24"/>
        </w:rPr>
        <w:t xml:space="preserve"> that Ms Masete and her children were factually dependent upon the deceased in an amount of R2 000 per month</w:t>
      </w:r>
      <w:r w:rsidR="00BD020B" w:rsidRPr="008069A6">
        <w:rPr>
          <w:sz w:val="24"/>
        </w:rPr>
        <w:t xml:space="preserve">. </w:t>
      </w:r>
      <w:r w:rsidR="00B0452A" w:rsidRPr="008069A6">
        <w:rPr>
          <w:sz w:val="24"/>
        </w:rPr>
        <w:t>He concluded</w:t>
      </w:r>
      <w:r w:rsidRPr="008069A6">
        <w:rPr>
          <w:sz w:val="24"/>
        </w:rPr>
        <w:t xml:space="preserve"> that Ms Mutsila</w:t>
      </w:r>
      <w:r w:rsidR="00BD073D">
        <w:rPr>
          <w:sz w:val="24"/>
        </w:rPr>
        <w:t>, who</w:t>
      </w:r>
      <w:r w:rsidRPr="008069A6">
        <w:rPr>
          <w:sz w:val="24"/>
        </w:rPr>
        <w:t xml:space="preserve"> </w:t>
      </w:r>
      <w:r w:rsidR="001E2C04" w:rsidRPr="008069A6">
        <w:rPr>
          <w:sz w:val="24"/>
        </w:rPr>
        <w:t>was employed as a teacher</w:t>
      </w:r>
      <w:r w:rsidR="00BD073D">
        <w:rPr>
          <w:sz w:val="24"/>
        </w:rPr>
        <w:t>,</w:t>
      </w:r>
      <w:r w:rsidR="001E2C04" w:rsidRPr="008069A6">
        <w:rPr>
          <w:sz w:val="24"/>
        </w:rPr>
        <w:t xml:space="preserve"> </w:t>
      </w:r>
      <w:r w:rsidRPr="008069A6">
        <w:rPr>
          <w:sz w:val="24"/>
        </w:rPr>
        <w:t>was financially independent</w:t>
      </w:r>
      <w:r w:rsidR="009B475C" w:rsidRPr="008069A6">
        <w:rPr>
          <w:sz w:val="24"/>
        </w:rPr>
        <w:t>.</w:t>
      </w:r>
      <w:r w:rsidRPr="008069A6">
        <w:rPr>
          <w:sz w:val="24"/>
        </w:rPr>
        <w:t xml:space="preserve"> </w:t>
      </w:r>
    </w:p>
    <w:p w:rsidR="007D71CA" w:rsidRPr="008069A6" w:rsidRDefault="007D71CA" w:rsidP="00E42AE3">
      <w:pPr>
        <w:pStyle w:val="ListParagraph"/>
        <w:ind w:left="0" w:right="26"/>
        <w:rPr>
          <w:sz w:val="24"/>
        </w:rPr>
      </w:pPr>
    </w:p>
    <w:p w:rsidR="009B475C" w:rsidRPr="008069A6" w:rsidRDefault="007D71CA" w:rsidP="00F31F2A">
      <w:pPr>
        <w:pStyle w:val="ListParagraph"/>
        <w:numPr>
          <w:ilvl w:val="0"/>
          <w:numId w:val="1"/>
        </w:numPr>
        <w:ind w:left="0" w:right="26" w:firstLine="0"/>
        <w:rPr>
          <w:sz w:val="24"/>
        </w:rPr>
      </w:pPr>
      <w:r w:rsidRPr="008069A6">
        <w:rPr>
          <w:sz w:val="24"/>
        </w:rPr>
        <w:t>Following upon Mr Jacobson’s report, the Fund resolved, on 9 April 2014,</w:t>
      </w:r>
      <w:r w:rsidR="001E2C04" w:rsidRPr="008069A6">
        <w:rPr>
          <w:sz w:val="24"/>
        </w:rPr>
        <w:t xml:space="preserve"> after ‘careful consideration of the requirements of s 37C’</w:t>
      </w:r>
      <w:r w:rsidRPr="008069A6">
        <w:rPr>
          <w:sz w:val="24"/>
        </w:rPr>
        <w:t xml:space="preserve"> to distribute the death benefits. </w:t>
      </w:r>
      <w:r w:rsidR="002F673F">
        <w:rPr>
          <w:sz w:val="24"/>
        </w:rPr>
        <w:t xml:space="preserve">It </w:t>
      </w:r>
      <w:r w:rsidRPr="008069A6">
        <w:rPr>
          <w:sz w:val="24"/>
        </w:rPr>
        <w:t xml:space="preserve">allocated 22.5% to Ms Mutsila and 27.5% to Ms Masete, whilst the children’s benefits varied between 2.5% and 14% of the total benefits, depending on their respective ages. On 11 April 2014, Ms Mutsila’s attorneys were informed of the Fund’s determination. They were also advised that the Fund’s decision could be challenged through the Adjudicator. </w:t>
      </w:r>
    </w:p>
    <w:p w:rsidR="00F31F2A" w:rsidRPr="008069A6" w:rsidRDefault="00F31F2A" w:rsidP="00F31F2A">
      <w:pPr>
        <w:pStyle w:val="ListParagraph"/>
        <w:ind w:left="0" w:right="26"/>
        <w:rPr>
          <w:sz w:val="24"/>
        </w:rPr>
      </w:pPr>
    </w:p>
    <w:p w:rsidR="007D71CA" w:rsidRPr="008069A6" w:rsidRDefault="007D71CA" w:rsidP="00E42AE3">
      <w:pPr>
        <w:pStyle w:val="ListParagraph"/>
        <w:numPr>
          <w:ilvl w:val="0"/>
          <w:numId w:val="1"/>
        </w:numPr>
        <w:ind w:left="0" w:right="26" w:firstLine="0"/>
        <w:rPr>
          <w:sz w:val="24"/>
        </w:rPr>
      </w:pPr>
      <w:r w:rsidRPr="008069A6">
        <w:rPr>
          <w:sz w:val="24"/>
        </w:rPr>
        <w:lastRenderedPageBreak/>
        <w:t>On 14 May 2014</w:t>
      </w:r>
      <w:r w:rsidR="009B475C" w:rsidRPr="008069A6">
        <w:rPr>
          <w:sz w:val="24"/>
        </w:rPr>
        <w:t>,</w:t>
      </w:r>
      <w:r w:rsidRPr="008069A6">
        <w:rPr>
          <w:sz w:val="24"/>
        </w:rPr>
        <w:t xml:space="preserve"> Ms Mutsila filed a complaint with the Adjudicator. She attached to her complaint the notice of motion and founding affidavit in an application brought by Mr Malema Joseph Mphafudi (Mr Mphafudi), the </w:t>
      </w:r>
      <w:r w:rsidR="00BD020B" w:rsidRPr="008069A6">
        <w:rPr>
          <w:sz w:val="24"/>
        </w:rPr>
        <w:t xml:space="preserve">biological </w:t>
      </w:r>
      <w:r w:rsidRPr="008069A6">
        <w:rPr>
          <w:sz w:val="24"/>
        </w:rPr>
        <w:t>father of Ms Masete’s two minor children, in the Limpopo Division of the High Court, Polokwane (the custody application). In that application</w:t>
      </w:r>
      <w:r w:rsidR="009B475C" w:rsidRPr="008069A6">
        <w:rPr>
          <w:sz w:val="24"/>
        </w:rPr>
        <w:t>,</w:t>
      </w:r>
      <w:r w:rsidRPr="008069A6">
        <w:rPr>
          <w:sz w:val="24"/>
        </w:rPr>
        <w:t xml:space="preserve"> Mr Mphafudi claimed the primary residence of the two minor children, subject to Ms Masete’s reasonable </w:t>
      </w:r>
      <w:r w:rsidR="00BD020B" w:rsidRPr="008069A6">
        <w:rPr>
          <w:sz w:val="24"/>
        </w:rPr>
        <w:t xml:space="preserve">contact </w:t>
      </w:r>
      <w:r w:rsidRPr="008069A6">
        <w:rPr>
          <w:sz w:val="24"/>
        </w:rPr>
        <w:t xml:space="preserve">and that she be ordered to pay R50 per month per child. </w:t>
      </w:r>
      <w:r w:rsidR="007D4DFE" w:rsidRPr="008069A6">
        <w:rPr>
          <w:sz w:val="24"/>
        </w:rPr>
        <w:t>Ms Masete</w:t>
      </w:r>
      <w:r w:rsidR="00470412" w:rsidRPr="008069A6">
        <w:rPr>
          <w:sz w:val="24"/>
        </w:rPr>
        <w:t>,</w:t>
      </w:r>
      <w:r w:rsidR="00F73F07" w:rsidRPr="008069A6">
        <w:rPr>
          <w:sz w:val="24"/>
        </w:rPr>
        <w:t xml:space="preserve"> </w:t>
      </w:r>
      <w:r w:rsidR="00470412" w:rsidRPr="008069A6">
        <w:rPr>
          <w:sz w:val="24"/>
        </w:rPr>
        <w:t xml:space="preserve">who did not deny that Mr Mphafudi was the biological father of her children, alleged </w:t>
      </w:r>
      <w:r w:rsidR="002F673F">
        <w:rPr>
          <w:sz w:val="24"/>
        </w:rPr>
        <w:t xml:space="preserve">in the custody application </w:t>
      </w:r>
      <w:r w:rsidRPr="008069A6">
        <w:rPr>
          <w:sz w:val="24"/>
        </w:rPr>
        <w:t xml:space="preserve">that </w:t>
      </w:r>
      <w:r w:rsidR="00470412" w:rsidRPr="008069A6">
        <w:rPr>
          <w:sz w:val="24"/>
        </w:rPr>
        <w:t>he</w:t>
      </w:r>
      <w:r w:rsidRPr="008069A6">
        <w:rPr>
          <w:sz w:val="24"/>
        </w:rPr>
        <w:t xml:space="preserve"> </w:t>
      </w:r>
      <w:r w:rsidR="00D74624" w:rsidRPr="008069A6">
        <w:rPr>
          <w:sz w:val="24"/>
        </w:rPr>
        <w:t xml:space="preserve">had </w:t>
      </w:r>
      <w:r w:rsidRPr="008069A6">
        <w:rPr>
          <w:sz w:val="24"/>
        </w:rPr>
        <w:t xml:space="preserve">failed to make meaningful contributions towards the maintenance of his two children and that he </w:t>
      </w:r>
      <w:r w:rsidR="00D74624" w:rsidRPr="008069A6">
        <w:rPr>
          <w:sz w:val="24"/>
        </w:rPr>
        <w:t xml:space="preserve">had </w:t>
      </w:r>
      <w:r w:rsidRPr="008069A6">
        <w:rPr>
          <w:sz w:val="24"/>
        </w:rPr>
        <w:t>not ma</w:t>
      </w:r>
      <w:r w:rsidR="00D74624" w:rsidRPr="008069A6">
        <w:rPr>
          <w:sz w:val="24"/>
        </w:rPr>
        <w:t>d</w:t>
      </w:r>
      <w:r w:rsidRPr="008069A6">
        <w:rPr>
          <w:sz w:val="24"/>
        </w:rPr>
        <w:t xml:space="preserve">e any contribution since December 2011/January 2012. </w:t>
      </w:r>
      <w:r w:rsidR="00D74624" w:rsidRPr="008069A6">
        <w:rPr>
          <w:sz w:val="24"/>
        </w:rPr>
        <w:t>At the hearing of this appeal</w:t>
      </w:r>
      <w:r w:rsidR="009B475C" w:rsidRPr="008069A6">
        <w:rPr>
          <w:sz w:val="24"/>
        </w:rPr>
        <w:t>,</w:t>
      </w:r>
      <w:r w:rsidR="00D74624" w:rsidRPr="008069A6">
        <w:rPr>
          <w:sz w:val="24"/>
        </w:rPr>
        <w:t xml:space="preserve"> n</w:t>
      </w:r>
      <w:r w:rsidRPr="008069A6">
        <w:rPr>
          <w:sz w:val="24"/>
        </w:rPr>
        <w:t>either of the parties were able to shed light as to the progress made in the custody application.</w:t>
      </w:r>
    </w:p>
    <w:p w:rsidR="007D71CA" w:rsidRPr="008069A6" w:rsidRDefault="007D71CA" w:rsidP="00E42AE3">
      <w:pPr>
        <w:ind w:right="26"/>
        <w:rPr>
          <w:sz w:val="24"/>
        </w:rPr>
      </w:pPr>
    </w:p>
    <w:p w:rsidR="007D71CA" w:rsidRPr="008069A6" w:rsidRDefault="007D71CA" w:rsidP="00E42AE3">
      <w:pPr>
        <w:pStyle w:val="ListParagraph"/>
        <w:numPr>
          <w:ilvl w:val="0"/>
          <w:numId w:val="1"/>
        </w:numPr>
        <w:ind w:left="0" w:right="26" w:firstLine="0"/>
        <w:rPr>
          <w:sz w:val="24"/>
        </w:rPr>
      </w:pPr>
      <w:r w:rsidRPr="008069A6">
        <w:rPr>
          <w:sz w:val="24"/>
        </w:rPr>
        <w:t>On 15 May 2014, the Adjudicator informed the Fund in writing of the complaint. The Fund responded on 30 May 2014, suggesting that the evidence in the custody application m</w:t>
      </w:r>
      <w:r w:rsidR="00D74624" w:rsidRPr="008069A6">
        <w:rPr>
          <w:sz w:val="24"/>
        </w:rPr>
        <w:t xml:space="preserve">ight </w:t>
      </w:r>
      <w:r w:rsidRPr="008069A6">
        <w:rPr>
          <w:sz w:val="24"/>
        </w:rPr>
        <w:t xml:space="preserve">have a direct impact on the consideration of the complaint and the distribution of the death benefits. It suggested that consideration of the complaint should be held in abeyance until the conclusion of the custody application, and that the Fund be allowed an opportunity to respond 30 days </w:t>
      </w:r>
      <w:r w:rsidR="001354DD" w:rsidRPr="008069A6">
        <w:rPr>
          <w:sz w:val="24"/>
        </w:rPr>
        <w:t xml:space="preserve">after </w:t>
      </w:r>
      <w:r w:rsidRPr="008069A6">
        <w:rPr>
          <w:sz w:val="24"/>
        </w:rPr>
        <w:t xml:space="preserve">the conclusion of that application. Contrary to the Fund’s suggestion, the Adjudicator considered the complaint and made a determination. </w:t>
      </w:r>
      <w:r w:rsidR="00A40EA2" w:rsidRPr="008069A6">
        <w:rPr>
          <w:sz w:val="24"/>
        </w:rPr>
        <w:t>The Adjudicator</w:t>
      </w:r>
      <w:r w:rsidRPr="008069A6">
        <w:rPr>
          <w:sz w:val="24"/>
        </w:rPr>
        <w:t>, inter alia, set aside the Fund’s determination and ordered it to pay R300 000 to Ms Mutsila.</w:t>
      </w:r>
    </w:p>
    <w:p w:rsidR="009441CA" w:rsidRPr="008069A6" w:rsidRDefault="009441CA" w:rsidP="00692EC1">
      <w:pPr>
        <w:pStyle w:val="ListParagraph"/>
        <w:ind w:left="0" w:right="26"/>
        <w:rPr>
          <w:sz w:val="24"/>
        </w:rPr>
      </w:pPr>
    </w:p>
    <w:p w:rsidR="009441CA" w:rsidRPr="008069A6" w:rsidRDefault="009441CA" w:rsidP="00692EC1">
      <w:pPr>
        <w:pStyle w:val="ListParagraph"/>
        <w:ind w:left="0" w:right="26"/>
        <w:rPr>
          <w:sz w:val="24"/>
        </w:rPr>
      </w:pPr>
      <w:r w:rsidRPr="008069A6">
        <w:rPr>
          <w:rFonts w:eastAsiaTheme="minorHAnsi"/>
          <w:b/>
          <w:sz w:val="24"/>
          <w:lang w:val="en-ZA"/>
        </w:rPr>
        <w:t>The Adjudicator’s determination</w:t>
      </w:r>
    </w:p>
    <w:p w:rsidR="0035266D" w:rsidRPr="008069A6" w:rsidRDefault="0035266D" w:rsidP="007D71CA">
      <w:pPr>
        <w:pStyle w:val="ListParagraph"/>
        <w:numPr>
          <w:ilvl w:val="0"/>
          <w:numId w:val="1"/>
        </w:numPr>
        <w:ind w:left="0" w:right="26" w:firstLine="0"/>
        <w:rPr>
          <w:sz w:val="24"/>
        </w:rPr>
      </w:pPr>
      <w:r w:rsidRPr="008069A6">
        <w:rPr>
          <w:sz w:val="24"/>
        </w:rPr>
        <w:t>The Adjudicator</w:t>
      </w:r>
      <w:r w:rsidR="00D74624" w:rsidRPr="008069A6">
        <w:rPr>
          <w:sz w:val="24"/>
        </w:rPr>
        <w:t xml:space="preserve">’s </w:t>
      </w:r>
      <w:r w:rsidRPr="008069A6">
        <w:rPr>
          <w:sz w:val="24"/>
        </w:rPr>
        <w:t>d</w:t>
      </w:r>
      <w:r w:rsidR="00B80355" w:rsidRPr="008069A6">
        <w:rPr>
          <w:sz w:val="24"/>
        </w:rPr>
        <w:t>etermination</w:t>
      </w:r>
      <w:r w:rsidR="00D74624" w:rsidRPr="008069A6">
        <w:rPr>
          <w:sz w:val="24"/>
        </w:rPr>
        <w:t xml:space="preserve"> was couched </w:t>
      </w:r>
      <w:r w:rsidR="00CC3877" w:rsidRPr="008069A6">
        <w:rPr>
          <w:sz w:val="24"/>
        </w:rPr>
        <w:t>a</w:t>
      </w:r>
      <w:r w:rsidR="00D74624" w:rsidRPr="008069A6">
        <w:rPr>
          <w:sz w:val="24"/>
        </w:rPr>
        <w:t>s follows</w:t>
      </w:r>
      <w:r w:rsidRPr="008069A6">
        <w:rPr>
          <w:sz w:val="24"/>
        </w:rPr>
        <w:t>:</w:t>
      </w:r>
    </w:p>
    <w:p w:rsidR="0035266D" w:rsidRPr="008069A6" w:rsidRDefault="0035266D" w:rsidP="00831608">
      <w:pPr>
        <w:pStyle w:val="ListParagraph"/>
        <w:ind w:left="0" w:right="26"/>
        <w:rPr>
          <w:sz w:val="22"/>
          <w:szCs w:val="22"/>
        </w:rPr>
      </w:pPr>
      <w:r w:rsidRPr="008069A6">
        <w:rPr>
          <w:sz w:val="22"/>
          <w:szCs w:val="22"/>
        </w:rPr>
        <w:t xml:space="preserve">‘In the result, the order </w:t>
      </w:r>
      <w:r w:rsidR="006813E2" w:rsidRPr="008069A6">
        <w:rPr>
          <w:sz w:val="22"/>
          <w:szCs w:val="22"/>
        </w:rPr>
        <w:t xml:space="preserve">of this Tribunal is as </w:t>
      </w:r>
      <w:r w:rsidR="009119C2" w:rsidRPr="008069A6">
        <w:rPr>
          <w:sz w:val="22"/>
          <w:szCs w:val="22"/>
        </w:rPr>
        <w:t>follows: -</w:t>
      </w:r>
    </w:p>
    <w:p w:rsidR="0035266D" w:rsidRPr="008069A6" w:rsidRDefault="0035266D" w:rsidP="00831608">
      <w:pPr>
        <w:pStyle w:val="ListParagraph"/>
        <w:tabs>
          <w:tab w:val="left" w:pos="709"/>
        </w:tabs>
        <w:ind w:left="0" w:right="26"/>
        <w:rPr>
          <w:sz w:val="22"/>
          <w:szCs w:val="22"/>
        </w:rPr>
      </w:pPr>
      <w:r w:rsidRPr="008069A6">
        <w:rPr>
          <w:sz w:val="22"/>
          <w:szCs w:val="22"/>
        </w:rPr>
        <w:t>6.1.1</w:t>
      </w:r>
      <w:r w:rsidRPr="008069A6">
        <w:rPr>
          <w:sz w:val="22"/>
          <w:szCs w:val="22"/>
        </w:rPr>
        <w:tab/>
        <w:t>The decision of the board of the first respondent is hereby set aside; and</w:t>
      </w:r>
    </w:p>
    <w:p w:rsidR="0035266D" w:rsidRPr="008069A6" w:rsidRDefault="0035266D" w:rsidP="00831608">
      <w:pPr>
        <w:pStyle w:val="ListParagraph"/>
        <w:tabs>
          <w:tab w:val="left" w:pos="709"/>
        </w:tabs>
        <w:ind w:left="0" w:right="26"/>
        <w:rPr>
          <w:rFonts w:eastAsia="Calibri"/>
          <w:sz w:val="22"/>
          <w:szCs w:val="22"/>
          <w:lang w:val="en-ZA"/>
        </w:rPr>
      </w:pPr>
      <w:r w:rsidRPr="008069A6">
        <w:rPr>
          <w:sz w:val="22"/>
          <w:szCs w:val="22"/>
        </w:rPr>
        <w:t>6.1.2</w:t>
      </w:r>
      <w:r w:rsidRPr="008069A6">
        <w:rPr>
          <w:sz w:val="22"/>
          <w:szCs w:val="22"/>
        </w:rPr>
        <w:tab/>
      </w:r>
      <w:r w:rsidRPr="008069A6">
        <w:rPr>
          <w:rFonts w:eastAsia="Calibri"/>
          <w:sz w:val="22"/>
          <w:szCs w:val="22"/>
          <w:lang w:val="en-ZA"/>
        </w:rPr>
        <w:t>The first respondent is ordered to pay the amount of R 300 000 in advance to the complainant for the repayment of her housing loan with ABSA Home Loan Division as resolved on 9 April 2014, within two weeks from the date of this determination;</w:t>
      </w:r>
    </w:p>
    <w:p w:rsidR="0035266D" w:rsidRPr="008069A6" w:rsidRDefault="0035266D" w:rsidP="00831608">
      <w:pPr>
        <w:pStyle w:val="ListParagraph"/>
        <w:tabs>
          <w:tab w:val="left" w:pos="709"/>
        </w:tabs>
        <w:ind w:left="0" w:right="26"/>
        <w:rPr>
          <w:rFonts w:eastAsia="Calibri"/>
          <w:sz w:val="22"/>
          <w:szCs w:val="22"/>
          <w:lang w:val="en-ZA"/>
        </w:rPr>
      </w:pPr>
      <w:r w:rsidRPr="008069A6">
        <w:rPr>
          <w:rFonts w:eastAsia="Calibri"/>
          <w:sz w:val="22"/>
          <w:szCs w:val="22"/>
          <w:lang w:val="en-ZA"/>
        </w:rPr>
        <w:t>6.1.3</w:t>
      </w:r>
      <w:r w:rsidR="0099777F" w:rsidRPr="008069A6">
        <w:rPr>
          <w:rFonts w:eastAsia="Calibri"/>
          <w:sz w:val="22"/>
          <w:szCs w:val="22"/>
          <w:lang w:val="en-ZA"/>
        </w:rPr>
        <w:tab/>
      </w:r>
      <w:r w:rsidRPr="008069A6">
        <w:rPr>
          <w:rFonts w:eastAsia="Calibri"/>
          <w:sz w:val="22"/>
          <w:szCs w:val="22"/>
          <w:lang w:val="en-ZA"/>
        </w:rPr>
        <w:t>The board of the first respondent is directed to properly investigate and effect an equitable distribution of the balance of the proceeds of the death benefit to all the deceased's dependants within three weeks after a decision by the High Court, under case number 653/2014 has been handed down;</w:t>
      </w:r>
      <w:r w:rsidR="002543AE" w:rsidRPr="008069A6">
        <w:rPr>
          <w:rFonts w:eastAsia="Calibri"/>
          <w:sz w:val="22"/>
          <w:szCs w:val="22"/>
          <w:lang w:val="en-ZA"/>
        </w:rPr>
        <w:t xml:space="preserve"> </w:t>
      </w:r>
      <w:r w:rsidRPr="008069A6">
        <w:rPr>
          <w:rFonts w:eastAsia="Calibri"/>
          <w:sz w:val="22"/>
          <w:szCs w:val="22"/>
          <w:lang w:val="en-ZA"/>
        </w:rPr>
        <w:t xml:space="preserve">and </w:t>
      </w:r>
    </w:p>
    <w:p w:rsidR="00CC3877" w:rsidRPr="008069A6" w:rsidRDefault="0035266D" w:rsidP="00831608">
      <w:pPr>
        <w:pStyle w:val="ListParagraph"/>
        <w:tabs>
          <w:tab w:val="left" w:pos="709"/>
        </w:tabs>
        <w:ind w:left="0" w:right="26"/>
        <w:rPr>
          <w:rFonts w:eastAsia="Calibri"/>
          <w:sz w:val="24"/>
          <w:lang w:val="en-ZA"/>
        </w:rPr>
      </w:pPr>
      <w:r w:rsidRPr="008069A6">
        <w:rPr>
          <w:rFonts w:eastAsia="Calibri"/>
          <w:sz w:val="22"/>
          <w:szCs w:val="22"/>
          <w:lang w:val="en-ZA"/>
        </w:rPr>
        <w:lastRenderedPageBreak/>
        <w:t>6.1.4</w:t>
      </w:r>
      <w:r w:rsidR="0099777F" w:rsidRPr="008069A6">
        <w:rPr>
          <w:rFonts w:eastAsia="Calibri"/>
          <w:sz w:val="22"/>
          <w:szCs w:val="22"/>
          <w:lang w:val="en-ZA"/>
        </w:rPr>
        <w:tab/>
      </w:r>
      <w:r w:rsidRPr="008069A6">
        <w:rPr>
          <w:rFonts w:eastAsia="Calibri"/>
          <w:sz w:val="22"/>
          <w:szCs w:val="22"/>
          <w:lang w:val="en-ZA"/>
        </w:rPr>
        <w:t>The first respondent is ordered to provide this Tribunal and the complainant with its report and also confirm the authenticity of the information and/or documents in its possession, within two weeks after finalising its investigations in paragraph 6.1.3 above.’</w:t>
      </w:r>
      <w:r w:rsidRPr="008069A6">
        <w:rPr>
          <w:rFonts w:eastAsia="Calibri"/>
          <w:sz w:val="20"/>
          <w:szCs w:val="20"/>
          <w:lang w:val="en-ZA"/>
        </w:rPr>
        <w:t xml:space="preserve"> </w:t>
      </w:r>
    </w:p>
    <w:p w:rsidR="00BD020B" w:rsidRPr="008069A6" w:rsidRDefault="00BD020B" w:rsidP="00831608">
      <w:pPr>
        <w:pStyle w:val="ListParagraph"/>
        <w:tabs>
          <w:tab w:val="left" w:pos="709"/>
        </w:tabs>
        <w:ind w:left="0" w:right="26"/>
        <w:rPr>
          <w:rFonts w:eastAsia="Calibri"/>
          <w:sz w:val="24"/>
          <w:lang w:val="en-ZA"/>
        </w:rPr>
      </w:pPr>
    </w:p>
    <w:p w:rsidR="0035266D" w:rsidRPr="008069A6" w:rsidRDefault="00955E99" w:rsidP="00831608">
      <w:pPr>
        <w:pStyle w:val="ListParagraph"/>
        <w:tabs>
          <w:tab w:val="left" w:pos="709"/>
        </w:tabs>
        <w:ind w:left="0" w:right="26"/>
        <w:rPr>
          <w:sz w:val="24"/>
        </w:rPr>
      </w:pPr>
      <w:r>
        <w:rPr>
          <w:rFonts w:eastAsia="Calibri"/>
          <w:sz w:val="24"/>
          <w:lang w:val="en-ZA"/>
        </w:rPr>
        <w:t xml:space="preserve">The Fund did not resolve to pay R300 000 to Ms Mutsila to enable her to settle the Absa home loan </w:t>
      </w:r>
      <w:r w:rsidR="00CC3877" w:rsidRPr="008069A6">
        <w:rPr>
          <w:rFonts w:eastAsia="Calibri"/>
          <w:sz w:val="24"/>
          <w:lang w:val="en-ZA"/>
        </w:rPr>
        <w:t xml:space="preserve">as </w:t>
      </w:r>
      <w:r>
        <w:rPr>
          <w:rFonts w:eastAsia="Calibri"/>
          <w:sz w:val="24"/>
          <w:lang w:val="en-ZA"/>
        </w:rPr>
        <w:t xml:space="preserve">incorrectly </w:t>
      </w:r>
      <w:r w:rsidR="00CC3877" w:rsidRPr="008069A6">
        <w:rPr>
          <w:rFonts w:eastAsia="Calibri"/>
          <w:sz w:val="24"/>
          <w:lang w:val="en-ZA"/>
        </w:rPr>
        <w:t xml:space="preserve">stipulated in paragraph 6.1.2 of the Adjudicator’s determination. </w:t>
      </w:r>
      <w:r>
        <w:rPr>
          <w:rFonts w:eastAsia="Calibri"/>
          <w:sz w:val="24"/>
          <w:lang w:val="en-ZA"/>
        </w:rPr>
        <w:t xml:space="preserve">Therefore, the Adjudicator </w:t>
      </w:r>
      <w:r w:rsidR="00CC3877" w:rsidRPr="008069A6">
        <w:rPr>
          <w:rFonts w:eastAsia="Calibri"/>
          <w:sz w:val="24"/>
          <w:lang w:val="en-ZA"/>
        </w:rPr>
        <w:t>committed a factual misdirection in this regard.</w:t>
      </w:r>
    </w:p>
    <w:p w:rsidR="0035266D" w:rsidRPr="008069A6" w:rsidRDefault="0035266D" w:rsidP="00831608">
      <w:pPr>
        <w:ind w:right="26"/>
        <w:rPr>
          <w:sz w:val="24"/>
        </w:rPr>
      </w:pPr>
    </w:p>
    <w:p w:rsidR="0035266D" w:rsidRPr="008069A6" w:rsidRDefault="0035266D" w:rsidP="0074035B">
      <w:pPr>
        <w:pStyle w:val="ListParagraph"/>
        <w:ind w:left="0" w:right="26"/>
        <w:rPr>
          <w:b/>
          <w:sz w:val="24"/>
        </w:rPr>
      </w:pPr>
      <w:r w:rsidRPr="008069A6">
        <w:rPr>
          <w:b/>
          <w:sz w:val="24"/>
        </w:rPr>
        <w:t>Litigation history</w:t>
      </w:r>
    </w:p>
    <w:p w:rsidR="00184F35" w:rsidRPr="008069A6" w:rsidRDefault="0035266D" w:rsidP="0074035B">
      <w:pPr>
        <w:pStyle w:val="ListParagraph"/>
        <w:numPr>
          <w:ilvl w:val="0"/>
          <w:numId w:val="1"/>
        </w:numPr>
        <w:ind w:left="0" w:right="26" w:firstLine="0"/>
        <w:rPr>
          <w:sz w:val="24"/>
        </w:rPr>
      </w:pPr>
      <w:r w:rsidRPr="008069A6">
        <w:rPr>
          <w:sz w:val="24"/>
        </w:rPr>
        <w:t>The Adjudicator’s determination triggered the litigation that followed which eventually ended up in this Court. On 24 October 2014</w:t>
      </w:r>
      <w:r w:rsidR="002543AE" w:rsidRPr="008069A6">
        <w:rPr>
          <w:sz w:val="24"/>
        </w:rPr>
        <w:t>,</w:t>
      </w:r>
      <w:r w:rsidRPr="008069A6">
        <w:rPr>
          <w:sz w:val="24"/>
        </w:rPr>
        <w:t xml:space="preserve"> </w:t>
      </w:r>
      <w:r w:rsidR="00535E2A" w:rsidRPr="008069A6">
        <w:rPr>
          <w:sz w:val="24"/>
        </w:rPr>
        <w:t>the Fund</w:t>
      </w:r>
      <w:r w:rsidR="00955E99">
        <w:rPr>
          <w:sz w:val="24"/>
        </w:rPr>
        <w:t xml:space="preserve"> filed an application out of the </w:t>
      </w:r>
      <w:r w:rsidRPr="008069A6">
        <w:rPr>
          <w:sz w:val="24"/>
        </w:rPr>
        <w:t>Gauteng Divi</w:t>
      </w:r>
      <w:r w:rsidR="00535E2A" w:rsidRPr="008069A6">
        <w:rPr>
          <w:sz w:val="24"/>
        </w:rPr>
        <w:t>sion of the High Court, Pretoria</w:t>
      </w:r>
      <w:r w:rsidRPr="008069A6">
        <w:rPr>
          <w:sz w:val="24"/>
        </w:rPr>
        <w:t xml:space="preserve"> </w:t>
      </w:r>
      <w:r w:rsidR="00955E99">
        <w:rPr>
          <w:sz w:val="24"/>
        </w:rPr>
        <w:t xml:space="preserve">to </w:t>
      </w:r>
      <w:r w:rsidRPr="008069A6">
        <w:rPr>
          <w:sz w:val="24"/>
        </w:rPr>
        <w:t>set aside the determination</w:t>
      </w:r>
      <w:r w:rsidR="00955E99">
        <w:rPr>
          <w:sz w:val="24"/>
        </w:rPr>
        <w:t xml:space="preserve"> </w:t>
      </w:r>
      <w:r w:rsidR="00955E99" w:rsidRPr="008069A6">
        <w:rPr>
          <w:rFonts w:eastAsiaTheme="minorHAnsi"/>
          <w:sz w:val="24"/>
          <w:lang w:val="en-ZA"/>
        </w:rPr>
        <w:t>in terms of s 30P of the Pension Funds Act 24 of 1956 (</w:t>
      </w:r>
      <w:r w:rsidR="00955E99" w:rsidRPr="008069A6">
        <w:rPr>
          <w:rFonts w:eastAsiaTheme="minorHAnsi"/>
          <w:bCs/>
          <w:sz w:val="24"/>
          <w:lang w:val="en-ZA"/>
        </w:rPr>
        <w:t>the Act</w:t>
      </w:r>
      <w:r w:rsidR="00955E99" w:rsidRPr="008069A6">
        <w:rPr>
          <w:rFonts w:eastAsiaTheme="minorHAnsi"/>
          <w:sz w:val="24"/>
          <w:lang w:val="en-ZA"/>
        </w:rPr>
        <w:t xml:space="preserve">). </w:t>
      </w:r>
      <w:r w:rsidR="00955E99">
        <w:rPr>
          <w:sz w:val="24"/>
        </w:rPr>
        <w:t xml:space="preserve">The Fund was unsuccessful in the </w:t>
      </w:r>
      <w:r w:rsidR="00366B3A">
        <w:rPr>
          <w:sz w:val="24"/>
        </w:rPr>
        <w:t xml:space="preserve">high </w:t>
      </w:r>
      <w:r w:rsidR="00955E99">
        <w:rPr>
          <w:sz w:val="24"/>
        </w:rPr>
        <w:t xml:space="preserve">court </w:t>
      </w:r>
      <w:r w:rsidR="00366B3A">
        <w:rPr>
          <w:sz w:val="24"/>
        </w:rPr>
        <w:t xml:space="preserve">(the court </w:t>
      </w:r>
      <w:r w:rsidR="00955E99">
        <w:rPr>
          <w:sz w:val="24"/>
        </w:rPr>
        <w:t>of first instance</w:t>
      </w:r>
      <w:r w:rsidR="00366B3A">
        <w:rPr>
          <w:sz w:val="24"/>
        </w:rPr>
        <w:t xml:space="preserve">). </w:t>
      </w:r>
      <w:r w:rsidRPr="008069A6">
        <w:rPr>
          <w:sz w:val="24"/>
        </w:rPr>
        <w:t xml:space="preserve">The Fund’s application for leave to appeal was dismissed, but it obtained leave from this Court to appeal to the full court </w:t>
      </w:r>
      <w:r w:rsidR="00535E2A" w:rsidRPr="008069A6">
        <w:rPr>
          <w:sz w:val="24"/>
        </w:rPr>
        <w:t>of th</w:t>
      </w:r>
      <w:r w:rsidR="00D74624" w:rsidRPr="008069A6">
        <w:rPr>
          <w:sz w:val="24"/>
        </w:rPr>
        <w:t>at Division</w:t>
      </w:r>
      <w:r w:rsidRPr="008069A6">
        <w:rPr>
          <w:sz w:val="24"/>
        </w:rPr>
        <w:t xml:space="preserve"> (the full court). It lost again</w:t>
      </w:r>
      <w:r w:rsidR="002F673F">
        <w:rPr>
          <w:sz w:val="24"/>
        </w:rPr>
        <w:t>,</w:t>
      </w:r>
      <w:r w:rsidRPr="008069A6">
        <w:rPr>
          <w:sz w:val="24"/>
        </w:rPr>
        <w:t xml:space="preserve"> </w:t>
      </w:r>
      <w:r w:rsidR="00BD020B" w:rsidRPr="008069A6">
        <w:rPr>
          <w:sz w:val="24"/>
        </w:rPr>
        <w:t>and</w:t>
      </w:r>
      <w:r w:rsidRPr="008069A6">
        <w:rPr>
          <w:sz w:val="24"/>
        </w:rPr>
        <w:t xml:space="preserve"> as was the case in the court </w:t>
      </w:r>
      <w:r w:rsidR="00535E2A" w:rsidRPr="008069A6">
        <w:rPr>
          <w:sz w:val="24"/>
        </w:rPr>
        <w:t>of first instance</w:t>
      </w:r>
      <w:r w:rsidRPr="008069A6">
        <w:rPr>
          <w:sz w:val="24"/>
        </w:rPr>
        <w:t xml:space="preserve">, it was penalised with an attorney and client costs order. </w:t>
      </w:r>
    </w:p>
    <w:p w:rsidR="00184F35" w:rsidRPr="008069A6" w:rsidRDefault="00184F35" w:rsidP="00692EC1">
      <w:pPr>
        <w:pStyle w:val="ListParagraph"/>
        <w:ind w:left="0" w:right="26"/>
        <w:rPr>
          <w:sz w:val="24"/>
        </w:rPr>
      </w:pPr>
    </w:p>
    <w:p w:rsidR="0074035B" w:rsidRPr="008069A6" w:rsidRDefault="0035266D" w:rsidP="0074035B">
      <w:pPr>
        <w:pStyle w:val="ListParagraph"/>
        <w:numPr>
          <w:ilvl w:val="0"/>
          <w:numId w:val="1"/>
        </w:numPr>
        <w:ind w:left="0" w:right="26" w:firstLine="0"/>
        <w:rPr>
          <w:sz w:val="24"/>
        </w:rPr>
      </w:pPr>
      <w:r w:rsidRPr="008069A6">
        <w:rPr>
          <w:sz w:val="24"/>
        </w:rPr>
        <w:t xml:space="preserve">Now, nearly nine years </w:t>
      </w:r>
      <w:r w:rsidR="00535E2A" w:rsidRPr="008069A6">
        <w:rPr>
          <w:sz w:val="24"/>
        </w:rPr>
        <w:t>after the Adjudicator’s determination</w:t>
      </w:r>
      <w:r w:rsidRPr="008069A6">
        <w:rPr>
          <w:sz w:val="24"/>
        </w:rPr>
        <w:t xml:space="preserve">, this Court is called upon to adjudicate </w:t>
      </w:r>
      <w:r w:rsidR="00D74624" w:rsidRPr="008069A6">
        <w:rPr>
          <w:sz w:val="24"/>
        </w:rPr>
        <w:t>an</w:t>
      </w:r>
      <w:r w:rsidRPr="008069A6">
        <w:rPr>
          <w:sz w:val="24"/>
        </w:rPr>
        <w:t xml:space="preserve"> appeal</w:t>
      </w:r>
      <w:r w:rsidR="00D74624" w:rsidRPr="008069A6">
        <w:rPr>
          <w:sz w:val="24"/>
        </w:rPr>
        <w:t xml:space="preserve"> against the decision of the </w:t>
      </w:r>
      <w:r w:rsidR="00A40EA2" w:rsidRPr="008069A6">
        <w:rPr>
          <w:sz w:val="24"/>
        </w:rPr>
        <w:t>f</w:t>
      </w:r>
      <w:r w:rsidR="00D74624" w:rsidRPr="008069A6">
        <w:rPr>
          <w:sz w:val="24"/>
        </w:rPr>
        <w:t xml:space="preserve">ull </w:t>
      </w:r>
      <w:r w:rsidR="00A40EA2" w:rsidRPr="008069A6">
        <w:rPr>
          <w:sz w:val="24"/>
        </w:rPr>
        <w:t>c</w:t>
      </w:r>
      <w:r w:rsidR="00D74624" w:rsidRPr="008069A6">
        <w:rPr>
          <w:sz w:val="24"/>
        </w:rPr>
        <w:t>ourt</w:t>
      </w:r>
      <w:r w:rsidRPr="008069A6">
        <w:rPr>
          <w:sz w:val="24"/>
        </w:rPr>
        <w:t>,</w:t>
      </w:r>
      <w:r w:rsidRPr="008069A6">
        <w:rPr>
          <w:rFonts w:eastAsiaTheme="minorHAnsi"/>
          <w:sz w:val="24"/>
          <w:lang w:val="en-ZA"/>
        </w:rPr>
        <w:t xml:space="preserve"> special leave having been granted </w:t>
      </w:r>
      <w:r w:rsidR="00D74624" w:rsidRPr="008069A6">
        <w:rPr>
          <w:rFonts w:eastAsiaTheme="minorHAnsi"/>
          <w:sz w:val="24"/>
          <w:lang w:val="en-ZA"/>
        </w:rPr>
        <w:t xml:space="preserve">by this </w:t>
      </w:r>
      <w:r w:rsidR="00A40EA2" w:rsidRPr="008069A6">
        <w:rPr>
          <w:rFonts w:eastAsiaTheme="minorHAnsi"/>
          <w:sz w:val="24"/>
          <w:lang w:val="en-ZA"/>
        </w:rPr>
        <w:t>C</w:t>
      </w:r>
      <w:r w:rsidR="00D74624" w:rsidRPr="008069A6">
        <w:rPr>
          <w:rFonts w:eastAsiaTheme="minorHAnsi"/>
          <w:sz w:val="24"/>
          <w:lang w:val="en-ZA"/>
        </w:rPr>
        <w:t>ourt</w:t>
      </w:r>
      <w:r w:rsidRPr="008069A6">
        <w:rPr>
          <w:rFonts w:eastAsiaTheme="minorHAnsi"/>
          <w:sz w:val="24"/>
          <w:lang w:val="en-ZA"/>
        </w:rPr>
        <w:t>. The Adjudicator is not participating in the appeal as was the case in the courts below, but the appeal is opposed by Ms Mutsila</w:t>
      </w:r>
      <w:r w:rsidRPr="008069A6">
        <w:rPr>
          <w:sz w:val="24"/>
        </w:rPr>
        <w:t>.</w:t>
      </w:r>
    </w:p>
    <w:p w:rsidR="00681FDC" w:rsidRPr="008069A6" w:rsidRDefault="00681FDC" w:rsidP="00681FDC">
      <w:pPr>
        <w:pStyle w:val="ListParagraph"/>
        <w:ind w:left="0" w:right="26"/>
        <w:rPr>
          <w:sz w:val="24"/>
        </w:rPr>
      </w:pPr>
    </w:p>
    <w:p w:rsidR="0035266D" w:rsidRPr="008069A6" w:rsidRDefault="0035266D" w:rsidP="0074035B">
      <w:pPr>
        <w:pStyle w:val="ListParagraph"/>
        <w:ind w:left="0" w:right="26"/>
        <w:rPr>
          <w:b/>
          <w:sz w:val="24"/>
        </w:rPr>
      </w:pPr>
      <w:r w:rsidRPr="008069A6">
        <w:rPr>
          <w:b/>
          <w:sz w:val="24"/>
        </w:rPr>
        <w:t xml:space="preserve">The </w:t>
      </w:r>
      <w:r w:rsidR="00C40A19" w:rsidRPr="008069A6">
        <w:rPr>
          <w:b/>
          <w:sz w:val="24"/>
        </w:rPr>
        <w:t xml:space="preserve">basis of the challenge to the </w:t>
      </w:r>
      <w:r w:rsidR="00BD43B7" w:rsidRPr="008069A6">
        <w:rPr>
          <w:b/>
          <w:sz w:val="24"/>
        </w:rPr>
        <w:t xml:space="preserve">Adjudicator’s </w:t>
      </w:r>
      <w:r w:rsidR="00C40A19" w:rsidRPr="008069A6">
        <w:rPr>
          <w:b/>
          <w:sz w:val="24"/>
        </w:rPr>
        <w:t>award</w:t>
      </w:r>
    </w:p>
    <w:p w:rsidR="0035266D" w:rsidRPr="008069A6" w:rsidRDefault="00D74624" w:rsidP="00831608">
      <w:pPr>
        <w:pStyle w:val="ListParagraph"/>
        <w:numPr>
          <w:ilvl w:val="0"/>
          <w:numId w:val="1"/>
        </w:numPr>
        <w:ind w:left="0" w:right="26" w:firstLine="0"/>
        <w:rPr>
          <w:sz w:val="24"/>
        </w:rPr>
      </w:pPr>
      <w:r w:rsidRPr="008069A6">
        <w:rPr>
          <w:sz w:val="24"/>
        </w:rPr>
        <w:t>I</w:t>
      </w:r>
      <w:r w:rsidR="0035266D" w:rsidRPr="008069A6">
        <w:rPr>
          <w:sz w:val="24"/>
        </w:rPr>
        <w:t xml:space="preserve">t is apposite to </w:t>
      </w:r>
      <w:r w:rsidRPr="008069A6">
        <w:rPr>
          <w:sz w:val="24"/>
        </w:rPr>
        <w:t xml:space="preserve">set out anteriorly </w:t>
      </w:r>
      <w:r w:rsidR="0035266D" w:rsidRPr="008069A6">
        <w:rPr>
          <w:sz w:val="24"/>
        </w:rPr>
        <w:t>the statutory basis upon which a party aggrieved by a determination of the Adjudicator may approach a court for relief. Section 30P of the Act</w:t>
      </w:r>
      <w:r w:rsidR="00A40EA2" w:rsidRPr="008069A6">
        <w:rPr>
          <w:sz w:val="24"/>
        </w:rPr>
        <w:t>, under the title</w:t>
      </w:r>
      <w:r w:rsidR="00EB14BD" w:rsidRPr="008069A6">
        <w:rPr>
          <w:sz w:val="24"/>
        </w:rPr>
        <w:t xml:space="preserve"> ‘Access to court’,</w:t>
      </w:r>
      <w:r w:rsidR="0035266D" w:rsidRPr="008069A6">
        <w:rPr>
          <w:sz w:val="24"/>
        </w:rPr>
        <w:t xml:space="preserve"> reads as follows:</w:t>
      </w:r>
    </w:p>
    <w:p w:rsidR="0035266D" w:rsidRPr="008069A6" w:rsidRDefault="0035266D" w:rsidP="00831608">
      <w:pPr>
        <w:pStyle w:val="ListParagraph"/>
        <w:tabs>
          <w:tab w:val="left" w:pos="567"/>
        </w:tabs>
        <w:ind w:left="0" w:right="26"/>
        <w:rPr>
          <w:sz w:val="22"/>
          <w:szCs w:val="22"/>
        </w:rPr>
      </w:pPr>
      <w:r w:rsidRPr="008069A6">
        <w:rPr>
          <w:sz w:val="22"/>
          <w:szCs w:val="22"/>
        </w:rPr>
        <w:t>‘(1)</w:t>
      </w:r>
      <w:r w:rsidRPr="008069A6">
        <w:rPr>
          <w:sz w:val="22"/>
          <w:szCs w:val="22"/>
        </w:rPr>
        <w:tab/>
        <w:t>Any party who feels aggrieved by a determination of the Adjudicator may, within six weeks after the date of the determination, apply to the division of the High Court which has jurisdiction, for relief, and shall at the same time give written notice of his or her intention so to apply to the other parties to the complaint.</w:t>
      </w:r>
    </w:p>
    <w:p w:rsidR="0035266D" w:rsidRPr="008069A6" w:rsidRDefault="0035266D" w:rsidP="00831608">
      <w:pPr>
        <w:pStyle w:val="ListParagraph"/>
        <w:tabs>
          <w:tab w:val="left" w:pos="567"/>
        </w:tabs>
        <w:ind w:left="0" w:right="26"/>
        <w:rPr>
          <w:sz w:val="22"/>
          <w:szCs w:val="22"/>
        </w:rPr>
      </w:pPr>
      <w:r w:rsidRPr="008069A6">
        <w:rPr>
          <w:sz w:val="22"/>
          <w:szCs w:val="22"/>
        </w:rPr>
        <w:lastRenderedPageBreak/>
        <w:t>(2)</w:t>
      </w:r>
      <w:r w:rsidRPr="008069A6">
        <w:rPr>
          <w:sz w:val="22"/>
          <w:szCs w:val="22"/>
        </w:rPr>
        <w:tab/>
        <w:t xml:space="preserve">The division of the High Court contemplated in subsection (1) </w:t>
      </w:r>
      <w:r w:rsidRPr="008069A6">
        <w:rPr>
          <w:i/>
          <w:sz w:val="22"/>
          <w:szCs w:val="22"/>
        </w:rPr>
        <w:t xml:space="preserve">may consider the merits of the complaint made to the Adjudicator </w:t>
      </w:r>
      <w:r w:rsidRPr="008069A6">
        <w:rPr>
          <w:sz w:val="22"/>
          <w:szCs w:val="22"/>
        </w:rPr>
        <w:t xml:space="preserve">under section 30A (3) and on which the Adjudicator's determination was based, </w:t>
      </w:r>
      <w:r w:rsidRPr="008069A6">
        <w:rPr>
          <w:i/>
          <w:sz w:val="22"/>
          <w:szCs w:val="22"/>
        </w:rPr>
        <w:t>and may make any order it deems fit</w:t>
      </w:r>
      <w:r w:rsidRPr="008069A6">
        <w:rPr>
          <w:sz w:val="22"/>
          <w:szCs w:val="22"/>
        </w:rPr>
        <w:t>.</w:t>
      </w:r>
    </w:p>
    <w:p w:rsidR="0035266D" w:rsidRPr="008069A6" w:rsidRDefault="0035266D" w:rsidP="00831608">
      <w:pPr>
        <w:pStyle w:val="ListParagraph"/>
        <w:tabs>
          <w:tab w:val="left" w:pos="567"/>
        </w:tabs>
        <w:ind w:left="0" w:right="26"/>
        <w:rPr>
          <w:sz w:val="22"/>
          <w:szCs w:val="22"/>
        </w:rPr>
      </w:pPr>
      <w:r w:rsidRPr="008069A6">
        <w:rPr>
          <w:sz w:val="22"/>
          <w:szCs w:val="22"/>
        </w:rPr>
        <w:t>(3)</w:t>
      </w:r>
      <w:r w:rsidRPr="008069A6">
        <w:rPr>
          <w:sz w:val="22"/>
          <w:szCs w:val="22"/>
        </w:rPr>
        <w:tab/>
        <w:t xml:space="preserve">Subsection (2) </w:t>
      </w:r>
      <w:r w:rsidRPr="008069A6">
        <w:rPr>
          <w:i/>
          <w:sz w:val="22"/>
          <w:szCs w:val="22"/>
        </w:rPr>
        <w:t>shall not affect the court's power to decide that sufficient evidence has been adduced</w:t>
      </w:r>
      <w:r w:rsidRPr="008069A6">
        <w:rPr>
          <w:sz w:val="22"/>
          <w:szCs w:val="22"/>
        </w:rPr>
        <w:t xml:space="preserve"> on which a decision can be arrived at, and to order that no further evidence shall be adduced.’</w:t>
      </w:r>
      <w:r w:rsidR="00AC5C62" w:rsidRPr="008069A6">
        <w:rPr>
          <w:sz w:val="22"/>
          <w:szCs w:val="22"/>
        </w:rPr>
        <w:t xml:space="preserve"> </w:t>
      </w:r>
      <w:r w:rsidR="00535E2A" w:rsidRPr="008069A6">
        <w:rPr>
          <w:sz w:val="22"/>
          <w:szCs w:val="22"/>
        </w:rPr>
        <w:t>(My emphasis</w:t>
      </w:r>
      <w:r w:rsidR="00C56636" w:rsidRPr="008069A6">
        <w:rPr>
          <w:sz w:val="22"/>
          <w:szCs w:val="22"/>
        </w:rPr>
        <w:t>.</w:t>
      </w:r>
      <w:r w:rsidR="00AC5C62" w:rsidRPr="008069A6">
        <w:rPr>
          <w:sz w:val="22"/>
          <w:szCs w:val="22"/>
        </w:rPr>
        <w:t>)</w:t>
      </w:r>
    </w:p>
    <w:p w:rsidR="00F31F2A" w:rsidRPr="008069A6" w:rsidRDefault="00F31F2A" w:rsidP="00F31F2A">
      <w:pPr>
        <w:pStyle w:val="ListParagraph"/>
        <w:tabs>
          <w:tab w:val="left" w:pos="567"/>
        </w:tabs>
        <w:ind w:left="0" w:right="26"/>
        <w:rPr>
          <w:sz w:val="22"/>
          <w:szCs w:val="22"/>
        </w:rPr>
      </w:pPr>
    </w:p>
    <w:p w:rsidR="00D81B1D" w:rsidRPr="008069A6" w:rsidRDefault="00D81B1D" w:rsidP="00F31F2A">
      <w:pPr>
        <w:pStyle w:val="ListParagraph"/>
        <w:numPr>
          <w:ilvl w:val="0"/>
          <w:numId w:val="1"/>
        </w:numPr>
        <w:tabs>
          <w:tab w:val="left" w:pos="709"/>
        </w:tabs>
        <w:ind w:left="0" w:right="26" w:firstLine="0"/>
        <w:rPr>
          <w:sz w:val="20"/>
          <w:szCs w:val="20"/>
        </w:rPr>
      </w:pPr>
      <w:r w:rsidRPr="008069A6">
        <w:rPr>
          <w:sz w:val="24"/>
        </w:rPr>
        <w:t xml:space="preserve">It is clear from the wording of </w:t>
      </w:r>
      <w:r w:rsidR="00F73F07" w:rsidRPr="008069A6">
        <w:rPr>
          <w:sz w:val="24"/>
        </w:rPr>
        <w:t>ss 30P(</w:t>
      </w:r>
      <w:r w:rsidR="00136D35" w:rsidRPr="008069A6">
        <w:rPr>
          <w:sz w:val="24"/>
        </w:rPr>
        <w:t>2) that the app</w:t>
      </w:r>
      <w:r w:rsidR="00C40A19" w:rsidRPr="008069A6">
        <w:rPr>
          <w:sz w:val="24"/>
        </w:rPr>
        <w:t>lication</w:t>
      </w:r>
      <w:r w:rsidR="00136D35" w:rsidRPr="008069A6">
        <w:rPr>
          <w:sz w:val="24"/>
        </w:rPr>
        <w:t xml:space="preserve"> to the high court </w:t>
      </w:r>
      <w:r w:rsidR="00C40A19" w:rsidRPr="008069A6">
        <w:rPr>
          <w:sz w:val="24"/>
        </w:rPr>
        <w:t>is effectively a reconsideration of the complaint</w:t>
      </w:r>
      <w:r w:rsidR="00535E2A" w:rsidRPr="008069A6">
        <w:rPr>
          <w:sz w:val="24"/>
        </w:rPr>
        <w:t>. This C</w:t>
      </w:r>
      <w:r w:rsidR="00CE32F1" w:rsidRPr="008069A6">
        <w:rPr>
          <w:sz w:val="24"/>
        </w:rPr>
        <w:t xml:space="preserve">ourt confirmed in </w:t>
      </w:r>
      <w:r w:rsidR="006114CA" w:rsidRPr="008069A6">
        <w:rPr>
          <w:i/>
          <w:sz w:val="24"/>
        </w:rPr>
        <w:t>Meyer v Iscor Pension Fund</w:t>
      </w:r>
      <w:r w:rsidR="00EB14BD" w:rsidRPr="008069A6">
        <w:rPr>
          <w:i/>
          <w:sz w:val="24"/>
        </w:rPr>
        <w:t>,</w:t>
      </w:r>
      <w:r w:rsidR="006114CA" w:rsidRPr="008069A6">
        <w:rPr>
          <w:rStyle w:val="FootnoteReference"/>
          <w:sz w:val="24"/>
        </w:rPr>
        <w:footnoteReference w:id="1"/>
      </w:r>
      <w:r w:rsidR="006114CA" w:rsidRPr="008069A6">
        <w:rPr>
          <w:sz w:val="24"/>
        </w:rPr>
        <w:t xml:space="preserve"> that the high court is </w:t>
      </w:r>
      <w:r w:rsidR="008D6AEA" w:rsidRPr="008069A6">
        <w:rPr>
          <w:sz w:val="24"/>
        </w:rPr>
        <w:t xml:space="preserve">not limited to </w:t>
      </w:r>
      <w:r w:rsidR="00535E2A" w:rsidRPr="008069A6">
        <w:rPr>
          <w:sz w:val="24"/>
        </w:rPr>
        <w:t xml:space="preserve">a </w:t>
      </w:r>
      <w:r w:rsidR="008D6AEA" w:rsidRPr="008069A6">
        <w:rPr>
          <w:sz w:val="24"/>
        </w:rPr>
        <w:t xml:space="preserve">decision whether the </w:t>
      </w:r>
      <w:r w:rsidR="008E0C84" w:rsidRPr="008069A6">
        <w:rPr>
          <w:sz w:val="24"/>
        </w:rPr>
        <w:t>Adjudicator</w:t>
      </w:r>
      <w:r w:rsidR="00001792" w:rsidRPr="008069A6">
        <w:rPr>
          <w:sz w:val="24"/>
        </w:rPr>
        <w:t>’</w:t>
      </w:r>
      <w:r w:rsidR="008E0C84" w:rsidRPr="008069A6">
        <w:rPr>
          <w:sz w:val="24"/>
        </w:rPr>
        <w:t xml:space="preserve">s </w:t>
      </w:r>
      <w:r w:rsidR="008D6AEA" w:rsidRPr="008069A6">
        <w:rPr>
          <w:sz w:val="24"/>
        </w:rPr>
        <w:t xml:space="preserve">determination </w:t>
      </w:r>
      <w:r w:rsidR="009C62D4" w:rsidRPr="008069A6">
        <w:rPr>
          <w:sz w:val="24"/>
        </w:rPr>
        <w:t xml:space="preserve">was right or wrong. It is also not confined </w:t>
      </w:r>
      <w:r w:rsidR="004E5747" w:rsidRPr="008069A6">
        <w:rPr>
          <w:sz w:val="24"/>
        </w:rPr>
        <w:t>to the evidence</w:t>
      </w:r>
      <w:r w:rsidR="00535E2A" w:rsidRPr="008069A6">
        <w:rPr>
          <w:sz w:val="24"/>
        </w:rPr>
        <w:t>,</w:t>
      </w:r>
      <w:r w:rsidR="004E5747" w:rsidRPr="008069A6">
        <w:rPr>
          <w:sz w:val="24"/>
        </w:rPr>
        <w:t xml:space="preserve"> </w:t>
      </w:r>
      <w:r w:rsidR="00A842E7" w:rsidRPr="008069A6">
        <w:rPr>
          <w:sz w:val="24"/>
        </w:rPr>
        <w:t xml:space="preserve">or the grounds upon </w:t>
      </w:r>
      <w:r w:rsidR="00A50D56" w:rsidRPr="008069A6">
        <w:rPr>
          <w:sz w:val="24"/>
        </w:rPr>
        <w:t xml:space="preserve">which the </w:t>
      </w:r>
      <w:r w:rsidR="008E0C84" w:rsidRPr="008069A6">
        <w:rPr>
          <w:sz w:val="24"/>
        </w:rPr>
        <w:t>Adjudicator</w:t>
      </w:r>
      <w:r w:rsidR="00001792" w:rsidRPr="008069A6">
        <w:rPr>
          <w:sz w:val="24"/>
        </w:rPr>
        <w:t>’</w:t>
      </w:r>
      <w:r w:rsidR="008E0C84" w:rsidRPr="008069A6">
        <w:rPr>
          <w:sz w:val="24"/>
        </w:rPr>
        <w:t xml:space="preserve">s </w:t>
      </w:r>
      <w:r w:rsidR="0054517D" w:rsidRPr="008069A6">
        <w:rPr>
          <w:sz w:val="24"/>
        </w:rPr>
        <w:t xml:space="preserve">determination was </w:t>
      </w:r>
      <w:r w:rsidR="00610DCA" w:rsidRPr="008069A6">
        <w:rPr>
          <w:sz w:val="24"/>
        </w:rPr>
        <w:t>based</w:t>
      </w:r>
      <w:r w:rsidR="00535E2A" w:rsidRPr="008069A6">
        <w:rPr>
          <w:sz w:val="24"/>
        </w:rPr>
        <w:t>,</w:t>
      </w:r>
      <w:r w:rsidR="00610DCA" w:rsidRPr="008069A6">
        <w:rPr>
          <w:sz w:val="24"/>
        </w:rPr>
        <w:t xml:space="preserve"> </w:t>
      </w:r>
      <w:r w:rsidR="00B2509B" w:rsidRPr="008069A6">
        <w:rPr>
          <w:sz w:val="24"/>
        </w:rPr>
        <w:t xml:space="preserve">as the court can consider the matter afresh and make any order it </w:t>
      </w:r>
      <w:r w:rsidR="00B13748" w:rsidRPr="008069A6">
        <w:rPr>
          <w:sz w:val="24"/>
        </w:rPr>
        <w:t>deems fit</w:t>
      </w:r>
      <w:r w:rsidR="00535E2A" w:rsidRPr="008069A6">
        <w:rPr>
          <w:sz w:val="24"/>
        </w:rPr>
        <w:t xml:space="preserve">, subject </w:t>
      </w:r>
      <w:r w:rsidR="00BD43B7" w:rsidRPr="008069A6">
        <w:rPr>
          <w:sz w:val="24"/>
        </w:rPr>
        <w:t>thereto that ‘the High Court’s jurisdiction is limited by s</w:t>
      </w:r>
      <w:r w:rsidR="00B01CC5">
        <w:rPr>
          <w:sz w:val="24"/>
        </w:rPr>
        <w:t>s</w:t>
      </w:r>
      <w:r w:rsidR="00BD43B7" w:rsidRPr="008069A6">
        <w:rPr>
          <w:sz w:val="24"/>
        </w:rPr>
        <w:t xml:space="preserve"> 30P(2) to a consideration of </w:t>
      </w:r>
      <w:r w:rsidR="00EB14BD" w:rsidRPr="008069A6">
        <w:rPr>
          <w:sz w:val="24"/>
        </w:rPr>
        <w:t>“</w:t>
      </w:r>
      <w:r w:rsidR="00BD43B7" w:rsidRPr="008069A6">
        <w:rPr>
          <w:sz w:val="24"/>
        </w:rPr>
        <w:t>the merits of the complaint in question</w:t>
      </w:r>
      <w:r w:rsidR="00EB14BD" w:rsidRPr="008069A6">
        <w:rPr>
          <w:sz w:val="24"/>
        </w:rPr>
        <w:t>”</w:t>
      </w:r>
      <w:r w:rsidR="00BD43B7" w:rsidRPr="008069A6">
        <w:rPr>
          <w:sz w:val="24"/>
        </w:rPr>
        <w:t>.’</w:t>
      </w:r>
      <w:r w:rsidR="00EB14BD" w:rsidRPr="008069A6">
        <w:rPr>
          <w:rStyle w:val="FootnoteReference"/>
          <w:sz w:val="24"/>
        </w:rPr>
        <w:footnoteReference w:id="2"/>
      </w:r>
    </w:p>
    <w:p w:rsidR="0035266D" w:rsidRPr="008069A6" w:rsidRDefault="0035266D" w:rsidP="00831608">
      <w:pPr>
        <w:ind w:right="26"/>
        <w:rPr>
          <w:sz w:val="24"/>
        </w:rPr>
      </w:pPr>
    </w:p>
    <w:p w:rsidR="00C56636" w:rsidRPr="008069A6" w:rsidRDefault="0035266D" w:rsidP="00831608">
      <w:pPr>
        <w:pStyle w:val="ListParagraph"/>
        <w:numPr>
          <w:ilvl w:val="0"/>
          <w:numId w:val="1"/>
        </w:numPr>
        <w:ind w:left="0" w:right="26" w:firstLine="0"/>
        <w:rPr>
          <w:sz w:val="24"/>
        </w:rPr>
      </w:pPr>
      <w:r w:rsidRPr="008069A6">
        <w:rPr>
          <w:sz w:val="24"/>
        </w:rPr>
        <w:t xml:space="preserve">The Fund raised two principal </w:t>
      </w:r>
      <w:r w:rsidR="00C40A19" w:rsidRPr="008069A6">
        <w:rPr>
          <w:sz w:val="24"/>
        </w:rPr>
        <w:t>bases for its ch</w:t>
      </w:r>
      <w:r w:rsidR="00BD43B7" w:rsidRPr="008069A6">
        <w:rPr>
          <w:sz w:val="24"/>
        </w:rPr>
        <w:t>a</w:t>
      </w:r>
      <w:r w:rsidR="00C40A19" w:rsidRPr="008069A6">
        <w:rPr>
          <w:sz w:val="24"/>
        </w:rPr>
        <w:t>llenge</w:t>
      </w:r>
      <w:r w:rsidR="00F73F07" w:rsidRPr="008069A6">
        <w:rPr>
          <w:sz w:val="24"/>
        </w:rPr>
        <w:t>: (</w:t>
      </w:r>
      <w:r w:rsidRPr="008069A6">
        <w:rPr>
          <w:sz w:val="24"/>
        </w:rPr>
        <w:t>a) the Adjudicator did not have jurisdiction to determine Ms Mutsila’s complaint</w:t>
      </w:r>
      <w:r w:rsidR="00EB14BD" w:rsidRPr="008069A6">
        <w:rPr>
          <w:sz w:val="24"/>
        </w:rPr>
        <w:t>,</w:t>
      </w:r>
      <w:r w:rsidRPr="008069A6">
        <w:rPr>
          <w:sz w:val="24"/>
        </w:rPr>
        <w:t xml:space="preserve"> and (b) the Fund had </w:t>
      </w:r>
      <w:r w:rsidR="00C40A19" w:rsidRPr="008069A6">
        <w:rPr>
          <w:sz w:val="24"/>
        </w:rPr>
        <w:t xml:space="preserve">not been afforded </w:t>
      </w:r>
      <w:r w:rsidR="00EB14BD" w:rsidRPr="008069A6">
        <w:rPr>
          <w:sz w:val="24"/>
        </w:rPr>
        <w:t xml:space="preserve">an </w:t>
      </w:r>
      <w:r w:rsidR="00C40A19" w:rsidRPr="008069A6">
        <w:rPr>
          <w:sz w:val="24"/>
        </w:rPr>
        <w:t>opportunity to be</w:t>
      </w:r>
      <w:r w:rsidRPr="008069A6">
        <w:rPr>
          <w:sz w:val="24"/>
        </w:rPr>
        <w:t xml:space="preserve"> heard before the Adjudicator decide</w:t>
      </w:r>
      <w:r w:rsidR="00C40A19" w:rsidRPr="008069A6">
        <w:rPr>
          <w:sz w:val="24"/>
        </w:rPr>
        <w:t>d</w:t>
      </w:r>
      <w:r w:rsidRPr="008069A6">
        <w:rPr>
          <w:sz w:val="24"/>
        </w:rPr>
        <w:t xml:space="preserve"> the complaint. Furthermore, the Fund also </w:t>
      </w:r>
      <w:r w:rsidR="00C40A19" w:rsidRPr="008069A6">
        <w:rPr>
          <w:sz w:val="24"/>
        </w:rPr>
        <w:t xml:space="preserve">contended that </w:t>
      </w:r>
      <w:r w:rsidRPr="008069A6">
        <w:rPr>
          <w:sz w:val="24"/>
        </w:rPr>
        <w:t xml:space="preserve">the Adjudicator </w:t>
      </w:r>
      <w:r w:rsidR="000A6742">
        <w:rPr>
          <w:sz w:val="24"/>
        </w:rPr>
        <w:t xml:space="preserve">could not </w:t>
      </w:r>
      <w:r w:rsidR="00C40A19" w:rsidRPr="008069A6">
        <w:rPr>
          <w:sz w:val="24"/>
        </w:rPr>
        <w:t>consider the complaint</w:t>
      </w:r>
      <w:r w:rsidR="000A6742">
        <w:rPr>
          <w:sz w:val="24"/>
        </w:rPr>
        <w:t>, relying on</w:t>
      </w:r>
      <w:r w:rsidR="00EB14BD" w:rsidRPr="008069A6">
        <w:rPr>
          <w:sz w:val="24"/>
        </w:rPr>
        <w:t xml:space="preserve"> </w:t>
      </w:r>
      <w:r w:rsidR="00535E2A" w:rsidRPr="008069A6">
        <w:rPr>
          <w:sz w:val="24"/>
        </w:rPr>
        <w:t xml:space="preserve">a defence of </w:t>
      </w:r>
      <w:r w:rsidR="00535E2A" w:rsidRPr="008069A6">
        <w:rPr>
          <w:i/>
          <w:sz w:val="24"/>
        </w:rPr>
        <w:t>lis pendens</w:t>
      </w:r>
      <w:r w:rsidR="00535E2A" w:rsidRPr="008069A6">
        <w:rPr>
          <w:sz w:val="24"/>
        </w:rPr>
        <w:t xml:space="preserve"> (pending action)</w:t>
      </w:r>
      <w:r w:rsidR="000A6742">
        <w:rPr>
          <w:sz w:val="24"/>
        </w:rPr>
        <w:t>,</w:t>
      </w:r>
      <w:r w:rsidR="00535E2A" w:rsidRPr="008069A6">
        <w:rPr>
          <w:sz w:val="24"/>
        </w:rPr>
        <w:t xml:space="preserve"> </w:t>
      </w:r>
      <w:r w:rsidRPr="008069A6">
        <w:rPr>
          <w:sz w:val="24"/>
        </w:rPr>
        <w:t>insofar as s</w:t>
      </w:r>
      <w:r w:rsidR="00F91DDC" w:rsidRPr="008069A6">
        <w:rPr>
          <w:sz w:val="24"/>
        </w:rPr>
        <w:t xml:space="preserve">s </w:t>
      </w:r>
      <w:r w:rsidRPr="008069A6">
        <w:rPr>
          <w:sz w:val="24"/>
        </w:rPr>
        <w:t>30</w:t>
      </w:r>
      <w:r w:rsidR="00F73F07" w:rsidRPr="008069A6">
        <w:rPr>
          <w:sz w:val="24"/>
        </w:rPr>
        <w:t>H(</w:t>
      </w:r>
      <w:r w:rsidRPr="008069A6">
        <w:rPr>
          <w:sz w:val="24"/>
        </w:rPr>
        <w:t>2) of the Act stipulates that</w:t>
      </w:r>
      <w:r w:rsidR="00C56636" w:rsidRPr="008069A6">
        <w:rPr>
          <w:sz w:val="24"/>
        </w:rPr>
        <w:t>:</w:t>
      </w:r>
    </w:p>
    <w:p w:rsidR="0035266D" w:rsidRPr="008069A6" w:rsidRDefault="0035266D" w:rsidP="005456F0">
      <w:pPr>
        <w:pStyle w:val="ListParagraph"/>
        <w:ind w:left="0" w:right="26"/>
        <w:rPr>
          <w:sz w:val="22"/>
          <w:szCs w:val="22"/>
        </w:rPr>
      </w:pPr>
      <w:r w:rsidRPr="008069A6">
        <w:rPr>
          <w:sz w:val="22"/>
          <w:szCs w:val="22"/>
        </w:rPr>
        <w:t>‘</w:t>
      </w:r>
      <w:r w:rsidR="00C56636" w:rsidRPr="008069A6">
        <w:rPr>
          <w:sz w:val="22"/>
          <w:szCs w:val="22"/>
        </w:rPr>
        <w:t>T</w:t>
      </w:r>
      <w:r w:rsidRPr="008069A6">
        <w:rPr>
          <w:sz w:val="22"/>
          <w:szCs w:val="22"/>
        </w:rPr>
        <w:t xml:space="preserve">he Adjudicator shall not investigate a complaint if, before lodging of the complaint, proceedings have been instituted in any civil court in respect of a matter which would constitute the subject matter of the investigation.’ </w:t>
      </w:r>
    </w:p>
    <w:p w:rsidR="006813E2" w:rsidRPr="008069A6" w:rsidRDefault="006813E2" w:rsidP="00831608">
      <w:pPr>
        <w:ind w:right="26"/>
        <w:rPr>
          <w:sz w:val="20"/>
          <w:szCs w:val="20"/>
        </w:rPr>
      </w:pPr>
    </w:p>
    <w:p w:rsidR="0035266D" w:rsidRPr="008069A6" w:rsidRDefault="00C40A19" w:rsidP="00831608">
      <w:pPr>
        <w:pStyle w:val="ListParagraph"/>
        <w:numPr>
          <w:ilvl w:val="0"/>
          <w:numId w:val="1"/>
        </w:numPr>
        <w:ind w:left="0" w:right="26" w:firstLine="0"/>
        <w:rPr>
          <w:sz w:val="24"/>
        </w:rPr>
      </w:pPr>
      <w:r w:rsidRPr="008069A6">
        <w:rPr>
          <w:sz w:val="24"/>
        </w:rPr>
        <w:t>With regard to the first basis</w:t>
      </w:r>
      <w:r w:rsidR="00EB14BD" w:rsidRPr="008069A6">
        <w:rPr>
          <w:sz w:val="24"/>
        </w:rPr>
        <w:t>,</w:t>
      </w:r>
      <w:r w:rsidRPr="008069A6">
        <w:rPr>
          <w:sz w:val="24"/>
        </w:rPr>
        <w:t xml:space="preserve"> t</w:t>
      </w:r>
      <w:r w:rsidR="00811F59" w:rsidRPr="008069A6">
        <w:rPr>
          <w:sz w:val="24"/>
        </w:rPr>
        <w:t>he Fund</w:t>
      </w:r>
      <w:r w:rsidR="00D772B8" w:rsidRPr="008069A6">
        <w:rPr>
          <w:sz w:val="24"/>
        </w:rPr>
        <w:t xml:space="preserve"> </w:t>
      </w:r>
      <w:r w:rsidRPr="008069A6">
        <w:rPr>
          <w:sz w:val="24"/>
        </w:rPr>
        <w:t xml:space="preserve">asserted </w:t>
      </w:r>
      <w:r w:rsidR="0035266D" w:rsidRPr="008069A6">
        <w:rPr>
          <w:sz w:val="24"/>
        </w:rPr>
        <w:t xml:space="preserve">that Ms Mutsila should have lodged her complaint with </w:t>
      </w:r>
      <w:r w:rsidR="005144B7" w:rsidRPr="008069A6">
        <w:rPr>
          <w:sz w:val="24"/>
        </w:rPr>
        <w:t>it</w:t>
      </w:r>
      <w:r w:rsidR="0035266D" w:rsidRPr="008069A6">
        <w:rPr>
          <w:sz w:val="24"/>
        </w:rPr>
        <w:t xml:space="preserve"> in terms of </w:t>
      </w:r>
      <w:r w:rsidR="00F73F07" w:rsidRPr="008069A6">
        <w:rPr>
          <w:sz w:val="24"/>
        </w:rPr>
        <w:t>ss 30A(</w:t>
      </w:r>
      <w:r w:rsidR="00432EC1" w:rsidRPr="008069A6">
        <w:rPr>
          <w:sz w:val="24"/>
        </w:rPr>
        <w:t>1)</w:t>
      </w:r>
      <w:r w:rsidR="00EB14BD" w:rsidRPr="008069A6">
        <w:rPr>
          <w:sz w:val="24"/>
        </w:rPr>
        <w:t xml:space="preserve"> of the Act</w:t>
      </w:r>
      <w:r w:rsidR="0035266D" w:rsidRPr="008069A6">
        <w:rPr>
          <w:sz w:val="24"/>
        </w:rPr>
        <w:t xml:space="preserve"> </w:t>
      </w:r>
      <w:r w:rsidRPr="008069A6">
        <w:rPr>
          <w:sz w:val="24"/>
        </w:rPr>
        <w:t xml:space="preserve">prior to approaching </w:t>
      </w:r>
      <w:r w:rsidR="0035266D" w:rsidRPr="008069A6">
        <w:rPr>
          <w:sz w:val="24"/>
        </w:rPr>
        <w:t>the Adjudicator</w:t>
      </w:r>
      <w:r w:rsidR="00A84936" w:rsidRPr="008069A6">
        <w:rPr>
          <w:sz w:val="24"/>
        </w:rPr>
        <w:t>.</w:t>
      </w:r>
      <w:r w:rsidR="0035266D" w:rsidRPr="008069A6">
        <w:rPr>
          <w:sz w:val="24"/>
        </w:rPr>
        <w:t xml:space="preserve"> </w:t>
      </w:r>
      <w:r w:rsidR="00121660" w:rsidRPr="008069A6">
        <w:rPr>
          <w:sz w:val="24"/>
        </w:rPr>
        <w:t xml:space="preserve">If </w:t>
      </w:r>
      <w:r w:rsidR="00432EC1" w:rsidRPr="008069A6">
        <w:rPr>
          <w:sz w:val="24"/>
        </w:rPr>
        <w:t xml:space="preserve">the complaint </w:t>
      </w:r>
      <w:r w:rsidR="00121660" w:rsidRPr="008069A6">
        <w:rPr>
          <w:sz w:val="24"/>
        </w:rPr>
        <w:t>had been</w:t>
      </w:r>
      <w:r w:rsidR="00432EC1" w:rsidRPr="008069A6">
        <w:rPr>
          <w:sz w:val="24"/>
        </w:rPr>
        <w:t xml:space="preserve"> lodged with </w:t>
      </w:r>
      <w:r w:rsidR="009441CA" w:rsidRPr="008069A6">
        <w:rPr>
          <w:sz w:val="24"/>
        </w:rPr>
        <w:t>it</w:t>
      </w:r>
      <w:r w:rsidR="00432EC1" w:rsidRPr="008069A6">
        <w:rPr>
          <w:sz w:val="24"/>
        </w:rPr>
        <w:t xml:space="preserve">, it would </w:t>
      </w:r>
      <w:r w:rsidR="00121660" w:rsidRPr="008069A6">
        <w:rPr>
          <w:sz w:val="24"/>
        </w:rPr>
        <w:t xml:space="preserve">have </w:t>
      </w:r>
      <w:r w:rsidR="00432EC1" w:rsidRPr="008069A6">
        <w:rPr>
          <w:sz w:val="24"/>
        </w:rPr>
        <w:t>respond</w:t>
      </w:r>
      <w:r w:rsidR="00121660" w:rsidRPr="008069A6">
        <w:rPr>
          <w:sz w:val="24"/>
        </w:rPr>
        <w:t>ed</w:t>
      </w:r>
      <w:r w:rsidR="00432EC1" w:rsidRPr="008069A6">
        <w:rPr>
          <w:sz w:val="24"/>
        </w:rPr>
        <w:t xml:space="preserve"> </w:t>
      </w:r>
      <w:r w:rsidR="00121660" w:rsidRPr="008069A6">
        <w:rPr>
          <w:sz w:val="24"/>
        </w:rPr>
        <w:t>the</w:t>
      </w:r>
      <w:r w:rsidR="00432EC1" w:rsidRPr="008069A6">
        <w:rPr>
          <w:sz w:val="24"/>
        </w:rPr>
        <w:t>reto in accordance with s</w:t>
      </w:r>
      <w:r w:rsidR="00F91DDC" w:rsidRPr="008069A6">
        <w:rPr>
          <w:sz w:val="24"/>
        </w:rPr>
        <w:t xml:space="preserve">s </w:t>
      </w:r>
      <w:r w:rsidR="00432EC1" w:rsidRPr="008069A6">
        <w:rPr>
          <w:sz w:val="24"/>
        </w:rPr>
        <w:t>30</w:t>
      </w:r>
      <w:r w:rsidR="00F73F07" w:rsidRPr="008069A6">
        <w:rPr>
          <w:sz w:val="24"/>
        </w:rPr>
        <w:t>A(</w:t>
      </w:r>
      <w:r w:rsidR="00432EC1" w:rsidRPr="008069A6">
        <w:rPr>
          <w:sz w:val="24"/>
        </w:rPr>
        <w:t>2) and place</w:t>
      </w:r>
      <w:r w:rsidR="00121660" w:rsidRPr="008069A6">
        <w:rPr>
          <w:sz w:val="24"/>
        </w:rPr>
        <w:t>d</w:t>
      </w:r>
      <w:r w:rsidR="00432EC1" w:rsidRPr="008069A6">
        <w:rPr>
          <w:sz w:val="24"/>
        </w:rPr>
        <w:t xml:space="preserve"> all relevant facts gathered from its extensive investigation on record. </w:t>
      </w:r>
      <w:r w:rsidR="00121660" w:rsidRPr="008069A6">
        <w:rPr>
          <w:sz w:val="24"/>
        </w:rPr>
        <w:t xml:space="preserve">It argued that </w:t>
      </w:r>
      <w:r w:rsidR="009B0091">
        <w:rPr>
          <w:sz w:val="24"/>
        </w:rPr>
        <w:t xml:space="preserve">this </w:t>
      </w:r>
      <w:r w:rsidR="0035266D" w:rsidRPr="008069A6">
        <w:rPr>
          <w:sz w:val="24"/>
        </w:rPr>
        <w:t>jurisdictional requirement</w:t>
      </w:r>
      <w:r w:rsidR="00432EC1" w:rsidRPr="008069A6">
        <w:rPr>
          <w:sz w:val="24"/>
        </w:rPr>
        <w:t xml:space="preserve"> ha</w:t>
      </w:r>
      <w:r w:rsidR="00121660" w:rsidRPr="008069A6">
        <w:rPr>
          <w:sz w:val="24"/>
        </w:rPr>
        <w:t>d</w:t>
      </w:r>
      <w:r w:rsidR="00432EC1" w:rsidRPr="008069A6">
        <w:rPr>
          <w:sz w:val="24"/>
        </w:rPr>
        <w:t xml:space="preserve"> not been met. </w:t>
      </w:r>
      <w:r w:rsidR="00B01CC5">
        <w:rPr>
          <w:sz w:val="24"/>
        </w:rPr>
        <w:t>Second, t</w:t>
      </w:r>
      <w:r w:rsidR="00121660" w:rsidRPr="008069A6">
        <w:rPr>
          <w:sz w:val="24"/>
        </w:rPr>
        <w:t xml:space="preserve">he Fund contended that </w:t>
      </w:r>
      <w:r w:rsidR="000853EE" w:rsidRPr="008069A6">
        <w:rPr>
          <w:sz w:val="24"/>
        </w:rPr>
        <w:t>when the</w:t>
      </w:r>
      <w:r w:rsidR="00E45C9A" w:rsidRPr="008069A6">
        <w:rPr>
          <w:sz w:val="24"/>
        </w:rPr>
        <w:t xml:space="preserve"> </w:t>
      </w:r>
      <w:r w:rsidR="000853EE" w:rsidRPr="008069A6">
        <w:rPr>
          <w:sz w:val="24"/>
        </w:rPr>
        <w:t xml:space="preserve">Adjudicator informed </w:t>
      </w:r>
      <w:r w:rsidR="00121660" w:rsidRPr="008069A6">
        <w:rPr>
          <w:sz w:val="24"/>
        </w:rPr>
        <w:t xml:space="preserve">it </w:t>
      </w:r>
      <w:r w:rsidR="000853EE" w:rsidRPr="008069A6">
        <w:rPr>
          <w:sz w:val="24"/>
        </w:rPr>
        <w:t xml:space="preserve">about the </w:t>
      </w:r>
      <w:r w:rsidR="000853EE" w:rsidRPr="008069A6">
        <w:rPr>
          <w:sz w:val="24"/>
        </w:rPr>
        <w:lastRenderedPageBreak/>
        <w:t>complaint</w:t>
      </w:r>
      <w:r w:rsidR="003F0AA3" w:rsidRPr="008069A6">
        <w:rPr>
          <w:sz w:val="24"/>
        </w:rPr>
        <w:t xml:space="preserve">, it was not granted an opportunity </w:t>
      </w:r>
      <w:r w:rsidR="00E45C9A" w:rsidRPr="008069A6">
        <w:rPr>
          <w:sz w:val="24"/>
        </w:rPr>
        <w:t>to deal with the merits of the complaint</w:t>
      </w:r>
      <w:r w:rsidR="0027793B" w:rsidRPr="008069A6">
        <w:rPr>
          <w:sz w:val="24"/>
        </w:rPr>
        <w:t>,</w:t>
      </w:r>
      <w:r w:rsidR="00E45C9A" w:rsidRPr="008069A6">
        <w:rPr>
          <w:sz w:val="24"/>
        </w:rPr>
        <w:t xml:space="preserve"> </w:t>
      </w:r>
      <w:r w:rsidR="0035266D" w:rsidRPr="008069A6">
        <w:rPr>
          <w:sz w:val="24"/>
        </w:rPr>
        <w:t xml:space="preserve">therefore the </w:t>
      </w:r>
      <w:r w:rsidR="0035266D" w:rsidRPr="008069A6">
        <w:rPr>
          <w:i/>
          <w:sz w:val="24"/>
        </w:rPr>
        <w:t>audi</w:t>
      </w:r>
      <w:r w:rsidR="00A84936" w:rsidRPr="008069A6">
        <w:rPr>
          <w:sz w:val="24"/>
        </w:rPr>
        <w:t xml:space="preserve"> </w:t>
      </w:r>
      <w:r w:rsidR="009441CA" w:rsidRPr="008069A6">
        <w:rPr>
          <w:i/>
          <w:sz w:val="24"/>
        </w:rPr>
        <w:t>alteram partem</w:t>
      </w:r>
      <w:r w:rsidR="009441CA" w:rsidRPr="008069A6">
        <w:rPr>
          <w:sz w:val="24"/>
        </w:rPr>
        <w:t xml:space="preserve"> </w:t>
      </w:r>
      <w:r w:rsidR="0035266D" w:rsidRPr="008069A6">
        <w:rPr>
          <w:sz w:val="24"/>
        </w:rPr>
        <w:t xml:space="preserve">principle was not complied with. </w:t>
      </w:r>
      <w:r w:rsidR="00121660" w:rsidRPr="008069A6">
        <w:rPr>
          <w:sz w:val="24"/>
        </w:rPr>
        <w:t>For that reason</w:t>
      </w:r>
      <w:r w:rsidR="00EB14BD" w:rsidRPr="008069A6">
        <w:rPr>
          <w:sz w:val="24"/>
        </w:rPr>
        <w:t>,</w:t>
      </w:r>
      <w:r w:rsidR="00121660" w:rsidRPr="008069A6">
        <w:rPr>
          <w:sz w:val="24"/>
        </w:rPr>
        <w:t xml:space="preserve"> the Fund took issue with </w:t>
      </w:r>
      <w:r w:rsidR="0035266D" w:rsidRPr="008069A6">
        <w:rPr>
          <w:sz w:val="24"/>
        </w:rPr>
        <w:t xml:space="preserve">the Adjudicator’s finding that </w:t>
      </w:r>
      <w:r w:rsidR="005144B7" w:rsidRPr="008069A6">
        <w:rPr>
          <w:sz w:val="24"/>
        </w:rPr>
        <w:t>it</w:t>
      </w:r>
      <w:r w:rsidR="0035266D" w:rsidRPr="008069A6">
        <w:rPr>
          <w:sz w:val="24"/>
        </w:rPr>
        <w:t xml:space="preserve"> had failed to undertake a proper investigation to determine the deceased member’s beneficiaries</w:t>
      </w:r>
      <w:r w:rsidR="00121660" w:rsidRPr="008069A6">
        <w:rPr>
          <w:sz w:val="24"/>
        </w:rPr>
        <w:t xml:space="preserve"> and maintained that such </w:t>
      </w:r>
      <w:r w:rsidR="0035266D" w:rsidRPr="008069A6">
        <w:rPr>
          <w:sz w:val="24"/>
        </w:rPr>
        <w:t xml:space="preserve">finding </w:t>
      </w:r>
      <w:r w:rsidR="00A84936" w:rsidRPr="008069A6">
        <w:rPr>
          <w:sz w:val="24"/>
        </w:rPr>
        <w:t>wa</w:t>
      </w:r>
      <w:r w:rsidR="0035266D" w:rsidRPr="008069A6">
        <w:rPr>
          <w:sz w:val="24"/>
        </w:rPr>
        <w:t>s flawed.</w:t>
      </w:r>
    </w:p>
    <w:p w:rsidR="00A84B76" w:rsidRPr="008069A6" w:rsidRDefault="00A84B76" w:rsidP="00831608">
      <w:pPr>
        <w:ind w:right="26"/>
        <w:jc w:val="left"/>
        <w:rPr>
          <w:sz w:val="20"/>
          <w:szCs w:val="20"/>
          <w:lang w:val="en-ZA" w:eastAsia="en-ZA"/>
        </w:rPr>
      </w:pPr>
      <w:bookmarkStart w:id="1" w:name="0-0-0-363539"/>
      <w:bookmarkStart w:id="2" w:name="0-0-0-363541"/>
      <w:bookmarkEnd w:id="1"/>
      <w:bookmarkEnd w:id="2"/>
    </w:p>
    <w:p w:rsidR="004350BC" w:rsidRPr="008069A6" w:rsidRDefault="004350BC" w:rsidP="0074035B">
      <w:pPr>
        <w:pStyle w:val="ListParagraph"/>
        <w:ind w:left="0" w:right="26"/>
        <w:rPr>
          <w:i/>
          <w:sz w:val="24"/>
        </w:rPr>
      </w:pPr>
      <w:bookmarkStart w:id="3" w:name="0-0-0-362321"/>
      <w:bookmarkStart w:id="4" w:name="0-0-0-362323"/>
      <w:bookmarkStart w:id="5" w:name="0-0-0-362325"/>
      <w:bookmarkStart w:id="6" w:name="0-0-0-362327"/>
      <w:bookmarkStart w:id="7" w:name="0-0-0-362329"/>
      <w:bookmarkStart w:id="8" w:name="0-0-0-362331"/>
      <w:bookmarkStart w:id="9" w:name="0-0-0-364447"/>
      <w:bookmarkStart w:id="10" w:name="0-0-0-364449"/>
      <w:bookmarkStart w:id="11" w:name="0-0-0-364453"/>
      <w:bookmarkStart w:id="12" w:name="0-0-0-364459"/>
      <w:bookmarkStart w:id="13" w:name="0-0-0-364461"/>
      <w:bookmarkStart w:id="14" w:name="0-0-0-364463"/>
      <w:bookmarkStart w:id="15" w:name="0-0-0-364465"/>
      <w:bookmarkStart w:id="16" w:name="0-0-0-364467"/>
      <w:bookmarkStart w:id="17" w:name="0-0-0-364469"/>
      <w:bookmarkStart w:id="18" w:name="0-0-0-364471"/>
      <w:bookmarkStart w:id="19" w:name="0-0-0-364473"/>
      <w:bookmarkStart w:id="20" w:name="0-0-0-364475"/>
      <w:bookmarkStart w:id="21" w:name="0-0-0-364477"/>
      <w:bookmarkStart w:id="22" w:name="0-0-0-364479"/>
      <w:bookmarkStart w:id="23" w:name="0-0-0-364481"/>
      <w:bookmarkStart w:id="24" w:name="0-0-0-364483"/>
      <w:bookmarkStart w:id="25" w:name="0-0-0-364485"/>
      <w:bookmarkStart w:id="26" w:name="0-0-0-364487"/>
      <w:bookmarkStart w:id="27" w:name="0-0-0-364489"/>
      <w:bookmarkStart w:id="28" w:name="0-0-0-364491"/>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8069A6">
        <w:rPr>
          <w:b/>
          <w:sz w:val="24"/>
        </w:rPr>
        <w:t>Discussion</w:t>
      </w:r>
    </w:p>
    <w:p w:rsidR="002A6CF6" w:rsidRPr="008069A6" w:rsidRDefault="005144B7" w:rsidP="002A6CF6">
      <w:pPr>
        <w:pStyle w:val="ListParagraph"/>
        <w:ind w:left="0" w:right="26"/>
        <w:rPr>
          <w:sz w:val="24"/>
        </w:rPr>
      </w:pPr>
      <w:r w:rsidRPr="008069A6">
        <w:rPr>
          <w:i/>
          <w:sz w:val="24"/>
        </w:rPr>
        <w:t>Did the Adjudicator have jurisdiction?</w:t>
      </w:r>
    </w:p>
    <w:p w:rsidR="008218D0" w:rsidRPr="008069A6" w:rsidRDefault="002A6CF6" w:rsidP="00BF308B">
      <w:pPr>
        <w:pStyle w:val="ListParagraph"/>
        <w:numPr>
          <w:ilvl w:val="0"/>
          <w:numId w:val="1"/>
        </w:numPr>
        <w:ind w:left="0" w:right="26" w:firstLine="0"/>
        <w:rPr>
          <w:sz w:val="24"/>
        </w:rPr>
      </w:pPr>
      <w:r w:rsidRPr="008069A6">
        <w:rPr>
          <w:sz w:val="24"/>
        </w:rPr>
        <w:t>T</w:t>
      </w:r>
      <w:r w:rsidR="0035266D" w:rsidRPr="008069A6">
        <w:rPr>
          <w:sz w:val="24"/>
        </w:rPr>
        <w:t xml:space="preserve">he jurisdictional issue raised </w:t>
      </w:r>
      <w:r w:rsidR="002D5A64" w:rsidRPr="008069A6">
        <w:rPr>
          <w:sz w:val="24"/>
        </w:rPr>
        <w:t xml:space="preserve">by the appellant is </w:t>
      </w:r>
      <w:r w:rsidR="0035266D" w:rsidRPr="008069A6">
        <w:rPr>
          <w:sz w:val="24"/>
        </w:rPr>
        <w:t>an afterthought</w:t>
      </w:r>
      <w:r w:rsidR="0012093C" w:rsidRPr="008069A6">
        <w:rPr>
          <w:sz w:val="24"/>
        </w:rPr>
        <w:t xml:space="preserve"> and </w:t>
      </w:r>
      <w:r w:rsidR="0035266D" w:rsidRPr="008069A6">
        <w:rPr>
          <w:sz w:val="24"/>
        </w:rPr>
        <w:t>devoid of any merit.</w:t>
      </w:r>
      <w:r w:rsidR="0012093C" w:rsidRPr="008069A6">
        <w:rPr>
          <w:sz w:val="24"/>
        </w:rPr>
        <w:t xml:space="preserve"> I state so because</w:t>
      </w:r>
      <w:r w:rsidR="0035266D" w:rsidRPr="008069A6">
        <w:rPr>
          <w:sz w:val="24"/>
        </w:rPr>
        <w:t xml:space="preserve"> </w:t>
      </w:r>
      <w:r w:rsidR="0012093C" w:rsidRPr="008069A6">
        <w:rPr>
          <w:sz w:val="24"/>
        </w:rPr>
        <w:t xml:space="preserve">s </w:t>
      </w:r>
      <w:r w:rsidR="008218D0" w:rsidRPr="008069A6">
        <w:rPr>
          <w:sz w:val="24"/>
        </w:rPr>
        <w:t>30A</w:t>
      </w:r>
      <w:r w:rsidR="005144B7" w:rsidRPr="008069A6">
        <w:rPr>
          <w:sz w:val="24"/>
        </w:rPr>
        <w:t xml:space="preserve"> of the Act</w:t>
      </w:r>
      <w:r w:rsidR="00D772B8" w:rsidRPr="008069A6">
        <w:rPr>
          <w:sz w:val="24"/>
        </w:rPr>
        <w:t xml:space="preserve"> </w:t>
      </w:r>
      <w:r w:rsidR="00274536" w:rsidRPr="008069A6">
        <w:rPr>
          <w:sz w:val="24"/>
        </w:rPr>
        <w:t xml:space="preserve">which deals with ‘Submission and consideration of complaints’ </w:t>
      </w:r>
      <w:r w:rsidR="00D772B8" w:rsidRPr="008069A6">
        <w:rPr>
          <w:sz w:val="24"/>
        </w:rPr>
        <w:t xml:space="preserve">reads </w:t>
      </w:r>
      <w:r w:rsidR="008218D0" w:rsidRPr="008069A6">
        <w:rPr>
          <w:sz w:val="24"/>
        </w:rPr>
        <w:t xml:space="preserve">as follows: </w:t>
      </w:r>
    </w:p>
    <w:p w:rsidR="008218D0" w:rsidRPr="008069A6" w:rsidRDefault="008218D0" w:rsidP="008218D0">
      <w:pPr>
        <w:pStyle w:val="ListParagraph"/>
        <w:tabs>
          <w:tab w:val="left" w:pos="567"/>
        </w:tabs>
        <w:ind w:left="0" w:right="26"/>
        <w:rPr>
          <w:sz w:val="22"/>
          <w:szCs w:val="22"/>
          <w:lang w:val="en-ZA" w:eastAsia="en-ZA"/>
        </w:rPr>
      </w:pPr>
      <w:r w:rsidRPr="008069A6">
        <w:rPr>
          <w:sz w:val="22"/>
          <w:szCs w:val="22"/>
          <w:lang w:val="en-ZA" w:eastAsia="en-ZA"/>
        </w:rPr>
        <w:t>‘(1)</w:t>
      </w:r>
      <w:r w:rsidRPr="008069A6">
        <w:rPr>
          <w:sz w:val="22"/>
          <w:szCs w:val="22"/>
          <w:lang w:val="en-ZA" w:eastAsia="en-ZA"/>
        </w:rPr>
        <w:tab/>
        <w:t>Notwithstanding the rules of any fund, a complainant may lodge a written complaint with a fund for consideration by the board of the fund.</w:t>
      </w:r>
    </w:p>
    <w:p w:rsidR="008218D0" w:rsidRPr="008069A6" w:rsidRDefault="008218D0" w:rsidP="008218D0">
      <w:pPr>
        <w:pStyle w:val="ListParagraph"/>
        <w:tabs>
          <w:tab w:val="left" w:pos="567"/>
        </w:tabs>
        <w:ind w:left="0" w:right="26"/>
        <w:rPr>
          <w:sz w:val="22"/>
          <w:szCs w:val="22"/>
          <w:lang w:val="en-ZA" w:eastAsia="en-ZA"/>
        </w:rPr>
      </w:pPr>
      <w:r w:rsidRPr="008069A6">
        <w:rPr>
          <w:sz w:val="22"/>
          <w:szCs w:val="22"/>
          <w:lang w:val="en-ZA" w:eastAsia="en-ZA"/>
        </w:rPr>
        <w:t>(2)</w:t>
      </w:r>
      <w:r w:rsidRPr="008069A6">
        <w:rPr>
          <w:sz w:val="22"/>
          <w:szCs w:val="22"/>
          <w:lang w:val="en-ZA" w:eastAsia="en-ZA"/>
        </w:rPr>
        <w:tab/>
        <w:t>A complaint so lodged shall be properly considered and replied to in writing by the fund or the employer who participates in a fund within 30 days after the receipt thereof.</w:t>
      </w:r>
    </w:p>
    <w:p w:rsidR="008218D0" w:rsidRPr="008069A6" w:rsidRDefault="008218D0" w:rsidP="008218D0">
      <w:pPr>
        <w:pStyle w:val="ListParagraph"/>
        <w:tabs>
          <w:tab w:val="left" w:pos="567"/>
        </w:tabs>
        <w:ind w:left="0" w:right="26"/>
        <w:rPr>
          <w:sz w:val="22"/>
          <w:szCs w:val="22"/>
          <w:lang w:val="en-ZA" w:eastAsia="en-ZA"/>
        </w:rPr>
      </w:pPr>
      <w:r w:rsidRPr="008069A6">
        <w:rPr>
          <w:sz w:val="22"/>
          <w:szCs w:val="22"/>
          <w:lang w:val="en-ZA" w:eastAsia="en-ZA"/>
        </w:rPr>
        <w:t>(3)</w:t>
      </w:r>
      <w:r w:rsidRPr="008069A6">
        <w:rPr>
          <w:sz w:val="22"/>
          <w:szCs w:val="22"/>
          <w:lang w:val="en-ZA" w:eastAsia="en-ZA"/>
        </w:rPr>
        <w:tab/>
        <w:t>If the complainant is not satisfied with the reply contemplated in subsection (2), or if the fund or the employer who participates in a fund fails to reply within 30 days after the receipt of the complaint the complainant may lodge the complaint with the Adjudicator.</w:t>
      </w:r>
    </w:p>
    <w:p w:rsidR="008218D0" w:rsidRPr="008069A6" w:rsidRDefault="008218D0" w:rsidP="008218D0">
      <w:pPr>
        <w:pStyle w:val="ListParagraph"/>
        <w:tabs>
          <w:tab w:val="left" w:pos="567"/>
        </w:tabs>
        <w:ind w:left="0" w:right="26"/>
        <w:rPr>
          <w:sz w:val="22"/>
          <w:szCs w:val="22"/>
          <w:lang w:val="en-ZA" w:eastAsia="en-ZA"/>
        </w:rPr>
      </w:pPr>
      <w:r w:rsidRPr="008069A6">
        <w:rPr>
          <w:sz w:val="22"/>
          <w:szCs w:val="22"/>
          <w:lang w:val="en-ZA" w:eastAsia="en-ZA"/>
        </w:rPr>
        <w:t>(4)</w:t>
      </w:r>
      <w:r w:rsidRPr="008069A6">
        <w:rPr>
          <w:sz w:val="22"/>
          <w:szCs w:val="22"/>
          <w:lang w:val="en-ZA" w:eastAsia="en-ZA"/>
        </w:rPr>
        <w:tab/>
        <w:t>Subject to section 30I, the Adjudicator may on good cause shown by any affected party-</w:t>
      </w:r>
    </w:p>
    <w:p w:rsidR="008218D0" w:rsidRPr="008069A6" w:rsidRDefault="008218D0" w:rsidP="008218D0">
      <w:pPr>
        <w:pStyle w:val="ListParagraph"/>
        <w:numPr>
          <w:ilvl w:val="1"/>
          <w:numId w:val="1"/>
        </w:numPr>
        <w:tabs>
          <w:tab w:val="left" w:pos="567"/>
        </w:tabs>
        <w:ind w:left="0" w:right="26" w:firstLine="0"/>
        <w:rPr>
          <w:sz w:val="22"/>
          <w:szCs w:val="22"/>
          <w:lang w:val="en-ZA" w:eastAsia="en-ZA"/>
        </w:rPr>
      </w:pPr>
      <w:r w:rsidRPr="008069A6">
        <w:rPr>
          <w:sz w:val="22"/>
          <w:szCs w:val="22"/>
          <w:lang w:val="en-ZA" w:eastAsia="en-ZA"/>
        </w:rPr>
        <w:t>extend a period specified in subsection (2) or (3) before or after expiry of that period; or</w:t>
      </w:r>
    </w:p>
    <w:p w:rsidR="008218D0" w:rsidRPr="008069A6" w:rsidRDefault="008218D0" w:rsidP="008218D0">
      <w:pPr>
        <w:pStyle w:val="ListParagraph"/>
        <w:numPr>
          <w:ilvl w:val="1"/>
          <w:numId w:val="1"/>
        </w:numPr>
        <w:tabs>
          <w:tab w:val="left" w:pos="567"/>
        </w:tabs>
        <w:ind w:left="0" w:right="26" w:firstLine="0"/>
        <w:rPr>
          <w:sz w:val="22"/>
          <w:szCs w:val="22"/>
          <w:lang w:val="en-ZA" w:eastAsia="en-ZA"/>
        </w:rPr>
      </w:pPr>
      <w:r w:rsidRPr="008069A6">
        <w:rPr>
          <w:sz w:val="22"/>
          <w:szCs w:val="22"/>
          <w:lang w:val="en-ZA" w:eastAsia="en-ZA"/>
        </w:rPr>
        <w:t>condone non-compliance with any time limit specified in subsection (2) or (3).’</w:t>
      </w:r>
    </w:p>
    <w:p w:rsidR="008218D0" w:rsidRPr="008069A6" w:rsidRDefault="008218D0" w:rsidP="00692EC1">
      <w:pPr>
        <w:pStyle w:val="ListParagraph"/>
        <w:tabs>
          <w:tab w:val="left" w:pos="567"/>
        </w:tabs>
        <w:ind w:left="0" w:right="26"/>
        <w:rPr>
          <w:sz w:val="22"/>
          <w:szCs w:val="22"/>
          <w:lang w:val="en-ZA" w:eastAsia="en-ZA"/>
        </w:rPr>
      </w:pPr>
    </w:p>
    <w:p w:rsidR="001A09A8" w:rsidRPr="008069A6" w:rsidRDefault="008218D0" w:rsidP="00A84B76">
      <w:pPr>
        <w:pStyle w:val="ListParagraph"/>
        <w:numPr>
          <w:ilvl w:val="0"/>
          <w:numId w:val="1"/>
        </w:numPr>
        <w:ind w:left="0" w:right="26" w:firstLine="0"/>
        <w:rPr>
          <w:sz w:val="24"/>
        </w:rPr>
      </w:pPr>
      <w:r w:rsidRPr="008069A6">
        <w:rPr>
          <w:sz w:val="24"/>
        </w:rPr>
        <w:t>In this case</w:t>
      </w:r>
      <w:r w:rsidR="00780392" w:rsidRPr="008069A6">
        <w:rPr>
          <w:sz w:val="24"/>
        </w:rPr>
        <w:t>,</w:t>
      </w:r>
      <w:r w:rsidR="0035266D" w:rsidRPr="008069A6">
        <w:rPr>
          <w:sz w:val="24"/>
        </w:rPr>
        <w:t xml:space="preserve"> Ms Mutsila </w:t>
      </w:r>
      <w:r w:rsidRPr="008069A6">
        <w:rPr>
          <w:sz w:val="24"/>
        </w:rPr>
        <w:t>had</w:t>
      </w:r>
      <w:r w:rsidR="0035266D" w:rsidRPr="008069A6">
        <w:rPr>
          <w:sz w:val="24"/>
        </w:rPr>
        <w:t xml:space="preserve"> complained with the Fund</w:t>
      </w:r>
      <w:r w:rsidR="0081784C" w:rsidRPr="008069A6">
        <w:rPr>
          <w:sz w:val="24"/>
        </w:rPr>
        <w:t xml:space="preserve"> about the proposed distribution of the deceased’s death benefits</w:t>
      </w:r>
      <w:r w:rsidR="0035266D" w:rsidRPr="008069A6">
        <w:rPr>
          <w:sz w:val="24"/>
        </w:rPr>
        <w:t>. A round-table discussion</w:t>
      </w:r>
      <w:r w:rsidR="0012093C" w:rsidRPr="008069A6">
        <w:rPr>
          <w:sz w:val="24"/>
        </w:rPr>
        <w:t xml:space="preserve"> to resolve the impasse</w:t>
      </w:r>
      <w:r w:rsidR="0035266D" w:rsidRPr="008069A6">
        <w:rPr>
          <w:sz w:val="24"/>
        </w:rPr>
        <w:t xml:space="preserve"> was held thereafter, but to no avail.</w:t>
      </w:r>
      <w:r w:rsidR="00F72281" w:rsidRPr="008069A6">
        <w:rPr>
          <w:sz w:val="24"/>
        </w:rPr>
        <w:t xml:space="preserve"> </w:t>
      </w:r>
      <w:r w:rsidR="00F72281" w:rsidRPr="008069A6">
        <w:rPr>
          <w:sz w:val="24"/>
          <w:lang w:val="en-US"/>
        </w:rPr>
        <w:t xml:space="preserve">It is evident that </w:t>
      </w:r>
      <w:r w:rsidR="00D36436" w:rsidRPr="008069A6">
        <w:rPr>
          <w:sz w:val="24"/>
          <w:lang w:val="en-US"/>
        </w:rPr>
        <w:t>the</w:t>
      </w:r>
      <w:r w:rsidR="00F72281" w:rsidRPr="008069A6">
        <w:rPr>
          <w:sz w:val="24"/>
          <w:lang w:val="en-US"/>
        </w:rPr>
        <w:t xml:space="preserve"> draft distribution proposal was discussed during the meeting in terms whereof Ms Mutsila was informed that she would receive approximately R440 000.</w:t>
      </w:r>
      <w:r w:rsidR="0035266D" w:rsidRPr="008069A6">
        <w:rPr>
          <w:sz w:val="24"/>
        </w:rPr>
        <w:t xml:space="preserve"> Her attorney</w:t>
      </w:r>
      <w:r w:rsidR="0012093C" w:rsidRPr="008069A6">
        <w:rPr>
          <w:sz w:val="24"/>
        </w:rPr>
        <w:t>s</w:t>
      </w:r>
      <w:r w:rsidR="0035266D" w:rsidRPr="008069A6">
        <w:rPr>
          <w:sz w:val="24"/>
        </w:rPr>
        <w:t xml:space="preserve"> </w:t>
      </w:r>
      <w:r w:rsidR="0012093C" w:rsidRPr="008069A6">
        <w:rPr>
          <w:sz w:val="24"/>
        </w:rPr>
        <w:t xml:space="preserve">placed on record </w:t>
      </w:r>
      <w:r w:rsidR="0035266D" w:rsidRPr="008069A6">
        <w:rPr>
          <w:sz w:val="24"/>
        </w:rPr>
        <w:t xml:space="preserve">her dissatisfaction </w:t>
      </w:r>
      <w:r w:rsidRPr="008069A6">
        <w:rPr>
          <w:sz w:val="24"/>
        </w:rPr>
        <w:t xml:space="preserve">with the Fund’s decision </w:t>
      </w:r>
      <w:r w:rsidR="0035266D" w:rsidRPr="008069A6">
        <w:rPr>
          <w:sz w:val="24"/>
        </w:rPr>
        <w:t xml:space="preserve">in </w:t>
      </w:r>
      <w:r w:rsidR="00B01CC5">
        <w:rPr>
          <w:sz w:val="24"/>
        </w:rPr>
        <w:t xml:space="preserve">their </w:t>
      </w:r>
      <w:r w:rsidR="0035266D" w:rsidRPr="008069A6">
        <w:rPr>
          <w:sz w:val="24"/>
        </w:rPr>
        <w:t xml:space="preserve">letter </w:t>
      </w:r>
      <w:r w:rsidRPr="008069A6">
        <w:rPr>
          <w:sz w:val="24"/>
        </w:rPr>
        <w:t>dated</w:t>
      </w:r>
      <w:r w:rsidR="0035266D" w:rsidRPr="008069A6">
        <w:rPr>
          <w:sz w:val="24"/>
        </w:rPr>
        <w:t xml:space="preserve"> 11 March 2014 to which the Fund responded the next day. </w:t>
      </w:r>
    </w:p>
    <w:p w:rsidR="001A09A8" w:rsidRPr="008069A6" w:rsidRDefault="001A09A8" w:rsidP="00A84B76">
      <w:pPr>
        <w:pStyle w:val="ListParagraph"/>
        <w:ind w:left="0" w:right="26"/>
        <w:rPr>
          <w:sz w:val="24"/>
        </w:rPr>
      </w:pPr>
    </w:p>
    <w:p w:rsidR="0035266D" w:rsidRDefault="0035266D" w:rsidP="00831608">
      <w:pPr>
        <w:pStyle w:val="ListParagraph"/>
        <w:numPr>
          <w:ilvl w:val="0"/>
          <w:numId w:val="1"/>
        </w:numPr>
        <w:ind w:left="0" w:right="26" w:firstLine="0"/>
        <w:rPr>
          <w:sz w:val="24"/>
        </w:rPr>
      </w:pPr>
      <w:r w:rsidRPr="008069A6">
        <w:rPr>
          <w:sz w:val="24"/>
        </w:rPr>
        <w:t>Second, on 11 April 2014</w:t>
      </w:r>
      <w:r w:rsidR="00126A68" w:rsidRPr="008069A6">
        <w:rPr>
          <w:sz w:val="24"/>
        </w:rPr>
        <w:t>,</w:t>
      </w:r>
      <w:r w:rsidRPr="008069A6">
        <w:rPr>
          <w:sz w:val="24"/>
        </w:rPr>
        <w:t xml:space="preserve"> the Fund advised Ms Mutsila</w:t>
      </w:r>
      <w:r w:rsidR="002D5A64" w:rsidRPr="008069A6">
        <w:rPr>
          <w:sz w:val="24"/>
        </w:rPr>
        <w:t>’s attorneys</w:t>
      </w:r>
      <w:r w:rsidRPr="008069A6">
        <w:rPr>
          <w:sz w:val="24"/>
        </w:rPr>
        <w:t xml:space="preserve"> in writing and in clear and unambiguous language to refer her dispute to the Adjudicator, it being </w:t>
      </w:r>
      <w:r w:rsidRPr="008069A6">
        <w:rPr>
          <w:sz w:val="24"/>
        </w:rPr>
        <w:lastRenderedPageBreak/>
        <w:t>‘a specialist court focussing on pension fund issues.’</w:t>
      </w:r>
      <w:r w:rsidRPr="008069A6">
        <w:rPr>
          <w:rStyle w:val="FootnoteReference"/>
          <w:sz w:val="24"/>
        </w:rPr>
        <w:footnoteReference w:id="3"/>
      </w:r>
      <w:r w:rsidRPr="008069A6">
        <w:rPr>
          <w:sz w:val="24"/>
        </w:rPr>
        <w:t xml:space="preserve"> </w:t>
      </w:r>
      <w:r w:rsidR="00FB5733">
        <w:rPr>
          <w:sz w:val="24"/>
        </w:rPr>
        <w:t>This demonstrates that the Fund was satisfied that Ms Mutsila had complied with the requirement to submit her complaint to it, and</w:t>
      </w:r>
      <w:r w:rsidR="00287644">
        <w:rPr>
          <w:sz w:val="24"/>
        </w:rPr>
        <w:t xml:space="preserve"> that it</w:t>
      </w:r>
      <w:r w:rsidR="00FB5733">
        <w:rPr>
          <w:sz w:val="24"/>
        </w:rPr>
        <w:t xml:space="preserve"> considered the complaint exhaustively. </w:t>
      </w:r>
      <w:r w:rsidRPr="008069A6">
        <w:rPr>
          <w:sz w:val="24"/>
        </w:rPr>
        <w:t xml:space="preserve">Third, the Fund raised the jurisdictional issue for the first time and somewhat vaguely in its replying affidavit, thus </w:t>
      </w:r>
      <w:r w:rsidR="007F2FE1">
        <w:rPr>
          <w:sz w:val="24"/>
        </w:rPr>
        <w:t>depriving</w:t>
      </w:r>
      <w:r w:rsidRPr="008069A6">
        <w:rPr>
          <w:sz w:val="24"/>
        </w:rPr>
        <w:t xml:space="preserve"> the Ad</w:t>
      </w:r>
      <w:r w:rsidR="00882F64" w:rsidRPr="008069A6">
        <w:rPr>
          <w:sz w:val="24"/>
        </w:rPr>
        <w:t>judicator</w:t>
      </w:r>
      <w:r w:rsidRPr="008069A6">
        <w:rPr>
          <w:sz w:val="24"/>
        </w:rPr>
        <w:t xml:space="preserve"> who did not oppose the relief sought, </w:t>
      </w:r>
      <w:r w:rsidR="007F2FE1">
        <w:rPr>
          <w:sz w:val="24"/>
        </w:rPr>
        <w:t xml:space="preserve">of the opportunity </w:t>
      </w:r>
      <w:r w:rsidRPr="008069A6">
        <w:rPr>
          <w:sz w:val="24"/>
        </w:rPr>
        <w:t>to consider this version and to respond thereto. Fourth,</w:t>
      </w:r>
      <w:r w:rsidR="00F72281" w:rsidRPr="008069A6">
        <w:rPr>
          <w:sz w:val="24"/>
        </w:rPr>
        <w:t xml:space="preserve"> Ms Mutsila had an option under </w:t>
      </w:r>
      <w:r w:rsidR="005E603B" w:rsidRPr="008069A6">
        <w:rPr>
          <w:sz w:val="24"/>
        </w:rPr>
        <w:t xml:space="preserve">s 30A, bearing in mind that </w:t>
      </w:r>
      <w:r w:rsidRPr="008069A6">
        <w:rPr>
          <w:sz w:val="24"/>
        </w:rPr>
        <w:t xml:space="preserve">the legislature has changed the wording of </w:t>
      </w:r>
      <w:r w:rsidR="00E15F8A" w:rsidRPr="008069A6">
        <w:rPr>
          <w:sz w:val="24"/>
        </w:rPr>
        <w:t>ss 30A(</w:t>
      </w:r>
      <w:r w:rsidRPr="008069A6">
        <w:rPr>
          <w:sz w:val="24"/>
        </w:rPr>
        <w:t>1) of the Act. Previously</w:t>
      </w:r>
      <w:r w:rsidR="00AA7825" w:rsidRPr="008069A6">
        <w:rPr>
          <w:sz w:val="24"/>
        </w:rPr>
        <w:t>,</w:t>
      </w:r>
      <w:r w:rsidRPr="008069A6">
        <w:rPr>
          <w:sz w:val="24"/>
        </w:rPr>
        <w:t xml:space="preserve"> the section stipulated that a complainant ‘shall’ lodge a written complaint with a fund for consideration by its board before the matter may be referred to the Adjudicator. This indicated a peremptory requirement. The subsection was amended in 2007 to substitute the word ‘shall’ with ‘may’</w:t>
      </w:r>
      <w:r w:rsidR="003E49AF" w:rsidRPr="008069A6">
        <w:rPr>
          <w:sz w:val="24"/>
        </w:rPr>
        <w:t>.</w:t>
      </w:r>
      <w:r w:rsidRPr="008069A6">
        <w:rPr>
          <w:rStyle w:val="FootnoteReference"/>
          <w:sz w:val="24"/>
        </w:rPr>
        <w:footnoteReference w:id="4"/>
      </w:r>
      <w:r w:rsidR="003E49AF" w:rsidRPr="008069A6">
        <w:rPr>
          <w:sz w:val="24"/>
        </w:rPr>
        <w:t xml:space="preserve"> Fifth, i</w:t>
      </w:r>
      <w:r w:rsidRPr="008069A6">
        <w:rPr>
          <w:sz w:val="24"/>
        </w:rPr>
        <w:t>n my view</w:t>
      </w:r>
      <w:r w:rsidR="00AA7825" w:rsidRPr="008069A6">
        <w:rPr>
          <w:sz w:val="24"/>
        </w:rPr>
        <w:t>,</w:t>
      </w:r>
      <w:r w:rsidRPr="008069A6">
        <w:rPr>
          <w:sz w:val="24"/>
        </w:rPr>
        <w:t xml:space="preserve"> the legislature did not </w:t>
      </w:r>
      <w:r w:rsidR="007F2FE1">
        <w:rPr>
          <w:sz w:val="24"/>
        </w:rPr>
        <w:t>intend</w:t>
      </w:r>
      <w:r w:rsidRPr="008069A6">
        <w:rPr>
          <w:sz w:val="24"/>
        </w:rPr>
        <w:t xml:space="preserve"> to divest the Adjudicator </w:t>
      </w:r>
      <w:r w:rsidR="00A06329" w:rsidRPr="008069A6">
        <w:rPr>
          <w:sz w:val="24"/>
        </w:rPr>
        <w:t>of</w:t>
      </w:r>
      <w:r w:rsidRPr="008069A6">
        <w:rPr>
          <w:sz w:val="24"/>
        </w:rPr>
        <w:t xml:space="preserve"> jurisdiction to deal with a </w:t>
      </w:r>
      <w:r w:rsidR="007F2FE1">
        <w:rPr>
          <w:sz w:val="24"/>
        </w:rPr>
        <w:t>complaint</w:t>
      </w:r>
      <w:r w:rsidRPr="008069A6">
        <w:rPr>
          <w:sz w:val="24"/>
        </w:rPr>
        <w:t xml:space="preserve"> where a determination has been made by a fund, especially in a case such as </w:t>
      </w:r>
      <w:r w:rsidR="0012093C" w:rsidRPr="008069A6">
        <w:rPr>
          <w:sz w:val="24"/>
        </w:rPr>
        <w:t xml:space="preserve">this one </w:t>
      </w:r>
      <w:r w:rsidRPr="008069A6">
        <w:rPr>
          <w:sz w:val="24"/>
        </w:rPr>
        <w:t>where the highest decision-making body of the Fund – its board of trustees – has made a determination</w:t>
      </w:r>
      <w:r w:rsidR="003E49AF" w:rsidRPr="008069A6">
        <w:rPr>
          <w:sz w:val="24"/>
        </w:rPr>
        <w:t xml:space="preserve"> after having received and considered a complaint</w:t>
      </w:r>
      <w:r w:rsidR="00A06329" w:rsidRPr="008069A6">
        <w:rPr>
          <w:sz w:val="24"/>
        </w:rPr>
        <w:t>.</w:t>
      </w:r>
      <w:r w:rsidR="003E49AF" w:rsidRPr="008069A6">
        <w:rPr>
          <w:sz w:val="24"/>
        </w:rPr>
        <w:t xml:space="preserve"> </w:t>
      </w:r>
    </w:p>
    <w:p w:rsidR="007F2FE1" w:rsidRPr="008069A6" w:rsidRDefault="007F2FE1" w:rsidP="008434E1">
      <w:pPr>
        <w:pStyle w:val="ListParagraph"/>
        <w:ind w:left="0" w:right="26"/>
        <w:rPr>
          <w:sz w:val="24"/>
        </w:rPr>
      </w:pPr>
    </w:p>
    <w:p w:rsidR="0035266D" w:rsidRPr="008434E1" w:rsidRDefault="007F2FE1" w:rsidP="00831608">
      <w:pPr>
        <w:ind w:right="26"/>
        <w:rPr>
          <w:i/>
          <w:sz w:val="24"/>
        </w:rPr>
      </w:pPr>
      <w:r>
        <w:rPr>
          <w:i/>
          <w:sz w:val="24"/>
        </w:rPr>
        <w:t>The Lis pendens challenge</w:t>
      </w:r>
    </w:p>
    <w:p w:rsidR="001A09A8" w:rsidRPr="008069A6" w:rsidRDefault="0035266D" w:rsidP="00831608">
      <w:pPr>
        <w:pStyle w:val="ListParagraph"/>
        <w:numPr>
          <w:ilvl w:val="0"/>
          <w:numId w:val="1"/>
        </w:numPr>
        <w:ind w:left="0" w:right="26" w:firstLine="0"/>
        <w:rPr>
          <w:sz w:val="24"/>
        </w:rPr>
      </w:pPr>
      <w:r w:rsidRPr="008069A6">
        <w:rPr>
          <w:sz w:val="24"/>
        </w:rPr>
        <w:t xml:space="preserve">There was no pending litigation that prevented the Adjudicator </w:t>
      </w:r>
      <w:r w:rsidR="007F2FE1">
        <w:rPr>
          <w:sz w:val="24"/>
        </w:rPr>
        <w:t>from</w:t>
      </w:r>
      <w:r w:rsidRPr="008069A6">
        <w:rPr>
          <w:sz w:val="24"/>
        </w:rPr>
        <w:t xml:space="preserve"> mak</w:t>
      </w:r>
      <w:r w:rsidR="007F2FE1">
        <w:rPr>
          <w:sz w:val="24"/>
        </w:rPr>
        <w:t>ing</w:t>
      </w:r>
      <w:r w:rsidRPr="008069A6">
        <w:rPr>
          <w:sz w:val="24"/>
        </w:rPr>
        <w:t xml:space="preserve"> a determination. The </w:t>
      </w:r>
      <w:r w:rsidRPr="008069A6">
        <w:rPr>
          <w:i/>
          <w:sz w:val="24"/>
        </w:rPr>
        <w:t>lis pendens</w:t>
      </w:r>
      <w:r w:rsidRPr="008069A6">
        <w:rPr>
          <w:sz w:val="24"/>
        </w:rPr>
        <w:t xml:space="preserve"> defence is unmeritorious. </w:t>
      </w:r>
      <w:r w:rsidRPr="008069A6">
        <w:rPr>
          <w:i/>
          <w:iCs/>
          <w:sz w:val="24"/>
        </w:rPr>
        <w:t>In casu</w:t>
      </w:r>
      <w:r w:rsidR="00832AE6" w:rsidRPr="008069A6">
        <w:rPr>
          <w:sz w:val="24"/>
        </w:rPr>
        <w:t>,</w:t>
      </w:r>
      <w:r w:rsidRPr="008069A6">
        <w:rPr>
          <w:sz w:val="24"/>
        </w:rPr>
        <w:t xml:space="preserve"> the issue was whether Ms Masete and her two children were factually dependent upon the deceased. Contrary to th</w:t>
      </w:r>
      <w:r w:rsidR="00A06329" w:rsidRPr="008069A6">
        <w:rPr>
          <w:sz w:val="24"/>
        </w:rPr>
        <w:t xml:space="preserve">at </w:t>
      </w:r>
      <w:r w:rsidRPr="008069A6">
        <w:rPr>
          <w:sz w:val="24"/>
        </w:rPr>
        <w:t>dispute</w:t>
      </w:r>
      <w:r w:rsidR="00A06329" w:rsidRPr="008069A6">
        <w:rPr>
          <w:sz w:val="24"/>
        </w:rPr>
        <w:t>,</w:t>
      </w:r>
      <w:r w:rsidRPr="008069A6">
        <w:rPr>
          <w:sz w:val="24"/>
        </w:rPr>
        <w:t xml:space="preserve"> </w:t>
      </w:r>
      <w:r w:rsidR="007F2FE1">
        <w:rPr>
          <w:sz w:val="24"/>
        </w:rPr>
        <w:t xml:space="preserve">in the custody application </w:t>
      </w:r>
      <w:r w:rsidRPr="008069A6">
        <w:rPr>
          <w:sz w:val="24"/>
        </w:rPr>
        <w:t xml:space="preserve">the </w:t>
      </w:r>
      <w:r w:rsidR="007F2FE1">
        <w:rPr>
          <w:sz w:val="24"/>
        </w:rPr>
        <w:t>issue</w:t>
      </w:r>
      <w:r w:rsidRPr="008069A6">
        <w:rPr>
          <w:sz w:val="24"/>
        </w:rPr>
        <w:t xml:space="preserve"> between Ms Masete and her husband, Mr Mphafudi, was about the primary residence and daily care of their two children. </w:t>
      </w:r>
    </w:p>
    <w:p w:rsidR="003E77C3" w:rsidRPr="008069A6" w:rsidRDefault="003E77C3" w:rsidP="003E77C3">
      <w:pPr>
        <w:pStyle w:val="ListParagraph"/>
        <w:rPr>
          <w:sz w:val="24"/>
        </w:rPr>
      </w:pPr>
    </w:p>
    <w:p w:rsidR="001A09A8" w:rsidRPr="008069A6" w:rsidRDefault="007F2FE1" w:rsidP="00831608">
      <w:pPr>
        <w:pStyle w:val="ListParagraph"/>
        <w:numPr>
          <w:ilvl w:val="0"/>
          <w:numId w:val="1"/>
        </w:numPr>
        <w:ind w:left="0" w:right="26" w:firstLine="0"/>
        <w:rPr>
          <w:sz w:val="24"/>
        </w:rPr>
      </w:pPr>
      <w:r>
        <w:rPr>
          <w:sz w:val="24"/>
        </w:rPr>
        <w:t xml:space="preserve">In these proceedings </w:t>
      </w:r>
      <w:r w:rsidR="0035266D" w:rsidRPr="008069A6">
        <w:rPr>
          <w:sz w:val="24"/>
        </w:rPr>
        <w:t xml:space="preserve">Ms Masete </w:t>
      </w:r>
      <w:r>
        <w:rPr>
          <w:sz w:val="24"/>
        </w:rPr>
        <w:t>asserted</w:t>
      </w:r>
      <w:r w:rsidR="0035266D" w:rsidRPr="008069A6">
        <w:rPr>
          <w:sz w:val="24"/>
        </w:rPr>
        <w:t xml:space="preserve"> that the same two children, who were legally dependent upon her husband for maintenance, were </w:t>
      </w:r>
      <w:r w:rsidR="00180EF3" w:rsidRPr="008069A6">
        <w:rPr>
          <w:sz w:val="24"/>
        </w:rPr>
        <w:t xml:space="preserve">indeed </w:t>
      </w:r>
      <w:r w:rsidR="003E49AF" w:rsidRPr="008069A6">
        <w:rPr>
          <w:sz w:val="24"/>
        </w:rPr>
        <w:t xml:space="preserve">factual </w:t>
      </w:r>
      <w:r w:rsidR="0035266D" w:rsidRPr="008069A6">
        <w:rPr>
          <w:sz w:val="24"/>
        </w:rPr>
        <w:t xml:space="preserve">dependants of the deceased. The Fund accepted </w:t>
      </w:r>
      <w:r w:rsidR="003E49AF" w:rsidRPr="008069A6">
        <w:rPr>
          <w:sz w:val="24"/>
        </w:rPr>
        <w:t>factual dependency, although under the mistaken belief that the children were the deceased’s children</w:t>
      </w:r>
      <w:r w:rsidR="005E603B" w:rsidRPr="008069A6">
        <w:rPr>
          <w:sz w:val="24"/>
        </w:rPr>
        <w:t>.</w:t>
      </w:r>
      <w:r w:rsidR="0035266D" w:rsidRPr="008069A6">
        <w:rPr>
          <w:sz w:val="24"/>
        </w:rPr>
        <w:t xml:space="preserve"> It is apparent from the affidavits that Mr Mphafudi did not maintain his children, at least not since </w:t>
      </w:r>
      <w:r w:rsidR="0035266D" w:rsidRPr="008069A6">
        <w:rPr>
          <w:sz w:val="24"/>
        </w:rPr>
        <w:lastRenderedPageBreak/>
        <w:t>December 2011/January 2012.</w:t>
      </w:r>
      <w:r w:rsidR="0035266D" w:rsidRPr="008069A6">
        <w:rPr>
          <w:rStyle w:val="FootnoteReference"/>
          <w:sz w:val="24"/>
        </w:rPr>
        <w:footnoteReference w:id="5"/>
      </w:r>
      <w:r w:rsidR="0035266D" w:rsidRPr="008069A6">
        <w:rPr>
          <w:sz w:val="24"/>
        </w:rPr>
        <w:t xml:space="preserve"> He made two payments to Ms Masete a</w:t>
      </w:r>
      <w:r w:rsidR="00F757D2" w:rsidRPr="008069A6">
        <w:rPr>
          <w:sz w:val="24"/>
        </w:rPr>
        <w:t>t the end of 2014 that he referred to</w:t>
      </w:r>
      <w:r w:rsidR="0035266D" w:rsidRPr="008069A6">
        <w:rPr>
          <w:sz w:val="24"/>
        </w:rPr>
        <w:t xml:space="preserve"> as maintenance payments and explained that he could not make earlier payments as he was not aware of Ms Masete’s bank details. </w:t>
      </w:r>
    </w:p>
    <w:p w:rsidR="003E77C3" w:rsidRPr="008069A6" w:rsidRDefault="003E77C3" w:rsidP="003E77C3">
      <w:pPr>
        <w:pStyle w:val="ListParagraph"/>
        <w:rPr>
          <w:sz w:val="24"/>
        </w:rPr>
      </w:pPr>
    </w:p>
    <w:p w:rsidR="0035266D" w:rsidRPr="008069A6" w:rsidRDefault="0035266D" w:rsidP="001A09A8">
      <w:pPr>
        <w:pStyle w:val="ListParagraph"/>
        <w:numPr>
          <w:ilvl w:val="0"/>
          <w:numId w:val="1"/>
        </w:numPr>
        <w:ind w:left="0" w:right="26" w:firstLine="0"/>
        <w:rPr>
          <w:sz w:val="24"/>
        </w:rPr>
      </w:pPr>
      <w:r w:rsidRPr="008069A6">
        <w:rPr>
          <w:sz w:val="24"/>
        </w:rPr>
        <w:t xml:space="preserve">A </w:t>
      </w:r>
      <w:r w:rsidR="00096823">
        <w:rPr>
          <w:sz w:val="24"/>
        </w:rPr>
        <w:t>careful</w:t>
      </w:r>
      <w:r w:rsidRPr="008069A6">
        <w:rPr>
          <w:sz w:val="24"/>
        </w:rPr>
        <w:t xml:space="preserve"> perusal of the affidavits </w:t>
      </w:r>
      <w:r w:rsidR="00096823">
        <w:rPr>
          <w:sz w:val="24"/>
        </w:rPr>
        <w:t xml:space="preserve">filed in these proceedings </w:t>
      </w:r>
      <w:r w:rsidRPr="008069A6">
        <w:rPr>
          <w:sz w:val="24"/>
        </w:rPr>
        <w:t xml:space="preserve">would have </w:t>
      </w:r>
      <w:r w:rsidR="00096823">
        <w:rPr>
          <w:sz w:val="24"/>
        </w:rPr>
        <w:t>alerted</w:t>
      </w:r>
      <w:r w:rsidRPr="008069A6">
        <w:rPr>
          <w:sz w:val="24"/>
        </w:rPr>
        <w:t xml:space="preserve"> </w:t>
      </w:r>
      <w:r w:rsidR="00180EF3" w:rsidRPr="008069A6">
        <w:rPr>
          <w:sz w:val="24"/>
        </w:rPr>
        <w:t>the Adjudicator, the court of first instance</w:t>
      </w:r>
      <w:r w:rsidRPr="008069A6">
        <w:rPr>
          <w:sz w:val="24"/>
        </w:rPr>
        <w:t xml:space="preserve"> and the full court to </w:t>
      </w:r>
      <w:r w:rsidR="00096823">
        <w:rPr>
          <w:sz w:val="24"/>
        </w:rPr>
        <w:t xml:space="preserve">the fact </w:t>
      </w:r>
      <w:r w:rsidRPr="008069A6">
        <w:rPr>
          <w:sz w:val="24"/>
        </w:rPr>
        <w:t>that Mr Mp</w:t>
      </w:r>
      <w:r w:rsidR="00180EF3" w:rsidRPr="008069A6">
        <w:rPr>
          <w:sz w:val="24"/>
        </w:rPr>
        <w:t xml:space="preserve">hafudi’s version </w:t>
      </w:r>
      <w:r w:rsidR="005E603B" w:rsidRPr="008069A6">
        <w:rPr>
          <w:sz w:val="24"/>
        </w:rPr>
        <w:t xml:space="preserve">supported </w:t>
      </w:r>
      <w:r w:rsidRPr="008069A6">
        <w:rPr>
          <w:sz w:val="24"/>
        </w:rPr>
        <w:t xml:space="preserve">Ms Masete’s claim that she and her children were dependent on the deceased </w:t>
      </w:r>
      <w:r w:rsidR="00B01CC5">
        <w:rPr>
          <w:sz w:val="24"/>
        </w:rPr>
        <w:t>for</w:t>
      </w:r>
      <w:r w:rsidRPr="008069A6">
        <w:rPr>
          <w:sz w:val="24"/>
        </w:rPr>
        <w:t xml:space="preserve"> support</w:t>
      </w:r>
      <w:r w:rsidR="00B01CC5">
        <w:rPr>
          <w:sz w:val="24"/>
        </w:rPr>
        <w:t>,</w:t>
      </w:r>
      <w:r w:rsidRPr="008069A6">
        <w:rPr>
          <w:sz w:val="24"/>
        </w:rPr>
        <w:t xml:space="preserve"> which he factually did. No contrary deduction could be made.</w:t>
      </w:r>
      <w:r w:rsidR="00DC0536" w:rsidRPr="008069A6">
        <w:rPr>
          <w:sz w:val="24"/>
        </w:rPr>
        <w:t xml:space="preserve"> It is important</w:t>
      </w:r>
      <w:r w:rsidR="00B01CC5">
        <w:rPr>
          <w:sz w:val="24"/>
        </w:rPr>
        <w:t xml:space="preserve"> to note</w:t>
      </w:r>
      <w:r w:rsidR="00DC0536" w:rsidRPr="008069A6">
        <w:rPr>
          <w:sz w:val="24"/>
        </w:rPr>
        <w:t xml:space="preserve">, with reference to </w:t>
      </w:r>
      <w:r w:rsidR="00330CD8" w:rsidRPr="008069A6">
        <w:rPr>
          <w:sz w:val="24"/>
        </w:rPr>
        <w:t>Ms Masete’s bank statements</w:t>
      </w:r>
      <w:r w:rsidR="00180EF3" w:rsidRPr="008069A6">
        <w:rPr>
          <w:sz w:val="24"/>
        </w:rPr>
        <w:t>,</w:t>
      </w:r>
      <w:r w:rsidR="00C314D1" w:rsidRPr="008069A6">
        <w:rPr>
          <w:sz w:val="24"/>
        </w:rPr>
        <w:t xml:space="preserve"> that </w:t>
      </w:r>
      <w:r w:rsidR="00766E24" w:rsidRPr="008069A6">
        <w:rPr>
          <w:sz w:val="24"/>
        </w:rPr>
        <w:t xml:space="preserve">at least four cash deposits </w:t>
      </w:r>
      <w:r w:rsidR="00F757D2" w:rsidRPr="008069A6">
        <w:rPr>
          <w:sz w:val="24"/>
        </w:rPr>
        <w:t xml:space="preserve">were made </w:t>
      </w:r>
      <w:r w:rsidR="00766E24" w:rsidRPr="008069A6">
        <w:rPr>
          <w:sz w:val="24"/>
        </w:rPr>
        <w:t xml:space="preserve">during the </w:t>
      </w:r>
      <w:r w:rsidR="002602B0" w:rsidRPr="008069A6">
        <w:rPr>
          <w:sz w:val="24"/>
        </w:rPr>
        <w:t xml:space="preserve">period 3 May to 10 August 2012 </w:t>
      </w:r>
      <w:r w:rsidR="00F757D2" w:rsidRPr="008069A6">
        <w:rPr>
          <w:sz w:val="24"/>
        </w:rPr>
        <w:t xml:space="preserve">which </w:t>
      </w:r>
      <w:r w:rsidR="004E2011" w:rsidRPr="008069A6">
        <w:rPr>
          <w:sz w:val="24"/>
        </w:rPr>
        <w:t xml:space="preserve">contained the first </w:t>
      </w:r>
      <w:r w:rsidR="00E06CE4" w:rsidRPr="008069A6">
        <w:rPr>
          <w:sz w:val="24"/>
        </w:rPr>
        <w:t>ten numbers</w:t>
      </w:r>
      <w:r w:rsidR="0089555E" w:rsidRPr="008069A6">
        <w:rPr>
          <w:sz w:val="24"/>
        </w:rPr>
        <w:t xml:space="preserve"> of the deceased</w:t>
      </w:r>
      <w:r w:rsidR="00E06CE4" w:rsidRPr="008069A6">
        <w:rPr>
          <w:sz w:val="24"/>
        </w:rPr>
        <w:t>’s</w:t>
      </w:r>
      <w:r w:rsidR="0089555E" w:rsidRPr="008069A6">
        <w:rPr>
          <w:sz w:val="24"/>
        </w:rPr>
        <w:t xml:space="preserve"> </w:t>
      </w:r>
      <w:r w:rsidR="00BB514D" w:rsidRPr="008069A6">
        <w:rPr>
          <w:sz w:val="24"/>
        </w:rPr>
        <w:t>identity number, to wit 6212</w:t>
      </w:r>
      <w:r w:rsidR="007A3358" w:rsidRPr="008069A6">
        <w:rPr>
          <w:sz w:val="24"/>
        </w:rPr>
        <w:t>08 5971</w:t>
      </w:r>
      <w:r w:rsidR="00E06CE4" w:rsidRPr="008069A6">
        <w:rPr>
          <w:sz w:val="24"/>
        </w:rPr>
        <w:t xml:space="preserve"> 008</w:t>
      </w:r>
      <w:r w:rsidR="007A3358" w:rsidRPr="008069A6">
        <w:rPr>
          <w:sz w:val="24"/>
        </w:rPr>
        <w:t>. Over and above this</w:t>
      </w:r>
      <w:r w:rsidR="006A75AF" w:rsidRPr="008069A6">
        <w:rPr>
          <w:sz w:val="24"/>
        </w:rPr>
        <w:t xml:space="preserve">, other cash deposits </w:t>
      </w:r>
      <w:r w:rsidR="0034389E" w:rsidRPr="008069A6">
        <w:rPr>
          <w:sz w:val="24"/>
        </w:rPr>
        <w:t>appear on the bank statements</w:t>
      </w:r>
      <w:r w:rsidR="00514343" w:rsidRPr="008069A6">
        <w:rPr>
          <w:sz w:val="24"/>
        </w:rPr>
        <w:t>,</w:t>
      </w:r>
      <w:r w:rsidR="0034389E" w:rsidRPr="008069A6">
        <w:rPr>
          <w:sz w:val="24"/>
        </w:rPr>
        <w:t xml:space="preserve"> </w:t>
      </w:r>
      <w:r w:rsidR="001927FB" w:rsidRPr="008069A6">
        <w:rPr>
          <w:sz w:val="24"/>
        </w:rPr>
        <w:t xml:space="preserve">excluding </w:t>
      </w:r>
      <w:r w:rsidR="00A41688" w:rsidRPr="008069A6">
        <w:rPr>
          <w:sz w:val="24"/>
        </w:rPr>
        <w:t xml:space="preserve">the deposits pertaining to Ms Masete’s salary which are clearly identified </w:t>
      </w:r>
      <w:r w:rsidR="008C45D0" w:rsidRPr="008069A6">
        <w:rPr>
          <w:sz w:val="24"/>
        </w:rPr>
        <w:t>as such.</w:t>
      </w:r>
    </w:p>
    <w:p w:rsidR="001E77A9" w:rsidRPr="008069A6" w:rsidRDefault="001E77A9" w:rsidP="00831608">
      <w:pPr>
        <w:ind w:right="26"/>
        <w:rPr>
          <w:sz w:val="24"/>
        </w:rPr>
      </w:pPr>
    </w:p>
    <w:p w:rsidR="0035266D" w:rsidRPr="008069A6" w:rsidRDefault="0035266D" w:rsidP="0074035B">
      <w:pPr>
        <w:pStyle w:val="ListParagraph"/>
        <w:ind w:left="0" w:right="26"/>
        <w:rPr>
          <w:i/>
          <w:sz w:val="24"/>
        </w:rPr>
      </w:pPr>
      <w:r w:rsidRPr="008069A6">
        <w:rPr>
          <w:i/>
          <w:sz w:val="24"/>
        </w:rPr>
        <w:t xml:space="preserve">The audi alteram partem </w:t>
      </w:r>
      <w:r w:rsidR="00096823">
        <w:rPr>
          <w:i/>
          <w:sz w:val="24"/>
        </w:rPr>
        <w:t>challenge</w:t>
      </w:r>
    </w:p>
    <w:p w:rsidR="004F590D" w:rsidRPr="008069A6" w:rsidRDefault="0035266D" w:rsidP="00831608">
      <w:pPr>
        <w:pStyle w:val="ListParagraph"/>
        <w:numPr>
          <w:ilvl w:val="0"/>
          <w:numId w:val="1"/>
        </w:numPr>
        <w:ind w:left="0" w:right="26" w:firstLine="0"/>
        <w:rPr>
          <w:sz w:val="24"/>
        </w:rPr>
      </w:pPr>
      <w:r w:rsidRPr="008069A6">
        <w:rPr>
          <w:sz w:val="24"/>
        </w:rPr>
        <w:t>The main object of the Adjudicator is to dispose of complaints lodged in terms of s</w:t>
      </w:r>
      <w:r w:rsidR="001345FA" w:rsidRPr="008069A6">
        <w:rPr>
          <w:sz w:val="24"/>
        </w:rPr>
        <w:t>ub</w:t>
      </w:r>
      <w:r w:rsidRPr="008069A6">
        <w:rPr>
          <w:sz w:val="24"/>
        </w:rPr>
        <w:t>s</w:t>
      </w:r>
      <w:r w:rsidR="001345FA" w:rsidRPr="008069A6">
        <w:rPr>
          <w:sz w:val="24"/>
        </w:rPr>
        <w:t>ec</w:t>
      </w:r>
      <w:r w:rsidRPr="008069A6">
        <w:rPr>
          <w:sz w:val="24"/>
        </w:rPr>
        <w:t xml:space="preserve"> 30A(3)</w:t>
      </w:r>
      <w:r w:rsidR="004F590D" w:rsidRPr="008069A6">
        <w:rPr>
          <w:sz w:val="24"/>
        </w:rPr>
        <w:t xml:space="preserve"> of the Act</w:t>
      </w:r>
      <w:r w:rsidRPr="008069A6">
        <w:rPr>
          <w:sz w:val="24"/>
        </w:rPr>
        <w:t xml:space="preserve"> ‘</w:t>
      </w:r>
      <w:r w:rsidR="00CE1A3B" w:rsidRPr="008069A6">
        <w:rPr>
          <w:sz w:val="24"/>
        </w:rPr>
        <w:t>…</w:t>
      </w:r>
      <w:r w:rsidRPr="008069A6">
        <w:rPr>
          <w:sz w:val="24"/>
        </w:rPr>
        <w:t>in a procedurally fair, economical and expeditious manner.’</w:t>
      </w:r>
      <w:r w:rsidRPr="008069A6">
        <w:rPr>
          <w:rStyle w:val="FootnoteReference"/>
          <w:sz w:val="24"/>
        </w:rPr>
        <w:footnoteReference w:id="6"/>
      </w:r>
      <w:r w:rsidRPr="008069A6">
        <w:rPr>
          <w:sz w:val="24"/>
        </w:rPr>
        <w:t xml:space="preserve"> In order to achieve the main object</w:t>
      </w:r>
      <w:r w:rsidR="00F757D2" w:rsidRPr="008069A6">
        <w:rPr>
          <w:sz w:val="24"/>
        </w:rPr>
        <w:t>,</w:t>
      </w:r>
      <w:r w:rsidRPr="008069A6">
        <w:rPr>
          <w:sz w:val="24"/>
        </w:rPr>
        <w:t xml:space="preserve"> s</w:t>
      </w:r>
      <w:r w:rsidR="00F91DDC" w:rsidRPr="008069A6">
        <w:rPr>
          <w:sz w:val="24"/>
        </w:rPr>
        <w:t xml:space="preserve">s </w:t>
      </w:r>
      <w:r w:rsidRPr="008069A6">
        <w:rPr>
          <w:sz w:val="24"/>
        </w:rPr>
        <w:t xml:space="preserve"> 30E(1)</w:t>
      </w:r>
      <w:r w:rsidRPr="008069A6">
        <w:rPr>
          <w:i/>
          <w:sz w:val="24"/>
        </w:rPr>
        <w:t xml:space="preserve">(a) </w:t>
      </w:r>
      <w:r w:rsidRPr="008069A6">
        <w:rPr>
          <w:sz w:val="24"/>
        </w:rPr>
        <w:t>provides that</w:t>
      </w:r>
      <w:r w:rsidR="004F590D" w:rsidRPr="008069A6">
        <w:rPr>
          <w:sz w:val="24"/>
        </w:rPr>
        <w:t>:</w:t>
      </w:r>
    </w:p>
    <w:p w:rsidR="004F590D" w:rsidRPr="008069A6" w:rsidRDefault="0035266D" w:rsidP="00F1789F">
      <w:pPr>
        <w:pStyle w:val="ListParagraph"/>
        <w:ind w:left="0" w:right="26"/>
        <w:rPr>
          <w:sz w:val="22"/>
          <w:szCs w:val="22"/>
        </w:rPr>
      </w:pPr>
      <w:r w:rsidRPr="008069A6">
        <w:rPr>
          <w:sz w:val="22"/>
          <w:szCs w:val="22"/>
        </w:rPr>
        <w:t>‘</w:t>
      </w:r>
      <w:r w:rsidR="00CE1A3B" w:rsidRPr="008069A6">
        <w:rPr>
          <w:sz w:val="22"/>
          <w:szCs w:val="22"/>
        </w:rPr>
        <w:t>…</w:t>
      </w:r>
      <w:r w:rsidRPr="008069A6">
        <w:rPr>
          <w:sz w:val="22"/>
          <w:szCs w:val="22"/>
        </w:rPr>
        <w:t>the Adjudicator</w:t>
      </w:r>
      <w:r w:rsidR="00574775" w:rsidRPr="008069A6">
        <w:rPr>
          <w:sz w:val="22"/>
          <w:szCs w:val="22"/>
        </w:rPr>
        <w:t xml:space="preserve"> </w:t>
      </w:r>
      <w:r w:rsidR="00CE1A3B" w:rsidRPr="008069A6">
        <w:rPr>
          <w:sz w:val="22"/>
          <w:szCs w:val="22"/>
        </w:rPr>
        <w:t xml:space="preserve">- </w:t>
      </w:r>
    </w:p>
    <w:p w:rsidR="00574775" w:rsidRPr="008069A6" w:rsidRDefault="00CE1A3B" w:rsidP="00F1789F">
      <w:pPr>
        <w:pStyle w:val="ListParagraph"/>
        <w:ind w:left="0" w:right="26"/>
        <w:rPr>
          <w:sz w:val="22"/>
          <w:szCs w:val="22"/>
        </w:rPr>
      </w:pPr>
      <w:r w:rsidRPr="008069A6">
        <w:rPr>
          <w:sz w:val="22"/>
          <w:szCs w:val="22"/>
        </w:rPr>
        <w:lastRenderedPageBreak/>
        <w:t>(a)</w:t>
      </w:r>
      <w:r w:rsidR="0035266D" w:rsidRPr="008069A6">
        <w:rPr>
          <w:sz w:val="22"/>
          <w:szCs w:val="22"/>
        </w:rPr>
        <w:t xml:space="preserve"> shall, subject to paragraph (b) </w:t>
      </w:r>
      <w:r w:rsidR="004F590D" w:rsidRPr="008069A6">
        <w:rPr>
          <w:sz w:val="22"/>
          <w:szCs w:val="22"/>
        </w:rPr>
        <w:t>[</w:t>
      </w:r>
      <w:r w:rsidR="0035266D" w:rsidRPr="008069A6">
        <w:rPr>
          <w:sz w:val="22"/>
          <w:szCs w:val="22"/>
        </w:rPr>
        <w:t xml:space="preserve">which is not applicable in </w:t>
      </w:r>
      <w:r w:rsidR="00920170">
        <w:rPr>
          <w:sz w:val="22"/>
          <w:szCs w:val="22"/>
        </w:rPr>
        <w:t>this case</w:t>
      </w:r>
      <w:r w:rsidR="004F590D" w:rsidRPr="008069A6">
        <w:rPr>
          <w:sz w:val="22"/>
          <w:szCs w:val="22"/>
        </w:rPr>
        <w:t>]</w:t>
      </w:r>
      <w:r w:rsidRPr="008069A6">
        <w:rPr>
          <w:sz w:val="22"/>
          <w:szCs w:val="22"/>
        </w:rPr>
        <w:t>,</w:t>
      </w:r>
      <w:r w:rsidR="0035266D" w:rsidRPr="008069A6">
        <w:rPr>
          <w:sz w:val="22"/>
          <w:szCs w:val="22"/>
        </w:rPr>
        <w:t xml:space="preserve"> investigate any complaint and may make </w:t>
      </w:r>
      <w:r w:rsidRPr="008069A6">
        <w:rPr>
          <w:sz w:val="22"/>
          <w:szCs w:val="22"/>
        </w:rPr>
        <w:t>the</w:t>
      </w:r>
      <w:r w:rsidR="0035266D" w:rsidRPr="008069A6">
        <w:rPr>
          <w:sz w:val="22"/>
          <w:szCs w:val="22"/>
        </w:rPr>
        <w:t xml:space="preserve"> order which any court of law may make</w:t>
      </w:r>
      <w:bookmarkStart w:id="29" w:name="0-0-0-363531"/>
      <w:bookmarkStart w:id="30" w:name="0-0-0-363533"/>
      <w:bookmarkStart w:id="31" w:name="0-0-0-363537"/>
      <w:bookmarkEnd w:id="29"/>
      <w:bookmarkEnd w:id="30"/>
      <w:bookmarkEnd w:id="31"/>
      <w:r w:rsidR="00574775" w:rsidRPr="008069A6">
        <w:rPr>
          <w:sz w:val="22"/>
          <w:szCs w:val="22"/>
        </w:rPr>
        <w:t>…’</w:t>
      </w:r>
      <w:r w:rsidR="0035266D" w:rsidRPr="008069A6">
        <w:rPr>
          <w:sz w:val="22"/>
          <w:szCs w:val="22"/>
        </w:rPr>
        <w:t xml:space="preserve"> </w:t>
      </w:r>
    </w:p>
    <w:p w:rsidR="0035266D" w:rsidRPr="008069A6" w:rsidRDefault="0035266D" w:rsidP="00F1789F">
      <w:pPr>
        <w:pStyle w:val="ListParagraph"/>
        <w:ind w:left="0" w:right="26"/>
        <w:rPr>
          <w:sz w:val="24"/>
        </w:rPr>
      </w:pPr>
      <w:r w:rsidRPr="008069A6">
        <w:rPr>
          <w:sz w:val="24"/>
        </w:rPr>
        <w:t>Also,</w:t>
      </w:r>
      <w:r w:rsidR="00574775" w:rsidRPr="008069A6">
        <w:rPr>
          <w:sz w:val="24"/>
        </w:rPr>
        <w:t xml:space="preserve"> the Act states that</w:t>
      </w:r>
      <w:r w:rsidRPr="008069A6">
        <w:rPr>
          <w:sz w:val="24"/>
        </w:rPr>
        <w:t xml:space="preserve"> ‘</w:t>
      </w:r>
      <w:r w:rsidR="00574775" w:rsidRPr="008069A6">
        <w:rPr>
          <w:sz w:val="24"/>
        </w:rPr>
        <w:t>[</w:t>
      </w:r>
      <w:r w:rsidR="003A6690" w:rsidRPr="008069A6">
        <w:rPr>
          <w:sz w:val="24"/>
        </w:rPr>
        <w:t>t</w:t>
      </w:r>
      <w:r w:rsidR="00574775" w:rsidRPr="008069A6">
        <w:rPr>
          <w:sz w:val="24"/>
        </w:rPr>
        <w:t>]</w:t>
      </w:r>
      <w:r w:rsidR="003A6690" w:rsidRPr="008069A6">
        <w:rPr>
          <w:sz w:val="24"/>
        </w:rPr>
        <w:t>he</w:t>
      </w:r>
      <w:r w:rsidRPr="008069A6">
        <w:rPr>
          <w:sz w:val="24"/>
        </w:rPr>
        <w:t xml:space="preserve"> Adjudicator may follow any procedure which he or she considers appropriate in conducting an investigation, including procedures in an inquisitorial manner’</w:t>
      </w:r>
      <w:r w:rsidR="00574775" w:rsidRPr="008069A6">
        <w:rPr>
          <w:sz w:val="24"/>
        </w:rPr>
        <w:t>.</w:t>
      </w:r>
      <w:r w:rsidRPr="008069A6">
        <w:rPr>
          <w:rStyle w:val="FootnoteReference"/>
          <w:sz w:val="24"/>
        </w:rPr>
        <w:footnoteReference w:id="7"/>
      </w:r>
      <w:r w:rsidRPr="008069A6">
        <w:rPr>
          <w:sz w:val="24"/>
        </w:rPr>
        <w:t xml:space="preserve"> Section 30F provides for an opportunity to respond before any determination is made concerning a fund or person and stipulates as follows: </w:t>
      </w:r>
    </w:p>
    <w:p w:rsidR="0035266D" w:rsidRPr="008069A6" w:rsidRDefault="0035266D" w:rsidP="00831608">
      <w:pPr>
        <w:pStyle w:val="ListParagraph"/>
        <w:ind w:left="0" w:right="26"/>
        <w:rPr>
          <w:sz w:val="22"/>
          <w:szCs w:val="22"/>
          <w:lang w:val="en-ZA" w:eastAsia="en-ZA"/>
        </w:rPr>
      </w:pPr>
      <w:r w:rsidRPr="008069A6">
        <w:rPr>
          <w:sz w:val="22"/>
          <w:szCs w:val="22"/>
          <w:lang w:val="en-ZA" w:eastAsia="en-ZA"/>
        </w:rPr>
        <w:t>‘When the Adjudicator intends to conduct an investigation into a complaint he or she shall afford the fund or person against whom the allegations contained in the complaint are made, the opportunity to comment on the allegations.’</w:t>
      </w:r>
    </w:p>
    <w:p w:rsidR="00FC3596" w:rsidRPr="008069A6" w:rsidRDefault="00FC3596" w:rsidP="00831608">
      <w:pPr>
        <w:ind w:right="26"/>
        <w:rPr>
          <w:sz w:val="24"/>
        </w:rPr>
      </w:pPr>
    </w:p>
    <w:p w:rsidR="0035266D" w:rsidRPr="008069A6" w:rsidRDefault="0035266D" w:rsidP="00831608">
      <w:pPr>
        <w:pStyle w:val="ListParagraph"/>
        <w:numPr>
          <w:ilvl w:val="0"/>
          <w:numId w:val="1"/>
        </w:numPr>
        <w:ind w:left="0" w:right="26" w:firstLine="0"/>
        <w:rPr>
          <w:sz w:val="24"/>
        </w:rPr>
      </w:pPr>
      <w:r w:rsidRPr="008069A6">
        <w:rPr>
          <w:sz w:val="24"/>
        </w:rPr>
        <w:t xml:space="preserve">It is and was the Fund’s main concern that the Adjudicator failed to apply the </w:t>
      </w:r>
      <w:r w:rsidRPr="008069A6">
        <w:rPr>
          <w:i/>
          <w:sz w:val="24"/>
        </w:rPr>
        <w:t>audi</w:t>
      </w:r>
      <w:r w:rsidRPr="008069A6">
        <w:rPr>
          <w:sz w:val="24"/>
        </w:rPr>
        <w:t>-principle in denying it</w:t>
      </w:r>
      <w:r w:rsidR="005E603B" w:rsidRPr="008069A6">
        <w:rPr>
          <w:sz w:val="24"/>
        </w:rPr>
        <w:t xml:space="preserve"> an</w:t>
      </w:r>
      <w:r w:rsidRPr="008069A6">
        <w:rPr>
          <w:sz w:val="24"/>
        </w:rPr>
        <w:t xml:space="preserve"> </w:t>
      </w:r>
      <w:r w:rsidR="00080664" w:rsidRPr="008069A6">
        <w:rPr>
          <w:sz w:val="24"/>
        </w:rPr>
        <w:t xml:space="preserve">opportunity </w:t>
      </w:r>
      <w:r w:rsidRPr="008069A6">
        <w:rPr>
          <w:sz w:val="24"/>
        </w:rPr>
        <w:t>to make representations before it made its determination. This ground of appeal require</w:t>
      </w:r>
      <w:r w:rsidR="005274E1" w:rsidRPr="008069A6">
        <w:rPr>
          <w:sz w:val="24"/>
        </w:rPr>
        <w:t>s</w:t>
      </w:r>
      <w:r w:rsidRPr="008069A6">
        <w:rPr>
          <w:sz w:val="24"/>
        </w:rPr>
        <w:t xml:space="preserve"> some consideration. The Fund received </w:t>
      </w:r>
      <w:r w:rsidR="00920170">
        <w:rPr>
          <w:sz w:val="24"/>
        </w:rPr>
        <w:t xml:space="preserve">from the Adjudicator </w:t>
      </w:r>
      <w:r w:rsidRPr="008069A6">
        <w:rPr>
          <w:sz w:val="24"/>
        </w:rPr>
        <w:t xml:space="preserve">notification of Ms Mutsila’s complaint </w:t>
      </w:r>
      <w:r w:rsidR="005E603B" w:rsidRPr="008069A6">
        <w:rPr>
          <w:sz w:val="24"/>
        </w:rPr>
        <w:t xml:space="preserve">and </w:t>
      </w:r>
      <w:r w:rsidR="002E1341" w:rsidRPr="008069A6">
        <w:rPr>
          <w:sz w:val="24"/>
        </w:rPr>
        <w:t>responded</w:t>
      </w:r>
      <w:r w:rsidR="005E603B" w:rsidRPr="008069A6">
        <w:rPr>
          <w:sz w:val="24"/>
        </w:rPr>
        <w:t xml:space="preserve"> </w:t>
      </w:r>
      <w:r w:rsidRPr="008069A6">
        <w:rPr>
          <w:sz w:val="24"/>
        </w:rPr>
        <w:t xml:space="preserve">that a final determination should be held over until finalisation of the </w:t>
      </w:r>
      <w:r w:rsidR="00C11D1E">
        <w:rPr>
          <w:sz w:val="24"/>
        </w:rPr>
        <w:t xml:space="preserve">custody application </w:t>
      </w:r>
      <w:r w:rsidRPr="008069A6">
        <w:rPr>
          <w:sz w:val="24"/>
        </w:rPr>
        <w:t>between Ms Masete and her husband</w:t>
      </w:r>
      <w:r w:rsidR="00C11D1E">
        <w:rPr>
          <w:sz w:val="24"/>
        </w:rPr>
        <w:t>.</w:t>
      </w:r>
      <w:r w:rsidRPr="008069A6">
        <w:rPr>
          <w:sz w:val="24"/>
        </w:rPr>
        <w:t xml:space="preserve"> </w:t>
      </w:r>
      <w:r w:rsidR="00C11D1E">
        <w:rPr>
          <w:sz w:val="24"/>
        </w:rPr>
        <w:t>I</w:t>
      </w:r>
      <w:r w:rsidRPr="008069A6">
        <w:rPr>
          <w:sz w:val="24"/>
        </w:rPr>
        <w:t>t reserved the right to respond</w:t>
      </w:r>
      <w:r w:rsidR="00C11D1E">
        <w:rPr>
          <w:sz w:val="24"/>
        </w:rPr>
        <w:t xml:space="preserve"> at that stage</w:t>
      </w:r>
      <w:r w:rsidRPr="008069A6">
        <w:rPr>
          <w:sz w:val="24"/>
        </w:rPr>
        <w:t xml:space="preserve">. </w:t>
      </w:r>
      <w:r w:rsidR="00B9776F" w:rsidRPr="008069A6">
        <w:rPr>
          <w:sz w:val="24"/>
        </w:rPr>
        <w:t xml:space="preserve">Contrary to the Fund’s suggestion, the Adjudicator </w:t>
      </w:r>
      <w:r w:rsidRPr="008069A6">
        <w:rPr>
          <w:sz w:val="24"/>
        </w:rPr>
        <w:t>decided</w:t>
      </w:r>
      <w:r w:rsidR="00B9776F" w:rsidRPr="008069A6">
        <w:rPr>
          <w:sz w:val="24"/>
        </w:rPr>
        <w:t xml:space="preserve"> </w:t>
      </w:r>
      <w:r w:rsidR="004F7AF0" w:rsidRPr="008069A6">
        <w:rPr>
          <w:sz w:val="24"/>
        </w:rPr>
        <w:t xml:space="preserve">to </w:t>
      </w:r>
      <w:r w:rsidR="00C11D1E">
        <w:rPr>
          <w:sz w:val="24"/>
        </w:rPr>
        <w:t xml:space="preserve">consider the complaint and </w:t>
      </w:r>
      <w:r w:rsidRPr="008069A6">
        <w:rPr>
          <w:sz w:val="24"/>
        </w:rPr>
        <w:t>set aside the Fund’s award and ordered it to pay an amount of R 300 000 in advance</w:t>
      </w:r>
      <w:r w:rsidR="00F757D2" w:rsidRPr="008069A6">
        <w:rPr>
          <w:sz w:val="24"/>
        </w:rPr>
        <w:t xml:space="preserve"> to Ms Mutsila to enable her </w:t>
      </w:r>
      <w:r w:rsidRPr="008069A6">
        <w:rPr>
          <w:sz w:val="24"/>
        </w:rPr>
        <w:t>to se</w:t>
      </w:r>
      <w:r w:rsidR="00F757D2" w:rsidRPr="008069A6">
        <w:rPr>
          <w:sz w:val="24"/>
        </w:rPr>
        <w:t>ttle</w:t>
      </w:r>
      <w:r w:rsidR="00514343" w:rsidRPr="008069A6">
        <w:rPr>
          <w:sz w:val="24"/>
        </w:rPr>
        <w:t xml:space="preserve"> the housing loan with Absa</w:t>
      </w:r>
      <w:r w:rsidRPr="008069A6">
        <w:rPr>
          <w:sz w:val="24"/>
        </w:rPr>
        <w:t xml:space="preserve">. It also ordered the Fund </w:t>
      </w:r>
      <w:r w:rsidR="002E619C">
        <w:rPr>
          <w:sz w:val="24"/>
        </w:rPr>
        <w:t xml:space="preserve">‘to properly investigate and </w:t>
      </w:r>
      <w:r w:rsidR="002E619C" w:rsidRPr="008069A6">
        <w:rPr>
          <w:sz w:val="24"/>
        </w:rPr>
        <w:t xml:space="preserve">effect an equitable distribution of the balance of the proceeds of the death benefit </w:t>
      </w:r>
      <w:r w:rsidR="002E619C">
        <w:rPr>
          <w:sz w:val="24"/>
        </w:rPr>
        <w:t>to</w:t>
      </w:r>
      <w:r w:rsidR="002E619C" w:rsidRPr="008069A6">
        <w:rPr>
          <w:sz w:val="24"/>
        </w:rPr>
        <w:t xml:space="preserve"> all the deceased’s dependants </w:t>
      </w:r>
      <w:r w:rsidR="00B01CC5">
        <w:rPr>
          <w:sz w:val="24"/>
        </w:rPr>
        <w:t>within three weeks after a decision by the High Court</w:t>
      </w:r>
      <w:r w:rsidR="009119C2">
        <w:rPr>
          <w:sz w:val="24"/>
        </w:rPr>
        <w:t>…</w:t>
      </w:r>
      <w:r w:rsidR="009119C2" w:rsidRPr="008069A6">
        <w:rPr>
          <w:sz w:val="24"/>
        </w:rPr>
        <w:t>.</w:t>
      </w:r>
      <w:r w:rsidRPr="008069A6">
        <w:rPr>
          <w:sz w:val="24"/>
        </w:rPr>
        <w:t>’</w:t>
      </w:r>
      <w:r w:rsidR="00A22AE5">
        <w:rPr>
          <w:sz w:val="24"/>
        </w:rPr>
        <w:t>.</w:t>
      </w:r>
      <w:r w:rsidRPr="008069A6">
        <w:rPr>
          <w:sz w:val="24"/>
        </w:rPr>
        <w:t xml:space="preserve"> </w:t>
      </w:r>
      <w:r w:rsidR="00F3323F">
        <w:rPr>
          <w:sz w:val="24"/>
        </w:rPr>
        <w:t xml:space="preserve">In the circumstances the Fund was not allowed an opportunity to respond fully as provided in s 30F before its award was set aside. I agree with the sentiment that the </w:t>
      </w:r>
      <w:r w:rsidR="00F3323F" w:rsidRPr="00C3368C">
        <w:rPr>
          <w:i/>
          <w:sz w:val="24"/>
        </w:rPr>
        <w:t>audi</w:t>
      </w:r>
      <w:r w:rsidR="00F3323F" w:rsidRPr="00C3368C">
        <w:rPr>
          <w:sz w:val="24"/>
        </w:rPr>
        <w:t>-principle</w:t>
      </w:r>
      <w:r w:rsidR="00F3323F">
        <w:rPr>
          <w:sz w:val="24"/>
        </w:rPr>
        <w:t xml:space="preserve"> was not adhered to.</w:t>
      </w:r>
    </w:p>
    <w:p w:rsidR="0035266D" w:rsidRPr="008069A6" w:rsidRDefault="0035266D" w:rsidP="00831608">
      <w:pPr>
        <w:ind w:right="26"/>
        <w:rPr>
          <w:sz w:val="22"/>
          <w:szCs w:val="22"/>
        </w:rPr>
      </w:pPr>
    </w:p>
    <w:p w:rsidR="0035266D" w:rsidRPr="008069A6" w:rsidRDefault="002D6444" w:rsidP="00692EC1">
      <w:pPr>
        <w:rPr>
          <w:sz w:val="24"/>
        </w:rPr>
      </w:pPr>
      <w:r w:rsidRPr="008069A6">
        <w:rPr>
          <w:i/>
          <w:sz w:val="24"/>
        </w:rPr>
        <w:t>Should the Adjudicator’s award stand</w:t>
      </w:r>
      <w:r w:rsidR="00B73D25" w:rsidRPr="008069A6">
        <w:rPr>
          <w:i/>
          <w:sz w:val="24"/>
        </w:rPr>
        <w:t>?</w:t>
      </w:r>
    </w:p>
    <w:p w:rsidR="00091A8A" w:rsidRPr="008069A6" w:rsidRDefault="00091A8A" w:rsidP="003E77C3">
      <w:pPr>
        <w:pStyle w:val="ListParagraph"/>
        <w:numPr>
          <w:ilvl w:val="0"/>
          <w:numId w:val="1"/>
        </w:numPr>
        <w:tabs>
          <w:tab w:val="left" w:pos="851"/>
        </w:tabs>
        <w:ind w:left="0" w:right="26" w:firstLine="0"/>
        <w:rPr>
          <w:sz w:val="24"/>
        </w:rPr>
      </w:pPr>
      <w:r w:rsidRPr="008069A6">
        <w:rPr>
          <w:sz w:val="24"/>
          <w:lang w:val="en-ZA" w:eastAsia="en-ZA"/>
        </w:rPr>
        <w:t xml:space="preserve">The </w:t>
      </w:r>
      <w:r w:rsidRPr="008069A6">
        <w:rPr>
          <w:sz w:val="24"/>
        </w:rPr>
        <w:t>Fund never resolved to settle the Absa loan. I</w:t>
      </w:r>
      <w:r w:rsidR="00B5531D">
        <w:rPr>
          <w:sz w:val="24"/>
        </w:rPr>
        <w:t>t considered t</w:t>
      </w:r>
      <w:r w:rsidR="001D15DF">
        <w:rPr>
          <w:sz w:val="24"/>
        </w:rPr>
        <w:t>h</w:t>
      </w:r>
      <w:r w:rsidR="00B5531D">
        <w:rPr>
          <w:sz w:val="24"/>
        </w:rPr>
        <w:t>at i</w:t>
      </w:r>
      <w:r w:rsidRPr="008069A6">
        <w:rPr>
          <w:sz w:val="24"/>
        </w:rPr>
        <w:t xml:space="preserve">n order to consider such payment, </w:t>
      </w:r>
      <w:r w:rsidR="00B5531D">
        <w:rPr>
          <w:sz w:val="24"/>
        </w:rPr>
        <w:t>it r</w:t>
      </w:r>
      <w:r w:rsidRPr="008069A6">
        <w:rPr>
          <w:sz w:val="24"/>
        </w:rPr>
        <w:t xml:space="preserve">equired more information in respect of the assets and liabilities of the deceased’s estate which Ms Mutsila, as executrix, neglected to provide. The Fund </w:t>
      </w:r>
      <w:r w:rsidR="001A17A5" w:rsidRPr="008069A6">
        <w:rPr>
          <w:sz w:val="24"/>
        </w:rPr>
        <w:t xml:space="preserve">was of the view </w:t>
      </w:r>
      <w:r w:rsidRPr="008069A6">
        <w:rPr>
          <w:sz w:val="24"/>
        </w:rPr>
        <w:t xml:space="preserve">that if Ms Mutsila stood to inherit a substantial portion of the deceased’s estate, that might have an effect on the </w:t>
      </w:r>
      <w:r w:rsidR="00B5531D">
        <w:rPr>
          <w:sz w:val="24"/>
        </w:rPr>
        <w:t xml:space="preserve">total </w:t>
      </w:r>
      <w:r w:rsidRPr="008069A6">
        <w:rPr>
          <w:sz w:val="24"/>
        </w:rPr>
        <w:t xml:space="preserve">amount to be </w:t>
      </w:r>
      <w:r w:rsidRPr="008069A6">
        <w:rPr>
          <w:sz w:val="24"/>
        </w:rPr>
        <w:lastRenderedPageBreak/>
        <w:t>allocated to her. She might have been allocated a smaller amount if her dependency was shown to be less than initially awarded.</w:t>
      </w:r>
    </w:p>
    <w:p w:rsidR="00091A8A" w:rsidRPr="008069A6" w:rsidRDefault="00091A8A" w:rsidP="00091A8A">
      <w:pPr>
        <w:pStyle w:val="ListParagraph"/>
        <w:tabs>
          <w:tab w:val="left" w:pos="709"/>
        </w:tabs>
        <w:ind w:left="0" w:right="26"/>
        <w:jc w:val="left"/>
        <w:rPr>
          <w:sz w:val="24"/>
          <w:lang w:val="en-ZA" w:eastAsia="en-ZA"/>
        </w:rPr>
      </w:pPr>
    </w:p>
    <w:p w:rsidR="00C23C97" w:rsidRPr="008069A6" w:rsidRDefault="00C23C97" w:rsidP="00C23C97">
      <w:pPr>
        <w:pStyle w:val="ListParagraph"/>
        <w:numPr>
          <w:ilvl w:val="0"/>
          <w:numId w:val="1"/>
        </w:numPr>
        <w:tabs>
          <w:tab w:val="left" w:pos="709"/>
        </w:tabs>
        <w:ind w:left="0" w:right="26" w:firstLine="0"/>
        <w:jc w:val="left"/>
        <w:rPr>
          <w:sz w:val="20"/>
          <w:szCs w:val="20"/>
          <w:lang w:val="en-ZA" w:eastAsia="en-ZA"/>
        </w:rPr>
      </w:pPr>
      <w:r w:rsidRPr="008069A6">
        <w:rPr>
          <w:bCs/>
          <w:sz w:val="24"/>
          <w:lang w:val="en-ZA" w:eastAsia="en-ZA"/>
        </w:rPr>
        <w:t>Before I deal with dependency and a pension fund</w:t>
      </w:r>
      <w:r w:rsidR="00580C07" w:rsidRPr="008069A6">
        <w:rPr>
          <w:bCs/>
          <w:sz w:val="24"/>
          <w:lang w:val="en-ZA" w:eastAsia="en-ZA"/>
        </w:rPr>
        <w:t>’</w:t>
      </w:r>
      <w:r w:rsidRPr="008069A6">
        <w:rPr>
          <w:bCs/>
          <w:sz w:val="24"/>
          <w:lang w:val="en-ZA" w:eastAsia="en-ZA"/>
        </w:rPr>
        <w:t>s duties and discretion in respect of the distribution of death benefits</w:t>
      </w:r>
      <w:r w:rsidR="00580C07" w:rsidRPr="008069A6">
        <w:rPr>
          <w:bCs/>
          <w:sz w:val="24"/>
          <w:lang w:val="en-ZA" w:eastAsia="en-ZA"/>
        </w:rPr>
        <w:t>,</w:t>
      </w:r>
      <w:r w:rsidRPr="008069A6">
        <w:rPr>
          <w:bCs/>
          <w:sz w:val="24"/>
          <w:lang w:val="en-ZA" w:eastAsia="en-ZA"/>
        </w:rPr>
        <w:t xml:space="preserve"> it is apposite to quote the definition of </w:t>
      </w:r>
      <w:r w:rsidR="0086257A">
        <w:rPr>
          <w:bCs/>
          <w:sz w:val="24"/>
          <w:lang w:val="en-ZA" w:eastAsia="en-ZA"/>
        </w:rPr>
        <w:t xml:space="preserve">a </w:t>
      </w:r>
      <w:r w:rsidRPr="008069A6">
        <w:rPr>
          <w:bCs/>
          <w:sz w:val="24"/>
          <w:lang w:val="en-ZA" w:eastAsia="en-ZA"/>
        </w:rPr>
        <w:t xml:space="preserve">‘dependant’ </w:t>
      </w:r>
      <w:r w:rsidR="00EE26E6">
        <w:rPr>
          <w:bCs/>
          <w:sz w:val="24"/>
          <w:lang w:val="en-ZA" w:eastAsia="en-ZA"/>
        </w:rPr>
        <w:t>in</w:t>
      </w:r>
      <w:r w:rsidR="00143DD5">
        <w:rPr>
          <w:bCs/>
          <w:sz w:val="24"/>
          <w:lang w:val="en-ZA" w:eastAsia="en-ZA"/>
        </w:rPr>
        <w:t xml:space="preserve"> s1 o</w:t>
      </w:r>
      <w:r w:rsidRPr="008069A6">
        <w:rPr>
          <w:bCs/>
          <w:sz w:val="24"/>
          <w:lang w:val="en-ZA" w:eastAsia="en-ZA"/>
        </w:rPr>
        <w:t>f the Act</w:t>
      </w:r>
      <w:r w:rsidR="00F91DDC" w:rsidRPr="008069A6">
        <w:rPr>
          <w:bCs/>
          <w:sz w:val="24"/>
          <w:lang w:val="en-ZA" w:eastAsia="en-ZA"/>
        </w:rPr>
        <w:t xml:space="preserve"> </w:t>
      </w:r>
      <w:r w:rsidR="0029681C" w:rsidRPr="008069A6">
        <w:rPr>
          <w:bCs/>
          <w:sz w:val="24"/>
          <w:lang w:val="en-ZA" w:eastAsia="en-ZA"/>
        </w:rPr>
        <w:t>which provides</w:t>
      </w:r>
      <w:r w:rsidRPr="008069A6">
        <w:rPr>
          <w:bCs/>
          <w:sz w:val="24"/>
          <w:lang w:val="en-ZA" w:eastAsia="en-ZA"/>
        </w:rPr>
        <w:t>:</w:t>
      </w:r>
    </w:p>
    <w:p w:rsidR="00C23C97" w:rsidRPr="008069A6" w:rsidRDefault="00C23C97" w:rsidP="00C23C97">
      <w:pPr>
        <w:pStyle w:val="ListParagraph"/>
        <w:tabs>
          <w:tab w:val="left" w:pos="709"/>
        </w:tabs>
        <w:ind w:left="0" w:right="26"/>
        <w:jc w:val="left"/>
        <w:rPr>
          <w:sz w:val="22"/>
          <w:szCs w:val="22"/>
          <w:lang w:val="en-ZA" w:eastAsia="en-ZA"/>
        </w:rPr>
      </w:pPr>
      <w:r w:rsidRPr="008069A6">
        <w:rPr>
          <w:bCs/>
          <w:sz w:val="22"/>
          <w:szCs w:val="22"/>
          <w:lang w:val="en-ZA" w:eastAsia="en-ZA"/>
        </w:rPr>
        <w:t>‘“dependant”</w:t>
      </w:r>
      <w:r w:rsidRPr="008069A6">
        <w:rPr>
          <w:sz w:val="22"/>
          <w:szCs w:val="22"/>
          <w:lang w:val="en-ZA" w:eastAsia="en-ZA"/>
        </w:rPr>
        <w:t>, in relation to a member, means-</w:t>
      </w:r>
    </w:p>
    <w:p w:rsidR="00C23C97" w:rsidRPr="008069A6" w:rsidRDefault="00C23C97" w:rsidP="00C23C97">
      <w:pPr>
        <w:pStyle w:val="ListParagraph"/>
        <w:numPr>
          <w:ilvl w:val="1"/>
          <w:numId w:val="1"/>
        </w:numPr>
        <w:tabs>
          <w:tab w:val="left" w:pos="709"/>
        </w:tabs>
        <w:ind w:left="0" w:right="26" w:firstLine="0"/>
        <w:jc w:val="left"/>
        <w:rPr>
          <w:sz w:val="22"/>
          <w:szCs w:val="22"/>
          <w:lang w:val="en-ZA" w:eastAsia="en-ZA"/>
        </w:rPr>
      </w:pPr>
      <w:r w:rsidRPr="008069A6">
        <w:rPr>
          <w:sz w:val="22"/>
          <w:szCs w:val="22"/>
          <w:lang w:val="en-ZA" w:eastAsia="en-ZA"/>
        </w:rPr>
        <w:t>a person in respect of whom the member is legally liable for maintenance;</w:t>
      </w:r>
    </w:p>
    <w:p w:rsidR="00C23C97" w:rsidRPr="008069A6" w:rsidRDefault="00C23C97" w:rsidP="00C23C97">
      <w:pPr>
        <w:pStyle w:val="ListParagraph"/>
        <w:numPr>
          <w:ilvl w:val="1"/>
          <w:numId w:val="1"/>
        </w:numPr>
        <w:tabs>
          <w:tab w:val="left" w:pos="709"/>
        </w:tabs>
        <w:ind w:left="0" w:right="26" w:firstLine="0"/>
        <w:jc w:val="left"/>
        <w:rPr>
          <w:sz w:val="22"/>
          <w:szCs w:val="22"/>
          <w:lang w:val="en-ZA" w:eastAsia="en-ZA"/>
        </w:rPr>
      </w:pPr>
      <w:r w:rsidRPr="008069A6">
        <w:rPr>
          <w:sz w:val="22"/>
          <w:szCs w:val="22"/>
          <w:lang w:val="en-ZA" w:eastAsia="en-ZA"/>
        </w:rPr>
        <w:t>a person in respect of whom the member is not legally liable for maintenance, if such person-</w:t>
      </w:r>
    </w:p>
    <w:p w:rsidR="00C23C97" w:rsidRPr="008069A6" w:rsidRDefault="00C23C97" w:rsidP="00C23C97">
      <w:pPr>
        <w:pStyle w:val="ListParagraph"/>
        <w:tabs>
          <w:tab w:val="left" w:pos="709"/>
        </w:tabs>
        <w:ind w:left="0" w:right="26"/>
        <w:jc w:val="left"/>
        <w:rPr>
          <w:sz w:val="22"/>
          <w:szCs w:val="22"/>
          <w:lang w:val="en-ZA" w:eastAsia="en-ZA"/>
        </w:rPr>
      </w:pPr>
      <w:r w:rsidRPr="008069A6">
        <w:rPr>
          <w:sz w:val="22"/>
          <w:szCs w:val="22"/>
          <w:lang w:val="en-ZA" w:eastAsia="en-ZA"/>
        </w:rPr>
        <w:t xml:space="preserve">was, </w:t>
      </w:r>
      <w:r w:rsidRPr="008069A6">
        <w:rPr>
          <w:i/>
          <w:sz w:val="22"/>
          <w:szCs w:val="22"/>
          <w:lang w:val="en-ZA" w:eastAsia="en-ZA"/>
        </w:rPr>
        <w:t>in the opinion of the board, upon the death of the member in fact dependent on the member for maintenance</w:t>
      </w:r>
      <w:r w:rsidRPr="008069A6">
        <w:rPr>
          <w:sz w:val="22"/>
          <w:szCs w:val="22"/>
          <w:lang w:val="en-ZA" w:eastAsia="en-ZA"/>
        </w:rPr>
        <w:t>;</w:t>
      </w:r>
    </w:p>
    <w:p w:rsidR="00C23C97" w:rsidRPr="008069A6" w:rsidRDefault="00C23C97" w:rsidP="00C23C97">
      <w:pPr>
        <w:pStyle w:val="ListParagraph"/>
        <w:tabs>
          <w:tab w:val="left" w:pos="709"/>
        </w:tabs>
        <w:ind w:left="0" w:right="26"/>
        <w:jc w:val="left"/>
        <w:rPr>
          <w:sz w:val="22"/>
          <w:szCs w:val="22"/>
          <w:lang w:val="en-ZA" w:eastAsia="en-ZA"/>
        </w:rPr>
      </w:pPr>
      <w:r w:rsidRPr="008069A6">
        <w:rPr>
          <w:sz w:val="22"/>
          <w:szCs w:val="22"/>
          <w:lang w:val="en-ZA" w:eastAsia="en-ZA"/>
        </w:rPr>
        <w:t>(ii)</w:t>
      </w:r>
      <w:r w:rsidRPr="008069A6">
        <w:rPr>
          <w:sz w:val="22"/>
          <w:szCs w:val="22"/>
          <w:lang w:val="en-ZA" w:eastAsia="en-ZA"/>
        </w:rPr>
        <w:tab/>
        <w:t>is the spouse of the member;</w:t>
      </w:r>
    </w:p>
    <w:p w:rsidR="00C23C97" w:rsidRPr="008069A6" w:rsidRDefault="00C23C97" w:rsidP="00C23C97">
      <w:pPr>
        <w:pStyle w:val="ListParagraph"/>
        <w:tabs>
          <w:tab w:val="left" w:pos="709"/>
        </w:tabs>
        <w:ind w:left="0" w:right="26"/>
        <w:jc w:val="left"/>
        <w:rPr>
          <w:sz w:val="22"/>
          <w:szCs w:val="22"/>
          <w:lang w:val="en-ZA" w:eastAsia="en-ZA"/>
        </w:rPr>
      </w:pPr>
      <w:r w:rsidRPr="008069A6">
        <w:rPr>
          <w:sz w:val="22"/>
          <w:szCs w:val="22"/>
          <w:lang w:val="en-ZA" w:eastAsia="en-ZA"/>
        </w:rPr>
        <w:t>(iii)</w:t>
      </w:r>
      <w:r w:rsidRPr="008069A6">
        <w:rPr>
          <w:sz w:val="22"/>
          <w:szCs w:val="22"/>
          <w:lang w:val="en-ZA" w:eastAsia="en-ZA"/>
        </w:rPr>
        <w:tab/>
        <w:t>is a child of the member, including a posthumous child, an adopted child and a child born out of wedlock;</w:t>
      </w:r>
    </w:p>
    <w:p w:rsidR="00C23C97" w:rsidRPr="008069A6" w:rsidRDefault="00C23C97" w:rsidP="00C23C97">
      <w:pPr>
        <w:pStyle w:val="ListParagraph"/>
        <w:tabs>
          <w:tab w:val="left" w:pos="709"/>
        </w:tabs>
        <w:ind w:left="0" w:right="26"/>
        <w:jc w:val="left"/>
        <w:rPr>
          <w:sz w:val="24"/>
          <w:lang w:val="en-ZA" w:eastAsia="en-ZA"/>
        </w:rPr>
      </w:pPr>
      <w:r w:rsidRPr="008069A6">
        <w:rPr>
          <w:iCs/>
          <w:sz w:val="22"/>
          <w:szCs w:val="22"/>
          <w:lang w:val="en-ZA" w:eastAsia="en-ZA"/>
        </w:rPr>
        <w:t>(c)</w:t>
      </w:r>
      <w:r w:rsidRPr="008069A6">
        <w:rPr>
          <w:sz w:val="22"/>
          <w:szCs w:val="22"/>
          <w:lang w:val="en-ZA" w:eastAsia="en-ZA"/>
        </w:rPr>
        <w:tab/>
        <w:t>a person in respect of whom the member would have become legally liable for maintenance, had the member not died.’</w:t>
      </w:r>
      <w:r w:rsidRPr="008069A6">
        <w:rPr>
          <w:sz w:val="20"/>
          <w:szCs w:val="20"/>
          <w:lang w:val="en-ZA" w:eastAsia="en-ZA"/>
        </w:rPr>
        <w:t xml:space="preserve"> </w:t>
      </w:r>
      <w:r w:rsidRPr="008069A6">
        <w:rPr>
          <w:sz w:val="22"/>
          <w:szCs w:val="22"/>
          <w:lang w:val="en-ZA" w:eastAsia="en-ZA"/>
        </w:rPr>
        <w:t>(My emphasis</w:t>
      </w:r>
      <w:r w:rsidR="003A3E69" w:rsidRPr="008069A6">
        <w:rPr>
          <w:sz w:val="22"/>
          <w:szCs w:val="22"/>
          <w:lang w:val="en-ZA" w:eastAsia="en-ZA"/>
        </w:rPr>
        <w:t>.</w:t>
      </w:r>
      <w:r w:rsidRPr="008069A6">
        <w:rPr>
          <w:sz w:val="22"/>
          <w:szCs w:val="22"/>
          <w:lang w:val="en-ZA" w:eastAsia="en-ZA"/>
        </w:rPr>
        <w:t>)</w:t>
      </w:r>
    </w:p>
    <w:p w:rsidR="00417B00" w:rsidRPr="008069A6" w:rsidRDefault="00417B00" w:rsidP="00C23C97">
      <w:pPr>
        <w:pStyle w:val="ListParagraph"/>
        <w:tabs>
          <w:tab w:val="left" w:pos="709"/>
        </w:tabs>
        <w:ind w:left="0" w:right="26"/>
        <w:jc w:val="left"/>
        <w:rPr>
          <w:sz w:val="22"/>
          <w:szCs w:val="22"/>
          <w:lang w:val="en-ZA" w:eastAsia="en-ZA"/>
        </w:rPr>
      </w:pPr>
    </w:p>
    <w:p w:rsidR="00C23C97" w:rsidRPr="008069A6" w:rsidRDefault="00C23C97" w:rsidP="00C23C97">
      <w:pPr>
        <w:pStyle w:val="ListParagraph"/>
        <w:numPr>
          <w:ilvl w:val="0"/>
          <w:numId w:val="1"/>
        </w:numPr>
        <w:ind w:left="0" w:right="26" w:firstLine="0"/>
        <w:rPr>
          <w:bCs/>
          <w:sz w:val="24"/>
          <w:lang w:val="en-ZA"/>
        </w:rPr>
      </w:pPr>
      <w:r w:rsidRPr="008069A6">
        <w:rPr>
          <w:bCs/>
          <w:sz w:val="24"/>
        </w:rPr>
        <w:t>Subsection 37C(1)</w:t>
      </w:r>
      <w:r w:rsidRPr="008069A6">
        <w:rPr>
          <w:bCs/>
          <w:i/>
          <w:sz w:val="24"/>
        </w:rPr>
        <w:t xml:space="preserve">(a) </w:t>
      </w:r>
      <w:r w:rsidRPr="008069A6">
        <w:rPr>
          <w:bCs/>
          <w:sz w:val="24"/>
        </w:rPr>
        <w:t>stipulates how a member’s death benefits shall be disposed of by a fund. It reads as follows:</w:t>
      </w:r>
    </w:p>
    <w:p w:rsidR="00C23C97" w:rsidRPr="008069A6" w:rsidRDefault="003E77C3" w:rsidP="00C23C97">
      <w:pPr>
        <w:pStyle w:val="ListParagraph"/>
        <w:tabs>
          <w:tab w:val="left" w:pos="567"/>
        </w:tabs>
        <w:ind w:left="0" w:right="26"/>
        <w:rPr>
          <w:sz w:val="22"/>
          <w:szCs w:val="22"/>
        </w:rPr>
      </w:pPr>
      <w:r w:rsidRPr="008069A6">
        <w:rPr>
          <w:sz w:val="22"/>
          <w:szCs w:val="22"/>
        </w:rPr>
        <w:t>‘(1)</w:t>
      </w:r>
      <w:r w:rsidR="00C23C97" w:rsidRPr="008069A6">
        <w:rPr>
          <w:sz w:val="22"/>
          <w:szCs w:val="22"/>
        </w:rPr>
        <w:tab/>
        <w:t>Notwithstanding anything to the contrary contained in any law or in the rules of a registered fund, any benefit (other than a benefit payable as a pension to the spouse or child of the member in terms of the rules of a registered fund, which must be dealt with in terms of such rules) payable by such a fund upon the death of a member, shall, subject to a pledge in accordance with section 19(5)</w:t>
      </w:r>
      <w:r w:rsidR="00C23C97" w:rsidRPr="008069A6">
        <w:rPr>
          <w:i/>
          <w:iCs/>
          <w:sz w:val="22"/>
          <w:szCs w:val="22"/>
        </w:rPr>
        <w:t>(b)</w:t>
      </w:r>
      <w:r w:rsidR="00C23C97" w:rsidRPr="008069A6">
        <w:rPr>
          <w:sz w:val="22"/>
          <w:szCs w:val="22"/>
        </w:rPr>
        <w:t>(i) and subject to the provisions of sections 37A (3) and 37D, not form part of the assets in the estate of such a member, but shall be dealt with in the following manner:</w:t>
      </w:r>
    </w:p>
    <w:p w:rsidR="00C23C97" w:rsidRPr="008069A6" w:rsidRDefault="00A10331" w:rsidP="00C23C97">
      <w:pPr>
        <w:pStyle w:val="ListParagraph"/>
        <w:tabs>
          <w:tab w:val="left" w:pos="567"/>
        </w:tabs>
        <w:ind w:left="0" w:right="26"/>
        <w:rPr>
          <w:sz w:val="22"/>
          <w:szCs w:val="22"/>
        </w:rPr>
      </w:pPr>
      <w:hyperlink r:id="rId9" w:tgtFrame="main" w:history="1">
        <w:r w:rsidR="00C23C97" w:rsidRPr="008069A6">
          <w:rPr>
            <w:rStyle w:val="Hyperlink"/>
            <w:iCs/>
            <w:color w:val="auto"/>
            <w:sz w:val="22"/>
            <w:szCs w:val="22"/>
            <w:u w:val="none"/>
          </w:rPr>
          <w:t>(a)</w:t>
        </w:r>
      </w:hyperlink>
      <w:r w:rsidR="00C23C97" w:rsidRPr="008069A6">
        <w:rPr>
          <w:sz w:val="22"/>
          <w:szCs w:val="22"/>
        </w:rPr>
        <w:tab/>
        <w:t xml:space="preserve">If the fund within twelve months of the death of the member becomes aware of or traces a dependant or dependants of the member, </w:t>
      </w:r>
      <w:r w:rsidR="00C23C97" w:rsidRPr="008069A6">
        <w:rPr>
          <w:i/>
          <w:sz w:val="22"/>
          <w:szCs w:val="22"/>
        </w:rPr>
        <w:t>the benefit shall be paid to such dependant or, as may be deemed equitable by the fund, to one of such dependants or in proportions to some of or all such dependants.</w:t>
      </w:r>
      <w:r w:rsidR="00C23C97" w:rsidRPr="008069A6">
        <w:rPr>
          <w:sz w:val="22"/>
          <w:szCs w:val="22"/>
        </w:rPr>
        <w:t>’</w:t>
      </w:r>
      <w:r w:rsidR="00966CEE" w:rsidRPr="008069A6">
        <w:rPr>
          <w:sz w:val="22"/>
          <w:szCs w:val="22"/>
        </w:rPr>
        <w:t xml:space="preserve"> (My emphasis.)</w:t>
      </w:r>
    </w:p>
    <w:p w:rsidR="00C23C97" w:rsidRPr="008069A6" w:rsidRDefault="00C23C97" w:rsidP="00882B29">
      <w:pPr>
        <w:jc w:val="left"/>
        <w:rPr>
          <w:sz w:val="24"/>
        </w:rPr>
      </w:pPr>
    </w:p>
    <w:p w:rsidR="004310B0" w:rsidRPr="008069A6" w:rsidRDefault="00780E87" w:rsidP="004310B0">
      <w:pPr>
        <w:pStyle w:val="ListParagraph"/>
        <w:numPr>
          <w:ilvl w:val="0"/>
          <w:numId w:val="1"/>
        </w:numPr>
        <w:ind w:left="0" w:right="26" w:firstLine="0"/>
        <w:rPr>
          <w:sz w:val="24"/>
        </w:rPr>
      </w:pPr>
      <w:r w:rsidRPr="008069A6">
        <w:rPr>
          <w:sz w:val="24"/>
        </w:rPr>
        <w:t>The Fund made its finding based on legal and factual dependency</w:t>
      </w:r>
      <w:r w:rsidR="00480FA8" w:rsidRPr="008069A6">
        <w:rPr>
          <w:sz w:val="24"/>
        </w:rPr>
        <w:t xml:space="preserve"> as</w:t>
      </w:r>
      <w:r w:rsidRPr="008069A6">
        <w:rPr>
          <w:sz w:val="24"/>
        </w:rPr>
        <w:t xml:space="preserve"> in April 2014, </w:t>
      </w:r>
      <w:r w:rsidR="0029681C" w:rsidRPr="008069A6">
        <w:rPr>
          <w:sz w:val="24"/>
        </w:rPr>
        <w:t>i.e.</w:t>
      </w:r>
      <w:r w:rsidRPr="008069A6">
        <w:rPr>
          <w:sz w:val="24"/>
        </w:rPr>
        <w:t xml:space="preserve"> more than 12 months after the death of the deceased. It relied on the definition </w:t>
      </w:r>
      <w:r w:rsidR="00F456D0" w:rsidRPr="008069A6">
        <w:rPr>
          <w:sz w:val="24"/>
        </w:rPr>
        <w:t>of</w:t>
      </w:r>
      <w:r w:rsidRPr="008069A6">
        <w:rPr>
          <w:sz w:val="24"/>
        </w:rPr>
        <w:t xml:space="preserve"> ‘dependant’ quoted above. In </w:t>
      </w:r>
      <w:r w:rsidRPr="008069A6">
        <w:rPr>
          <w:i/>
          <w:sz w:val="24"/>
        </w:rPr>
        <w:t xml:space="preserve">Fundsatwork Umbrella Pension Fund v </w:t>
      </w:r>
      <w:r w:rsidRPr="008069A6">
        <w:rPr>
          <w:i/>
          <w:sz w:val="24"/>
        </w:rPr>
        <w:lastRenderedPageBreak/>
        <w:t>Guarnieri and Others</w:t>
      </w:r>
      <w:r w:rsidR="00D70144" w:rsidRPr="008069A6">
        <w:rPr>
          <w:i/>
          <w:sz w:val="24"/>
        </w:rPr>
        <w:t>,</w:t>
      </w:r>
      <w:r w:rsidRPr="008069A6">
        <w:rPr>
          <w:rStyle w:val="FootnoteReference"/>
          <w:i/>
          <w:sz w:val="24"/>
        </w:rPr>
        <w:footnoteReference w:id="8"/>
      </w:r>
      <w:r w:rsidRPr="008069A6">
        <w:rPr>
          <w:sz w:val="24"/>
        </w:rPr>
        <w:t xml:space="preserve"> this Court held that the persons entitled to death benefits are those who qualify once the fund had completed its enquiry into who the dependants were. </w:t>
      </w:r>
      <w:r w:rsidR="000905B1" w:rsidRPr="008069A6">
        <w:rPr>
          <w:sz w:val="24"/>
        </w:rPr>
        <w:t>In this regard the following dictum is apposite:</w:t>
      </w:r>
    </w:p>
    <w:p w:rsidR="0074035B" w:rsidRPr="008069A6" w:rsidRDefault="0074035B" w:rsidP="00636266">
      <w:pPr>
        <w:ind w:right="26"/>
        <w:rPr>
          <w:sz w:val="22"/>
          <w:szCs w:val="22"/>
        </w:rPr>
      </w:pPr>
      <w:r w:rsidRPr="008069A6">
        <w:rPr>
          <w:sz w:val="22"/>
          <w:szCs w:val="22"/>
        </w:rPr>
        <w:t>‘</w:t>
      </w:r>
      <w:r w:rsidR="004310B0" w:rsidRPr="008069A6">
        <w:rPr>
          <w:sz w:val="22"/>
          <w:szCs w:val="22"/>
        </w:rPr>
        <w:t>The issue in this appeal arises from the fact that s 37C of the PFA removes the allocation of pension benefits on the death of a pension-fund member from the unfettered choice of the member, whether by will or by nomination. It reflects a legislative decision that funds becoming available in that way should be available to be used for the benefit of the deceased's dependants so that they are less likely to be a drain on the state's resources. This serves the social purpose of providing some protection for dependants, without entirely overriding the wishes of a deceased who has nominated beneficiaries or made a will.’</w:t>
      </w:r>
      <w:r w:rsidR="00D70144" w:rsidRPr="008069A6">
        <w:rPr>
          <w:rStyle w:val="FootnoteReference"/>
          <w:sz w:val="22"/>
          <w:szCs w:val="22"/>
        </w:rPr>
        <w:footnoteReference w:id="9"/>
      </w:r>
      <w:r w:rsidR="004310B0" w:rsidRPr="008069A6">
        <w:rPr>
          <w:sz w:val="22"/>
          <w:szCs w:val="22"/>
        </w:rPr>
        <w:t xml:space="preserve"> </w:t>
      </w:r>
      <w:r w:rsidR="00514343" w:rsidRPr="008069A6">
        <w:rPr>
          <w:sz w:val="22"/>
          <w:szCs w:val="22"/>
        </w:rPr>
        <w:t>(F</w:t>
      </w:r>
      <w:r w:rsidR="004310B0" w:rsidRPr="008069A6">
        <w:rPr>
          <w:sz w:val="22"/>
          <w:szCs w:val="22"/>
        </w:rPr>
        <w:t>ootnotes omitted</w:t>
      </w:r>
      <w:r w:rsidR="00D70144" w:rsidRPr="008069A6">
        <w:rPr>
          <w:sz w:val="22"/>
          <w:szCs w:val="22"/>
        </w:rPr>
        <w:t>.</w:t>
      </w:r>
      <w:r w:rsidR="004310B0" w:rsidRPr="008069A6">
        <w:rPr>
          <w:sz w:val="22"/>
          <w:szCs w:val="22"/>
        </w:rPr>
        <w:t>)</w:t>
      </w:r>
    </w:p>
    <w:p w:rsidR="00780E87" w:rsidRPr="008069A6" w:rsidRDefault="00635FDA" w:rsidP="00636266">
      <w:pPr>
        <w:ind w:right="26"/>
        <w:rPr>
          <w:sz w:val="24"/>
        </w:rPr>
      </w:pPr>
      <w:r w:rsidRPr="008069A6">
        <w:rPr>
          <w:sz w:val="24"/>
        </w:rPr>
        <w:t xml:space="preserve">The </w:t>
      </w:r>
      <w:r w:rsidR="006E3C15" w:rsidRPr="008069A6">
        <w:rPr>
          <w:sz w:val="24"/>
        </w:rPr>
        <w:t xml:space="preserve">Court </w:t>
      </w:r>
      <w:r w:rsidRPr="008069A6">
        <w:rPr>
          <w:sz w:val="24"/>
        </w:rPr>
        <w:t xml:space="preserve">continued to make </w:t>
      </w:r>
      <w:r w:rsidR="006E3C15" w:rsidRPr="008069A6">
        <w:rPr>
          <w:sz w:val="24"/>
        </w:rPr>
        <w:t>the following observations:</w:t>
      </w:r>
      <w:r w:rsidR="0074035B" w:rsidRPr="008069A6">
        <w:rPr>
          <w:rStyle w:val="FootnoteReference"/>
          <w:sz w:val="24"/>
        </w:rPr>
        <w:footnoteReference w:id="10"/>
      </w:r>
    </w:p>
    <w:p w:rsidR="00EF3375" w:rsidRPr="008069A6" w:rsidRDefault="00B14347" w:rsidP="003F7F73">
      <w:pPr>
        <w:pStyle w:val="ListParagraph"/>
        <w:ind w:left="0" w:right="26"/>
        <w:rPr>
          <w:sz w:val="22"/>
          <w:szCs w:val="22"/>
        </w:rPr>
      </w:pPr>
      <w:r w:rsidRPr="008069A6">
        <w:rPr>
          <w:sz w:val="22"/>
          <w:szCs w:val="22"/>
        </w:rPr>
        <w:t>‘</w:t>
      </w:r>
      <w:r w:rsidR="00EF3375" w:rsidRPr="008069A6">
        <w:rPr>
          <w:sz w:val="22"/>
          <w:szCs w:val="22"/>
        </w:rPr>
        <w:t>Given all these considerations of language, purpose and practicality, in my view, the proper construction of s 37C(1)</w:t>
      </w:r>
      <w:r w:rsidR="00EF3375" w:rsidRPr="008069A6">
        <w:rPr>
          <w:i/>
          <w:iCs/>
          <w:sz w:val="22"/>
          <w:szCs w:val="22"/>
        </w:rPr>
        <w:t>(a)</w:t>
      </w:r>
      <w:r w:rsidR="00EF3375" w:rsidRPr="008069A6">
        <w:rPr>
          <w:sz w:val="22"/>
          <w:szCs w:val="22"/>
        </w:rPr>
        <w:t> is that the time at which to determine who is a dependant for the purpose of distributing a death benefit is when that determination is made, and furthermore, the person concerned must still be a beneficiary at the time when the distribution is made. That is the only way in which to ensure that the persons identified as dependants are those whose interests the section seeks to protect.’ (Footnotes omitted</w:t>
      </w:r>
      <w:r w:rsidR="00F1789F" w:rsidRPr="008069A6">
        <w:rPr>
          <w:sz w:val="22"/>
          <w:szCs w:val="22"/>
        </w:rPr>
        <w:t>.</w:t>
      </w:r>
      <w:r w:rsidR="00EF3375" w:rsidRPr="008069A6">
        <w:rPr>
          <w:sz w:val="22"/>
          <w:szCs w:val="22"/>
        </w:rPr>
        <w:t>)</w:t>
      </w:r>
    </w:p>
    <w:p w:rsidR="0035266D" w:rsidRPr="008069A6" w:rsidRDefault="0035266D" w:rsidP="00831608">
      <w:pPr>
        <w:ind w:right="26"/>
        <w:rPr>
          <w:sz w:val="24"/>
        </w:rPr>
      </w:pPr>
    </w:p>
    <w:p w:rsidR="001E77A9" w:rsidRPr="008069A6" w:rsidRDefault="00B14347" w:rsidP="005B51C5">
      <w:pPr>
        <w:pStyle w:val="ListParagraph"/>
        <w:numPr>
          <w:ilvl w:val="0"/>
          <w:numId w:val="1"/>
        </w:numPr>
        <w:tabs>
          <w:tab w:val="left" w:pos="567"/>
        </w:tabs>
        <w:ind w:left="0" w:right="26" w:firstLine="0"/>
        <w:rPr>
          <w:sz w:val="22"/>
          <w:szCs w:val="22"/>
          <w:lang w:val="en-ZA"/>
        </w:rPr>
      </w:pPr>
      <w:r w:rsidRPr="008069A6">
        <w:rPr>
          <w:sz w:val="24"/>
        </w:rPr>
        <w:t>T</w:t>
      </w:r>
      <w:r w:rsidR="0035266D" w:rsidRPr="008069A6">
        <w:rPr>
          <w:sz w:val="24"/>
        </w:rPr>
        <w:t>he Fund’s version</w:t>
      </w:r>
      <w:r w:rsidR="003A3E69" w:rsidRPr="008069A6">
        <w:rPr>
          <w:sz w:val="24"/>
        </w:rPr>
        <w:t>,</w:t>
      </w:r>
      <w:r w:rsidR="0035266D" w:rsidRPr="008069A6">
        <w:rPr>
          <w:sz w:val="24"/>
        </w:rPr>
        <w:t xml:space="preserve"> as canvassed earlier in the judgment, was available to the Adjudicator. If the Adjudicator needed documentary proof or any other information, she could and should have requested that fro</w:t>
      </w:r>
      <w:r w:rsidR="006B2350" w:rsidRPr="008069A6">
        <w:rPr>
          <w:sz w:val="24"/>
        </w:rPr>
        <w:t>m either the Fund or Ms Masete, especially insofar as t</w:t>
      </w:r>
      <w:r w:rsidR="00F757D2" w:rsidRPr="008069A6">
        <w:rPr>
          <w:sz w:val="24"/>
        </w:rPr>
        <w:t xml:space="preserve">he </w:t>
      </w:r>
      <w:r w:rsidR="006B2350" w:rsidRPr="008069A6">
        <w:rPr>
          <w:sz w:val="24"/>
        </w:rPr>
        <w:t xml:space="preserve">CEO of the </w:t>
      </w:r>
      <w:r w:rsidR="00F757D2" w:rsidRPr="008069A6">
        <w:rPr>
          <w:sz w:val="24"/>
        </w:rPr>
        <w:t xml:space="preserve">Fund indicated </w:t>
      </w:r>
      <w:r w:rsidR="006B2350" w:rsidRPr="008069A6">
        <w:rPr>
          <w:sz w:val="24"/>
        </w:rPr>
        <w:t>that he</w:t>
      </w:r>
      <w:r w:rsidR="00F757D2" w:rsidRPr="008069A6">
        <w:rPr>
          <w:sz w:val="24"/>
        </w:rPr>
        <w:t xml:space="preserve"> </w:t>
      </w:r>
      <w:r w:rsidR="006B2350" w:rsidRPr="008069A6">
        <w:rPr>
          <w:sz w:val="24"/>
        </w:rPr>
        <w:t xml:space="preserve">was in possession of a ‘complete case file.’ </w:t>
      </w:r>
      <w:r w:rsidR="0035266D" w:rsidRPr="008069A6">
        <w:rPr>
          <w:sz w:val="24"/>
        </w:rPr>
        <w:t xml:space="preserve">She failed to do so, but rather decided to </w:t>
      </w:r>
      <w:r w:rsidR="006B2350" w:rsidRPr="008069A6">
        <w:rPr>
          <w:sz w:val="24"/>
        </w:rPr>
        <w:t xml:space="preserve">set aside the Fund’s determination whilst </w:t>
      </w:r>
      <w:r w:rsidR="0035266D" w:rsidRPr="008069A6">
        <w:rPr>
          <w:sz w:val="24"/>
        </w:rPr>
        <w:t>await</w:t>
      </w:r>
      <w:r w:rsidR="006B2350" w:rsidRPr="008069A6">
        <w:rPr>
          <w:sz w:val="24"/>
        </w:rPr>
        <w:t>ing</w:t>
      </w:r>
      <w:r w:rsidR="0035266D" w:rsidRPr="008069A6">
        <w:rPr>
          <w:sz w:val="24"/>
        </w:rPr>
        <w:t xml:space="preserve"> the outcome of th</w:t>
      </w:r>
      <w:r w:rsidR="006B2350" w:rsidRPr="008069A6">
        <w:rPr>
          <w:sz w:val="24"/>
        </w:rPr>
        <w:t xml:space="preserve">e custody application. </w:t>
      </w:r>
      <w:r w:rsidR="0029681C" w:rsidRPr="008069A6">
        <w:rPr>
          <w:sz w:val="24"/>
        </w:rPr>
        <w:t>This was premature considering that the custody outcome was still not delivered.</w:t>
      </w:r>
    </w:p>
    <w:p w:rsidR="003F7F73" w:rsidRPr="008069A6" w:rsidRDefault="003F7F73" w:rsidP="003F7F73">
      <w:pPr>
        <w:pStyle w:val="ListParagraph"/>
        <w:tabs>
          <w:tab w:val="left" w:pos="567"/>
        </w:tabs>
        <w:ind w:left="0" w:right="26"/>
        <w:rPr>
          <w:sz w:val="22"/>
          <w:szCs w:val="22"/>
          <w:lang w:val="en-ZA"/>
        </w:rPr>
      </w:pPr>
    </w:p>
    <w:p w:rsidR="0035266D" w:rsidRPr="008069A6" w:rsidRDefault="00D1272E" w:rsidP="00831608">
      <w:pPr>
        <w:pStyle w:val="ListParagraph"/>
        <w:numPr>
          <w:ilvl w:val="0"/>
          <w:numId w:val="1"/>
        </w:numPr>
        <w:ind w:left="0" w:right="26" w:firstLine="0"/>
        <w:rPr>
          <w:sz w:val="24"/>
        </w:rPr>
      </w:pPr>
      <w:r w:rsidRPr="008069A6">
        <w:rPr>
          <w:sz w:val="24"/>
        </w:rPr>
        <w:t xml:space="preserve">Both the </w:t>
      </w:r>
      <w:r w:rsidR="009D450C" w:rsidRPr="008069A6">
        <w:rPr>
          <w:sz w:val="24"/>
        </w:rPr>
        <w:t xml:space="preserve">court of first instance and the full court criticised the </w:t>
      </w:r>
      <w:r w:rsidR="00FE1131" w:rsidRPr="008069A6">
        <w:rPr>
          <w:sz w:val="24"/>
        </w:rPr>
        <w:t>F</w:t>
      </w:r>
      <w:r w:rsidR="009D450C" w:rsidRPr="008069A6">
        <w:rPr>
          <w:sz w:val="24"/>
        </w:rPr>
        <w:t xml:space="preserve">und for being subjective and following a </w:t>
      </w:r>
      <w:r w:rsidR="006B2350" w:rsidRPr="008069A6">
        <w:rPr>
          <w:sz w:val="24"/>
        </w:rPr>
        <w:t>one-</w:t>
      </w:r>
      <w:r w:rsidR="00FD1226" w:rsidRPr="008069A6">
        <w:rPr>
          <w:sz w:val="24"/>
        </w:rPr>
        <w:t>sided</w:t>
      </w:r>
      <w:r w:rsidR="006B2350" w:rsidRPr="008069A6">
        <w:rPr>
          <w:sz w:val="24"/>
        </w:rPr>
        <w:t xml:space="preserve"> approach in determining</w:t>
      </w:r>
      <w:r w:rsidR="009D450C" w:rsidRPr="008069A6">
        <w:rPr>
          <w:sz w:val="24"/>
        </w:rPr>
        <w:t xml:space="preserve"> who the</w:t>
      </w:r>
      <w:r w:rsidR="00FD1226" w:rsidRPr="008069A6">
        <w:rPr>
          <w:sz w:val="24"/>
        </w:rPr>
        <w:t xml:space="preserve"> beneficiaries of the </w:t>
      </w:r>
      <w:r w:rsidR="00B23007">
        <w:rPr>
          <w:sz w:val="24"/>
        </w:rPr>
        <w:t xml:space="preserve">death </w:t>
      </w:r>
      <w:r w:rsidR="00975CCF" w:rsidRPr="008069A6">
        <w:rPr>
          <w:sz w:val="24"/>
        </w:rPr>
        <w:t>benefit</w:t>
      </w:r>
      <w:r w:rsidR="00514343" w:rsidRPr="008069A6">
        <w:rPr>
          <w:sz w:val="24"/>
        </w:rPr>
        <w:t>s</w:t>
      </w:r>
      <w:r w:rsidR="00975CCF" w:rsidRPr="008069A6">
        <w:rPr>
          <w:sz w:val="24"/>
        </w:rPr>
        <w:t xml:space="preserve"> should be. </w:t>
      </w:r>
      <w:r w:rsidR="00514343" w:rsidRPr="008069A6">
        <w:rPr>
          <w:sz w:val="24"/>
        </w:rPr>
        <w:t>T</w:t>
      </w:r>
      <w:r w:rsidR="00E07469" w:rsidRPr="008069A6">
        <w:rPr>
          <w:sz w:val="24"/>
        </w:rPr>
        <w:t xml:space="preserve">he essential issue, to wit whether Ms Masete and </w:t>
      </w:r>
      <w:r w:rsidR="00B23007">
        <w:rPr>
          <w:sz w:val="24"/>
        </w:rPr>
        <w:t xml:space="preserve">her </w:t>
      </w:r>
      <w:r w:rsidR="00E07469" w:rsidRPr="008069A6">
        <w:rPr>
          <w:sz w:val="24"/>
        </w:rPr>
        <w:t xml:space="preserve">two children </w:t>
      </w:r>
      <w:r w:rsidR="00A44AD5" w:rsidRPr="008069A6">
        <w:rPr>
          <w:sz w:val="24"/>
        </w:rPr>
        <w:t>were factually dependent upon the deceased</w:t>
      </w:r>
      <w:r w:rsidR="00514343" w:rsidRPr="008069A6">
        <w:rPr>
          <w:sz w:val="24"/>
        </w:rPr>
        <w:t>,</w:t>
      </w:r>
      <w:r w:rsidR="00A44AD5" w:rsidRPr="008069A6">
        <w:rPr>
          <w:sz w:val="24"/>
        </w:rPr>
        <w:t xml:space="preserve"> </w:t>
      </w:r>
      <w:r w:rsidR="00E43206" w:rsidRPr="008069A6">
        <w:rPr>
          <w:sz w:val="24"/>
        </w:rPr>
        <w:t xml:space="preserve">was never properly challenged. </w:t>
      </w:r>
      <w:r w:rsidR="002F3D8C" w:rsidRPr="008069A6">
        <w:rPr>
          <w:sz w:val="24"/>
        </w:rPr>
        <w:t xml:space="preserve">Both courts </w:t>
      </w:r>
      <w:r w:rsidR="0011331A" w:rsidRPr="008069A6">
        <w:rPr>
          <w:sz w:val="24"/>
        </w:rPr>
        <w:t xml:space="preserve">failed </w:t>
      </w:r>
      <w:r w:rsidR="0068402C" w:rsidRPr="008069A6">
        <w:rPr>
          <w:sz w:val="24"/>
        </w:rPr>
        <w:t xml:space="preserve">to </w:t>
      </w:r>
      <w:r w:rsidR="002F3D8C" w:rsidRPr="008069A6">
        <w:rPr>
          <w:sz w:val="24"/>
        </w:rPr>
        <w:t xml:space="preserve">recognise this. </w:t>
      </w:r>
      <w:r w:rsidR="000C4FD6" w:rsidRPr="008069A6">
        <w:rPr>
          <w:sz w:val="24"/>
        </w:rPr>
        <w:t>In addition</w:t>
      </w:r>
      <w:r w:rsidR="002F3D8C" w:rsidRPr="008069A6">
        <w:rPr>
          <w:sz w:val="24"/>
        </w:rPr>
        <w:t xml:space="preserve">, they failed to </w:t>
      </w:r>
      <w:r w:rsidR="0068402C" w:rsidRPr="008069A6">
        <w:rPr>
          <w:sz w:val="24"/>
        </w:rPr>
        <w:t xml:space="preserve">consider the </w:t>
      </w:r>
      <w:r w:rsidR="0068402C" w:rsidRPr="008069A6">
        <w:rPr>
          <w:sz w:val="24"/>
        </w:rPr>
        <w:lastRenderedPageBreak/>
        <w:t>narrow</w:t>
      </w:r>
      <w:r w:rsidR="009C4693" w:rsidRPr="008069A6">
        <w:rPr>
          <w:sz w:val="24"/>
        </w:rPr>
        <w:t xml:space="preserve"> </w:t>
      </w:r>
      <w:r w:rsidR="002F3D8C" w:rsidRPr="008069A6">
        <w:rPr>
          <w:sz w:val="24"/>
        </w:rPr>
        <w:t xml:space="preserve">approach </w:t>
      </w:r>
      <w:r w:rsidR="00DB3336" w:rsidRPr="008069A6">
        <w:rPr>
          <w:sz w:val="24"/>
        </w:rPr>
        <w:t>upon which the application and subsequent appeal was brought, i</w:t>
      </w:r>
      <w:r w:rsidR="004E0D02" w:rsidRPr="008069A6">
        <w:rPr>
          <w:sz w:val="24"/>
        </w:rPr>
        <w:t>.</w:t>
      </w:r>
      <w:r w:rsidR="00DB3336" w:rsidRPr="008069A6">
        <w:rPr>
          <w:sz w:val="24"/>
        </w:rPr>
        <w:t>e</w:t>
      </w:r>
      <w:r w:rsidR="004E0D02" w:rsidRPr="008069A6">
        <w:rPr>
          <w:sz w:val="24"/>
        </w:rPr>
        <w:t>.</w:t>
      </w:r>
      <w:r w:rsidR="00D1645D" w:rsidRPr="008069A6">
        <w:rPr>
          <w:sz w:val="24"/>
        </w:rPr>
        <w:t xml:space="preserve"> </w:t>
      </w:r>
      <w:r w:rsidR="00DB3336" w:rsidRPr="008069A6">
        <w:rPr>
          <w:sz w:val="24"/>
        </w:rPr>
        <w:t xml:space="preserve">that the </w:t>
      </w:r>
      <w:r w:rsidR="005969CA" w:rsidRPr="008069A6">
        <w:rPr>
          <w:sz w:val="24"/>
        </w:rPr>
        <w:t xml:space="preserve">Adjudicator </w:t>
      </w:r>
      <w:r w:rsidR="00DB3336" w:rsidRPr="00316CDA">
        <w:rPr>
          <w:sz w:val="24"/>
        </w:rPr>
        <w:t xml:space="preserve">failed to apply the </w:t>
      </w:r>
      <w:r w:rsidR="002A1D4A" w:rsidRPr="00316CDA">
        <w:rPr>
          <w:i/>
          <w:sz w:val="24"/>
        </w:rPr>
        <w:t>audi</w:t>
      </w:r>
      <w:r w:rsidR="00876EB7" w:rsidRPr="00316CDA">
        <w:rPr>
          <w:sz w:val="24"/>
        </w:rPr>
        <w:t>-</w:t>
      </w:r>
      <w:r w:rsidR="002A1D4A" w:rsidRPr="00316CDA">
        <w:rPr>
          <w:sz w:val="24"/>
        </w:rPr>
        <w:t>principle</w:t>
      </w:r>
      <w:r w:rsidR="002A1D4A" w:rsidRPr="008069A6">
        <w:rPr>
          <w:sz w:val="24"/>
        </w:rPr>
        <w:t xml:space="preserve">. </w:t>
      </w:r>
    </w:p>
    <w:p w:rsidR="00AE422A" w:rsidRPr="008069A6" w:rsidRDefault="00AE422A" w:rsidP="00AE422A">
      <w:pPr>
        <w:pStyle w:val="ListParagraph"/>
        <w:ind w:left="0" w:right="26"/>
        <w:rPr>
          <w:sz w:val="24"/>
        </w:rPr>
      </w:pPr>
    </w:p>
    <w:p w:rsidR="002F3D8C" w:rsidRPr="008069A6" w:rsidRDefault="002F3D8C" w:rsidP="00636266">
      <w:pPr>
        <w:pStyle w:val="ListParagraph"/>
        <w:numPr>
          <w:ilvl w:val="0"/>
          <w:numId w:val="1"/>
        </w:numPr>
        <w:ind w:left="0" w:right="26" w:firstLine="0"/>
        <w:rPr>
          <w:sz w:val="24"/>
        </w:rPr>
      </w:pPr>
      <w:r w:rsidRPr="008069A6">
        <w:rPr>
          <w:sz w:val="24"/>
        </w:rPr>
        <w:t xml:space="preserve">Close to a decade has lapsed and the battle over </w:t>
      </w:r>
      <w:r w:rsidR="0029681C" w:rsidRPr="008069A6">
        <w:rPr>
          <w:sz w:val="24"/>
        </w:rPr>
        <w:t xml:space="preserve">the </w:t>
      </w:r>
      <w:r w:rsidRPr="008069A6">
        <w:rPr>
          <w:sz w:val="24"/>
        </w:rPr>
        <w:t>custody of the children</w:t>
      </w:r>
      <w:r w:rsidR="00694699" w:rsidRPr="008069A6">
        <w:rPr>
          <w:sz w:val="24"/>
        </w:rPr>
        <w:t xml:space="preserve"> </w:t>
      </w:r>
      <w:r w:rsidRPr="008069A6">
        <w:rPr>
          <w:sz w:val="24"/>
        </w:rPr>
        <w:t>has not come to an end</w:t>
      </w:r>
      <w:r w:rsidR="00DC2776" w:rsidRPr="008069A6">
        <w:rPr>
          <w:sz w:val="24"/>
        </w:rPr>
        <w:t xml:space="preserve">. </w:t>
      </w:r>
      <w:r w:rsidR="00A15671" w:rsidRPr="008069A6">
        <w:rPr>
          <w:sz w:val="24"/>
        </w:rPr>
        <w:t xml:space="preserve">The awaited outcome on the custody application is still pending. </w:t>
      </w:r>
      <w:r w:rsidR="00DC2776" w:rsidRPr="008069A6">
        <w:rPr>
          <w:sz w:val="24"/>
        </w:rPr>
        <w:t xml:space="preserve">The </w:t>
      </w:r>
      <w:r w:rsidR="00BE6183" w:rsidRPr="008069A6">
        <w:rPr>
          <w:sz w:val="24"/>
        </w:rPr>
        <w:t>parties</w:t>
      </w:r>
      <w:r w:rsidRPr="008069A6">
        <w:rPr>
          <w:sz w:val="24"/>
        </w:rPr>
        <w:t xml:space="preserve"> hereto, and the beneficiaries</w:t>
      </w:r>
      <w:r w:rsidR="00B23007">
        <w:rPr>
          <w:sz w:val="24"/>
        </w:rPr>
        <w:t>,</w:t>
      </w:r>
      <w:r w:rsidRPr="008069A6">
        <w:rPr>
          <w:sz w:val="24"/>
        </w:rPr>
        <w:t xml:space="preserve"> in particular,</w:t>
      </w:r>
      <w:r w:rsidR="00BE6183" w:rsidRPr="008069A6">
        <w:rPr>
          <w:sz w:val="24"/>
        </w:rPr>
        <w:t xml:space="preserve"> are entitle</w:t>
      </w:r>
      <w:r w:rsidR="004D4339" w:rsidRPr="008069A6">
        <w:rPr>
          <w:sz w:val="24"/>
        </w:rPr>
        <w:t>d</w:t>
      </w:r>
      <w:r w:rsidR="00DC2776" w:rsidRPr="008069A6">
        <w:rPr>
          <w:sz w:val="24"/>
        </w:rPr>
        <w:t xml:space="preserve"> to finality </w:t>
      </w:r>
      <w:r w:rsidRPr="008069A6">
        <w:rPr>
          <w:sz w:val="24"/>
        </w:rPr>
        <w:t>and will not achieve</w:t>
      </w:r>
      <w:r w:rsidR="00A611FF" w:rsidRPr="008069A6">
        <w:rPr>
          <w:sz w:val="24"/>
        </w:rPr>
        <w:t xml:space="preserve"> that if the </w:t>
      </w:r>
      <w:r w:rsidR="0077255D" w:rsidRPr="008069A6">
        <w:rPr>
          <w:sz w:val="24"/>
        </w:rPr>
        <w:t>Adjudicator’s determination is allowed to stand.</w:t>
      </w:r>
      <w:r w:rsidR="00BE6183" w:rsidRPr="008069A6">
        <w:rPr>
          <w:sz w:val="24"/>
        </w:rPr>
        <w:t xml:space="preserve"> </w:t>
      </w:r>
    </w:p>
    <w:p w:rsidR="002F3D8C" w:rsidRPr="008069A6" w:rsidRDefault="002F3D8C" w:rsidP="002F3D8C">
      <w:pPr>
        <w:pStyle w:val="ListParagraph"/>
        <w:ind w:left="0" w:right="26"/>
        <w:rPr>
          <w:sz w:val="24"/>
        </w:rPr>
      </w:pPr>
    </w:p>
    <w:p w:rsidR="00417B00" w:rsidRPr="008069A6" w:rsidRDefault="00BE6183" w:rsidP="00C4458D">
      <w:pPr>
        <w:pStyle w:val="ListParagraph"/>
        <w:numPr>
          <w:ilvl w:val="0"/>
          <w:numId w:val="1"/>
        </w:numPr>
        <w:ind w:left="0" w:right="26" w:firstLine="0"/>
        <w:rPr>
          <w:sz w:val="24"/>
        </w:rPr>
      </w:pPr>
      <w:r w:rsidRPr="008069A6">
        <w:rPr>
          <w:sz w:val="24"/>
        </w:rPr>
        <w:t>If the appeal is allowed, this Court</w:t>
      </w:r>
      <w:r w:rsidR="004D4339" w:rsidRPr="008069A6">
        <w:rPr>
          <w:sz w:val="24"/>
        </w:rPr>
        <w:t xml:space="preserve"> may consider this matter afresh</w:t>
      </w:r>
      <w:r w:rsidR="00514343" w:rsidRPr="008069A6">
        <w:rPr>
          <w:sz w:val="24"/>
        </w:rPr>
        <w:t>,</w:t>
      </w:r>
      <w:r w:rsidR="003309BB" w:rsidRPr="008069A6">
        <w:rPr>
          <w:sz w:val="24"/>
        </w:rPr>
        <w:t xml:space="preserve"> or</w:t>
      </w:r>
      <w:r w:rsidR="004D4339" w:rsidRPr="008069A6">
        <w:rPr>
          <w:sz w:val="24"/>
        </w:rPr>
        <w:t xml:space="preserve"> decide to refer it back to the Fund</w:t>
      </w:r>
      <w:r w:rsidR="003D0B96" w:rsidRPr="008069A6">
        <w:rPr>
          <w:sz w:val="24"/>
        </w:rPr>
        <w:t xml:space="preserve"> for reconsideration</w:t>
      </w:r>
      <w:r w:rsidR="00F06D48" w:rsidRPr="008069A6">
        <w:rPr>
          <w:sz w:val="24"/>
        </w:rPr>
        <w:t xml:space="preserve">. </w:t>
      </w:r>
      <w:r w:rsidR="003309BB" w:rsidRPr="008069A6">
        <w:rPr>
          <w:sz w:val="24"/>
        </w:rPr>
        <w:t>The second option</w:t>
      </w:r>
      <w:r w:rsidR="00F06D48" w:rsidRPr="008069A6">
        <w:rPr>
          <w:sz w:val="24"/>
        </w:rPr>
        <w:t xml:space="preserve"> will not serve any </w:t>
      </w:r>
      <w:r w:rsidR="00B72534" w:rsidRPr="008069A6">
        <w:rPr>
          <w:sz w:val="24"/>
        </w:rPr>
        <w:t>fair</w:t>
      </w:r>
      <w:r w:rsidR="00F06D48" w:rsidRPr="008069A6">
        <w:rPr>
          <w:sz w:val="24"/>
        </w:rPr>
        <w:t xml:space="preserve"> and equitable </w:t>
      </w:r>
      <w:r w:rsidR="00B72534" w:rsidRPr="008069A6">
        <w:rPr>
          <w:sz w:val="24"/>
        </w:rPr>
        <w:t>p</w:t>
      </w:r>
      <w:r w:rsidR="00C646DE" w:rsidRPr="008069A6">
        <w:rPr>
          <w:sz w:val="24"/>
        </w:rPr>
        <w:t>urpose</w:t>
      </w:r>
      <w:r w:rsidR="003309BB" w:rsidRPr="008069A6">
        <w:rPr>
          <w:sz w:val="24"/>
        </w:rPr>
        <w:t>,</w:t>
      </w:r>
      <w:r w:rsidR="00C646DE" w:rsidRPr="008069A6">
        <w:rPr>
          <w:sz w:val="24"/>
        </w:rPr>
        <w:t xml:space="preserve"> bearing in mind the time laps</w:t>
      </w:r>
      <w:r w:rsidR="003309BB" w:rsidRPr="008069A6">
        <w:rPr>
          <w:sz w:val="24"/>
        </w:rPr>
        <w:t>e</w:t>
      </w:r>
      <w:r w:rsidR="00C646DE" w:rsidRPr="008069A6">
        <w:rPr>
          <w:sz w:val="24"/>
        </w:rPr>
        <w:t xml:space="preserve">, the possible unavailability of witnesses </w:t>
      </w:r>
      <w:r w:rsidR="00ED2D8D" w:rsidRPr="008069A6">
        <w:rPr>
          <w:sz w:val="24"/>
        </w:rPr>
        <w:t xml:space="preserve">and documentary proof, the fact that </w:t>
      </w:r>
      <w:r w:rsidR="00081DC4" w:rsidRPr="008069A6">
        <w:rPr>
          <w:sz w:val="24"/>
        </w:rPr>
        <w:t xml:space="preserve">minor beneficiaries have </w:t>
      </w:r>
      <w:r w:rsidR="00892F37" w:rsidRPr="008069A6">
        <w:rPr>
          <w:sz w:val="24"/>
        </w:rPr>
        <w:t>become</w:t>
      </w:r>
      <w:r w:rsidR="003309BB" w:rsidRPr="008069A6">
        <w:rPr>
          <w:sz w:val="24"/>
        </w:rPr>
        <w:t xml:space="preserve"> adults </w:t>
      </w:r>
      <w:r w:rsidR="00081DC4" w:rsidRPr="008069A6">
        <w:rPr>
          <w:sz w:val="24"/>
        </w:rPr>
        <w:t xml:space="preserve">in the meantime </w:t>
      </w:r>
      <w:r w:rsidR="00892F37" w:rsidRPr="008069A6">
        <w:rPr>
          <w:sz w:val="24"/>
        </w:rPr>
        <w:t>and again</w:t>
      </w:r>
      <w:r w:rsidR="003309BB" w:rsidRPr="008069A6">
        <w:rPr>
          <w:sz w:val="24"/>
        </w:rPr>
        <w:t>,</w:t>
      </w:r>
      <w:r w:rsidR="00892F37" w:rsidRPr="008069A6">
        <w:rPr>
          <w:sz w:val="24"/>
        </w:rPr>
        <w:t xml:space="preserve"> </w:t>
      </w:r>
      <w:r w:rsidR="008D6509" w:rsidRPr="008069A6">
        <w:rPr>
          <w:sz w:val="24"/>
        </w:rPr>
        <w:t>insofar as the part</w:t>
      </w:r>
      <w:r w:rsidR="00EE369B" w:rsidRPr="008069A6">
        <w:rPr>
          <w:sz w:val="24"/>
        </w:rPr>
        <w:t xml:space="preserve">ies are entitled to finality. </w:t>
      </w:r>
      <w:r w:rsidR="0054415D" w:rsidRPr="008069A6">
        <w:rPr>
          <w:sz w:val="24"/>
        </w:rPr>
        <w:t xml:space="preserve">The only equitable outcome is to </w:t>
      </w:r>
      <w:r w:rsidR="00B036DE" w:rsidRPr="008069A6">
        <w:rPr>
          <w:sz w:val="24"/>
        </w:rPr>
        <w:t xml:space="preserve">accept that the Fund complied with its </w:t>
      </w:r>
      <w:r w:rsidR="00DE6A3E" w:rsidRPr="008069A6">
        <w:rPr>
          <w:sz w:val="24"/>
        </w:rPr>
        <w:t xml:space="preserve">legislative mandate and </w:t>
      </w:r>
      <w:r w:rsidR="003309BB" w:rsidRPr="008069A6">
        <w:rPr>
          <w:sz w:val="24"/>
        </w:rPr>
        <w:t>in its discretion made a correct distribution</w:t>
      </w:r>
      <w:r w:rsidR="0096765F" w:rsidRPr="008069A6">
        <w:rPr>
          <w:sz w:val="24"/>
        </w:rPr>
        <w:t xml:space="preserve">. I am satisfied </w:t>
      </w:r>
      <w:r w:rsidR="00D03E7E" w:rsidRPr="008069A6">
        <w:rPr>
          <w:sz w:val="24"/>
        </w:rPr>
        <w:t>that if the totality of the evidence</w:t>
      </w:r>
      <w:r w:rsidR="009735BA" w:rsidRPr="008069A6">
        <w:rPr>
          <w:sz w:val="24"/>
        </w:rPr>
        <w:t xml:space="preserve"> as summarised in the next paragraphs </w:t>
      </w:r>
      <w:r w:rsidR="00D03E7E" w:rsidRPr="008069A6">
        <w:rPr>
          <w:sz w:val="24"/>
        </w:rPr>
        <w:t>is considered</w:t>
      </w:r>
      <w:r w:rsidR="00BE5F80" w:rsidRPr="008069A6">
        <w:rPr>
          <w:sz w:val="24"/>
        </w:rPr>
        <w:t xml:space="preserve">, </w:t>
      </w:r>
      <w:r w:rsidR="004B5F35" w:rsidRPr="008069A6">
        <w:rPr>
          <w:sz w:val="24"/>
        </w:rPr>
        <w:t>the Fund</w:t>
      </w:r>
      <w:r w:rsidR="003309BB" w:rsidRPr="008069A6">
        <w:rPr>
          <w:sz w:val="24"/>
        </w:rPr>
        <w:t>’</w:t>
      </w:r>
      <w:r w:rsidR="004B5F35" w:rsidRPr="008069A6">
        <w:rPr>
          <w:sz w:val="24"/>
        </w:rPr>
        <w:t xml:space="preserve">s determination should </w:t>
      </w:r>
      <w:r w:rsidR="0057221F" w:rsidRPr="008069A6">
        <w:rPr>
          <w:sz w:val="24"/>
        </w:rPr>
        <w:t>prevail</w:t>
      </w:r>
      <w:r w:rsidR="00417B00" w:rsidRPr="008069A6">
        <w:rPr>
          <w:sz w:val="24"/>
        </w:rPr>
        <w:t>.</w:t>
      </w:r>
    </w:p>
    <w:p w:rsidR="00417B00" w:rsidRPr="008069A6" w:rsidRDefault="00417B00" w:rsidP="00C4458D">
      <w:pPr>
        <w:pStyle w:val="ListParagraph"/>
        <w:ind w:left="0" w:right="26"/>
        <w:rPr>
          <w:sz w:val="24"/>
        </w:rPr>
      </w:pPr>
    </w:p>
    <w:p w:rsidR="00DD06D0" w:rsidRPr="008069A6" w:rsidRDefault="00417B00" w:rsidP="00B4257A">
      <w:pPr>
        <w:pStyle w:val="ListParagraph"/>
        <w:numPr>
          <w:ilvl w:val="0"/>
          <w:numId w:val="1"/>
        </w:numPr>
        <w:ind w:left="0" w:right="26" w:firstLine="0"/>
        <w:rPr>
          <w:sz w:val="24"/>
        </w:rPr>
      </w:pPr>
      <w:r w:rsidRPr="008069A6">
        <w:rPr>
          <w:sz w:val="24"/>
        </w:rPr>
        <w:t xml:space="preserve">The Fund did not find that the deceased and Ms Masete were </w:t>
      </w:r>
      <w:r w:rsidR="0029681C" w:rsidRPr="008069A6">
        <w:rPr>
          <w:sz w:val="24"/>
        </w:rPr>
        <w:t xml:space="preserve">married </w:t>
      </w:r>
      <w:r w:rsidR="00C26911" w:rsidRPr="008069A6">
        <w:rPr>
          <w:sz w:val="24"/>
        </w:rPr>
        <w:t xml:space="preserve">in terms of </w:t>
      </w:r>
      <w:r w:rsidRPr="008069A6">
        <w:rPr>
          <w:sz w:val="24"/>
        </w:rPr>
        <w:t xml:space="preserve">customary </w:t>
      </w:r>
      <w:r w:rsidR="00C26911" w:rsidRPr="008069A6">
        <w:rPr>
          <w:sz w:val="24"/>
        </w:rPr>
        <w:t>law</w:t>
      </w:r>
      <w:r w:rsidR="007259E1">
        <w:rPr>
          <w:sz w:val="24"/>
        </w:rPr>
        <w:t>. It only</w:t>
      </w:r>
      <w:r w:rsidRPr="008069A6">
        <w:rPr>
          <w:sz w:val="24"/>
        </w:rPr>
        <w:t xml:space="preserve"> determined the issue o</w:t>
      </w:r>
      <w:r w:rsidR="007259E1">
        <w:rPr>
          <w:sz w:val="24"/>
        </w:rPr>
        <w:t>f</w:t>
      </w:r>
      <w:r w:rsidRPr="008069A6">
        <w:rPr>
          <w:sz w:val="24"/>
        </w:rPr>
        <w:t xml:space="preserve"> factual dependency. The Fund correctly accepted that it was not bound by the deceased’s nomination of beneficiaries in 2009 at which stage Ms Mutsila was still considered a beneficiary. Ms Mutsila and the deceased earned about the same net salaries and on the version presented to the Fund, she was not factually dependent upon the deceased as her net income met her total expenses. She was a teacher at the time and would be entitled to a pension </w:t>
      </w:r>
      <w:r w:rsidR="007259E1">
        <w:rPr>
          <w:sz w:val="24"/>
        </w:rPr>
        <w:t>benefit</w:t>
      </w:r>
      <w:r w:rsidRPr="008069A6">
        <w:rPr>
          <w:sz w:val="24"/>
        </w:rPr>
        <w:t xml:space="preserve">. Contrary to her favourable financial position, Ms Masete earned a meagre salary and proved that the deceased factually maintained her and her children. </w:t>
      </w:r>
    </w:p>
    <w:p w:rsidR="00DD06D0" w:rsidRPr="008069A6" w:rsidRDefault="00DD06D0" w:rsidP="002C2B3E">
      <w:pPr>
        <w:rPr>
          <w:sz w:val="24"/>
        </w:rPr>
      </w:pPr>
    </w:p>
    <w:p w:rsidR="009735BA" w:rsidRPr="008069A6" w:rsidRDefault="00417B00" w:rsidP="00B4257A">
      <w:pPr>
        <w:pStyle w:val="ListParagraph"/>
        <w:numPr>
          <w:ilvl w:val="0"/>
          <w:numId w:val="1"/>
        </w:numPr>
        <w:ind w:left="0" w:right="26" w:firstLine="0"/>
        <w:rPr>
          <w:sz w:val="24"/>
        </w:rPr>
      </w:pPr>
      <w:r w:rsidRPr="008069A6">
        <w:rPr>
          <w:sz w:val="24"/>
        </w:rPr>
        <w:t>The Fund was fully aware that the deceased’s immovable property was mortgaged in favour of Absa and required more information from Ms Mutsila as the executrix in the estate. It needed to know two things</w:t>
      </w:r>
      <w:r w:rsidR="0049236A" w:rsidRPr="008069A6">
        <w:rPr>
          <w:sz w:val="24"/>
        </w:rPr>
        <w:t xml:space="preserve">, </w:t>
      </w:r>
      <w:r w:rsidR="00C26911" w:rsidRPr="008069A6">
        <w:rPr>
          <w:sz w:val="24"/>
        </w:rPr>
        <w:t>i.e.</w:t>
      </w:r>
      <w:r w:rsidR="0049236A" w:rsidRPr="008069A6">
        <w:rPr>
          <w:sz w:val="24"/>
        </w:rPr>
        <w:t xml:space="preserve"> </w:t>
      </w:r>
      <w:r w:rsidRPr="008069A6">
        <w:rPr>
          <w:sz w:val="24"/>
        </w:rPr>
        <w:t>whether the estate was not perhaps insolvent which would mean that the payment to Absa might be to the detriment of Ms Mutsila as a beneficiary, alternatively</w:t>
      </w:r>
      <w:r w:rsidR="0049236A" w:rsidRPr="008069A6">
        <w:rPr>
          <w:sz w:val="24"/>
        </w:rPr>
        <w:t>,</w:t>
      </w:r>
      <w:r w:rsidRPr="008069A6">
        <w:rPr>
          <w:sz w:val="24"/>
        </w:rPr>
        <w:t xml:space="preserve"> if the estate had considerable </w:t>
      </w:r>
      <w:r w:rsidRPr="008069A6">
        <w:rPr>
          <w:sz w:val="24"/>
        </w:rPr>
        <w:lastRenderedPageBreak/>
        <w:t xml:space="preserve">assets and Ms Mutsila as heir was about to inherit those, </w:t>
      </w:r>
      <w:r w:rsidR="00A15671" w:rsidRPr="008069A6">
        <w:rPr>
          <w:sz w:val="24"/>
        </w:rPr>
        <w:t xml:space="preserve">that </w:t>
      </w:r>
      <w:r w:rsidRPr="008069A6">
        <w:rPr>
          <w:sz w:val="24"/>
        </w:rPr>
        <w:t xml:space="preserve">might have an effect on the amount to be distributed to her. </w:t>
      </w:r>
    </w:p>
    <w:p w:rsidR="009735BA" w:rsidRPr="008069A6" w:rsidRDefault="009735BA" w:rsidP="002C2B3E">
      <w:pPr>
        <w:rPr>
          <w:sz w:val="24"/>
        </w:rPr>
      </w:pPr>
    </w:p>
    <w:p w:rsidR="009735BA" w:rsidRPr="008069A6" w:rsidRDefault="00417B00" w:rsidP="00B4257A">
      <w:pPr>
        <w:pStyle w:val="ListParagraph"/>
        <w:numPr>
          <w:ilvl w:val="0"/>
          <w:numId w:val="1"/>
        </w:numPr>
        <w:ind w:left="0" w:right="26" w:firstLine="0"/>
        <w:rPr>
          <w:sz w:val="24"/>
        </w:rPr>
      </w:pPr>
      <w:r w:rsidRPr="008069A6">
        <w:rPr>
          <w:sz w:val="24"/>
        </w:rPr>
        <w:t>The Funeral Plan issued by Metropolitan Life on 1 October 2012 did not include Ms Mutsila, contrary to the deceased’s 2009 nomination</w:t>
      </w:r>
      <w:r w:rsidR="009735BA" w:rsidRPr="008069A6">
        <w:rPr>
          <w:sz w:val="24"/>
        </w:rPr>
        <w:t xml:space="preserve"> of beneficiaries of his death benefits</w:t>
      </w:r>
      <w:r w:rsidRPr="008069A6">
        <w:rPr>
          <w:sz w:val="24"/>
        </w:rPr>
        <w:t>. Instead of including Ms Mutsila as a beneficiary in the Funeral Plan, the deceased included his life partner, Ms Masete and her two children, together with his own three children, his mother and Ms Masete’s mother. The Funeral Plan is not proof of factual dependency, but goes a long way to prove that the deceased regarded the nominated beneficiaries as part of his family unit</w:t>
      </w:r>
      <w:r w:rsidR="00EB0B38">
        <w:rPr>
          <w:sz w:val="24"/>
        </w:rPr>
        <w:t xml:space="preserve"> who were dependant on him</w:t>
      </w:r>
      <w:r w:rsidRPr="008069A6">
        <w:rPr>
          <w:sz w:val="24"/>
        </w:rPr>
        <w:t xml:space="preserve">. </w:t>
      </w:r>
    </w:p>
    <w:p w:rsidR="009735BA" w:rsidRPr="008069A6" w:rsidRDefault="009735BA" w:rsidP="002C2B3E">
      <w:pPr>
        <w:rPr>
          <w:sz w:val="24"/>
        </w:rPr>
      </w:pPr>
    </w:p>
    <w:p w:rsidR="0035266D" w:rsidRPr="008069A6" w:rsidRDefault="00417B00" w:rsidP="00B4257A">
      <w:pPr>
        <w:pStyle w:val="ListParagraph"/>
        <w:numPr>
          <w:ilvl w:val="0"/>
          <w:numId w:val="1"/>
        </w:numPr>
        <w:ind w:left="0" w:right="26" w:firstLine="0"/>
        <w:rPr>
          <w:sz w:val="24"/>
        </w:rPr>
      </w:pPr>
      <w:r w:rsidRPr="008069A6">
        <w:rPr>
          <w:sz w:val="24"/>
        </w:rPr>
        <w:t>Ms Masete provided a version in the custo</w:t>
      </w:r>
      <w:r w:rsidR="00EA7743">
        <w:rPr>
          <w:sz w:val="24"/>
        </w:rPr>
        <w:t>dy</w:t>
      </w:r>
      <w:r w:rsidRPr="008069A6">
        <w:rPr>
          <w:sz w:val="24"/>
        </w:rPr>
        <w:t xml:space="preserve"> application which cannot be regarded as far-fetched and false. Therein, she explained the strained relationship between her and Mr Mphafudi, his assaults on her, that they did not stay together for a number of years and that he had not contributed to the maintenance of the children. After the deceased’s death, officials of the Fund visited Ms Masete and explained that she and her children were beneficiaries of the deceased’s death benefits. The version presented by Ms Masete in the custo</w:t>
      </w:r>
      <w:r w:rsidR="00EA7743">
        <w:rPr>
          <w:sz w:val="24"/>
        </w:rPr>
        <w:t>dy</w:t>
      </w:r>
      <w:r w:rsidRPr="008069A6">
        <w:rPr>
          <w:sz w:val="24"/>
        </w:rPr>
        <w:t xml:space="preserve"> application that she and her children had been factually maintained by the deceased was corroborated by her bank statements. As mentioned, the deceased’s identity number is 621208 5971 008. The first ten numbers thereof appear on Ms Masete’s bank statements in some of the cases where deposits had been effected. The mere fact that Ms </w:t>
      </w:r>
      <w:r w:rsidRPr="002E04F9">
        <w:rPr>
          <w:sz w:val="24"/>
        </w:rPr>
        <w:t>Mutsila confirmed</w:t>
      </w:r>
      <w:r w:rsidRPr="008069A6">
        <w:rPr>
          <w:sz w:val="24"/>
        </w:rPr>
        <w:t xml:space="preserve"> that the deceased stayed with her at their Lulekani house and that she denied the deceased and Ms Masete’s cohabitation is not sufficient to negate objective documentary evidence in the form of Ms Masete’s bank statements and the Funeral Plan, indicating Ms Masete as the deceased’s life partner and even providing cover for her mother (regarded by the deceased as his mother-in-law).</w:t>
      </w:r>
    </w:p>
    <w:p w:rsidR="00831608" w:rsidRPr="008069A6" w:rsidRDefault="00831608" w:rsidP="00C4458D">
      <w:pPr>
        <w:pStyle w:val="ListParagraph"/>
        <w:tabs>
          <w:tab w:val="left" w:pos="567"/>
        </w:tabs>
        <w:ind w:left="0" w:right="26"/>
        <w:rPr>
          <w:b/>
          <w:i/>
          <w:sz w:val="24"/>
        </w:rPr>
      </w:pPr>
    </w:p>
    <w:p w:rsidR="0035266D" w:rsidRPr="008069A6" w:rsidRDefault="0035266D" w:rsidP="00AE422A">
      <w:pPr>
        <w:pStyle w:val="ListParagraph"/>
        <w:ind w:left="0" w:right="26"/>
        <w:rPr>
          <w:b/>
          <w:sz w:val="24"/>
        </w:rPr>
      </w:pPr>
      <w:r w:rsidRPr="008069A6">
        <w:rPr>
          <w:b/>
          <w:sz w:val="24"/>
        </w:rPr>
        <w:t>Conclusion</w:t>
      </w:r>
    </w:p>
    <w:p w:rsidR="0035266D" w:rsidRPr="008069A6" w:rsidRDefault="0035266D" w:rsidP="00831608">
      <w:pPr>
        <w:pStyle w:val="ListParagraph"/>
        <w:numPr>
          <w:ilvl w:val="0"/>
          <w:numId w:val="1"/>
        </w:numPr>
        <w:ind w:left="0" w:right="26" w:firstLine="0"/>
        <w:rPr>
          <w:sz w:val="24"/>
        </w:rPr>
      </w:pPr>
      <w:r w:rsidRPr="008069A6">
        <w:rPr>
          <w:sz w:val="24"/>
        </w:rPr>
        <w:t xml:space="preserve">For all the reasons mentioned above, the appeal against the order of the full court should be upheld. </w:t>
      </w:r>
      <w:r w:rsidR="003B0CF5" w:rsidRPr="008069A6">
        <w:rPr>
          <w:sz w:val="24"/>
        </w:rPr>
        <w:t>T</w:t>
      </w:r>
      <w:r w:rsidRPr="008069A6">
        <w:rPr>
          <w:sz w:val="24"/>
        </w:rPr>
        <w:t xml:space="preserve">he </w:t>
      </w:r>
      <w:r w:rsidR="00C7205E" w:rsidRPr="008069A6">
        <w:rPr>
          <w:sz w:val="24"/>
        </w:rPr>
        <w:t>order of the court of first instance</w:t>
      </w:r>
      <w:r w:rsidR="00EA7743">
        <w:rPr>
          <w:sz w:val="24"/>
        </w:rPr>
        <w:t xml:space="preserve"> should suffer the same fate</w:t>
      </w:r>
      <w:r w:rsidR="00C7205E" w:rsidRPr="008069A6">
        <w:rPr>
          <w:sz w:val="24"/>
        </w:rPr>
        <w:t xml:space="preserve">. </w:t>
      </w:r>
      <w:r w:rsidR="00EA7743">
        <w:rPr>
          <w:sz w:val="24"/>
        </w:rPr>
        <w:t>Consequently, t</w:t>
      </w:r>
      <w:r w:rsidRPr="008069A6">
        <w:rPr>
          <w:sz w:val="24"/>
        </w:rPr>
        <w:t>he A</w:t>
      </w:r>
      <w:r w:rsidR="002C2B3E" w:rsidRPr="008069A6">
        <w:rPr>
          <w:sz w:val="24"/>
        </w:rPr>
        <w:t xml:space="preserve">djudicator’s determination </w:t>
      </w:r>
      <w:r w:rsidRPr="008069A6">
        <w:rPr>
          <w:sz w:val="24"/>
        </w:rPr>
        <w:t>should be set aside.</w:t>
      </w:r>
    </w:p>
    <w:p w:rsidR="0035266D" w:rsidRDefault="0035266D" w:rsidP="00831608">
      <w:pPr>
        <w:ind w:right="26"/>
        <w:rPr>
          <w:sz w:val="24"/>
        </w:rPr>
      </w:pPr>
    </w:p>
    <w:p w:rsidR="005A1305" w:rsidRPr="008069A6" w:rsidRDefault="005A1305" w:rsidP="00831608">
      <w:pPr>
        <w:ind w:right="26"/>
        <w:rPr>
          <w:sz w:val="24"/>
        </w:rPr>
      </w:pPr>
    </w:p>
    <w:p w:rsidR="0035266D" w:rsidRPr="008069A6" w:rsidRDefault="00614B51" w:rsidP="00AE422A">
      <w:pPr>
        <w:pStyle w:val="ListParagraph"/>
        <w:ind w:left="0" w:right="26"/>
        <w:rPr>
          <w:b/>
          <w:sz w:val="24"/>
        </w:rPr>
      </w:pPr>
      <w:r w:rsidRPr="008069A6">
        <w:rPr>
          <w:b/>
          <w:sz w:val="24"/>
        </w:rPr>
        <w:lastRenderedPageBreak/>
        <w:t>Costs</w:t>
      </w:r>
    </w:p>
    <w:p w:rsidR="00EE230E" w:rsidRPr="008069A6" w:rsidRDefault="0035266D" w:rsidP="00831608">
      <w:pPr>
        <w:pStyle w:val="ListParagraph"/>
        <w:numPr>
          <w:ilvl w:val="0"/>
          <w:numId w:val="1"/>
        </w:numPr>
        <w:ind w:left="0" w:right="26" w:firstLine="0"/>
        <w:rPr>
          <w:sz w:val="24"/>
        </w:rPr>
      </w:pPr>
      <w:r w:rsidRPr="008069A6">
        <w:rPr>
          <w:sz w:val="24"/>
        </w:rPr>
        <w:t xml:space="preserve">A final aspect to be </w:t>
      </w:r>
      <w:r w:rsidR="00B475A4" w:rsidRPr="008069A6">
        <w:rPr>
          <w:sz w:val="24"/>
        </w:rPr>
        <w:t>dealt with is the punitive cost</w:t>
      </w:r>
      <w:r w:rsidR="00EB0B38">
        <w:rPr>
          <w:sz w:val="24"/>
        </w:rPr>
        <w:t>s</w:t>
      </w:r>
      <w:r w:rsidRPr="008069A6">
        <w:rPr>
          <w:sz w:val="24"/>
        </w:rPr>
        <w:t xml:space="preserve"> orders</w:t>
      </w:r>
      <w:r w:rsidR="00C7205E" w:rsidRPr="008069A6">
        <w:rPr>
          <w:sz w:val="24"/>
        </w:rPr>
        <w:t xml:space="preserve"> granted in both the court of first instance</w:t>
      </w:r>
      <w:r w:rsidRPr="008069A6">
        <w:rPr>
          <w:sz w:val="24"/>
        </w:rPr>
        <w:t xml:space="preserve"> and the full court</w:t>
      </w:r>
      <w:r w:rsidR="00DE4C1A" w:rsidRPr="008069A6">
        <w:rPr>
          <w:sz w:val="24"/>
        </w:rPr>
        <w:t>. The full court</w:t>
      </w:r>
      <w:r w:rsidR="00E537ED" w:rsidRPr="008069A6">
        <w:rPr>
          <w:sz w:val="24"/>
        </w:rPr>
        <w:t xml:space="preserve"> agreed with the reasoning </w:t>
      </w:r>
      <w:r w:rsidR="0086787D" w:rsidRPr="008069A6">
        <w:rPr>
          <w:sz w:val="24"/>
        </w:rPr>
        <w:t xml:space="preserve">of the court of first instance </w:t>
      </w:r>
      <w:r w:rsidR="00496E90" w:rsidRPr="008069A6">
        <w:rPr>
          <w:sz w:val="24"/>
        </w:rPr>
        <w:t xml:space="preserve">pertaining to the award of costs on a punitive </w:t>
      </w:r>
      <w:r w:rsidR="00FF21AB" w:rsidRPr="008069A6">
        <w:rPr>
          <w:sz w:val="24"/>
        </w:rPr>
        <w:t xml:space="preserve">scale without saying anything further </w:t>
      </w:r>
      <w:r w:rsidR="00C7205E" w:rsidRPr="008069A6">
        <w:rPr>
          <w:sz w:val="24"/>
        </w:rPr>
        <w:t>in this regard, save to committing the same factual misdirection</w:t>
      </w:r>
      <w:r w:rsidR="00CB1DDE" w:rsidRPr="008069A6">
        <w:rPr>
          <w:sz w:val="24"/>
        </w:rPr>
        <w:t xml:space="preserve"> </w:t>
      </w:r>
      <w:r w:rsidR="008125DF" w:rsidRPr="008069A6">
        <w:rPr>
          <w:sz w:val="24"/>
        </w:rPr>
        <w:t xml:space="preserve">in finding that the </w:t>
      </w:r>
      <w:r w:rsidR="000F07EF" w:rsidRPr="008069A6">
        <w:rPr>
          <w:sz w:val="24"/>
        </w:rPr>
        <w:t xml:space="preserve">Fund proceeded to pay </w:t>
      </w:r>
      <w:r w:rsidR="00C439D5" w:rsidRPr="008069A6">
        <w:rPr>
          <w:sz w:val="24"/>
        </w:rPr>
        <w:t xml:space="preserve">Ms Masete an amount of R 300 000 despite </w:t>
      </w:r>
      <w:r w:rsidR="00256541" w:rsidRPr="008069A6">
        <w:rPr>
          <w:sz w:val="24"/>
        </w:rPr>
        <w:t xml:space="preserve">the </w:t>
      </w:r>
      <w:r w:rsidR="0080156E" w:rsidRPr="008069A6">
        <w:rPr>
          <w:sz w:val="24"/>
        </w:rPr>
        <w:t>Adjudicator</w:t>
      </w:r>
      <w:r w:rsidR="00C7205E" w:rsidRPr="008069A6">
        <w:rPr>
          <w:sz w:val="24"/>
        </w:rPr>
        <w:t>’</w:t>
      </w:r>
      <w:r w:rsidR="0080156E" w:rsidRPr="008069A6">
        <w:rPr>
          <w:sz w:val="24"/>
        </w:rPr>
        <w:t xml:space="preserve">s </w:t>
      </w:r>
      <w:r w:rsidR="00F16ACC" w:rsidRPr="008069A6">
        <w:rPr>
          <w:sz w:val="24"/>
        </w:rPr>
        <w:t>determination.</w:t>
      </w:r>
      <w:r w:rsidR="00C7205E" w:rsidRPr="008069A6">
        <w:rPr>
          <w:sz w:val="24"/>
        </w:rPr>
        <w:t xml:space="preserve"> It also </w:t>
      </w:r>
      <w:r w:rsidR="00EE230E" w:rsidRPr="008069A6">
        <w:rPr>
          <w:sz w:val="24"/>
        </w:rPr>
        <w:t xml:space="preserve">incorrectly </w:t>
      </w:r>
      <w:r w:rsidR="00C7205E" w:rsidRPr="008069A6">
        <w:rPr>
          <w:sz w:val="24"/>
        </w:rPr>
        <w:t>mentioned</w:t>
      </w:r>
      <w:r w:rsidR="00BE427C" w:rsidRPr="008069A6">
        <w:rPr>
          <w:sz w:val="24"/>
        </w:rPr>
        <w:t>,</w:t>
      </w:r>
      <w:r w:rsidR="00C7205E" w:rsidRPr="008069A6">
        <w:rPr>
          <w:sz w:val="24"/>
        </w:rPr>
        <w:t xml:space="preserve"> </w:t>
      </w:r>
      <w:r w:rsidR="00503FC0" w:rsidRPr="008069A6">
        <w:rPr>
          <w:sz w:val="24"/>
        </w:rPr>
        <w:t xml:space="preserve">earlier in </w:t>
      </w:r>
      <w:r w:rsidR="00C7205E" w:rsidRPr="008069A6">
        <w:rPr>
          <w:sz w:val="24"/>
        </w:rPr>
        <w:t xml:space="preserve">the </w:t>
      </w:r>
      <w:r w:rsidR="00503FC0" w:rsidRPr="008069A6">
        <w:rPr>
          <w:sz w:val="24"/>
        </w:rPr>
        <w:t>judgment</w:t>
      </w:r>
      <w:r w:rsidR="00BE427C" w:rsidRPr="008069A6">
        <w:rPr>
          <w:sz w:val="24"/>
        </w:rPr>
        <w:t>,</w:t>
      </w:r>
      <w:r w:rsidR="004F250D" w:rsidRPr="008069A6">
        <w:rPr>
          <w:sz w:val="24"/>
        </w:rPr>
        <w:t xml:space="preserve"> that the Fund proceeded</w:t>
      </w:r>
      <w:r w:rsidR="00C7205E" w:rsidRPr="008069A6">
        <w:rPr>
          <w:sz w:val="24"/>
        </w:rPr>
        <w:t>,</w:t>
      </w:r>
      <w:r w:rsidR="004F250D" w:rsidRPr="008069A6">
        <w:rPr>
          <w:sz w:val="24"/>
        </w:rPr>
        <w:t xml:space="preserve"> </w:t>
      </w:r>
      <w:r w:rsidR="00DD04ED" w:rsidRPr="008069A6">
        <w:rPr>
          <w:sz w:val="24"/>
        </w:rPr>
        <w:t>after the Adjudicator</w:t>
      </w:r>
      <w:r w:rsidR="00C7205E" w:rsidRPr="008069A6">
        <w:rPr>
          <w:sz w:val="24"/>
        </w:rPr>
        <w:t>’</w:t>
      </w:r>
      <w:r w:rsidR="00DD04ED" w:rsidRPr="008069A6">
        <w:rPr>
          <w:sz w:val="24"/>
        </w:rPr>
        <w:t>s determination</w:t>
      </w:r>
      <w:r w:rsidR="00C7205E" w:rsidRPr="008069A6">
        <w:rPr>
          <w:sz w:val="24"/>
        </w:rPr>
        <w:t>,</w:t>
      </w:r>
      <w:r w:rsidR="00DD04ED" w:rsidRPr="008069A6">
        <w:rPr>
          <w:sz w:val="24"/>
        </w:rPr>
        <w:t xml:space="preserve"> </w:t>
      </w:r>
      <w:r w:rsidR="0080156E" w:rsidRPr="008069A6">
        <w:rPr>
          <w:sz w:val="24"/>
        </w:rPr>
        <w:t>‘</w:t>
      </w:r>
      <w:r w:rsidR="00DD04ED" w:rsidRPr="008069A6">
        <w:rPr>
          <w:sz w:val="24"/>
        </w:rPr>
        <w:t xml:space="preserve">to make </w:t>
      </w:r>
      <w:r w:rsidR="00EE230E" w:rsidRPr="008069A6">
        <w:rPr>
          <w:sz w:val="24"/>
        </w:rPr>
        <w:t xml:space="preserve">a </w:t>
      </w:r>
      <w:r w:rsidR="007641D2" w:rsidRPr="008069A6">
        <w:rPr>
          <w:sz w:val="24"/>
        </w:rPr>
        <w:t xml:space="preserve">distribution in November 2014 </w:t>
      </w:r>
      <w:r w:rsidR="0080156E" w:rsidRPr="008069A6">
        <w:rPr>
          <w:sz w:val="24"/>
        </w:rPr>
        <w:t xml:space="preserve">of 30% </w:t>
      </w:r>
      <w:r w:rsidR="00074BAD" w:rsidRPr="008069A6">
        <w:rPr>
          <w:sz w:val="24"/>
        </w:rPr>
        <w:t xml:space="preserve">of the funds in terms of its </w:t>
      </w:r>
      <w:r w:rsidR="00D517E3" w:rsidRPr="008069A6">
        <w:rPr>
          <w:sz w:val="24"/>
        </w:rPr>
        <w:t>unreliable and</w:t>
      </w:r>
      <w:r w:rsidR="00960EE9" w:rsidRPr="008069A6">
        <w:rPr>
          <w:sz w:val="24"/>
        </w:rPr>
        <w:t>/</w:t>
      </w:r>
      <w:r w:rsidR="00D517E3" w:rsidRPr="008069A6">
        <w:rPr>
          <w:sz w:val="24"/>
        </w:rPr>
        <w:t xml:space="preserve">or </w:t>
      </w:r>
      <w:r w:rsidR="000D5044" w:rsidRPr="008069A6">
        <w:rPr>
          <w:sz w:val="24"/>
        </w:rPr>
        <w:t>challenged resolution</w:t>
      </w:r>
      <w:r w:rsidR="00EE230E" w:rsidRPr="008069A6">
        <w:rPr>
          <w:sz w:val="24"/>
        </w:rPr>
        <w:t>, which distribution included a</w:t>
      </w:r>
      <w:r w:rsidR="000D5044" w:rsidRPr="008069A6">
        <w:rPr>
          <w:sz w:val="24"/>
        </w:rPr>
        <w:t xml:space="preserve"> payment to </w:t>
      </w:r>
      <w:r w:rsidR="00AE29C7" w:rsidRPr="008069A6">
        <w:rPr>
          <w:sz w:val="24"/>
        </w:rPr>
        <w:t>Masete and her children</w:t>
      </w:r>
      <w:r w:rsidR="00F87120" w:rsidRPr="008069A6">
        <w:rPr>
          <w:sz w:val="24"/>
        </w:rPr>
        <w:t>….</w:t>
      </w:r>
      <w:r w:rsidR="00C30AE5" w:rsidRPr="008069A6">
        <w:rPr>
          <w:sz w:val="24"/>
        </w:rPr>
        <w:t>’</w:t>
      </w:r>
      <w:r w:rsidR="00817C89" w:rsidRPr="008069A6">
        <w:rPr>
          <w:sz w:val="24"/>
        </w:rPr>
        <w:t xml:space="preserve"> In this regard</w:t>
      </w:r>
      <w:r w:rsidR="002A4AB0" w:rsidRPr="008069A6">
        <w:rPr>
          <w:sz w:val="24"/>
        </w:rPr>
        <w:t xml:space="preserve"> the </w:t>
      </w:r>
      <w:r w:rsidR="00CD2638" w:rsidRPr="008069A6">
        <w:rPr>
          <w:sz w:val="24"/>
        </w:rPr>
        <w:t>court of first instance commented as follows</w:t>
      </w:r>
      <w:r w:rsidR="00EE230E" w:rsidRPr="008069A6">
        <w:rPr>
          <w:sz w:val="24"/>
        </w:rPr>
        <w:t xml:space="preserve"> which the full court accepted as correct</w:t>
      </w:r>
      <w:r w:rsidR="00CD2638" w:rsidRPr="008069A6">
        <w:rPr>
          <w:sz w:val="24"/>
        </w:rPr>
        <w:t>:</w:t>
      </w:r>
      <w:r w:rsidR="00EE230E" w:rsidRPr="008069A6">
        <w:rPr>
          <w:sz w:val="24"/>
        </w:rPr>
        <w:t xml:space="preserve"> </w:t>
      </w:r>
    </w:p>
    <w:p w:rsidR="00EE230E" w:rsidRPr="008069A6" w:rsidRDefault="00EE230E" w:rsidP="00EE230E">
      <w:pPr>
        <w:pStyle w:val="ListParagraph"/>
        <w:ind w:left="0" w:right="26"/>
        <w:rPr>
          <w:sz w:val="22"/>
          <w:szCs w:val="22"/>
        </w:rPr>
      </w:pPr>
      <w:r w:rsidRPr="008069A6">
        <w:rPr>
          <w:sz w:val="22"/>
          <w:szCs w:val="22"/>
        </w:rPr>
        <w:t>‘The A</w:t>
      </w:r>
      <w:r w:rsidR="00933732" w:rsidRPr="008069A6">
        <w:rPr>
          <w:sz w:val="22"/>
          <w:szCs w:val="22"/>
        </w:rPr>
        <w:t xml:space="preserve">pplicant </w:t>
      </w:r>
      <w:r w:rsidR="00B434FA" w:rsidRPr="008069A6">
        <w:rPr>
          <w:sz w:val="22"/>
          <w:szCs w:val="22"/>
        </w:rPr>
        <w:t>exhibited</w:t>
      </w:r>
      <w:r w:rsidR="00933732" w:rsidRPr="008069A6">
        <w:rPr>
          <w:sz w:val="22"/>
          <w:szCs w:val="22"/>
        </w:rPr>
        <w:t xml:space="preserve"> the same </w:t>
      </w:r>
      <w:r w:rsidR="00B434FA" w:rsidRPr="008069A6">
        <w:rPr>
          <w:sz w:val="22"/>
          <w:szCs w:val="22"/>
        </w:rPr>
        <w:t xml:space="preserve">carelessness </w:t>
      </w:r>
      <w:r w:rsidRPr="008069A6">
        <w:rPr>
          <w:sz w:val="22"/>
          <w:szCs w:val="22"/>
        </w:rPr>
        <w:t>and defiance</w:t>
      </w:r>
      <w:r w:rsidR="005E2DF1" w:rsidRPr="008069A6">
        <w:rPr>
          <w:sz w:val="22"/>
          <w:szCs w:val="22"/>
        </w:rPr>
        <w:t xml:space="preserve"> it did </w:t>
      </w:r>
      <w:r w:rsidR="009F0DD3" w:rsidRPr="008069A6">
        <w:rPr>
          <w:sz w:val="22"/>
          <w:szCs w:val="22"/>
        </w:rPr>
        <w:t xml:space="preserve">when it </w:t>
      </w:r>
      <w:r w:rsidR="00747718" w:rsidRPr="008069A6">
        <w:rPr>
          <w:sz w:val="22"/>
          <w:szCs w:val="22"/>
        </w:rPr>
        <w:t xml:space="preserve">was dealing </w:t>
      </w:r>
      <w:r w:rsidR="00AD7D5F" w:rsidRPr="008069A6">
        <w:rPr>
          <w:sz w:val="22"/>
          <w:szCs w:val="22"/>
        </w:rPr>
        <w:t xml:space="preserve">with the complaint </w:t>
      </w:r>
      <w:r w:rsidR="00881AB7" w:rsidRPr="008069A6">
        <w:rPr>
          <w:sz w:val="22"/>
          <w:szCs w:val="22"/>
        </w:rPr>
        <w:t xml:space="preserve">Mrs Mutsila registered </w:t>
      </w:r>
      <w:r w:rsidR="008339AA" w:rsidRPr="008069A6">
        <w:rPr>
          <w:sz w:val="22"/>
          <w:szCs w:val="22"/>
        </w:rPr>
        <w:t>with it prior to it</w:t>
      </w:r>
      <w:r w:rsidR="00FD2574" w:rsidRPr="008069A6">
        <w:rPr>
          <w:sz w:val="22"/>
          <w:szCs w:val="22"/>
        </w:rPr>
        <w:t>s</w:t>
      </w:r>
      <w:r w:rsidR="008339AA" w:rsidRPr="008069A6">
        <w:rPr>
          <w:sz w:val="22"/>
          <w:szCs w:val="22"/>
        </w:rPr>
        <w:t xml:space="preserve"> decision</w:t>
      </w:r>
      <w:r w:rsidRPr="008069A6">
        <w:rPr>
          <w:sz w:val="22"/>
          <w:szCs w:val="22"/>
        </w:rPr>
        <w:t>.</w:t>
      </w:r>
      <w:r w:rsidR="00FD2574" w:rsidRPr="008069A6">
        <w:rPr>
          <w:sz w:val="22"/>
          <w:szCs w:val="22"/>
        </w:rPr>
        <w:t xml:space="preserve"> </w:t>
      </w:r>
    </w:p>
    <w:p w:rsidR="00EE230E" w:rsidRPr="008069A6" w:rsidRDefault="008B2C24" w:rsidP="00EE230E">
      <w:pPr>
        <w:pStyle w:val="ListParagraph"/>
        <w:ind w:left="0" w:right="26"/>
        <w:rPr>
          <w:sz w:val="22"/>
          <w:szCs w:val="22"/>
        </w:rPr>
      </w:pPr>
      <w:r w:rsidRPr="008069A6">
        <w:rPr>
          <w:sz w:val="22"/>
          <w:szCs w:val="22"/>
        </w:rPr>
        <w:t>Such improper distribution constitutes a ma</w:t>
      </w:r>
      <w:r w:rsidR="00EE230E" w:rsidRPr="008069A6">
        <w:rPr>
          <w:sz w:val="22"/>
          <w:szCs w:val="22"/>
        </w:rPr>
        <w:t>ladministration of the f</w:t>
      </w:r>
      <w:r w:rsidRPr="008069A6">
        <w:rPr>
          <w:sz w:val="22"/>
          <w:szCs w:val="22"/>
        </w:rPr>
        <w:t>und causing prejudice to the real</w:t>
      </w:r>
      <w:r w:rsidR="00EE230E" w:rsidRPr="008069A6">
        <w:rPr>
          <w:sz w:val="22"/>
          <w:szCs w:val="22"/>
        </w:rPr>
        <w:t xml:space="preserve"> beneficiaries. As a </w:t>
      </w:r>
      <w:r w:rsidR="009163FE" w:rsidRPr="008069A6">
        <w:rPr>
          <w:sz w:val="22"/>
          <w:szCs w:val="22"/>
        </w:rPr>
        <w:t xml:space="preserve">result </w:t>
      </w:r>
      <w:r w:rsidR="009A3B45" w:rsidRPr="008069A6">
        <w:rPr>
          <w:sz w:val="22"/>
          <w:szCs w:val="22"/>
        </w:rPr>
        <w:t xml:space="preserve">an award of damages </w:t>
      </w:r>
      <w:r w:rsidR="00F33BBA" w:rsidRPr="008069A6">
        <w:rPr>
          <w:sz w:val="22"/>
          <w:szCs w:val="22"/>
        </w:rPr>
        <w:t xml:space="preserve">for maladministration </w:t>
      </w:r>
      <w:r w:rsidR="003F42AE" w:rsidRPr="008069A6">
        <w:rPr>
          <w:sz w:val="22"/>
          <w:szCs w:val="22"/>
        </w:rPr>
        <w:t xml:space="preserve">causing prejudice </w:t>
      </w:r>
      <w:r w:rsidR="00EE230E" w:rsidRPr="008069A6">
        <w:rPr>
          <w:sz w:val="22"/>
          <w:szCs w:val="22"/>
        </w:rPr>
        <w:t>to the deceased</w:t>
      </w:r>
      <w:r w:rsidR="00BD68EC" w:rsidRPr="008069A6">
        <w:rPr>
          <w:sz w:val="22"/>
          <w:szCs w:val="22"/>
        </w:rPr>
        <w:t xml:space="preserve"> beneficiaries </w:t>
      </w:r>
      <w:r w:rsidR="00EE230E" w:rsidRPr="008069A6">
        <w:rPr>
          <w:i/>
          <w:sz w:val="22"/>
          <w:szCs w:val="22"/>
        </w:rPr>
        <w:t xml:space="preserve">(sic) </w:t>
      </w:r>
      <w:r w:rsidR="00EE230E" w:rsidRPr="008069A6">
        <w:rPr>
          <w:sz w:val="22"/>
          <w:szCs w:val="22"/>
        </w:rPr>
        <w:t>to be borne by the F</w:t>
      </w:r>
      <w:r w:rsidR="00983B59" w:rsidRPr="008069A6">
        <w:rPr>
          <w:sz w:val="22"/>
          <w:szCs w:val="22"/>
        </w:rPr>
        <w:t xml:space="preserve">und can </w:t>
      </w:r>
      <w:r w:rsidR="009C5638" w:rsidRPr="008069A6">
        <w:rPr>
          <w:sz w:val="22"/>
          <w:szCs w:val="22"/>
        </w:rPr>
        <w:t>be a cause to consider.</w:t>
      </w:r>
      <w:r w:rsidR="009138F3" w:rsidRPr="008069A6">
        <w:rPr>
          <w:sz w:val="22"/>
          <w:szCs w:val="22"/>
        </w:rPr>
        <w:t>’</w:t>
      </w:r>
      <w:r w:rsidR="009C5638" w:rsidRPr="008069A6">
        <w:rPr>
          <w:sz w:val="22"/>
          <w:szCs w:val="22"/>
        </w:rPr>
        <w:t xml:space="preserve"> </w:t>
      </w:r>
    </w:p>
    <w:p w:rsidR="0035266D" w:rsidRPr="008069A6" w:rsidRDefault="009C5638" w:rsidP="00EE230E">
      <w:pPr>
        <w:pStyle w:val="ListParagraph"/>
        <w:ind w:left="0" w:right="26"/>
        <w:rPr>
          <w:sz w:val="24"/>
        </w:rPr>
      </w:pPr>
      <w:r w:rsidRPr="008069A6">
        <w:rPr>
          <w:sz w:val="24"/>
        </w:rPr>
        <w:t xml:space="preserve">This incorrect factual basis </w:t>
      </w:r>
      <w:r w:rsidR="004B3D01" w:rsidRPr="008069A6">
        <w:rPr>
          <w:sz w:val="24"/>
        </w:rPr>
        <w:t xml:space="preserve">caused the court of first instance to make </w:t>
      </w:r>
      <w:r w:rsidR="00B475A4" w:rsidRPr="008069A6">
        <w:rPr>
          <w:sz w:val="24"/>
        </w:rPr>
        <w:t>a punitive cost</w:t>
      </w:r>
      <w:r w:rsidR="00EB0B38">
        <w:rPr>
          <w:sz w:val="24"/>
        </w:rPr>
        <w:t>s</w:t>
      </w:r>
      <w:r w:rsidR="00BF5655" w:rsidRPr="008069A6">
        <w:rPr>
          <w:sz w:val="24"/>
        </w:rPr>
        <w:t xml:space="preserve"> order </w:t>
      </w:r>
      <w:r w:rsidR="00900A0A" w:rsidRPr="008069A6">
        <w:rPr>
          <w:sz w:val="24"/>
        </w:rPr>
        <w:t xml:space="preserve">which was </w:t>
      </w:r>
      <w:r w:rsidR="00C25B23" w:rsidRPr="008069A6">
        <w:rPr>
          <w:sz w:val="24"/>
        </w:rPr>
        <w:t xml:space="preserve">repeated by the full </w:t>
      </w:r>
      <w:r w:rsidR="00BE427C" w:rsidRPr="008069A6">
        <w:rPr>
          <w:sz w:val="24"/>
        </w:rPr>
        <w:t>c</w:t>
      </w:r>
      <w:r w:rsidR="00C25B23" w:rsidRPr="008069A6">
        <w:rPr>
          <w:sz w:val="24"/>
        </w:rPr>
        <w:t>ourt</w:t>
      </w:r>
      <w:r w:rsidR="00EE230E" w:rsidRPr="008069A6">
        <w:rPr>
          <w:sz w:val="24"/>
        </w:rPr>
        <w:t>. There wa</w:t>
      </w:r>
      <w:r w:rsidR="006E07A6" w:rsidRPr="008069A6">
        <w:rPr>
          <w:sz w:val="24"/>
        </w:rPr>
        <w:t xml:space="preserve">s no justification </w:t>
      </w:r>
      <w:r w:rsidR="00B4257A" w:rsidRPr="008069A6">
        <w:rPr>
          <w:sz w:val="24"/>
        </w:rPr>
        <w:t>for a</w:t>
      </w:r>
      <w:r w:rsidR="00EE230E" w:rsidRPr="008069A6">
        <w:rPr>
          <w:sz w:val="24"/>
        </w:rPr>
        <w:t xml:space="preserve"> punitive costs</w:t>
      </w:r>
      <w:r w:rsidR="00B4257A" w:rsidRPr="008069A6">
        <w:rPr>
          <w:sz w:val="24"/>
        </w:rPr>
        <w:t xml:space="preserve"> order</w:t>
      </w:r>
      <w:r w:rsidR="00B003AC" w:rsidRPr="008069A6">
        <w:rPr>
          <w:sz w:val="24"/>
        </w:rPr>
        <w:t>.</w:t>
      </w:r>
    </w:p>
    <w:p w:rsidR="00B003AC" w:rsidRPr="008069A6" w:rsidRDefault="00B003AC" w:rsidP="00636266">
      <w:pPr>
        <w:pStyle w:val="ListParagraph"/>
        <w:ind w:left="0" w:right="26"/>
        <w:rPr>
          <w:sz w:val="24"/>
        </w:rPr>
      </w:pPr>
    </w:p>
    <w:p w:rsidR="00B003AC" w:rsidRPr="008069A6" w:rsidRDefault="00B003AC" w:rsidP="00636266">
      <w:pPr>
        <w:pStyle w:val="ListParagraph"/>
        <w:numPr>
          <w:ilvl w:val="0"/>
          <w:numId w:val="1"/>
        </w:numPr>
        <w:ind w:left="0" w:right="26" w:firstLine="0"/>
        <w:rPr>
          <w:sz w:val="24"/>
        </w:rPr>
      </w:pPr>
      <w:r w:rsidRPr="008069A6">
        <w:rPr>
          <w:sz w:val="24"/>
        </w:rPr>
        <w:t xml:space="preserve">The Fund is the successful party in </w:t>
      </w:r>
      <w:r w:rsidR="00614B51" w:rsidRPr="008069A6">
        <w:rPr>
          <w:sz w:val="24"/>
        </w:rPr>
        <w:t>the appeal and in principle</w:t>
      </w:r>
      <w:r w:rsidR="000F66D2" w:rsidRPr="008069A6">
        <w:rPr>
          <w:sz w:val="24"/>
        </w:rPr>
        <w:t xml:space="preserve"> </w:t>
      </w:r>
      <w:r w:rsidR="00C26911" w:rsidRPr="008069A6">
        <w:rPr>
          <w:sz w:val="24"/>
        </w:rPr>
        <w:t xml:space="preserve">is </w:t>
      </w:r>
      <w:r w:rsidR="009C2D83" w:rsidRPr="008069A6">
        <w:rPr>
          <w:sz w:val="24"/>
        </w:rPr>
        <w:t xml:space="preserve">entitled to </w:t>
      </w:r>
      <w:r w:rsidR="00C26911" w:rsidRPr="008069A6">
        <w:rPr>
          <w:sz w:val="24"/>
        </w:rPr>
        <w:t xml:space="preserve">the </w:t>
      </w:r>
      <w:r w:rsidR="009C2D83" w:rsidRPr="008069A6">
        <w:rPr>
          <w:sz w:val="24"/>
        </w:rPr>
        <w:t xml:space="preserve">costs </w:t>
      </w:r>
      <w:r w:rsidR="00614B51" w:rsidRPr="008069A6">
        <w:rPr>
          <w:sz w:val="24"/>
        </w:rPr>
        <w:t xml:space="preserve">of the appeal as well as in the high court. </w:t>
      </w:r>
      <w:r w:rsidR="00EB0B38">
        <w:rPr>
          <w:sz w:val="24"/>
        </w:rPr>
        <w:t>However, t</w:t>
      </w:r>
      <w:r w:rsidR="00855EF0" w:rsidRPr="008069A6">
        <w:rPr>
          <w:sz w:val="24"/>
        </w:rPr>
        <w:t xml:space="preserve">his is an exceptional case </w:t>
      </w:r>
      <w:r w:rsidR="003752FE" w:rsidRPr="008069A6">
        <w:rPr>
          <w:sz w:val="24"/>
        </w:rPr>
        <w:t xml:space="preserve">where </w:t>
      </w:r>
      <w:r w:rsidR="00B40545" w:rsidRPr="008069A6">
        <w:rPr>
          <w:sz w:val="24"/>
        </w:rPr>
        <w:t xml:space="preserve">the successful party should not be </w:t>
      </w:r>
      <w:r w:rsidR="004F7EC8" w:rsidRPr="008069A6">
        <w:rPr>
          <w:sz w:val="24"/>
        </w:rPr>
        <w:t xml:space="preserve">granted costs in its favour. </w:t>
      </w:r>
      <w:r w:rsidR="00614B51" w:rsidRPr="008069A6">
        <w:rPr>
          <w:sz w:val="24"/>
        </w:rPr>
        <w:t>The dispute might hav</w:t>
      </w:r>
      <w:r w:rsidR="00B475A4" w:rsidRPr="008069A6">
        <w:rPr>
          <w:sz w:val="24"/>
        </w:rPr>
        <w:t xml:space="preserve">e taken a totally different, </w:t>
      </w:r>
      <w:r w:rsidR="00614B51" w:rsidRPr="008069A6">
        <w:rPr>
          <w:sz w:val="24"/>
        </w:rPr>
        <w:t>much more inexpensive and less time-consuming path if the Fund had taken a decision to deal with Ms Mutsila’s complaint to the Adjudicator on the merits</w:t>
      </w:r>
      <w:r w:rsidR="007709DB" w:rsidRPr="008069A6">
        <w:rPr>
          <w:sz w:val="24"/>
        </w:rPr>
        <w:t>,</w:t>
      </w:r>
      <w:r w:rsidR="00614B51" w:rsidRPr="008069A6">
        <w:rPr>
          <w:sz w:val="24"/>
        </w:rPr>
        <w:t xml:space="preserve"> instead of suggesting </w:t>
      </w:r>
      <w:r w:rsidR="007709DB" w:rsidRPr="008069A6">
        <w:rPr>
          <w:sz w:val="24"/>
        </w:rPr>
        <w:t xml:space="preserve">that the outcome of the custody application should be awaited. </w:t>
      </w:r>
      <w:r w:rsidR="00C26911" w:rsidRPr="008069A6">
        <w:rPr>
          <w:sz w:val="24"/>
        </w:rPr>
        <w:t>Conseque</w:t>
      </w:r>
      <w:r w:rsidR="00A15671" w:rsidRPr="008069A6">
        <w:rPr>
          <w:sz w:val="24"/>
        </w:rPr>
        <w:t>n</w:t>
      </w:r>
      <w:r w:rsidR="00C26911" w:rsidRPr="008069A6">
        <w:rPr>
          <w:sz w:val="24"/>
        </w:rPr>
        <w:t>tly, t</w:t>
      </w:r>
      <w:r w:rsidR="00E465F9" w:rsidRPr="008069A6">
        <w:rPr>
          <w:sz w:val="24"/>
        </w:rPr>
        <w:t>he appropriate order is that e</w:t>
      </w:r>
      <w:r w:rsidR="004F7EC8" w:rsidRPr="008069A6">
        <w:rPr>
          <w:sz w:val="24"/>
        </w:rPr>
        <w:t>ach party sh</w:t>
      </w:r>
      <w:r w:rsidR="00E465F9" w:rsidRPr="008069A6">
        <w:rPr>
          <w:sz w:val="24"/>
        </w:rPr>
        <w:t>ould</w:t>
      </w:r>
      <w:r w:rsidR="004F7EC8" w:rsidRPr="008069A6">
        <w:rPr>
          <w:sz w:val="24"/>
        </w:rPr>
        <w:t xml:space="preserve"> pay </w:t>
      </w:r>
      <w:r w:rsidR="007709DB" w:rsidRPr="008069A6">
        <w:rPr>
          <w:sz w:val="24"/>
        </w:rPr>
        <w:t>their</w:t>
      </w:r>
      <w:r w:rsidR="004F7EC8" w:rsidRPr="008069A6">
        <w:rPr>
          <w:sz w:val="24"/>
        </w:rPr>
        <w:t xml:space="preserve"> own costs </w:t>
      </w:r>
      <w:r w:rsidR="00D77E05" w:rsidRPr="008069A6">
        <w:rPr>
          <w:sz w:val="24"/>
        </w:rPr>
        <w:t xml:space="preserve">in respect of the appeal </w:t>
      </w:r>
      <w:r w:rsidR="000B22C6" w:rsidRPr="008069A6">
        <w:rPr>
          <w:sz w:val="24"/>
        </w:rPr>
        <w:t xml:space="preserve">as well as the </w:t>
      </w:r>
      <w:r w:rsidR="00682812" w:rsidRPr="008069A6">
        <w:rPr>
          <w:sz w:val="24"/>
        </w:rPr>
        <w:t xml:space="preserve">proceedings in the court of first instance </w:t>
      </w:r>
      <w:r w:rsidR="00B475A4" w:rsidRPr="008069A6">
        <w:rPr>
          <w:sz w:val="24"/>
        </w:rPr>
        <w:t>and</w:t>
      </w:r>
      <w:r w:rsidR="000053E5" w:rsidRPr="008069A6">
        <w:rPr>
          <w:sz w:val="24"/>
        </w:rPr>
        <w:t xml:space="preserve"> the full </w:t>
      </w:r>
      <w:r w:rsidR="00BE427C" w:rsidRPr="008069A6">
        <w:rPr>
          <w:sz w:val="24"/>
        </w:rPr>
        <w:t>c</w:t>
      </w:r>
      <w:r w:rsidR="000053E5" w:rsidRPr="008069A6">
        <w:rPr>
          <w:sz w:val="24"/>
        </w:rPr>
        <w:t>ourt.</w:t>
      </w:r>
      <w:r w:rsidR="006C098E" w:rsidRPr="008069A6">
        <w:rPr>
          <w:sz w:val="24"/>
        </w:rPr>
        <w:t xml:space="preserve"> </w:t>
      </w:r>
      <w:r w:rsidR="001572F4" w:rsidRPr="008069A6">
        <w:rPr>
          <w:sz w:val="24"/>
        </w:rPr>
        <w:t xml:space="preserve"> </w:t>
      </w:r>
    </w:p>
    <w:p w:rsidR="0035266D" w:rsidRPr="008069A6" w:rsidRDefault="0035266D" w:rsidP="00831608">
      <w:pPr>
        <w:ind w:right="26"/>
        <w:rPr>
          <w:sz w:val="24"/>
        </w:rPr>
      </w:pPr>
    </w:p>
    <w:p w:rsidR="0035266D" w:rsidRPr="00AE422A" w:rsidRDefault="0035266D" w:rsidP="00AE422A">
      <w:pPr>
        <w:pStyle w:val="ListParagraph"/>
        <w:ind w:left="0" w:right="26"/>
        <w:rPr>
          <w:b/>
          <w:sz w:val="24"/>
        </w:rPr>
      </w:pPr>
      <w:r w:rsidRPr="008069A6">
        <w:rPr>
          <w:b/>
          <w:sz w:val="24"/>
        </w:rPr>
        <w:t>Order</w:t>
      </w:r>
    </w:p>
    <w:p w:rsidR="0035266D" w:rsidRPr="00DE4C1A" w:rsidRDefault="0035266D" w:rsidP="00DE4C1A">
      <w:pPr>
        <w:pStyle w:val="ListParagraph"/>
        <w:numPr>
          <w:ilvl w:val="0"/>
          <w:numId w:val="1"/>
        </w:numPr>
        <w:ind w:left="0" w:right="26" w:firstLine="0"/>
        <w:rPr>
          <w:sz w:val="24"/>
        </w:rPr>
      </w:pPr>
      <w:r w:rsidRPr="009C4693">
        <w:rPr>
          <w:sz w:val="24"/>
        </w:rPr>
        <w:t>In the result, the following order is made:</w:t>
      </w:r>
    </w:p>
    <w:p w:rsidR="00892E2D" w:rsidRPr="00C4458D" w:rsidRDefault="00892E2D" w:rsidP="00C4458D">
      <w:pPr>
        <w:tabs>
          <w:tab w:val="left" w:pos="567"/>
        </w:tabs>
        <w:rPr>
          <w:sz w:val="24"/>
        </w:rPr>
      </w:pPr>
      <w:r w:rsidRPr="00C4458D">
        <w:rPr>
          <w:sz w:val="24"/>
        </w:rPr>
        <w:t>1</w:t>
      </w:r>
      <w:r w:rsidRPr="00C4458D">
        <w:rPr>
          <w:sz w:val="24"/>
        </w:rPr>
        <w:tab/>
        <w:t xml:space="preserve">The appeal is upheld, with each party to pay </w:t>
      </w:r>
      <w:r w:rsidR="00E62BDD">
        <w:rPr>
          <w:sz w:val="24"/>
        </w:rPr>
        <w:t xml:space="preserve">its </w:t>
      </w:r>
      <w:r w:rsidRPr="00C4458D">
        <w:rPr>
          <w:sz w:val="24"/>
        </w:rPr>
        <w:t>own costs.</w:t>
      </w:r>
    </w:p>
    <w:p w:rsidR="00892E2D" w:rsidRPr="00C4458D" w:rsidRDefault="00892E2D" w:rsidP="00C4458D">
      <w:pPr>
        <w:tabs>
          <w:tab w:val="left" w:pos="567"/>
        </w:tabs>
        <w:rPr>
          <w:sz w:val="24"/>
        </w:rPr>
      </w:pPr>
      <w:r w:rsidRPr="00C4458D">
        <w:rPr>
          <w:sz w:val="24"/>
        </w:rPr>
        <w:lastRenderedPageBreak/>
        <w:t>2</w:t>
      </w:r>
      <w:r w:rsidRPr="00C4458D">
        <w:rPr>
          <w:sz w:val="24"/>
        </w:rPr>
        <w:tab/>
        <w:t>The order of the full court is set aside and replaced with the following:</w:t>
      </w:r>
    </w:p>
    <w:p w:rsidR="00892E2D" w:rsidRPr="00C4458D" w:rsidRDefault="00892E2D" w:rsidP="00C4458D">
      <w:pPr>
        <w:tabs>
          <w:tab w:val="left" w:pos="567"/>
        </w:tabs>
        <w:rPr>
          <w:sz w:val="24"/>
        </w:rPr>
      </w:pPr>
      <w:r w:rsidRPr="00C4458D">
        <w:rPr>
          <w:sz w:val="24"/>
        </w:rPr>
        <w:t>‘(a)</w:t>
      </w:r>
      <w:r w:rsidRPr="00C4458D">
        <w:rPr>
          <w:sz w:val="24"/>
        </w:rPr>
        <w:tab/>
        <w:t>The appeal is upheld with each party paying its own costs;</w:t>
      </w:r>
    </w:p>
    <w:p w:rsidR="00892E2D" w:rsidRPr="00C4458D" w:rsidRDefault="00837A95" w:rsidP="00C4458D">
      <w:pPr>
        <w:tabs>
          <w:tab w:val="left" w:pos="567"/>
        </w:tabs>
        <w:rPr>
          <w:sz w:val="24"/>
        </w:rPr>
      </w:pPr>
      <w:r>
        <w:rPr>
          <w:sz w:val="24"/>
        </w:rPr>
        <w:t xml:space="preserve"> </w:t>
      </w:r>
      <w:r w:rsidR="00892E2D" w:rsidRPr="00C4458D">
        <w:rPr>
          <w:sz w:val="24"/>
        </w:rPr>
        <w:t>(b)</w:t>
      </w:r>
      <w:r w:rsidR="00892E2D" w:rsidRPr="00C4458D">
        <w:rPr>
          <w:sz w:val="24"/>
        </w:rPr>
        <w:tab/>
        <w:t>The order of the court a quo is set aside and replaced with the following:</w:t>
      </w:r>
    </w:p>
    <w:p w:rsidR="00892E2D" w:rsidRPr="00C4458D" w:rsidRDefault="00892E2D" w:rsidP="00C4458D">
      <w:pPr>
        <w:tabs>
          <w:tab w:val="left" w:pos="567"/>
        </w:tabs>
        <w:ind w:left="567"/>
        <w:rPr>
          <w:sz w:val="24"/>
        </w:rPr>
      </w:pPr>
      <w:r w:rsidRPr="00C4458D">
        <w:rPr>
          <w:sz w:val="24"/>
        </w:rPr>
        <w:t>(i) The determination of the Pension Funds Adjudicator dated 8 September 2014 is set aside.</w:t>
      </w:r>
    </w:p>
    <w:p w:rsidR="00892E2D" w:rsidRPr="00C4458D" w:rsidRDefault="00892E2D" w:rsidP="00C4458D">
      <w:pPr>
        <w:tabs>
          <w:tab w:val="left" w:pos="567"/>
        </w:tabs>
        <w:ind w:left="567"/>
        <w:rPr>
          <w:sz w:val="24"/>
        </w:rPr>
      </w:pPr>
      <w:r w:rsidRPr="00C4458D">
        <w:rPr>
          <w:sz w:val="24"/>
        </w:rPr>
        <w:t xml:space="preserve">(ii) Each party shall pay </w:t>
      </w:r>
      <w:r w:rsidR="00E62BDD">
        <w:rPr>
          <w:sz w:val="24"/>
        </w:rPr>
        <w:t>its</w:t>
      </w:r>
      <w:r w:rsidR="00E62BDD" w:rsidRPr="00C4458D">
        <w:rPr>
          <w:sz w:val="24"/>
        </w:rPr>
        <w:t xml:space="preserve"> </w:t>
      </w:r>
      <w:r w:rsidRPr="00C4458D">
        <w:rPr>
          <w:sz w:val="24"/>
        </w:rPr>
        <w:t>own costs.’</w:t>
      </w:r>
    </w:p>
    <w:p w:rsidR="004D5D6E" w:rsidRDefault="004D5D6E" w:rsidP="0035266D">
      <w:pPr>
        <w:tabs>
          <w:tab w:val="left" w:pos="567"/>
        </w:tabs>
        <w:ind w:right="26"/>
        <w:rPr>
          <w:sz w:val="24"/>
        </w:rPr>
      </w:pPr>
    </w:p>
    <w:p w:rsidR="0035266D" w:rsidRPr="00EC6AE4" w:rsidRDefault="0035266D" w:rsidP="0035266D">
      <w:pPr>
        <w:spacing w:line="240" w:lineRule="auto"/>
        <w:jc w:val="right"/>
        <w:rPr>
          <w:sz w:val="24"/>
        </w:rPr>
      </w:pPr>
      <w:r w:rsidRPr="00EC6AE4">
        <w:rPr>
          <w:sz w:val="24"/>
        </w:rPr>
        <w:t>__________________________</w:t>
      </w:r>
    </w:p>
    <w:p w:rsidR="00EC6AE4" w:rsidRPr="00EC6AE4" w:rsidRDefault="00EC6AE4" w:rsidP="0035266D">
      <w:pPr>
        <w:spacing w:line="240" w:lineRule="auto"/>
        <w:jc w:val="right"/>
        <w:rPr>
          <w:sz w:val="24"/>
        </w:rPr>
      </w:pPr>
    </w:p>
    <w:p w:rsidR="0035266D" w:rsidRPr="00EC6AE4" w:rsidRDefault="0035266D" w:rsidP="00DE4C1A">
      <w:pPr>
        <w:jc w:val="right"/>
        <w:rPr>
          <w:sz w:val="24"/>
        </w:rPr>
      </w:pPr>
      <w:r w:rsidRPr="00EC6AE4">
        <w:rPr>
          <w:sz w:val="24"/>
        </w:rPr>
        <w:t>J P DAFFUE AJA</w:t>
      </w:r>
    </w:p>
    <w:p w:rsidR="00EC6AE4" w:rsidRDefault="0035266D" w:rsidP="00097D8C">
      <w:pPr>
        <w:jc w:val="right"/>
        <w:rPr>
          <w:sz w:val="24"/>
        </w:rPr>
      </w:pPr>
      <w:r w:rsidRPr="00EC6AE4">
        <w:rPr>
          <w:sz w:val="24"/>
        </w:rPr>
        <w:t>ACTING JUDGE OF APPEAL</w:t>
      </w:r>
      <w:r w:rsidR="00EC6AE4">
        <w:rPr>
          <w:sz w:val="24"/>
        </w:rPr>
        <w:br w:type="page"/>
      </w:r>
    </w:p>
    <w:p w:rsidR="00EC6AE4" w:rsidRPr="00EC6AE4" w:rsidRDefault="00EC6AE4" w:rsidP="00DE4C1A">
      <w:pPr>
        <w:jc w:val="right"/>
        <w:rPr>
          <w:sz w:val="24"/>
        </w:rPr>
      </w:pPr>
    </w:p>
    <w:p w:rsidR="0035266D" w:rsidRPr="009C4693" w:rsidRDefault="0035266D" w:rsidP="0035266D">
      <w:pPr>
        <w:rPr>
          <w:sz w:val="24"/>
        </w:rPr>
      </w:pPr>
      <w:r w:rsidRPr="009C4693">
        <w:rPr>
          <w:sz w:val="24"/>
        </w:rPr>
        <w:t>Appearances</w:t>
      </w:r>
    </w:p>
    <w:p w:rsidR="0035266D" w:rsidRPr="009C4693" w:rsidRDefault="0035266D" w:rsidP="0035266D">
      <w:pPr>
        <w:rPr>
          <w:sz w:val="24"/>
        </w:rPr>
      </w:pPr>
    </w:p>
    <w:p w:rsidR="0035266D" w:rsidRPr="009C4693" w:rsidRDefault="00BA2CEE" w:rsidP="00DE4C1A">
      <w:pPr>
        <w:ind w:left="3686" w:hanging="3686"/>
        <w:jc w:val="left"/>
        <w:rPr>
          <w:rFonts w:eastAsiaTheme="minorHAnsi"/>
          <w:sz w:val="24"/>
          <w:lang w:val="en-ZA"/>
        </w:rPr>
      </w:pPr>
      <w:r>
        <w:rPr>
          <w:rFonts w:eastAsiaTheme="minorHAnsi"/>
          <w:sz w:val="24"/>
          <w:lang w:val="en-ZA"/>
        </w:rPr>
        <w:t>Counsel for appellant:</w:t>
      </w:r>
      <w:r>
        <w:rPr>
          <w:rFonts w:eastAsiaTheme="minorHAnsi"/>
          <w:sz w:val="24"/>
          <w:lang w:val="en-ZA"/>
        </w:rPr>
        <w:tab/>
        <w:t xml:space="preserve">R </w:t>
      </w:r>
      <w:r w:rsidR="0035266D" w:rsidRPr="009C4693">
        <w:rPr>
          <w:rFonts w:eastAsiaTheme="minorHAnsi"/>
          <w:sz w:val="24"/>
          <w:lang w:val="en-ZA"/>
        </w:rPr>
        <w:t>Shepstone</w:t>
      </w:r>
    </w:p>
    <w:p w:rsidR="0035266D" w:rsidRPr="009C4693" w:rsidRDefault="0035266D" w:rsidP="00DE4C1A">
      <w:pPr>
        <w:ind w:left="3686" w:hanging="3686"/>
        <w:jc w:val="left"/>
        <w:rPr>
          <w:rFonts w:eastAsiaTheme="minorHAnsi"/>
          <w:sz w:val="24"/>
          <w:lang w:val="en-ZA"/>
        </w:rPr>
      </w:pPr>
      <w:r w:rsidRPr="009C4693">
        <w:rPr>
          <w:rFonts w:eastAsiaTheme="minorHAnsi"/>
          <w:sz w:val="24"/>
          <w:lang w:val="en-ZA"/>
        </w:rPr>
        <w:t>Instructed by:</w:t>
      </w:r>
      <w:r w:rsidRPr="009C4693">
        <w:rPr>
          <w:rFonts w:eastAsiaTheme="minorHAnsi"/>
          <w:sz w:val="24"/>
          <w:lang w:val="en-ZA"/>
        </w:rPr>
        <w:tab/>
        <w:t>Michael Popper &amp; Associates Inc, Johannesburg</w:t>
      </w:r>
    </w:p>
    <w:p w:rsidR="0035266D" w:rsidRPr="009C4693" w:rsidRDefault="0035266D" w:rsidP="00DE4C1A">
      <w:pPr>
        <w:ind w:left="3686" w:hanging="3686"/>
        <w:jc w:val="left"/>
        <w:rPr>
          <w:rFonts w:eastAsiaTheme="minorHAnsi"/>
          <w:sz w:val="24"/>
          <w:lang w:val="en-ZA"/>
        </w:rPr>
      </w:pPr>
      <w:r w:rsidRPr="009C4693">
        <w:rPr>
          <w:rFonts w:eastAsiaTheme="minorHAnsi"/>
          <w:sz w:val="24"/>
          <w:lang w:val="en-ZA"/>
        </w:rPr>
        <w:tab/>
        <w:t>Claude Reid Attorneys, Bloemfontein</w:t>
      </w:r>
    </w:p>
    <w:p w:rsidR="0035266D" w:rsidRPr="009C4693" w:rsidRDefault="0035266D" w:rsidP="00DE4C1A">
      <w:pPr>
        <w:ind w:left="3686" w:hanging="3686"/>
        <w:jc w:val="left"/>
        <w:rPr>
          <w:rFonts w:eastAsiaTheme="minorHAnsi"/>
          <w:sz w:val="24"/>
          <w:lang w:val="en-ZA"/>
        </w:rPr>
      </w:pPr>
    </w:p>
    <w:p w:rsidR="0035266D" w:rsidRPr="009C4693" w:rsidRDefault="0035266D" w:rsidP="00DE4C1A">
      <w:pPr>
        <w:ind w:left="3686" w:hanging="3686"/>
        <w:jc w:val="left"/>
        <w:rPr>
          <w:rFonts w:eastAsiaTheme="minorHAnsi"/>
          <w:sz w:val="24"/>
          <w:lang w:val="en-ZA"/>
        </w:rPr>
      </w:pPr>
      <w:r w:rsidRPr="009C4693">
        <w:rPr>
          <w:rFonts w:eastAsiaTheme="minorHAnsi"/>
          <w:sz w:val="24"/>
          <w:lang w:val="en-ZA"/>
        </w:rPr>
        <w:t>Counsel for second respondent:</w:t>
      </w:r>
      <w:r w:rsidRPr="009C4693">
        <w:rPr>
          <w:rFonts w:eastAsiaTheme="minorHAnsi"/>
          <w:sz w:val="24"/>
          <w:lang w:val="en-ZA"/>
        </w:rPr>
        <w:tab/>
      </w:r>
      <w:r w:rsidRPr="00EA734D">
        <w:rPr>
          <w:rFonts w:eastAsiaTheme="minorHAnsi"/>
          <w:sz w:val="24"/>
          <w:lang w:val="en-ZA"/>
        </w:rPr>
        <w:t>M Mojapeolo</w:t>
      </w:r>
      <w:r w:rsidRPr="009C4693">
        <w:rPr>
          <w:rFonts w:eastAsiaTheme="minorHAnsi"/>
          <w:sz w:val="24"/>
          <w:lang w:val="en-ZA"/>
        </w:rPr>
        <w:t xml:space="preserve"> with F Thema and M Thulare </w:t>
      </w:r>
    </w:p>
    <w:p w:rsidR="0035266D" w:rsidRPr="009C4693" w:rsidRDefault="0035266D" w:rsidP="00DE4C1A">
      <w:pPr>
        <w:ind w:left="3686" w:hanging="3686"/>
        <w:jc w:val="left"/>
        <w:rPr>
          <w:rFonts w:eastAsiaTheme="minorHAnsi"/>
          <w:sz w:val="24"/>
          <w:lang w:val="en-ZA"/>
        </w:rPr>
      </w:pPr>
      <w:r w:rsidRPr="009C4693">
        <w:rPr>
          <w:rFonts w:eastAsiaTheme="minorHAnsi"/>
          <w:sz w:val="24"/>
          <w:lang w:val="en-ZA"/>
        </w:rPr>
        <w:t>Instructed by:</w:t>
      </w:r>
      <w:r w:rsidRPr="009C4693">
        <w:rPr>
          <w:rFonts w:eastAsiaTheme="minorHAnsi"/>
          <w:sz w:val="24"/>
          <w:lang w:val="en-ZA"/>
        </w:rPr>
        <w:tab/>
        <w:t>P B N Mawila Attorneys Inc, Thohoyandou</w:t>
      </w:r>
    </w:p>
    <w:p w:rsidR="00E15ABE" w:rsidRPr="009C4693" w:rsidRDefault="0035266D" w:rsidP="00DE4C1A">
      <w:pPr>
        <w:ind w:left="3686" w:hanging="3686"/>
        <w:jc w:val="left"/>
      </w:pPr>
      <w:r w:rsidRPr="009C4693">
        <w:rPr>
          <w:rFonts w:eastAsiaTheme="minorHAnsi"/>
          <w:sz w:val="24"/>
          <w:lang w:val="en-ZA"/>
        </w:rPr>
        <w:tab/>
        <w:t>Thebe Attorneys, Bloemfontein</w:t>
      </w:r>
      <w:r w:rsidR="00BE427C">
        <w:rPr>
          <w:rFonts w:eastAsiaTheme="minorHAnsi"/>
          <w:sz w:val="24"/>
          <w:lang w:val="en-ZA"/>
        </w:rPr>
        <w:t>.</w:t>
      </w:r>
    </w:p>
    <w:sectPr w:rsidR="00E15ABE" w:rsidRPr="009C4693" w:rsidSect="00F575B2">
      <w:headerReference w:type="default" r:id="rId10"/>
      <w:pgSz w:w="11906" w:h="16838"/>
      <w:pgMar w:top="1440" w:right="1440" w:bottom="1440" w:left="1440"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331" w:rsidRDefault="00A10331" w:rsidP="0035266D">
      <w:pPr>
        <w:spacing w:line="240" w:lineRule="auto"/>
      </w:pPr>
      <w:r>
        <w:separator/>
      </w:r>
    </w:p>
  </w:endnote>
  <w:endnote w:type="continuationSeparator" w:id="0">
    <w:p w:rsidR="00A10331" w:rsidRDefault="00A10331" w:rsidP="003526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331" w:rsidRDefault="00A10331" w:rsidP="0035266D">
      <w:pPr>
        <w:spacing w:line="240" w:lineRule="auto"/>
      </w:pPr>
      <w:r>
        <w:separator/>
      </w:r>
    </w:p>
  </w:footnote>
  <w:footnote w:type="continuationSeparator" w:id="0">
    <w:p w:rsidR="00A10331" w:rsidRDefault="00A10331" w:rsidP="0035266D">
      <w:pPr>
        <w:spacing w:line="240" w:lineRule="auto"/>
      </w:pPr>
      <w:r>
        <w:continuationSeparator/>
      </w:r>
    </w:p>
  </w:footnote>
  <w:footnote w:id="1">
    <w:p w:rsidR="008218D0" w:rsidRPr="00524943" w:rsidRDefault="008218D0" w:rsidP="00890D36">
      <w:pPr>
        <w:pStyle w:val="FootnoteText"/>
        <w:spacing w:line="240" w:lineRule="auto"/>
        <w:rPr>
          <w:lang w:val="en-US"/>
        </w:rPr>
      </w:pPr>
      <w:r w:rsidRPr="00524943">
        <w:rPr>
          <w:rStyle w:val="FootnoteReference"/>
        </w:rPr>
        <w:footnoteRef/>
      </w:r>
      <w:r w:rsidRPr="00524943">
        <w:t xml:space="preserve"> </w:t>
      </w:r>
      <w:r w:rsidR="0029681C" w:rsidRPr="00097D8C">
        <w:rPr>
          <w:i/>
        </w:rPr>
        <w:t>Meyer v Iscor Pension Fund</w:t>
      </w:r>
      <w:r w:rsidR="0029681C" w:rsidRPr="00524943">
        <w:t xml:space="preserve"> </w:t>
      </w:r>
      <w:r w:rsidRPr="00524943">
        <w:t xml:space="preserve">[2003] 1 All SA 40 (SCA); </w:t>
      </w:r>
      <w:r w:rsidRPr="00524943">
        <w:rPr>
          <w:lang w:val="en-US"/>
        </w:rPr>
        <w:t>2003 (2) SA 715 (SCA) para 8.</w:t>
      </w:r>
    </w:p>
  </w:footnote>
  <w:footnote w:id="2">
    <w:p w:rsidR="00EB14BD" w:rsidRPr="00A84B76" w:rsidRDefault="00EB14BD">
      <w:pPr>
        <w:pStyle w:val="FootnoteText"/>
        <w:rPr>
          <w:lang w:val="en-ZA"/>
        </w:rPr>
      </w:pPr>
      <w:r w:rsidRPr="00EA734D">
        <w:rPr>
          <w:rStyle w:val="FootnoteReference"/>
        </w:rPr>
        <w:footnoteRef/>
      </w:r>
      <w:r w:rsidRPr="00EA734D">
        <w:t xml:space="preserve"> </w:t>
      </w:r>
      <w:r w:rsidRPr="00EA734D">
        <w:rPr>
          <w:lang w:val="en-ZA"/>
        </w:rPr>
        <w:t>Ibid.</w:t>
      </w:r>
    </w:p>
  </w:footnote>
  <w:footnote w:id="3">
    <w:p w:rsidR="008218D0" w:rsidRPr="00524943" w:rsidRDefault="008218D0" w:rsidP="00890D36">
      <w:pPr>
        <w:pStyle w:val="FootnoteText"/>
        <w:spacing w:line="240" w:lineRule="auto"/>
        <w:rPr>
          <w:lang w:val="en-US"/>
        </w:rPr>
      </w:pPr>
      <w:r w:rsidRPr="00524943">
        <w:rPr>
          <w:rStyle w:val="FootnoteReference"/>
        </w:rPr>
        <w:footnoteRef/>
      </w:r>
      <w:r w:rsidRPr="00524943">
        <w:t xml:space="preserve"> </w:t>
      </w:r>
      <w:r w:rsidR="00F72281">
        <w:rPr>
          <w:lang w:val="en-US"/>
        </w:rPr>
        <w:t>I</w:t>
      </w:r>
      <w:r w:rsidRPr="00524943">
        <w:rPr>
          <w:lang w:val="en-US"/>
        </w:rPr>
        <w:t>n par</w:t>
      </w:r>
      <w:r w:rsidR="00327A83" w:rsidRPr="00EA734D">
        <w:rPr>
          <w:lang w:val="en-US"/>
        </w:rPr>
        <w:t>a</w:t>
      </w:r>
      <w:r w:rsidRPr="00524943">
        <w:rPr>
          <w:lang w:val="en-US"/>
        </w:rPr>
        <w:t xml:space="preserve"> 3 of the determination Ms Mutsila was informed that payment would be made by the Fund ‘unless proof of appeal to a higher authority such as the Pension Funds Adjudicator or otherwise has been submitted to the Fund…’</w:t>
      </w:r>
    </w:p>
  </w:footnote>
  <w:footnote w:id="4">
    <w:p w:rsidR="008218D0" w:rsidRPr="00524943" w:rsidRDefault="008218D0" w:rsidP="00890D36">
      <w:pPr>
        <w:pStyle w:val="FootnoteText"/>
        <w:spacing w:line="240" w:lineRule="auto"/>
        <w:rPr>
          <w:lang w:val="en-ZA"/>
        </w:rPr>
      </w:pPr>
      <w:r w:rsidRPr="00524943">
        <w:rPr>
          <w:rStyle w:val="FootnoteReference"/>
        </w:rPr>
        <w:footnoteRef/>
      </w:r>
      <w:r w:rsidRPr="00524943">
        <w:t xml:space="preserve"> </w:t>
      </w:r>
      <w:r w:rsidRPr="00524943">
        <w:rPr>
          <w:lang w:val="en-ZA"/>
        </w:rPr>
        <w:t>Section 19</w:t>
      </w:r>
      <w:r w:rsidRPr="00524943">
        <w:rPr>
          <w:i/>
          <w:lang w:val="en-ZA"/>
        </w:rPr>
        <w:t>(a)</w:t>
      </w:r>
      <w:r w:rsidRPr="00524943">
        <w:rPr>
          <w:lang w:val="en-ZA"/>
        </w:rPr>
        <w:t xml:space="preserve"> of the Pension Funds Amendment Act 11 of 2007.</w:t>
      </w:r>
    </w:p>
  </w:footnote>
  <w:footnote w:id="5">
    <w:p w:rsidR="008218D0" w:rsidRPr="00524943" w:rsidRDefault="008218D0" w:rsidP="00890D36">
      <w:pPr>
        <w:pStyle w:val="FootnoteText"/>
        <w:spacing w:line="240" w:lineRule="auto"/>
        <w:rPr>
          <w:lang w:val="en-US"/>
        </w:rPr>
      </w:pPr>
      <w:r w:rsidRPr="00524943">
        <w:rPr>
          <w:rStyle w:val="FootnoteReference"/>
        </w:rPr>
        <w:footnoteRef/>
      </w:r>
      <w:r w:rsidRPr="00524943">
        <w:t xml:space="preserve"> The following statements are indicative of Mr Mphafudi</w:t>
      </w:r>
      <w:r w:rsidRPr="00524943">
        <w:rPr>
          <w:lang w:val="en-US"/>
        </w:rPr>
        <w:t>’s apparent failure to properly care for his children: ‘I wish to state that this (during the December 2011 school holiday) was</w:t>
      </w:r>
      <w:r w:rsidRPr="00524943" w:rsidDel="00157A7B">
        <w:rPr>
          <w:lang w:val="en-US"/>
        </w:rPr>
        <w:t xml:space="preserve"> </w:t>
      </w:r>
      <w:r w:rsidRPr="00524943">
        <w:rPr>
          <w:lang w:val="en-US"/>
        </w:rPr>
        <w:t>the last time I stayed with my children in our family home at Seshego. My children did not return to my place after this visit.’ (para 5.11 p 159); although Mr Mphafudi stated that he continued to support his children even when they were not staying with him, he did not set out any facts in support hereof (para 5.14 p 160); clearly at all relevant times since 2011 the marital life between Ms Masete and Mr Mphafudi were in a bad state; Mr Mphafudi requested Ms Masete to bring the children back to him in January 2014, but she refused as they have been taken care of by their grandmother, Ms Betty Masete (who is mentioned in the funeral plan of the deceased) (para 5.15 p 161); finally and in response to Ms Masete’s answering affidavit, Mr Mphafudi stated in reply that: ‘(i)n as far as maintaining my children is concerned I have always been willing to maintain them but the respondent could not allow me to. I attach hereto a copy of a deposit slip of an amount</w:t>
      </w:r>
      <w:r w:rsidR="00FC3596">
        <w:rPr>
          <w:lang w:val="en-US"/>
        </w:rPr>
        <w:t xml:space="preserve"> of R</w:t>
      </w:r>
      <w:r w:rsidRPr="00524943">
        <w:rPr>
          <w:lang w:val="en-US"/>
        </w:rPr>
        <w:t xml:space="preserve">1 200 being maintenance money which I have paid into the Respondent’s bank account which I found from her answering affidavit. She has continuously refused to allow me to maintain these children and little did I know that she was eyeing the Mutsila money… I wish to clearly state that I have always wanted to maintain my children and I will continue to maintain them as long as I am allowed to do so by the respondent. (replying affidavit paras 8.2 &amp; 8.3 pp 194 &amp; 195). </w:t>
      </w:r>
      <w:r w:rsidRPr="00524943">
        <w:t>Ms Masete made it clear in her answering affidavit that Mr Mphafudi ‘has never contributed to the maintenance of the children.’ She then attached a copy of her bank statement indicating that the deceased had financially taken care of her and her children (para 8 p 178 read with the bank statements, pp 183 – 185).</w:t>
      </w:r>
    </w:p>
  </w:footnote>
  <w:footnote w:id="6">
    <w:p w:rsidR="008218D0" w:rsidRPr="00524943" w:rsidRDefault="008218D0" w:rsidP="00890D36">
      <w:pPr>
        <w:pStyle w:val="FootnoteText"/>
        <w:spacing w:line="240" w:lineRule="auto"/>
        <w:rPr>
          <w:lang w:val="en-US"/>
        </w:rPr>
      </w:pPr>
      <w:r w:rsidRPr="00524943">
        <w:rPr>
          <w:rStyle w:val="FootnoteReference"/>
        </w:rPr>
        <w:footnoteRef/>
      </w:r>
      <w:r w:rsidRPr="00524943">
        <w:t xml:space="preserve"> </w:t>
      </w:r>
      <w:r w:rsidRPr="00524943">
        <w:rPr>
          <w:lang w:val="en-US"/>
        </w:rPr>
        <w:t>Section 30D of the Act.</w:t>
      </w:r>
    </w:p>
  </w:footnote>
  <w:footnote w:id="7">
    <w:p w:rsidR="008218D0" w:rsidRPr="00524943" w:rsidRDefault="008218D0" w:rsidP="00890D36">
      <w:pPr>
        <w:pStyle w:val="FootnoteText"/>
        <w:spacing w:line="240" w:lineRule="auto"/>
        <w:rPr>
          <w:lang w:val="en-ZA"/>
        </w:rPr>
      </w:pPr>
      <w:r w:rsidRPr="00524943">
        <w:rPr>
          <w:rStyle w:val="FootnoteReference"/>
        </w:rPr>
        <w:footnoteRef/>
      </w:r>
      <w:r w:rsidRPr="00524943">
        <w:t xml:space="preserve"> </w:t>
      </w:r>
      <w:r w:rsidRPr="00524943">
        <w:rPr>
          <w:lang w:val="en-ZA"/>
        </w:rPr>
        <w:t>Section 30J of the Act.</w:t>
      </w:r>
    </w:p>
  </w:footnote>
  <w:footnote w:id="8">
    <w:p w:rsidR="008218D0" w:rsidRPr="00524943" w:rsidRDefault="008218D0" w:rsidP="00890D36">
      <w:pPr>
        <w:pStyle w:val="FootnoteText"/>
        <w:spacing w:line="240" w:lineRule="auto"/>
        <w:rPr>
          <w:lang w:val="en-ZA"/>
        </w:rPr>
      </w:pPr>
      <w:r w:rsidRPr="00524943">
        <w:rPr>
          <w:rStyle w:val="FootnoteReference"/>
        </w:rPr>
        <w:footnoteRef/>
      </w:r>
      <w:r w:rsidR="003A3E69">
        <w:rPr>
          <w:lang w:eastAsia="en-ZA"/>
        </w:rPr>
        <w:t xml:space="preserve"> </w:t>
      </w:r>
      <w:r w:rsidR="0029681C" w:rsidRPr="00097D8C">
        <w:rPr>
          <w:i/>
        </w:rPr>
        <w:t>Fundsatwork Umbrella Pension Fund v Guarnieri and Others</w:t>
      </w:r>
      <w:r w:rsidR="0029681C" w:rsidRPr="00D51320">
        <w:rPr>
          <w:lang w:eastAsia="en-ZA"/>
        </w:rPr>
        <w:t xml:space="preserve"> </w:t>
      </w:r>
      <w:r w:rsidR="00B14347" w:rsidRPr="00D51320">
        <w:rPr>
          <w:lang w:eastAsia="en-ZA"/>
        </w:rPr>
        <w:t>[2019] ZASCA 78</w:t>
      </w:r>
      <w:r w:rsidR="00B14347">
        <w:rPr>
          <w:lang w:eastAsia="en-ZA"/>
        </w:rPr>
        <w:t>;</w:t>
      </w:r>
      <w:r w:rsidR="00480FA8">
        <w:t xml:space="preserve"> </w:t>
      </w:r>
      <w:r w:rsidRPr="00524943">
        <w:t xml:space="preserve">[2019] ZASCA 78; </w:t>
      </w:r>
      <w:r w:rsidRPr="00524943">
        <w:rPr>
          <w:lang w:val="en-ZA"/>
        </w:rPr>
        <w:t>2019 (5) SA 68 (SCA).</w:t>
      </w:r>
    </w:p>
  </w:footnote>
  <w:footnote w:id="9">
    <w:p w:rsidR="008218D0" w:rsidRPr="00524943" w:rsidRDefault="008218D0" w:rsidP="00D70144">
      <w:pPr>
        <w:pStyle w:val="FootnoteText"/>
        <w:spacing w:line="240" w:lineRule="auto"/>
      </w:pPr>
      <w:r w:rsidRPr="00524943">
        <w:rPr>
          <w:rStyle w:val="FootnoteReference"/>
        </w:rPr>
        <w:footnoteRef/>
      </w:r>
      <w:r w:rsidRPr="00524943">
        <w:t xml:space="preserve"> Ibid par</w:t>
      </w:r>
      <w:r w:rsidR="003A3E69" w:rsidRPr="00097D8C">
        <w:t>a</w:t>
      </w:r>
      <w:r w:rsidRPr="00524943">
        <w:t xml:space="preserve"> 5.</w:t>
      </w:r>
    </w:p>
  </w:footnote>
  <w:footnote w:id="10">
    <w:p w:rsidR="008218D0" w:rsidRPr="00524943" w:rsidRDefault="008218D0" w:rsidP="00F1789F">
      <w:pPr>
        <w:pStyle w:val="FootnoteText"/>
        <w:spacing w:line="240" w:lineRule="auto"/>
        <w:rPr>
          <w:lang w:val="en-US"/>
        </w:rPr>
      </w:pPr>
      <w:r w:rsidRPr="00524943">
        <w:rPr>
          <w:rStyle w:val="FootnoteReference"/>
        </w:rPr>
        <w:footnoteRef/>
      </w:r>
      <w:r w:rsidRPr="00524943">
        <w:t xml:space="preserve"> </w:t>
      </w:r>
      <w:r w:rsidRPr="00524943">
        <w:rPr>
          <w:lang w:val="en-US"/>
        </w:rPr>
        <w:t>Ibid para 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34168908"/>
      <w:docPartObj>
        <w:docPartGallery w:val="Page Numbers (Top of Page)"/>
        <w:docPartUnique/>
      </w:docPartObj>
    </w:sdtPr>
    <w:sdtEndPr>
      <w:rPr>
        <w:noProof/>
      </w:rPr>
    </w:sdtEndPr>
    <w:sdtContent>
      <w:p w:rsidR="008218D0" w:rsidRPr="00435846" w:rsidRDefault="008218D0">
        <w:pPr>
          <w:pStyle w:val="Header"/>
          <w:jc w:val="right"/>
          <w:rPr>
            <w:sz w:val="24"/>
          </w:rPr>
        </w:pPr>
        <w:r w:rsidRPr="00435846">
          <w:rPr>
            <w:sz w:val="24"/>
          </w:rPr>
          <w:fldChar w:fldCharType="begin"/>
        </w:r>
        <w:r w:rsidRPr="00435846">
          <w:rPr>
            <w:sz w:val="24"/>
          </w:rPr>
          <w:instrText xml:space="preserve"> PAGE   \* MERGEFORMAT </w:instrText>
        </w:r>
        <w:r w:rsidRPr="00435846">
          <w:rPr>
            <w:sz w:val="24"/>
          </w:rPr>
          <w:fldChar w:fldCharType="separate"/>
        </w:r>
        <w:r w:rsidR="0053391E">
          <w:rPr>
            <w:noProof/>
            <w:sz w:val="24"/>
          </w:rPr>
          <w:t>17</w:t>
        </w:r>
        <w:r w:rsidRPr="00435846">
          <w:rPr>
            <w:noProof/>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121B74"/>
    <w:multiLevelType w:val="hybridMultilevel"/>
    <w:tmpl w:val="D4A0B2FA"/>
    <w:lvl w:ilvl="0" w:tplc="293C66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4F277AC"/>
    <w:multiLevelType w:val="hybridMultilevel"/>
    <w:tmpl w:val="8F6EF51E"/>
    <w:lvl w:ilvl="0" w:tplc="293C66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4E53DAE"/>
    <w:multiLevelType w:val="hybridMultilevel"/>
    <w:tmpl w:val="53F0B35E"/>
    <w:lvl w:ilvl="0" w:tplc="D4C64D84">
      <w:start w:val="9"/>
      <w:numFmt w:val="lowerLetter"/>
      <w:lvlText w:val="(%1)"/>
      <w:lvlJc w:val="left"/>
      <w:pPr>
        <w:ind w:left="1068" w:hanging="70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CC52B0B"/>
    <w:multiLevelType w:val="hybridMultilevel"/>
    <w:tmpl w:val="C12AF8BA"/>
    <w:lvl w:ilvl="0" w:tplc="CB82D5A2">
      <w:start w:val="1"/>
      <w:numFmt w:val="decimal"/>
      <w:lvlText w:val="[%1]"/>
      <w:lvlJc w:val="left"/>
      <w:pPr>
        <w:ind w:left="786" w:hanging="360"/>
      </w:pPr>
      <w:rPr>
        <w:rFonts w:hint="default"/>
        <w:b w:val="0"/>
        <w:color w:val="auto"/>
        <w:sz w:val="24"/>
        <w:szCs w:val="24"/>
      </w:rPr>
    </w:lvl>
    <w:lvl w:ilvl="1" w:tplc="293C6650">
      <w:start w:val="1"/>
      <w:numFmt w:val="lowerLetter"/>
      <w:lvlText w:val="(%2)"/>
      <w:lvlJc w:val="left"/>
      <w:pPr>
        <w:ind w:left="1644" w:hanging="564"/>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9785CED"/>
    <w:multiLevelType w:val="hybridMultilevel"/>
    <w:tmpl w:val="6B041B1A"/>
    <w:lvl w:ilvl="0" w:tplc="B546C50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66D"/>
    <w:rsid w:val="00001792"/>
    <w:rsid w:val="000053E5"/>
    <w:rsid w:val="00006704"/>
    <w:rsid w:val="00007986"/>
    <w:rsid w:val="000144A7"/>
    <w:rsid w:val="00015882"/>
    <w:rsid w:val="00020555"/>
    <w:rsid w:val="00023DA6"/>
    <w:rsid w:val="00026333"/>
    <w:rsid w:val="0002705D"/>
    <w:rsid w:val="00030006"/>
    <w:rsid w:val="00031E20"/>
    <w:rsid w:val="00035493"/>
    <w:rsid w:val="0003559B"/>
    <w:rsid w:val="0005162B"/>
    <w:rsid w:val="0005221A"/>
    <w:rsid w:val="00055E86"/>
    <w:rsid w:val="000578B9"/>
    <w:rsid w:val="00065683"/>
    <w:rsid w:val="000701E4"/>
    <w:rsid w:val="000748E3"/>
    <w:rsid w:val="00074BAD"/>
    <w:rsid w:val="00080664"/>
    <w:rsid w:val="00080DB1"/>
    <w:rsid w:val="00081DC4"/>
    <w:rsid w:val="000824B0"/>
    <w:rsid w:val="00083D62"/>
    <w:rsid w:val="00084827"/>
    <w:rsid w:val="000853EE"/>
    <w:rsid w:val="000905B1"/>
    <w:rsid w:val="00091A8A"/>
    <w:rsid w:val="00091F59"/>
    <w:rsid w:val="00093088"/>
    <w:rsid w:val="00096823"/>
    <w:rsid w:val="00097D8C"/>
    <w:rsid w:val="000A0D0B"/>
    <w:rsid w:val="000A1A4A"/>
    <w:rsid w:val="000A1B65"/>
    <w:rsid w:val="000A5B23"/>
    <w:rsid w:val="000A61A4"/>
    <w:rsid w:val="000A6742"/>
    <w:rsid w:val="000A681B"/>
    <w:rsid w:val="000A7DC1"/>
    <w:rsid w:val="000B0653"/>
    <w:rsid w:val="000B0E06"/>
    <w:rsid w:val="000B1D8E"/>
    <w:rsid w:val="000B22C6"/>
    <w:rsid w:val="000B5320"/>
    <w:rsid w:val="000B541B"/>
    <w:rsid w:val="000B5695"/>
    <w:rsid w:val="000B579B"/>
    <w:rsid w:val="000B6CC9"/>
    <w:rsid w:val="000C33F7"/>
    <w:rsid w:val="000C4FD6"/>
    <w:rsid w:val="000D5044"/>
    <w:rsid w:val="000D5E2C"/>
    <w:rsid w:val="000D7710"/>
    <w:rsid w:val="000D7B1A"/>
    <w:rsid w:val="000E1FE9"/>
    <w:rsid w:val="000E3324"/>
    <w:rsid w:val="000E4444"/>
    <w:rsid w:val="000E55B7"/>
    <w:rsid w:val="000E5B08"/>
    <w:rsid w:val="000E7CDB"/>
    <w:rsid w:val="000F07EF"/>
    <w:rsid w:val="000F23CA"/>
    <w:rsid w:val="000F2A3F"/>
    <w:rsid w:val="000F4BA8"/>
    <w:rsid w:val="000F66D2"/>
    <w:rsid w:val="00100334"/>
    <w:rsid w:val="0011331A"/>
    <w:rsid w:val="00116C0B"/>
    <w:rsid w:val="0012093C"/>
    <w:rsid w:val="00121660"/>
    <w:rsid w:val="00123A80"/>
    <w:rsid w:val="00126A68"/>
    <w:rsid w:val="00127040"/>
    <w:rsid w:val="0013390C"/>
    <w:rsid w:val="001345FA"/>
    <w:rsid w:val="001354DD"/>
    <w:rsid w:val="00136D35"/>
    <w:rsid w:val="00143DD5"/>
    <w:rsid w:val="001570AA"/>
    <w:rsid w:val="001572F4"/>
    <w:rsid w:val="001575EC"/>
    <w:rsid w:val="00157A7B"/>
    <w:rsid w:val="00171FD6"/>
    <w:rsid w:val="00175CD9"/>
    <w:rsid w:val="00175D50"/>
    <w:rsid w:val="001763A9"/>
    <w:rsid w:val="00177502"/>
    <w:rsid w:val="00180EF3"/>
    <w:rsid w:val="00183C0D"/>
    <w:rsid w:val="00184F35"/>
    <w:rsid w:val="00185950"/>
    <w:rsid w:val="001927FB"/>
    <w:rsid w:val="00193946"/>
    <w:rsid w:val="0019405E"/>
    <w:rsid w:val="0019561C"/>
    <w:rsid w:val="00197CBC"/>
    <w:rsid w:val="001A09A8"/>
    <w:rsid w:val="001A17A5"/>
    <w:rsid w:val="001A3597"/>
    <w:rsid w:val="001A3A70"/>
    <w:rsid w:val="001A3E21"/>
    <w:rsid w:val="001B2A57"/>
    <w:rsid w:val="001B3F78"/>
    <w:rsid w:val="001B426A"/>
    <w:rsid w:val="001B7372"/>
    <w:rsid w:val="001C2350"/>
    <w:rsid w:val="001C5D0B"/>
    <w:rsid w:val="001C7F25"/>
    <w:rsid w:val="001D15DF"/>
    <w:rsid w:val="001D2E8C"/>
    <w:rsid w:val="001D58FF"/>
    <w:rsid w:val="001D5F93"/>
    <w:rsid w:val="001E075B"/>
    <w:rsid w:val="001E2C04"/>
    <w:rsid w:val="001E3422"/>
    <w:rsid w:val="001E7283"/>
    <w:rsid w:val="001E77A9"/>
    <w:rsid w:val="001F219C"/>
    <w:rsid w:val="001F59B1"/>
    <w:rsid w:val="001F7835"/>
    <w:rsid w:val="00200A40"/>
    <w:rsid w:val="00201CDF"/>
    <w:rsid w:val="00203665"/>
    <w:rsid w:val="00203896"/>
    <w:rsid w:val="002049FB"/>
    <w:rsid w:val="00212C6B"/>
    <w:rsid w:val="002144E2"/>
    <w:rsid w:val="002154F3"/>
    <w:rsid w:val="00216828"/>
    <w:rsid w:val="002225A9"/>
    <w:rsid w:val="00232E2B"/>
    <w:rsid w:val="00234430"/>
    <w:rsid w:val="0024069B"/>
    <w:rsid w:val="00244881"/>
    <w:rsid w:val="00245102"/>
    <w:rsid w:val="002500F1"/>
    <w:rsid w:val="0025246B"/>
    <w:rsid w:val="002543AE"/>
    <w:rsid w:val="00256541"/>
    <w:rsid w:val="002602B0"/>
    <w:rsid w:val="00260A94"/>
    <w:rsid w:val="00274536"/>
    <w:rsid w:val="00275DD5"/>
    <w:rsid w:val="0027793B"/>
    <w:rsid w:val="00281A6F"/>
    <w:rsid w:val="00281E67"/>
    <w:rsid w:val="00282204"/>
    <w:rsid w:val="00283842"/>
    <w:rsid w:val="002840B4"/>
    <w:rsid w:val="00287644"/>
    <w:rsid w:val="002967DF"/>
    <w:rsid w:val="0029681C"/>
    <w:rsid w:val="0029768C"/>
    <w:rsid w:val="00297E61"/>
    <w:rsid w:val="002A191A"/>
    <w:rsid w:val="002A1D4A"/>
    <w:rsid w:val="002A2F8F"/>
    <w:rsid w:val="002A3809"/>
    <w:rsid w:val="002A4AB0"/>
    <w:rsid w:val="002A5648"/>
    <w:rsid w:val="002A6CF6"/>
    <w:rsid w:val="002B3856"/>
    <w:rsid w:val="002B3EFF"/>
    <w:rsid w:val="002C04CC"/>
    <w:rsid w:val="002C2B3E"/>
    <w:rsid w:val="002C3715"/>
    <w:rsid w:val="002D5A64"/>
    <w:rsid w:val="002D6444"/>
    <w:rsid w:val="002E04F9"/>
    <w:rsid w:val="002E1341"/>
    <w:rsid w:val="002E619C"/>
    <w:rsid w:val="002F3A63"/>
    <w:rsid w:val="002F3D8C"/>
    <w:rsid w:val="002F5CC6"/>
    <w:rsid w:val="002F673F"/>
    <w:rsid w:val="002F70A1"/>
    <w:rsid w:val="00304981"/>
    <w:rsid w:val="00306470"/>
    <w:rsid w:val="00307BBF"/>
    <w:rsid w:val="00307D32"/>
    <w:rsid w:val="00311C01"/>
    <w:rsid w:val="00312064"/>
    <w:rsid w:val="00314C7E"/>
    <w:rsid w:val="003162E3"/>
    <w:rsid w:val="00316CDA"/>
    <w:rsid w:val="003253FE"/>
    <w:rsid w:val="003257AA"/>
    <w:rsid w:val="00327A83"/>
    <w:rsid w:val="0033053E"/>
    <w:rsid w:val="003309BB"/>
    <w:rsid w:val="00330CD8"/>
    <w:rsid w:val="003317ED"/>
    <w:rsid w:val="003321C9"/>
    <w:rsid w:val="00333BD4"/>
    <w:rsid w:val="00333CD0"/>
    <w:rsid w:val="00335E5F"/>
    <w:rsid w:val="00337D5B"/>
    <w:rsid w:val="0034389E"/>
    <w:rsid w:val="003479BA"/>
    <w:rsid w:val="00350AA5"/>
    <w:rsid w:val="0035266D"/>
    <w:rsid w:val="003619BD"/>
    <w:rsid w:val="00362BD6"/>
    <w:rsid w:val="00366B3A"/>
    <w:rsid w:val="003752FE"/>
    <w:rsid w:val="003778EA"/>
    <w:rsid w:val="00383B55"/>
    <w:rsid w:val="00384254"/>
    <w:rsid w:val="003861B7"/>
    <w:rsid w:val="003921AE"/>
    <w:rsid w:val="003940C6"/>
    <w:rsid w:val="003A3E69"/>
    <w:rsid w:val="003A61F0"/>
    <w:rsid w:val="003A6690"/>
    <w:rsid w:val="003B04C3"/>
    <w:rsid w:val="003B0575"/>
    <w:rsid w:val="003B0CF5"/>
    <w:rsid w:val="003B3772"/>
    <w:rsid w:val="003B4A65"/>
    <w:rsid w:val="003B4F8D"/>
    <w:rsid w:val="003B7321"/>
    <w:rsid w:val="003C2A26"/>
    <w:rsid w:val="003C2ECC"/>
    <w:rsid w:val="003C3CDC"/>
    <w:rsid w:val="003D0B96"/>
    <w:rsid w:val="003D4607"/>
    <w:rsid w:val="003D49CF"/>
    <w:rsid w:val="003D52BE"/>
    <w:rsid w:val="003D7131"/>
    <w:rsid w:val="003E49AF"/>
    <w:rsid w:val="003E5C07"/>
    <w:rsid w:val="003E637A"/>
    <w:rsid w:val="003E77C3"/>
    <w:rsid w:val="003E7E7F"/>
    <w:rsid w:val="003F0AA3"/>
    <w:rsid w:val="003F3314"/>
    <w:rsid w:val="003F42AE"/>
    <w:rsid w:val="003F7F73"/>
    <w:rsid w:val="00400C21"/>
    <w:rsid w:val="004010C5"/>
    <w:rsid w:val="004130AB"/>
    <w:rsid w:val="00416F98"/>
    <w:rsid w:val="004175A4"/>
    <w:rsid w:val="00417B00"/>
    <w:rsid w:val="00420748"/>
    <w:rsid w:val="00420EEA"/>
    <w:rsid w:val="00425DC8"/>
    <w:rsid w:val="004310B0"/>
    <w:rsid w:val="00432EC1"/>
    <w:rsid w:val="004350BC"/>
    <w:rsid w:val="00435846"/>
    <w:rsid w:val="00444292"/>
    <w:rsid w:val="004533E9"/>
    <w:rsid w:val="004579BF"/>
    <w:rsid w:val="00470412"/>
    <w:rsid w:val="004719C1"/>
    <w:rsid w:val="00476747"/>
    <w:rsid w:val="00480FA8"/>
    <w:rsid w:val="004831E7"/>
    <w:rsid w:val="0049236A"/>
    <w:rsid w:val="00496E90"/>
    <w:rsid w:val="004A2D23"/>
    <w:rsid w:val="004A4D6A"/>
    <w:rsid w:val="004A61EB"/>
    <w:rsid w:val="004A7D58"/>
    <w:rsid w:val="004B0544"/>
    <w:rsid w:val="004B36A8"/>
    <w:rsid w:val="004B3D01"/>
    <w:rsid w:val="004B5CA1"/>
    <w:rsid w:val="004B5F35"/>
    <w:rsid w:val="004B6C34"/>
    <w:rsid w:val="004C2C59"/>
    <w:rsid w:val="004C3E0E"/>
    <w:rsid w:val="004C428E"/>
    <w:rsid w:val="004C6788"/>
    <w:rsid w:val="004D4339"/>
    <w:rsid w:val="004D5D6E"/>
    <w:rsid w:val="004E0D02"/>
    <w:rsid w:val="004E2011"/>
    <w:rsid w:val="004E5747"/>
    <w:rsid w:val="004F0376"/>
    <w:rsid w:val="004F0D3A"/>
    <w:rsid w:val="004F250D"/>
    <w:rsid w:val="004F38F9"/>
    <w:rsid w:val="004F4698"/>
    <w:rsid w:val="004F590D"/>
    <w:rsid w:val="004F7AF0"/>
    <w:rsid w:val="004F7EC8"/>
    <w:rsid w:val="00500659"/>
    <w:rsid w:val="005009A8"/>
    <w:rsid w:val="0050143A"/>
    <w:rsid w:val="00502E8D"/>
    <w:rsid w:val="00503FC0"/>
    <w:rsid w:val="00510003"/>
    <w:rsid w:val="00514343"/>
    <w:rsid w:val="005144B7"/>
    <w:rsid w:val="00524943"/>
    <w:rsid w:val="005274E1"/>
    <w:rsid w:val="0053391E"/>
    <w:rsid w:val="00535E2A"/>
    <w:rsid w:val="005362A7"/>
    <w:rsid w:val="00542255"/>
    <w:rsid w:val="0054415D"/>
    <w:rsid w:val="0054517D"/>
    <w:rsid w:val="005456F0"/>
    <w:rsid w:val="005472AE"/>
    <w:rsid w:val="00547DAF"/>
    <w:rsid w:val="0055663A"/>
    <w:rsid w:val="00557ABF"/>
    <w:rsid w:val="00557C16"/>
    <w:rsid w:val="0056513F"/>
    <w:rsid w:val="0056734D"/>
    <w:rsid w:val="0057221F"/>
    <w:rsid w:val="00572258"/>
    <w:rsid w:val="00574775"/>
    <w:rsid w:val="00574A4A"/>
    <w:rsid w:val="0057740C"/>
    <w:rsid w:val="00580C07"/>
    <w:rsid w:val="00583668"/>
    <w:rsid w:val="00585FAB"/>
    <w:rsid w:val="00587250"/>
    <w:rsid w:val="0059143F"/>
    <w:rsid w:val="00594697"/>
    <w:rsid w:val="005969CA"/>
    <w:rsid w:val="005A1305"/>
    <w:rsid w:val="005A2F49"/>
    <w:rsid w:val="005B64A0"/>
    <w:rsid w:val="005C47AC"/>
    <w:rsid w:val="005D4A6E"/>
    <w:rsid w:val="005D4AD8"/>
    <w:rsid w:val="005E2B5E"/>
    <w:rsid w:val="005E2D8F"/>
    <w:rsid w:val="005E2DF1"/>
    <w:rsid w:val="005E603B"/>
    <w:rsid w:val="006009F3"/>
    <w:rsid w:val="00605FAE"/>
    <w:rsid w:val="00610DCA"/>
    <w:rsid w:val="006114CA"/>
    <w:rsid w:val="00614B51"/>
    <w:rsid w:val="00615C8F"/>
    <w:rsid w:val="00616758"/>
    <w:rsid w:val="00616D6B"/>
    <w:rsid w:val="00620008"/>
    <w:rsid w:val="00620365"/>
    <w:rsid w:val="00626994"/>
    <w:rsid w:val="00627DCB"/>
    <w:rsid w:val="00634A11"/>
    <w:rsid w:val="00635FDA"/>
    <w:rsid w:val="00636266"/>
    <w:rsid w:val="00640399"/>
    <w:rsid w:val="00640881"/>
    <w:rsid w:val="00643EF2"/>
    <w:rsid w:val="006525A2"/>
    <w:rsid w:val="00655362"/>
    <w:rsid w:val="00655969"/>
    <w:rsid w:val="00662740"/>
    <w:rsid w:val="00663ED4"/>
    <w:rsid w:val="00673913"/>
    <w:rsid w:val="00674D13"/>
    <w:rsid w:val="006813E2"/>
    <w:rsid w:val="00681ABB"/>
    <w:rsid w:val="00681B1F"/>
    <w:rsid w:val="00681FDC"/>
    <w:rsid w:val="00682812"/>
    <w:rsid w:val="0068402C"/>
    <w:rsid w:val="00691626"/>
    <w:rsid w:val="00692EC1"/>
    <w:rsid w:val="006937C9"/>
    <w:rsid w:val="00694574"/>
    <w:rsid w:val="00694699"/>
    <w:rsid w:val="006A5E75"/>
    <w:rsid w:val="006A7409"/>
    <w:rsid w:val="006A75AF"/>
    <w:rsid w:val="006B2350"/>
    <w:rsid w:val="006B58C5"/>
    <w:rsid w:val="006B667F"/>
    <w:rsid w:val="006B6C9D"/>
    <w:rsid w:val="006C098E"/>
    <w:rsid w:val="006C1AB6"/>
    <w:rsid w:val="006C2343"/>
    <w:rsid w:val="006D4120"/>
    <w:rsid w:val="006D5BCF"/>
    <w:rsid w:val="006E07A6"/>
    <w:rsid w:val="006E258F"/>
    <w:rsid w:val="006E3C15"/>
    <w:rsid w:val="006E43E7"/>
    <w:rsid w:val="006E46AD"/>
    <w:rsid w:val="006E76C4"/>
    <w:rsid w:val="006F0B2B"/>
    <w:rsid w:val="006F20CE"/>
    <w:rsid w:val="006F688C"/>
    <w:rsid w:val="00702E0B"/>
    <w:rsid w:val="00711BA1"/>
    <w:rsid w:val="00717C80"/>
    <w:rsid w:val="007210E1"/>
    <w:rsid w:val="007259E1"/>
    <w:rsid w:val="007322C9"/>
    <w:rsid w:val="007346C4"/>
    <w:rsid w:val="007347BF"/>
    <w:rsid w:val="00734E1A"/>
    <w:rsid w:val="0074035B"/>
    <w:rsid w:val="00745E3A"/>
    <w:rsid w:val="00747718"/>
    <w:rsid w:val="007543E1"/>
    <w:rsid w:val="00755924"/>
    <w:rsid w:val="00757FD2"/>
    <w:rsid w:val="007641D2"/>
    <w:rsid w:val="00765455"/>
    <w:rsid w:val="00766E24"/>
    <w:rsid w:val="007709DB"/>
    <w:rsid w:val="0077255D"/>
    <w:rsid w:val="00774689"/>
    <w:rsid w:val="00776DF3"/>
    <w:rsid w:val="00777B94"/>
    <w:rsid w:val="00780392"/>
    <w:rsid w:val="00780E87"/>
    <w:rsid w:val="0078175C"/>
    <w:rsid w:val="00781BFC"/>
    <w:rsid w:val="00784F4E"/>
    <w:rsid w:val="0078579F"/>
    <w:rsid w:val="00785844"/>
    <w:rsid w:val="0078650E"/>
    <w:rsid w:val="0079020C"/>
    <w:rsid w:val="007904E1"/>
    <w:rsid w:val="00791CB3"/>
    <w:rsid w:val="007A1B6A"/>
    <w:rsid w:val="007A3358"/>
    <w:rsid w:val="007A39FC"/>
    <w:rsid w:val="007A4996"/>
    <w:rsid w:val="007A6939"/>
    <w:rsid w:val="007B0D80"/>
    <w:rsid w:val="007B247D"/>
    <w:rsid w:val="007C1F9F"/>
    <w:rsid w:val="007D2122"/>
    <w:rsid w:val="007D28F3"/>
    <w:rsid w:val="007D484B"/>
    <w:rsid w:val="007D4DFE"/>
    <w:rsid w:val="007D5747"/>
    <w:rsid w:val="007D7153"/>
    <w:rsid w:val="007D71CA"/>
    <w:rsid w:val="007F2FE1"/>
    <w:rsid w:val="007F3A6E"/>
    <w:rsid w:val="007F3B46"/>
    <w:rsid w:val="007F3DF4"/>
    <w:rsid w:val="007F70E6"/>
    <w:rsid w:val="0080156E"/>
    <w:rsid w:val="00804E32"/>
    <w:rsid w:val="00805CC1"/>
    <w:rsid w:val="008069A6"/>
    <w:rsid w:val="00811F59"/>
    <w:rsid w:val="0081252B"/>
    <w:rsid w:val="008125DF"/>
    <w:rsid w:val="00815140"/>
    <w:rsid w:val="00815563"/>
    <w:rsid w:val="0081784C"/>
    <w:rsid w:val="00817C89"/>
    <w:rsid w:val="008218D0"/>
    <w:rsid w:val="0082216A"/>
    <w:rsid w:val="00831608"/>
    <w:rsid w:val="00832AE6"/>
    <w:rsid w:val="008339AA"/>
    <w:rsid w:val="008375B8"/>
    <w:rsid w:val="00837A95"/>
    <w:rsid w:val="008434E1"/>
    <w:rsid w:val="00843A7A"/>
    <w:rsid w:val="008471BC"/>
    <w:rsid w:val="00847A2C"/>
    <w:rsid w:val="00851F73"/>
    <w:rsid w:val="00855EF0"/>
    <w:rsid w:val="00856466"/>
    <w:rsid w:val="0086257A"/>
    <w:rsid w:val="00862F71"/>
    <w:rsid w:val="00866DA7"/>
    <w:rsid w:val="0086787D"/>
    <w:rsid w:val="00867A2A"/>
    <w:rsid w:val="008729A9"/>
    <w:rsid w:val="00876EB7"/>
    <w:rsid w:val="00881AB7"/>
    <w:rsid w:val="00882B29"/>
    <w:rsid w:val="00882F64"/>
    <w:rsid w:val="00885900"/>
    <w:rsid w:val="00887D4D"/>
    <w:rsid w:val="008900FE"/>
    <w:rsid w:val="00890548"/>
    <w:rsid w:val="00890D36"/>
    <w:rsid w:val="00892E2D"/>
    <w:rsid w:val="00892F37"/>
    <w:rsid w:val="008937B1"/>
    <w:rsid w:val="008937C9"/>
    <w:rsid w:val="0089555E"/>
    <w:rsid w:val="00896492"/>
    <w:rsid w:val="008A24CE"/>
    <w:rsid w:val="008A2694"/>
    <w:rsid w:val="008A620C"/>
    <w:rsid w:val="008A7B98"/>
    <w:rsid w:val="008B023A"/>
    <w:rsid w:val="008B21E8"/>
    <w:rsid w:val="008B2C24"/>
    <w:rsid w:val="008B4020"/>
    <w:rsid w:val="008B5DA9"/>
    <w:rsid w:val="008C0EB4"/>
    <w:rsid w:val="008C3E33"/>
    <w:rsid w:val="008C45D0"/>
    <w:rsid w:val="008C6F92"/>
    <w:rsid w:val="008D5869"/>
    <w:rsid w:val="008D6509"/>
    <w:rsid w:val="008D6AEA"/>
    <w:rsid w:val="008E0C84"/>
    <w:rsid w:val="008E10D0"/>
    <w:rsid w:val="008E1A2D"/>
    <w:rsid w:val="008E4C22"/>
    <w:rsid w:val="008E73DF"/>
    <w:rsid w:val="008F2E3E"/>
    <w:rsid w:val="008F448B"/>
    <w:rsid w:val="008F5434"/>
    <w:rsid w:val="008F70D3"/>
    <w:rsid w:val="00900A0A"/>
    <w:rsid w:val="00901033"/>
    <w:rsid w:val="00910D21"/>
    <w:rsid w:val="009119C2"/>
    <w:rsid w:val="009138F3"/>
    <w:rsid w:val="0091575F"/>
    <w:rsid w:val="009163FE"/>
    <w:rsid w:val="00920170"/>
    <w:rsid w:val="00926091"/>
    <w:rsid w:val="00933732"/>
    <w:rsid w:val="00934443"/>
    <w:rsid w:val="0093698E"/>
    <w:rsid w:val="00937FBB"/>
    <w:rsid w:val="0094116A"/>
    <w:rsid w:val="009441CA"/>
    <w:rsid w:val="00945025"/>
    <w:rsid w:val="00945C5F"/>
    <w:rsid w:val="009460F0"/>
    <w:rsid w:val="0095451F"/>
    <w:rsid w:val="00955E99"/>
    <w:rsid w:val="00956387"/>
    <w:rsid w:val="00956CB3"/>
    <w:rsid w:val="00957F5E"/>
    <w:rsid w:val="00960EE9"/>
    <w:rsid w:val="009612CB"/>
    <w:rsid w:val="0096647F"/>
    <w:rsid w:val="00966CEE"/>
    <w:rsid w:val="0096765F"/>
    <w:rsid w:val="009735BA"/>
    <w:rsid w:val="009735F5"/>
    <w:rsid w:val="00975CCF"/>
    <w:rsid w:val="0097675F"/>
    <w:rsid w:val="00981CCD"/>
    <w:rsid w:val="00983B59"/>
    <w:rsid w:val="00986DE9"/>
    <w:rsid w:val="009964C2"/>
    <w:rsid w:val="0099777F"/>
    <w:rsid w:val="009A01F6"/>
    <w:rsid w:val="009A1859"/>
    <w:rsid w:val="009A2880"/>
    <w:rsid w:val="009A3B45"/>
    <w:rsid w:val="009B0091"/>
    <w:rsid w:val="009B475C"/>
    <w:rsid w:val="009B7FF8"/>
    <w:rsid w:val="009C00AE"/>
    <w:rsid w:val="009C1FD4"/>
    <w:rsid w:val="009C2D83"/>
    <w:rsid w:val="009C4693"/>
    <w:rsid w:val="009C5638"/>
    <w:rsid w:val="009C61D1"/>
    <w:rsid w:val="009C62D4"/>
    <w:rsid w:val="009C6751"/>
    <w:rsid w:val="009D450C"/>
    <w:rsid w:val="009D63D6"/>
    <w:rsid w:val="009E0862"/>
    <w:rsid w:val="009E3604"/>
    <w:rsid w:val="009F09A4"/>
    <w:rsid w:val="009F0DD3"/>
    <w:rsid w:val="009F29EA"/>
    <w:rsid w:val="009F6FB7"/>
    <w:rsid w:val="009F79F8"/>
    <w:rsid w:val="00A04FDB"/>
    <w:rsid w:val="00A054FB"/>
    <w:rsid w:val="00A06329"/>
    <w:rsid w:val="00A10331"/>
    <w:rsid w:val="00A14289"/>
    <w:rsid w:val="00A15671"/>
    <w:rsid w:val="00A22AE5"/>
    <w:rsid w:val="00A24D18"/>
    <w:rsid w:val="00A30D50"/>
    <w:rsid w:val="00A40EA2"/>
    <w:rsid w:val="00A41688"/>
    <w:rsid w:val="00A44658"/>
    <w:rsid w:val="00A44AD5"/>
    <w:rsid w:val="00A46989"/>
    <w:rsid w:val="00A46F66"/>
    <w:rsid w:val="00A50D56"/>
    <w:rsid w:val="00A5106C"/>
    <w:rsid w:val="00A53374"/>
    <w:rsid w:val="00A544FC"/>
    <w:rsid w:val="00A5519D"/>
    <w:rsid w:val="00A611FF"/>
    <w:rsid w:val="00A65DC4"/>
    <w:rsid w:val="00A66BD8"/>
    <w:rsid w:val="00A71562"/>
    <w:rsid w:val="00A73DCC"/>
    <w:rsid w:val="00A77150"/>
    <w:rsid w:val="00A842E7"/>
    <w:rsid w:val="00A84936"/>
    <w:rsid w:val="00A84B76"/>
    <w:rsid w:val="00A85A6B"/>
    <w:rsid w:val="00A90F68"/>
    <w:rsid w:val="00A924FC"/>
    <w:rsid w:val="00A93927"/>
    <w:rsid w:val="00A93A36"/>
    <w:rsid w:val="00AA7825"/>
    <w:rsid w:val="00AC54BD"/>
    <w:rsid w:val="00AC571C"/>
    <w:rsid w:val="00AC5C62"/>
    <w:rsid w:val="00AD04DF"/>
    <w:rsid w:val="00AD0F2A"/>
    <w:rsid w:val="00AD5C5B"/>
    <w:rsid w:val="00AD7D5F"/>
    <w:rsid w:val="00AE28E6"/>
    <w:rsid w:val="00AE29C7"/>
    <w:rsid w:val="00AE422A"/>
    <w:rsid w:val="00AE5F0C"/>
    <w:rsid w:val="00B003AC"/>
    <w:rsid w:val="00B007A3"/>
    <w:rsid w:val="00B01CC5"/>
    <w:rsid w:val="00B027C0"/>
    <w:rsid w:val="00B036DE"/>
    <w:rsid w:val="00B0452A"/>
    <w:rsid w:val="00B05927"/>
    <w:rsid w:val="00B06BBF"/>
    <w:rsid w:val="00B13748"/>
    <w:rsid w:val="00B14347"/>
    <w:rsid w:val="00B17937"/>
    <w:rsid w:val="00B17FBC"/>
    <w:rsid w:val="00B214AB"/>
    <w:rsid w:val="00B23007"/>
    <w:rsid w:val="00B24BCE"/>
    <w:rsid w:val="00B2509B"/>
    <w:rsid w:val="00B34187"/>
    <w:rsid w:val="00B37C57"/>
    <w:rsid w:val="00B40545"/>
    <w:rsid w:val="00B40B64"/>
    <w:rsid w:val="00B4257A"/>
    <w:rsid w:val="00B434FA"/>
    <w:rsid w:val="00B45591"/>
    <w:rsid w:val="00B46028"/>
    <w:rsid w:val="00B475A4"/>
    <w:rsid w:val="00B50A3B"/>
    <w:rsid w:val="00B5531D"/>
    <w:rsid w:val="00B6038C"/>
    <w:rsid w:val="00B67CA5"/>
    <w:rsid w:val="00B72534"/>
    <w:rsid w:val="00B73D25"/>
    <w:rsid w:val="00B7484B"/>
    <w:rsid w:val="00B74FD2"/>
    <w:rsid w:val="00B75E2A"/>
    <w:rsid w:val="00B80355"/>
    <w:rsid w:val="00B8233A"/>
    <w:rsid w:val="00B83235"/>
    <w:rsid w:val="00B90943"/>
    <w:rsid w:val="00B9310C"/>
    <w:rsid w:val="00B95C8C"/>
    <w:rsid w:val="00B9776F"/>
    <w:rsid w:val="00BA2CEE"/>
    <w:rsid w:val="00BA5125"/>
    <w:rsid w:val="00BA54BE"/>
    <w:rsid w:val="00BA6F50"/>
    <w:rsid w:val="00BB3C0F"/>
    <w:rsid w:val="00BB432E"/>
    <w:rsid w:val="00BB514D"/>
    <w:rsid w:val="00BB5862"/>
    <w:rsid w:val="00BB735A"/>
    <w:rsid w:val="00BC5D2A"/>
    <w:rsid w:val="00BC7C74"/>
    <w:rsid w:val="00BC7EE6"/>
    <w:rsid w:val="00BD020B"/>
    <w:rsid w:val="00BD073D"/>
    <w:rsid w:val="00BD1C85"/>
    <w:rsid w:val="00BD405C"/>
    <w:rsid w:val="00BD43B7"/>
    <w:rsid w:val="00BD44A9"/>
    <w:rsid w:val="00BD68EC"/>
    <w:rsid w:val="00BE15C1"/>
    <w:rsid w:val="00BE2513"/>
    <w:rsid w:val="00BE427C"/>
    <w:rsid w:val="00BE5F80"/>
    <w:rsid w:val="00BE6183"/>
    <w:rsid w:val="00BE7489"/>
    <w:rsid w:val="00BF060E"/>
    <w:rsid w:val="00BF0F65"/>
    <w:rsid w:val="00BF2419"/>
    <w:rsid w:val="00BF4DB4"/>
    <w:rsid w:val="00BF5655"/>
    <w:rsid w:val="00BF602A"/>
    <w:rsid w:val="00C1012B"/>
    <w:rsid w:val="00C11B62"/>
    <w:rsid w:val="00C11D1E"/>
    <w:rsid w:val="00C16E7F"/>
    <w:rsid w:val="00C23C97"/>
    <w:rsid w:val="00C24CE7"/>
    <w:rsid w:val="00C25B23"/>
    <w:rsid w:val="00C26911"/>
    <w:rsid w:val="00C27F87"/>
    <w:rsid w:val="00C30AE5"/>
    <w:rsid w:val="00C312B3"/>
    <w:rsid w:val="00C314D1"/>
    <w:rsid w:val="00C3368C"/>
    <w:rsid w:val="00C33C7A"/>
    <w:rsid w:val="00C37008"/>
    <w:rsid w:val="00C37274"/>
    <w:rsid w:val="00C40A19"/>
    <w:rsid w:val="00C439D5"/>
    <w:rsid w:val="00C4458D"/>
    <w:rsid w:val="00C461BD"/>
    <w:rsid w:val="00C51AB5"/>
    <w:rsid w:val="00C56636"/>
    <w:rsid w:val="00C57032"/>
    <w:rsid w:val="00C61A19"/>
    <w:rsid w:val="00C62681"/>
    <w:rsid w:val="00C646DE"/>
    <w:rsid w:val="00C7205E"/>
    <w:rsid w:val="00C7206A"/>
    <w:rsid w:val="00C72B91"/>
    <w:rsid w:val="00C761CC"/>
    <w:rsid w:val="00C767E2"/>
    <w:rsid w:val="00C8163C"/>
    <w:rsid w:val="00C83887"/>
    <w:rsid w:val="00C83C7E"/>
    <w:rsid w:val="00C84851"/>
    <w:rsid w:val="00C917F2"/>
    <w:rsid w:val="00C94C79"/>
    <w:rsid w:val="00CA02B8"/>
    <w:rsid w:val="00CA4B48"/>
    <w:rsid w:val="00CA74FD"/>
    <w:rsid w:val="00CA7931"/>
    <w:rsid w:val="00CB0C32"/>
    <w:rsid w:val="00CB1DDE"/>
    <w:rsid w:val="00CB3106"/>
    <w:rsid w:val="00CB4A23"/>
    <w:rsid w:val="00CB5FE8"/>
    <w:rsid w:val="00CB676F"/>
    <w:rsid w:val="00CC1487"/>
    <w:rsid w:val="00CC3877"/>
    <w:rsid w:val="00CC4BEE"/>
    <w:rsid w:val="00CD07D2"/>
    <w:rsid w:val="00CD2638"/>
    <w:rsid w:val="00CD2989"/>
    <w:rsid w:val="00CD54CB"/>
    <w:rsid w:val="00CD7CF3"/>
    <w:rsid w:val="00CE0FDD"/>
    <w:rsid w:val="00CE1A3B"/>
    <w:rsid w:val="00CE319B"/>
    <w:rsid w:val="00CE32F1"/>
    <w:rsid w:val="00CE3D58"/>
    <w:rsid w:val="00CE4F2A"/>
    <w:rsid w:val="00CE5367"/>
    <w:rsid w:val="00CE63A6"/>
    <w:rsid w:val="00CF107E"/>
    <w:rsid w:val="00CF450D"/>
    <w:rsid w:val="00D03E7E"/>
    <w:rsid w:val="00D056A3"/>
    <w:rsid w:val="00D071DA"/>
    <w:rsid w:val="00D1272E"/>
    <w:rsid w:val="00D1645D"/>
    <w:rsid w:val="00D16E65"/>
    <w:rsid w:val="00D201A1"/>
    <w:rsid w:val="00D21214"/>
    <w:rsid w:val="00D24A98"/>
    <w:rsid w:val="00D33E0B"/>
    <w:rsid w:val="00D3526A"/>
    <w:rsid w:val="00D36436"/>
    <w:rsid w:val="00D46AA4"/>
    <w:rsid w:val="00D517E3"/>
    <w:rsid w:val="00D51F9B"/>
    <w:rsid w:val="00D56149"/>
    <w:rsid w:val="00D612FC"/>
    <w:rsid w:val="00D633C1"/>
    <w:rsid w:val="00D63E4C"/>
    <w:rsid w:val="00D666FE"/>
    <w:rsid w:val="00D6712D"/>
    <w:rsid w:val="00D70144"/>
    <w:rsid w:val="00D70728"/>
    <w:rsid w:val="00D74284"/>
    <w:rsid w:val="00D74624"/>
    <w:rsid w:val="00D772B8"/>
    <w:rsid w:val="00D77E05"/>
    <w:rsid w:val="00D81B1D"/>
    <w:rsid w:val="00D85056"/>
    <w:rsid w:val="00D85E20"/>
    <w:rsid w:val="00D8698F"/>
    <w:rsid w:val="00DA0CBC"/>
    <w:rsid w:val="00DA4B99"/>
    <w:rsid w:val="00DA7766"/>
    <w:rsid w:val="00DB3336"/>
    <w:rsid w:val="00DB39B6"/>
    <w:rsid w:val="00DB4136"/>
    <w:rsid w:val="00DB4196"/>
    <w:rsid w:val="00DB4E49"/>
    <w:rsid w:val="00DC0536"/>
    <w:rsid w:val="00DC2776"/>
    <w:rsid w:val="00DC3067"/>
    <w:rsid w:val="00DC3658"/>
    <w:rsid w:val="00DD04ED"/>
    <w:rsid w:val="00DD06D0"/>
    <w:rsid w:val="00DE33EB"/>
    <w:rsid w:val="00DE4B1E"/>
    <w:rsid w:val="00DE4C1A"/>
    <w:rsid w:val="00DE6A3E"/>
    <w:rsid w:val="00DF328C"/>
    <w:rsid w:val="00DF5B9C"/>
    <w:rsid w:val="00E0349E"/>
    <w:rsid w:val="00E06CE4"/>
    <w:rsid w:val="00E07469"/>
    <w:rsid w:val="00E077B1"/>
    <w:rsid w:val="00E15ABE"/>
    <w:rsid w:val="00E15F8A"/>
    <w:rsid w:val="00E16CA8"/>
    <w:rsid w:val="00E17117"/>
    <w:rsid w:val="00E173AA"/>
    <w:rsid w:val="00E221D9"/>
    <w:rsid w:val="00E275A1"/>
    <w:rsid w:val="00E276E0"/>
    <w:rsid w:val="00E33D63"/>
    <w:rsid w:val="00E33EE4"/>
    <w:rsid w:val="00E3459C"/>
    <w:rsid w:val="00E34B89"/>
    <w:rsid w:val="00E42AE3"/>
    <w:rsid w:val="00E43206"/>
    <w:rsid w:val="00E45C9A"/>
    <w:rsid w:val="00E465F9"/>
    <w:rsid w:val="00E537ED"/>
    <w:rsid w:val="00E56415"/>
    <w:rsid w:val="00E62BDD"/>
    <w:rsid w:val="00E63990"/>
    <w:rsid w:val="00E6569C"/>
    <w:rsid w:val="00E73943"/>
    <w:rsid w:val="00E902C8"/>
    <w:rsid w:val="00E939BD"/>
    <w:rsid w:val="00E94147"/>
    <w:rsid w:val="00EA0A65"/>
    <w:rsid w:val="00EA535D"/>
    <w:rsid w:val="00EA734D"/>
    <w:rsid w:val="00EA7743"/>
    <w:rsid w:val="00EB0B38"/>
    <w:rsid w:val="00EB0FDC"/>
    <w:rsid w:val="00EB14BD"/>
    <w:rsid w:val="00EB56FD"/>
    <w:rsid w:val="00EB7399"/>
    <w:rsid w:val="00EB7B55"/>
    <w:rsid w:val="00EB7C01"/>
    <w:rsid w:val="00EC0284"/>
    <w:rsid w:val="00EC64D0"/>
    <w:rsid w:val="00EC6AE4"/>
    <w:rsid w:val="00EC757E"/>
    <w:rsid w:val="00ED2D8D"/>
    <w:rsid w:val="00ED30B7"/>
    <w:rsid w:val="00ED567E"/>
    <w:rsid w:val="00ED640E"/>
    <w:rsid w:val="00ED6715"/>
    <w:rsid w:val="00EE230E"/>
    <w:rsid w:val="00EE26E6"/>
    <w:rsid w:val="00EE369B"/>
    <w:rsid w:val="00EE76FA"/>
    <w:rsid w:val="00EF07D3"/>
    <w:rsid w:val="00EF3375"/>
    <w:rsid w:val="00EF489F"/>
    <w:rsid w:val="00EF69BA"/>
    <w:rsid w:val="00EF6B20"/>
    <w:rsid w:val="00F03542"/>
    <w:rsid w:val="00F04D21"/>
    <w:rsid w:val="00F06D48"/>
    <w:rsid w:val="00F1650A"/>
    <w:rsid w:val="00F16ACC"/>
    <w:rsid w:val="00F1789F"/>
    <w:rsid w:val="00F31F2A"/>
    <w:rsid w:val="00F3323F"/>
    <w:rsid w:val="00F333B7"/>
    <w:rsid w:val="00F33BBA"/>
    <w:rsid w:val="00F368B1"/>
    <w:rsid w:val="00F37BE9"/>
    <w:rsid w:val="00F404AF"/>
    <w:rsid w:val="00F44D19"/>
    <w:rsid w:val="00F456D0"/>
    <w:rsid w:val="00F51581"/>
    <w:rsid w:val="00F51AE4"/>
    <w:rsid w:val="00F575B2"/>
    <w:rsid w:val="00F601BA"/>
    <w:rsid w:val="00F609C9"/>
    <w:rsid w:val="00F61CA3"/>
    <w:rsid w:val="00F623C8"/>
    <w:rsid w:val="00F62DB1"/>
    <w:rsid w:val="00F665BF"/>
    <w:rsid w:val="00F720B2"/>
    <w:rsid w:val="00F72205"/>
    <w:rsid w:val="00F72281"/>
    <w:rsid w:val="00F736B1"/>
    <w:rsid w:val="00F737F5"/>
    <w:rsid w:val="00F73F07"/>
    <w:rsid w:val="00F741C0"/>
    <w:rsid w:val="00F757D2"/>
    <w:rsid w:val="00F76C9D"/>
    <w:rsid w:val="00F82357"/>
    <w:rsid w:val="00F8303F"/>
    <w:rsid w:val="00F850E5"/>
    <w:rsid w:val="00F858FC"/>
    <w:rsid w:val="00F862D7"/>
    <w:rsid w:val="00F86805"/>
    <w:rsid w:val="00F869B4"/>
    <w:rsid w:val="00F87120"/>
    <w:rsid w:val="00F91DDC"/>
    <w:rsid w:val="00F91F56"/>
    <w:rsid w:val="00FA53BF"/>
    <w:rsid w:val="00FA7737"/>
    <w:rsid w:val="00FB487C"/>
    <w:rsid w:val="00FB4DCC"/>
    <w:rsid w:val="00FB5733"/>
    <w:rsid w:val="00FC1393"/>
    <w:rsid w:val="00FC3596"/>
    <w:rsid w:val="00FD1226"/>
    <w:rsid w:val="00FD2574"/>
    <w:rsid w:val="00FE1131"/>
    <w:rsid w:val="00FE3B60"/>
    <w:rsid w:val="00FE675D"/>
    <w:rsid w:val="00FF21AB"/>
    <w:rsid w:val="00FF6A13"/>
    <w:rsid w:val="00FF6D5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5E468F-63BD-404C-95D9-6857EF0A9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66D"/>
    <w:pPr>
      <w:spacing w:after="0" w:line="360" w:lineRule="auto"/>
      <w:jc w:val="both"/>
    </w:pPr>
    <w:rPr>
      <w:rFonts w:ascii="Arial" w:eastAsia="Times New Roman" w:hAnsi="Arial" w:cs="Arial"/>
      <w:sz w:val="28"/>
      <w:szCs w:val="24"/>
      <w:lang w:val="en-GB"/>
    </w:rPr>
  </w:style>
  <w:style w:type="paragraph" w:styleId="Heading2">
    <w:name w:val="heading 2"/>
    <w:basedOn w:val="Normal"/>
    <w:next w:val="Normal"/>
    <w:link w:val="Heading2Char"/>
    <w:uiPriority w:val="9"/>
    <w:semiHidden/>
    <w:unhideWhenUsed/>
    <w:qFormat/>
    <w:rsid w:val="00B1434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35266D"/>
    <w:pPr>
      <w:keepNext/>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5266D"/>
    <w:rPr>
      <w:rFonts w:ascii="Arial" w:eastAsia="Times New Roman" w:hAnsi="Arial" w:cs="Arial"/>
      <w:i/>
      <w:iCs/>
      <w:sz w:val="28"/>
      <w:szCs w:val="24"/>
      <w:lang w:val="en-GB"/>
    </w:rPr>
  </w:style>
  <w:style w:type="paragraph" w:styleId="Header">
    <w:name w:val="header"/>
    <w:basedOn w:val="Normal"/>
    <w:link w:val="HeaderChar"/>
    <w:uiPriority w:val="99"/>
    <w:unhideWhenUsed/>
    <w:rsid w:val="0035266D"/>
    <w:pPr>
      <w:tabs>
        <w:tab w:val="center" w:pos="4513"/>
        <w:tab w:val="right" w:pos="9026"/>
      </w:tabs>
    </w:pPr>
  </w:style>
  <w:style w:type="character" w:customStyle="1" w:styleId="HeaderChar">
    <w:name w:val="Header Char"/>
    <w:basedOn w:val="DefaultParagraphFont"/>
    <w:link w:val="Header"/>
    <w:uiPriority w:val="99"/>
    <w:rsid w:val="0035266D"/>
    <w:rPr>
      <w:rFonts w:ascii="Arial" w:eastAsia="Times New Roman" w:hAnsi="Arial" w:cs="Arial"/>
      <w:sz w:val="28"/>
      <w:szCs w:val="24"/>
      <w:lang w:val="en-GB"/>
    </w:rPr>
  </w:style>
  <w:style w:type="paragraph" w:styleId="FootnoteText">
    <w:name w:val="footnote text"/>
    <w:basedOn w:val="Normal"/>
    <w:link w:val="FootnoteTextChar"/>
    <w:uiPriority w:val="99"/>
    <w:semiHidden/>
    <w:unhideWhenUsed/>
    <w:rsid w:val="0035266D"/>
    <w:rPr>
      <w:sz w:val="20"/>
      <w:szCs w:val="20"/>
    </w:rPr>
  </w:style>
  <w:style w:type="character" w:customStyle="1" w:styleId="FootnoteTextChar">
    <w:name w:val="Footnote Text Char"/>
    <w:basedOn w:val="DefaultParagraphFont"/>
    <w:link w:val="FootnoteText"/>
    <w:uiPriority w:val="99"/>
    <w:semiHidden/>
    <w:rsid w:val="0035266D"/>
    <w:rPr>
      <w:rFonts w:ascii="Arial" w:eastAsia="Times New Roman" w:hAnsi="Arial" w:cs="Arial"/>
      <w:sz w:val="20"/>
      <w:szCs w:val="20"/>
      <w:lang w:val="en-GB"/>
    </w:rPr>
  </w:style>
  <w:style w:type="character" w:styleId="FootnoteReference">
    <w:name w:val="footnote reference"/>
    <w:basedOn w:val="DefaultParagraphFont"/>
    <w:uiPriority w:val="99"/>
    <w:semiHidden/>
    <w:unhideWhenUsed/>
    <w:rsid w:val="0035266D"/>
    <w:rPr>
      <w:vertAlign w:val="superscript"/>
    </w:rPr>
  </w:style>
  <w:style w:type="character" w:styleId="Hyperlink">
    <w:name w:val="Hyperlink"/>
    <w:basedOn w:val="DefaultParagraphFont"/>
    <w:uiPriority w:val="99"/>
    <w:semiHidden/>
    <w:unhideWhenUsed/>
    <w:rsid w:val="0035266D"/>
    <w:rPr>
      <w:color w:val="0000FF"/>
      <w:u w:val="single"/>
    </w:rPr>
  </w:style>
  <w:style w:type="paragraph" w:styleId="Footer">
    <w:name w:val="footer"/>
    <w:basedOn w:val="Normal"/>
    <w:link w:val="FooterChar"/>
    <w:uiPriority w:val="99"/>
    <w:unhideWhenUsed/>
    <w:rsid w:val="00DC3658"/>
    <w:pPr>
      <w:tabs>
        <w:tab w:val="center" w:pos="4513"/>
        <w:tab w:val="right" w:pos="9026"/>
      </w:tabs>
      <w:spacing w:line="240" w:lineRule="auto"/>
    </w:pPr>
  </w:style>
  <w:style w:type="character" w:customStyle="1" w:styleId="FooterChar">
    <w:name w:val="Footer Char"/>
    <w:basedOn w:val="DefaultParagraphFont"/>
    <w:link w:val="Footer"/>
    <w:uiPriority w:val="99"/>
    <w:rsid w:val="00DC3658"/>
    <w:rPr>
      <w:rFonts w:ascii="Arial" w:eastAsia="Times New Roman" w:hAnsi="Arial" w:cs="Arial"/>
      <w:sz w:val="28"/>
      <w:szCs w:val="24"/>
      <w:lang w:val="en-GB"/>
    </w:rPr>
  </w:style>
  <w:style w:type="paragraph" w:styleId="ListParagraph">
    <w:name w:val="List Paragraph"/>
    <w:basedOn w:val="Normal"/>
    <w:uiPriority w:val="34"/>
    <w:qFormat/>
    <w:rsid w:val="00831608"/>
    <w:pPr>
      <w:ind w:left="720"/>
      <w:contextualSpacing/>
    </w:pPr>
  </w:style>
  <w:style w:type="paragraph" w:styleId="BalloonText">
    <w:name w:val="Balloon Text"/>
    <w:basedOn w:val="Normal"/>
    <w:link w:val="BalloonTextChar"/>
    <w:uiPriority w:val="99"/>
    <w:semiHidden/>
    <w:unhideWhenUsed/>
    <w:rsid w:val="0064088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881"/>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4579BF"/>
    <w:rPr>
      <w:sz w:val="16"/>
      <w:szCs w:val="16"/>
    </w:rPr>
  </w:style>
  <w:style w:type="paragraph" w:styleId="CommentText">
    <w:name w:val="annotation text"/>
    <w:basedOn w:val="Normal"/>
    <w:link w:val="CommentTextChar"/>
    <w:uiPriority w:val="99"/>
    <w:semiHidden/>
    <w:unhideWhenUsed/>
    <w:rsid w:val="004579BF"/>
    <w:pPr>
      <w:spacing w:line="240" w:lineRule="auto"/>
    </w:pPr>
    <w:rPr>
      <w:sz w:val="20"/>
      <w:szCs w:val="20"/>
    </w:rPr>
  </w:style>
  <w:style w:type="character" w:customStyle="1" w:styleId="CommentTextChar">
    <w:name w:val="Comment Text Char"/>
    <w:basedOn w:val="DefaultParagraphFont"/>
    <w:link w:val="CommentText"/>
    <w:uiPriority w:val="99"/>
    <w:semiHidden/>
    <w:rsid w:val="004579BF"/>
    <w:rPr>
      <w:rFonts w:ascii="Arial" w:eastAsia="Times New Roman"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4579BF"/>
    <w:rPr>
      <w:b/>
      <w:bCs/>
    </w:rPr>
  </w:style>
  <w:style w:type="character" w:customStyle="1" w:styleId="CommentSubjectChar">
    <w:name w:val="Comment Subject Char"/>
    <w:basedOn w:val="CommentTextChar"/>
    <w:link w:val="CommentSubject"/>
    <w:uiPriority w:val="99"/>
    <w:semiHidden/>
    <w:rsid w:val="004579BF"/>
    <w:rPr>
      <w:rFonts w:ascii="Arial" w:eastAsia="Times New Roman" w:hAnsi="Arial" w:cs="Arial"/>
      <w:b/>
      <w:bCs/>
      <w:sz w:val="20"/>
      <w:szCs w:val="20"/>
      <w:lang w:val="en-GB"/>
    </w:rPr>
  </w:style>
  <w:style w:type="paragraph" w:styleId="Revision">
    <w:name w:val="Revision"/>
    <w:hidden/>
    <w:uiPriority w:val="99"/>
    <w:semiHidden/>
    <w:rsid w:val="005456F0"/>
    <w:pPr>
      <w:spacing w:after="0" w:line="240" w:lineRule="auto"/>
    </w:pPr>
    <w:rPr>
      <w:rFonts w:ascii="Arial" w:eastAsia="Times New Roman" w:hAnsi="Arial" w:cs="Arial"/>
      <w:sz w:val="28"/>
      <w:szCs w:val="24"/>
      <w:lang w:val="en-GB"/>
    </w:rPr>
  </w:style>
  <w:style w:type="character" w:customStyle="1" w:styleId="Heading2Char">
    <w:name w:val="Heading 2 Char"/>
    <w:basedOn w:val="DefaultParagraphFont"/>
    <w:link w:val="Heading2"/>
    <w:uiPriority w:val="9"/>
    <w:semiHidden/>
    <w:rsid w:val="00B14347"/>
    <w:rPr>
      <w:rFonts w:asciiTheme="majorHAnsi" w:eastAsiaTheme="majorEastAsia" w:hAnsiTheme="majorHAnsi" w:cstheme="majorBidi"/>
      <w:color w:val="2E74B5"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75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utastat.juta.co.za/nxt/foliolinks.asp?f=xhitlist&amp;xhitlist_x=Advanced&amp;xhitlist_vpc=first&amp;xhitlist_xsl=querylink.xsl&amp;xhitlist_sel=title;path;content-type;home-title&amp;xhitlist_d=%7bstatreg%7d&amp;xhitlist_q=%5bfield%20folio-destination-name:%27LJC_a24y1956s37C(1)(a)%27%5d&amp;xhitlist_md=target-id=0-0-0-3644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77364-5B06-4593-8A08-C9DD5E1B4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4912</Words>
  <Characters>28003</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32850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Ronel Matthysen</dc:creator>
  <cp:keywords/>
  <dc:description/>
  <cp:lastModifiedBy>Mokone</cp:lastModifiedBy>
  <cp:revision>2</cp:revision>
  <cp:lastPrinted>2023-07-27T14:38:00Z</cp:lastPrinted>
  <dcterms:created xsi:type="dcterms:W3CDTF">2023-07-31T10:21:00Z</dcterms:created>
  <dcterms:modified xsi:type="dcterms:W3CDTF">2023-07-31T10:21:00Z</dcterms:modified>
</cp:coreProperties>
</file>