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4D49D" w14:textId="77777777" w:rsidR="002955C5" w:rsidRDefault="00847C27">
      <w:pPr>
        <w:spacing w:after="0" w:line="480" w:lineRule="auto"/>
        <w:jc w:val="center"/>
        <w:rPr>
          <w:rFonts w:ascii="Arial" w:eastAsia="Arial" w:hAnsi="Arial" w:cs="Arial"/>
          <w:b/>
          <w:color w:val="221E1F"/>
          <w:sz w:val="24"/>
          <w:szCs w:val="24"/>
        </w:rPr>
      </w:pPr>
      <w:bookmarkStart w:id="0" w:name="_GoBack"/>
      <w:bookmarkEnd w:id="0"/>
      <w:r>
        <w:rPr>
          <w:noProof/>
        </w:rPr>
        <w:drawing>
          <wp:anchor distT="0" distB="0" distL="114300" distR="114300" simplePos="0" relativeHeight="251658240" behindDoc="0" locked="0" layoutInCell="1" hidden="0" allowOverlap="1" wp14:anchorId="071DA6DD" wp14:editId="179722B0">
            <wp:simplePos x="0" y="0"/>
            <wp:positionH relativeFrom="column">
              <wp:posOffset>2533650</wp:posOffset>
            </wp:positionH>
            <wp:positionV relativeFrom="paragraph">
              <wp:posOffset>76200</wp:posOffset>
            </wp:positionV>
            <wp:extent cx="740410" cy="923925"/>
            <wp:effectExtent l="0" t="0" r="0" b="0"/>
            <wp:wrapTopAndBottom distT="0" distB="0"/>
            <wp:docPr id="1" name="image1.png"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14:paraId="107D5B10" w14:textId="77777777" w:rsidR="002955C5" w:rsidRDefault="00847C27">
      <w:pPr>
        <w:spacing w:after="120" w:line="480" w:lineRule="auto"/>
        <w:jc w:val="center"/>
        <w:rPr>
          <w:rFonts w:ascii="Arial" w:eastAsia="Arial" w:hAnsi="Arial" w:cs="Arial"/>
          <w:b/>
          <w:color w:val="221E1F"/>
          <w:sz w:val="24"/>
          <w:szCs w:val="24"/>
        </w:rPr>
      </w:pPr>
      <w:r>
        <w:rPr>
          <w:rFonts w:ascii="Arial" w:eastAsia="Arial" w:hAnsi="Arial" w:cs="Arial"/>
          <w:b/>
          <w:color w:val="221E1F"/>
          <w:sz w:val="24"/>
          <w:szCs w:val="24"/>
        </w:rPr>
        <w:t>THE SUPREME COURT OF APPEAL OF SOUTH AFRICA</w:t>
      </w:r>
    </w:p>
    <w:p w14:paraId="341B27FD" w14:textId="77777777" w:rsidR="002955C5" w:rsidRDefault="00847C27">
      <w:pPr>
        <w:spacing w:after="120" w:line="480" w:lineRule="auto"/>
        <w:jc w:val="center"/>
        <w:rPr>
          <w:rFonts w:ascii="Arial" w:eastAsia="Arial" w:hAnsi="Arial" w:cs="Arial"/>
          <w:b/>
          <w:sz w:val="24"/>
          <w:szCs w:val="24"/>
        </w:rPr>
      </w:pPr>
      <w:r>
        <w:rPr>
          <w:rFonts w:ascii="Arial" w:eastAsia="Arial" w:hAnsi="Arial" w:cs="Arial"/>
          <w:b/>
          <w:sz w:val="24"/>
          <w:szCs w:val="24"/>
        </w:rPr>
        <w:t>JUDGMENT</w:t>
      </w:r>
    </w:p>
    <w:p w14:paraId="10D9F113" w14:textId="77777777" w:rsidR="002955C5" w:rsidRDefault="002955C5">
      <w:pPr>
        <w:spacing w:after="0" w:line="480" w:lineRule="auto"/>
        <w:jc w:val="right"/>
        <w:rPr>
          <w:rFonts w:ascii="Arial" w:eastAsia="Arial" w:hAnsi="Arial" w:cs="Arial"/>
          <w:sz w:val="24"/>
          <w:szCs w:val="24"/>
        </w:rPr>
      </w:pPr>
    </w:p>
    <w:p w14:paraId="1402296A" w14:textId="77777777" w:rsidR="002955C5" w:rsidRDefault="00847C27">
      <w:pPr>
        <w:spacing w:after="0" w:line="480" w:lineRule="auto"/>
        <w:ind w:left="720" w:right="72" w:firstLine="720"/>
        <w:jc w:val="right"/>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Not Reportable</w:t>
      </w:r>
    </w:p>
    <w:p w14:paraId="31FB943C" w14:textId="77777777" w:rsidR="002955C5" w:rsidRDefault="00847C27">
      <w:pPr>
        <w:spacing w:after="0" w:line="480" w:lineRule="auto"/>
        <w:ind w:right="72"/>
        <w:jc w:val="right"/>
        <w:rPr>
          <w:rFonts w:ascii="Arial" w:eastAsia="Arial" w:hAnsi="Arial" w:cs="Arial"/>
          <w:sz w:val="24"/>
          <w:szCs w:val="24"/>
        </w:rPr>
      </w:pPr>
      <w:r>
        <w:rPr>
          <w:rFonts w:ascii="Arial" w:eastAsia="Arial" w:hAnsi="Arial" w:cs="Arial"/>
          <w:sz w:val="24"/>
          <w:szCs w:val="24"/>
        </w:rPr>
        <w:t>Case No: 1016/2021</w:t>
      </w:r>
    </w:p>
    <w:p w14:paraId="1B729BA3" w14:textId="77777777" w:rsidR="002955C5" w:rsidRDefault="00847C27">
      <w:pPr>
        <w:spacing w:after="240" w:line="240" w:lineRule="auto"/>
        <w:ind w:right="72"/>
        <w:jc w:val="both"/>
        <w:rPr>
          <w:rFonts w:ascii="Arial" w:eastAsia="Arial" w:hAnsi="Arial" w:cs="Arial"/>
          <w:sz w:val="24"/>
          <w:szCs w:val="24"/>
        </w:rPr>
      </w:pPr>
      <w:r>
        <w:rPr>
          <w:rFonts w:ascii="Arial" w:eastAsia="Arial" w:hAnsi="Arial" w:cs="Arial"/>
          <w:sz w:val="24"/>
          <w:szCs w:val="24"/>
        </w:rPr>
        <w:t>In the matter between:</w:t>
      </w:r>
    </w:p>
    <w:p w14:paraId="16C98DE4" w14:textId="77777777" w:rsidR="002955C5" w:rsidRDefault="00847C27">
      <w:pPr>
        <w:spacing w:after="240" w:line="240" w:lineRule="auto"/>
        <w:ind w:right="72"/>
        <w:rPr>
          <w:rFonts w:ascii="Arial" w:eastAsia="Arial" w:hAnsi="Arial" w:cs="Arial"/>
          <w:b/>
          <w:sz w:val="24"/>
          <w:szCs w:val="24"/>
        </w:rPr>
      </w:pPr>
      <w:r>
        <w:rPr>
          <w:rFonts w:ascii="Arial" w:eastAsia="Arial" w:hAnsi="Arial" w:cs="Arial"/>
          <w:b/>
          <w:sz w:val="24"/>
          <w:szCs w:val="24"/>
        </w:rPr>
        <w:t>JVE CIVIL ENGINEERS INC.</w:t>
      </w:r>
      <w:r>
        <w:rPr>
          <w:rFonts w:ascii="Arial" w:eastAsia="Arial" w:hAnsi="Arial" w:cs="Arial"/>
          <w:b/>
          <w:sz w:val="24"/>
          <w:szCs w:val="24"/>
        </w:rPr>
        <w:tab/>
        <w:t xml:space="preserve">                                                 </w:t>
      </w:r>
      <w:r>
        <w:rPr>
          <w:rFonts w:ascii="Arial" w:eastAsia="Arial" w:hAnsi="Arial" w:cs="Arial"/>
          <w:b/>
          <w:sz w:val="24"/>
          <w:szCs w:val="24"/>
        </w:rPr>
        <w:tab/>
      </w:r>
      <w:r w:rsidR="00065B8E">
        <w:rPr>
          <w:rFonts w:ascii="Arial" w:eastAsia="Arial" w:hAnsi="Arial" w:cs="Arial"/>
          <w:b/>
          <w:sz w:val="24"/>
          <w:szCs w:val="24"/>
        </w:rPr>
        <w:t xml:space="preserve">     APPELLANT</w:t>
      </w:r>
      <w:r>
        <w:rPr>
          <w:rFonts w:ascii="Arial" w:eastAsia="Arial" w:hAnsi="Arial" w:cs="Arial"/>
          <w:b/>
          <w:sz w:val="24"/>
          <w:szCs w:val="24"/>
        </w:rPr>
        <w:t xml:space="preserve">      </w:t>
      </w:r>
    </w:p>
    <w:p w14:paraId="4D5516DB" w14:textId="77777777" w:rsidR="002955C5" w:rsidRDefault="00847C27">
      <w:pPr>
        <w:spacing w:after="240" w:line="240" w:lineRule="auto"/>
        <w:ind w:right="72"/>
        <w:jc w:val="both"/>
        <w:rPr>
          <w:rFonts w:ascii="Arial" w:eastAsia="Arial" w:hAnsi="Arial" w:cs="Arial"/>
          <w:sz w:val="24"/>
          <w:szCs w:val="24"/>
        </w:rPr>
      </w:pPr>
      <w:r>
        <w:rPr>
          <w:rFonts w:ascii="Arial" w:eastAsia="Arial" w:hAnsi="Arial" w:cs="Arial"/>
          <w:sz w:val="24"/>
          <w:szCs w:val="24"/>
        </w:rPr>
        <w:t>and</w:t>
      </w:r>
    </w:p>
    <w:p w14:paraId="545A9DC8" w14:textId="77777777" w:rsidR="002955C5" w:rsidRDefault="00847C27">
      <w:pPr>
        <w:spacing w:after="240" w:line="240" w:lineRule="auto"/>
        <w:ind w:right="72"/>
        <w:jc w:val="both"/>
        <w:rPr>
          <w:rFonts w:ascii="Arial" w:eastAsia="Arial" w:hAnsi="Arial" w:cs="Arial"/>
          <w:b/>
          <w:sz w:val="24"/>
          <w:szCs w:val="24"/>
        </w:rPr>
      </w:pPr>
      <w:r>
        <w:rPr>
          <w:rFonts w:ascii="Arial" w:eastAsia="Arial" w:hAnsi="Arial" w:cs="Arial"/>
          <w:b/>
          <w:sz w:val="24"/>
          <w:szCs w:val="24"/>
        </w:rPr>
        <w:t>BLUE BANTRY INVESTMENTS 235 (PTY) LTD                             FIRST RESPONDENT</w:t>
      </w:r>
    </w:p>
    <w:p w14:paraId="3363F3C6" w14:textId="77777777" w:rsidR="002955C5" w:rsidRDefault="00847C27">
      <w:pPr>
        <w:spacing w:after="240" w:line="240" w:lineRule="auto"/>
        <w:ind w:right="72"/>
        <w:jc w:val="both"/>
        <w:rPr>
          <w:rFonts w:ascii="Arial" w:eastAsia="Arial" w:hAnsi="Arial" w:cs="Arial"/>
          <w:b/>
          <w:sz w:val="24"/>
          <w:szCs w:val="24"/>
        </w:rPr>
      </w:pPr>
      <w:r>
        <w:rPr>
          <w:rFonts w:ascii="Arial" w:eastAsia="Arial" w:hAnsi="Arial" w:cs="Arial"/>
          <w:b/>
          <w:sz w:val="24"/>
          <w:szCs w:val="24"/>
        </w:rPr>
        <w:t>PETRUS BURTON FOURIE N.O                                           SECOND RESPONDENT</w:t>
      </w:r>
    </w:p>
    <w:p w14:paraId="1C8BBEE9" w14:textId="77777777" w:rsidR="002955C5" w:rsidRDefault="002955C5">
      <w:pPr>
        <w:spacing w:after="0" w:line="360" w:lineRule="auto"/>
        <w:ind w:right="72"/>
        <w:jc w:val="both"/>
        <w:rPr>
          <w:rFonts w:ascii="Arial" w:eastAsia="Arial" w:hAnsi="Arial" w:cs="Arial"/>
          <w:b/>
          <w:sz w:val="24"/>
          <w:szCs w:val="24"/>
        </w:rPr>
      </w:pPr>
    </w:p>
    <w:p w14:paraId="3827AB2A" w14:textId="0C8DDD07" w:rsidR="002955C5" w:rsidRDefault="00847C27">
      <w:pPr>
        <w:spacing w:after="240" w:line="240" w:lineRule="auto"/>
        <w:ind w:right="72"/>
        <w:jc w:val="both"/>
        <w:rPr>
          <w:rFonts w:ascii="Arial" w:eastAsia="Arial" w:hAnsi="Arial" w:cs="Arial"/>
          <w:sz w:val="24"/>
          <w:szCs w:val="24"/>
        </w:rPr>
      </w:pPr>
      <w:r>
        <w:rPr>
          <w:rFonts w:ascii="Arial" w:eastAsia="Arial" w:hAnsi="Arial" w:cs="Arial"/>
          <w:b/>
          <w:sz w:val="24"/>
          <w:szCs w:val="24"/>
        </w:rPr>
        <w:t xml:space="preserve">Neutral citation: </w:t>
      </w:r>
      <w:r>
        <w:rPr>
          <w:rFonts w:ascii="Arial" w:eastAsia="Arial" w:hAnsi="Arial" w:cs="Arial"/>
          <w:i/>
          <w:sz w:val="24"/>
          <w:szCs w:val="24"/>
        </w:rPr>
        <w:t xml:space="preserve">JVE Civil Engineers Inc. v Blue Bantry Investments 235 (Pty) Ltd and Another </w:t>
      </w:r>
      <w:r w:rsidR="001F7117">
        <w:rPr>
          <w:rFonts w:ascii="Arial" w:eastAsia="Arial" w:hAnsi="Arial" w:cs="Arial"/>
          <w:sz w:val="24"/>
          <w:szCs w:val="24"/>
        </w:rPr>
        <w:t>(1016/2021) [2023</w:t>
      </w:r>
      <w:r w:rsidR="00AC3D3D">
        <w:rPr>
          <w:rFonts w:ascii="Arial" w:eastAsia="Arial" w:hAnsi="Arial" w:cs="Arial"/>
          <w:sz w:val="24"/>
          <w:szCs w:val="24"/>
        </w:rPr>
        <w:t>] ZASCA 12 (16</w:t>
      </w:r>
      <w:r>
        <w:rPr>
          <w:rFonts w:ascii="Arial" w:eastAsia="Arial" w:hAnsi="Arial" w:cs="Arial"/>
          <w:sz w:val="24"/>
          <w:szCs w:val="24"/>
        </w:rPr>
        <w:t xml:space="preserve"> February 2023) </w:t>
      </w:r>
    </w:p>
    <w:p w14:paraId="64DE3EC6" w14:textId="77777777" w:rsidR="002955C5" w:rsidRDefault="00847C27">
      <w:pPr>
        <w:spacing w:after="240" w:line="480" w:lineRule="auto"/>
        <w:ind w:right="72"/>
        <w:jc w:val="both"/>
        <w:rPr>
          <w:rFonts w:ascii="Arial" w:eastAsia="Arial" w:hAnsi="Arial" w:cs="Arial"/>
          <w:sz w:val="24"/>
          <w:szCs w:val="24"/>
        </w:rPr>
      </w:pPr>
      <w:r>
        <w:rPr>
          <w:rFonts w:ascii="Arial" w:eastAsia="Arial" w:hAnsi="Arial" w:cs="Arial"/>
          <w:b/>
          <w:sz w:val="24"/>
          <w:szCs w:val="24"/>
        </w:rPr>
        <w:t xml:space="preserve">Coram: </w:t>
      </w:r>
      <w:r>
        <w:rPr>
          <w:rFonts w:ascii="Arial" w:eastAsia="Arial" w:hAnsi="Arial" w:cs="Arial"/>
          <w:sz w:val="24"/>
          <w:szCs w:val="24"/>
        </w:rPr>
        <w:t>Van der Merwe, Mocumie and Hughes JJA and Goosen and Windell AJJA</w:t>
      </w:r>
    </w:p>
    <w:p w14:paraId="3D1B2DF0" w14:textId="77777777" w:rsidR="002955C5" w:rsidRDefault="00847C27">
      <w:pPr>
        <w:spacing w:after="240" w:line="480" w:lineRule="auto"/>
        <w:ind w:right="72"/>
        <w:jc w:val="both"/>
        <w:rPr>
          <w:rFonts w:ascii="Arial" w:eastAsia="Arial" w:hAnsi="Arial" w:cs="Arial"/>
          <w:sz w:val="24"/>
          <w:szCs w:val="24"/>
        </w:rPr>
      </w:pPr>
      <w:r>
        <w:rPr>
          <w:rFonts w:ascii="Arial" w:eastAsia="Arial" w:hAnsi="Arial" w:cs="Arial"/>
          <w:b/>
          <w:sz w:val="24"/>
          <w:szCs w:val="24"/>
        </w:rPr>
        <w:t xml:space="preserve">Heard: </w:t>
      </w:r>
      <w:r>
        <w:rPr>
          <w:rFonts w:ascii="Arial" w:eastAsia="Arial" w:hAnsi="Arial" w:cs="Arial"/>
          <w:b/>
          <w:sz w:val="24"/>
          <w:szCs w:val="24"/>
        </w:rPr>
        <w:tab/>
      </w:r>
      <w:r>
        <w:rPr>
          <w:rFonts w:ascii="Arial" w:eastAsia="Arial" w:hAnsi="Arial" w:cs="Arial"/>
          <w:sz w:val="24"/>
          <w:szCs w:val="24"/>
        </w:rPr>
        <w:t>23 November 2022</w:t>
      </w:r>
    </w:p>
    <w:p w14:paraId="56BE1B44" w14:textId="0B1D558F" w:rsidR="002955C5" w:rsidRDefault="00847C27">
      <w:pPr>
        <w:spacing w:after="240" w:line="480" w:lineRule="auto"/>
        <w:ind w:right="72"/>
        <w:jc w:val="both"/>
        <w:rPr>
          <w:rFonts w:ascii="Arial" w:eastAsia="Arial" w:hAnsi="Arial" w:cs="Arial"/>
          <w:sz w:val="24"/>
          <w:szCs w:val="24"/>
        </w:rPr>
      </w:pPr>
      <w:r>
        <w:rPr>
          <w:rFonts w:ascii="Arial" w:eastAsia="Arial" w:hAnsi="Arial" w:cs="Arial"/>
          <w:b/>
          <w:sz w:val="24"/>
          <w:szCs w:val="24"/>
        </w:rPr>
        <w:t xml:space="preserve">Delivered: </w:t>
      </w:r>
      <w:r>
        <w:rPr>
          <w:rFonts w:ascii="Arial" w:eastAsia="Arial" w:hAnsi="Arial" w:cs="Arial"/>
          <w:b/>
          <w:sz w:val="24"/>
          <w:szCs w:val="24"/>
        </w:rPr>
        <w:tab/>
      </w:r>
      <w:r w:rsidR="00AC3D3D">
        <w:rPr>
          <w:rFonts w:ascii="Arial" w:eastAsia="Arial" w:hAnsi="Arial" w:cs="Arial"/>
          <w:sz w:val="24"/>
          <w:szCs w:val="24"/>
        </w:rPr>
        <w:t>16</w:t>
      </w:r>
      <w:r>
        <w:rPr>
          <w:rFonts w:ascii="Arial" w:eastAsia="Arial" w:hAnsi="Arial" w:cs="Arial"/>
          <w:sz w:val="24"/>
          <w:szCs w:val="24"/>
        </w:rPr>
        <w:t xml:space="preserve"> February 2023</w:t>
      </w:r>
    </w:p>
    <w:p w14:paraId="5628D9B1" w14:textId="77777777" w:rsidR="002955C5" w:rsidRDefault="00847C27">
      <w:pPr>
        <w:spacing w:after="120" w:line="360" w:lineRule="auto"/>
        <w:ind w:right="72"/>
        <w:jc w:val="both"/>
        <w:rPr>
          <w:rFonts w:ascii="Arial" w:eastAsia="Arial" w:hAnsi="Arial" w:cs="Arial"/>
          <w:sz w:val="24"/>
          <w:szCs w:val="24"/>
        </w:rPr>
      </w:pPr>
      <w:bookmarkStart w:id="1" w:name="_gjdgxs" w:colFirst="0" w:colLast="0"/>
      <w:bookmarkEnd w:id="1"/>
      <w:r>
        <w:rPr>
          <w:rFonts w:ascii="Arial" w:eastAsia="Arial" w:hAnsi="Arial" w:cs="Arial"/>
          <w:b/>
          <w:sz w:val="24"/>
          <w:szCs w:val="24"/>
        </w:rPr>
        <w:t>Summary:</w:t>
      </w:r>
      <w:r>
        <w:rPr>
          <w:rFonts w:ascii="Arial" w:eastAsia="Arial" w:hAnsi="Arial" w:cs="Arial"/>
          <w:sz w:val="24"/>
          <w:szCs w:val="24"/>
        </w:rPr>
        <w:t xml:space="preserve"> Arbitration – Arbitration Act 42 of 1965 – review </w:t>
      </w:r>
      <w:r w:rsidR="00D67A1A">
        <w:rPr>
          <w:rFonts w:ascii="Arial" w:eastAsia="Arial" w:hAnsi="Arial" w:cs="Arial"/>
          <w:sz w:val="24"/>
          <w:szCs w:val="24"/>
        </w:rPr>
        <w:t>of arbitration</w:t>
      </w:r>
      <w:r>
        <w:rPr>
          <w:rFonts w:ascii="Arial" w:eastAsia="Arial" w:hAnsi="Arial" w:cs="Arial"/>
          <w:sz w:val="24"/>
          <w:szCs w:val="24"/>
        </w:rPr>
        <w:t xml:space="preserve"> award in terms of s 33(1)(</w:t>
      </w:r>
      <w:r>
        <w:rPr>
          <w:rFonts w:ascii="Arial" w:eastAsia="Arial" w:hAnsi="Arial" w:cs="Arial"/>
          <w:i/>
          <w:sz w:val="24"/>
          <w:szCs w:val="24"/>
        </w:rPr>
        <w:t>b</w:t>
      </w:r>
      <w:r>
        <w:rPr>
          <w:rFonts w:ascii="Arial" w:eastAsia="Arial" w:hAnsi="Arial" w:cs="Arial"/>
          <w:sz w:val="24"/>
          <w:szCs w:val="24"/>
        </w:rPr>
        <w:t>) of the Act –  arbitrator exceed</w:t>
      </w:r>
      <w:r w:rsidR="00D05AB0">
        <w:rPr>
          <w:rFonts w:ascii="Arial" w:eastAsia="Arial" w:hAnsi="Arial" w:cs="Arial"/>
          <w:sz w:val="24"/>
          <w:szCs w:val="24"/>
        </w:rPr>
        <w:t>ed</w:t>
      </w:r>
      <w:r w:rsidR="00121F17">
        <w:rPr>
          <w:rFonts w:ascii="Arial" w:eastAsia="Arial" w:hAnsi="Arial" w:cs="Arial"/>
          <w:sz w:val="24"/>
          <w:szCs w:val="24"/>
        </w:rPr>
        <w:t xml:space="preserve"> </w:t>
      </w:r>
      <w:r>
        <w:rPr>
          <w:rFonts w:ascii="Arial" w:eastAsia="Arial" w:hAnsi="Arial" w:cs="Arial"/>
          <w:sz w:val="24"/>
          <w:szCs w:val="24"/>
        </w:rPr>
        <w:t xml:space="preserve">powers –  determined </w:t>
      </w:r>
      <w:r w:rsidR="0060307E">
        <w:rPr>
          <w:rFonts w:ascii="Arial" w:eastAsia="Arial" w:hAnsi="Arial" w:cs="Arial"/>
          <w:sz w:val="24"/>
          <w:szCs w:val="24"/>
        </w:rPr>
        <w:t xml:space="preserve">two </w:t>
      </w:r>
      <w:r w:rsidR="00D05AB0">
        <w:rPr>
          <w:rFonts w:ascii="Arial" w:eastAsia="Arial" w:hAnsi="Arial" w:cs="Arial"/>
          <w:sz w:val="24"/>
          <w:szCs w:val="24"/>
        </w:rPr>
        <w:t>claim</w:t>
      </w:r>
      <w:r w:rsidR="0060307E">
        <w:rPr>
          <w:rFonts w:ascii="Arial" w:eastAsia="Arial" w:hAnsi="Arial" w:cs="Arial"/>
          <w:sz w:val="24"/>
          <w:szCs w:val="24"/>
        </w:rPr>
        <w:t>s in dispute</w:t>
      </w:r>
      <w:r w:rsidR="004C42A5">
        <w:rPr>
          <w:rFonts w:ascii="Arial" w:eastAsia="Arial" w:hAnsi="Arial" w:cs="Arial"/>
          <w:sz w:val="24"/>
          <w:szCs w:val="24"/>
        </w:rPr>
        <w:t xml:space="preserve"> on </w:t>
      </w:r>
      <w:r w:rsidR="0060307E">
        <w:rPr>
          <w:rFonts w:ascii="Arial" w:eastAsia="Arial" w:hAnsi="Arial" w:cs="Arial"/>
          <w:sz w:val="24"/>
          <w:szCs w:val="24"/>
        </w:rPr>
        <w:t>ground</w:t>
      </w:r>
      <w:r w:rsidR="004C42A5">
        <w:rPr>
          <w:rFonts w:ascii="Arial" w:eastAsia="Arial" w:hAnsi="Arial" w:cs="Arial"/>
          <w:sz w:val="24"/>
          <w:szCs w:val="24"/>
        </w:rPr>
        <w:t>s</w:t>
      </w:r>
      <w:r>
        <w:rPr>
          <w:rFonts w:ascii="Arial" w:eastAsia="Arial" w:hAnsi="Arial" w:cs="Arial"/>
          <w:sz w:val="24"/>
          <w:szCs w:val="24"/>
        </w:rPr>
        <w:t xml:space="preserve"> not pleaded – </w:t>
      </w:r>
      <w:r w:rsidR="0060307E">
        <w:rPr>
          <w:rFonts w:ascii="Arial" w:eastAsia="Arial" w:hAnsi="Arial" w:cs="Arial"/>
          <w:sz w:val="24"/>
          <w:szCs w:val="24"/>
        </w:rPr>
        <w:t>defence (compromise) pleaded in respect of another claim found to be proved by arbitrator</w:t>
      </w:r>
      <w:r w:rsidR="006238BB">
        <w:rPr>
          <w:rFonts w:ascii="Arial" w:eastAsia="Arial" w:hAnsi="Arial" w:cs="Arial"/>
          <w:sz w:val="24"/>
          <w:szCs w:val="24"/>
        </w:rPr>
        <w:t xml:space="preserve"> </w:t>
      </w:r>
      <w:r w:rsidR="0060307E">
        <w:rPr>
          <w:rFonts w:ascii="Arial" w:eastAsia="Arial" w:hAnsi="Arial" w:cs="Arial"/>
          <w:sz w:val="24"/>
          <w:szCs w:val="24"/>
        </w:rPr>
        <w:t xml:space="preserve">– constituted complete defence to </w:t>
      </w:r>
      <w:r w:rsidR="004000E0">
        <w:rPr>
          <w:rFonts w:ascii="Arial" w:eastAsia="Arial" w:hAnsi="Arial" w:cs="Arial"/>
          <w:sz w:val="24"/>
          <w:szCs w:val="24"/>
        </w:rPr>
        <w:t xml:space="preserve">two </w:t>
      </w:r>
      <w:r w:rsidR="0060307E">
        <w:rPr>
          <w:rFonts w:ascii="Arial" w:eastAsia="Arial" w:hAnsi="Arial" w:cs="Arial"/>
          <w:sz w:val="24"/>
          <w:szCs w:val="24"/>
        </w:rPr>
        <w:t>claims in dispute – artificial and unjust to disregard defence because not specifically pleaded in respect of claims in dispute – appeal dismissed</w:t>
      </w:r>
      <w:r w:rsidR="00065B8E">
        <w:rPr>
          <w:rFonts w:ascii="Arial" w:eastAsia="Arial" w:hAnsi="Arial" w:cs="Arial"/>
          <w:sz w:val="24"/>
          <w:szCs w:val="24"/>
        </w:rPr>
        <w:t>.</w:t>
      </w:r>
    </w:p>
    <w:p w14:paraId="78343AE8" w14:textId="77777777" w:rsidR="002955C5" w:rsidRDefault="00847C27">
      <w:pPr>
        <w:spacing w:after="0" w:line="360" w:lineRule="auto"/>
        <w:jc w:val="both"/>
        <w:rPr>
          <w:rFonts w:ascii="Arial" w:eastAsia="Arial" w:hAnsi="Arial" w:cs="Arial"/>
          <w:sz w:val="24"/>
          <w:szCs w:val="24"/>
        </w:rPr>
      </w:pPr>
      <w:r>
        <w:rPr>
          <w:rFonts w:ascii="Arial" w:eastAsia="Arial" w:hAnsi="Arial" w:cs="Arial"/>
          <w:sz w:val="24"/>
          <w:szCs w:val="24"/>
        </w:rPr>
        <w:lastRenderedPageBreak/>
        <w:t>___________________________________________________________________</w:t>
      </w:r>
    </w:p>
    <w:p w14:paraId="06C4CDCC" w14:textId="77777777" w:rsidR="002955C5" w:rsidRDefault="002955C5">
      <w:pPr>
        <w:spacing w:after="0" w:line="360" w:lineRule="auto"/>
        <w:jc w:val="center"/>
        <w:rPr>
          <w:rFonts w:ascii="Arial" w:eastAsia="Arial" w:hAnsi="Arial" w:cs="Arial"/>
          <w:b/>
          <w:sz w:val="24"/>
          <w:szCs w:val="24"/>
        </w:rPr>
      </w:pPr>
    </w:p>
    <w:p w14:paraId="4717B3CC" w14:textId="77777777" w:rsidR="002955C5" w:rsidRDefault="00847C27">
      <w:pPr>
        <w:spacing w:after="0" w:line="360" w:lineRule="auto"/>
        <w:jc w:val="center"/>
        <w:rPr>
          <w:rFonts w:ascii="Arial" w:eastAsia="Arial" w:hAnsi="Arial" w:cs="Arial"/>
          <w:b/>
          <w:sz w:val="24"/>
          <w:szCs w:val="24"/>
        </w:rPr>
      </w:pPr>
      <w:r>
        <w:rPr>
          <w:rFonts w:ascii="Arial" w:eastAsia="Arial" w:hAnsi="Arial" w:cs="Arial"/>
          <w:b/>
          <w:sz w:val="24"/>
          <w:szCs w:val="24"/>
        </w:rPr>
        <w:t xml:space="preserve">ORDER </w:t>
      </w:r>
    </w:p>
    <w:p w14:paraId="735964C9" w14:textId="77777777" w:rsidR="002955C5" w:rsidRDefault="00847C27">
      <w:pPr>
        <w:spacing w:after="0"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14:paraId="477C5E64" w14:textId="77777777" w:rsidR="002955C5" w:rsidRDefault="002955C5">
      <w:pPr>
        <w:spacing w:after="0" w:line="360" w:lineRule="auto"/>
        <w:jc w:val="both"/>
        <w:rPr>
          <w:rFonts w:ascii="Arial" w:eastAsia="Arial" w:hAnsi="Arial" w:cs="Arial"/>
          <w:b/>
          <w:sz w:val="24"/>
          <w:szCs w:val="24"/>
        </w:rPr>
      </w:pPr>
    </w:p>
    <w:p w14:paraId="093E0769" w14:textId="77777777" w:rsidR="002955C5" w:rsidRDefault="00847C27">
      <w:pPr>
        <w:spacing w:after="0" w:line="360" w:lineRule="auto"/>
        <w:ind w:right="72"/>
        <w:jc w:val="both"/>
        <w:rPr>
          <w:rFonts w:ascii="Arial" w:eastAsia="Arial" w:hAnsi="Arial" w:cs="Arial"/>
          <w:sz w:val="24"/>
          <w:szCs w:val="24"/>
        </w:rPr>
      </w:pPr>
      <w:r>
        <w:rPr>
          <w:rFonts w:ascii="Arial" w:eastAsia="Arial" w:hAnsi="Arial" w:cs="Arial"/>
          <w:b/>
          <w:sz w:val="24"/>
          <w:szCs w:val="24"/>
        </w:rPr>
        <w:t>On appeal from:</w:t>
      </w:r>
      <w:r>
        <w:rPr>
          <w:rFonts w:ascii="Arial" w:eastAsia="Arial" w:hAnsi="Arial" w:cs="Arial"/>
          <w:sz w:val="24"/>
          <w:szCs w:val="24"/>
        </w:rPr>
        <w:t xml:space="preserve"> Western Cape Division, Cape Town (Pangarker AJ sitting</w:t>
      </w:r>
      <w:r>
        <w:t xml:space="preserve"> </w:t>
      </w:r>
      <w:r>
        <w:rPr>
          <w:rFonts w:ascii="Arial" w:eastAsia="Arial" w:hAnsi="Arial" w:cs="Arial"/>
          <w:sz w:val="24"/>
          <w:szCs w:val="24"/>
        </w:rPr>
        <w:t>as a court of first instance):</w:t>
      </w:r>
    </w:p>
    <w:p w14:paraId="2BAEFBE5" w14:textId="77777777" w:rsidR="002955C5" w:rsidRDefault="002955C5">
      <w:pPr>
        <w:spacing w:after="0" w:line="360" w:lineRule="auto"/>
        <w:ind w:right="72"/>
        <w:jc w:val="both"/>
        <w:rPr>
          <w:rFonts w:ascii="Arial" w:eastAsia="Arial" w:hAnsi="Arial" w:cs="Arial"/>
          <w:sz w:val="24"/>
          <w:szCs w:val="24"/>
        </w:rPr>
      </w:pPr>
    </w:p>
    <w:p w14:paraId="7302553B" w14:textId="77777777" w:rsidR="002955C5" w:rsidRDefault="00847C27">
      <w:pPr>
        <w:spacing w:after="0" w:line="360" w:lineRule="auto"/>
        <w:ind w:left="426" w:right="72" w:hanging="426"/>
        <w:jc w:val="both"/>
        <w:rPr>
          <w:rFonts w:ascii="Arial" w:eastAsia="Arial" w:hAnsi="Arial" w:cs="Arial"/>
          <w:sz w:val="24"/>
          <w:szCs w:val="24"/>
        </w:rPr>
      </w:pPr>
      <w:r>
        <w:rPr>
          <w:rFonts w:ascii="Arial" w:eastAsia="Arial" w:hAnsi="Arial" w:cs="Arial"/>
          <w:sz w:val="24"/>
          <w:szCs w:val="24"/>
        </w:rPr>
        <w:t>The appeal is dismissed with costs, including the costs of two counsel.</w:t>
      </w:r>
    </w:p>
    <w:p w14:paraId="3B8CBEDB" w14:textId="77777777" w:rsidR="002955C5" w:rsidRDefault="00847C27">
      <w:pPr>
        <w:spacing w:after="0" w:line="360" w:lineRule="auto"/>
        <w:ind w:right="72"/>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14:paraId="2182AC4E" w14:textId="77777777" w:rsidR="002955C5" w:rsidRDefault="002955C5">
      <w:pPr>
        <w:spacing w:after="0" w:line="360" w:lineRule="auto"/>
        <w:ind w:right="72"/>
        <w:jc w:val="center"/>
        <w:rPr>
          <w:rFonts w:ascii="Arial" w:eastAsia="Arial" w:hAnsi="Arial" w:cs="Arial"/>
          <w:b/>
          <w:sz w:val="24"/>
          <w:szCs w:val="24"/>
        </w:rPr>
      </w:pPr>
    </w:p>
    <w:p w14:paraId="2D18F086" w14:textId="77777777" w:rsidR="002955C5" w:rsidRDefault="00847C27">
      <w:pPr>
        <w:spacing w:after="0" w:line="360" w:lineRule="auto"/>
        <w:ind w:right="72"/>
        <w:jc w:val="center"/>
        <w:rPr>
          <w:rFonts w:ascii="Arial" w:eastAsia="Arial" w:hAnsi="Arial" w:cs="Arial"/>
          <w:b/>
          <w:sz w:val="24"/>
          <w:szCs w:val="24"/>
        </w:rPr>
      </w:pPr>
      <w:r>
        <w:rPr>
          <w:rFonts w:ascii="Arial" w:eastAsia="Arial" w:hAnsi="Arial" w:cs="Arial"/>
          <w:b/>
          <w:sz w:val="24"/>
          <w:szCs w:val="24"/>
        </w:rPr>
        <w:t>JUDGMENT</w:t>
      </w:r>
    </w:p>
    <w:p w14:paraId="30D00365" w14:textId="77777777" w:rsidR="002955C5" w:rsidRDefault="00847C27">
      <w:pPr>
        <w:spacing w:after="0" w:line="360" w:lineRule="auto"/>
        <w:ind w:right="72"/>
        <w:jc w:val="both"/>
        <w:rPr>
          <w:rFonts w:ascii="Arial" w:eastAsia="Arial" w:hAnsi="Arial" w:cs="Arial"/>
          <w:sz w:val="24"/>
          <w:szCs w:val="24"/>
        </w:rPr>
      </w:pPr>
      <w:r>
        <w:rPr>
          <w:rFonts w:ascii="Arial" w:eastAsia="Arial" w:hAnsi="Arial" w:cs="Arial"/>
          <w:sz w:val="24"/>
          <w:szCs w:val="24"/>
        </w:rPr>
        <w:t>___________________________________________________________________</w:t>
      </w:r>
    </w:p>
    <w:p w14:paraId="371F14CE" w14:textId="77777777" w:rsidR="002955C5" w:rsidRDefault="00652F22" w:rsidP="00665D84">
      <w:pPr>
        <w:spacing w:before="240" w:after="0" w:line="360" w:lineRule="auto"/>
        <w:ind w:right="72"/>
        <w:jc w:val="both"/>
        <w:rPr>
          <w:rFonts w:ascii="Arial" w:eastAsia="Arial" w:hAnsi="Arial" w:cs="Arial"/>
          <w:b/>
          <w:sz w:val="24"/>
          <w:szCs w:val="24"/>
        </w:rPr>
      </w:pPr>
      <w:r>
        <w:rPr>
          <w:rFonts w:ascii="Arial" w:eastAsia="Arial" w:hAnsi="Arial" w:cs="Arial"/>
          <w:b/>
          <w:sz w:val="24"/>
          <w:szCs w:val="24"/>
        </w:rPr>
        <w:t xml:space="preserve">Hughes JA (Van der Merwe, Mocumie JJA and Goosen and Windell AJJA </w:t>
      </w:r>
      <w:r w:rsidR="00847C27">
        <w:rPr>
          <w:rFonts w:ascii="Arial" w:eastAsia="Arial" w:hAnsi="Arial" w:cs="Arial"/>
          <w:b/>
          <w:sz w:val="24"/>
          <w:szCs w:val="24"/>
        </w:rPr>
        <w:t xml:space="preserve">concurring):   </w:t>
      </w:r>
    </w:p>
    <w:p w14:paraId="3E6DF7E1" w14:textId="22BB7F8D" w:rsidR="002955C5" w:rsidRDefault="00BB1FB4" w:rsidP="00BB1FB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w:t>
      </w:r>
      <w:r>
        <w:rPr>
          <w:rFonts w:ascii="Arial" w:eastAsia="Arial" w:hAnsi="Arial" w:cs="Arial"/>
          <w:color w:val="000000"/>
          <w:sz w:val="24"/>
          <w:szCs w:val="24"/>
        </w:rPr>
        <w:tab/>
      </w:r>
      <w:r w:rsidR="00847C27">
        <w:rPr>
          <w:rFonts w:ascii="Arial" w:eastAsia="Arial" w:hAnsi="Arial" w:cs="Arial"/>
          <w:color w:val="000000"/>
          <w:sz w:val="24"/>
          <w:szCs w:val="24"/>
        </w:rPr>
        <w:t>This is an appeal against the order of the Western Cape Division of the High Court, Cape Town (the high court) dismissing the review application of an appeal arbitration award. The appeal is with leave of the high court.</w:t>
      </w:r>
    </w:p>
    <w:p w14:paraId="1BCB52CD" w14:textId="77777777" w:rsidR="002955C5"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623430B4" w14:textId="28B0D3D6" w:rsidR="002955C5" w:rsidRDefault="00BB1FB4" w:rsidP="00BB1FB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[2]</w:t>
      </w:r>
      <w:r>
        <w:rPr>
          <w:rFonts w:ascii="Arial" w:eastAsia="Arial" w:hAnsi="Arial" w:cs="Arial"/>
          <w:color w:val="000000"/>
          <w:sz w:val="24"/>
          <w:szCs w:val="24"/>
        </w:rPr>
        <w:tab/>
      </w:r>
      <w:r w:rsidR="00847C27">
        <w:rPr>
          <w:rFonts w:ascii="Arial" w:eastAsia="Arial" w:hAnsi="Arial" w:cs="Arial"/>
          <w:color w:val="000000"/>
          <w:sz w:val="24"/>
          <w:szCs w:val="24"/>
        </w:rPr>
        <w:t xml:space="preserve">The appellant is JVE Civil Engineers Inc (JVE), an engineering company which provided engineering services to the first respondent, Blue Bantry Investment 235 (Pty) Ltd (Blue Bantry), a property developer in the Western Cape Province. The parties were engaged in a residential property development on the </w:t>
      </w:r>
      <w:r w:rsidR="004000E0">
        <w:rPr>
          <w:rFonts w:ascii="Arial" w:eastAsia="Arial" w:hAnsi="Arial" w:cs="Arial"/>
          <w:color w:val="000000"/>
          <w:sz w:val="24"/>
          <w:szCs w:val="24"/>
        </w:rPr>
        <w:t xml:space="preserve">farm </w:t>
      </w:r>
      <w:r w:rsidR="00D67A1A">
        <w:rPr>
          <w:rFonts w:ascii="Arial" w:eastAsia="Arial" w:hAnsi="Arial" w:cs="Arial"/>
          <w:color w:val="000000"/>
          <w:sz w:val="24"/>
          <w:szCs w:val="24"/>
        </w:rPr>
        <w:t>Groot Phesantekraal</w:t>
      </w:r>
      <w:r w:rsidR="00847C27">
        <w:rPr>
          <w:rFonts w:ascii="Arial" w:eastAsia="Arial" w:hAnsi="Arial" w:cs="Arial"/>
          <w:color w:val="000000"/>
          <w:sz w:val="24"/>
          <w:szCs w:val="24"/>
        </w:rPr>
        <w:t xml:space="preserve">, Durbanville, Western Cape Province. </w:t>
      </w:r>
    </w:p>
    <w:p w14:paraId="073D4601" w14:textId="77777777" w:rsidR="002955C5"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54B35B52" w14:textId="181CECB0" w:rsidR="002955C5" w:rsidRDefault="00BB1FB4" w:rsidP="00BB1FB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[3]</w:t>
      </w:r>
      <w:r>
        <w:rPr>
          <w:rFonts w:ascii="Arial" w:eastAsia="Arial" w:hAnsi="Arial" w:cs="Arial"/>
          <w:color w:val="000000"/>
          <w:sz w:val="24"/>
          <w:szCs w:val="24"/>
        </w:rPr>
        <w:tab/>
      </w:r>
      <w:r w:rsidR="00847C27">
        <w:rPr>
          <w:rFonts w:ascii="Arial" w:eastAsia="Arial" w:hAnsi="Arial" w:cs="Arial"/>
          <w:color w:val="000000"/>
          <w:sz w:val="24"/>
          <w:szCs w:val="24"/>
        </w:rPr>
        <w:t>JVE sued Blue Bantry in the high court for fees arising from engineering services it had rendered to Blue Bantry</w:t>
      </w:r>
      <w:r w:rsidR="004000E0">
        <w:rPr>
          <w:rFonts w:ascii="Arial" w:eastAsia="Arial" w:hAnsi="Arial" w:cs="Arial"/>
          <w:color w:val="000000"/>
          <w:sz w:val="24"/>
          <w:szCs w:val="24"/>
        </w:rPr>
        <w:t xml:space="preserve"> with regards to this development</w:t>
      </w:r>
      <w:r w:rsidR="00847C27">
        <w:rPr>
          <w:rFonts w:ascii="Arial" w:eastAsia="Arial" w:hAnsi="Arial" w:cs="Arial"/>
          <w:color w:val="000000"/>
          <w:sz w:val="24"/>
          <w:szCs w:val="24"/>
        </w:rPr>
        <w:t xml:space="preserve">. During the course of such litigation, the parties opted for arbitration proceedings and concluded an arbitration agreement in August 2018. They further agreed that the pleadings in the high court would stand as pleadings in the arbitration. JVE was unsuccessful </w:t>
      </w:r>
      <w:r w:rsidR="004000E0">
        <w:rPr>
          <w:rFonts w:ascii="Arial" w:eastAsia="Arial" w:hAnsi="Arial" w:cs="Arial"/>
          <w:color w:val="000000"/>
          <w:sz w:val="24"/>
          <w:szCs w:val="24"/>
        </w:rPr>
        <w:t xml:space="preserve">in the arbitration </w:t>
      </w:r>
      <w:r w:rsidR="00847C27">
        <w:rPr>
          <w:rFonts w:ascii="Arial" w:eastAsia="Arial" w:hAnsi="Arial" w:cs="Arial"/>
          <w:color w:val="000000"/>
          <w:sz w:val="24"/>
          <w:szCs w:val="24"/>
        </w:rPr>
        <w:t xml:space="preserve">and proceeded to appeal </w:t>
      </w:r>
      <w:r w:rsidR="00D67A1A">
        <w:rPr>
          <w:rFonts w:ascii="Arial" w:eastAsia="Arial" w:hAnsi="Arial" w:cs="Arial"/>
          <w:color w:val="000000"/>
          <w:sz w:val="24"/>
          <w:szCs w:val="24"/>
        </w:rPr>
        <w:t xml:space="preserve">the </w:t>
      </w:r>
      <w:r w:rsidR="00D67A1A" w:rsidRPr="00060C23">
        <w:rPr>
          <w:rFonts w:ascii="Arial" w:eastAsia="Arial" w:hAnsi="Arial" w:cs="Arial"/>
          <w:color w:val="000000"/>
          <w:sz w:val="24"/>
          <w:szCs w:val="24"/>
        </w:rPr>
        <w:t>award</w:t>
      </w:r>
      <w:r w:rsidR="00AF0019" w:rsidRPr="00060C23">
        <w:rPr>
          <w:rFonts w:ascii="Arial" w:eastAsia="Arial" w:hAnsi="Arial" w:cs="Arial"/>
          <w:color w:val="000000"/>
          <w:sz w:val="24"/>
          <w:szCs w:val="24"/>
        </w:rPr>
        <w:t xml:space="preserve"> which </w:t>
      </w:r>
      <w:r w:rsidR="004000E0" w:rsidRPr="00060C23">
        <w:rPr>
          <w:rFonts w:ascii="Arial" w:eastAsia="Arial" w:hAnsi="Arial" w:cs="Arial"/>
          <w:color w:val="000000"/>
          <w:sz w:val="24"/>
          <w:szCs w:val="24"/>
        </w:rPr>
        <w:t>came</w:t>
      </w:r>
      <w:r w:rsidR="004000E0">
        <w:rPr>
          <w:rFonts w:ascii="Arial" w:eastAsia="Arial" w:hAnsi="Arial" w:cs="Arial"/>
          <w:color w:val="000000"/>
          <w:sz w:val="24"/>
          <w:szCs w:val="24"/>
        </w:rPr>
        <w:t xml:space="preserve"> before </w:t>
      </w:r>
      <w:r w:rsidR="00847C27">
        <w:rPr>
          <w:rFonts w:ascii="Arial" w:eastAsia="Arial" w:hAnsi="Arial" w:cs="Arial"/>
          <w:color w:val="000000"/>
          <w:sz w:val="24"/>
          <w:szCs w:val="24"/>
        </w:rPr>
        <w:t xml:space="preserve">the second </w:t>
      </w:r>
      <w:r w:rsidR="00847C27">
        <w:rPr>
          <w:rFonts w:ascii="Arial" w:eastAsia="Arial" w:hAnsi="Arial" w:cs="Arial"/>
          <w:color w:val="000000"/>
          <w:sz w:val="24"/>
          <w:szCs w:val="24"/>
        </w:rPr>
        <w:lastRenderedPageBreak/>
        <w:t>r</w:t>
      </w:r>
      <w:r w:rsidR="000610C1">
        <w:rPr>
          <w:rFonts w:ascii="Arial" w:eastAsia="Arial" w:hAnsi="Arial" w:cs="Arial"/>
          <w:color w:val="000000"/>
          <w:sz w:val="24"/>
          <w:szCs w:val="24"/>
        </w:rPr>
        <w:t>espondent, retired Judge Fourie.</w:t>
      </w:r>
      <w:r w:rsidR="00847C27">
        <w:rPr>
          <w:rFonts w:ascii="Arial" w:eastAsia="Arial" w:hAnsi="Arial" w:cs="Arial"/>
          <w:color w:val="000000"/>
          <w:sz w:val="24"/>
          <w:szCs w:val="24"/>
          <w:vertAlign w:val="superscript"/>
        </w:rPr>
        <w:footnoteReference w:id="1"/>
      </w:r>
      <w:r w:rsidR="00847C27">
        <w:rPr>
          <w:rFonts w:ascii="Arial" w:eastAsia="Arial" w:hAnsi="Arial" w:cs="Arial"/>
          <w:color w:val="000000"/>
          <w:sz w:val="24"/>
          <w:szCs w:val="24"/>
        </w:rPr>
        <w:t xml:space="preserve"> </w:t>
      </w:r>
      <w:r w:rsidR="004000E0">
        <w:rPr>
          <w:rFonts w:ascii="Arial" w:eastAsia="Arial" w:hAnsi="Arial" w:cs="Arial"/>
          <w:color w:val="000000"/>
          <w:sz w:val="24"/>
          <w:szCs w:val="24"/>
        </w:rPr>
        <w:t xml:space="preserve">On 12 December 2019, he </w:t>
      </w:r>
      <w:r w:rsidR="00847C27">
        <w:rPr>
          <w:rFonts w:ascii="Arial" w:eastAsia="Arial" w:hAnsi="Arial" w:cs="Arial"/>
          <w:color w:val="000000"/>
          <w:sz w:val="24"/>
          <w:szCs w:val="24"/>
        </w:rPr>
        <w:t>dismissed JVE’s appeal. A determined JVE proceeded to the high court to review the appeal arbitration award, raising a number of grounds to have the award reviewed and set aside. I deal with these grounds further in the judgment. On 15 June 2021, the high court dismissed JVE’s review application with costs.</w:t>
      </w:r>
    </w:p>
    <w:p w14:paraId="7FC33326"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E8E3B40" w14:textId="77777777" w:rsidR="002955C5" w:rsidRDefault="00847C27" w:rsidP="00665D84">
      <w:pPr>
        <w:spacing w:line="360" w:lineRule="auto"/>
        <w:ind w:right="72"/>
        <w:rPr>
          <w:rFonts w:ascii="Arial" w:eastAsia="Arial" w:hAnsi="Arial" w:cs="Arial"/>
          <w:b/>
          <w:sz w:val="24"/>
          <w:szCs w:val="24"/>
        </w:rPr>
      </w:pPr>
      <w:r>
        <w:rPr>
          <w:rFonts w:ascii="Arial" w:eastAsia="Arial" w:hAnsi="Arial" w:cs="Arial"/>
          <w:b/>
          <w:sz w:val="24"/>
          <w:szCs w:val="24"/>
        </w:rPr>
        <w:t xml:space="preserve">Background </w:t>
      </w:r>
    </w:p>
    <w:p w14:paraId="31840F98" w14:textId="2666F9D4" w:rsidR="002955C5" w:rsidRDefault="00BB1FB4" w:rsidP="00BB1FB4">
      <w:pPr>
        <w:pBdr>
          <w:top w:val="nil"/>
          <w:left w:val="nil"/>
          <w:bottom w:val="nil"/>
          <w:right w:val="nil"/>
          <w:between w:val="nil"/>
        </w:pBdr>
        <w:spacing w:before="240" w:after="0" w:line="360" w:lineRule="auto"/>
        <w:ind w:right="72"/>
        <w:jc w:val="both"/>
        <w:rPr>
          <w:rFonts w:ascii="Arial" w:eastAsia="Arial" w:hAnsi="Arial" w:cs="Arial"/>
          <w:color w:val="000000"/>
        </w:rPr>
      </w:pPr>
      <w:r>
        <w:rPr>
          <w:rFonts w:ascii="Arial" w:eastAsia="Arial" w:hAnsi="Arial" w:cs="Arial"/>
          <w:color w:val="000000"/>
          <w:sz w:val="24"/>
          <w:szCs w:val="24"/>
        </w:rPr>
        <w:t>[4]</w:t>
      </w:r>
      <w:r>
        <w:rPr>
          <w:rFonts w:ascii="Arial" w:eastAsia="Arial" w:hAnsi="Arial" w:cs="Arial"/>
          <w:color w:val="000000"/>
          <w:sz w:val="24"/>
          <w:szCs w:val="24"/>
        </w:rPr>
        <w:tab/>
      </w:r>
      <w:r w:rsidR="00D67A1A">
        <w:rPr>
          <w:rFonts w:ascii="Arial" w:eastAsia="Arial" w:hAnsi="Arial" w:cs="Arial"/>
          <w:color w:val="000000"/>
          <w:sz w:val="24"/>
          <w:szCs w:val="24"/>
        </w:rPr>
        <w:t>A brief</w:t>
      </w:r>
      <w:r w:rsidR="00847C27">
        <w:rPr>
          <w:rFonts w:ascii="Arial" w:eastAsia="Arial" w:hAnsi="Arial" w:cs="Arial"/>
          <w:color w:val="000000"/>
          <w:sz w:val="24"/>
          <w:szCs w:val="24"/>
        </w:rPr>
        <w:t xml:space="preserve"> background is necessary. The facts are as follow</w:t>
      </w:r>
      <w:r w:rsidR="00F71CFD">
        <w:rPr>
          <w:rFonts w:ascii="Arial" w:eastAsia="Arial" w:hAnsi="Arial" w:cs="Arial"/>
          <w:color w:val="000000"/>
          <w:sz w:val="24"/>
          <w:szCs w:val="24"/>
        </w:rPr>
        <w:t>s</w:t>
      </w:r>
      <w:r w:rsidR="00847C27">
        <w:rPr>
          <w:rFonts w:ascii="Arial" w:eastAsia="Arial" w:hAnsi="Arial" w:cs="Arial"/>
          <w:color w:val="000000"/>
          <w:sz w:val="24"/>
          <w:szCs w:val="24"/>
        </w:rPr>
        <w:t xml:space="preserve">: </w:t>
      </w:r>
      <w:r w:rsidR="00F71CFD">
        <w:rPr>
          <w:rFonts w:ascii="Arial" w:eastAsia="Arial" w:hAnsi="Arial" w:cs="Arial"/>
          <w:color w:val="000000"/>
          <w:sz w:val="24"/>
          <w:szCs w:val="24"/>
        </w:rPr>
        <w:t>Mr van Eeden</w:t>
      </w:r>
      <w:r w:rsidR="00847C27">
        <w:rPr>
          <w:rFonts w:ascii="Arial" w:eastAsia="Arial" w:hAnsi="Arial" w:cs="Arial"/>
          <w:color w:val="000000"/>
          <w:sz w:val="24"/>
          <w:szCs w:val="24"/>
        </w:rPr>
        <w:t xml:space="preserve"> of JVE and </w:t>
      </w:r>
      <w:r w:rsidR="00F71CFD">
        <w:rPr>
          <w:rFonts w:ascii="Arial" w:eastAsia="Arial" w:hAnsi="Arial" w:cs="Arial"/>
          <w:color w:val="000000"/>
          <w:sz w:val="24"/>
          <w:szCs w:val="24"/>
        </w:rPr>
        <w:t xml:space="preserve">Mr Brink of </w:t>
      </w:r>
      <w:r w:rsidR="00847C27">
        <w:rPr>
          <w:rFonts w:ascii="Arial" w:eastAsia="Arial" w:hAnsi="Arial" w:cs="Arial"/>
          <w:color w:val="000000"/>
          <w:sz w:val="24"/>
          <w:szCs w:val="24"/>
        </w:rPr>
        <w:t xml:space="preserve">Blue Bantry had a longstanding personal and professional relationship. Blue Bantry purchased Groot </w:t>
      </w:r>
      <w:r w:rsidR="00D67A1A">
        <w:rPr>
          <w:rFonts w:ascii="Arial" w:eastAsia="Arial" w:hAnsi="Arial" w:cs="Arial"/>
          <w:color w:val="000000"/>
          <w:sz w:val="24"/>
          <w:szCs w:val="24"/>
        </w:rPr>
        <w:t>Phesantekraal and</w:t>
      </w:r>
      <w:r w:rsidR="00847C27">
        <w:rPr>
          <w:rFonts w:ascii="Arial" w:eastAsia="Arial" w:hAnsi="Arial" w:cs="Arial"/>
          <w:color w:val="000000"/>
          <w:sz w:val="24"/>
          <w:szCs w:val="24"/>
        </w:rPr>
        <w:t xml:space="preserve"> sought the assistance and engineering services of JVE to develop part of the farm. JVE had assisted Blue Bantry with engineering services during </w:t>
      </w:r>
      <w:r w:rsidR="00F71CFD">
        <w:rPr>
          <w:rFonts w:ascii="Arial" w:eastAsia="Arial" w:hAnsi="Arial" w:cs="Arial"/>
          <w:color w:val="000000"/>
          <w:sz w:val="24"/>
          <w:szCs w:val="24"/>
        </w:rPr>
        <w:t xml:space="preserve">both Phase 1 and Phase 2 of </w:t>
      </w:r>
      <w:r w:rsidR="00847C27">
        <w:rPr>
          <w:rFonts w:ascii="Arial" w:eastAsia="Arial" w:hAnsi="Arial" w:cs="Arial"/>
          <w:color w:val="000000"/>
          <w:sz w:val="24"/>
          <w:szCs w:val="24"/>
        </w:rPr>
        <w:t xml:space="preserve">the residential </w:t>
      </w:r>
      <w:r w:rsidR="00D67A1A">
        <w:rPr>
          <w:rFonts w:ascii="Arial" w:eastAsia="Arial" w:hAnsi="Arial" w:cs="Arial"/>
          <w:color w:val="000000"/>
          <w:sz w:val="24"/>
          <w:szCs w:val="24"/>
        </w:rPr>
        <w:t xml:space="preserve">development. </w:t>
      </w:r>
      <w:r w:rsidR="00847C27">
        <w:rPr>
          <w:rFonts w:ascii="Arial" w:eastAsia="Arial" w:hAnsi="Arial" w:cs="Arial"/>
          <w:color w:val="000000"/>
          <w:sz w:val="24"/>
          <w:szCs w:val="24"/>
        </w:rPr>
        <w:t xml:space="preserve">During the course of these two phases, no agreement was documented due to their close relationship. </w:t>
      </w:r>
    </w:p>
    <w:p w14:paraId="3257121C" w14:textId="77777777" w:rsidR="002955C5"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515E987C" w14:textId="33FA5A4D" w:rsidR="002955C5" w:rsidRDefault="00BB1FB4" w:rsidP="00BB1FB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[5]</w:t>
      </w:r>
      <w:r>
        <w:rPr>
          <w:rFonts w:ascii="Arial" w:eastAsia="Arial" w:hAnsi="Arial" w:cs="Arial"/>
          <w:color w:val="000000"/>
          <w:sz w:val="24"/>
          <w:szCs w:val="24"/>
        </w:rPr>
        <w:tab/>
      </w:r>
      <w:r w:rsidR="00847C27">
        <w:rPr>
          <w:rFonts w:ascii="Arial" w:eastAsia="Arial" w:hAnsi="Arial" w:cs="Arial"/>
          <w:color w:val="000000"/>
          <w:sz w:val="24"/>
          <w:szCs w:val="24"/>
        </w:rPr>
        <w:t xml:space="preserve">During 2008, a change in the ownership regime took effect at Blue Bantry and for </w:t>
      </w:r>
      <w:r w:rsidR="00D67A1A">
        <w:rPr>
          <w:rFonts w:ascii="Arial" w:eastAsia="Arial" w:hAnsi="Arial" w:cs="Arial"/>
          <w:color w:val="000000"/>
          <w:sz w:val="24"/>
          <w:szCs w:val="24"/>
        </w:rPr>
        <w:t>the first</w:t>
      </w:r>
      <w:r w:rsidR="00847C27">
        <w:rPr>
          <w:rFonts w:ascii="Arial" w:eastAsia="Arial" w:hAnsi="Arial" w:cs="Arial"/>
          <w:color w:val="000000"/>
          <w:sz w:val="24"/>
          <w:szCs w:val="24"/>
        </w:rPr>
        <w:t xml:space="preserve"> time</w:t>
      </w:r>
      <w:r w:rsidR="003D5A15">
        <w:rPr>
          <w:rFonts w:ascii="Arial" w:eastAsia="Arial" w:hAnsi="Arial" w:cs="Arial"/>
          <w:color w:val="000000"/>
          <w:sz w:val="24"/>
          <w:szCs w:val="24"/>
        </w:rPr>
        <w:t>,</w:t>
      </w:r>
      <w:r w:rsidR="00847C27">
        <w:rPr>
          <w:rFonts w:ascii="Arial" w:eastAsia="Arial" w:hAnsi="Arial" w:cs="Arial"/>
          <w:color w:val="000000"/>
          <w:sz w:val="24"/>
          <w:szCs w:val="24"/>
        </w:rPr>
        <w:t xml:space="preserve"> on 12 May 2008, JVE and Blue Bantry recorded an agreement </w:t>
      </w:r>
      <w:r w:rsidR="00F71CFD">
        <w:rPr>
          <w:rFonts w:ascii="Arial" w:eastAsia="Arial" w:hAnsi="Arial" w:cs="Arial"/>
          <w:color w:val="000000"/>
          <w:sz w:val="24"/>
          <w:szCs w:val="24"/>
        </w:rPr>
        <w:t xml:space="preserve">in respect of the engineering services </w:t>
      </w:r>
      <w:r w:rsidR="00847C27">
        <w:rPr>
          <w:rFonts w:ascii="Arial" w:eastAsia="Arial" w:hAnsi="Arial" w:cs="Arial"/>
          <w:color w:val="000000"/>
          <w:sz w:val="24"/>
          <w:szCs w:val="24"/>
        </w:rPr>
        <w:t xml:space="preserve">for Phase 3 </w:t>
      </w:r>
      <w:r w:rsidR="00F71CFD">
        <w:rPr>
          <w:rFonts w:ascii="Arial" w:eastAsia="Arial" w:hAnsi="Arial" w:cs="Arial"/>
          <w:color w:val="000000"/>
          <w:sz w:val="24"/>
          <w:szCs w:val="24"/>
        </w:rPr>
        <w:t>of the residential development</w:t>
      </w:r>
      <w:r w:rsidR="00EE2407">
        <w:rPr>
          <w:rFonts w:ascii="Arial" w:eastAsia="Arial" w:hAnsi="Arial" w:cs="Arial"/>
          <w:color w:val="000000"/>
          <w:sz w:val="24"/>
          <w:szCs w:val="24"/>
        </w:rPr>
        <w:t xml:space="preserve"> (Phase 3)</w:t>
      </w:r>
      <w:r w:rsidR="00F71CFD">
        <w:rPr>
          <w:rFonts w:ascii="Arial" w:eastAsia="Arial" w:hAnsi="Arial" w:cs="Arial"/>
          <w:color w:val="000000"/>
          <w:sz w:val="24"/>
          <w:szCs w:val="24"/>
        </w:rPr>
        <w:t xml:space="preserve">, </w:t>
      </w:r>
      <w:r w:rsidR="00D67A1A">
        <w:rPr>
          <w:rFonts w:ascii="Arial" w:eastAsia="Arial" w:hAnsi="Arial" w:cs="Arial"/>
          <w:color w:val="000000"/>
          <w:sz w:val="24"/>
          <w:szCs w:val="24"/>
        </w:rPr>
        <w:t>in an</w:t>
      </w:r>
      <w:r w:rsidR="00847C27">
        <w:rPr>
          <w:rFonts w:ascii="Arial" w:eastAsia="Arial" w:hAnsi="Arial" w:cs="Arial"/>
          <w:color w:val="000000"/>
          <w:sz w:val="24"/>
          <w:szCs w:val="24"/>
        </w:rPr>
        <w:t xml:space="preserve"> email, </w:t>
      </w:r>
      <w:r w:rsidR="00F71CFD">
        <w:rPr>
          <w:rFonts w:ascii="Arial" w:eastAsia="Arial" w:hAnsi="Arial" w:cs="Arial"/>
          <w:color w:val="000000"/>
          <w:sz w:val="24"/>
          <w:szCs w:val="24"/>
        </w:rPr>
        <w:t xml:space="preserve">referred </w:t>
      </w:r>
      <w:r w:rsidR="00D67A1A">
        <w:rPr>
          <w:rFonts w:ascii="Arial" w:eastAsia="Arial" w:hAnsi="Arial" w:cs="Arial"/>
          <w:color w:val="000000"/>
          <w:sz w:val="24"/>
          <w:szCs w:val="24"/>
        </w:rPr>
        <w:t>to as</w:t>
      </w:r>
      <w:r w:rsidR="00847C27">
        <w:rPr>
          <w:rFonts w:ascii="Arial" w:eastAsia="Arial" w:hAnsi="Arial" w:cs="Arial"/>
          <w:color w:val="000000"/>
          <w:sz w:val="24"/>
          <w:szCs w:val="24"/>
        </w:rPr>
        <w:t xml:space="preserve"> the JVE1 agreement. JVE was </w:t>
      </w:r>
      <w:r w:rsidR="00F71CFD">
        <w:rPr>
          <w:rFonts w:ascii="Arial" w:eastAsia="Arial" w:hAnsi="Arial" w:cs="Arial"/>
          <w:color w:val="000000"/>
          <w:sz w:val="24"/>
          <w:szCs w:val="24"/>
        </w:rPr>
        <w:t xml:space="preserve">thus </w:t>
      </w:r>
      <w:r w:rsidR="00847C27">
        <w:rPr>
          <w:rFonts w:ascii="Arial" w:eastAsia="Arial" w:hAnsi="Arial" w:cs="Arial"/>
          <w:color w:val="000000"/>
          <w:sz w:val="24"/>
          <w:szCs w:val="24"/>
        </w:rPr>
        <w:t xml:space="preserve">appointed by Blue Bantry as civil engineers </w:t>
      </w:r>
      <w:r w:rsidR="00D67A1A">
        <w:rPr>
          <w:rFonts w:ascii="Arial" w:eastAsia="Arial" w:hAnsi="Arial" w:cs="Arial"/>
          <w:color w:val="000000"/>
          <w:sz w:val="24"/>
          <w:szCs w:val="24"/>
        </w:rPr>
        <w:t>for Phase 3</w:t>
      </w:r>
      <w:r w:rsidR="00847C27">
        <w:rPr>
          <w:rFonts w:ascii="Arial" w:eastAsia="Arial" w:hAnsi="Arial" w:cs="Arial"/>
          <w:color w:val="000000"/>
          <w:sz w:val="24"/>
          <w:szCs w:val="24"/>
        </w:rPr>
        <w:t xml:space="preserve">. The JVE1 agreement set out the scope of work to be conducted, the relevant instructions for JVE and the fee and payment structure applicable </w:t>
      </w:r>
      <w:r w:rsidR="00F71CFD">
        <w:rPr>
          <w:rFonts w:ascii="Arial" w:eastAsia="Arial" w:hAnsi="Arial" w:cs="Arial"/>
          <w:color w:val="000000"/>
          <w:sz w:val="24"/>
          <w:szCs w:val="24"/>
        </w:rPr>
        <w:t>to</w:t>
      </w:r>
      <w:r w:rsidR="00847C27">
        <w:rPr>
          <w:rFonts w:ascii="Arial" w:eastAsia="Arial" w:hAnsi="Arial" w:cs="Arial"/>
          <w:color w:val="000000"/>
          <w:sz w:val="24"/>
          <w:szCs w:val="24"/>
        </w:rPr>
        <w:t xml:space="preserve"> this phase. JVE’s claims against Blue Bantry are in relation to this agreement in respect of Phase 3.</w:t>
      </w:r>
    </w:p>
    <w:p w14:paraId="350C9E7F" w14:textId="77777777" w:rsidR="002955C5"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4029329F" w14:textId="77777777" w:rsidR="00316FFE" w:rsidRDefault="00AA1174"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r>
        <w:rPr>
          <w:rFonts w:ascii="Arial" w:eastAsia="Arial" w:hAnsi="Arial" w:cs="Arial"/>
          <w:color w:val="000000"/>
          <w:sz w:val="24"/>
          <w:szCs w:val="24"/>
        </w:rPr>
        <w:t xml:space="preserve">[6]   </w:t>
      </w:r>
      <w:r w:rsidR="00316FFE">
        <w:rPr>
          <w:rFonts w:ascii="Arial" w:eastAsia="Arial" w:hAnsi="Arial" w:cs="Arial"/>
          <w:color w:val="000000"/>
          <w:sz w:val="24"/>
          <w:szCs w:val="24"/>
        </w:rPr>
        <w:t xml:space="preserve">As I shall demonstrate, this matter concerns engineering fees in respect of external bulk infrastructure services. Municipalities levy Bulk Infrastructure Contribution Levies (BICL) </w:t>
      </w:r>
      <w:r w:rsidR="000E5C84">
        <w:rPr>
          <w:rFonts w:ascii="Arial" w:eastAsia="Arial" w:hAnsi="Arial" w:cs="Arial"/>
          <w:color w:val="000000"/>
          <w:sz w:val="24"/>
          <w:szCs w:val="24"/>
        </w:rPr>
        <w:t xml:space="preserve">from developers in respect of the </w:t>
      </w:r>
      <w:r w:rsidR="00316FFE">
        <w:rPr>
          <w:rFonts w:ascii="Arial" w:eastAsia="Arial" w:hAnsi="Arial" w:cs="Arial"/>
          <w:color w:val="000000"/>
          <w:sz w:val="24"/>
          <w:szCs w:val="24"/>
        </w:rPr>
        <w:t xml:space="preserve">use </w:t>
      </w:r>
      <w:r w:rsidR="000F106D" w:rsidRPr="00060C23">
        <w:rPr>
          <w:rFonts w:ascii="Arial" w:eastAsia="Arial" w:hAnsi="Arial" w:cs="Arial"/>
          <w:color w:val="000000"/>
          <w:sz w:val="24"/>
          <w:szCs w:val="24"/>
        </w:rPr>
        <w:t>of</w:t>
      </w:r>
      <w:r w:rsidR="000F106D">
        <w:rPr>
          <w:rFonts w:ascii="Arial" w:eastAsia="Arial" w:hAnsi="Arial" w:cs="Arial"/>
          <w:color w:val="000000"/>
          <w:sz w:val="24"/>
          <w:szCs w:val="24"/>
        </w:rPr>
        <w:t xml:space="preserve"> </w:t>
      </w:r>
      <w:r w:rsidR="00316FFE">
        <w:rPr>
          <w:rFonts w:ascii="Arial" w:eastAsia="Arial" w:hAnsi="Arial" w:cs="Arial"/>
          <w:color w:val="000000"/>
          <w:sz w:val="24"/>
          <w:szCs w:val="24"/>
        </w:rPr>
        <w:t>existing municipal bulk infrastructure services</w:t>
      </w:r>
      <w:r w:rsidR="000E5C84">
        <w:rPr>
          <w:rFonts w:ascii="Arial" w:eastAsia="Arial" w:hAnsi="Arial" w:cs="Arial"/>
          <w:color w:val="000000"/>
          <w:sz w:val="24"/>
          <w:szCs w:val="24"/>
        </w:rPr>
        <w:t xml:space="preserve"> for new residential developments</w:t>
      </w:r>
      <w:r w:rsidR="00316FFE">
        <w:rPr>
          <w:rFonts w:ascii="Arial" w:eastAsia="Arial" w:hAnsi="Arial" w:cs="Arial"/>
          <w:color w:val="000000"/>
          <w:sz w:val="24"/>
          <w:szCs w:val="24"/>
        </w:rPr>
        <w:t>. These bulk</w:t>
      </w:r>
      <w:r w:rsidR="00DF5780">
        <w:rPr>
          <w:rFonts w:ascii="Arial" w:eastAsia="Arial" w:hAnsi="Arial" w:cs="Arial"/>
          <w:color w:val="000000"/>
          <w:sz w:val="24"/>
          <w:szCs w:val="24"/>
        </w:rPr>
        <w:t xml:space="preserve"> infrastructure</w:t>
      </w:r>
      <w:r w:rsidR="00316FFE">
        <w:rPr>
          <w:rFonts w:ascii="Arial" w:eastAsia="Arial" w:hAnsi="Arial" w:cs="Arial"/>
          <w:color w:val="000000"/>
          <w:sz w:val="24"/>
          <w:szCs w:val="24"/>
        </w:rPr>
        <w:t xml:space="preserve"> services relate to water, stor</w:t>
      </w:r>
      <w:r w:rsidR="000E5C84">
        <w:rPr>
          <w:rFonts w:ascii="Arial" w:eastAsia="Arial" w:hAnsi="Arial" w:cs="Arial"/>
          <w:color w:val="000000"/>
          <w:sz w:val="24"/>
          <w:szCs w:val="24"/>
        </w:rPr>
        <w:t>mwater, sewage and roads. When the existing infrastructure</w:t>
      </w:r>
      <w:r w:rsidR="00316FFE">
        <w:rPr>
          <w:rFonts w:ascii="Arial" w:eastAsia="Arial" w:hAnsi="Arial" w:cs="Arial"/>
          <w:color w:val="000000"/>
          <w:sz w:val="24"/>
          <w:szCs w:val="24"/>
        </w:rPr>
        <w:t xml:space="preserve"> </w:t>
      </w:r>
      <w:r w:rsidR="000E5C84">
        <w:rPr>
          <w:rFonts w:ascii="Arial" w:eastAsia="Arial" w:hAnsi="Arial" w:cs="Arial"/>
          <w:color w:val="000000"/>
          <w:sz w:val="24"/>
          <w:szCs w:val="24"/>
        </w:rPr>
        <w:t xml:space="preserve">requires upgrades or additions, the developer is expected to </w:t>
      </w:r>
      <w:r w:rsidR="000E5C84">
        <w:rPr>
          <w:rFonts w:ascii="Arial" w:eastAsia="Arial" w:hAnsi="Arial" w:cs="Arial"/>
          <w:color w:val="000000"/>
          <w:sz w:val="24"/>
          <w:szCs w:val="24"/>
        </w:rPr>
        <w:lastRenderedPageBreak/>
        <w:t>erect or install such services, for which the developer would be compensated by receiving BICL credits</w:t>
      </w:r>
      <w:r>
        <w:rPr>
          <w:rFonts w:ascii="Arial" w:eastAsia="Arial" w:hAnsi="Arial" w:cs="Arial"/>
          <w:color w:val="000000"/>
          <w:sz w:val="24"/>
          <w:szCs w:val="24"/>
        </w:rPr>
        <w:t xml:space="preserve"> from the municipality</w:t>
      </w:r>
      <w:r w:rsidR="000E5C84">
        <w:rPr>
          <w:rFonts w:ascii="Arial" w:eastAsia="Arial" w:hAnsi="Arial" w:cs="Arial"/>
          <w:color w:val="000000"/>
          <w:sz w:val="24"/>
          <w:szCs w:val="24"/>
        </w:rPr>
        <w:t>.</w:t>
      </w:r>
    </w:p>
    <w:p w14:paraId="0787D85B" w14:textId="77777777" w:rsidR="003D5A15" w:rsidRDefault="003D5A1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0183BF54" w14:textId="77777777" w:rsidR="002955C5" w:rsidRPr="00D67A1A" w:rsidRDefault="00D67A1A" w:rsidP="00665D84">
      <w:pPr>
        <w:pBdr>
          <w:top w:val="nil"/>
          <w:left w:val="nil"/>
          <w:bottom w:val="nil"/>
          <w:right w:val="nil"/>
          <w:between w:val="nil"/>
        </w:pBdr>
        <w:spacing w:after="0" w:line="360" w:lineRule="auto"/>
        <w:ind w:right="72"/>
        <w:jc w:val="both"/>
        <w:rPr>
          <w:rFonts w:ascii="Arial" w:eastAsia="Arial" w:hAnsi="Arial" w:cs="Arial"/>
          <w:color w:val="242121"/>
        </w:rPr>
      </w:pPr>
      <w:r>
        <w:rPr>
          <w:rFonts w:ascii="Arial" w:eastAsia="Arial" w:hAnsi="Arial" w:cs="Arial"/>
          <w:color w:val="000000"/>
          <w:sz w:val="24"/>
          <w:szCs w:val="24"/>
        </w:rPr>
        <w:t>[7]</w:t>
      </w:r>
      <w:r>
        <w:rPr>
          <w:rFonts w:ascii="Arial" w:eastAsia="Arial" w:hAnsi="Arial" w:cs="Arial"/>
          <w:color w:val="000000"/>
          <w:sz w:val="24"/>
          <w:szCs w:val="24"/>
        </w:rPr>
        <w:tab/>
      </w:r>
      <w:r w:rsidR="00847C27">
        <w:rPr>
          <w:rFonts w:ascii="Arial" w:eastAsia="Arial" w:hAnsi="Arial" w:cs="Arial"/>
          <w:color w:val="000000"/>
          <w:sz w:val="24"/>
          <w:szCs w:val="24"/>
        </w:rPr>
        <w:t xml:space="preserve">Clause 6 of the JVE1 agreement read as follows: </w:t>
      </w:r>
    </w:p>
    <w:p w14:paraId="364FA9B2" w14:textId="063E8CE6"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 xml:space="preserve">‘Fees for external services will be paid at 100% of the </w:t>
      </w:r>
      <w:r w:rsidR="000F6D54">
        <w:rPr>
          <w:rFonts w:ascii="Arial" w:eastAsia="Arial" w:hAnsi="Arial" w:cs="Arial"/>
          <w:color w:val="000000"/>
        </w:rPr>
        <w:t>[Engineering Council of South Africa (</w:t>
      </w:r>
      <w:r>
        <w:rPr>
          <w:rFonts w:ascii="Arial" w:eastAsia="Arial" w:hAnsi="Arial" w:cs="Arial"/>
          <w:color w:val="000000"/>
        </w:rPr>
        <w:t>ECSA</w:t>
      </w:r>
      <w:r w:rsidR="000F6D54">
        <w:rPr>
          <w:rFonts w:ascii="Arial" w:eastAsia="Arial" w:hAnsi="Arial" w:cs="Arial"/>
          <w:color w:val="000000"/>
        </w:rPr>
        <w:t>)]</w:t>
      </w:r>
      <w:r>
        <w:rPr>
          <w:rFonts w:ascii="Arial" w:eastAsia="Arial" w:hAnsi="Arial" w:cs="Arial"/>
          <w:color w:val="000000"/>
        </w:rPr>
        <w:t xml:space="preserve"> rate if it can be fully recovered from the bulk services contributions otherwise a 20% discount will also apply here. Interim payments will be calculated at the 20% discount. 100% fee scenario will therefore only apply if the bulk services contributions exceeds the cost obligation to infrastructure provided by the client/developer.’</w:t>
      </w:r>
      <w:r w:rsidR="00941B0F">
        <w:rPr>
          <w:rFonts w:ascii="Arial" w:eastAsia="Arial" w:hAnsi="Arial" w:cs="Arial"/>
          <w:color w:val="000000"/>
        </w:rPr>
        <w:t xml:space="preserve"> </w:t>
      </w:r>
      <w:r w:rsidR="000F6D54">
        <w:rPr>
          <w:rFonts w:ascii="Arial" w:eastAsia="Arial" w:hAnsi="Arial" w:cs="Arial"/>
          <w:color w:val="000000"/>
          <w:sz w:val="24"/>
          <w:szCs w:val="24"/>
        </w:rPr>
        <w:t>(</w:t>
      </w:r>
      <w:r w:rsidR="00941B0F" w:rsidRPr="00724603">
        <w:rPr>
          <w:rFonts w:ascii="Arial" w:eastAsia="Arial" w:hAnsi="Arial" w:cs="Arial"/>
          <w:color w:val="000000"/>
          <w:sz w:val="24"/>
          <w:szCs w:val="24"/>
        </w:rPr>
        <w:t>As interpreted by the respondent</w:t>
      </w:r>
      <w:r w:rsidR="000F6D54">
        <w:rPr>
          <w:rFonts w:ascii="Arial" w:eastAsia="Arial" w:hAnsi="Arial" w:cs="Arial"/>
          <w:color w:val="000000"/>
          <w:sz w:val="24"/>
          <w:szCs w:val="24"/>
        </w:rPr>
        <w:t>.)</w:t>
      </w:r>
      <w:r w:rsidR="00941B0F" w:rsidRPr="00724603">
        <w:rPr>
          <w:rStyle w:val="FootnoteReference"/>
          <w:rFonts w:ascii="Arial" w:eastAsia="Arial" w:hAnsi="Arial" w:cs="Arial"/>
          <w:color w:val="000000"/>
          <w:sz w:val="24"/>
          <w:szCs w:val="24"/>
        </w:rPr>
        <w:footnoteReference w:id="2"/>
      </w:r>
    </w:p>
    <w:p w14:paraId="292DE3A3" w14:textId="77777777" w:rsidR="00000BD6" w:rsidRPr="00D67A1A" w:rsidRDefault="00AA1174"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r w:rsidRPr="00D67A1A">
        <w:rPr>
          <w:rFonts w:ascii="Arial" w:eastAsia="Arial" w:hAnsi="Arial" w:cs="Arial"/>
          <w:color w:val="000000"/>
          <w:sz w:val="24"/>
          <w:szCs w:val="24"/>
        </w:rPr>
        <w:t>The ‘bulk services contributions’</w:t>
      </w:r>
      <w:r w:rsidR="00DF5780" w:rsidRPr="00D67A1A">
        <w:rPr>
          <w:rFonts w:ascii="Arial" w:eastAsia="Arial" w:hAnsi="Arial" w:cs="Arial"/>
          <w:color w:val="000000"/>
          <w:sz w:val="24"/>
          <w:szCs w:val="24"/>
        </w:rPr>
        <w:t xml:space="preserve"> in clause 6 referred</w:t>
      </w:r>
      <w:r w:rsidRPr="00D67A1A">
        <w:rPr>
          <w:rFonts w:ascii="Arial" w:eastAsia="Arial" w:hAnsi="Arial" w:cs="Arial"/>
          <w:color w:val="000000"/>
          <w:sz w:val="24"/>
          <w:szCs w:val="24"/>
        </w:rPr>
        <w:t xml:space="preserve"> to BICL credits. T</w:t>
      </w:r>
      <w:r w:rsidR="00DF5780" w:rsidRPr="00D67A1A">
        <w:rPr>
          <w:rFonts w:ascii="Arial" w:eastAsia="Arial" w:hAnsi="Arial" w:cs="Arial"/>
          <w:color w:val="000000"/>
          <w:sz w:val="24"/>
          <w:szCs w:val="24"/>
        </w:rPr>
        <w:t xml:space="preserve">his clause thus meant that JVE would receive 80% of the ECSA tariff for work related to external services, unless BICL credits exceeded the costs of the infrastructure provided by Blue Bantry, in which case the </w:t>
      </w:r>
      <w:r w:rsidR="000B79AC" w:rsidRPr="00D67A1A">
        <w:rPr>
          <w:rFonts w:ascii="Arial" w:eastAsia="Arial" w:hAnsi="Arial" w:cs="Arial"/>
          <w:color w:val="000000"/>
          <w:sz w:val="24"/>
          <w:szCs w:val="24"/>
        </w:rPr>
        <w:t>additional 20% would become payable.</w:t>
      </w:r>
      <w:r w:rsidR="00DF5780" w:rsidRPr="00D67A1A">
        <w:rPr>
          <w:rFonts w:ascii="Arial" w:eastAsia="Arial" w:hAnsi="Arial" w:cs="Arial"/>
          <w:color w:val="000000"/>
          <w:sz w:val="24"/>
          <w:szCs w:val="24"/>
        </w:rPr>
        <w:t xml:space="preserve"> The parties we</w:t>
      </w:r>
      <w:r w:rsidR="00000BD6" w:rsidRPr="00D67A1A">
        <w:rPr>
          <w:rFonts w:ascii="Arial" w:eastAsia="Arial" w:hAnsi="Arial" w:cs="Arial"/>
          <w:color w:val="000000"/>
          <w:sz w:val="24"/>
          <w:szCs w:val="24"/>
        </w:rPr>
        <w:t xml:space="preserve">re also ad idem that in terms of the </w:t>
      </w:r>
      <w:r w:rsidR="006F0126" w:rsidRPr="006F0126">
        <w:rPr>
          <w:rFonts w:ascii="Arial" w:eastAsia="Arial" w:hAnsi="Arial" w:cs="Arial"/>
          <w:color w:val="000000"/>
          <w:sz w:val="24"/>
          <w:szCs w:val="24"/>
        </w:rPr>
        <w:t>ECSA tariff</w:t>
      </w:r>
      <w:r w:rsidR="00000BD6" w:rsidRPr="00D67A1A">
        <w:rPr>
          <w:rFonts w:ascii="Arial" w:eastAsia="Arial" w:hAnsi="Arial" w:cs="Arial"/>
          <w:color w:val="000000"/>
          <w:sz w:val="24"/>
          <w:szCs w:val="24"/>
        </w:rPr>
        <w:t xml:space="preserve"> a 1.25 multiplication factor, which </w:t>
      </w:r>
      <w:r w:rsidR="00DF5780" w:rsidRPr="00D67A1A">
        <w:rPr>
          <w:rFonts w:ascii="Arial" w:eastAsia="Arial" w:hAnsi="Arial" w:cs="Arial"/>
          <w:color w:val="000000"/>
          <w:sz w:val="24"/>
          <w:szCs w:val="24"/>
        </w:rPr>
        <w:t xml:space="preserve">would </w:t>
      </w:r>
      <w:r w:rsidR="00000BD6" w:rsidRPr="00D67A1A">
        <w:rPr>
          <w:rFonts w:ascii="Arial" w:eastAsia="Arial" w:hAnsi="Arial" w:cs="Arial"/>
          <w:color w:val="000000"/>
          <w:sz w:val="24"/>
          <w:szCs w:val="24"/>
        </w:rPr>
        <w:t>transl</w:t>
      </w:r>
      <w:r w:rsidR="00DF5780" w:rsidRPr="00D67A1A">
        <w:rPr>
          <w:rFonts w:ascii="Arial" w:eastAsia="Arial" w:hAnsi="Arial" w:cs="Arial"/>
          <w:color w:val="000000"/>
          <w:sz w:val="24"/>
          <w:szCs w:val="24"/>
        </w:rPr>
        <w:t>ate</w:t>
      </w:r>
      <w:r w:rsidR="00000BD6" w:rsidRPr="00D67A1A">
        <w:rPr>
          <w:rFonts w:ascii="Arial" w:eastAsia="Arial" w:hAnsi="Arial" w:cs="Arial"/>
          <w:color w:val="000000"/>
          <w:sz w:val="24"/>
          <w:szCs w:val="24"/>
        </w:rPr>
        <w:t xml:space="preserve"> to</w:t>
      </w:r>
      <w:r w:rsidR="00DF5780" w:rsidRPr="00D67A1A">
        <w:rPr>
          <w:rFonts w:ascii="Arial" w:eastAsia="Arial" w:hAnsi="Arial" w:cs="Arial"/>
          <w:color w:val="000000"/>
          <w:sz w:val="24"/>
          <w:szCs w:val="24"/>
        </w:rPr>
        <w:t xml:space="preserve"> a 25% addition to fees, applied</w:t>
      </w:r>
      <w:r w:rsidR="00000BD6" w:rsidRPr="00D67A1A">
        <w:rPr>
          <w:rFonts w:ascii="Arial" w:eastAsia="Arial" w:hAnsi="Arial" w:cs="Arial"/>
          <w:color w:val="000000"/>
          <w:sz w:val="24"/>
          <w:szCs w:val="24"/>
        </w:rPr>
        <w:t xml:space="preserve"> where the</w:t>
      </w:r>
      <w:r w:rsidR="00DF5780" w:rsidRPr="00D67A1A">
        <w:rPr>
          <w:rFonts w:ascii="Arial" w:eastAsia="Arial" w:hAnsi="Arial" w:cs="Arial"/>
          <w:color w:val="000000"/>
          <w:sz w:val="24"/>
          <w:szCs w:val="24"/>
        </w:rPr>
        <w:t xml:space="preserve"> work concerned constituted</w:t>
      </w:r>
      <w:r w:rsidRPr="00D67A1A">
        <w:rPr>
          <w:rFonts w:ascii="Arial" w:eastAsia="Arial" w:hAnsi="Arial" w:cs="Arial"/>
          <w:color w:val="000000"/>
          <w:sz w:val="24"/>
          <w:szCs w:val="24"/>
        </w:rPr>
        <w:t xml:space="preserve"> alt</w:t>
      </w:r>
      <w:r w:rsidR="00000BD6" w:rsidRPr="00D67A1A">
        <w:rPr>
          <w:rFonts w:ascii="Arial" w:eastAsia="Arial" w:hAnsi="Arial" w:cs="Arial"/>
          <w:color w:val="000000"/>
          <w:sz w:val="24"/>
          <w:szCs w:val="24"/>
        </w:rPr>
        <w:t>erations to existing work.</w:t>
      </w:r>
    </w:p>
    <w:p w14:paraId="6082BE94" w14:textId="77777777" w:rsidR="002955C5"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12D60FDB" w14:textId="77777777" w:rsidR="002955C5" w:rsidRDefault="00D67A1A"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[8]</w:t>
      </w:r>
      <w:r>
        <w:rPr>
          <w:rFonts w:ascii="Arial" w:eastAsia="Arial" w:hAnsi="Arial" w:cs="Arial"/>
          <w:color w:val="000000"/>
          <w:sz w:val="24"/>
          <w:szCs w:val="24"/>
        </w:rPr>
        <w:tab/>
      </w:r>
      <w:r w:rsidR="00847C27">
        <w:rPr>
          <w:rFonts w:ascii="Arial" w:eastAsia="Arial" w:hAnsi="Arial" w:cs="Arial"/>
          <w:color w:val="000000"/>
          <w:sz w:val="24"/>
          <w:szCs w:val="24"/>
        </w:rPr>
        <w:t xml:space="preserve">During the course of Phase 3, Blue Bantry and the City of Cape Town concluded a new service agreement in December 2008 (Service Agreement 2008). </w:t>
      </w:r>
      <w:r w:rsidR="000B79AC">
        <w:rPr>
          <w:rFonts w:ascii="Arial" w:eastAsia="Arial" w:hAnsi="Arial" w:cs="Arial"/>
          <w:color w:val="000000"/>
          <w:sz w:val="24"/>
          <w:szCs w:val="24"/>
        </w:rPr>
        <w:t>It extended the scope of BICL credits</w:t>
      </w:r>
      <w:r w:rsidR="005451D0">
        <w:rPr>
          <w:rFonts w:ascii="Arial" w:eastAsia="Arial" w:hAnsi="Arial" w:cs="Arial"/>
          <w:color w:val="000000"/>
          <w:sz w:val="24"/>
          <w:szCs w:val="24"/>
        </w:rPr>
        <w:t xml:space="preserve"> available to Blue Bantry,</w:t>
      </w:r>
      <w:r w:rsidR="00847C27">
        <w:rPr>
          <w:rFonts w:ascii="Arial" w:eastAsia="Arial" w:hAnsi="Arial" w:cs="Arial"/>
          <w:color w:val="000000"/>
          <w:sz w:val="24"/>
          <w:szCs w:val="24"/>
        </w:rPr>
        <w:t xml:space="preserve"> as follows:</w:t>
      </w:r>
    </w:p>
    <w:p w14:paraId="392B011A"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‘7. Cost of bulk services versus development contributions</w:t>
      </w:r>
    </w:p>
    <w:p w14:paraId="41D6134B"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Table 5</w:t>
      </w:r>
    </w:p>
    <w:p w14:paraId="4CAEFDB6"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 . .</w:t>
      </w:r>
    </w:p>
    <w:p w14:paraId="7048044F"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7.1</w:t>
      </w:r>
      <w:r>
        <w:rPr>
          <w:rFonts w:ascii="Arial" w:eastAsia="Arial" w:hAnsi="Arial" w:cs="Arial"/>
          <w:color w:val="000000"/>
        </w:rPr>
        <w:tab/>
        <w:t>COMPANY must fund the payment of the municipal services (as detailed in Table 5) on the basis of completed work as certified by the consultants, from own sources: provided that the amount due by COMPANY to the City in respect of bulk services contributions, will be credited with the approved capital costs. This includes all bulk services contributions (roads, water, sewage and stormwater) that have not been levied as on 1 December 2008.See Table 6.</w:t>
      </w:r>
    </w:p>
    <w:p w14:paraId="15DA38B2"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lastRenderedPageBreak/>
        <w:t>7.2</w:t>
      </w:r>
      <w:r>
        <w:rPr>
          <w:rFonts w:ascii="Arial" w:eastAsia="Arial" w:hAnsi="Arial" w:cs="Arial"/>
          <w:color w:val="000000"/>
        </w:rPr>
        <w:tab/>
        <w:t>Any additional infrastructure provided by the COMPANY which exceeds bulk contributions as detailed in Table 6 will be carried forward and refunded by the City in terms of credit on bulk service contributions for any further development by the COMPANY or any nominated entity of the COMPANY’s choice for development in the northern corridor area (As currently defined by The City of Cape Town). The monetary value of the additional infrastructure will be calculated by converting the value into current equivalent development contributions for residential erven and/or commercial area and/or industrial area. Once bulk infrastructure contributions levies are payable for future development as mentioned above, the credit due to COMPANY or his nominated entity will become claimable in part or in total.</w:t>
      </w:r>
    </w:p>
    <w:p w14:paraId="6FBDD103"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7.3 For the avoidance of doubt it is specifically agreed that the [intention] above is to compensate the company for its loss of interest on the capital expenditure [through] the benefit of having year to year growth in value of the credits for bulk contribution obligations.</w:t>
      </w:r>
    </w:p>
    <w:p w14:paraId="600863D0"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rPr>
        <w:t>. . .’</w:t>
      </w:r>
    </w:p>
    <w:p w14:paraId="3CEA08FD" w14:textId="77777777" w:rsidR="002955C5" w:rsidRPr="00665D84"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7967B75C"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b/>
          <w:color w:val="000000"/>
          <w:sz w:val="24"/>
          <w:szCs w:val="24"/>
        </w:rPr>
      </w:pPr>
      <w:r>
        <w:rPr>
          <w:rFonts w:ascii="Arial" w:eastAsia="Arial" w:hAnsi="Arial" w:cs="Arial"/>
          <w:b/>
          <w:color w:val="000000"/>
          <w:sz w:val="24"/>
          <w:szCs w:val="24"/>
        </w:rPr>
        <w:t>Arbitration proceedings</w:t>
      </w:r>
    </w:p>
    <w:p w14:paraId="1AF24261" w14:textId="77777777" w:rsidR="00C71871" w:rsidRDefault="00CD23A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sidR="00847C27">
        <w:rPr>
          <w:rFonts w:ascii="Arial" w:eastAsia="Arial" w:hAnsi="Arial" w:cs="Arial"/>
          <w:color w:val="000000"/>
          <w:sz w:val="24"/>
          <w:szCs w:val="24"/>
        </w:rPr>
        <w:t xml:space="preserve">Before the commencement of the arbitration proceedings, the parties narrowed the issues for determination and compiled a document headed ‘Points of Dispute’. </w:t>
      </w:r>
      <w:r w:rsidR="00EF0C3F">
        <w:rPr>
          <w:rFonts w:ascii="Arial" w:eastAsia="Arial" w:hAnsi="Arial" w:cs="Arial"/>
          <w:color w:val="000000"/>
          <w:sz w:val="24"/>
          <w:szCs w:val="24"/>
        </w:rPr>
        <w:t xml:space="preserve">In terms thereof, certain issues </w:t>
      </w:r>
      <w:r w:rsidR="00EC778E">
        <w:rPr>
          <w:rFonts w:ascii="Arial" w:eastAsia="Arial" w:hAnsi="Arial" w:cs="Arial"/>
          <w:color w:val="000000"/>
          <w:sz w:val="24"/>
          <w:szCs w:val="24"/>
        </w:rPr>
        <w:t xml:space="preserve">stood over </w:t>
      </w:r>
      <w:r w:rsidR="00EF0C3F">
        <w:rPr>
          <w:rFonts w:ascii="Arial" w:eastAsia="Arial" w:hAnsi="Arial" w:cs="Arial"/>
          <w:color w:val="000000"/>
          <w:sz w:val="24"/>
          <w:szCs w:val="24"/>
        </w:rPr>
        <w:t>for later determination. The remaining issues concerned claims by JVE for fe</w:t>
      </w:r>
      <w:r w:rsidR="00EC778E">
        <w:rPr>
          <w:rFonts w:ascii="Arial" w:eastAsia="Arial" w:hAnsi="Arial" w:cs="Arial"/>
          <w:color w:val="000000"/>
          <w:sz w:val="24"/>
          <w:szCs w:val="24"/>
        </w:rPr>
        <w:t xml:space="preserve">es for external services, </w:t>
      </w:r>
      <w:r w:rsidR="00EF0C3F">
        <w:rPr>
          <w:rFonts w:ascii="Arial" w:eastAsia="Arial" w:hAnsi="Arial" w:cs="Arial"/>
          <w:color w:val="000000"/>
          <w:sz w:val="24"/>
          <w:szCs w:val="24"/>
        </w:rPr>
        <w:t>fees f</w:t>
      </w:r>
      <w:r w:rsidR="00EC778E">
        <w:rPr>
          <w:rFonts w:ascii="Arial" w:eastAsia="Arial" w:hAnsi="Arial" w:cs="Arial"/>
          <w:color w:val="000000"/>
          <w:sz w:val="24"/>
          <w:szCs w:val="24"/>
        </w:rPr>
        <w:t>or internal services and</w:t>
      </w:r>
      <w:r w:rsidR="00EF0C3F">
        <w:rPr>
          <w:rFonts w:ascii="Arial" w:eastAsia="Arial" w:hAnsi="Arial" w:cs="Arial"/>
          <w:color w:val="000000"/>
          <w:sz w:val="24"/>
          <w:szCs w:val="24"/>
        </w:rPr>
        <w:t xml:space="preserve"> damages for alleged </w:t>
      </w:r>
      <w:r w:rsidR="00EC778E">
        <w:rPr>
          <w:rFonts w:ascii="Arial" w:eastAsia="Arial" w:hAnsi="Arial" w:cs="Arial"/>
          <w:color w:val="000000"/>
          <w:sz w:val="24"/>
          <w:szCs w:val="24"/>
        </w:rPr>
        <w:t>breach of contract. The claims for external services included a claim for the additional 20% fees under clause 6</w:t>
      </w:r>
      <w:r w:rsidR="00A5659C">
        <w:rPr>
          <w:rFonts w:ascii="Arial" w:eastAsia="Arial" w:hAnsi="Arial" w:cs="Arial"/>
          <w:color w:val="000000"/>
          <w:sz w:val="24"/>
          <w:szCs w:val="24"/>
        </w:rPr>
        <w:t xml:space="preserve"> </w:t>
      </w:r>
      <w:r w:rsidR="00EC778E">
        <w:rPr>
          <w:rFonts w:ascii="Arial" w:eastAsia="Arial" w:hAnsi="Arial" w:cs="Arial"/>
          <w:color w:val="000000"/>
          <w:sz w:val="24"/>
          <w:szCs w:val="24"/>
        </w:rPr>
        <w:t>(the BICL claim), as well as a 1.25 multiplication factor fee claim in respect</w:t>
      </w:r>
      <w:r w:rsidR="00AF0019">
        <w:rPr>
          <w:rFonts w:ascii="Arial" w:eastAsia="Arial" w:hAnsi="Arial" w:cs="Arial"/>
          <w:color w:val="000000"/>
          <w:sz w:val="24"/>
          <w:szCs w:val="24"/>
        </w:rPr>
        <w:t xml:space="preserve"> </w:t>
      </w:r>
      <w:r w:rsidR="00AF0019" w:rsidRPr="00060C23">
        <w:rPr>
          <w:rFonts w:ascii="Arial" w:eastAsia="Arial" w:hAnsi="Arial" w:cs="Arial"/>
          <w:color w:val="000000"/>
          <w:sz w:val="24"/>
          <w:szCs w:val="24"/>
        </w:rPr>
        <w:t>of</w:t>
      </w:r>
      <w:r w:rsidR="00EC778E">
        <w:rPr>
          <w:rFonts w:ascii="Arial" w:eastAsia="Arial" w:hAnsi="Arial" w:cs="Arial"/>
          <w:color w:val="000000"/>
          <w:sz w:val="24"/>
          <w:szCs w:val="24"/>
        </w:rPr>
        <w:t xml:space="preserve"> alterations</w:t>
      </w:r>
      <w:r w:rsidR="00A5659C">
        <w:rPr>
          <w:rFonts w:ascii="Arial" w:eastAsia="Arial" w:hAnsi="Arial" w:cs="Arial"/>
          <w:color w:val="000000"/>
          <w:sz w:val="24"/>
          <w:szCs w:val="24"/>
        </w:rPr>
        <w:t xml:space="preserve"> to existing work (the 1.25 </w:t>
      </w:r>
      <w:r w:rsidR="00C71871">
        <w:rPr>
          <w:rFonts w:ascii="Arial" w:eastAsia="Arial" w:hAnsi="Arial" w:cs="Arial"/>
          <w:color w:val="000000"/>
          <w:sz w:val="24"/>
          <w:szCs w:val="24"/>
        </w:rPr>
        <w:t>multiplication</w:t>
      </w:r>
      <w:r w:rsidR="00A5659C">
        <w:rPr>
          <w:rFonts w:ascii="Arial" w:eastAsia="Arial" w:hAnsi="Arial" w:cs="Arial"/>
          <w:color w:val="000000"/>
          <w:sz w:val="24"/>
          <w:szCs w:val="24"/>
        </w:rPr>
        <w:t xml:space="preserve"> factor claim)</w:t>
      </w:r>
      <w:r w:rsidR="00C71871">
        <w:rPr>
          <w:rFonts w:ascii="Arial" w:eastAsia="Arial" w:hAnsi="Arial" w:cs="Arial"/>
          <w:color w:val="000000"/>
          <w:sz w:val="24"/>
          <w:szCs w:val="24"/>
        </w:rPr>
        <w:t>.</w:t>
      </w:r>
      <w:r w:rsidR="00847C27">
        <w:rPr>
          <w:rFonts w:ascii="Arial" w:eastAsia="Arial" w:hAnsi="Arial" w:cs="Arial"/>
          <w:color w:val="000000"/>
          <w:sz w:val="24"/>
          <w:szCs w:val="24"/>
        </w:rPr>
        <w:t xml:space="preserve"> </w:t>
      </w:r>
    </w:p>
    <w:p w14:paraId="5AE943C0" w14:textId="77777777" w:rsidR="00C71871" w:rsidRDefault="00C71871"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41D905A6" w14:textId="77777777" w:rsidR="00545111" w:rsidRDefault="00167DAD"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412A5A">
        <w:rPr>
          <w:rFonts w:ascii="Arial" w:eastAsia="Arial" w:hAnsi="Arial" w:cs="Arial"/>
          <w:color w:val="000000"/>
          <w:sz w:val="24"/>
          <w:szCs w:val="24"/>
        </w:rPr>
        <w:t xml:space="preserve">The BICL claim was squarely based on clause 6 </w:t>
      </w:r>
      <w:r w:rsidR="003B3662">
        <w:rPr>
          <w:rFonts w:ascii="Arial" w:eastAsia="Arial" w:hAnsi="Arial" w:cs="Arial"/>
          <w:color w:val="000000"/>
          <w:sz w:val="24"/>
          <w:szCs w:val="24"/>
        </w:rPr>
        <w:t>o</w:t>
      </w:r>
      <w:r w:rsidR="00412A5A">
        <w:rPr>
          <w:rFonts w:ascii="Arial" w:eastAsia="Arial" w:hAnsi="Arial" w:cs="Arial"/>
          <w:color w:val="000000"/>
          <w:sz w:val="24"/>
          <w:szCs w:val="24"/>
        </w:rPr>
        <w:t>f the JVE</w:t>
      </w:r>
      <w:r w:rsidR="003B3662">
        <w:rPr>
          <w:rFonts w:ascii="Arial" w:eastAsia="Arial" w:hAnsi="Arial" w:cs="Arial"/>
          <w:color w:val="000000"/>
          <w:sz w:val="24"/>
          <w:szCs w:val="24"/>
        </w:rPr>
        <w:t xml:space="preserve">1 agreement. JVE contended that the condition that entitled it to the additional 20% fees had been fulfilled, irrespective of or because of the effect of the Service Agreement 2008. </w:t>
      </w:r>
      <w:r w:rsidR="00804C72">
        <w:rPr>
          <w:rFonts w:ascii="Arial" w:eastAsia="Arial" w:hAnsi="Arial" w:cs="Arial"/>
          <w:color w:val="000000"/>
          <w:sz w:val="24"/>
          <w:szCs w:val="24"/>
        </w:rPr>
        <w:t xml:space="preserve">It is unnecessary to relate the particulars of these contentions. </w:t>
      </w:r>
      <w:r w:rsidR="003B3662">
        <w:rPr>
          <w:rFonts w:ascii="Arial" w:eastAsia="Arial" w:hAnsi="Arial" w:cs="Arial"/>
          <w:color w:val="000000"/>
          <w:sz w:val="24"/>
          <w:szCs w:val="24"/>
        </w:rPr>
        <w:t xml:space="preserve">In respect of the 1.25 multiplication factor claim </w:t>
      </w:r>
      <w:r w:rsidR="00804C72">
        <w:rPr>
          <w:rFonts w:ascii="Arial" w:eastAsia="Arial" w:hAnsi="Arial" w:cs="Arial"/>
          <w:color w:val="000000"/>
          <w:sz w:val="24"/>
          <w:szCs w:val="24"/>
        </w:rPr>
        <w:t>JVE’</w:t>
      </w:r>
      <w:r w:rsidR="005451D0">
        <w:rPr>
          <w:rFonts w:ascii="Arial" w:eastAsia="Arial" w:hAnsi="Arial" w:cs="Arial"/>
          <w:color w:val="000000"/>
          <w:sz w:val="24"/>
          <w:szCs w:val="24"/>
        </w:rPr>
        <w:t>s case was</w:t>
      </w:r>
      <w:r w:rsidR="00AA4218">
        <w:rPr>
          <w:rFonts w:ascii="Arial" w:eastAsia="Arial" w:hAnsi="Arial" w:cs="Arial"/>
          <w:color w:val="000000"/>
          <w:sz w:val="24"/>
          <w:szCs w:val="24"/>
        </w:rPr>
        <w:t xml:space="preserve"> that the claimed fees</w:t>
      </w:r>
      <w:r w:rsidR="003B3662">
        <w:rPr>
          <w:rFonts w:ascii="Arial" w:eastAsia="Arial" w:hAnsi="Arial" w:cs="Arial"/>
          <w:color w:val="000000"/>
          <w:sz w:val="24"/>
          <w:szCs w:val="24"/>
        </w:rPr>
        <w:t xml:space="preserve"> related to work that constituted alterations to existing work and that the relevant requirements of the ECSA tariff had been met.</w:t>
      </w:r>
      <w:r w:rsidR="00AA4218">
        <w:rPr>
          <w:rFonts w:ascii="Arial" w:eastAsia="Arial" w:hAnsi="Arial" w:cs="Arial"/>
          <w:color w:val="000000"/>
          <w:sz w:val="24"/>
          <w:szCs w:val="24"/>
        </w:rPr>
        <w:t xml:space="preserve"> These allegations were</w:t>
      </w:r>
      <w:r w:rsidR="005451D0">
        <w:rPr>
          <w:rFonts w:ascii="Arial" w:eastAsia="Arial" w:hAnsi="Arial" w:cs="Arial"/>
          <w:color w:val="000000"/>
          <w:sz w:val="24"/>
          <w:szCs w:val="24"/>
        </w:rPr>
        <w:t xml:space="preserve"> eventually conceded by Blue Bantry.</w:t>
      </w:r>
      <w:r w:rsidR="00545111">
        <w:rPr>
          <w:rFonts w:ascii="Arial" w:eastAsia="Arial" w:hAnsi="Arial" w:cs="Arial"/>
          <w:color w:val="000000"/>
          <w:sz w:val="24"/>
          <w:szCs w:val="24"/>
        </w:rPr>
        <w:t xml:space="preserve"> As part of its </w:t>
      </w:r>
      <w:r w:rsidR="005451D0">
        <w:rPr>
          <w:rFonts w:ascii="Arial" w:eastAsia="Arial" w:hAnsi="Arial" w:cs="Arial"/>
          <w:color w:val="000000"/>
          <w:sz w:val="24"/>
          <w:szCs w:val="24"/>
        </w:rPr>
        <w:t>answer</w:t>
      </w:r>
      <w:r w:rsidR="003B3662">
        <w:rPr>
          <w:rFonts w:ascii="Arial" w:eastAsia="Arial" w:hAnsi="Arial" w:cs="Arial"/>
          <w:color w:val="000000"/>
          <w:sz w:val="24"/>
          <w:szCs w:val="24"/>
        </w:rPr>
        <w:t xml:space="preserve"> </w:t>
      </w:r>
      <w:r w:rsidR="005451D0">
        <w:rPr>
          <w:rFonts w:ascii="Arial" w:eastAsia="Arial" w:hAnsi="Arial" w:cs="Arial"/>
          <w:color w:val="000000"/>
          <w:sz w:val="24"/>
          <w:szCs w:val="24"/>
        </w:rPr>
        <w:t>to the damages</w:t>
      </w:r>
      <w:r w:rsidR="00545111">
        <w:rPr>
          <w:rFonts w:ascii="Arial" w:eastAsia="Arial" w:hAnsi="Arial" w:cs="Arial"/>
          <w:color w:val="000000"/>
          <w:sz w:val="24"/>
          <w:szCs w:val="24"/>
        </w:rPr>
        <w:t xml:space="preserve"> claim, in para 8.2.4 of its amended plea,</w:t>
      </w:r>
      <w:r w:rsidR="003B3662">
        <w:rPr>
          <w:rFonts w:ascii="Arial" w:eastAsia="Arial" w:hAnsi="Arial" w:cs="Arial"/>
          <w:color w:val="000000"/>
          <w:sz w:val="24"/>
          <w:szCs w:val="24"/>
        </w:rPr>
        <w:t xml:space="preserve"> Blue Bantry</w:t>
      </w:r>
      <w:r w:rsidR="00545111">
        <w:rPr>
          <w:rFonts w:ascii="Arial" w:eastAsia="Arial" w:hAnsi="Arial" w:cs="Arial"/>
          <w:color w:val="000000"/>
          <w:sz w:val="24"/>
          <w:szCs w:val="24"/>
        </w:rPr>
        <w:t xml:space="preserve"> pleaded the conclusion of a separate subsequent agreement, as follows</w:t>
      </w:r>
      <w:r w:rsidR="005451D0">
        <w:rPr>
          <w:rFonts w:ascii="Arial" w:eastAsia="Arial" w:hAnsi="Arial" w:cs="Arial"/>
          <w:color w:val="000000"/>
          <w:sz w:val="24"/>
          <w:szCs w:val="24"/>
        </w:rPr>
        <w:t>:</w:t>
      </w:r>
    </w:p>
    <w:p w14:paraId="3DBA9689" w14:textId="77777777" w:rsidR="005451D0" w:rsidRDefault="005451D0" w:rsidP="00665D84">
      <w:pPr>
        <w:pBdr>
          <w:top w:val="nil"/>
          <w:left w:val="nil"/>
          <w:bottom w:val="nil"/>
          <w:right w:val="nil"/>
          <w:between w:val="nil"/>
        </w:pBdr>
        <w:spacing w:after="0" w:line="360" w:lineRule="auto"/>
        <w:ind w:right="72"/>
        <w:jc w:val="both"/>
        <w:rPr>
          <w:rFonts w:ascii="Arial" w:eastAsia="Arial" w:hAnsi="Arial" w:cs="Arial"/>
          <w:color w:val="242121"/>
        </w:rPr>
      </w:pPr>
      <w:r>
        <w:rPr>
          <w:rFonts w:ascii="Arial" w:eastAsia="Arial" w:hAnsi="Arial" w:cs="Arial"/>
          <w:color w:val="242121"/>
        </w:rPr>
        <w:t xml:space="preserve">‘Between 20 August 2009 and 7 September 2009 the parties met so as to discuss the Plaintiff’s fees as aforesaid. The Plaintiff was represented by the said Van Eeden and the </w:t>
      </w:r>
      <w:r>
        <w:rPr>
          <w:rFonts w:ascii="Arial" w:eastAsia="Arial" w:hAnsi="Arial" w:cs="Arial"/>
          <w:color w:val="242121"/>
        </w:rPr>
        <w:lastRenderedPageBreak/>
        <w:t>Defendant by the said Hooper and Brink. At this meeting Brink and Hooper advised Van Eeden that, whilst he was not entitled to the payment of the 20% discount and/or 25% surcharge, the Defendant would pay him these amounts if and when they were recovered from the municipality. Plaintiff agreed thereto.’</w:t>
      </w:r>
    </w:p>
    <w:p w14:paraId="3A2DC875" w14:textId="77777777" w:rsidR="002955C5"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096FFD4F" w14:textId="77777777" w:rsidR="002955C5" w:rsidRDefault="005C12ED"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[11</w:t>
      </w:r>
      <w:r w:rsidR="00CD23A5">
        <w:rPr>
          <w:rFonts w:ascii="Arial" w:eastAsia="Arial" w:hAnsi="Arial" w:cs="Arial"/>
          <w:color w:val="000000"/>
          <w:sz w:val="24"/>
          <w:szCs w:val="24"/>
        </w:rPr>
        <w:t>]</w:t>
      </w:r>
      <w:r w:rsidR="00CD23A5">
        <w:rPr>
          <w:rFonts w:ascii="Arial" w:eastAsia="Arial" w:hAnsi="Arial" w:cs="Arial"/>
          <w:color w:val="000000"/>
          <w:sz w:val="24"/>
          <w:szCs w:val="24"/>
        </w:rPr>
        <w:tab/>
      </w:r>
      <w:r w:rsidR="00847C27">
        <w:rPr>
          <w:rFonts w:ascii="Arial" w:eastAsia="Arial" w:hAnsi="Arial" w:cs="Arial"/>
          <w:color w:val="000000"/>
          <w:sz w:val="24"/>
          <w:szCs w:val="24"/>
        </w:rPr>
        <w:t xml:space="preserve">In both the arbitration and its appeal, JVE was unsuccessful. </w:t>
      </w:r>
      <w:r w:rsidR="004E5D4C">
        <w:rPr>
          <w:rFonts w:ascii="Arial" w:eastAsia="Arial" w:hAnsi="Arial" w:cs="Arial"/>
          <w:color w:val="000000"/>
          <w:sz w:val="24"/>
          <w:szCs w:val="24"/>
        </w:rPr>
        <w:t>As I shall explain, it is only necessary to consider the reasoning and find</w:t>
      </w:r>
      <w:r w:rsidR="00060C23">
        <w:rPr>
          <w:rFonts w:ascii="Arial" w:eastAsia="Arial" w:hAnsi="Arial" w:cs="Arial"/>
          <w:color w:val="000000"/>
          <w:sz w:val="24"/>
          <w:szCs w:val="24"/>
        </w:rPr>
        <w:t xml:space="preserve">ings of the appeal arbitrator. </w:t>
      </w:r>
      <w:r w:rsidR="000F106D">
        <w:rPr>
          <w:rFonts w:ascii="Arial" w:eastAsia="Arial" w:hAnsi="Arial" w:cs="Arial"/>
          <w:color w:val="000000"/>
          <w:sz w:val="24"/>
          <w:szCs w:val="24"/>
        </w:rPr>
        <w:t>Only the BICL</w:t>
      </w:r>
      <w:r w:rsidR="004E5D4C">
        <w:rPr>
          <w:rFonts w:ascii="Arial" w:eastAsia="Arial" w:hAnsi="Arial" w:cs="Arial"/>
          <w:color w:val="000000"/>
          <w:sz w:val="24"/>
          <w:szCs w:val="24"/>
        </w:rPr>
        <w:t xml:space="preserve"> and 1.25 </w:t>
      </w:r>
      <w:r w:rsidR="00637722">
        <w:rPr>
          <w:rFonts w:ascii="Arial" w:eastAsia="Arial" w:hAnsi="Arial" w:cs="Arial"/>
          <w:color w:val="000000"/>
          <w:sz w:val="24"/>
          <w:szCs w:val="24"/>
        </w:rPr>
        <w:t>multiplication factor claims remain</w:t>
      </w:r>
      <w:r w:rsidR="004E5D4C">
        <w:rPr>
          <w:rFonts w:ascii="Arial" w:eastAsia="Arial" w:hAnsi="Arial" w:cs="Arial"/>
          <w:color w:val="000000"/>
          <w:sz w:val="24"/>
          <w:szCs w:val="24"/>
        </w:rPr>
        <w:t xml:space="preserve"> relevant to the appeal. The appeal arbitrator held that the Service Agreement 2008 had amended the JVE</w:t>
      </w:r>
      <w:r w:rsidR="00637722">
        <w:rPr>
          <w:rFonts w:ascii="Arial" w:eastAsia="Arial" w:hAnsi="Arial" w:cs="Arial"/>
          <w:color w:val="000000"/>
          <w:sz w:val="24"/>
          <w:szCs w:val="24"/>
        </w:rPr>
        <w:t>1 agreement, which precluded reliance on clause 6 as a cause of action</w:t>
      </w:r>
      <w:r w:rsidR="00590C6C">
        <w:rPr>
          <w:rFonts w:ascii="Arial" w:eastAsia="Arial" w:hAnsi="Arial" w:cs="Arial"/>
          <w:color w:val="000000"/>
          <w:sz w:val="24"/>
          <w:szCs w:val="24"/>
        </w:rPr>
        <w:t>.</w:t>
      </w:r>
      <w:r w:rsidR="00637722">
        <w:rPr>
          <w:rFonts w:ascii="Arial" w:eastAsia="Arial" w:hAnsi="Arial" w:cs="Arial"/>
          <w:color w:val="000000"/>
          <w:sz w:val="24"/>
          <w:szCs w:val="24"/>
        </w:rPr>
        <w:t xml:space="preserve"> He</w:t>
      </w:r>
      <w:r w:rsidR="00590C6C">
        <w:rPr>
          <w:rFonts w:ascii="Arial" w:eastAsia="Arial" w:hAnsi="Arial" w:cs="Arial"/>
          <w:color w:val="000000"/>
          <w:sz w:val="24"/>
          <w:szCs w:val="24"/>
        </w:rPr>
        <w:t xml:space="preserve"> proceeded to hold</w:t>
      </w:r>
      <w:r w:rsidR="00637722">
        <w:rPr>
          <w:rFonts w:ascii="Arial" w:eastAsia="Arial" w:hAnsi="Arial" w:cs="Arial"/>
          <w:color w:val="000000"/>
          <w:sz w:val="24"/>
          <w:szCs w:val="24"/>
        </w:rPr>
        <w:t xml:space="preserve"> that the contents of para 8.2.4 of the amended plea</w:t>
      </w:r>
      <w:r w:rsidR="00590C6C">
        <w:rPr>
          <w:rFonts w:ascii="Arial" w:eastAsia="Arial" w:hAnsi="Arial" w:cs="Arial"/>
          <w:color w:val="000000"/>
          <w:sz w:val="24"/>
          <w:szCs w:val="24"/>
        </w:rPr>
        <w:t xml:space="preserve"> had</w:t>
      </w:r>
      <w:r w:rsidR="00637722">
        <w:rPr>
          <w:rFonts w:ascii="Arial" w:eastAsia="Arial" w:hAnsi="Arial" w:cs="Arial"/>
          <w:color w:val="000000"/>
          <w:sz w:val="24"/>
          <w:szCs w:val="24"/>
        </w:rPr>
        <w:t xml:space="preserve"> been proved and had, in fact, been admitted in evidence by Mr van</w:t>
      </w:r>
      <w:r w:rsidR="004E5D4C">
        <w:rPr>
          <w:rFonts w:ascii="Arial" w:eastAsia="Arial" w:hAnsi="Arial" w:cs="Arial"/>
          <w:color w:val="000000"/>
          <w:sz w:val="24"/>
          <w:szCs w:val="24"/>
        </w:rPr>
        <w:t xml:space="preserve"> </w:t>
      </w:r>
      <w:r w:rsidR="00590C6C">
        <w:rPr>
          <w:rFonts w:ascii="Arial" w:eastAsia="Arial" w:hAnsi="Arial" w:cs="Arial"/>
          <w:color w:val="000000"/>
          <w:sz w:val="24"/>
          <w:szCs w:val="24"/>
        </w:rPr>
        <w:t xml:space="preserve">Eeden. As </w:t>
      </w:r>
      <w:r w:rsidR="00F25278">
        <w:rPr>
          <w:rFonts w:ascii="Arial" w:eastAsia="Arial" w:hAnsi="Arial" w:cs="Arial"/>
          <w:color w:val="000000"/>
          <w:sz w:val="24"/>
          <w:szCs w:val="24"/>
        </w:rPr>
        <w:t xml:space="preserve">it was common cause that </w:t>
      </w:r>
      <w:r w:rsidR="00590C6C">
        <w:rPr>
          <w:rFonts w:ascii="Arial" w:eastAsia="Arial" w:hAnsi="Arial" w:cs="Arial"/>
          <w:color w:val="000000"/>
          <w:sz w:val="24"/>
          <w:szCs w:val="24"/>
        </w:rPr>
        <w:t>the relevant amounts had not been recovered from the City of Cape Town,</w:t>
      </w:r>
      <w:r w:rsidR="00D84EFA">
        <w:rPr>
          <w:rFonts w:ascii="Arial" w:eastAsia="Arial" w:hAnsi="Arial" w:cs="Arial"/>
          <w:color w:val="000000"/>
          <w:sz w:val="24"/>
          <w:szCs w:val="24"/>
        </w:rPr>
        <w:t xml:space="preserve"> the appeal arbitrator held that</w:t>
      </w:r>
      <w:r w:rsidR="00590C6C">
        <w:rPr>
          <w:rFonts w:ascii="Arial" w:eastAsia="Arial" w:hAnsi="Arial" w:cs="Arial"/>
          <w:color w:val="000000"/>
          <w:sz w:val="24"/>
          <w:szCs w:val="24"/>
        </w:rPr>
        <w:t xml:space="preserve"> the 1.25 multiplication factor claim was premature</w:t>
      </w:r>
      <w:r w:rsidR="000C7127">
        <w:rPr>
          <w:rFonts w:ascii="Arial" w:eastAsia="Arial" w:hAnsi="Arial" w:cs="Arial"/>
          <w:color w:val="000000"/>
          <w:sz w:val="24"/>
          <w:szCs w:val="24"/>
        </w:rPr>
        <w:t xml:space="preserve"> and had to fail</w:t>
      </w:r>
      <w:r w:rsidR="00590C6C">
        <w:rPr>
          <w:rFonts w:ascii="Arial" w:eastAsia="Arial" w:hAnsi="Arial" w:cs="Arial"/>
          <w:color w:val="000000"/>
          <w:sz w:val="24"/>
          <w:szCs w:val="24"/>
        </w:rPr>
        <w:t>.</w:t>
      </w:r>
      <w:r w:rsidR="00847C27">
        <w:rPr>
          <w:rFonts w:ascii="Arial" w:eastAsia="Arial" w:hAnsi="Arial" w:cs="Arial"/>
          <w:color w:val="000000"/>
          <w:sz w:val="24"/>
          <w:szCs w:val="24"/>
        </w:rPr>
        <w:t xml:space="preserve"> </w:t>
      </w:r>
    </w:p>
    <w:p w14:paraId="28557A25" w14:textId="77777777" w:rsidR="002955C5"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723BAAFD"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b/>
          <w:color w:val="000000"/>
          <w:sz w:val="24"/>
          <w:szCs w:val="24"/>
        </w:rPr>
      </w:pPr>
      <w:r>
        <w:rPr>
          <w:rFonts w:ascii="Arial" w:eastAsia="Arial" w:hAnsi="Arial" w:cs="Arial"/>
          <w:b/>
          <w:color w:val="000000"/>
          <w:sz w:val="24"/>
          <w:szCs w:val="24"/>
        </w:rPr>
        <w:t>In the high court</w:t>
      </w:r>
    </w:p>
    <w:p w14:paraId="761BAC09" w14:textId="77777777" w:rsidR="009B34C2" w:rsidRPr="00CD23A5" w:rsidRDefault="0049474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[12</w:t>
      </w:r>
      <w:r w:rsidR="00CD23A5">
        <w:rPr>
          <w:rFonts w:ascii="Arial" w:eastAsia="Arial" w:hAnsi="Arial" w:cs="Arial"/>
          <w:color w:val="000000"/>
          <w:sz w:val="24"/>
          <w:szCs w:val="24"/>
        </w:rPr>
        <w:t>]</w:t>
      </w:r>
      <w:r w:rsidR="00CD23A5">
        <w:rPr>
          <w:rFonts w:ascii="Arial" w:eastAsia="Arial" w:hAnsi="Arial" w:cs="Arial"/>
          <w:color w:val="000000"/>
          <w:sz w:val="24"/>
          <w:szCs w:val="24"/>
        </w:rPr>
        <w:tab/>
      </w:r>
      <w:r w:rsidR="009B34C2" w:rsidRPr="00CD23A5">
        <w:rPr>
          <w:rFonts w:ascii="Arial" w:eastAsia="Arial" w:hAnsi="Arial" w:cs="Arial"/>
          <w:color w:val="000000"/>
          <w:sz w:val="24"/>
          <w:szCs w:val="24"/>
        </w:rPr>
        <w:t>In terms of s 33(1) of the Arbitration Act 42 of 1965 (the Act), an award may be reviewed and set aside where (</w:t>
      </w:r>
      <w:r w:rsidR="009B34C2" w:rsidRPr="00CD23A5">
        <w:rPr>
          <w:rFonts w:ascii="Arial" w:eastAsia="Arial" w:hAnsi="Arial" w:cs="Arial"/>
          <w:i/>
          <w:color w:val="000000"/>
          <w:sz w:val="24"/>
          <w:szCs w:val="24"/>
        </w:rPr>
        <w:t>a</w:t>
      </w:r>
      <w:r w:rsidR="009B34C2" w:rsidRPr="00CD23A5">
        <w:rPr>
          <w:rFonts w:ascii="Arial" w:eastAsia="Arial" w:hAnsi="Arial" w:cs="Arial"/>
          <w:color w:val="000000"/>
          <w:sz w:val="24"/>
          <w:szCs w:val="24"/>
        </w:rPr>
        <w:t>) an arbitrator has misconducted themselves in relation to their duties as arbitrator or (</w:t>
      </w:r>
      <w:r w:rsidR="009B34C2" w:rsidRPr="00CD23A5">
        <w:rPr>
          <w:rFonts w:ascii="Arial" w:eastAsia="Arial" w:hAnsi="Arial" w:cs="Arial"/>
          <w:i/>
          <w:color w:val="000000"/>
          <w:sz w:val="24"/>
          <w:szCs w:val="24"/>
        </w:rPr>
        <w:t>b</w:t>
      </w:r>
      <w:r w:rsidR="009B34C2" w:rsidRPr="00CD23A5">
        <w:rPr>
          <w:rFonts w:ascii="Arial" w:eastAsia="Arial" w:hAnsi="Arial" w:cs="Arial"/>
          <w:color w:val="000000"/>
          <w:sz w:val="24"/>
          <w:szCs w:val="24"/>
        </w:rPr>
        <w:t>) where an arbitrator has committed a gross irregularity or exceeded their powers in arbitration proceedings or (</w:t>
      </w:r>
      <w:r w:rsidR="009B34C2" w:rsidRPr="00CD23A5">
        <w:rPr>
          <w:rFonts w:ascii="Arial" w:eastAsia="Arial" w:hAnsi="Arial" w:cs="Arial"/>
          <w:i/>
          <w:color w:val="000000"/>
          <w:sz w:val="24"/>
          <w:szCs w:val="24"/>
        </w:rPr>
        <w:t>c</w:t>
      </w:r>
      <w:r w:rsidR="009B34C2" w:rsidRPr="00CD23A5">
        <w:rPr>
          <w:rFonts w:ascii="Arial" w:eastAsia="Arial" w:hAnsi="Arial" w:cs="Arial"/>
          <w:color w:val="000000"/>
          <w:sz w:val="24"/>
          <w:szCs w:val="24"/>
        </w:rPr>
        <w:t>) where an award was improperly attained. In the high court, JVE sought to have the decision of the appeal arbitrator set aside in terms of s 33(1)(</w:t>
      </w:r>
      <w:r w:rsidR="009B34C2" w:rsidRPr="00CD23A5">
        <w:rPr>
          <w:rFonts w:ascii="Arial" w:eastAsia="Arial" w:hAnsi="Arial" w:cs="Arial"/>
          <w:i/>
          <w:color w:val="000000"/>
          <w:sz w:val="24"/>
          <w:szCs w:val="24"/>
        </w:rPr>
        <w:t>b</w:t>
      </w:r>
      <w:r w:rsidR="009B34C2" w:rsidRPr="00CD23A5">
        <w:rPr>
          <w:rFonts w:ascii="Arial" w:eastAsia="Arial" w:hAnsi="Arial" w:cs="Arial"/>
          <w:color w:val="000000"/>
          <w:sz w:val="24"/>
          <w:szCs w:val="24"/>
        </w:rPr>
        <w:t>).</w:t>
      </w:r>
    </w:p>
    <w:p w14:paraId="1EA3C67D" w14:textId="77777777" w:rsidR="00CD23A5" w:rsidRDefault="00CD23A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0C026E93" w14:textId="77777777" w:rsidR="002955C5" w:rsidRDefault="0049474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[13</w:t>
      </w:r>
      <w:r w:rsidR="00CD23A5">
        <w:rPr>
          <w:rFonts w:ascii="Arial" w:eastAsia="Arial" w:hAnsi="Arial" w:cs="Arial"/>
          <w:color w:val="000000"/>
          <w:sz w:val="24"/>
          <w:szCs w:val="24"/>
        </w:rPr>
        <w:t>]</w:t>
      </w:r>
      <w:r w:rsidR="00CD23A5">
        <w:rPr>
          <w:rFonts w:ascii="Arial" w:eastAsia="Arial" w:hAnsi="Arial" w:cs="Arial"/>
          <w:color w:val="000000"/>
          <w:sz w:val="24"/>
          <w:szCs w:val="24"/>
        </w:rPr>
        <w:tab/>
      </w:r>
      <w:r w:rsidR="00847C27">
        <w:rPr>
          <w:rFonts w:ascii="Arial" w:eastAsia="Arial" w:hAnsi="Arial" w:cs="Arial"/>
          <w:color w:val="000000"/>
          <w:sz w:val="24"/>
          <w:szCs w:val="24"/>
        </w:rPr>
        <w:t xml:space="preserve">In the review proceedings before the high </w:t>
      </w:r>
      <w:r w:rsidR="00D67A1A">
        <w:rPr>
          <w:rFonts w:ascii="Arial" w:eastAsia="Arial" w:hAnsi="Arial" w:cs="Arial"/>
          <w:color w:val="000000"/>
          <w:sz w:val="24"/>
          <w:szCs w:val="24"/>
        </w:rPr>
        <w:t>court JVE</w:t>
      </w:r>
      <w:r w:rsidR="00847C27">
        <w:rPr>
          <w:rFonts w:ascii="Arial" w:eastAsia="Arial" w:hAnsi="Arial" w:cs="Arial"/>
          <w:color w:val="000000"/>
          <w:sz w:val="24"/>
          <w:szCs w:val="24"/>
        </w:rPr>
        <w:t xml:space="preserve"> acknowledged that an arbitrator was </w:t>
      </w:r>
      <w:r w:rsidR="00B06A93">
        <w:rPr>
          <w:rFonts w:ascii="Arial" w:eastAsia="Arial" w:hAnsi="Arial" w:cs="Arial"/>
          <w:color w:val="000000"/>
          <w:sz w:val="24"/>
          <w:szCs w:val="24"/>
        </w:rPr>
        <w:t>‘</w:t>
      </w:r>
      <w:r w:rsidR="00847C27">
        <w:rPr>
          <w:rFonts w:ascii="Arial" w:eastAsia="Arial" w:hAnsi="Arial" w:cs="Arial"/>
          <w:color w:val="000000"/>
          <w:sz w:val="24"/>
          <w:szCs w:val="24"/>
        </w:rPr>
        <w:t>entitled to be wrong</w:t>
      </w:r>
      <w:r w:rsidR="00B06A93">
        <w:rPr>
          <w:rFonts w:ascii="Arial" w:eastAsia="Arial" w:hAnsi="Arial" w:cs="Arial"/>
          <w:color w:val="000000"/>
          <w:sz w:val="24"/>
          <w:szCs w:val="24"/>
        </w:rPr>
        <w:t>’</w:t>
      </w:r>
      <w:r w:rsidR="00847C27">
        <w:rPr>
          <w:rFonts w:ascii="Arial" w:eastAsia="Arial" w:hAnsi="Arial" w:cs="Arial"/>
          <w:color w:val="000000"/>
          <w:sz w:val="24"/>
          <w:szCs w:val="24"/>
        </w:rPr>
        <w:t xml:space="preserve">. </w:t>
      </w:r>
      <w:r w:rsidR="00B06A93">
        <w:rPr>
          <w:rFonts w:ascii="Arial" w:eastAsia="Arial" w:hAnsi="Arial" w:cs="Arial"/>
          <w:color w:val="000000"/>
          <w:sz w:val="24"/>
          <w:szCs w:val="24"/>
        </w:rPr>
        <w:t>I</w:t>
      </w:r>
      <w:r w:rsidR="00C95421">
        <w:rPr>
          <w:rFonts w:ascii="Arial" w:eastAsia="Arial" w:hAnsi="Arial" w:cs="Arial"/>
          <w:color w:val="000000"/>
          <w:sz w:val="24"/>
          <w:szCs w:val="24"/>
        </w:rPr>
        <w:t xml:space="preserve">t contended, however, that the appeal arbitrator had exceeded his powers and/or committed a gross irregularity in the conduct of the proceedings by determining the two relevant claims on a basis not pleaded at all (the amendment of JVE1 agreement) and not pleaded in </w:t>
      </w:r>
      <w:r w:rsidR="00BD3524">
        <w:rPr>
          <w:rFonts w:ascii="Arial" w:eastAsia="Arial" w:hAnsi="Arial" w:cs="Arial"/>
          <w:color w:val="000000"/>
          <w:sz w:val="24"/>
          <w:szCs w:val="24"/>
        </w:rPr>
        <w:t>answer to these claims (para 8</w:t>
      </w:r>
      <w:r w:rsidR="00C95421">
        <w:rPr>
          <w:rFonts w:ascii="Arial" w:eastAsia="Arial" w:hAnsi="Arial" w:cs="Arial"/>
          <w:color w:val="000000"/>
          <w:sz w:val="24"/>
          <w:szCs w:val="24"/>
        </w:rPr>
        <w:t>.2</w:t>
      </w:r>
      <w:r w:rsidR="00BD3524">
        <w:rPr>
          <w:rFonts w:ascii="Arial" w:eastAsia="Arial" w:hAnsi="Arial" w:cs="Arial"/>
          <w:color w:val="000000"/>
          <w:sz w:val="24"/>
          <w:szCs w:val="24"/>
        </w:rPr>
        <w:t>.4</w:t>
      </w:r>
      <w:r w:rsidR="00C95421">
        <w:rPr>
          <w:rFonts w:ascii="Arial" w:eastAsia="Arial" w:hAnsi="Arial" w:cs="Arial"/>
          <w:color w:val="000000"/>
          <w:sz w:val="24"/>
          <w:szCs w:val="24"/>
        </w:rPr>
        <w:t xml:space="preserve"> </w:t>
      </w:r>
      <w:r w:rsidR="00021F98">
        <w:rPr>
          <w:rFonts w:ascii="Arial" w:eastAsia="Arial" w:hAnsi="Arial" w:cs="Arial"/>
          <w:color w:val="000000"/>
          <w:sz w:val="24"/>
          <w:szCs w:val="24"/>
        </w:rPr>
        <w:t>of the a</w:t>
      </w:r>
      <w:r w:rsidR="00C95421">
        <w:rPr>
          <w:rFonts w:ascii="Arial" w:eastAsia="Arial" w:hAnsi="Arial" w:cs="Arial"/>
          <w:color w:val="000000"/>
          <w:sz w:val="24"/>
          <w:szCs w:val="24"/>
        </w:rPr>
        <w:t xml:space="preserve">mended plea). </w:t>
      </w:r>
    </w:p>
    <w:p w14:paraId="5458A39D" w14:textId="77777777" w:rsidR="002955C5"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6789B04C" w14:textId="77777777" w:rsidR="002955C5" w:rsidRPr="009B34C2" w:rsidRDefault="0049474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[14</w:t>
      </w:r>
      <w:r w:rsidR="00CD23A5">
        <w:rPr>
          <w:rFonts w:ascii="Arial" w:eastAsia="Arial" w:hAnsi="Arial" w:cs="Arial"/>
          <w:color w:val="000000"/>
          <w:sz w:val="24"/>
          <w:szCs w:val="24"/>
        </w:rPr>
        <w:t>]</w:t>
      </w:r>
      <w:r w:rsidR="00CD23A5">
        <w:rPr>
          <w:rFonts w:ascii="Arial" w:eastAsia="Arial" w:hAnsi="Arial" w:cs="Arial"/>
          <w:color w:val="000000"/>
          <w:sz w:val="24"/>
          <w:szCs w:val="24"/>
        </w:rPr>
        <w:tab/>
      </w:r>
      <w:r w:rsidR="00847C27">
        <w:rPr>
          <w:rFonts w:ascii="Arial" w:eastAsia="Arial" w:hAnsi="Arial" w:cs="Arial"/>
          <w:color w:val="000000"/>
          <w:sz w:val="24"/>
          <w:szCs w:val="24"/>
        </w:rPr>
        <w:t>The high court found that the appeal arbitrat</w:t>
      </w:r>
      <w:r w:rsidR="00A90CEE">
        <w:rPr>
          <w:rFonts w:ascii="Arial" w:eastAsia="Arial" w:hAnsi="Arial" w:cs="Arial"/>
          <w:color w:val="000000"/>
          <w:sz w:val="24"/>
          <w:szCs w:val="24"/>
        </w:rPr>
        <w:t xml:space="preserve">or ‘considered the </w:t>
      </w:r>
      <w:r w:rsidR="00CD23A5">
        <w:rPr>
          <w:rFonts w:ascii="Arial" w:eastAsia="Arial" w:hAnsi="Arial" w:cs="Arial"/>
          <w:color w:val="000000"/>
          <w:sz w:val="24"/>
          <w:szCs w:val="24"/>
        </w:rPr>
        <w:t>arbitrator’s</w:t>
      </w:r>
      <w:r w:rsidR="00CD23A5" w:rsidRPr="009B34C2">
        <w:rPr>
          <w:rFonts w:ascii="Arial" w:eastAsia="Arial" w:hAnsi="Arial" w:cs="Arial"/>
          <w:color w:val="000000"/>
          <w:sz w:val="24"/>
          <w:szCs w:val="24"/>
        </w:rPr>
        <w:t xml:space="preserve"> approach</w:t>
      </w:r>
      <w:r w:rsidR="00847C27" w:rsidRPr="009B34C2">
        <w:rPr>
          <w:rFonts w:ascii="Arial" w:eastAsia="Arial" w:hAnsi="Arial" w:cs="Arial"/>
          <w:color w:val="000000"/>
          <w:sz w:val="24"/>
          <w:szCs w:val="24"/>
        </w:rPr>
        <w:t xml:space="preserve"> and findings, [in relation to] paragraph 8.2.4 of the amended Plea’ with reference to the concession of Mr Van Eeden during cross examination.  It concluded that ‘[t]he aspect regarding the oral agreement concluded between the parties in </w:t>
      </w:r>
      <w:r w:rsidR="00847C27" w:rsidRPr="009B34C2">
        <w:rPr>
          <w:rFonts w:ascii="Arial" w:eastAsia="Arial" w:hAnsi="Arial" w:cs="Arial"/>
          <w:color w:val="000000"/>
          <w:sz w:val="24"/>
          <w:szCs w:val="24"/>
        </w:rPr>
        <w:lastRenderedPageBreak/>
        <w:t>August/September 2009, and on which evidence was lead, was specifically pleaded at paragraph 8.2.4 of the amended Plea’. Thus, the high court dismissed the review application, as it found that the appeal arbitrator acted within his powers when he made his finding as regards the oral agreement.</w:t>
      </w:r>
    </w:p>
    <w:p w14:paraId="283D53E3" w14:textId="77777777" w:rsidR="00A90CEE" w:rsidRPr="00665D84" w:rsidRDefault="00A90CEE"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53C8041B" w14:textId="77777777" w:rsidR="003E1945" w:rsidRDefault="00847C27" w:rsidP="00665D84">
      <w:pPr>
        <w:spacing w:line="360" w:lineRule="auto"/>
        <w:ind w:right="72"/>
        <w:rPr>
          <w:rFonts w:ascii="Arial" w:eastAsia="Arial" w:hAnsi="Arial" w:cs="Arial"/>
          <w:b/>
          <w:sz w:val="24"/>
          <w:szCs w:val="24"/>
        </w:rPr>
      </w:pPr>
      <w:r>
        <w:rPr>
          <w:rFonts w:ascii="Arial" w:eastAsia="Arial" w:hAnsi="Arial" w:cs="Arial"/>
          <w:b/>
          <w:sz w:val="24"/>
          <w:szCs w:val="24"/>
        </w:rPr>
        <w:t>The law</w:t>
      </w:r>
    </w:p>
    <w:p w14:paraId="3B525514" w14:textId="77777777" w:rsidR="00665D84" w:rsidRDefault="00910C6D" w:rsidP="00665D84">
      <w:pPr>
        <w:spacing w:line="360" w:lineRule="auto"/>
        <w:ind w:right="74"/>
        <w:jc w:val="both"/>
        <w:rPr>
          <w:rFonts w:ascii="Arial" w:eastAsia="Arial" w:hAnsi="Arial" w:cs="Arial"/>
          <w:color w:val="000000"/>
          <w:sz w:val="24"/>
          <w:szCs w:val="24"/>
        </w:rPr>
      </w:pPr>
      <w:r>
        <w:rPr>
          <w:rFonts w:ascii="Arial" w:eastAsia="Arial" w:hAnsi="Arial" w:cs="Arial"/>
          <w:sz w:val="24"/>
          <w:szCs w:val="24"/>
        </w:rPr>
        <w:t>[15</w:t>
      </w:r>
      <w:r w:rsidR="003E1945" w:rsidRPr="003E1945">
        <w:rPr>
          <w:rFonts w:ascii="Arial" w:eastAsia="Arial" w:hAnsi="Arial" w:cs="Arial"/>
          <w:sz w:val="24"/>
          <w:szCs w:val="24"/>
        </w:rPr>
        <w:t>]</w:t>
      </w:r>
      <w:r w:rsidR="003E1945">
        <w:rPr>
          <w:rFonts w:ascii="Arial" w:eastAsia="Arial" w:hAnsi="Arial" w:cs="Arial"/>
          <w:b/>
          <w:sz w:val="24"/>
          <w:szCs w:val="24"/>
        </w:rPr>
        <w:tab/>
      </w:r>
      <w:r w:rsidR="00847C27">
        <w:rPr>
          <w:rFonts w:ascii="Arial" w:eastAsia="Arial" w:hAnsi="Arial" w:cs="Arial"/>
          <w:color w:val="000000"/>
          <w:sz w:val="24"/>
          <w:szCs w:val="24"/>
        </w:rPr>
        <w:t>The terms of the Act, though no specific mention is made of appeal arbitrations, ‘clearly enable an agreement to refer an arbitrator’s award to an appeal body, and the provisions of the Act must apply to an appeal tribunal, and its award, in the same way as they do to an arbitration and an arbitral award.’</w:t>
      </w:r>
      <w:r w:rsidR="00847C27">
        <w:rPr>
          <w:rFonts w:ascii="Arial" w:eastAsia="Arial" w:hAnsi="Arial" w:cs="Arial"/>
          <w:color w:val="000000"/>
          <w:sz w:val="24"/>
          <w:szCs w:val="24"/>
          <w:vertAlign w:val="superscript"/>
        </w:rPr>
        <w:footnoteReference w:id="3"/>
      </w:r>
      <w:r w:rsidR="00847C27">
        <w:rPr>
          <w:rFonts w:ascii="Arial" w:eastAsia="Arial" w:hAnsi="Arial" w:cs="Arial"/>
          <w:color w:val="000000"/>
          <w:sz w:val="24"/>
          <w:szCs w:val="24"/>
        </w:rPr>
        <w:t xml:space="preserve"> </w:t>
      </w:r>
      <w:r w:rsidR="00F365FC">
        <w:rPr>
          <w:rFonts w:ascii="Arial" w:eastAsia="Arial" w:hAnsi="Arial" w:cs="Arial"/>
          <w:color w:val="000000"/>
          <w:sz w:val="24"/>
          <w:szCs w:val="24"/>
        </w:rPr>
        <w:t xml:space="preserve">It follows that </w:t>
      </w:r>
      <w:r w:rsidR="00D67A1A">
        <w:rPr>
          <w:rFonts w:ascii="Arial" w:eastAsia="Arial" w:hAnsi="Arial" w:cs="Arial"/>
          <w:color w:val="000000"/>
          <w:sz w:val="24"/>
          <w:szCs w:val="24"/>
        </w:rPr>
        <w:t>should the</w:t>
      </w:r>
      <w:r w:rsidR="00F365FC">
        <w:rPr>
          <w:rFonts w:ascii="Arial" w:eastAsia="Arial" w:hAnsi="Arial" w:cs="Arial"/>
          <w:color w:val="000000"/>
          <w:sz w:val="24"/>
          <w:szCs w:val="24"/>
        </w:rPr>
        <w:t xml:space="preserve"> appeal arbitration award be set aside on review, the original arbitration </w:t>
      </w:r>
      <w:r w:rsidR="00804C72">
        <w:rPr>
          <w:rFonts w:ascii="Arial" w:eastAsia="Arial" w:hAnsi="Arial" w:cs="Arial"/>
          <w:color w:val="000000"/>
          <w:sz w:val="24"/>
          <w:szCs w:val="24"/>
        </w:rPr>
        <w:t xml:space="preserve">award would </w:t>
      </w:r>
      <w:r w:rsidR="00F365FC">
        <w:rPr>
          <w:rFonts w:ascii="Arial" w:eastAsia="Arial" w:hAnsi="Arial" w:cs="Arial"/>
          <w:color w:val="000000"/>
          <w:sz w:val="24"/>
          <w:szCs w:val="24"/>
        </w:rPr>
        <w:t xml:space="preserve">not </w:t>
      </w:r>
      <w:r w:rsidR="00060C23">
        <w:rPr>
          <w:rFonts w:ascii="Arial" w:eastAsia="Arial" w:hAnsi="Arial" w:cs="Arial"/>
          <w:color w:val="000000"/>
          <w:sz w:val="24"/>
          <w:szCs w:val="24"/>
        </w:rPr>
        <w:t>be</w:t>
      </w:r>
      <w:r w:rsidR="00804C72">
        <w:rPr>
          <w:rFonts w:ascii="Arial" w:eastAsia="Arial" w:hAnsi="Arial" w:cs="Arial"/>
          <w:color w:val="000000"/>
          <w:sz w:val="24"/>
          <w:szCs w:val="24"/>
        </w:rPr>
        <w:t xml:space="preserve"> </w:t>
      </w:r>
      <w:r w:rsidR="00F365FC">
        <w:rPr>
          <w:rFonts w:ascii="Arial" w:eastAsia="Arial" w:hAnsi="Arial" w:cs="Arial"/>
          <w:color w:val="000000"/>
          <w:sz w:val="24"/>
          <w:szCs w:val="24"/>
        </w:rPr>
        <w:t>revived or reinstated, but s 33</w:t>
      </w:r>
      <w:r w:rsidR="00804C72">
        <w:rPr>
          <w:rFonts w:ascii="Arial" w:eastAsia="Arial" w:hAnsi="Arial" w:cs="Arial"/>
          <w:color w:val="000000"/>
          <w:sz w:val="24"/>
          <w:szCs w:val="24"/>
        </w:rPr>
        <w:t xml:space="preserve">(4) of the Act </w:t>
      </w:r>
      <w:r w:rsidR="00804C72" w:rsidRPr="00060C23">
        <w:rPr>
          <w:rFonts w:ascii="Arial" w:eastAsia="Arial" w:hAnsi="Arial" w:cs="Arial"/>
          <w:color w:val="000000"/>
          <w:sz w:val="24"/>
          <w:szCs w:val="24"/>
        </w:rPr>
        <w:t>find</w:t>
      </w:r>
      <w:r w:rsidR="00EF292E" w:rsidRPr="00060C23">
        <w:rPr>
          <w:rFonts w:ascii="Arial" w:eastAsia="Arial" w:hAnsi="Arial" w:cs="Arial"/>
          <w:color w:val="000000"/>
          <w:sz w:val="24"/>
          <w:szCs w:val="24"/>
        </w:rPr>
        <w:t>s</w:t>
      </w:r>
      <w:r w:rsidR="00F365FC" w:rsidRPr="00060C23">
        <w:rPr>
          <w:rFonts w:ascii="Arial" w:eastAsia="Arial" w:hAnsi="Arial" w:cs="Arial"/>
          <w:color w:val="000000"/>
          <w:sz w:val="24"/>
          <w:szCs w:val="24"/>
        </w:rPr>
        <w:t xml:space="preserve"> application</w:t>
      </w:r>
      <w:r w:rsidR="00F365FC">
        <w:rPr>
          <w:rFonts w:ascii="Arial" w:eastAsia="Arial" w:hAnsi="Arial" w:cs="Arial"/>
          <w:color w:val="000000"/>
          <w:sz w:val="24"/>
          <w:szCs w:val="24"/>
        </w:rPr>
        <w:t xml:space="preserve">. It provides that in such a case the dispute must at the request of any of the parties be submitted to a new arbitration tribunal constituted in the manner directed </w:t>
      </w:r>
      <w:r w:rsidR="007C5CB9">
        <w:rPr>
          <w:rFonts w:ascii="Arial" w:eastAsia="Arial" w:hAnsi="Arial" w:cs="Arial"/>
          <w:color w:val="000000"/>
          <w:sz w:val="24"/>
          <w:szCs w:val="24"/>
        </w:rPr>
        <w:t>by the court.</w:t>
      </w:r>
    </w:p>
    <w:p w14:paraId="6096AEDD" w14:textId="77777777" w:rsidR="00665D84" w:rsidRDefault="00665D84" w:rsidP="00665D84">
      <w:pPr>
        <w:spacing w:line="360" w:lineRule="auto"/>
        <w:ind w:right="74"/>
        <w:jc w:val="both"/>
        <w:rPr>
          <w:rFonts w:ascii="Arial" w:eastAsia="Arial" w:hAnsi="Arial" w:cs="Arial"/>
          <w:sz w:val="24"/>
          <w:szCs w:val="24"/>
        </w:rPr>
      </w:pPr>
    </w:p>
    <w:p w14:paraId="0FBF42E2" w14:textId="77777777" w:rsidR="007C5CB9" w:rsidRDefault="009B34C2" w:rsidP="00665D84">
      <w:pPr>
        <w:spacing w:line="360" w:lineRule="auto"/>
        <w:ind w:right="74"/>
        <w:jc w:val="both"/>
        <w:rPr>
          <w:rFonts w:ascii="Arial" w:eastAsia="Arial" w:hAnsi="Arial" w:cs="Arial"/>
          <w:color w:val="000000"/>
          <w:sz w:val="24"/>
          <w:szCs w:val="24"/>
        </w:rPr>
      </w:pPr>
      <w:r>
        <w:rPr>
          <w:rFonts w:ascii="Arial" w:eastAsia="Arial" w:hAnsi="Arial" w:cs="Arial"/>
          <w:sz w:val="24"/>
          <w:szCs w:val="24"/>
        </w:rPr>
        <w:t>[</w:t>
      </w:r>
      <w:r w:rsidR="00182088">
        <w:rPr>
          <w:rFonts w:ascii="Arial" w:eastAsia="Arial" w:hAnsi="Arial" w:cs="Arial"/>
          <w:sz w:val="24"/>
          <w:szCs w:val="24"/>
        </w:rPr>
        <w:t>16</w:t>
      </w:r>
      <w:r>
        <w:rPr>
          <w:rFonts w:ascii="Arial" w:eastAsia="Arial" w:hAnsi="Arial" w:cs="Arial"/>
          <w:sz w:val="24"/>
          <w:szCs w:val="24"/>
        </w:rPr>
        <w:t xml:space="preserve">]   </w:t>
      </w:r>
      <w:r w:rsidR="001C52C7">
        <w:rPr>
          <w:rFonts w:ascii="Arial" w:eastAsia="Arial" w:hAnsi="Arial" w:cs="Arial"/>
          <w:color w:val="000000"/>
          <w:sz w:val="24"/>
          <w:szCs w:val="24"/>
        </w:rPr>
        <w:t>Harms JA</w:t>
      </w:r>
      <w:r w:rsidR="007C5CB9">
        <w:rPr>
          <w:rFonts w:ascii="Arial" w:eastAsia="Arial" w:hAnsi="Arial" w:cs="Arial"/>
          <w:color w:val="000000"/>
          <w:sz w:val="24"/>
          <w:szCs w:val="24"/>
        </w:rPr>
        <w:t>,</w:t>
      </w:r>
      <w:r w:rsidR="001C52C7">
        <w:rPr>
          <w:rFonts w:ascii="Arial" w:eastAsia="Arial" w:hAnsi="Arial" w:cs="Arial"/>
          <w:color w:val="000000"/>
          <w:sz w:val="24"/>
          <w:szCs w:val="24"/>
        </w:rPr>
        <w:t xml:space="preserve"> in </w:t>
      </w:r>
      <w:r w:rsidR="001C52C7">
        <w:rPr>
          <w:rFonts w:ascii="Arial" w:eastAsia="Arial" w:hAnsi="Arial" w:cs="Arial"/>
          <w:i/>
          <w:color w:val="000000"/>
          <w:sz w:val="24"/>
          <w:szCs w:val="24"/>
        </w:rPr>
        <w:t>Telcordia Technologies Inc v Telkom SA Ltd</w:t>
      </w:r>
      <w:r w:rsidR="001C52C7" w:rsidRPr="00652F22">
        <w:rPr>
          <w:rFonts w:ascii="Arial" w:eastAsia="Arial" w:hAnsi="Arial" w:cs="Arial"/>
          <w:color w:val="000000"/>
          <w:sz w:val="24"/>
          <w:szCs w:val="24"/>
          <w:vertAlign w:val="superscript"/>
        </w:rPr>
        <w:footnoteReference w:id="4"/>
      </w:r>
      <w:r w:rsidR="00D67A1A" w:rsidRPr="00652F22">
        <w:rPr>
          <w:rFonts w:ascii="Arial" w:eastAsia="Arial" w:hAnsi="Arial" w:cs="Arial"/>
          <w:color w:val="000000"/>
          <w:sz w:val="24"/>
          <w:szCs w:val="24"/>
        </w:rPr>
        <w:t>,</w:t>
      </w:r>
      <w:r w:rsidR="00D67A1A">
        <w:rPr>
          <w:rFonts w:ascii="Arial" w:eastAsia="Arial" w:hAnsi="Arial" w:cs="Arial"/>
          <w:color w:val="000000"/>
          <w:sz w:val="24"/>
          <w:szCs w:val="24"/>
        </w:rPr>
        <w:t xml:space="preserve"> said</w:t>
      </w:r>
      <w:r w:rsidR="001C52C7">
        <w:rPr>
          <w:rFonts w:ascii="Arial" w:eastAsia="Arial" w:hAnsi="Arial" w:cs="Arial"/>
          <w:color w:val="000000"/>
          <w:sz w:val="24"/>
          <w:szCs w:val="24"/>
        </w:rPr>
        <w:t xml:space="preserve"> the following:</w:t>
      </w:r>
    </w:p>
    <w:p w14:paraId="37758F79" w14:textId="77777777" w:rsidR="002955C5" w:rsidRDefault="001C52C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 xml:space="preserve"> </w:t>
      </w:r>
      <w:r>
        <w:rPr>
          <w:rFonts w:ascii="Arial" w:eastAsia="Arial" w:hAnsi="Arial" w:cs="Arial"/>
          <w:color w:val="000000"/>
        </w:rPr>
        <w:t>‘</w:t>
      </w:r>
      <w:r>
        <w:rPr>
          <w:rFonts w:ascii="Arial" w:eastAsia="Arial" w:hAnsi="Arial" w:cs="Arial"/>
          <w:color w:val="242121"/>
        </w:rPr>
        <w:t>The fact that the arbitrator may have either misinterpreted the agreement, failed to apply South African law correctly, or had regard to inadmissible evidence does not mean that he misconceived the nature of the inquiry or his duties in connection therewith. It only means that he erred in the performance of his duties. An arbitrator ‘has the right to be wrong’ on the merits of the case, and it is a perversion of language and logic to label mistakes of this kind as a misconception of the </w:t>
      </w:r>
      <w:r>
        <w:rPr>
          <w:rFonts w:ascii="Arial" w:eastAsia="Arial" w:hAnsi="Arial" w:cs="Arial"/>
          <w:i/>
          <w:color w:val="242121"/>
        </w:rPr>
        <w:t>nature of the inquiry</w:t>
      </w:r>
      <w:r>
        <w:rPr>
          <w:rFonts w:ascii="Arial" w:eastAsia="Arial" w:hAnsi="Arial" w:cs="Arial"/>
          <w:color w:val="242121"/>
        </w:rPr>
        <w:t> – they may be misconceptions about meaning, law or the admissibility of evidence but that is a far cry from saying that they constitute a misconception of the nature of the inquiry. To adapt the quoted words of Hoexter JA: It cannot be said that the wrong interpretation of the Integrated Agreement prevented the arbitrator from fulfilling his agreed function or from considering the matter left to him for decision. On the contrary, in interpreting the Integrated Agreement the arbitrator was actually fulfilling the function assigned to him by the parties, and it follows that the wrong interpretation of the Integrated Agreement could not afford any ground for review by a court.’</w:t>
      </w:r>
      <w:r>
        <w:rPr>
          <w:rFonts w:ascii="Arial" w:eastAsia="Arial" w:hAnsi="Arial" w:cs="Arial"/>
          <w:color w:val="000000"/>
          <w:sz w:val="24"/>
          <w:szCs w:val="24"/>
          <w:vertAlign w:val="superscript"/>
        </w:rPr>
        <w:t xml:space="preserve"> </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xml:space="preserve"> </w:t>
      </w:r>
    </w:p>
    <w:p w14:paraId="340DF7B7" w14:textId="77777777" w:rsidR="002955C5" w:rsidRDefault="002955C5"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16E4EA65" w14:textId="77777777" w:rsidR="002955C5" w:rsidRDefault="0018208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[17</w:t>
      </w:r>
      <w:r w:rsidR="00D1625C">
        <w:rPr>
          <w:rFonts w:ascii="Arial" w:eastAsia="Arial" w:hAnsi="Arial" w:cs="Arial"/>
          <w:color w:val="000000"/>
          <w:sz w:val="24"/>
          <w:szCs w:val="24"/>
        </w:rPr>
        <w:t>]</w:t>
      </w:r>
      <w:r w:rsidR="00D1625C">
        <w:rPr>
          <w:rFonts w:ascii="Arial" w:eastAsia="Arial" w:hAnsi="Arial" w:cs="Arial"/>
          <w:color w:val="000000"/>
          <w:sz w:val="24"/>
          <w:szCs w:val="24"/>
        </w:rPr>
        <w:tab/>
      </w:r>
      <w:r w:rsidR="00847C27">
        <w:rPr>
          <w:rFonts w:ascii="Arial" w:eastAsia="Arial" w:hAnsi="Arial" w:cs="Arial"/>
          <w:color w:val="000000"/>
          <w:sz w:val="24"/>
          <w:szCs w:val="24"/>
        </w:rPr>
        <w:t xml:space="preserve">I am </w:t>
      </w:r>
      <w:r w:rsidR="001C52C7">
        <w:rPr>
          <w:rFonts w:ascii="Arial" w:eastAsia="Arial" w:hAnsi="Arial" w:cs="Arial"/>
          <w:color w:val="000000"/>
          <w:sz w:val="24"/>
          <w:szCs w:val="24"/>
        </w:rPr>
        <w:t xml:space="preserve">also </w:t>
      </w:r>
      <w:r w:rsidR="00847C27">
        <w:rPr>
          <w:rFonts w:ascii="Arial" w:eastAsia="Arial" w:hAnsi="Arial" w:cs="Arial"/>
          <w:color w:val="000000"/>
          <w:sz w:val="24"/>
          <w:szCs w:val="24"/>
        </w:rPr>
        <w:t xml:space="preserve">mindful of what Wallis JA stated in </w:t>
      </w:r>
      <w:r w:rsidR="00847C27">
        <w:rPr>
          <w:rFonts w:ascii="Arial" w:eastAsia="Arial" w:hAnsi="Arial" w:cs="Arial"/>
          <w:i/>
          <w:color w:val="000000"/>
          <w:sz w:val="24"/>
          <w:szCs w:val="24"/>
        </w:rPr>
        <w:t>Palabora Copper (Pty) Ltd v Motlokwa Transport &amp; Construction (Pty) Ltd</w:t>
      </w:r>
      <w:r w:rsidR="00847C27">
        <w:rPr>
          <w:rFonts w:ascii="Arial" w:eastAsia="Arial" w:hAnsi="Arial" w:cs="Arial"/>
          <w:color w:val="000000"/>
          <w:sz w:val="24"/>
          <w:szCs w:val="24"/>
        </w:rPr>
        <w:t>,</w:t>
      </w:r>
      <w:r w:rsidR="00847C27">
        <w:rPr>
          <w:rFonts w:ascii="Arial" w:eastAsia="Arial" w:hAnsi="Arial" w:cs="Arial"/>
          <w:color w:val="000000"/>
          <w:sz w:val="24"/>
          <w:szCs w:val="24"/>
          <w:vertAlign w:val="superscript"/>
        </w:rPr>
        <w:footnoteReference w:id="6"/>
      </w:r>
      <w:r w:rsidR="00847C27">
        <w:rPr>
          <w:rFonts w:ascii="Arial" w:eastAsia="Arial" w:hAnsi="Arial" w:cs="Arial"/>
          <w:color w:val="000000"/>
          <w:sz w:val="24"/>
          <w:szCs w:val="24"/>
        </w:rPr>
        <w:t xml:space="preserve"> that ‘[i]t suffices to say that where an arbitrator for some reason misconceives the nature of the enquiry in the arbitration proceedings with the result that a party is denied a fair hearing or a fair trial of issues that constitutes a gross irregularity. The party alleging the gross irregularity must establish it. Where an arbitrator engages in the correct enquiry, but errs either on the facts or the law, that is not an irregularity and is not a basis for setting aside an award. If the parties choose arbitration, courts endeavour to uphold their choice and do not lightly disturb it. The attack on the award must be measured against these standards.’</w:t>
      </w:r>
      <w:r w:rsidR="00847C27">
        <w:rPr>
          <w:rFonts w:ascii="Arial" w:eastAsia="Arial" w:hAnsi="Arial" w:cs="Arial"/>
          <w:color w:val="000000"/>
          <w:sz w:val="24"/>
          <w:szCs w:val="24"/>
          <w:vertAlign w:val="superscript"/>
        </w:rPr>
        <w:footnoteReference w:id="7"/>
      </w:r>
      <w:r w:rsidR="00847C27">
        <w:rPr>
          <w:rFonts w:ascii="Arial" w:eastAsia="Arial" w:hAnsi="Arial" w:cs="Arial"/>
          <w:color w:val="000000"/>
          <w:sz w:val="24"/>
          <w:szCs w:val="24"/>
        </w:rPr>
        <w:t xml:space="preserve">    </w:t>
      </w:r>
    </w:p>
    <w:p w14:paraId="6700E008" w14:textId="77777777" w:rsidR="002955C5" w:rsidRPr="0087327B"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279F8DB7" w14:textId="77777777" w:rsidR="007C5CB9" w:rsidRPr="00D1625C" w:rsidRDefault="0018208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[18</w:t>
      </w:r>
      <w:r w:rsidR="007C5CB9">
        <w:rPr>
          <w:rFonts w:ascii="Arial" w:eastAsia="Arial" w:hAnsi="Arial" w:cs="Arial"/>
          <w:color w:val="000000"/>
          <w:sz w:val="24"/>
          <w:szCs w:val="24"/>
        </w:rPr>
        <w:t xml:space="preserve">]   </w:t>
      </w:r>
      <w:r w:rsidR="0089053B">
        <w:rPr>
          <w:rFonts w:ascii="Arial" w:eastAsia="Arial" w:hAnsi="Arial" w:cs="Arial"/>
          <w:color w:val="000000"/>
          <w:sz w:val="24"/>
          <w:szCs w:val="24"/>
        </w:rPr>
        <w:t>An arbitrator has only the power</w:t>
      </w:r>
      <w:r w:rsidR="007D0315">
        <w:rPr>
          <w:rFonts w:ascii="Arial" w:eastAsia="Arial" w:hAnsi="Arial" w:cs="Arial"/>
          <w:color w:val="000000"/>
          <w:sz w:val="24"/>
          <w:szCs w:val="24"/>
        </w:rPr>
        <w:t>s</w:t>
      </w:r>
      <w:r w:rsidR="0089053B">
        <w:rPr>
          <w:rFonts w:ascii="Arial" w:eastAsia="Arial" w:hAnsi="Arial" w:cs="Arial"/>
          <w:color w:val="000000"/>
          <w:sz w:val="24"/>
          <w:szCs w:val="24"/>
        </w:rPr>
        <w:t xml:space="preserve"> afforded to her or him in</w:t>
      </w:r>
      <w:r w:rsidR="007D0315">
        <w:rPr>
          <w:rFonts w:ascii="Arial" w:eastAsia="Arial" w:hAnsi="Arial" w:cs="Arial"/>
          <w:color w:val="000000"/>
          <w:sz w:val="24"/>
          <w:szCs w:val="24"/>
        </w:rPr>
        <w:t xml:space="preserve"> </w:t>
      </w:r>
      <w:r w:rsidR="0089053B">
        <w:rPr>
          <w:rFonts w:ascii="Arial" w:eastAsia="Arial" w:hAnsi="Arial" w:cs="Arial"/>
          <w:color w:val="000000"/>
          <w:sz w:val="24"/>
          <w:szCs w:val="24"/>
        </w:rPr>
        <w:t>terms of the relevant arbitration agreement</w:t>
      </w:r>
      <w:r w:rsidR="00804C72">
        <w:rPr>
          <w:rFonts w:ascii="Arial" w:eastAsia="Arial" w:hAnsi="Arial" w:cs="Arial"/>
          <w:color w:val="000000"/>
          <w:sz w:val="24"/>
          <w:szCs w:val="24"/>
        </w:rPr>
        <w:t>; the arbitrator</w:t>
      </w:r>
      <w:r w:rsidR="007D0315">
        <w:rPr>
          <w:rFonts w:ascii="Arial" w:eastAsia="Arial" w:hAnsi="Arial" w:cs="Arial"/>
          <w:color w:val="000000"/>
          <w:sz w:val="24"/>
          <w:szCs w:val="24"/>
        </w:rPr>
        <w:t xml:space="preserve"> has no inherent power</w:t>
      </w:r>
      <w:r w:rsidR="00847C27">
        <w:rPr>
          <w:rFonts w:ascii="Arial" w:eastAsia="Arial" w:hAnsi="Arial" w:cs="Arial"/>
          <w:color w:val="000000"/>
          <w:sz w:val="24"/>
          <w:szCs w:val="24"/>
        </w:rPr>
        <w:t>.</w:t>
      </w:r>
      <w:r w:rsidR="007C5CB9">
        <w:rPr>
          <w:rFonts w:ascii="Arial" w:eastAsia="Arial" w:hAnsi="Arial" w:cs="Arial"/>
          <w:color w:val="000000"/>
          <w:sz w:val="24"/>
          <w:szCs w:val="24"/>
        </w:rPr>
        <w:t xml:space="preserve"> Lewis JA articulated this as follows: </w:t>
      </w:r>
    </w:p>
    <w:p w14:paraId="2F0C7428" w14:textId="77777777" w:rsidR="002955C5" w:rsidRDefault="007C5CB9"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242121"/>
          <w:highlight w:val="white"/>
        </w:rPr>
        <w:t>‘In my view it is clear that the only source of an arbitrator’s power is the arbitration agreement between the parties and an arbitrator cannot stray beyond their submission where the parties have expressly defined and limited the issues, as the parties have done in this case to the matters pleaded. Thus the arbitrator, and therefore also the appeal tribunal, had no jurisdiction to decide a matter not pleaded . . . It is of course possible for parties in an arbitration to amend the terms of the reference by agreement, even possibly by one concluded tacitly, or by conduct . . .’</w:t>
      </w:r>
      <w:r>
        <w:rPr>
          <w:rFonts w:ascii="Arial" w:eastAsia="Arial" w:hAnsi="Arial" w:cs="Arial"/>
          <w:color w:val="242121"/>
          <w:highlight w:val="white"/>
          <w:vertAlign w:val="superscript"/>
        </w:rPr>
        <w:footnoteReference w:id="8"/>
      </w:r>
      <w:r>
        <w:rPr>
          <w:rFonts w:ascii="Arial" w:eastAsia="Arial" w:hAnsi="Arial" w:cs="Arial"/>
          <w:color w:val="242121"/>
          <w:highlight w:val="white"/>
        </w:rPr>
        <w:t xml:space="preserve"> </w:t>
      </w:r>
      <w:r>
        <w:rPr>
          <w:rFonts w:ascii="Arial" w:eastAsia="Arial" w:hAnsi="Arial" w:cs="Arial"/>
          <w:color w:val="242121"/>
          <w:sz w:val="24"/>
          <w:szCs w:val="24"/>
          <w:highlight w:val="white"/>
        </w:rPr>
        <w:t>[Footnotes omitted]</w:t>
      </w:r>
    </w:p>
    <w:p w14:paraId="0BD0F1BC" w14:textId="77777777" w:rsidR="002955C5" w:rsidRDefault="002955C5" w:rsidP="00665D84">
      <w:pPr>
        <w:pBdr>
          <w:top w:val="nil"/>
          <w:left w:val="nil"/>
          <w:bottom w:val="nil"/>
          <w:right w:val="nil"/>
          <w:between w:val="nil"/>
        </w:pBdr>
        <w:spacing w:after="0" w:line="360" w:lineRule="auto"/>
        <w:ind w:right="72"/>
        <w:rPr>
          <w:rFonts w:ascii="Arial" w:eastAsia="Arial" w:hAnsi="Arial" w:cs="Arial"/>
          <w:color w:val="000000"/>
          <w:sz w:val="24"/>
          <w:szCs w:val="24"/>
        </w:rPr>
      </w:pPr>
    </w:p>
    <w:p w14:paraId="69D66C8C" w14:textId="77777777" w:rsidR="002955C5" w:rsidRDefault="00182088"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[19</w:t>
      </w:r>
      <w:r w:rsidR="00D1625C">
        <w:rPr>
          <w:rFonts w:ascii="Arial" w:eastAsia="Arial" w:hAnsi="Arial" w:cs="Arial"/>
          <w:color w:val="000000"/>
          <w:sz w:val="24"/>
          <w:szCs w:val="24"/>
        </w:rPr>
        <w:t>]</w:t>
      </w:r>
      <w:r w:rsidR="00D1625C">
        <w:rPr>
          <w:rFonts w:ascii="Arial" w:eastAsia="Arial" w:hAnsi="Arial" w:cs="Arial"/>
          <w:color w:val="000000"/>
          <w:sz w:val="24"/>
          <w:szCs w:val="24"/>
        </w:rPr>
        <w:tab/>
      </w:r>
      <w:r w:rsidR="00847C27">
        <w:rPr>
          <w:rFonts w:ascii="Arial" w:eastAsia="Arial" w:hAnsi="Arial" w:cs="Arial"/>
          <w:color w:val="000000"/>
          <w:sz w:val="24"/>
          <w:szCs w:val="24"/>
        </w:rPr>
        <w:t xml:space="preserve">I now turn to </w:t>
      </w:r>
      <w:r w:rsidR="0089053B">
        <w:rPr>
          <w:rFonts w:ascii="Arial" w:eastAsia="Arial" w:hAnsi="Arial" w:cs="Arial"/>
          <w:color w:val="000000"/>
          <w:sz w:val="24"/>
          <w:szCs w:val="24"/>
        </w:rPr>
        <w:t>consider</w:t>
      </w:r>
      <w:r w:rsidR="00847C27">
        <w:rPr>
          <w:rFonts w:ascii="Arial" w:eastAsia="Arial" w:hAnsi="Arial" w:cs="Arial"/>
          <w:color w:val="000000"/>
          <w:sz w:val="24"/>
          <w:szCs w:val="24"/>
        </w:rPr>
        <w:t xml:space="preserve"> the grounds raised by JVE in the review application before the high court.</w:t>
      </w:r>
    </w:p>
    <w:p w14:paraId="620F19FD" w14:textId="77777777" w:rsidR="0087327B" w:rsidRPr="00665D84" w:rsidRDefault="0087327B" w:rsidP="00665D84">
      <w:pPr>
        <w:pBdr>
          <w:top w:val="nil"/>
          <w:left w:val="nil"/>
          <w:bottom w:val="nil"/>
          <w:right w:val="nil"/>
          <w:between w:val="nil"/>
        </w:pBdr>
        <w:spacing w:after="0" w:line="360" w:lineRule="auto"/>
        <w:ind w:right="72"/>
        <w:jc w:val="both"/>
        <w:rPr>
          <w:rFonts w:ascii="Arial" w:eastAsia="Arial" w:hAnsi="Arial" w:cs="Arial"/>
          <w:color w:val="000000"/>
          <w:sz w:val="24"/>
          <w:szCs w:val="24"/>
        </w:rPr>
      </w:pPr>
    </w:p>
    <w:p w14:paraId="7864E4A9" w14:textId="77777777" w:rsidR="002955C5" w:rsidRDefault="007C5CB9" w:rsidP="00665D84">
      <w:pPr>
        <w:pBdr>
          <w:top w:val="nil"/>
          <w:left w:val="nil"/>
          <w:bottom w:val="nil"/>
          <w:right w:val="nil"/>
          <w:between w:val="nil"/>
        </w:pBdr>
        <w:spacing w:after="0" w:line="360" w:lineRule="auto"/>
        <w:ind w:right="72"/>
        <w:jc w:val="both"/>
        <w:rPr>
          <w:rFonts w:ascii="Arial" w:eastAsia="Arial" w:hAnsi="Arial" w:cs="Arial"/>
          <w:b/>
          <w:color w:val="000000"/>
          <w:sz w:val="24"/>
          <w:szCs w:val="24"/>
        </w:rPr>
      </w:pPr>
      <w:r>
        <w:rPr>
          <w:rFonts w:ascii="Arial" w:eastAsia="Arial" w:hAnsi="Arial" w:cs="Arial"/>
          <w:b/>
          <w:color w:val="000000"/>
          <w:sz w:val="24"/>
          <w:szCs w:val="24"/>
        </w:rPr>
        <w:t>D</w:t>
      </w:r>
      <w:r w:rsidR="001F5C40">
        <w:rPr>
          <w:rFonts w:ascii="Arial" w:eastAsia="Arial" w:hAnsi="Arial" w:cs="Arial"/>
          <w:b/>
          <w:color w:val="000000"/>
          <w:sz w:val="24"/>
          <w:szCs w:val="24"/>
        </w:rPr>
        <w:t>iscussion</w:t>
      </w:r>
      <w:r w:rsidR="00847C27">
        <w:rPr>
          <w:rFonts w:ascii="Arial" w:eastAsia="Arial" w:hAnsi="Arial" w:cs="Arial"/>
          <w:b/>
          <w:color w:val="000000"/>
          <w:sz w:val="24"/>
          <w:szCs w:val="24"/>
        </w:rPr>
        <w:t xml:space="preserve">    </w:t>
      </w:r>
    </w:p>
    <w:p w14:paraId="51A51ADC" w14:textId="77777777" w:rsidR="002955C5" w:rsidRPr="00D1625C" w:rsidRDefault="00C471D4" w:rsidP="00665D84">
      <w:pPr>
        <w:pBdr>
          <w:top w:val="nil"/>
          <w:left w:val="nil"/>
          <w:bottom w:val="nil"/>
          <w:right w:val="nil"/>
          <w:between w:val="nil"/>
        </w:pBdr>
        <w:spacing w:after="0" w:line="360" w:lineRule="auto"/>
        <w:ind w:right="72"/>
        <w:jc w:val="both"/>
        <w:rPr>
          <w:rFonts w:ascii="Arial" w:eastAsia="Arial" w:hAnsi="Arial" w:cs="Arial"/>
        </w:rPr>
      </w:pPr>
      <w:r>
        <w:rPr>
          <w:rFonts w:ascii="Arial" w:eastAsia="Arial" w:hAnsi="Arial" w:cs="Arial"/>
          <w:color w:val="000000"/>
          <w:sz w:val="24"/>
          <w:szCs w:val="24"/>
        </w:rPr>
        <w:t>[20</w:t>
      </w:r>
      <w:r w:rsidR="00D1625C">
        <w:rPr>
          <w:rFonts w:ascii="Arial" w:eastAsia="Arial" w:hAnsi="Arial" w:cs="Arial"/>
          <w:color w:val="000000"/>
          <w:sz w:val="24"/>
          <w:szCs w:val="24"/>
        </w:rPr>
        <w:t>]</w:t>
      </w:r>
      <w:r w:rsidR="00D1625C">
        <w:rPr>
          <w:rFonts w:ascii="Arial" w:eastAsia="Arial" w:hAnsi="Arial" w:cs="Arial"/>
          <w:color w:val="000000"/>
          <w:sz w:val="24"/>
          <w:szCs w:val="24"/>
        </w:rPr>
        <w:tab/>
      </w:r>
      <w:r w:rsidR="0089053B" w:rsidRPr="00D1625C">
        <w:rPr>
          <w:rFonts w:ascii="Arial" w:eastAsia="Arial" w:hAnsi="Arial" w:cs="Arial"/>
          <w:sz w:val="24"/>
          <w:szCs w:val="24"/>
        </w:rPr>
        <w:t>In this matter the arbitration agreement limited the powers of the arbitrator to the determination of the issues</w:t>
      </w:r>
      <w:r w:rsidR="000C7127" w:rsidRPr="00D1625C">
        <w:rPr>
          <w:rFonts w:ascii="Arial" w:eastAsia="Arial" w:hAnsi="Arial" w:cs="Arial"/>
          <w:sz w:val="24"/>
          <w:szCs w:val="24"/>
        </w:rPr>
        <w:t xml:space="preserve"> as defined in the pleading</w:t>
      </w:r>
      <w:r w:rsidR="0089053B" w:rsidRPr="00D1625C">
        <w:rPr>
          <w:rFonts w:ascii="Arial" w:eastAsia="Arial" w:hAnsi="Arial" w:cs="Arial"/>
          <w:sz w:val="24"/>
          <w:szCs w:val="24"/>
        </w:rPr>
        <w:t>s. It is common cause that it was not</w:t>
      </w:r>
      <w:r w:rsidR="000C7127" w:rsidRPr="00D1625C">
        <w:rPr>
          <w:rFonts w:ascii="Arial" w:eastAsia="Arial" w:hAnsi="Arial" w:cs="Arial"/>
          <w:sz w:val="24"/>
          <w:szCs w:val="24"/>
        </w:rPr>
        <w:t xml:space="preserve"> a</w:t>
      </w:r>
      <w:r w:rsidR="0089053B" w:rsidRPr="00D1625C">
        <w:rPr>
          <w:rFonts w:ascii="Arial" w:eastAsia="Arial" w:hAnsi="Arial" w:cs="Arial"/>
          <w:sz w:val="24"/>
          <w:szCs w:val="24"/>
        </w:rPr>
        <w:t xml:space="preserve"> pleaded </w:t>
      </w:r>
      <w:r w:rsidR="000C7127" w:rsidRPr="00D1625C">
        <w:rPr>
          <w:rFonts w:ascii="Arial" w:eastAsia="Arial" w:hAnsi="Arial" w:cs="Arial"/>
          <w:sz w:val="24"/>
          <w:szCs w:val="24"/>
        </w:rPr>
        <w:t xml:space="preserve">issue </w:t>
      </w:r>
      <w:r w:rsidR="0089053B" w:rsidRPr="00D1625C">
        <w:rPr>
          <w:rFonts w:ascii="Arial" w:eastAsia="Arial" w:hAnsi="Arial" w:cs="Arial"/>
          <w:sz w:val="24"/>
          <w:szCs w:val="24"/>
        </w:rPr>
        <w:t>that the Service Agreement 2008 had amended the JVE1 ag</w:t>
      </w:r>
      <w:r w:rsidR="00060C23">
        <w:rPr>
          <w:rFonts w:ascii="Arial" w:eastAsia="Arial" w:hAnsi="Arial" w:cs="Arial"/>
          <w:sz w:val="24"/>
          <w:szCs w:val="24"/>
        </w:rPr>
        <w:t>reement. In dismissing the BICL</w:t>
      </w:r>
      <w:r w:rsidR="0089053B" w:rsidRPr="00D1625C">
        <w:rPr>
          <w:rFonts w:ascii="Arial" w:eastAsia="Arial" w:hAnsi="Arial" w:cs="Arial"/>
          <w:sz w:val="24"/>
          <w:szCs w:val="24"/>
        </w:rPr>
        <w:t xml:space="preserve"> claim on this basis, the </w:t>
      </w:r>
      <w:r w:rsidR="007D0315" w:rsidRPr="00D1625C">
        <w:rPr>
          <w:rFonts w:ascii="Arial" w:eastAsia="Arial" w:hAnsi="Arial" w:cs="Arial"/>
          <w:sz w:val="24"/>
          <w:szCs w:val="24"/>
        </w:rPr>
        <w:t xml:space="preserve">appeal arbitrator exceeded </w:t>
      </w:r>
      <w:r w:rsidR="007D0315" w:rsidRPr="00D1625C">
        <w:rPr>
          <w:rFonts w:ascii="Arial" w:eastAsia="Arial" w:hAnsi="Arial" w:cs="Arial"/>
          <w:sz w:val="24"/>
          <w:szCs w:val="24"/>
        </w:rPr>
        <w:lastRenderedPageBreak/>
        <w:t xml:space="preserve">his </w:t>
      </w:r>
      <w:r w:rsidR="0089053B" w:rsidRPr="00D1625C">
        <w:rPr>
          <w:rFonts w:ascii="Arial" w:eastAsia="Arial" w:hAnsi="Arial" w:cs="Arial"/>
          <w:sz w:val="24"/>
          <w:szCs w:val="24"/>
        </w:rPr>
        <w:t>powe</w:t>
      </w:r>
      <w:r w:rsidR="007D0315" w:rsidRPr="00D1625C">
        <w:rPr>
          <w:rFonts w:ascii="Arial" w:eastAsia="Arial" w:hAnsi="Arial" w:cs="Arial"/>
          <w:sz w:val="24"/>
          <w:szCs w:val="24"/>
        </w:rPr>
        <w:t>rs</w:t>
      </w:r>
      <w:bookmarkStart w:id="2" w:name="_Hlk127271376"/>
      <w:r w:rsidR="007D0315" w:rsidRPr="00D1625C">
        <w:rPr>
          <w:rFonts w:ascii="Arial" w:eastAsia="Arial" w:hAnsi="Arial" w:cs="Arial"/>
          <w:sz w:val="24"/>
          <w:szCs w:val="24"/>
        </w:rPr>
        <w:t>.</w:t>
      </w:r>
      <w:r w:rsidR="00E40734" w:rsidRPr="00D1625C">
        <w:rPr>
          <w:rFonts w:ascii="Arial" w:eastAsia="Arial" w:hAnsi="Arial" w:cs="Arial"/>
          <w:sz w:val="24"/>
          <w:szCs w:val="24"/>
        </w:rPr>
        <w:t xml:space="preserve"> In the result he did not apply his mind to whether the condition in clause 6 had been fulfilled as alleged.</w:t>
      </w:r>
      <w:r w:rsidR="005E6365">
        <w:rPr>
          <w:rFonts w:ascii="Arial" w:eastAsia="Arial" w:hAnsi="Arial" w:cs="Arial"/>
          <w:sz w:val="24"/>
          <w:szCs w:val="24"/>
        </w:rPr>
        <w:t xml:space="preserve"> It is also clear that para 8.2.4</w:t>
      </w:r>
      <w:r w:rsidR="007D0315" w:rsidRPr="00D1625C">
        <w:rPr>
          <w:rFonts w:ascii="Arial" w:eastAsia="Arial" w:hAnsi="Arial" w:cs="Arial"/>
          <w:sz w:val="24"/>
          <w:szCs w:val="24"/>
        </w:rPr>
        <w:t xml:space="preserve"> of the amended plea was pleaded as </w:t>
      </w:r>
      <w:r w:rsidR="00545111" w:rsidRPr="00D1625C">
        <w:rPr>
          <w:rFonts w:ascii="Arial" w:eastAsia="Arial" w:hAnsi="Arial" w:cs="Arial"/>
          <w:sz w:val="24"/>
          <w:szCs w:val="24"/>
        </w:rPr>
        <w:t>part of the</w:t>
      </w:r>
      <w:r w:rsidR="007D0315" w:rsidRPr="00D1625C">
        <w:rPr>
          <w:rFonts w:ascii="Arial" w:eastAsia="Arial" w:hAnsi="Arial" w:cs="Arial"/>
          <w:sz w:val="24"/>
          <w:szCs w:val="24"/>
        </w:rPr>
        <w:t xml:space="preserve"> defence to the damages claim and not specifically to the two claims under consideration</w:t>
      </w:r>
      <w:bookmarkEnd w:id="2"/>
      <w:r w:rsidR="007D0315" w:rsidRPr="00D1625C">
        <w:rPr>
          <w:rFonts w:ascii="Arial" w:eastAsia="Arial" w:hAnsi="Arial" w:cs="Arial"/>
          <w:sz w:val="24"/>
          <w:szCs w:val="24"/>
        </w:rPr>
        <w:t>. The questio</w:t>
      </w:r>
      <w:r w:rsidR="00021F98" w:rsidRPr="00D1625C">
        <w:rPr>
          <w:rFonts w:ascii="Arial" w:eastAsia="Arial" w:hAnsi="Arial" w:cs="Arial"/>
          <w:sz w:val="24"/>
          <w:szCs w:val="24"/>
        </w:rPr>
        <w:t>n is whether these factors justified the review and setting aside of the</w:t>
      </w:r>
      <w:r w:rsidR="007D0315" w:rsidRPr="00D1625C">
        <w:rPr>
          <w:rFonts w:ascii="Arial" w:eastAsia="Arial" w:hAnsi="Arial" w:cs="Arial"/>
          <w:sz w:val="24"/>
          <w:szCs w:val="24"/>
        </w:rPr>
        <w:t xml:space="preserve"> </w:t>
      </w:r>
      <w:r w:rsidR="00021F98" w:rsidRPr="00D1625C">
        <w:rPr>
          <w:rFonts w:ascii="Arial" w:eastAsia="Arial" w:hAnsi="Arial" w:cs="Arial"/>
          <w:sz w:val="24"/>
          <w:szCs w:val="24"/>
        </w:rPr>
        <w:t>appeal arbitration award</w:t>
      </w:r>
      <w:r w:rsidR="003D0443" w:rsidRPr="00D1625C">
        <w:rPr>
          <w:rFonts w:ascii="Arial" w:eastAsia="Arial" w:hAnsi="Arial" w:cs="Arial"/>
          <w:sz w:val="24"/>
          <w:szCs w:val="24"/>
        </w:rPr>
        <w:t>.</w:t>
      </w:r>
      <w:r w:rsidR="00021F98" w:rsidRPr="00D1625C">
        <w:rPr>
          <w:rFonts w:ascii="Arial" w:eastAsia="Arial" w:hAnsi="Arial" w:cs="Arial"/>
          <w:sz w:val="24"/>
          <w:szCs w:val="24"/>
        </w:rPr>
        <w:t xml:space="preserve"> For the reasons that follow</w:t>
      </w:r>
      <w:r w:rsidR="000C7127" w:rsidRPr="00D1625C">
        <w:rPr>
          <w:rFonts w:ascii="Arial" w:eastAsia="Arial" w:hAnsi="Arial" w:cs="Arial"/>
          <w:sz w:val="24"/>
          <w:szCs w:val="24"/>
        </w:rPr>
        <w:t xml:space="preserve">, I am of the view that </w:t>
      </w:r>
      <w:r w:rsidR="001D40CA" w:rsidRPr="00D1625C">
        <w:rPr>
          <w:rFonts w:ascii="Arial" w:eastAsia="Arial" w:hAnsi="Arial" w:cs="Arial"/>
          <w:sz w:val="24"/>
          <w:szCs w:val="24"/>
        </w:rPr>
        <w:t>th</w:t>
      </w:r>
      <w:r w:rsidR="002147A8" w:rsidRPr="00D1625C">
        <w:rPr>
          <w:rFonts w:ascii="Arial" w:eastAsia="Arial" w:hAnsi="Arial" w:cs="Arial"/>
          <w:sz w:val="24"/>
          <w:szCs w:val="24"/>
        </w:rPr>
        <w:t>e answer to the question must be ‘no’</w:t>
      </w:r>
      <w:r w:rsidR="001D40CA" w:rsidRPr="00D1625C">
        <w:rPr>
          <w:rFonts w:ascii="Arial" w:eastAsia="Arial" w:hAnsi="Arial" w:cs="Arial"/>
          <w:sz w:val="24"/>
          <w:szCs w:val="24"/>
        </w:rPr>
        <w:t>.</w:t>
      </w:r>
      <w:r w:rsidR="00542506" w:rsidRPr="00D1625C">
        <w:rPr>
          <w:rFonts w:ascii="Arial" w:eastAsia="Arial" w:hAnsi="Arial" w:cs="Arial"/>
          <w:sz w:val="24"/>
          <w:szCs w:val="24"/>
        </w:rPr>
        <w:t xml:space="preserve"> </w:t>
      </w:r>
      <w:r w:rsidR="00847C27" w:rsidRPr="00D1625C">
        <w:rPr>
          <w:rFonts w:ascii="Arial" w:eastAsia="Arial" w:hAnsi="Arial" w:cs="Arial"/>
          <w:sz w:val="24"/>
          <w:szCs w:val="24"/>
        </w:rPr>
        <w:t xml:space="preserve"> </w:t>
      </w:r>
    </w:p>
    <w:p w14:paraId="46044050" w14:textId="77777777" w:rsidR="002955C5" w:rsidRDefault="002955C5" w:rsidP="00665D84">
      <w:pPr>
        <w:pBdr>
          <w:top w:val="nil"/>
          <w:left w:val="nil"/>
          <w:bottom w:val="nil"/>
          <w:right w:val="nil"/>
          <w:between w:val="nil"/>
        </w:pBdr>
        <w:spacing w:after="0" w:line="360" w:lineRule="auto"/>
        <w:ind w:left="720" w:right="72"/>
        <w:rPr>
          <w:rFonts w:ascii="Arial" w:eastAsia="Arial" w:hAnsi="Arial" w:cs="Arial"/>
          <w:color w:val="000000"/>
          <w:sz w:val="24"/>
          <w:szCs w:val="24"/>
        </w:rPr>
      </w:pPr>
    </w:p>
    <w:p w14:paraId="2C242776" w14:textId="77777777" w:rsidR="002955C5" w:rsidRDefault="00C471D4" w:rsidP="00665D84">
      <w:pPr>
        <w:pBdr>
          <w:top w:val="nil"/>
          <w:left w:val="nil"/>
          <w:bottom w:val="nil"/>
          <w:right w:val="nil"/>
          <w:between w:val="nil"/>
        </w:pBdr>
        <w:spacing w:after="0" w:line="360" w:lineRule="auto"/>
        <w:ind w:right="72"/>
        <w:jc w:val="both"/>
        <w:rPr>
          <w:rFonts w:ascii="Arial" w:eastAsia="Arial" w:hAnsi="Arial" w:cs="Arial"/>
          <w:color w:val="242121"/>
        </w:rPr>
      </w:pPr>
      <w:r>
        <w:rPr>
          <w:rFonts w:ascii="Arial" w:eastAsia="Arial" w:hAnsi="Arial" w:cs="Arial"/>
          <w:color w:val="000000"/>
          <w:sz w:val="24"/>
          <w:szCs w:val="24"/>
        </w:rPr>
        <w:t>[21</w:t>
      </w:r>
      <w:r w:rsidR="00D1625C">
        <w:rPr>
          <w:rFonts w:ascii="Arial" w:eastAsia="Arial" w:hAnsi="Arial" w:cs="Arial"/>
          <w:color w:val="000000"/>
          <w:sz w:val="24"/>
          <w:szCs w:val="24"/>
        </w:rPr>
        <w:t>]</w:t>
      </w:r>
      <w:r w:rsidR="00D1625C">
        <w:rPr>
          <w:rFonts w:ascii="Arial" w:eastAsia="Arial" w:hAnsi="Arial" w:cs="Arial"/>
          <w:color w:val="000000"/>
          <w:sz w:val="24"/>
          <w:szCs w:val="24"/>
        </w:rPr>
        <w:tab/>
      </w:r>
      <w:r w:rsidR="00AA4218">
        <w:rPr>
          <w:rFonts w:ascii="Arial" w:eastAsia="Arial" w:hAnsi="Arial" w:cs="Arial"/>
          <w:color w:val="000000"/>
          <w:sz w:val="24"/>
          <w:szCs w:val="24"/>
        </w:rPr>
        <w:t xml:space="preserve">It is important to have regard to the nature </w:t>
      </w:r>
      <w:r w:rsidR="00BD3524">
        <w:rPr>
          <w:rFonts w:ascii="Arial" w:eastAsia="Arial" w:hAnsi="Arial" w:cs="Arial"/>
          <w:color w:val="000000"/>
          <w:sz w:val="24"/>
          <w:szCs w:val="24"/>
        </w:rPr>
        <w:t>of the agreement</w:t>
      </w:r>
      <w:r w:rsidR="00361C69">
        <w:rPr>
          <w:rFonts w:ascii="Arial" w:eastAsia="Arial" w:hAnsi="Arial" w:cs="Arial"/>
          <w:color w:val="000000"/>
          <w:sz w:val="24"/>
          <w:szCs w:val="24"/>
        </w:rPr>
        <w:t xml:space="preserve"> referred to in para 8.2.4 of the amended </w:t>
      </w:r>
      <w:r w:rsidR="0072482A">
        <w:rPr>
          <w:rFonts w:ascii="Arial" w:eastAsia="Arial" w:hAnsi="Arial" w:cs="Arial"/>
          <w:color w:val="000000"/>
          <w:sz w:val="24"/>
          <w:szCs w:val="24"/>
        </w:rPr>
        <w:t>plea</w:t>
      </w:r>
      <w:r w:rsidR="00AA4218">
        <w:rPr>
          <w:rFonts w:ascii="Arial" w:eastAsia="Arial" w:hAnsi="Arial" w:cs="Arial"/>
          <w:color w:val="000000"/>
          <w:sz w:val="24"/>
          <w:szCs w:val="24"/>
        </w:rPr>
        <w:t xml:space="preserve">. Mr Brink on behalf </w:t>
      </w:r>
      <w:bookmarkStart w:id="3" w:name="_Hlk127271592"/>
      <w:r w:rsidR="00AA4218">
        <w:rPr>
          <w:rFonts w:ascii="Arial" w:eastAsia="Arial" w:hAnsi="Arial" w:cs="Arial"/>
          <w:color w:val="000000"/>
          <w:sz w:val="24"/>
          <w:szCs w:val="24"/>
        </w:rPr>
        <w:t xml:space="preserve">of Blue Bantry </w:t>
      </w:r>
      <w:r w:rsidR="00361C69">
        <w:rPr>
          <w:rFonts w:ascii="Arial" w:eastAsia="Arial" w:hAnsi="Arial" w:cs="Arial"/>
          <w:color w:val="000000"/>
          <w:sz w:val="24"/>
          <w:szCs w:val="24"/>
        </w:rPr>
        <w:t>at the time de</w:t>
      </w:r>
      <w:r w:rsidR="00AA4218">
        <w:rPr>
          <w:rFonts w:ascii="Arial" w:eastAsia="Arial" w:hAnsi="Arial" w:cs="Arial"/>
          <w:color w:val="000000"/>
          <w:sz w:val="24"/>
          <w:szCs w:val="24"/>
        </w:rPr>
        <w:t xml:space="preserve">nied </w:t>
      </w:r>
      <w:r w:rsidR="00361C69">
        <w:rPr>
          <w:rFonts w:ascii="Arial" w:eastAsia="Arial" w:hAnsi="Arial" w:cs="Arial"/>
          <w:color w:val="000000"/>
          <w:sz w:val="24"/>
          <w:szCs w:val="24"/>
        </w:rPr>
        <w:t xml:space="preserve">liability </w:t>
      </w:r>
      <w:r w:rsidR="00AA4218">
        <w:rPr>
          <w:rFonts w:ascii="Arial" w:eastAsia="Arial" w:hAnsi="Arial" w:cs="Arial"/>
          <w:color w:val="000000"/>
          <w:sz w:val="24"/>
          <w:szCs w:val="24"/>
        </w:rPr>
        <w:t xml:space="preserve">towards JVE </w:t>
      </w:r>
      <w:r w:rsidR="00060C23">
        <w:rPr>
          <w:rFonts w:ascii="Arial" w:eastAsia="Arial" w:hAnsi="Arial" w:cs="Arial"/>
          <w:color w:val="000000"/>
          <w:sz w:val="24"/>
          <w:szCs w:val="24"/>
        </w:rPr>
        <w:t>for the BICL</w:t>
      </w:r>
      <w:r w:rsidR="00361C69">
        <w:rPr>
          <w:rFonts w:ascii="Arial" w:eastAsia="Arial" w:hAnsi="Arial" w:cs="Arial"/>
          <w:color w:val="000000"/>
          <w:sz w:val="24"/>
          <w:szCs w:val="24"/>
        </w:rPr>
        <w:t xml:space="preserve"> and 1.25 multiplication factor claims</w:t>
      </w:r>
      <w:r w:rsidR="001B43B6">
        <w:rPr>
          <w:rFonts w:ascii="Arial" w:eastAsia="Arial" w:hAnsi="Arial" w:cs="Arial"/>
          <w:color w:val="000000"/>
          <w:sz w:val="24"/>
          <w:szCs w:val="24"/>
        </w:rPr>
        <w:t>. He nevertheless offered to pay these amounts if and when they were recovered from the City of Cape Town</w:t>
      </w:r>
      <w:bookmarkEnd w:id="3"/>
      <w:r w:rsidR="001B43B6">
        <w:rPr>
          <w:rFonts w:ascii="Arial" w:eastAsia="Arial" w:hAnsi="Arial" w:cs="Arial"/>
          <w:color w:val="000000"/>
          <w:sz w:val="24"/>
          <w:szCs w:val="24"/>
        </w:rPr>
        <w:t>. Mr van Eeden on behalf of JVE expressly accepted the offer. Thus, a compromise was entered into in respect of these claims. The compromise constituted a complete defence to the claims. It would be wholly artificial and unjust to disregard the pleaded and proved compromise simply because it had not been pleaded directly in answer to these claims. Put differently,</w:t>
      </w:r>
      <w:r w:rsidR="0072482A">
        <w:rPr>
          <w:rFonts w:ascii="Arial" w:eastAsia="Arial" w:hAnsi="Arial" w:cs="Arial"/>
          <w:color w:val="000000"/>
          <w:sz w:val="24"/>
          <w:szCs w:val="24"/>
        </w:rPr>
        <w:t xml:space="preserve"> it could not in the circumstances be said that the</w:t>
      </w:r>
      <w:r w:rsidR="007D2BA8">
        <w:rPr>
          <w:rFonts w:ascii="Arial" w:eastAsia="Arial" w:hAnsi="Arial" w:cs="Arial"/>
          <w:color w:val="000000"/>
          <w:sz w:val="24"/>
          <w:szCs w:val="24"/>
        </w:rPr>
        <w:t xml:space="preserve"> appeal arbitrator</w:t>
      </w:r>
      <w:r w:rsidR="0072482A">
        <w:rPr>
          <w:rFonts w:ascii="Arial" w:eastAsia="Arial" w:hAnsi="Arial" w:cs="Arial"/>
          <w:color w:val="000000"/>
          <w:sz w:val="24"/>
          <w:szCs w:val="24"/>
        </w:rPr>
        <w:t xml:space="preserve"> failed to afford the parties a fair hearing. </w:t>
      </w:r>
      <w:r w:rsidR="007D2BA8">
        <w:rPr>
          <w:rFonts w:ascii="Arial" w:eastAsia="Arial" w:hAnsi="Arial" w:cs="Arial"/>
          <w:color w:val="000000"/>
          <w:sz w:val="24"/>
          <w:szCs w:val="24"/>
        </w:rPr>
        <w:t>Consequently,</w:t>
      </w:r>
      <w:r w:rsidR="0072482A">
        <w:rPr>
          <w:rFonts w:ascii="Arial" w:eastAsia="Arial" w:hAnsi="Arial" w:cs="Arial"/>
          <w:color w:val="000000"/>
          <w:sz w:val="24"/>
          <w:szCs w:val="24"/>
        </w:rPr>
        <w:t xml:space="preserve"> the dismissal of these claims did not amount to a gross irregularity within the meaning of s 33(1)(</w:t>
      </w:r>
      <w:r w:rsidR="0072482A" w:rsidRPr="005115E0">
        <w:rPr>
          <w:rFonts w:ascii="Arial" w:eastAsia="Arial" w:hAnsi="Arial" w:cs="Arial"/>
          <w:i/>
          <w:color w:val="000000"/>
          <w:sz w:val="24"/>
          <w:szCs w:val="24"/>
        </w:rPr>
        <w:t>b</w:t>
      </w:r>
      <w:r w:rsidR="0072482A">
        <w:rPr>
          <w:rFonts w:ascii="Arial" w:eastAsia="Arial" w:hAnsi="Arial" w:cs="Arial"/>
          <w:color w:val="000000"/>
          <w:sz w:val="24"/>
          <w:szCs w:val="24"/>
        </w:rPr>
        <w:t xml:space="preserve">). </w:t>
      </w:r>
      <w:r w:rsidR="00847C27">
        <w:rPr>
          <w:rFonts w:ascii="Arial" w:eastAsia="Arial" w:hAnsi="Arial" w:cs="Arial"/>
          <w:color w:val="000000"/>
          <w:sz w:val="24"/>
          <w:szCs w:val="24"/>
        </w:rPr>
        <w:t xml:space="preserve">  </w:t>
      </w:r>
    </w:p>
    <w:p w14:paraId="020AB103" w14:textId="77777777" w:rsidR="002955C5" w:rsidRPr="0087327B" w:rsidRDefault="002955C5" w:rsidP="00665D84">
      <w:pPr>
        <w:pBdr>
          <w:top w:val="nil"/>
          <w:left w:val="nil"/>
          <w:bottom w:val="nil"/>
          <w:right w:val="nil"/>
          <w:between w:val="nil"/>
        </w:pBdr>
        <w:spacing w:after="0" w:line="360" w:lineRule="auto"/>
        <w:ind w:right="72"/>
        <w:jc w:val="both"/>
        <w:rPr>
          <w:rFonts w:ascii="Arial" w:eastAsia="Arial" w:hAnsi="Arial" w:cs="Arial"/>
          <w:color w:val="242121"/>
          <w:sz w:val="24"/>
          <w:szCs w:val="24"/>
        </w:rPr>
      </w:pPr>
    </w:p>
    <w:p w14:paraId="6F357D14" w14:textId="77777777" w:rsidR="002955C5" w:rsidRDefault="00847C27" w:rsidP="00665D84">
      <w:pPr>
        <w:pBdr>
          <w:top w:val="nil"/>
          <w:left w:val="nil"/>
          <w:bottom w:val="nil"/>
          <w:right w:val="nil"/>
          <w:between w:val="nil"/>
        </w:pBdr>
        <w:spacing w:after="0" w:line="360" w:lineRule="auto"/>
        <w:ind w:right="72"/>
        <w:jc w:val="both"/>
        <w:rPr>
          <w:rFonts w:ascii="Arial" w:eastAsia="Arial" w:hAnsi="Arial" w:cs="Arial"/>
          <w:b/>
          <w:sz w:val="24"/>
          <w:szCs w:val="24"/>
        </w:rPr>
      </w:pPr>
      <w:r>
        <w:rPr>
          <w:rFonts w:ascii="Arial" w:eastAsia="Arial" w:hAnsi="Arial" w:cs="Arial"/>
          <w:b/>
          <w:sz w:val="24"/>
          <w:szCs w:val="24"/>
        </w:rPr>
        <w:t xml:space="preserve">Order </w:t>
      </w:r>
    </w:p>
    <w:p w14:paraId="720C62EC" w14:textId="77777777" w:rsidR="00D1625C" w:rsidRDefault="00C471D4"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[22</w:t>
      </w:r>
      <w:r w:rsidR="00310E23">
        <w:rPr>
          <w:rFonts w:ascii="Arial" w:eastAsia="Arial" w:hAnsi="Arial" w:cs="Arial"/>
          <w:color w:val="000000"/>
          <w:sz w:val="24"/>
          <w:szCs w:val="24"/>
        </w:rPr>
        <w:t>]</w:t>
      </w:r>
      <w:r w:rsidR="00310E23">
        <w:rPr>
          <w:rFonts w:ascii="Arial" w:eastAsia="Arial" w:hAnsi="Arial" w:cs="Arial"/>
          <w:color w:val="000000"/>
          <w:sz w:val="24"/>
          <w:szCs w:val="24"/>
        </w:rPr>
        <w:tab/>
      </w:r>
      <w:r w:rsidR="00847C27">
        <w:rPr>
          <w:rFonts w:ascii="Arial" w:eastAsia="Arial" w:hAnsi="Arial" w:cs="Arial"/>
          <w:color w:val="000000"/>
          <w:sz w:val="24"/>
          <w:szCs w:val="24"/>
        </w:rPr>
        <w:t>Consequently, I make the following order:</w:t>
      </w:r>
    </w:p>
    <w:p w14:paraId="603BF5D6" w14:textId="77777777" w:rsidR="002955C5" w:rsidRPr="00D1625C" w:rsidRDefault="00847C27" w:rsidP="00665D84">
      <w:pPr>
        <w:pBdr>
          <w:top w:val="nil"/>
          <w:left w:val="nil"/>
          <w:bottom w:val="nil"/>
          <w:right w:val="nil"/>
          <w:between w:val="nil"/>
        </w:pBdr>
        <w:spacing w:after="0" w:line="360" w:lineRule="auto"/>
        <w:ind w:right="72"/>
        <w:jc w:val="both"/>
        <w:rPr>
          <w:rFonts w:ascii="Arial" w:eastAsia="Arial" w:hAnsi="Arial" w:cs="Arial"/>
          <w:color w:val="000000"/>
        </w:rPr>
      </w:pPr>
      <w:r>
        <w:rPr>
          <w:rFonts w:ascii="Arial" w:eastAsia="Arial" w:hAnsi="Arial" w:cs="Arial"/>
          <w:color w:val="000000"/>
          <w:sz w:val="24"/>
          <w:szCs w:val="24"/>
        </w:rPr>
        <w:t>The appeal is dismissed with costs, including the costs of two counsel.</w:t>
      </w:r>
    </w:p>
    <w:p w14:paraId="7753078D" w14:textId="77777777" w:rsidR="002955C5" w:rsidRDefault="002955C5" w:rsidP="00665D84">
      <w:pPr>
        <w:spacing w:after="0" w:line="360" w:lineRule="auto"/>
        <w:ind w:right="72"/>
        <w:jc w:val="right"/>
        <w:rPr>
          <w:rFonts w:ascii="Arial" w:eastAsia="Arial" w:hAnsi="Arial" w:cs="Arial"/>
          <w:b/>
          <w:sz w:val="24"/>
          <w:szCs w:val="24"/>
        </w:rPr>
      </w:pPr>
    </w:p>
    <w:p w14:paraId="4755B33E" w14:textId="77777777" w:rsidR="002955C5" w:rsidRDefault="002955C5" w:rsidP="00665D84">
      <w:pPr>
        <w:spacing w:after="0" w:line="360" w:lineRule="auto"/>
        <w:ind w:right="72"/>
        <w:jc w:val="right"/>
        <w:rPr>
          <w:rFonts w:ascii="Arial" w:eastAsia="Arial" w:hAnsi="Arial" w:cs="Arial"/>
          <w:b/>
          <w:sz w:val="24"/>
          <w:szCs w:val="24"/>
        </w:rPr>
      </w:pPr>
    </w:p>
    <w:p w14:paraId="3DCA37A7" w14:textId="4EBE9A01" w:rsidR="002955C5" w:rsidRDefault="002955C5" w:rsidP="00665D84">
      <w:pPr>
        <w:spacing w:after="0" w:line="360" w:lineRule="auto"/>
        <w:ind w:right="72"/>
        <w:jc w:val="right"/>
        <w:rPr>
          <w:rFonts w:ascii="Arial" w:eastAsia="Arial" w:hAnsi="Arial" w:cs="Arial"/>
          <w:b/>
          <w:sz w:val="24"/>
          <w:szCs w:val="24"/>
        </w:rPr>
      </w:pPr>
    </w:p>
    <w:p w14:paraId="0126F068" w14:textId="1085F813" w:rsidR="00AE34D6" w:rsidRDefault="00AE34D6" w:rsidP="00665D84">
      <w:pPr>
        <w:spacing w:after="0" w:line="360" w:lineRule="auto"/>
        <w:ind w:right="72"/>
        <w:jc w:val="right"/>
        <w:rPr>
          <w:rFonts w:ascii="Arial" w:eastAsia="Arial" w:hAnsi="Arial" w:cs="Arial"/>
          <w:b/>
          <w:sz w:val="24"/>
          <w:szCs w:val="24"/>
        </w:rPr>
      </w:pPr>
    </w:p>
    <w:p w14:paraId="7E8A9FA8" w14:textId="36030C93" w:rsidR="00AE34D6" w:rsidRDefault="00AE34D6" w:rsidP="00665D84">
      <w:pPr>
        <w:spacing w:after="0" w:line="360" w:lineRule="auto"/>
        <w:ind w:right="72"/>
        <w:jc w:val="right"/>
        <w:rPr>
          <w:rFonts w:ascii="Arial" w:eastAsia="Arial" w:hAnsi="Arial" w:cs="Arial"/>
          <w:b/>
          <w:sz w:val="24"/>
          <w:szCs w:val="24"/>
        </w:rPr>
      </w:pPr>
    </w:p>
    <w:p w14:paraId="2E0622CB" w14:textId="1740CD61" w:rsidR="00AE34D6" w:rsidRDefault="00AE34D6" w:rsidP="00665D84">
      <w:pPr>
        <w:spacing w:after="0" w:line="360" w:lineRule="auto"/>
        <w:ind w:right="72"/>
        <w:jc w:val="right"/>
        <w:rPr>
          <w:rFonts w:ascii="Arial" w:eastAsia="Arial" w:hAnsi="Arial" w:cs="Arial"/>
          <w:b/>
          <w:sz w:val="24"/>
          <w:szCs w:val="24"/>
        </w:rPr>
      </w:pPr>
    </w:p>
    <w:p w14:paraId="2C13B68A" w14:textId="3AD47365" w:rsidR="00AE34D6" w:rsidRDefault="00AE34D6" w:rsidP="00665D84">
      <w:pPr>
        <w:spacing w:after="0" w:line="360" w:lineRule="auto"/>
        <w:ind w:right="72"/>
        <w:jc w:val="right"/>
        <w:rPr>
          <w:rFonts w:ascii="Arial" w:eastAsia="Arial" w:hAnsi="Arial" w:cs="Arial"/>
          <w:b/>
          <w:sz w:val="24"/>
          <w:szCs w:val="24"/>
        </w:rPr>
      </w:pPr>
    </w:p>
    <w:p w14:paraId="035BB8D2" w14:textId="5EF4AB23" w:rsidR="00AE34D6" w:rsidRDefault="00AE34D6" w:rsidP="00665D84">
      <w:pPr>
        <w:spacing w:after="0" w:line="360" w:lineRule="auto"/>
        <w:ind w:right="72"/>
        <w:jc w:val="right"/>
        <w:rPr>
          <w:rFonts w:ascii="Arial" w:eastAsia="Arial" w:hAnsi="Arial" w:cs="Arial"/>
          <w:b/>
          <w:sz w:val="24"/>
          <w:szCs w:val="24"/>
        </w:rPr>
      </w:pPr>
    </w:p>
    <w:p w14:paraId="6B56536D" w14:textId="6248B1BD" w:rsidR="00AE34D6" w:rsidRDefault="00AE34D6" w:rsidP="00665D84">
      <w:pPr>
        <w:spacing w:after="0" w:line="360" w:lineRule="auto"/>
        <w:ind w:right="72"/>
        <w:jc w:val="right"/>
        <w:rPr>
          <w:rFonts w:ascii="Arial" w:eastAsia="Arial" w:hAnsi="Arial" w:cs="Arial"/>
          <w:b/>
          <w:sz w:val="24"/>
          <w:szCs w:val="24"/>
        </w:rPr>
      </w:pPr>
    </w:p>
    <w:p w14:paraId="19D784D1" w14:textId="3BA123E9" w:rsidR="00AE34D6" w:rsidRDefault="00AE34D6" w:rsidP="00665D84">
      <w:pPr>
        <w:spacing w:after="0" w:line="360" w:lineRule="auto"/>
        <w:ind w:right="72"/>
        <w:jc w:val="right"/>
        <w:rPr>
          <w:rFonts w:ascii="Arial" w:eastAsia="Arial" w:hAnsi="Arial" w:cs="Arial"/>
          <w:b/>
          <w:sz w:val="24"/>
          <w:szCs w:val="24"/>
        </w:rPr>
      </w:pPr>
    </w:p>
    <w:p w14:paraId="2FEB6A07" w14:textId="5D0FD108" w:rsidR="00AE34D6" w:rsidRDefault="00AE34D6" w:rsidP="00665D84">
      <w:pPr>
        <w:spacing w:after="0" w:line="360" w:lineRule="auto"/>
        <w:ind w:right="72"/>
        <w:jc w:val="right"/>
        <w:rPr>
          <w:rFonts w:ascii="Arial" w:eastAsia="Arial" w:hAnsi="Arial" w:cs="Arial"/>
          <w:b/>
          <w:sz w:val="24"/>
          <w:szCs w:val="24"/>
        </w:rPr>
      </w:pPr>
    </w:p>
    <w:p w14:paraId="42D308A8" w14:textId="0202EECD" w:rsidR="00AE34D6" w:rsidRDefault="00AE34D6" w:rsidP="00665D84">
      <w:pPr>
        <w:spacing w:after="0" w:line="360" w:lineRule="auto"/>
        <w:ind w:right="72"/>
        <w:jc w:val="right"/>
        <w:rPr>
          <w:rFonts w:ascii="Arial" w:eastAsia="Arial" w:hAnsi="Arial" w:cs="Arial"/>
          <w:b/>
          <w:sz w:val="24"/>
          <w:szCs w:val="24"/>
        </w:rPr>
      </w:pPr>
    </w:p>
    <w:p w14:paraId="5BBCBC51" w14:textId="43BC781C" w:rsidR="00AE34D6" w:rsidRDefault="00AE34D6" w:rsidP="001F7117">
      <w:pPr>
        <w:spacing w:after="0" w:line="360" w:lineRule="auto"/>
        <w:ind w:right="72"/>
        <w:rPr>
          <w:rFonts w:ascii="Arial" w:eastAsia="Arial" w:hAnsi="Arial" w:cs="Arial"/>
          <w:b/>
          <w:sz w:val="24"/>
          <w:szCs w:val="24"/>
        </w:rPr>
      </w:pPr>
    </w:p>
    <w:p w14:paraId="6800568C" w14:textId="7BEB235D" w:rsidR="00AE34D6" w:rsidRDefault="00AE34D6" w:rsidP="00665D84">
      <w:pPr>
        <w:spacing w:after="0" w:line="360" w:lineRule="auto"/>
        <w:ind w:right="72"/>
        <w:jc w:val="right"/>
        <w:rPr>
          <w:rFonts w:ascii="Arial" w:eastAsia="Arial" w:hAnsi="Arial" w:cs="Arial"/>
          <w:b/>
          <w:sz w:val="24"/>
          <w:szCs w:val="24"/>
        </w:rPr>
      </w:pPr>
    </w:p>
    <w:p w14:paraId="11C5CB40" w14:textId="77777777" w:rsidR="002955C5" w:rsidRDefault="00847C27" w:rsidP="00665D84">
      <w:pPr>
        <w:spacing w:after="0" w:line="360" w:lineRule="auto"/>
        <w:ind w:right="72"/>
        <w:jc w:val="right"/>
        <w:rPr>
          <w:rFonts w:ascii="Arial" w:eastAsia="Arial" w:hAnsi="Arial" w:cs="Arial"/>
          <w:sz w:val="24"/>
          <w:szCs w:val="24"/>
        </w:rPr>
      </w:pPr>
      <w:r>
        <w:rPr>
          <w:rFonts w:ascii="Arial" w:eastAsia="Arial" w:hAnsi="Arial" w:cs="Arial"/>
          <w:sz w:val="24"/>
          <w:szCs w:val="24"/>
        </w:rPr>
        <w:t>________________</w:t>
      </w:r>
    </w:p>
    <w:p w14:paraId="6C1317F6" w14:textId="77777777" w:rsidR="002955C5" w:rsidRDefault="00847C27" w:rsidP="00665D84">
      <w:pPr>
        <w:spacing w:after="0" w:line="360" w:lineRule="auto"/>
        <w:ind w:right="72"/>
        <w:jc w:val="right"/>
        <w:rPr>
          <w:rFonts w:ascii="Arial" w:eastAsia="Arial" w:hAnsi="Arial" w:cs="Arial"/>
          <w:sz w:val="24"/>
          <w:szCs w:val="24"/>
        </w:rPr>
      </w:pPr>
      <w:r>
        <w:rPr>
          <w:rFonts w:ascii="Arial" w:eastAsia="Arial" w:hAnsi="Arial" w:cs="Arial"/>
          <w:sz w:val="24"/>
          <w:szCs w:val="24"/>
        </w:rPr>
        <w:t>W HUGHES</w:t>
      </w:r>
    </w:p>
    <w:p w14:paraId="338B1DAC" w14:textId="77777777" w:rsidR="002955C5" w:rsidRDefault="00847C27" w:rsidP="00665D84">
      <w:pPr>
        <w:spacing w:after="0" w:line="360" w:lineRule="auto"/>
        <w:ind w:right="72"/>
        <w:jc w:val="right"/>
        <w:rPr>
          <w:rFonts w:ascii="Arial" w:eastAsia="Arial" w:hAnsi="Arial" w:cs="Arial"/>
          <w:sz w:val="24"/>
          <w:szCs w:val="24"/>
        </w:rPr>
      </w:pPr>
      <w:r>
        <w:rPr>
          <w:rFonts w:ascii="Arial" w:eastAsia="Arial" w:hAnsi="Arial" w:cs="Arial"/>
          <w:sz w:val="24"/>
          <w:szCs w:val="24"/>
        </w:rPr>
        <w:t>JUDGE OF APPEAL</w:t>
      </w:r>
    </w:p>
    <w:p w14:paraId="7AFE1923" w14:textId="77777777" w:rsidR="002955C5" w:rsidRDefault="00847C27" w:rsidP="00665D84">
      <w:pPr>
        <w:spacing w:line="360" w:lineRule="auto"/>
        <w:ind w:right="72"/>
        <w:rPr>
          <w:rFonts w:ascii="Arial" w:eastAsia="Arial" w:hAnsi="Arial" w:cs="Arial"/>
          <w:sz w:val="24"/>
          <w:szCs w:val="24"/>
        </w:rPr>
      </w:pPr>
      <w:r>
        <w:br w:type="page"/>
      </w:r>
      <w:r>
        <w:rPr>
          <w:rFonts w:ascii="Arial" w:eastAsia="Arial" w:hAnsi="Arial" w:cs="Arial"/>
          <w:sz w:val="24"/>
          <w:szCs w:val="24"/>
        </w:rPr>
        <w:lastRenderedPageBreak/>
        <w:t>APPEARANCES</w:t>
      </w:r>
    </w:p>
    <w:p w14:paraId="011742C3" w14:textId="77777777" w:rsidR="002955C5" w:rsidRDefault="002955C5" w:rsidP="00665D84">
      <w:pPr>
        <w:spacing w:after="0" w:line="360" w:lineRule="auto"/>
        <w:rPr>
          <w:rFonts w:ascii="Arial" w:eastAsia="Arial" w:hAnsi="Arial" w:cs="Arial"/>
          <w:sz w:val="24"/>
          <w:szCs w:val="24"/>
        </w:rPr>
      </w:pPr>
    </w:p>
    <w:p w14:paraId="7468EDCE"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For the Appellant:      </w:t>
      </w:r>
      <w:r>
        <w:rPr>
          <w:rFonts w:ascii="Arial" w:eastAsia="Arial" w:hAnsi="Arial" w:cs="Arial"/>
          <w:sz w:val="24"/>
          <w:szCs w:val="24"/>
        </w:rPr>
        <w:tab/>
        <w:t xml:space="preserve">C Joubert SC                                                     </w:t>
      </w:r>
    </w:p>
    <w:p w14:paraId="7877F62A"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Instructed by:          </w:t>
      </w:r>
      <w:r>
        <w:rPr>
          <w:rFonts w:ascii="Arial" w:eastAsia="Arial" w:hAnsi="Arial" w:cs="Arial"/>
          <w:sz w:val="24"/>
          <w:szCs w:val="24"/>
        </w:rPr>
        <w:tab/>
        <w:t>Laas &amp; Scholtz Inc., Cape Town</w:t>
      </w:r>
    </w:p>
    <w:p w14:paraId="2D2B9814"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ab/>
        <w:t>Webbers Attorneys, Bloemfontein.</w:t>
      </w:r>
    </w:p>
    <w:p w14:paraId="7C76039D" w14:textId="77777777" w:rsidR="002955C5" w:rsidRDefault="002955C5" w:rsidP="00665D84">
      <w:pPr>
        <w:tabs>
          <w:tab w:val="left" w:pos="3686"/>
        </w:tabs>
        <w:spacing w:after="0" w:line="360" w:lineRule="auto"/>
        <w:jc w:val="both"/>
        <w:rPr>
          <w:rFonts w:ascii="Arial" w:eastAsia="Arial" w:hAnsi="Arial" w:cs="Arial"/>
          <w:sz w:val="24"/>
          <w:szCs w:val="24"/>
        </w:rPr>
      </w:pPr>
    </w:p>
    <w:p w14:paraId="5675A1C2"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For the Respondent:  </w:t>
      </w:r>
      <w:r>
        <w:rPr>
          <w:rFonts w:ascii="Arial" w:eastAsia="Arial" w:hAnsi="Arial" w:cs="Arial"/>
          <w:sz w:val="24"/>
          <w:szCs w:val="24"/>
        </w:rPr>
        <w:tab/>
        <w:t>Roelof Van Riet SC</w:t>
      </w:r>
    </w:p>
    <w:p w14:paraId="79CB75E6"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ab/>
        <w:t>S Miller</w:t>
      </w:r>
    </w:p>
    <w:p w14:paraId="0D770460"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 xml:space="preserve">Instructed by:       </w:t>
      </w:r>
      <w:r>
        <w:rPr>
          <w:rFonts w:ascii="Arial" w:eastAsia="Arial" w:hAnsi="Arial" w:cs="Arial"/>
          <w:sz w:val="24"/>
          <w:szCs w:val="24"/>
        </w:rPr>
        <w:tab/>
        <w:t>Roelof Feenstra Inc., Cape Town</w:t>
      </w:r>
    </w:p>
    <w:p w14:paraId="29EF8841" w14:textId="77777777" w:rsidR="002955C5" w:rsidRDefault="00847C27" w:rsidP="00665D84">
      <w:pPr>
        <w:tabs>
          <w:tab w:val="left" w:pos="3686"/>
        </w:tabs>
        <w:spacing w:after="0" w:line="360" w:lineRule="auto"/>
        <w:jc w:val="both"/>
        <w:rPr>
          <w:rFonts w:ascii="Arial" w:eastAsia="Arial" w:hAnsi="Arial" w:cs="Arial"/>
          <w:sz w:val="24"/>
          <w:szCs w:val="24"/>
        </w:rPr>
      </w:pPr>
      <w:r>
        <w:rPr>
          <w:rFonts w:ascii="Arial" w:eastAsia="Arial" w:hAnsi="Arial" w:cs="Arial"/>
          <w:sz w:val="24"/>
          <w:szCs w:val="24"/>
        </w:rPr>
        <w:tab/>
        <w:t>Lovius Block Inc, Bloemfontein.</w:t>
      </w:r>
    </w:p>
    <w:p w14:paraId="654AF3FC" w14:textId="77777777" w:rsidR="002955C5" w:rsidRDefault="002955C5" w:rsidP="00665D84">
      <w:pPr>
        <w:tabs>
          <w:tab w:val="left" w:pos="3686"/>
        </w:tabs>
        <w:spacing w:after="0" w:line="360" w:lineRule="auto"/>
        <w:jc w:val="both"/>
        <w:rPr>
          <w:rFonts w:ascii="Arial" w:eastAsia="Arial" w:hAnsi="Arial" w:cs="Arial"/>
          <w:sz w:val="24"/>
          <w:szCs w:val="24"/>
        </w:rPr>
      </w:pPr>
    </w:p>
    <w:p w14:paraId="077F0A9A" w14:textId="77777777" w:rsidR="002955C5" w:rsidRDefault="002955C5" w:rsidP="00665D84">
      <w:pPr>
        <w:tabs>
          <w:tab w:val="left" w:pos="3686"/>
        </w:tabs>
        <w:spacing w:after="0" w:line="360" w:lineRule="auto"/>
        <w:jc w:val="both"/>
        <w:rPr>
          <w:rFonts w:ascii="Arial" w:eastAsia="Arial" w:hAnsi="Arial" w:cs="Arial"/>
          <w:sz w:val="24"/>
          <w:szCs w:val="24"/>
        </w:rPr>
      </w:pPr>
    </w:p>
    <w:p w14:paraId="2FC679AF" w14:textId="77777777" w:rsidR="002955C5" w:rsidRDefault="002955C5" w:rsidP="00665D84">
      <w:pPr>
        <w:tabs>
          <w:tab w:val="left" w:pos="3686"/>
        </w:tabs>
        <w:spacing w:after="0" w:line="360" w:lineRule="auto"/>
        <w:jc w:val="both"/>
        <w:rPr>
          <w:rFonts w:ascii="Arial" w:eastAsia="Arial" w:hAnsi="Arial" w:cs="Arial"/>
          <w:sz w:val="24"/>
          <w:szCs w:val="24"/>
        </w:rPr>
      </w:pPr>
    </w:p>
    <w:p w14:paraId="6C36E9D7" w14:textId="77777777" w:rsidR="002955C5" w:rsidRDefault="002955C5" w:rsidP="00665D84">
      <w:pPr>
        <w:tabs>
          <w:tab w:val="left" w:pos="3686"/>
        </w:tabs>
        <w:spacing w:after="0" w:line="360" w:lineRule="auto"/>
        <w:jc w:val="both"/>
        <w:rPr>
          <w:rFonts w:ascii="Arial" w:eastAsia="Arial" w:hAnsi="Arial" w:cs="Arial"/>
          <w:sz w:val="24"/>
          <w:szCs w:val="24"/>
        </w:rPr>
      </w:pPr>
    </w:p>
    <w:p w14:paraId="11B5D0F3" w14:textId="77777777" w:rsidR="002955C5" w:rsidRDefault="002955C5" w:rsidP="00665D84">
      <w:pPr>
        <w:tabs>
          <w:tab w:val="left" w:pos="3686"/>
        </w:tabs>
        <w:spacing w:after="0" w:line="360" w:lineRule="auto"/>
        <w:jc w:val="both"/>
        <w:rPr>
          <w:rFonts w:ascii="Arial" w:eastAsia="Arial" w:hAnsi="Arial" w:cs="Arial"/>
          <w:sz w:val="24"/>
          <w:szCs w:val="24"/>
        </w:rPr>
      </w:pPr>
    </w:p>
    <w:sectPr w:rsidR="002955C5">
      <w:headerReference w:type="default" r:id="rId9"/>
      <w:pgSz w:w="11906" w:h="16838"/>
      <w:pgMar w:top="1440" w:right="1274" w:bottom="1440"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0ECE" w14:textId="77777777" w:rsidR="001F481E" w:rsidRDefault="001F481E">
      <w:pPr>
        <w:spacing w:after="0" w:line="240" w:lineRule="auto"/>
      </w:pPr>
      <w:r>
        <w:separator/>
      </w:r>
    </w:p>
  </w:endnote>
  <w:endnote w:type="continuationSeparator" w:id="0">
    <w:p w14:paraId="6BEE8703" w14:textId="77777777" w:rsidR="001F481E" w:rsidRDefault="001F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A4E4" w14:textId="77777777" w:rsidR="001F481E" w:rsidRDefault="001F481E">
      <w:pPr>
        <w:spacing w:after="0" w:line="240" w:lineRule="auto"/>
      </w:pPr>
      <w:r>
        <w:separator/>
      </w:r>
    </w:p>
  </w:footnote>
  <w:footnote w:type="continuationSeparator" w:id="0">
    <w:p w14:paraId="03FE730A" w14:textId="77777777" w:rsidR="001F481E" w:rsidRDefault="001F481E">
      <w:pPr>
        <w:spacing w:after="0" w:line="240" w:lineRule="auto"/>
      </w:pPr>
      <w:r>
        <w:continuationSeparator/>
      </w:r>
    </w:p>
  </w:footnote>
  <w:footnote w:id="1">
    <w:p w14:paraId="62BEEC62" w14:textId="77777777" w:rsidR="00804C72" w:rsidRDefault="00804C72">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The second respondent, Judge Fourie, did not partake in the appeal.</w:t>
      </w:r>
    </w:p>
  </w:footnote>
  <w:footnote w:id="2">
    <w:p w14:paraId="517F52DA" w14:textId="14F379DE" w:rsidR="00941B0F" w:rsidRPr="00724603" w:rsidRDefault="00941B0F">
      <w:pPr>
        <w:pStyle w:val="FootnoteText"/>
        <w:rPr>
          <w:rFonts w:ascii="Arial" w:hAnsi="Arial" w:cs="Arial"/>
        </w:rPr>
      </w:pPr>
      <w:r w:rsidRPr="00724603">
        <w:rPr>
          <w:rStyle w:val="FootnoteReference"/>
          <w:rFonts w:ascii="Arial" w:hAnsi="Arial" w:cs="Arial"/>
        </w:rPr>
        <w:footnoteRef/>
      </w:r>
      <w:r w:rsidRPr="00724603">
        <w:rPr>
          <w:rFonts w:ascii="Arial" w:hAnsi="Arial" w:cs="Arial"/>
        </w:rPr>
        <w:t xml:space="preserve"> </w:t>
      </w:r>
      <w:r w:rsidR="00724603" w:rsidRPr="00724603">
        <w:rPr>
          <w:rFonts w:ascii="Arial" w:hAnsi="Arial" w:cs="Arial"/>
        </w:rPr>
        <w:t>Record Vol 1 p 143</w:t>
      </w:r>
      <w:r w:rsidR="00E72F1B">
        <w:rPr>
          <w:rFonts w:ascii="Arial" w:hAnsi="Arial" w:cs="Arial"/>
        </w:rPr>
        <w:t>: ‘6.</w:t>
      </w:r>
      <w:r w:rsidR="00724603">
        <w:rPr>
          <w:rFonts w:ascii="Arial" w:hAnsi="Arial" w:cs="Arial"/>
        </w:rPr>
        <w:t xml:space="preserve"> </w:t>
      </w:r>
      <w:r w:rsidR="00480028" w:rsidRPr="006936FC">
        <w:rPr>
          <w:rFonts w:ascii="Arial" w:hAnsi="Arial" w:cs="Arial"/>
        </w:rPr>
        <w:t>Fooie vir eksterne dienste sal teen 100% van ECSA tarrief betaal word SLEGS indien dit ten volle kan verhaal word van die grootmaat dienste bydraes andersins sal 20% afslag ook hier geld. Interim betalings sal bereken teen die 20% afslag. 100% fooi scenario sal dus slegs van toepassing wees indien die grootmaatdienstebydraes die koste verpligtinge om infrastruktuur te voorsien deur die klient/ontw</w:t>
      </w:r>
      <w:r w:rsidR="00A911D7" w:rsidRPr="006936FC">
        <w:rPr>
          <w:rFonts w:ascii="Arial" w:hAnsi="Arial" w:cs="Arial"/>
        </w:rPr>
        <w:t>ikkelaar oors</w:t>
      </w:r>
      <w:r w:rsidR="00480028" w:rsidRPr="006936FC">
        <w:rPr>
          <w:rFonts w:ascii="Arial" w:hAnsi="Arial" w:cs="Arial"/>
        </w:rPr>
        <w:t>kry</w:t>
      </w:r>
      <w:r w:rsidR="00E72F1B">
        <w:rPr>
          <w:rFonts w:ascii="Arial" w:hAnsi="Arial" w:cs="Arial"/>
        </w:rPr>
        <w:t>.</w:t>
      </w:r>
      <w:r w:rsidR="00480028" w:rsidRPr="006936FC">
        <w:rPr>
          <w:rFonts w:ascii="Arial" w:hAnsi="Arial" w:cs="Arial"/>
        </w:rPr>
        <w:t>’</w:t>
      </w:r>
    </w:p>
  </w:footnote>
  <w:footnote w:id="3">
    <w:p w14:paraId="1C9A5A93" w14:textId="77777777" w:rsidR="00804C72" w:rsidRDefault="00804C72">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Hos+Med Medical Aid Scheme v Thebe ya Pelo Healthcare and Others</w:t>
      </w:r>
      <w:r>
        <w:rPr>
          <w:rFonts w:ascii="Arial" w:eastAsia="Arial" w:hAnsi="Arial" w:cs="Arial"/>
          <w:color w:val="000000"/>
          <w:sz w:val="20"/>
          <w:szCs w:val="20"/>
        </w:rPr>
        <w:t xml:space="preserve"> [2007] ZASCA 163; 2008 (2) SA 608 (SCA) (</w:t>
      </w:r>
      <w:r w:rsidRPr="001046AD">
        <w:rPr>
          <w:rFonts w:ascii="Arial" w:eastAsia="Arial" w:hAnsi="Arial" w:cs="Arial"/>
          <w:i/>
          <w:color w:val="000000"/>
          <w:sz w:val="20"/>
          <w:szCs w:val="20"/>
        </w:rPr>
        <w:t>Hos+Med Medical Aid Scheme</w:t>
      </w:r>
      <w:r>
        <w:rPr>
          <w:rFonts w:ascii="Arial" w:eastAsia="Arial" w:hAnsi="Arial" w:cs="Arial"/>
          <w:color w:val="000000"/>
          <w:sz w:val="20"/>
          <w:szCs w:val="20"/>
        </w:rPr>
        <w:t>) para 3.</w:t>
      </w:r>
    </w:p>
  </w:footnote>
  <w:footnote w:id="4">
    <w:p w14:paraId="68918A06" w14:textId="77777777" w:rsidR="00804C72" w:rsidRPr="00652F22" w:rsidRDefault="00804C72" w:rsidP="001C52C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i/>
          <w:color w:val="000000"/>
          <w:sz w:val="20"/>
          <w:szCs w:val="20"/>
        </w:rPr>
        <w:t xml:space="preserve">Telcordia Technologies Inc v Telkom SA Ltd </w:t>
      </w:r>
      <w:r w:rsidR="00A132A0">
        <w:rPr>
          <w:rFonts w:ascii="Arial" w:eastAsia="Arial" w:hAnsi="Arial" w:cs="Arial"/>
          <w:color w:val="000000"/>
          <w:sz w:val="20"/>
          <w:szCs w:val="20"/>
        </w:rPr>
        <w:t xml:space="preserve">[2006] ZASCA 112; </w:t>
      </w:r>
      <w:r w:rsidRPr="00652F22">
        <w:rPr>
          <w:rFonts w:ascii="Arial" w:eastAsia="Arial" w:hAnsi="Arial" w:cs="Arial"/>
          <w:color w:val="000000"/>
          <w:sz w:val="20"/>
          <w:szCs w:val="20"/>
        </w:rPr>
        <w:t>2007 (3) SA 266 (SCA).</w:t>
      </w:r>
    </w:p>
  </w:footnote>
  <w:footnote w:id="5">
    <w:p w14:paraId="3268F31A" w14:textId="77777777" w:rsidR="00804C72" w:rsidRPr="00652F22" w:rsidRDefault="00804C72" w:rsidP="001C52C7">
      <w:pPr>
        <w:pBdr>
          <w:top w:val="nil"/>
          <w:left w:val="nil"/>
          <w:bottom w:val="nil"/>
          <w:right w:val="nil"/>
          <w:between w:val="nil"/>
        </w:pBdr>
        <w:spacing w:after="0" w:line="240" w:lineRule="auto"/>
        <w:rPr>
          <w:rFonts w:ascii="Arial" w:eastAsia="Arial" w:hAnsi="Arial" w:cs="Arial"/>
          <w:color w:val="000000"/>
          <w:sz w:val="20"/>
          <w:szCs w:val="20"/>
        </w:rPr>
      </w:pPr>
      <w:r w:rsidRPr="00652F22">
        <w:rPr>
          <w:vertAlign w:val="superscript"/>
        </w:rPr>
        <w:footnoteRef/>
      </w:r>
      <w:r w:rsidRPr="00652F22">
        <w:rPr>
          <w:rFonts w:ascii="Arial" w:eastAsia="Arial" w:hAnsi="Arial" w:cs="Arial"/>
          <w:color w:val="000000"/>
          <w:sz w:val="20"/>
          <w:szCs w:val="20"/>
        </w:rPr>
        <w:t xml:space="preserve"> Ibid para 85. </w:t>
      </w:r>
    </w:p>
  </w:footnote>
  <w:footnote w:id="6">
    <w:p w14:paraId="7F430E00" w14:textId="77777777" w:rsidR="00804C72" w:rsidRDefault="00804C7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i/>
          <w:color w:val="000000"/>
          <w:sz w:val="20"/>
          <w:szCs w:val="20"/>
        </w:rPr>
        <w:t xml:space="preserve">Palabora Copper (Pty) Ltd v Motlokwa Transport &amp; Construction (Pty) Ltd </w:t>
      </w:r>
      <w:r>
        <w:rPr>
          <w:rFonts w:ascii="Arial" w:eastAsia="Arial" w:hAnsi="Arial" w:cs="Arial"/>
          <w:color w:val="000000"/>
          <w:sz w:val="20"/>
          <w:szCs w:val="20"/>
        </w:rPr>
        <w:t>[2018] ZASCA 23; [2018 (5) SA 462 (SCA) (Palabora Copper).</w:t>
      </w:r>
    </w:p>
  </w:footnote>
  <w:footnote w:id="7">
    <w:p w14:paraId="4A7D02DF" w14:textId="77777777" w:rsidR="00804C72" w:rsidRDefault="00804C72">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 para 8.</w:t>
      </w:r>
    </w:p>
  </w:footnote>
  <w:footnote w:id="8">
    <w:p w14:paraId="38E3FC01" w14:textId="77777777" w:rsidR="00804C72" w:rsidRDefault="00804C72" w:rsidP="007C5CB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HOD+MED Medical Aid Scheme v Thebe Ya Bophelo Healthcare Marketing &amp; Consulting (Pty) Ltd and Others</w:t>
      </w:r>
      <w:r>
        <w:rPr>
          <w:rFonts w:ascii="Arial" w:eastAsia="Arial" w:hAnsi="Arial" w:cs="Arial"/>
          <w:color w:val="000000"/>
          <w:sz w:val="20"/>
          <w:szCs w:val="20"/>
        </w:rPr>
        <w:t xml:space="preserve"> 2008 (2) SA 608 (SCA) para 30.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058801"/>
      <w:docPartObj>
        <w:docPartGallery w:val="Page Numbers (Top of Page)"/>
        <w:docPartUnique/>
      </w:docPartObj>
    </w:sdtPr>
    <w:sdtEndPr>
      <w:rPr>
        <w:noProof/>
      </w:rPr>
    </w:sdtEndPr>
    <w:sdtContent>
      <w:p w14:paraId="7EE1C594" w14:textId="72A094A2" w:rsidR="00D67A1A" w:rsidRDefault="00D67A1A">
        <w:pPr>
          <w:pStyle w:val="Header"/>
          <w:jc w:val="right"/>
        </w:pPr>
        <w:r>
          <w:fldChar w:fldCharType="begin"/>
        </w:r>
        <w:r>
          <w:instrText xml:space="preserve"> PAGE   \* MERGEFORMAT </w:instrText>
        </w:r>
        <w:r>
          <w:fldChar w:fldCharType="separate"/>
        </w:r>
        <w:r w:rsidR="00BB1FB4">
          <w:rPr>
            <w:noProof/>
          </w:rPr>
          <w:t>2</w:t>
        </w:r>
        <w:r>
          <w:rPr>
            <w:noProof/>
          </w:rPr>
          <w:fldChar w:fldCharType="end"/>
        </w:r>
      </w:p>
    </w:sdtContent>
  </w:sdt>
  <w:p w14:paraId="3665B9CC" w14:textId="77777777" w:rsidR="00804C72" w:rsidRDefault="00804C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8D"/>
    <w:multiLevelType w:val="multilevel"/>
    <w:tmpl w:val="8FE49044"/>
    <w:lvl w:ilvl="0">
      <w:start w:val="15"/>
      <w:numFmt w:val="decimal"/>
      <w:lvlText w:val="[%1]"/>
      <w:lvlJc w:val="left"/>
      <w:pPr>
        <w:ind w:left="360"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1181E4E"/>
    <w:multiLevelType w:val="multilevel"/>
    <w:tmpl w:val="BFBAB3D4"/>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5"/>
    <w:rsid w:val="00000BD6"/>
    <w:rsid w:val="0000178E"/>
    <w:rsid w:val="00021F98"/>
    <w:rsid w:val="00057D55"/>
    <w:rsid w:val="00060C23"/>
    <w:rsid w:val="000610C1"/>
    <w:rsid w:val="00065B8E"/>
    <w:rsid w:val="00084FB3"/>
    <w:rsid w:val="000B79AC"/>
    <w:rsid w:val="000C7127"/>
    <w:rsid w:val="000E5C84"/>
    <w:rsid w:val="000F106D"/>
    <w:rsid w:val="000F62CE"/>
    <w:rsid w:val="000F6D54"/>
    <w:rsid w:val="00100AFC"/>
    <w:rsid w:val="001046AD"/>
    <w:rsid w:val="00120FE1"/>
    <w:rsid w:val="00121F17"/>
    <w:rsid w:val="00167DAD"/>
    <w:rsid w:val="00182088"/>
    <w:rsid w:val="001967CA"/>
    <w:rsid w:val="001A2D04"/>
    <w:rsid w:val="001B43B6"/>
    <w:rsid w:val="001C52C7"/>
    <w:rsid w:val="001D40CA"/>
    <w:rsid w:val="001E722A"/>
    <w:rsid w:val="001F481E"/>
    <w:rsid w:val="001F5C40"/>
    <w:rsid w:val="001F7117"/>
    <w:rsid w:val="002147A8"/>
    <w:rsid w:val="00280F55"/>
    <w:rsid w:val="00287DA4"/>
    <w:rsid w:val="002918A8"/>
    <w:rsid w:val="002955C5"/>
    <w:rsid w:val="00310E23"/>
    <w:rsid w:val="00316FFE"/>
    <w:rsid w:val="0031730D"/>
    <w:rsid w:val="00361C69"/>
    <w:rsid w:val="003B3662"/>
    <w:rsid w:val="003D0443"/>
    <w:rsid w:val="003D5A15"/>
    <w:rsid w:val="003E1945"/>
    <w:rsid w:val="004000E0"/>
    <w:rsid w:val="00405433"/>
    <w:rsid w:val="00412A5A"/>
    <w:rsid w:val="00451FA7"/>
    <w:rsid w:val="00480028"/>
    <w:rsid w:val="00491606"/>
    <w:rsid w:val="00494748"/>
    <w:rsid w:val="004C42A5"/>
    <w:rsid w:val="004E084D"/>
    <w:rsid w:val="004E2FAC"/>
    <w:rsid w:val="004E5D4C"/>
    <w:rsid w:val="0050332E"/>
    <w:rsid w:val="005115E0"/>
    <w:rsid w:val="00542506"/>
    <w:rsid w:val="00545111"/>
    <w:rsid w:val="005451D0"/>
    <w:rsid w:val="00590C6C"/>
    <w:rsid w:val="0059540B"/>
    <w:rsid w:val="005C12ED"/>
    <w:rsid w:val="005E6365"/>
    <w:rsid w:val="0060307E"/>
    <w:rsid w:val="006229BD"/>
    <w:rsid w:val="006238BB"/>
    <w:rsid w:val="00632C6E"/>
    <w:rsid w:val="00637722"/>
    <w:rsid w:val="00652F22"/>
    <w:rsid w:val="00665D84"/>
    <w:rsid w:val="006936FC"/>
    <w:rsid w:val="006A41B0"/>
    <w:rsid w:val="006A5C49"/>
    <w:rsid w:val="006A6C19"/>
    <w:rsid w:val="006F0126"/>
    <w:rsid w:val="00724603"/>
    <w:rsid w:val="0072481D"/>
    <w:rsid w:val="0072482A"/>
    <w:rsid w:val="00731CBD"/>
    <w:rsid w:val="007C5CB9"/>
    <w:rsid w:val="007D0315"/>
    <w:rsid w:val="007D2BA8"/>
    <w:rsid w:val="007D54E2"/>
    <w:rsid w:val="007E4DFF"/>
    <w:rsid w:val="00804C72"/>
    <w:rsid w:val="008141B5"/>
    <w:rsid w:val="008169C7"/>
    <w:rsid w:val="0082240D"/>
    <w:rsid w:val="00847C27"/>
    <w:rsid w:val="008527AE"/>
    <w:rsid w:val="0087327B"/>
    <w:rsid w:val="00884648"/>
    <w:rsid w:val="0089053B"/>
    <w:rsid w:val="0089375B"/>
    <w:rsid w:val="008D56FC"/>
    <w:rsid w:val="00910C6D"/>
    <w:rsid w:val="00941B0F"/>
    <w:rsid w:val="00947107"/>
    <w:rsid w:val="00994363"/>
    <w:rsid w:val="009A1E66"/>
    <w:rsid w:val="009B34C2"/>
    <w:rsid w:val="00A132A0"/>
    <w:rsid w:val="00A17B3B"/>
    <w:rsid w:val="00A26C65"/>
    <w:rsid w:val="00A5659C"/>
    <w:rsid w:val="00A90CEE"/>
    <w:rsid w:val="00A911D7"/>
    <w:rsid w:val="00AA1174"/>
    <w:rsid w:val="00AA4218"/>
    <w:rsid w:val="00AB3816"/>
    <w:rsid w:val="00AC3D3D"/>
    <w:rsid w:val="00AE34D6"/>
    <w:rsid w:val="00AF0019"/>
    <w:rsid w:val="00B06A93"/>
    <w:rsid w:val="00B27384"/>
    <w:rsid w:val="00B71170"/>
    <w:rsid w:val="00B847B5"/>
    <w:rsid w:val="00BB1FB4"/>
    <w:rsid w:val="00BD3524"/>
    <w:rsid w:val="00BF1F3F"/>
    <w:rsid w:val="00C471D4"/>
    <w:rsid w:val="00C561E3"/>
    <w:rsid w:val="00C71871"/>
    <w:rsid w:val="00C95421"/>
    <w:rsid w:val="00CD23A5"/>
    <w:rsid w:val="00D05AB0"/>
    <w:rsid w:val="00D1625C"/>
    <w:rsid w:val="00D3166F"/>
    <w:rsid w:val="00D35680"/>
    <w:rsid w:val="00D67A1A"/>
    <w:rsid w:val="00D84EFA"/>
    <w:rsid w:val="00D946DA"/>
    <w:rsid w:val="00DF5780"/>
    <w:rsid w:val="00E17326"/>
    <w:rsid w:val="00E40734"/>
    <w:rsid w:val="00E60CB0"/>
    <w:rsid w:val="00E72F1B"/>
    <w:rsid w:val="00EB36BC"/>
    <w:rsid w:val="00EC778E"/>
    <w:rsid w:val="00EE2407"/>
    <w:rsid w:val="00EF0C3F"/>
    <w:rsid w:val="00EF292E"/>
    <w:rsid w:val="00F25278"/>
    <w:rsid w:val="00F365FC"/>
    <w:rsid w:val="00F4160B"/>
    <w:rsid w:val="00F420F8"/>
    <w:rsid w:val="00F43A4F"/>
    <w:rsid w:val="00F71CDA"/>
    <w:rsid w:val="00F71CFD"/>
    <w:rsid w:val="00F82790"/>
    <w:rsid w:val="00F960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9E27"/>
  <w15:docId w15:val="{5C7D716A-9464-4448-A7E9-7C24C607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FD"/>
    <w:rPr>
      <w:rFonts w:ascii="Segoe UI" w:hAnsi="Segoe UI" w:cs="Segoe UI"/>
      <w:sz w:val="18"/>
      <w:szCs w:val="18"/>
    </w:rPr>
  </w:style>
  <w:style w:type="character" w:styleId="CommentReference">
    <w:name w:val="annotation reference"/>
    <w:basedOn w:val="DefaultParagraphFont"/>
    <w:uiPriority w:val="99"/>
    <w:semiHidden/>
    <w:unhideWhenUsed/>
    <w:rsid w:val="001A2D04"/>
    <w:rPr>
      <w:sz w:val="16"/>
      <w:szCs w:val="16"/>
    </w:rPr>
  </w:style>
  <w:style w:type="paragraph" w:styleId="CommentText">
    <w:name w:val="annotation text"/>
    <w:basedOn w:val="Normal"/>
    <w:link w:val="CommentTextChar"/>
    <w:uiPriority w:val="99"/>
    <w:semiHidden/>
    <w:unhideWhenUsed/>
    <w:rsid w:val="001A2D04"/>
    <w:pPr>
      <w:spacing w:line="240" w:lineRule="auto"/>
    </w:pPr>
    <w:rPr>
      <w:sz w:val="20"/>
      <w:szCs w:val="20"/>
    </w:rPr>
  </w:style>
  <w:style w:type="character" w:customStyle="1" w:styleId="CommentTextChar">
    <w:name w:val="Comment Text Char"/>
    <w:basedOn w:val="DefaultParagraphFont"/>
    <w:link w:val="CommentText"/>
    <w:uiPriority w:val="99"/>
    <w:semiHidden/>
    <w:rsid w:val="001A2D04"/>
    <w:rPr>
      <w:sz w:val="20"/>
      <w:szCs w:val="20"/>
    </w:rPr>
  </w:style>
  <w:style w:type="paragraph" w:styleId="CommentSubject">
    <w:name w:val="annotation subject"/>
    <w:basedOn w:val="CommentText"/>
    <w:next w:val="CommentText"/>
    <w:link w:val="CommentSubjectChar"/>
    <w:uiPriority w:val="99"/>
    <w:semiHidden/>
    <w:unhideWhenUsed/>
    <w:rsid w:val="001A2D04"/>
    <w:rPr>
      <w:b/>
      <w:bCs/>
    </w:rPr>
  </w:style>
  <w:style w:type="character" w:customStyle="1" w:styleId="CommentSubjectChar">
    <w:name w:val="Comment Subject Char"/>
    <w:basedOn w:val="CommentTextChar"/>
    <w:link w:val="CommentSubject"/>
    <w:uiPriority w:val="99"/>
    <w:semiHidden/>
    <w:rsid w:val="001A2D04"/>
    <w:rPr>
      <w:b/>
      <w:bCs/>
      <w:sz w:val="20"/>
      <w:szCs w:val="20"/>
    </w:rPr>
  </w:style>
  <w:style w:type="paragraph" w:styleId="ListParagraph">
    <w:name w:val="List Paragraph"/>
    <w:basedOn w:val="Normal"/>
    <w:uiPriority w:val="34"/>
    <w:qFormat/>
    <w:rsid w:val="00EF0C3F"/>
    <w:pPr>
      <w:ind w:left="720"/>
      <w:contextualSpacing/>
    </w:pPr>
  </w:style>
  <w:style w:type="paragraph" w:styleId="Header">
    <w:name w:val="header"/>
    <w:basedOn w:val="Normal"/>
    <w:link w:val="HeaderChar"/>
    <w:uiPriority w:val="99"/>
    <w:unhideWhenUsed/>
    <w:rsid w:val="00D6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1A"/>
  </w:style>
  <w:style w:type="paragraph" w:styleId="Footer">
    <w:name w:val="footer"/>
    <w:basedOn w:val="Normal"/>
    <w:link w:val="FooterChar"/>
    <w:uiPriority w:val="99"/>
    <w:unhideWhenUsed/>
    <w:rsid w:val="00D6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1A"/>
  </w:style>
  <w:style w:type="paragraph" w:styleId="FootnoteText">
    <w:name w:val="footnote text"/>
    <w:basedOn w:val="Normal"/>
    <w:link w:val="FootnoteTextChar"/>
    <w:uiPriority w:val="99"/>
    <w:semiHidden/>
    <w:unhideWhenUsed/>
    <w:rsid w:val="00941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B0F"/>
    <w:rPr>
      <w:sz w:val="20"/>
      <w:szCs w:val="20"/>
    </w:rPr>
  </w:style>
  <w:style w:type="character" w:styleId="FootnoteReference">
    <w:name w:val="footnote reference"/>
    <w:basedOn w:val="DefaultParagraphFont"/>
    <w:uiPriority w:val="99"/>
    <w:semiHidden/>
    <w:unhideWhenUsed/>
    <w:rsid w:val="00941B0F"/>
    <w:rPr>
      <w:vertAlign w:val="superscript"/>
    </w:rPr>
  </w:style>
  <w:style w:type="paragraph" w:styleId="Revision">
    <w:name w:val="Revision"/>
    <w:hidden/>
    <w:uiPriority w:val="99"/>
    <w:semiHidden/>
    <w:rsid w:val="000F6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FB4D-7034-4D9A-A2A6-CB367427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Rautenheimer</dc:creator>
  <cp:lastModifiedBy>Mary Bruce</cp:lastModifiedBy>
  <cp:revision>3</cp:revision>
  <cp:lastPrinted>2023-02-09T13:17:00Z</cp:lastPrinted>
  <dcterms:created xsi:type="dcterms:W3CDTF">2023-02-16T08:43:00Z</dcterms:created>
  <dcterms:modified xsi:type="dcterms:W3CDTF">2023-02-17T10:42:00Z</dcterms:modified>
</cp:coreProperties>
</file>