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5AA" w:rsidRDefault="00E85772" w:rsidP="00DB01F4">
      <w:pPr>
        <w:pStyle w:val="Normal1"/>
        <w:spacing w:after="0" w:line="360" w:lineRule="auto"/>
        <w:jc w:val="both"/>
        <w:rPr>
          <w:rFonts w:ascii="Arial" w:eastAsia="Arial" w:hAnsi="Arial" w:cs="Arial"/>
          <w:b/>
          <w:color w:val="221E1F"/>
          <w:sz w:val="24"/>
          <w:szCs w:val="24"/>
        </w:rPr>
      </w:pPr>
      <w:r>
        <w:rPr>
          <w:noProof/>
          <w:lang w:val="en-US"/>
        </w:rPr>
        <w:drawing>
          <wp:anchor distT="0" distB="0" distL="114300" distR="114300" simplePos="0" relativeHeight="251658240" behindDoc="0" locked="0" layoutInCell="1" hidden="0" allowOverlap="1" wp14:anchorId="0F210BF2" wp14:editId="01D40DB2">
            <wp:simplePos x="0" y="0"/>
            <wp:positionH relativeFrom="column">
              <wp:posOffset>2533650</wp:posOffset>
            </wp:positionH>
            <wp:positionV relativeFrom="paragraph">
              <wp:posOffset>76200</wp:posOffset>
            </wp:positionV>
            <wp:extent cx="740410" cy="923925"/>
            <wp:effectExtent l="0" t="0" r="0" b="0"/>
            <wp:wrapTopAndBottom distT="0" distB="0"/>
            <wp:docPr id="1" name="image1.jpg" descr="coatarms2"/>
            <wp:cNvGraphicFramePr/>
            <a:graphic xmlns:a="http://schemas.openxmlformats.org/drawingml/2006/main">
              <a:graphicData uri="http://schemas.openxmlformats.org/drawingml/2006/picture">
                <pic:pic xmlns:pic="http://schemas.openxmlformats.org/drawingml/2006/picture">
                  <pic:nvPicPr>
                    <pic:cNvPr id="0" name="image1.jpg" descr="coatarms2"/>
                    <pic:cNvPicPr preferRelativeResize="0"/>
                  </pic:nvPicPr>
                  <pic:blipFill>
                    <a:blip r:embed="rId8"/>
                    <a:srcRect/>
                    <a:stretch>
                      <a:fillRect/>
                    </a:stretch>
                  </pic:blipFill>
                  <pic:spPr>
                    <a:xfrm>
                      <a:off x="0" y="0"/>
                      <a:ext cx="740410" cy="923925"/>
                    </a:xfrm>
                    <a:prstGeom prst="rect">
                      <a:avLst/>
                    </a:prstGeom>
                    <a:ln/>
                  </pic:spPr>
                </pic:pic>
              </a:graphicData>
            </a:graphic>
          </wp:anchor>
        </w:drawing>
      </w:r>
    </w:p>
    <w:p w:rsidR="00CD05AA" w:rsidRDefault="00E85772" w:rsidP="00914910">
      <w:pPr>
        <w:pStyle w:val="Normal1"/>
        <w:spacing w:after="120" w:line="360" w:lineRule="auto"/>
        <w:jc w:val="center"/>
        <w:rPr>
          <w:rFonts w:ascii="Arial" w:eastAsia="Arial" w:hAnsi="Arial" w:cs="Arial"/>
          <w:b/>
          <w:color w:val="221E1F"/>
          <w:sz w:val="24"/>
          <w:szCs w:val="24"/>
        </w:rPr>
      </w:pPr>
      <w:r>
        <w:rPr>
          <w:rFonts w:ascii="Arial" w:eastAsia="Arial" w:hAnsi="Arial" w:cs="Arial"/>
          <w:b/>
          <w:color w:val="221E1F"/>
          <w:sz w:val="24"/>
          <w:szCs w:val="24"/>
        </w:rPr>
        <w:t>THE SUPREME COURT OF APPEAL OF SOUTH AFRICA</w:t>
      </w:r>
    </w:p>
    <w:p w:rsidR="00977B37" w:rsidRDefault="00E85772" w:rsidP="00A92C20">
      <w:pPr>
        <w:pStyle w:val="Normal1"/>
        <w:spacing w:after="120" w:line="360" w:lineRule="auto"/>
        <w:jc w:val="center"/>
        <w:rPr>
          <w:rFonts w:ascii="Arial" w:eastAsia="Arial" w:hAnsi="Arial" w:cs="Arial"/>
          <w:b/>
          <w:sz w:val="24"/>
          <w:szCs w:val="24"/>
        </w:rPr>
      </w:pPr>
      <w:r>
        <w:rPr>
          <w:rFonts w:ascii="Arial" w:eastAsia="Arial" w:hAnsi="Arial" w:cs="Arial"/>
          <w:b/>
          <w:sz w:val="24"/>
          <w:szCs w:val="24"/>
        </w:rPr>
        <w:t>JUDGMENT</w:t>
      </w:r>
    </w:p>
    <w:p w:rsidR="00A92C20" w:rsidRDefault="00A92C20" w:rsidP="00914910">
      <w:pPr>
        <w:pStyle w:val="Normal1"/>
        <w:spacing w:after="120" w:line="360" w:lineRule="auto"/>
        <w:jc w:val="center"/>
        <w:rPr>
          <w:rFonts w:ascii="Arial" w:eastAsia="Arial" w:hAnsi="Arial" w:cs="Arial"/>
          <w:b/>
          <w:sz w:val="24"/>
          <w:szCs w:val="24"/>
        </w:rPr>
      </w:pPr>
    </w:p>
    <w:p w:rsidR="00CD05AA" w:rsidRPr="00E21C27" w:rsidRDefault="00E85772" w:rsidP="0033770A">
      <w:pPr>
        <w:pStyle w:val="Normal1"/>
        <w:spacing w:before="120" w:after="120" w:line="360" w:lineRule="auto"/>
        <w:ind w:left="720" w:firstLine="720"/>
        <w:jc w:val="both"/>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sidR="007D370B">
        <w:rPr>
          <w:rFonts w:ascii="Arial" w:eastAsia="Arial" w:hAnsi="Arial" w:cs="Arial"/>
          <w:b/>
          <w:sz w:val="24"/>
          <w:szCs w:val="24"/>
        </w:rPr>
        <w:t xml:space="preserve">                   </w:t>
      </w:r>
      <w:r w:rsidR="00E21C27">
        <w:rPr>
          <w:rFonts w:ascii="Arial" w:eastAsia="Arial" w:hAnsi="Arial" w:cs="Arial"/>
          <w:b/>
          <w:sz w:val="24"/>
          <w:szCs w:val="24"/>
        </w:rPr>
        <w:t xml:space="preserve">        </w:t>
      </w:r>
      <w:r w:rsidR="007D370B">
        <w:rPr>
          <w:rFonts w:ascii="Arial" w:eastAsia="Arial" w:hAnsi="Arial" w:cs="Arial"/>
          <w:b/>
          <w:sz w:val="24"/>
          <w:szCs w:val="24"/>
        </w:rPr>
        <w:t xml:space="preserve"> </w:t>
      </w:r>
      <w:r w:rsidR="007D370B" w:rsidRPr="00E21C27">
        <w:rPr>
          <w:rFonts w:ascii="Arial" w:eastAsia="Arial" w:hAnsi="Arial" w:cs="Arial"/>
          <w:b/>
          <w:sz w:val="24"/>
          <w:szCs w:val="24"/>
        </w:rPr>
        <w:t>Not Reportable</w:t>
      </w:r>
    </w:p>
    <w:p w:rsidR="00977B37" w:rsidRPr="00E21C27" w:rsidRDefault="00977B37" w:rsidP="0033770A">
      <w:pPr>
        <w:pStyle w:val="Normal1"/>
        <w:spacing w:before="120" w:after="120" w:line="360" w:lineRule="auto"/>
        <w:ind w:left="6480" w:right="-142"/>
        <w:rPr>
          <w:rFonts w:ascii="Arial" w:eastAsia="Arial" w:hAnsi="Arial" w:cs="Arial"/>
          <w:sz w:val="24"/>
          <w:szCs w:val="24"/>
        </w:rPr>
      </w:pPr>
      <w:r w:rsidRPr="00E21C27">
        <w:rPr>
          <w:rFonts w:ascii="Arial" w:eastAsia="Arial" w:hAnsi="Arial" w:cs="Arial"/>
          <w:sz w:val="24"/>
          <w:szCs w:val="24"/>
        </w:rPr>
        <w:t xml:space="preserve">       </w:t>
      </w:r>
      <w:r w:rsidR="0053775D" w:rsidRPr="00E21C27">
        <w:rPr>
          <w:rFonts w:ascii="Arial" w:eastAsia="Arial" w:hAnsi="Arial" w:cs="Arial"/>
          <w:sz w:val="24"/>
          <w:szCs w:val="24"/>
        </w:rPr>
        <w:t xml:space="preserve">Case No: </w:t>
      </w:r>
      <w:r w:rsidR="00764EB2" w:rsidRPr="00E21C27">
        <w:rPr>
          <w:rFonts w:ascii="Arial" w:eastAsia="Arial" w:hAnsi="Arial" w:cs="Arial"/>
          <w:sz w:val="24"/>
          <w:szCs w:val="24"/>
        </w:rPr>
        <w:t>460</w:t>
      </w:r>
      <w:r w:rsidR="00E85772" w:rsidRPr="00E21C27">
        <w:rPr>
          <w:rFonts w:ascii="Arial" w:eastAsia="Arial" w:hAnsi="Arial" w:cs="Arial"/>
          <w:sz w:val="24"/>
          <w:szCs w:val="24"/>
        </w:rPr>
        <w:t>/20</w:t>
      </w:r>
      <w:r w:rsidR="00764EB2" w:rsidRPr="00E21C27">
        <w:rPr>
          <w:rFonts w:ascii="Arial" w:eastAsia="Arial" w:hAnsi="Arial" w:cs="Arial"/>
          <w:sz w:val="24"/>
          <w:szCs w:val="24"/>
        </w:rPr>
        <w:t>22</w:t>
      </w:r>
    </w:p>
    <w:p w:rsidR="00977B37" w:rsidRPr="00E21C27" w:rsidRDefault="00977B37" w:rsidP="00977B37">
      <w:pPr>
        <w:pStyle w:val="Normal1"/>
        <w:spacing w:after="0" w:line="360" w:lineRule="auto"/>
        <w:rPr>
          <w:rFonts w:ascii="Arial" w:eastAsia="Arial" w:hAnsi="Arial" w:cs="Arial"/>
          <w:sz w:val="24"/>
          <w:szCs w:val="24"/>
        </w:rPr>
      </w:pPr>
    </w:p>
    <w:p w:rsidR="00977B37" w:rsidRPr="00E21C27" w:rsidRDefault="00E85772" w:rsidP="00977B37">
      <w:pPr>
        <w:pStyle w:val="Normal1"/>
        <w:spacing w:after="0" w:line="360" w:lineRule="auto"/>
        <w:rPr>
          <w:rFonts w:ascii="Arial" w:eastAsia="Arial" w:hAnsi="Arial" w:cs="Arial"/>
          <w:b/>
          <w:sz w:val="24"/>
          <w:szCs w:val="24"/>
        </w:rPr>
      </w:pPr>
      <w:r w:rsidRPr="00E21C27">
        <w:rPr>
          <w:rFonts w:ascii="Arial" w:eastAsia="Arial" w:hAnsi="Arial" w:cs="Arial"/>
          <w:sz w:val="24"/>
          <w:szCs w:val="24"/>
        </w:rPr>
        <w:t>In the matter between:</w:t>
      </w:r>
    </w:p>
    <w:p w:rsidR="00A92C20" w:rsidRDefault="00E85772" w:rsidP="00977B37">
      <w:pPr>
        <w:pStyle w:val="Normal1"/>
        <w:spacing w:after="0" w:line="360" w:lineRule="auto"/>
        <w:rPr>
          <w:rFonts w:ascii="Arial" w:eastAsia="Arial" w:hAnsi="Arial" w:cs="Arial"/>
          <w:b/>
          <w:sz w:val="24"/>
          <w:szCs w:val="24"/>
        </w:rPr>
      </w:pPr>
      <w:r w:rsidRPr="00E21C27">
        <w:rPr>
          <w:rFonts w:ascii="Arial" w:eastAsia="Arial" w:hAnsi="Arial" w:cs="Arial"/>
          <w:b/>
          <w:sz w:val="24"/>
          <w:szCs w:val="24"/>
        </w:rPr>
        <w:tab/>
      </w:r>
      <w:r w:rsidRPr="00E21C27">
        <w:rPr>
          <w:rFonts w:ascii="Arial" w:eastAsia="Arial" w:hAnsi="Arial" w:cs="Arial"/>
          <w:b/>
          <w:sz w:val="24"/>
          <w:szCs w:val="24"/>
        </w:rPr>
        <w:tab/>
      </w:r>
    </w:p>
    <w:p w:rsidR="00CD05AA" w:rsidRPr="00E21C27" w:rsidRDefault="00E85772" w:rsidP="00977B37">
      <w:pPr>
        <w:pStyle w:val="Normal1"/>
        <w:spacing w:after="0" w:line="360" w:lineRule="auto"/>
        <w:rPr>
          <w:rFonts w:ascii="Arial" w:eastAsia="Arial" w:hAnsi="Arial" w:cs="Arial"/>
          <w:sz w:val="24"/>
          <w:szCs w:val="24"/>
        </w:rPr>
      </w:pPr>
      <w:r w:rsidRPr="00E21C27">
        <w:rPr>
          <w:rFonts w:ascii="Arial" w:eastAsia="Arial" w:hAnsi="Arial" w:cs="Arial"/>
          <w:b/>
          <w:sz w:val="24"/>
          <w:szCs w:val="24"/>
        </w:rPr>
        <w:tab/>
      </w:r>
      <w:r w:rsidRPr="00E21C27">
        <w:rPr>
          <w:rFonts w:ascii="Arial" w:eastAsia="Arial" w:hAnsi="Arial" w:cs="Arial"/>
          <w:b/>
          <w:sz w:val="24"/>
          <w:szCs w:val="24"/>
        </w:rPr>
        <w:tab/>
      </w:r>
      <w:r w:rsidRPr="00E21C27">
        <w:rPr>
          <w:rFonts w:ascii="Arial" w:eastAsia="Arial" w:hAnsi="Arial" w:cs="Arial"/>
          <w:b/>
          <w:sz w:val="24"/>
          <w:szCs w:val="24"/>
        </w:rPr>
        <w:tab/>
      </w:r>
      <w:r w:rsidRPr="00E21C27">
        <w:rPr>
          <w:rFonts w:ascii="Arial" w:eastAsia="Arial" w:hAnsi="Arial" w:cs="Arial"/>
          <w:b/>
          <w:sz w:val="24"/>
          <w:szCs w:val="24"/>
        </w:rPr>
        <w:tab/>
      </w:r>
      <w:r w:rsidRPr="00E21C27">
        <w:rPr>
          <w:rFonts w:ascii="Arial" w:eastAsia="Arial" w:hAnsi="Arial" w:cs="Arial"/>
          <w:b/>
          <w:sz w:val="24"/>
          <w:szCs w:val="24"/>
        </w:rPr>
        <w:tab/>
      </w:r>
      <w:r w:rsidRPr="00E21C27">
        <w:rPr>
          <w:rFonts w:ascii="Arial" w:eastAsia="Arial" w:hAnsi="Arial" w:cs="Arial"/>
          <w:b/>
          <w:sz w:val="24"/>
          <w:szCs w:val="24"/>
        </w:rPr>
        <w:tab/>
        <w:t xml:space="preserve"> </w:t>
      </w:r>
    </w:p>
    <w:p w:rsidR="00052DAF" w:rsidRDefault="00764EB2" w:rsidP="00DB01F4">
      <w:pPr>
        <w:pStyle w:val="Normal1"/>
        <w:spacing w:after="240" w:line="360" w:lineRule="auto"/>
        <w:jc w:val="both"/>
        <w:rPr>
          <w:rFonts w:ascii="Arial" w:eastAsia="Arial" w:hAnsi="Arial" w:cs="Arial"/>
          <w:b/>
          <w:sz w:val="24"/>
          <w:szCs w:val="24"/>
        </w:rPr>
      </w:pPr>
      <w:r w:rsidRPr="00E21C27">
        <w:rPr>
          <w:rFonts w:ascii="Arial" w:eastAsia="Arial" w:hAnsi="Arial" w:cs="Arial"/>
          <w:b/>
          <w:sz w:val="24"/>
          <w:szCs w:val="24"/>
        </w:rPr>
        <w:t xml:space="preserve">KUNENE RAMPALA INC. </w:t>
      </w:r>
      <w:r w:rsidR="00750C1C" w:rsidRPr="00E21C27">
        <w:rPr>
          <w:rFonts w:ascii="Arial" w:eastAsia="Arial" w:hAnsi="Arial" w:cs="Arial"/>
          <w:b/>
          <w:sz w:val="24"/>
          <w:szCs w:val="24"/>
        </w:rPr>
        <w:tab/>
      </w:r>
      <w:r w:rsidR="00750C1C" w:rsidRPr="00E21C27">
        <w:rPr>
          <w:rFonts w:ascii="Arial" w:eastAsia="Arial" w:hAnsi="Arial" w:cs="Arial"/>
          <w:b/>
          <w:sz w:val="24"/>
          <w:szCs w:val="24"/>
        </w:rPr>
        <w:tab/>
      </w:r>
      <w:r w:rsidR="00750C1C" w:rsidRPr="00E21C27">
        <w:rPr>
          <w:rFonts w:ascii="Arial" w:eastAsia="Arial" w:hAnsi="Arial" w:cs="Arial"/>
          <w:b/>
          <w:sz w:val="24"/>
          <w:szCs w:val="24"/>
        </w:rPr>
        <w:tab/>
      </w:r>
      <w:r w:rsidR="00750C1C" w:rsidRPr="00E21C27">
        <w:rPr>
          <w:rFonts w:ascii="Arial" w:eastAsia="Arial" w:hAnsi="Arial" w:cs="Arial"/>
          <w:b/>
          <w:sz w:val="24"/>
          <w:szCs w:val="24"/>
        </w:rPr>
        <w:tab/>
      </w:r>
      <w:r w:rsidR="00750C1C" w:rsidRPr="00E21C27">
        <w:rPr>
          <w:rFonts w:ascii="Arial" w:eastAsia="Arial" w:hAnsi="Arial" w:cs="Arial"/>
          <w:b/>
          <w:sz w:val="24"/>
          <w:szCs w:val="24"/>
        </w:rPr>
        <w:tab/>
      </w:r>
      <w:r w:rsidR="00A92C20">
        <w:rPr>
          <w:rFonts w:ascii="Arial" w:eastAsia="Arial" w:hAnsi="Arial" w:cs="Arial"/>
          <w:b/>
          <w:sz w:val="24"/>
          <w:szCs w:val="24"/>
        </w:rPr>
        <w:t xml:space="preserve">                 </w:t>
      </w:r>
      <w:r w:rsidR="00E85772" w:rsidRPr="00E21C27">
        <w:rPr>
          <w:rFonts w:ascii="Arial" w:eastAsia="Arial" w:hAnsi="Arial" w:cs="Arial"/>
          <w:b/>
          <w:sz w:val="24"/>
          <w:szCs w:val="24"/>
        </w:rPr>
        <w:t xml:space="preserve">APPELLANT </w:t>
      </w:r>
    </w:p>
    <w:p w:rsidR="00977B37" w:rsidRDefault="008275FD" w:rsidP="00DB01F4">
      <w:pPr>
        <w:pStyle w:val="Normal1"/>
        <w:spacing w:after="240" w:line="360" w:lineRule="auto"/>
        <w:jc w:val="both"/>
        <w:rPr>
          <w:rFonts w:ascii="Arial" w:eastAsia="Arial" w:hAnsi="Arial" w:cs="Arial"/>
          <w:sz w:val="24"/>
          <w:szCs w:val="24"/>
        </w:rPr>
      </w:pPr>
      <w:r>
        <w:rPr>
          <w:rFonts w:ascii="Arial" w:eastAsia="Arial" w:hAnsi="Arial" w:cs="Arial"/>
          <w:sz w:val="24"/>
          <w:szCs w:val="24"/>
        </w:rPr>
        <w:t>a</w:t>
      </w:r>
      <w:r w:rsidR="00E85772" w:rsidRPr="00E21C27">
        <w:rPr>
          <w:rFonts w:ascii="Arial" w:eastAsia="Arial" w:hAnsi="Arial" w:cs="Arial"/>
          <w:sz w:val="24"/>
          <w:szCs w:val="24"/>
        </w:rPr>
        <w:t>nd</w:t>
      </w:r>
    </w:p>
    <w:p w:rsidR="00A92C20" w:rsidRDefault="007D370B" w:rsidP="00DB01F4">
      <w:pPr>
        <w:pStyle w:val="Normal1"/>
        <w:spacing w:after="240" w:line="360" w:lineRule="auto"/>
        <w:jc w:val="both"/>
        <w:rPr>
          <w:rFonts w:ascii="Arial" w:eastAsia="Arial" w:hAnsi="Arial" w:cs="Arial"/>
          <w:b/>
          <w:sz w:val="24"/>
          <w:szCs w:val="24"/>
        </w:rPr>
      </w:pPr>
      <w:r w:rsidRPr="00E21C27">
        <w:rPr>
          <w:rFonts w:ascii="Arial" w:eastAsia="Arial" w:hAnsi="Arial" w:cs="Arial"/>
          <w:b/>
          <w:sz w:val="24"/>
          <w:szCs w:val="24"/>
        </w:rPr>
        <w:t xml:space="preserve">NORTH WEST PROVINCE DEPARTMENT </w:t>
      </w:r>
    </w:p>
    <w:p w:rsidR="00977B37" w:rsidRPr="00E21C27" w:rsidRDefault="00F4539F" w:rsidP="007D370B">
      <w:pPr>
        <w:pStyle w:val="Normal1"/>
        <w:spacing w:after="240" w:line="360" w:lineRule="auto"/>
        <w:jc w:val="both"/>
        <w:rPr>
          <w:rFonts w:ascii="Arial" w:eastAsia="Arial" w:hAnsi="Arial" w:cs="Arial"/>
          <w:b/>
          <w:sz w:val="24"/>
          <w:szCs w:val="24"/>
        </w:rPr>
      </w:pPr>
      <w:r w:rsidRPr="00E21C27">
        <w:rPr>
          <w:rFonts w:ascii="Arial" w:eastAsia="Arial" w:hAnsi="Arial" w:cs="Arial"/>
          <w:b/>
          <w:sz w:val="24"/>
          <w:szCs w:val="24"/>
        </w:rPr>
        <w:t>OF EDUCATION AND</w:t>
      </w:r>
      <w:r w:rsidR="00A92C20">
        <w:rPr>
          <w:rFonts w:ascii="Arial" w:eastAsia="Arial" w:hAnsi="Arial" w:cs="Arial"/>
          <w:b/>
          <w:sz w:val="24"/>
          <w:szCs w:val="24"/>
        </w:rPr>
        <w:t xml:space="preserve"> </w:t>
      </w:r>
      <w:r w:rsidR="007D370B" w:rsidRPr="00E21C27">
        <w:rPr>
          <w:rFonts w:ascii="Arial" w:eastAsia="Arial" w:hAnsi="Arial" w:cs="Arial"/>
          <w:b/>
          <w:sz w:val="24"/>
          <w:szCs w:val="24"/>
        </w:rPr>
        <w:t>SPORT DEVELOPMENT</w:t>
      </w:r>
      <w:r w:rsidRPr="00E21C27">
        <w:rPr>
          <w:rFonts w:ascii="Arial" w:eastAsia="Arial" w:hAnsi="Arial" w:cs="Arial"/>
          <w:b/>
          <w:sz w:val="24"/>
          <w:szCs w:val="24"/>
        </w:rPr>
        <w:tab/>
      </w:r>
      <w:r w:rsidR="00A92C20">
        <w:rPr>
          <w:rFonts w:ascii="Arial" w:eastAsia="Arial" w:hAnsi="Arial" w:cs="Arial"/>
          <w:b/>
          <w:sz w:val="24"/>
          <w:szCs w:val="24"/>
        </w:rPr>
        <w:t xml:space="preserve">                        </w:t>
      </w:r>
      <w:r w:rsidR="00A92C20" w:rsidRPr="00E21C27">
        <w:rPr>
          <w:rFonts w:ascii="Arial" w:eastAsia="Arial" w:hAnsi="Arial" w:cs="Arial"/>
          <w:b/>
          <w:sz w:val="24"/>
          <w:szCs w:val="24"/>
        </w:rPr>
        <w:t>RESPONDENT</w:t>
      </w:r>
      <w:r w:rsidR="00A92C20">
        <w:rPr>
          <w:rFonts w:ascii="Arial" w:eastAsia="Arial" w:hAnsi="Arial" w:cs="Arial"/>
          <w:b/>
          <w:sz w:val="24"/>
          <w:szCs w:val="24"/>
        </w:rPr>
        <w:t xml:space="preserve"> </w:t>
      </w:r>
    </w:p>
    <w:p w:rsidR="00CD05AA" w:rsidRPr="00E21C27" w:rsidRDefault="00CE0622" w:rsidP="00DB01F4">
      <w:pPr>
        <w:pStyle w:val="Normal1"/>
        <w:spacing w:after="240" w:line="360" w:lineRule="auto"/>
        <w:jc w:val="both"/>
        <w:rPr>
          <w:rFonts w:ascii="Arial" w:eastAsia="Arial" w:hAnsi="Arial" w:cs="Arial"/>
          <w:sz w:val="24"/>
          <w:szCs w:val="24"/>
        </w:rPr>
      </w:pPr>
      <w:bookmarkStart w:id="0" w:name="_gjdgxs" w:colFirst="0" w:colLast="0"/>
      <w:bookmarkEnd w:id="0"/>
      <w:r w:rsidRPr="00E21C27">
        <w:rPr>
          <w:rFonts w:ascii="Arial" w:eastAsia="Arial" w:hAnsi="Arial" w:cs="Arial"/>
          <w:b/>
          <w:sz w:val="24"/>
          <w:szCs w:val="24"/>
        </w:rPr>
        <w:t>Neutral citation:</w:t>
      </w:r>
      <w:r w:rsidRPr="00E21C27">
        <w:rPr>
          <w:rFonts w:ascii="Arial" w:eastAsia="Arial" w:hAnsi="Arial" w:cs="Arial"/>
          <w:b/>
          <w:sz w:val="24"/>
          <w:szCs w:val="24"/>
        </w:rPr>
        <w:tab/>
      </w:r>
      <w:r w:rsidR="00764EB2" w:rsidRPr="00E21C27">
        <w:rPr>
          <w:rFonts w:ascii="Arial" w:eastAsia="Arial" w:hAnsi="Arial" w:cs="Arial"/>
          <w:i/>
          <w:sz w:val="24"/>
          <w:szCs w:val="24"/>
        </w:rPr>
        <w:t>Kunene</w:t>
      </w:r>
      <w:r w:rsidR="00CE5ECE" w:rsidRPr="00E21C27">
        <w:rPr>
          <w:rFonts w:ascii="Arial" w:eastAsia="Arial" w:hAnsi="Arial" w:cs="Arial"/>
          <w:i/>
          <w:sz w:val="24"/>
          <w:szCs w:val="24"/>
        </w:rPr>
        <w:t xml:space="preserve"> Rampala</w:t>
      </w:r>
      <w:r w:rsidR="00764EB2" w:rsidRPr="00E21C27">
        <w:rPr>
          <w:rFonts w:ascii="Arial" w:eastAsia="Arial" w:hAnsi="Arial" w:cs="Arial"/>
          <w:i/>
          <w:sz w:val="24"/>
          <w:szCs w:val="24"/>
        </w:rPr>
        <w:t xml:space="preserve"> Inc. v </w:t>
      </w:r>
      <w:r w:rsidR="007D370B" w:rsidRPr="00E21C27">
        <w:rPr>
          <w:rFonts w:ascii="Arial" w:eastAsia="Arial" w:hAnsi="Arial" w:cs="Arial"/>
          <w:i/>
          <w:sz w:val="24"/>
          <w:szCs w:val="24"/>
        </w:rPr>
        <w:t xml:space="preserve">North West Province </w:t>
      </w:r>
      <w:r w:rsidR="00764EB2" w:rsidRPr="00E21C27">
        <w:rPr>
          <w:rFonts w:ascii="Arial" w:eastAsia="Arial" w:hAnsi="Arial" w:cs="Arial"/>
          <w:i/>
          <w:sz w:val="24"/>
          <w:szCs w:val="24"/>
        </w:rPr>
        <w:t xml:space="preserve">Department of </w:t>
      </w:r>
      <w:r w:rsidR="00764EB2" w:rsidRPr="006E750A">
        <w:rPr>
          <w:rFonts w:ascii="Arial" w:eastAsia="Arial" w:hAnsi="Arial" w:cs="Arial"/>
          <w:i/>
          <w:sz w:val="24"/>
          <w:szCs w:val="24"/>
        </w:rPr>
        <w:t>Educa</w:t>
      </w:r>
      <w:r w:rsidR="007D370B" w:rsidRPr="006E750A">
        <w:rPr>
          <w:rFonts w:ascii="Arial" w:eastAsia="Arial" w:hAnsi="Arial" w:cs="Arial"/>
          <w:i/>
          <w:sz w:val="24"/>
          <w:szCs w:val="24"/>
        </w:rPr>
        <w:t>tion and Sport and Development</w:t>
      </w:r>
      <w:r w:rsidR="00764EB2" w:rsidRPr="006E750A">
        <w:rPr>
          <w:rFonts w:ascii="Arial" w:eastAsia="Arial" w:hAnsi="Arial" w:cs="Arial"/>
          <w:i/>
          <w:sz w:val="24"/>
          <w:szCs w:val="24"/>
        </w:rPr>
        <w:t xml:space="preserve"> </w:t>
      </w:r>
      <w:r w:rsidR="00764EB2" w:rsidRPr="006E750A">
        <w:rPr>
          <w:rFonts w:ascii="Arial" w:eastAsia="Arial" w:hAnsi="Arial" w:cs="Arial"/>
          <w:sz w:val="24"/>
          <w:szCs w:val="24"/>
        </w:rPr>
        <w:t>(460</w:t>
      </w:r>
      <w:r w:rsidR="00E85772" w:rsidRPr="006E750A">
        <w:rPr>
          <w:rFonts w:ascii="Arial" w:eastAsia="Arial" w:hAnsi="Arial" w:cs="Arial"/>
          <w:sz w:val="24"/>
          <w:szCs w:val="24"/>
        </w:rPr>
        <w:t>/2</w:t>
      </w:r>
      <w:r w:rsidR="00764EB2" w:rsidRPr="006E750A">
        <w:rPr>
          <w:rFonts w:ascii="Arial" w:eastAsia="Arial" w:hAnsi="Arial" w:cs="Arial"/>
          <w:sz w:val="24"/>
          <w:szCs w:val="24"/>
        </w:rPr>
        <w:t>022) [2023</w:t>
      </w:r>
      <w:r w:rsidR="0053775D" w:rsidRPr="006E750A">
        <w:rPr>
          <w:rFonts w:ascii="Arial" w:eastAsia="Arial" w:hAnsi="Arial" w:cs="Arial"/>
          <w:sz w:val="24"/>
          <w:szCs w:val="24"/>
        </w:rPr>
        <w:t xml:space="preserve">] </w:t>
      </w:r>
      <w:r w:rsidR="00343EF8">
        <w:rPr>
          <w:rFonts w:ascii="Arial" w:eastAsia="Arial" w:hAnsi="Arial" w:cs="Arial"/>
          <w:sz w:val="24"/>
          <w:szCs w:val="24"/>
        </w:rPr>
        <w:t>ZASCA 120</w:t>
      </w:r>
      <w:r w:rsidR="007A65B8">
        <w:rPr>
          <w:rFonts w:ascii="Arial" w:eastAsia="Arial" w:hAnsi="Arial" w:cs="Arial"/>
          <w:sz w:val="24"/>
          <w:szCs w:val="24"/>
        </w:rPr>
        <w:t xml:space="preserve"> (15</w:t>
      </w:r>
      <w:r w:rsidR="0053775D" w:rsidRPr="006E750A">
        <w:rPr>
          <w:rFonts w:ascii="Arial" w:eastAsia="Arial" w:hAnsi="Arial" w:cs="Arial"/>
          <w:sz w:val="24"/>
          <w:szCs w:val="24"/>
        </w:rPr>
        <w:t xml:space="preserve"> </w:t>
      </w:r>
      <w:r w:rsidR="00A92C20" w:rsidRPr="006E750A">
        <w:rPr>
          <w:rFonts w:ascii="Arial" w:eastAsia="Arial" w:hAnsi="Arial" w:cs="Arial"/>
          <w:sz w:val="24"/>
          <w:szCs w:val="24"/>
        </w:rPr>
        <w:t>September</w:t>
      </w:r>
      <w:r w:rsidR="00764EB2" w:rsidRPr="006E750A">
        <w:rPr>
          <w:rFonts w:ascii="Arial" w:eastAsia="Arial" w:hAnsi="Arial" w:cs="Arial"/>
          <w:sz w:val="24"/>
          <w:szCs w:val="24"/>
        </w:rPr>
        <w:t xml:space="preserve"> </w:t>
      </w:r>
      <w:r w:rsidR="00E85772" w:rsidRPr="006E750A">
        <w:rPr>
          <w:rFonts w:ascii="Arial" w:eastAsia="Arial" w:hAnsi="Arial" w:cs="Arial"/>
          <w:sz w:val="24"/>
          <w:szCs w:val="24"/>
        </w:rPr>
        <w:t>20</w:t>
      </w:r>
      <w:r w:rsidR="00764EB2" w:rsidRPr="006E750A">
        <w:rPr>
          <w:rFonts w:ascii="Arial" w:eastAsia="Arial" w:hAnsi="Arial" w:cs="Arial"/>
          <w:sz w:val="24"/>
          <w:szCs w:val="24"/>
        </w:rPr>
        <w:t>23</w:t>
      </w:r>
      <w:r w:rsidR="00E85772" w:rsidRPr="006E750A">
        <w:rPr>
          <w:rFonts w:ascii="Arial" w:eastAsia="Arial" w:hAnsi="Arial" w:cs="Arial"/>
          <w:sz w:val="24"/>
          <w:szCs w:val="24"/>
        </w:rPr>
        <w:t>)</w:t>
      </w:r>
      <w:r w:rsidR="00E85772" w:rsidRPr="00E21C27">
        <w:rPr>
          <w:rFonts w:ascii="Arial" w:eastAsia="Arial" w:hAnsi="Arial" w:cs="Arial"/>
          <w:sz w:val="24"/>
          <w:szCs w:val="24"/>
        </w:rPr>
        <w:t xml:space="preserve"> </w:t>
      </w:r>
    </w:p>
    <w:p w:rsidR="00CD05AA" w:rsidRPr="00E21C27" w:rsidRDefault="00E85772" w:rsidP="00DB01F4">
      <w:pPr>
        <w:pStyle w:val="Normal1"/>
        <w:spacing w:after="240" w:line="360" w:lineRule="auto"/>
        <w:jc w:val="both"/>
        <w:rPr>
          <w:rFonts w:ascii="Arial" w:eastAsia="Arial" w:hAnsi="Arial" w:cs="Arial"/>
          <w:sz w:val="24"/>
          <w:szCs w:val="24"/>
        </w:rPr>
      </w:pPr>
      <w:r w:rsidRPr="00E21C27">
        <w:rPr>
          <w:rFonts w:ascii="Arial" w:eastAsia="Arial" w:hAnsi="Arial" w:cs="Arial"/>
          <w:b/>
          <w:sz w:val="24"/>
          <w:szCs w:val="24"/>
        </w:rPr>
        <w:t>Coram:</w:t>
      </w:r>
      <w:r w:rsidRPr="00E21C27">
        <w:rPr>
          <w:rFonts w:ascii="Arial" w:eastAsia="Arial" w:hAnsi="Arial" w:cs="Arial"/>
          <w:b/>
          <w:sz w:val="24"/>
          <w:szCs w:val="24"/>
        </w:rPr>
        <w:tab/>
      </w:r>
      <w:r w:rsidR="00764EB2" w:rsidRPr="00E21C27">
        <w:rPr>
          <w:rFonts w:ascii="Arial" w:eastAsia="Arial" w:hAnsi="Arial" w:cs="Arial"/>
          <w:sz w:val="24"/>
          <w:szCs w:val="24"/>
        </w:rPr>
        <w:t xml:space="preserve">Mbatha, Mothle, </w:t>
      </w:r>
      <w:r w:rsidR="00533B6E" w:rsidRPr="00E21C27">
        <w:rPr>
          <w:rFonts w:ascii="Arial" w:eastAsia="Arial" w:hAnsi="Arial" w:cs="Arial"/>
          <w:sz w:val="24"/>
          <w:szCs w:val="24"/>
        </w:rPr>
        <w:t xml:space="preserve">Hughes and </w:t>
      </w:r>
      <w:r w:rsidR="00764EB2" w:rsidRPr="00E21C27">
        <w:rPr>
          <w:rFonts w:ascii="Arial" w:eastAsia="Arial" w:hAnsi="Arial" w:cs="Arial"/>
          <w:sz w:val="24"/>
          <w:szCs w:val="24"/>
        </w:rPr>
        <w:t xml:space="preserve">Matojane </w:t>
      </w:r>
      <w:r w:rsidR="0053775D" w:rsidRPr="00E21C27">
        <w:rPr>
          <w:rFonts w:ascii="Arial" w:eastAsia="Arial" w:hAnsi="Arial" w:cs="Arial"/>
          <w:sz w:val="24"/>
          <w:szCs w:val="24"/>
        </w:rPr>
        <w:t xml:space="preserve">JJA and </w:t>
      </w:r>
      <w:r w:rsidR="00764EB2" w:rsidRPr="00E21C27">
        <w:rPr>
          <w:rFonts w:ascii="Arial" w:eastAsia="Arial" w:hAnsi="Arial" w:cs="Arial"/>
          <w:sz w:val="24"/>
          <w:szCs w:val="24"/>
        </w:rPr>
        <w:t>Mali</w:t>
      </w:r>
      <w:r w:rsidR="0053775D" w:rsidRPr="00E21C27">
        <w:rPr>
          <w:rFonts w:ascii="Arial" w:eastAsia="Arial" w:hAnsi="Arial" w:cs="Arial"/>
          <w:sz w:val="24"/>
          <w:szCs w:val="24"/>
        </w:rPr>
        <w:t xml:space="preserve"> AJA</w:t>
      </w:r>
      <w:r w:rsidRPr="00E21C27">
        <w:rPr>
          <w:rFonts w:ascii="Arial" w:eastAsia="Arial" w:hAnsi="Arial" w:cs="Arial"/>
          <w:sz w:val="24"/>
          <w:szCs w:val="24"/>
        </w:rPr>
        <w:t xml:space="preserve"> </w:t>
      </w:r>
    </w:p>
    <w:p w:rsidR="00CD05AA" w:rsidRPr="00E21C27" w:rsidRDefault="00E85772" w:rsidP="00DB01F4">
      <w:pPr>
        <w:pStyle w:val="Normal1"/>
        <w:spacing w:after="240" w:line="360" w:lineRule="auto"/>
        <w:jc w:val="both"/>
        <w:rPr>
          <w:rFonts w:ascii="Arial" w:eastAsia="Arial" w:hAnsi="Arial" w:cs="Arial"/>
          <w:sz w:val="24"/>
          <w:szCs w:val="24"/>
        </w:rPr>
      </w:pPr>
      <w:r w:rsidRPr="00E21C27">
        <w:rPr>
          <w:rFonts w:ascii="Arial" w:eastAsia="Arial" w:hAnsi="Arial" w:cs="Arial"/>
          <w:b/>
          <w:sz w:val="24"/>
          <w:szCs w:val="24"/>
        </w:rPr>
        <w:t xml:space="preserve">Heard: </w:t>
      </w:r>
      <w:r w:rsidRPr="00E21C27">
        <w:rPr>
          <w:rFonts w:ascii="Arial" w:eastAsia="Arial" w:hAnsi="Arial" w:cs="Arial"/>
          <w:b/>
          <w:sz w:val="24"/>
          <w:szCs w:val="24"/>
        </w:rPr>
        <w:tab/>
      </w:r>
      <w:r w:rsidR="00764EB2" w:rsidRPr="00E21C27">
        <w:rPr>
          <w:rFonts w:ascii="Arial" w:eastAsia="Arial" w:hAnsi="Arial" w:cs="Arial"/>
          <w:sz w:val="24"/>
          <w:szCs w:val="24"/>
        </w:rPr>
        <w:t>11 May</w:t>
      </w:r>
      <w:r w:rsidRPr="00E21C27">
        <w:rPr>
          <w:rFonts w:ascii="Arial" w:eastAsia="Arial" w:hAnsi="Arial" w:cs="Arial"/>
          <w:sz w:val="24"/>
          <w:szCs w:val="24"/>
        </w:rPr>
        <w:t xml:space="preserve"> 20</w:t>
      </w:r>
      <w:r w:rsidR="00764EB2" w:rsidRPr="00E21C27">
        <w:rPr>
          <w:rFonts w:ascii="Arial" w:eastAsia="Arial" w:hAnsi="Arial" w:cs="Arial"/>
          <w:sz w:val="24"/>
          <w:szCs w:val="24"/>
        </w:rPr>
        <w:t>23</w:t>
      </w:r>
      <w:r w:rsidR="0055051C" w:rsidRPr="00E21C27">
        <w:rPr>
          <w:rFonts w:ascii="Arial" w:eastAsia="Arial" w:hAnsi="Arial" w:cs="Arial"/>
          <w:sz w:val="24"/>
          <w:szCs w:val="24"/>
        </w:rPr>
        <w:t xml:space="preserve"> </w:t>
      </w:r>
    </w:p>
    <w:p w:rsidR="00CD05AA" w:rsidRPr="00E21C27" w:rsidRDefault="00E85772" w:rsidP="00DB01F4">
      <w:pPr>
        <w:pStyle w:val="Normal1"/>
        <w:spacing w:after="240" w:line="360" w:lineRule="auto"/>
        <w:jc w:val="both"/>
        <w:rPr>
          <w:rFonts w:ascii="Arial" w:eastAsia="Arial" w:hAnsi="Arial" w:cs="Arial"/>
          <w:sz w:val="24"/>
          <w:szCs w:val="24"/>
        </w:rPr>
      </w:pPr>
      <w:r w:rsidRPr="006E750A">
        <w:rPr>
          <w:rFonts w:ascii="Arial" w:eastAsia="Arial" w:hAnsi="Arial" w:cs="Arial"/>
          <w:b/>
          <w:sz w:val="24"/>
          <w:szCs w:val="24"/>
        </w:rPr>
        <w:t xml:space="preserve">Delivered: </w:t>
      </w:r>
      <w:r w:rsidRPr="006E750A">
        <w:rPr>
          <w:rFonts w:ascii="Arial" w:eastAsia="Arial" w:hAnsi="Arial" w:cs="Arial"/>
          <w:b/>
          <w:sz w:val="24"/>
          <w:szCs w:val="24"/>
        </w:rPr>
        <w:tab/>
      </w:r>
      <w:r w:rsidR="007A65B8">
        <w:rPr>
          <w:rFonts w:ascii="Arial" w:eastAsia="Arial" w:hAnsi="Arial" w:cs="Arial"/>
          <w:sz w:val="24"/>
          <w:szCs w:val="24"/>
        </w:rPr>
        <w:t>15</w:t>
      </w:r>
      <w:r w:rsidR="0053775D" w:rsidRPr="006E750A">
        <w:rPr>
          <w:rFonts w:ascii="Arial" w:eastAsia="Arial" w:hAnsi="Arial" w:cs="Arial"/>
          <w:sz w:val="24"/>
          <w:szCs w:val="24"/>
        </w:rPr>
        <w:t xml:space="preserve"> </w:t>
      </w:r>
      <w:r w:rsidR="007D370B" w:rsidRPr="006E750A">
        <w:rPr>
          <w:rFonts w:ascii="Arial" w:eastAsia="Arial" w:hAnsi="Arial" w:cs="Arial"/>
          <w:sz w:val="24"/>
          <w:szCs w:val="24"/>
        </w:rPr>
        <w:t>September</w:t>
      </w:r>
      <w:r w:rsidR="00764EB2" w:rsidRPr="006E750A">
        <w:rPr>
          <w:rFonts w:ascii="Arial" w:eastAsia="Arial" w:hAnsi="Arial" w:cs="Arial"/>
          <w:sz w:val="24"/>
          <w:szCs w:val="24"/>
        </w:rPr>
        <w:t xml:space="preserve"> 2023</w:t>
      </w:r>
    </w:p>
    <w:p w:rsidR="00CD05AA" w:rsidRPr="00E21C27" w:rsidRDefault="00E85772" w:rsidP="00052DAF">
      <w:r w:rsidRPr="00E21C27">
        <w:rPr>
          <w:rFonts w:ascii="Arial" w:eastAsia="Arial" w:hAnsi="Arial" w:cs="Arial"/>
          <w:b/>
          <w:sz w:val="24"/>
          <w:szCs w:val="24"/>
        </w:rPr>
        <w:t>Summary:</w:t>
      </w:r>
      <w:r w:rsidRPr="00E21C27">
        <w:rPr>
          <w:rFonts w:ascii="Arial" w:eastAsia="Arial" w:hAnsi="Arial" w:cs="Arial"/>
          <w:sz w:val="24"/>
          <w:szCs w:val="24"/>
        </w:rPr>
        <w:t xml:space="preserve"> </w:t>
      </w:r>
      <w:r w:rsidR="00CE5ECE" w:rsidRPr="00E21C27">
        <w:rPr>
          <w:rFonts w:ascii="Arial" w:eastAsia="Arial" w:hAnsi="Arial" w:cs="Arial"/>
          <w:sz w:val="24"/>
          <w:szCs w:val="24"/>
        </w:rPr>
        <w:t>Public Procurement – validity of an addendum to the contract – whether concluded in contravention of s 217 of the Constitution, the Public Finance Management Act and the National Treasury Regulations – validity of setting aside of contract without collateral challenge.</w:t>
      </w:r>
      <w:r w:rsidR="00C9496B" w:rsidRPr="00E21C27">
        <w:br w:type="page"/>
      </w:r>
    </w:p>
    <w:p w:rsidR="00CD05AA" w:rsidRPr="00E21C27" w:rsidRDefault="00E85772" w:rsidP="00DB01F4">
      <w:pPr>
        <w:pStyle w:val="Normal1"/>
        <w:spacing w:after="0" w:line="360" w:lineRule="auto"/>
        <w:jc w:val="both"/>
        <w:rPr>
          <w:rFonts w:ascii="Arial" w:eastAsia="Arial" w:hAnsi="Arial" w:cs="Arial"/>
          <w:sz w:val="24"/>
          <w:szCs w:val="24"/>
        </w:rPr>
      </w:pPr>
      <w:r w:rsidRPr="00E21C27">
        <w:rPr>
          <w:rFonts w:ascii="Arial" w:eastAsia="Arial" w:hAnsi="Arial" w:cs="Arial"/>
          <w:sz w:val="24"/>
          <w:szCs w:val="24"/>
        </w:rPr>
        <w:lastRenderedPageBreak/>
        <w:t>___________________________________________________________________</w:t>
      </w:r>
    </w:p>
    <w:p w:rsidR="00CD05AA" w:rsidRPr="00E21C27" w:rsidRDefault="00CD05AA" w:rsidP="00DB01F4">
      <w:pPr>
        <w:pStyle w:val="Normal1"/>
        <w:spacing w:after="0" w:line="360" w:lineRule="auto"/>
        <w:jc w:val="both"/>
        <w:rPr>
          <w:rFonts w:ascii="Arial" w:eastAsia="Arial" w:hAnsi="Arial" w:cs="Arial"/>
          <w:b/>
          <w:sz w:val="24"/>
          <w:szCs w:val="24"/>
        </w:rPr>
      </w:pPr>
    </w:p>
    <w:p w:rsidR="00CD05AA" w:rsidRPr="00E21C27" w:rsidRDefault="00E85772" w:rsidP="006257C8">
      <w:pPr>
        <w:pStyle w:val="Normal1"/>
        <w:spacing w:after="0" w:line="360" w:lineRule="auto"/>
        <w:jc w:val="center"/>
        <w:rPr>
          <w:rFonts w:ascii="Arial" w:eastAsia="Arial" w:hAnsi="Arial" w:cs="Arial"/>
          <w:b/>
          <w:sz w:val="24"/>
          <w:szCs w:val="24"/>
        </w:rPr>
      </w:pPr>
      <w:r w:rsidRPr="00E21C27">
        <w:rPr>
          <w:rFonts w:ascii="Arial" w:eastAsia="Arial" w:hAnsi="Arial" w:cs="Arial"/>
          <w:b/>
          <w:sz w:val="24"/>
          <w:szCs w:val="24"/>
        </w:rPr>
        <w:t>ORDER</w:t>
      </w:r>
    </w:p>
    <w:p w:rsidR="00CD05AA" w:rsidRPr="00E21C27" w:rsidRDefault="00E85772" w:rsidP="00DB01F4">
      <w:pPr>
        <w:pStyle w:val="Normal1"/>
        <w:spacing w:after="0" w:line="360" w:lineRule="auto"/>
        <w:jc w:val="both"/>
        <w:rPr>
          <w:rFonts w:ascii="Arial" w:eastAsia="Arial" w:hAnsi="Arial" w:cs="Arial"/>
          <w:sz w:val="24"/>
          <w:szCs w:val="24"/>
        </w:rPr>
      </w:pPr>
      <w:r w:rsidRPr="00E21C27">
        <w:rPr>
          <w:rFonts w:ascii="Arial" w:eastAsia="Arial" w:hAnsi="Arial" w:cs="Arial"/>
          <w:sz w:val="24"/>
          <w:szCs w:val="24"/>
        </w:rPr>
        <w:t>___________________________________________________________________</w:t>
      </w:r>
    </w:p>
    <w:p w:rsidR="00CD05AA" w:rsidRPr="00E21C27" w:rsidRDefault="00CD05AA" w:rsidP="00052DAF">
      <w:pPr>
        <w:pStyle w:val="Normal1"/>
        <w:spacing w:after="0" w:line="360" w:lineRule="auto"/>
        <w:jc w:val="both"/>
        <w:rPr>
          <w:rFonts w:ascii="Arial" w:eastAsia="Arial" w:hAnsi="Arial" w:cs="Arial"/>
          <w:b/>
          <w:sz w:val="24"/>
          <w:szCs w:val="24"/>
        </w:rPr>
      </w:pPr>
    </w:p>
    <w:p w:rsidR="00CD05AA" w:rsidRPr="00E21C27" w:rsidRDefault="00E85772" w:rsidP="0033770A">
      <w:pPr>
        <w:pStyle w:val="Normal1"/>
        <w:spacing w:after="0" w:line="360" w:lineRule="auto"/>
        <w:jc w:val="both"/>
        <w:rPr>
          <w:rFonts w:ascii="Arial" w:eastAsia="Arial" w:hAnsi="Arial" w:cs="Arial"/>
          <w:sz w:val="24"/>
          <w:szCs w:val="24"/>
        </w:rPr>
      </w:pPr>
      <w:r w:rsidRPr="00E21C27">
        <w:rPr>
          <w:rFonts w:ascii="Arial" w:eastAsia="Arial" w:hAnsi="Arial" w:cs="Arial"/>
          <w:b/>
          <w:sz w:val="24"/>
          <w:szCs w:val="24"/>
        </w:rPr>
        <w:t>On appeal from:</w:t>
      </w:r>
      <w:r w:rsidR="00F41B16" w:rsidRPr="00E21C27">
        <w:rPr>
          <w:rFonts w:ascii="Arial" w:eastAsia="Arial" w:hAnsi="Arial" w:cs="Arial"/>
          <w:sz w:val="24"/>
          <w:szCs w:val="24"/>
        </w:rPr>
        <w:t xml:space="preserve"> </w:t>
      </w:r>
      <w:r w:rsidR="00262819" w:rsidRPr="00E21C27">
        <w:rPr>
          <w:rFonts w:ascii="Arial" w:eastAsia="Arial" w:hAnsi="Arial" w:cs="Arial"/>
          <w:sz w:val="24"/>
          <w:szCs w:val="24"/>
        </w:rPr>
        <w:t xml:space="preserve">North West </w:t>
      </w:r>
      <w:r w:rsidR="006643DD" w:rsidRPr="00E21C27">
        <w:rPr>
          <w:rFonts w:ascii="Arial" w:eastAsia="Arial" w:hAnsi="Arial" w:cs="Arial"/>
          <w:sz w:val="24"/>
          <w:szCs w:val="24"/>
        </w:rPr>
        <w:t>Division,</w:t>
      </w:r>
      <w:r w:rsidR="00CE5ECE" w:rsidRPr="00E21C27">
        <w:rPr>
          <w:rFonts w:ascii="Arial" w:eastAsia="Arial" w:hAnsi="Arial" w:cs="Arial"/>
          <w:sz w:val="24"/>
          <w:szCs w:val="24"/>
        </w:rPr>
        <w:t xml:space="preserve"> Mah</w:t>
      </w:r>
      <w:r w:rsidR="00262819" w:rsidRPr="00E21C27">
        <w:rPr>
          <w:rFonts w:ascii="Arial" w:eastAsia="Arial" w:hAnsi="Arial" w:cs="Arial"/>
          <w:sz w:val="24"/>
          <w:szCs w:val="24"/>
        </w:rPr>
        <w:t>ikeng</w:t>
      </w:r>
      <w:r w:rsidR="000711D6" w:rsidRPr="00E21C27">
        <w:rPr>
          <w:rFonts w:ascii="Arial" w:eastAsia="Arial" w:hAnsi="Arial" w:cs="Arial"/>
          <w:sz w:val="24"/>
          <w:szCs w:val="24"/>
        </w:rPr>
        <w:t xml:space="preserve"> </w:t>
      </w:r>
      <w:r w:rsidR="006643DD" w:rsidRPr="00E21C27">
        <w:rPr>
          <w:rFonts w:ascii="Arial" w:eastAsia="Arial" w:hAnsi="Arial" w:cs="Arial"/>
          <w:sz w:val="24"/>
          <w:szCs w:val="24"/>
        </w:rPr>
        <w:t>(</w:t>
      </w:r>
      <w:r w:rsidR="00262819" w:rsidRPr="00E21C27">
        <w:rPr>
          <w:rFonts w:ascii="Arial" w:eastAsia="Arial" w:hAnsi="Arial" w:cs="Arial"/>
          <w:sz w:val="24"/>
          <w:szCs w:val="24"/>
        </w:rPr>
        <w:t>Petersen</w:t>
      </w:r>
      <w:r w:rsidR="000711D6" w:rsidRPr="00E21C27">
        <w:rPr>
          <w:rFonts w:ascii="Arial" w:eastAsia="Arial" w:hAnsi="Arial" w:cs="Arial"/>
          <w:sz w:val="24"/>
          <w:szCs w:val="24"/>
        </w:rPr>
        <w:t xml:space="preserve"> </w:t>
      </w:r>
      <w:r w:rsidRPr="00E21C27">
        <w:rPr>
          <w:rFonts w:ascii="Arial" w:eastAsia="Arial" w:hAnsi="Arial" w:cs="Arial"/>
          <w:sz w:val="24"/>
          <w:szCs w:val="24"/>
        </w:rPr>
        <w:t>J</w:t>
      </w:r>
      <w:r w:rsidR="00533B6E" w:rsidRPr="00E21C27">
        <w:rPr>
          <w:rFonts w:ascii="Arial" w:eastAsia="Arial" w:hAnsi="Arial" w:cs="Arial"/>
          <w:sz w:val="24"/>
          <w:szCs w:val="24"/>
        </w:rPr>
        <w:t xml:space="preserve"> sitting as </w:t>
      </w:r>
      <w:r w:rsidR="000711D6" w:rsidRPr="00E21C27">
        <w:rPr>
          <w:rFonts w:ascii="Arial" w:eastAsia="Arial" w:hAnsi="Arial" w:cs="Arial"/>
          <w:sz w:val="24"/>
          <w:szCs w:val="24"/>
        </w:rPr>
        <w:t>court of first instance</w:t>
      </w:r>
      <w:r w:rsidR="007C0B27" w:rsidRPr="00E21C27">
        <w:rPr>
          <w:rFonts w:ascii="Arial" w:eastAsia="Arial" w:hAnsi="Arial" w:cs="Arial"/>
          <w:sz w:val="24"/>
          <w:szCs w:val="24"/>
        </w:rPr>
        <w:t>)</w:t>
      </w:r>
      <w:r w:rsidRPr="00E21C27">
        <w:rPr>
          <w:rFonts w:ascii="Arial" w:eastAsia="Arial" w:hAnsi="Arial" w:cs="Arial"/>
          <w:sz w:val="24"/>
          <w:szCs w:val="24"/>
        </w:rPr>
        <w:t>:</w:t>
      </w:r>
    </w:p>
    <w:p w:rsidR="006643DD" w:rsidRPr="00E21C27" w:rsidRDefault="006643DD" w:rsidP="00052DAF">
      <w:pPr>
        <w:pStyle w:val="Normal1"/>
        <w:spacing w:after="0" w:line="360" w:lineRule="auto"/>
        <w:jc w:val="both"/>
        <w:rPr>
          <w:rFonts w:ascii="Arial" w:eastAsia="Arial" w:hAnsi="Arial" w:cs="Arial"/>
          <w:sz w:val="24"/>
          <w:szCs w:val="24"/>
        </w:rPr>
      </w:pPr>
      <w:r w:rsidRPr="00E21C27">
        <w:rPr>
          <w:rFonts w:ascii="Arial" w:eastAsia="Arial" w:hAnsi="Arial" w:cs="Arial"/>
          <w:sz w:val="24"/>
          <w:szCs w:val="24"/>
        </w:rPr>
        <w:t xml:space="preserve">The appeal is </w:t>
      </w:r>
      <w:r w:rsidR="000711D6" w:rsidRPr="00E21C27">
        <w:rPr>
          <w:rFonts w:ascii="Arial" w:eastAsia="Arial" w:hAnsi="Arial" w:cs="Arial"/>
          <w:sz w:val="24"/>
          <w:szCs w:val="24"/>
        </w:rPr>
        <w:t>dismissed with costs</w:t>
      </w:r>
      <w:r w:rsidRPr="00E21C27">
        <w:rPr>
          <w:rFonts w:ascii="Arial" w:eastAsia="Arial" w:hAnsi="Arial" w:cs="Arial"/>
          <w:sz w:val="24"/>
          <w:szCs w:val="24"/>
        </w:rPr>
        <w:t>.</w:t>
      </w:r>
    </w:p>
    <w:p w:rsidR="000B5FA5" w:rsidRPr="00E21C27" w:rsidRDefault="000B5FA5">
      <w:pPr>
        <w:pStyle w:val="Normal1"/>
        <w:spacing w:after="0" w:line="360" w:lineRule="auto"/>
        <w:jc w:val="both"/>
        <w:rPr>
          <w:rFonts w:ascii="Arial" w:eastAsia="Arial" w:hAnsi="Arial" w:cs="Arial"/>
          <w:sz w:val="24"/>
          <w:szCs w:val="24"/>
        </w:rPr>
      </w:pPr>
    </w:p>
    <w:p w:rsidR="00CD05AA" w:rsidRPr="00E21C27" w:rsidRDefault="00E85772" w:rsidP="00DB01F4">
      <w:pPr>
        <w:pStyle w:val="Normal1"/>
        <w:spacing w:after="0" w:line="360" w:lineRule="auto"/>
        <w:jc w:val="both"/>
        <w:rPr>
          <w:rFonts w:ascii="Arial" w:eastAsia="Arial" w:hAnsi="Arial" w:cs="Arial"/>
          <w:sz w:val="24"/>
          <w:szCs w:val="24"/>
        </w:rPr>
      </w:pPr>
      <w:r w:rsidRPr="00E21C27">
        <w:rPr>
          <w:rFonts w:ascii="Arial" w:eastAsia="Arial" w:hAnsi="Arial" w:cs="Arial"/>
          <w:sz w:val="24"/>
          <w:szCs w:val="24"/>
        </w:rPr>
        <w:t>___________________________________________________________________</w:t>
      </w:r>
    </w:p>
    <w:p w:rsidR="00CD05AA" w:rsidRPr="00E21C27" w:rsidRDefault="00CD05AA" w:rsidP="00DB01F4">
      <w:pPr>
        <w:pStyle w:val="Normal1"/>
        <w:spacing w:after="0" w:line="360" w:lineRule="auto"/>
        <w:jc w:val="both"/>
        <w:rPr>
          <w:rFonts w:ascii="Arial" w:eastAsia="Arial" w:hAnsi="Arial" w:cs="Arial"/>
          <w:b/>
          <w:sz w:val="24"/>
          <w:szCs w:val="24"/>
        </w:rPr>
      </w:pPr>
    </w:p>
    <w:p w:rsidR="00CD05AA" w:rsidRPr="00E21C27" w:rsidRDefault="00E85772" w:rsidP="006257C8">
      <w:pPr>
        <w:pStyle w:val="Normal1"/>
        <w:spacing w:after="0" w:line="360" w:lineRule="auto"/>
        <w:jc w:val="center"/>
        <w:rPr>
          <w:rFonts w:ascii="Arial" w:eastAsia="Arial" w:hAnsi="Arial" w:cs="Arial"/>
          <w:b/>
          <w:sz w:val="24"/>
          <w:szCs w:val="24"/>
        </w:rPr>
      </w:pPr>
      <w:r w:rsidRPr="00E21C27">
        <w:rPr>
          <w:rFonts w:ascii="Arial" w:eastAsia="Arial" w:hAnsi="Arial" w:cs="Arial"/>
          <w:b/>
          <w:sz w:val="24"/>
          <w:szCs w:val="24"/>
        </w:rPr>
        <w:t>JUDGMENT</w:t>
      </w:r>
    </w:p>
    <w:p w:rsidR="00CD05AA" w:rsidRDefault="00E85772" w:rsidP="00DB01F4">
      <w:pPr>
        <w:pStyle w:val="Normal1"/>
        <w:spacing w:after="0" w:line="360" w:lineRule="auto"/>
        <w:jc w:val="both"/>
        <w:rPr>
          <w:rFonts w:ascii="Arial" w:eastAsia="Arial" w:hAnsi="Arial" w:cs="Arial"/>
          <w:sz w:val="24"/>
          <w:szCs w:val="24"/>
        </w:rPr>
      </w:pPr>
      <w:r w:rsidRPr="00E21C27">
        <w:rPr>
          <w:rFonts w:ascii="Arial" w:eastAsia="Arial" w:hAnsi="Arial" w:cs="Arial"/>
          <w:sz w:val="24"/>
          <w:szCs w:val="24"/>
        </w:rPr>
        <w:t>___________________________________________________________________</w:t>
      </w:r>
    </w:p>
    <w:p w:rsidR="00A92C20" w:rsidRPr="00E21C27" w:rsidRDefault="00A92C20" w:rsidP="00DB01F4">
      <w:pPr>
        <w:pStyle w:val="Normal1"/>
        <w:spacing w:after="0" w:line="360" w:lineRule="auto"/>
        <w:jc w:val="both"/>
        <w:rPr>
          <w:rFonts w:ascii="Arial" w:eastAsia="Arial" w:hAnsi="Arial" w:cs="Arial"/>
          <w:sz w:val="24"/>
          <w:szCs w:val="24"/>
        </w:rPr>
      </w:pPr>
    </w:p>
    <w:p w:rsidR="00CD05AA" w:rsidRPr="00E21C27" w:rsidRDefault="000711D6" w:rsidP="00DB01F4">
      <w:pPr>
        <w:pStyle w:val="Normal1"/>
        <w:spacing w:before="240" w:after="0" w:line="360" w:lineRule="auto"/>
        <w:jc w:val="both"/>
        <w:rPr>
          <w:rFonts w:ascii="Arial" w:eastAsia="Arial" w:hAnsi="Arial" w:cs="Arial"/>
          <w:b/>
          <w:sz w:val="24"/>
          <w:szCs w:val="24"/>
        </w:rPr>
      </w:pPr>
      <w:r w:rsidRPr="00E21C27">
        <w:rPr>
          <w:rFonts w:ascii="Arial" w:eastAsia="Arial" w:hAnsi="Arial" w:cs="Arial"/>
          <w:b/>
          <w:sz w:val="24"/>
          <w:szCs w:val="24"/>
        </w:rPr>
        <w:t xml:space="preserve">Hughes </w:t>
      </w:r>
      <w:r w:rsidR="00A03F27" w:rsidRPr="00E21C27">
        <w:rPr>
          <w:rFonts w:ascii="Arial" w:eastAsia="Arial" w:hAnsi="Arial" w:cs="Arial"/>
          <w:b/>
          <w:sz w:val="24"/>
          <w:szCs w:val="24"/>
        </w:rPr>
        <w:t>JA (</w:t>
      </w:r>
      <w:r w:rsidR="007D370B" w:rsidRPr="00E21C27">
        <w:rPr>
          <w:rFonts w:ascii="Arial" w:eastAsia="Arial" w:hAnsi="Arial" w:cs="Arial"/>
          <w:b/>
          <w:sz w:val="24"/>
          <w:szCs w:val="24"/>
        </w:rPr>
        <w:t>Mbatha, Mothle and Matojane JJA and Mali AJA</w:t>
      </w:r>
      <w:r w:rsidRPr="00E21C27">
        <w:rPr>
          <w:rFonts w:ascii="Arial" w:eastAsia="Arial" w:hAnsi="Arial" w:cs="Arial"/>
          <w:b/>
          <w:sz w:val="24"/>
          <w:szCs w:val="24"/>
        </w:rPr>
        <w:t xml:space="preserve"> </w:t>
      </w:r>
      <w:r w:rsidR="00E85772" w:rsidRPr="00E21C27">
        <w:rPr>
          <w:rFonts w:ascii="Arial" w:eastAsia="Arial" w:hAnsi="Arial" w:cs="Arial"/>
          <w:b/>
          <w:sz w:val="24"/>
          <w:szCs w:val="24"/>
        </w:rPr>
        <w:t xml:space="preserve">concurring) </w:t>
      </w:r>
    </w:p>
    <w:p w:rsidR="00F72ABC" w:rsidRPr="00E21C27" w:rsidRDefault="00F72ABC" w:rsidP="00DB01F4">
      <w:pPr>
        <w:pStyle w:val="Normal1"/>
        <w:spacing w:before="240" w:after="0" w:line="360" w:lineRule="auto"/>
        <w:jc w:val="both"/>
        <w:rPr>
          <w:rFonts w:ascii="Arial" w:eastAsia="Arial" w:hAnsi="Arial" w:cs="Arial"/>
          <w:b/>
          <w:sz w:val="24"/>
          <w:szCs w:val="24"/>
        </w:rPr>
      </w:pPr>
    </w:p>
    <w:p w:rsidR="00CD05AA"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t>[1</w:t>
      </w:r>
      <w:bookmarkStart w:id="1" w:name="_GoBack"/>
      <w:bookmarkEnd w:id="1"/>
      <w:r w:rsidRPr="00E21C27">
        <w:rPr>
          <w:rFonts w:ascii="Arial" w:eastAsia="Arial" w:hAnsi="Arial" w:cs="Arial"/>
          <w:color w:val="000000"/>
          <w:sz w:val="24"/>
          <w:szCs w:val="24"/>
        </w:rPr>
        <w:t>]</w:t>
      </w:r>
      <w:r w:rsidRPr="00E21C27">
        <w:rPr>
          <w:rFonts w:ascii="Arial" w:eastAsia="Arial" w:hAnsi="Arial" w:cs="Arial"/>
          <w:color w:val="000000"/>
          <w:sz w:val="24"/>
          <w:szCs w:val="24"/>
        </w:rPr>
        <w:tab/>
      </w:r>
      <w:r w:rsidR="00E85772" w:rsidRPr="00E21C27">
        <w:rPr>
          <w:rFonts w:ascii="Arial" w:eastAsia="Arial" w:hAnsi="Arial" w:cs="Arial"/>
          <w:color w:val="000000"/>
          <w:sz w:val="24"/>
          <w:szCs w:val="24"/>
        </w:rPr>
        <w:t>Th</w:t>
      </w:r>
      <w:r w:rsidR="00533B6E" w:rsidRPr="00E21C27">
        <w:rPr>
          <w:rFonts w:ascii="Arial" w:eastAsia="Arial" w:hAnsi="Arial" w:cs="Arial"/>
          <w:color w:val="000000"/>
          <w:sz w:val="24"/>
          <w:szCs w:val="24"/>
        </w:rPr>
        <w:t>is app</w:t>
      </w:r>
      <w:r w:rsidR="00E85772" w:rsidRPr="00E21C27">
        <w:rPr>
          <w:rFonts w:ascii="Arial" w:eastAsia="Arial" w:hAnsi="Arial" w:cs="Arial"/>
          <w:color w:val="000000"/>
          <w:sz w:val="24"/>
          <w:szCs w:val="24"/>
        </w:rPr>
        <w:t>e</w:t>
      </w:r>
      <w:r w:rsidR="00533B6E" w:rsidRPr="00E21C27">
        <w:rPr>
          <w:rFonts w:ascii="Arial" w:eastAsia="Arial" w:hAnsi="Arial" w:cs="Arial"/>
          <w:color w:val="000000"/>
          <w:sz w:val="24"/>
          <w:szCs w:val="24"/>
        </w:rPr>
        <w:t>al concerns a disput</w:t>
      </w:r>
      <w:r w:rsidR="00D07AE7" w:rsidRPr="00E21C27">
        <w:rPr>
          <w:rFonts w:ascii="Arial" w:eastAsia="Arial" w:hAnsi="Arial" w:cs="Arial"/>
          <w:color w:val="000000"/>
          <w:sz w:val="24"/>
          <w:szCs w:val="24"/>
        </w:rPr>
        <w:t>e arising from</w:t>
      </w:r>
      <w:r w:rsidR="00533B6E" w:rsidRPr="00E21C27">
        <w:rPr>
          <w:rFonts w:ascii="Arial" w:eastAsia="Arial" w:hAnsi="Arial" w:cs="Arial"/>
          <w:color w:val="000000"/>
          <w:sz w:val="24"/>
          <w:szCs w:val="24"/>
        </w:rPr>
        <w:t xml:space="preserve"> an addendum to a </w:t>
      </w:r>
      <w:r w:rsidR="00A10625" w:rsidRPr="00E21C27">
        <w:rPr>
          <w:rFonts w:ascii="Arial" w:eastAsia="Arial" w:hAnsi="Arial" w:cs="Arial"/>
          <w:color w:val="000000"/>
          <w:sz w:val="24"/>
          <w:szCs w:val="24"/>
        </w:rPr>
        <w:t xml:space="preserve">service level agreement </w:t>
      </w:r>
      <w:r w:rsidR="00533B6E" w:rsidRPr="00E21C27">
        <w:rPr>
          <w:rFonts w:ascii="Arial" w:eastAsia="Arial" w:hAnsi="Arial" w:cs="Arial"/>
          <w:color w:val="000000"/>
          <w:sz w:val="24"/>
          <w:szCs w:val="24"/>
        </w:rPr>
        <w:t>duly concluded between the appellant</w:t>
      </w:r>
      <w:r w:rsidR="00CE5ECE" w:rsidRPr="00E21C27">
        <w:rPr>
          <w:rFonts w:ascii="Arial" w:eastAsia="Arial" w:hAnsi="Arial" w:cs="Arial"/>
          <w:color w:val="000000"/>
          <w:sz w:val="24"/>
          <w:szCs w:val="24"/>
        </w:rPr>
        <w:t xml:space="preserve">, Kunene </w:t>
      </w:r>
      <w:r w:rsidR="00D07AE7" w:rsidRPr="00E21C27">
        <w:rPr>
          <w:rFonts w:ascii="Arial" w:eastAsia="Arial" w:hAnsi="Arial" w:cs="Arial"/>
          <w:color w:val="000000"/>
          <w:sz w:val="24"/>
          <w:szCs w:val="24"/>
        </w:rPr>
        <w:t>Ram</w:t>
      </w:r>
      <w:r w:rsidR="00CE5ECE" w:rsidRPr="00E21C27">
        <w:rPr>
          <w:rFonts w:ascii="Arial" w:eastAsia="Arial" w:hAnsi="Arial" w:cs="Arial"/>
          <w:color w:val="000000"/>
          <w:sz w:val="24"/>
          <w:szCs w:val="24"/>
        </w:rPr>
        <w:t>pala Inc</w:t>
      </w:r>
      <w:r w:rsidR="00931CD8" w:rsidRPr="00E21C27">
        <w:rPr>
          <w:rFonts w:ascii="Arial" w:eastAsia="Arial" w:hAnsi="Arial" w:cs="Arial"/>
          <w:color w:val="000000"/>
          <w:sz w:val="24"/>
          <w:szCs w:val="24"/>
        </w:rPr>
        <w:t>.</w:t>
      </w:r>
      <w:r w:rsidR="007B11C2">
        <w:rPr>
          <w:rFonts w:ascii="Arial" w:eastAsia="Arial" w:hAnsi="Arial" w:cs="Arial"/>
          <w:color w:val="000000"/>
          <w:sz w:val="24"/>
          <w:szCs w:val="24"/>
        </w:rPr>
        <w:t xml:space="preserve"> </w:t>
      </w:r>
      <w:r w:rsidR="00D07AE7" w:rsidRPr="00E21C27">
        <w:rPr>
          <w:rFonts w:ascii="Arial" w:eastAsia="Arial" w:hAnsi="Arial" w:cs="Arial"/>
          <w:color w:val="000000"/>
          <w:sz w:val="24"/>
          <w:szCs w:val="24"/>
        </w:rPr>
        <w:t>(K</w:t>
      </w:r>
      <w:r w:rsidR="009A46A0" w:rsidRPr="00E21C27">
        <w:rPr>
          <w:rFonts w:ascii="Arial" w:eastAsia="Arial" w:hAnsi="Arial" w:cs="Arial"/>
          <w:color w:val="000000"/>
          <w:sz w:val="24"/>
          <w:szCs w:val="24"/>
        </w:rPr>
        <w:t>R Inc.</w:t>
      </w:r>
      <w:r w:rsidR="00D07AE7" w:rsidRPr="00E21C27">
        <w:rPr>
          <w:rFonts w:ascii="Arial" w:eastAsia="Arial" w:hAnsi="Arial" w:cs="Arial"/>
          <w:color w:val="000000"/>
          <w:sz w:val="24"/>
          <w:szCs w:val="24"/>
        </w:rPr>
        <w:t>)</w:t>
      </w:r>
      <w:r w:rsidR="009824E1" w:rsidRPr="00E21C27">
        <w:rPr>
          <w:rFonts w:ascii="Arial" w:eastAsia="Arial" w:hAnsi="Arial" w:cs="Arial"/>
          <w:color w:val="000000"/>
          <w:sz w:val="24"/>
          <w:szCs w:val="24"/>
        </w:rPr>
        <w:t>, a firm of attorneys</w:t>
      </w:r>
      <w:r w:rsidR="00533B6E" w:rsidRPr="00E21C27">
        <w:rPr>
          <w:rFonts w:ascii="Arial" w:eastAsia="Arial" w:hAnsi="Arial" w:cs="Arial"/>
          <w:color w:val="000000"/>
          <w:sz w:val="24"/>
          <w:szCs w:val="24"/>
        </w:rPr>
        <w:t xml:space="preserve"> and the </w:t>
      </w:r>
      <w:r w:rsidR="00A10625" w:rsidRPr="00E21C27">
        <w:rPr>
          <w:rFonts w:ascii="Arial" w:eastAsia="Arial" w:hAnsi="Arial" w:cs="Arial"/>
          <w:color w:val="000000"/>
          <w:sz w:val="24"/>
          <w:szCs w:val="24"/>
        </w:rPr>
        <w:t>North West Province</w:t>
      </w:r>
      <w:r w:rsidR="004863C2" w:rsidRPr="00E21C27">
        <w:rPr>
          <w:rFonts w:ascii="Arial" w:eastAsia="Arial" w:hAnsi="Arial" w:cs="Arial"/>
          <w:color w:val="000000"/>
          <w:sz w:val="24"/>
          <w:szCs w:val="24"/>
        </w:rPr>
        <w:t>,</w:t>
      </w:r>
      <w:r w:rsidR="00A10625" w:rsidRPr="00E21C27">
        <w:rPr>
          <w:rFonts w:ascii="Arial" w:eastAsia="Arial" w:hAnsi="Arial" w:cs="Arial"/>
          <w:color w:val="000000"/>
          <w:sz w:val="24"/>
          <w:szCs w:val="24"/>
        </w:rPr>
        <w:t xml:space="preserve"> Department of Education and Sport D</w:t>
      </w:r>
      <w:r w:rsidR="000F0F4B" w:rsidRPr="00E21C27">
        <w:rPr>
          <w:rFonts w:ascii="Arial" w:eastAsia="Arial" w:hAnsi="Arial" w:cs="Arial"/>
          <w:color w:val="000000"/>
          <w:sz w:val="24"/>
          <w:szCs w:val="24"/>
        </w:rPr>
        <w:t>evelopment</w:t>
      </w:r>
      <w:r w:rsidR="00D07AE7" w:rsidRPr="00E21C27">
        <w:rPr>
          <w:rFonts w:ascii="Arial" w:eastAsia="Arial" w:hAnsi="Arial" w:cs="Arial"/>
          <w:color w:val="000000"/>
          <w:sz w:val="24"/>
          <w:szCs w:val="24"/>
        </w:rPr>
        <w:t xml:space="preserve"> (the Department)</w:t>
      </w:r>
      <w:r w:rsidR="00CE5ECE" w:rsidRPr="00E21C27">
        <w:rPr>
          <w:rFonts w:ascii="Arial" w:eastAsia="Arial" w:hAnsi="Arial" w:cs="Arial"/>
          <w:color w:val="000000"/>
          <w:sz w:val="24"/>
          <w:szCs w:val="24"/>
        </w:rPr>
        <w:t>,</w:t>
      </w:r>
      <w:r w:rsidR="00985BED" w:rsidRPr="00E21C27">
        <w:rPr>
          <w:rFonts w:ascii="Arial" w:eastAsia="Arial" w:hAnsi="Arial" w:cs="Arial"/>
          <w:color w:val="000000"/>
          <w:sz w:val="24"/>
          <w:szCs w:val="24"/>
        </w:rPr>
        <w:t xml:space="preserve"> the respondent</w:t>
      </w:r>
      <w:r w:rsidR="00A10625" w:rsidRPr="00E21C27">
        <w:rPr>
          <w:rFonts w:ascii="Arial" w:eastAsia="Arial" w:hAnsi="Arial" w:cs="Arial"/>
          <w:color w:val="000000"/>
          <w:sz w:val="24"/>
          <w:szCs w:val="24"/>
        </w:rPr>
        <w:t>.</w:t>
      </w:r>
      <w:r w:rsidR="0056202B" w:rsidRPr="00E21C27">
        <w:rPr>
          <w:rFonts w:ascii="Arial" w:eastAsia="Arial" w:hAnsi="Arial" w:cs="Arial"/>
          <w:color w:val="000000"/>
          <w:sz w:val="24"/>
          <w:szCs w:val="24"/>
        </w:rPr>
        <w:t xml:space="preserve"> </w:t>
      </w:r>
      <w:r w:rsidR="009824E1" w:rsidRPr="00E21C27">
        <w:rPr>
          <w:rFonts w:ascii="Arial" w:eastAsia="Arial" w:hAnsi="Arial" w:cs="Arial"/>
          <w:color w:val="000000"/>
          <w:sz w:val="24"/>
          <w:szCs w:val="24"/>
        </w:rPr>
        <w:t xml:space="preserve">The </w:t>
      </w:r>
      <w:r w:rsidR="0056202B" w:rsidRPr="00E21C27">
        <w:rPr>
          <w:rFonts w:ascii="Arial" w:eastAsia="Arial" w:hAnsi="Arial" w:cs="Arial"/>
          <w:color w:val="000000"/>
          <w:sz w:val="24"/>
          <w:szCs w:val="24"/>
        </w:rPr>
        <w:t xml:space="preserve">appeal </w:t>
      </w:r>
      <w:r w:rsidR="009824E1" w:rsidRPr="00E21C27">
        <w:rPr>
          <w:rFonts w:ascii="Arial" w:eastAsia="Arial" w:hAnsi="Arial" w:cs="Arial"/>
          <w:color w:val="000000"/>
          <w:sz w:val="24"/>
          <w:szCs w:val="24"/>
        </w:rPr>
        <w:t xml:space="preserve">is with the leave of the </w:t>
      </w:r>
      <w:r w:rsidR="00D07AE7" w:rsidRPr="00E21C27">
        <w:rPr>
          <w:rFonts w:ascii="Arial" w:eastAsia="Arial" w:hAnsi="Arial" w:cs="Arial"/>
          <w:color w:val="000000"/>
          <w:sz w:val="24"/>
          <w:szCs w:val="24"/>
        </w:rPr>
        <w:t>high court</w:t>
      </w:r>
      <w:r w:rsidR="00CE5ECE" w:rsidRPr="00E21C27">
        <w:rPr>
          <w:rFonts w:ascii="Arial" w:eastAsia="Arial" w:hAnsi="Arial" w:cs="Arial"/>
          <w:color w:val="000000"/>
          <w:sz w:val="24"/>
          <w:szCs w:val="24"/>
        </w:rPr>
        <w:t>, the North West Division, Mah</w:t>
      </w:r>
      <w:r w:rsidR="00A2313F" w:rsidRPr="00E21C27">
        <w:rPr>
          <w:rFonts w:ascii="Arial" w:eastAsia="Arial" w:hAnsi="Arial" w:cs="Arial"/>
          <w:color w:val="000000"/>
          <w:sz w:val="24"/>
          <w:szCs w:val="24"/>
        </w:rPr>
        <w:t>ikeng</w:t>
      </w:r>
      <w:r w:rsidR="00424524" w:rsidRPr="00E21C27">
        <w:rPr>
          <w:rFonts w:ascii="Arial" w:eastAsia="Arial" w:hAnsi="Arial" w:cs="Arial"/>
          <w:color w:val="000000"/>
          <w:sz w:val="24"/>
          <w:szCs w:val="24"/>
        </w:rPr>
        <w:t xml:space="preserve"> (the high court)</w:t>
      </w:r>
      <w:r w:rsidR="009824E1" w:rsidRPr="00E21C27">
        <w:rPr>
          <w:rFonts w:ascii="Arial" w:eastAsia="Arial" w:hAnsi="Arial" w:cs="Arial"/>
          <w:color w:val="000000"/>
          <w:sz w:val="24"/>
          <w:szCs w:val="24"/>
        </w:rPr>
        <w:t>.</w:t>
      </w:r>
    </w:p>
    <w:p w:rsidR="003A6594" w:rsidRPr="00E21C27" w:rsidRDefault="003A6594" w:rsidP="0033770A">
      <w:pPr>
        <w:pStyle w:val="Normal1"/>
        <w:pBdr>
          <w:top w:val="nil"/>
          <w:left w:val="nil"/>
          <w:bottom w:val="nil"/>
          <w:right w:val="nil"/>
          <w:between w:val="nil"/>
        </w:pBdr>
        <w:spacing w:after="0" w:line="360" w:lineRule="auto"/>
        <w:ind w:left="720" w:hanging="720"/>
        <w:jc w:val="both"/>
        <w:rPr>
          <w:rFonts w:ascii="Arial" w:eastAsia="Arial" w:hAnsi="Arial" w:cs="Arial"/>
          <w:color w:val="000000"/>
          <w:sz w:val="24"/>
          <w:szCs w:val="24"/>
        </w:rPr>
      </w:pPr>
    </w:p>
    <w:p w:rsidR="00F566BA"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t>[2]</w:t>
      </w:r>
      <w:r w:rsidRPr="00E21C27">
        <w:rPr>
          <w:rFonts w:ascii="Arial" w:eastAsia="Arial" w:hAnsi="Arial" w:cs="Arial"/>
          <w:color w:val="000000"/>
          <w:sz w:val="24"/>
          <w:szCs w:val="24"/>
        </w:rPr>
        <w:tab/>
      </w:r>
      <w:r w:rsidR="00A10625" w:rsidRPr="00E21C27">
        <w:rPr>
          <w:rFonts w:ascii="Arial" w:eastAsia="Arial" w:hAnsi="Arial" w:cs="Arial"/>
          <w:color w:val="000000"/>
          <w:sz w:val="24"/>
          <w:szCs w:val="24"/>
        </w:rPr>
        <w:t xml:space="preserve">The facts that give rise to this appeal are largely common </w:t>
      </w:r>
      <w:r w:rsidR="003A0622" w:rsidRPr="00E21C27">
        <w:rPr>
          <w:rFonts w:ascii="Arial" w:eastAsia="Arial" w:hAnsi="Arial" w:cs="Arial"/>
          <w:color w:val="000000"/>
          <w:sz w:val="24"/>
          <w:szCs w:val="24"/>
        </w:rPr>
        <w:t xml:space="preserve">cause. </w:t>
      </w:r>
      <w:r w:rsidR="00472F24" w:rsidRPr="00E21C27">
        <w:rPr>
          <w:rFonts w:ascii="Arial" w:eastAsia="Arial" w:hAnsi="Arial" w:cs="Arial"/>
          <w:color w:val="000000"/>
          <w:sz w:val="24"/>
          <w:szCs w:val="24"/>
        </w:rPr>
        <w:t>On 28 September 2015 the Department invited tenders to provide services to conduct evaluation, adjudication and supply chain management administrative services for the provision and delivery of Learner Teacher Support Material (LTSM), under cl</w:t>
      </w:r>
      <w:r w:rsidR="007A7606">
        <w:rPr>
          <w:rFonts w:ascii="Arial" w:eastAsia="Arial" w:hAnsi="Arial" w:cs="Arial"/>
          <w:color w:val="000000"/>
          <w:sz w:val="24"/>
          <w:szCs w:val="24"/>
        </w:rPr>
        <w:t>osed tender EDU 04/15 NW. KR Inc.</w:t>
      </w:r>
      <w:r w:rsidR="003A0622" w:rsidRPr="00E21C27">
        <w:rPr>
          <w:rFonts w:ascii="Arial" w:eastAsia="Arial" w:hAnsi="Arial" w:cs="Arial"/>
          <w:color w:val="000000"/>
          <w:sz w:val="24"/>
          <w:szCs w:val="24"/>
        </w:rPr>
        <w:t xml:space="preserve"> submitted a successful bid</w:t>
      </w:r>
      <w:r w:rsidR="00E6229E" w:rsidRPr="00E21C27">
        <w:rPr>
          <w:rFonts w:ascii="Arial" w:eastAsia="Arial" w:hAnsi="Arial" w:cs="Arial"/>
          <w:color w:val="000000"/>
          <w:sz w:val="24"/>
          <w:szCs w:val="24"/>
        </w:rPr>
        <w:t xml:space="preserve">, and on 9 October 2015 the </w:t>
      </w:r>
      <w:r w:rsidR="00472F24" w:rsidRPr="00E21C27">
        <w:rPr>
          <w:rFonts w:ascii="Arial" w:eastAsia="Arial" w:hAnsi="Arial" w:cs="Arial"/>
          <w:color w:val="000000"/>
          <w:sz w:val="24"/>
          <w:szCs w:val="24"/>
        </w:rPr>
        <w:t xml:space="preserve">Department </w:t>
      </w:r>
      <w:r w:rsidR="00E6229E" w:rsidRPr="00E21C27">
        <w:rPr>
          <w:rFonts w:ascii="Arial" w:eastAsia="Arial" w:hAnsi="Arial" w:cs="Arial"/>
          <w:color w:val="000000"/>
          <w:sz w:val="24"/>
          <w:szCs w:val="24"/>
        </w:rPr>
        <w:t xml:space="preserve">and </w:t>
      </w:r>
      <w:r w:rsidR="00472F24" w:rsidRPr="00E21C27">
        <w:rPr>
          <w:rFonts w:ascii="Arial" w:eastAsia="Arial" w:hAnsi="Arial" w:cs="Arial"/>
          <w:color w:val="000000"/>
          <w:sz w:val="24"/>
          <w:szCs w:val="24"/>
        </w:rPr>
        <w:t>K</w:t>
      </w:r>
      <w:r w:rsidR="009A46A0" w:rsidRPr="00E21C27">
        <w:rPr>
          <w:rFonts w:ascii="Arial" w:eastAsia="Arial" w:hAnsi="Arial" w:cs="Arial"/>
          <w:color w:val="000000"/>
          <w:sz w:val="24"/>
          <w:szCs w:val="24"/>
        </w:rPr>
        <w:t>R Inc.</w:t>
      </w:r>
      <w:r w:rsidR="00E6229E" w:rsidRPr="00E21C27">
        <w:rPr>
          <w:rFonts w:ascii="Arial" w:eastAsia="Arial" w:hAnsi="Arial" w:cs="Arial"/>
          <w:color w:val="000000"/>
          <w:sz w:val="24"/>
          <w:szCs w:val="24"/>
        </w:rPr>
        <w:t xml:space="preserve"> concluded a </w:t>
      </w:r>
      <w:r w:rsidR="00F64397" w:rsidRPr="00E21C27">
        <w:rPr>
          <w:rFonts w:ascii="Arial" w:eastAsia="Arial" w:hAnsi="Arial" w:cs="Arial"/>
          <w:color w:val="000000"/>
          <w:sz w:val="24"/>
          <w:szCs w:val="24"/>
        </w:rPr>
        <w:t>S</w:t>
      </w:r>
      <w:r w:rsidR="00E6229E" w:rsidRPr="00E21C27">
        <w:rPr>
          <w:rFonts w:ascii="Arial" w:eastAsia="Arial" w:hAnsi="Arial" w:cs="Arial"/>
          <w:color w:val="000000"/>
          <w:sz w:val="24"/>
          <w:szCs w:val="24"/>
        </w:rPr>
        <w:t xml:space="preserve">ervice </w:t>
      </w:r>
      <w:r w:rsidR="00F64397" w:rsidRPr="00E21C27">
        <w:rPr>
          <w:rFonts w:ascii="Arial" w:eastAsia="Arial" w:hAnsi="Arial" w:cs="Arial"/>
          <w:color w:val="000000"/>
          <w:sz w:val="24"/>
          <w:szCs w:val="24"/>
        </w:rPr>
        <w:t>L</w:t>
      </w:r>
      <w:r w:rsidR="00E6229E" w:rsidRPr="00E21C27">
        <w:rPr>
          <w:rFonts w:ascii="Arial" w:eastAsia="Arial" w:hAnsi="Arial" w:cs="Arial"/>
          <w:color w:val="000000"/>
          <w:sz w:val="24"/>
          <w:szCs w:val="24"/>
        </w:rPr>
        <w:t xml:space="preserve">evel </w:t>
      </w:r>
      <w:r w:rsidR="00F64397" w:rsidRPr="00E21C27">
        <w:rPr>
          <w:rFonts w:ascii="Arial" w:eastAsia="Arial" w:hAnsi="Arial" w:cs="Arial"/>
          <w:color w:val="000000"/>
          <w:sz w:val="24"/>
          <w:szCs w:val="24"/>
        </w:rPr>
        <w:t>A</w:t>
      </w:r>
      <w:r w:rsidR="00E6229E" w:rsidRPr="00E21C27">
        <w:rPr>
          <w:rFonts w:ascii="Arial" w:eastAsia="Arial" w:hAnsi="Arial" w:cs="Arial"/>
          <w:color w:val="000000"/>
          <w:sz w:val="24"/>
          <w:szCs w:val="24"/>
        </w:rPr>
        <w:t>greement (SLA) with the contracted price of R1</w:t>
      </w:r>
      <w:r w:rsidR="00931CD8" w:rsidRPr="00E21C27">
        <w:rPr>
          <w:rFonts w:ascii="Arial" w:eastAsia="Arial" w:hAnsi="Arial" w:cs="Arial"/>
          <w:color w:val="000000"/>
          <w:sz w:val="24"/>
          <w:szCs w:val="24"/>
        </w:rPr>
        <w:t xml:space="preserve"> </w:t>
      </w:r>
      <w:r w:rsidR="00E6229E" w:rsidRPr="00E21C27">
        <w:rPr>
          <w:rFonts w:ascii="Arial" w:eastAsia="Arial" w:hAnsi="Arial" w:cs="Arial"/>
          <w:color w:val="000000"/>
          <w:sz w:val="24"/>
          <w:szCs w:val="24"/>
        </w:rPr>
        <w:t>243</w:t>
      </w:r>
      <w:r w:rsidR="00931CD8" w:rsidRPr="00E21C27">
        <w:rPr>
          <w:rFonts w:ascii="Arial" w:eastAsia="Arial" w:hAnsi="Arial" w:cs="Arial"/>
          <w:color w:val="000000"/>
          <w:sz w:val="24"/>
          <w:szCs w:val="24"/>
        </w:rPr>
        <w:t xml:space="preserve"> </w:t>
      </w:r>
      <w:r w:rsidR="00E6229E" w:rsidRPr="00E21C27">
        <w:rPr>
          <w:rFonts w:ascii="Arial" w:eastAsia="Arial" w:hAnsi="Arial" w:cs="Arial"/>
          <w:color w:val="000000"/>
          <w:sz w:val="24"/>
          <w:szCs w:val="24"/>
        </w:rPr>
        <w:t>215. 60.</w:t>
      </w:r>
    </w:p>
    <w:p w:rsidR="00F566BA" w:rsidRPr="00E21C27" w:rsidRDefault="00F566BA" w:rsidP="006257C8">
      <w:pPr>
        <w:pStyle w:val="ListParagraph"/>
        <w:spacing w:after="0" w:line="360" w:lineRule="auto"/>
        <w:jc w:val="both"/>
        <w:rPr>
          <w:rFonts w:ascii="Arial" w:eastAsia="Arial" w:hAnsi="Arial" w:cs="Arial"/>
          <w:color w:val="000000"/>
          <w:sz w:val="24"/>
          <w:szCs w:val="24"/>
        </w:rPr>
      </w:pPr>
    </w:p>
    <w:p w:rsidR="00F566BA"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lastRenderedPageBreak/>
        <w:t>[3]</w:t>
      </w:r>
      <w:r w:rsidRPr="00E21C27">
        <w:rPr>
          <w:rFonts w:ascii="Arial" w:eastAsia="Arial" w:hAnsi="Arial" w:cs="Arial"/>
          <w:color w:val="000000"/>
          <w:sz w:val="24"/>
          <w:szCs w:val="24"/>
        </w:rPr>
        <w:tab/>
      </w:r>
      <w:r w:rsidR="00E6229E" w:rsidRPr="00E21C27">
        <w:rPr>
          <w:rFonts w:ascii="Arial" w:eastAsia="Arial" w:hAnsi="Arial" w:cs="Arial"/>
          <w:color w:val="000000"/>
          <w:sz w:val="24"/>
          <w:szCs w:val="24"/>
        </w:rPr>
        <w:t>According to the SLA</w:t>
      </w:r>
      <w:r w:rsidR="00931CD8" w:rsidRPr="00E21C27">
        <w:rPr>
          <w:rFonts w:ascii="Arial" w:eastAsia="Arial" w:hAnsi="Arial" w:cs="Arial"/>
          <w:color w:val="000000"/>
          <w:sz w:val="24"/>
          <w:szCs w:val="24"/>
        </w:rPr>
        <w:t>,</w:t>
      </w:r>
      <w:r w:rsidR="00E6229E" w:rsidRPr="00E21C27">
        <w:rPr>
          <w:rFonts w:ascii="Arial" w:eastAsia="Arial" w:hAnsi="Arial" w:cs="Arial"/>
          <w:color w:val="000000"/>
          <w:sz w:val="24"/>
          <w:szCs w:val="24"/>
        </w:rPr>
        <w:t xml:space="preserve"> the duration of the contract was for a period of </w:t>
      </w:r>
      <w:r w:rsidR="00C9496B" w:rsidRPr="00E21C27">
        <w:rPr>
          <w:rFonts w:ascii="Arial" w:eastAsia="Arial" w:hAnsi="Arial" w:cs="Arial"/>
          <w:color w:val="000000"/>
          <w:sz w:val="24"/>
          <w:szCs w:val="24"/>
        </w:rPr>
        <w:t>12</w:t>
      </w:r>
      <w:r w:rsidR="00E6229E" w:rsidRPr="00E21C27">
        <w:rPr>
          <w:rFonts w:ascii="Arial" w:eastAsia="Arial" w:hAnsi="Arial" w:cs="Arial"/>
          <w:color w:val="000000"/>
          <w:sz w:val="24"/>
          <w:szCs w:val="24"/>
        </w:rPr>
        <w:t xml:space="preserve"> months</w:t>
      </w:r>
      <w:r w:rsidR="00740447" w:rsidRPr="00E21C27">
        <w:rPr>
          <w:rFonts w:ascii="Arial" w:eastAsia="Arial" w:hAnsi="Arial" w:cs="Arial"/>
          <w:color w:val="000000"/>
          <w:sz w:val="24"/>
          <w:szCs w:val="24"/>
        </w:rPr>
        <w:t xml:space="preserve">. The </w:t>
      </w:r>
      <w:r w:rsidR="00931CD8" w:rsidRPr="00E21C27">
        <w:rPr>
          <w:rFonts w:ascii="Arial" w:eastAsia="Arial" w:hAnsi="Arial" w:cs="Arial"/>
          <w:color w:val="000000"/>
          <w:sz w:val="24"/>
          <w:szCs w:val="24"/>
        </w:rPr>
        <w:t>t</w:t>
      </w:r>
      <w:r w:rsidR="00740447" w:rsidRPr="00E21C27">
        <w:rPr>
          <w:rFonts w:ascii="Arial" w:eastAsia="Arial" w:hAnsi="Arial" w:cs="Arial"/>
          <w:color w:val="000000"/>
          <w:sz w:val="24"/>
          <w:szCs w:val="24"/>
        </w:rPr>
        <w:t xml:space="preserve">erms of </w:t>
      </w:r>
      <w:r w:rsidR="00AC5087" w:rsidRPr="00E21C27">
        <w:rPr>
          <w:rFonts w:ascii="Arial" w:eastAsia="Arial" w:hAnsi="Arial" w:cs="Arial"/>
          <w:color w:val="000000"/>
          <w:sz w:val="24"/>
          <w:szCs w:val="24"/>
        </w:rPr>
        <w:t>r</w:t>
      </w:r>
      <w:r w:rsidR="00740447" w:rsidRPr="00E21C27">
        <w:rPr>
          <w:rFonts w:ascii="Arial" w:eastAsia="Arial" w:hAnsi="Arial" w:cs="Arial"/>
          <w:color w:val="000000"/>
          <w:sz w:val="24"/>
          <w:szCs w:val="24"/>
        </w:rPr>
        <w:t xml:space="preserve">eference for </w:t>
      </w:r>
      <w:r w:rsidR="00EC61EF" w:rsidRPr="00E21C27">
        <w:rPr>
          <w:rFonts w:ascii="Arial" w:eastAsia="Arial" w:hAnsi="Arial" w:cs="Arial"/>
          <w:color w:val="000000"/>
          <w:sz w:val="24"/>
          <w:szCs w:val="24"/>
        </w:rPr>
        <w:t xml:space="preserve">tender </w:t>
      </w:r>
      <w:r w:rsidR="00C9496B" w:rsidRPr="00E21C27">
        <w:rPr>
          <w:rFonts w:ascii="Arial" w:eastAsia="Arial" w:hAnsi="Arial" w:cs="Arial"/>
          <w:color w:val="000000"/>
          <w:sz w:val="24"/>
          <w:szCs w:val="24"/>
        </w:rPr>
        <w:t xml:space="preserve">EDU </w:t>
      </w:r>
      <w:r w:rsidR="00EC61EF" w:rsidRPr="00E21C27">
        <w:rPr>
          <w:rFonts w:ascii="Arial" w:eastAsia="Arial" w:hAnsi="Arial" w:cs="Arial"/>
          <w:color w:val="000000"/>
          <w:sz w:val="24"/>
          <w:szCs w:val="24"/>
        </w:rPr>
        <w:t>04/15</w:t>
      </w:r>
      <w:r w:rsidR="00C9496B" w:rsidRPr="00E21C27">
        <w:rPr>
          <w:rFonts w:ascii="Arial" w:eastAsia="Arial" w:hAnsi="Arial" w:cs="Arial"/>
          <w:color w:val="000000"/>
          <w:sz w:val="24"/>
          <w:szCs w:val="24"/>
        </w:rPr>
        <w:t xml:space="preserve"> NW</w:t>
      </w:r>
      <w:r w:rsidR="00EC61EF" w:rsidRPr="00E21C27">
        <w:rPr>
          <w:rFonts w:ascii="Arial" w:eastAsia="Arial" w:hAnsi="Arial" w:cs="Arial"/>
          <w:color w:val="000000"/>
          <w:sz w:val="24"/>
          <w:szCs w:val="24"/>
        </w:rPr>
        <w:t xml:space="preserve">, </w:t>
      </w:r>
      <w:r w:rsidR="00740447" w:rsidRPr="00E21C27">
        <w:rPr>
          <w:rFonts w:ascii="Arial" w:eastAsia="Arial" w:hAnsi="Arial" w:cs="Arial"/>
          <w:color w:val="000000"/>
          <w:sz w:val="24"/>
          <w:szCs w:val="24"/>
        </w:rPr>
        <w:t xml:space="preserve">highlighted </w:t>
      </w:r>
      <w:r w:rsidR="00EC61EF" w:rsidRPr="00E21C27">
        <w:rPr>
          <w:rFonts w:ascii="Arial" w:eastAsia="Arial" w:hAnsi="Arial" w:cs="Arial"/>
          <w:color w:val="000000"/>
          <w:sz w:val="24"/>
          <w:szCs w:val="24"/>
        </w:rPr>
        <w:t xml:space="preserve">the </w:t>
      </w:r>
      <w:r w:rsidR="00F566BA" w:rsidRPr="00E21C27">
        <w:rPr>
          <w:rFonts w:ascii="Arial" w:eastAsia="Arial" w:hAnsi="Arial" w:cs="Arial"/>
          <w:color w:val="000000"/>
          <w:sz w:val="24"/>
          <w:szCs w:val="24"/>
        </w:rPr>
        <w:t xml:space="preserve">scope of services </w:t>
      </w:r>
      <w:r w:rsidR="00EC61EF" w:rsidRPr="00E21C27">
        <w:rPr>
          <w:rFonts w:ascii="Arial" w:eastAsia="Arial" w:hAnsi="Arial" w:cs="Arial"/>
          <w:color w:val="000000"/>
          <w:sz w:val="24"/>
          <w:szCs w:val="24"/>
        </w:rPr>
        <w:t xml:space="preserve">to be provided </w:t>
      </w:r>
      <w:r w:rsidR="00F566BA" w:rsidRPr="00E21C27">
        <w:rPr>
          <w:rFonts w:ascii="Arial" w:eastAsia="Arial" w:hAnsi="Arial" w:cs="Arial"/>
          <w:color w:val="000000"/>
          <w:sz w:val="24"/>
          <w:szCs w:val="24"/>
        </w:rPr>
        <w:t xml:space="preserve">as follows: </w:t>
      </w:r>
    </w:p>
    <w:p w:rsidR="00EC61EF" w:rsidRPr="00E21C27" w:rsidRDefault="00F566BA" w:rsidP="00DB01F4">
      <w:pPr>
        <w:pStyle w:val="Normal1"/>
        <w:pBdr>
          <w:top w:val="nil"/>
          <w:left w:val="nil"/>
          <w:bottom w:val="nil"/>
          <w:right w:val="nil"/>
          <w:between w:val="nil"/>
        </w:pBdr>
        <w:spacing w:after="0" w:line="360" w:lineRule="auto"/>
        <w:jc w:val="both"/>
        <w:rPr>
          <w:rFonts w:ascii="Arial" w:eastAsia="Arial" w:hAnsi="Arial" w:cs="Arial"/>
          <w:color w:val="000000"/>
        </w:rPr>
      </w:pPr>
      <w:r w:rsidRPr="00E21C27">
        <w:rPr>
          <w:rFonts w:ascii="Arial" w:eastAsia="Arial" w:hAnsi="Arial" w:cs="Arial"/>
          <w:color w:val="000000"/>
        </w:rPr>
        <w:t>‘</w:t>
      </w:r>
      <w:r w:rsidR="00EC61EF" w:rsidRPr="00E21C27">
        <w:rPr>
          <w:rFonts w:ascii="Arial" w:eastAsia="Arial" w:hAnsi="Arial" w:cs="Arial"/>
          <w:color w:val="000000"/>
        </w:rPr>
        <w:t>(a) The handling of the closure of the tender.</w:t>
      </w:r>
    </w:p>
    <w:p w:rsidR="00EC61EF" w:rsidRPr="00E21C27" w:rsidRDefault="00EC61EF" w:rsidP="00DB01F4">
      <w:pPr>
        <w:pStyle w:val="Normal1"/>
        <w:pBdr>
          <w:top w:val="nil"/>
          <w:left w:val="nil"/>
          <w:bottom w:val="nil"/>
          <w:right w:val="nil"/>
          <w:between w:val="nil"/>
        </w:pBdr>
        <w:spacing w:after="0" w:line="360" w:lineRule="auto"/>
        <w:jc w:val="both"/>
        <w:rPr>
          <w:rFonts w:ascii="Arial" w:eastAsia="Arial" w:hAnsi="Arial" w:cs="Arial"/>
          <w:color w:val="000000"/>
        </w:rPr>
      </w:pPr>
      <w:r w:rsidRPr="00E21C27">
        <w:rPr>
          <w:rFonts w:ascii="Arial" w:eastAsia="Arial" w:hAnsi="Arial" w:cs="Arial"/>
          <w:color w:val="000000"/>
        </w:rPr>
        <w:t>(b) The recording of the receipt of the tender documents.</w:t>
      </w:r>
    </w:p>
    <w:p w:rsidR="00EC61EF" w:rsidRPr="00E21C27" w:rsidRDefault="00EC61EF" w:rsidP="00DB01F4">
      <w:pPr>
        <w:pStyle w:val="Normal1"/>
        <w:pBdr>
          <w:top w:val="nil"/>
          <w:left w:val="nil"/>
          <w:bottom w:val="nil"/>
          <w:right w:val="nil"/>
          <w:between w:val="nil"/>
        </w:pBdr>
        <w:spacing w:after="0" w:line="360" w:lineRule="auto"/>
        <w:jc w:val="both"/>
        <w:rPr>
          <w:rFonts w:ascii="Arial" w:eastAsia="Arial" w:hAnsi="Arial" w:cs="Arial"/>
          <w:color w:val="000000"/>
        </w:rPr>
      </w:pPr>
      <w:r w:rsidRPr="00E21C27">
        <w:rPr>
          <w:rFonts w:ascii="Arial" w:eastAsia="Arial" w:hAnsi="Arial" w:cs="Arial"/>
          <w:color w:val="000000"/>
        </w:rPr>
        <w:t xml:space="preserve">(c) The administering of the tender </w:t>
      </w:r>
      <w:r w:rsidR="00751F86" w:rsidRPr="00E21C27">
        <w:rPr>
          <w:rFonts w:ascii="Arial" w:eastAsia="Arial" w:hAnsi="Arial" w:cs="Arial"/>
          <w:color w:val="000000"/>
        </w:rPr>
        <w:t>documents (i.e.</w:t>
      </w:r>
      <w:r w:rsidRPr="00E21C27">
        <w:rPr>
          <w:rFonts w:ascii="Arial" w:eastAsia="Arial" w:hAnsi="Arial" w:cs="Arial"/>
          <w:color w:val="000000"/>
        </w:rPr>
        <w:t xml:space="preserve"> sifting).</w:t>
      </w:r>
    </w:p>
    <w:p w:rsidR="00EC61EF" w:rsidRPr="00E21C27" w:rsidRDefault="00EC61EF" w:rsidP="00DB01F4">
      <w:pPr>
        <w:pStyle w:val="Normal1"/>
        <w:pBdr>
          <w:top w:val="nil"/>
          <w:left w:val="nil"/>
          <w:bottom w:val="nil"/>
          <w:right w:val="nil"/>
          <w:between w:val="nil"/>
        </w:pBdr>
        <w:spacing w:after="0" w:line="360" w:lineRule="auto"/>
        <w:jc w:val="both"/>
        <w:rPr>
          <w:rFonts w:ascii="Arial" w:eastAsia="Arial" w:hAnsi="Arial" w:cs="Arial"/>
          <w:color w:val="000000"/>
        </w:rPr>
      </w:pPr>
      <w:r w:rsidRPr="00E21C27">
        <w:rPr>
          <w:rFonts w:ascii="Arial" w:eastAsia="Arial" w:hAnsi="Arial" w:cs="Arial"/>
          <w:color w:val="000000"/>
        </w:rPr>
        <w:t>(d) Performing evaluation of the tender (including site inspection</w:t>
      </w:r>
      <w:r w:rsidR="00BB553E" w:rsidRPr="00E21C27">
        <w:rPr>
          <w:rFonts w:ascii="Arial" w:eastAsia="Arial" w:hAnsi="Arial" w:cs="Arial"/>
          <w:color w:val="000000"/>
        </w:rPr>
        <w:t>s).</w:t>
      </w:r>
    </w:p>
    <w:p w:rsidR="00BB553E" w:rsidRPr="00E21C27" w:rsidRDefault="00BB553E" w:rsidP="00DB01F4">
      <w:pPr>
        <w:pStyle w:val="Normal1"/>
        <w:pBdr>
          <w:top w:val="nil"/>
          <w:left w:val="nil"/>
          <w:bottom w:val="nil"/>
          <w:right w:val="nil"/>
          <w:between w:val="nil"/>
        </w:pBdr>
        <w:spacing w:after="0" w:line="360" w:lineRule="auto"/>
        <w:jc w:val="both"/>
        <w:rPr>
          <w:rFonts w:ascii="Arial" w:eastAsia="Arial" w:hAnsi="Arial" w:cs="Arial"/>
          <w:color w:val="000000"/>
        </w:rPr>
      </w:pPr>
      <w:r w:rsidRPr="00E21C27">
        <w:rPr>
          <w:rFonts w:ascii="Arial" w:eastAsia="Arial" w:hAnsi="Arial" w:cs="Arial"/>
          <w:color w:val="000000"/>
        </w:rPr>
        <w:t>(e) The actual adjudication of the qualifying providers.</w:t>
      </w:r>
    </w:p>
    <w:p w:rsidR="00BB553E" w:rsidRPr="00E21C27" w:rsidRDefault="00BB553E" w:rsidP="00DB01F4">
      <w:pPr>
        <w:pStyle w:val="Normal1"/>
        <w:pBdr>
          <w:top w:val="nil"/>
          <w:left w:val="nil"/>
          <w:bottom w:val="nil"/>
          <w:right w:val="nil"/>
          <w:between w:val="nil"/>
        </w:pBdr>
        <w:spacing w:after="0" w:line="360" w:lineRule="auto"/>
        <w:jc w:val="both"/>
        <w:rPr>
          <w:rFonts w:ascii="Arial" w:eastAsia="Arial" w:hAnsi="Arial" w:cs="Arial"/>
          <w:color w:val="000000"/>
        </w:rPr>
      </w:pPr>
      <w:r w:rsidRPr="00E21C27">
        <w:rPr>
          <w:rFonts w:ascii="Arial" w:eastAsia="Arial" w:hAnsi="Arial" w:cs="Arial"/>
          <w:color w:val="000000"/>
        </w:rPr>
        <w:t>(f) The recommendations of the successful bids to the Accounting Officer.</w:t>
      </w:r>
    </w:p>
    <w:p w:rsidR="00BB553E" w:rsidRPr="00E21C27" w:rsidRDefault="00BB553E" w:rsidP="00DB01F4">
      <w:pPr>
        <w:pStyle w:val="Normal1"/>
        <w:pBdr>
          <w:top w:val="nil"/>
          <w:left w:val="nil"/>
          <w:bottom w:val="nil"/>
          <w:right w:val="nil"/>
          <w:between w:val="nil"/>
        </w:pBdr>
        <w:spacing w:after="0" w:line="360" w:lineRule="auto"/>
        <w:jc w:val="both"/>
        <w:rPr>
          <w:rFonts w:ascii="Arial" w:eastAsia="Arial" w:hAnsi="Arial" w:cs="Arial"/>
          <w:color w:val="000000"/>
        </w:rPr>
      </w:pPr>
      <w:r w:rsidRPr="00E21C27">
        <w:rPr>
          <w:rFonts w:ascii="Arial" w:eastAsia="Arial" w:hAnsi="Arial" w:cs="Arial"/>
          <w:color w:val="000000"/>
        </w:rPr>
        <w:t>(g) Prepare bid evaluation report and Bid adjudication report.</w:t>
      </w:r>
    </w:p>
    <w:p w:rsidR="00914910" w:rsidRPr="00E21C27" w:rsidRDefault="00BB553E" w:rsidP="00DB01F4">
      <w:pPr>
        <w:pStyle w:val="Normal1"/>
        <w:pBdr>
          <w:top w:val="nil"/>
          <w:left w:val="nil"/>
          <w:bottom w:val="nil"/>
          <w:right w:val="nil"/>
          <w:between w:val="nil"/>
        </w:pBdr>
        <w:spacing w:after="0" w:line="360" w:lineRule="auto"/>
        <w:jc w:val="both"/>
        <w:rPr>
          <w:rFonts w:ascii="Arial" w:eastAsia="Arial" w:hAnsi="Arial" w:cs="Arial"/>
          <w:color w:val="000000"/>
        </w:rPr>
      </w:pPr>
      <w:r w:rsidRPr="00E21C27">
        <w:rPr>
          <w:rFonts w:ascii="Arial" w:eastAsia="Arial" w:hAnsi="Arial" w:cs="Arial"/>
          <w:color w:val="000000"/>
        </w:rPr>
        <w:t>(h) Recording of all proceedings in the Bid Evaluation committee meetings.’</w:t>
      </w:r>
    </w:p>
    <w:p w:rsidR="00BB553E" w:rsidRPr="00E21C27" w:rsidRDefault="00BB553E" w:rsidP="00DB01F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751F86"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t>[4]</w:t>
      </w:r>
      <w:r w:rsidRPr="00E21C27">
        <w:rPr>
          <w:rFonts w:ascii="Arial" w:eastAsia="Arial" w:hAnsi="Arial" w:cs="Arial"/>
          <w:color w:val="000000"/>
          <w:sz w:val="24"/>
          <w:szCs w:val="24"/>
        </w:rPr>
        <w:tab/>
      </w:r>
      <w:r w:rsidR="00613582" w:rsidRPr="00E21C27">
        <w:rPr>
          <w:rFonts w:ascii="Arial" w:eastAsia="Arial" w:hAnsi="Arial" w:cs="Arial"/>
          <w:color w:val="000000"/>
          <w:sz w:val="24"/>
          <w:szCs w:val="24"/>
        </w:rPr>
        <w:t>On 12 October 2015, j</w:t>
      </w:r>
      <w:r w:rsidR="00BB553E" w:rsidRPr="00E21C27">
        <w:rPr>
          <w:rFonts w:ascii="Arial" w:eastAsia="Arial" w:hAnsi="Arial" w:cs="Arial"/>
          <w:color w:val="000000"/>
          <w:sz w:val="24"/>
          <w:szCs w:val="24"/>
        </w:rPr>
        <w:t>ust three days after the SLA was concluded</w:t>
      </w:r>
      <w:r w:rsidR="00613582" w:rsidRPr="00E21C27">
        <w:rPr>
          <w:rFonts w:ascii="Arial" w:eastAsia="Arial" w:hAnsi="Arial" w:cs="Arial"/>
          <w:color w:val="000000"/>
          <w:sz w:val="24"/>
          <w:szCs w:val="24"/>
        </w:rPr>
        <w:t>,</w:t>
      </w:r>
      <w:r w:rsidR="003647DD" w:rsidRPr="00E21C27">
        <w:rPr>
          <w:rFonts w:ascii="Arial" w:eastAsia="Arial" w:hAnsi="Arial" w:cs="Arial"/>
          <w:color w:val="000000"/>
          <w:sz w:val="24"/>
          <w:szCs w:val="24"/>
        </w:rPr>
        <w:t xml:space="preserve"> and </w:t>
      </w:r>
      <w:r w:rsidR="00BB553E" w:rsidRPr="00E21C27">
        <w:rPr>
          <w:rFonts w:ascii="Arial" w:eastAsia="Arial" w:hAnsi="Arial" w:cs="Arial"/>
          <w:color w:val="000000"/>
          <w:sz w:val="24"/>
          <w:szCs w:val="24"/>
        </w:rPr>
        <w:t xml:space="preserve">before </w:t>
      </w:r>
      <w:r w:rsidR="005F342A" w:rsidRPr="00E21C27">
        <w:rPr>
          <w:rFonts w:ascii="Arial" w:eastAsia="Arial" w:hAnsi="Arial" w:cs="Arial"/>
          <w:color w:val="000000"/>
          <w:sz w:val="24"/>
          <w:szCs w:val="24"/>
        </w:rPr>
        <w:t>K</w:t>
      </w:r>
      <w:r w:rsidR="009A46A0" w:rsidRPr="00E21C27">
        <w:rPr>
          <w:rFonts w:ascii="Arial" w:eastAsia="Arial" w:hAnsi="Arial" w:cs="Arial"/>
          <w:color w:val="000000"/>
          <w:sz w:val="24"/>
          <w:szCs w:val="24"/>
        </w:rPr>
        <w:t>R Inc.</w:t>
      </w:r>
      <w:r w:rsidR="005F342A" w:rsidRPr="00E21C27">
        <w:rPr>
          <w:rFonts w:ascii="Arial" w:eastAsia="Arial" w:hAnsi="Arial" w:cs="Arial"/>
          <w:color w:val="000000"/>
          <w:sz w:val="24"/>
          <w:szCs w:val="24"/>
        </w:rPr>
        <w:t xml:space="preserve"> conducted </w:t>
      </w:r>
      <w:r w:rsidR="00BB553E" w:rsidRPr="00E21C27">
        <w:rPr>
          <w:rFonts w:ascii="Arial" w:eastAsia="Arial" w:hAnsi="Arial" w:cs="Arial"/>
          <w:color w:val="000000"/>
          <w:sz w:val="24"/>
          <w:szCs w:val="24"/>
        </w:rPr>
        <w:t>any wor</w:t>
      </w:r>
      <w:r w:rsidR="005F342A" w:rsidRPr="00E21C27">
        <w:rPr>
          <w:rFonts w:ascii="Arial" w:eastAsia="Arial" w:hAnsi="Arial" w:cs="Arial"/>
          <w:color w:val="000000"/>
          <w:sz w:val="24"/>
          <w:szCs w:val="24"/>
        </w:rPr>
        <w:t>k</w:t>
      </w:r>
      <w:r w:rsidR="00613582" w:rsidRPr="00E21C27">
        <w:rPr>
          <w:rFonts w:ascii="Arial" w:eastAsia="Arial" w:hAnsi="Arial" w:cs="Arial"/>
          <w:color w:val="000000"/>
          <w:sz w:val="24"/>
          <w:szCs w:val="24"/>
        </w:rPr>
        <w:t>,</w:t>
      </w:r>
      <w:r w:rsidR="0056202B" w:rsidRPr="00E21C27">
        <w:rPr>
          <w:rFonts w:ascii="Arial" w:eastAsia="Arial" w:hAnsi="Arial" w:cs="Arial"/>
          <w:color w:val="000000"/>
          <w:sz w:val="24"/>
          <w:szCs w:val="24"/>
        </w:rPr>
        <w:t xml:space="preserve"> </w:t>
      </w:r>
      <w:r w:rsidR="00BB553E" w:rsidRPr="00E21C27">
        <w:rPr>
          <w:rFonts w:ascii="Arial" w:eastAsia="Arial" w:hAnsi="Arial" w:cs="Arial"/>
          <w:color w:val="000000"/>
          <w:sz w:val="24"/>
          <w:szCs w:val="24"/>
        </w:rPr>
        <w:t>the parties concluded an addendum to the SLA</w:t>
      </w:r>
      <w:r w:rsidR="003647DD" w:rsidRPr="00E21C27">
        <w:rPr>
          <w:rFonts w:ascii="Arial" w:eastAsia="Arial" w:hAnsi="Arial" w:cs="Arial"/>
          <w:color w:val="000000"/>
          <w:sz w:val="24"/>
          <w:szCs w:val="24"/>
        </w:rPr>
        <w:t xml:space="preserve"> without further procurement processes being followed</w:t>
      </w:r>
      <w:r w:rsidR="00BB553E" w:rsidRPr="00E21C27">
        <w:rPr>
          <w:rFonts w:ascii="Arial" w:eastAsia="Arial" w:hAnsi="Arial" w:cs="Arial"/>
          <w:color w:val="000000"/>
          <w:sz w:val="24"/>
          <w:szCs w:val="24"/>
        </w:rPr>
        <w:t xml:space="preserve">. </w:t>
      </w:r>
      <w:r w:rsidR="00751F86" w:rsidRPr="00E21C27">
        <w:rPr>
          <w:rFonts w:ascii="Arial" w:eastAsia="Arial" w:hAnsi="Arial" w:cs="Arial"/>
          <w:color w:val="000000"/>
          <w:sz w:val="24"/>
          <w:szCs w:val="24"/>
        </w:rPr>
        <w:t xml:space="preserve">The heading of the addendum </w:t>
      </w:r>
      <w:r w:rsidR="007352E6" w:rsidRPr="00E21C27">
        <w:rPr>
          <w:rFonts w:ascii="Arial" w:eastAsia="Arial" w:hAnsi="Arial" w:cs="Arial"/>
          <w:color w:val="000000"/>
          <w:sz w:val="24"/>
          <w:szCs w:val="24"/>
        </w:rPr>
        <w:t>thus reads</w:t>
      </w:r>
      <w:r w:rsidR="00751F86" w:rsidRPr="00E21C27">
        <w:rPr>
          <w:rFonts w:ascii="Arial" w:eastAsia="Arial" w:hAnsi="Arial" w:cs="Arial"/>
          <w:color w:val="000000"/>
          <w:sz w:val="24"/>
          <w:szCs w:val="24"/>
        </w:rPr>
        <w:t xml:space="preserve">: </w:t>
      </w:r>
    </w:p>
    <w:p w:rsidR="005727AC" w:rsidRPr="00E21C27" w:rsidRDefault="00751F86" w:rsidP="00DB01F4">
      <w:pPr>
        <w:pStyle w:val="Normal1"/>
        <w:pBdr>
          <w:top w:val="nil"/>
          <w:left w:val="nil"/>
          <w:bottom w:val="nil"/>
          <w:right w:val="nil"/>
          <w:between w:val="nil"/>
        </w:pBdr>
        <w:spacing w:after="0" w:line="360" w:lineRule="auto"/>
        <w:jc w:val="both"/>
        <w:rPr>
          <w:rFonts w:ascii="Arial" w:eastAsia="Arial" w:hAnsi="Arial" w:cs="Arial"/>
          <w:color w:val="000000"/>
        </w:rPr>
      </w:pPr>
      <w:r w:rsidRPr="00E21C27">
        <w:rPr>
          <w:rFonts w:ascii="Arial" w:eastAsia="Arial" w:hAnsi="Arial" w:cs="Arial"/>
          <w:color w:val="000000"/>
        </w:rPr>
        <w:t>‘BID NUMBER –</w:t>
      </w:r>
      <w:r w:rsidR="005727AC" w:rsidRPr="00E21C27">
        <w:rPr>
          <w:rFonts w:ascii="Arial" w:eastAsia="Arial" w:hAnsi="Arial" w:cs="Arial"/>
          <w:color w:val="000000"/>
        </w:rPr>
        <w:t xml:space="preserve"> </w:t>
      </w:r>
      <w:r w:rsidRPr="00E21C27">
        <w:rPr>
          <w:rFonts w:ascii="Arial" w:eastAsia="Arial" w:hAnsi="Arial" w:cs="Arial"/>
          <w:color w:val="000000"/>
        </w:rPr>
        <w:t>EDU 01/05 NW: PROVISION AND DELIVERY OF STATIONERY TO DISTRIBUTORS WITHIN THE DEPARTMENT OF EDUCATION AND SPORT DEVELOPMENT IN THE NORTH WEST PROVINCE FOR 3 YEARS</w:t>
      </w:r>
      <w:r w:rsidR="007A51A3" w:rsidRPr="00E21C27">
        <w:rPr>
          <w:rFonts w:ascii="Arial" w:eastAsia="Arial" w:hAnsi="Arial" w:cs="Arial"/>
          <w:color w:val="000000"/>
        </w:rPr>
        <w:t>.</w:t>
      </w:r>
      <w:r w:rsidRPr="00E21C27">
        <w:rPr>
          <w:rFonts w:ascii="Arial" w:eastAsia="Arial" w:hAnsi="Arial" w:cs="Arial"/>
          <w:color w:val="000000"/>
        </w:rPr>
        <w:t>’</w:t>
      </w:r>
    </w:p>
    <w:p w:rsidR="005727AC" w:rsidRPr="00E21C27" w:rsidRDefault="005727AC" w:rsidP="0033770A">
      <w:pPr>
        <w:pStyle w:val="Normal1"/>
        <w:pBdr>
          <w:top w:val="nil"/>
          <w:left w:val="nil"/>
          <w:bottom w:val="nil"/>
          <w:right w:val="nil"/>
          <w:between w:val="nil"/>
        </w:pBdr>
        <w:spacing w:before="120" w:after="0" w:line="360" w:lineRule="auto"/>
        <w:jc w:val="both"/>
        <w:rPr>
          <w:rFonts w:ascii="Arial" w:eastAsia="Arial" w:hAnsi="Arial" w:cs="Arial"/>
          <w:color w:val="000000"/>
        </w:rPr>
      </w:pPr>
      <w:r w:rsidRPr="00E21C27">
        <w:rPr>
          <w:rFonts w:ascii="Arial" w:eastAsia="Arial" w:hAnsi="Arial" w:cs="Arial"/>
          <w:color w:val="000000"/>
          <w:sz w:val="24"/>
          <w:szCs w:val="24"/>
        </w:rPr>
        <w:t xml:space="preserve">Coupled with the above, the addendum specified its purpose under the definitions as: </w:t>
      </w:r>
      <w:r w:rsidR="003647DD" w:rsidRPr="00E21C27">
        <w:rPr>
          <w:rFonts w:ascii="Arial" w:eastAsia="Arial" w:hAnsi="Arial" w:cs="Arial"/>
          <w:color w:val="000000"/>
        </w:rPr>
        <w:t>‘“</w:t>
      </w:r>
      <w:r w:rsidRPr="00E21C27">
        <w:rPr>
          <w:rFonts w:ascii="Arial" w:eastAsia="Arial" w:hAnsi="Arial" w:cs="Arial"/>
          <w:color w:val="000000"/>
        </w:rPr>
        <w:t>Addendum” – this addendum regarding the appointment of KR Inc to render Supply Chain Management Administration for the provision and delivery of stationery to distributors relating to tender number: EDU</w:t>
      </w:r>
      <w:r w:rsidR="008275FD">
        <w:rPr>
          <w:rFonts w:ascii="Arial" w:eastAsia="Arial" w:hAnsi="Arial" w:cs="Arial"/>
          <w:color w:val="000000"/>
        </w:rPr>
        <w:t xml:space="preserve"> </w:t>
      </w:r>
      <w:r w:rsidRPr="00E21C27">
        <w:rPr>
          <w:rFonts w:ascii="Arial" w:eastAsia="Arial" w:hAnsi="Arial" w:cs="Arial"/>
          <w:color w:val="000000"/>
        </w:rPr>
        <w:t>01/15(NW).’</w:t>
      </w:r>
    </w:p>
    <w:p w:rsidR="0056202B" w:rsidRPr="00E21C27" w:rsidRDefault="0056202B" w:rsidP="00DB01F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9A46A0" w:rsidRPr="008275FD"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8275FD">
        <w:rPr>
          <w:rFonts w:ascii="Arial" w:eastAsia="Arial" w:hAnsi="Arial" w:cs="Arial"/>
          <w:color w:val="000000"/>
          <w:sz w:val="24"/>
          <w:szCs w:val="24"/>
        </w:rPr>
        <w:t>[5]</w:t>
      </w:r>
      <w:r w:rsidRPr="008275FD">
        <w:rPr>
          <w:rFonts w:ascii="Arial" w:eastAsia="Arial" w:hAnsi="Arial" w:cs="Arial"/>
          <w:color w:val="000000"/>
          <w:sz w:val="24"/>
          <w:szCs w:val="24"/>
        </w:rPr>
        <w:tab/>
      </w:r>
      <w:r w:rsidR="006A0D48" w:rsidRPr="00E21C27">
        <w:rPr>
          <w:rFonts w:ascii="Arial" w:eastAsia="Arial" w:hAnsi="Arial" w:cs="Arial"/>
          <w:color w:val="000000"/>
          <w:sz w:val="24"/>
          <w:szCs w:val="24"/>
        </w:rPr>
        <w:t>At this juncture, it</w:t>
      </w:r>
      <w:r w:rsidR="00F64397" w:rsidRPr="00E21C27">
        <w:rPr>
          <w:rFonts w:ascii="Arial" w:eastAsia="Arial" w:hAnsi="Arial" w:cs="Arial"/>
          <w:color w:val="000000"/>
          <w:sz w:val="24"/>
          <w:szCs w:val="24"/>
        </w:rPr>
        <w:t xml:space="preserve"> is</w:t>
      </w:r>
      <w:r w:rsidR="006A0D48" w:rsidRPr="00E21C27">
        <w:rPr>
          <w:rFonts w:ascii="Arial" w:eastAsia="Arial" w:hAnsi="Arial" w:cs="Arial"/>
          <w:color w:val="000000"/>
          <w:sz w:val="24"/>
          <w:szCs w:val="24"/>
        </w:rPr>
        <w:t xml:space="preserve"> necessary to mention </w:t>
      </w:r>
      <w:r w:rsidR="005F342A" w:rsidRPr="00E21C27">
        <w:rPr>
          <w:rFonts w:ascii="Arial" w:eastAsia="Arial" w:hAnsi="Arial" w:cs="Arial"/>
          <w:color w:val="000000"/>
          <w:sz w:val="24"/>
          <w:szCs w:val="24"/>
        </w:rPr>
        <w:t xml:space="preserve">that </w:t>
      </w:r>
      <w:r w:rsidR="006A0D48" w:rsidRPr="00E21C27">
        <w:rPr>
          <w:rFonts w:ascii="Arial" w:eastAsia="Arial" w:hAnsi="Arial" w:cs="Arial"/>
          <w:color w:val="000000"/>
          <w:sz w:val="24"/>
          <w:szCs w:val="24"/>
        </w:rPr>
        <w:t>the aforesaid bid EDU</w:t>
      </w:r>
      <w:r w:rsidR="00613582" w:rsidRPr="00E21C27">
        <w:rPr>
          <w:rFonts w:ascii="Arial" w:eastAsia="Arial" w:hAnsi="Arial" w:cs="Arial"/>
          <w:color w:val="000000"/>
          <w:sz w:val="24"/>
          <w:szCs w:val="24"/>
        </w:rPr>
        <w:t xml:space="preserve"> </w:t>
      </w:r>
      <w:r w:rsidR="006A0D48" w:rsidRPr="00E21C27">
        <w:rPr>
          <w:rFonts w:ascii="Arial" w:eastAsia="Arial" w:hAnsi="Arial" w:cs="Arial"/>
          <w:color w:val="000000"/>
          <w:sz w:val="24"/>
          <w:szCs w:val="24"/>
        </w:rPr>
        <w:t>01/15</w:t>
      </w:r>
      <w:r w:rsidR="00613582" w:rsidRPr="00E21C27">
        <w:rPr>
          <w:rFonts w:ascii="Arial" w:eastAsia="Arial" w:hAnsi="Arial" w:cs="Arial"/>
          <w:color w:val="000000"/>
          <w:sz w:val="24"/>
          <w:szCs w:val="24"/>
        </w:rPr>
        <w:t xml:space="preserve"> </w:t>
      </w:r>
      <w:r w:rsidR="006A0D48" w:rsidRPr="00E21C27">
        <w:rPr>
          <w:rFonts w:ascii="Arial" w:eastAsia="Arial" w:hAnsi="Arial" w:cs="Arial"/>
          <w:color w:val="000000"/>
          <w:sz w:val="24"/>
          <w:szCs w:val="24"/>
        </w:rPr>
        <w:t>NW, in the preceding paragraph, had gone out for tender under bid EDU</w:t>
      </w:r>
      <w:r w:rsidR="00613582" w:rsidRPr="00E21C27">
        <w:rPr>
          <w:rFonts w:ascii="Arial" w:eastAsia="Arial" w:hAnsi="Arial" w:cs="Arial"/>
          <w:color w:val="000000"/>
          <w:sz w:val="24"/>
          <w:szCs w:val="24"/>
        </w:rPr>
        <w:t xml:space="preserve"> </w:t>
      </w:r>
      <w:r w:rsidR="006A0D48" w:rsidRPr="00E21C27">
        <w:rPr>
          <w:rFonts w:ascii="Arial" w:eastAsia="Arial" w:hAnsi="Arial" w:cs="Arial"/>
          <w:color w:val="000000"/>
          <w:sz w:val="24"/>
          <w:szCs w:val="24"/>
        </w:rPr>
        <w:t>34/13</w:t>
      </w:r>
      <w:r w:rsidR="00613582" w:rsidRPr="00E21C27">
        <w:rPr>
          <w:rFonts w:ascii="Arial" w:eastAsia="Arial" w:hAnsi="Arial" w:cs="Arial"/>
          <w:color w:val="000000"/>
          <w:sz w:val="24"/>
          <w:szCs w:val="24"/>
        </w:rPr>
        <w:t xml:space="preserve"> </w:t>
      </w:r>
      <w:r w:rsidR="006A0D48" w:rsidRPr="00E21C27">
        <w:rPr>
          <w:rFonts w:ascii="Arial" w:eastAsia="Arial" w:hAnsi="Arial" w:cs="Arial"/>
          <w:color w:val="000000"/>
          <w:sz w:val="24"/>
          <w:szCs w:val="24"/>
        </w:rPr>
        <w:t xml:space="preserve">NW in November 2013. </w:t>
      </w:r>
      <w:r w:rsidR="00EC12CA" w:rsidRPr="00E21C27">
        <w:rPr>
          <w:rFonts w:ascii="Arial" w:eastAsia="Arial" w:hAnsi="Arial" w:cs="Arial"/>
          <w:color w:val="000000"/>
          <w:sz w:val="24"/>
          <w:szCs w:val="24"/>
        </w:rPr>
        <w:t xml:space="preserve">The tender </w:t>
      </w:r>
      <w:r w:rsidR="005F342A" w:rsidRPr="00E21C27">
        <w:rPr>
          <w:rFonts w:ascii="Arial" w:eastAsia="Arial" w:hAnsi="Arial" w:cs="Arial"/>
          <w:color w:val="000000"/>
          <w:sz w:val="24"/>
          <w:szCs w:val="24"/>
        </w:rPr>
        <w:t xml:space="preserve">award </w:t>
      </w:r>
      <w:r w:rsidR="00EC12CA" w:rsidRPr="00E21C27">
        <w:rPr>
          <w:rFonts w:ascii="Arial" w:eastAsia="Arial" w:hAnsi="Arial" w:cs="Arial"/>
          <w:color w:val="000000"/>
          <w:sz w:val="24"/>
          <w:szCs w:val="24"/>
        </w:rPr>
        <w:t xml:space="preserve">was </w:t>
      </w:r>
      <w:r w:rsidR="00A152B7" w:rsidRPr="00E21C27">
        <w:rPr>
          <w:rFonts w:ascii="Arial" w:eastAsia="Arial" w:hAnsi="Arial" w:cs="Arial"/>
          <w:color w:val="000000"/>
          <w:sz w:val="24"/>
          <w:szCs w:val="24"/>
        </w:rPr>
        <w:t xml:space="preserve">reviewed and </w:t>
      </w:r>
      <w:r w:rsidR="00EC12CA" w:rsidRPr="00E21C27">
        <w:rPr>
          <w:rFonts w:ascii="Arial" w:eastAsia="Arial" w:hAnsi="Arial" w:cs="Arial"/>
          <w:color w:val="000000"/>
          <w:sz w:val="24"/>
          <w:szCs w:val="24"/>
        </w:rPr>
        <w:t>set aside in its entirety on 18 September 2014 by the high court</w:t>
      </w:r>
      <w:r w:rsidR="00AE23F9" w:rsidRPr="00E21C27">
        <w:rPr>
          <w:rFonts w:ascii="Arial" w:eastAsia="Arial" w:hAnsi="Arial" w:cs="Arial"/>
          <w:color w:val="000000"/>
          <w:sz w:val="24"/>
          <w:szCs w:val="24"/>
        </w:rPr>
        <w:t xml:space="preserve">, </w:t>
      </w:r>
      <w:r w:rsidR="006124D5" w:rsidRPr="00E21C27">
        <w:rPr>
          <w:rFonts w:ascii="Arial" w:eastAsia="Arial" w:hAnsi="Arial" w:cs="Arial"/>
          <w:color w:val="000000"/>
          <w:sz w:val="24"/>
          <w:szCs w:val="24"/>
        </w:rPr>
        <w:t xml:space="preserve">before </w:t>
      </w:r>
      <w:r w:rsidR="00AE23F9" w:rsidRPr="00E21C27">
        <w:rPr>
          <w:rFonts w:ascii="Arial" w:eastAsia="Arial" w:hAnsi="Arial" w:cs="Arial"/>
          <w:color w:val="000000"/>
          <w:sz w:val="24"/>
          <w:szCs w:val="24"/>
        </w:rPr>
        <w:t>Kgoele J,</w:t>
      </w:r>
      <w:r w:rsidR="00EC12CA" w:rsidRPr="00E21C27">
        <w:rPr>
          <w:rFonts w:ascii="Arial" w:eastAsia="Arial" w:hAnsi="Arial" w:cs="Arial"/>
          <w:color w:val="000000"/>
          <w:sz w:val="24"/>
          <w:szCs w:val="24"/>
        </w:rPr>
        <w:t xml:space="preserve"> </w:t>
      </w:r>
      <w:r w:rsidR="00AE23F9" w:rsidRPr="00E21C27">
        <w:rPr>
          <w:rFonts w:ascii="Arial" w:eastAsia="Arial" w:hAnsi="Arial" w:cs="Arial"/>
          <w:color w:val="000000"/>
          <w:sz w:val="24"/>
          <w:szCs w:val="24"/>
        </w:rPr>
        <w:t>who</w:t>
      </w:r>
      <w:r w:rsidR="005F342A" w:rsidRPr="00E21C27">
        <w:rPr>
          <w:rFonts w:ascii="Arial" w:eastAsia="Arial" w:hAnsi="Arial" w:cs="Arial"/>
          <w:color w:val="000000"/>
          <w:sz w:val="24"/>
          <w:szCs w:val="24"/>
        </w:rPr>
        <w:t xml:space="preserve"> declared that the</w:t>
      </w:r>
      <w:r w:rsidR="006124D5" w:rsidRPr="00E21C27">
        <w:rPr>
          <w:rFonts w:ascii="Arial" w:eastAsia="Arial" w:hAnsi="Arial" w:cs="Arial"/>
          <w:color w:val="000000"/>
          <w:sz w:val="24"/>
          <w:szCs w:val="24"/>
        </w:rPr>
        <w:t xml:space="preserve"> </w:t>
      </w:r>
      <w:r w:rsidR="005F342A" w:rsidRPr="00E21C27">
        <w:rPr>
          <w:rFonts w:ascii="Arial" w:eastAsia="Arial" w:hAnsi="Arial" w:cs="Arial"/>
          <w:color w:val="000000"/>
          <w:sz w:val="24"/>
          <w:szCs w:val="24"/>
        </w:rPr>
        <w:t xml:space="preserve">tender award </w:t>
      </w:r>
      <w:r w:rsidR="003322B0" w:rsidRPr="00E21C27">
        <w:rPr>
          <w:rFonts w:ascii="Arial" w:eastAsia="Arial" w:hAnsi="Arial" w:cs="Arial"/>
          <w:color w:val="000000"/>
          <w:sz w:val="24"/>
          <w:szCs w:val="24"/>
        </w:rPr>
        <w:t xml:space="preserve">was improper, irregular, unlawful and invalid. </w:t>
      </w:r>
      <w:r w:rsidR="005F342A" w:rsidRPr="00E21C27">
        <w:rPr>
          <w:rFonts w:ascii="Arial" w:eastAsia="Arial" w:hAnsi="Arial" w:cs="Arial"/>
          <w:color w:val="000000"/>
          <w:sz w:val="24"/>
          <w:szCs w:val="24"/>
        </w:rPr>
        <w:t xml:space="preserve">The grounds for the declaration of invalidity are not necessary for this judgment. </w:t>
      </w:r>
      <w:r w:rsidR="003322B0" w:rsidRPr="00E21C27">
        <w:rPr>
          <w:rFonts w:ascii="Arial" w:eastAsia="Arial" w:hAnsi="Arial" w:cs="Arial"/>
          <w:color w:val="000000"/>
          <w:sz w:val="24"/>
          <w:szCs w:val="24"/>
        </w:rPr>
        <w:t>T</w:t>
      </w:r>
      <w:r w:rsidR="005F342A" w:rsidRPr="00E21C27">
        <w:rPr>
          <w:rFonts w:ascii="Arial" w:eastAsia="Arial" w:hAnsi="Arial" w:cs="Arial"/>
          <w:color w:val="000000"/>
          <w:sz w:val="24"/>
          <w:szCs w:val="24"/>
        </w:rPr>
        <w:t xml:space="preserve">he </w:t>
      </w:r>
      <w:r w:rsidR="00EC12CA" w:rsidRPr="00E21C27">
        <w:rPr>
          <w:rFonts w:ascii="Arial" w:eastAsia="Arial" w:hAnsi="Arial" w:cs="Arial"/>
          <w:color w:val="000000"/>
          <w:sz w:val="24"/>
          <w:szCs w:val="24"/>
        </w:rPr>
        <w:t>Department</w:t>
      </w:r>
      <w:r w:rsidR="005F342A" w:rsidRPr="00E21C27">
        <w:rPr>
          <w:rFonts w:ascii="Arial" w:eastAsia="Arial" w:hAnsi="Arial" w:cs="Arial"/>
          <w:color w:val="000000"/>
          <w:sz w:val="24"/>
          <w:szCs w:val="24"/>
        </w:rPr>
        <w:t xml:space="preserve"> </w:t>
      </w:r>
      <w:r w:rsidR="00EC12CA" w:rsidRPr="00E21C27">
        <w:rPr>
          <w:rFonts w:ascii="Arial" w:eastAsia="Arial" w:hAnsi="Arial" w:cs="Arial"/>
          <w:color w:val="000000"/>
          <w:sz w:val="24"/>
          <w:szCs w:val="24"/>
        </w:rPr>
        <w:t xml:space="preserve">was ordered to commence the </w:t>
      </w:r>
      <w:r w:rsidR="009A46A0" w:rsidRPr="00E21C27">
        <w:rPr>
          <w:rFonts w:ascii="Arial" w:eastAsia="Arial" w:hAnsi="Arial" w:cs="Arial"/>
          <w:color w:val="000000"/>
          <w:sz w:val="24"/>
          <w:szCs w:val="24"/>
        </w:rPr>
        <w:t xml:space="preserve">tender award </w:t>
      </w:r>
      <w:r w:rsidR="00EC12CA" w:rsidRPr="00E21C27">
        <w:rPr>
          <w:rFonts w:ascii="Arial" w:eastAsia="Arial" w:hAnsi="Arial" w:cs="Arial"/>
          <w:color w:val="000000"/>
          <w:sz w:val="24"/>
          <w:szCs w:val="24"/>
        </w:rPr>
        <w:t xml:space="preserve">process </w:t>
      </w:r>
      <w:r w:rsidR="00EC12CA" w:rsidRPr="00E21C27">
        <w:rPr>
          <w:rFonts w:ascii="Arial" w:eastAsia="Arial" w:hAnsi="Arial" w:cs="Arial"/>
          <w:i/>
          <w:color w:val="000000"/>
          <w:sz w:val="24"/>
          <w:szCs w:val="24"/>
        </w:rPr>
        <w:t>de novo</w:t>
      </w:r>
      <w:r w:rsidR="00EC12CA" w:rsidRPr="00E21C27">
        <w:rPr>
          <w:rFonts w:ascii="Arial" w:eastAsia="Arial" w:hAnsi="Arial" w:cs="Arial"/>
          <w:color w:val="000000"/>
          <w:sz w:val="24"/>
          <w:szCs w:val="24"/>
        </w:rPr>
        <w:t xml:space="preserve">. </w:t>
      </w:r>
      <w:r w:rsidR="009A46A0" w:rsidRPr="00E21C27">
        <w:rPr>
          <w:rFonts w:ascii="Arial" w:eastAsia="Arial" w:hAnsi="Arial" w:cs="Arial"/>
          <w:color w:val="000000"/>
          <w:sz w:val="24"/>
          <w:szCs w:val="24"/>
        </w:rPr>
        <w:t xml:space="preserve">The invitation in respect of bid EDU 01/15 NW went out for tender just ten days after the court order of Kgoele J. </w:t>
      </w:r>
      <w:r w:rsidR="00EC12CA" w:rsidRPr="00E21C27">
        <w:rPr>
          <w:rFonts w:ascii="Arial" w:eastAsia="Arial" w:hAnsi="Arial" w:cs="Arial"/>
          <w:color w:val="000000"/>
          <w:sz w:val="24"/>
          <w:szCs w:val="24"/>
        </w:rPr>
        <w:t xml:space="preserve">It is the substance </w:t>
      </w:r>
      <w:r w:rsidR="00A152B7" w:rsidRPr="00E21C27">
        <w:rPr>
          <w:rFonts w:ascii="Arial" w:eastAsia="Arial" w:hAnsi="Arial" w:cs="Arial"/>
          <w:color w:val="000000"/>
          <w:sz w:val="24"/>
          <w:szCs w:val="24"/>
        </w:rPr>
        <w:t xml:space="preserve">of this </w:t>
      </w:r>
      <w:r w:rsidR="0006773A" w:rsidRPr="00E21C27">
        <w:rPr>
          <w:rFonts w:ascii="Arial" w:eastAsia="Arial" w:hAnsi="Arial" w:cs="Arial"/>
          <w:color w:val="000000"/>
          <w:sz w:val="24"/>
          <w:szCs w:val="24"/>
        </w:rPr>
        <w:t>bid</w:t>
      </w:r>
      <w:r w:rsidR="00A152B7" w:rsidRPr="00E21C27">
        <w:rPr>
          <w:rFonts w:ascii="Arial" w:eastAsia="Arial" w:hAnsi="Arial" w:cs="Arial"/>
          <w:color w:val="000000"/>
          <w:sz w:val="24"/>
          <w:szCs w:val="24"/>
        </w:rPr>
        <w:t xml:space="preserve"> that formed </w:t>
      </w:r>
      <w:r w:rsidR="00EC12CA" w:rsidRPr="00E21C27">
        <w:rPr>
          <w:rFonts w:ascii="Arial" w:eastAsia="Arial" w:hAnsi="Arial" w:cs="Arial"/>
          <w:color w:val="000000"/>
          <w:sz w:val="24"/>
          <w:szCs w:val="24"/>
        </w:rPr>
        <w:t>the addendum which was concluded between the parties.</w:t>
      </w:r>
    </w:p>
    <w:p w:rsidR="0006773A"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lastRenderedPageBreak/>
        <w:t>[6]</w:t>
      </w:r>
      <w:r w:rsidRPr="00E21C27">
        <w:rPr>
          <w:rFonts w:ascii="Arial" w:eastAsia="Arial" w:hAnsi="Arial" w:cs="Arial"/>
          <w:color w:val="000000"/>
          <w:sz w:val="24"/>
          <w:szCs w:val="24"/>
        </w:rPr>
        <w:tab/>
      </w:r>
      <w:r w:rsidR="0006773A" w:rsidRPr="00E21C27">
        <w:rPr>
          <w:rFonts w:ascii="Arial" w:eastAsia="Arial" w:hAnsi="Arial" w:cs="Arial"/>
          <w:color w:val="000000"/>
          <w:sz w:val="24"/>
          <w:szCs w:val="24"/>
        </w:rPr>
        <w:t>Notably the following appear</w:t>
      </w:r>
      <w:r w:rsidR="00FF07E8" w:rsidRPr="00E21C27">
        <w:rPr>
          <w:rFonts w:ascii="Arial" w:eastAsia="Arial" w:hAnsi="Arial" w:cs="Arial"/>
          <w:color w:val="000000"/>
          <w:sz w:val="24"/>
          <w:szCs w:val="24"/>
        </w:rPr>
        <w:t>s</w:t>
      </w:r>
      <w:r w:rsidR="0006773A" w:rsidRPr="00E21C27">
        <w:rPr>
          <w:rFonts w:ascii="Arial" w:eastAsia="Arial" w:hAnsi="Arial" w:cs="Arial"/>
          <w:color w:val="000000"/>
          <w:sz w:val="24"/>
          <w:szCs w:val="24"/>
        </w:rPr>
        <w:t xml:space="preserve"> in the preamble of the addendum: </w:t>
      </w:r>
    </w:p>
    <w:p w:rsidR="0006773A" w:rsidRPr="00E21C27" w:rsidRDefault="0006773A" w:rsidP="00DB01F4">
      <w:pPr>
        <w:pStyle w:val="Normal1"/>
        <w:pBdr>
          <w:top w:val="nil"/>
          <w:left w:val="nil"/>
          <w:bottom w:val="nil"/>
          <w:right w:val="nil"/>
          <w:between w:val="nil"/>
        </w:pBdr>
        <w:spacing w:after="0" w:line="360" w:lineRule="auto"/>
        <w:jc w:val="both"/>
        <w:rPr>
          <w:rFonts w:ascii="Arial" w:eastAsia="Arial" w:hAnsi="Arial" w:cs="Arial"/>
          <w:color w:val="000000"/>
        </w:rPr>
      </w:pPr>
      <w:r w:rsidRPr="00E21C27">
        <w:rPr>
          <w:rFonts w:ascii="Arial" w:eastAsia="Arial" w:hAnsi="Arial" w:cs="Arial"/>
          <w:color w:val="000000"/>
        </w:rPr>
        <w:t>‘(d) AND FURTHER WHEREAS KR INC. professed to have the requisite skills to execute the services envisaged in the award of tender 01/15 and professes to have the appropriate, reputable and the necessary expertise to undertake and execute supply chain management administration services and oversight relating to delivery of stationery to distributors within the Department of Education and Sport Development in the North West Province;</w:t>
      </w:r>
    </w:p>
    <w:p w:rsidR="0033770A" w:rsidRPr="00E21C27" w:rsidRDefault="0033770A" w:rsidP="00DB01F4">
      <w:pPr>
        <w:pStyle w:val="Normal1"/>
        <w:pBdr>
          <w:top w:val="nil"/>
          <w:left w:val="nil"/>
          <w:bottom w:val="nil"/>
          <w:right w:val="nil"/>
          <w:between w:val="nil"/>
        </w:pBdr>
        <w:spacing w:after="0" w:line="360" w:lineRule="auto"/>
        <w:jc w:val="both"/>
        <w:rPr>
          <w:rFonts w:ascii="Arial" w:eastAsia="Arial" w:hAnsi="Arial" w:cs="Arial"/>
          <w:color w:val="000000"/>
        </w:rPr>
      </w:pPr>
      <w:r w:rsidRPr="00E21C27">
        <w:rPr>
          <w:rFonts w:ascii="Arial" w:eastAsia="Arial" w:hAnsi="Arial" w:cs="Arial"/>
          <w:color w:val="000000"/>
        </w:rPr>
        <w:t>….</w:t>
      </w:r>
    </w:p>
    <w:p w:rsidR="00FF07E8" w:rsidRPr="00E21C27" w:rsidRDefault="00FF07E8" w:rsidP="00DB01F4">
      <w:pPr>
        <w:pStyle w:val="Normal1"/>
        <w:pBdr>
          <w:top w:val="nil"/>
          <w:left w:val="nil"/>
          <w:bottom w:val="nil"/>
          <w:right w:val="nil"/>
          <w:between w:val="nil"/>
        </w:pBdr>
        <w:spacing w:after="0" w:line="360" w:lineRule="auto"/>
        <w:jc w:val="both"/>
        <w:rPr>
          <w:rFonts w:ascii="Arial" w:eastAsia="Arial" w:hAnsi="Arial" w:cs="Arial"/>
          <w:color w:val="000000"/>
        </w:rPr>
      </w:pPr>
      <w:r w:rsidRPr="00E21C27">
        <w:rPr>
          <w:rFonts w:ascii="Arial" w:eastAsia="Arial" w:hAnsi="Arial" w:cs="Arial"/>
          <w:color w:val="000000"/>
        </w:rPr>
        <w:t xml:space="preserve">(f) AND FURTHER WHEREAS it is the intention of </w:t>
      </w:r>
      <w:r w:rsidR="00AD2500" w:rsidRPr="00E21C27">
        <w:rPr>
          <w:rFonts w:ascii="Arial" w:eastAsia="Arial" w:hAnsi="Arial" w:cs="Arial"/>
          <w:color w:val="000000"/>
        </w:rPr>
        <w:t>the</w:t>
      </w:r>
      <w:r w:rsidRPr="00E21C27">
        <w:rPr>
          <w:rFonts w:ascii="Arial" w:eastAsia="Arial" w:hAnsi="Arial" w:cs="Arial"/>
          <w:color w:val="000000"/>
        </w:rPr>
        <w:t xml:space="preserve"> parties to align this addendum with the clause 4.2 of the service level agreement and the letter of appointment (engagement).’</w:t>
      </w:r>
    </w:p>
    <w:p w:rsidR="00EB25D0" w:rsidRPr="00E21C27" w:rsidRDefault="00EB25D0" w:rsidP="00DB01F4">
      <w:pPr>
        <w:pStyle w:val="Normal1"/>
        <w:pBdr>
          <w:top w:val="nil"/>
          <w:left w:val="nil"/>
          <w:bottom w:val="nil"/>
          <w:right w:val="nil"/>
          <w:between w:val="nil"/>
        </w:pBdr>
        <w:spacing w:after="0" w:line="360" w:lineRule="auto"/>
        <w:jc w:val="both"/>
        <w:rPr>
          <w:rFonts w:ascii="Arial" w:eastAsia="Arial" w:hAnsi="Arial" w:cs="Arial"/>
          <w:color w:val="000000"/>
        </w:rPr>
      </w:pPr>
      <w:r w:rsidRPr="00E21C27">
        <w:rPr>
          <w:rFonts w:ascii="Arial" w:eastAsia="Arial" w:hAnsi="Arial" w:cs="Arial"/>
          <w:color w:val="000000"/>
        </w:rPr>
        <w:t>Clause 4.2 of the SLA merely states that ‘[t]he Services will conform in all material respects to its service description as set out in the …Engagement Letter.’ The latter purely relays that the letter serves as a binding contract</w:t>
      </w:r>
      <w:r w:rsidR="00F64397" w:rsidRPr="00E21C27">
        <w:rPr>
          <w:rFonts w:ascii="Arial" w:eastAsia="Arial" w:hAnsi="Arial" w:cs="Arial"/>
          <w:color w:val="000000"/>
        </w:rPr>
        <w:t xml:space="preserve">, however, </w:t>
      </w:r>
      <w:r w:rsidRPr="00E21C27">
        <w:rPr>
          <w:rFonts w:ascii="Arial" w:eastAsia="Arial" w:hAnsi="Arial" w:cs="Arial"/>
          <w:color w:val="000000"/>
        </w:rPr>
        <w:t>‘no services must be rendered without obtaining an official purchase order.’</w:t>
      </w:r>
    </w:p>
    <w:p w:rsidR="006A0D48" w:rsidRPr="00E21C27" w:rsidRDefault="006A0D48" w:rsidP="00DB01F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8D7C70"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t>[7]</w:t>
      </w:r>
      <w:r w:rsidRPr="00E21C27">
        <w:rPr>
          <w:rFonts w:ascii="Arial" w:eastAsia="Arial" w:hAnsi="Arial" w:cs="Arial"/>
          <w:color w:val="000000"/>
          <w:sz w:val="24"/>
          <w:szCs w:val="24"/>
        </w:rPr>
        <w:tab/>
      </w:r>
      <w:r w:rsidR="001177F1" w:rsidRPr="00E21C27">
        <w:rPr>
          <w:rFonts w:ascii="Arial" w:eastAsia="Arial" w:hAnsi="Arial" w:cs="Arial"/>
          <w:color w:val="000000"/>
          <w:sz w:val="24"/>
          <w:szCs w:val="24"/>
        </w:rPr>
        <w:t>Pertinently, the addendum spelt out the task to be undertaken as the provision and delivery of stationery to the distributors</w:t>
      </w:r>
      <w:r w:rsidR="00FB6451" w:rsidRPr="00E21C27">
        <w:rPr>
          <w:rFonts w:ascii="Arial" w:eastAsia="Arial" w:hAnsi="Arial" w:cs="Arial"/>
          <w:color w:val="000000"/>
          <w:sz w:val="24"/>
          <w:szCs w:val="24"/>
        </w:rPr>
        <w:t>,</w:t>
      </w:r>
      <w:r w:rsidR="008D7C70" w:rsidRPr="00E21C27">
        <w:rPr>
          <w:rFonts w:ascii="Arial" w:eastAsia="Arial" w:hAnsi="Arial" w:cs="Arial"/>
          <w:color w:val="000000"/>
          <w:sz w:val="24"/>
          <w:szCs w:val="24"/>
        </w:rPr>
        <w:t xml:space="preserve"> bearing in mind that in terms of the</w:t>
      </w:r>
      <w:r w:rsidR="001177F1" w:rsidRPr="00E21C27">
        <w:rPr>
          <w:rFonts w:ascii="Arial" w:eastAsia="Arial" w:hAnsi="Arial" w:cs="Arial"/>
          <w:color w:val="000000"/>
          <w:sz w:val="24"/>
          <w:szCs w:val="24"/>
        </w:rPr>
        <w:t xml:space="preserve"> SLA</w:t>
      </w:r>
      <w:r w:rsidR="008D7C70" w:rsidRPr="00E21C27">
        <w:rPr>
          <w:rFonts w:ascii="Arial" w:eastAsia="Arial" w:hAnsi="Arial" w:cs="Arial"/>
          <w:color w:val="000000"/>
          <w:sz w:val="24"/>
          <w:szCs w:val="24"/>
        </w:rPr>
        <w:t xml:space="preserve"> the appellant was tasked to evaluate, adjudicate and identify </w:t>
      </w:r>
      <w:r w:rsidR="00F51A01" w:rsidRPr="00E21C27">
        <w:rPr>
          <w:rFonts w:ascii="Arial" w:eastAsia="Arial" w:hAnsi="Arial" w:cs="Arial"/>
          <w:color w:val="000000"/>
          <w:sz w:val="24"/>
          <w:szCs w:val="24"/>
        </w:rPr>
        <w:t>the service provider</w:t>
      </w:r>
      <w:r w:rsidR="00CD4613" w:rsidRPr="00E21C27">
        <w:rPr>
          <w:rFonts w:ascii="Arial" w:eastAsia="Arial" w:hAnsi="Arial" w:cs="Arial"/>
          <w:color w:val="000000"/>
          <w:sz w:val="24"/>
          <w:szCs w:val="24"/>
        </w:rPr>
        <w:t xml:space="preserve">, </w:t>
      </w:r>
      <w:r w:rsidR="00497917" w:rsidRPr="00E21C27">
        <w:rPr>
          <w:rFonts w:ascii="Arial" w:eastAsia="Arial" w:hAnsi="Arial" w:cs="Arial"/>
          <w:color w:val="000000"/>
          <w:sz w:val="24"/>
          <w:szCs w:val="24"/>
        </w:rPr>
        <w:t xml:space="preserve">to </w:t>
      </w:r>
      <w:r w:rsidR="00CD4613" w:rsidRPr="00E21C27">
        <w:rPr>
          <w:rFonts w:ascii="Arial" w:eastAsia="Arial" w:hAnsi="Arial" w:cs="Arial"/>
          <w:color w:val="000000"/>
          <w:sz w:val="24"/>
          <w:szCs w:val="24"/>
        </w:rPr>
        <w:t>supply chain management services</w:t>
      </w:r>
      <w:r w:rsidR="006257C8" w:rsidRPr="00E21C27">
        <w:rPr>
          <w:rFonts w:ascii="Arial" w:eastAsia="Arial" w:hAnsi="Arial" w:cs="Arial"/>
          <w:color w:val="000000"/>
          <w:sz w:val="24"/>
          <w:szCs w:val="24"/>
        </w:rPr>
        <w:t>,</w:t>
      </w:r>
      <w:r w:rsidR="008D7C70" w:rsidRPr="00E21C27">
        <w:rPr>
          <w:rFonts w:ascii="Arial" w:eastAsia="Arial" w:hAnsi="Arial" w:cs="Arial"/>
          <w:color w:val="000000"/>
          <w:sz w:val="24"/>
          <w:szCs w:val="24"/>
        </w:rPr>
        <w:t xml:space="preserve"> </w:t>
      </w:r>
      <w:r w:rsidR="00FB6451" w:rsidRPr="00E21C27">
        <w:rPr>
          <w:rFonts w:ascii="Arial" w:eastAsia="Arial" w:hAnsi="Arial" w:cs="Arial"/>
          <w:color w:val="000000"/>
          <w:sz w:val="24"/>
          <w:szCs w:val="24"/>
        </w:rPr>
        <w:t xml:space="preserve">and </w:t>
      </w:r>
      <w:r w:rsidR="008D7C70" w:rsidRPr="00E21C27">
        <w:rPr>
          <w:rFonts w:ascii="Arial" w:eastAsia="Arial" w:hAnsi="Arial" w:cs="Arial"/>
          <w:color w:val="000000"/>
          <w:sz w:val="24"/>
          <w:szCs w:val="24"/>
        </w:rPr>
        <w:t xml:space="preserve">to conduct the provision and distribution function. Further, the lifespan of the work under the addendum was </w:t>
      </w:r>
      <w:r w:rsidR="00307ED4" w:rsidRPr="00E21C27">
        <w:rPr>
          <w:rFonts w:ascii="Arial" w:eastAsia="Arial" w:hAnsi="Arial" w:cs="Arial"/>
          <w:color w:val="000000"/>
          <w:sz w:val="24"/>
          <w:szCs w:val="24"/>
        </w:rPr>
        <w:t xml:space="preserve">‘for a period of 3 </w:t>
      </w:r>
      <w:r w:rsidR="008D7C70" w:rsidRPr="00E21C27">
        <w:rPr>
          <w:rFonts w:ascii="Arial" w:eastAsia="Arial" w:hAnsi="Arial" w:cs="Arial"/>
          <w:color w:val="000000"/>
          <w:sz w:val="24"/>
          <w:szCs w:val="24"/>
        </w:rPr>
        <w:t>years</w:t>
      </w:r>
      <w:r w:rsidR="00307ED4" w:rsidRPr="00E21C27">
        <w:rPr>
          <w:rFonts w:ascii="Arial" w:eastAsia="Arial" w:hAnsi="Arial" w:cs="Arial"/>
          <w:color w:val="000000"/>
          <w:sz w:val="24"/>
          <w:szCs w:val="24"/>
        </w:rPr>
        <w:t xml:space="preserve"> or any such extended period’. Whil</w:t>
      </w:r>
      <w:r w:rsidR="008D7C70" w:rsidRPr="00E21C27">
        <w:rPr>
          <w:rFonts w:ascii="Arial" w:eastAsia="Arial" w:hAnsi="Arial" w:cs="Arial"/>
          <w:color w:val="000000"/>
          <w:sz w:val="24"/>
          <w:szCs w:val="24"/>
        </w:rPr>
        <w:t>s</w:t>
      </w:r>
      <w:r w:rsidR="00307ED4" w:rsidRPr="00E21C27">
        <w:rPr>
          <w:rFonts w:ascii="Arial" w:eastAsia="Arial" w:hAnsi="Arial" w:cs="Arial"/>
          <w:color w:val="000000"/>
          <w:sz w:val="24"/>
          <w:szCs w:val="24"/>
        </w:rPr>
        <w:t>t,</w:t>
      </w:r>
      <w:r w:rsidR="003E4EBE" w:rsidRPr="00E21C27">
        <w:rPr>
          <w:rFonts w:ascii="Arial" w:eastAsia="Arial" w:hAnsi="Arial" w:cs="Arial"/>
          <w:color w:val="000000"/>
          <w:sz w:val="24"/>
          <w:szCs w:val="24"/>
        </w:rPr>
        <w:t xml:space="preserve"> the lifespan of the </w:t>
      </w:r>
      <w:r w:rsidR="008D7C70" w:rsidRPr="00E21C27">
        <w:rPr>
          <w:rFonts w:ascii="Arial" w:eastAsia="Arial" w:hAnsi="Arial" w:cs="Arial"/>
          <w:color w:val="000000"/>
          <w:sz w:val="24"/>
          <w:szCs w:val="24"/>
        </w:rPr>
        <w:t xml:space="preserve">SLA </w:t>
      </w:r>
      <w:r w:rsidR="003E4EBE" w:rsidRPr="00E21C27">
        <w:rPr>
          <w:rFonts w:ascii="Arial" w:eastAsia="Arial" w:hAnsi="Arial" w:cs="Arial"/>
          <w:color w:val="000000"/>
          <w:sz w:val="24"/>
          <w:szCs w:val="24"/>
        </w:rPr>
        <w:t>was only</w:t>
      </w:r>
      <w:r w:rsidR="00307ED4" w:rsidRPr="00E21C27">
        <w:rPr>
          <w:rFonts w:ascii="Arial" w:eastAsia="Arial" w:hAnsi="Arial" w:cs="Arial"/>
          <w:color w:val="000000"/>
          <w:sz w:val="24"/>
          <w:szCs w:val="24"/>
        </w:rPr>
        <w:t xml:space="preserve"> </w:t>
      </w:r>
      <w:r w:rsidR="009A46A0" w:rsidRPr="00E21C27">
        <w:rPr>
          <w:rFonts w:ascii="Arial" w:eastAsia="Arial" w:hAnsi="Arial" w:cs="Arial"/>
          <w:color w:val="000000"/>
          <w:sz w:val="24"/>
          <w:szCs w:val="24"/>
        </w:rPr>
        <w:t>12</w:t>
      </w:r>
      <w:r w:rsidR="008D7C70" w:rsidRPr="00E21C27">
        <w:rPr>
          <w:rFonts w:ascii="Arial" w:eastAsia="Arial" w:hAnsi="Arial" w:cs="Arial"/>
          <w:color w:val="000000"/>
          <w:sz w:val="24"/>
          <w:szCs w:val="24"/>
        </w:rPr>
        <w:t xml:space="preserve"> months.</w:t>
      </w:r>
    </w:p>
    <w:p w:rsidR="001177F1" w:rsidRPr="00E21C27" w:rsidRDefault="001177F1" w:rsidP="00DB01F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FF07E8"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t>[8]</w:t>
      </w:r>
      <w:r w:rsidRPr="00E21C27">
        <w:rPr>
          <w:rFonts w:ascii="Arial" w:eastAsia="Arial" w:hAnsi="Arial" w:cs="Arial"/>
          <w:color w:val="000000"/>
          <w:sz w:val="24"/>
          <w:szCs w:val="24"/>
        </w:rPr>
        <w:tab/>
      </w:r>
      <w:r w:rsidR="00FF07E8" w:rsidRPr="00E21C27">
        <w:rPr>
          <w:rFonts w:ascii="Arial" w:eastAsia="Arial" w:hAnsi="Arial" w:cs="Arial"/>
          <w:color w:val="000000"/>
          <w:sz w:val="24"/>
          <w:szCs w:val="24"/>
        </w:rPr>
        <w:t>The effect of the addendum</w:t>
      </w:r>
      <w:r w:rsidR="00EC0D9E" w:rsidRPr="00E21C27">
        <w:rPr>
          <w:rFonts w:ascii="Arial" w:eastAsia="Arial" w:hAnsi="Arial" w:cs="Arial"/>
          <w:color w:val="000000"/>
          <w:sz w:val="24"/>
          <w:szCs w:val="24"/>
        </w:rPr>
        <w:t xml:space="preserve"> was that: </w:t>
      </w:r>
      <w:r w:rsidR="00F139C8" w:rsidRPr="00E21C27">
        <w:rPr>
          <w:rFonts w:ascii="Arial" w:eastAsia="Arial" w:hAnsi="Arial" w:cs="Arial"/>
          <w:color w:val="000000"/>
          <w:sz w:val="24"/>
          <w:szCs w:val="24"/>
        </w:rPr>
        <w:t xml:space="preserve">KR Inc. under the SLA was to provide services to conduct evaluation, adjudication and supply chain management administrative services for the provision and delivery of </w:t>
      </w:r>
      <w:r w:rsidR="008973F8">
        <w:rPr>
          <w:rFonts w:ascii="Arial" w:eastAsia="Arial" w:hAnsi="Arial" w:cs="Arial"/>
          <w:color w:val="000000"/>
          <w:sz w:val="24"/>
          <w:szCs w:val="24"/>
        </w:rPr>
        <w:t>LTSM;</w:t>
      </w:r>
      <w:r w:rsidR="00F139C8" w:rsidRPr="00E21C27">
        <w:rPr>
          <w:rFonts w:ascii="Arial" w:eastAsia="Arial" w:hAnsi="Arial" w:cs="Arial"/>
          <w:color w:val="000000"/>
          <w:sz w:val="24"/>
          <w:szCs w:val="24"/>
        </w:rPr>
        <w:t xml:space="preserve"> </w:t>
      </w:r>
      <w:r w:rsidR="00EC0D9E" w:rsidRPr="00E21C27">
        <w:rPr>
          <w:rFonts w:ascii="Arial" w:eastAsia="Arial" w:hAnsi="Arial" w:cs="Arial"/>
          <w:color w:val="000000"/>
          <w:sz w:val="24"/>
          <w:szCs w:val="24"/>
        </w:rPr>
        <w:t>h</w:t>
      </w:r>
      <w:r w:rsidR="00F139C8" w:rsidRPr="00E21C27">
        <w:rPr>
          <w:rFonts w:ascii="Arial" w:eastAsia="Arial" w:hAnsi="Arial" w:cs="Arial"/>
          <w:color w:val="000000"/>
          <w:sz w:val="24"/>
          <w:szCs w:val="24"/>
        </w:rPr>
        <w:t>aving provided such service under the addendum</w:t>
      </w:r>
      <w:r w:rsidR="00EC0D9E" w:rsidRPr="00E21C27">
        <w:rPr>
          <w:rFonts w:ascii="Arial" w:eastAsia="Arial" w:hAnsi="Arial" w:cs="Arial"/>
          <w:color w:val="000000"/>
          <w:sz w:val="24"/>
          <w:szCs w:val="24"/>
        </w:rPr>
        <w:t>,</w:t>
      </w:r>
      <w:r w:rsidR="00F139C8" w:rsidRPr="00E21C27">
        <w:rPr>
          <w:rFonts w:ascii="Arial" w:eastAsia="Arial" w:hAnsi="Arial" w:cs="Arial"/>
          <w:color w:val="000000"/>
          <w:sz w:val="24"/>
          <w:szCs w:val="24"/>
        </w:rPr>
        <w:t xml:space="preserve"> KR Inc</w:t>
      </w:r>
      <w:r w:rsidR="00EC0D9E" w:rsidRPr="00E21C27">
        <w:rPr>
          <w:rFonts w:ascii="Arial" w:eastAsia="Arial" w:hAnsi="Arial" w:cs="Arial"/>
          <w:color w:val="000000"/>
          <w:sz w:val="24"/>
          <w:szCs w:val="24"/>
        </w:rPr>
        <w:t>. would be</w:t>
      </w:r>
      <w:r w:rsidR="00F139C8" w:rsidRPr="00E21C27">
        <w:rPr>
          <w:rFonts w:ascii="Arial" w:eastAsia="Arial" w:hAnsi="Arial" w:cs="Arial"/>
          <w:color w:val="000000"/>
          <w:sz w:val="24"/>
          <w:szCs w:val="24"/>
        </w:rPr>
        <w:t xml:space="preserve"> rendering the services for which they had evaluated and adjudicated upon, </w:t>
      </w:r>
      <w:r w:rsidR="00EC0D9E" w:rsidRPr="00E21C27">
        <w:rPr>
          <w:rFonts w:ascii="Arial" w:eastAsia="Arial" w:hAnsi="Arial" w:cs="Arial"/>
          <w:color w:val="000000"/>
          <w:sz w:val="24"/>
          <w:szCs w:val="24"/>
        </w:rPr>
        <w:t xml:space="preserve">in that, they would be </w:t>
      </w:r>
      <w:r w:rsidR="00F139C8" w:rsidRPr="00E21C27">
        <w:rPr>
          <w:rFonts w:ascii="Arial" w:eastAsia="Arial" w:hAnsi="Arial" w:cs="Arial"/>
          <w:color w:val="000000"/>
          <w:sz w:val="24"/>
          <w:szCs w:val="24"/>
        </w:rPr>
        <w:t>provi</w:t>
      </w:r>
      <w:r w:rsidR="00EC0D9E" w:rsidRPr="00E21C27">
        <w:rPr>
          <w:rFonts w:ascii="Arial" w:eastAsia="Arial" w:hAnsi="Arial" w:cs="Arial"/>
          <w:color w:val="000000"/>
          <w:sz w:val="24"/>
          <w:szCs w:val="24"/>
        </w:rPr>
        <w:t xml:space="preserve">ding </w:t>
      </w:r>
      <w:r w:rsidR="00F139C8" w:rsidRPr="00E21C27">
        <w:rPr>
          <w:rFonts w:ascii="Arial" w:eastAsia="Arial" w:hAnsi="Arial" w:cs="Arial"/>
          <w:color w:val="000000"/>
          <w:sz w:val="24"/>
          <w:szCs w:val="24"/>
        </w:rPr>
        <w:t xml:space="preserve">and </w:t>
      </w:r>
      <w:r w:rsidR="00E21C27" w:rsidRPr="00E21C27">
        <w:rPr>
          <w:rFonts w:ascii="Arial" w:eastAsia="Arial" w:hAnsi="Arial" w:cs="Arial"/>
          <w:color w:val="000000"/>
          <w:sz w:val="24"/>
          <w:szCs w:val="24"/>
        </w:rPr>
        <w:t>delivering the</w:t>
      </w:r>
      <w:r w:rsidR="00F139C8" w:rsidRPr="00E21C27">
        <w:rPr>
          <w:rFonts w:ascii="Arial" w:eastAsia="Arial" w:hAnsi="Arial" w:cs="Arial"/>
          <w:color w:val="000000"/>
          <w:sz w:val="24"/>
          <w:szCs w:val="24"/>
        </w:rPr>
        <w:t xml:space="preserve"> stationery to distributors</w:t>
      </w:r>
      <w:r w:rsidR="00EC0D9E" w:rsidRPr="00E21C27">
        <w:rPr>
          <w:rFonts w:ascii="Arial" w:eastAsia="Arial" w:hAnsi="Arial" w:cs="Arial"/>
          <w:color w:val="000000"/>
          <w:sz w:val="24"/>
          <w:szCs w:val="24"/>
        </w:rPr>
        <w:t xml:space="preserve">. This in turn resulted in </w:t>
      </w:r>
      <w:r w:rsidR="00FF07E8" w:rsidRPr="00E21C27">
        <w:rPr>
          <w:rFonts w:ascii="Arial" w:eastAsia="Arial" w:hAnsi="Arial" w:cs="Arial"/>
          <w:color w:val="000000"/>
          <w:sz w:val="24"/>
          <w:szCs w:val="24"/>
        </w:rPr>
        <w:t xml:space="preserve">the contract of </w:t>
      </w:r>
      <w:r w:rsidR="00EC0D9E" w:rsidRPr="00E21C27">
        <w:rPr>
          <w:rFonts w:ascii="Arial" w:eastAsia="Arial" w:hAnsi="Arial" w:cs="Arial"/>
          <w:color w:val="000000"/>
          <w:sz w:val="24"/>
          <w:szCs w:val="24"/>
        </w:rPr>
        <w:t>KR Inc.</w:t>
      </w:r>
      <w:r w:rsidR="002C0543" w:rsidRPr="00E21C27">
        <w:rPr>
          <w:rFonts w:ascii="Arial" w:eastAsia="Arial" w:hAnsi="Arial" w:cs="Arial"/>
          <w:color w:val="000000"/>
          <w:sz w:val="24"/>
          <w:szCs w:val="24"/>
        </w:rPr>
        <w:t xml:space="preserve"> be</w:t>
      </w:r>
      <w:r w:rsidR="00EC0D9E" w:rsidRPr="00E21C27">
        <w:rPr>
          <w:rFonts w:ascii="Arial" w:eastAsia="Arial" w:hAnsi="Arial" w:cs="Arial"/>
          <w:color w:val="000000"/>
          <w:sz w:val="24"/>
          <w:szCs w:val="24"/>
        </w:rPr>
        <w:t>i</w:t>
      </w:r>
      <w:r w:rsidR="002C0543" w:rsidRPr="00E21C27">
        <w:rPr>
          <w:rFonts w:ascii="Arial" w:eastAsia="Arial" w:hAnsi="Arial" w:cs="Arial"/>
          <w:color w:val="000000"/>
          <w:sz w:val="24"/>
          <w:szCs w:val="24"/>
        </w:rPr>
        <w:t>n</w:t>
      </w:r>
      <w:r w:rsidR="00EC0D9E" w:rsidRPr="00E21C27">
        <w:rPr>
          <w:rFonts w:ascii="Arial" w:eastAsia="Arial" w:hAnsi="Arial" w:cs="Arial"/>
          <w:color w:val="000000"/>
          <w:sz w:val="24"/>
          <w:szCs w:val="24"/>
        </w:rPr>
        <w:t>g</w:t>
      </w:r>
      <w:r w:rsidR="00DC6A3A" w:rsidRPr="00E21C27">
        <w:rPr>
          <w:rFonts w:ascii="Arial" w:eastAsia="Arial" w:hAnsi="Arial" w:cs="Arial"/>
          <w:color w:val="000000"/>
          <w:sz w:val="24"/>
          <w:szCs w:val="24"/>
        </w:rPr>
        <w:t xml:space="preserve"> increased by three years. In addition, </w:t>
      </w:r>
      <w:r w:rsidR="00FF07E8" w:rsidRPr="00E21C27">
        <w:rPr>
          <w:rFonts w:ascii="Arial" w:eastAsia="Arial" w:hAnsi="Arial" w:cs="Arial"/>
          <w:color w:val="000000"/>
          <w:sz w:val="24"/>
          <w:szCs w:val="24"/>
        </w:rPr>
        <w:t xml:space="preserve">the scope </w:t>
      </w:r>
      <w:r w:rsidR="00DC6A3A" w:rsidRPr="00E21C27">
        <w:rPr>
          <w:rFonts w:ascii="Arial" w:eastAsia="Arial" w:hAnsi="Arial" w:cs="Arial"/>
          <w:color w:val="000000"/>
          <w:sz w:val="24"/>
          <w:szCs w:val="24"/>
        </w:rPr>
        <w:t>of work to be conducted</w:t>
      </w:r>
      <w:r w:rsidR="00FF07E8" w:rsidRPr="00E21C27">
        <w:rPr>
          <w:rFonts w:ascii="Arial" w:eastAsia="Arial" w:hAnsi="Arial" w:cs="Arial"/>
          <w:color w:val="000000"/>
          <w:sz w:val="24"/>
          <w:szCs w:val="24"/>
        </w:rPr>
        <w:t xml:space="preserve"> was increased</w:t>
      </w:r>
      <w:r w:rsidR="00DC6A3A" w:rsidRPr="00E21C27">
        <w:rPr>
          <w:rFonts w:ascii="Arial" w:eastAsia="Arial" w:hAnsi="Arial" w:cs="Arial"/>
          <w:color w:val="000000"/>
          <w:sz w:val="24"/>
          <w:szCs w:val="24"/>
        </w:rPr>
        <w:t>. The net effect was that the fees due were</w:t>
      </w:r>
      <w:r w:rsidR="00FF07E8" w:rsidRPr="00E21C27">
        <w:rPr>
          <w:rFonts w:ascii="Arial" w:eastAsia="Arial" w:hAnsi="Arial" w:cs="Arial"/>
          <w:color w:val="000000"/>
          <w:sz w:val="24"/>
          <w:szCs w:val="24"/>
        </w:rPr>
        <w:t xml:space="preserve"> </w:t>
      </w:r>
      <w:r w:rsidR="00DC6A3A" w:rsidRPr="00E21C27">
        <w:rPr>
          <w:rFonts w:ascii="Arial" w:eastAsia="Arial" w:hAnsi="Arial" w:cs="Arial"/>
          <w:color w:val="000000"/>
          <w:sz w:val="24"/>
          <w:szCs w:val="24"/>
        </w:rPr>
        <w:t xml:space="preserve">also </w:t>
      </w:r>
      <w:r w:rsidR="00FF07E8" w:rsidRPr="00E21C27">
        <w:rPr>
          <w:rFonts w:ascii="Arial" w:eastAsia="Arial" w:hAnsi="Arial" w:cs="Arial"/>
          <w:color w:val="000000"/>
          <w:sz w:val="24"/>
          <w:szCs w:val="24"/>
        </w:rPr>
        <w:t>increase</w:t>
      </w:r>
      <w:r w:rsidR="00DC6A3A" w:rsidRPr="00E21C27">
        <w:rPr>
          <w:rFonts w:ascii="Arial" w:eastAsia="Arial" w:hAnsi="Arial" w:cs="Arial"/>
          <w:color w:val="000000"/>
          <w:sz w:val="24"/>
          <w:szCs w:val="24"/>
        </w:rPr>
        <w:t>d.</w:t>
      </w:r>
      <w:r w:rsidR="00FF07E8" w:rsidRPr="00E21C27">
        <w:rPr>
          <w:rFonts w:ascii="Arial" w:eastAsia="Arial" w:hAnsi="Arial" w:cs="Arial"/>
          <w:color w:val="000000"/>
          <w:sz w:val="24"/>
          <w:szCs w:val="24"/>
        </w:rPr>
        <w:t xml:space="preserve"> </w:t>
      </w:r>
      <w:r w:rsidR="00DC6A3A" w:rsidRPr="00E21C27">
        <w:rPr>
          <w:rFonts w:ascii="Arial" w:eastAsia="Arial" w:hAnsi="Arial" w:cs="Arial"/>
          <w:color w:val="000000"/>
          <w:sz w:val="24"/>
          <w:szCs w:val="24"/>
        </w:rPr>
        <w:t xml:space="preserve">Consequently, </w:t>
      </w:r>
      <w:r w:rsidR="00FF07E8" w:rsidRPr="00E21C27">
        <w:rPr>
          <w:rFonts w:ascii="Arial" w:eastAsia="Arial" w:hAnsi="Arial" w:cs="Arial"/>
          <w:color w:val="000000"/>
          <w:sz w:val="24"/>
          <w:szCs w:val="24"/>
        </w:rPr>
        <w:t xml:space="preserve">the appellant </w:t>
      </w:r>
      <w:r w:rsidR="00DC6A3A" w:rsidRPr="00E21C27">
        <w:rPr>
          <w:rFonts w:ascii="Arial" w:eastAsia="Arial" w:hAnsi="Arial" w:cs="Arial"/>
          <w:color w:val="000000"/>
          <w:sz w:val="24"/>
          <w:szCs w:val="24"/>
        </w:rPr>
        <w:t xml:space="preserve">was </w:t>
      </w:r>
      <w:r w:rsidR="00FF07E8" w:rsidRPr="00E21C27">
        <w:rPr>
          <w:rFonts w:ascii="Arial" w:eastAsia="Arial" w:hAnsi="Arial" w:cs="Arial"/>
          <w:color w:val="000000"/>
          <w:sz w:val="24"/>
          <w:szCs w:val="24"/>
        </w:rPr>
        <w:t>able to charge an amount equivalent to 15</w:t>
      </w:r>
      <w:r w:rsidR="002C0543" w:rsidRPr="00E21C27">
        <w:rPr>
          <w:rFonts w:ascii="Arial" w:eastAsia="Arial" w:hAnsi="Arial" w:cs="Arial"/>
          <w:color w:val="000000"/>
          <w:sz w:val="24"/>
          <w:szCs w:val="24"/>
        </w:rPr>
        <w:t xml:space="preserve"> </w:t>
      </w:r>
      <w:r w:rsidR="009A46A0" w:rsidRPr="00E21C27">
        <w:rPr>
          <w:rFonts w:ascii="Arial" w:eastAsia="Arial" w:hAnsi="Arial" w:cs="Arial"/>
          <w:color w:val="000000"/>
          <w:sz w:val="24"/>
          <w:szCs w:val="24"/>
        </w:rPr>
        <w:t>%</w:t>
      </w:r>
      <w:r w:rsidR="00FF07E8" w:rsidRPr="00E21C27">
        <w:rPr>
          <w:rFonts w:ascii="Arial" w:eastAsia="Arial" w:hAnsi="Arial" w:cs="Arial"/>
          <w:color w:val="000000"/>
          <w:sz w:val="24"/>
          <w:szCs w:val="24"/>
        </w:rPr>
        <w:t xml:space="preserve"> of the budget spent by the respondent </w:t>
      </w:r>
      <w:r w:rsidR="00756CE4" w:rsidRPr="00E21C27">
        <w:rPr>
          <w:rFonts w:ascii="Arial" w:eastAsia="Arial" w:hAnsi="Arial" w:cs="Arial"/>
          <w:color w:val="000000"/>
          <w:sz w:val="24"/>
          <w:szCs w:val="24"/>
        </w:rPr>
        <w:t>on the procurement of services envisaged. According to the appellant, as per the</w:t>
      </w:r>
      <w:r w:rsidR="00755AE4" w:rsidRPr="00E21C27">
        <w:rPr>
          <w:rFonts w:ascii="Arial" w:eastAsia="Arial" w:hAnsi="Arial" w:cs="Arial"/>
          <w:color w:val="000000"/>
          <w:sz w:val="24"/>
          <w:szCs w:val="24"/>
        </w:rPr>
        <w:t>ir</w:t>
      </w:r>
      <w:r w:rsidR="00756CE4" w:rsidRPr="00E21C27">
        <w:rPr>
          <w:rFonts w:ascii="Arial" w:eastAsia="Arial" w:hAnsi="Arial" w:cs="Arial"/>
          <w:color w:val="000000"/>
          <w:sz w:val="24"/>
          <w:szCs w:val="24"/>
        </w:rPr>
        <w:t xml:space="preserve"> claim against the respondent, the fee due </w:t>
      </w:r>
      <w:r w:rsidR="00DD2437" w:rsidRPr="00E21C27">
        <w:rPr>
          <w:rFonts w:ascii="Arial" w:eastAsia="Arial" w:hAnsi="Arial" w:cs="Arial"/>
          <w:color w:val="000000"/>
          <w:sz w:val="24"/>
          <w:szCs w:val="24"/>
        </w:rPr>
        <w:t xml:space="preserve">to them </w:t>
      </w:r>
      <w:r w:rsidR="00756CE4" w:rsidRPr="00E21C27">
        <w:rPr>
          <w:rFonts w:ascii="Arial" w:eastAsia="Arial" w:hAnsi="Arial" w:cs="Arial"/>
          <w:color w:val="000000"/>
          <w:sz w:val="24"/>
          <w:szCs w:val="24"/>
        </w:rPr>
        <w:t>was an amount of R46</w:t>
      </w:r>
      <w:r w:rsidR="00755AE4" w:rsidRPr="00E21C27">
        <w:rPr>
          <w:rFonts w:ascii="Arial" w:eastAsia="Arial" w:hAnsi="Arial" w:cs="Arial"/>
          <w:color w:val="000000"/>
          <w:sz w:val="24"/>
          <w:szCs w:val="24"/>
        </w:rPr>
        <w:t xml:space="preserve"> </w:t>
      </w:r>
      <w:r w:rsidR="00756CE4" w:rsidRPr="00E21C27">
        <w:rPr>
          <w:rFonts w:ascii="Arial" w:eastAsia="Arial" w:hAnsi="Arial" w:cs="Arial"/>
          <w:color w:val="000000"/>
          <w:sz w:val="24"/>
          <w:szCs w:val="24"/>
        </w:rPr>
        <w:t>650</w:t>
      </w:r>
      <w:r w:rsidR="00755AE4" w:rsidRPr="00E21C27">
        <w:rPr>
          <w:rFonts w:ascii="Arial" w:eastAsia="Arial" w:hAnsi="Arial" w:cs="Arial"/>
          <w:color w:val="000000"/>
          <w:sz w:val="24"/>
          <w:szCs w:val="24"/>
        </w:rPr>
        <w:t xml:space="preserve"> </w:t>
      </w:r>
      <w:r w:rsidR="00756CE4" w:rsidRPr="00E21C27">
        <w:rPr>
          <w:rFonts w:ascii="Arial" w:eastAsia="Arial" w:hAnsi="Arial" w:cs="Arial"/>
          <w:color w:val="000000"/>
          <w:sz w:val="24"/>
          <w:szCs w:val="24"/>
        </w:rPr>
        <w:t>000.00.</w:t>
      </w:r>
    </w:p>
    <w:p w:rsidR="00342D5B" w:rsidRPr="00E21C27" w:rsidRDefault="00342D5B" w:rsidP="00DB01F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1A492C"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lastRenderedPageBreak/>
        <w:t>[9]</w:t>
      </w:r>
      <w:r w:rsidRPr="00E21C27">
        <w:rPr>
          <w:rFonts w:ascii="Arial" w:eastAsia="Arial" w:hAnsi="Arial" w:cs="Arial"/>
          <w:color w:val="000000"/>
          <w:sz w:val="24"/>
          <w:szCs w:val="24"/>
        </w:rPr>
        <w:tab/>
      </w:r>
      <w:r w:rsidR="003E4EBE" w:rsidRPr="00E21C27">
        <w:rPr>
          <w:rFonts w:ascii="Arial" w:eastAsia="Arial" w:hAnsi="Arial" w:cs="Arial"/>
          <w:color w:val="000000"/>
          <w:sz w:val="24"/>
          <w:szCs w:val="24"/>
        </w:rPr>
        <w:t xml:space="preserve">KR Inc. </w:t>
      </w:r>
      <w:r w:rsidR="00CD4613" w:rsidRPr="00E21C27">
        <w:rPr>
          <w:rFonts w:ascii="Arial" w:eastAsia="Arial" w:hAnsi="Arial" w:cs="Arial"/>
          <w:color w:val="000000"/>
          <w:sz w:val="24"/>
          <w:szCs w:val="24"/>
        </w:rPr>
        <w:t>performed and</w:t>
      </w:r>
      <w:r w:rsidR="001A492C" w:rsidRPr="00E21C27">
        <w:rPr>
          <w:rFonts w:ascii="Arial" w:eastAsia="Arial" w:hAnsi="Arial" w:cs="Arial"/>
          <w:color w:val="000000"/>
          <w:sz w:val="24"/>
          <w:szCs w:val="24"/>
        </w:rPr>
        <w:t xml:space="preserve"> completed its duties in terms of the SLA signed on 9 Oc</w:t>
      </w:r>
      <w:r w:rsidR="00CD4613" w:rsidRPr="00E21C27">
        <w:rPr>
          <w:rFonts w:ascii="Arial" w:eastAsia="Arial" w:hAnsi="Arial" w:cs="Arial"/>
          <w:color w:val="000000"/>
          <w:sz w:val="24"/>
          <w:szCs w:val="24"/>
        </w:rPr>
        <w:t xml:space="preserve">tober 2015 for bid </w:t>
      </w:r>
      <w:r w:rsidR="002C0543" w:rsidRPr="00E21C27">
        <w:rPr>
          <w:rFonts w:ascii="Arial" w:eastAsia="Arial" w:hAnsi="Arial" w:cs="Arial"/>
          <w:color w:val="000000"/>
          <w:sz w:val="24"/>
          <w:szCs w:val="24"/>
        </w:rPr>
        <w:t xml:space="preserve">EDU </w:t>
      </w:r>
      <w:r w:rsidR="00CD4613" w:rsidRPr="00E21C27">
        <w:rPr>
          <w:rFonts w:ascii="Arial" w:eastAsia="Arial" w:hAnsi="Arial" w:cs="Arial"/>
          <w:color w:val="000000"/>
          <w:sz w:val="24"/>
          <w:szCs w:val="24"/>
        </w:rPr>
        <w:t>04/1</w:t>
      </w:r>
      <w:r w:rsidR="008E4954" w:rsidRPr="00E21C27">
        <w:rPr>
          <w:rFonts w:ascii="Arial" w:eastAsia="Arial" w:hAnsi="Arial" w:cs="Arial"/>
          <w:color w:val="000000"/>
          <w:sz w:val="24"/>
          <w:szCs w:val="24"/>
        </w:rPr>
        <w:t>5</w:t>
      </w:r>
      <w:r w:rsidR="002C0543" w:rsidRPr="00E21C27">
        <w:rPr>
          <w:rFonts w:ascii="Arial" w:eastAsia="Arial" w:hAnsi="Arial" w:cs="Arial"/>
          <w:color w:val="000000"/>
          <w:sz w:val="24"/>
          <w:szCs w:val="24"/>
        </w:rPr>
        <w:t xml:space="preserve"> </w:t>
      </w:r>
      <w:r w:rsidR="00CD4613" w:rsidRPr="00E21C27">
        <w:rPr>
          <w:rFonts w:ascii="Arial" w:eastAsia="Arial" w:hAnsi="Arial" w:cs="Arial"/>
          <w:color w:val="000000"/>
          <w:sz w:val="24"/>
          <w:szCs w:val="24"/>
        </w:rPr>
        <w:t>NW and was</w:t>
      </w:r>
      <w:r w:rsidR="001A492C" w:rsidRPr="00E21C27">
        <w:rPr>
          <w:rFonts w:ascii="Arial" w:eastAsia="Arial" w:hAnsi="Arial" w:cs="Arial"/>
          <w:color w:val="000000"/>
          <w:sz w:val="24"/>
          <w:szCs w:val="24"/>
        </w:rPr>
        <w:t xml:space="preserve"> duly paid therefore.</w:t>
      </w:r>
      <w:r w:rsidR="00342D5B" w:rsidRPr="00E21C27">
        <w:rPr>
          <w:rFonts w:ascii="Arial" w:eastAsia="Arial" w:hAnsi="Arial" w:cs="Arial"/>
          <w:color w:val="000000"/>
          <w:sz w:val="24"/>
          <w:szCs w:val="24"/>
        </w:rPr>
        <w:t xml:space="preserve"> </w:t>
      </w:r>
      <w:r w:rsidR="00CD4613" w:rsidRPr="00E21C27">
        <w:rPr>
          <w:rFonts w:ascii="Arial" w:eastAsia="Arial" w:hAnsi="Arial" w:cs="Arial"/>
          <w:color w:val="000000"/>
          <w:sz w:val="24"/>
          <w:szCs w:val="24"/>
        </w:rPr>
        <w:t>On 23 December 2016, p</w:t>
      </w:r>
      <w:r w:rsidR="001A492C" w:rsidRPr="00E21C27">
        <w:rPr>
          <w:rFonts w:ascii="Arial" w:eastAsia="Arial" w:hAnsi="Arial" w:cs="Arial"/>
          <w:color w:val="000000"/>
          <w:sz w:val="24"/>
          <w:szCs w:val="24"/>
        </w:rPr>
        <w:t>ursuant to the conclusion of the addendum</w:t>
      </w:r>
      <w:r w:rsidR="008E4954" w:rsidRPr="00E21C27">
        <w:rPr>
          <w:rFonts w:ascii="Arial" w:eastAsia="Arial" w:hAnsi="Arial" w:cs="Arial"/>
          <w:color w:val="000000"/>
          <w:sz w:val="24"/>
          <w:szCs w:val="24"/>
        </w:rPr>
        <w:t>,</w:t>
      </w:r>
      <w:r w:rsidR="001A492C" w:rsidRPr="00E21C27">
        <w:rPr>
          <w:rFonts w:ascii="Arial" w:eastAsia="Arial" w:hAnsi="Arial" w:cs="Arial"/>
          <w:color w:val="000000"/>
          <w:sz w:val="24"/>
          <w:szCs w:val="24"/>
        </w:rPr>
        <w:t xml:space="preserve"> </w:t>
      </w:r>
      <w:r w:rsidR="003E4EBE" w:rsidRPr="00E21C27">
        <w:rPr>
          <w:rFonts w:ascii="Arial" w:eastAsia="Arial" w:hAnsi="Arial" w:cs="Arial"/>
          <w:color w:val="000000"/>
          <w:sz w:val="24"/>
          <w:szCs w:val="24"/>
        </w:rPr>
        <w:t xml:space="preserve">KR Inc. </w:t>
      </w:r>
      <w:r w:rsidR="001A492C" w:rsidRPr="00E21C27">
        <w:rPr>
          <w:rFonts w:ascii="Arial" w:eastAsia="Arial" w:hAnsi="Arial" w:cs="Arial"/>
          <w:color w:val="000000"/>
          <w:sz w:val="24"/>
          <w:szCs w:val="24"/>
        </w:rPr>
        <w:t>issued its invoice to th</w:t>
      </w:r>
      <w:r w:rsidR="00CD4613" w:rsidRPr="00E21C27">
        <w:rPr>
          <w:rFonts w:ascii="Arial" w:eastAsia="Arial" w:hAnsi="Arial" w:cs="Arial"/>
          <w:color w:val="000000"/>
          <w:sz w:val="24"/>
          <w:szCs w:val="24"/>
        </w:rPr>
        <w:t xml:space="preserve">e </w:t>
      </w:r>
      <w:r w:rsidR="003E4EBE" w:rsidRPr="00E21C27">
        <w:rPr>
          <w:rFonts w:ascii="Arial" w:eastAsia="Arial" w:hAnsi="Arial" w:cs="Arial"/>
          <w:color w:val="000000"/>
          <w:sz w:val="24"/>
          <w:szCs w:val="24"/>
        </w:rPr>
        <w:t>Department</w:t>
      </w:r>
      <w:r w:rsidR="001A492C" w:rsidRPr="00E21C27">
        <w:rPr>
          <w:rFonts w:ascii="Arial" w:eastAsia="Arial" w:hAnsi="Arial" w:cs="Arial"/>
          <w:color w:val="000000"/>
          <w:sz w:val="24"/>
          <w:szCs w:val="24"/>
        </w:rPr>
        <w:t>. On 15 March 2017</w:t>
      </w:r>
      <w:r w:rsidR="003E4EBE" w:rsidRPr="00E21C27">
        <w:rPr>
          <w:rFonts w:ascii="Arial" w:eastAsia="Arial" w:hAnsi="Arial" w:cs="Arial"/>
          <w:color w:val="000000"/>
          <w:sz w:val="24"/>
          <w:szCs w:val="24"/>
        </w:rPr>
        <w:t>,</w:t>
      </w:r>
      <w:r w:rsidR="001A492C" w:rsidRPr="00E21C27">
        <w:rPr>
          <w:rFonts w:ascii="Arial" w:eastAsia="Arial" w:hAnsi="Arial" w:cs="Arial"/>
          <w:color w:val="000000"/>
          <w:sz w:val="24"/>
          <w:szCs w:val="24"/>
        </w:rPr>
        <w:t xml:space="preserve"> </w:t>
      </w:r>
      <w:r w:rsidR="003E4EBE" w:rsidRPr="00E21C27">
        <w:rPr>
          <w:rFonts w:ascii="Arial" w:eastAsia="Arial" w:hAnsi="Arial" w:cs="Arial"/>
          <w:color w:val="000000"/>
          <w:sz w:val="24"/>
          <w:szCs w:val="24"/>
        </w:rPr>
        <w:t xml:space="preserve">KR Inc. </w:t>
      </w:r>
      <w:r w:rsidR="001A492C" w:rsidRPr="00E21C27">
        <w:rPr>
          <w:rFonts w:ascii="Arial" w:eastAsia="Arial" w:hAnsi="Arial" w:cs="Arial"/>
          <w:color w:val="000000"/>
          <w:sz w:val="24"/>
          <w:szCs w:val="24"/>
        </w:rPr>
        <w:t>gave notice of its intention to institute legal proceedings in terms of s 3 of</w:t>
      </w:r>
      <w:r w:rsidR="00CB23D5" w:rsidRPr="00E21C27">
        <w:rPr>
          <w:rFonts w:ascii="Arial" w:eastAsia="Arial" w:hAnsi="Arial" w:cs="Arial"/>
          <w:color w:val="000000"/>
          <w:sz w:val="24"/>
          <w:szCs w:val="24"/>
        </w:rPr>
        <w:t xml:space="preserve"> </w:t>
      </w:r>
      <w:r w:rsidR="001A492C" w:rsidRPr="00E21C27">
        <w:rPr>
          <w:rFonts w:ascii="Arial" w:eastAsia="Arial" w:hAnsi="Arial" w:cs="Arial"/>
          <w:color w:val="000000"/>
          <w:sz w:val="24"/>
          <w:szCs w:val="24"/>
        </w:rPr>
        <w:t xml:space="preserve">the Institution of Legal Proceedings </w:t>
      </w:r>
      <w:r w:rsidR="008E4954" w:rsidRPr="00E21C27">
        <w:rPr>
          <w:rFonts w:ascii="Arial" w:eastAsia="Arial" w:hAnsi="Arial" w:cs="Arial"/>
          <w:color w:val="000000"/>
          <w:sz w:val="24"/>
          <w:szCs w:val="24"/>
        </w:rPr>
        <w:t>a</w:t>
      </w:r>
      <w:r w:rsidR="001A492C" w:rsidRPr="00E21C27">
        <w:rPr>
          <w:rFonts w:ascii="Arial" w:eastAsia="Arial" w:hAnsi="Arial" w:cs="Arial"/>
          <w:color w:val="000000"/>
          <w:sz w:val="24"/>
          <w:szCs w:val="24"/>
        </w:rPr>
        <w:t>gainst Certain Organs of State Act</w:t>
      </w:r>
      <w:r w:rsidR="00755AE4" w:rsidRPr="00E21C27">
        <w:rPr>
          <w:rFonts w:ascii="Arial" w:eastAsia="Arial" w:hAnsi="Arial" w:cs="Arial"/>
          <w:color w:val="000000"/>
          <w:sz w:val="24"/>
          <w:szCs w:val="24"/>
        </w:rPr>
        <w:t>.</w:t>
      </w:r>
      <w:r w:rsidR="00755AE4" w:rsidRPr="00E21C27">
        <w:rPr>
          <w:rStyle w:val="FootnoteReference"/>
          <w:rFonts w:ascii="Arial" w:eastAsia="Arial" w:hAnsi="Arial" w:cs="Arial"/>
          <w:color w:val="000000"/>
          <w:sz w:val="24"/>
          <w:szCs w:val="24"/>
        </w:rPr>
        <w:footnoteReference w:id="1"/>
      </w:r>
    </w:p>
    <w:p w:rsidR="001A492C" w:rsidRPr="00E21C27" w:rsidRDefault="001A492C" w:rsidP="0033770A">
      <w:pPr>
        <w:pStyle w:val="ListParagraph"/>
        <w:spacing w:after="0" w:line="360" w:lineRule="auto"/>
        <w:ind w:left="0"/>
        <w:jc w:val="both"/>
        <w:rPr>
          <w:rFonts w:ascii="Arial" w:eastAsia="Arial" w:hAnsi="Arial" w:cs="Arial"/>
          <w:color w:val="000000"/>
          <w:sz w:val="24"/>
          <w:szCs w:val="24"/>
        </w:rPr>
      </w:pPr>
    </w:p>
    <w:p w:rsidR="00DD2437"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t>[10]</w:t>
      </w:r>
      <w:r w:rsidRPr="00E21C27">
        <w:rPr>
          <w:rFonts w:ascii="Arial" w:eastAsia="Arial" w:hAnsi="Arial" w:cs="Arial"/>
          <w:color w:val="000000"/>
          <w:sz w:val="24"/>
          <w:szCs w:val="24"/>
        </w:rPr>
        <w:tab/>
      </w:r>
      <w:r w:rsidR="00DD2437" w:rsidRPr="00E21C27">
        <w:rPr>
          <w:rFonts w:ascii="Arial" w:eastAsia="Arial" w:hAnsi="Arial" w:cs="Arial"/>
          <w:color w:val="000000"/>
          <w:sz w:val="24"/>
          <w:szCs w:val="24"/>
        </w:rPr>
        <w:t>On 22 March 2017</w:t>
      </w:r>
      <w:r w:rsidR="008E4954" w:rsidRPr="00E21C27">
        <w:rPr>
          <w:rFonts w:ascii="Arial" w:eastAsia="Arial" w:hAnsi="Arial" w:cs="Arial"/>
          <w:color w:val="000000"/>
          <w:sz w:val="24"/>
          <w:szCs w:val="24"/>
        </w:rPr>
        <w:t>,</w:t>
      </w:r>
      <w:r w:rsidR="00DD2437" w:rsidRPr="00E21C27">
        <w:rPr>
          <w:rFonts w:ascii="Arial" w:eastAsia="Arial" w:hAnsi="Arial" w:cs="Arial"/>
          <w:color w:val="000000"/>
          <w:sz w:val="24"/>
          <w:szCs w:val="24"/>
        </w:rPr>
        <w:t xml:space="preserve"> </w:t>
      </w:r>
      <w:r w:rsidR="00A267F2" w:rsidRPr="00E21C27">
        <w:rPr>
          <w:rFonts w:ascii="Arial" w:eastAsia="Arial" w:hAnsi="Arial" w:cs="Arial"/>
          <w:color w:val="000000"/>
          <w:sz w:val="24"/>
          <w:szCs w:val="24"/>
        </w:rPr>
        <w:t xml:space="preserve">the Department wrote a letter of cancellation to </w:t>
      </w:r>
      <w:r w:rsidR="003E4EBE" w:rsidRPr="00E21C27">
        <w:rPr>
          <w:rFonts w:ascii="Arial" w:eastAsia="Arial" w:hAnsi="Arial" w:cs="Arial"/>
          <w:color w:val="000000"/>
          <w:sz w:val="24"/>
          <w:szCs w:val="24"/>
        </w:rPr>
        <w:t>KR I</w:t>
      </w:r>
      <w:r w:rsidR="00A267F2" w:rsidRPr="00E21C27">
        <w:rPr>
          <w:rFonts w:ascii="Arial" w:eastAsia="Arial" w:hAnsi="Arial" w:cs="Arial"/>
          <w:color w:val="000000"/>
          <w:sz w:val="24"/>
          <w:szCs w:val="24"/>
        </w:rPr>
        <w:t>nc.</w:t>
      </w:r>
      <w:r w:rsidR="00335546">
        <w:rPr>
          <w:rFonts w:ascii="Arial" w:eastAsia="Arial" w:hAnsi="Arial" w:cs="Arial"/>
          <w:color w:val="000000"/>
          <w:sz w:val="24"/>
          <w:szCs w:val="24"/>
        </w:rPr>
        <w:t xml:space="preserve"> </w:t>
      </w:r>
      <w:r w:rsidR="00A267F2" w:rsidRPr="00E21C27">
        <w:rPr>
          <w:rFonts w:ascii="Arial" w:eastAsia="Arial" w:hAnsi="Arial" w:cs="Arial"/>
          <w:color w:val="000000"/>
          <w:sz w:val="24"/>
          <w:szCs w:val="24"/>
        </w:rPr>
        <w:t xml:space="preserve"> </w:t>
      </w:r>
      <w:r w:rsidR="00E6533D" w:rsidRPr="00E21C27">
        <w:rPr>
          <w:rFonts w:ascii="Arial" w:eastAsia="Arial" w:hAnsi="Arial" w:cs="Arial"/>
          <w:color w:val="000000"/>
          <w:sz w:val="24"/>
          <w:szCs w:val="24"/>
        </w:rPr>
        <w:t xml:space="preserve"> </w:t>
      </w:r>
      <w:r w:rsidR="00335546">
        <w:rPr>
          <w:rFonts w:ascii="Arial" w:eastAsia="Arial" w:hAnsi="Arial" w:cs="Arial"/>
          <w:color w:val="000000"/>
          <w:sz w:val="24"/>
          <w:szCs w:val="24"/>
        </w:rPr>
        <w:t>a</w:t>
      </w:r>
      <w:r w:rsidR="00E6533D" w:rsidRPr="00E21C27">
        <w:rPr>
          <w:rFonts w:ascii="Arial" w:eastAsia="Arial" w:hAnsi="Arial" w:cs="Arial"/>
          <w:color w:val="000000"/>
          <w:sz w:val="24"/>
          <w:szCs w:val="24"/>
        </w:rPr>
        <w:t xml:space="preserve">dvising </w:t>
      </w:r>
      <w:r w:rsidR="003E4EBE" w:rsidRPr="00E21C27">
        <w:rPr>
          <w:rFonts w:ascii="Arial" w:eastAsia="Arial" w:hAnsi="Arial" w:cs="Arial"/>
          <w:color w:val="000000"/>
          <w:sz w:val="24"/>
          <w:szCs w:val="24"/>
        </w:rPr>
        <w:t xml:space="preserve">KR Inc. </w:t>
      </w:r>
      <w:r w:rsidR="00E6533D" w:rsidRPr="00E21C27">
        <w:rPr>
          <w:rFonts w:ascii="Arial" w:eastAsia="Arial" w:hAnsi="Arial" w:cs="Arial"/>
          <w:color w:val="000000"/>
          <w:sz w:val="24"/>
          <w:szCs w:val="24"/>
        </w:rPr>
        <w:t xml:space="preserve">that it had come to the Department’s attention that the addendum was invalid as it ‘encompassed new scope of work as well as [the] new terms and conditions different from the tender you responded to and [were] appointed for.’ </w:t>
      </w:r>
      <w:r w:rsidR="002119F7" w:rsidRPr="00E21C27">
        <w:rPr>
          <w:rFonts w:ascii="Arial" w:eastAsia="Arial" w:hAnsi="Arial" w:cs="Arial"/>
          <w:color w:val="000000"/>
          <w:sz w:val="24"/>
          <w:szCs w:val="24"/>
        </w:rPr>
        <w:t xml:space="preserve">The </w:t>
      </w:r>
      <w:r w:rsidR="003E4EBE" w:rsidRPr="00E21C27">
        <w:rPr>
          <w:rFonts w:ascii="Arial" w:eastAsia="Arial" w:hAnsi="Arial" w:cs="Arial"/>
          <w:color w:val="000000"/>
          <w:sz w:val="24"/>
          <w:szCs w:val="24"/>
        </w:rPr>
        <w:t xml:space="preserve">Department </w:t>
      </w:r>
      <w:r w:rsidR="002119F7" w:rsidRPr="00E21C27">
        <w:rPr>
          <w:rFonts w:ascii="Arial" w:eastAsia="Arial" w:hAnsi="Arial" w:cs="Arial"/>
          <w:color w:val="000000"/>
          <w:sz w:val="24"/>
          <w:szCs w:val="24"/>
        </w:rPr>
        <w:t xml:space="preserve">sought that </w:t>
      </w:r>
      <w:r w:rsidR="003E4EBE" w:rsidRPr="00E21C27">
        <w:rPr>
          <w:rFonts w:ascii="Arial" w:eastAsia="Arial" w:hAnsi="Arial" w:cs="Arial"/>
          <w:color w:val="000000"/>
          <w:sz w:val="24"/>
          <w:szCs w:val="24"/>
        </w:rPr>
        <w:t xml:space="preserve">KR Inc. </w:t>
      </w:r>
      <w:r w:rsidR="002119F7" w:rsidRPr="00E21C27">
        <w:rPr>
          <w:rFonts w:ascii="Arial" w:eastAsia="Arial" w:hAnsi="Arial" w:cs="Arial"/>
          <w:color w:val="000000"/>
          <w:sz w:val="24"/>
          <w:szCs w:val="24"/>
        </w:rPr>
        <w:t xml:space="preserve">give reasons </w:t>
      </w:r>
      <w:r w:rsidR="008E4954" w:rsidRPr="00E21C27">
        <w:rPr>
          <w:rFonts w:ascii="Arial" w:eastAsia="Arial" w:hAnsi="Arial" w:cs="Arial"/>
          <w:color w:val="000000"/>
          <w:sz w:val="24"/>
          <w:szCs w:val="24"/>
        </w:rPr>
        <w:t>with</w:t>
      </w:r>
      <w:r w:rsidR="002119F7" w:rsidRPr="00E21C27">
        <w:rPr>
          <w:rFonts w:ascii="Arial" w:eastAsia="Arial" w:hAnsi="Arial" w:cs="Arial"/>
          <w:color w:val="000000"/>
          <w:sz w:val="24"/>
          <w:szCs w:val="24"/>
        </w:rPr>
        <w:t>in</w:t>
      </w:r>
      <w:r w:rsidR="008E4954" w:rsidRPr="00E21C27">
        <w:rPr>
          <w:rFonts w:ascii="Arial" w:eastAsia="Arial" w:hAnsi="Arial" w:cs="Arial"/>
          <w:color w:val="000000"/>
          <w:sz w:val="24"/>
          <w:szCs w:val="24"/>
        </w:rPr>
        <w:t xml:space="preserve"> 14</w:t>
      </w:r>
      <w:r w:rsidR="002119F7" w:rsidRPr="00E21C27">
        <w:rPr>
          <w:rFonts w:ascii="Arial" w:eastAsia="Arial" w:hAnsi="Arial" w:cs="Arial"/>
          <w:color w:val="000000"/>
          <w:sz w:val="24"/>
          <w:szCs w:val="24"/>
        </w:rPr>
        <w:t xml:space="preserve"> days</w:t>
      </w:r>
      <w:r w:rsidR="008E4954" w:rsidRPr="00E21C27">
        <w:rPr>
          <w:rFonts w:ascii="Arial" w:eastAsia="Arial" w:hAnsi="Arial" w:cs="Arial"/>
          <w:color w:val="000000"/>
          <w:sz w:val="24"/>
          <w:szCs w:val="24"/>
        </w:rPr>
        <w:t>,</w:t>
      </w:r>
      <w:r w:rsidR="002119F7" w:rsidRPr="00E21C27">
        <w:rPr>
          <w:rFonts w:ascii="Arial" w:eastAsia="Arial" w:hAnsi="Arial" w:cs="Arial"/>
          <w:color w:val="000000"/>
          <w:sz w:val="24"/>
          <w:szCs w:val="24"/>
        </w:rPr>
        <w:t xml:space="preserve"> as to why the addendum should not be termin</w:t>
      </w:r>
      <w:r w:rsidR="003E4EBE" w:rsidRPr="00E21C27">
        <w:rPr>
          <w:rFonts w:ascii="Arial" w:eastAsia="Arial" w:hAnsi="Arial" w:cs="Arial"/>
          <w:color w:val="000000"/>
          <w:sz w:val="24"/>
          <w:szCs w:val="24"/>
        </w:rPr>
        <w:t>ated. According to KR Inc.</w:t>
      </w:r>
      <w:r w:rsidR="008E4954" w:rsidRPr="00E21C27">
        <w:rPr>
          <w:rFonts w:ascii="Arial" w:eastAsia="Arial" w:hAnsi="Arial" w:cs="Arial"/>
          <w:color w:val="000000"/>
          <w:sz w:val="24"/>
          <w:szCs w:val="24"/>
        </w:rPr>
        <w:t>,</w:t>
      </w:r>
      <w:r w:rsidR="002119F7" w:rsidRPr="00E21C27">
        <w:rPr>
          <w:rFonts w:ascii="Arial" w:eastAsia="Arial" w:hAnsi="Arial" w:cs="Arial"/>
          <w:color w:val="000000"/>
          <w:sz w:val="24"/>
          <w:szCs w:val="24"/>
        </w:rPr>
        <w:t xml:space="preserve"> this letter </w:t>
      </w:r>
      <w:r w:rsidR="00E6533D" w:rsidRPr="00E21C27">
        <w:rPr>
          <w:rFonts w:ascii="Arial" w:eastAsia="Arial" w:hAnsi="Arial" w:cs="Arial"/>
          <w:color w:val="000000"/>
          <w:sz w:val="24"/>
          <w:szCs w:val="24"/>
        </w:rPr>
        <w:t xml:space="preserve">of cancellation </w:t>
      </w:r>
      <w:r w:rsidR="003E4EBE" w:rsidRPr="00E21C27">
        <w:rPr>
          <w:rFonts w:ascii="Arial" w:eastAsia="Arial" w:hAnsi="Arial" w:cs="Arial"/>
          <w:color w:val="000000"/>
          <w:sz w:val="24"/>
          <w:szCs w:val="24"/>
        </w:rPr>
        <w:t>repudiated</w:t>
      </w:r>
      <w:r w:rsidR="002119F7" w:rsidRPr="00E21C27">
        <w:rPr>
          <w:rFonts w:ascii="Arial" w:eastAsia="Arial" w:hAnsi="Arial" w:cs="Arial"/>
          <w:color w:val="000000"/>
          <w:sz w:val="24"/>
          <w:szCs w:val="24"/>
        </w:rPr>
        <w:t xml:space="preserve"> the addendum</w:t>
      </w:r>
      <w:r w:rsidR="008E4954" w:rsidRPr="00E21C27">
        <w:rPr>
          <w:rFonts w:ascii="Arial" w:eastAsia="Arial" w:hAnsi="Arial" w:cs="Arial"/>
          <w:color w:val="000000"/>
          <w:sz w:val="24"/>
          <w:szCs w:val="24"/>
        </w:rPr>
        <w:t>,</w:t>
      </w:r>
      <w:r w:rsidR="002119F7" w:rsidRPr="00E21C27">
        <w:rPr>
          <w:rFonts w:ascii="Arial" w:eastAsia="Arial" w:hAnsi="Arial" w:cs="Arial"/>
          <w:color w:val="000000"/>
          <w:sz w:val="24"/>
          <w:szCs w:val="24"/>
        </w:rPr>
        <w:t xml:space="preserve"> which it so accepted. </w:t>
      </w:r>
      <w:r w:rsidR="00DD2437" w:rsidRPr="00E21C27">
        <w:rPr>
          <w:rFonts w:ascii="Arial" w:eastAsia="Arial" w:hAnsi="Arial" w:cs="Arial"/>
          <w:color w:val="000000"/>
          <w:sz w:val="24"/>
          <w:szCs w:val="24"/>
        </w:rPr>
        <w:t>Consequently, on 1 November 2017</w:t>
      </w:r>
      <w:r w:rsidR="003E4EBE" w:rsidRPr="00E21C27">
        <w:rPr>
          <w:rFonts w:ascii="Arial" w:eastAsia="Arial" w:hAnsi="Arial" w:cs="Arial"/>
          <w:color w:val="000000"/>
          <w:sz w:val="24"/>
          <w:szCs w:val="24"/>
        </w:rPr>
        <w:t>, KR Inc.</w:t>
      </w:r>
      <w:r w:rsidR="00DD2437" w:rsidRPr="00E21C27">
        <w:rPr>
          <w:rFonts w:ascii="Arial" w:eastAsia="Arial" w:hAnsi="Arial" w:cs="Arial"/>
          <w:color w:val="000000"/>
          <w:sz w:val="24"/>
          <w:szCs w:val="24"/>
        </w:rPr>
        <w:t xml:space="preserve"> served a summons </w:t>
      </w:r>
      <w:r w:rsidR="003E4EBE" w:rsidRPr="00E21C27">
        <w:rPr>
          <w:rFonts w:ascii="Arial" w:eastAsia="Arial" w:hAnsi="Arial" w:cs="Arial"/>
          <w:color w:val="000000"/>
          <w:sz w:val="24"/>
          <w:szCs w:val="24"/>
        </w:rPr>
        <w:t xml:space="preserve">for damages </w:t>
      </w:r>
      <w:r w:rsidR="00887084" w:rsidRPr="00E21C27">
        <w:rPr>
          <w:rFonts w:ascii="Arial" w:eastAsia="Arial" w:hAnsi="Arial" w:cs="Arial"/>
          <w:color w:val="000000"/>
          <w:sz w:val="24"/>
          <w:szCs w:val="24"/>
        </w:rPr>
        <w:t xml:space="preserve">on </w:t>
      </w:r>
      <w:r w:rsidR="003E4EBE" w:rsidRPr="00E21C27">
        <w:rPr>
          <w:rFonts w:ascii="Arial" w:eastAsia="Arial" w:hAnsi="Arial" w:cs="Arial"/>
          <w:color w:val="000000"/>
          <w:sz w:val="24"/>
          <w:szCs w:val="24"/>
        </w:rPr>
        <w:t xml:space="preserve">the Department </w:t>
      </w:r>
      <w:r w:rsidR="00887084" w:rsidRPr="00E21C27">
        <w:rPr>
          <w:rFonts w:ascii="Arial" w:eastAsia="Arial" w:hAnsi="Arial" w:cs="Arial"/>
          <w:color w:val="000000"/>
          <w:sz w:val="24"/>
          <w:szCs w:val="24"/>
        </w:rPr>
        <w:t>for</w:t>
      </w:r>
      <w:r w:rsidR="003E4EBE" w:rsidRPr="00E21C27">
        <w:rPr>
          <w:rFonts w:ascii="Arial" w:eastAsia="Arial" w:hAnsi="Arial" w:cs="Arial"/>
          <w:color w:val="000000"/>
          <w:sz w:val="24"/>
          <w:szCs w:val="24"/>
        </w:rPr>
        <w:t xml:space="preserve"> </w:t>
      </w:r>
      <w:r w:rsidR="00887084" w:rsidRPr="00E21C27">
        <w:rPr>
          <w:rFonts w:ascii="Arial" w:eastAsia="Arial" w:hAnsi="Arial" w:cs="Arial"/>
          <w:color w:val="000000"/>
          <w:sz w:val="24"/>
          <w:szCs w:val="24"/>
        </w:rPr>
        <w:t xml:space="preserve">repudiating </w:t>
      </w:r>
      <w:r w:rsidR="003E4EBE" w:rsidRPr="00E21C27">
        <w:rPr>
          <w:rFonts w:ascii="Arial" w:eastAsia="Arial" w:hAnsi="Arial" w:cs="Arial"/>
          <w:color w:val="000000"/>
          <w:sz w:val="24"/>
          <w:szCs w:val="24"/>
        </w:rPr>
        <w:t xml:space="preserve">the contract. </w:t>
      </w:r>
    </w:p>
    <w:p w:rsidR="00DD2437" w:rsidRPr="00E21C27" w:rsidRDefault="00DD2437" w:rsidP="0033770A">
      <w:pPr>
        <w:pStyle w:val="ListParagraph"/>
        <w:spacing w:after="0" w:line="360" w:lineRule="auto"/>
        <w:ind w:left="0"/>
        <w:jc w:val="both"/>
        <w:rPr>
          <w:rFonts w:ascii="Arial" w:eastAsia="Arial" w:hAnsi="Arial" w:cs="Arial"/>
          <w:color w:val="000000"/>
          <w:sz w:val="24"/>
          <w:szCs w:val="24"/>
        </w:rPr>
      </w:pPr>
    </w:p>
    <w:p w:rsidR="00DF3427"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t>[11]</w:t>
      </w:r>
      <w:r w:rsidRPr="00E21C27">
        <w:rPr>
          <w:rFonts w:ascii="Arial" w:eastAsia="Arial" w:hAnsi="Arial" w:cs="Arial"/>
          <w:color w:val="000000"/>
          <w:sz w:val="24"/>
          <w:szCs w:val="24"/>
        </w:rPr>
        <w:tab/>
      </w:r>
      <w:r w:rsidR="00887084" w:rsidRPr="00E21C27">
        <w:rPr>
          <w:rFonts w:ascii="Arial" w:eastAsia="Arial" w:hAnsi="Arial" w:cs="Arial"/>
          <w:color w:val="000000"/>
          <w:sz w:val="24"/>
          <w:szCs w:val="24"/>
        </w:rPr>
        <w:t>KR Inc.’s</w:t>
      </w:r>
      <w:r w:rsidR="001A492C" w:rsidRPr="00E21C27">
        <w:rPr>
          <w:rFonts w:ascii="Arial" w:eastAsia="Arial" w:hAnsi="Arial" w:cs="Arial"/>
          <w:color w:val="000000"/>
          <w:sz w:val="24"/>
          <w:szCs w:val="24"/>
        </w:rPr>
        <w:t xml:space="preserve"> </w:t>
      </w:r>
      <w:r w:rsidR="00FB6451" w:rsidRPr="00E21C27">
        <w:rPr>
          <w:rFonts w:ascii="Arial" w:eastAsia="Arial" w:hAnsi="Arial" w:cs="Arial"/>
          <w:color w:val="000000"/>
          <w:sz w:val="24"/>
          <w:szCs w:val="24"/>
        </w:rPr>
        <w:t>pa</w:t>
      </w:r>
      <w:r w:rsidR="00887084" w:rsidRPr="00E21C27">
        <w:rPr>
          <w:rFonts w:ascii="Arial" w:eastAsia="Arial" w:hAnsi="Arial" w:cs="Arial"/>
          <w:color w:val="000000"/>
          <w:sz w:val="24"/>
          <w:szCs w:val="24"/>
        </w:rPr>
        <w:t xml:space="preserve">rticulars of claim, </w:t>
      </w:r>
      <w:r w:rsidR="00DD2437" w:rsidRPr="00E21C27">
        <w:rPr>
          <w:rFonts w:ascii="Arial" w:eastAsia="Arial" w:hAnsi="Arial" w:cs="Arial"/>
          <w:color w:val="000000"/>
          <w:sz w:val="24"/>
          <w:szCs w:val="24"/>
        </w:rPr>
        <w:t>in relation to the addendum</w:t>
      </w:r>
      <w:r w:rsidR="001A492C" w:rsidRPr="00E21C27">
        <w:rPr>
          <w:rFonts w:ascii="Arial" w:eastAsia="Arial" w:hAnsi="Arial" w:cs="Arial"/>
          <w:color w:val="000000"/>
          <w:sz w:val="24"/>
          <w:szCs w:val="24"/>
        </w:rPr>
        <w:t xml:space="preserve">, </w:t>
      </w:r>
      <w:r w:rsidR="00887084" w:rsidRPr="00E21C27">
        <w:rPr>
          <w:rFonts w:ascii="Arial" w:eastAsia="Arial" w:hAnsi="Arial" w:cs="Arial"/>
          <w:color w:val="000000"/>
          <w:sz w:val="24"/>
          <w:szCs w:val="24"/>
        </w:rPr>
        <w:t>alleges that it</w:t>
      </w:r>
      <w:r w:rsidR="00B12F95" w:rsidRPr="00E21C27">
        <w:rPr>
          <w:rFonts w:ascii="Arial" w:eastAsia="Arial" w:hAnsi="Arial" w:cs="Arial"/>
          <w:color w:val="000000"/>
          <w:sz w:val="24"/>
          <w:szCs w:val="24"/>
        </w:rPr>
        <w:t xml:space="preserve"> was concluded in order ‘to secure the proper and efficient distribution of LTSM throughout the province before the start of the 2016 school year.’ Further, that the services set out in the addendum ‘flowed from’ the tender </w:t>
      </w:r>
      <w:r w:rsidR="0092529C" w:rsidRPr="00E21C27">
        <w:rPr>
          <w:rFonts w:ascii="Arial" w:eastAsia="Arial" w:hAnsi="Arial" w:cs="Arial"/>
          <w:color w:val="000000"/>
          <w:sz w:val="24"/>
          <w:szCs w:val="24"/>
        </w:rPr>
        <w:t xml:space="preserve">EDU </w:t>
      </w:r>
      <w:r w:rsidR="00B12F95" w:rsidRPr="00E21C27">
        <w:rPr>
          <w:rFonts w:ascii="Arial" w:eastAsia="Arial" w:hAnsi="Arial" w:cs="Arial"/>
          <w:color w:val="000000"/>
          <w:sz w:val="24"/>
          <w:szCs w:val="24"/>
        </w:rPr>
        <w:t>04/15 NW which h</w:t>
      </w:r>
      <w:r w:rsidR="003516DD" w:rsidRPr="00E21C27">
        <w:rPr>
          <w:rFonts w:ascii="Arial" w:eastAsia="Arial" w:hAnsi="Arial" w:cs="Arial"/>
          <w:color w:val="000000"/>
          <w:sz w:val="24"/>
          <w:szCs w:val="24"/>
        </w:rPr>
        <w:t>ad been awarded to KR Inc</w:t>
      </w:r>
      <w:r w:rsidR="00B12F95" w:rsidRPr="00E21C27">
        <w:rPr>
          <w:rFonts w:ascii="Arial" w:eastAsia="Arial" w:hAnsi="Arial" w:cs="Arial"/>
          <w:color w:val="000000"/>
          <w:sz w:val="24"/>
          <w:szCs w:val="24"/>
        </w:rPr>
        <w:t xml:space="preserve">. </w:t>
      </w:r>
      <w:r w:rsidR="00F51A01" w:rsidRPr="00E21C27">
        <w:rPr>
          <w:rFonts w:ascii="Arial" w:eastAsia="Arial" w:hAnsi="Arial" w:cs="Arial"/>
          <w:color w:val="000000"/>
          <w:sz w:val="24"/>
          <w:szCs w:val="24"/>
        </w:rPr>
        <w:t>In addition hereto</w:t>
      </w:r>
      <w:r w:rsidR="00F06572" w:rsidRPr="00E21C27">
        <w:rPr>
          <w:rFonts w:ascii="Arial" w:eastAsia="Arial" w:hAnsi="Arial" w:cs="Arial"/>
          <w:color w:val="000000"/>
          <w:sz w:val="24"/>
          <w:szCs w:val="24"/>
        </w:rPr>
        <w:t xml:space="preserve">, </w:t>
      </w:r>
      <w:r w:rsidR="003516DD" w:rsidRPr="00E21C27">
        <w:rPr>
          <w:rFonts w:ascii="Arial" w:eastAsia="Arial" w:hAnsi="Arial" w:cs="Arial"/>
          <w:color w:val="000000"/>
          <w:sz w:val="24"/>
          <w:szCs w:val="24"/>
        </w:rPr>
        <w:t xml:space="preserve">KR Inc. </w:t>
      </w:r>
      <w:r w:rsidR="00B12F95" w:rsidRPr="00E21C27">
        <w:rPr>
          <w:rFonts w:ascii="Arial" w:eastAsia="Arial" w:hAnsi="Arial" w:cs="Arial"/>
          <w:color w:val="000000"/>
          <w:sz w:val="24"/>
          <w:szCs w:val="24"/>
        </w:rPr>
        <w:t>pleaded in the alternative that through the addendum</w:t>
      </w:r>
      <w:r w:rsidR="00F1126D" w:rsidRPr="00E21C27">
        <w:rPr>
          <w:rFonts w:ascii="Arial" w:eastAsia="Arial" w:hAnsi="Arial" w:cs="Arial"/>
          <w:color w:val="000000"/>
          <w:sz w:val="24"/>
          <w:szCs w:val="24"/>
        </w:rPr>
        <w:t>,</w:t>
      </w:r>
      <w:r w:rsidR="00B12F95" w:rsidRPr="00E21C27">
        <w:rPr>
          <w:rFonts w:ascii="Arial" w:eastAsia="Arial" w:hAnsi="Arial" w:cs="Arial"/>
          <w:color w:val="000000"/>
          <w:sz w:val="24"/>
          <w:szCs w:val="24"/>
        </w:rPr>
        <w:t xml:space="preserve"> a single source procurement arose which dealt with additional work that could not be separated from the work assigned under the </w:t>
      </w:r>
      <w:r w:rsidR="00102FCA" w:rsidRPr="00E21C27">
        <w:rPr>
          <w:rFonts w:ascii="Arial" w:eastAsia="Arial" w:hAnsi="Arial" w:cs="Arial"/>
          <w:color w:val="000000"/>
          <w:sz w:val="24"/>
          <w:szCs w:val="24"/>
        </w:rPr>
        <w:t>SLA</w:t>
      </w:r>
      <w:r w:rsidR="00B12F95" w:rsidRPr="00E21C27">
        <w:rPr>
          <w:rFonts w:ascii="Arial" w:eastAsia="Arial" w:hAnsi="Arial" w:cs="Arial"/>
          <w:color w:val="000000"/>
          <w:sz w:val="24"/>
          <w:szCs w:val="24"/>
        </w:rPr>
        <w:t xml:space="preserve"> without great inconvenience</w:t>
      </w:r>
      <w:r w:rsidR="003516DD" w:rsidRPr="00E21C27">
        <w:rPr>
          <w:rFonts w:ascii="Arial" w:eastAsia="Arial" w:hAnsi="Arial" w:cs="Arial"/>
          <w:color w:val="000000"/>
          <w:sz w:val="24"/>
          <w:szCs w:val="24"/>
        </w:rPr>
        <w:t>. T</w:t>
      </w:r>
      <w:r w:rsidR="005B21D2" w:rsidRPr="00E21C27">
        <w:rPr>
          <w:rFonts w:ascii="Arial" w:eastAsia="Arial" w:hAnsi="Arial" w:cs="Arial"/>
          <w:color w:val="000000"/>
          <w:sz w:val="24"/>
          <w:szCs w:val="24"/>
        </w:rPr>
        <w:t xml:space="preserve">his was necessitated by the emergency situation that the </w:t>
      </w:r>
      <w:r w:rsidR="00B607B9">
        <w:rPr>
          <w:rFonts w:ascii="Arial" w:eastAsia="Arial" w:hAnsi="Arial" w:cs="Arial"/>
          <w:color w:val="000000"/>
          <w:sz w:val="24"/>
          <w:szCs w:val="24"/>
        </w:rPr>
        <w:t>P</w:t>
      </w:r>
      <w:r w:rsidR="005B21D2" w:rsidRPr="00E21C27">
        <w:rPr>
          <w:rFonts w:ascii="Arial" w:eastAsia="Arial" w:hAnsi="Arial" w:cs="Arial"/>
          <w:color w:val="000000"/>
          <w:sz w:val="24"/>
          <w:szCs w:val="24"/>
        </w:rPr>
        <w:t>rovince found itself in</w:t>
      </w:r>
      <w:r w:rsidR="004863C2" w:rsidRPr="00E21C27">
        <w:rPr>
          <w:rFonts w:ascii="Arial" w:eastAsia="Arial" w:hAnsi="Arial" w:cs="Arial"/>
          <w:color w:val="000000"/>
          <w:sz w:val="24"/>
          <w:szCs w:val="24"/>
        </w:rPr>
        <w:t>,</w:t>
      </w:r>
      <w:r w:rsidR="005B21D2" w:rsidRPr="00E21C27">
        <w:rPr>
          <w:rFonts w:ascii="Arial" w:eastAsia="Arial" w:hAnsi="Arial" w:cs="Arial"/>
          <w:color w:val="000000"/>
          <w:sz w:val="24"/>
          <w:szCs w:val="24"/>
        </w:rPr>
        <w:t xml:space="preserve"> to deliver the LTSM to the schools before the commencement of the 2016 school year.</w:t>
      </w:r>
    </w:p>
    <w:p w:rsidR="00DF3427" w:rsidRPr="00E21C27" w:rsidRDefault="00DF3427" w:rsidP="0033770A">
      <w:pPr>
        <w:pStyle w:val="ListParagraph"/>
        <w:spacing w:line="360" w:lineRule="auto"/>
        <w:ind w:left="0"/>
        <w:jc w:val="both"/>
        <w:rPr>
          <w:rFonts w:ascii="Arial" w:eastAsia="Arial" w:hAnsi="Arial" w:cs="Arial"/>
          <w:color w:val="000000"/>
          <w:sz w:val="24"/>
          <w:szCs w:val="24"/>
        </w:rPr>
      </w:pPr>
    </w:p>
    <w:p w:rsidR="00B12F95"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t>[12]</w:t>
      </w:r>
      <w:r w:rsidRPr="00E21C27">
        <w:rPr>
          <w:rFonts w:ascii="Arial" w:eastAsia="Arial" w:hAnsi="Arial" w:cs="Arial"/>
          <w:color w:val="000000"/>
          <w:sz w:val="24"/>
          <w:szCs w:val="24"/>
        </w:rPr>
        <w:tab/>
      </w:r>
      <w:r w:rsidR="00887084" w:rsidRPr="00E21C27">
        <w:rPr>
          <w:rFonts w:ascii="Arial" w:eastAsia="Arial" w:hAnsi="Arial" w:cs="Arial"/>
          <w:color w:val="000000"/>
          <w:sz w:val="24"/>
          <w:szCs w:val="24"/>
        </w:rPr>
        <w:t>The Departments</w:t>
      </w:r>
      <w:r w:rsidR="00D14B68" w:rsidRPr="00E21C27">
        <w:rPr>
          <w:rFonts w:ascii="Arial" w:eastAsia="Arial" w:hAnsi="Arial" w:cs="Arial"/>
          <w:color w:val="000000"/>
          <w:sz w:val="24"/>
          <w:szCs w:val="24"/>
        </w:rPr>
        <w:t xml:space="preserve"> case was simply that the addendum was concluded without </w:t>
      </w:r>
      <w:r w:rsidR="00DF3427" w:rsidRPr="00E21C27">
        <w:rPr>
          <w:rFonts w:ascii="Arial" w:eastAsia="Arial" w:hAnsi="Arial" w:cs="Arial"/>
          <w:color w:val="000000"/>
          <w:sz w:val="24"/>
          <w:szCs w:val="24"/>
        </w:rPr>
        <w:t>complying</w:t>
      </w:r>
      <w:r w:rsidR="00D14B68" w:rsidRPr="00E21C27">
        <w:rPr>
          <w:rFonts w:ascii="Arial" w:eastAsia="Arial" w:hAnsi="Arial" w:cs="Arial"/>
          <w:color w:val="000000"/>
          <w:sz w:val="24"/>
          <w:szCs w:val="24"/>
        </w:rPr>
        <w:t xml:space="preserve"> with the procurement prescripts and as such</w:t>
      </w:r>
      <w:r w:rsidR="00102FCA" w:rsidRPr="00E21C27">
        <w:rPr>
          <w:rFonts w:ascii="Arial" w:eastAsia="Arial" w:hAnsi="Arial" w:cs="Arial"/>
          <w:color w:val="000000"/>
          <w:sz w:val="24"/>
          <w:szCs w:val="24"/>
        </w:rPr>
        <w:t>,</w:t>
      </w:r>
      <w:r w:rsidR="00D14B68" w:rsidRPr="00E21C27">
        <w:rPr>
          <w:rFonts w:ascii="Arial" w:eastAsia="Arial" w:hAnsi="Arial" w:cs="Arial"/>
          <w:color w:val="000000"/>
          <w:sz w:val="24"/>
          <w:szCs w:val="24"/>
        </w:rPr>
        <w:t xml:space="preserve"> it sought that the contract be declared unlawful and invalid. </w:t>
      </w:r>
      <w:r w:rsidR="00887084" w:rsidRPr="00E21C27">
        <w:rPr>
          <w:rFonts w:ascii="Arial" w:eastAsia="Arial" w:hAnsi="Arial" w:cs="Arial"/>
          <w:color w:val="000000"/>
          <w:sz w:val="24"/>
          <w:szCs w:val="24"/>
        </w:rPr>
        <w:t xml:space="preserve">It </w:t>
      </w:r>
      <w:r w:rsidR="00DF3427" w:rsidRPr="00E21C27">
        <w:rPr>
          <w:rFonts w:ascii="Arial" w:eastAsia="Arial" w:hAnsi="Arial" w:cs="Arial"/>
          <w:color w:val="000000"/>
          <w:sz w:val="24"/>
          <w:szCs w:val="24"/>
        </w:rPr>
        <w:t>specifically pleaded that the addendum was concluded in contravention of s 217 of the Constitution</w:t>
      </w:r>
      <w:r w:rsidR="006F1F9B" w:rsidRPr="00E21C27">
        <w:t xml:space="preserve"> </w:t>
      </w:r>
      <w:r w:rsidR="006F1F9B" w:rsidRPr="00E21C27">
        <w:rPr>
          <w:rFonts w:ascii="Arial" w:eastAsia="Arial" w:hAnsi="Arial" w:cs="Arial"/>
          <w:color w:val="000000"/>
          <w:sz w:val="24"/>
          <w:szCs w:val="24"/>
        </w:rPr>
        <w:t>of the Republic of South Africa</w:t>
      </w:r>
      <w:r w:rsidR="006F1F9B" w:rsidRPr="00E21C27">
        <w:rPr>
          <w:rStyle w:val="FootnoteReference"/>
          <w:rFonts w:ascii="Arial" w:eastAsia="Arial" w:hAnsi="Arial" w:cs="Arial"/>
          <w:color w:val="000000"/>
          <w:sz w:val="24"/>
          <w:szCs w:val="24"/>
        </w:rPr>
        <w:footnoteReference w:id="2"/>
      </w:r>
      <w:r w:rsidR="00102FCA" w:rsidRPr="00E21C27">
        <w:rPr>
          <w:rFonts w:ascii="Arial" w:eastAsia="Arial" w:hAnsi="Arial" w:cs="Arial"/>
          <w:color w:val="000000"/>
          <w:sz w:val="24"/>
          <w:szCs w:val="24"/>
        </w:rPr>
        <w:t xml:space="preserve"> (</w:t>
      </w:r>
      <w:r w:rsidR="006F1F9B" w:rsidRPr="00E21C27">
        <w:rPr>
          <w:rFonts w:ascii="Arial" w:eastAsia="Arial" w:hAnsi="Arial" w:cs="Arial"/>
          <w:color w:val="000000"/>
          <w:sz w:val="24"/>
          <w:szCs w:val="24"/>
        </w:rPr>
        <w:t xml:space="preserve">the </w:t>
      </w:r>
      <w:r w:rsidR="006F1F9B" w:rsidRPr="00E21C27">
        <w:rPr>
          <w:rFonts w:ascii="Arial" w:eastAsia="Arial" w:hAnsi="Arial" w:cs="Arial"/>
          <w:color w:val="000000"/>
          <w:sz w:val="24"/>
          <w:szCs w:val="24"/>
        </w:rPr>
        <w:lastRenderedPageBreak/>
        <w:t xml:space="preserve">Constitution), </w:t>
      </w:r>
      <w:r w:rsidR="00DF3427" w:rsidRPr="00E21C27">
        <w:rPr>
          <w:rFonts w:ascii="Arial" w:eastAsia="Arial" w:hAnsi="Arial" w:cs="Arial"/>
          <w:color w:val="000000"/>
          <w:sz w:val="24"/>
          <w:szCs w:val="24"/>
        </w:rPr>
        <w:t>Regulation</w:t>
      </w:r>
      <w:r w:rsidR="00F1126D" w:rsidRPr="00E21C27">
        <w:rPr>
          <w:rFonts w:ascii="Arial" w:eastAsia="Arial" w:hAnsi="Arial" w:cs="Arial"/>
          <w:color w:val="000000"/>
          <w:sz w:val="24"/>
          <w:szCs w:val="24"/>
        </w:rPr>
        <w:t xml:space="preserve"> </w:t>
      </w:r>
      <w:r w:rsidR="00934923" w:rsidRPr="00E21C27">
        <w:rPr>
          <w:rFonts w:ascii="Arial" w:eastAsia="Arial" w:hAnsi="Arial" w:cs="Arial"/>
          <w:color w:val="000000"/>
          <w:sz w:val="24"/>
          <w:szCs w:val="24"/>
        </w:rPr>
        <w:t>16A of the Treasury Regulations issued in terms of the Public Finance Management Act</w:t>
      </w:r>
      <w:r w:rsidR="00CA1006" w:rsidRPr="00E21C27">
        <w:rPr>
          <w:rStyle w:val="FootnoteReference"/>
          <w:rFonts w:ascii="Arial" w:eastAsia="Arial" w:hAnsi="Arial" w:cs="Arial"/>
          <w:color w:val="000000"/>
          <w:sz w:val="24"/>
          <w:szCs w:val="24"/>
        </w:rPr>
        <w:footnoteReference w:id="3"/>
      </w:r>
      <w:r w:rsidR="00102FCA" w:rsidRPr="00E21C27">
        <w:rPr>
          <w:rFonts w:ascii="Arial" w:eastAsia="Arial" w:hAnsi="Arial" w:cs="Arial"/>
          <w:color w:val="000000"/>
          <w:sz w:val="24"/>
          <w:szCs w:val="24"/>
        </w:rPr>
        <w:t xml:space="preserve"> </w:t>
      </w:r>
      <w:r w:rsidR="00CA1006" w:rsidRPr="00E21C27">
        <w:rPr>
          <w:rFonts w:ascii="Arial" w:eastAsia="Arial" w:hAnsi="Arial" w:cs="Arial"/>
          <w:color w:val="000000"/>
          <w:sz w:val="24"/>
          <w:szCs w:val="24"/>
        </w:rPr>
        <w:t>(PFMA)</w:t>
      </w:r>
      <w:r w:rsidR="0033770A" w:rsidRPr="00E21C27">
        <w:rPr>
          <w:rFonts w:ascii="Arial" w:eastAsia="Arial" w:hAnsi="Arial" w:cs="Arial"/>
          <w:color w:val="000000"/>
          <w:sz w:val="24"/>
          <w:szCs w:val="24"/>
        </w:rPr>
        <w:t xml:space="preserve"> </w:t>
      </w:r>
      <w:r w:rsidR="00934923" w:rsidRPr="00E21C27">
        <w:rPr>
          <w:rFonts w:ascii="Arial" w:eastAsia="Arial" w:hAnsi="Arial" w:cs="Arial"/>
          <w:color w:val="000000"/>
          <w:sz w:val="24"/>
          <w:szCs w:val="24"/>
        </w:rPr>
        <w:t>and the National Treasury Instruction Supply Chain Management Instruction Notes, in that</w:t>
      </w:r>
      <w:r w:rsidR="00102FCA" w:rsidRPr="00E21C27">
        <w:rPr>
          <w:rFonts w:ascii="Arial" w:eastAsia="Arial" w:hAnsi="Arial" w:cs="Arial"/>
          <w:color w:val="000000"/>
          <w:sz w:val="24"/>
          <w:szCs w:val="24"/>
        </w:rPr>
        <w:t>,</w:t>
      </w:r>
      <w:r w:rsidR="00934923" w:rsidRPr="00E21C27">
        <w:rPr>
          <w:rFonts w:ascii="Arial" w:eastAsia="Arial" w:hAnsi="Arial" w:cs="Arial"/>
          <w:color w:val="000000"/>
          <w:sz w:val="24"/>
          <w:szCs w:val="24"/>
        </w:rPr>
        <w:t xml:space="preserve"> no bidding process was undertaken. The respondent asserted in its plea that the addendum was </w:t>
      </w:r>
      <w:r w:rsidR="00A231F5" w:rsidRPr="00E21C27">
        <w:rPr>
          <w:rFonts w:ascii="Arial" w:eastAsia="Arial" w:hAnsi="Arial" w:cs="Arial"/>
          <w:color w:val="000000"/>
          <w:sz w:val="24"/>
          <w:szCs w:val="24"/>
        </w:rPr>
        <w:t xml:space="preserve">in fact </w:t>
      </w:r>
      <w:r w:rsidR="00934923" w:rsidRPr="00E21C27">
        <w:rPr>
          <w:rFonts w:ascii="Arial" w:eastAsia="Arial" w:hAnsi="Arial" w:cs="Arial"/>
          <w:color w:val="000000"/>
          <w:sz w:val="24"/>
          <w:szCs w:val="24"/>
        </w:rPr>
        <w:t xml:space="preserve">concluded before any work had been done in respect of the SLA under bid </w:t>
      </w:r>
      <w:r w:rsidR="00102FCA" w:rsidRPr="00E21C27">
        <w:rPr>
          <w:rFonts w:ascii="Arial" w:eastAsia="Arial" w:hAnsi="Arial" w:cs="Arial"/>
          <w:color w:val="000000"/>
          <w:sz w:val="24"/>
          <w:szCs w:val="24"/>
        </w:rPr>
        <w:t xml:space="preserve">EDU </w:t>
      </w:r>
      <w:r w:rsidR="00934923" w:rsidRPr="00E21C27">
        <w:rPr>
          <w:rFonts w:ascii="Arial" w:eastAsia="Arial" w:hAnsi="Arial" w:cs="Arial"/>
          <w:color w:val="000000"/>
          <w:sz w:val="24"/>
          <w:szCs w:val="24"/>
        </w:rPr>
        <w:t>04/15 NW and as such</w:t>
      </w:r>
      <w:r w:rsidR="00102FCA" w:rsidRPr="00E21C27">
        <w:rPr>
          <w:rFonts w:ascii="Arial" w:eastAsia="Arial" w:hAnsi="Arial" w:cs="Arial"/>
          <w:color w:val="000000"/>
          <w:sz w:val="24"/>
          <w:szCs w:val="24"/>
        </w:rPr>
        <w:t>,</w:t>
      </w:r>
      <w:r w:rsidR="00934923" w:rsidRPr="00E21C27">
        <w:rPr>
          <w:rFonts w:ascii="Arial" w:eastAsia="Arial" w:hAnsi="Arial" w:cs="Arial"/>
          <w:color w:val="000000"/>
          <w:sz w:val="24"/>
          <w:szCs w:val="24"/>
        </w:rPr>
        <w:t xml:space="preserve"> denied that the addendum was concluded</w:t>
      </w:r>
      <w:r w:rsidR="00FB3502" w:rsidRPr="00E21C27">
        <w:rPr>
          <w:rFonts w:ascii="Arial" w:eastAsia="Arial" w:hAnsi="Arial" w:cs="Arial"/>
          <w:color w:val="000000"/>
          <w:sz w:val="24"/>
          <w:szCs w:val="24"/>
        </w:rPr>
        <w:t xml:space="preserve"> to avert an ‘emergency situation in the Province’…</w:t>
      </w:r>
      <w:r w:rsidR="00934923" w:rsidRPr="00E21C27">
        <w:rPr>
          <w:rFonts w:ascii="Arial" w:eastAsia="Arial" w:hAnsi="Arial" w:cs="Arial"/>
          <w:color w:val="000000"/>
          <w:sz w:val="24"/>
          <w:szCs w:val="24"/>
        </w:rPr>
        <w:t xml:space="preserve"> ‘in order to secure the proper and efficient distribution of the LTSM throughout the province before the start of the 2016 school year’.</w:t>
      </w:r>
      <w:r w:rsidR="00DF3427" w:rsidRPr="00E21C27">
        <w:rPr>
          <w:rFonts w:ascii="Arial" w:eastAsia="Arial" w:hAnsi="Arial" w:cs="Arial"/>
          <w:color w:val="000000"/>
          <w:sz w:val="24"/>
          <w:szCs w:val="24"/>
        </w:rPr>
        <w:t xml:space="preserve"> </w:t>
      </w:r>
    </w:p>
    <w:p w:rsidR="008E179E" w:rsidRPr="00E21C27" w:rsidRDefault="008E179E" w:rsidP="00DB01F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B03CB3"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t>[13]</w:t>
      </w:r>
      <w:r w:rsidRPr="00E21C27">
        <w:rPr>
          <w:rFonts w:ascii="Arial" w:eastAsia="Arial" w:hAnsi="Arial" w:cs="Arial"/>
          <w:color w:val="000000"/>
          <w:sz w:val="24"/>
          <w:szCs w:val="24"/>
        </w:rPr>
        <w:tab/>
      </w:r>
      <w:r w:rsidR="00B03CB3" w:rsidRPr="00E21C27">
        <w:rPr>
          <w:rFonts w:ascii="Arial" w:eastAsia="Arial" w:hAnsi="Arial" w:cs="Arial"/>
          <w:color w:val="000000"/>
          <w:sz w:val="24"/>
          <w:szCs w:val="24"/>
        </w:rPr>
        <w:t xml:space="preserve">The matter came before Petersen J in the court a quo who dismissed the claim with costs. </w:t>
      </w:r>
      <w:r w:rsidR="001D4D1C" w:rsidRPr="00E21C27">
        <w:rPr>
          <w:rFonts w:ascii="Arial" w:eastAsia="Arial" w:hAnsi="Arial" w:cs="Arial"/>
          <w:color w:val="000000"/>
          <w:sz w:val="24"/>
          <w:szCs w:val="24"/>
        </w:rPr>
        <w:t xml:space="preserve">The </w:t>
      </w:r>
      <w:r w:rsidR="007B3107" w:rsidRPr="00E21C27">
        <w:rPr>
          <w:rFonts w:ascii="Arial" w:eastAsia="Arial" w:hAnsi="Arial" w:cs="Arial"/>
          <w:color w:val="000000"/>
          <w:sz w:val="24"/>
          <w:szCs w:val="24"/>
        </w:rPr>
        <w:t>high court</w:t>
      </w:r>
      <w:r w:rsidR="001D4D1C" w:rsidRPr="00E21C27">
        <w:rPr>
          <w:rFonts w:ascii="Arial" w:eastAsia="Arial" w:hAnsi="Arial" w:cs="Arial"/>
          <w:color w:val="000000"/>
          <w:sz w:val="24"/>
          <w:szCs w:val="24"/>
        </w:rPr>
        <w:t xml:space="preserve"> found that the appointment </w:t>
      </w:r>
      <w:r w:rsidR="004A7997" w:rsidRPr="00E21C27">
        <w:rPr>
          <w:rFonts w:ascii="Arial" w:eastAsia="Arial" w:hAnsi="Arial" w:cs="Arial"/>
          <w:color w:val="000000"/>
          <w:sz w:val="24"/>
          <w:szCs w:val="24"/>
        </w:rPr>
        <w:t xml:space="preserve">of </w:t>
      </w:r>
      <w:r w:rsidR="00135B5E" w:rsidRPr="00E21C27">
        <w:rPr>
          <w:rFonts w:ascii="Arial" w:eastAsia="Arial" w:hAnsi="Arial" w:cs="Arial"/>
          <w:color w:val="000000"/>
          <w:sz w:val="24"/>
          <w:szCs w:val="24"/>
        </w:rPr>
        <w:t xml:space="preserve">KR Inc. </w:t>
      </w:r>
      <w:r w:rsidR="004A7997" w:rsidRPr="00E21C27">
        <w:rPr>
          <w:rFonts w:ascii="Arial" w:eastAsia="Arial" w:hAnsi="Arial" w:cs="Arial"/>
          <w:color w:val="000000"/>
          <w:sz w:val="24"/>
          <w:szCs w:val="24"/>
        </w:rPr>
        <w:t>as the suitable service provider came about by way of a</w:t>
      </w:r>
      <w:r w:rsidR="001D4D1C" w:rsidRPr="00E21C27">
        <w:rPr>
          <w:rFonts w:ascii="Arial" w:eastAsia="Arial" w:hAnsi="Arial" w:cs="Arial"/>
          <w:color w:val="000000"/>
          <w:sz w:val="24"/>
          <w:szCs w:val="24"/>
        </w:rPr>
        <w:t xml:space="preserve"> mere</w:t>
      </w:r>
      <w:r w:rsidR="004A7997" w:rsidRPr="00E21C27">
        <w:rPr>
          <w:rFonts w:ascii="Arial" w:eastAsia="Arial" w:hAnsi="Arial" w:cs="Arial"/>
          <w:color w:val="000000"/>
          <w:sz w:val="24"/>
          <w:szCs w:val="24"/>
        </w:rPr>
        <w:t xml:space="preserve"> ‘swoop of the pen’ with a total disregard to fair, equitable and transparent processes as is envisaged by s 217 of the Constitution. In addition, </w:t>
      </w:r>
      <w:r w:rsidR="00135B5E" w:rsidRPr="00E21C27">
        <w:rPr>
          <w:rFonts w:ascii="Arial" w:eastAsia="Arial" w:hAnsi="Arial" w:cs="Arial"/>
          <w:color w:val="000000"/>
          <w:sz w:val="24"/>
          <w:szCs w:val="24"/>
        </w:rPr>
        <w:t xml:space="preserve">it </w:t>
      </w:r>
      <w:r w:rsidR="004A7997" w:rsidRPr="00E21C27">
        <w:rPr>
          <w:rFonts w:ascii="Arial" w:eastAsia="Arial" w:hAnsi="Arial" w:cs="Arial"/>
          <w:color w:val="000000"/>
          <w:sz w:val="24"/>
          <w:szCs w:val="24"/>
        </w:rPr>
        <w:t>concluded</w:t>
      </w:r>
      <w:r w:rsidR="00135B5E" w:rsidRPr="00E21C27">
        <w:rPr>
          <w:rFonts w:ascii="Arial" w:eastAsia="Arial" w:hAnsi="Arial" w:cs="Arial"/>
          <w:color w:val="000000"/>
          <w:sz w:val="24"/>
          <w:szCs w:val="24"/>
        </w:rPr>
        <w:t xml:space="preserve"> that the addendum</w:t>
      </w:r>
      <w:r w:rsidR="004A7997" w:rsidRPr="00E21C27">
        <w:rPr>
          <w:rFonts w:ascii="Arial" w:eastAsia="Arial" w:hAnsi="Arial" w:cs="Arial"/>
          <w:color w:val="000000"/>
          <w:sz w:val="24"/>
          <w:szCs w:val="24"/>
        </w:rPr>
        <w:t xml:space="preserve"> extended ‘the SLA without an open tender process, was clearly contrary to the Treasury’s Instruction Note on Enhancing Compliance Monitoring and Improving Transparency and Accountability in Supply Chain Management.’</w:t>
      </w:r>
      <w:r w:rsidR="002A616F" w:rsidRPr="00E21C27">
        <w:rPr>
          <w:rFonts w:ascii="Arial" w:eastAsia="Arial" w:hAnsi="Arial" w:cs="Arial"/>
          <w:color w:val="000000"/>
          <w:sz w:val="24"/>
          <w:szCs w:val="24"/>
        </w:rPr>
        <w:t xml:space="preserve"> Placing reliance on </w:t>
      </w:r>
      <w:r w:rsidR="002A616F" w:rsidRPr="00E21C27">
        <w:rPr>
          <w:rFonts w:ascii="Arial" w:eastAsia="Arial" w:hAnsi="Arial" w:cs="Arial"/>
          <w:i/>
          <w:color w:val="000000"/>
          <w:sz w:val="24"/>
          <w:szCs w:val="24"/>
        </w:rPr>
        <w:t>Gobela</w:t>
      </w:r>
      <w:r w:rsidR="00102FCA" w:rsidRPr="00E21C27">
        <w:rPr>
          <w:rFonts w:ascii="Arial" w:eastAsia="Arial" w:hAnsi="Arial" w:cs="Arial"/>
          <w:i/>
          <w:color w:val="000000"/>
          <w:sz w:val="24"/>
          <w:szCs w:val="24"/>
        </w:rPr>
        <w:t xml:space="preserve"> Consulting CC v Makhado Municipality</w:t>
      </w:r>
      <w:r w:rsidR="002A616F" w:rsidRPr="00E21C27">
        <w:rPr>
          <w:rStyle w:val="FootnoteReference"/>
          <w:rFonts w:ascii="Arial" w:eastAsia="Arial" w:hAnsi="Arial" w:cs="Arial"/>
          <w:color w:val="000000"/>
          <w:sz w:val="24"/>
          <w:szCs w:val="24"/>
        </w:rPr>
        <w:footnoteReference w:id="4"/>
      </w:r>
      <w:r w:rsidR="002A616F" w:rsidRPr="00E21C27">
        <w:rPr>
          <w:rFonts w:ascii="Arial" w:eastAsia="Arial" w:hAnsi="Arial" w:cs="Arial"/>
          <w:color w:val="000000"/>
          <w:sz w:val="24"/>
          <w:szCs w:val="24"/>
        </w:rPr>
        <w:t xml:space="preserve"> and </w:t>
      </w:r>
      <w:r w:rsidR="002A616F" w:rsidRPr="00E21C27">
        <w:rPr>
          <w:rFonts w:ascii="Arial" w:eastAsia="Arial" w:hAnsi="Arial" w:cs="Arial"/>
          <w:i/>
          <w:color w:val="000000"/>
          <w:sz w:val="24"/>
          <w:szCs w:val="24"/>
        </w:rPr>
        <w:t>Valor IT</w:t>
      </w:r>
      <w:r w:rsidR="00102FCA" w:rsidRPr="00E21C27">
        <w:t xml:space="preserve"> </w:t>
      </w:r>
      <w:r w:rsidR="00102FCA" w:rsidRPr="00E21C27">
        <w:rPr>
          <w:rFonts w:ascii="Arial" w:eastAsia="Arial" w:hAnsi="Arial" w:cs="Arial"/>
          <w:i/>
          <w:color w:val="000000"/>
          <w:sz w:val="24"/>
          <w:szCs w:val="24"/>
        </w:rPr>
        <w:t>v Premier, North West Province and Others</w:t>
      </w:r>
      <w:r w:rsidR="002A616F" w:rsidRPr="00E21C27">
        <w:rPr>
          <w:rStyle w:val="FootnoteReference"/>
          <w:rFonts w:ascii="Arial" w:eastAsia="Arial" w:hAnsi="Arial" w:cs="Arial"/>
          <w:color w:val="000000"/>
          <w:sz w:val="24"/>
          <w:szCs w:val="24"/>
        </w:rPr>
        <w:footnoteReference w:id="5"/>
      </w:r>
      <w:r w:rsidR="000B5757" w:rsidRPr="00E21C27">
        <w:rPr>
          <w:rFonts w:ascii="Arial" w:eastAsia="Arial" w:hAnsi="Arial" w:cs="Arial"/>
          <w:i/>
          <w:color w:val="000000"/>
          <w:sz w:val="24"/>
          <w:szCs w:val="24"/>
        </w:rPr>
        <w:t xml:space="preserve"> </w:t>
      </w:r>
      <w:r w:rsidR="000B5757" w:rsidRPr="00E21C27">
        <w:rPr>
          <w:rFonts w:ascii="Arial" w:eastAsia="Arial" w:hAnsi="Arial" w:cs="Arial"/>
          <w:color w:val="000000"/>
          <w:sz w:val="24"/>
          <w:szCs w:val="24"/>
        </w:rPr>
        <w:t>(</w:t>
      </w:r>
      <w:r w:rsidR="000B5757" w:rsidRPr="00E21C27">
        <w:rPr>
          <w:rFonts w:ascii="Arial" w:eastAsia="Arial" w:hAnsi="Arial" w:cs="Arial"/>
          <w:i/>
          <w:color w:val="000000"/>
          <w:sz w:val="24"/>
          <w:szCs w:val="24"/>
        </w:rPr>
        <w:t>Valor IT</w:t>
      </w:r>
      <w:r w:rsidR="000B5757" w:rsidRPr="00E21C27">
        <w:rPr>
          <w:rFonts w:ascii="Arial" w:eastAsia="Arial" w:hAnsi="Arial" w:cs="Arial"/>
          <w:color w:val="000000"/>
          <w:sz w:val="24"/>
          <w:szCs w:val="24"/>
        </w:rPr>
        <w:t>)</w:t>
      </w:r>
      <w:r w:rsidR="002A616F" w:rsidRPr="00E21C27">
        <w:rPr>
          <w:rFonts w:ascii="Arial" w:eastAsia="Arial" w:hAnsi="Arial" w:cs="Arial"/>
          <w:color w:val="000000"/>
          <w:sz w:val="24"/>
          <w:szCs w:val="24"/>
        </w:rPr>
        <w:t xml:space="preserve">, the </w:t>
      </w:r>
      <w:r w:rsidR="00135B5E" w:rsidRPr="00E21C27">
        <w:rPr>
          <w:rFonts w:ascii="Arial" w:eastAsia="Arial" w:hAnsi="Arial" w:cs="Arial"/>
          <w:color w:val="000000"/>
          <w:sz w:val="24"/>
          <w:szCs w:val="24"/>
        </w:rPr>
        <w:t xml:space="preserve">high court </w:t>
      </w:r>
      <w:r w:rsidR="002A616F" w:rsidRPr="00E21C27">
        <w:rPr>
          <w:rFonts w:ascii="Arial" w:eastAsia="Arial" w:hAnsi="Arial" w:cs="Arial"/>
          <w:color w:val="000000"/>
          <w:sz w:val="24"/>
          <w:szCs w:val="24"/>
        </w:rPr>
        <w:t xml:space="preserve">also found that on the evidence before it, the </w:t>
      </w:r>
      <w:r w:rsidR="00135B5E" w:rsidRPr="00E21C27">
        <w:rPr>
          <w:rFonts w:ascii="Arial" w:eastAsia="Arial" w:hAnsi="Arial" w:cs="Arial"/>
          <w:color w:val="000000"/>
          <w:sz w:val="24"/>
          <w:szCs w:val="24"/>
        </w:rPr>
        <w:t xml:space="preserve">Department </w:t>
      </w:r>
      <w:r w:rsidR="002A616F" w:rsidRPr="00E21C27">
        <w:rPr>
          <w:rFonts w:ascii="Arial" w:eastAsia="Arial" w:hAnsi="Arial" w:cs="Arial"/>
          <w:color w:val="000000"/>
          <w:sz w:val="24"/>
          <w:szCs w:val="24"/>
        </w:rPr>
        <w:t>was entitled to challenge the validity and lawfulness of the addendum in its plea</w:t>
      </w:r>
      <w:r w:rsidR="00102FCA" w:rsidRPr="00E21C27">
        <w:rPr>
          <w:rFonts w:ascii="Arial" w:eastAsia="Arial" w:hAnsi="Arial" w:cs="Arial"/>
          <w:color w:val="000000"/>
          <w:sz w:val="24"/>
          <w:szCs w:val="24"/>
        </w:rPr>
        <w:t>,</w:t>
      </w:r>
      <w:r w:rsidR="002A616F" w:rsidRPr="00E21C27">
        <w:rPr>
          <w:rFonts w:ascii="Arial" w:eastAsia="Arial" w:hAnsi="Arial" w:cs="Arial"/>
          <w:color w:val="000000"/>
          <w:sz w:val="24"/>
          <w:szCs w:val="24"/>
        </w:rPr>
        <w:t xml:space="preserve"> without seeking to review and set </w:t>
      </w:r>
      <w:r w:rsidR="00B442BD" w:rsidRPr="00E21C27">
        <w:rPr>
          <w:rFonts w:ascii="Arial" w:eastAsia="Arial" w:hAnsi="Arial" w:cs="Arial"/>
          <w:color w:val="000000"/>
          <w:sz w:val="24"/>
          <w:szCs w:val="24"/>
        </w:rPr>
        <w:t xml:space="preserve">it </w:t>
      </w:r>
      <w:r w:rsidR="002A616F" w:rsidRPr="00E21C27">
        <w:rPr>
          <w:rFonts w:ascii="Arial" w:eastAsia="Arial" w:hAnsi="Arial" w:cs="Arial"/>
          <w:color w:val="000000"/>
          <w:sz w:val="24"/>
          <w:szCs w:val="24"/>
        </w:rPr>
        <w:t>aside</w:t>
      </w:r>
      <w:r w:rsidR="00B442BD" w:rsidRPr="00E21C27">
        <w:rPr>
          <w:rFonts w:ascii="Arial" w:eastAsia="Arial" w:hAnsi="Arial" w:cs="Arial"/>
          <w:color w:val="000000"/>
          <w:sz w:val="24"/>
          <w:szCs w:val="24"/>
        </w:rPr>
        <w:t>.</w:t>
      </w:r>
      <w:r w:rsidR="002A616F" w:rsidRPr="00E21C27">
        <w:rPr>
          <w:rFonts w:ascii="Arial" w:eastAsia="Arial" w:hAnsi="Arial" w:cs="Arial"/>
          <w:color w:val="000000"/>
          <w:sz w:val="24"/>
          <w:szCs w:val="24"/>
        </w:rPr>
        <w:t xml:space="preserve"> It acc</w:t>
      </w:r>
      <w:r w:rsidR="00135B5E" w:rsidRPr="00E21C27">
        <w:rPr>
          <w:rFonts w:ascii="Arial" w:eastAsia="Arial" w:hAnsi="Arial" w:cs="Arial"/>
          <w:color w:val="000000"/>
          <w:sz w:val="24"/>
          <w:szCs w:val="24"/>
        </w:rPr>
        <w:t>ordingly dismissed KR Inc.</w:t>
      </w:r>
      <w:r w:rsidR="002A616F" w:rsidRPr="00E21C27">
        <w:rPr>
          <w:rFonts w:ascii="Arial" w:eastAsia="Arial" w:hAnsi="Arial" w:cs="Arial"/>
          <w:color w:val="000000"/>
          <w:sz w:val="24"/>
          <w:szCs w:val="24"/>
        </w:rPr>
        <w:t>’s claim as the contract was concluded in breach of the applicable procedure prescripts and was thus invalid and unlawful.</w:t>
      </w:r>
    </w:p>
    <w:p w:rsidR="00B03CB3" w:rsidRPr="00E21C27" w:rsidRDefault="00B03CB3" w:rsidP="0033770A">
      <w:pPr>
        <w:pStyle w:val="ListParagraph"/>
        <w:spacing w:line="360" w:lineRule="auto"/>
        <w:ind w:left="0"/>
        <w:jc w:val="both"/>
        <w:rPr>
          <w:rFonts w:ascii="Arial" w:eastAsia="Arial" w:hAnsi="Arial" w:cs="Arial"/>
          <w:color w:val="000000"/>
          <w:sz w:val="24"/>
          <w:szCs w:val="24"/>
        </w:rPr>
      </w:pPr>
    </w:p>
    <w:p w:rsidR="003A7AF8"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t>[14]</w:t>
      </w:r>
      <w:r w:rsidRPr="00E21C27">
        <w:rPr>
          <w:rFonts w:ascii="Arial" w:eastAsia="Arial" w:hAnsi="Arial" w:cs="Arial"/>
          <w:color w:val="000000"/>
          <w:sz w:val="24"/>
          <w:szCs w:val="24"/>
        </w:rPr>
        <w:tab/>
      </w:r>
      <w:r w:rsidR="00B03CB3" w:rsidRPr="00E21C27">
        <w:rPr>
          <w:rFonts w:ascii="Arial" w:eastAsia="Arial" w:hAnsi="Arial" w:cs="Arial"/>
          <w:color w:val="000000"/>
          <w:sz w:val="24"/>
          <w:szCs w:val="24"/>
        </w:rPr>
        <w:t xml:space="preserve">The crisp question in this appeal </w:t>
      </w:r>
      <w:r w:rsidR="00A14589" w:rsidRPr="00E21C27">
        <w:rPr>
          <w:rFonts w:ascii="Arial" w:eastAsia="Arial" w:hAnsi="Arial" w:cs="Arial"/>
          <w:color w:val="000000"/>
          <w:sz w:val="24"/>
          <w:szCs w:val="24"/>
        </w:rPr>
        <w:t xml:space="preserve">is whether the </w:t>
      </w:r>
      <w:r w:rsidR="00135B5E" w:rsidRPr="00E21C27">
        <w:rPr>
          <w:rFonts w:ascii="Arial" w:eastAsia="Arial" w:hAnsi="Arial" w:cs="Arial"/>
          <w:color w:val="000000"/>
          <w:sz w:val="24"/>
          <w:szCs w:val="24"/>
        </w:rPr>
        <w:t xml:space="preserve">high court </w:t>
      </w:r>
      <w:r w:rsidR="00A14589" w:rsidRPr="00E21C27">
        <w:rPr>
          <w:rFonts w:ascii="Arial" w:eastAsia="Arial" w:hAnsi="Arial" w:cs="Arial"/>
          <w:color w:val="000000"/>
          <w:sz w:val="24"/>
          <w:szCs w:val="24"/>
        </w:rPr>
        <w:t xml:space="preserve">was correct in finding that the </w:t>
      </w:r>
      <w:r w:rsidR="00135B5E" w:rsidRPr="00E21C27">
        <w:rPr>
          <w:rFonts w:ascii="Arial" w:eastAsia="Arial" w:hAnsi="Arial" w:cs="Arial"/>
          <w:color w:val="000000"/>
          <w:sz w:val="24"/>
          <w:szCs w:val="24"/>
        </w:rPr>
        <w:t xml:space="preserve">contract was invalid, </w:t>
      </w:r>
      <w:r w:rsidR="00A14589" w:rsidRPr="00E21C27">
        <w:rPr>
          <w:rFonts w:ascii="Arial" w:eastAsia="Arial" w:hAnsi="Arial" w:cs="Arial"/>
          <w:color w:val="000000"/>
          <w:sz w:val="24"/>
          <w:szCs w:val="24"/>
        </w:rPr>
        <w:t>unlawful</w:t>
      </w:r>
      <w:r w:rsidR="00135B5E" w:rsidRPr="00E21C27">
        <w:rPr>
          <w:rFonts w:ascii="Arial" w:eastAsia="Arial" w:hAnsi="Arial" w:cs="Arial"/>
          <w:color w:val="000000"/>
          <w:sz w:val="24"/>
          <w:szCs w:val="24"/>
        </w:rPr>
        <w:t xml:space="preserve"> and in breach of the applicable procedure prescripts,</w:t>
      </w:r>
      <w:r w:rsidR="00A14589" w:rsidRPr="00E21C27">
        <w:rPr>
          <w:rFonts w:ascii="Arial" w:eastAsia="Arial" w:hAnsi="Arial" w:cs="Arial"/>
          <w:color w:val="000000"/>
          <w:sz w:val="24"/>
          <w:szCs w:val="24"/>
        </w:rPr>
        <w:t xml:space="preserve"> in the absence of a counter-application seeking a review and setting aside of the </w:t>
      </w:r>
      <w:r w:rsidR="003A7AF8" w:rsidRPr="00E21C27">
        <w:rPr>
          <w:rFonts w:ascii="Arial" w:eastAsia="Arial" w:hAnsi="Arial" w:cs="Arial"/>
          <w:color w:val="000000"/>
          <w:sz w:val="24"/>
          <w:szCs w:val="24"/>
        </w:rPr>
        <w:t>addendum.</w:t>
      </w:r>
    </w:p>
    <w:p w:rsidR="009A2406" w:rsidRPr="00E21C27" w:rsidRDefault="009A2406" w:rsidP="00DB01F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3A7AF8"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0"/>
          <w:szCs w:val="20"/>
        </w:rPr>
      </w:pPr>
      <w:r w:rsidRPr="00E21C27">
        <w:rPr>
          <w:rFonts w:ascii="Arial" w:eastAsia="Arial" w:hAnsi="Arial" w:cs="Arial"/>
          <w:color w:val="000000"/>
          <w:sz w:val="24"/>
          <w:szCs w:val="24"/>
        </w:rPr>
        <w:t>[15]</w:t>
      </w:r>
      <w:r w:rsidRPr="00E21C27">
        <w:rPr>
          <w:rFonts w:ascii="Arial" w:eastAsia="Arial" w:hAnsi="Arial" w:cs="Arial"/>
          <w:color w:val="000000"/>
          <w:sz w:val="24"/>
          <w:szCs w:val="24"/>
        </w:rPr>
        <w:tab/>
      </w:r>
      <w:r w:rsidR="003A7AF8" w:rsidRPr="00E21C27">
        <w:rPr>
          <w:rFonts w:ascii="Arial" w:eastAsia="Arial" w:hAnsi="Arial" w:cs="Arial"/>
          <w:color w:val="000000"/>
          <w:sz w:val="24"/>
          <w:szCs w:val="24"/>
        </w:rPr>
        <w:t>The starting point is s 217</w:t>
      </w:r>
      <w:r w:rsidR="00DD01B9" w:rsidRPr="00E21C27">
        <w:rPr>
          <w:rFonts w:ascii="Arial" w:eastAsia="Arial" w:hAnsi="Arial" w:cs="Arial"/>
          <w:color w:val="000000"/>
          <w:sz w:val="24"/>
          <w:szCs w:val="24"/>
        </w:rPr>
        <w:t xml:space="preserve"> of the Constitution</w:t>
      </w:r>
      <w:r w:rsidR="003A7AF8" w:rsidRPr="00E21C27">
        <w:rPr>
          <w:rFonts w:ascii="Arial" w:eastAsia="Arial" w:hAnsi="Arial" w:cs="Arial"/>
          <w:color w:val="000000"/>
          <w:sz w:val="24"/>
          <w:szCs w:val="24"/>
        </w:rPr>
        <w:t xml:space="preserve">. </w:t>
      </w:r>
      <w:r w:rsidR="006A4F71" w:rsidRPr="00E21C27">
        <w:rPr>
          <w:rFonts w:ascii="Arial" w:eastAsia="Arial" w:hAnsi="Arial" w:cs="Arial"/>
          <w:color w:val="000000"/>
          <w:sz w:val="24"/>
          <w:szCs w:val="24"/>
        </w:rPr>
        <w:t>Section 217 provides as follows:</w:t>
      </w:r>
    </w:p>
    <w:p w:rsidR="003A7AF8" w:rsidRPr="00E21C27" w:rsidRDefault="006A4F71" w:rsidP="00DB01F4">
      <w:pPr>
        <w:pStyle w:val="Normal1"/>
        <w:pBdr>
          <w:top w:val="nil"/>
          <w:left w:val="nil"/>
          <w:bottom w:val="nil"/>
          <w:right w:val="nil"/>
          <w:between w:val="nil"/>
        </w:pBdr>
        <w:spacing w:after="0" w:line="360" w:lineRule="auto"/>
        <w:jc w:val="both"/>
        <w:rPr>
          <w:rFonts w:ascii="Arial" w:hAnsi="Arial" w:cs="Arial"/>
          <w:color w:val="242121"/>
          <w:lang w:val="en-GB"/>
        </w:rPr>
      </w:pPr>
      <w:r w:rsidRPr="00E21C27">
        <w:rPr>
          <w:rFonts w:ascii="Arial" w:eastAsia="Arial" w:hAnsi="Arial" w:cs="Arial"/>
          <w:color w:val="000000"/>
        </w:rPr>
        <w:lastRenderedPageBreak/>
        <w:t xml:space="preserve"> ‘</w:t>
      </w:r>
      <w:r w:rsidR="00B442BD" w:rsidRPr="00E21C27">
        <w:rPr>
          <w:rFonts w:ascii="Arial" w:eastAsia="Arial" w:hAnsi="Arial" w:cs="Arial"/>
          <w:color w:val="000000"/>
        </w:rPr>
        <w:t xml:space="preserve">(1) </w:t>
      </w:r>
      <w:r w:rsidR="003A7AF8" w:rsidRPr="00E21C27">
        <w:rPr>
          <w:rFonts w:ascii="Arial" w:hAnsi="Arial" w:cs="Arial"/>
          <w:color w:val="242121"/>
          <w:lang w:val="en-GB"/>
        </w:rPr>
        <w:t>When an organ of state in the national, provincial or local sphere of government, or any other institution identified in national legislation, contracts for goods or services, it must do so in accordance with a system which is fair, equitable, transparent, competitive and cost-effective.</w:t>
      </w:r>
    </w:p>
    <w:p w:rsidR="003A7AF8" w:rsidRPr="00E21C27" w:rsidRDefault="003A7AF8" w:rsidP="00DB01F4">
      <w:pPr>
        <w:pStyle w:val="Normal1"/>
        <w:pBdr>
          <w:top w:val="nil"/>
          <w:left w:val="nil"/>
          <w:bottom w:val="nil"/>
          <w:right w:val="nil"/>
          <w:between w:val="nil"/>
        </w:pBdr>
        <w:spacing w:after="0" w:line="360" w:lineRule="auto"/>
        <w:jc w:val="both"/>
        <w:rPr>
          <w:rFonts w:ascii="Arial" w:hAnsi="Arial" w:cs="Arial"/>
          <w:color w:val="242121"/>
          <w:lang w:val="en-GB"/>
        </w:rPr>
      </w:pPr>
      <w:r w:rsidRPr="00E21C27">
        <w:rPr>
          <w:rFonts w:ascii="Arial" w:hAnsi="Arial" w:cs="Arial"/>
          <w:color w:val="242121"/>
          <w:lang w:val="en-GB"/>
        </w:rPr>
        <w:t>(2) Subsection (1) does not prevent the organs of state or institutions referred to in that subsection from implementing a procurement policy providing for –</w:t>
      </w:r>
    </w:p>
    <w:p w:rsidR="003A7AF8" w:rsidRPr="00E21C27" w:rsidRDefault="003A7AF8" w:rsidP="00DB01F4">
      <w:pPr>
        <w:pStyle w:val="Normal1"/>
        <w:pBdr>
          <w:top w:val="nil"/>
          <w:left w:val="nil"/>
          <w:bottom w:val="nil"/>
          <w:right w:val="nil"/>
          <w:between w:val="nil"/>
        </w:pBdr>
        <w:spacing w:after="0" w:line="360" w:lineRule="auto"/>
        <w:jc w:val="both"/>
        <w:rPr>
          <w:rFonts w:ascii="Arial" w:hAnsi="Arial" w:cs="Arial"/>
          <w:color w:val="242121"/>
          <w:lang w:val="en-GB"/>
        </w:rPr>
      </w:pPr>
      <w:r w:rsidRPr="00E21C27">
        <w:rPr>
          <w:rFonts w:ascii="Arial" w:hAnsi="Arial" w:cs="Arial"/>
          <w:i/>
          <w:iCs/>
          <w:color w:val="242121"/>
          <w:lang w:val="en-GB"/>
        </w:rPr>
        <w:t>(a)</w:t>
      </w:r>
      <w:r w:rsidR="00B442BD" w:rsidRPr="00E21C27">
        <w:rPr>
          <w:rFonts w:ascii="Arial" w:hAnsi="Arial" w:cs="Arial"/>
          <w:color w:val="242121"/>
        </w:rPr>
        <w:t xml:space="preserve"> </w:t>
      </w:r>
      <w:r w:rsidRPr="00E21C27">
        <w:rPr>
          <w:rFonts w:ascii="Arial" w:hAnsi="Arial" w:cs="Arial"/>
          <w:color w:val="242121"/>
          <w:lang w:val="en-GB"/>
        </w:rPr>
        <w:t>categories of preference in allocation of contracts; and</w:t>
      </w:r>
    </w:p>
    <w:p w:rsidR="003A7AF8" w:rsidRPr="00E21C27" w:rsidRDefault="003A7AF8" w:rsidP="00B442BD">
      <w:pPr>
        <w:pStyle w:val="Normal1"/>
        <w:pBdr>
          <w:top w:val="nil"/>
          <w:left w:val="nil"/>
          <w:bottom w:val="nil"/>
          <w:right w:val="nil"/>
          <w:between w:val="nil"/>
        </w:pBdr>
        <w:spacing w:after="0" w:line="360" w:lineRule="auto"/>
        <w:jc w:val="both"/>
        <w:rPr>
          <w:rFonts w:ascii="Arial" w:hAnsi="Arial" w:cs="Arial"/>
          <w:color w:val="242121"/>
          <w:lang w:val="en-GB"/>
        </w:rPr>
      </w:pPr>
      <w:r w:rsidRPr="00E21C27">
        <w:rPr>
          <w:rFonts w:ascii="Arial" w:hAnsi="Arial" w:cs="Arial"/>
          <w:i/>
          <w:iCs/>
          <w:color w:val="242121"/>
          <w:lang w:val="en-GB"/>
        </w:rPr>
        <w:t>(b)</w:t>
      </w:r>
      <w:r w:rsidR="00B442BD" w:rsidRPr="00E21C27">
        <w:rPr>
          <w:rFonts w:ascii="Arial" w:hAnsi="Arial" w:cs="Arial"/>
          <w:color w:val="242121"/>
        </w:rPr>
        <w:t xml:space="preserve"> </w:t>
      </w:r>
      <w:r w:rsidRPr="00E21C27">
        <w:rPr>
          <w:rFonts w:ascii="Arial" w:hAnsi="Arial" w:cs="Arial"/>
          <w:color w:val="242121"/>
          <w:lang w:val="en-GB"/>
        </w:rPr>
        <w:t>the protection and advancement of persons, or categories of persons, disadvantaged by unfair discrimination.</w:t>
      </w:r>
    </w:p>
    <w:p w:rsidR="00AA1853" w:rsidRPr="00E21C27" w:rsidRDefault="003A7AF8" w:rsidP="00DB01F4">
      <w:pPr>
        <w:pStyle w:val="Normal1"/>
        <w:pBdr>
          <w:top w:val="nil"/>
          <w:left w:val="nil"/>
          <w:bottom w:val="nil"/>
          <w:right w:val="nil"/>
          <w:between w:val="nil"/>
        </w:pBdr>
        <w:spacing w:after="0" w:line="360" w:lineRule="auto"/>
        <w:jc w:val="both"/>
        <w:rPr>
          <w:rFonts w:ascii="Arial" w:eastAsia="Arial" w:hAnsi="Arial" w:cs="Arial"/>
          <w:color w:val="000000"/>
        </w:rPr>
      </w:pPr>
      <w:r w:rsidRPr="00E21C27">
        <w:rPr>
          <w:rFonts w:ascii="Arial" w:hAnsi="Arial" w:cs="Arial"/>
          <w:color w:val="242121"/>
          <w:lang w:val="en-GB"/>
        </w:rPr>
        <w:t>(3) National legislation must prescribe a framework within which the policy referred to in section (2) must be implemented.’</w:t>
      </w:r>
    </w:p>
    <w:p w:rsidR="00AA1853" w:rsidRPr="00E21C27" w:rsidRDefault="00AA1853" w:rsidP="0033770A">
      <w:pPr>
        <w:pStyle w:val="ListParagraph"/>
        <w:spacing w:line="360" w:lineRule="auto"/>
        <w:ind w:left="0"/>
        <w:jc w:val="both"/>
        <w:rPr>
          <w:rFonts w:ascii="Arial" w:eastAsia="Arial" w:hAnsi="Arial" w:cs="Arial"/>
          <w:color w:val="000000"/>
          <w:sz w:val="24"/>
          <w:szCs w:val="24"/>
        </w:rPr>
      </w:pPr>
    </w:p>
    <w:p w:rsidR="00B50B0C"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rPr>
      </w:pPr>
      <w:r w:rsidRPr="00E21C27">
        <w:rPr>
          <w:rFonts w:ascii="Arial" w:eastAsia="Arial" w:hAnsi="Arial" w:cs="Arial"/>
          <w:color w:val="000000"/>
          <w:sz w:val="24"/>
          <w:szCs w:val="24"/>
        </w:rPr>
        <w:t>[16]</w:t>
      </w:r>
      <w:r w:rsidRPr="00E21C27">
        <w:rPr>
          <w:rFonts w:ascii="Arial" w:eastAsia="Arial" w:hAnsi="Arial" w:cs="Arial"/>
          <w:color w:val="000000"/>
          <w:sz w:val="24"/>
          <w:szCs w:val="24"/>
        </w:rPr>
        <w:tab/>
      </w:r>
      <w:r w:rsidR="009E4B5B" w:rsidRPr="00E21C27">
        <w:rPr>
          <w:rFonts w:ascii="Arial" w:eastAsia="Arial" w:hAnsi="Arial" w:cs="Arial"/>
          <w:color w:val="000000"/>
          <w:sz w:val="24"/>
          <w:szCs w:val="24"/>
        </w:rPr>
        <w:t xml:space="preserve">In </w:t>
      </w:r>
      <w:r w:rsidR="009E4B5B" w:rsidRPr="00E21C27">
        <w:rPr>
          <w:rFonts w:ascii="Arial" w:eastAsia="Arial" w:hAnsi="Arial" w:cs="Arial"/>
          <w:i/>
          <w:color w:val="000000"/>
          <w:sz w:val="24"/>
          <w:szCs w:val="24"/>
        </w:rPr>
        <w:t>Valor IT</w:t>
      </w:r>
      <w:r w:rsidR="00102FCA" w:rsidRPr="00E21C27">
        <w:rPr>
          <w:rFonts w:ascii="Arial" w:eastAsia="Arial" w:hAnsi="Arial" w:cs="Arial"/>
          <w:color w:val="000000"/>
          <w:sz w:val="24"/>
          <w:szCs w:val="24"/>
        </w:rPr>
        <w:t>,</w:t>
      </w:r>
      <w:r w:rsidR="009E4B5B" w:rsidRPr="00E21C27">
        <w:rPr>
          <w:rFonts w:ascii="Arial" w:eastAsia="Arial" w:hAnsi="Arial" w:cs="Arial"/>
          <w:color w:val="000000"/>
          <w:sz w:val="24"/>
          <w:szCs w:val="24"/>
        </w:rPr>
        <w:t xml:space="preserve"> this Court was seized with the failure to comply with the public procurement processes as is required by s 217 of the Constitution. The</w:t>
      </w:r>
      <w:r w:rsidR="006A4F71" w:rsidRPr="00E21C27">
        <w:rPr>
          <w:rFonts w:ascii="Arial" w:eastAsia="Arial" w:hAnsi="Arial" w:cs="Arial"/>
          <w:color w:val="000000"/>
          <w:sz w:val="24"/>
          <w:szCs w:val="24"/>
        </w:rPr>
        <w:t xml:space="preserve"> </w:t>
      </w:r>
      <w:r w:rsidR="00910090" w:rsidRPr="00E21C27">
        <w:rPr>
          <w:rFonts w:ascii="Arial" w:eastAsia="Arial" w:hAnsi="Arial" w:cs="Arial"/>
          <w:color w:val="000000"/>
          <w:sz w:val="24"/>
          <w:szCs w:val="24"/>
        </w:rPr>
        <w:t>import</w:t>
      </w:r>
      <w:r w:rsidR="00E8462F" w:rsidRPr="00E21C27">
        <w:rPr>
          <w:rFonts w:ascii="Arial" w:eastAsia="Arial" w:hAnsi="Arial" w:cs="Arial"/>
          <w:color w:val="000000"/>
          <w:sz w:val="24"/>
          <w:szCs w:val="24"/>
        </w:rPr>
        <w:t>ance</w:t>
      </w:r>
      <w:r w:rsidR="00910090" w:rsidRPr="00E21C27">
        <w:rPr>
          <w:rFonts w:ascii="Arial" w:eastAsia="Arial" w:hAnsi="Arial" w:cs="Arial"/>
          <w:color w:val="000000"/>
          <w:sz w:val="24"/>
          <w:szCs w:val="24"/>
        </w:rPr>
        <w:t xml:space="preserve"> of</w:t>
      </w:r>
      <w:r w:rsidR="006A4F71" w:rsidRPr="00E21C27">
        <w:rPr>
          <w:rFonts w:ascii="Arial" w:eastAsia="Arial" w:hAnsi="Arial" w:cs="Arial"/>
          <w:color w:val="000000"/>
          <w:sz w:val="24"/>
          <w:szCs w:val="24"/>
        </w:rPr>
        <w:t xml:space="preserve"> s 217 was eloquently enunciated</w:t>
      </w:r>
      <w:r w:rsidR="009E4B5B" w:rsidRPr="00E21C27">
        <w:rPr>
          <w:rFonts w:ascii="Arial" w:eastAsia="Arial" w:hAnsi="Arial" w:cs="Arial"/>
          <w:color w:val="000000"/>
          <w:sz w:val="24"/>
          <w:szCs w:val="24"/>
        </w:rPr>
        <w:t xml:space="preserve"> by Plasket </w:t>
      </w:r>
      <w:r w:rsidR="00E269F1" w:rsidRPr="00E21C27">
        <w:rPr>
          <w:rFonts w:ascii="Arial" w:eastAsia="Arial" w:hAnsi="Arial" w:cs="Arial"/>
          <w:color w:val="000000"/>
          <w:sz w:val="24"/>
          <w:szCs w:val="24"/>
        </w:rPr>
        <w:t>JA:</w:t>
      </w:r>
      <w:r w:rsidR="00B50B0C" w:rsidRPr="00E21C27">
        <w:rPr>
          <w:rFonts w:ascii="Arial" w:eastAsia="Arial" w:hAnsi="Arial" w:cs="Arial"/>
          <w:color w:val="000000"/>
          <w:sz w:val="24"/>
          <w:szCs w:val="24"/>
        </w:rPr>
        <w:t xml:space="preserve"> </w:t>
      </w:r>
    </w:p>
    <w:p w:rsidR="00BA1B23" w:rsidRPr="00E21C27" w:rsidRDefault="00B50B0C" w:rsidP="00DB01F4">
      <w:pPr>
        <w:pStyle w:val="Normal1"/>
        <w:pBdr>
          <w:top w:val="nil"/>
          <w:left w:val="nil"/>
          <w:bottom w:val="nil"/>
          <w:right w:val="nil"/>
          <w:between w:val="nil"/>
        </w:pBdr>
        <w:spacing w:after="0" w:line="360" w:lineRule="auto"/>
        <w:jc w:val="both"/>
        <w:rPr>
          <w:rFonts w:ascii="Arial" w:hAnsi="Arial" w:cs="Arial"/>
          <w:color w:val="242121"/>
          <w:shd w:val="clear" w:color="auto" w:fill="FFFFFF"/>
        </w:rPr>
      </w:pPr>
      <w:r w:rsidRPr="00E21C27">
        <w:rPr>
          <w:rFonts w:ascii="Arial" w:hAnsi="Arial" w:cs="Arial"/>
          <w:color w:val="242121"/>
          <w:shd w:val="clear" w:color="auto" w:fill="FFFFFF"/>
        </w:rPr>
        <w:t>‘Section 217 of the Constitution requires organs of state such as the Department, when it procures goods and services, to do so in terms of a system that is ‘fair, equitable, transparent, competitive and cost-effective’. Its purpose is to prevent patronage and corruption, on the one hand, and to promote fairness and impartiality in the award of public procurement contracts, on the other. In order to do so, statutes, such as the Public Finance Management Act 1 of 1999 (the PFMA), subordinate legislation made under the PFMA, such as the Treasury Regulations, and supply chain management policies that have to be applied by organs of state, all give effect to s 217</w:t>
      </w:r>
      <w:r w:rsidR="007B3107" w:rsidRPr="00E21C27">
        <w:rPr>
          <w:rFonts w:ascii="Arial" w:hAnsi="Arial" w:cs="Arial"/>
          <w:color w:val="242121"/>
          <w:shd w:val="clear" w:color="auto" w:fill="FFFFFF"/>
        </w:rPr>
        <w:t>.</w:t>
      </w:r>
    </w:p>
    <w:p w:rsidR="00CE3BA4" w:rsidRPr="00E21C27" w:rsidRDefault="00BA1B23" w:rsidP="00DB01F4">
      <w:pPr>
        <w:pStyle w:val="Normal1"/>
        <w:pBdr>
          <w:top w:val="nil"/>
          <w:left w:val="nil"/>
          <w:bottom w:val="nil"/>
          <w:right w:val="nil"/>
          <w:between w:val="nil"/>
        </w:pBdr>
        <w:spacing w:after="0" w:line="360" w:lineRule="auto"/>
        <w:jc w:val="both"/>
        <w:rPr>
          <w:rFonts w:ascii="Arial" w:eastAsia="Times New Roman" w:hAnsi="Arial" w:cs="Arial"/>
          <w:color w:val="242121"/>
          <w:lang w:eastAsia="en-ZA"/>
        </w:rPr>
      </w:pPr>
      <w:r w:rsidRPr="00E21C27">
        <w:rPr>
          <w:rFonts w:ascii="Arial" w:eastAsia="Times New Roman" w:hAnsi="Arial" w:cs="Arial"/>
          <w:color w:val="242121"/>
          <w:lang w:eastAsia="en-ZA"/>
        </w:rPr>
        <w:t>In</w:t>
      </w:r>
      <w:r w:rsidR="00AC7357" w:rsidRPr="00E21C27">
        <w:rPr>
          <w:rFonts w:ascii="Arial" w:eastAsia="Times New Roman" w:hAnsi="Arial" w:cs="Arial"/>
          <w:color w:val="242121"/>
          <w:lang w:eastAsia="en-ZA"/>
        </w:rPr>
        <w:t xml:space="preserve"> </w:t>
      </w:r>
      <w:r w:rsidRPr="00E21C27">
        <w:rPr>
          <w:rFonts w:ascii="Arial" w:eastAsia="Times New Roman" w:hAnsi="Arial" w:cs="Arial"/>
          <w:i/>
          <w:iCs/>
          <w:color w:val="242121"/>
          <w:lang w:eastAsia="en-ZA"/>
        </w:rPr>
        <w:t>Allpay Consolidated Investment Holdings (Pty) Ltd and Others v Chief Executive Officer, South African Social Security Agency and Others</w:t>
      </w:r>
      <w:r w:rsidRPr="00E21C27">
        <w:rPr>
          <w:rFonts w:ascii="Arial" w:eastAsia="Times New Roman" w:hAnsi="Arial" w:cs="Arial"/>
          <w:color w:val="242121"/>
          <w:lang w:eastAsia="en-ZA"/>
        </w:rPr>
        <w:t>,</w:t>
      </w:r>
      <w:r w:rsidR="00C723F3" w:rsidRPr="00E21C27">
        <w:rPr>
          <w:rFonts w:ascii="Arial" w:eastAsia="Times New Roman" w:hAnsi="Arial" w:cs="Arial"/>
          <w:color w:val="242121"/>
          <w:lang w:eastAsia="en-ZA"/>
        </w:rPr>
        <w:t xml:space="preserve"> </w:t>
      </w:r>
      <w:r w:rsidRPr="00E21C27">
        <w:rPr>
          <w:rFonts w:ascii="Arial" w:eastAsia="Times New Roman" w:hAnsi="Arial" w:cs="Arial"/>
          <w:color w:val="242121"/>
          <w:lang w:eastAsia="en-ZA"/>
        </w:rPr>
        <w:t>Froneman J said of this legal framework that compliance with it was required for a valid procurement process and its components were not mere ‘internal prescripts’ that could be disregarded at whim. The consequence of non-compliance is clear: in</w:t>
      </w:r>
      <w:r w:rsidR="00514F1A" w:rsidRPr="00E21C27">
        <w:rPr>
          <w:rFonts w:ascii="Arial" w:eastAsia="Times New Roman" w:hAnsi="Arial" w:cs="Arial"/>
          <w:color w:val="242121"/>
          <w:lang w:eastAsia="en-ZA"/>
        </w:rPr>
        <w:t xml:space="preserve"> </w:t>
      </w:r>
      <w:r w:rsidRPr="00E21C27">
        <w:rPr>
          <w:rFonts w:ascii="Arial" w:eastAsia="Times New Roman" w:hAnsi="Arial" w:cs="Arial"/>
          <w:i/>
          <w:iCs/>
          <w:color w:val="242121"/>
          <w:lang w:eastAsia="en-ZA"/>
        </w:rPr>
        <w:t>Municipal Manager: Qaukeni Local Municipality and Another v FV General Trading CC</w:t>
      </w:r>
      <w:r w:rsidRPr="00E21C27">
        <w:rPr>
          <w:rFonts w:ascii="Arial" w:eastAsia="Times New Roman" w:hAnsi="Arial" w:cs="Arial"/>
          <w:color w:val="242121"/>
          <w:lang w:eastAsia="en-ZA"/>
        </w:rPr>
        <w:t>,</w:t>
      </w:r>
      <w:r w:rsidR="00C723F3" w:rsidRPr="00E21C27">
        <w:rPr>
          <w:rFonts w:ascii="Arial" w:eastAsia="Times New Roman" w:hAnsi="Arial" w:cs="Arial"/>
          <w:color w:val="242121"/>
          <w:lang w:eastAsia="en-ZA"/>
        </w:rPr>
        <w:t xml:space="preserve"> </w:t>
      </w:r>
      <w:r w:rsidRPr="00E21C27">
        <w:rPr>
          <w:rFonts w:ascii="Arial" w:eastAsia="Times New Roman" w:hAnsi="Arial" w:cs="Arial"/>
          <w:color w:val="242121"/>
          <w:lang w:eastAsia="en-ZA"/>
        </w:rPr>
        <w:t>Leach JA held that a public procurement contract concluded in breach of the legal provisions ‘designed to ensure a transparent, cost-effective and competitive tendering process in the public interest, is invalid and will not be enforced’</w:t>
      </w:r>
      <w:r w:rsidR="00CE3BA4" w:rsidRPr="00E21C27">
        <w:rPr>
          <w:rFonts w:ascii="Arial" w:eastAsia="Times New Roman" w:hAnsi="Arial" w:cs="Arial"/>
          <w:color w:val="242121"/>
          <w:lang w:eastAsia="en-ZA"/>
        </w:rPr>
        <w:t>.’</w:t>
      </w:r>
      <w:r w:rsidR="00CE3BA4" w:rsidRPr="00E21C27">
        <w:rPr>
          <w:rStyle w:val="FootnoteReference"/>
          <w:rFonts w:ascii="Arial" w:hAnsi="Arial" w:cs="Arial"/>
          <w:color w:val="242121"/>
          <w:sz w:val="20"/>
          <w:szCs w:val="20"/>
          <w:shd w:val="clear" w:color="auto" w:fill="FFFFFF"/>
        </w:rPr>
        <w:footnoteReference w:id="6"/>
      </w:r>
    </w:p>
    <w:p w:rsidR="00CE3BA4" w:rsidRPr="00E21C27" w:rsidRDefault="00CE3BA4" w:rsidP="00DB01F4">
      <w:pPr>
        <w:pStyle w:val="Normal1"/>
        <w:pBdr>
          <w:top w:val="nil"/>
          <w:left w:val="nil"/>
          <w:bottom w:val="nil"/>
          <w:right w:val="nil"/>
          <w:between w:val="nil"/>
        </w:pBdr>
        <w:spacing w:after="0" w:line="360" w:lineRule="auto"/>
        <w:jc w:val="both"/>
        <w:rPr>
          <w:rFonts w:ascii="Arial" w:hAnsi="Arial" w:cs="Arial"/>
          <w:color w:val="242121"/>
          <w:sz w:val="20"/>
          <w:szCs w:val="20"/>
          <w:shd w:val="clear" w:color="auto" w:fill="FFFFFF"/>
        </w:rPr>
      </w:pPr>
    </w:p>
    <w:p w:rsidR="00AE7482"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t>[17]</w:t>
      </w:r>
      <w:r w:rsidRPr="00E21C27">
        <w:rPr>
          <w:rFonts w:ascii="Arial" w:eastAsia="Arial" w:hAnsi="Arial" w:cs="Arial"/>
          <w:color w:val="000000"/>
          <w:sz w:val="24"/>
          <w:szCs w:val="24"/>
        </w:rPr>
        <w:tab/>
      </w:r>
      <w:r w:rsidR="00096FD2" w:rsidRPr="00E21C27">
        <w:rPr>
          <w:rFonts w:ascii="Arial" w:eastAsia="Arial" w:hAnsi="Arial" w:cs="Arial"/>
          <w:color w:val="000000"/>
          <w:sz w:val="24"/>
          <w:szCs w:val="24"/>
        </w:rPr>
        <w:t xml:space="preserve">Turning </w:t>
      </w:r>
      <w:r w:rsidR="00AC7357" w:rsidRPr="00E21C27">
        <w:rPr>
          <w:rFonts w:ascii="Arial" w:eastAsia="Arial" w:hAnsi="Arial" w:cs="Arial"/>
          <w:color w:val="000000"/>
          <w:sz w:val="24"/>
          <w:szCs w:val="24"/>
        </w:rPr>
        <w:t xml:space="preserve">back </w:t>
      </w:r>
      <w:r w:rsidR="00096FD2" w:rsidRPr="00E21C27">
        <w:rPr>
          <w:rFonts w:ascii="Arial" w:eastAsia="Arial" w:hAnsi="Arial" w:cs="Arial"/>
          <w:color w:val="000000"/>
          <w:sz w:val="24"/>
          <w:szCs w:val="24"/>
        </w:rPr>
        <w:t xml:space="preserve">to the facts of this case, by </w:t>
      </w:r>
      <w:r w:rsidR="00F64397" w:rsidRPr="00E21C27">
        <w:rPr>
          <w:rFonts w:ascii="Arial" w:eastAsia="Arial" w:hAnsi="Arial" w:cs="Arial"/>
          <w:color w:val="000000"/>
          <w:sz w:val="24"/>
          <w:szCs w:val="24"/>
        </w:rPr>
        <w:t xml:space="preserve">the </w:t>
      </w:r>
      <w:r w:rsidR="00096FD2" w:rsidRPr="00E21C27">
        <w:rPr>
          <w:rFonts w:ascii="Arial" w:eastAsia="Arial" w:hAnsi="Arial" w:cs="Arial"/>
          <w:color w:val="000000"/>
          <w:sz w:val="24"/>
          <w:szCs w:val="24"/>
        </w:rPr>
        <w:t>addition of the addendum, the transaction value w</w:t>
      </w:r>
      <w:r w:rsidR="007B3107" w:rsidRPr="00E21C27">
        <w:rPr>
          <w:rFonts w:ascii="Arial" w:eastAsia="Arial" w:hAnsi="Arial" w:cs="Arial"/>
          <w:color w:val="000000"/>
          <w:sz w:val="24"/>
          <w:szCs w:val="24"/>
        </w:rPr>
        <w:t xml:space="preserve">as </w:t>
      </w:r>
      <w:r w:rsidR="00096FD2" w:rsidRPr="00E21C27">
        <w:rPr>
          <w:rFonts w:ascii="Arial" w:eastAsia="Arial" w:hAnsi="Arial" w:cs="Arial"/>
          <w:color w:val="000000"/>
          <w:sz w:val="24"/>
          <w:szCs w:val="24"/>
        </w:rPr>
        <w:t>way over the threshold of R500</w:t>
      </w:r>
      <w:r w:rsidR="00AC7357" w:rsidRPr="00E21C27">
        <w:rPr>
          <w:rFonts w:ascii="Arial" w:eastAsia="Arial" w:hAnsi="Arial" w:cs="Arial"/>
          <w:color w:val="000000"/>
          <w:sz w:val="24"/>
          <w:szCs w:val="24"/>
        </w:rPr>
        <w:t xml:space="preserve"> </w:t>
      </w:r>
      <w:r w:rsidR="00096FD2" w:rsidRPr="00E21C27">
        <w:rPr>
          <w:rFonts w:ascii="Arial" w:eastAsia="Arial" w:hAnsi="Arial" w:cs="Arial"/>
          <w:color w:val="000000"/>
          <w:sz w:val="24"/>
          <w:szCs w:val="24"/>
        </w:rPr>
        <w:t>000.00. As such</w:t>
      </w:r>
      <w:r w:rsidR="00AC7357" w:rsidRPr="00E21C27">
        <w:rPr>
          <w:rFonts w:ascii="Arial" w:eastAsia="Arial" w:hAnsi="Arial" w:cs="Arial"/>
          <w:color w:val="000000"/>
          <w:sz w:val="24"/>
          <w:szCs w:val="24"/>
        </w:rPr>
        <w:t>,</w:t>
      </w:r>
      <w:r w:rsidR="00096FD2" w:rsidRPr="00E21C27">
        <w:rPr>
          <w:rFonts w:ascii="Arial" w:eastAsia="Arial" w:hAnsi="Arial" w:cs="Arial"/>
          <w:color w:val="000000"/>
          <w:sz w:val="24"/>
          <w:szCs w:val="24"/>
        </w:rPr>
        <w:t xml:space="preserve"> an open tender </w:t>
      </w:r>
      <w:r w:rsidR="00096FD2" w:rsidRPr="00E21C27">
        <w:rPr>
          <w:rFonts w:ascii="Arial" w:eastAsia="Arial" w:hAnsi="Arial" w:cs="Arial"/>
          <w:color w:val="000000"/>
          <w:sz w:val="24"/>
          <w:szCs w:val="24"/>
        </w:rPr>
        <w:lastRenderedPageBreak/>
        <w:t>process was mandatory in terms of clause</w:t>
      </w:r>
      <w:r w:rsidR="00F64397" w:rsidRPr="00E21C27">
        <w:rPr>
          <w:rFonts w:ascii="Arial" w:eastAsia="Arial" w:hAnsi="Arial" w:cs="Arial"/>
          <w:color w:val="000000"/>
          <w:sz w:val="24"/>
          <w:szCs w:val="24"/>
        </w:rPr>
        <w:t>s</w:t>
      </w:r>
      <w:r w:rsidR="00096FD2" w:rsidRPr="00E21C27">
        <w:rPr>
          <w:rFonts w:ascii="Arial" w:eastAsia="Arial" w:hAnsi="Arial" w:cs="Arial"/>
          <w:color w:val="000000"/>
          <w:sz w:val="24"/>
          <w:szCs w:val="24"/>
        </w:rPr>
        <w:t xml:space="preserve"> 3.4.1 and 3.4.2 of the Treasury Practice Note</w:t>
      </w:r>
      <w:r w:rsidR="00922B7E" w:rsidRPr="00E21C27">
        <w:rPr>
          <w:rFonts w:ascii="Arial" w:eastAsia="Arial" w:hAnsi="Arial" w:cs="Arial"/>
          <w:color w:val="000000"/>
          <w:sz w:val="24"/>
          <w:szCs w:val="24"/>
        </w:rPr>
        <w:t>.</w:t>
      </w:r>
      <w:r w:rsidR="00922B7E" w:rsidRPr="00E21C27">
        <w:rPr>
          <w:rStyle w:val="FootnoteReference"/>
          <w:rFonts w:ascii="Arial" w:eastAsia="Arial" w:hAnsi="Arial" w:cs="Arial"/>
          <w:color w:val="000000"/>
          <w:sz w:val="24"/>
          <w:szCs w:val="24"/>
        </w:rPr>
        <w:footnoteReference w:id="7"/>
      </w:r>
      <w:r w:rsidR="00096FD2" w:rsidRPr="00E21C27">
        <w:rPr>
          <w:rFonts w:ascii="Arial" w:eastAsia="Arial" w:hAnsi="Arial" w:cs="Arial"/>
          <w:color w:val="000000"/>
          <w:sz w:val="24"/>
          <w:szCs w:val="24"/>
        </w:rPr>
        <w:t xml:space="preserve"> </w:t>
      </w:r>
      <w:r w:rsidR="00843F05" w:rsidRPr="00E21C27">
        <w:rPr>
          <w:rFonts w:ascii="Arial" w:eastAsia="Arial" w:hAnsi="Arial" w:cs="Arial"/>
          <w:color w:val="000000"/>
          <w:sz w:val="24"/>
          <w:szCs w:val="24"/>
        </w:rPr>
        <w:t>By adopti</w:t>
      </w:r>
      <w:r w:rsidR="00513CF3" w:rsidRPr="00E21C27">
        <w:rPr>
          <w:rFonts w:ascii="Arial" w:eastAsia="Arial" w:hAnsi="Arial" w:cs="Arial"/>
          <w:color w:val="000000"/>
          <w:sz w:val="24"/>
          <w:szCs w:val="24"/>
        </w:rPr>
        <w:t>ng</w:t>
      </w:r>
      <w:r w:rsidR="00843F05" w:rsidRPr="00E21C27">
        <w:rPr>
          <w:rFonts w:ascii="Arial" w:eastAsia="Arial" w:hAnsi="Arial" w:cs="Arial"/>
          <w:color w:val="000000"/>
          <w:sz w:val="24"/>
          <w:szCs w:val="24"/>
        </w:rPr>
        <w:t xml:space="preserve"> the addendum</w:t>
      </w:r>
      <w:r w:rsidR="00122EAC" w:rsidRPr="00E21C27">
        <w:rPr>
          <w:rFonts w:ascii="Arial" w:eastAsia="Arial" w:hAnsi="Arial" w:cs="Arial"/>
          <w:color w:val="000000"/>
          <w:sz w:val="24"/>
          <w:szCs w:val="24"/>
        </w:rPr>
        <w:t xml:space="preserve"> </w:t>
      </w:r>
      <w:r w:rsidR="00843F05" w:rsidRPr="00E21C27">
        <w:rPr>
          <w:rFonts w:ascii="Arial" w:eastAsia="Arial" w:hAnsi="Arial" w:cs="Arial"/>
          <w:color w:val="000000"/>
          <w:sz w:val="24"/>
          <w:szCs w:val="24"/>
        </w:rPr>
        <w:t xml:space="preserve">on </w:t>
      </w:r>
      <w:r w:rsidR="00122EAC" w:rsidRPr="00E21C27">
        <w:rPr>
          <w:rFonts w:ascii="Arial" w:eastAsia="Arial" w:hAnsi="Arial" w:cs="Arial"/>
          <w:color w:val="000000"/>
          <w:sz w:val="24"/>
          <w:szCs w:val="24"/>
        </w:rPr>
        <w:t>the</w:t>
      </w:r>
      <w:r w:rsidR="00843F05" w:rsidRPr="00E21C27">
        <w:rPr>
          <w:rFonts w:ascii="Arial" w:eastAsia="Arial" w:hAnsi="Arial" w:cs="Arial"/>
          <w:color w:val="000000"/>
          <w:sz w:val="24"/>
          <w:szCs w:val="24"/>
        </w:rPr>
        <w:t xml:space="preserve"> basis of the</w:t>
      </w:r>
      <w:r w:rsidR="00122EAC" w:rsidRPr="00E21C27">
        <w:rPr>
          <w:rFonts w:ascii="Arial" w:eastAsia="Arial" w:hAnsi="Arial" w:cs="Arial"/>
          <w:color w:val="000000"/>
          <w:sz w:val="24"/>
          <w:szCs w:val="24"/>
        </w:rPr>
        <w:t xml:space="preserve"> transaction value alone</w:t>
      </w:r>
      <w:r w:rsidR="00C9644F" w:rsidRPr="00E21C27">
        <w:rPr>
          <w:rFonts w:ascii="Arial" w:eastAsia="Arial" w:hAnsi="Arial" w:cs="Arial"/>
          <w:color w:val="000000"/>
          <w:sz w:val="24"/>
          <w:szCs w:val="24"/>
        </w:rPr>
        <w:t xml:space="preserve">  </w:t>
      </w:r>
      <w:r w:rsidR="00843F05" w:rsidRPr="00E21C27">
        <w:rPr>
          <w:rFonts w:ascii="Arial" w:eastAsia="Arial" w:hAnsi="Arial" w:cs="Arial"/>
          <w:color w:val="000000"/>
          <w:sz w:val="24"/>
          <w:szCs w:val="24"/>
        </w:rPr>
        <w:t xml:space="preserve">amounted to </w:t>
      </w:r>
      <w:r w:rsidR="00122EAC" w:rsidRPr="00E21C27">
        <w:rPr>
          <w:rFonts w:ascii="Arial" w:eastAsia="Arial" w:hAnsi="Arial" w:cs="Arial"/>
          <w:color w:val="000000"/>
          <w:sz w:val="24"/>
          <w:szCs w:val="24"/>
        </w:rPr>
        <w:t>flouting with the requisite public procurement prescripts</w:t>
      </w:r>
      <w:r w:rsidR="00C9644F" w:rsidRPr="00E21C27">
        <w:rPr>
          <w:rFonts w:ascii="Arial" w:eastAsia="Arial" w:hAnsi="Arial" w:cs="Arial"/>
          <w:color w:val="000000"/>
          <w:sz w:val="24"/>
          <w:szCs w:val="24"/>
        </w:rPr>
        <w:t xml:space="preserve"> and non-compliance thereof</w:t>
      </w:r>
      <w:r w:rsidR="00122EAC" w:rsidRPr="00E21C27">
        <w:rPr>
          <w:rFonts w:ascii="Arial" w:eastAsia="Arial" w:hAnsi="Arial" w:cs="Arial"/>
          <w:color w:val="000000"/>
          <w:sz w:val="24"/>
          <w:szCs w:val="24"/>
        </w:rPr>
        <w:t xml:space="preserve">. </w:t>
      </w:r>
      <w:r w:rsidR="00843F05" w:rsidRPr="00E21C27">
        <w:rPr>
          <w:rFonts w:ascii="Arial" w:eastAsia="Arial" w:hAnsi="Arial" w:cs="Arial"/>
          <w:color w:val="000000"/>
          <w:sz w:val="24"/>
          <w:szCs w:val="24"/>
        </w:rPr>
        <w:t>N</w:t>
      </w:r>
      <w:r w:rsidR="003F29E0" w:rsidRPr="00E21C27">
        <w:rPr>
          <w:rFonts w:ascii="Arial" w:eastAsia="Arial" w:hAnsi="Arial" w:cs="Arial"/>
          <w:color w:val="000000"/>
          <w:sz w:val="24"/>
          <w:szCs w:val="24"/>
        </w:rPr>
        <w:t>o open-tender process</w:t>
      </w:r>
      <w:r w:rsidR="00843F05" w:rsidRPr="00E21C27">
        <w:rPr>
          <w:rFonts w:ascii="Arial" w:eastAsia="Arial" w:hAnsi="Arial" w:cs="Arial"/>
          <w:color w:val="000000"/>
          <w:sz w:val="24"/>
          <w:szCs w:val="24"/>
        </w:rPr>
        <w:t xml:space="preserve"> was adopted</w:t>
      </w:r>
      <w:r w:rsidR="003F29E0" w:rsidRPr="00E21C27">
        <w:rPr>
          <w:rFonts w:ascii="Arial" w:eastAsia="Arial" w:hAnsi="Arial" w:cs="Arial"/>
          <w:color w:val="000000"/>
          <w:sz w:val="24"/>
          <w:szCs w:val="24"/>
        </w:rPr>
        <w:t>, as such</w:t>
      </w:r>
      <w:r w:rsidR="00843F05" w:rsidRPr="00E21C27">
        <w:rPr>
          <w:rFonts w:ascii="Arial" w:eastAsia="Arial" w:hAnsi="Arial" w:cs="Arial"/>
          <w:color w:val="000000"/>
          <w:sz w:val="24"/>
          <w:szCs w:val="24"/>
        </w:rPr>
        <w:t>,</w:t>
      </w:r>
      <w:r w:rsidR="003F29E0" w:rsidRPr="00E21C27">
        <w:rPr>
          <w:rFonts w:ascii="Arial" w:eastAsia="Arial" w:hAnsi="Arial" w:cs="Arial"/>
          <w:color w:val="000000"/>
          <w:sz w:val="24"/>
          <w:szCs w:val="24"/>
        </w:rPr>
        <w:t xml:space="preserve"> there were no competitors against </w:t>
      </w:r>
      <w:r w:rsidR="00843F05" w:rsidRPr="00E21C27">
        <w:rPr>
          <w:rFonts w:ascii="Arial" w:eastAsia="Arial" w:hAnsi="Arial" w:cs="Arial"/>
          <w:color w:val="000000"/>
          <w:sz w:val="24"/>
          <w:szCs w:val="24"/>
        </w:rPr>
        <w:t xml:space="preserve">whom </w:t>
      </w:r>
      <w:r w:rsidR="007B3107" w:rsidRPr="00E21C27">
        <w:rPr>
          <w:rFonts w:ascii="Arial" w:eastAsia="Arial" w:hAnsi="Arial" w:cs="Arial"/>
          <w:color w:val="000000"/>
          <w:sz w:val="24"/>
          <w:szCs w:val="24"/>
        </w:rPr>
        <w:t>KR Inc.</w:t>
      </w:r>
      <w:r w:rsidR="000C5947" w:rsidRPr="00E21C27">
        <w:rPr>
          <w:rFonts w:ascii="Arial" w:eastAsia="Arial" w:hAnsi="Arial" w:cs="Arial"/>
          <w:color w:val="000000"/>
          <w:sz w:val="24"/>
          <w:szCs w:val="24"/>
        </w:rPr>
        <w:t xml:space="preserve"> could compete. </w:t>
      </w:r>
      <w:r w:rsidR="00843F05" w:rsidRPr="00E21C27">
        <w:rPr>
          <w:rFonts w:ascii="Arial" w:eastAsia="Arial" w:hAnsi="Arial" w:cs="Arial"/>
          <w:color w:val="000000"/>
          <w:sz w:val="24"/>
          <w:szCs w:val="24"/>
        </w:rPr>
        <w:t>T</w:t>
      </w:r>
      <w:r w:rsidR="003F29E0" w:rsidRPr="00E21C27">
        <w:rPr>
          <w:rFonts w:ascii="Arial" w:eastAsia="Arial" w:hAnsi="Arial" w:cs="Arial"/>
          <w:color w:val="000000"/>
          <w:sz w:val="24"/>
          <w:szCs w:val="24"/>
        </w:rPr>
        <w:t xml:space="preserve">here </w:t>
      </w:r>
      <w:r w:rsidR="00BA1D6B" w:rsidRPr="00E21C27">
        <w:rPr>
          <w:rFonts w:ascii="Arial" w:eastAsia="Arial" w:hAnsi="Arial" w:cs="Arial"/>
          <w:color w:val="000000"/>
          <w:sz w:val="24"/>
          <w:szCs w:val="24"/>
        </w:rPr>
        <w:t>is</w:t>
      </w:r>
      <w:r w:rsidR="00513CF3" w:rsidRPr="00E21C27">
        <w:rPr>
          <w:rFonts w:ascii="Arial" w:eastAsia="Arial" w:hAnsi="Arial" w:cs="Arial"/>
          <w:color w:val="000000"/>
          <w:sz w:val="24"/>
          <w:szCs w:val="24"/>
        </w:rPr>
        <w:t xml:space="preserve"> also</w:t>
      </w:r>
      <w:r w:rsidR="00BA1D6B" w:rsidRPr="00E21C27">
        <w:rPr>
          <w:rFonts w:ascii="Arial" w:eastAsia="Arial" w:hAnsi="Arial" w:cs="Arial"/>
          <w:color w:val="000000"/>
          <w:sz w:val="24"/>
          <w:szCs w:val="24"/>
        </w:rPr>
        <w:t xml:space="preserve"> no </w:t>
      </w:r>
      <w:r w:rsidR="00843F05" w:rsidRPr="00E21C27">
        <w:rPr>
          <w:rFonts w:ascii="Arial" w:eastAsia="Arial" w:hAnsi="Arial" w:cs="Arial"/>
          <w:color w:val="000000"/>
          <w:sz w:val="24"/>
          <w:szCs w:val="24"/>
        </w:rPr>
        <w:t xml:space="preserve">further </w:t>
      </w:r>
      <w:r w:rsidR="003F29E0" w:rsidRPr="00E21C27">
        <w:rPr>
          <w:rFonts w:ascii="Arial" w:eastAsia="Arial" w:hAnsi="Arial" w:cs="Arial"/>
          <w:color w:val="000000"/>
          <w:sz w:val="24"/>
          <w:szCs w:val="24"/>
        </w:rPr>
        <w:t xml:space="preserve">alternative pricing or an alternative service provider. In </w:t>
      </w:r>
      <w:r w:rsidR="00843F05" w:rsidRPr="00E21C27">
        <w:rPr>
          <w:rFonts w:ascii="Arial" w:eastAsia="Arial" w:hAnsi="Arial" w:cs="Arial"/>
          <w:color w:val="000000"/>
          <w:sz w:val="24"/>
          <w:szCs w:val="24"/>
        </w:rPr>
        <w:t>such</w:t>
      </w:r>
      <w:r w:rsidR="003F29E0" w:rsidRPr="00E21C27">
        <w:rPr>
          <w:rFonts w:ascii="Arial" w:eastAsia="Arial" w:hAnsi="Arial" w:cs="Arial"/>
          <w:color w:val="000000"/>
          <w:sz w:val="24"/>
          <w:szCs w:val="24"/>
        </w:rPr>
        <w:t xml:space="preserve"> circumstances</w:t>
      </w:r>
      <w:r w:rsidR="00122EAC" w:rsidRPr="00E21C27">
        <w:rPr>
          <w:rFonts w:ascii="Arial" w:eastAsia="Arial" w:hAnsi="Arial" w:cs="Arial"/>
          <w:color w:val="000000"/>
          <w:sz w:val="24"/>
          <w:szCs w:val="24"/>
        </w:rPr>
        <w:t>,</w:t>
      </w:r>
      <w:r w:rsidR="007B3107" w:rsidRPr="00E21C27">
        <w:rPr>
          <w:rFonts w:ascii="Arial" w:eastAsia="Arial" w:hAnsi="Arial" w:cs="Arial"/>
          <w:color w:val="000000"/>
          <w:sz w:val="24"/>
          <w:szCs w:val="24"/>
        </w:rPr>
        <w:t xml:space="preserve"> the conclusion of the addendum </w:t>
      </w:r>
      <w:r w:rsidR="00843F05" w:rsidRPr="00E21C27">
        <w:rPr>
          <w:rFonts w:ascii="Arial" w:eastAsia="Arial" w:hAnsi="Arial" w:cs="Arial"/>
          <w:color w:val="000000"/>
          <w:sz w:val="24"/>
          <w:szCs w:val="24"/>
        </w:rPr>
        <w:t xml:space="preserve">did not </w:t>
      </w:r>
      <w:r w:rsidR="00122EAC" w:rsidRPr="00E21C27">
        <w:rPr>
          <w:rFonts w:ascii="Arial" w:eastAsia="Arial" w:hAnsi="Arial" w:cs="Arial"/>
          <w:color w:val="000000"/>
          <w:sz w:val="24"/>
          <w:szCs w:val="24"/>
        </w:rPr>
        <w:t>compl</w:t>
      </w:r>
      <w:r w:rsidR="00843F05" w:rsidRPr="00E21C27">
        <w:rPr>
          <w:rFonts w:ascii="Arial" w:eastAsia="Arial" w:hAnsi="Arial" w:cs="Arial"/>
          <w:color w:val="000000"/>
          <w:sz w:val="24"/>
          <w:szCs w:val="24"/>
        </w:rPr>
        <w:t xml:space="preserve">y </w:t>
      </w:r>
      <w:r w:rsidR="00122EAC" w:rsidRPr="00E21C27">
        <w:rPr>
          <w:rFonts w:ascii="Arial" w:eastAsia="Arial" w:hAnsi="Arial" w:cs="Arial"/>
          <w:color w:val="000000"/>
          <w:sz w:val="24"/>
          <w:szCs w:val="24"/>
        </w:rPr>
        <w:t>with s 217 of the Constitution</w:t>
      </w:r>
      <w:r w:rsidR="00843F05" w:rsidRPr="00E21C27">
        <w:rPr>
          <w:rFonts w:ascii="Arial" w:eastAsia="Arial" w:hAnsi="Arial" w:cs="Arial"/>
          <w:color w:val="000000"/>
          <w:sz w:val="24"/>
          <w:szCs w:val="24"/>
        </w:rPr>
        <w:t xml:space="preserve">. This culminated in a process adopted for the appointment of </w:t>
      </w:r>
      <w:r w:rsidR="007B3107" w:rsidRPr="00E21C27">
        <w:rPr>
          <w:rFonts w:ascii="Arial" w:eastAsia="Arial" w:hAnsi="Arial" w:cs="Arial"/>
          <w:color w:val="000000"/>
          <w:sz w:val="24"/>
          <w:szCs w:val="24"/>
        </w:rPr>
        <w:t>KR Inc.</w:t>
      </w:r>
      <w:r w:rsidR="00843F05" w:rsidRPr="00E21C27">
        <w:rPr>
          <w:rFonts w:ascii="Arial" w:eastAsia="Arial" w:hAnsi="Arial" w:cs="Arial"/>
          <w:color w:val="000000"/>
          <w:sz w:val="24"/>
          <w:szCs w:val="24"/>
        </w:rPr>
        <w:t xml:space="preserve"> being ‘</w:t>
      </w:r>
      <w:r w:rsidR="00122EAC" w:rsidRPr="00E21C27">
        <w:rPr>
          <w:rFonts w:ascii="Arial" w:eastAsia="Arial" w:hAnsi="Arial" w:cs="Arial"/>
          <w:color w:val="000000"/>
          <w:sz w:val="24"/>
          <w:szCs w:val="24"/>
        </w:rPr>
        <w:t>a system which was</w:t>
      </w:r>
      <w:r w:rsidR="00843F05" w:rsidRPr="00E21C27">
        <w:rPr>
          <w:rFonts w:ascii="Arial" w:eastAsia="Arial" w:hAnsi="Arial" w:cs="Arial"/>
          <w:color w:val="000000"/>
          <w:sz w:val="24"/>
          <w:szCs w:val="24"/>
        </w:rPr>
        <w:t xml:space="preserve"> [NOT]</w:t>
      </w:r>
      <w:r w:rsidR="00122EAC" w:rsidRPr="00E21C27">
        <w:rPr>
          <w:rFonts w:ascii="Arial" w:eastAsia="Arial" w:hAnsi="Arial" w:cs="Arial"/>
          <w:color w:val="000000"/>
          <w:sz w:val="24"/>
          <w:szCs w:val="24"/>
        </w:rPr>
        <w:t xml:space="preserve"> fair, equitable, transparent, </w:t>
      </w:r>
      <w:r w:rsidR="00843F05" w:rsidRPr="00E21C27">
        <w:rPr>
          <w:rFonts w:ascii="Arial" w:eastAsia="Arial" w:hAnsi="Arial" w:cs="Arial"/>
          <w:color w:val="000000"/>
          <w:sz w:val="24"/>
          <w:szCs w:val="24"/>
        </w:rPr>
        <w:t>competitive and cost-effective’</w:t>
      </w:r>
      <w:r w:rsidR="00C729AA" w:rsidRPr="00E21C27">
        <w:rPr>
          <w:rFonts w:ascii="Arial" w:eastAsia="Arial" w:hAnsi="Arial" w:cs="Arial"/>
          <w:color w:val="000000"/>
          <w:sz w:val="24"/>
          <w:szCs w:val="24"/>
        </w:rPr>
        <w:t xml:space="preserve"> as required by s 217 of the </w:t>
      </w:r>
      <w:r w:rsidR="00F9331F" w:rsidRPr="00E21C27">
        <w:rPr>
          <w:rFonts w:ascii="Arial" w:eastAsia="Arial" w:hAnsi="Arial" w:cs="Arial"/>
          <w:color w:val="000000"/>
          <w:sz w:val="24"/>
          <w:szCs w:val="24"/>
        </w:rPr>
        <w:t>Constitution</w:t>
      </w:r>
      <w:r w:rsidR="00C729AA" w:rsidRPr="00E21C27">
        <w:rPr>
          <w:rFonts w:ascii="Arial" w:eastAsia="Arial" w:hAnsi="Arial" w:cs="Arial"/>
          <w:color w:val="000000"/>
          <w:sz w:val="24"/>
          <w:szCs w:val="24"/>
        </w:rPr>
        <w:t>.</w:t>
      </w:r>
      <w:r w:rsidR="00C9644F" w:rsidRPr="00E21C27">
        <w:rPr>
          <w:rFonts w:ascii="Arial" w:eastAsia="Arial" w:hAnsi="Arial" w:cs="Arial"/>
          <w:color w:val="000000"/>
          <w:sz w:val="24"/>
          <w:szCs w:val="24"/>
        </w:rPr>
        <w:t xml:space="preserve"> Thus, at variance with the</w:t>
      </w:r>
      <w:r w:rsidR="003F29E0" w:rsidRPr="00E21C27">
        <w:rPr>
          <w:rFonts w:ascii="Arial" w:eastAsia="Arial" w:hAnsi="Arial" w:cs="Arial"/>
          <w:color w:val="000000"/>
          <w:sz w:val="24"/>
          <w:szCs w:val="24"/>
        </w:rPr>
        <w:t xml:space="preserve"> </w:t>
      </w:r>
      <w:r w:rsidR="00C9644F" w:rsidRPr="00E21C27">
        <w:rPr>
          <w:rFonts w:ascii="Arial" w:eastAsia="Arial" w:hAnsi="Arial" w:cs="Arial"/>
          <w:color w:val="000000"/>
          <w:sz w:val="24"/>
          <w:szCs w:val="24"/>
        </w:rPr>
        <w:t>principles of legality</w:t>
      </w:r>
      <w:r w:rsidR="000C5947" w:rsidRPr="00E21C27">
        <w:rPr>
          <w:rFonts w:ascii="Arial" w:eastAsia="Arial" w:hAnsi="Arial" w:cs="Arial"/>
          <w:color w:val="000000"/>
          <w:sz w:val="24"/>
          <w:szCs w:val="24"/>
        </w:rPr>
        <w:t>,</w:t>
      </w:r>
      <w:r w:rsidR="00C9644F" w:rsidRPr="00E21C27">
        <w:rPr>
          <w:rFonts w:ascii="Arial" w:eastAsia="Arial" w:hAnsi="Arial" w:cs="Arial"/>
          <w:color w:val="000000"/>
          <w:sz w:val="24"/>
          <w:szCs w:val="24"/>
        </w:rPr>
        <w:t xml:space="preserve"> </w:t>
      </w:r>
      <w:r w:rsidR="000C5947" w:rsidRPr="00E21C27">
        <w:rPr>
          <w:rFonts w:ascii="Arial" w:eastAsia="Arial" w:hAnsi="Arial" w:cs="Arial"/>
          <w:color w:val="000000"/>
          <w:sz w:val="24"/>
          <w:szCs w:val="24"/>
        </w:rPr>
        <w:t>s</w:t>
      </w:r>
      <w:r w:rsidR="00513CF3" w:rsidRPr="00E21C27">
        <w:rPr>
          <w:rFonts w:ascii="Arial" w:eastAsia="Arial" w:hAnsi="Arial" w:cs="Arial"/>
          <w:color w:val="000000"/>
          <w:sz w:val="24"/>
          <w:szCs w:val="24"/>
        </w:rPr>
        <w:t>ince</w:t>
      </w:r>
      <w:r w:rsidR="000C5947" w:rsidRPr="00E21C27">
        <w:rPr>
          <w:rFonts w:ascii="Arial" w:eastAsia="Arial" w:hAnsi="Arial" w:cs="Arial"/>
          <w:color w:val="000000"/>
          <w:sz w:val="24"/>
          <w:szCs w:val="24"/>
        </w:rPr>
        <w:t xml:space="preserve"> </w:t>
      </w:r>
      <w:r w:rsidR="00C9644F" w:rsidRPr="00E21C27">
        <w:rPr>
          <w:rFonts w:ascii="Arial" w:eastAsia="Arial" w:hAnsi="Arial" w:cs="Arial"/>
          <w:color w:val="000000"/>
          <w:sz w:val="24"/>
          <w:szCs w:val="24"/>
        </w:rPr>
        <w:t xml:space="preserve">the </w:t>
      </w:r>
      <w:r w:rsidR="007B3107" w:rsidRPr="00E21C27">
        <w:rPr>
          <w:rFonts w:ascii="Arial" w:eastAsia="Arial" w:hAnsi="Arial" w:cs="Arial"/>
          <w:color w:val="000000"/>
          <w:sz w:val="24"/>
          <w:szCs w:val="24"/>
        </w:rPr>
        <w:t xml:space="preserve">Department </w:t>
      </w:r>
      <w:r w:rsidR="00C9644F" w:rsidRPr="00E21C27">
        <w:rPr>
          <w:rFonts w:ascii="Arial" w:eastAsia="Arial" w:hAnsi="Arial" w:cs="Arial"/>
          <w:color w:val="000000"/>
          <w:sz w:val="24"/>
          <w:szCs w:val="24"/>
        </w:rPr>
        <w:t xml:space="preserve">had no authority to </w:t>
      </w:r>
      <w:r w:rsidR="00AE7482" w:rsidRPr="00E21C27">
        <w:rPr>
          <w:rFonts w:ascii="Arial" w:eastAsia="Arial" w:hAnsi="Arial" w:cs="Arial"/>
          <w:color w:val="000000"/>
          <w:sz w:val="24"/>
          <w:szCs w:val="24"/>
        </w:rPr>
        <w:t xml:space="preserve">conclude the </w:t>
      </w:r>
      <w:r w:rsidR="00843F05" w:rsidRPr="00E21C27">
        <w:rPr>
          <w:rFonts w:ascii="Arial" w:eastAsia="Arial" w:hAnsi="Arial" w:cs="Arial"/>
          <w:color w:val="000000"/>
          <w:sz w:val="24"/>
          <w:szCs w:val="24"/>
        </w:rPr>
        <w:t xml:space="preserve">addendum </w:t>
      </w:r>
      <w:r w:rsidR="00C9644F" w:rsidRPr="00E21C27">
        <w:rPr>
          <w:rFonts w:ascii="Arial" w:eastAsia="Arial" w:hAnsi="Arial" w:cs="Arial"/>
          <w:color w:val="000000"/>
          <w:sz w:val="24"/>
          <w:szCs w:val="24"/>
        </w:rPr>
        <w:t>in the first place.</w:t>
      </w:r>
    </w:p>
    <w:p w:rsidR="0079399F" w:rsidRPr="00E21C27" w:rsidRDefault="0079399F" w:rsidP="00DB01F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CD05AA"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t>[18]</w:t>
      </w:r>
      <w:r w:rsidRPr="00E21C27">
        <w:rPr>
          <w:rFonts w:ascii="Arial" w:eastAsia="Arial" w:hAnsi="Arial" w:cs="Arial"/>
          <w:color w:val="000000"/>
          <w:sz w:val="24"/>
          <w:szCs w:val="24"/>
        </w:rPr>
        <w:tab/>
      </w:r>
      <w:r w:rsidR="00163207" w:rsidRPr="00E21C27">
        <w:rPr>
          <w:rFonts w:ascii="Arial" w:eastAsia="Arial" w:hAnsi="Arial" w:cs="Arial"/>
          <w:color w:val="000000"/>
          <w:sz w:val="24"/>
          <w:szCs w:val="24"/>
        </w:rPr>
        <w:t xml:space="preserve">Much </w:t>
      </w:r>
      <w:r w:rsidR="000879B0" w:rsidRPr="00E21C27">
        <w:rPr>
          <w:rFonts w:ascii="Arial" w:eastAsia="Arial" w:hAnsi="Arial" w:cs="Arial"/>
          <w:color w:val="000000"/>
          <w:sz w:val="24"/>
          <w:szCs w:val="24"/>
        </w:rPr>
        <w:t xml:space="preserve">dispute </w:t>
      </w:r>
      <w:r w:rsidR="00163207" w:rsidRPr="00E21C27">
        <w:rPr>
          <w:rFonts w:ascii="Arial" w:eastAsia="Arial" w:hAnsi="Arial" w:cs="Arial"/>
          <w:color w:val="000000"/>
          <w:sz w:val="24"/>
          <w:szCs w:val="24"/>
        </w:rPr>
        <w:t xml:space="preserve">was made by </w:t>
      </w:r>
      <w:r w:rsidR="006E41B9" w:rsidRPr="00E21C27">
        <w:rPr>
          <w:rFonts w:ascii="Arial" w:eastAsia="Arial" w:hAnsi="Arial" w:cs="Arial"/>
          <w:color w:val="000000"/>
          <w:sz w:val="24"/>
          <w:szCs w:val="24"/>
        </w:rPr>
        <w:t xml:space="preserve">KR Inc. </w:t>
      </w:r>
      <w:r w:rsidR="00163207" w:rsidRPr="00E21C27">
        <w:rPr>
          <w:rFonts w:ascii="Arial" w:eastAsia="Arial" w:hAnsi="Arial" w:cs="Arial"/>
          <w:color w:val="000000"/>
          <w:sz w:val="24"/>
          <w:szCs w:val="24"/>
        </w:rPr>
        <w:t xml:space="preserve">that </w:t>
      </w:r>
      <w:r w:rsidR="0079399F" w:rsidRPr="00E21C27">
        <w:rPr>
          <w:rFonts w:ascii="Arial" w:eastAsia="Arial" w:hAnsi="Arial" w:cs="Arial"/>
          <w:color w:val="000000"/>
          <w:sz w:val="24"/>
          <w:szCs w:val="24"/>
        </w:rPr>
        <w:t xml:space="preserve">the </w:t>
      </w:r>
      <w:r w:rsidR="00163207" w:rsidRPr="00E21C27">
        <w:rPr>
          <w:rFonts w:ascii="Arial" w:eastAsia="Arial" w:hAnsi="Arial" w:cs="Arial"/>
          <w:color w:val="000000"/>
          <w:sz w:val="24"/>
          <w:szCs w:val="24"/>
        </w:rPr>
        <w:t xml:space="preserve">supply chain management services, which </w:t>
      </w:r>
      <w:r w:rsidR="0079399F" w:rsidRPr="00E21C27">
        <w:rPr>
          <w:rFonts w:ascii="Arial" w:eastAsia="Arial" w:hAnsi="Arial" w:cs="Arial"/>
          <w:color w:val="000000"/>
          <w:sz w:val="24"/>
          <w:szCs w:val="24"/>
        </w:rPr>
        <w:t>are catered for in the</w:t>
      </w:r>
      <w:r w:rsidR="00163207" w:rsidRPr="00E21C27">
        <w:rPr>
          <w:rFonts w:ascii="Arial" w:eastAsia="Arial" w:hAnsi="Arial" w:cs="Arial"/>
          <w:color w:val="000000"/>
          <w:sz w:val="24"/>
          <w:szCs w:val="24"/>
        </w:rPr>
        <w:t xml:space="preserve"> </w:t>
      </w:r>
      <w:r w:rsidR="0079399F" w:rsidRPr="00E21C27">
        <w:rPr>
          <w:rFonts w:ascii="Arial" w:eastAsia="Arial" w:hAnsi="Arial" w:cs="Arial"/>
          <w:color w:val="000000"/>
          <w:sz w:val="24"/>
          <w:szCs w:val="24"/>
        </w:rPr>
        <w:t>addendum</w:t>
      </w:r>
      <w:r w:rsidR="00163207" w:rsidRPr="00E21C27">
        <w:rPr>
          <w:rFonts w:ascii="Arial" w:eastAsia="Arial" w:hAnsi="Arial" w:cs="Arial"/>
          <w:color w:val="000000"/>
          <w:sz w:val="24"/>
          <w:szCs w:val="24"/>
        </w:rPr>
        <w:t xml:space="preserve">, </w:t>
      </w:r>
      <w:r w:rsidR="0079399F" w:rsidRPr="00E21C27">
        <w:rPr>
          <w:rFonts w:ascii="Arial" w:eastAsia="Arial" w:hAnsi="Arial" w:cs="Arial"/>
          <w:color w:val="000000"/>
          <w:sz w:val="24"/>
          <w:szCs w:val="24"/>
        </w:rPr>
        <w:t xml:space="preserve">in fact </w:t>
      </w:r>
      <w:r w:rsidR="00163207" w:rsidRPr="00E21C27">
        <w:rPr>
          <w:rFonts w:ascii="Arial" w:eastAsia="Arial" w:hAnsi="Arial" w:cs="Arial"/>
          <w:color w:val="000000"/>
          <w:sz w:val="24"/>
          <w:szCs w:val="24"/>
        </w:rPr>
        <w:t xml:space="preserve">formed part of the services it had to perform in terms of </w:t>
      </w:r>
      <w:r w:rsidR="0079399F" w:rsidRPr="00E21C27">
        <w:rPr>
          <w:rFonts w:ascii="Arial" w:eastAsia="Arial" w:hAnsi="Arial" w:cs="Arial"/>
          <w:color w:val="000000"/>
          <w:sz w:val="24"/>
          <w:szCs w:val="24"/>
        </w:rPr>
        <w:t>SLA</w:t>
      </w:r>
      <w:r w:rsidR="00D6273C" w:rsidRPr="00E21C27">
        <w:rPr>
          <w:rFonts w:ascii="Arial" w:eastAsia="Arial" w:hAnsi="Arial" w:cs="Arial"/>
          <w:color w:val="000000"/>
          <w:sz w:val="24"/>
          <w:szCs w:val="24"/>
        </w:rPr>
        <w:t>,</w:t>
      </w:r>
      <w:r w:rsidR="00163207" w:rsidRPr="00E21C27">
        <w:rPr>
          <w:rFonts w:ascii="Arial" w:eastAsia="Arial" w:hAnsi="Arial" w:cs="Arial"/>
          <w:color w:val="000000"/>
          <w:sz w:val="24"/>
          <w:szCs w:val="24"/>
        </w:rPr>
        <w:t xml:space="preserve"> and ‘the conclusion of the addendum</w:t>
      </w:r>
      <w:r w:rsidR="0079399F" w:rsidRPr="00E21C27">
        <w:rPr>
          <w:rFonts w:ascii="Arial" w:eastAsia="Arial" w:hAnsi="Arial" w:cs="Arial"/>
          <w:color w:val="000000"/>
          <w:sz w:val="24"/>
          <w:szCs w:val="24"/>
        </w:rPr>
        <w:t xml:space="preserve"> [merely]</w:t>
      </w:r>
      <w:r w:rsidR="00163207" w:rsidRPr="00E21C27">
        <w:rPr>
          <w:rFonts w:ascii="Arial" w:eastAsia="Arial" w:hAnsi="Arial" w:cs="Arial"/>
          <w:color w:val="000000"/>
          <w:sz w:val="24"/>
          <w:szCs w:val="24"/>
        </w:rPr>
        <w:t xml:space="preserve"> flowed from the award’ of tender EDU 04/15 NW.</w:t>
      </w:r>
      <w:r w:rsidR="009B3A5F" w:rsidRPr="00E21C27">
        <w:rPr>
          <w:rFonts w:ascii="Arial" w:eastAsia="Arial" w:hAnsi="Arial" w:cs="Arial"/>
          <w:color w:val="000000"/>
          <w:sz w:val="24"/>
          <w:szCs w:val="24"/>
        </w:rPr>
        <w:t xml:space="preserve"> </w:t>
      </w:r>
      <w:r w:rsidR="0079399F" w:rsidRPr="00E21C27">
        <w:rPr>
          <w:rFonts w:ascii="Arial" w:eastAsia="Arial" w:hAnsi="Arial" w:cs="Arial"/>
          <w:color w:val="000000"/>
          <w:sz w:val="24"/>
          <w:szCs w:val="24"/>
        </w:rPr>
        <w:t>This is clearly not correct</w:t>
      </w:r>
      <w:r w:rsidR="0030098F" w:rsidRPr="00E21C27">
        <w:rPr>
          <w:rFonts w:ascii="Arial" w:eastAsia="Arial" w:hAnsi="Arial" w:cs="Arial"/>
          <w:color w:val="000000"/>
          <w:sz w:val="24"/>
          <w:szCs w:val="24"/>
        </w:rPr>
        <w:t>.</w:t>
      </w:r>
      <w:r w:rsidR="006E41B9" w:rsidRPr="00E21C27">
        <w:rPr>
          <w:rFonts w:ascii="Arial" w:eastAsia="Arial" w:hAnsi="Arial" w:cs="Arial"/>
          <w:color w:val="000000"/>
          <w:sz w:val="24"/>
          <w:szCs w:val="24"/>
        </w:rPr>
        <w:t xml:space="preserve"> In terms of the SLA, KR Inc.</w:t>
      </w:r>
      <w:r w:rsidR="00D6273C" w:rsidRPr="00E21C27">
        <w:rPr>
          <w:rFonts w:ascii="Arial" w:eastAsia="Arial" w:hAnsi="Arial" w:cs="Arial"/>
          <w:color w:val="000000"/>
          <w:sz w:val="24"/>
          <w:szCs w:val="24"/>
        </w:rPr>
        <w:t xml:space="preserve"> merely had to appoint the</w:t>
      </w:r>
      <w:r w:rsidR="004C4E29" w:rsidRPr="00E21C27">
        <w:rPr>
          <w:rFonts w:ascii="Arial" w:eastAsia="Arial" w:hAnsi="Arial" w:cs="Arial"/>
          <w:color w:val="000000"/>
          <w:sz w:val="24"/>
          <w:szCs w:val="24"/>
        </w:rPr>
        <w:t xml:space="preserve"> service provider</w:t>
      </w:r>
      <w:r w:rsidR="00EE403A" w:rsidRPr="00E21C27">
        <w:rPr>
          <w:rFonts w:ascii="Arial" w:eastAsia="Arial" w:hAnsi="Arial" w:cs="Arial"/>
          <w:color w:val="000000"/>
          <w:sz w:val="24"/>
          <w:szCs w:val="24"/>
        </w:rPr>
        <w:t xml:space="preserve"> and </w:t>
      </w:r>
      <w:r w:rsidR="00D6273C" w:rsidRPr="00E21C27">
        <w:rPr>
          <w:rFonts w:ascii="Arial" w:eastAsia="Arial" w:hAnsi="Arial" w:cs="Arial"/>
          <w:color w:val="000000"/>
          <w:sz w:val="24"/>
          <w:szCs w:val="24"/>
        </w:rPr>
        <w:t>the supply chain management service,</w:t>
      </w:r>
      <w:r w:rsidR="004C4E29" w:rsidRPr="00E21C27">
        <w:rPr>
          <w:rFonts w:ascii="Arial" w:eastAsia="Arial" w:hAnsi="Arial" w:cs="Arial"/>
          <w:color w:val="000000"/>
          <w:sz w:val="24"/>
          <w:szCs w:val="24"/>
        </w:rPr>
        <w:t xml:space="preserve"> in respect of the LTSM. However, </w:t>
      </w:r>
      <w:r w:rsidR="00F352EB" w:rsidRPr="00E21C27">
        <w:rPr>
          <w:rFonts w:ascii="Arial" w:eastAsia="Arial" w:hAnsi="Arial" w:cs="Arial"/>
          <w:color w:val="000000"/>
          <w:sz w:val="24"/>
          <w:szCs w:val="24"/>
        </w:rPr>
        <w:t>the addendum now sought that KR Inc.</w:t>
      </w:r>
      <w:r w:rsidR="004C4E29" w:rsidRPr="00E21C27">
        <w:rPr>
          <w:rFonts w:ascii="Arial" w:eastAsia="Arial" w:hAnsi="Arial" w:cs="Arial"/>
          <w:color w:val="000000"/>
          <w:sz w:val="24"/>
          <w:szCs w:val="24"/>
        </w:rPr>
        <w:t xml:space="preserve"> execute</w:t>
      </w:r>
      <w:r w:rsidR="00F0471C" w:rsidRPr="00E21C27">
        <w:rPr>
          <w:rFonts w:ascii="Arial" w:eastAsia="Arial" w:hAnsi="Arial" w:cs="Arial"/>
          <w:color w:val="000000"/>
          <w:sz w:val="24"/>
          <w:szCs w:val="24"/>
        </w:rPr>
        <w:t>, as</w:t>
      </w:r>
      <w:r w:rsidR="004C4E29" w:rsidRPr="00E21C27">
        <w:rPr>
          <w:rFonts w:ascii="Arial" w:eastAsia="Arial" w:hAnsi="Arial" w:cs="Arial"/>
          <w:color w:val="000000"/>
          <w:sz w:val="24"/>
          <w:szCs w:val="24"/>
        </w:rPr>
        <w:t xml:space="preserve"> the supply chain management service</w:t>
      </w:r>
      <w:r w:rsidR="00F0471C" w:rsidRPr="00E21C27">
        <w:rPr>
          <w:rFonts w:ascii="Arial" w:eastAsia="Arial" w:hAnsi="Arial" w:cs="Arial"/>
          <w:color w:val="000000"/>
          <w:sz w:val="24"/>
          <w:szCs w:val="24"/>
        </w:rPr>
        <w:t xml:space="preserve"> would, </w:t>
      </w:r>
      <w:r w:rsidR="00985D5F" w:rsidRPr="00E21C27">
        <w:rPr>
          <w:rFonts w:ascii="Arial" w:eastAsia="Arial" w:hAnsi="Arial" w:cs="Arial"/>
          <w:color w:val="000000"/>
          <w:sz w:val="24"/>
          <w:szCs w:val="24"/>
        </w:rPr>
        <w:t xml:space="preserve">the </w:t>
      </w:r>
      <w:r w:rsidR="00F0471C" w:rsidRPr="00E21C27">
        <w:rPr>
          <w:rFonts w:ascii="Arial" w:eastAsia="Arial" w:hAnsi="Arial" w:cs="Arial"/>
          <w:color w:val="000000"/>
          <w:sz w:val="24"/>
          <w:szCs w:val="24"/>
        </w:rPr>
        <w:t>provision and delivery of the station</w:t>
      </w:r>
      <w:r w:rsidR="00423662" w:rsidRPr="00E21C27">
        <w:rPr>
          <w:rFonts w:ascii="Arial" w:eastAsia="Arial" w:hAnsi="Arial" w:cs="Arial"/>
          <w:color w:val="000000"/>
          <w:sz w:val="24"/>
          <w:szCs w:val="24"/>
        </w:rPr>
        <w:t>e</w:t>
      </w:r>
      <w:r w:rsidR="00F0471C" w:rsidRPr="00E21C27">
        <w:rPr>
          <w:rFonts w:ascii="Arial" w:eastAsia="Arial" w:hAnsi="Arial" w:cs="Arial"/>
          <w:color w:val="000000"/>
          <w:sz w:val="24"/>
          <w:szCs w:val="24"/>
        </w:rPr>
        <w:t xml:space="preserve">ry in terms of the LTSM. </w:t>
      </w:r>
      <w:r w:rsidR="004C4E29" w:rsidRPr="00E21C27">
        <w:rPr>
          <w:rFonts w:ascii="Arial" w:eastAsia="Arial" w:hAnsi="Arial" w:cs="Arial"/>
          <w:color w:val="000000"/>
          <w:sz w:val="24"/>
          <w:szCs w:val="24"/>
        </w:rPr>
        <w:t xml:space="preserve">Hence, in respect of the addendum there was an increase in the scope of work to be conducted; </w:t>
      </w:r>
      <w:r w:rsidR="000C5947" w:rsidRPr="00E21C27">
        <w:rPr>
          <w:rFonts w:ascii="Arial" w:eastAsia="Arial" w:hAnsi="Arial" w:cs="Arial"/>
          <w:color w:val="000000"/>
          <w:sz w:val="24"/>
          <w:szCs w:val="24"/>
        </w:rPr>
        <w:t xml:space="preserve">an </w:t>
      </w:r>
      <w:r w:rsidR="004C4E29" w:rsidRPr="00E21C27">
        <w:rPr>
          <w:rFonts w:ascii="Arial" w:eastAsia="Arial" w:hAnsi="Arial" w:cs="Arial"/>
          <w:color w:val="000000"/>
          <w:sz w:val="24"/>
          <w:szCs w:val="24"/>
        </w:rPr>
        <w:t>increase in the duration period for the work to have b</w:t>
      </w:r>
      <w:r w:rsidR="00F0471C" w:rsidRPr="00E21C27">
        <w:rPr>
          <w:rFonts w:ascii="Arial" w:eastAsia="Arial" w:hAnsi="Arial" w:cs="Arial"/>
          <w:color w:val="000000"/>
          <w:sz w:val="24"/>
          <w:szCs w:val="24"/>
        </w:rPr>
        <w:t xml:space="preserve">een </w:t>
      </w:r>
      <w:r w:rsidR="00985D5F" w:rsidRPr="00E21C27">
        <w:rPr>
          <w:rFonts w:ascii="Arial" w:eastAsia="Arial" w:hAnsi="Arial" w:cs="Arial"/>
          <w:color w:val="000000"/>
          <w:sz w:val="24"/>
          <w:szCs w:val="24"/>
        </w:rPr>
        <w:t>performed</w:t>
      </w:r>
      <w:r w:rsidR="00F0471C" w:rsidRPr="00E21C27">
        <w:rPr>
          <w:rFonts w:ascii="Arial" w:eastAsia="Arial" w:hAnsi="Arial" w:cs="Arial"/>
          <w:color w:val="000000"/>
          <w:sz w:val="24"/>
          <w:szCs w:val="24"/>
        </w:rPr>
        <w:t>; and naturally an</w:t>
      </w:r>
      <w:r w:rsidR="004C4E29" w:rsidRPr="00E21C27">
        <w:rPr>
          <w:rFonts w:ascii="Arial" w:eastAsia="Arial" w:hAnsi="Arial" w:cs="Arial"/>
          <w:color w:val="000000"/>
          <w:sz w:val="24"/>
          <w:szCs w:val="24"/>
        </w:rPr>
        <w:t xml:space="preserve"> incr</w:t>
      </w:r>
      <w:r w:rsidR="00F352EB" w:rsidRPr="00E21C27">
        <w:rPr>
          <w:rFonts w:ascii="Arial" w:eastAsia="Arial" w:hAnsi="Arial" w:cs="Arial"/>
          <w:color w:val="000000"/>
          <w:sz w:val="24"/>
          <w:szCs w:val="24"/>
        </w:rPr>
        <w:t>ease in the fees to be paid to KR Inc.</w:t>
      </w:r>
    </w:p>
    <w:p w:rsidR="00CD05AA" w:rsidRPr="00E21C27" w:rsidRDefault="00CD05AA" w:rsidP="002336D1">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8E179E"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t>[19]</w:t>
      </w:r>
      <w:r w:rsidRPr="00E21C27">
        <w:rPr>
          <w:rFonts w:ascii="Arial" w:eastAsia="Arial" w:hAnsi="Arial" w:cs="Arial"/>
          <w:color w:val="000000"/>
          <w:sz w:val="24"/>
          <w:szCs w:val="24"/>
        </w:rPr>
        <w:tab/>
      </w:r>
      <w:r w:rsidR="00F352EB" w:rsidRPr="00E21C27">
        <w:rPr>
          <w:rFonts w:ascii="Arial" w:eastAsia="Arial" w:hAnsi="Arial" w:cs="Arial"/>
          <w:color w:val="000000"/>
          <w:sz w:val="24"/>
          <w:szCs w:val="24"/>
        </w:rPr>
        <w:t xml:space="preserve">KR Inc. </w:t>
      </w:r>
      <w:r w:rsidR="004C4E29" w:rsidRPr="00E21C27">
        <w:rPr>
          <w:rFonts w:ascii="Arial" w:eastAsia="Arial" w:hAnsi="Arial" w:cs="Arial"/>
          <w:color w:val="000000"/>
          <w:sz w:val="24"/>
          <w:szCs w:val="24"/>
        </w:rPr>
        <w:t>contended that the addendum was valid as it was a single source procu</w:t>
      </w:r>
      <w:r w:rsidR="00AC2915" w:rsidRPr="00E21C27">
        <w:rPr>
          <w:rFonts w:ascii="Arial" w:eastAsia="Arial" w:hAnsi="Arial" w:cs="Arial"/>
          <w:color w:val="000000"/>
          <w:sz w:val="24"/>
          <w:szCs w:val="24"/>
        </w:rPr>
        <w:t>re</w:t>
      </w:r>
      <w:r w:rsidR="004C4E29" w:rsidRPr="00E21C27">
        <w:rPr>
          <w:rFonts w:ascii="Arial" w:eastAsia="Arial" w:hAnsi="Arial" w:cs="Arial"/>
          <w:color w:val="000000"/>
          <w:sz w:val="24"/>
          <w:szCs w:val="24"/>
        </w:rPr>
        <w:t>ment</w:t>
      </w:r>
      <w:r w:rsidR="000715AC" w:rsidRPr="00E21C27">
        <w:rPr>
          <w:rFonts w:ascii="Arial" w:eastAsia="Arial" w:hAnsi="Arial" w:cs="Arial"/>
          <w:color w:val="000000"/>
          <w:sz w:val="24"/>
          <w:szCs w:val="24"/>
        </w:rPr>
        <w:t>, which</w:t>
      </w:r>
      <w:r w:rsidR="00AC2915" w:rsidRPr="00E21C27">
        <w:rPr>
          <w:rFonts w:ascii="Arial" w:eastAsia="Arial" w:hAnsi="Arial" w:cs="Arial"/>
          <w:color w:val="000000"/>
          <w:sz w:val="24"/>
          <w:szCs w:val="24"/>
        </w:rPr>
        <w:t xml:space="preserve"> arose as a result of an emergency situation as ‘the provision and delivery of the LTSM had to take place before the commencement of the 2016 school year’. </w:t>
      </w:r>
      <w:r w:rsidR="007B56A0" w:rsidRPr="00E21C27">
        <w:rPr>
          <w:rFonts w:ascii="Arial" w:eastAsia="Arial" w:hAnsi="Arial" w:cs="Arial"/>
          <w:color w:val="000000"/>
          <w:sz w:val="24"/>
          <w:szCs w:val="24"/>
        </w:rPr>
        <w:t>From the fact</w:t>
      </w:r>
      <w:r w:rsidR="00805ADB" w:rsidRPr="00E21C27">
        <w:rPr>
          <w:rFonts w:ascii="Arial" w:eastAsia="Arial" w:hAnsi="Arial" w:cs="Arial"/>
          <w:color w:val="000000"/>
          <w:sz w:val="24"/>
          <w:szCs w:val="24"/>
        </w:rPr>
        <w:t>s</w:t>
      </w:r>
      <w:r w:rsidR="007B56A0" w:rsidRPr="00E21C27">
        <w:rPr>
          <w:rFonts w:ascii="Arial" w:eastAsia="Arial" w:hAnsi="Arial" w:cs="Arial"/>
          <w:color w:val="000000"/>
          <w:sz w:val="24"/>
          <w:szCs w:val="24"/>
        </w:rPr>
        <w:t xml:space="preserve"> of this case,</w:t>
      </w:r>
      <w:r w:rsidR="005F172B" w:rsidRPr="00E21C27">
        <w:rPr>
          <w:rFonts w:ascii="Arial" w:eastAsia="Arial" w:hAnsi="Arial" w:cs="Arial"/>
          <w:color w:val="000000"/>
          <w:sz w:val="24"/>
          <w:szCs w:val="24"/>
        </w:rPr>
        <w:t xml:space="preserve"> it is clear that</w:t>
      </w:r>
      <w:r w:rsidR="007B56A0" w:rsidRPr="00E21C27">
        <w:rPr>
          <w:rFonts w:ascii="Arial" w:eastAsia="Arial" w:hAnsi="Arial" w:cs="Arial"/>
          <w:color w:val="000000"/>
          <w:sz w:val="24"/>
          <w:szCs w:val="24"/>
        </w:rPr>
        <w:t xml:space="preserve"> there is no evidence that the </w:t>
      </w:r>
      <w:r w:rsidR="00F352EB" w:rsidRPr="00E21C27">
        <w:rPr>
          <w:rFonts w:ascii="Arial" w:eastAsia="Arial" w:hAnsi="Arial" w:cs="Arial"/>
          <w:color w:val="000000"/>
          <w:sz w:val="24"/>
          <w:szCs w:val="24"/>
        </w:rPr>
        <w:t xml:space="preserve">Department </w:t>
      </w:r>
      <w:r w:rsidR="007B56A0" w:rsidRPr="00E21C27">
        <w:rPr>
          <w:rFonts w:ascii="Arial" w:eastAsia="Arial" w:hAnsi="Arial" w:cs="Arial"/>
          <w:color w:val="000000"/>
          <w:sz w:val="24"/>
          <w:szCs w:val="24"/>
        </w:rPr>
        <w:t xml:space="preserve">sought to conclude the addendum to avert an emergency situation, as was the case in </w:t>
      </w:r>
      <w:r w:rsidR="007B56A0" w:rsidRPr="00E21C27">
        <w:rPr>
          <w:rFonts w:ascii="Arial" w:eastAsia="Arial" w:hAnsi="Arial" w:cs="Arial"/>
          <w:i/>
          <w:color w:val="000000"/>
          <w:sz w:val="24"/>
          <w:szCs w:val="24"/>
        </w:rPr>
        <w:t xml:space="preserve">Valor IT </w:t>
      </w:r>
      <w:r w:rsidR="007B56A0" w:rsidRPr="00E21C27">
        <w:rPr>
          <w:rFonts w:ascii="Arial" w:eastAsia="Arial" w:hAnsi="Arial" w:cs="Arial"/>
          <w:color w:val="000000"/>
          <w:sz w:val="24"/>
          <w:szCs w:val="24"/>
        </w:rPr>
        <w:t>‘that no urgency or emergency circumstances justified a departure from the prescript’.</w:t>
      </w:r>
      <w:r w:rsidR="00887084" w:rsidRPr="00E21C27">
        <w:rPr>
          <w:rFonts w:ascii="Arial" w:eastAsia="Arial" w:hAnsi="Arial" w:cs="Arial"/>
          <w:color w:val="000000"/>
          <w:sz w:val="24"/>
          <w:szCs w:val="24"/>
        </w:rPr>
        <w:t xml:space="preserve"> </w:t>
      </w:r>
      <w:r w:rsidR="00553254" w:rsidRPr="00E21C27">
        <w:rPr>
          <w:rFonts w:ascii="Arial" w:eastAsia="Arial" w:hAnsi="Arial" w:cs="Arial"/>
          <w:color w:val="000000"/>
          <w:sz w:val="24"/>
          <w:szCs w:val="24"/>
        </w:rPr>
        <w:t>In the</w:t>
      </w:r>
      <w:r w:rsidR="004C31DD" w:rsidRPr="00E21C27">
        <w:rPr>
          <w:rFonts w:ascii="Arial" w:eastAsia="Arial" w:hAnsi="Arial" w:cs="Arial"/>
          <w:color w:val="000000"/>
          <w:sz w:val="24"/>
          <w:szCs w:val="24"/>
        </w:rPr>
        <w:t>se</w:t>
      </w:r>
      <w:r w:rsidR="00553254" w:rsidRPr="00E21C27">
        <w:rPr>
          <w:rFonts w:ascii="Arial" w:eastAsia="Arial" w:hAnsi="Arial" w:cs="Arial"/>
          <w:color w:val="000000"/>
          <w:sz w:val="24"/>
          <w:szCs w:val="24"/>
        </w:rPr>
        <w:t xml:space="preserve"> </w:t>
      </w:r>
      <w:r w:rsidR="00B068E9" w:rsidRPr="00E21C27">
        <w:rPr>
          <w:rFonts w:ascii="Arial" w:eastAsia="Arial" w:hAnsi="Arial" w:cs="Arial"/>
          <w:color w:val="000000"/>
          <w:sz w:val="24"/>
          <w:szCs w:val="24"/>
        </w:rPr>
        <w:t>circumstances, s</w:t>
      </w:r>
      <w:r w:rsidR="007010C1" w:rsidRPr="00E21C27">
        <w:rPr>
          <w:rFonts w:ascii="Arial" w:eastAsia="Arial" w:hAnsi="Arial" w:cs="Arial"/>
          <w:color w:val="000000"/>
          <w:sz w:val="24"/>
          <w:szCs w:val="24"/>
        </w:rPr>
        <w:t>ince</w:t>
      </w:r>
      <w:r w:rsidR="00B068E9" w:rsidRPr="00E21C27">
        <w:rPr>
          <w:rFonts w:ascii="Arial" w:eastAsia="Arial" w:hAnsi="Arial" w:cs="Arial"/>
          <w:color w:val="000000"/>
          <w:sz w:val="24"/>
          <w:szCs w:val="24"/>
        </w:rPr>
        <w:t xml:space="preserve"> there </w:t>
      </w:r>
      <w:r w:rsidR="00B068E9" w:rsidRPr="008E389C">
        <w:rPr>
          <w:rFonts w:ascii="Arial" w:eastAsia="Arial" w:hAnsi="Arial" w:cs="Arial"/>
          <w:color w:val="000000"/>
          <w:sz w:val="24"/>
          <w:szCs w:val="24"/>
        </w:rPr>
        <w:t>ha</w:t>
      </w:r>
      <w:r w:rsidR="005A1800" w:rsidRPr="008E389C">
        <w:rPr>
          <w:rFonts w:ascii="Arial" w:eastAsia="Arial" w:hAnsi="Arial" w:cs="Arial"/>
          <w:color w:val="000000"/>
          <w:sz w:val="24"/>
          <w:szCs w:val="24"/>
        </w:rPr>
        <w:t>s</w:t>
      </w:r>
      <w:r w:rsidR="00B068E9" w:rsidRPr="00E21C27">
        <w:rPr>
          <w:rFonts w:ascii="Arial" w:eastAsia="Arial" w:hAnsi="Arial" w:cs="Arial"/>
          <w:color w:val="000000"/>
          <w:sz w:val="24"/>
          <w:szCs w:val="24"/>
        </w:rPr>
        <w:t xml:space="preserve"> </w:t>
      </w:r>
      <w:r w:rsidR="00553254" w:rsidRPr="00E21C27">
        <w:rPr>
          <w:rFonts w:ascii="Arial" w:eastAsia="Arial" w:hAnsi="Arial" w:cs="Arial"/>
          <w:color w:val="000000"/>
          <w:sz w:val="24"/>
          <w:szCs w:val="24"/>
        </w:rPr>
        <w:t xml:space="preserve">been </w:t>
      </w:r>
      <w:r w:rsidR="00B068E9" w:rsidRPr="00E21C27">
        <w:rPr>
          <w:rFonts w:ascii="Arial" w:eastAsia="Arial" w:hAnsi="Arial" w:cs="Arial"/>
          <w:color w:val="000000"/>
          <w:sz w:val="24"/>
          <w:szCs w:val="24"/>
        </w:rPr>
        <w:t>non-</w:t>
      </w:r>
      <w:r w:rsidR="00553254" w:rsidRPr="00E21C27">
        <w:rPr>
          <w:rFonts w:ascii="Arial" w:eastAsia="Arial" w:hAnsi="Arial" w:cs="Arial"/>
          <w:color w:val="000000"/>
          <w:sz w:val="24"/>
          <w:szCs w:val="24"/>
        </w:rPr>
        <w:t xml:space="preserve">compliance with </w:t>
      </w:r>
      <w:r w:rsidR="00B068E9" w:rsidRPr="00E21C27">
        <w:rPr>
          <w:rFonts w:ascii="Arial" w:eastAsia="Arial" w:hAnsi="Arial" w:cs="Arial"/>
          <w:color w:val="000000"/>
          <w:sz w:val="24"/>
          <w:szCs w:val="24"/>
        </w:rPr>
        <w:lastRenderedPageBreak/>
        <w:t xml:space="preserve">the </w:t>
      </w:r>
      <w:r w:rsidR="00553254" w:rsidRPr="00E21C27">
        <w:rPr>
          <w:rFonts w:ascii="Arial" w:eastAsia="Arial" w:hAnsi="Arial" w:cs="Arial"/>
          <w:color w:val="000000"/>
          <w:sz w:val="24"/>
          <w:szCs w:val="24"/>
        </w:rPr>
        <w:t>public procurement prescript</w:t>
      </w:r>
      <w:r w:rsidR="00B068E9" w:rsidRPr="00E21C27">
        <w:rPr>
          <w:rFonts w:ascii="Arial" w:eastAsia="Arial" w:hAnsi="Arial" w:cs="Arial"/>
          <w:color w:val="000000"/>
          <w:sz w:val="24"/>
          <w:szCs w:val="24"/>
        </w:rPr>
        <w:t>,</w:t>
      </w:r>
      <w:r w:rsidR="00553254" w:rsidRPr="00E21C27">
        <w:rPr>
          <w:rFonts w:ascii="Arial" w:eastAsia="Arial" w:hAnsi="Arial" w:cs="Arial"/>
          <w:color w:val="000000"/>
          <w:sz w:val="24"/>
          <w:szCs w:val="24"/>
        </w:rPr>
        <w:t xml:space="preserve"> the conclusion of the addendum is unlawful and invalid.</w:t>
      </w:r>
    </w:p>
    <w:p w:rsidR="00553254" w:rsidRPr="00E21C27" w:rsidRDefault="00553254" w:rsidP="0033770A">
      <w:pPr>
        <w:spacing w:after="0" w:line="360" w:lineRule="auto"/>
        <w:jc w:val="both"/>
        <w:rPr>
          <w:rFonts w:ascii="Arial" w:eastAsia="Arial" w:hAnsi="Arial" w:cs="Arial"/>
          <w:color w:val="000000"/>
          <w:sz w:val="24"/>
          <w:szCs w:val="24"/>
        </w:rPr>
      </w:pPr>
    </w:p>
    <w:p w:rsidR="00553254"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t>[20]</w:t>
      </w:r>
      <w:r w:rsidRPr="00E21C27">
        <w:rPr>
          <w:rFonts w:ascii="Arial" w:eastAsia="Arial" w:hAnsi="Arial" w:cs="Arial"/>
          <w:color w:val="000000"/>
          <w:sz w:val="24"/>
          <w:szCs w:val="24"/>
        </w:rPr>
        <w:tab/>
      </w:r>
      <w:r w:rsidR="00AD2500" w:rsidRPr="00E21C27">
        <w:rPr>
          <w:rFonts w:ascii="Arial" w:eastAsia="Arial" w:hAnsi="Arial" w:cs="Arial"/>
          <w:color w:val="000000"/>
          <w:sz w:val="24"/>
          <w:szCs w:val="24"/>
        </w:rPr>
        <w:t>I</w:t>
      </w:r>
      <w:r w:rsidR="00D9568F" w:rsidRPr="00E21C27">
        <w:rPr>
          <w:rFonts w:ascii="Arial" w:eastAsia="Arial" w:hAnsi="Arial" w:cs="Arial"/>
          <w:color w:val="000000"/>
          <w:sz w:val="24"/>
          <w:szCs w:val="24"/>
        </w:rPr>
        <w:t xml:space="preserve"> </w:t>
      </w:r>
      <w:r w:rsidR="00AD2500" w:rsidRPr="00E21C27">
        <w:rPr>
          <w:rFonts w:ascii="Arial" w:eastAsia="Arial" w:hAnsi="Arial" w:cs="Arial"/>
          <w:color w:val="000000"/>
          <w:sz w:val="24"/>
          <w:szCs w:val="24"/>
        </w:rPr>
        <w:t>n</w:t>
      </w:r>
      <w:r w:rsidR="00D9568F" w:rsidRPr="00E21C27">
        <w:rPr>
          <w:rFonts w:ascii="Arial" w:eastAsia="Arial" w:hAnsi="Arial" w:cs="Arial"/>
          <w:color w:val="000000"/>
          <w:sz w:val="24"/>
          <w:szCs w:val="24"/>
        </w:rPr>
        <w:t>ow turn to address</w:t>
      </w:r>
      <w:r w:rsidR="00B51FF6" w:rsidRPr="00E21C27">
        <w:rPr>
          <w:rFonts w:ascii="Arial" w:eastAsia="Arial" w:hAnsi="Arial" w:cs="Arial"/>
          <w:color w:val="000000"/>
          <w:sz w:val="24"/>
          <w:szCs w:val="24"/>
        </w:rPr>
        <w:t xml:space="preserve"> the issue of a</w:t>
      </w:r>
      <w:r w:rsidR="00AD2500" w:rsidRPr="00E21C27">
        <w:rPr>
          <w:rFonts w:ascii="Arial" w:eastAsia="Arial" w:hAnsi="Arial" w:cs="Arial"/>
          <w:color w:val="000000"/>
          <w:sz w:val="24"/>
          <w:szCs w:val="24"/>
        </w:rPr>
        <w:t xml:space="preserve"> collateral and </w:t>
      </w:r>
      <w:r w:rsidR="00B51FF6" w:rsidRPr="00E21C27">
        <w:rPr>
          <w:rFonts w:ascii="Arial" w:eastAsia="Arial" w:hAnsi="Arial" w:cs="Arial"/>
          <w:color w:val="000000"/>
          <w:sz w:val="24"/>
          <w:szCs w:val="24"/>
        </w:rPr>
        <w:t>reactive challenge</w:t>
      </w:r>
      <w:r w:rsidR="00D9568F" w:rsidRPr="00E21C27">
        <w:rPr>
          <w:rFonts w:ascii="Arial" w:eastAsia="Arial" w:hAnsi="Arial" w:cs="Arial"/>
          <w:color w:val="000000"/>
          <w:sz w:val="24"/>
          <w:szCs w:val="24"/>
        </w:rPr>
        <w:t>.</w:t>
      </w:r>
      <w:r w:rsidR="00C723F3" w:rsidRPr="00E21C27">
        <w:rPr>
          <w:rFonts w:ascii="Arial" w:eastAsia="Arial" w:hAnsi="Arial" w:cs="Arial"/>
          <w:color w:val="000000"/>
          <w:sz w:val="24"/>
          <w:szCs w:val="24"/>
        </w:rPr>
        <w:t xml:space="preserve"> </w:t>
      </w:r>
      <w:r w:rsidR="00D9568F" w:rsidRPr="00E21C27">
        <w:rPr>
          <w:rFonts w:ascii="Arial" w:eastAsia="Arial" w:hAnsi="Arial" w:cs="Arial"/>
          <w:color w:val="000000"/>
          <w:sz w:val="24"/>
          <w:szCs w:val="24"/>
        </w:rPr>
        <w:t>I</w:t>
      </w:r>
      <w:r w:rsidR="00B51FF6" w:rsidRPr="00E21C27">
        <w:rPr>
          <w:rFonts w:ascii="Arial" w:eastAsia="Arial" w:hAnsi="Arial" w:cs="Arial"/>
          <w:color w:val="000000"/>
          <w:sz w:val="24"/>
          <w:szCs w:val="24"/>
        </w:rPr>
        <w:t xml:space="preserve">t </w:t>
      </w:r>
      <w:r w:rsidR="00D9568F" w:rsidRPr="00E21C27">
        <w:rPr>
          <w:rFonts w:ascii="Arial" w:eastAsia="Arial" w:hAnsi="Arial" w:cs="Arial"/>
          <w:color w:val="000000"/>
          <w:sz w:val="24"/>
          <w:szCs w:val="24"/>
        </w:rPr>
        <w:t xml:space="preserve">is </w:t>
      </w:r>
      <w:r w:rsidR="00B51FF6" w:rsidRPr="00E21C27">
        <w:rPr>
          <w:rFonts w:ascii="Arial" w:eastAsia="Arial" w:hAnsi="Arial" w:cs="Arial"/>
          <w:color w:val="000000"/>
          <w:sz w:val="24"/>
          <w:szCs w:val="24"/>
        </w:rPr>
        <w:t>n</w:t>
      </w:r>
      <w:r w:rsidR="00D9568F" w:rsidRPr="00E21C27">
        <w:rPr>
          <w:rFonts w:ascii="Arial" w:eastAsia="Arial" w:hAnsi="Arial" w:cs="Arial"/>
          <w:color w:val="000000"/>
          <w:sz w:val="24"/>
          <w:szCs w:val="24"/>
        </w:rPr>
        <w:t>oted that</w:t>
      </w:r>
      <w:r w:rsidR="00B51FF6" w:rsidRPr="00E21C27">
        <w:rPr>
          <w:rFonts w:ascii="Arial" w:eastAsia="Arial" w:hAnsi="Arial" w:cs="Arial"/>
          <w:color w:val="000000"/>
          <w:sz w:val="24"/>
          <w:szCs w:val="24"/>
        </w:rPr>
        <w:t xml:space="preserve"> </w:t>
      </w:r>
      <w:r w:rsidR="00F352EB" w:rsidRPr="00E21C27">
        <w:rPr>
          <w:rFonts w:ascii="Arial" w:eastAsia="Arial" w:hAnsi="Arial" w:cs="Arial"/>
          <w:color w:val="000000"/>
          <w:sz w:val="24"/>
          <w:szCs w:val="24"/>
        </w:rPr>
        <w:t xml:space="preserve">KR Inc. </w:t>
      </w:r>
      <w:r w:rsidR="00D9568F" w:rsidRPr="00E21C27">
        <w:rPr>
          <w:rFonts w:ascii="Arial" w:eastAsia="Arial" w:hAnsi="Arial" w:cs="Arial"/>
          <w:color w:val="000000"/>
          <w:sz w:val="24"/>
          <w:szCs w:val="24"/>
        </w:rPr>
        <w:t>appreciates that which was enun</w:t>
      </w:r>
      <w:r w:rsidR="00B51FF6" w:rsidRPr="00E21C27">
        <w:rPr>
          <w:rFonts w:ascii="Arial" w:eastAsia="Arial" w:hAnsi="Arial" w:cs="Arial"/>
          <w:color w:val="000000"/>
          <w:sz w:val="24"/>
          <w:szCs w:val="24"/>
        </w:rPr>
        <w:t xml:space="preserve">ciated in </w:t>
      </w:r>
      <w:r w:rsidR="00B51FF6" w:rsidRPr="00E21C27">
        <w:rPr>
          <w:rFonts w:ascii="Arial" w:eastAsia="Arial" w:hAnsi="Arial" w:cs="Arial"/>
          <w:i/>
          <w:color w:val="000000"/>
          <w:sz w:val="24"/>
          <w:szCs w:val="24"/>
        </w:rPr>
        <w:t>Gobela</w:t>
      </w:r>
      <w:r w:rsidR="00B51FF6" w:rsidRPr="00E21C27">
        <w:rPr>
          <w:rFonts w:ascii="Arial" w:eastAsia="Arial" w:hAnsi="Arial" w:cs="Arial"/>
          <w:color w:val="000000"/>
          <w:sz w:val="24"/>
          <w:szCs w:val="24"/>
        </w:rPr>
        <w:t xml:space="preserve"> </w:t>
      </w:r>
      <w:r w:rsidR="00D9568F" w:rsidRPr="00E21C27">
        <w:rPr>
          <w:rFonts w:ascii="Arial" w:eastAsia="Arial" w:hAnsi="Arial" w:cs="Arial"/>
          <w:color w:val="000000"/>
          <w:sz w:val="24"/>
          <w:szCs w:val="24"/>
        </w:rPr>
        <w:t xml:space="preserve">in respect of collateral </w:t>
      </w:r>
      <w:r w:rsidR="00B51FF6" w:rsidRPr="00E21C27">
        <w:rPr>
          <w:rFonts w:ascii="Arial" w:eastAsia="Arial" w:hAnsi="Arial" w:cs="Arial"/>
          <w:color w:val="000000"/>
          <w:sz w:val="24"/>
          <w:szCs w:val="24"/>
        </w:rPr>
        <w:t xml:space="preserve">challenges. </w:t>
      </w:r>
      <w:r w:rsidR="003C39E8" w:rsidRPr="00E21C27">
        <w:rPr>
          <w:rFonts w:ascii="Arial" w:eastAsia="Arial" w:hAnsi="Arial" w:cs="Arial"/>
          <w:color w:val="000000"/>
          <w:sz w:val="24"/>
          <w:szCs w:val="24"/>
        </w:rPr>
        <w:t xml:space="preserve">However, </w:t>
      </w:r>
      <w:r w:rsidR="00F352EB" w:rsidRPr="00E21C27">
        <w:rPr>
          <w:rFonts w:ascii="Arial" w:eastAsia="Arial" w:hAnsi="Arial" w:cs="Arial"/>
          <w:color w:val="000000"/>
          <w:sz w:val="24"/>
          <w:szCs w:val="24"/>
        </w:rPr>
        <w:t xml:space="preserve">it </w:t>
      </w:r>
      <w:r w:rsidR="00D9568F" w:rsidRPr="00E21C27">
        <w:rPr>
          <w:rFonts w:ascii="Arial" w:eastAsia="Arial" w:hAnsi="Arial" w:cs="Arial"/>
          <w:color w:val="000000"/>
          <w:sz w:val="24"/>
          <w:szCs w:val="24"/>
        </w:rPr>
        <w:t xml:space="preserve">argues </w:t>
      </w:r>
      <w:r w:rsidR="00B51FF6" w:rsidRPr="00E21C27">
        <w:rPr>
          <w:rFonts w:ascii="Arial" w:eastAsia="Arial" w:hAnsi="Arial" w:cs="Arial"/>
          <w:color w:val="000000"/>
          <w:sz w:val="24"/>
          <w:szCs w:val="24"/>
        </w:rPr>
        <w:t>that the high c</w:t>
      </w:r>
      <w:r w:rsidR="003C39E8" w:rsidRPr="00E21C27">
        <w:rPr>
          <w:rFonts w:ascii="Arial" w:eastAsia="Arial" w:hAnsi="Arial" w:cs="Arial"/>
          <w:color w:val="000000"/>
          <w:sz w:val="24"/>
          <w:szCs w:val="24"/>
        </w:rPr>
        <w:t xml:space="preserve">ourt </w:t>
      </w:r>
      <w:r w:rsidR="00D9568F" w:rsidRPr="00E21C27">
        <w:rPr>
          <w:rFonts w:ascii="Arial" w:eastAsia="Arial" w:hAnsi="Arial" w:cs="Arial"/>
          <w:color w:val="000000"/>
          <w:sz w:val="24"/>
          <w:szCs w:val="24"/>
        </w:rPr>
        <w:t>should not</w:t>
      </w:r>
      <w:r w:rsidR="00881844" w:rsidRPr="00E21C27">
        <w:rPr>
          <w:rFonts w:ascii="Arial" w:eastAsia="Arial" w:hAnsi="Arial" w:cs="Arial"/>
          <w:color w:val="000000"/>
          <w:sz w:val="24"/>
          <w:szCs w:val="24"/>
        </w:rPr>
        <w:t xml:space="preserve"> have</w:t>
      </w:r>
      <w:r w:rsidR="00D9568F" w:rsidRPr="00E21C27">
        <w:rPr>
          <w:rFonts w:ascii="Arial" w:eastAsia="Arial" w:hAnsi="Arial" w:cs="Arial"/>
          <w:color w:val="000000"/>
          <w:sz w:val="24"/>
          <w:szCs w:val="24"/>
        </w:rPr>
        <w:t xml:space="preserve"> applied the principles of </w:t>
      </w:r>
      <w:r w:rsidR="00D9568F" w:rsidRPr="00E21C27">
        <w:rPr>
          <w:rFonts w:ascii="Arial" w:eastAsia="Arial" w:hAnsi="Arial" w:cs="Arial"/>
          <w:i/>
          <w:color w:val="000000"/>
          <w:sz w:val="24"/>
          <w:szCs w:val="24"/>
        </w:rPr>
        <w:t>Gobela</w:t>
      </w:r>
      <w:r w:rsidR="00D9568F" w:rsidRPr="00E21C27">
        <w:rPr>
          <w:rFonts w:ascii="Arial" w:eastAsia="Arial" w:hAnsi="Arial" w:cs="Arial"/>
          <w:color w:val="000000"/>
          <w:sz w:val="24"/>
          <w:szCs w:val="24"/>
        </w:rPr>
        <w:t xml:space="preserve"> in this matter, </w:t>
      </w:r>
      <w:r w:rsidR="00B51FF6" w:rsidRPr="00E21C27">
        <w:rPr>
          <w:rFonts w:ascii="Arial" w:eastAsia="Arial" w:hAnsi="Arial" w:cs="Arial"/>
          <w:color w:val="000000"/>
          <w:sz w:val="24"/>
          <w:szCs w:val="24"/>
        </w:rPr>
        <w:t xml:space="preserve">as the facts </w:t>
      </w:r>
      <w:r w:rsidR="003C39E8" w:rsidRPr="00E21C27">
        <w:rPr>
          <w:rFonts w:ascii="Arial" w:eastAsia="Arial" w:hAnsi="Arial" w:cs="Arial"/>
          <w:color w:val="000000"/>
          <w:sz w:val="24"/>
          <w:szCs w:val="24"/>
        </w:rPr>
        <w:t>of that case are</w:t>
      </w:r>
      <w:r w:rsidR="00B51FF6" w:rsidRPr="00E21C27">
        <w:rPr>
          <w:rFonts w:ascii="Arial" w:eastAsia="Arial" w:hAnsi="Arial" w:cs="Arial"/>
          <w:color w:val="000000"/>
          <w:sz w:val="24"/>
          <w:szCs w:val="24"/>
        </w:rPr>
        <w:t xml:space="preserve"> distinguishable</w:t>
      </w:r>
      <w:r w:rsidR="00D9568F" w:rsidRPr="00E21C27">
        <w:rPr>
          <w:rFonts w:ascii="Arial" w:eastAsia="Arial" w:hAnsi="Arial" w:cs="Arial"/>
          <w:color w:val="000000"/>
          <w:sz w:val="24"/>
          <w:szCs w:val="24"/>
        </w:rPr>
        <w:t xml:space="preserve"> </w:t>
      </w:r>
      <w:r w:rsidR="00985D5F" w:rsidRPr="00E21C27">
        <w:rPr>
          <w:rFonts w:ascii="Arial" w:eastAsia="Arial" w:hAnsi="Arial" w:cs="Arial"/>
          <w:color w:val="000000"/>
          <w:sz w:val="24"/>
          <w:szCs w:val="24"/>
        </w:rPr>
        <w:t>from</w:t>
      </w:r>
      <w:r w:rsidR="00D9568F" w:rsidRPr="00E21C27">
        <w:rPr>
          <w:rFonts w:ascii="Arial" w:eastAsia="Arial" w:hAnsi="Arial" w:cs="Arial"/>
          <w:color w:val="000000"/>
          <w:sz w:val="24"/>
          <w:szCs w:val="24"/>
        </w:rPr>
        <w:t xml:space="preserve"> this case. It is </w:t>
      </w:r>
      <w:r w:rsidR="003C39E8" w:rsidRPr="00E21C27">
        <w:rPr>
          <w:rFonts w:ascii="Arial" w:eastAsia="Arial" w:hAnsi="Arial" w:cs="Arial"/>
          <w:color w:val="000000"/>
          <w:sz w:val="24"/>
          <w:szCs w:val="24"/>
        </w:rPr>
        <w:t>wel</w:t>
      </w:r>
      <w:r w:rsidR="00BB65DB" w:rsidRPr="00E21C27">
        <w:rPr>
          <w:rFonts w:ascii="Arial" w:eastAsia="Arial" w:hAnsi="Arial" w:cs="Arial"/>
          <w:color w:val="000000"/>
          <w:sz w:val="24"/>
          <w:szCs w:val="24"/>
        </w:rPr>
        <w:t>l settled now that if</w:t>
      </w:r>
      <w:r w:rsidR="003C39E8" w:rsidRPr="00E21C27">
        <w:rPr>
          <w:rFonts w:ascii="Arial" w:eastAsia="Arial" w:hAnsi="Arial" w:cs="Arial"/>
          <w:color w:val="000000"/>
          <w:sz w:val="24"/>
          <w:szCs w:val="24"/>
        </w:rPr>
        <w:t xml:space="preserve"> justice</w:t>
      </w:r>
      <w:r w:rsidR="00BB65DB" w:rsidRPr="00E21C27">
        <w:rPr>
          <w:rFonts w:ascii="Arial" w:eastAsia="Arial" w:hAnsi="Arial" w:cs="Arial"/>
          <w:color w:val="000000"/>
          <w:sz w:val="24"/>
          <w:szCs w:val="24"/>
        </w:rPr>
        <w:t xml:space="preserve"> is to be served</w:t>
      </w:r>
      <w:r w:rsidR="003C39E8" w:rsidRPr="00E21C27">
        <w:rPr>
          <w:rFonts w:ascii="Arial" w:eastAsia="Arial" w:hAnsi="Arial" w:cs="Arial"/>
          <w:color w:val="000000"/>
          <w:sz w:val="24"/>
          <w:szCs w:val="24"/>
        </w:rPr>
        <w:t xml:space="preserve">, </w:t>
      </w:r>
      <w:r w:rsidR="00B51FF6" w:rsidRPr="00E21C27">
        <w:rPr>
          <w:rFonts w:ascii="Arial" w:eastAsia="Arial" w:hAnsi="Arial" w:cs="Arial"/>
          <w:color w:val="000000"/>
          <w:sz w:val="24"/>
          <w:szCs w:val="24"/>
        </w:rPr>
        <w:t xml:space="preserve">a court is entitled to declare a </w:t>
      </w:r>
      <w:r w:rsidR="003C39E8" w:rsidRPr="00E21C27">
        <w:rPr>
          <w:rFonts w:ascii="Arial" w:eastAsia="Arial" w:hAnsi="Arial" w:cs="Arial"/>
          <w:color w:val="000000"/>
          <w:sz w:val="24"/>
          <w:szCs w:val="24"/>
        </w:rPr>
        <w:t>contract invalid and unlawful</w:t>
      </w:r>
      <w:r w:rsidR="00B51FF6" w:rsidRPr="00E21C27">
        <w:rPr>
          <w:rFonts w:ascii="Arial" w:eastAsia="Arial" w:hAnsi="Arial" w:cs="Arial"/>
          <w:color w:val="000000"/>
          <w:sz w:val="24"/>
          <w:szCs w:val="24"/>
        </w:rPr>
        <w:t xml:space="preserve">, even </w:t>
      </w:r>
      <w:r w:rsidR="003C39E8" w:rsidRPr="00E21C27">
        <w:rPr>
          <w:rFonts w:ascii="Arial" w:eastAsia="Arial" w:hAnsi="Arial" w:cs="Arial"/>
          <w:color w:val="000000"/>
          <w:sz w:val="24"/>
          <w:szCs w:val="24"/>
        </w:rPr>
        <w:t xml:space="preserve">if a collateral challenge </w:t>
      </w:r>
      <w:r w:rsidR="00B51FF6" w:rsidRPr="00E21C27">
        <w:rPr>
          <w:rFonts w:ascii="Arial" w:eastAsia="Arial" w:hAnsi="Arial" w:cs="Arial"/>
          <w:color w:val="000000"/>
          <w:sz w:val="24"/>
          <w:szCs w:val="24"/>
        </w:rPr>
        <w:t>i</w:t>
      </w:r>
      <w:r w:rsidR="003C39E8" w:rsidRPr="00E21C27">
        <w:rPr>
          <w:rFonts w:ascii="Arial" w:eastAsia="Arial" w:hAnsi="Arial" w:cs="Arial"/>
          <w:color w:val="000000"/>
          <w:sz w:val="24"/>
          <w:szCs w:val="24"/>
        </w:rPr>
        <w:t xml:space="preserve">s </w:t>
      </w:r>
      <w:r w:rsidR="00B51FF6" w:rsidRPr="00E21C27">
        <w:rPr>
          <w:rFonts w:ascii="Arial" w:eastAsia="Arial" w:hAnsi="Arial" w:cs="Arial"/>
          <w:color w:val="000000"/>
          <w:sz w:val="24"/>
          <w:szCs w:val="24"/>
        </w:rPr>
        <w:t>a</w:t>
      </w:r>
      <w:r w:rsidR="003C39E8" w:rsidRPr="00E21C27">
        <w:rPr>
          <w:rFonts w:ascii="Arial" w:eastAsia="Arial" w:hAnsi="Arial" w:cs="Arial"/>
          <w:color w:val="000000"/>
          <w:sz w:val="24"/>
          <w:szCs w:val="24"/>
        </w:rPr>
        <w:t>bsen</w:t>
      </w:r>
      <w:r w:rsidR="00881844" w:rsidRPr="00E21C27">
        <w:rPr>
          <w:rFonts w:ascii="Arial" w:eastAsia="Arial" w:hAnsi="Arial" w:cs="Arial"/>
          <w:color w:val="000000"/>
          <w:sz w:val="24"/>
          <w:szCs w:val="24"/>
        </w:rPr>
        <w:t>t</w:t>
      </w:r>
      <w:r w:rsidR="003C39E8" w:rsidRPr="00E21C27">
        <w:rPr>
          <w:rFonts w:ascii="Arial" w:eastAsia="Arial" w:hAnsi="Arial" w:cs="Arial"/>
          <w:color w:val="000000"/>
          <w:sz w:val="24"/>
          <w:szCs w:val="24"/>
        </w:rPr>
        <w:t xml:space="preserve">, </w:t>
      </w:r>
      <w:r w:rsidR="00BB65DB" w:rsidRPr="00E21C27">
        <w:rPr>
          <w:rFonts w:ascii="Arial" w:eastAsia="Arial" w:hAnsi="Arial" w:cs="Arial"/>
          <w:color w:val="000000"/>
          <w:sz w:val="24"/>
          <w:szCs w:val="24"/>
        </w:rPr>
        <w:t>in instances of a review of</w:t>
      </w:r>
      <w:r w:rsidR="00B51FF6" w:rsidRPr="00E21C27">
        <w:rPr>
          <w:rFonts w:ascii="Arial" w:eastAsia="Arial" w:hAnsi="Arial" w:cs="Arial"/>
          <w:color w:val="000000"/>
          <w:sz w:val="24"/>
          <w:szCs w:val="24"/>
        </w:rPr>
        <w:t xml:space="preserve"> </w:t>
      </w:r>
      <w:r w:rsidR="003C39E8" w:rsidRPr="00E21C27">
        <w:rPr>
          <w:rFonts w:ascii="Arial" w:eastAsia="Arial" w:hAnsi="Arial" w:cs="Arial"/>
          <w:color w:val="000000"/>
          <w:sz w:val="24"/>
          <w:szCs w:val="24"/>
        </w:rPr>
        <w:t>an invalid and unlawful</w:t>
      </w:r>
      <w:r w:rsidR="00B51FF6" w:rsidRPr="00E21C27">
        <w:rPr>
          <w:rFonts w:ascii="Arial" w:eastAsia="Arial" w:hAnsi="Arial" w:cs="Arial"/>
          <w:color w:val="000000"/>
          <w:sz w:val="24"/>
          <w:szCs w:val="24"/>
        </w:rPr>
        <w:t xml:space="preserve"> contract. </w:t>
      </w:r>
      <w:r w:rsidR="00BB65DB" w:rsidRPr="00E21C27">
        <w:rPr>
          <w:rFonts w:ascii="Arial" w:eastAsia="Arial" w:hAnsi="Arial" w:cs="Arial"/>
          <w:color w:val="000000"/>
          <w:sz w:val="24"/>
          <w:szCs w:val="24"/>
        </w:rPr>
        <w:t>Importantly, it</w:t>
      </w:r>
      <w:r w:rsidR="000715AC" w:rsidRPr="00E21C27">
        <w:rPr>
          <w:rFonts w:ascii="Arial" w:eastAsia="Arial" w:hAnsi="Arial" w:cs="Arial"/>
          <w:color w:val="000000"/>
          <w:sz w:val="24"/>
          <w:szCs w:val="24"/>
        </w:rPr>
        <w:t xml:space="preserve"> would d</w:t>
      </w:r>
      <w:r w:rsidR="00BB65DB" w:rsidRPr="00E21C27">
        <w:rPr>
          <w:rFonts w:ascii="Arial" w:eastAsia="Arial" w:hAnsi="Arial" w:cs="Arial"/>
          <w:color w:val="000000"/>
          <w:sz w:val="24"/>
          <w:szCs w:val="24"/>
        </w:rPr>
        <w:t>epend on the facts of each case,</w:t>
      </w:r>
      <w:r w:rsidR="000715AC" w:rsidRPr="00E21C27">
        <w:rPr>
          <w:rFonts w:ascii="Arial" w:eastAsia="Arial" w:hAnsi="Arial" w:cs="Arial"/>
          <w:color w:val="000000"/>
          <w:sz w:val="24"/>
          <w:szCs w:val="24"/>
        </w:rPr>
        <w:t xml:space="preserve"> in order </w:t>
      </w:r>
      <w:r w:rsidR="00881844" w:rsidRPr="00E21C27">
        <w:rPr>
          <w:rFonts w:ascii="Arial" w:eastAsia="Arial" w:hAnsi="Arial" w:cs="Arial"/>
          <w:color w:val="000000"/>
          <w:sz w:val="24"/>
          <w:szCs w:val="24"/>
        </w:rPr>
        <w:t xml:space="preserve">to ensure </w:t>
      </w:r>
      <w:r w:rsidR="000715AC" w:rsidRPr="00E21C27">
        <w:rPr>
          <w:rFonts w:ascii="Arial" w:eastAsia="Arial" w:hAnsi="Arial" w:cs="Arial"/>
          <w:color w:val="000000"/>
          <w:sz w:val="24"/>
          <w:szCs w:val="24"/>
        </w:rPr>
        <w:t xml:space="preserve">that justice </w:t>
      </w:r>
      <w:r w:rsidR="00BB65DB" w:rsidRPr="00E21C27">
        <w:rPr>
          <w:rFonts w:ascii="Arial" w:eastAsia="Arial" w:hAnsi="Arial" w:cs="Arial"/>
          <w:color w:val="000000"/>
          <w:sz w:val="24"/>
          <w:szCs w:val="24"/>
        </w:rPr>
        <w:t>is served</w:t>
      </w:r>
      <w:r w:rsidR="000715AC" w:rsidRPr="00E21C27">
        <w:rPr>
          <w:rFonts w:ascii="Arial" w:eastAsia="Arial" w:hAnsi="Arial" w:cs="Arial"/>
          <w:color w:val="000000"/>
          <w:sz w:val="24"/>
          <w:szCs w:val="24"/>
        </w:rPr>
        <w:t>.</w:t>
      </w:r>
    </w:p>
    <w:p w:rsidR="00D053BF" w:rsidRPr="00E21C27" w:rsidRDefault="00D053BF" w:rsidP="00DB01F4">
      <w:pPr>
        <w:pStyle w:val="Normal1"/>
        <w:pBdr>
          <w:top w:val="nil"/>
          <w:left w:val="nil"/>
          <w:bottom w:val="nil"/>
          <w:right w:val="nil"/>
          <w:between w:val="nil"/>
        </w:pBdr>
        <w:spacing w:after="0" w:line="360" w:lineRule="auto"/>
        <w:jc w:val="both"/>
        <w:rPr>
          <w:rFonts w:ascii="Arial" w:eastAsia="Arial" w:hAnsi="Arial" w:cs="Arial"/>
          <w:color w:val="000000"/>
        </w:rPr>
      </w:pPr>
    </w:p>
    <w:p w:rsidR="00014FA0" w:rsidRPr="00E21C27" w:rsidRDefault="00724152" w:rsidP="00724152">
      <w:pPr>
        <w:pStyle w:val="Normal1"/>
        <w:pBdr>
          <w:top w:val="nil"/>
          <w:left w:val="nil"/>
          <w:bottom w:val="nil"/>
          <w:right w:val="nil"/>
          <w:between w:val="nil"/>
        </w:pBdr>
        <w:spacing w:after="12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t>[21]</w:t>
      </w:r>
      <w:r w:rsidRPr="00E21C27">
        <w:rPr>
          <w:rFonts w:ascii="Arial" w:eastAsia="Arial" w:hAnsi="Arial" w:cs="Arial"/>
          <w:color w:val="000000"/>
          <w:sz w:val="24"/>
          <w:szCs w:val="24"/>
        </w:rPr>
        <w:tab/>
      </w:r>
      <w:r w:rsidR="00014FA0" w:rsidRPr="00E21C27">
        <w:rPr>
          <w:rFonts w:ascii="Arial" w:eastAsia="Arial" w:hAnsi="Arial" w:cs="Arial"/>
          <w:color w:val="000000"/>
          <w:sz w:val="24"/>
          <w:szCs w:val="24"/>
        </w:rPr>
        <w:t xml:space="preserve">In </w:t>
      </w:r>
      <w:r w:rsidR="00014FA0" w:rsidRPr="00E21C27">
        <w:rPr>
          <w:rFonts w:ascii="Arial" w:eastAsia="Arial" w:hAnsi="Arial" w:cs="Arial"/>
          <w:i/>
          <w:color w:val="000000"/>
          <w:sz w:val="24"/>
          <w:szCs w:val="24"/>
        </w:rPr>
        <w:t>Gobela</w:t>
      </w:r>
      <w:r w:rsidR="00BB65DB" w:rsidRPr="00E21C27">
        <w:rPr>
          <w:rFonts w:ascii="Arial" w:eastAsia="Arial" w:hAnsi="Arial" w:cs="Arial"/>
          <w:color w:val="000000"/>
          <w:sz w:val="24"/>
          <w:szCs w:val="24"/>
        </w:rPr>
        <w:t xml:space="preserve">, likewise </w:t>
      </w:r>
      <w:r w:rsidR="00014FA0" w:rsidRPr="00E21C27">
        <w:rPr>
          <w:rFonts w:ascii="Arial" w:eastAsia="Arial" w:hAnsi="Arial" w:cs="Arial"/>
          <w:color w:val="000000"/>
          <w:sz w:val="24"/>
          <w:szCs w:val="24"/>
        </w:rPr>
        <w:t>in this case</w:t>
      </w:r>
      <w:r w:rsidR="00BB65DB" w:rsidRPr="00E21C27">
        <w:rPr>
          <w:rFonts w:ascii="Arial" w:eastAsia="Arial" w:hAnsi="Arial" w:cs="Arial"/>
          <w:color w:val="000000"/>
          <w:sz w:val="24"/>
          <w:szCs w:val="24"/>
        </w:rPr>
        <w:t>,</w:t>
      </w:r>
      <w:r w:rsidR="00014FA0" w:rsidRPr="00E21C27">
        <w:rPr>
          <w:rFonts w:ascii="Arial" w:eastAsia="Arial" w:hAnsi="Arial" w:cs="Arial"/>
          <w:color w:val="000000"/>
          <w:sz w:val="24"/>
          <w:szCs w:val="24"/>
        </w:rPr>
        <w:t xml:space="preserve"> the </w:t>
      </w:r>
      <w:r w:rsidR="00F9331F" w:rsidRPr="00E21C27">
        <w:rPr>
          <w:rFonts w:ascii="Arial" w:eastAsia="Arial" w:hAnsi="Arial" w:cs="Arial"/>
          <w:color w:val="000000"/>
          <w:sz w:val="24"/>
          <w:szCs w:val="24"/>
        </w:rPr>
        <w:t>c</w:t>
      </w:r>
      <w:r w:rsidR="00014FA0" w:rsidRPr="00E21C27">
        <w:rPr>
          <w:rFonts w:ascii="Arial" w:eastAsia="Arial" w:hAnsi="Arial" w:cs="Arial"/>
          <w:color w:val="000000"/>
          <w:sz w:val="24"/>
          <w:szCs w:val="24"/>
        </w:rPr>
        <w:t xml:space="preserve">ourt was seized with the question </w:t>
      </w:r>
      <w:r w:rsidR="00E269F1" w:rsidRPr="00E21C27">
        <w:rPr>
          <w:rFonts w:ascii="Arial" w:eastAsia="Arial" w:hAnsi="Arial" w:cs="Arial"/>
          <w:color w:val="000000"/>
          <w:sz w:val="24"/>
          <w:szCs w:val="24"/>
        </w:rPr>
        <w:t>of whether</w:t>
      </w:r>
      <w:r w:rsidR="00014FA0" w:rsidRPr="00E21C27">
        <w:rPr>
          <w:rFonts w:ascii="Arial" w:eastAsia="Arial" w:hAnsi="Arial" w:cs="Arial"/>
          <w:color w:val="000000"/>
          <w:sz w:val="24"/>
          <w:szCs w:val="24"/>
        </w:rPr>
        <w:t xml:space="preserve"> a declaration of invalidity and unlawfulness could be pronounced without a collateral challenge being raised to review and set aside the offensive contract. Molemela JA writing for this Court summarised the position as follows:</w:t>
      </w:r>
      <w:r w:rsidR="00014FA0" w:rsidRPr="00E21C27">
        <w:rPr>
          <w:rStyle w:val="FootnoteReference"/>
          <w:rFonts w:ascii="Arial" w:eastAsia="Arial" w:hAnsi="Arial" w:cs="Arial"/>
          <w:color w:val="000000"/>
          <w:sz w:val="24"/>
          <w:szCs w:val="24"/>
        </w:rPr>
        <w:t xml:space="preserve"> </w:t>
      </w:r>
    </w:p>
    <w:p w:rsidR="00014FA0" w:rsidRPr="00E21C27" w:rsidRDefault="00014FA0" w:rsidP="006257C8">
      <w:pPr>
        <w:pStyle w:val="Normal1"/>
        <w:pBdr>
          <w:top w:val="nil"/>
          <w:left w:val="nil"/>
          <w:bottom w:val="nil"/>
          <w:right w:val="nil"/>
          <w:between w:val="nil"/>
        </w:pBdr>
        <w:spacing w:after="120" w:line="360" w:lineRule="auto"/>
        <w:jc w:val="both"/>
        <w:rPr>
          <w:rFonts w:ascii="Arial" w:eastAsia="Arial" w:hAnsi="Arial" w:cs="Arial"/>
          <w:color w:val="000000"/>
          <w:sz w:val="24"/>
          <w:szCs w:val="24"/>
        </w:rPr>
      </w:pPr>
      <w:r w:rsidRPr="00E21C27">
        <w:rPr>
          <w:rFonts w:ascii="Arial" w:hAnsi="Arial" w:cs="Arial"/>
          <w:color w:val="242121"/>
          <w:lang w:val="en-GB"/>
        </w:rPr>
        <w:t>‘The law relating to collateral challenges was settled by the Constitutional Court in</w:t>
      </w:r>
      <w:r w:rsidR="00C723F3" w:rsidRPr="00E21C27">
        <w:rPr>
          <w:rFonts w:ascii="Arial" w:hAnsi="Arial" w:cs="Arial"/>
          <w:color w:val="242121"/>
        </w:rPr>
        <w:t xml:space="preserve"> </w:t>
      </w:r>
      <w:r w:rsidRPr="00E21C27">
        <w:rPr>
          <w:rFonts w:ascii="Arial" w:hAnsi="Arial" w:cs="Arial"/>
          <w:i/>
          <w:iCs/>
          <w:color w:val="242121"/>
          <w:lang w:val="en-GB"/>
        </w:rPr>
        <w:t>Merafong City Local Municipality v AngloGold Ashanti Limited</w:t>
      </w:r>
      <w:r w:rsidR="00C723F3" w:rsidRPr="00E21C27">
        <w:rPr>
          <w:rStyle w:val="FootnoteReference"/>
          <w:rFonts w:ascii="Arial" w:hAnsi="Arial" w:cs="Arial"/>
          <w:iCs/>
          <w:color w:val="242121"/>
          <w:lang w:val="en-GB"/>
        </w:rPr>
        <w:footnoteReference w:id="8"/>
      </w:r>
      <w:r w:rsidRPr="00E21C27">
        <w:rPr>
          <w:rFonts w:ascii="Arial" w:hAnsi="Arial" w:cs="Arial"/>
          <w:i/>
          <w:iCs/>
          <w:color w:val="242121"/>
          <w:lang w:val="en-GB"/>
        </w:rPr>
        <w:t xml:space="preserve"> </w:t>
      </w:r>
      <w:r w:rsidRPr="00E21C27">
        <w:rPr>
          <w:rFonts w:ascii="Arial" w:hAnsi="Arial" w:cs="Arial"/>
          <w:iCs/>
          <w:color w:val="242121"/>
          <w:lang w:val="en-GB"/>
        </w:rPr>
        <w:t>(</w:t>
      </w:r>
      <w:r w:rsidRPr="00E21C27">
        <w:rPr>
          <w:rFonts w:ascii="Arial" w:hAnsi="Arial" w:cs="Arial"/>
          <w:i/>
          <w:iCs/>
          <w:color w:val="242121"/>
          <w:lang w:val="en-GB"/>
        </w:rPr>
        <w:t>Merafong</w:t>
      </w:r>
      <w:r w:rsidRPr="00E21C27">
        <w:rPr>
          <w:rFonts w:ascii="Arial" w:hAnsi="Arial" w:cs="Arial"/>
          <w:iCs/>
          <w:color w:val="242121"/>
          <w:lang w:val="en-GB"/>
        </w:rPr>
        <w:t>)</w:t>
      </w:r>
      <w:r w:rsidRPr="00E21C27">
        <w:rPr>
          <w:rFonts w:ascii="Arial" w:hAnsi="Arial" w:cs="Arial"/>
          <w:color w:val="242121"/>
          <w:lang w:val="en-GB"/>
        </w:rPr>
        <w:t>.</w:t>
      </w:r>
      <w:r w:rsidR="00C723F3" w:rsidRPr="00E21C27">
        <w:rPr>
          <w:rFonts w:ascii="Arial" w:hAnsi="Arial" w:cs="Arial"/>
          <w:color w:val="000000"/>
        </w:rPr>
        <w:t xml:space="preserve"> </w:t>
      </w:r>
      <w:r w:rsidRPr="00E21C27">
        <w:rPr>
          <w:rFonts w:ascii="Arial" w:hAnsi="Arial" w:cs="Arial"/>
          <w:color w:val="242121"/>
          <w:lang w:val="en-GB"/>
        </w:rPr>
        <w:t>Having surveyed the pre-constitutional case-law, the majority judgment found that South African law has always allowed a degree of flexibility in reactive challenges to administrative action. Having considered the impact of the Constitution on that body of law, it re-asserted that the import of</w:t>
      </w:r>
      <w:r w:rsidR="00C723F3" w:rsidRPr="00E21C27">
        <w:rPr>
          <w:rFonts w:ascii="Arial" w:hAnsi="Arial" w:cs="Arial"/>
          <w:color w:val="242121"/>
          <w:lang w:val="en-GB"/>
        </w:rPr>
        <w:t xml:space="preserve"> </w:t>
      </w:r>
      <w:r w:rsidRPr="00E21C27">
        <w:rPr>
          <w:rFonts w:ascii="Arial" w:hAnsi="Arial" w:cs="Arial"/>
          <w:i/>
          <w:iCs/>
          <w:color w:val="242121"/>
          <w:lang w:val="en-GB"/>
        </w:rPr>
        <w:t>Oudekraal</w:t>
      </w:r>
      <w:r w:rsidR="00C723F3" w:rsidRPr="00E21C27">
        <w:rPr>
          <w:rFonts w:ascii="Arial" w:hAnsi="Arial" w:cs="Arial"/>
          <w:iCs/>
          <w:color w:val="242121"/>
          <w:lang w:val="en-GB"/>
        </w:rPr>
        <w:t xml:space="preserve"> </w:t>
      </w:r>
      <w:r w:rsidRPr="00E21C27">
        <w:rPr>
          <w:rFonts w:ascii="Arial" w:hAnsi="Arial" w:cs="Arial"/>
          <w:color w:val="242121"/>
          <w:lang w:val="en-GB"/>
        </w:rPr>
        <w:t>was that the government institution cannot simply ignore an apparently binding ruling or decision on the basis that it was patently unlawful, as that would undermine the rule of law; rather, it has to test the validity of that decision in appropriate proceedings. The decision remains binding until set aside. That court expressed some guidelines for assessing the competence of a collateral challenge. With specific reference to</w:t>
      </w:r>
      <w:r w:rsidR="00C723F3" w:rsidRPr="00E21C27">
        <w:rPr>
          <w:rFonts w:ascii="Arial" w:hAnsi="Arial" w:cs="Arial"/>
          <w:color w:val="242121"/>
          <w:lang w:val="en-GB"/>
        </w:rPr>
        <w:t xml:space="preserve"> </w:t>
      </w:r>
      <w:r w:rsidRPr="00E21C27">
        <w:rPr>
          <w:rFonts w:ascii="Arial" w:hAnsi="Arial" w:cs="Arial"/>
          <w:i/>
          <w:iCs/>
          <w:color w:val="242121"/>
          <w:lang w:val="en-GB"/>
        </w:rPr>
        <w:t>Kirland</w:t>
      </w:r>
      <w:r w:rsidRPr="00E21C27">
        <w:rPr>
          <w:rFonts w:ascii="Arial" w:hAnsi="Arial" w:cs="Arial"/>
          <w:color w:val="242121"/>
          <w:lang w:val="en-GB"/>
        </w:rPr>
        <w:t>, it stated as follows:</w:t>
      </w:r>
    </w:p>
    <w:p w:rsidR="00014FA0" w:rsidRPr="00E21C27" w:rsidRDefault="00F9331F" w:rsidP="00DB01F4">
      <w:pPr>
        <w:shd w:val="clear" w:color="auto" w:fill="FFFFFF"/>
        <w:spacing w:before="144" w:after="0" w:line="360" w:lineRule="auto"/>
        <w:ind w:left="709"/>
        <w:jc w:val="both"/>
        <w:rPr>
          <w:rFonts w:ascii="Arial" w:eastAsia="Times New Roman" w:hAnsi="Arial" w:cs="Arial"/>
          <w:color w:val="242121"/>
          <w:sz w:val="20"/>
          <w:szCs w:val="20"/>
          <w:lang w:eastAsia="en-ZA"/>
        </w:rPr>
      </w:pPr>
      <w:r w:rsidRPr="00E21C27">
        <w:rPr>
          <w:rFonts w:ascii="Arial" w:eastAsia="Times New Roman" w:hAnsi="Arial" w:cs="Arial"/>
          <w:color w:val="242121"/>
          <w:sz w:val="20"/>
          <w:szCs w:val="20"/>
          <w:lang w:eastAsia="en-ZA"/>
        </w:rPr>
        <w:t>“</w:t>
      </w:r>
      <w:r w:rsidR="00014FA0" w:rsidRPr="00E21C27">
        <w:rPr>
          <w:rFonts w:ascii="Arial" w:eastAsia="Times New Roman" w:hAnsi="Arial" w:cs="Arial"/>
          <w:color w:val="242121"/>
          <w:sz w:val="20"/>
          <w:szCs w:val="20"/>
          <w:lang w:val="en-GB" w:eastAsia="en-ZA"/>
        </w:rPr>
        <w:t>But it is important to note what</w:t>
      </w:r>
      <w:r w:rsidR="00C723F3" w:rsidRPr="00E21C27">
        <w:rPr>
          <w:rFonts w:ascii="Arial" w:eastAsia="Times New Roman" w:hAnsi="Arial" w:cs="Arial"/>
          <w:color w:val="242121"/>
          <w:sz w:val="20"/>
          <w:szCs w:val="20"/>
          <w:lang w:val="en-GB" w:eastAsia="en-ZA"/>
        </w:rPr>
        <w:t xml:space="preserve"> </w:t>
      </w:r>
      <w:r w:rsidR="00014FA0" w:rsidRPr="00E21C27">
        <w:rPr>
          <w:rFonts w:ascii="Arial" w:eastAsia="Times New Roman" w:hAnsi="Arial" w:cs="Arial"/>
          <w:i/>
          <w:iCs/>
          <w:color w:val="242121"/>
          <w:sz w:val="20"/>
          <w:szCs w:val="20"/>
          <w:lang w:val="en-GB" w:eastAsia="en-ZA"/>
        </w:rPr>
        <w:t>Kirland</w:t>
      </w:r>
      <w:r w:rsidR="00C723F3" w:rsidRPr="00E21C27">
        <w:rPr>
          <w:rFonts w:ascii="Arial" w:eastAsia="Times New Roman" w:hAnsi="Arial" w:cs="Arial"/>
          <w:color w:val="242121"/>
          <w:sz w:val="20"/>
          <w:szCs w:val="20"/>
          <w:lang w:val="en-GB" w:eastAsia="en-ZA"/>
        </w:rPr>
        <w:t xml:space="preserve"> </w:t>
      </w:r>
      <w:r w:rsidR="00014FA0" w:rsidRPr="00E21C27">
        <w:rPr>
          <w:rFonts w:ascii="Arial" w:eastAsia="Times New Roman" w:hAnsi="Arial" w:cs="Arial"/>
          <w:color w:val="242121"/>
          <w:sz w:val="20"/>
          <w:szCs w:val="20"/>
          <w:lang w:val="en-GB" w:eastAsia="en-ZA"/>
        </w:rPr>
        <w:t>did not do.</w:t>
      </w:r>
      <w:r w:rsidR="00793ED8" w:rsidRPr="00E21C27">
        <w:rPr>
          <w:rFonts w:ascii="Arial" w:eastAsia="Times New Roman" w:hAnsi="Arial" w:cs="Arial"/>
          <w:color w:val="242121"/>
          <w:sz w:val="20"/>
          <w:szCs w:val="20"/>
          <w:lang w:val="en-GB" w:eastAsia="en-ZA"/>
        </w:rPr>
        <w:t xml:space="preserve"> </w:t>
      </w:r>
      <w:r w:rsidR="00014FA0" w:rsidRPr="00E21C27">
        <w:rPr>
          <w:rFonts w:ascii="Arial" w:eastAsia="Times New Roman" w:hAnsi="Arial" w:cs="Arial"/>
          <w:color w:val="242121"/>
          <w:sz w:val="20"/>
          <w:szCs w:val="20"/>
          <w:lang w:val="en-GB" w:eastAsia="en-ZA"/>
        </w:rPr>
        <w:t>It did not fossilise possibly unlawful – and constitutionally invalid – administrative action as indefinitely effective. It expressly recognised that the</w:t>
      </w:r>
      <w:r w:rsidR="00C723F3" w:rsidRPr="00E21C27">
        <w:rPr>
          <w:rFonts w:ascii="Arial" w:eastAsia="Times New Roman" w:hAnsi="Arial" w:cs="Arial"/>
          <w:color w:val="242121"/>
          <w:sz w:val="20"/>
          <w:szCs w:val="20"/>
          <w:lang w:val="en-GB" w:eastAsia="en-ZA"/>
        </w:rPr>
        <w:t xml:space="preserve"> </w:t>
      </w:r>
      <w:r w:rsidR="00014FA0" w:rsidRPr="00E21C27">
        <w:rPr>
          <w:rFonts w:ascii="Arial" w:eastAsia="Times New Roman" w:hAnsi="Arial" w:cs="Arial"/>
          <w:i/>
          <w:iCs/>
          <w:color w:val="242121"/>
          <w:sz w:val="20"/>
          <w:szCs w:val="20"/>
          <w:lang w:val="en-GB" w:eastAsia="en-ZA"/>
        </w:rPr>
        <w:t>Oudekraal</w:t>
      </w:r>
      <w:r w:rsidR="00C723F3" w:rsidRPr="00E21C27">
        <w:rPr>
          <w:rFonts w:ascii="Arial" w:eastAsia="Times New Roman" w:hAnsi="Arial" w:cs="Arial"/>
          <w:color w:val="242121"/>
          <w:sz w:val="20"/>
          <w:szCs w:val="20"/>
          <w:lang w:val="en-GB" w:eastAsia="en-ZA"/>
        </w:rPr>
        <w:t xml:space="preserve"> </w:t>
      </w:r>
      <w:r w:rsidR="00014FA0" w:rsidRPr="00E21C27">
        <w:rPr>
          <w:rFonts w:ascii="Arial" w:eastAsia="Times New Roman" w:hAnsi="Arial" w:cs="Arial"/>
          <w:color w:val="242121"/>
          <w:sz w:val="20"/>
          <w:szCs w:val="20"/>
          <w:lang w:val="en-GB" w:eastAsia="en-ZA"/>
        </w:rPr>
        <w:t>principle puts a provisional brake on determining invalidity. The brake is imposed for rule of law reasons and for good administration. It does not bring the process to an irreversible halt. What it requires is that the allegedly unlawful action be challenged by the right actor in the right proceedings. Until that happens, for rule of law reasons, the decision stands.</w:t>
      </w:r>
    </w:p>
    <w:p w:rsidR="00014FA0" w:rsidRPr="00E21C27" w:rsidRDefault="00014FA0" w:rsidP="00DB01F4">
      <w:pPr>
        <w:shd w:val="clear" w:color="auto" w:fill="FFFFFF"/>
        <w:spacing w:before="144" w:after="0" w:line="360" w:lineRule="auto"/>
        <w:ind w:left="709"/>
        <w:jc w:val="both"/>
        <w:rPr>
          <w:rFonts w:ascii="Arial" w:eastAsia="Times New Roman" w:hAnsi="Arial" w:cs="Arial"/>
          <w:color w:val="242121"/>
          <w:sz w:val="20"/>
          <w:szCs w:val="20"/>
          <w:lang w:eastAsia="en-ZA"/>
        </w:rPr>
      </w:pPr>
      <w:bookmarkStart w:id="2" w:name="_ftnref68"/>
      <w:bookmarkEnd w:id="2"/>
      <w:r w:rsidRPr="00E21C27">
        <w:rPr>
          <w:rFonts w:ascii="Arial" w:eastAsia="Times New Roman" w:hAnsi="Arial" w:cs="Arial"/>
          <w:i/>
          <w:iCs/>
          <w:color w:val="000000"/>
          <w:sz w:val="20"/>
          <w:szCs w:val="20"/>
          <w:lang w:eastAsia="en-ZA"/>
        </w:rPr>
        <w:lastRenderedPageBreak/>
        <w:t>Oudekraal</w:t>
      </w:r>
      <w:r w:rsidR="00C723F3" w:rsidRPr="00E21C27">
        <w:rPr>
          <w:rFonts w:ascii="Arial" w:eastAsia="Times New Roman" w:hAnsi="Arial" w:cs="Arial"/>
          <w:color w:val="000000"/>
          <w:sz w:val="20"/>
          <w:szCs w:val="20"/>
          <w:lang w:eastAsia="en-ZA"/>
        </w:rPr>
        <w:t xml:space="preserve"> </w:t>
      </w:r>
      <w:r w:rsidRPr="00E21C27">
        <w:rPr>
          <w:rFonts w:ascii="Arial" w:eastAsia="Times New Roman" w:hAnsi="Arial" w:cs="Arial"/>
          <w:color w:val="000000"/>
          <w:sz w:val="20"/>
          <w:szCs w:val="20"/>
          <w:lang w:eastAsia="en-ZA"/>
        </w:rPr>
        <w:t>and</w:t>
      </w:r>
      <w:r w:rsidR="00C723F3" w:rsidRPr="00E21C27">
        <w:rPr>
          <w:rFonts w:ascii="Arial" w:eastAsia="Times New Roman" w:hAnsi="Arial" w:cs="Arial"/>
          <w:color w:val="000000"/>
          <w:sz w:val="20"/>
          <w:szCs w:val="20"/>
          <w:lang w:eastAsia="en-ZA"/>
        </w:rPr>
        <w:t xml:space="preserve"> </w:t>
      </w:r>
      <w:r w:rsidRPr="00E21C27">
        <w:rPr>
          <w:rFonts w:ascii="Arial" w:eastAsia="Times New Roman" w:hAnsi="Arial" w:cs="Arial"/>
          <w:i/>
          <w:iCs/>
          <w:color w:val="000000"/>
          <w:sz w:val="20"/>
          <w:szCs w:val="20"/>
          <w:lang w:eastAsia="en-ZA"/>
        </w:rPr>
        <w:t>Kirland</w:t>
      </w:r>
      <w:r w:rsidR="00C723F3" w:rsidRPr="00E21C27">
        <w:rPr>
          <w:rFonts w:ascii="Arial" w:eastAsia="Times New Roman" w:hAnsi="Arial" w:cs="Arial"/>
          <w:color w:val="000000"/>
          <w:sz w:val="20"/>
          <w:szCs w:val="20"/>
          <w:lang w:eastAsia="en-ZA"/>
        </w:rPr>
        <w:t xml:space="preserve"> </w:t>
      </w:r>
      <w:r w:rsidRPr="00E21C27">
        <w:rPr>
          <w:rFonts w:ascii="Arial" w:eastAsia="Times New Roman" w:hAnsi="Arial" w:cs="Arial"/>
          <w:color w:val="000000"/>
          <w:sz w:val="20"/>
          <w:szCs w:val="20"/>
          <w:lang w:eastAsia="en-ZA"/>
        </w:rPr>
        <w:t>did not impose an absolute obligation on private citizens to take the initiative to strike down invalid administrative decisions affecting them. Both decisions recognised that there may be occasions where an administrative decision or ruling should be treated as invalid even though no action has been taken to strike it down. Neither decision expressly circumscribed the circumstances in which an administrative decision could be attacked reactively as invalid. As important, they did not imply or entail that, unless they bring court proceedings to challenge an administrative decision, public authorities are obliged to accept it as valid. And neither imposed an absolute duty of proactivity on public authorities</w:t>
      </w:r>
      <w:r w:rsidRPr="00E21C27">
        <w:rPr>
          <w:rFonts w:ascii="Arial" w:eastAsia="Times New Roman" w:hAnsi="Arial" w:cs="Arial"/>
          <w:i/>
          <w:iCs/>
          <w:color w:val="000000"/>
          <w:sz w:val="20"/>
          <w:szCs w:val="20"/>
          <w:lang w:eastAsia="en-ZA"/>
        </w:rPr>
        <w:t>. It all depends on the circumstances</w:t>
      </w:r>
      <w:r w:rsidRPr="00E21C27">
        <w:rPr>
          <w:rFonts w:ascii="Arial" w:eastAsia="Times New Roman" w:hAnsi="Arial" w:cs="Arial"/>
          <w:color w:val="000000"/>
          <w:sz w:val="20"/>
          <w:szCs w:val="20"/>
          <w:lang w:eastAsia="en-ZA"/>
        </w:rPr>
        <w:t>.</w:t>
      </w:r>
    </w:p>
    <w:p w:rsidR="00014FA0" w:rsidRPr="00E21C27" w:rsidRDefault="00014FA0" w:rsidP="00DB01F4">
      <w:pPr>
        <w:shd w:val="clear" w:color="auto" w:fill="FFFFFF"/>
        <w:spacing w:before="144" w:after="0" w:line="360" w:lineRule="auto"/>
        <w:ind w:left="709"/>
        <w:jc w:val="both"/>
        <w:rPr>
          <w:rFonts w:ascii="Arial" w:eastAsia="Times New Roman" w:hAnsi="Arial" w:cs="Arial"/>
          <w:color w:val="242121"/>
          <w:sz w:val="20"/>
          <w:szCs w:val="20"/>
          <w:lang w:eastAsia="en-ZA"/>
        </w:rPr>
      </w:pPr>
      <w:r w:rsidRPr="00E21C27">
        <w:rPr>
          <w:rFonts w:ascii="Arial" w:eastAsia="Times New Roman" w:hAnsi="Arial" w:cs="Arial"/>
          <w:color w:val="000000"/>
          <w:sz w:val="20"/>
          <w:szCs w:val="20"/>
          <w:lang w:eastAsia="en-ZA"/>
        </w:rPr>
        <w:t>. . . .</w:t>
      </w:r>
    </w:p>
    <w:p w:rsidR="00014FA0" w:rsidRPr="00E21C27" w:rsidRDefault="00014FA0" w:rsidP="006257C8">
      <w:pPr>
        <w:shd w:val="clear" w:color="auto" w:fill="FFFFFF"/>
        <w:spacing w:after="0" w:line="360" w:lineRule="auto"/>
        <w:ind w:left="709"/>
        <w:jc w:val="both"/>
        <w:rPr>
          <w:rFonts w:ascii="Arial" w:eastAsia="Times New Roman" w:hAnsi="Arial" w:cs="Arial"/>
          <w:color w:val="242121"/>
          <w:sz w:val="20"/>
          <w:szCs w:val="20"/>
          <w:lang w:eastAsia="en-ZA"/>
        </w:rPr>
      </w:pPr>
      <w:r w:rsidRPr="00E21C27">
        <w:rPr>
          <w:rFonts w:ascii="Arial" w:eastAsia="Times New Roman" w:hAnsi="Arial" w:cs="Arial"/>
          <w:color w:val="000000"/>
          <w:sz w:val="20"/>
          <w:szCs w:val="20"/>
          <w:lang w:eastAsia="en-ZA"/>
        </w:rPr>
        <w:t>Against this background, the question is whether, when AngloGold sought an order enforcing the Minister’s decision, Merafong was entitled to react by raising the invalidity of her ruling as a defence.</w:t>
      </w:r>
    </w:p>
    <w:p w:rsidR="00014FA0" w:rsidRPr="00E21C27" w:rsidRDefault="00014FA0" w:rsidP="006257C8">
      <w:pPr>
        <w:shd w:val="clear" w:color="auto" w:fill="FFFFFF"/>
        <w:spacing w:after="0" w:line="360" w:lineRule="auto"/>
        <w:ind w:left="709"/>
        <w:jc w:val="both"/>
        <w:rPr>
          <w:rFonts w:ascii="Arial" w:eastAsia="Times New Roman" w:hAnsi="Arial" w:cs="Arial"/>
          <w:color w:val="242121"/>
          <w:sz w:val="20"/>
          <w:szCs w:val="20"/>
          <w:lang w:eastAsia="en-ZA"/>
        </w:rPr>
      </w:pPr>
      <w:r w:rsidRPr="00E21C27">
        <w:rPr>
          <w:rFonts w:ascii="Arial" w:eastAsia="Times New Roman" w:hAnsi="Arial" w:cs="Arial"/>
          <w:color w:val="000000"/>
          <w:sz w:val="20"/>
          <w:szCs w:val="20"/>
          <w:lang w:eastAsia="en-ZA"/>
        </w:rPr>
        <w:t>. . . .</w:t>
      </w:r>
    </w:p>
    <w:p w:rsidR="00014FA0" w:rsidRPr="00E21C27" w:rsidRDefault="00014FA0" w:rsidP="006257C8">
      <w:pPr>
        <w:shd w:val="clear" w:color="auto" w:fill="FFFFFF"/>
        <w:spacing w:after="0" w:line="360" w:lineRule="auto"/>
        <w:ind w:left="709"/>
        <w:jc w:val="both"/>
        <w:rPr>
          <w:rFonts w:ascii="Arial" w:eastAsia="Times New Roman" w:hAnsi="Arial" w:cs="Arial"/>
          <w:color w:val="242121"/>
          <w:sz w:val="20"/>
          <w:szCs w:val="20"/>
          <w:lang w:eastAsia="en-ZA"/>
        </w:rPr>
      </w:pPr>
      <w:r w:rsidRPr="00E21C27">
        <w:rPr>
          <w:rFonts w:ascii="Arial" w:eastAsia="Times New Roman" w:hAnsi="Arial" w:cs="Arial"/>
          <w:color w:val="000000"/>
          <w:sz w:val="20"/>
          <w:szCs w:val="20"/>
          <w:lang w:eastAsia="en-ZA"/>
        </w:rPr>
        <w:t>A reactive challenge should be available where justice requires it to be. That will depend, in each case, on the facts</w:t>
      </w:r>
      <w:r w:rsidR="00793ED8" w:rsidRPr="00E21C27">
        <w:rPr>
          <w:rFonts w:ascii="Arial" w:eastAsia="Times New Roman" w:hAnsi="Arial" w:cs="Arial"/>
          <w:color w:val="000000"/>
          <w:sz w:val="20"/>
          <w:szCs w:val="20"/>
          <w:lang w:eastAsia="en-ZA"/>
        </w:rPr>
        <w:t xml:space="preserve">. </w:t>
      </w:r>
      <w:r w:rsidRPr="00E21C27">
        <w:rPr>
          <w:rFonts w:ascii="Arial" w:eastAsia="Times New Roman" w:hAnsi="Arial" w:cs="Arial"/>
          <w:color w:val="000000"/>
          <w:sz w:val="20"/>
          <w:szCs w:val="20"/>
          <w:lang w:eastAsia="en-ZA"/>
        </w:rPr>
        <w:t>(Emphasis added.)</w:t>
      </w:r>
      <w:r w:rsidR="00F9331F" w:rsidRPr="00E21C27">
        <w:rPr>
          <w:rFonts w:ascii="Arial" w:eastAsia="Times New Roman" w:hAnsi="Arial" w:cs="Arial"/>
          <w:color w:val="000000"/>
          <w:sz w:val="20"/>
          <w:szCs w:val="20"/>
          <w:lang w:eastAsia="en-ZA"/>
        </w:rPr>
        <w:t xml:space="preserve"> ”’</w:t>
      </w:r>
      <w:r w:rsidR="00F9331F" w:rsidRPr="00E21C27">
        <w:rPr>
          <w:rStyle w:val="FootnoteReference"/>
          <w:rFonts w:ascii="Arial" w:eastAsia="Times New Roman" w:hAnsi="Arial" w:cs="Arial"/>
          <w:b/>
          <w:bCs/>
          <w:color w:val="0B4B0B"/>
          <w:sz w:val="20"/>
          <w:szCs w:val="20"/>
          <w:u w:val="single"/>
          <w:lang w:eastAsia="en-ZA"/>
        </w:rPr>
        <w:t xml:space="preserve"> </w:t>
      </w:r>
      <w:r w:rsidR="00F9331F" w:rsidRPr="00E21C27">
        <w:rPr>
          <w:rStyle w:val="FootnoteReference"/>
          <w:rFonts w:ascii="Arial" w:eastAsia="Times New Roman" w:hAnsi="Arial" w:cs="Arial"/>
          <w:b/>
          <w:bCs/>
          <w:color w:val="0B4B0B"/>
          <w:sz w:val="20"/>
          <w:szCs w:val="20"/>
          <w:u w:val="single"/>
          <w:lang w:eastAsia="en-ZA"/>
        </w:rPr>
        <w:footnoteReference w:id="9"/>
      </w:r>
    </w:p>
    <w:p w:rsidR="00D053BF" w:rsidRPr="00E21C27" w:rsidRDefault="00D053BF" w:rsidP="006257C8">
      <w:pPr>
        <w:spacing w:after="0" w:line="360" w:lineRule="auto"/>
        <w:jc w:val="both"/>
        <w:rPr>
          <w:rFonts w:ascii="Arial" w:eastAsia="Arial" w:hAnsi="Arial" w:cs="Arial"/>
          <w:color w:val="000000"/>
          <w:sz w:val="24"/>
          <w:szCs w:val="24"/>
        </w:rPr>
      </w:pPr>
    </w:p>
    <w:p w:rsidR="008212F6"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t>[22]</w:t>
      </w:r>
      <w:r w:rsidRPr="00E21C27">
        <w:rPr>
          <w:rFonts w:ascii="Arial" w:eastAsia="Arial" w:hAnsi="Arial" w:cs="Arial"/>
          <w:color w:val="000000"/>
          <w:sz w:val="24"/>
          <w:szCs w:val="24"/>
        </w:rPr>
        <w:tab/>
      </w:r>
      <w:r w:rsidR="00BB65DB" w:rsidRPr="00E21C27">
        <w:rPr>
          <w:rFonts w:ascii="Arial" w:eastAsia="Arial" w:hAnsi="Arial" w:cs="Arial"/>
          <w:color w:val="000000"/>
          <w:sz w:val="24"/>
          <w:szCs w:val="24"/>
        </w:rPr>
        <w:t>In this case, t</w:t>
      </w:r>
      <w:r w:rsidR="00182598" w:rsidRPr="00E21C27">
        <w:rPr>
          <w:rFonts w:ascii="Arial" w:eastAsia="Arial" w:hAnsi="Arial" w:cs="Arial"/>
          <w:color w:val="000000"/>
          <w:sz w:val="24"/>
          <w:szCs w:val="24"/>
        </w:rPr>
        <w:t>he addendum is such that the invalidity t</w:t>
      </w:r>
      <w:r w:rsidR="0033770A" w:rsidRPr="00E21C27">
        <w:rPr>
          <w:rFonts w:ascii="Arial" w:eastAsia="Arial" w:hAnsi="Arial" w:cs="Arial"/>
          <w:color w:val="000000"/>
          <w:sz w:val="24"/>
          <w:szCs w:val="24"/>
        </w:rPr>
        <w:t>hereof cries out that justice be served</w:t>
      </w:r>
      <w:r w:rsidR="00D35D25">
        <w:rPr>
          <w:rFonts w:ascii="Arial" w:eastAsia="Arial" w:hAnsi="Arial" w:cs="Arial"/>
          <w:color w:val="000000"/>
          <w:sz w:val="24"/>
          <w:szCs w:val="24"/>
        </w:rPr>
        <w:t>.</w:t>
      </w:r>
      <w:r w:rsidR="00182598" w:rsidRPr="00E21C27">
        <w:rPr>
          <w:rFonts w:ascii="Arial" w:eastAsia="Arial" w:hAnsi="Arial" w:cs="Arial"/>
          <w:color w:val="000000"/>
          <w:sz w:val="24"/>
          <w:szCs w:val="24"/>
        </w:rPr>
        <w:t xml:space="preserve"> </w:t>
      </w:r>
      <w:r w:rsidR="00BB65DB" w:rsidRPr="00E21C27">
        <w:rPr>
          <w:rFonts w:ascii="Arial" w:eastAsia="Arial" w:hAnsi="Arial" w:cs="Arial"/>
          <w:color w:val="000000"/>
          <w:sz w:val="24"/>
          <w:szCs w:val="24"/>
        </w:rPr>
        <w:t xml:space="preserve">Before the period </w:t>
      </w:r>
      <w:r w:rsidR="00B40618" w:rsidRPr="00E21C27">
        <w:rPr>
          <w:rFonts w:ascii="Arial" w:eastAsia="Arial" w:hAnsi="Arial" w:cs="Arial"/>
          <w:color w:val="000000"/>
          <w:sz w:val="24"/>
          <w:szCs w:val="24"/>
        </w:rPr>
        <w:t>of the addendum came to an</w:t>
      </w:r>
      <w:r w:rsidR="00BB65DB" w:rsidRPr="00E21C27">
        <w:rPr>
          <w:rFonts w:ascii="Arial" w:eastAsia="Arial" w:hAnsi="Arial" w:cs="Arial"/>
          <w:color w:val="000000"/>
          <w:sz w:val="24"/>
          <w:szCs w:val="24"/>
        </w:rPr>
        <w:t xml:space="preserve"> end, in fact after a year, </w:t>
      </w:r>
      <w:r w:rsidR="00F352EB" w:rsidRPr="00E21C27">
        <w:rPr>
          <w:rFonts w:ascii="Arial" w:eastAsia="Arial" w:hAnsi="Arial" w:cs="Arial"/>
          <w:color w:val="000000"/>
          <w:sz w:val="24"/>
          <w:szCs w:val="24"/>
        </w:rPr>
        <w:t xml:space="preserve">KR Inc. </w:t>
      </w:r>
      <w:r w:rsidR="00B40618" w:rsidRPr="00E21C27">
        <w:rPr>
          <w:rFonts w:ascii="Arial" w:eastAsia="Arial" w:hAnsi="Arial" w:cs="Arial"/>
          <w:color w:val="000000"/>
          <w:sz w:val="24"/>
          <w:szCs w:val="24"/>
        </w:rPr>
        <w:t xml:space="preserve">issued out an invoice </w:t>
      </w:r>
      <w:r w:rsidR="00F9331F" w:rsidRPr="00E21C27">
        <w:rPr>
          <w:rFonts w:ascii="Arial" w:eastAsia="Arial" w:hAnsi="Arial" w:cs="Arial"/>
          <w:color w:val="000000"/>
          <w:sz w:val="24"/>
          <w:szCs w:val="24"/>
        </w:rPr>
        <w:t xml:space="preserve">seeking payment of R46 million </w:t>
      </w:r>
      <w:r w:rsidR="00B40618" w:rsidRPr="00E21C27">
        <w:rPr>
          <w:rFonts w:ascii="Arial" w:eastAsia="Arial" w:hAnsi="Arial" w:cs="Arial"/>
          <w:color w:val="000000"/>
          <w:sz w:val="24"/>
          <w:szCs w:val="24"/>
        </w:rPr>
        <w:t>without the work being complete</w:t>
      </w:r>
      <w:r w:rsidR="00793ED8" w:rsidRPr="00E21C27">
        <w:rPr>
          <w:rFonts w:ascii="Arial" w:eastAsia="Arial" w:hAnsi="Arial" w:cs="Arial"/>
          <w:color w:val="000000"/>
          <w:sz w:val="24"/>
          <w:szCs w:val="24"/>
        </w:rPr>
        <w:t>;</w:t>
      </w:r>
      <w:r w:rsidR="00F9331F" w:rsidRPr="00E21C27">
        <w:rPr>
          <w:rFonts w:ascii="Arial" w:eastAsia="Arial" w:hAnsi="Arial" w:cs="Arial"/>
          <w:color w:val="000000"/>
          <w:sz w:val="24"/>
          <w:szCs w:val="24"/>
        </w:rPr>
        <w:t xml:space="preserve"> </w:t>
      </w:r>
      <w:r w:rsidR="00793ED8" w:rsidRPr="00E21C27">
        <w:rPr>
          <w:rFonts w:ascii="Arial" w:eastAsia="Arial" w:hAnsi="Arial" w:cs="Arial"/>
          <w:color w:val="000000"/>
          <w:sz w:val="24"/>
          <w:szCs w:val="24"/>
        </w:rPr>
        <w:t xml:space="preserve">work </w:t>
      </w:r>
      <w:r w:rsidR="00B40618" w:rsidRPr="00E21C27">
        <w:rPr>
          <w:rFonts w:ascii="Arial" w:eastAsia="Arial" w:hAnsi="Arial" w:cs="Arial"/>
          <w:color w:val="000000"/>
          <w:sz w:val="24"/>
          <w:szCs w:val="24"/>
        </w:rPr>
        <w:t xml:space="preserve">which </w:t>
      </w:r>
      <w:r w:rsidR="00985D5F" w:rsidRPr="00E21C27">
        <w:rPr>
          <w:rFonts w:ascii="Arial" w:eastAsia="Arial" w:hAnsi="Arial" w:cs="Arial"/>
          <w:color w:val="000000"/>
          <w:sz w:val="24"/>
          <w:szCs w:val="24"/>
        </w:rPr>
        <w:t xml:space="preserve">was </w:t>
      </w:r>
      <w:r w:rsidR="00B40618" w:rsidRPr="00E21C27">
        <w:rPr>
          <w:rFonts w:ascii="Arial" w:eastAsia="Arial" w:hAnsi="Arial" w:cs="Arial"/>
          <w:color w:val="000000"/>
          <w:sz w:val="24"/>
          <w:szCs w:val="24"/>
        </w:rPr>
        <w:t xml:space="preserve">calculated to </w:t>
      </w:r>
      <w:r w:rsidR="00793ED8" w:rsidRPr="00E21C27">
        <w:rPr>
          <w:rFonts w:ascii="Arial" w:eastAsia="Arial" w:hAnsi="Arial" w:cs="Arial"/>
          <w:color w:val="000000"/>
          <w:sz w:val="24"/>
          <w:szCs w:val="24"/>
        </w:rPr>
        <w:t xml:space="preserve">be </w:t>
      </w:r>
      <w:r w:rsidR="00B40618" w:rsidRPr="00E21C27">
        <w:rPr>
          <w:rFonts w:ascii="Arial" w:eastAsia="Arial" w:hAnsi="Arial" w:cs="Arial"/>
          <w:color w:val="000000"/>
          <w:sz w:val="24"/>
          <w:szCs w:val="24"/>
        </w:rPr>
        <w:t>done for the entire three year period of the addendum</w:t>
      </w:r>
      <w:r w:rsidR="00182598" w:rsidRPr="00E21C27">
        <w:rPr>
          <w:rFonts w:ascii="Arial" w:eastAsia="Arial" w:hAnsi="Arial" w:cs="Arial"/>
          <w:color w:val="000000"/>
          <w:sz w:val="24"/>
          <w:szCs w:val="24"/>
        </w:rPr>
        <w:t xml:space="preserve">. It would not be in the interest of justice to allow for this fruitless and </w:t>
      </w:r>
      <w:r w:rsidR="00E269F1" w:rsidRPr="00E21C27">
        <w:rPr>
          <w:rFonts w:ascii="Arial" w:eastAsia="Arial" w:hAnsi="Arial" w:cs="Arial"/>
          <w:color w:val="000000"/>
          <w:sz w:val="24"/>
          <w:szCs w:val="24"/>
        </w:rPr>
        <w:t>wasteful</w:t>
      </w:r>
      <w:r w:rsidR="00182598" w:rsidRPr="00E21C27">
        <w:rPr>
          <w:rFonts w:ascii="Arial" w:eastAsia="Arial" w:hAnsi="Arial" w:cs="Arial"/>
          <w:color w:val="000000"/>
          <w:sz w:val="24"/>
          <w:szCs w:val="24"/>
        </w:rPr>
        <w:t xml:space="preserve"> expenditure.</w:t>
      </w:r>
    </w:p>
    <w:p w:rsidR="008212F6" w:rsidRPr="00E21C27" w:rsidRDefault="008212F6" w:rsidP="00DB01F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C83652" w:rsidRPr="005A1800"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5A1800">
        <w:rPr>
          <w:rFonts w:ascii="Arial" w:eastAsia="Arial" w:hAnsi="Arial" w:cs="Arial"/>
          <w:color w:val="000000"/>
          <w:sz w:val="24"/>
          <w:szCs w:val="24"/>
        </w:rPr>
        <w:t>[23]</w:t>
      </w:r>
      <w:r w:rsidRPr="005A1800">
        <w:rPr>
          <w:rFonts w:ascii="Arial" w:eastAsia="Arial" w:hAnsi="Arial" w:cs="Arial"/>
          <w:color w:val="000000"/>
          <w:sz w:val="24"/>
          <w:szCs w:val="24"/>
        </w:rPr>
        <w:tab/>
      </w:r>
      <w:r w:rsidR="00B40618" w:rsidRPr="00E21C27">
        <w:rPr>
          <w:rFonts w:ascii="Arial" w:eastAsia="Arial" w:hAnsi="Arial" w:cs="Arial"/>
          <w:color w:val="000000"/>
          <w:sz w:val="24"/>
          <w:szCs w:val="24"/>
        </w:rPr>
        <w:t>Further, t</w:t>
      </w:r>
      <w:r w:rsidR="00182598" w:rsidRPr="00E21C27">
        <w:rPr>
          <w:rFonts w:ascii="Arial" w:eastAsia="Arial" w:hAnsi="Arial" w:cs="Arial"/>
          <w:color w:val="000000"/>
          <w:sz w:val="24"/>
          <w:szCs w:val="24"/>
        </w:rPr>
        <w:t xml:space="preserve">he invalidity of the addendum was raised in the </w:t>
      </w:r>
      <w:r w:rsidR="00F352EB" w:rsidRPr="00E21C27">
        <w:rPr>
          <w:rFonts w:ascii="Arial" w:eastAsia="Arial" w:hAnsi="Arial" w:cs="Arial"/>
          <w:color w:val="000000"/>
          <w:sz w:val="24"/>
          <w:szCs w:val="24"/>
        </w:rPr>
        <w:t>Department</w:t>
      </w:r>
      <w:r w:rsidR="00182598" w:rsidRPr="00E21C27">
        <w:rPr>
          <w:rFonts w:ascii="Arial" w:eastAsia="Arial" w:hAnsi="Arial" w:cs="Arial"/>
          <w:color w:val="000000"/>
          <w:sz w:val="24"/>
          <w:szCs w:val="24"/>
        </w:rPr>
        <w:t>’s canc</w:t>
      </w:r>
      <w:r w:rsidR="00B40618" w:rsidRPr="00E21C27">
        <w:rPr>
          <w:rFonts w:ascii="Arial" w:eastAsia="Arial" w:hAnsi="Arial" w:cs="Arial"/>
          <w:color w:val="000000"/>
          <w:sz w:val="24"/>
          <w:szCs w:val="24"/>
        </w:rPr>
        <w:t>ellation letter and in its plea</w:t>
      </w:r>
      <w:r w:rsidR="00514F1A" w:rsidRPr="00E21C27">
        <w:rPr>
          <w:rFonts w:ascii="Arial" w:eastAsia="Arial" w:hAnsi="Arial" w:cs="Arial"/>
          <w:color w:val="000000"/>
          <w:sz w:val="24"/>
          <w:szCs w:val="24"/>
        </w:rPr>
        <w:t>;</w:t>
      </w:r>
      <w:r w:rsidR="00B40618" w:rsidRPr="00E21C27">
        <w:rPr>
          <w:rFonts w:ascii="Arial" w:eastAsia="Arial" w:hAnsi="Arial" w:cs="Arial"/>
          <w:color w:val="000000"/>
          <w:sz w:val="24"/>
          <w:szCs w:val="24"/>
        </w:rPr>
        <w:t xml:space="preserve"> thus</w:t>
      </w:r>
      <w:r w:rsidR="00F352EB" w:rsidRPr="00E21C27">
        <w:rPr>
          <w:rFonts w:ascii="Arial" w:eastAsia="Arial" w:hAnsi="Arial" w:cs="Arial"/>
          <w:color w:val="000000"/>
          <w:sz w:val="24"/>
          <w:szCs w:val="24"/>
        </w:rPr>
        <w:t xml:space="preserve"> KR Inc. </w:t>
      </w:r>
      <w:r w:rsidR="002D0F98" w:rsidRPr="00E21C27">
        <w:rPr>
          <w:rFonts w:ascii="Arial" w:eastAsia="Arial" w:hAnsi="Arial" w:cs="Arial"/>
          <w:color w:val="000000"/>
          <w:sz w:val="24"/>
          <w:szCs w:val="24"/>
        </w:rPr>
        <w:t xml:space="preserve">was </w:t>
      </w:r>
      <w:r w:rsidR="00182598" w:rsidRPr="00E21C27">
        <w:rPr>
          <w:rFonts w:ascii="Arial" w:eastAsia="Arial" w:hAnsi="Arial" w:cs="Arial"/>
          <w:color w:val="000000"/>
          <w:sz w:val="24"/>
          <w:szCs w:val="24"/>
        </w:rPr>
        <w:t>well aware of the case it was to meet</w:t>
      </w:r>
      <w:r w:rsidR="00B40618" w:rsidRPr="00E21C27">
        <w:rPr>
          <w:rFonts w:ascii="Arial" w:eastAsia="Arial" w:hAnsi="Arial" w:cs="Arial"/>
          <w:color w:val="000000"/>
          <w:sz w:val="24"/>
          <w:szCs w:val="24"/>
        </w:rPr>
        <w:t xml:space="preserve"> and it would </w:t>
      </w:r>
      <w:r w:rsidR="0041372E" w:rsidRPr="00E21C27">
        <w:rPr>
          <w:rFonts w:ascii="Arial" w:eastAsia="Arial" w:hAnsi="Arial" w:cs="Arial"/>
          <w:color w:val="000000"/>
          <w:sz w:val="24"/>
          <w:szCs w:val="24"/>
        </w:rPr>
        <w:t xml:space="preserve">therefore, </w:t>
      </w:r>
      <w:r w:rsidR="00B40618" w:rsidRPr="00E21C27">
        <w:rPr>
          <w:rFonts w:ascii="Arial" w:eastAsia="Arial" w:hAnsi="Arial" w:cs="Arial"/>
          <w:color w:val="000000"/>
          <w:sz w:val="24"/>
          <w:szCs w:val="24"/>
        </w:rPr>
        <w:t xml:space="preserve">be an injustice to say the lack of a counter-application precludes the </w:t>
      </w:r>
      <w:r w:rsidR="00F352EB" w:rsidRPr="00E21C27">
        <w:rPr>
          <w:rFonts w:ascii="Arial" w:eastAsia="Arial" w:hAnsi="Arial" w:cs="Arial"/>
          <w:color w:val="000000"/>
          <w:sz w:val="24"/>
          <w:szCs w:val="24"/>
        </w:rPr>
        <w:t xml:space="preserve">Department </w:t>
      </w:r>
      <w:r w:rsidR="00B40618" w:rsidRPr="00E21C27">
        <w:rPr>
          <w:rFonts w:ascii="Arial" w:eastAsia="Arial" w:hAnsi="Arial" w:cs="Arial"/>
          <w:color w:val="000000"/>
          <w:sz w:val="24"/>
          <w:szCs w:val="24"/>
        </w:rPr>
        <w:t>from seeking a declaration of invalidity and unlawfulness</w:t>
      </w:r>
      <w:r w:rsidR="00182598" w:rsidRPr="00E21C27">
        <w:rPr>
          <w:rFonts w:ascii="Arial" w:eastAsia="Arial" w:hAnsi="Arial" w:cs="Arial"/>
          <w:color w:val="000000"/>
          <w:sz w:val="24"/>
          <w:szCs w:val="24"/>
        </w:rPr>
        <w:t xml:space="preserve">. </w:t>
      </w:r>
      <w:r w:rsidR="008079B8" w:rsidRPr="00E21C27">
        <w:rPr>
          <w:rFonts w:ascii="Arial" w:eastAsia="Arial" w:hAnsi="Arial" w:cs="Arial"/>
          <w:color w:val="000000"/>
          <w:sz w:val="24"/>
          <w:szCs w:val="24"/>
        </w:rPr>
        <w:t xml:space="preserve">The </w:t>
      </w:r>
      <w:r w:rsidR="00F352EB" w:rsidRPr="00E21C27">
        <w:rPr>
          <w:rFonts w:ascii="Arial" w:eastAsia="Arial" w:hAnsi="Arial" w:cs="Arial"/>
          <w:color w:val="000000"/>
          <w:sz w:val="24"/>
          <w:szCs w:val="24"/>
        </w:rPr>
        <w:t xml:space="preserve">Department </w:t>
      </w:r>
      <w:r w:rsidR="00C83652" w:rsidRPr="00E21C27">
        <w:rPr>
          <w:rFonts w:ascii="Arial" w:eastAsia="Arial" w:hAnsi="Arial" w:cs="Arial"/>
          <w:color w:val="000000"/>
          <w:sz w:val="24"/>
          <w:szCs w:val="24"/>
        </w:rPr>
        <w:t>pleaded non-</w:t>
      </w:r>
      <w:r w:rsidR="008079B8" w:rsidRPr="00E21C27">
        <w:rPr>
          <w:rFonts w:ascii="Arial" w:eastAsia="Arial" w:hAnsi="Arial" w:cs="Arial"/>
          <w:color w:val="000000"/>
          <w:sz w:val="24"/>
          <w:szCs w:val="24"/>
        </w:rPr>
        <w:t>compliance with s</w:t>
      </w:r>
      <w:r w:rsidR="00B40618" w:rsidRPr="00E21C27">
        <w:rPr>
          <w:rFonts w:ascii="Arial" w:eastAsia="Arial" w:hAnsi="Arial" w:cs="Arial"/>
          <w:color w:val="000000"/>
          <w:sz w:val="24"/>
          <w:szCs w:val="24"/>
        </w:rPr>
        <w:t xml:space="preserve"> </w:t>
      </w:r>
      <w:r w:rsidR="008079B8" w:rsidRPr="00E21C27">
        <w:rPr>
          <w:rFonts w:ascii="Arial" w:eastAsia="Arial" w:hAnsi="Arial" w:cs="Arial"/>
          <w:color w:val="000000"/>
          <w:sz w:val="24"/>
          <w:szCs w:val="24"/>
        </w:rPr>
        <w:t xml:space="preserve">217 of the Constitution, contravention of Regulation 16A of the Treasury Regulations issued in terms of the PFMA and contravention of the National Treasury Instruction Supply Chain Management Instruction Notes. </w:t>
      </w:r>
      <w:r w:rsidR="00C83652" w:rsidRPr="00E21C27">
        <w:rPr>
          <w:rFonts w:ascii="Arial" w:eastAsia="Arial" w:hAnsi="Arial" w:cs="Arial"/>
          <w:color w:val="000000"/>
          <w:sz w:val="24"/>
          <w:szCs w:val="24"/>
        </w:rPr>
        <w:t xml:space="preserve">The </w:t>
      </w:r>
      <w:r w:rsidR="00F352EB" w:rsidRPr="00E21C27">
        <w:rPr>
          <w:rFonts w:ascii="Arial" w:eastAsia="Arial" w:hAnsi="Arial" w:cs="Arial"/>
          <w:color w:val="000000"/>
          <w:sz w:val="24"/>
          <w:szCs w:val="24"/>
        </w:rPr>
        <w:t xml:space="preserve">high court </w:t>
      </w:r>
      <w:r w:rsidR="008212F6" w:rsidRPr="00E21C27">
        <w:rPr>
          <w:rFonts w:ascii="Arial" w:eastAsia="Arial" w:hAnsi="Arial" w:cs="Arial"/>
          <w:color w:val="000000"/>
          <w:sz w:val="24"/>
          <w:szCs w:val="24"/>
        </w:rPr>
        <w:t>in its judgment mention</w:t>
      </w:r>
      <w:r w:rsidR="00985D5F" w:rsidRPr="00E21C27">
        <w:rPr>
          <w:rFonts w:ascii="Arial" w:eastAsia="Arial" w:hAnsi="Arial" w:cs="Arial"/>
          <w:color w:val="000000"/>
          <w:sz w:val="24"/>
          <w:szCs w:val="24"/>
        </w:rPr>
        <w:t>ed</w:t>
      </w:r>
      <w:r w:rsidR="00C83652" w:rsidRPr="00E21C27">
        <w:rPr>
          <w:rFonts w:ascii="Arial" w:eastAsia="Arial" w:hAnsi="Arial" w:cs="Arial"/>
          <w:color w:val="000000"/>
          <w:sz w:val="24"/>
          <w:szCs w:val="24"/>
        </w:rPr>
        <w:t xml:space="preserve"> that</w:t>
      </w:r>
      <w:r w:rsidR="00513D88" w:rsidRPr="00E21C27">
        <w:rPr>
          <w:rFonts w:ascii="Arial" w:eastAsia="Arial" w:hAnsi="Arial" w:cs="Arial"/>
          <w:color w:val="000000"/>
          <w:sz w:val="24"/>
          <w:szCs w:val="24"/>
        </w:rPr>
        <w:t>,</w:t>
      </w:r>
      <w:r w:rsidR="00C83652" w:rsidRPr="00E21C27">
        <w:rPr>
          <w:rFonts w:ascii="Arial" w:eastAsia="Arial" w:hAnsi="Arial" w:cs="Arial"/>
          <w:color w:val="000000"/>
          <w:sz w:val="24"/>
          <w:szCs w:val="24"/>
        </w:rPr>
        <w:t xml:space="preserve"> the </w:t>
      </w:r>
      <w:r w:rsidR="00F352EB" w:rsidRPr="00E21C27">
        <w:rPr>
          <w:rFonts w:ascii="Arial" w:eastAsia="Arial" w:hAnsi="Arial" w:cs="Arial"/>
          <w:color w:val="000000"/>
          <w:sz w:val="24"/>
          <w:szCs w:val="24"/>
        </w:rPr>
        <w:t>Department</w:t>
      </w:r>
      <w:r w:rsidR="00C83652" w:rsidRPr="00E21C27">
        <w:rPr>
          <w:rFonts w:ascii="Arial" w:eastAsia="Arial" w:hAnsi="Arial" w:cs="Arial"/>
          <w:color w:val="000000"/>
          <w:sz w:val="24"/>
          <w:szCs w:val="24"/>
        </w:rPr>
        <w:t>, even in the absenc</w:t>
      </w:r>
      <w:r w:rsidR="008212F6" w:rsidRPr="00E21C27">
        <w:rPr>
          <w:rFonts w:ascii="Arial" w:eastAsia="Arial" w:hAnsi="Arial" w:cs="Arial"/>
          <w:color w:val="000000"/>
          <w:sz w:val="24"/>
          <w:szCs w:val="24"/>
        </w:rPr>
        <w:t xml:space="preserve">e of a collateral challenge, </w:t>
      </w:r>
      <w:r w:rsidR="00C83652" w:rsidRPr="00E21C27">
        <w:rPr>
          <w:rFonts w:ascii="Arial" w:eastAsia="Arial" w:hAnsi="Arial" w:cs="Arial"/>
          <w:color w:val="000000"/>
          <w:sz w:val="24"/>
          <w:szCs w:val="24"/>
        </w:rPr>
        <w:t>had raised the validity and lawfulness of the addendum in the pleadings.</w:t>
      </w:r>
    </w:p>
    <w:p w:rsidR="008E45FD"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lastRenderedPageBreak/>
        <w:t>[24]</w:t>
      </w:r>
      <w:r w:rsidRPr="00E21C27">
        <w:rPr>
          <w:rFonts w:ascii="Arial" w:eastAsia="Arial" w:hAnsi="Arial" w:cs="Arial"/>
          <w:color w:val="000000"/>
          <w:sz w:val="24"/>
          <w:szCs w:val="24"/>
        </w:rPr>
        <w:tab/>
      </w:r>
      <w:r w:rsidR="002155E5" w:rsidRPr="00E21C27">
        <w:rPr>
          <w:rFonts w:ascii="Arial" w:eastAsia="Arial" w:hAnsi="Arial" w:cs="Arial"/>
          <w:color w:val="000000"/>
          <w:sz w:val="24"/>
          <w:szCs w:val="24"/>
        </w:rPr>
        <w:t>Yet</w:t>
      </w:r>
      <w:r w:rsidR="002D0F98" w:rsidRPr="00E21C27">
        <w:rPr>
          <w:rFonts w:ascii="Arial" w:eastAsia="Arial" w:hAnsi="Arial" w:cs="Arial"/>
          <w:color w:val="000000"/>
          <w:sz w:val="24"/>
          <w:szCs w:val="24"/>
        </w:rPr>
        <w:t>,</w:t>
      </w:r>
      <w:r w:rsidR="002155E5" w:rsidRPr="00E21C27">
        <w:rPr>
          <w:rFonts w:ascii="Arial" w:eastAsia="Arial" w:hAnsi="Arial" w:cs="Arial"/>
          <w:color w:val="000000"/>
          <w:sz w:val="24"/>
          <w:szCs w:val="24"/>
        </w:rPr>
        <w:t xml:space="preserve"> another consideration by the </w:t>
      </w:r>
      <w:r w:rsidR="00F352EB" w:rsidRPr="00E21C27">
        <w:rPr>
          <w:rFonts w:ascii="Arial" w:eastAsia="Arial" w:hAnsi="Arial" w:cs="Arial"/>
          <w:color w:val="000000"/>
          <w:sz w:val="24"/>
          <w:szCs w:val="24"/>
        </w:rPr>
        <w:t>high court</w:t>
      </w:r>
      <w:r w:rsidR="002155E5" w:rsidRPr="00E21C27">
        <w:rPr>
          <w:rFonts w:ascii="Arial" w:eastAsia="Arial" w:hAnsi="Arial" w:cs="Arial"/>
          <w:color w:val="000000"/>
          <w:sz w:val="24"/>
          <w:szCs w:val="24"/>
        </w:rPr>
        <w:t xml:space="preserve">, was the manner in which the addendum came about, which </w:t>
      </w:r>
      <w:r w:rsidR="00985D5F" w:rsidRPr="00E21C27">
        <w:rPr>
          <w:rFonts w:ascii="Arial" w:eastAsia="Arial" w:hAnsi="Arial" w:cs="Arial"/>
          <w:color w:val="000000"/>
          <w:sz w:val="24"/>
          <w:szCs w:val="24"/>
        </w:rPr>
        <w:t xml:space="preserve">the </w:t>
      </w:r>
      <w:r w:rsidR="00F352EB" w:rsidRPr="00E21C27">
        <w:rPr>
          <w:rFonts w:ascii="Arial" w:eastAsia="Arial" w:hAnsi="Arial" w:cs="Arial"/>
          <w:color w:val="000000"/>
          <w:sz w:val="24"/>
          <w:szCs w:val="24"/>
        </w:rPr>
        <w:t>Department</w:t>
      </w:r>
      <w:r w:rsidR="00985D5F" w:rsidRPr="00E21C27">
        <w:rPr>
          <w:rFonts w:ascii="Arial" w:eastAsia="Arial" w:hAnsi="Arial" w:cs="Arial"/>
          <w:color w:val="000000"/>
          <w:sz w:val="24"/>
          <w:szCs w:val="24"/>
        </w:rPr>
        <w:t xml:space="preserve"> </w:t>
      </w:r>
      <w:r w:rsidR="003026E4" w:rsidRPr="00E21C27">
        <w:rPr>
          <w:rFonts w:ascii="Arial" w:eastAsia="Arial" w:hAnsi="Arial" w:cs="Arial"/>
          <w:color w:val="000000"/>
          <w:sz w:val="24"/>
          <w:szCs w:val="24"/>
        </w:rPr>
        <w:t>carefully pleaded</w:t>
      </w:r>
      <w:r w:rsidR="002155E5" w:rsidRPr="00E21C27">
        <w:rPr>
          <w:rFonts w:ascii="Arial" w:eastAsia="Arial" w:hAnsi="Arial" w:cs="Arial"/>
          <w:color w:val="000000"/>
          <w:sz w:val="24"/>
          <w:szCs w:val="24"/>
        </w:rPr>
        <w:t xml:space="preserve"> </w:t>
      </w:r>
      <w:r w:rsidR="00985D5F" w:rsidRPr="00E21C27">
        <w:rPr>
          <w:rFonts w:ascii="Arial" w:eastAsia="Arial" w:hAnsi="Arial" w:cs="Arial"/>
          <w:color w:val="000000"/>
          <w:sz w:val="24"/>
          <w:szCs w:val="24"/>
        </w:rPr>
        <w:t xml:space="preserve">that </w:t>
      </w:r>
      <w:r w:rsidR="00E52FDC" w:rsidRPr="00E21C27">
        <w:rPr>
          <w:rFonts w:ascii="Arial" w:eastAsia="Arial" w:hAnsi="Arial" w:cs="Arial"/>
          <w:color w:val="000000"/>
          <w:sz w:val="24"/>
          <w:szCs w:val="24"/>
        </w:rPr>
        <w:t>it</w:t>
      </w:r>
      <w:r w:rsidR="008079B8" w:rsidRPr="00E21C27">
        <w:rPr>
          <w:rFonts w:ascii="Arial" w:eastAsia="Arial" w:hAnsi="Arial" w:cs="Arial"/>
          <w:color w:val="000000"/>
          <w:sz w:val="24"/>
          <w:szCs w:val="24"/>
        </w:rPr>
        <w:t xml:space="preserve"> was entered into three day</w:t>
      </w:r>
      <w:r w:rsidR="0041372E" w:rsidRPr="00E21C27">
        <w:rPr>
          <w:rFonts w:ascii="Arial" w:eastAsia="Arial" w:hAnsi="Arial" w:cs="Arial"/>
          <w:color w:val="000000"/>
          <w:sz w:val="24"/>
          <w:szCs w:val="24"/>
        </w:rPr>
        <w:t>s</w:t>
      </w:r>
      <w:r w:rsidR="008079B8" w:rsidRPr="00E21C27">
        <w:rPr>
          <w:rFonts w:ascii="Arial" w:eastAsia="Arial" w:hAnsi="Arial" w:cs="Arial"/>
          <w:color w:val="000000"/>
          <w:sz w:val="24"/>
          <w:szCs w:val="24"/>
        </w:rPr>
        <w:t xml:space="preserve"> after the SLA was concluded</w:t>
      </w:r>
      <w:r w:rsidR="00C83652" w:rsidRPr="00E21C27">
        <w:rPr>
          <w:rFonts w:ascii="Arial" w:eastAsia="Arial" w:hAnsi="Arial" w:cs="Arial"/>
          <w:color w:val="000000"/>
          <w:sz w:val="24"/>
          <w:szCs w:val="24"/>
        </w:rPr>
        <w:t xml:space="preserve">. </w:t>
      </w:r>
      <w:r w:rsidR="002155E5" w:rsidRPr="00E21C27">
        <w:rPr>
          <w:rFonts w:ascii="Arial" w:eastAsia="Arial" w:hAnsi="Arial" w:cs="Arial"/>
          <w:color w:val="000000"/>
          <w:sz w:val="24"/>
          <w:szCs w:val="24"/>
        </w:rPr>
        <w:t xml:space="preserve">No work, whatsoever, had been undertaken or conducted by </w:t>
      </w:r>
      <w:r w:rsidR="00471771" w:rsidRPr="00E21C27">
        <w:rPr>
          <w:rFonts w:ascii="Arial" w:eastAsia="Arial" w:hAnsi="Arial" w:cs="Arial"/>
          <w:color w:val="000000"/>
          <w:sz w:val="24"/>
          <w:szCs w:val="24"/>
        </w:rPr>
        <w:t xml:space="preserve">KR Inc. </w:t>
      </w:r>
      <w:r w:rsidR="002155E5" w:rsidRPr="00E21C27">
        <w:rPr>
          <w:rFonts w:ascii="Arial" w:eastAsia="Arial" w:hAnsi="Arial" w:cs="Arial"/>
          <w:color w:val="000000"/>
          <w:sz w:val="24"/>
          <w:szCs w:val="24"/>
        </w:rPr>
        <w:t xml:space="preserve">at that stage </w:t>
      </w:r>
      <w:r w:rsidR="008079B8" w:rsidRPr="00E21C27">
        <w:rPr>
          <w:rFonts w:ascii="Arial" w:eastAsia="Arial" w:hAnsi="Arial" w:cs="Arial"/>
          <w:color w:val="000000"/>
          <w:sz w:val="24"/>
          <w:szCs w:val="24"/>
        </w:rPr>
        <w:t>in terms of the SLA</w:t>
      </w:r>
      <w:r w:rsidR="00C83652" w:rsidRPr="00E21C27">
        <w:rPr>
          <w:rFonts w:ascii="Arial" w:eastAsia="Arial" w:hAnsi="Arial" w:cs="Arial"/>
          <w:color w:val="000000"/>
          <w:sz w:val="24"/>
          <w:szCs w:val="24"/>
        </w:rPr>
        <w:t xml:space="preserve">. </w:t>
      </w:r>
      <w:r w:rsidR="00471771" w:rsidRPr="00E21C27">
        <w:rPr>
          <w:rFonts w:ascii="Arial" w:eastAsia="Arial" w:hAnsi="Arial" w:cs="Arial"/>
          <w:color w:val="000000"/>
          <w:sz w:val="24"/>
          <w:szCs w:val="24"/>
        </w:rPr>
        <w:t xml:space="preserve">Thus, the </w:t>
      </w:r>
      <w:r w:rsidR="001E17C6" w:rsidRPr="00E21C27">
        <w:rPr>
          <w:rFonts w:ascii="Arial" w:eastAsia="Arial" w:hAnsi="Arial" w:cs="Arial"/>
          <w:color w:val="000000"/>
          <w:sz w:val="24"/>
          <w:szCs w:val="24"/>
        </w:rPr>
        <w:t xml:space="preserve">efficiency of </w:t>
      </w:r>
      <w:r w:rsidR="00471771" w:rsidRPr="00E21C27">
        <w:rPr>
          <w:rFonts w:ascii="Arial" w:eastAsia="Arial" w:hAnsi="Arial" w:cs="Arial"/>
          <w:color w:val="000000"/>
          <w:sz w:val="24"/>
          <w:szCs w:val="24"/>
        </w:rPr>
        <w:t>KR Inc.</w:t>
      </w:r>
      <w:r w:rsidR="001E17C6" w:rsidRPr="00E21C27">
        <w:rPr>
          <w:rFonts w:ascii="Arial" w:eastAsia="Arial" w:hAnsi="Arial" w:cs="Arial"/>
          <w:color w:val="000000"/>
          <w:sz w:val="24"/>
          <w:szCs w:val="24"/>
        </w:rPr>
        <w:t xml:space="preserve"> being </w:t>
      </w:r>
      <w:r w:rsidR="00471771" w:rsidRPr="00E21C27">
        <w:rPr>
          <w:rFonts w:ascii="Arial" w:eastAsia="Arial" w:hAnsi="Arial" w:cs="Arial"/>
          <w:color w:val="000000"/>
          <w:sz w:val="24"/>
          <w:szCs w:val="24"/>
        </w:rPr>
        <w:t>best</w:t>
      </w:r>
      <w:r w:rsidR="001E17C6" w:rsidRPr="00E21C27">
        <w:rPr>
          <w:rFonts w:ascii="Arial" w:eastAsia="Arial" w:hAnsi="Arial" w:cs="Arial"/>
          <w:color w:val="000000"/>
          <w:sz w:val="24"/>
          <w:szCs w:val="24"/>
        </w:rPr>
        <w:t xml:space="preserve"> to</w:t>
      </w:r>
      <w:r w:rsidR="00471771" w:rsidRPr="00E21C27">
        <w:rPr>
          <w:rFonts w:ascii="Arial" w:eastAsia="Arial" w:hAnsi="Arial" w:cs="Arial"/>
          <w:color w:val="000000"/>
          <w:sz w:val="24"/>
          <w:szCs w:val="24"/>
        </w:rPr>
        <w:t xml:space="preserve"> manage the </w:t>
      </w:r>
      <w:r w:rsidR="001E17C6" w:rsidRPr="00E21C27">
        <w:rPr>
          <w:rFonts w:ascii="Arial" w:eastAsia="Arial" w:hAnsi="Arial" w:cs="Arial"/>
          <w:color w:val="000000"/>
          <w:sz w:val="24"/>
          <w:szCs w:val="24"/>
        </w:rPr>
        <w:t xml:space="preserve">task set out in the addendum could not have been established by then. </w:t>
      </w:r>
      <w:r w:rsidR="00471771" w:rsidRPr="00E21C27">
        <w:rPr>
          <w:rFonts w:ascii="Arial" w:eastAsia="Arial" w:hAnsi="Arial" w:cs="Arial"/>
          <w:color w:val="000000"/>
          <w:sz w:val="24"/>
          <w:szCs w:val="24"/>
        </w:rPr>
        <w:t>This dispels the contention by</w:t>
      </w:r>
      <w:r w:rsidR="002155E5" w:rsidRPr="00E21C27">
        <w:rPr>
          <w:rFonts w:ascii="Arial" w:eastAsia="Arial" w:hAnsi="Arial" w:cs="Arial"/>
          <w:color w:val="000000"/>
          <w:sz w:val="24"/>
          <w:szCs w:val="24"/>
        </w:rPr>
        <w:t xml:space="preserve"> </w:t>
      </w:r>
      <w:r w:rsidR="00471771" w:rsidRPr="00E21C27">
        <w:rPr>
          <w:rFonts w:ascii="Arial" w:eastAsia="Arial" w:hAnsi="Arial" w:cs="Arial"/>
          <w:color w:val="000000"/>
          <w:sz w:val="24"/>
          <w:szCs w:val="24"/>
        </w:rPr>
        <w:t xml:space="preserve">KR Inc. </w:t>
      </w:r>
      <w:r w:rsidR="002155E5" w:rsidRPr="00E21C27">
        <w:rPr>
          <w:rFonts w:ascii="Arial" w:eastAsia="Arial" w:hAnsi="Arial" w:cs="Arial"/>
          <w:color w:val="000000"/>
          <w:sz w:val="24"/>
          <w:szCs w:val="24"/>
        </w:rPr>
        <w:t>t</w:t>
      </w:r>
      <w:r w:rsidR="00C83652" w:rsidRPr="00E21C27">
        <w:rPr>
          <w:rFonts w:ascii="Arial" w:eastAsia="Arial" w:hAnsi="Arial" w:cs="Arial"/>
          <w:color w:val="000000"/>
          <w:sz w:val="24"/>
          <w:szCs w:val="24"/>
        </w:rPr>
        <w:t xml:space="preserve">hat the addendum </w:t>
      </w:r>
      <w:r w:rsidR="002155E5" w:rsidRPr="00E21C27">
        <w:rPr>
          <w:rFonts w:ascii="Arial" w:eastAsia="Arial" w:hAnsi="Arial" w:cs="Arial"/>
          <w:color w:val="000000"/>
          <w:sz w:val="24"/>
          <w:szCs w:val="24"/>
        </w:rPr>
        <w:t xml:space="preserve">was concluded </w:t>
      </w:r>
      <w:r w:rsidR="008079B8" w:rsidRPr="00E21C27">
        <w:rPr>
          <w:rFonts w:ascii="Arial" w:eastAsia="Arial" w:hAnsi="Arial" w:cs="Arial"/>
          <w:color w:val="000000"/>
          <w:sz w:val="24"/>
          <w:szCs w:val="24"/>
        </w:rPr>
        <w:t xml:space="preserve">‘in order to serve the proper and efficient distribution of LTSM throughout the province before the start of the 2016 school </w:t>
      </w:r>
      <w:r w:rsidR="006846E4" w:rsidRPr="00E21C27">
        <w:rPr>
          <w:rFonts w:ascii="Arial" w:eastAsia="Arial" w:hAnsi="Arial" w:cs="Arial"/>
          <w:color w:val="000000"/>
          <w:sz w:val="24"/>
          <w:szCs w:val="24"/>
        </w:rPr>
        <w:t xml:space="preserve">year’ and that </w:t>
      </w:r>
      <w:r w:rsidR="00FC102F" w:rsidRPr="00E21C27">
        <w:rPr>
          <w:rFonts w:ascii="Arial" w:eastAsia="Arial" w:hAnsi="Arial" w:cs="Arial"/>
          <w:color w:val="000000"/>
          <w:sz w:val="24"/>
          <w:szCs w:val="24"/>
        </w:rPr>
        <w:t>an emergency situation had ari</w:t>
      </w:r>
      <w:r w:rsidR="00D83637" w:rsidRPr="00E21C27">
        <w:rPr>
          <w:rFonts w:ascii="Arial" w:eastAsia="Arial" w:hAnsi="Arial" w:cs="Arial"/>
          <w:color w:val="000000"/>
          <w:sz w:val="24"/>
          <w:szCs w:val="24"/>
        </w:rPr>
        <w:t>se</w:t>
      </w:r>
      <w:r w:rsidR="00FC102F" w:rsidRPr="00E21C27">
        <w:rPr>
          <w:rFonts w:ascii="Arial" w:eastAsia="Arial" w:hAnsi="Arial" w:cs="Arial"/>
          <w:color w:val="000000"/>
          <w:sz w:val="24"/>
          <w:szCs w:val="24"/>
        </w:rPr>
        <w:t>n</w:t>
      </w:r>
      <w:r w:rsidR="008079B8" w:rsidRPr="00E21C27">
        <w:rPr>
          <w:rFonts w:ascii="Arial" w:eastAsia="Arial" w:hAnsi="Arial" w:cs="Arial"/>
          <w:color w:val="000000"/>
          <w:sz w:val="24"/>
          <w:szCs w:val="24"/>
        </w:rPr>
        <w:t xml:space="preserve">. </w:t>
      </w:r>
    </w:p>
    <w:p w:rsidR="001E17C6" w:rsidRPr="00E21C27" w:rsidRDefault="001E17C6" w:rsidP="001E17C6">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8E45FD"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t>[25]</w:t>
      </w:r>
      <w:r w:rsidRPr="00E21C27">
        <w:rPr>
          <w:rFonts w:ascii="Arial" w:eastAsia="Arial" w:hAnsi="Arial" w:cs="Arial"/>
          <w:color w:val="000000"/>
          <w:sz w:val="24"/>
          <w:szCs w:val="24"/>
        </w:rPr>
        <w:tab/>
      </w:r>
      <w:r w:rsidR="00E52FDC" w:rsidRPr="00E21C27">
        <w:rPr>
          <w:rFonts w:ascii="Arial" w:eastAsia="Arial" w:hAnsi="Arial" w:cs="Arial"/>
          <w:color w:val="000000"/>
          <w:sz w:val="24"/>
          <w:szCs w:val="24"/>
        </w:rPr>
        <w:t>Lastly</w:t>
      </w:r>
      <w:r w:rsidR="00AE2281" w:rsidRPr="00E21C27">
        <w:rPr>
          <w:rFonts w:ascii="Arial" w:eastAsia="Arial" w:hAnsi="Arial" w:cs="Arial"/>
          <w:color w:val="000000"/>
          <w:sz w:val="24"/>
          <w:szCs w:val="24"/>
        </w:rPr>
        <w:t xml:space="preserve">, </w:t>
      </w:r>
      <w:r w:rsidR="00506F68" w:rsidRPr="00E21C27">
        <w:rPr>
          <w:rFonts w:ascii="Arial" w:eastAsia="Arial" w:hAnsi="Arial" w:cs="Arial"/>
          <w:color w:val="000000"/>
          <w:sz w:val="24"/>
          <w:szCs w:val="24"/>
        </w:rPr>
        <w:t xml:space="preserve">the court a quo was correct in entertaining the collateral challenge of the </w:t>
      </w:r>
      <w:r w:rsidR="00471771" w:rsidRPr="00E21C27">
        <w:rPr>
          <w:rFonts w:ascii="Arial" w:eastAsia="Arial" w:hAnsi="Arial" w:cs="Arial"/>
          <w:color w:val="000000"/>
          <w:sz w:val="24"/>
          <w:szCs w:val="24"/>
        </w:rPr>
        <w:t>Department</w:t>
      </w:r>
      <w:r w:rsidR="00AE2281" w:rsidRPr="00E21C27">
        <w:rPr>
          <w:rFonts w:ascii="Arial" w:eastAsia="Arial" w:hAnsi="Arial" w:cs="Arial"/>
          <w:color w:val="000000"/>
          <w:sz w:val="24"/>
          <w:szCs w:val="24"/>
        </w:rPr>
        <w:t>,</w:t>
      </w:r>
      <w:r w:rsidR="00506F68" w:rsidRPr="00E21C27">
        <w:rPr>
          <w:rFonts w:ascii="Arial" w:eastAsia="Arial" w:hAnsi="Arial" w:cs="Arial"/>
          <w:color w:val="000000"/>
          <w:sz w:val="24"/>
          <w:szCs w:val="24"/>
        </w:rPr>
        <w:t xml:space="preserve"> </w:t>
      </w:r>
      <w:r w:rsidR="00AE2281" w:rsidRPr="00E21C27">
        <w:rPr>
          <w:rFonts w:ascii="Arial" w:eastAsia="Arial" w:hAnsi="Arial" w:cs="Arial"/>
          <w:color w:val="000000"/>
          <w:sz w:val="24"/>
          <w:szCs w:val="24"/>
        </w:rPr>
        <w:t xml:space="preserve">and </w:t>
      </w:r>
      <w:r w:rsidR="00506F68" w:rsidRPr="00E21C27">
        <w:rPr>
          <w:rFonts w:ascii="Arial" w:eastAsia="Arial" w:hAnsi="Arial" w:cs="Arial"/>
          <w:color w:val="000000"/>
          <w:sz w:val="24"/>
          <w:szCs w:val="24"/>
        </w:rPr>
        <w:t>declaring the addendum invalid and unlawful</w:t>
      </w:r>
      <w:r w:rsidR="00DC6A3A" w:rsidRPr="00E21C27">
        <w:rPr>
          <w:rFonts w:ascii="Arial" w:eastAsia="Arial" w:hAnsi="Arial" w:cs="Arial"/>
          <w:color w:val="000000"/>
          <w:sz w:val="24"/>
          <w:szCs w:val="24"/>
        </w:rPr>
        <w:t>,</w:t>
      </w:r>
      <w:r w:rsidR="00506F68" w:rsidRPr="00E21C27">
        <w:rPr>
          <w:rFonts w:ascii="Arial" w:eastAsia="Arial" w:hAnsi="Arial" w:cs="Arial"/>
          <w:color w:val="000000"/>
          <w:sz w:val="24"/>
          <w:szCs w:val="24"/>
        </w:rPr>
        <w:t xml:space="preserve"> </w:t>
      </w:r>
      <w:r w:rsidR="00AE2281" w:rsidRPr="00E21C27">
        <w:rPr>
          <w:rFonts w:ascii="Arial" w:eastAsia="Arial" w:hAnsi="Arial" w:cs="Arial"/>
          <w:color w:val="000000"/>
          <w:sz w:val="24"/>
          <w:szCs w:val="24"/>
        </w:rPr>
        <w:t xml:space="preserve">for </w:t>
      </w:r>
      <w:r w:rsidR="00506F68" w:rsidRPr="00E21C27">
        <w:rPr>
          <w:rFonts w:ascii="Arial" w:eastAsia="Arial" w:hAnsi="Arial" w:cs="Arial"/>
          <w:color w:val="000000"/>
          <w:sz w:val="24"/>
          <w:szCs w:val="24"/>
        </w:rPr>
        <w:t>non-compliance with the prescripts of the public procurement processes</w:t>
      </w:r>
      <w:r w:rsidR="00AE2281" w:rsidRPr="00E21C27">
        <w:rPr>
          <w:rFonts w:ascii="Arial" w:eastAsia="Arial" w:hAnsi="Arial" w:cs="Arial"/>
          <w:color w:val="000000"/>
          <w:sz w:val="24"/>
          <w:szCs w:val="24"/>
        </w:rPr>
        <w:t>. This</w:t>
      </w:r>
      <w:r w:rsidR="006846E4" w:rsidRPr="00E21C27">
        <w:rPr>
          <w:rFonts w:ascii="Arial" w:eastAsia="Arial" w:hAnsi="Arial" w:cs="Arial"/>
          <w:color w:val="000000"/>
          <w:sz w:val="24"/>
          <w:szCs w:val="24"/>
        </w:rPr>
        <w:t xml:space="preserve"> is clearly contrary to what s 217 </w:t>
      </w:r>
      <w:r w:rsidR="002D0F98" w:rsidRPr="00E21C27">
        <w:rPr>
          <w:rFonts w:ascii="Arial" w:eastAsia="Arial" w:hAnsi="Arial" w:cs="Arial"/>
          <w:color w:val="000000"/>
          <w:sz w:val="24"/>
          <w:szCs w:val="24"/>
        </w:rPr>
        <w:t xml:space="preserve">of the Constitution </w:t>
      </w:r>
      <w:r w:rsidR="00506F68" w:rsidRPr="00E21C27">
        <w:rPr>
          <w:rFonts w:ascii="Arial" w:eastAsia="Arial" w:hAnsi="Arial" w:cs="Arial"/>
          <w:color w:val="000000"/>
          <w:sz w:val="24"/>
          <w:szCs w:val="24"/>
        </w:rPr>
        <w:t>seeks to prevent</w:t>
      </w:r>
      <w:r w:rsidR="006846E4" w:rsidRPr="00E21C27">
        <w:rPr>
          <w:rFonts w:ascii="Arial" w:eastAsia="Arial" w:hAnsi="Arial" w:cs="Arial"/>
          <w:color w:val="000000"/>
          <w:sz w:val="24"/>
          <w:szCs w:val="24"/>
        </w:rPr>
        <w:t>,</w:t>
      </w:r>
      <w:r w:rsidR="00506F68" w:rsidRPr="00E21C27">
        <w:rPr>
          <w:rFonts w:ascii="Arial" w:eastAsia="Arial" w:hAnsi="Arial" w:cs="Arial"/>
          <w:color w:val="000000"/>
          <w:sz w:val="24"/>
          <w:szCs w:val="24"/>
        </w:rPr>
        <w:t xml:space="preserve"> in respect of orga</w:t>
      </w:r>
      <w:r w:rsidR="00471771" w:rsidRPr="00E21C27">
        <w:rPr>
          <w:rFonts w:ascii="Arial" w:eastAsia="Arial" w:hAnsi="Arial" w:cs="Arial"/>
          <w:color w:val="000000"/>
          <w:sz w:val="24"/>
          <w:szCs w:val="24"/>
        </w:rPr>
        <w:t>ns of state, like the Department</w:t>
      </w:r>
      <w:r w:rsidR="00506F68" w:rsidRPr="00E21C27">
        <w:rPr>
          <w:rFonts w:ascii="Arial" w:eastAsia="Arial" w:hAnsi="Arial" w:cs="Arial"/>
          <w:color w:val="000000"/>
          <w:sz w:val="24"/>
          <w:szCs w:val="24"/>
        </w:rPr>
        <w:t xml:space="preserve"> in this case. The</w:t>
      </w:r>
      <w:r w:rsidR="002D0F98" w:rsidRPr="00E21C27">
        <w:rPr>
          <w:rFonts w:ascii="Arial" w:eastAsia="Arial" w:hAnsi="Arial" w:cs="Arial"/>
          <w:color w:val="000000"/>
          <w:sz w:val="24"/>
          <w:szCs w:val="24"/>
        </w:rPr>
        <w:t>refore, the</w:t>
      </w:r>
      <w:r w:rsidR="00506F68" w:rsidRPr="00E21C27">
        <w:rPr>
          <w:rFonts w:ascii="Arial" w:eastAsia="Arial" w:hAnsi="Arial" w:cs="Arial"/>
          <w:color w:val="000000"/>
          <w:sz w:val="24"/>
          <w:szCs w:val="24"/>
        </w:rPr>
        <w:t xml:space="preserve"> declaration of invalidity and unlawfulness of the addendum by the </w:t>
      </w:r>
      <w:r w:rsidR="00471771" w:rsidRPr="00E21C27">
        <w:rPr>
          <w:rFonts w:ascii="Arial" w:eastAsia="Arial" w:hAnsi="Arial" w:cs="Arial"/>
          <w:color w:val="000000"/>
          <w:sz w:val="24"/>
          <w:szCs w:val="24"/>
        </w:rPr>
        <w:t xml:space="preserve">high </w:t>
      </w:r>
      <w:r w:rsidR="00506F68" w:rsidRPr="00E21C27">
        <w:rPr>
          <w:rFonts w:ascii="Arial" w:eastAsia="Arial" w:hAnsi="Arial" w:cs="Arial"/>
          <w:color w:val="000000"/>
          <w:sz w:val="24"/>
          <w:szCs w:val="24"/>
        </w:rPr>
        <w:t xml:space="preserve">court was warranted and justice required </w:t>
      </w:r>
      <w:r w:rsidR="00C9549E" w:rsidRPr="00E21C27">
        <w:rPr>
          <w:rFonts w:ascii="Arial" w:eastAsia="Arial" w:hAnsi="Arial" w:cs="Arial"/>
          <w:color w:val="000000"/>
          <w:sz w:val="24"/>
          <w:szCs w:val="24"/>
        </w:rPr>
        <w:t>that the collateral challenge be entertained.</w:t>
      </w:r>
    </w:p>
    <w:p w:rsidR="00506F68" w:rsidRPr="00E21C27" w:rsidRDefault="00506F68" w:rsidP="0033770A">
      <w:pPr>
        <w:spacing w:after="0" w:line="360" w:lineRule="auto"/>
        <w:jc w:val="both"/>
        <w:rPr>
          <w:rFonts w:ascii="Arial" w:eastAsia="Arial" w:hAnsi="Arial" w:cs="Arial"/>
          <w:color w:val="000000"/>
          <w:sz w:val="24"/>
          <w:szCs w:val="24"/>
        </w:rPr>
      </w:pPr>
    </w:p>
    <w:p w:rsidR="00B736F5"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t>[26]</w:t>
      </w:r>
      <w:r w:rsidRPr="00E21C27">
        <w:rPr>
          <w:rFonts w:ascii="Arial" w:eastAsia="Arial" w:hAnsi="Arial" w:cs="Arial"/>
          <w:color w:val="000000"/>
          <w:sz w:val="24"/>
          <w:szCs w:val="24"/>
        </w:rPr>
        <w:tab/>
      </w:r>
      <w:r w:rsidR="00BB1A63" w:rsidRPr="00E21C27">
        <w:rPr>
          <w:rFonts w:ascii="Arial" w:eastAsia="Arial" w:hAnsi="Arial" w:cs="Arial"/>
          <w:color w:val="000000"/>
          <w:sz w:val="24"/>
          <w:szCs w:val="24"/>
        </w:rPr>
        <w:t>As a last resort</w:t>
      </w:r>
      <w:r w:rsidR="00C9549E" w:rsidRPr="00E21C27">
        <w:rPr>
          <w:rFonts w:ascii="Arial" w:eastAsia="Arial" w:hAnsi="Arial" w:cs="Arial"/>
          <w:color w:val="000000"/>
          <w:sz w:val="24"/>
          <w:szCs w:val="24"/>
        </w:rPr>
        <w:t>,</w:t>
      </w:r>
      <w:r w:rsidR="00BB1A63" w:rsidRPr="00E21C27">
        <w:rPr>
          <w:rFonts w:ascii="Arial" w:eastAsia="Arial" w:hAnsi="Arial" w:cs="Arial"/>
          <w:color w:val="000000"/>
          <w:sz w:val="24"/>
          <w:szCs w:val="24"/>
        </w:rPr>
        <w:t xml:space="preserve"> </w:t>
      </w:r>
      <w:r w:rsidR="00471771" w:rsidRPr="00E21C27">
        <w:rPr>
          <w:rFonts w:ascii="Arial" w:eastAsia="Arial" w:hAnsi="Arial" w:cs="Arial"/>
          <w:color w:val="000000"/>
          <w:sz w:val="24"/>
          <w:szCs w:val="24"/>
        </w:rPr>
        <w:t xml:space="preserve">KR Inc. </w:t>
      </w:r>
      <w:r w:rsidR="00BB1A63" w:rsidRPr="00E21C27">
        <w:rPr>
          <w:rFonts w:ascii="Arial" w:eastAsia="Arial" w:hAnsi="Arial" w:cs="Arial"/>
          <w:color w:val="000000"/>
          <w:sz w:val="24"/>
          <w:szCs w:val="24"/>
        </w:rPr>
        <w:t xml:space="preserve">sought that we grant a just </w:t>
      </w:r>
      <w:r w:rsidR="00C9549E" w:rsidRPr="00E21C27">
        <w:rPr>
          <w:rFonts w:ascii="Arial" w:eastAsia="Arial" w:hAnsi="Arial" w:cs="Arial"/>
          <w:color w:val="000000"/>
          <w:sz w:val="24"/>
          <w:szCs w:val="24"/>
        </w:rPr>
        <w:t>and equitable remedy under s</w:t>
      </w:r>
      <w:r w:rsidR="007C0B27" w:rsidRPr="00E21C27">
        <w:rPr>
          <w:rFonts w:ascii="Arial" w:eastAsia="Arial" w:hAnsi="Arial" w:cs="Arial"/>
          <w:color w:val="000000"/>
          <w:sz w:val="24"/>
          <w:szCs w:val="24"/>
        </w:rPr>
        <w:t xml:space="preserve"> </w:t>
      </w:r>
      <w:r w:rsidR="00C9549E" w:rsidRPr="00E21C27">
        <w:rPr>
          <w:rFonts w:ascii="Arial" w:eastAsia="Arial" w:hAnsi="Arial" w:cs="Arial"/>
          <w:color w:val="000000"/>
          <w:sz w:val="24"/>
          <w:szCs w:val="24"/>
        </w:rPr>
        <w:t>172</w:t>
      </w:r>
      <w:r w:rsidR="00BB1A63" w:rsidRPr="00E21C27">
        <w:rPr>
          <w:rFonts w:ascii="Arial" w:eastAsia="Arial" w:hAnsi="Arial" w:cs="Arial"/>
          <w:color w:val="000000"/>
          <w:sz w:val="24"/>
          <w:szCs w:val="24"/>
        </w:rPr>
        <w:t>(1)(</w:t>
      </w:r>
      <w:r w:rsidR="00BB1A63" w:rsidRPr="00E21C27">
        <w:rPr>
          <w:rFonts w:ascii="Arial" w:eastAsia="Arial" w:hAnsi="Arial" w:cs="Arial"/>
          <w:i/>
          <w:color w:val="000000"/>
          <w:sz w:val="24"/>
          <w:szCs w:val="24"/>
        </w:rPr>
        <w:t>b</w:t>
      </w:r>
      <w:r w:rsidR="00BB1A63" w:rsidRPr="00E21C27">
        <w:rPr>
          <w:rFonts w:ascii="Arial" w:eastAsia="Arial" w:hAnsi="Arial" w:cs="Arial"/>
          <w:color w:val="000000"/>
          <w:sz w:val="24"/>
          <w:szCs w:val="24"/>
        </w:rPr>
        <w:t>) of the Constitution</w:t>
      </w:r>
      <w:r w:rsidR="00C9549E" w:rsidRPr="00E21C27">
        <w:rPr>
          <w:rFonts w:ascii="Arial" w:eastAsia="Arial" w:hAnsi="Arial" w:cs="Arial"/>
          <w:color w:val="000000"/>
          <w:sz w:val="24"/>
          <w:szCs w:val="24"/>
        </w:rPr>
        <w:t>,</w:t>
      </w:r>
      <w:r w:rsidR="00F736AD" w:rsidRPr="00E21C27">
        <w:rPr>
          <w:rFonts w:ascii="Arial" w:eastAsia="Arial" w:hAnsi="Arial" w:cs="Arial"/>
          <w:color w:val="000000"/>
          <w:sz w:val="24"/>
          <w:szCs w:val="24"/>
        </w:rPr>
        <w:t xml:space="preserve"> as this Court did in </w:t>
      </w:r>
      <w:r w:rsidR="00F736AD" w:rsidRPr="00E21C27">
        <w:rPr>
          <w:rFonts w:ascii="Arial" w:eastAsia="Arial" w:hAnsi="Arial" w:cs="Arial"/>
          <w:i/>
          <w:color w:val="000000"/>
          <w:sz w:val="24"/>
          <w:szCs w:val="24"/>
        </w:rPr>
        <w:t>Greater Tzaneen Municipality</w:t>
      </w:r>
      <w:r w:rsidR="002D0F98" w:rsidRPr="00E21C27">
        <w:t xml:space="preserve"> </w:t>
      </w:r>
      <w:r w:rsidR="002D0F98" w:rsidRPr="00E21C27">
        <w:rPr>
          <w:rFonts w:ascii="Arial" w:eastAsia="Arial" w:hAnsi="Arial" w:cs="Arial"/>
          <w:i/>
          <w:color w:val="000000"/>
          <w:sz w:val="24"/>
          <w:szCs w:val="24"/>
        </w:rPr>
        <w:t>v Bravospan</w:t>
      </w:r>
      <w:r w:rsidR="00BB1A63" w:rsidRPr="00E21C27">
        <w:rPr>
          <w:rFonts w:ascii="Arial" w:eastAsia="Arial" w:hAnsi="Arial" w:cs="Arial"/>
          <w:color w:val="000000"/>
          <w:sz w:val="24"/>
          <w:szCs w:val="24"/>
        </w:rPr>
        <w:t>.</w:t>
      </w:r>
      <w:r w:rsidR="00F736AD" w:rsidRPr="00E21C27">
        <w:rPr>
          <w:rStyle w:val="FootnoteReference"/>
          <w:rFonts w:ascii="Arial" w:eastAsia="Arial" w:hAnsi="Arial" w:cs="Arial"/>
          <w:color w:val="000000"/>
          <w:sz w:val="24"/>
          <w:szCs w:val="24"/>
        </w:rPr>
        <w:footnoteReference w:id="10"/>
      </w:r>
      <w:r w:rsidR="00F736AD" w:rsidRPr="00E21C27">
        <w:rPr>
          <w:rFonts w:ascii="Arial" w:eastAsia="Arial" w:hAnsi="Arial" w:cs="Arial"/>
          <w:color w:val="000000"/>
          <w:sz w:val="24"/>
          <w:szCs w:val="24"/>
        </w:rPr>
        <w:t xml:space="preserve"> </w:t>
      </w:r>
      <w:r w:rsidR="00FC102F" w:rsidRPr="00E21C27">
        <w:rPr>
          <w:rFonts w:ascii="Arial" w:eastAsia="Arial" w:hAnsi="Arial" w:cs="Arial"/>
          <w:color w:val="000000"/>
          <w:sz w:val="24"/>
          <w:szCs w:val="24"/>
        </w:rPr>
        <w:t xml:space="preserve">In essence, </w:t>
      </w:r>
      <w:r w:rsidR="00471771" w:rsidRPr="00E21C27">
        <w:rPr>
          <w:rFonts w:ascii="Arial" w:eastAsia="Arial" w:hAnsi="Arial" w:cs="Arial"/>
          <w:color w:val="000000"/>
          <w:sz w:val="24"/>
          <w:szCs w:val="24"/>
        </w:rPr>
        <w:t xml:space="preserve">KR Inc. wanted </w:t>
      </w:r>
      <w:r w:rsidR="00B736F5" w:rsidRPr="00E21C27">
        <w:rPr>
          <w:rFonts w:ascii="Arial" w:eastAsia="Arial" w:hAnsi="Arial" w:cs="Arial"/>
          <w:color w:val="000000"/>
          <w:sz w:val="24"/>
          <w:szCs w:val="24"/>
        </w:rPr>
        <w:t>compensat</w:t>
      </w:r>
      <w:r w:rsidR="00FC102F" w:rsidRPr="00E21C27">
        <w:rPr>
          <w:rFonts w:ascii="Arial" w:eastAsia="Arial" w:hAnsi="Arial" w:cs="Arial"/>
          <w:color w:val="000000"/>
          <w:sz w:val="24"/>
          <w:szCs w:val="24"/>
        </w:rPr>
        <w:t xml:space="preserve">ion </w:t>
      </w:r>
      <w:r w:rsidR="00B736F5" w:rsidRPr="00E21C27">
        <w:rPr>
          <w:rFonts w:ascii="Arial" w:eastAsia="Arial" w:hAnsi="Arial" w:cs="Arial"/>
          <w:color w:val="000000"/>
          <w:sz w:val="24"/>
          <w:szCs w:val="24"/>
        </w:rPr>
        <w:t xml:space="preserve">for the period that it had rendered the relevant services </w:t>
      </w:r>
      <w:r w:rsidR="00C9549E" w:rsidRPr="00E21C27">
        <w:rPr>
          <w:rFonts w:ascii="Arial" w:eastAsia="Arial" w:hAnsi="Arial" w:cs="Arial"/>
          <w:color w:val="000000"/>
          <w:sz w:val="24"/>
          <w:szCs w:val="24"/>
        </w:rPr>
        <w:t xml:space="preserve">in terms of the addendum, </w:t>
      </w:r>
      <w:r w:rsidR="00B736F5" w:rsidRPr="00E21C27">
        <w:rPr>
          <w:rFonts w:ascii="Arial" w:eastAsia="Arial" w:hAnsi="Arial" w:cs="Arial"/>
          <w:color w:val="000000"/>
          <w:sz w:val="24"/>
          <w:szCs w:val="24"/>
        </w:rPr>
        <w:t>as a just and equitable remedy under s172 (1)(</w:t>
      </w:r>
      <w:r w:rsidR="00B736F5" w:rsidRPr="00E21C27">
        <w:rPr>
          <w:rFonts w:ascii="Arial" w:eastAsia="Arial" w:hAnsi="Arial" w:cs="Arial"/>
          <w:i/>
          <w:color w:val="000000"/>
          <w:sz w:val="24"/>
          <w:szCs w:val="24"/>
        </w:rPr>
        <w:t>b</w:t>
      </w:r>
      <w:r w:rsidR="00B736F5" w:rsidRPr="00E21C27">
        <w:rPr>
          <w:rFonts w:ascii="Arial" w:eastAsia="Arial" w:hAnsi="Arial" w:cs="Arial"/>
          <w:color w:val="000000"/>
          <w:sz w:val="24"/>
          <w:szCs w:val="24"/>
        </w:rPr>
        <w:t xml:space="preserve">). </w:t>
      </w:r>
      <w:r w:rsidR="00BB1A63" w:rsidRPr="00E21C27">
        <w:rPr>
          <w:rFonts w:ascii="Arial" w:eastAsia="Arial" w:hAnsi="Arial" w:cs="Arial"/>
          <w:color w:val="000000"/>
          <w:sz w:val="24"/>
          <w:szCs w:val="24"/>
        </w:rPr>
        <w:t xml:space="preserve">The difficulty that </w:t>
      </w:r>
      <w:r w:rsidR="00471771" w:rsidRPr="00E21C27">
        <w:rPr>
          <w:rFonts w:ascii="Arial" w:eastAsia="Arial" w:hAnsi="Arial" w:cs="Arial"/>
          <w:color w:val="000000"/>
          <w:sz w:val="24"/>
          <w:szCs w:val="24"/>
        </w:rPr>
        <w:t xml:space="preserve">it </w:t>
      </w:r>
      <w:r w:rsidR="00BB1A63" w:rsidRPr="00E21C27">
        <w:rPr>
          <w:rFonts w:ascii="Arial" w:eastAsia="Arial" w:hAnsi="Arial" w:cs="Arial"/>
          <w:color w:val="000000"/>
          <w:sz w:val="24"/>
          <w:szCs w:val="24"/>
        </w:rPr>
        <w:t>encounters is that</w:t>
      </w:r>
      <w:r w:rsidR="00231CF4">
        <w:rPr>
          <w:rFonts w:ascii="Arial" w:eastAsia="Arial" w:hAnsi="Arial" w:cs="Arial"/>
          <w:color w:val="000000"/>
          <w:sz w:val="24"/>
          <w:szCs w:val="24"/>
        </w:rPr>
        <w:t>,</w:t>
      </w:r>
      <w:r w:rsidR="00BB1A63" w:rsidRPr="00E21C27">
        <w:rPr>
          <w:rFonts w:ascii="Arial" w:eastAsia="Arial" w:hAnsi="Arial" w:cs="Arial"/>
          <w:color w:val="000000"/>
          <w:sz w:val="24"/>
          <w:szCs w:val="24"/>
        </w:rPr>
        <w:t xml:space="preserve"> this sort of remedy is </w:t>
      </w:r>
      <w:r w:rsidR="00896484" w:rsidRPr="00E21C27">
        <w:rPr>
          <w:rFonts w:ascii="Arial" w:eastAsia="Arial" w:hAnsi="Arial" w:cs="Arial"/>
          <w:color w:val="000000"/>
          <w:sz w:val="24"/>
          <w:szCs w:val="24"/>
        </w:rPr>
        <w:t xml:space="preserve">normally </w:t>
      </w:r>
      <w:r w:rsidR="00BB1A63" w:rsidRPr="00E21C27">
        <w:rPr>
          <w:rFonts w:ascii="Arial" w:eastAsia="Arial" w:hAnsi="Arial" w:cs="Arial"/>
          <w:color w:val="000000"/>
          <w:sz w:val="24"/>
          <w:szCs w:val="24"/>
        </w:rPr>
        <w:t xml:space="preserve">sought </w:t>
      </w:r>
      <w:r w:rsidR="00896484" w:rsidRPr="00E21C27">
        <w:rPr>
          <w:rFonts w:ascii="Arial" w:eastAsia="Arial" w:hAnsi="Arial" w:cs="Arial"/>
          <w:color w:val="000000"/>
          <w:sz w:val="24"/>
          <w:szCs w:val="24"/>
        </w:rPr>
        <w:t>whil</w:t>
      </w:r>
      <w:r w:rsidR="00FA715D" w:rsidRPr="00E21C27">
        <w:rPr>
          <w:rFonts w:ascii="Arial" w:eastAsia="Arial" w:hAnsi="Arial" w:cs="Arial"/>
          <w:color w:val="000000"/>
          <w:sz w:val="24"/>
          <w:szCs w:val="24"/>
        </w:rPr>
        <w:t>st</w:t>
      </w:r>
      <w:r w:rsidR="00896484" w:rsidRPr="00E21C27">
        <w:rPr>
          <w:rFonts w:ascii="Arial" w:eastAsia="Arial" w:hAnsi="Arial" w:cs="Arial"/>
          <w:color w:val="000000"/>
          <w:sz w:val="24"/>
          <w:szCs w:val="24"/>
        </w:rPr>
        <w:t xml:space="preserve"> </w:t>
      </w:r>
      <w:r w:rsidR="00BB1A63" w:rsidRPr="00E21C27">
        <w:rPr>
          <w:rFonts w:ascii="Arial" w:eastAsia="Arial" w:hAnsi="Arial" w:cs="Arial"/>
          <w:color w:val="000000"/>
          <w:sz w:val="24"/>
          <w:szCs w:val="24"/>
        </w:rPr>
        <w:t>in the same proceedings</w:t>
      </w:r>
      <w:r w:rsidR="00896484" w:rsidRPr="00E21C27">
        <w:rPr>
          <w:rFonts w:ascii="Arial" w:eastAsia="Arial" w:hAnsi="Arial" w:cs="Arial"/>
          <w:color w:val="000000"/>
          <w:sz w:val="24"/>
          <w:szCs w:val="24"/>
        </w:rPr>
        <w:t>. In this instance</w:t>
      </w:r>
      <w:r w:rsidR="006F1F9B" w:rsidRPr="00E21C27">
        <w:rPr>
          <w:rFonts w:ascii="Arial" w:eastAsia="Arial" w:hAnsi="Arial" w:cs="Arial"/>
          <w:color w:val="000000"/>
          <w:sz w:val="24"/>
          <w:szCs w:val="24"/>
        </w:rPr>
        <w:t>,</w:t>
      </w:r>
      <w:r w:rsidR="00896484" w:rsidRPr="00E21C27">
        <w:rPr>
          <w:rFonts w:ascii="Arial" w:eastAsia="Arial" w:hAnsi="Arial" w:cs="Arial"/>
          <w:color w:val="000000"/>
          <w:sz w:val="24"/>
          <w:szCs w:val="24"/>
        </w:rPr>
        <w:t xml:space="preserve"> the relief so</w:t>
      </w:r>
      <w:r w:rsidR="0002104B" w:rsidRPr="00E21C27">
        <w:rPr>
          <w:rFonts w:ascii="Arial" w:eastAsia="Arial" w:hAnsi="Arial" w:cs="Arial"/>
          <w:color w:val="000000"/>
          <w:sz w:val="24"/>
          <w:szCs w:val="24"/>
        </w:rPr>
        <w:t>ught</w:t>
      </w:r>
      <w:r w:rsidR="00896484" w:rsidRPr="00E21C27">
        <w:rPr>
          <w:rFonts w:ascii="Arial" w:eastAsia="Arial" w:hAnsi="Arial" w:cs="Arial"/>
          <w:color w:val="000000"/>
          <w:sz w:val="24"/>
          <w:szCs w:val="24"/>
        </w:rPr>
        <w:t xml:space="preserve"> was not </w:t>
      </w:r>
      <w:r w:rsidR="0002104B" w:rsidRPr="00E21C27">
        <w:rPr>
          <w:rFonts w:ascii="Arial" w:eastAsia="Arial" w:hAnsi="Arial" w:cs="Arial"/>
          <w:color w:val="000000"/>
          <w:sz w:val="24"/>
          <w:szCs w:val="24"/>
        </w:rPr>
        <w:t xml:space="preserve">sought </w:t>
      </w:r>
      <w:r w:rsidR="00896484" w:rsidRPr="00E21C27">
        <w:rPr>
          <w:rFonts w:ascii="Arial" w:eastAsia="Arial" w:hAnsi="Arial" w:cs="Arial"/>
          <w:color w:val="000000"/>
          <w:sz w:val="24"/>
          <w:szCs w:val="24"/>
        </w:rPr>
        <w:t xml:space="preserve">in the </w:t>
      </w:r>
      <w:r w:rsidR="00471771" w:rsidRPr="00E21C27">
        <w:rPr>
          <w:rFonts w:ascii="Arial" w:eastAsia="Arial" w:hAnsi="Arial" w:cs="Arial"/>
          <w:color w:val="000000"/>
          <w:sz w:val="24"/>
          <w:szCs w:val="24"/>
        </w:rPr>
        <w:t>high court</w:t>
      </w:r>
      <w:r w:rsidR="00896484" w:rsidRPr="00E21C27">
        <w:rPr>
          <w:rFonts w:ascii="Arial" w:eastAsia="Arial" w:hAnsi="Arial" w:cs="Arial"/>
          <w:color w:val="000000"/>
          <w:sz w:val="24"/>
          <w:szCs w:val="24"/>
        </w:rPr>
        <w:t>. In</w:t>
      </w:r>
      <w:r w:rsidR="00B736F5" w:rsidRPr="00E21C27">
        <w:rPr>
          <w:rFonts w:ascii="Arial" w:eastAsia="Arial" w:hAnsi="Arial" w:cs="Arial"/>
          <w:color w:val="000000"/>
          <w:sz w:val="24"/>
          <w:szCs w:val="24"/>
        </w:rPr>
        <w:t xml:space="preserve"> </w:t>
      </w:r>
      <w:r w:rsidR="00BB1A63" w:rsidRPr="00E21C27">
        <w:rPr>
          <w:rFonts w:ascii="Arial" w:eastAsia="Arial" w:hAnsi="Arial" w:cs="Arial"/>
          <w:color w:val="000000"/>
          <w:sz w:val="24"/>
          <w:szCs w:val="24"/>
        </w:rPr>
        <w:t>add</w:t>
      </w:r>
      <w:r w:rsidR="00B736F5" w:rsidRPr="00E21C27">
        <w:rPr>
          <w:rFonts w:ascii="Arial" w:eastAsia="Arial" w:hAnsi="Arial" w:cs="Arial"/>
          <w:color w:val="000000"/>
          <w:sz w:val="24"/>
          <w:szCs w:val="24"/>
        </w:rPr>
        <w:t>ition</w:t>
      </w:r>
      <w:r w:rsidR="00896484" w:rsidRPr="00E21C27">
        <w:rPr>
          <w:rFonts w:ascii="Arial" w:eastAsia="Arial" w:hAnsi="Arial" w:cs="Arial"/>
          <w:color w:val="000000"/>
          <w:sz w:val="24"/>
          <w:szCs w:val="24"/>
        </w:rPr>
        <w:t>,</w:t>
      </w:r>
      <w:r w:rsidR="00B736F5" w:rsidRPr="00E21C27">
        <w:rPr>
          <w:rFonts w:ascii="Arial" w:eastAsia="Arial" w:hAnsi="Arial" w:cs="Arial"/>
          <w:color w:val="000000"/>
          <w:sz w:val="24"/>
          <w:szCs w:val="24"/>
        </w:rPr>
        <w:t xml:space="preserve"> </w:t>
      </w:r>
      <w:r w:rsidR="00BB1A63" w:rsidRPr="00E21C27">
        <w:rPr>
          <w:rFonts w:ascii="Arial" w:eastAsia="Arial" w:hAnsi="Arial" w:cs="Arial"/>
          <w:color w:val="000000"/>
          <w:sz w:val="24"/>
          <w:szCs w:val="24"/>
        </w:rPr>
        <w:t xml:space="preserve">the facts relevant to </w:t>
      </w:r>
      <w:r w:rsidR="00B736F5" w:rsidRPr="00E21C27">
        <w:rPr>
          <w:rFonts w:ascii="Arial" w:eastAsia="Arial" w:hAnsi="Arial" w:cs="Arial"/>
          <w:color w:val="000000"/>
          <w:sz w:val="24"/>
          <w:szCs w:val="24"/>
        </w:rPr>
        <w:t>make a determination or order</w:t>
      </w:r>
      <w:r w:rsidR="00BB1A63" w:rsidRPr="00E21C27">
        <w:rPr>
          <w:rFonts w:ascii="Arial" w:eastAsia="Arial" w:hAnsi="Arial" w:cs="Arial"/>
          <w:color w:val="000000"/>
          <w:sz w:val="24"/>
          <w:szCs w:val="24"/>
        </w:rPr>
        <w:t xml:space="preserve"> as is contemplated in s</w:t>
      </w:r>
      <w:r w:rsidR="007C0B27" w:rsidRPr="00E21C27">
        <w:rPr>
          <w:rFonts w:ascii="Arial" w:eastAsia="Arial" w:hAnsi="Arial" w:cs="Arial"/>
          <w:color w:val="000000"/>
          <w:sz w:val="24"/>
          <w:szCs w:val="24"/>
        </w:rPr>
        <w:t xml:space="preserve"> </w:t>
      </w:r>
      <w:r w:rsidR="00BB1A63" w:rsidRPr="00E21C27">
        <w:rPr>
          <w:rFonts w:ascii="Arial" w:eastAsia="Arial" w:hAnsi="Arial" w:cs="Arial"/>
          <w:color w:val="000000"/>
          <w:sz w:val="24"/>
          <w:szCs w:val="24"/>
        </w:rPr>
        <w:t>172(1)(</w:t>
      </w:r>
      <w:r w:rsidR="00BB1A63" w:rsidRPr="00E21C27">
        <w:rPr>
          <w:rFonts w:ascii="Arial" w:eastAsia="Arial" w:hAnsi="Arial" w:cs="Arial"/>
          <w:i/>
          <w:color w:val="000000"/>
          <w:sz w:val="24"/>
          <w:szCs w:val="24"/>
        </w:rPr>
        <w:t>b</w:t>
      </w:r>
      <w:r w:rsidR="00BB1A63" w:rsidRPr="00E21C27">
        <w:rPr>
          <w:rFonts w:ascii="Arial" w:eastAsia="Arial" w:hAnsi="Arial" w:cs="Arial"/>
          <w:color w:val="000000"/>
          <w:sz w:val="24"/>
          <w:szCs w:val="24"/>
        </w:rPr>
        <w:t>) are not before us</w:t>
      </w:r>
      <w:r w:rsidR="00896484" w:rsidRPr="00E21C27">
        <w:rPr>
          <w:rFonts w:ascii="Arial" w:eastAsia="Arial" w:hAnsi="Arial" w:cs="Arial"/>
          <w:color w:val="000000"/>
          <w:sz w:val="24"/>
          <w:szCs w:val="24"/>
        </w:rPr>
        <w:t>. Im</w:t>
      </w:r>
      <w:r w:rsidR="00B736F5" w:rsidRPr="00E21C27">
        <w:rPr>
          <w:rFonts w:ascii="Arial" w:eastAsia="Arial" w:hAnsi="Arial" w:cs="Arial"/>
          <w:color w:val="000000"/>
          <w:sz w:val="24"/>
          <w:szCs w:val="24"/>
        </w:rPr>
        <w:t>portantly</w:t>
      </w:r>
      <w:r w:rsidR="00896484" w:rsidRPr="00E21C27">
        <w:rPr>
          <w:rFonts w:ascii="Arial" w:eastAsia="Arial" w:hAnsi="Arial" w:cs="Arial"/>
          <w:color w:val="000000"/>
          <w:sz w:val="24"/>
          <w:szCs w:val="24"/>
        </w:rPr>
        <w:t>,</w:t>
      </w:r>
      <w:r w:rsidR="00B736F5" w:rsidRPr="00E21C27">
        <w:rPr>
          <w:rFonts w:ascii="Arial" w:eastAsia="Arial" w:hAnsi="Arial" w:cs="Arial"/>
          <w:color w:val="000000"/>
          <w:sz w:val="24"/>
          <w:szCs w:val="24"/>
        </w:rPr>
        <w:t xml:space="preserve"> the </w:t>
      </w:r>
      <w:r w:rsidR="00471771" w:rsidRPr="00E21C27">
        <w:rPr>
          <w:rFonts w:ascii="Arial" w:eastAsia="Arial" w:hAnsi="Arial" w:cs="Arial"/>
          <w:color w:val="000000"/>
          <w:sz w:val="24"/>
          <w:szCs w:val="24"/>
        </w:rPr>
        <w:t>Department</w:t>
      </w:r>
      <w:r w:rsidR="00B736F5" w:rsidRPr="00E21C27">
        <w:rPr>
          <w:rFonts w:ascii="Arial" w:eastAsia="Arial" w:hAnsi="Arial" w:cs="Arial"/>
          <w:color w:val="000000"/>
          <w:sz w:val="24"/>
          <w:szCs w:val="24"/>
        </w:rPr>
        <w:t xml:space="preserve"> would be prejudice</w:t>
      </w:r>
      <w:r w:rsidR="00F532DD" w:rsidRPr="00E21C27">
        <w:rPr>
          <w:rFonts w:ascii="Arial" w:eastAsia="Arial" w:hAnsi="Arial" w:cs="Arial"/>
          <w:color w:val="000000"/>
          <w:sz w:val="24"/>
          <w:szCs w:val="24"/>
        </w:rPr>
        <w:t>d</w:t>
      </w:r>
      <w:r w:rsidR="00896484" w:rsidRPr="00E21C27">
        <w:rPr>
          <w:rFonts w:ascii="Arial" w:eastAsia="Arial" w:hAnsi="Arial" w:cs="Arial"/>
          <w:color w:val="000000"/>
          <w:sz w:val="24"/>
          <w:szCs w:val="24"/>
        </w:rPr>
        <w:t xml:space="preserve">, as the relief and remedy sought at this late stage </w:t>
      </w:r>
      <w:r w:rsidR="00C32CBC" w:rsidRPr="00E21C27">
        <w:rPr>
          <w:rFonts w:ascii="Arial" w:eastAsia="Arial" w:hAnsi="Arial" w:cs="Arial"/>
          <w:color w:val="000000"/>
          <w:sz w:val="24"/>
          <w:szCs w:val="24"/>
        </w:rPr>
        <w:t xml:space="preserve">was </w:t>
      </w:r>
      <w:r w:rsidR="00B736F5" w:rsidRPr="00E21C27">
        <w:rPr>
          <w:rFonts w:ascii="Arial" w:eastAsia="Arial" w:hAnsi="Arial" w:cs="Arial"/>
          <w:color w:val="000000"/>
          <w:sz w:val="24"/>
          <w:szCs w:val="24"/>
        </w:rPr>
        <w:t>n</w:t>
      </w:r>
      <w:r w:rsidR="00231CF4">
        <w:rPr>
          <w:rFonts w:ascii="Arial" w:eastAsia="Arial" w:hAnsi="Arial" w:cs="Arial"/>
          <w:color w:val="000000"/>
          <w:sz w:val="24"/>
          <w:szCs w:val="24"/>
        </w:rPr>
        <w:t>either</w:t>
      </w:r>
      <w:r w:rsidR="00B736F5" w:rsidRPr="00E21C27">
        <w:rPr>
          <w:rFonts w:ascii="Arial" w:eastAsia="Arial" w:hAnsi="Arial" w:cs="Arial"/>
          <w:color w:val="000000"/>
          <w:sz w:val="24"/>
          <w:szCs w:val="24"/>
        </w:rPr>
        <w:t xml:space="preserve"> </w:t>
      </w:r>
      <w:r w:rsidR="00E269F1" w:rsidRPr="00E21C27">
        <w:rPr>
          <w:rFonts w:ascii="Arial" w:eastAsia="Arial" w:hAnsi="Arial" w:cs="Arial"/>
          <w:color w:val="000000"/>
          <w:sz w:val="24"/>
          <w:szCs w:val="24"/>
        </w:rPr>
        <w:t>raised</w:t>
      </w:r>
      <w:r w:rsidR="00B736F5" w:rsidRPr="00E21C27">
        <w:rPr>
          <w:rFonts w:ascii="Arial" w:eastAsia="Arial" w:hAnsi="Arial" w:cs="Arial"/>
          <w:color w:val="000000"/>
          <w:sz w:val="24"/>
          <w:szCs w:val="24"/>
        </w:rPr>
        <w:t xml:space="preserve"> in the papers </w:t>
      </w:r>
      <w:r w:rsidR="00896484" w:rsidRPr="00E21C27">
        <w:rPr>
          <w:rFonts w:ascii="Arial" w:eastAsia="Arial" w:hAnsi="Arial" w:cs="Arial"/>
          <w:color w:val="000000"/>
          <w:sz w:val="24"/>
          <w:szCs w:val="24"/>
        </w:rPr>
        <w:t>n</w:t>
      </w:r>
      <w:r w:rsidR="00B736F5" w:rsidRPr="00E21C27">
        <w:rPr>
          <w:rFonts w:ascii="Arial" w:eastAsia="Arial" w:hAnsi="Arial" w:cs="Arial"/>
          <w:color w:val="000000"/>
          <w:sz w:val="24"/>
          <w:szCs w:val="24"/>
        </w:rPr>
        <w:t xml:space="preserve">or </w:t>
      </w:r>
      <w:r w:rsidR="00896484" w:rsidRPr="00E21C27">
        <w:rPr>
          <w:rFonts w:ascii="Arial" w:eastAsia="Arial" w:hAnsi="Arial" w:cs="Arial"/>
          <w:color w:val="000000"/>
          <w:sz w:val="24"/>
          <w:szCs w:val="24"/>
        </w:rPr>
        <w:t xml:space="preserve">was it before </w:t>
      </w:r>
      <w:r w:rsidR="00B736F5" w:rsidRPr="00E21C27">
        <w:rPr>
          <w:rFonts w:ascii="Arial" w:eastAsia="Arial" w:hAnsi="Arial" w:cs="Arial"/>
          <w:color w:val="000000"/>
          <w:sz w:val="24"/>
          <w:szCs w:val="24"/>
        </w:rPr>
        <w:t>the</w:t>
      </w:r>
      <w:r w:rsidR="00471771" w:rsidRPr="00E21C27">
        <w:rPr>
          <w:rFonts w:ascii="Arial" w:eastAsia="Arial" w:hAnsi="Arial" w:cs="Arial"/>
          <w:color w:val="000000"/>
          <w:sz w:val="24"/>
          <w:szCs w:val="24"/>
        </w:rPr>
        <w:t xml:space="preserve"> high court</w:t>
      </w:r>
      <w:r w:rsidR="00896484" w:rsidRPr="00E21C27">
        <w:rPr>
          <w:rFonts w:ascii="Arial" w:eastAsia="Arial" w:hAnsi="Arial" w:cs="Arial"/>
          <w:color w:val="000000"/>
          <w:sz w:val="24"/>
          <w:szCs w:val="24"/>
        </w:rPr>
        <w:t xml:space="preserve">, but merely </w:t>
      </w:r>
      <w:r w:rsidR="00B736F5" w:rsidRPr="00E21C27">
        <w:rPr>
          <w:rFonts w:ascii="Arial" w:eastAsia="Arial" w:hAnsi="Arial" w:cs="Arial"/>
          <w:color w:val="000000"/>
          <w:sz w:val="24"/>
          <w:szCs w:val="24"/>
        </w:rPr>
        <w:t>raised from the bar.</w:t>
      </w:r>
    </w:p>
    <w:p w:rsidR="00B736F5" w:rsidRPr="00E21C27" w:rsidRDefault="00B736F5" w:rsidP="0033770A">
      <w:pPr>
        <w:spacing w:after="0" w:line="360" w:lineRule="auto"/>
        <w:jc w:val="both"/>
        <w:rPr>
          <w:rFonts w:ascii="Arial" w:eastAsia="Arial" w:hAnsi="Arial" w:cs="Arial"/>
          <w:color w:val="000000"/>
          <w:sz w:val="24"/>
          <w:szCs w:val="24"/>
        </w:rPr>
      </w:pPr>
    </w:p>
    <w:p w:rsidR="00CD05AA"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lastRenderedPageBreak/>
        <w:t>[27]</w:t>
      </w:r>
      <w:r w:rsidRPr="00E21C27">
        <w:rPr>
          <w:rFonts w:ascii="Arial" w:eastAsia="Arial" w:hAnsi="Arial" w:cs="Arial"/>
          <w:color w:val="000000"/>
          <w:sz w:val="24"/>
          <w:szCs w:val="24"/>
        </w:rPr>
        <w:tab/>
      </w:r>
      <w:r w:rsidR="00B736F5" w:rsidRPr="00E21C27">
        <w:rPr>
          <w:rFonts w:ascii="Arial" w:eastAsia="Arial" w:hAnsi="Arial" w:cs="Arial"/>
          <w:color w:val="000000"/>
          <w:sz w:val="24"/>
          <w:szCs w:val="24"/>
        </w:rPr>
        <w:t>In the circumstance of this case</w:t>
      </w:r>
      <w:r w:rsidR="00F736AD" w:rsidRPr="00E21C27">
        <w:rPr>
          <w:rFonts w:ascii="Arial" w:eastAsia="Arial" w:hAnsi="Arial" w:cs="Arial"/>
          <w:color w:val="000000"/>
          <w:sz w:val="24"/>
          <w:szCs w:val="24"/>
        </w:rPr>
        <w:t>, the addendum was unlawful and invalid and justice require</w:t>
      </w:r>
      <w:r w:rsidR="00D82631" w:rsidRPr="00E21C27">
        <w:rPr>
          <w:rFonts w:ascii="Arial" w:eastAsia="Arial" w:hAnsi="Arial" w:cs="Arial"/>
          <w:color w:val="000000"/>
          <w:sz w:val="24"/>
          <w:szCs w:val="24"/>
        </w:rPr>
        <w:t>s</w:t>
      </w:r>
      <w:r w:rsidR="00F736AD" w:rsidRPr="00E21C27">
        <w:rPr>
          <w:rFonts w:ascii="Arial" w:eastAsia="Arial" w:hAnsi="Arial" w:cs="Arial"/>
          <w:color w:val="000000"/>
          <w:sz w:val="24"/>
          <w:szCs w:val="24"/>
        </w:rPr>
        <w:t xml:space="preserve"> that the impugned addendum be declared as such. As regards </w:t>
      </w:r>
      <w:r w:rsidR="00F03CFA" w:rsidRPr="00E21C27">
        <w:rPr>
          <w:rFonts w:ascii="Arial" w:eastAsia="Arial" w:hAnsi="Arial" w:cs="Arial"/>
          <w:color w:val="000000"/>
          <w:sz w:val="24"/>
          <w:szCs w:val="24"/>
        </w:rPr>
        <w:t xml:space="preserve">to </w:t>
      </w:r>
      <w:r w:rsidR="00F736AD" w:rsidRPr="00E21C27">
        <w:rPr>
          <w:rFonts w:ascii="Arial" w:eastAsia="Arial" w:hAnsi="Arial" w:cs="Arial"/>
          <w:color w:val="000000"/>
          <w:sz w:val="24"/>
          <w:szCs w:val="24"/>
        </w:rPr>
        <w:t xml:space="preserve">costs, there is no reason to depart from the general rule that costs follow the result.  </w:t>
      </w:r>
      <w:r w:rsidR="00B736F5" w:rsidRPr="00E21C27">
        <w:rPr>
          <w:rFonts w:ascii="Arial" w:eastAsia="Arial" w:hAnsi="Arial" w:cs="Arial"/>
          <w:color w:val="000000"/>
          <w:sz w:val="24"/>
          <w:szCs w:val="24"/>
        </w:rPr>
        <w:t xml:space="preserve"> </w:t>
      </w:r>
      <w:r w:rsidR="00BB1A63" w:rsidRPr="00E21C27">
        <w:rPr>
          <w:rFonts w:ascii="Arial" w:eastAsia="Arial" w:hAnsi="Arial" w:cs="Arial"/>
          <w:color w:val="000000"/>
          <w:sz w:val="24"/>
          <w:szCs w:val="24"/>
        </w:rPr>
        <w:t xml:space="preserve"> </w:t>
      </w:r>
    </w:p>
    <w:p w:rsidR="00CD05AA" w:rsidRPr="00E21C27" w:rsidRDefault="00CD05AA" w:rsidP="00DB01F4">
      <w:pPr>
        <w:pStyle w:val="Normal1"/>
        <w:pBdr>
          <w:top w:val="nil"/>
          <w:left w:val="nil"/>
          <w:bottom w:val="nil"/>
          <w:right w:val="nil"/>
          <w:between w:val="nil"/>
        </w:pBdr>
        <w:spacing w:after="0" w:line="360" w:lineRule="auto"/>
        <w:ind w:hanging="720"/>
        <w:jc w:val="both"/>
        <w:rPr>
          <w:rFonts w:ascii="Arial" w:eastAsia="Arial" w:hAnsi="Arial" w:cs="Arial"/>
          <w:color w:val="000000"/>
          <w:sz w:val="24"/>
          <w:szCs w:val="24"/>
        </w:rPr>
      </w:pPr>
    </w:p>
    <w:p w:rsidR="005D3B52" w:rsidRPr="00E21C27" w:rsidRDefault="00724152" w:rsidP="00724152">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t>[28]</w:t>
      </w:r>
      <w:r w:rsidRPr="00E21C27">
        <w:rPr>
          <w:rFonts w:ascii="Arial" w:eastAsia="Arial" w:hAnsi="Arial" w:cs="Arial"/>
          <w:color w:val="000000"/>
          <w:sz w:val="24"/>
          <w:szCs w:val="24"/>
        </w:rPr>
        <w:tab/>
      </w:r>
      <w:r w:rsidR="00E85772" w:rsidRPr="00E21C27">
        <w:rPr>
          <w:rFonts w:ascii="Arial" w:eastAsia="Arial" w:hAnsi="Arial" w:cs="Arial"/>
          <w:color w:val="000000"/>
          <w:sz w:val="24"/>
          <w:szCs w:val="24"/>
        </w:rPr>
        <w:t>In the result:</w:t>
      </w:r>
    </w:p>
    <w:p w:rsidR="00CD05AA" w:rsidRPr="000151AA" w:rsidRDefault="00E85772" w:rsidP="00DB01F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r w:rsidRPr="00E21C27">
        <w:rPr>
          <w:rFonts w:ascii="Arial" w:eastAsia="Arial" w:hAnsi="Arial" w:cs="Arial"/>
          <w:color w:val="000000"/>
          <w:sz w:val="24"/>
          <w:szCs w:val="24"/>
        </w:rPr>
        <w:t xml:space="preserve">The appeal is </w:t>
      </w:r>
      <w:r w:rsidR="0066115E" w:rsidRPr="00E21C27">
        <w:rPr>
          <w:rFonts w:ascii="Arial" w:eastAsia="Arial" w:hAnsi="Arial" w:cs="Arial"/>
          <w:color w:val="000000"/>
          <w:sz w:val="24"/>
          <w:szCs w:val="24"/>
        </w:rPr>
        <w:t>dismissed</w:t>
      </w:r>
      <w:r w:rsidR="00F736AD" w:rsidRPr="00E21C27">
        <w:rPr>
          <w:rFonts w:ascii="Arial" w:eastAsia="Arial" w:hAnsi="Arial" w:cs="Arial"/>
          <w:color w:val="000000"/>
          <w:sz w:val="24"/>
          <w:szCs w:val="24"/>
        </w:rPr>
        <w:t xml:space="preserve"> with costs</w:t>
      </w:r>
      <w:r w:rsidRPr="00E21C27">
        <w:rPr>
          <w:rFonts w:ascii="Arial" w:eastAsia="Arial" w:hAnsi="Arial" w:cs="Arial"/>
          <w:color w:val="000000"/>
          <w:sz w:val="24"/>
          <w:szCs w:val="24"/>
        </w:rPr>
        <w:t>.</w:t>
      </w:r>
    </w:p>
    <w:p w:rsidR="005D3B52" w:rsidRPr="000151AA" w:rsidRDefault="005D3B52" w:rsidP="00DB01F4">
      <w:pPr>
        <w:pStyle w:val="Normal1"/>
        <w:pBdr>
          <w:top w:val="nil"/>
          <w:left w:val="nil"/>
          <w:bottom w:val="nil"/>
          <w:right w:val="nil"/>
          <w:between w:val="nil"/>
        </w:pBdr>
        <w:spacing w:after="0" w:line="360" w:lineRule="auto"/>
        <w:jc w:val="both"/>
        <w:rPr>
          <w:rFonts w:ascii="Arial" w:eastAsia="Arial" w:hAnsi="Arial" w:cs="Arial"/>
          <w:color w:val="000000"/>
          <w:sz w:val="24"/>
          <w:szCs w:val="24"/>
        </w:rPr>
      </w:pPr>
    </w:p>
    <w:p w:rsidR="00CD05AA" w:rsidRPr="000151AA" w:rsidRDefault="00CD05AA" w:rsidP="00DB01F4">
      <w:pPr>
        <w:pStyle w:val="Normal1"/>
        <w:spacing w:before="240" w:after="0" w:line="360" w:lineRule="auto"/>
        <w:jc w:val="both"/>
        <w:rPr>
          <w:rFonts w:ascii="Arial" w:eastAsia="Arial" w:hAnsi="Arial" w:cs="Arial"/>
          <w:b/>
          <w:sz w:val="24"/>
          <w:szCs w:val="24"/>
        </w:rPr>
      </w:pPr>
    </w:p>
    <w:p w:rsidR="00304100" w:rsidRPr="000151AA" w:rsidRDefault="00304100" w:rsidP="00DB01F4">
      <w:pPr>
        <w:pStyle w:val="Normal1"/>
        <w:spacing w:before="240" w:after="0" w:line="360" w:lineRule="auto"/>
        <w:jc w:val="both"/>
        <w:rPr>
          <w:rFonts w:ascii="Arial" w:eastAsia="Arial" w:hAnsi="Arial" w:cs="Arial"/>
          <w:b/>
          <w:sz w:val="24"/>
          <w:szCs w:val="24"/>
        </w:rPr>
      </w:pPr>
    </w:p>
    <w:p w:rsidR="00CD05AA" w:rsidRPr="000151AA" w:rsidRDefault="00E85772" w:rsidP="00DB01F4">
      <w:pPr>
        <w:pStyle w:val="Normal1"/>
        <w:spacing w:after="0" w:line="360" w:lineRule="auto"/>
        <w:jc w:val="right"/>
        <w:rPr>
          <w:rFonts w:ascii="Arial" w:eastAsia="Arial" w:hAnsi="Arial" w:cs="Arial"/>
          <w:sz w:val="24"/>
          <w:szCs w:val="24"/>
        </w:rPr>
      </w:pPr>
      <w:r w:rsidRPr="000151AA">
        <w:rPr>
          <w:rFonts w:ascii="Arial" w:eastAsia="Arial" w:hAnsi="Arial" w:cs="Arial"/>
          <w:sz w:val="24"/>
          <w:szCs w:val="24"/>
        </w:rPr>
        <w:t>___________________</w:t>
      </w:r>
    </w:p>
    <w:p w:rsidR="00CD05AA" w:rsidRPr="000151AA" w:rsidRDefault="00E85772" w:rsidP="00DB01F4">
      <w:pPr>
        <w:pStyle w:val="Normal1"/>
        <w:spacing w:after="0" w:line="360" w:lineRule="auto"/>
        <w:jc w:val="right"/>
        <w:rPr>
          <w:rFonts w:ascii="Arial" w:eastAsia="Arial" w:hAnsi="Arial" w:cs="Arial"/>
          <w:b/>
          <w:sz w:val="24"/>
          <w:szCs w:val="24"/>
        </w:rPr>
      </w:pPr>
      <w:r w:rsidRPr="000151AA">
        <w:rPr>
          <w:rFonts w:ascii="Arial" w:eastAsia="Arial" w:hAnsi="Arial" w:cs="Arial"/>
          <w:b/>
          <w:sz w:val="24"/>
          <w:szCs w:val="24"/>
        </w:rPr>
        <w:t>W H</w:t>
      </w:r>
      <w:r w:rsidR="0066115E" w:rsidRPr="000151AA">
        <w:rPr>
          <w:rFonts w:ascii="Arial" w:eastAsia="Arial" w:hAnsi="Arial" w:cs="Arial"/>
          <w:b/>
          <w:sz w:val="24"/>
          <w:szCs w:val="24"/>
        </w:rPr>
        <w:t>UGHES</w:t>
      </w:r>
    </w:p>
    <w:p w:rsidR="0066115E" w:rsidRPr="000151AA" w:rsidRDefault="0066115E" w:rsidP="00DB01F4">
      <w:pPr>
        <w:pStyle w:val="Normal1"/>
        <w:spacing w:after="0" w:line="360" w:lineRule="auto"/>
        <w:jc w:val="right"/>
        <w:rPr>
          <w:rFonts w:ascii="Arial" w:eastAsia="Arial" w:hAnsi="Arial" w:cs="Arial"/>
          <w:b/>
          <w:sz w:val="24"/>
          <w:szCs w:val="24"/>
        </w:rPr>
      </w:pPr>
      <w:r w:rsidRPr="000151AA">
        <w:rPr>
          <w:rFonts w:ascii="Arial" w:eastAsia="Arial" w:hAnsi="Arial" w:cs="Arial"/>
          <w:b/>
          <w:sz w:val="24"/>
          <w:szCs w:val="24"/>
        </w:rPr>
        <w:t>JUDGE OF APPEAL</w:t>
      </w:r>
    </w:p>
    <w:p w:rsidR="00992157" w:rsidRPr="000151AA" w:rsidRDefault="00992157" w:rsidP="00DB01F4">
      <w:pPr>
        <w:pStyle w:val="Normal1"/>
        <w:spacing w:after="0" w:line="360" w:lineRule="auto"/>
        <w:jc w:val="both"/>
        <w:rPr>
          <w:rFonts w:ascii="Arial" w:eastAsia="Arial" w:hAnsi="Arial" w:cs="Arial"/>
          <w:b/>
          <w:sz w:val="24"/>
          <w:szCs w:val="24"/>
        </w:rPr>
      </w:pPr>
    </w:p>
    <w:p w:rsidR="00E269F1" w:rsidRDefault="00E269F1" w:rsidP="00DB01F4">
      <w:pPr>
        <w:pStyle w:val="Normal1"/>
        <w:spacing w:after="0" w:line="360" w:lineRule="auto"/>
        <w:jc w:val="both"/>
        <w:rPr>
          <w:rFonts w:ascii="Arial" w:eastAsia="Arial" w:hAnsi="Arial" w:cs="Arial"/>
          <w:b/>
          <w:sz w:val="24"/>
          <w:szCs w:val="24"/>
        </w:rPr>
      </w:pPr>
    </w:p>
    <w:p w:rsidR="0033770A" w:rsidRDefault="0033770A" w:rsidP="00DB01F4">
      <w:pPr>
        <w:pStyle w:val="Normal1"/>
        <w:spacing w:after="0" w:line="360" w:lineRule="auto"/>
        <w:jc w:val="both"/>
        <w:rPr>
          <w:rFonts w:ascii="Arial" w:eastAsia="Arial" w:hAnsi="Arial" w:cs="Arial"/>
          <w:b/>
          <w:sz w:val="24"/>
          <w:szCs w:val="24"/>
        </w:rPr>
      </w:pPr>
    </w:p>
    <w:p w:rsidR="001E17C6" w:rsidRDefault="001E17C6" w:rsidP="00DB01F4">
      <w:pPr>
        <w:pStyle w:val="Normal1"/>
        <w:spacing w:after="0" w:line="360" w:lineRule="auto"/>
        <w:jc w:val="both"/>
        <w:rPr>
          <w:rFonts w:ascii="Arial" w:eastAsia="Arial" w:hAnsi="Arial" w:cs="Arial"/>
          <w:b/>
          <w:sz w:val="24"/>
          <w:szCs w:val="24"/>
        </w:rPr>
      </w:pPr>
    </w:p>
    <w:p w:rsidR="001E17C6" w:rsidRDefault="001E17C6" w:rsidP="00DB01F4">
      <w:pPr>
        <w:pStyle w:val="Normal1"/>
        <w:spacing w:after="0" w:line="360" w:lineRule="auto"/>
        <w:jc w:val="both"/>
        <w:rPr>
          <w:rFonts w:ascii="Arial" w:eastAsia="Arial" w:hAnsi="Arial" w:cs="Arial"/>
          <w:b/>
          <w:sz w:val="24"/>
          <w:szCs w:val="24"/>
        </w:rPr>
      </w:pPr>
    </w:p>
    <w:p w:rsidR="001E17C6" w:rsidRDefault="001E17C6" w:rsidP="00DB01F4">
      <w:pPr>
        <w:pStyle w:val="Normal1"/>
        <w:spacing w:after="0" w:line="360" w:lineRule="auto"/>
        <w:jc w:val="both"/>
        <w:rPr>
          <w:rFonts w:ascii="Arial" w:eastAsia="Arial" w:hAnsi="Arial" w:cs="Arial"/>
          <w:b/>
          <w:sz w:val="24"/>
          <w:szCs w:val="24"/>
        </w:rPr>
      </w:pPr>
    </w:p>
    <w:p w:rsidR="001E17C6" w:rsidRDefault="001E17C6" w:rsidP="00DB01F4">
      <w:pPr>
        <w:pStyle w:val="Normal1"/>
        <w:spacing w:after="0" w:line="360" w:lineRule="auto"/>
        <w:jc w:val="both"/>
        <w:rPr>
          <w:rFonts w:ascii="Arial" w:eastAsia="Arial" w:hAnsi="Arial" w:cs="Arial"/>
          <w:b/>
          <w:sz w:val="24"/>
          <w:szCs w:val="24"/>
        </w:rPr>
      </w:pPr>
    </w:p>
    <w:p w:rsidR="001E17C6" w:rsidRDefault="001E17C6" w:rsidP="00DB01F4">
      <w:pPr>
        <w:pStyle w:val="Normal1"/>
        <w:spacing w:after="0" w:line="360" w:lineRule="auto"/>
        <w:jc w:val="both"/>
        <w:rPr>
          <w:rFonts w:ascii="Arial" w:eastAsia="Arial" w:hAnsi="Arial" w:cs="Arial"/>
          <w:b/>
          <w:sz w:val="24"/>
          <w:szCs w:val="24"/>
        </w:rPr>
      </w:pPr>
    </w:p>
    <w:p w:rsidR="001E17C6" w:rsidRDefault="001E17C6" w:rsidP="00DB01F4">
      <w:pPr>
        <w:pStyle w:val="Normal1"/>
        <w:spacing w:after="0" w:line="360" w:lineRule="auto"/>
        <w:jc w:val="both"/>
        <w:rPr>
          <w:rFonts w:ascii="Arial" w:eastAsia="Arial" w:hAnsi="Arial" w:cs="Arial"/>
          <w:b/>
          <w:sz w:val="24"/>
          <w:szCs w:val="24"/>
        </w:rPr>
      </w:pPr>
    </w:p>
    <w:p w:rsidR="001E17C6" w:rsidRDefault="001E17C6" w:rsidP="00DB01F4">
      <w:pPr>
        <w:pStyle w:val="Normal1"/>
        <w:spacing w:after="0" w:line="360" w:lineRule="auto"/>
        <w:jc w:val="both"/>
        <w:rPr>
          <w:rFonts w:ascii="Arial" w:eastAsia="Arial" w:hAnsi="Arial" w:cs="Arial"/>
          <w:b/>
          <w:sz w:val="24"/>
          <w:szCs w:val="24"/>
        </w:rPr>
      </w:pPr>
    </w:p>
    <w:p w:rsidR="001E17C6" w:rsidRDefault="001E17C6" w:rsidP="00DB01F4">
      <w:pPr>
        <w:pStyle w:val="Normal1"/>
        <w:spacing w:after="0" w:line="360" w:lineRule="auto"/>
        <w:jc w:val="both"/>
        <w:rPr>
          <w:rFonts w:ascii="Arial" w:eastAsia="Arial" w:hAnsi="Arial" w:cs="Arial"/>
          <w:b/>
          <w:sz w:val="24"/>
          <w:szCs w:val="24"/>
        </w:rPr>
      </w:pPr>
    </w:p>
    <w:p w:rsidR="001E17C6" w:rsidRDefault="001E17C6" w:rsidP="00DB01F4">
      <w:pPr>
        <w:pStyle w:val="Normal1"/>
        <w:spacing w:after="0" w:line="360" w:lineRule="auto"/>
        <w:jc w:val="both"/>
        <w:rPr>
          <w:rFonts w:ascii="Arial" w:eastAsia="Arial" w:hAnsi="Arial" w:cs="Arial"/>
          <w:b/>
          <w:sz w:val="24"/>
          <w:szCs w:val="24"/>
        </w:rPr>
      </w:pPr>
    </w:p>
    <w:p w:rsidR="001E17C6" w:rsidRDefault="001E17C6" w:rsidP="00DB01F4">
      <w:pPr>
        <w:pStyle w:val="Normal1"/>
        <w:spacing w:after="0" w:line="360" w:lineRule="auto"/>
        <w:jc w:val="both"/>
        <w:rPr>
          <w:rFonts w:ascii="Arial" w:eastAsia="Arial" w:hAnsi="Arial" w:cs="Arial"/>
          <w:b/>
          <w:sz w:val="24"/>
          <w:szCs w:val="24"/>
        </w:rPr>
      </w:pPr>
    </w:p>
    <w:p w:rsidR="001E17C6" w:rsidRDefault="001E17C6" w:rsidP="00DB01F4">
      <w:pPr>
        <w:pStyle w:val="Normal1"/>
        <w:spacing w:after="0" w:line="360" w:lineRule="auto"/>
        <w:jc w:val="both"/>
        <w:rPr>
          <w:rFonts w:ascii="Arial" w:eastAsia="Arial" w:hAnsi="Arial" w:cs="Arial"/>
          <w:b/>
          <w:sz w:val="24"/>
          <w:szCs w:val="24"/>
        </w:rPr>
      </w:pPr>
    </w:p>
    <w:p w:rsidR="001E17C6" w:rsidRDefault="001E17C6" w:rsidP="00DB01F4">
      <w:pPr>
        <w:pStyle w:val="Normal1"/>
        <w:spacing w:after="0" w:line="360" w:lineRule="auto"/>
        <w:jc w:val="both"/>
        <w:rPr>
          <w:rFonts w:ascii="Arial" w:eastAsia="Arial" w:hAnsi="Arial" w:cs="Arial"/>
          <w:b/>
          <w:sz w:val="24"/>
          <w:szCs w:val="24"/>
        </w:rPr>
      </w:pPr>
    </w:p>
    <w:p w:rsidR="001E17C6" w:rsidRDefault="001E17C6" w:rsidP="00DB01F4">
      <w:pPr>
        <w:pStyle w:val="Normal1"/>
        <w:spacing w:after="0" w:line="360" w:lineRule="auto"/>
        <w:jc w:val="both"/>
        <w:rPr>
          <w:rFonts w:ascii="Arial" w:eastAsia="Arial" w:hAnsi="Arial" w:cs="Arial"/>
          <w:b/>
          <w:sz w:val="24"/>
          <w:szCs w:val="24"/>
        </w:rPr>
      </w:pPr>
    </w:p>
    <w:p w:rsidR="001E17C6" w:rsidRDefault="001E17C6" w:rsidP="00DB01F4">
      <w:pPr>
        <w:pStyle w:val="Normal1"/>
        <w:spacing w:after="0" w:line="360" w:lineRule="auto"/>
        <w:jc w:val="both"/>
        <w:rPr>
          <w:rFonts w:ascii="Arial" w:eastAsia="Arial" w:hAnsi="Arial" w:cs="Arial"/>
          <w:b/>
          <w:sz w:val="24"/>
          <w:szCs w:val="24"/>
        </w:rPr>
      </w:pPr>
    </w:p>
    <w:p w:rsidR="001E17C6" w:rsidRDefault="001E17C6" w:rsidP="00DB01F4">
      <w:pPr>
        <w:pStyle w:val="Normal1"/>
        <w:spacing w:after="0" w:line="360" w:lineRule="auto"/>
        <w:jc w:val="both"/>
        <w:rPr>
          <w:rFonts w:ascii="Arial" w:eastAsia="Arial" w:hAnsi="Arial" w:cs="Arial"/>
          <w:b/>
          <w:sz w:val="24"/>
          <w:szCs w:val="24"/>
        </w:rPr>
      </w:pPr>
    </w:p>
    <w:p w:rsidR="005A1800" w:rsidRDefault="005A1800" w:rsidP="005A1800">
      <w:pPr>
        <w:rPr>
          <w:rFonts w:ascii="Arial" w:eastAsia="Arial" w:hAnsi="Arial" w:cs="Arial"/>
          <w:b/>
          <w:sz w:val="24"/>
          <w:szCs w:val="24"/>
        </w:rPr>
      </w:pPr>
      <w:r>
        <w:rPr>
          <w:rFonts w:ascii="Arial" w:eastAsia="Arial" w:hAnsi="Arial" w:cs="Arial"/>
          <w:b/>
          <w:sz w:val="24"/>
          <w:szCs w:val="24"/>
        </w:rPr>
        <w:br w:type="page"/>
      </w:r>
    </w:p>
    <w:p w:rsidR="00CD05AA" w:rsidRPr="000151AA" w:rsidRDefault="00E85772" w:rsidP="00DB01F4">
      <w:pPr>
        <w:pStyle w:val="Normal1"/>
        <w:spacing w:after="0" w:line="360" w:lineRule="auto"/>
        <w:jc w:val="both"/>
        <w:rPr>
          <w:rFonts w:ascii="Arial" w:eastAsia="Arial" w:hAnsi="Arial" w:cs="Arial"/>
          <w:sz w:val="24"/>
          <w:szCs w:val="24"/>
        </w:rPr>
      </w:pPr>
      <w:r w:rsidRPr="000151AA">
        <w:rPr>
          <w:rFonts w:ascii="Arial" w:eastAsia="Arial" w:hAnsi="Arial" w:cs="Arial"/>
          <w:sz w:val="24"/>
          <w:szCs w:val="24"/>
        </w:rPr>
        <w:lastRenderedPageBreak/>
        <w:t>A</w:t>
      </w:r>
      <w:r w:rsidR="00DB01F4" w:rsidRPr="000151AA">
        <w:rPr>
          <w:rFonts w:ascii="Arial" w:eastAsia="Arial" w:hAnsi="Arial" w:cs="Arial"/>
          <w:sz w:val="24"/>
          <w:szCs w:val="24"/>
        </w:rPr>
        <w:t>ppearances</w:t>
      </w:r>
    </w:p>
    <w:p w:rsidR="00DB01F4" w:rsidRPr="000151AA" w:rsidRDefault="00DB01F4" w:rsidP="00DB01F4">
      <w:pPr>
        <w:pStyle w:val="Normal1"/>
        <w:spacing w:after="0" w:line="360" w:lineRule="auto"/>
        <w:jc w:val="both"/>
        <w:rPr>
          <w:rFonts w:ascii="Arial" w:eastAsia="Arial" w:hAnsi="Arial" w:cs="Arial"/>
          <w:sz w:val="24"/>
          <w:szCs w:val="24"/>
        </w:rPr>
      </w:pPr>
    </w:p>
    <w:p w:rsidR="00816536" w:rsidRPr="000151AA" w:rsidRDefault="00E85772" w:rsidP="00DB01F4">
      <w:pPr>
        <w:pStyle w:val="Normal1"/>
        <w:tabs>
          <w:tab w:val="left" w:pos="3686"/>
        </w:tabs>
        <w:spacing w:after="0" w:line="360" w:lineRule="auto"/>
        <w:ind w:left="2160" w:hanging="2160"/>
        <w:jc w:val="both"/>
        <w:rPr>
          <w:rFonts w:ascii="Arial" w:eastAsia="Arial" w:hAnsi="Arial" w:cs="Arial"/>
          <w:sz w:val="24"/>
          <w:szCs w:val="24"/>
        </w:rPr>
      </w:pPr>
      <w:r w:rsidRPr="000151AA">
        <w:rPr>
          <w:rFonts w:ascii="Arial" w:eastAsia="Arial" w:hAnsi="Arial" w:cs="Arial"/>
          <w:sz w:val="24"/>
          <w:szCs w:val="24"/>
        </w:rPr>
        <w:t>For the Appellant:</w:t>
      </w:r>
      <w:r w:rsidRPr="000151AA">
        <w:rPr>
          <w:rFonts w:ascii="Arial" w:eastAsia="Arial" w:hAnsi="Arial" w:cs="Arial"/>
          <w:sz w:val="24"/>
          <w:szCs w:val="24"/>
        </w:rPr>
        <w:tab/>
      </w:r>
      <w:r w:rsidR="00816536" w:rsidRPr="000151AA">
        <w:rPr>
          <w:rFonts w:ascii="Arial" w:eastAsia="Arial" w:hAnsi="Arial" w:cs="Arial"/>
          <w:sz w:val="24"/>
          <w:szCs w:val="24"/>
        </w:rPr>
        <w:tab/>
        <w:t>Mokhare SC</w:t>
      </w:r>
    </w:p>
    <w:p w:rsidR="00816536" w:rsidRPr="000151AA" w:rsidRDefault="00816536" w:rsidP="00DB01F4">
      <w:pPr>
        <w:pStyle w:val="Normal1"/>
        <w:tabs>
          <w:tab w:val="left" w:pos="3686"/>
        </w:tabs>
        <w:spacing w:after="0" w:line="360" w:lineRule="auto"/>
        <w:ind w:left="2160" w:hanging="2160"/>
        <w:jc w:val="both"/>
        <w:rPr>
          <w:rFonts w:ascii="Arial" w:eastAsia="Arial" w:hAnsi="Arial" w:cs="Arial"/>
          <w:sz w:val="24"/>
          <w:szCs w:val="24"/>
        </w:rPr>
      </w:pPr>
      <w:r w:rsidRPr="000151AA">
        <w:rPr>
          <w:rFonts w:ascii="Arial" w:eastAsia="Arial" w:hAnsi="Arial" w:cs="Arial"/>
          <w:sz w:val="24"/>
          <w:szCs w:val="24"/>
        </w:rPr>
        <w:t>I</w:t>
      </w:r>
      <w:r w:rsidR="00E85772" w:rsidRPr="000151AA">
        <w:rPr>
          <w:rFonts w:ascii="Arial" w:eastAsia="Arial" w:hAnsi="Arial" w:cs="Arial"/>
          <w:sz w:val="24"/>
          <w:szCs w:val="24"/>
        </w:rPr>
        <w:t>nstructed by:</w:t>
      </w:r>
      <w:r w:rsidR="00E85772" w:rsidRPr="000151AA">
        <w:rPr>
          <w:rFonts w:ascii="Arial" w:eastAsia="Arial" w:hAnsi="Arial" w:cs="Arial"/>
          <w:sz w:val="24"/>
          <w:szCs w:val="24"/>
        </w:rPr>
        <w:tab/>
      </w:r>
      <w:r w:rsidRPr="000151AA">
        <w:rPr>
          <w:rFonts w:ascii="Arial" w:eastAsia="Arial" w:hAnsi="Arial" w:cs="Arial"/>
          <w:sz w:val="24"/>
          <w:szCs w:val="24"/>
        </w:rPr>
        <w:tab/>
        <w:t xml:space="preserve">Kunene Rampala Incorporated, </w:t>
      </w:r>
    </w:p>
    <w:p w:rsidR="00816536" w:rsidRPr="000151AA" w:rsidRDefault="00816536" w:rsidP="00DB01F4">
      <w:pPr>
        <w:pStyle w:val="Normal1"/>
        <w:tabs>
          <w:tab w:val="left" w:pos="3686"/>
        </w:tabs>
        <w:spacing w:after="0" w:line="360" w:lineRule="auto"/>
        <w:ind w:left="2160" w:hanging="2160"/>
        <w:jc w:val="both"/>
        <w:rPr>
          <w:rFonts w:ascii="Arial" w:eastAsia="Arial" w:hAnsi="Arial" w:cs="Arial"/>
          <w:sz w:val="24"/>
          <w:szCs w:val="24"/>
        </w:rPr>
      </w:pPr>
      <w:r w:rsidRPr="000151AA">
        <w:rPr>
          <w:rFonts w:ascii="Arial" w:eastAsia="Arial" w:hAnsi="Arial" w:cs="Arial"/>
          <w:sz w:val="24"/>
          <w:szCs w:val="24"/>
        </w:rPr>
        <w:tab/>
      </w:r>
      <w:r w:rsidRPr="000151AA">
        <w:rPr>
          <w:rFonts w:ascii="Arial" w:eastAsia="Arial" w:hAnsi="Arial" w:cs="Arial"/>
          <w:sz w:val="24"/>
          <w:szCs w:val="24"/>
        </w:rPr>
        <w:tab/>
        <w:t>Braamfontein</w:t>
      </w:r>
    </w:p>
    <w:p w:rsidR="00CD05AA" w:rsidRPr="000151AA" w:rsidRDefault="00816536" w:rsidP="00DB01F4">
      <w:pPr>
        <w:pStyle w:val="Normal1"/>
        <w:tabs>
          <w:tab w:val="left" w:pos="3686"/>
        </w:tabs>
        <w:spacing w:after="0" w:line="360" w:lineRule="auto"/>
        <w:ind w:left="2160" w:hanging="2160"/>
        <w:jc w:val="both"/>
        <w:rPr>
          <w:rFonts w:ascii="Arial" w:eastAsia="Arial" w:hAnsi="Arial" w:cs="Arial"/>
          <w:sz w:val="24"/>
          <w:szCs w:val="24"/>
        </w:rPr>
      </w:pPr>
      <w:r w:rsidRPr="000151AA">
        <w:rPr>
          <w:rFonts w:ascii="Arial" w:eastAsia="Arial" w:hAnsi="Arial" w:cs="Arial"/>
          <w:sz w:val="24"/>
          <w:szCs w:val="24"/>
        </w:rPr>
        <w:tab/>
      </w:r>
      <w:r w:rsidRPr="000151AA">
        <w:rPr>
          <w:rFonts w:ascii="Arial" w:eastAsia="Arial" w:hAnsi="Arial" w:cs="Arial"/>
          <w:sz w:val="24"/>
          <w:szCs w:val="24"/>
        </w:rPr>
        <w:tab/>
        <w:t>Blair Attorneys, Bloemfontein</w:t>
      </w:r>
    </w:p>
    <w:p w:rsidR="00CD05AA" w:rsidRPr="000151AA" w:rsidRDefault="00CD05AA" w:rsidP="00DB01F4">
      <w:pPr>
        <w:pStyle w:val="Normal1"/>
        <w:tabs>
          <w:tab w:val="left" w:pos="3686"/>
        </w:tabs>
        <w:spacing w:after="0" w:line="360" w:lineRule="auto"/>
        <w:jc w:val="both"/>
        <w:rPr>
          <w:rFonts w:ascii="Arial" w:eastAsia="Arial" w:hAnsi="Arial" w:cs="Arial"/>
          <w:sz w:val="24"/>
          <w:szCs w:val="24"/>
        </w:rPr>
      </w:pPr>
    </w:p>
    <w:p w:rsidR="00CD05AA" w:rsidRPr="000151AA" w:rsidRDefault="00E85772" w:rsidP="00DB01F4">
      <w:pPr>
        <w:pStyle w:val="Normal1"/>
        <w:tabs>
          <w:tab w:val="left" w:pos="3686"/>
        </w:tabs>
        <w:spacing w:after="0" w:line="360" w:lineRule="auto"/>
        <w:jc w:val="both"/>
        <w:rPr>
          <w:rFonts w:ascii="Arial" w:eastAsia="Arial" w:hAnsi="Arial" w:cs="Arial"/>
          <w:sz w:val="24"/>
          <w:szCs w:val="24"/>
        </w:rPr>
      </w:pPr>
      <w:r w:rsidRPr="000151AA">
        <w:rPr>
          <w:rFonts w:ascii="Arial" w:eastAsia="Arial" w:hAnsi="Arial" w:cs="Arial"/>
          <w:sz w:val="24"/>
          <w:szCs w:val="24"/>
        </w:rPr>
        <w:t>For the Respondent:</w:t>
      </w:r>
      <w:r w:rsidRPr="000151AA">
        <w:rPr>
          <w:rFonts w:ascii="Arial" w:eastAsia="Arial" w:hAnsi="Arial" w:cs="Arial"/>
          <w:sz w:val="24"/>
          <w:szCs w:val="24"/>
        </w:rPr>
        <w:tab/>
      </w:r>
      <w:r w:rsidR="00816536" w:rsidRPr="000151AA">
        <w:rPr>
          <w:rFonts w:ascii="Arial" w:eastAsia="Arial" w:hAnsi="Arial" w:cs="Arial"/>
          <w:sz w:val="24"/>
          <w:szCs w:val="24"/>
        </w:rPr>
        <w:t>X Soni SC</w:t>
      </w:r>
    </w:p>
    <w:p w:rsidR="00CD05AA" w:rsidRPr="000151AA" w:rsidRDefault="00E85772" w:rsidP="00DB01F4">
      <w:pPr>
        <w:pStyle w:val="Normal1"/>
        <w:tabs>
          <w:tab w:val="left" w:pos="3686"/>
        </w:tabs>
        <w:spacing w:after="0" w:line="360" w:lineRule="auto"/>
        <w:jc w:val="both"/>
        <w:rPr>
          <w:rFonts w:ascii="Arial" w:eastAsia="Arial" w:hAnsi="Arial" w:cs="Arial"/>
          <w:sz w:val="24"/>
          <w:szCs w:val="24"/>
        </w:rPr>
      </w:pPr>
      <w:r w:rsidRPr="000151AA">
        <w:rPr>
          <w:rFonts w:ascii="Arial" w:eastAsia="Arial" w:hAnsi="Arial" w:cs="Arial"/>
          <w:sz w:val="24"/>
          <w:szCs w:val="24"/>
        </w:rPr>
        <w:t>Instructed by:</w:t>
      </w:r>
      <w:r w:rsidRPr="000151AA">
        <w:rPr>
          <w:rFonts w:ascii="Arial" w:eastAsia="Arial" w:hAnsi="Arial" w:cs="Arial"/>
          <w:sz w:val="24"/>
          <w:szCs w:val="24"/>
        </w:rPr>
        <w:tab/>
      </w:r>
      <w:r w:rsidR="00816536" w:rsidRPr="000151AA">
        <w:rPr>
          <w:rFonts w:ascii="Arial" w:eastAsia="Arial" w:hAnsi="Arial" w:cs="Arial"/>
          <w:sz w:val="24"/>
          <w:szCs w:val="24"/>
        </w:rPr>
        <w:t>M E Attorneys and Associates</w:t>
      </w:r>
      <w:r w:rsidRPr="000151AA">
        <w:rPr>
          <w:rFonts w:ascii="Arial" w:eastAsia="Arial" w:hAnsi="Arial" w:cs="Arial"/>
          <w:sz w:val="24"/>
          <w:szCs w:val="24"/>
        </w:rPr>
        <w:t xml:space="preserve">, </w:t>
      </w:r>
      <w:r w:rsidR="00816536" w:rsidRPr="000151AA">
        <w:rPr>
          <w:rFonts w:ascii="Arial" w:eastAsia="Arial" w:hAnsi="Arial" w:cs="Arial"/>
          <w:sz w:val="24"/>
          <w:szCs w:val="24"/>
        </w:rPr>
        <w:t>Mahikeng</w:t>
      </w:r>
    </w:p>
    <w:p w:rsidR="00CD05AA" w:rsidRDefault="00E85772" w:rsidP="00DB01F4">
      <w:pPr>
        <w:pStyle w:val="Normal1"/>
        <w:tabs>
          <w:tab w:val="left" w:pos="3686"/>
        </w:tabs>
        <w:spacing w:after="0" w:line="360" w:lineRule="auto"/>
        <w:jc w:val="both"/>
        <w:rPr>
          <w:rFonts w:ascii="Arial" w:eastAsia="Arial" w:hAnsi="Arial" w:cs="Arial"/>
          <w:sz w:val="24"/>
          <w:szCs w:val="24"/>
        </w:rPr>
      </w:pPr>
      <w:r w:rsidRPr="000151AA">
        <w:rPr>
          <w:rFonts w:ascii="Arial" w:eastAsia="Arial" w:hAnsi="Arial" w:cs="Arial"/>
          <w:sz w:val="24"/>
          <w:szCs w:val="24"/>
        </w:rPr>
        <w:t xml:space="preserve">                                                       </w:t>
      </w:r>
      <w:r w:rsidR="00816536" w:rsidRPr="000151AA">
        <w:rPr>
          <w:rFonts w:ascii="Arial" w:eastAsia="Arial" w:hAnsi="Arial" w:cs="Arial"/>
          <w:sz w:val="24"/>
          <w:szCs w:val="24"/>
        </w:rPr>
        <w:t>Bezuidenhouts Incorporated</w:t>
      </w:r>
      <w:r w:rsidRPr="000151AA">
        <w:rPr>
          <w:rFonts w:ascii="Arial" w:eastAsia="Arial" w:hAnsi="Arial" w:cs="Arial"/>
          <w:sz w:val="24"/>
          <w:szCs w:val="24"/>
        </w:rPr>
        <w:t>, B</w:t>
      </w:r>
      <w:r>
        <w:rPr>
          <w:rFonts w:ascii="Arial" w:eastAsia="Arial" w:hAnsi="Arial" w:cs="Arial"/>
          <w:sz w:val="24"/>
          <w:szCs w:val="24"/>
        </w:rPr>
        <w:t xml:space="preserve">loemfontein </w:t>
      </w:r>
    </w:p>
    <w:sectPr w:rsidR="00CD05AA">
      <w:headerReference w:type="default" r:id="rId9"/>
      <w:pgSz w:w="11906" w:h="16838"/>
      <w:pgMar w:top="1440" w:right="1274" w:bottom="1440" w:left="156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F4F" w:rsidRDefault="00B84F4F">
      <w:pPr>
        <w:spacing w:after="0" w:line="240" w:lineRule="auto"/>
      </w:pPr>
      <w:r>
        <w:separator/>
      </w:r>
    </w:p>
  </w:endnote>
  <w:endnote w:type="continuationSeparator" w:id="0">
    <w:p w:rsidR="00B84F4F" w:rsidRDefault="00B8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F4F" w:rsidRDefault="00B84F4F">
      <w:pPr>
        <w:spacing w:after="0" w:line="240" w:lineRule="auto"/>
      </w:pPr>
      <w:r>
        <w:separator/>
      </w:r>
    </w:p>
  </w:footnote>
  <w:footnote w:type="continuationSeparator" w:id="0">
    <w:p w:rsidR="00B84F4F" w:rsidRDefault="00B84F4F">
      <w:pPr>
        <w:spacing w:after="0" w:line="240" w:lineRule="auto"/>
      </w:pPr>
      <w:r>
        <w:continuationSeparator/>
      </w:r>
    </w:p>
  </w:footnote>
  <w:footnote w:id="1">
    <w:p w:rsidR="00755AE4" w:rsidRPr="0033770A" w:rsidRDefault="00755AE4">
      <w:pPr>
        <w:pStyle w:val="FootnoteText"/>
        <w:rPr>
          <w:rFonts w:ascii="Arial" w:hAnsi="Arial" w:cs="Arial"/>
        </w:rPr>
      </w:pPr>
      <w:r w:rsidRPr="0033770A">
        <w:rPr>
          <w:rStyle w:val="FootnoteReference"/>
          <w:rFonts w:ascii="Arial" w:hAnsi="Arial" w:cs="Arial"/>
        </w:rPr>
        <w:footnoteRef/>
      </w:r>
      <w:r w:rsidRPr="0033770A">
        <w:rPr>
          <w:rFonts w:ascii="Arial" w:hAnsi="Arial" w:cs="Arial"/>
        </w:rPr>
        <w:t xml:space="preserve"> Institution of Legal Proceedings against Certain Organs of State Act 40 of 2002.</w:t>
      </w:r>
    </w:p>
  </w:footnote>
  <w:footnote w:id="2">
    <w:p w:rsidR="006F1F9B" w:rsidRPr="0033770A" w:rsidRDefault="006F1F9B">
      <w:pPr>
        <w:pStyle w:val="FootnoteText"/>
        <w:rPr>
          <w:rFonts w:ascii="Arial" w:hAnsi="Arial" w:cs="Arial"/>
        </w:rPr>
      </w:pPr>
      <w:r w:rsidRPr="0033770A">
        <w:rPr>
          <w:rStyle w:val="FootnoteReference"/>
          <w:rFonts w:ascii="Arial" w:hAnsi="Arial" w:cs="Arial"/>
        </w:rPr>
        <w:footnoteRef/>
      </w:r>
      <w:r w:rsidRPr="0033770A">
        <w:rPr>
          <w:rFonts w:ascii="Arial" w:hAnsi="Arial" w:cs="Arial"/>
        </w:rPr>
        <w:t xml:space="preserve"> </w:t>
      </w:r>
      <w:r>
        <w:rPr>
          <w:rFonts w:ascii="Arial" w:hAnsi="Arial" w:cs="Arial"/>
        </w:rPr>
        <w:t>T</w:t>
      </w:r>
      <w:r w:rsidRPr="0033770A">
        <w:rPr>
          <w:rFonts w:ascii="Arial" w:hAnsi="Arial" w:cs="Arial"/>
        </w:rPr>
        <w:t xml:space="preserve">he Constitution of the Republic of South Africa, </w:t>
      </w:r>
      <w:r>
        <w:rPr>
          <w:rFonts w:ascii="Arial" w:hAnsi="Arial" w:cs="Arial"/>
        </w:rPr>
        <w:t xml:space="preserve">108 of </w:t>
      </w:r>
      <w:r w:rsidRPr="0033770A">
        <w:rPr>
          <w:rFonts w:ascii="Arial" w:hAnsi="Arial" w:cs="Arial"/>
        </w:rPr>
        <w:t>1996</w:t>
      </w:r>
      <w:r>
        <w:rPr>
          <w:rFonts w:ascii="Arial" w:hAnsi="Arial" w:cs="Arial"/>
        </w:rPr>
        <w:t>.</w:t>
      </w:r>
    </w:p>
  </w:footnote>
  <w:footnote w:id="3">
    <w:p w:rsidR="00CA1006" w:rsidRPr="0033770A" w:rsidRDefault="00CA1006">
      <w:pPr>
        <w:pStyle w:val="FootnoteText"/>
        <w:rPr>
          <w:rFonts w:ascii="Arial" w:hAnsi="Arial" w:cs="Arial"/>
        </w:rPr>
      </w:pPr>
      <w:r w:rsidRPr="0033770A">
        <w:rPr>
          <w:rStyle w:val="FootnoteReference"/>
          <w:rFonts w:ascii="Arial" w:hAnsi="Arial" w:cs="Arial"/>
        </w:rPr>
        <w:footnoteRef/>
      </w:r>
      <w:r w:rsidRPr="0033770A">
        <w:rPr>
          <w:rFonts w:ascii="Arial" w:hAnsi="Arial" w:cs="Arial"/>
        </w:rPr>
        <w:t xml:space="preserve"> Public Finance Management Act 1 of 1999.</w:t>
      </w:r>
    </w:p>
  </w:footnote>
  <w:footnote w:id="4">
    <w:p w:rsidR="002A616F" w:rsidRPr="00B454B9" w:rsidRDefault="002A616F" w:rsidP="006257C8">
      <w:pPr>
        <w:pStyle w:val="FootnoteText"/>
        <w:jc w:val="both"/>
        <w:rPr>
          <w:rFonts w:ascii="Arial" w:hAnsi="Arial" w:cs="Arial"/>
        </w:rPr>
      </w:pPr>
      <w:r w:rsidRPr="006F1F9B">
        <w:rPr>
          <w:rStyle w:val="FootnoteReference"/>
          <w:rFonts w:ascii="Arial" w:hAnsi="Arial" w:cs="Arial"/>
        </w:rPr>
        <w:footnoteRef/>
      </w:r>
      <w:r w:rsidRPr="006F1F9B">
        <w:rPr>
          <w:rFonts w:ascii="Arial" w:hAnsi="Arial" w:cs="Arial"/>
        </w:rPr>
        <w:t xml:space="preserve"> </w:t>
      </w:r>
      <w:r w:rsidRPr="006F1F9B">
        <w:rPr>
          <w:rFonts w:ascii="Arial" w:hAnsi="Arial" w:cs="Arial"/>
          <w:i/>
        </w:rPr>
        <w:t>Gobela</w:t>
      </w:r>
      <w:r w:rsidR="008371C3" w:rsidRPr="006F1F9B">
        <w:rPr>
          <w:rFonts w:ascii="Arial" w:hAnsi="Arial" w:cs="Arial"/>
          <w:i/>
        </w:rPr>
        <w:t xml:space="preserve"> Consulting CC v Makhado Municipality</w:t>
      </w:r>
      <w:r w:rsidR="008371C3" w:rsidRPr="006F1F9B">
        <w:rPr>
          <w:rFonts w:ascii="Arial" w:hAnsi="Arial" w:cs="Arial"/>
        </w:rPr>
        <w:t xml:space="preserve"> </w:t>
      </w:r>
      <w:r w:rsidR="00762204" w:rsidRPr="006F1F9B">
        <w:rPr>
          <w:rFonts w:ascii="Arial" w:hAnsi="Arial" w:cs="Arial"/>
        </w:rPr>
        <w:t>(</w:t>
      </w:r>
      <w:r w:rsidR="00762204" w:rsidRPr="00B454B9">
        <w:rPr>
          <w:rFonts w:ascii="Arial" w:hAnsi="Arial" w:cs="Arial"/>
        </w:rPr>
        <w:t>910/19) [2020] ZASCA 180.</w:t>
      </w:r>
    </w:p>
  </w:footnote>
  <w:footnote w:id="5">
    <w:p w:rsidR="002A616F" w:rsidRPr="00B454B9" w:rsidRDefault="002A616F" w:rsidP="006257C8">
      <w:pPr>
        <w:pStyle w:val="FootnoteText"/>
        <w:jc w:val="both"/>
        <w:rPr>
          <w:rFonts w:ascii="Arial" w:hAnsi="Arial" w:cs="Arial"/>
        </w:rPr>
      </w:pPr>
      <w:r w:rsidRPr="006F1F9B">
        <w:rPr>
          <w:rStyle w:val="FootnoteReference"/>
          <w:rFonts w:ascii="Arial" w:hAnsi="Arial" w:cs="Arial"/>
        </w:rPr>
        <w:footnoteRef/>
      </w:r>
      <w:r w:rsidRPr="006F1F9B">
        <w:rPr>
          <w:rFonts w:ascii="Arial" w:hAnsi="Arial" w:cs="Arial"/>
        </w:rPr>
        <w:t xml:space="preserve"> </w:t>
      </w:r>
      <w:r w:rsidRPr="006F1F9B">
        <w:rPr>
          <w:rFonts w:ascii="Arial" w:hAnsi="Arial" w:cs="Arial"/>
          <w:i/>
        </w:rPr>
        <w:t>Valor IT</w:t>
      </w:r>
      <w:r w:rsidR="008371C3" w:rsidRPr="006F1F9B">
        <w:rPr>
          <w:rFonts w:ascii="Arial" w:hAnsi="Arial" w:cs="Arial"/>
          <w:i/>
        </w:rPr>
        <w:t xml:space="preserve"> v Premier, North West Province and Others</w:t>
      </w:r>
      <w:r w:rsidR="008371C3" w:rsidRPr="006F1F9B">
        <w:rPr>
          <w:rFonts w:ascii="Arial" w:hAnsi="Arial" w:cs="Arial"/>
        </w:rPr>
        <w:t xml:space="preserve"> [2021] (1) SA 42 (SCA)</w:t>
      </w:r>
      <w:r w:rsidR="00B144E5" w:rsidRPr="006F1F9B">
        <w:rPr>
          <w:rFonts w:ascii="Arial" w:hAnsi="Arial" w:cs="Arial"/>
        </w:rPr>
        <w:t>.</w:t>
      </w:r>
    </w:p>
  </w:footnote>
  <w:footnote w:id="6">
    <w:p w:rsidR="00CE3BA4" w:rsidRPr="002336D1" w:rsidRDefault="00CE3BA4" w:rsidP="006257C8">
      <w:pPr>
        <w:pStyle w:val="FootnoteText"/>
        <w:jc w:val="both"/>
        <w:rPr>
          <w:rFonts w:ascii="Arial" w:hAnsi="Arial" w:cs="Arial"/>
        </w:rPr>
      </w:pPr>
      <w:r w:rsidRPr="006F1F9B">
        <w:rPr>
          <w:rStyle w:val="FootnoteReference"/>
          <w:rFonts w:ascii="Arial" w:hAnsi="Arial" w:cs="Arial"/>
        </w:rPr>
        <w:footnoteRef/>
      </w:r>
      <w:r w:rsidRPr="006F1F9B">
        <w:rPr>
          <w:rFonts w:ascii="Arial" w:hAnsi="Arial" w:cs="Arial"/>
        </w:rPr>
        <w:t xml:space="preserve"> Ibid para</w:t>
      </w:r>
      <w:r w:rsidR="004C31DD" w:rsidRPr="006F1F9B">
        <w:rPr>
          <w:rFonts w:ascii="Arial" w:hAnsi="Arial" w:cs="Arial"/>
        </w:rPr>
        <w:t>s</w:t>
      </w:r>
      <w:r w:rsidRPr="006F1F9B">
        <w:rPr>
          <w:rFonts w:ascii="Arial" w:hAnsi="Arial" w:cs="Arial"/>
        </w:rPr>
        <w:t xml:space="preserve"> </w:t>
      </w:r>
      <w:r w:rsidRPr="00E21C27">
        <w:rPr>
          <w:rFonts w:ascii="Arial" w:hAnsi="Arial" w:cs="Arial"/>
        </w:rPr>
        <w:t>40</w:t>
      </w:r>
      <w:r w:rsidR="000879B0" w:rsidRPr="00E21C27">
        <w:rPr>
          <w:rFonts w:ascii="Arial" w:hAnsi="Arial" w:cs="Arial"/>
        </w:rPr>
        <w:t xml:space="preserve"> </w:t>
      </w:r>
      <w:r w:rsidR="007B3107" w:rsidRPr="00E21C27">
        <w:rPr>
          <w:rFonts w:ascii="Arial" w:hAnsi="Arial" w:cs="Arial"/>
        </w:rPr>
        <w:t>– 41</w:t>
      </w:r>
      <w:r w:rsidR="000879B0" w:rsidRPr="00B454B9">
        <w:rPr>
          <w:rFonts w:ascii="Arial" w:hAnsi="Arial" w:cs="Arial"/>
        </w:rPr>
        <w:t>.</w:t>
      </w:r>
    </w:p>
  </w:footnote>
  <w:footnote w:id="7">
    <w:p w:rsidR="00922B7E" w:rsidRPr="0033770A" w:rsidRDefault="00922B7E">
      <w:pPr>
        <w:pStyle w:val="FootnoteText"/>
        <w:rPr>
          <w:rFonts w:ascii="Arial" w:hAnsi="Arial" w:cs="Arial"/>
        </w:rPr>
      </w:pPr>
      <w:r w:rsidRPr="0033770A">
        <w:rPr>
          <w:rStyle w:val="FootnoteReference"/>
          <w:rFonts w:ascii="Arial" w:hAnsi="Arial" w:cs="Arial"/>
        </w:rPr>
        <w:footnoteRef/>
      </w:r>
      <w:r w:rsidRPr="0033770A">
        <w:rPr>
          <w:rFonts w:ascii="Arial" w:hAnsi="Arial" w:cs="Arial"/>
        </w:rPr>
        <w:t xml:space="preserve"> Treasury Practice Note No 8 of 2007/2008.</w:t>
      </w:r>
    </w:p>
  </w:footnote>
  <w:footnote w:id="8">
    <w:p w:rsidR="00C723F3" w:rsidRPr="0033770A" w:rsidRDefault="00C723F3">
      <w:pPr>
        <w:pStyle w:val="FootnoteText"/>
        <w:rPr>
          <w:rFonts w:ascii="Arial" w:hAnsi="Arial" w:cs="Arial"/>
        </w:rPr>
      </w:pPr>
      <w:r w:rsidRPr="0033770A">
        <w:rPr>
          <w:rStyle w:val="FootnoteReference"/>
          <w:rFonts w:ascii="Arial" w:hAnsi="Arial" w:cs="Arial"/>
        </w:rPr>
        <w:footnoteRef/>
      </w:r>
      <w:r w:rsidRPr="0033770A">
        <w:rPr>
          <w:rFonts w:ascii="Arial" w:hAnsi="Arial" w:cs="Arial"/>
        </w:rPr>
        <w:t xml:space="preserve"> </w:t>
      </w:r>
      <w:r w:rsidRPr="0033770A">
        <w:rPr>
          <w:rFonts w:ascii="Arial" w:hAnsi="Arial" w:cs="Arial"/>
          <w:i/>
        </w:rPr>
        <w:t>Merafong City Local Municipality v AngloGold Ashanti Limited</w:t>
      </w:r>
      <w:r w:rsidRPr="0033770A">
        <w:rPr>
          <w:rFonts w:ascii="Arial" w:hAnsi="Arial" w:cs="Arial"/>
        </w:rPr>
        <w:t xml:space="preserve"> </w:t>
      </w:r>
      <w:r w:rsidR="00A9183D" w:rsidRPr="00A9183D">
        <w:rPr>
          <w:rFonts w:ascii="Arial" w:hAnsi="Arial" w:cs="Arial"/>
        </w:rPr>
        <w:t>(CCT106/15) [2016] ZACC 35; 2017 (2) SA 211 (CC)</w:t>
      </w:r>
      <w:r w:rsidR="00A9183D">
        <w:rPr>
          <w:rFonts w:ascii="Arial" w:hAnsi="Arial" w:cs="Arial"/>
        </w:rPr>
        <w:t>.</w:t>
      </w:r>
    </w:p>
  </w:footnote>
  <w:footnote w:id="9">
    <w:p w:rsidR="00F9331F" w:rsidRPr="0033770A" w:rsidRDefault="00F9331F" w:rsidP="00F9331F">
      <w:pPr>
        <w:pStyle w:val="FootnoteText"/>
        <w:rPr>
          <w:rFonts w:ascii="Arial" w:hAnsi="Arial" w:cs="Arial"/>
        </w:rPr>
      </w:pPr>
      <w:r w:rsidRPr="0033770A">
        <w:rPr>
          <w:rStyle w:val="FootnoteReference"/>
          <w:rFonts w:ascii="Arial" w:hAnsi="Arial" w:cs="Arial"/>
        </w:rPr>
        <w:footnoteRef/>
      </w:r>
      <w:r w:rsidRPr="0033770A">
        <w:rPr>
          <w:rFonts w:ascii="Arial" w:hAnsi="Arial" w:cs="Arial"/>
        </w:rPr>
        <w:t xml:space="preserve"> </w:t>
      </w:r>
      <w:r w:rsidR="002D0F98" w:rsidRPr="006F1F9B">
        <w:rPr>
          <w:rFonts w:ascii="Arial" w:hAnsi="Arial" w:cs="Arial"/>
          <w:i/>
        </w:rPr>
        <w:t>Gobela</w:t>
      </w:r>
      <w:r w:rsidR="002D0F98" w:rsidRPr="006F1F9B">
        <w:rPr>
          <w:rFonts w:ascii="Arial" w:hAnsi="Arial" w:cs="Arial"/>
        </w:rPr>
        <w:t xml:space="preserve"> </w:t>
      </w:r>
      <w:r w:rsidR="00A9183D" w:rsidRPr="0033770A">
        <w:rPr>
          <w:rFonts w:ascii="Arial" w:hAnsi="Arial" w:cs="Arial"/>
          <w:i/>
        </w:rPr>
        <w:t>op cit</w:t>
      </w:r>
      <w:r w:rsidR="00A9183D">
        <w:rPr>
          <w:rFonts w:ascii="Arial" w:hAnsi="Arial" w:cs="Arial"/>
        </w:rPr>
        <w:t xml:space="preserve"> fn 4 </w:t>
      </w:r>
      <w:r w:rsidR="002D0F98" w:rsidRPr="006F1F9B">
        <w:rPr>
          <w:rFonts w:ascii="Arial" w:hAnsi="Arial" w:cs="Arial"/>
        </w:rPr>
        <w:t>at para 18.</w:t>
      </w:r>
    </w:p>
  </w:footnote>
  <w:footnote w:id="10">
    <w:p w:rsidR="00F736AD" w:rsidRPr="006F1F9B" w:rsidRDefault="00F736AD" w:rsidP="00914910">
      <w:pPr>
        <w:pStyle w:val="FootnoteText"/>
        <w:jc w:val="both"/>
        <w:rPr>
          <w:rFonts w:ascii="Arial" w:hAnsi="Arial" w:cs="Arial"/>
        </w:rPr>
      </w:pPr>
      <w:r w:rsidRPr="006F1F9B">
        <w:rPr>
          <w:rStyle w:val="FootnoteReference"/>
          <w:rFonts w:ascii="Arial" w:hAnsi="Arial" w:cs="Arial"/>
        </w:rPr>
        <w:footnoteRef/>
      </w:r>
      <w:r w:rsidRPr="006F1F9B">
        <w:rPr>
          <w:rFonts w:ascii="Arial" w:hAnsi="Arial" w:cs="Arial"/>
        </w:rPr>
        <w:t xml:space="preserve"> </w:t>
      </w:r>
      <w:r w:rsidRPr="006F1F9B">
        <w:rPr>
          <w:rFonts w:ascii="Arial" w:hAnsi="Arial" w:cs="Arial"/>
          <w:i/>
        </w:rPr>
        <w:t>Greater Tzaneen Municipality v Bravospan</w:t>
      </w:r>
      <w:r w:rsidR="00BC0945" w:rsidRPr="006F1F9B">
        <w:rPr>
          <w:rFonts w:ascii="Arial" w:hAnsi="Arial" w:cs="Arial"/>
        </w:rPr>
        <w:t xml:space="preserve"> 252 CC </w:t>
      </w:r>
      <w:r w:rsidR="00B144E5" w:rsidRPr="006F1F9B">
        <w:rPr>
          <w:rFonts w:ascii="Arial" w:hAnsi="Arial" w:cs="Arial"/>
        </w:rPr>
        <w:t>(428/2021) [2022] ZASCA 155.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D5" w:rsidRDefault="00D410D5">
    <w:pPr>
      <w:pStyle w:val="Normal1"/>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724152">
      <w:rPr>
        <w:rFonts w:ascii="Arial" w:eastAsia="Arial" w:hAnsi="Arial" w:cs="Arial"/>
        <w:noProof/>
        <w:color w:val="000000"/>
      </w:rPr>
      <w:t>2</w:t>
    </w:r>
    <w:r>
      <w:rPr>
        <w:rFonts w:ascii="Arial" w:eastAsia="Arial" w:hAnsi="Arial" w:cs="Arial"/>
        <w:color w:val="000000"/>
      </w:rPr>
      <w:fldChar w:fldCharType="end"/>
    </w:r>
  </w:p>
  <w:p w:rsidR="00D410D5" w:rsidRDefault="00D410D5">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2D9"/>
    <w:multiLevelType w:val="multilevel"/>
    <w:tmpl w:val="D48C95F0"/>
    <w:lvl w:ilvl="0">
      <w:start w:val="1"/>
      <w:numFmt w:val="lowerRoman"/>
      <w:lvlText w:val="(%1)"/>
      <w:lvlJc w:val="left"/>
      <w:pPr>
        <w:ind w:left="980" w:hanging="720"/>
      </w:p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1">
    <w:nsid w:val="1AA847C5"/>
    <w:multiLevelType w:val="hybridMultilevel"/>
    <w:tmpl w:val="8E34E30A"/>
    <w:lvl w:ilvl="0" w:tplc="2A42A8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C9E45C9"/>
    <w:multiLevelType w:val="hybridMultilevel"/>
    <w:tmpl w:val="96328954"/>
    <w:lvl w:ilvl="0" w:tplc="15A82E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BA61ABD"/>
    <w:multiLevelType w:val="hybridMultilevel"/>
    <w:tmpl w:val="53F423DE"/>
    <w:lvl w:ilvl="0" w:tplc="01C0A3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4717103"/>
    <w:multiLevelType w:val="multilevel"/>
    <w:tmpl w:val="2AB4ABAC"/>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AA"/>
    <w:rsid w:val="000118BA"/>
    <w:rsid w:val="00012E92"/>
    <w:rsid w:val="00014FA0"/>
    <w:rsid w:val="000151AA"/>
    <w:rsid w:val="00016FCD"/>
    <w:rsid w:val="0002104B"/>
    <w:rsid w:val="00025C73"/>
    <w:rsid w:val="00034BD0"/>
    <w:rsid w:val="00052DAF"/>
    <w:rsid w:val="0006732B"/>
    <w:rsid w:val="0006773A"/>
    <w:rsid w:val="000708C2"/>
    <w:rsid w:val="000711D6"/>
    <w:rsid w:val="000715AC"/>
    <w:rsid w:val="0007412B"/>
    <w:rsid w:val="000879B0"/>
    <w:rsid w:val="00096FD2"/>
    <w:rsid w:val="000A4B9F"/>
    <w:rsid w:val="000B342C"/>
    <w:rsid w:val="000B5757"/>
    <w:rsid w:val="000B5FA5"/>
    <w:rsid w:val="000C5947"/>
    <w:rsid w:val="000D66EF"/>
    <w:rsid w:val="000E42A7"/>
    <w:rsid w:val="000F0F4B"/>
    <w:rsid w:val="000F469B"/>
    <w:rsid w:val="00102FCA"/>
    <w:rsid w:val="001134E8"/>
    <w:rsid w:val="00113A35"/>
    <w:rsid w:val="001177F1"/>
    <w:rsid w:val="00122EAC"/>
    <w:rsid w:val="00125957"/>
    <w:rsid w:val="00133810"/>
    <w:rsid w:val="00135B5E"/>
    <w:rsid w:val="001446B5"/>
    <w:rsid w:val="001507A7"/>
    <w:rsid w:val="00163207"/>
    <w:rsid w:val="00163D4F"/>
    <w:rsid w:val="00182598"/>
    <w:rsid w:val="001A492C"/>
    <w:rsid w:val="001B46D6"/>
    <w:rsid w:val="001C7FC5"/>
    <w:rsid w:val="001D4D1C"/>
    <w:rsid w:val="001E17C6"/>
    <w:rsid w:val="001F7969"/>
    <w:rsid w:val="002119F7"/>
    <w:rsid w:val="002155E5"/>
    <w:rsid w:val="002314A7"/>
    <w:rsid w:val="00231CF4"/>
    <w:rsid w:val="002336D1"/>
    <w:rsid w:val="002350CB"/>
    <w:rsid w:val="002577C9"/>
    <w:rsid w:val="002610F1"/>
    <w:rsid w:val="00261740"/>
    <w:rsid w:val="00262819"/>
    <w:rsid w:val="00273CA7"/>
    <w:rsid w:val="00290C57"/>
    <w:rsid w:val="002A616F"/>
    <w:rsid w:val="002B4472"/>
    <w:rsid w:val="002C0543"/>
    <w:rsid w:val="002D0F98"/>
    <w:rsid w:val="002D2C0D"/>
    <w:rsid w:val="002E0B62"/>
    <w:rsid w:val="002E35C1"/>
    <w:rsid w:val="002F063B"/>
    <w:rsid w:val="0030098F"/>
    <w:rsid w:val="003026E4"/>
    <w:rsid w:val="00304100"/>
    <w:rsid w:val="003043B0"/>
    <w:rsid w:val="00307ED4"/>
    <w:rsid w:val="00312BEB"/>
    <w:rsid w:val="003179B1"/>
    <w:rsid w:val="00321ECB"/>
    <w:rsid w:val="003322B0"/>
    <w:rsid w:val="00335546"/>
    <w:rsid w:val="0033770A"/>
    <w:rsid w:val="00337882"/>
    <w:rsid w:val="00342D5B"/>
    <w:rsid w:val="00343EF8"/>
    <w:rsid w:val="0034605D"/>
    <w:rsid w:val="003474AB"/>
    <w:rsid w:val="00350276"/>
    <w:rsid w:val="003516DD"/>
    <w:rsid w:val="003529D4"/>
    <w:rsid w:val="00354DFD"/>
    <w:rsid w:val="003647DD"/>
    <w:rsid w:val="0037063C"/>
    <w:rsid w:val="0037632A"/>
    <w:rsid w:val="003820B5"/>
    <w:rsid w:val="00384F90"/>
    <w:rsid w:val="00390A25"/>
    <w:rsid w:val="00391B52"/>
    <w:rsid w:val="00393A15"/>
    <w:rsid w:val="0039540C"/>
    <w:rsid w:val="003957DC"/>
    <w:rsid w:val="003A0622"/>
    <w:rsid w:val="003A6594"/>
    <w:rsid w:val="003A7AF8"/>
    <w:rsid w:val="003C39E8"/>
    <w:rsid w:val="003C4A12"/>
    <w:rsid w:val="003D73A2"/>
    <w:rsid w:val="003E1710"/>
    <w:rsid w:val="003E44FE"/>
    <w:rsid w:val="003E4EBE"/>
    <w:rsid w:val="003E5B60"/>
    <w:rsid w:val="003E7460"/>
    <w:rsid w:val="003F29E0"/>
    <w:rsid w:val="0041372E"/>
    <w:rsid w:val="00422C87"/>
    <w:rsid w:val="00423662"/>
    <w:rsid w:val="00424524"/>
    <w:rsid w:val="00431F1C"/>
    <w:rsid w:val="00435982"/>
    <w:rsid w:val="00435E0B"/>
    <w:rsid w:val="00450553"/>
    <w:rsid w:val="00461C8A"/>
    <w:rsid w:val="004632AF"/>
    <w:rsid w:val="00471771"/>
    <w:rsid w:val="00472F24"/>
    <w:rsid w:val="004863C2"/>
    <w:rsid w:val="00492CB3"/>
    <w:rsid w:val="00496BEC"/>
    <w:rsid w:val="0049777C"/>
    <w:rsid w:val="00497917"/>
    <w:rsid w:val="00497E75"/>
    <w:rsid w:val="004A3DE8"/>
    <w:rsid w:val="004A7997"/>
    <w:rsid w:val="004C31DD"/>
    <w:rsid w:val="004C4E29"/>
    <w:rsid w:val="004D034D"/>
    <w:rsid w:val="004E48E6"/>
    <w:rsid w:val="004F1F9F"/>
    <w:rsid w:val="004F2DCD"/>
    <w:rsid w:val="004F3856"/>
    <w:rsid w:val="00506F68"/>
    <w:rsid w:val="00506F7C"/>
    <w:rsid w:val="00513B96"/>
    <w:rsid w:val="00513CF3"/>
    <w:rsid w:val="00513D88"/>
    <w:rsid w:val="00514F1A"/>
    <w:rsid w:val="00533B6E"/>
    <w:rsid w:val="0053775D"/>
    <w:rsid w:val="00537C66"/>
    <w:rsid w:val="0055051C"/>
    <w:rsid w:val="00550AF8"/>
    <w:rsid w:val="00553254"/>
    <w:rsid w:val="0056202B"/>
    <w:rsid w:val="00570DDD"/>
    <w:rsid w:val="005727AC"/>
    <w:rsid w:val="005976A8"/>
    <w:rsid w:val="005A1800"/>
    <w:rsid w:val="005A6F41"/>
    <w:rsid w:val="005B21D2"/>
    <w:rsid w:val="005D3B52"/>
    <w:rsid w:val="005F11B6"/>
    <w:rsid w:val="005F172B"/>
    <w:rsid w:val="005F342A"/>
    <w:rsid w:val="006011CC"/>
    <w:rsid w:val="006124D5"/>
    <w:rsid w:val="00613582"/>
    <w:rsid w:val="006257C8"/>
    <w:rsid w:val="006316DA"/>
    <w:rsid w:val="006320FC"/>
    <w:rsid w:val="00633D9F"/>
    <w:rsid w:val="0065734F"/>
    <w:rsid w:val="0066115E"/>
    <w:rsid w:val="006643DD"/>
    <w:rsid w:val="006656B3"/>
    <w:rsid w:val="006755C1"/>
    <w:rsid w:val="00676BBF"/>
    <w:rsid w:val="006806EA"/>
    <w:rsid w:val="0068164C"/>
    <w:rsid w:val="006837A1"/>
    <w:rsid w:val="006846E4"/>
    <w:rsid w:val="006943D3"/>
    <w:rsid w:val="00697BFD"/>
    <w:rsid w:val="006A0D48"/>
    <w:rsid w:val="006A16B2"/>
    <w:rsid w:val="006A4F71"/>
    <w:rsid w:val="006B0F17"/>
    <w:rsid w:val="006D07ED"/>
    <w:rsid w:val="006D5C9E"/>
    <w:rsid w:val="006D6628"/>
    <w:rsid w:val="006E14FA"/>
    <w:rsid w:val="006E17E3"/>
    <w:rsid w:val="006E41B9"/>
    <w:rsid w:val="006E750A"/>
    <w:rsid w:val="006F1F9B"/>
    <w:rsid w:val="006F3377"/>
    <w:rsid w:val="007010C1"/>
    <w:rsid w:val="00714E57"/>
    <w:rsid w:val="00722604"/>
    <w:rsid w:val="00723C5F"/>
    <w:rsid w:val="00724152"/>
    <w:rsid w:val="007311B5"/>
    <w:rsid w:val="00733223"/>
    <w:rsid w:val="007352E6"/>
    <w:rsid w:val="0073609F"/>
    <w:rsid w:val="00740447"/>
    <w:rsid w:val="00750C1C"/>
    <w:rsid w:val="00751F86"/>
    <w:rsid w:val="00755AE4"/>
    <w:rsid w:val="00756CE4"/>
    <w:rsid w:val="00762204"/>
    <w:rsid w:val="00764EB2"/>
    <w:rsid w:val="0076751E"/>
    <w:rsid w:val="00785BF4"/>
    <w:rsid w:val="0079399F"/>
    <w:rsid w:val="00793ED8"/>
    <w:rsid w:val="007A51A3"/>
    <w:rsid w:val="007A65B8"/>
    <w:rsid w:val="007A7606"/>
    <w:rsid w:val="007B0ABD"/>
    <w:rsid w:val="007B11C2"/>
    <w:rsid w:val="007B3107"/>
    <w:rsid w:val="007B56A0"/>
    <w:rsid w:val="007C0B27"/>
    <w:rsid w:val="007C46F1"/>
    <w:rsid w:val="007C65EC"/>
    <w:rsid w:val="007C6C91"/>
    <w:rsid w:val="007D370B"/>
    <w:rsid w:val="00802671"/>
    <w:rsid w:val="00805ADB"/>
    <w:rsid w:val="008079B8"/>
    <w:rsid w:val="00816536"/>
    <w:rsid w:val="008212F6"/>
    <w:rsid w:val="00821C6E"/>
    <w:rsid w:val="008271FC"/>
    <w:rsid w:val="008275FD"/>
    <w:rsid w:val="008371C3"/>
    <w:rsid w:val="00843F05"/>
    <w:rsid w:val="008528F8"/>
    <w:rsid w:val="00853AF3"/>
    <w:rsid w:val="008555F4"/>
    <w:rsid w:val="0086468C"/>
    <w:rsid w:val="00865334"/>
    <w:rsid w:val="00881844"/>
    <w:rsid w:val="00887084"/>
    <w:rsid w:val="00896484"/>
    <w:rsid w:val="008973F8"/>
    <w:rsid w:val="008A7B4C"/>
    <w:rsid w:val="008B18CB"/>
    <w:rsid w:val="008B65F9"/>
    <w:rsid w:val="008D1FF5"/>
    <w:rsid w:val="008D4BD6"/>
    <w:rsid w:val="008D7C70"/>
    <w:rsid w:val="008E179E"/>
    <w:rsid w:val="008E31ED"/>
    <w:rsid w:val="008E389C"/>
    <w:rsid w:val="008E45FD"/>
    <w:rsid w:val="008E4954"/>
    <w:rsid w:val="008E716B"/>
    <w:rsid w:val="009033E7"/>
    <w:rsid w:val="009069D8"/>
    <w:rsid w:val="00910090"/>
    <w:rsid w:val="00914910"/>
    <w:rsid w:val="00922B7E"/>
    <w:rsid w:val="0092529C"/>
    <w:rsid w:val="009313D8"/>
    <w:rsid w:val="00931CD8"/>
    <w:rsid w:val="00934923"/>
    <w:rsid w:val="00977B37"/>
    <w:rsid w:val="00980220"/>
    <w:rsid w:val="009824E1"/>
    <w:rsid w:val="00985BED"/>
    <w:rsid w:val="00985D5F"/>
    <w:rsid w:val="00992157"/>
    <w:rsid w:val="009A2406"/>
    <w:rsid w:val="009A3591"/>
    <w:rsid w:val="009A46A0"/>
    <w:rsid w:val="009A4D17"/>
    <w:rsid w:val="009B1A4C"/>
    <w:rsid w:val="009B3A5F"/>
    <w:rsid w:val="009B60AF"/>
    <w:rsid w:val="009D1E03"/>
    <w:rsid w:val="009E4048"/>
    <w:rsid w:val="009E4B5B"/>
    <w:rsid w:val="009F5591"/>
    <w:rsid w:val="00A03F27"/>
    <w:rsid w:val="00A10625"/>
    <w:rsid w:val="00A14589"/>
    <w:rsid w:val="00A152B7"/>
    <w:rsid w:val="00A2313F"/>
    <w:rsid w:val="00A231F5"/>
    <w:rsid w:val="00A267F2"/>
    <w:rsid w:val="00A501FA"/>
    <w:rsid w:val="00A65CF3"/>
    <w:rsid w:val="00A83F1B"/>
    <w:rsid w:val="00A86A92"/>
    <w:rsid w:val="00A9183D"/>
    <w:rsid w:val="00A92C20"/>
    <w:rsid w:val="00A97831"/>
    <w:rsid w:val="00AA1853"/>
    <w:rsid w:val="00AB06A2"/>
    <w:rsid w:val="00AB0A95"/>
    <w:rsid w:val="00AB2210"/>
    <w:rsid w:val="00AB3518"/>
    <w:rsid w:val="00AC21BF"/>
    <w:rsid w:val="00AC2915"/>
    <w:rsid w:val="00AC5087"/>
    <w:rsid w:val="00AC7357"/>
    <w:rsid w:val="00AD2500"/>
    <w:rsid w:val="00AE2281"/>
    <w:rsid w:val="00AE23F9"/>
    <w:rsid w:val="00AE5AE2"/>
    <w:rsid w:val="00AE7482"/>
    <w:rsid w:val="00AF3F7C"/>
    <w:rsid w:val="00AF57BC"/>
    <w:rsid w:val="00B0128D"/>
    <w:rsid w:val="00B031CF"/>
    <w:rsid w:val="00B03CB3"/>
    <w:rsid w:val="00B068E9"/>
    <w:rsid w:val="00B10912"/>
    <w:rsid w:val="00B12F95"/>
    <w:rsid w:val="00B144E5"/>
    <w:rsid w:val="00B149EA"/>
    <w:rsid w:val="00B171FE"/>
    <w:rsid w:val="00B40618"/>
    <w:rsid w:val="00B40CA3"/>
    <w:rsid w:val="00B40DC9"/>
    <w:rsid w:val="00B442BD"/>
    <w:rsid w:val="00B454B9"/>
    <w:rsid w:val="00B50B0C"/>
    <w:rsid w:val="00B51FF6"/>
    <w:rsid w:val="00B602CC"/>
    <w:rsid w:val="00B607B9"/>
    <w:rsid w:val="00B703F2"/>
    <w:rsid w:val="00B736F5"/>
    <w:rsid w:val="00B747F6"/>
    <w:rsid w:val="00B84F4F"/>
    <w:rsid w:val="00B91975"/>
    <w:rsid w:val="00BA1B23"/>
    <w:rsid w:val="00BA1D6B"/>
    <w:rsid w:val="00BB1A63"/>
    <w:rsid w:val="00BB553E"/>
    <w:rsid w:val="00BB65DB"/>
    <w:rsid w:val="00BC0945"/>
    <w:rsid w:val="00BC4584"/>
    <w:rsid w:val="00BE2CA1"/>
    <w:rsid w:val="00BF3008"/>
    <w:rsid w:val="00BF3586"/>
    <w:rsid w:val="00BF383D"/>
    <w:rsid w:val="00C1207E"/>
    <w:rsid w:val="00C32A36"/>
    <w:rsid w:val="00C32CBC"/>
    <w:rsid w:val="00C44320"/>
    <w:rsid w:val="00C47280"/>
    <w:rsid w:val="00C723F3"/>
    <w:rsid w:val="00C729AA"/>
    <w:rsid w:val="00C82774"/>
    <w:rsid w:val="00C83652"/>
    <w:rsid w:val="00C86502"/>
    <w:rsid w:val="00C9496B"/>
    <w:rsid w:val="00C9549E"/>
    <w:rsid w:val="00C9644F"/>
    <w:rsid w:val="00CA1006"/>
    <w:rsid w:val="00CB23D5"/>
    <w:rsid w:val="00CB4DA0"/>
    <w:rsid w:val="00CB71B6"/>
    <w:rsid w:val="00CC1A0C"/>
    <w:rsid w:val="00CC3F4A"/>
    <w:rsid w:val="00CD05AA"/>
    <w:rsid w:val="00CD4613"/>
    <w:rsid w:val="00CE0622"/>
    <w:rsid w:val="00CE0FE4"/>
    <w:rsid w:val="00CE3BA4"/>
    <w:rsid w:val="00CE5ECE"/>
    <w:rsid w:val="00CE7DEB"/>
    <w:rsid w:val="00D053BF"/>
    <w:rsid w:val="00D07AE7"/>
    <w:rsid w:val="00D14B68"/>
    <w:rsid w:val="00D22142"/>
    <w:rsid w:val="00D230BD"/>
    <w:rsid w:val="00D35D25"/>
    <w:rsid w:val="00D410D5"/>
    <w:rsid w:val="00D455B7"/>
    <w:rsid w:val="00D563AB"/>
    <w:rsid w:val="00D6273C"/>
    <w:rsid w:val="00D72518"/>
    <w:rsid w:val="00D82631"/>
    <w:rsid w:val="00D828C6"/>
    <w:rsid w:val="00D83637"/>
    <w:rsid w:val="00D92585"/>
    <w:rsid w:val="00D9568F"/>
    <w:rsid w:val="00DA1DF8"/>
    <w:rsid w:val="00DB01F4"/>
    <w:rsid w:val="00DC6A3A"/>
    <w:rsid w:val="00DD01B9"/>
    <w:rsid w:val="00DD2437"/>
    <w:rsid w:val="00DE2D1D"/>
    <w:rsid w:val="00DE3CDE"/>
    <w:rsid w:val="00DE4B86"/>
    <w:rsid w:val="00DF3427"/>
    <w:rsid w:val="00E07F8A"/>
    <w:rsid w:val="00E10E2C"/>
    <w:rsid w:val="00E21C27"/>
    <w:rsid w:val="00E26244"/>
    <w:rsid w:val="00E269F1"/>
    <w:rsid w:val="00E27ACF"/>
    <w:rsid w:val="00E52FDC"/>
    <w:rsid w:val="00E565F4"/>
    <w:rsid w:val="00E60B18"/>
    <w:rsid w:val="00E6229E"/>
    <w:rsid w:val="00E6356E"/>
    <w:rsid w:val="00E64C08"/>
    <w:rsid w:val="00E6533D"/>
    <w:rsid w:val="00E7582A"/>
    <w:rsid w:val="00E83449"/>
    <w:rsid w:val="00E8462F"/>
    <w:rsid w:val="00E85772"/>
    <w:rsid w:val="00E95523"/>
    <w:rsid w:val="00EB25D0"/>
    <w:rsid w:val="00EB61A4"/>
    <w:rsid w:val="00EC0D9E"/>
    <w:rsid w:val="00EC12CA"/>
    <w:rsid w:val="00EC61EF"/>
    <w:rsid w:val="00EE403A"/>
    <w:rsid w:val="00EE74B2"/>
    <w:rsid w:val="00EF3CA1"/>
    <w:rsid w:val="00EF4AAF"/>
    <w:rsid w:val="00F03CFA"/>
    <w:rsid w:val="00F0471C"/>
    <w:rsid w:val="00F06572"/>
    <w:rsid w:val="00F07993"/>
    <w:rsid w:val="00F1126D"/>
    <w:rsid w:val="00F139C8"/>
    <w:rsid w:val="00F20FE8"/>
    <w:rsid w:val="00F2633C"/>
    <w:rsid w:val="00F352EB"/>
    <w:rsid w:val="00F41B16"/>
    <w:rsid w:val="00F4539F"/>
    <w:rsid w:val="00F51A01"/>
    <w:rsid w:val="00F532DD"/>
    <w:rsid w:val="00F566BA"/>
    <w:rsid w:val="00F64397"/>
    <w:rsid w:val="00F674DF"/>
    <w:rsid w:val="00F72ABC"/>
    <w:rsid w:val="00F736AD"/>
    <w:rsid w:val="00F73E74"/>
    <w:rsid w:val="00F9331F"/>
    <w:rsid w:val="00F967F1"/>
    <w:rsid w:val="00FA2E45"/>
    <w:rsid w:val="00FA3A6B"/>
    <w:rsid w:val="00FA715D"/>
    <w:rsid w:val="00FB3502"/>
    <w:rsid w:val="00FB6451"/>
    <w:rsid w:val="00FC102F"/>
    <w:rsid w:val="00FD3726"/>
    <w:rsid w:val="00FE19F8"/>
    <w:rsid w:val="00FE4E37"/>
    <w:rsid w:val="00FF07E8"/>
    <w:rsid w:val="00FF7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5D9882-4D39-4779-A540-A52D6FBC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0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22"/>
    <w:rPr>
      <w:rFonts w:ascii="Segoe UI" w:hAnsi="Segoe UI" w:cs="Segoe UI"/>
      <w:sz w:val="18"/>
      <w:szCs w:val="18"/>
    </w:rPr>
  </w:style>
  <w:style w:type="paragraph" w:styleId="ListParagraph">
    <w:name w:val="List Paragraph"/>
    <w:basedOn w:val="Normal"/>
    <w:uiPriority w:val="34"/>
    <w:qFormat/>
    <w:rsid w:val="007B0ABD"/>
    <w:pPr>
      <w:ind w:left="720"/>
      <w:contextualSpacing/>
    </w:pPr>
  </w:style>
  <w:style w:type="paragraph" w:styleId="FootnoteText">
    <w:name w:val="footnote text"/>
    <w:basedOn w:val="Normal"/>
    <w:link w:val="FootnoteTextChar"/>
    <w:uiPriority w:val="99"/>
    <w:semiHidden/>
    <w:unhideWhenUsed/>
    <w:rsid w:val="00CB71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1B6"/>
    <w:rPr>
      <w:sz w:val="20"/>
      <w:szCs w:val="20"/>
    </w:rPr>
  </w:style>
  <w:style w:type="character" w:styleId="FootnoteReference">
    <w:name w:val="footnote reference"/>
    <w:basedOn w:val="DefaultParagraphFont"/>
    <w:uiPriority w:val="99"/>
    <w:semiHidden/>
    <w:unhideWhenUsed/>
    <w:rsid w:val="00CB71B6"/>
    <w:rPr>
      <w:vertAlign w:val="superscript"/>
    </w:rPr>
  </w:style>
  <w:style w:type="paragraph" w:styleId="NormalWeb">
    <w:name w:val="Normal (Web)"/>
    <w:basedOn w:val="Normal"/>
    <w:uiPriority w:val="99"/>
    <w:semiHidden/>
    <w:unhideWhenUsed/>
    <w:rsid w:val="003A7AF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BA1B23"/>
    <w:rPr>
      <w:color w:val="0000FF"/>
      <w:u w:val="single"/>
    </w:rPr>
  </w:style>
  <w:style w:type="character" w:styleId="CommentReference">
    <w:name w:val="annotation reference"/>
    <w:basedOn w:val="DefaultParagraphFont"/>
    <w:uiPriority w:val="99"/>
    <w:semiHidden/>
    <w:unhideWhenUsed/>
    <w:rsid w:val="0030098F"/>
    <w:rPr>
      <w:sz w:val="16"/>
      <w:szCs w:val="16"/>
    </w:rPr>
  </w:style>
  <w:style w:type="paragraph" w:styleId="CommentText">
    <w:name w:val="annotation text"/>
    <w:basedOn w:val="Normal"/>
    <w:link w:val="CommentTextChar"/>
    <w:uiPriority w:val="99"/>
    <w:semiHidden/>
    <w:unhideWhenUsed/>
    <w:rsid w:val="0030098F"/>
    <w:pPr>
      <w:spacing w:line="240" w:lineRule="auto"/>
    </w:pPr>
    <w:rPr>
      <w:sz w:val="20"/>
      <w:szCs w:val="20"/>
    </w:rPr>
  </w:style>
  <w:style w:type="character" w:customStyle="1" w:styleId="CommentTextChar">
    <w:name w:val="Comment Text Char"/>
    <w:basedOn w:val="DefaultParagraphFont"/>
    <w:link w:val="CommentText"/>
    <w:uiPriority w:val="99"/>
    <w:semiHidden/>
    <w:rsid w:val="0030098F"/>
    <w:rPr>
      <w:sz w:val="20"/>
      <w:szCs w:val="20"/>
    </w:rPr>
  </w:style>
  <w:style w:type="paragraph" w:styleId="CommentSubject">
    <w:name w:val="annotation subject"/>
    <w:basedOn w:val="CommentText"/>
    <w:next w:val="CommentText"/>
    <w:link w:val="CommentSubjectChar"/>
    <w:uiPriority w:val="99"/>
    <w:semiHidden/>
    <w:unhideWhenUsed/>
    <w:rsid w:val="0030098F"/>
    <w:rPr>
      <w:b/>
      <w:bCs/>
    </w:rPr>
  </w:style>
  <w:style w:type="character" w:customStyle="1" w:styleId="CommentSubjectChar">
    <w:name w:val="Comment Subject Char"/>
    <w:basedOn w:val="CommentTextChar"/>
    <w:link w:val="CommentSubject"/>
    <w:uiPriority w:val="99"/>
    <w:semiHidden/>
    <w:rsid w:val="0030098F"/>
    <w:rPr>
      <w:b/>
      <w:bCs/>
      <w:sz w:val="20"/>
      <w:szCs w:val="20"/>
    </w:rPr>
  </w:style>
  <w:style w:type="paragraph" w:styleId="Revision">
    <w:name w:val="Revision"/>
    <w:hidden/>
    <w:uiPriority w:val="99"/>
    <w:semiHidden/>
    <w:rsid w:val="00300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00046">
      <w:bodyDiv w:val="1"/>
      <w:marLeft w:val="0"/>
      <w:marRight w:val="0"/>
      <w:marTop w:val="0"/>
      <w:marBottom w:val="0"/>
      <w:divBdr>
        <w:top w:val="none" w:sz="0" w:space="0" w:color="auto"/>
        <w:left w:val="none" w:sz="0" w:space="0" w:color="auto"/>
        <w:bottom w:val="none" w:sz="0" w:space="0" w:color="auto"/>
        <w:right w:val="none" w:sz="0" w:space="0" w:color="auto"/>
      </w:divBdr>
    </w:div>
    <w:div w:id="726489323">
      <w:bodyDiv w:val="1"/>
      <w:marLeft w:val="0"/>
      <w:marRight w:val="0"/>
      <w:marTop w:val="0"/>
      <w:marBottom w:val="0"/>
      <w:divBdr>
        <w:top w:val="none" w:sz="0" w:space="0" w:color="auto"/>
        <w:left w:val="none" w:sz="0" w:space="0" w:color="auto"/>
        <w:bottom w:val="none" w:sz="0" w:space="0" w:color="auto"/>
        <w:right w:val="none" w:sz="0" w:space="0" w:color="auto"/>
      </w:divBdr>
    </w:div>
    <w:div w:id="990447567">
      <w:bodyDiv w:val="1"/>
      <w:marLeft w:val="0"/>
      <w:marRight w:val="0"/>
      <w:marTop w:val="0"/>
      <w:marBottom w:val="0"/>
      <w:divBdr>
        <w:top w:val="none" w:sz="0" w:space="0" w:color="auto"/>
        <w:left w:val="none" w:sz="0" w:space="0" w:color="auto"/>
        <w:bottom w:val="none" w:sz="0" w:space="0" w:color="auto"/>
        <w:right w:val="none" w:sz="0" w:space="0" w:color="auto"/>
      </w:divBdr>
    </w:div>
    <w:div w:id="1164473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CCBB-4318-4038-B4F3-D1970284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3545</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HUGHES-MADONDO INC.</Company>
  <LinksUpToDate>false</LinksUpToDate>
  <CharactersWithSpaces>23708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Ntsoaki Nchejane</dc:creator>
  <cp:lastModifiedBy>Mokone</cp:lastModifiedBy>
  <cp:revision>3</cp:revision>
  <cp:lastPrinted>2023-09-13T14:06:00Z</cp:lastPrinted>
  <dcterms:created xsi:type="dcterms:W3CDTF">2023-09-18T09:04:00Z</dcterms:created>
  <dcterms:modified xsi:type="dcterms:W3CDTF">2023-09-18T09:06:00Z</dcterms:modified>
</cp:coreProperties>
</file>