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FDA0A" w14:textId="77777777" w:rsidR="00005AA9" w:rsidRPr="001A2D4F" w:rsidRDefault="00005AA9" w:rsidP="00005AA9">
      <w:pPr>
        <w:spacing w:after="0"/>
        <w:jc w:val="center"/>
        <w:rPr>
          <w:rFonts w:ascii="Arial" w:eastAsia="Arial" w:hAnsi="Arial" w:cs="Arial"/>
          <w:b/>
          <w:color w:val="221E1F"/>
          <w:sz w:val="24"/>
          <w:szCs w:val="24"/>
          <w:lang w:eastAsia="en-ZA"/>
        </w:rPr>
      </w:pPr>
      <w:bookmarkStart w:id="0" w:name="_GoBack"/>
      <w:bookmarkEnd w:id="0"/>
      <w:r w:rsidRPr="001A2D4F">
        <w:rPr>
          <w:rFonts w:ascii="Calibri" w:eastAsia="Calibri" w:hAnsi="Calibri" w:cs="Calibri"/>
          <w:noProof/>
          <w:lang w:val="en-US"/>
        </w:rPr>
        <w:drawing>
          <wp:anchor distT="0" distB="0" distL="114300" distR="114300" simplePos="0" relativeHeight="251659264" behindDoc="0" locked="0" layoutInCell="1" hidden="0" allowOverlap="1" wp14:anchorId="3142BA3C" wp14:editId="67EF4D9C">
            <wp:simplePos x="0" y="0"/>
            <wp:positionH relativeFrom="column">
              <wp:posOffset>2533650</wp:posOffset>
            </wp:positionH>
            <wp:positionV relativeFrom="paragraph">
              <wp:posOffset>76200</wp:posOffset>
            </wp:positionV>
            <wp:extent cx="740410" cy="923925"/>
            <wp:effectExtent l="0" t="0" r="0" b="0"/>
            <wp:wrapTopAndBottom distT="0" distB="0"/>
            <wp:docPr id="1" name="image1.png"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78AC6A47" w14:textId="7B227906" w:rsidR="00005AA9" w:rsidRPr="001A2D4F" w:rsidRDefault="00005AA9" w:rsidP="00B7392B">
      <w:pPr>
        <w:spacing w:after="120" w:line="276" w:lineRule="auto"/>
        <w:jc w:val="center"/>
        <w:rPr>
          <w:rFonts w:ascii="Times New Roman" w:eastAsia="Arial" w:hAnsi="Times New Roman" w:cs="Times New Roman"/>
          <w:b/>
          <w:color w:val="221E1F"/>
          <w:sz w:val="28"/>
          <w:szCs w:val="28"/>
          <w:lang w:eastAsia="en-ZA"/>
        </w:rPr>
      </w:pPr>
      <w:r w:rsidRPr="001A2D4F">
        <w:rPr>
          <w:rFonts w:ascii="Times New Roman" w:eastAsia="Arial" w:hAnsi="Times New Roman" w:cs="Times New Roman"/>
          <w:b/>
          <w:color w:val="221E1F"/>
          <w:sz w:val="28"/>
          <w:szCs w:val="28"/>
          <w:lang w:eastAsia="en-ZA"/>
        </w:rPr>
        <w:t>THE SUPREME COURT OF APPEAL OF SOUTH AFRICA</w:t>
      </w:r>
    </w:p>
    <w:p w14:paraId="09760BED" w14:textId="3CAA35EB" w:rsidR="00005AA9" w:rsidRPr="001A2D4F" w:rsidRDefault="00005AA9" w:rsidP="00B7392B">
      <w:pPr>
        <w:spacing w:after="120" w:line="276" w:lineRule="auto"/>
        <w:jc w:val="center"/>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JUDGMENT</w:t>
      </w:r>
    </w:p>
    <w:p w14:paraId="68E34C24" w14:textId="77777777" w:rsidR="00244085" w:rsidRPr="001A2D4F" w:rsidRDefault="00244085" w:rsidP="00B7392B">
      <w:pPr>
        <w:spacing w:after="120" w:line="276" w:lineRule="auto"/>
        <w:jc w:val="center"/>
        <w:rPr>
          <w:rFonts w:ascii="Times New Roman" w:eastAsia="Arial" w:hAnsi="Times New Roman" w:cs="Times New Roman"/>
          <w:b/>
          <w:sz w:val="28"/>
          <w:szCs w:val="28"/>
          <w:lang w:eastAsia="en-ZA"/>
        </w:rPr>
      </w:pPr>
    </w:p>
    <w:p w14:paraId="6A319302" w14:textId="6831EA51" w:rsidR="00005AA9" w:rsidRPr="001A2D4F" w:rsidRDefault="0068640D" w:rsidP="00B7392B">
      <w:pPr>
        <w:spacing w:after="0" w:line="276" w:lineRule="auto"/>
        <w:ind w:left="720" w:right="72" w:firstLine="720"/>
        <w:jc w:val="right"/>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 xml:space="preserve">Not </w:t>
      </w:r>
      <w:r w:rsidR="00EE0F86" w:rsidRPr="001A2D4F">
        <w:rPr>
          <w:rFonts w:ascii="Times New Roman" w:eastAsia="Arial" w:hAnsi="Times New Roman" w:cs="Times New Roman"/>
          <w:b/>
          <w:sz w:val="28"/>
          <w:szCs w:val="28"/>
          <w:lang w:eastAsia="en-ZA"/>
        </w:rPr>
        <w:t>R</w:t>
      </w:r>
      <w:r w:rsidRPr="001A2D4F">
        <w:rPr>
          <w:rFonts w:ascii="Times New Roman" w:eastAsia="Arial" w:hAnsi="Times New Roman" w:cs="Times New Roman"/>
          <w:b/>
          <w:sz w:val="28"/>
          <w:szCs w:val="28"/>
          <w:lang w:eastAsia="en-ZA"/>
        </w:rPr>
        <w:t>eportable</w:t>
      </w:r>
    </w:p>
    <w:p w14:paraId="0AE194EA" w14:textId="50FDFBB0" w:rsidR="00005AA9" w:rsidRPr="001A2D4F" w:rsidRDefault="00005AA9" w:rsidP="00B7392B">
      <w:pPr>
        <w:spacing w:after="0" w:line="276" w:lineRule="auto"/>
        <w:ind w:right="72"/>
        <w:jc w:val="right"/>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t xml:space="preserve">Case No: </w:t>
      </w:r>
      <w:r w:rsidR="0068640D" w:rsidRPr="001A2D4F">
        <w:rPr>
          <w:rFonts w:ascii="Times New Roman" w:eastAsia="Arial" w:hAnsi="Times New Roman" w:cs="Times New Roman"/>
          <w:sz w:val="28"/>
          <w:szCs w:val="28"/>
          <w:lang w:eastAsia="en-ZA"/>
        </w:rPr>
        <w:t>662</w:t>
      </w:r>
      <w:r w:rsidRPr="001A2D4F">
        <w:rPr>
          <w:rFonts w:ascii="Times New Roman" w:eastAsia="Arial" w:hAnsi="Times New Roman" w:cs="Times New Roman"/>
          <w:sz w:val="28"/>
          <w:szCs w:val="28"/>
          <w:lang w:eastAsia="en-ZA"/>
        </w:rPr>
        <w:t>/202</w:t>
      </w:r>
      <w:r w:rsidR="0068640D" w:rsidRPr="001A2D4F">
        <w:rPr>
          <w:rFonts w:ascii="Times New Roman" w:eastAsia="Arial" w:hAnsi="Times New Roman" w:cs="Times New Roman"/>
          <w:sz w:val="28"/>
          <w:szCs w:val="28"/>
          <w:lang w:eastAsia="en-ZA"/>
        </w:rPr>
        <w:t>2</w:t>
      </w:r>
    </w:p>
    <w:p w14:paraId="3AAD7DC2" w14:textId="77777777" w:rsidR="00536F17" w:rsidRPr="001A2D4F" w:rsidRDefault="00536F17" w:rsidP="00E07113">
      <w:pPr>
        <w:spacing w:after="0" w:line="360" w:lineRule="auto"/>
        <w:ind w:right="72"/>
        <w:jc w:val="right"/>
        <w:rPr>
          <w:rFonts w:ascii="Times New Roman" w:eastAsia="Arial" w:hAnsi="Times New Roman" w:cs="Times New Roman"/>
          <w:sz w:val="28"/>
          <w:szCs w:val="28"/>
          <w:lang w:eastAsia="en-ZA"/>
        </w:rPr>
      </w:pPr>
    </w:p>
    <w:p w14:paraId="0B1A78AD" w14:textId="77777777" w:rsidR="00005AA9" w:rsidRPr="001A2D4F" w:rsidRDefault="00005AA9" w:rsidP="00B7392B">
      <w:pPr>
        <w:spacing w:after="0" w:line="360" w:lineRule="auto"/>
        <w:jc w:val="both"/>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t>In the matter between:</w:t>
      </w:r>
    </w:p>
    <w:p w14:paraId="06A7358F" w14:textId="5DF70A94" w:rsidR="00673959" w:rsidRPr="001A2D4F" w:rsidRDefault="0068640D" w:rsidP="00B7392B">
      <w:pPr>
        <w:spacing w:after="0" w:line="360" w:lineRule="auto"/>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 xml:space="preserve">INTEGRITY FORENSIC SOLUTIONS CC     </w:t>
      </w:r>
      <w:r w:rsidR="00005AA9" w:rsidRPr="001A2D4F">
        <w:rPr>
          <w:rFonts w:ascii="Times New Roman" w:eastAsia="Arial" w:hAnsi="Times New Roman" w:cs="Times New Roman"/>
          <w:b/>
          <w:sz w:val="28"/>
          <w:szCs w:val="28"/>
          <w:lang w:eastAsia="en-ZA"/>
        </w:rPr>
        <w:t xml:space="preserve">                       </w:t>
      </w:r>
      <w:r w:rsidR="00536F17" w:rsidRPr="001A2D4F">
        <w:rPr>
          <w:rFonts w:ascii="Times New Roman" w:eastAsia="Arial" w:hAnsi="Times New Roman" w:cs="Times New Roman"/>
          <w:b/>
          <w:sz w:val="28"/>
          <w:szCs w:val="28"/>
          <w:lang w:eastAsia="en-ZA"/>
        </w:rPr>
        <w:t xml:space="preserve"> </w:t>
      </w:r>
      <w:r w:rsidR="00005AA9" w:rsidRPr="001A2D4F">
        <w:rPr>
          <w:rFonts w:ascii="Times New Roman" w:eastAsia="Arial" w:hAnsi="Times New Roman" w:cs="Times New Roman"/>
          <w:b/>
          <w:sz w:val="28"/>
          <w:szCs w:val="28"/>
          <w:lang w:eastAsia="en-ZA"/>
        </w:rPr>
        <w:t>APPELLANT</w:t>
      </w:r>
    </w:p>
    <w:p w14:paraId="3F81EDDF" w14:textId="4A7CA2C1" w:rsidR="00673959" w:rsidRPr="001A2D4F" w:rsidRDefault="00536F17" w:rsidP="00B7392B">
      <w:pPr>
        <w:spacing w:before="120" w:after="120" w:line="360" w:lineRule="auto"/>
        <w:jc w:val="both"/>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t>a</w:t>
      </w:r>
      <w:r w:rsidR="00005AA9" w:rsidRPr="001A2D4F">
        <w:rPr>
          <w:rFonts w:ascii="Times New Roman" w:eastAsia="Arial" w:hAnsi="Times New Roman" w:cs="Times New Roman"/>
          <w:sz w:val="28"/>
          <w:szCs w:val="28"/>
          <w:lang w:eastAsia="en-ZA"/>
        </w:rPr>
        <w:t>nd</w:t>
      </w:r>
    </w:p>
    <w:p w14:paraId="6E43A137" w14:textId="08102EEB" w:rsidR="00005AA9" w:rsidRPr="001A2D4F" w:rsidRDefault="0068640D" w:rsidP="00B7392B">
      <w:pPr>
        <w:spacing w:after="0" w:line="360" w:lineRule="auto"/>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AMAJUBA DISTRICT MUNI</w:t>
      </w:r>
      <w:r w:rsidR="00901E3F">
        <w:rPr>
          <w:rFonts w:ascii="Times New Roman" w:eastAsia="Arial" w:hAnsi="Times New Roman" w:cs="Times New Roman"/>
          <w:b/>
          <w:sz w:val="28"/>
          <w:szCs w:val="28"/>
          <w:lang w:eastAsia="en-ZA"/>
        </w:rPr>
        <w:t>C</w:t>
      </w:r>
      <w:r w:rsidRPr="001A2D4F">
        <w:rPr>
          <w:rFonts w:ascii="Times New Roman" w:eastAsia="Arial" w:hAnsi="Times New Roman" w:cs="Times New Roman"/>
          <w:b/>
          <w:sz w:val="28"/>
          <w:szCs w:val="28"/>
          <w:lang w:eastAsia="en-ZA"/>
        </w:rPr>
        <w:t xml:space="preserve">IPALITY                            </w:t>
      </w:r>
      <w:r w:rsidR="00536F17" w:rsidRPr="001A2D4F">
        <w:rPr>
          <w:rFonts w:ascii="Times New Roman" w:eastAsia="Arial" w:hAnsi="Times New Roman" w:cs="Times New Roman"/>
          <w:b/>
          <w:sz w:val="28"/>
          <w:szCs w:val="28"/>
          <w:lang w:eastAsia="en-ZA"/>
        </w:rPr>
        <w:t xml:space="preserve"> </w:t>
      </w:r>
      <w:r w:rsidRPr="001A2D4F">
        <w:rPr>
          <w:rFonts w:ascii="Times New Roman" w:eastAsia="Arial" w:hAnsi="Times New Roman" w:cs="Times New Roman"/>
          <w:b/>
          <w:sz w:val="28"/>
          <w:szCs w:val="28"/>
          <w:lang w:eastAsia="en-ZA"/>
        </w:rPr>
        <w:t>RES</w:t>
      </w:r>
      <w:r w:rsidR="00005AA9" w:rsidRPr="001A2D4F">
        <w:rPr>
          <w:rFonts w:ascii="Times New Roman" w:eastAsia="Arial" w:hAnsi="Times New Roman" w:cs="Times New Roman"/>
          <w:b/>
          <w:sz w:val="28"/>
          <w:szCs w:val="28"/>
          <w:lang w:eastAsia="en-ZA"/>
        </w:rPr>
        <w:t>PONDENT</w:t>
      </w:r>
    </w:p>
    <w:p w14:paraId="63F685B4" w14:textId="77777777" w:rsidR="00952B1B" w:rsidRPr="001A2D4F" w:rsidRDefault="00952B1B" w:rsidP="00952B1B">
      <w:pPr>
        <w:spacing w:after="0" w:line="360" w:lineRule="auto"/>
        <w:ind w:right="72"/>
        <w:rPr>
          <w:rFonts w:ascii="Times New Roman" w:eastAsia="Arial" w:hAnsi="Times New Roman" w:cs="Times New Roman"/>
          <w:b/>
          <w:sz w:val="28"/>
          <w:szCs w:val="28"/>
          <w:lang w:eastAsia="en-ZA"/>
        </w:rPr>
      </w:pPr>
    </w:p>
    <w:p w14:paraId="71341A7D" w14:textId="55DA5F42" w:rsidR="00952B1B" w:rsidRPr="001A2D4F" w:rsidRDefault="00005AA9" w:rsidP="00B7392B">
      <w:pPr>
        <w:spacing w:after="0" w:line="360" w:lineRule="auto"/>
        <w:ind w:left="2268" w:hanging="2268"/>
        <w:jc w:val="both"/>
        <w:rPr>
          <w:rFonts w:ascii="Times New Roman" w:eastAsia="Arial" w:hAnsi="Times New Roman" w:cs="Times New Roman"/>
          <w:sz w:val="28"/>
          <w:szCs w:val="28"/>
          <w:lang w:eastAsia="en-ZA"/>
        </w:rPr>
      </w:pPr>
      <w:r w:rsidRPr="001A2D4F">
        <w:rPr>
          <w:rFonts w:ascii="Times New Roman" w:eastAsia="Arial" w:hAnsi="Times New Roman" w:cs="Times New Roman"/>
          <w:b/>
          <w:sz w:val="28"/>
          <w:szCs w:val="28"/>
          <w:lang w:eastAsia="en-ZA"/>
        </w:rPr>
        <w:t>Neutral citation:</w:t>
      </w:r>
      <w:r w:rsidR="00315B3D" w:rsidRPr="001A2D4F">
        <w:rPr>
          <w:rFonts w:ascii="Times New Roman" w:eastAsia="Arial" w:hAnsi="Times New Roman" w:cs="Times New Roman"/>
          <w:b/>
          <w:sz w:val="28"/>
          <w:szCs w:val="28"/>
          <w:lang w:eastAsia="en-ZA"/>
        </w:rPr>
        <w:tab/>
      </w:r>
      <w:r w:rsidR="0068640D" w:rsidRPr="001A2D4F">
        <w:rPr>
          <w:rFonts w:ascii="Times New Roman" w:eastAsia="Arial" w:hAnsi="Times New Roman" w:cs="Times New Roman"/>
          <w:i/>
          <w:sz w:val="28"/>
          <w:szCs w:val="28"/>
          <w:lang w:eastAsia="en-ZA"/>
        </w:rPr>
        <w:t>Integrity Forensic Solutions CC v Amajuba District Municipality</w:t>
      </w:r>
      <w:r w:rsidR="00763D3F" w:rsidRPr="001A2D4F">
        <w:rPr>
          <w:rFonts w:ascii="Times New Roman" w:eastAsia="Arial" w:hAnsi="Times New Roman" w:cs="Times New Roman"/>
          <w:i/>
          <w:sz w:val="28"/>
          <w:szCs w:val="28"/>
          <w:lang w:eastAsia="en-ZA"/>
        </w:rPr>
        <w:t xml:space="preserve"> </w:t>
      </w:r>
      <w:r w:rsidR="00763D3F" w:rsidRPr="001A2D4F">
        <w:rPr>
          <w:rFonts w:ascii="Times New Roman" w:eastAsia="Arial" w:hAnsi="Times New Roman" w:cs="Times New Roman"/>
          <w:sz w:val="28"/>
          <w:szCs w:val="28"/>
          <w:lang w:eastAsia="en-ZA"/>
        </w:rPr>
        <w:t>(662/2022)</w:t>
      </w:r>
      <w:r w:rsidR="00D43C6E" w:rsidRPr="001A2D4F">
        <w:rPr>
          <w:rFonts w:ascii="Times New Roman" w:eastAsia="Arial" w:hAnsi="Times New Roman" w:cs="Times New Roman"/>
          <w:i/>
          <w:sz w:val="28"/>
          <w:szCs w:val="28"/>
          <w:lang w:eastAsia="en-ZA"/>
        </w:rPr>
        <w:t xml:space="preserve"> </w:t>
      </w:r>
      <w:r w:rsidR="00D43C6E" w:rsidRPr="001A2D4F">
        <w:rPr>
          <w:rFonts w:ascii="Times New Roman" w:eastAsia="Arial" w:hAnsi="Times New Roman" w:cs="Times New Roman"/>
          <w:sz w:val="28"/>
          <w:szCs w:val="28"/>
          <w:lang w:eastAsia="en-ZA"/>
        </w:rPr>
        <w:t>[2023</w:t>
      </w:r>
      <w:r w:rsidRPr="001A2D4F">
        <w:rPr>
          <w:rFonts w:ascii="Times New Roman" w:eastAsia="Arial" w:hAnsi="Times New Roman" w:cs="Times New Roman"/>
          <w:sz w:val="28"/>
          <w:szCs w:val="28"/>
          <w:lang w:eastAsia="en-ZA"/>
        </w:rPr>
        <w:t xml:space="preserve">] ZASCA </w:t>
      </w:r>
      <w:r w:rsidR="00AE010B">
        <w:rPr>
          <w:rFonts w:ascii="Times New Roman" w:eastAsia="Arial" w:hAnsi="Times New Roman" w:cs="Times New Roman"/>
          <w:sz w:val="28"/>
          <w:szCs w:val="28"/>
          <w:lang w:eastAsia="en-ZA"/>
        </w:rPr>
        <w:t>124</w:t>
      </w:r>
      <w:r w:rsidRPr="001A2D4F">
        <w:rPr>
          <w:rFonts w:ascii="Times New Roman" w:eastAsia="Arial" w:hAnsi="Times New Roman" w:cs="Times New Roman"/>
          <w:sz w:val="28"/>
          <w:szCs w:val="28"/>
          <w:lang w:eastAsia="en-ZA"/>
        </w:rPr>
        <w:t xml:space="preserve"> (</w:t>
      </w:r>
      <w:r w:rsidR="001A2D4F">
        <w:rPr>
          <w:rFonts w:ascii="Times New Roman" w:eastAsia="Arial" w:hAnsi="Times New Roman" w:cs="Times New Roman"/>
          <w:sz w:val="28"/>
          <w:szCs w:val="28"/>
          <w:lang w:eastAsia="en-ZA"/>
        </w:rPr>
        <w:t>28</w:t>
      </w:r>
      <w:r w:rsidRPr="001A2D4F">
        <w:rPr>
          <w:rFonts w:ascii="Times New Roman" w:eastAsia="Arial" w:hAnsi="Times New Roman" w:cs="Times New Roman"/>
          <w:sz w:val="28"/>
          <w:szCs w:val="28"/>
          <w:lang w:eastAsia="en-ZA"/>
        </w:rPr>
        <w:t xml:space="preserve"> </w:t>
      </w:r>
      <w:r w:rsidR="0068640D" w:rsidRPr="001A2D4F">
        <w:rPr>
          <w:rFonts w:ascii="Times New Roman" w:eastAsia="Arial" w:hAnsi="Times New Roman" w:cs="Times New Roman"/>
          <w:sz w:val="28"/>
          <w:szCs w:val="28"/>
          <w:lang w:eastAsia="en-ZA"/>
        </w:rPr>
        <w:t xml:space="preserve">September </w:t>
      </w:r>
      <w:r w:rsidRPr="001A2D4F">
        <w:rPr>
          <w:rFonts w:ascii="Times New Roman" w:eastAsia="Arial" w:hAnsi="Times New Roman" w:cs="Times New Roman"/>
          <w:sz w:val="28"/>
          <w:szCs w:val="28"/>
          <w:lang w:eastAsia="en-ZA"/>
        </w:rPr>
        <w:t>2023)</w:t>
      </w:r>
    </w:p>
    <w:p w14:paraId="7D6FFC4E" w14:textId="18C2C856" w:rsidR="00952B1B" w:rsidRPr="001A2D4F" w:rsidRDefault="00005AA9" w:rsidP="00B7392B">
      <w:pPr>
        <w:spacing w:after="0" w:line="360" w:lineRule="auto"/>
        <w:ind w:left="1440" w:right="74" w:hanging="1440"/>
        <w:jc w:val="both"/>
        <w:rPr>
          <w:rFonts w:ascii="Times New Roman" w:eastAsia="Arial" w:hAnsi="Times New Roman" w:cs="Times New Roman"/>
          <w:sz w:val="28"/>
          <w:szCs w:val="28"/>
          <w:lang w:eastAsia="en-ZA"/>
        </w:rPr>
      </w:pPr>
      <w:r w:rsidRPr="001A2D4F">
        <w:rPr>
          <w:rFonts w:ascii="Times New Roman" w:eastAsia="Arial" w:hAnsi="Times New Roman" w:cs="Times New Roman"/>
          <w:b/>
          <w:sz w:val="28"/>
          <w:szCs w:val="28"/>
          <w:lang w:eastAsia="en-ZA"/>
        </w:rPr>
        <w:t>Coram:</w:t>
      </w:r>
      <w:r w:rsidR="00A23A58" w:rsidRPr="001A2D4F">
        <w:rPr>
          <w:rFonts w:ascii="Times New Roman" w:eastAsia="Arial" w:hAnsi="Times New Roman" w:cs="Times New Roman"/>
          <w:b/>
          <w:sz w:val="28"/>
          <w:szCs w:val="28"/>
          <w:lang w:eastAsia="en-ZA"/>
        </w:rPr>
        <w:tab/>
      </w:r>
      <w:r w:rsidR="00536F17" w:rsidRPr="001A2D4F">
        <w:rPr>
          <w:rFonts w:ascii="Times New Roman" w:eastAsia="Arial" w:hAnsi="Times New Roman" w:cs="Times New Roman"/>
          <w:sz w:val="28"/>
          <w:szCs w:val="28"/>
          <w:lang w:eastAsia="en-ZA"/>
        </w:rPr>
        <w:t>PONNAN, MABINDLA-BOQWANA and GOOSEN JJA and WINDELL and KEIGHTLEY AJJA</w:t>
      </w:r>
    </w:p>
    <w:p w14:paraId="7B26636B" w14:textId="0B0E19EF" w:rsidR="00952B1B" w:rsidRPr="001A2D4F" w:rsidRDefault="00005AA9" w:rsidP="00B7392B">
      <w:pPr>
        <w:spacing w:after="0" w:line="360" w:lineRule="auto"/>
        <w:jc w:val="both"/>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Heard:</w:t>
      </w:r>
      <w:r w:rsidRPr="001A2D4F">
        <w:rPr>
          <w:rFonts w:ascii="Times New Roman" w:eastAsia="Arial" w:hAnsi="Times New Roman" w:cs="Times New Roman"/>
          <w:b/>
          <w:sz w:val="28"/>
          <w:szCs w:val="28"/>
          <w:lang w:eastAsia="en-ZA"/>
        </w:rPr>
        <w:tab/>
      </w:r>
      <w:r w:rsidR="0068640D" w:rsidRPr="001A2D4F">
        <w:rPr>
          <w:rFonts w:ascii="Times New Roman" w:eastAsia="Arial" w:hAnsi="Times New Roman" w:cs="Times New Roman"/>
          <w:sz w:val="28"/>
          <w:szCs w:val="28"/>
          <w:lang w:eastAsia="en-ZA"/>
        </w:rPr>
        <w:t>7</w:t>
      </w:r>
      <w:r w:rsidRPr="001A2D4F">
        <w:rPr>
          <w:rFonts w:ascii="Times New Roman" w:eastAsia="Arial" w:hAnsi="Times New Roman" w:cs="Times New Roman"/>
          <w:sz w:val="28"/>
          <w:szCs w:val="28"/>
          <w:lang w:eastAsia="en-ZA"/>
        </w:rPr>
        <w:t xml:space="preserve"> </w:t>
      </w:r>
      <w:r w:rsidR="0068640D" w:rsidRPr="001A2D4F">
        <w:rPr>
          <w:rFonts w:ascii="Times New Roman" w:eastAsia="Arial" w:hAnsi="Times New Roman" w:cs="Times New Roman"/>
          <w:sz w:val="28"/>
          <w:szCs w:val="28"/>
          <w:lang w:eastAsia="en-ZA"/>
        </w:rPr>
        <w:t>September 2023</w:t>
      </w:r>
    </w:p>
    <w:p w14:paraId="4C6A8A58" w14:textId="55243E97" w:rsidR="00952B1B" w:rsidRPr="001A2D4F" w:rsidRDefault="00005AA9" w:rsidP="00536F17">
      <w:pPr>
        <w:spacing w:after="0" w:line="360" w:lineRule="auto"/>
        <w:ind w:left="1440" w:right="72" w:hanging="1440"/>
        <w:jc w:val="both"/>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Delivered:</w:t>
      </w:r>
      <w:bookmarkStart w:id="1" w:name="_gjdgxs" w:colFirst="0" w:colLast="0"/>
      <w:bookmarkEnd w:id="1"/>
      <w:r w:rsidR="001B3BAB" w:rsidRPr="001A2D4F">
        <w:rPr>
          <w:rFonts w:ascii="Times New Roman" w:eastAsia="Arial" w:hAnsi="Times New Roman" w:cs="Times New Roman"/>
          <w:b/>
          <w:sz w:val="28"/>
          <w:szCs w:val="28"/>
          <w:lang w:eastAsia="en-ZA"/>
        </w:rPr>
        <w:tab/>
      </w:r>
      <w:r w:rsidR="001A2D4F">
        <w:rPr>
          <w:rFonts w:ascii="Times New Roman" w:eastAsia="Arial" w:hAnsi="Times New Roman" w:cs="Times New Roman"/>
          <w:bCs/>
          <w:sz w:val="28"/>
          <w:szCs w:val="28"/>
          <w:lang w:eastAsia="en-ZA"/>
        </w:rPr>
        <w:t>28</w:t>
      </w:r>
      <w:r w:rsidR="001B3BAB" w:rsidRPr="001A2D4F">
        <w:rPr>
          <w:rFonts w:ascii="Times New Roman" w:eastAsia="Arial" w:hAnsi="Times New Roman" w:cs="Times New Roman"/>
          <w:b/>
          <w:sz w:val="28"/>
          <w:szCs w:val="28"/>
          <w:lang w:eastAsia="en-ZA"/>
        </w:rPr>
        <w:t xml:space="preserve"> </w:t>
      </w:r>
      <w:r w:rsidR="001B3BAB" w:rsidRPr="001A2D4F">
        <w:rPr>
          <w:rFonts w:ascii="Times New Roman" w:eastAsia="Arial" w:hAnsi="Times New Roman" w:cs="Times New Roman"/>
          <w:bCs/>
          <w:sz w:val="28"/>
          <w:szCs w:val="28"/>
          <w:lang w:eastAsia="en-ZA"/>
        </w:rPr>
        <w:t>September 2023</w:t>
      </w:r>
    </w:p>
    <w:p w14:paraId="333E3449" w14:textId="2DD62B24" w:rsidR="00581186" w:rsidRPr="001A2D4F" w:rsidRDefault="00005AA9" w:rsidP="00B7392B">
      <w:pPr>
        <w:spacing w:after="0" w:line="360" w:lineRule="auto"/>
        <w:ind w:right="72"/>
        <w:jc w:val="both"/>
        <w:rPr>
          <w:rFonts w:ascii="Times New Roman" w:eastAsia="Arial" w:hAnsi="Times New Roman" w:cs="Times New Roman"/>
          <w:sz w:val="28"/>
          <w:szCs w:val="28"/>
          <w:lang w:eastAsia="en-ZA"/>
        </w:rPr>
      </w:pPr>
      <w:r w:rsidRPr="001A2D4F">
        <w:rPr>
          <w:rFonts w:ascii="Times New Roman" w:eastAsia="Arial" w:hAnsi="Times New Roman" w:cs="Times New Roman"/>
          <w:b/>
          <w:sz w:val="28"/>
          <w:szCs w:val="28"/>
          <w:lang w:eastAsia="en-ZA"/>
        </w:rPr>
        <w:t>Summary:</w:t>
      </w:r>
      <w:r w:rsidR="0017312C" w:rsidRPr="001A2D4F">
        <w:rPr>
          <w:rFonts w:ascii="Times New Roman" w:eastAsia="Arial" w:hAnsi="Times New Roman" w:cs="Times New Roman"/>
          <w:sz w:val="28"/>
          <w:szCs w:val="28"/>
          <w:lang w:eastAsia="en-ZA"/>
        </w:rPr>
        <w:tab/>
        <w:t xml:space="preserve">Contract – whether proved that contracting parties reached consensus on terms of agreement – narrow factual issue determined at trial </w:t>
      </w:r>
      <w:r w:rsidR="004C05BD" w:rsidRPr="001A2D4F">
        <w:rPr>
          <w:rFonts w:ascii="Times New Roman" w:eastAsia="Arial" w:hAnsi="Times New Roman" w:cs="Times New Roman"/>
          <w:sz w:val="28"/>
          <w:szCs w:val="28"/>
          <w:lang w:eastAsia="en-ZA"/>
        </w:rPr>
        <w:t>–</w:t>
      </w:r>
      <w:r w:rsidR="0017312C" w:rsidRPr="001A2D4F">
        <w:rPr>
          <w:rFonts w:ascii="Times New Roman" w:eastAsia="Arial" w:hAnsi="Times New Roman" w:cs="Times New Roman"/>
          <w:sz w:val="28"/>
          <w:szCs w:val="28"/>
          <w:lang w:eastAsia="en-ZA"/>
        </w:rPr>
        <w:t xml:space="preserve"> </w:t>
      </w:r>
      <w:r w:rsidR="004C05BD" w:rsidRPr="001A2D4F">
        <w:rPr>
          <w:rFonts w:ascii="Times New Roman" w:eastAsia="Arial" w:hAnsi="Times New Roman" w:cs="Times New Roman"/>
          <w:sz w:val="28"/>
          <w:szCs w:val="28"/>
          <w:lang w:eastAsia="en-ZA"/>
        </w:rPr>
        <w:t>appeal court confirming factual findings – order in terms of s 16(1)(</w:t>
      </w:r>
      <w:r w:rsidR="004C05BD" w:rsidRPr="001A2D4F">
        <w:rPr>
          <w:rFonts w:ascii="Times New Roman" w:eastAsia="Arial" w:hAnsi="Times New Roman" w:cs="Times New Roman"/>
          <w:i/>
          <w:iCs/>
          <w:sz w:val="28"/>
          <w:szCs w:val="28"/>
          <w:lang w:eastAsia="en-ZA"/>
        </w:rPr>
        <w:t>b</w:t>
      </w:r>
      <w:r w:rsidR="004C05BD" w:rsidRPr="001A2D4F">
        <w:rPr>
          <w:rFonts w:ascii="Times New Roman" w:eastAsia="Arial" w:hAnsi="Times New Roman" w:cs="Times New Roman"/>
          <w:sz w:val="28"/>
          <w:szCs w:val="28"/>
          <w:lang w:eastAsia="en-ZA"/>
        </w:rPr>
        <w:t xml:space="preserve">) of Superior Courts Act 10 of 2013 for special leave – </w:t>
      </w:r>
      <w:r w:rsidR="001B3BAB" w:rsidRPr="001A2D4F">
        <w:rPr>
          <w:rFonts w:ascii="Times New Roman" w:eastAsia="Arial" w:hAnsi="Times New Roman" w:cs="Times New Roman"/>
          <w:sz w:val="28"/>
          <w:szCs w:val="28"/>
          <w:lang w:eastAsia="en-ZA"/>
        </w:rPr>
        <w:t>Supreme Court</w:t>
      </w:r>
      <w:r w:rsidR="004C05BD" w:rsidRPr="001A2D4F">
        <w:rPr>
          <w:rFonts w:ascii="Times New Roman" w:eastAsia="Arial" w:hAnsi="Times New Roman" w:cs="Times New Roman"/>
          <w:sz w:val="28"/>
          <w:szCs w:val="28"/>
          <w:lang w:eastAsia="en-ZA"/>
        </w:rPr>
        <w:t xml:space="preserve"> of </w:t>
      </w:r>
      <w:r w:rsidR="001B3BAB" w:rsidRPr="001A2D4F">
        <w:rPr>
          <w:rFonts w:ascii="Times New Roman" w:eastAsia="Arial" w:hAnsi="Times New Roman" w:cs="Times New Roman"/>
          <w:sz w:val="28"/>
          <w:szCs w:val="28"/>
          <w:lang w:eastAsia="en-ZA"/>
        </w:rPr>
        <w:t>A</w:t>
      </w:r>
      <w:r w:rsidR="004C05BD" w:rsidRPr="001A2D4F">
        <w:rPr>
          <w:rFonts w:ascii="Times New Roman" w:eastAsia="Arial" w:hAnsi="Times New Roman" w:cs="Times New Roman"/>
          <w:sz w:val="28"/>
          <w:szCs w:val="28"/>
          <w:lang w:eastAsia="en-ZA"/>
        </w:rPr>
        <w:t>ppeal to satisfy itself that threshold</w:t>
      </w:r>
      <w:r w:rsidR="001B3BAB" w:rsidRPr="001A2D4F">
        <w:rPr>
          <w:rFonts w:ascii="Times New Roman" w:eastAsia="Arial" w:hAnsi="Times New Roman" w:cs="Times New Roman"/>
          <w:sz w:val="28"/>
          <w:szCs w:val="28"/>
          <w:lang w:eastAsia="en-ZA"/>
        </w:rPr>
        <w:t xml:space="preserve"> for special leave </w:t>
      </w:r>
      <w:r w:rsidR="004C05BD" w:rsidRPr="001A2D4F">
        <w:rPr>
          <w:rFonts w:ascii="Times New Roman" w:eastAsia="Arial" w:hAnsi="Times New Roman" w:cs="Times New Roman"/>
          <w:sz w:val="28"/>
          <w:szCs w:val="28"/>
          <w:lang w:eastAsia="en-ZA"/>
        </w:rPr>
        <w:t xml:space="preserve">met as jurisdictional requirement – appeal struck off </w:t>
      </w:r>
      <w:r w:rsidR="00E75D8A" w:rsidRPr="001A2D4F">
        <w:rPr>
          <w:rFonts w:ascii="Times New Roman" w:eastAsia="Arial" w:hAnsi="Times New Roman" w:cs="Times New Roman"/>
          <w:sz w:val="28"/>
          <w:szCs w:val="28"/>
          <w:lang w:eastAsia="en-ZA"/>
        </w:rPr>
        <w:t xml:space="preserve">the </w:t>
      </w:r>
      <w:r w:rsidR="004C05BD" w:rsidRPr="001A2D4F">
        <w:rPr>
          <w:rFonts w:ascii="Times New Roman" w:eastAsia="Arial" w:hAnsi="Times New Roman" w:cs="Times New Roman"/>
          <w:sz w:val="28"/>
          <w:szCs w:val="28"/>
          <w:lang w:eastAsia="en-ZA"/>
        </w:rPr>
        <w:t>roll.</w:t>
      </w:r>
      <w:r w:rsidR="00581186" w:rsidRPr="001A2D4F">
        <w:rPr>
          <w:rFonts w:ascii="Times New Roman" w:eastAsia="Arial" w:hAnsi="Times New Roman" w:cs="Times New Roman"/>
          <w:sz w:val="28"/>
          <w:szCs w:val="28"/>
          <w:lang w:eastAsia="en-ZA"/>
        </w:rPr>
        <w:br w:type="page"/>
      </w:r>
    </w:p>
    <w:p w14:paraId="7DC966F4" w14:textId="7FA86DBF" w:rsidR="00005AA9" w:rsidRPr="001A2D4F" w:rsidRDefault="00005AA9" w:rsidP="00005AA9">
      <w:pPr>
        <w:spacing w:after="0" w:line="360" w:lineRule="auto"/>
        <w:jc w:val="both"/>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lastRenderedPageBreak/>
        <w:t>___________________________________</w:t>
      </w:r>
      <w:r w:rsidR="00AC505C" w:rsidRPr="001A2D4F">
        <w:rPr>
          <w:rFonts w:ascii="Times New Roman" w:eastAsia="Arial" w:hAnsi="Times New Roman" w:cs="Times New Roman"/>
          <w:sz w:val="28"/>
          <w:szCs w:val="28"/>
          <w:lang w:eastAsia="en-ZA"/>
        </w:rPr>
        <w:t>_____________________________</w:t>
      </w:r>
    </w:p>
    <w:p w14:paraId="6217F794" w14:textId="473239BD" w:rsidR="00005AA9" w:rsidRPr="001A2D4F" w:rsidRDefault="00005AA9" w:rsidP="00005AA9">
      <w:pPr>
        <w:spacing w:after="0" w:line="360" w:lineRule="auto"/>
        <w:jc w:val="center"/>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ORDER</w:t>
      </w:r>
    </w:p>
    <w:p w14:paraId="4C81E48C" w14:textId="37B5F60E" w:rsidR="00005AA9" w:rsidRPr="001A2D4F" w:rsidRDefault="00005AA9" w:rsidP="00005AA9">
      <w:pPr>
        <w:spacing w:after="0" w:line="360" w:lineRule="auto"/>
        <w:jc w:val="both"/>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t>___________________________________</w:t>
      </w:r>
      <w:r w:rsidR="00AC505C" w:rsidRPr="001A2D4F">
        <w:rPr>
          <w:rFonts w:ascii="Times New Roman" w:eastAsia="Arial" w:hAnsi="Times New Roman" w:cs="Times New Roman"/>
          <w:sz w:val="28"/>
          <w:szCs w:val="28"/>
          <w:lang w:eastAsia="en-ZA"/>
        </w:rPr>
        <w:t>_____________________________</w:t>
      </w:r>
    </w:p>
    <w:p w14:paraId="0FA1280C" w14:textId="152F738C" w:rsidR="00005AA9" w:rsidRPr="001A2D4F" w:rsidRDefault="00005AA9" w:rsidP="00EB3F85">
      <w:pPr>
        <w:spacing w:after="0" w:line="360" w:lineRule="auto"/>
        <w:ind w:right="72"/>
        <w:jc w:val="both"/>
        <w:rPr>
          <w:rFonts w:ascii="Times New Roman" w:eastAsia="Arial" w:hAnsi="Times New Roman" w:cs="Times New Roman"/>
          <w:sz w:val="28"/>
          <w:szCs w:val="28"/>
          <w:lang w:eastAsia="en-ZA"/>
        </w:rPr>
      </w:pPr>
      <w:r w:rsidRPr="001A2D4F">
        <w:rPr>
          <w:rFonts w:ascii="Times New Roman" w:eastAsia="Arial" w:hAnsi="Times New Roman" w:cs="Times New Roman"/>
          <w:b/>
          <w:sz w:val="28"/>
          <w:szCs w:val="28"/>
          <w:lang w:eastAsia="en-ZA"/>
        </w:rPr>
        <w:t>On appeal from:</w:t>
      </w:r>
      <w:r w:rsidR="00A23A58" w:rsidRPr="001A2D4F">
        <w:rPr>
          <w:rFonts w:ascii="Times New Roman" w:eastAsia="Arial" w:hAnsi="Times New Roman" w:cs="Times New Roman"/>
          <w:b/>
          <w:sz w:val="28"/>
          <w:szCs w:val="28"/>
          <w:lang w:eastAsia="en-ZA"/>
        </w:rPr>
        <w:t xml:space="preserve"> </w:t>
      </w:r>
      <w:r w:rsidR="00E66623" w:rsidRPr="001A2D4F">
        <w:rPr>
          <w:rFonts w:ascii="Times New Roman" w:eastAsia="Arial" w:hAnsi="Times New Roman" w:cs="Times New Roman"/>
          <w:sz w:val="28"/>
          <w:szCs w:val="28"/>
          <w:lang w:eastAsia="en-ZA"/>
        </w:rPr>
        <w:t>KwaZulu-Natal</w:t>
      </w:r>
      <w:r w:rsidRPr="001A2D4F">
        <w:rPr>
          <w:rFonts w:ascii="Times New Roman" w:eastAsia="Arial" w:hAnsi="Times New Roman" w:cs="Times New Roman"/>
          <w:sz w:val="28"/>
          <w:szCs w:val="28"/>
          <w:lang w:eastAsia="en-ZA"/>
        </w:rPr>
        <w:t xml:space="preserve"> Division</w:t>
      </w:r>
      <w:r w:rsidR="00DD1C44" w:rsidRPr="001A2D4F">
        <w:rPr>
          <w:rFonts w:ascii="Times New Roman" w:eastAsia="Arial" w:hAnsi="Times New Roman" w:cs="Times New Roman"/>
          <w:sz w:val="28"/>
          <w:szCs w:val="28"/>
          <w:lang w:eastAsia="en-ZA"/>
        </w:rPr>
        <w:t xml:space="preserve"> of the High Court</w:t>
      </w:r>
      <w:r w:rsidRPr="001A2D4F">
        <w:rPr>
          <w:rFonts w:ascii="Times New Roman" w:eastAsia="Arial" w:hAnsi="Times New Roman" w:cs="Times New Roman"/>
          <w:sz w:val="28"/>
          <w:szCs w:val="28"/>
          <w:lang w:eastAsia="en-ZA"/>
        </w:rPr>
        <w:t xml:space="preserve">, </w:t>
      </w:r>
      <w:r w:rsidR="005032A6" w:rsidRPr="001A2D4F">
        <w:rPr>
          <w:rFonts w:ascii="Times New Roman" w:eastAsia="Arial" w:hAnsi="Times New Roman" w:cs="Times New Roman"/>
          <w:sz w:val="28"/>
          <w:szCs w:val="28"/>
          <w:lang w:eastAsia="en-ZA"/>
        </w:rPr>
        <w:t>P</w:t>
      </w:r>
      <w:r w:rsidR="00E66623" w:rsidRPr="001A2D4F">
        <w:rPr>
          <w:rFonts w:ascii="Times New Roman" w:eastAsia="Arial" w:hAnsi="Times New Roman" w:cs="Times New Roman"/>
          <w:sz w:val="28"/>
          <w:szCs w:val="28"/>
          <w:lang w:eastAsia="en-ZA"/>
        </w:rPr>
        <w:t>ietermaritzburg</w:t>
      </w:r>
      <w:r w:rsidR="005032A6" w:rsidRPr="001A2D4F">
        <w:rPr>
          <w:rFonts w:ascii="Times New Roman" w:eastAsia="Arial" w:hAnsi="Times New Roman" w:cs="Times New Roman"/>
          <w:sz w:val="28"/>
          <w:szCs w:val="28"/>
          <w:lang w:eastAsia="en-ZA"/>
        </w:rPr>
        <w:t xml:space="preserve"> </w:t>
      </w:r>
      <w:r w:rsidRPr="001A2D4F">
        <w:rPr>
          <w:rFonts w:ascii="Times New Roman" w:eastAsia="Arial" w:hAnsi="Times New Roman" w:cs="Times New Roman"/>
          <w:sz w:val="28"/>
          <w:szCs w:val="28"/>
          <w:lang w:eastAsia="en-ZA"/>
        </w:rPr>
        <w:t>(</w:t>
      </w:r>
      <w:r w:rsidR="00E66623" w:rsidRPr="001A2D4F">
        <w:rPr>
          <w:rFonts w:ascii="Times New Roman" w:eastAsia="Arial" w:hAnsi="Times New Roman" w:cs="Times New Roman"/>
          <w:sz w:val="28"/>
          <w:szCs w:val="28"/>
          <w:lang w:eastAsia="en-ZA"/>
        </w:rPr>
        <w:t xml:space="preserve">Koen, Poyo-Dlwati and Bezuidenhout </w:t>
      </w:r>
      <w:r w:rsidR="00034386" w:rsidRPr="001A2D4F">
        <w:rPr>
          <w:rFonts w:ascii="Times New Roman" w:eastAsia="Arial" w:hAnsi="Times New Roman" w:cs="Times New Roman"/>
          <w:sz w:val="28"/>
          <w:szCs w:val="28"/>
          <w:lang w:eastAsia="en-ZA"/>
        </w:rPr>
        <w:t>J</w:t>
      </w:r>
      <w:r w:rsidR="00E66623" w:rsidRPr="001A2D4F">
        <w:rPr>
          <w:rFonts w:ascii="Times New Roman" w:eastAsia="Arial" w:hAnsi="Times New Roman" w:cs="Times New Roman"/>
          <w:sz w:val="28"/>
          <w:szCs w:val="28"/>
          <w:lang w:eastAsia="en-ZA"/>
        </w:rPr>
        <w:t>J</w:t>
      </w:r>
      <w:r w:rsidR="00B53A14" w:rsidRPr="001A2D4F">
        <w:rPr>
          <w:rFonts w:ascii="Times New Roman" w:eastAsia="Arial" w:hAnsi="Times New Roman" w:cs="Times New Roman"/>
          <w:sz w:val="28"/>
          <w:szCs w:val="28"/>
          <w:lang w:eastAsia="en-ZA"/>
        </w:rPr>
        <w:t>,</w:t>
      </w:r>
      <w:r w:rsidRPr="001A2D4F">
        <w:rPr>
          <w:rFonts w:ascii="Times New Roman" w:eastAsia="Arial" w:hAnsi="Times New Roman" w:cs="Times New Roman"/>
          <w:sz w:val="28"/>
          <w:szCs w:val="28"/>
          <w:lang w:eastAsia="en-ZA"/>
        </w:rPr>
        <w:t xml:space="preserve"> sitting</w:t>
      </w:r>
      <w:r w:rsidRPr="001A2D4F">
        <w:rPr>
          <w:rFonts w:ascii="Times New Roman" w:eastAsia="Calibri" w:hAnsi="Times New Roman" w:cs="Times New Roman"/>
          <w:sz w:val="28"/>
          <w:szCs w:val="28"/>
          <w:lang w:eastAsia="en-ZA"/>
        </w:rPr>
        <w:t xml:space="preserve"> </w:t>
      </w:r>
      <w:r w:rsidRPr="001A2D4F">
        <w:rPr>
          <w:rFonts w:ascii="Times New Roman" w:eastAsia="Arial" w:hAnsi="Times New Roman" w:cs="Times New Roman"/>
          <w:sz w:val="28"/>
          <w:szCs w:val="28"/>
          <w:lang w:eastAsia="en-ZA"/>
        </w:rPr>
        <w:t xml:space="preserve">as court of </w:t>
      </w:r>
      <w:r w:rsidR="00E66623" w:rsidRPr="001A2D4F">
        <w:rPr>
          <w:rFonts w:ascii="Times New Roman" w:eastAsia="Arial" w:hAnsi="Times New Roman" w:cs="Times New Roman"/>
          <w:sz w:val="28"/>
          <w:szCs w:val="28"/>
          <w:lang w:eastAsia="en-ZA"/>
        </w:rPr>
        <w:t>appeal</w:t>
      </w:r>
      <w:r w:rsidRPr="001A2D4F">
        <w:rPr>
          <w:rFonts w:ascii="Times New Roman" w:eastAsia="Arial" w:hAnsi="Times New Roman" w:cs="Times New Roman"/>
          <w:sz w:val="28"/>
          <w:szCs w:val="28"/>
          <w:lang w:eastAsia="en-ZA"/>
        </w:rPr>
        <w:t>):</w:t>
      </w:r>
    </w:p>
    <w:p w14:paraId="456B7533" w14:textId="709F4FE4" w:rsidR="00197D22" w:rsidRPr="001A2D4F" w:rsidRDefault="00E66623" w:rsidP="00B7392B">
      <w:pPr>
        <w:spacing w:after="0" w:line="360" w:lineRule="auto"/>
        <w:jc w:val="both"/>
        <w:rPr>
          <w:rFonts w:ascii="Times New Roman" w:hAnsi="Times New Roman" w:cs="Times New Roman"/>
          <w:sz w:val="28"/>
          <w:szCs w:val="28"/>
        </w:rPr>
      </w:pPr>
      <w:bookmarkStart w:id="2" w:name="_Hlk134726452"/>
      <w:r w:rsidRPr="001A2D4F">
        <w:rPr>
          <w:rFonts w:ascii="Times New Roman" w:hAnsi="Times New Roman" w:cs="Times New Roman"/>
          <w:sz w:val="28"/>
          <w:szCs w:val="28"/>
          <w:lang w:val="en-GB"/>
        </w:rPr>
        <w:t>The appeal is struck off the roll with costs, including the costs of two counsel.</w:t>
      </w:r>
    </w:p>
    <w:bookmarkEnd w:id="2"/>
    <w:p w14:paraId="111E9266" w14:textId="4028FFFB" w:rsidR="00005AA9" w:rsidRPr="001A2D4F" w:rsidRDefault="00005AA9" w:rsidP="00005AA9">
      <w:pPr>
        <w:spacing w:after="0" w:line="360" w:lineRule="auto"/>
        <w:ind w:right="72"/>
        <w:jc w:val="both"/>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t>___________________________________</w:t>
      </w:r>
      <w:r w:rsidR="00AC505C" w:rsidRPr="001A2D4F">
        <w:rPr>
          <w:rFonts w:ascii="Times New Roman" w:eastAsia="Arial" w:hAnsi="Times New Roman" w:cs="Times New Roman"/>
          <w:sz w:val="28"/>
          <w:szCs w:val="28"/>
          <w:lang w:eastAsia="en-ZA"/>
        </w:rPr>
        <w:t>____________________________</w:t>
      </w:r>
    </w:p>
    <w:p w14:paraId="0EC02716" w14:textId="77777777" w:rsidR="00005AA9" w:rsidRPr="001A2D4F" w:rsidRDefault="00005AA9" w:rsidP="00005AA9">
      <w:pPr>
        <w:spacing w:after="0" w:line="360" w:lineRule="auto"/>
        <w:ind w:right="72"/>
        <w:jc w:val="center"/>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JUDGMENT</w:t>
      </w:r>
    </w:p>
    <w:p w14:paraId="7CA839AD" w14:textId="63475CFA" w:rsidR="00005AA9" w:rsidRPr="001A2D4F" w:rsidRDefault="00005AA9" w:rsidP="00005AA9">
      <w:pPr>
        <w:spacing w:after="0" w:line="360" w:lineRule="auto"/>
        <w:ind w:right="72"/>
        <w:jc w:val="both"/>
        <w:rPr>
          <w:rFonts w:ascii="Times New Roman" w:eastAsia="Arial" w:hAnsi="Times New Roman" w:cs="Times New Roman"/>
          <w:sz w:val="28"/>
          <w:szCs w:val="28"/>
          <w:lang w:eastAsia="en-ZA"/>
        </w:rPr>
      </w:pPr>
      <w:r w:rsidRPr="001A2D4F">
        <w:rPr>
          <w:rFonts w:ascii="Times New Roman" w:eastAsia="Arial" w:hAnsi="Times New Roman" w:cs="Times New Roman"/>
          <w:sz w:val="28"/>
          <w:szCs w:val="28"/>
          <w:lang w:eastAsia="en-ZA"/>
        </w:rPr>
        <w:t>___________________________________</w:t>
      </w:r>
      <w:r w:rsidR="00AC505C" w:rsidRPr="001A2D4F">
        <w:rPr>
          <w:rFonts w:ascii="Times New Roman" w:eastAsia="Arial" w:hAnsi="Times New Roman" w:cs="Times New Roman"/>
          <w:sz w:val="28"/>
          <w:szCs w:val="28"/>
          <w:lang w:eastAsia="en-ZA"/>
        </w:rPr>
        <w:t>____________________________</w:t>
      </w:r>
    </w:p>
    <w:p w14:paraId="2D8815FC" w14:textId="6451CF20" w:rsidR="00065C06" w:rsidRPr="001A2D4F" w:rsidRDefault="00E66623" w:rsidP="00B7392B">
      <w:pPr>
        <w:spacing w:before="120" w:after="0" w:line="360" w:lineRule="auto"/>
        <w:ind w:right="74"/>
        <w:jc w:val="both"/>
        <w:rPr>
          <w:rFonts w:ascii="Times New Roman" w:eastAsia="Arial" w:hAnsi="Times New Roman" w:cs="Times New Roman"/>
          <w:b/>
          <w:sz w:val="28"/>
          <w:szCs w:val="28"/>
          <w:lang w:eastAsia="en-ZA"/>
        </w:rPr>
      </w:pPr>
      <w:r w:rsidRPr="001A2D4F">
        <w:rPr>
          <w:rFonts w:ascii="Times New Roman" w:eastAsia="Arial" w:hAnsi="Times New Roman" w:cs="Times New Roman"/>
          <w:b/>
          <w:sz w:val="28"/>
          <w:szCs w:val="28"/>
          <w:lang w:eastAsia="en-ZA"/>
        </w:rPr>
        <w:t xml:space="preserve">Goosen </w:t>
      </w:r>
      <w:r w:rsidR="00D26D51" w:rsidRPr="001A2D4F">
        <w:rPr>
          <w:rFonts w:ascii="Times New Roman" w:eastAsia="Arial" w:hAnsi="Times New Roman" w:cs="Times New Roman"/>
          <w:b/>
          <w:sz w:val="28"/>
          <w:szCs w:val="28"/>
          <w:lang w:eastAsia="en-ZA"/>
        </w:rPr>
        <w:t>JA</w:t>
      </w:r>
      <w:r w:rsidR="00005AA9" w:rsidRPr="001A2D4F">
        <w:rPr>
          <w:rFonts w:ascii="Times New Roman" w:eastAsia="Arial" w:hAnsi="Times New Roman" w:cs="Times New Roman"/>
          <w:b/>
          <w:sz w:val="28"/>
          <w:szCs w:val="28"/>
          <w:lang w:eastAsia="en-ZA"/>
        </w:rPr>
        <w:t xml:space="preserve"> (</w:t>
      </w:r>
      <w:r w:rsidR="001A2D4F">
        <w:rPr>
          <w:rFonts w:ascii="Times New Roman" w:eastAsia="Arial" w:hAnsi="Times New Roman" w:cs="Times New Roman"/>
          <w:b/>
          <w:sz w:val="28"/>
          <w:szCs w:val="28"/>
          <w:lang w:eastAsia="en-ZA"/>
        </w:rPr>
        <w:t>Ponnan and Mabindla-Boqwana JJA and Windell and Keightley AJJA concurring</w:t>
      </w:r>
      <w:r w:rsidR="00065C06" w:rsidRPr="001A2D4F">
        <w:rPr>
          <w:rFonts w:ascii="Times New Roman" w:eastAsia="Arial" w:hAnsi="Times New Roman" w:cs="Times New Roman"/>
          <w:b/>
          <w:sz w:val="28"/>
          <w:szCs w:val="28"/>
          <w:lang w:eastAsia="en-ZA"/>
        </w:rPr>
        <w:t>)</w:t>
      </w:r>
    </w:p>
    <w:p w14:paraId="6626FE27" w14:textId="135B78B4"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[1]</w:t>
      </w:r>
      <w:r w:rsidRPr="001A2D4F">
        <w:rPr>
          <w:rFonts w:ascii="Times New Roman" w:hAnsi="Times New Roman" w:cs="Times New Roman"/>
          <w:sz w:val="28"/>
          <w:szCs w:val="28"/>
          <w:lang w:val="en-GB"/>
        </w:rPr>
        <w:tab/>
        <w:t>Th</w:t>
      </w:r>
      <w:r w:rsidR="004A7257" w:rsidRPr="001A2D4F">
        <w:rPr>
          <w:rFonts w:ascii="Times New Roman" w:hAnsi="Times New Roman" w:cs="Times New Roman"/>
          <w:sz w:val="28"/>
          <w:szCs w:val="28"/>
          <w:lang w:val="en-GB"/>
        </w:rPr>
        <w:t>is</w:t>
      </w:r>
      <w:r w:rsidRPr="001A2D4F">
        <w:rPr>
          <w:rFonts w:ascii="Times New Roman" w:hAnsi="Times New Roman" w:cs="Times New Roman"/>
          <w:sz w:val="28"/>
          <w:szCs w:val="28"/>
          <w:lang w:val="en-GB"/>
        </w:rPr>
        <w:t xml:space="preserve"> case, not without irony, concerns </w:t>
      </w:r>
      <w:r w:rsidR="0003651C">
        <w:rPr>
          <w:rFonts w:ascii="Times New Roman" w:hAnsi="Times New Roman" w:cs="Times New Roman"/>
          <w:sz w:val="28"/>
          <w:szCs w:val="28"/>
          <w:lang w:val="en-GB"/>
        </w:rPr>
        <w:t>an agreement to provide</w:t>
      </w:r>
      <w:r w:rsidR="001A2D4F">
        <w:rPr>
          <w:rFonts w:ascii="Times New Roman" w:hAnsi="Times New Roman" w:cs="Times New Roman"/>
          <w:sz w:val="28"/>
          <w:szCs w:val="28"/>
          <w:lang w:val="en-GB"/>
        </w:rPr>
        <w:t xml:space="preserve"> </w:t>
      </w:r>
      <w:r w:rsidR="00A153B7" w:rsidRPr="001A2D4F">
        <w:rPr>
          <w:rFonts w:ascii="Times New Roman" w:hAnsi="Times New Roman" w:cs="Times New Roman"/>
          <w:sz w:val="28"/>
          <w:szCs w:val="28"/>
          <w:lang w:val="en-GB"/>
        </w:rPr>
        <w:t>litigation</w:t>
      </w:r>
      <w:r w:rsidR="004A7257" w:rsidRPr="001A2D4F">
        <w:rPr>
          <w:rFonts w:ascii="Times New Roman" w:hAnsi="Times New Roman" w:cs="Times New Roman"/>
          <w:sz w:val="28"/>
          <w:szCs w:val="28"/>
          <w:lang w:val="en-GB"/>
        </w:rPr>
        <w:t xml:space="preserve"> support</w:t>
      </w:r>
      <w:r w:rsidRPr="001A2D4F">
        <w:rPr>
          <w:rFonts w:ascii="Times New Roman" w:hAnsi="Times New Roman" w:cs="Times New Roman"/>
          <w:sz w:val="28"/>
          <w:szCs w:val="28"/>
          <w:lang w:val="en-GB"/>
        </w:rPr>
        <w:t xml:space="preserve"> services in relation to irregularities</w:t>
      </w:r>
      <w:r w:rsidR="004A7257" w:rsidRPr="001A2D4F">
        <w:rPr>
          <w:rFonts w:ascii="Times New Roman" w:hAnsi="Times New Roman" w:cs="Times New Roman"/>
          <w:sz w:val="28"/>
          <w:szCs w:val="28"/>
          <w:lang w:val="en-GB"/>
        </w:rPr>
        <w:t xml:space="preserve"> in a public institution</w:t>
      </w:r>
      <w:r w:rsidR="00400B91" w:rsidRPr="001A2D4F">
        <w:rPr>
          <w:rFonts w:ascii="Times New Roman" w:hAnsi="Times New Roman" w:cs="Times New Roman"/>
          <w:sz w:val="28"/>
          <w:szCs w:val="28"/>
          <w:lang w:val="en-GB"/>
        </w:rPr>
        <w:t xml:space="preserve">, in circumstances where </w:t>
      </w:r>
      <w:r w:rsidR="002A0162">
        <w:rPr>
          <w:rFonts w:ascii="Times New Roman" w:hAnsi="Times New Roman" w:cs="Times New Roman"/>
          <w:sz w:val="28"/>
          <w:szCs w:val="28"/>
          <w:lang w:val="en-GB"/>
        </w:rPr>
        <w:t xml:space="preserve">the </w:t>
      </w:r>
      <w:r w:rsidR="00400B91" w:rsidRPr="001A2D4F">
        <w:rPr>
          <w:rFonts w:ascii="Times New Roman" w:hAnsi="Times New Roman" w:cs="Times New Roman"/>
          <w:sz w:val="28"/>
          <w:szCs w:val="28"/>
          <w:lang w:val="en-GB"/>
        </w:rPr>
        <w:t>procurement</w:t>
      </w:r>
      <w:r w:rsidR="0003651C">
        <w:rPr>
          <w:rFonts w:ascii="Times New Roman" w:hAnsi="Times New Roman" w:cs="Times New Roman"/>
          <w:sz w:val="28"/>
          <w:szCs w:val="28"/>
          <w:lang w:val="en-GB"/>
        </w:rPr>
        <w:t xml:space="preserve"> of those services</w:t>
      </w:r>
      <w:r w:rsidR="00400B91" w:rsidRPr="001A2D4F">
        <w:rPr>
          <w:rFonts w:ascii="Times New Roman" w:hAnsi="Times New Roman" w:cs="Times New Roman"/>
          <w:sz w:val="28"/>
          <w:szCs w:val="28"/>
          <w:lang w:val="en-GB"/>
        </w:rPr>
        <w:t xml:space="preserve"> </w:t>
      </w:r>
      <w:r w:rsidR="00D12F99" w:rsidRPr="001A2D4F">
        <w:rPr>
          <w:rFonts w:ascii="Times New Roman" w:hAnsi="Times New Roman" w:cs="Times New Roman"/>
          <w:sz w:val="28"/>
          <w:szCs w:val="28"/>
          <w:lang w:val="en-GB"/>
        </w:rPr>
        <w:t>did not follow prescribed procedures.</w:t>
      </w:r>
      <w:r w:rsidR="004A7257" w:rsidRPr="001A2D4F">
        <w:rPr>
          <w:rFonts w:ascii="Times New Roman" w:hAnsi="Times New Roman" w:cs="Times New Roman"/>
          <w:sz w:val="28"/>
          <w:szCs w:val="28"/>
          <w:lang w:val="en-GB"/>
        </w:rPr>
        <w:t xml:space="preserve"> The  </w:t>
      </w:r>
      <w:r w:rsidR="001C612B" w:rsidRPr="001A2D4F">
        <w:rPr>
          <w:rFonts w:ascii="Times New Roman" w:hAnsi="Times New Roman" w:cs="Times New Roman"/>
          <w:sz w:val="28"/>
          <w:szCs w:val="28"/>
          <w:lang w:val="en-GB"/>
        </w:rPr>
        <w:t xml:space="preserve">primary </w:t>
      </w:r>
      <w:r w:rsidR="004A7257" w:rsidRPr="001A2D4F">
        <w:rPr>
          <w:rFonts w:ascii="Times New Roman" w:hAnsi="Times New Roman" w:cs="Times New Roman"/>
          <w:sz w:val="28"/>
          <w:szCs w:val="28"/>
          <w:lang w:val="en-GB"/>
        </w:rPr>
        <w:t>question</w:t>
      </w:r>
      <w:r w:rsidR="00400B91" w:rsidRPr="001A2D4F">
        <w:rPr>
          <w:rFonts w:ascii="Times New Roman" w:hAnsi="Times New Roman" w:cs="Times New Roman"/>
          <w:sz w:val="28"/>
          <w:szCs w:val="28"/>
          <w:lang w:val="en-GB"/>
        </w:rPr>
        <w:t>, however,</w:t>
      </w:r>
      <w:r w:rsidR="004A7257" w:rsidRPr="001A2D4F">
        <w:rPr>
          <w:rFonts w:ascii="Times New Roman" w:hAnsi="Times New Roman" w:cs="Times New Roman"/>
          <w:sz w:val="28"/>
          <w:szCs w:val="28"/>
          <w:lang w:val="en-GB"/>
        </w:rPr>
        <w:t xml:space="preserve"> </w:t>
      </w:r>
      <w:r w:rsidR="00400B91" w:rsidRPr="001A2D4F">
        <w:rPr>
          <w:rFonts w:ascii="Times New Roman" w:hAnsi="Times New Roman" w:cs="Times New Roman"/>
          <w:sz w:val="28"/>
          <w:szCs w:val="28"/>
          <w:lang w:val="en-GB"/>
        </w:rPr>
        <w:t>was</w:t>
      </w:r>
      <w:r w:rsidR="004A7257" w:rsidRPr="001A2D4F">
        <w:rPr>
          <w:rFonts w:ascii="Times New Roman" w:hAnsi="Times New Roman" w:cs="Times New Roman"/>
          <w:sz w:val="28"/>
          <w:szCs w:val="28"/>
          <w:lang w:val="en-GB"/>
        </w:rPr>
        <w:t xml:space="preserve"> whether a</w:t>
      </w:r>
      <w:r w:rsidR="00400B91" w:rsidRPr="001A2D4F">
        <w:rPr>
          <w:rFonts w:ascii="Times New Roman" w:hAnsi="Times New Roman" w:cs="Times New Roman"/>
          <w:sz w:val="28"/>
          <w:szCs w:val="28"/>
          <w:lang w:val="en-GB"/>
        </w:rPr>
        <w:t xml:space="preserve"> valid and binding </w:t>
      </w:r>
      <w:r w:rsidR="004A7257" w:rsidRPr="001A2D4F">
        <w:rPr>
          <w:rFonts w:ascii="Times New Roman" w:hAnsi="Times New Roman" w:cs="Times New Roman"/>
          <w:sz w:val="28"/>
          <w:szCs w:val="28"/>
          <w:lang w:val="en-GB"/>
        </w:rPr>
        <w:t>agreement was concluded</w:t>
      </w:r>
      <w:r w:rsidR="00400B91" w:rsidRPr="001A2D4F">
        <w:rPr>
          <w:rFonts w:ascii="Times New Roman" w:hAnsi="Times New Roman" w:cs="Times New Roman"/>
          <w:sz w:val="28"/>
          <w:szCs w:val="28"/>
          <w:lang w:val="en-GB"/>
        </w:rPr>
        <w:t>.</w:t>
      </w:r>
      <w:r w:rsidR="004A7257" w:rsidRPr="001A2D4F">
        <w:rPr>
          <w:rFonts w:ascii="Times New Roman" w:hAnsi="Times New Roman" w:cs="Times New Roman"/>
          <w:sz w:val="28"/>
          <w:szCs w:val="28"/>
          <w:lang w:val="en-GB"/>
        </w:rPr>
        <w:t xml:space="preserve"> </w:t>
      </w:r>
    </w:p>
    <w:p w14:paraId="0392D074"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6803C5A0" w14:textId="243106C3" w:rsidR="004A7257"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[2]</w:t>
      </w:r>
      <w:r w:rsidRPr="001A2D4F">
        <w:rPr>
          <w:rFonts w:ascii="Times New Roman" w:hAnsi="Times New Roman" w:cs="Times New Roman"/>
          <w:sz w:val="28"/>
          <w:szCs w:val="28"/>
          <w:lang w:val="en-GB"/>
        </w:rPr>
        <w:tab/>
        <w:t xml:space="preserve">Integrity Financial Services CC (IFS) was contracted by Amajuba District Municipality (Amajuba) to investigate Amajuba’s procurement processes (the </w:t>
      </w:r>
      <w:r w:rsidR="008563EA" w:rsidRPr="001A2D4F">
        <w:rPr>
          <w:rFonts w:ascii="Times New Roman" w:hAnsi="Times New Roman" w:cs="Times New Roman"/>
          <w:sz w:val="28"/>
          <w:szCs w:val="28"/>
          <w:lang w:val="en-GB"/>
        </w:rPr>
        <w:t>forensic</w:t>
      </w:r>
      <w:r w:rsidRPr="001A2D4F">
        <w:rPr>
          <w:rFonts w:ascii="Times New Roman" w:hAnsi="Times New Roman" w:cs="Times New Roman"/>
          <w:sz w:val="28"/>
          <w:szCs w:val="28"/>
          <w:lang w:val="en-GB"/>
        </w:rPr>
        <w:t xml:space="preserve"> investigation). The agreement, about which there was no dispute, originated as follows: During 2013, Amajuba requested its auditors</w:t>
      </w:r>
      <w:r w:rsidR="00EE0F86"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Thabani Zulu Incorporated (Thabani</w:t>
      </w:r>
      <w:r w:rsidR="008563EA" w:rsidRPr="001A2D4F">
        <w:rPr>
          <w:rFonts w:ascii="Times New Roman" w:hAnsi="Times New Roman" w:cs="Times New Roman"/>
          <w:sz w:val="28"/>
          <w:szCs w:val="28"/>
          <w:lang w:val="en-GB"/>
        </w:rPr>
        <w:t xml:space="preserve"> Zulu</w:t>
      </w:r>
      <w:r w:rsidRPr="001A2D4F">
        <w:rPr>
          <w:rFonts w:ascii="Times New Roman" w:hAnsi="Times New Roman" w:cs="Times New Roman"/>
          <w:sz w:val="28"/>
          <w:szCs w:val="28"/>
          <w:lang w:val="en-GB"/>
        </w:rPr>
        <w:t>)</w:t>
      </w:r>
      <w:r w:rsidR="00EE0F86"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to conduct an audit of its procurement </w:t>
      </w:r>
      <w:r w:rsidR="001A2D4F" w:rsidRPr="001A2D4F">
        <w:rPr>
          <w:rFonts w:ascii="Times New Roman" w:hAnsi="Times New Roman" w:cs="Times New Roman"/>
          <w:sz w:val="28"/>
          <w:szCs w:val="28"/>
          <w:lang w:val="en-GB"/>
        </w:rPr>
        <w:t>processes.</w:t>
      </w:r>
      <w:r w:rsidRPr="001A2D4F">
        <w:rPr>
          <w:rFonts w:ascii="Times New Roman" w:hAnsi="Times New Roman" w:cs="Times New Roman"/>
          <w:sz w:val="28"/>
          <w:szCs w:val="28"/>
          <w:lang w:val="en-GB"/>
        </w:rPr>
        <w:t xml:space="preserve"> Thabani Zulu subcontracted this work to IFS. In 2014, Thabani Zulu produced a preliminary audit report</w:t>
      </w:r>
      <w:r w:rsidR="005D0625"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which identified a number of serious irregularities relating to supply chain procurement processes and unauthorised expenditure. Its findings implicated a number of persons</w:t>
      </w:r>
      <w:r w:rsidR="004A7257"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including officials in the employ of Amajuba. The findings were</w:t>
      </w:r>
      <w:r w:rsidR="004A7257" w:rsidRPr="001A2D4F">
        <w:rPr>
          <w:rFonts w:ascii="Times New Roman" w:hAnsi="Times New Roman" w:cs="Times New Roman"/>
          <w:sz w:val="28"/>
          <w:szCs w:val="28"/>
          <w:lang w:val="en-GB"/>
        </w:rPr>
        <w:t xml:space="preserve">, however, </w:t>
      </w:r>
      <w:r w:rsidRPr="001A2D4F">
        <w:rPr>
          <w:rFonts w:ascii="Times New Roman" w:hAnsi="Times New Roman" w:cs="Times New Roman"/>
          <w:sz w:val="28"/>
          <w:szCs w:val="28"/>
          <w:lang w:val="en-GB"/>
        </w:rPr>
        <w:t xml:space="preserve">preliminary. In order to </w:t>
      </w:r>
      <w:r w:rsidR="008563EA" w:rsidRPr="001A2D4F">
        <w:rPr>
          <w:rFonts w:ascii="Times New Roman" w:hAnsi="Times New Roman" w:cs="Times New Roman"/>
          <w:sz w:val="28"/>
          <w:szCs w:val="28"/>
          <w:lang w:val="en-GB"/>
        </w:rPr>
        <w:t>facilitate</w:t>
      </w:r>
      <w:r w:rsidRPr="001A2D4F">
        <w:rPr>
          <w:rFonts w:ascii="Times New Roman" w:hAnsi="Times New Roman" w:cs="Times New Roman"/>
          <w:sz w:val="28"/>
          <w:szCs w:val="28"/>
          <w:lang w:val="en-GB"/>
        </w:rPr>
        <w:t xml:space="preserve"> the </w:t>
      </w:r>
      <w:r w:rsidRPr="001A2D4F">
        <w:rPr>
          <w:rFonts w:ascii="Times New Roman" w:hAnsi="Times New Roman" w:cs="Times New Roman"/>
          <w:sz w:val="28"/>
          <w:szCs w:val="28"/>
          <w:lang w:val="en-GB"/>
        </w:rPr>
        <w:lastRenderedPageBreak/>
        <w:t>recovery of misappropriated funds and disciplinary or criminal prosecution, further investigation was required.</w:t>
      </w:r>
    </w:p>
    <w:p w14:paraId="18BA943B" w14:textId="77777777" w:rsidR="004A7257" w:rsidRPr="001A2D4F" w:rsidRDefault="004A7257" w:rsidP="00A23A58">
      <w:pPr>
        <w:spacing w:after="0" w:line="360" w:lineRule="auto"/>
        <w:jc w:val="both"/>
        <w:rPr>
          <w:rFonts w:ascii="Times New Roman" w:hAnsi="Times New Roman" w:cs="Times New Roman"/>
          <w:sz w:val="28"/>
          <w:szCs w:val="28"/>
          <w:lang w:val="en-GB"/>
        </w:rPr>
      </w:pPr>
    </w:p>
    <w:p w14:paraId="4822D7A5" w14:textId="2A308857"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[3]</w:t>
      </w:r>
      <w:r w:rsidRPr="001A2D4F">
        <w:rPr>
          <w:rFonts w:ascii="Times New Roman" w:hAnsi="Times New Roman" w:cs="Times New Roman"/>
          <w:sz w:val="28"/>
          <w:szCs w:val="28"/>
          <w:lang w:val="en-GB"/>
        </w:rPr>
        <w:tab/>
        <w:t xml:space="preserve">Thabani Zulu, however, was no longer available </w:t>
      </w:r>
      <w:r w:rsidR="008563EA" w:rsidRPr="001A2D4F">
        <w:rPr>
          <w:rFonts w:ascii="Times New Roman" w:hAnsi="Times New Roman" w:cs="Times New Roman"/>
          <w:sz w:val="28"/>
          <w:szCs w:val="28"/>
          <w:lang w:val="en-GB"/>
        </w:rPr>
        <w:t>to undertake this work</w:t>
      </w:r>
      <w:r w:rsidRPr="001A2D4F">
        <w:rPr>
          <w:rFonts w:ascii="Times New Roman" w:hAnsi="Times New Roman" w:cs="Times New Roman"/>
          <w:sz w:val="28"/>
          <w:szCs w:val="28"/>
          <w:lang w:val="en-GB"/>
        </w:rPr>
        <w:t>. Amajuba therefore procured the services of IFS directly. The then municipal manager of Amajuba, Mr Afrika</w:t>
      </w:r>
      <w:r w:rsidR="008563EA"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obtained authorization for a deviation from the procurement regulations in order to appoint IFS to undertake th</w:t>
      </w:r>
      <w:r w:rsidR="005D0625" w:rsidRPr="001A2D4F">
        <w:rPr>
          <w:rFonts w:ascii="Times New Roman" w:hAnsi="Times New Roman" w:cs="Times New Roman"/>
          <w:sz w:val="28"/>
          <w:szCs w:val="28"/>
          <w:lang w:val="en-GB"/>
        </w:rPr>
        <w:t>e</w:t>
      </w:r>
      <w:r w:rsidRPr="001A2D4F">
        <w:rPr>
          <w:rFonts w:ascii="Times New Roman" w:hAnsi="Times New Roman" w:cs="Times New Roman"/>
          <w:sz w:val="28"/>
          <w:szCs w:val="28"/>
          <w:lang w:val="en-GB"/>
        </w:rPr>
        <w:t xml:space="preserve"> further investigation.</w:t>
      </w:r>
      <w:r w:rsidR="004A7257" w:rsidRPr="001A2D4F">
        <w:rPr>
          <w:rFonts w:ascii="Times New Roman" w:hAnsi="Times New Roman" w:cs="Times New Roman"/>
          <w:sz w:val="28"/>
          <w:szCs w:val="28"/>
          <w:lang w:val="en-GB"/>
        </w:rPr>
        <w:t xml:space="preserve"> The forensic investigation agreement</w:t>
      </w:r>
      <w:r w:rsidRPr="001A2D4F">
        <w:rPr>
          <w:rFonts w:ascii="Times New Roman" w:hAnsi="Times New Roman" w:cs="Times New Roman"/>
          <w:sz w:val="28"/>
          <w:szCs w:val="28"/>
          <w:lang w:val="en-GB"/>
        </w:rPr>
        <w:t xml:space="preserve"> was concluded in August 2015. The principal service obligation on the part of IFS was to produce a </w:t>
      </w:r>
      <w:r w:rsidR="008563EA" w:rsidRPr="001A2D4F">
        <w:rPr>
          <w:rFonts w:ascii="Times New Roman" w:hAnsi="Times New Roman" w:cs="Times New Roman"/>
          <w:sz w:val="28"/>
          <w:szCs w:val="28"/>
          <w:lang w:val="en-GB"/>
        </w:rPr>
        <w:t>forensic audit</w:t>
      </w:r>
      <w:r w:rsidRPr="001A2D4F">
        <w:rPr>
          <w:rFonts w:ascii="Times New Roman" w:hAnsi="Times New Roman" w:cs="Times New Roman"/>
          <w:sz w:val="28"/>
          <w:szCs w:val="28"/>
          <w:lang w:val="en-GB"/>
        </w:rPr>
        <w:t xml:space="preserve"> report relating to procurement and supply chain irregularities. It was agreed that IFS would charge at the rate of R1</w:t>
      </w:r>
      <w:r w:rsidR="00034386" w:rsidRPr="001A2D4F">
        <w:rPr>
          <w:rFonts w:ascii="Times New Roman" w:hAnsi="Times New Roman" w:cs="Times New Roman"/>
          <w:sz w:val="28"/>
          <w:szCs w:val="28"/>
          <w:lang w:val="en-GB"/>
        </w:rPr>
        <w:t> </w:t>
      </w:r>
      <w:r w:rsidRPr="001A2D4F">
        <w:rPr>
          <w:rFonts w:ascii="Times New Roman" w:hAnsi="Times New Roman" w:cs="Times New Roman"/>
          <w:sz w:val="28"/>
          <w:szCs w:val="28"/>
          <w:lang w:val="en-GB"/>
        </w:rPr>
        <w:t>195</w:t>
      </w:r>
      <w:r w:rsidR="00034386" w:rsidRPr="001A2D4F">
        <w:rPr>
          <w:rFonts w:ascii="Times New Roman" w:hAnsi="Times New Roman" w:cs="Times New Roman"/>
          <w:sz w:val="28"/>
          <w:szCs w:val="28"/>
          <w:lang w:val="en-GB"/>
        </w:rPr>
        <w:t>.00</w:t>
      </w:r>
      <w:r w:rsidRPr="001A2D4F">
        <w:rPr>
          <w:rFonts w:ascii="Times New Roman" w:hAnsi="Times New Roman" w:cs="Times New Roman"/>
          <w:sz w:val="28"/>
          <w:szCs w:val="28"/>
          <w:lang w:val="en-GB"/>
        </w:rPr>
        <w:t xml:space="preserve"> per hour for its services, to a maximum amount of R1 242 </w:t>
      </w:r>
      <w:r w:rsidR="008E4A06" w:rsidRPr="001A2D4F">
        <w:rPr>
          <w:rFonts w:ascii="Times New Roman" w:hAnsi="Times New Roman" w:cs="Times New Roman"/>
          <w:sz w:val="28"/>
          <w:szCs w:val="28"/>
          <w:lang w:val="en-GB"/>
        </w:rPr>
        <w:t>8</w:t>
      </w:r>
      <w:r w:rsidRPr="001A2D4F">
        <w:rPr>
          <w:rFonts w:ascii="Times New Roman" w:hAnsi="Times New Roman" w:cs="Times New Roman"/>
          <w:sz w:val="28"/>
          <w:szCs w:val="28"/>
          <w:lang w:val="en-GB"/>
        </w:rPr>
        <w:t xml:space="preserve">00.00 exclusive </w:t>
      </w:r>
      <w:r w:rsidR="005D0625" w:rsidRPr="001A2D4F">
        <w:rPr>
          <w:rFonts w:ascii="Times New Roman" w:hAnsi="Times New Roman" w:cs="Times New Roman"/>
          <w:sz w:val="28"/>
          <w:szCs w:val="28"/>
          <w:lang w:val="en-GB"/>
        </w:rPr>
        <w:t xml:space="preserve">of </w:t>
      </w:r>
      <w:r w:rsidRPr="001A2D4F">
        <w:rPr>
          <w:rFonts w:ascii="Times New Roman" w:hAnsi="Times New Roman" w:cs="Times New Roman"/>
          <w:sz w:val="28"/>
          <w:szCs w:val="28"/>
          <w:lang w:val="en-GB"/>
        </w:rPr>
        <w:t>Value Added Tax.</w:t>
      </w:r>
    </w:p>
    <w:p w14:paraId="506F8B42"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504BC53E" w14:textId="07DD1B4B"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4A7257" w:rsidRPr="001A2D4F">
        <w:rPr>
          <w:rFonts w:ascii="Times New Roman" w:hAnsi="Times New Roman" w:cs="Times New Roman"/>
          <w:sz w:val="28"/>
          <w:szCs w:val="28"/>
          <w:lang w:val="en-GB"/>
        </w:rPr>
        <w:t>4</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IFS submitted invoices for its work from time to time and was paid. It was common cause that it produced the report as required. The present dispute arose after the production of the audit report, which was delivered in August 2016. On 17 May 2018, IFS issued summons against Amajuba for payment of two claims. The first was for payment of R276</w:t>
      </w:r>
      <w:r w:rsidR="009906FD" w:rsidRPr="001A2D4F">
        <w:rPr>
          <w:rFonts w:ascii="Times New Roman" w:hAnsi="Times New Roman" w:cs="Times New Roman"/>
          <w:sz w:val="28"/>
          <w:szCs w:val="28"/>
          <w:lang w:val="en-GB"/>
        </w:rPr>
        <w:t> </w:t>
      </w:r>
      <w:r w:rsidRPr="001A2D4F">
        <w:rPr>
          <w:rFonts w:ascii="Times New Roman" w:hAnsi="Times New Roman" w:cs="Times New Roman"/>
          <w:sz w:val="28"/>
          <w:szCs w:val="28"/>
          <w:lang w:val="en-GB"/>
        </w:rPr>
        <w:t>297.51</w:t>
      </w:r>
      <w:r w:rsidR="005D0625"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plus interest arising from </w:t>
      </w:r>
      <w:r w:rsidR="005D0625" w:rsidRPr="001A2D4F">
        <w:rPr>
          <w:rFonts w:ascii="Times New Roman" w:hAnsi="Times New Roman" w:cs="Times New Roman"/>
          <w:sz w:val="28"/>
          <w:szCs w:val="28"/>
          <w:lang w:val="en-GB"/>
        </w:rPr>
        <w:t xml:space="preserve">the </w:t>
      </w:r>
      <w:r w:rsidRPr="001A2D4F">
        <w:rPr>
          <w:rFonts w:ascii="Times New Roman" w:hAnsi="Times New Roman" w:cs="Times New Roman"/>
          <w:sz w:val="28"/>
          <w:szCs w:val="28"/>
          <w:lang w:val="en-GB"/>
        </w:rPr>
        <w:t>audit investigation agreement</w:t>
      </w:r>
      <w:r w:rsidR="005D0625" w:rsidRPr="001A2D4F">
        <w:rPr>
          <w:rFonts w:ascii="Times New Roman" w:hAnsi="Times New Roman" w:cs="Times New Roman"/>
          <w:sz w:val="28"/>
          <w:szCs w:val="28"/>
          <w:lang w:val="en-GB"/>
        </w:rPr>
        <w:t xml:space="preserve"> (the first claim)</w:t>
      </w:r>
      <w:r w:rsidRPr="001A2D4F">
        <w:rPr>
          <w:rFonts w:ascii="Times New Roman" w:hAnsi="Times New Roman" w:cs="Times New Roman"/>
          <w:sz w:val="28"/>
          <w:szCs w:val="28"/>
          <w:lang w:val="en-GB"/>
        </w:rPr>
        <w:t>. The second was for payment of three amounts totalling R</w:t>
      </w:r>
      <w:r w:rsidR="00A23A58" w:rsidRPr="001A2D4F">
        <w:rPr>
          <w:rFonts w:ascii="Times New Roman" w:hAnsi="Times New Roman" w:cs="Times New Roman"/>
          <w:sz w:val="28"/>
          <w:szCs w:val="28"/>
          <w:lang w:val="en-GB"/>
        </w:rPr>
        <w:t>754</w:t>
      </w:r>
      <w:r w:rsidR="009906FD" w:rsidRPr="001A2D4F">
        <w:rPr>
          <w:rFonts w:ascii="Times New Roman" w:hAnsi="Times New Roman" w:cs="Times New Roman"/>
          <w:sz w:val="28"/>
          <w:szCs w:val="28"/>
          <w:lang w:val="en-GB"/>
        </w:rPr>
        <w:t> </w:t>
      </w:r>
      <w:r w:rsidRPr="001A2D4F">
        <w:rPr>
          <w:rFonts w:ascii="Times New Roman" w:hAnsi="Times New Roman" w:cs="Times New Roman"/>
          <w:sz w:val="28"/>
          <w:szCs w:val="28"/>
          <w:lang w:val="en-GB"/>
        </w:rPr>
        <w:t>557.15</w:t>
      </w:r>
      <w:r w:rsidR="005D0625"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plus interest</w:t>
      </w:r>
      <w:r w:rsidR="005D0625" w:rsidRPr="001A2D4F">
        <w:rPr>
          <w:rFonts w:ascii="Times New Roman" w:hAnsi="Times New Roman" w:cs="Times New Roman"/>
          <w:sz w:val="28"/>
          <w:szCs w:val="28"/>
          <w:lang w:val="en-GB"/>
        </w:rPr>
        <w:t xml:space="preserve"> (the second claim)</w:t>
      </w:r>
      <w:r w:rsidRPr="001A2D4F">
        <w:rPr>
          <w:rFonts w:ascii="Times New Roman" w:hAnsi="Times New Roman" w:cs="Times New Roman"/>
          <w:sz w:val="28"/>
          <w:szCs w:val="28"/>
          <w:lang w:val="en-GB"/>
        </w:rPr>
        <w:t>. Th</w:t>
      </w:r>
      <w:r w:rsidR="001C612B" w:rsidRPr="001A2D4F">
        <w:rPr>
          <w:rFonts w:ascii="Times New Roman" w:hAnsi="Times New Roman" w:cs="Times New Roman"/>
          <w:sz w:val="28"/>
          <w:szCs w:val="28"/>
          <w:lang w:val="en-GB"/>
        </w:rPr>
        <w:t>e</w:t>
      </w:r>
      <w:r w:rsidRPr="001A2D4F">
        <w:rPr>
          <w:rFonts w:ascii="Times New Roman" w:hAnsi="Times New Roman" w:cs="Times New Roman"/>
          <w:sz w:val="28"/>
          <w:szCs w:val="28"/>
          <w:lang w:val="en-GB"/>
        </w:rPr>
        <w:t xml:space="preserve"> </w:t>
      </w:r>
      <w:r w:rsidR="001C612B" w:rsidRPr="001A2D4F">
        <w:rPr>
          <w:rFonts w:ascii="Times New Roman" w:hAnsi="Times New Roman" w:cs="Times New Roman"/>
          <w:sz w:val="28"/>
          <w:szCs w:val="28"/>
          <w:lang w:val="en-GB"/>
        </w:rPr>
        <w:t xml:space="preserve">second </w:t>
      </w:r>
      <w:r w:rsidRPr="001A2D4F">
        <w:rPr>
          <w:rFonts w:ascii="Times New Roman" w:hAnsi="Times New Roman" w:cs="Times New Roman"/>
          <w:sz w:val="28"/>
          <w:szCs w:val="28"/>
          <w:lang w:val="en-GB"/>
        </w:rPr>
        <w:t>claim arose from a further agreement</w:t>
      </w:r>
      <w:r w:rsidR="005D0625"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which it </w:t>
      </w:r>
      <w:r w:rsidR="001C612B" w:rsidRPr="001A2D4F">
        <w:rPr>
          <w:rFonts w:ascii="Times New Roman" w:hAnsi="Times New Roman" w:cs="Times New Roman"/>
          <w:sz w:val="28"/>
          <w:szCs w:val="28"/>
          <w:lang w:val="en-GB"/>
        </w:rPr>
        <w:t xml:space="preserve">was </w:t>
      </w:r>
      <w:r w:rsidRPr="001A2D4F">
        <w:rPr>
          <w:rFonts w:ascii="Times New Roman" w:hAnsi="Times New Roman" w:cs="Times New Roman"/>
          <w:sz w:val="28"/>
          <w:szCs w:val="28"/>
          <w:lang w:val="en-GB"/>
        </w:rPr>
        <w:t>alleged had been concluded on 25 August 2016. Its object was the provision of litigation support services to the N</w:t>
      </w:r>
      <w:r w:rsidR="00A153B7" w:rsidRPr="001A2D4F">
        <w:rPr>
          <w:rFonts w:ascii="Times New Roman" w:hAnsi="Times New Roman" w:cs="Times New Roman"/>
          <w:sz w:val="28"/>
          <w:szCs w:val="28"/>
          <w:lang w:val="en-GB"/>
        </w:rPr>
        <w:t xml:space="preserve">ational Prosecuting Authority (the NPA) </w:t>
      </w:r>
      <w:r w:rsidRPr="001A2D4F">
        <w:rPr>
          <w:rFonts w:ascii="Times New Roman" w:hAnsi="Times New Roman" w:cs="Times New Roman"/>
          <w:sz w:val="28"/>
          <w:szCs w:val="28"/>
          <w:lang w:val="en-GB"/>
        </w:rPr>
        <w:t xml:space="preserve">and </w:t>
      </w:r>
      <w:r w:rsidR="00E75D8A" w:rsidRPr="001A2D4F">
        <w:rPr>
          <w:rFonts w:ascii="Times New Roman" w:hAnsi="Times New Roman" w:cs="Times New Roman"/>
          <w:sz w:val="28"/>
          <w:szCs w:val="28"/>
          <w:lang w:val="en-GB"/>
        </w:rPr>
        <w:t xml:space="preserve">the </w:t>
      </w:r>
      <w:r w:rsidRPr="001A2D4F">
        <w:rPr>
          <w:rFonts w:ascii="Times New Roman" w:hAnsi="Times New Roman" w:cs="Times New Roman"/>
          <w:sz w:val="28"/>
          <w:szCs w:val="28"/>
          <w:lang w:val="en-GB"/>
        </w:rPr>
        <w:t>D</w:t>
      </w:r>
      <w:r w:rsidR="00A153B7" w:rsidRPr="001A2D4F">
        <w:rPr>
          <w:rFonts w:ascii="Times New Roman" w:hAnsi="Times New Roman" w:cs="Times New Roman"/>
          <w:sz w:val="28"/>
          <w:szCs w:val="28"/>
          <w:lang w:val="en-GB"/>
        </w:rPr>
        <w:t xml:space="preserve">irectorate of </w:t>
      </w:r>
      <w:r w:rsidRPr="001A2D4F">
        <w:rPr>
          <w:rFonts w:ascii="Times New Roman" w:hAnsi="Times New Roman" w:cs="Times New Roman"/>
          <w:sz w:val="28"/>
          <w:szCs w:val="28"/>
          <w:lang w:val="en-GB"/>
        </w:rPr>
        <w:t>P</w:t>
      </w:r>
      <w:r w:rsidR="00A153B7" w:rsidRPr="001A2D4F">
        <w:rPr>
          <w:rFonts w:ascii="Times New Roman" w:hAnsi="Times New Roman" w:cs="Times New Roman"/>
          <w:sz w:val="28"/>
          <w:szCs w:val="28"/>
          <w:lang w:val="en-GB"/>
        </w:rPr>
        <w:t>riority Crimes</w:t>
      </w:r>
      <w:r w:rsidRPr="001A2D4F">
        <w:rPr>
          <w:rFonts w:ascii="Times New Roman" w:hAnsi="Times New Roman" w:cs="Times New Roman"/>
          <w:sz w:val="28"/>
          <w:szCs w:val="28"/>
          <w:lang w:val="en-GB"/>
        </w:rPr>
        <w:t xml:space="preserve"> </w:t>
      </w:r>
      <w:r w:rsidR="00A153B7" w:rsidRPr="001A2D4F">
        <w:rPr>
          <w:rFonts w:ascii="Times New Roman" w:hAnsi="Times New Roman" w:cs="Times New Roman"/>
          <w:sz w:val="28"/>
          <w:szCs w:val="28"/>
          <w:lang w:val="en-GB"/>
        </w:rPr>
        <w:t xml:space="preserve">(the DPC) </w:t>
      </w:r>
      <w:r w:rsidRPr="001A2D4F">
        <w:rPr>
          <w:rFonts w:ascii="Times New Roman" w:hAnsi="Times New Roman" w:cs="Times New Roman"/>
          <w:sz w:val="28"/>
          <w:szCs w:val="28"/>
          <w:lang w:val="en-GB"/>
        </w:rPr>
        <w:t xml:space="preserve">on behalf of Amajuba. The first claim was settled. The </w:t>
      </w:r>
      <w:r w:rsidR="005D0625" w:rsidRPr="001A2D4F">
        <w:rPr>
          <w:rFonts w:ascii="Times New Roman" w:hAnsi="Times New Roman" w:cs="Times New Roman"/>
          <w:sz w:val="28"/>
          <w:szCs w:val="28"/>
          <w:lang w:val="en-GB"/>
        </w:rPr>
        <w:t>second</w:t>
      </w:r>
      <w:r w:rsidRPr="001A2D4F">
        <w:rPr>
          <w:rFonts w:ascii="Times New Roman" w:hAnsi="Times New Roman" w:cs="Times New Roman"/>
          <w:sz w:val="28"/>
          <w:szCs w:val="28"/>
          <w:lang w:val="en-GB"/>
        </w:rPr>
        <w:t xml:space="preserve"> is the subject of the appeal.</w:t>
      </w:r>
    </w:p>
    <w:p w14:paraId="667CEF73"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05DAB810" w14:textId="1EBC584F"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153B7" w:rsidRPr="001A2D4F">
        <w:rPr>
          <w:rFonts w:ascii="Times New Roman" w:hAnsi="Times New Roman" w:cs="Times New Roman"/>
          <w:sz w:val="28"/>
          <w:szCs w:val="28"/>
          <w:lang w:val="en-GB"/>
        </w:rPr>
        <w:t>5</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 xml:space="preserve">Amajuba pleaded that no agreement was concluded. In the alternative, it denied that Mr Afrika had the </w:t>
      </w:r>
      <w:r w:rsidR="005D0625" w:rsidRPr="001A2D4F">
        <w:rPr>
          <w:rFonts w:ascii="Times New Roman" w:hAnsi="Times New Roman" w:cs="Times New Roman"/>
          <w:sz w:val="28"/>
          <w:szCs w:val="28"/>
          <w:lang w:val="en-GB"/>
        </w:rPr>
        <w:t xml:space="preserve">requisite </w:t>
      </w:r>
      <w:r w:rsidRPr="001A2D4F">
        <w:rPr>
          <w:rFonts w:ascii="Times New Roman" w:hAnsi="Times New Roman" w:cs="Times New Roman"/>
          <w:sz w:val="28"/>
          <w:szCs w:val="28"/>
          <w:lang w:val="en-GB"/>
        </w:rPr>
        <w:t xml:space="preserve">authority to conclude the alleged agreement. In a further alternative, albeit only generally pleaded, Amajuba denied </w:t>
      </w:r>
      <w:r w:rsidRPr="001A2D4F">
        <w:rPr>
          <w:rFonts w:ascii="Times New Roman" w:hAnsi="Times New Roman" w:cs="Times New Roman"/>
          <w:sz w:val="28"/>
          <w:szCs w:val="28"/>
          <w:lang w:val="en-GB"/>
        </w:rPr>
        <w:lastRenderedPageBreak/>
        <w:t>the lawfulness of the alleged agreement. In its replication, IFS raised an estoppel in relation to the lack of authority defence.</w:t>
      </w:r>
    </w:p>
    <w:p w14:paraId="61FAEA30"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32D3FDCD" w14:textId="33EA19A1"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F7035" w:rsidRPr="001A2D4F">
        <w:rPr>
          <w:rFonts w:ascii="Times New Roman" w:hAnsi="Times New Roman" w:cs="Times New Roman"/>
          <w:sz w:val="28"/>
          <w:szCs w:val="28"/>
          <w:lang w:val="en-GB"/>
        </w:rPr>
        <w:t>6</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The issue before the trial court was ‘whether a valid agreement had been concluded between the parties which was capable of contractual enforcement in respect of the second claim’. IFS presented the evidence of Mr Afrika and its principal member, Mr Saunders, whom it alleged had concluded the agreement. Mr Zwane, Amajuba’s municipal manager, testified on its behalf.</w:t>
      </w:r>
    </w:p>
    <w:p w14:paraId="71F7245A"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54125CFB" w14:textId="0FDE640E" w:rsidR="00400B91" w:rsidRPr="001A2D4F" w:rsidRDefault="00065C06" w:rsidP="00400B91">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F7035" w:rsidRPr="001A2D4F">
        <w:rPr>
          <w:rFonts w:ascii="Times New Roman" w:hAnsi="Times New Roman" w:cs="Times New Roman"/>
          <w:sz w:val="28"/>
          <w:szCs w:val="28"/>
          <w:lang w:val="en-GB"/>
        </w:rPr>
        <w:t>7</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The trial court found that no valid agreement for the provision of litigation support had come into being. It therefore dismissed IFS’s claim with costs. IFS prosecuted an appeal to the full court of the KwaZulu</w:t>
      </w:r>
      <w:r w:rsidR="00A23A58"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Natal Division of the High Court, Pietermaritzburg. The full court dismissed the appeal. It found that no valid and binding agreement with terms sufficiently certain to give rise to a binding obligation in law</w:t>
      </w:r>
      <w:r w:rsidR="00E75D8A"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was proved.</w:t>
      </w:r>
      <w:r w:rsidR="00400B91" w:rsidRPr="001A2D4F">
        <w:rPr>
          <w:rFonts w:ascii="Times New Roman" w:hAnsi="Times New Roman" w:cs="Times New Roman"/>
          <w:sz w:val="28"/>
          <w:szCs w:val="28"/>
          <w:lang w:val="en-GB"/>
        </w:rPr>
        <w:t xml:space="preserve"> The appeal  </w:t>
      </w:r>
      <w:r w:rsidR="001C612B" w:rsidRPr="001A2D4F">
        <w:rPr>
          <w:rFonts w:ascii="Times New Roman" w:hAnsi="Times New Roman" w:cs="Times New Roman"/>
          <w:sz w:val="28"/>
          <w:szCs w:val="28"/>
          <w:lang w:val="en-GB"/>
        </w:rPr>
        <w:t xml:space="preserve">is </w:t>
      </w:r>
      <w:r w:rsidR="00400B91" w:rsidRPr="001A2D4F">
        <w:rPr>
          <w:rFonts w:ascii="Times New Roman" w:hAnsi="Times New Roman" w:cs="Times New Roman"/>
          <w:sz w:val="28"/>
          <w:szCs w:val="28"/>
          <w:lang w:val="en-GB"/>
        </w:rPr>
        <w:t xml:space="preserve">before us </w:t>
      </w:r>
      <w:r w:rsidR="001C612B" w:rsidRPr="001A2D4F">
        <w:rPr>
          <w:rFonts w:ascii="Times New Roman" w:hAnsi="Times New Roman" w:cs="Times New Roman"/>
          <w:sz w:val="28"/>
          <w:szCs w:val="28"/>
          <w:lang w:val="en-GB"/>
        </w:rPr>
        <w:t xml:space="preserve"> pursuant to</w:t>
      </w:r>
      <w:r w:rsidR="00400B91" w:rsidRPr="001A2D4F">
        <w:rPr>
          <w:rFonts w:ascii="Times New Roman" w:hAnsi="Times New Roman" w:cs="Times New Roman"/>
          <w:sz w:val="28"/>
          <w:szCs w:val="28"/>
          <w:lang w:val="en-GB"/>
        </w:rPr>
        <w:t xml:space="preserve"> special leave granted on petition to this Court.</w:t>
      </w:r>
    </w:p>
    <w:p w14:paraId="4FBB342E"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1F85B5B8" w14:textId="28115BEF"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F7035" w:rsidRPr="001A2D4F">
        <w:rPr>
          <w:rFonts w:ascii="Times New Roman" w:hAnsi="Times New Roman" w:cs="Times New Roman"/>
          <w:sz w:val="28"/>
          <w:szCs w:val="28"/>
          <w:lang w:val="en-GB"/>
        </w:rPr>
        <w:t>8</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 xml:space="preserve">This Court’s </w:t>
      </w:r>
      <w:r w:rsidR="0003651C">
        <w:rPr>
          <w:rFonts w:ascii="Times New Roman" w:hAnsi="Times New Roman" w:cs="Times New Roman"/>
          <w:sz w:val="28"/>
          <w:szCs w:val="28"/>
          <w:lang w:val="en-GB"/>
        </w:rPr>
        <w:t xml:space="preserve">appeal </w:t>
      </w:r>
      <w:r w:rsidRPr="001A2D4F">
        <w:rPr>
          <w:rFonts w:ascii="Times New Roman" w:hAnsi="Times New Roman" w:cs="Times New Roman"/>
          <w:sz w:val="28"/>
          <w:szCs w:val="28"/>
          <w:lang w:val="en-GB"/>
        </w:rPr>
        <w:t>jurisdiction derives from s 16 of the Superior Courts Act 10 of 2013 (the Act)</w:t>
      </w:r>
      <w:r w:rsidR="0003651C" w:rsidRPr="001A2D4F">
        <w:rPr>
          <w:rFonts w:ascii="Times New Roman" w:hAnsi="Times New Roman" w:cs="Times New Roman"/>
          <w:sz w:val="28"/>
          <w:szCs w:val="28"/>
          <w:lang w:val="en-GB"/>
        </w:rPr>
        <w:t xml:space="preserve">. </w:t>
      </w:r>
      <w:r w:rsidRPr="001A2D4F">
        <w:rPr>
          <w:rFonts w:ascii="Times New Roman" w:hAnsi="Times New Roman" w:cs="Times New Roman"/>
          <w:sz w:val="28"/>
          <w:szCs w:val="28"/>
          <w:lang w:val="en-GB"/>
        </w:rPr>
        <w:t xml:space="preserve">In </w:t>
      </w:r>
      <w:r w:rsidRPr="001A2D4F">
        <w:rPr>
          <w:rFonts w:ascii="Times New Roman" w:hAnsi="Times New Roman" w:cs="Times New Roman"/>
          <w:i/>
          <w:iCs/>
          <w:sz w:val="28"/>
          <w:szCs w:val="28"/>
          <w:lang w:val="en-GB"/>
        </w:rPr>
        <w:t>Absa Bank v Snyman</w:t>
      </w:r>
      <w:r w:rsidRPr="001A2D4F">
        <w:rPr>
          <w:rFonts w:ascii="Times New Roman" w:hAnsi="Times New Roman" w:cs="Times New Roman"/>
          <w:sz w:val="28"/>
          <w:szCs w:val="28"/>
          <w:lang w:val="en-GB"/>
        </w:rPr>
        <w:t>, Brand JA said:</w:t>
      </w:r>
    </w:p>
    <w:p w14:paraId="15C653E4" w14:textId="1D9FEB88"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4"/>
          <w:szCs w:val="24"/>
          <w:lang w:val="en-GB"/>
        </w:rPr>
        <w:t>‘</w:t>
      </w:r>
      <w:r w:rsidR="00EB3F85" w:rsidRPr="001A2D4F">
        <w:rPr>
          <w:rFonts w:ascii="Times New Roman" w:hAnsi="Times New Roman" w:cs="Times New Roman"/>
          <w:sz w:val="24"/>
          <w:szCs w:val="24"/>
          <w:lang w:val="en-GB"/>
        </w:rPr>
        <w:t>…t</w:t>
      </w:r>
      <w:r w:rsidRPr="001A2D4F">
        <w:rPr>
          <w:rFonts w:ascii="Times New Roman" w:hAnsi="Times New Roman" w:cs="Times New Roman"/>
          <w:sz w:val="24"/>
          <w:szCs w:val="24"/>
          <w:lang w:val="en-GB"/>
        </w:rPr>
        <w:t xml:space="preserve">his court only has jurisdiction to hear an appeal against an order of </w:t>
      </w:r>
      <w:r w:rsidR="00EB3F85" w:rsidRPr="001A2D4F">
        <w:rPr>
          <w:rFonts w:ascii="Times New Roman" w:hAnsi="Times New Roman" w:cs="Times New Roman"/>
          <w:sz w:val="24"/>
          <w:szCs w:val="24"/>
          <w:lang w:val="en-GB"/>
        </w:rPr>
        <w:t>a</w:t>
      </w:r>
      <w:r w:rsidRPr="001A2D4F">
        <w:rPr>
          <w:rFonts w:ascii="Times New Roman" w:hAnsi="Times New Roman" w:cs="Times New Roman"/>
          <w:sz w:val="24"/>
          <w:szCs w:val="24"/>
          <w:lang w:val="en-GB"/>
        </w:rPr>
        <w:t xml:space="preserve"> </w:t>
      </w:r>
      <w:r w:rsidR="00EB3F85" w:rsidRPr="001A2D4F">
        <w:rPr>
          <w:rFonts w:ascii="Times New Roman" w:hAnsi="Times New Roman" w:cs="Times New Roman"/>
          <w:sz w:val="24"/>
          <w:szCs w:val="24"/>
          <w:lang w:val="en-GB"/>
        </w:rPr>
        <w:t>h</w:t>
      </w:r>
      <w:r w:rsidRPr="001A2D4F">
        <w:rPr>
          <w:rFonts w:ascii="Times New Roman" w:hAnsi="Times New Roman" w:cs="Times New Roman"/>
          <w:sz w:val="24"/>
          <w:szCs w:val="24"/>
          <w:lang w:val="en-GB"/>
        </w:rPr>
        <w:t xml:space="preserve">igh </w:t>
      </w:r>
      <w:r w:rsidR="00EB3F85" w:rsidRPr="001A2D4F">
        <w:rPr>
          <w:rFonts w:ascii="Times New Roman" w:hAnsi="Times New Roman" w:cs="Times New Roman"/>
          <w:sz w:val="24"/>
          <w:szCs w:val="24"/>
          <w:lang w:val="en-GB"/>
        </w:rPr>
        <w:t>c</w:t>
      </w:r>
      <w:r w:rsidRPr="001A2D4F">
        <w:rPr>
          <w:rFonts w:ascii="Times New Roman" w:hAnsi="Times New Roman" w:cs="Times New Roman"/>
          <w:sz w:val="24"/>
          <w:szCs w:val="24"/>
          <w:lang w:val="en-GB"/>
        </w:rPr>
        <w:t>ourt if leave to do so had been granted by that court, or in the event of a refusal by that court, by this court.’</w:t>
      </w:r>
      <w:r w:rsidRPr="001A2D4F">
        <w:rPr>
          <w:rStyle w:val="FootnoteReference"/>
          <w:rFonts w:ascii="Times New Roman" w:hAnsi="Times New Roman" w:cs="Times New Roman"/>
          <w:sz w:val="24"/>
          <w:szCs w:val="24"/>
          <w:lang w:val="en-GB"/>
        </w:rPr>
        <w:footnoteReference w:id="1"/>
      </w:r>
    </w:p>
    <w:p w14:paraId="3AE0F995" w14:textId="77777777" w:rsidR="00AF7035" w:rsidRPr="001A2D4F" w:rsidRDefault="00AF7035" w:rsidP="00A23A58">
      <w:pPr>
        <w:spacing w:after="0" w:line="360" w:lineRule="auto"/>
        <w:jc w:val="both"/>
        <w:rPr>
          <w:rFonts w:ascii="Times New Roman" w:hAnsi="Times New Roman" w:cs="Times New Roman"/>
          <w:sz w:val="28"/>
          <w:szCs w:val="28"/>
          <w:lang w:val="en-GB"/>
        </w:rPr>
      </w:pPr>
    </w:p>
    <w:p w14:paraId="63057C81" w14:textId="56BCF777"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F7035" w:rsidRPr="001A2D4F">
        <w:rPr>
          <w:rFonts w:ascii="Times New Roman" w:hAnsi="Times New Roman" w:cs="Times New Roman"/>
          <w:sz w:val="28"/>
          <w:szCs w:val="28"/>
          <w:lang w:val="en-GB"/>
        </w:rPr>
        <w:t>9</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Where the judgment is that of a high court on appeal</w:t>
      </w:r>
      <w:r w:rsidR="005D0625" w:rsidRPr="001A2D4F">
        <w:rPr>
          <w:rFonts w:ascii="Times New Roman" w:hAnsi="Times New Roman" w:cs="Times New Roman"/>
          <w:sz w:val="28"/>
          <w:szCs w:val="28"/>
          <w:lang w:val="en-GB"/>
        </w:rPr>
        <w:t xml:space="preserve"> to it</w:t>
      </w:r>
      <w:r w:rsidRPr="001A2D4F">
        <w:rPr>
          <w:rFonts w:ascii="Times New Roman" w:hAnsi="Times New Roman" w:cs="Times New Roman"/>
          <w:sz w:val="28"/>
          <w:szCs w:val="28"/>
          <w:lang w:val="en-GB"/>
        </w:rPr>
        <w:t>, special leave to appeal must be obtained from this Court, in terms of s 16(1)(</w:t>
      </w:r>
      <w:r w:rsidRPr="001A2D4F">
        <w:rPr>
          <w:rFonts w:ascii="Times New Roman" w:hAnsi="Times New Roman" w:cs="Times New Roman"/>
          <w:i/>
          <w:iCs/>
          <w:sz w:val="28"/>
          <w:szCs w:val="28"/>
          <w:lang w:val="en-GB"/>
        </w:rPr>
        <w:t>b</w:t>
      </w:r>
      <w:r w:rsidRPr="001A2D4F">
        <w:rPr>
          <w:rFonts w:ascii="Times New Roman" w:hAnsi="Times New Roman" w:cs="Times New Roman"/>
          <w:sz w:val="28"/>
          <w:szCs w:val="28"/>
          <w:lang w:val="en-GB"/>
        </w:rPr>
        <w:t>) of the Act</w:t>
      </w:r>
      <w:r w:rsidR="0003651C" w:rsidRPr="001A2D4F">
        <w:rPr>
          <w:rFonts w:ascii="Times New Roman" w:hAnsi="Times New Roman" w:cs="Times New Roman"/>
          <w:sz w:val="28"/>
          <w:szCs w:val="28"/>
          <w:lang w:val="en-GB"/>
        </w:rPr>
        <w:t xml:space="preserve">. </w:t>
      </w:r>
      <w:r w:rsidRPr="001A2D4F">
        <w:rPr>
          <w:rFonts w:ascii="Times New Roman" w:hAnsi="Times New Roman" w:cs="Times New Roman"/>
          <w:sz w:val="28"/>
          <w:szCs w:val="28"/>
          <w:lang w:val="en-GB"/>
        </w:rPr>
        <w:t xml:space="preserve">In </w:t>
      </w:r>
      <w:r w:rsidR="005D0625" w:rsidRPr="001A2D4F">
        <w:rPr>
          <w:rFonts w:ascii="Times New Roman" w:hAnsi="Times New Roman" w:cs="Times New Roman"/>
          <w:sz w:val="28"/>
          <w:szCs w:val="28"/>
          <w:lang w:val="en-GB"/>
        </w:rPr>
        <w:t xml:space="preserve">that event, in </w:t>
      </w:r>
      <w:r w:rsidRPr="001A2D4F">
        <w:rPr>
          <w:rFonts w:ascii="Times New Roman" w:hAnsi="Times New Roman" w:cs="Times New Roman"/>
          <w:sz w:val="28"/>
          <w:szCs w:val="28"/>
          <w:lang w:val="en-GB"/>
        </w:rPr>
        <w:t xml:space="preserve">addition to the ordinary requirement of reasonable prospects, it must be shown that there are special circumstances which merit a further appeal. These </w:t>
      </w:r>
      <w:r w:rsidRPr="001A2D4F">
        <w:rPr>
          <w:rFonts w:ascii="Times New Roman" w:hAnsi="Times New Roman" w:cs="Times New Roman"/>
          <w:sz w:val="28"/>
          <w:szCs w:val="28"/>
          <w:lang w:val="en-GB"/>
        </w:rPr>
        <w:lastRenderedPageBreak/>
        <w:t>would include a substantial point of law; or that the matter is of considerable importance to the parties, or of great public importance; or, where the prospects of success are so strong that a refusal of leave would probably result in a manifest denial of justice.</w:t>
      </w:r>
      <w:r w:rsidRPr="001A2D4F">
        <w:rPr>
          <w:rStyle w:val="FootnoteReference"/>
          <w:rFonts w:ascii="Times New Roman" w:hAnsi="Times New Roman" w:cs="Times New Roman"/>
          <w:sz w:val="28"/>
          <w:szCs w:val="28"/>
          <w:lang w:val="en-GB"/>
        </w:rPr>
        <w:footnoteReference w:id="2"/>
      </w:r>
    </w:p>
    <w:p w14:paraId="02C6BE83"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26AA6796" w14:textId="58DFA54F"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0</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r>
      <w:r w:rsidR="0017312C" w:rsidRPr="001A2D4F">
        <w:rPr>
          <w:rFonts w:ascii="Times New Roman" w:hAnsi="Times New Roman" w:cs="Times New Roman"/>
          <w:sz w:val="28"/>
          <w:szCs w:val="28"/>
          <w:lang w:val="en-GB"/>
        </w:rPr>
        <w:t>T</w:t>
      </w:r>
      <w:r w:rsidRPr="001A2D4F">
        <w:rPr>
          <w:rFonts w:ascii="Times New Roman" w:hAnsi="Times New Roman" w:cs="Times New Roman"/>
          <w:sz w:val="28"/>
          <w:szCs w:val="28"/>
          <w:lang w:val="en-GB"/>
        </w:rPr>
        <w:t xml:space="preserve">he granting of special leave to </w:t>
      </w:r>
      <w:r w:rsidR="00EB3F85" w:rsidRPr="001A2D4F">
        <w:rPr>
          <w:rFonts w:ascii="Times New Roman" w:hAnsi="Times New Roman" w:cs="Times New Roman"/>
          <w:sz w:val="28"/>
          <w:szCs w:val="28"/>
          <w:lang w:val="en-GB"/>
        </w:rPr>
        <w:t>a</w:t>
      </w:r>
      <w:r w:rsidRPr="001A2D4F">
        <w:rPr>
          <w:rFonts w:ascii="Times New Roman" w:hAnsi="Times New Roman" w:cs="Times New Roman"/>
          <w:sz w:val="28"/>
          <w:szCs w:val="28"/>
          <w:lang w:val="en-GB"/>
        </w:rPr>
        <w:t>ppeal on petition to the President of this Court is not dispositive of the question whether special circumstances exist</w:t>
      </w:r>
      <w:r w:rsidR="0017312C" w:rsidRPr="001A2D4F">
        <w:rPr>
          <w:rFonts w:ascii="Times New Roman" w:hAnsi="Times New Roman" w:cs="Times New Roman"/>
          <w:sz w:val="28"/>
          <w:szCs w:val="28"/>
          <w:lang w:val="en-GB"/>
        </w:rPr>
        <w:t xml:space="preserve"> to engage this Court’s jurisdiction</w:t>
      </w:r>
      <w:r w:rsidRPr="001A2D4F">
        <w:rPr>
          <w:rFonts w:ascii="Times New Roman" w:hAnsi="Times New Roman" w:cs="Times New Roman"/>
          <w:sz w:val="28"/>
          <w:szCs w:val="28"/>
          <w:lang w:val="en-GB"/>
        </w:rPr>
        <w:t xml:space="preserve">. That question is one </w:t>
      </w:r>
      <w:r w:rsidR="00E75D8A" w:rsidRPr="001A2D4F">
        <w:rPr>
          <w:rFonts w:ascii="Times New Roman" w:hAnsi="Times New Roman" w:cs="Times New Roman"/>
          <w:sz w:val="28"/>
          <w:szCs w:val="28"/>
          <w:lang w:val="en-GB"/>
        </w:rPr>
        <w:t xml:space="preserve">ultimately </w:t>
      </w:r>
      <w:r w:rsidR="00F638DE" w:rsidRPr="001A2D4F">
        <w:rPr>
          <w:rFonts w:ascii="Times New Roman" w:hAnsi="Times New Roman" w:cs="Times New Roman"/>
          <w:sz w:val="28"/>
          <w:szCs w:val="28"/>
          <w:lang w:val="en-GB"/>
        </w:rPr>
        <w:t xml:space="preserve">for </w:t>
      </w:r>
      <w:r w:rsidRPr="001A2D4F">
        <w:rPr>
          <w:rFonts w:ascii="Times New Roman" w:hAnsi="Times New Roman" w:cs="Times New Roman"/>
          <w:sz w:val="28"/>
          <w:szCs w:val="28"/>
          <w:lang w:val="en-GB"/>
        </w:rPr>
        <w:t>the court hearing the appeal.</w:t>
      </w:r>
      <w:r w:rsidRPr="001A2D4F">
        <w:rPr>
          <w:rStyle w:val="FootnoteReference"/>
          <w:rFonts w:ascii="Times New Roman" w:hAnsi="Times New Roman" w:cs="Times New Roman"/>
          <w:sz w:val="28"/>
          <w:szCs w:val="28"/>
          <w:lang w:val="en-GB"/>
        </w:rPr>
        <w:footnoteReference w:id="3"/>
      </w:r>
      <w:r w:rsidR="0017312C" w:rsidRPr="001A2D4F">
        <w:rPr>
          <w:rFonts w:ascii="Times New Roman" w:hAnsi="Times New Roman" w:cs="Times New Roman"/>
          <w:sz w:val="28"/>
          <w:szCs w:val="28"/>
          <w:lang w:val="en-GB"/>
        </w:rPr>
        <w:t xml:space="preserve"> </w:t>
      </w:r>
    </w:p>
    <w:p w14:paraId="21321926"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482E6499" w14:textId="6F0A02E2" w:rsidR="00B8182A"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1</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 xml:space="preserve">IFS’s case was that an agreement was concluded between it and Amajuba to provide litigation support in the prosecution of persons identified in the audit report. Its pleaded case was that the agreement was </w:t>
      </w:r>
      <w:r w:rsidR="00642DF2" w:rsidRPr="001A2D4F">
        <w:rPr>
          <w:rFonts w:ascii="Times New Roman" w:hAnsi="Times New Roman" w:cs="Times New Roman"/>
          <w:sz w:val="28"/>
          <w:szCs w:val="28"/>
          <w:lang w:val="en-GB"/>
        </w:rPr>
        <w:t xml:space="preserve">a </w:t>
      </w:r>
      <w:r w:rsidRPr="001A2D4F">
        <w:rPr>
          <w:rFonts w:ascii="Times New Roman" w:hAnsi="Times New Roman" w:cs="Times New Roman"/>
          <w:sz w:val="28"/>
          <w:szCs w:val="28"/>
          <w:lang w:val="en-GB"/>
        </w:rPr>
        <w:t xml:space="preserve">tripartite </w:t>
      </w:r>
      <w:r w:rsidR="00642DF2" w:rsidRPr="001A2D4F">
        <w:rPr>
          <w:rFonts w:ascii="Times New Roman" w:hAnsi="Times New Roman" w:cs="Times New Roman"/>
          <w:sz w:val="28"/>
          <w:szCs w:val="28"/>
          <w:lang w:val="en-GB"/>
        </w:rPr>
        <w:t xml:space="preserve">one </w:t>
      </w:r>
      <w:r w:rsidRPr="001A2D4F">
        <w:rPr>
          <w:rFonts w:ascii="Times New Roman" w:hAnsi="Times New Roman" w:cs="Times New Roman"/>
          <w:sz w:val="28"/>
          <w:szCs w:val="28"/>
          <w:lang w:val="en-GB"/>
        </w:rPr>
        <w:t>in as much as it also involved the DPC. It was alleged to be partly oral and partly</w:t>
      </w:r>
      <w:r w:rsidR="00075CC7" w:rsidRPr="001A2D4F">
        <w:rPr>
          <w:rFonts w:ascii="Times New Roman" w:hAnsi="Times New Roman" w:cs="Times New Roman"/>
          <w:sz w:val="28"/>
          <w:szCs w:val="28"/>
          <w:lang w:val="en-GB"/>
        </w:rPr>
        <w:t xml:space="preserve"> written.</w:t>
      </w:r>
      <w:r w:rsidRPr="001A2D4F">
        <w:rPr>
          <w:rFonts w:ascii="Times New Roman" w:hAnsi="Times New Roman" w:cs="Times New Roman"/>
          <w:sz w:val="28"/>
          <w:szCs w:val="28"/>
          <w:lang w:val="en-GB"/>
        </w:rPr>
        <w:t xml:space="preserve"> </w:t>
      </w:r>
      <w:r w:rsidR="00400B91" w:rsidRPr="001A2D4F">
        <w:rPr>
          <w:rFonts w:ascii="Times New Roman" w:hAnsi="Times New Roman" w:cs="Times New Roman"/>
          <w:sz w:val="28"/>
          <w:szCs w:val="28"/>
          <w:lang w:val="en-GB"/>
        </w:rPr>
        <w:t>Before this Court, c</w:t>
      </w:r>
      <w:r w:rsidRPr="001A2D4F">
        <w:rPr>
          <w:rFonts w:ascii="Times New Roman" w:hAnsi="Times New Roman" w:cs="Times New Roman"/>
          <w:sz w:val="28"/>
          <w:szCs w:val="28"/>
          <w:lang w:val="en-GB"/>
        </w:rPr>
        <w:t>ounsel for I</w:t>
      </w:r>
      <w:r w:rsidR="004316E4" w:rsidRPr="001A2D4F">
        <w:rPr>
          <w:rFonts w:ascii="Times New Roman" w:hAnsi="Times New Roman" w:cs="Times New Roman"/>
          <w:sz w:val="28"/>
          <w:szCs w:val="28"/>
          <w:lang w:val="en-GB"/>
        </w:rPr>
        <w:t>FS</w:t>
      </w:r>
      <w:r w:rsidRPr="001A2D4F">
        <w:rPr>
          <w:rFonts w:ascii="Times New Roman" w:hAnsi="Times New Roman" w:cs="Times New Roman"/>
          <w:sz w:val="28"/>
          <w:szCs w:val="28"/>
          <w:lang w:val="en-GB"/>
        </w:rPr>
        <w:t xml:space="preserve"> conceded that the agreement conferred no rights upon</w:t>
      </w:r>
      <w:r w:rsidR="00EE3156"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nor imposed any obligations on </w:t>
      </w:r>
      <w:r w:rsidR="00400B91" w:rsidRPr="001A2D4F">
        <w:rPr>
          <w:rFonts w:ascii="Times New Roman" w:hAnsi="Times New Roman" w:cs="Times New Roman"/>
          <w:sz w:val="28"/>
          <w:szCs w:val="28"/>
          <w:lang w:val="en-GB"/>
        </w:rPr>
        <w:t xml:space="preserve">the </w:t>
      </w:r>
      <w:r w:rsidRPr="001A2D4F">
        <w:rPr>
          <w:rFonts w:ascii="Times New Roman" w:hAnsi="Times New Roman" w:cs="Times New Roman"/>
          <w:sz w:val="28"/>
          <w:szCs w:val="28"/>
          <w:lang w:val="en-GB"/>
        </w:rPr>
        <w:t xml:space="preserve">DPC and was therefore not </w:t>
      </w:r>
      <w:r w:rsidR="00F638DE" w:rsidRPr="001A2D4F">
        <w:rPr>
          <w:rFonts w:ascii="Times New Roman" w:hAnsi="Times New Roman" w:cs="Times New Roman"/>
          <w:sz w:val="28"/>
          <w:szCs w:val="28"/>
          <w:lang w:val="en-GB"/>
        </w:rPr>
        <w:t xml:space="preserve">in fact a </w:t>
      </w:r>
      <w:r w:rsidRPr="001A2D4F">
        <w:rPr>
          <w:rFonts w:ascii="Times New Roman" w:hAnsi="Times New Roman" w:cs="Times New Roman"/>
          <w:sz w:val="28"/>
          <w:szCs w:val="28"/>
          <w:lang w:val="en-GB"/>
        </w:rPr>
        <w:t>tripartite</w:t>
      </w:r>
      <w:r w:rsidR="00F638DE" w:rsidRPr="001A2D4F">
        <w:rPr>
          <w:rFonts w:ascii="Times New Roman" w:hAnsi="Times New Roman" w:cs="Times New Roman"/>
          <w:sz w:val="28"/>
          <w:szCs w:val="28"/>
          <w:lang w:val="en-GB"/>
        </w:rPr>
        <w:t xml:space="preserve"> one</w:t>
      </w:r>
      <w:r w:rsidRPr="001A2D4F">
        <w:rPr>
          <w:rFonts w:ascii="Times New Roman" w:hAnsi="Times New Roman" w:cs="Times New Roman"/>
          <w:sz w:val="28"/>
          <w:szCs w:val="28"/>
          <w:lang w:val="en-GB"/>
        </w:rPr>
        <w:t xml:space="preserve">. Counsel also conceded that the </w:t>
      </w:r>
      <w:r w:rsidR="00B8182A" w:rsidRPr="001A2D4F">
        <w:rPr>
          <w:rFonts w:ascii="Times New Roman" w:hAnsi="Times New Roman" w:cs="Times New Roman"/>
          <w:sz w:val="28"/>
          <w:szCs w:val="28"/>
          <w:lang w:val="en-GB"/>
        </w:rPr>
        <w:t xml:space="preserve">letter of </w:t>
      </w:r>
      <w:r w:rsidRPr="001A2D4F">
        <w:rPr>
          <w:rFonts w:ascii="Times New Roman" w:hAnsi="Times New Roman" w:cs="Times New Roman"/>
          <w:sz w:val="28"/>
          <w:szCs w:val="28"/>
          <w:lang w:val="en-GB"/>
        </w:rPr>
        <w:t>mandate</w:t>
      </w:r>
      <w:r w:rsidR="007032B3"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w:t>
      </w:r>
      <w:r w:rsidR="00B8182A" w:rsidRPr="001A2D4F">
        <w:rPr>
          <w:rFonts w:ascii="Times New Roman" w:hAnsi="Times New Roman" w:cs="Times New Roman"/>
          <w:sz w:val="28"/>
          <w:szCs w:val="28"/>
          <w:lang w:val="en-GB"/>
        </w:rPr>
        <w:t>said to reflect the written terms</w:t>
      </w:r>
      <w:r w:rsidR="00400B91" w:rsidRPr="001A2D4F">
        <w:rPr>
          <w:rFonts w:ascii="Times New Roman" w:hAnsi="Times New Roman" w:cs="Times New Roman"/>
          <w:sz w:val="28"/>
          <w:szCs w:val="28"/>
          <w:lang w:val="en-GB"/>
        </w:rPr>
        <w:t xml:space="preserve"> of the alleged agreement</w:t>
      </w:r>
      <w:r w:rsidRPr="001A2D4F">
        <w:rPr>
          <w:rFonts w:ascii="Times New Roman" w:hAnsi="Times New Roman" w:cs="Times New Roman"/>
          <w:sz w:val="28"/>
          <w:szCs w:val="28"/>
          <w:lang w:val="en-GB"/>
        </w:rPr>
        <w:t xml:space="preserve">, was framed in the broadest of terms. It did not </w:t>
      </w:r>
      <w:r w:rsidR="007032B3" w:rsidRPr="001A2D4F">
        <w:rPr>
          <w:rFonts w:ascii="Times New Roman" w:hAnsi="Times New Roman" w:cs="Times New Roman"/>
          <w:sz w:val="28"/>
          <w:szCs w:val="28"/>
          <w:lang w:val="en-GB"/>
        </w:rPr>
        <w:t>indicate</w:t>
      </w:r>
      <w:r w:rsidRPr="001A2D4F">
        <w:rPr>
          <w:rFonts w:ascii="Times New Roman" w:hAnsi="Times New Roman" w:cs="Times New Roman"/>
          <w:sz w:val="28"/>
          <w:szCs w:val="28"/>
          <w:lang w:val="en-GB"/>
        </w:rPr>
        <w:t xml:space="preserve"> express agreement regarding the scope of </w:t>
      </w:r>
      <w:r w:rsidR="00642DF2" w:rsidRPr="001A2D4F">
        <w:rPr>
          <w:rFonts w:ascii="Times New Roman" w:hAnsi="Times New Roman" w:cs="Times New Roman"/>
          <w:sz w:val="28"/>
          <w:szCs w:val="28"/>
          <w:lang w:val="en-GB"/>
        </w:rPr>
        <w:t xml:space="preserve">the </w:t>
      </w:r>
      <w:r w:rsidRPr="001A2D4F">
        <w:rPr>
          <w:rFonts w:ascii="Times New Roman" w:hAnsi="Times New Roman" w:cs="Times New Roman"/>
          <w:sz w:val="28"/>
          <w:szCs w:val="28"/>
          <w:lang w:val="en-GB"/>
        </w:rPr>
        <w:t>work to be performed.</w:t>
      </w:r>
    </w:p>
    <w:p w14:paraId="05F2FBA8" w14:textId="77777777" w:rsidR="00075CC7" w:rsidRPr="001A2D4F" w:rsidRDefault="00075CC7" w:rsidP="00A23A58">
      <w:pPr>
        <w:spacing w:after="0" w:line="360" w:lineRule="auto"/>
        <w:jc w:val="both"/>
        <w:rPr>
          <w:rFonts w:ascii="Times New Roman" w:hAnsi="Times New Roman" w:cs="Times New Roman"/>
          <w:sz w:val="28"/>
          <w:szCs w:val="28"/>
          <w:lang w:val="en-GB"/>
        </w:rPr>
      </w:pPr>
    </w:p>
    <w:p w14:paraId="17CC3781" w14:textId="2DAAF7E4" w:rsidR="00065C06" w:rsidRPr="001A2D4F" w:rsidRDefault="00B8182A"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2</w:t>
      </w:r>
      <w:r w:rsidRPr="001A2D4F">
        <w:rPr>
          <w:rFonts w:ascii="Times New Roman" w:hAnsi="Times New Roman" w:cs="Times New Roman"/>
          <w:sz w:val="28"/>
          <w:szCs w:val="28"/>
          <w:lang w:val="en-GB"/>
        </w:rPr>
        <w:t>]</w:t>
      </w:r>
      <w:r w:rsidR="00EE3156" w:rsidRPr="001A2D4F">
        <w:rPr>
          <w:rFonts w:ascii="Times New Roman" w:hAnsi="Times New Roman" w:cs="Times New Roman"/>
          <w:sz w:val="28"/>
          <w:szCs w:val="28"/>
          <w:lang w:val="en-GB"/>
        </w:rPr>
        <w:tab/>
      </w:r>
      <w:r w:rsidRPr="001A2D4F">
        <w:rPr>
          <w:rFonts w:ascii="Times New Roman" w:hAnsi="Times New Roman" w:cs="Times New Roman"/>
          <w:sz w:val="28"/>
          <w:szCs w:val="28"/>
          <w:lang w:val="en-GB"/>
        </w:rPr>
        <w:t xml:space="preserve">Mr Afrika </w:t>
      </w:r>
      <w:r w:rsidR="00065C06" w:rsidRPr="001A2D4F">
        <w:rPr>
          <w:rFonts w:ascii="Times New Roman" w:hAnsi="Times New Roman" w:cs="Times New Roman"/>
          <w:sz w:val="28"/>
          <w:szCs w:val="28"/>
          <w:lang w:val="en-GB"/>
        </w:rPr>
        <w:t xml:space="preserve">stated that it was envisaged that the parties </w:t>
      </w:r>
      <w:r w:rsidRPr="001A2D4F">
        <w:rPr>
          <w:rFonts w:ascii="Times New Roman" w:hAnsi="Times New Roman" w:cs="Times New Roman"/>
          <w:sz w:val="28"/>
          <w:szCs w:val="28"/>
          <w:lang w:val="en-GB"/>
        </w:rPr>
        <w:t xml:space="preserve">would </w:t>
      </w:r>
      <w:r w:rsidR="00065C06" w:rsidRPr="001A2D4F">
        <w:rPr>
          <w:rFonts w:ascii="Times New Roman" w:hAnsi="Times New Roman" w:cs="Times New Roman"/>
          <w:sz w:val="28"/>
          <w:szCs w:val="28"/>
          <w:lang w:val="en-GB"/>
        </w:rPr>
        <w:t>engage</w:t>
      </w:r>
      <w:r w:rsidR="00075CC7" w:rsidRPr="001A2D4F">
        <w:rPr>
          <w:rFonts w:ascii="Times New Roman" w:hAnsi="Times New Roman" w:cs="Times New Roman"/>
          <w:sz w:val="28"/>
          <w:szCs w:val="28"/>
          <w:lang w:val="en-GB"/>
        </w:rPr>
        <w:t xml:space="preserve"> with one another</w:t>
      </w:r>
      <w:r w:rsidR="00065C06" w:rsidRPr="001A2D4F">
        <w:rPr>
          <w:rFonts w:ascii="Times New Roman" w:hAnsi="Times New Roman" w:cs="Times New Roman"/>
          <w:sz w:val="28"/>
          <w:szCs w:val="28"/>
          <w:lang w:val="en-GB"/>
        </w:rPr>
        <w:t xml:space="preserve"> and reach agreement on the costs of </w:t>
      </w:r>
      <w:r w:rsidRPr="001A2D4F">
        <w:rPr>
          <w:rFonts w:ascii="Times New Roman" w:hAnsi="Times New Roman" w:cs="Times New Roman"/>
          <w:sz w:val="28"/>
          <w:szCs w:val="28"/>
          <w:lang w:val="en-GB"/>
        </w:rPr>
        <w:t>the litigation support s</w:t>
      </w:r>
      <w:r w:rsidR="00065C06" w:rsidRPr="001A2D4F">
        <w:rPr>
          <w:rFonts w:ascii="Times New Roman" w:hAnsi="Times New Roman" w:cs="Times New Roman"/>
          <w:sz w:val="28"/>
          <w:szCs w:val="28"/>
          <w:lang w:val="en-GB"/>
        </w:rPr>
        <w:t>ervices</w:t>
      </w:r>
      <w:r w:rsidR="00075CC7" w:rsidRPr="001A2D4F">
        <w:rPr>
          <w:rFonts w:ascii="Times New Roman" w:hAnsi="Times New Roman" w:cs="Times New Roman"/>
          <w:sz w:val="28"/>
          <w:szCs w:val="28"/>
          <w:lang w:val="en-GB"/>
        </w:rPr>
        <w:t>. This would allow Amajuba to make</w:t>
      </w:r>
      <w:r w:rsidR="00065C06" w:rsidRPr="001A2D4F">
        <w:rPr>
          <w:rFonts w:ascii="Times New Roman" w:hAnsi="Times New Roman" w:cs="Times New Roman"/>
          <w:sz w:val="28"/>
          <w:szCs w:val="28"/>
          <w:lang w:val="en-GB"/>
        </w:rPr>
        <w:t xml:space="preserve"> provision for such costs. As far as the written mandate was concerned, he explained that this indicated the scope of work to be undertaken, but that the parties</w:t>
      </w:r>
      <w:r w:rsidR="006147EC" w:rsidRPr="001A2D4F">
        <w:rPr>
          <w:rFonts w:ascii="Times New Roman" w:hAnsi="Times New Roman" w:cs="Times New Roman"/>
          <w:sz w:val="28"/>
          <w:szCs w:val="28"/>
          <w:lang w:val="en-GB"/>
        </w:rPr>
        <w:t xml:space="preserve"> would engage</w:t>
      </w:r>
      <w:r w:rsidR="00065C06" w:rsidRPr="001A2D4F">
        <w:rPr>
          <w:rFonts w:ascii="Times New Roman" w:hAnsi="Times New Roman" w:cs="Times New Roman"/>
          <w:sz w:val="28"/>
          <w:szCs w:val="28"/>
          <w:lang w:val="en-GB"/>
        </w:rPr>
        <w:t xml:space="preserve"> in further discussion when they </w:t>
      </w:r>
      <w:r w:rsidR="00065C06" w:rsidRPr="001A2D4F">
        <w:rPr>
          <w:rFonts w:ascii="Times New Roman" w:hAnsi="Times New Roman" w:cs="Times New Roman"/>
          <w:sz w:val="28"/>
          <w:szCs w:val="28"/>
          <w:lang w:val="en-GB"/>
        </w:rPr>
        <w:lastRenderedPageBreak/>
        <w:t>were ready to commence the work. It is important to emphasise that Mr Afrika was the person who represented Amajuba in the conclusion of the alleged agreement, and that his evidence was presented by I</w:t>
      </w:r>
      <w:r w:rsidR="00EE3156" w:rsidRPr="001A2D4F">
        <w:rPr>
          <w:rFonts w:ascii="Times New Roman" w:hAnsi="Times New Roman" w:cs="Times New Roman"/>
          <w:sz w:val="28"/>
          <w:szCs w:val="28"/>
          <w:lang w:val="en-GB"/>
        </w:rPr>
        <w:t>FS</w:t>
      </w:r>
      <w:r w:rsidR="00065C06" w:rsidRPr="001A2D4F">
        <w:rPr>
          <w:rFonts w:ascii="Times New Roman" w:hAnsi="Times New Roman" w:cs="Times New Roman"/>
          <w:sz w:val="28"/>
          <w:szCs w:val="28"/>
          <w:lang w:val="en-GB"/>
        </w:rPr>
        <w:t xml:space="preserve"> to support their pleaded case.</w:t>
      </w:r>
      <w:r w:rsidR="006147EC" w:rsidRPr="001A2D4F">
        <w:rPr>
          <w:rFonts w:ascii="Times New Roman" w:hAnsi="Times New Roman" w:cs="Times New Roman"/>
          <w:sz w:val="28"/>
          <w:szCs w:val="28"/>
          <w:lang w:val="en-GB"/>
        </w:rPr>
        <w:t xml:space="preserve"> As far as </w:t>
      </w:r>
      <w:r w:rsidR="00F638DE" w:rsidRPr="001A2D4F">
        <w:rPr>
          <w:rFonts w:ascii="Times New Roman" w:hAnsi="Times New Roman" w:cs="Times New Roman"/>
          <w:sz w:val="28"/>
          <w:szCs w:val="28"/>
          <w:lang w:val="en-GB"/>
        </w:rPr>
        <w:t xml:space="preserve">the </w:t>
      </w:r>
      <w:r w:rsidR="006147EC" w:rsidRPr="001A2D4F">
        <w:rPr>
          <w:rFonts w:ascii="Times New Roman" w:hAnsi="Times New Roman" w:cs="Times New Roman"/>
          <w:sz w:val="28"/>
          <w:szCs w:val="28"/>
          <w:lang w:val="en-GB"/>
        </w:rPr>
        <w:t xml:space="preserve">lawfulness of the contract was concerned, Mr Afrika stated that the litigation support agreement was an ‘extension’ of the forensic investigation agreement and was, in his view, covered by the initial deviation from the procurement process. </w:t>
      </w:r>
      <w:r w:rsidR="007032B3" w:rsidRPr="001A2D4F">
        <w:rPr>
          <w:rFonts w:ascii="Times New Roman" w:hAnsi="Times New Roman" w:cs="Times New Roman"/>
          <w:sz w:val="28"/>
          <w:szCs w:val="28"/>
          <w:lang w:val="en-GB"/>
        </w:rPr>
        <w:t>T</w:t>
      </w:r>
      <w:r w:rsidR="006147EC" w:rsidRPr="001A2D4F">
        <w:rPr>
          <w:rFonts w:ascii="Times New Roman" w:hAnsi="Times New Roman" w:cs="Times New Roman"/>
          <w:sz w:val="28"/>
          <w:szCs w:val="28"/>
          <w:lang w:val="en-GB"/>
        </w:rPr>
        <w:t>he costs and duration of the services were matters to be dealt with when the support services were to be provided</w:t>
      </w:r>
      <w:r w:rsidR="0003651C" w:rsidRPr="001A2D4F">
        <w:rPr>
          <w:rFonts w:ascii="Times New Roman" w:hAnsi="Times New Roman" w:cs="Times New Roman"/>
          <w:sz w:val="28"/>
          <w:szCs w:val="28"/>
          <w:lang w:val="en-GB"/>
        </w:rPr>
        <w:t xml:space="preserve">. </w:t>
      </w:r>
    </w:p>
    <w:p w14:paraId="1BA77019" w14:textId="77777777" w:rsidR="00A23A58" w:rsidRPr="001A2D4F" w:rsidRDefault="00A23A58" w:rsidP="00A23A58">
      <w:pPr>
        <w:spacing w:after="0" w:line="360" w:lineRule="auto"/>
        <w:jc w:val="both"/>
        <w:rPr>
          <w:rFonts w:ascii="Times New Roman" w:hAnsi="Times New Roman" w:cs="Times New Roman"/>
          <w:sz w:val="28"/>
          <w:szCs w:val="28"/>
          <w:lang w:val="en-GB"/>
        </w:rPr>
      </w:pPr>
    </w:p>
    <w:p w14:paraId="5EF52B6C" w14:textId="58B38D7D" w:rsidR="00767BE2" w:rsidRPr="001A2D4F" w:rsidRDefault="00065C06" w:rsidP="00767BE2">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7032B3"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3</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Mr Saunders</w:t>
      </w:r>
      <w:r w:rsidR="006147EC" w:rsidRPr="001A2D4F">
        <w:rPr>
          <w:rFonts w:ascii="Times New Roman" w:hAnsi="Times New Roman" w:cs="Times New Roman"/>
          <w:sz w:val="28"/>
          <w:szCs w:val="28"/>
          <w:lang w:val="en-GB"/>
        </w:rPr>
        <w:t xml:space="preserve"> </w:t>
      </w:r>
      <w:r w:rsidR="00E75D8A" w:rsidRPr="001A2D4F">
        <w:rPr>
          <w:rFonts w:ascii="Times New Roman" w:hAnsi="Times New Roman" w:cs="Times New Roman"/>
          <w:sz w:val="28"/>
          <w:szCs w:val="28"/>
          <w:lang w:val="en-GB"/>
        </w:rPr>
        <w:t>believed</w:t>
      </w:r>
      <w:r w:rsidR="006147EC" w:rsidRPr="001A2D4F">
        <w:rPr>
          <w:rFonts w:ascii="Times New Roman" w:hAnsi="Times New Roman" w:cs="Times New Roman"/>
          <w:sz w:val="28"/>
          <w:szCs w:val="28"/>
          <w:lang w:val="en-GB"/>
        </w:rPr>
        <w:t xml:space="preserve"> that agreement had been reached on the essential terms. He had agreed to continue providing services at the same rate IFS had previously charged. He conceded that the work to be </w:t>
      </w:r>
      <w:r w:rsidR="00642DF2" w:rsidRPr="001A2D4F">
        <w:rPr>
          <w:rFonts w:ascii="Times New Roman" w:hAnsi="Times New Roman" w:cs="Times New Roman"/>
          <w:sz w:val="28"/>
          <w:szCs w:val="28"/>
          <w:lang w:val="en-GB"/>
        </w:rPr>
        <w:t>per</w:t>
      </w:r>
      <w:r w:rsidR="006147EC" w:rsidRPr="001A2D4F">
        <w:rPr>
          <w:rFonts w:ascii="Times New Roman" w:hAnsi="Times New Roman" w:cs="Times New Roman"/>
          <w:sz w:val="28"/>
          <w:szCs w:val="28"/>
          <w:lang w:val="en-GB"/>
        </w:rPr>
        <w:t xml:space="preserve">formed would </w:t>
      </w:r>
      <w:r w:rsidR="000759F1" w:rsidRPr="001A2D4F">
        <w:rPr>
          <w:rFonts w:ascii="Times New Roman" w:hAnsi="Times New Roman" w:cs="Times New Roman"/>
          <w:sz w:val="28"/>
          <w:szCs w:val="28"/>
          <w:lang w:val="en-GB"/>
        </w:rPr>
        <w:t xml:space="preserve">be that which was required by </w:t>
      </w:r>
      <w:r w:rsidR="00E75D8A" w:rsidRPr="001A2D4F">
        <w:rPr>
          <w:rFonts w:ascii="Times New Roman" w:hAnsi="Times New Roman" w:cs="Times New Roman"/>
          <w:sz w:val="28"/>
          <w:szCs w:val="28"/>
          <w:lang w:val="en-GB"/>
        </w:rPr>
        <w:t xml:space="preserve">the </w:t>
      </w:r>
      <w:r w:rsidR="000759F1" w:rsidRPr="001A2D4F">
        <w:rPr>
          <w:rFonts w:ascii="Times New Roman" w:hAnsi="Times New Roman" w:cs="Times New Roman"/>
          <w:sz w:val="28"/>
          <w:szCs w:val="28"/>
          <w:lang w:val="en-GB"/>
        </w:rPr>
        <w:t>DPC o</w:t>
      </w:r>
      <w:r w:rsidR="00E75D8A" w:rsidRPr="001A2D4F">
        <w:rPr>
          <w:rFonts w:ascii="Times New Roman" w:hAnsi="Times New Roman" w:cs="Times New Roman"/>
          <w:sz w:val="28"/>
          <w:szCs w:val="28"/>
          <w:lang w:val="en-GB"/>
        </w:rPr>
        <w:t xml:space="preserve">r </w:t>
      </w:r>
      <w:r w:rsidR="000759F1" w:rsidRPr="001A2D4F">
        <w:rPr>
          <w:rFonts w:ascii="Times New Roman" w:hAnsi="Times New Roman" w:cs="Times New Roman"/>
          <w:sz w:val="28"/>
          <w:szCs w:val="28"/>
          <w:lang w:val="en-GB"/>
        </w:rPr>
        <w:t xml:space="preserve">the NPA. </w:t>
      </w:r>
      <w:r w:rsidR="00075CC7" w:rsidRPr="001A2D4F">
        <w:rPr>
          <w:rFonts w:ascii="Times New Roman" w:hAnsi="Times New Roman" w:cs="Times New Roman"/>
          <w:sz w:val="28"/>
          <w:szCs w:val="28"/>
          <w:lang w:val="en-GB"/>
        </w:rPr>
        <w:t xml:space="preserve">He anticipated </w:t>
      </w:r>
      <w:r w:rsidR="00F638DE" w:rsidRPr="001A2D4F">
        <w:rPr>
          <w:rFonts w:ascii="Times New Roman" w:hAnsi="Times New Roman" w:cs="Times New Roman"/>
          <w:sz w:val="28"/>
          <w:szCs w:val="28"/>
          <w:lang w:val="en-GB"/>
        </w:rPr>
        <w:t xml:space="preserve">the </w:t>
      </w:r>
      <w:r w:rsidR="00075CC7" w:rsidRPr="001A2D4F">
        <w:rPr>
          <w:rFonts w:ascii="Times New Roman" w:hAnsi="Times New Roman" w:cs="Times New Roman"/>
          <w:sz w:val="28"/>
          <w:szCs w:val="28"/>
          <w:lang w:val="en-GB"/>
        </w:rPr>
        <w:t xml:space="preserve">ongoing involvement by Mr Afrika in the execution of the contract. His </w:t>
      </w:r>
      <w:r w:rsidRPr="001A2D4F">
        <w:rPr>
          <w:rFonts w:ascii="Times New Roman" w:hAnsi="Times New Roman" w:cs="Times New Roman"/>
          <w:sz w:val="28"/>
          <w:szCs w:val="28"/>
          <w:lang w:val="en-GB"/>
        </w:rPr>
        <w:t xml:space="preserve">evidence was that once Mr Afrika had left Amajuba, he tried in vain to find someone from Amajuba who would step in to represent </w:t>
      </w:r>
      <w:r w:rsidR="00F638DE" w:rsidRPr="001A2D4F">
        <w:rPr>
          <w:rFonts w:ascii="Times New Roman" w:hAnsi="Times New Roman" w:cs="Times New Roman"/>
          <w:sz w:val="28"/>
          <w:szCs w:val="28"/>
          <w:lang w:val="en-GB"/>
        </w:rPr>
        <w:t>it .</w:t>
      </w:r>
    </w:p>
    <w:p w14:paraId="1079FB2D" w14:textId="7E8FC9F0" w:rsidR="00065C06" w:rsidRPr="001A2D4F" w:rsidRDefault="00065C06" w:rsidP="00A23A58">
      <w:pPr>
        <w:spacing w:after="0" w:line="360" w:lineRule="auto"/>
        <w:jc w:val="both"/>
        <w:rPr>
          <w:rFonts w:ascii="Times New Roman" w:hAnsi="Times New Roman" w:cs="Times New Roman"/>
          <w:sz w:val="28"/>
          <w:szCs w:val="28"/>
          <w:lang w:val="en-GB"/>
        </w:rPr>
      </w:pPr>
    </w:p>
    <w:p w14:paraId="172D5682" w14:textId="31B26EF6"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7032B3"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4</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r>
      <w:r w:rsidR="00BA38DB" w:rsidRPr="001A2D4F">
        <w:rPr>
          <w:rFonts w:ascii="Times New Roman" w:hAnsi="Times New Roman" w:cs="Times New Roman"/>
          <w:sz w:val="28"/>
          <w:szCs w:val="28"/>
          <w:lang w:val="en-GB"/>
        </w:rPr>
        <w:t>The undisputed</w:t>
      </w:r>
      <w:r w:rsidR="00077089" w:rsidRPr="001A2D4F">
        <w:rPr>
          <w:rFonts w:ascii="Times New Roman" w:hAnsi="Times New Roman" w:cs="Times New Roman"/>
          <w:sz w:val="28"/>
          <w:szCs w:val="28"/>
          <w:lang w:val="en-GB"/>
        </w:rPr>
        <w:t xml:space="preserve"> evidence of Mr Zwane</w:t>
      </w:r>
      <w:r w:rsidR="00BA38DB" w:rsidRPr="001A2D4F">
        <w:rPr>
          <w:rFonts w:ascii="Times New Roman" w:hAnsi="Times New Roman" w:cs="Times New Roman"/>
          <w:sz w:val="28"/>
          <w:szCs w:val="28"/>
          <w:lang w:val="en-GB"/>
        </w:rPr>
        <w:t xml:space="preserve"> was </w:t>
      </w:r>
      <w:r w:rsidR="00077089" w:rsidRPr="001A2D4F">
        <w:rPr>
          <w:rFonts w:ascii="Times New Roman" w:hAnsi="Times New Roman" w:cs="Times New Roman"/>
          <w:sz w:val="28"/>
          <w:szCs w:val="28"/>
          <w:lang w:val="en-GB"/>
        </w:rPr>
        <w:t xml:space="preserve">that no letter of instruction or order was issued by Amajuba for the work performed by IFS. </w:t>
      </w:r>
      <w:r w:rsidR="00BA38DB" w:rsidRPr="001A2D4F">
        <w:rPr>
          <w:rFonts w:ascii="Times New Roman" w:hAnsi="Times New Roman" w:cs="Times New Roman"/>
          <w:sz w:val="28"/>
          <w:szCs w:val="28"/>
          <w:lang w:val="en-GB"/>
        </w:rPr>
        <w:t xml:space="preserve">There was no authorisation for a deviation from </w:t>
      </w:r>
      <w:r w:rsidR="00F638DE" w:rsidRPr="001A2D4F">
        <w:rPr>
          <w:rFonts w:ascii="Times New Roman" w:hAnsi="Times New Roman" w:cs="Times New Roman"/>
          <w:sz w:val="28"/>
          <w:szCs w:val="28"/>
          <w:lang w:val="en-GB"/>
        </w:rPr>
        <w:t xml:space="preserve">the </w:t>
      </w:r>
      <w:r w:rsidR="00BA38DB" w:rsidRPr="001A2D4F">
        <w:rPr>
          <w:rFonts w:ascii="Times New Roman" w:hAnsi="Times New Roman" w:cs="Times New Roman"/>
          <w:sz w:val="28"/>
          <w:szCs w:val="28"/>
          <w:lang w:val="en-GB"/>
        </w:rPr>
        <w:t>procurement requirements and n</w:t>
      </w:r>
      <w:r w:rsidR="00077089" w:rsidRPr="001A2D4F">
        <w:rPr>
          <w:rFonts w:ascii="Times New Roman" w:hAnsi="Times New Roman" w:cs="Times New Roman"/>
          <w:sz w:val="28"/>
          <w:szCs w:val="28"/>
          <w:lang w:val="en-GB"/>
        </w:rPr>
        <w:t>o budget provision was made for such work</w:t>
      </w:r>
      <w:r w:rsidR="00BA38DB" w:rsidRPr="001A2D4F">
        <w:rPr>
          <w:rFonts w:ascii="Times New Roman" w:hAnsi="Times New Roman" w:cs="Times New Roman"/>
          <w:sz w:val="28"/>
          <w:szCs w:val="28"/>
          <w:lang w:val="en-GB"/>
        </w:rPr>
        <w:t>. On the facts</w:t>
      </w:r>
      <w:r w:rsidR="00F638DE" w:rsidRPr="001A2D4F">
        <w:rPr>
          <w:rFonts w:ascii="Times New Roman" w:hAnsi="Times New Roman" w:cs="Times New Roman"/>
          <w:sz w:val="28"/>
          <w:szCs w:val="28"/>
          <w:lang w:val="en-GB"/>
        </w:rPr>
        <w:t>,</w:t>
      </w:r>
      <w:r w:rsidR="00077089" w:rsidRPr="001A2D4F">
        <w:rPr>
          <w:rFonts w:ascii="Times New Roman" w:hAnsi="Times New Roman" w:cs="Times New Roman"/>
          <w:sz w:val="28"/>
          <w:szCs w:val="28"/>
          <w:lang w:val="en-GB"/>
        </w:rPr>
        <w:t xml:space="preserve"> there was no indication of the duration of the contract</w:t>
      </w:r>
      <w:r w:rsidRPr="001A2D4F">
        <w:rPr>
          <w:rFonts w:ascii="Times New Roman" w:hAnsi="Times New Roman" w:cs="Times New Roman"/>
          <w:sz w:val="28"/>
          <w:szCs w:val="28"/>
          <w:lang w:val="en-GB"/>
        </w:rPr>
        <w:t>.</w:t>
      </w:r>
      <w:r w:rsidR="00077089" w:rsidRPr="001A2D4F">
        <w:rPr>
          <w:rFonts w:ascii="Times New Roman" w:hAnsi="Times New Roman" w:cs="Times New Roman"/>
          <w:sz w:val="28"/>
          <w:szCs w:val="28"/>
          <w:lang w:val="en-GB"/>
        </w:rPr>
        <w:t xml:space="preserve"> </w:t>
      </w:r>
      <w:r w:rsidR="00767BE2" w:rsidRPr="001A2D4F">
        <w:rPr>
          <w:rFonts w:ascii="Times New Roman" w:hAnsi="Times New Roman" w:cs="Times New Roman"/>
          <w:sz w:val="28"/>
          <w:szCs w:val="28"/>
          <w:lang w:val="en-GB"/>
        </w:rPr>
        <w:t>The cumulative effect of the evidence of Mr Afrika and Mr Saunders was tantamount to evidence of an unenforceable agreement to agree.</w:t>
      </w:r>
      <w:r w:rsidR="00767BE2" w:rsidRPr="001A2D4F">
        <w:rPr>
          <w:rStyle w:val="FootnoteReference"/>
          <w:rFonts w:ascii="Times New Roman" w:hAnsi="Times New Roman" w:cs="Times New Roman"/>
          <w:sz w:val="28"/>
          <w:szCs w:val="28"/>
          <w:lang w:val="en-GB"/>
        </w:rPr>
        <w:footnoteReference w:id="4"/>
      </w:r>
      <w:r w:rsidR="00767BE2" w:rsidRPr="001A2D4F">
        <w:rPr>
          <w:rFonts w:ascii="Times New Roman" w:hAnsi="Times New Roman" w:cs="Times New Roman"/>
          <w:sz w:val="28"/>
          <w:szCs w:val="28"/>
          <w:lang w:val="en-GB"/>
        </w:rPr>
        <w:t xml:space="preserve"> </w:t>
      </w:r>
      <w:r w:rsidR="00077089" w:rsidRPr="001A2D4F">
        <w:rPr>
          <w:rFonts w:ascii="Times New Roman" w:hAnsi="Times New Roman" w:cs="Times New Roman"/>
          <w:sz w:val="28"/>
          <w:szCs w:val="28"/>
          <w:lang w:val="en-GB"/>
        </w:rPr>
        <w:t xml:space="preserve">The </w:t>
      </w:r>
      <w:r w:rsidRPr="001A2D4F">
        <w:rPr>
          <w:rFonts w:ascii="Times New Roman" w:hAnsi="Times New Roman" w:cs="Times New Roman"/>
          <w:sz w:val="28"/>
          <w:szCs w:val="28"/>
          <w:lang w:val="en-GB"/>
        </w:rPr>
        <w:t>trial</w:t>
      </w:r>
      <w:r w:rsidR="00077089" w:rsidRPr="001A2D4F">
        <w:rPr>
          <w:rFonts w:ascii="Times New Roman" w:hAnsi="Times New Roman" w:cs="Times New Roman"/>
          <w:sz w:val="28"/>
          <w:szCs w:val="28"/>
          <w:lang w:val="en-GB"/>
        </w:rPr>
        <w:t xml:space="preserve"> court found that the evidence did not prove that a </w:t>
      </w:r>
      <w:r w:rsidRPr="001A2D4F">
        <w:rPr>
          <w:rFonts w:ascii="Times New Roman" w:hAnsi="Times New Roman" w:cs="Times New Roman"/>
          <w:sz w:val="28"/>
          <w:szCs w:val="28"/>
          <w:lang w:val="en-GB"/>
        </w:rPr>
        <w:t xml:space="preserve">valid </w:t>
      </w:r>
      <w:r w:rsidR="00077089" w:rsidRPr="001A2D4F">
        <w:rPr>
          <w:rFonts w:ascii="Times New Roman" w:hAnsi="Times New Roman" w:cs="Times New Roman"/>
          <w:sz w:val="28"/>
          <w:szCs w:val="28"/>
          <w:lang w:val="en-GB"/>
        </w:rPr>
        <w:t xml:space="preserve">and binding agreement had been concluded. </w:t>
      </w:r>
      <w:r w:rsidRPr="001A2D4F">
        <w:rPr>
          <w:rFonts w:ascii="Times New Roman" w:hAnsi="Times New Roman" w:cs="Times New Roman"/>
          <w:sz w:val="28"/>
          <w:szCs w:val="28"/>
          <w:lang w:val="en-GB"/>
        </w:rPr>
        <w:t>The full court confirmed th</w:t>
      </w:r>
      <w:r w:rsidR="00077089" w:rsidRPr="001A2D4F">
        <w:rPr>
          <w:rFonts w:ascii="Times New Roman" w:hAnsi="Times New Roman" w:cs="Times New Roman"/>
          <w:sz w:val="28"/>
          <w:szCs w:val="28"/>
          <w:lang w:val="en-GB"/>
        </w:rPr>
        <w:t xml:space="preserve">e </w:t>
      </w:r>
      <w:r w:rsidRPr="001A2D4F">
        <w:rPr>
          <w:rFonts w:ascii="Times New Roman" w:hAnsi="Times New Roman" w:cs="Times New Roman"/>
          <w:sz w:val="28"/>
          <w:szCs w:val="28"/>
          <w:lang w:val="en-GB"/>
        </w:rPr>
        <w:t>finding.</w:t>
      </w:r>
      <w:r w:rsidR="00077089" w:rsidRPr="001A2D4F">
        <w:rPr>
          <w:rFonts w:ascii="Times New Roman" w:hAnsi="Times New Roman" w:cs="Times New Roman"/>
          <w:sz w:val="28"/>
          <w:szCs w:val="28"/>
          <w:lang w:val="en-GB"/>
        </w:rPr>
        <w:t xml:space="preserve"> Its conclusion was that there was no agreement regarding the scope of specific </w:t>
      </w:r>
      <w:r w:rsidR="00077089" w:rsidRPr="001A2D4F">
        <w:rPr>
          <w:rFonts w:ascii="Times New Roman" w:hAnsi="Times New Roman" w:cs="Times New Roman"/>
          <w:sz w:val="28"/>
          <w:szCs w:val="28"/>
          <w:lang w:val="en-GB"/>
        </w:rPr>
        <w:lastRenderedPageBreak/>
        <w:t>litigation support to be provided; no price was agreed for the provision of the services and the duration of the agreement was not specified. There was accordingly no agreement which was capable of enforcement.</w:t>
      </w:r>
    </w:p>
    <w:p w14:paraId="415C73BF" w14:textId="77777777" w:rsidR="00065C06" w:rsidRPr="001A2D4F" w:rsidRDefault="00065C06" w:rsidP="00A23A58">
      <w:pPr>
        <w:spacing w:after="0" w:line="360" w:lineRule="auto"/>
        <w:jc w:val="both"/>
        <w:rPr>
          <w:rFonts w:ascii="Times New Roman" w:hAnsi="Times New Roman" w:cs="Times New Roman"/>
          <w:sz w:val="28"/>
          <w:szCs w:val="28"/>
          <w:lang w:val="en-GB"/>
        </w:rPr>
      </w:pPr>
    </w:p>
    <w:p w14:paraId="10496E2E" w14:textId="06BB470C" w:rsidR="00065C06" w:rsidRPr="001A2D4F" w:rsidRDefault="00065C06"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7032B3"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5</w:t>
      </w:r>
      <w:r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ab/>
        <w:t xml:space="preserve">This  </w:t>
      </w:r>
      <w:r w:rsidR="00F638DE" w:rsidRPr="001A2D4F">
        <w:rPr>
          <w:rFonts w:ascii="Times New Roman" w:hAnsi="Times New Roman" w:cs="Times New Roman"/>
          <w:sz w:val="28"/>
          <w:szCs w:val="28"/>
          <w:lang w:val="en-GB"/>
        </w:rPr>
        <w:t xml:space="preserve">takes </w:t>
      </w:r>
      <w:r w:rsidRPr="001A2D4F">
        <w:rPr>
          <w:rFonts w:ascii="Times New Roman" w:hAnsi="Times New Roman" w:cs="Times New Roman"/>
          <w:sz w:val="28"/>
          <w:szCs w:val="28"/>
          <w:lang w:val="en-GB"/>
        </w:rPr>
        <w:t xml:space="preserve">me back to the question concerning special leave to appeal. On the evidence </w:t>
      </w:r>
      <w:r w:rsidR="007032B3" w:rsidRPr="001A2D4F">
        <w:rPr>
          <w:rFonts w:ascii="Times New Roman" w:hAnsi="Times New Roman" w:cs="Times New Roman"/>
          <w:sz w:val="28"/>
          <w:szCs w:val="28"/>
          <w:lang w:val="en-GB"/>
        </w:rPr>
        <w:t>presented before</w:t>
      </w:r>
      <w:r w:rsidRPr="001A2D4F">
        <w:rPr>
          <w:rFonts w:ascii="Times New Roman" w:hAnsi="Times New Roman" w:cs="Times New Roman"/>
          <w:sz w:val="28"/>
          <w:szCs w:val="28"/>
          <w:lang w:val="en-GB"/>
        </w:rPr>
        <w:t xml:space="preserve"> the trial court</w:t>
      </w:r>
      <w:r w:rsidR="00EE3156" w:rsidRPr="001A2D4F">
        <w:rPr>
          <w:rFonts w:ascii="Times New Roman" w:hAnsi="Times New Roman" w:cs="Times New Roman"/>
          <w:sz w:val="28"/>
          <w:szCs w:val="28"/>
          <w:lang w:val="en-GB"/>
        </w:rPr>
        <w:t>,</w:t>
      </w:r>
      <w:r w:rsidR="00DE7DCE" w:rsidRPr="001A2D4F">
        <w:rPr>
          <w:rFonts w:ascii="Times New Roman" w:hAnsi="Times New Roman" w:cs="Times New Roman"/>
          <w:sz w:val="28"/>
          <w:szCs w:val="28"/>
          <w:lang w:val="en-GB"/>
        </w:rPr>
        <w:t xml:space="preserve"> </w:t>
      </w:r>
      <w:r w:rsidR="000471ED" w:rsidRPr="001A2D4F">
        <w:rPr>
          <w:rFonts w:ascii="Times New Roman" w:hAnsi="Times New Roman" w:cs="Times New Roman"/>
          <w:sz w:val="28"/>
          <w:szCs w:val="28"/>
          <w:lang w:val="en-GB"/>
        </w:rPr>
        <w:t xml:space="preserve">its </w:t>
      </w:r>
      <w:r w:rsidRPr="001A2D4F">
        <w:rPr>
          <w:rFonts w:ascii="Times New Roman" w:hAnsi="Times New Roman" w:cs="Times New Roman"/>
          <w:sz w:val="28"/>
          <w:szCs w:val="28"/>
          <w:lang w:val="en-GB"/>
        </w:rPr>
        <w:t xml:space="preserve">finding that </w:t>
      </w:r>
      <w:r w:rsidR="000471ED" w:rsidRPr="001A2D4F">
        <w:rPr>
          <w:rFonts w:ascii="Times New Roman" w:hAnsi="Times New Roman" w:cs="Times New Roman"/>
          <w:sz w:val="28"/>
          <w:szCs w:val="28"/>
          <w:lang w:val="en-GB"/>
        </w:rPr>
        <w:t xml:space="preserve">no </w:t>
      </w:r>
      <w:r w:rsidRPr="001A2D4F">
        <w:rPr>
          <w:rFonts w:ascii="Times New Roman" w:hAnsi="Times New Roman" w:cs="Times New Roman"/>
          <w:sz w:val="28"/>
          <w:szCs w:val="28"/>
          <w:lang w:val="en-GB"/>
        </w:rPr>
        <w:t>contract came into existence</w:t>
      </w:r>
      <w:r w:rsidR="000471ED" w:rsidRPr="001A2D4F">
        <w:rPr>
          <w:rFonts w:ascii="Times New Roman" w:hAnsi="Times New Roman" w:cs="Times New Roman"/>
          <w:sz w:val="28"/>
          <w:szCs w:val="28"/>
          <w:lang w:val="en-GB"/>
        </w:rPr>
        <w:t>, cannot be faulted</w:t>
      </w:r>
      <w:r w:rsidR="00CB3F4E"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It follows that the </w:t>
      </w:r>
      <w:r w:rsidR="00D12F99" w:rsidRPr="001A2D4F">
        <w:rPr>
          <w:rFonts w:ascii="Times New Roman" w:hAnsi="Times New Roman" w:cs="Times New Roman"/>
          <w:sz w:val="28"/>
          <w:szCs w:val="28"/>
          <w:lang w:val="en-GB"/>
        </w:rPr>
        <w:t xml:space="preserve">minimum </w:t>
      </w:r>
      <w:r w:rsidRPr="001A2D4F">
        <w:rPr>
          <w:rFonts w:ascii="Times New Roman" w:hAnsi="Times New Roman" w:cs="Times New Roman"/>
          <w:sz w:val="28"/>
          <w:szCs w:val="28"/>
          <w:lang w:val="en-GB"/>
        </w:rPr>
        <w:t xml:space="preserve">requirement for </w:t>
      </w:r>
      <w:r w:rsidR="000471ED" w:rsidRPr="001A2D4F">
        <w:rPr>
          <w:rFonts w:ascii="Times New Roman" w:hAnsi="Times New Roman" w:cs="Times New Roman"/>
          <w:sz w:val="28"/>
          <w:szCs w:val="28"/>
          <w:lang w:val="en-GB"/>
        </w:rPr>
        <w:t xml:space="preserve">the </w:t>
      </w:r>
      <w:r w:rsidR="00D12F99" w:rsidRPr="001A2D4F">
        <w:rPr>
          <w:rFonts w:ascii="Times New Roman" w:hAnsi="Times New Roman" w:cs="Times New Roman"/>
          <w:sz w:val="28"/>
          <w:szCs w:val="28"/>
          <w:lang w:val="en-GB"/>
        </w:rPr>
        <w:t xml:space="preserve">granting </w:t>
      </w:r>
      <w:r w:rsidR="000471ED" w:rsidRPr="001A2D4F">
        <w:rPr>
          <w:rFonts w:ascii="Times New Roman" w:hAnsi="Times New Roman" w:cs="Times New Roman"/>
          <w:sz w:val="28"/>
          <w:szCs w:val="28"/>
          <w:lang w:val="en-GB"/>
        </w:rPr>
        <w:t xml:space="preserve">of </w:t>
      </w:r>
      <w:r w:rsidRPr="001A2D4F">
        <w:rPr>
          <w:rFonts w:ascii="Times New Roman" w:hAnsi="Times New Roman" w:cs="Times New Roman"/>
          <w:sz w:val="28"/>
          <w:szCs w:val="28"/>
          <w:lang w:val="en-GB"/>
        </w:rPr>
        <w:t xml:space="preserve">special leave, </w:t>
      </w:r>
      <w:r w:rsidR="000471ED" w:rsidRPr="001A2D4F">
        <w:rPr>
          <w:rFonts w:ascii="Times New Roman" w:hAnsi="Times New Roman" w:cs="Times New Roman"/>
          <w:sz w:val="28"/>
          <w:szCs w:val="28"/>
          <w:lang w:val="en-GB"/>
        </w:rPr>
        <w:t xml:space="preserve">namely, </w:t>
      </w:r>
      <w:r w:rsidRPr="001A2D4F">
        <w:rPr>
          <w:rFonts w:ascii="Times New Roman" w:hAnsi="Times New Roman" w:cs="Times New Roman"/>
          <w:sz w:val="28"/>
          <w:szCs w:val="28"/>
          <w:lang w:val="en-GB"/>
        </w:rPr>
        <w:t>that there should at least be a reasonable prospect of success on appeal, is not met.</w:t>
      </w:r>
      <w:r w:rsidR="007032B3" w:rsidRPr="001A2D4F">
        <w:rPr>
          <w:rFonts w:ascii="Times New Roman" w:hAnsi="Times New Roman" w:cs="Times New Roman"/>
          <w:sz w:val="28"/>
          <w:szCs w:val="28"/>
          <w:lang w:val="en-GB"/>
        </w:rPr>
        <w:t xml:space="preserve"> </w:t>
      </w:r>
      <w:r w:rsidRPr="001A2D4F">
        <w:rPr>
          <w:rFonts w:ascii="Times New Roman" w:hAnsi="Times New Roman" w:cs="Times New Roman"/>
          <w:sz w:val="28"/>
          <w:szCs w:val="28"/>
          <w:lang w:val="en-GB"/>
        </w:rPr>
        <w:t>In the notice of appeal</w:t>
      </w:r>
      <w:r w:rsidR="00EE3156"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IFS sought </w:t>
      </w:r>
      <w:r w:rsidR="00EE3156" w:rsidRPr="001A2D4F">
        <w:rPr>
          <w:rFonts w:ascii="Times New Roman" w:hAnsi="Times New Roman" w:cs="Times New Roman"/>
          <w:sz w:val="28"/>
          <w:szCs w:val="28"/>
          <w:lang w:val="en-GB"/>
        </w:rPr>
        <w:t>to invoke</w:t>
      </w:r>
      <w:r w:rsidR="00767BE2" w:rsidRPr="001A2D4F">
        <w:rPr>
          <w:rFonts w:ascii="Times New Roman" w:hAnsi="Times New Roman" w:cs="Times New Roman"/>
          <w:sz w:val="28"/>
          <w:szCs w:val="28"/>
          <w:lang w:val="en-GB"/>
        </w:rPr>
        <w:t xml:space="preserve"> </w:t>
      </w:r>
      <w:r w:rsidRPr="001A2D4F">
        <w:rPr>
          <w:rFonts w:ascii="Times New Roman" w:hAnsi="Times New Roman" w:cs="Times New Roman"/>
          <w:sz w:val="28"/>
          <w:szCs w:val="28"/>
          <w:lang w:val="en-GB"/>
        </w:rPr>
        <w:t>s 172 of the Constitution</w:t>
      </w:r>
      <w:r w:rsidR="000471ED"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The contention was that if it was found that an agreement was concluded, there was no dispute that it was concluded contrary to procurement requirements stipulated by s 217 of the Constitution. For this reason</w:t>
      </w:r>
      <w:r w:rsidR="00C55F78" w:rsidRPr="001A2D4F">
        <w:rPr>
          <w:rFonts w:ascii="Times New Roman" w:hAnsi="Times New Roman" w:cs="Times New Roman"/>
          <w:sz w:val="28"/>
          <w:szCs w:val="28"/>
          <w:lang w:val="en-GB"/>
        </w:rPr>
        <w:t>,</w:t>
      </w:r>
      <w:r w:rsidRPr="001A2D4F">
        <w:rPr>
          <w:rFonts w:ascii="Times New Roman" w:hAnsi="Times New Roman" w:cs="Times New Roman"/>
          <w:sz w:val="28"/>
          <w:szCs w:val="28"/>
          <w:lang w:val="en-GB"/>
        </w:rPr>
        <w:t xml:space="preserve"> the court would be </w:t>
      </w:r>
      <w:r w:rsidR="007032B3" w:rsidRPr="001A2D4F">
        <w:rPr>
          <w:rFonts w:ascii="Times New Roman" w:hAnsi="Times New Roman" w:cs="Times New Roman"/>
          <w:sz w:val="28"/>
          <w:szCs w:val="28"/>
          <w:lang w:val="en-GB"/>
        </w:rPr>
        <w:t xml:space="preserve">required, </w:t>
      </w:r>
      <w:r w:rsidRPr="001A2D4F">
        <w:rPr>
          <w:rFonts w:ascii="Times New Roman" w:hAnsi="Times New Roman" w:cs="Times New Roman"/>
          <w:sz w:val="28"/>
          <w:szCs w:val="28"/>
          <w:lang w:val="en-GB"/>
        </w:rPr>
        <w:t xml:space="preserve">when setting it aside, to </w:t>
      </w:r>
      <w:r w:rsidR="000471ED" w:rsidRPr="001A2D4F">
        <w:rPr>
          <w:rFonts w:ascii="Times New Roman" w:hAnsi="Times New Roman" w:cs="Times New Roman"/>
          <w:sz w:val="28"/>
          <w:szCs w:val="28"/>
          <w:lang w:val="en-GB"/>
        </w:rPr>
        <w:t xml:space="preserve">grant IFS </w:t>
      </w:r>
      <w:r w:rsidRPr="001A2D4F">
        <w:rPr>
          <w:rFonts w:ascii="Times New Roman" w:hAnsi="Times New Roman" w:cs="Times New Roman"/>
          <w:sz w:val="28"/>
          <w:szCs w:val="28"/>
          <w:lang w:val="en-GB"/>
        </w:rPr>
        <w:t xml:space="preserve">just and equitable </w:t>
      </w:r>
      <w:r w:rsidR="000471ED" w:rsidRPr="001A2D4F">
        <w:rPr>
          <w:rFonts w:ascii="Times New Roman" w:hAnsi="Times New Roman" w:cs="Times New Roman"/>
          <w:sz w:val="28"/>
          <w:szCs w:val="28"/>
          <w:lang w:val="en-GB"/>
        </w:rPr>
        <w:t>relief</w:t>
      </w:r>
      <w:r w:rsidRPr="001A2D4F">
        <w:rPr>
          <w:rFonts w:ascii="Times New Roman" w:hAnsi="Times New Roman" w:cs="Times New Roman"/>
          <w:sz w:val="28"/>
          <w:szCs w:val="28"/>
          <w:lang w:val="en-GB"/>
        </w:rPr>
        <w:t xml:space="preserve">.  </w:t>
      </w:r>
      <w:r w:rsidR="000471ED" w:rsidRPr="001A2D4F">
        <w:rPr>
          <w:rFonts w:ascii="Times New Roman" w:hAnsi="Times New Roman" w:cs="Times New Roman"/>
          <w:sz w:val="28"/>
          <w:szCs w:val="28"/>
          <w:lang w:val="en-GB"/>
        </w:rPr>
        <w:t xml:space="preserve">This </w:t>
      </w:r>
      <w:r w:rsidRPr="001A2D4F">
        <w:rPr>
          <w:rFonts w:ascii="Times New Roman" w:hAnsi="Times New Roman" w:cs="Times New Roman"/>
          <w:sz w:val="28"/>
          <w:szCs w:val="28"/>
          <w:lang w:val="en-GB"/>
        </w:rPr>
        <w:t>would, it was submitted, compensate IFS for the work it ha</w:t>
      </w:r>
      <w:r w:rsidR="007032B3" w:rsidRPr="001A2D4F">
        <w:rPr>
          <w:rFonts w:ascii="Times New Roman" w:hAnsi="Times New Roman" w:cs="Times New Roman"/>
          <w:sz w:val="28"/>
          <w:szCs w:val="28"/>
          <w:lang w:val="en-GB"/>
        </w:rPr>
        <w:t>d</w:t>
      </w:r>
      <w:r w:rsidRPr="001A2D4F">
        <w:rPr>
          <w:rFonts w:ascii="Times New Roman" w:hAnsi="Times New Roman" w:cs="Times New Roman"/>
          <w:sz w:val="28"/>
          <w:szCs w:val="28"/>
          <w:lang w:val="en-GB"/>
        </w:rPr>
        <w:t xml:space="preserve"> actually performed.</w:t>
      </w:r>
    </w:p>
    <w:p w14:paraId="6C148E7C" w14:textId="77777777" w:rsidR="00065C06" w:rsidRPr="001A2D4F" w:rsidRDefault="00065C06" w:rsidP="00A23A58">
      <w:pPr>
        <w:spacing w:after="0" w:line="360" w:lineRule="auto"/>
        <w:jc w:val="both"/>
        <w:rPr>
          <w:rFonts w:ascii="Times New Roman" w:hAnsi="Times New Roman" w:cs="Times New Roman"/>
          <w:sz w:val="28"/>
          <w:szCs w:val="28"/>
          <w:lang w:val="en-GB"/>
        </w:rPr>
      </w:pPr>
    </w:p>
    <w:p w14:paraId="0070832B" w14:textId="6BF60015" w:rsidR="00065C06" w:rsidRPr="001A2D4F" w:rsidRDefault="00A232D8"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C531C"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6</w:t>
      </w:r>
      <w:r w:rsidR="00065C06" w:rsidRPr="001A2D4F">
        <w:rPr>
          <w:rFonts w:ascii="Times New Roman" w:hAnsi="Times New Roman" w:cs="Times New Roman"/>
          <w:sz w:val="28"/>
          <w:szCs w:val="28"/>
          <w:lang w:val="en-GB"/>
        </w:rPr>
        <w:t>]</w:t>
      </w:r>
      <w:r w:rsidR="00065C06" w:rsidRPr="001A2D4F">
        <w:rPr>
          <w:rFonts w:ascii="Times New Roman" w:hAnsi="Times New Roman" w:cs="Times New Roman"/>
          <w:sz w:val="28"/>
          <w:szCs w:val="28"/>
          <w:lang w:val="en-GB"/>
        </w:rPr>
        <w:tab/>
      </w:r>
      <w:r w:rsidR="00DE7DCE" w:rsidRPr="001A2D4F">
        <w:rPr>
          <w:rFonts w:ascii="Times New Roman" w:hAnsi="Times New Roman" w:cs="Times New Roman"/>
          <w:sz w:val="28"/>
          <w:szCs w:val="28"/>
          <w:lang w:val="en-GB"/>
        </w:rPr>
        <w:t>These aspects do not arise. On the facts</w:t>
      </w:r>
      <w:r w:rsidR="00C55F78" w:rsidRPr="001A2D4F">
        <w:rPr>
          <w:rFonts w:ascii="Times New Roman" w:hAnsi="Times New Roman" w:cs="Times New Roman"/>
          <w:sz w:val="28"/>
          <w:szCs w:val="28"/>
          <w:lang w:val="en-GB"/>
        </w:rPr>
        <w:t>,</w:t>
      </w:r>
      <w:r w:rsidR="00DE7DCE" w:rsidRPr="001A2D4F">
        <w:rPr>
          <w:rFonts w:ascii="Times New Roman" w:hAnsi="Times New Roman" w:cs="Times New Roman"/>
          <w:sz w:val="28"/>
          <w:szCs w:val="28"/>
          <w:lang w:val="en-GB"/>
        </w:rPr>
        <w:t xml:space="preserve"> no contract was proved. The question of an equitable remedy, even assuming that this issue was properly raised on the pleadings, </w:t>
      </w:r>
      <w:r w:rsidR="007032B3" w:rsidRPr="001A2D4F">
        <w:rPr>
          <w:rFonts w:ascii="Times New Roman" w:hAnsi="Times New Roman" w:cs="Times New Roman"/>
          <w:sz w:val="28"/>
          <w:szCs w:val="28"/>
          <w:lang w:val="en-GB"/>
        </w:rPr>
        <w:t xml:space="preserve">could </w:t>
      </w:r>
      <w:r w:rsidR="00DE7DCE" w:rsidRPr="001A2D4F">
        <w:rPr>
          <w:rFonts w:ascii="Times New Roman" w:hAnsi="Times New Roman" w:cs="Times New Roman"/>
          <w:sz w:val="28"/>
          <w:szCs w:val="28"/>
          <w:lang w:val="en-GB"/>
        </w:rPr>
        <w:t xml:space="preserve">only arise if there </w:t>
      </w:r>
      <w:r w:rsidR="00D12F99" w:rsidRPr="001A2D4F">
        <w:rPr>
          <w:rFonts w:ascii="Times New Roman" w:hAnsi="Times New Roman" w:cs="Times New Roman"/>
          <w:sz w:val="28"/>
          <w:szCs w:val="28"/>
          <w:lang w:val="en-GB"/>
        </w:rPr>
        <w:t xml:space="preserve">was </w:t>
      </w:r>
      <w:r w:rsidR="00DE7DCE" w:rsidRPr="001A2D4F">
        <w:rPr>
          <w:rFonts w:ascii="Times New Roman" w:hAnsi="Times New Roman" w:cs="Times New Roman"/>
          <w:sz w:val="28"/>
          <w:szCs w:val="28"/>
          <w:lang w:val="en-GB"/>
        </w:rPr>
        <w:t xml:space="preserve">a contract to set aside. Counsel for IFS conceded </w:t>
      </w:r>
      <w:r w:rsidR="00CB3F4E" w:rsidRPr="001A2D4F">
        <w:rPr>
          <w:rFonts w:ascii="Times New Roman" w:hAnsi="Times New Roman" w:cs="Times New Roman"/>
          <w:sz w:val="28"/>
          <w:szCs w:val="28"/>
          <w:lang w:val="en-GB"/>
        </w:rPr>
        <w:t>this.</w:t>
      </w:r>
      <w:r w:rsidR="00DE7DCE" w:rsidRPr="001A2D4F">
        <w:rPr>
          <w:rFonts w:ascii="Times New Roman" w:hAnsi="Times New Roman" w:cs="Times New Roman"/>
          <w:sz w:val="28"/>
          <w:szCs w:val="28"/>
          <w:lang w:val="en-GB"/>
        </w:rPr>
        <w:t xml:space="preserve"> He accepted, in effect, that it is only in relation to these questions that it might be said that the appeal raises matters of importance or significance.</w:t>
      </w:r>
      <w:r w:rsidR="001B3BAB" w:rsidRPr="001A2D4F">
        <w:rPr>
          <w:rFonts w:ascii="Times New Roman" w:hAnsi="Times New Roman" w:cs="Times New Roman"/>
          <w:sz w:val="28"/>
          <w:szCs w:val="28"/>
          <w:lang w:val="en-GB"/>
        </w:rPr>
        <w:t xml:space="preserve"> </w:t>
      </w:r>
      <w:r w:rsidR="00CB3F4E" w:rsidRPr="001A2D4F">
        <w:rPr>
          <w:rFonts w:ascii="Times New Roman" w:hAnsi="Times New Roman" w:cs="Times New Roman"/>
          <w:sz w:val="28"/>
          <w:szCs w:val="28"/>
          <w:lang w:val="en-GB"/>
        </w:rPr>
        <w:t>Accordingly, n</w:t>
      </w:r>
      <w:r w:rsidR="00065C06" w:rsidRPr="001A2D4F">
        <w:rPr>
          <w:rFonts w:ascii="Times New Roman" w:hAnsi="Times New Roman" w:cs="Times New Roman"/>
          <w:sz w:val="28"/>
          <w:szCs w:val="28"/>
          <w:lang w:val="en-GB"/>
        </w:rPr>
        <w:t xml:space="preserve">o special circumstances </w:t>
      </w:r>
      <w:r w:rsidR="007032B3" w:rsidRPr="001A2D4F">
        <w:rPr>
          <w:rFonts w:ascii="Times New Roman" w:hAnsi="Times New Roman" w:cs="Times New Roman"/>
          <w:sz w:val="28"/>
          <w:szCs w:val="28"/>
          <w:lang w:val="en-GB"/>
        </w:rPr>
        <w:t>exist</w:t>
      </w:r>
      <w:r w:rsidR="00065C06" w:rsidRPr="001A2D4F">
        <w:rPr>
          <w:rFonts w:ascii="Times New Roman" w:hAnsi="Times New Roman" w:cs="Times New Roman"/>
          <w:sz w:val="28"/>
          <w:szCs w:val="28"/>
          <w:lang w:val="en-GB"/>
        </w:rPr>
        <w:t xml:space="preserve"> which would warrant a further appeal to this Court. It follows that the threshold for special leave to appeal </w:t>
      </w:r>
      <w:r w:rsidR="00E75D8A" w:rsidRPr="001A2D4F">
        <w:rPr>
          <w:rFonts w:ascii="Times New Roman" w:hAnsi="Times New Roman" w:cs="Times New Roman"/>
          <w:sz w:val="28"/>
          <w:szCs w:val="28"/>
          <w:lang w:val="en-GB"/>
        </w:rPr>
        <w:t xml:space="preserve">was </w:t>
      </w:r>
      <w:r w:rsidR="00065C06" w:rsidRPr="001A2D4F">
        <w:rPr>
          <w:rFonts w:ascii="Times New Roman" w:hAnsi="Times New Roman" w:cs="Times New Roman"/>
          <w:sz w:val="28"/>
          <w:szCs w:val="28"/>
          <w:lang w:val="en-GB"/>
        </w:rPr>
        <w:t>not met</w:t>
      </w:r>
      <w:r w:rsidR="001B3BAB" w:rsidRPr="001A2D4F">
        <w:rPr>
          <w:rFonts w:ascii="Times New Roman" w:hAnsi="Times New Roman" w:cs="Times New Roman"/>
          <w:sz w:val="28"/>
          <w:szCs w:val="28"/>
          <w:lang w:val="en-GB"/>
        </w:rPr>
        <w:t>.</w:t>
      </w:r>
    </w:p>
    <w:p w14:paraId="7764C503" w14:textId="77777777" w:rsidR="00065C06" w:rsidRPr="001A2D4F" w:rsidRDefault="00065C06" w:rsidP="00A23A58">
      <w:pPr>
        <w:spacing w:after="0" w:line="360" w:lineRule="auto"/>
        <w:jc w:val="both"/>
        <w:rPr>
          <w:rFonts w:ascii="Times New Roman" w:hAnsi="Times New Roman" w:cs="Times New Roman"/>
          <w:sz w:val="28"/>
          <w:szCs w:val="28"/>
          <w:lang w:val="en-GB"/>
        </w:rPr>
      </w:pPr>
    </w:p>
    <w:p w14:paraId="6FE6ED5D" w14:textId="086B8A2A" w:rsidR="00065C06" w:rsidRPr="001A2D4F" w:rsidRDefault="00A232D8" w:rsidP="00A23A58">
      <w:pPr>
        <w:spacing w:after="0" w:line="360" w:lineRule="auto"/>
        <w:jc w:val="both"/>
        <w:rPr>
          <w:rFonts w:ascii="Times New Roman" w:hAnsi="Times New Roman" w:cs="Times New Roman"/>
          <w:sz w:val="28"/>
          <w:szCs w:val="28"/>
          <w:lang w:val="en-GB"/>
        </w:rPr>
      </w:pPr>
      <w:r w:rsidRPr="001A2D4F">
        <w:rPr>
          <w:rFonts w:ascii="Times New Roman" w:hAnsi="Times New Roman" w:cs="Times New Roman"/>
          <w:sz w:val="28"/>
          <w:szCs w:val="28"/>
          <w:lang w:val="en-GB"/>
        </w:rPr>
        <w:t>[</w:t>
      </w:r>
      <w:r w:rsidR="00AC531C"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7</w:t>
      </w:r>
      <w:r w:rsidR="00065C06" w:rsidRPr="001A2D4F">
        <w:rPr>
          <w:rFonts w:ascii="Times New Roman" w:hAnsi="Times New Roman" w:cs="Times New Roman"/>
          <w:sz w:val="28"/>
          <w:szCs w:val="28"/>
          <w:lang w:val="en-GB"/>
        </w:rPr>
        <w:t>]</w:t>
      </w:r>
      <w:r w:rsidR="00065C06" w:rsidRPr="001A2D4F">
        <w:rPr>
          <w:rFonts w:ascii="Times New Roman" w:hAnsi="Times New Roman" w:cs="Times New Roman"/>
          <w:sz w:val="28"/>
          <w:szCs w:val="28"/>
          <w:lang w:val="en-GB"/>
        </w:rPr>
        <w:tab/>
      </w:r>
      <w:r w:rsidR="00642DF2" w:rsidRPr="001A2D4F">
        <w:rPr>
          <w:rFonts w:ascii="Times New Roman" w:hAnsi="Times New Roman" w:cs="Times New Roman"/>
          <w:sz w:val="28"/>
          <w:szCs w:val="28"/>
          <w:lang w:val="en-GB"/>
        </w:rPr>
        <w:t xml:space="preserve">In the circumstances, </w:t>
      </w:r>
      <w:r w:rsidR="00065C06" w:rsidRPr="001A2D4F">
        <w:rPr>
          <w:rFonts w:ascii="Times New Roman" w:hAnsi="Times New Roman" w:cs="Times New Roman"/>
          <w:sz w:val="28"/>
          <w:szCs w:val="28"/>
          <w:lang w:val="en-GB"/>
        </w:rPr>
        <w:t>the appeal must be struck from the roll. Counsel for Amajuba sought the costs of two counsel on the basis that special leave was initially granted</w:t>
      </w:r>
      <w:r w:rsidR="001B3BAB" w:rsidRPr="001A2D4F">
        <w:rPr>
          <w:rFonts w:ascii="Times New Roman" w:hAnsi="Times New Roman" w:cs="Times New Roman"/>
          <w:sz w:val="28"/>
          <w:szCs w:val="28"/>
          <w:lang w:val="en-GB"/>
        </w:rPr>
        <w:t xml:space="preserve"> </w:t>
      </w:r>
      <w:r w:rsidR="00767BE2" w:rsidRPr="001A2D4F">
        <w:rPr>
          <w:rFonts w:ascii="Times New Roman" w:hAnsi="Times New Roman" w:cs="Times New Roman"/>
          <w:sz w:val="28"/>
          <w:szCs w:val="28"/>
          <w:lang w:val="en-GB"/>
        </w:rPr>
        <w:t xml:space="preserve">by the two judges of this court who considered the petition </w:t>
      </w:r>
      <w:r w:rsidR="001B3BAB" w:rsidRPr="001A2D4F">
        <w:rPr>
          <w:rFonts w:ascii="Times New Roman" w:hAnsi="Times New Roman" w:cs="Times New Roman"/>
          <w:sz w:val="28"/>
          <w:szCs w:val="28"/>
          <w:lang w:val="en-GB"/>
        </w:rPr>
        <w:t>and it was therefore</w:t>
      </w:r>
      <w:r w:rsidR="00065C06" w:rsidRPr="001A2D4F">
        <w:rPr>
          <w:rFonts w:ascii="Times New Roman" w:hAnsi="Times New Roman" w:cs="Times New Roman"/>
          <w:sz w:val="28"/>
          <w:szCs w:val="28"/>
          <w:lang w:val="en-GB"/>
        </w:rPr>
        <w:t xml:space="preserve"> necessary to prepare upon the full ambit of issues, including the </w:t>
      </w:r>
      <w:r w:rsidR="00065C06" w:rsidRPr="001A2D4F">
        <w:rPr>
          <w:rFonts w:ascii="Times New Roman" w:hAnsi="Times New Roman" w:cs="Times New Roman"/>
          <w:sz w:val="28"/>
          <w:szCs w:val="28"/>
          <w:lang w:val="en-GB"/>
        </w:rPr>
        <w:lastRenderedPageBreak/>
        <w:t>constitutional questions</w:t>
      </w:r>
      <w:r w:rsidR="007032B3" w:rsidRPr="001A2D4F">
        <w:rPr>
          <w:rFonts w:ascii="Times New Roman" w:hAnsi="Times New Roman" w:cs="Times New Roman"/>
          <w:sz w:val="28"/>
          <w:szCs w:val="28"/>
          <w:lang w:val="en-GB"/>
        </w:rPr>
        <w:t xml:space="preserve"> which might arise</w:t>
      </w:r>
      <w:r w:rsidR="00065C06" w:rsidRPr="001A2D4F">
        <w:rPr>
          <w:rFonts w:ascii="Times New Roman" w:hAnsi="Times New Roman" w:cs="Times New Roman"/>
          <w:sz w:val="28"/>
          <w:szCs w:val="28"/>
          <w:lang w:val="en-GB"/>
        </w:rPr>
        <w:t>. Counsel for IFS did not argue to the contrary.</w:t>
      </w:r>
    </w:p>
    <w:p w14:paraId="092CF61C" w14:textId="77777777" w:rsidR="00065C06" w:rsidRPr="001A2D4F" w:rsidRDefault="00065C06" w:rsidP="00A23A58">
      <w:pPr>
        <w:spacing w:after="0" w:line="360" w:lineRule="auto"/>
        <w:jc w:val="both"/>
        <w:rPr>
          <w:rFonts w:ascii="Times New Roman" w:hAnsi="Times New Roman" w:cs="Times New Roman"/>
          <w:sz w:val="28"/>
          <w:szCs w:val="28"/>
          <w:lang w:val="en-GB"/>
        </w:rPr>
      </w:pPr>
    </w:p>
    <w:p w14:paraId="624907F1" w14:textId="5227B7C4" w:rsidR="00065C06" w:rsidRPr="001A2D4F" w:rsidRDefault="00A232D8" w:rsidP="00A23A58">
      <w:pPr>
        <w:spacing w:after="0" w:line="360" w:lineRule="auto"/>
        <w:jc w:val="both"/>
        <w:rPr>
          <w:rFonts w:ascii="Times New Roman" w:hAnsi="Times New Roman" w:cs="Times New Roman"/>
          <w:sz w:val="28"/>
          <w:szCs w:val="28"/>
        </w:rPr>
      </w:pPr>
      <w:r w:rsidRPr="001A2D4F">
        <w:rPr>
          <w:rFonts w:ascii="Times New Roman" w:hAnsi="Times New Roman" w:cs="Times New Roman"/>
          <w:sz w:val="28"/>
          <w:szCs w:val="28"/>
          <w:lang w:val="en-GB"/>
        </w:rPr>
        <w:t>[</w:t>
      </w:r>
      <w:r w:rsidR="00AC531C" w:rsidRPr="001A2D4F">
        <w:rPr>
          <w:rFonts w:ascii="Times New Roman" w:hAnsi="Times New Roman" w:cs="Times New Roman"/>
          <w:sz w:val="28"/>
          <w:szCs w:val="28"/>
          <w:lang w:val="en-GB"/>
        </w:rPr>
        <w:t>1</w:t>
      </w:r>
      <w:r w:rsidR="00AF7035" w:rsidRPr="001A2D4F">
        <w:rPr>
          <w:rFonts w:ascii="Times New Roman" w:hAnsi="Times New Roman" w:cs="Times New Roman"/>
          <w:sz w:val="28"/>
          <w:szCs w:val="28"/>
          <w:lang w:val="en-GB"/>
        </w:rPr>
        <w:t>8</w:t>
      </w:r>
      <w:r w:rsidR="00065C06" w:rsidRPr="001A2D4F">
        <w:rPr>
          <w:rFonts w:ascii="Times New Roman" w:hAnsi="Times New Roman" w:cs="Times New Roman"/>
          <w:sz w:val="28"/>
          <w:szCs w:val="28"/>
          <w:lang w:val="en-GB"/>
        </w:rPr>
        <w:t>]</w:t>
      </w:r>
      <w:r w:rsidR="00065C06" w:rsidRPr="001A2D4F">
        <w:rPr>
          <w:rFonts w:ascii="Times New Roman" w:hAnsi="Times New Roman" w:cs="Times New Roman"/>
          <w:sz w:val="28"/>
          <w:szCs w:val="28"/>
          <w:lang w:val="en-GB"/>
        </w:rPr>
        <w:tab/>
      </w:r>
      <w:r w:rsidR="00E55689" w:rsidRPr="001A2D4F">
        <w:rPr>
          <w:rFonts w:ascii="Times New Roman" w:hAnsi="Times New Roman" w:cs="Times New Roman"/>
          <w:sz w:val="28"/>
          <w:szCs w:val="28"/>
          <w:lang w:val="en-GB"/>
        </w:rPr>
        <w:t xml:space="preserve">In the result, </w:t>
      </w:r>
      <w:r w:rsidR="000471ED" w:rsidRPr="001A2D4F">
        <w:rPr>
          <w:rFonts w:ascii="Times New Roman" w:hAnsi="Times New Roman" w:cs="Times New Roman"/>
          <w:sz w:val="28"/>
          <w:szCs w:val="28"/>
          <w:lang w:val="en-GB"/>
        </w:rPr>
        <w:t>t</w:t>
      </w:r>
      <w:r w:rsidR="00065C06" w:rsidRPr="001A2D4F">
        <w:rPr>
          <w:rFonts w:ascii="Times New Roman" w:hAnsi="Times New Roman" w:cs="Times New Roman"/>
          <w:sz w:val="28"/>
          <w:szCs w:val="28"/>
          <w:lang w:val="en-GB"/>
        </w:rPr>
        <w:t>he appeal is struck off the roll with costs, including the costs of two counsel</w:t>
      </w:r>
      <w:r w:rsidR="0003651C" w:rsidRPr="001A2D4F">
        <w:rPr>
          <w:rFonts w:ascii="Times New Roman" w:hAnsi="Times New Roman" w:cs="Times New Roman"/>
          <w:sz w:val="28"/>
          <w:szCs w:val="28"/>
          <w:lang w:val="en-GB"/>
        </w:rPr>
        <w:t xml:space="preserve">. </w:t>
      </w:r>
    </w:p>
    <w:p w14:paraId="5CB99503" w14:textId="3892421F" w:rsidR="00005AA9" w:rsidRPr="001A2D4F" w:rsidRDefault="00005AA9" w:rsidP="00005AA9">
      <w:pPr>
        <w:spacing w:before="240" w:after="0" w:line="360" w:lineRule="auto"/>
        <w:ind w:right="72"/>
        <w:jc w:val="both"/>
        <w:rPr>
          <w:rFonts w:ascii="Times New Roman" w:eastAsia="Arial" w:hAnsi="Times New Roman" w:cs="Times New Roman"/>
          <w:b/>
          <w:sz w:val="28"/>
          <w:szCs w:val="28"/>
          <w:lang w:eastAsia="en-ZA"/>
        </w:rPr>
      </w:pPr>
    </w:p>
    <w:p w14:paraId="63D78B27" w14:textId="77777777" w:rsidR="00117076" w:rsidRPr="001A2D4F" w:rsidRDefault="00117076" w:rsidP="00337BA1">
      <w:pPr>
        <w:spacing w:after="0" w:line="360" w:lineRule="auto"/>
        <w:jc w:val="both"/>
        <w:rPr>
          <w:rFonts w:ascii="Times New Roman" w:hAnsi="Times New Roman" w:cs="Times New Roman"/>
          <w:sz w:val="28"/>
          <w:szCs w:val="28"/>
          <w:lang w:val="en-US"/>
        </w:rPr>
      </w:pPr>
    </w:p>
    <w:p w14:paraId="636C9189" w14:textId="77777777" w:rsidR="00D66661" w:rsidRPr="001A2D4F" w:rsidRDefault="00D66661" w:rsidP="00337BA1">
      <w:pPr>
        <w:spacing w:after="0" w:line="360" w:lineRule="auto"/>
        <w:jc w:val="both"/>
        <w:rPr>
          <w:rFonts w:ascii="Times New Roman" w:hAnsi="Times New Roman" w:cs="Times New Roman"/>
          <w:sz w:val="28"/>
          <w:szCs w:val="28"/>
          <w:lang w:val="en-US"/>
        </w:rPr>
      </w:pPr>
    </w:p>
    <w:p w14:paraId="263275E0" w14:textId="77777777" w:rsidR="006211A4" w:rsidRPr="001A2D4F" w:rsidRDefault="006211A4" w:rsidP="006211A4">
      <w:pPr>
        <w:spacing w:after="0" w:line="360" w:lineRule="auto"/>
        <w:ind w:left="5040"/>
        <w:jc w:val="right"/>
        <w:rPr>
          <w:rFonts w:ascii="Times New Roman" w:eastAsia="Times New Roman" w:hAnsi="Times New Roman" w:cs="Times New Roman"/>
          <w:sz w:val="28"/>
          <w:szCs w:val="28"/>
          <w:lang w:val="en-GB"/>
        </w:rPr>
      </w:pPr>
      <w:r w:rsidRPr="001A2D4F">
        <w:rPr>
          <w:rFonts w:ascii="Times New Roman" w:eastAsia="Times New Roman" w:hAnsi="Times New Roman" w:cs="Times New Roman"/>
          <w:sz w:val="28"/>
          <w:szCs w:val="28"/>
          <w:lang w:val="en-GB"/>
        </w:rPr>
        <w:t>_______________________</w:t>
      </w:r>
    </w:p>
    <w:p w14:paraId="78E0CF97" w14:textId="1BDE2FE0" w:rsidR="006211A4" w:rsidRPr="001A2D4F" w:rsidRDefault="006211A4" w:rsidP="006211A4">
      <w:pPr>
        <w:spacing w:after="0" w:line="360" w:lineRule="auto"/>
        <w:ind w:left="5040"/>
        <w:jc w:val="right"/>
        <w:rPr>
          <w:rFonts w:ascii="Times New Roman" w:eastAsia="Times New Roman" w:hAnsi="Times New Roman" w:cs="Times New Roman"/>
          <w:sz w:val="28"/>
          <w:szCs w:val="28"/>
          <w:lang w:val="en-GB"/>
        </w:rPr>
      </w:pPr>
      <w:r w:rsidRPr="001A2D4F">
        <w:rPr>
          <w:rFonts w:ascii="Times New Roman" w:eastAsia="Times New Roman" w:hAnsi="Times New Roman" w:cs="Times New Roman"/>
          <w:sz w:val="28"/>
          <w:szCs w:val="28"/>
          <w:lang w:val="en-GB"/>
        </w:rPr>
        <w:t>G GOOSEN</w:t>
      </w:r>
    </w:p>
    <w:p w14:paraId="6388BD0E" w14:textId="337C574B" w:rsidR="006211A4" w:rsidRPr="001A2D4F" w:rsidRDefault="006211A4" w:rsidP="006211A4">
      <w:pPr>
        <w:spacing w:after="0" w:line="360" w:lineRule="auto"/>
        <w:ind w:left="5040"/>
        <w:jc w:val="right"/>
        <w:rPr>
          <w:rFonts w:ascii="Times New Roman" w:eastAsia="Times New Roman" w:hAnsi="Times New Roman" w:cs="Times New Roman"/>
          <w:sz w:val="28"/>
          <w:szCs w:val="28"/>
          <w:lang w:val="en-GB"/>
        </w:rPr>
      </w:pPr>
      <w:r w:rsidRPr="001A2D4F">
        <w:rPr>
          <w:rFonts w:ascii="Times New Roman" w:eastAsia="Times New Roman" w:hAnsi="Times New Roman" w:cs="Times New Roman"/>
          <w:sz w:val="28"/>
          <w:szCs w:val="28"/>
          <w:lang w:val="en-GB"/>
        </w:rPr>
        <w:t>JUDGE OF APPEAL</w:t>
      </w:r>
    </w:p>
    <w:p w14:paraId="6BC2952B" w14:textId="77777777" w:rsidR="006211A4" w:rsidRPr="001A2D4F" w:rsidRDefault="006211A4" w:rsidP="00337BA1">
      <w:pPr>
        <w:spacing w:after="0" w:line="360" w:lineRule="auto"/>
        <w:jc w:val="both"/>
        <w:rPr>
          <w:rFonts w:ascii="Times New Roman" w:hAnsi="Times New Roman" w:cs="Times New Roman"/>
          <w:b/>
          <w:bCs/>
          <w:sz w:val="28"/>
          <w:szCs w:val="28"/>
          <w:lang w:val="en-US"/>
        </w:rPr>
      </w:pPr>
    </w:p>
    <w:p w14:paraId="541D9486" w14:textId="35DF6989" w:rsidR="006211A4" w:rsidRPr="001A2D4F" w:rsidRDefault="006211A4">
      <w:pPr>
        <w:rPr>
          <w:rFonts w:ascii="Times New Roman" w:hAnsi="Times New Roman" w:cs="Times New Roman"/>
          <w:sz w:val="28"/>
          <w:szCs w:val="28"/>
          <w:lang w:val="en-US"/>
        </w:rPr>
      </w:pPr>
      <w:r w:rsidRPr="001A2D4F">
        <w:rPr>
          <w:rFonts w:ascii="Times New Roman" w:hAnsi="Times New Roman" w:cs="Times New Roman"/>
          <w:sz w:val="28"/>
          <w:szCs w:val="28"/>
          <w:lang w:val="en-US"/>
        </w:rPr>
        <w:br w:type="page"/>
      </w:r>
    </w:p>
    <w:p w14:paraId="3A044841" w14:textId="77777777" w:rsidR="006211A4" w:rsidRPr="001A2D4F"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1A2D4F">
        <w:rPr>
          <w:rFonts w:ascii="Times New Roman" w:eastAsia="Times New Roman" w:hAnsi="Times New Roman" w:cs="Times New Roman"/>
          <w:sz w:val="28"/>
          <w:szCs w:val="28"/>
          <w:lang w:val="en-US"/>
        </w:rPr>
        <w:lastRenderedPageBreak/>
        <w:t>Appearances</w:t>
      </w:r>
    </w:p>
    <w:p w14:paraId="5154AED1" w14:textId="77777777" w:rsidR="006211A4" w:rsidRPr="001A2D4F"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29E0C2DD" w14:textId="5DFF8430" w:rsidR="00B926B1" w:rsidRPr="001A2D4F" w:rsidRDefault="006211A4" w:rsidP="00356288">
      <w:pPr>
        <w:widowControl w:val="0"/>
        <w:autoSpaceDE w:val="0"/>
        <w:autoSpaceDN w:val="0"/>
        <w:adjustRightInd w:val="0"/>
        <w:spacing w:after="0" w:line="360" w:lineRule="auto"/>
        <w:ind w:right="-283"/>
        <w:jc w:val="both"/>
        <w:rPr>
          <w:rFonts w:ascii="Times New Roman" w:eastAsia="Times New Roman" w:hAnsi="Times New Roman" w:cs="Times New Roman"/>
          <w:sz w:val="28"/>
          <w:szCs w:val="28"/>
          <w:lang w:val="en-US"/>
        </w:rPr>
      </w:pPr>
      <w:r w:rsidRPr="001A2D4F">
        <w:rPr>
          <w:rFonts w:ascii="Times New Roman" w:eastAsia="Times New Roman" w:hAnsi="Times New Roman" w:cs="Times New Roman"/>
          <w:sz w:val="28"/>
          <w:szCs w:val="28"/>
          <w:lang w:val="en-US"/>
        </w:rPr>
        <w:t>For</w:t>
      </w:r>
      <w:r w:rsidR="00E66623" w:rsidRPr="001A2D4F">
        <w:rPr>
          <w:rFonts w:ascii="Times New Roman" w:eastAsia="Times New Roman" w:hAnsi="Times New Roman" w:cs="Times New Roman"/>
          <w:sz w:val="28"/>
          <w:szCs w:val="28"/>
          <w:lang w:val="en-US"/>
        </w:rPr>
        <w:t xml:space="preserve"> the</w:t>
      </w:r>
      <w:r w:rsidRPr="001A2D4F">
        <w:rPr>
          <w:rFonts w:ascii="Times New Roman" w:eastAsia="Times New Roman" w:hAnsi="Times New Roman" w:cs="Times New Roman"/>
          <w:sz w:val="28"/>
          <w:szCs w:val="28"/>
          <w:lang w:val="en-US"/>
        </w:rPr>
        <w:t xml:space="preserve"> appellant:</w:t>
      </w:r>
      <w:r w:rsidRPr="001A2D4F">
        <w:rPr>
          <w:rFonts w:ascii="Times New Roman" w:eastAsia="Times New Roman" w:hAnsi="Times New Roman" w:cs="Times New Roman"/>
          <w:sz w:val="28"/>
          <w:szCs w:val="28"/>
          <w:lang w:val="en-US"/>
        </w:rPr>
        <w:tab/>
      </w:r>
      <w:r w:rsidRPr="001A2D4F">
        <w:rPr>
          <w:rFonts w:ascii="Times New Roman" w:eastAsia="Times New Roman" w:hAnsi="Times New Roman" w:cs="Times New Roman"/>
          <w:sz w:val="28"/>
          <w:szCs w:val="28"/>
          <w:lang w:val="en-US"/>
        </w:rPr>
        <w:tab/>
      </w:r>
      <w:r w:rsidR="00E66623" w:rsidRPr="001A2D4F">
        <w:rPr>
          <w:rFonts w:ascii="Times New Roman" w:eastAsia="Times New Roman" w:hAnsi="Times New Roman" w:cs="Times New Roman"/>
          <w:sz w:val="28"/>
          <w:szCs w:val="28"/>
          <w:lang w:val="en-US"/>
        </w:rPr>
        <w:t>I Veerasamy</w:t>
      </w:r>
    </w:p>
    <w:p w14:paraId="3D33AF3A" w14:textId="100EB705" w:rsidR="006211A4" w:rsidRPr="001A2D4F"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1A2D4F">
        <w:rPr>
          <w:rFonts w:ascii="Times New Roman" w:eastAsia="Times New Roman" w:hAnsi="Times New Roman" w:cs="Times New Roman"/>
          <w:sz w:val="28"/>
          <w:szCs w:val="28"/>
          <w:lang w:val="en-US"/>
        </w:rPr>
        <w:t>Instructed by:</w:t>
      </w:r>
      <w:r w:rsidRPr="001A2D4F">
        <w:rPr>
          <w:rFonts w:ascii="Times New Roman" w:eastAsia="Times New Roman" w:hAnsi="Times New Roman" w:cs="Times New Roman"/>
          <w:sz w:val="28"/>
          <w:szCs w:val="28"/>
          <w:lang w:val="en-US"/>
        </w:rPr>
        <w:tab/>
      </w:r>
      <w:r w:rsidRPr="001A2D4F">
        <w:rPr>
          <w:rFonts w:ascii="Times New Roman" w:eastAsia="Times New Roman" w:hAnsi="Times New Roman" w:cs="Times New Roman"/>
          <w:sz w:val="28"/>
          <w:szCs w:val="28"/>
          <w:lang w:val="en-US"/>
        </w:rPr>
        <w:tab/>
      </w:r>
      <w:r w:rsidR="00C64D55" w:rsidRPr="001A2D4F">
        <w:rPr>
          <w:rFonts w:ascii="Times New Roman" w:eastAsia="Times New Roman" w:hAnsi="Times New Roman" w:cs="Times New Roman"/>
          <w:color w:val="000000"/>
          <w:sz w:val="28"/>
          <w:szCs w:val="28"/>
          <w:lang w:val="en-US" w:eastAsia="en-GB"/>
        </w:rPr>
        <w:t>Norton Rose Fulbright S</w:t>
      </w:r>
      <w:r w:rsidR="001935CB" w:rsidRPr="001A2D4F">
        <w:rPr>
          <w:rFonts w:ascii="Times New Roman" w:eastAsia="Times New Roman" w:hAnsi="Times New Roman" w:cs="Times New Roman"/>
          <w:color w:val="000000"/>
          <w:sz w:val="28"/>
          <w:szCs w:val="28"/>
          <w:lang w:val="en-US" w:eastAsia="en-GB"/>
        </w:rPr>
        <w:t>outh Africa</w:t>
      </w:r>
      <w:r w:rsidR="00C64D55" w:rsidRPr="001A2D4F">
        <w:rPr>
          <w:rFonts w:ascii="Times New Roman" w:eastAsia="Times New Roman" w:hAnsi="Times New Roman" w:cs="Times New Roman"/>
          <w:color w:val="000000"/>
          <w:sz w:val="28"/>
          <w:szCs w:val="28"/>
          <w:lang w:val="en-US" w:eastAsia="en-GB"/>
        </w:rPr>
        <w:t xml:space="preserve"> Inc, Durban</w:t>
      </w:r>
    </w:p>
    <w:p w14:paraId="02D60BDB" w14:textId="39F7F7FB" w:rsidR="006211A4" w:rsidRPr="001A2D4F" w:rsidRDefault="00C64D55" w:rsidP="00C64D55">
      <w:pPr>
        <w:widowControl w:val="0"/>
        <w:autoSpaceDE w:val="0"/>
        <w:autoSpaceDN w:val="0"/>
        <w:adjustRightInd w:val="0"/>
        <w:spacing w:after="0" w:line="360" w:lineRule="auto"/>
        <w:ind w:left="2160" w:firstLine="720"/>
        <w:jc w:val="both"/>
        <w:rPr>
          <w:rFonts w:ascii="Times New Roman" w:eastAsia="Times New Roman" w:hAnsi="Times New Roman" w:cs="Times New Roman"/>
          <w:color w:val="000000"/>
          <w:sz w:val="28"/>
          <w:szCs w:val="28"/>
          <w:lang w:val="en-US" w:eastAsia="en-GB"/>
        </w:rPr>
      </w:pPr>
      <w:r w:rsidRPr="001A2D4F">
        <w:rPr>
          <w:rFonts w:ascii="Times New Roman" w:eastAsia="Times New Roman" w:hAnsi="Times New Roman" w:cs="Times New Roman"/>
          <w:color w:val="000000"/>
          <w:sz w:val="28"/>
          <w:szCs w:val="28"/>
          <w:lang w:val="en-US" w:eastAsia="en-GB"/>
        </w:rPr>
        <w:t>Phatshoane Henney Attorneys</w:t>
      </w:r>
      <w:r w:rsidR="006211A4" w:rsidRPr="001A2D4F">
        <w:rPr>
          <w:rFonts w:ascii="Times New Roman" w:eastAsia="Times New Roman" w:hAnsi="Times New Roman" w:cs="Times New Roman"/>
          <w:color w:val="000000"/>
          <w:sz w:val="28"/>
          <w:szCs w:val="28"/>
          <w:lang w:val="en-US" w:eastAsia="en-GB"/>
        </w:rPr>
        <w:t>, Bloemfontein</w:t>
      </w:r>
    </w:p>
    <w:p w14:paraId="6891847B" w14:textId="77777777" w:rsidR="006211A4" w:rsidRPr="001A2D4F"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31945E2B" w14:textId="5CEE0C1B" w:rsidR="006211A4" w:rsidRPr="001A2D4F"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1A2D4F">
        <w:rPr>
          <w:rFonts w:ascii="Times New Roman" w:eastAsia="Times New Roman" w:hAnsi="Times New Roman" w:cs="Times New Roman"/>
          <w:color w:val="000000"/>
          <w:sz w:val="28"/>
          <w:szCs w:val="28"/>
          <w:lang w:val="en-US" w:eastAsia="en-GB"/>
        </w:rPr>
        <w:t>For</w:t>
      </w:r>
      <w:r w:rsidR="00C64D55" w:rsidRPr="001A2D4F">
        <w:rPr>
          <w:rFonts w:ascii="Times New Roman" w:eastAsia="Times New Roman" w:hAnsi="Times New Roman" w:cs="Times New Roman"/>
          <w:color w:val="000000"/>
          <w:sz w:val="28"/>
          <w:szCs w:val="28"/>
          <w:lang w:val="en-US" w:eastAsia="en-GB"/>
        </w:rPr>
        <w:t xml:space="preserve"> the</w:t>
      </w:r>
      <w:r w:rsidRPr="001A2D4F">
        <w:rPr>
          <w:rFonts w:ascii="Times New Roman" w:eastAsia="Times New Roman" w:hAnsi="Times New Roman" w:cs="Times New Roman"/>
          <w:color w:val="000000"/>
          <w:sz w:val="28"/>
          <w:szCs w:val="28"/>
          <w:lang w:val="en-US" w:eastAsia="en-GB"/>
        </w:rPr>
        <w:t xml:space="preserve"> respondent:</w:t>
      </w:r>
      <w:r w:rsidRPr="001A2D4F">
        <w:rPr>
          <w:rFonts w:ascii="Times New Roman" w:eastAsia="Times New Roman" w:hAnsi="Times New Roman" w:cs="Times New Roman"/>
          <w:color w:val="000000"/>
          <w:sz w:val="28"/>
          <w:szCs w:val="28"/>
          <w:lang w:val="en-US" w:eastAsia="en-GB"/>
        </w:rPr>
        <w:tab/>
      </w:r>
      <w:r w:rsidR="00C64D55" w:rsidRPr="001A2D4F">
        <w:rPr>
          <w:rFonts w:ascii="Times New Roman" w:eastAsia="Times New Roman" w:hAnsi="Times New Roman" w:cs="Times New Roman"/>
          <w:color w:val="000000"/>
          <w:sz w:val="28"/>
          <w:szCs w:val="28"/>
          <w:lang w:val="en-US" w:eastAsia="en-GB"/>
        </w:rPr>
        <w:t>L E Combrink SC</w:t>
      </w:r>
      <w:r w:rsidRPr="001A2D4F">
        <w:rPr>
          <w:rFonts w:ascii="Times New Roman" w:eastAsia="Times New Roman" w:hAnsi="Times New Roman" w:cs="Times New Roman"/>
          <w:color w:val="000000"/>
          <w:sz w:val="28"/>
          <w:szCs w:val="28"/>
          <w:lang w:val="en-US" w:eastAsia="en-GB"/>
        </w:rPr>
        <w:t xml:space="preserve"> </w:t>
      </w:r>
      <w:r w:rsidR="005817AA" w:rsidRPr="001A2D4F">
        <w:rPr>
          <w:rFonts w:ascii="Times New Roman" w:eastAsia="Times New Roman" w:hAnsi="Times New Roman" w:cs="Times New Roman"/>
          <w:color w:val="000000"/>
          <w:sz w:val="28"/>
          <w:szCs w:val="28"/>
          <w:lang w:val="en-US" w:eastAsia="en-GB"/>
        </w:rPr>
        <w:t>(with</w:t>
      </w:r>
      <w:r w:rsidRPr="001A2D4F">
        <w:rPr>
          <w:rFonts w:ascii="Times New Roman" w:eastAsia="Times New Roman" w:hAnsi="Times New Roman" w:cs="Times New Roman"/>
          <w:color w:val="000000"/>
          <w:sz w:val="28"/>
          <w:szCs w:val="28"/>
          <w:lang w:val="en-US" w:eastAsia="en-GB"/>
        </w:rPr>
        <w:t xml:space="preserve"> </w:t>
      </w:r>
      <w:r w:rsidR="00C64D55" w:rsidRPr="001A2D4F">
        <w:rPr>
          <w:rFonts w:ascii="Times New Roman" w:eastAsia="Times New Roman" w:hAnsi="Times New Roman" w:cs="Times New Roman"/>
          <w:color w:val="000000"/>
          <w:sz w:val="28"/>
          <w:szCs w:val="28"/>
          <w:lang w:val="en-US" w:eastAsia="en-GB"/>
        </w:rPr>
        <w:t>J P Pretorius</w:t>
      </w:r>
      <w:r w:rsidR="005817AA" w:rsidRPr="001A2D4F">
        <w:rPr>
          <w:rFonts w:ascii="Times New Roman" w:eastAsia="Times New Roman" w:hAnsi="Times New Roman" w:cs="Times New Roman"/>
          <w:color w:val="000000"/>
          <w:sz w:val="28"/>
          <w:szCs w:val="28"/>
          <w:lang w:val="en-US" w:eastAsia="en-GB"/>
        </w:rPr>
        <w:t>)</w:t>
      </w:r>
    </w:p>
    <w:p w14:paraId="23ED6F4A" w14:textId="13A28D4B" w:rsidR="006211A4" w:rsidRPr="001A2D4F"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1A2D4F">
        <w:rPr>
          <w:rFonts w:ascii="Times New Roman" w:eastAsia="Times New Roman" w:hAnsi="Times New Roman" w:cs="Times New Roman"/>
          <w:color w:val="000000"/>
          <w:sz w:val="28"/>
          <w:szCs w:val="28"/>
          <w:lang w:val="en-US" w:eastAsia="en-GB"/>
        </w:rPr>
        <w:t>Instructed by:</w:t>
      </w:r>
      <w:r w:rsidRPr="001A2D4F">
        <w:rPr>
          <w:rFonts w:ascii="Times New Roman" w:eastAsia="Times New Roman" w:hAnsi="Times New Roman" w:cs="Times New Roman"/>
          <w:color w:val="000000"/>
          <w:sz w:val="28"/>
          <w:szCs w:val="28"/>
          <w:lang w:val="en-US" w:eastAsia="en-GB"/>
        </w:rPr>
        <w:tab/>
      </w:r>
      <w:r w:rsidRPr="001A2D4F">
        <w:rPr>
          <w:rFonts w:ascii="Times New Roman" w:eastAsia="Times New Roman" w:hAnsi="Times New Roman" w:cs="Times New Roman"/>
          <w:color w:val="000000"/>
          <w:sz w:val="28"/>
          <w:szCs w:val="28"/>
          <w:lang w:val="en-US" w:eastAsia="en-GB"/>
        </w:rPr>
        <w:tab/>
      </w:r>
      <w:r w:rsidR="00C64D55" w:rsidRPr="001A2D4F">
        <w:rPr>
          <w:rFonts w:ascii="Times New Roman" w:eastAsia="Times New Roman" w:hAnsi="Times New Roman" w:cs="Times New Roman"/>
          <w:color w:val="000000"/>
          <w:sz w:val="28"/>
          <w:szCs w:val="28"/>
          <w:lang w:val="en-US" w:eastAsia="en-GB"/>
        </w:rPr>
        <w:t>DBM Attorneys</w:t>
      </w:r>
      <w:r w:rsidRPr="001A2D4F">
        <w:rPr>
          <w:rFonts w:ascii="Times New Roman" w:eastAsia="Times New Roman" w:hAnsi="Times New Roman" w:cs="Times New Roman"/>
          <w:color w:val="000000"/>
          <w:sz w:val="28"/>
          <w:szCs w:val="28"/>
          <w:lang w:val="en-US" w:eastAsia="en-GB"/>
        </w:rPr>
        <w:t xml:space="preserve">, </w:t>
      </w:r>
      <w:r w:rsidR="00C64D55" w:rsidRPr="001A2D4F">
        <w:rPr>
          <w:rFonts w:ascii="Times New Roman" w:eastAsia="Times New Roman" w:hAnsi="Times New Roman" w:cs="Times New Roman"/>
          <w:color w:val="000000"/>
          <w:sz w:val="28"/>
          <w:szCs w:val="28"/>
          <w:lang w:val="en-US" w:eastAsia="en-GB"/>
        </w:rPr>
        <w:t>Newcastle</w:t>
      </w:r>
    </w:p>
    <w:p w14:paraId="66D3314A" w14:textId="3832340F" w:rsidR="006211A4" w:rsidRPr="00A53C3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1A2D4F">
        <w:rPr>
          <w:rFonts w:ascii="Times New Roman" w:eastAsia="Times New Roman" w:hAnsi="Times New Roman" w:cs="Times New Roman"/>
          <w:color w:val="000000"/>
          <w:sz w:val="28"/>
          <w:szCs w:val="28"/>
          <w:lang w:val="en-US" w:eastAsia="en-GB"/>
        </w:rPr>
        <w:tab/>
      </w:r>
      <w:r w:rsidRPr="001A2D4F">
        <w:rPr>
          <w:rFonts w:ascii="Times New Roman" w:eastAsia="Times New Roman" w:hAnsi="Times New Roman" w:cs="Times New Roman"/>
          <w:color w:val="000000"/>
          <w:sz w:val="28"/>
          <w:szCs w:val="28"/>
          <w:lang w:val="en-US" w:eastAsia="en-GB"/>
        </w:rPr>
        <w:tab/>
      </w:r>
      <w:r w:rsidRPr="001A2D4F">
        <w:rPr>
          <w:rFonts w:ascii="Times New Roman" w:eastAsia="Times New Roman" w:hAnsi="Times New Roman" w:cs="Times New Roman"/>
          <w:color w:val="000000"/>
          <w:sz w:val="28"/>
          <w:szCs w:val="28"/>
          <w:lang w:val="en-US" w:eastAsia="en-GB"/>
        </w:rPr>
        <w:tab/>
      </w:r>
      <w:r w:rsidRPr="001A2D4F">
        <w:rPr>
          <w:rFonts w:ascii="Times New Roman" w:eastAsia="Times New Roman" w:hAnsi="Times New Roman" w:cs="Times New Roman"/>
          <w:color w:val="000000"/>
          <w:sz w:val="28"/>
          <w:szCs w:val="28"/>
          <w:lang w:val="en-US" w:eastAsia="en-GB"/>
        </w:rPr>
        <w:tab/>
      </w:r>
      <w:r w:rsidR="00C64D55" w:rsidRPr="001A2D4F">
        <w:rPr>
          <w:rFonts w:ascii="Times New Roman" w:eastAsia="Times New Roman" w:hAnsi="Times New Roman" w:cs="Times New Roman"/>
          <w:color w:val="000000"/>
          <w:sz w:val="28"/>
          <w:szCs w:val="28"/>
          <w:lang w:val="en-US" w:eastAsia="en-GB"/>
        </w:rPr>
        <w:t>Lovius Block Inc</w:t>
      </w:r>
      <w:r w:rsidRPr="001A2D4F">
        <w:rPr>
          <w:rFonts w:ascii="Times New Roman" w:eastAsia="Times New Roman" w:hAnsi="Times New Roman" w:cs="Times New Roman"/>
          <w:color w:val="000000"/>
          <w:sz w:val="28"/>
          <w:szCs w:val="28"/>
          <w:lang w:val="en-US" w:eastAsia="en-GB"/>
        </w:rPr>
        <w:t>, Bloemfontein</w:t>
      </w:r>
      <w:r w:rsidR="003B157A" w:rsidRPr="001A2D4F">
        <w:rPr>
          <w:rFonts w:ascii="Times New Roman" w:eastAsia="Times New Roman" w:hAnsi="Times New Roman" w:cs="Times New Roman"/>
          <w:color w:val="000000"/>
          <w:sz w:val="28"/>
          <w:szCs w:val="28"/>
          <w:lang w:val="en-US" w:eastAsia="en-GB"/>
        </w:rPr>
        <w:t>.</w:t>
      </w:r>
    </w:p>
    <w:p w14:paraId="4F16C1B1" w14:textId="77777777" w:rsidR="006211A4" w:rsidRPr="00A53C3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42F8C10F" w14:textId="77777777" w:rsidR="006211A4" w:rsidRPr="006211A4" w:rsidRDefault="006211A4" w:rsidP="006211A4">
      <w:pPr>
        <w:widowControl w:val="0"/>
        <w:autoSpaceDE w:val="0"/>
        <w:autoSpaceDN w:val="0"/>
        <w:adjustRightInd w:val="0"/>
        <w:spacing w:after="0" w:line="276" w:lineRule="auto"/>
        <w:rPr>
          <w:rFonts w:ascii="Times New Roman" w:eastAsia="Times New Roman" w:hAnsi="Times New Roman" w:cs="Times New Roman"/>
          <w:b/>
          <w:sz w:val="28"/>
          <w:szCs w:val="28"/>
          <w:lang w:val="en-US"/>
        </w:rPr>
      </w:pPr>
    </w:p>
    <w:p w14:paraId="5C132534" w14:textId="77777777" w:rsidR="006211A4" w:rsidRPr="006211A4" w:rsidRDefault="006211A4" w:rsidP="006211A4">
      <w:pPr>
        <w:widowControl w:val="0"/>
        <w:autoSpaceDE w:val="0"/>
        <w:autoSpaceDN w:val="0"/>
        <w:adjustRightInd w:val="0"/>
        <w:spacing w:after="0" w:line="276" w:lineRule="auto"/>
        <w:rPr>
          <w:rFonts w:ascii="Arial" w:eastAsia="Times New Roman" w:hAnsi="Arial" w:cs="Arial"/>
          <w:lang w:val="en-US"/>
        </w:rPr>
      </w:pPr>
    </w:p>
    <w:p w14:paraId="52693626" w14:textId="77777777" w:rsidR="006211A4" w:rsidRDefault="006211A4" w:rsidP="00337BA1">
      <w:pPr>
        <w:spacing w:after="0" w:line="360" w:lineRule="auto"/>
        <w:jc w:val="both"/>
        <w:rPr>
          <w:rFonts w:ascii="Times New Roman" w:hAnsi="Times New Roman" w:cs="Times New Roman"/>
          <w:sz w:val="28"/>
          <w:szCs w:val="28"/>
          <w:lang w:val="en-US"/>
        </w:rPr>
      </w:pPr>
    </w:p>
    <w:p w14:paraId="2891D5AC" w14:textId="41B23AA6" w:rsidR="00A32D58" w:rsidRPr="00A32D58" w:rsidRDefault="00A32D58" w:rsidP="00337BA1">
      <w:pPr>
        <w:spacing w:after="0" w:line="360" w:lineRule="auto"/>
        <w:jc w:val="both"/>
        <w:rPr>
          <w:rFonts w:ascii="Times New Roman" w:hAnsi="Times New Roman" w:cs="Times New Roman"/>
          <w:sz w:val="28"/>
          <w:szCs w:val="28"/>
          <w:lang w:val="en-US"/>
        </w:rPr>
      </w:pPr>
    </w:p>
    <w:p w14:paraId="42013286" w14:textId="77777777" w:rsidR="002A540A" w:rsidRPr="002A540A" w:rsidRDefault="002A540A" w:rsidP="00337BA1">
      <w:pPr>
        <w:spacing w:after="0" w:line="360" w:lineRule="auto"/>
        <w:jc w:val="both"/>
        <w:rPr>
          <w:rFonts w:ascii="Times New Roman" w:hAnsi="Times New Roman" w:cs="Times New Roman"/>
          <w:sz w:val="28"/>
          <w:szCs w:val="28"/>
          <w:lang w:val="en-US"/>
        </w:rPr>
      </w:pPr>
    </w:p>
    <w:p w14:paraId="5000A270" w14:textId="79335999" w:rsidR="002A540A" w:rsidRPr="002A540A" w:rsidRDefault="002A540A" w:rsidP="00337BA1">
      <w:pPr>
        <w:spacing w:after="0" w:line="360" w:lineRule="auto"/>
        <w:jc w:val="both"/>
        <w:rPr>
          <w:rFonts w:ascii="Times New Roman" w:hAnsi="Times New Roman" w:cs="Times New Roman"/>
          <w:sz w:val="28"/>
          <w:szCs w:val="28"/>
        </w:rPr>
      </w:pPr>
    </w:p>
    <w:p w14:paraId="59F25F2D" w14:textId="77777777" w:rsidR="0047180F" w:rsidRPr="0047180F" w:rsidRDefault="0047180F" w:rsidP="00337BA1">
      <w:pPr>
        <w:spacing w:after="0" w:line="360" w:lineRule="auto"/>
        <w:jc w:val="both"/>
        <w:rPr>
          <w:rFonts w:ascii="Times New Roman" w:hAnsi="Times New Roman" w:cs="Times New Roman"/>
          <w:sz w:val="28"/>
          <w:szCs w:val="28"/>
          <w:lang w:val="en-US"/>
        </w:rPr>
      </w:pPr>
    </w:p>
    <w:p w14:paraId="4720CB0B" w14:textId="088A57A5" w:rsidR="00C42E6B" w:rsidRPr="00292B9D" w:rsidRDefault="00C42E6B" w:rsidP="00292B9D">
      <w:pPr>
        <w:spacing w:after="0" w:line="360" w:lineRule="auto"/>
        <w:jc w:val="both"/>
        <w:rPr>
          <w:rFonts w:ascii="Times New Roman" w:hAnsi="Times New Roman" w:cs="Times New Roman"/>
          <w:sz w:val="28"/>
          <w:szCs w:val="28"/>
        </w:rPr>
      </w:pPr>
    </w:p>
    <w:sectPr w:rsidR="00C42E6B" w:rsidRPr="00292B9D" w:rsidSect="008E48F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22BB" w14:textId="77777777" w:rsidR="00EE1761" w:rsidRDefault="00EE1761" w:rsidP="00AC505C">
      <w:pPr>
        <w:spacing w:after="0" w:line="240" w:lineRule="auto"/>
      </w:pPr>
      <w:r>
        <w:separator/>
      </w:r>
    </w:p>
  </w:endnote>
  <w:endnote w:type="continuationSeparator" w:id="0">
    <w:p w14:paraId="19F54EA7" w14:textId="77777777" w:rsidR="00EE1761" w:rsidRDefault="00EE1761" w:rsidP="00AC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9D74" w14:textId="77777777" w:rsidR="00EE1761" w:rsidRDefault="00EE1761" w:rsidP="00AC505C">
      <w:pPr>
        <w:spacing w:after="0" w:line="240" w:lineRule="auto"/>
      </w:pPr>
      <w:r>
        <w:separator/>
      </w:r>
    </w:p>
  </w:footnote>
  <w:footnote w:type="continuationSeparator" w:id="0">
    <w:p w14:paraId="34A3FD7F" w14:textId="77777777" w:rsidR="00EE1761" w:rsidRDefault="00EE1761" w:rsidP="00AC505C">
      <w:pPr>
        <w:spacing w:after="0" w:line="240" w:lineRule="auto"/>
      </w:pPr>
      <w:r>
        <w:continuationSeparator/>
      </w:r>
    </w:p>
  </w:footnote>
  <w:footnote w:id="1">
    <w:p w14:paraId="26C28756" w14:textId="1F98CE86" w:rsidR="00065C06" w:rsidRPr="001A2D4F" w:rsidRDefault="00065C06" w:rsidP="00A23A58">
      <w:pPr>
        <w:pStyle w:val="FootnoteText"/>
        <w:jc w:val="both"/>
      </w:pPr>
      <w:r w:rsidRPr="001A2D4F">
        <w:rPr>
          <w:rStyle w:val="FootnoteReference"/>
          <w:rFonts w:ascii="Times New Roman" w:hAnsi="Times New Roman" w:cs="Times New Roman"/>
        </w:rPr>
        <w:footnoteRef/>
      </w:r>
      <w:r w:rsidRPr="001A2D4F">
        <w:rPr>
          <w:rFonts w:ascii="Times New Roman" w:hAnsi="Times New Roman" w:cs="Times New Roman"/>
        </w:rPr>
        <w:t xml:space="preserve"> </w:t>
      </w:r>
      <w:r w:rsidRPr="001A2D4F">
        <w:rPr>
          <w:rFonts w:ascii="Times New Roman" w:hAnsi="Times New Roman" w:cs="Times New Roman"/>
          <w:i/>
          <w:iCs/>
        </w:rPr>
        <w:t>Absa Bank Limited v Snyman</w:t>
      </w:r>
      <w:r w:rsidRPr="001A2D4F">
        <w:rPr>
          <w:rFonts w:ascii="Times New Roman" w:hAnsi="Times New Roman" w:cs="Times New Roman"/>
        </w:rPr>
        <w:t xml:space="preserve"> </w:t>
      </w:r>
      <w:r w:rsidR="00EB3F85" w:rsidRPr="001A2D4F">
        <w:rPr>
          <w:rFonts w:ascii="Times New Roman" w:hAnsi="Times New Roman" w:cs="Times New Roman"/>
        </w:rPr>
        <w:t xml:space="preserve">[2015] ZASCA 67; </w:t>
      </w:r>
      <w:r w:rsidRPr="001A2D4F">
        <w:rPr>
          <w:rFonts w:ascii="Times New Roman" w:hAnsi="Times New Roman" w:cs="Times New Roman"/>
        </w:rPr>
        <w:t>2015 (4) SA 329 (SCA)</w:t>
      </w:r>
      <w:r w:rsidR="00EB3F85" w:rsidRPr="001A2D4F">
        <w:rPr>
          <w:rFonts w:ascii="Times New Roman" w:hAnsi="Times New Roman" w:cs="Times New Roman"/>
        </w:rPr>
        <w:t>; [2015] 3 All SA 1 (SCA)</w:t>
      </w:r>
      <w:r w:rsidRPr="001A2D4F">
        <w:rPr>
          <w:rFonts w:ascii="Times New Roman" w:hAnsi="Times New Roman" w:cs="Times New Roman"/>
        </w:rPr>
        <w:t xml:space="preserve"> para 10. In </w:t>
      </w:r>
      <w:r w:rsidRPr="001A2D4F">
        <w:rPr>
          <w:rFonts w:ascii="Times New Roman" w:hAnsi="Times New Roman" w:cs="Times New Roman"/>
          <w:i/>
          <w:iCs/>
        </w:rPr>
        <w:t>Newlands Surgical Clinic (Pty) Ltd v Peninsula Eye Clinic (Pty) Ltd</w:t>
      </w:r>
      <w:r w:rsidR="00EB3F85" w:rsidRPr="001A2D4F">
        <w:rPr>
          <w:rFonts w:ascii="Times New Roman" w:hAnsi="Times New Roman" w:cs="Times New Roman"/>
          <w:i/>
          <w:iCs/>
        </w:rPr>
        <w:t xml:space="preserve"> </w:t>
      </w:r>
      <w:r w:rsidR="00EB3F85" w:rsidRPr="001A2D4F">
        <w:rPr>
          <w:rFonts w:ascii="Times New Roman" w:hAnsi="Times New Roman" w:cs="Times New Roman"/>
        </w:rPr>
        <w:t xml:space="preserve">[2015] ZASCA 25; </w:t>
      </w:r>
      <w:r w:rsidRPr="001A2D4F">
        <w:rPr>
          <w:rFonts w:ascii="Times New Roman" w:hAnsi="Times New Roman" w:cs="Times New Roman"/>
        </w:rPr>
        <w:t>2015 (4) SA 34 (SCA)</w:t>
      </w:r>
      <w:r w:rsidR="00EB3F85" w:rsidRPr="001A2D4F">
        <w:rPr>
          <w:rFonts w:ascii="Times New Roman" w:hAnsi="Times New Roman" w:cs="Times New Roman"/>
        </w:rPr>
        <w:t>; [2015] 2 All SA 322 (SCA)</w:t>
      </w:r>
      <w:r w:rsidRPr="001A2D4F">
        <w:rPr>
          <w:rFonts w:ascii="Times New Roman" w:hAnsi="Times New Roman" w:cs="Times New Roman"/>
        </w:rPr>
        <w:t xml:space="preserve"> para 13, Brand JA described the order granting leave to appeal as a ‘jurisdictional fact’, in the absence of which the court does not have the jurisdiction to entertain the dispute.</w:t>
      </w:r>
      <w:r w:rsidR="00E75D8A" w:rsidRPr="001A2D4F">
        <w:rPr>
          <w:rFonts w:ascii="Times New Roman" w:hAnsi="Times New Roman" w:cs="Times New Roman"/>
        </w:rPr>
        <w:t xml:space="preserve"> See also </w:t>
      </w:r>
      <w:r w:rsidR="00E75D8A" w:rsidRPr="001A2D4F">
        <w:rPr>
          <w:rFonts w:ascii="Times New Roman" w:hAnsi="Times New Roman" w:cs="Times New Roman"/>
          <w:i/>
          <w:iCs/>
        </w:rPr>
        <w:t>DRDG</w:t>
      </w:r>
      <w:r w:rsidR="003B383C" w:rsidRPr="001A2D4F">
        <w:rPr>
          <w:rFonts w:ascii="Times New Roman" w:hAnsi="Times New Roman" w:cs="Times New Roman"/>
          <w:i/>
          <w:iCs/>
        </w:rPr>
        <w:t>OLD</w:t>
      </w:r>
      <w:r w:rsidR="00E75D8A" w:rsidRPr="001A2D4F">
        <w:rPr>
          <w:rFonts w:ascii="Times New Roman" w:hAnsi="Times New Roman" w:cs="Times New Roman"/>
          <w:i/>
          <w:iCs/>
        </w:rPr>
        <w:t xml:space="preserve"> Limited and Another v Nkala and Others</w:t>
      </w:r>
      <w:r w:rsidR="00E75D8A" w:rsidRPr="001A2D4F">
        <w:rPr>
          <w:rFonts w:ascii="Times New Roman" w:hAnsi="Times New Roman" w:cs="Times New Roman"/>
        </w:rPr>
        <w:t xml:space="preserve"> [2023] ZASCA 9; 2023 (3) SA 461 (SCA) para 17 and 18.</w:t>
      </w:r>
    </w:p>
  </w:footnote>
  <w:footnote w:id="2">
    <w:p w14:paraId="0FF094F0" w14:textId="36AC12A5" w:rsidR="00065C06" w:rsidRPr="001A2D4F" w:rsidRDefault="00065C06" w:rsidP="00A23A58">
      <w:pPr>
        <w:pStyle w:val="FootnoteText"/>
        <w:jc w:val="both"/>
        <w:rPr>
          <w:rFonts w:ascii="Times New Roman" w:hAnsi="Times New Roman" w:cs="Times New Roman"/>
        </w:rPr>
      </w:pPr>
      <w:r w:rsidRPr="001A2D4F">
        <w:rPr>
          <w:rStyle w:val="FootnoteReference"/>
          <w:rFonts w:ascii="Times New Roman" w:hAnsi="Times New Roman" w:cs="Times New Roman"/>
        </w:rPr>
        <w:footnoteRef/>
      </w:r>
      <w:r w:rsidRPr="001A2D4F">
        <w:rPr>
          <w:rFonts w:ascii="Times New Roman" w:hAnsi="Times New Roman" w:cs="Times New Roman"/>
        </w:rPr>
        <w:t xml:space="preserve"> </w:t>
      </w:r>
      <w:r w:rsidRPr="001A2D4F">
        <w:rPr>
          <w:rFonts w:ascii="Times New Roman" w:hAnsi="Times New Roman" w:cs="Times New Roman"/>
          <w:i/>
          <w:iCs/>
        </w:rPr>
        <w:t>Westinghouse Brake &amp; Equipment (Pty) Ltd v Bilger Engineering (Pty) Ltd</w:t>
      </w:r>
      <w:r w:rsidRPr="001A2D4F">
        <w:rPr>
          <w:rFonts w:ascii="Times New Roman" w:hAnsi="Times New Roman" w:cs="Times New Roman"/>
        </w:rPr>
        <w:t xml:space="preserve"> 1986 (2) SA 548 (A) at 564H-565E; </w:t>
      </w:r>
      <w:r w:rsidRPr="001A2D4F">
        <w:rPr>
          <w:rFonts w:ascii="Times New Roman" w:hAnsi="Times New Roman" w:cs="Times New Roman"/>
          <w:i/>
          <w:iCs/>
        </w:rPr>
        <w:t>National Union of Metalworkers of South Africa and Others v Fry’s Metals (Pty) Ltd</w:t>
      </w:r>
      <w:r w:rsidRPr="001A2D4F">
        <w:rPr>
          <w:rFonts w:ascii="Times New Roman" w:hAnsi="Times New Roman" w:cs="Times New Roman"/>
        </w:rPr>
        <w:t xml:space="preserve"> 2005 (5) SA 433 (SCA) para 42</w:t>
      </w:r>
      <w:r w:rsidR="00EB3F85" w:rsidRPr="001A2D4F">
        <w:rPr>
          <w:rFonts w:ascii="Times New Roman" w:hAnsi="Times New Roman" w:cs="Times New Roman"/>
        </w:rPr>
        <w:t>-</w:t>
      </w:r>
      <w:r w:rsidRPr="001A2D4F">
        <w:rPr>
          <w:rFonts w:ascii="Times New Roman" w:hAnsi="Times New Roman" w:cs="Times New Roman"/>
        </w:rPr>
        <w:t>43.</w:t>
      </w:r>
    </w:p>
  </w:footnote>
  <w:footnote w:id="3">
    <w:p w14:paraId="1B8E84B2" w14:textId="02541B29" w:rsidR="00065C06" w:rsidRPr="001A2D4F" w:rsidRDefault="00065C06" w:rsidP="00A23A58">
      <w:pPr>
        <w:pStyle w:val="FootnoteText"/>
        <w:jc w:val="both"/>
      </w:pPr>
      <w:r w:rsidRPr="001A2D4F">
        <w:rPr>
          <w:rStyle w:val="FootnoteReference"/>
          <w:rFonts w:ascii="Times New Roman" w:hAnsi="Times New Roman" w:cs="Times New Roman"/>
        </w:rPr>
        <w:footnoteRef/>
      </w:r>
      <w:r w:rsidRPr="001A2D4F">
        <w:rPr>
          <w:rFonts w:ascii="Times New Roman" w:hAnsi="Times New Roman" w:cs="Times New Roman"/>
        </w:rPr>
        <w:t xml:space="preserve"> </w:t>
      </w:r>
      <w:r w:rsidRPr="001A2D4F">
        <w:rPr>
          <w:rFonts w:ascii="Times New Roman" w:hAnsi="Times New Roman" w:cs="Times New Roman"/>
          <w:i/>
          <w:iCs/>
        </w:rPr>
        <w:t xml:space="preserve">National Union of Mineworkers </w:t>
      </w:r>
      <w:r w:rsidR="004316E4" w:rsidRPr="001A2D4F">
        <w:rPr>
          <w:rFonts w:ascii="Times New Roman" w:hAnsi="Times New Roman" w:cs="Times New Roman"/>
          <w:i/>
          <w:iCs/>
        </w:rPr>
        <w:t>and Another</w:t>
      </w:r>
      <w:r w:rsidR="004316E4" w:rsidRPr="001A2D4F" w:rsidDel="004316E4">
        <w:rPr>
          <w:rFonts w:ascii="Times New Roman" w:hAnsi="Times New Roman" w:cs="Times New Roman"/>
          <w:i/>
          <w:iCs/>
        </w:rPr>
        <w:t xml:space="preserve"> </w:t>
      </w:r>
      <w:r w:rsidRPr="001A2D4F">
        <w:rPr>
          <w:rFonts w:ascii="Times New Roman" w:hAnsi="Times New Roman" w:cs="Times New Roman"/>
          <w:i/>
          <w:iCs/>
        </w:rPr>
        <w:t>v Samancor Limited</w:t>
      </w:r>
      <w:r w:rsidR="004316E4" w:rsidRPr="001A2D4F">
        <w:rPr>
          <w:rFonts w:ascii="Times New Roman" w:hAnsi="Times New Roman" w:cs="Times New Roman"/>
          <w:i/>
          <w:iCs/>
        </w:rPr>
        <w:t xml:space="preserve"> (Tubatse Ferrochrome) and Others</w:t>
      </w:r>
      <w:r w:rsidRPr="001A2D4F">
        <w:rPr>
          <w:rFonts w:ascii="Times New Roman" w:hAnsi="Times New Roman" w:cs="Times New Roman"/>
        </w:rPr>
        <w:t xml:space="preserve"> [2011] ZASCA 74;</w:t>
      </w:r>
      <w:r w:rsidR="004316E4" w:rsidRPr="001A2D4F">
        <w:t xml:space="preserve"> </w:t>
      </w:r>
      <w:r w:rsidR="004316E4" w:rsidRPr="001A2D4F">
        <w:rPr>
          <w:rFonts w:ascii="Times New Roman" w:hAnsi="Times New Roman" w:cs="Times New Roman"/>
        </w:rPr>
        <w:t>[2011] 11 BLLR 1041 (SCA); (2011) 32 ILJ 1618 (SCA) para 14-15;</w:t>
      </w:r>
      <w:r w:rsidRPr="001A2D4F">
        <w:rPr>
          <w:rFonts w:ascii="Times New Roman" w:hAnsi="Times New Roman" w:cs="Times New Roman"/>
        </w:rPr>
        <w:t xml:space="preserve"> </w:t>
      </w:r>
      <w:r w:rsidRPr="001A2D4F">
        <w:rPr>
          <w:rFonts w:ascii="Times New Roman" w:hAnsi="Times New Roman" w:cs="Times New Roman"/>
          <w:i/>
          <w:iCs/>
        </w:rPr>
        <w:t xml:space="preserve">Stu Davidson &amp; Sons (Pty) Ltd v East Cape Motors (Pty) Ltd </w:t>
      </w:r>
      <w:r w:rsidRPr="001A2D4F">
        <w:rPr>
          <w:rFonts w:ascii="Times New Roman" w:hAnsi="Times New Roman" w:cs="Times New Roman"/>
        </w:rPr>
        <w:t>[2018] ZASCA 26 para</w:t>
      </w:r>
      <w:r w:rsidR="00A23A58" w:rsidRPr="001A2D4F">
        <w:rPr>
          <w:rFonts w:ascii="Times New Roman" w:hAnsi="Times New Roman" w:cs="Times New Roman"/>
        </w:rPr>
        <w:t>s</w:t>
      </w:r>
      <w:r w:rsidRPr="001A2D4F">
        <w:rPr>
          <w:rFonts w:ascii="Times New Roman" w:hAnsi="Times New Roman" w:cs="Times New Roman"/>
        </w:rPr>
        <w:t xml:space="preserve"> 3</w:t>
      </w:r>
      <w:r w:rsidR="00A23A58" w:rsidRPr="001A2D4F">
        <w:rPr>
          <w:rFonts w:ascii="Times New Roman" w:hAnsi="Times New Roman" w:cs="Times New Roman"/>
        </w:rPr>
        <w:t xml:space="preserve"> and</w:t>
      </w:r>
      <w:r w:rsidRPr="001A2D4F">
        <w:rPr>
          <w:rFonts w:ascii="Times New Roman" w:hAnsi="Times New Roman" w:cs="Times New Roman"/>
        </w:rPr>
        <w:t xml:space="preserve"> 18.</w:t>
      </w:r>
    </w:p>
  </w:footnote>
  <w:footnote w:id="4">
    <w:p w14:paraId="4BE0798F" w14:textId="6AD65B39" w:rsidR="00767BE2" w:rsidRPr="00835A4D" w:rsidRDefault="00767BE2" w:rsidP="00B7392B">
      <w:pPr>
        <w:pStyle w:val="Heading2"/>
        <w:shd w:val="clear" w:color="auto" w:fill="FFFFFF"/>
        <w:spacing w:before="0" w:beforeAutospacing="0" w:after="0" w:afterAutospacing="0" w:line="0" w:lineRule="atLeast"/>
        <w:jc w:val="both"/>
        <w:rPr>
          <w:b w:val="0"/>
          <w:bCs w:val="0"/>
          <w:sz w:val="20"/>
          <w:szCs w:val="20"/>
        </w:rPr>
      </w:pPr>
      <w:r w:rsidRPr="001A2D4F">
        <w:rPr>
          <w:rStyle w:val="FootnoteReference"/>
          <w:sz w:val="20"/>
          <w:szCs w:val="20"/>
        </w:rPr>
        <w:footnoteRef/>
      </w:r>
      <w:r w:rsidRPr="001A2D4F">
        <w:rPr>
          <w:sz w:val="20"/>
          <w:szCs w:val="20"/>
        </w:rPr>
        <w:t xml:space="preserve"> </w:t>
      </w:r>
      <w:r w:rsidRPr="001A2D4F">
        <w:rPr>
          <w:b w:val="0"/>
          <w:bCs w:val="0"/>
          <w:i/>
          <w:iCs/>
          <w:sz w:val="20"/>
          <w:szCs w:val="20"/>
        </w:rPr>
        <w:t>Shepherd Real Estate Investments (Pty) Ltd v Roux Le Roux Motors CC</w:t>
      </w:r>
      <w:r w:rsidRPr="001A2D4F">
        <w:rPr>
          <w:b w:val="0"/>
          <w:bCs w:val="0"/>
          <w:sz w:val="20"/>
          <w:szCs w:val="20"/>
        </w:rPr>
        <w:t xml:space="preserve"> [2019] ZASCA 178; 2020 (2) SA 419 (SCA)</w:t>
      </w:r>
      <w:r w:rsidR="00CB521E" w:rsidRPr="001A2D4F">
        <w:rPr>
          <w:b w:val="0"/>
          <w:bCs w:val="0"/>
          <w:sz w:val="20"/>
          <w:szCs w:val="20"/>
        </w:rPr>
        <w:t>.</w:t>
      </w:r>
    </w:p>
    <w:p w14:paraId="7DA43584" w14:textId="77777777" w:rsidR="00767BE2" w:rsidRPr="000D7847" w:rsidRDefault="00767BE2" w:rsidP="00767BE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25481342"/>
      <w:docPartObj>
        <w:docPartGallery w:val="Page Numbers (Top of Page)"/>
        <w:docPartUnique/>
      </w:docPartObj>
    </w:sdtPr>
    <w:sdtEndPr>
      <w:rPr>
        <w:noProof/>
      </w:rPr>
    </w:sdtEndPr>
    <w:sdtContent>
      <w:p w14:paraId="71AC54D0" w14:textId="3F85B8E7" w:rsidR="000033E9" w:rsidRPr="00B7392B" w:rsidRDefault="000033E9">
        <w:pPr>
          <w:pStyle w:val="Header"/>
          <w:jc w:val="right"/>
          <w:rPr>
            <w:rFonts w:ascii="Times New Roman" w:hAnsi="Times New Roman" w:cs="Times New Roman"/>
            <w:sz w:val="28"/>
            <w:szCs w:val="28"/>
          </w:rPr>
        </w:pPr>
        <w:r w:rsidRPr="00B7392B">
          <w:rPr>
            <w:rFonts w:ascii="Times New Roman" w:hAnsi="Times New Roman" w:cs="Times New Roman"/>
            <w:sz w:val="28"/>
            <w:szCs w:val="28"/>
          </w:rPr>
          <w:fldChar w:fldCharType="begin"/>
        </w:r>
        <w:r w:rsidRPr="00B7392B">
          <w:rPr>
            <w:rFonts w:ascii="Times New Roman" w:hAnsi="Times New Roman" w:cs="Times New Roman"/>
            <w:sz w:val="28"/>
            <w:szCs w:val="28"/>
          </w:rPr>
          <w:instrText xml:space="preserve"> PAGE   \* MERGEFORMAT </w:instrText>
        </w:r>
        <w:r w:rsidRPr="00B7392B">
          <w:rPr>
            <w:rFonts w:ascii="Times New Roman" w:hAnsi="Times New Roman" w:cs="Times New Roman"/>
            <w:sz w:val="28"/>
            <w:szCs w:val="28"/>
          </w:rPr>
          <w:fldChar w:fldCharType="separate"/>
        </w:r>
        <w:r w:rsidR="00800223">
          <w:rPr>
            <w:rFonts w:ascii="Times New Roman" w:hAnsi="Times New Roman" w:cs="Times New Roman"/>
            <w:noProof/>
            <w:sz w:val="28"/>
            <w:szCs w:val="28"/>
          </w:rPr>
          <w:t>2</w:t>
        </w:r>
        <w:r w:rsidRPr="00B7392B">
          <w:rPr>
            <w:rFonts w:ascii="Times New Roman" w:hAnsi="Times New Roman" w:cs="Times New Roman"/>
            <w:noProof/>
            <w:sz w:val="28"/>
            <w:szCs w:val="28"/>
          </w:rPr>
          <w:fldChar w:fldCharType="end"/>
        </w:r>
      </w:p>
    </w:sdtContent>
  </w:sdt>
  <w:p w14:paraId="4CA199EB" w14:textId="77777777" w:rsidR="000033E9" w:rsidRPr="00DF4E7F" w:rsidRDefault="000033E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4D7"/>
    <w:multiLevelType w:val="hybridMultilevel"/>
    <w:tmpl w:val="9DAE84AC"/>
    <w:lvl w:ilvl="0" w:tplc="CAB28B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786D25"/>
    <w:multiLevelType w:val="hybridMultilevel"/>
    <w:tmpl w:val="AF5497A8"/>
    <w:lvl w:ilvl="0" w:tplc="409279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181E4E"/>
    <w:multiLevelType w:val="multilevel"/>
    <w:tmpl w:val="A58A1958"/>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A9"/>
    <w:rsid w:val="000026CD"/>
    <w:rsid w:val="000033E9"/>
    <w:rsid w:val="00005AA9"/>
    <w:rsid w:val="0001489D"/>
    <w:rsid w:val="00014AF9"/>
    <w:rsid w:val="00015580"/>
    <w:rsid w:val="000166E7"/>
    <w:rsid w:val="00017080"/>
    <w:rsid w:val="00023E09"/>
    <w:rsid w:val="00033EC2"/>
    <w:rsid w:val="00034386"/>
    <w:rsid w:val="0003651C"/>
    <w:rsid w:val="00045C53"/>
    <w:rsid w:val="000471ED"/>
    <w:rsid w:val="0005689D"/>
    <w:rsid w:val="00065C06"/>
    <w:rsid w:val="00065CA5"/>
    <w:rsid w:val="00073B76"/>
    <w:rsid w:val="000759F1"/>
    <w:rsid w:val="00075CC7"/>
    <w:rsid w:val="00077089"/>
    <w:rsid w:val="0008224C"/>
    <w:rsid w:val="00083B53"/>
    <w:rsid w:val="00085714"/>
    <w:rsid w:val="000B64BF"/>
    <w:rsid w:val="000D7373"/>
    <w:rsid w:val="000D75BF"/>
    <w:rsid w:val="000F5238"/>
    <w:rsid w:val="00105B25"/>
    <w:rsid w:val="00117076"/>
    <w:rsid w:val="00123A67"/>
    <w:rsid w:val="001247FE"/>
    <w:rsid w:val="0012503D"/>
    <w:rsid w:val="00125D33"/>
    <w:rsid w:val="00147CC0"/>
    <w:rsid w:val="00162F23"/>
    <w:rsid w:val="00167AA9"/>
    <w:rsid w:val="00171AF4"/>
    <w:rsid w:val="0017312C"/>
    <w:rsid w:val="00177946"/>
    <w:rsid w:val="00180A8C"/>
    <w:rsid w:val="001935CB"/>
    <w:rsid w:val="00197D22"/>
    <w:rsid w:val="001A2D4F"/>
    <w:rsid w:val="001B2E40"/>
    <w:rsid w:val="001B366B"/>
    <w:rsid w:val="001B3BAB"/>
    <w:rsid w:val="001C5C44"/>
    <w:rsid w:val="001C612B"/>
    <w:rsid w:val="001E4C0B"/>
    <w:rsid w:val="001F67E9"/>
    <w:rsid w:val="0020535F"/>
    <w:rsid w:val="002117B6"/>
    <w:rsid w:val="00216E3E"/>
    <w:rsid w:val="0022239E"/>
    <w:rsid w:val="00226A04"/>
    <w:rsid w:val="002277A3"/>
    <w:rsid w:val="002366E3"/>
    <w:rsid w:val="00237657"/>
    <w:rsid w:val="002376F0"/>
    <w:rsid w:val="00244085"/>
    <w:rsid w:val="00250ECD"/>
    <w:rsid w:val="00260855"/>
    <w:rsid w:val="00260EB9"/>
    <w:rsid w:val="002647B4"/>
    <w:rsid w:val="00281EB0"/>
    <w:rsid w:val="00287456"/>
    <w:rsid w:val="002909F0"/>
    <w:rsid w:val="00292B9D"/>
    <w:rsid w:val="002A0162"/>
    <w:rsid w:val="002A0F6D"/>
    <w:rsid w:val="002A540A"/>
    <w:rsid w:val="002A5D95"/>
    <w:rsid w:val="002C6CB8"/>
    <w:rsid w:val="002E2D53"/>
    <w:rsid w:val="003105B4"/>
    <w:rsid w:val="00315B3D"/>
    <w:rsid w:val="00322736"/>
    <w:rsid w:val="0032746C"/>
    <w:rsid w:val="00332A6D"/>
    <w:rsid w:val="003358D2"/>
    <w:rsid w:val="00337BA1"/>
    <w:rsid w:val="00345810"/>
    <w:rsid w:val="00355219"/>
    <w:rsid w:val="00356288"/>
    <w:rsid w:val="00387853"/>
    <w:rsid w:val="00393AC1"/>
    <w:rsid w:val="0039775A"/>
    <w:rsid w:val="00397BE9"/>
    <w:rsid w:val="003B157A"/>
    <w:rsid w:val="003B383C"/>
    <w:rsid w:val="003C2531"/>
    <w:rsid w:val="003D6B3B"/>
    <w:rsid w:val="003F4533"/>
    <w:rsid w:val="00400B91"/>
    <w:rsid w:val="004052F6"/>
    <w:rsid w:val="00414567"/>
    <w:rsid w:val="004316E4"/>
    <w:rsid w:val="00436179"/>
    <w:rsid w:val="004416E5"/>
    <w:rsid w:val="00454377"/>
    <w:rsid w:val="00465E86"/>
    <w:rsid w:val="0047180F"/>
    <w:rsid w:val="004858F1"/>
    <w:rsid w:val="004917EC"/>
    <w:rsid w:val="00492A2B"/>
    <w:rsid w:val="004A0A43"/>
    <w:rsid w:val="004A24FB"/>
    <w:rsid w:val="004A7257"/>
    <w:rsid w:val="004A7B63"/>
    <w:rsid w:val="004B444F"/>
    <w:rsid w:val="004C05BD"/>
    <w:rsid w:val="004C2B95"/>
    <w:rsid w:val="004D3295"/>
    <w:rsid w:val="004D40CE"/>
    <w:rsid w:val="004E599E"/>
    <w:rsid w:val="005032A6"/>
    <w:rsid w:val="005139F6"/>
    <w:rsid w:val="00524709"/>
    <w:rsid w:val="0053582F"/>
    <w:rsid w:val="00536F17"/>
    <w:rsid w:val="0054477B"/>
    <w:rsid w:val="00554250"/>
    <w:rsid w:val="00573897"/>
    <w:rsid w:val="005758A1"/>
    <w:rsid w:val="00576DC4"/>
    <w:rsid w:val="00581186"/>
    <w:rsid w:val="005817AA"/>
    <w:rsid w:val="00584F54"/>
    <w:rsid w:val="005A0965"/>
    <w:rsid w:val="005B78FC"/>
    <w:rsid w:val="005D0625"/>
    <w:rsid w:val="005D2B77"/>
    <w:rsid w:val="006004DD"/>
    <w:rsid w:val="006018AD"/>
    <w:rsid w:val="00611CDF"/>
    <w:rsid w:val="006147EC"/>
    <w:rsid w:val="006211A4"/>
    <w:rsid w:val="00642DF2"/>
    <w:rsid w:val="006600D2"/>
    <w:rsid w:val="00672C3D"/>
    <w:rsid w:val="00673959"/>
    <w:rsid w:val="00680E73"/>
    <w:rsid w:val="0068528E"/>
    <w:rsid w:val="0068640D"/>
    <w:rsid w:val="006A2A5A"/>
    <w:rsid w:val="006B29B2"/>
    <w:rsid w:val="006D40B6"/>
    <w:rsid w:val="007032B3"/>
    <w:rsid w:val="00711C85"/>
    <w:rsid w:val="00734E91"/>
    <w:rsid w:val="00743ABD"/>
    <w:rsid w:val="00746731"/>
    <w:rsid w:val="00760DD5"/>
    <w:rsid w:val="00762A81"/>
    <w:rsid w:val="00763D3F"/>
    <w:rsid w:val="00766F16"/>
    <w:rsid w:val="00767BE2"/>
    <w:rsid w:val="00777ADA"/>
    <w:rsid w:val="00780DB8"/>
    <w:rsid w:val="00786FCD"/>
    <w:rsid w:val="007A77B1"/>
    <w:rsid w:val="007B0EA8"/>
    <w:rsid w:val="007B522B"/>
    <w:rsid w:val="007C7678"/>
    <w:rsid w:val="007D5147"/>
    <w:rsid w:val="007D6540"/>
    <w:rsid w:val="007E5D43"/>
    <w:rsid w:val="007F78B2"/>
    <w:rsid w:val="00800223"/>
    <w:rsid w:val="00804C28"/>
    <w:rsid w:val="00810DEC"/>
    <w:rsid w:val="00814DED"/>
    <w:rsid w:val="00823E9C"/>
    <w:rsid w:val="0083481E"/>
    <w:rsid w:val="00835A4D"/>
    <w:rsid w:val="00842630"/>
    <w:rsid w:val="008439E5"/>
    <w:rsid w:val="00847083"/>
    <w:rsid w:val="00853A16"/>
    <w:rsid w:val="00854F40"/>
    <w:rsid w:val="008563EA"/>
    <w:rsid w:val="0086338E"/>
    <w:rsid w:val="0086555B"/>
    <w:rsid w:val="0088047C"/>
    <w:rsid w:val="008805A7"/>
    <w:rsid w:val="00883558"/>
    <w:rsid w:val="0089276D"/>
    <w:rsid w:val="00893EBA"/>
    <w:rsid w:val="008A1905"/>
    <w:rsid w:val="008B09AC"/>
    <w:rsid w:val="008B383C"/>
    <w:rsid w:val="008B4BA4"/>
    <w:rsid w:val="008B74CE"/>
    <w:rsid w:val="008C2496"/>
    <w:rsid w:val="008C39B2"/>
    <w:rsid w:val="008D2104"/>
    <w:rsid w:val="008E48F9"/>
    <w:rsid w:val="008E4A06"/>
    <w:rsid w:val="00901E3F"/>
    <w:rsid w:val="009172DE"/>
    <w:rsid w:val="00927DE1"/>
    <w:rsid w:val="00935179"/>
    <w:rsid w:val="0095208F"/>
    <w:rsid w:val="00952B1B"/>
    <w:rsid w:val="00961302"/>
    <w:rsid w:val="00962C6E"/>
    <w:rsid w:val="009824BB"/>
    <w:rsid w:val="009830FF"/>
    <w:rsid w:val="00985DAA"/>
    <w:rsid w:val="009906FD"/>
    <w:rsid w:val="009A3F45"/>
    <w:rsid w:val="009A7E3C"/>
    <w:rsid w:val="009B4010"/>
    <w:rsid w:val="009B5716"/>
    <w:rsid w:val="009C4A3B"/>
    <w:rsid w:val="009D7461"/>
    <w:rsid w:val="009E54F8"/>
    <w:rsid w:val="009E5E82"/>
    <w:rsid w:val="009F7B8E"/>
    <w:rsid w:val="00A153B7"/>
    <w:rsid w:val="00A206AD"/>
    <w:rsid w:val="00A22D34"/>
    <w:rsid w:val="00A232D8"/>
    <w:rsid w:val="00A23A58"/>
    <w:rsid w:val="00A23D98"/>
    <w:rsid w:val="00A32D58"/>
    <w:rsid w:val="00A44D3D"/>
    <w:rsid w:val="00A53C30"/>
    <w:rsid w:val="00A759B0"/>
    <w:rsid w:val="00A852BD"/>
    <w:rsid w:val="00A945F1"/>
    <w:rsid w:val="00AA4EF3"/>
    <w:rsid w:val="00AB5CAE"/>
    <w:rsid w:val="00AC3BD5"/>
    <w:rsid w:val="00AC47AD"/>
    <w:rsid w:val="00AC505C"/>
    <w:rsid w:val="00AC531C"/>
    <w:rsid w:val="00AD0466"/>
    <w:rsid w:val="00AD5679"/>
    <w:rsid w:val="00AE010B"/>
    <w:rsid w:val="00AE464D"/>
    <w:rsid w:val="00AE640E"/>
    <w:rsid w:val="00AF3392"/>
    <w:rsid w:val="00AF6E8F"/>
    <w:rsid w:val="00AF7035"/>
    <w:rsid w:val="00AF73FB"/>
    <w:rsid w:val="00B30FA9"/>
    <w:rsid w:val="00B31F9D"/>
    <w:rsid w:val="00B350F9"/>
    <w:rsid w:val="00B44980"/>
    <w:rsid w:val="00B53988"/>
    <w:rsid w:val="00B53A14"/>
    <w:rsid w:val="00B71AEA"/>
    <w:rsid w:val="00B7392B"/>
    <w:rsid w:val="00B8182A"/>
    <w:rsid w:val="00B84F07"/>
    <w:rsid w:val="00B926B1"/>
    <w:rsid w:val="00BA38DB"/>
    <w:rsid w:val="00BA731C"/>
    <w:rsid w:val="00BA7747"/>
    <w:rsid w:val="00BC5EB7"/>
    <w:rsid w:val="00BD42DD"/>
    <w:rsid w:val="00BD53A7"/>
    <w:rsid w:val="00BD738B"/>
    <w:rsid w:val="00BE073C"/>
    <w:rsid w:val="00BE7F92"/>
    <w:rsid w:val="00BF61EC"/>
    <w:rsid w:val="00C03A94"/>
    <w:rsid w:val="00C051FB"/>
    <w:rsid w:val="00C06C7C"/>
    <w:rsid w:val="00C27F7E"/>
    <w:rsid w:val="00C3069A"/>
    <w:rsid w:val="00C42E6B"/>
    <w:rsid w:val="00C43062"/>
    <w:rsid w:val="00C442D1"/>
    <w:rsid w:val="00C55493"/>
    <w:rsid w:val="00C55F78"/>
    <w:rsid w:val="00C64D55"/>
    <w:rsid w:val="00C65879"/>
    <w:rsid w:val="00C7180B"/>
    <w:rsid w:val="00C84C85"/>
    <w:rsid w:val="00CB3F4E"/>
    <w:rsid w:val="00CB521E"/>
    <w:rsid w:val="00CC07A3"/>
    <w:rsid w:val="00CC1EFF"/>
    <w:rsid w:val="00CE0FF9"/>
    <w:rsid w:val="00D04821"/>
    <w:rsid w:val="00D12F99"/>
    <w:rsid w:val="00D2533F"/>
    <w:rsid w:val="00D26D51"/>
    <w:rsid w:val="00D42990"/>
    <w:rsid w:val="00D43C6E"/>
    <w:rsid w:val="00D56782"/>
    <w:rsid w:val="00D60828"/>
    <w:rsid w:val="00D66661"/>
    <w:rsid w:val="00D775FE"/>
    <w:rsid w:val="00D80465"/>
    <w:rsid w:val="00D81141"/>
    <w:rsid w:val="00D834CE"/>
    <w:rsid w:val="00D9138F"/>
    <w:rsid w:val="00D94120"/>
    <w:rsid w:val="00DB0EEE"/>
    <w:rsid w:val="00DC1396"/>
    <w:rsid w:val="00DD1C44"/>
    <w:rsid w:val="00DD49ED"/>
    <w:rsid w:val="00DE3069"/>
    <w:rsid w:val="00DE7DCE"/>
    <w:rsid w:val="00DF03AA"/>
    <w:rsid w:val="00DF3B0A"/>
    <w:rsid w:val="00DF4E7F"/>
    <w:rsid w:val="00E05F75"/>
    <w:rsid w:val="00E07113"/>
    <w:rsid w:val="00E16BC2"/>
    <w:rsid w:val="00E209B9"/>
    <w:rsid w:val="00E40342"/>
    <w:rsid w:val="00E453B9"/>
    <w:rsid w:val="00E47F9B"/>
    <w:rsid w:val="00E55689"/>
    <w:rsid w:val="00E61587"/>
    <w:rsid w:val="00E65F79"/>
    <w:rsid w:val="00E66623"/>
    <w:rsid w:val="00E730D6"/>
    <w:rsid w:val="00E75D8A"/>
    <w:rsid w:val="00E81E79"/>
    <w:rsid w:val="00E87F61"/>
    <w:rsid w:val="00E91ECC"/>
    <w:rsid w:val="00E93445"/>
    <w:rsid w:val="00EA172F"/>
    <w:rsid w:val="00EA2DA8"/>
    <w:rsid w:val="00EA5E63"/>
    <w:rsid w:val="00EB3F85"/>
    <w:rsid w:val="00EB5C05"/>
    <w:rsid w:val="00EB603D"/>
    <w:rsid w:val="00EC3D1B"/>
    <w:rsid w:val="00EC5911"/>
    <w:rsid w:val="00ED69F6"/>
    <w:rsid w:val="00EE0F86"/>
    <w:rsid w:val="00EE1761"/>
    <w:rsid w:val="00EE3156"/>
    <w:rsid w:val="00EF4794"/>
    <w:rsid w:val="00EF4819"/>
    <w:rsid w:val="00F06082"/>
    <w:rsid w:val="00F216C9"/>
    <w:rsid w:val="00F236BE"/>
    <w:rsid w:val="00F25D3F"/>
    <w:rsid w:val="00F27062"/>
    <w:rsid w:val="00F361FA"/>
    <w:rsid w:val="00F373EC"/>
    <w:rsid w:val="00F538C4"/>
    <w:rsid w:val="00F53A0F"/>
    <w:rsid w:val="00F5734E"/>
    <w:rsid w:val="00F57F30"/>
    <w:rsid w:val="00F638DE"/>
    <w:rsid w:val="00F8109A"/>
    <w:rsid w:val="00F85570"/>
    <w:rsid w:val="00FA2EE6"/>
    <w:rsid w:val="00FB13ED"/>
    <w:rsid w:val="00FC7DA7"/>
    <w:rsid w:val="00FD777B"/>
    <w:rsid w:val="00FF17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21C0"/>
  <w15:chartTrackingRefBased/>
  <w15:docId w15:val="{3979F391-683D-4484-957D-72CAF53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22"/>
  </w:style>
  <w:style w:type="paragraph" w:styleId="Heading2">
    <w:name w:val="heading 2"/>
    <w:basedOn w:val="Normal"/>
    <w:link w:val="Heading2Char"/>
    <w:uiPriority w:val="9"/>
    <w:qFormat/>
    <w:rsid w:val="00767BE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5C"/>
  </w:style>
  <w:style w:type="paragraph" w:styleId="Footer">
    <w:name w:val="footer"/>
    <w:basedOn w:val="Normal"/>
    <w:link w:val="FooterChar"/>
    <w:uiPriority w:val="99"/>
    <w:unhideWhenUsed/>
    <w:rsid w:val="00AC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5C"/>
  </w:style>
  <w:style w:type="paragraph" w:styleId="FootnoteText">
    <w:name w:val="footnote text"/>
    <w:basedOn w:val="Normal"/>
    <w:link w:val="FootnoteTextChar"/>
    <w:uiPriority w:val="99"/>
    <w:semiHidden/>
    <w:unhideWhenUsed/>
    <w:rsid w:val="008E4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F9"/>
    <w:rPr>
      <w:sz w:val="20"/>
      <w:szCs w:val="20"/>
    </w:rPr>
  </w:style>
  <w:style w:type="character" w:styleId="FootnoteReference">
    <w:name w:val="footnote reference"/>
    <w:basedOn w:val="DefaultParagraphFont"/>
    <w:uiPriority w:val="99"/>
    <w:semiHidden/>
    <w:unhideWhenUsed/>
    <w:rsid w:val="008E48F9"/>
    <w:rPr>
      <w:vertAlign w:val="superscript"/>
    </w:rPr>
  </w:style>
  <w:style w:type="paragraph" w:styleId="BalloonText">
    <w:name w:val="Balloon Text"/>
    <w:basedOn w:val="Normal"/>
    <w:link w:val="BalloonTextChar"/>
    <w:uiPriority w:val="99"/>
    <w:semiHidden/>
    <w:unhideWhenUsed/>
    <w:rsid w:val="0058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86"/>
    <w:rPr>
      <w:rFonts w:ascii="Segoe UI" w:hAnsi="Segoe UI" w:cs="Segoe UI"/>
      <w:sz w:val="18"/>
      <w:szCs w:val="18"/>
    </w:rPr>
  </w:style>
  <w:style w:type="paragraph" w:styleId="ListParagraph">
    <w:name w:val="List Paragraph"/>
    <w:basedOn w:val="Normal"/>
    <w:uiPriority w:val="34"/>
    <w:qFormat/>
    <w:rsid w:val="00F538C4"/>
    <w:pPr>
      <w:ind w:left="720"/>
      <w:contextualSpacing/>
    </w:pPr>
  </w:style>
  <w:style w:type="character" w:styleId="CommentReference">
    <w:name w:val="annotation reference"/>
    <w:basedOn w:val="DefaultParagraphFont"/>
    <w:uiPriority w:val="99"/>
    <w:semiHidden/>
    <w:unhideWhenUsed/>
    <w:rsid w:val="00AE640E"/>
    <w:rPr>
      <w:sz w:val="16"/>
      <w:szCs w:val="16"/>
    </w:rPr>
  </w:style>
  <w:style w:type="paragraph" w:styleId="CommentText">
    <w:name w:val="annotation text"/>
    <w:basedOn w:val="Normal"/>
    <w:link w:val="CommentTextChar"/>
    <w:uiPriority w:val="99"/>
    <w:semiHidden/>
    <w:unhideWhenUsed/>
    <w:rsid w:val="00AE640E"/>
    <w:pPr>
      <w:spacing w:line="240" w:lineRule="auto"/>
    </w:pPr>
    <w:rPr>
      <w:sz w:val="20"/>
      <w:szCs w:val="20"/>
    </w:rPr>
  </w:style>
  <w:style w:type="character" w:customStyle="1" w:styleId="CommentTextChar">
    <w:name w:val="Comment Text Char"/>
    <w:basedOn w:val="DefaultParagraphFont"/>
    <w:link w:val="CommentText"/>
    <w:uiPriority w:val="99"/>
    <w:semiHidden/>
    <w:rsid w:val="00AE640E"/>
    <w:rPr>
      <w:sz w:val="20"/>
      <w:szCs w:val="20"/>
    </w:rPr>
  </w:style>
  <w:style w:type="paragraph" w:styleId="CommentSubject">
    <w:name w:val="annotation subject"/>
    <w:basedOn w:val="CommentText"/>
    <w:next w:val="CommentText"/>
    <w:link w:val="CommentSubjectChar"/>
    <w:uiPriority w:val="99"/>
    <w:semiHidden/>
    <w:unhideWhenUsed/>
    <w:rsid w:val="00AE640E"/>
    <w:rPr>
      <w:b/>
      <w:bCs/>
    </w:rPr>
  </w:style>
  <w:style w:type="character" w:customStyle="1" w:styleId="CommentSubjectChar">
    <w:name w:val="Comment Subject Char"/>
    <w:basedOn w:val="CommentTextChar"/>
    <w:link w:val="CommentSubject"/>
    <w:uiPriority w:val="99"/>
    <w:semiHidden/>
    <w:rsid w:val="00AE640E"/>
    <w:rPr>
      <w:b/>
      <w:bCs/>
      <w:sz w:val="20"/>
      <w:szCs w:val="20"/>
    </w:rPr>
  </w:style>
  <w:style w:type="paragraph" w:customStyle="1" w:styleId="lg-section">
    <w:name w:val="lg-section"/>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25D3F"/>
    <w:rPr>
      <w:color w:val="0563C1" w:themeColor="hyperlink"/>
      <w:u w:val="single"/>
    </w:rPr>
  </w:style>
  <w:style w:type="paragraph" w:styleId="NormalWeb">
    <w:name w:val="Normal (Web)"/>
    <w:basedOn w:val="Normal"/>
    <w:uiPriority w:val="99"/>
    <w:semiHidden/>
    <w:unhideWhenUsed/>
    <w:rsid w:val="00EA5E63"/>
    <w:rPr>
      <w:rFonts w:ascii="Times New Roman" w:hAnsi="Times New Roman" w:cs="Times New Roman"/>
      <w:sz w:val="24"/>
      <w:szCs w:val="24"/>
    </w:rPr>
  </w:style>
  <w:style w:type="paragraph" w:styleId="Revision">
    <w:name w:val="Revision"/>
    <w:hidden/>
    <w:uiPriority w:val="99"/>
    <w:semiHidden/>
    <w:rsid w:val="00DD1C44"/>
    <w:pPr>
      <w:spacing w:after="0" w:line="240" w:lineRule="auto"/>
    </w:pPr>
  </w:style>
  <w:style w:type="character" w:customStyle="1" w:styleId="Heading2Char">
    <w:name w:val="Heading 2 Char"/>
    <w:basedOn w:val="DefaultParagraphFont"/>
    <w:link w:val="Heading2"/>
    <w:uiPriority w:val="9"/>
    <w:rsid w:val="00767BE2"/>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5065">
      <w:bodyDiv w:val="1"/>
      <w:marLeft w:val="0"/>
      <w:marRight w:val="0"/>
      <w:marTop w:val="0"/>
      <w:marBottom w:val="0"/>
      <w:divBdr>
        <w:top w:val="none" w:sz="0" w:space="0" w:color="auto"/>
        <w:left w:val="none" w:sz="0" w:space="0" w:color="auto"/>
        <w:bottom w:val="none" w:sz="0" w:space="0" w:color="auto"/>
        <w:right w:val="none" w:sz="0" w:space="0" w:color="auto"/>
      </w:divBdr>
    </w:div>
    <w:div w:id="954945078">
      <w:bodyDiv w:val="1"/>
      <w:marLeft w:val="0"/>
      <w:marRight w:val="0"/>
      <w:marTop w:val="0"/>
      <w:marBottom w:val="0"/>
      <w:divBdr>
        <w:top w:val="none" w:sz="0" w:space="0" w:color="auto"/>
        <w:left w:val="none" w:sz="0" w:space="0" w:color="auto"/>
        <w:bottom w:val="none" w:sz="0" w:space="0" w:color="auto"/>
        <w:right w:val="none" w:sz="0" w:space="0" w:color="auto"/>
      </w:divBdr>
    </w:div>
    <w:div w:id="1128668867">
      <w:bodyDiv w:val="1"/>
      <w:marLeft w:val="0"/>
      <w:marRight w:val="0"/>
      <w:marTop w:val="0"/>
      <w:marBottom w:val="0"/>
      <w:divBdr>
        <w:top w:val="none" w:sz="0" w:space="0" w:color="auto"/>
        <w:left w:val="none" w:sz="0" w:space="0" w:color="auto"/>
        <w:bottom w:val="none" w:sz="0" w:space="0" w:color="auto"/>
        <w:right w:val="none" w:sz="0" w:space="0" w:color="auto"/>
      </w:divBdr>
    </w:div>
    <w:div w:id="1406606889">
      <w:bodyDiv w:val="1"/>
      <w:marLeft w:val="0"/>
      <w:marRight w:val="0"/>
      <w:marTop w:val="0"/>
      <w:marBottom w:val="0"/>
      <w:divBdr>
        <w:top w:val="none" w:sz="0" w:space="0" w:color="auto"/>
        <w:left w:val="none" w:sz="0" w:space="0" w:color="auto"/>
        <w:bottom w:val="none" w:sz="0" w:space="0" w:color="auto"/>
        <w:right w:val="none" w:sz="0" w:space="0" w:color="auto"/>
      </w:divBdr>
    </w:div>
    <w:div w:id="1548880208">
      <w:bodyDiv w:val="1"/>
      <w:marLeft w:val="0"/>
      <w:marRight w:val="0"/>
      <w:marTop w:val="0"/>
      <w:marBottom w:val="0"/>
      <w:divBdr>
        <w:top w:val="none" w:sz="0" w:space="0" w:color="auto"/>
        <w:left w:val="none" w:sz="0" w:space="0" w:color="auto"/>
        <w:bottom w:val="none" w:sz="0" w:space="0" w:color="auto"/>
        <w:right w:val="none" w:sz="0" w:space="0" w:color="auto"/>
      </w:divBdr>
    </w:div>
    <w:div w:id="19916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4AFD-A8AC-40D5-B583-070B5BBE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Judge-Glenn Goosen</dc:creator>
  <cp:keywords/>
  <dc:description/>
  <cp:lastModifiedBy>Mokone</cp:lastModifiedBy>
  <cp:revision>2</cp:revision>
  <cp:lastPrinted>2023-09-27T09:03:00Z</cp:lastPrinted>
  <dcterms:created xsi:type="dcterms:W3CDTF">2023-09-28T13:23:00Z</dcterms:created>
  <dcterms:modified xsi:type="dcterms:W3CDTF">2023-09-28T13:23:00Z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df559828a187e1cc4eaf26807cdcdfd728606f6be27f25e4a06b7a3247b3821a</vt:lpwstr>
  </property>
</Properties>
</file>