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1F738" w14:textId="77777777" w:rsidR="00B8098A" w:rsidRPr="00B8098A" w:rsidRDefault="00B8098A" w:rsidP="00B8098A">
      <w:pPr>
        <w:spacing w:after="0" w:line="240" w:lineRule="auto"/>
        <w:rPr>
          <w:rFonts w:ascii="Arial" w:eastAsia="Times New Roman" w:hAnsi="Arial" w:cs="Arial"/>
          <w:bCs/>
          <w:kern w:val="0"/>
          <w:sz w:val="28"/>
          <w:szCs w:val="28"/>
          <w14:ligatures w14:val="none"/>
        </w:rPr>
      </w:pPr>
    </w:p>
    <w:p w14:paraId="6026191A" w14:textId="77777777" w:rsidR="00B8098A" w:rsidRPr="005E6AD9" w:rsidRDefault="00B8098A" w:rsidP="00B8098A">
      <w:pPr>
        <w:spacing w:after="0" w:line="240" w:lineRule="auto"/>
        <w:jc w:val="center"/>
        <w:rPr>
          <w:rFonts w:ascii="Arial" w:eastAsia="Times New Roman" w:hAnsi="Arial" w:cs="Arial"/>
          <w:b/>
          <w:bCs/>
          <w:kern w:val="0"/>
          <w:sz w:val="28"/>
          <w:szCs w:val="28"/>
          <w:lang w:val="en-GB"/>
          <w14:ligatures w14:val="none"/>
        </w:rPr>
      </w:pPr>
      <w:r w:rsidRPr="005E6AD9">
        <w:rPr>
          <w:rFonts w:ascii="Arial" w:eastAsia="Times New Roman" w:hAnsi="Arial" w:cs="Arial"/>
          <w:noProof/>
          <w:kern w:val="0"/>
          <w:sz w:val="24"/>
          <w:szCs w:val="24"/>
          <w:lang w:val="en-US"/>
          <w14:ligatures w14:val="none"/>
        </w:rPr>
        <w:drawing>
          <wp:anchor distT="0" distB="0" distL="114300" distR="114300" simplePos="0" relativeHeight="251659264" behindDoc="0" locked="0" layoutInCell="1" allowOverlap="1" wp14:anchorId="66AFD9AE" wp14:editId="033EE4D2">
            <wp:simplePos x="0" y="0"/>
            <wp:positionH relativeFrom="page">
              <wp:posOffset>3380105</wp:posOffset>
            </wp:positionH>
            <wp:positionV relativeFrom="paragraph">
              <wp:posOffset>24130</wp:posOffset>
            </wp:positionV>
            <wp:extent cx="79883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pic:spPr>
                </pic:pic>
              </a:graphicData>
            </a:graphic>
            <wp14:sizeRelH relativeFrom="page">
              <wp14:pctWidth>0</wp14:pctWidth>
            </wp14:sizeRelH>
            <wp14:sizeRelV relativeFrom="page">
              <wp14:pctHeight>0</wp14:pctHeight>
            </wp14:sizeRelV>
          </wp:anchor>
        </w:drawing>
      </w:r>
    </w:p>
    <w:p w14:paraId="309DDAA8" w14:textId="77777777" w:rsidR="00B8098A" w:rsidRPr="005E6AD9" w:rsidRDefault="00B8098A" w:rsidP="00B8098A">
      <w:pPr>
        <w:spacing w:after="0" w:line="240" w:lineRule="auto"/>
        <w:jc w:val="center"/>
        <w:rPr>
          <w:rFonts w:ascii="Arial" w:eastAsia="Times New Roman" w:hAnsi="Arial" w:cs="Arial"/>
          <w:b/>
          <w:bCs/>
          <w:kern w:val="0"/>
          <w:sz w:val="28"/>
          <w:szCs w:val="28"/>
          <w:lang w:val="en-GB"/>
          <w14:ligatures w14:val="none"/>
        </w:rPr>
      </w:pPr>
    </w:p>
    <w:p w14:paraId="32DA1B33" w14:textId="77777777" w:rsidR="00B8098A" w:rsidRPr="005E6AD9" w:rsidRDefault="00B8098A" w:rsidP="00B8098A">
      <w:pPr>
        <w:spacing w:after="0" w:line="240" w:lineRule="auto"/>
        <w:jc w:val="center"/>
        <w:rPr>
          <w:rFonts w:ascii="Arial" w:eastAsia="Times New Roman" w:hAnsi="Arial" w:cs="Arial"/>
          <w:b/>
          <w:bCs/>
          <w:kern w:val="0"/>
          <w:sz w:val="28"/>
          <w:szCs w:val="28"/>
          <w:lang w:val="en-GB"/>
          <w14:ligatures w14:val="none"/>
        </w:rPr>
      </w:pPr>
    </w:p>
    <w:p w14:paraId="745247E5" w14:textId="77777777" w:rsidR="00B8098A" w:rsidRPr="005E6AD9" w:rsidRDefault="00B8098A" w:rsidP="00B8098A">
      <w:pPr>
        <w:spacing w:after="0" w:line="240" w:lineRule="auto"/>
        <w:jc w:val="center"/>
        <w:rPr>
          <w:rFonts w:ascii="Arial" w:eastAsia="Times New Roman" w:hAnsi="Arial" w:cs="Arial"/>
          <w:b/>
          <w:bCs/>
          <w:kern w:val="0"/>
          <w:sz w:val="28"/>
          <w:szCs w:val="28"/>
          <w:lang w:val="en-GB"/>
          <w14:ligatures w14:val="none"/>
        </w:rPr>
      </w:pPr>
    </w:p>
    <w:p w14:paraId="139D0A44" w14:textId="77777777" w:rsidR="00B8098A" w:rsidRPr="005E6AD9" w:rsidRDefault="00B8098A" w:rsidP="00B8098A">
      <w:pPr>
        <w:spacing w:after="0" w:line="360" w:lineRule="auto"/>
        <w:rPr>
          <w:rFonts w:ascii="Times New Roman" w:eastAsia="Times New Roman" w:hAnsi="Times New Roman" w:cs="Times New Roman"/>
          <w:b/>
          <w:bCs/>
          <w:kern w:val="0"/>
          <w:sz w:val="28"/>
          <w:szCs w:val="28"/>
          <w:lang w:val="en-GB"/>
          <w14:ligatures w14:val="none"/>
        </w:rPr>
      </w:pPr>
    </w:p>
    <w:p w14:paraId="0A9F7FBD" w14:textId="77777777" w:rsidR="00B8098A" w:rsidRPr="005E6AD9" w:rsidRDefault="00B8098A" w:rsidP="00B8098A">
      <w:pPr>
        <w:spacing w:after="0" w:line="360" w:lineRule="auto"/>
        <w:jc w:val="center"/>
        <w:rPr>
          <w:rFonts w:ascii="Times New Roman" w:eastAsia="Times New Roman" w:hAnsi="Times New Roman" w:cs="Times New Roman"/>
          <w:b/>
          <w:bCs/>
          <w:kern w:val="0"/>
          <w:sz w:val="28"/>
          <w:szCs w:val="28"/>
          <w:lang w:val="en-GB"/>
          <w14:ligatures w14:val="none"/>
        </w:rPr>
      </w:pPr>
      <w:r w:rsidRPr="005E6AD9">
        <w:rPr>
          <w:rFonts w:ascii="Times New Roman" w:eastAsia="Times New Roman" w:hAnsi="Times New Roman" w:cs="Times New Roman"/>
          <w:b/>
          <w:bCs/>
          <w:kern w:val="0"/>
          <w:sz w:val="28"/>
          <w:szCs w:val="28"/>
          <w:lang w:val="en-GB"/>
          <w14:ligatures w14:val="none"/>
        </w:rPr>
        <w:t>THE SUPREME COURT OF APPEAL OF SOUTH AFRICA</w:t>
      </w:r>
    </w:p>
    <w:p w14:paraId="23F42F82" w14:textId="77777777" w:rsidR="00B8098A" w:rsidRPr="005E6AD9" w:rsidRDefault="00B8098A" w:rsidP="00B8098A">
      <w:pPr>
        <w:keepNext/>
        <w:spacing w:after="0" w:line="360" w:lineRule="auto"/>
        <w:jc w:val="center"/>
        <w:outlineLvl w:val="2"/>
        <w:rPr>
          <w:rFonts w:ascii="Times New Roman" w:eastAsia="Times New Roman" w:hAnsi="Times New Roman" w:cs="Times New Roman"/>
          <w:b/>
          <w:iCs/>
          <w:kern w:val="0"/>
          <w:sz w:val="28"/>
          <w:szCs w:val="28"/>
          <w:lang w:val="en-GB"/>
          <w14:ligatures w14:val="none"/>
        </w:rPr>
      </w:pPr>
      <w:r w:rsidRPr="005E6AD9">
        <w:rPr>
          <w:rFonts w:ascii="Times New Roman" w:eastAsia="Times New Roman" w:hAnsi="Times New Roman" w:cs="Times New Roman"/>
          <w:b/>
          <w:iCs/>
          <w:kern w:val="0"/>
          <w:sz w:val="28"/>
          <w:szCs w:val="28"/>
          <w:lang w:val="en-GB"/>
          <w14:ligatures w14:val="none"/>
        </w:rPr>
        <w:t>JUDGMENT</w:t>
      </w:r>
    </w:p>
    <w:p w14:paraId="69CF4A64" w14:textId="77777777" w:rsidR="00B8098A" w:rsidRPr="005E6AD9" w:rsidRDefault="00B8098A" w:rsidP="00B8098A">
      <w:pPr>
        <w:spacing w:after="0" w:line="240" w:lineRule="auto"/>
        <w:rPr>
          <w:rFonts w:ascii="Times New Roman" w:eastAsia="Times New Roman" w:hAnsi="Times New Roman" w:cs="Times New Roman"/>
          <w:kern w:val="0"/>
          <w:sz w:val="28"/>
          <w:szCs w:val="28"/>
          <w:lang w:val="en-GB"/>
          <w14:ligatures w14:val="none"/>
        </w:rPr>
      </w:pPr>
    </w:p>
    <w:p w14:paraId="5065D90F" w14:textId="77777777" w:rsidR="00B8098A" w:rsidRPr="005E6AD9" w:rsidRDefault="00B8098A" w:rsidP="00B8098A">
      <w:pPr>
        <w:spacing w:after="0" w:line="360" w:lineRule="auto"/>
        <w:jc w:val="right"/>
        <w:rPr>
          <w:rFonts w:ascii="Times New Roman" w:eastAsia="Times New Roman" w:hAnsi="Times New Roman" w:cs="Times New Roman"/>
          <w:b/>
          <w:kern w:val="0"/>
          <w:sz w:val="28"/>
          <w:szCs w:val="28"/>
          <w:lang w:val="en-GB"/>
          <w14:ligatures w14:val="none"/>
        </w:rPr>
      </w:pPr>
      <w:r w:rsidRPr="005E6AD9">
        <w:rPr>
          <w:rFonts w:ascii="Times New Roman" w:eastAsia="Times New Roman" w:hAnsi="Times New Roman" w:cs="Times New Roman"/>
          <w:b/>
          <w:kern w:val="0"/>
          <w:sz w:val="28"/>
          <w:szCs w:val="28"/>
          <w:lang w:val="en-GB"/>
          <w14:ligatures w14:val="none"/>
        </w:rPr>
        <w:t>Reportable</w:t>
      </w:r>
    </w:p>
    <w:p w14:paraId="6E450284" w14:textId="77777777" w:rsidR="00B8098A" w:rsidRPr="005E6AD9" w:rsidRDefault="00B8098A" w:rsidP="00B8098A">
      <w:pPr>
        <w:spacing w:after="0" w:line="360" w:lineRule="auto"/>
        <w:jc w:val="right"/>
        <w:rPr>
          <w:rFonts w:ascii="Times New Roman" w:eastAsia="Times New Roman" w:hAnsi="Times New Roman" w:cs="Times New Roman"/>
          <w:kern w:val="0"/>
          <w:sz w:val="28"/>
          <w:szCs w:val="28"/>
          <w:lang w:val="en-GB"/>
          <w14:ligatures w14:val="none"/>
        </w:rPr>
      </w:pPr>
      <w:r w:rsidRPr="005E6AD9">
        <w:rPr>
          <w:rFonts w:ascii="Times New Roman" w:eastAsia="Times New Roman" w:hAnsi="Times New Roman" w:cs="Times New Roman"/>
          <w:kern w:val="0"/>
          <w:sz w:val="28"/>
          <w:szCs w:val="28"/>
          <w:lang w:val="en-GB"/>
          <w14:ligatures w14:val="none"/>
        </w:rPr>
        <w:t xml:space="preserve">Case no: </w:t>
      </w:r>
      <w:r w:rsidR="008F6E60" w:rsidRPr="005E6AD9">
        <w:rPr>
          <w:rFonts w:ascii="Times New Roman" w:eastAsia="Times New Roman" w:hAnsi="Times New Roman" w:cs="Times New Roman"/>
          <w:kern w:val="0"/>
          <w:sz w:val="28"/>
          <w:szCs w:val="28"/>
          <w:lang w:val="en-GB"/>
          <w14:ligatures w14:val="none"/>
        </w:rPr>
        <w:t>596/202</w:t>
      </w:r>
      <w:r w:rsidR="00673EA8" w:rsidRPr="005E6AD9">
        <w:rPr>
          <w:rFonts w:ascii="Times New Roman" w:eastAsia="Times New Roman" w:hAnsi="Times New Roman" w:cs="Times New Roman"/>
          <w:kern w:val="0"/>
          <w:sz w:val="28"/>
          <w:szCs w:val="28"/>
          <w:lang w:val="en-GB"/>
          <w14:ligatures w14:val="none"/>
        </w:rPr>
        <w:t>1</w:t>
      </w:r>
    </w:p>
    <w:p w14:paraId="687E7BA2" w14:textId="77777777" w:rsidR="00B8098A" w:rsidRPr="005E6AD9" w:rsidRDefault="00B8098A" w:rsidP="00B8098A">
      <w:pPr>
        <w:spacing w:after="0" w:line="360" w:lineRule="auto"/>
        <w:rPr>
          <w:rFonts w:ascii="Times New Roman" w:eastAsia="Times New Roman" w:hAnsi="Times New Roman" w:cs="Times New Roman"/>
          <w:kern w:val="0"/>
          <w:sz w:val="28"/>
          <w:szCs w:val="28"/>
          <w:lang w:val="en-GB"/>
          <w14:ligatures w14:val="none"/>
        </w:rPr>
      </w:pPr>
    </w:p>
    <w:p w14:paraId="5759F574" w14:textId="77777777" w:rsidR="00B8098A" w:rsidRPr="005E6AD9" w:rsidRDefault="00B8098A" w:rsidP="00B8098A">
      <w:pPr>
        <w:spacing w:after="0" w:line="360" w:lineRule="auto"/>
        <w:rPr>
          <w:rFonts w:ascii="Times New Roman" w:eastAsia="Times New Roman" w:hAnsi="Times New Roman" w:cs="Times New Roman"/>
          <w:kern w:val="0"/>
          <w:sz w:val="28"/>
          <w:szCs w:val="28"/>
          <w:lang w:val="en-GB"/>
          <w14:ligatures w14:val="none"/>
        </w:rPr>
      </w:pPr>
      <w:r w:rsidRPr="005E6AD9">
        <w:rPr>
          <w:rFonts w:ascii="Times New Roman" w:eastAsia="Times New Roman" w:hAnsi="Times New Roman" w:cs="Times New Roman"/>
          <w:kern w:val="0"/>
          <w:sz w:val="28"/>
          <w:szCs w:val="28"/>
          <w:lang w:val="en-GB"/>
          <w14:ligatures w14:val="none"/>
        </w:rPr>
        <w:t>In the matter between:</w:t>
      </w:r>
    </w:p>
    <w:p w14:paraId="312A49CB" w14:textId="77777777" w:rsidR="00B8098A" w:rsidRPr="005E6AD9" w:rsidRDefault="00B8098A" w:rsidP="00B8098A">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p>
    <w:p w14:paraId="3E5DC4BE" w14:textId="77777777" w:rsidR="008F6E60" w:rsidRPr="005E6AD9" w:rsidRDefault="00B8098A" w:rsidP="00B8098A">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r w:rsidRPr="005E6AD9">
        <w:rPr>
          <w:rFonts w:ascii="Times New Roman" w:eastAsia="Times New Roman" w:hAnsi="Times New Roman" w:cs="Times New Roman"/>
          <w:b/>
          <w:bCs/>
          <w:kern w:val="0"/>
          <w:sz w:val="28"/>
          <w:szCs w:val="28"/>
          <w:lang w:val="en-GB"/>
          <w14:ligatures w14:val="none"/>
        </w:rPr>
        <w:t xml:space="preserve">THE </w:t>
      </w:r>
      <w:r w:rsidR="008F6E60" w:rsidRPr="005E6AD9">
        <w:rPr>
          <w:rFonts w:ascii="Times New Roman" w:eastAsia="Times New Roman" w:hAnsi="Times New Roman" w:cs="Times New Roman"/>
          <w:b/>
          <w:bCs/>
          <w:kern w:val="0"/>
          <w:sz w:val="28"/>
          <w:szCs w:val="28"/>
          <w:lang w:val="en-GB"/>
          <w14:ligatures w14:val="none"/>
        </w:rPr>
        <w:t>COMMISSIONER FOR THE SOUTH</w:t>
      </w:r>
    </w:p>
    <w:p w14:paraId="2E517841" w14:textId="77777777" w:rsidR="00B8098A" w:rsidRPr="005E6AD9" w:rsidRDefault="008F6E60" w:rsidP="00B8098A">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r w:rsidRPr="005E6AD9">
        <w:rPr>
          <w:rFonts w:ascii="Times New Roman" w:eastAsia="Times New Roman" w:hAnsi="Times New Roman" w:cs="Times New Roman"/>
          <w:b/>
          <w:bCs/>
          <w:kern w:val="0"/>
          <w:sz w:val="28"/>
          <w:szCs w:val="28"/>
          <w:lang w:val="en-GB"/>
          <w14:ligatures w14:val="none"/>
        </w:rPr>
        <w:t>AFRICAN REVENUE SERVICE</w:t>
      </w:r>
      <w:r w:rsidRPr="005E6AD9">
        <w:rPr>
          <w:rFonts w:ascii="Times New Roman" w:eastAsia="Times New Roman" w:hAnsi="Times New Roman" w:cs="Times New Roman"/>
          <w:b/>
          <w:bCs/>
          <w:kern w:val="0"/>
          <w:sz w:val="28"/>
          <w:szCs w:val="28"/>
          <w:lang w:val="en-GB"/>
          <w14:ligatures w14:val="none"/>
        </w:rPr>
        <w:tab/>
        <w:t>APP</w:t>
      </w:r>
      <w:r w:rsidR="00B8098A" w:rsidRPr="005E6AD9">
        <w:rPr>
          <w:rFonts w:ascii="Times New Roman" w:eastAsia="Times New Roman" w:hAnsi="Times New Roman" w:cs="Times New Roman"/>
          <w:b/>
          <w:bCs/>
          <w:kern w:val="0"/>
          <w:sz w:val="28"/>
          <w:szCs w:val="28"/>
          <w:lang w:val="en-GB"/>
          <w14:ligatures w14:val="none"/>
        </w:rPr>
        <w:t>ELLANT</w:t>
      </w:r>
    </w:p>
    <w:p w14:paraId="067F172E" w14:textId="77777777" w:rsidR="00B8098A" w:rsidRPr="005E6AD9" w:rsidRDefault="00B8098A" w:rsidP="00B8098A">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p>
    <w:p w14:paraId="54A8F0B7" w14:textId="77777777" w:rsidR="00B8098A" w:rsidRPr="005E6AD9" w:rsidRDefault="00B8098A" w:rsidP="00B8098A">
      <w:pPr>
        <w:widowControl w:val="0"/>
        <w:autoSpaceDE w:val="0"/>
        <w:autoSpaceDN w:val="0"/>
        <w:adjustRightInd w:val="0"/>
        <w:spacing w:after="0" w:line="360" w:lineRule="auto"/>
        <w:rPr>
          <w:rFonts w:ascii="Times New Roman" w:eastAsia="Times New Roman" w:hAnsi="Times New Roman" w:cs="Times New Roman"/>
          <w:bCs/>
          <w:iCs/>
          <w:kern w:val="0"/>
          <w:sz w:val="28"/>
          <w:szCs w:val="28"/>
          <w:lang w:val="en-GB"/>
          <w14:ligatures w14:val="none"/>
        </w:rPr>
      </w:pPr>
      <w:r w:rsidRPr="005E6AD9">
        <w:rPr>
          <w:rFonts w:ascii="Times New Roman" w:eastAsia="Times New Roman" w:hAnsi="Times New Roman" w:cs="Times New Roman"/>
          <w:bCs/>
          <w:iCs/>
          <w:kern w:val="0"/>
          <w:sz w:val="28"/>
          <w:szCs w:val="28"/>
          <w:lang w:val="en-GB"/>
          <w14:ligatures w14:val="none"/>
        </w:rPr>
        <w:t>and</w:t>
      </w:r>
    </w:p>
    <w:p w14:paraId="70276E60" w14:textId="77777777" w:rsidR="00B8098A" w:rsidRPr="005E6AD9" w:rsidRDefault="00B8098A" w:rsidP="00B8098A">
      <w:pPr>
        <w:widowControl w:val="0"/>
        <w:autoSpaceDE w:val="0"/>
        <w:autoSpaceDN w:val="0"/>
        <w:adjustRightInd w:val="0"/>
        <w:spacing w:after="0" w:line="360" w:lineRule="auto"/>
        <w:rPr>
          <w:rFonts w:ascii="Times New Roman" w:eastAsia="Times New Roman" w:hAnsi="Times New Roman" w:cs="Times New Roman"/>
          <w:kern w:val="0"/>
          <w:sz w:val="28"/>
          <w:szCs w:val="28"/>
          <w:lang w:val="en-GB"/>
          <w14:ligatures w14:val="none"/>
        </w:rPr>
      </w:pPr>
    </w:p>
    <w:p w14:paraId="33C2472C" w14:textId="77777777" w:rsidR="00B8098A" w:rsidRPr="005E6AD9" w:rsidRDefault="008F6E60" w:rsidP="00B8098A">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r w:rsidRPr="005E6AD9">
        <w:rPr>
          <w:rFonts w:ascii="Times New Roman" w:eastAsia="Times New Roman" w:hAnsi="Times New Roman" w:cs="Times New Roman"/>
          <w:b/>
          <w:bCs/>
          <w:kern w:val="0"/>
          <w:sz w:val="28"/>
          <w:szCs w:val="28"/>
          <w:lang w:val="en-GB"/>
          <w14:ligatures w14:val="none"/>
        </w:rPr>
        <w:t>ABSA BANK LIMITED</w:t>
      </w:r>
      <w:r w:rsidR="00B8098A" w:rsidRPr="005E6AD9">
        <w:rPr>
          <w:rFonts w:ascii="Times New Roman" w:eastAsia="Times New Roman" w:hAnsi="Times New Roman" w:cs="Times New Roman"/>
          <w:b/>
          <w:bCs/>
          <w:kern w:val="0"/>
          <w:sz w:val="28"/>
          <w:szCs w:val="28"/>
          <w:lang w:val="en-GB"/>
          <w14:ligatures w14:val="none"/>
        </w:rPr>
        <w:t xml:space="preserve"> </w:t>
      </w:r>
      <w:r w:rsidR="00B8098A" w:rsidRPr="005E6AD9">
        <w:rPr>
          <w:rFonts w:ascii="Times New Roman" w:eastAsia="Times New Roman" w:hAnsi="Times New Roman" w:cs="Times New Roman"/>
          <w:b/>
          <w:bCs/>
          <w:kern w:val="0"/>
          <w:sz w:val="28"/>
          <w:szCs w:val="28"/>
          <w:lang w:val="en-GB"/>
          <w14:ligatures w14:val="none"/>
        </w:rPr>
        <w:tab/>
      </w:r>
      <w:r w:rsidRPr="005E6AD9">
        <w:rPr>
          <w:rFonts w:ascii="Times New Roman" w:eastAsia="Times New Roman" w:hAnsi="Times New Roman" w:cs="Times New Roman"/>
          <w:b/>
          <w:bCs/>
          <w:kern w:val="0"/>
          <w:sz w:val="28"/>
          <w:szCs w:val="28"/>
          <w:lang w:val="en-GB"/>
          <w14:ligatures w14:val="none"/>
        </w:rPr>
        <w:t xml:space="preserve">FIRST </w:t>
      </w:r>
      <w:r w:rsidR="00B8098A" w:rsidRPr="005E6AD9">
        <w:rPr>
          <w:rFonts w:ascii="Times New Roman" w:eastAsia="Times New Roman" w:hAnsi="Times New Roman" w:cs="Times New Roman"/>
          <w:b/>
          <w:bCs/>
          <w:kern w:val="0"/>
          <w:sz w:val="28"/>
          <w:szCs w:val="28"/>
          <w:lang w:val="en-GB"/>
          <w14:ligatures w14:val="none"/>
        </w:rPr>
        <w:t>RESPONDENT</w:t>
      </w:r>
    </w:p>
    <w:p w14:paraId="3F3124D9" w14:textId="77777777" w:rsidR="008F6E60" w:rsidRPr="005E6AD9" w:rsidRDefault="008F6E60" w:rsidP="00B8098A">
      <w:pPr>
        <w:widowControl w:val="0"/>
        <w:tabs>
          <w:tab w:val="right" w:pos="9360"/>
        </w:tabs>
        <w:autoSpaceDE w:val="0"/>
        <w:autoSpaceDN w:val="0"/>
        <w:adjustRightInd w:val="0"/>
        <w:spacing w:after="0" w:line="360" w:lineRule="auto"/>
        <w:rPr>
          <w:rFonts w:ascii="Times New Roman" w:eastAsia="Times New Roman" w:hAnsi="Times New Roman" w:cs="Times New Roman"/>
          <w:b/>
          <w:bCs/>
          <w:kern w:val="0"/>
          <w:sz w:val="28"/>
          <w:szCs w:val="28"/>
          <w:lang w:val="en-GB"/>
          <w14:ligatures w14:val="none"/>
        </w:rPr>
      </w:pPr>
      <w:r w:rsidRPr="005E6AD9">
        <w:rPr>
          <w:rFonts w:ascii="Times New Roman" w:eastAsia="Times New Roman" w:hAnsi="Times New Roman" w:cs="Times New Roman"/>
          <w:b/>
          <w:bCs/>
          <w:kern w:val="0"/>
          <w:sz w:val="28"/>
          <w:szCs w:val="28"/>
          <w:lang w:val="en-GB"/>
          <w14:ligatures w14:val="none"/>
        </w:rPr>
        <w:t xml:space="preserve">UNITED TOWERS PROPRIETARY </w:t>
      </w:r>
    </w:p>
    <w:p w14:paraId="5B5F65B5" w14:textId="77777777" w:rsidR="008F6E60" w:rsidRPr="005E6AD9" w:rsidRDefault="008F6E60" w:rsidP="00B8098A">
      <w:pPr>
        <w:widowControl w:val="0"/>
        <w:tabs>
          <w:tab w:val="right" w:pos="9360"/>
        </w:tabs>
        <w:autoSpaceDE w:val="0"/>
        <w:autoSpaceDN w:val="0"/>
        <w:adjustRightInd w:val="0"/>
        <w:spacing w:after="0" w:line="360" w:lineRule="auto"/>
        <w:rPr>
          <w:rFonts w:ascii="Times New Roman" w:eastAsia="Times New Roman" w:hAnsi="Times New Roman" w:cs="Times New Roman"/>
          <w:bCs/>
          <w:i/>
          <w:kern w:val="0"/>
          <w:sz w:val="28"/>
          <w:szCs w:val="28"/>
          <w:lang w:val="en-GB"/>
          <w14:ligatures w14:val="none"/>
        </w:rPr>
      </w:pPr>
      <w:r w:rsidRPr="005E6AD9">
        <w:rPr>
          <w:rFonts w:ascii="Times New Roman" w:eastAsia="Times New Roman" w:hAnsi="Times New Roman" w:cs="Times New Roman"/>
          <w:b/>
          <w:bCs/>
          <w:kern w:val="0"/>
          <w:sz w:val="28"/>
          <w:szCs w:val="28"/>
          <w:lang w:val="en-GB"/>
          <w14:ligatures w14:val="none"/>
        </w:rPr>
        <w:t>LIMITED</w:t>
      </w:r>
      <w:r w:rsidRPr="005E6AD9">
        <w:rPr>
          <w:rFonts w:ascii="Times New Roman" w:eastAsia="Times New Roman" w:hAnsi="Times New Roman" w:cs="Times New Roman"/>
          <w:b/>
          <w:bCs/>
          <w:kern w:val="0"/>
          <w:sz w:val="28"/>
          <w:szCs w:val="28"/>
          <w:lang w:val="en-GB"/>
          <w14:ligatures w14:val="none"/>
        </w:rPr>
        <w:tab/>
        <w:t>SECOND RESPONDENT</w:t>
      </w:r>
    </w:p>
    <w:p w14:paraId="75CDB887" w14:textId="77777777" w:rsidR="00B8098A" w:rsidRPr="005E6AD9" w:rsidRDefault="00B8098A" w:rsidP="00B8098A">
      <w:pPr>
        <w:widowControl w:val="0"/>
        <w:tabs>
          <w:tab w:val="right" w:pos="9360"/>
        </w:tabs>
        <w:autoSpaceDE w:val="0"/>
        <w:autoSpaceDN w:val="0"/>
        <w:adjustRightInd w:val="0"/>
        <w:spacing w:after="0" w:line="276" w:lineRule="auto"/>
        <w:rPr>
          <w:rFonts w:ascii="Times New Roman" w:eastAsia="Times New Roman" w:hAnsi="Times New Roman" w:cs="Times New Roman"/>
          <w:bCs/>
          <w:i/>
          <w:kern w:val="0"/>
          <w:sz w:val="28"/>
          <w:szCs w:val="28"/>
          <w:lang w:val="en-GB"/>
          <w14:ligatures w14:val="none"/>
        </w:rPr>
      </w:pPr>
    </w:p>
    <w:p w14:paraId="702D02D5" w14:textId="586D7ABC" w:rsidR="00B8098A" w:rsidRPr="005E6AD9" w:rsidRDefault="00B8098A" w:rsidP="00B8098A">
      <w:pPr>
        <w:spacing w:after="0" w:line="360" w:lineRule="auto"/>
        <w:ind w:left="2160" w:hanging="2160"/>
        <w:jc w:val="both"/>
        <w:rPr>
          <w:rFonts w:ascii="Times New Roman" w:eastAsia="Times New Roman" w:hAnsi="Times New Roman" w:cs="Times New Roman"/>
          <w:b/>
          <w:bCs/>
          <w:kern w:val="0"/>
          <w:sz w:val="28"/>
          <w:szCs w:val="28"/>
          <w:lang w:val="en-GB"/>
          <w14:ligatures w14:val="none"/>
        </w:rPr>
      </w:pPr>
      <w:r w:rsidRPr="005E6AD9">
        <w:rPr>
          <w:rFonts w:ascii="Times New Roman" w:eastAsia="Times New Roman" w:hAnsi="Times New Roman" w:cs="Times New Roman"/>
          <w:b/>
          <w:bCs/>
          <w:kern w:val="0"/>
          <w:sz w:val="28"/>
          <w:szCs w:val="28"/>
          <w:lang w:val="en-GB"/>
          <w14:ligatures w14:val="none"/>
        </w:rPr>
        <w:t>Neutral citation:</w:t>
      </w:r>
      <w:r w:rsidRPr="005E6AD9">
        <w:rPr>
          <w:rFonts w:ascii="Times New Roman" w:eastAsia="Times New Roman" w:hAnsi="Times New Roman" w:cs="Times New Roman"/>
          <w:b/>
          <w:bCs/>
          <w:kern w:val="0"/>
          <w:sz w:val="28"/>
          <w:szCs w:val="28"/>
          <w:lang w:val="en-GB"/>
          <w14:ligatures w14:val="none"/>
        </w:rPr>
        <w:tab/>
      </w:r>
      <w:r w:rsidR="008F6E60" w:rsidRPr="005E6AD9">
        <w:rPr>
          <w:rFonts w:ascii="Times New Roman" w:eastAsia="Times New Roman" w:hAnsi="Times New Roman" w:cs="Times New Roman"/>
          <w:bCs/>
          <w:i/>
          <w:kern w:val="0"/>
          <w:sz w:val="28"/>
          <w:szCs w:val="28"/>
          <w:lang w:val="en-GB"/>
          <w14:ligatures w14:val="none"/>
        </w:rPr>
        <w:t xml:space="preserve">The Commissioner </w:t>
      </w:r>
      <w:r w:rsidR="00345F56">
        <w:rPr>
          <w:rFonts w:ascii="Times New Roman" w:eastAsia="Times New Roman" w:hAnsi="Times New Roman" w:cs="Times New Roman"/>
          <w:bCs/>
          <w:i/>
          <w:kern w:val="0"/>
          <w:sz w:val="28"/>
          <w:szCs w:val="28"/>
          <w:lang w:val="en-GB"/>
          <w14:ligatures w14:val="none"/>
        </w:rPr>
        <w:t>for</w:t>
      </w:r>
      <w:r w:rsidR="008F6E60" w:rsidRPr="005E6AD9">
        <w:rPr>
          <w:rFonts w:ascii="Times New Roman" w:eastAsia="Times New Roman" w:hAnsi="Times New Roman" w:cs="Times New Roman"/>
          <w:bCs/>
          <w:i/>
          <w:kern w:val="0"/>
          <w:sz w:val="28"/>
          <w:szCs w:val="28"/>
          <w:lang w:val="en-GB"/>
          <w14:ligatures w14:val="none"/>
        </w:rPr>
        <w:t xml:space="preserve"> the South African Revenue Service v Absa Bank Limited and Another</w:t>
      </w:r>
      <w:r w:rsidR="008F6E60" w:rsidRPr="005E6AD9">
        <w:rPr>
          <w:rFonts w:ascii="Times New Roman" w:eastAsia="Times New Roman" w:hAnsi="Times New Roman" w:cs="Times New Roman"/>
          <w:bCs/>
          <w:iCs/>
          <w:kern w:val="0"/>
          <w:sz w:val="28"/>
          <w:szCs w:val="28"/>
          <w:lang w:val="en-GB"/>
          <w14:ligatures w14:val="none"/>
        </w:rPr>
        <w:t xml:space="preserve"> (596/2021)</w:t>
      </w:r>
      <w:r w:rsidRPr="005E6AD9">
        <w:rPr>
          <w:rFonts w:ascii="Times New Roman" w:eastAsia="Times New Roman" w:hAnsi="Times New Roman" w:cs="Times New Roman"/>
          <w:bCs/>
          <w:kern w:val="0"/>
          <w:sz w:val="28"/>
          <w:szCs w:val="28"/>
          <w:lang w:val="en-GB"/>
          <w14:ligatures w14:val="none"/>
        </w:rPr>
        <w:t xml:space="preserve"> [2023] ZASCA </w:t>
      </w:r>
      <w:r w:rsidR="00475DC3">
        <w:rPr>
          <w:rFonts w:ascii="Times New Roman" w:eastAsia="Times New Roman" w:hAnsi="Times New Roman" w:cs="Times New Roman"/>
          <w:bCs/>
          <w:kern w:val="0"/>
          <w:sz w:val="28"/>
          <w:szCs w:val="28"/>
          <w:lang w:val="en-GB"/>
          <w14:ligatures w14:val="none"/>
        </w:rPr>
        <w:t xml:space="preserve">125 </w:t>
      </w:r>
      <w:r w:rsidRPr="005E6AD9">
        <w:rPr>
          <w:rFonts w:ascii="Times New Roman" w:eastAsia="Times New Roman" w:hAnsi="Times New Roman" w:cs="Times New Roman"/>
          <w:bCs/>
          <w:kern w:val="0"/>
          <w:sz w:val="28"/>
          <w:szCs w:val="28"/>
          <w:lang w:val="en-GB"/>
          <w14:ligatures w14:val="none"/>
        </w:rPr>
        <w:t>(</w:t>
      </w:r>
      <w:r w:rsidR="00ED6C72">
        <w:rPr>
          <w:rFonts w:ascii="Times New Roman" w:eastAsia="Times New Roman" w:hAnsi="Times New Roman" w:cs="Times New Roman"/>
          <w:bCs/>
          <w:kern w:val="0"/>
          <w:sz w:val="28"/>
          <w:szCs w:val="28"/>
          <w:lang w:val="en-GB"/>
          <w14:ligatures w14:val="none"/>
        </w:rPr>
        <w:t xml:space="preserve">29 September </w:t>
      </w:r>
      <w:r w:rsidRPr="005E6AD9">
        <w:rPr>
          <w:rFonts w:ascii="Times New Roman" w:eastAsia="Times New Roman" w:hAnsi="Times New Roman" w:cs="Times New Roman"/>
          <w:bCs/>
          <w:kern w:val="0"/>
          <w:sz w:val="28"/>
          <w:szCs w:val="28"/>
          <w:lang w:val="en-GB"/>
          <w14:ligatures w14:val="none"/>
        </w:rPr>
        <w:t>2023)</w:t>
      </w:r>
    </w:p>
    <w:p w14:paraId="09D2A5E2" w14:textId="178F8985" w:rsidR="00B8098A" w:rsidRPr="005E6AD9" w:rsidRDefault="00B8098A" w:rsidP="00B8098A">
      <w:pPr>
        <w:spacing w:after="0" w:line="276" w:lineRule="auto"/>
        <w:ind w:left="1440" w:hanging="1440"/>
        <w:jc w:val="both"/>
        <w:rPr>
          <w:rFonts w:ascii="Times New Roman" w:eastAsia="Times New Roman" w:hAnsi="Times New Roman" w:cs="Times New Roman"/>
          <w:b/>
          <w:bCs/>
          <w:kern w:val="0"/>
          <w:sz w:val="28"/>
          <w:szCs w:val="28"/>
          <w:lang w:val="en-GB"/>
          <w14:ligatures w14:val="none"/>
        </w:rPr>
      </w:pPr>
      <w:r w:rsidRPr="005E6AD9">
        <w:rPr>
          <w:rFonts w:ascii="Times New Roman" w:eastAsia="Times New Roman" w:hAnsi="Times New Roman" w:cs="Times New Roman"/>
          <w:b/>
          <w:bCs/>
          <w:kern w:val="0"/>
          <w:sz w:val="28"/>
          <w:szCs w:val="28"/>
          <w:lang w:val="en-GB"/>
          <w14:ligatures w14:val="none"/>
        </w:rPr>
        <w:t>Coram:</w:t>
      </w:r>
      <w:r w:rsidRPr="005E6AD9">
        <w:rPr>
          <w:rFonts w:ascii="Times New Roman" w:eastAsia="Times New Roman" w:hAnsi="Times New Roman" w:cs="Times New Roman"/>
          <w:kern w:val="0"/>
          <w:sz w:val="28"/>
          <w:szCs w:val="28"/>
          <w:lang w:val="en-GB"/>
          <w14:ligatures w14:val="none"/>
        </w:rPr>
        <w:tab/>
      </w:r>
      <w:r w:rsidR="008F6E60" w:rsidRPr="005E6AD9">
        <w:rPr>
          <w:rFonts w:ascii="Times New Roman" w:eastAsia="Times New Roman" w:hAnsi="Times New Roman" w:cs="Times New Roman"/>
          <w:bCs/>
          <w:kern w:val="0"/>
          <w:sz w:val="28"/>
          <w:szCs w:val="28"/>
          <w:lang w:val="en-GB"/>
          <w14:ligatures w14:val="none"/>
        </w:rPr>
        <w:t>DAMBUZA AP, SCHIPPERS</w:t>
      </w:r>
      <w:r w:rsidR="00673EA8" w:rsidRPr="005E6AD9">
        <w:rPr>
          <w:rFonts w:ascii="Times New Roman" w:eastAsia="Times New Roman" w:hAnsi="Times New Roman" w:cs="Times New Roman"/>
          <w:bCs/>
          <w:kern w:val="0"/>
          <w:sz w:val="28"/>
          <w:szCs w:val="28"/>
          <w:lang w:val="en-GB"/>
          <w14:ligatures w14:val="none"/>
        </w:rPr>
        <w:t xml:space="preserve">, </w:t>
      </w:r>
      <w:r w:rsidR="008F6E60" w:rsidRPr="005E6AD9">
        <w:rPr>
          <w:rFonts w:ascii="Times New Roman" w:eastAsia="Times New Roman" w:hAnsi="Times New Roman" w:cs="Times New Roman"/>
          <w:bCs/>
          <w:kern w:val="0"/>
          <w:sz w:val="28"/>
          <w:szCs w:val="28"/>
          <w:lang w:val="en-GB"/>
          <w14:ligatures w14:val="none"/>
        </w:rPr>
        <w:t xml:space="preserve">MATOJANE </w:t>
      </w:r>
      <w:r w:rsidR="00475DC3">
        <w:rPr>
          <w:rFonts w:ascii="Times New Roman" w:eastAsia="Times New Roman" w:hAnsi="Times New Roman" w:cs="Times New Roman"/>
          <w:bCs/>
          <w:kern w:val="0"/>
          <w:sz w:val="28"/>
          <w:szCs w:val="28"/>
          <w:lang w:val="en-GB"/>
          <w14:ligatures w14:val="none"/>
        </w:rPr>
        <w:t xml:space="preserve">and </w:t>
      </w:r>
      <w:r w:rsidR="008F6E60" w:rsidRPr="005E6AD9">
        <w:rPr>
          <w:rFonts w:ascii="Times New Roman" w:eastAsia="Times New Roman" w:hAnsi="Times New Roman" w:cs="Times New Roman"/>
          <w:bCs/>
          <w:kern w:val="0"/>
          <w:sz w:val="28"/>
          <w:szCs w:val="28"/>
          <w:lang w:val="en-GB"/>
          <w14:ligatures w14:val="none"/>
        </w:rPr>
        <w:t xml:space="preserve">GOOSEN JJA </w:t>
      </w:r>
      <w:r w:rsidR="00475DC3">
        <w:rPr>
          <w:rFonts w:ascii="Times New Roman" w:eastAsia="Times New Roman" w:hAnsi="Times New Roman" w:cs="Times New Roman"/>
          <w:bCs/>
          <w:kern w:val="0"/>
          <w:sz w:val="28"/>
          <w:szCs w:val="28"/>
          <w:lang w:val="en-GB"/>
          <w14:ligatures w14:val="none"/>
        </w:rPr>
        <w:t>and</w:t>
      </w:r>
      <w:r w:rsidR="008F6E60" w:rsidRPr="005E6AD9">
        <w:rPr>
          <w:rFonts w:ascii="Times New Roman" w:eastAsia="Times New Roman" w:hAnsi="Times New Roman" w:cs="Times New Roman"/>
          <w:bCs/>
          <w:kern w:val="0"/>
          <w:sz w:val="28"/>
          <w:szCs w:val="28"/>
          <w:lang w:val="en-GB"/>
          <w14:ligatures w14:val="none"/>
        </w:rPr>
        <w:t xml:space="preserve"> MALI AJA</w:t>
      </w:r>
    </w:p>
    <w:p w14:paraId="7132965B" w14:textId="77777777" w:rsidR="00B8098A" w:rsidRPr="005E6AD9" w:rsidRDefault="00B8098A" w:rsidP="00B8098A">
      <w:pPr>
        <w:spacing w:after="0" w:line="360" w:lineRule="auto"/>
        <w:rPr>
          <w:rFonts w:ascii="Times New Roman" w:eastAsia="Times New Roman" w:hAnsi="Times New Roman" w:cs="Times New Roman"/>
          <w:b/>
          <w:bCs/>
          <w:kern w:val="0"/>
          <w:sz w:val="28"/>
          <w:szCs w:val="28"/>
          <w:lang w:val="en-GB"/>
          <w14:ligatures w14:val="none"/>
        </w:rPr>
      </w:pPr>
      <w:r w:rsidRPr="005E6AD9">
        <w:rPr>
          <w:rFonts w:ascii="Times New Roman" w:eastAsia="Times New Roman" w:hAnsi="Times New Roman" w:cs="Times New Roman"/>
          <w:b/>
          <w:bCs/>
          <w:kern w:val="0"/>
          <w:sz w:val="28"/>
          <w:szCs w:val="28"/>
          <w:lang w:val="en-GB"/>
          <w14:ligatures w14:val="none"/>
        </w:rPr>
        <w:t>Heard</w:t>
      </w:r>
      <w:r w:rsidRPr="005E6AD9">
        <w:rPr>
          <w:rFonts w:ascii="Times New Roman" w:eastAsia="Times New Roman" w:hAnsi="Times New Roman" w:cs="Times New Roman"/>
          <w:kern w:val="0"/>
          <w:sz w:val="28"/>
          <w:szCs w:val="28"/>
          <w:lang w:val="en-GB"/>
          <w14:ligatures w14:val="none"/>
        </w:rPr>
        <w:t>:</w:t>
      </w:r>
      <w:r w:rsidRPr="005E6AD9">
        <w:rPr>
          <w:rFonts w:ascii="Times New Roman" w:eastAsia="Times New Roman" w:hAnsi="Times New Roman" w:cs="Times New Roman"/>
          <w:kern w:val="0"/>
          <w:sz w:val="28"/>
          <w:szCs w:val="28"/>
          <w:lang w:val="en-GB"/>
          <w14:ligatures w14:val="none"/>
        </w:rPr>
        <w:tab/>
      </w:r>
      <w:r w:rsidR="008F6E60" w:rsidRPr="005E6AD9">
        <w:rPr>
          <w:rFonts w:ascii="Times New Roman" w:eastAsia="Times New Roman" w:hAnsi="Times New Roman" w:cs="Times New Roman"/>
          <w:kern w:val="0"/>
          <w:sz w:val="28"/>
          <w:szCs w:val="28"/>
          <w:lang w:val="en-GB"/>
          <w14:ligatures w14:val="none"/>
        </w:rPr>
        <w:t>8</w:t>
      </w:r>
      <w:r w:rsidRPr="005E6AD9">
        <w:rPr>
          <w:rFonts w:ascii="Times New Roman" w:eastAsia="Times New Roman" w:hAnsi="Times New Roman" w:cs="Times New Roman"/>
          <w:kern w:val="0"/>
          <w:sz w:val="28"/>
          <w:szCs w:val="28"/>
          <w:lang w:val="en-GB"/>
          <w14:ligatures w14:val="none"/>
        </w:rPr>
        <w:t xml:space="preserve"> March 2023</w:t>
      </w:r>
    </w:p>
    <w:p w14:paraId="3CBF174C" w14:textId="3654487C" w:rsidR="00B8098A" w:rsidRPr="005E6AD9" w:rsidRDefault="00B8098A" w:rsidP="00B8098A">
      <w:pPr>
        <w:tabs>
          <w:tab w:val="left" w:pos="699"/>
        </w:tabs>
        <w:spacing w:after="0" w:line="360" w:lineRule="auto"/>
        <w:jc w:val="both"/>
        <w:rPr>
          <w:rFonts w:ascii="Times New Roman" w:eastAsia="Times New Roman" w:hAnsi="Times New Roman" w:cs="Times New Roman"/>
          <w:kern w:val="0"/>
          <w:sz w:val="28"/>
          <w:szCs w:val="28"/>
          <w14:ligatures w14:val="none"/>
        </w:rPr>
      </w:pPr>
      <w:r w:rsidRPr="005E6AD9">
        <w:rPr>
          <w:rFonts w:ascii="Times New Roman" w:eastAsia="Times New Roman" w:hAnsi="Times New Roman" w:cs="Times New Roman"/>
          <w:b/>
          <w:bCs/>
          <w:kern w:val="0"/>
          <w:sz w:val="28"/>
          <w:szCs w:val="28"/>
          <w:lang w:val="en-GB"/>
          <w14:ligatures w14:val="none"/>
        </w:rPr>
        <w:t>Delivered</w:t>
      </w:r>
      <w:r w:rsidRPr="005E6AD9">
        <w:rPr>
          <w:rFonts w:ascii="Times New Roman" w:eastAsia="Times New Roman" w:hAnsi="Times New Roman" w:cs="Times New Roman"/>
          <w:kern w:val="0"/>
          <w:sz w:val="28"/>
          <w:szCs w:val="28"/>
          <w:lang w:val="en-GB"/>
          <w14:ligatures w14:val="none"/>
        </w:rPr>
        <w:t>:</w:t>
      </w:r>
      <w:r w:rsidRPr="005E6AD9">
        <w:rPr>
          <w:rFonts w:ascii="Times New Roman" w:eastAsia="Times New Roman" w:hAnsi="Times New Roman" w:cs="Times New Roman"/>
          <w:kern w:val="0"/>
          <w:sz w:val="28"/>
          <w:szCs w:val="28"/>
          <w:lang w:val="en-GB"/>
          <w14:ligatures w14:val="none"/>
        </w:rPr>
        <w:tab/>
      </w:r>
      <w:r w:rsidR="00ED6C72">
        <w:rPr>
          <w:rFonts w:ascii="Times New Roman" w:eastAsia="Times New Roman" w:hAnsi="Times New Roman" w:cs="Times New Roman"/>
          <w:kern w:val="0"/>
          <w:sz w:val="28"/>
          <w:szCs w:val="28"/>
          <w14:ligatures w14:val="none"/>
        </w:rPr>
        <w:t xml:space="preserve">29 September </w:t>
      </w:r>
      <w:r w:rsidR="008F6E60" w:rsidRPr="005E6AD9">
        <w:rPr>
          <w:rFonts w:ascii="Times New Roman" w:eastAsia="Times New Roman" w:hAnsi="Times New Roman" w:cs="Times New Roman"/>
          <w:kern w:val="0"/>
          <w:sz w:val="28"/>
          <w:szCs w:val="28"/>
          <w14:ligatures w14:val="none"/>
        </w:rPr>
        <w:t>2023</w:t>
      </w:r>
    </w:p>
    <w:p w14:paraId="09ED8A5E" w14:textId="77777777" w:rsidR="00B8098A" w:rsidRPr="005E6AD9" w:rsidRDefault="00B8098A" w:rsidP="00B8098A">
      <w:pPr>
        <w:tabs>
          <w:tab w:val="left" w:pos="699"/>
        </w:tabs>
        <w:spacing w:after="0" w:line="360" w:lineRule="auto"/>
        <w:jc w:val="both"/>
        <w:rPr>
          <w:rFonts w:ascii="Times New Roman" w:eastAsia="Times New Roman" w:hAnsi="Times New Roman" w:cs="Times New Roman"/>
          <w:b/>
          <w:bCs/>
          <w:kern w:val="0"/>
          <w:sz w:val="28"/>
          <w:szCs w:val="28"/>
          <w:lang w:val="en-GB"/>
          <w14:ligatures w14:val="none"/>
        </w:rPr>
      </w:pPr>
    </w:p>
    <w:p w14:paraId="78E1DDC2" w14:textId="77777777" w:rsidR="00B8098A" w:rsidRPr="005E6AD9" w:rsidRDefault="00B8098A" w:rsidP="00B8098A">
      <w:pPr>
        <w:spacing w:after="0" w:line="360" w:lineRule="auto"/>
        <w:jc w:val="both"/>
        <w:rPr>
          <w:rFonts w:ascii="Times New Roman" w:eastAsia="Times New Roman" w:hAnsi="Times New Roman" w:cs="Times New Roman"/>
          <w:bCs/>
          <w:kern w:val="0"/>
          <w:sz w:val="28"/>
          <w:szCs w:val="28"/>
          <w:lang w:val="en-GB"/>
          <w14:ligatures w14:val="none"/>
        </w:rPr>
      </w:pPr>
      <w:r w:rsidRPr="005E6AD9">
        <w:rPr>
          <w:rFonts w:ascii="Times New Roman" w:eastAsia="Times New Roman" w:hAnsi="Times New Roman" w:cs="Times New Roman"/>
          <w:b/>
          <w:bCs/>
          <w:kern w:val="0"/>
          <w:sz w:val="28"/>
          <w:szCs w:val="28"/>
          <w:lang w:val="en-GB"/>
          <w14:ligatures w14:val="none"/>
        </w:rPr>
        <w:lastRenderedPageBreak/>
        <w:t>Summary:</w:t>
      </w:r>
      <w:r w:rsidRPr="005E6AD9">
        <w:rPr>
          <w:rFonts w:ascii="Times New Roman" w:eastAsia="Times New Roman" w:hAnsi="Times New Roman" w:cs="Times New Roman"/>
          <w:b/>
          <w:bCs/>
          <w:kern w:val="0"/>
          <w:sz w:val="28"/>
          <w:szCs w:val="28"/>
          <w:lang w:val="en-GB"/>
          <w14:ligatures w14:val="none"/>
        </w:rPr>
        <w:tab/>
      </w:r>
      <w:r w:rsidR="008F6E60" w:rsidRPr="002C2BDF">
        <w:rPr>
          <w:rFonts w:ascii="Times New Roman" w:hAnsi="Times New Roman"/>
          <w:kern w:val="0"/>
          <w:sz w:val="28"/>
          <w:lang w:val="en-GB"/>
          <w14:ligatures w14:val="none"/>
        </w:rPr>
        <w:t>Tax</w:t>
      </w:r>
      <w:r w:rsidR="009618AD" w:rsidRPr="002C2BDF">
        <w:rPr>
          <w:rFonts w:ascii="Times New Roman" w:hAnsi="Times New Roman"/>
          <w:kern w:val="0"/>
          <w:sz w:val="28"/>
          <w:lang w:val="en-GB"/>
          <w14:ligatures w14:val="none"/>
        </w:rPr>
        <w:t xml:space="preserve"> law</w:t>
      </w:r>
      <w:r w:rsidR="008F6E60" w:rsidRPr="005E6AD9">
        <w:rPr>
          <w:rFonts w:ascii="Times New Roman" w:eastAsia="Times New Roman" w:hAnsi="Times New Roman" w:cs="Times New Roman"/>
          <w:kern w:val="0"/>
          <w:sz w:val="28"/>
          <w:szCs w:val="28"/>
          <w:lang w:val="en-GB"/>
          <w14:ligatures w14:val="none"/>
        </w:rPr>
        <w:t xml:space="preserve"> – General Anti-Avoidance Provisions</w:t>
      </w:r>
      <w:r w:rsidR="00673EA8" w:rsidRPr="005E6AD9">
        <w:rPr>
          <w:rFonts w:ascii="Times New Roman" w:eastAsia="Times New Roman" w:hAnsi="Times New Roman" w:cs="Times New Roman"/>
          <w:kern w:val="0"/>
          <w:sz w:val="28"/>
          <w:szCs w:val="28"/>
          <w:lang w:val="en-GB"/>
          <w14:ligatures w14:val="none"/>
        </w:rPr>
        <w:t xml:space="preserve"> –</w:t>
      </w:r>
      <w:r w:rsidR="008F6E60" w:rsidRPr="005E6AD9">
        <w:rPr>
          <w:rFonts w:ascii="Times New Roman" w:eastAsia="Times New Roman" w:hAnsi="Times New Roman" w:cs="Times New Roman"/>
          <w:kern w:val="0"/>
          <w:sz w:val="28"/>
          <w:szCs w:val="28"/>
          <w:lang w:val="en-GB"/>
          <w14:ligatures w14:val="none"/>
        </w:rPr>
        <w:t xml:space="preserve"> </w:t>
      </w:r>
      <w:r w:rsidR="004838B1" w:rsidRPr="002C2BDF">
        <w:rPr>
          <w:rFonts w:ascii="Times New Roman" w:hAnsi="Times New Roman"/>
          <w:kern w:val="0"/>
          <w:sz w:val="28"/>
          <w:lang w:val="en-GB"/>
          <w14:ligatures w14:val="none"/>
        </w:rPr>
        <w:t>legality review of</w:t>
      </w:r>
      <w:r w:rsidR="004838B1" w:rsidRPr="005E6AD9">
        <w:rPr>
          <w:rFonts w:ascii="Times New Roman" w:eastAsia="Times New Roman" w:hAnsi="Times New Roman" w:cs="Times New Roman"/>
          <w:kern w:val="0"/>
          <w:sz w:val="28"/>
          <w:szCs w:val="28"/>
          <w:lang w:val="en-GB"/>
          <w14:ligatures w14:val="none"/>
        </w:rPr>
        <w:t xml:space="preserve"> refusal </w:t>
      </w:r>
      <w:r w:rsidR="000C10D2" w:rsidRPr="005E6AD9">
        <w:rPr>
          <w:rFonts w:ascii="Times New Roman" w:eastAsia="Times New Roman" w:hAnsi="Times New Roman" w:cs="Times New Roman"/>
          <w:kern w:val="0"/>
          <w:sz w:val="28"/>
          <w:szCs w:val="28"/>
          <w:lang w:val="en-GB"/>
          <w14:ligatures w14:val="none"/>
        </w:rPr>
        <w:t xml:space="preserve">to withdraw a notice issued in terms of s 80J of Income Tax Act </w:t>
      </w:r>
      <w:r w:rsidR="004838B1" w:rsidRPr="005E6AD9">
        <w:rPr>
          <w:rFonts w:ascii="Times New Roman" w:eastAsia="Times New Roman" w:hAnsi="Times New Roman" w:cs="Times New Roman"/>
          <w:kern w:val="0"/>
          <w:sz w:val="28"/>
          <w:szCs w:val="28"/>
          <w:lang w:val="en-GB"/>
          <w14:ligatures w14:val="none"/>
        </w:rPr>
        <w:t xml:space="preserve">- </w:t>
      </w:r>
      <w:r w:rsidR="000C10D2" w:rsidRPr="005E6AD9">
        <w:rPr>
          <w:rFonts w:ascii="Times New Roman" w:eastAsia="Times New Roman" w:hAnsi="Times New Roman" w:cs="Times New Roman"/>
          <w:kern w:val="0"/>
          <w:sz w:val="28"/>
          <w:szCs w:val="28"/>
          <w:lang w:val="en-GB"/>
          <w14:ligatures w14:val="none"/>
        </w:rPr>
        <w:t>s 9 of Tax Administration</w:t>
      </w:r>
      <w:r w:rsidR="00B62A51" w:rsidRPr="005E6AD9">
        <w:rPr>
          <w:rFonts w:ascii="Times New Roman" w:eastAsia="Times New Roman" w:hAnsi="Times New Roman" w:cs="Times New Roman"/>
          <w:kern w:val="0"/>
          <w:sz w:val="28"/>
          <w:szCs w:val="28"/>
          <w:lang w:val="en-GB"/>
          <w14:ligatures w14:val="none"/>
        </w:rPr>
        <w:t xml:space="preserve"> Act</w:t>
      </w:r>
      <w:r w:rsidR="000C10D2" w:rsidRPr="005E6AD9">
        <w:rPr>
          <w:rFonts w:ascii="Times New Roman" w:eastAsia="Times New Roman" w:hAnsi="Times New Roman" w:cs="Times New Roman"/>
          <w:kern w:val="0"/>
          <w:sz w:val="28"/>
          <w:szCs w:val="28"/>
          <w:lang w:val="en-GB"/>
          <w14:ligatures w14:val="none"/>
        </w:rPr>
        <w:t xml:space="preserve"> –– </w:t>
      </w:r>
      <w:r w:rsidR="000C10D2" w:rsidRPr="002C2BDF">
        <w:rPr>
          <w:rFonts w:ascii="Times New Roman" w:hAnsi="Times New Roman"/>
          <w:kern w:val="0"/>
          <w:sz w:val="28"/>
          <w:lang w:val="en-GB"/>
          <w14:ligatures w14:val="none"/>
        </w:rPr>
        <w:t>subsequent assessments</w:t>
      </w:r>
      <w:r w:rsidR="000C10D2" w:rsidRPr="005E6AD9">
        <w:rPr>
          <w:rFonts w:ascii="Times New Roman" w:eastAsia="Times New Roman" w:hAnsi="Times New Roman" w:cs="Times New Roman"/>
          <w:kern w:val="0"/>
          <w:sz w:val="28"/>
          <w:szCs w:val="28"/>
          <w:lang w:val="en-GB"/>
          <w14:ligatures w14:val="none"/>
        </w:rPr>
        <w:t xml:space="preserve"> made in terms of s 80B of Income Tax Act – review of failure to withdraw s 80J notices academic – review of assessments not wholly question of law – high court lacking jurisdiction to adjudicate review. </w:t>
      </w:r>
    </w:p>
    <w:p w14:paraId="0C0562BA" w14:textId="77777777" w:rsidR="00B8098A" w:rsidRPr="005E6AD9" w:rsidRDefault="00B8098A" w:rsidP="00B8098A">
      <w:pPr>
        <w:spacing w:line="360" w:lineRule="auto"/>
        <w:rPr>
          <w:rFonts w:ascii="Times New Roman" w:eastAsia="Times New Roman" w:hAnsi="Times New Roman" w:cs="Times New Roman"/>
          <w:b/>
          <w:kern w:val="0"/>
          <w:sz w:val="28"/>
          <w:szCs w:val="28"/>
          <w:lang w:val="en-GB"/>
          <w14:ligatures w14:val="none"/>
        </w:rPr>
      </w:pPr>
      <w:r w:rsidRPr="005E6AD9">
        <w:rPr>
          <w:rFonts w:ascii="Times New Roman" w:eastAsia="Times New Roman" w:hAnsi="Times New Roman" w:cs="Times New Roman"/>
          <w:bCs/>
          <w:kern w:val="0"/>
          <w:sz w:val="28"/>
          <w:szCs w:val="28"/>
          <w:lang w:val="en-GB"/>
          <w14:ligatures w14:val="none"/>
        </w:rPr>
        <w:br w:type="page"/>
      </w:r>
      <w:r w:rsidRPr="005E6AD9">
        <w:rPr>
          <w:rFonts w:ascii="Times New Roman" w:eastAsia="Times New Roman" w:hAnsi="Times New Roman" w:cs="Times New Roman"/>
          <w:b/>
          <w:kern w:val="0"/>
          <w:sz w:val="28"/>
          <w:szCs w:val="28"/>
          <w:lang w:val="en-GB"/>
          <w14:ligatures w14:val="none"/>
        </w:rPr>
        <w:lastRenderedPageBreak/>
        <w:t>________________________________________________________________</w:t>
      </w:r>
    </w:p>
    <w:p w14:paraId="45A927CD" w14:textId="77777777" w:rsidR="00B8098A" w:rsidRPr="005E6AD9" w:rsidRDefault="00B8098A" w:rsidP="00B8098A">
      <w:pPr>
        <w:spacing w:after="0" w:line="276" w:lineRule="auto"/>
        <w:jc w:val="center"/>
        <w:rPr>
          <w:rFonts w:ascii="Times New Roman" w:eastAsia="Times New Roman" w:hAnsi="Times New Roman" w:cs="Times New Roman"/>
          <w:b/>
          <w:kern w:val="0"/>
          <w:sz w:val="28"/>
          <w:szCs w:val="28"/>
          <w:lang w:val="en-GB"/>
          <w14:ligatures w14:val="none"/>
        </w:rPr>
      </w:pPr>
      <w:r w:rsidRPr="005E6AD9">
        <w:rPr>
          <w:rFonts w:ascii="Times New Roman" w:eastAsia="Times New Roman" w:hAnsi="Times New Roman" w:cs="Times New Roman"/>
          <w:b/>
          <w:kern w:val="0"/>
          <w:sz w:val="28"/>
          <w:szCs w:val="28"/>
          <w:lang w:val="en-GB"/>
          <w14:ligatures w14:val="none"/>
        </w:rPr>
        <w:t>ORDER</w:t>
      </w:r>
    </w:p>
    <w:p w14:paraId="0568C017" w14:textId="77777777" w:rsidR="00B8098A" w:rsidRPr="005E6AD9" w:rsidRDefault="00B8098A" w:rsidP="00B8098A">
      <w:pPr>
        <w:spacing w:after="0" w:line="276" w:lineRule="auto"/>
        <w:jc w:val="both"/>
        <w:rPr>
          <w:rFonts w:ascii="Times New Roman" w:eastAsia="Times New Roman" w:hAnsi="Times New Roman" w:cs="Times New Roman"/>
          <w:b/>
          <w:kern w:val="0"/>
          <w:sz w:val="28"/>
          <w:szCs w:val="28"/>
          <w:lang w:val="en-GB"/>
          <w14:ligatures w14:val="none"/>
        </w:rPr>
      </w:pPr>
      <w:r w:rsidRPr="005E6AD9">
        <w:rPr>
          <w:rFonts w:ascii="Times New Roman" w:eastAsia="Times New Roman" w:hAnsi="Times New Roman" w:cs="Times New Roman"/>
          <w:b/>
          <w:kern w:val="0"/>
          <w:sz w:val="28"/>
          <w:szCs w:val="28"/>
          <w:lang w:val="en-GB"/>
          <w14:ligatures w14:val="none"/>
        </w:rPr>
        <w:t>________________________________________________________________</w:t>
      </w:r>
    </w:p>
    <w:p w14:paraId="1E9DD2F4" w14:textId="77777777" w:rsidR="00B3321F" w:rsidRPr="005E6AD9" w:rsidRDefault="00B3321F" w:rsidP="00B3321F">
      <w:pPr>
        <w:spacing w:after="0" w:line="360" w:lineRule="auto"/>
        <w:contextualSpacing/>
        <w:jc w:val="both"/>
        <w:rPr>
          <w:rFonts w:ascii="Times New Roman" w:eastAsia="Calibri" w:hAnsi="Times New Roman" w:cs="Times New Roman"/>
          <w:b/>
          <w:bCs/>
          <w:kern w:val="0"/>
          <w:sz w:val="28"/>
          <w:szCs w:val="28"/>
          <w14:ligatures w14:val="none"/>
        </w:rPr>
      </w:pPr>
    </w:p>
    <w:p w14:paraId="27B28EA5" w14:textId="77777777" w:rsidR="00B8098A" w:rsidRPr="005E6AD9" w:rsidRDefault="00B8098A" w:rsidP="00B3321F">
      <w:pPr>
        <w:spacing w:after="0" w:line="360" w:lineRule="auto"/>
        <w:contextualSpacing/>
        <w:jc w:val="both"/>
        <w:rPr>
          <w:rFonts w:ascii="Times New Roman" w:eastAsia="Calibri" w:hAnsi="Times New Roman" w:cs="Times New Roman"/>
          <w:bCs/>
          <w:kern w:val="0"/>
          <w:sz w:val="28"/>
          <w:szCs w:val="28"/>
          <w14:ligatures w14:val="none"/>
        </w:rPr>
      </w:pPr>
      <w:r w:rsidRPr="005E6AD9">
        <w:rPr>
          <w:rFonts w:ascii="Times New Roman" w:eastAsia="Calibri" w:hAnsi="Times New Roman" w:cs="Times New Roman"/>
          <w:b/>
          <w:bCs/>
          <w:kern w:val="0"/>
          <w:sz w:val="28"/>
          <w:szCs w:val="28"/>
          <w14:ligatures w14:val="none"/>
        </w:rPr>
        <w:t xml:space="preserve">On appeal from: </w:t>
      </w:r>
      <w:r w:rsidR="00B31A0A" w:rsidRPr="005E6AD9">
        <w:rPr>
          <w:rFonts w:ascii="Times New Roman" w:eastAsia="Calibri" w:hAnsi="Times New Roman" w:cs="Times New Roman"/>
          <w:bCs/>
          <w:kern w:val="0"/>
          <w:sz w:val="28"/>
          <w:szCs w:val="28"/>
          <w14:ligatures w14:val="none"/>
        </w:rPr>
        <w:t>Gauteng</w:t>
      </w:r>
      <w:r w:rsidRPr="005E6AD9">
        <w:rPr>
          <w:rFonts w:ascii="Times New Roman" w:eastAsia="Calibri" w:hAnsi="Times New Roman" w:cs="Times New Roman"/>
          <w:bCs/>
          <w:kern w:val="0"/>
          <w:sz w:val="28"/>
          <w:szCs w:val="28"/>
          <w14:ligatures w14:val="none"/>
        </w:rPr>
        <w:t xml:space="preserve"> Division of the High Court, </w:t>
      </w:r>
      <w:r w:rsidR="00B31A0A" w:rsidRPr="005E6AD9">
        <w:rPr>
          <w:rFonts w:ascii="Times New Roman" w:eastAsia="Calibri" w:hAnsi="Times New Roman" w:cs="Times New Roman"/>
          <w:bCs/>
          <w:kern w:val="0"/>
          <w:sz w:val="28"/>
          <w:szCs w:val="28"/>
          <w14:ligatures w14:val="none"/>
        </w:rPr>
        <w:t>Pretoria</w:t>
      </w:r>
      <w:r w:rsidRPr="005E6AD9">
        <w:rPr>
          <w:rFonts w:ascii="Times New Roman" w:eastAsia="Calibri" w:hAnsi="Times New Roman" w:cs="Times New Roman"/>
          <w:bCs/>
          <w:kern w:val="0"/>
          <w:sz w:val="28"/>
          <w:szCs w:val="28"/>
          <w14:ligatures w14:val="none"/>
        </w:rPr>
        <w:t xml:space="preserve"> (</w:t>
      </w:r>
      <w:r w:rsidR="00B31A0A" w:rsidRPr="005E6AD9">
        <w:rPr>
          <w:rFonts w:ascii="Times New Roman" w:eastAsia="Calibri" w:hAnsi="Times New Roman" w:cs="Times New Roman"/>
          <w:bCs/>
          <w:kern w:val="0"/>
          <w:sz w:val="28"/>
          <w:szCs w:val="28"/>
          <w14:ligatures w14:val="none"/>
        </w:rPr>
        <w:t>Sutherland ADJP</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bCs/>
          <w:kern w:val="0"/>
          <w:sz w:val="28"/>
          <w:szCs w:val="28"/>
          <w14:ligatures w14:val="none"/>
        </w:rPr>
        <w:t xml:space="preserve"> sitting as court of first instance)</w:t>
      </w:r>
      <w:r w:rsidR="003A10BF" w:rsidRPr="005E6AD9">
        <w:rPr>
          <w:rFonts w:ascii="Times New Roman" w:eastAsia="Calibri" w:hAnsi="Times New Roman" w:cs="Times New Roman"/>
          <w:bCs/>
          <w:kern w:val="0"/>
          <w:sz w:val="28"/>
          <w:szCs w:val="28"/>
          <w14:ligatures w14:val="none"/>
        </w:rPr>
        <w:t xml:space="preserve"> reported </w:t>
      </w:r>
      <w:r w:rsidR="00B67049" w:rsidRPr="005E6AD9">
        <w:rPr>
          <w:rFonts w:ascii="Times New Roman" w:eastAsia="Calibri" w:hAnsi="Times New Roman" w:cs="Times New Roman"/>
          <w:bCs/>
          <w:i/>
          <w:iCs/>
          <w:kern w:val="0"/>
          <w:sz w:val="28"/>
          <w:szCs w:val="28"/>
          <w14:ligatures w14:val="none"/>
        </w:rPr>
        <w:t xml:space="preserve">sub nom </w:t>
      </w:r>
      <w:r w:rsidR="00B67049" w:rsidRPr="002C2BDF">
        <w:rPr>
          <w:rFonts w:ascii="Times New Roman" w:hAnsi="Times New Roman"/>
          <w:i/>
          <w:kern w:val="0"/>
          <w:sz w:val="28"/>
          <w14:ligatures w14:val="none"/>
        </w:rPr>
        <w:t xml:space="preserve">Absa </w:t>
      </w:r>
      <w:r w:rsidR="00593FCD" w:rsidRPr="002C2BDF">
        <w:rPr>
          <w:rFonts w:ascii="Times New Roman" w:hAnsi="Times New Roman"/>
          <w:i/>
          <w:kern w:val="0"/>
          <w:sz w:val="28"/>
          <w14:ligatures w14:val="none"/>
        </w:rPr>
        <w:t>B</w:t>
      </w:r>
      <w:r w:rsidR="00B67049" w:rsidRPr="005E6AD9">
        <w:rPr>
          <w:rFonts w:ascii="Times New Roman" w:eastAsia="Calibri" w:hAnsi="Times New Roman" w:cs="Times New Roman"/>
          <w:bCs/>
          <w:i/>
          <w:iCs/>
          <w:kern w:val="0"/>
          <w:sz w:val="28"/>
          <w:szCs w:val="28"/>
          <w14:ligatures w14:val="none"/>
        </w:rPr>
        <w:t>ank Limited and Another v Commissioner for the South African Revenue Service</w:t>
      </w:r>
      <w:r w:rsidR="003A10BF" w:rsidRPr="005E6AD9">
        <w:rPr>
          <w:rFonts w:ascii="Times New Roman" w:eastAsia="Calibri" w:hAnsi="Times New Roman" w:cs="Times New Roman"/>
          <w:bCs/>
          <w:kern w:val="0"/>
          <w:sz w:val="28"/>
          <w:szCs w:val="28"/>
          <w14:ligatures w14:val="none"/>
        </w:rPr>
        <w:t xml:space="preserve"> </w:t>
      </w:r>
      <w:r w:rsidR="00B67049" w:rsidRPr="005E6AD9">
        <w:rPr>
          <w:rFonts w:ascii="Times New Roman" w:eastAsia="Calibri" w:hAnsi="Times New Roman" w:cs="Times New Roman"/>
          <w:bCs/>
          <w:kern w:val="0"/>
          <w:sz w:val="28"/>
          <w:szCs w:val="28"/>
          <w14:ligatures w14:val="none"/>
        </w:rPr>
        <w:t>[2021] ZAGPPHC 127; 2021 (3) SA 513 (GP)</w:t>
      </w:r>
      <w:r w:rsidRPr="005E6AD9">
        <w:rPr>
          <w:rFonts w:ascii="Times New Roman" w:eastAsia="Calibri" w:hAnsi="Times New Roman" w:cs="Times New Roman"/>
          <w:bCs/>
          <w:kern w:val="0"/>
          <w:sz w:val="28"/>
          <w:szCs w:val="28"/>
          <w14:ligatures w14:val="none"/>
        </w:rPr>
        <w:t xml:space="preserve">: </w:t>
      </w:r>
    </w:p>
    <w:p w14:paraId="081705AB" w14:textId="1D75CCD8" w:rsidR="00B8098A" w:rsidRPr="0033268F" w:rsidRDefault="0033268F" w:rsidP="0033268F">
      <w:pPr>
        <w:spacing w:after="0" w:line="360" w:lineRule="auto"/>
        <w:ind w:left="567" w:hanging="567"/>
        <w:jc w:val="both"/>
        <w:rPr>
          <w:rFonts w:ascii="Times New Roman" w:eastAsia="Calibri" w:hAnsi="Times New Roman" w:cs="Times New Roman"/>
          <w:bCs/>
          <w:kern w:val="0"/>
          <w:sz w:val="28"/>
          <w:szCs w:val="28"/>
          <w14:ligatures w14:val="none"/>
        </w:rPr>
      </w:pPr>
      <w:r w:rsidRPr="005E6AD9">
        <w:rPr>
          <w:rFonts w:ascii="Times New Roman" w:eastAsia="Calibri" w:hAnsi="Times New Roman" w:cs="Times New Roman"/>
          <w:bCs/>
          <w:kern w:val="0"/>
          <w:sz w:val="28"/>
          <w:szCs w:val="28"/>
          <w14:ligatures w14:val="none"/>
        </w:rPr>
        <w:t>1</w:t>
      </w:r>
      <w:r w:rsidRPr="005E6AD9">
        <w:rPr>
          <w:rFonts w:ascii="Times New Roman" w:eastAsia="Calibri" w:hAnsi="Times New Roman" w:cs="Times New Roman"/>
          <w:bCs/>
          <w:kern w:val="0"/>
          <w:sz w:val="28"/>
          <w:szCs w:val="28"/>
          <w14:ligatures w14:val="none"/>
        </w:rPr>
        <w:tab/>
      </w:r>
      <w:r w:rsidR="00B8098A" w:rsidRPr="0033268F">
        <w:rPr>
          <w:rFonts w:ascii="Times New Roman" w:eastAsia="Calibri" w:hAnsi="Times New Roman" w:cs="Times New Roman"/>
          <w:bCs/>
          <w:kern w:val="0"/>
          <w:sz w:val="28"/>
          <w:szCs w:val="28"/>
          <w14:ligatures w14:val="none"/>
        </w:rPr>
        <w:t xml:space="preserve">The appeal is </w:t>
      </w:r>
      <w:r w:rsidR="00B31A0A" w:rsidRPr="0033268F">
        <w:rPr>
          <w:rFonts w:ascii="Times New Roman" w:eastAsia="Calibri" w:hAnsi="Times New Roman" w:cs="Times New Roman"/>
          <w:bCs/>
          <w:kern w:val="0"/>
          <w:sz w:val="28"/>
          <w:szCs w:val="28"/>
          <w14:ligatures w14:val="none"/>
        </w:rPr>
        <w:t xml:space="preserve">upheld </w:t>
      </w:r>
      <w:r w:rsidR="00B8098A" w:rsidRPr="0033268F">
        <w:rPr>
          <w:rFonts w:ascii="Times New Roman" w:eastAsia="Calibri" w:hAnsi="Times New Roman" w:cs="Times New Roman"/>
          <w:bCs/>
          <w:kern w:val="0"/>
          <w:sz w:val="28"/>
          <w:szCs w:val="28"/>
          <w14:ligatures w14:val="none"/>
        </w:rPr>
        <w:t>with costs</w:t>
      </w:r>
      <w:r w:rsidR="00B31A0A" w:rsidRPr="0033268F">
        <w:rPr>
          <w:rFonts w:ascii="Times New Roman" w:eastAsia="Calibri" w:hAnsi="Times New Roman" w:cs="Times New Roman"/>
          <w:bCs/>
          <w:kern w:val="0"/>
          <w:sz w:val="28"/>
          <w:szCs w:val="28"/>
          <w14:ligatures w14:val="none"/>
        </w:rPr>
        <w:t>, including the costs of two counsel</w:t>
      </w:r>
      <w:r w:rsidR="00B8098A" w:rsidRPr="0033268F">
        <w:rPr>
          <w:rFonts w:ascii="Times New Roman" w:eastAsia="Calibri" w:hAnsi="Times New Roman" w:cs="Times New Roman"/>
          <w:bCs/>
          <w:kern w:val="0"/>
          <w:sz w:val="28"/>
          <w:szCs w:val="28"/>
          <w14:ligatures w14:val="none"/>
        </w:rPr>
        <w:t>.</w:t>
      </w:r>
    </w:p>
    <w:p w14:paraId="76412DA9" w14:textId="49C9643E" w:rsidR="00B31A0A" w:rsidRPr="0033268F" w:rsidRDefault="0033268F" w:rsidP="0033268F">
      <w:pPr>
        <w:spacing w:before="240" w:after="0" w:line="360" w:lineRule="auto"/>
        <w:ind w:left="567" w:hanging="567"/>
        <w:jc w:val="both"/>
        <w:rPr>
          <w:rFonts w:ascii="Times New Roman" w:eastAsia="Calibri" w:hAnsi="Times New Roman" w:cs="Times New Roman"/>
          <w:bCs/>
          <w:kern w:val="0"/>
          <w:sz w:val="28"/>
          <w:szCs w:val="28"/>
          <w14:ligatures w14:val="none"/>
        </w:rPr>
      </w:pPr>
      <w:r w:rsidRPr="005E6AD9">
        <w:rPr>
          <w:rFonts w:ascii="Times New Roman" w:eastAsia="Calibri" w:hAnsi="Times New Roman" w:cs="Times New Roman"/>
          <w:bCs/>
          <w:kern w:val="0"/>
          <w:sz w:val="28"/>
          <w:szCs w:val="28"/>
          <w14:ligatures w14:val="none"/>
        </w:rPr>
        <w:t>2</w:t>
      </w:r>
      <w:bookmarkStart w:id="0" w:name="_GoBack"/>
      <w:bookmarkEnd w:id="0"/>
      <w:r w:rsidRPr="005E6AD9">
        <w:rPr>
          <w:rFonts w:ascii="Times New Roman" w:eastAsia="Calibri" w:hAnsi="Times New Roman" w:cs="Times New Roman"/>
          <w:bCs/>
          <w:kern w:val="0"/>
          <w:sz w:val="28"/>
          <w:szCs w:val="28"/>
          <w14:ligatures w14:val="none"/>
        </w:rPr>
        <w:tab/>
      </w:r>
      <w:r w:rsidR="00B31A0A" w:rsidRPr="0033268F">
        <w:rPr>
          <w:rFonts w:ascii="Times New Roman" w:eastAsia="Calibri" w:hAnsi="Times New Roman" w:cs="Times New Roman"/>
          <w:bCs/>
          <w:kern w:val="0"/>
          <w:sz w:val="28"/>
          <w:szCs w:val="28"/>
          <w14:ligatures w14:val="none"/>
        </w:rPr>
        <w:t>The order</w:t>
      </w:r>
      <w:r w:rsidR="005B1023" w:rsidRPr="0033268F">
        <w:rPr>
          <w:rFonts w:ascii="Times New Roman" w:eastAsia="Calibri" w:hAnsi="Times New Roman" w:cs="Times New Roman"/>
          <w:bCs/>
          <w:kern w:val="0"/>
          <w:sz w:val="28"/>
          <w:szCs w:val="28"/>
          <w14:ligatures w14:val="none"/>
        </w:rPr>
        <w:t>s</w:t>
      </w:r>
      <w:r w:rsidR="00B31A0A" w:rsidRPr="0033268F">
        <w:rPr>
          <w:rFonts w:ascii="Times New Roman" w:eastAsia="Calibri" w:hAnsi="Times New Roman" w:cs="Times New Roman"/>
          <w:bCs/>
          <w:kern w:val="0"/>
          <w:sz w:val="28"/>
          <w:szCs w:val="28"/>
          <w14:ligatures w14:val="none"/>
        </w:rPr>
        <w:t xml:space="preserve"> of the high court </w:t>
      </w:r>
      <w:r w:rsidR="005B1023" w:rsidRPr="0033268F">
        <w:rPr>
          <w:rFonts w:ascii="Times New Roman" w:eastAsia="Calibri" w:hAnsi="Times New Roman" w:cs="Times New Roman"/>
          <w:bCs/>
          <w:kern w:val="0"/>
          <w:sz w:val="28"/>
          <w:szCs w:val="28"/>
          <w14:ligatures w14:val="none"/>
        </w:rPr>
        <w:t>are</w:t>
      </w:r>
      <w:r w:rsidR="00B31A0A" w:rsidRPr="0033268F">
        <w:rPr>
          <w:rFonts w:ascii="Times New Roman" w:eastAsia="Calibri" w:hAnsi="Times New Roman" w:cs="Times New Roman"/>
          <w:bCs/>
          <w:kern w:val="0"/>
          <w:sz w:val="28"/>
          <w:szCs w:val="28"/>
          <w14:ligatures w14:val="none"/>
        </w:rPr>
        <w:t xml:space="preserve"> set aside and substituted with the following</w:t>
      </w:r>
      <w:r w:rsidR="005B1023" w:rsidRPr="0033268F">
        <w:rPr>
          <w:rFonts w:ascii="Times New Roman" w:eastAsia="Calibri" w:hAnsi="Times New Roman" w:cs="Times New Roman"/>
          <w:bCs/>
          <w:kern w:val="0"/>
          <w:sz w:val="28"/>
          <w:szCs w:val="28"/>
          <w14:ligatures w14:val="none"/>
        </w:rPr>
        <w:t xml:space="preserve"> order</w:t>
      </w:r>
      <w:r w:rsidR="00B31A0A" w:rsidRPr="0033268F">
        <w:rPr>
          <w:rFonts w:ascii="Times New Roman" w:eastAsia="Calibri" w:hAnsi="Times New Roman" w:cs="Times New Roman"/>
          <w:bCs/>
          <w:kern w:val="0"/>
          <w:sz w:val="28"/>
          <w:szCs w:val="28"/>
          <w14:ligatures w14:val="none"/>
        </w:rPr>
        <w:t>:</w:t>
      </w:r>
    </w:p>
    <w:p w14:paraId="3D81A39B" w14:textId="77777777" w:rsidR="00B31A0A" w:rsidRPr="005E6AD9" w:rsidRDefault="00B31A0A" w:rsidP="00156D9D">
      <w:pPr>
        <w:spacing w:after="0" w:line="360" w:lineRule="auto"/>
        <w:ind w:left="284"/>
        <w:jc w:val="both"/>
        <w:rPr>
          <w:rFonts w:ascii="Times New Roman" w:eastAsia="Calibri" w:hAnsi="Times New Roman" w:cs="Times New Roman"/>
          <w:bCs/>
          <w:kern w:val="0"/>
          <w:sz w:val="28"/>
          <w:szCs w:val="28"/>
          <w14:ligatures w14:val="none"/>
        </w:rPr>
      </w:pPr>
      <w:r w:rsidRPr="005E6AD9">
        <w:rPr>
          <w:rFonts w:ascii="Times New Roman" w:eastAsia="Calibri" w:hAnsi="Times New Roman" w:cs="Times New Roman"/>
          <w:bCs/>
          <w:kern w:val="0"/>
          <w:sz w:val="28"/>
          <w:szCs w:val="28"/>
          <w14:ligatures w14:val="none"/>
        </w:rPr>
        <w:t>‘The application is dismissed with costs, including the costs of two counsel.’</w:t>
      </w:r>
    </w:p>
    <w:p w14:paraId="316E4AD9" w14:textId="77777777" w:rsidR="00B8098A" w:rsidRPr="005E6AD9" w:rsidRDefault="00B8098A" w:rsidP="00B8098A">
      <w:pPr>
        <w:spacing w:after="0" w:line="276" w:lineRule="auto"/>
        <w:contextualSpacing/>
        <w:jc w:val="both"/>
        <w:rPr>
          <w:rFonts w:ascii="Times New Roman" w:eastAsia="Calibri" w:hAnsi="Times New Roman" w:cs="Times New Roman"/>
          <w:b/>
          <w:kern w:val="0"/>
          <w:sz w:val="28"/>
          <w:szCs w:val="28"/>
          <w14:ligatures w14:val="none"/>
        </w:rPr>
      </w:pPr>
      <w:r w:rsidRPr="005E6AD9">
        <w:rPr>
          <w:rFonts w:ascii="Times New Roman" w:eastAsia="Calibri" w:hAnsi="Times New Roman" w:cs="Times New Roman"/>
          <w:b/>
          <w:kern w:val="0"/>
          <w:sz w:val="28"/>
          <w:szCs w:val="28"/>
          <w14:ligatures w14:val="none"/>
        </w:rPr>
        <w:t>________________________________________________________________</w:t>
      </w:r>
    </w:p>
    <w:p w14:paraId="6F3A42FE" w14:textId="77777777" w:rsidR="00B8098A" w:rsidRPr="005E6AD9" w:rsidRDefault="00B8098A" w:rsidP="00B8098A">
      <w:pPr>
        <w:spacing w:after="0" w:line="276" w:lineRule="auto"/>
        <w:contextualSpacing/>
        <w:jc w:val="center"/>
        <w:rPr>
          <w:rFonts w:ascii="Times New Roman" w:eastAsia="Calibri" w:hAnsi="Times New Roman" w:cs="Times New Roman"/>
          <w:b/>
          <w:kern w:val="0"/>
          <w:sz w:val="28"/>
          <w:szCs w:val="28"/>
          <w14:ligatures w14:val="none"/>
        </w:rPr>
      </w:pPr>
    </w:p>
    <w:p w14:paraId="2928F426" w14:textId="77777777" w:rsidR="00B8098A" w:rsidRPr="005E6AD9" w:rsidRDefault="00B8098A" w:rsidP="00B8098A">
      <w:pPr>
        <w:spacing w:after="0" w:line="276" w:lineRule="auto"/>
        <w:contextualSpacing/>
        <w:jc w:val="center"/>
        <w:rPr>
          <w:rFonts w:ascii="Times New Roman" w:eastAsia="Calibri" w:hAnsi="Times New Roman" w:cs="Times New Roman"/>
          <w:b/>
          <w:kern w:val="0"/>
          <w:sz w:val="28"/>
          <w:szCs w:val="28"/>
          <w14:ligatures w14:val="none"/>
        </w:rPr>
      </w:pPr>
      <w:r w:rsidRPr="005E6AD9">
        <w:rPr>
          <w:rFonts w:ascii="Times New Roman" w:eastAsia="Calibri" w:hAnsi="Times New Roman" w:cs="Times New Roman"/>
          <w:b/>
          <w:kern w:val="0"/>
          <w:sz w:val="28"/>
          <w:szCs w:val="28"/>
          <w14:ligatures w14:val="none"/>
        </w:rPr>
        <w:t>JUDGMENT</w:t>
      </w:r>
    </w:p>
    <w:p w14:paraId="232B229C" w14:textId="77777777" w:rsidR="00B8098A" w:rsidRPr="005E6AD9" w:rsidRDefault="00B8098A" w:rsidP="00B8098A">
      <w:pPr>
        <w:spacing w:after="0" w:line="360" w:lineRule="auto"/>
        <w:contextualSpacing/>
        <w:rPr>
          <w:rFonts w:ascii="Times New Roman" w:eastAsia="Calibri" w:hAnsi="Times New Roman" w:cs="Times New Roman"/>
          <w:b/>
          <w:kern w:val="0"/>
          <w:sz w:val="28"/>
          <w:szCs w:val="28"/>
          <w14:ligatures w14:val="none"/>
        </w:rPr>
      </w:pPr>
      <w:r w:rsidRPr="005E6AD9">
        <w:rPr>
          <w:rFonts w:ascii="Times New Roman" w:eastAsia="Calibri" w:hAnsi="Times New Roman" w:cs="Times New Roman"/>
          <w:b/>
          <w:kern w:val="0"/>
          <w:sz w:val="28"/>
          <w:szCs w:val="28"/>
          <w14:ligatures w14:val="none"/>
        </w:rPr>
        <w:t>________________________________________________________________</w:t>
      </w:r>
    </w:p>
    <w:p w14:paraId="48DB751E" w14:textId="4BD7DB67" w:rsidR="00B8098A" w:rsidRPr="005E6AD9" w:rsidRDefault="00B8098A" w:rsidP="00B3321F">
      <w:pPr>
        <w:spacing w:after="0" w:line="360" w:lineRule="auto"/>
        <w:jc w:val="both"/>
        <w:rPr>
          <w:rFonts w:ascii="Times New Roman" w:eastAsia="Times New Roman" w:hAnsi="Times New Roman" w:cs="Times New Roman"/>
          <w:b/>
          <w:kern w:val="0"/>
          <w:sz w:val="28"/>
          <w:szCs w:val="28"/>
          <w:lang w:val="en-GB"/>
          <w14:ligatures w14:val="none"/>
        </w:rPr>
      </w:pPr>
      <w:r w:rsidRPr="005E6AD9">
        <w:rPr>
          <w:rFonts w:ascii="Times New Roman" w:eastAsia="Times New Roman" w:hAnsi="Times New Roman" w:cs="Times New Roman"/>
          <w:b/>
          <w:kern w:val="0"/>
          <w:sz w:val="28"/>
          <w:szCs w:val="28"/>
          <w:lang w:val="en-GB"/>
          <w14:ligatures w14:val="none"/>
        </w:rPr>
        <w:t xml:space="preserve">Goosen JA </w:t>
      </w:r>
      <w:r w:rsidR="00ED6C72">
        <w:rPr>
          <w:rFonts w:ascii="Times New Roman" w:eastAsia="Times New Roman" w:hAnsi="Times New Roman" w:cs="Times New Roman"/>
          <w:b/>
          <w:kern w:val="0"/>
          <w:sz w:val="28"/>
          <w:szCs w:val="28"/>
          <w:lang w:val="en-GB"/>
          <w14:ligatures w14:val="none"/>
        </w:rPr>
        <w:t xml:space="preserve">(Dambuza AP, Schippers and Matojane JJA and Mali AJA </w:t>
      </w:r>
      <w:r w:rsidRPr="005E6AD9">
        <w:rPr>
          <w:rFonts w:ascii="Times New Roman" w:eastAsia="Times New Roman" w:hAnsi="Times New Roman" w:cs="Times New Roman"/>
          <w:b/>
          <w:kern w:val="0"/>
          <w:sz w:val="28"/>
          <w:szCs w:val="28"/>
          <w:lang w:val="en-GB"/>
          <w14:ligatures w14:val="none"/>
        </w:rPr>
        <w:t>concurring):</w:t>
      </w:r>
    </w:p>
    <w:p w14:paraId="7385C2DB" w14:textId="77777777" w:rsidR="00ED6C72" w:rsidRDefault="00ED6C72" w:rsidP="00ED6C72">
      <w:pPr>
        <w:spacing w:after="0" w:line="360" w:lineRule="auto"/>
        <w:contextualSpacing/>
        <w:jc w:val="both"/>
        <w:rPr>
          <w:rFonts w:ascii="Times New Roman" w:eastAsia="Calibri" w:hAnsi="Times New Roman" w:cs="Times New Roman"/>
          <w:kern w:val="0"/>
          <w:sz w:val="28"/>
          <w:szCs w:val="28"/>
          <w:lang w:val="en-US"/>
          <w14:ligatures w14:val="none"/>
        </w:rPr>
      </w:pPr>
    </w:p>
    <w:p w14:paraId="2628CD73" w14:textId="287FBA62" w:rsidR="00B31A0A" w:rsidRPr="005E6AD9" w:rsidRDefault="0033268F" w:rsidP="0033268F">
      <w:pPr>
        <w:spacing w:after="0" w:line="360" w:lineRule="auto"/>
        <w:contextualSpacing/>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[1]</w:t>
      </w:r>
      <w:r w:rsidRPr="005E6AD9">
        <w:rPr>
          <w:rFonts w:ascii="Times New Roman" w:eastAsia="Calibri" w:hAnsi="Times New Roman" w:cs="Times New Roman"/>
          <w:kern w:val="0"/>
          <w:sz w:val="28"/>
          <w:szCs w:val="28"/>
          <w:lang w:val="en-US"/>
          <w14:ligatures w14:val="none"/>
        </w:rPr>
        <w:tab/>
      </w:r>
      <w:r w:rsidR="00B31A0A" w:rsidRPr="005E6AD9">
        <w:rPr>
          <w:rFonts w:ascii="Times New Roman" w:eastAsia="Calibri" w:hAnsi="Times New Roman" w:cs="Times New Roman"/>
          <w:kern w:val="0"/>
          <w:sz w:val="28"/>
          <w:szCs w:val="28"/>
          <w:lang w:val="en-US"/>
          <w14:ligatures w14:val="none"/>
        </w:rPr>
        <w:t>This appeal concerns the exercise of the High Court's review jurisdiction in the context of a tax assessment raised in terms of s 80B of the Income Tax Act 58 of 1962</w:t>
      </w:r>
      <w:r w:rsidR="007E1FB4" w:rsidRPr="005E6AD9">
        <w:rPr>
          <w:rFonts w:ascii="Times New Roman" w:eastAsia="Calibri" w:hAnsi="Times New Roman" w:cs="Times New Roman"/>
          <w:kern w:val="0"/>
          <w:sz w:val="28"/>
          <w:szCs w:val="28"/>
          <w:lang w:val="en-US"/>
          <w14:ligatures w14:val="none"/>
        </w:rPr>
        <w:t xml:space="preserve"> (the ITA)</w:t>
      </w:r>
      <w:r w:rsidR="00B31A0A" w:rsidRPr="005E6AD9">
        <w:rPr>
          <w:rFonts w:ascii="Times New Roman" w:eastAsia="Calibri" w:hAnsi="Times New Roman" w:cs="Times New Roman"/>
          <w:kern w:val="0"/>
          <w:sz w:val="28"/>
          <w:szCs w:val="28"/>
          <w:lang w:val="en-US"/>
          <w14:ligatures w14:val="none"/>
        </w:rPr>
        <w:t xml:space="preserve">. The </w:t>
      </w:r>
      <w:r w:rsidR="007E1FB4" w:rsidRPr="005E6AD9">
        <w:rPr>
          <w:rFonts w:ascii="Times New Roman" w:eastAsia="Calibri" w:hAnsi="Times New Roman" w:cs="Times New Roman"/>
          <w:kern w:val="0"/>
          <w:sz w:val="28"/>
          <w:szCs w:val="28"/>
          <w:lang w:val="en-US"/>
          <w14:ligatures w14:val="none"/>
        </w:rPr>
        <w:t>Gauteng</w:t>
      </w:r>
      <w:r w:rsidR="00B31A0A" w:rsidRPr="005E6AD9">
        <w:rPr>
          <w:rFonts w:ascii="Times New Roman" w:eastAsia="Calibri" w:hAnsi="Times New Roman" w:cs="Times New Roman"/>
          <w:kern w:val="0"/>
          <w:sz w:val="28"/>
          <w:szCs w:val="28"/>
          <w:lang w:val="en-US"/>
          <w14:ligatures w14:val="none"/>
        </w:rPr>
        <w:t xml:space="preserve"> Division of the High Court, Pretoria</w:t>
      </w:r>
      <w:r w:rsidR="007E1FB4" w:rsidRPr="005E6AD9">
        <w:rPr>
          <w:rFonts w:ascii="Times New Roman" w:eastAsia="Calibri" w:hAnsi="Times New Roman" w:cs="Times New Roman"/>
          <w:kern w:val="0"/>
          <w:sz w:val="28"/>
          <w:szCs w:val="28"/>
          <w:lang w:val="en-US"/>
          <w14:ligatures w14:val="none"/>
        </w:rPr>
        <w:t xml:space="preserve"> (the high court),</w:t>
      </w:r>
      <w:r w:rsidR="00B31A0A" w:rsidRPr="005E6AD9">
        <w:rPr>
          <w:rFonts w:ascii="Times New Roman" w:eastAsia="Calibri" w:hAnsi="Times New Roman" w:cs="Times New Roman"/>
          <w:kern w:val="0"/>
          <w:sz w:val="28"/>
          <w:szCs w:val="28"/>
          <w:lang w:val="en-US"/>
          <w14:ligatures w14:val="none"/>
        </w:rPr>
        <w:t xml:space="preserve"> set aside a decision by the </w:t>
      </w:r>
      <w:r w:rsidR="007E1FB4" w:rsidRPr="005E6AD9">
        <w:rPr>
          <w:rFonts w:ascii="Times New Roman" w:eastAsia="Calibri" w:hAnsi="Times New Roman" w:cs="Times New Roman"/>
          <w:kern w:val="0"/>
          <w:sz w:val="28"/>
          <w:szCs w:val="28"/>
          <w:lang w:val="en-US"/>
          <w14:ligatures w14:val="none"/>
        </w:rPr>
        <w:t xml:space="preserve">Commissioner of the </w:t>
      </w:r>
      <w:r w:rsidR="00B31A0A" w:rsidRPr="005E6AD9">
        <w:rPr>
          <w:rFonts w:ascii="Times New Roman" w:eastAsia="Calibri" w:hAnsi="Times New Roman" w:cs="Times New Roman"/>
          <w:kern w:val="0"/>
          <w:sz w:val="28"/>
          <w:szCs w:val="28"/>
          <w:lang w:val="en-US"/>
          <w14:ligatures w14:val="none"/>
        </w:rPr>
        <w:t>South African Revenue Service</w:t>
      </w:r>
      <w:r w:rsidR="007E1FB4" w:rsidRPr="005E6AD9">
        <w:rPr>
          <w:rFonts w:ascii="Times New Roman" w:eastAsia="Calibri" w:hAnsi="Times New Roman" w:cs="Times New Roman"/>
          <w:kern w:val="0"/>
          <w:sz w:val="28"/>
          <w:szCs w:val="28"/>
          <w:lang w:val="en-US"/>
          <w14:ligatures w14:val="none"/>
        </w:rPr>
        <w:t xml:space="preserve"> (SARS), refus</w:t>
      </w:r>
      <w:r w:rsidR="00B31A0A" w:rsidRPr="005E6AD9">
        <w:rPr>
          <w:rFonts w:ascii="Times New Roman" w:eastAsia="Calibri" w:hAnsi="Times New Roman" w:cs="Times New Roman"/>
          <w:kern w:val="0"/>
          <w:sz w:val="28"/>
          <w:szCs w:val="28"/>
          <w:lang w:val="en-US"/>
          <w14:ligatures w14:val="none"/>
        </w:rPr>
        <w:t>ing to withdraw notice</w:t>
      </w:r>
      <w:r w:rsidR="007E1FB4" w:rsidRPr="005E6AD9">
        <w:rPr>
          <w:rFonts w:ascii="Times New Roman" w:eastAsia="Calibri" w:hAnsi="Times New Roman" w:cs="Times New Roman"/>
          <w:kern w:val="0"/>
          <w:sz w:val="28"/>
          <w:szCs w:val="28"/>
          <w:lang w:val="en-US"/>
          <w14:ligatures w14:val="none"/>
        </w:rPr>
        <w:t>s</w:t>
      </w:r>
      <w:r w:rsidR="00B31A0A" w:rsidRPr="005E6AD9">
        <w:rPr>
          <w:rFonts w:ascii="Times New Roman" w:eastAsia="Calibri" w:hAnsi="Times New Roman" w:cs="Times New Roman"/>
          <w:kern w:val="0"/>
          <w:sz w:val="28"/>
          <w:szCs w:val="28"/>
          <w:lang w:val="en-US"/>
          <w14:ligatures w14:val="none"/>
        </w:rPr>
        <w:t xml:space="preserve"> issued in terms of s 80J of the ITA</w:t>
      </w:r>
      <w:r w:rsidR="007E1FB4" w:rsidRPr="005E6AD9">
        <w:rPr>
          <w:rFonts w:ascii="Times New Roman" w:eastAsia="Calibri" w:hAnsi="Times New Roman" w:cs="Times New Roman"/>
          <w:kern w:val="0"/>
          <w:sz w:val="28"/>
          <w:szCs w:val="28"/>
          <w:lang w:val="en-US"/>
          <w14:ligatures w14:val="none"/>
        </w:rPr>
        <w:t xml:space="preserve"> to the respondents, Absa Bank Limited (A</w:t>
      </w:r>
      <w:r w:rsidR="000C10D2" w:rsidRPr="005E6AD9">
        <w:rPr>
          <w:rFonts w:ascii="Times New Roman" w:eastAsia="Calibri" w:hAnsi="Times New Roman" w:cs="Times New Roman"/>
          <w:kern w:val="0"/>
          <w:sz w:val="28"/>
          <w:szCs w:val="28"/>
          <w:lang w:val="en-US"/>
          <w14:ligatures w14:val="none"/>
        </w:rPr>
        <w:t>bsa</w:t>
      </w:r>
      <w:r w:rsidR="007E1FB4" w:rsidRPr="005E6AD9">
        <w:rPr>
          <w:rFonts w:ascii="Times New Roman" w:eastAsia="Calibri" w:hAnsi="Times New Roman" w:cs="Times New Roman"/>
          <w:kern w:val="0"/>
          <w:sz w:val="28"/>
          <w:szCs w:val="28"/>
          <w:lang w:val="en-US"/>
          <w14:ligatures w14:val="none"/>
        </w:rPr>
        <w:t>) and</w:t>
      </w:r>
      <w:r w:rsidR="00CC62F4" w:rsidRPr="005E6AD9">
        <w:rPr>
          <w:rFonts w:ascii="Times New Roman" w:eastAsia="Calibri" w:hAnsi="Times New Roman" w:cs="Times New Roman"/>
          <w:kern w:val="0"/>
          <w:sz w:val="28"/>
          <w:szCs w:val="28"/>
          <w:lang w:val="en-US"/>
          <w14:ligatures w14:val="none"/>
        </w:rPr>
        <w:t xml:space="preserve"> its wholly owned subsidiary,</w:t>
      </w:r>
      <w:r w:rsidR="007E1FB4" w:rsidRPr="005E6AD9">
        <w:rPr>
          <w:rFonts w:ascii="Times New Roman" w:eastAsia="Calibri" w:hAnsi="Times New Roman" w:cs="Times New Roman"/>
          <w:kern w:val="0"/>
          <w:sz w:val="28"/>
          <w:szCs w:val="28"/>
          <w:lang w:val="en-US"/>
          <w14:ligatures w14:val="none"/>
        </w:rPr>
        <w:t xml:space="preserve"> United Tower</w:t>
      </w:r>
      <w:r w:rsidR="00BF44C3" w:rsidRPr="005E6AD9">
        <w:rPr>
          <w:rFonts w:ascii="Times New Roman" w:eastAsia="Calibri" w:hAnsi="Times New Roman" w:cs="Times New Roman"/>
          <w:kern w:val="0"/>
          <w:sz w:val="28"/>
          <w:szCs w:val="28"/>
          <w:lang w:val="en-US"/>
          <w14:ligatures w14:val="none"/>
        </w:rPr>
        <w:t>s</w:t>
      </w:r>
      <w:r w:rsidR="007E1FB4" w:rsidRPr="005E6AD9">
        <w:rPr>
          <w:rFonts w:ascii="Times New Roman" w:eastAsia="Calibri" w:hAnsi="Times New Roman" w:cs="Times New Roman"/>
          <w:kern w:val="0"/>
          <w:sz w:val="28"/>
          <w:szCs w:val="28"/>
          <w:lang w:val="en-US"/>
          <w14:ligatures w14:val="none"/>
        </w:rPr>
        <w:t xml:space="preserve"> Proprietary Limited (United Towers)</w:t>
      </w:r>
      <w:r w:rsidR="00CC62F4" w:rsidRPr="005E6AD9">
        <w:rPr>
          <w:rFonts w:ascii="Times New Roman" w:eastAsia="Calibri" w:hAnsi="Times New Roman" w:cs="Times New Roman"/>
          <w:kern w:val="0"/>
          <w:sz w:val="28"/>
          <w:szCs w:val="28"/>
          <w:lang w:val="en-US"/>
          <w14:ligatures w14:val="none"/>
        </w:rPr>
        <w:t>,</w:t>
      </w:r>
      <w:r w:rsidR="007E1FB4" w:rsidRPr="005E6AD9">
        <w:rPr>
          <w:rFonts w:ascii="Times New Roman" w:eastAsia="Calibri" w:hAnsi="Times New Roman" w:cs="Times New Roman"/>
          <w:kern w:val="0"/>
          <w:sz w:val="28"/>
          <w:szCs w:val="28"/>
          <w:lang w:val="en-US"/>
          <w14:ligatures w14:val="none"/>
        </w:rPr>
        <w:t xml:space="preserve"> respectively</w:t>
      </w:r>
      <w:r w:rsidR="00B31A0A" w:rsidRPr="005E6AD9">
        <w:rPr>
          <w:rFonts w:ascii="Times New Roman" w:eastAsia="Calibri" w:hAnsi="Times New Roman" w:cs="Times New Roman"/>
          <w:kern w:val="0"/>
          <w:sz w:val="28"/>
          <w:szCs w:val="28"/>
          <w:lang w:val="en-US"/>
          <w14:ligatures w14:val="none"/>
        </w:rPr>
        <w:t>. It also set aside subsequent</w:t>
      </w:r>
      <w:r w:rsidR="0082409F" w:rsidRPr="005E6AD9">
        <w:rPr>
          <w:rFonts w:ascii="Times New Roman" w:eastAsia="Calibri" w:hAnsi="Times New Roman" w:cs="Times New Roman"/>
          <w:kern w:val="0"/>
          <w:sz w:val="28"/>
          <w:szCs w:val="28"/>
          <w:lang w:val="en-US"/>
          <w14:ligatures w14:val="none"/>
        </w:rPr>
        <w:t xml:space="preserve"> </w:t>
      </w:r>
      <w:r w:rsidR="00B31A0A" w:rsidRPr="005E6AD9">
        <w:rPr>
          <w:rFonts w:ascii="Times New Roman" w:eastAsia="Calibri" w:hAnsi="Times New Roman" w:cs="Times New Roman"/>
          <w:kern w:val="0"/>
          <w:sz w:val="28"/>
          <w:szCs w:val="28"/>
          <w:lang w:val="en-US"/>
          <w14:ligatures w14:val="none"/>
        </w:rPr>
        <w:t>notice</w:t>
      </w:r>
      <w:r w:rsidR="0082409F" w:rsidRPr="005E6AD9">
        <w:rPr>
          <w:rFonts w:ascii="Times New Roman" w:eastAsia="Calibri" w:hAnsi="Times New Roman" w:cs="Times New Roman"/>
          <w:kern w:val="0"/>
          <w:sz w:val="28"/>
          <w:szCs w:val="28"/>
          <w:lang w:val="en-US"/>
          <w14:ligatures w14:val="none"/>
        </w:rPr>
        <w:t>s</w:t>
      </w:r>
      <w:r w:rsidR="00B31A0A" w:rsidRPr="005E6AD9">
        <w:rPr>
          <w:rFonts w:ascii="Times New Roman" w:eastAsia="Calibri" w:hAnsi="Times New Roman" w:cs="Times New Roman"/>
          <w:kern w:val="0"/>
          <w:sz w:val="28"/>
          <w:szCs w:val="28"/>
          <w:lang w:val="en-US"/>
          <w14:ligatures w14:val="none"/>
        </w:rPr>
        <w:t xml:space="preserve"> of assessment</w:t>
      </w:r>
      <w:r w:rsidR="0082409F" w:rsidRPr="005E6AD9">
        <w:rPr>
          <w:rFonts w:ascii="Times New Roman" w:eastAsia="Calibri" w:hAnsi="Times New Roman" w:cs="Times New Roman"/>
          <w:kern w:val="0"/>
          <w:sz w:val="28"/>
          <w:szCs w:val="28"/>
          <w:lang w:val="en-US"/>
          <w14:ligatures w14:val="none"/>
        </w:rPr>
        <w:t>,</w:t>
      </w:r>
      <w:r w:rsidR="00B31A0A" w:rsidRPr="005E6AD9">
        <w:rPr>
          <w:rFonts w:ascii="Times New Roman" w:eastAsia="Calibri" w:hAnsi="Times New Roman" w:cs="Times New Roman"/>
          <w:kern w:val="0"/>
          <w:sz w:val="28"/>
          <w:szCs w:val="28"/>
          <w:lang w:val="en-US"/>
          <w14:ligatures w14:val="none"/>
        </w:rPr>
        <w:t xml:space="preserve"> issued in terms </w:t>
      </w:r>
      <w:r w:rsidR="0082409F" w:rsidRPr="005E6AD9">
        <w:rPr>
          <w:rFonts w:ascii="Times New Roman" w:eastAsia="Calibri" w:hAnsi="Times New Roman" w:cs="Times New Roman"/>
          <w:kern w:val="0"/>
          <w:sz w:val="28"/>
          <w:szCs w:val="28"/>
          <w:lang w:val="en-US"/>
          <w14:ligatures w14:val="none"/>
        </w:rPr>
        <w:t xml:space="preserve">of s </w:t>
      </w:r>
      <w:r w:rsidR="00B31A0A" w:rsidRPr="005E6AD9">
        <w:rPr>
          <w:rFonts w:ascii="Times New Roman" w:eastAsia="Calibri" w:hAnsi="Times New Roman" w:cs="Times New Roman"/>
          <w:kern w:val="0"/>
          <w:sz w:val="28"/>
          <w:szCs w:val="28"/>
          <w:lang w:val="en-US"/>
          <w14:ligatures w14:val="none"/>
        </w:rPr>
        <w:t>80B</w:t>
      </w:r>
      <w:r w:rsidR="0082409F" w:rsidRPr="005E6AD9">
        <w:rPr>
          <w:rFonts w:ascii="Times New Roman" w:eastAsia="Calibri" w:hAnsi="Times New Roman" w:cs="Times New Roman"/>
          <w:kern w:val="0"/>
          <w:sz w:val="28"/>
          <w:szCs w:val="28"/>
          <w:lang w:val="en-US"/>
          <w14:ligatures w14:val="none"/>
        </w:rPr>
        <w:t xml:space="preserve"> of </w:t>
      </w:r>
      <w:r w:rsidR="00B31A0A" w:rsidRPr="005E6AD9">
        <w:rPr>
          <w:rFonts w:ascii="Times New Roman" w:eastAsia="Calibri" w:hAnsi="Times New Roman" w:cs="Times New Roman"/>
          <w:kern w:val="0"/>
          <w:sz w:val="28"/>
          <w:szCs w:val="28"/>
          <w:lang w:val="en-US"/>
          <w14:ligatures w14:val="none"/>
        </w:rPr>
        <w:t xml:space="preserve">the ITA. Leave to appeal was granted by the </w:t>
      </w:r>
      <w:r w:rsidR="0082409F" w:rsidRPr="005E6AD9">
        <w:rPr>
          <w:rFonts w:ascii="Times New Roman" w:eastAsia="Calibri" w:hAnsi="Times New Roman" w:cs="Times New Roman"/>
          <w:kern w:val="0"/>
          <w:sz w:val="28"/>
          <w:szCs w:val="28"/>
          <w:lang w:val="en-US"/>
          <w14:ligatures w14:val="none"/>
        </w:rPr>
        <w:t>h</w:t>
      </w:r>
      <w:r w:rsidR="00B31A0A" w:rsidRPr="005E6AD9">
        <w:rPr>
          <w:rFonts w:ascii="Times New Roman" w:eastAsia="Calibri" w:hAnsi="Times New Roman" w:cs="Times New Roman"/>
          <w:kern w:val="0"/>
          <w:sz w:val="28"/>
          <w:szCs w:val="28"/>
          <w:lang w:val="en-US"/>
          <w14:ligatures w14:val="none"/>
        </w:rPr>
        <w:t xml:space="preserve">igh </w:t>
      </w:r>
      <w:r w:rsidR="0082409F" w:rsidRPr="005E6AD9">
        <w:rPr>
          <w:rFonts w:ascii="Times New Roman" w:eastAsia="Calibri" w:hAnsi="Times New Roman" w:cs="Times New Roman"/>
          <w:kern w:val="0"/>
          <w:sz w:val="28"/>
          <w:szCs w:val="28"/>
          <w:lang w:val="en-US"/>
          <w14:ligatures w14:val="none"/>
        </w:rPr>
        <w:t>c</w:t>
      </w:r>
      <w:r w:rsidR="00B31A0A" w:rsidRPr="005E6AD9">
        <w:rPr>
          <w:rFonts w:ascii="Times New Roman" w:eastAsia="Calibri" w:hAnsi="Times New Roman" w:cs="Times New Roman"/>
          <w:kern w:val="0"/>
          <w:sz w:val="28"/>
          <w:szCs w:val="28"/>
          <w:lang w:val="en-US"/>
          <w14:ligatures w14:val="none"/>
        </w:rPr>
        <w:t>ourt.</w:t>
      </w:r>
    </w:p>
    <w:p w14:paraId="065E8E8C" w14:textId="77777777" w:rsidR="00B31A0A" w:rsidRPr="005E6AD9" w:rsidRDefault="00B31A0A" w:rsidP="00B3321F">
      <w:pPr>
        <w:spacing w:after="0" w:line="360" w:lineRule="auto"/>
        <w:contextualSpacing/>
        <w:jc w:val="both"/>
        <w:rPr>
          <w:rFonts w:ascii="Times New Roman" w:eastAsia="Calibri" w:hAnsi="Times New Roman" w:cs="Times New Roman"/>
          <w:kern w:val="0"/>
          <w:sz w:val="28"/>
          <w:szCs w:val="28"/>
          <w:lang w:val="en-US"/>
          <w14:ligatures w14:val="none"/>
        </w:rPr>
      </w:pPr>
    </w:p>
    <w:p w14:paraId="748F3532" w14:textId="77777777" w:rsidR="00AB69C4" w:rsidRPr="005E6AD9" w:rsidRDefault="00AB69C4" w:rsidP="007E1FB4">
      <w:pPr>
        <w:spacing w:after="0" w:line="360" w:lineRule="auto"/>
        <w:contextualSpacing/>
        <w:jc w:val="both"/>
        <w:rPr>
          <w:rFonts w:ascii="Times New Roman" w:eastAsia="Calibri" w:hAnsi="Times New Roman" w:cs="Times New Roman"/>
          <w:b/>
          <w:bCs/>
          <w:kern w:val="0"/>
          <w:sz w:val="28"/>
          <w:szCs w:val="28"/>
          <w:lang w:val="en-US"/>
          <w14:ligatures w14:val="none"/>
        </w:rPr>
      </w:pPr>
      <w:r w:rsidRPr="005E6AD9">
        <w:rPr>
          <w:rFonts w:ascii="Times New Roman" w:eastAsia="Calibri" w:hAnsi="Times New Roman" w:cs="Times New Roman"/>
          <w:b/>
          <w:bCs/>
          <w:kern w:val="0"/>
          <w:sz w:val="28"/>
          <w:szCs w:val="28"/>
          <w:lang w:val="en-US"/>
          <w14:ligatures w14:val="none"/>
        </w:rPr>
        <w:lastRenderedPageBreak/>
        <w:t>The facts</w:t>
      </w:r>
    </w:p>
    <w:p w14:paraId="34F8C30A" w14:textId="7B773D83" w:rsidR="00CE2A17" w:rsidRPr="005E6AD9" w:rsidRDefault="0033268F" w:rsidP="0033268F">
      <w:pPr>
        <w:spacing w:after="0" w:line="360" w:lineRule="auto"/>
        <w:contextualSpacing/>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[2]</w:t>
      </w:r>
      <w:r w:rsidRPr="005E6AD9">
        <w:rPr>
          <w:rFonts w:ascii="Times New Roman" w:eastAsia="Calibri" w:hAnsi="Times New Roman" w:cs="Times New Roman"/>
          <w:kern w:val="0"/>
          <w:sz w:val="28"/>
          <w:szCs w:val="28"/>
          <w:lang w:val="en-US"/>
          <w14:ligatures w14:val="none"/>
        </w:rPr>
        <w:tab/>
      </w:r>
      <w:r w:rsidR="00B31A0A" w:rsidRPr="005E6AD9">
        <w:rPr>
          <w:rFonts w:ascii="Times New Roman" w:eastAsia="Calibri" w:hAnsi="Times New Roman" w:cs="Times New Roman"/>
          <w:kern w:val="0"/>
          <w:sz w:val="28"/>
          <w:szCs w:val="28"/>
          <w:lang w:val="en-US"/>
          <w14:ligatures w14:val="none"/>
        </w:rPr>
        <w:t xml:space="preserve">It is common ground that </w:t>
      </w:r>
      <w:r w:rsidR="00367905" w:rsidRPr="005E6AD9">
        <w:rPr>
          <w:rFonts w:ascii="Times New Roman" w:eastAsia="Calibri" w:hAnsi="Times New Roman" w:cs="Times New Roman"/>
          <w:kern w:val="0"/>
          <w:sz w:val="28"/>
          <w:szCs w:val="28"/>
          <w:lang w:val="en-US"/>
          <w14:ligatures w14:val="none"/>
        </w:rPr>
        <w:t>A</w:t>
      </w:r>
      <w:r w:rsidR="000C10D2" w:rsidRPr="005E6AD9">
        <w:rPr>
          <w:rFonts w:ascii="Times New Roman" w:eastAsia="Calibri" w:hAnsi="Times New Roman" w:cs="Times New Roman"/>
          <w:kern w:val="0"/>
          <w:sz w:val="28"/>
          <w:szCs w:val="28"/>
          <w:lang w:val="en-US"/>
          <w14:ligatures w14:val="none"/>
        </w:rPr>
        <w:t>bsa</w:t>
      </w:r>
      <w:r w:rsidR="00B31A0A" w:rsidRPr="005E6AD9">
        <w:rPr>
          <w:rFonts w:ascii="Times New Roman" w:eastAsia="Calibri" w:hAnsi="Times New Roman" w:cs="Times New Roman"/>
          <w:kern w:val="0"/>
          <w:sz w:val="28"/>
          <w:szCs w:val="28"/>
          <w:lang w:val="en-US"/>
          <w14:ligatures w14:val="none"/>
        </w:rPr>
        <w:t xml:space="preserve"> and United Towers </w:t>
      </w:r>
      <w:r w:rsidR="005B1023" w:rsidRPr="005E6AD9">
        <w:rPr>
          <w:rFonts w:ascii="Times New Roman" w:eastAsia="Calibri" w:hAnsi="Times New Roman" w:cs="Times New Roman"/>
          <w:kern w:val="0"/>
          <w:sz w:val="28"/>
          <w:szCs w:val="28"/>
          <w:lang w:val="en-US"/>
          <w14:ligatures w14:val="none"/>
        </w:rPr>
        <w:t xml:space="preserve">entered </w:t>
      </w:r>
      <w:r w:rsidR="00BF44C3" w:rsidRPr="005E6AD9">
        <w:rPr>
          <w:rFonts w:ascii="Times New Roman" w:eastAsia="Calibri" w:hAnsi="Times New Roman" w:cs="Times New Roman"/>
          <w:kern w:val="0"/>
          <w:sz w:val="28"/>
          <w:szCs w:val="28"/>
          <w:lang w:val="en-US"/>
          <w14:ligatures w14:val="none"/>
        </w:rPr>
        <w:t xml:space="preserve">into </w:t>
      </w:r>
      <w:r w:rsidR="00B31A0A" w:rsidRPr="005E6AD9">
        <w:rPr>
          <w:rFonts w:ascii="Times New Roman" w:eastAsia="Calibri" w:hAnsi="Times New Roman" w:cs="Times New Roman"/>
          <w:kern w:val="0"/>
          <w:sz w:val="28"/>
          <w:szCs w:val="28"/>
          <w:lang w:val="en-US"/>
          <w14:ligatures w14:val="none"/>
        </w:rPr>
        <w:t xml:space="preserve">an investment </w:t>
      </w:r>
      <w:r w:rsidR="00B62A51" w:rsidRPr="005E6AD9">
        <w:rPr>
          <w:rFonts w:ascii="Times New Roman" w:eastAsia="Calibri" w:hAnsi="Times New Roman" w:cs="Times New Roman"/>
          <w:kern w:val="0"/>
          <w:sz w:val="28"/>
          <w:szCs w:val="28"/>
          <w:lang w:val="en-US"/>
          <w14:ligatures w14:val="none"/>
        </w:rPr>
        <w:t>arrangement</w:t>
      </w:r>
      <w:r w:rsidR="00CA0E94" w:rsidRPr="005E6AD9">
        <w:rPr>
          <w:rFonts w:ascii="Times New Roman" w:eastAsia="Calibri" w:hAnsi="Times New Roman" w:cs="Times New Roman"/>
          <w:kern w:val="0"/>
          <w:sz w:val="28"/>
          <w:szCs w:val="28"/>
          <w:lang w:val="en-US"/>
          <w14:ligatures w14:val="none"/>
        </w:rPr>
        <w:t xml:space="preserve"> which involved a series of interlinked transactions</w:t>
      </w:r>
      <w:r w:rsidR="006C4EC6" w:rsidRPr="005E6AD9">
        <w:rPr>
          <w:rFonts w:ascii="Times New Roman" w:eastAsia="Calibri" w:hAnsi="Times New Roman" w:cs="Times New Roman"/>
          <w:kern w:val="0"/>
          <w:sz w:val="28"/>
          <w:szCs w:val="28"/>
          <w:lang w:val="en-US"/>
          <w14:ligatures w14:val="none"/>
        </w:rPr>
        <w:t xml:space="preserve">, the </w:t>
      </w:r>
      <w:r w:rsidR="009159BC" w:rsidRPr="005E6AD9">
        <w:rPr>
          <w:rFonts w:ascii="Times New Roman" w:eastAsia="Calibri" w:hAnsi="Times New Roman" w:cs="Times New Roman"/>
          <w:kern w:val="0"/>
          <w:sz w:val="28"/>
          <w:szCs w:val="28"/>
          <w:lang w:val="en-US"/>
          <w14:ligatures w14:val="none"/>
        </w:rPr>
        <w:t xml:space="preserve">details </w:t>
      </w:r>
      <w:r w:rsidR="006C4EC6" w:rsidRPr="005E6AD9">
        <w:rPr>
          <w:rFonts w:ascii="Times New Roman" w:eastAsia="Calibri" w:hAnsi="Times New Roman" w:cs="Times New Roman"/>
          <w:kern w:val="0"/>
          <w:sz w:val="28"/>
          <w:szCs w:val="28"/>
          <w:lang w:val="en-US"/>
          <w14:ligatures w14:val="none"/>
        </w:rPr>
        <w:t xml:space="preserve">of which </w:t>
      </w:r>
      <w:r w:rsidR="005E6AD9" w:rsidRPr="005E6AD9">
        <w:rPr>
          <w:rFonts w:ascii="Times New Roman" w:eastAsia="Calibri" w:hAnsi="Times New Roman" w:cs="Times New Roman"/>
          <w:kern w:val="0"/>
          <w:sz w:val="28"/>
          <w:szCs w:val="28"/>
          <w:lang w:val="en-US"/>
          <w14:ligatures w14:val="none"/>
        </w:rPr>
        <w:t>are as</w:t>
      </w:r>
      <w:r w:rsidR="006C4EC6" w:rsidRPr="005E6AD9">
        <w:rPr>
          <w:rFonts w:ascii="Times New Roman" w:eastAsia="Calibri" w:hAnsi="Times New Roman" w:cs="Times New Roman"/>
          <w:kern w:val="0"/>
          <w:sz w:val="28"/>
          <w:szCs w:val="28"/>
          <w:lang w:val="en-US"/>
          <w14:ligatures w14:val="none"/>
        </w:rPr>
        <w:t xml:space="preserve"> follows</w:t>
      </w:r>
      <w:r w:rsidR="009159BC" w:rsidRPr="005E6AD9">
        <w:rPr>
          <w:rFonts w:ascii="Times New Roman" w:eastAsia="Calibri" w:hAnsi="Times New Roman" w:cs="Times New Roman"/>
          <w:kern w:val="0"/>
          <w:sz w:val="28"/>
          <w:szCs w:val="28"/>
          <w:lang w:val="en-US"/>
          <w14:ligatures w14:val="none"/>
        </w:rPr>
        <w:t xml:space="preserve">. </w:t>
      </w:r>
      <w:r w:rsidR="00CA0E94" w:rsidRPr="005E6AD9">
        <w:rPr>
          <w:rFonts w:ascii="Times New Roman" w:eastAsia="Calibri" w:hAnsi="Times New Roman" w:cs="Times New Roman"/>
          <w:kern w:val="0"/>
          <w:sz w:val="28"/>
          <w:szCs w:val="28"/>
          <w:lang w:val="en-US"/>
          <w14:ligatures w14:val="none"/>
        </w:rPr>
        <w:t>A</w:t>
      </w:r>
      <w:r w:rsidR="000C10D2" w:rsidRPr="005E6AD9">
        <w:rPr>
          <w:rFonts w:ascii="Times New Roman" w:eastAsia="Calibri" w:hAnsi="Times New Roman" w:cs="Times New Roman"/>
          <w:kern w:val="0"/>
          <w:sz w:val="28"/>
          <w:szCs w:val="28"/>
          <w:lang w:val="en-US"/>
          <w14:ligatures w14:val="none"/>
        </w:rPr>
        <w:t>bsa</w:t>
      </w:r>
      <w:r w:rsidR="00CA0E94" w:rsidRPr="005E6AD9">
        <w:rPr>
          <w:rFonts w:ascii="Times New Roman" w:eastAsia="Calibri" w:hAnsi="Times New Roman" w:cs="Times New Roman"/>
          <w:kern w:val="0"/>
          <w:sz w:val="28"/>
          <w:szCs w:val="28"/>
          <w:lang w:val="en-US"/>
          <w14:ligatures w14:val="none"/>
        </w:rPr>
        <w:t xml:space="preserve"> and United Towers subscribed for preference shares in PSIC Finance 3 (Pty) Ltd (PSIC3). The</w:t>
      </w:r>
      <w:r w:rsidR="00CC62F4" w:rsidRPr="005E6AD9">
        <w:rPr>
          <w:rFonts w:ascii="Times New Roman" w:eastAsia="Calibri" w:hAnsi="Times New Roman" w:cs="Times New Roman"/>
          <w:kern w:val="0"/>
          <w:sz w:val="28"/>
          <w:szCs w:val="28"/>
          <w:lang w:val="en-US"/>
          <w14:ligatures w14:val="none"/>
        </w:rPr>
        <w:t>ir</w:t>
      </w:r>
      <w:r w:rsidR="00CA0E94" w:rsidRPr="005E6AD9">
        <w:rPr>
          <w:rFonts w:ascii="Times New Roman" w:eastAsia="Calibri" w:hAnsi="Times New Roman" w:cs="Times New Roman"/>
          <w:kern w:val="0"/>
          <w:sz w:val="28"/>
          <w:szCs w:val="28"/>
          <w:lang w:val="en-US"/>
          <w14:ligatures w14:val="none"/>
        </w:rPr>
        <w:t xml:space="preserve"> investment was secured by other entities in the ‘group’. PSIC3 used the proceeds of the share issue to subscribe for preference shares in PSIC Finance 4 (Pty) Ltd (PSIC4). In turn PSIC4 made a capital contribution to Delta 1 Finance Trust (</w:t>
      </w:r>
      <w:r w:rsidR="009159BC" w:rsidRPr="005E6AD9">
        <w:rPr>
          <w:rFonts w:ascii="Times New Roman" w:eastAsia="Calibri" w:hAnsi="Times New Roman" w:cs="Times New Roman"/>
          <w:kern w:val="0"/>
          <w:sz w:val="28"/>
          <w:szCs w:val="28"/>
          <w:lang w:val="en-US"/>
          <w14:ligatures w14:val="none"/>
        </w:rPr>
        <w:t>D1 </w:t>
      </w:r>
      <w:r w:rsidR="00CA0E94" w:rsidRPr="005E6AD9">
        <w:rPr>
          <w:rFonts w:ascii="Times New Roman" w:eastAsia="Calibri" w:hAnsi="Times New Roman" w:cs="Times New Roman"/>
          <w:kern w:val="0"/>
          <w:sz w:val="28"/>
          <w:szCs w:val="28"/>
          <w:lang w:val="en-US"/>
          <w14:ligatures w14:val="none"/>
        </w:rPr>
        <w:t xml:space="preserve">Trust). D1 Trust applied </w:t>
      </w:r>
      <w:r w:rsidR="006C4EC6" w:rsidRPr="005E6AD9">
        <w:rPr>
          <w:rFonts w:ascii="Times New Roman" w:eastAsia="Calibri" w:hAnsi="Times New Roman" w:cs="Times New Roman"/>
          <w:kern w:val="0"/>
          <w:sz w:val="28"/>
          <w:szCs w:val="28"/>
          <w:lang w:val="en-US"/>
          <w14:ligatures w14:val="none"/>
        </w:rPr>
        <w:t>the capital contribution to make interest</w:t>
      </w:r>
      <w:r w:rsidR="00CC62F4" w:rsidRPr="005E6AD9">
        <w:rPr>
          <w:rFonts w:ascii="Times New Roman" w:eastAsia="Calibri" w:hAnsi="Times New Roman" w:cs="Times New Roman"/>
          <w:kern w:val="0"/>
          <w:sz w:val="28"/>
          <w:szCs w:val="28"/>
          <w:lang w:val="en-US"/>
          <w14:ligatures w14:val="none"/>
        </w:rPr>
        <w:t>-</w:t>
      </w:r>
      <w:r w:rsidR="006C4EC6" w:rsidRPr="005E6AD9">
        <w:rPr>
          <w:rFonts w:ascii="Times New Roman" w:eastAsia="Calibri" w:hAnsi="Times New Roman" w:cs="Times New Roman"/>
          <w:kern w:val="0"/>
          <w:sz w:val="28"/>
          <w:szCs w:val="28"/>
          <w:lang w:val="en-US"/>
          <w14:ligatures w14:val="none"/>
        </w:rPr>
        <w:t>bearing loans to Ma</w:t>
      </w:r>
      <w:r w:rsidR="00CC62F4" w:rsidRPr="005E6AD9">
        <w:rPr>
          <w:rFonts w:ascii="Times New Roman" w:eastAsia="Calibri" w:hAnsi="Times New Roman" w:cs="Times New Roman"/>
          <w:kern w:val="0"/>
          <w:sz w:val="28"/>
          <w:szCs w:val="28"/>
          <w:lang w:val="en-US"/>
          <w14:ligatures w14:val="none"/>
        </w:rPr>
        <w:t>c</w:t>
      </w:r>
      <w:r w:rsidR="006C4EC6" w:rsidRPr="005E6AD9">
        <w:rPr>
          <w:rFonts w:ascii="Times New Roman" w:eastAsia="Calibri" w:hAnsi="Times New Roman" w:cs="Times New Roman"/>
          <w:kern w:val="0"/>
          <w:sz w:val="28"/>
          <w:szCs w:val="28"/>
          <w:lang w:val="en-US"/>
          <w14:ligatures w14:val="none"/>
        </w:rPr>
        <w:t>quarie Securities South Africa Ltd (Ma</w:t>
      </w:r>
      <w:r w:rsidR="00CC62F4" w:rsidRPr="005E6AD9">
        <w:rPr>
          <w:rFonts w:ascii="Times New Roman" w:eastAsia="Calibri" w:hAnsi="Times New Roman" w:cs="Times New Roman"/>
          <w:kern w:val="0"/>
          <w:sz w:val="28"/>
          <w:szCs w:val="28"/>
          <w:lang w:val="en-US"/>
          <w14:ligatures w14:val="none"/>
        </w:rPr>
        <w:t>c</w:t>
      </w:r>
      <w:r w:rsidR="006C4EC6" w:rsidRPr="005E6AD9">
        <w:rPr>
          <w:rFonts w:ascii="Times New Roman" w:eastAsia="Calibri" w:hAnsi="Times New Roman" w:cs="Times New Roman"/>
          <w:kern w:val="0"/>
          <w:sz w:val="28"/>
          <w:szCs w:val="28"/>
          <w:lang w:val="en-US"/>
          <w14:ligatures w14:val="none"/>
        </w:rPr>
        <w:t>quarie). The D1 Trust invested the interest</w:t>
      </w:r>
      <w:r w:rsidR="00CE2A17" w:rsidRPr="005E6AD9">
        <w:rPr>
          <w:rFonts w:ascii="Times New Roman" w:eastAsia="Calibri" w:hAnsi="Times New Roman" w:cs="Times New Roman"/>
          <w:kern w:val="0"/>
          <w:sz w:val="28"/>
          <w:szCs w:val="28"/>
          <w:lang w:val="en-US"/>
          <w14:ligatures w14:val="none"/>
        </w:rPr>
        <w:t xml:space="preserve"> earned</w:t>
      </w:r>
      <w:r w:rsidR="006C4EC6" w:rsidRPr="005E6AD9">
        <w:rPr>
          <w:rFonts w:ascii="Times New Roman" w:eastAsia="Calibri" w:hAnsi="Times New Roman" w:cs="Times New Roman"/>
          <w:kern w:val="0"/>
          <w:sz w:val="28"/>
          <w:szCs w:val="28"/>
          <w:lang w:val="en-US"/>
          <w14:ligatures w14:val="none"/>
        </w:rPr>
        <w:t xml:space="preserve"> on the Ma</w:t>
      </w:r>
      <w:r w:rsidR="00CC62F4" w:rsidRPr="005E6AD9">
        <w:rPr>
          <w:rFonts w:ascii="Times New Roman" w:eastAsia="Calibri" w:hAnsi="Times New Roman" w:cs="Times New Roman"/>
          <w:kern w:val="0"/>
          <w:sz w:val="28"/>
          <w:szCs w:val="28"/>
          <w:lang w:val="en-US"/>
          <w14:ligatures w14:val="none"/>
        </w:rPr>
        <w:t>c</w:t>
      </w:r>
      <w:r w:rsidR="006C4EC6" w:rsidRPr="005E6AD9">
        <w:rPr>
          <w:rFonts w:ascii="Times New Roman" w:eastAsia="Calibri" w:hAnsi="Times New Roman" w:cs="Times New Roman"/>
          <w:kern w:val="0"/>
          <w:sz w:val="28"/>
          <w:szCs w:val="28"/>
          <w:lang w:val="en-US"/>
          <w14:ligatures w14:val="none"/>
        </w:rPr>
        <w:t>quarie loans in Brazilian Government Bonds</w:t>
      </w:r>
      <w:r w:rsidR="009159BC" w:rsidRPr="005E6AD9">
        <w:rPr>
          <w:rFonts w:ascii="Times New Roman" w:eastAsia="Calibri" w:hAnsi="Times New Roman" w:cs="Times New Roman"/>
          <w:kern w:val="0"/>
          <w:sz w:val="28"/>
          <w:szCs w:val="28"/>
          <w:lang w:val="en-US"/>
          <w14:ligatures w14:val="none"/>
        </w:rPr>
        <w:t>,</w:t>
      </w:r>
      <w:r w:rsidR="006C4EC6" w:rsidRPr="005E6AD9">
        <w:rPr>
          <w:rFonts w:ascii="Times New Roman" w:eastAsia="Calibri" w:hAnsi="Times New Roman" w:cs="Times New Roman"/>
          <w:kern w:val="0"/>
          <w:sz w:val="28"/>
          <w:szCs w:val="28"/>
          <w:lang w:val="en-US"/>
          <w14:ligatures w14:val="none"/>
        </w:rPr>
        <w:t xml:space="preserve"> which in terms of the Double Taxation Agreement between South Africa and Brazil</w:t>
      </w:r>
      <w:r w:rsidR="00CC62F4" w:rsidRPr="005E6AD9">
        <w:rPr>
          <w:rFonts w:ascii="Times New Roman" w:eastAsia="Calibri" w:hAnsi="Times New Roman" w:cs="Times New Roman"/>
          <w:kern w:val="0"/>
          <w:sz w:val="28"/>
          <w:szCs w:val="28"/>
          <w:lang w:val="en-US"/>
          <w14:ligatures w14:val="none"/>
        </w:rPr>
        <w:t>,</w:t>
      </w:r>
      <w:r w:rsidR="006C4EC6" w:rsidRPr="005E6AD9">
        <w:rPr>
          <w:rFonts w:ascii="Times New Roman" w:eastAsia="Calibri" w:hAnsi="Times New Roman" w:cs="Times New Roman"/>
          <w:kern w:val="0"/>
          <w:sz w:val="28"/>
          <w:szCs w:val="28"/>
          <w:lang w:val="en-US"/>
          <w14:ligatures w14:val="none"/>
        </w:rPr>
        <w:t xml:space="preserve"> provided a tax-free income stream to the D1 Trust. D1 Trust distributed the income stream to P</w:t>
      </w:r>
      <w:r w:rsidR="00B62A51" w:rsidRPr="005E6AD9">
        <w:rPr>
          <w:rFonts w:ascii="Times New Roman" w:eastAsia="Calibri" w:hAnsi="Times New Roman" w:cs="Times New Roman"/>
          <w:kern w:val="0"/>
          <w:sz w:val="28"/>
          <w:szCs w:val="28"/>
          <w:lang w:val="en-US"/>
          <w14:ligatures w14:val="none"/>
        </w:rPr>
        <w:t>SIC</w:t>
      </w:r>
      <w:r w:rsidR="006C4EC6" w:rsidRPr="005E6AD9">
        <w:rPr>
          <w:rFonts w:ascii="Times New Roman" w:eastAsia="Calibri" w:hAnsi="Times New Roman" w:cs="Times New Roman"/>
          <w:kern w:val="0"/>
          <w:sz w:val="28"/>
          <w:szCs w:val="28"/>
          <w:lang w:val="en-US"/>
          <w14:ligatures w14:val="none"/>
        </w:rPr>
        <w:t>4. The latter paid this to P</w:t>
      </w:r>
      <w:r w:rsidR="00B62A51" w:rsidRPr="005E6AD9">
        <w:rPr>
          <w:rFonts w:ascii="Times New Roman" w:eastAsia="Calibri" w:hAnsi="Times New Roman" w:cs="Times New Roman"/>
          <w:kern w:val="0"/>
          <w:sz w:val="28"/>
          <w:szCs w:val="28"/>
          <w:lang w:val="en-US"/>
          <w14:ligatures w14:val="none"/>
        </w:rPr>
        <w:t>SIC</w:t>
      </w:r>
      <w:r w:rsidR="006C4EC6" w:rsidRPr="005E6AD9">
        <w:rPr>
          <w:rFonts w:ascii="Times New Roman" w:eastAsia="Calibri" w:hAnsi="Times New Roman" w:cs="Times New Roman"/>
          <w:kern w:val="0"/>
          <w:sz w:val="28"/>
          <w:szCs w:val="28"/>
          <w:lang w:val="en-US"/>
          <w14:ligatures w14:val="none"/>
        </w:rPr>
        <w:t>3 as dividends, and P</w:t>
      </w:r>
      <w:r w:rsidR="00B62A51" w:rsidRPr="005E6AD9">
        <w:rPr>
          <w:rFonts w:ascii="Times New Roman" w:eastAsia="Calibri" w:hAnsi="Times New Roman" w:cs="Times New Roman"/>
          <w:kern w:val="0"/>
          <w:sz w:val="28"/>
          <w:szCs w:val="28"/>
          <w:lang w:val="en-US"/>
          <w14:ligatures w14:val="none"/>
        </w:rPr>
        <w:t>SIC</w:t>
      </w:r>
      <w:r w:rsidR="006C4EC6" w:rsidRPr="005E6AD9">
        <w:rPr>
          <w:rFonts w:ascii="Times New Roman" w:eastAsia="Calibri" w:hAnsi="Times New Roman" w:cs="Times New Roman"/>
          <w:kern w:val="0"/>
          <w:sz w:val="28"/>
          <w:szCs w:val="28"/>
          <w:lang w:val="en-US"/>
          <w14:ligatures w14:val="none"/>
        </w:rPr>
        <w:t>3 in turn paid dividends to A</w:t>
      </w:r>
      <w:r w:rsidR="00B62A51" w:rsidRPr="005E6AD9">
        <w:rPr>
          <w:rFonts w:ascii="Times New Roman" w:eastAsia="Calibri" w:hAnsi="Times New Roman" w:cs="Times New Roman"/>
          <w:kern w:val="0"/>
          <w:sz w:val="28"/>
          <w:szCs w:val="28"/>
          <w:lang w:val="en-US"/>
          <w14:ligatures w14:val="none"/>
        </w:rPr>
        <w:t>bsa</w:t>
      </w:r>
      <w:r w:rsidR="006C4EC6" w:rsidRPr="005E6AD9">
        <w:rPr>
          <w:rFonts w:ascii="Times New Roman" w:eastAsia="Calibri" w:hAnsi="Times New Roman" w:cs="Times New Roman"/>
          <w:kern w:val="0"/>
          <w:sz w:val="28"/>
          <w:szCs w:val="28"/>
          <w:lang w:val="en-US"/>
          <w14:ligatures w14:val="none"/>
        </w:rPr>
        <w:t xml:space="preserve"> and United Towers. </w:t>
      </w:r>
    </w:p>
    <w:p w14:paraId="465F247C" w14:textId="77777777" w:rsidR="00CC62F4" w:rsidRPr="005E6AD9" w:rsidRDefault="00CC62F4" w:rsidP="00CC62F4">
      <w:pPr>
        <w:spacing w:after="0" w:line="360" w:lineRule="auto"/>
        <w:contextualSpacing/>
        <w:jc w:val="both"/>
        <w:rPr>
          <w:rFonts w:ascii="Times New Roman" w:eastAsia="Calibri" w:hAnsi="Times New Roman" w:cs="Times New Roman"/>
          <w:kern w:val="0"/>
          <w:sz w:val="28"/>
          <w:szCs w:val="28"/>
          <w:lang w:val="en-US"/>
          <w14:ligatures w14:val="none"/>
        </w:rPr>
      </w:pPr>
    </w:p>
    <w:p w14:paraId="4B077852" w14:textId="33E536E2" w:rsidR="00B31A0A" w:rsidRPr="005E6AD9" w:rsidRDefault="0033268F" w:rsidP="0033268F">
      <w:pPr>
        <w:spacing w:after="0" w:line="360" w:lineRule="auto"/>
        <w:contextualSpacing/>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[3]</w:t>
      </w:r>
      <w:r w:rsidRPr="005E6AD9">
        <w:rPr>
          <w:rFonts w:ascii="Times New Roman" w:eastAsia="Calibri" w:hAnsi="Times New Roman" w:cs="Times New Roman"/>
          <w:kern w:val="0"/>
          <w:sz w:val="28"/>
          <w:szCs w:val="28"/>
          <w:lang w:val="en-US"/>
          <w14:ligatures w14:val="none"/>
        </w:rPr>
        <w:tab/>
      </w:r>
      <w:r w:rsidR="00B31A0A" w:rsidRPr="005E6AD9">
        <w:rPr>
          <w:rFonts w:ascii="Times New Roman" w:eastAsia="Calibri" w:hAnsi="Times New Roman" w:cs="Times New Roman"/>
          <w:kern w:val="0"/>
          <w:sz w:val="28"/>
          <w:szCs w:val="28"/>
          <w:lang w:val="en-US"/>
          <w14:ligatures w14:val="none"/>
        </w:rPr>
        <w:t xml:space="preserve">SARS initiated an investigation of the Macquarie Group investment scheme during 2016. Pursuant to this investigation, it sought and obtained information from Absa and United Towers. In May 2018, SARS issued notices to Absa and United Towers in terms of </w:t>
      </w:r>
      <w:r w:rsidR="00CE2A17" w:rsidRPr="005E6AD9">
        <w:rPr>
          <w:rFonts w:ascii="Times New Roman" w:eastAsia="Calibri" w:hAnsi="Times New Roman" w:cs="Times New Roman"/>
          <w:kern w:val="0"/>
          <w:sz w:val="28"/>
          <w:szCs w:val="28"/>
          <w:lang w:val="en-US"/>
          <w14:ligatures w14:val="none"/>
        </w:rPr>
        <w:t>s</w:t>
      </w:r>
      <w:r w:rsidR="00B31A0A" w:rsidRPr="005E6AD9">
        <w:rPr>
          <w:rFonts w:ascii="Times New Roman" w:eastAsia="Calibri" w:hAnsi="Times New Roman" w:cs="Times New Roman"/>
          <w:kern w:val="0"/>
          <w:sz w:val="28"/>
          <w:szCs w:val="28"/>
          <w:lang w:val="en-US"/>
          <w14:ligatures w14:val="none"/>
        </w:rPr>
        <w:t xml:space="preserve"> 42 of the Tax Administration Act</w:t>
      </w:r>
      <w:r w:rsidR="004F25D5" w:rsidRPr="005E6AD9">
        <w:rPr>
          <w:rFonts w:ascii="Times New Roman" w:eastAsia="Calibri" w:hAnsi="Times New Roman" w:cs="Times New Roman"/>
          <w:kern w:val="0"/>
          <w:sz w:val="28"/>
          <w:szCs w:val="28"/>
          <w:lang w:val="en-US"/>
          <w14:ligatures w14:val="none"/>
        </w:rPr>
        <w:t xml:space="preserve"> 28 of 2011 </w:t>
      </w:r>
      <w:r w:rsidR="00CE2A17" w:rsidRPr="005E6AD9">
        <w:rPr>
          <w:rFonts w:ascii="Times New Roman" w:eastAsia="Calibri" w:hAnsi="Times New Roman" w:cs="Times New Roman"/>
          <w:kern w:val="0"/>
          <w:sz w:val="28"/>
          <w:szCs w:val="28"/>
          <w:lang w:val="en-US"/>
          <w14:ligatures w14:val="none"/>
        </w:rPr>
        <w:t>(the TAA), s</w:t>
      </w:r>
      <w:r w:rsidR="00B31A0A" w:rsidRPr="005E6AD9">
        <w:rPr>
          <w:rFonts w:ascii="Times New Roman" w:eastAsia="Calibri" w:hAnsi="Times New Roman" w:cs="Times New Roman"/>
          <w:kern w:val="0"/>
          <w:sz w:val="28"/>
          <w:szCs w:val="28"/>
          <w:lang w:val="en-US"/>
          <w14:ligatures w14:val="none"/>
        </w:rPr>
        <w:t>ignifying an audit of their tax affairs for the 2015, 2016 and 2017 years of assessment. These notices stated that the audit would relate to the tax treatment of the dividends received by Absa and United Towers from PSIC</w:t>
      </w:r>
      <w:r w:rsidR="00CE2A17" w:rsidRPr="005E6AD9">
        <w:rPr>
          <w:rFonts w:ascii="Times New Roman" w:eastAsia="Calibri" w:hAnsi="Times New Roman" w:cs="Times New Roman"/>
          <w:kern w:val="0"/>
          <w:sz w:val="28"/>
          <w:szCs w:val="28"/>
          <w:lang w:val="en-US"/>
          <w14:ligatures w14:val="none"/>
        </w:rPr>
        <w:t>3</w:t>
      </w:r>
      <w:r w:rsidR="00B31A0A" w:rsidRPr="005E6AD9">
        <w:rPr>
          <w:rFonts w:ascii="Times New Roman" w:eastAsia="Calibri" w:hAnsi="Times New Roman" w:cs="Times New Roman"/>
          <w:kern w:val="0"/>
          <w:sz w:val="28"/>
          <w:szCs w:val="28"/>
          <w:lang w:val="en-US"/>
          <w14:ligatures w14:val="none"/>
        </w:rPr>
        <w:t xml:space="preserve">. </w:t>
      </w:r>
      <w:r w:rsidR="00CE2A17" w:rsidRPr="005E6AD9">
        <w:rPr>
          <w:rFonts w:ascii="Times New Roman" w:eastAsia="Calibri" w:hAnsi="Times New Roman" w:cs="Times New Roman"/>
          <w:kern w:val="0"/>
          <w:sz w:val="28"/>
          <w:szCs w:val="28"/>
          <w:lang w:val="en-US"/>
          <w14:ligatures w14:val="none"/>
        </w:rPr>
        <w:t>The</w:t>
      </w:r>
      <w:r w:rsidR="00B31A0A" w:rsidRPr="005E6AD9">
        <w:rPr>
          <w:rFonts w:ascii="Times New Roman" w:eastAsia="Calibri" w:hAnsi="Times New Roman" w:cs="Times New Roman"/>
          <w:kern w:val="0"/>
          <w:sz w:val="28"/>
          <w:szCs w:val="28"/>
          <w:lang w:val="en-US"/>
          <w14:ligatures w14:val="none"/>
        </w:rPr>
        <w:t xml:space="preserve"> audit notices included a request for </w:t>
      </w:r>
      <w:r w:rsidR="00CE2A17" w:rsidRPr="005E6AD9">
        <w:rPr>
          <w:rFonts w:ascii="Times New Roman" w:eastAsia="Calibri" w:hAnsi="Times New Roman" w:cs="Times New Roman"/>
          <w:kern w:val="0"/>
          <w:sz w:val="28"/>
          <w:szCs w:val="28"/>
          <w:lang w:val="en-US"/>
          <w14:ligatures w14:val="none"/>
        </w:rPr>
        <w:t xml:space="preserve">further </w:t>
      </w:r>
      <w:r w:rsidR="00B31A0A" w:rsidRPr="005E6AD9">
        <w:rPr>
          <w:rFonts w:ascii="Times New Roman" w:eastAsia="Calibri" w:hAnsi="Times New Roman" w:cs="Times New Roman"/>
          <w:kern w:val="0"/>
          <w:sz w:val="28"/>
          <w:szCs w:val="28"/>
          <w:lang w:val="en-US"/>
          <w14:ligatures w14:val="none"/>
        </w:rPr>
        <w:t xml:space="preserve">information in terms of </w:t>
      </w:r>
      <w:r w:rsidR="00CE2A17" w:rsidRPr="005E6AD9">
        <w:rPr>
          <w:rFonts w:ascii="Times New Roman" w:eastAsia="Calibri" w:hAnsi="Times New Roman" w:cs="Times New Roman"/>
          <w:kern w:val="0"/>
          <w:sz w:val="28"/>
          <w:szCs w:val="28"/>
          <w:lang w:val="en-US"/>
          <w14:ligatures w14:val="none"/>
        </w:rPr>
        <w:t>s</w:t>
      </w:r>
      <w:r w:rsidR="00B31A0A" w:rsidRPr="005E6AD9">
        <w:rPr>
          <w:rFonts w:ascii="Times New Roman" w:eastAsia="Calibri" w:hAnsi="Times New Roman" w:cs="Times New Roman"/>
          <w:kern w:val="0"/>
          <w:sz w:val="28"/>
          <w:szCs w:val="28"/>
          <w:lang w:val="en-US"/>
          <w14:ligatures w14:val="none"/>
        </w:rPr>
        <w:t xml:space="preserve"> 46 of the </w:t>
      </w:r>
      <w:r w:rsidR="00CE2A17" w:rsidRPr="005E6AD9">
        <w:rPr>
          <w:rFonts w:ascii="Times New Roman" w:eastAsia="Calibri" w:hAnsi="Times New Roman" w:cs="Times New Roman"/>
          <w:kern w:val="0"/>
          <w:sz w:val="28"/>
          <w:szCs w:val="28"/>
          <w:lang w:val="en-US"/>
          <w14:ligatures w14:val="none"/>
        </w:rPr>
        <w:t>TAA.</w:t>
      </w:r>
      <w:r w:rsidR="00B31A0A" w:rsidRPr="005E6AD9">
        <w:rPr>
          <w:rFonts w:ascii="Times New Roman" w:eastAsia="Calibri" w:hAnsi="Times New Roman" w:cs="Times New Roman"/>
          <w:kern w:val="0"/>
          <w:sz w:val="28"/>
          <w:szCs w:val="28"/>
          <w:lang w:val="en-US"/>
          <w14:ligatures w14:val="none"/>
        </w:rPr>
        <w:t xml:space="preserve"> Absa and United Towers responded to the</w:t>
      </w:r>
      <w:r w:rsidR="00CE2A17" w:rsidRPr="005E6AD9">
        <w:rPr>
          <w:rFonts w:ascii="Times New Roman" w:eastAsia="Calibri" w:hAnsi="Times New Roman" w:cs="Times New Roman"/>
          <w:kern w:val="0"/>
          <w:sz w:val="28"/>
          <w:szCs w:val="28"/>
          <w:lang w:val="en-US"/>
          <w14:ligatures w14:val="none"/>
        </w:rPr>
        <w:t>se</w:t>
      </w:r>
      <w:r w:rsidR="00B31A0A" w:rsidRPr="005E6AD9">
        <w:rPr>
          <w:rFonts w:ascii="Times New Roman" w:eastAsia="Calibri" w:hAnsi="Times New Roman" w:cs="Times New Roman"/>
          <w:kern w:val="0"/>
          <w:sz w:val="28"/>
          <w:szCs w:val="28"/>
          <w:lang w:val="en-US"/>
          <w14:ligatures w14:val="none"/>
        </w:rPr>
        <w:t xml:space="preserve"> notices on 18 June 2018.</w:t>
      </w:r>
    </w:p>
    <w:p w14:paraId="789FC25E" w14:textId="77777777" w:rsidR="00B31A0A" w:rsidRPr="005E6AD9" w:rsidRDefault="00B31A0A" w:rsidP="007E1FB4">
      <w:pPr>
        <w:spacing w:after="0" w:line="360" w:lineRule="auto"/>
        <w:contextualSpacing/>
        <w:jc w:val="both"/>
        <w:rPr>
          <w:rFonts w:ascii="Times New Roman" w:eastAsia="Calibri" w:hAnsi="Times New Roman" w:cs="Times New Roman"/>
          <w:kern w:val="0"/>
          <w:sz w:val="28"/>
          <w:szCs w:val="28"/>
          <w:lang w:val="en-US"/>
          <w14:ligatures w14:val="none"/>
        </w:rPr>
      </w:pPr>
    </w:p>
    <w:p w14:paraId="23F09586" w14:textId="18814FF5" w:rsidR="00AA7ACA" w:rsidRPr="005E6AD9" w:rsidRDefault="0033268F" w:rsidP="0033268F">
      <w:pPr>
        <w:spacing w:after="0" w:line="360" w:lineRule="auto"/>
        <w:contextualSpacing/>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[4]</w:t>
      </w:r>
      <w:r w:rsidRPr="005E6AD9">
        <w:rPr>
          <w:rFonts w:ascii="Times New Roman" w:eastAsia="Calibri" w:hAnsi="Times New Roman" w:cs="Times New Roman"/>
          <w:kern w:val="0"/>
          <w:sz w:val="28"/>
          <w:szCs w:val="28"/>
          <w:lang w:val="en-US"/>
          <w14:ligatures w14:val="none"/>
        </w:rPr>
        <w:tab/>
      </w:r>
      <w:r w:rsidR="00B31A0A" w:rsidRPr="005E6AD9">
        <w:rPr>
          <w:rFonts w:ascii="Times New Roman" w:eastAsia="Calibri" w:hAnsi="Times New Roman" w:cs="Times New Roman"/>
          <w:kern w:val="0"/>
          <w:sz w:val="28"/>
          <w:szCs w:val="28"/>
          <w:lang w:val="en-US"/>
          <w14:ligatures w14:val="none"/>
        </w:rPr>
        <w:t xml:space="preserve">On 30 November 2018, SARS issued notices to Absa and United Towers in terms of s 80J </w:t>
      </w:r>
      <w:r w:rsidR="00CE2A17" w:rsidRPr="005E6AD9">
        <w:rPr>
          <w:rFonts w:ascii="Times New Roman" w:eastAsia="Calibri" w:hAnsi="Times New Roman" w:cs="Times New Roman"/>
          <w:kern w:val="0"/>
          <w:sz w:val="28"/>
          <w:szCs w:val="28"/>
          <w:lang w:val="en-US"/>
          <w14:ligatures w14:val="none"/>
        </w:rPr>
        <w:t>o</w:t>
      </w:r>
      <w:r w:rsidR="00B31A0A" w:rsidRPr="005E6AD9">
        <w:rPr>
          <w:rFonts w:ascii="Times New Roman" w:eastAsia="Calibri" w:hAnsi="Times New Roman" w:cs="Times New Roman"/>
          <w:kern w:val="0"/>
          <w:sz w:val="28"/>
          <w:szCs w:val="28"/>
          <w:lang w:val="en-US"/>
          <w14:ligatures w14:val="none"/>
        </w:rPr>
        <w:t xml:space="preserve">f the ITA. The notices were, essentially, in identical terms. </w:t>
      </w:r>
      <w:r w:rsidR="00B31A0A" w:rsidRPr="005E6AD9">
        <w:rPr>
          <w:rFonts w:ascii="Times New Roman" w:eastAsia="Calibri" w:hAnsi="Times New Roman" w:cs="Times New Roman"/>
          <w:kern w:val="0"/>
          <w:sz w:val="28"/>
          <w:szCs w:val="28"/>
          <w:lang w:val="en-US"/>
          <w14:ligatures w14:val="none"/>
        </w:rPr>
        <w:lastRenderedPageBreak/>
        <w:t xml:space="preserve">They indicated that SARS had completed its preliminary audit of the arrangement </w:t>
      </w:r>
      <w:r w:rsidR="00CE2A17" w:rsidRPr="005E6AD9">
        <w:rPr>
          <w:rFonts w:ascii="Times New Roman" w:eastAsia="Calibri" w:hAnsi="Times New Roman" w:cs="Times New Roman"/>
          <w:kern w:val="0"/>
          <w:sz w:val="28"/>
          <w:szCs w:val="28"/>
          <w:lang w:val="en-US"/>
          <w14:ligatures w14:val="none"/>
        </w:rPr>
        <w:t>entered</w:t>
      </w:r>
      <w:r w:rsidR="00B31A0A" w:rsidRPr="005E6AD9">
        <w:rPr>
          <w:rFonts w:ascii="Times New Roman" w:eastAsia="Calibri" w:hAnsi="Times New Roman" w:cs="Times New Roman"/>
          <w:kern w:val="0"/>
          <w:sz w:val="28"/>
          <w:szCs w:val="28"/>
          <w:lang w:val="en-US"/>
          <w14:ligatures w14:val="none"/>
        </w:rPr>
        <w:t xml:space="preserve"> with entities in the Macquarie </w:t>
      </w:r>
      <w:r w:rsidR="00CC62F4" w:rsidRPr="005E6AD9">
        <w:rPr>
          <w:rFonts w:ascii="Times New Roman" w:eastAsia="Calibri" w:hAnsi="Times New Roman" w:cs="Times New Roman"/>
          <w:kern w:val="0"/>
          <w:sz w:val="28"/>
          <w:szCs w:val="28"/>
          <w:lang w:val="en-US"/>
          <w14:ligatures w14:val="none"/>
        </w:rPr>
        <w:t>‘</w:t>
      </w:r>
      <w:r w:rsidR="00CE2A17" w:rsidRPr="005E6AD9">
        <w:rPr>
          <w:rFonts w:ascii="Times New Roman" w:eastAsia="Calibri" w:hAnsi="Times New Roman" w:cs="Times New Roman"/>
          <w:kern w:val="0"/>
          <w:sz w:val="28"/>
          <w:szCs w:val="28"/>
          <w:lang w:val="en-US"/>
          <w14:ligatures w14:val="none"/>
        </w:rPr>
        <w:t>g</w:t>
      </w:r>
      <w:r w:rsidR="00B31A0A" w:rsidRPr="005E6AD9">
        <w:rPr>
          <w:rFonts w:ascii="Times New Roman" w:eastAsia="Calibri" w:hAnsi="Times New Roman" w:cs="Times New Roman"/>
          <w:kern w:val="0"/>
          <w:sz w:val="28"/>
          <w:szCs w:val="28"/>
          <w:lang w:val="en-US"/>
          <w14:ligatures w14:val="none"/>
        </w:rPr>
        <w:t>roup</w:t>
      </w:r>
      <w:r w:rsidR="00CC62F4" w:rsidRPr="005E6AD9">
        <w:rPr>
          <w:rFonts w:ascii="Times New Roman" w:eastAsia="Calibri" w:hAnsi="Times New Roman" w:cs="Times New Roman"/>
          <w:kern w:val="0"/>
          <w:sz w:val="28"/>
          <w:szCs w:val="28"/>
          <w:lang w:val="en-US"/>
          <w14:ligatures w14:val="none"/>
        </w:rPr>
        <w:t>’</w:t>
      </w:r>
      <w:r w:rsidR="00B31A0A" w:rsidRPr="005E6AD9">
        <w:rPr>
          <w:rFonts w:ascii="Times New Roman" w:eastAsia="Calibri" w:hAnsi="Times New Roman" w:cs="Times New Roman"/>
          <w:kern w:val="0"/>
          <w:sz w:val="28"/>
          <w:szCs w:val="28"/>
          <w:lang w:val="en-US"/>
          <w14:ligatures w14:val="none"/>
        </w:rPr>
        <w:t xml:space="preserve">. The notices </w:t>
      </w:r>
      <w:r w:rsidR="00CE2A17" w:rsidRPr="005E6AD9">
        <w:rPr>
          <w:rFonts w:ascii="Times New Roman" w:eastAsia="Calibri" w:hAnsi="Times New Roman" w:cs="Times New Roman"/>
          <w:kern w:val="0"/>
          <w:sz w:val="28"/>
          <w:szCs w:val="28"/>
          <w:lang w:val="en-US"/>
          <w14:ligatures w14:val="none"/>
        </w:rPr>
        <w:t xml:space="preserve">set out </w:t>
      </w:r>
      <w:r w:rsidR="00CC62F4" w:rsidRPr="005E6AD9">
        <w:rPr>
          <w:rFonts w:ascii="Times New Roman" w:eastAsia="Calibri" w:hAnsi="Times New Roman" w:cs="Times New Roman"/>
          <w:kern w:val="0"/>
          <w:sz w:val="28"/>
          <w:szCs w:val="28"/>
          <w:lang w:val="en-US"/>
          <w14:ligatures w14:val="none"/>
        </w:rPr>
        <w:t xml:space="preserve">an intention to raise </w:t>
      </w:r>
      <w:r w:rsidR="00B31A0A" w:rsidRPr="005E6AD9">
        <w:rPr>
          <w:rFonts w:ascii="Times New Roman" w:eastAsia="Calibri" w:hAnsi="Times New Roman" w:cs="Times New Roman"/>
          <w:kern w:val="0"/>
          <w:sz w:val="28"/>
          <w:szCs w:val="28"/>
          <w:lang w:val="en-US"/>
          <w14:ligatures w14:val="none"/>
        </w:rPr>
        <w:t>assessment</w:t>
      </w:r>
      <w:r w:rsidR="00CC62F4" w:rsidRPr="005E6AD9">
        <w:rPr>
          <w:rFonts w:ascii="Times New Roman" w:eastAsia="Calibri" w:hAnsi="Times New Roman" w:cs="Times New Roman"/>
          <w:kern w:val="0"/>
          <w:sz w:val="28"/>
          <w:szCs w:val="28"/>
          <w:lang w:val="en-US"/>
          <w14:ligatures w14:val="none"/>
        </w:rPr>
        <w:t>s</w:t>
      </w:r>
      <w:r w:rsidR="00B31A0A" w:rsidRPr="005E6AD9">
        <w:rPr>
          <w:rFonts w:ascii="Times New Roman" w:eastAsia="Calibri" w:hAnsi="Times New Roman" w:cs="Times New Roman"/>
          <w:kern w:val="0"/>
          <w:sz w:val="28"/>
          <w:szCs w:val="28"/>
          <w:lang w:val="en-US"/>
          <w14:ligatures w14:val="none"/>
        </w:rPr>
        <w:t xml:space="preserve"> in terms of the</w:t>
      </w:r>
      <w:r w:rsidR="002D1ED1" w:rsidRPr="005E6AD9">
        <w:rPr>
          <w:rFonts w:ascii="Times New Roman" w:eastAsia="Calibri" w:hAnsi="Times New Roman" w:cs="Times New Roman"/>
          <w:kern w:val="0"/>
          <w:sz w:val="28"/>
          <w:szCs w:val="28"/>
          <w:lang w:val="en-US"/>
          <w14:ligatures w14:val="none"/>
        </w:rPr>
        <w:t xml:space="preserve"> </w:t>
      </w:r>
      <w:r w:rsidR="004838B1" w:rsidRPr="002C2BDF">
        <w:rPr>
          <w:rFonts w:ascii="Times New Roman" w:hAnsi="Times New Roman"/>
          <w:kern w:val="0"/>
          <w:sz w:val="28"/>
          <w:lang w:val="en-US"/>
          <w14:ligatures w14:val="none"/>
        </w:rPr>
        <w:t>G</w:t>
      </w:r>
      <w:r w:rsidR="002D1ED1" w:rsidRPr="002C2BDF">
        <w:rPr>
          <w:rFonts w:ascii="Times New Roman" w:hAnsi="Times New Roman"/>
          <w:kern w:val="0"/>
          <w:sz w:val="28"/>
          <w:lang w:val="en-US"/>
          <w14:ligatures w14:val="none"/>
        </w:rPr>
        <w:t xml:space="preserve">eneral </w:t>
      </w:r>
      <w:r w:rsidR="004838B1" w:rsidRPr="002C2BDF">
        <w:rPr>
          <w:rFonts w:ascii="Times New Roman" w:hAnsi="Times New Roman"/>
          <w:kern w:val="0"/>
          <w:sz w:val="28"/>
          <w:lang w:val="en-US"/>
          <w14:ligatures w14:val="none"/>
        </w:rPr>
        <w:t>A</w:t>
      </w:r>
      <w:r w:rsidR="002D1ED1" w:rsidRPr="002C2BDF">
        <w:rPr>
          <w:rFonts w:ascii="Times New Roman" w:hAnsi="Times New Roman"/>
          <w:kern w:val="0"/>
          <w:sz w:val="28"/>
          <w:lang w:val="en-US"/>
          <w14:ligatures w14:val="none"/>
        </w:rPr>
        <w:t>nti-</w:t>
      </w:r>
      <w:r w:rsidR="004838B1" w:rsidRPr="002C2BDF">
        <w:rPr>
          <w:rFonts w:ascii="Times New Roman" w:hAnsi="Times New Roman"/>
          <w:kern w:val="0"/>
          <w:sz w:val="28"/>
          <w:lang w:val="en-US"/>
          <w14:ligatures w14:val="none"/>
        </w:rPr>
        <w:t>A</w:t>
      </w:r>
      <w:r w:rsidR="002D1ED1" w:rsidRPr="002C2BDF">
        <w:rPr>
          <w:rFonts w:ascii="Times New Roman" w:hAnsi="Times New Roman"/>
          <w:kern w:val="0"/>
          <w:sz w:val="28"/>
          <w:lang w:val="en-US"/>
          <w14:ligatures w14:val="none"/>
        </w:rPr>
        <w:t xml:space="preserve">voidance </w:t>
      </w:r>
      <w:r w:rsidR="004838B1" w:rsidRPr="002C2BDF">
        <w:rPr>
          <w:rFonts w:ascii="Times New Roman" w:hAnsi="Times New Roman"/>
          <w:kern w:val="0"/>
          <w:sz w:val="28"/>
          <w:lang w:val="en-US"/>
          <w14:ligatures w14:val="none"/>
        </w:rPr>
        <w:t>R</w:t>
      </w:r>
      <w:r w:rsidR="002D1ED1" w:rsidRPr="002C2BDF">
        <w:rPr>
          <w:rFonts w:ascii="Times New Roman" w:hAnsi="Times New Roman"/>
          <w:kern w:val="0"/>
          <w:sz w:val="28"/>
          <w:lang w:val="en-US"/>
          <w14:ligatures w14:val="none"/>
        </w:rPr>
        <w:t>ule</w:t>
      </w:r>
      <w:r w:rsidR="00B31A0A" w:rsidRPr="002C2BDF">
        <w:rPr>
          <w:rFonts w:ascii="Times New Roman" w:hAnsi="Times New Roman"/>
          <w:kern w:val="0"/>
          <w:sz w:val="28"/>
          <w:lang w:val="en-US"/>
          <w14:ligatures w14:val="none"/>
        </w:rPr>
        <w:t xml:space="preserve"> </w:t>
      </w:r>
      <w:r w:rsidR="002D1ED1" w:rsidRPr="002C2BDF">
        <w:rPr>
          <w:rFonts w:ascii="Times New Roman" w:hAnsi="Times New Roman"/>
          <w:kern w:val="0"/>
          <w:sz w:val="28"/>
          <w:lang w:val="en-US"/>
          <w14:ligatures w14:val="none"/>
        </w:rPr>
        <w:t>(</w:t>
      </w:r>
      <w:r w:rsidR="00CE2A17" w:rsidRPr="002C2BDF">
        <w:rPr>
          <w:rFonts w:ascii="Times New Roman" w:hAnsi="Times New Roman"/>
          <w:kern w:val="0"/>
          <w:sz w:val="28"/>
          <w:lang w:val="en-US"/>
          <w14:ligatures w14:val="none"/>
        </w:rPr>
        <w:t>GAAR</w:t>
      </w:r>
      <w:r w:rsidR="002D1ED1" w:rsidRPr="002C2BDF">
        <w:rPr>
          <w:rFonts w:ascii="Times New Roman" w:hAnsi="Times New Roman"/>
          <w:kern w:val="0"/>
          <w:sz w:val="28"/>
          <w:lang w:val="en-US"/>
          <w14:ligatures w14:val="none"/>
        </w:rPr>
        <w:t>)</w:t>
      </w:r>
      <w:r w:rsidR="00CE2A17" w:rsidRPr="005E6AD9">
        <w:rPr>
          <w:rFonts w:ascii="Times New Roman" w:eastAsia="Calibri" w:hAnsi="Times New Roman" w:cs="Times New Roman"/>
          <w:kern w:val="0"/>
          <w:sz w:val="28"/>
          <w:szCs w:val="28"/>
          <w:lang w:val="en-US"/>
          <w14:ligatures w14:val="none"/>
        </w:rPr>
        <w:t xml:space="preserve"> </w:t>
      </w:r>
      <w:r w:rsidR="00B31A0A" w:rsidRPr="005E6AD9">
        <w:rPr>
          <w:rFonts w:ascii="Times New Roman" w:eastAsia="Calibri" w:hAnsi="Times New Roman" w:cs="Times New Roman"/>
          <w:kern w:val="0"/>
          <w:sz w:val="28"/>
          <w:szCs w:val="28"/>
          <w:lang w:val="en-US"/>
          <w14:ligatures w14:val="none"/>
        </w:rPr>
        <w:t>provisions</w:t>
      </w:r>
      <w:r w:rsidR="00CE2A17" w:rsidRPr="005E6AD9">
        <w:rPr>
          <w:rFonts w:ascii="Times New Roman" w:eastAsia="Calibri" w:hAnsi="Times New Roman" w:cs="Times New Roman"/>
          <w:kern w:val="0"/>
          <w:sz w:val="28"/>
          <w:szCs w:val="28"/>
          <w:lang w:val="en-US"/>
          <w14:ligatures w14:val="none"/>
        </w:rPr>
        <w:t xml:space="preserve"> of the ITA</w:t>
      </w:r>
      <w:r w:rsidR="00B31A0A" w:rsidRPr="005E6AD9">
        <w:rPr>
          <w:rFonts w:ascii="Times New Roman" w:eastAsia="Calibri" w:hAnsi="Times New Roman" w:cs="Times New Roman"/>
          <w:kern w:val="0"/>
          <w:sz w:val="28"/>
          <w:szCs w:val="28"/>
          <w:lang w:val="en-US"/>
          <w14:ligatures w14:val="none"/>
        </w:rPr>
        <w:t>.</w:t>
      </w:r>
      <w:r w:rsidR="004838B1" w:rsidRPr="005E6AD9">
        <w:rPr>
          <w:rStyle w:val="FootnoteReference"/>
          <w:rFonts w:ascii="Times New Roman" w:eastAsia="Calibri" w:hAnsi="Times New Roman" w:cs="Times New Roman"/>
          <w:kern w:val="0"/>
          <w:sz w:val="28"/>
          <w:szCs w:val="28"/>
          <w:lang w:val="en-US"/>
          <w14:ligatures w14:val="none"/>
        </w:rPr>
        <w:footnoteReference w:id="2"/>
      </w:r>
      <w:r w:rsidR="00AA7ACA" w:rsidRPr="005E6AD9">
        <w:rPr>
          <w:rFonts w:ascii="Times New Roman" w:eastAsia="Calibri" w:hAnsi="Times New Roman" w:cs="Times New Roman"/>
          <w:kern w:val="0"/>
          <w:sz w:val="28"/>
          <w:szCs w:val="28"/>
          <w:lang w:val="en-US"/>
          <w14:ligatures w14:val="none"/>
        </w:rPr>
        <w:t xml:space="preserve"> Absa and United Towers were afforded a period of </w:t>
      </w:r>
      <w:r w:rsidR="00A70CDB" w:rsidRPr="005E6AD9">
        <w:rPr>
          <w:rFonts w:ascii="Times New Roman" w:eastAsia="Calibri" w:hAnsi="Times New Roman" w:cs="Times New Roman"/>
          <w:kern w:val="0"/>
          <w:sz w:val="28"/>
          <w:szCs w:val="28"/>
          <w:lang w:val="en-US"/>
          <w14:ligatures w14:val="none"/>
        </w:rPr>
        <w:t>6</w:t>
      </w:r>
      <w:r w:rsidR="00AA7ACA" w:rsidRPr="005E6AD9">
        <w:rPr>
          <w:rFonts w:ascii="Times New Roman" w:eastAsia="Calibri" w:hAnsi="Times New Roman" w:cs="Times New Roman"/>
          <w:kern w:val="0"/>
          <w:sz w:val="28"/>
          <w:szCs w:val="28"/>
          <w:lang w:val="en-US"/>
          <w14:ligatures w14:val="none"/>
        </w:rPr>
        <w:t xml:space="preserve">0 days to respond to the </w:t>
      </w:r>
      <w:r w:rsidR="00CC62F4" w:rsidRPr="005E6AD9">
        <w:rPr>
          <w:rFonts w:ascii="Times New Roman" w:eastAsia="Calibri" w:hAnsi="Times New Roman" w:cs="Times New Roman"/>
          <w:kern w:val="0"/>
          <w:sz w:val="28"/>
          <w:szCs w:val="28"/>
          <w:lang w:val="en-US"/>
          <w14:ligatures w14:val="none"/>
        </w:rPr>
        <w:t xml:space="preserve">preliminary </w:t>
      </w:r>
      <w:r w:rsidR="00AA7ACA" w:rsidRPr="005E6AD9">
        <w:rPr>
          <w:rFonts w:ascii="Times New Roman" w:eastAsia="Calibri" w:hAnsi="Times New Roman" w:cs="Times New Roman"/>
          <w:kern w:val="0"/>
          <w:sz w:val="28"/>
          <w:szCs w:val="28"/>
          <w:lang w:val="en-US"/>
          <w14:ligatures w14:val="none"/>
        </w:rPr>
        <w:t>audit findings.</w:t>
      </w:r>
    </w:p>
    <w:p w14:paraId="5FA4F571" w14:textId="77777777" w:rsidR="00AA7ACA" w:rsidRPr="005E6AD9" w:rsidRDefault="00AA7ACA" w:rsidP="007E1FB4">
      <w:pPr>
        <w:spacing w:after="0" w:line="360" w:lineRule="auto"/>
        <w:contextualSpacing/>
        <w:jc w:val="both"/>
        <w:rPr>
          <w:rFonts w:ascii="Times New Roman" w:eastAsia="Calibri" w:hAnsi="Times New Roman" w:cs="Times New Roman"/>
          <w:kern w:val="0"/>
          <w:sz w:val="28"/>
          <w:szCs w:val="28"/>
          <w:lang w:val="en-US"/>
          <w14:ligatures w14:val="none"/>
        </w:rPr>
      </w:pPr>
    </w:p>
    <w:p w14:paraId="5668DFFE" w14:textId="5A4EB4F7" w:rsidR="00A70CDB" w:rsidRPr="005E6AD9" w:rsidRDefault="0033268F" w:rsidP="0033268F">
      <w:pPr>
        <w:spacing w:after="0" w:line="360" w:lineRule="auto"/>
        <w:contextualSpacing/>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[5]</w:t>
      </w:r>
      <w:r w:rsidRPr="005E6AD9">
        <w:rPr>
          <w:rFonts w:ascii="Times New Roman" w:eastAsia="Calibri" w:hAnsi="Times New Roman" w:cs="Times New Roman"/>
          <w:kern w:val="0"/>
          <w:sz w:val="28"/>
          <w:szCs w:val="28"/>
          <w:lang w:val="en-US"/>
          <w14:ligatures w14:val="none"/>
        </w:rPr>
        <w:tab/>
      </w:r>
      <w:r w:rsidR="00AA7ACA" w:rsidRPr="005E6AD9">
        <w:rPr>
          <w:rFonts w:ascii="Times New Roman" w:eastAsia="Calibri" w:hAnsi="Times New Roman" w:cs="Times New Roman"/>
          <w:kern w:val="0"/>
          <w:sz w:val="28"/>
          <w:szCs w:val="28"/>
          <w:lang w:val="en-US"/>
          <w14:ligatures w14:val="none"/>
        </w:rPr>
        <w:t>The response</w:t>
      </w:r>
      <w:r w:rsidR="00A70CDB" w:rsidRPr="005E6AD9">
        <w:rPr>
          <w:rFonts w:ascii="Times New Roman" w:eastAsia="Calibri" w:hAnsi="Times New Roman" w:cs="Times New Roman"/>
          <w:kern w:val="0"/>
          <w:sz w:val="28"/>
          <w:szCs w:val="28"/>
          <w:lang w:val="en-US"/>
          <w14:ligatures w14:val="none"/>
        </w:rPr>
        <w:t xml:space="preserve"> period w</w:t>
      </w:r>
      <w:r w:rsidR="00AA7ACA" w:rsidRPr="005E6AD9">
        <w:rPr>
          <w:rFonts w:ascii="Times New Roman" w:eastAsia="Calibri" w:hAnsi="Times New Roman" w:cs="Times New Roman"/>
          <w:kern w:val="0"/>
          <w:sz w:val="28"/>
          <w:szCs w:val="28"/>
          <w:lang w:val="en-US"/>
          <w14:ligatures w14:val="none"/>
        </w:rPr>
        <w:t>as extended</w:t>
      </w:r>
      <w:r w:rsidR="00A70CDB" w:rsidRPr="005E6AD9">
        <w:rPr>
          <w:rFonts w:ascii="Times New Roman" w:eastAsia="Calibri" w:hAnsi="Times New Roman" w:cs="Times New Roman"/>
          <w:kern w:val="0"/>
          <w:sz w:val="28"/>
          <w:szCs w:val="28"/>
          <w:lang w:val="en-US"/>
          <w14:ligatures w14:val="none"/>
        </w:rPr>
        <w:t xml:space="preserve">, </w:t>
      </w:r>
      <w:r w:rsidR="00AA7ACA" w:rsidRPr="005E6AD9">
        <w:rPr>
          <w:rFonts w:ascii="Times New Roman" w:eastAsia="Calibri" w:hAnsi="Times New Roman" w:cs="Times New Roman"/>
          <w:kern w:val="0"/>
          <w:sz w:val="28"/>
          <w:szCs w:val="28"/>
          <w:lang w:val="en-US"/>
          <w14:ligatures w14:val="none"/>
        </w:rPr>
        <w:t>at the request of Absa and United Towers</w:t>
      </w:r>
      <w:r w:rsidR="00A70CDB" w:rsidRPr="005E6AD9">
        <w:rPr>
          <w:rFonts w:ascii="Times New Roman" w:eastAsia="Calibri" w:hAnsi="Times New Roman" w:cs="Times New Roman"/>
          <w:kern w:val="0"/>
          <w:sz w:val="28"/>
          <w:szCs w:val="28"/>
          <w:lang w:val="en-US"/>
          <w14:ligatures w14:val="none"/>
        </w:rPr>
        <w:t>, t</w:t>
      </w:r>
      <w:r w:rsidR="00AA7ACA" w:rsidRPr="005E6AD9">
        <w:rPr>
          <w:rFonts w:ascii="Times New Roman" w:eastAsia="Calibri" w:hAnsi="Times New Roman" w:cs="Times New Roman"/>
          <w:kern w:val="0"/>
          <w:sz w:val="28"/>
          <w:szCs w:val="28"/>
          <w:lang w:val="en-US"/>
          <w14:ligatures w14:val="none"/>
        </w:rPr>
        <w:t xml:space="preserve">o 28 February 2019. On 15 February 2019, Absa and United Towers submitted a request to SARS, in terms of section 9(1) of the TAA, </w:t>
      </w:r>
      <w:r w:rsidR="00A70CDB" w:rsidRPr="005E6AD9">
        <w:rPr>
          <w:rFonts w:ascii="Times New Roman" w:eastAsia="Calibri" w:hAnsi="Times New Roman" w:cs="Times New Roman"/>
          <w:kern w:val="0"/>
          <w:sz w:val="28"/>
          <w:szCs w:val="28"/>
          <w:lang w:val="en-US"/>
          <w14:ligatures w14:val="none"/>
        </w:rPr>
        <w:t>t</w:t>
      </w:r>
      <w:r w:rsidR="00AA7ACA" w:rsidRPr="005E6AD9">
        <w:rPr>
          <w:rFonts w:ascii="Times New Roman" w:eastAsia="Calibri" w:hAnsi="Times New Roman" w:cs="Times New Roman"/>
          <w:kern w:val="0"/>
          <w:sz w:val="28"/>
          <w:szCs w:val="28"/>
          <w:lang w:val="en-US"/>
          <w14:ligatures w14:val="none"/>
        </w:rPr>
        <w:t xml:space="preserve">o withdraw </w:t>
      </w:r>
      <w:r w:rsidR="00A70CDB" w:rsidRPr="005E6AD9">
        <w:rPr>
          <w:rFonts w:ascii="Times New Roman" w:eastAsia="Calibri" w:hAnsi="Times New Roman" w:cs="Times New Roman"/>
          <w:kern w:val="0"/>
          <w:sz w:val="28"/>
          <w:szCs w:val="28"/>
          <w:lang w:val="en-US"/>
          <w14:ligatures w14:val="none"/>
        </w:rPr>
        <w:t xml:space="preserve">the s </w:t>
      </w:r>
      <w:r w:rsidR="00AA7ACA" w:rsidRPr="005E6AD9">
        <w:rPr>
          <w:rFonts w:ascii="Times New Roman" w:eastAsia="Calibri" w:hAnsi="Times New Roman" w:cs="Times New Roman"/>
          <w:kern w:val="0"/>
          <w:sz w:val="28"/>
          <w:szCs w:val="28"/>
          <w:lang w:val="en-US"/>
          <w14:ligatures w14:val="none"/>
        </w:rPr>
        <w:t xml:space="preserve">80J notices. Absa and United Towers </w:t>
      </w:r>
      <w:r w:rsidR="00A70CDB" w:rsidRPr="005E6AD9">
        <w:rPr>
          <w:rFonts w:ascii="Times New Roman" w:eastAsia="Calibri" w:hAnsi="Times New Roman" w:cs="Times New Roman"/>
          <w:kern w:val="0"/>
          <w:sz w:val="28"/>
          <w:szCs w:val="28"/>
          <w:lang w:val="en-US"/>
          <w14:ligatures w14:val="none"/>
        </w:rPr>
        <w:t xml:space="preserve">also </w:t>
      </w:r>
      <w:r w:rsidR="00AA7ACA" w:rsidRPr="005E6AD9">
        <w:rPr>
          <w:rFonts w:ascii="Times New Roman" w:eastAsia="Calibri" w:hAnsi="Times New Roman" w:cs="Times New Roman"/>
          <w:kern w:val="0"/>
          <w:sz w:val="28"/>
          <w:szCs w:val="28"/>
          <w:lang w:val="en-US"/>
          <w14:ligatures w14:val="none"/>
        </w:rPr>
        <w:t>requested a</w:t>
      </w:r>
      <w:r w:rsidR="00CC62F4" w:rsidRPr="005E6AD9">
        <w:rPr>
          <w:rFonts w:ascii="Times New Roman" w:eastAsia="Calibri" w:hAnsi="Times New Roman" w:cs="Times New Roman"/>
          <w:kern w:val="0"/>
          <w:sz w:val="28"/>
          <w:szCs w:val="28"/>
          <w:lang w:val="en-US"/>
          <w14:ligatures w14:val="none"/>
        </w:rPr>
        <w:t xml:space="preserve"> further</w:t>
      </w:r>
      <w:r w:rsidR="00AA7ACA" w:rsidRPr="005E6AD9">
        <w:rPr>
          <w:rFonts w:ascii="Times New Roman" w:eastAsia="Calibri" w:hAnsi="Times New Roman" w:cs="Times New Roman"/>
          <w:kern w:val="0"/>
          <w:sz w:val="28"/>
          <w:szCs w:val="28"/>
          <w:lang w:val="en-US"/>
          <w14:ligatures w14:val="none"/>
        </w:rPr>
        <w:t xml:space="preserve"> extension of the period within which to respond to the notices, pending SARS's consideration of its request for withdrawal of those notices. SARS </w:t>
      </w:r>
      <w:r w:rsidR="00CC62F4" w:rsidRPr="005E6AD9">
        <w:rPr>
          <w:rFonts w:ascii="Times New Roman" w:eastAsia="Calibri" w:hAnsi="Times New Roman" w:cs="Times New Roman"/>
          <w:kern w:val="0"/>
          <w:sz w:val="28"/>
          <w:szCs w:val="28"/>
          <w:lang w:val="en-US"/>
          <w14:ligatures w14:val="none"/>
        </w:rPr>
        <w:t xml:space="preserve">duly </w:t>
      </w:r>
      <w:r w:rsidR="00AA7ACA" w:rsidRPr="005E6AD9">
        <w:rPr>
          <w:rFonts w:ascii="Times New Roman" w:eastAsia="Calibri" w:hAnsi="Times New Roman" w:cs="Times New Roman"/>
          <w:kern w:val="0"/>
          <w:sz w:val="28"/>
          <w:szCs w:val="28"/>
          <w:lang w:val="en-US"/>
          <w14:ligatures w14:val="none"/>
        </w:rPr>
        <w:t xml:space="preserve">extended the period to </w:t>
      </w:r>
      <w:r w:rsidR="00FE353F" w:rsidRPr="005E6AD9">
        <w:rPr>
          <w:rFonts w:ascii="Times New Roman" w:eastAsia="Calibri" w:hAnsi="Times New Roman" w:cs="Times New Roman"/>
          <w:kern w:val="0"/>
          <w:sz w:val="28"/>
          <w:szCs w:val="28"/>
          <w:lang w:val="en-US"/>
          <w14:ligatures w14:val="none"/>
        </w:rPr>
        <w:t>31</w:t>
      </w:r>
      <w:r w:rsidR="00AA7ACA" w:rsidRPr="005E6AD9">
        <w:rPr>
          <w:rFonts w:ascii="Times New Roman" w:eastAsia="Calibri" w:hAnsi="Times New Roman" w:cs="Times New Roman"/>
          <w:kern w:val="0"/>
          <w:sz w:val="28"/>
          <w:szCs w:val="28"/>
          <w:lang w:val="en-US"/>
          <w14:ligatures w14:val="none"/>
        </w:rPr>
        <w:t xml:space="preserve"> March 2019.</w:t>
      </w:r>
      <w:r w:rsidR="00A70CDB" w:rsidRPr="005E6AD9">
        <w:rPr>
          <w:rFonts w:ascii="Times New Roman" w:eastAsia="Calibri" w:hAnsi="Times New Roman" w:cs="Times New Roman"/>
          <w:kern w:val="0"/>
          <w:sz w:val="28"/>
          <w:szCs w:val="28"/>
          <w:lang w:val="en-US"/>
          <w14:ligatures w14:val="none"/>
        </w:rPr>
        <w:t xml:space="preserve"> </w:t>
      </w:r>
      <w:r w:rsidR="00AA7ACA" w:rsidRPr="005E6AD9">
        <w:rPr>
          <w:rFonts w:ascii="Times New Roman" w:eastAsia="Calibri" w:hAnsi="Times New Roman" w:cs="Times New Roman"/>
          <w:kern w:val="0"/>
          <w:sz w:val="28"/>
          <w:szCs w:val="28"/>
          <w:lang w:val="en-US"/>
          <w14:ligatures w14:val="none"/>
        </w:rPr>
        <w:t xml:space="preserve">On </w:t>
      </w:r>
      <w:r w:rsidR="00A70CDB" w:rsidRPr="005E6AD9">
        <w:rPr>
          <w:rFonts w:ascii="Times New Roman" w:eastAsia="Calibri" w:hAnsi="Times New Roman" w:cs="Times New Roman"/>
          <w:kern w:val="0"/>
          <w:sz w:val="28"/>
          <w:szCs w:val="28"/>
          <w:lang w:val="en-US"/>
          <w14:ligatures w14:val="none"/>
        </w:rPr>
        <w:t>5</w:t>
      </w:r>
      <w:r w:rsidR="00AA7ACA" w:rsidRPr="005E6AD9">
        <w:rPr>
          <w:rFonts w:ascii="Times New Roman" w:eastAsia="Calibri" w:hAnsi="Times New Roman" w:cs="Times New Roman"/>
          <w:kern w:val="0"/>
          <w:sz w:val="28"/>
          <w:szCs w:val="28"/>
          <w:lang w:val="en-US"/>
          <w14:ligatures w14:val="none"/>
        </w:rPr>
        <w:t xml:space="preserve"> March 2019, SARS informed Absa </w:t>
      </w:r>
      <w:r w:rsidR="00A70CDB" w:rsidRPr="005E6AD9">
        <w:rPr>
          <w:rFonts w:ascii="Times New Roman" w:eastAsia="Calibri" w:hAnsi="Times New Roman" w:cs="Times New Roman"/>
          <w:kern w:val="0"/>
          <w:sz w:val="28"/>
          <w:szCs w:val="28"/>
          <w:lang w:val="en-US"/>
          <w14:ligatures w14:val="none"/>
        </w:rPr>
        <w:t>and</w:t>
      </w:r>
      <w:r w:rsidR="00AA7ACA" w:rsidRPr="005E6AD9">
        <w:rPr>
          <w:rFonts w:ascii="Times New Roman" w:eastAsia="Calibri" w:hAnsi="Times New Roman" w:cs="Times New Roman"/>
          <w:kern w:val="0"/>
          <w:sz w:val="28"/>
          <w:szCs w:val="28"/>
          <w:lang w:val="en-US"/>
          <w14:ligatures w14:val="none"/>
        </w:rPr>
        <w:t xml:space="preserve"> United Towers that it was not withdrawing the </w:t>
      </w:r>
      <w:r w:rsidR="00A70CDB" w:rsidRPr="005E6AD9">
        <w:rPr>
          <w:rFonts w:ascii="Times New Roman" w:eastAsia="Calibri" w:hAnsi="Times New Roman" w:cs="Times New Roman"/>
          <w:kern w:val="0"/>
          <w:sz w:val="28"/>
          <w:szCs w:val="28"/>
          <w:lang w:val="en-US"/>
          <w14:ligatures w14:val="none"/>
        </w:rPr>
        <w:t>s</w:t>
      </w:r>
      <w:r w:rsidR="00AA7ACA" w:rsidRPr="005E6AD9">
        <w:rPr>
          <w:rFonts w:ascii="Times New Roman" w:eastAsia="Calibri" w:hAnsi="Times New Roman" w:cs="Times New Roman"/>
          <w:kern w:val="0"/>
          <w:sz w:val="28"/>
          <w:szCs w:val="28"/>
          <w:lang w:val="en-US"/>
          <w14:ligatures w14:val="none"/>
        </w:rPr>
        <w:t xml:space="preserve"> 80J notices. It stated that any objections they had to the notices should be raised in </w:t>
      </w:r>
      <w:r w:rsidR="00A70CDB" w:rsidRPr="005E6AD9">
        <w:rPr>
          <w:rFonts w:ascii="Times New Roman" w:eastAsia="Calibri" w:hAnsi="Times New Roman" w:cs="Times New Roman"/>
          <w:kern w:val="0"/>
          <w:sz w:val="28"/>
          <w:szCs w:val="28"/>
          <w:lang w:val="en-US"/>
          <w14:ligatures w14:val="none"/>
        </w:rPr>
        <w:t xml:space="preserve">submissions made in </w:t>
      </w:r>
      <w:r w:rsidR="00AA7ACA" w:rsidRPr="005E6AD9">
        <w:rPr>
          <w:rFonts w:ascii="Times New Roman" w:eastAsia="Calibri" w:hAnsi="Times New Roman" w:cs="Times New Roman"/>
          <w:kern w:val="0"/>
          <w:sz w:val="28"/>
          <w:szCs w:val="28"/>
          <w:lang w:val="en-US"/>
          <w14:ligatures w14:val="none"/>
        </w:rPr>
        <w:t>their responses to those notices</w:t>
      </w:r>
      <w:r w:rsidR="00A70CDB" w:rsidRPr="005E6AD9">
        <w:rPr>
          <w:rFonts w:ascii="Times New Roman" w:eastAsia="Calibri" w:hAnsi="Times New Roman" w:cs="Times New Roman"/>
          <w:kern w:val="0"/>
          <w:sz w:val="28"/>
          <w:szCs w:val="28"/>
          <w:lang w:val="en-US"/>
          <w14:ligatures w14:val="none"/>
        </w:rPr>
        <w:t>, as required by s 80J</w:t>
      </w:r>
      <w:r w:rsidR="00AA7ACA" w:rsidRPr="005E6AD9">
        <w:rPr>
          <w:rFonts w:ascii="Times New Roman" w:eastAsia="Calibri" w:hAnsi="Times New Roman" w:cs="Times New Roman"/>
          <w:kern w:val="0"/>
          <w:sz w:val="28"/>
          <w:szCs w:val="28"/>
          <w:lang w:val="en-US"/>
          <w14:ligatures w14:val="none"/>
        </w:rPr>
        <w:t xml:space="preserve">. </w:t>
      </w:r>
    </w:p>
    <w:p w14:paraId="1065FB5A" w14:textId="77777777" w:rsidR="00A70CDB" w:rsidRPr="005E6AD9" w:rsidRDefault="00A70CDB" w:rsidP="00AB69C4">
      <w:pPr>
        <w:rPr>
          <w:rFonts w:ascii="Times New Roman" w:eastAsia="Calibri" w:hAnsi="Times New Roman" w:cs="Times New Roman"/>
          <w:kern w:val="0"/>
          <w:sz w:val="28"/>
          <w:szCs w:val="28"/>
          <w:lang w:val="en-US"/>
          <w14:ligatures w14:val="none"/>
        </w:rPr>
      </w:pPr>
    </w:p>
    <w:p w14:paraId="33686AA3" w14:textId="77777777" w:rsidR="00AB69C4" w:rsidRPr="005E6AD9" w:rsidRDefault="00AB69C4" w:rsidP="00AB69C4">
      <w:pPr>
        <w:rPr>
          <w:rFonts w:ascii="Times New Roman" w:eastAsia="Calibri" w:hAnsi="Times New Roman" w:cs="Times New Roman"/>
          <w:b/>
          <w:bCs/>
          <w:kern w:val="0"/>
          <w:sz w:val="28"/>
          <w:szCs w:val="28"/>
          <w:lang w:val="en-US"/>
          <w14:ligatures w14:val="none"/>
        </w:rPr>
      </w:pPr>
      <w:r w:rsidRPr="005E6AD9">
        <w:rPr>
          <w:rFonts w:ascii="Times New Roman" w:eastAsia="Calibri" w:hAnsi="Times New Roman" w:cs="Times New Roman"/>
          <w:b/>
          <w:bCs/>
          <w:kern w:val="0"/>
          <w:sz w:val="28"/>
          <w:szCs w:val="28"/>
          <w:lang w:val="en-US"/>
          <w14:ligatures w14:val="none"/>
        </w:rPr>
        <w:t>Proceedings before the high court</w:t>
      </w:r>
    </w:p>
    <w:p w14:paraId="47CFB8DF" w14:textId="33A19E9D" w:rsidR="00AA7ACA" w:rsidRPr="005E6AD9" w:rsidRDefault="0033268F" w:rsidP="0033268F">
      <w:pPr>
        <w:spacing w:after="0" w:line="360" w:lineRule="auto"/>
        <w:contextualSpacing/>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[6]</w:t>
      </w:r>
      <w:r w:rsidRPr="005E6AD9">
        <w:rPr>
          <w:rFonts w:ascii="Times New Roman" w:eastAsia="Calibri" w:hAnsi="Times New Roman" w:cs="Times New Roman"/>
          <w:kern w:val="0"/>
          <w:sz w:val="28"/>
          <w:szCs w:val="28"/>
          <w:lang w:val="en-US"/>
          <w14:ligatures w14:val="none"/>
        </w:rPr>
        <w:tab/>
      </w:r>
      <w:r w:rsidR="00AA7ACA" w:rsidRPr="005E6AD9">
        <w:rPr>
          <w:rFonts w:ascii="Times New Roman" w:eastAsia="Calibri" w:hAnsi="Times New Roman" w:cs="Times New Roman"/>
          <w:kern w:val="0"/>
          <w:sz w:val="28"/>
          <w:szCs w:val="28"/>
          <w:lang w:val="en-US"/>
          <w14:ligatures w14:val="none"/>
        </w:rPr>
        <w:t xml:space="preserve">On 29 March 2019, Absa and United Towers launched </w:t>
      </w:r>
      <w:r w:rsidR="005E6AD9" w:rsidRPr="005E6AD9">
        <w:rPr>
          <w:rFonts w:ascii="Times New Roman" w:eastAsia="Calibri" w:hAnsi="Times New Roman" w:cs="Times New Roman"/>
          <w:kern w:val="0"/>
          <w:sz w:val="28"/>
          <w:szCs w:val="28"/>
          <w:lang w:val="en-US"/>
          <w14:ligatures w14:val="none"/>
        </w:rPr>
        <w:t>an application</w:t>
      </w:r>
      <w:r w:rsidR="00AA7ACA" w:rsidRPr="005E6AD9">
        <w:rPr>
          <w:rFonts w:ascii="Times New Roman" w:eastAsia="Calibri" w:hAnsi="Times New Roman" w:cs="Times New Roman"/>
          <w:kern w:val="0"/>
          <w:sz w:val="28"/>
          <w:szCs w:val="28"/>
          <w:lang w:val="en-US"/>
          <w14:ligatures w14:val="none"/>
        </w:rPr>
        <w:t xml:space="preserve"> in the </w:t>
      </w:r>
      <w:r w:rsidR="00A70CDB" w:rsidRPr="005E6AD9">
        <w:rPr>
          <w:rFonts w:ascii="Times New Roman" w:eastAsia="Calibri" w:hAnsi="Times New Roman" w:cs="Times New Roman"/>
          <w:kern w:val="0"/>
          <w:sz w:val="28"/>
          <w:szCs w:val="28"/>
          <w:lang w:val="en-US"/>
          <w14:ligatures w14:val="none"/>
        </w:rPr>
        <w:t>h</w:t>
      </w:r>
      <w:r w:rsidR="00AA7ACA" w:rsidRPr="005E6AD9">
        <w:rPr>
          <w:rFonts w:ascii="Times New Roman" w:eastAsia="Calibri" w:hAnsi="Times New Roman" w:cs="Times New Roman"/>
          <w:kern w:val="0"/>
          <w:sz w:val="28"/>
          <w:szCs w:val="28"/>
          <w:lang w:val="en-US"/>
          <w14:ligatures w14:val="none"/>
        </w:rPr>
        <w:t xml:space="preserve">igh </w:t>
      </w:r>
      <w:r w:rsidR="00A70CDB" w:rsidRPr="005E6AD9">
        <w:rPr>
          <w:rFonts w:ascii="Times New Roman" w:eastAsia="Calibri" w:hAnsi="Times New Roman" w:cs="Times New Roman"/>
          <w:kern w:val="0"/>
          <w:sz w:val="28"/>
          <w:szCs w:val="28"/>
          <w:lang w:val="en-US"/>
          <w14:ligatures w14:val="none"/>
        </w:rPr>
        <w:t>c</w:t>
      </w:r>
      <w:r w:rsidR="00AA7ACA" w:rsidRPr="005E6AD9">
        <w:rPr>
          <w:rFonts w:ascii="Times New Roman" w:eastAsia="Calibri" w:hAnsi="Times New Roman" w:cs="Times New Roman"/>
          <w:kern w:val="0"/>
          <w:sz w:val="28"/>
          <w:szCs w:val="28"/>
          <w:lang w:val="en-US"/>
          <w14:ligatures w14:val="none"/>
        </w:rPr>
        <w:t xml:space="preserve">ourt seeking an order </w:t>
      </w:r>
      <w:r w:rsidR="00FE353F" w:rsidRPr="005E6AD9">
        <w:rPr>
          <w:rFonts w:ascii="Times New Roman" w:eastAsia="Calibri" w:hAnsi="Times New Roman" w:cs="Times New Roman"/>
          <w:kern w:val="0"/>
          <w:sz w:val="28"/>
          <w:szCs w:val="28"/>
          <w:lang w:val="en-US"/>
          <w14:ligatures w14:val="none"/>
        </w:rPr>
        <w:t>reviewing the decision not to withdraw t</w:t>
      </w:r>
      <w:r w:rsidR="00AA7ACA" w:rsidRPr="005E6AD9">
        <w:rPr>
          <w:rFonts w:ascii="Times New Roman" w:eastAsia="Calibri" w:hAnsi="Times New Roman" w:cs="Times New Roman"/>
          <w:kern w:val="0"/>
          <w:sz w:val="28"/>
          <w:szCs w:val="28"/>
          <w:lang w:val="en-US"/>
          <w14:ligatures w14:val="none"/>
        </w:rPr>
        <w:t xml:space="preserve">he </w:t>
      </w:r>
      <w:r w:rsidR="00AB2FBD" w:rsidRPr="005E6AD9">
        <w:rPr>
          <w:rFonts w:ascii="Times New Roman" w:eastAsia="Calibri" w:hAnsi="Times New Roman" w:cs="Times New Roman"/>
          <w:kern w:val="0"/>
          <w:sz w:val="28"/>
          <w:szCs w:val="28"/>
          <w:lang w:val="en-US"/>
          <w14:ligatures w14:val="none"/>
        </w:rPr>
        <w:br/>
      </w:r>
      <w:r w:rsidR="00FE353F" w:rsidRPr="005E6AD9">
        <w:rPr>
          <w:rFonts w:ascii="Times New Roman" w:eastAsia="Calibri" w:hAnsi="Times New Roman" w:cs="Times New Roman"/>
          <w:kern w:val="0"/>
          <w:sz w:val="28"/>
          <w:szCs w:val="28"/>
          <w:lang w:val="en-US"/>
          <w14:ligatures w14:val="none"/>
        </w:rPr>
        <w:t xml:space="preserve">s </w:t>
      </w:r>
      <w:r w:rsidR="00AA7ACA" w:rsidRPr="005E6AD9">
        <w:rPr>
          <w:rFonts w:ascii="Times New Roman" w:eastAsia="Calibri" w:hAnsi="Times New Roman" w:cs="Times New Roman"/>
          <w:kern w:val="0"/>
          <w:sz w:val="28"/>
          <w:szCs w:val="28"/>
          <w:lang w:val="en-US"/>
          <w14:ligatures w14:val="none"/>
        </w:rPr>
        <w:t>80 J notices</w:t>
      </w:r>
      <w:r w:rsidR="00FE353F" w:rsidRPr="005E6AD9">
        <w:rPr>
          <w:rFonts w:ascii="Times New Roman" w:eastAsia="Calibri" w:hAnsi="Times New Roman" w:cs="Times New Roman"/>
          <w:kern w:val="0"/>
          <w:sz w:val="28"/>
          <w:szCs w:val="28"/>
          <w:lang w:val="en-US"/>
          <w14:ligatures w14:val="none"/>
        </w:rPr>
        <w:t xml:space="preserve"> and directing that the decision be substituted with one withdrawing the notices</w:t>
      </w:r>
      <w:r w:rsidR="00CC62F4" w:rsidRPr="005E6AD9">
        <w:rPr>
          <w:rFonts w:ascii="Times New Roman" w:eastAsia="Calibri" w:hAnsi="Times New Roman" w:cs="Times New Roman"/>
          <w:kern w:val="0"/>
          <w:sz w:val="28"/>
          <w:szCs w:val="28"/>
          <w:lang w:val="en-US"/>
          <w14:ligatures w14:val="none"/>
        </w:rPr>
        <w:t>,</w:t>
      </w:r>
      <w:r w:rsidR="00FE353F" w:rsidRPr="005E6AD9">
        <w:rPr>
          <w:rFonts w:ascii="Times New Roman" w:eastAsia="Calibri" w:hAnsi="Times New Roman" w:cs="Times New Roman"/>
          <w:kern w:val="0"/>
          <w:sz w:val="28"/>
          <w:szCs w:val="28"/>
          <w:lang w:val="en-US"/>
          <w14:ligatures w14:val="none"/>
        </w:rPr>
        <w:t xml:space="preserve"> alternatively that the request for withdrawal be remitted to SARS (the s 9 review). </w:t>
      </w:r>
      <w:r w:rsidR="00AA7ACA" w:rsidRPr="005E6AD9">
        <w:rPr>
          <w:rFonts w:ascii="Times New Roman" w:eastAsia="Calibri" w:hAnsi="Times New Roman" w:cs="Times New Roman"/>
          <w:kern w:val="0"/>
          <w:sz w:val="28"/>
          <w:szCs w:val="28"/>
          <w:lang w:val="en-US"/>
          <w14:ligatures w14:val="none"/>
        </w:rPr>
        <w:t xml:space="preserve">They simultaneously </w:t>
      </w:r>
      <w:r w:rsidR="00FE353F" w:rsidRPr="005E6AD9">
        <w:rPr>
          <w:rFonts w:ascii="Times New Roman" w:eastAsia="Calibri" w:hAnsi="Times New Roman" w:cs="Times New Roman"/>
          <w:kern w:val="0"/>
          <w:sz w:val="28"/>
          <w:szCs w:val="28"/>
          <w:lang w:val="en-US"/>
          <w14:ligatures w14:val="none"/>
        </w:rPr>
        <w:t>submitted</w:t>
      </w:r>
      <w:r w:rsidR="00AA7ACA" w:rsidRPr="005E6AD9">
        <w:rPr>
          <w:rFonts w:ascii="Times New Roman" w:eastAsia="Calibri" w:hAnsi="Times New Roman" w:cs="Times New Roman"/>
          <w:kern w:val="0"/>
          <w:sz w:val="28"/>
          <w:szCs w:val="28"/>
          <w:lang w:val="en-US"/>
          <w14:ligatures w14:val="none"/>
        </w:rPr>
        <w:t xml:space="preserve"> their responses to </w:t>
      </w:r>
      <w:r w:rsidR="00FE353F" w:rsidRPr="005E6AD9">
        <w:rPr>
          <w:rFonts w:ascii="Times New Roman" w:eastAsia="Calibri" w:hAnsi="Times New Roman" w:cs="Times New Roman"/>
          <w:kern w:val="0"/>
          <w:sz w:val="28"/>
          <w:szCs w:val="28"/>
          <w:lang w:val="en-US"/>
          <w14:ligatures w14:val="none"/>
        </w:rPr>
        <w:t xml:space="preserve">the s </w:t>
      </w:r>
      <w:r w:rsidR="00AA7ACA" w:rsidRPr="005E6AD9">
        <w:rPr>
          <w:rFonts w:ascii="Times New Roman" w:eastAsia="Calibri" w:hAnsi="Times New Roman" w:cs="Times New Roman"/>
          <w:kern w:val="0"/>
          <w:sz w:val="28"/>
          <w:szCs w:val="28"/>
          <w:lang w:val="en-US"/>
          <w14:ligatures w14:val="none"/>
        </w:rPr>
        <w:t xml:space="preserve">80J notices </w:t>
      </w:r>
      <w:r w:rsidR="00FE353F" w:rsidRPr="005E6AD9">
        <w:rPr>
          <w:rFonts w:ascii="Times New Roman" w:eastAsia="Calibri" w:hAnsi="Times New Roman" w:cs="Times New Roman"/>
          <w:kern w:val="0"/>
          <w:sz w:val="28"/>
          <w:szCs w:val="28"/>
          <w:lang w:val="en-US"/>
          <w14:ligatures w14:val="none"/>
        </w:rPr>
        <w:t xml:space="preserve">to </w:t>
      </w:r>
      <w:r w:rsidR="00AA7ACA" w:rsidRPr="005E6AD9">
        <w:rPr>
          <w:rFonts w:ascii="Times New Roman" w:eastAsia="Calibri" w:hAnsi="Times New Roman" w:cs="Times New Roman"/>
          <w:kern w:val="0"/>
          <w:sz w:val="28"/>
          <w:szCs w:val="28"/>
          <w:lang w:val="en-US"/>
          <w14:ligatures w14:val="none"/>
        </w:rPr>
        <w:t>SARS</w:t>
      </w:r>
      <w:r w:rsidR="00FE353F" w:rsidRPr="005E6AD9">
        <w:rPr>
          <w:rFonts w:ascii="Times New Roman" w:eastAsia="Calibri" w:hAnsi="Times New Roman" w:cs="Times New Roman"/>
          <w:kern w:val="0"/>
          <w:sz w:val="28"/>
          <w:szCs w:val="28"/>
          <w:lang w:val="en-US"/>
          <w14:ligatures w14:val="none"/>
        </w:rPr>
        <w:t xml:space="preserve"> in terms of s 80</w:t>
      </w:r>
      <w:r w:rsidR="005C6907" w:rsidRPr="005E6AD9">
        <w:rPr>
          <w:rFonts w:ascii="Times New Roman" w:eastAsia="Calibri" w:hAnsi="Times New Roman" w:cs="Times New Roman"/>
          <w:kern w:val="0"/>
          <w:sz w:val="28"/>
          <w:szCs w:val="28"/>
          <w:lang w:val="en-US"/>
          <w14:ligatures w14:val="none"/>
        </w:rPr>
        <w:t>J (</w:t>
      </w:r>
      <w:r w:rsidR="00FE353F" w:rsidRPr="005E6AD9">
        <w:rPr>
          <w:rFonts w:ascii="Times New Roman" w:eastAsia="Calibri" w:hAnsi="Times New Roman" w:cs="Times New Roman"/>
          <w:kern w:val="0"/>
          <w:sz w:val="28"/>
          <w:szCs w:val="28"/>
          <w:lang w:val="en-US"/>
          <w14:ligatures w14:val="none"/>
        </w:rPr>
        <w:t xml:space="preserve">2) of </w:t>
      </w:r>
      <w:r w:rsidR="00972483" w:rsidRPr="005E6AD9">
        <w:rPr>
          <w:rFonts w:ascii="Times New Roman" w:eastAsia="Calibri" w:hAnsi="Times New Roman" w:cs="Times New Roman"/>
          <w:kern w:val="0"/>
          <w:sz w:val="28"/>
          <w:szCs w:val="28"/>
          <w:lang w:val="en-US"/>
          <w14:ligatures w14:val="none"/>
        </w:rPr>
        <w:t xml:space="preserve">the </w:t>
      </w:r>
      <w:r w:rsidR="00FE353F" w:rsidRPr="005E6AD9">
        <w:rPr>
          <w:rFonts w:ascii="Times New Roman" w:eastAsia="Calibri" w:hAnsi="Times New Roman" w:cs="Times New Roman"/>
          <w:kern w:val="0"/>
          <w:sz w:val="28"/>
          <w:szCs w:val="28"/>
          <w:lang w:val="en-US"/>
          <w14:ligatures w14:val="none"/>
        </w:rPr>
        <w:t>ITA</w:t>
      </w:r>
      <w:r w:rsidR="00AA7ACA" w:rsidRPr="005E6AD9">
        <w:rPr>
          <w:rFonts w:ascii="Times New Roman" w:eastAsia="Calibri" w:hAnsi="Times New Roman" w:cs="Times New Roman"/>
          <w:kern w:val="0"/>
          <w:sz w:val="28"/>
          <w:szCs w:val="28"/>
          <w:lang w:val="en-US"/>
          <w14:ligatures w14:val="none"/>
        </w:rPr>
        <w:t>.</w:t>
      </w:r>
      <w:r w:rsidR="00CC62F4" w:rsidRPr="005E6AD9">
        <w:rPr>
          <w:rFonts w:ascii="Times New Roman" w:eastAsia="Calibri" w:hAnsi="Times New Roman" w:cs="Times New Roman"/>
          <w:kern w:val="0"/>
          <w:sz w:val="28"/>
          <w:szCs w:val="28"/>
          <w:lang w:val="en-US"/>
          <w14:ligatures w14:val="none"/>
        </w:rPr>
        <w:t xml:space="preserve"> </w:t>
      </w:r>
      <w:r w:rsidR="00B70543" w:rsidRPr="005E6AD9">
        <w:rPr>
          <w:rFonts w:ascii="Times New Roman" w:eastAsia="Calibri" w:hAnsi="Times New Roman" w:cs="Times New Roman"/>
          <w:kern w:val="0"/>
          <w:sz w:val="28"/>
          <w:szCs w:val="28"/>
          <w:lang w:val="en-US"/>
          <w14:ligatures w14:val="none"/>
        </w:rPr>
        <w:t>The s 9 review proceedings continued while SARS was considering the responses to the s 80J notices.</w:t>
      </w:r>
    </w:p>
    <w:p w14:paraId="06F40BB2" w14:textId="77777777" w:rsidR="00AA7ACA" w:rsidRPr="005E6AD9" w:rsidRDefault="00AA7ACA" w:rsidP="007E1FB4">
      <w:pPr>
        <w:spacing w:after="0" w:line="360" w:lineRule="auto"/>
        <w:contextualSpacing/>
        <w:jc w:val="both"/>
        <w:rPr>
          <w:rFonts w:ascii="Times New Roman" w:eastAsia="Calibri" w:hAnsi="Times New Roman" w:cs="Times New Roman"/>
          <w:kern w:val="0"/>
          <w:sz w:val="28"/>
          <w:szCs w:val="28"/>
          <w:lang w:val="en-US"/>
          <w14:ligatures w14:val="none"/>
        </w:rPr>
      </w:pPr>
    </w:p>
    <w:p w14:paraId="5B71667B" w14:textId="3CF8E623" w:rsidR="008041E2" w:rsidRPr="005E6AD9" w:rsidRDefault="0033268F" w:rsidP="0033268F">
      <w:pPr>
        <w:spacing w:after="0" w:line="360" w:lineRule="auto"/>
        <w:contextualSpacing/>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[7]</w:t>
      </w:r>
      <w:r w:rsidRPr="005E6AD9">
        <w:rPr>
          <w:rFonts w:ascii="Times New Roman" w:eastAsia="Calibri" w:hAnsi="Times New Roman" w:cs="Times New Roman"/>
          <w:kern w:val="0"/>
          <w:sz w:val="28"/>
          <w:szCs w:val="28"/>
          <w:lang w:val="en-US"/>
          <w14:ligatures w14:val="none"/>
        </w:rPr>
        <w:tab/>
      </w:r>
      <w:r w:rsidR="00AA7ACA" w:rsidRPr="005E6AD9">
        <w:rPr>
          <w:rFonts w:ascii="Times New Roman" w:eastAsia="Calibri" w:hAnsi="Times New Roman" w:cs="Times New Roman"/>
          <w:kern w:val="0"/>
          <w:sz w:val="28"/>
          <w:szCs w:val="28"/>
          <w:lang w:val="en-US"/>
          <w14:ligatures w14:val="none"/>
        </w:rPr>
        <w:t xml:space="preserve">On 17 October 2019, SARS issued </w:t>
      </w:r>
      <w:r w:rsidR="00FE353F" w:rsidRPr="005E6AD9">
        <w:rPr>
          <w:rFonts w:ascii="Times New Roman" w:eastAsia="Calibri" w:hAnsi="Times New Roman" w:cs="Times New Roman"/>
          <w:kern w:val="0"/>
          <w:sz w:val="28"/>
          <w:szCs w:val="28"/>
          <w:lang w:val="en-US"/>
          <w14:ligatures w14:val="none"/>
        </w:rPr>
        <w:t xml:space="preserve">Letters </w:t>
      </w:r>
      <w:r w:rsidR="00AA7ACA" w:rsidRPr="005E6AD9">
        <w:rPr>
          <w:rFonts w:ascii="Times New Roman" w:eastAsia="Calibri" w:hAnsi="Times New Roman" w:cs="Times New Roman"/>
          <w:kern w:val="0"/>
          <w:sz w:val="28"/>
          <w:szCs w:val="28"/>
          <w:lang w:val="en-US"/>
          <w14:ligatures w14:val="none"/>
        </w:rPr>
        <w:t>of Assessment</w:t>
      </w:r>
      <w:r w:rsidR="00FE353F" w:rsidRPr="005E6AD9">
        <w:rPr>
          <w:rFonts w:ascii="Times New Roman" w:eastAsia="Calibri" w:hAnsi="Times New Roman" w:cs="Times New Roman"/>
          <w:kern w:val="0"/>
          <w:sz w:val="28"/>
          <w:szCs w:val="28"/>
          <w:lang w:val="en-US"/>
          <w14:ligatures w14:val="none"/>
        </w:rPr>
        <w:t xml:space="preserve"> and Additional Assessments</w:t>
      </w:r>
      <w:r w:rsidR="00AA7ACA" w:rsidRPr="005E6AD9">
        <w:rPr>
          <w:rFonts w:ascii="Times New Roman" w:eastAsia="Calibri" w:hAnsi="Times New Roman" w:cs="Times New Roman"/>
          <w:kern w:val="0"/>
          <w:sz w:val="28"/>
          <w:szCs w:val="28"/>
          <w:lang w:val="en-US"/>
          <w14:ligatures w14:val="none"/>
        </w:rPr>
        <w:t xml:space="preserve"> to Absa and United Towers</w:t>
      </w:r>
      <w:r w:rsidR="00FE353F" w:rsidRPr="005E6AD9">
        <w:rPr>
          <w:rFonts w:ascii="Times New Roman" w:eastAsia="Calibri" w:hAnsi="Times New Roman" w:cs="Times New Roman"/>
          <w:kern w:val="0"/>
          <w:sz w:val="28"/>
          <w:szCs w:val="28"/>
          <w:lang w:val="en-US"/>
          <w14:ligatures w14:val="none"/>
        </w:rPr>
        <w:t xml:space="preserve"> for the 2014, 2015, 2016 and 2017 </w:t>
      </w:r>
      <w:r w:rsidR="009159BC" w:rsidRPr="005E6AD9">
        <w:rPr>
          <w:rFonts w:ascii="Times New Roman" w:eastAsia="Calibri" w:hAnsi="Times New Roman" w:cs="Times New Roman"/>
          <w:kern w:val="0"/>
          <w:sz w:val="28"/>
          <w:szCs w:val="28"/>
          <w:lang w:val="en-US"/>
          <w14:ligatures w14:val="none"/>
        </w:rPr>
        <w:t>tax </w:t>
      </w:r>
      <w:r w:rsidR="00FE353F" w:rsidRPr="005E6AD9">
        <w:rPr>
          <w:rFonts w:ascii="Times New Roman" w:eastAsia="Calibri" w:hAnsi="Times New Roman" w:cs="Times New Roman"/>
          <w:kern w:val="0"/>
          <w:sz w:val="28"/>
          <w:szCs w:val="28"/>
          <w:lang w:val="en-US"/>
          <w14:ligatures w14:val="none"/>
        </w:rPr>
        <w:t>years</w:t>
      </w:r>
      <w:r w:rsidR="00AA7ACA" w:rsidRPr="005E6AD9">
        <w:rPr>
          <w:rFonts w:ascii="Times New Roman" w:eastAsia="Calibri" w:hAnsi="Times New Roman" w:cs="Times New Roman"/>
          <w:kern w:val="0"/>
          <w:sz w:val="28"/>
          <w:szCs w:val="28"/>
          <w:lang w:val="en-US"/>
          <w14:ligatures w14:val="none"/>
        </w:rPr>
        <w:t>. It determined that they had participated in an avoidance arrangement</w:t>
      </w:r>
      <w:r w:rsidR="00FE353F" w:rsidRPr="005E6AD9">
        <w:rPr>
          <w:rFonts w:ascii="Times New Roman" w:eastAsia="Calibri" w:hAnsi="Times New Roman" w:cs="Times New Roman"/>
          <w:kern w:val="0"/>
          <w:sz w:val="28"/>
          <w:szCs w:val="28"/>
          <w:lang w:val="en-US"/>
          <w14:ligatures w14:val="none"/>
        </w:rPr>
        <w:t xml:space="preserve"> a</w:t>
      </w:r>
      <w:r w:rsidR="00AA7ACA" w:rsidRPr="005E6AD9">
        <w:rPr>
          <w:rFonts w:ascii="Times New Roman" w:eastAsia="Calibri" w:hAnsi="Times New Roman" w:cs="Times New Roman"/>
          <w:kern w:val="0"/>
          <w:sz w:val="28"/>
          <w:szCs w:val="28"/>
          <w:lang w:val="en-US"/>
          <w14:ligatures w14:val="none"/>
        </w:rPr>
        <w:t>nd assessed their tax liability on the basis that the</w:t>
      </w:r>
      <w:r w:rsidR="009159BC" w:rsidRPr="005E6AD9">
        <w:rPr>
          <w:rFonts w:ascii="Times New Roman" w:eastAsia="Calibri" w:hAnsi="Times New Roman" w:cs="Times New Roman"/>
          <w:kern w:val="0"/>
          <w:sz w:val="28"/>
          <w:szCs w:val="28"/>
          <w:lang w:val="en-US"/>
          <w14:ligatures w14:val="none"/>
        </w:rPr>
        <w:t>ir investment</w:t>
      </w:r>
      <w:r w:rsidR="00AA7ACA" w:rsidRPr="005E6AD9">
        <w:rPr>
          <w:rFonts w:ascii="Times New Roman" w:eastAsia="Calibri" w:hAnsi="Times New Roman" w:cs="Times New Roman"/>
          <w:kern w:val="0"/>
          <w:sz w:val="28"/>
          <w:szCs w:val="28"/>
          <w:lang w:val="en-US"/>
          <w14:ligatures w14:val="none"/>
        </w:rPr>
        <w:t xml:space="preserve"> returns </w:t>
      </w:r>
      <w:r w:rsidR="00FE353F" w:rsidRPr="005E6AD9">
        <w:rPr>
          <w:rFonts w:ascii="Times New Roman" w:eastAsia="Calibri" w:hAnsi="Times New Roman" w:cs="Times New Roman"/>
          <w:kern w:val="0"/>
          <w:sz w:val="28"/>
          <w:szCs w:val="28"/>
          <w:lang w:val="en-US"/>
          <w14:ligatures w14:val="none"/>
        </w:rPr>
        <w:t>in the scheme</w:t>
      </w:r>
      <w:r w:rsidR="00AA7ACA" w:rsidRPr="005E6AD9">
        <w:rPr>
          <w:rFonts w:ascii="Times New Roman" w:eastAsia="Calibri" w:hAnsi="Times New Roman" w:cs="Times New Roman"/>
          <w:kern w:val="0"/>
          <w:sz w:val="28"/>
          <w:szCs w:val="28"/>
          <w:lang w:val="en-US"/>
          <w14:ligatures w14:val="none"/>
        </w:rPr>
        <w:t xml:space="preserve"> constituted taxable income. </w:t>
      </w:r>
      <w:r w:rsidR="008041E2" w:rsidRPr="005E6AD9">
        <w:rPr>
          <w:rFonts w:ascii="Times New Roman" w:eastAsia="Calibri" w:hAnsi="Times New Roman" w:cs="Times New Roman"/>
          <w:kern w:val="0"/>
          <w:sz w:val="28"/>
          <w:szCs w:val="28"/>
          <w:lang w:val="en-US"/>
          <w14:ligatures w14:val="none"/>
        </w:rPr>
        <w:t>After</w:t>
      </w:r>
      <w:r w:rsidR="004E5D32" w:rsidRPr="005E6AD9">
        <w:rPr>
          <w:rFonts w:ascii="Times New Roman" w:eastAsia="Calibri" w:hAnsi="Times New Roman" w:cs="Times New Roman"/>
          <w:kern w:val="0"/>
          <w:sz w:val="28"/>
          <w:szCs w:val="28"/>
          <w:lang w:val="en-US"/>
          <w14:ligatures w14:val="none"/>
        </w:rPr>
        <w:t xml:space="preserve"> the</w:t>
      </w:r>
      <w:r w:rsidR="00B70543" w:rsidRPr="005E6AD9">
        <w:rPr>
          <w:rFonts w:ascii="Times New Roman" w:eastAsia="Calibri" w:hAnsi="Times New Roman" w:cs="Times New Roman"/>
          <w:kern w:val="0"/>
          <w:sz w:val="28"/>
          <w:szCs w:val="28"/>
          <w:lang w:val="en-US"/>
          <w14:ligatures w14:val="none"/>
        </w:rPr>
        <w:t>se</w:t>
      </w:r>
      <w:r w:rsidR="004E5D32" w:rsidRPr="005E6AD9">
        <w:rPr>
          <w:rFonts w:ascii="Times New Roman" w:eastAsia="Calibri" w:hAnsi="Times New Roman" w:cs="Times New Roman"/>
          <w:kern w:val="0"/>
          <w:sz w:val="28"/>
          <w:szCs w:val="28"/>
          <w:lang w:val="en-US"/>
          <w14:ligatures w14:val="none"/>
        </w:rPr>
        <w:t xml:space="preserve"> </w:t>
      </w:r>
      <w:r w:rsidR="00B70543" w:rsidRPr="005E6AD9">
        <w:rPr>
          <w:rFonts w:ascii="Times New Roman" w:eastAsia="Calibri" w:hAnsi="Times New Roman" w:cs="Times New Roman"/>
          <w:kern w:val="0"/>
          <w:sz w:val="28"/>
          <w:szCs w:val="28"/>
          <w:lang w:val="en-US"/>
          <w14:ligatures w14:val="none"/>
        </w:rPr>
        <w:t>a</w:t>
      </w:r>
      <w:r w:rsidR="004E5D32" w:rsidRPr="005E6AD9">
        <w:rPr>
          <w:rFonts w:ascii="Times New Roman" w:eastAsia="Calibri" w:hAnsi="Times New Roman" w:cs="Times New Roman"/>
          <w:kern w:val="0"/>
          <w:sz w:val="28"/>
          <w:szCs w:val="28"/>
          <w:lang w:val="en-US"/>
          <w14:ligatures w14:val="none"/>
        </w:rPr>
        <w:t xml:space="preserve">dditional </w:t>
      </w:r>
      <w:r w:rsidR="00B70543" w:rsidRPr="005E6AD9">
        <w:rPr>
          <w:rFonts w:ascii="Times New Roman" w:eastAsia="Calibri" w:hAnsi="Times New Roman" w:cs="Times New Roman"/>
          <w:kern w:val="0"/>
          <w:sz w:val="28"/>
          <w:szCs w:val="28"/>
          <w:lang w:val="en-US"/>
          <w14:ligatures w14:val="none"/>
        </w:rPr>
        <w:t>a</w:t>
      </w:r>
      <w:r w:rsidR="004E5D32" w:rsidRPr="005E6AD9">
        <w:rPr>
          <w:rFonts w:ascii="Times New Roman" w:eastAsia="Calibri" w:hAnsi="Times New Roman" w:cs="Times New Roman"/>
          <w:kern w:val="0"/>
          <w:sz w:val="28"/>
          <w:szCs w:val="28"/>
          <w:lang w:val="en-US"/>
          <w14:ligatures w14:val="none"/>
        </w:rPr>
        <w:t xml:space="preserve">ssessments </w:t>
      </w:r>
      <w:r w:rsidR="008041E2" w:rsidRPr="005E6AD9">
        <w:rPr>
          <w:rFonts w:ascii="Times New Roman" w:eastAsia="Calibri" w:hAnsi="Times New Roman" w:cs="Times New Roman"/>
          <w:kern w:val="0"/>
          <w:sz w:val="28"/>
          <w:szCs w:val="28"/>
          <w:lang w:val="en-US"/>
          <w14:ligatures w14:val="none"/>
        </w:rPr>
        <w:t xml:space="preserve">were </w:t>
      </w:r>
      <w:r w:rsidR="004E5D32" w:rsidRPr="005E6AD9">
        <w:rPr>
          <w:rFonts w:ascii="Times New Roman" w:eastAsia="Calibri" w:hAnsi="Times New Roman" w:cs="Times New Roman"/>
          <w:kern w:val="0"/>
          <w:sz w:val="28"/>
          <w:szCs w:val="28"/>
          <w:lang w:val="en-US"/>
          <w14:ligatures w14:val="none"/>
        </w:rPr>
        <w:t>raised by SARS</w:t>
      </w:r>
      <w:r w:rsidR="00AA7ACA" w:rsidRPr="005E6AD9">
        <w:rPr>
          <w:rFonts w:ascii="Times New Roman" w:eastAsia="Calibri" w:hAnsi="Times New Roman" w:cs="Times New Roman"/>
          <w:kern w:val="0"/>
          <w:sz w:val="28"/>
          <w:szCs w:val="28"/>
          <w:lang w:val="en-US"/>
          <w14:ligatures w14:val="none"/>
        </w:rPr>
        <w:t xml:space="preserve">, Absa and United Towers </w:t>
      </w:r>
      <w:r w:rsidR="00B70543" w:rsidRPr="005E6AD9">
        <w:rPr>
          <w:rFonts w:ascii="Times New Roman" w:eastAsia="Calibri" w:hAnsi="Times New Roman" w:cs="Times New Roman"/>
          <w:kern w:val="0"/>
          <w:sz w:val="28"/>
          <w:szCs w:val="28"/>
          <w:lang w:val="en-US"/>
          <w14:ligatures w14:val="none"/>
        </w:rPr>
        <w:t>applied for leave to amend the</w:t>
      </w:r>
      <w:r w:rsidR="00AA7ACA" w:rsidRPr="005E6AD9">
        <w:rPr>
          <w:rFonts w:ascii="Times New Roman" w:eastAsia="Calibri" w:hAnsi="Times New Roman" w:cs="Times New Roman"/>
          <w:kern w:val="0"/>
          <w:sz w:val="28"/>
          <w:szCs w:val="28"/>
          <w:lang w:val="en-US"/>
          <w14:ligatures w14:val="none"/>
        </w:rPr>
        <w:t xml:space="preserve"> notice of motion </w:t>
      </w:r>
      <w:r w:rsidR="004E5D32" w:rsidRPr="005E6AD9">
        <w:rPr>
          <w:rFonts w:ascii="Times New Roman" w:eastAsia="Calibri" w:hAnsi="Times New Roman" w:cs="Times New Roman"/>
          <w:kern w:val="0"/>
          <w:sz w:val="28"/>
          <w:szCs w:val="28"/>
          <w:lang w:val="en-US"/>
          <w14:ligatures w14:val="none"/>
        </w:rPr>
        <w:t xml:space="preserve">in the s 9 review, </w:t>
      </w:r>
      <w:r w:rsidR="00AA7ACA" w:rsidRPr="005E6AD9">
        <w:rPr>
          <w:rFonts w:ascii="Times New Roman" w:eastAsia="Calibri" w:hAnsi="Times New Roman" w:cs="Times New Roman"/>
          <w:kern w:val="0"/>
          <w:sz w:val="28"/>
          <w:szCs w:val="28"/>
          <w:lang w:val="en-US"/>
          <w14:ligatures w14:val="none"/>
        </w:rPr>
        <w:t xml:space="preserve">to extend </w:t>
      </w:r>
      <w:r w:rsidR="004E5D32" w:rsidRPr="005E6AD9">
        <w:rPr>
          <w:rFonts w:ascii="Times New Roman" w:eastAsia="Calibri" w:hAnsi="Times New Roman" w:cs="Times New Roman"/>
          <w:kern w:val="0"/>
          <w:sz w:val="28"/>
          <w:szCs w:val="28"/>
          <w:lang w:val="en-US"/>
          <w14:ligatures w14:val="none"/>
        </w:rPr>
        <w:t>its</w:t>
      </w:r>
      <w:r w:rsidR="00AA7ACA" w:rsidRPr="005E6AD9">
        <w:rPr>
          <w:rFonts w:ascii="Times New Roman" w:eastAsia="Calibri" w:hAnsi="Times New Roman" w:cs="Times New Roman"/>
          <w:kern w:val="0"/>
          <w:sz w:val="28"/>
          <w:szCs w:val="28"/>
          <w:lang w:val="en-US"/>
          <w14:ligatures w14:val="none"/>
        </w:rPr>
        <w:t xml:space="preserve"> reach to include the </w:t>
      </w:r>
      <w:r w:rsidR="004E5D32" w:rsidRPr="005E6AD9">
        <w:rPr>
          <w:rFonts w:ascii="Times New Roman" w:eastAsia="Calibri" w:hAnsi="Times New Roman" w:cs="Times New Roman"/>
          <w:kern w:val="0"/>
          <w:sz w:val="28"/>
          <w:szCs w:val="28"/>
          <w:lang w:val="en-US"/>
          <w14:ligatures w14:val="none"/>
        </w:rPr>
        <w:t xml:space="preserve">review and </w:t>
      </w:r>
      <w:r w:rsidR="00AA7ACA" w:rsidRPr="005E6AD9">
        <w:rPr>
          <w:rFonts w:ascii="Times New Roman" w:eastAsia="Calibri" w:hAnsi="Times New Roman" w:cs="Times New Roman"/>
          <w:kern w:val="0"/>
          <w:sz w:val="28"/>
          <w:szCs w:val="28"/>
          <w:lang w:val="en-US"/>
          <w14:ligatures w14:val="none"/>
        </w:rPr>
        <w:t>setting aside of the assessments</w:t>
      </w:r>
      <w:r w:rsidR="004E5D32" w:rsidRPr="005E6AD9">
        <w:rPr>
          <w:rFonts w:ascii="Times New Roman" w:eastAsia="Calibri" w:hAnsi="Times New Roman" w:cs="Times New Roman"/>
          <w:kern w:val="0"/>
          <w:sz w:val="28"/>
          <w:szCs w:val="28"/>
          <w:lang w:val="en-US"/>
          <w14:ligatures w14:val="none"/>
        </w:rPr>
        <w:t xml:space="preserve"> (the assessment review)</w:t>
      </w:r>
      <w:r w:rsidR="00AA7ACA" w:rsidRPr="005E6AD9">
        <w:rPr>
          <w:rFonts w:ascii="Times New Roman" w:eastAsia="Calibri" w:hAnsi="Times New Roman" w:cs="Times New Roman"/>
          <w:kern w:val="0"/>
          <w:sz w:val="28"/>
          <w:szCs w:val="28"/>
          <w:lang w:val="en-US"/>
          <w14:ligatures w14:val="none"/>
        </w:rPr>
        <w:t xml:space="preserve">. </w:t>
      </w:r>
      <w:r w:rsidR="00B70543" w:rsidRPr="005E6AD9">
        <w:rPr>
          <w:rFonts w:ascii="Times New Roman" w:eastAsia="Calibri" w:hAnsi="Times New Roman" w:cs="Times New Roman"/>
          <w:kern w:val="0"/>
          <w:sz w:val="28"/>
          <w:szCs w:val="28"/>
          <w:lang w:val="en-US"/>
          <w14:ligatures w14:val="none"/>
        </w:rPr>
        <w:t>The application was opposed. Leave was granted, however, and the application was broadened to include the assessment review.</w:t>
      </w:r>
    </w:p>
    <w:p w14:paraId="28756D14" w14:textId="77777777" w:rsidR="008041E2" w:rsidRPr="005E6AD9" w:rsidRDefault="008041E2" w:rsidP="008041E2">
      <w:pPr>
        <w:pStyle w:val="ListParagraph"/>
        <w:rPr>
          <w:rFonts w:ascii="Times New Roman" w:eastAsia="Calibri" w:hAnsi="Times New Roman" w:cs="Times New Roman"/>
          <w:kern w:val="0"/>
          <w:sz w:val="28"/>
          <w:szCs w:val="28"/>
          <w:lang w:val="en-US"/>
          <w14:ligatures w14:val="none"/>
        </w:rPr>
      </w:pPr>
    </w:p>
    <w:p w14:paraId="3BE65D6D" w14:textId="19CF338A" w:rsidR="004E5D32" w:rsidRPr="005E6AD9" w:rsidRDefault="0033268F" w:rsidP="0033268F">
      <w:pPr>
        <w:spacing w:after="0" w:line="360" w:lineRule="auto"/>
        <w:contextualSpacing/>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[8]</w:t>
      </w:r>
      <w:r w:rsidRPr="005E6AD9">
        <w:rPr>
          <w:rFonts w:ascii="Times New Roman" w:eastAsia="Calibri" w:hAnsi="Times New Roman" w:cs="Times New Roman"/>
          <w:kern w:val="0"/>
          <w:sz w:val="28"/>
          <w:szCs w:val="28"/>
          <w:lang w:val="en-US"/>
          <w14:ligatures w14:val="none"/>
        </w:rPr>
        <w:tab/>
      </w:r>
      <w:r w:rsidR="004E5D32" w:rsidRPr="005E6AD9">
        <w:rPr>
          <w:rFonts w:ascii="Times New Roman" w:eastAsia="Calibri" w:hAnsi="Times New Roman" w:cs="Times New Roman"/>
          <w:kern w:val="0"/>
          <w:sz w:val="28"/>
          <w:szCs w:val="28"/>
          <w:lang w:val="en-US"/>
          <w14:ligatures w14:val="none"/>
        </w:rPr>
        <w:t>The</w:t>
      </w:r>
      <w:r w:rsidR="00AA7ACA" w:rsidRPr="005E6AD9">
        <w:rPr>
          <w:rFonts w:ascii="Times New Roman" w:eastAsia="Calibri" w:hAnsi="Times New Roman" w:cs="Times New Roman"/>
          <w:kern w:val="0"/>
          <w:sz w:val="28"/>
          <w:szCs w:val="28"/>
          <w:lang w:val="en-US"/>
          <w14:ligatures w14:val="none"/>
        </w:rPr>
        <w:t xml:space="preserve"> application was heard by </w:t>
      </w:r>
      <w:r w:rsidR="004838B1" w:rsidRPr="002C2BDF">
        <w:rPr>
          <w:rFonts w:ascii="Times New Roman" w:hAnsi="Times New Roman"/>
          <w:kern w:val="0"/>
          <w:sz w:val="28"/>
          <w:lang w:val="en-US"/>
          <w14:ligatures w14:val="none"/>
        </w:rPr>
        <w:t>the high court, which</w:t>
      </w:r>
      <w:r w:rsidR="00AA7ACA" w:rsidRPr="005E6AD9">
        <w:rPr>
          <w:rFonts w:ascii="Times New Roman" w:eastAsia="Calibri" w:hAnsi="Times New Roman" w:cs="Times New Roman"/>
          <w:kern w:val="0"/>
          <w:sz w:val="28"/>
          <w:szCs w:val="28"/>
          <w:lang w:val="en-US"/>
          <w14:ligatures w14:val="none"/>
        </w:rPr>
        <w:t xml:space="preserve"> granted </w:t>
      </w:r>
      <w:r w:rsidR="004E5D32" w:rsidRPr="005E6AD9">
        <w:rPr>
          <w:rFonts w:ascii="Times New Roman" w:eastAsia="Calibri" w:hAnsi="Times New Roman" w:cs="Times New Roman"/>
          <w:kern w:val="0"/>
          <w:sz w:val="28"/>
          <w:szCs w:val="28"/>
          <w:lang w:val="en-US"/>
          <w14:ligatures w14:val="none"/>
        </w:rPr>
        <w:t>orders setting aside the decisions not to withdraw the s 80J notices; withdrawing the notices; and setting aside the additional assessments.</w:t>
      </w:r>
      <w:r w:rsidR="008041E2" w:rsidRPr="005E6AD9">
        <w:rPr>
          <w:rFonts w:ascii="Times New Roman" w:eastAsia="Calibri" w:hAnsi="Times New Roman" w:cs="Times New Roman"/>
          <w:kern w:val="0"/>
          <w:sz w:val="28"/>
          <w:szCs w:val="28"/>
          <w:lang w:val="en-US"/>
          <w14:ligatures w14:val="none"/>
        </w:rPr>
        <w:t xml:space="preserve"> </w:t>
      </w:r>
      <w:r w:rsidR="004E5D32" w:rsidRPr="005E6AD9">
        <w:rPr>
          <w:rFonts w:ascii="Times New Roman" w:eastAsia="Calibri" w:hAnsi="Times New Roman" w:cs="Times New Roman"/>
          <w:kern w:val="0"/>
          <w:sz w:val="28"/>
          <w:szCs w:val="28"/>
          <w:lang w:val="en-US"/>
          <w14:ligatures w14:val="none"/>
        </w:rPr>
        <w:t xml:space="preserve">The high court </w:t>
      </w:r>
      <w:r w:rsidR="008041E2" w:rsidRPr="005E6AD9">
        <w:rPr>
          <w:rFonts w:ascii="Times New Roman" w:eastAsia="Calibri" w:hAnsi="Times New Roman" w:cs="Times New Roman"/>
          <w:kern w:val="0"/>
          <w:sz w:val="28"/>
          <w:szCs w:val="28"/>
          <w:lang w:val="en-US"/>
          <w14:ligatures w14:val="none"/>
        </w:rPr>
        <w:t>concluded</w:t>
      </w:r>
      <w:r w:rsidR="004E5D32" w:rsidRPr="005E6AD9">
        <w:rPr>
          <w:rFonts w:ascii="Times New Roman" w:eastAsia="Calibri" w:hAnsi="Times New Roman" w:cs="Times New Roman"/>
          <w:kern w:val="0"/>
          <w:sz w:val="28"/>
          <w:szCs w:val="28"/>
          <w:lang w:val="en-US"/>
          <w14:ligatures w14:val="none"/>
        </w:rPr>
        <w:t xml:space="preserve"> that the decision</w:t>
      </w:r>
      <w:r w:rsidR="0030327E" w:rsidRPr="005E6AD9">
        <w:rPr>
          <w:rFonts w:ascii="Times New Roman" w:eastAsia="Calibri" w:hAnsi="Times New Roman" w:cs="Times New Roman"/>
          <w:kern w:val="0"/>
          <w:sz w:val="28"/>
          <w:szCs w:val="28"/>
          <w:lang w:val="en-US"/>
          <w14:ligatures w14:val="none"/>
        </w:rPr>
        <w:t>s</w:t>
      </w:r>
      <w:r w:rsidR="004E5D32" w:rsidRPr="005E6AD9">
        <w:rPr>
          <w:rFonts w:ascii="Times New Roman" w:eastAsia="Calibri" w:hAnsi="Times New Roman" w:cs="Times New Roman"/>
          <w:kern w:val="0"/>
          <w:sz w:val="28"/>
          <w:szCs w:val="28"/>
          <w:lang w:val="en-US"/>
          <w14:ligatures w14:val="none"/>
        </w:rPr>
        <w:t xml:space="preserve"> refusing to withdraw the </w:t>
      </w:r>
      <w:r w:rsidR="008041E2" w:rsidRPr="005E6AD9">
        <w:rPr>
          <w:rFonts w:ascii="Times New Roman" w:eastAsia="Calibri" w:hAnsi="Times New Roman" w:cs="Times New Roman"/>
          <w:kern w:val="0"/>
          <w:sz w:val="28"/>
          <w:szCs w:val="28"/>
          <w:lang w:val="en-US"/>
          <w14:ligatures w14:val="none"/>
        </w:rPr>
        <w:t xml:space="preserve">s 80J </w:t>
      </w:r>
      <w:r w:rsidR="004E5D32" w:rsidRPr="005E6AD9">
        <w:rPr>
          <w:rFonts w:ascii="Times New Roman" w:eastAsia="Calibri" w:hAnsi="Times New Roman" w:cs="Times New Roman"/>
          <w:kern w:val="0"/>
          <w:sz w:val="28"/>
          <w:szCs w:val="28"/>
          <w:lang w:val="en-US"/>
          <w14:ligatures w14:val="none"/>
        </w:rPr>
        <w:t>notices w</w:t>
      </w:r>
      <w:r w:rsidR="0030327E" w:rsidRPr="005E6AD9">
        <w:rPr>
          <w:rFonts w:ascii="Times New Roman" w:eastAsia="Calibri" w:hAnsi="Times New Roman" w:cs="Times New Roman"/>
          <w:kern w:val="0"/>
          <w:sz w:val="28"/>
          <w:szCs w:val="28"/>
          <w:lang w:val="en-US"/>
          <w14:ligatures w14:val="none"/>
        </w:rPr>
        <w:t>ere</w:t>
      </w:r>
      <w:r w:rsidR="008041E2" w:rsidRPr="005E6AD9">
        <w:rPr>
          <w:rFonts w:ascii="Times New Roman" w:eastAsia="Calibri" w:hAnsi="Times New Roman" w:cs="Times New Roman"/>
          <w:kern w:val="0"/>
          <w:sz w:val="28"/>
          <w:szCs w:val="28"/>
          <w:lang w:val="en-US"/>
          <w14:ligatures w14:val="none"/>
        </w:rPr>
        <w:t xml:space="preserve"> subject to review based on the principle of legality</w:t>
      </w:r>
      <w:r w:rsidR="00B70543" w:rsidRPr="005E6AD9">
        <w:rPr>
          <w:rFonts w:ascii="Times New Roman" w:eastAsia="Calibri" w:hAnsi="Times New Roman" w:cs="Times New Roman"/>
          <w:kern w:val="0"/>
          <w:sz w:val="28"/>
          <w:szCs w:val="28"/>
          <w:lang w:val="en-US"/>
          <w14:ligatures w14:val="none"/>
        </w:rPr>
        <w:t xml:space="preserve"> notwithstanding that the</w:t>
      </w:r>
      <w:r w:rsidR="0030327E" w:rsidRPr="005E6AD9">
        <w:rPr>
          <w:rFonts w:ascii="Times New Roman" w:eastAsia="Calibri" w:hAnsi="Times New Roman" w:cs="Times New Roman"/>
          <w:kern w:val="0"/>
          <w:sz w:val="28"/>
          <w:szCs w:val="28"/>
          <w:lang w:val="en-US"/>
          <w14:ligatures w14:val="none"/>
        </w:rPr>
        <w:t>y were not final</w:t>
      </w:r>
      <w:r w:rsidR="008041E2" w:rsidRPr="005E6AD9">
        <w:rPr>
          <w:rFonts w:ascii="Times New Roman" w:eastAsia="Calibri" w:hAnsi="Times New Roman" w:cs="Times New Roman"/>
          <w:kern w:val="0"/>
          <w:sz w:val="28"/>
          <w:szCs w:val="28"/>
          <w:lang w:val="en-US"/>
          <w14:ligatures w14:val="none"/>
        </w:rPr>
        <w:t xml:space="preserve">. It held, in relation to the assessment review, that a taxpayer is not obliged only to pursue the remedies for </w:t>
      </w:r>
      <w:r w:rsidR="00622B66" w:rsidRPr="005E6AD9">
        <w:rPr>
          <w:rFonts w:ascii="Times New Roman" w:eastAsia="Calibri" w:hAnsi="Times New Roman" w:cs="Times New Roman"/>
          <w:kern w:val="0"/>
          <w:sz w:val="28"/>
          <w:szCs w:val="28"/>
          <w:lang w:val="en-US"/>
          <w14:ligatures w14:val="none"/>
        </w:rPr>
        <w:t>disputing tax</w:t>
      </w:r>
      <w:r w:rsidR="008041E2" w:rsidRPr="005E6AD9">
        <w:rPr>
          <w:rFonts w:ascii="Times New Roman" w:eastAsia="Calibri" w:hAnsi="Times New Roman" w:cs="Times New Roman"/>
          <w:kern w:val="0"/>
          <w:sz w:val="28"/>
          <w:szCs w:val="28"/>
          <w:lang w:val="en-US"/>
          <w14:ligatures w14:val="none"/>
        </w:rPr>
        <w:t xml:space="preserve"> liability as provided by </w:t>
      </w:r>
      <w:r w:rsidR="0030327E" w:rsidRPr="005E6AD9">
        <w:rPr>
          <w:rFonts w:ascii="Times New Roman" w:eastAsia="Calibri" w:hAnsi="Times New Roman" w:cs="Times New Roman"/>
          <w:kern w:val="0"/>
          <w:sz w:val="28"/>
          <w:szCs w:val="28"/>
          <w:lang w:val="en-US"/>
          <w14:ligatures w14:val="none"/>
        </w:rPr>
        <w:t>s 104 of the TAA</w:t>
      </w:r>
      <w:r w:rsidR="008041E2" w:rsidRPr="005E6AD9">
        <w:rPr>
          <w:rFonts w:ascii="Times New Roman" w:eastAsia="Calibri" w:hAnsi="Times New Roman" w:cs="Times New Roman"/>
          <w:kern w:val="0"/>
          <w:sz w:val="28"/>
          <w:szCs w:val="28"/>
          <w:lang w:val="en-US"/>
          <w14:ligatures w14:val="none"/>
        </w:rPr>
        <w:t xml:space="preserve">. The taxpayer may apply directly to court for relief in exceptional circumstances. Exceptional circumstances would include a dispute that turned wholly upon a point of law. The high court found that the s 80J notices were premised upon an acceptance that Absa and United Towers were ignorant of the </w:t>
      </w:r>
      <w:r w:rsidR="0030327E" w:rsidRPr="005E6AD9">
        <w:rPr>
          <w:rFonts w:ascii="Times New Roman" w:eastAsia="Calibri" w:hAnsi="Times New Roman" w:cs="Times New Roman"/>
          <w:kern w:val="0"/>
          <w:sz w:val="28"/>
          <w:szCs w:val="28"/>
          <w:lang w:val="en-US"/>
          <w14:ligatures w14:val="none"/>
        </w:rPr>
        <w:t xml:space="preserve">terms of the </w:t>
      </w:r>
      <w:r w:rsidR="00622B66" w:rsidRPr="005E6AD9">
        <w:rPr>
          <w:rFonts w:ascii="Times New Roman" w:eastAsia="Calibri" w:hAnsi="Times New Roman" w:cs="Times New Roman"/>
          <w:kern w:val="0"/>
          <w:sz w:val="28"/>
          <w:szCs w:val="28"/>
          <w:lang w:val="en-US"/>
          <w14:ligatures w14:val="none"/>
        </w:rPr>
        <w:t xml:space="preserve">arrangement or scheme. Upon that premise they </w:t>
      </w:r>
      <w:r w:rsidR="0030327E" w:rsidRPr="005E6AD9">
        <w:rPr>
          <w:rFonts w:ascii="Times New Roman" w:eastAsia="Calibri" w:hAnsi="Times New Roman" w:cs="Times New Roman"/>
          <w:kern w:val="0"/>
          <w:sz w:val="28"/>
          <w:szCs w:val="28"/>
          <w:lang w:val="en-US"/>
          <w14:ligatures w14:val="none"/>
        </w:rPr>
        <w:t>could not be</w:t>
      </w:r>
      <w:r w:rsidR="00622B66" w:rsidRPr="005E6AD9">
        <w:rPr>
          <w:rFonts w:ascii="Times New Roman" w:eastAsia="Calibri" w:hAnsi="Times New Roman" w:cs="Times New Roman"/>
          <w:kern w:val="0"/>
          <w:sz w:val="28"/>
          <w:szCs w:val="28"/>
          <w:lang w:val="en-US"/>
          <w14:ligatures w14:val="none"/>
        </w:rPr>
        <w:t xml:space="preserve"> parties to the avoidance arrangement. It held further, that since the notices of assessment were issued upon the factual premise of the s 80J notices, the assessments were tainted by an error of law. The</w:t>
      </w:r>
      <w:r w:rsidR="0030327E" w:rsidRPr="005E6AD9">
        <w:rPr>
          <w:rFonts w:ascii="Times New Roman" w:eastAsia="Calibri" w:hAnsi="Times New Roman" w:cs="Times New Roman"/>
          <w:kern w:val="0"/>
          <w:sz w:val="28"/>
          <w:szCs w:val="28"/>
          <w:lang w:val="en-US"/>
          <w14:ligatures w14:val="none"/>
        </w:rPr>
        <w:t xml:space="preserve"> high court concluded that the</w:t>
      </w:r>
      <w:r w:rsidR="00622B66" w:rsidRPr="005E6AD9">
        <w:rPr>
          <w:rFonts w:ascii="Times New Roman" w:eastAsia="Calibri" w:hAnsi="Times New Roman" w:cs="Times New Roman"/>
          <w:kern w:val="0"/>
          <w:sz w:val="28"/>
          <w:szCs w:val="28"/>
          <w:lang w:val="en-US"/>
          <w14:ligatures w14:val="none"/>
        </w:rPr>
        <w:t xml:space="preserve"> s 80J notices and the assessments were inextricably linked and, accordingly, </w:t>
      </w:r>
      <w:r w:rsidR="009159BC" w:rsidRPr="005E6AD9">
        <w:rPr>
          <w:rFonts w:ascii="Times New Roman" w:eastAsia="Calibri" w:hAnsi="Times New Roman" w:cs="Times New Roman"/>
          <w:kern w:val="0"/>
          <w:sz w:val="28"/>
          <w:szCs w:val="28"/>
          <w:lang w:val="en-US"/>
          <w14:ligatures w14:val="none"/>
        </w:rPr>
        <w:t xml:space="preserve">set aside both </w:t>
      </w:r>
      <w:r w:rsidR="00622B66" w:rsidRPr="005E6AD9">
        <w:rPr>
          <w:rFonts w:ascii="Times New Roman" w:eastAsia="Calibri" w:hAnsi="Times New Roman" w:cs="Times New Roman"/>
          <w:kern w:val="0"/>
          <w:sz w:val="28"/>
          <w:szCs w:val="28"/>
          <w:lang w:val="en-US"/>
          <w14:ligatures w14:val="none"/>
        </w:rPr>
        <w:t>sets of decisions.</w:t>
      </w:r>
    </w:p>
    <w:p w14:paraId="0F9AEB2D" w14:textId="77777777" w:rsidR="0030327E" w:rsidRPr="005E6AD9" w:rsidRDefault="0030327E" w:rsidP="007D0380">
      <w:pPr>
        <w:spacing w:after="0" w:line="360" w:lineRule="auto"/>
        <w:contextualSpacing/>
        <w:jc w:val="both"/>
        <w:rPr>
          <w:rFonts w:ascii="Times New Roman" w:eastAsia="Calibri" w:hAnsi="Times New Roman" w:cs="Times New Roman"/>
          <w:b/>
          <w:bCs/>
          <w:kern w:val="0"/>
          <w:sz w:val="28"/>
          <w:szCs w:val="28"/>
          <w:lang w:val="en-US"/>
          <w14:ligatures w14:val="none"/>
        </w:rPr>
      </w:pPr>
    </w:p>
    <w:p w14:paraId="72D821E5" w14:textId="77777777" w:rsidR="00AB69C4" w:rsidRPr="005E6AD9" w:rsidRDefault="00AB69C4" w:rsidP="007D0380">
      <w:pPr>
        <w:spacing w:after="0" w:line="360" w:lineRule="auto"/>
        <w:contextualSpacing/>
        <w:jc w:val="both"/>
        <w:rPr>
          <w:rFonts w:ascii="Times New Roman" w:eastAsia="Calibri" w:hAnsi="Times New Roman" w:cs="Times New Roman"/>
          <w:b/>
          <w:bCs/>
          <w:kern w:val="0"/>
          <w:sz w:val="28"/>
          <w:szCs w:val="28"/>
          <w:lang w:val="en-US"/>
          <w14:ligatures w14:val="none"/>
        </w:rPr>
      </w:pPr>
      <w:r w:rsidRPr="005E6AD9">
        <w:rPr>
          <w:rFonts w:ascii="Times New Roman" w:eastAsia="Calibri" w:hAnsi="Times New Roman" w:cs="Times New Roman"/>
          <w:b/>
          <w:bCs/>
          <w:kern w:val="0"/>
          <w:sz w:val="28"/>
          <w:szCs w:val="28"/>
          <w:lang w:val="en-US"/>
          <w14:ligatures w14:val="none"/>
        </w:rPr>
        <w:t>The issues on appeal</w:t>
      </w:r>
    </w:p>
    <w:p w14:paraId="689949D2" w14:textId="1354084D" w:rsidR="00161BBC" w:rsidRPr="005E6AD9" w:rsidRDefault="0033268F" w:rsidP="0033268F">
      <w:pPr>
        <w:spacing w:after="0" w:line="360" w:lineRule="auto"/>
        <w:contextualSpacing/>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[9]</w:t>
      </w:r>
      <w:r w:rsidRPr="005E6AD9">
        <w:rPr>
          <w:rFonts w:ascii="Times New Roman" w:eastAsia="Calibri" w:hAnsi="Times New Roman" w:cs="Times New Roman"/>
          <w:kern w:val="0"/>
          <w:sz w:val="28"/>
          <w:szCs w:val="28"/>
          <w:lang w:val="en-US"/>
          <w14:ligatures w14:val="none"/>
        </w:rPr>
        <w:tab/>
      </w:r>
      <w:r w:rsidR="00AA7ACA" w:rsidRPr="005E6AD9">
        <w:rPr>
          <w:rFonts w:ascii="Times New Roman" w:eastAsia="Calibri" w:hAnsi="Times New Roman" w:cs="Times New Roman"/>
          <w:kern w:val="0"/>
          <w:sz w:val="28"/>
          <w:szCs w:val="28"/>
          <w:lang w:val="en-US"/>
          <w14:ligatures w14:val="none"/>
        </w:rPr>
        <w:t>The appeal</w:t>
      </w:r>
      <w:r w:rsidR="00161BBC" w:rsidRPr="005E6AD9">
        <w:rPr>
          <w:rFonts w:ascii="Times New Roman" w:eastAsia="Calibri" w:hAnsi="Times New Roman" w:cs="Times New Roman"/>
          <w:kern w:val="0"/>
          <w:sz w:val="28"/>
          <w:szCs w:val="28"/>
          <w:lang w:val="en-US"/>
          <w14:ligatures w14:val="none"/>
        </w:rPr>
        <w:t xml:space="preserve"> concerns two distinct review applications </w:t>
      </w:r>
      <w:r w:rsidR="00972483" w:rsidRPr="005E6AD9">
        <w:rPr>
          <w:rFonts w:ascii="Times New Roman" w:eastAsia="Calibri" w:hAnsi="Times New Roman" w:cs="Times New Roman"/>
          <w:kern w:val="0"/>
          <w:sz w:val="28"/>
          <w:szCs w:val="28"/>
          <w:lang w:val="en-US"/>
          <w14:ligatures w14:val="none"/>
        </w:rPr>
        <w:t>in</w:t>
      </w:r>
      <w:r w:rsidR="00161BBC" w:rsidRPr="005E6AD9">
        <w:rPr>
          <w:rFonts w:ascii="Times New Roman" w:eastAsia="Calibri" w:hAnsi="Times New Roman" w:cs="Times New Roman"/>
          <w:kern w:val="0"/>
          <w:sz w:val="28"/>
          <w:szCs w:val="28"/>
          <w:lang w:val="en-US"/>
          <w14:ligatures w14:val="none"/>
        </w:rPr>
        <w:t xml:space="preserve"> a composite notice of motion. The first relates to the refusal or failure to withdraw the s 80J notices upon a request made in terms of s 9 of the TAA. It was founded upon </w:t>
      </w:r>
      <w:r w:rsidR="00E93863" w:rsidRPr="005E6AD9">
        <w:rPr>
          <w:rFonts w:ascii="Times New Roman" w:eastAsia="Calibri" w:hAnsi="Times New Roman" w:cs="Times New Roman"/>
          <w:kern w:val="0"/>
          <w:sz w:val="28"/>
          <w:szCs w:val="28"/>
          <w:lang w:val="en-US"/>
          <w14:ligatures w14:val="none"/>
        </w:rPr>
        <w:t xml:space="preserve">the </w:t>
      </w:r>
      <w:r w:rsidR="00D43337" w:rsidRPr="005E6AD9">
        <w:rPr>
          <w:rFonts w:ascii="Times New Roman" w:eastAsia="Calibri" w:hAnsi="Times New Roman" w:cs="Times New Roman"/>
          <w:kern w:val="0"/>
          <w:sz w:val="28"/>
          <w:szCs w:val="28"/>
          <w:lang w:val="en-US"/>
          <w14:ligatures w14:val="none"/>
        </w:rPr>
        <w:t>contention</w:t>
      </w:r>
      <w:r w:rsidR="00E93863" w:rsidRPr="005E6AD9">
        <w:rPr>
          <w:rFonts w:ascii="Times New Roman" w:eastAsia="Calibri" w:hAnsi="Times New Roman" w:cs="Times New Roman"/>
          <w:kern w:val="0"/>
          <w:sz w:val="28"/>
          <w:szCs w:val="28"/>
          <w:lang w:val="en-US"/>
          <w14:ligatures w14:val="none"/>
        </w:rPr>
        <w:t xml:space="preserve"> that SARS was wrong in its view that the </w:t>
      </w:r>
      <w:r w:rsidR="00D43337" w:rsidRPr="005E6AD9">
        <w:rPr>
          <w:rFonts w:ascii="Times New Roman" w:eastAsia="Calibri" w:hAnsi="Times New Roman" w:cs="Times New Roman"/>
          <w:kern w:val="0"/>
          <w:sz w:val="28"/>
          <w:szCs w:val="28"/>
          <w:lang w:val="en-US"/>
          <w14:ligatures w14:val="none"/>
        </w:rPr>
        <w:t xml:space="preserve">objections to the </w:t>
      </w:r>
      <w:r w:rsidR="00906720" w:rsidRPr="005E6AD9">
        <w:rPr>
          <w:rFonts w:ascii="Times New Roman" w:eastAsia="Calibri" w:hAnsi="Times New Roman" w:cs="Times New Roman"/>
          <w:kern w:val="0"/>
          <w:sz w:val="28"/>
          <w:szCs w:val="28"/>
          <w:lang w:val="en-US"/>
          <w14:ligatures w14:val="none"/>
        </w:rPr>
        <w:br/>
      </w:r>
      <w:r w:rsidR="00D43337" w:rsidRPr="005E6AD9">
        <w:rPr>
          <w:rFonts w:ascii="Times New Roman" w:eastAsia="Calibri" w:hAnsi="Times New Roman" w:cs="Times New Roman"/>
          <w:kern w:val="0"/>
          <w:sz w:val="28"/>
          <w:szCs w:val="28"/>
          <w:lang w:val="en-US"/>
          <w14:ligatures w14:val="none"/>
        </w:rPr>
        <w:t xml:space="preserve">s 80J </w:t>
      </w:r>
      <w:r w:rsidR="00D43337" w:rsidRPr="002C2BDF">
        <w:rPr>
          <w:rFonts w:ascii="Times New Roman" w:hAnsi="Times New Roman"/>
          <w:kern w:val="0"/>
          <w:sz w:val="28"/>
          <w:lang w:val="en-US"/>
          <w14:ligatures w14:val="none"/>
        </w:rPr>
        <w:t>notices ra</w:t>
      </w:r>
      <w:r w:rsidR="00D43337" w:rsidRPr="005E6AD9">
        <w:rPr>
          <w:rFonts w:ascii="Times New Roman" w:eastAsia="Calibri" w:hAnsi="Times New Roman" w:cs="Times New Roman"/>
          <w:kern w:val="0"/>
          <w:sz w:val="28"/>
          <w:szCs w:val="28"/>
          <w:lang w:val="en-US"/>
          <w14:ligatures w14:val="none"/>
        </w:rPr>
        <w:t xml:space="preserve">ised by Absa and United Towers, should be addressed in their responses to the notices. It was also contended that the </w:t>
      </w:r>
      <w:r w:rsidR="00161BBC" w:rsidRPr="005E6AD9">
        <w:rPr>
          <w:rFonts w:ascii="Times New Roman" w:eastAsia="Calibri" w:hAnsi="Times New Roman" w:cs="Times New Roman"/>
          <w:kern w:val="0"/>
          <w:sz w:val="28"/>
          <w:szCs w:val="28"/>
          <w:lang w:val="en-US"/>
          <w14:ligatures w14:val="none"/>
        </w:rPr>
        <w:t xml:space="preserve">principle of </w:t>
      </w:r>
      <w:r w:rsidR="00D7104A" w:rsidRPr="005E6AD9">
        <w:rPr>
          <w:rFonts w:ascii="Times New Roman" w:eastAsia="Calibri" w:hAnsi="Times New Roman" w:cs="Times New Roman"/>
          <w:kern w:val="0"/>
          <w:sz w:val="28"/>
          <w:szCs w:val="28"/>
          <w:lang w:val="en-US"/>
          <w14:ligatures w14:val="none"/>
        </w:rPr>
        <w:t xml:space="preserve">legality </w:t>
      </w:r>
      <w:r w:rsidR="00D43337" w:rsidRPr="005E6AD9">
        <w:rPr>
          <w:rFonts w:ascii="Times New Roman" w:eastAsia="Calibri" w:hAnsi="Times New Roman" w:cs="Times New Roman"/>
          <w:kern w:val="0"/>
          <w:sz w:val="28"/>
          <w:szCs w:val="28"/>
          <w:lang w:val="en-US"/>
          <w14:ligatures w14:val="none"/>
        </w:rPr>
        <w:t xml:space="preserve">was breached </w:t>
      </w:r>
      <w:r w:rsidR="00D7104A" w:rsidRPr="005E6AD9">
        <w:rPr>
          <w:rFonts w:ascii="Times New Roman" w:eastAsia="Calibri" w:hAnsi="Times New Roman" w:cs="Times New Roman"/>
          <w:kern w:val="0"/>
          <w:sz w:val="28"/>
          <w:szCs w:val="28"/>
          <w:lang w:val="en-US"/>
          <w14:ligatures w14:val="none"/>
        </w:rPr>
        <w:t>since</w:t>
      </w:r>
      <w:r w:rsidR="00161BBC" w:rsidRPr="005E6AD9">
        <w:rPr>
          <w:rFonts w:ascii="Times New Roman" w:eastAsia="Calibri" w:hAnsi="Times New Roman" w:cs="Times New Roman"/>
          <w:kern w:val="0"/>
          <w:sz w:val="28"/>
          <w:szCs w:val="28"/>
          <w:lang w:val="en-US"/>
          <w14:ligatures w14:val="none"/>
        </w:rPr>
        <w:t xml:space="preserve"> the issuing of the notices was based upon an error of law. The error </w:t>
      </w:r>
      <w:r w:rsidR="00972483" w:rsidRPr="005E6AD9">
        <w:rPr>
          <w:rFonts w:ascii="Times New Roman" w:eastAsia="Calibri" w:hAnsi="Times New Roman" w:cs="Times New Roman"/>
          <w:kern w:val="0"/>
          <w:sz w:val="28"/>
          <w:szCs w:val="28"/>
          <w:lang w:val="en-US"/>
          <w14:ligatures w14:val="none"/>
        </w:rPr>
        <w:t xml:space="preserve">was </w:t>
      </w:r>
      <w:r w:rsidR="00161BBC" w:rsidRPr="005E6AD9">
        <w:rPr>
          <w:rFonts w:ascii="Times New Roman" w:eastAsia="Calibri" w:hAnsi="Times New Roman" w:cs="Times New Roman"/>
          <w:kern w:val="0"/>
          <w:sz w:val="28"/>
          <w:szCs w:val="28"/>
          <w:lang w:val="en-US"/>
          <w14:ligatures w14:val="none"/>
        </w:rPr>
        <w:t xml:space="preserve">that Absa and United Towers were parties to an avoidance arrangement </w:t>
      </w:r>
      <w:r w:rsidR="00972483" w:rsidRPr="005E6AD9">
        <w:rPr>
          <w:rFonts w:ascii="Times New Roman" w:eastAsia="Calibri" w:hAnsi="Times New Roman" w:cs="Times New Roman"/>
          <w:kern w:val="0"/>
          <w:sz w:val="28"/>
          <w:szCs w:val="28"/>
          <w:lang w:val="en-US"/>
          <w14:ligatures w14:val="none"/>
        </w:rPr>
        <w:t>even though</w:t>
      </w:r>
      <w:r w:rsidR="00161BBC" w:rsidRPr="005E6AD9">
        <w:rPr>
          <w:rFonts w:ascii="Times New Roman" w:eastAsia="Calibri" w:hAnsi="Times New Roman" w:cs="Times New Roman"/>
          <w:kern w:val="0"/>
          <w:sz w:val="28"/>
          <w:szCs w:val="28"/>
          <w:lang w:val="en-US"/>
          <w14:ligatures w14:val="none"/>
        </w:rPr>
        <w:t xml:space="preserve"> they had no knowledge of the arrangement and had derived a tax benefit from </w:t>
      </w:r>
      <w:r w:rsidR="00972483" w:rsidRPr="005E6AD9">
        <w:rPr>
          <w:rFonts w:ascii="Times New Roman" w:eastAsia="Calibri" w:hAnsi="Times New Roman" w:cs="Times New Roman"/>
          <w:kern w:val="0"/>
          <w:sz w:val="28"/>
          <w:szCs w:val="28"/>
          <w:lang w:val="en-US"/>
          <w14:ligatures w14:val="none"/>
        </w:rPr>
        <w:t xml:space="preserve">it, </w:t>
      </w:r>
      <w:r w:rsidR="00161BBC" w:rsidRPr="005E6AD9">
        <w:rPr>
          <w:rFonts w:ascii="Times New Roman" w:eastAsia="Calibri" w:hAnsi="Times New Roman" w:cs="Times New Roman"/>
          <w:kern w:val="0"/>
          <w:sz w:val="28"/>
          <w:szCs w:val="28"/>
          <w:lang w:val="en-US"/>
          <w14:ligatures w14:val="none"/>
        </w:rPr>
        <w:t xml:space="preserve">to which they would otherwise </w:t>
      </w:r>
      <w:r w:rsidR="00972483" w:rsidRPr="005E6AD9">
        <w:rPr>
          <w:rFonts w:ascii="Times New Roman" w:eastAsia="Calibri" w:hAnsi="Times New Roman" w:cs="Times New Roman"/>
          <w:kern w:val="0"/>
          <w:sz w:val="28"/>
          <w:szCs w:val="28"/>
          <w:lang w:val="en-US"/>
          <w14:ligatures w14:val="none"/>
        </w:rPr>
        <w:t xml:space="preserve">not </w:t>
      </w:r>
      <w:r w:rsidR="00161BBC" w:rsidRPr="005E6AD9">
        <w:rPr>
          <w:rFonts w:ascii="Times New Roman" w:eastAsia="Calibri" w:hAnsi="Times New Roman" w:cs="Times New Roman"/>
          <w:kern w:val="0"/>
          <w:sz w:val="28"/>
          <w:szCs w:val="28"/>
          <w:lang w:val="en-US"/>
          <w14:ligatures w14:val="none"/>
        </w:rPr>
        <w:t>have been entitled.</w:t>
      </w:r>
    </w:p>
    <w:p w14:paraId="5BB1F267" w14:textId="77777777" w:rsidR="00161BBC" w:rsidRPr="005E6AD9" w:rsidRDefault="00161BBC" w:rsidP="00161BBC">
      <w:pPr>
        <w:pStyle w:val="ListParagraph"/>
        <w:rPr>
          <w:rFonts w:ascii="Times New Roman" w:eastAsia="Calibri" w:hAnsi="Times New Roman" w:cs="Times New Roman"/>
          <w:kern w:val="0"/>
          <w:sz w:val="28"/>
          <w:szCs w:val="28"/>
          <w:lang w:val="en-US"/>
          <w14:ligatures w14:val="none"/>
        </w:rPr>
      </w:pPr>
    </w:p>
    <w:p w14:paraId="54AD2F96" w14:textId="1EB7FC3A" w:rsidR="005C6487" w:rsidRPr="005E6AD9" w:rsidRDefault="0033268F" w:rsidP="0033268F">
      <w:pPr>
        <w:spacing w:after="0" w:line="360" w:lineRule="auto"/>
        <w:contextualSpacing/>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[10]</w:t>
      </w:r>
      <w:r w:rsidRPr="005E6AD9">
        <w:rPr>
          <w:rFonts w:ascii="Times New Roman" w:eastAsia="Calibri" w:hAnsi="Times New Roman" w:cs="Times New Roman"/>
          <w:kern w:val="0"/>
          <w:sz w:val="28"/>
          <w:szCs w:val="28"/>
          <w:lang w:val="en-US"/>
          <w14:ligatures w14:val="none"/>
        </w:rPr>
        <w:tab/>
      </w:r>
      <w:r w:rsidR="00161BBC" w:rsidRPr="005E6AD9">
        <w:rPr>
          <w:rFonts w:ascii="Times New Roman" w:eastAsia="Calibri" w:hAnsi="Times New Roman" w:cs="Times New Roman"/>
          <w:kern w:val="0"/>
          <w:sz w:val="28"/>
          <w:szCs w:val="28"/>
          <w:lang w:val="en-US"/>
          <w14:ligatures w14:val="none"/>
        </w:rPr>
        <w:t xml:space="preserve">The second review </w:t>
      </w:r>
      <w:r w:rsidR="00972483" w:rsidRPr="005E6AD9">
        <w:rPr>
          <w:rFonts w:ascii="Times New Roman" w:eastAsia="Calibri" w:hAnsi="Times New Roman" w:cs="Times New Roman"/>
          <w:kern w:val="0"/>
          <w:sz w:val="28"/>
          <w:szCs w:val="28"/>
          <w:lang w:val="en-US"/>
          <w14:ligatures w14:val="none"/>
        </w:rPr>
        <w:t>concerned</w:t>
      </w:r>
      <w:r w:rsidR="00161BBC" w:rsidRPr="005E6AD9">
        <w:rPr>
          <w:rFonts w:ascii="Times New Roman" w:eastAsia="Calibri" w:hAnsi="Times New Roman" w:cs="Times New Roman"/>
          <w:kern w:val="0"/>
          <w:sz w:val="28"/>
          <w:szCs w:val="28"/>
          <w:lang w:val="en-US"/>
          <w14:ligatures w14:val="none"/>
        </w:rPr>
        <w:t xml:space="preserve"> the additional tax assessments raised by SARS. This review </w:t>
      </w:r>
      <w:r w:rsidR="005C6487" w:rsidRPr="005E6AD9">
        <w:rPr>
          <w:rFonts w:ascii="Times New Roman" w:eastAsia="Calibri" w:hAnsi="Times New Roman" w:cs="Times New Roman"/>
          <w:kern w:val="0"/>
          <w:sz w:val="28"/>
          <w:szCs w:val="28"/>
          <w:lang w:val="en-US"/>
          <w14:ligatures w14:val="none"/>
        </w:rPr>
        <w:t>engaged</w:t>
      </w:r>
      <w:r w:rsidR="00161BBC" w:rsidRPr="005E6AD9">
        <w:rPr>
          <w:rFonts w:ascii="Times New Roman" w:eastAsia="Calibri" w:hAnsi="Times New Roman" w:cs="Times New Roman"/>
          <w:kern w:val="0"/>
          <w:sz w:val="28"/>
          <w:szCs w:val="28"/>
          <w:lang w:val="en-US"/>
          <w14:ligatures w14:val="none"/>
        </w:rPr>
        <w:t xml:space="preserve"> the exercise of the high court’s review jurisdiction to set aside the assessments either under the Promotion of Administrative Justice Act</w:t>
      </w:r>
      <w:r w:rsidR="005C6487" w:rsidRPr="005E6AD9">
        <w:rPr>
          <w:rFonts w:ascii="Times New Roman" w:eastAsia="Calibri" w:hAnsi="Times New Roman" w:cs="Times New Roman"/>
          <w:kern w:val="0"/>
          <w:sz w:val="28"/>
          <w:szCs w:val="28"/>
          <w:lang w:val="en-US"/>
          <w14:ligatures w14:val="none"/>
        </w:rPr>
        <w:t>, Act 3 of 2000 (PAJA) or the principle of legality.</w:t>
      </w:r>
      <w:r w:rsidR="00161BBC" w:rsidRPr="005E6AD9">
        <w:rPr>
          <w:rFonts w:ascii="Times New Roman" w:eastAsia="Calibri" w:hAnsi="Times New Roman" w:cs="Times New Roman"/>
          <w:kern w:val="0"/>
          <w:sz w:val="28"/>
          <w:szCs w:val="28"/>
          <w:lang w:val="en-US"/>
          <w14:ligatures w14:val="none"/>
        </w:rPr>
        <w:t xml:space="preserve"> </w:t>
      </w:r>
      <w:r w:rsidR="00AA7ACA" w:rsidRPr="005E6AD9">
        <w:rPr>
          <w:rFonts w:ascii="Times New Roman" w:eastAsia="Calibri" w:hAnsi="Times New Roman" w:cs="Times New Roman"/>
          <w:kern w:val="0"/>
          <w:sz w:val="28"/>
          <w:szCs w:val="28"/>
          <w:lang w:val="en-US"/>
          <w14:ligatures w14:val="none"/>
        </w:rPr>
        <w:t xml:space="preserve"> </w:t>
      </w:r>
      <w:r w:rsidR="005C6487" w:rsidRPr="005E6AD9">
        <w:rPr>
          <w:rFonts w:ascii="Times New Roman" w:eastAsia="Calibri" w:hAnsi="Times New Roman" w:cs="Times New Roman"/>
          <w:kern w:val="0"/>
          <w:sz w:val="28"/>
          <w:szCs w:val="28"/>
          <w:lang w:val="en-US"/>
          <w14:ligatures w14:val="none"/>
        </w:rPr>
        <w:t xml:space="preserve">It was founded upon the same grounds as the attack on the s 80J notices. </w:t>
      </w:r>
    </w:p>
    <w:p w14:paraId="130762FD" w14:textId="77777777" w:rsidR="005C6487" w:rsidRPr="005E6AD9" w:rsidRDefault="005C6487" w:rsidP="005C6487">
      <w:pPr>
        <w:pStyle w:val="ListParagraph"/>
        <w:rPr>
          <w:rFonts w:ascii="Times New Roman" w:eastAsia="Calibri" w:hAnsi="Times New Roman" w:cs="Times New Roman"/>
          <w:kern w:val="0"/>
          <w:sz w:val="28"/>
          <w:szCs w:val="28"/>
          <w:lang w:val="en-US"/>
          <w14:ligatures w14:val="none"/>
        </w:rPr>
      </w:pPr>
    </w:p>
    <w:p w14:paraId="1D6D410E" w14:textId="41636F77" w:rsidR="00F622FB" w:rsidRPr="005E6AD9" w:rsidRDefault="0033268F" w:rsidP="0033268F">
      <w:pPr>
        <w:spacing w:after="0" w:line="360" w:lineRule="auto"/>
        <w:contextualSpacing/>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[11]</w:t>
      </w:r>
      <w:r w:rsidRPr="005E6AD9">
        <w:rPr>
          <w:rFonts w:ascii="Times New Roman" w:eastAsia="Calibri" w:hAnsi="Times New Roman" w:cs="Times New Roman"/>
          <w:kern w:val="0"/>
          <w:sz w:val="28"/>
          <w:szCs w:val="28"/>
          <w:lang w:val="en-US"/>
          <w14:ligatures w14:val="none"/>
        </w:rPr>
        <w:tab/>
      </w:r>
      <w:r w:rsidR="005C6487" w:rsidRPr="005E6AD9">
        <w:rPr>
          <w:rFonts w:ascii="Times New Roman" w:eastAsia="Calibri" w:hAnsi="Times New Roman" w:cs="Times New Roman"/>
          <w:kern w:val="0"/>
          <w:sz w:val="28"/>
          <w:szCs w:val="28"/>
          <w:lang w:val="en-US"/>
          <w14:ligatures w14:val="none"/>
        </w:rPr>
        <w:t>The following issues arise</w:t>
      </w:r>
      <w:r w:rsidR="00D43337" w:rsidRPr="005E6AD9">
        <w:rPr>
          <w:rFonts w:ascii="Times New Roman" w:eastAsia="Calibri" w:hAnsi="Times New Roman" w:cs="Times New Roman"/>
          <w:kern w:val="0"/>
          <w:sz w:val="28"/>
          <w:szCs w:val="28"/>
          <w:lang w:val="en-US"/>
          <w14:ligatures w14:val="none"/>
        </w:rPr>
        <w:t xml:space="preserve"> in relation to these two reviews:</w:t>
      </w:r>
    </w:p>
    <w:p w14:paraId="036571F5" w14:textId="77777777" w:rsidR="00F622FB" w:rsidRPr="005E6AD9" w:rsidRDefault="00906720" w:rsidP="00B3321F">
      <w:pPr>
        <w:spacing w:after="0" w:line="360" w:lineRule="auto"/>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(a)</w:t>
      </w:r>
      <w:r w:rsidR="00B3321F" w:rsidRPr="005E6AD9">
        <w:rPr>
          <w:rFonts w:ascii="Times New Roman" w:eastAsia="Calibri" w:hAnsi="Times New Roman" w:cs="Times New Roman"/>
          <w:kern w:val="0"/>
          <w:sz w:val="28"/>
          <w:szCs w:val="28"/>
          <w:lang w:val="en-US"/>
          <w14:ligatures w14:val="none"/>
        </w:rPr>
        <w:tab/>
      </w:r>
      <w:r w:rsidR="00F622FB" w:rsidRPr="005E6AD9">
        <w:rPr>
          <w:rFonts w:ascii="Times New Roman" w:eastAsia="Calibri" w:hAnsi="Times New Roman" w:cs="Times New Roman"/>
          <w:kern w:val="0"/>
          <w:sz w:val="28"/>
          <w:szCs w:val="28"/>
          <w:lang w:val="en-US"/>
          <w14:ligatures w14:val="none"/>
        </w:rPr>
        <w:t>Is a ‘decision’ not to withdraw a s 80J notice</w:t>
      </w:r>
      <w:r w:rsidR="00F3220B" w:rsidRPr="005E6AD9">
        <w:rPr>
          <w:rFonts w:ascii="Times New Roman" w:eastAsia="Calibri" w:hAnsi="Times New Roman" w:cs="Times New Roman"/>
          <w:kern w:val="0"/>
          <w:sz w:val="28"/>
          <w:szCs w:val="28"/>
          <w:lang w:val="en-US"/>
          <w14:ligatures w14:val="none"/>
        </w:rPr>
        <w:t xml:space="preserve"> </w:t>
      </w:r>
      <w:r w:rsidR="004838B1" w:rsidRPr="002C2BDF">
        <w:rPr>
          <w:rFonts w:ascii="Times New Roman" w:hAnsi="Times New Roman"/>
          <w:kern w:val="0"/>
          <w:sz w:val="28"/>
          <w:lang w:val="en-US"/>
          <w14:ligatures w14:val="none"/>
        </w:rPr>
        <w:t>reviewable</w:t>
      </w:r>
      <w:r w:rsidR="00F3220B" w:rsidRPr="002C2BDF">
        <w:rPr>
          <w:rFonts w:ascii="Times New Roman" w:hAnsi="Times New Roman"/>
          <w:kern w:val="0"/>
          <w:sz w:val="28"/>
          <w:lang w:val="en-US"/>
          <w14:ligatures w14:val="none"/>
        </w:rPr>
        <w:t xml:space="preserve"> </w:t>
      </w:r>
      <w:r w:rsidR="00972483" w:rsidRPr="005E6AD9">
        <w:rPr>
          <w:rFonts w:ascii="Times New Roman" w:eastAsia="Calibri" w:hAnsi="Times New Roman" w:cs="Times New Roman"/>
          <w:kern w:val="0"/>
          <w:sz w:val="28"/>
          <w:szCs w:val="28"/>
          <w:lang w:val="en-US"/>
          <w14:ligatures w14:val="none"/>
        </w:rPr>
        <w:t xml:space="preserve">in </w:t>
      </w:r>
      <w:r w:rsidR="00F3220B" w:rsidRPr="002C2BDF">
        <w:rPr>
          <w:rFonts w:ascii="Times New Roman" w:hAnsi="Times New Roman"/>
          <w:kern w:val="0"/>
          <w:sz w:val="28"/>
          <w:lang w:val="en-US"/>
          <w14:ligatures w14:val="none"/>
        </w:rPr>
        <w:t>t</w:t>
      </w:r>
      <w:r w:rsidR="00F3220B" w:rsidRPr="005E6AD9">
        <w:rPr>
          <w:rFonts w:ascii="Times New Roman" w:eastAsia="Calibri" w:hAnsi="Times New Roman" w:cs="Times New Roman"/>
          <w:kern w:val="0"/>
          <w:sz w:val="28"/>
          <w:szCs w:val="28"/>
          <w:lang w:val="en-US"/>
          <w14:ligatures w14:val="none"/>
        </w:rPr>
        <w:t>erms of s 9 of the TAA</w:t>
      </w:r>
      <w:r w:rsidR="003A725B" w:rsidRPr="005E6AD9">
        <w:rPr>
          <w:rFonts w:ascii="Times New Roman" w:eastAsia="Calibri" w:hAnsi="Times New Roman" w:cs="Times New Roman"/>
          <w:kern w:val="0"/>
          <w:sz w:val="28"/>
          <w:szCs w:val="28"/>
          <w:lang w:val="en-US"/>
          <w14:ligatures w14:val="none"/>
        </w:rPr>
        <w:t xml:space="preserve">, either prior to or after the issuing of a notice of assessment in terms of s 80B of the ITA? </w:t>
      </w:r>
    </w:p>
    <w:p w14:paraId="65D17C7F" w14:textId="77777777" w:rsidR="003A725B" w:rsidRPr="005E6AD9" w:rsidRDefault="00906720" w:rsidP="00B3321F">
      <w:pPr>
        <w:spacing w:after="0" w:line="360" w:lineRule="auto"/>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(b)</w:t>
      </w:r>
      <w:r w:rsidR="00B3321F" w:rsidRPr="005E6AD9">
        <w:rPr>
          <w:rFonts w:ascii="Times New Roman" w:eastAsia="Calibri" w:hAnsi="Times New Roman" w:cs="Times New Roman"/>
          <w:kern w:val="0"/>
          <w:sz w:val="28"/>
          <w:szCs w:val="28"/>
          <w:lang w:val="en-US"/>
          <w14:ligatures w14:val="none"/>
        </w:rPr>
        <w:tab/>
      </w:r>
      <w:r w:rsidR="003A725B" w:rsidRPr="005E6AD9">
        <w:rPr>
          <w:rFonts w:ascii="Times New Roman" w:eastAsia="Calibri" w:hAnsi="Times New Roman" w:cs="Times New Roman"/>
          <w:kern w:val="0"/>
          <w:sz w:val="28"/>
          <w:szCs w:val="28"/>
          <w:lang w:val="en-US"/>
          <w14:ligatures w14:val="none"/>
        </w:rPr>
        <w:t xml:space="preserve">Was the high court correct to characterize the </w:t>
      </w:r>
      <w:r w:rsidR="00AD1C62" w:rsidRPr="002C2BDF">
        <w:rPr>
          <w:rFonts w:ascii="Times New Roman" w:hAnsi="Times New Roman"/>
          <w:kern w:val="0"/>
          <w:sz w:val="28"/>
          <w:lang w:val="en-US"/>
          <w14:ligatures w14:val="none"/>
        </w:rPr>
        <w:t>challenge to</w:t>
      </w:r>
      <w:r w:rsidR="003A725B" w:rsidRPr="005E6AD9">
        <w:rPr>
          <w:rFonts w:ascii="Times New Roman" w:eastAsia="Calibri" w:hAnsi="Times New Roman" w:cs="Times New Roman"/>
          <w:kern w:val="0"/>
          <w:sz w:val="28"/>
          <w:szCs w:val="28"/>
          <w:lang w:val="en-US"/>
          <w14:ligatures w14:val="none"/>
        </w:rPr>
        <w:t xml:space="preserve"> the assessments as wholly a question of law which entitled it to exercise its jurisdiction in terms of s 105 of the TAA?</w:t>
      </w:r>
    </w:p>
    <w:p w14:paraId="30A212B1" w14:textId="77777777" w:rsidR="00C036FD" w:rsidRPr="005E6AD9" w:rsidRDefault="00906720" w:rsidP="00B3321F">
      <w:pPr>
        <w:spacing w:after="0" w:line="360" w:lineRule="auto"/>
        <w:jc w:val="both"/>
        <w:rPr>
          <w:rFonts w:ascii="Times New Roman" w:eastAsia="Calibri" w:hAnsi="Times New Roman" w:cs="Times New Roman"/>
          <w:kern w:val="0"/>
          <w:sz w:val="28"/>
          <w:szCs w:val="28"/>
          <w:lang w:val="en-US"/>
          <w14:ligatures w14:val="none"/>
        </w:rPr>
      </w:pPr>
      <w:r w:rsidRPr="005E6AD9">
        <w:rPr>
          <w:rFonts w:ascii="Times New Roman" w:eastAsia="Calibri" w:hAnsi="Times New Roman" w:cs="Times New Roman"/>
          <w:kern w:val="0"/>
          <w:sz w:val="28"/>
          <w:szCs w:val="28"/>
          <w:lang w:val="en-US"/>
          <w14:ligatures w14:val="none"/>
        </w:rPr>
        <w:t>(c)</w:t>
      </w:r>
      <w:r w:rsidR="00B3321F" w:rsidRPr="005E6AD9">
        <w:rPr>
          <w:rFonts w:ascii="Times New Roman" w:eastAsia="Calibri" w:hAnsi="Times New Roman" w:cs="Times New Roman"/>
          <w:kern w:val="0"/>
          <w:sz w:val="28"/>
          <w:szCs w:val="28"/>
          <w:lang w:val="en-US"/>
          <w14:ligatures w14:val="none"/>
        </w:rPr>
        <w:tab/>
      </w:r>
      <w:r w:rsidR="00C036FD" w:rsidRPr="005E6AD9">
        <w:rPr>
          <w:rFonts w:ascii="Times New Roman" w:eastAsia="Calibri" w:hAnsi="Times New Roman" w:cs="Times New Roman"/>
          <w:kern w:val="0"/>
          <w:sz w:val="28"/>
          <w:szCs w:val="28"/>
          <w:lang w:val="en-US"/>
          <w14:ligatures w14:val="none"/>
        </w:rPr>
        <w:t>Was the high court correct in its determination of the dispute?</w:t>
      </w:r>
    </w:p>
    <w:p w14:paraId="54B3E21F" w14:textId="77777777" w:rsidR="00C036FD" w:rsidRPr="005E6AD9" w:rsidRDefault="00C036FD" w:rsidP="007E1FB4">
      <w:pPr>
        <w:spacing w:after="0" w:line="360" w:lineRule="auto"/>
        <w:contextualSpacing/>
        <w:jc w:val="both"/>
        <w:rPr>
          <w:rFonts w:ascii="Times New Roman" w:eastAsia="Calibri" w:hAnsi="Times New Roman" w:cs="Times New Roman"/>
          <w:b/>
          <w:bCs/>
          <w:kern w:val="0"/>
          <w:sz w:val="28"/>
          <w:szCs w:val="28"/>
          <w14:ligatures w14:val="none"/>
        </w:rPr>
      </w:pPr>
    </w:p>
    <w:p w14:paraId="13F6A697" w14:textId="77777777" w:rsidR="00972483" w:rsidRPr="005E6AD9" w:rsidRDefault="00972483" w:rsidP="007E1FB4">
      <w:pPr>
        <w:spacing w:after="0" w:line="360" w:lineRule="auto"/>
        <w:contextualSpacing/>
        <w:jc w:val="both"/>
        <w:rPr>
          <w:rFonts w:ascii="Times New Roman" w:eastAsia="Calibri" w:hAnsi="Times New Roman" w:cs="Times New Roman"/>
          <w:b/>
          <w:bCs/>
          <w:kern w:val="0"/>
          <w:sz w:val="28"/>
          <w:szCs w:val="28"/>
          <w14:ligatures w14:val="none"/>
        </w:rPr>
      </w:pPr>
    </w:p>
    <w:p w14:paraId="7861B4D6" w14:textId="77777777" w:rsidR="007E1FB4" w:rsidRPr="005E6AD9" w:rsidRDefault="00AB69C4" w:rsidP="007E1FB4">
      <w:pPr>
        <w:spacing w:after="0" w:line="360" w:lineRule="auto"/>
        <w:contextualSpacing/>
        <w:jc w:val="both"/>
        <w:rPr>
          <w:rFonts w:ascii="Times New Roman" w:eastAsia="Calibri" w:hAnsi="Times New Roman" w:cs="Times New Roman"/>
          <w:b/>
          <w:bCs/>
          <w:kern w:val="0"/>
          <w:sz w:val="28"/>
          <w:szCs w:val="28"/>
          <w14:ligatures w14:val="none"/>
        </w:rPr>
      </w:pPr>
      <w:r w:rsidRPr="005E6AD9">
        <w:rPr>
          <w:rFonts w:ascii="Times New Roman" w:eastAsia="Calibri" w:hAnsi="Times New Roman" w:cs="Times New Roman"/>
          <w:b/>
          <w:bCs/>
          <w:kern w:val="0"/>
          <w:sz w:val="28"/>
          <w:szCs w:val="28"/>
          <w14:ligatures w14:val="none"/>
        </w:rPr>
        <w:t xml:space="preserve">The </w:t>
      </w:r>
      <w:r w:rsidR="007A1FBD" w:rsidRPr="005E6AD9">
        <w:rPr>
          <w:rFonts w:ascii="Times New Roman" w:eastAsia="Calibri" w:hAnsi="Times New Roman" w:cs="Times New Roman"/>
          <w:b/>
          <w:bCs/>
          <w:kern w:val="0"/>
          <w:sz w:val="28"/>
          <w:szCs w:val="28"/>
          <w14:ligatures w14:val="none"/>
        </w:rPr>
        <w:t>GAAR provisions</w:t>
      </w:r>
    </w:p>
    <w:p w14:paraId="5763689B" w14:textId="13BC7F11" w:rsidR="00660402" w:rsidRPr="005E6AD9" w:rsidRDefault="0033268F" w:rsidP="0033268F">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[12]</w:t>
      </w:r>
      <w:r w:rsidRPr="005E6AD9">
        <w:rPr>
          <w:rFonts w:ascii="Times New Roman" w:eastAsia="Calibri" w:hAnsi="Times New Roman" w:cs="Times New Roman"/>
          <w:kern w:val="0"/>
          <w:sz w:val="28"/>
          <w:szCs w:val="28"/>
          <w14:ligatures w14:val="none"/>
        </w:rPr>
        <w:tab/>
      </w:r>
      <w:r w:rsidR="00972483" w:rsidRPr="005E6AD9">
        <w:rPr>
          <w:rFonts w:ascii="Times New Roman" w:eastAsia="Calibri" w:hAnsi="Times New Roman" w:cs="Times New Roman"/>
          <w:kern w:val="0"/>
          <w:sz w:val="28"/>
          <w:szCs w:val="28"/>
          <w:lang w:val="en-US"/>
          <w14:ligatures w14:val="none"/>
        </w:rPr>
        <w:t>T</w:t>
      </w:r>
      <w:r w:rsidR="00826D1F" w:rsidRPr="005E6AD9">
        <w:rPr>
          <w:rFonts w:ascii="Times New Roman" w:eastAsia="Calibri" w:hAnsi="Times New Roman" w:cs="Times New Roman"/>
          <w:kern w:val="0"/>
          <w:sz w:val="28"/>
          <w:szCs w:val="28"/>
          <w:lang w:val="en-US"/>
          <w14:ligatures w14:val="none"/>
        </w:rPr>
        <w:t>ax</w:t>
      </w:r>
      <w:r w:rsidR="00972483" w:rsidRPr="005E6AD9">
        <w:rPr>
          <w:rFonts w:ascii="Times New Roman" w:eastAsia="Calibri" w:hAnsi="Times New Roman" w:cs="Times New Roman"/>
          <w:kern w:val="0"/>
          <w:sz w:val="28"/>
          <w:szCs w:val="28"/>
          <w:lang w:val="en-US"/>
          <w14:ligatures w14:val="none"/>
        </w:rPr>
        <w:t xml:space="preserve"> avoidance</w:t>
      </w:r>
      <w:r w:rsidR="00826D1F" w:rsidRPr="005E6AD9">
        <w:rPr>
          <w:rFonts w:ascii="Times New Roman" w:eastAsia="Calibri" w:hAnsi="Times New Roman" w:cs="Times New Roman"/>
          <w:kern w:val="0"/>
          <w:sz w:val="28"/>
          <w:szCs w:val="28"/>
          <w:lang w:val="en-US"/>
          <w14:ligatures w14:val="none"/>
        </w:rPr>
        <w:t xml:space="preserve">, whether in part or in </w:t>
      </w:r>
      <w:r w:rsidR="00922C29" w:rsidRPr="005E6AD9">
        <w:rPr>
          <w:rFonts w:ascii="Times New Roman" w:eastAsia="Calibri" w:hAnsi="Times New Roman" w:cs="Times New Roman"/>
          <w:kern w:val="0"/>
          <w:sz w:val="28"/>
          <w:szCs w:val="28"/>
          <w:lang w:val="en-US"/>
          <w14:ligatures w14:val="none"/>
        </w:rPr>
        <w:t>whole, is</w:t>
      </w:r>
      <w:r w:rsidR="00826D1F" w:rsidRPr="005E6AD9">
        <w:rPr>
          <w:rFonts w:ascii="Times New Roman" w:eastAsia="Calibri" w:hAnsi="Times New Roman" w:cs="Times New Roman"/>
          <w:kern w:val="0"/>
          <w:sz w:val="28"/>
          <w:szCs w:val="28"/>
          <w:lang w:val="en-US"/>
          <w14:ligatures w14:val="none"/>
        </w:rPr>
        <w:t xml:space="preserve"> not </w:t>
      </w:r>
      <w:r w:rsidR="00826D1F" w:rsidRPr="005E6AD9">
        <w:rPr>
          <w:rFonts w:ascii="Times New Roman" w:eastAsia="Calibri" w:hAnsi="Times New Roman" w:cs="Times New Roman"/>
          <w:i/>
          <w:iCs/>
          <w:kern w:val="0"/>
          <w:sz w:val="28"/>
          <w:szCs w:val="28"/>
          <w:lang w:val="en-US"/>
          <w14:ligatures w14:val="none"/>
        </w:rPr>
        <w:t xml:space="preserve">per se </w:t>
      </w:r>
      <w:r w:rsidR="00826D1F" w:rsidRPr="005E6AD9">
        <w:rPr>
          <w:rFonts w:ascii="Times New Roman" w:eastAsia="Calibri" w:hAnsi="Times New Roman" w:cs="Times New Roman"/>
          <w:kern w:val="0"/>
          <w:sz w:val="28"/>
          <w:szCs w:val="28"/>
          <w:lang w:val="en-US"/>
          <w14:ligatures w14:val="none"/>
        </w:rPr>
        <w:t>unlawful or impermissible.</w:t>
      </w:r>
      <w:r w:rsidR="00767A0D" w:rsidRPr="005E6AD9">
        <w:rPr>
          <w:rStyle w:val="FootnoteReference"/>
          <w:rFonts w:ascii="Times New Roman" w:eastAsia="Calibri" w:hAnsi="Times New Roman" w:cs="Times New Roman"/>
          <w:kern w:val="0"/>
          <w:sz w:val="28"/>
          <w:szCs w:val="28"/>
          <w:lang w:val="en-US"/>
          <w14:ligatures w14:val="none"/>
        </w:rPr>
        <w:footnoteReference w:id="3"/>
      </w:r>
      <w:r w:rsidR="00826D1F" w:rsidRPr="005E6AD9">
        <w:rPr>
          <w:rFonts w:ascii="Times New Roman" w:eastAsia="Calibri" w:hAnsi="Times New Roman" w:cs="Times New Roman"/>
          <w:kern w:val="0"/>
          <w:sz w:val="28"/>
          <w:szCs w:val="28"/>
          <w:lang w:val="en-US"/>
          <w14:ligatures w14:val="none"/>
        </w:rPr>
        <w:t xml:space="preserve"> </w:t>
      </w:r>
      <w:r w:rsidR="00AA7ACA" w:rsidRPr="005E6AD9">
        <w:rPr>
          <w:rFonts w:ascii="Times New Roman" w:eastAsia="Calibri" w:hAnsi="Times New Roman" w:cs="Times New Roman"/>
          <w:kern w:val="0"/>
          <w:sz w:val="28"/>
          <w:szCs w:val="28"/>
          <w:lang w:val="en-US"/>
          <w14:ligatures w14:val="none"/>
        </w:rPr>
        <w:t>Sections 80A to 80L</w:t>
      </w:r>
      <w:r w:rsidR="00826D1F" w:rsidRPr="005E6AD9">
        <w:rPr>
          <w:rFonts w:ascii="Times New Roman" w:eastAsia="Calibri" w:hAnsi="Times New Roman" w:cs="Times New Roman"/>
          <w:kern w:val="0"/>
          <w:sz w:val="28"/>
          <w:szCs w:val="28"/>
          <w:lang w:val="en-US"/>
          <w14:ligatures w14:val="none"/>
        </w:rPr>
        <w:t xml:space="preserve"> of the ITA</w:t>
      </w:r>
      <w:r w:rsidR="00AA7ACA" w:rsidRPr="005E6AD9">
        <w:rPr>
          <w:rFonts w:ascii="Times New Roman" w:eastAsia="Calibri" w:hAnsi="Times New Roman" w:cs="Times New Roman"/>
          <w:kern w:val="0"/>
          <w:sz w:val="28"/>
          <w:szCs w:val="28"/>
          <w:lang w:val="en-US"/>
          <w14:ligatures w14:val="none"/>
        </w:rPr>
        <w:t xml:space="preserve"> deal with arrangements </w:t>
      </w:r>
      <w:r w:rsidR="00826D1F" w:rsidRPr="005E6AD9">
        <w:rPr>
          <w:rFonts w:ascii="Times New Roman" w:eastAsia="Calibri" w:hAnsi="Times New Roman" w:cs="Times New Roman"/>
          <w:kern w:val="0"/>
          <w:sz w:val="28"/>
          <w:szCs w:val="28"/>
          <w:lang w:val="en-US"/>
          <w14:ligatures w14:val="none"/>
        </w:rPr>
        <w:t>entered</w:t>
      </w:r>
      <w:r w:rsidR="00AA7ACA" w:rsidRPr="005E6AD9">
        <w:rPr>
          <w:rFonts w:ascii="Times New Roman" w:eastAsia="Calibri" w:hAnsi="Times New Roman" w:cs="Times New Roman"/>
          <w:kern w:val="0"/>
          <w:sz w:val="28"/>
          <w:szCs w:val="28"/>
          <w:lang w:val="en-US"/>
          <w14:ligatures w14:val="none"/>
        </w:rPr>
        <w:t xml:space="preserve"> by a taxpayer which have the effect of conferring a tax benefit</w:t>
      </w:r>
      <w:r w:rsidR="00826D1F" w:rsidRPr="005E6AD9">
        <w:rPr>
          <w:rFonts w:ascii="Times New Roman" w:eastAsia="Calibri" w:hAnsi="Times New Roman" w:cs="Times New Roman"/>
          <w:kern w:val="0"/>
          <w:sz w:val="28"/>
          <w:szCs w:val="28"/>
          <w:lang w:val="en-US"/>
          <w14:ligatures w14:val="none"/>
        </w:rPr>
        <w:t xml:space="preserve"> t</w:t>
      </w:r>
      <w:r w:rsidR="00AA7ACA" w:rsidRPr="005E6AD9">
        <w:rPr>
          <w:rFonts w:ascii="Times New Roman" w:eastAsia="Calibri" w:hAnsi="Times New Roman" w:cs="Times New Roman"/>
          <w:kern w:val="0"/>
          <w:sz w:val="28"/>
          <w:szCs w:val="28"/>
          <w:lang w:val="en-US"/>
          <w14:ligatures w14:val="none"/>
        </w:rPr>
        <w:t>hrough the avoidance of a tax liability that would otherwise accrue. These anti</w:t>
      </w:r>
      <w:r w:rsidR="004B6B47" w:rsidRPr="005E6AD9">
        <w:rPr>
          <w:rFonts w:ascii="Times New Roman" w:eastAsia="Calibri" w:hAnsi="Times New Roman" w:cs="Times New Roman"/>
          <w:kern w:val="0"/>
          <w:sz w:val="28"/>
          <w:szCs w:val="28"/>
          <w:lang w:val="en-US"/>
          <w14:ligatures w14:val="none"/>
        </w:rPr>
        <w:t>-</w:t>
      </w:r>
      <w:r w:rsidR="00AA7ACA" w:rsidRPr="005E6AD9">
        <w:rPr>
          <w:rFonts w:ascii="Times New Roman" w:eastAsia="Calibri" w:hAnsi="Times New Roman" w:cs="Times New Roman"/>
          <w:kern w:val="0"/>
          <w:sz w:val="28"/>
          <w:szCs w:val="28"/>
          <w:lang w:val="en-US"/>
          <w14:ligatures w14:val="none"/>
        </w:rPr>
        <w:t xml:space="preserve">avoidance provisions confer upon SARS the authority to investigate </w:t>
      </w:r>
      <w:r w:rsidR="004B6B47" w:rsidRPr="005E6AD9">
        <w:rPr>
          <w:rFonts w:ascii="Times New Roman" w:eastAsia="Calibri" w:hAnsi="Times New Roman" w:cs="Times New Roman"/>
          <w:kern w:val="0"/>
          <w:sz w:val="28"/>
          <w:szCs w:val="28"/>
          <w:lang w:val="en-US"/>
          <w14:ligatures w14:val="none"/>
        </w:rPr>
        <w:t xml:space="preserve">the transactions </w:t>
      </w:r>
      <w:r w:rsidR="00AA7ACA" w:rsidRPr="005E6AD9">
        <w:rPr>
          <w:rFonts w:ascii="Times New Roman" w:eastAsia="Calibri" w:hAnsi="Times New Roman" w:cs="Times New Roman"/>
          <w:kern w:val="0"/>
          <w:sz w:val="28"/>
          <w:szCs w:val="28"/>
          <w:lang w:val="en-US"/>
          <w14:ligatures w14:val="none"/>
        </w:rPr>
        <w:t xml:space="preserve">and </w:t>
      </w:r>
      <w:r w:rsidR="004B6B47" w:rsidRPr="005E6AD9">
        <w:rPr>
          <w:rFonts w:ascii="Times New Roman" w:eastAsia="Calibri" w:hAnsi="Times New Roman" w:cs="Times New Roman"/>
          <w:kern w:val="0"/>
          <w:sz w:val="28"/>
          <w:szCs w:val="28"/>
          <w:lang w:val="en-US"/>
          <w14:ligatures w14:val="none"/>
        </w:rPr>
        <w:t xml:space="preserve">to </w:t>
      </w:r>
      <w:r w:rsidR="00AA7ACA" w:rsidRPr="005E6AD9">
        <w:rPr>
          <w:rFonts w:ascii="Times New Roman" w:eastAsia="Calibri" w:hAnsi="Times New Roman" w:cs="Times New Roman"/>
          <w:kern w:val="0"/>
          <w:sz w:val="28"/>
          <w:szCs w:val="28"/>
          <w:lang w:val="en-US"/>
          <w14:ligatures w14:val="none"/>
        </w:rPr>
        <w:t>raise additional or compensatory assessments</w:t>
      </w:r>
      <w:r w:rsidR="00826D1F" w:rsidRPr="005E6AD9">
        <w:rPr>
          <w:rFonts w:ascii="Times New Roman" w:eastAsia="Calibri" w:hAnsi="Times New Roman" w:cs="Times New Roman"/>
          <w:kern w:val="0"/>
          <w:sz w:val="28"/>
          <w:szCs w:val="28"/>
          <w:lang w:val="en-US"/>
          <w14:ligatures w14:val="none"/>
        </w:rPr>
        <w:t xml:space="preserve"> t</w:t>
      </w:r>
      <w:r w:rsidR="00AA7ACA" w:rsidRPr="005E6AD9">
        <w:rPr>
          <w:rFonts w:ascii="Times New Roman" w:eastAsia="Calibri" w:hAnsi="Times New Roman" w:cs="Times New Roman"/>
          <w:kern w:val="0"/>
          <w:sz w:val="28"/>
          <w:szCs w:val="28"/>
          <w:lang w:val="en-US"/>
          <w14:ligatures w14:val="none"/>
        </w:rPr>
        <w:t>o counteract the consequences of such avoidance schemes or arrangements</w:t>
      </w:r>
      <w:r w:rsidR="00826D1F" w:rsidRPr="005E6AD9">
        <w:rPr>
          <w:rFonts w:ascii="Times New Roman" w:eastAsia="Calibri" w:hAnsi="Times New Roman" w:cs="Times New Roman"/>
          <w:kern w:val="0"/>
          <w:sz w:val="28"/>
          <w:szCs w:val="28"/>
          <w:lang w:val="en-US"/>
          <w14:ligatures w14:val="none"/>
        </w:rPr>
        <w:t xml:space="preserve">. </w:t>
      </w:r>
      <w:r w:rsidR="00AA7ACA" w:rsidRPr="005E6AD9">
        <w:rPr>
          <w:rFonts w:ascii="Times New Roman" w:eastAsia="Calibri" w:hAnsi="Times New Roman" w:cs="Times New Roman"/>
          <w:kern w:val="0"/>
          <w:sz w:val="28"/>
          <w:szCs w:val="28"/>
          <w:lang w:val="en-US"/>
          <w14:ligatures w14:val="none"/>
        </w:rPr>
        <w:t xml:space="preserve">In terms of </w:t>
      </w:r>
      <w:r w:rsidR="00AA7ACA" w:rsidRPr="002C2BDF">
        <w:rPr>
          <w:rFonts w:ascii="Times New Roman" w:hAnsi="Times New Roman"/>
          <w:kern w:val="0"/>
          <w:sz w:val="28"/>
          <w:lang w:val="en-US"/>
          <w14:ligatures w14:val="none"/>
        </w:rPr>
        <w:t>s</w:t>
      </w:r>
      <w:r w:rsidR="00AA7ACA" w:rsidRPr="005E6AD9">
        <w:rPr>
          <w:rFonts w:ascii="Times New Roman" w:eastAsia="Calibri" w:hAnsi="Times New Roman" w:cs="Times New Roman"/>
          <w:kern w:val="0"/>
          <w:sz w:val="28"/>
          <w:szCs w:val="28"/>
          <w:lang w:val="en-US"/>
          <w14:ligatures w14:val="none"/>
        </w:rPr>
        <w:t xml:space="preserve"> 80</w:t>
      </w:r>
      <w:r w:rsidR="002D1BA1" w:rsidRPr="005E6AD9">
        <w:rPr>
          <w:rFonts w:ascii="Times New Roman" w:eastAsia="Calibri" w:hAnsi="Times New Roman" w:cs="Times New Roman"/>
          <w:kern w:val="0"/>
          <w:sz w:val="28"/>
          <w:szCs w:val="28"/>
          <w:lang w:val="en-US"/>
          <w14:ligatures w14:val="none"/>
        </w:rPr>
        <w:t>A</w:t>
      </w:r>
      <w:r w:rsidR="00AA7ACA" w:rsidRPr="005E6AD9">
        <w:rPr>
          <w:rFonts w:ascii="Times New Roman" w:eastAsia="Calibri" w:hAnsi="Times New Roman" w:cs="Times New Roman"/>
          <w:kern w:val="0"/>
          <w:sz w:val="28"/>
          <w:szCs w:val="28"/>
          <w:lang w:val="en-US"/>
          <w14:ligatures w14:val="none"/>
        </w:rPr>
        <w:t xml:space="preserve">, an </w:t>
      </w:r>
      <w:r w:rsidR="004B6B47" w:rsidRPr="005E6AD9">
        <w:rPr>
          <w:rFonts w:ascii="Times New Roman" w:eastAsia="Calibri" w:hAnsi="Times New Roman" w:cs="Times New Roman"/>
          <w:kern w:val="0"/>
          <w:sz w:val="28"/>
          <w:szCs w:val="28"/>
          <w:lang w:val="en-US"/>
          <w14:ligatures w14:val="none"/>
        </w:rPr>
        <w:t>‘</w:t>
      </w:r>
      <w:r w:rsidR="00AA7ACA" w:rsidRPr="005E6AD9">
        <w:rPr>
          <w:rFonts w:ascii="Times New Roman" w:eastAsia="Calibri" w:hAnsi="Times New Roman" w:cs="Times New Roman"/>
          <w:kern w:val="0"/>
          <w:sz w:val="28"/>
          <w:szCs w:val="28"/>
          <w:lang w:val="en-US"/>
          <w14:ligatures w14:val="none"/>
        </w:rPr>
        <w:t>avoidance arrangement</w:t>
      </w:r>
      <w:r w:rsidR="004B6B47" w:rsidRPr="005E6AD9">
        <w:rPr>
          <w:rFonts w:ascii="Times New Roman" w:eastAsia="Calibri" w:hAnsi="Times New Roman" w:cs="Times New Roman"/>
          <w:kern w:val="0"/>
          <w:sz w:val="28"/>
          <w:szCs w:val="28"/>
          <w:lang w:val="en-US"/>
          <w14:ligatures w14:val="none"/>
        </w:rPr>
        <w:t>’</w:t>
      </w:r>
      <w:r w:rsidR="00AA7ACA" w:rsidRPr="005E6AD9">
        <w:rPr>
          <w:rFonts w:ascii="Times New Roman" w:eastAsia="Calibri" w:hAnsi="Times New Roman" w:cs="Times New Roman"/>
          <w:kern w:val="0"/>
          <w:sz w:val="28"/>
          <w:szCs w:val="28"/>
          <w:lang w:val="en-US"/>
          <w14:ligatures w14:val="none"/>
        </w:rPr>
        <w:t xml:space="preserve"> is </w:t>
      </w:r>
      <w:r w:rsidR="004B6B47" w:rsidRPr="005E6AD9">
        <w:rPr>
          <w:rFonts w:ascii="Times New Roman" w:eastAsia="Calibri" w:hAnsi="Times New Roman" w:cs="Times New Roman"/>
          <w:kern w:val="0"/>
          <w:sz w:val="28"/>
          <w:szCs w:val="28"/>
          <w:lang w:val="en-US"/>
          <w14:ligatures w14:val="none"/>
        </w:rPr>
        <w:t xml:space="preserve">defined as </w:t>
      </w:r>
      <w:r w:rsidR="00AA7ACA" w:rsidRPr="005E6AD9">
        <w:rPr>
          <w:rFonts w:ascii="Times New Roman" w:eastAsia="Calibri" w:hAnsi="Times New Roman" w:cs="Times New Roman"/>
          <w:kern w:val="0"/>
          <w:sz w:val="28"/>
          <w:szCs w:val="28"/>
          <w:lang w:val="en-US"/>
          <w14:ligatures w14:val="none"/>
        </w:rPr>
        <w:t>an impermissible avoidance arrangement if its sole or main purpose was to obtain a tax benefit and,</w:t>
      </w:r>
    </w:p>
    <w:p w14:paraId="1BB0EDAF" w14:textId="77777777" w:rsidR="00660402" w:rsidRPr="005E6AD9" w:rsidRDefault="00660402" w:rsidP="009618AD">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 xml:space="preserve">‘. . . </w:t>
      </w:r>
    </w:p>
    <w:p w14:paraId="6D9B1136" w14:textId="68C36165" w:rsidR="00AA7ACA" w:rsidRPr="0033268F" w:rsidRDefault="0033268F" w:rsidP="0033268F">
      <w:pPr>
        <w:spacing w:after="0" w:line="360" w:lineRule="auto"/>
        <w:ind w:left="360" w:hanging="360"/>
        <w:jc w:val="both"/>
        <w:rPr>
          <w:rFonts w:ascii="Times New Roman" w:eastAsia="Calibri" w:hAnsi="Times New Roman" w:cs="Times New Roman"/>
          <w:kern w:val="0"/>
          <w:sz w:val="24"/>
          <w:szCs w:val="24"/>
          <w14:ligatures w14:val="none"/>
        </w:rPr>
      </w:pPr>
      <w:r w:rsidRPr="005E6AD9">
        <w:rPr>
          <w:rFonts w:ascii="Times New Roman" w:eastAsia="Calibri" w:hAnsi="Times New Roman" w:cs="Times New Roman"/>
          <w:kern w:val="0"/>
          <w:sz w:val="24"/>
          <w:szCs w:val="24"/>
          <w14:ligatures w14:val="none"/>
        </w:rPr>
        <w:t>(a)</w:t>
      </w:r>
      <w:r w:rsidRPr="005E6AD9">
        <w:rPr>
          <w:rFonts w:ascii="Times New Roman" w:eastAsia="Calibri" w:hAnsi="Times New Roman" w:cs="Times New Roman"/>
          <w:kern w:val="0"/>
          <w:sz w:val="24"/>
          <w:szCs w:val="24"/>
          <w14:ligatures w14:val="none"/>
        </w:rPr>
        <w:tab/>
      </w:r>
      <w:r w:rsidR="002D1BA1" w:rsidRPr="0033268F">
        <w:rPr>
          <w:rFonts w:ascii="Times New Roman" w:eastAsia="Calibri" w:hAnsi="Times New Roman" w:cs="Times New Roman"/>
          <w:kern w:val="0"/>
          <w:sz w:val="24"/>
          <w:szCs w:val="24"/>
          <w:lang w:val="en-US"/>
          <w14:ligatures w14:val="none"/>
        </w:rPr>
        <w:t>i</w:t>
      </w:r>
      <w:r w:rsidR="00AA7ACA" w:rsidRPr="0033268F">
        <w:rPr>
          <w:rFonts w:ascii="Times New Roman" w:eastAsia="Calibri" w:hAnsi="Times New Roman" w:cs="Times New Roman"/>
          <w:kern w:val="0"/>
          <w:sz w:val="24"/>
          <w:szCs w:val="24"/>
          <w:lang w:val="en-US"/>
          <w14:ligatures w14:val="none"/>
        </w:rPr>
        <w:t>n the context of business</w:t>
      </w:r>
      <w:r w:rsidR="002D1BA1" w:rsidRPr="0033268F">
        <w:rPr>
          <w:rFonts w:ascii="Times New Roman" w:eastAsia="Calibri" w:hAnsi="Times New Roman" w:cs="Times New Roman"/>
          <w:kern w:val="0"/>
          <w:sz w:val="24"/>
          <w:szCs w:val="24"/>
          <w:lang w:val="en-US"/>
          <w14:ligatures w14:val="none"/>
        </w:rPr>
        <w:t>-</w:t>
      </w:r>
    </w:p>
    <w:p w14:paraId="70F03F1F" w14:textId="0AD33DB2" w:rsidR="002D1BA1" w:rsidRPr="0033268F" w:rsidRDefault="0033268F" w:rsidP="0033268F">
      <w:pPr>
        <w:spacing w:after="0" w:line="360" w:lineRule="auto"/>
        <w:ind w:left="414"/>
        <w:jc w:val="both"/>
        <w:rPr>
          <w:rFonts w:ascii="Times New Roman" w:eastAsia="Calibri" w:hAnsi="Times New Roman" w:cs="Times New Roman"/>
          <w:kern w:val="0"/>
          <w:sz w:val="24"/>
          <w:szCs w:val="24"/>
          <w14:ligatures w14:val="none"/>
        </w:rPr>
      </w:pPr>
      <w:r w:rsidRPr="005E6AD9">
        <w:rPr>
          <w:rFonts w:ascii="Times New Roman" w:eastAsia="Calibri" w:hAnsi="Times New Roman" w:cs="Times New Roman"/>
          <w:kern w:val="0"/>
          <w:sz w:val="24"/>
          <w:szCs w:val="24"/>
          <w14:ligatures w14:val="none"/>
        </w:rPr>
        <w:t>(i)</w:t>
      </w:r>
      <w:r w:rsidRPr="005E6AD9">
        <w:rPr>
          <w:rFonts w:ascii="Times New Roman" w:eastAsia="Calibri" w:hAnsi="Times New Roman" w:cs="Times New Roman"/>
          <w:kern w:val="0"/>
          <w:sz w:val="24"/>
          <w:szCs w:val="24"/>
          <w14:ligatures w14:val="none"/>
        </w:rPr>
        <w:tab/>
      </w:r>
      <w:r w:rsidR="002D1BA1" w:rsidRPr="0033268F">
        <w:rPr>
          <w:rFonts w:ascii="Times New Roman" w:eastAsia="Calibri" w:hAnsi="Times New Roman" w:cs="Times New Roman"/>
          <w:kern w:val="0"/>
          <w:sz w:val="24"/>
          <w:szCs w:val="24"/>
          <w:lang w:val="en-US"/>
          <w14:ligatures w14:val="none"/>
        </w:rPr>
        <w:t>it was entered into or carried out by means of or in a manner which would not normally be employed for bona fide business purposes, other than obtaining a tax benefit; or</w:t>
      </w:r>
    </w:p>
    <w:p w14:paraId="4BB287DD" w14:textId="582296D3" w:rsidR="002D1BA1" w:rsidRPr="0033268F" w:rsidRDefault="0033268F" w:rsidP="0033268F">
      <w:pPr>
        <w:spacing w:after="0" w:line="360" w:lineRule="auto"/>
        <w:ind w:left="414"/>
        <w:jc w:val="both"/>
        <w:rPr>
          <w:rFonts w:ascii="Times New Roman" w:eastAsia="Calibri" w:hAnsi="Times New Roman" w:cs="Times New Roman"/>
          <w:kern w:val="0"/>
          <w:sz w:val="24"/>
          <w:szCs w:val="24"/>
          <w14:ligatures w14:val="none"/>
        </w:rPr>
      </w:pPr>
      <w:r w:rsidRPr="005E6AD9">
        <w:rPr>
          <w:rFonts w:ascii="Times New Roman" w:eastAsia="Calibri" w:hAnsi="Times New Roman" w:cs="Times New Roman"/>
          <w:kern w:val="0"/>
          <w:sz w:val="24"/>
          <w:szCs w:val="24"/>
          <w14:ligatures w14:val="none"/>
        </w:rPr>
        <w:t>(ii)</w:t>
      </w:r>
      <w:r w:rsidRPr="005E6AD9">
        <w:rPr>
          <w:rFonts w:ascii="Times New Roman" w:eastAsia="Calibri" w:hAnsi="Times New Roman" w:cs="Times New Roman"/>
          <w:kern w:val="0"/>
          <w:sz w:val="24"/>
          <w:szCs w:val="24"/>
          <w14:ligatures w14:val="none"/>
        </w:rPr>
        <w:tab/>
      </w:r>
      <w:r w:rsidR="00660402" w:rsidRPr="0033268F">
        <w:rPr>
          <w:rFonts w:ascii="Times New Roman" w:eastAsia="Calibri" w:hAnsi="Times New Roman" w:cs="Times New Roman"/>
          <w:kern w:val="0"/>
          <w:sz w:val="24"/>
          <w:szCs w:val="24"/>
          <w:lang w:val="en-US"/>
          <w14:ligatures w14:val="none"/>
        </w:rPr>
        <w:t xml:space="preserve"> </w:t>
      </w:r>
      <w:r w:rsidR="002D1BA1" w:rsidRPr="0033268F">
        <w:rPr>
          <w:rFonts w:ascii="Times New Roman" w:eastAsia="Calibri" w:hAnsi="Times New Roman" w:cs="Times New Roman"/>
          <w:kern w:val="0"/>
          <w:sz w:val="24"/>
          <w:szCs w:val="24"/>
          <w:lang w:val="en-US"/>
          <w14:ligatures w14:val="none"/>
        </w:rPr>
        <w:t xml:space="preserve">it lacks commercial substance, in whole or in part </w:t>
      </w:r>
      <w:r w:rsidR="003C2970" w:rsidRPr="0033268F">
        <w:rPr>
          <w:rFonts w:ascii="Times New Roman" w:eastAsia="Calibri" w:hAnsi="Times New Roman" w:cs="Times New Roman"/>
          <w:kern w:val="0"/>
          <w:sz w:val="24"/>
          <w:szCs w:val="24"/>
          <w:lang w:val="en-US"/>
          <w14:ligatures w14:val="none"/>
        </w:rPr>
        <w:t>…</w:t>
      </w:r>
    </w:p>
    <w:p w14:paraId="1B131004" w14:textId="6AF836A2" w:rsidR="002D1BA1" w:rsidRPr="0033268F" w:rsidRDefault="0033268F" w:rsidP="0033268F">
      <w:pPr>
        <w:spacing w:after="0" w:line="360" w:lineRule="auto"/>
        <w:ind w:left="360" w:hanging="360"/>
        <w:jc w:val="both"/>
        <w:rPr>
          <w:rFonts w:ascii="Times New Roman" w:eastAsia="Calibri" w:hAnsi="Times New Roman" w:cs="Times New Roman"/>
          <w:kern w:val="0"/>
          <w:sz w:val="24"/>
          <w:szCs w:val="24"/>
          <w14:ligatures w14:val="none"/>
        </w:rPr>
      </w:pPr>
      <w:r w:rsidRPr="005E6AD9">
        <w:rPr>
          <w:rFonts w:ascii="Times New Roman" w:eastAsia="Calibri" w:hAnsi="Times New Roman" w:cs="Times New Roman"/>
          <w:kern w:val="0"/>
          <w:sz w:val="24"/>
          <w:szCs w:val="24"/>
          <w14:ligatures w14:val="none"/>
        </w:rPr>
        <w:t>(b)</w:t>
      </w:r>
      <w:r w:rsidRPr="005E6AD9">
        <w:rPr>
          <w:rFonts w:ascii="Times New Roman" w:eastAsia="Calibri" w:hAnsi="Times New Roman" w:cs="Times New Roman"/>
          <w:kern w:val="0"/>
          <w:sz w:val="24"/>
          <w:szCs w:val="24"/>
          <w14:ligatures w14:val="none"/>
        </w:rPr>
        <w:tab/>
      </w:r>
      <w:r w:rsidR="002D1BA1" w:rsidRPr="0033268F">
        <w:rPr>
          <w:rFonts w:ascii="Times New Roman" w:eastAsia="Calibri" w:hAnsi="Times New Roman" w:cs="Times New Roman"/>
          <w:kern w:val="0"/>
          <w:sz w:val="24"/>
          <w:szCs w:val="24"/>
          <w:lang w:val="en-US"/>
          <w14:ligatures w14:val="none"/>
        </w:rPr>
        <w:t>…</w:t>
      </w:r>
    </w:p>
    <w:p w14:paraId="455A1E0E" w14:textId="260CBDC4" w:rsidR="002D1BA1" w:rsidRPr="0033268F" w:rsidRDefault="0033268F" w:rsidP="0033268F">
      <w:pPr>
        <w:spacing w:after="0" w:line="360" w:lineRule="auto"/>
        <w:ind w:left="360" w:hanging="360"/>
        <w:jc w:val="both"/>
        <w:rPr>
          <w:rFonts w:ascii="Times New Roman" w:eastAsia="Calibri" w:hAnsi="Times New Roman" w:cs="Times New Roman"/>
          <w:kern w:val="0"/>
          <w:sz w:val="24"/>
          <w:szCs w:val="24"/>
          <w14:ligatures w14:val="none"/>
        </w:rPr>
      </w:pPr>
      <w:r w:rsidRPr="005E6AD9">
        <w:rPr>
          <w:rFonts w:ascii="Times New Roman" w:eastAsia="Calibri" w:hAnsi="Times New Roman" w:cs="Times New Roman"/>
          <w:kern w:val="0"/>
          <w:sz w:val="24"/>
          <w:szCs w:val="24"/>
          <w14:ligatures w14:val="none"/>
        </w:rPr>
        <w:t>(c)</w:t>
      </w:r>
      <w:r w:rsidRPr="005E6AD9">
        <w:rPr>
          <w:rFonts w:ascii="Times New Roman" w:eastAsia="Calibri" w:hAnsi="Times New Roman" w:cs="Times New Roman"/>
          <w:kern w:val="0"/>
          <w:sz w:val="24"/>
          <w:szCs w:val="24"/>
          <w14:ligatures w14:val="none"/>
        </w:rPr>
        <w:tab/>
      </w:r>
      <w:r w:rsidR="002D1BA1" w:rsidRPr="0033268F">
        <w:rPr>
          <w:rFonts w:ascii="Times New Roman" w:eastAsia="Calibri" w:hAnsi="Times New Roman" w:cs="Times New Roman"/>
          <w:kern w:val="0"/>
          <w:sz w:val="24"/>
          <w:szCs w:val="24"/>
          <w:lang w:val="en-US"/>
          <w14:ligatures w14:val="none"/>
        </w:rPr>
        <w:t>in any context –</w:t>
      </w:r>
    </w:p>
    <w:p w14:paraId="2D3FC632" w14:textId="2C6470BB" w:rsidR="002D1BA1" w:rsidRPr="0033268F" w:rsidRDefault="0033268F" w:rsidP="0033268F">
      <w:pPr>
        <w:spacing w:after="0" w:line="360" w:lineRule="auto"/>
        <w:ind w:left="414"/>
        <w:jc w:val="both"/>
        <w:rPr>
          <w:rFonts w:ascii="Times New Roman" w:eastAsia="Calibri" w:hAnsi="Times New Roman" w:cs="Times New Roman"/>
          <w:kern w:val="0"/>
          <w:sz w:val="24"/>
          <w:szCs w:val="24"/>
          <w14:ligatures w14:val="none"/>
        </w:rPr>
      </w:pPr>
      <w:r w:rsidRPr="005E6AD9">
        <w:rPr>
          <w:rFonts w:ascii="Times New Roman" w:eastAsia="Calibri" w:hAnsi="Times New Roman" w:cs="Times New Roman"/>
          <w:kern w:val="0"/>
          <w:sz w:val="24"/>
          <w:szCs w:val="24"/>
          <w14:ligatures w14:val="none"/>
        </w:rPr>
        <w:t>(i)</w:t>
      </w:r>
      <w:r w:rsidRPr="005E6AD9">
        <w:rPr>
          <w:rFonts w:ascii="Times New Roman" w:eastAsia="Calibri" w:hAnsi="Times New Roman" w:cs="Times New Roman"/>
          <w:kern w:val="0"/>
          <w:sz w:val="24"/>
          <w:szCs w:val="24"/>
          <w14:ligatures w14:val="none"/>
        </w:rPr>
        <w:tab/>
      </w:r>
      <w:r w:rsidR="002D1BA1" w:rsidRPr="0033268F">
        <w:rPr>
          <w:rFonts w:ascii="Times New Roman" w:eastAsia="Calibri" w:hAnsi="Times New Roman" w:cs="Times New Roman"/>
          <w:kern w:val="0"/>
          <w:sz w:val="24"/>
          <w:szCs w:val="24"/>
          <w:lang w:val="en-US"/>
          <w14:ligatures w14:val="none"/>
        </w:rPr>
        <w:t xml:space="preserve">it has created rights or obligations that would not normally be created between persons dealing at </w:t>
      </w:r>
      <w:r w:rsidR="00D7104A" w:rsidRPr="0033268F">
        <w:rPr>
          <w:rFonts w:ascii="Times New Roman" w:eastAsia="Calibri" w:hAnsi="Times New Roman" w:cs="Times New Roman"/>
          <w:kern w:val="0"/>
          <w:sz w:val="24"/>
          <w:szCs w:val="24"/>
          <w:lang w:val="en-US"/>
          <w14:ligatures w14:val="none"/>
        </w:rPr>
        <w:t>arm’s length</w:t>
      </w:r>
      <w:r w:rsidR="002D1BA1" w:rsidRPr="0033268F">
        <w:rPr>
          <w:rFonts w:ascii="Times New Roman" w:eastAsia="Calibri" w:hAnsi="Times New Roman" w:cs="Times New Roman"/>
          <w:kern w:val="0"/>
          <w:sz w:val="24"/>
          <w:szCs w:val="24"/>
          <w:lang w:val="en-US"/>
          <w14:ligatures w14:val="none"/>
        </w:rPr>
        <w:t>; or</w:t>
      </w:r>
    </w:p>
    <w:p w14:paraId="02A32E1B" w14:textId="77777777" w:rsidR="002D1BA1" w:rsidRPr="005E6AD9" w:rsidRDefault="00660402" w:rsidP="009618AD">
      <w:pPr>
        <w:pStyle w:val="ListParagraph"/>
        <w:spacing w:after="0" w:line="360" w:lineRule="auto"/>
        <w:ind w:left="414"/>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4"/>
          <w:szCs w:val="24"/>
          <w:lang w:val="en-US"/>
          <w14:ligatures w14:val="none"/>
        </w:rPr>
        <w:t xml:space="preserve">(ii) </w:t>
      </w:r>
      <w:r w:rsidR="002D1BA1" w:rsidRPr="005E6AD9">
        <w:rPr>
          <w:rFonts w:ascii="Times New Roman" w:eastAsia="Calibri" w:hAnsi="Times New Roman" w:cs="Times New Roman"/>
          <w:kern w:val="0"/>
          <w:sz w:val="24"/>
          <w:szCs w:val="24"/>
          <w:lang w:val="en-US"/>
          <w14:ligatures w14:val="none"/>
        </w:rPr>
        <w:t xml:space="preserve">it would result directly or indirectly in the misuse or abuse of the </w:t>
      </w:r>
      <w:r w:rsidR="00826D1F" w:rsidRPr="005E6AD9">
        <w:rPr>
          <w:rFonts w:ascii="Times New Roman" w:eastAsia="Calibri" w:hAnsi="Times New Roman" w:cs="Times New Roman"/>
          <w:kern w:val="0"/>
          <w:sz w:val="24"/>
          <w:szCs w:val="24"/>
          <w:lang w:val="en-US"/>
          <w14:ligatures w14:val="none"/>
        </w:rPr>
        <w:t>provisions</w:t>
      </w:r>
      <w:r w:rsidR="002D1BA1" w:rsidRPr="005E6AD9">
        <w:rPr>
          <w:rFonts w:ascii="Times New Roman" w:eastAsia="Calibri" w:hAnsi="Times New Roman" w:cs="Times New Roman"/>
          <w:kern w:val="0"/>
          <w:sz w:val="24"/>
          <w:szCs w:val="24"/>
          <w:lang w:val="en-US"/>
          <w14:ligatures w14:val="none"/>
        </w:rPr>
        <w:t xml:space="preserve"> of this Act.</w:t>
      </w:r>
      <w:r w:rsidR="002D1BA1" w:rsidRPr="005E6AD9">
        <w:rPr>
          <w:rFonts w:ascii="Times New Roman" w:eastAsia="Calibri" w:hAnsi="Times New Roman" w:cs="Times New Roman"/>
          <w:kern w:val="0"/>
          <w:sz w:val="28"/>
          <w:szCs w:val="28"/>
          <w:lang w:val="en-US"/>
          <w14:ligatures w14:val="none"/>
        </w:rPr>
        <w:t>’</w:t>
      </w:r>
    </w:p>
    <w:p w14:paraId="492C6F4A" w14:textId="77777777" w:rsidR="007E1FB4" w:rsidRPr="005E6AD9" w:rsidRDefault="007E1FB4" w:rsidP="007E1FB4">
      <w:pPr>
        <w:pStyle w:val="ListParagraph"/>
        <w:spacing w:after="0" w:line="360" w:lineRule="auto"/>
        <w:ind w:left="1506"/>
        <w:jc w:val="both"/>
        <w:rPr>
          <w:rFonts w:ascii="Times New Roman" w:eastAsia="Calibri" w:hAnsi="Times New Roman" w:cs="Times New Roman"/>
          <w:kern w:val="0"/>
          <w:sz w:val="28"/>
          <w:szCs w:val="28"/>
          <w14:ligatures w14:val="none"/>
        </w:rPr>
      </w:pPr>
    </w:p>
    <w:p w14:paraId="48B64D8A" w14:textId="0B52D482" w:rsidR="002D1BA1" w:rsidRPr="005E6AD9" w:rsidRDefault="0033268F" w:rsidP="0033268F">
      <w:pPr>
        <w:spacing w:after="0" w:line="360" w:lineRule="auto"/>
        <w:contextualSpacing/>
        <w:jc w:val="both"/>
        <w:rPr>
          <w:rFonts w:ascii="Times New Roman" w:eastAsia="Calibri" w:hAnsi="Times New Roman" w:cs="Times New Roman"/>
          <w:kern w:val="0"/>
          <w:sz w:val="28"/>
          <w:szCs w:val="28"/>
          <w:lang w:val="en-GB"/>
          <w14:ligatures w14:val="none"/>
        </w:rPr>
      </w:pPr>
      <w:r w:rsidRPr="005E6AD9">
        <w:rPr>
          <w:rFonts w:ascii="Times New Roman" w:eastAsia="Calibri" w:hAnsi="Times New Roman" w:cs="Times New Roman"/>
          <w:kern w:val="0"/>
          <w:sz w:val="28"/>
          <w:szCs w:val="28"/>
          <w:lang w:val="en-GB"/>
          <w14:ligatures w14:val="none"/>
        </w:rPr>
        <w:t>[13]</w:t>
      </w:r>
      <w:r w:rsidRPr="005E6AD9">
        <w:rPr>
          <w:rFonts w:ascii="Times New Roman" w:eastAsia="Calibri" w:hAnsi="Times New Roman" w:cs="Times New Roman"/>
          <w:kern w:val="0"/>
          <w:sz w:val="28"/>
          <w:szCs w:val="28"/>
          <w:lang w:val="en-GB"/>
          <w14:ligatures w14:val="none"/>
        </w:rPr>
        <w:tab/>
      </w:r>
      <w:r w:rsidR="002D1BA1" w:rsidRPr="005E6AD9">
        <w:rPr>
          <w:rFonts w:ascii="Times New Roman" w:eastAsia="Calibri" w:hAnsi="Times New Roman" w:cs="Times New Roman"/>
          <w:kern w:val="0"/>
          <w:sz w:val="28"/>
          <w:szCs w:val="28"/>
          <w:lang w:val="en-GB"/>
          <w14:ligatures w14:val="none"/>
        </w:rPr>
        <w:t xml:space="preserve">Section 80B allows the Commissioner to determine the tax consequences of any impermissible avoidance arrangement. This is done by making </w:t>
      </w:r>
      <w:r w:rsidR="002D1BA1" w:rsidRPr="005E6AD9">
        <w:rPr>
          <w:rFonts w:ascii="Times New Roman" w:eastAsia="Calibri" w:hAnsi="Times New Roman" w:cs="Times New Roman"/>
          <w:kern w:val="0"/>
          <w:sz w:val="28"/>
          <w:szCs w:val="28"/>
          <w:lang w:val="en-GB"/>
          <w14:ligatures w14:val="none"/>
        </w:rPr>
        <w:lastRenderedPageBreak/>
        <w:t>compensating adjustments to assessments</w:t>
      </w:r>
      <w:r w:rsidR="004B6B47" w:rsidRPr="005E6AD9">
        <w:rPr>
          <w:rFonts w:ascii="Times New Roman" w:eastAsia="Calibri" w:hAnsi="Times New Roman" w:cs="Times New Roman"/>
          <w:kern w:val="0"/>
          <w:sz w:val="28"/>
          <w:szCs w:val="28"/>
          <w:lang w:val="en-GB"/>
          <w14:ligatures w14:val="none"/>
        </w:rPr>
        <w:t xml:space="preserve"> t</w:t>
      </w:r>
      <w:r w:rsidR="002D1BA1" w:rsidRPr="005E6AD9">
        <w:rPr>
          <w:rFonts w:ascii="Times New Roman" w:eastAsia="Calibri" w:hAnsi="Times New Roman" w:cs="Times New Roman"/>
          <w:kern w:val="0"/>
          <w:sz w:val="28"/>
          <w:szCs w:val="28"/>
          <w:lang w:val="en-GB"/>
          <w14:ligatures w14:val="none"/>
        </w:rPr>
        <w:t xml:space="preserve">o ensure consistent treatment of all parties to the arrangement. Section 80L </w:t>
      </w:r>
      <w:r w:rsidR="004B6B47" w:rsidRPr="005E6AD9">
        <w:rPr>
          <w:rFonts w:ascii="Times New Roman" w:eastAsia="Calibri" w:hAnsi="Times New Roman" w:cs="Times New Roman"/>
          <w:kern w:val="0"/>
          <w:sz w:val="28"/>
          <w:szCs w:val="28"/>
          <w:lang w:val="en-GB"/>
          <w14:ligatures w14:val="none"/>
        </w:rPr>
        <w:t xml:space="preserve">defines important terms. </w:t>
      </w:r>
      <w:r w:rsidR="002D1BA1" w:rsidRPr="005E6AD9">
        <w:rPr>
          <w:rFonts w:ascii="Times New Roman" w:eastAsia="Calibri" w:hAnsi="Times New Roman" w:cs="Times New Roman"/>
          <w:kern w:val="0"/>
          <w:sz w:val="28"/>
          <w:szCs w:val="28"/>
          <w:lang w:val="en-GB"/>
          <w14:ligatures w14:val="none"/>
        </w:rPr>
        <w:t xml:space="preserve">An </w:t>
      </w:r>
      <w:r w:rsidR="004B6B47" w:rsidRPr="005E6AD9">
        <w:rPr>
          <w:rFonts w:ascii="Times New Roman" w:eastAsia="Calibri" w:hAnsi="Times New Roman" w:cs="Times New Roman"/>
          <w:kern w:val="0"/>
          <w:sz w:val="28"/>
          <w:szCs w:val="28"/>
          <w:lang w:val="en-GB"/>
          <w14:ligatures w14:val="none"/>
        </w:rPr>
        <w:t>‘</w:t>
      </w:r>
      <w:r w:rsidR="002D1BA1" w:rsidRPr="005E6AD9">
        <w:rPr>
          <w:rFonts w:ascii="Times New Roman" w:eastAsia="Calibri" w:hAnsi="Times New Roman" w:cs="Times New Roman"/>
          <w:kern w:val="0"/>
          <w:sz w:val="28"/>
          <w:szCs w:val="28"/>
          <w:lang w:val="en-GB"/>
          <w14:ligatures w14:val="none"/>
        </w:rPr>
        <w:t>arrangement</w:t>
      </w:r>
      <w:r w:rsidR="004B6B47" w:rsidRPr="005E6AD9">
        <w:rPr>
          <w:rFonts w:ascii="Times New Roman" w:eastAsia="Calibri" w:hAnsi="Times New Roman" w:cs="Times New Roman"/>
          <w:kern w:val="0"/>
          <w:sz w:val="28"/>
          <w:szCs w:val="28"/>
          <w:lang w:val="en-GB"/>
          <w14:ligatures w14:val="none"/>
        </w:rPr>
        <w:t>’</w:t>
      </w:r>
      <w:r w:rsidR="002D1BA1" w:rsidRPr="005E6AD9">
        <w:rPr>
          <w:rFonts w:ascii="Times New Roman" w:eastAsia="Calibri" w:hAnsi="Times New Roman" w:cs="Times New Roman"/>
          <w:kern w:val="0"/>
          <w:sz w:val="28"/>
          <w:szCs w:val="28"/>
          <w:lang w:val="en-GB"/>
          <w14:ligatures w14:val="none"/>
        </w:rPr>
        <w:t xml:space="preserve"> include</w:t>
      </w:r>
      <w:r w:rsidR="004B6B47" w:rsidRPr="005E6AD9">
        <w:rPr>
          <w:rFonts w:ascii="Times New Roman" w:eastAsia="Calibri" w:hAnsi="Times New Roman" w:cs="Times New Roman"/>
          <w:kern w:val="0"/>
          <w:sz w:val="28"/>
          <w:szCs w:val="28"/>
          <w:lang w:val="en-GB"/>
          <w14:ligatures w14:val="none"/>
        </w:rPr>
        <w:t>s</w:t>
      </w:r>
      <w:r w:rsidR="002D1BA1" w:rsidRPr="005E6AD9">
        <w:rPr>
          <w:rFonts w:ascii="Times New Roman" w:eastAsia="Calibri" w:hAnsi="Times New Roman" w:cs="Times New Roman"/>
          <w:kern w:val="0"/>
          <w:sz w:val="28"/>
          <w:szCs w:val="28"/>
          <w:lang w:val="en-GB"/>
          <w14:ligatures w14:val="none"/>
        </w:rPr>
        <w:t xml:space="preserve"> any </w:t>
      </w:r>
      <w:r w:rsidR="004B6B47" w:rsidRPr="005E6AD9">
        <w:rPr>
          <w:rFonts w:ascii="Times New Roman" w:eastAsia="Calibri" w:hAnsi="Times New Roman" w:cs="Times New Roman"/>
          <w:kern w:val="0"/>
          <w:sz w:val="28"/>
          <w:szCs w:val="28"/>
          <w:lang w:val="en-GB"/>
          <w14:ligatures w14:val="none"/>
        </w:rPr>
        <w:t>‘</w:t>
      </w:r>
      <w:r w:rsidR="002D1BA1" w:rsidRPr="005E6AD9">
        <w:rPr>
          <w:rFonts w:ascii="Times New Roman" w:eastAsia="Calibri" w:hAnsi="Times New Roman" w:cs="Times New Roman"/>
          <w:kern w:val="0"/>
          <w:sz w:val="28"/>
          <w:szCs w:val="28"/>
          <w:lang w:val="en-GB"/>
          <w14:ligatures w14:val="none"/>
        </w:rPr>
        <w:t xml:space="preserve">transaction, operation, scheme, agreement or understanding, including all steps therein </w:t>
      </w:r>
      <w:r w:rsidR="004B6B47" w:rsidRPr="005E6AD9">
        <w:rPr>
          <w:rFonts w:ascii="Times New Roman" w:eastAsia="Calibri" w:hAnsi="Times New Roman" w:cs="Times New Roman"/>
          <w:kern w:val="0"/>
          <w:sz w:val="28"/>
          <w:szCs w:val="28"/>
          <w:lang w:val="en-GB"/>
          <w14:ligatures w14:val="none"/>
        </w:rPr>
        <w:t>or</w:t>
      </w:r>
      <w:r w:rsidR="002D1BA1" w:rsidRPr="005E6AD9">
        <w:rPr>
          <w:rFonts w:ascii="Times New Roman" w:eastAsia="Calibri" w:hAnsi="Times New Roman" w:cs="Times New Roman"/>
          <w:kern w:val="0"/>
          <w:sz w:val="28"/>
          <w:szCs w:val="28"/>
          <w:lang w:val="en-GB"/>
          <w14:ligatures w14:val="none"/>
        </w:rPr>
        <w:t xml:space="preserve"> parts thereof</w:t>
      </w:r>
      <w:r w:rsidR="006E0F3A" w:rsidRPr="005E6AD9">
        <w:rPr>
          <w:rFonts w:ascii="Times New Roman" w:eastAsia="Calibri" w:hAnsi="Times New Roman" w:cs="Times New Roman"/>
          <w:kern w:val="0"/>
          <w:sz w:val="28"/>
          <w:szCs w:val="28"/>
          <w:lang w:val="en-GB"/>
          <w14:ligatures w14:val="none"/>
        </w:rPr>
        <w:t>.’</w:t>
      </w:r>
      <w:r w:rsidR="002D1BA1" w:rsidRPr="005E6AD9">
        <w:rPr>
          <w:rFonts w:ascii="Times New Roman" w:eastAsia="Calibri" w:hAnsi="Times New Roman" w:cs="Times New Roman"/>
          <w:kern w:val="0"/>
          <w:sz w:val="28"/>
          <w:szCs w:val="28"/>
          <w:lang w:val="en-GB"/>
          <w14:ligatures w14:val="none"/>
        </w:rPr>
        <w:t xml:space="preserve"> An </w:t>
      </w:r>
      <w:r w:rsidR="004B6B47" w:rsidRPr="005E6AD9">
        <w:rPr>
          <w:rFonts w:ascii="Times New Roman" w:eastAsia="Calibri" w:hAnsi="Times New Roman" w:cs="Times New Roman"/>
          <w:kern w:val="0"/>
          <w:sz w:val="28"/>
          <w:szCs w:val="28"/>
          <w:lang w:val="en-GB"/>
          <w14:ligatures w14:val="none"/>
        </w:rPr>
        <w:t>‘</w:t>
      </w:r>
      <w:r w:rsidR="002D1BA1" w:rsidRPr="005E6AD9">
        <w:rPr>
          <w:rFonts w:ascii="Times New Roman" w:eastAsia="Calibri" w:hAnsi="Times New Roman" w:cs="Times New Roman"/>
          <w:kern w:val="0"/>
          <w:sz w:val="28"/>
          <w:szCs w:val="28"/>
          <w:lang w:val="en-GB"/>
          <w14:ligatures w14:val="none"/>
        </w:rPr>
        <w:t>avoidance arrangement</w:t>
      </w:r>
      <w:r w:rsidR="004B6B47" w:rsidRPr="005E6AD9">
        <w:rPr>
          <w:rFonts w:ascii="Times New Roman" w:eastAsia="Calibri" w:hAnsi="Times New Roman" w:cs="Times New Roman"/>
          <w:kern w:val="0"/>
          <w:sz w:val="28"/>
          <w:szCs w:val="28"/>
          <w:lang w:val="en-GB"/>
          <w14:ligatures w14:val="none"/>
        </w:rPr>
        <w:t>’</w:t>
      </w:r>
      <w:r w:rsidR="002D1BA1" w:rsidRPr="005E6AD9">
        <w:rPr>
          <w:rFonts w:ascii="Times New Roman" w:eastAsia="Calibri" w:hAnsi="Times New Roman" w:cs="Times New Roman"/>
          <w:kern w:val="0"/>
          <w:sz w:val="28"/>
          <w:szCs w:val="28"/>
          <w:lang w:val="en-GB"/>
          <w14:ligatures w14:val="none"/>
        </w:rPr>
        <w:t xml:space="preserve"> is one that results in a tax benefit. A </w:t>
      </w:r>
      <w:r w:rsidR="004B6B47" w:rsidRPr="005E6AD9">
        <w:rPr>
          <w:rFonts w:ascii="Times New Roman" w:eastAsia="Calibri" w:hAnsi="Times New Roman" w:cs="Times New Roman"/>
          <w:kern w:val="0"/>
          <w:sz w:val="28"/>
          <w:szCs w:val="28"/>
          <w:lang w:val="en-GB"/>
          <w14:ligatures w14:val="none"/>
        </w:rPr>
        <w:t>‘</w:t>
      </w:r>
      <w:r w:rsidR="002D1BA1" w:rsidRPr="005E6AD9">
        <w:rPr>
          <w:rFonts w:ascii="Times New Roman" w:eastAsia="Calibri" w:hAnsi="Times New Roman" w:cs="Times New Roman"/>
          <w:kern w:val="0"/>
          <w:sz w:val="28"/>
          <w:szCs w:val="28"/>
          <w:lang w:val="en-GB"/>
          <w14:ligatures w14:val="none"/>
        </w:rPr>
        <w:t>party</w:t>
      </w:r>
      <w:r w:rsidR="004B6B47" w:rsidRPr="005E6AD9">
        <w:rPr>
          <w:rFonts w:ascii="Times New Roman" w:eastAsia="Calibri" w:hAnsi="Times New Roman" w:cs="Times New Roman"/>
          <w:kern w:val="0"/>
          <w:sz w:val="28"/>
          <w:szCs w:val="28"/>
          <w:lang w:val="en-GB"/>
          <w14:ligatures w14:val="none"/>
        </w:rPr>
        <w:t>’</w:t>
      </w:r>
      <w:r w:rsidR="002D1BA1" w:rsidRPr="005E6AD9">
        <w:rPr>
          <w:rFonts w:ascii="Times New Roman" w:eastAsia="Calibri" w:hAnsi="Times New Roman" w:cs="Times New Roman"/>
          <w:kern w:val="0"/>
          <w:sz w:val="28"/>
          <w:szCs w:val="28"/>
          <w:lang w:val="en-GB"/>
          <w14:ligatures w14:val="none"/>
        </w:rPr>
        <w:t xml:space="preserve"> is any person, entity, </w:t>
      </w:r>
      <w:r w:rsidR="007A1FBD" w:rsidRPr="005E6AD9">
        <w:rPr>
          <w:rFonts w:ascii="Times New Roman" w:eastAsia="Calibri" w:hAnsi="Times New Roman" w:cs="Times New Roman"/>
          <w:kern w:val="0"/>
          <w:sz w:val="28"/>
          <w:szCs w:val="28"/>
          <w:lang w:val="en-GB"/>
          <w14:ligatures w14:val="none"/>
        </w:rPr>
        <w:t>partnership,</w:t>
      </w:r>
      <w:r w:rsidR="002D1BA1" w:rsidRPr="005E6AD9">
        <w:rPr>
          <w:rFonts w:ascii="Times New Roman" w:eastAsia="Calibri" w:hAnsi="Times New Roman" w:cs="Times New Roman"/>
          <w:kern w:val="0"/>
          <w:sz w:val="28"/>
          <w:szCs w:val="28"/>
          <w:lang w:val="en-GB"/>
          <w14:ligatures w14:val="none"/>
        </w:rPr>
        <w:t xml:space="preserve"> or joint venture who </w:t>
      </w:r>
      <w:r w:rsidR="004B6B47" w:rsidRPr="005E6AD9">
        <w:rPr>
          <w:rFonts w:ascii="Times New Roman" w:eastAsia="Calibri" w:hAnsi="Times New Roman" w:cs="Times New Roman"/>
          <w:kern w:val="0"/>
          <w:sz w:val="28"/>
          <w:szCs w:val="28"/>
          <w:lang w:val="en-GB"/>
          <w14:ligatures w14:val="none"/>
        </w:rPr>
        <w:t>‘</w:t>
      </w:r>
      <w:r w:rsidR="002D1BA1" w:rsidRPr="005E6AD9">
        <w:rPr>
          <w:rFonts w:ascii="Times New Roman" w:eastAsia="Calibri" w:hAnsi="Times New Roman" w:cs="Times New Roman"/>
          <w:kern w:val="0"/>
          <w:sz w:val="28"/>
          <w:szCs w:val="28"/>
          <w:lang w:val="en-GB"/>
          <w14:ligatures w14:val="none"/>
        </w:rPr>
        <w:t>participates in or takes part in an arrangement</w:t>
      </w:r>
      <w:r w:rsidR="006E0F3A" w:rsidRPr="005E6AD9">
        <w:rPr>
          <w:rFonts w:ascii="Times New Roman" w:eastAsia="Calibri" w:hAnsi="Times New Roman" w:cs="Times New Roman"/>
          <w:kern w:val="0"/>
          <w:sz w:val="28"/>
          <w:szCs w:val="28"/>
          <w:lang w:val="en-GB"/>
          <w14:ligatures w14:val="none"/>
        </w:rPr>
        <w:t>.’</w:t>
      </w:r>
    </w:p>
    <w:p w14:paraId="14C987F1" w14:textId="77777777" w:rsidR="00972483" w:rsidRPr="005E6AD9" w:rsidRDefault="00972483" w:rsidP="005E6AD9">
      <w:pPr>
        <w:spacing w:after="0" w:line="360" w:lineRule="auto"/>
        <w:contextualSpacing/>
        <w:jc w:val="both"/>
        <w:rPr>
          <w:rFonts w:ascii="Times New Roman" w:eastAsia="Calibri" w:hAnsi="Times New Roman" w:cs="Times New Roman"/>
          <w:kern w:val="0"/>
          <w:sz w:val="28"/>
          <w:szCs w:val="28"/>
          <w:lang w:val="en-GB"/>
          <w14:ligatures w14:val="none"/>
        </w:rPr>
      </w:pPr>
    </w:p>
    <w:p w14:paraId="1270F61B" w14:textId="20D44B20" w:rsidR="007A1FBD" w:rsidRPr="005E6AD9" w:rsidRDefault="0033268F" w:rsidP="0033268F">
      <w:pPr>
        <w:spacing w:after="0" w:line="360" w:lineRule="auto"/>
        <w:contextualSpacing/>
        <w:jc w:val="both"/>
        <w:rPr>
          <w:rFonts w:ascii="Times New Roman" w:eastAsia="Calibri" w:hAnsi="Times New Roman" w:cs="Times New Roman"/>
          <w:kern w:val="0"/>
          <w:sz w:val="28"/>
          <w:szCs w:val="28"/>
          <w:lang w:val="en-GB"/>
          <w14:ligatures w14:val="none"/>
        </w:rPr>
      </w:pPr>
      <w:r w:rsidRPr="005E6AD9">
        <w:rPr>
          <w:rFonts w:ascii="Times New Roman" w:eastAsia="Calibri" w:hAnsi="Times New Roman" w:cs="Times New Roman"/>
          <w:kern w:val="0"/>
          <w:sz w:val="28"/>
          <w:szCs w:val="28"/>
          <w:lang w:val="en-GB"/>
          <w14:ligatures w14:val="none"/>
        </w:rPr>
        <w:t>[14]</w:t>
      </w:r>
      <w:r w:rsidRPr="005E6AD9">
        <w:rPr>
          <w:rFonts w:ascii="Times New Roman" w:eastAsia="Calibri" w:hAnsi="Times New Roman" w:cs="Times New Roman"/>
          <w:kern w:val="0"/>
          <w:sz w:val="28"/>
          <w:szCs w:val="28"/>
          <w:lang w:val="en-GB"/>
          <w14:ligatures w14:val="none"/>
        </w:rPr>
        <w:tab/>
      </w:r>
      <w:r w:rsidR="007A1FBD" w:rsidRPr="005E6AD9">
        <w:rPr>
          <w:rFonts w:ascii="Times New Roman" w:eastAsia="Calibri" w:hAnsi="Times New Roman" w:cs="Times New Roman"/>
          <w:kern w:val="0"/>
          <w:sz w:val="28"/>
          <w:szCs w:val="28"/>
          <w:lang w:val="en-GB"/>
          <w14:ligatures w14:val="none"/>
        </w:rPr>
        <w:t>Section 80G(1) provides that an avoidance arrangement is presumed to have been entered into or carried out for the sole or main purpose of obtaining a tax benefit. A party obtaining a tax benefit is required to prove that, in the light of the relevant facts and circumstances, obtaining a tax benefit was not the sole or main purpose of the avoidance arrangement. Subsection (2) provides that the purpose of a step in or part of an avoidance arrangement may be different from a purpose attributable to the arrangement as a whole. In terms of s 80H, the Commissioner may apply the GAAR provisions to steps in or parts of an arrangement.</w:t>
      </w:r>
    </w:p>
    <w:p w14:paraId="129E1D36" w14:textId="77777777" w:rsidR="007E1FB4" w:rsidRPr="005E6AD9" w:rsidRDefault="007E1FB4" w:rsidP="007E1FB4">
      <w:pPr>
        <w:spacing w:after="0" w:line="360" w:lineRule="auto"/>
        <w:contextualSpacing/>
        <w:jc w:val="both"/>
        <w:rPr>
          <w:rFonts w:ascii="Times New Roman" w:eastAsia="Calibri" w:hAnsi="Times New Roman" w:cs="Times New Roman"/>
          <w:kern w:val="0"/>
          <w:sz w:val="28"/>
          <w:szCs w:val="28"/>
          <w:lang w:val="en-GB"/>
          <w14:ligatures w14:val="none"/>
        </w:rPr>
      </w:pPr>
    </w:p>
    <w:p w14:paraId="56D36B52" w14:textId="27CA8EC8" w:rsidR="002D1BA1" w:rsidRPr="005E6AD9" w:rsidRDefault="0033268F" w:rsidP="0033268F">
      <w:pPr>
        <w:spacing w:after="0" w:line="360" w:lineRule="auto"/>
        <w:contextualSpacing/>
        <w:jc w:val="both"/>
        <w:rPr>
          <w:rFonts w:ascii="Times New Roman" w:eastAsia="Calibri" w:hAnsi="Times New Roman" w:cs="Times New Roman"/>
          <w:kern w:val="0"/>
          <w:sz w:val="28"/>
          <w:szCs w:val="28"/>
          <w:lang w:val="en-GB"/>
          <w14:ligatures w14:val="none"/>
        </w:rPr>
      </w:pPr>
      <w:r w:rsidRPr="005E6AD9">
        <w:rPr>
          <w:rFonts w:ascii="Times New Roman" w:eastAsia="Calibri" w:hAnsi="Times New Roman" w:cs="Times New Roman"/>
          <w:kern w:val="0"/>
          <w:sz w:val="28"/>
          <w:szCs w:val="28"/>
          <w:lang w:val="en-GB"/>
          <w14:ligatures w14:val="none"/>
        </w:rPr>
        <w:t>[15]</w:t>
      </w:r>
      <w:r w:rsidRPr="005E6AD9">
        <w:rPr>
          <w:rFonts w:ascii="Times New Roman" w:eastAsia="Calibri" w:hAnsi="Times New Roman" w:cs="Times New Roman"/>
          <w:kern w:val="0"/>
          <w:sz w:val="28"/>
          <w:szCs w:val="28"/>
          <w:lang w:val="en-GB"/>
          <w14:ligatures w14:val="none"/>
        </w:rPr>
        <w:tab/>
      </w:r>
      <w:r w:rsidR="002D1BA1" w:rsidRPr="005E6AD9">
        <w:rPr>
          <w:rFonts w:ascii="Times New Roman" w:eastAsia="Calibri" w:hAnsi="Times New Roman" w:cs="Times New Roman"/>
          <w:kern w:val="0"/>
          <w:sz w:val="28"/>
          <w:szCs w:val="28"/>
          <w:lang w:val="en-GB"/>
          <w14:ligatures w14:val="none"/>
        </w:rPr>
        <w:t>Section 80J regulates the procedure to be followed prior to the determination made in terms of section 80B. It provides</w:t>
      </w:r>
      <w:r w:rsidR="00AB69C4" w:rsidRPr="005E6AD9">
        <w:rPr>
          <w:rFonts w:ascii="Times New Roman" w:eastAsia="Calibri" w:hAnsi="Times New Roman" w:cs="Times New Roman"/>
          <w:kern w:val="0"/>
          <w:sz w:val="28"/>
          <w:szCs w:val="28"/>
          <w:lang w:val="en-GB"/>
          <w14:ligatures w14:val="none"/>
        </w:rPr>
        <w:t xml:space="preserve">, in </w:t>
      </w:r>
      <w:r w:rsidR="00826D1F" w:rsidRPr="005E6AD9">
        <w:rPr>
          <w:rFonts w:ascii="Times New Roman" w:eastAsia="Calibri" w:hAnsi="Times New Roman" w:cs="Times New Roman"/>
          <w:kern w:val="0"/>
          <w:sz w:val="28"/>
          <w:szCs w:val="28"/>
          <w:lang w:val="en-GB"/>
          <w14:ligatures w14:val="none"/>
        </w:rPr>
        <w:t>peremptory</w:t>
      </w:r>
      <w:r w:rsidR="00AB69C4" w:rsidRPr="005E6AD9">
        <w:rPr>
          <w:rFonts w:ascii="Times New Roman" w:eastAsia="Calibri" w:hAnsi="Times New Roman" w:cs="Times New Roman"/>
          <w:kern w:val="0"/>
          <w:sz w:val="28"/>
          <w:szCs w:val="28"/>
          <w:lang w:val="en-GB"/>
          <w14:ligatures w14:val="none"/>
        </w:rPr>
        <w:t xml:space="preserve"> terms that</w:t>
      </w:r>
      <w:r w:rsidR="00826D1F" w:rsidRPr="005E6AD9">
        <w:rPr>
          <w:rFonts w:ascii="Times New Roman" w:eastAsia="Calibri" w:hAnsi="Times New Roman" w:cs="Times New Roman"/>
          <w:kern w:val="0"/>
          <w:sz w:val="28"/>
          <w:szCs w:val="28"/>
          <w:lang w:val="en-GB"/>
          <w14:ligatures w14:val="none"/>
        </w:rPr>
        <w:t>:</w:t>
      </w:r>
    </w:p>
    <w:p w14:paraId="07C9064E" w14:textId="77777777" w:rsidR="00826D1F" w:rsidRPr="005E6AD9" w:rsidRDefault="00047BA0" w:rsidP="009618AD">
      <w:pPr>
        <w:spacing w:after="0" w:line="360" w:lineRule="auto"/>
        <w:jc w:val="both"/>
        <w:rPr>
          <w:rFonts w:ascii="Times New Roman" w:eastAsia="Calibri" w:hAnsi="Times New Roman" w:cs="Times New Roman"/>
          <w:kern w:val="0"/>
          <w:sz w:val="24"/>
          <w:szCs w:val="24"/>
          <w:lang w:val="en-GB"/>
          <w14:ligatures w14:val="none"/>
        </w:rPr>
      </w:pPr>
      <w:r w:rsidRPr="005E6AD9">
        <w:rPr>
          <w:rFonts w:ascii="Times New Roman" w:eastAsia="Calibri" w:hAnsi="Times New Roman" w:cs="Times New Roman"/>
          <w:kern w:val="0"/>
          <w:sz w:val="24"/>
          <w:szCs w:val="24"/>
          <w:lang w:val="en-GB"/>
          <w14:ligatures w14:val="none"/>
        </w:rPr>
        <w:t xml:space="preserve">‘ (1) </w:t>
      </w:r>
      <w:r w:rsidR="002D1BA1" w:rsidRPr="005E6AD9">
        <w:rPr>
          <w:rFonts w:ascii="Times New Roman" w:eastAsia="Calibri" w:hAnsi="Times New Roman" w:cs="Times New Roman"/>
          <w:kern w:val="0"/>
          <w:sz w:val="24"/>
          <w:szCs w:val="24"/>
          <w:lang w:val="en-GB"/>
          <w14:ligatures w14:val="none"/>
        </w:rPr>
        <w:t>The Commissioner must, prior to determining any liability of a party</w:t>
      </w:r>
      <w:r w:rsidR="003C002F" w:rsidRPr="005E6AD9">
        <w:rPr>
          <w:rFonts w:ascii="Times New Roman" w:eastAsia="Calibri" w:hAnsi="Times New Roman" w:cs="Times New Roman"/>
          <w:kern w:val="0"/>
          <w:sz w:val="24"/>
          <w:szCs w:val="24"/>
          <w:lang w:val="en-GB"/>
          <w14:ligatures w14:val="none"/>
        </w:rPr>
        <w:t xml:space="preserve"> f</w:t>
      </w:r>
      <w:r w:rsidR="002D1BA1" w:rsidRPr="005E6AD9">
        <w:rPr>
          <w:rFonts w:ascii="Times New Roman" w:eastAsia="Calibri" w:hAnsi="Times New Roman" w:cs="Times New Roman"/>
          <w:kern w:val="0"/>
          <w:sz w:val="24"/>
          <w:szCs w:val="24"/>
          <w:lang w:val="en-GB"/>
          <w14:ligatures w14:val="none"/>
        </w:rPr>
        <w:t>or tax under section 80B</w:t>
      </w:r>
      <w:r w:rsidR="003C002F" w:rsidRPr="005E6AD9">
        <w:rPr>
          <w:rFonts w:ascii="Times New Roman" w:eastAsia="Calibri" w:hAnsi="Times New Roman" w:cs="Times New Roman"/>
          <w:kern w:val="0"/>
          <w:sz w:val="24"/>
          <w:szCs w:val="24"/>
          <w:lang w:val="en-GB"/>
          <w14:ligatures w14:val="none"/>
        </w:rPr>
        <w:t>, g</w:t>
      </w:r>
      <w:r w:rsidR="002D1BA1" w:rsidRPr="005E6AD9">
        <w:rPr>
          <w:rFonts w:ascii="Times New Roman" w:eastAsia="Calibri" w:hAnsi="Times New Roman" w:cs="Times New Roman"/>
          <w:kern w:val="0"/>
          <w:sz w:val="24"/>
          <w:szCs w:val="24"/>
          <w:lang w:val="en-GB"/>
          <w14:ligatures w14:val="none"/>
        </w:rPr>
        <w:t xml:space="preserve">ive the </w:t>
      </w:r>
      <w:r w:rsidR="003C002F" w:rsidRPr="005E6AD9">
        <w:rPr>
          <w:rFonts w:ascii="Times New Roman" w:eastAsia="Calibri" w:hAnsi="Times New Roman" w:cs="Times New Roman"/>
          <w:kern w:val="0"/>
          <w:sz w:val="24"/>
          <w:szCs w:val="24"/>
          <w:lang w:val="en-GB"/>
          <w14:ligatures w14:val="none"/>
        </w:rPr>
        <w:t>p</w:t>
      </w:r>
      <w:r w:rsidR="002D1BA1" w:rsidRPr="005E6AD9">
        <w:rPr>
          <w:rFonts w:ascii="Times New Roman" w:eastAsia="Calibri" w:hAnsi="Times New Roman" w:cs="Times New Roman"/>
          <w:kern w:val="0"/>
          <w:sz w:val="24"/>
          <w:szCs w:val="24"/>
          <w:lang w:val="en-GB"/>
          <w14:ligatures w14:val="none"/>
        </w:rPr>
        <w:t xml:space="preserve">arty notice that he or she believes that the provisions of this </w:t>
      </w:r>
      <w:r w:rsidR="00FC2454" w:rsidRPr="005E6AD9">
        <w:rPr>
          <w:rFonts w:ascii="Times New Roman" w:eastAsia="Calibri" w:hAnsi="Times New Roman" w:cs="Times New Roman"/>
          <w:kern w:val="0"/>
          <w:sz w:val="24"/>
          <w:szCs w:val="24"/>
          <w:lang w:val="en-GB"/>
          <w14:ligatures w14:val="none"/>
        </w:rPr>
        <w:t>P</w:t>
      </w:r>
      <w:r w:rsidR="002D1BA1" w:rsidRPr="005E6AD9">
        <w:rPr>
          <w:rFonts w:ascii="Times New Roman" w:eastAsia="Calibri" w:hAnsi="Times New Roman" w:cs="Times New Roman"/>
          <w:kern w:val="0"/>
          <w:sz w:val="24"/>
          <w:szCs w:val="24"/>
          <w:lang w:val="en-GB"/>
          <w14:ligatures w14:val="none"/>
        </w:rPr>
        <w:t>art may apply in respect of an arrangement and must set out in the notice his or her reasons</w:t>
      </w:r>
      <w:r w:rsidR="003C002F" w:rsidRPr="005E6AD9">
        <w:rPr>
          <w:rFonts w:ascii="Times New Roman" w:eastAsia="Calibri" w:hAnsi="Times New Roman" w:cs="Times New Roman"/>
          <w:kern w:val="0"/>
          <w:sz w:val="24"/>
          <w:szCs w:val="24"/>
          <w:lang w:val="en-GB"/>
          <w14:ligatures w14:val="none"/>
        </w:rPr>
        <w:t xml:space="preserve"> t</w:t>
      </w:r>
      <w:r w:rsidR="002D1BA1" w:rsidRPr="005E6AD9">
        <w:rPr>
          <w:rFonts w:ascii="Times New Roman" w:eastAsia="Calibri" w:hAnsi="Times New Roman" w:cs="Times New Roman"/>
          <w:kern w:val="0"/>
          <w:sz w:val="24"/>
          <w:szCs w:val="24"/>
          <w:lang w:val="en-GB"/>
          <w14:ligatures w14:val="none"/>
        </w:rPr>
        <w:t>herefo</w:t>
      </w:r>
      <w:r w:rsidR="003C002F" w:rsidRPr="005E6AD9">
        <w:rPr>
          <w:rFonts w:ascii="Times New Roman" w:eastAsia="Calibri" w:hAnsi="Times New Roman" w:cs="Times New Roman"/>
          <w:kern w:val="0"/>
          <w:sz w:val="24"/>
          <w:szCs w:val="24"/>
          <w:lang w:val="en-GB"/>
          <w14:ligatures w14:val="none"/>
        </w:rPr>
        <w:t>r.</w:t>
      </w:r>
    </w:p>
    <w:p w14:paraId="460385D3" w14:textId="7BE1FD97" w:rsidR="00826D1F" w:rsidRPr="0033268F" w:rsidRDefault="0033268F" w:rsidP="0033268F">
      <w:pPr>
        <w:spacing w:after="0" w:line="360" w:lineRule="auto"/>
        <w:ind w:left="62"/>
        <w:jc w:val="both"/>
        <w:rPr>
          <w:rFonts w:ascii="Times New Roman" w:eastAsia="Calibri" w:hAnsi="Times New Roman" w:cs="Times New Roman"/>
          <w:kern w:val="0"/>
          <w:sz w:val="24"/>
          <w:szCs w:val="24"/>
          <w:lang w:val="en-GB"/>
          <w14:ligatures w14:val="none"/>
        </w:rPr>
      </w:pPr>
      <w:r w:rsidRPr="005E6AD9">
        <w:rPr>
          <w:rFonts w:ascii="Times New Roman" w:eastAsia="Calibri" w:hAnsi="Times New Roman" w:cs="Times New Roman"/>
          <w:kern w:val="0"/>
          <w:sz w:val="24"/>
          <w:szCs w:val="24"/>
          <w:lang w:val="en-GB"/>
          <w14:ligatures w14:val="none"/>
        </w:rPr>
        <w:t>(2)</w:t>
      </w:r>
      <w:r w:rsidRPr="005E6AD9">
        <w:rPr>
          <w:rFonts w:ascii="Times New Roman" w:eastAsia="Calibri" w:hAnsi="Times New Roman" w:cs="Times New Roman"/>
          <w:kern w:val="0"/>
          <w:sz w:val="24"/>
          <w:szCs w:val="24"/>
          <w:lang w:val="en-GB"/>
          <w14:ligatures w14:val="none"/>
        </w:rPr>
        <w:tab/>
      </w:r>
      <w:r w:rsidR="002D1BA1" w:rsidRPr="0033268F">
        <w:rPr>
          <w:rFonts w:ascii="Times New Roman" w:eastAsia="Calibri" w:hAnsi="Times New Roman" w:cs="Times New Roman"/>
          <w:kern w:val="0"/>
          <w:sz w:val="24"/>
          <w:szCs w:val="24"/>
          <w:lang w:val="en-GB"/>
          <w14:ligatures w14:val="none"/>
        </w:rPr>
        <w:t xml:space="preserve">A party who receives notice in terms of subsection </w:t>
      </w:r>
      <w:r w:rsidR="00826D1F" w:rsidRPr="0033268F">
        <w:rPr>
          <w:rFonts w:ascii="Times New Roman" w:eastAsia="Calibri" w:hAnsi="Times New Roman" w:cs="Times New Roman"/>
          <w:kern w:val="0"/>
          <w:sz w:val="24"/>
          <w:szCs w:val="24"/>
          <w:lang w:val="en-GB"/>
          <w14:ligatures w14:val="none"/>
        </w:rPr>
        <w:t>(</w:t>
      </w:r>
      <w:r w:rsidR="003C002F" w:rsidRPr="0033268F">
        <w:rPr>
          <w:rFonts w:ascii="Times New Roman" w:eastAsia="Calibri" w:hAnsi="Times New Roman" w:cs="Times New Roman"/>
          <w:kern w:val="0"/>
          <w:sz w:val="24"/>
          <w:szCs w:val="24"/>
          <w:lang w:val="en-GB"/>
          <w14:ligatures w14:val="none"/>
        </w:rPr>
        <w:t>1</w:t>
      </w:r>
      <w:r w:rsidR="00826D1F" w:rsidRPr="0033268F">
        <w:rPr>
          <w:rFonts w:ascii="Times New Roman" w:eastAsia="Calibri" w:hAnsi="Times New Roman" w:cs="Times New Roman"/>
          <w:kern w:val="0"/>
          <w:sz w:val="24"/>
          <w:szCs w:val="24"/>
          <w:lang w:val="en-GB"/>
          <w14:ligatures w14:val="none"/>
        </w:rPr>
        <w:t>)</w:t>
      </w:r>
      <w:r w:rsidR="002D1BA1" w:rsidRPr="0033268F">
        <w:rPr>
          <w:rFonts w:ascii="Times New Roman" w:eastAsia="Calibri" w:hAnsi="Times New Roman" w:cs="Times New Roman"/>
          <w:kern w:val="0"/>
          <w:sz w:val="24"/>
          <w:szCs w:val="24"/>
          <w:lang w:val="en-GB"/>
          <w14:ligatures w14:val="none"/>
        </w:rPr>
        <w:t xml:space="preserve"> may, within </w:t>
      </w:r>
      <w:r w:rsidR="003C002F" w:rsidRPr="0033268F">
        <w:rPr>
          <w:rFonts w:ascii="Times New Roman" w:eastAsia="Calibri" w:hAnsi="Times New Roman" w:cs="Times New Roman"/>
          <w:kern w:val="0"/>
          <w:sz w:val="24"/>
          <w:szCs w:val="24"/>
          <w:lang w:val="en-GB"/>
          <w14:ligatures w14:val="none"/>
        </w:rPr>
        <w:t xml:space="preserve">60 </w:t>
      </w:r>
      <w:r w:rsidR="002D1BA1" w:rsidRPr="0033268F">
        <w:rPr>
          <w:rFonts w:ascii="Times New Roman" w:eastAsia="Calibri" w:hAnsi="Times New Roman" w:cs="Times New Roman"/>
          <w:kern w:val="0"/>
          <w:sz w:val="24"/>
          <w:szCs w:val="24"/>
          <w:lang w:val="en-GB"/>
          <w14:ligatures w14:val="none"/>
        </w:rPr>
        <w:t xml:space="preserve">days after the date of that notice or such longer period as the Commissioner may allow, submit reasons to the Commissioner why the provisions of this </w:t>
      </w:r>
      <w:r w:rsidR="00FC2454" w:rsidRPr="0033268F">
        <w:rPr>
          <w:rFonts w:ascii="Times New Roman" w:eastAsia="Calibri" w:hAnsi="Times New Roman" w:cs="Times New Roman"/>
          <w:kern w:val="0"/>
          <w:sz w:val="24"/>
          <w:szCs w:val="24"/>
          <w:lang w:val="en-GB"/>
          <w14:ligatures w14:val="none"/>
        </w:rPr>
        <w:t>P</w:t>
      </w:r>
      <w:r w:rsidR="002D1BA1" w:rsidRPr="0033268F">
        <w:rPr>
          <w:rFonts w:ascii="Times New Roman" w:eastAsia="Calibri" w:hAnsi="Times New Roman" w:cs="Times New Roman"/>
          <w:kern w:val="0"/>
          <w:sz w:val="24"/>
          <w:szCs w:val="24"/>
          <w:lang w:val="en-GB"/>
          <w14:ligatures w14:val="none"/>
        </w:rPr>
        <w:t>art should not be applied.</w:t>
      </w:r>
    </w:p>
    <w:p w14:paraId="1031BEEE" w14:textId="10DF8FFA" w:rsidR="003C002F" w:rsidRPr="0033268F" w:rsidRDefault="0033268F" w:rsidP="0033268F">
      <w:pPr>
        <w:spacing w:after="0" w:line="360" w:lineRule="auto"/>
        <w:ind w:left="62"/>
        <w:jc w:val="both"/>
        <w:rPr>
          <w:rFonts w:ascii="Times New Roman" w:eastAsia="Calibri" w:hAnsi="Times New Roman" w:cs="Times New Roman"/>
          <w:kern w:val="0"/>
          <w:sz w:val="24"/>
          <w:szCs w:val="24"/>
          <w:lang w:val="en-GB"/>
          <w14:ligatures w14:val="none"/>
        </w:rPr>
      </w:pPr>
      <w:r w:rsidRPr="005E6AD9">
        <w:rPr>
          <w:rFonts w:ascii="Times New Roman" w:eastAsia="Calibri" w:hAnsi="Times New Roman" w:cs="Times New Roman"/>
          <w:kern w:val="0"/>
          <w:sz w:val="24"/>
          <w:szCs w:val="24"/>
          <w:lang w:val="en-GB"/>
          <w14:ligatures w14:val="none"/>
        </w:rPr>
        <w:t>(3)</w:t>
      </w:r>
      <w:r w:rsidRPr="005E6AD9">
        <w:rPr>
          <w:rFonts w:ascii="Times New Roman" w:eastAsia="Calibri" w:hAnsi="Times New Roman" w:cs="Times New Roman"/>
          <w:kern w:val="0"/>
          <w:sz w:val="24"/>
          <w:szCs w:val="24"/>
          <w:lang w:val="en-GB"/>
          <w14:ligatures w14:val="none"/>
        </w:rPr>
        <w:tab/>
      </w:r>
      <w:r w:rsidR="002D1BA1" w:rsidRPr="0033268F">
        <w:rPr>
          <w:rFonts w:ascii="Times New Roman" w:eastAsia="Calibri" w:hAnsi="Times New Roman" w:cs="Times New Roman"/>
          <w:kern w:val="0"/>
          <w:sz w:val="24"/>
          <w:szCs w:val="24"/>
          <w:lang w:val="en-GB"/>
          <w14:ligatures w14:val="none"/>
        </w:rPr>
        <w:t>The Commissioner must within 180 days of receipt of the reasons or the expiry of the period contemplated in subsection</w:t>
      </w:r>
      <w:r w:rsidR="00826D1F" w:rsidRPr="0033268F">
        <w:rPr>
          <w:rFonts w:ascii="Times New Roman" w:eastAsia="Calibri" w:hAnsi="Times New Roman" w:cs="Times New Roman"/>
          <w:kern w:val="0"/>
          <w:sz w:val="24"/>
          <w:szCs w:val="24"/>
          <w:lang w:val="en-GB"/>
          <w14:ligatures w14:val="none"/>
        </w:rPr>
        <w:t xml:space="preserve"> (2) -</w:t>
      </w:r>
    </w:p>
    <w:p w14:paraId="5F766AAE" w14:textId="77777777" w:rsidR="00826D1F" w:rsidRPr="005E6AD9" w:rsidRDefault="00FC2454" w:rsidP="009618AD">
      <w:pPr>
        <w:spacing w:after="0" w:line="360" w:lineRule="auto"/>
        <w:ind w:left="284"/>
        <w:jc w:val="both"/>
        <w:rPr>
          <w:rFonts w:ascii="Times New Roman" w:eastAsia="Calibri" w:hAnsi="Times New Roman" w:cs="Times New Roman"/>
          <w:kern w:val="0"/>
          <w:sz w:val="24"/>
          <w:szCs w:val="24"/>
          <w:lang w:val="en-GB"/>
          <w14:ligatures w14:val="none"/>
        </w:rPr>
      </w:pPr>
      <w:r w:rsidRPr="005E6AD9">
        <w:rPr>
          <w:rFonts w:ascii="Times New Roman" w:eastAsia="Calibri" w:hAnsi="Times New Roman" w:cs="Times New Roman"/>
          <w:kern w:val="0"/>
          <w:sz w:val="24"/>
          <w:szCs w:val="24"/>
          <w:lang w:val="en-GB"/>
          <w14:ligatures w14:val="none"/>
        </w:rPr>
        <w:t xml:space="preserve">(a) </w:t>
      </w:r>
      <w:r w:rsidR="00826D1F" w:rsidRPr="005E6AD9">
        <w:rPr>
          <w:rFonts w:ascii="Times New Roman" w:eastAsia="Calibri" w:hAnsi="Times New Roman" w:cs="Times New Roman"/>
          <w:kern w:val="0"/>
          <w:sz w:val="24"/>
          <w:szCs w:val="24"/>
          <w:lang w:val="en-GB"/>
          <w14:ligatures w14:val="none"/>
        </w:rPr>
        <w:t>r</w:t>
      </w:r>
      <w:r w:rsidR="002D1BA1" w:rsidRPr="005E6AD9">
        <w:rPr>
          <w:rFonts w:ascii="Times New Roman" w:eastAsia="Calibri" w:hAnsi="Times New Roman" w:cs="Times New Roman"/>
          <w:kern w:val="0"/>
          <w:sz w:val="24"/>
          <w:szCs w:val="24"/>
          <w:lang w:val="en-GB"/>
          <w14:ligatures w14:val="none"/>
        </w:rPr>
        <w:t>equest additional information</w:t>
      </w:r>
      <w:r w:rsidR="003C002F" w:rsidRPr="005E6AD9">
        <w:rPr>
          <w:rFonts w:ascii="Times New Roman" w:eastAsia="Calibri" w:hAnsi="Times New Roman" w:cs="Times New Roman"/>
          <w:kern w:val="0"/>
          <w:sz w:val="24"/>
          <w:szCs w:val="24"/>
          <w:lang w:val="en-GB"/>
          <w14:ligatures w14:val="none"/>
        </w:rPr>
        <w:t xml:space="preserve"> i</w:t>
      </w:r>
      <w:r w:rsidR="002D1BA1" w:rsidRPr="005E6AD9">
        <w:rPr>
          <w:rFonts w:ascii="Times New Roman" w:eastAsia="Calibri" w:hAnsi="Times New Roman" w:cs="Times New Roman"/>
          <w:kern w:val="0"/>
          <w:sz w:val="24"/>
          <w:szCs w:val="24"/>
          <w:lang w:val="en-GB"/>
          <w14:ligatures w14:val="none"/>
        </w:rPr>
        <w:t xml:space="preserve">n order to determine whether or not this </w:t>
      </w:r>
      <w:r w:rsidRPr="005E6AD9">
        <w:rPr>
          <w:rFonts w:ascii="Times New Roman" w:eastAsia="Calibri" w:hAnsi="Times New Roman" w:cs="Times New Roman"/>
          <w:kern w:val="0"/>
          <w:sz w:val="24"/>
          <w:szCs w:val="24"/>
          <w:lang w:val="en-GB"/>
          <w14:ligatures w14:val="none"/>
        </w:rPr>
        <w:t>P</w:t>
      </w:r>
      <w:r w:rsidR="002D1BA1" w:rsidRPr="005E6AD9">
        <w:rPr>
          <w:rFonts w:ascii="Times New Roman" w:eastAsia="Calibri" w:hAnsi="Times New Roman" w:cs="Times New Roman"/>
          <w:kern w:val="0"/>
          <w:sz w:val="24"/>
          <w:szCs w:val="24"/>
          <w:lang w:val="en-GB"/>
          <w14:ligatures w14:val="none"/>
        </w:rPr>
        <w:t>art applies in respect of an arrangement;</w:t>
      </w:r>
    </w:p>
    <w:p w14:paraId="5CE77438" w14:textId="77777777" w:rsidR="00826D1F" w:rsidRPr="005E6AD9" w:rsidRDefault="00FC2454" w:rsidP="009618AD">
      <w:pPr>
        <w:spacing w:after="0" w:line="360" w:lineRule="auto"/>
        <w:ind w:left="284"/>
        <w:jc w:val="both"/>
        <w:rPr>
          <w:rFonts w:ascii="Times New Roman" w:eastAsia="Calibri" w:hAnsi="Times New Roman" w:cs="Times New Roman"/>
          <w:kern w:val="0"/>
          <w:sz w:val="24"/>
          <w:szCs w:val="24"/>
          <w:lang w:val="en-GB"/>
          <w14:ligatures w14:val="none"/>
        </w:rPr>
      </w:pPr>
      <w:r w:rsidRPr="005E6AD9">
        <w:rPr>
          <w:rFonts w:ascii="Times New Roman" w:eastAsia="Calibri" w:hAnsi="Times New Roman" w:cs="Times New Roman"/>
          <w:kern w:val="0"/>
          <w:sz w:val="24"/>
          <w:szCs w:val="24"/>
          <w:lang w:val="en-GB"/>
          <w14:ligatures w14:val="none"/>
        </w:rPr>
        <w:lastRenderedPageBreak/>
        <w:t xml:space="preserve">(b) </w:t>
      </w:r>
      <w:r w:rsidR="00826D1F" w:rsidRPr="005E6AD9">
        <w:rPr>
          <w:rFonts w:ascii="Times New Roman" w:eastAsia="Calibri" w:hAnsi="Times New Roman" w:cs="Times New Roman"/>
          <w:kern w:val="0"/>
          <w:sz w:val="24"/>
          <w:szCs w:val="24"/>
          <w:lang w:val="en-GB"/>
          <w14:ligatures w14:val="none"/>
        </w:rPr>
        <w:t>g</w:t>
      </w:r>
      <w:r w:rsidR="002D1BA1" w:rsidRPr="005E6AD9">
        <w:rPr>
          <w:rFonts w:ascii="Times New Roman" w:eastAsia="Calibri" w:hAnsi="Times New Roman" w:cs="Times New Roman"/>
          <w:kern w:val="0"/>
          <w:sz w:val="24"/>
          <w:szCs w:val="24"/>
          <w:lang w:val="en-GB"/>
          <w14:ligatures w14:val="none"/>
        </w:rPr>
        <w:t xml:space="preserve">ive notice to the party that the notice in terms of subsection </w:t>
      </w:r>
      <w:r w:rsidR="00826D1F" w:rsidRPr="005E6AD9">
        <w:rPr>
          <w:rFonts w:ascii="Times New Roman" w:eastAsia="Calibri" w:hAnsi="Times New Roman" w:cs="Times New Roman"/>
          <w:kern w:val="0"/>
          <w:sz w:val="24"/>
          <w:szCs w:val="24"/>
          <w:lang w:val="en-GB"/>
          <w14:ligatures w14:val="none"/>
        </w:rPr>
        <w:t>(1)</w:t>
      </w:r>
      <w:r w:rsidR="002D1BA1" w:rsidRPr="005E6AD9">
        <w:rPr>
          <w:rFonts w:ascii="Times New Roman" w:eastAsia="Calibri" w:hAnsi="Times New Roman" w:cs="Times New Roman"/>
          <w:kern w:val="0"/>
          <w:sz w:val="24"/>
          <w:szCs w:val="24"/>
          <w:lang w:val="en-GB"/>
          <w14:ligatures w14:val="none"/>
        </w:rPr>
        <w:t xml:space="preserve"> has been withdrawn; or </w:t>
      </w:r>
    </w:p>
    <w:p w14:paraId="36626E79" w14:textId="77777777" w:rsidR="00826D1F" w:rsidRPr="005E6AD9" w:rsidRDefault="00FC2454" w:rsidP="009618AD">
      <w:pPr>
        <w:spacing w:after="0" w:line="360" w:lineRule="auto"/>
        <w:ind w:left="284"/>
        <w:jc w:val="both"/>
        <w:rPr>
          <w:rFonts w:ascii="Times New Roman" w:eastAsia="Calibri" w:hAnsi="Times New Roman" w:cs="Times New Roman"/>
          <w:kern w:val="0"/>
          <w:sz w:val="24"/>
          <w:szCs w:val="24"/>
          <w:lang w:val="en-GB"/>
          <w14:ligatures w14:val="none"/>
        </w:rPr>
      </w:pPr>
      <w:r w:rsidRPr="005E6AD9">
        <w:rPr>
          <w:rFonts w:ascii="Times New Roman" w:eastAsia="Calibri" w:hAnsi="Times New Roman" w:cs="Times New Roman"/>
          <w:kern w:val="0"/>
          <w:sz w:val="24"/>
          <w:szCs w:val="24"/>
          <w:lang w:val="en-GB"/>
          <w14:ligatures w14:val="none"/>
        </w:rPr>
        <w:t xml:space="preserve">(c) </w:t>
      </w:r>
      <w:r w:rsidR="00826D1F" w:rsidRPr="005E6AD9">
        <w:rPr>
          <w:rFonts w:ascii="Times New Roman" w:eastAsia="Calibri" w:hAnsi="Times New Roman" w:cs="Times New Roman"/>
          <w:kern w:val="0"/>
          <w:sz w:val="24"/>
          <w:szCs w:val="24"/>
          <w:lang w:val="en-GB"/>
          <w14:ligatures w14:val="none"/>
        </w:rPr>
        <w:t>d</w:t>
      </w:r>
      <w:r w:rsidR="002D1BA1" w:rsidRPr="005E6AD9">
        <w:rPr>
          <w:rFonts w:ascii="Times New Roman" w:eastAsia="Calibri" w:hAnsi="Times New Roman" w:cs="Times New Roman"/>
          <w:kern w:val="0"/>
          <w:sz w:val="24"/>
          <w:szCs w:val="24"/>
          <w:lang w:val="en-GB"/>
          <w14:ligatures w14:val="none"/>
        </w:rPr>
        <w:t xml:space="preserve">etermine the liability of that party for tax in terms of this </w:t>
      </w:r>
      <w:r w:rsidRPr="005E6AD9">
        <w:rPr>
          <w:rFonts w:ascii="Times New Roman" w:eastAsia="Calibri" w:hAnsi="Times New Roman" w:cs="Times New Roman"/>
          <w:kern w:val="0"/>
          <w:sz w:val="24"/>
          <w:szCs w:val="24"/>
          <w:lang w:val="en-GB"/>
          <w14:ligatures w14:val="none"/>
        </w:rPr>
        <w:t>P</w:t>
      </w:r>
      <w:r w:rsidR="003C002F" w:rsidRPr="005E6AD9">
        <w:rPr>
          <w:rFonts w:ascii="Times New Roman" w:eastAsia="Calibri" w:hAnsi="Times New Roman" w:cs="Times New Roman"/>
          <w:kern w:val="0"/>
          <w:sz w:val="24"/>
          <w:szCs w:val="24"/>
          <w:lang w:val="en-GB"/>
          <w14:ligatures w14:val="none"/>
        </w:rPr>
        <w:t>ar</w:t>
      </w:r>
      <w:r w:rsidR="002D1BA1" w:rsidRPr="005E6AD9">
        <w:rPr>
          <w:rFonts w:ascii="Times New Roman" w:eastAsia="Calibri" w:hAnsi="Times New Roman" w:cs="Times New Roman"/>
          <w:kern w:val="0"/>
          <w:sz w:val="24"/>
          <w:szCs w:val="24"/>
          <w:lang w:val="en-GB"/>
          <w14:ligatures w14:val="none"/>
        </w:rPr>
        <w:t>t.</w:t>
      </w:r>
    </w:p>
    <w:p w14:paraId="7934E189" w14:textId="759DC405" w:rsidR="002D1BA1" w:rsidRPr="0033268F" w:rsidRDefault="0033268F" w:rsidP="0033268F">
      <w:pPr>
        <w:spacing w:after="0" w:line="360" w:lineRule="auto"/>
        <w:ind w:left="62"/>
        <w:jc w:val="both"/>
        <w:rPr>
          <w:rFonts w:ascii="Times New Roman" w:eastAsia="Calibri" w:hAnsi="Times New Roman" w:cs="Times New Roman"/>
          <w:kern w:val="0"/>
          <w:sz w:val="24"/>
          <w:szCs w:val="24"/>
          <w:lang w:val="en-GB"/>
          <w14:ligatures w14:val="none"/>
        </w:rPr>
      </w:pPr>
      <w:r w:rsidRPr="005E6AD9">
        <w:rPr>
          <w:rFonts w:ascii="Times New Roman" w:eastAsia="Calibri" w:hAnsi="Times New Roman" w:cs="Times New Roman"/>
          <w:kern w:val="0"/>
          <w:sz w:val="24"/>
          <w:szCs w:val="24"/>
          <w:lang w:val="en-GB"/>
          <w14:ligatures w14:val="none"/>
        </w:rPr>
        <w:t>(4)</w:t>
      </w:r>
      <w:r w:rsidRPr="005E6AD9">
        <w:rPr>
          <w:rFonts w:ascii="Times New Roman" w:eastAsia="Calibri" w:hAnsi="Times New Roman" w:cs="Times New Roman"/>
          <w:kern w:val="0"/>
          <w:sz w:val="24"/>
          <w:szCs w:val="24"/>
          <w:lang w:val="en-GB"/>
          <w14:ligatures w14:val="none"/>
        </w:rPr>
        <w:tab/>
      </w:r>
      <w:r w:rsidR="002D1BA1" w:rsidRPr="0033268F">
        <w:rPr>
          <w:rFonts w:ascii="Times New Roman" w:eastAsia="Calibri" w:hAnsi="Times New Roman" w:cs="Times New Roman"/>
          <w:kern w:val="0"/>
          <w:sz w:val="24"/>
          <w:szCs w:val="24"/>
          <w:lang w:val="en-GB"/>
          <w14:ligatures w14:val="none"/>
        </w:rPr>
        <w:t xml:space="preserve">If at any stage after giving notice to the party in terms of subsection </w:t>
      </w:r>
      <w:r w:rsidR="00826D1F" w:rsidRPr="0033268F">
        <w:rPr>
          <w:rFonts w:ascii="Times New Roman" w:eastAsia="Calibri" w:hAnsi="Times New Roman" w:cs="Times New Roman"/>
          <w:kern w:val="0"/>
          <w:sz w:val="24"/>
          <w:szCs w:val="24"/>
          <w:lang w:val="en-GB"/>
          <w14:ligatures w14:val="none"/>
        </w:rPr>
        <w:t>(1),</w:t>
      </w:r>
      <w:r w:rsidR="002D1BA1" w:rsidRPr="0033268F">
        <w:rPr>
          <w:rFonts w:ascii="Times New Roman" w:eastAsia="Calibri" w:hAnsi="Times New Roman" w:cs="Times New Roman"/>
          <w:kern w:val="0"/>
          <w:sz w:val="24"/>
          <w:szCs w:val="24"/>
          <w:lang w:val="en-GB"/>
          <w14:ligatures w14:val="none"/>
        </w:rPr>
        <w:t xml:space="preserve"> additional information comes to the knowledge of the commissioner, </w:t>
      </w:r>
      <w:r w:rsidR="00826D1F" w:rsidRPr="0033268F">
        <w:rPr>
          <w:rFonts w:ascii="Times New Roman" w:eastAsia="Calibri" w:hAnsi="Times New Roman" w:cs="Times New Roman"/>
          <w:kern w:val="0"/>
          <w:sz w:val="24"/>
          <w:szCs w:val="24"/>
          <w:lang w:val="en-GB"/>
          <w14:ligatures w14:val="none"/>
        </w:rPr>
        <w:t>h</w:t>
      </w:r>
      <w:r w:rsidR="002D1BA1" w:rsidRPr="0033268F">
        <w:rPr>
          <w:rFonts w:ascii="Times New Roman" w:eastAsia="Calibri" w:hAnsi="Times New Roman" w:cs="Times New Roman"/>
          <w:kern w:val="0"/>
          <w:sz w:val="24"/>
          <w:szCs w:val="24"/>
          <w:lang w:val="en-GB"/>
          <w14:ligatures w14:val="none"/>
        </w:rPr>
        <w:t xml:space="preserve">e or she may revise or modify his or her reasons for applying this part or, </w:t>
      </w:r>
      <w:r w:rsidR="003C002F" w:rsidRPr="0033268F">
        <w:rPr>
          <w:rFonts w:ascii="Times New Roman" w:eastAsia="Calibri" w:hAnsi="Times New Roman" w:cs="Times New Roman"/>
          <w:kern w:val="0"/>
          <w:sz w:val="24"/>
          <w:szCs w:val="24"/>
          <w:lang w:val="en-GB"/>
          <w14:ligatures w14:val="none"/>
        </w:rPr>
        <w:t>i</w:t>
      </w:r>
      <w:r w:rsidR="002D1BA1" w:rsidRPr="0033268F">
        <w:rPr>
          <w:rFonts w:ascii="Times New Roman" w:eastAsia="Calibri" w:hAnsi="Times New Roman" w:cs="Times New Roman"/>
          <w:kern w:val="0"/>
          <w:sz w:val="24"/>
          <w:szCs w:val="24"/>
          <w:lang w:val="en-GB"/>
          <w14:ligatures w14:val="none"/>
        </w:rPr>
        <w:t xml:space="preserve">f the notice had been withdrawn, </w:t>
      </w:r>
      <w:r w:rsidR="003C002F" w:rsidRPr="0033268F">
        <w:rPr>
          <w:rFonts w:ascii="Times New Roman" w:eastAsia="Calibri" w:hAnsi="Times New Roman" w:cs="Times New Roman"/>
          <w:kern w:val="0"/>
          <w:sz w:val="24"/>
          <w:szCs w:val="24"/>
          <w:lang w:val="en-GB"/>
          <w14:ligatures w14:val="none"/>
        </w:rPr>
        <w:t>g</w:t>
      </w:r>
      <w:r w:rsidR="002D1BA1" w:rsidRPr="0033268F">
        <w:rPr>
          <w:rFonts w:ascii="Times New Roman" w:eastAsia="Calibri" w:hAnsi="Times New Roman" w:cs="Times New Roman"/>
          <w:kern w:val="0"/>
          <w:sz w:val="24"/>
          <w:szCs w:val="24"/>
          <w:lang w:val="en-GB"/>
          <w14:ligatures w14:val="none"/>
        </w:rPr>
        <w:t xml:space="preserve">ive notice in terms of subsection </w:t>
      </w:r>
      <w:r w:rsidR="007A1FBD" w:rsidRPr="0033268F">
        <w:rPr>
          <w:rFonts w:ascii="Times New Roman" w:eastAsia="Calibri" w:hAnsi="Times New Roman" w:cs="Times New Roman"/>
          <w:kern w:val="0"/>
          <w:sz w:val="24"/>
          <w:szCs w:val="24"/>
          <w:lang w:val="en-GB"/>
          <w14:ligatures w14:val="none"/>
        </w:rPr>
        <w:t>(</w:t>
      </w:r>
      <w:r w:rsidR="002D1BA1" w:rsidRPr="0033268F">
        <w:rPr>
          <w:rFonts w:ascii="Times New Roman" w:eastAsia="Calibri" w:hAnsi="Times New Roman" w:cs="Times New Roman"/>
          <w:kern w:val="0"/>
          <w:sz w:val="24"/>
          <w:szCs w:val="24"/>
          <w:lang w:val="en-GB"/>
          <w14:ligatures w14:val="none"/>
        </w:rPr>
        <w:t>1</w:t>
      </w:r>
      <w:r w:rsidR="007A1FBD" w:rsidRPr="0033268F">
        <w:rPr>
          <w:rFonts w:ascii="Times New Roman" w:eastAsia="Calibri" w:hAnsi="Times New Roman" w:cs="Times New Roman"/>
          <w:kern w:val="0"/>
          <w:sz w:val="24"/>
          <w:szCs w:val="24"/>
          <w:lang w:val="en-GB"/>
          <w14:ligatures w14:val="none"/>
        </w:rPr>
        <w:t>)</w:t>
      </w:r>
      <w:r w:rsidR="002D1BA1" w:rsidRPr="0033268F">
        <w:rPr>
          <w:rFonts w:ascii="Times New Roman" w:eastAsia="Calibri" w:hAnsi="Times New Roman" w:cs="Times New Roman"/>
          <w:kern w:val="0"/>
          <w:sz w:val="24"/>
          <w:szCs w:val="24"/>
          <w:lang w:val="en-GB"/>
          <w14:ligatures w14:val="none"/>
        </w:rPr>
        <w:t>.</w:t>
      </w:r>
      <w:r w:rsidR="003C2970" w:rsidRPr="0033268F">
        <w:rPr>
          <w:rFonts w:ascii="Times New Roman" w:hAnsi="Times New Roman"/>
          <w:kern w:val="0"/>
          <w:sz w:val="24"/>
          <w:lang w:val="en-GB"/>
          <w14:ligatures w14:val="none"/>
        </w:rPr>
        <w:t>’</w:t>
      </w:r>
    </w:p>
    <w:p w14:paraId="7CBD2CD7" w14:textId="77777777" w:rsidR="00047BA0" w:rsidRPr="005E6AD9" w:rsidRDefault="00047BA0" w:rsidP="007E1FB4">
      <w:pPr>
        <w:spacing w:after="0" w:line="360" w:lineRule="auto"/>
        <w:contextualSpacing/>
        <w:jc w:val="both"/>
        <w:rPr>
          <w:rFonts w:ascii="Times New Roman" w:eastAsia="Calibri" w:hAnsi="Times New Roman" w:cs="Times New Roman"/>
          <w:b/>
          <w:bCs/>
          <w:kern w:val="0"/>
          <w:sz w:val="28"/>
          <w:szCs w:val="28"/>
          <w:lang w:val="en-GB"/>
          <w14:ligatures w14:val="none"/>
        </w:rPr>
      </w:pPr>
    </w:p>
    <w:p w14:paraId="006E3FDA" w14:textId="77777777" w:rsidR="00EA6450" w:rsidRPr="005E6AD9" w:rsidRDefault="00D43A69" w:rsidP="007E1FB4">
      <w:pPr>
        <w:spacing w:after="0" w:line="360" w:lineRule="auto"/>
        <w:contextualSpacing/>
        <w:jc w:val="both"/>
        <w:rPr>
          <w:rFonts w:ascii="Times New Roman" w:eastAsia="Calibri" w:hAnsi="Times New Roman" w:cs="Times New Roman"/>
          <w:kern w:val="0"/>
          <w:sz w:val="28"/>
          <w:szCs w:val="28"/>
          <w:lang w:val="en-GB"/>
          <w14:ligatures w14:val="none"/>
        </w:rPr>
      </w:pPr>
      <w:r w:rsidRPr="005E6AD9">
        <w:rPr>
          <w:rFonts w:ascii="Times New Roman" w:eastAsia="Calibri" w:hAnsi="Times New Roman" w:cs="Times New Roman"/>
          <w:b/>
          <w:bCs/>
          <w:kern w:val="0"/>
          <w:sz w:val="28"/>
          <w:szCs w:val="28"/>
          <w:lang w:val="en-GB"/>
          <w14:ligatures w14:val="none"/>
        </w:rPr>
        <w:t xml:space="preserve">The </w:t>
      </w:r>
      <w:r w:rsidR="00C036FD" w:rsidRPr="005E6AD9">
        <w:rPr>
          <w:rFonts w:ascii="Times New Roman" w:eastAsia="Calibri" w:hAnsi="Times New Roman" w:cs="Times New Roman"/>
          <w:b/>
          <w:bCs/>
          <w:kern w:val="0"/>
          <w:sz w:val="28"/>
          <w:szCs w:val="28"/>
          <w:lang w:val="en-GB"/>
          <w14:ligatures w14:val="none"/>
        </w:rPr>
        <w:t>section 9 review</w:t>
      </w:r>
      <w:r w:rsidRPr="005E6AD9">
        <w:rPr>
          <w:rFonts w:ascii="Times New Roman" w:eastAsia="Calibri" w:hAnsi="Times New Roman" w:cs="Times New Roman"/>
          <w:kern w:val="0"/>
          <w:sz w:val="28"/>
          <w:szCs w:val="28"/>
          <w:lang w:val="en-GB"/>
          <w14:ligatures w14:val="none"/>
        </w:rPr>
        <w:t xml:space="preserve"> </w:t>
      </w:r>
    </w:p>
    <w:p w14:paraId="20943888" w14:textId="77777777" w:rsidR="00C036FD" w:rsidRPr="005E6AD9" w:rsidRDefault="00657C07" w:rsidP="00CB0C7B">
      <w:pPr>
        <w:spacing w:after="0" w:line="360" w:lineRule="auto"/>
        <w:ind w:left="60"/>
        <w:jc w:val="both"/>
        <w:rPr>
          <w:rFonts w:ascii="Times New Roman" w:eastAsia="Calibri" w:hAnsi="Times New Roman" w:cs="Times New Roman"/>
          <w:kern w:val="0"/>
          <w:sz w:val="28"/>
          <w:szCs w:val="28"/>
          <w:lang w:val="en-GB"/>
          <w14:ligatures w14:val="none"/>
        </w:rPr>
      </w:pPr>
      <w:r w:rsidRPr="005E6AD9">
        <w:rPr>
          <w:rFonts w:ascii="Times New Roman" w:eastAsia="Calibri" w:hAnsi="Times New Roman" w:cs="Times New Roman"/>
          <w:kern w:val="0"/>
          <w:sz w:val="28"/>
          <w:szCs w:val="28"/>
          <w:lang w:val="en-GB"/>
          <w14:ligatures w14:val="none"/>
        </w:rPr>
        <w:t>[16]</w:t>
      </w:r>
      <w:r w:rsidRPr="005E6AD9">
        <w:rPr>
          <w:rFonts w:ascii="Times New Roman" w:eastAsia="Calibri" w:hAnsi="Times New Roman" w:cs="Times New Roman"/>
          <w:kern w:val="0"/>
          <w:sz w:val="28"/>
          <w:szCs w:val="28"/>
          <w:lang w:val="en-GB"/>
          <w14:ligatures w14:val="none"/>
        </w:rPr>
        <w:tab/>
      </w:r>
      <w:r w:rsidR="00C036FD" w:rsidRPr="005E6AD9">
        <w:rPr>
          <w:rFonts w:ascii="Times New Roman" w:eastAsia="Calibri" w:hAnsi="Times New Roman" w:cs="Times New Roman"/>
          <w:kern w:val="0"/>
          <w:sz w:val="28"/>
          <w:szCs w:val="28"/>
          <w:lang w:val="en-GB"/>
          <w14:ligatures w14:val="none"/>
        </w:rPr>
        <w:t>Section 9(1) of the TAA provides that:</w:t>
      </w:r>
    </w:p>
    <w:p w14:paraId="01E04B21" w14:textId="3854933E" w:rsidR="00D30660" w:rsidRPr="005E6AD9" w:rsidRDefault="00C036FD" w:rsidP="005E6AD9">
      <w:pPr>
        <w:pStyle w:val="ListParagraph"/>
        <w:spacing w:after="0" w:line="360" w:lineRule="auto"/>
        <w:ind w:left="0"/>
        <w:jc w:val="both"/>
        <w:rPr>
          <w:rFonts w:ascii="Times New Roman" w:eastAsia="Calibri" w:hAnsi="Times New Roman" w:cs="Times New Roman"/>
          <w:kern w:val="0"/>
          <w:sz w:val="24"/>
          <w:szCs w:val="24"/>
          <w:lang w:val="en-GB"/>
          <w14:ligatures w14:val="none"/>
        </w:rPr>
      </w:pPr>
      <w:r w:rsidRPr="005E6AD9">
        <w:rPr>
          <w:rFonts w:ascii="Times New Roman" w:eastAsia="Calibri" w:hAnsi="Times New Roman" w:cs="Times New Roman"/>
          <w:kern w:val="0"/>
          <w:sz w:val="24"/>
          <w:szCs w:val="24"/>
          <w:lang w:val="en-GB"/>
          <w14:ligatures w14:val="none"/>
        </w:rPr>
        <w:t xml:space="preserve">‘A decision made by a SARS official or a notice to a specific person issued by SARS under a tax Act, excluding a decision given effect </w:t>
      </w:r>
      <w:r w:rsidRPr="002C2BDF">
        <w:rPr>
          <w:rFonts w:ascii="Times New Roman" w:hAnsi="Times New Roman"/>
          <w:kern w:val="0"/>
          <w:sz w:val="24"/>
          <w:lang w:val="en-GB"/>
          <w14:ligatures w14:val="none"/>
        </w:rPr>
        <w:t>to in an</w:t>
      </w:r>
      <w:r w:rsidRPr="005E6AD9">
        <w:rPr>
          <w:rFonts w:ascii="Times New Roman" w:eastAsia="Calibri" w:hAnsi="Times New Roman" w:cs="Times New Roman"/>
          <w:kern w:val="0"/>
          <w:sz w:val="24"/>
          <w:szCs w:val="24"/>
          <w:lang w:val="en-GB"/>
          <w14:ligatures w14:val="none"/>
        </w:rPr>
        <w:t xml:space="preserve"> assessment or a notice of assessment that is subject to </w:t>
      </w:r>
      <w:r w:rsidR="00D30660" w:rsidRPr="005E6AD9">
        <w:rPr>
          <w:rFonts w:ascii="Times New Roman" w:eastAsia="Calibri" w:hAnsi="Times New Roman" w:cs="Times New Roman"/>
          <w:kern w:val="0"/>
          <w:sz w:val="24"/>
          <w:szCs w:val="24"/>
          <w:lang w:val="en-GB"/>
          <w14:ligatures w14:val="none"/>
        </w:rPr>
        <w:t>objection and appeal, may in the discretion of a SARS official described</w:t>
      </w:r>
      <w:r w:rsidR="00657C07" w:rsidRPr="005E6AD9">
        <w:rPr>
          <w:rFonts w:ascii="Times New Roman" w:eastAsia="Calibri" w:hAnsi="Times New Roman" w:cs="Times New Roman"/>
          <w:kern w:val="0"/>
          <w:sz w:val="24"/>
          <w:szCs w:val="24"/>
          <w:lang w:val="en-GB"/>
          <w14:ligatures w14:val="none"/>
        </w:rPr>
        <w:t xml:space="preserve"> . . .</w:t>
      </w:r>
      <w:r w:rsidR="00D30660" w:rsidRPr="005E6AD9">
        <w:rPr>
          <w:rFonts w:ascii="Times New Roman" w:eastAsia="Calibri" w:hAnsi="Times New Roman" w:cs="Times New Roman"/>
          <w:kern w:val="0"/>
          <w:sz w:val="24"/>
          <w:szCs w:val="24"/>
          <w:lang w:val="en-GB"/>
          <w14:ligatures w14:val="none"/>
        </w:rPr>
        <w:t xml:space="preserve"> at the request of the relevant person, be </w:t>
      </w:r>
      <w:r w:rsidR="00413E24" w:rsidRPr="005E6AD9">
        <w:rPr>
          <w:rFonts w:ascii="Times New Roman" w:eastAsia="Calibri" w:hAnsi="Times New Roman" w:cs="Times New Roman"/>
          <w:kern w:val="0"/>
          <w:sz w:val="24"/>
          <w:szCs w:val="24"/>
          <w:lang w:val="en-GB"/>
          <w14:ligatures w14:val="none"/>
        </w:rPr>
        <w:t>withdrawn</w:t>
      </w:r>
      <w:r w:rsidR="001056E3" w:rsidRPr="005E6AD9">
        <w:rPr>
          <w:rFonts w:ascii="Times New Roman" w:eastAsia="Calibri" w:hAnsi="Times New Roman" w:cs="Times New Roman"/>
          <w:kern w:val="0"/>
          <w:sz w:val="24"/>
          <w:szCs w:val="24"/>
          <w:lang w:val="en-GB"/>
          <w14:ligatures w14:val="none"/>
        </w:rPr>
        <w:t xml:space="preserve"> …</w:t>
      </w:r>
      <w:r w:rsidR="00D30660" w:rsidRPr="005E6AD9">
        <w:rPr>
          <w:rFonts w:ascii="Times New Roman" w:eastAsia="Calibri" w:hAnsi="Times New Roman" w:cs="Times New Roman"/>
          <w:kern w:val="0"/>
          <w:sz w:val="24"/>
          <w:szCs w:val="24"/>
          <w:lang w:val="en-GB"/>
          <w14:ligatures w14:val="none"/>
        </w:rPr>
        <w:t>’</w:t>
      </w:r>
    </w:p>
    <w:p w14:paraId="14AEE4C4" w14:textId="77777777" w:rsidR="00156C62" w:rsidRPr="005E6AD9" w:rsidRDefault="00156C62" w:rsidP="00413E24">
      <w:pPr>
        <w:pStyle w:val="ListParagraph"/>
        <w:spacing w:after="0" w:line="360" w:lineRule="auto"/>
        <w:ind w:left="0"/>
        <w:jc w:val="both"/>
        <w:rPr>
          <w:rFonts w:ascii="Times New Roman" w:eastAsia="Calibri" w:hAnsi="Times New Roman" w:cs="Times New Roman"/>
          <w:kern w:val="0"/>
          <w:sz w:val="28"/>
          <w:szCs w:val="28"/>
          <w:lang w:val="en-GB"/>
          <w14:ligatures w14:val="none"/>
        </w:rPr>
      </w:pPr>
    </w:p>
    <w:p w14:paraId="148AFA64" w14:textId="6CC43017" w:rsidR="00D30660" w:rsidRPr="005E6AD9" w:rsidRDefault="00657C07" w:rsidP="00CB0C7B">
      <w:pPr>
        <w:pStyle w:val="ListParagraph"/>
        <w:spacing w:after="0" w:line="360" w:lineRule="auto"/>
        <w:ind w:left="0"/>
        <w:jc w:val="both"/>
        <w:rPr>
          <w:rFonts w:ascii="Times New Roman" w:eastAsia="Calibri" w:hAnsi="Times New Roman" w:cs="Times New Roman"/>
          <w:kern w:val="0"/>
          <w:sz w:val="28"/>
          <w:szCs w:val="28"/>
          <w:lang w:val="en-GB"/>
          <w14:ligatures w14:val="none"/>
        </w:rPr>
      </w:pPr>
      <w:r w:rsidRPr="005E6AD9">
        <w:rPr>
          <w:rFonts w:ascii="Times New Roman" w:eastAsia="Calibri" w:hAnsi="Times New Roman" w:cs="Times New Roman"/>
          <w:kern w:val="0"/>
          <w:sz w:val="28"/>
          <w:szCs w:val="28"/>
          <w:lang w:val="en-GB"/>
          <w14:ligatures w14:val="none"/>
        </w:rPr>
        <w:t>[17]</w:t>
      </w:r>
      <w:r w:rsidRPr="005E6AD9">
        <w:rPr>
          <w:rFonts w:ascii="Times New Roman" w:eastAsia="Calibri" w:hAnsi="Times New Roman" w:cs="Times New Roman"/>
          <w:kern w:val="0"/>
          <w:sz w:val="28"/>
          <w:szCs w:val="28"/>
          <w:lang w:val="en-GB"/>
          <w14:ligatures w14:val="none"/>
        </w:rPr>
        <w:tab/>
      </w:r>
      <w:r w:rsidR="00D30660" w:rsidRPr="005E6AD9">
        <w:rPr>
          <w:rFonts w:ascii="Times New Roman" w:eastAsia="Calibri" w:hAnsi="Times New Roman" w:cs="Times New Roman"/>
          <w:kern w:val="0"/>
          <w:sz w:val="28"/>
          <w:szCs w:val="28"/>
          <w:lang w:val="en-GB"/>
          <w14:ligatures w14:val="none"/>
        </w:rPr>
        <w:t>The section appears in Part B of Chapter 2 of the TAA, under the heading ‘</w:t>
      </w:r>
      <w:r w:rsidR="006E5B02" w:rsidRPr="005E6AD9">
        <w:rPr>
          <w:rFonts w:ascii="Times New Roman" w:eastAsia="Calibri" w:hAnsi="Times New Roman" w:cs="Times New Roman"/>
          <w:kern w:val="0"/>
          <w:sz w:val="28"/>
          <w:szCs w:val="28"/>
          <w:lang w:val="en-GB"/>
          <w14:ligatures w14:val="none"/>
        </w:rPr>
        <w:t>powers</w:t>
      </w:r>
      <w:r w:rsidR="00D30660" w:rsidRPr="005E6AD9">
        <w:rPr>
          <w:rFonts w:ascii="Times New Roman" w:eastAsia="Calibri" w:hAnsi="Times New Roman" w:cs="Times New Roman"/>
          <w:kern w:val="0"/>
          <w:sz w:val="28"/>
          <w:szCs w:val="28"/>
          <w:lang w:val="en-GB"/>
          <w14:ligatures w14:val="none"/>
        </w:rPr>
        <w:t xml:space="preserve"> and duties of SARS and SARS officials’. It serves to describe discretionary powers which may be exercised by SARS officials. </w:t>
      </w:r>
      <w:r w:rsidR="006E5B02" w:rsidRPr="005E6AD9">
        <w:rPr>
          <w:rFonts w:ascii="Times New Roman" w:eastAsia="Calibri" w:hAnsi="Times New Roman" w:cs="Times New Roman"/>
          <w:kern w:val="0"/>
          <w:sz w:val="28"/>
          <w:szCs w:val="28"/>
          <w:lang w:val="en-GB"/>
          <w14:ligatures w14:val="none"/>
        </w:rPr>
        <w:t>It contains</w:t>
      </w:r>
      <w:r w:rsidR="00D76E1A" w:rsidRPr="005E6AD9">
        <w:rPr>
          <w:rFonts w:ascii="Times New Roman" w:eastAsia="Calibri" w:hAnsi="Times New Roman" w:cs="Times New Roman"/>
          <w:kern w:val="0"/>
          <w:sz w:val="28"/>
          <w:szCs w:val="28"/>
          <w:lang w:val="en-GB"/>
          <w14:ligatures w14:val="none"/>
        </w:rPr>
        <w:t xml:space="preserve"> an internal limiter. Decisions ‘given effect to in an assessment’ may not be withdrawn. So too</w:t>
      </w:r>
      <w:r w:rsidR="001056E3" w:rsidRPr="005E6AD9">
        <w:rPr>
          <w:rFonts w:ascii="Times New Roman" w:eastAsia="Calibri" w:hAnsi="Times New Roman" w:cs="Times New Roman"/>
          <w:kern w:val="0"/>
          <w:sz w:val="28"/>
          <w:szCs w:val="28"/>
          <w:lang w:val="en-GB"/>
          <w14:ligatures w14:val="none"/>
        </w:rPr>
        <w:t>,</w:t>
      </w:r>
      <w:r w:rsidR="00D76E1A" w:rsidRPr="005E6AD9">
        <w:rPr>
          <w:rFonts w:ascii="Times New Roman" w:eastAsia="Calibri" w:hAnsi="Times New Roman" w:cs="Times New Roman"/>
          <w:kern w:val="0"/>
          <w:sz w:val="28"/>
          <w:szCs w:val="28"/>
          <w:lang w:val="en-GB"/>
          <w14:ligatures w14:val="none"/>
        </w:rPr>
        <w:t xml:space="preserve"> a notice of assessment that is subject to objection and appeal. The high court ventured a construction of the first category as relating to ‘assessments already given effect to</w:t>
      </w:r>
      <w:r w:rsidR="006E0F3A" w:rsidRPr="005E6AD9">
        <w:rPr>
          <w:rFonts w:ascii="Times New Roman" w:eastAsia="Calibri" w:hAnsi="Times New Roman" w:cs="Times New Roman"/>
          <w:kern w:val="0"/>
          <w:sz w:val="28"/>
          <w:szCs w:val="28"/>
          <w:lang w:val="en-GB"/>
          <w14:ligatures w14:val="none"/>
        </w:rPr>
        <w:t>.’</w:t>
      </w:r>
      <w:r w:rsidR="00D76E1A" w:rsidRPr="005E6AD9">
        <w:rPr>
          <w:rFonts w:ascii="Times New Roman" w:eastAsia="Calibri" w:hAnsi="Times New Roman" w:cs="Times New Roman"/>
          <w:kern w:val="0"/>
          <w:sz w:val="28"/>
          <w:szCs w:val="28"/>
          <w:lang w:val="en-GB"/>
          <w14:ligatures w14:val="none"/>
        </w:rPr>
        <w:t xml:space="preserve"> There is no need to </w:t>
      </w:r>
      <w:r w:rsidR="001056E3" w:rsidRPr="005E6AD9">
        <w:rPr>
          <w:rFonts w:ascii="Times New Roman" w:eastAsia="Calibri" w:hAnsi="Times New Roman" w:cs="Times New Roman"/>
          <w:kern w:val="0"/>
          <w:sz w:val="28"/>
          <w:szCs w:val="28"/>
          <w:lang w:val="en-GB"/>
          <w14:ligatures w14:val="none"/>
        </w:rPr>
        <w:t>interpret</w:t>
      </w:r>
      <w:r w:rsidR="00D76E1A" w:rsidRPr="005E6AD9">
        <w:rPr>
          <w:rFonts w:ascii="Times New Roman" w:eastAsia="Calibri" w:hAnsi="Times New Roman" w:cs="Times New Roman"/>
          <w:kern w:val="0"/>
          <w:sz w:val="28"/>
          <w:szCs w:val="28"/>
          <w:lang w:val="en-GB"/>
          <w14:ligatures w14:val="none"/>
        </w:rPr>
        <w:t xml:space="preserve"> th</w:t>
      </w:r>
      <w:r w:rsidR="001056E3" w:rsidRPr="005E6AD9">
        <w:rPr>
          <w:rFonts w:ascii="Times New Roman" w:eastAsia="Calibri" w:hAnsi="Times New Roman" w:cs="Times New Roman"/>
          <w:kern w:val="0"/>
          <w:sz w:val="28"/>
          <w:szCs w:val="28"/>
          <w:lang w:val="en-GB"/>
          <w14:ligatures w14:val="none"/>
        </w:rPr>
        <w:t>is</w:t>
      </w:r>
      <w:r w:rsidR="00D76E1A" w:rsidRPr="005E6AD9">
        <w:rPr>
          <w:rFonts w:ascii="Times New Roman" w:eastAsia="Calibri" w:hAnsi="Times New Roman" w:cs="Times New Roman"/>
          <w:kern w:val="0"/>
          <w:sz w:val="28"/>
          <w:szCs w:val="28"/>
          <w:lang w:val="en-GB"/>
          <w14:ligatures w14:val="none"/>
        </w:rPr>
        <w:t xml:space="preserve"> section. It was common cause that s 9 contemplates the withdrawal of a notice such as one issued under s 80J. Indeed, s 80J(3) provides explicitly that such notice may be withdrawn upon consideration of the taxpayer's response to the s 80J notice.</w:t>
      </w:r>
    </w:p>
    <w:p w14:paraId="32B487E0" w14:textId="77777777" w:rsidR="00D76E1A" w:rsidRPr="005E6AD9" w:rsidRDefault="00D76E1A" w:rsidP="00D76E1A">
      <w:pPr>
        <w:pStyle w:val="ListParagraph"/>
        <w:spacing w:after="0" w:line="360" w:lineRule="auto"/>
        <w:ind w:left="0"/>
        <w:jc w:val="both"/>
        <w:rPr>
          <w:rFonts w:ascii="Times New Roman" w:eastAsia="Calibri" w:hAnsi="Times New Roman" w:cs="Times New Roman"/>
          <w:kern w:val="0"/>
          <w:sz w:val="28"/>
          <w:szCs w:val="28"/>
          <w:lang w:val="en-GB"/>
          <w14:ligatures w14:val="none"/>
        </w:rPr>
      </w:pPr>
    </w:p>
    <w:p w14:paraId="52CD6308" w14:textId="77777777" w:rsidR="00E809E4" w:rsidRPr="005E6AD9" w:rsidRDefault="004436F6" w:rsidP="00CB0C7B">
      <w:pPr>
        <w:pStyle w:val="ListParagraph"/>
        <w:spacing w:after="0" w:line="360" w:lineRule="auto"/>
        <w:ind w:left="0"/>
        <w:jc w:val="both"/>
        <w:rPr>
          <w:rFonts w:ascii="Times New Roman" w:eastAsia="Calibri" w:hAnsi="Times New Roman" w:cs="Times New Roman"/>
          <w:kern w:val="0"/>
          <w:sz w:val="28"/>
          <w:szCs w:val="28"/>
          <w:lang w:val="en-GB"/>
          <w14:ligatures w14:val="none"/>
        </w:rPr>
      </w:pPr>
      <w:r w:rsidRPr="005E6AD9">
        <w:rPr>
          <w:rFonts w:ascii="Times New Roman" w:eastAsia="Calibri" w:hAnsi="Times New Roman" w:cs="Times New Roman"/>
          <w:kern w:val="0"/>
          <w:sz w:val="28"/>
          <w:szCs w:val="28"/>
          <w:lang w:val="en-GB"/>
          <w14:ligatures w14:val="none"/>
        </w:rPr>
        <w:t>[18]</w:t>
      </w:r>
      <w:r w:rsidRPr="005E6AD9">
        <w:rPr>
          <w:rFonts w:ascii="Times New Roman" w:eastAsia="Calibri" w:hAnsi="Times New Roman" w:cs="Times New Roman"/>
          <w:kern w:val="0"/>
          <w:sz w:val="28"/>
          <w:szCs w:val="28"/>
          <w:lang w:val="en-GB"/>
          <w14:ligatures w14:val="none"/>
        </w:rPr>
        <w:tab/>
      </w:r>
      <w:r w:rsidR="00D76E1A" w:rsidRPr="005E6AD9">
        <w:rPr>
          <w:rFonts w:ascii="Times New Roman" w:eastAsia="Calibri" w:hAnsi="Times New Roman" w:cs="Times New Roman"/>
          <w:kern w:val="0"/>
          <w:sz w:val="28"/>
          <w:szCs w:val="28"/>
          <w:lang w:val="en-GB"/>
          <w14:ligatures w14:val="none"/>
        </w:rPr>
        <w:t>T</w:t>
      </w:r>
      <w:r w:rsidR="00EA6450" w:rsidRPr="005E6AD9">
        <w:rPr>
          <w:rFonts w:ascii="Times New Roman" w:eastAsia="Calibri" w:hAnsi="Times New Roman" w:cs="Times New Roman"/>
          <w:kern w:val="0"/>
          <w:sz w:val="28"/>
          <w:szCs w:val="28"/>
          <w:lang w:val="en-GB"/>
          <w14:ligatures w14:val="none"/>
        </w:rPr>
        <w:t xml:space="preserve">he review </w:t>
      </w:r>
      <w:r w:rsidR="00D76E1A" w:rsidRPr="005E6AD9">
        <w:rPr>
          <w:rFonts w:ascii="Times New Roman" w:eastAsia="Calibri" w:hAnsi="Times New Roman" w:cs="Times New Roman"/>
          <w:kern w:val="0"/>
          <w:sz w:val="28"/>
          <w:szCs w:val="28"/>
          <w:lang w:val="en-GB"/>
          <w14:ligatures w14:val="none"/>
        </w:rPr>
        <w:t xml:space="preserve">of the refusal to withdraw the s 80J notices was </w:t>
      </w:r>
      <w:r w:rsidR="00EA6450" w:rsidRPr="005E6AD9">
        <w:rPr>
          <w:rFonts w:ascii="Times New Roman" w:eastAsia="Calibri" w:hAnsi="Times New Roman" w:cs="Times New Roman"/>
          <w:kern w:val="0"/>
          <w:sz w:val="28"/>
          <w:szCs w:val="28"/>
          <w:lang w:val="en-GB"/>
          <w14:ligatures w14:val="none"/>
        </w:rPr>
        <w:t>launched</w:t>
      </w:r>
      <w:r w:rsidR="00D76E1A" w:rsidRPr="005E6AD9">
        <w:rPr>
          <w:rFonts w:ascii="Times New Roman" w:eastAsia="Calibri" w:hAnsi="Times New Roman" w:cs="Times New Roman"/>
          <w:kern w:val="0"/>
          <w:sz w:val="28"/>
          <w:szCs w:val="28"/>
          <w:lang w:val="en-GB"/>
          <w14:ligatures w14:val="none"/>
        </w:rPr>
        <w:t xml:space="preserve"> simultaneously with the submission of responses to the notices and some months</w:t>
      </w:r>
      <w:r w:rsidR="00EA6450" w:rsidRPr="005E6AD9">
        <w:rPr>
          <w:rFonts w:ascii="Times New Roman" w:eastAsia="Calibri" w:hAnsi="Times New Roman" w:cs="Times New Roman"/>
          <w:kern w:val="0"/>
          <w:sz w:val="28"/>
          <w:szCs w:val="28"/>
          <w:lang w:val="en-GB"/>
          <w14:ligatures w14:val="none"/>
        </w:rPr>
        <w:t xml:space="preserve"> prior to the </w:t>
      </w:r>
      <w:r w:rsidR="004548B6" w:rsidRPr="005E6AD9">
        <w:rPr>
          <w:rFonts w:ascii="Times New Roman" w:eastAsia="Calibri" w:hAnsi="Times New Roman" w:cs="Times New Roman"/>
          <w:kern w:val="0"/>
          <w:sz w:val="28"/>
          <w:szCs w:val="28"/>
          <w:lang w:val="en-GB"/>
          <w14:ligatures w14:val="none"/>
        </w:rPr>
        <w:t xml:space="preserve">letters and notices of </w:t>
      </w:r>
      <w:r w:rsidR="00EA6450" w:rsidRPr="005E6AD9">
        <w:rPr>
          <w:rFonts w:ascii="Times New Roman" w:eastAsia="Calibri" w:hAnsi="Times New Roman" w:cs="Times New Roman"/>
          <w:kern w:val="0"/>
          <w:sz w:val="28"/>
          <w:szCs w:val="28"/>
          <w:lang w:val="en-GB"/>
          <w14:ligatures w14:val="none"/>
        </w:rPr>
        <w:t>assessment issued in terms of s 80B</w:t>
      </w:r>
      <w:r w:rsidR="004548B6" w:rsidRPr="005E6AD9">
        <w:rPr>
          <w:rFonts w:ascii="Times New Roman" w:eastAsia="Calibri" w:hAnsi="Times New Roman" w:cs="Times New Roman"/>
          <w:kern w:val="0"/>
          <w:sz w:val="28"/>
          <w:szCs w:val="28"/>
          <w:lang w:val="en-GB"/>
          <w14:ligatures w14:val="none"/>
        </w:rPr>
        <w:t xml:space="preserve"> of the ITA</w:t>
      </w:r>
      <w:r w:rsidR="00EA6450" w:rsidRPr="005E6AD9">
        <w:rPr>
          <w:rFonts w:ascii="Times New Roman" w:eastAsia="Calibri" w:hAnsi="Times New Roman" w:cs="Times New Roman"/>
          <w:kern w:val="0"/>
          <w:sz w:val="28"/>
          <w:szCs w:val="28"/>
          <w:lang w:val="en-GB"/>
          <w14:ligatures w14:val="none"/>
        </w:rPr>
        <w:t xml:space="preserve">. The application was </w:t>
      </w:r>
      <w:r w:rsidR="00E809E4" w:rsidRPr="005E6AD9">
        <w:rPr>
          <w:rFonts w:ascii="Times New Roman" w:eastAsia="Calibri" w:hAnsi="Times New Roman" w:cs="Times New Roman"/>
          <w:kern w:val="0"/>
          <w:sz w:val="28"/>
          <w:szCs w:val="28"/>
          <w:lang w:val="en-GB"/>
          <w14:ligatures w14:val="none"/>
        </w:rPr>
        <w:t>founded</w:t>
      </w:r>
      <w:r w:rsidR="00EA6450" w:rsidRPr="005E6AD9">
        <w:rPr>
          <w:rFonts w:ascii="Times New Roman" w:eastAsia="Calibri" w:hAnsi="Times New Roman" w:cs="Times New Roman"/>
          <w:kern w:val="0"/>
          <w:sz w:val="28"/>
          <w:szCs w:val="28"/>
          <w:lang w:val="en-GB"/>
          <w14:ligatures w14:val="none"/>
        </w:rPr>
        <w:t xml:space="preserve"> upon </w:t>
      </w:r>
      <w:r w:rsidR="00E809E4" w:rsidRPr="005E6AD9">
        <w:rPr>
          <w:rFonts w:ascii="Times New Roman" w:eastAsia="Calibri" w:hAnsi="Times New Roman" w:cs="Times New Roman"/>
          <w:kern w:val="0"/>
          <w:sz w:val="28"/>
          <w:szCs w:val="28"/>
          <w:lang w:val="en-GB"/>
          <w14:ligatures w14:val="none"/>
        </w:rPr>
        <w:t xml:space="preserve">two grounds. The first was that the Commissioner’s contention that the objection to the notices ought to be raised in </w:t>
      </w:r>
      <w:r w:rsidR="00E809E4" w:rsidRPr="005E6AD9">
        <w:rPr>
          <w:rFonts w:ascii="Times New Roman" w:eastAsia="Calibri" w:hAnsi="Times New Roman" w:cs="Times New Roman"/>
          <w:kern w:val="0"/>
          <w:sz w:val="28"/>
          <w:szCs w:val="28"/>
          <w:lang w:val="en-GB"/>
          <w14:ligatures w14:val="none"/>
        </w:rPr>
        <w:lastRenderedPageBreak/>
        <w:t>the responses to the notices was wrong in law. It was averred that this approach impermissibly limited the ambit of s 9 and that it denied a taxpayer a remedy which was available to it. The second was that disagreement about the interpretation and application of GAAR perpetuated the error of law in the issuing of the notices. Absa and United Towers contended that since the notices would have adverse effect irrespective of the issuing of assessments, the decision not to withdraw them was reviewable.</w:t>
      </w:r>
    </w:p>
    <w:p w14:paraId="2C5D0EC3" w14:textId="77777777" w:rsidR="00E809E4" w:rsidRPr="005E6AD9" w:rsidRDefault="00E809E4" w:rsidP="00E809E4">
      <w:pPr>
        <w:pStyle w:val="ListParagraph"/>
        <w:rPr>
          <w:rFonts w:ascii="Times New Roman" w:eastAsia="Calibri" w:hAnsi="Times New Roman" w:cs="Times New Roman"/>
          <w:kern w:val="0"/>
          <w:sz w:val="28"/>
          <w:szCs w:val="28"/>
          <w:lang w:val="en-GB"/>
          <w14:ligatures w14:val="none"/>
        </w:rPr>
      </w:pPr>
    </w:p>
    <w:p w14:paraId="090C150D" w14:textId="77CFA3B5" w:rsidR="00353B43" w:rsidRPr="005E6AD9" w:rsidRDefault="004436F6" w:rsidP="005B1023">
      <w:pPr>
        <w:pStyle w:val="ListParagraph"/>
        <w:spacing w:after="0" w:line="360" w:lineRule="auto"/>
        <w:ind w:left="0"/>
        <w:jc w:val="both"/>
        <w:rPr>
          <w:rFonts w:ascii="Times New Roman" w:eastAsia="Calibri" w:hAnsi="Times New Roman" w:cs="Times New Roman"/>
          <w:kern w:val="0"/>
          <w:sz w:val="28"/>
          <w:szCs w:val="28"/>
          <w:lang w:val="en-GB"/>
          <w14:ligatures w14:val="none"/>
        </w:rPr>
      </w:pPr>
      <w:r w:rsidRPr="005E6AD9">
        <w:rPr>
          <w:rFonts w:ascii="Times New Roman" w:eastAsia="Calibri" w:hAnsi="Times New Roman" w:cs="Times New Roman"/>
          <w:kern w:val="0"/>
          <w:sz w:val="28"/>
          <w:szCs w:val="28"/>
          <w:lang w:val="en-GB"/>
          <w14:ligatures w14:val="none"/>
        </w:rPr>
        <w:t>[19]</w:t>
      </w:r>
      <w:r w:rsidRPr="005E6AD9">
        <w:rPr>
          <w:rFonts w:ascii="Times New Roman" w:eastAsia="Calibri" w:hAnsi="Times New Roman" w:cs="Times New Roman"/>
          <w:kern w:val="0"/>
          <w:sz w:val="28"/>
          <w:szCs w:val="28"/>
          <w:lang w:val="en-GB"/>
          <w14:ligatures w14:val="none"/>
        </w:rPr>
        <w:tab/>
      </w:r>
      <w:r w:rsidR="00E809E4" w:rsidRPr="005E6AD9">
        <w:rPr>
          <w:rFonts w:ascii="Times New Roman" w:eastAsia="Calibri" w:hAnsi="Times New Roman" w:cs="Times New Roman"/>
          <w:kern w:val="0"/>
          <w:sz w:val="28"/>
          <w:szCs w:val="28"/>
          <w:lang w:val="en-GB"/>
          <w14:ligatures w14:val="none"/>
        </w:rPr>
        <w:t xml:space="preserve">The high court accepted, correctly in my view, that </w:t>
      </w:r>
      <w:r w:rsidR="00AD1C62" w:rsidRPr="002C2BDF">
        <w:rPr>
          <w:rFonts w:ascii="Times New Roman" w:hAnsi="Times New Roman"/>
          <w:kern w:val="0"/>
          <w:sz w:val="28"/>
          <w:lang w:val="en-GB"/>
          <w14:ligatures w14:val="none"/>
        </w:rPr>
        <w:t>the</w:t>
      </w:r>
      <w:r w:rsidR="00AD1C62" w:rsidRPr="005E6AD9">
        <w:rPr>
          <w:rFonts w:ascii="Times New Roman" w:eastAsia="Calibri" w:hAnsi="Times New Roman" w:cs="Times New Roman"/>
          <w:kern w:val="0"/>
          <w:sz w:val="28"/>
          <w:szCs w:val="28"/>
          <w:lang w:val="en-GB"/>
          <w14:ligatures w14:val="none"/>
        </w:rPr>
        <w:t xml:space="preserve"> </w:t>
      </w:r>
      <w:r w:rsidR="00E809E4" w:rsidRPr="005E6AD9">
        <w:rPr>
          <w:rFonts w:ascii="Times New Roman" w:eastAsia="Calibri" w:hAnsi="Times New Roman" w:cs="Times New Roman"/>
          <w:kern w:val="0"/>
          <w:sz w:val="28"/>
          <w:szCs w:val="28"/>
          <w:lang w:val="en-GB"/>
          <w14:ligatures w14:val="none"/>
        </w:rPr>
        <w:t xml:space="preserve">decision </w:t>
      </w:r>
      <w:r w:rsidR="00E809E4" w:rsidRPr="002C2BDF">
        <w:rPr>
          <w:rFonts w:ascii="Times New Roman" w:hAnsi="Times New Roman"/>
          <w:kern w:val="0"/>
          <w:sz w:val="28"/>
          <w:lang w:val="en-GB"/>
          <w14:ligatures w14:val="none"/>
        </w:rPr>
        <w:t xml:space="preserve">to </w:t>
      </w:r>
      <w:r w:rsidR="00E809E4" w:rsidRPr="002C2BDF">
        <w:rPr>
          <w:rFonts w:ascii="Times New Roman" w:hAnsi="Times New Roman"/>
          <w:i/>
          <w:kern w:val="0"/>
          <w:sz w:val="28"/>
          <w:lang w:val="en-GB"/>
          <w14:ligatures w14:val="none"/>
        </w:rPr>
        <w:t>issue</w:t>
      </w:r>
      <w:r w:rsidR="00E809E4" w:rsidRPr="005E6AD9">
        <w:rPr>
          <w:rFonts w:ascii="Times New Roman" w:eastAsia="Calibri" w:hAnsi="Times New Roman" w:cs="Times New Roman"/>
          <w:kern w:val="0"/>
          <w:sz w:val="28"/>
          <w:szCs w:val="28"/>
          <w:lang w:val="en-GB"/>
          <w14:ligatures w14:val="none"/>
        </w:rPr>
        <w:t xml:space="preserve"> a </w:t>
      </w:r>
      <w:r w:rsidRPr="005E6AD9">
        <w:rPr>
          <w:rFonts w:ascii="Times New Roman" w:eastAsia="Calibri" w:hAnsi="Times New Roman" w:cs="Times New Roman"/>
          <w:kern w:val="0"/>
          <w:sz w:val="28"/>
          <w:szCs w:val="28"/>
          <w:lang w:val="en-GB"/>
          <w14:ligatures w14:val="none"/>
        </w:rPr>
        <w:br/>
      </w:r>
      <w:r w:rsidR="00E809E4" w:rsidRPr="005E6AD9">
        <w:rPr>
          <w:rFonts w:ascii="Times New Roman" w:eastAsia="Calibri" w:hAnsi="Times New Roman" w:cs="Times New Roman"/>
          <w:kern w:val="0"/>
          <w:sz w:val="28"/>
          <w:szCs w:val="28"/>
          <w:lang w:val="en-GB"/>
          <w14:ligatures w14:val="none"/>
        </w:rPr>
        <w:t>s 80J notice was not a ‘final’ decision which placed any adverse burden upon the recipient. It was, the high court held, plainly not administrative action as contemplated by PAJA.</w:t>
      </w:r>
      <w:r w:rsidR="005B1023" w:rsidRPr="005E6AD9">
        <w:rPr>
          <w:rFonts w:ascii="Times New Roman" w:eastAsia="Calibri" w:hAnsi="Times New Roman" w:cs="Times New Roman"/>
          <w:kern w:val="0"/>
          <w:sz w:val="28"/>
          <w:szCs w:val="28"/>
          <w:lang w:val="en-GB"/>
          <w14:ligatures w14:val="none"/>
        </w:rPr>
        <w:t xml:space="preserve"> </w:t>
      </w:r>
      <w:r w:rsidR="00353B43" w:rsidRPr="002C2BDF">
        <w:rPr>
          <w:rFonts w:ascii="Times New Roman" w:hAnsi="Times New Roman"/>
          <w:kern w:val="0"/>
          <w:sz w:val="28"/>
          <w14:ligatures w14:val="none"/>
        </w:rPr>
        <w:t>The high court,</w:t>
      </w:r>
      <w:r w:rsidR="00353B43" w:rsidRPr="005E6AD9">
        <w:rPr>
          <w:rFonts w:ascii="Times New Roman" w:eastAsia="Calibri" w:hAnsi="Times New Roman" w:cs="Times New Roman"/>
          <w:kern w:val="0"/>
          <w:sz w:val="28"/>
          <w:szCs w:val="28"/>
          <w14:ligatures w14:val="none"/>
        </w:rPr>
        <w:t xml:space="preserve"> however, found that a decision not to withdraw a notice, even if not final, had adverse consequences. It held that such </w:t>
      </w:r>
      <w:r w:rsidR="00ED6C72">
        <w:rPr>
          <w:rFonts w:ascii="Times New Roman" w:eastAsia="Calibri" w:hAnsi="Times New Roman" w:cs="Times New Roman"/>
          <w:kern w:val="0"/>
          <w:sz w:val="28"/>
          <w:szCs w:val="28"/>
          <w14:ligatures w14:val="none"/>
        </w:rPr>
        <w:t xml:space="preserve">a </w:t>
      </w:r>
      <w:r w:rsidR="00353B43" w:rsidRPr="005E6AD9">
        <w:rPr>
          <w:rFonts w:ascii="Times New Roman" w:eastAsia="Calibri" w:hAnsi="Times New Roman" w:cs="Times New Roman"/>
          <w:kern w:val="0"/>
          <w:sz w:val="28"/>
          <w:szCs w:val="28"/>
          <w14:ligatures w14:val="none"/>
        </w:rPr>
        <w:t>decision ‘was plainly a decision by an organ of state exercising a statutory power and its notional non-final attribute is not a bar [to review] precisely because it nevertheless had an impact’</w:t>
      </w:r>
      <w:r w:rsidRPr="005E6AD9">
        <w:rPr>
          <w:rFonts w:ascii="Times New Roman" w:eastAsia="Calibri" w:hAnsi="Times New Roman" w:cs="Times New Roman"/>
          <w:kern w:val="0"/>
          <w:sz w:val="28"/>
          <w:szCs w:val="28"/>
          <w14:ligatures w14:val="none"/>
        </w:rPr>
        <w:t>.</w:t>
      </w:r>
      <w:r w:rsidR="00353B43" w:rsidRPr="005E6AD9">
        <w:rPr>
          <w:rFonts w:ascii="Times New Roman" w:eastAsia="Calibri" w:hAnsi="Times New Roman" w:cs="Times New Roman"/>
          <w:kern w:val="0"/>
          <w:sz w:val="28"/>
          <w:szCs w:val="28"/>
          <w14:ligatures w14:val="none"/>
        </w:rPr>
        <w:t xml:space="preserve"> The high court relied</w:t>
      </w:r>
      <w:r w:rsidR="002D05FB" w:rsidRPr="005E6AD9">
        <w:rPr>
          <w:rFonts w:ascii="Times New Roman" w:eastAsia="Calibri" w:hAnsi="Times New Roman" w:cs="Times New Roman"/>
          <w:kern w:val="0"/>
          <w:sz w:val="28"/>
          <w:szCs w:val="28"/>
          <w14:ligatures w14:val="none"/>
        </w:rPr>
        <w:t>, in support of the proposition,</w:t>
      </w:r>
      <w:r w:rsidR="00353B43" w:rsidRPr="005E6AD9">
        <w:rPr>
          <w:rFonts w:ascii="Times New Roman" w:eastAsia="Calibri" w:hAnsi="Times New Roman" w:cs="Times New Roman"/>
          <w:kern w:val="0"/>
          <w:sz w:val="28"/>
          <w:szCs w:val="28"/>
          <w14:ligatures w14:val="none"/>
        </w:rPr>
        <w:t xml:space="preserve"> upon two judgments of this Court, namely </w:t>
      </w:r>
      <w:r w:rsidR="00353B43" w:rsidRPr="005E6AD9">
        <w:rPr>
          <w:rFonts w:ascii="Times New Roman" w:eastAsia="Calibri" w:hAnsi="Times New Roman" w:cs="Times New Roman"/>
          <w:i/>
          <w:iCs/>
          <w:kern w:val="0"/>
          <w:sz w:val="28"/>
          <w:szCs w:val="28"/>
          <w14:ligatures w14:val="none"/>
        </w:rPr>
        <w:t xml:space="preserve">Commissioner </w:t>
      </w:r>
      <w:r w:rsidR="00B67049" w:rsidRPr="005E6AD9">
        <w:rPr>
          <w:rFonts w:ascii="Times New Roman" w:eastAsia="Calibri" w:hAnsi="Times New Roman" w:cs="Times New Roman"/>
          <w:i/>
          <w:iCs/>
          <w:kern w:val="0"/>
          <w:sz w:val="28"/>
          <w:szCs w:val="28"/>
          <w14:ligatures w14:val="none"/>
        </w:rPr>
        <w:t>for</w:t>
      </w:r>
      <w:r w:rsidR="00353B43" w:rsidRPr="005E6AD9">
        <w:rPr>
          <w:rFonts w:ascii="Times New Roman" w:eastAsia="Calibri" w:hAnsi="Times New Roman" w:cs="Times New Roman"/>
          <w:i/>
          <w:iCs/>
          <w:kern w:val="0"/>
          <w:sz w:val="28"/>
          <w:szCs w:val="28"/>
          <w14:ligatures w14:val="none"/>
        </w:rPr>
        <w:t xml:space="preserve"> the South African Revenue Service v Langholm Farms (Pty) Ltd</w:t>
      </w:r>
      <w:r w:rsidRPr="005E6AD9">
        <w:rPr>
          <w:rFonts w:ascii="Times New Roman" w:eastAsia="Calibri" w:hAnsi="Times New Roman" w:cs="Times New Roman"/>
          <w:i/>
          <w:iCs/>
          <w:kern w:val="0"/>
          <w:sz w:val="28"/>
          <w:szCs w:val="28"/>
          <w14:ligatures w14:val="none"/>
        </w:rPr>
        <w:t>,</w:t>
      </w:r>
      <w:r w:rsidR="00023DE0" w:rsidRPr="005E6AD9">
        <w:rPr>
          <w:rStyle w:val="FootnoteReference"/>
          <w:rFonts w:ascii="Times New Roman" w:eastAsia="Calibri" w:hAnsi="Times New Roman" w:cs="Times New Roman"/>
          <w:kern w:val="0"/>
          <w:sz w:val="28"/>
          <w:szCs w:val="28"/>
          <w14:ligatures w14:val="none"/>
        </w:rPr>
        <w:footnoteReference w:id="4"/>
      </w:r>
      <w:r w:rsidR="00023DE0" w:rsidRPr="005E6AD9">
        <w:rPr>
          <w:rFonts w:ascii="Times New Roman" w:eastAsia="Calibri" w:hAnsi="Times New Roman" w:cs="Times New Roman"/>
          <w:i/>
          <w:iCs/>
          <w:kern w:val="0"/>
          <w:sz w:val="28"/>
          <w:szCs w:val="28"/>
          <w14:ligatures w14:val="none"/>
        </w:rPr>
        <w:t xml:space="preserve"> </w:t>
      </w:r>
      <w:r w:rsidR="00023DE0" w:rsidRPr="005E6AD9">
        <w:rPr>
          <w:rFonts w:ascii="Times New Roman" w:eastAsia="Calibri" w:hAnsi="Times New Roman" w:cs="Times New Roman"/>
          <w:kern w:val="0"/>
          <w:sz w:val="28"/>
          <w:szCs w:val="28"/>
          <w14:ligatures w14:val="none"/>
        </w:rPr>
        <w:t xml:space="preserve">and </w:t>
      </w:r>
      <w:r w:rsidR="00023DE0" w:rsidRPr="005E6AD9">
        <w:rPr>
          <w:rFonts w:ascii="Times New Roman" w:eastAsia="Calibri" w:hAnsi="Times New Roman" w:cs="Times New Roman"/>
          <w:i/>
          <w:iCs/>
          <w:kern w:val="0"/>
          <w:sz w:val="28"/>
          <w:szCs w:val="28"/>
          <w14:ligatures w14:val="none"/>
        </w:rPr>
        <w:t>Commissioner f</w:t>
      </w:r>
      <w:r w:rsidR="00B67049" w:rsidRPr="005E6AD9">
        <w:rPr>
          <w:rFonts w:ascii="Times New Roman" w:eastAsia="Calibri" w:hAnsi="Times New Roman" w:cs="Times New Roman"/>
          <w:i/>
          <w:iCs/>
          <w:kern w:val="0"/>
          <w:sz w:val="28"/>
          <w:szCs w:val="28"/>
          <w14:ligatures w14:val="none"/>
        </w:rPr>
        <w:t>or</w:t>
      </w:r>
      <w:r w:rsidR="00023DE0" w:rsidRPr="005E6AD9">
        <w:rPr>
          <w:rFonts w:ascii="Times New Roman" w:eastAsia="Calibri" w:hAnsi="Times New Roman" w:cs="Times New Roman"/>
          <w:i/>
          <w:iCs/>
          <w:kern w:val="0"/>
          <w:sz w:val="28"/>
          <w:szCs w:val="28"/>
          <w14:ligatures w14:val="none"/>
        </w:rPr>
        <w:t xml:space="preserve"> the South African Revenue Service v United Manganese of Kalahari (Pty) Ltd</w:t>
      </w:r>
      <w:r w:rsidR="007A05A9" w:rsidRPr="005E6AD9">
        <w:rPr>
          <w:rFonts w:ascii="Times New Roman" w:eastAsia="Calibri" w:hAnsi="Times New Roman" w:cs="Times New Roman"/>
          <w:i/>
          <w:iCs/>
          <w:kern w:val="0"/>
          <w:sz w:val="28"/>
          <w:szCs w:val="28"/>
          <w14:ligatures w14:val="none"/>
        </w:rPr>
        <w:t>.</w:t>
      </w:r>
      <w:r w:rsidR="00023DE0" w:rsidRPr="005E6AD9">
        <w:rPr>
          <w:rFonts w:ascii="Times New Roman" w:eastAsia="Calibri" w:hAnsi="Times New Roman" w:cs="Times New Roman"/>
          <w:i/>
          <w:iCs/>
          <w:kern w:val="0"/>
          <w:sz w:val="28"/>
          <w:szCs w:val="28"/>
          <w14:ligatures w14:val="none"/>
        </w:rPr>
        <w:t xml:space="preserve"> </w:t>
      </w:r>
      <w:r w:rsidR="00023DE0" w:rsidRPr="005E6AD9">
        <w:rPr>
          <w:rStyle w:val="FootnoteReference"/>
          <w:rFonts w:ascii="Times New Roman" w:eastAsia="Calibri" w:hAnsi="Times New Roman" w:cs="Times New Roman"/>
          <w:iCs/>
          <w:kern w:val="0"/>
          <w:sz w:val="28"/>
          <w:szCs w:val="28"/>
          <w14:ligatures w14:val="none"/>
        </w:rPr>
        <w:footnoteReference w:id="5"/>
      </w:r>
    </w:p>
    <w:p w14:paraId="2F904EC4" w14:textId="77777777" w:rsidR="00CB0C7B" w:rsidRPr="005E6AD9" w:rsidRDefault="00CB0C7B" w:rsidP="00CB0C7B">
      <w:pPr>
        <w:spacing w:after="0" w:line="360" w:lineRule="auto"/>
        <w:contextualSpacing/>
        <w:jc w:val="both"/>
        <w:rPr>
          <w:rFonts w:ascii="Times New Roman" w:eastAsia="Calibri" w:hAnsi="Times New Roman" w:cs="Times New Roman"/>
          <w:kern w:val="0"/>
          <w:sz w:val="28"/>
          <w:szCs w:val="28"/>
          <w14:ligatures w14:val="none"/>
        </w:rPr>
      </w:pPr>
    </w:p>
    <w:p w14:paraId="4E2A9423" w14:textId="62D7E112" w:rsidR="00213622" w:rsidRPr="005E6AD9" w:rsidRDefault="0091081C" w:rsidP="00CB0C7B">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[2</w:t>
      </w:r>
      <w:r w:rsidR="005B1023" w:rsidRPr="005E6AD9">
        <w:rPr>
          <w:rFonts w:ascii="Times New Roman" w:eastAsia="Calibri" w:hAnsi="Times New Roman" w:cs="Times New Roman"/>
          <w:kern w:val="0"/>
          <w:sz w:val="28"/>
          <w:szCs w:val="28"/>
          <w14:ligatures w14:val="none"/>
        </w:rPr>
        <w:t>0</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2D05FB" w:rsidRPr="005E6AD9">
        <w:rPr>
          <w:rFonts w:ascii="Times New Roman" w:eastAsia="Calibri" w:hAnsi="Times New Roman" w:cs="Times New Roman"/>
          <w:kern w:val="0"/>
          <w:sz w:val="28"/>
          <w:szCs w:val="28"/>
          <w14:ligatures w14:val="none"/>
        </w:rPr>
        <w:t xml:space="preserve">In those matters, however, the </w:t>
      </w:r>
      <w:r w:rsidR="001056E3" w:rsidRPr="005E6AD9">
        <w:rPr>
          <w:rFonts w:ascii="Times New Roman" w:eastAsia="Calibri" w:hAnsi="Times New Roman" w:cs="Times New Roman"/>
          <w:kern w:val="0"/>
          <w:sz w:val="28"/>
          <w:szCs w:val="28"/>
          <w14:ligatures w14:val="none"/>
        </w:rPr>
        <w:t>applicants sought</w:t>
      </w:r>
      <w:r w:rsidR="002D05FB" w:rsidRPr="005E6AD9">
        <w:rPr>
          <w:rFonts w:ascii="Times New Roman" w:eastAsia="Calibri" w:hAnsi="Times New Roman" w:cs="Times New Roman"/>
          <w:kern w:val="0"/>
          <w:sz w:val="28"/>
          <w:szCs w:val="28"/>
          <w14:ligatures w14:val="none"/>
        </w:rPr>
        <w:t xml:space="preserve"> declaratory relief relating to the interpretation of statutory provisions. The expressed interpretation of the provisions by SARS was held to be sufficiently definitive to warrant declaratory relief despite the fact that no final administrative decision had been taken. The circumstances of this matter are wholly different. In this case we are concerned </w:t>
      </w:r>
      <w:r w:rsidR="002D05FB" w:rsidRPr="005E6AD9">
        <w:rPr>
          <w:rFonts w:ascii="Times New Roman" w:eastAsia="Calibri" w:hAnsi="Times New Roman" w:cs="Times New Roman"/>
          <w:kern w:val="0"/>
          <w:sz w:val="28"/>
          <w:szCs w:val="28"/>
          <w14:ligatures w14:val="none"/>
        </w:rPr>
        <w:lastRenderedPageBreak/>
        <w:t xml:space="preserve">with a decision not to withdraw a notice. The question is what effect or impact </w:t>
      </w:r>
      <w:r w:rsidR="00ED6C72">
        <w:rPr>
          <w:rFonts w:ascii="Times New Roman" w:eastAsia="Calibri" w:hAnsi="Times New Roman" w:cs="Times New Roman"/>
          <w:kern w:val="0"/>
          <w:sz w:val="28"/>
          <w:szCs w:val="28"/>
          <w14:ligatures w14:val="none"/>
        </w:rPr>
        <w:t xml:space="preserve">the </w:t>
      </w:r>
      <w:r w:rsidR="002D05FB" w:rsidRPr="005E6AD9">
        <w:rPr>
          <w:rFonts w:ascii="Times New Roman" w:eastAsia="Calibri" w:hAnsi="Times New Roman" w:cs="Times New Roman"/>
          <w:kern w:val="0"/>
          <w:sz w:val="28"/>
          <w:szCs w:val="28"/>
          <w14:ligatures w14:val="none"/>
        </w:rPr>
        <w:t>decision has upon the taxpayer concerned</w:t>
      </w:r>
      <w:r w:rsidR="00213622" w:rsidRPr="005E6AD9">
        <w:rPr>
          <w:rFonts w:ascii="Times New Roman" w:eastAsia="Calibri" w:hAnsi="Times New Roman" w:cs="Times New Roman"/>
          <w:kern w:val="0"/>
          <w:sz w:val="28"/>
          <w:szCs w:val="28"/>
          <w14:ligatures w14:val="none"/>
        </w:rPr>
        <w:t xml:space="preserve">? </w:t>
      </w:r>
    </w:p>
    <w:p w14:paraId="5281E1DF" w14:textId="77777777" w:rsidR="00FE260A" w:rsidRPr="005E6AD9" w:rsidRDefault="00FE260A" w:rsidP="00FE260A">
      <w:pPr>
        <w:pStyle w:val="ListParagraph"/>
        <w:rPr>
          <w:rFonts w:ascii="Times New Roman" w:eastAsia="Calibri" w:hAnsi="Times New Roman" w:cs="Times New Roman"/>
          <w:kern w:val="0"/>
          <w:sz w:val="28"/>
          <w:szCs w:val="28"/>
          <w14:ligatures w14:val="none"/>
        </w:rPr>
      </w:pPr>
    </w:p>
    <w:p w14:paraId="5BC31C13" w14:textId="7C6B1A36" w:rsidR="005F5653" w:rsidRPr="005E6AD9" w:rsidRDefault="0091081C"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[2</w:t>
      </w:r>
      <w:r w:rsidR="005B1023" w:rsidRPr="005E6AD9">
        <w:rPr>
          <w:rFonts w:ascii="Times New Roman" w:eastAsia="Calibri" w:hAnsi="Times New Roman" w:cs="Times New Roman"/>
          <w:kern w:val="0"/>
          <w:sz w:val="28"/>
          <w:szCs w:val="28"/>
          <w14:ligatures w14:val="none"/>
        </w:rPr>
        <w:t>1</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213622" w:rsidRPr="005E6AD9">
        <w:rPr>
          <w:rFonts w:ascii="Times New Roman" w:eastAsia="Calibri" w:hAnsi="Times New Roman" w:cs="Times New Roman"/>
          <w:kern w:val="0"/>
          <w:sz w:val="28"/>
          <w:szCs w:val="28"/>
          <w14:ligatures w14:val="none"/>
        </w:rPr>
        <w:t xml:space="preserve">The short answer, it seems to me, is that such decision itself can have no adverse impact or affect. Its effect is to leave the s 80J </w:t>
      </w:r>
      <w:r w:rsidR="005F5653" w:rsidRPr="005E6AD9">
        <w:rPr>
          <w:rFonts w:ascii="Times New Roman" w:eastAsia="Calibri" w:hAnsi="Times New Roman" w:cs="Times New Roman"/>
          <w:kern w:val="0"/>
          <w:sz w:val="28"/>
          <w:szCs w:val="28"/>
          <w14:ligatures w14:val="none"/>
        </w:rPr>
        <w:t xml:space="preserve">notice </w:t>
      </w:r>
      <w:r w:rsidR="00213622" w:rsidRPr="005E6AD9">
        <w:rPr>
          <w:rFonts w:ascii="Times New Roman" w:eastAsia="Calibri" w:hAnsi="Times New Roman" w:cs="Times New Roman"/>
          <w:kern w:val="0"/>
          <w:sz w:val="28"/>
          <w:szCs w:val="28"/>
          <w14:ligatures w14:val="none"/>
        </w:rPr>
        <w:t xml:space="preserve">in place until the process contemplated by </w:t>
      </w:r>
      <w:r w:rsidR="005F5653" w:rsidRPr="005E6AD9">
        <w:rPr>
          <w:rFonts w:ascii="Times New Roman" w:eastAsia="Calibri" w:hAnsi="Times New Roman" w:cs="Times New Roman"/>
          <w:kern w:val="0"/>
          <w:sz w:val="28"/>
          <w:szCs w:val="28"/>
          <w14:ligatures w14:val="none"/>
        </w:rPr>
        <w:t>the section</w:t>
      </w:r>
      <w:r w:rsidR="00213622" w:rsidRPr="005E6AD9">
        <w:rPr>
          <w:rFonts w:ascii="Times New Roman" w:eastAsia="Calibri" w:hAnsi="Times New Roman" w:cs="Times New Roman"/>
          <w:kern w:val="0"/>
          <w:sz w:val="28"/>
          <w:szCs w:val="28"/>
          <w14:ligatures w14:val="none"/>
        </w:rPr>
        <w:t xml:space="preserve"> is completed. If the issuing of a notice does not constitute </w:t>
      </w:r>
      <w:r w:rsidR="005F5653" w:rsidRPr="005E6AD9">
        <w:rPr>
          <w:rFonts w:ascii="Times New Roman" w:eastAsia="Calibri" w:hAnsi="Times New Roman" w:cs="Times New Roman"/>
          <w:kern w:val="0"/>
          <w:sz w:val="28"/>
          <w:szCs w:val="28"/>
          <w14:ligatures w14:val="none"/>
        </w:rPr>
        <w:t>administrative</w:t>
      </w:r>
      <w:r w:rsidR="00213622" w:rsidRPr="005E6AD9">
        <w:rPr>
          <w:rFonts w:ascii="Times New Roman" w:eastAsia="Calibri" w:hAnsi="Times New Roman" w:cs="Times New Roman"/>
          <w:kern w:val="0"/>
          <w:sz w:val="28"/>
          <w:szCs w:val="28"/>
          <w14:ligatures w14:val="none"/>
        </w:rPr>
        <w:t xml:space="preserve"> action susceptible to review then, as a matter of logic</w:t>
      </w:r>
      <w:r w:rsidR="005F5653" w:rsidRPr="005E6AD9">
        <w:rPr>
          <w:rFonts w:ascii="Times New Roman" w:eastAsia="Calibri" w:hAnsi="Times New Roman" w:cs="Times New Roman"/>
          <w:kern w:val="0"/>
          <w:sz w:val="28"/>
          <w:szCs w:val="28"/>
          <w14:ligatures w14:val="none"/>
        </w:rPr>
        <w:t xml:space="preserve">, a decision to keep it extant cannot constitute administrative action. </w:t>
      </w:r>
    </w:p>
    <w:p w14:paraId="6718EC9A" w14:textId="77777777" w:rsidR="002B1E58" w:rsidRPr="005E6AD9" w:rsidRDefault="002B1E58" w:rsidP="002B1E58">
      <w:pPr>
        <w:spacing w:after="0" w:line="360" w:lineRule="auto"/>
        <w:contextualSpacing/>
        <w:jc w:val="both"/>
        <w:rPr>
          <w:rFonts w:ascii="Times New Roman" w:eastAsia="Calibri" w:hAnsi="Times New Roman" w:cs="Times New Roman"/>
          <w:kern w:val="0"/>
          <w:sz w:val="28"/>
          <w:szCs w:val="28"/>
          <w14:ligatures w14:val="none"/>
        </w:rPr>
      </w:pPr>
    </w:p>
    <w:p w14:paraId="4239B8C5" w14:textId="3A837ABB" w:rsidR="00CA35B2" w:rsidRPr="005E6AD9" w:rsidRDefault="0091081C"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[2</w:t>
      </w:r>
      <w:r w:rsidR="005B1023" w:rsidRPr="005E6AD9">
        <w:rPr>
          <w:rFonts w:ascii="Times New Roman" w:eastAsia="Calibri" w:hAnsi="Times New Roman" w:cs="Times New Roman"/>
          <w:kern w:val="0"/>
          <w:sz w:val="28"/>
          <w:szCs w:val="28"/>
          <w14:ligatures w14:val="none"/>
        </w:rPr>
        <w:t>2</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5F5653" w:rsidRPr="005E6AD9">
        <w:rPr>
          <w:rFonts w:ascii="Times New Roman" w:eastAsia="Calibri" w:hAnsi="Times New Roman" w:cs="Times New Roman"/>
          <w:kern w:val="0"/>
          <w:sz w:val="28"/>
          <w:szCs w:val="28"/>
          <w14:ligatures w14:val="none"/>
        </w:rPr>
        <w:t>Section 80J(3) sets out the powers and obligations of the Commissioner in relation to the application of the GAAR provisions. It contemplates</w:t>
      </w:r>
      <w:r w:rsidR="008A2810" w:rsidRPr="005E6AD9">
        <w:rPr>
          <w:rFonts w:ascii="Times New Roman" w:eastAsia="Calibri" w:hAnsi="Times New Roman" w:cs="Times New Roman"/>
          <w:kern w:val="0"/>
          <w:sz w:val="28"/>
          <w:szCs w:val="28"/>
          <w14:ligatures w14:val="none"/>
        </w:rPr>
        <w:t xml:space="preserve"> three possible decisions that might be taken by the Commissioner in relation to a response submitted in terms of s 80J(2). The Commissioner may request further information from the taxpayer, thus deferring a final decision regarding the application of GAAR. In such a case, the s 80J notice necessarily </w:t>
      </w:r>
      <w:r w:rsidR="000858C8" w:rsidRPr="005E6AD9">
        <w:rPr>
          <w:rFonts w:ascii="Times New Roman" w:eastAsia="Calibri" w:hAnsi="Times New Roman" w:cs="Times New Roman"/>
          <w:kern w:val="0"/>
          <w:sz w:val="28"/>
          <w:szCs w:val="28"/>
          <w14:ligatures w14:val="none"/>
        </w:rPr>
        <w:t xml:space="preserve">remains extant until the further information is </w:t>
      </w:r>
      <w:r w:rsidR="005E6AD9" w:rsidRPr="005E6AD9">
        <w:rPr>
          <w:rFonts w:ascii="Times New Roman" w:eastAsia="Calibri" w:hAnsi="Times New Roman" w:cs="Times New Roman"/>
          <w:kern w:val="0"/>
          <w:sz w:val="28"/>
          <w:szCs w:val="28"/>
          <w14:ligatures w14:val="none"/>
        </w:rPr>
        <w:t>received,</w:t>
      </w:r>
      <w:r w:rsidR="000858C8" w:rsidRPr="005E6AD9">
        <w:rPr>
          <w:rFonts w:ascii="Times New Roman" w:eastAsia="Calibri" w:hAnsi="Times New Roman" w:cs="Times New Roman"/>
          <w:kern w:val="0"/>
          <w:sz w:val="28"/>
          <w:szCs w:val="28"/>
          <w14:ligatures w14:val="none"/>
        </w:rPr>
        <w:t xml:space="preserve"> and the Commissioner takes a final decision. There are two possible final decisions. </w:t>
      </w:r>
      <w:r w:rsidR="00224EE3" w:rsidRPr="005E6AD9">
        <w:rPr>
          <w:rFonts w:ascii="Times New Roman" w:eastAsia="Calibri" w:hAnsi="Times New Roman" w:cs="Times New Roman"/>
          <w:kern w:val="0"/>
          <w:sz w:val="28"/>
          <w:szCs w:val="28"/>
          <w14:ligatures w14:val="none"/>
        </w:rPr>
        <w:t>T</w:t>
      </w:r>
      <w:r w:rsidR="000858C8" w:rsidRPr="005E6AD9">
        <w:rPr>
          <w:rFonts w:ascii="Times New Roman" w:eastAsia="Calibri" w:hAnsi="Times New Roman" w:cs="Times New Roman"/>
          <w:kern w:val="0"/>
          <w:sz w:val="28"/>
          <w:szCs w:val="28"/>
          <w14:ligatures w14:val="none"/>
        </w:rPr>
        <w:t xml:space="preserve">he notice may be withdrawn. In that event the Commissioner must give notice to that effect. The process of applying the GAAR provisions may be re-commenced, but then only upon the issue of a new s 80J notice. If, as a matter of fact, the notice is not withdrawn, the Commissioner must determine the taxpayer’s liability for tax within the time period stipulated by the section. </w:t>
      </w:r>
      <w:r w:rsidR="0029442D" w:rsidRPr="005E6AD9">
        <w:rPr>
          <w:rFonts w:ascii="Times New Roman" w:eastAsia="Calibri" w:hAnsi="Times New Roman" w:cs="Times New Roman"/>
          <w:kern w:val="0"/>
          <w:sz w:val="28"/>
          <w:szCs w:val="28"/>
          <w14:ligatures w14:val="none"/>
        </w:rPr>
        <w:t xml:space="preserve">Once the Commissioner has </w:t>
      </w:r>
      <w:r w:rsidR="007A5C84" w:rsidRPr="005E6AD9">
        <w:rPr>
          <w:rFonts w:ascii="Times New Roman" w:eastAsia="Calibri" w:hAnsi="Times New Roman" w:cs="Times New Roman"/>
          <w:kern w:val="0"/>
          <w:sz w:val="28"/>
          <w:szCs w:val="28"/>
          <w14:ligatures w14:val="none"/>
        </w:rPr>
        <w:t>decided</w:t>
      </w:r>
      <w:r w:rsidR="0029442D" w:rsidRPr="005E6AD9">
        <w:rPr>
          <w:rFonts w:ascii="Times New Roman" w:eastAsia="Calibri" w:hAnsi="Times New Roman" w:cs="Times New Roman"/>
          <w:kern w:val="0"/>
          <w:sz w:val="28"/>
          <w:szCs w:val="28"/>
          <w14:ligatures w14:val="none"/>
        </w:rPr>
        <w:t xml:space="preserve"> the tax liability under GAAR and has issued an assessment, the prior notice issued to the taxpayer ceases to have any relevance, save to the extent that its existence evidences the peremptory requirements of s 80J. Its content may be relevant in proceedings consequent upon the issuing of the assessment</w:t>
      </w:r>
      <w:r w:rsidR="00224EE3" w:rsidRPr="005E6AD9">
        <w:rPr>
          <w:rFonts w:ascii="Times New Roman" w:eastAsia="Calibri" w:hAnsi="Times New Roman" w:cs="Times New Roman"/>
          <w:kern w:val="0"/>
          <w:sz w:val="28"/>
          <w:szCs w:val="28"/>
          <w14:ligatures w14:val="none"/>
        </w:rPr>
        <w:t>.</w:t>
      </w:r>
      <w:r w:rsidR="0029442D" w:rsidRPr="005E6AD9">
        <w:rPr>
          <w:rFonts w:ascii="Times New Roman" w:eastAsia="Calibri" w:hAnsi="Times New Roman" w:cs="Times New Roman"/>
          <w:kern w:val="0"/>
          <w:sz w:val="28"/>
          <w:szCs w:val="28"/>
          <w14:ligatures w14:val="none"/>
        </w:rPr>
        <w:t xml:space="preserve"> </w:t>
      </w:r>
      <w:r w:rsidR="007A5C84" w:rsidRPr="005E6AD9">
        <w:rPr>
          <w:rFonts w:ascii="Times New Roman" w:eastAsia="Calibri" w:hAnsi="Times New Roman" w:cs="Times New Roman"/>
          <w:kern w:val="0"/>
          <w:sz w:val="28"/>
          <w:szCs w:val="28"/>
          <w14:ligatures w14:val="none"/>
        </w:rPr>
        <w:t xml:space="preserve">Apart from this, the s 80J notice, is overtaken by events. </w:t>
      </w:r>
      <w:r w:rsidR="00224EE3" w:rsidRPr="005E6AD9">
        <w:rPr>
          <w:rFonts w:ascii="Times New Roman" w:eastAsia="Calibri" w:hAnsi="Times New Roman" w:cs="Times New Roman"/>
          <w:kern w:val="0"/>
          <w:sz w:val="28"/>
          <w:szCs w:val="28"/>
          <w14:ligatures w14:val="none"/>
        </w:rPr>
        <w:t xml:space="preserve">At that stage the taxpayer </w:t>
      </w:r>
      <w:r w:rsidR="00FA777C" w:rsidRPr="005E6AD9">
        <w:rPr>
          <w:rFonts w:ascii="Times New Roman" w:eastAsia="Calibri" w:hAnsi="Times New Roman" w:cs="Times New Roman"/>
          <w:kern w:val="0"/>
          <w:sz w:val="28"/>
          <w:szCs w:val="28"/>
          <w14:ligatures w14:val="none"/>
        </w:rPr>
        <w:t xml:space="preserve">is </w:t>
      </w:r>
      <w:r w:rsidR="00224EE3" w:rsidRPr="005E6AD9">
        <w:rPr>
          <w:rFonts w:ascii="Times New Roman" w:eastAsia="Calibri" w:hAnsi="Times New Roman" w:cs="Times New Roman"/>
          <w:kern w:val="0"/>
          <w:sz w:val="28"/>
          <w:szCs w:val="28"/>
          <w14:ligatures w14:val="none"/>
        </w:rPr>
        <w:t>face</w:t>
      </w:r>
      <w:r w:rsidR="00FA777C" w:rsidRPr="005E6AD9">
        <w:rPr>
          <w:rFonts w:ascii="Times New Roman" w:eastAsia="Calibri" w:hAnsi="Times New Roman" w:cs="Times New Roman"/>
          <w:kern w:val="0"/>
          <w:sz w:val="28"/>
          <w:szCs w:val="28"/>
          <w14:ligatures w14:val="none"/>
        </w:rPr>
        <w:t xml:space="preserve">d </w:t>
      </w:r>
      <w:r w:rsidR="00FA777C" w:rsidRPr="002C2BDF">
        <w:rPr>
          <w:rFonts w:ascii="Times New Roman" w:hAnsi="Times New Roman"/>
          <w:kern w:val="0"/>
          <w:sz w:val="28"/>
          <w14:ligatures w14:val="none"/>
        </w:rPr>
        <w:t>with</w:t>
      </w:r>
      <w:r w:rsidR="00224EE3" w:rsidRPr="005E6AD9">
        <w:rPr>
          <w:rFonts w:ascii="Times New Roman" w:eastAsia="Calibri" w:hAnsi="Times New Roman" w:cs="Times New Roman"/>
          <w:kern w:val="0"/>
          <w:sz w:val="28"/>
          <w:szCs w:val="28"/>
          <w14:ligatures w14:val="none"/>
        </w:rPr>
        <w:t xml:space="preserve"> a final decision</w:t>
      </w:r>
      <w:r w:rsidR="007A5C84" w:rsidRPr="005E6AD9">
        <w:rPr>
          <w:rFonts w:ascii="Times New Roman" w:eastAsia="Calibri" w:hAnsi="Times New Roman" w:cs="Times New Roman"/>
          <w:kern w:val="0"/>
          <w:sz w:val="28"/>
          <w:szCs w:val="28"/>
          <w14:ligatures w14:val="none"/>
        </w:rPr>
        <w:t xml:space="preserve"> to impose a tax liability by </w:t>
      </w:r>
      <w:r w:rsidR="007A5C84" w:rsidRPr="002C2BDF">
        <w:rPr>
          <w:rFonts w:ascii="Times New Roman" w:hAnsi="Times New Roman"/>
          <w:kern w:val="0"/>
          <w:sz w:val="28"/>
          <w14:ligatures w14:val="none"/>
        </w:rPr>
        <w:t>assessment</w:t>
      </w:r>
      <w:r w:rsidR="00FA777C" w:rsidRPr="002C2BDF">
        <w:rPr>
          <w:rFonts w:ascii="Times New Roman" w:hAnsi="Times New Roman"/>
          <w:kern w:val="0"/>
          <w:sz w:val="28"/>
          <w14:ligatures w14:val="none"/>
        </w:rPr>
        <w:t>.</w:t>
      </w:r>
      <w:r w:rsidR="007A5C84" w:rsidRPr="002C2BDF">
        <w:rPr>
          <w:rFonts w:ascii="Times New Roman" w:hAnsi="Times New Roman"/>
          <w:kern w:val="0"/>
          <w:sz w:val="28"/>
          <w14:ligatures w14:val="none"/>
        </w:rPr>
        <w:t xml:space="preserve"> It must</w:t>
      </w:r>
      <w:r w:rsidR="007A5C84" w:rsidRPr="005E6AD9">
        <w:rPr>
          <w:rFonts w:ascii="Times New Roman" w:eastAsia="Calibri" w:hAnsi="Times New Roman" w:cs="Times New Roman"/>
          <w:kern w:val="0"/>
          <w:sz w:val="28"/>
          <w:szCs w:val="28"/>
          <w14:ligatures w14:val="none"/>
        </w:rPr>
        <w:t xml:space="preserve"> then be dealt with </w:t>
      </w:r>
      <w:r w:rsidR="007A5C84" w:rsidRPr="005E6AD9">
        <w:rPr>
          <w:rFonts w:ascii="Times New Roman" w:eastAsia="Calibri" w:hAnsi="Times New Roman" w:cs="Times New Roman"/>
          <w:kern w:val="0"/>
          <w:sz w:val="28"/>
          <w:szCs w:val="28"/>
          <w14:ligatures w14:val="none"/>
        </w:rPr>
        <w:lastRenderedPageBreak/>
        <w:t xml:space="preserve">in accordance with the prescribed dispute resolution procedure provided by </w:t>
      </w:r>
      <w:r w:rsidR="00C26957" w:rsidRPr="005E6AD9">
        <w:rPr>
          <w:rFonts w:ascii="Times New Roman" w:eastAsia="Calibri" w:hAnsi="Times New Roman" w:cs="Times New Roman"/>
          <w:kern w:val="0"/>
          <w:sz w:val="28"/>
          <w:szCs w:val="28"/>
          <w14:ligatures w14:val="none"/>
        </w:rPr>
        <w:t>s 104 of the</w:t>
      </w:r>
      <w:r w:rsidR="007A5C84" w:rsidRPr="005E6AD9">
        <w:rPr>
          <w:rFonts w:ascii="Times New Roman" w:eastAsia="Calibri" w:hAnsi="Times New Roman" w:cs="Times New Roman"/>
          <w:kern w:val="0"/>
          <w:sz w:val="28"/>
          <w:szCs w:val="28"/>
          <w14:ligatures w14:val="none"/>
        </w:rPr>
        <w:t xml:space="preserve"> TAA.</w:t>
      </w:r>
    </w:p>
    <w:p w14:paraId="3B723BD4" w14:textId="77777777" w:rsidR="002B1E58" w:rsidRPr="005E6AD9" w:rsidRDefault="002B1E58" w:rsidP="002B1E58">
      <w:pPr>
        <w:spacing w:after="0" w:line="360" w:lineRule="auto"/>
        <w:contextualSpacing/>
        <w:jc w:val="both"/>
        <w:rPr>
          <w:rFonts w:ascii="Times New Roman" w:eastAsia="Calibri" w:hAnsi="Times New Roman" w:cs="Times New Roman"/>
          <w:kern w:val="0"/>
          <w:sz w:val="28"/>
          <w:szCs w:val="28"/>
          <w14:ligatures w14:val="none"/>
        </w:rPr>
      </w:pPr>
    </w:p>
    <w:p w14:paraId="286DFAD3" w14:textId="1F392575" w:rsidR="00C26957" w:rsidRPr="005E6AD9" w:rsidRDefault="008B6729"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[2</w:t>
      </w:r>
      <w:r w:rsidR="005B1023" w:rsidRPr="005E6AD9">
        <w:rPr>
          <w:rFonts w:ascii="Times New Roman" w:eastAsia="Calibri" w:hAnsi="Times New Roman" w:cs="Times New Roman"/>
          <w:kern w:val="0"/>
          <w:sz w:val="28"/>
          <w:szCs w:val="28"/>
          <w14:ligatures w14:val="none"/>
        </w:rPr>
        <w:t>3</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C26957" w:rsidRPr="005E6AD9">
        <w:rPr>
          <w:rFonts w:ascii="Times New Roman" w:eastAsia="Calibri" w:hAnsi="Times New Roman" w:cs="Times New Roman"/>
          <w:kern w:val="0"/>
          <w:sz w:val="28"/>
          <w:szCs w:val="28"/>
          <w14:ligatures w14:val="none"/>
        </w:rPr>
        <w:t>Section 80J(3) does not contemplate a separate</w:t>
      </w:r>
      <w:r w:rsidR="002B1E58" w:rsidRPr="005E6AD9">
        <w:rPr>
          <w:rFonts w:ascii="Times New Roman" w:eastAsia="Calibri" w:hAnsi="Times New Roman" w:cs="Times New Roman"/>
          <w:kern w:val="0"/>
          <w:sz w:val="28"/>
          <w:szCs w:val="28"/>
          <w14:ligatures w14:val="none"/>
        </w:rPr>
        <w:t xml:space="preserve"> </w:t>
      </w:r>
      <w:r w:rsidR="00C26957" w:rsidRPr="005E6AD9">
        <w:rPr>
          <w:rFonts w:ascii="Times New Roman" w:eastAsia="Calibri" w:hAnsi="Times New Roman" w:cs="Times New Roman"/>
          <w:kern w:val="0"/>
          <w:sz w:val="28"/>
          <w:szCs w:val="28"/>
          <w14:ligatures w14:val="none"/>
        </w:rPr>
        <w:t xml:space="preserve">decision not to withdraw the notice as </w:t>
      </w:r>
      <w:r w:rsidR="002B1E58" w:rsidRPr="005E6AD9">
        <w:rPr>
          <w:rFonts w:ascii="Times New Roman" w:eastAsia="Calibri" w:hAnsi="Times New Roman" w:cs="Times New Roman"/>
          <w:kern w:val="0"/>
          <w:sz w:val="28"/>
          <w:szCs w:val="28"/>
          <w14:ligatures w14:val="none"/>
        </w:rPr>
        <w:t xml:space="preserve">a </w:t>
      </w:r>
      <w:r w:rsidR="00C26957" w:rsidRPr="005E6AD9">
        <w:rPr>
          <w:rFonts w:ascii="Times New Roman" w:eastAsia="Calibri" w:hAnsi="Times New Roman" w:cs="Times New Roman"/>
          <w:kern w:val="0"/>
          <w:sz w:val="28"/>
          <w:szCs w:val="28"/>
          <w14:ligatures w14:val="none"/>
        </w:rPr>
        <w:t xml:space="preserve">precondition for the decision to determine a tax liability under </w:t>
      </w:r>
      <w:r w:rsidR="00FD55A3" w:rsidRPr="005E6AD9">
        <w:rPr>
          <w:rFonts w:ascii="Times New Roman" w:eastAsia="Calibri" w:hAnsi="Times New Roman" w:cs="Times New Roman"/>
          <w:kern w:val="0"/>
          <w:sz w:val="28"/>
          <w:szCs w:val="28"/>
          <w14:ligatures w14:val="none"/>
        </w:rPr>
        <w:br/>
      </w:r>
      <w:r w:rsidR="00C26957" w:rsidRPr="005E6AD9">
        <w:rPr>
          <w:rFonts w:ascii="Times New Roman" w:eastAsia="Calibri" w:hAnsi="Times New Roman" w:cs="Times New Roman"/>
          <w:kern w:val="0"/>
          <w:sz w:val="28"/>
          <w:szCs w:val="28"/>
          <w14:ligatures w14:val="none"/>
        </w:rPr>
        <w:t>s 80B.</w:t>
      </w:r>
      <w:r w:rsidR="002B1E58" w:rsidRPr="005E6AD9">
        <w:rPr>
          <w:rFonts w:ascii="Times New Roman" w:eastAsia="Calibri" w:hAnsi="Times New Roman" w:cs="Times New Roman"/>
          <w:kern w:val="0"/>
          <w:sz w:val="28"/>
          <w:szCs w:val="28"/>
          <w14:ligatures w14:val="none"/>
        </w:rPr>
        <w:t xml:space="preserve"> The statutory power exercised by the Commissioner is to determine a tax liability under the GAAR provisions. </w:t>
      </w:r>
      <w:r w:rsidR="002B1E58" w:rsidRPr="002C2BDF">
        <w:rPr>
          <w:rFonts w:ascii="Times New Roman" w:hAnsi="Times New Roman"/>
          <w:kern w:val="0"/>
          <w:sz w:val="28"/>
          <w14:ligatures w14:val="none"/>
        </w:rPr>
        <w:t xml:space="preserve">Until that determination is made </w:t>
      </w:r>
      <w:r w:rsidR="00224EE3" w:rsidRPr="002C2BDF">
        <w:rPr>
          <w:rFonts w:ascii="Times New Roman" w:hAnsi="Times New Roman"/>
          <w:kern w:val="0"/>
          <w:sz w:val="28"/>
          <w14:ligatures w14:val="none"/>
        </w:rPr>
        <w:t xml:space="preserve">the issuing of a s 80J notice </w:t>
      </w:r>
      <w:r w:rsidR="00FA777C" w:rsidRPr="002C2BDF">
        <w:rPr>
          <w:rFonts w:ascii="Times New Roman" w:hAnsi="Times New Roman"/>
          <w:kern w:val="0"/>
          <w:sz w:val="28"/>
          <w14:ligatures w14:val="none"/>
        </w:rPr>
        <w:t>or</w:t>
      </w:r>
      <w:r w:rsidR="00224EE3" w:rsidRPr="002C2BDF">
        <w:rPr>
          <w:rFonts w:ascii="Times New Roman" w:hAnsi="Times New Roman"/>
          <w:kern w:val="0"/>
          <w:sz w:val="28"/>
          <w14:ligatures w14:val="none"/>
        </w:rPr>
        <w:t xml:space="preserve"> a refusal to withdraw it,</w:t>
      </w:r>
      <w:r w:rsidR="002B1E58" w:rsidRPr="005E6AD9">
        <w:rPr>
          <w:rFonts w:ascii="Times New Roman" w:eastAsia="Calibri" w:hAnsi="Times New Roman" w:cs="Times New Roman"/>
          <w:kern w:val="0"/>
          <w:sz w:val="28"/>
          <w:szCs w:val="28"/>
          <w14:ligatures w14:val="none"/>
        </w:rPr>
        <w:t xml:space="preserve"> can have no adverse effect or impact</w:t>
      </w:r>
      <w:r w:rsidR="001056E3" w:rsidRPr="005E6AD9">
        <w:rPr>
          <w:rFonts w:ascii="Times New Roman" w:eastAsia="Calibri" w:hAnsi="Times New Roman" w:cs="Times New Roman"/>
          <w:kern w:val="0"/>
          <w:sz w:val="28"/>
          <w:szCs w:val="28"/>
          <w14:ligatures w14:val="none"/>
        </w:rPr>
        <w:t>.</w:t>
      </w:r>
      <w:r w:rsidR="00FA777C" w:rsidRPr="005E6AD9">
        <w:rPr>
          <w:rFonts w:ascii="Times New Roman" w:eastAsia="Calibri" w:hAnsi="Times New Roman" w:cs="Times New Roman"/>
          <w:kern w:val="0"/>
          <w:sz w:val="28"/>
          <w:szCs w:val="28"/>
          <w14:ligatures w14:val="none"/>
        </w:rPr>
        <w:t xml:space="preserve"> </w:t>
      </w:r>
      <w:r w:rsidR="00FA777C" w:rsidRPr="002C2BDF">
        <w:rPr>
          <w:rFonts w:ascii="Times New Roman" w:hAnsi="Times New Roman"/>
          <w:kern w:val="0"/>
          <w:sz w:val="28"/>
          <w14:ligatures w14:val="none"/>
        </w:rPr>
        <w:t>These steps are</w:t>
      </w:r>
      <w:r w:rsidR="002B1E58" w:rsidRPr="002C2BDF">
        <w:rPr>
          <w:rFonts w:ascii="Times New Roman" w:hAnsi="Times New Roman"/>
          <w:kern w:val="0"/>
          <w:sz w:val="28"/>
          <w14:ligatures w14:val="none"/>
        </w:rPr>
        <w:t xml:space="preserve"> not reviewable</w:t>
      </w:r>
      <w:r w:rsidR="002B1E58" w:rsidRPr="005E6AD9">
        <w:rPr>
          <w:rFonts w:ascii="Times New Roman" w:eastAsia="Calibri" w:hAnsi="Times New Roman" w:cs="Times New Roman"/>
          <w:kern w:val="0"/>
          <w:sz w:val="28"/>
          <w:szCs w:val="28"/>
          <w14:ligatures w14:val="none"/>
        </w:rPr>
        <w:t>. The high court, in my view, lost sight of the provisions of s 80J(3).</w:t>
      </w:r>
      <w:r w:rsidR="000F117F" w:rsidRPr="005E6AD9">
        <w:rPr>
          <w:rFonts w:ascii="Times New Roman" w:eastAsia="Calibri" w:hAnsi="Times New Roman" w:cs="Times New Roman"/>
          <w:kern w:val="0"/>
          <w:sz w:val="28"/>
          <w:szCs w:val="28"/>
          <w14:ligatures w14:val="none"/>
        </w:rPr>
        <w:t xml:space="preserve"> It ought to have found that a decision not to withdraw </w:t>
      </w:r>
      <w:r w:rsidR="00FA777C" w:rsidRPr="005E6AD9">
        <w:rPr>
          <w:rFonts w:ascii="Times New Roman" w:eastAsia="Calibri" w:hAnsi="Times New Roman" w:cs="Times New Roman"/>
          <w:kern w:val="0"/>
          <w:sz w:val="28"/>
          <w:szCs w:val="28"/>
          <w14:ligatures w14:val="none"/>
        </w:rPr>
        <w:t>the</w:t>
      </w:r>
      <w:r w:rsidR="000F117F" w:rsidRPr="005E6AD9">
        <w:rPr>
          <w:rFonts w:ascii="Times New Roman" w:eastAsia="Calibri" w:hAnsi="Times New Roman" w:cs="Times New Roman"/>
          <w:kern w:val="0"/>
          <w:sz w:val="28"/>
          <w:szCs w:val="28"/>
          <w14:ligatures w14:val="none"/>
        </w:rPr>
        <w:t xml:space="preserve"> notice is not </w:t>
      </w:r>
      <w:r w:rsidR="000F117F" w:rsidRPr="002C2BDF">
        <w:rPr>
          <w:rFonts w:ascii="Times New Roman" w:hAnsi="Times New Roman"/>
          <w:kern w:val="0"/>
          <w:sz w:val="28"/>
          <w14:ligatures w14:val="none"/>
        </w:rPr>
        <w:t xml:space="preserve">subject to </w:t>
      </w:r>
      <w:r w:rsidR="00FA777C" w:rsidRPr="002C2BDF">
        <w:rPr>
          <w:rFonts w:ascii="Times New Roman" w:hAnsi="Times New Roman"/>
          <w:kern w:val="0"/>
          <w:sz w:val="28"/>
          <w14:ligatures w14:val="none"/>
        </w:rPr>
        <w:t>review</w:t>
      </w:r>
      <w:r w:rsidR="000F117F" w:rsidRPr="002C2BDF">
        <w:rPr>
          <w:rFonts w:ascii="Times New Roman" w:hAnsi="Times New Roman"/>
          <w:kern w:val="0"/>
          <w:sz w:val="28"/>
          <w14:ligatures w14:val="none"/>
        </w:rPr>
        <w:t xml:space="preserve"> outside</w:t>
      </w:r>
      <w:r w:rsidR="000F117F" w:rsidRPr="005E6AD9">
        <w:rPr>
          <w:rFonts w:ascii="Times New Roman" w:eastAsia="Calibri" w:hAnsi="Times New Roman" w:cs="Times New Roman"/>
          <w:kern w:val="0"/>
          <w:sz w:val="28"/>
          <w:szCs w:val="28"/>
          <w14:ligatures w14:val="none"/>
        </w:rPr>
        <w:t xml:space="preserve"> of a challenge to the decision to impose a tax liability pursuant to s 80B of the ITA.</w:t>
      </w:r>
    </w:p>
    <w:p w14:paraId="1E3C3D15" w14:textId="77777777" w:rsidR="002B1E58" w:rsidRPr="005E6AD9" w:rsidRDefault="002B1E58" w:rsidP="002B1E58">
      <w:pPr>
        <w:spacing w:after="0" w:line="360" w:lineRule="auto"/>
        <w:contextualSpacing/>
        <w:jc w:val="both"/>
        <w:rPr>
          <w:rFonts w:ascii="Times New Roman" w:eastAsia="Calibri" w:hAnsi="Times New Roman" w:cs="Times New Roman"/>
          <w:kern w:val="0"/>
          <w:sz w:val="28"/>
          <w:szCs w:val="28"/>
          <w14:ligatures w14:val="none"/>
        </w:rPr>
      </w:pPr>
    </w:p>
    <w:p w14:paraId="08000C99" w14:textId="7374C290" w:rsidR="00B34F4E" w:rsidRPr="005E6AD9" w:rsidRDefault="009C2172"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[2</w:t>
      </w:r>
      <w:r w:rsidR="005B1023" w:rsidRPr="005E6AD9">
        <w:rPr>
          <w:rFonts w:ascii="Times New Roman" w:eastAsia="Calibri" w:hAnsi="Times New Roman" w:cs="Times New Roman"/>
          <w:kern w:val="0"/>
          <w:sz w:val="28"/>
          <w:szCs w:val="28"/>
          <w14:ligatures w14:val="none"/>
        </w:rPr>
        <w:t>4</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C0492E" w:rsidRPr="002C2BDF">
        <w:rPr>
          <w:rFonts w:ascii="Times New Roman" w:hAnsi="Times New Roman"/>
          <w:kern w:val="0"/>
          <w:sz w:val="28"/>
          <w14:ligatures w14:val="none"/>
        </w:rPr>
        <w:t>I</w:t>
      </w:r>
      <w:r w:rsidR="00B34F4E" w:rsidRPr="002C2BDF">
        <w:rPr>
          <w:rFonts w:ascii="Times New Roman" w:hAnsi="Times New Roman"/>
          <w:kern w:val="0"/>
          <w:sz w:val="28"/>
          <w14:ligatures w14:val="none"/>
        </w:rPr>
        <w:t>t is not</w:t>
      </w:r>
      <w:r w:rsidR="00B34F4E" w:rsidRPr="005E6AD9">
        <w:rPr>
          <w:rFonts w:ascii="Times New Roman" w:eastAsia="Calibri" w:hAnsi="Times New Roman" w:cs="Times New Roman"/>
          <w:kern w:val="0"/>
          <w:sz w:val="28"/>
          <w:szCs w:val="28"/>
          <w14:ligatures w14:val="none"/>
        </w:rPr>
        <w:t xml:space="preserve"> necessary to </w:t>
      </w:r>
      <w:r w:rsidR="00F4749F" w:rsidRPr="005E6AD9">
        <w:rPr>
          <w:rFonts w:ascii="Times New Roman" w:eastAsia="Calibri" w:hAnsi="Times New Roman" w:cs="Times New Roman"/>
          <w:kern w:val="0"/>
          <w:sz w:val="28"/>
          <w:szCs w:val="28"/>
          <w14:ligatures w14:val="none"/>
        </w:rPr>
        <w:t xml:space="preserve">decide the ambit of s 9 of the TAA and </w:t>
      </w:r>
      <w:r w:rsidR="009673DE" w:rsidRPr="005E6AD9">
        <w:rPr>
          <w:rFonts w:ascii="Times New Roman" w:eastAsia="Calibri" w:hAnsi="Times New Roman" w:cs="Times New Roman"/>
          <w:kern w:val="0"/>
          <w:sz w:val="28"/>
          <w:szCs w:val="28"/>
          <w14:ligatures w14:val="none"/>
        </w:rPr>
        <w:t xml:space="preserve">to </w:t>
      </w:r>
      <w:r w:rsidR="00F4749F" w:rsidRPr="005E6AD9">
        <w:rPr>
          <w:rFonts w:ascii="Times New Roman" w:eastAsia="Calibri" w:hAnsi="Times New Roman" w:cs="Times New Roman"/>
          <w:kern w:val="0"/>
          <w:sz w:val="28"/>
          <w:szCs w:val="28"/>
          <w14:ligatures w14:val="none"/>
        </w:rPr>
        <w:t>address the ‘jurisprudential bristles’ to which the high court referred</w:t>
      </w:r>
      <w:r w:rsidR="00B34F4E" w:rsidRPr="005E6AD9">
        <w:rPr>
          <w:rFonts w:ascii="Times New Roman" w:eastAsia="Calibri" w:hAnsi="Times New Roman" w:cs="Times New Roman"/>
          <w:kern w:val="0"/>
          <w:sz w:val="28"/>
          <w:szCs w:val="28"/>
          <w14:ligatures w14:val="none"/>
        </w:rPr>
        <w:t xml:space="preserve">. As I have stated the s 9 review, accepting for </w:t>
      </w:r>
      <w:r w:rsidR="001056E3" w:rsidRPr="005E6AD9">
        <w:rPr>
          <w:rFonts w:ascii="Times New Roman" w:eastAsia="Calibri" w:hAnsi="Times New Roman" w:cs="Times New Roman"/>
          <w:kern w:val="0"/>
          <w:sz w:val="28"/>
          <w:szCs w:val="28"/>
          <w14:ligatures w14:val="none"/>
        </w:rPr>
        <w:t xml:space="preserve">the sake of </w:t>
      </w:r>
      <w:r w:rsidR="00B34F4E" w:rsidRPr="005E6AD9">
        <w:rPr>
          <w:rFonts w:ascii="Times New Roman" w:eastAsia="Calibri" w:hAnsi="Times New Roman" w:cs="Times New Roman"/>
          <w:kern w:val="0"/>
          <w:sz w:val="28"/>
          <w:szCs w:val="28"/>
          <w14:ligatures w14:val="none"/>
        </w:rPr>
        <w:t>argument that it is competent, is, on the facts of this case, entirely academic. Furthermore, for reasons which I shall set out below, the substantive basis of the review of both the refusal to withdraw the notices and the assessments is flawed, and the order</w:t>
      </w:r>
      <w:r w:rsidR="00F4749F" w:rsidRPr="005E6AD9">
        <w:rPr>
          <w:rFonts w:ascii="Times New Roman" w:eastAsia="Calibri" w:hAnsi="Times New Roman" w:cs="Times New Roman"/>
          <w:kern w:val="0"/>
          <w:sz w:val="28"/>
          <w:szCs w:val="28"/>
          <w14:ligatures w14:val="none"/>
        </w:rPr>
        <w:t>s</w:t>
      </w:r>
      <w:r w:rsidR="00B34F4E" w:rsidRPr="005E6AD9">
        <w:rPr>
          <w:rFonts w:ascii="Times New Roman" w:eastAsia="Calibri" w:hAnsi="Times New Roman" w:cs="Times New Roman"/>
          <w:kern w:val="0"/>
          <w:sz w:val="28"/>
          <w:szCs w:val="28"/>
          <w14:ligatures w14:val="none"/>
        </w:rPr>
        <w:t xml:space="preserve"> made in relation to the s 9 review cannot stand.</w:t>
      </w:r>
    </w:p>
    <w:p w14:paraId="04F00561" w14:textId="77777777" w:rsidR="003C2970" w:rsidRPr="005E6AD9" w:rsidRDefault="003C2970" w:rsidP="004C601A">
      <w:pPr>
        <w:spacing w:after="0" w:line="360" w:lineRule="auto"/>
        <w:contextualSpacing/>
        <w:jc w:val="both"/>
        <w:rPr>
          <w:rFonts w:ascii="Times New Roman" w:eastAsia="Calibri" w:hAnsi="Times New Roman" w:cs="Times New Roman"/>
          <w:kern w:val="0"/>
          <w:sz w:val="28"/>
          <w:szCs w:val="28"/>
          <w14:ligatures w14:val="none"/>
        </w:rPr>
      </w:pPr>
    </w:p>
    <w:p w14:paraId="070B0BC5" w14:textId="77777777" w:rsidR="004C601A" w:rsidRPr="005E6AD9" w:rsidRDefault="004C601A" w:rsidP="004C601A">
      <w:pPr>
        <w:spacing w:after="0" w:line="360" w:lineRule="auto"/>
        <w:contextualSpacing/>
        <w:jc w:val="both"/>
        <w:rPr>
          <w:rFonts w:ascii="Times New Roman" w:eastAsia="Calibri" w:hAnsi="Times New Roman" w:cs="Times New Roman"/>
          <w:b/>
          <w:bCs/>
          <w:kern w:val="0"/>
          <w:sz w:val="28"/>
          <w:szCs w:val="28"/>
          <w14:ligatures w14:val="none"/>
        </w:rPr>
      </w:pPr>
      <w:r w:rsidRPr="005E6AD9">
        <w:rPr>
          <w:rFonts w:ascii="Times New Roman" w:eastAsia="Calibri" w:hAnsi="Times New Roman" w:cs="Times New Roman"/>
          <w:b/>
          <w:bCs/>
          <w:kern w:val="0"/>
          <w:sz w:val="28"/>
          <w:szCs w:val="28"/>
          <w14:ligatures w14:val="none"/>
        </w:rPr>
        <w:t xml:space="preserve">The </w:t>
      </w:r>
      <w:r w:rsidR="00F4749F" w:rsidRPr="005E6AD9">
        <w:rPr>
          <w:rFonts w:ascii="Times New Roman" w:eastAsia="Calibri" w:hAnsi="Times New Roman" w:cs="Times New Roman"/>
          <w:b/>
          <w:bCs/>
          <w:kern w:val="0"/>
          <w:sz w:val="28"/>
          <w:szCs w:val="28"/>
          <w14:ligatures w14:val="none"/>
        </w:rPr>
        <w:t xml:space="preserve">assessment </w:t>
      </w:r>
      <w:r w:rsidR="00413E24" w:rsidRPr="005E6AD9">
        <w:rPr>
          <w:rFonts w:ascii="Times New Roman" w:eastAsia="Calibri" w:hAnsi="Times New Roman" w:cs="Times New Roman"/>
          <w:b/>
          <w:bCs/>
          <w:kern w:val="0"/>
          <w:sz w:val="28"/>
          <w:szCs w:val="28"/>
          <w14:ligatures w14:val="none"/>
        </w:rPr>
        <w:t>review</w:t>
      </w:r>
    </w:p>
    <w:p w14:paraId="4DCF3A84" w14:textId="2DC5CFC6" w:rsidR="00A21CA2" w:rsidRPr="005E6AD9" w:rsidRDefault="009C2172"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[2</w:t>
      </w:r>
      <w:r w:rsidR="005B1023" w:rsidRPr="005E6AD9">
        <w:rPr>
          <w:rFonts w:ascii="Times New Roman" w:eastAsia="Calibri" w:hAnsi="Times New Roman" w:cs="Times New Roman"/>
          <w:kern w:val="0"/>
          <w:sz w:val="28"/>
          <w:szCs w:val="28"/>
          <w14:ligatures w14:val="none"/>
        </w:rPr>
        <w:t>5</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F4749F" w:rsidRPr="005E6AD9">
        <w:rPr>
          <w:rFonts w:ascii="Times New Roman" w:eastAsia="Calibri" w:hAnsi="Times New Roman" w:cs="Times New Roman"/>
          <w:kern w:val="0"/>
          <w:sz w:val="28"/>
          <w:szCs w:val="28"/>
          <w14:ligatures w14:val="none"/>
        </w:rPr>
        <w:t xml:space="preserve">Two questions arise: was the high court correct to characterise the dispute as wholly a question of law, and therefore </w:t>
      </w:r>
      <w:r w:rsidR="00A21CA2" w:rsidRPr="005E6AD9">
        <w:rPr>
          <w:rFonts w:ascii="Times New Roman" w:eastAsia="Calibri" w:hAnsi="Times New Roman" w:cs="Times New Roman"/>
          <w:kern w:val="0"/>
          <w:sz w:val="28"/>
          <w:szCs w:val="28"/>
          <w14:ligatures w14:val="none"/>
        </w:rPr>
        <w:t>exercise</w:t>
      </w:r>
      <w:r w:rsidR="00F4749F" w:rsidRPr="005E6AD9">
        <w:rPr>
          <w:rFonts w:ascii="Times New Roman" w:eastAsia="Calibri" w:hAnsi="Times New Roman" w:cs="Times New Roman"/>
          <w:kern w:val="0"/>
          <w:sz w:val="28"/>
          <w:szCs w:val="28"/>
          <w14:ligatures w14:val="none"/>
        </w:rPr>
        <w:t xml:space="preserve"> jurisdiction in terms of s 105 of the TAA</w:t>
      </w:r>
      <w:r w:rsidR="003C5E70" w:rsidRPr="005E6AD9">
        <w:rPr>
          <w:rFonts w:ascii="Times New Roman" w:eastAsia="Calibri" w:hAnsi="Times New Roman" w:cs="Times New Roman"/>
          <w:kern w:val="0"/>
          <w:sz w:val="28"/>
          <w:szCs w:val="28"/>
          <w14:ligatures w14:val="none"/>
        </w:rPr>
        <w:t xml:space="preserve">? </w:t>
      </w:r>
      <w:r w:rsidR="00F4749F" w:rsidRPr="005E6AD9">
        <w:rPr>
          <w:rFonts w:ascii="Times New Roman" w:eastAsia="Calibri" w:hAnsi="Times New Roman" w:cs="Times New Roman"/>
          <w:kern w:val="0"/>
          <w:sz w:val="28"/>
          <w:szCs w:val="28"/>
          <w14:ligatures w14:val="none"/>
        </w:rPr>
        <w:t xml:space="preserve">A negative answer is dispositive of the appeal since the high court then did not have jurisdiction to review the assessments. The second question, namely whether </w:t>
      </w:r>
      <w:r w:rsidR="00A21CA2" w:rsidRPr="005E6AD9">
        <w:rPr>
          <w:rFonts w:ascii="Times New Roman" w:eastAsia="Calibri" w:hAnsi="Times New Roman" w:cs="Times New Roman"/>
          <w:kern w:val="0"/>
          <w:sz w:val="28"/>
          <w:szCs w:val="28"/>
          <w14:ligatures w14:val="none"/>
        </w:rPr>
        <w:t xml:space="preserve">the high court was correct in its findings on the substantive review, only arises </w:t>
      </w:r>
      <w:r w:rsidR="001C2F8E" w:rsidRPr="005E6AD9">
        <w:rPr>
          <w:rFonts w:ascii="Times New Roman" w:eastAsia="Calibri" w:hAnsi="Times New Roman" w:cs="Times New Roman"/>
          <w:kern w:val="0"/>
          <w:sz w:val="28"/>
          <w:szCs w:val="28"/>
          <w14:ligatures w14:val="none"/>
        </w:rPr>
        <w:t>if</w:t>
      </w:r>
      <w:r w:rsidR="00A21CA2" w:rsidRPr="005E6AD9">
        <w:rPr>
          <w:rFonts w:ascii="Times New Roman" w:eastAsia="Calibri" w:hAnsi="Times New Roman" w:cs="Times New Roman"/>
          <w:kern w:val="0"/>
          <w:sz w:val="28"/>
          <w:szCs w:val="28"/>
          <w14:ligatures w14:val="none"/>
        </w:rPr>
        <w:t xml:space="preserve"> the first question is answered affirmatively.</w:t>
      </w:r>
    </w:p>
    <w:p w14:paraId="2204AB67" w14:textId="77777777" w:rsidR="00250956" w:rsidRPr="005E6AD9" w:rsidRDefault="00250956" w:rsidP="00250956">
      <w:pPr>
        <w:spacing w:after="0" w:line="360" w:lineRule="auto"/>
        <w:contextualSpacing/>
        <w:jc w:val="both"/>
        <w:rPr>
          <w:rFonts w:ascii="Times New Roman" w:eastAsia="Calibri" w:hAnsi="Times New Roman" w:cs="Times New Roman"/>
          <w:kern w:val="0"/>
          <w:sz w:val="28"/>
          <w:szCs w:val="28"/>
          <w14:ligatures w14:val="none"/>
        </w:rPr>
      </w:pPr>
    </w:p>
    <w:p w14:paraId="283052E7" w14:textId="18C0B181" w:rsidR="004C601A" w:rsidRPr="005E6AD9" w:rsidRDefault="009C2172"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[2</w:t>
      </w:r>
      <w:r w:rsidR="005B1023" w:rsidRPr="005E6AD9">
        <w:rPr>
          <w:rFonts w:ascii="Times New Roman" w:eastAsia="Calibri" w:hAnsi="Times New Roman" w:cs="Times New Roman"/>
          <w:kern w:val="0"/>
          <w:sz w:val="28"/>
          <w:szCs w:val="28"/>
          <w14:ligatures w14:val="none"/>
        </w:rPr>
        <w:t>6</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4C601A" w:rsidRPr="005E6AD9">
        <w:rPr>
          <w:rFonts w:ascii="Times New Roman" w:eastAsia="Calibri" w:hAnsi="Times New Roman" w:cs="Times New Roman"/>
          <w:kern w:val="0"/>
          <w:sz w:val="28"/>
          <w:szCs w:val="28"/>
          <w14:ligatures w14:val="none"/>
        </w:rPr>
        <w:t xml:space="preserve">This </w:t>
      </w:r>
      <w:r w:rsidR="00A21CA2" w:rsidRPr="005E6AD9">
        <w:rPr>
          <w:rFonts w:ascii="Times New Roman" w:eastAsia="Calibri" w:hAnsi="Times New Roman" w:cs="Times New Roman"/>
          <w:kern w:val="0"/>
          <w:sz w:val="28"/>
          <w:szCs w:val="28"/>
          <w14:ligatures w14:val="none"/>
        </w:rPr>
        <w:t>C</w:t>
      </w:r>
      <w:r w:rsidR="004C601A" w:rsidRPr="005E6AD9">
        <w:rPr>
          <w:rFonts w:ascii="Times New Roman" w:eastAsia="Calibri" w:hAnsi="Times New Roman" w:cs="Times New Roman"/>
          <w:kern w:val="0"/>
          <w:sz w:val="28"/>
          <w:szCs w:val="28"/>
          <w14:ligatures w14:val="none"/>
        </w:rPr>
        <w:t xml:space="preserve">ourt has recently stated the law in relation to the interpretation and application of s 105 in unequivocal terms. </w:t>
      </w:r>
      <w:r w:rsidR="00E64D28" w:rsidRPr="005E6AD9">
        <w:rPr>
          <w:rFonts w:ascii="Times New Roman" w:eastAsia="Calibri" w:hAnsi="Times New Roman" w:cs="Times New Roman"/>
          <w:kern w:val="0"/>
          <w:sz w:val="28"/>
          <w:szCs w:val="28"/>
          <w14:ligatures w14:val="none"/>
        </w:rPr>
        <w:t xml:space="preserve">In </w:t>
      </w:r>
      <w:bookmarkStart w:id="1" w:name="_Hlk144981720"/>
      <w:r w:rsidR="00E64D28" w:rsidRPr="005E6AD9">
        <w:rPr>
          <w:rFonts w:ascii="Times New Roman" w:eastAsia="Calibri" w:hAnsi="Times New Roman" w:cs="Times New Roman"/>
          <w:i/>
          <w:iCs/>
          <w:kern w:val="0"/>
          <w:sz w:val="28"/>
          <w:szCs w:val="28"/>
          <w14:ligatures w14:val="none"/>
        </w:rPr>
        <w:t xml:space="preserve">Commissioner </w:t>
      </w:r>
      <w:r w:rsidR="00B67049" w:rsidRPr="005E6AD9">
        <w:rPr>
          <w:rFonts w:ascii="Times New Roman" w:eastAsia="Calibri" w:hAnsi="Times New Roman" w:cs="Times New Roman"/>
          <w:i/>
          <w:iCs/>
          <w:kern w:val="0"/>
          <w:sz w:val="28"/>
          <w:szCs w:val="28"/>
          <w14:ligatures w14:val="none"/>
        </w:rPr>
        <w:t>for</w:t>
      </w:r>
      <w:r w:rsidR="00E64D28" w:rsidRPr="005E6AD9">
        <w:rPr>
          <w:rFonts w:ascii="Times New Roman" w:eastAsia="Calibri" w:hAnsi="Times New Roman" w:cs="Times New Roman"/>
          <w:i/>
          <w:iCs/>
          <w:kern w:val="0"/>
          <w:sz w:val="28"/>
          <w:szCs w:val="28"/>
          <w14:ligatures w14:val="none"/>
        </w:rPr>
        <w:t xml:space="preserve"> the South African Revenue Service v Rappa Resources (Pty) Ltd</w:t>
      </w:r>
      <w:r w:rsidR="009673DE" w:rsidRPr="005E6AD9">
        <w:rPr>
          <w:rFonts w:ascii="Times New Roman" w:eastAsia="Calibri" w:hAnsi="Times New Roman" w:cs="Times New Roman"/>
          <w:i/>
          <w:iCs/>
          <w:kern w:val="0"/>
          <w:sz w:val="28"/>
          <w:szCs w:val="28"/>
          <w14:ligatures w14:val="none"/>
        </w:rPr>
        <w:t xml:space="preserve"> (Rappa Resources)</w:t>
      </w:r>
      <w:r w:rsidR="00DB0BA1" w:rsidRPr="005E6AD9">
        <w:rPr>
          <w:rFonts w:ascii="Times New Roman" w:eastAsia="Calibri" w:hAnsi="Times New Roman" w:cs="Times New Roman"/>
          <w:iCs/>
          <w:kern w:val="0"/>
          <w:sz w:val="28"/>
          <w:szCs w:val="28"/>
          <w14:ligatures w14:val="none"/>
        </w:rPr>
        <w:t>,</w:t>
      </w:r>
      <w:r w:rsidR="009673DE" w:rsidRPr="005E6AD9">
        <w:rPr>
          <w:rStyle w:val="FootnoteReference"/>
          <w:rFonts w:ascii="Times New Roman" w:eastAsia="Calibri" w:hAnsi="Times New Roman" w:cs="Times New Roman"/>
          <w:iCs/>
          <w:kern w:val="0"/>
          <w:sz w:val="28"/>
          <w:szCs w:val="28"/>
          <w14:ligatures w14:val="none"/>
        </w:rPr>
        <w:footnoteReference w:id="6"/>
      </w:r>
      <w:bookmarkEnd w:id="1"/>
      <w:r w:rsidR="00E64D28" w:rsidRPr="005E6AD9">
        <w:rPr>
          <w:rFonts w:ascii="Times New Roman" w:eastAsia="Calibri" w:hAnsi="Times New Roman" w:cs="Times New Roman"/>
          <w:kern w:val="0"/>
          <w:sz w:val="28"/>
          <w:szCs w:val="28"/>
          <w14:ligatures w14:val="none"/>
        </w:rPr>
        <w:t xml:space="preserve"> Ponnan </w:t>
      </w:r>
      <w:r w:rsidR="005E6AD9" w:rsidRPr="005E6AD9">
        <w:rPr>
          <w:rFonts w:ascii="Times New Roman" w:eastAsia="Calibri" w:hAnsi="Times New Roman" w:cs="Times New Roman"/>
          <w:kern w:val="0"/>
          <w:sz w:val="28"/>
          <w:szCs w:val="28"/>
          <w14:ligatures w14:val="none"/>
        </w:rPr>
        <w:t>JA stated</w:t>
      </w:r>
      <w:r w:rsidR="00E64D28" w:rsidRPr="005E6AD9">
        <w:rPr>
          <w:rFonts w:ascii="Times New Roman" w:eastAsia="Calibri" w:hAnsi="Times New Roman" w:cs="Times New Roman"/>
          <w:kern w:val="0"/>
          <w:sz w:val="28"/>
          <w:szCs w:val="28"/>
          <w14:ligatures w14:val="none"/>
        </w:rPr>
        <w:t xml:space="preserve"> that:</w:t>
      </w:r>
    </w:p>
    <w:p w14:paraId="60E94281" w14:textId="2654620C" w:rsidR="00D7104A" w:rsidRPr="005E6AD9" w:rsidRDefault="00A21CA2" w:rsidP="00E64D28">
      <w:pPr>
        <w:spacing w:after="0" w:line="360" w:lineRule="auto"/>
        <w:contextualSpacing/>
        <w:jc w:val="both"/>
        <w:rPr>
          <w:rFonts w:ascii="Times New Roman" w:eastAsia="Calibri" w:hAnsi="Times New Roman" w:cs="Times New Roman"/>
          <w:kern w:val="0"/>
          <w:sz w:val="24"/>
          <w:szCs w:val="24"/>
          <w14:ligatures w14:val="none"/>
        </w:rPr>
      </w:pPr>
      <w:r w:rsidRPr="005E6AD9">
        <w:rPr>
          <w:rFonts w:ascii="Times New Roman" w:eastAsia="Calibri" w:hAnsi="Times New Roman" w:cs="Times New Roman"/>
          <w:kern w:val="0"/>
          <w:sz w:val="24"/>
          <w:szCs w:val="24"/>
          <w14:ligatures w14:val="none"/>
        </w:rPr>
        <w:t>‘</w:t>
      </w:r>
      <w:r w:rsidR="00E64D28" w:rsidRPr="005E6AD9">
        <w:rPr>
          <w:rFonts w:ascii="Times New Roman" w:eastAsia="Calibri" w:hAnsi="Times New Roman" w:cs="Times New Roman"/>
          <w:kern w:val="0"/>
          <w:sz w:val="24"/>
          <w:szCs w:val="24"/>
          <w14:ligatures w14:val="none"/>
        </w:rPr>
        <w:t xml:space="preserve">The purpose of s 105 is clearly to ensure that, in the ordinary course, tax disputes are taken to the tax court. The high court consequently does not have jurisdiction in tax disputes unless it directs otherwise. In </w:t>
      </w:r>
      <w:r w:rsidR="00E64D28" w:rsidRPr="005E6AD9">
        <w:rPr>
          <w:rFonts w:ascii="Times New Roman" w:eastAsia="Calibri" w:hAnsi="Times New Roman" w:cs="Times New Roman"/>
          <w:i/>
          <w:iCs/>
          <w:kern w:val="0"/>
          <w:sz w:val="24"/>
          <w:szCs w:val="24"/>
          <w14:ligatures w14:val="none"/>
        </w:rPr>
        <w:t>Wingate-Pearse</w:t>
      </w:r>
      <w:r w:rsidR="00E64D28" w:rsidRPr="005E6AD9">
        <w:rPr>
          <w:rFonts w:ascii="Times New Roman" w:eastAsia="Calibri" w:hAnsi="Times New Roman" w:cs="Times New Roman"/>
          <w:kern w:val="0"/>
          <w:sz w:val="24"/>
          <w:szCs w:val="24"/>
          <w14:ligatures w14:val="none"/>
        </w:rPr>
        <w:t xml:space="preserve"> it was put as follows: </w:t>
      </w:r>
      <w:r w:rsidR="00CD6547" w:rsidRPr="005E6AD9">
        <w:rPr>
          <w:rFonts w:ascii="Times New Roman" w:eastAsia="Calibri" w:hAnsi="Times New Roman" w:cs="Times New Roman"/>
          <w:kern w:val="0"/>
          <w:sz w:val="24"/>
          <w:szCs w:val="24"/>
          <w14:ligatures w14:val="none"/>
        </w:rPr>
        <w:t>“</w:t>
      </w:r>
      <w:r w:rsidR="00E64D28" w:rsidRPr="005E6AD9">
        <w:rPr>
          <w:rFonts w:ascii="Times New Roman" w:eastAsia="Calibri" w:hAnsi="Times New Roman" w:cs="Times New Roman"/>
          <w:kern w:val="0"/>
          <w:sz w:val="24"/>
          <w:szCs w:val="24"/>
          <w14:ligatures w14:val="none"/>
        </w:rPr>
        <w:t>Tax cases are generally reserved for the exclusive jurisdiction of the tax court in the first instance. But it is settled law that a decision of the Commissioner is subject to judicial intervention in certain circumstances . . . In its amended form</w:t>
      </w:r>
      <w:r w:rsidR="001C2F8E">
        <w:rPr>
          <w:rFonts w:ascii="Times New Roman" w:eastAsia="Calibri" w:hAnsi="Times New Roman" w:cs="Times New Roman"/>
          <w:kern w:val="0"/>
          <w:sz w:val="24"/>
          <w:szCs w:val="24"/>
          <w14:ligatures w14:val="none"/>
        </w:rPr>
        <w:t>,</w:t>
      </w:r>
      <w:r w:rsidR="00E64D28" w:rsidRPr="005E6AD9">
        <w:rPr>
          <w:rFonts w:ascii="Times New Roman" w:eastAsia="Calibri" w:hAnsi="Times New Roman" w:cs="Times New Roman"/>
          <w:kern w:val="0"/>
          <w:sz w:val="24"/>
          <w:szCs w:val="24"/>
          <w14:ligatures w14:val="none"/>
        </w:rPr>
        <w:t xml:space="preserve"> s 105 thus makes it plain that “unless a High Court otherwise directs”, an assessment may only be disputed by means of the objection and appeal process.</w:t>
      </w:r>
      <w:r w:rsidR="00CD6547" w:rsidRPr="005E6AD9">
        <w:rPr>
          <w:rFonts w:ascii="Times New Roman" w:eastAsia="Calibri" w:hAnsi="Times New Roman" w:cs="Times New Roman"/>
          <w:kern w:val="0"/>
          <w:sz w:val="24"/>
          <w:szCs w:val="24"/>
          <w14:ligatures w14:val="none"/>
        </w:rPr>
        <w:t>”’</w:t>
      </w:r>
    </w:p>
    <w:p w14:paraId="6FA93FDA" w14:textId="77777777" w:rsidR="00D7104A" w:rsidRPr="005E6AD9" w:rsidRDefault="00D7104A" w:rsidP="00E64D28">
      <w:pPr>
        <w:spacing w:after="0" w:line="360" w:lineRule="auto"/>
        <w:contextualSpacing/>
        <w:jc w:val="both"/>
        <w:rPr>
          <w:rFonts w:ascii="Times New Roman" w:eastAsia="Calibri" w:hAnsi="Times New Roman" w:cs="Times New Roman"/>
          <w:kern w:val="0"/>
          <w:sz w:val="24"/>
          <w:szCs w:val="24"/>
          <w14:ligatures w14:val="none"/>
        </w:rPr>
      </w:pPr>
    </w:p>
    <w:p w14:paraId="4B038B1A" w14:textId="1EF13172" w:rsidR="00E64D28" w:rsidRPr="005E6AD9" w:rsidRDefault="00CD6547"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w:t>
      </w:r>
      <w:r w:rsidR="00C0492E" w:rsidRPr="005E6AD9">
        <w:rPr>
          <w:rFonts w:ascii="Times New Roman" w:eastAsia="Calibri" w:hAnsi="Times New Roman" w:cs="Times New Roman"/>
          <w:kern w:val="0"/>
          <w:sz w:val="28"/>
          <w:szCs w:val="28"/>
          <w14:ligatures w14:val="none"/>
        </w:rPr>
        <w:t>2</w:t>
      </w:r>
      <w:r w:rsidR="005B1023" w:rsidRPr="005E6AD9">
        <w:rPr>
          <w:rFonts w:ascii="Times New Roman" w:eastAsia="Calibri" w:hAnsi="Times New Roman" w:cs="Times New Roman"/>
          <w:kern w:val="0"/>
          <w:sz w:val="28"/>
          <w:szCs w:val="28"/>
          <w14:ligatures w14:val="none"/>
        </w:rPr>
        <w:t>7</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250956" w:rsidRPr="005E6AD9">
        <w:rPr>
          <w:rFonts w:ascii="Times New Roman" w:eastAsia="Calibri" w:hAnsi="Times New Roman" w:cs="Times New Roman"/>
          <w:kern w:val="0"/>
          <w:sz w:val="28"/>
          <w:szCs w:val="28"/>
          <w14:ligatures w14:val="none"/>
        </w:rPr>
        <w:t xml:space="preserve">In this </w:t>
      </w:r>
      <w:r w:rsidR="00D7104A" w:rsidRPr="005E6AD9">
        <w:rPr>
          <w:rFonts w:ascii="Times New Roman" w:eastAsia="Calibri" w:hAnsi="Times New Roman" w:cs="Times New Roman"/>
          <w:kern w:val="0"/>
          <w:sz w:val="28"/>
          <w:szCs w:val="28"/>
          <w14:ligatures w14:val="none"/>
        </w:rPr>
        <w:t>instance</w:t>
      </w:r>
      <w:r w:rsidR="00250956" w:rsidRPr="005E6AD9">
        <w:rPr>
          <w:rFonts w:ascii="Times New Roman" w:eastAsia="Calibri" w:hAnsi="Times New Roman" w:cs="Times New Roman"/>
          <w:kern w:val="0"/>
          <w:sz w:val="28"/>
          <w:szCs w:val="28"/>
          <w14:ligatures w14:val="none"/>
        </w:rPr>
        <w:t xml:space="preserve"> the high court recognised that it </w:t>
      </w:r>
      <w:r w:rsidR="00C0492E" w:rsidRPr="002C2BDF">
        <w:rPr>
          <w:rFonts w:ascii="Times New Roman" w:hAnsi="Times New Roman"/>
          <w:kern w:val="0"/>
          <w:sz w:val="28"/>
          <w14:ligatures w14:val="none"/>
        </w:rPr>
        <w:t xml:space="preserve">could </w:t>
      </w:r>
      <w:r w:rsidR="00250956" w:rsidRPr="002C2BDF">
        <w:rPr>
          <w:rFonts w:ascii="Times New Roman" w:hAnsi="Times New Roman"/>
          <w:kern w:val="0"/>
          <w:sz w:val="28"/>
          <w14:ligatures w14:val="none"/>
        </w:rPr>
        <w:t>only</w:t>
      </w:r>
      <w:r w:rsidR="00250956" w:rsidRPr="005E6AD9">
        <w:rPr>
          <w:rFonts w:ascii="Times New Roman" w:eastAsia="Calibri" w:hAnsi="Times New Roman" w:cs="Times New Roman"/>
          <w:kern w:val="0"/>
          <w:sz w:val="28"/>
          <w:szCs w:val="28"/>
          <w14:ligatures w14:val="none"/>
        </w:rPr>
        <w:t xml:space="preserve"> exercise its jurisdiction in exceptional </w:t>
      </w:r>
      <w:r w:rsidR="00D7104A" w:rsidRPr="005E6AD9">
        <w:rPr>
          <w:rFonts w:ascii="Times New Roman" w:eastAsia="Calibri" w:hAnsi="Times New Roman" w:cs="Times New Roman"/>
          <w:kern w:val="0"/>
          <w:sz w:val="28"/>
          <w:szCs w:val="28"/>
          <w14:ligatures w14:val="none"/>
        </w:rPr>
        <w:t>circumstances</w:t>
      </w:r>
      <w:r w:rsidR="00250956" w:rsidRPr="005E6AD9">
        <w:rPr>
          <w:rFonts w:ascii="Times New Roman" w:eastAsia="Calibri" w:hAnsi="Times New Roman" w:cs="Times New Roman"/>
          <w:kern w:val="0"/>
          <w:sz w:val="28"/>
          <w:szCs w:val="28"/>
          <w14:ligatures w14:val="none"/>
        </w:rPr>
        <w:t xml:space="preserve">. It considered that a dispute concerning a question of law would constitute an exceptional </w:t>
      </w:r>
      <w:r w:rsidR="00D7104A" w:rsidRPr="005E6AD9">
        <w:rPr>
          <w:rFonts w:ascii="Times New Roman" w:eastAsia="Calibri" w:hAnsi="Times New Roman" w:cs="Times New Roman"/>
          <w:kern w:val="0"/>
          <w:sz w:val="28"/>
          <w:szCs w:val="28"/>
          <w14:ligatures w14:val="none"/>
        </w:rPr>
        <w:t>circumstance</w:t>
      </w:r>
      <w:r w:rsidR="00250956" w:rsidRPr="005E6AD9">
        <w:rPr>
          <w:rFonts w:ascii="Times New Roman" w:eastAsia="Calibri" w:hAnsi="Times New Roman" w:cs="Times New Roman"/>
          <w:kern w:val="0"/>
          <w:sz w:val="28"/>
          <w:szCs w:val="28"/>
          <w14:ligatures w14:val="none"/>
        </w:rPr>
        <w:t xml:space="preserve"> entitling it to exercise its jurisdiction. It held </w:t>
      </w:r>
      <w:r w:rsidR="00D7104A" w:rsidRPr="005E6AD9">
        <w:rPr>
          <w:rFonts w:ascii="Times New Roman" w:eastAsia="Calibri" w:hAnsi="Times New Roman" w:cs="Times New Roman"/>
          <w:kern w:val="0"/>
          <w:sz w:val="28"/>
          <w:szCs w:val="28"/>
          <w14:ligatures w14:val="none"/>
        </w:rPr>
        <w:t>that</w:t>
      </w:r>
      <w:r w:rsidR="00250956" w:rsidRPr="005E6AD9">
        <w:rPr>
          <w:rFonts w:ascii="Times New Roman" w:eastAsia="Calibri" w:hAnsi="Times New Roman" w:cs="Times New Roman"/>
          <w:kern w:val="0"/>
          <w:sz w:val="28"/>
          <w:szCs w:val="28"/>
          <w14:ligatures w14:val="none"/>
        </w:rPr>
        <w:t xml:space="preserve"> the dispute regarding the refusal to withdraw the s 80J notices and the legality of the assessments, involved a question of law. For this </w:t>
      </w:r>
      <w:r w:rsidR="005E6AD9" w:rsidRPr="005E6AD9">
        <w:rPr>
          <w:rFonts w:ascii="Times New Roman" w:eastAsia="Calibri" w:hAnsi="Times New Roman" w:cs="Times New Roman"/>
          <w:kern w:val="0"/>
          <w:sz w:val="28"/>
          <w:szCs w:val="28"/>
          <w14:ligatures w14:val="none"/>
        </w:rPr>
        <w:t>reason,</w:t>
      </w:r>
      <w:r w:rsidR="00250956" w:rsidRPr="005E6AD9">
        <w:rPr>
          <w:rFonts w:ascii="Times New Roman" w:eastAsia="Calibri" w:hAnsi="Times New Roman" w:cs="Times New Roman"/>
          <w:kern w:val="0"/>
          <w:sz w:val="28"/>
          <w:szCs w:val="28"/>
          <w14:ligatures w14:val="none"/>
        </w:rPr>
        <w:t xml:space="preserve"> it exercised its discretion to adjudicate the dispute.</w:t>
      </w:r>
    </w:p>
    <w:p w14:paraId="61FC367D" w14:textId="77777777" w:rsidR="00D7104A" w:rsidRPr="005E6AD9" w:rsidRDefault="00D7104A" w:rsidP="00D7104A">
      <w:pPr>
        <w:spacing w:after="0" w:line="360" w:lineRule="auto"/>
        <w:contextualSpacing/>
        <w:jc w:val="both"/>
        <w:rPr>
          <w:rFonts w:ascii="Times New Roman" w:eastAsia="Calibri" w:hAnsi="Times New Roman" w:cs="Times New Roman"/>
          <w:kern w:val="0"/>
          <w:sz w:val="28"/>
          <w:szCs w:val="28"/>
          <w14:ligatures w14:val="none"/>
        </w:rPr>
      </w:pPr>
    </w:p>
    <w:p w14:paraId="23C355A5" w14:textId="77777777" w:rsidR="00250956" w:rsidRPr="005E6AD9" w:rsidRDefault="007A5C1D"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w:t>
      </w:r>
      <w:r w:rsidR="00C0492E" w:rsidRPr="005E6AD9">
        <w:rPr>
          <w:rFonts w:ascii="Times New Roman" w:eastAsia="Calibri" w:hAnsi="Times New Roman" w:cs="Times New Roman"/>
          <w:kern w:val="0"/>
          <w:sz w:val="28"/>
          <w:szCs w:val="28"/>
          <w14:ligatures w14:val="none"/>
        </w:rPr>
        <w:t>2</w:t>
      </w:r>
      <w:r w:rsidR="005B1023" w:rsidRPr="005E6AD9">
        <w:rPr>
          <w:rFonts w:ascii="Times New Roman" w:eastAsia="Calibri" w:hAnsi="Times New Roman" w:cs="Times New Roman"/>
          <w:kern w:val="0"/>
          <w:sz w:val="28"/>
          <w:szCs w:val="28"/>
          <w14:ligatures w14:val="none"/>
        </w:rPr>
        <w:t>8</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250956" w:rsidRPr="005E6AD9">
        <w:rPr>
          <w:rFonts w:ascii="Times New Roman" w:eastAsia="Calibri" w:hAnsi="Times New Roman" w:cs="Times New Roman"/>
          <w:kern w:val="0"/>
          <w:sz w:val="28"/>
          <w:szCs w:val="28"/>
          <w14:ligatures w14:val="none"/>
        </w:rPr>
        <w:t xml:space="preserve">This </w:t>
      </w:r>
      <w:r w:rsidR="00DB0BA1" w:rsidRPr="002C2BDF">
        <w:rPr>
          <w:rFonts w:ascii="Times New Roman" w:hAnsi="Times New Roman"/>
          <w:kern w:val="0"/>
          <w:sz w:val="28"/>
          <w14:ligatures w14:val="none"/>
        </w:rPr>
        <w:t>C</w:t>
      </w:r>
      <w:r w:rsidR="00250956" w:rsidRPr="005E6AD9">
        <w:rPr>
          <w:rFonts w:ascii="Times New Roman" w:eastAsia="Calibri" w:hAnsi="Times New Roman" w:cs="Times New Roman"/>
          <w:kern w:val="0"/>
          <w:sz w:val="28"/>
          <w:szCs w:val="28"/>
          <w14:ligatures w14:val="none"/>
        </w:rPr>
        <w:t xml:space="preserve">ourt in </w:t>
      </w:r>
      <w:r w:rsidR="00250956" w:rsidRPr="005E6AD9">
        <w:rPr>
          <w:rFonts w:ascii="Times New Roman" w:eastAsia="Calibri" w:hAnsi="Times New Roman" w:cs="Times New Roman"/>
          <w:i/>
          <w:iCs/>
          <w:kern w:val="0"/>
          <w:sz w:val="28"/>
          <w:szCs w:val="28"/>
          <w14:ligatures w14:val="none"/>
        </w:rPr>
        <w:t>Rappa Resources</w:t>
      </w:r>
      <w:r w:rsidR="00250956" w:rsidRPr="005E6AD9">
        <w:rPr>
          <w:rFonts w:ascii="Times New Roman" w:eastAsia="Calibri" w:hAnsi="Times New Roman" w:cs="Times New Roman"/>
          <w:kern w:val="0"/>
          <w:sz w:val="28"/>
          <w:szCs w:val="28"/>
          <w14:ligatures w14:val="none"/>
        </w:rPr>
        <w:t xml:space="preserve"> endorsed the high court’s approach to the </w:t>
      </w:r>
      <w:r w:rsidR="00CA35B2" w:rsidRPr="005E6AD9">
        <w:rPr>
          <w:rFonts w:ascii="Times New Roman" w:eastAsia="Calibri" w:hAnsi="Times New Roman" w:cs="Times New Roman"/>
          <w:kern w:val="0"/>
          <w:sz w:val="28"/>
          <w:szCs w:val="28"/>
          <w14:ligatures w14:val="none"/>
        </w:rPr>
        <w:t xml:space="preserve">exceptional </w:t>
      </w:r>
      <w:r w:rsidR="00250956" w:rsidRPr="005E6AD9">
        <w:rPr>
          <w:rFonts w:ascii="Times New Roman" w:eastAsia="Calibri" w:hAnsi="Times New Roman" w:cs="Times New Roman"/>
          <w:kern w:val="0"/>
          <w:sz w:val="28"/>
          <w:szCs w:val="28"/>
          <w14:ligatures w14:val="none"/>
        </w:rPr>
        <w:t>exercise of its jurisdiction in terms of s 10</w:t>
      </w:r>
      <w:r w:rsidR="008368C9" w:rsidRPr="005E6AD9">
        <w:rPr>
          <w:rFonts w:ascii="Times New Roman" w:eastAsia="Calibri" w:hAnsi="Times New Roman" w:cs="Times New Roman"/>
          <w:kern w:val="0"/>
          <w:sz w:val="28"/>
          <w:szCs w:val="28"/>
          <w14:ligatures w14:val="none"/>
        </w:rPr>
        <w:t>5</w:t>
      </w:r>
      <w:r w:rsidR="00250956" w:rsidRPr="005E6AD9">
        <w:rPr>
          <w:rFonts w:ascii="Times New Roman" w:eastAsia="Calibri" w:hAnsi="Times New Roman" w:cs="Times New Roman"/>
          <w:kern w:val="0"/>
          <w:sz w:val="28"/>
          <w:szCs w:val="28"/>
          <w14:ligatures w14:val="none"/>
        </w:rPr>
        <w:t xml:space="preserve"> of the TAA.</w:t>
      </w:r>
      <w:r w:rsidR="00D33AF2" w:rsidRPr="005E6AD9">
        <w:rPr>
          <w:rStyle w:val="FootnoteReference"/>
          <w:rFonts w:ascii="Times New Roman" w:eastAsia="Calibri" w:hAnsi="Times New Roman" w:cs="Times New Roman"/>
          <w:kern w:val="0"/>
          <w:sz w:val="28"/>
          <w:szCs w:val="28"/>
          <w14:ligatures w14:val="none"/>
        </w:rPr>
        <w:footnoteReference w:id="7"/>
      </w:r>
      <w:r w:rsidR="00250956" w:rsidRPr="005E6AD9">
        <w:rPr>
          <w:rFonts w:ascii="Times New Roman" w:eastAsia="Calibri" w:hAnsi="Times New Roman" w:cs="Times New Roman"/>
          <w:kern w:val="0"/>
          <w:sz w:val="28"/>
          <w:szCs w:val="28"/>
          <w14:ligatures w14:val="none"/>
        </w:rPr>
        <w:t xml:space="preserve"> </w:t>
      </w:r>
      <w:r w:rsidR="00C0492E" w:rsidRPr="002C2BDF">
        <w:rPr>
          <w:rFonts w:ascii="Times New Roman" w:hAnsi="Times New Roman"/>
          <w:kern w:val="0"/>
          <w:sz w:val="28"/>
          <w14:ligatures w14:val="none"/>
        </w:rPr>
        <w:t>T</w:t>
      </w:r>
      <w:r w:rsidR="00D33AF2" w:rsidRPr="002C2BDF">
        <w:rPr>
          <w:rFonts w:ascii="Times New Roman" w:hAnsi="Times New Roman"/>
          <w:kern w:val="0"/>
          <w:sz w:val="28"/>
          <w14:ligatures w14:val="none"/>
        </w:rPr>
        <w:t>he question</w:t>
      </w:r>
      <w:r w:rsidR="00C0492E" w:rsidRPr="002C2BDF">
        <w:rPr>
          <w:rFonts w:ascii="Times New Roman" w:hAnsi="Times New Roman"/>
          <w:kern w:val="0"/>
          <w:sz w:val="28"/>
          <w14:ligatures w14:val="none"/>
        </w:rPr>
        <w:t>, however,</w:t>
      </w:r>
      <w:r w:rsidR="00D33AF2" w:rsidRPr="002C2BDF">
        <w:rPr>
          <w:rFonts w:ascii="Times New Roman" w:hAnsi="Times New Roman"/>
          <w:kern w:val="0"/>
          <w:sz w:val="28"/>
          <w14:ligatures w14:val="none"/>
        </w:rPr>
        <w:t xml:space="preserve"> is whether t</w:t>
      </w:r>
      <w:r w:rsidR="00D33AF2" w:rsidRPr="005E6AD9">
        <w:rPr>
          <w:rFonts w:ascii="Times New Roman" w:eastAsia="Calibri" w:hAnsi="Times New Roman" w:cs="Times New Roman"/>
          <w:kern w:val="0"/>
          <w:sz w:val="28"/>
          <w:szCs w:val="28"/>
          <w14:ligatures w14:val="none"/>
        </w:rPr>
        <w:t>he high court was correct in its characterisation of the nature of the dispute.</w:t>
      </w:r>
    </w:p>
    <w:p w14:paraId="17B95490" w14:textId="77777777" w:rsidR="00D7104A" w:rsidRPr="005E6AD9" w:rsidRDefault="00D7104A" w:rsidP="00D7104A">
      <w:pPr>
        <w:pStyle w:val="ListParagraph"/>
        <w:rPr>
          <w:rFonts w:ascii="Times New Roman" w:eastAsia="Calibri" w:hAnsi="Times New Roman" w:cs="Times New Roman"/>
          <w:kern w:val="0"/>
          <w:sz w:val="28"/>
          <w:szCs w:val="28"/>
          <w14:ligatures w14:val="none"/>
        </w:rPr>
      </w:pPr>
    </w:p>
    <w:p w14:paraId="3BEDE5F0" w14:textId="77777777" w:rsidR="00D33AF2" w:rsidRPr="005E6AD9" w:rsidRDefault="007A5C1D"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w:t>
      </w:r>
      <w:r w:rsidR="005B1023" w:rsidRPr="005E6AD9">
        <w:rPr>
          <w:rFonts w:ascii="Times New Roman" w:eastAsia="Calibri" w:hAnsi="Times New Roman" w:cs="Times New Roman"/>
          <w:kern w:val="0"/>
          <w:sz w:val="28"/>
          <w:szCs w:val="28"/>
          <w14:ligatures w14:val="none"/>
        </w:rPr>
        <w:t>29</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D33AF2" w:rsidRPr="005E6AD9">
        <w:rPr>
          <w:rFonts w:ascii="Times New Roman" w:eastAsia="Calibri" w:hAnsi="Times New Roman" w:cs="Times New Roman"/>
          <w:kern w:val="0"/>
          <w:sz w:val="28"/>
          <w:szCs w:val="28"/>
          <w14:ligatures w14:val="none"/>
        </w:rPr>
        <w:t xml:space="preserve">The high court took the view that the s 80J notices and the assessments were ‘inextricably linked’. It stated that the factual basis upon which SARS </w:t>
      </w:r>
      <w:r w:rsidR="00D33AF2" w:rsidRPr="005E6AD9">
        <w:rPr>
          <w:rFonts w:ascii="Times New Roman" w:eastAsia="Calibri" w:hAnsi="Times New Roman" w:cs="Times New Roman"/>
          <w:kern w:val="0"/>
          <w:sz w:val="28"/>
          <w:szCs w:val="28"/>
          <w14:ligatures w14:val="none"/>
        </w:rPr>
        <w:lastRenderedPageBreak/>
        <w:t xml:space="preserve">decided to apply the GAAR provisions was set out in the notices. It held that SARS had accepted the facts disclosed in the notices. On this basis, the </w:t>
      </w:r>
      <w:r w:rsidR="00D7104A" w:rsidRPr="005E6AD9">
        <w:rPr>
          <w:rFonts w:ascii="Times New Roman" w:eastAsia="Calibri" w:hAnsi="Times New Roman" w:cs="Times New Roman"/>
          <w:kern w:val="0"/>
          <w:sz w:val="28"/>
          <w:szCs w:val="28"/>
          <w14:ligatures w14:val="none"/>
        </w:rPr>
        <w:t>high</w:t>
      </w:r>
      <w:r w:rsidR="00D33AF2" w:rsidRPr="005E6AD9">
        <w:rPr>
          <w:rFonts w:ascii="Times New Roman" w:eastAsia="Calibri" w:hAnsi="Times New Roman" w:cs="Times New Roman"/>
          <w:kern w:val="0"/>
          <w:sz w:val="28"/>
          <w:szCs w:val="28"/>
          <w14:ligatures w14:val="none"/>
        </w:rPr>
        <w:t xml:space="preserve"> court held that SARS did not dispute that Absa and United Towers had no knowledge of </w:t>
      </w:r>
      <w:r w:rsidR="008368C9" w:rsidRPr="005E6AD9">
        <w:rPr>
          <w:rFonts w:ascii="Times New Roman" w:eastAsia="Calibri" w:hAnsi="Times New Roman" w:cs="Times New Roman"/>
          <w:kern w:val="0"/>
          <w:sz w:val="28"/>
          <w:szCs w:val="28"/>
          <w14:ligatures w14:val="none"/>
        </w:rPr>
        <w:t xml:space="preserve">the </w:t>
      </w:r>
      <w:r w:rsidR="00D33AF2" w:rsidRPr="005E6AD9">
        <w:rPr>
          <w:rFonts w:ascii="Times New Roman" w:eastAsia="Calibri" w:hAnsi="Times New Roman" w:cs="Times New Roman"/>
          <w:kern w:val="0"/>
          <w:sz w:val="28"/>
          <w:szCs w:val="28"/>
          <w14:ligatures w14:val="none"/>
        </w:rPr>
        <w:t xml:space="preserve">arrangement in which they had participated. They could therefore not have been parties to an arrangement which, unknown to them, had sought to avoid the payment of tax which they would otherwise have been required to </w:t>
      </w:r>
      <w:r w:rsidR="00D33AF2" w:rsidRPr="002C2BDF">
        <w:rPr>
          <w:rFonts w:ascii="Times New Roman" w:hAnsi="Times New Roman"/>
          <w:kern w:val="0"/>
          <w:sz w:val="28"/>
          <w14:ligatures w14:val="none"/>
        </w:rPr>
        <w:t>pay.</w:t>
      </w:r>
      <w:r w:rsidR="00C0492E" w:rsidRPr="002C2BDF">
        <w:rPr>
          <w:rFonts w:ascii="Times New Roman" w:hAnsi="Times New Roman"/>
          <w:kern w:val="0"/>
          <w:sz w:val="28"/>
          <w14:ligatures w14:val="none"/>
        </w:rPr>
        <w:t xml:space="preserve"> </w:t>
      </w:r>
      <w:r w:rsidR="00D33AF2" w:rsidRPr="002C2BDF">
        <w:rPr>
          <w:rFonts w:ascii="Times New Roman" w:hAnsi="Times New Roman"/>
          <w:kern w:val="0"/>
          <w:sz w:val="28"/>
          <w14:ligatures w14:val="none"/>
        </w:rPr>
        <w:t>The</w:t>
      </w:r>
      <w:r w:rsidR="00D33AF2" w:rsidRPr="005E6AD9">
        <w:rPr>
          <w:rFonts w:ascii="Times New Roman" w:eastAsia="Calibri" w:hAnsi="Times New Roman" w:cs="Times New Roman"/>
          <w:kern w:val="0"/>
          <w:sz w:val="28"/>
          <w:szCs w:val="28"/>
          <w14:ligatures w14:val="none"/>
        </w:rPr>
        <w:t xml:space="preserve"> high court therefore found that the application of the GAAR provisions in circumstances where they did</w:t>
      </w:r>
      <w:r w:rsidR="00CA35B2" w:rsidRPr="005E6AD9">
        <w:rPr>
          <w:rFonts w:ascii="Times New Roman" w:eastAsia="Calibri" w:hAnsi="Times New Roman" w:cs="Times New Roman"/>
          <w:kern w:val="0"/>
          <w:sz w:val="28"/>
          <w:szCs w:val="28"/>
          <w14:ligatures w14:val="none"/>
        </w:rPr>
        <w:t xml:space="preserve"> not</w:t>
      </w:r>
      <w:r w:rsidR="00D33AF2" w:rsidRPr="005E6AD9">
        <w:rPr>
          <w:rFonts w:ascii="Times New Roman" w:eastAsia="Calibri" w:hAnsi="Times New Roman" w:cs="Times New Roman"/>
          <w:kern w:val="0"/>
          <w:sz w:val="28"/>
          <w:szCs w:val="28"/>
          <w14:ligatures w14:val="none"/>
        </w:rPr>
        <w:t xml:space="preserve">, as matter of fact, apply, was </w:t>
      </w:r>
      <w:r w:rsidR="004666CA" w:rsidRPr="005E6AD9">
        <w:rPr>
          <w:rFonts w:ascii="Times New Roman" w:eastAsia="Calibri" w:hAnsi="Times New Roman" w:cs="Times New Roman"/>
          <w:kern w:val="0"/>
          <w:sz w:val="28"/>
          <w:szCs w:val="28"/>
          <w14:ligatures w14:val="none"/>
        </w:rPr>
        <w:t xml:space="preserve">irrational and offended </w:t>
      </w:r>
      <w:r w:rsidR="00D7104A" w:rsidRPr="005E6AD9">
        <w:rPr>
          <w:rFonts w:ascii="Times New Roman" w:eastAsia="Calibri" w:hAnsi="Times New Roman" w:cs="Times New Roman"/>
          <w:kern w:val="0"/>
          <w:sz w:val="28"/>
          <w:szCs w:val="28"/>
          <w14:ligatures w14:val="none"/>
        </w:rPr>
        <w:t>the</w:t>
      </w:r>
      <w:r w:rsidR="004666CA" w:rsidRPr="005E6AD9">
        <w:rPr>
          <w:rFonts w:ascii="Times New Roman" w:eastAsia="Calibri" w:hAnsi="Times New Roman" w:cs="Times New Roman"/>
          <w:kern w:val="0"/>
          <w:sz w:val="28"/>
          <w:szCs w:val="28"/>
          <w14:ligatures w14:val="none"/>
        </w:rPr>
        <w:t xml:space="preserve"> </w:t>
      </w:r>
      <w:r w:rsidR="00D7104A" w:rsidRPr="005E6AD9">
        <w:rPr>
          <w:rFonts w:ascii="Times New Roman" w:eastAsia="Calibri" w:hAnsi="Times New Roman" w:cs="Times New Roman"/>
          <w:kern w:val="0"/>
          <w:sz w:val="28"/>
          <w:szCs w:val="28"/>
          <w14:ligatures w14:val="none"/>
        </w:rPr>
        <w:t>principle</w:t>
      </w:r>
      <w:r w:rsidR="004666CA" w:rsidRPr="005E6AD9">
        <w:rPr>
          <w:rFonts w:ascii="Times New Roman" w:eastAsia="Calibri" w:hAnsi="Times New Roman" w:cs="Times New Roman"/>
          <w:kern w:val="0"/>
          <w:sz w:val="28"/>
          <w:szCs w:val="28"/>
          <w14:ligatures w14:val="none"/>
        </w:rPr>
        <w:t xml:space="preserve"> of legality. Neither the assessments </w:t>
      </w:r>
      <w:r w:rsidR="00D7104A" w:rsidRPr="005E6AD9">
        <w:rPr>
          <w:rFonts w:ascii="Times New Roman" w:eastAsia="Calibri" w:hAnsi="Times New Roman" w:cs="Times New Roman"/>
          <w:kern w:val="0"/>
          <w:sz w:val="28"/>
          <w:szCs w:val="28"/>
          <w14:ligatures w14:val="none"/>
        </w:rPr>
        <w:t>nor</w:t>
      </w:r>
      <w:r w:rsidR="004666CA" w:rsidRPr="005E6AD9">
        <w:rPr>
          <w:rFonts w:ascii="Times New Roman" w:eastAsia="Calibri" w:hAnsi="Times New Roman" w:cs="Times New Roman"/>
          <w:kern w:val="0"/>
          <w:sz w:val="28"/>
          <w:szCs w:val="28"/>
          <w14:ligatures w14:val="none"/>
        </w:rPr>
        <w:t xml:space="preserve"> the s 80 J notices could stand.</w:t>
      </w:r>
    </w:p>
    <w:p w14:paraId="309B08EC" w14:textId="77777777" w:rsidR="00D7104A" w:rsidRPr="005E6AD9" w:rsidRDefault="00D7104A" w:rsidP="00D7104A">
      <w:pPr>
        <w:spacing w:after="0" w:line="360" w:lineRule="auto"/>
        <w:contextualSpacing/>
        <w:jc w:val="both"/>
        <w:rPr>
          <w:rFonts w:ascii="Times New Roman" w:eastAsia="Calibri" w:hAnsi="Times New Roman" w:cs="Times New Roman"/>
          <w:kern w:val="0"/>
          <w:sz w:val="28"/>
          <w:szCs w:val="28"/>
          <w14:ligatures w14:val="none"/>
        </w:rPr>
      </w:pPr>
    </w:p>
    <w:p w14:paraId="46B20C51" w14:textId="5030CFD0" w:rsidR="00310195" w:rsidRPr="005E6AD9" w:rsidRDefault="007A5C1D"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[3</w:t>
      </w:r>
      <w:r w:rsidR="005B1023" w:rsidRPr="005E6AD9">
        <w:rPr>
          <w:rFonts w:ascii="Times New Roman" w:eastAsia="Calibri" w:hAnsi="Times New Roman" w:cs="Times New Roman"/>
          <w:kern w:val="0"/>
          <w:sz w:val="28"/>
          <w:szCs w:val="28"/>
          <w14:ligatures w14:val="none"/>
        </w:rPr>
        <w:t>0</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4666CA" w:rsidRPr="005E6AD9">
        <w:rPr>
          <w:rFonts w:ascii="Times New Roman" w:eastAsia="Calibri" w:hAnsi="Times New Roman" w:cs="Times New Roman"/>
          <w:kern w:val="0"/>
          <w:sz w:val="28"/>
          <w:szCs w:val="28"/>
          <w14:ligatures w14:val="none"/>
        </w:rPr>
        <w:t xml:space="preserve">The high court’s finding that SARS had accepted the facts as stated by Absa and United Towers, and in particular, their assertion that they had no knowledge of the nature and ambit of the scheme or arrangement, is incorrect. </w:t>
      </w:r>
      <w:r w:rsidR="009673DE" w:rsidRPr="005E6AD9">
        <w:rPr>
          <w:rFonts w:ascii="Times New Roman" w:eastAsia="Calibri" w:hAnsi="Times New Roman" w:cs="Times New Roman"/>
          <w:kern w:val="0"/>
          <w:sz w:val="28"/>
          <w:szCs w:val="28"/>
          <w14:ligatures w14:val="none"/>
        </w:rPr>
        <w:t xml:space="preserve"> </w:t>
      </w:r>
      <w:r w:rsidR="00310195" w:rsidRPr="005E6AD9">
        <w:rPr>
          <w:rFonts w:ascii="Times New Roman" w:eastAsia="Calibri" w:hAnsi="Times New Roman" w:cs="Times New Roman"/>
          <w:kern w:val="0"/>
          <w:sz w:val="28"/>
          <w:szCs w:val="28"/>
          <w14:ligatures w14:val="none"/>
        </w:rPr>
        <w:t xml:space="preserve">The </w:t>
      </w:r>
      <w:r w:rsidR="00310195" w:rsidRPr="002C2BDF">
        <w:rPr>
          <w:rFonts w:ascii="Times New Roman" w:hAnsi="Times New Roman"/>
          <w:kern w:val="0"/>
          <w:sz w:val="28"/>
          <w14:ligatures w14:val="none"/>
        </w:rPr>
        <w:t>notices do n</w:t>
      </w:r>
      <w:r w:rsidR="00310195" w:rsidRPr="005E6AD9">
        <w:rPr>
          <w:rFonts w:ascii="Times New Roman" w:eastAsia="Calibri" w:hAnsi="Times New Roman" w:cs="Times New Roman"/>
          <w:kern w:val="0"/>
          <w:sz w:val="28"/>
          <w:szCs w:val="28"/>
          <w14:ligatures w14:val="none"/>
        </w:rPr>
        <w:t xml:space="preserve">ot state that SARS accepts the claim that Absa and United Towers had no knowledge of the full </w:t>
      </w:r>
      <w:r w:rsidR="00D7104A" w:rsidRPr="005E6AD9">
        <w:rPr>
          <w:rFonts w:ascii="Times New Roman" w:eastAsia="Calibri" w:hAnsi="Times New Roman" w:cs="Times New Roman"/>
          <w:kern w:val="0"/>
          <w:sz w:val="28"/>
          <w:szCs w:val="28"/>
          <w14:ligatures w14:val="none"/>
        </w:rPr>
        <w:t>a</w:t>
      </w:r>
      <w:r w:rsidR="00CA35B2" w:rsidRPr="005E6AD9">
        <w:rPr>
          <w:rFonts w:ascii="Times New Roman" w:eastAsia="Calibri" w:hAnsi="Times New Roman" w:cs="Times New Roman"/>
          <w:kern w:val="0"/>
          <w:sz w:val="28"/>
          <w:szCs w:val="28"/>
          <w14:ligatures w14:val="none"/>
        </w:rPr>
        <w:t>mbi</w:t>
      </w:r>
      <w:r w:rsidR="00D7104A" w:rsidRPr="005E6AD9">
        <w:rPr>
          <w:rFonts w:ascii="Times New Roman" w:eastAsia="Calibri" w:hAnsi="Times New Roman" w:cs="Times New Roman"/>
          <w:kern w:val="0"/>
          <w:sz w:val="28"/>
          <w:szCs w:val="28"/>
          <w14:ligatures w14:val="none"/>
        </w:rPr>
        <w:t>t</w:t>
      </w:r>
      <w:r w:rsidR="00310195" w:rsidRPr="005E6AD9">
        <w:rPr>
          <w:rFonts w:ascii="Times New Roman" w:eastAsia="Calibri" w:hAnsi="Times New Roman" w:cs="Times New Roman"/>
          <w:kern w:val="0"/>
          <w:sz w:val="28"/>
          <w:szCs w:val="28"/>
          <w14:ligatures w14:val="none"/>
        </w:rPr>
        <w:t xml:space="preserve"> of the scheme. The notices set out reasons for the belief that the GAAR provisions apply, no more. They are not statements of the accepted factual basis for application of the GAAR provisions. The correspondence relating to the s 80J notices pertinently states that SARS disputes the contentions raised by Absa and United Towers.</w:t>
      </w:r>
      <w:r w:rsidR="008368C9" w:rsidRPr="005E6AD9">
        <w:rPr>
          <w:rFonts w:ascii="Times New Roman" w:eastAsia="Calibri" w:hAnsi="Times New Roman" w:cs="Times New Roman"/>
          <w:kern w:val="0"/>
          <w:sz w:val="28"/>
          <w:szCs w:val="28"/>
          <w14:ligatures w14:val="none"/>
        </w:rPr>
        <w:t xml:space="preserve"> These statements form part of the reasons given by SARS as to why it would not withdraw the s 80J notices</w:t>
      </w:r>
      <w:r w:rsidR="00C0492E" w:rsidRPr="005E6AD9">
        <w:rPr>
          <w:rFonts w:ascii="Times New Roman" w:eastAsia="Calibri" w:hAnsi="Times New Roman" w:cs="Times New Roman"/>
          <w:kern w:val="0"/>
          <w:sz w:val="28"/>
          <w:szCs w:val="28"/>
          <w14:ligatures w14:val="none"/>
        </w:rPr>
        <w:t>.</w:t>
      </w:r>
      <w:r w:rsidR="008368C9" w:rsidRPr="005E6AD9">
        <w:rPr>
          <w:rFonts w:ascii="Times New Roman" w:eastAsia="Calibri" w:hAnsi="Times New Roman" w:cs="Times New Roman"/>
          <w:kern w:val="0"/>
          <w:sz w:val="28"/>
          <w:szCs w:val="28"/>
          <w14:ligatures w14:val="none"/>
        </w:rPr>
        <w:t xml:space="preserve"> </w:t>
      </w:r>
      <w:r w:rsidR="00310195" w:rsidRPr="005E6AD9">
        <w:rPr>
          <w:rFonts w:ascii="Times New Roman" w:eastAsia="Calibri" w:hAnsi="Times New Roman" w:cs="Times New Roman"/>
          <w:kern w:val="0"/>
          <w:sz w:val="28"/>
          <w:szCs w:val="28"/>
          <w14:ligatures w14:val="none"/>
        </w:rPr>
        <w:t>Th</w:t>
      </w:r>
      <w:r w:rsidR="00CA35B2" w:rsidRPr="005E6AD9">
        <w:rPr>
          <w:rFonts w:ascii="Times New Roman" w:eastAsia="Calibri" w:hAnsi="Times New Roman" w:cs="Times New Roman"/>
          <w:kern w:val="0"/>
          <w:sz w:val="28"/>
          <w:szCs w:val="28"/>
          <w14:ligatures w14:val="none"/>
        </w:rPr>
        <w:t>e</w:t>
      </w:r>
      <w:r w:rsidR="00310195" w:rsidRPr="005E6AD9">
        <w:rPr>
          <w:rFonts w:ascii="Times New Roman" w:eastAsia="Calibri" w:hAnsi="Times New Roman" w:cs="Times New Roman"/>
          <w:kern w:val="0"/>
          <w:sz w:val="28"/>
          <w:szCs w:val="28"/>
          <w14:ligatures w14:val="none"/>
        </w:rPr>
        <w:t>se averments are set out in the answering affidavits</w:t>
      </w:r>
      <w:r w:rsidR="008368C9" w:rsidRPr="005E6AD9">
        <w:rPr>
          <w:rFonts w:ascii="Times New Roman" w:eastAsia="Calibri" w:hAnsi="Times New Roman" w:cs="Times New Roman"/>
          <w:kern w:val="0"/>
          <w:sz w:val="28"/>
          <w:szCs w:val="28"/>
          <w14:ligatures w14:val="none"/>
        </w:rPr>
        <w:t xml:space="preserve"> filed in opposition to the s 9 review. These affidavits were filed prior to the </w:t>
      </w:r>
      <w:r w:rsidR="004B3AF4" w:rsidRPr="005E6AD9">
        <w:rPr>
          <w:rFonts w:ascii="Times New Roman" w:eastAsia="Calibri" w:hAnsi="Times New Roman" w:cs="Times New Roman"/>
          <w:kern w:val="0"/>
          <w:sz w:val="28"/>
          <w:szCs w:val="28"/>
          <w14:ligatures w14:val="none"/>
        </w:rPr>
        <w:t>issuing of the notices of assessment which are the subject of the assessment review.</w:t>
      </w:r>
      <w:r w:rsidR="00310195" w:rsidRPr="005E6AD9">
        <w:rPr>
          <w:rFonts w:ascii="Times New Roman" w:eastAsia="Calibri" w:hAnsi="Times New Roman" w:cs="Times New Roman"/>
          <w:kern w:val="0"/>
          <w:sz w:val="28"/>
          <w:szCs w:val="28"/>
          <w14:ligatures w14:val="none"/>
        </w:rPr>
        <w:t xml:space="preserve">  There is accordingly no room for the conclusion that SARS accepted that </w:t>
      </w:r>
      <w:r w:rsidR="00CA35B2" w:rsidRPr="005E6AD9">
        <w:rPr>
          <w:rFonts w:ascii="Times New Roman" w:eastAsia="Calibri" w:hAnsi="Times New Roman" w:cs="Times New Roman"/>
          <w:kern w:val="0"/>
          <w:sz w:val="28"/>
          <w:szCs w:val="28"/>
          <w14:ligatures w14:val="none"/>
        </w:rPr>
        <w:t>Absa and United Towers</w:t>
      </w:r>
      <w:r w:rsidR="00310195" w:rsidRPr="005E6AD9">
        <w:rPr>
          <w:rFonts w:ascii="Times New Roman" w:eastAsia="Calibri" w:hAnsi="Times New Roman" w:cs="Times New Roman"/>
          <w:kern w:val="0"/>
          <w:sz w:val="28"/>
          <w:szCs w:val="28"/>
          <w14:ligatures w14:val="none"/>
        </w:rPr>
        <w:t xml:space="preserve"> were not parties to the avoidance arrangement.</w:t>
      </w:r>
      <w:r w:rsidR="009673DE" w:rsidRPr="005E6AD9">
        <w:rPr>
          <w:rFonts w:ascii="Times New Roman" w:eastAsia="Calibri" w:hAnsi="Times New Roman" w:cs="Times New Roman"/>
          <w:kern w:val="0"/>
          <w:sz w:val="28"/>
          <w:szCs w:val="28"/>
          <w14:ligatures w14:val="none"/>
        </w:rPr>
        <w:t xml:space="preserve"> In the light of this the application of the GAAR provisions was not solely a question of law.</w:t>
      </w:r>
    </w:p>
    <w:p w14:paraId="378F5D50" w14:textId="77777777" w:rsidR="00D7104A" w:rsidRPr="005E6AD9" w:rsidRDefault="00D7104A" w:rsidP="00D7104A">
      <w:pPr>
        <w:spacing w:after="0" w:line="360" w:lineRule="auto"/>
        <w:contextualSpacing/>
        <w:jc w:val="both"/>
        <w:rPr>
          <w:rFonts w:ascii="Times New Roman" w:eastAsia="Calibri" w:hAnsi="Times New Roman" w:cs="Times New Roman"/>
          <w:kern w:val="0"/>
          <w:sz w:val="28"/>
          <w:szCs w:val="28"/>
          <w14:ligatures w14:val="none"/>
        </w:rPr>
      </w:pPr>
    </w:p>
    <w:p w14:paraId="11FB9065" w14:textId="77777777" w:rsidR="00C67436" w:rsidRPr="005E6AD9" w:rsidRDefault="007A5C1D"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lastRenderedPageBreak/>
        <w:t>[3</w:t>
      </w:r>
      <w:r w:rsidR="005B1023" w:rsidRPr="005E6AD9">
        <w:rPr>
          <w:rFonts w:ascii="Times New Roman" w:eastAsia="Calibri" w:hAnsi="Times New Roman" w:cs="Times New Roman"/>
          <w:kern w:val="0"/>
          <w:sz w:val="28"/>
          <w:szCs w:val="28"/>
          <w14:ligatures w14:val="none"/>
        </w:rPr>
        <w:t>1</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C67436" w:rsidRPr="005E6AD9">
        <w:rPr>
          <w:rFonts w:ascii="Times New Roman" w:eastAsia="Calibri" w:hAnsi="Times New Roman" w:cs="Times New Roman"/>
          <w:kern w:val="0"/>
          <w:sz w:val="28"/>
          <w:szCs w:val="28"/>
          <w14:ligatures w14:val="none"/>
        </w:rPr>
        <w:t xml:space="preserve">On the common cause facts </w:t>
      </w:r>
      <w:r w:rsidR="009673DE" w:rsidRPr="005E6AD9">
        <w:rPr>
          <w:rFonts w:ascii="Times New Roman" w:eastAsia="Calibri" w:hAnsi="Times New Roman" w:cs="Times New Roman"/>
          <w:kern w:val="0"/>
          <w:sz w:val="28"/>
          <w:szCs w:val="28"/>
          <w14:ligatures w14:val="none"/>
        </w:rPr>
        <w:t xml:space="preserve">Absa and United Towers </w:t>
      </w:r>
      <w:r w:rsidR="00C67436" w:rsidRPr="005E6AD9">
        <w:rPr>
          <w:rFonts w:ascii="Times New Roman" w:eastAsia="Calibri" w:hAnsi="Times New Roman" w:cs="Times New Roman"/>
          <w:kern w:val="0"/>
          <w:sz w:val="28"/>
          <w:szCs w:val="28"/>
          <w14:ligatures w14:val="none"/>
        </w:rPr>
        <w:t xml:space="preserve">participated in </w:t>
      </w:r>
      <w:r w:rsidR="009673DE" w:rsidRPr="005E6AD9">
        <w:rPr>
          <w:rFonts w:ascii="Times New Roman" w:eastAsia="Calibri" w:hAnsi="Times New Roman" w:cs="Times New Roman"/>
          <w:kern w:val="0"/>
          <w:sz w:val="28"/>
          <w:szCs w:val="28"/>
          <w14:ligatures w14:val="none"/>
        </w:rPr>
        <w:t xml:space="preserve">steps forming part of </w:t>
      </w:r>
      <w:r w:rsidR="00C67436" w:rsidRPr="005E6AD9">
        <w:rPr>
          <w:rFonts w:ascii="Times New Roman" w:eastAsia="Calibri" w:hAnsi="Times New Roman" w:cs="Times New Roman"/>
          <w:kern w:val="0"/>
          <w:sz w:val="28"/>
          <w:szCs w:val="28"/>
          <w14:ligatures w14:val="none"/>
        </w:rPr>
        <w:t>an ‘</w:t>
      </w:r>
      <w:r w:rsidR="00D7104A" w:rsidRPr="005E6AD9">
        <w:rPr>
          <w:rFonts w:ascii="Times New Roman" w:eastAsia="Calibri" w:hAnsi="Times New Roman" w:cs="Times New Roman"/>
          <w:kern w:val="0"/>
          <w:sz w:val="28"/>
          <w:szCs w:val="28"/>
          <w14:ligatures w14:val="none"/>
        </w:rPr>
        <w:t>arrangement</w:t>
      </w:r>
      <w:r w:rsidR="00C67436" w:rsidRPr="005E6AD9">
        <w:rPr>
          <w:rFonts w:ascii="Times New Roman" w:eastAsia="Calibri" w:hAnsi="Times New Roman" w:cs="Times New Roman"/>
          <w:kern w:val="0"/>
          <w:sz w:val="28"/>
          <w:szCs w:val="28"/>
          <w14:ligatures w14:val="none"/>
        </w:rPr>
        <w:t>’</w:t>
      </w:r>
      <w:r w:rsidR="009673DE" w:rsidRPr="005E6AD9">
        <w:rPr>
          <w:rFonts w:ascii="Times New Roman" w:eastAsia="Calibri" w:hAnsi="Times New Roman" w:cs="Times New Roman"/>
          <w:kern w:val="0"/>
          <w:sz w:val="28"/>
          <w:szCs w:val="28"/>
          <w14:ligatures w14:val="none"/>
        </w:rPr>
        <w:t>,</w:t>
      </w:r>
      <w:r w:rsidR="00C67436" w:rsidRPr="005E6AD9">
        <w:rPr>
          <w:rFonts w:ascii="Times New Roman" w:eastAsia="Calibri" w:hAnsi="Times New Roman" w:cs="Times New Roman"/>
          <w:kern w:val="0"/>
          <w:sz w:val="28"/>
          <w:szCs w:val="28"/>
          <w14:ligatures w14:val="none"/>
        </w:rPr>
        <w:t xml:space="preserve"> the full ambit of which was </w:t>
      </w:r>
      <w:r w:rsidR="00D7104A" w:rsidRPr="005E6AD9">
        <w:rPr>
          <w:rFonts w:ascii="Times New Roman" w:eastAsia="Calibri" w:hAnsi="Times New Roman" w:cs="Times New Roman"/>
          <w:kern w:val="0"/>
          <w:sz w:val="28"/>
          <w:szCs w:val="28"/>
          <w14:ligatures w14:val="none"/>
        </w:rPr>
        <w:t>described</w:t>
      </w:r>
      <w:r w:rsidR="00C67436" w:rsidRPr="005E6AD9">
        <w:rPr>
          <w:rFonts w:ascii="Times New Roman" w:eastAsia="Calibri" w:hAnsi="Times New Roman" w:cs="Times New Roman"/>
          <w:kern w:val="0"/>
          <w:sz w:val="28"/>
          <w:szCs w:val="28"/>
          <w14:ligatures w14:val="none"/>
        </w:rPr>
        <w:t xml:space="preserve"> in the </w:t>
      </w:r>
      <w:r w:rsidR="00790E1C" w:rsidRPr="005E6AD9">
        <w:rPr>
          <w:rFonts w:ascii="Times New Roman" w:eastAsia="Calibri" w:hAnsi="Times New Roman" w:cs="Times New Roman"/>
          <w:kern w:val="0"/>
          <w:sz w:val="28"/>
          <w:szCs w:val="28"/>
          <w14:ligatures w14:val="none"/>
        </w:rPr>
        <w:br/>
      </w:r>
      <w:r w:rsidR="00C67436" w:rsidRPr="005E6AD9">
        <w:rPr>
          <w:rFonts w:ascii="Times New Roman" w:eastAsia="Calibri" w:hAnsi="Times New Roman" w:cs="Times New Roman"/>
          <w:kern w:val="0"/>
          <w:sz w:val="28"/>
          <w:szCs w:val="28"/>
          <w14:ligatures w14:val="none"/>
        </w:rPr>
        <w:t>s 80J notices. Whether</w:t>
      </w:r>
      <w:r w:rsidR="00790E1C" w:rsidRPr="005E6AD9">
        <w:rPr>
          <w:rFonts w:ascii="Times New Roman" w:eastAsia="Calibri" w:hAnsi="Times New Roman" w:cs="Times New Roman"/>
          <w:kern w:val="0"/>
          <w:sz w:val="28"/>
          <w:szCs w:val="28"/>
          <w14:ligatures w14:val="none"/>
        </w:rPr>
        <w:t xml:space="preserve"> they</w:t>
      </w:r>
      <w:r w:rsidR="00C67436" w:rsidRPr="005E6AD9">
        <w:rPr>
          <w:rFonts w:ascii="Times New Roman" w:eastAsia="Calibri" w:hAnsi="Times New Roman" w:cs="Times New Roman"/>
          <w:kern w:val="0"/>
          <w:sz w:val="28"/>
          <w:szCs w:val="28"/>
          <w14:ligatures w14:val="none"/>
        </w:rPr>
        <w:t xml:space="preserve"> </w:t>
      </w:r>
      <w:r w:rsidR="007F057F" w:rsidRPr="005E6AD9">
        <w:rPr>
          <w:rFonts w:ascii="Times New Roman" w:eastAsia="Calibri" w:hAnsi="Times New Roman" w:cs="Times New Roman"/>
          <w:kern w:val="0"/>
          <w:sz w:val="28"/>
          <w:szCs w:val="28"/>
          <w14:ligatures w14:val="none"/>
        </w:rPr>
        <w:t>had</w:t>
      </w:r>
      <w:r w:rsidR="00C67436" w:rsidRPr="005E6AD9">
        <w:rPr>
          <w:rFonts w:ascii="Times New Roman" w:eastAsia="Calibri" w:hAnsi="Times New Roman" w:cs="Times New Roman"/>
          <w:kern w:val="0"/>
          <w:sz w:val="28"/>
          <w:szCs w:val="28"/>
          <w14:ligatures w14:val="none"/>
        </w:rPr>
        <w:t xml:space="preserve"> knowledge of </w:t>
      </w:r>
      <w:r w:rsidR="00227A6D" w:rsidRPr="005E6AD9">
        <w:rPr>
          <w:rFonts w:ascii="Times New Roman" w:eastAsia="Calibri" w:hAnsi="Times New Roman" w:cs="Times New Roman"/>
          <w:kern w:val="0"/>
          <w:sz w:val="28"/>
          <w:szCs w:val="28"/>
          <w14:ligatures w14:val="none"/>
        </w:rPr>
        <w:t xml:space="preserve">the full nature of the transactions which comprised the arrangement, and whether their sole or main purpose in participating was to secure a tax benefit, are matters of </w:t>
      </w:r>
      <w:r w:rsidR="00C0492E" w:rsidRPr="002C2BDF">
        <w:rPr>
          <w:rFonts w:ascii="Times New Roman" w:hAnsi="Times New Roman"/>
          <w:kern w:val="0"/>
          <w:sz w:val="28"/>
          <w14:ligatures w14:val="none"/>
        </w:rPr>
        <w:t xml:space="preserve">disputed </w:t>
      </w:r>
      <w:r w:rsidR="00227A6D" w:rsidRPr="002C2BDF">
        <w:rPr>
          <w:rFonts w:ascii="Times New Roman" w:hAnsi="Times New Roman"/>
          <w:kern w:val="0"/>
          <w:sz w:val="28"/>
          <w14:ligatures w14:val="none"/>
        </w:rPr>
        <w:t>fact</w:t>
      </w:r>
      <w:r w:rsidR="007E3B8A" w:rsidRPr="005E6AD9">
        <w:rPr>
          <w:rFonts w:ascii="Times New Roman" w:eastAsia="Calibri" w:hAnsi="Times New Roman" w:cs="Times New Roman"/>
          <w:kern w:val="0"/>
          <w:sz w:val="28"/>
          <w:szCs w:val="28"/>
          <w14:ligatures w14:val="none"/>
        </w:rPr>
        <w:t xml:space="preserve">. </w:t>
      </w:r>
      <w:r w:rsidR="007F057F" w:rsidRPr="005E6AD9">
        <w:rPr>
          <w:rFonts w:ascii="Times New Roman" w:eastAsia="Calibri" w:hAnsi="Times New Roman" w:cs="Times New Roman"/>
          <w:kern w:val="0"/>
          <w:sz w:val="28"/>
          <w:szCs w:val="28"/>
          <w14:ligatures w14:val="none"/>
        </w:rPr>
        <w:t>Whether the ‘arrangement’ constitute</w:t>
      </w:r>
      <w:r w:rsidR="007E3B8A" w:rsidRPr="005E6AD9">
        <w:rPr>
          <w:rFonts w:ascii="Times New Roman" w:eastAsia="Calibri" w:hAnsi="Times New Roman" w:cs="Times New Roman"/>
          <w:kern w:val="0"/>
          <w:sz w:val="28"/>
          <w:szCs w:val="28"/>
          <w14:ligatures w14:val="none"/>
        </w:rPr>
        <w:t>d</w:t>
      </w:r>
      <w:r w:rsidR="007F057F" w:rsidRPr="005E6AD9">
        <w:rPr>
          <w:rFonts w:ascii="Times New Roman" w:eastAsia="Calibri" w:hAnsi="Times New Roman" w:cs="Times New Roman"/>
          <w:kern w:val="0"/>
          <w:sz w:val="28"/>
          <w:szCs w:val="28"/>
          <w14:ligatures w14:val="none"/>
        </w:rPr>
        <w:t xml:space="preserve"> an ‘impermissible avoidance arrangement’ is a factual </w:t>
      </w:r>
      <w:r w:rsidR="007F057F" w:rsidRPr="002C2BDF">
        <w:rPr>
          <w:rFonts w:ascii="Times New Roman" w:hAnsi="Times New Roman"/>
          <w:kern w:val="0"/>
          <w:sz w:val="28"/>
          <w14:ligatures w14:val="none"/>
        </w:rPr>
        <w:t xml:space="preserve">enquiry. </w:t>
      </w:r>
      <w:r w:rsidR="00C67436" w:rsidRPr="002C2BDF">
        <w:rPr>
          <w:rFonts w:ascii="Times New Roman" w:hAnsi="Times New Roman"/>
          <w:kern w:val="0"/>
          <w:sz w:val="28"/>
          <w14:ligatures w14:val="none"/>
        </w:rPr>
        <w:t>The same is</w:t>
      </w:r>
      <w:r w:rsidR="00C67436" w:rsidRPr="005E6AD9">
        <w:rPr>
          <w:rFonts w:ascii="Times New Roman" w:eastAsia="Calibri" w:hAnsi="Times New Roman" w:cs="Times New Roman"/>
          <w:kern w:val="0"/>
          <w:sz w:val="28"/>
          <w:szCs w:val="28"/>
          <w14:ligatures w14:val="none"/>
        </w:rPr>
        <w:t xml:space="preserve"> true in respect of the ‘tax benefit’ requirement. Whether Absa and United Towers obtained a tax benefit </w:t>
      </w:r>
      <w:r w:rsidR="00227A6D" w:rsidRPr="005E6AD9">
        <w:rPr>
          <w:rFonts w:ascii="Times New Roman" w:eastAsia="Calibri" w:hAnsi="Times New Roman" w:cs="Times New Roman"/>
          <w:kern w:val="0"/>
          <w:sz w:val="28"/>
          <w:szCs w:val="28"/>
          <w14:ligatures w14:val="none"/>
        </w:rPr>
        <w:t xml:space="preserve">by avoiding an anticipated tax liability that might otherwise have accrued from the transactions, </w:t>
      </w:r>
      <w:r w:rsidR="00C67436" w:rsidRPr="005E6AD9">
        <w:rPr>
          <w:rFonts w:ascii="Times New Roman" w:eastAsia="Calibri" w:hAnsi="Times New Roman" w:cs="Times New Roman"/>
          <w:kern w:val="0"/>
          <w:sz w:val="28"/>
          <w:szCs w:val="28"/>
          <w14:ligatures w14:val="none"/>
        </w:rPr>
        <w:t xml:space="preserve">is a question of fact. It is not </w:t>
      </w:r>
      <w:r w:rsidR="00D7104A" w:rsidRPr="005E6AD9">
        <w:rPr>
          <w:rFonts w:ascii="Times New Roman" w:eastAsia="Calibri" w:hAnsi="Times New Roman" w:cs="Times New Roman"/>
          <w:kern w:val="0"/>
          <w:sz w:val="28"/>
          <w:szCs w:val="28"/>
          <w14:ligatures w14:val="none"/>
        </w:rPr>
        <w:t>a mere</w:t>
      </w:r>
      <w:r w:rsidR="00C67436" w:rsidRPr="005E6AD9">
        <w:rPr>
          <w:rFonts w:ascii="Times New Roman" w:eastAsia="Calibri" w:hAnsi="Times New Roman" w:cs="Times New Roman"/>
          <w:kern w:val="0"/>
          <w:sz w:val="28"/>
          <w:szCs w:val="28"/>
          <w14:ligatures w14:val="none"/>
        </w:rPr>
        <w:t xml:space="preserve"> question of law, </w:t>
      </w:r>
      <w:r w:rsidR="00D7104A" w:rsidRPr="005E6AD9">
        <w:rPr>
          <w:rFonts w:ascii="Times New Roman" w:eastAsia="Calibri" w:hAnsi="Times New Roman" w:cs="Times New Roman"/>
          <w:kern w:val="0"/>
          <w:sz w:val="28"/>
          <w:szCs w:val="28"/>
          <w14:ligatures w14:val="none"/>
        </w:rPr>
        <w:t>determinable</w:t>
      </w:r>
      <w:r w:rsidR="00C67436" w:rsidRPr="005E6AD9">
        <w:rPr>
          <w:rFonts w:ascii="Times New Roman" w:eastAsia="Calibri" w:hAnsi="Times New Roman" w:cs="Times New Roman"/>
          <w:kern w:val="0"/>
          <w:sz w:val="28"/>
          <w:szCs w:val="28"/>
          <w14:ligatures w14:val="none"/>
        </w:rPr>
        <w:t xml:space="preserve"> upon </w:t>
      </w:r>
      <w:r w:rsidR="00D7104A" w:rsidRPr="005E6AD9">
        <w:rPr>
          <w:rFonts w:ascii="Times New Roman" w:eastAsia="Calibri" w:hAnsi="Times New Roman" w:cs="Times New Roman"/>
          <w:kern w:val="0"/>
          <w:sz w:val="28"/>
          <w:szCs w:val="28"/>
          <w14:ligatures w14:val="none"/>
        </w:rPr>
        <w:t>t</w:t>
      </w:r>
      <w:r w:rsidR="00C67436" w:rsidRPr="005E6AD9">
        <w:rPr>
          <w:rFonts w:ascii="Times New Roman" w:eastAsia="Calibri" w:hAnsi="Times New Roman" w:cs="Times New Roman"/>
          <w:kern w:val="0"/>
          <w:sz w:val="28"/>
          <w:szCs w:val="28"/>
          <w14:ligatures w14:val="none"/>
        </w:rPr>
        <w:t>he basis of the assessment as framed by SARS.</w:t>
      </w:r>
    </w:p>
    <w:p w14:paraId="7ADF2D5B" w14:textId="77777777" w:rsidR="00D7104A" w:rsidRPr="005E6AD9" w:rsidRDefault="00D7104A" w:rsidP="00D7104A">
      <w:pPr>
        <w:spacing w:after="0" w:line="360" w:lineRule="auto"/>
        <w:contextualSpacing/>
        <w:jc w:val="both"/>
        <w:rPr>
          <w:rFonts w:ascii="Times New Roman" w:eastAsia="Calibri" w:hAnsi="Times New Roman" w:cs="Times New Roman"/>
          <w:kern w:val="0"/>
          <w:sz w:val="28"/>
          <w:szCs w:val="28"/>
          <w14:ligatures w14:val="none"/>
        </w:rPr>
      </w:pPr>
    </w:p>
    <w:p w14:paraId="5EDC04E0" w14:textId="7287BE64" w:rsidR="00D7104A" w:rsidRPr="005E6AD9" w:rsidRDefault="007A5C1D"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[3</w:t>
      </w:r>
      <w:r w:rsidR="005B1023" w:rsidRPr="005E6AD9">
        <w:rPr>
          <w:rFonts w:ascii="Times New Roman" w:eastAsia="Calibri" w:hAnsi="Times New Roman" w:cs="Times New Roman"/>
          <w:kern w:val="0"/>
          <w:sz w:val="28"/>
          <w:szCs w:val="28"/>
          <w14:ligatures w14:val="none"/>
        </w:rPr>
        <w:t>2</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9557C0" w:rsidRPr="005E6AD9">
        <w:rPr>
          <w:rFonts w:ascii="Times New Roman" w:eastAsia="Calibri" w:hAnsi="Times New Roman" w:cs="Times New Roman"/>
          <w:kern w:val="0"/>
          <w:sz w:val="28"/>
          <w:szCs w:val="28"/>
          <w14:ligatures w14:val="none"/>
        </w:rPr>
        <w:t xml:space="preserve">In </w:t>
      </w:r>
      <w:r w:rsidR="009557C0" w:rsidRPr="005E6AD9">
        <w:rPr>
          <w:rFonts w:ascii="Times New Roman" w:eastAsia="Calibri" w:hAnsi="Times New Roman" w:cs="Times New Roman"/>
          <w:i/>
          <w:iCs/>
          <w:kern w:val="0"/>
          <w:sz w:val="28"/>
          <w:szCs w:val="28"/>
          <w14:ligatures w14:val="none"/>
        </w:rPr>
        <w:t>CIR v Conhage</w:t>
      </w:r>
      <w:r w:rsidR="009557C0" w:rsidRPr="005E6AD9">
        <w:rPr>
          <w:rFonts w:ascii="Times New Roman" w:eastAsia="Calibri" w:hAnsi="Times New Roman" w:cs="Times New Roman"/>
          <w:kern w:val="0"/>
          <w:sz w:val="28"/>
          <w:szCs w:val="28"/>
          <w14:ligatures w14:val="none"/>
        </w:rPr>
        <w:t xml:space="preserve"> this Court held that the effect, </w:t>
      </w:r>
      <w:r w:rsidR="00D7104A" w:rsidRPr="005E6AD9">
        <w:rPr>
          <w:rFonts w:ascii="Times New Roman" w:eastAsia="Calibri" w:hAnsi="Times New Roman" w:cs="Times New Roman"/>
          <w:kern w:val="0"/>
          <w:sz w:val="28"/>
          <w:szCs w:val="28"/>
          <w14:ligatures w14:val="none"/>
        </w:rPr>
        <w:t>purpose,</w:t>
      </w:r>
      <w:r w:rsidR="00E90CCC" w:rsidRPr="005E6AD9">
        <w:rPr>
          <w:rFonts w:ascii="Times New Roman" w:eastAsia="Calibri" w:hAnsi="Times New Roman" w:cs="Times New Roman"/>
          <w:kern w:val="0"/>
          <w:sz w:val="28"/>
          <w:szCs w:val="28"/>
          <w14:ligatures w14:val="none"/>
        </w:rPr>
        <w:t xml:space="preserve"> and normality of a transaction are essentially questions of fact.</w:t>
      </w:r>
      <w:r w:rsidR="00E90CCC" w:rsidRPr="005E6AD9">
        <w:rPr>
          <w:rStyle w:val="FootnoteReference"/>
          <w:rFonts w:ascii="Times New Roman" w:eastAsia="Calibri" w:hAnsi="Times New Roman" w:cs="Times New Roman"/>
          <w:kern w:val="0"/>
          <w:sz w:val="28"/>
          <w:szCs w:val="28"/>
          <w14:ligatures w14:val="none"/>
        </w:rPr>
        <w:footnoteReference w:id="8"/>
      </w:r>
      <w:r w:rsidR="00E90CCC" w:rsidRPr="005E6AD9">
        <w:rPr>
          <w:rFonts w:ascii="Times New Roman" w:eastAsia="Calibri" w:hAnsi="Times New Roman" w:cs="Times New Roman"/>
          <w:kern w:val="0"/>
          <w:sz w:val="28"/>
          <w:szCs w:val="28"/>
          <w14:ligatures w14:val="none"/>
        </w:rPr>
        <w:t xml:space="preserve"> What </w:t>
      </w:r>
      <w:r w:rsidR="005E6AD9" w:rsidRPr="005E6AD9">
        <w:rPr>
          <w:rFonts w:ascii="Times New Roman" w:eastAsia="Calibri" w:hAnsi="Times New Roman" w:cs="Times New Roman"/>
          <w:kern w:val="0"/>
          <w:sz w:val="28"/>
          <w:szCs w:val="28"/>
          <w14:ligatures w14:val="none"/>
        </w:rPr>
        <w:t>must</w:t>
      </w:r>
      <w:r w:rsidR="00E90CCC" w:rsidRPr="005E6AD9">
        <w:rPr>
          <w:rFonts w:ascii="Times New Roman" w:eastAsia="Calibri" w:hAnsi="Times New Roman" w:cs="Times New Roman"/>
          <w:kern w:val="0"/>
          <w:sz w:val="28"/>
          <w:szCs w:val="28"/>
          <w14:ligatures w14:val="none"/>
        </w:rPr>
        <w:t xml:space="preserve"> be determined in every case </w:t>
      </w:r>
      <w:r w:rsidR="00CA35B2" w:rsidRPr="005E6AD9">
        <w:rPr>
          <w:rFonts w:ascii="Times New Roman" w:eastAsia="Calibri" w:hAnsi="Times New Roman" w:cs="Times New Roman"/>
          <w:kern w:val="0"/>
          <w:sz w:val="28"/>
          <w:szCs w:val="28"/>
          <w14:ligatures w14:val="none"/>
        </w:rPr>
        <w:t>i</w:t>
      </w:r>
      <w:r w:rsidR="00E90CCC" w:rsidRPr="005E6AD9">
        <w:rPr>
          <w:rFonts w:ascii="Times New Roman" w:eastAsia="Calibri" w:hAnsi="Times New Roman" w:cs="Times New Roman"/>
          <w:kern w:val="0"/>
          <w:sz w:val="28"/>
          <w:szCs w:val="28"/>
          <w14:ligatures w14:val="none"/>
        </w:rPr>
        <w:t>s the subjective purpose of the taxpayer.</w:t>
      </w:r>
      <w:r w:rsidR="00E90CCC" w:rsidRPr="005E6AD9">
        <w:rPr>
          <w:rStyle w:val="FootnoteReference"/>
          <w:rFonts w:ascii="Times New Roman" w:eastAsia="Calibri" w:hAnsi="Times New Roman" w:cs="Times New Roman"/>
          <w:kern w:val="0"/>
          <w:sz w:val="28"/>
          <w:szCs w:val="28"/>
          <w14:ligatures w14:val="none"/>
        </w:rPr>
        <w:footnoteReference w:id="9"/>
      </w:r>
      <w:r w:rsidR="00E90CCC" w:rsidRPr="005E6AD9">
        <w:rPr>
          <w:rFonts w:ascii="Times New Roman" w:eastAsia="Calibri" w:hAnsi="Times New Roman" w:cs="Times New Roman"/>
          <w:kern w:val="0"/>
          <w:sz w:val="28"/>
          <w:szCs w:val="28"/>
          <w14:ligatures w14:val="none"/>
        </w:rPr>
        <w:t xml:space="preserve"> In that matter the court was dealing with s 103</w:t>
      </w:r>
      <w:r w:rsidR="00227A6D" w:rsidRPr="005E6AD9">
        <w:rPr>
          <w:rFonts w:ascii="Times New Roman" w:eastAsia="Calibri" w:hAnsi="Times New Roman" w:cs="Times New Roman"/>
          <w:kern w:val="0"/>
          <w:sz w:val="28"/>
          <w:szCs w:val="28"/>
          <w14:ligatures w14:val="none"/>
        </w:rPr>
        <w:t>(1)</w:t>
      </w:r>
      <w:r w:rsidR="00E90CCC" w:rsidRPr="005E6AD9">
        <w:rPr>
          <w:rFonts w:ascii="Times New Roman" w:eastAsia="Calibri" w:hAnsi="Times New Roman" w:cs="Times New Roman"/>
          <w:kern w:val="0"/>
          <w:sz w:val="28"/>
          <w:szCs w:val="28"/>
          <w14:ligatures w14:val="none"/>
        </w:rPr>
        <w:t xml:space="preserve"> of the ITA which contained an anti-</w:t>
      </w:r>
      <w:r w:rsidR="003C5E70" w:rsidRPr="005E6AD9">
        <w:rPr>
          <w:rFonts w:ascii="Times New Roman" w:eastAsia="Calibri" w:hAnsi="Times New Roman" w:cs="Times New Roman"/>
          <w:kern w:val="0"/>
          <w:sz w:val="28"/>
          <w:szCs w:val="28"/>
          <w14:ligatures w14:val="none"/>
        </w:rPr>
        <w:t>a</w:t>
      </w:r>
      <w:r w:rsidR="00D7104A" w:rsidRPr="005E6AD9">
        <w:rPr>
          <w:rFonts w:ascii="Times New Roman" w:eastAsia="Calibri" w:hAnsi="Times New Roman" w:cs="Times New Roman"/>
          <w:kern w:val="0"/>
          <w:sz w:val="28"/>
          <w:szCs w:val="28"/>
          <w14:ligatures w14:val="none"/>
        </w:rPr>
        <w:t>voidance</w:t>
      </w:r>
      <w:r w:rsidR="00E90CCC" w:rsidRPr="005E6AD9">
        <w:rPr>
          <w:rFonts w:ascii="Times New Roman" w:eastAsia="Calibri" w:hAnsi="Times New Roman" w:cs="Times New Roman"/>
          <w:kern w:val="0"/>
          <w:sz w:val="28"/>
          <w:szCs w:val="28"/>
          <w14:ligatures w14:val="none"/>
        </w:rPr>
        <w:t xml:space="preserve"> provision pre</w:t>
      </w:r>
      <w:r w:rsidR="00CA35B2" w:rsidRPr="005E6AD9">
        <w:rPr>
          <w:rFonts w:ascii="Times New Roman" w:eastAsia="Calibri" w:hAnsi="Times New Roman" w:cs="Times New Roman"/>
          <w:kern w:val="0"/>
          <w:sz w:val="28"/>
          <w:szCs w:val="28"/>
          <w14:ligatures w14:val="none"/>
        </w:rPr>
        <w:t>-</w:t>
      </w:r>
      <w:r w:rsidR="00E90CCC" w:rsidRPr="005E6AD9">
        <w:rPr>
          <w:rFonts w:ascii="Times New Roman" w:eastAsia="Calibri" w:hAnsi="Times New Roman" w:cs="Times New Roman"/>
          <w:kern w:val="0"/>
          <w:sz w:val="28"/>
          <w:szCs w:val="28"/>
          <w14:ligatures w14:val="none"/>
        </w:rPr>
        <w:t xml:space="preserve">dating the comprehensive GAAR provisions now set out in the ITA. Nevertheless, similar considerations relating to </w:t>
      </w:r>
      <w:r w:rsidR="007F057F" w:rsidRPr="005E6AD9">
        <w:rPr>
          <w:rFonts w:ascii="Times New Roman" w:eastAsia="Calibri" w:hAnsi="Times New Roman" w:cs="Times New Roman"/>
          <w:kern w:val="0"/>
          <w:sz w:val="28"/>
          <w:szCs w:val="28"/>
          <w14:ligatures w14:val="none"/>
        </w:rPr>
        <w:t xml:space="preserve">the </w:t>
      </w:r>
      <w:r w:rsidR="00E90CCC" w:rsidRPr="005E6AD9">
        <w:rPr>
          <w:rFonts w:ascii="Times New Roman" w:eastAsia="Calibri" w:hAnsi="Times New Roman" w:cs="Times New Roman"/>
          <w:kern w:val="0"/>
          <w:sz w:val="28"/>
          <w:szCs w:val="28"/>
          <w14:ligatures w14:val="none"/>
        </w:rPr>
        <w:t>determination of the purpose</w:t>
      </w:r>
      <w:r w:rsidR="007F057F" w:rsidRPr="005E6AD9">
        <w:rPr>
          <w:rFonts w:ascii="Times New Roman" w:eastAsia="Calibri" w:hAnsi="Times New Roman" w:cs="Times New Roman"/>
          <w:kern w:val="0"/>
          <w:sz w:val="28"/>
          <w:szCs w:val="28"/>
          <w14:ligatures w14:val="none"/>
        </w:rPr>
        <w:t xml:space="preserve"> and effect</w:t>
      </w:r>
      <w:r w:rsidR="00E90CCC" w:rsidRPr="005E6AD9">
        <w:rPr>
          <w:rFonts w:ascii="Times New Roman" w:eastAsia="Calibri" w:hAnsi="Times New Roman" w:cs="Times New Roman"/>
          <w:kern w:val="0"/>
          <w:sz w:val="28"/>
          <w:szCs w:val="28"/>
          <w14:ligatures w14:val="none"/>
        </w:rPr>
        <w:t xml:space="preserve"> of the transaction or arrangement applied. </w:t>
      </w:r>
    </w:p>
    <w:p w14:paraId="39B3F94A" w14:textId="77777777" w:rsidR="007F057F" w:rsidRPr="005E6AD9" w:rsidRDefault="007F057F" w:rsidP="007F057F">
      <w:pPr>
        <w:pStyle w:val="ListParagraph"/>
        <w:rPr>
          <w:rFonts w:ascii="Times New Roman" w:eastAsia="Calibri" w:hAnsi="Times New Roman" w:cs="Times New Roman"/>
          <w:kern w:val="0"/>
          <w:sz w:val="28"/>
          <w:szCs w:val="28"/>
          <w14:ligatures w14:val="none"/>
        </w:rPr>
      </w:pPr>
    </w:p>
    <w:p w14:paraId="486F65A6" w14:textId="77777777" w:rsidR="004C601A" w:rsidRPr="005E6AD9" w:rsidRDefault="007A5C1D"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[3</w:t>
      </w:r>
      <w:r w:rsidR="005B1023" w:rsidRPr="005E6AD9">
        <w:rPr>
          <w:rFonts w:ascii="Times New Roman" w:eastAsia="Calibri" w:hAnsi="Times New Roman" w:cs="Times New Roman"/>
          <w:kern w:val="0"/>
          <w:sz w:val="28"/>
          <w:szCs w:val="28"/>
          <w14:ligatures w14:val="none"/>
        </w:rPr>
        <w:t>3</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3659AB" w:rsidRPr="005E6AD9">
        <w:rPr>
          <w:rFonts w:ascii="Times New Roman" w:eastAsia="Calibri" w:hAnsi="Times New Roman" w:cs="Times New Roman"/>
          <w:kern w:val="0"/>
          <w:sz w:val="28"/>
          <w:szCs w:val="28"/>
          <w14:ligatures w14:val="none"/>
        </w:rPr>
        <w:t>The high court predicated its finding that it had jurisdiction to review</w:t>
      </w:r>
      <w:r w:rsidR="00CA35B2" w:rsidRPr="005E6AD9">
        <w:rPr>
          <w:rFonts w:ascii="Times New Roman" w:eastAsia="Calibri" w:hAnsi="Times New Roman" w:cs="Times New Roman"/>
          <w:kern w:val="0"/>
          <w:sz w:val="28"/>
          <w:szCs w:val="28"/>
          <w14:ligatures w14:val="none"/>
        </w:rPr>
        <w:t xml:space="preserve"> the assessments</w:t>
      </w:r>
      <w:r w:rsidR="003659AB" w:rsidRPr="005E6AD9">
        <w:rPr>
          <w:rFonts w:ascii="Times New Roman" w:eastAsia="Calibri" w:hAnsi="Times New Roman" w:cs="Times New Roman"/>
          <w:kern w:val="0"/>
          <w:sz w:val="28"/>
          <w:szCs w:val="28"/>
          <w14:ligatures w14:val="none"/>
        </w:rPr>
        <w:t xml:space="preserve"> on the basis that </w:t>
      </w:r>
      <w:r w:rsidR="007E3B8A" w:rsidRPr="002C2BDF">
        <w:rPr>
          <w:rFonts w:ascii="Times New Roman" w:hAnsi="Times New Roman"/>
          <w:kern w:val="0"/>
          <w:sz w:val="28"/>
          <w14:ligatures w14:val="none"/>
        </w:rPr>
        <w:t>the challenge to the assessments</w:t>
      </w:r>
      <w:r w:rsidR="003659AB" w:rsidRPr="005E6AD9">
        <w:rPr>
          <w:rFonts w:ascii="Times New Roman" w:eastAsia="Calibri" w:hAnsi="Times New Roman" w:cs="Times New Roman"/>
          <w:kern w:val="0"/>
          <w:sz w:val="28"/>
          <w:szCs w:val="28"/>
          <w14:ligatures w14:val="none"/>
        </w:rPr>
        <w:t xml:space="preserve"> involved solely a question of law. That, as I have indicated, was incorrect. Since the dispute did not involve solely a question of law, no exceptional circumstances </w:t>
      </w:r>
      <w:r w:rsidR="00D7104A" w:rsidRPr="005E6AD9">
        <w:rPr>
          <w:rFonts w:ascii="Times New Roman" w:eastAsia="Calibri" w:hAnsi="Times New Roman" w:cs="Times New Roman"/>
          <w:kern w:val="0"/>
          <w:sz w:val="28"/>
          <w:szCs w:val="28"/>
          <w14:ligatures w14:val="none"/>
        </w:rPr>
        <w:t>existed</w:t>
      </w:r>
      <w:r w:rsidR="003659AB" w:rsidRPr="005E6AD9">
        <w:rPr>
          <w:rFonts w:ascii="Times New Roman" w:eastAsia="Calibri" w:hAnsi="Times New Roman" w:cs="Times New Roman"/>
          <w:kern w:val="0"/>
          <w:sz w:val="28"/>
          <w:szCs w:val="28"/>
          <w14:ligatures w14:val="none"/>
        </w:rPr>
        <w:t xml:space="preserve"> to justify the high court assuming jurisdiction in the matter. It </w:t>
      </w:r>
      <w:r w:rsidR="00D7104A" w:rsidRPr="005E6AD9">
        <w:rPr>
          <w:rFonts w:ascii="Times New Roman" w:eastAsia="Calibri" w:hAnsi="Times New Roman" w:cs="Times New Roman"/>
          <w:kern w:val="0"/>
          <w:sz w:val="28"/>
          <w:szCs w:val="28"/>
          <w14:ligatures w14:val="none"/>
        </w:rPr>
        <w:t>follows</w:t>
      </w:r>
      <w:r w:rsidR="003659AB" w:rsidRPr="005E6AD9">
        <w:rPr>
          <w:rFonts w:ascii="Times New Roman" w:eastAsia="Calibri" w:hAnsi="Times New Roman" w:cs="Times New Roman"/>
          <w:kern w:val="0"/>
          <w:sz w:val="28"/>
          <w:szCs w:val="28"/>
          <w14:ligatures w14:val="none"/>
        </w:rPr>
        <w:t xml:space="preserve"> that in relation to the </w:t>
      </w:r>
      <w:r w:rsidR="003659AB" w:rsidRPr="005E6AD9">
        <w:rPr>
          <w:rFonts w:ascii="Times New Roman" w:eastAsia="Calibri" w:hAnsi="Times New Roman" w:cs="Times New Roman"/>
          <w:kern w:val="0"/>
          <w:sz w:val="28"/>
          <w:szCs w:val="28"/>
          <w14:ligatures w14:val="none"/>
        </w:rPr>
        <w:lastRenderedPageBreak/>
        <w:t>assessment review, it did not have the required jurisdiction to deal with the matter. The high court ought therefore to have dismissed the application.</w:t>
      </w:r>
    </w:p>
    <w:p w14:paraId="749B5C01" w14:textId="77777777" w:rsidR="0077105C" w:rsidRPr="005E6AD9" w:rsidRDefault="0077105C" w:rsidP="0077105C">
      <w:pPr>
        <w:spacing w:after="0" w:line="360" w:lineRule="auto"/>
        <w:contextualSpacing/>
        <w:jc w:val="both"/>
        <w:rPr>
          <w:rFonts w:ascii="Times New Roman" w:eastAsia="Calibri" w:hAnsi="Times New Roman" w:cs="Times New Roman"/>
          <w:kern w:val="0"/>
          <w:sz w:val="28"/>
          <w:szCs w:val="28"/>
          <w14:ligatures w14:val="none"/>
        </w:rPr>
      </w:pPr>
    </w:p>
    <w:p w14:paraId="0725963E" w14:textId="77777777" w:rsidR="003659AB" w:rsidRPr="005E6AD9" w:rsidRDefault="007A5C1D"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[3</w:t>
      </w:r>
      <w:r w:rsidR="005B1023" w:rsidRPr="005E6AD9">
        <w:rPr>
          <w:rFonts w:ascii="Times New Roman" w:eastAsia="Calibri" w:hAnsi="Times New Roman" w:cs="Times New Roman"/>
          <w:kern w:val="0"/>
          <w:sz w:val="28"/>
          <w:szCs w:val="28"/>
          <w14:ligatures w14:val="none"/>
        </w:rPr>
        <w:t>4</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3659AB" w:rsidRPr="005E6AD9">
        <w:rPr>
          <w:rFonts w:ascii="Times New Roman" w:eastAsia="Calibri" w:hAnsi="Times New Roman" w:cs="Times New Roman"/>
          <w:kern w:val="0"/>
          <w:sz w:val="28"/>
          <w:szCs w:val="28"/>
          <w14:ligatures w14:val="none"/>
        </w:rPr>
        <w:t xml:space="preserve">In the </w:t>
      </w:r>
      <w:r w:rsidR="00D7104A" w:rsidRPr="005E6AD9">
        <w:rPr>
          <w:rFonts w:ascii="Times New Roman" w:eastAsia="Calibri" w:hAnsi="Times New Roman" w:cs="Times New Roman"/>
          <w:kern w:val="0"/>
          <w:sz w:val="28"/>
          <w:szCs w:val="28"/>
          <w14:ligatures w14:val="none"/>
        </w:rPr>
        <w:t>circumstances</w:t>
      </w:r>
      <w:r w:rsidR="003659AB" w:rsidRPr="005E6AD9">
        <w:rPr>
          <w:rFonts w:ascii="Times New Roman" w:eastAsia="Calibri" w:hAnsi="Times New Roman" w:cs="Times New Roman"/>
          <w:kern w:val="0"/>
          <w:sz w:val="28"/>
          <w:szCs w:val="28"/>
          <w14:ligatures w14:val="none"/>
        </w:rPr>
        <w:t xml:space="preserve">, the orders granted by the high court cannot stand. The merits of any challenge to the notices of assessment must be adjudicated in accordance with the dispute resolution process provided by </w:t>
      </w:r>
      <w:r w:rsidR="00C66575" w:rsidRPr="005E6AD9">
        <w:rPr>
          <w:rFonts w:ascii="Times New Roman" w:eastAsia="Calibri" w:hAnsi="Times New Roman" w:cs="Times New Roman"/>
          <w:kern w:val="0"/>
          <w:sz w:val="28"/>
          <w:szCs w:val="28"/>
          <w14:ligatures w14:val="none"/>
        </w:rPr>
        <w:t xml:space="preserve">s 104 of </w:t>
      </w:r>
      <w:r w:rsidR="003659AB" w:rsidRPr="005E6AD9">
        <w:rPr>
          <w:rFonts w:ascii="Times New Roman" w:eastAsia="Calibri" w:hAnsi="Times New Roman" w:cs="Times New Roman"/>
          <w:kern w:val="0"/>
          <w:sz w:val="28"/>
          <w:szCs w:val="28"/>
          <w14:ligatures w14:val="none"/>
        </w:rPr>
        <w:t>the TAA</w:t>
      </w:r>
      <w:r w:rsidR="00D7104A" w:rsidRPr="005E6AD9">
        <w:rPr>
          <w:rFonts w:ascii="Times New Roman" w:eastAsia="Calibri" w:hAnsi="Times New Roman" w:cs="Times New Roman"/>
          <w:kern w:val="0"/>
          <w:sz w:val="28"/>
          <w:szCs w:val="28"/>
          <w14:ligatures w14:val="none"/>
        </w:rPr>
        <w:t>.</w:t>
      </w:r>
      <w:r w:rsidR="007F057F" w:rsidRPr="005E6AD9">
        <w:rPr>
          <w:rFonts w:ascii="Times New Roman" w:eastAsia="Calibri" w:hAnsi="Times New Roman" w:cs="Times New Roman"/>
          <w:kern w:val="0"/>
          <w:sz w:val="28"/>
          <w:szCs w:val="28"/>
          <w14:ligatures w14:val="none"/>
        </w:rPr>
        <w:t xml:space="preserve"> The appellant sought the costs of three counsel. Such order will only be made in rare circumstances. This, however, is not such a matter. The employment of two counsel was warranted.</w:t>
      </w:r>
    </w:p>
    <w:p w14:paraId="48017003" w14:textId="77777777" w:rsidR="00D7104A" w:rsidRPr="005E6AD9" w:rsidRDefault="00D7104A" w:rsidP="00D7104A">
      <w:pPr>
        <w:spacing w:after="0" w:line="360" w:lineRule="auto"/>
        <w:contextualSpacing/>
        <w:jc w:val="both"/>
        <w:rPr>
          <w:rFonts w:ascii="Times New Roman" w:eastAsia="Calibri" w:hAnsi="Times New Roman" w:cs="Times New Roman"/>
          <w:kern w:val="0"/>
          <w:sz w:val="28"/>
          <w:szCs w:val="28"/>
          <w14:ligatures w14:val="none"/>
        </w:rPr>
      </w:pPr>
    </w:p>
    <w:p w14:paraId="7A32F25C" w14:textId="77777777" w:rsidR="003659AB" w:rsidRPr="005E6AD9" w:rsidRDefault="007A5C1D" w:rsidP="0077105C">
      <w:pPr>
        <w:spacing w:after="0" w:line="360" w:lineRule="auto"/>
        <w:contextualSpacing/>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w:t>
      </w:r>
      <w:r w:rsidR="007E3B8A" w:rsidRPr="005E6AD9">
        <w:rPr>
          <w:rFonts w:ascii="Times New Roman" w:eastAsia="Calibri" w:hAnsi="Times New Roman" w:cs="Times New Roman"/>
          <w:kern w:val="0"/>
          <w:sz w:val="28"/>
          <w:szCs w:val="28"/>
          <w14:ligatures w14:val="none"/>
        </w:rPr>
        <w:t>3</w:t>
      </w:r>
      <w:r w:rsidR="005B1023" w:rsidRPr="005E6AD9">
        <w:rPr>
          <w:rFonts w:ascii="Times New Roman" w:eastAsia="Calibri" w:hAnsi="Times New Roman" w:cs="Times New Roman"/>
          <w:kern w:val="0"/>
          <w:sz w:val="28"/>
          <w:szCs w:val="28"/>
          <w14:ligatures w14:val="none"/>
        </w:rPr>
        <w:t>5</w:t>
      </w:r>
      <w:r w:rsidRPr="005E6AD9">
        <w:rPr>
          <w:rFonts w:ascii="Times New Roman" w:eastAsia="Calibri" w:hAnsi="Times New Roman" w:cs="Times New Roman"/>
          <w:kern w:val="0"/>
          <w:sz w:val="28"/>
          <w:szCs w:val="28"/>
          <w14:ligatures w14:val="none"/>
        </w:rPr>
        <w:t>]</w:t>
      </w:r>
      <w:r w:rsidRPr="005E6AD9">
        <w:rPr>
          <w:rFonts w:ascii="Times New Roman" w:eastAsia="Calibri" w:hAnsi="Times New Roman" w:cs="Times New Roman"/>
          <w:kern w:val="0"/>
          <w:sz w:val="28"/>
          <w:szCs w:val="28"/>
          <w14:ligatures w14:val="none"/>
        </w:rPr>
        <w:tab/>
      </w:r>
      <w:r w:rsidR="003659AB" w:rsidRPr="005E6AD9">
        <w:rPr>
          <w:rFonts w:ascii="Times New Roman" w:eastAsia="Calibri" w:hAnsi="Times New Roman" w:cs="Times New Roman"/>
          <w:kern w:val="0"/>
          <w:sz w:val="28"/>
          <w:szCs w:val="28"/>
          <w14:ligatures w14:val="none"/>
        </w:rPr>
        <w:t xml:space="preserve">I </w:t>
      </w:r>
      <w:r w:rsidR="00B3524A" w:rsidRPr="005E6AD9">
        <w:rPr>
          <w:rFonts w:ascii="Times New Roman" w:eastAsia="Calibri" w:hAnsi="Times New Roman" w:cs="Times New Roman"/>
          <w:kern w:val="0"/>
          <w:sz w:val="28"/>
          <w:szCs w:val="28"/>
          <w14:ligatures w14:val="none"/>
        </w:rPr>
        <w:t>make the following order:</w:t>
      </w:r>
    </w:p>
    <w:p w14:paraId="0F88BA5F" w14:textId="77777777" w:rsidR="00B3524A" w:rsidRPr="005E6AD9" w:rsidRDefault="00DB0BA1" w:rsidP="00DB0BA1">
      <w:pPr>
        <w:spacing w:after="0" w:line="360" w:lineRule="auto"/>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1</w:t>
      </w:r>
      <w:r w:rsidR="005B1023" w:rsidRPr="005E6AD9">
        <w:rPr>
          <w:rFonts w:ascii="Times New Roman" w:eastAsia="Calibri" w:hAnsi="Times New Roman" w:cs="Times New Roman"/>
          <w:kern w:val="0"/>
          <w:sz w:val="28"/>
          <w:szCs w:val="28"/>
          <w14:ligatures w14:val="none"/>
        </w:rPr>
        <w:t xml:space="preserve"> </w:t>
      </w:r>
      <w:r w:rsidR="00B3524A" w:rsidRPr="005E6AD9">
        <w:rPr>
          <w:rFonts w:ascii="Times New Roman" w:eastAsia="Calibri" w:hAnsi="Times New Roman" w:cs="Times New Roman"/>
          <w:kern w:val="0"/>
          <w:sz w:val="28"/>
          <w:szCs w:val="28"/>
          <w14:ligatures w14:val="none"/>
        </w:rPr>
        <w:t xml:space="preserve">The appeal is upheld with costs, </w:t>
      </w:r>
      <w:r w:rsidR="005B1023" w:rsidRPr="002C2BDF">
        <w:rPr>
          <w:rFonts w:ascii="Times New Roman" w:hAnsi="Times New Roman"/>
          <w:kern w:val="0"/>
          <w:sz w:val="28"/>
          <w14:ligatures w14:val="none"/>
        </w:rPr>
        <w:t>including</w:t>
      </w:r>
      <w:r w:rsidR="00B3524A" w:rsidRPr="002C2BDF">
        <w:rPr>
          <w:rFonts w:ascii="Times New Roman" w:hAnsi="Times New Roman"/>
          <w:kern w:val="0"/>
          <w:sz w:val="28"/>
          <w14:ligatures w14:val="none"/>
        </w:rPr>
        <w:t xml:space="preserve"> th</w:t>
      </w:r>
      <w:r w:rsidR="00B3524A" w:rsidRPr="005E6AD9">
        <w:rPr>
          <w:rFonts w:ascii="Times New Roman" w:eastAsia="Calibri" w:hAnsi="Times New Roman" w:cs="Times New Roman"/>
          <w:kern w:val="0"/>
          <w:sz w:val="28"/>
          <w:szCs w:val="28"/>
          <w14:ligatures w14:val="none"/>
        </w:rPr>
        <w:t>e costs of two counsel.</w:t>
      </w:r>
    </w:p>
    <w:p w14:paraId="0B62873C" w14:textId="28583259" w:rsidR="00B3524A" w:rsidRPr="005E6AD9" w:rsidRDefault="00DB0BA1" w:rsidP="00DB0BA1">
      <w:pPr>
        <w:spacing w:after="0" w:line="360" w:lineRule="auto"/>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2</w:t>
      </w:r>
      <w:r w:rsidR="005B1023" w:rsidRPr="005E6AD9">
        <w:rPr>
          <w:rFonts w:ascii="Times New Roman" w:eastAsia="Calibri" w:hAnsi="Times New Roman" w:cs="Times New Roman"/>
          <w:kern w:val="0"/>
          <w:sz w:val="28"/>
          <w:szCs w:val="28"/>
          <w14:ligatures w14:val="none"/>
        </w:rPr>
        <w:t xml:space="preserve"> </w:t>
      </w:r>
      <w:r w:rsidR="00B3524A" w:rsidRPr="005E6AD9">
        <w:rPr>
          <w:rFonts w:ascii="Times New Roman" w:eastAsia="Calibri" w:hAnsi="Times New Roman" w:cs="Times New Roman"/>
          <w:kern w:val="0"/>
          <w:sz w:val="28"/>
          <w:szCs w:val="28"/>
          <w14:ligatures w14:val="none"/>
        </w:rPr>
        <w:t>The orders of the high</w:t>
      </w:r>
      <w:r w:rsidR="00ED6C72">
        <w:rPr>
          <w:rFonts w:ascii="Times New Roman" w:eastAsia="Calibri" w:hAnsi="Times New Roman" w:cs="Times New Roman"/>
          <w:kern w:val="0"/>
          <w:sz w:val="28"/>
          <w:szCs w:val="28"/>
          <w14:ligatures w14:val="none"/>
        </w:rPr>
        <w:t xml:space="preserve"> court</w:t>
      </w:r>
      <w:r w:rsidR="00B3524A" w:rsidRPr="005E6AD9">
        <w:rPr>
          <w:rFonts w:ascii="Times New Roman" w:eastAsia="Calibri" w:hAnsi="Times New Roman" w:cs="Times New Roman"/>
          <w:kern w:val="0"/>
          <w:sz w:val="28"/>
          <w:szCs w:val="28"/>
          <w14:ligatures w14:val="none"/>
        </w:rPr>
        <w:t xml:space="preserve"> are set aside and </w:t>
      </w:r>
      <w:r w:rsidR="00D7104A" w:rsidRPr="005E6AD9">
        <w:rPr>
          <w:rFonts w:ascii="Times New Roman" w:eastAsia="Calibri" w:hAnsi="Times New Roman" w:cs="Times New Roman"/>
          <w:kern w:val="0"/>
          <w:sz w:val="28"/>
          <w:szCs w:val="28"/>
          <w14:ligatures w14:val="none"/>
        </w:rPr>
        <w:t>substituted</w:t>
      </w:r>
      <w:r w:rsidR="00B3524A" w:rsidRPr="005E6AD9">
        <w:rPr>
          <w:rFonts w:ascii="Times New Roman" w:eastAsia="Calibri" w:hAnsi="Times New Roman" w:cs="Times New Roman"/>
          <w:kern w:val="0"/>
          <w:sz w:val="28"/>
          <w:szCs w:val="28"/>
          <w14:ligatures w14:val="none"/>
        </w:rPr>
        <w:t xml:space="preserve"> </w:t>
      </w:r>
      <w:r w:rsidR="00D7104A" w:rsidRPr="005E6AD9">
        <w:rPr>
          <w:rFonts w:ascii="Times New Roman" w:eastAsia="Calibri" w:hAnsi="Times New Roman" w:cs="Times New Roman"/>
          <w:kern w:val="0"/>
          <w:sz w:val="28"/>
          <w:szCs w:val="28"/>
          <w14:ligatures w14:val="none"/>
        </w:rPr>
        <w:t>with</w:t>
      </w:r>
      <w:r w:rsidR="00B3524A" w:rsidRPr="005E6AD9">
        <w:rPr>
          <w:rFonts w:ascii="Times New Roman" w:eastAsia="Calibri" w:hAnsi="Times New Roman" w:cs="Times New Roman"/>
          <w:kern w:val="0"/>
          <w:sz w:val="28"/>
          <w:szCs w:val="28"/>
          <w14:ligatures w14:val="none"/>
        </w:rPr>
        <w:t xml:space="preserve"> the following order:</w:t>
      </w:r>
    </w:p>
    <w:p w14:paraId="5DEACF87" w14:textId="77777777" w:rsidR="00B3524A" w:rsidRPr="005E6AD9" w:rsidRDefault="00B3524A" w:rsidP="00DB0BA1">
      <w:pPr>
        <w:spacing w:after="0" w:line="360" w:lineRule="auto"/>
        <w:jc w:val="both"/>
        <w:rPr>
          <w:rFonts w:ascii="Times New Roman" w:eastAsia="Calibri" w:hAnsi="Times New Roman" w:cs="Times New Roman"/>
          <w:kern w:val="0"/>
          <w:sz w:val="28"/>
          <w:szCs w:val="28"/>
          <w14:ligatures w14:val="none"/>
        </w:rPr>
      </w:pPr>
      <w:r w:rsidRPr="005E6AD9">
        <w:rPr>
          <w:rFonts w:ascii="Times New Roman" w:eastAsia="Calibri" w:hAnsi="Times New Roman" w:cs="Times New Roman"/>
          <w:kern w:val="0"/>
          <w:sz w:val="28"/>
          <w:szCs w:val="28"/>
          <w14:ligatures w14:val="none"/>
        </w:rPr>
        <w:t xml:space="preserve">‘The application is dismissed with costs, </w:t>
      </w:r>
      <w:r w:rsidR="005B1023" w:rsidRPr="002C2BDF">
        <w:rPr>
          <w:rFonts w:ascii="Times New Roman" w:hAnsi="Times New Roman"/>
          <w:kern w:val="0"/>
          <w:sz w:val="28"/>
          <w14:ligatures w14:val="none"/>
        </w:rPr>
        <w:t>including</w:t>
      </w:r>
      <w:r w:rsidRPr="002C2BDF">
        <w:rPr>
          <w:rFonts w:ascii="Times New Roman" w:hAnsi="Times New Roman"/>
          <w:kern w:val="0"/>
          <w:sz w:val="28"/>
          <w14:ligatures w14:val="none"/>
        </w:rPr>
        <w:t xml:space="preserve"> the costs</w:t>
      </w:r>
      <w:r w:rsidRPr="005E6AD9">
        <w:rPr>
          <w:rFonts w:ascii="Times New Roman" w:eastAsia="Calibri" w:hAnsi="Times New Roman" w:cs="Times New Roman"/>
          <w:kern w:val="0"/>
          <w:sz w:val="28"/>
          <w:szCs w:val="28"/>
          <w14:ligatures w14:val="none"/>
        </w:rPr>
        <w:t xml:space="preserve"> of two counsel.’</w:t>
      </w:r>
    </w:p>
    <w:p w14:paraId="142859DE" w14:textId="77777777" w:rsidR="0029442D" w:rsidRPr="005E6AD9" w:rsidRDefault="0029442D" w:rsidP="0029442D">
      <w:pPr>
        <w:pStyle w:val="ListParagraph"/>
        <w:rPr>
          <w:rFonts w:ascii="Times New Roman" w:eastAsia="Calibri" w:hAnsi="Times New Roman" w:cs="Times New Roman"/>
          <w:kern w:val="0"/>
          <w:sz w:val="28"/>
          <w:szCs w:val="28"/>
          <w14:ligatures w14:val="none"/>
        </w:rPr>
      </w:pPr>
    </w:p>
    <w:p w14:paraId="6B0C5BBC" w14:textId="77777777" w:rsidR="005B1023" w:rsidRPr="005E6AD9" w:rsidRDefault="005B1023" w:rsidP="0029442D">
      <w:pPr>
        <w:pStyle w:val="ListParagraph"/>
        <w:rPr>
          <w:rFonts w:ascii="Times New Roman" w:eastAsia="Calibri" w:hAnsi="Times New Roman" w:cs="Times New Roman"/>
          <w:kern w:val="0"/>
          <w:sz w:val="28"/>
          <w:szCs w:val="28"/>
          <w14:ligatures w14:val="none"/>
        </w:rPr>
      </w:pPr>
    </w:p>
    <w:p w14:paraId="54281D14" w14:textId="77777777" w:rsidR="005B1023" w:rsidRPr="005E6AD9" w:rsidRDefault="005B1023" w:rsidP="0029442D">
      <w:pPr>
        <w:pStyle w:val="ListParagraph"/>
        <w:rPr>
          <w:rFonts w:ascii="Times New Roman" w:eastAsia="Calibri" w:hAnsi="Times New Roman" w:cs="Times New Roman"/>
          <w:kern w:val="0"/>
          <w:sz w:val="28"/>
          <w:szCs w:val="28"/>
          <w14:ligatures w14:val="none"/>
        </w:rPr>
      </w:pPr>
    </w:p>
    <w:p w14:paraId="21F063C1" w14:textId="77777777" w:rsidR="00906ADE" w:rsidRPr="005E6AD9" w:rsidRDefault="00906ADE" w:rsidP="00906ADE">
      <w:pPr>
        <w:spacing w:after="0" w:line="360" w:lineRule="auto"/>
        <w:contextualSpacing/>
        <w:jc w:val="both"/>
        <w:rPr>
          <w:rFonts w:ascii="Times New Roman" w:eastAsia="Times New Roman" w:hAnsi="Times New Roman" w:cs="Times New Roman"/>
          <w:kern w:val="0"/>
          <w:sz w:val="28"/>
          <w:szCs w:val="28"/>
          <w14:ligatures w14:val="none"/>
        </w:rPr>
      </w:pPr>
    </w:p>
    <w:p w14:paraId="1E2FB4A3" w14:textId="77777777" w:rsidR="00906ADE" w:rsidRPr="005E6AD9" w:rsidRDefault="00906ADE" w:rsidP="00906ADE">
      <w:pPr>
        <w:spacing w:after="0" w:line="360" w:lineRule="auto"/>
        <w:jc w:val="right"/>
        <w:rPr>
          <w:rFonts w:ascii="Times New Roman" w:eastAsia="Times New Roman" w:hAnsi="Times New Roman" w:cs="Times New Roman"/>
          <w:kern w:val="0"/>
          <w:sz w:val="28"/>
          <w:szCs w:val="28"/>
          <w14:ligatures w14:val="none"/>
        </w:rPr>
      </w:pPr>
      <w:r w:rsidRPr="005E6AD9">
        <w:rPr>
          <w:rFonts w:ascii="Times New Roman" w:eastAsia="Times New Roman" w:hAnsi="Times New Roman" w:cs="Times New Roman"/>
          <w:kern w:val="0"/>
          <w:sz w:val="28"/>
          <w:szCs w:val="28"/>
          <w14:ligatures w14:val="none"/>
        </w:rPr>
        <w:t>____________________</w:t>
      </w:r>
    </w:p>
    <w:p w14:paraId="27319CAB" w14:textId="77777777" w:rsidR="00906ADE" w:rsidRPr="005E6AD9" w:rsidRDefault="00906ADE" w:rsidP="00906ADE">
      <w:pPr>
        <w:spacing w:after="0" w:line="360" w:lineRule="auto"/>
        <w:jc w:val="right"/>
        <w:rPr>
          <w:rFonts w:ascii="Times New Roman" w:eastAsia="Times New Roman" w:hAnsi="Times New Roman" w:cs="Times New Roman"/>
          <w:kern w:val="0"/>
          <w:sz w:val="28"/>
          <w:szCs w:val="28"/>
          <w14:ligatures w14:val="none"/>
        </w:rPr>
      </w:pPr>
      <w:r w:rsidRPr="005E6AD9">
        <w:rPr>
          <w:rFonts w:ascii="Times New Roman" w:eastAsia="Times New Roman" w:hAnsi="Times New Roman" w:cs="Times New Roman"/>
          <w:kern w:val="0"/>
          <w:sz w:val="28"/>
          <w:szCs w:val="28"/>
          <w14:ligatures w14:val="none"/>
        </w:rPr>
        <w:t xml:space="preserve"> G GOOSEN</w:t>
      </w:r>
    </w:p>
    <w:p w14:paraId="35542297" w14:textId="77777777" w:rsidR="00906ADE" w:rsidRPr="005E6AD9" w:rsidRDefault="00906ADE" w:rsidP="00906ADE">
      <w:pPr>
        <w:spacing w:after="0" w:line="360" w:lineRule="auto"/>
        <w:jc w:val="right"/>
        <w:rPr>
          <w:rFonts w:ascii="Times New Roman" w:eastAsia="Times New Roman" w:hAnsi="Times New Roman" w:cs="Times New Roman"/>
          <w:kern w:val="0"/>
          <w:sz w:val="28"/>
          <w:szCs w:val="28"/>
          <w14:ligatures w14:val="none"/>
        </w:rPr>
      </w:pPr>
      <w:r w:rsidRPr="005E6AD9">
        <w:rPr>
          <w:rFonts w:ascii="Times New Roman" w:eastAsia="Times New Roman" w:hAnsi="Times New Roman" w:cs="Times New Roman"/>
          <w:kern w:val="0"/>
          <w:sz w:val="28"/>
          <w:szCs w:val="28"/>
          <w14:ligatures w14:val="none"/>
        </w:rPr>
        <w:t>JUDGE OF APPEAL</w:t>
      </w:r>
    </w:p>
    <w:p w14:paraId="77BFC5DB" w14:textId="77777777" w:rsidR="00906ADE" w:rsidRPr="005E6AD9" w:rsidRDefault="00906ADE" w:rsidP="00906ADE">
      <w:pPr>
        <w:spacing w:after="0" w:line="360" w:lineRule="auto"/>
        <w:jc w:val="both"/>
        <w:rPr>
          <w:rFonts w:ascii="Times New Roman" w:eastAsia="Times New Roman" w:hAnsi="Times New Roman" w:cs="Times New Roman"/>
          <w:kern w:val="0"/>
          <w:sz w:val="28"/>
          <w:szCs w:val="28"/>
          <w14:ligatures w14:val="none"/>
        </w:rPr>
      </w:pPr>
      <w:r w:rsidRPr="005E6AD9">
        <w:rPr>
          <w:rFonts w:ascii="Times New Roman" w:eastAsia="Times New Roman" w:hAnsi="Times New Roman" w:cs="Times New Roman"/>
          <w:kern w:val="0"/>
          <w:sz w:val="28"/>
          <w:szCs w:val="28"/>
          <w14:ligatures w14:val="none"/>
        </w:rPr>
        <w:br w:type="page"/>
      </w:r>
      <w:r w:rsidRPr="005E6AD9">
        <w:rPr>
          <w:rFonts w:ascii="Times New Roman" w:eastAsia="Times New Roman" w:hAnsi="Times New Roman" w:cs="Times New Roman"/>
          <w:kern w:val="0"/>
          <w:sz w:val="28"/>
          <w:szCs w:val="28"/>
          <w14:ligatures w14:val="none"/>
        </w:rPr>
        <w:lastRenderedPageBreak/>
        <w:t xml:space="preserve">Appearances </w:t>
      </w:r>
    </w:p>
    <w:p w14:paraId="13165BF2" w14:textId="77777777" w:rsidR="00312D98" w:rsidRPr="005E6AD9" w:rsidRDefault="00906ADE" w:rsidP="00906ADE">
      <w:pPr>
        <w:tabs>
          <w:tab w:val="left" w:pos="3544"/>
        </w:tabs>
        <w:spacing w:after="0" w:line="360" w:lineRule="auto"/>
        <w:jc w:val="both"/>
        <w:rPr>
          <w:rFonts w:ascii="Times New Roman" w:eastAsia="Times New Roman" w:hAnsi="Times New Roman" w:cs="Times New Roman"/>
          <w:kern w:val="0"/>
          <w:sz w:val="28"/>
          <w:szCs w:val="28"/>
          <w14:ligatures w14:val="none"/>
        </w:rPr>
      </w:pPr>
      <w:r w:rsidRPr="005E6AD9">
        <w:rPr>
          <w:rFonts w:ascii="Times New Roman" w:eastAsia="Times New Roman" w:hAnsi="Times New Roman" w:cs="Times New Roman"/>
          <w:kern w:val="0"/>
          <w:sz w:val="28"/>
          <w:szCs w:val="28"/>
          <w14:ligatures w14:val="none"/>
        </w:rPr>
        <w:t>For</w:t>
      </w:r>
      <w:r w:rsidR="00DB0BA1" w:rsidRPr="005E6AD9">
        <w:rPr>
          <w:rFonts w:ascii="Times New Roman" w:eastAsia="Times New Roman" w:hAnsi="Times New Roman" w:cs="Times New Roman"/>
          <w:kern w:val="0"/>
          <w:sz w:val="28"/>
          <w:szCs w:val="28"/>
          <w14:ligatures w14:val="none"/>
        </w:rPr>
        <w:t xml:space="preserve"> </w:t>
      </w:r>
      <w:r w:rsidR="00DB0BA1" w:rsidRPr="002C2BDF">
        <w:rPr>
          <w:rFonts w:ascii="Times New Roman" w:hAnsi="Times New Roman"/>
          <w:kern w:val="0"/>
          <w:sz w:val="28"/>
          <w14:ligatures w14:val="none"/>
        </w:rPr>
        <w:t>the</w:t>
      </w:r>
      <w:r w:rsidRPr="005E6AD9">
        <w:rPr>
          <w:rFonts w:ascii="Times New Roman" w:eastAsia="Times New Roman" w:hAnsi="Times New Roman" w:cs="Times New Roman"/>
          <w:kern w:val="0"/>
          <w:sz w:val="28"/>
          <w:szCs w:val="28"/>
          <w14:ligatures w14:val="none"/>
        </w:rPr>
        <w:t xml:space="preserve"> appellant:</w:t>
      </w:r>
      <w:r w:rsidRPr="005E6AD9">
        <w:rPr>
          <w:rFonts w:ascii="Times New Roman" w:eastAsia="Times New Roman" w:hAnsi="Times New Roman" w:cs="Times New Roman"/>
          <w:kern w:val="0"/>
          <w:sz w:val="28"/>
          <w:szCs w:val="28"/>
          <w14:ligatures w14:val="none"/>
        </w:rPr>
        <w:tab/>
      </w:r>
      <w:r w:rsidR="00312D98" w:rsidRPr="005E6AD9">
        <w:rPr>
          <w:rFonts w:ascii="Times New Roman" w:eastAsia="Times New Roman" w:hAnsi="Times New Roman" w:cs="Times New Roman"/>
          <w:kern w:val="0"/>
          <w:sz w:val="28"/>
          <w:szCs w:val="28"/>
          <w14:ligatures w14:val="none"/>
        </w:rPr>
        <w:t>A R Sholto-Douglas</w:t>
      </w:r>
      <w:r w:rsidRPr="005E6AD9">
        <w:rPr>
          <w:rFonts w:ascii="Times New Roman" w:eastAsia="Times New Roman" w:hAnsi="Times New Roman" w:cs="Times New Roman"/>
          <w:kern w:val="0"/>
          <w:sz w:val="28"/>
          <w:szCs w:val="28"/>
          <w14:ligatures w14:val="none"/>
        </w:rPr>
        <w:t xml:space="preserve"> SC </w:t>
      </w:r>
      <w:r w:rsidR="00DB0BA1" w:rsidRPr="002C2BDF">
        <w:rPr>
          <w:rFonts w:ascii="Times New Roman" w:hAnsi="Times New Roman"/>
          <w:kern w:val="0"/>
          <w:sz w:val="28"/>
          <w14:ligatures w14:val="none"/>
        </w:rPr>
        <w:t>(</w:t>
      </w:r>
      <w:r w:rsidRPr="005E6AD9">
        <w:rPr>
          <w:rFonts w:ascii="Times New Roman" w:eastAsia="Times New Roman" w:hAnsi="Times New Roman" w:cs="Times New Roman"/>
          <w:kern w:val="0"/>
          <w:sz w:val="28"/>
          <w:szCs w:val="28"/>
          <w14:ligatures w14:val="none"/>
        </w:rPr>
        <w:t xml:space="preserve">with </w:t>
      </w:r>
      <w:r w:rsidR="00312D98" w:rsidRPr="005E6AD9">
        <w:rPr>
          <w:rFonts w:ascii="Times New Roman" w:eastAsia="Times New Roman" w:hAnsi="Times New Roman" w:cs="Times New Roman"/>
          <w:kern w:val="0"/>
          <w:sz w:val="28"/>
          <w:szCs w:val="28"/>
          <w14:ligatures w14:val="none"/>
        </w:rPr>
        <w:t>E W Fagan SC</w:t>
      </w:r>
    </w:p>
    <w:p w14:paraId="5BD21047" w14:textId="77777777" w:rsidR="00906ADE" w:rsidRPr="005E6AD9" w:rsidRDefault="00312D98" w:rsidP="00906ADE">
      <w:pPr>
        <w:tabs>
          <w:tab w:val="left" w:pos="3544"/>
        </w:tabs>
        <w:spacing w:after="0" w:line="360" w:lineRule="auto"/>
        <w:jc w:val="both"/>
        <w:rPr>
          <w:rFonts w:ascii="Times New Roman" w:eastAsia="Times New Roman" w:hAnsi="Times New Roman" w:cs="Times New Roman"/>
          <w:kern w:val="0"/>
          <w:sz w:val="28"/>
          <w:szCs w:val="28"/>
          <w14:ligatures w14:val="none"/>
        </w:rPr>
      </w:pPr>
      <w:r w:rsidRPr="005E6AD9">
        <w:rPr>
          <w:rFonts w:ascii="Times New Roman" w:eastAsia="Times New Roman" w:hAnsi="Times New Roman" w:cs="Times New Roman"/>
          <w:kern w:val="0"/>
          <w:sz w:val="28"/>
          <w:szCs w:val="28"/>
          <w14:ligatures w14:val="none"/>
        </w:rPr>
        <w:tab/>
        <w:t>and B E Mbikiwa</w:t>
      </w:r>
      <w:r w:rsidR="00DB0BA1" w:rsidRPr="002C2BDF">
        <w:rPr>
          <w:rFonts w:ascii="Times New Roman" w:hAnsi="Times New Roman"/>
          <w:kern w:val="0"/>
          <w:sz w:val="28"/>
          <w14:ligatures w14:val="none"/>
        </w:rPr>
        <w:t>)</w:t>
      </w:r>
      <w:r w:rsidR="00906ADE" w:rsidRPr="005E6AD9">
        <w:rPr>
          <w:rFonts w:ascii="Times New Roman" w:eastAsia="Times New Roman" w:hAnsi="Times New Roman" w:cs="Times New Roman"/>
          <w:kern w:val="0"/>
          <w:sz w:val="28"/>
          <w:szCs w:val="28"/>
          <w14:ligatures w14:val="none"/>
        </w:rPr>
        <w:t xml:space="preserve"> </w:t>
      </w:r>
    </w:p>
    <w:p w14:paraId="24C76AEE" w14:textId="77777777" w:rsidR="00906ADE" w:rsidRPr="005E6AD9" w:rsidRDefault="00906ADE" w:rsidP="00906ADE">
      <w:pPr>
        <w:spacing w:after="0" w:line="360" w:lineRule="auto"/>
        <w:ind w:left="3544" w:hanging="3544"/>
        <w:jc w:val="both"/>
        <w:rPr>
          <w:rFonts w:ascii="Times New Roman" w:eastAsia="Times New Roman" w:hAnsi="Times New Roman" w:cs="Times New Roman"/>
          <w:bCs/>
          <w:kern w:val="0"/>
          <w:sz w:val="28"/>
          <w:szCs w:val="28"/>
          <w14:ligatures w14:val="none"/>
        </w:rPr>
      </w:pPr>
      <w:r w:rsidRPr="005E6AD9">
        <w:rPr>
          <w:rFonts w:ascii="Times New Roman" w:eastAsia="Times New Roman" w:hAnsi="Times New Roman" w:cs="Times New Roman"/>
          <w:bCs/>
          <w:kern w:val="0"/>
          <w:sz w:val="28"/>
          <w:szCs w:val="28"/>
          <w14:ligatures w14:val="none"/>
        </w:rPr>
        <w:t>Instructed by:</w:t>
      </w:r>
      <w:r w:rsidRPr="005E6AD9">
        <w:rPr>
          <w:rFonts w:ascii="Times New Roman" w:eastAsia="Times New Roman" w:hAnsi="Times New Roman" w:cs="Times New Roman"/>
          <w:bCs/>
          <w:kern w:val="0"/>
          <w:sz w:val="28"/>
          <w:szCs w:val="28"/>
          <w14:ligatures w14:val="none"/>
        </w:rPr>
        <w:tab/>
      </w:r>
      <w:r w:rsidR="00312D98" w:rsidRPr="005E6AD9">
        <w:rPr>
          <w:rFonts w:ascii="Times New Roman" w:eastAsia="Times New Roman" w:hAnsi="Times New Roman" w:cs="Times New Roman"/>
          <w:bCs/>
          <w:kern w:val="0"/>
          <w:sz w:val="28"/>
          <w:szCs w:val="28"/>
          <w14:ligatures w14:val="none"/>
        </w:rPr>
        <w:t>State Attorney</w:t>
      </w:r>
      <w:r w:rsidRPr="005E6AD9">
        <w:rPr>
          <w:rFonts w:ascii="Times New Roman" w:eastAsia="Times New Roman" w:hAnsi="Times New Roman" w:cs="Times New Roman"/>
          <w:bCs/>
          <w:kern w:val="0"/>
          <w:sz w:val="28"/>
          <w:szCs w:val="28"/>
          <w14:ligatures w14:val="none"/>
        </w:rPr>
        <w:t xml:space="preserve">, </w:t>
      </w:r>
      <w:r w:rsidR="00312D98" w:rsidRPr="005E6AD9">
        <w:rPr>
          <w:rFonts w:ascii="Times New Roman" w:eastAsia="Times New Roman" w:hAnsi="Times New Roman" w:cs="Times New Roman"/>
          <w:bCs/>
          <w:kern w:val="0"/>
          <w:sz w:val="28"/>
          <w:szCs w:val="28"/>
          <w14:ligatures w14:val="none"/>
        </w:rPr>
        <w:t>Cape Town</w:t>
      </w:r>
    </w:p>
    <w:p w14:paraId="115DFEF6" w14:textId="77777777" w:rsidR="00906ADE" w:rsidRPr="005E6AD9" w:rsidRDefault="00312D98" w:rsidP="00906ADE">
      <w:pPr>
        <w:spacing w:after="0" w:line="360" w:lineRule="auto"/>
        <w:ind w:left="3544"/>
        <w:jc w:val="both"/>
        <w:rPr>
          <w:rFonts w:ascii="Times New Roman" w:eastAsia="Times New Roman" w:hAnsi="Times New Roman" w:cs="Times New Roman"/>
          <w:bCs/>
          <w:kern w:val="0"/>
          <w:sz w:val="28"/>
          <w:szCs w:val="28"/>
          <w14:ligatures w14:val="none"/>
        </w:rPr>
      </w:pPr>
      <w:r w:rsidRPr="005E6AD9">
        <w:rPr>
          <w:rFonts w:ascii="Times New Roman" w:eastAsia="Times New Roman" w:hAnsi="Times New Roman" w:cs="Times New Roman"/>
          <w:bCs/>
          <w:kern w:val="0"/>
          <w:sz w:val="28"/>
          <w:szCs w:val="28"/>
          <w14:ligatures w14:val="none"/>
        </w:rPr>
        <w:t>State Attorney</w:t>
      </w:r>
      <w:r w:rsidR="00906ADE" w:rsidRPr="005E6AD9">
        <w:rPr>
          <w:rFonts w:ascii="Times New Roman" w:eastAsia="Times New Roman" w:hAnsi="Times New Roman" w:cs="Times New Roman"/>
          <w:bCs/>
          <w:kern w:val="0"/>
          <w:sz w:val="28"/>
          <w:szCs w:val="28"/>
          <w14:ligatures w14:val="none"/>
        </w:rPr>
        <w:t>, Bloemfontein</w:t>
      </w:r>
    </w:p>
    <w:p w14:paraId="5E0AD651" w14:textId="77777777" w:rsidR="00906ADE" w:rsidRPr="005E6AD9" w:rsidRDefault="00906ADE" w:rsidP="00906ADE">
      <w:pPr>
        <w:spacing w:after="0" w:line="360" w:lineRule="auto"/>
        <w:jc w:val="both"/>
        <w:rPr>
          <w:rFonts w:ascii="Times New Roman" w:eastAsia="Times New Roman" w:hAnsi="Times New Roman" w:cs="Times New Roman"/>
          <w:bCs/>
          <w:kern w:val="0"/>
          <w:sz w:val="28"/>
          <w:szCs w:val="28"/>
          <w14:ligatures w14:val="none"/>
        </w:rPr>
      </w:pPr>
    </w:p>
    <w:p w14:paraId="60CCCF0B" w14:textId="77777777" w:rsidR="00906ADE" w:rsidRPr="005E6AD9" w:rsidRDefault="00906ADE" w:rsidP="00906ADE">
      <w:pPr>
        <w:spacing w:after="0" w:line="360" w:lineRule="auto"/>
        <w:jc w:val="both"/>
        <w:rPr>
          <w:rFonts w:ascii="Times New Roman" w:eastAsia="Times New Roman" w:hAnsi="Times New Roman" w:cs="Times New Roman"/>
          <w:kern w:val="0"/>
          <w:sz w:val="28"/>
          <w:szCs w:val="28"/>
          <w14:ligatures w14:val="none"/>
        </w:rPr>
      </w:pPr>
      <w:r w:rsidRPr="005E6AD9">
        <w:rPr>
          <w:rFonts w:ascii="Times New Roman" w:eastAsia="Times New Roman" w:hAnsi="Times New Roman" w:cs="Times New Roman"/>
          <w:kern w:val="0"/>
          <w:sz w:val="28"/>
          <w:szCs w:val="28"/>
          <w14:ligatures w14:val="none"/>
        </w:rPr>
        <w:t>For</w:t>
      </w:r>
      <w:r w:rsidR="00DB0BA1" w:rsidRPr="005E6AD9">
        <w:rPr>
          <w:rFonts w:ascii="Times New Roman" w:eastAsia="Times New Roman" w:hAnsi="Times New Roman" w:cs="Times New Roman"/>
          <w:kern w:val="0"/>
          <w:sz w:val="28"/>
          <w:szCs w:val="28"/>
          <w14:ligatures w14:val="none"/>
        </w:rPr>
        <w:t xml:space="preserve"> the</w:t>
      </w:r>
      <w:r w:rsidRPr="005E6AD9">
        <w:rPr>
          <w:rFonts w:ascii="Times New Roman" w:eastAsia="Times New Roman" w:hAnsi="Times New Roman" w:cs="Times New Roman"/>
          <w:kern w:val="0"/>
          <w:sz w:val="28"/>
          <w:szCs w:val="28"/>
          <w14:ligatures w14:val="none"/>
        </w:rPr>
        <w:t xml:space="preserve"> respondents:</w:t>
      </w:r>
      <w:r w:rsidRPr="005E6AD9">
        <w:rPr>
          <w:rFonts w:ascii="Times New Roman" w:eastAsia="Times New Roman" w:hAnsi="Times New Roman" w:cs="Times New Roman"/>
          <w:kern w:val="0"/>
          <w:sz w:val="28"/>
          <w:szCs w:val="28"/>
          <w14:ligatures w14:val="none"/>
        </w:rPr>
        <w:tab/>
        <w:t xml:space="preserve">   </w:t>
      </w:r>
      <w:r w:rsidRPr="005E6AD9">
        <w:rPr>
          <w:rFonts w:ascii="Times New Roman" w:eastAsia="Times New Roman" w:hAnsi="Times New Roman" w:cs="Times New Roman"/>
          <w:kern w:val="0"/>
          <w:sz w:val="28"/>
          <w:szCs w:val="28"/>
          <w14:ligatures w14:val="none"/>
        </w:rPr>
        <w:tab/>
        <w:t xml:space="preserve">M Janisch SC </w:t>
      </w:r>
      <w:r w:rsidR="00DB0BA1" w:rsidRPr="002C2BDF">
        <w:rPr>
          <w:rFonts w:ascii="Times New Roman" w:hAnsi="Times New Roman"/>
          <w:kern w:val="0"/>
          <w:sz w:val="28"/>
          <w14:ligatures w14:val="none"/>
        </w:rPr>
        <w:t>(</w:t>
      </w:r>
      <w:r w:rsidRPr="005E6AD9">
        <w:rPr>
          <w:rFonts w:ascii="Times New Roman" w:eastAsia="Times New Roman" w:hAnsi="Times New Roman" w:cs="Times New Roman"/>
          <w:kern w:val="0"/>
          <w:sz w:val="28"/>
          <w:szCs w:val="28"/>
          <w14:ligatures w14:val="none"/>
        </w:rPr>
        <w:t>with S Budlender SC</w:t>
      </w:r>
    </w:p>
    <w:p w14:paraId="2C2FCF3C" w14:textId="77777777" w:rsidR="00906ADE" w:rsidRPr="005E6AD9" w:rsidRDefault="00906ADE" w:rsidP="00906ADE">
      <w:pPr>
        <w:spacing w:after="0" w:line="360" w:lineRule="auto"/>
        <w:ind w:left="2824" w:firstLine="720"/>
        <w:jc w:val="both"/>
        <w:rPr>
          <w:rFonts w:ascii="Times New Roman" w:eastAsia="Times New Roman" w:hAnsi="Times New Roman" w:cs="Times New Roman"/>
          <w:kern w:val="0"/>
          <w:sz w:val="28"/>
          <w:szCs w:val="28"/>
          <w14:ligatures w14:val="none"/>
        </w:rPr>
      </w:pPr>
      <w:r w:rsidRPr="005E6AD9">
        <w:rPr>
          <w:rFonts w:ascii="Times New Roman" w:eastAsia="Times New Roman" w:hAnsi="Times New Roman" w:cs="Times New Roman"/>
          <w:kern w:val="0"/>
          <w:sz w:val="28"/>
          <w:szCs w:val="28"/>
          <w14:ligatures w14:val="none"/>
        </w:rPr>
        <w:t>and L Mnqandi</w:t>
      </w:r>
      <w:r w:rsidR="00DB0BA1" w:rsidRPr="002C2BDF">
        <w:rPr>
          <w:rFonts w:ascii="Times New Roman" w:hAnsi="Times New Roman"/>
          <w:kern w:val="0"/>
          <w:sz w:val="28"/>
          <w14:ligatures w14:val="none"/>
        </w:rPr>
        <w:t>)</w:t>
      </w:r>
    </w:p>
    <w:p w14:paraId="412DFC66" w14:textId="77777777" w:rsidR="00906ADE" w:rsidRPr="005E6AD9" w:rsidRDefault="00906ADE" w:rsidP="00906ADE">
      <w:pPr>
        <w:spacing w:after="0" w:line="360" w:lineRule="auto"/>
        <w:ind w:left="3544" w:hanging="3544"/>
        <w:jc w:val="both"/>
        <w:rPr>
          <w:rFonts w:ascii="Times New Roman" w:eastAsia="Times New Roman" w:hAnsi="Times New Roman" w:cs="Times New Roman"/>
          <w:bCs/>
          <w:kern w:val="0"/>
          <w:sz w:val="28"/>
          <w:szCs w:val="28"/>
          <w14:ligatures w14:val="none"/>
        </w:rPr>
      </w:pPr>
      <w:r w:rsidRPr="005E6AD9">
        <w:rPr>
          <w:rFonts w:ascii="Times New Roman" w:eastAsia="Times New Roman" w:hAnsi="Times New Roman" w:cs="Times New Roman"/>
          <w:bCs/>
          <w:kern w:val="0"/>
          <w:sz w:val="28"/>
          <w:szCs w:val="28"/>
          <w14:ligatures w14:val="none"/>
        </w:rPr>
        <w:t>Instructed by:</w:t>
      </w:r>
      <w:r w:rsidRPr="005E6AD9">
        <w:rPr>
          <w:rFonts w:ascii="Times New Roman" w:eastAsia="Times New Roman" w:hAnsi="Times New Roman" w:cs="Times New Roman"/>
          <w:bCs/>
          <w:kern w:val="0"/>
          <w:sz w:val="28"/>
          <w:szCs w:val="28"/>
          <w14:ligatures w14:val="none"/>
        </w:rPr>
        <w:tab/>
        <w:t>Allen &amp; Overy, Sandton</w:t>
      </w:r>
    </w:p>
    <w:p w14:paraId="1C38B976" w14:textId="77777777" w:rsidR="00906ADE" w:rsidRPr="00906ADE" w:rsidRDefault="00312D98" w:rsidP="00906ADE">
      <w:pPr>
        <w:spacing w:after="0" w:line="360" w:lineRule="auto"/>
        <w:ind w:left="2824" w:firstLine="720"/>
        <w:jc w:val="both"/>
        <w:rPr>
          <w:rFonts w:ascii="Times New Roman" w:eastAsia="Times New Roman" w:hAnsi="Times New Roman" w:cs="Times New Roman"/>
          <w:bCs/>
          <w:kern w:val="0"/>
          <w:sz w:val="28"/>
          <w:szCs w:val="28"/>
          <w14:ligatures w14:val="none"/>
        </w:rPr>
      </w:pPr>
      <w:r w:rsidRPr="005E6AD9">
        <w:rPr>
          <w:rFonts w:ascii="Times New Roman" w:eastAsia="Times New Roman" w:hAnsi="Times New Roman" w:cs="Times New Roman"/>
          <w:bCs/>
          <w:kern w:val="0"/>
          <w:sz w:val="28"/>
          <w:szCs w:val="28"/>
          <w14:ligatures w14:val="none"/>
        </w:rPr>
        <w:t>Symington De Kok Attorneys</w:t>
      </w:r>
      <w:r w:rsidR="00906ADE" w:rsidRPr="005E6AD9">
        <w:rPr>
          <w:rFonts w:ascii="Times New Roman" w:eastAsia="Times New Roman" w:hAnsi="Times New Roman" w:cs="Times New Roman"/>
          <w:bCs/>
          <w:kern w:val="0"/>
          <w:sz w:val="28"/>
          <w:szCs w:val="28"/>
          <w14:ligatures w14:val="none"/>
        </w:rPr>
        <w:t>, Bloemfontein</w:t>
      </w:r>
      <w:r w:rsidR="00906ADE" w:rsidRPr="00906ADE">
        <w:rPr>
          <w:rFonts w:ascii="Times New Roman" w:eastAsia="Times New Roman" w:hAnsi="Times New Roman" w:cs="Times New Roman"/>
          <w:bCs/>
          <w:kern w:val="0"/>
          <w:sz w:val="28"/>
          <w:szCs w:val="28"/>
          <w14:ligatures w14:val="none"/>
        </w:rPr>
        <w:t xml:space="preserve"> </w:t>
      </w:r>
    </w:p>
    <w:p w14:paraId="472FA6A1" w14:textId="77777777" w:rsidR="00906ADE" w:rsidRPr="00906ADE" w:rsidRDefault="00906ADE" w:rsidP="00906ADE">
      <w:pPr>
        <w:spacing w:after="0" w:line="360" w:lineRule="auto"/>
        <w:jc w:val="both"/>
        <w:rPr>
          <w:rFonts w:ascii="Times New Roman" w:eastAsia="Times New Roman" w:hAnsi="Times New Roman" w:cs="Times New Roman"/>
          <w:bCs/>
          <w:kern w:val="0"/>
          <w:sz w:val="28"/>
          <w:szCs w:val="28"/>
          <w14:ligatures w14:val="none"/>
        </w:rPr>
      </w:pPr>
    </w:p>
    <w:p w14:paraId="0A184243" w14:textId="77777777" w:rsidR="00906ADE" w:rsidRPr="00906ADE" w:rsidRDefault="00906ADE" w:rsidP="00906ADE">
      <w:pPr>
        <w:spacing w:after="0" w:line="360" w:lineRule="auto"/>
        <w:jc w:val="both"/>
        <w:rPr>
          <w:rFonts w:ascii="Times New Roman" w:eastAsia="Times New Roman" w:hAnsi="Times New Roman" w:cs="Times New Roman"/>
          <w:bCs/>
          <w:kern w:val="0"/>
          <w:sz w:val="28"/>
          <w:szCs w:val="28"/>
          <w14:ligatures w14:val="none"/>
        </w:rPr>
      </w:pPr>
    </w:p>
    <w:p w14:paraId="5FB2BAA9" w14:textId="77777777" w:rsidR="00B3524A" w:rsidRDefault="00B3524A" w:rsidP="00B3524A">
      <w:pPr>
        <w:pStyle w:val="ListParagraph"/>
        <w:jc w:val="right"/>
        <w:rPr>
          <w:rFonts w:ascii="Times New Roman" w:eastAsia="Calibri" w:hAnsi="Times New Roman" w:cs="Times New Roman"/>
          <w:kern w:val="0"/>
          <w:sz w:val="28"/>
          <w:szCs w:val="28"/>
          <w14:ligatures w14:val="none"/>
        </w:rPr>
      </w:pPr>
    </w:p>
    <w:sectPr w:rsidR="00B3524A" w:rsidSect="0078005C">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9E204" w14:textId="77777777" w:rsidR="00BA22C3" w:rsidRDefault="00BA22C3" w:rsidP="00767A0D">
      <w:pPr>
        <w:spacing w:after="0" w:line="240" w:lineRule="auto"/>
      </w:pPr>
      <w:r>
        <w:separator/>
      </w:r>
    </w:p>
  </w:endnote>
  <w:endnote w:type="continuationSeparator" w:id="0">
    <w:p w14:paraId="5BACF509" w14:textId="77777777" w:rsidR="00BA22C3" w:rsidRDefault="00BA22C3" w:rsidP="00767A0D">
      <w:pPr>
        <w:spacing w:after="0" w:line="240" w:lineRule="auto"/>
      </w:pPr>
      <w:r>
        <w:continuationSeparator/>
      </w:r>
    </w:p>
  </w:endnote>
  <w:endnote w:type="continuationNotice" w:id="1">
    <w:p w14:paraId="033953AC" w14:textId="77777777" w:rsidR="00BA22C3" w:rsidRDefault="00BA2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8629" w14:textId="77777777" w:rsidR="002C2BDF" w:rsidRDefault="002C2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2B9F4" w14:textId="77777777" w:rsidR="00BA22C3" w:rsidRDefault="00BA22C3" w:rsidP="00767A0D">
      <w:pPr>
        <w:spacing w:after="0" w:line="240" w:lineRule="auto"/>
      </w:pPr>
      <w:r>
        <w:separator/>
      </w:r>
    </w:p>
  </w:footnote>
  <w:footnote w:type="continuationSeparator" w:id="0">
    <w:p w14:paraId="33D8787E" w14:textId="77777777" w:rsidR="00BA22C3" w:rsidRDefault="00BA22C3" w:rsidP="00767A0D">
      <w:pPr>
        <w:spacing w:after="0" w:line="240" w:lineRule="auto"/>
      </w:pPr>
      <w:r>
        <w:continuationSeparator/>
      </w:r>
    </w:p>
  </w:footnote>
  <w:footnote w:type="continuationNotice" w:id="1">
    <w:p w14:paraId="38C7C209" w14:textId="77777777" w:rsidR="00BA22C3" w:rsidRDefault="00BA22C3">
      <w:pPr>
        <w:spacing w:after="0" w:line="240" w:lineRule="auto"/>
      </w:pPr>
    </w:p>
  </w:footnote>
  <w:footnote w:id="2">
    <w:p w14:paraId="07F68E7A" w14:textId="5C9FEB4D" w:rsidR="004838B1" w:rsidRPr="005E6AD9" w:rsidRDefault="004838B1" w:rsidP="004838B1">
      <w:pPr>
        <w:pStyle w:val="FootnoteText"/>
        <w:jc w:val="both"/>
        <w:rPr>
          <w:rFonts w:ascii="Times New Roman" w:hAnsi="Times New Roman" w:cs="Times New Roman"/>
          <w:lang w:val="en-US"/>
        </w:rPr>
      </w:pPr>
      <w:r w:rsidRPr="005E6AD9">
        <w:rPr>
          <w:rStyle w:val="FootnoteReference"/>
          <w:rFonts w:ascii="Times New Roman" w:hAnsi="Times New Roman" w:cs="Times New Roman"/>
        </w:rPr>
        <w:footnoteRef/>
      </w:r>
      <w:r w:rsidRPr="005E6AD9">
        <w:rPr>
          <w:rFonts w:ascii="Times New Roman" w:hAnsi="Times New Roman" w:cs="Times New Roman"/>
        </w:rPr>
        <w:t xml:space="preserve"> </w:t>
      </w:r>
      <w:r w:rsidRPr="002C2BDF">
        <w:rPr>
          <w:rFonts w:ascii="Times New Roman" w:hAnsi="Times New Roman"/>
          <w:lang w:val="en-US"/>
        </w:rPr>
        <w:t xml:space="preserve">These are </w:t>
      </w:r>
      <w:r w:rsidRPr="005E6AD9">
        <w:rPr>
          <w:rFonts w:ascii="Times New Roman" w:hAnsi="Times New Roman" w:cs="Times New Roman"/>
          <w:lang w:val="en-US"/>
        </w:rPr>
        <w:t>s</w:t>
      </w:r>
      <w:r w:rsidR="009159BC" w:rsidRPr="005E6AD9">
        <w:rPr>
          <w:rFonts w:ascii="Times New Roman" w:hAnsi="Times New Roman" w:cs="Times New Roman"/>
          <w:lang w:val="en-US"/>
        </w:rPr>
        <w:t xml:space="preserve"> </w:t>
      </w:r>
      <w:r w:rsidRPr="005E6AD9">
        <w:rPr>
          <w:rFonts w:ascii="Times New Roman" w:hAnsi="Times New Roman" w:cs="Times New Roman"/>
          <w:lang w:val="en-US"/>
        </w:rPr>
        <w:t>80A</w:t>
      </w:r>
      <w:r w:rsidRPr="002C2BDF">
        <w:rPr>
          <w:rFonts w:ascii="Times New Roman" w:hAnsi="Times New Roman"/>
          <w:lang w:val="en-US"/>
        </w:rPr>
        <w:t xml:space="preserve"> to L of the ITA aimed at preventing abuse of certain sections of the Act through abnormal arrangements, schemes, or agreements concluded with the main aim of obtaining tax benefits</w:t>
      </w:r>
      <w:r w:rsidR="005C6907" w:rsidRPr="002C2BDF">
        <w:rPr>
          <w:rFonts w:ascii="Times New Roman" w:hAnsi="Times New Roman"/>
          <w:lang w:val="en-US"/>
        </w:rPr>
        <w:t xml:space="preserve">, </w:t>
      </w:r>
      <w:r w:rsidRPr="002C2BDF">
        <w:rPr>
          <w:rFonts w:ascii="Times New Roman" w:hAnsi="Times New Roman"/>
          <w:lang w:val="en-US"/>
        </w:rPr>
        <w:t xml:space="preserve">including </w:t>
      </w:r>
      <w:r w:rsidR="005C6907" w:rsidRPr="002C2BDF">
        <w:rPr>
          <w:rFonts w:ascii="Times New Roman" w:hAnsi="Times New Roman"/>
          <w:lang w:val="en-US"/>
        </w:rPr>
        <w:t xml:space="preserve">the </w:t>
      </w:r>
      <w:r w:rsidRPr="002C2BDF">
        <w:rPr>
          <w:rFonts w:ascii="Times New Roman" w:hAnsi="Times New Roman"/>
          <w:lang w:val="en-US"/>
        </w:rPr>
        <w:t>avoidance, postponement, or reduction of liability for tax.</w:t>
      </w:r>
    </w:p>
    <w:p w14:paraId="18C48D9A" w14:textId="77777777" w:rsidR="004838B1" w:rsidRPr="005E6AD9" w:rsidRDefault="004838B1">
      <w:pPr>
        <w:pStyle w:val="FootnoteText"/>
      </w:pPr>
    </w:p>
  </w:footnote>
  <w:footnote w:id="3">
    <w:p w14:paraId="47791806" w14:textId="77777777" w:rsidR="00767A0D" w:rsidRPr="005E6AD9" w:rsidRDefault="00767A0D" w:rsidP="004B6B47">
      <w:pPr>
        <w:pStyle w:val="FootnoteText"/>
        <w:jc w:val="both"/>
        <w:rPr>
          <w:rFonts w:ascii="Times New Roman" w:hAnsi="Times New Roman" w:cs="Times New Roman"/>
        </w:rPr>
      </w:pPr>
      <w:r w:rsidRPr="005E6AD9">
        <w:rPr>
          <w:rStyle w:val="FootnoteReference"/>
          <w:rFonts w:ascii="Times New Roman" w:hAnsi="Times New Roman" w:cs="Times New Roman"/>
        </w:rPr>
        <w:footnoteRef/>
      </w:r>
      <w:r w:rsidRPr="005E6AD9">
        <w:rPr>
          <w:rFonts w:ascii="Times New Roman" w:hAnsi="Times New Roman" w:cs="Times New Roman"/>
        </w:rPr>
        <w:t xml:space="preserve"> </w:t>
      </w:r>
      <w:r w:rsidRPr="005E6AD9">
        <w:rPr>
          <w:rFonts w:ascii="Times New Roman" w:hAnsi="Times New Roman" w:cs="Times New Roman"/>
          <w:i/>
          <w:iCs/>
        </w:rPr>
        <w:t>Commissioner for Inland Revenue v Conhage (Pty) Ltd (formerly Tycon (Pty) Ltd)</w:t>
      </w:r>
      <w:r w:rsidRPr="005E6AD9">
        <w:rPr>
          <w:rFonts w:ascii="Times New Roman" w:hAnsi="Times New Roman" w:cs="Times New Roman"/>
        </w:rPr>
        <w:t xml:space="preserve"> 1999 (4) SA 1149 (SCA)</w:t>
      </w:r>
      <w:r w:rsidR="009557C0" w:rsidRPr="005E6AD9">
        <w:rPr>
          <w:rFonts w:ascii="Times New Roman" w:hAnsi="Times New Roman" w:cs="Times New Roman"/>
        </w:rPr>
        <w:t xml:space="preserve"> (</w:t>
      </w:r>
      <w:r w:rsidR="009557C0" w:rsidRPr="005E6AD9">
        <w:rPr>
          <w:rFonts w:ascii="Times New Roman" w:hAnsi="Times New Roman" w:cs="Times New Roman"/>
          <w:i/>
          <w:iCs/>
        </w:rPr>
        <w:t>CIR v Conhage</w:t>
      </w:r>
      <w:r w:rsidR="009557C0" w:rsidRPr="005E6AD9">
        <w:rPr>
          <w:rFonts w:ascii="Times New Roman" w:hAnsi="Times New Roman" w:cs="Times New Roman"/>
        </w:rPr>
        <w:t>)</w:t>
      </w:r>
      <w:r w:rsidR="00660402" w:rsidRPr="005E6AD9">
        <w:rPr>
          <w:rFonts w:ascii="Times New Roman" w:hAnsi="Times New Roman" w:cs="Times New Roman"/>
        </w:rPr>
        <w:t xml:space="preserve"> </w:t>
      </w:r>
      <w:r w:rsidRPr="005E6AD9">
        <w:rPr>
          <w:rFonts w:ascii="Times New Roman" w:hAnsi="Times New Roman" w:cs="Times New Roman"/>
        </w:rPr>
        <w:t>para 1, where Hefer JA said, ‘Within the bounds of any anti-avoidance</w:t>
      </w:r>
      <w:r w:rsidR="004B6B47" w:rsidRPr="005E6AD9">
        <w:rPr>
          <w:rFonts w:ascii="Times New Roman" w:hAnsi="Times New Roman" w:cs="Times New Roman"/>
        </w:rPr>
        <w:t xml:space="preserve"> provisions in the relevant legislation, a taxpayer may minimise his tax liability by arranging his affairs in a suitable manner. If, for example, the same commercial result can be achieved in different ways, he may enter into the type of transaction which does not attract tax or attracts less tax. But, when it comes to considering whether by doing </w:t>
      </w:r>
      <w:r w:rsidR="005C6907" w:rsidRPr="005E6AD9">
        <w:rPr>
          <w:rFonts w:ascii="Times New Roman" w:hAnsi="Times New Roman" w:cs="Times New Roman"/>
        </w:rPr>
        <w:t>so,</w:t>
      </w:r>
      <w:r w:rsidR="004B6B47" w:rsidRPr="005E6AD9">
        <w:rPr>
          <w:rFonts w:ascii="Times New Roman" w:hAnsi="Times New Roman" w:cs="Times New Roman"/>
        </w:rPr>
        <w:t xml:space="preserve"> he has succeeded in avoiding or reducing the tax, the Court will give effect to the true nature and substance of the transaction and will not be deceived by its form.’</w:t>
      </w:r>
    </w:p>
  </w:footnote>
  <w:footnote w:id="4">
    <w:p w14:paraId="0B9B782C" w14:textId="77777777" w:rsidR="00023DE0" w:rsidRPr="005E6AD9" w:rsidRDefault="00023DE0" w:rsidP="003C2970">
      <w:pPr>
        <w:pStyle w:val="FootnoteText"/>
        <w:jc w:val="both"/>
        <w:rPr>
          <w:rFonts w:ascii="Times New Roman" w:hAnsi="Times New Roman" w:cs="Times New Roman"/>
        </w:rPr>
      </w:pPr>
      <w:r w:rsidRPr="005E6AD9">
        <w:rPr>
          <w:rStyle w:val="FootnoteReference"/>
          <w:rFonts w:ascii="Times New Roman" w:hAnsi="Times New Roman" w:cs="Times New Roman"/>
        </w:rPr>
        <w:footnoteRef/>
      </w:r>
      <w:r w:rsidRPr="005E6AD9">
        <w:rPr>
          <w:rFonts w:ascii="Times New Roman" w:hAnsi="Times New Roman" w:cs="Times New Roman"/>
        </w:rPr>
        <w:t xml:space="preserve"> </w:t>
      </w:r>
      <w:r w:rsidRPr="005E6AD9">
        <w:rPr>
          <w:rFonts w:ascii="Times New Roman" w:hAnsi="Times New Roman" w:cs="Times New Roman"/>
          <w:i/>
          <w:iCs/>
        </w:rPr>
        <w:t xml:space="preserve">Commissioner </w:t>
      </w:r>
      <w:r w:rsidR="00B67049" w:rsidRPr="005E6AD9">
        <w:rPr>
          <w:rFonts w:ascii="Times New Roman" w:hAnsi="Times New Roman" w:cs="Times New Roman"/>
          <w:i/>
          <w:iCs/>
        </w:rPr>
        <w:t>for</w:t>
      </w:r>
      <w:r w:rsidRPr="005E6AD9">
        <w:rPr>
          <w:rFonts w:ascii="Times New Roman" w:hAnsi="Times New Roman" w:cs="Times New Roman"/>
          <w:i/>
          <w:iCs/>
        </w:rPr>
        <w:t xml:space="preserve"> the South African Revenue Service v Langholm Farms (Pty) Ltd</w:t>
      </w:r>
      <w:r w:rsidR="0091081C" w:rsidRPr="005E6AD9">
        <w:rPr>
          <w:rFonts w:ascii="Times New Roman" w:hAnsi="Times New Roman" w:cs="Times New Roman"/>
          <w:i/>
          <w:iCs/>
        </w:rPr>
        <w:t xml:space="preserve"> </w:t>
      </w:r>
      <w:r w:rsidR="0091081C" w:rsidRPr="005E6AD9">
        <w:rPr>
          <w:rFonts w:ascii="Times New Roman" w:hAnsi="Times New Roman" w:cs="Times New Roman"/>
          <w:iCs/>
        </w:rPr>
        <w:t>(1354/2018)</w:t>
      </w:r>
      <w:r w:rsidRPr="005E6AD9">
        <w:rPr>
          <w:rFonts w:ascii="Times New Roman" w:hAnsi="Times New Roman" w:cs="Times New Roman"/>
          <w:i/>
          <w:iCs/>
        </w:rPr>
        <w:t xml:space="preserve"> </w:t>
      </w:r>
      <w:r w:rsidRPr="005E6AD9">
        <w:rPr>
          <w:rFonts w:ascii="Times New Roman" w:hAnsi="Times New Roman" w:cs="Times New Roman"/>
        </w:rPr>
        <w:t>[2019] ZASCA 163</w:t>
      </w:r>
      <w:r w:rsidR="0091081C" w:rsidRPr="005E6AD9">
        <w:rPr>
          <w:rFonts w:ascii="Times New Roman" w:hAnsi="Times New Roman" w:cs="Times New Roman"/>
        </w:rPr>
        <w:t xml:space="preserve"> (29 November 2019)</w:t>
      </w:r>
      <w:r w:rsidRPr="005E6AD9">
        <w:rPr>
          <w:rFonts w:ascii="Times New Roman" w:hAnsi="Times New Roman" w:cs="Times New Roman"/>
        </w:rPr>
        <w:t>.</w:t>
      </w:r>
    </w:p>
  </w:footnote>
  <w:footnote w:id="5">
    <w:p w14:paraId="665DE93A" w14:textId="77777777" w:rsidR="00023DE0" w:rsidRPr="005E6AD9" w:rsidRDefault="00023DE0" w:rsidP="003C2970">
      <w:pPr>
        <w:pStyle w:val="FootnoteText"/>
        <w:jc w:val="both"/>
        <w:rPr>
          <w:rFonts w:ascii="Times New Roman" w:hAnsi="Times New Roman" w:cs="Times New Roman"/>
        </w:rPr>
      </w:pPr>
      <w:r w:rsidRPr="005E6AD9">
        <w:rPr>
          <w:rStyle w:val="FootnoteReference"/>
          <w:rFonts w:ascii="Times New Roman" w:hAnsi="Times New Roman" w:cs="Times New Roman"/>
        </w:rPr>
        <w:footnoteRef/>
      </w:r>
      <w:r w:rsidRPr="005E6AD9">
        <w:rPr>
          <w:rFonts w:ascii="Times New Roman" w:hAnsi="Times New Roman" w:cs="Times New Roman"/>
        </w:rPr>
        <w:t xml:space="preserve"> </w:t>
      </w:r>
      <w:r w:rsidRPr="005E6AD9">
        <w:rPr>
          <w:rFonts w:ascii="Times New Roman" w:hAnsi="Times New Roman" w:cs="Times New Roman"/>
          <w:i/>
          <w:iCs/>
        </w:rPr>
        <w:t xml:space="preserve">Commissioner </w:t>
      </w:r>
      <w:r w:rsidR="00B67049" w:rsidRPr="005E6AD9">
        <w:rPr>
          <w:rFonts w:ascii="Times New Roman" w:hAnsi="Times New Roman" w:cs="Times New Roman"/>
          <w:i/>
          <w:iCs/>
        </w:rPr>
        <w:t>for</w:t>
      </w:r>
      <w:r w:rsidRPr="005E6AD9">
        <w:rPr>
          <w:rFonts w:ascii="Times New Roman" w:hAnsi="Times New Roman" w:cs="Times New Roman"/>
          <w:i/>
          <w:iCs/>
        </w:rPr>
        <w:t xml:space="preserve"> the South African Revenue Service v United Manganese of Kalahari (Pty) Ltd</w:t>
      </w:r>
      <w:r w:rsidRPr="005E6AD9">
        <w:rPr>
          <w:rFonts w:ascii="Times New Roman" w:hAnsi="Times New Roman" w:cs="Times New Roman"/>
        </w:rPr>
        <w:t xml:space="preserve"> [2020] ZASCA 16; 2020 (4) SA 428 (SCA).</w:t>
      </w:r>
    </w:p>
  </w:footnote>
  <w:footnote w:id="6">
    <w:p w14:paraId="3BC94D95" w14:textId="338B976C" w:rsidR="009673DE" w:rsidRPr="005E6AD9" w:rsidRDefault="009673DE" w:rsidP="009618AD">
      <w:pPr>
        <w:pStyle w:val="FootnoteText"/>
        <w:jc w:val="both"/>
        <w:rPr>
          <w:rFonts w:ascii="Times New Roman" w:hAnsi="Times New Roman" w:cs="Times New Roman"/>
        </w:rPr>
      </w:pPr>
      <w:r w:rsidRPr="005E6AD9">
        <w:rPr>
          <w:rStyle w:val="FootnoteReference"/>
          <w:rFonts w:ascii="Times New Roman" w:hAnsi="Times New Roman" w:cs="Times New Roman"/>
        </w:rPr>
        <w:footnoteRef/>
      </w:r>
      <w:r w:rsidRPr="005E6AD9">
        <w:rPr>
          <w:rFonts w:ascii="Times New Roman" w:hAnsi="Times New Roman" w:cs="Times New Roman"/>
        </w:rPr>
        <w:t xml:space="preserve"> </w:t>
      </w:r>
      <w:r w:rsidRPr="005E6AD9">
        <w:rPr>
          <w:rFonts w:ascii="Times New Roman" w:hAnsi="Times New Roman" w:cs="Times New Roman"/>
          <w:i/>
          <w:iCs/>
        </w:rPr>
        <w:t xml:space="preserve">Commissioner </w:t>
      </w:r>
      <w:r w:rsidR="00B67049" w:rsidRPr="005E6AD9">
        <w:rPr>
          <w:rFonts w:ascii="Times New Roman" w:hAnsi="Times New Roman" w:cs="Times New Roman"/>
          <w:i/>
          <w:iCs/>
        </w:rPr>
        <w:t>for</w:t>
      </w:r>
      <w:r w:rsidRPr="005E6AD9">
        <w:rPr>
          <w:rFonts w:ascii="Times New Roman" w:hAnsi="Times New Roman" w:cs="Times New Roman"/>
          <w:i/>
          <w:iCs/>
        </w:rPr>
        <w:t xml:space="preserve"> the South African Revenue Service v Rappa Resources (Pty) Ltd (Rappa Resources)</w:t>
      </w:r>
      <w:r w:rsidRPr="005E6AD9">
        <w:rPr>
          <w:rFonts w:ascii="Times New Roman" w:hAnsi="Times New Roman" w:cs="Times New Roman"/>
        </w:rPr>
        <w:t xml:space="preserve"> [2023] ZASCA 28</w:t>
      </w:r>
      <w:r w:rsidR="00AA0731" w:rsidRPr="005E6AD9">
        <w:rPr>
          <w:rFonts w:ascii="Times New Roman" w:hAnsi="Times New Roman" w:cs="Times New Roman"/>
        </w:rPr>
        <w:t>; 2023 (4) SA 488 (SCA)</w:t>
      </w:r>
      <w:r w:rsidRPr="005E6AD9">
        <w:rPr>
          <w:rFonts w:ascii="Times New Roman" w:hAnsi="Times New Roman" w:cs="Times New Roman"/>
        </w:rPr>
        <w:t xml:space="preserve"> para 20. See also </w:t>
      </w:r>
      <w:r w:rsidRPr="005E6AD9">
        <w:rPr>
          <w:rFonts w:ascii="Times New Roman" w:hAnsi="Times New Roman" w:cs="Times New Roman"/>
          <w:i/>
          <w:iCs/>
        </w:rPr>
        <w:t xml:space="preserve">United Manganese of Kalahari (Pty) Ltd v Commissioner </w:t>
      </w:r>
      <w:r w:rsidR="00B67049" w:rsidRPr="005E6AD9">
        <w:rPr>
          <w:rFonts w:ascii="Times New Roman" w:hAnsi="Times New Roman" w:cs="Times New Roman"/>
          <w:i/>
          <w:iCs/>
        </w:rPr>
        <w:t>for</w:t>
      </w:r>
      <w:r w:rsidRPr="005E6AD9">
        <w:rPr>
          <w:rFonts w:ascii="Times New Roman" w:hAnsi="Times New Roman" w:cs="Times New Roman"/>
          <w:i/>
          <w:iCs/>
        </w:rPr>
        <w:t xml:space="preserve"> the South African Revenue Service</w:t>
      </w:r>
      <w:r w:rsidRPr="005E6AD9">
        <w:rPr>
          <w:rFonts w:ascii="Times New Roman" w:hAnsi="Times New Roman" w:cs="Times New Roman"/>
        </w:rPr>
        <w:t xml:space="preserve"> </w:t>
      </w:r>
      <w:r w:rsidR="00CD6547" w:rsidRPr="005E6AD9">
        <w:rPr>
          <w:rFonts w:ascii="Times New Roman" w:hAnsi="Times New Roman" w:cs="Times New Roman"/>
        </w:rPr>
        <w:t>(1231/</w:t>
      </w:r>
      <w:r w:rsidR="005E6AD9" w:rsidRPr="005E6AD9">
        <w:rPr>
          <w:rFonts w:ascii="Times New Roman" w:hAnsi="Times New Roman" w:cs="Times New Roman"/>
        </w:rPr>
        <w:t>2021) [</w:t>
      </w:r>
      <w:r w:rsidRPr="005E6AD9">
        <w:rPr>
          <w:rFonts w:ascii="Times New Roman" w:hAnsi="Times New Roman" w:cs="Times New Roman"/>
        </w:rPr>
        <w:t>2023] ZASCA 29</w:t>
      </w:r>
      <w:r w:rsidR="00CD6547" w:rsidRPr="005E6AD9">
        <w:rPr>
          <w:rFonts w:ascii="Times New Roman" w:hAnsi="Times New Roman" w:cs="Times New Roman"/>
        </w:rPr>
        <w:t xml:space="preserve"> (24 March 2023)</w:t>
      </w:r>
      <w:r w:rsidRPr="005E6AD9">
        <w:rPr>
          <w:rFonts w:ascii="Times New Roman" w:hAnsi="Times New Roman" w:cs="Times New Roman"/>
        </w:rPr>
        <w:t>.</w:t>
      </w:r>
    </w:p>
  </w:footnote>
  <w:footnote w:id="7">
    <w:p w14:paraId="34B21C1B" w14:textId="0D3CD34B" w:rsidR="00D33AF2" w:rsidRPr="005E6AD9" w:rsidRDefault="00D33AF2" w:rsidP="00DB0BA1">
      <w:pPr>
        <w:pStyle w:val="FootnoteText"/>
        <w:jc w:val="both"/>
        <w:rPr>
          <w:rFonts w:ascii="Times New Roman" w:hAnsi="Times New Roman" w:cs="Times New Roman"/>
        </w:rPr>
      </w:pPr>
      <w:r w:rsidRPr="005E6AD9">
        <w:rPr>
          <w:rStyle w:val="FootnoteReference"/>
          <w:rFonts w:ascii="Times New Roman" w:hAnsi="Times New Roman" w:cs="Times New Roman"/>
        </w:rPr>
        <w:footnoteRef/>
      </w:r>
      <w:r w:rsidRPr="005E6AD9">
        <w:rPr>
          <w:rFonts w:ascii="Times New Roman" w:hAnsi="Times New Roman" w:cs="Times New Roman"/>
        </w:rPr>
        <w:t xml:space="preserve"> </w:t>
      </w:r>
      <w:r w:rsidRPr="005E6AD9">
        <w:rPr>
          <w:rFonts w:ascii="Times New Roman" w:hAnsi="Times New Roman" w:cs="Times New Roman"/>
          <w:i/>
          <w:iCs/>
        </w:rPr>
        <w:t>Rappa Resources</w:t>
      </w:r>
      <w:r w:rsidRPr="005E6AD9">
        <w:rPr>
          <w:rFonts w:ascii="Times New Roman" w:hAnsi="Times New Roman" w:cs="Times New Roman"/>
        </w:rPr>
        <w:t xml:space="preserve"> </w:t>
      </w:r>
      <w:r w:rsidR="00B67049" w:rsidRPr="005E6AD9">
        <w:rPr>
          <w:rFonts w:ascii="Times New Roman" w:hAnsi="Times New Roman" w:cs="Times New Roman"/>
        </w:rPr>
        <w:t xml:space="preserve">fn </w:t>
      </w:r>
      <w:r w:rsidR="001C2F8E">
        <w:rPr>
          <w:rFonts w:ascii="Times New Roman" w:hAnsi="Times New Roman" w:cs="Times New Roman"/>
        </w:rPr>
        <w:t>5</w:t>
      </w:r>
      <w:r w:rsidR="00B67049" w:rsidRPr="005E6AD9">
        <w:rPr>
          <w:rFonts w:ascii="Times New Roman" w:hAnsi="Times New Roman" w:cs="Times New Roman"/>
        </w:rPr>
        <w:t xml:space="preserve"> above</w:t>
      </w:r>
      <w:r w:rsidRPr="005E6AD9">
        <w:rPr>
          <w:rFonts w:ascii="Times New Roman" w:hAnsi="Times New Roman" w:cs="Times New Roman"/>
        </w:rPr>
        <w:t xml:space="preserve"> para 22.</w:t>
      </w:r>
    </w:p>
  </w:footnote>
  <w:footnote w:id="8">
    <w:p w14:paraId="2FECFC85" w14:textId="77777777" w:rsidR="00E90CCC" w:rsidRPr="005E6AD9" w:rsidRDefault="00E90CCC" w:rsidP="00DB0BA1">
      <w:pPr>
        <w:pStyle w:val="FootnoteText"/>
        <w:jc w:val="both"/>
        <w:rPr>
          <w:rFonts w:ascii="Times New Roman" w:hAnsi="Times New Roman" w:cs="Times New Roman"/>
        </w:rPr>
      </w:pPr>
      <w:r w:rsidRPr="005E6AD9">
        <w:rPr>
          <w:rStyle w:val="FootnoteReference"/>
          <w:rFonts w:ascii="Times New Roman" w:hAnsi="Times New Roman" w:cs="Times New Roman"/>
        </w:rPr>
        <w:footnoteRef/>
      </w:r>
      <w:r w:rsidRPr="005E6AD9">
        <w:rPr>
          <w:rFonts w:ascii="Times New Roman" w:hAnsi="Times New Roman" w:cs="Times New Roman"/>
        </w:rPr>
        <w:t xml:space="preserve"> </w:t>
      </w:r>
      <w:r w:rsidRPr="005E6AD9">
        <w:rPr>
          <w:rFonts w:ascii="Times New Roman" w:hAnsi="Times New Roman" w:cs="Times New Roman"/>
          <w:i/>
          <w:iCs/>
        </w:rPr>
        <w:t>CIR v Conhage</w:t>
      </w:r>
      <w:r w:rsidRPr="005E6AD9">
        <w:rPr>
          <w:rFonts w:ascii="Times New Roman" w:hAnsi="Times New Roman" w:cs="Times New Roman"/>
        </w:rPr>
        <w:t xml:space="preserve"> </w:t>
      </w:r>
      <w:r w:rsidR="00B67049" w:rsidRPr="005E6AD9">
        <w:rPr>
          <w:rFonts w:ascii="Times New Roman" w:hAnsi="Times New Roman" w:cs="Times New Roman"/>
        </w:rPr>
        <w:t xml:space="preserve">fn 1 above </w:t>
      </w:r>
      <w:r w:rsidRPr="005E6AD9">
        <w:rPr>
          <w:rFonts w:ascii="Times New Roman" w:hAnsi="Times New Roman" w:cs="Times New Roman"/>
        </w:rPr>
        <w:t>para 12.</w:t>
      </w:r>
    </w:p>
  </w:footnote>
  <w:footnote w:id="9">
    <w:p w14:paraId="31A04373" w14:textId="77777777" w:rsidR="00E90CCC" w:rsidRPr="00224EE3" w:rsidRDefault="00E90CCC" w:rsidP="00DB0BA1">
      <w:pPr>
        <w:pStyle w:val="FootnoteText"/>
        <w:jc w:val="both"/>
        <w:rPr>
          <w:rFonts w:ascii="Times New Roman" w:hAnsi="Times New Roman" w:cs="Times New Roman"/>
        </w:rPr>
      </w:pPr>
      <w:r w:rsidRPr="005E6AD9">
        <w:rPr>
          <w:rStyle w:val="FootnoteReference"/>
          <w:rFonts w:ascii="Times New Roman" w:hAnsi="Times New Roman" w:cs="Times New Roman"/>
        </w:rPr>
        <w:footnoteRef/>
      </w:r>
      <w:r w:rsidRPr="005E6AD9">
        <w:rPr>
          <w:rFonts w:ascii="Times New Roman" w:hAnsi="Times New Roman" w:cs="Times New Roman"/>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10"/>
      <w:gridCol w:w="3009"/>
      <w:gridCol w:w="3007"/>
    </w:tblGrid>
    <w:tr w:rsidR="0078005C" w:rsidRPr="0078005C" w14:paraId="5E4F30DA" w14:textId="77777777">
      <w:trPr>
        <w:trHeight w:val="720"/>
      </w:trPr>
      <w:tc>
        <w:tcPr>
          <w:tcW w:w="1667" w:type="pct"/>
        </w:tcPr>
        <w:p w14:paraId="2478290D" w14:textId="77777777" w:rsidR="0078005C" w:rsidRDefault="0078005C">
          <w:pPr>
            <w:pStyle w:val="Header"/>
            <w:rPr>
              <w:color w:val="4472C4" w:themeColor="accent1"/>
            </w:rPr>
          </w:pPr>
        </w:p>
      </w:tc>
      <w:tc>
        <w:tcPr>
          <w:tcW w:w="1667" w:type="pct"/>
        </w:tcPr>
        <w:p w14:paraId="30CBA965" w14:textId="77777777" w:rsidR="0078005C" w:rsidRDefault="0078005C">
          <w:pPr>
            <w:pStyle w:val="Header"/>
            <w:jc w:val="center"/>
            <w:rPr>
              <w:color w:val="4472C4" w:themeColor="accent1"/>
            </w:rPr>
          </w:pPr>
        </w:p>
      </w:tc>
      <w:tc>
        <w:tcPr>
          <w:tcW w:w="1666" w:type="pct"/>
        </w:tcPr>
        <w:p w14:paraId="102E6116" w14:textId="77777777" w:rsidR="0078005C" w:rsidRPr="0078005C" w:rsidRDefault="0078005C">
          <w:pPr>
            <w:pStyle w:val="Header"/>
            <w:jc w:val="right"/>
            <w:rPr>
              <w:rFonts w:ascii="Times New Roman" w:hAnsi="Times New Roman" w:cs="Times New Roman"/>
              <w:sz w:val="24"/>
              <w:szCs w:val="24"/>
            </w:rPr>
          </w:pPr>
          <w:r w:rsidRPr="0078005C">
            <w:rPr>
              <w:rFonts w:ascii="Times New Roman" w:hAnsi="Times New Roman" w:cs="Times New Roman"/>
              <w:sz w:val="24"/>
              <w:szCs w:val="24"/>
            </w:rPr>
            <w:fldChar w:fldCharType="begin"/>
          </w:r>
          <w:r w:rsidRPr="0078005C">
            <w:rPr>
              <w:rFonts w:ascii="Times New Roman" w:hAnsi="Times New Roman" w:cs="Times New Roman"/>
              <w:sz w:val="24"/>
              <w:szCs w:val="24"/>
            </w:rPr>
            <w:instrText xml:space="preserve"> PAGE   \* MERGEFORMAT </w:instrText>
          </w:r>
          <w:r w:rsidRPr="0078005C">
            <w:rPr>
              <w:rFonts w:ascii="Times New Roman" w:hAnsi="Times New Roman" w:cs="Times New Roman"/>
              <w:sz w:val="24"/>
              <w:szCs w:val="24"/>
            </w:rPr>
            <w:fldChar w:fldCharType="separate"/>
          </w:r>
          <w:r w:rsidR="0033268F">
            <w:rPr>
              <w:rFonts w:ascii="Times New Roman" w:hAnsi="Times New Roman" w:cs="Times New Roman"/>
              <w:noProof/>
              <w:sz w:val="24"/>
              <w:szCs w:val="24"/>
            </w:rPr>
            <w:t>3</w:t>
          </w:r>
          <w:r w:rsidRPr="0078005C">
            <w:rPr>
              <w:rFonts w:ascii="Times New Roman" w:hAnsi="Times New Roman" w:cs="Times New Roman"/>
              <w:sz w:val="24"/>
              <w:szCs w:val="24"/>
            </w:rPr>
            <w:fldChar w:fldCharType="end"/>
          </w:r>
        </w:p>
      </w:tc>
    </w:tr>
  </w:tbl>
  <w:p w14:paraId="1F120D50" w14:textId="77777777" w:rsidR="0078005C" w:rsidRDefault="00780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13E8"/>
    <w:multiLevelType w:val="hybridMultilevel"/>
    <w:tmpl w:val="2D9864A2"/>
    <w:lvl w:ilvl="0" w:tplc="0D1656D6">
      <w:start w:val="1"/>
      <w:numFmt w:val="decimal"/>
      <w:lvlText w:val="[%1]"/>
      <w:lvlJc w:val="left"/>
      <w:pPr>
        <w:ind w:left="720" w:hanging="360"/>
      </w:pPr>
      <w:rPr>
        <w:rFonts w:hint="default"/>
        <w:sz w:val="28"/>
        <w:szCs w:val="28"/>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C61D9E"/>
    <w:multiLevelType w:val="hybridMultilevel"/>
    <w:tmpl w:val="8D022FB6"/>
    <w:lvl w:ilvl="0" w:tplc="8F8C99B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A0E25D8"/>
    <w:multiLevelType w:val="hybridMultilevel"/>
    <w:tmpl w:val="98EC2FDA"/>
    <w:lvl w:ilvl="0" w:tplc="25D605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6759B5"/>
    <w:multiLevelType w:val="hybridMultilevel"/>
    <w:tmpl w:val="CD7E139C"/>
    <w:lvl w:ilvl="0" w:tplc="1DF6E71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2B63F62"/>
    <w:multiLevelType w:val="hybridMultilevel"/>
    <w:tmpl w:val="9A403198"/>
    <w:lvl w:ilvl="0" w:tplc="362475F4">
      <w:start w:val="2"/>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3A980CEF"/>
    <w:multiLevelType w:val="hybridMultilevel"/>
    <w:tmpl w:val="E42297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C886DBD"/>
    <w:multiLevelType w:val="hybridMultilevel"/>
    <w:tmpl w:val="60563CB8"/>
    <w:lvl w:ilvl="0" w:tplc="90022F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68DF"/>
    <w:multiLevelType w:val="hybridMultilevel"/>
    <w:tmpl w:val="B752471A"/>
    <w:lvl w:ilvl="0" w:tplc="41B40CD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E0E7E2F"/>
    <w:multiLevelType w:val="hybridMultilevel"/>
    <w:tmpl w:val="448060F0"/>
    <w:lvl w:ilvl="0" w:tplc="59708E80">
      <w:start w:val="1"/>
      <w:numFmt w:val="lowerRoman"/>
      <w:lvlText w:val="(%1)"/>
      <w:lvlJc w:val="left"/>
      <w:pPr>
        <w:ind w:left="1506"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10F18CC"/>
    <w:multiLevelType w:val="hybridMultilevel"/>
    <w:tmpl w:val="EF461936"/>
    <w:lvl w:ilvl="0" w:tplc="5AF00728">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1C860FB"/>
    <w:multiLevelType w:val="hybridMultilevel"/>
    <w:tmpl w:val="C38A1106"/>
    <w:lvl w:ilvl="0" w:tplc="84121374">
      <w:start w:val="1"/>
      <w:numFmt w:val="lowerRoman"/>
      <w:lvlText w:val="(%1)"/>
      <w:lvlJc w:val="left"/>
      <w:pPr>
        <w:ind w:left="1506" w:hanging="72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1">
    <w:nsid w:val="751B5D90"/>
    <w:multiLevelType w:val="hybridMultilevel"/>
    <w:tmpl w:val="4C2457B0"/>
    <w:lvl w:ilvl="0" w:tplc="59708E80">
      <w:start w:val="1"/>
      <w:numFmt w:val="lowerRoman"/>
      <w:lvlText w:val="(%1)"/>
      <w:lvlJc w:val="left"/>
      <w:pPr>
        <w:ind w:left="1506" w:hanging="72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2">
    <w:nsid w:val="798A6965"/>
    <w:multiLevelType w:val="hybridMultilevel"/>
    <w:tmpl w:val="ABF43D24"/>
    <w:lvl w:ilvl="0" w:tplc="B56A10B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0"/>
  </w:num>
  <w:num w:numId="5">
    <w:abstractNumId w:val="11"/>
  </w:num>
  <w:num w:numId="6">
    <w:abstractNumId w:val="8"/>
  </w:num>
  <w:num w:numId="7">
    <w:abstractNumId w:val="12"/>
  </w:num>
  <w:num w:numId="8">
    <w:abstractNumId w:val="6"/>
  </w:num>
  <w:num w:numId="9">
    <w:abstractNumId w:val="1"/>
  </w:num>
  <w:num w:numId="10">
    <w:abstractNumId w:val="9"/>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8A"/>
    <w:rsid w:val="00011EC6"/>
    <w:rsid w:val="00023DE0"/>
    <w:rsid w:val="00047BA0"/>
    <w:rsid w:val="000858C8"/>
    <w:rsid w:val="000C10D2"/>
    <w:rsid w:val="000C1A7B"/>
    <w:rsid w:val="000D55F6"/>
    <w:rsid w:val="000F117F"/>
    <w:rsid w:val="001056E3"/>
    <w:rsid w:val="00106A13"/>
    <w:rsid w:val="001177A5"/>
    <w:rsid w:val="00122E89"/>
    <w:rsid w:val="0015074A"/>
    <w:rsid w:val="00156C62"/>
    <w:rsid w:val="00156D9D"/>
    <w:rsid w:val="00161BBC"/>
    <w:rsid w:val="001C2F8E"/>
    <w:rsid w:val="00213622"/>
    <w:rsid w:val="00224EE3"/>
    <w:rsid w:val="00227A6D"/>
    <w:rsid w:val="00250956"/>
    <w:rsid w:val="00283DF5"/>
    <w:rsid w:val="0029442D"/>
    <w:rsid w:val="002B1E58"/>
    <w:rsid w:val="002C2BDF"/>
    <w:rsid w:val="002D05FB"/>
    <w:rsid w:val="002D1BA1"/>
    <w:rsid w:val="002D1ED1"/>
    <w:rsid w:val="002D770D"/>
    <w:rsid w:val="002F476D"/>
    <w:rsid w:val="0030327E"/>
    <w:rsid w:val="00310195"/>
    <w:rsid w:val="00312D98"/>
    <w:rsid w:val="0033268F"/>
    <w:rsid w:val="00345F56"/>
    <w:rsid w:val="00353B43"/>
    <w:rsid w:val="003659AB"/>
    <w:rsid w:val="00367905"/>
    <w:rsid w:val="003A10BF"/>
    <w:rsid w:val="003A5547"/>
    <w:rsid w:val="003A725B"/>
    <w:rsid w:val="003C002F"/>
    <w:rsid w:val="003C2970"/>
    <w:rsid w:val="003C5E70"/>
    <w:rsid w:val="003D4A39"/>
    <w:rsid w:val="003F1BFA"/>
    <w:rsid w:val="003F7466"/>
    <w:rsid w:val="00401253"/>
    <w:rsid w:val="00403B5E"/>
    <w:rsid w:val="00413E24"/>
    <w:rsid w:val="004436F6"/>
    <w:rsid w:val="004548B6"/>
    <w:rsid w:val="00460701"/>
    <w:rsid w:val="004660CF"/>
    <w:rsid w:val="004666CA"/>
    <w:rsid w:val="004716BD"/>
    <w:rsid w:val="00475DC3"/>
    <w:rsid w:val="004838B1"/>
    <w:rsid w:val="00490FF6"/>
    <w:rsid w:val="004B3AF4"/>
    <w:rsid w:val="004B6B47"/>
    <w:rsid w:val="004C601A"/>
    <w:rsid w:val="004E5D32"/>
    <w:rsid w:val="004F25D5"/>
    <w:rsid w:val="005118AA"/>
    <w:rsid w:val="00514186"/>
    <w:rsid w:val="00593FCD"/>
    <w:rsid w:val="005B1023"/>
    <w:rsid w:val="005C6487"/>
    <w:rsid w:val="005C6907"/>
    <w:rsid w:val="005E2055"/>
    <w:rsid w:val="005E6AD9"/>
    <w:rsid w:val="005F5653"/>
    <w:rsid w:val="005F6206"/>
    <w:rsid w:val="00622B66"/>
    <w:rsid w:val="00657C07"/>
    <w:rsid w:val="00660402"/>
    <w:rsid w:val="00673EA8"/>
    <w:rsid w:val="006A18E2"/>
    <w:rsid w:val="006B4B95"/>
    <w:rsid w:val="006C3A3C"/>
    <w:rsid w:val="006C4EC6"/>
    <w:rsid w:val="006E0F3A"/>
    <w:rsid w:val="006E5B02"/>
    <w:rsid w:val="00720DAA"/>
    <w:rsid w:val="00767A0D"/>
    <w:rsid w:val="0077105C"/>
    <w:rsid w:val="0078005C"/>
    <w:rsid w:val="00790E1C"/>
    <w:rsid w:val="007A05A9"/>
    <w:rsid w:val="007A1FBD"/>
    <w:rsid w:val="007A5C1D"/>
    <w:rsid w:val="007A5C84"/>
    <w:rsid w:val="007B0C57"/>
    <w:rsid w:val="007D0380"/>
    <w:rsid w:val="007D28A7"/>
    <w:rsid w:val="007E1FB4"/>
    <w:rsid w:val="007E3B8A"/>
    <w:rsid w:val="007F057F"/>
    <w:rsid w:val="008041E2"/>
    <w:rsid w:val="0082409F"/>
    <w:rsid w:val="00826D1F"/>
    <w:rsid w:val="008368C9"/>
    <w:rsid w:val="008704C7"/>
    <w:rsid w:val="008A2810"/>
    <w:rsid w:val="008B6729"/>
    <w:rsid w:val="008C0E27"/>
    <w:rsid w:val="008F6E60"/>
    <w:rsid w:val="00906720"/>
    <w:rsid w:val="00906ADE"/>
    <w:rsid w:val="0091081C"/>
    <w:rsid w:val="009159BC"/>
    <w:rsid w:val="00922C29"/>
    <w:rsid w:val="00931820"/>
    <w:rsid w:val="009557C0"/>
    <w:rsid w:val="009618AD"/>
    <w:rsid w:val="009673DE"/>
    <w:rsid w:val="00972483"/>
    <w:rsid w:val="009C2172"/>
    <w:rsid w:val="00A21CA2"/>
    <w:rsid w:val="00A33423"/>
    <w:rsid w:val="00A70CDB"/>
    <w:rsid w:val="00AA0731"/>
    <w:rsid w:val="00AA7ACA"/>
    <w:rsid w:val="00AB2FBD"/>
    <w:rsid w:val="00AB69C4"/>
    <w:rsid w:val="00AD1C62"/>
    <w:rsid w:val="00B01862"/>
    <w:rsid w:val="00B31A0A"/>
    <w:rsid w:val="00B32E43"/>
    <w:rsid w:val="00B3321F"/>
    <w:rsid w:val="00B34F4E"/>
    <w:rsid w:val="00B3524A"/>
    <w:rsid w:val="00B46F59"/>
    <w:rsid w:val="00B62A51"/>
    <w:rsid w:val="00B67049"/>
    <w:rsid w:val="00B70543"/>
    <w:rsid w:val="00B8098A"/>
    <w:rsid w:val="00BA22C3"/>
    <w:rsid w:val="00BC6F92"/>
    <w:rsid w:val="00BE3903"/>
    <w:rsid w:val="00BF44C3"/>
    <w:rsid w:val="00C036FD"/>
    <w:rsid w:val="00C0492E"/>
    <w:rsid w:val="00C26957"/>
    <w:rsid w:val="00C66575"/>
    <w:rsid w:val="00C67436"/>
    <w:rsid w:val="00C84383"/>
    <w:rsid w:val="00CA0E94"/>
    <w:rsid w:val="00CA35B2"/>
    <w:rsid w:val="00CB0C7B"/>
    <w:rsid w:val="00CC62F4"/>
    <w:rsid w:val="00CD6547"/>
    <w:rsid w:val="00CE2A17"/>
    <w:rsid w:val="00CF6D00"/>
    <w:rsid w:val="00D30660"/>
    <w:rsid w:val="00D33AF2"/>
    <w:rsid w:val="00D43337"/>
    <w:rsid w:val="00D43A69"/>
    <w:rsid w:val="00D7104A"/>
    <w:rsid w:val="00D76E1A"/>
    <w:rsid w:val="00D83679"/>
    <w:rsid w:val="00DB0BA1"/>
    <w:rsid w:val="00DD73B0"/>
    <w:rsid w:val="00E24346"/>
    <w:rsid w:val="00E55157"/>
    <w:rsid w:val="00E64D28"/>
    <w:rsid w:val="00E809E4"/>
    <w:rsid w:val="00E90CCC"/>
    <w:rsid w:val="00E93863"/>
    <w:rsid w:val="00EA6450"/>
    <w:rsid w:val="00EA7A8E"/>
    <w:rsid w:val="00EB5467"/>
    <w:rsid w:val="00ED6C72"/>
    <w:rsid w:val="00F22206"/>
    <w:rsid w:val="00F30E1B"/>
    <w:rsid w:val="00F3220B"/>
    <w:rsid w:val="00F4749F"/>
    <w:rsid w:val="00F5259E"/>
    <w:rsid w:val="00F622FB"/>
    <w:rsid w:val="00FA777C"/>
    <w:rsid w:val="00FB34B6"/>
    <w:rsid w:val="00FC21C7"/>
    <w:rsid w:val="00FC2454"/>
    <w:rsid w:val="00FD55A3"/>
    <w:rsid w:val="00FE260A"/>
    <w:rsid w:val="00FE35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C4350"/>
  <w15:docId w15:val="{7901D696-05B8-4ECE-BAF6-9583A39E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0A"/>
    <w:pPr>
      <w:ind w:left="720"/>
      <w:contextualSpacing/>
    </w:pPr>
  </w:style>
  <w:style w:type="paragraph" w:styleId="FootnoteText">
    <w:name w:val="footnote text"/>
    <w:basedOn w:val="Normal"/>
    <w:link w:val="FootnoteTextChar"/>
    <w:uiPriority w:val="99"/>
    <w:semiHidden/>
    <w:unhideWhenUsed/>
    <w:rsid w:val="00767A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A0D"/>
    <w:rPr>
      <w:sz w:val="20"/>
      <w:szCs w:val="20"/>
    </w:rPr>
  </w:style>
  <w:style w:type="character" w:styleId="FootnoteReference">
    <w:name w:val="footnote reference"/>
    <w:basedOn w:val="DefaultParagraphFont"/>
    <w:uiPriority w:val="99"/>
    <w:semiHidden/>
    <w:unhideWhenUsed/>
    <w:rsid w:val="00767A0D"/>
    <w:rPr>
      <w:vertAlign w:val="superscript"/>
    </w:rPr>
  </w:style>
  <w:style w:type="paragraph" w:styleId="Header">
    <w:name w:val="header"/>
    <w:basedOn w:val="Normal"/>
    <w:link w:val="HeaderChar"/>
    <w:uiPriority w:val="99"/>
    <w:unhideWhenUsed/>
    <w:rsid w:val="0078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05C"/>
  </w:style>
  <w:style w:type="paragraph" w:styleId="Footer">
    <w:name w:val="footer"/>
    <w:basedOn w:val="Normal"/>
    <w:link w:val="FooterChar"/>
    <w:uiPriority w:val="99"/>
    <w:unhideWhenUsed/>
    <w:rsid w:val="0078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05C"/>
  </w:style>
  <w:style w:type="character" w:styleId="CommentReference">
    <w:name w:val="annotation reference"/>
    <w:basedOn w:val="DefaultParagraphFont"/>
    <w:uiPriority w:val="99"/>
    <w:semiHidden/>
    <w:unhideWhenUsed/>
    <w:rsid w:val="003D4A39"/>
    <w:rPr>
      <w:sz w:val="16"/>
      <w:szCs w:val="16"/>
    </w:rPr>
  </w:style>
  <w:style w:type="paragraph" w:styleId="CommentText">
    <w:name w:val="annotation text"/>
    <w:basedOn w:val="Normal"/>
    <w:link w:val="CommentTextChar"/>
    <w:uiPriority w:val="99"/>
    <w:semiHidden/>
    <w:unhideWhenUsed/>
    <w:rsid w:val="003D4A39"/>
    <w:pPr>
      <w:spacing w:line="240" w:lineRule="auto"/>
    </w:pPr>
    <w:rPr>
      <w:sz w:val="20"/>
      <w:szCs w:val="20"/>
    </w:rPr>
  </w:style>
  <w:style w:type="character" w:customStyle="1" w:styleId="CommentTextChar">
    <w:name w:val="Comment Text Char"/>
    <w:basedOn w:val="DefaultParagraphFont"/>
    <w:link w:val="CommentText"/>
    <w:uiPriority w:val="99"/>
    <w:semiHidden/>
    <w:rsid w:val="003D4A39"/>
    <w:rPr>
      <w:sz w:val="20"/>
      <w:szCs w:val="20"/>
    </w:rPr>
  </w:style>
  <w:style w:type="paragraph" w:styleId="CommentSubject">
    <w:name w:val="annotation subject"/>
    <w:basedOn w:val="CommentText"/>
    <w:next w:val="CommentText"/>
    <w:link w:val="CommentSubjectChar"/>
    <w:uiPriority w:val="99"/>
    <w:semiHidden/>
    <w:unhideWhenUsed/>
    <w:rsid w:val="003D4A39"/>
    <w:rPr>
      <w:b/>
      <w:bCs/>
    </w:rPr>
  </w:style>
  <w:style w:type="character" w:customStyle="1" w:styleId="CommentSubjectChar">
    <w:name w:val="Comment Subject Char"/>
    <w:basedOn w:val="CommentTextChar"/>
    <w:link w:val="CommentSubject"/>
    <w:uiPriority w:val="99"/>
    <w:semiHidden/>
    <w:rsid w:val="003D4A39"/>
    <w:rPr>
      <w:b/>
      <w:bCs/>
      <w:sz w:val="20"/>
      <w:szCs w:val="20"/>
    </w:rPr>
  </w:style>
  <w:style w:type="paragraph" w:styleId="BalloonText">
    <w:name w:val="Balloon Text"/>
    <w:basedOn w:val="Normal"/>
    <w:link w:val="BalloonTextChar"/>
    <w:uiPriority w:val="99"/>
    <w:semiHidden/>
    <w:unhideWhenUsed/>
    <w:rsid w:val="003D4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39"/>
    <w:rPr>
      <w:rFonts w:ascii="Segoe UI" w:hAnsi="Segoe UI" w:cs="Segoe UI"/>
      <w:sz w:val="18"/>
      <w:szCs w:val="18"/>
    </w:rPr>
  </w:style>
  <w:style w:type="character" w:styleId="Hyperlink">
    <w:name w:val="Hyperlink"/>
    <w:basedOn w:val="DefaultParagraphFont"/>
    <w:uiPriority w:val="99"/>
    <w:unhideWhenUsed/>
    <w:rsid w:val="00B32E43"/>
    <w:rPr>
      <w:color w:val="0563C1" w:themeColor="hyperlink"/>
      <w:u w:val="single"/>
    </w:rPr>
  </w:style>
  <w:style w:type="paragraph" w:styleId="Revision">
    <w:name w:val="Revision"/>
    <w:hidden/>
    <w:uiPriority w:val="99"/>
    <w:semiHidden/>
    <w:rsid w:val="00471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71617">
      <w:bodyDiv w:val="1"/>
      <w:marLeft w:val="0"/>
      <w:marRight w:val="0"/>
      <w:marTop w:val="0"/>
      <w:marBottom w:val="0"/>
      <w:divBdr>
        <w:top w:val="none" w:sz="0" w:space="0" w:color="auto"/>
        <w:left w:val="none" w:sz="0" w:space="0" w:color="auto"/>
        <w:bottom w:val="none" w:sz="0" w:space="0" w:color="auto"/>
        <w:right w:val="none" w:sz="0" w:space="0" w:color="auto"/>
      </w:divBdr>
      <w:divsChild>
        <w:div w:id="1803619104">
          <w:marLeft w:val="0"/>
          <w:marRight w:val="0"/>
          <w:marTop w:val="240"/>
          <w:marBottom w:val="0"/>
          <w:divBdr>
            <w:top w:val="none" w:sz="0" w:space="0" w:color="auto"/>
            <w:left w:val="none" w:sz="0" w:space="0" w:color="auto"/>
            <w:bottom w:val="none" w:sz="0" w:space="0" w:color="auto"/>
            <w:right w:val="none" w:sz="0" w:space="0" w:color="auto"/>
          </w:divBdr>
        </w:div>
        <w:div w:id="1311864328">
          <w:marLeft w:val="0"/>
          <w:marRight w:val="0"/>
          <w:marTop w:val="120"/>
          <w:marBottom w:val="0"/>
          <w:divBdr>
            <w:top w:val="none" w:sz="0" w:space="0" w:color="auto"/>
            <w:left w:val="none" w:sz="0" w:space="0" w:color="auto"/>
            <w:bottom w:val="none" w:sz="0" w:space="0" w:color="auto"/>
            <w:right w:val="none" w:sz="0" w:space="0" w:color="auto"/>
          </w:divBdr>
        </w:div>
        <w:div w:id="1229078471">
          <w:marLeft w:val="284"/>
          <w:marRight w:val="0"/>
          <w:marTop w:val="80"/>
          <w:marBottom w:val="0"/>
          <w:divBdr>
            <w:top w:val="none" w:sz="0" w:space="0" w:color="auto"/>
            <w:left w:val="none" w:sz="0" w:space="0" w:color="auto"/>
            <w:bottom w:val="none" w:sz="0" w:space="0" w:color="auto"/>
            <w:right w:val="none" w:sz="0" w:space="0" w:color="auto"/>
          </w:divBdr>
        </w:div>
        <w:div w:id="1659386539">
          <w:marLeft w:val="284"/>
          <w:marRight w:val="0"/>
          <w:marTop w:val="80"/>
          <w:marBottom w:val="0"/>
          <w:divBdr>
            <w:top w:val="none" w:sz="0" w:space="0" w:color="auto"/>
            <w:left w:val="none" w:sz="0" w:space="0" w:color="auto"/>
            <w:bottom w:val="none" w:sz="0" w:space="0" w:color="auto"/>
            <w:right w:val="none" w:sz="0" w:space="0" w:color="auto"/>
          </w:divBdr>
        </w:div>
        <w:div w:id="1371028947">
          <w:marLeft w:val="567"/>
          <w:marRight w:val="567"/>
          <w:marTop w:val="20"/>
          <w:marBottom w:val="20"/>
          <w:divBdr>
            <w:top w:val="none" w:sz="0" w:space="0" w:color="auto"/>
            <w:left w:val="none" w:sz="0" w:space="0" w:color="auto"/>
            <w:bottom w:val="none" w:sz="0" w:space="0" w:color="auto"/>
            <w:right w:val="none" w:sz="0" w:space="0" w:color="auto"/>
          </w:divBdr>
        </w:div>
        <w:div w:id="1725323906">
          <w:marLeft w:val="284"/>
          <w:marRight w:val="0"/>
          <w:marTop w:val="80"/>
          <w:marBottom w:val="0"/>
          <w:divBdr>
            <w:top w:val="none" w:sz="0" w:space="0" w:color="auto"/>
            <w:left w:val="none" w:sz="0" w:space="0" w:color="auto"/>
            <w:bottom w:val="none" w:sz="0" w:space="0" w:color="auto"/>
            <w:right w:val="none" w:sz="0" w:space="0" w:color="auto"/>
          </w:divBdr>
        </w:div>
        <w:div w:id="1185484659">
          <w:marLeft w:val="284"/>
          <w:marRight w:val="0"/>
          <w:marTop w:val="80"/>
          <w:marBottom w:val="0"/>
          <w:divBdr>
            <w:top w:val="none" w:sz="0" w:space="0" w:color="auto"/>
            <w:left w:val="none" w:sz="0" w:space="0" w:color="auto"/>
            <w:bottom w:val="none" w:sz="0" w:space="0" w:color="auto"/>
            <w:right w:val="none" w:sz="0" w:space="0" w:color="auto"/>
          </w:divBdr>
        </w:div>
        <w:div w:id="920215616">
          <w:marLeft w:val="1134"/>
          <w:marRight w:val="0"/>
          <w:marTop w:val="60"/>
          <w:marBottom w:val="0"/>
          <w:divBdr>
            <w:top w:val="none" w:sz="0" w:space="0" w:color="auto"/>
            <w:left w:val="none" w:sz="0" w:space="0" w:color="auto"/>
            <w:bottom w:val="none" w:sz="0" w:space="0" w:color="auto"/>
            <w:right w:val="none" w:sz="0" w:space="0" w:color="auto"/>
          </w:divBdr>
        </w:div>
        <w:div w:id="341053693">
          <w:marLeft w:val="1134"/>
          <w:marRight w:val="0"/>
          <w:marTop w:val="60"/>
          <w:marBottom w:val="0"/>
          <w:divBdr>
            <w:top w:val="none" w:sz="0" w:space="0" w:color="auto"/>
            <w:left w:val="none" w:sz="0" w:space="0" w:color="auto"/>
            <w:bottom w:val="none" w:sz="0" w:space="0" w:color="auto"/>
            <w:right w:val="none" w:sz="0" w:space="0" w:color="auto"/>
          </w:divBdr>
        </w:div>
        <w:div w:id="1240404562">
          <w:marLeft w:val="1134"/>
          <w:marRight w:val="0"/>
          <w:marTop w:val="60"/>
          <w:marBottom w:val="0"/>
          <w:divBdr>
            <w:top w:val="none" w:sz="0" w:space="0" w:color="auto"/>
            <w:left w:val="none" w:sz="0" w:space="0" w:color="auto"/>
            <w:bottom w:val="none" w:sz="0" w:space="0" w:color="auto"/>
            <w:right w:val="none" w:sz="0" w:space="0" w:color="auto"/>
          </w:divBdr>
        </w:div>
        <w:div w:id="1517117046">
          <w:marLeft w:val="1134"/>
          <w:marRight w:val="0"/>
          <w:marTop w:val="60"/>
          <w:marBottom w:val="0"/>
          <w:divBdr>
            <w:top w:val="none" w:sz="0" w:space="0" w:color="auto"/>
            <w:left w:val="none" w:sz="0" w:space="0" w:color="auto"/>
            <w:bottom w:val="none" w:sz="0" w:space="0" w:color="auto"/>
            <w:right w:val="none" w:sz="0" w:space="0" w:color="auto"/>
          </w:divBdr>
        </w:div>
        <w:div w:id="115224535">
          <w:marLeft w:val="1134"/>
          <w:marRight w:val="0"/>
          <w:marTop w:val="60"/>
          <w:marBottom w:val="0"/>
          <w:divBdr>
            <w:top w:val="none" w:sz="0" w:space="0" w:color="auto"/>
            <w:left w:val="none" w:sz="0" w:space="0" w:color="auto"/>
            <w:bottom w:val="none" w:sz="0" w:space="0" w:color="auto"/>
            <w:right w:val="none" w:sz="0" w:space="0" w:color="auto"/>
          </w:divBdr>
        </w:div>
        <w:div w:id="1861432720">
          <w:marLeft w:val="284"/>
          <w:marRight w:val="0"/>
          <w:marTop w:val="40"/>
          <w:marBottom w:val="0"/>
          <w:divBdr>
            <w:top w:val="none" w:sz="0" w:space="0" w:color="auto"/>
            <w:left w:val="none" w:sz="0" w:space="0" w:color="auto"/>
            <w:bottom w:val="none" w:sz="0" w:space="0" w:color="auto"/>
            <w:right w:val="none" w:sz="0" w:space="0" w:color="auto"/>
          </w:divBdr>
        </w:div>
        <w:div w:id="1822303929">
          <w:marLeft w:val="284"/>
          <w:marRight w:val="0"/>
          <w:marTop w:val="80"/>
          <w:marBottom w:val="0"/>
          <w:divBdr>
            <w:top w:val="none" w:sz="0" w:space="0" w:color="auto"/>
            <w:left w:val="none" w:sz="0" w:space="0" w:color="auto"/>
            <w:bottom w:val="none" w:sz="0" w:space="0" w:color="auto"/>
            <w:right w:val="none" w:sz="0" w:space="0" w:color="auto"/>
          </w:divBdr>
        </w:div>
        <w:div w:id="607127435">
          <w:marLeft w:val="567"/>
          <w:marRight w:val="567"/>
          <w:marTop w:val="20"/>
          <w:marBottom w:val="20"/>
          <w:divBdr>
            <w:top w:val="none" w:sz="0" w:space="0" w:color="auto"/>
            <w:left w:val="none" w:sz="0" w:space="0" w:color="auto"/>
            <w:bottom w:val="none" w:sz="0" w:space="0" w:color="auto"/>
            <w:right w:val="none" w:sz="0" w:space="0" w:color="auto"/>
          </w:divBdr>
        </w:div>
        <w:div w:id="1871919059">
          <w:marLeft w:val="284"/>
          <w:marRight w:val="0"/>
          <w:marTop w:val="80"/>
          <w:marBottom w:val="0"/>
          <w:divBdr>
            <w:top w:val="none" w:sz="0" w:space="0" w:color="auto"/>
            <w:left w:val="none" w:sz="0" w:space="0" w:color="auto"/>
            <w:bottom w:val="none" w:sz="0" w:space="0" w:color="auto"/>
            <w:right w:val="none" w:sz="0" w:space="0" w:color="auto"/>
          </w:divBdr>
        </w:div>
      </w:divsChild>
    </w:div>
    <w:div w:id="2038970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078E-0FE7-48A1-B538-50844C05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4104</Words>
  <Characters>23395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Goosen</dc:creator>
  <cp:keywords/>
  <dc:description/>
  <cp:lastModifiedBy>Mokone</cp:lastModifiedBy>
  <cp:revision>3</cp:revision>
  <dcterms:created xsi:type="dcterms:W3CDTF">2023-09-29T09:46:00Z</dcterms:created>
  <dcterms:modified xsi:type="dcterms:W3CDTF">2023-09-29T09:47:00Z</dcterms:modified>
</cp:coreProperties>
</file>