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B363F" w14:textId="15BADF0B" w:rsidR="00F17FD3" w:rsidRPr="00BD72CC" w:rsidRDefault="009D0902" w:rsidP="00F17FD3">
      <w:pPr>
        <w:rPr>
          <w:rFonts w:ascii="Arial" w:hAnsi="Arial" w:cs="Arial"/>
          <w:bCs/>
          <w:sz w:val="28"/>
          <w:szCs w:val="28"/>
          <w:lang w:val="en-ZA"/>
        </w:rPr>
      </w:pPr>
      <w:r w:rsidRPr="00BD72CC">
        <w:rPr>
          <w:rFonts w:ascii="Arial" w:hAnsi="Arial" w:cs="Arial"/>
          <w:noProof/>
          <w:lang w:val="en-US"/>
        </w:rPr>
        <w:drawing>
          <wp:anchor distT="0" distB="0" distL="114300" distR="114300" simplePos="0" relativeHeight="251659264" behindDoc="0" locked="0" layoutInCell="1" allowOverlap="1" wp14:anchorId="44B2A350" wp14:editId="76D64BE9">
            <wp:simplePos x="0" y="0"/>
            <wp:positionH relativeFrom="column">
              <wp:posOffset>2465705</wp:posOffset>
            </wp:positionH>
            <wp:positionV relativeFrom="paragraph">
              <wp:posOffset>-60960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6C1CD744" w14:textId="77777777" w:rsidR="00F17FD3" w:rsidRPr="00BD72CC" w:rsidRDefault="00F17FD3" w:rsidP="00F17FD3">
      <w:pPr>
        <w:jc w:val="center"/>
        <w:rPr>
          <w:rFonts w:ascii="Arial" w:hAnsi="Arial" w:cs="Arial"/>
          <w:b/>
          <w:bCs/>
        </w:rPr>
      </w:pPr>
    </w:p>
    <w:p w14:paraId="297B3760" w14:textId="77777777" w:rsidR="00F17FD3" w:rsidRPr="00BD72CC" w:rsidRDefault="00F17FD3" w:rsidP="00F17FD3">
      <w:pPr>
        <w:jc w:val="center"/>
        <w:rPr>
          <w:rFonts w:ascii="Arial" w:hAnsi="Arial" w:cs="Arial"/>
          <w:b/>
          <w:bCs/>
        </w:rPr>
      </w:pPr>
    </w:p>
    <w:p w14:paraId="77083876" w14:textId="2A262DE1" w:rsidR="00F17FD3" w:rsidRPr="00BD72CC" w:rsidRDefault="00F17FD3" w:rsidP="00F17FD3">
      <w:pPr>
        <w:jc w:val="center"/>
        <w:rPr>
          <w:rFonts w:ascii="Arial" w:hAnsi="Arial" w:cs="Arial"/>
          <w:b/>
          <w:bCs/>
        </w:rPr>
      </w:pPr>
    </w:p>
    <w:p w14:paraId="116AF7DD" w14:textId="77777777" w:rsidR="00F17FD3" w:rsidRPr="00BD72CC" w:rsidRDefault="00F17FD3" w:rsidP="00107233">
      <w:pPr>
        <w:jc w:val="center"/>
        <w:rPr>
          <w:rFonts w:ascii="Arial" w:hAnsi="Arial" w:cs="Arial"/>
          <w:b/>
          <w:bCs/>
        </w:rPr>
      </w:pPr>
    </w:p>
    <w:p w14:paraId="4F85B51F" w14:textId="77777777" w:rsidR="00BF3200" w:rsidRPr="00BD72CC" w:rsidRDefault="00BF3200" w:rsidP="00BF3200">
      <w:pPr>
        <w:jc w:val="center"/>
        <w:rPr>
          <w:rFonts w:ascii="Arial" w:hAnsi="Arial" w:cs="Arial"/>
          <w:b/>
          <w:bCs/>
        </w:rPr>
      </w:pPr>
    </w:p>
    <w:p w14:paraId="4FB38977" w14:textId="77777777" w:rsidR="00F17FD3" w:rsidRPr="00BD72CC" w:rsidRDefault="00F17FD3" w:rsidP="00F17FD3">
      <w:pPr>
        <w:spacing w:line="360" w:lineRule="auto"/>
        <w:jc w:val="center"/>
        <w:rPr>
          <w:rFonts w:ascii="Arial" w:hAnsi="Arial" w:cs="Arial"/>
          <w:b/>
          <w:bCs/>
        </w:rPr>
      </w:pPr>
      <w:r w:rsidRPr="00BD72CC">
        <w:rPr>
          <w:rFonts w:ascii="Arial" w:hAnsi="Arial" w:cs="Arial"/>
          <w:b/>
          <w:bCs/>
        </w:rPr>
        <w:t>THE SUPREME COURT OF APPEAL OF SOUTH AFRICA</w:t>
      </w:r>
    </w:p>
    <w:p w14:paraId="35AD6C34" w14:textId="77777777" w:rsidR="00F17FD3" w:rsidRPr="00BD72CC" w:rsidRDefault="00F17FD3" w:rsidP="00F17FD3">
      <w:pPr>
        <w:pStyle w:val="Heading3"/>
        <w:jc w:val="center"/>
        <w:rPr>
          <w:b/>
          <w:i w:val="0"/>
          <w:szCs w:val="28"/>
        </w:rPr>
      </w:pPr>
      <w:r w:rsidRPr="00BD72CC">
        <w:rPr>
          <w:b/>
          <w:i w:val="0"/>
          <w:sz w:val="24"/>
        </w:rPr>
        <w:t>JUDGMENT</w:t>
      </w:r>
    </w:p>
    <w:p w14:paraId="591CD5CA" w14:textId="77777777" w:rsidR="00F17FD3" w:rsidRPr="00BD72CC" w:rsidRDefault="00F17FD3" w:rsidP="00F17FD3">
      <w:pPr>
        <w:spacing w:line="360" w:lineRule="auto"/>
        <w:jc w:val="right"/>
        <w:rPr>
          <w:rFonts w:ascii="Arial" w:hAnsi="Arial" w:cs="Arial"/>
          <w:b/>
        </w:rPr>
      </w:pPr>
    </w:p>
    <w:p w14:paraId="0DC7AAAA" w14:textId="4933B861" w:rsidR="008159AB" w:rsidRPr="00BD72CC" w:rsidRDefault="00963ACC" w:rsidP="008159AB">
      <w:pPr>
        <w:spacing w:line="360" w:lineRule="auto"/>
        <w:jc w:val="right"/>
        <w:rPr>
          <w:rFonts w:ascii="Arial" w:hAnsi="Arial" w:cs="Arial"/>
          <w:b/>
        </w:rPr>
      </w:pPr>
      <w:r w:rsidRPr="00BD72CC">
        <w:rPr>
          <w:rFonts w:ascii="Arial" w:hAnsi="Arial" w:cs="Arial"/>
          <w:b/>
        </w:rPr>
        <w:t>R</w:t>
      </w:r>
      <w:r w:rsidR="0042254A" w:rsidRPr="00BD72CC">
        <w:rPr>
          <w:rFonts w:ascii="Arial" w:hAnsi="Arial" w:cs="Arial"/>
          <w:b/>
        </w:rPr>
        <w:t>eportable</w:t>
      </w:r>
    </w:p>
    <w:p w14:paraId="3FEAF9A6" w14:textId="27D5CA9D" w:rsidR="008159AB" w:rsidRPr="00BD72CC" w:rsidRDefault="008159AB" w:rsidP="008159AB">
      <w:pPr>
        <w:spacing w:line="360" w:lineRule="auto"/>
        <w:jc w:val="right"/>
        <w:rPr>
          <w:rFonts w:ascii="Arial" w:hAnsi="Arial" w:cs="Arial"/>
        </w:rPr>
      </w:pPr>
      <w:r w:rsidRPr="00BD72CC">
        <w:rPr>
          <w:rFonts w:ascii="Arial" w:hAnsi="Arial" w:cs="Arial"/>
          <w:b/>
        </w:rPr>
        <w:t xml:space="preserve">Case </w:t>
      </w:r>
      <w:r w:rsidR="00107233" w:rsidRPr="00BD72CC">
        <w:rPr>
          <w:rFonts w:ascii="Arial" w:hAnsi="Arial" w:cs="Arial"/>
          <w:b/>
        </w:rPr>
        <w:t>N</w:t>
      </w:r>
      <w:r w:rsidRPr="00BD72CC">
        <w:rPr>
          <w:rFonts w:ascii="Arial" w:hAnsi="Arial" w:cs="Arial"/>
          <w:b/>
        </w:rPr>
        <w:t>o</w:t>
      </w:r>
      <w:r w:rsidRPr="00BD72CC">
        <w:rPr>
          <w:rFonts w:ascii="Arial" w:hAnsi="Arial" w:cs="Arial"/>
        </w:rPr>
        <w:t xml:space="preserve">: </w:t>
      </w:r>
      <w:r w:rsidR="005C34AD" w:rsidRPr="00BD72CC">
        <w:rPr>
          <w:rFonts w:ascii="Arial" w:hAnsi="Arial" w:cs="Arial"/>
        </w:rPr>
        <w:t>301/2022</w:t>
      </w:r>
    </w:p>
    <w:p w14:paraId="3478307E" w14:textId="77777777" w:rsidR="008159AB" w:rsidRPr="00BD72CC" w:rsidRDefault="008159AB" w:rsidP="000E4080">
      <w:pPr>
        <w:spacing w:line="360" w:lineRule="auto"/>
        <w:rPr>
          <w:rFonts w:ascii="Arial" w:hAnsi="Arial" w:cs="Arial"/>
        </w:rPr>
      </w:pPr>
      <w:r w:rsidRPr="00BD72CC">
        <w:rPr>
          <w:rFonts w:ascii="Arial" w:hAnsi="Arial" w:cs="Arial"/>
        </w:rPr>
        <w:t>In the matter between:</w:t>
      </w:r>
    </w:p>
    <w:p w14:paraId="4E8E6C48" w14:textId="77777777" w:rsidR="005C34AD" w:rsidRPr="00BD72CC" w:rsidRDefault="005C34AD" w:rsidP="000E4080">
      <w:pPr>
        <w:widowControl w:val="0"/>
        <w:tabs>
          <w:tab w:val="right" w:pos="9360"/>
        </w:tabs>
        <w:autoSpaceDE w:val="0"/>
        <w:autoSpaceDN w:val="0"/>
        <w:adjustRightInd w:val="0"/>
        <w:spacing w:line="360" w:lineRule="auto"/>
        <w:rPr>
          <w:rFonts w:ascii="Arial" w:hAnsi="Arial" w:cs="Arial"/>
          <w:b/>
          <w:bCs/>
        </w:rPr>
      </w:pPr>
    </w:p>
    <w:p w14:paraId="0D7A4146" w14:textId="22CBA95D" w:rsidR="000E4080" w:rsidRPr="00BD72CC" w:rsidRDefault="006E5F41" w:rsidP="00107233">
      <w:pPr>
        <w:widowControl w:val="0"/>
        <w:autoSpaceDE w:val="0"/>
        <w:autoSpaceDN w:val="0"/>
        <w:adjustRightInd w:val="0"/>
        <w:spacing w:line="360" w:lineRule="auto"/>
        <w:rPr>
          <w:rFonts w:ascii="Arial" w:hAnsi="Arial" w:cs="Arial"/>
          <w:b/>
          <w:bCs/>
        </w:rPr>
      </w:pPr>
      <w:r w:rsidRPr="00BD72CC">
        <w:rPr>
          <w:rFonts w:ascii="Arial" w:hAnsi="Arial" w:cs="Arial"/>
          <w:b/>
          <w:bCs/>
        </w:rPr>
        <w:t>SILVERBACK TECHNOLOGIES CC</w:t>
      </w:r>
      <w:r w:rsidRPr="00BD72CC">
        <w:rPr>
          <w:rFonts w:ascii="Arial" w:hAnsi="Arial" w:cs="Arial"/>
          <w:b/>
          <w:bCs/>
        </w:rPr>
        <w:tab/>
      </w:r>
      <w:r w:rsidRPr="00BD72CC">
        <w:rPr>
          <w:rFonts w:ascii="Arial" w:hAnsi="Arial" w:cs="Arial"/>
          <w:b/>
          <w:bCs/>
        </w:rPr>
        <w:tab/>
      </w:r>
      <w:r w:rsidRPr="00BD72CC">
        <w:rPr>
          <w:rFonts w:ascii="Arial" w:hAnsi="Arial" w:cs="Arial"/>
          <w:b/>
          <w:bCs/>
        </w:rPr>
        <w:tab/>
      </w:r>
      <w:r w:rsidRPr="00BD72CC">
        <w:rPr>
          <w:rFonts w:ascii="Arial" w:hAnsi="Arial" w:cs="Arial"/>
          <w:b/>
          <w:bCs/>
        </w:rPr>
        <w:tab/>
        <w:t xml:space="preserve">     </w:t>
      </w:r>
      <w:r w:rsidR="00107233" w:rsidRPr="00BD72CC">
        <w:rPr>
          <w:rFonts w:ascii="Arial" w:hAnsi="Arial" w:cs="Arial"/>
          <w:b/>
          <w:bCs/>
        </w:rPr>
        <w:t xml:space="preserve">FIRST </w:t>
      </w:r>
      <w:r w:rsidR="005C34AD" w:rsidRPr="00BD72CC">
        <w:rPr>
          <w:rFonts w:ascii="Arial" w:hAnsi="Arial" w:cs="Arial"/>
          <w:b/>
          <w:bCs/>
        </w:rPr>
        <w:t>APPELLANT</w:t>
      </w:r>
    </w:p>
    <w:p w14:paraId="270B410A" w14:textId="19AF666C" w:rsidR="00351B4B" w:rsidRPr="00BD72CC" w:rsidRDefault="00FF1907" w:rsidP="000E4080">
      <w:pPr>
        <w:widowControl w:val="0"/>
        <w:autoSpaceDE w:val="0"/>
        <w:autoSpaceDN w:val="0"/>
        <w:adjustRightInd w:val="0"/>
        <w:spacing w:line="360" w:lineRule="auto"/>
        <w:rPr>
          <w:rFonts w:ascii="Arial" w:hAnsi="Arial" w:cs="Arial"/>
          <w:b/>
          <w:bCs/>
          <w:iCs/>
        </w:rPr>
      </w:pPr>
      <w:r w:rsidRPr="00BD72CC">
        <w:rPr>
          <w:rFonts w:ascii="Arial" w:hAnsi="Arial" w:cs="Arial"/>
          <w:b/>
          <w:bCs/>
          <w:iCs/>
        </w:rPr>
        <w:t>OMNICO (</w:t>
      </w:r>
      <w:r w:rsidR="005C34AD" w:rsidRPr="00BD72CC">
        <w:rPr>
          <w:rFonts w:ascii="Arial" w:hAnsi="Arial" w:cs="Arial"/>
          <w:b/>
          <w:bCs/>
          <w:iCs/>
        </w:rPr>
        <w:t>PTY) LTD</w:t>
      </w:r>
      <w:r w:rsidR="006E5F41" w:rsidRPr="00BD72CC">
        <w:rPr>
          <w:rFonts w:ascii="Arial" w:hAnsi="Arial" w:cs="Arial"/>
          <w:b/>
          <w:bCs/>
          <w:iCs/>
        </w:rPr>
        <w:tab/>
      </w:r>
      <w:r w:rsidR="006E5F41" w:rsidRPr="00BD72CC">
        <w:rPr>
          <w:rFonts w:ascii="Arial" w:hAnsi="Arial" w:cs="Arial"/>
          <w:b/>
          <w:bCs/>
          <w:iCs/>
        </w:rPr>
        <w:tab/>
      </w:r>
      <w:r w:rsidR="006E5F41" w:rsidRPr="00BD72CC">
        <w:rPr>
          <w:rFonts w:ascii="Arial" w:hAnsi="Arial" w:cs="Arial"/>
          <w:b/>
          <w:bCs/>
          <w:iCs/>
        </w:rPr>
        <w:tab/>
      </w:r>
      <w:r w:rsidR="006E5F41" w:rsidRPr="00BD72CC">
        <w:rPr>
          <w:rFonts w:ascii="Arial" w:hAnsi="Arial" w:cs="Arial"/>
          <w:b/>
          <w:bCs/>
          <w:iCs/>
        </w:rPr>
        <w:tab/>
      </w:r>
      <w:r w:rsidR="006E5F41" w:rsidRPr="00BD72CC">
        <w:rPr>
          <w:rFonts w:ascii="Arial" w:hAnsi="Arial" w:cs="Arial"/>
          <w:b/>
          <w:bCs/>
          <w:iCs/>
        </w:rPr>
        <w:tab/>
      </w:r>
      <w:r w:rsidR="006E5F41" w:rsidRPr="00BD72CC">
        <w:rPr>
          <w:rFonts w:ascii="Arial" w:hAnsi="Arial" w:cs="Arial"/>
          <w:b/>
          <w:bCs/>
          <w:iCs/>
        </w:rPr>
        <w:tab/>
        <w:t xml:space="preserve">SECOND </w:t>
      </w:r>
      <w:r w:rsidR="005C34AD" w:rsidRPr="00BD72CC">
        <w:rPr>
          <w:rFonts w:ascii="Arial" w:hAnsi="Arial" w:cs="Arial"/>
          <w:b/>
          <w:bCs/>
          <w:iCs/>
        </w:rPr>
        <w:t>APPELLANT</w:t>
      </w:r>
    </w:p>
    <w:p w14:paraId="7DA0B87B" w14:textId="6E5CB7E7" w:rsidR="005C34AD" w:rsidRPr="00BD72CC" w:rsidRDefault="000A155D" w:rsidP="000E4080">
      <w:pPr>
        <w:widowControl w:val="0"/>
        <w:autoSpaceDE w:val="0"/>
        <w:autoSpaceDN w:val="0"/>
        <w:adjustRightInd w:val="0"/>
        <w:spacing w:line="360" w:lineRule="auto"/>
        <w:rPr>
          <w:rFonts w:ascii="Arial" w:hAnsi="Arial" w:cs="Arial"/>
          <w:b/>
          <w:bCs/>
          <w:iCs/>
        </w:rPr>
      </w:pPr>
      <w:r w:rsidRPr="00BD72CC">
        <w:rPr>
          <w:rFonts w:ascii="Arial" w:hAnsi="Arial" w:cs="Arial"/>
          <w:b/>
          <w:bCs/>
          <w:iCs/>
        </w:rPr>
        <w:t>CYTEK CYCLE</w:t>
      </w:r>
      <w:r w:rsidR="005C34AD" w:rsidRPr="00BD72CC">
        <w:rPr>
          <w:rFonts w:ascii="Arial" w:hAnsi="Arial" w:cs="Arial"/>
          <w:b/>
          <w:bCs/>
          <w:iCs/>
        </w:rPr>
        <w:t xml:space="preserve"> DISTRIBUTORS CC</w:t>
      </w:r>
      <w:r w:rsidR="006E5F41" w:rsidRPr="00BD72CC">
        <w:rPr>
          <w:rFonts w:ascii="Arial" w:hAnsi="Arial" w:cs="Arial"/>
          <w:b/>
          <w:bCs/>
          <w:iCs/>
        </w:rPr>
        <w:tab/>
      </w:r>
      <w:r w:rsidR="006E5F41" w:rsidRPr="00BD72CC">
        <w:rPr>
          <w:rFonts w:ascii="Arial" w:hAnsi="Arial" w:cs="Arial"/>
          <w:b/>
          <w:bCs/>
          <w:iCs/>
        </w:rPr>
        <w:tab/>
      </w:r>
      <w:r w:rsidR="006E5F41" w:rsidRPr="00BD72CC">
        <w:rPr>
          <w:rFonts w:ascii="Arial" w:hAnsi="Arial" w:cs="Arial"/>
          <w:b/>
          <w:bCs/>
          <w:iCs/>
        </w:rPr>
        <w:tab/>
      </w:r>
      <w:r w:rsidR="006E5F41" w:rsidRPr="00BD72CC">
        <w:rPr>
          <w:rFonts w:ascii="Arial" w:hAnsi="Arial" w:cs="Arial"/>
          <w:b/>
          <w:bCs/>
          <w:iCs/>
        </w:rPr>
        <w:tab/>
        <w:t xml:space="preserve">    THIRD </w:t>
      </w:r>
      <w:r w:rsidR="005C34AD" w:rsidRPr="00BD72CC">
        <w:rPr>
          <w:rFonts w:ascii="Arial" w:hAnsi="Arial" w:cs="Arial"/>
          <w:b/>
          <w:bCs/>
          <w:iCs/>
        </w:rPr>
        <w:t>APPELLANT</w:t>
      </w:r>
    </w:p>
    <w:p w14:paraId="7607FE4B" w14:textId="77777777" w:rsidR="006E5F41" w:rsidRPr="00BD72CC" w:rsidRDefault="006E5F41" w:rsidP="000E4080">
      <w:pPr>
        <w:widowControl w:val="0"/>
        <w:autoSpaceDE w:val="0"/>
        <w:autoSpaceDN w:val="0"/>
        <w:adjustRightInd w:val="0"/>
        <w:spacing w:line="360" w:lineRule="auto"/>
        <w:rPr>
          <w:rFonts w:ascii="Arial" w:hAnsi="Arial" w:cs="Arial"/>
          <w:bCs/>
          <w:iCs/>
        </w:rPr>
      </w:pPr>
    </w:p>
    <w:p w14:paraId="1487B1D1" w14:textId="07DB634B" w:rsidR="005C34AD" w:rsidRPr="00BD72CC" w:rsidRDefault="005C34AD" w:rsidP="000E4080">
      <w:pPr>
        <w:widowControl w:val="0"/>
        <w:autoSpaceDE w:val="0"/>
        <w:autoSpaceDN w:val="0"/>
        <w:adjustRightInd w:val="0"/>
        <w:spacing w:line="360" w:lineRule="auto"/>
        <w:rPr>
          <w:rFonts w:ascii="Arial" w:hAnsi="Arial" w:cs="Arial"/>
          <w:bCs/>
          <w:iCs/>
        </w:rPr>
      </w:pPr>
      <w:proofErr w:type="gramStart"/>
      <w:r w:rsidRPr="00BD72CC">
        <w:rPr>
          <w:rFonts w:ascii="Arial" w:hAnsi="Arial" w:cs="Arial"/>
          <w:bCs/>
          <w:iCs/>
        </w:rPr>
        <w:t>and</w:t>
      </w:r>
      <w:proofErr w:type="gramEnd"/>
    </w:p>
    <w:p w14:paraId="2BB37A4F" w14:textId="77777777" w:rsidR="006E5F41" w:rsidRPr="00BD72CC" w:rsidRDefault="006E5F41" w:rsidP="000E4080">
      <w:pPr>
        <w:spacing w:line="360" w:lineRule="auto"/>
        <w:ind w:left="2160" w:hanging="2160"/>
        <w:jc w:val="both"/>
        <w:rPr>
          <w:rFonts w:ascii="Arial" w:hAnsi="Arial" w:cs="Arial"/>
          <w:b/>
          <w:bCs/>
        </w:rPr>
      </w:pPr>
    </w:p>
    <w:p w14:paraId="48B0686E" w14:textId="0C48F4D5" w:rsidR="006E5F41" w:rsidRPr="00BD72CC" w:rsidRDefault="006E5F41" w:rsidP="000E4080">
      <w:pPr>
        <w:spacing w:line="360" w:lineRule="auto"/>
        <w:ind w:left="2160" w:hanging="2160"/>
        <w:jc w:val="both"/>
        <w:rPr>
          <w:rFonts w:ascii="Arial" w:hAnsi="Arial" w:cs="Arial"/>
          <w:b/>
          <w:bCs/>
        </w:rPr>
      </w:pPr>
      <w:r w:rsidRPr="00BD72CC">
        <w:rPr>
          <w:rFonts w:ascii="Arial" w:hAnsi="Arial" w:cs="Arial"/>
          <w:b/>
          <w:bCs/>
        </w:rPr>
        <w:t>COMMISSIONER</w:t>
      </w:r>
      <w:r w:rsidR="005C34AD" w:rsidRPr="00BD72CC">
        <w:rPr>
          <w:rFonts w:ascii="Arial" w:hAnsi="Arial" w:cs="Arial"/>
          <w:b/>
          <w:bCs/>
        </w:rPr>
        <w:t xml:space="preserve"> FOR THE</w:t>
      </w:r>
      <w:r w:rsidRPr="00BD72CC">
        <w:rPr>
          <w:rFonts w:ascii="Arial" w:hAnsi="Arial" w:cs="Arial"/>
          <w:b/>
          <w:bCs/>
        </w:rPr>
        <w:t xml:space="preserve"> </w:t>
      </w:r>
      <w:r w:rsidR="005C34AD" w:rsidRPr="00BD72CC">
        <w:rPr>
          <w:rFonts w:ascii="Arial" w:hAnsi="Arial" w:cs="Arial"/>
          <w:b/>
          <w:bCs/>
        </w:rPr>
        <w:t>SOUTH AFRICAN</w:t>
      </w:r>
    </w:p>
    <w:p w14:paraId="55BD4E71" w14:textId="1DEC27BB" w:rsidR="005C34AD" w:rsidRPr="00BD72CC" w:rsidRDefault="005C34AD" w:rsidP="000E4080">
      <w:pPr>
        <w:spacing w:line="360" w:lineRule="auto"/>
        <w:ind w:left="2160" w:hanging="2160"/>
        <w:jc w:val="both"/>
        <w:rPr>
          <w:rFonts w:ascii="Arial" w:hAnsi="Arial" w:cs="Arial"/>
          <w:b/>
          <w:bCs/>
        </w:rPr>
      </w:pPr>
      <w:r w:rsidRPr="00BD72CC">
        <w:rPr>
          <w:rFonts w:ascii="Arial" w:hAnsi="Arial" w:cs="Arial"/>
          <w:b/>
          <w:bCs/>
        </w:rPr>
        <w:t>REVENUE SERVICE</w:t>
      </w:r>
      <w:r w:rsidR="006E5F41" w:rsidRPr="00BD72CC">
        <w:rPr>
          <w:rFonts w:ascii="Arial" w:hAnsi="Arial" w:cs="Arial"/>
          <w:b/>
          <w:bCs/>
        </w:rPr>
        <w:tab/>
      </w:r>
      <w:r w:rsidR="006E5F41" w:rsidRPr="00BD72CC">
        <w:rPr>
          <w:rFonts w:ascii="Arial" w:hAnsi="Arial" w:cs="Arial"/>
          <w:b/>
          <w:bCs/>
        </w:rPr>
        <w:tab/>
      </w:r>
      <w:r w:rsidR="006E5F41" w:rsidRPr="00BD72CC">
        <w:rPr>
          <w:rFonts w:ascii="Arial" w:hAnsi="Arial" w:cs="Arial"/>
          <w:b/>
          <w:bCs/>
        </w:rPr>
        <w:tab/>
      </w:r>
      <w:r w:rsidR="006E5F41" w:rsidRPr="00BD72CC">
        <w:rPr>
          <w:rFonts w:ascii="Arial" w:hAnsi="Arial" w:cs="Arial"/>
          <w:b/>
          <w:bCs/>
        </w:rPr>
        <w:tab/>
      </w:r>
      <w:r w:rsidR="006E5F41" w:rsidRPr="00BD72CC">
        <w:rPr>
          <w:rFonts w:ascii="Arial" w:hAnsi="Arial" w:cs="Arial"/>
          <w:b/>
          <w:bCs/>
        </w:rPr>
        <w:tab/>
      </w:r>
      <w:r w:rsidR="006E5F41" w:rsidRPr="00BD72CC">
        <w:rPr>
          <w:rFonts w:ascii="Arial" w:hAnsi="Arial" w:cs="Arial"/>
          <w:b/>
          <w:bCs/>
        </w:rPr>
        <w:tab/>
      </w:r>
      <w:r w:rsidR="006E5F41" w:rsidRPr="00BD72CC">
        <w:rPr>
          <w:rFonts w:ascii="Arial" w:hAnsi="Arial" w:cs="Arial"/>
          <w:b/>
          <w:bCs/>
        </w:rPr>
        <w:tab/>
        <w:t xml:space="preserve">  </w:t>
      </w:r>
      <w:r w:rsidRPr="00BD72CC">
        <w:rPr>
          <w:rFonts w:ascii="Arial" w:hAnsi="Arial" w:cs="Arial"/>
          <w:b/>
          <w:bCs/>
        </w:rPr>
        <w:t>RESPONDENT</w:t>
      </w:r>
    </w:p>
    <w:p w14:paraId="4BB25A00" w14:textId="77777777" w:rsidR="005C34AD" w:rsidRPr="00BD72CC" w:rsidRDefault="005C34AD" w:rsidP="000E4080">
      <w:pPr>
        <w:spacing w:line="360" w:lineRule="auto"/>
        <w:ind w:left="2160" w:hanging="2160"/>
        <w:jc w:val="both"/>
        <w:rPr>
          <w:rFonts w:ascii="Arial" w:hAnsi="Arial" w:cs="Arial"/>
          <w:b/>
          <w:bCs/>
        </w:rPr>
      </w:pPr>
    </w:p>
    <w:p w14:paraId="0E81A9CE" w14:textId="6086D3AD" w:rsidR="008159AB" w:rsidRPr="00BD72CC" w:rsidRDefault="008159AB" w:rsidP="006E5F41">
      <w:pPr>
        <w:spacing w:line="360" w:lineRule="auto"/>
        <w:jc w:val="both"/>
        <w:rPr>
          <w:rFonts w:ascii="Arial" w:hAnsi="Arial" w:cs="Arial"/>
          <w:bCs/>
        </w:rPr>
      </w:pPr>
      <w:r w:rsidRPr="00BD72CC">
        <w:rPr>
          <w:rFonts w:ascii="Arial" w:hAnsi="Arial" w:cs="Arial"/>
          <w:b/>
          <w:bCs/>
        </w:rPr>
        <w:t>Neutral citation:</w:t>
      </w:r>
      <w:r w:rsidRPr="00BD72CC">
        <w:rPr>
          <w:rFonts w:ascii="Arial" w:hAnsi="Arial" w:cs="Arial"/>
          <w:b/>
          <w:bCs/>
        </w:rPr>
        <w:tab/>
      </w:r>
      <w:bookmarkStart w:id="0" w:name="_GoBack"/>
      <w:r w:rsidR="006E5F41" w:rsidRPr="00BD72CC">
        <w:rPr>
          <w:rFonts w:ascii="Arial" w:hAnsi="Arial" w:cs="Arial"/>
          <w:bCs/>
          <w:i/>
        </w:rPr>
        <w:t>Silverback Technolo</w:t>
      </w:r>
      <w:r w:rsidR="00E80EE7" w:rsidRPr="00BD72CC">
        <w:rPr>
          <w:rFonts w:ascii="Arial" w:hAnsi="Arial" w:cs="Arial"/>
          <w:bCs/>
          <w:i/>
        </w:rPr>
        <w:t xml:space="preserve">gies CC &amp; Others v Commissioner, </w:t>
      </w:r>
      <w:r w:rsidR="006E5F41" w:rsidRPr="00BD72CC">
        <w:rPr>
          <w:rFonts w:ascii="Arial" w:hAnsi="Arial" w:cs="Arial"/>
          <w:bCs/>
          <w:i/>
        </w:rPr>
        <w:t>South African Revenue Service</w:t>
      </w:r>
      <w:r w:rsidR="006E5F41" w:rsidRPr="00BD72CC">
        <w:rPr>
          <w:rFonts w:ascii="Arial" w:hAnsi="Arial" w:cs="Arial"/>
          <w:bCs/>
        </w:rPr>
        <w:t xml:space="preserve"> </w:t>
      </w:r>
      <w:bookmarkEnd w:id="0"/>
      <w:r w:rsidR="006E5F41" w:rsidRPr="00BD72CC">
        <w:rPr>
          <w:rFonts w:ascii="Arial" w:hAnsi="Arial" w:cs="Arial"/>
          <w:bCs/>
        </w:rPr>
        <w:t xml:space="preserve">(301/2022) [2023] ZASCA </w:t>
      </w:r>
      <w:r w:rsidR="00BD72CC">
        <w:rPr>
          <w:rFonts w:ascii="Arial" w:hAnsi="Arial" w:cs="Arial"/>
          <w:bCs/>
        </w:rPr>
        <w:t>128</w:t>
      </w:r>
      <w:r w:rsidR="006E5F41" w:rsidRPr="00BD72CC">
        <w:rPr>
          <w:rFonts w:ascii="Arial" w:hAnsi="Arial" w:cs="Arial"/>
          <w:bCs/>
        </w:rPr>
        <w:t xml:space="preserve"> (</w:t>
      </w:r>
      <w:r w:rsidR="00BD72CC">
        <w:rPr>
          <w:rFonts w:ascii="Arial" w:hAnsi="Arial" w:cs="Arial"/>
          <w:bCs/>
        </w:rPr>
        <w:t>09</w:t>
      </w:r>
      <w:r w:rsidR="006E5F41" w:rsidRPr="00BD72CC">
        <w:rPr>
          <w:rFonts w:ascii="Arial" w:hAnsi="Arial" w:cs="Arial"/>
          <w:bCs/>
        </w:rPr>
        <w:t xml:space="preserve"> </w:t>
      </w:r>
      <w:r w:rsidR="00903AFA" w:rsidRPr="00BD72CC">
        <w:rPr>
          <w:rFonts w:ascii="Arial" w:hAnsi="Arial" w:cs="Arial"/>
          <w:bCs/>
        </w:rPr>
        <w:t>October</w:t>
      </w:r>
      <w:r w:rsidR="006E5F41" w:rsidRPr="00BD72CC">
        <w:rPr>
          <w:rFonts w:ascii="Arial" w:hAnsi="Arial" w:cs="Arial"/>
          <w:bCs/>
        </w:rPr>
        <w:t xml:space="preserve"> 2023)</w:t>
      </w:r>
    </w:p>
    <w:p w14:paraId="1F5C022E" w14:textId="2FCB176C" w:rsidR="008159AB" w:rsidRPr="00BD72CC" w:rsidRDefault="008159AB" w:rsidP="006E5F41">
      <w:pPr>
        <w:spacing w:before="120" w:line="360" w:lineRule="auto"/>
        <w:ind w:left="1440" w:hanging="1440"/>
        <w:jc w:val="both"/>
        <w:rPr>
          <w:rFonts w:ascii="Arial" w:hAnsi="Arial" w:cs="Arial"/>
          <w:bCs/>
        </w:rPr>
      </w:pPr>
      <w:r w:rsidRPr="00BD72CC">
        <w:rPr>
          <w:rFonts w:ascii="Arial" w:hAnsi="Arial" w:cs="Arial"/>
          <w:b/>
          <w:bCs/>
        </w:rPr>
        <w:t>Coram:</w:t>
      </w:r>
      <w:r w:rsidRPr="00BD72CC">
        <w:rPr>
          <w:rFonts w:ascii="Arial" w:hAnsi="Arial" w:cs="Arial"/>
        </w:rPr>
        <w:tab/>
      </w:r>
      <w:r w:rsidR="003A6177" w:rsidRPr="00BD72CC">
        <w:rPr>
          <w:rFonts w:ascii="Arial" w:hAnsi="Arial" w:cs="Arial"/>
          <w:bCs/>
        </w:rPr>
        <w:t>PETSE</w:t>
      </w:r>
      <w:r w:rsidR="006E5F41" w:rsidRPr="00BD72CC">
        <w:rPr>
          <w:rFonts w:ascii="Arial" w:hAnsi="Arial" w:cs="Arial"/>
          <w:bCs/>
        </w:rPr>
        <w:t xml:space="preserve"> AP</w:t>
      </w:r>
      <w:r w:rsidR="00E80EE7" w:rsidRPr="00BD72CC">
        <w:rPr>
          <w:rFonts w:ascii="Arial" w:hAnsi="Arial" w:cs="Arial"/>
          <w:bCs/>
        </w:rPr>
        <w:t xml:space="preserve"> and</w:t>
      </w:r>
      <w:r w:rsidR="00BB7BE8" w:rsidRPr="00BD72CC">
        <w:rPr>
          <w:rFonts w:ascii="Arial" w:hAnsi="Arial" w:cs="Arial"/>
          <w:bCs/>
        </w:rPr>
        <w:t xml:space="preserve"> </w:t>
      </w:r>
      <w:r w:rsidR="00783DBA" w:rsidRPr="00BD72CC">
        <w:rPr>
          <w:rFonts w:ascii="Arial" w:hAnsi="Arial" w:cs="Arial"/>
          <w:bCs/>
        </w:rPr>
        <w:t>M</w:t>
      </w:r>
      <w:r w:rsidR="005D3E8E" w:rsidRPr="00BD72CC">
        <w:rPr>
          <w:rFonts w:ascii="Arial" w:hAnsi="Arial" w:cs="Arial"/>
          <w:bCs/>
        </w:rPr>
        <w:t>ABINDLA-BOQWANA</w:t>
      </w:r>
      <w:r w:rsidR="003A6177" w:rsidRPr="00BD72CC">
        <w:rPr>
          <w:rFonts w:ascii="Arial" w:hAnsi="Arial" w:cs="Arial"/>
          <w:bCs/>
        </w:rPr>
        <w:t xml:space="preserve"> and WEINER JJA and</w:t>
      </w:r>
      <w:r w:rsidR="00C76471" w:rsidRPr="00BD72CC">
        <w:rPr>
          <w:rFonts w:ascii="Arial" w:hAnsi="Arial" w:cs="Arial"/>
          <w:bCs/>
        </w:rPr>
        <w:t xml:space="preserve"> </w:t>
      </w:r>
      <w:r w:rsidR="006E5F41" w:rsidRPr="00BD72CC">
        <w:rPr>
          <w:rFonts w:ascii="Arial" w:hAnsi="Arial" w:cs="Arial"/>
          <w:bCs/>
        </w:rPr>
        <w:t>MALI</w:t>
      </w:r>
      <w:r w:rsidR="00C76471" w:rsidRPr="00BD72CC">
        <w:rPr>
          <w:rFonts w:ascii="Arial" w:hAnsi="Arial" w:cs="Arial"/>
          <w:bCs/>
        </w:rPr>
        <w:t xml:space="preserve"> and MA</w:t>
      </w:r>
      <w:r w:rsidR="003A6177" w:rsidRPr="00BD72CC">
        <w:rPr>
          <w:rFonts w:ascii="Arial" w:hAnsi="Arial" w:cs="Arial"/>
          <w:bCs/>
        </w:rPr>
        <w:t>SIPA</w:t>
      </w:r>
      <w:r w:rsidR="00783DBA" w:rsidRPr="00BD72CC">
        <w:rPr>
          <w:rFonts w:ascii="Arial" w:hAnsi="Arial" w:cs="Arial"/>
          <w:bCs/>
        </w:rPr>
        <w:t xml:space="preserve"> AJJA</w:t>
      </w:r>
    </w:p>
    <w:p w14:paraId="5F8EBFD2" w14:textId="5B1E2582" w:rsidR="00DE667A" w:rsidRPr="00BD72CC" w:rsidRDefault="00DE667A" w:rsidP="000E4080">
      <w:pPr>
        <w:spacing w:line="360" w:lineRule="auto"/>
        <w:ind w:left="1440" w:hanging="1440"/>
        <w:jc w:val="both"/>
        <w:rPr>
          <w:rFonts w:ascii="Arial" w:hAnsi="Arial" w:cs="Arial"/>
          <w:bCs/>
          <w:iCs/>
        </w:rPr>
      </w:pPr>
      <w:r w:rsidRPr="00BD72CC">
        <w:rPr>
          <w:rFonts w:ascii="Arial" w:hAnsi="Arial" w:cs="Arial"/>
          <w:b/>
          <w:bCs/>
        </w:rPr>
        <w:t>Heard:</w:t>
      </w:r>
      <w:r w:rsidRPr="00BD72CC">
        <w:rPr>
          <w:rFonts w:ascii="Arial" w:hAnsi="Arial" w:cs="Arial"/>
          <w:b/>
          <w:bCs/>
          <w:iCs/>
        </w:rPr>
        <w:t xml:space="preserve"> </w:t>
      </w:r>
      <w:r w:rsidR="00AE259D" w:rsidRPr="00BD72CC">
        <w:rPr>
          <w:rFonts w:ascii="Arial" w:hAnsi="Arial" w:cs="Arial"/>
          <w:b/>
          <w:bCs/>
          <w:iCs/>
        </w:rPr>
        <w:tab/>
      </w:r>
      <w:r w:rsidR="005468AC" w:rsidRPr="00BD72CC">
        <w:rPr>
          <w:rFonts w:ascii="Arial" w:hAnsi="Arial" w:cs="Arial"/>
          <w:bCs/>
          <w:iCs/>
        </w:rPr>
        <w:t>0</w:t>
      </w:r>
      <w:r w:rsidR="005C34AD" w:rsidRPr="00BD72CC">
        <w:rPr>
          <w:rFonts w:ascii="Arial" w:hAnsi="Arial" w:cs="Arial"/>
          <w:bCs/>
          <w:iCs/>
        </w:rPr>
        <w:t>3 May</w:t>
      </w:r>
      <w:r w:rsidR="005C34AD" w:rsidRPr="00BD72CC">
        <w:rPr>
          <w:rFonts w:ascii="Arial" w:hAnsi="Arial" w:cs="Arial"/>
          <w:b/>
          <w:bCs/>
          <w:iCs/>
        </w:rPr>
        <w:t xml:space="preserve"> </w:t>
      </w:r>
      <w:r w:rsidR="005C34AD" w:rsidRPr="00BD72CC">
        <w:rPr>
          <w:rFonts w:ascii="Arial" w:hAnsi="Arial" w:cs="Arial"/>
          <w:bCs/>
          <w:iCs/>
        </w:rPr>
        <w:t xml:space="preserve">2023 </w:t>
      </w:r>
    </w:p>
    <w:p w14:paraId="0FEA62BF" w14:textId="7B188109" w:rsidR="00DE667A" w:rsidRPr="00BD72CC" w:rsidRDefault="00DE667A" w:rsidP="000E4080">
      <w:pPr>
        <w:spacing w:line="360" w:lineRule="auto"/>
        <w:ind w:left="1440" w:hanging="1440"/>
        <w:jc w:val="both"/>
        <w:rPr>
          <w:rFonts w:ascii="Arial" w:hAnsi="Arial" w:cs="Arial"/>
          <w:bCs/>
        </w:rPr>
      </w:pPr>
      <w:r w:rsidRPr="00BD72CC">
        <w:rPr>
          <w:rFonts w:ascii="Arial" w:hAnsi="Arial" w:cs="Arial"/>
          <w:b/>
          <w:bCs/>
        </w:rPr>
        <w:t>Delivered:</w:t>
      </w:r>
      <w:r w:rsidR="00E80EE7" w:rsidRPr="00BD72CC">
        <w:rPr>
          <w:rFonts w:ascii="Arial" w:hAnsi="Arial" w:cs="Arial"/>
          <w:b/>
          <w:bCs/>
        </w:rPr>
        <w:tab/>
      </w:r>
      <w:r w:rsidR="00BD72CC">
        <w:rPr>
          <w:rFonts w:ascii="Arial" w:hAnsi="Arial" w:cs="Arial"/>
          <w:bCs/>
        </w:rPr>
        <w:t>09</w:t>
      </w:r>
      <w:r w:rsidR="00AC001B" w:rsidRPr="00BD72CC">
        <w:rPr>
          <w:rFonts w:ascii="Arial" w:hAnsi="Arial" w:cs="Arial"/>
          <w:bCs/>
        </w:rPr>
        <w:t xml:space="preserve"> </w:t>
      </w:r>
      <w:r w:rsidR="00903AFA" w:rsidRPr="00BD72CC">
        <w:rPr>
          <w:rFonts w:ascii="Arial" w:hAnsi="Arial" w:cs="Arial"/>
          <w:bCs/>
        </w:rPr>
        <w:t>October</w:t>
      </w:r>
      <w:r w:rsidR="00E80EE7" w:rsidRPr="00BD72CC">
        <w:rPr>
          <w:rFonts w:ascii="Arial" w:hAnsi="Arial" w:cs="Arial"/>
          <w:bCs/>
        </w:rPr>
        <w:t xml:space="preserve"> 2023</w:t>
      </w:r>
    </w:p>
    <w:p w14:paraId="5EA7D505" w14:textId="77777777" w:rsidR="00E80EE7" w:rsidRPr="00BD72CC" w:rsidRDefault="00E80EE7" w:rsidP="000E4080">
      <w:pPr>
        <w:spacing w:line="360" w:lineRule="auto"/>
        <w:ind w:left="1440" w:hanging="1440"/>
        <w:jc w:val="both"/>
        <w:rPr>
          <w:rFonts w:ascii="Arial" w:hAnsi="Arial" w:cs="Arial"/>
          <w:bCs/>
          <w:iCs/>
        </w:rPr>
      </w:pPr>
    </w:p>
    <w:p w14:paraId="27CC56FC" w14:textId="5EF9C1A4" w:rsidR="008159AB" w:rsidRPr="00BD72CC" w:rsidRDefault="00DE667A" w:rsidP="00AE259D">
      <w:pPr>
        <w:spacing w:line="360" w:lineRule="auto"/>
        <w:jc w:val="both"/>
        <w:rPr>
          <w:rFonts w:ascii="Arial" w:hAnsi="Arial" w:cs="Arial"/>
          <w:bCs/>
          <w:iCs/>
        </w:rPr>
      </w:pPr>
      <w:r w:rsidRPr="00BD72CC">
        <w:rPr>
          <w:rFonts w:ascii="Arial" w:hAnsi="Arial" w:cs="Arial"/>
          <w:b/>
          <w:bCs/>
          <w:iCs/>
        </w:rPr>
        <w:t xml:space="preserve">Summary: </w:t>
      </w:r>
      <w:r w:rsidR="006A7E68" w:rsidRPr="00BD72CC">
        <w:rPr>
          <w:rFonts w:ascii="Arial" w:hAnsi="Arial" w:cs="Arial"/>
          <w:b/>
          <w:bCs/>
          <w:iCs/>
        </w:rPr>
        <w:tab/>
      </w:r>
      <w:r w:rsidR="00F635BF" w:rsidRPr="00BD72CC">
        <w:rPr>
          <w:rFonts w:ascii="Arial" w:hAnsi="Arial" w:cs="Arial"/>
          <w:bCs/>
          <w:iCs/>
        </w:rPr>
        <w:t>Revenue – customs duty</w:t>
      </w:r>
      <w:r w:rsidR="006B4D22" w:rsidRPr="00BD72CC">
        <w:rPr>
          <w:rFonts w:ascii="Arial" w:hAnsi="Arial" w:cs="Arial"/>
          <w:bCs/>
          <w:iCs/>
        </w:rPr>
        <w:t xml:space="preserve"> </w:t>
      </w:r>
      <w:r w:rsidR="00E80EE7" w:rsidRPr="00BD72CC">
        <w:rPr>
          <w:rFonts w:ascii="Arial" w:hAnsi="Arial" w:cs="Arial"/>
          <w:bCs/>
          <w:iCs/>
        </w:rPr>
        <w:t>– importation of bicycle parts for use in assembling bicycles – classification of such parts as constituting the essential character of a bicycle under tariff heading 8712.</w:t>
      </w:r>
      <w:r w:rsidR="00E74845" w:rsidRPr="00BD72CC">
        <w:rPr>
          <w:rFonts w:ascii="Arial" w:hAnsi="Arial" w:cs="Arial"/>
          <w:bCs/>
          <w:iCs/>
        </w:rPr>
        <w:t>00</w:t>
      </w:r>
      <w:r w:rsidR="00AC001B" w:rsidRPr="00BD72CC">
        <w:rPr>
          <w:rFonts w:ascii="Arial" w:hAnsi="Arial" w:cs="Arial"/>
          <w:bCs/>
          <w:iCs/>
        </w:rPr>
        <w:t>.10</w:t>
      </w:r>
      <w:r w:rsidR="00E80EE7" w:rsidRPr="00BD72CC">
        <w:rPr>
          <w:rFonts w:ascii="Arial" w:hAnsi="Arial" w:cs="Arial"/>
          <w:bCs/>
          <w:iCs/>
        </w:rPr>
        <w:t xml:space="preserve"> confirmed on further appeal.</w:t>
      </w:r>
    </w:p>
    <w:p w14:paraId="1AF5D866" w14:textId="7BD15779" w:rsidR="005C34AD" w:rsidRPr="00BD72CC" w:rsidRDefault="005C34AD" w:rsidP="00AE259D">
      <w:pPr>
        <w:spacing w:line="360" w:lineRule="auto"/>
        <w:jc w:val="both"/>
        <w:rPr>
          <w:rFonts w:ascii="Arial" w:hAnsi="Arial" w:cs="Arial"/>
          <w:bCs/>
          <w:iCs/>
        </w:rPr>
      </w:pPr>
    </w:p>
    <w:p w14:paraId="36FAF66C" w14:textId="1176B9BE" w:rsidR="00BB1B22" w:rsidRPr="00BD72CC" w:rsidRDefault="00E42E5E" w:rsidP="006E5F41">
      <w:pPr>
        <w:rPr>
          <w:rFonts w:ascii="Arial" w:hAnsi="Arial" w:cs="Arial"/>
          <w:b/>
        </w:rPr>
      </w:pPr>
      <w:r w:rsidRPr="00BD72CC">
        <w:rPr>
          <w:rFonts w:ascii="Arial" w:hAnsi="Arial" w:cs="Arial"/>
          <w:bCs/>
        </w:rPr>
        <w:br w:type="page"/>
      </w:r>
      <w:r w:rsidR="005023EF" w:rsidRPr="00BD72CC">
        <w:rPr>
          <w:rFonts w:ascii="Arial" w:hAnsi="Arial" w:cs="Arial"/>
          <w:b/>
        </w:rPr>
        <w:lastRenderedPageBreak/>
        <w:t>___________________________________________________________________</w:t>
      </w:r>
    </w:p>
    <w:p w14:paraId="299F36BC" w14:textId="77777777" w:rsidR="00BF3200" w:rsidRPr="00BD72CC" w:rsidRDefault="00BF3200" w:rsidP="006E5F41">
      <w:pPr>
        <w:rPr>
          <w:rFonts w:ascii="Arial" w:hAnsi="Arial" w:cs="Arial"/>
          <w:b/>
        </w:rPr>
      </w:pPr>
    </w:p>
    <w:p w14:paraId="40B2148A" w14:textId="7D0A9ADF" w:rsidR="005023EF" w:rsidRPr="00BD72CC" w:rsidRDefault="005023EF" w:rsidP="00BF3200">
      <w:pPr>
        <w:jc w:val="center"/>
        <w:rPr>
          <w:rFonts w:ascii="Arial" w:hAnsi="Arial" w:cs="Arial"/>
          <w:b/>
        </w:rPr>
      </w:pPr>
      <w:r w:rsidRPr="00BD72CC">
        <w:rPr>
          <w:rFonts w:ascii="Arial" w:hAnsi="Arial" w:cs="Arial"/>
          <w:b/>
        </w:rPr>
        <w:t>ORDER</w:t>
      </w:r>
    </w:p>
    <w:p w14:paraId="0ACAD0EC" w14:textId="77777777" w:rsidR="005023EF" w:rsidRPr="00BD72CC" w:rsidRDefault="005023EF" w:rsidP="006E5F41">
      <w:pPr>
        <w:jc w:val="both"/>
        <w:rPr>
          <w:rFonts w:ascii="Arial" w:hAnsi="Arial" w:cs="Arial"/>
          <w:b/>
        </w:rPr>
      </w:pPr>
      <w:r w:rsidRPr="00BD72CC">
        <w:rPr>
          <w:rFonts w:ascii="Arial" w:hAnsi="Arial" w:cs="Arial"/>
          <w:b/>
        </w:rPr>
        <w:t>___________________________________________________________________</w:t>
      </w:r>
    </w:p>
    <w:p w14:paraId="21BD9898" w14:textId="77777777" w:rsidR="000E3AE8" w:rsidRPr="00BD72CC" w:rsidRDefault="000E3AE8" w:rsidP="005023EF">
      <w:pPr>
        <w:spacing w:line="360" w:lineRule="auto"/>
        <w:jc w:val="both"/>
        <w:rPr>
          <w:rFonts w:ascii="Arial" w:hAnsi="Arial" w:cs="Arial"/>
          <w:b/>
          <w:bCs/>
        </w:rPr>
      </w:pPr>
    </w:p>
    <w:p w14:paraId="78E920CA" w14:textId="25703D94" w:rsidR="00957607" w:rsidRPr="00BD72CC" w:rsidRDefault="00E0572D" w:rsidP="00816A00">
      <w:pPr>
        <w:pStyle w:val="ListBullet"/>
        <w:numPr>
          <w:ilvl w:val="0"/>
          <w:numId w:val="0"/>
        </w:numPr>
        <w:spacing w:after="0" w:line="360" w:lineRule="auto"/>
        <w:jc w:val="both"/>
        <w:rPr>
          <w:rFonts w:ascii="Arial" w:hAnsi="Arial" w:cs="Arial"/>
          <w:bCs/>
          <w:sz w:val="24"/>
          <w:szCs w:val="24"/>
        </w:rPr>
      </w:pPr>
      <w:r w:rsidRPr="00BD72CC">
        <w:rPr>
          <w:rFonts w:ascii="Arial" w:hAnsi="Arial" w:cs="Arial"/>
          <w:b/>
          <w:bCs/>
          <w:sz w:val="24"/>
          <w:szCs w:val="24"/>
        </w:rPr>
        <w:t>On appeal from</w:t>
      </w:r>
      <w:r w:rsidRPr="00BD72CC">
        <w:rPr>
          <w:rFonts w:ascii="Arial" w:hAnsi="Arial" w:cs="Arial"/>
          <w:bCs/>
          <w:sz w:val="24"/>
          <w:szCs w:val="24"/>
        </w:rPr>
        <w:t xml:space="preserve">: </w:t>
      </w:r>
      <w:r w:rsidR="00B35557" w:rsidRPr="00BD72CC">
        <w:rPr>
          <w:rFonts w:ascii="Arial" w:hAnsi="Arial" w:cs="Arial"/>
          <w:bCs/>
          <w:sz w:val="24"/>
          <w:szCs w:val="24"/>
        </w:rPr>
        <w:t>Gauteng</w:t>
      </w:r>
      <w:r w:rsidR="00285F3E" w:rsidRPr="00BD72CC">
        <w:rPr>
          <w:rFonts w:ascii="Arial" w:hAnsi="Arial" w:cs="Arial"/>
          <w:bCs/>
          <w:sz w:val="24"/>
          <w:szCs w:val="24"/>
        </w:rPr>
        <w:t xml:space="preserve"> Divisio</w:t>
      </w:r>
      <w:r w:rsidR="00B35557" w:rsidRPr="00BD72CC">
        <w:rPr>
          <w:rFonts w:ascii="Arial" w:hAnsi="Arial" w:cs="Arial"/>
          <w:bCs/>
          <w:sz w:val="24"/>
          <w:szCs w:val="24"/>
        </w:rPr>
        <w:t>n of the High Court, Pretoria</w:t>
      </w:r>
      <w:r w:rsidR="00BB7BE8" w:rsidRPr="00BD72CC">
        <w:rPr>
          <w:rFonts w:ascii="Arial" w:hAnsi="Arial" w:cs="Arial"/>
          <w:bCs/>
          <w:sz w:val="24"/>
          <w:szCs w:val="24"/>
        </w:rPr>
        <w:t xml:space="preserve"> (</w:t>
      </w:r>
      <w:proofErr w:type="spellStart"/>
      <w:r w:rsidR="00566F1E" w:rsidRPr="00BD72CC">
        <w:rPr>
          <w:rFonts w:ascii="Arial" w:hAnsi="Arial" w:cs="Arial"/>
          <w:bCs/>
          <w:sz w:val="24"/>
          <w:szCs w:val="24"/>
        </w:rPr>
        <w:t>Mokoe</w:t>
      </w:r>
      <w:r w:rsidR="005C34AD" w:rsidRPr="00BD72CC">
        <w:rPr>
          <w:rFonts w:ascii="Arial" w:hAnsi="Arial" w:cs="Arial"/>
          <w:bCs/>
          <w:sz w:val="24"/>
          <w:szCs w:val="24"/>
        </w:rPr>
        <w:t>n</w:t>
      </w:r>
      <w:r w:rsidR="003A6177" w:rsidRPr="00BD72CC">
        <w:rPr>
          <w:rFonts w:ascii="Arial" w:hAnsi="Arial" w:cs="Arial"/>
          <w:bCs/>
          <w:sz w:val="24"/>
          <w:szCs w:val="24"/>
        </w:rPr>
        <w:t>a</w:t>
      </w:r>
      <w:proofErr w:type="spellEnd"/>
      <w:r w:rsidR="005C34AD" w:rsidRPr="00BD72CC">
        <w:rPr>
          <w:rFonts w:ascii="Arial" w:hAnsi="Arial" w:cs="Arial"/>
          <w:bCs/>
          <w:sz w:val="24"/>
          <w:szCs w:val="24"/>
        </w:rPr>
        <w:t xml:space="preserve"> A</w:t>
      </w:r>
      <w:r w:rsidR="00BB7BE8" w:rsidRPr="00BD72CC">
        <w:rPr>
          <w:rFonts w:ascii="Arial" w:hAnsi="Arial" w:cs="Arial"/>
          <w:sz w:val="24"/>
          <w:szCs w:val="24"/>
        </w:rPr>
        <w:t>J</w:t>
      </w:r>
      <w:r w:rsidR="00BB7BE8" w:rsidRPr="00BD72CC">
        <w:rPr>
          <w:rFonts w:ascii="Arial" w:hAnsi="Arial" w:cs="Arial"/>
          <w:bCs/>
          <w:sz w:val="24"/>
          <w:szCs w:val="24"/>
        </w:rPr>
        <w:t xml:space="preserve"> sitting as</w:t>
      </w:r>
      <w:r w:rsidR="00B35557" w:rsidRPr="00BD72CC">
        <w:rPr>
          <w:rFonts w:ascii="Arial" w:hAnsi="Arial" w:cs="Arial"/>
          <w:bCs/>
          <w:sz w:val="24"/>
          <w:szCs w:val="24"/>
        </w:rPr>
        <w:t xml:space="preserve"> </w:t>
      </w:r>
      <w:r w:rsidR="005D3E8E" w:rsidRPr="00BD72CC">
        <w:rPr>
          <w:rFonts w:ascii="Arial" w:hAnsi="Arial" w:cs="Arial"/>
          <w:bCs/>
          <w:sz w:val="24"/>
          <w:szCs w:val="24"/>
        </w:rPr>
        <w:t>court of first instance</w:t>
      </w:r>
      <w:r w:rsidR="00DE667A" w:rsidRPr="00BD72CC">
        <w:rPr>
          <w:rFonts w:ascii="Arial" w:hAnsi="Arial" w:cs="Arial"/>
          <w:bCs/>
          <w:sz w:val="24"/>
          <w:szCs w:val="24"/>
        </w:rPr>
        <w:t>)</w:t>
      </w:r>
      <w:r w:rsidR="00957607" w:rsidRPr="00BD72CC">
        <w:rPr>
          <w:rFonts w:ascii="Arial" w:hAnsi="Arial" w:cs="Arial"/>
          <w:bCs/>
          <w:sz w:val="24"/>
          <w:szCs w:val="24"/>
        </w:rPr>
        <w:t>:</w:t>
      </w:r>
    </w:p>
    <w:p w14:paraId="605FF6D5" w14:textId="5D2D67DD" w:rsidR="008618F7" w:rsidRPr="00BD72CC" w:rsidRDefault="00E80EE7" w:rsidP="00957607">
      <w:pPr>
        <w:spacing w:before="120" w:line="360" w:lineRule="auto"/>
        <w:jc w:val="both"/>
        <w:rPr>
          <w:rFonts w:ascii="Arial" w:hAnsi="Arial" w:cs="Arial"/>
        </w:rPr>
      </w:pPr>
      <w:r w:rsidRPr="00BD72CC">
        <w:rPr>
          <w:rFonts w:ascii="Arial" w:hAnsi="Arial" w:cs="Arial"/>
        </w:rPr>
        <w:t>The appeal is dismissed with costs, including the costs of two counsel.</w:t>
      </w:r>
    </w:p>
    <w:p w14:paraId="5C8D2311" w14:textId="77777777" w:rsidR="008618F7" w:rsidRPr="00BD72CC" w:rsidRDefault="008618F7" w:rsidP="008618F7">
      <w:pPr>
        <w:pBdr>
          <w:bottom w:val="single" w:sz="12" w:space="1" w:color="auto"/>
        </w:pBdr>
        <w:spacing w:line="360" w:lineRule="auto"/>
        <w:jc w:val="both"/>
        <w:rPr>
          <w:rFonts w:ascii="Arial" w:hAnsi="Arial" w:cs="Arial"/>
        </w:rPr>
      </w:pPr>
    </w:p>
    <w:p w14:paraId="75F6CCBF" w14:textId="77777777" w:rsidR="006E5F41" w:rsidRPr="00BD72CC" w:rsidRDefault="006E5F41" w:rsidP="006E5F41">
      <w:pPr>
        <w:jc w:val="both"/>
        <w:rPr>
          <w:rFonts w:ascii="Arial" w:hAnsi="Arial" w:cs="Arial"/>
        </w:rPr>
      </w:pPr>
    </w:p>
    <w:p w14:paraId="20CB09E8" w14:textId="77777777" w:rsidR="000E3AE8" w:rsidRPr="00BD72CC" w:rsidRDefault="000E3AE8" w:rsidP="006E5F41">
      <w:pPr>
        <w:pStyle w:val="ListBullet"/>
        <w:numPr>
          <w:ilvl w:val="0"/>
          <w:numId w:val="0"/>
        </w:numPr>
        <w:spacing w:after="0" w:line="240" w:lineRule="auto"/>
        <w:jc w:val="center"/>
        <w:rPr>
          <w:rFonts w:ascii="Arial" w:hAnsi="Arial" w:cs="Arial"/>
          <w:b/>
          <w:sz w:val="24"/>
          <w:szCs w:val="24"/>
        </w:rPr>
      </w:pPr>
      <w:r w:rsidRPr="00BD72CC">
        <w:rPr>
          <w:rFonts w:ascii="Arial" w:hAnsi="Arial" w:cs="Arial"/>
          <w:b/>
          <w:sz w:val="24"/>
          <w:szCs w:val="24"/>
        </w:rPr>
        <w:t>JUDGMENT</w:t>
      </w:r>
    </w:p>
    <w:p w14:paraId="0348E81C" w14:textId="4791E52B" w:rsidR="00380398" w:rsidRPr="00BD72CC" w:rsidRDefault="000E3AE8" w:rsidP="006E5F41">
      <w:pPr>
        <w:pStyle w:val="ListBullet"/>
        <w:numPr>
          <w:ilvl w:val="0"/>
          <w:numId w:val="0"/>
        </w:numPr>
        <w:spacing w:after="0" w:line="240" w:lineRule="auto"/>
        <w:rPr>
          <w:rFonts w:ascii="Arial" w:hAnsi="Arial" w:cs="Arial"/>
          <w:b/>
          <w:sz w:val="24"/>
          <w:szCs w:val="24"/>
        </w:rPr>
      </w:pPr>
      <w:r w:rsidRPr="00BD72CC">
        <w:rPr>
          <w:rFonts w:ascii="Arial" w:hAnsi="Arial" w:cs="Arial"/>
          <w:b/>
          <w:sz w:val="24"/>
          <w:szCs w:val="24"/>
        </w:rPr>
        <w:t>___________________________________________________________________</w:t>
      </w:r>
    </w:p>
    <w:p w14:paraId="430800D9" w14:textId="42B2B689" w:rsidR="00BE2447" w:rsidRPr="00BD72CC" w:rsidRDefault="00D46A8F" w:rsidP="00957607">
      <w:pPr>
        <w:spacing w:before="240" w:line="360" w:lineRule="auto"/>
        <w:jc w:val="both"/>
        <w:rPr>
          <w:rFonts w:ascii="Arial" w:hAnsi="Arial" w:cs="Arial"/>
          <w:b/>
        </w:rPr>
      </w:pPr>
      <w:r w:rsidRPr="00BD72CC">
        <w:rPr>
          <w:rFonts w:ascii="Arial" w:hAnsi="Arial" w:cs="Arial"/>
          <w:b/>
        </w:rPr>
        <w:t xml:space="preserve">Petse AP and </w:t>
      </w:r>
      <w:r w:rsidR="004834FD" w:rsidRPr="00BD72CC">
        <w:rPr>
          <w:rFonts w:ascii="Arial" w:hAnsi="Arial" w:cs="Arial"/>
          <w:b/>
        </w:rPr>
        <w:t>Mali</w:t>
      </w:r>
      <w:r w:rsidR="000E3AE8" w:rsidRPr="00BD72CC">
        <w:rPr>
          <w:rFonts w:ascii="Arial" w:hAnsi="Arial" w:cs="Arial"/>
          <w:b/>
        </w:rPr>
        <w:t xml:space="preserve"> </w:t>
      </w:r>
      <w:r w:rsidR="00334079" w:rsidRPr="00BD72CC">
        <w:rPr>
          <w:rFonts w:ascii="Arial" w:hAnsi="Arial" w:cs="Arial"/>
          <w:b/>
        </w:rPr>
        <w:t>A</w:t>
      </w:r>
      <w:r w:rsidR="000E3AE8" w:rsidRPr="00BD72CC">
        <w:rPr>
          <w:rFonts w:ascii="Arial" w:hAnsi="Arial" w:cs="Arial"/>
          <w:b/>
        </w:rPr>
        <w:t>J</w:t>
      </w:r>
      <w:r w:rsidR="00075D7F" w:rsidRPr="00BD72CC">
        <w:rPr>
          <w:rFonts w:ascii="Arial" w:hAnsi="Arial" w:cs="Arial"/>
          <w:b/>
        </w:rPr>
        <w:t>A</w:t>
      </w:r>
      <w:r w:rsidR="00FF5A22" w:rsidRPr="00BD72CC">
        <w:rPr>
          <w:rFonts w:ascii="Arial" w:hAnsi="Arial" w:cs="Arial"/>
          <w:b/>
        </w:rPr>
        <w:t xml:space="preserve"> </w:t>
      </w:r>
      <w:r w:rsidR="00557676" w:rsidRPr="00BD72CC">
        <w:rPr>
          <w:rFonts w:ascii="Arial" w:hAnsi="Arial" w:cs="Arial"/>
          <w:b/>
        </w:rPr>
        <w:t>(</w:t>
      </w:r>
      <w:r w:rsidR="001A57F7" w:rsidRPr="00BD72CC">
        <w:rPr>
          <w:rFonts w:ascii="Arial" w:hAnsi="Arial" w:cs="Arial"/>
          <w:b/>
        </w:rPr>
        <w:t xml:space="preserve">Mabindla-Boqwana and Weiner JJA and </w:t>
      </w:r>
      <w:proofErr w:type="spellStart"/>
      <w:r w:rsidR="001A57F7" w:rsidRPr="00BD72CC">
        <w:rPr>
          <w:rFonts w:ascii="Arial" w:hAnsi="Arial" w:cs="Arial"/>
          <w:b/>
        </w:rPr>
        <w:t>Masipa</w:t>
      </w:r>
      <w:proofErr w:type="spellEnd"/>
      <w:r w:rsidR="001A57F7" w:rsidRPr="00BD72CC">
        <w:rPr>
          <w:rFonts w:ascii="Arial" w:hAnsi="Arial" w:cs="Arial"/>
          <w:b/>
        </w:rPr>
        <w:t xml:space="preserve"> AJA</w:t>
      </w:r>
      <w:r w:rsidR="00557676" w:rsidRPr="00BD72CC">
        <w:rPr>
          <w:rFonts w:ascii="Arial" w:hAnsi="Arial" w:cs="Arial"/>
          <w:b/>
        </w:rPr>
        <w:t xml:space="preserve"> </w:t>
      </w:r>
      <w:r w:rsidR="001D5237" w:rsidRPr="00BD72CC">
        <w:rPr>
          <w:rFonts w:ascii="Arial" w:hAnsi="Arial" w:cs="Arial"/>
          <w:b/>
        </w:rPr>
        <w:t>concurring</w:t>
      </w:r>
      <w:r w:rsidR="003D4416" w:rsidRPr="00BD72CC">
        <w:rPr>
          <w:rFonts w:ascii="Arial" w:hAnsi="Arial" w:cs="Arial"/>
          <w:b/>
        </w:rPr>
        <w:t>)</w:t>
      </w:r>
      <w:r w:rsidR="0068463E" w:rsidRPr="00BD72CC">
        <w:rPr>
          <w:rFonts w:ascii="Arial" w:hAnsi="Arial" w:cs="Arial"/>
          <w:b/>
        </w:rPr>
        <w:t>:</w:t>
      </w:r>
    </w:p>
    <w:p w14:paraId="11018742" w14:textId="77777777" w:rsidR="00957607" w:rsidRPr="00BD72CC" w:rsidRDefault="00957607" w:rsidP="001625FE">
      <w:pPr>
        <w:widowControl w:val="0"/>
        <w:tabs>
          <w:tab w:val="right" w:pos="9360"/>
        </w:tabs>
        <w:autoSpaceDE w:val="0"/>
        <w:autoSpaceDN w:val="0"/>
        <w:adjustRightInd w:val="0"/>
        <w:spacing w:line="360" w:lineRule="auto"/>
        <w:jc w:val="both"/>
        <w:rPr>
          <w:rFonts w:ascii="Arial" w:hAnsi="Arial" w:cs="Arial"/>
          <w:color w:val="212529"/>
        </w:rPr>
      </w:pPr>
    </w:p>
    <w:p w14:paraId="31F674A9" w14:textId="56E63609" w:rsidR="00E80EE7" w:rsidRPr="00BD72CC" w:rsidRDefault="00E80EE7" w:rsidP="001625FE">
      <w:pPr>
        <w:widowControl w:val="0"/>
        <w:tabs>
          <w:tab w:val="right" w:pos="9360"/>
        </w:tabs>
        <w:autoSpaceDE w:val="0"/>
        <w:autoSpaceDN w:val="0"/>
        <w:adjustRightInd w:val="0"/>
        <w:spacing w:line="360" w:lineRule="auto"/>
        <w:jc w:val="both"/>
        <w:rPr>
          <w:rFonts w:ascii="Arial" w:hAnsi="Arial" w:cs="Arial"/>
          <w:b/>
          <w:color w:val="212529"/>
        </w:rPr>
      </w:pPr>
      <w:r w:rsidRPr="00BD72CC">
        <w:rPr>
          <w:rFonts w:ascii="Arial" w:hAnsi="Arial" w:cs="Arial"/>
          <w:b/>
          <w:color w:val="212529"/>
        </w:rPr>
        <w:t>Introduction</w:t>
      </w:r>
    </w:p>
    <w:p w14:paraId="7E98B162" w14:textId="7F814E93" w:rsidR="00D31A10" w:rsidRPr="00BD72CC" w:rsidRDefault="00957607" w:rsidP="00957607">
      <w:pPr>
        <w:widowControl w:val="0"/>
        <w:autoSpaceDE w:val="0"/>
        <w:autoSpaceDN w:val="0"/>
        <w:adjustRightInd w:val="0"/>
        <w:spacing w:line="360" w:lineRule="auto"/>
        <w:jc w:val="both"/>
        <w:rPr>
          <w:rFonts w:ascii="Arial" w:hAnsi="Arial" w:cs="Arial"/>
        </w:rPr>
      </w:pPr>
      <w:r w:rsidRPr="00BD72CC">
        <w:rPr>
          <w:rFonts w:ascii="Arial" w:hAnsi="Arial" w:cs="Arial"/>
          <w:color w:val="212529"/>
        </w:rPr>
        <w:t>[1]</w:t>
      </w:r>
      <w:r w:rsidRPr="00BD72CC">
        <w:rPr>
          <w:rFonts w:ascii="Arial" w:hAnsi="Arial" w:cs="Arial"/>
          <w:color w:val="212529"/>
        </w:rPr>
        <w:tab/>
      </w:r>
      <w:r w:rsidR="00E80EE7" w:rsidRPr="00BD72CC">
        <w:rPr>
          <w:rFonts w:ascii="Arial" w:hAnsi="Arial" w:cs="Arial"/>
        </w:rPr>
        <w:t xml:space="preserve">The present litigation involves a trilogy of cases that were heard together in the Gauteng Division of the High Court, Pretoria (the high court). They essentially raise the same question of law and fact that can conveniently be dealt with in a composite judgment. They primarily concern </w:t>
      </w:r>
      <w:r w:rsidR="005E2587" w:rsidRPr="00BD72CC">
        <w:rPr>
          <w:rFonts w:ascii="Arial" w:hAnsi="Arial" w:cs="Arial"/>
        </w:rPr>
        <w:t xml:space="preserve">the classification, for purposes of customs duty, of certain bicycle parts imported into the country for use in assembling bicycles in order to determine the appellants' liability for import duties, if any. </w:t>
      </w:r>
    </w:p>
    <w:p w14:paraId="50D8EACF" w14:textId="77777777" w:rsidR="000A155D" w:rsidRPr="00BD72CC" w:rsidRDefault="000A155D" w:rsidP="001625FE">
      <w:pPr>
        <w:widowControl w:val="0"/>
        <w:tabs>
          <w:tab w:val="right" w:pos="9360"/>
        </w:tabs>
        <w:autoSpaceDE w:val="0"/>
        <w:autoSpaceDN w:val="0"/>
        <w:adjustRightInd w:val="0"/>
        <w:spacing w:line="360" w:lineRule="auto"/>
        <w:jc w:val="both"/>
        <w:rPr>
          <w:rFonts w:ascii="Arial" w:hAnsi="Arial" w:cs="Arial"/>
        </w:rPr>
      </w:pPr>
    </w:p>
    <w:p w14:paraId="4CE860A3" w14:textId="74D967FB" w:rsidR="000C1AE9" w:rsidRPr="00BD72CC" w:rsidRDefault="00601DC4" w:rsidP="00957607">
      <w:pPr>
        <w:widowControl w:val="0"/>
        <w:autoSpaceDE w:val="0"/>
        <w:autoSpaceDN w:val="0"/>
        <w:adjustRightInd w:val="0"/>
        <w:spacing w:line="360" w:lineRule="auto"/>
        <w:jc w:val="both"/>
        <w:rPr>
          <w:rFonts w:ascii="Arial" w:hAnsi="Arial" w:cs="Arial"/>
        </w:rPr>
      </w:pPr>
      <w:r w:rsidRPr="00BD72CC">
        <w:rPr>
          <w:rFonts w:ascii="Arial" w:hAnsi="Arial" w:cs="Arial"/>
        </w:rPr>
        <w:t>[2</w:t>
      </w:r>
      <w:r w:rsidR="00D31A10" w:rsidRPr="00BD72CC">
        <w:rPr>
          <w:rFonts w:ascii="Arial" w:hAnsi="Arial" w:cs="Arial"/>
        </w:rPr>
        <w:t>]</w:t>
      </w:r>
      <w:r w:rsidR="00957607" w:rsidRPr="00BD72CC">
        <w:rPr>
          <w:rFonts w:ascii="Arial" w:hAnsi="Arial" w:cs="Arial"/>
        </w:rPr>
        <w:tab/>
      </w:r>
      <w:r w:rsidR="005E2587" w:rsidRPr="00BD72CC">
        <w:rPr>
          <w:rFonts w:ascii="Arial" w:hAnsi="Arial" w:cs="Arial"/>
        </w:rPr>
        <w:t>Section 47(1)</w:t>
      </w:r>
      <w:r w:rsidR="005E2587" w:rsidRPr="00BD72CC">
        <w:rPr>
          <w:rStyle w:val="FootnoteReference"/>
          <w:rFonts w:ascii="Arial" w:hAnsi="Arial" w:cs="Arial"/>
        </w:rPr>
        <w:footnoteReference w:id="1"/>
      </w:r>
      <w:r w:rsidR="005E2587" w:rsidRPr="00BD72CC">
        <w:rPr>
          <w:rFonts w:ascii="Arial" w:hAnsi="Arial" w:cs="Arial"/>
        </w:rPr>
        <w:t xml:space="preserve"> of the Customs and Excise Act</w:t>
      </w:r>
      <w:r w:rsidR="005E2587" w:rsidRPr="00BD72CC">
        <w:rPr>
          <w:rStyle w:val="FootnoteReference"/>
          <w:rFonts w:ascii="Arial" w:hAnsi="Arial" w:cs="Arial"/>
        </w:rPr>
        <w:footnoteReference w:id="2"/>
      </w:r>
      <w:r w:rsidR="005E2587" w:rsidRPr="00BD72CC">
        <w:rPr>
          <w:rFonts w:ascii="Arial" w:hAnsi="Arial" w:cs="Arial"/>
        </w:rPr>
        <w:t xml:space="preserve"> (the Act) provides, amongst other things, that customs duty is payable on certain goods imported into the country in accordance with the provisions of Part I of Schedule I (the Schedule) to the Act. The appeal </w:t>
      </w:r>
      <w:r w:rsidR="00DA50F6" w:rsidRPr="00BD72CC">
        <w:rPr>
          <w:rFonts w:ascii="Arial" w:hAnsi="Arial" w:cs="Arial"/>
        </w:rPr>
        <w:t xml:space="preserve">raises the question whether the goods in question, </w:t>
      </w:r>
      <w:proofErr w:type="spellStart"/>
      <w:r w:rsidR="00DA50F6" w:rsidRPr="00BD72CC">
        <w:rPr>
          <w:rFonts w:ascii="Arial" w:hAnsi="Arial" w:cs="Arial"/>
        </w:rPr>
        <w:t>ie</w:t>
      </w:r>
      <w:proofErr w:type="spellEnd"/>
      <w:r w:rsidR="00DC3B98" w:rsidRPr="00BD72CC">
        <w:rPr>
          <w:rFonts w:ascii="Arial" w:hAnsi="Arial" w:cs="Arial"/>
        </w:rPr>
        <w:t>.</w:t>
      </w:r>
      <w:r w:rsidR="00DA50F6" w:rsidRPr="00BD72CC">
        <w:rPr>
          <w:rFonts w:ascii="Arial" w:hAnsi="Arial" w:cs="Arial"/>
        </w:rPr>
        <w:t xml:space="preserve"> </w:t>
      </w:r>
      <w:proofErr w:type="gramStart"/>
      <w:r w:rsidR="00DA50F6" w:rsidRPr="00BD72CC">
        <w:rPr>
          <w:rFonts w:ascii="Arial" w:hAnsi="Arial" w:cs="Arial"/>
        </w:rPr>
        <w:t>bicycle</w:t>
      </w:r>
      <w:proofErr w:type="gramEnd"/>
      <w:r w:rsidR="00DA50F6" w:rsidRPr="00BD72CC">
        <w:rPr>
          <w:rFonts w:ascii="Arial" w:hAnsi="Arial" w:cs="Arial"/>
        </w:rPr>
        <w:t xml:space="preserve"> parts, as presented upon importation bear the essential character of a bicycle or are merely parts or accessories of a bicycle. The significance</w:t>
      </w:r>
      <w:r w:rsidR="00AC001B" w:rsidRPr="00BD72CC">
        <w:rPr>
          <w:rFonts w:ascii="Arial" w:hAnsi="Arial" w:cs="Arial"/>
        </w:rPr>
        <w:t xml:space="preserve"> of this distinction</w:t>
      </w:r>
      <w:r w:rsidR="00DA50F6" w:rsidRPr="00BD72CC">
        <w:rPr>
          <w:rFonts w:ascii="Arial" w:hAnsi="Arial" w:cs="Arial"/>
        </w:rPr>
        <w:t xml:space="preserve"> lies in the fact that bicycle parts that bear the essential character </w:t>
      </w:r>
      <w:r w:rsidR="00C841D5" w:rsidRPr="00BD72CC">
        <w:rPr>
          <w:rFonts w:ascii="Arial" w:hAnsi="Arial" w:cs="Arial"/>
        </w:rPr>
        <w:t xml:space="preserve">of a bicycle are </w:t>
      </w:r>
      <w:r w:rsidR="00373C15" w:rsidRPr="00BD72CC">
        <w:rPr>
          <w:rFonts w:ascii="Arial" w:hAnsi="Arial" w:cs="Arial"/>
        </w:rPr>
        <w:t>liable, under tariff heading 8712.0</w:t>
      </w:r>
      <w:r w:rsidR="00C841D5" w:rsidRPr="00BD72CC">
        <w:rPr>
          <w:rFonts w:ascii="Arial" w:hAnsi="Arial" w:cs="Arial"/>
        </w:rPr>
        <w:t>0 of Part I</w:t>
      </w:r>
      <w:r w:rsidR="001D7670" w:rsidRPr="00BD72CC">
        <w:rPr>
          <w:rFonts w:ascii="Arial" w:hAnsi="Arial" w:cs="Arial"/>
        </w:rPr>
        <w:t xml:space="preserve"> of Schedule I to the Act, for import duties of 15 per cent of </w:t>
      </w:r>
      <w:r w:rsidR="001D7670" w:rsidRPr="00BD72CC">
        <w:rPr>
          <w:rFonts w:ascii="Arial" w:hAnsi="Arial" w:cs="Arial"/>
        </w:rPr>
        <w:lastRenderedPageBreak/>
        <w:t xml:space="preserve">their value. </w:t>
      </w:r>
      <w:r w:rsidR="00AC001B" w:rsidRPr="00BD72CC">
        <w:rPr>
          <w:rFonts w:ascii="Arial" w:hAnsi="Arial" w:cs="Arial"/>
        </w:rPr>
        <w:t>By contrast</w:t>
      </w:r>
      <w:r w:rsidR="001D7670" w:rsidRPr="00BD72CC">
        <w:rPr>
          <w:rFonts w:ascii="Arial" w:hAnsi="Arial" w:cs="Arial"/>
        </w:rPr>
        <w:t xml:space="preserve">, parts and accessories that lack the essential character of a bicycle are exempt from customs duty. </w:t>
      </w:r>
    </w:p>
    <w:p w14:paraId="576B48D4" w14:textId="77777777" w:rsidR="000A155D" w:rsidRPr="00BD72CC" w:rsidRDefault="000A155D" w:rsidP="00957607">
      <w:pPr>
        <w:widowControl w:val="0"/>
        <w:autoSpaceDE w:val="0"/>
        <w:autoSpaceDN w:val="0"/>
        <w:adjustRightInd w:val="0"/>
        <w:spacing w:line="360" w:lineRule="auto"/>
        <w:jc w:val="both"/>
        <w:rPr>
          <w:rFonts w:ascii="Arial" w:hAnsi="Arial" w:cs="Arial"/>
        </w:rPr>
      </w:pPr>
    </w:p>
    <w:p w14:paraId="7346C620" w14:textId="7D2BBDB8" w:rsidR="00DD38D5" w:rsidRPr="00BD72CC" w:rsidRDefault="00DD38D5" w:rsidP="00957607">
      <w:pPr>
        <w:widowControl w:val="0"/>
        <w:autoSpaceDE w:val="0"/>
        <w:autoSpaceDN w:val="0"/>
        <w:adjustRightInd w:val="0"/>
        <w:spacing w:line="360" w:lineRule="auto"/>
        <w:jc w:val="both"/>
        <w:rPr>
          <w:rFonts w:ascii="Arial" w:hAnsi="Arial" w:cs="Arial"/>
          <w:color w:val="212529"/>
        </w:rPr>
      </w:pPr>
      <w:r w:rsidRPr="00BD72CC">
        <w:rPr>
          <w:rFonts w:ascii="Arial" w:hAnsi="Arial" w:cs="Arial"/>
          <w:b/>
          <w:color w:val="212529"/>
        </w:rPr>
        <w:t>The parties</w:t>
      </w:r>
    </w:p>
    <w:p w14:paraId="171E6707" w14:textId="1FCC8516" w:rsidR="004D54BA" w:rsidRPr="00BD72CC" w:rsidRDefault="00601DC4" w:rsidP="00957607">
      <w:pPr>
        <w:widowControl w:val="0"/>
        <w:autoSpaceDE w:val="0"/>
        <w:autoSpaceDN w:val="0"/>
        <w:adjustRightInd w:val="0"/>
        <w:spacing w:line="360" w:lineRule="auto"/>
        <w:jc w:val="both"/>
        <w:rPr>
          <w:rFonts w:ascii="Arial" w:hAnsi="Arial" w:cs="Arial"/>
          <w:color w:val="212529"/>
        </w:rPr>
      </w:pPr>
      <w:r w:rsidRPr="00BD72CC">
        <w:rPr>
          <w:rFonts w:ascii="Arial" w:hAnsi="Arial" w:cs="Arial"/>
          <w:color w:val="212529"/>
        </w:rPr>
        <w:t>[3</w:t>
      </w:r>
      <w:r w:rsidR="002059C5" w:rsidRPr="00BD72CC">
        <w:rPr>
          <w:rFonts w:ascii="Arial" w:hAnsi="Arial" w:cs="Arial"/>
          <w:color w:val="212529"/>
        </w:rPr>
        <w:t>]</w:t>
      </w:r>
      <w:r w:rsidR="00957607" w:rsidRPr="00BD72CC">
        <w:rPr>
          <w:rFonts w:ascii="Arial" w:hAnsi="Arial" w:cs="Arial"/>
          <w:color w:val="212529"/>
        </w:rPr>
        <w:tab/>
      </w:r>
      <w:r w:rsidR="00DD38D5" w:rsidRPr="00BD72CC">
        <w:rPr>
          <w:rFonts w:ascii="Arial" w:hAnsi="Arial" w:cs="Arial"/>
          <w:color w:val="212529"/>
        </w:rPr>
        <w:t>The first appellant, Silverback Technologies CC (Silverback) is a close corporation</w:t>
      </w:r>
      <w:r w:rsidR="0004001B" w:rsidRPr="00BD72CC">
        <w:rPr>
          <w:rFonts w:ascii="Arial" w:hAnsi="Arial" w:cs="Arial"/>
          <w:color w:val="212529"/>
        </w:rPr>
        <w:t xml:space="preserve"> registered in terms of the Close Corporation</w:t>
      </w:r>
      <w:r w:rsidR="006B4D22" w:rsidRPr="00BD72CC">
        <w:rPr>
          <w:rFonts w:ascii="Arial" w:hAnsi="Arial" w:cs="Arial"/>
          <w:color w:val="212529"/>
        </w:rPr>
        <w:t>s</w:t>
      </w:r>
      <w:r w:rsidR="0004001B" w:rsidRPr="00BD72CC">
        <w:rPr>
          <w:rFonts w:ascii="Arial" w:hAnsi="Arial" w:cs="Arial"/>
          <w:color w:val="212529"/>
        </w:rPr>
        <w:t xml:space="preserve"> Act.</w:t>
      </w:r>
      <w:r w:rsidR="0004001B" w:rsidRPr="00BD72CC">
        <w:rPr>
          <w:rStyle w:val="FootnoteReference"/>
          <w:rFonts w:ascii="Arial" w:hAnsi="Arial" w:cs="Arial"/>
          <w:color w:val="212529"/>
        </w:rPr>
        <w:footnoteReference w:id="3"/>
      </w:r>
      <w:r w:rsidR="001625FE" w:rsidRPr="00BD72CC">
        <w:rPr>
          <w:rFonts w:ascii="Arial" w:hAnsi="Arial" w:cs="Arial"/>
          <w:color w:val="212529"/>
        </w:rPr>
        <w:t xml:space="preserve"> </w:t>
      </w:r>
      <w:r w:rsidR="00DD38D5" w:rsidRPr="00BD72CC">
        <w:rPr>
          <w:rFonts w:ascii="Arial" w:hAnsi="Arial" w:cs="Arial"/>
          <w:color w:val="212529"/>
        </w:rPr>
        <w:t xml:space="preserve">It conducts business as an importer into and distributor of bicycle parts and accessories in the Republic of South Africa (RSA). The second appellant, </w:t>
      </w:r>
      <w:proofErr w:type="spellStart"/>
      <w:r w:rsidR="00DD38D5" w:rsidRPr="00BD72CC">
        <w:rPr>
          <w:rFonts w:ascii="Arial" w:hAnsi="Arial" w:cs="Arial"/>
          <w:color w:val="212529"/>
        </w:rPr>
        <w:t>Omnico</w:t>
      </w:r>
      <w:proofErr w:type="spellEnd"/>
      <w:r w:rsidR="00DD38D5" w:rsidRPr="00BD72CC">
        <w:rPr>
          <w:rFonts w:ascii="Arial" w:hAnsi="Arial" w:cs="Arial"/>
          <w:color w:val="212529"/>
        </w:rPr>
        <w:t xml:space="preserve"> (Pty) Ltd (</w:t>
      </w:r>
      <w:proofErr w:type="spellStart"/>
      <w:r w:rsidR="00DD38D5" w:rsidRPr="00BD72CC">
        <w:rPr>
          <w:rFonts w:ascii="Arial" w:hAnsi="Arial" w:cs="Arial"/>
          <w:color w:val="212529"/>
        </w:rPr>
        <w:t>Omnico</w:t>
      </w:r>
      <w:proofErr w:type="spellEnd"/>
      <w:r w:rsidR="00DD38D5" w:rsidRPr="00BD72CC">
        <w:rPr>
          <w:rFonts w:ascii="Arial" w:hAnsi="Arial" w:cs="Arial"/>
          <w:color w:val="212529"/>
        </w:rPr>
        <w:t>), is an incorporated entity in terms of the company laws of the RSA. It, too, conducts business as an importer of bicycle</w:t>
      </w:r>
      <w:r w:rsidR="0004001B" w:rsidRPr="00BD72CC">
        <w:rPr>
          <w:rFonts w:ascii="Arial" w:hAnsi="Arial" w:cs="Arial"/>
          <w:color w:val="212529"/>
        </w:rPr>
        <w:t xml:space="preserve"> parts for local distribution. Similarly, t</w:t>
      </w:r>
      <w:r w:rsidR="00DD38D5" w:rsidRPr="00BD72CC">
        <w:rPr>
          <w:rFonts w:ascii="Arial" w:hAnsi="Arial" w:cs="Arial"/>
          <w:color w:val="212529"/>
        </w:rPr>
        <w:t xml:space="preserve">he third appellant, </w:t>
      </w:r>
      <w:proofErr w:type="spellStart"/>
      <w:r w:rsidR="00DD38D5" w:rsidRPr="00BD72CC">
        <w:rPr>
          <w:rFonts w:ascii="Arial" w:hAnsi="Arial" w:cs="Arial"/>
          <w:color w:val="212529"/>
        </w:rPr>
        <w:t>Cytek</w:t>
      </w:r>
      <w:proofErr w:type="spellEnd"/>
      <w:r w:rsidR="00DD38D5" w:rsidRPr="00BD72CC">
        <w:rPr>
          <w:rFonts w:ascii="Arial" w:hAnsi="Arial" w:cs="Arial"/>
          <w:color w:val="212529"/>
        </w:rPr>
        <w:t xml:space="preserve"> Cycle Distributors CC (</w:t>
      </w:r>
      <w:proofErr w:type="spellStart"/>
      <w:r w:rsidR="00DD38D5" w:rsidRPr="00BD72CC">
        <w:rPr>
          <w:rFonts w:ascii="Arial" w:hAnsi="Arial" w:cs="Arial"/>
          <w:color w:val="212529"/>
        </w:rPr>
        <w:t>Cytek</w:t>
      </w:r>
      <w:proofErr w:type="spellEnd"/>
      <w:r w:rsidR="00DD38D5" w:rsidRPr="00BD72CC">
        <w:rPr>
          <w:rFonts w:ascii="Arial" w:hAnsi="Arial" w:cs="Arial"/>
          <w:color w:val="212529"/>
        </w:rPr>
        <w:t xml:space="preserve"> Cycle) is a close corporation</w:t>
      </w:r>
      <w:r w:rsidR="006B4D22" w:rsidRPr="00BD72CC">
        <w:rPr>
          <w:rFonts w:ascii="Arial" w:hAnsi="Arial" w:cs="Arial"/>
          <w:color w:val="212529"/>
        </w:rPr>
        <w:t>, which,</w:t>
      </w:r>
      <w:r w:rsidR="001275AE" w:rsidRPr="00BD72CC">
        <w:rPr>
          <w:rFonts w:ascii="Arial" w:hAnsi="Arial" w:cs="Arial"/>
          <w:color w:val="212529"/>
        </w:rPr>
        <w:t xml:space="preserve"> as part of its name suggests, conducts business as an importer of bicycles and their parts for local distribution. For convenience, these parties will collectively be referred to as the appellants. But when it is convenient to refer to any one of them individually we shall do so by </w:t>
      </w:r>
      <w:r w:rsidR="006B4D22" w:rsidRPr="00BD72CC">
        <w:rPr>
          <w:rFonts w:ascii="Arial" w:hAnsi="Arial" w:cs="Arial"/>
          <w:color w:val="212529"/>
        </w:rPr>
        <w:t>their respective</w:t>
      </w:r>
      <w:r w:rsidR="0004001B" w:rsidRPr="00BD72CC">
        <w:rPr>
          <w:rFonts w:ascii="Arial" w:hAnsi="Arial" w:cs="Arial"/>
          <w:color w:val="212529"/>
        </w:rPr>
        <w:t xml:space="preserve"> </w:t>
      </w:r>
      <w:r w:rsidR="001275AE" w:rsidRPr="00BD72CC">
        <w:rPr>
          <w:rFonts w:ascii="Arial" w:hAnsi="Arial" w:cs="Arial"/>
          <w:color w:val="212529"/>
        </w:rPr>
        <w:t>name</w:t>
      </w:r>
      <w:r w:rsidR="006B4D22" w:rsidRPr="00BD72CC">
        <w:rPr>
          <w:rFonts w:ascii="Arial" w:hAnsi="Arial" w:cs="Arial"/>
          <w:color w:val="212529"/>
        </w:rPr>
        <w:t>s</w:t>
      </w:r>
      <w:r w:rsidR="001275AE" w:rsidRPr="00BD72CC">
        <w:rPr>
          <w:rFonts w:ascii="Arial" w:hAnsi="Arial" w:cs="Arial"/>
          <w:color w:val="212529"/>
        </w:rPr>
        <w:t xml:space="preserve">. </w:t>
      </w:r>
    </w:p>
    <w:p w14:paraId="39C09C90" w14:textId="77777777" w:rsidR="001275AE" w:rsidRPr="00BD72CC" w:rsidRDefault="001275AE" w:rsidP="00957607">
      <w:pPr>
        <w:widowControl w:val="0"/>
        <w:autoSpaceDE w:val="0"/>
        <w:autoSpaceDN w:val="0"/>
        <w:adjustRightInd w:val="0"/>
        <w:spacing w:line="360" w:lineRule="auto"/>
        <w:jc w:val="both"/>
        <w:rPr>
          <w:rFonts w:ascii="Arial" w:hAnsi="Arial" w:cs="Arial"/>
          <w:color w:val="212529"/>
        </w:rPr>
      </w:pPr>
    </w:p>
    <w:p w14:paraId="7640B46F" w14:textId="779180A1" w:rsidR="001275AE" w:rsidRPr="00BD72CC" w:rsidRDefault="001275AE" w:rsidP="00957607">
      <w:pPr>
        <w:widowControl w:val="0"/>
        <w:autoSpaceDE w:val="0"/>
        <w:autoSpaceDN w:val="0"/>
        <w:adjustRightInd w:val="0"/>
        <w:spacing w:line="360" w:lineRule="auto"/>
        <w:jc w:val="both"/>
        <w:rPr>
          <w:rFonts w:ascii="Arial" w:hAnsi="Arial" w:cs="Arial"/>
          <w:color w:val="212529"/>
        </w:rPr>
      </w:pPr>
      <w:r w:rsidRPr="00BD72CC">
        <w:rPr>
          <w:rFonts w:ascii="Arial" w:hAnsi="Arial" w:cs="Arial"/>
          <w:color w:val="212529"/>
        </w:rPr>
        <w:t>[4]</w:t>
      </w:r>
      <w:r w:rsidRPr="00BD72CC">
        <w:rPr>
          <w:rFonts w:ascii="Arial" w:hAnsi="Arial" w:cs="Arial"/>
          <w:color w:val="212529"/>
        </w:rPr>
        <w:tab/>
        <w:t xml:space="preserve">The Commissioner for the South African Revenue Service (SARS) features as a respondent in each of the three cases. For convenience, we shall refer to the respondent as either the Commissioner or SARS, depending on the context. </w:t>
      </w:r>
    </w:p>
    <w:p w14:paraId="431E2C2D" w14:textId="77777777" w:rsidR="001275AE" w:rsidRPr="00BD72CC" w:rsidRDefault="001275AE" w:rsidP="00957607">
      <w:pPr>
        <w:widowControl w:val="0"/>
        <w:autoSpaceDE w:val="0"/>
        <w:autoSpaceDN w:val="0"/>
        <w:adjustRightInd w:val="0"/>
        <w:spacing w:line="360" w:lineRule="auto"/>
        <w:jc w:val="both"/>
        <w:rPr>
          <w:rFonts w:ascii="Arial" w:hAnsi="Arial" w:cs="Arial"/>
          <w:color w:val="212529"/>
        </w:rPr>
      </w:pPr>
    </w:p>
    <w:p w14:paraId="240088DE" w14:textId="438F612C" w:rsidR="001275AE" w:rsidRPr="00BD72CC" w:rsidRDefault="001275AE" w:rsidP="00957607">
      <w:pPr>
        <w:widowControl w:val="0"/>
        <w:autoSpaceDE w:val="0"/>
        <w:autoSpaceDN w:val="0"/>
        <w:adjustRightInd w:val="0"/>
        <w:spacing w:line="360" w:lineRule="auto"/>
        <w:jc w:val="both"/>
        <w:rPr>
          <w:rFonts w:ascii="Arial" w:hAnsi="Arial" w:cs="Arial"/>
          <w:color w:val="212529"/>
        </w:rPr>
      </w:pPr>
      <w:r w:rsidRPr="00BD72CC">
        <w:rPr>
          <w:rFonts w:ascii="Arial" w:hAnsi="Arial" w:cs="Arial"/>
          <w:b/>
          <w:color w:val="212529"/>
        </w:rPr>
        <w:t>Litigation history</w:t>
      </w:r>
    </w:p>
    <w:p w14:paraId="6E8FBB7C" w14:textId="033D288B" w:rsidR="001275AE" w:rsidRPr="00BD72CC" w:rsidRDefault="001275AE" w:rsidP="00957607">
      <w:pPr>
        <w:widowControl w:val="0"/>
        <w:autoSpaceDE w:val="0"/>
        <w:autoSpaceDN w:val="0"/>
        <w:adjustRightInd w:val="0"/>
        <w:spacing w:line="360" w:lineRule="auto"/>
        <w:jc w:val="both"/>
        <w:rPr>
          <w:rFonts w:ascii="Arial" w:hAnsi="Arial" w:cs="Arial"/>
          <w:color w:val="212529"/>
        </w:rPr>
      </w:pPr>
      <w:r w:rsidRPr="00BD72CC">
        <w:rPr>
          <w:rFonts w:ascii="Arial" w:hAnsi="Arial" w:cs="Arial"/>
          <w:color w:val="212529"/>
        </w:rPr>
        <w:t>[5]</w:t>
      </w:r>
      <w:r w:rsidRPr="00BD72CC">
        <w:rPr>
          <w:rFonts w:ascii="Arial" w:hAnsi="Arial" w:cs="Arial"/>
          <w:color w:val="212529"/>
        </w:rPr>
        <w:tab/>
        <w:t xml:space="preserve">At different times during 2016 and 2017 </w:t>
      </w:r>
      <w:r w:rsidR="00000DFF" w:rsidRPr="00BD72CC">
        <w:rPr>
          <w:rFonts w:ascii="Arial" w:hAnsi="Arial" w:cs="Arial"/>
          <w:color w:val="212529"/>
        </w:rPr>
        <w:t>the appellants</w:t>
      </w:r>
      <w:r w:rsidRPr="00BD72CC">
        <w:rPr>
          <w:rFonts w:ascii="Arial" w:hAnsi="Arial" w:cs="Arial"/>
          <w:color w:val="212529"/>
        </w:rPr>
        <w:t xml:space="preserve"> independently instituted legal proceedings in the high court against the Commissioner. </w:t>
      </w:r>
      <w:r w:rsidR="00E908ED" w:rsidRPr="00BD72CC">
        <w:rPr>
          <w:rFonts w:ascii="Arial" w:hAnsi="Arial" w:cs="Arial"/>
          <w:color w:val="212529"/>
        </w:rPr>
        <w:t>For its part, Silverback</w:t>
      </w:r>
      <w:r w:rsidR="00064D45" w:rsidRPr="00BD72CC">
        <w:rPr>
          <w:rFonts w:ascii="Arial" w:hAnsi="Arial" w:cs="Arial"/>
          <w:color w:val="212529"/>
        </w:rPr>
        <w:t xml:space="preserve"> sought orders against SARS</w:t>
      </w:r>
      <w:r w:rsidR="00514C57" w:rsidRPr="00BD72CC">
        <w:rPr>
          <w:rFonts w:ascii="Arial" w:hAnsi="Arial" w:cs="Arial"/>
          <w:color w:val="212529"/>
        </w:rPr>
        <w:t xml:space="preserve">, </w:t>
      </w:r>
      <w:r w:rsidR="00514C57" w:rsidRPr="00BD72CC">
        <w:rPr>
          <w:rFonts w:ascii="Arial" w:hAnsi="Arial" w:cs="Arial"/>
          <w:i/>
          <w:color w:val="212529"/>
        </w:rPr>
        <w:t>inter alia</w:t>
      </w:r>
      <w:r w:rsidR="00514C57" w:rsidRPr="00BD72CC">
        <w:rPr>
          <w:rFonts w:ascii="Arial" w:hAnsi="Arial" w:cs="Arial"/>
          <w:color w:val="212529"/>
        </w:rPr>
        <w:t>,</w:t>
      </w:r>
      <w:r w:rsidR="00064D45" w:rsidRPr="00BD72CC">
        <w:rPr>
          <w:rFonts w:ascii="Arial" w:hAnsi="Arial" w:cs="Arial"/>
          <w:color w:val="212529"/>
        </w:rPr>
        <w:t xml:space="preserve"> in the following terms:</w:t>
      </w:r>
    </w:p>
    <w:p w14:paraId="18C9F0D3" w14:textId="0DD34312" w:rsidR="00064D45" w:rsidRPr="00BD72CC" w:rsidRDefault="00064D45" w:rsidP="00957607">
      <w:pPr>
        <w:widowControl w:val="0"/>
        <w:autoSpaceDE w:val="0"/>
        <w:autoSpaceDN w:val="0"/>
        <w:adjustRightInd w:val="0"/>
        <w:spacing w:line="360" w:lineRule="auto"/>
        <w:jc w:val="both"/>
        <w:rPr>
          <w:rFonts w:ascii="Arial" w:hAnsi="Arial" w:cs="Arial"/>
          <w:color w:val="212529"/>
          <w:sz w:val="22"/>
        </w:rPr>
      </w:pPr>
      <w:r w:rsidRPr="00BD72CC">
        <w:rPr>
          <w:rFonts w:ascii="Arial" w:hAnsi="Arial" w:cs="Arial"/>
          <w:color w:val="212529"/>
          <w:sz w:val="22"/>
        </w:rPr>
        <w:t>'1.</w:t>
      </w:r>
      <w:r w:rsidRPr="00BD72CC">
        <w:rPr>
          <w:rFonts w:ascii="Arial" w:hAnsi="Arial" w:cs="Arial"/>
          <w:color w:val="212529"/>
          <w:sz w:val="22"/>
        </w:rPr>
        <w:tab/>
        <w:t>That the Respondent's tariff determinations (annexed to the Founding Affidavit as annexures "SV3", "SV4" and "SV6" determining the products under issue under tariff heading 8712.00.10, be set aside and replaced with a tariff determination under tariff heading 8714.19.</w:t>
      </w:r>
    </w:p>
    <w:p w14:paraId="2FACA8C4" w14:textId="77777777" w:rsidR="00064D45" w:rsidRPr="00BD72CC" w:rsidRDefault="00064D45" w:rsidP="00957607">
      <w:pPr>
        <w:widowControl w:val="0"/>
        <w:autoSpaceDE w:val="0"/>
        <w:autoSpaceDN w:val="0"/>
        <w:adjustRightInd w:val="0"/>
        <w:spacing w:line="360" w:lineRule="auto"/>
        <w:jc w:val="both"/>
        <w:rPr>
          <w:rFonts w:ascii="Arial" w:hAnsi="Arial" w:cs="Arial"/>
          <w:color w:val="212529"/>
          <w:sz w:val="22"/>
        </w:rPr>
      </w:pPr>
    </w:p>
    <w:p w14:paraId="7CC0B12C" w14:textId="3C3986C8" w:rsidR="00064D45" w:rsidRPr="00BD72CC" w:rsidRDefault="00064D45" w:rsidP="00957607">
      <w:pPr>
        <w:widowControl w:val="0"/>
        <w:autoSpaceDE w:val="0"/>
        <w:autoSpaceDN w:val="0"/>
        <w:adjustRightInd w:val="0"/>
        <w:spacing w:line="360" w:lineRule="auto"/>
        <w:jc w:val="both"/>
        <w:rPr>
          <w:rFonts w:ascii="Arial" w:hAnsi="Arial" w:cs="Arial"/>
          <w:color w:val="212529"/>
          <w:sz w:val="22"/>
        </w:rPr>
      </w:pPr>
      <w:r w:rsidRPr="00BD72CC">
        <w:rPr>
          <w:rFonts w:ascii="Arial" w:hAnsi="Arial" w:cs="Arial"/>
          <w:color w:val="212529"/>
          <w:sz w:val="22"/>
        </w:rPr>
        <w:t>2.</w:t>
      </w:r>
      <w:r w:rsidRPr="00BD72CC">
        <w:rPr>
          <w:rFonts w:ascii="Arial" w:hAnsi="Arial" w:cs="Arial"/>
          <w:color w:val="212529"/>
          <w:sz w:val="22"/>
        </w:rPr>
        <w:tab/>
        <w:t>Alternatively to the above, that the tariff determination be set aside and replaced with a determination that the products are classified under TH</w:t>
      </w:r>
      <w:r w:rsidR="008E3EBD" w:rsidRPr="00BD72CC">
        <w:rPr>
          <w:rFonts w:ascii="Arial" w:hAnsi="Arial" w:cs="Arial"/>
          <w:color w:val="212529"/>
          <w:sz w:val="22"/>
        </w:rPr>
        <w:t>8714.99 or further alternatively per corresponding part under TH8714.9.'</w:t>
      </w:r>
    </w:p>
    <w:p w14:paraId="5D2DAC58" w14:textId="77777777" w:rsidR="008E3EBD" w:rsidRPr="00BD72CC" w:rsidRDefault="008E3EBD" w:rsidP="00957607">
      <w:pPr>
        <w:widowControl w:val="0"/>
        <w:autoSpaceDE w:val="0"/>
        <w:autoSpaceDN w:val="0"/>
        <w:adjustRightInd w:val="0"/>
        <w:spacing w:line="360" w:lineRule="auto"/>
        <w:jc w:val="both"/>
        <w:rPr>
          <w:rFonts w:ascii="Arial" w:hAnsi="Arial" w:cs="Arial"/>
          <w:color w:val="212529"/>
        </w:rPr>
      </w:pPr>
    </w:p>
    <w:p w14:paraId="05F48632" w14:textId="151025AF" w:rsidR="008E3EBD" w:rsidRPr="00BD72CC" w:rsidRDefault="008E3EBD" w:rsidP="00957607">
      <w:pPr>
        <w:widowControl w:val="0"/>
        <w:autoSpaceDE w:val="0"/>
        <w:autoSpaceDN w:val="0"/>
        <w:adjustRightInd w:val="0"/>
        <w:spacing w:line="360" w:lineRule="auto"/>
        <w:jc w:val="both"/>
        <w:rPr>
          <w:rFonts w:ascii="Arial" w:hAnsi="Arial" w:cs="Arial"/>
          <w:color w:val="212529"/>
        </w:rPr>
      </w:pPr>
      <w:r w:rsidRPr="00BD72CC">
        <w:rPr>
          <w:rFonts w:ascii="Arial" w:hAnsi="Arial" w:cs="Arial"/>
          <w:color w:val="212529"/>
        </w:rPr>
        <w:t>[6]</w:t>
      </w:r>
      <w:r w:rsidRPr="00BD72CC">
        <w:rPr>
          <w:rFonts w:ascii="Arial" w:hAnsi="Arial" w:cs="Arial"/>
          <w:color w:val="212529"/>
        </w:rPr>
        <w:tab/>
      </w:r>
      <w:r w:rsidR="00884B13" w:rsidRPr="00BD72CC">
        <w:rPr>
          <w:rFonts w:ascii="Arial" w:hAnsi="Arial" w:cs="Arial"/>
          <w:color w:val="212529"/>
        </w:rPr>
        <w:t xml:space="preserve">In view of the fact that the principal issue for determination in all three cases </w:t>
      </w:r>
      <w:r w:rsidR="00884B13" w:rsidRPr="00BD72CC">
        <w:rPr>
          <w:rFonts w:ascii="Arial" w:hAnsi="Arial" w:cs="Arial"/>
          <w:color w:val="212529"/>
        </w:rPr>
        <w:lastRenderedPageBreak/>
        <w:t>overlapped, they were heard together in the high court pursuant to a directive issued by the Acting Deputy Judge President</w:t>
      </w:r>
      <w:r w:rsidR="003216D8" w:rsidRPr="00BD72CC">
        <w:rPr>
          <w:rFonts w:ascii="Arial" w:hAnsi="Arial" w:cs="Arial"/>
          <w:color w:val="212529"/>
        </w:rPr>
        <w:t>.</w:t>
      </w:r>
      <w:r w:rsidR="00884B13" w:rsidRPr="00BD72CC">
        <w:rPr>
          <w:rFonts w:ascii="Arial" w:hAnsi="Arial" w:cs="Arial"/>
          <w:color w:val="212529"/>
        </w:rPr>
        <w:t xml:space="preserve"> </w:t>
      </w:r>
    </w:p>
    <w:p w14:paraId="743BFE62" w14:textId="77777777" w:rsidR="00884B13" w:rsidRPr="00BD72CC" w:rsidRDefault="00884B13" w:rsidP="00957607">
      <w:pPr>
        <w:widowControl w:val="0"/>
        <w:autoSpaceDE w:val="0"/>
        <w:autoSpaceDN w:val="0"/>
        <w:adjustRightInd w:val="0"/>
        <w:spacing w:line="360" w:lineRule="auto"/>
        <w:jc w:val="both"/>
        <w:rPr>
          <w:rFonts w:ascii="Arial" w:hAnsi="Arial" w:cs="Arial"/>
          <w:color w:val="212529"/>
        </w:rPr>
      </w:pPr>
    </w:p>
    <w:p w14:paraId="3C9AE638" w14:textId="5715EF3E" w:rsidR="00884B13" w:rsidRPr="00BD72CC" w:rsidRDefault="00884B13" w:rsidP="00957607">
      <w:pPr>
        <w:widowControl w:val="0"/>
        <w:autoSpaceDE w:val="0"/>
        <w:autoSpaceDN w:val="0"/>
        <w:adjustRightInd w:val="0"/>
        <w:spacing w:line="360" w:lineRule="auto"/>
        <w:jc w:val="both"/>
        <w:rPr>
          <w:rFonts w:ascii="Arial" w:hAnsi="Arial" w:cs="Arial"/>
          <w:color w:val="212529"/>
        </w:rPr>
      </w:pPr>
      <w:r w:rsidRPr="00BD72CC">
        <w:rPr>
          <w:rFonts w:ascii="Arial" w:hAnsi="Arial" w:cs="Arial"/>
          <w:color w:val="212529"/>
        </w:rPr>
        <w:t>[7]</w:t>
      </w:r>
      <w:r w:rsidRPr="00BD72CC">
        <w:rPr>
          <w:rFonts w:ascii="Arial" w:hAnsi="Arial" w:cs="Arial"/>
          <w:color w:val="212529"/>
        </w:rPr>
        <w:tab/>
        <w:t xml:space="preserve">We pause here to mention that the proceedings in the high court were in </w:t>
      </w:r>
      <w:r w:rsidR="00395132" w:rsidRPr="00BD72CC">
        <w:rPr>
          <w:rFonts w:ascii="Arial" w:hAnsi="Arial" w:cs="Arial"/>
          <w:color w:val="212529"/>
        </w:rPr>
        <w:t>truth</w:t>
      </w:r>
      <w:r w:rsidRPr="00BD72CC">
        <w:rPr>
          <w:rFonts w:ascii="Arial" w:hAnsi="Arial" w:cs="Arial"/>
          <w:color w:val="212529"/>
        </w:rPr>
        <w:t xml:space="preserve"> appeals in terms of s 47(9</w:t>
      </w:r>
      <w:proofErr w:type="gramStart"/>
      <w:r w:rsidRPr="00BD72CC">
        <w:rPr>
          <w:rFonts w:ascii="Arial" w:hAnsi="Arial" w:cs="Arial"/>
          <w:color w:val="212529"/>
        </w:rPr>
        <w:t>)</w:t>
      </w:r>
      <w:r w:rsidRPr="00BD72CC">
        <w:rPr>
          <w:rFonts w:ascii="Arial" w:hAnsi="Arial" w:cs="Arial"/>
          <w:i/>
          <w:color w:val="212529"/>
        </w:rPr>
        <w:t>(</w:t>
      </w:r>
      <w:proofErr w:type="gramEnd"/>
      <w:r w:rsidRPr="00BD72CC">
        <w:rPr>
          <w:rFonts w:ascii="Arial" w:hAnsi="Arial" w:cs="Arial"/>
          <w:i/>
          <w:color w:val="212529"/>
        </w:rPr>
        <w:t>e)</w:t>
      </w:r>
      <w:r w:rsidRPr="00BD72CC">
        <w:rPr>
          <w:rStyle w:val="FootnoteReference"/>
          <w:rFonts w:ascii="Arial" w:hAnsi="Arial" w:cs="Arial"/>
          <w:color w:val="212529"/>
        </w:rPr>
        <w:footnoteReference w:id="4"/>
      </w:r>
      <w:r w:rsidR="00395132" w:rsidRPr="00BD72CC">
        <w:rPr>
          <w:rFonts w:ascii="Arial" w:hAnsi="Arial" w:cs="Arial"/>
          <w:color w:val="212529"/>
        </w:rPr>
        <w:t xml:space="preserve"> of the Act against tariff determinations issued by the Commissioner pursuant to s 47(9)</w:t>
      </w:r>
      <w:r w:rsidR="00395132" w:rsidRPr="00BD72CC">
        <w:rPr>
          <w:rFonts w:ascii="Arial" w:hAnsi="Arial" w:cs="Arial"/>
          <w:i/>
          <w:color w:val="212529"/>
        </w:rPr>
        <w:t>(a)</w:t>
      </w:r>
      <w:r w:rsidR="00395132" w:rsidRPr="00BD72CC">
        <w:rPr>
          <w:rStyle w:val="FootnoteReference"/>
          <w:rFonts w:ascii="Arial" w:hAnsi="Arial" w:cs="Arial"/>
          <w:color w:val="212529"/>
        </w:rPr>
        <w:footnoteReference w:id="5"/>
      </w:r>
      <w:r w:rsidR="00395132" w:rsidRPr="00BD72CC">
        <w:rPr>
          <w:rFonts w:ascii="Arial" w:hAnsi="Arial" w:cs="Arial"/>
          <w:color w:val="212529"/>
        </w:rPr>
        <w:t xml:space="preserve"> of the Act against each one of the appell</w:t>
      </w:r>
      <w:r w:rsidR="00DB5985" w:rsidRPr="00BD72CC">
        <w:rPr>
          <w:rFonts w:ascii="Arial" w:hAnsi="Arial" w:cs="Arial"/>
          <w:color w:val="212529"/>
        </w:rPr>
        <w:t>ants. Also in contention in thes</w:t>
      </w:r>
      <w:r w:rsidR="00395132" w:rsidRPr="00BD72CC">
        <w:rPr>
          <w:rFonts w:ascii="Arial" w:hAnsi="Arial" w:cs="Arial"/>
          <w:color w:val="212529"/>
        </w:rPr>
        <w:t>e proce</w:t>
      </w:r>
      <w:r w:rsidR="00616B44" w:rsidRPr="00BD72CC">
        <w:rPr>
          <w:rFonts w:ascii="Arial" w:hAnsi="Arial" w:cs="Arial"/>
          <w:color w:val="212529"/>
        </w:rPr>
        <w:t>edings were certain guidelines t</w:t>
      </w:r>
      <w:r w:rsidR="00395132" w:rsidRPr="00BD72CC">
        <w:rPr>
          <w:rFonts w:ascii="Arial" w:hAnsi="Arial" w:cs="Arial"/>
          <w:color w:val="212529"/>
        </w:rPr>
        <w:t xml:space="preserve">o which the Commissioner had regard in making his determinations. </w:t>
      </w:r>
    </w:p>
    <w:p w14:paraId="5FA03EC0" w14:textId="77777777" w:rsidR="00395132" w:rsidRPr="00BD72CC" w:rsidRDefault="00395132" w:rsidP="00957607">
      <w:pPr>
        <w:widowControl w:val="0"/>
        <w:autoSpaceDE w:val="0"/>
        <w:autoSpaceDN w:val="0"/>
        <w:adjustRightInd w:val="0"/>
        <w:spacing w:line="360" w:lineRule="auto"/>
        <w:jc w:val="both"/>
        <w:rPr>
          <w:rFonts w:ascii="Arial" w:hAnsi="Arial" w:cs="Arial"/>
          <w:color w:val="212529"/>
        </w:rPr>
      </w:pPr>
    </w:p>
    <w:p w14:paraId="48C14AD4" w14:textId="5C492134" w:rsidR="00616B44" w:rsidRPr="00BD72CC" w:rsidRDefault="00395132" w:rsidP="00957607">
      <w:pPr>
        <w:widowControl w:val="0"/>
        <w:autoSpaceDE w:val="0"/>
        <w:autoSpaceDN w:val="0"/>
        <w:adjustRightInd w:val="0"/>
        <w:spacing w:line="360" w:lineRule="auto"/>
        <w:jc w:val="both"/>
        <w:rPr>
          <w:rFonts w:ascii="Arial" w:hAnsi="Arial" w:cs="Arial"/>
          <w:color w:val="212529"/>
        </w:rPr>
      </w:pPr>
      <w:r w:rsidRPr="00BD72CC">
        <w:rPr>
          <w:rFonts w:ascii="Arial" w:hAnsi="Arial" w:cs="Arial"/>
          <w:color w:val="212529"/>
        </w:rPr>
        <w:t>[8]</w:t>
      </w:r>
      <w:r w:rsidRPr="00BD72CC">
        <w:rPr>
          <w:rFonts w:ascii="Arial" w:hAnsi="Arial" w:cs="Arial"/>
          <w:color w:val="212529"/>
        </w:rPr>
        <w:tab/>
      </w:r>
      <w:r w:rsidR="00616B44" w:rsidRPr="00BD72CC">
        <w:rPr>
          <w:rFonts w:ascii="Arial" w:hAnsi="Arial" w:cs="Arial"/>
          <w:color w:val="212529"/>
        </w:rPr>
        <w:t xml:space="preserve">The issue to be determined by the high court was formulated by the parties as follows: whether the products, as presented on importation, are bicycles as such or parts and accessories of bicycles. Thus, in essence, the outcome of the litigation was to a large degree dependant on the proper interpretation of the General </w:t>
      </w:r>
      <w:r w:rsidR="00384CE2" w:rsidRPr="00BD72CC">
        <w:rPr>
          <w:rFonts w:ascii="Arial" w:hAnsi="Arial" w:cs="Arial"/>
          <w:color w:val="212529"/>
        </w:rPr>
        <w:t>Interpretation</w:t>
      </w:r>
      <w:r w:rsidR="00616B44" w:rsidRPr="00BD72CC">
        <w:rPr>
          <w:rFonts w:ascii="Arial" w:hAnsi="Arial" w:cs="Arial"/>
          <w:color w:val="212529"/>
        </w:rPr>
        <w:t xml:space="preserve"> Rule (GIR) 2(a)</w:t>
      </w:r>
      <w:r w:rsidR="00514C57" w:rsidRPr="00BD72CC">
        <w:rPr>
          <w:rFonts w:ascii="Arial" w:hAnsi="Arial" w:cs="Arial"/>
          <w:color w:val="212529"/>
        </w:rPr>
        <w:t xml:space="preserve"> read with the relevant tariff heading and relative interpretation notes</w:t>
      </w:r>
      <w:r w:rsidR="00616B44" w:rsidRPr="00BD72CC">
        <w:rPr>
          <w:rFonts w:ascii="Arial" w:hAnsi="Arial" w:cs="Arial"/>
          <w:color w:val="212529"/>
        </w:rPr>
        <w:t xml:space="preserve">. The high court was </w:t>
      </w:r>
      <w:r w:rsidR="00260CA1" w:rsidRPr="00BD72CC">
        <w:rPr>
          <w:rFonts w:ascii="Arial" w:hAnsi="Arial" w:cs="Arial"/>
          <w:color w:val="212529"/>
        </w:rPr>
        <w:t xml:space="preserve">therefore </w:t>
      </w:r>
      <w:r w:rsidR="00616B44" w:rsidRPr="00BD72CC">
        <w:rPr>
          <w:rFonts w:ascii="Arial" w:hAnsi="Arial" w:cs="Arial"/>
          <w:color w:val="212529"/>
        </w:rPr>
        <w:t>called upon to determine what constitutes the essential character of a bicycle in the light of the bicycle parts imported by the appellants, having regard to the most appropriate tariff heading. In this regard, it bears mentioning that according to GIR 2(a)</w:t>
      </w:r>
      <w:r w:rsidR="00E908ED" w:rsidRPr="00BD72CC">
        <w:rPr>
          <w:rFonts w:ascii="Arial" w:hAnsi="Arial" w:cs="Arial"/>
          <w:color w:val="212529"/>
        </w:rPr>
        <w:t>,</w:t>
      </w:r>
      <w:r w:rsidR="00616B44" w:rsidRPr="00BD72CC">
        <w:rPr>
          <w:rStyle w:val="FootnoteReference"/>
          <w:rFonts w:ascii="Arial" w:hAnsi="Arial" w:cs="Arial"/>
          <w:color w:val="212529"/>
        </w:rPr>
        <w:footnoteReference w:id="6"/>
      </w:r>
      <w:r w:rsidR="006D2041" w:rsidRPr="00BD72CC">
        <w:rPr>
          <w:rFonts w:ascii="Arial" w:hAnsi="Arial" w:cs="Arial"/>
          <w:color w:val="212529"/>
        </w:rPr>
        <w:t xml:space="preserve"> an incomplete or unfinished article, including an article that is unassembled or disassembled, shall, for purposes of determining liability for import duties, be classified as a complete article. However, this is subject to the rider that such an article, in its condition as presented on importation, bears the essential character of the finished or complete article. </w:t>
      </w:r>
    </w:p>
    <w:p w14:paraId="55DCBD36" w14:textId="77777777" w:rsidR="006D2041" w:rsidRPr="00BD72CC" w:rsidRDefault="006D2041" w:rsidP="00957607">
      <w:pPr>
        <w:widowControl w:val="0"/>
        <w:autoSpaceDE w:val="0"/>
        <w:autoSpaceDN w:val="0"/>
        <w:adjustRightInd w:val="0"/>
        <w:spacing w:line="360" w:lineRule="auto"/>
        <w:jc w:val="both"/>
        <w:rPr>
          <w:rFonts w:ascii="Arial" w:hAnsi="Arial" w:cs="Arial"/>
          <w:color w:val="212529"/>
        </w:rPr>
      </w:pPr>
    </w:p>
    <w:p w14:paraId="4980301A" w14:textId="459D2A51" w:rsidR="002943AC" w:rsidRPr="00BD72CC" w:rsidRDefault="002943AC" w:rsidP="002943AC">
      <w:pPr>
        <w:spacing w:line="360" w:lineRule="auto"/>
        <w:rPr>
          <w:rFonts w:ascii="Arial" w:hAnsi="Arial" w:cs="Arial"/>
        </w:rPr>
      </w:pPr>
      <w:r w:rsidRPr="00BD72CC">
        <w:rPr>
          <w:rFonts w:ascii="Arial" w:hAnsi="Arial" w:cs="Arial"/>
        </w:rPr>
        <w:lastRenderedPageBreak/>
        <w:t>[</w:t>
      </w:r>
      <w:r w:rsidR="00355B07" w:rsidRPr="00BD72CC">
        <w:rPr>
          <w:rFonts w:ascii="Arial" w:hAnsi="Arial" w:cs="Arial"/>
        </w:rPr>
        <w:t>9</w:t>
      </w:r>
      <w:r w:rsidRPr="00BD72CC">
        <w:rPr>
          <w:rFonts w:ascii="Arial" w:hAnsi="Arial" w:cs="Arial"/>
        </w:rPr>
        <w:t>]</w:t>
      </w:r>
      <w:r w:rsidRPr="00BD72CC">
        <w:rPr>
          <w:rFonts w:ascii="Arial" w:hAnsi="Arial" w:cs="Arial"/>
        </w:rPr>
        <w:tab/>
        <w:t>At the outset, it bears mentioning that before the high court, the appellants expressly disavowed any reliance on the expert evidence</w:t>
      </w:r>
      <w:r w:rsidRPr="00BD72CC">
        <w:rPr>
          <w:rStyle w:val="FootnoteReference"/>
          <w:rFonts w:ascii="Arial" w:hAnsi="Arial" w:cs="Arial"/>
        </w:rPr>
        <w:footnoteReference w:id="7"/>
      </w:r>
      <w:r w:rsidRPr="00BD72CC">
        <w:rPr>
          <w:rFonts w:ascii="Arial" w:hAnsi="Arial" w:cs="Arial"/>
        </w:rPr>
        <w:t xml:space="preserve"> presented by them.</w:t>
      </w:r>
      <w:r w:rsidRPr="00BD72CC">
        <w:rPr>
          <w:rStyle w:val="FootnoteReference"/>
          <w:rFonts w:ascii="Arial" w:hAnsi="Arial" w:cs="Arial"/>
        </w:rPr>
        <w:footnoteReference w:id="8"/>
      </w:r>
      <w:r w:rsidRPr="00BD72CC">
        <w:rPr>
          <w:rFonts w:ascii="Arial" w:hAnsi="Arial" w:cs="Arial"/>
        </w:rPr>
        <w:t xml:space="preserve"> They also brought applications (in all three cases) in which they sought that certain expert evidence presented by or on behalf of the respondent be struck out.</w:t>
      </w:r>
      <w:r w:rsidRPr="00BD72CC">
        <w:rPr>
          <w:rStyle w:val="FootnoteReference"/>
          <w:rFonts w:ascii="Arial" w:hAnsi="Arial" w:cs="Arial"/>
        </w:rPr>
        <w:footnoteReference w:id="9"/>
      </w:r>
      <w:r w:rsidRPr="00BD72CC">
        <w:rPr>
          <w:rFonts w:ascii="Arial" w:hAnsi="Arial" w:cs="Arial"/>
        </w:rPr>
        <w:t xml:space="preserve"> We shall revert to the applications to strike out later. </w:t>
      </w:r>
    </w:p>
    <w:p w14:paraId="089EA7FB" w14:textId="77777777" w:rsidR="002943AC" w:rsidRPr="00BD72CC" w:rsidRDefault="002943AC" w:rsidP="002943AC">
      <w:pPr>
        <w:spacing w:line="360" w:lineRule="auto"/>
        <w:rPr>
          <w:rFonts w:ascii="Arial" w:hAnsi="Arial" w:cs="Arial"/>
        </w:rPr>
      </w:pPr>
    </w:p>
    <w:p w14:paraId="709431CF" w14:textId="1F8B08C1" w:rsidR="002943AC" w:rsidRPr="00BD72CC" w:rsidRDefault="002943AC" w:rsidP="002943AC">
      <w:pPr>
        <w:spacing w:line="360" w:lineRule="auto"/>
        <w:rPr>
          <w:rFonts w:ascii="Arial" w:hAnsi="Arial" w:cs="Arial"/>
        </w:rPr>
      </w:pPr>
      <w:r w:rsidRPr="00BD72CC">
        <w:rPr>
          <w:rFonts w:ascii="Arial" w:hAnsi="Arial" w:cs="Arial"/>
        </w:rPr>
        <w:t>[</w:t>
      </w:r>
      <w:r w:rsidR="00355B07" w:rsidRPr="00BD72CC">
        <w:rPr>
          <w:rFonts w:ascii="Arial" w:hAnsi="Arial" w:cs="Arial"/>
        </w:rPr>
        <w:t>10</w:t>
      </w:r>
      <w:r w:rsidRPr="00BD72CC">
        <w:rPr>
          <w:rFonts w:ascii="Arial" w:hAnsi="Arial" w:cs="Arial"/>
        </w:rPr>
        <w:t>]</w:t>
      </w:r>
      <w:r w:rsidRPr="00BD72CC">
        <w:rPr>
          <w:rFonts w:ascii="Arial" w:hAnsi="Arial" w:cs="Arial"/>
        </w:rPr>
        <w:tab/>
      </w:r>
      <w:r w:rsidR="009E15E4" w:rsidRPr="00BD72CC">
        <w:rPr>
          <w:rFonts w:ascii="Arial" w:hAnsi="Arial" w:cs="Arial"/>
        </w:rPr>
        <w:t>T</w:t>
      </w:r>
      <w:r w:rsidR="00A61997" w:rsidRPr="00BD72CC">
        <w:rPr>
          <w:rFonts w:ascii="Arial" w:hAnsi="Arial" w:cs="Arial"/>
        </w:rPr>
        <w:t xml:space="preserve">he main and interlocutory applications </w:t>
      </w:r>
      <w:r w:rsidR="009E15E4" w:rsidRPr="00BD72CC">
        <w:rPr>
          <w:rFonts w:ascii="Arial" w:hAnsi="Arial" w:cs="Arial"/>
        </w:rPr>
        <w:t xml:space="preserve">all </w:t>
      </w:r>
      <w:r w:rsidR="00A61997" w:rsidRPr="00BD72CC">
        <w:rPr>
          <w:rFonts w:ascii="Arial" w:hAnsi="Arial" w:cs="Arial"/>
        </w:rPr>
        <w:t xml:space="preserve">served before </w:t>
      </w:r>
      <w:proofErr w:type="spellStart"/>
      <w:r w:rsidR="00A61997" w:rsidRPr="00BD72CC">
        <w:rPr>
          <w:rFonts w:ascii="Arial" w:hAnsi="Arial" w:cs="Arial"/>
        </w:rPr>
        <w:t>Mokoena</w:t>
      </w:r>
      <w:proofErr w:type="spellEnd"/>
      <w:r w:rsidR="00A61997" w:rsidRPr="00BD72CC">
        <w:rPr>
          <w:rFonts w:ascii="Arial" w:hAnsi="Arial" w:cs="Arial"/>
        </w:rPr>
        <w:t xml:space="preserve"> AJ. The learned Judge dismissed all </w:t>
      </w:r>
      <w:r w:rsidR="009E15E4" w:rsidRPr="00BD72CC">
        <w:rPr>
          <w:rFonts w:ascii="Arial" w:hAnsi="Arial" w:cs="Arial"/>
        </w:rPr>
        <w:t xml:space="preserve">of these </w:t>
      </w:r>
      <w:r w:rsidR="00A61997" w:rsidRPr="00BD72CC">
        <w:rPr>
          <w:rFonts w:ascii="Arial" w:hAnsi="Arial" w:cs="Arial"/>
        </w:rPr>
        <w:t>application</w:t>
      </w:r>
      <w:r w:rsidR="00F47FFE" w:rsidRPr="00BD72CC">
        <w:rPr>
          <w:rFonts w:ascii="Arial" w:hAnsi="Arial" w:cs="Arial"/>
        </w:rPr>
        <w:t>s</w:t>
      </w:r>
      <w:r w:rsidR="00A61997" w:rsidRPr="00BD72CC">
        <w:rPr>
          <w:rFonts w:ascii="Arial" w:hAnsi="Arial" w:cs="Arial"/>
        </w:rPr>
        <w:t xml:space="preserve"> in a composite judgment delivered in January 2022.</w:t>
      </w:r>
      <w:r w:rsidR="00A61997" w:rsidRPr="00BD72CC">
        <w:rPr>
          <w:rStyle w:val="FootnoteReference"/>
          <w:rFonts w:ascii="Arial" w:hAnsi="Arial" w:cs="Arial"/>
        </w:rPr>
        <w:footnoteReference w:id="10"/>
      </w:r>
      <w:r w:rsidR="00593407" w:rsidRPr="00BD72CC">
        <w:rPr>
          <w:rFonts w:ascii="Arial" w:hAnsi="Arial" w:cs="Arial"/>
        </w:rPr>
        <w:t xml:space="preserve"> The present appeal is against the dismissal of the appeals and is before us with the leave of the high court. </w:t>
      </w:r>
    </w:p>
    <w:p w14:paraId="3BE27056" w14:textId="77777777" w:rsidR="00593407" w:rsidRPr="00BD72CC" w:rsidRDefault="00593407" w:rsidP="002943AC">
      <w:pPr>
        <w:spacing w:line="360" w:lineRule="auto"/>
        <w:rPr>
          <w:rFonts w:ascii="Arial" w:hAnsi="Arial" w:cs="Arial"/>
        </w:rPr>
      </w:pPr>
    </w:p>
    <w:p w14:paraId="04149148" w14:textId="305501FB" w:rsidR="00593407" w:rsidRPr="00BD72CC" w:rsidRDefault="00593407" w:rsidP="00667B36">
      <w:pPr>
        <w:spacing w:line="360" w:lineRule="auto"/>
        <w:jc w:val="both"/>
        <w:rPr>
          <w:rFonts w:ascii="Arial" w:hAnsi="Arial" w:cs="Arial"/>
        </w:rPr>
      </w:pPr>
      <w:r w:rsidRPr="00BD72CC">
        <w:rPr>
          <w:rFonts w:ascii="Arial" w:hAnsi="Arial" w:cs="Arial"/>
        </w:rPr>
        <w:t>[</w:t>
      </w:r>
      <w:r w:rsidR="00355B07" w:rsidRPr="00BD72CC">
        <w:rPr>
          <w:rFonts w:ascii="Arial" w:hAnsi="Arial" w:cs="Arial"/>
        </w:rPr>
        <w:t>11</w:t>
      </w:r>
      <w:r w:rsidRPr="00BD72CC">
        <w:rPr>
          <w:rFonts w:ascii="Arial" w:hAnsi="Arial" w:cs="Arial"/>
        </w:rPr>
        <w:t>]</w:t>
      </w:r>
      <w:r w:rsidRPr="00BD72CC">
        <w:rPr>
          <w:rFonts w:ascii="Arial" w:hAnsi="Arial" w:cs="Arial"/>
        </w:rPr>
        <w:tab/>
        <w:t xml:space="preserve">As to the expert evidence presented by SARS, the learned Judge held that it was relevant and admissible on account of the fact that the court itself lacked the requisite skill to determine, without the aid of experts, how 'a bicycle is made up and functions and, the nature and characteristics of its components.' The learned Judge then proceeded to point out that Mr Du </w:t>
      </w:r>
      <w:proofErr w:type="spellStart"/>
      <w:r w:rsidRPr="00BD72CC">
        <w:rPr>
          <w:rFonts w:ascii="Arial" w:hAnsi="Arial" w:cs="Arial"/>
        </w:rPr>
        <w:t>Toit</w:t>
      </w:r>
      <w:proofErr w:type="spellEnd"/>
      <w:r w:rsidRPr="00BD72CC">
        <w:rPr>
          <w:rFonts w:ascii="Arial" w:hAnsi="Arial" w:cs="Arial"/>
        </w:rPr>
        <w:t xml:space="preserve"> (SARS's expert) could differentiate 'between two types of bicycles and their respective purpose' and how </w:t>
      </w:r>
      <w:r w:rsidR="00667B36" w:rsidRPr="00BD72CC">
        <w:rPr>
          <w:rFonts w:ascii="Arial" w:hAnsi="Arial" w:cs="Arial"/>
        </w:rPr>
        <w:t xml:space="preserve">'the different components which are part of the bicycle' work. And that because Mr Du </w:t>
      </w:r>
      <w:proofErr w:type="spellStart"/>
      <w:r w:rsidR="00667B36" w:rsidRPr="00BD72CC">
        <w:rPr>
          <w:rFonts w:ascii="Arial" w:hAnsi="Arial" w:cs="Arial"/>
        </w:rPr>
        <w:t>Toit's</w:t>
      </w:r>
      <w:proofErr w:type="spellEnd"/>
      <w:r w:rsidR="00667B36" w:rsidRPr="00BD72CC">
        <w:rPr>
          <w:rFonts w:ascii="Arial" w:hAnsi="Arial" w:cs="Arial"/>
        </w:rPr>
        <w:t xml:space="preserve"> credential</w:t>
      </w:r>
      <w:r w:rsidR="00BC0A9A" w:rsidRPr="00BD72CC">
        <w:rPr>
          <w:rFonts w:ascii="Arial" w:hAnsi="Arial" w:cs="Arial"/>
        </w:rPr>
        <w:t>s</w:t>
      </w:r>
      <w:r w:rsidR="00667B36" w:rsidRPr="00BD72CC">
        <w:rPr>
          <w:rFonts w:ascii="Arial" w:hAnsi="Arial" w:cs="Arial"/>
        </w:rPr>
        <w:t xml:space="preserve"> as a bicycle expert were not in dispute there was no cogent reason why the court should not have regard to his expert evidence.</w:t>
      </w:r>
      <w:r w:rsidR="000B33E6" w:rsidRPr="00BD72CC">
        <w:rPr>
          <w:rFonts w:ascii="Arial" w:hAnsi="Arial" w:cs="Arial"/>
        </w:rPr>
        <w:t xml:space="preserve"> With respect to the expert evidence of Mr </w:t>
      </w:r>
      <w:proofErr w:type="spellStart"/>
      <w:r w:rsidR="000B33E6" w:rsidRPr="00BD72CC">
        <w:rPr>
          <w:rFonts w:ascii="Arial" w:hAnsi="Arial" w:cs="Arial"/>
        </w:rPr>
        <w:t>Stickells</w:t>
      </w:r>
      <w:proofErr w:type="spellEnd"/>
      <w:r w:rsidR="000B33E6" w:rsidRPr="00BD72CC">
        <w:rPr>
          <w:rFonts w:ascii="Arial" w:hAnsi="Arial" w:cs="Arial"/>
        </w:rPr>
        <w:t>, the high court held that it supported</w:t>
      </w:r>
      <w:r w:rsidR="003A4C2B" w:rsidRPr="00BD72CC">
        <w:rPr>
          <w:rFonts w:ascii="Arial" w:hAnsi="Arial" w:cs="Arial"/>
        </w:rPr>
        <w:t>, in material respects,</w:t>
      </w:r>
      <w:r w:rsidR="000B33E6" w:rsidRPr="00BD72CC">
        <w:rPr>
          <w:rFonts w:ascii="Arial" w:hAnsi="Arial" w:cs="Arial"/>
        </w:rPr>
        <w:t xml:space="preserve"> that of Mr Du Toi</w:t>
      </w:r>
      <w:r w:rsidR="00AE44FF" w:rsidRPr="00BD72CC">
        <w:rPr>
          <w:rFonts w:ascii="Arial" w:hAnsi="Arial" w:cs="Arial"/>
        </w:rPr>
        <w:t>t</w:t>
      </w:r>
      <w:r w:rsidR="003A4C2B" w:rsidRPr="00BD72CC">
        <w:rPr>
          <w:rFonts w:ascii="Arial" w:hAnsi="Arial" w:cs="Arial"/>
        </w:rPr>
        <w:t>.</w:t>
      </w:r>
      <w:r w:rsidR="000B33E6" w:rsidRPr="00BD72CC">
        <w:rPr>
          <w:rFonts w:ascii="Arial" w:hAnsi="Arial" w:cs="Arial"/>
        </w:rPr>
        <w:t xml:space="preserve"> </w:t>
      </w:r>
      <w:r w:rsidR="003A4C2B" w:rsidRPr="00BD72CC">
        <w:rPr>
          <w:rFonts w:ascii="Arial" w:hAnsi="Arial" w:cs="Arial"/>
        </w:rPr>
        <w:t>And a</w:t>
      </w:r>
      <w:r w:rsidR="000B33E6" w:rsidRPr="00BD72CC">
        <w:rPr>
          <w:rFonts w:ascii="Arial" w:hAnsi="Arial" w:cs="Arial"/>
        </w:rPr>
        <w:t>lthough the appellants had disavowed any reliance thereon, such evidence remained part of the papers. Thus, so the high court concluded, absent its withdrawal or expungement, the high court was not only not at liberty</w:t>
      </w:r>
      <w:r w:rsidR="00AE44FF" w:rsidRPr="00BD72CC">
        <w:rPr>
          <w:rFonts w:ascii="Arial" w:hAnsi="Arial" w:cs="Arial"/>
        </w:rPr>
        <w:t>,</w:t>
      </w:r>
      <w:r w:rsidR="000B33E6" w:rsidRPr="00BD72CC">
        <w:rPr>
          <w:rFonts w:ascii="Arial" w:hAnsi="Arial" w:cs="Arial"/>
        </w:rPr>
        <w:t xml:space="preserve"> but also duty bound to consider it. </w:t>
      </w:r>
    </w:p>
    <w:p w14:paraId="32B57AB8" w14:textId="77777777" w:rsidR="00CA566F" w:rsidRPr="00BD72CC" w:rsidRDefault="00CA566F" w:rsidP="00667B36">
      <w:pPr>
        <w:spacing w:line="360" w:lineRule="auto"/>
        <w:jc w:val="both"/>
        <w:rPr>
          <w:rFonts w:ascii="Arial" w:hAnsi="Arial" w:cs="Arial"/>
        </w:rPr>
      </w:pPr>
    </w:p>
    <w:p w14:paraId="7731AFD8" w14:textId="5A73D658" w:rsidR="00CA566F" w:rsidRPr="00BD72CC" w:rsidRDefault="00CA566F" w:rsidP="00667B36">
      <w:pPr>
        <w:spacing w:line="360" w:lineRule="auto"/>
        <w:jc w:val="both"/>
        <w:rPr>
          <w:rFonts w:ascii="Arial" w:hAnsi="Arial" w:cs="Arial"/>
        </w:rPr>
      </w:pPr>
      <w:r w:rsidRPr="00BD72CC">
        <w:rPr>
          <w:rFonts w:ascii="Arial" w:hAnsi="Arial" w:cs="Arial"/>
        </w:rPr>
        <w:lastRenderedPageBreak/>
        <w:t>[</w:t>
      </w:r>
      <w:r w:rsidR="00355B07" w:rsidRPr="00BD72CC">
        <w:rPr>
          <w:rFonts w:ascii="Arial" w:hAnsi="Arial" w:cs="Arial"/>
        </w:rPr>
        <w:t>12</w:t>
      </w:r>
      <w:r w:rsidRPr="00BD72CC">
        <w:rPr>
          <w:rFonts w:ascii="Arial" w:hAnsi="Arial" w:cs="Arial"/>
        </w:rPr>
        <w:t>]</w:t>
      </w:r>
      <w:r w:rsidRPr="00BD72CC">
        <w:rPr>
          <w:rFonts w:ascii="Arial" w:hAnsi="Arial" w:cs="Arial"/>
        </w:rPr>
        <w:tab/>
        <w:t>Reverting to the merits of the case, the high court stated that they raised the question as to 'what the essential character or essence of a bicycle is.' It then adverted to SARS' answering affidavit in which the following assertion is made:</w:t>
      </w:r>
    </w:p>
    <w:p w14:paraId="5855A4DF" w14:textId="7608253B" w:rsidR="00CA566F" w:rsidRPr="00BD72CC" w:rsidRDefault="00CA566F" w:rsidP="00667B36">
      <w:pPr>
        <w:spacing w:line="360" w:lineRule="auto"/>
        <w:jc w:val="both"/>
        <w:rPr>
          <w:rFonts w:ascii="Arial" w:hAnsi="Arial" w:cs="Arial"/>
          <w:sz w:val="22"/>
        </w:rPr>
      </w:pPr>
      <w:r w:rsidRPr="00BD72CC">
        <w:rPr>
          <w:rFonts w:ascii="Arial" w:hAnsi="Arial" w:cs="Arial"/>
          <w:sz w:val="22"/>
        </w:rPr>
        <w:t>'The Respondent elaborated in its Answering Affidavit and said:-</w:t>
      </w:r>
    </w:p>
    <w:p w14:paraId="494C418A" w14:textId="14DD0E6C" w:rsidR="00CA566F" w:rsidRPr="00BD72CC" w:rsidRDefault="00CA566F" w:rsidP="00667B36">
      <w:pPr>
        <w:spacing w:line="360" w:lineRule="auto"/>
        <w:jc w:val="both"/>
        <w:rPr>
          <w:rFonts w:ascii="Arial" w:hAnsi="Arial" w:cs="Arial"/>
          <w:sz w:val="22"/>
        </w:rPr>
      </w:pPr>
      <w:r w:rsidRPr="00BD72CC">
        <w:rPr>
          <w:rFonts w:ascii="Arial" w:hAnsi="Arial" w:cs="Arial"/>
          <w:sz w:val="22"/>
        </w:rPr>
        <w:t xml:space="preserve">"The </w:t>
      </w:r>
      <w:r w:rsidR="006B1B67" w:rsidRPr="00BD72CC">
        <w:rPr>
          <w:rFonts w:ascii="Arial" w:hAnsi="Arial" w:cs="Arial"/>
          <w:sz w:val="22"/>
        </w:rPr>
        <w:t>guideline</w:t>
      </w:r>
      <w:r w:rsidRPr="00BD72CC">
        <w:rPr>
          <w:rFonts w:ascii="Arial" w:hAnsi="Arial" w:cs="Arial"/>
          <w:sz w:val="22"/>
        </w:rPr>
        <w:t xml:space="preserve"> incorporates the six main bicycle components identified above. </w:t>
      </w:r>
      <w:r w:rsidRPr="00BD72CC">
        <w:rPr>
          <w:rFonts w:ascii="Arial" w:hAnsi="Arial" w:cs="Arial"/>
          <w:sz w:val="22"/>
          <w:u w:val="single"/>
        </w:rPr>
        <w:t>The f</w:t>
      </w:r>
      <w:r w:rsidR="00F635BF" w:rsidRPr="00BD72CC">
        <w:rPr>
          <w:rFonts w:ascii="Arial" w:hAnsi="Arial" w:cs="Arial"/>
          <w:sz w:val="22"/>
          <w:u w:val="single"/>
        </w:rPr>
        <w:t>r</w:t>
      </w:r>
      <w:r w:rsidRPr="00BD72CC">
        <w:rPr>
          <w:rFonts w:ascii="Arial" w:hAnsi="Arial" w:cs="Arial"/>
          <w:sz w:val="22"/>
          <w:u w:val="single"/>
        </w:rPr>
        <w:t>ame and fork are required to be present.</w:t>
      </w:r>
      <w:r w:rsidRPr="00BD72CC">
        <w:rPr>
          <w:rFonts w:ascii="Arial" w:hAnsi="Arial" w:cs="Arial"/>
          <w:sz w:val="22"/>
        </w:rPr>
        <w:t xml:space="preserve"> This is so because they are the "</w:t>
      </w:r>
      <w:r w:rsidRPr="00BD72CC">
        <w:rPr>
          <w:rFonts w:ascii="Arial" w:hAnsi="Arial" w:cs="Arial"/>
          <w:sz w:val="22"/>
          <w:u w:val="single"/>
        </w:rPr>
        <w:t>core components</w:t>
      </w:r>
      <w:r w:rsidRPr="00BD72CC">
        <w:rPr>
          <w:rFonts w:ascii="Arial" w:hAnsi="Arial" w:cs="Arial"/>
          <w:sz w:val="22"/>
        </w:rPr>
        <w:t xml:space="preserve">" to which all other components are attached. Also, </w:t>
      </w:r>
      <w:r w:rsidRPr="00BD72CC">
        <w:rPr>
          <w:rFonts w:ascii="Arial" w:hAnsi="Arial" w:cs="Arial"/>
          <w:sz w:val="22"/>
          <w:u w:val="single"/>
        </w:rPr>
        <w:t>these two components are central in recognising the product as a bicycle, both in design and appearance</w:t>
      </w:r>
      <w:r w:rsidRPr="00BD72CC">
        <w:rPr>
          <w:rFonts w:ascii="Arial" w:hAnsi="Arial" w:cs="Arial"/>
          <w:sz w:val="22"/>
        </w:rPr>
        <w:t>. Regarding the other components, the Commissioner is of the view that the presence of any two of those components (together with the frame and fork) would be sufficient to capture the essence of a bicycle</w:t>
      </w:r>
      <w:r w:rsidR="00F051CB" w:rsidRPr="00BD72CC">
        <w:rPr>
          <w:rFonts w:ascii="Arial" w:hAnsi="Arial" w:cs="Arial"/>
          <w:sz w:val="22"/>
        </w:rPr>
        <w:t>.</w:t>
      </w:r>
      <w:r w:rsidRPr="00BD72CC">
        <w:rPr>
          <w:rFonts w:ascii="Arial" w:hAnsi="Arial" w:cs="Arial"/>
          <w:sz w:val="22"/>
        </w:rPr>
        <w:t>"</w:t>
      </w:r>
      <w:r w:rsidR="00B74A79" w:rsidRPr="00BD72CC">
        <w:rPr>
          <w:rFonts w:ascii="Arial" w:hAnsi="Arial" w:cs="Arial"/>
          <w:sz w:val="22"/>
        </w:rPr>
        <w:t> </w:t>
      </w:r>
      <w:proofErr w:type="gramStart"/>
      <w:r w:rsidR="00F051CB" w:rsidRPr="00BD72CC">
        <w:rPr>
          <w:rFonts w:ascii="Arial" w:hAnsi="Arial" w:cs="Arial"/>
          <w:sz w:val="22"/>
        </w:rPr>
        <w:t>'</w:t>
      </w:r>
      <w:r w:rsidRPr="00BD72CC">
        <w:rPr>
          <w:rFonts w:ascii="Arial" w:hAnsi="Arial" w:cs="Arial"/>
          <w:sz w:val="22"/>
        </w:rPr>
        <w:t xml:space="preserve"> (</w:t>
      </w:r>
      <w:proofErr w:type="gramEnd"/>
      <w:r w:rsidR="00F051CB" w:rsidRPr="00BD72CC">
        <w:rPr>
          <w:rFonts w:ascii="Arial" w:hAnsi="Arial" w:cs="Arial"/>
          <w:sz w:val="22"/>
        </w:rPr>
        <w:t>Emphasis added by the high court.</w:t>
      </w:r>
      <w:r w:rsidRPr="00BD72CC">
        <w:rPr>
          <w:rFonts w:ascii="Arial" w:hAnsi="Arial" w:cs="Arial"/>
          <w:sz w:val="22"/>
        </w:rPr>
        <w:t>)</w:t>
      </w:r>
    </w:p>
    <w:p w14:paraId="3AA89DF6" w14:textId="77777777" w:rsidR="00CA566F" w:rsidRPr="00BD72CC" w:rsidRDefault="00CA566F" w:rsidP="00667B36">
      <w:pPr>
        <w:spacing w:line="360" w:lineRule="auto"/>
        <w:jc w:val="both"/>
        <w:rPr>
          <w:rFonts w:ascii="Arial" w:hAnsi="Arial" w:cs="Arial"/>
        </w:rPr>
      </w:pPr>
    </w:p>
    <w:p w14:paraId="71C0AAA0" w14:textId="1707263C" w:rsidR="00CA566F" w:rsidRPr="00BD72CC" w:rsidRDefault="00CA566F" w:rsidP="00667B36">
      <w:pPr>
        <w:spacing w:line="360" w:lineRule="auto"/>
        <w:jc w:val="both"/>
        <w:rPr>
          <w:rFonts w:ascii="Arial" w:hAnsi="Arial" w:cs="Arial"/>
        </w:rPr>
      </w:pPr>
      <w:r w:rsidRPr="00BD72CC">
        <w:rPr>
          <w:rFonts w:ascii="Arial" w:hAnsi="Arial" w:cs="Arial"/>
        </w:rPr>
        <w:t>[</w:t>
      </w:r>
      <w:r w:rsidR="00355B07" w:rsidRPr="00BD72CC">
        <w:rPr>
          <w:rFonts w:ascii="Arial" w:hAnsi="Arial" w:cs="Arial"/>
        </w:rPr>
        <w:t>13</w:t>
      </w:r>
      <w:r w:rsidRPr="00BD72CC">
        <w:rPr>
          <w:rFonts w:ascii="Arial" w:hAnsi="Arial" w:cs="Arial"/>
        </w:rPr>
        <w:t>]</w:t>
      </w:r>
      <w:r w:rsidRPr="00BD72CC">
        <w:rPr>
          <w:rFonts w:ascii="Arial" w:hAnsi="Arial" w:cs="Arial"/>
        </w:rPr>
        <w:tab/>
      </w:r>
      <w:r w:rsidR="00447197" w:rsidRPr="00BD72CC">
        <w:rPr>
          <w:rFonts w:ascii="Arial" w:hAnsi="Arial" w:cs="Arial"/>
        </w:rPr>
        <w:t>After making reference to various guidelines,</w:t>
      </w:r>
      <w:r w:rsidR="00447197" w:rsidRPr="00BD72CC">
        <w:rPr>
          <w:rStyle w:val="FootnoteReference"/>
          <w:rFonts w:ascii="Arial" w:hAnsi="Arial" w:cs="Arial"/>
        </w:rPr>
        <w:footnoteReference w:id="11"/>
      </w:r>
      <w:r w:rsidR="00447197" w:rsidRPr="00BD72CC">
        <w:rPr>
          <w:rFonts w:ascii="Arial" w:hAnsi="Arial" w:cs="Arial"/>
        </w:rPr>
        <w:t xml:space="preserve"> the high court concluded that the bicycle parts imported by each of the appellants bore the essential character of a bicycle. Thus, so the high court held, the appellants were liable to pay </w:t>
      </w:r>
      <w:r w:rsidR="00F635BF" w:rsidRPr="00BD72CC">
        <w:rPr>
          <w:rFonts w:ascii="Arial" w:hAnsi="Arial" w:cs="Arial"/>
        </w:rPr>
        <w:t>customs</w:t>
      </w:r>
      <w:r w:rsidR="00447197" w:rsidRPr="00BD72CC">
        <w:rPr>
          <w:rFonts w:ascii="Arial" w:hAnsi="Arial" w:cs="Arial"/>
        </w:rPr>
        <w:t xml:space="preserve"> duty on the articles imported by them as determined by the Commissioner. It was therefore on that footing that the appeals were dismissed. </w:t>
      </w:r>
    </w:p>
    <w:p w14:paraId="61F0E306" w14:textId="77777777" w:rsidR="00D40E68" w:rsidRPr="00BD72CC" w:rsidRDefault="00D40E68" w:rsidP="00667B36">
      <w:pPr>
        <w:spacing w:line="360" w:lineRule="auto"/>
        <w:jc w:val="both"/>
        <w:rPr>
          <w:rFonts w:ascii="Arial" w:hAnsi="Arial" w:cs="Arial"/>
        </w:rPr>
      </w:pPr>
    </w:p>
    <w:p w14:paraId="64617A35" w14:textId="0A9A209E" w:rsidR="00D40E68" w:rsidRPr="00BD72CC" w:rsidRDefault="00D40E68" w:rsidP="00667B36">
      <w:pPr>
        <w:spacing w:line="360" w:lineRule="auto"/>
        <w:jc w:val="both"/>
        <w:rPr>
          <w:rFonts w:ascii="Arial" w:hAnsi="Arial" w:cs="Arial"/>
          <w:b/>
        </w:rPr>
      </w:pPr>
      <w:r w:rsidRPr="00BD72CC">
        <w:rPr>
          <w:rFonts w:ascii="Arial" w:hAnsi="Arial" w:cs="Arial"/>
          <w:b/>
        </w:rPr>
        <w:t>Discussion</w:t>
      </w:r>
    </w:p>
    <w:p w14:paraId="7142469A" w14:textId="65E9B909" w:rsidR="00D40E68" w:rsidRPr="00BD72CC" w:rsidRDefault="00D40E68" w:rsidP="00667B36">
      <w:pPr>
        <w:spacing w:line="360" w:lineRule="auto"/>
        <w:jc w:val="both"/>
        <w:rPr>
          <w:rFonts w:ascii="Arial" w:hAnsi="Arial" w:cs="Arial"/>
        </w:rPr>
      </w:pPr>
      <w:r w:rsidRPr="00BD72CC">
        <w:rPr>
          <w:rFonts w:ascii="Arial" w:hAnsi="Arial" w:cs="Arial"/>
        </w:rPr>
        <w:t>[</w:t>
      </w:r>
      <w:r w:rsidR="00355B07" w:rsidRPr="00BD72CC">
        <w:rPr>
          <w:rFonts w:ascii="Arial" w:hAnsi="Arial" w:cs="Arial"/>
        </w:rPr>
        <w:t>14</w:t>
      </w:r>
      <w:r w:rsidRPr="00BD72CC">
        <w:rPr>
          <w:rFonts w:ascii="Arial" w:hAnsi="Arial" w:cs="Arial"/>
        </w:rPr>
        <w:t>]</w:t>
      </w:r>
      <w:r w:rsidRPr="00BD72CC">
        <w:rPr>
          <w:rFonts w:ascii="Arial" w:hAnsi="Arial" w:cs="Arial"/>
        </w:rPr>
        <w:tab/>
        <w:t xml:space="preserve">As will have become readily apparent from what has been said thus far, this appeal is about import duty. In particular, it concerns the question whether the bicycle parts imported into the country by the appellants, properly classified, </w:t>
      </w:r>
      <w:proofErr w:type="gramStart"/>
      <w:r w:rsidRPr="00BD72CC">
        <w:rPr>
          <w:rFonts w:ascii="Arial" w:hAnsi="Arial" w:cs="Arial"/>
        </w:rPr>
        <w:t>rightly</w:t>
      </w:r>
      <w:proofErr w:type="gramEnd"/>
      <w:r w:rsidRPr="00BD72CC">
        <w:rPr>
          <w:rFonts w:ascii="Arial" w:hAnsi="Arial" w:cs="Arial"/>
        </w:rPr>
        <w:t xml:space="preserve"> attracted import duties. To answer this question, it is necessary first to determine which one between two tariff headings, namely tariff hea</w:t>
      </w:r>
      <w:r w:rsidR="002E083A" w:rsidRPr="00BD72CC">
        <w:rPr>
          <w:rFonts w:ascii="Arial" w:hAnsi="Arial" w:cs="Arial"/>
        </w:rPr>
        <w:t>d</w:t>
      </w:r>
      <w:r w:rsidRPr="00BD72CC">
        <w:rPr>
          <w:rFonts w:ascii="Arial" w:hAnsi="Arial" w:cs="Arial"/>
        </w:rPr>
        <w:t>ing 8712.00</w:t>
      </w:r>
      <w:r w:rsidRPr="00BD72CC">
        <w:rPr>
          <w:rStyle w:val="FootnoteReference"/>
          <w:rFonts w:ascii="Arial" w:hAnsi="Arial" w:cs="Arial"/>
        </w:rPr>
        <w:footnoteReference w:id="12"/>
      </w:r>
      <w:r w:rsidRPr="00BD72CC">
        <w:rPr>
          <w:rFonts w:ascii="Arial" w:hAnsi="Arial" w:cs="Arial"/>
        </w:rPr>
        <w:t xml:space="preserve"> and </w:t>
      </w:r>
      <w:r w:rsidR="002E083A" w:rsidRPr="00BD72CC">
        <w:rPr>
          <w:rFonts w:ascii="Arial" w:hAnsi="Arial" w:cs="Arial"/>
        </w:rPr>
        <w:t>8714.9</w:t>
      </w:r>
      <w:r w:rsidR="002E083A" w:rsidRPr="00BD72CC">
        <w:rPr>
          <w:rStyle w:val="FootnoteReference"/>
          <w:rFonts w:ascii="Arial" w:hAnsi="Arial" w:cs="Arial"/>
        </w:rPr>
        <w:footnoteReference w:id="13"/>
      </w:r>
      <w:r w:rsidR="008926A2" w:rsidRPr="00BD72CC">
        <w:rPr>
          <w:rFonts w:ascii="Arial" w:hAnsi="Arial" w:cs="Arial"/>
        </w:rPr>
        <w:t xml:space="preserve"> is applicable. If the imported goods are classified under tariff heading 8712.00</w:t>
      </w:r>
      <w:r w:rsidR="00260CA1" w:rsidRPr="00BD72CC">
        <w:rPr>
          <w:rFonts w:ascii="Arial" w:hAnsi="Arial" w:cs="Arial"/>
        </w:rPr>
        <w:t>.10</w:t>
      </w:r>
      <w:r w:rsidR="008926A2" w:rsidRPr="00BD72CC">
        <w:rPr>
          <w:rFonts w:ascii="Arial" w:hAnsi="Arial" w:cs="Arial"/>
        </w:rPr>
        <w:t xml:space="preserve">, import duty will be payable. By contrast, if tariff heading 8714.9 is applicable, the relevant goods will be free of duty on importation. In order to classify the goods, in this instance </w:t>
      </w:r>
      <w:r w:rsidR="008926A2" w:rsidRPr="00BD72CC">
        <w:rPr>
          <w:rFonts w:ascii="Arial" w:hAnsi="Arial" w:cs="Arial"/>
        </w:rPr>
        <w:lastRenderedPageBreak/>
        <w:t>bicycle parts, one must ask whether the parts</w:t>
      </w:r>
      <w:r w:rsidR="00E908ED" w:rsidRPr="00BD72CC">
        <w:rPr>
          <w:rFonts w:ascii="Arial" w:hAnsi="Arial" w:cs="Arial"/>
        </w:rPr>
        <w:t>,</w:t>
      </w:r>
      <w:r w:rsidR="008926A2" w:rsidRPr="00BD72CC">
        <w:rPr>
          <w:rFonts w:ascii="Arial" w:hAnsi="Arial" w:cs="Arial"/>
        </w:rPr>
        <w:t xml:space="preserve"> viewed collectively when assembled, have the essential character of a bicycle. </w:t>
      </w:r>
    </w:p>
    <w:p w14:paraId="09D168D3" w14:textId="77777777" w:rsidR="00C533E1" w:rsidRPr="00BD72CC" w:rsidRDefault="00C533E1" w:rsidP="00667B36">
      <w:pPr>
        <w:spacing w:line="360" w:lineRule="auto"/>
        <w:jc w:val="both"/>
        <w:rPr>
          <w:rFonts w:ascii="Arial" w:hAnsi="Arial" w:cs="Arial"/>
        </w:rPr>
      </w:pPr>
    </w:p>
    <w:p w14:paraId="1D105352" w14:textId="797444E5" w:rsidR="008926A2" w:rsidRPr="00BD72CC" w:rsidRDefault="008926A2" w:rsidP="00667B36">
      <w:pPr>
        <w:spacing w:line="360" w:lineRule="auto"/>
        <w:jc w:val="both"/>
        <w:rPr>
          <w:rFonts w:ascii="Arial" w:hAnsi="Arial" w:cs="Arial"/>
        </w:rPr>
      </w:pPr>
      <w:r w:rsidRPr="00BD72CC">
        <w:rPr>
          <w:rFonts w:ascii="Arial" w:hAnsi="Arial" w:cs="Arial"/>
        </w:rPr>
        <w:t>[</w:t>
      </w:r>
      <w:r w:rsidR="00355B07" w:rsidRPr="00BD72CC">
        <w:rPr>
          <w:rFonts w:ascii="Arial" w:hAnsi="Arial" w:cs="Arial"/>
        </w:rPr>
        <w:t>15</w:t>
      </w:r>
      <w:r w:rsidRPr="00BD72CC">
        <w:rPr>
          <w:rFonts w:ascii="Arial" w:hAnsi="Arial" w:cs="Arial"/>
        </w:rPr>
        <w:t>]</w:t>
      </w:r>
      <w:r w:rsidRPr="00BD72CC">
        <w:rPr>
          <w:rFonts w:ascii="Arial" w:hAnsi="Arial" w:cs="Arial"/>
        </w:rPr>
        <w:tab/>
      </w:r>
      <w:r w:rsidR="00260CA1" w:rsidRPr="00BD72CC">
        <w:rPr>
          <w:rFonts w:ascii="Arial" w:hAnsi="Arial" w:cs="Arial"/>
        </w:rPr>
        <w:t>It</w:t>
      </w:r>
      <w:r w:rsidR="00B479FC" w:rsidRPr="00BD72CC">
        <w:rPr>
          <w:rFonts w:ascii="Arial" w:hAnsi="Arial" w:cs="Arial"/>
        </w:rPr>
        <w:t xml:space="preserve"> bears mentioning </w:t>
      </w:r>
      <w:r w:rsidR="00260CA1" w:rsidRPr="00BD72CC">
        <w:rPr>
          <w:rFonts w:ascii="Arial" w:hAnsi="Arial" w:cs="Arial"/>
        </w:rPr>
        <w:t xml:space="preserve">at this juncture </w:t>
      </w:r>
      <w:r w:rsidR="00B479FC" w:rsidRPr="00BD72CC">
        <w:rPr>
          <w:rFonts w:ascii="Arial" w:hAnsi="Arial" w:cs="Arial"/>
        </w:rPr>
        <w:t xml:space="preserve">that the </w:t>
      </w:r>
      <w:r w:rsidR="00C533E1" w:rsidRPr="00BD72CC">
        <w:rPr>
          <w:rFonts w:ascii="Arial" w:hAnsi="Arial" w:cs="Arial"/>
        </w:rPr>
        <w:t xml:space="preserve">relevant </w:t>
      </w:r>
      <w:r w:rsidR="00B479FC" w:rsidRPr="00BD72CC">
        <w:rPr>
          <w:rFonts w:ascii="Arial" w:hAnsi="Arial" w:cs="Arial"/>
        </w:rPr>
        <w:t>explanatory note to Chapter 87 states as follows:</w:t>
      </w:r>
    </w:p>
    <w:p w14:paraId="64BFEF2D" w14:textId="21EAB9BC" w:rsidR="00B479FC" w:rsidRPr="00BD72CC" w:rsidRDefault="00B479FC" w:rsidP="00667B36">
      <w:pPr>
        <w:spacing w:line="360" w:lineRule="auto"/>
        <w:jc w:val="both"/>
        <w:rPr>
          <w:rFonts w:ascii="Arial" w:hAnsi="Arial" w:cs="Arial"/>
          <w:sz w:val="22"/>
        </w:rPr>
      </w:pPr>
      <w:r w:rsidRPr="00BD72CC">
        <w:rPr>
          <w:rFonts w:ascii="Arial" w:hAnsi="Arial" w:cs="Arial"/>
          <w:sz w:val="22"/>
        </w:rPr>
        <w:t>'An incomplete or unfinished vehicle is classified as the corresponding complete or finished vehicle provided it has the essential character of the latter.'</w:t>
      </w:r>
    </w:p>
    <w:p w14:paraId="6E8FE901" w14:textId="16559845" w:rsidR="00B479FC" w:rsidRPr="00BD72CC" w:rsidRDefault="00B479FC" w:rsidP="00667B36">
      <w:pPr>
        <w:spacing w:line="360" w:lineRule="auto"/>
        <w:jc w:val="both"/>
        <w:rPr>
          <w:rFonts w:ascii="Arial" w:hAnsi="Arial" w:cs="Arial"/>
        </w:rPr>
      </w:pPr>
      <w:r w:rsidRPr="00BD72CC">
        <w:rPr>
          <w:rFonts w:ascii="Arial" w:hAnsi="Arial" w:cs="Arial"/>
        </w:rPr>
        <w:t>Then GIR 2(a), in turn, provides three examples of an incomplete or unfinished vehicle. For present purposes it is sub-paragraph (C) that has a bearing on what is at issue in this appeal. It reads:</w:t>
      </w:r>
    </w:p>
    <w:p w14:paraId="754FED75" w14:textId="742F1983" w:rsidR="00B479FC" w:rsidRPr="00BD72CC" w:rsidRDefault="00B479FC" w:rsidP="00667B36">
      <w:pPr>
        <w:spacing w:line="360" w:lineRule="auto"/>
        <w:jc w:val="both"/>
        <w:rPr>
          <w:rFonts w:ascii="Arial" w:hAnsi="Arial" w:cs="Arial"/>
          <w:sz w:val="22"/>
        </w:rPr>
      </w:pPr>
      <w:r w:rsidRPr="00BD72CC">
        <w:rPr>
          <w:rFonts w:ascii="Arial" w:hAnsi="Arial" w:cs="Arial"/>
          <w:sz w:val="22"/>
        </w:rPr>
        <w:t>'(C) A bicycle without saddle and tyres.'</w:t>
      </w:r>
    </w:p>
    <w:p w14:paraId="75630E78" w14:textId="77777777" w:rsidR="00B479FC" w:rsidRPr="00BD72CC" w:rsidRDefault="00B479FC" w:rsidP="00667B36">
      <w:pPr>
        <w:spacing w:line="360" w:lineRule="auto"/>
        <w:jc w:val="both"/>
        <w:rPr>
          <w:rFonts w:ascii="Arial" w:hAnsi="Arial" w:cs="Arial"/>
        </w:rPr>
      </w:pPr>
    </w:p>
    <w:p w14:paraId="4DF2A39C" w14:textId="517E8266" w:rsidR="00B479FC" w:rsidRPr="00BD72CC" w:rsidRDefault="00B479FC" w:rsidP="00667B36">
      <w:pPr>
        <w:spacing w:line="360" w:lineRule="auto"/>
        <w:jc w:val="both"/>
        <w:rPr>
          <w:rFonts w:ascii="Arial" w:hAnsi="Arial" w:cs="Arial"/>
        </w:rPr>
      </w:pPr>
      <w:r w:rsidRPr="00BD72CC">
        <w:rPr>
          <w:rFonts w:ascii="Arial" w:hAnsi="Arial" w:cs="Arial"/>
        </w:rPr>
        <w:t>[</w:t>
      </w:r>
      <w:r w:rsidR="00355B07" w:rsidRPr="00BD72CC">
        <w:rPr>
          <w:rFonts w:ascii="Arial" w:hAnsi="Arial" w:cs="Arial"/>
        </w:rPr>
        <w:t>16</w:t>
      </w:r>
      <w:r w:rsidRPr="00BD72CC">
        <w:rPr>
          <w:rFonts w:ascii="Arial" w:hAnsi="Arial" w:cs="Arial"/>
        </w:rPr>
        <w:t>]</w:t>
      </w:r>
      <w:r w:rsidRPr="00BD72CC">
        <w:rPr>
          <w:rFonts w:ascii="Arial" w:hAnsi="Arial" w:cs="Arial"/>
        </w:rPr>
        <w:tab/>
      </w:r>
      <w:r w:rsidR="00DC3B98" w:rsidRPr="00BD72CC">
        <w:rPr>
          <w:rFonts w:ascii="Arial" w:hAnsi="Arial" w:cs="Arial"/>
        </w:rPr>
        <w:t xml:space="preserve">Classification of goods for purposes of import duties as between different tariff headings is 'a three-stage process'. </w:t>
      </w:r>
      <w:r w:rsidR="00A30498" w:rsidRPr="00BD72CC">
        <w:rPr>
          <w:rFonts w:ascii="Arial" w:hAnsi="Arial" w:cs="Arial"/>
        </w:rPr>
        <w:t>This is what</w:t>
      </w:r>
      <w:r w:rsidR="00DC3B98" w:rsidRPr="00BD72CC">
        <w:rPr>
          <w:rFonts w:ascii="Arial" w:hAnsi="Arial" w:cs="Arial"/>
        </w:rPr>
        <w:t xml:space="preserve"> Nicholas AJA </w:t>
      </w:r>
      <w:r w:rsidR="00A30498" w:rsidRPr="00BD72CC">
        <w:rPr>
          <w:rFonts w:ascii="Arial" w:hAnsi="Arial" w:cs="Arial"/>
        </w:rPr>
        <w:t xml:space="preserve">said </w:t>
      </w:r>
      <w:r w:rsidR="00DC3B98" w:rsidRPr="00BD72CC">
        <w:rPr>
          <w:rFonts w:ascii="Arial" w:hAnsi="Arial" w:cs="Arial"/>
        </w:rPr>
        <w:t xml:space="preserve">in </w:t>
      </w:r>
      <w:r w:rsidR="00DC3B98" w:rsidRPr="00BD72CC">
        <w:rPr>
          <w:rFonts w:ascii="Arial" w:hAnsi="Arial" w:cs="Arial"/>
          <w:i/>
        </w:rPr>
        <w:t>International Business Machines SA (</w:t>
      </w:r>
      <w:r w:rsidR="00616BDF" w:rsidRPr="00BD72CC">
        <w:rPr>
          <w:rFonts w:ascii="Arial" w:hAnsi="Arial" w:cs="Arial"/>
          <w:i/>
        </w:rPr>
        <w:t>Pty</w:t>
      </w:r>
      <w:r w:rsidR="00DC3B98" w:rsidRPr="00BD72CC">
        <w:rPr>
          <w:rFonts w:ascii="Arial" w:hAnsi="Arial" w:cs="Arial"/>
          <w:i/>
        </w:rPr>
        <w:t>) Ltd v Commissioner for Customs and Excise</w:t>
      </w:r>
      <w:r w:rsidR="00EF699C" w:rsidRPr="00BD72CC">
        <w:rPr>
          <w:rFonts w:ascii="Arial" w:hAnsi="Arial" w:cs="Arial"/>
        </w:rPr>
        <w:t>.</w:t>
      </w:r>
      <w:r w:rsidR="00DC3B98" w:rsidRPr="00BD72CC">
        <w:rPr>
          <w:rStyle w:val="FootnoteReference"/>
          <w:rFonts w:ascii="Arial" w:hAnsi="Arial" w:cs="Arial"/>
        </w:rPr>
        <w:footnoteReference w:id="14"/>
      </w:r>
      <w:r w:rsidR="00DC3B98" w:rsidRPr="00BD72CC">
        <w:rPr>
          <w:rFonts w:ascii="Arial" w:hAnsi="Arial" w:cs="Arial"/>
        </w:rPr>
        <w:t xml:space="preserve"> The learned Judge of Appeal explained that the first stage involves interpretation, </w:t>
      </w:r>
      <w:r w:rsidR="001E51ED" w:rsidRPr="00BD72CC">
        <w:rPr>
          <w:rFonts w:ascii="Arial" w:hAnsi="Arial" w:cs="Arial"/>
        </w:rPr>
        <w:t>namely,</w:t>
      </w:r>
      <w:r w:rsidR="00DC3B98" w:rsidRPr="00BD72CC">
        <w:rPr>
          <w:rFonts w:ascii="Arial" w:hAnsi="Arial" w:cs="Arial"/>
        </w:rPr>
        <w:t xml:space="preserve"> 'the ascertainment of the meaning of the words used in the headings (and relative </w:t>
      </w:r>
      <w:r w:rsidR="001E51ED" w:rsidRPr="00BD72CC">
        <w:rPr>
          <w:rFonts w:ascii="Arial" w:hAnsi="Arial" w:cs="Arial"/>
        </w:rPr>
        <w:t>S</w:t>
      </w:r>
      <w:r w:rsidR="00DC3B98" w:rsidRPr="00BD72CC">
        <w:rPr>
          <w:rFonts w:ascii="Arial" w:hAnsi="Arial" w:cs="Arial"/>
        </w:rPr>
        <w:t xml:space="preserve">ection and </w:t>
      </w:r>
      <w:r w:rsidR="001E51ED" w:rsidRPr="00BD72CC">
        <w:rPr>
          <w:rFonts w:ascii="Arial" w:hAnsi="Arial" w:cs="Arial"/>
        </w:rPr>
        <w:t>C</w:t>
      </w:r>
      <w:r w:rsidR="00DC3B98" w:rsidRPr="00BD72CC">
        <w:rPr>
          <w:rFonts w:ascii="Arial" w:hAnsi="Arial" w:cs="Arial"/>
        </w:rPr>
        <w:t xml:space="preserve">hapter </w:t>
      </w:r>
      <w:r w:rsidR="001E51ED" w:rsidRPr="00BD72CC">
        <w:rPr>
          <w:rFonts w:ascii="Arial" w:hAnsi="Arial" w:cs="Arial"/>
        </w:rPr>
        <w:t>N</w:t>
      </w:r>
      <w:r w:rsidR="00DC3B98" w:rsidRPr="00BD72CC">
        <w:rPr>
          <w:rFonts w:ascii="Arial" w:hAnsi="Arial" w:cs="Arial"/>
        </w:rPr>
        <w:t>otes) which may be relevant to the classification of the goods concerned.' Secondly, it involves the 'consideration of the nature and characteristics of those goods'</w:t>
      </w:r>
      <w:r w:rsidR="001E51ED" w:rsidRPr="00BD72CC">
        <w:rPr>
          <w:rFonts w:ascii="Arial" w:hAnsi="Arial" w:cs="Arial"/>
        </w:rPr>
        <w:t>,</w:t>
      </w:r>
      <w:r w:rsidR="00DC3B98" w:rsidRPr="00BD72CC">
        <w:rPr>
          <w:rFonts w:ascii="Arial" w:hAnsi="Arial" w:cs="Arial"/>
        </w:rPr>
        <w:t xml:space="preserve"> </w:t>
      </w:r>
      <w:r w:rsidR="001E51ED" w:rsidRPr="00BD72CC">
        <w:rPr>
          <w:rFonts w:ascii="Arial" w:hAnsi="Arial" w:cs="Arial"/>
        </w:rPr>
        <w:t>a</w:t>
      </w:r>
      <w:r w:rsidR="00DC3B98" w:rsidRPr="00BD72CC">
        <w:rPr>
          <w:rFonts w:ascii="Arial" w:hAnsi="Arial" w:cs="Arial"/>
        </w:rPr>
        <w:t>nd, third</w:t>
      </w:r>
      <w:r w:rsidR="001E51ED" w:rsidRPr="00BD72CC">
        <w:rPr>
          <w:rFonts w:ascii="Arial" w:hAnsi="Arial" w:cs="Arial"/>
        </w:rPr>
        <w:t>ly</w:t>
      </w:r>
      <w:r w:rsidR="00DC3B98" w:rsidRPr="00BD72CC">
        <w:rPr>
          <w:rFonts w:ascii="Arial" w:hAnsi="Arial" w:cs="Arial"/>
        </w:rPr>
        <w:t xml:space="preserve">, 'the selection of the heading which is most </w:t>
      </w:r>
      <w:r w:rsidR="007D72F1" w:rsidRPr="00BD72CC">
        <w:rPr>
          <w:rFonts w:ascii="Arial" w:hAnsi="Arial" w:cs="Arial"/>
        </w:rPr>
        <w:t>appropriate</w:t>
      </w:r>
      <w:r w:rsidR="00DC3B98" w:rsidRPr="00BD72CC">
        <w:rPr>
          <w:rFonts w:ascii="Arial" w:hAnsi="Arial" w:cs="Arial"/>
        </w:rPr>
        <w:t xml:space="preserve"> to such goods.'</w:t>
      </w:r>
      <w:r w:rsidR="00DC3B98" w:rsidRPr="00BD72CC">
        <w:rPr>
          <w:rStyle w:val="FootnoteReference"/>
          <w:rFonts w:ascii="Arial" w:hAnsi="Arial" w:cs="Arial"/>
        </w:rPr>
        <w:footnoteReference w:id="15"/>
      </w:r>
    </w:p>
    <w:p w14:paraId="59FC35CF" w14:textId="77777777" w:rsidR="005C0988" w:rsidRPr="00BD72CC" w:rsidRDefault="005C0988" w:rsidP="00667B36">
      <w:pPr>
        <w:spacing w:line="360" w:lineRule="auto"/>
        <w:jc w:val="both"/>
        <w:rPr>
          <w:rFonts w:ascii="Arial" w:hAnsi="Arial" w:cs="Arial"/>
        </w:rPr>
      </w:pPr>
    </w:p>
    <w:p w14:paraId="3BA919BF" w14:textId="15D2A6FD" w:rsidR="005C0988" w:rsidRPr="00BD72CC" w:rsidRDefault="005C0988" w:rsidP="00667B36">
      <w:pPr>
        <w:spacing w:line="360" w:lineRule="auto"/>
        <w:jc w:val="both"/>
        <w:rPr>
          <w:rFonts w:ascii="Arial" w:hAnsi="Arial" w:cs="Arial"/>
        </w:rPr>
      </w:pPr>
      <w:r w:rsidRPr="00BD72CC">
        <w:rPr>
          <w:rFonts w:ascii="Arial" w:hAnsi="Arial" w:cs="Arial"/>
        </w:rPr>
        <w:t>[</w:t>
      </w:r>
      <w:r w:rsidR="00355B07" w:rsidRPr="00BD72CC">
        <w:rPr>
          <w:rFonts w:ascii="Arial" w:hAnsi="Arial" w:cs="Arial"/>
        </w:rPr>
        <w:t>17</w:t>
      </w:r>
      <w:r w:rsidRPr="00BD72CC">
        <w:rPr>
          <w:rFonts w:ascii="Arial" w:hAnsi="Arial" w:cs="Arial"/>
        </w:rPr>
        <w:t>]</w:t>
      </w:r>
      <w:r w:rsidRPr="00BD72CC">
        <w:rPr>
          <w:rFonts w:ascii="Arial" w:hAnsi="Arial" w:cs="Arial"/>
        </w:rPr>
        <w:tab/>
        <w:t>Insofar as the first stage of the process is concerned</w:t>
      </w:r>
      <w:r w:rsidR="001E51ED" w:rsidRPr="00BD72CC">
        <w:rPr>
          <w:rFonts w:ascii="Arial" w:hAnsi="Arial" w:cs="Arial"/>
        </w:rPr>
        <w:t>,</w:t>
      </w:r>
      <w:r w:rsidRPr="00BD72CC">
        <w:rPr>
          <w:rFonts w:ascii="Arial" w:hAnsi="Arial" w:cs="Arial"/>
        </w:rPr>
        <w:t xml:space="preserve"> we need only state that the principles to be applied and the proper approach to adopt in the interpretation of statutory instruments (and any written document for that matter) are well settled. Thus, no useful purpose would be served by </w:t>
      </w:r>
      <w:r w:rsidR="00FF227F" w:rsidRPr="00BD72CC">
        <w:rPr>
          <w:rFonts w:ascii="Arial" w:hAnsi="Arial" w:cs="Arial"/>
        </w:rPr>
        <w:t>rehashing</w:t>
      </w:r>
      <w:r w:rsidRPr="00BD72CC">
        <w:rPr>
          <w:rFonts w:ascii="Arial" w:hAnsi="Arial" w:cs="Arial"/>
        </w:rPr>
        <w:t xml:space="preserve"> the oft-quo</w:t>
      </w:r>
      <w:r w:rsidR="00AF17F0" w:rsidRPr="00BD72CC">
        <w:rPr>
          <w:rFonts w:ascii="Arial" w:hAnsi="Arial" w:cs="Arial"/>
        </w:rPr>
        <w:t>ted passage from the judgment of</w:t>
      </w:r>
      <w:r w:rsidRPr="00BD72CC">
        <w:rPr>
          <w:rFonts w:ascii="Arial" w:hAnsi="Arial" w:cs="Arial"/>
        </w:rPr>
        <w:t xml:space="preserve"> this Court in </w:t>
      </w:r>
      <w:r w:rsidRPr="00BD72CC">
        <w:rPr>
          <w:rFonts w:ascii="Arial" w:hAnsi="Arial" w:cs="Arial"/>
          <w:i/>
        </w:rPr>
        <w:t>Natal Joint Municipal Pension Fund v Endumeni Municipality</w:t>
      </w:r>
      <w:r w:rsidR="00EF699C" w:rsidRPr="00BD72CC">
        <w:rPr>
          <w:rFonts w:ascii="Arial" w:hAnsi="Arial" w:cs="Arial"/>
        </w:rPr>
        <w:t>.</w:t>
      </w:r>
      <w:r w:rsidRPr="00BD72CC">
        <w:rPr>
          <w:rStyle w:val="FootnoteReference"/>
          <w:rFonts w:ascii="Arial" w:hAnsi="Arial" w:cs="Arial"/>
        </w:rPr>
        <w:footnoteReference w:id="16"/>
      </w:r>
      <w:r w:rsidR="001E51ED" w:rsidRPr="00BD72CC">
        <w:rPr>
          <w:rFonts w:ascii="Arial" w:hAnsi="Arial" w:cs="Arial"/>
        </w:rPr>
        <w:t xml:space="preserve"> </w:t>
      </w:r>
      <w:r w:rsidRPr="00BD72CC">
        <w:rPr>
          <w:rFonts w:ascii="Arial" w:hAnsi="Arial" w:cs="Arial"/>
        </w:rPr>
        <w:t xml:space="preserve">Suffice it to state that in </w:t>
      </w:r>
      <w:r w:rsidRPr="00BD72CC">
        <w:rPr>
          <w:rFonts w:ascii="Arial" w:hAnsi="Arial" w:cs="Arial"/>
          <w:i/>
        </w:rPr>
        <w:t>Endumeni</w:t>
      </w:r>
      <w:r w:rsidRPr="00BD72CC">
        <w:rPr>
          <w:rFonts w:ascii="Arial" w:hAnsi="Arial" w:cs="Arial"/>
        </w:rPr>
        <w:t xml:space="preserve"> this Court reiterated that the process </w:t>
      </w:r>
      <w:r w:rsidRPr="00BD72CC">
        <w:rPr>
          <w:rFonts w:ascii="Arial" w:hAnsi="Arial" w:cs="Arial"/>
        </w:rPr>
        <w:lastRenderedPageBreak/>
        <w:t>o</w:t>
      </w:r>
      <w:r w:rsidR="00FF227F" w:rsidRPr="00BD72CC">
        <w:rPr>
          <w:rFonts w:ascii="Arial" w:hAnsi="Arial" w:cs="Arial"/>
        </w:rPr>
        <w:t>f interpretation is a unitary and</w:t>
      </w:r>
      <w:r w:rsidRPr="00BD72CC">
        <w:rPr>
          <w:rFonts w:ascii="Arial" w:hAnsi="Arial" w:cs="Arial"/>
        </w:rPr>
        <w:t xml:space="preserve"> objective exercise that pays due regard not only to the text but also to the context and purpose of the document being interpreted.</w:t>
      </w:r>
      <w:r w:rsidRPr="00BD72CC">
        <w:rPr>
          <w:rStyle w:val="FootnoteReference"/>
          <w:rFonts w:ascii="Arial" w:hAnsi="Arial" w:cs="Arial"/>
        </w:rPr>
        <w:footnoteReference w:id="17"/>
      </w:r>
    </w:p>
    <w:p w14:paraId="5D80B38D" w14:textId="77777777" w:rsidR="00EF699C" w:rsidRPr="00BD72CC" w:rsidRDefault="00EF699C" w:rsidP="00667B36">
      <w:pPr>
        <w:spacing w:line="360" w:lineRule="auto"/>
        <w:jc w:val="both"/>
        <w:rPr>
          <w:rFonts w:ascii="Arial" w:hAnsi="Arial" w:cs="Arial"/>
        </w:rPr>
      </w:pPr>
    </w:p>
    <w:p w14:paraId="0C2C79CD" w14:textId="75A72DC0" w:rsidR="003F753D" w:rsidRPr="00BD72CC" w:rsidRDefault="003F753D" w:rsidP="00667B36">
      <w:pPr>
        <w:spacing w:line="360" w:lineRule="auto"/>
        <w:jc w:val="both"/>
        <w:rPr>
          <w:rFonts w:ascii="Arial" w:hAnsi="Arial" w:cs="Arial"/>
          <w:i/>
        </w:rPr>
      </w:pPr>
      <w:r w:rsidRPr="00BD72CC">
        <w:rPr>
          <w:rFonts w:ascii="Arial" w:hAnsi="Arial" w:cs="Arial"/>
        </w:rPr>
        <w:t>[</w:t>
      </w:r>
      <w:r w:rsidR="00355B07" w:rsidRPr="00BD72CC">
        <w:rPr>
          <w:rFonts w:ascii="Arial" w:hAnsi="Arial" w:cs="Arial"/>
        </w:rPr>
        <w:t>18</w:t>
      </w:r>
      <w:r w:rsidRPr="00BD72CC">
        <w:rPr>
          <w:rFonts w:ascii="Arial" w:hAnsi="Arial" w:cs="Arial"/>
        </w:rPr>
        <w:t>]</w:t>
      </w:r>
      <w:r w:rsidRPr="00BD72CC">
        <w:rPr>
          <w:rFonts w:ascii="Arial" w:hAnsi="Arial" w:cs="Arial"/>
        </w:rPr>
        <w:tab/>
        <w:t xml:space="preserve">The relevant interpretive principles were usefully summarised recently by the Constitutional Court in </w:t>
      </w:r>
      <w:r w:rsidRPr="00BD72CC">
        <w:rPr>
          <w:rFonts w:ascii="Arial" w:hAnsi="Arial" w:cs="Arial"/>
          <w:i/>
        </w:rPr>
        <w:t>Minister of Police and Others v Fidelity Security Services (Pty) Limited</w:t>
      </w:r>
      <w:r w:rsidRPr="00BD72CC">
        <w:rPr>
          <w:rStyle w:val="FootnoteReference"/>
          <w:rFonts w:ascii="Arial" w:hAnsi="Arial" w:cs="Arial"/>
        </w:rPr>
        <w:footnoteReference w:id="18"/>
      </w:r>
      <w:r w:rsidRPr="00BD72CC">
        <w:rPr>
          <w:rFonts w:ascii="Arial" w:hAnsi="Arial" w:cs="Arial"/>
        </w:rPr>
        <w:t xml:space="preserve"> thus:</w:t>
      </w:r>
    </w:p>
    <w:p w14:paraId="59A35634" w14:textId="1A69E2EC" w:rsidR="003F753D" w:rsidRPr="00BD72CC" w:rsidRDefault="003F753D" w:rsidP="003F753D">
      <w:pPr>
        <w:widowControl w:val="0"/>
        <w:autoSpaceDE w:val="0"/>
        <w:autoSpaceDN w:val="0"/>
        <w:adjustRightInd w:val="0"/>
        <w:spacing w:line="360" w:lineRule="auto"/>
        <w:jc w:val="both"/>
        <w:rPr>
          <w:rFonts w:ascii="Arial" w:hAnsi="Arial" w:cs="Arial"/>
          <w:color w:val="212529"/>
          <w:sz w:val="22"/>
        </w:rPr>
      </w:pPr>
      <w:r w:rsidRPr="00BD72CC">
        <w:rPr>
          <w:rFonts w:ascii="Arial" w:hAnsi="Arial" w:cs="Arial"/>
          <w:color w:val="212529"/>
          <w:sz w:val="22"/>
        </w:rPr>
        <w:t>'(a)</w:t>
      </w:r>
      <w:r w:rsidRPr="00BD72CC">
        <w:rPr>
          <w:rFonts w:ascii="Arial" w:hAnsi="Arial" w:cs="Arial"/>
          <w:color w:val="212529"/>
          <w:sz w:val="22"/>
        </w:rPr>
        <w:tab/>
        <w:t>Words in a statute must be given their ordinary grammatical meaning unless to do so would result in an absurdity.</w:t>
      </w:r>
    </w:p>
    <w:p w14:paraId="255DBEDB" w14:textId="266F1862" w:rsidR="003F753D" w:rsidRPr="00BD72CC" w:rsidRDefault="003F753D" w:rsidP="003F753D">
      <w:pPr>
        <w:widowControl w:val="0"/>
        <w:autoSpaceDE w:val="0"/>
        <w:autoSpaceDN w:val="0"/>
        <w:adjustRightInd w:val="0"/>
        <w:spacing w:line="360" w:lineRule="auto"/>
        <w:jc w:val="both"/>
        <w:rPr>
          <w:rFonts w:ascii="Arial" w:hAnsi="Arial" w:cs="Arial"/>
          <w:color w:val="212529"/>
          <w:sz w:val="22"/>
        </w:rPr>
      </w:pPr>
      <w:r w:rsidRPr="00BD72CC">
        <w:rPr>
          <w:rFonts w:ascii="Arial" w:hAnsi="Arial" w:cs="Arial"/>
          <w:color w:val="212529"/>
          <w:sz w:val="22"/>
        </w:rPr>
        <w:t>(b)</w:t>
      </w:r>
      <w:r w:rsidRPr="00BD72CC">
        <w:rPr>
          <w:rFonts w:ascii="Arial" w:hAnsi="Arial" w:cs="Arial"/>
          <w:color w:val="212529"/>
          <w:sz w:val="22"/>
        </w:rPr>
        <w:tab/>
        <w:t>This general principle is subject to three interrelated riders: a statute must be interpreted purposively; the relevant provision must be properly contextualised; and the statute must be construed consistently with the Constitution, meaning in such a way as to preserve its constitutional validity.</w:t>
      </w:r>
    </w:p>
    <w:p w14:paraId="0C942EA8" w14:textId="7FDDAE74" w:rsidR="003F753D" w:rsidRPr="00BD72CC" w:rsidRDefault="003F753D" w:rsidP="003F753D">
      <w:pPr>
        <w:widowControl w:val="0"/>
        <w:autoSpaceDE w:val="0"/>
        <w:autoSpaceDN w:val="0"/>
        <w:adjustRightInd w:val="0"/>
        <w:spacing w:line="360" w:lineRule="auto"/>
        <w:jc w:val="both"/>
        <w:rPr>
          <w:rFonts w:ascii="Arial" w:hAnsi="Arial" w:cs="Arial"/>
          <w:color w:val="212529"/>
          <w:sz w:val="22"/>
        </w:rPr>
      </w:pPr>
      <w:r w:rsidRPr="00BD72CC">
        <w:rPr>
          <w:rFonts w:ascii="Arial" w:hAnsi="Arial" w:cs="Arial"/>
          <w:color w:val="212529"/>
          <w:sz w:val="22"/>
        </w:rPr>
        <w:t>(c)</w:t>
      </w:r>
      <w:r w:rsidRPr="00BD72CC">
        <w:rPr>
          <w:rFonts w:ascii="Arial" w:hAnsi="Arial" w:cs="Arial"/>
          <w:color w:val="212529"/>
          <w:sz w:val="22"/>
        </w:rPr>
        <w:tab/>
        <w:t xml:space="preserve">Various propositions flow from this general principle and its riders. Among others, in the case of ambiguity, a meaning that frustrates the apparent purpose of the statute or leads to results which are not </w:t>
      </w:r>
      <w:proofErr w:type="spellStart"/>
      <w:r w:rsidRPr="00BD72CC">
        <w:rPr>
          <w:rFonts w:ascii="Arial" w:hAnsi="Arial" w:cs="Arial"/>
          <w:color w:val="212529"/>
          <w:sz w:val="22"/>
        </w:rPr>
        <w:t>businesslike</w:t>
      </w:r>
      <w:proofErr w:type="spellEnd"/>
      <w:r w:rsidRPr="00BD72CC">
        <w:rPr>
          <w:rFonts w:ascii="Arial" w:hAnsi="Arial" w:cs="Arial"/>
          <w:color w:val="212529"/>
          <w:sz w:val="22"/>
        </w:rPr>
        <w:t xml:space="preserve"> or sensible results should not be preferred where an interpretation which avoids these unfortunate consequences is reasonably possible. The qualification “reasonably possible” is a reminder that Judges must guard against the temptation to substitute what they regard as reasonable, sensible or </w:t>
      </w:r>
      <w:proofErr w:type="spellStart"/>
      <w:r w:rsidRPr="00BD72CC">
        <w:rPr>
          <w:rFonts w:ascii="Arial" w:hAnsi="Arial" w:cs="Arial"/>
          <w:color w:val="212529"/>
          <w:sz w:val="22"/>
        </w:rPr>
        <w:t>businesslike</w:t>
      </w:r>
      <w:proofErr w:type="spellEnd"/>
      <w:r w:rsidRPr="00BD72CC">
        <w:rPr>
          <w:rFonts w:ascii="Arial" w:hAnsi="Arial" w:cs="Arial"/>
          <w:color w:val="212529"/>
          <w:sz w:val="22"/>
        </w:rPr>
        <w:t xml:space="preserve"> for the words actually used.</w:t>
      </w:r>
    </w:p>
    <w:p w14:paraId="20B0D15E" w14:textId="2FCBE443" w:rsidR="00957607" w:rsidRPr="00BD72CC" w:rsidRDefault="003F753D" w:rsidP="003F753D">
      <w:pPr>
        <w:widowControl w:val="0"/>
        <w:autoSpaceDE w:val="0"/>
        <w:autoSpaceDN w:val="0"/>
        <w:adjustRightInd w:val="0"/>
        <w:spacing w:line="360" w:lineRule="auto"/>
        <w:jc w:val="both"/>
        <w:rPr>
          <w:rFonts w:ascii="Arial" w:hAnsi="Arial" w:cs="Arial"/>
          <w:color w:val="212529"/>
        </w:rPr>
      </w:pPr>
      <w:r w:rsidRPr="00BD72CC">
        <w:rPr>
          <w:rFonts w:ascii="Arial" w:hAnsi="Arial" w:cs="Arial"/>
          <w:color w:val="212529"/>
          <w:sz w:val="22"/>
        </w:rPr>
        <w:t>(d)</w:t>
      </w:r>
      <w:r w:rsidRPr="00BD72CC">
        <w:rPr>
          <w:rFonts w:ascii="Arial" w:hAnsi="Arial" w:cs="Arial"/>
          <w:color w:val="212529"/>
          <w:sz w:val="22"/>
        </w:rPr>
        <w:tab/>
        <w:t>If reasonably possible, a statute should be interpreted so as to avoid a lacuna (gap) in the legislative scheme.</w:t>
      </w:r>
      <w:r w:rsidR="00C03547" w:rsidRPr="00BD72CC">
        <w:rPr>
          <w:rFonts w:ascii="Arial" w:hAnsi="Arial" w:cs="Arial"/>
          <w:color w:val="212529"/>
          <w:sz w:val="22"/>
        </w:rPr>
        <w:t>'</w:t>
      </w:r>
      <w:r w:rsidR="00C03547" w:rsidRPr="00BD72CC">
        <w:rPr>
          <w:rStyle w:val="FootnoteReference"/>
          <w:rFonts w:ascii="Arial" w:hAnsi="Arial" w:cs="Arial"/>
          <w:color w:val="212529"/>
        </w:rPr>
        <w:footnoteReference w:id="19"/>
      </w:r>
    </w:p>
    <w:p w14:paraId="321EA3F6" w14:textId="7F35E7E1" w:rsidR="00C03547" w:rsidRPr="00BD72CC" w:rsidRDefault="00C03547" w:rsidP="003F753D">
      <w:pPr>
        <w:widowControl w:val="0"/>
        <w:autoSpaceDE w:val="0"/>
        <w:autoSpaceDN w:val="0"/>
        <w:adjustRightInd w:val="0"/>
        <w:spacing w:line="360" w:lineRule="auto"/>
        <w:jc w:val="both"/>
        <w:rPr>
          <w:rFonts w:ascii="Arial" w:hAnsi="Arial" w:cs="Arial"/>
          <w:color w:val="212529"/>
        </w:rPr>
      </w:pPr>
      <w:r w:rsidRPr="00BD72CC">
        <w:rPr>
          <w:rFonts w:ascii="Arial" w:hAnsi="Arial" w:cs="Arial"/>
          <w:color w:val="212529"/>
        </w:rPr>
        <w:t xml:space="preserve">Cautioning that the triad of the text, context and purpose should not be used in a mechanical fashion, this Court in </w:t>
      </w:r>
      <w:proofErr w:type="spellStart"/>
      <w:r w:rsidRPr="00BD72CC">
        <w:rPr>
          <w:rFonts w:ascii="Arial" w:hAnsi="Arial" w:cs="Arial"/>
          <w:i/>
          <w:color w:val="212529"/>
        </w:rPr>
        <w:t>Capitec</w:t>
      </w:r>
      <w:proofErr w:type="spellEnd"/>
      <w:r w:rsidRPr="00BD72CC">
        <w:rPr>
          <w:rFonts w:ascii="Arial" w:hAnsi="Arial" w:cs="Arial"/>
          <w:i/>
          <w:color w:val="212529"/>
        </w:rPr>
        <w:t xml:space="preserve"> Bank Holdings Limited and Another v Coral Lagoon Investments 194 (Pty) Ltd and Others</w:t>
      </w:r>
      <w:r w:rsidR="001E51ED" w:rsidRPr="00BD72CC">
        <w:rPr>
          <w:rStyle w:val="FootnoteReference"/>
          <w:rFonts w:ascii="Arial" w:hAnsi="Arial" w:cs="Arial"/>
          <w:color w:val="212529"/>
        </w:rPr>
        <w:footnoteReference w:id="20"/>
      </w:r>
      <w:r w:rsidRPr="00BD72CC">
        <w:rPr>
          <w:rFonts w:ascii="Arial" w:hAnsi="Arial" w:cs="Arial"/>
          <w:i/>
          <w:color w:val="212529"/>
        </w:rPr>
        <w:t xml:space="preserve"> </w:t>
      </w:r>
      <w:r w:rsidRPr="00BD72CC">
        <w:rPr>
          <w:rFonts w:ascii="Arial" w:hAnsi="Arial" w:cs="Arial"/>
          <w:color w:val="212529"/>
        </w:rPr>
        <w:t>said the following:</w:t>
      </w:r>
    </w:p>
    <w:p w14:paraId="520B328D" w14:textId="49B000F1" w:rsidR="00C03547" w:rsidRPr="00BD72CC" w:rsidRDefault="00C03547" w:rsidP="003F753D">
      <w:pPr>
        <w:widowControl w:val="0"/>
        <w:autoSpaceDE w:val="0"/>
        <w:autoSpaceDN w:val="0"/>
        <w:adjustRightInd w:val="0"/>
        <w:spacing w:line="360" w:lineRule="auto"/>
        <w:jc w:val="both"/>
        <w:rPr>
          <w:rFonts w:ascii="Arial" w:hAnsi="Arial" w:cs="Arial"/>
          <w:color w:val="212529"/>
          <w:sz w:val="22"/>
        </w:rPr>
      </w:pPr>
      <w:r w:rsidRPr="00BD72CC">
        <w:rPr>
          <w:rFonts w:ascii="Arial" w:hAnsi="Arial" w:cs="Arial"/>
          <w:color w:val="212529"/>
          <w:sz w:val="22"/>
        </w:rPr>
        <w:t>'It is the relationship between the words used, the concepts expressed by those words and the place of the contested provision within the scheme of the agreement (or instrument) as a whole that constitutes the enterprise by recourse to which a coherent and salient interpretation is determined.'</w:t>
      </w:r>
      <w:r w:rsidRPr="00BD72CC">
        <w:rPr>
          <w:rStyle w:val="FootnoteReference"/>
          <w:rFonts w:ascii="Arial" w:hAnsi="Arial" w:cs="Arial"/>
          <w:color w:val="212529"/>
        </w:rPr>
        <w:footnoteReference w:id="21"/>
      </w:r>
    </w:p>
    <w:p w14:paraId="767A8A1B" w14:textId="77777777" w:rsidR="00C03547" w:rsidRPr="00BD72CC" w:rsidRDefault="00C03547" w:rsidP="003F753D">
      <w:pPr>
        <w:widowControl w:val="0"/>
        <w:autoSpaceDE w:val="0"/>
        <w:autoSpaceDN w:val="0"/>
        <w:adjustRightInd w:val="0"/>
        <w:spacing w:line="360" w:lineRule="auto"/>
        <w:jc w:val="both"/>
        <w:rPr>
          <w:rFonts w:ascii="Arial" w:hAnsi="Arial" w:cs="Arial"/>
          <w:color w:val="212529"/>
        </w:rPr>
      </w:pPr>
    </w:p>
    <w:p w14:paraId="5C84F2A0" w14:textId="47A2F6D9" w:rsidR="00C03547" w:rsidRPr="00BD72CC" w:rsidRDefault="00976CEB" w:rsidP="003F753D">
      <w:pPr>
        <w:widowControl w:val="0"/>
        <w:autoSpaceDE w:val="0"/>
        <w:autoSpaceDN w:val="0"/>
        <w:adjustRightInd w:val="0"/>
        <w:spacing w:line="360" w:lineRule="auto"/>
        <w:jc w:val="both"/>
        <w:rPr>
          <w:rFonts w:ascii="Arial" w:hAnsi="Arial" w:cs="Arial"/>
          <w:color w:val="212529"/>
        </w:rPr>
      </w:pPr>
      <w:r w:rsidRPr="00BD72CC">
        <w:rPr>
          <w:rFonts w:ascii="Arial" w:hAnsi="Arial" w:cs="Arial"/>
          <w:color w:val="212529"/>
        </w:rPr>
        <w:t>[</w:t>
      </w:r>
      <w:r w:rsidR="00A06699" w:rsidRPr="00BD72CC">
        <w:rPr>
          <w:rFonts w:ascii="Arial" w:hAnsi="Arial" w:cs="Arial"/>
          <w:color w:val="212529"/>
        </w:rPr>
        <w:t>19</w:t>
      </w:r>
      <w:r w:rsidRPr="00BD72CC">
        <w:rPr>
          <w:rFonts w:ascii="Arial" w:hAnsi="Arial" w:cs="Arial"/>
          <w:color w:val="212529"/>
        </w:rPr>
        <w:t>]</w:t>
      </w:r>
      <w:r w:rsidRPr="00BD72CC">
        <w:rPr>
          <w:rFonts w:ascii="Arial" w:hAnsi="Arial" w:cs="Arial"/>
          <w:color w:val="212529"/>
        </w:rPr>
        <w:tab/>
        <w:t xml:space="preserve">It is against </w:t>
      </w:r>
      <w:r w:rsidR="00944C91" w:rsidRPr="00BD72CC">
        <w:rPr>
          <w:rFonts w:ascii="Arial" w:hAnsi="Arial" w:cs="Arial"/>
          <w:color w:val="212529"/>
        </w:rPr>
        <w:t xml:space="preserve">the </w:t>
      </w:r>
      <w:r w:rsidR="00A30498" w:rsidRPr="00BD72CC">
        <w:rPr>
          <w:rFonts w:ascii="Arial" w:hAnsi="Arial" w:cs="Arial"/>
          <w:color w:val="212529"/>
        </w:rPr>
        <w:t>foregoing</w:t>
      </w:r>
      <w:r w:rsidR="00944C91" w:rsidRPr="00BD72CC">
        <w:rPr>
          <w:rFonts w:ascii="Arial" w:hAnsi="Arial" w:cs="Arial"/>
          <w:color w:val="212529"/>
        </w:rPr>
        <w:t xml:space="preserve"> backdrop that we now turn to deal with what is at the core of this appeal. As </w:t>
      </w:r>
      <w:r w:rsidR="00A30498" w:rsidRPr="00BD72CC">
        <w:rPr>
          <w:rFonts w:ascii="Arial" w:hAnsi="Arial" w:cs="Arial"/>
          <w:color w:val="212529"/>
        </w:rPr>
        <w:t>already mentioned</w:t>
      </w:r>
      <w:r w:rsidR="00944C91" w:rsidRPr="00BD72CC">
        <w:rPr>
          <w:rFonts w:ascii="Arial" w:hAnsi="Arial" w:cs="Arial"/>
          <w:color w:val="212529"/>
        </w:rPr>
        <w:t xml:space="preserve"> above, the central issue is whether the learned Judge erred in upholding the determination made by the Commissioner, namely that the bicycle parts imported by the appellants had the essential character of a bicycle and</w:t>
      </w:r>
      <w:r w:rsidR="00C55562" w:rsidRPr="00BD72CC">
        <w:rPr>
          <w:rFonts w:ascii="Arial" w:hAnsi="Arial" w:cs="Arial"/>
          <w:color w:val="212529"/>
        </w:rPr>
        <w:t>,</w:t>
      </w:r>
      <w:r w:rsidR="00944C91" w:rsidRPr="00BD72CC">
        <w:rPr>
          <w:rFonts w:ascii="Arial" w:hAnsi="Arial" w:cs="Arial"/>
          <w:color w:val="212529"/>
        </w:rPr>
        <w:t xml:space="preserve"> therefore</w:t>
      </w:r>
      <w:r w:rsidR="00C55562" w:rsidRPr="00BD72CC">
        <w:rPr>
          <w:rFonts w:ascii="Arial" w:hAnsi="Arial" w:cs="Arial"/>
          <w:color w:val="212529"/>
        </w:rPr>
        <w:t>,</w:t>
      </w:r>
      <w:r w:rsidR="00944C91" w:rsidRPr="00BD72CC">
        <w:rPr>
          <w:rFonts w:ascii="Arial" w:hAnsi="Arial" w:cs="Arial"/>
          <w:color w:val="212529"/>
        </w:rPr>
        <w:t xml:space="preserve"> subject to payment of import duties. </w:t>
      </w:r>
    </w:p>
    <w:p w14:paraId="716E7256" w14:textId="77777777" w:rsidR="00944C91" w:rsidRPr="00BD72CC" w:rsidRDefault="00944C91" w:rsidP="003F753D">
      <w:pPr>
        <w:widowControl w:val="0"/>
        <w:autoSpaceDE w:val="0"/>
        <w:autoSpaceDN w:val="0"/>
        <w:adjustRightInd w:val="0"/>
        <w:spacing w:line="360" w:lineRule="auto"/>
        <w:jc w:val="both"/>
        <w:rPr>
          <w:rFonts w:ascii="Arial" w:hAnsi="Arial" w:cs="Arial"/>
          <w:color w:val="212529"/>
        </w:rPr>
      </w:pPr>
    </w:p>
    <w:p w14:paraId="35254833" w14:textId="0FBC18CA" w:rsidR="00944C91" w:rsidRPr="00BD72CC" w:rsidRDefault="00944C91" w:rsidP="003F753D">
      <w:pPr>
        <w:widowControl w:val="0"/>
        <w:autoSpaceDE w:val="0"/>
        <w:autoSpaceDN w:val="0"/>
        <w:adjustRightInd w:val="0"/>
        <w:spacing w:line="360" w:lineRule="auto"/>
        <w:jc w:val="both"/>
        <w:rPr>
          <w:rFonts w:ascii="Arial" w:hAnsi="Arial" w:cs="Arial"/>
          <w:color w:val="212529"/>
        </w:rPr>
      </w:pPr>
      <w:r w:rsidRPr="00BD72CC">
        <w:rPr>
          <w:rFonts w:ascii="Arial" w:hAnsi="Arial" w:cs="Arial"/>
          <w:color w:val="212529"/>
        </w:rPr>
        <w:t>[</w:t>
      </w:r>
      <w:r w:rsidR="00A06699" w:rsidRPr="00BD72CC">
        <w:rPr>
          <w:rFonts w:ascii="Arial" w:hAnsi="Arial" w:cs="Arial"/>
          <w:color w:val="212529"/>
        </w:rPr>
        <w:t>20</w:t>
      </w:r>
      <w:r w:rsidRPr="00BD72CC">
        <w:rPr>
          <w:rFonts w:ascii="Arial" w:hAnsi="Arial" w:cs="Arial"/>
          <w:color w:val="212529"/>
        </w:rPr>
        <w:t>]</w:t>
      </w:r>
      <w:r w:rsidRPr="00BD72CC">
        <w:rPr>
          <w:rFonts w:ascii="Arial" w:hAnsi="Arial" w:cs="Arial"/>
          <w:color w:val="212529"/>
        </w:rPr>
        <w:tab/>
      </w:r>
      <w:r w:rsidR="003328EA" w:rsidRPr="00BD72CC">
        <w:rPr>
          <w:rFonts w:ascii="Arial" w:hAnsi="Arial" w:cs="Arial"/>
          <w:color w:val="212529"/>
        </w:rPr>
        <w:t xml:space="preserve">It is apposite at this juncture to mention that in the high court the appeal of Silverback was by agreement between the parties selected as a test case. It was further agreed that the outcome of the Silverback appeal would also bind </w:t>
      </w:r>
      <w:proofErr w:type="spellStart"/>
      <w:r w:rsidR="003328EA" w:rsidRPr="00BD72CC">
        <w:rPr>
          <w:rFonts w:ascii="Arial" w:hAnsi="Arial" w:cs="Arial"/>
          <w:color w:val="212529"/>
        </w:rPr>
        <w:t>Omnico</w:t>
      </w:r>
      <w:proofErr w:type="spellEnd"/>
      <w:r w:rsidR="003328EA" w:rsidRPr="00BD72CC">
        <w:rPr>
          <w:rFonts w:ascii="Arial" w:hAnsi="Arial" w:cs="Arial"/>
          <w:color w:val="212529"/>
        </w:rPr>
        <w:t xml:space="preserve"> and </w:t>
      </w:r>
      <w:proofErr w:type="spellStart"/>
      <w:r w:rsidR="003328EA" w:rsidRPr="00BD72CC">
        <w:rPr>
          <w:rFonts w:ascii="Arial" w:hAnsi="Arial" w:cs="Arial"/>
          <w:color w:val="212529"/>
        </w:rPr>
        <w:t>Cytek</w:t>
      </w:r>
      <w:proofErr w:type="spellEnd"/>
      <w:r w:rsidR="003328EA" w:rsidRPr="00BD72CC">
        <w:rPr>
          <w:rFonts w:ascii="Arial" w:hAnsi="Arial" w:cs="Arial"/>
          <w:color w:val="212529"/>
        </w:rPr>
        <w:t xml:space="preserve"> Cycle. </w:t>
      </w:r>
    </w:p>
    <w:p w14:paraId="30099841" w14:textId="77777777" w:rsidR="003328EA" w:rsidRPr="00BD72CC" w:rsidRDefault="003328EA" w:rsidP="003F753D">
      <w:pPr>
        <w:widowControl w:val="0"/>
        <w:autoSpaceDE w:val="0"/>
        <w:autoSpaceDN w:val="0"/>
        <w:adjustRightInd w:val="0"/>
        <w:spacing w:line="360" w:lineRule="auto"/>
        <w:jc w:val="both"/>
        <w:rPr>
          <w:rFonts w:ascii="Arial" w:hAnsi="Arial" w:cs="Arial"/>
          <w:color w:val="212529"/>
        </w:rPr>
      </w:pPr>
    </w:p>
    <w:p w14:paraId="1258E4A7" w14:textId="015FFF66" w:rsidR="003328EA" w:rsidRPr="00BD72CC" w:rsidRDefault="003328EA" w:rsidP="003F753D">
      <w:pPr>
        <w:widowControl w:val="0"/>
        <w:autoSpaceDE w:val="0"/>
        <w:autoSpaceDN w:val="0"/>
        <w:adjustRightInd w:val="0"/>
        <w:spacing w:line="360" w:lineRule="auto"/>
        <w:jc w:val="both"/>
        <w:rPr>
          <w:rFonts w:ascii="Arial" w:hAnsi="Arial" w:cs="Arial"/>
          <w:color w:val="212529"/>
        </w:rPr>
      </w:pPr>
      <w:r w:rsidRPr="00BD72CC">
        <w:rPr>
          <w:rFonts w:ascii="Arial" w:hAnsi="Arial" w:cs="Arial"/>
          <w:color w:val="212529"/>
        </w:rPr>
        <w:t>[</w:t>
      </w:r>
      <w:r w:rsidR="00A06699" w:rsidRPr="00BD72CC">
        <w:rPr>
          <w:rFonts w:ascii="Arial" w:hAnsi="Arial" w:cs="Arial"/>
          <w:color w:val="212529"/>
        </w:rPr>
        <w:t>21</w:t>
      </w:r>
      <w:r w:rsidRPr="00BD72CC">
        <w:rPr>
          <w:rFonts w:ascii="Arial" w:hAnsi="Arial" w:cs="Arial"/>
          <w:color w:val="212529"/>
        </w:rPr>
        <w:t>]</w:t>
      </w:r>
      <w:r w:rsidRPr="00BD72CC">
        <w:rPr>
          <w:rFonts w:ascii="Arial" w:hAnsi="Arial" w:cs="Arial"/>
          <w:color w:val="212529"/>
        </w:rPr>
        <w:tab/>
        <w:t>It is common cause between the parties that on 31 July 2015 Silverback imported a consignment of bicycle parts comprising the following:</w:t>
      </w:r>
    </w:p>
    <w:p w14:paraId="45166CC1" w14:textId="70ADE72A" w:rsidR="00976CEB" w:rsidRPr="00BD72CC" w:rsidRDefault="003328EA" w:rsidP="003F753D">
      <w:pPr>
        <w:widowControl w:val="0"/>
        <w:autoSpaceDE w:val="0"/>
        <w:autoSpaceDN w:val="0"/>
        <w:adjustRightInd w:val="0"/>
        <w:spacing w:line="360" w:lineRule="auto"/>
        <w:jc w:val="both"/>
        <w:rPr>
          <w:rFonts w:ascii="Arial" w:hAnsi="Arial" w:cs="Arial"/>
          <w:color w:val="212529"/>
        </w:rPr>
      </w:pPr>
      <w:r w:rsidRPr="00BD72CC">
        <w:rPr>
          <w:rFonts w:ascii="Arial" w:hAnsi="Arial" w:cs="Arial"/>
          <w:color w:val="212529"/>
        </w:rPr>
        <w:t>Frame; fork; fron</w:t>
      </w:r>
      <w:r w:rsidR="00F635BF" w:rsidRPr="00BD72CC">
        <w:rPr>
          <w:rFonts w:ascii="Arial" w:hAnsi="Arial" w:cs="Arial"/>
          <w:color w:val="212529"/>
        </w:rPr>
        <w:t>t</w:t>
      </w:r>
      <w:r w:rsidRPr="00BD72CC">
        <w:rPr>
          <w:rFonts w:ascii="Arial" w:hAnsi="Arial" w:cs="Arial"/>
          <w:color w:val="212529"/>
        </w:rPr>
        <w:t xml:space="preserve"> derailleur; handlebar; complete brake set (</w:t>
      </w:r>
      <w:proofErr w:type="spellStart"/>
      <w:r w:rsidR="004B5224" w:rsidRPr="00BD72CC">
        <w:rPr>
          <w:rFonts w:ascii="Arial" w:hAnsi="Arial" w:cs="Arial"/>
          <w:color w:val="212529"/>
        </w:rPr>
        <w:t>ie</w:t>
      </w:r>
      <w:proofErr w:type="spellEnd"/>
      <w:r w:rsidR="004B5224" w:rsidRPr="00BD72CC">
        <w:rPr>
          <w:rFonts w:ascii="Arial" w:hAnsi="Arial" w:cs="Arial"/>
          <w:color w:val="212529"/>
        </w:rPr>
        <w:t xml:space="preserve">. </w:t>
      </w:r>
      <w:r w:rsidRPr="00BD72CC">
        <w:rPr>
          <w:rFonts w:ascii="Arial" w:hAnsi="Arial" w:cs="Arial"/>
          <w:color w:val="212529"/>
        </w:rPr>
        <w:t>brake levers, cables, brake blocks and callipers); stem; grip; crank set (</w:t>
      </w:r>
      <w:proofErr w:type="spellStart"/>
      <w:r w:rsidRPr="00BD72CC">
        <w:rPr>
          <w:rFonts w:ascii="Arial" w:hAnsi="Arial" w:cs="Arial"/>
          <w:color w:val="212529"/>
        </w:rPr>
        <w:t>chainwheel</w:t>
      </w:r>
      <w:proofErr w:type="spellEnd"/>
      <w:r w:rsidRPr="00BD72CC">
        <w:rPr>
          <w:rFonts w:ascii="Arial" w:hAnsi="Arial" w:cs="Arial"/>
          <w:color w:val="212529"/>
        </w:rPr>
        <w:t xml:space="preserve"> and</w:t>
      </w:r>
      <w:r w:rsidR="004B5224" w:rsidRPr="00BD72CC">
        <w:rPr>
          <w:rFonts w:ascii="Arial" w:hAnsi="Arial" w:cs="Arial"/>
          <w:color w:val="212529"/>
        </w:rPr>
        <w:t xml:space="preserve"> the</w:t>
      </w:r>
      <w:r w:rsidRPr="00BD72CC">
        <w:rPr>
          <w:rFonts w:ascii="Arial" w:hAnsi="Arial" w:cs="Arial"/>
          <w:color w:val="212529"/>
        </w:rPr>
        <w:t xml:space="preserve"> two pedal arms); shifters; bottom bracket parts;</w:t>
      </w:r>
      <w:r w:rsidR="004B5224" w:rsidRPr="00BD72CC">
        <w:rPr>
          <w:rFonts w:ascii="Arial" w:hAnsi="Arial" w:cs="Arial"/>
          <w:color w:val="212529"/>
        </w:rPr>
        <w:t xml:space="preserve"> saddle, seat post</w:t>
      </w:r>
      <w:r w:rsidR="00F635BF" w:rsidRPr="00BD72CC">
        <w:rPr>
          <w:rFonts w:ascii="Arial" w:hAnsi="Arial" w:cs="Arial"/>
          <w:color w:val="212529"/>
        </w:rPr>
        <w:t>s; cables and or complete gear and brakes</w:t>
      </w:r>
      <w:r w:rsidR="004B5224" w:rsidRPr="00BD72CC">
        <w:rPr>
          <w:rFonts w:ascii="Arial" w:hAnsi="Arial" w:cs="Arial"/>
          <w:color w:val="212529"/>
        </w:rPr>
        <w:t>.</w:t>
      </w:r>
      <w:r w:rsidRPr="00BD72CC">
        <w:rPr>
          <w:rFonts w:ascii="Arial" w:hAnsi="Arial" w:cs="Arial"/>
          <w:color w:val="212529"/>
        </w:rPr>
        <w:t xml:space="preserve"> </w:t>
      </w:r>
    </w:p>
    <w:p w14:paraId="28D12ADD" w14:textId="77777777" w:rsidR="004B5224" w:rsidRPr="00BD72CC" w:rsidRDefault="004B5224" w:rsidP="003F753D">
      <w:pPr>
        <w:widowControl w:val="0"/>
        <w:autoSpaceDE w:val="0"/>
        <w:autoSpaceDN w:val="0"/>
        <w:adjustRightInd w:val="0"/>
        <w:spacing w:line="360" w:lineRule="auto"/>
        <w:jc w:val="both"/>
        <w:rPr>
          <w:rFonts w:ascii="Arial" w:hAnsi="Arial" w:cs="Arial"/>
          <w:color w:val="212529"/>
        </w:rPr>
      </w:pPr>
    </w:p>
    <w:p w14:paraId="4538F4AC" w14:textId="5AD59E7B" w:rsidR="009F315C" w:rsidRPr="00BD72CC" w:rsidRDefault="009F315C" w:rsidP="003F753D">
      <w:pPr>
        <w:widowControl w:val="0"/>
        <w:autoSpaceDE w:val="0"/>
        <w:autoSpaceDN w:val="0"/>
        <w:adjustRightInd w:val="0"/>
        <w:spacing w:line="360" w:lineRule="auto"/>
        <w:jc w:val="both"/>
        <w:rPr>
          <w:rFonts w:ascii="Arial" w:hAnsi="Arial" w:cs="Arial"/>
          <w:color w:val="212529"/>
        </w:rPr>
      </w:pPr>
      <w:r w:rsidRPr="00BD72CC">
        <w:rPr>
          <w:rFonts w:ascii="Arial" w:hAnsi="Arial" w:cs="Arial"/>
          <w:color w:val="212529"/>
        </w:rPr>
        <w:t>[</w:t>
      </w:r>
      <w:r w:rsidR="00A06699" w:rsidRPr="00BD72CC">
        <w:rPr>
          <w:rFonts w:ascii="Arial" w:hAnsi="Arial" w:cs="Arial"/>
          <w:color w:val="212529"/>
        </w:rPr>
        <w:t>22</w:t>
      </w:r>
      <w:r w:rsidRPr="00BD72CC">
        <w:rPr>
          <w:rFonts w:ascii="Arial" w:hAnsi="Arial" w:cs="Arial"/>
          <w:color w:val="212529"/>
        </w:rPr>
        <w:t>]</w:t>
      </w:r>
      <w:r w:rsidRPr="00BD72CC">
        <w:rPr>
          <w:rFonts w:ascii="Arial" w:hAnsi="Arial" w:cs="Arial"/>
          <w:color w:val="212529"/>
        </w:rPr>
        <w:tab/>
      </w:r>
      <w:r w:rsidR="00F635BF" w:rsidRPr="00BD72CC">
        <w:rPr>
          <w:rFonts w:ascii="Arial" w:hAnsi="Arial" w:cs="Arial"/>
          <w:color w:val="212529"/>
        </w:rPr>
        <w:t>T</w:t>
      </w:r>
      <w:r w:rsidRPr="00BD72CC">
        <w:rPr>
          <w:rFonts w:ascii="Arial" w:hAnsi="Arial" w:cs="Arial"/>
          <w:color w:val="212529"/>
        </w:rPr>
        <w:t xml:space="preserve">aking our cue from what Nicholas AJA said in </w:t>
      </w:r>
      <w:r w:rsidRPr="00BD72CC">
        <w:rPr>
          <w:rFonts w:ascii="Arial" w:hAnsi="Arial" w:cs="Arial"/>
          <w:i/>
          <w:color w:val="212529"/>
        </w:rPr>
        <w:t>International Business Machines</w:t>
      </w:r>
      <w:r w:rsidRPr="00BD72CC">
        <w:rPr>
          <w:rFonts w:ascii="Arial" w:hAnsi="Arial" w:cs="Arial"/>
          <w:color w:val="212529"/>
        </w:rPr>
        <w:t>,</w:t>
      </w:r>
      <w:r w:rsidRPr="00BD72CC">
        <w:rPr>
          <w:rStyle w:val="FootnoteReference"/>
          <w:rFonts w:ascii="Arial" w:hAnsi="Arial" w:cs="Arial"/>
          <w:color w:val="212529"/>
        </w:rPr>
        <w:footnoteReference w:id="22"/>
      </w:r>
      <w:r w:rsidRPr="00BD72CC">
        <w:rPr>
          <w:rFonts w:ascii="Arial" w:hAnsi="Arial" w:cs="Arial"/>
          <w:i/>
          <w:color w:val="212529"/>
        </w:rPr>
        <w:t xml:space="preserve"> </w:t>
      </w:r>
      <w:r w:rsidRPr="00BD72CC">
        <w:rPr>
          <w:rFonts w:ascii="Arial" w:hAnsi="Arial" w:cs="Arial"/>
          <w:color w:val="212529"/>
        </w:rPr>
        <w:t xml:space="preserve">we are enjoined to consider at this </w:t>
      </w:r>
      <w:r w:rsidR="00211F47" w:rsidRPr="00BD72CC">
        <w:rPr>
          <w:rFonts w:ascii="Arial" w:hAnsi="Arial" w:cs="Arial"/>
          <w:color w:val="212529"/>
        </w:rPr>
        <w:t>point</w:t>
      </w:r>
      <w:r w:rsidRPr="00BD72CC">
        <w:rPr>
          <w:rFonts w:ascii="Arial" w:hAnsi="Arial" w:cs="Arial"/>
          <w:color w:val="212529"/>
        </w:rPr>
        <w:t xml:space="preserve"> the </w:t>
      </w:r>
      <w:r w:rsidR="00DF40A5" w:rsidRPr="00BD72CC">
        <w:rPr>
          <w:rFonts w:ascii="Arial" w:hAnsi="Arial" w:cs="Arial"/>
          <w:color w:val="212529"/>
        </w:rPr>
        <w:t>second</w:t>
      </w:r>
      <w:r w:rsidRPr="00BD72CC">
        <w:rPr>
          <w:rFonts w:ascii="Arial" w:hAnsi="Arial" w:cs="Arial"/>
          <w:color w:val="212529"/>
        </w:rPr>
        <w:t xml:space="preserve"> stage in the classification process, </w:t>
      </w:r>
      <w:r w:rsidR="00211F47" w:rsidRPr="00BD72CC">
        <w:rPr>
          <w:rFonts w:ascii="Arial" w:hAnsi="Arial" w:cs="Arial"/>
          <w:color w:val="212529"/>
        </w:rPr>
        <w:t xml:space="preserve">namely </w:t>
      </w:r>
      <w:r w:rsidR="00F33440" w:rsidRPr="00BD72CC">
        <w:rPr>
          <w:rFonts w:ascii="Arial" w:hAnsi="Arial" w:cs="Arial"/>
          <w:color w:val="212529"/>
        </w:rPr>
        <w:t xml:space="preserve">the nature </w:t>
      </w:r>
      <w:r w:rsidRPr="00BD72CC">
        <w:rPr>
          <w:rFonts w:ascii="Arial" w:hAnsi="Arial" w:cs="Arial"/>
          <w:color w:val="212529"/>
        </w:rPr>
        <w:t xml:space="preserve">and characteristics of the goods imported by Silverback. </w:t>
      </w:r>
      <w:r w:rsidR="002E3E57" w:rsidRPr="00BD72CC">
        <w:rPr>
          <w:rFonts w:ascii="Arial" w:hAnsi="Arial" w:cs="Arial"/>
          <w:color w:val="212529"/>
        </w:rPr>
        <w:t>On this score, we record that t</w:t>
      </w:r>
      <w:r w:rsidRPr="00BD72CC">
        <w:rPr>
          <w:rFonts w:ascii="Arial" w:hAnsi="Arial" w:cs="Arial"/>
          <w:color w:val="212529"/>
        </w:rPr>
        <w:t xml:space="preserve">he parties are in agreement as to the meaning of a bicycle. </w:t>
      </w:r>
    </w:p>
    <w:p w14:paraId="37B8812D" w14:textId="77777777" w:rsidR="00C8304A" w:rsidRPr="00BD72CC" w:rsidRDefault="00C8304A" w:rsidP="003F753D">
      <w:pPr>
        <w:widowControl w:val="0"/>
        <w:autoSpaceDE w:val="0"/>
        <w:autoSpaceDN w:val="0"/>
        <w:adjustRightInd w:val="0"/>
        <w:spacing w:line="360" w:lineRule="auto"/>
        <w:jc w:val="both"/>
        <w:rPr>
          <w:rFonts w:ascii="Arial" w:hAnsi="Arial" w:cs="Arial"/>
          <w:color w:val="212529"/>
        </w:rPr>
      </w:pPr>
    </w:p>
    <w:p w14:paraId="3C40702B" w14:textId="502DB7E4" w:rsidR="00C8304A" w:rsidRPr="00BD72CC" w:rsidRDefault="00C8304A" w:rsidP="003F753D">
      <w:pPr>
        <w:widowControl w:val="0"/>
        <w:autoSpaceDE w:val="0"/>
        <w:autoSpaceDN w:val="0"/>
        <w:adjustRightInd w:val="0"/>
        <w:spacing w:line="360" w:lineRule="auto"/>
        <w:jc w:val="both"/>
        <w:rPr>
          <w:rFonts w:ascii="Arial" w:hAnsi="Arial" w:cs="Arial"/>
          <w:color w:val="212529"/>
        </w:rPr>
      </w:pPr>
      <w:r w:rsidRPr="00BD72CC">
        <w:rPr>
          <w:rFonts w:ascii="Arial" w:hAnsi="Arial" w:cs="Arial"/>
          <w:color w:val="212529"/>
        </w:rPr>
        <w:t>[</w:t>
      </w:r>
      <w:r w:rsidR="00A06699" w:rsidRPr="00BD72CC">
        <w:rPr>
          <w:rFonts w:ascii="Arial" w:hAnsi="Arial" w:cs="Arial"/>
          <w:color w:val="212529"/>
        </w:rPr>
        <w:t>23</w:t>
      </w:r>
      <w:r w:rsidRPr="00BD72CC">
        <w:rPr>
          <w:rFonts w:ascii="Arial" w:hAnsi="Arial" w:cs="Arial"/>
          <w:color w:val="212529"/>
        </w:rPr>
        <w:t>]</w:t>
      </w:r>
      <w:r w:rsidRPr="00BD72CC">
        <w:rPr>
          <w:rFonts w:ascii="Arial" w:hAnsi="Arial" w:cs="Arial"/>
          <w:color w:val="212529"/>
        </w:rPr>
        <w:tab/>
        <w:t xml:space="preserve">It is common </w:t>
      </w:r>
      <w:proofErr w:type="gramStart"/>
      <w:r w:rsidRPr="00BD72CC">
        <w:rPr>
          <w:rFonts w:ascii="Arial" w:hAnsi="Arial" w:cs="Arial"/>
          <w:color w:val="212529"/>
        </w:rPr>
        <w:t>cause</w:t>
      </w:r>
      <w:proofErr w:type="gramEnd"/>
      <w:r w:rsidRPr="00BD72CC">
        <w:rPr>
          <w:rFonts w:ascii="Arial" w:hAnsi="Arial" w:cs="Arial"/>
          <w:color w:val="212529"/>
        </w:rPr>
        <w:t xml:space="preserve"> that Silverback, </w:t>
      </w:r>
      <w:proofErr w:type="spellStart"/>
      <w:r w:rsidRPr="00BD72CC">
        <w:rPr>
          <w:rFonts w:ascii="Arial" w:hAnsi="Arial" w:cs="Arial"/>
          <w:color w:val="212529"/>
        </w:rPr>
        <w:t>Omnico</w:t>
      </w:r>
      <w:proofErr w:type="spellEnd"/>
      <w:r w:rsidRPr="00BD72CC">
        <w:rPr>
          <w:rFonts w:ascii="Arial" w:hAnsi="Arial" w:cs="Arial"/>
          <w:color w:val="212529"/>
        </w:rPr>
        <w:t xml:space="preserve"> and </w:t>
      </w:r>
      <w:proofErr w:type="spellStart"/>
      <w:r w:rsidRPr="00BD72CC">
        <w:rPr>
          <w:rFonts w:ascii="Arial" w:hAnsi="Arial" w:cs="Arial"/>
          <w:color w:val="212529"/>
        </w:rPr>
        <w:t>Cytek</w:t>
      </w:r>
      <w:proofErr w:type="spellEnd"/>
      <w:r w:rsidRPr="00BD72CC">
        <w:rPr>
          <w:rFonts w:ascii="Arial" w:hAnsi="Arial" w:cs="Arial"/>
          <w:color w:val="212529"/>
        </w:rPr>
        <w:t xml:space="preserve"> Cycle imported a wide variety of </w:t>
      </w:r>
      <w:r w:rsidR="00B679D1" w:rsidRPr="00BD72CC">
        <w:rPr>
          <w:rFonts w:ascii="Arial" w:hAnsi="Arial" w:cs="Arial"/>
          <w:color w:val="212529"/>
        </w:rPr>
        <w:t xml:space="preserve">bicycle </w:t>
      </w:r>
      <w:r w:rsidRPr="00BD72CC">
        <w:rPr>
          <w:rFonts w:ascii="Arial" w:hAnsi="Arial" w:cs="Arial"/>
          <w:color w:val="212529"/>
        </w:rPr>
        <w:t xml:space="preserve">parts. </w:t>
      </w:r>
      <w:r w:rsidR="00211F47" w:rsidRPr="00BD72CC">
        <w:rPr>
          <w:rFonts w:ascii="Arial" w:hAnsi="Arial" w:cs="Arial"/>
          <w:color w:val="212529"/>
        </w:rPr>
        <w:t>And</w:t>
      </w:r>
      <w:r w:rsidRPr="00BD72CC">
        <w:rPr>
          <w:rFonts w:ascii="Arial" w:hAnsi="Arial" w:cs="Arial"/>
          <w:color w:val="212529"/>
        </w:rPr>
        <w:t xml:space="preserve"> </w:t>
      </w:r>
      <w:r w:rsidR="00777650" w:rsidRPr="00BD72CC">
        <w:rPr>
          <w:rFonts w:ascii="Arial" w:hAnsi="Arial" w:cs="Arial"/>
          <w:color w:val="212529"/>
        </w:rPr>
        <w:t xml:space="preserve">that </w:t>
      </w:r>
      <w:r w:rsidRPr="00BD72CC">
        <w:rPr>
          <w:rFonts w:ascii="Arial" w:hAnsi="Arial" w:cs="Arial"/>
          <w:color w:val="212529"/>
        </w:rPr>
        <w:t>none of the</w:t>
      </w:r>
      <w:r w:rsidR="00211F47" w:rsidRPr="00BD72CC">
        <w:rPr>
          <w:rFonts w:ascii="Arial" w:hAnsi="Arial" w:cs="Arial"/>
          <w:color w:val="212529"/>
        </w:rPr>
        <w:t>se</w:t>
      </w:r>
      <w:r w:rsidRPr="00BD72CC">
        <w:rPr>
          <w:rFonts w:ascii="Arial" w:hAnsi="Arial" w:cs="Arial"/>
          <w:color w:val="212529"/>
        </w:rPr>
        <w:t xml:space="preserve"> consignments contained </w:t>
      </w:r>
      <w:r w:rsidR="00211F47" w:rsidRPr="00BD72CC">
        <w:rPr>
          <w:rFonts w:ascii="Arial" w:hAnsi="Arial" w:cs="Arial"/>
          <w:color w:val="212529"/>
        </w:rPr>
        <w:t xml:space="preserve">bicycle </w:t>
      </w:r>
      <w:r w:rsidRPr="00BD72CC">
        <w:rPr>
          <w:rFonts w:ascii="Arial" w:hAnsi="Arial" w:cs="Arial"/>
          <w:color w:val="212529"/>
        </w:rPr>
        <w:t>wheels. Nevertheless, in terms of GIR 2(a), an incomplete o</w:t>
      </w:r>
      <w:r w:rsidR="00A00DF5" w:rsidRPr="00BD72CC">
        <w:rPr>
          <w:rFonts w:ascii="Arial" w:hAnsi="Arial" w:cs="Arial"/>
          <w:color w:val="212529"/>
        </w:rPr>
        <w:t>r</w:t>
      </w:r>
      <w:r w:rsidRPr="00BD72CC">
        <w:rPr>
          <w:rFonts w:ascii="Arial" w:hAnsi="Arial" w:cs="Arial"/>
          <w:color w:val="212529"/>
        </w:rPr>
        <w:t xml:space="preserve"> unfinished article, including an article that is unassembled, shall, for purposes of determining whether import duty is payable in respect of such article, be classified as a complete article if in its incomplete state as presented on importation, 'it bears the essential character' of a complete or finished article, </w:t>
      </w:r>
      <w:r w:rsidR="00585DD4" w:rsidRPr="00BD72CC">
        <w:rPr>
          <w:rFonts w:ascii="Arial" w:hAnsi="Arial" w:cs="Arial"/>
          <w:color w:val="212529"/>
        </w:rPr>
        <w:t>such as</w:t>
      </w:r>
      <w:r w:rsidRPr="00BD72CC">
        <w:rPr>
          <w:rFonts w:ascii="Arial" w:hAnsi="Arial" w:cs="Arial"/>
          <w:color w:val="212529"/>
        </w:rPr>
        <w:t xml:space="preserve"> a bicycle in this instance. We shall elaborate on </w:t>
      </w:r>
      <w:r w:rsidRPr="00BD72CC">
        <w:rPr>
          <w:rFonts w:ascii="Arial" w:hAnsi="Arial" w:cs="Arial"/>
          <w:color w:val="212529"/>
        </w:rPr>
        <w:lastRenderedPageBreak/>
        <w:t>this later.</w:t>
      </w:r>
    </w:p>
    <w:p w14:paraId="0A947D1F" w14:textId="77777777" w:rsidR="00EF7CF8" w:rsidRPr="00BD72CC" w:rsidRDefault="00EF7CF8" w:rsidP="003F753D">
      <w:pPr>
        <w:widowControl w:val="0"/>
        <w:autoSpaceDE w:val="0"/>
        <w:autoSpaceDN w:val="0"/>
        <w:adjustRightInd w:val="0"/>
        <w:spacing w:line="360" w:lineRule="auto"/>
        <w:jc w:val="both"/>
        <w:rPr>
          <w:rFonts w:ascii="Arial" w:hAnsi="Arial" w:cs="Arial"/>
          <w:color w:val="212529"/>
        </w:rPr>
      </w:pPr>
    </w:p>
    <w:p w14:paraId="645FA01C" w14:textId="1A8B9714" w:rsidR="00C8304A" w:rsidRPr="00BD72CC" w:rsidRDefault="00C8304A" w:rsidP="003F753D">
      <w:pPr>
        <w:widowControl w:val="0"/>
        <w:autoSpaceDE w:val="0"/>
        <w:autoSpaceDN w:val="0"/>
        <w:adjustRightInd w:val="0"/>
        <w:spacing w:line="360" w:lineRule="auto"/>
        <w:jc w:val="both"/>
        <w:rPr>
          <w:rFonts w:ascii="Arial" w:hAnsi="Arial" w:cs="Arial"/>
          <w:color w:val="212529"/>
        </w:rPr>
      </w:pPr>
      <w:r w:rsidRPr="00BD72CC">
        <w:rPr>
          <w:rFonts w:ascii="Arial" w:hAnsi="Arial" w:cs="Arial"/>
          <w:color w:val="212529"/>
        </w:rPr>
        <w:t>[</w:t>
      </w:r>
      <w:r w:rsidR="00A06699" w:rsidRPr="00BD72CC">
        <w:rPr>
          <w:rFonts w:ascii="Arial" w:hAnsi="Arial" w:cs="Arial"/>
          <w:color w:val="212529"/>
        </w:rPr>
        <w:t>24</w:t>
      </w:r>
      <w:r w:rsidRPr="00BD72CC">
        <w:rPr>
          <w:rFonts w:ascii="Arial" w:hAnsi="Arial" w:cs="Arial"/>
          <w:color w:val="212529"/>
        </w:rPr>
        <w:t>]</w:t>
      </w:r>
      <w:r w:rsidRPr="00BD72CC">
        <w:rPr>
          <w:rFonts w:ascii="Arial" w:hAnsi="Arial" w:cs="Arial"/>
          <w:color w:val="212529"/>
        </w:rPr>
        <w:tab/>
      </w:r>
      <w:r w:rsidR="00EF7CF8" w:rsidRPr="00BD72CC">
        <w:rPr>
          <w:rFonts w:ascii="Arial" w:hAnsi="Arial" w:cs="Arial"/>
          <w:color w:val="212529"/>
        </w:rPr>
        <w:t>In making his determination as to whether</w:t>
      </w:r>
      <w:r w:rsidRPr="00BD72CC">
        <w:rPr>
          <w:rFonts w:ascii="Arial" w:hAnsi="Arial" w:cs="Arial"/>
          <w:color w:val="212529"/>
        </w:rPr>
        <w:t xml:space="preserve"> </w:t>
      </w:r>
      <w:r w:rsidR="00EF7CF8" w:rsidRPr="00BD72CC">
        <w:rPr>
          <w:rFonts w:ascii="Arial" w:hAnsi="Arial" w:cs="Arial"/>
          <w:color w:val="212529"/>
        </w:rPr>
        <w:t xml:space="preserve">customs duty was payable in respect of the consignments of imported bicycle parts, the Commissioner had regard to two relevant tariff headings, namely </w:t>
      </w:r>
      <w:r w:rsidRPr="00BD72CC">
        <w:rPr>
          <w:rFonts w:ascii="Arial" w:hAnsi="Arial" w:cs="Arial"/>
          <w:color w:val="212529"/>
        </w:rPr>
        <w:t>tariff headings 8712.00</w:t>
      </w:r>
      <w:r w:rsidR="00B679D1" w:rsidRPr="00BD72CC">
        <w:rPr>
          <w:rFonts w:ascii="Arial" w:hAnsi="Arial" w:cs="Arial"/>
          <w:color w:val="212529"/>
        </w:rPr>
        <w:t>.10</w:t>
      </w:r>
      <w:r w:rsidRPr="00BD72CC">
        <w:rPr>
          <w:rFonts w:ascii="Arial" w:hAnsi="Arial" w:cs="Arial"/>
          <w:color w:val="212529"/>
        </w:rPr>
        <w:t xml:space="preserve"> and 8714.9. The former essentially provides that 'bicycles and other cycles, including delivery tricycles, that are not motorised are subject to customs duty of 15%.' And the latter, in turn, provides that 'parts and accessories of vehicles under headings </w:t>
      </w:r>
      <w:r w:rsidR="00100FF0" w:rsidRPr="00BD72CC">
        <w:rPr>
          <w:rFonts w:ascii="Arial" w:hAnsi="Arial" w:cs="Arial"/>
          <w:color w:val="212529"/>
        </w:rPr>
        <w:t>87.11 to 87.13' are not subject to payment of customs duty.</w:t>
      </w:r>
    </w:p>
    <w:p w14:paraId="2EBBB145" w14:textId="77777777" w:rsidR="00100FF0" w:rsidRPr="00BD72CC" w:rsidRDefault="00100FF0" w:rsidP="003F753D">
      <w:pPr>
        <w:widowControl w:val="0"/>
        <w:autoSpaceDE w:val="0"/>
        <w:autoSpaceDN w:val="0"/>
        <w:adjustRightInd w:val="0"/>
        <w:spacing w:line="360" w:lineRule="auto"/>
        <w:jc w:val="both"/>
        <w:rPr>
          <w:rFonts w:ascii="Arial" w:hAnsi="Arial" w:cs="Arial"/>
          <w:color w:val="212529"/>
        </w:rPr>
      </w:pPr>
    </w:p>
    <w:p w14:paraId="3C59ED6F" w14:textId="74986FF4" w:rsidR="00100FF0" w:rsidRPr="00BD72CC" w:rsidRDefault="00100FF0" w:rsidP="003F753D">
      <w:pPr>
        <w:widowControl w:val="0"/>
        <w:autoSpaceDE w:val="0"/>
        <w:autoSpaceDN w:val="0"/>
        <w:adjustRightInd w:val="0"/>
        <w:spacing w:line="360" w:lineRule="auto"/>
        <w:jc w:val="both"/>
        <w:rPr>
          <w:rFonts w:ascii="Arial" w:hAnsi="Arial" w:cs="Arial"/>
          <w:color w:val="212529"/>
        </w:rPr>
      </w:pPr>
      <w:r w:rsidRPr="00BD72CC">
        <w:rPr>
          <w:rFonts w:ascii="Arial" w:hAnsi="Arial" w:cs="Arial"/>
          <w:color w:val="212529"/>
        </w:rPr>
        <w:t>[</w:t>
      </w:r>
      <w:r w:rsidR="009971C9" w:rsidRPr="00BD72CC">
        <w:rPr>
          <w:rFonts w:ascii="Arial" w:hAnsi="Arial" w:cs="Arial"/>
          <w:color w:val="212529"/>
        </w:rPr>
        <w:t>25</w:t>
      </w:r>
      <w:r w:rsidRPr="00BD72CC">
        <w:rPr>
          <w:rFonts w:ascii="Arial" w:hAnsi="Arial" w:cs="Arial"/>
          <w:color w:val="212529"/>
        </w:rPr>
        <w:t>]</w:t>
      </w:r>
      <w:r w:rsidRPr="00BD72CC">
        <w:rPr>
          <w:rFonts w:ascii="Arial" w:hAnsi="Arial" w:cs="Arial"/>
          <w:color w:val="212529"/>
        </w:rPr>
        <w:tab/>
      </w:r>
      <w:r w:rsidR="004E073C" w:rsidRPr="00BD72CC">
        <w:rPr>
          <w:rFonts w:ascii="Arial" w:hAnsi="Arial" w:cs="Arial"/>
          <w:color w:val="212529"/>
        </w:rPr>
        <w:t>The all-embracing contention advanced by the appellants, briefly stated, is that on a proper interpretation of the wording of tariff heading 8</w:t>
      </w:r>
      <w:r w:rsidR="00585DD4" w:rsidRPr="00BD72CC">
        <w:rPr>
          <w:rFonts w:ascii="Arial" w:hAnsi="Arial" w:cs="Arial"/>
          <w:color w:val="212529"/>
        </w:rPr>
        <w:t>7</w:t>
      </w:r>
      <w:r w:rsidR="004E073C" w:rsidRPr="00BD72CC">
        <w:rPr>
          <w:rFonts w:ascii="Arial" w:hAnsi="Arial" w:cs="Arial"/>
          <w:color w:val="212529"/>
        </w:rPr>
        <w:t>12.00 read with the relevant chapter, section and explanatory notes, wheels are the indispensable components that give a bicycle its essential character.</w:t>
      </w:r>
      <w:r w:rsidR="00B74A79" w:rsidRPr="00BD72CC">
        <w:rPr>
          <w:rFonts w:ascii="Arial" w:hAnsi="Arial" w:cs="Arial"/>
          <w:color w:val="212529"/>
        </w:rPr>
        <w:t xml:space="preserve"> </w:t>
      </w:r>
      <w:r w:rsidR="00BA5D83" w:rsidRPr="00BD72CC">
        <w:rPr>
          <w:rFonts w:ascii="Arial" w:hAnsi="Arial" w:cs="Arial"/>
          <w:color w:val="212529"/>
        </w:rPr>
        <w:t>A</w:t>
      </w:r>
      <w:r w:rsidR="004E073C" w:rsidRPr="00BD72CC">
        <w:rPr>
          <w:rFonts w:ascii="Arial" w:hAnsi="Arial" w:cs="Arial"/>
          <w:color w:val="212529"/>
        </w:rPr>
        <w:t>bsent the wheels</w:t>
      </w:r>
      <w:r w:rsidR="008D1324" w:rsidRPr="00BD72CC">
        <w:rPr>
          <w:rFonts w:ascii="Arial" w:hAnsi="Arial" w:cs="Arial"/>
          <w:color w:val="212529"/>
        </w:rPr>
        <w:t>, so the argument went,</w:t>
      </w:r>
      <w:r w:rsidR="004E073C" w:rsidRPr="00BD72CC">
        <w:rPr>
          <w:rFonts w:ascii="Arial" w:hAnsi="Arial" w:cs="Arial"/>
          <w:color w:val="212529"/>
        </w:rPr>
        <w:t xml:space="preserve"> the collection of parts under consideration in these proceedings are but parts and accessories of bicycles which, as a result, lack the essential character of a bicycle. According to the appellants the wheels, together with the other parts, are what give a bicycle its essential character. </w:t>
      </w:r>
    </w:p>
    <w:p w14:paraId="1D9FD90B" w14:textId="77777777" w:rsidR="004E073C" w:rsidRPr="00BD72CC" w:rsidRDefault="004E073C" w:rsidP="003F753D">
      <w:pPr>
        <w:widowControl w:val="0"/>
        <w:autoSpaceDE w:val="0"/>
        <w:autoSpaceDN w:val="0"/>
        <w:adjustRightInd w:val="0"/>
        <w:spacing w:line="360" w:lineRule="auto"/>
        <w:jc w:val="both"/>
        <w:rPr>
          <w:rFonts w:ascii="Arial" w:hAnsi="Arial" w:cs="Arial"/>
          <w:color w:val="212529"/>
        </w:rPr>
      </w:pPr>
    </w:p>
    <w:p w14:paraId="3F2D3384" w14:textId="170BCF9D" w:rsidR="004E073C" w:rsidRPr="00BD72CC" w:rsidRDefault="004E073C" w:rsidP="003F753D">
      <w:pPr>
        <w:widowControl w:val="0"/>
        <w:autoSpaceDE w:val="0"/>
        <w:autoSpaceDN w:val="0"/>
        <w:adjustRightInd w:val="0"/>
        <w:spacing w:line="360" w:lineRule="auto"/>
        <w:jc w:val="both"/>
        <w:rPr>
          <w:rFonts w:ascii="Arial" w:hAnsi="Arial" w:cs="Arial"/>
          <w:color w:val="212529"/>
        </w:rPr>
      </w:pPr>
      <w:r w:rsidRPr="00BD72CC">
        <w:rPr>
          <w:rFonts w:ascii="Arial" w:hAnsi="Arial" w:cs="Arial"/>
          <w:color w:val="212529"/>
        </w:rPr>
        <w:t>[</w:t>
      </w:r>
      <w:r w:rsidR="009971C9" w:rsidRPr="00BD72CC">
        <w:rPr>
          <w:rFonts w:ascii="Arial" w:hAnsi="Arial" w:cs="Arial"/>
          <w:color w:val="212529"/>
        </w:rPr>
        <w:t>26</w:t>
      </w:r>
      <w:r w:rsidRPr="00BD72CC">
        <w:rPr>
          <w:rFonts w:ascii="Arial" w:hAnsi="Arial" w:cs="Arial"/>
          <w:color w:val="212529"/>
        </w:rPr>
        <w:t>]</w:t>
      </w:r>
      <w:r w:rsidRPr="00BD72CC">
        <w:rPr>
          <w:rFonts w:ascii="Arial" w:hAnsi="Arial" w:cs="Arial"/>
          <w:color w:val="212529"/>
        </w:rPr>
        <w:tab/>
        <w:t xml:space="preserve">For his part, the Commissioner contended that the nub of the issue is 'whether the collection of the imported parts represents the essential character of a bicycle'. </w:t>
      </w:r>
      <w:r w:rsidR="00A14361" w:rsidRPr="00BD72CC">
        <w:rPr>
          <w:rFonts w:ascii="Arial" w:hAnsi="Arial" w:cs="Arial"/>
          <w:color w:val="212529"/>
        </w:rPr>
        <w:t xml:space="preserve">In elaboration, the Commissioner submitted that in the context of the facts of this case the essential character of a bicycle ought to be determined with reference to all the components making up the consignments. </w:t>
      </w:r>
      <w:r w:rsidR="001A02DE" w:rsidRPr="00BD72CC">
        <w:rPr>
          <w:rFonts w:ascii="Arial" w:hAnsi="Arial" w:cs="Arial"/>
          <w:color w:val="212529"/>
        </w:rPr>
        <w:t xml:space="preserve">Viewed in that light, </w:t>
      </w:r>
      <w:r w:rsidR="0096223C" w:rsidRPr="00BD72CC">
        <w:rPr>
          <w:rFonts w:ascii="Arial" w:hAnsi="Arial" w:cs="Arial"/>
          <w:color w:val="212529"/>
        </w:rPr>
        <w:t>counsel emphasised</w:t>
      </w:r>
      <w:r w:rsidR="001A02DE" w:rsidRPr="00BD72CC">
        <w:rPr>
          <w:rFonts w:ascii="Arial" w:hAnsi="Arial" w:cs="Arial"/>
          <w:color w:val="212529"/>
        </w:rPr>
        <w:t xml:space="preserve">, the collection of the parts imported by the appellants were undoubtedly an embodiment of the essential character of a bicycle. </w:t>
      </w:r>
    </w:p>
    <w:p w14:paraId="0AF871E1" w14:textId="77777777" w:rsidR="004C772F" w:rsidRPr="00BD72CC" w:rsidRDefault="004C772F" w:rsidP="003F753D">
      <w:pPr>
        <w:widowControl w:val="0"/>
        <w:autoSpaceDE w:val="0"/>
        <w:autoSpaceDN w:val="0"/>
        <w:adjustRightInd w:val="0"/>
        <w:spacing w:line="360" w:lineRule="auto"/>
        <w:jc w:val="both"/>
        <w:rPr>
          <w:rFonts w:ascii="Arial" w:hAnsi="Arial" w:cs="Arial"/>
          <w:color w:val="212529"/>
        </w:rPr>
      </w:pPr>
    </w:p>
    <w:p w14:paraId="78357BCF" w14:textId="1D481ADD" w:rsidR="004C772F" w:rsidRPr="00BD72CC" w:rsidRDefault="004C772F" w:rsidP="003F753D">
      <w:pPr>
        <w:widowControl w:val="0"/>
        <w:autoSpaceDE w:val="0"/>
        <w:autoSpaceDN w:val="0"/>
        <w:adjustRightInd w:val="0"/>
        <w:spacing w:line="360" w:lineRule="auto"/>
        <w:jc w:val="both"/>
        <w:rPr>
          <w:rFonts w:ascii="Arial" w:hAnsi="Arial" w:cs="Arial"/>
          <w:color w:val="212529"/>
        </w:rPr>
      </w:pPr>
      <w:r w:rsidRPr="00BD72CC">
        <w:rPr>
          <w:rFonts w:ascii="Arial" w:hAnsi="Arial" w:cs="Arial"/>
          <w:color w:val="212529"/>
        </w:rPr>
        <w:t>[</w:t>
      </w:r>
      <w:r w:rsidR="009971C9" w:rsidRPr="00BD72CC">
        <w:rPr>
          <w:rFonts w:ascii="Arial" w:hAnsi="Arial" w:cs="Arial"/>
          <w:color w:val="212529"/>
        </w:rPr>
        <w:t>27</w:t>
      </w:r>
      <w:r w:rsidRPr="00BD72CC">
        <w:rPr>
          <w:rFonts w:ascii="Arial" w:hAnsi="Arial" w:cs="Arial"/>
          <w:color w:val="212529"/>
        </w:rPr>
        <w:t>]</w:t>
      </w:r>
      <w:r w:rsidRPr="00BD72CC">
        <w:rPr>
          <w:rFonts w:ascii="Arial" w:hAnsi="Arial" w:cs="Arial"/>
          <w:color w:val="212529"/>
        </w:rPr>
        <w:tab/>
      </w:r>
      <w:r w:rsidR="00FF39A9" w:rsidRPr="00BD72CC">
        <w:rPr>
          <w:rFonts w:ascii="Arial" w:hAnsi="Arial" w:cs="Arial"/>
          <w:color w:val="212529"/>
        </w:rPr>
        <w:t xml:space="preserve">The Commissioner further bolstered </w:t>
      </w:r>
      <w:r w:rsidR="006464A3" w:rsidRPr="00BD72CC">
        <w:rPr>
          <w:rFonts w:ascii="Arial" w:hAnsi="Arial" w:cs="Arial"/>
          <w:color w:val="212529"/>
        </w:rPr>
        <w:t xml:space="preserve">his </w:t>
      </w:r>
      <w:r w:rsidR="00FF39A9" w:rsidRPr="00BD72CC">
        <w:rPr>
          <w:rFonts w:ascii="Arial" w:hAnsi="Arial" w:cs="Arial"/>
          <w:color w:val="212529"/>
        </w:rPr>
        <w:t>case by employing the guidelines of Her Majesty's Revenue and Customs (HMRC), the European Union and the United Kingdom. HMRC referred SARS to the Combined Nomenclature Explanatory Note (CNEN) issued by Europe. The CNEN is contained in Regulation 2015/C 076/01. The Official Journal of the European Union, insofar as it pertains to this appeal, reads:</w:t>
      </w:r>
    </w:p>
    <w:p w14:paraId="7911B6EA" w14:textId="07E2401A" w:rsidR="00FF39A9" w:rsidRPr="00BD72CC" w:rsidRDefault="00FF39A9" w:rsidP="003F753D">
      <w:pPr>
        <w:widowControl w:val="0"/>
        <w:autoSpaceDE w:val="0"/>
        <w:autoSpaceDN w:val="0"/>
        <w:adjustRightInd w:val="0"/>
        <w:spacing w:line="360" w:lineRule="auto"/>
        <w:jc w:val="both"/>
        <w:rPr>
          <w:rFonts w:ascii="Arial" w:hAnsi="Arial" w:cs="Arial"/>
          <w:b/>
          <w:color w:val="212529"/>
          <w:sz w:val="22"/>
        </w:rPr>
      </w:pPr>
      <w:r w:rsidRPr="00BD72CC">
        <w:rPr>
          <w:rFonts w:ascii="Arial" w:hAnsi="Arial" w:cs="Arial"/>
          <w:b/>
          <w:color w:val="212529"/>
          <w:sz w:val="22"/>
        </w:rPr>
        <w:t>'8712.00</w:t>
      </w:r>
      <w:r w:rsidR="004929F8" w:rsidRPr="00BD72CC">
        <w:rPr>
          <w:rFonts w:ascii="Arial" w:hAnsi="Arial" w:cs="Arial"/>
          <w:b/>
          <w:color w:val="212529"/>
          <w:sz w:val="22"/>
        </w:rPr>
        <w:tab/>
        <w:t>Bicycles and other cycles (including delivery tricycles), not motorised</w:t>
      </w:r>
    </w:p>
    <w:p w14:paraId="6998041A" w14:textId="464A6B3F" w:rsidR="004929F8" w:rsidRPr="00BD72CC" w:rsidRDefault="004929F8" w:rsidP="003F753D">
      <w:pPr>
        <w:widowControl w:val="0"/>
        <w:autoSpaceDE w:val="0"/>
        <w:autoSpaceDN w:val="0"/>
        <w:adjustRightInd w:val="0"/>
        <w:spacing w:line="360" w:lineRule="auto"/>
        <w:jc w:val="both"/>
        <w:rPr>
          <w:rFonts w:ascii="Arial" w:hAnsi="Arial" w:cs="Arial"/>
          <w:color w:val="212529"/>
          <w:sz w:val="22"/>
        </w:rPr>
      </w:pPr>
      <w:r w:rsidRPr="00BD72CC">
        <w:rPr>
          <w:rFonts w:ascii="Arial" w:hAnsi="Arial" w:cs="Arial"/>
          <w:color w:val="212529"/>
          <w:sz w:val="22"/>
        </w:rPr>
        <w:tab/>
      </w:r>
      <w:r w:rsidRPr="00BD72CC">
        <w:rPr>
          <w:rFonts w:ascii="Arial" w:hAnsi="Arial" w:cs="Arial"/>
          <w:color w:val="212529"/>
          <w:sz w:val="22"/>
        </w:rPr>
        <w:tab/>
        <w:t xml:space="preserve">This heading includes incomplete bicycles that have essential characteristics </w:t>
      </w:r>
      <w:r w:rsidRPr="00BD72CC">
        <w:rPr>
          <w:rFonts w:ascii="Arial" w:hAnsi="Arial" w:cs="Arial"/>
          <w:color w:val="212529"/>
          <w:sz w:val="22"/>
        </w:rPr>
        <w:lastRenderedPageBreak/>
        <w:tab/>
      </w:r>
      <w:r w:rsidRPr="00BD72CC">
        <w:rPr>
          <w:rFonts w:ascii="Arial" w:hAnsi="Arial" w:cs="Arial"/>
          <w:color w:val="212529"/>
          <w:sz w:val="22"/>
        </w:rPr>
        <w:tab/>
        <w:t xml:space="preserve">of complete bicycles (general rule 2(a) for the interpretation of the Combined </w:t>
      </w:r>
      <w:r w:rsidRPr="00BD72CC">
        <w:rPr>
          <w:rFonts w:ascii="Arial" w:hAnsi="Arial" w:cs="Arial"/>
          <w:color w:val="212529"/>
          <w:sz w:val="22"/>
        </w:rPr>
        <w:tab/>
      </w:r>
      <w:r w:rsidRPr="00BD72CC">
        <w:rPr>
          <w:rFonts w:ascii="Arial" w:hAnsi="Arial" w:cs="Arial"/>
          <w:color w:val="212529"/>
          <w:sz w:val="22"/>
        </w:rPr>
        <w:tab/>
        <w:t>Nomenclature).</w:t>
      </w:r>
    </w:p>
    <w:p w14:paraId="146AF641" w14:textId="4F6D3788" w:rsidR="004929F8" w:rsidRPr="00BD72CC" w:rsidRDefault="004929F8" w:rsidP="004929F8">
      <w:pPr>
        <w:widowControl w:val="0"/>
        <w:autoSpaceDE w:val="0"/>
        <w:autoSpaceDN w:val="0"/>
        <w:adjustRightInd w:val="0"/>
        <w:spacing w:line="360" w:lineRule="auto"/>
        <w:jc w:val="both"/>
        <w:rPr>
          <w:rFonts w:ascii="Arial" w:hAnsi="Arial" w:cs="Arial"/>
          <w:color w:val="212529"/>
          <w:sz w:val="22"/>
        </w:rPr>
      </w:pPr>
      <w:r w:rsidRPr="00BD72CC">
        <w:rPr>
          <w:rFonts w:ascii="Arial" w:hAnsi="Arial" w:cs="Arial"/>
          <w:color w:val="212529"/>
          <w:sz w:val="22"/>
        </w:rPr>
        <w:tab/>
      </w:r>
      <w:r w:rsidRPr="00BD72CC">
        <w:rPr>
          <w:rFonts w:ascii="Arial" w:hAnsi="Arial" w:cs="Arial"/>
          <w:color w:val="212529"/>
          <w:sz w:val="22"/>
        </w:rPr>
        <w:tab/>
        <w:t xml:space="preserve">An incomplete bicycle, whether or not assembled, is to be classified under </w:t>
      </w:r>
      <w:r w:rsidRPr="00BD72CC">
        <w:rPr>
          <w:rFonts w:ascii="Arial" w:hAnsi="Arial" w:cs="Arial"/>
          <w:color w:val="212529"/>
          <w:sz w:val="22"/>
        </w:rPr>
        <w:tab/>
      </w:r>
      <w:r w:rsidRPr="00BD72CC">
        <w:rPr>
          <w:rFonts w:ascii="Arial" w:hAnsi="Arial" w:cs="Arial"/>
          <w:color w:val="212529"/>
          <w:sz w:val="22"/>
        </w:rPr>
        <w:tab/>
        <w:t xml:space="preserve">heading 87 12 00 if it consists of the frame, the fork and at least two of the </w:t>
      </w:r>
      <w:r w:rsidRPr="00BD72CC">
        <w:rPr>
          <w:rFonts w:ascii="Arial" w:hAnsi="Arial" w:cs="Arial"/>
          <w:color w:val="212529"/>
          <w:sz w:val="22"/>
        </w:rPr>
        <w:tab/>
      </w:r>
      <w:r w:rsidRPr="00BD72CC">
        <w:rPr>
          <w:rFonts w:ascii="Arial" w:hAnsi="Arial" w:cs="Arial"/>
          <w:color w:val="212529"/>
          <w:sz w:val="22"/>
        </w:rPr>
        <w:tab/>
        <w:t>following components:</w:t>
      </w:r>
    </w:p>
    <w:p w14:paraId="7BAA3EB2" w14:textId="2F1EC3E9" w:rsidR="004929F8" w:rsidRPr="00BD72CC" w:rsidRDefault="004929F8" w:rsidP="004929F8">
      <w:pPr>
        <w:widowControl w:val="0"/>
        <w:autoSpaceDE w:val="0"/>
        <w:autoSpaceDN w:val="0"/>
        <w:adjustRightInd w:val="0"/>
        <w:spacing w:line="360" w:lineRule="auto"/>
        <w:jc w:val="both"/>
        <w:rPr>
          <w:rFonts w:ascii="Arial" w:hAnsi="Arial" w:cs="Arial"/>
          <w:color w:val="212529"/>
          <w:sz w:val="22"/>
        </w:rPr>
      </w:pPr>
      <w:r w:rsidRPr="00BD72CC">
        <w:rPr>
          <w:rFonts w:ascii="Arial" w:hAnsi="Arial" w:cs="Arial"/>
          <w:color w:val="212529"/>
          <w:sz w:val="22"/>
        </w:rPr>
        <w:tab/>
      </w:r>
      <w:r w:rsidRPr="00BD72CC">
        <w:rPr>
          <w:rFonts w:ascii="Arial" w:hAnsi="Arial" w:cs="Arial"/>
          <w:color w:val="212529"/>
          <w:sz w:val="22"/>
        </w:rPr>
        <w:tab/>
        <w:t xml:space="preserve">– </w:t>
      </w:r>
      <w:proofErr w:type="gramStart"/>
      <w:r w:rsidRPr="00BD72CC">
        <w:rPr>
          <w:rFonts w:ascii="Arial" w:hAnsi="Arial" w:cs="Arial"/>
          <w:color w:val="212529"/>
          <w:sz w:val="22"/>
        </w:rPr>
        <w:t>a</w:t>
      </w:r>
      <w:proofErr w:type="gramEnd"/>
      <w:r w:rsidRPr="00BD72CC">
        <w:rPr>
          <w:rFonts w:ascii="Arial" w:hAnsi="Arial" w:cs="Arial"/>
          <w:color w:val="212529"/>
          <w:sz w:val="22"/>
        </w:rPr>
        <w:t xml:space="preserve"> set of wheels;</w:t>
      </w:r>
    </w:p>
    <w:p w14:paraId="1A7FAD0E" w14:textId="6E202B38" w:rsidR="004929F8" w:rsidRPr="00BD72CC" w:rsidRDefault="004929F8" w:rsidP="004929F8">
      <w:pPr>
        <w:widowControl w:val="0"/>
        <w:autoSpaceDE w:val="0"/>
        <w:autoSpaceDN w:val="0"/>
        <w:adjustRightInd w:val="0"/>
        <w:spacing w:line="360" w:lineRule="auto"/>
        <w:jc w:val="both"/>
        <w:rPr>
          <w:rFonts w:ascii="Arial" w:hAnsi="Arial" w:cs="Arial"/>
          <w:color w:val="212529"/>
          <w:sz w:val="22"/>
        </w:rPr>
      </w:pPr>
      <w:r w:rsidRPr="00BD72CC">
        <w:rPr>
          <w:rFonts w:ascii="Arial" w:hAnsi="Arial" w:cs="Arial"/>
          <w:color w:val="212529"/>
          <w:sz w:val="22"/>
        </w:rPr>
        <w:tab/>
      </w:r>
      <w:r w:rsidRPr="00BD72CC">
        <w:rPr>
          <w:rFonts w:ascii="Arial" w:hAnsi="Arial" w:cs="Arial"/>
          <w:color w:val="212529"/>
          <w:sz w:val="22"/>
        </w:rPr>
        <w:tab/>
        <w:t xml:space="preserve">– </w:t>
      </w:r>
      <w:proofErr w:type="gramStart"/>
      <w:r w:rsidRPr="00BD72CC">
        <w:rPr>
          <w:rFonts w:ascii="Arial" w:hAnsi="Arial" w:cs="Arial"/>
          <w:color w:val="212529"/>
          <w:sz w:val="22"/>
        </w:rPr>
        <w:t>a</w:t>
      </w:r>
      <w:proofErr w:type="gramEnd"/>
      <w:r w:rsidRPr="00BD72CC">
        <w:rPr>
          <w:rFonts w:ascii="Arial" w:hAnsi="Arial" w:cs="Arial"/>
          <w:color w:val="212529"/>
          <w:sz w:val="22"/>
        </w:rPr>
        <w:t xml:space="preserve"> crank-gear (see the explanatory note subheading 87 14 96 30);</w:t>
      </w:r>
    </w:p>
    <w:p w14:paraId="2BF8429C" w14:textId="52A57C13" w:rsidR="004929F8" w:rsidRPr="00BD72CC" w:rsidRDefault="004929F8" w:rsidP="004929F8">
      <w:pPr>
        <w:widowControl w:val="0"/>
        <w:autoSpaceDE w:val="0"/>
        <w:autoSpaceDN w:val="0"/>
        <w:adjustRightInd w:val="0"/>
        <w:spacing w:line="360" w:lineRule="auto"/>
        <w:jc w:val="both"/>
        <w:rPr>
          <w:rFonts w:ascii="Arial" w:hAnsi="Arial" w:cs="Arial"/>
          <w:color w:val="212529"/>
          <w:sz w:val="22"/>
        </w:rPr>
      </w:pPr>
      <w:r w:rsidRPr="00BD72CC">
        <w:rPr>
          <w:rFonts w:ascii="Arial" w:hAnsi="Arial" w:cs="Arial"/>
          <w:color w:val="212529"/>
          <w:sz w:val="22"/>
        </w:rPr>
        <w:tab/>
      </w:r>
      <w:r w:rsidRPr="00BD72CC">
        <w:rPr>
          <w:rFonts w:ascii="Arial" w:hAnsi="Arial" w:cs="Arial"/>
          <w:color w:val="212529"/>
          <w:sz w:val="22"/>
        </w:rPr>
        <w:tab/>
        <w:t xml:space="preserve">– </w:t>
      </w:r>
      <w:proofErr w:type="gramStart"/>
      <w:r w:rsidRPr="00BD72CC">
        <w:rPr>
          <w:rFonts w:ascii="Arial" w:hAnsi="Arial" w:cs="Arial"/>
          <w:color w:val="212529"/>
          <w:sz w:val="22"/>
        </w:rPr>
        <w:t>a</w:t>
      </w:r>
      <w:proofErr w:type="gramEnd"/>
      <w:r w:rsidRPr="00BD72CC">
        <w:rPr>
          <w:rFonts w:ascii="Arial" w:hAnsi="Arial" w:cs="Arial"/>
          <w:color w:val="212529"/>
          <w:sz w:val="22"/>
        </w:rPr>
        <w:t xml:space="preserve"> steering unit (including handlebar and handlebar stems);</w:t>
      </w:r>
    </w:p>
    <w:p w14:paraId="11C877B8" w14:textId="2AF320A1" w:rsidR="004929F8" w:rsidRPr="00BD72CC" w:rsidRDefault="004929F8" w:rsidP="004929F8">
      <w:pPr>
        <w:widowControl w:val="0"/>
        <w:autoSpaceDE w:val="0"/>
        <w:autoSpaceDN w:val="0"/>
        <w:adjustRightInd w:val="0"/>
        <w:spacing w:line="360" w:lineRule="auto"/>
        <w:jc w:val="both"/>
        <w:rPr>
          <w:rFonts w:ascii="Arial" w:hAnsi="Arial" w:cs="Arial"/>
          <w:color w:val="212529"/>
          <w:sz w:val="22"/>
        </w:rPr>
      </w:pPr>
      <w:r w:rsidRPr="00BD72CC">
        <w:rPr>
          <w:rFonts w:ascii="Arial" w:hAnsi="Arial" w:cs="Arial"/>
          <w:color w:val="212529"/>
          <w:sz w:val="22"/>
        </w:rPr>
        <w:tab/>
      </w:r>
      <w:r w:rsidRPr="00BD72CC">
        <w:rPr>
          <w:rFonts w:ascii="Arial" w:hAnsi="Arial" w:cs="Arial"/>
          <w:color w:val="212529"/>
          <w:sz w:val="22"/>
        </w:rPr>
        <w:tab/>
        <w:t>– a brake system.'</w:t>
      </w:r>
    </w:p>
    <w:p w14:paraId="26FB2980" w14:textId="1FBEBF18" w:rsidR="001A02DE" w:rsidRPr="00BD72CC" w:rsidRDefault="00FF39A9" w:rsidP="003F753D">
      <w:pPr>
        <w:widowControl w:val="0"/>
        <w:autoSpaceDE w:val="0"/>
        <w:autoSpaceDN w:val="0"/>
        <w:adjustRightInd w:val="0"/>
        <w:spacing w:line="360" w:lineRule="auto"/>
        <w:jc w:val="both"/>
        <w:rPr>
          <w:rFonts w:ascii="Arial" w:hAnsi="Arial" w:cs="Arial"/>
          <w:color w:val="212529"/>
        </w:rPr>
      </w:pPr>
      <w:r w:rsidRPr="00BD72CC">
        <w:rPr>
          <w:rFonts w:ascii="Arial" w:hAnsi="Arial" w:cs="Arial"/>
          <w:color w:val="212529"/>
        </w:rPr>
        <w:t xml:space="preserve">The </w:t>
      </w:r>
      <w:r w:rsidR="004929F8" w:rsidRPr="00BD72CC">
        <w:rPr>
          <w:rFonts w:ascii="Arial" w:hAnsi="Arial" w:cs="Arial"/>
          <w:color w:val="212529"/>
        </w:rPr>
        <w:t>decision of the Harmoni</w:t>
      </w:r>
      <w:r w:rsidR="00604DEB" w:rsidRPr="00BD72CC">
        <w:rPr>
          <w:rFonts w:ascii="Arial" w:hAnsi="Arial" w:cs="Arial"/>
          <w:color w:val="212529"/>
        </w:rPr>
        <w:t>s</w:t>
      </w:r>
      <w:r w:rsidR="004929F8" w:rsidRPr="00BD72CC">
        <w:rPr>
          <w:rFonts w:ascii="Arial" w:hAnsi="Arial" w:cs="Arial"/>
          <w:color w:val="212529"/>
        </w:rPr>
        <w:t>ed System Committee made by the World Customs Organisation (WCO) is to the effect that the three configurations provided by SARS were classified in heading 87.12 by application of GIRs 1 and 2(a). Whilst the appellant</w:t>
      </w:r>
      <w:r w:rsidR="00B103B5" w:rsidRPr="00BD72CC">
        <w:rPr>
          <w:rFonts w:ascii="Arial" w:hAnsi="Arial" w:cs="Arial"/>
          <w:color w:val="212529"/>
        </w:rPr>
        <w:t>s</w:t>
      </w:r>
      <w:r w:rsidR="004929F8" w:rsidRPr="00BD72CC">
        <w:rPr>
          <w:rFonts w:ascii="Arial" w:hAnsi="Arial" w:cs="Arial"/>
          <w:color w:val="212529"/>
        </w:rPr>
        <w:t xml:space="preserve"> complained about the approach </w:t>
      </w:r>
      <w:r w:rsidR="009971C9" w:rsidRPr="00BD72CC">
        <w:rPr>
          <w:rFonts w:ascii="Arial" w:hAnsi="Arial" w:cs="Arial"/>
          <w:color w:val="212529"/>
        </w:rPr>
        <w:t>adopted</w:t>
      </w:r>
      <w:r w:rsidR="004929F8" w:rsidRPr="00BD72CC">
        <w:rPr>
          <w:rFonts w:ascii="Arial" w:hAnsi="Arial" w:cs="Arial"/>
          <w:color w:val="212529"/>
        </w:rPr>
        <w:t xml:space="preserve"> by the Commissioner in classifying the relevant goods, it is generally accepted practice that members of the WCO follow the same approach.</w:t>
      </w:r>
      <w:r w:rsidR="007F7B95" w:rsidRPr="00BD72CC">
        <w:rPr>
          <w:rFonts w:ascii="Arial" w:hAnsi="Arial" w:cs="Arial"/>
          <w:color w:val="212529"/>
        </w:rPr>
        <w:t xml:space="preserve"> However,</w:t>
      </w:r>
      <w:r w:rsidR="004929F8" w:rsidRPr="00BD72CC">
        <w:rPr>
          <w:rFonts w:ascii="Arial" w:hAnsi="Arial" w:cs="Arial"/>
          <w:color w:val="212529"/>
        </w:rPr>
        <w:t xml:space="preserve"> </w:t>
      </w:r>
      <w:r w:rsidR="007F7B95" w:rsidRPr="00BD72CC">
        <w:rPr>
          <w:rFonts w:ascii="Arial" w:hAnsi="Arial" w:cs="Arial"/>
          <w:color w:val="212529"/>
        </w:rPr>
        <w:t>it must be said that t</w:t>
      </w:r>
      <w:r w:rsidR="004929F8" w:rsidRPr="00BD72CC">
        <w:rPr>
          <w:rFonts w:ascii="Arial" w:hAnsi="Arial" w:cs="Arial"/>
          <w:color w:val="212529"/>
        </w:rPr>
        <w:t>he guidelines are by their nature only of persuasive force and are not meant to substitute or override principles of interpretation.</w:t>
      </w:r>
    </w:p>
    <w:p w14:paraId="41DB1F37" w14:textId="77777777" w:rsidR="004929F8" w:rsidRPr="00BD72CC" w:rsidRDefault="004929F8" w:rsidP="003F753D">
      <w:pPr>
        <w:widowControl w:val="0"/>
        <w:autoSpaceDE w:val="0"/>
        <w:autoSpaceDN w:val="0"/>
        <w:adjustRightInd w:val="0"/>
        <w:spacing w:line="360" w:lineRule="auto"/>
        <w:jc w:val="both"/>
        <w:rPr>
          <w:rFonts w:ascii="Arial" w:hAnsi="Arial" w:cs="Arial"/>
          <w:color w:val="212529"/>
        </w:rPr>
      </w:pPr>
    </w:p>
    <w:p w14:paraId="0C73E28E" w14:textId="49004C97" w:rsidR="001A02DE" w:rsidRPr="00BD72CC" w:rsidRDefault="001A02DE" w:rsidP="003F753D">
      <w:pPr>
        <w:widowControl w:val="0"/>
        <w:autoSpaceDE w:val="0"/>
        <w:autoSpaceDN w:val="0"/>
        <w:adjustRightInd w:val="0"/>
        <w:spacing w:line="360" w:lineRule="auto"/>
        <w:jc w:val="both"/>
        <w:rPr>
          <w:rFonts w:ascii="Arial" w:hAnsi="Arial" w:cs="Arial"/>
          <w:color w:val="212529"/>
        </w:rPr>
      </w:pPr>
      <w:r w:rsidRPr="00BD72CC">
        <w:rPr>
          <w:rFonts w:ascii="Arial" w:hAnsi="Arial" w:cs="Arial"/>
          <w:color w:val="212529"/>
        </w:rPr>
        <w:t>[</w:t>
      </w:r>
      <w:r w:rsidR="00027793" w:rsidRPr="00BD72CC">
        <w:rPr>
          <w:rFonts w:ascii="Arial" w:hAnsi="Arial" w:cs="Arial"/>
          <w:color w:val="212529"/>
        </w:rPr>
        <w:t>28</w:t>
      </w:r>
      <w:r w:rsidRPr="00BD72CC">
        <w:rPr>
          <w:rFonts w:ascii="Arial" w:hAnsi="Arial" w:cs="Arial"/>
          <w:color w:val="212529"/>
        </w:rPr>
        <w:t>]</w:t>
      </w:r>
      <w:r w:rsidRPr="00BD72CC">
        <w:rPr>
          <w:rFonts w:ascii="Arial" w:hAnsi="Arial" w:cs="Arial"/>
          <w:color w:val="212529"/>
        </w:rPr>
        <w:tab/>
      </w:r>
      <w:r w:rsidR="00F635BF" w:rsidRPr="00BD72CC">
        <w:rPr>
          <w:rFonts w:ascii="Arial" w:hAnsi="Arial" w:cs="Arial"/>
          <w:color w:val="212529"/>
        </w:rPr>
        <w:t>It is necessary at this juncture to make reference to s 47(8</w:t>
      </w:r>
      <w:proofErr w:type="gramStart"/>
      <w:r w:rsidR="00F635BF" w:rsidRPr="00BD72CC">
        <w:rPr>
          <w:rFonts w:ascii="Arial" w:hAnsi="Arial" w:cs="Arial"/>
          <w:color w:val="212529"/>
        </w:rPr>
        <w:t>)</w:t>
      </w:r>
      <w:r w:rsidR="00F635BF" w:rsidRPr="00BD72CC">
        <w:rPr>
          <w:rFonts w:ascii="Arial" w:hAnsi="Arial" w:cs="Arial"/>
          <w:i/>
          <w:color w:val="212529"/>
        </w:rPr>
        <w:t>(</w:t>
      </w:r>
      <w:proofErr w:type="gramEnd"/>
      <w:r w:rsidR="00F635BF" w:rsidRPr="00BD72CC">
        <w:rPr>
          <w:rFonts w:ascii="Arial" w:hAnsi="Arial" w:cs="Arial"/>
          <w:i/>
          <w:color w:val="212529"/>
        </w:rPr>
        <w:t>a)</w:t>
      </w:r>
      <w:r w:rsidR="00F635BF" w:rsidRPr="00BD72CC">
        <w:rPr>
          <w:rFonts w:ascii="Arial" w:hAnsi="Arial" w:cs="Arial"/>
          <w:color w:val="212529"/>
        </w:rPr>
        <w:t xml:space="preserve"> of the Act. </w:t>
      </w:r>
      <w:r w:rsidR="00E50862" w:rsidRPr="00BD72CC">
        <w:rPr>
          <w:rFonts w:ascii="Arial" w:hAnsi="Arial" w:cs="Arial"/>
          <w:color w:val="212529"/>
        </w:rPr>
        <w:t>It reads, to the extent here relevant, as follows:</w:t>
      </w:r>
    </w:p>
    <w:p w14:paraId="65401240" w14:textId="38E98C61" w:rsidR="00E50862" w:rsidRPr="00BD72CC" w:rsidRDefault="00585DD4" w:rsidP="003F753D">
      <w:pPr>
        <w:widowControl w:val="0"/>
        <w:autoSpaceDE w:val="0"/>
        <w:autoSpaceDN w:val="0"/>
        <w:adjustRightInd w:val="0"/>
        <w:spacing w:line="360" w:lineRule="auto"/>
        <w:jc w:val="both"/>
        <w:rPr>
          <w:rFonts w:ascii="Arial" w:hAnsi="Arial" w:cs="Arial"/>
          <w:color w:val="212529"/>
          <w:sz w:val="22"/>
        </w:rPr>
      </w:pPr>
      <w:r w:rsidRPr="00BD72CC">
        <w:rPr>
          <w:rFonts w:ascii="Arial" w:hAnsi="Arial" w:cs="Arial"/>
          <w:color w:val="212529"/>
          <w:sz w:val="22"/>
        </w:rPr>
        <w:t>'The interpretation of–</w:t>
      </w:r>
    </w:p>
    <w:p w14:paraId="0697795A" w14:textId="72BB3F3A" w:rsidR="00E50862" w:rsidRPr="00BD72CC" w:rsidRDefault="00E50862" w:rsidP="00E50862">
      <w:pPr>
        <w:widowControl w:val="0"/>
        <w:autoSpaceDE w:val="0"/>
        <w:autoSpaceDN w:val="0"/>
        <w:adjustRightInd w:val="0"/>
        <w:spacing w:line="360" w:lineRule="auto"/>
        <w:jc w:val="both"/>
        <w:rPr>
          <w:rFonts w:ascii="Arial" w:hAnsi="Arial" w:cs="Arial"/>
          <w:color w:val="212529"/>
          <w:sz w:val="22"/>
        </w:rPr>
      </w:pPr>
      <w:r w:rsidRPr="00BD72CC">
        <w:rPr>
          <w:rFonts w:ascii="Arial" w:hAnsi="Arial" w:cs="Arial"/>
          <w:color w:val="212529"/>
          <w:sz w:val="22"/>
        </w:rPr>
        <w:t xml:space="preserve">(i) </w:t>
      </w:r>
      <w:proofErr w:type="gramStart"/>
      <w:r w:rsidRPr="00BD72CC">
        <w:rPr>
          <w:rFonts w:ascii="Arial" w:hAnsi="Arial" w:cs="Arial"/>
          <w:color w:val="212529"/>
          <w:sz w:val="22"/>
        </w:rPr>
        <w:t>any</w:t>
      </w:r>
      <w:proofErr w:type="gramEnd"/>
      <w:r w:rsidRPr="00BD72CC">
        <w:rPr>
          <w:rFonts w:ascii="Arial" w:hAnsi="Arial" w:cs="Arial"/>
          <w:color w:val="212529"/>
          <w:sz w:val="22"/>
        </w:rPr>
        <w:t xml:space="preserve"> tariff heading or tariff subheading in Part 1 of Schedule </w:t>
      </w:r>
      <w:r w:rsidR="00585DD4" w:rsidRPr="00BD72CC">
        <w:rPr>
          <w:rFonts w:ascii="Arial" w:hAnsi="Arial" w:cs="Arial"/>
          <w:color w:val="212529"/>
          <w:sz w:val="22"/>
        </w:rPr>
        <w:t xml:space="preserve">No. </w:t>
      </w:r>
      <w:r w:rsidRPr="00BD72CC">
        <w:rPr>
          <w:rFonts w:ascii="Arial" w:hAnsi="Arial" w:cs="Arial"/>
          <w:color w:val="212529"/>
          <w:sz w:val="22"/>
        </w:rPr>
        <w:t>1;</w:t>
      </w:r>
    </w:p>
    <w:p w14:paraId="4DDDE3AE" w14:textId="44E1D1C5" w:rsidR="00E50862" w:rsidRPr="00BD72CC" w:rsidRDefault="00E50862" w:rsidP="00E50862">
      <w:pPr>
        <w:widowControl w:val="0"/>
        <w:autoSpaceDE w:val="0"/>
        <w:autoSpaceDN w:val="0"/>
        <w:adjustRightInd w:val="0"/>
        <w:spacing w:line="360" w:lineRule="auto"/>
        <w:jc w:val="both"/>
        <w:rPr>
          <w:rFonts w:ascii="Arial" w:hAnsi="Arial" w:cs="Arial"/>
          <w:color w:val="212529"/>
          <w:sz w:val="22"/>
        </w:rPr>
      </w:pPr>
      <w:r w:rsidRPr="00BD72CC">
        <w:rPr>
          <w:rFonts w:ascii="Arial" w:hAnsi="Arial" w:cs="Arial"/>
          <w:color w:val="212529"/>
          <w:sz w:val="22"/>
        </w:rPr>
        <w:t>. . .</w:t>
      </w:r>
    </w:p>
    <w:p w14:paraId="75F6F465" w14:textId="0FA593B4" w:rsidR="00E50862" w:rsidRPr="00BD72CC" w:rsidRDefault="00E50862" w:rsidP="00E50862">
      <w:pPr>
        <w:widowControl w:val="0"/>
        <w:autoSpaceDE w:val="0"/>
        <w:autoSpaceDN w:val="0"/>
        <w:adjustRightInd w:val="0"/>
        <w:spacing w:line="360" w:lineRule="auto"/>
        <w:jc w:val="both"/>
        <w:rPr>
          <w:rFonts w:ascii="Arial" w:hAnsi="Arial" w:cs="Arial"/>
          <w:color w:val="212529"/>
          <w:sz w:val="22"/>
        </w:rPr>
      </w:pPr>
      <w:r w:rsidRPr="00BD72CC">
        <w:rPr>
          <w:rFonts w:ascii="Arial" w:hAnsi="Arial" w:cs="Arial"/>
          <w:color w:val="212529"/>
          <w:sz w:val="22"/>
        </w:rPr>
        <w:t xml:space="preserve">(iii) </w:t>
      </w:r>
      <w:proofErr w:type="gramStart"/>
      <w:r w:rsidRPr="00BD72CC">
        <w:rPr>
          <w:rFonts w:ascii="Arial" w:hAnsi="Arial" w:cs="Arial"/>
          <w:color w:val="212529"/>
          <w:sz w:val="22"/>
        </w:rPr>
        <w:t>the</w:t>
      </w:r>
      <w:proofErr w:type="gramEnd"/>
      <w:r w:rsidRPr="00BD72CC">
        <w:rPr>
          <w:rFonts w:ascii="Arial" w:hAnsi="Arial" w:cs="Arial"/>
          <w:color w:val="212529"/>
          <w:sz w:val="22"/>
        </w:rPr>
        <w:t xml:space="preserve"> general rules for the interpretation of Schedule</w:t>
      </w:r>
      <w:r w:rsidR="00585DD4" w:rsidRPr="00BD72CC">
        <w:rPr>
          <w:rFonts w:ascii="Arial" w:hAnsi="Arial" w:cs="Arial"/>
          <w:color w:val="212529"/>
          <w:sz w:val="22"/>
        </w:rPr>
        <w:t xml:space="preserve"> No.</w:t>
      </w:r>
      <w:r w:rsidRPr="00BD72CC">
        <w:rPr>
          <w:rFonts w:ascii="Arial" w:hAnsi="Arial" w:cs="Arial"/>
          <w:color w:val="212529"/>
          <w:sz w:val="22"/>
        </w:rPr>
        <w:t xml:space="preserve"> 1; and</w:t>
      </w:r>
    </w:p>
    <w:p w14:paraId="1E0ABC42" w14:textId="08551653" w:rsidR="00E50862" w:rsidRPr="00BD72CC" w:rsidRDefault="00E50862" w:rsidP="00E50862">
      <w:pPr>
        <w:widowControl w:val="0"/>
        <w:autoSpaceDE w:val="0"/>
        <w:autoSpaceDN w:val="0"/>
        <w:adjustRightInd w:val="0"/>
        <w:spacing w:line="360" w:lineRule="auto"/>
        <w:jc w:val="both"/>
        <w:rPr>
          <w:rFonts w:ascii="Arial" w:hAnsi="Arial" w:cs="Arial"/>
          <w:color w:val="212529"/>
          <w:sz w:val="22"/>
        </w:rPr>
      </w:pPr>
      <w:r w:rsidRPr="00BD72CC">
        <w:rPr>
          <w:rFonts w:ascii="Arial" w:hAnsi="Arial" w:cs="Arial"/>
          <w:color w:val="212529"/>
          <w:sz w:val="22"/>
        </w:rPr>
        <w:t xml:space="preserve">(iv) </w:t>
      </w:r>
      <w:proofErr w:type="gramStart"/>
      <w:r w:rsidRPr="00BD72CC">
        <w:rPr>
          <w:rFonts w:ascii="Arial" w:hAnsi="Arial" w:cs="Arial"/>
          <w:color w:val="212529"/>
          <w:sz w:val="22"/>
        </w:rPr>
        <w:t>every</w:t>
      </w:r>
      <w:proofErr w:type="gramEnd"/>
      <w:r w:rsidRPr="00BD72CC">
        <w:rPr>
          <w:rFonts w:ascii="Arial" w:hAnsi="Arial" w:cs="Arial"/>
          <w:color w:val="212529"/>
          <w:sz w:val="22"/>
        </w:rPr>
        <w:t xml:space="preserve"> section note and chapter note in Part 1 of Schedule</w:t>
      </w:r>
      <w:r w:rsidR="00C85850" w:rsidRPr="00BD72CC">
        <w:rPr>
          <w:rFonts w:ascii="Arial" w:hAnsi="Arial" w:cs="Arial"/>
          <w:color w:val="212529"/>
          <w:sz w:val="22"/>
        </w:rPr>
        <w:t xml:space="preserve"> No.</w:t>
      </w:r>
      <w:r w:rsidRPr="00BD72CC">
        <w:rPr>
          <w:rFonts w:ascii="Arial" w:hAnsi="Arial" w:cs="Arial"/>
          <w:color w:val="212529"/>
          <w:sz w:val="22"/>
        </w:rPr>
        <w:t xml:space="preserve"> 1,</w:t>
      </w:r>
    </w:p>
    <w:p w14:paraId="02C46EF8" w14:textId="30573195" w:rsidR="00E50862" w:rsidRPr="00BD72CC" w:rsidRDefault="00E50862" w:rsidP="00E50862">
      <w:pPr>
        <w:widowControl w:val="0"/>
        <w:autoSpaceDE w:val="0"/>
        <w:autoSpaceDN w:val="0"/>
        <w:adjustRightInd w:val="0"/>
        <w:spacing w:line="360" w:lineRule="auto"/>
        <w:jc w:val="both"/>
        <w:rPr>
          <w:rFonts w:ascii="Arial" w:hAnsi="Arial" w:cs="Arial"/>
          <w:color w:val="212529"/>
          <w:sz w:val="22"/>
        </w:rPr>
      </w:pPr>
      <w:r w:rsidRPr="00BD72CC">
        <w:rPr>
          <w:rFonts w:ascii="Arial" w:hAnsi="Arial" w:cs="Arial"/>
          <w:color w:val="212529"/>
          <w:sz w:val="22"/>
        </w:rPr>
        <w:t>shall be subject to the International Convention on the Harmonized Commodity Description and Coding System done in Brussels on 14 June 1983 and to the Explanatory Notes to the Harmonised System issued by the Customs Co-operation Council, Brussels (now known as the World Customs Organisation) from time to time: Provided that where the application of any part of such Notes or any addendum thereto or any explanation thereof is optional the application of such part, addendum or explanation shall be in the discretion of the Commissioner.'</w:t>
      </w:r>
    </w:p>
    <w:p w14:paraId="49F3FDAA" w14:textId="4FDAAB56" w:rsidR="00E50862" w:rsidRPr="00BD72CC" w:rsidRDefault="00F635BF" w:rsidP="00E50862">
      <w:pPr>
        <w:widowControl w:val="0"/>
        <w:autoSpaceDE w:val="0"/>
        <w:autoSpaceDN w:val="0"/>
        <w:adjustRightInd w:val="0"/>
        <w:spacing w:line="360" w:lineRule="auto"/>
        <w:jc w:val="both"/>
        <w:rPr>
          <w:rFonts w:ascii="Arial" w:hAnsi="Arial" w:cs="Arial"/>
          <w:color w:val="212529"/>
        </w:rPr>
      </w:pPr>
      <w:r w:rsidRPr="00BD72CC">
        <w:rPr>
          <w:rFonts w:ascii="Arial" w:hAnsi="Arial" w:cs="Arial"/>
          <w:color w:val="212529"/>
        </w:rPr>
        <w:t>The effect of this, we observe, is that in determining the fate of this appeal, we must have regard not only to the provisions of the Act and the relevant Schedule thereto but also to the tariff headings or tariff sub-headings and Explanatory Notes.</w:t>
      </w:r>
    </w:p>
    <w:p w14:paraId="12EBEEF7" w14:textId="77777777" w:rsidR="00F635BF" w:rsidRPr="00BD72CC" w:rsidRDefault="00F635BF" w:rsidP="00E50862">
      <w:pPr>
        <w:widowControl w:val="0"/>
        <w:autoSpaceDE w:val="0"/>
        <w:autoSpaceDN w:val="0"/>
        <w:adjustRightInd w:val="0"/>
        <w:spacing w:line="360" w:lineRule="auto"/>
        <w:jc w:val="both"/>
        <w:rPr>
          <w:rFonts w:ascii="Arial" w:hAnsi="Arial" w:cs="Arial"/>
          <w:color w:val="212529"/>
        </w:rPr>
      </w:pPr>
    </w:p>
    <w:p w14:paraId="0EA1EBEB" w14:textId="5E0EC872" w:rsidR="00976CEB" w:rsidRPr="00BD72CC" w:rsidRDefault="00E0156E" w:rsidP="003F753D">
      <w:pPr>
        <w:widowControl w:val="0"/>
        <w:autoSpaceDE w:val="0"/>
        <w:autoSpaceDN w:val="0"/>
        <w:adjustRightInd w:val="0"/>
        <w:spacing w:line="360" w:lineRule="auto"/>
        <w:jc w:val="both"/>
        <w:rPr>
          <w:rFonts w:ascii="Arial" w:hAnsi="Arial" w:cs="Arial"/>
          <w:color w:val="212529"/>
        </w:rPr>
      </w:pPr>
      <w:r w:rsidRPr="00BD72CC">
        <w:rPr>
          <w:rFonts w:ascii="Arial" w:hAnsi="Arial" w:cs="Arial"/>
          <w:color w:val="212529"/>
        </w:rPr>
        <w:t>[</w:t>
      </w:r>
      <w:r w:rsidR="00027793" w:rsidRPr="00BD72CC">
        <w:rPr>
          <w:rFonts w:ascii="Arial" w:hAnsi="Arial" w:cs="Arial"/>
          <w:color w:val="212529"/>
        </w:rPr>
        <w:t>29</w:t>
      </w:r>
      <w:r w:rsidRPr="00BD72CC">
        <w:rPr>
          <w:rFonts w:ascii="Arial" w:hAnsi="Arial" w:cs="Arial"/>
          <w:color w:val="212529"/>
        </w:rPr>
        <w:t>]</w:t>
      </w:r>
      <w:r w:rsidRPr="00BD72CC">
        <w:rPr>
          <w:rFonts w:ascii="Arial" w:hAnsi="Arial" w:cs="Arial"/>
          <w:color w:val="212529"/>
        </w:rPr>
        <w:tab/>
        <w:t>As to the invocation of the relevant heading</w:t>
      </w:r>
      <w:r w:rsidR="00BD5952" w:rsidRPr="00BD72CC">
        <w:rPr>
          <w:rFonts w:ascii="Arial" w:hAnsi="Arial" w:cs="Arial"/>
          <w:color w:val="212529"/>
        </w:rPr>
        <w:t>,</w:t>
      </w:r>
      <w:r w:rsidRPr="00BD72CC">
        <w:rPr>
          <w:rFonts w:ascii="Arial" w:hAnsi="Arial" w:cs="Arial"/>
          <w:color w:val="212529"/>
        </w:rPr>
        <w:t xml:space="preserve"> </w:t>
      </w:r>
      <w:r w:rsidR="00BD5952" w:rsidRPr="00BD72CC">
        <w:rPr>
          <w:rFonts w:ascii="Arial" w:hAnsi="Arial" w:cs="Arial"/>
          <w:color w:val="212529"/>
        </w:rPr>
        <w:t xml:space="preserve">read with relative sections and chapter notes </w:t>
      </w:r>
      <w:r w:rsidRPr="00BD72CC">
        <w:rPr>
          <w:rFonts w:ascii="Arial" w:hAnsi="Arial" w:cs="Arial"/>
          <w:color w:val="212529"/>
        </w:rPr>
        <w:t xml:space="preserve">and section and chapter notes when classifying particular goods, Trollip JA cautioned in </w:t>
      </w:r>
      <w:r w:rsidRPr="00BD72CC">
        <w:rPr>
          <w:rFonts w:ascii="Arial" w:hAnsi="Arial" w:cs="Arial"/>
          <w:i/>
          <w:color w:val="212529"/>
        </w:rPr>
        <w:t>Secretary for Customs and Excise v Thomas Barlow &amp; Sons Ltd</w:t>
      </w:r>
      <w:r w:rsidRPr="00BD72CC">
        <w:rPr>
          <w:rStyle w:val="FootnoteReference"/>
          <w:rFonts w:ascii="Arial" w:hAnsi="Arial" w:cs="Arial"/>
          <w:color w:val="212529"/>
        </w:rPr>
        <w:footnoteReference w:id="23"/>
      </w:r>
      <w:r w:rsidRPr="00BD72CC">
        <w:rPr>
          <w:rFonts w:ascii="Arial" w:hAnsi="Arial" w:cs="Arial"/>
          <w:i/>
          <w:color w:val="212529"/>
        </w:rPr>
        <w:t xml:space="preserve"> </w:t>
      </w:r>
      <w:r w:rsidRPr="00BD72CC">
        <w:rPr>
          <w:rFonts w:ascii="Arial" w:hAnsi="Arial" w:cs="Arial"/>
          <w:color w:val="212529"/>
        </w:rPr>
        <w:t>that 'one must bear in mind that they are merely intended to explain or perhaps supplement those headings and notes and not to override or contradict them. They are manifestly not designed for the latter purpose, for they are not worded with the linguistic precision usually characteristic of statutory precepts; on the contrary they consist mainly of discursive comment and illustrations.'</w:t>
      </w:r>
    </w:p>
    <w:p w14:paraId="7BCEAA4D" w14:textId="77777777" w:rsidR="00E0156E" w:rsidRPr="00BD72CC" w:rsidRDefault="00E0156E" w:rsidP="003F753D">
      <w:pPr>
        <w:widowControl w:val="0"/>
        <w:autoSpaceDE w:val="0"/>
        <w:autoSpaceDN w:val="0"/>
        <w:adjustRightInd w:val="0"/>
        <w:spacing w:line="360" w:lineRule="auto"/>
        <w:jc w:val="both"/>
        <w:rPr>
          <w:rFonts w:ascii="Arial" w:hAnsi="Arial" w:cs="Arial"/>
          <w:color w:val="212529"/>
        </w:rPr>
      </w:pPr>
    </w:p>
    <w:p w14:paraId="38933832" w14:textId="194BE36A" w:rsidR="00BE6B93" w:rsidRPr="00BD72CC" w:rsidRDefault="00E0156E" w:rsidP="003F753D">
      <w:pPr>
        <w:widowControl w:val="0"/>
        <w:autoSpaceDE w:val="0"/>
        <w:autoSpaceDN w:val="0"/>
        <w:adjustRightInd w:val="0"/>
        <w:spacing w:line="360" w:lineRule="auto"/>
        <w:jc w:val="both"/>
        <w:rPr>
          <w:rFonts w:ascii="Arial" w:hAnsi="Arial" w:cs="Arial"/>
          <w:color w:val="212529"/>
          <w:sz w:val="22"/>
        </w:rPr>
      </w:pPr>
      <w:r w:rsidRPr="00BD72CC">
        <w:rPr>
          <w:rFonts w:ascii="Arial" w:hAnsi="Arial" w:cs="Arial"/>
          <w:color w:val="212529"/>
        </w:rPr>
        <w:t>[</w:t>
      </w:r>
      <w:r w:rsidR="00027793" w:rsidRPr="00BD72CC">
        <w:rPr>
          <w:rFonts w:ascii="Arial" w:hAnsi="Arial" w:cs="Arial"/>
          <w:color w:val="212529"/>
        </w:rPr>
        <w:t>30</w:t>
      </w:r>
      <w:r w:rsidRPr="00BD72CC">
        <w:rPr>
          <w:rFonts w:ascii="Arial" w:hAnsi="Arial" w:cs="Arial"/>
          <w:color w:val="212529"/>
        </w:rPr>
        <w:t>]</w:t>
      </w:r>
      <w:r w:rsidRPr="00BD72CC">
        <w:rPr>
          <w:rFonts w:ascii="Arial" w:hAnsi="Arial" w:cs="Arial"/>
          <w:color w:val="212529"/>
        </w:rPr>
        <w:tab/>
      </w:r>
      <w:r w:rsidR="00BE6B93" w:rsidRPr="00BD72CC">
        <w:rPr>
          <w:rFonts w:ascii="Arial" w:hAnsi="Arial" w:cs="Arial"/>
          <w:color w:val="212529"/>
        </w:rPr>
        <w:t xml:space="preserve">What this Court said in </w:t>
      </w:r>
      <w:r w:rsidR="00BE6B93" w:rsidRPr="00BD72CC">
        <w:rPr>
          <w:rFonts w:ascii="Arial" w:hAnsi="Arial" w:cs="Arial"/>
          <w:i/>
          <w:color w:val="212529"/>
        </w:rPr>
        <w:t>Commissioner for the South African Revenue Service v Toneleria Nacional RSA (Pty) Ltd</w:t>
      </w:r>
      <w:r w:rsidR="00BE6B93" w:rsidRPr="00BD72CC">
        <w:rPr>
          <w:rStyle w:val="FootnoteReference"/>
          <w:rFonts w:ascii="Arial" w:hAnsi="Arial" w:cs="Arial"/>
          <w:color w:val="212529"/>
        </w:rPr>
        <w:footnoteReference w:id="24"/>
      </w:r>
      <w:r w:rsidR="00C85850" w:rsidRPr="00BD72CC">
        <w:rPr>
          <w:rFonts w:ascii="Arial" w:hAnsi="Arial" w:cs="Arial"/>
          <w:color w:val="212529"/>
        </w:rPr>
        <w:t xml:space="preserve"> </w:t>
      </w:r>
      <w:r w:rsidR="00BE6B93" w:rsidRPr="00BD72CC">
        <w:rPr>
          <w:rFonts w:ascii="Arial" w:hAnsi="Arial" w:cs="Arial"/>
          <w:color w:val="212529"/>
        </w:rPr>
        <w:t>in relation to the 'Harmoni</w:t>
      </w:r>
      <w:r w:rsidR="00604DEB" w:rsidRPr="00BD72CC">
        <w:rPr>
          <w:rFonts w:ascii="Arial" w:hAnsi="Arial" w:cs="Arial"/>
          <w:color w:val="212529"/>
        </w:rPr>
        <w:t>s</w:t>
      </w:r>
      <w:r w:rsidR="00BE6B93" w:rsidRPr="00BD72CC">
        <w:rPr>
          <w:rFonts w:ascii="Arial" w:hAnsi="Arial" w:cs="Arial"/>
          <w:color w:val="212529"/>
        </w:rPr>
        <w:t>ed System' bears repeating. The Court said</w:t>
      </w:r>
      <w:r w:rsidR="00C85850" w:rsidRPr="00BD72CC">
        <w:rPr>
          <w:rFonts w:ascii="Arial" w:hAnsi="Arial" w:cs="Arial"/>
          <w:color w:val="212529"/>
        </w:rPr>
        <w:t xml:space="preserve"> that </w:t>
      </w:r>
      <w:r w:rsidR="00BE6B93" w:rsidRPr="00BD72CC">
        <w:rPr>
          <w:rFonts w:ascii="Arial" w:hAnsi="Arial" w:cs="Arial"/>
          <w:color w:val="212529"/>
        </w:rPr>
        <w:t>'</w:t>
      </w:r>
      <w:r w:rsidR="00C85850" w:rsidRPr="00BD72CC">
        <w:rPr>
          <w:rFonts w:ascii="Arial" w:hAnsi="Arial" w:cs="Arial"/>
          <w:color w:val="212529"/>
        </w:rPr>
        <w:t>[</w:t>
      </w:r>
      <w:r w:rsidR="00BE6B93" w:rsidRPr="00BD72CC">
        <w:rPr>
          <w:rFonts w:ascii="Arial" w:hAnsi="Arial" w:cs="Arial"/>
          <w:color w:val="212529"/>
        </w:rPr>
        <w:t>...t</w:t>
      </w:r>
      <w:proofErr w:type="gramStart"/>
      <w:r w:rsidR="00C85850" w:rsidRPr="00BD72CC">
        <w:rPr>
          <w:rFonts w:ascii="Arial" w:hAnsi="Arial" w:cs="Arial"/>
          <w:color w:val="212529"/>
        </w:rPr>
        <w:t>]</w:t>
      </w:r>
      <w:r w:rsidR="00BE6B93" w:rsidRPr="00BD72CC">
        <w:rPr>
          <w:rFonts w:ascii="Arial" w:hAnsi="Arial" w:cs="Arial"/>
          <w:color w:val="212529"/>
        </w:rPr>
        <w:t>he</w:t>
      </w:r>
      <w:proofErr w:type="gramEnd"/>
      <w:r w:rsidR="00BE6B93" w:rsidRPr="00BD72CC">
        <w:rPr>
          <w:rFonts w:ascii="Arial" w:hAnsi="Arial" w:cs="Arial"/>
          <w:color w:val="212529"/>
        </w:rPr>
        <w:t xml:space="preserve"> Harmoni</w:t>
      </w:r>
      <w:r w:rsidR="00604DEB" w:rsidRPr="00BD72CC">
        <w:rPr>
          <w:rFonts w:ascii="Arial" w:hAnsi="Arial" w:cs="Arial"/>
          <w:color w:val="212529"/>
        </w:rPr>
        <w:t>s</w:t>
      </w:r>
      <w:r w:rsidR="00BE6B93" w:rsidRPr="00BD72CC">
        <w:rPr>
          <w:rFonts w:ascii="Arial" w:hAnsi="Arial" w:cs="Arial"/>
          <w:color w:val="212529"/>
        </w:rPr>
        <w:t xml:space="preserve">ed System is </w:t>
      </w:r>
      <w:r w:rsidR="00C85850" w:rsidRPr="00BD72CC">
        <w:rPr>
          <w:rFonts w:ascii="Arial" w:hAnsi="Arial" w:cs="Arial"/>
          <w:color w:val="212529"/>
        </w:rPr>
        <w:t>the</w:t>
      </w:r>
      <w:r w:rsidR="00BE6B93" w:rsidRPr="00BD72CC">
        <w:rPr>
          <w:rFonts w:ascii="Arial" w:hAnsi="Arial" w:cs="Arial"/>
          <w:color w:val="212529"/>
        </w:rPr>
        <w:t xml:space="preserve"> product of international agreement</w:t>
      </w:r>
      <w:r w:rsidR="00C85850" w:rsidRPr="00BD72CC">
        <w:rPr>
          <w:rFonts w:ascii="Arial" w:hAnsi="Arial" w:cs="Arial"/>
          <w:color w:val="212529"/>
        </w:rPr>
        <w:t>s</w:t>
      </w:r>
      <w:r w:rsidR="00BE6B93" w:rsidRPr="00BD72CC">
        <w:rPr>
          <w:rFonts w:ascii="Arial" w:hAnsi="Arial" w:cs="Arial"/>
          <w:color w:val="212529"/>
        </w:rPr>
        <w:t xml:space="preserve"> </w:t>
      </w:r>
      <w:r w:rsidR="00C85850" w:rsidRPr="00BD72CC">
        <w:rPr>
          <w:rFonts w:ascii="Arial" w:hAnsi="Arial" w:cs="Arial"/>
          <w:color w:val="212529"/>
        </w:rPr>
        <w:t>between states, and</w:t>
      </w:r>
      <w:r w:rsidR="00BE6B93" w:rsidRPr="00BD72CC">
        <w:rPr>
          <w:rFonts w:ascii="Arial" w:hAnsi="Arial" w:cs="Arial"/>
          <w:color w:val="212529"/>
        </w:rPr>
        <w:t xml:space="preserve"> like any international agreement</w:t>
      </w:r>
      <w:r w:rsidR="00C85850" w:rsidRPr="00BD72CC">
        <w:rPr>
          <w:rFonts w:ascii="Arial" w:hAnsi="Arial" w:cs="Arial"/>
          <w:color w:val="212529"/>
        </w:rPr>
        <w:t xml:space="preserve"> it</w:t>
      </w:r>
      <w:r w:rsidR="00BE6B93" w:rsidRPr="00BD72CC">
        <w:rPr>
          <w:rFonts w:ascii="Arial" w:hAnsi="Arial" w:cs="Arial"/>
          <w:color w:val="212529"/>
        </w:rPr>
        <w:t xml:space="preserve"> should as far as possible be interpreted uniformly by national courts.'</w:t>
      </w:r>
      <w:r w:rsidR="00BE6B93" w:rsidRPr="00BD72CC">
        <w:rPr>
          <w:rStyle w:val="FootnoteReference"/>
          <w:rFonts w:ascii="Arial" w:hAnsi="Arial" w:cs="Arial"/>
          <w:color w:val="212529"/>
        </w:rPr>
        <w:footnoteReference w:id="25"/>
      </w:r>
    </w:p>
    <w:p w14:paraId="74E4450C" w14:textId="77777777" w:rsidR="00976CEB" w:rsidRPr="00BD72CC" w:rsidRDefault="00976CEB" w:rsidP="003F753D">
      <w:pPr>
        <w:widowControl w:val="0"/>
        <w:autoSpaceDE w:val="0"/>
        <w:autoSpaceDN w:val="0"/>
        <w:adjustRightInd w:val="0"/>
        <w:spacing w:line="360" w:lineRule="auto"/>
        <w:jc w:val="both"/>
        <w:rPr>
          <w:rFonts w:ascii="Arial" w:hAnsi="Arial" w:cs="Arial"/>
          <w:color w:val="212529"/>
        </w:rPr>
      </w:pPr>
    </w:p>
    <w:p w14:paraId="6DE564F7" w14:textId="50A63219" w:rsidR="00BE6B93" w:rsidRPr="00BD72CC" w:rsidRDefault="00BE6B93" w:rsidP="003F753D">
      <w:pPr>
        <w:widowControl w:val="0"/>
        <w:autoSpaceDE w:val="0"/>
        <w:autoSpaceDN w:val="0"/>
        <w:adjustRightInd w:val="0"/>
        <w:spacing w:line="360" w:lineRule="auto"/>
        <w:jc w:val="both"/>
        <w:rPr>
          <w:rFonts w:ascii="Arial" w:hAnsi="Arial" w:cs="Arial"/>
          <w:color w:val="212529"/>
        </w:rPr>
      </w:pPr>
      <w:r w:rsidRPr="00BD72CC">
        <w:rPr>
          <w:rFonts w:ascii="Arial" w:hAnsi="Arial" w:cs="Arial"/>
          <w:color w:val="212529"/>
        </w:rPr>
        <w:t>[</w:t>
      </w:r>
      <w:r w:rsidR="00027793" w:rsidRPr="00BD72CC">
        <w:rPr>
          <w:rFonts w:ascii="Arial" w:hAnsi="Arial" w:cs="Arial"/>
          <w:color w:val="212529"/>
        </w:rPr>
        <w:t>31</w:t>
      </w:r>
      <w:r w:rsidRPr="00BD72CC">
        <w:rPr>
          <w:rFonts w:ascii="Arial" w:hAnsi="Arial" w:cs="Arial"/>
          <w:color w:val="212529"/>
        </w:rPr>
        <w:t>]</w:t>
      </w:r>
      <w:r w:rsidRPr="00BD72CC">
        <w:rPr>
          <w:rFonts w:ascii="Arial" w:hAnsi="Arial" w:cs="Arial"/>
          <w:color w:val="212529"/>
        </w:rPr>
        <w:tab/>
        <w:t xml:space="preserve">Counsel for the appellants sought to circumvent the unequivocal statement in </w:t>
      </w:r>
      <w:r w:rsidRPr="00BD72CC">
        <w:rPr>
          <w:rFonts w:ascii="Arial" w:hAnsi="Arial" w:cs="Arial"/>
          <w:i/>
          <w:color w:val="212529"/>
        </w:rPr>
        <w:t>Toneleria</w:t>
      </w:r>
      <w:r w:rsidRPr="00BD72CC">
        <w:rPr>
          <w:rFonts w:ascii="Arial" w:hAnsi="Arial" w:cs="Arial"/>
          <w:color w:val="212529"/>
        </w:rPr>
        <w:t xml:space="preserve">, quoted in the preceding paragraph, and contended that </w:t>
      </w:r>
      <w:r w:rsidRPr="00BD72CC">
        <w:rPr>
          <w:rFonts w:ascii="Arial" w:hAnsi="Arial" w:cs="Arial"/>
          <w:i/>
          <w:color w:val="212529"/>
        </w:rPr>
        <w:t>International Business Machines</w:t>
      </w:r>
      <w:r w:rsidRPr="00BD72CC">
        <w:rPr>
          <w:rFonts w:ascii="Arial" w:hAnsi="Arial" w:cs="Arial"/>
          <w:color w:val="212529"/>
        </w:rPr>
        <w:t xml:space="preserve"> is still good law insofar as customs administration and international organisations are concerned and that the Harmoni</w:t>
      </w:r>
      <w:r w:rsidR="00604DEB" w:rsidRPr="00BD72CC">
        <w:rPr>
          <w:rFonts w:ascii="Arial" w:hAnsi="Arial" w:cs="Arial"/>
          <w:color w:val="212529"/>
        </w:rPr>
        <w:t>s</w:t>
      </w:r>
      <w:r w:rsidRPr="00BD72CC">
        <w:rPr>
          <w:rFonts w:ascii="Arial" w:hAnsi="Arial" w:cs="Arial"/>
          <w:color w:val="212529"/>
        </w:rPr>
        <w:t xml:space="preserve">ed System is not authoritative in a South African court until it is reflected in an explanatory note as the latter decision was not overruled by </w:t>
      </w:r>
      <w:r w:rsidRPr="00BD72CC">
        <w:rPr>
          <w:rFonts w:ascii="Arial" w:hAnsi="Arial" w:cs="Arial"/>
          <w:i/>
          <w:color w:val="212529"/>
        </w:rPr>
        <w:t>Toneleria</w:t>
      </w:r>
      <w:r w:rsidRPr="00BD72CC">
        <w:rPr>
          <w:rFonts w:ascii="Arial" w:hAnsi="Arial" w:cs="Arial"/>
          <w:color w:val="212529"/>
        </w:rPr>
        <w:t xml:space="preserve">. That may well be so, </w:t>
      </w:r>
      <w:r w:rsidR="000E02F3" w:rsidRPr="00BD72CC">
        <w:rPr>
          <w:rFonts w:ascii="Arial" w:hAnsi="Arial" w:cs="Arial"/>
          <w:color w:val="212529"/>
        </w:rPr>
        <w:t xml:space="preserve">but </w:t>
      </w:r>
      <w:r w:rsidR="00D36191" w:rsidRPr="00BD72CC">
        <w:rPr>
          <w:rFonts w:ascii="Arial" w:hAnsi="Arial" w:cs="Arial"/>
          <w:color w:val="212529"/>
        </w:rPr>
        <w:t>th</w:t>
      </w:r>
      <w:r w:rsidR="000E02F3" w:rsidRPr="00BD72CC">
        <w:rPr>
          <w:rFonts w:ascii="Arial" w:hAnsi="Arial" w:cs="Arial"/>
          <w:color w:val="212529"/>
        </w:rPr>
        <w:t xml:space="preserve">is </w:t>
      </w:r>
      <w:r w:rsidR="005838E9" w:rsidRPr="00BD72CC">
        <w:rPr>
          <w:rFonts w:ascii="Arial" w:hAnsi="Arial" w:cs="Arial"/>
          <w:color w:val="212529"/>
        </w:rPr>
        <w:t xml:space="preserve">is </w:t>
      </w:r>
      <w:r w:rsidRPr="00BD72CC">
        <w:rPr>
          <w:rFonts w:ascii="Arial" w:hAnsi="Arial" w:cs="Arial"/>
          <w:color w:val="212529"/>
        </w:rPr>
        <w:t xml:space="preserve">an issue we need not venture into for present purposes. </w:t>
      </w:r>
      <w:r w:rsidR="00B16CB7" w:rsidRPr="00BD72CC">
        <w:rPr>
          <w:rFonts w:ascii="Arial" w:hAnsi="Arial" w:cs="Arial"/>
          <w:color w:val="212529"/>
        </w:rPr>
        <w:t>However, what is beyond question is that South Africa is a signatory to the</w:t>
      </w:r>
      <w:r w:rsidR="00594AEA" w:rsidRPr="00BD72CC">
        <w:rPr>
          <w:rFonts w:ascii="Arial" w:hAnsi="Arial" w:cs="Arial"/>
          <w:color w:val="212529"/>
        </w:rPr>
        <w:t xml:space="preserve"> 1983 Brussels Convention and is</w:t>
      </w:r>
      <w:r w:rsidR="00B16CB7" w:rsidRPr="00BD72CC">
        <w:rPr>
          <w:rFonts w:ascii="Arial" w:hAnsi="Arial" w:cs="Arial"/>
          <w:color w:val="212529"/>
        </w:rPr>
        <w:t xml:space="preserve"> therefore bound by its terms. As the Harmoni</w:t>
      </w:r>
      <w:r w:rsidR="00604DEB" w:rsidRPr="00BD72CC">
        <w:rPr>
          <w:rFonts w:ascii="Arial" w:hAnsi="Arial" w:cs="Arial"/>
          <w:color w:val="212529"/>
        </w:rPr>
        <w:t>s</w:t>
      </w:r>
      <w:r w:rsidR="00B16CB7" w:rsidRPr="00BD72CC">
        <w:rPr>
          <w:rFonts w:ascii="Arial" w:hAnsi="Arial" w:cs="Arial"/>
          <w:color w:val="212529"/>
        </w:rPr>
        <w:t xml:space="preserve">ed System is a product of international agreements between states </w:t>
      </w:r>
      <w:r w:rsidR="00594AEA" w:rsidRPr="00BD72CC">
        <w:rPr>
          <w:rFonts w:ascii="Arial" w:hAnsi="Arial" w:cs="Arial"/>
          <w:color w:val="212529"/>
        </w:rPr>
        <w:t>that seek</w:t>
      </w:r>
      <w:r w:rsidR="00B16CB7" w:rsidRPr="00BD72CC">
        <w:rPr>
          <w:rFonts w:ascii="Arial" w:hAnsi="Arial" w:cs="Arial"/>
          <w:color w:val="212529"/>
        </w:rPr>
        <w:t xml:space="preserve"> to promote uniformity in international trade relative to customs duty, it is as well to remember that in interpreting the Act, sub-headings and explanatory notes, national courts are enjoined to prefer any reasonable interpretation of the legislation that is consistent with international law.</w:t>
      </w:r>
      <w:r w:rsidR="00B16CB7" w:rsidRPr="00BD72CC">
        <w:rPr>
          <w:rStyle w:val="FootnoteReference"/>
          <w:rFonts w:ascii="Arial" w:hAnsi="Arial" w:cs="Arial"/>
          <w:color w:val="212529"/>
        </w:rPr>
        <w:footnoteReference w:id="26"/>
      </w:r>
    </w:p>
    <w:p w14:paraId="08A167C3" w14:textId="77777777" w:rsidR="00D34093" w:rsidRPr="00BD72CC" w:rsidRDefault="00D34093" w:rsidP="00CB196F">
      <w:pPr>
        <w:spacing w:line="360" w:lineRule="auto"/>
        <w:jc w:val="both"/>
        <w:rPr>
          <w:rFonts w:ascii="Arial" w:hAnsi="Arial" w:cs="Arial"/>
        </w:rPr>
      </w:pPr>
    </w:p>
    <w:p w14:paraId="22E17BC7" w14:textId="335E8E52" w:rsidR="00D34093" w:rsidRPr="00BD72CC" w:rsidRDefault="00002278" w:rsidP="00CB196F">
      <w:pPr>
        <w:spacing w:line="360" w:lineRule="auto"/>
        <w:jc w:val="both"/>
        <w:rPr>
          <w:rFonts w:ascii="Arial" w:hAnsi="Arial" w:cs="Arial"/>
          <w:b/>
        </w:rPr>
      </w:pPr>
      <w:r w:rsidRPr="00BD72CC">
        <w:rPr>
          <w:rFonts w:ascii="Arial" w:hAnsi="Arial" w:cs="Arial"/>
          <w:b/>
        </w:rPr>
        <w:t>What is the essential character of a bicycle?</w:t>
      </w:r>
    </w:p>
    <w:p w14:paraId="03FD9C37" w14:textId="71E4DC87" w:rsidR="00002278" w:rsidRPr="00BD72CC" w:rsidRDefault="00002278" w:rsidP="00CB196F">
      <w:pPr>
        <w:spacing w:line="360" w:lineRule="auto"/>
        <w:jc w:val="both"/>
        <w:rPr>
          <w:rFonts w:ascii="Arial" w:hAnsi="Arial" w:cs="Arial"/>
        </w:rPr>
      </w:pPr>
      <w:r w:rsidRPr="00BD72CC">
        <w:rPr>
          <w:rFonts w:ascii="Arial" w:hAnsi="Arial" w:cs="Arial"/>
        </w:rPr>
        <w:t>[</w:t>
      </w:r>
      <w:r w:rsidR="00027793" w:rsidRPr="00BD72CC">
        <w:rPr>
          <w:rFonts w:ascii="Arial" w:hAnsi="Arial" w:cs="Arial"/>
        </w:rPr>
        <w:t>32</w:t>
      </w:r>
      <w:r w:rsidRPr="00BD72CC">
        <w:rPr>
          <w:rFonts w:ascii="Arial" w:hAnsi="Arial" w:cs="Arial"/>
        </w:rPr>
        <w:t>]</w:t>
      </w:r>
      <w:r w:rsidRPr="00BD72CC">
        <w:rPr>
          <w:rFonts w:ascii="Arial" w:hAnsi="Arial" w:cs="Arial"/>
        </w:rPr>
        <w:tab/>
      </w:r>
      <w:r w:rsidR="00FF17D8" w:rsidRPr="00BD72CC">
        <w:rPr>
          <w:rFonts w:ascii="Arial" w:hAnsi="Arial" w:cs="Arial"/>
        </w:rPr>
        <w:t xml:space="preserve">We now come to the contentions advanced on behalf of the appellants in relation to what is at the core of this appeal and the authorities relied upon in support of those contentions. By way of prelude, we pause to observe that the appellants submitted in their heads of argument that the essential character of a bicycle must be determined with reference to the meaning of the words employed in the tariff headings. And that such words must be given their ordinary meaning in the light of their context. In </w:t>
      </w:r>
      <w:proofErr w:type="spellStart"/>
      <w:r w:rsidR="00FF17D8" w:rsidRPr="00BD72CC">
        <w:rPr>
          <w:rFonts w:ascii="Arial" w:hAnsi="Arial" w:cs="Arial"/>
          <w:i/>
        </w:rPr>
        <w:t>Autoware</w:t>
      </w:r>
      <w:proofErr w:type="spellEnd"/>
      <w:r w:rsidR="00FF17D8" w:rsidRPr="00BD72CC">
        <w:rPr>
          <w:rFonts w:ascii="Arial" w:hAnsi="Arial" w:cs="Arial"/>
          <w:i/>
        </w:rPr>
        <w:t xml:space="preserve"> (Pty) Ltd v Secretary for Customs and Excise</w:t>
      </w:r>
      <w:r w:rsidR="00FF17D8" w:rsidRPr="00BD72CC">
        <w:rPr>
          <w:rStyle w:val="FootnoteReference"/>
          <w:rFonts w:ascii="Arial" w:hAnsi="Arial" w:cs="Arial"/>
        </w:rPr>
        <w:footnoteReference w:id="27"/>
      </w:r>
      <w:r w:rsidR="00FF17D8" w:rsidRPr="00BD72CC">
        <w:rPr>
          <w:rFonts w:ascii="Arial" w:hAnsi="Arial" w:cs="Arial"/>
          <w:i/>
        </w:rPr>
        <w:t xml:space="preserve"> </w:t>
      </w:r>
      <w:r w:rsidR="00FF17D8" w:rsidRPr="00BD72CC">
        <w:rPr>
          <w:rFonts w:ascii="Arial" w:hAnsi="Arial" w:cs="Arial"/>
        </w:rPr>
        <w:t>Colman J had occasion to consider, for purposes of customs duty, whether a certain type of vehicle was a panel van or an incomplete station wagon. The learned Judge found that the relative simplicity and lo</w:t>
      </w:r>
      <w:r w:rsidR="00262E1A" w:rsidRPr="00BD72CC">
        <w:rPr>
          <w:rFonts w:ascii="Arial" w:hAnsi="Arial" w:cs="Arial"/>
        </w:rPr>
        <w:t>w-</w:t>
      </w:r>
      <w:r w:rsidR="00FF17D8" w:rsidRPr="00BD72CC">
        <w:rPr>
          <w:rFonts w:ascii="Arial" w:hAnsi="Arial" w:cs="Arial"/>
        </w:rPr>
        <w:t>cost modification was not a decisive criterion, because the enquiry does not turn on what the product was going to be or what it will be adapted to be. Rather, the court must consider what the product was at the time of importation.</w:t>
      </w:r>
    </w:p>
    <w:p w14:paraId="483F6CDE" w14:textId="77777777" w:rsidR="00FF17D8" w:rsidRPr="00BD72CC" w:rsidRDefault="00FF17D8" w:rsidP="00CB196F">
      <w:pPr>
        <w:spacing w:line="360" w:lineRule="auto"/>
        <w:jc w:val="both"/>
        <w:rPr>
          <w:rFonts w:ascii="Arial" w:hAnsi="Arial" w:cs="Arial"/>
        </w:rPr>
      </w:pPr>
    </w:p>
    <w:p w14:paraId="74C7F479" w14:textId="6C802833" w:rsidR="00FF17D8" w:rsidRPr="00BD72CC" w:rsidRDefault="0070184A" w:rsidP="00CB196F">
      <w:pPr>
        <w:spacing w:line="360" w:lineRule="auto"/>
        <w:jc w:val="both"/>
        <w:rPr>
          <w:rFonts w:ascii="Arial" w:hAnsi="Arial" w:cs="Arial"/>
        </w:rPr>
      </w:pPr>
      <w:r w:rsidRPr="00BD72CC">
        <w:rPr>
          <w:rFonts w:ascii="Arial" w:hAnsi="Arial" w:cs="Arial"/>
        </w:rPr>
        <w:t>[</w:t>
      </w:r>
      <w:r w:rsidR="00027793" w:rsidRPr="00BD72CC">
        <w:rPr>
          <w:rFonts w:ascii="Arial" w:hAnsi="Arial" w:cs="Arial"/>
        </w:rPr>
        <w:t>33</w:t>
      </w:r>
      <w:r w:rsidRPr="00BD72CC">
        <w:rPr>
          <w:rFonts w:ascii="Arial" w:hAnsi="Arial" w:cs="Arial"/>
        </w:rPr>
        <w:t>]</w:t>
      </w:r>
      <w:r w:rsidRPr="00BD72CC">
        <w:rPr>
          <w:rFonts w:ascii="Arial" w:hAnsi="Arial" w:cs="Arial"/>
        </w:rPr>
        <w:tab/>
        <w:t xml:space="preserve">Colman J </w:t>
      </w:r>
      <w:r w:rsidR="00262E1A" w:rsidRPr="00BD72CC">
        <w:rPr>
          <w:rFonts w:ascii="Arial" w:hAnsi="Arial" w:cs="Arial"/>
        </w:rPr>
        <w:t>continued to say that the issue–</w:t>
      </w:r>
    </w:p>
    <w:p w14:paraId="4BCA0364" w14:textId="64D978F1" w:rsidR="0070184A" w:rsidRPr="00BD72CC" w:rsidRDefault="0070184A" w:rsidP="00CB196F">
      <w:pPr>
        <w:spacing w:line="360" w:lineRule="auto"/>
        <w:jc w:val="both"/>
        <w:rPr>
          <w:rFonts w:ascii="Arial" w:hAnsi="Arial" w:cs="Arial"/>
          <w:sz w:val="22"/>
        </w:rPr>
      </w:pPr>
      <w:r w:rsidRPr="00BD72CC">
        <w:rPr>
          <w:rFonts w:ascii="Arial" w:hAnsi="Arial" w:cs="Arial"/>
          <w:sz w:val="22"/>
        </w:rPr>
        <w:t>'.</w:t>
      </w:r>
      <w:r w:rsidR="00262E1A" w:rsidRPr="00BD72CC">
        <w:rPr>
          <w:rFonts w:ascii="Arial" w:hAnsi="Arial" w:cs="Arial"/>
          <w:sz w:val="22"/>
        </w:rPr>
        <w:t xml:space="preserve"> </w:t>
      </w:r>
      <w:r w:rsidRPr="00BD72CC">
        <w:rPr>
          <w:rFonts w:ascii="Arial" w:hAnsi="Arial" w:cs="Arial"/>
          <w:sz w:val="22"/>
        </w:rPr>
        <w:t>.</w:t>
      </w:r>
      <w:r w:rsidR="00262E1A" w:rsidRPr="00BD72CC">
        <w:rPr>
          <w:rFonts w:ascii="Arial" w:hAnsi="Arial" w:cs="Arial"/>
          <w:sz w:val="22"/>
        </w:rPr>
        <w:t xml:space="preserve"> </w:t>
      </w:r>
      <w:proofErr w:type="gramStart"/>
      <w:r w:rsidRPr="00BD72CC">
        <w:rPr>
          <w:rFonts w:ascii="Arial" w:hAnsi="Arial" w:cs="Arial"/>
          <w:sz w:val="22"/>
        </w:rPr>
        <w:t>.must</w:t>
      </w:r>
      <w:proofErr w:type="gramEnd"/>
      <w:r w:rsidRPr="00BD72CC">
        <w:rPr>
          <w:rFonts w:ascii="Arial" w:hAnsi="Arial" w:cs="Arial"/>
          <w:sz w:val="22"/>
        </w:rPr>
        <w:t xml:space="preserve"> be decided on the basis of the presence or absence, in the unmodified vehicle, of the essential features or components of a station wagon.</w:t>
      </w:r>
      <w:r w:rsidR="00262E1A" w:rsidRPr="00BD72CC">
        <w:rPr>
          <w:rFonts w:ascii="Arial" w:hAnsi="Arial" w:cs="Arial"/>
          <w:sz w:val="22"/>
        </w:rPr>
        <w:t xml:space="preserve"> . </w:t>
      </w:r>
      <w:r w:rsidRPr="00BD72CC">
        <w:rPr>
          <w:rFonts w:ascii="Arial" w:hAnsi="Arial" w:cs="Arial"/>
          <w:sz w:val="22"/>
        </w:rPr>
        <w:t xml:space="preserve">.What I mean by </w:t>
      </w:r>
      <w:r w:rsidR="00262E1A" w:rsidRPr="00BD72CC">
        <w:rPr>
          <w:rFonts w:ascii="Arial" w:hAnsi="Arial" w:cs="Arial"/>
          <w:sz w:val="22"/>
        </w:rPr>
        <w:t>an e</w:t>
      </w:r>
      <w:r w:rsidRPr="00BD72CC">
        <w:rPr>
          <w:rFonts w:ascii="Arial" w:hAnsi="Arial" w:cs="Arial"/>
          <w:sz w:val="22"/>
        </w:rPr>
        <w:t xml:space="preserve">ssential feature of a station wagon is not a feature which is important, for one reason or another, or even one which is </w:t>
      </w:r>
      <w:r w:rsidR="00262E1A" w:rsidRPr="00BD72CC">
        <w:rPr>
          <w:rFonts w:ascii="Arial" w:hAnsi="Arial" w:cs="Arial"/>
          <w:sz w:val="22"/>
        </w:rPr>
        <w:t>necessary</w:t>
      </w:r>
      <w:r w:rsidRPr="00BD72CC">
        <w:rPr>
          <w:rFonts w:ascii="Arial" w:hAnsi="Arial" w:cs="Arial"/>
          <w:sz w:val="22"/>
        </w:rPr>
        <w:t xml:space="preserve"> for the proper functioning of a station wagon. I mean a feature which is essential in that it embodies the essence of a station wagon, and differentiate such a vehicle from others which are not station wagons.'</w:t>
      </w:r>
      <w:r w:rsidRPr="00BD72CC">
        <w:rPr>
          <w:rStyle w:val="FootnoteReference"/>
          <w:rFonts w:ascii="Arial" w:hAnsi="Arial" w:cs="Arial"/>
          <w:sz w:val="22"/>
        </w:rPr>
        <w:footnoteReference w:id="28"/>
      </w:r>
    </w:p>
    <w:p w14:paraId="0FBC3ACF" w14:textId="77777777" w:rsidR="0083132B" w:rsidRPr="00BD72CC" w:rsidRDefault="0083132B" w:rsidP="00CB196F">
      <w:pPr>
        <w:spacing w:line="360" w:lineRule="auto"/>
        <w:jc w:val="both"/>
        <w:rPr>
          <w:rFonts w:ascii="Arial" w:hAnsi="Arial" w:cs="Arial"/>
        </w:rPr>
      </w:pPr>
    </w:p>
    <w:p w14:paraId="4328CA86" w14:textId="2633AA2F" w:rsidR="0083132B" w:rsidRPr="00BD72CC" w:rsidRDefault="0083132B" w:rsidP="00CB196F">
      <w:pPr>
        <w:spacing w:line="360" w:lineRule="auto"/>
        <w:jc w:val="both"/>
        <w:rPr>
          <w:rFonts w:ascii="Arial" w:hAnsi="Arial" w:cs="Arial"/>
        </w:rPr>
      </w:pPr>
      <w:r w:rsidRPr="00BD72CC">
        <w:rPr>
          <w:rFonts w:ascii="Arial" w:hAnsi="Arial" w:cs="Arial"/>
        </w:rPr>
        <w:t>[</w:t>
      </w:r>
      <w:r w:rsidR="00027793" w:rsidRPr="00BD72CC">
        <w:rPr>
          <w:rFonts w:ascii="Arial" w:hAnsi="Arial" w:cs="Arial"/>
        </w:rPr>
        <w:t>34</w:t>
      </w:r>
      <w:r w:rsidRPr="00BD72CC">
        <w:rPr>
          <w:rFonts w:ascii="Arial" w:hAnsi="Arial" w:cs="Arial"/>
        </w:rPr>
        <w:t>]</w:t>
      </w:r>
      <w:r w:rsidRPr="00BD72CC">
        <w:rPr>
          <w:rFonts w:ascii="Arial" w:hAnsi="Arial" w:cs="Arial"/>
        </w:rPr>
        <w:tab/>
        <w:t xml:space="preserve">Further, what this Court said in </w:t>
      </w:r>
      <w:r w:rsidRPr="00BD72CC">
        <w:rPr>
          <w:rFonts w:ascii="Arial" w:hAnsi="Arial" w:cs="Arial"/>
          <w:i/>
        </w:rPr>
        <w:t>Commissioner for the South African Revenue Service v L G Electronics</w:t>
      </w:r>
      <w:r w:rsidR="00262E1A" w:rsidRPr="00BD72CC">
        <w:rPr>
          <w:rFonts w:ascii="Arial" w:hAnsi="Arial" w:cs="Arial"/>
          <w:i/>
        </w:rPr>
        <w:t xml:space="preserve"> SA (Pty) Ltd</w:t>
      </w:r>
      <w:r w:rsidRPr="00BD72CC">
        <w:rPr>
          <w:rStyle w:val="FootnoteReference"/>
          <w:rFonts w:ascii="Arial" w:hAnsi="Arial" w:cs="Arial"/>
        </w:rPr>
        <w:footnoteReference w:id="29"/>
      </w:r>
      <w:r w:rsidRPr="00BD72CC">
        <w:rPr>
          <w:rFonts w:ascii="Arial" w:hAnsi="Arial" w:cs="Arial"/>
          <w:i/>
        </w:rPr>
        <w:t xml:space="preserve"> </w:t>
      </w:r>
      <w:r w:rsidR="003209B0" w:rsidRPr="00BD72CC">
        <w:rPr>
          <w:rFonts w:ascii="Arial" w:hAnsi="Arial" w:cs="Arial"/>
        </w:rPr>
        <w:t>is instructive. Citing the statement by Colman J referenced in the preceding paragraph, this Court said:</w:t>
      </w:r>
    </w:p>
    <w:p w14:paraId="674FD344" w14:textId="05C9D6C9" w:rsidR="003209B0" w:rsidRPr="00BD72CC" w:rsidRDefault="003209B0" w:rsidP="00CB196F">
      <w:pPr>
        <w:spacing w:line="360" w:lineRule="auto"/>
        <w:jc w:val="both"/>
        <w:rPr>
          <w:rFonts w:ascii="Arial" w:hAnsi="Arial" w:cs="Arial"/>
          <w:sz w:val="22"/>
        </w:rPr>
      </w:pPr>
      <w:r w:rsidRPr="00BD72CC">
        <w:rPr>
          <w:rFonts w:ascii="Arial" w:hAnsi="Arial" w:cs="Arial"/>
          <w:sz w:val="22"/>
        </w:rPr>
        <w:t>'While it is clear that each determination must be according to the salient facts attaching to the goods in question (and, in particular, its objective characteristics)</w:t>
      </w:r>
      <w:r w:rsidR="00262E1A" w:rsidRPr="00BD72CC">
        <w:rPr>
          <w:rFonts w:ascii="Arial" w:hAnsi="Arial" w:cs="Arial"/>
          <w:sz w:val="22"/>
        </w:rPr>
        <w:t>,</w:t>
      </w:r>
      <w:r w:rsidRPr="00BD72CC">
        <w:rPr>
          <w:rFonts w:ascii="Arial" w:hAnsi="Arial" w:cs="Arial"/>
          <w:sz w:val="22"/>
        </w:rPr>
        <w:t xml:space="preserve"> and while in one case an </w:t>
      </w:r>
      <w:r w:rsidRPr="00BD72CC">
        <w:rPr>
          <w:rFonts w:ascii="Arial" w:hAnsi="Arial" w:cs="Arial"/>
          <w:sz w:val="22"/>
        </w:rPr>
        <w:lastRenderedPageBreak/>
        <w:t>engine may properly be regarded as the essence of the goods, in another a frame or chassis may be sufficient to satisfy the test.'</w:t>
      </w:r>
      <w:r w:rsidRPr="00BD72CC">
        <w:rPr>
          <w:rStyle w:val="FootnoteReference"/>
          <w:rFonts w:ascii="Arial" w:hAnsi="Arial" w:cs="Arial"/>
          <w:sz w:val="22"/>
        </w:rPr>
        <w:footnoteReference w:id="30"/>
      </w:r>
    </w:p>
    <w:p w14:paraId="644EB05D" w14:textId="77777777" w:rsidR="003209B0" w:rsidRPr="00BD72CC" w:rsidRDefault="003209B0" w:rsidP="00CB196F">
      <w:pPr>
        <w:spacing w:line="360" w:lineRule="auto"/>
        <w:jc w:val="both"/>
        <w:rPr>
          <w:rFonts w:ascii="Arial" w:hAnsi="Arial" w:cs="Arial"/>
        </w:rPr>
      </w:pPr>
    </w:p>
    <w:p w14:paraId="39D0C876" w14:textId="5D8819DC" w:rsidR="003209B0" w:rsidRPr="00BD72CC" w:rsidRDefault="003209B0" w:rsidP="00CB196F">
      <w:pPr>
        <w:spacing w:line="360" w:lineRule="auto"/>
        <w:jc w:val="both"/>
        <w:rPr>
          <w:rFonts w:ascii="Arial" w:hAnsi="Arial" w:cs="Arial"/>
        </w:rPr>
      </w:pPr>
      <w:r w:rsidRPr="00BD72CC">
        <w:rPr>
          <w:rFonts w:ascii="Arial" w:hAnsi="Arial" w:cs="Arial"/>
        </w:rPr>
        <w:t>[</w:t>
      </w:r>
      <w:r w:rsidR="00027793" w:rsidRPr="00BD72CC">
        <w:rPr>
          <w:rFonts w:ascii="Arial" w:hAnsi="Arial" w:cs="Arial"/>
        </w:rPr>
        <w:t>35</w:t>
      </w:r>
      <w:r w:rsidRPr="00BD72CC">
        <w:rPr>
          <w:rFonts w:ascii="Arial" w:hAnsi="Arial" w:cs="Arial"/>
        </w:rPr>
        <w:t>]</w:t>
      </w:r>
      <w:r w:rsidRPr="00BD72CC">
        <w:rPr>
          <w:rFonts w:ascii="Arial" w:hAnsi="Arial" w:cs="Arial"/>
        </w:rPr>
        <w:tab/>
      </w:r>
      <w:r w:rsidR="00E922F0" w:rsidRPr="00BD72CC">
        <w:rPr>
          <w:rFonts w:ascii="Arial" w:hAnsi="Arial" w:cs="Arial"/>
        </w:rPr>
        <w:t>We interpose here to observe that some of the well-known English Dictionaries define a bicycle as a 'vehicle consisting of two wheels held by a frame one behind the other, propelled by pedals and steered with handlebars attached to the front wheel.'</w:t>
      </w:r>
      <w:r w:rsidR="00E922F0" w:rsidRPr="00BD72CC">
        <w:rPr>
          <w:rStyle w:val="FootnoteReference"/>
          <w:rFonts w:ascii="Arial" w:hAnsi="Arial" w:cs="Arial"/>
        </w:rPr>
        <w:footnoteReference w:id="31"/>
      </w:r>
    </w:p>
    <w:p w14:paraId="5F9227A3" w14:textId="77777777" w:rsidR="00E922F0" w:rsidRPr="00BD72CC" w:rsidRDefault="00E922F0" w:rsidP="00CB196F">
      <w:pPr>
        <w:spacing w:line="360" w:lineRule="auto"/>
        <w:jc w:val="both"/>
        <w:rPr>
          <w:rFonts w:ascii="Arial" w:hAnsi="Arial" w:cs="Arial"/>
        </w:rPr>
      </w:pPr>
    </w:p>
    <w:p w14:paraId="0507755B" w14:textId="53DCF2D0" w:rsidR="00E922F0" w:rsidRPr="00BD72CC" w:rsidRDefault="00E922F0" w:rsidP="00CB196F">
      <w:pPr>
        <w:spacing w:line="360" w:lineRule="auto"/>
        <w:jc w:val="both"/>
        <w:rPr>
          <w:rFonts w:ascii="Arial" w:hAnsi="Arial" w:cs="Arial"/>
        </w:rPr>
      </w:pPr>
      <w:r w:rsidRPr="00BD72CC">
        <w:rPr>
          <w:rFonts w:ascii="Arial" w:hAnsi="Arial" w:cs="Arial"/>
        </w:rPr>
        <w:t>[</w:t>
      </w:r>
      <w:r w:rsidR="00027793" w:rsidRPr="00BD72CC">
        <w:rPr>
          <w:rFonts w:ascii="Arial" w:hAnsi="Arial" w:cs="Arial"/>
        </w:rPr>
        <w:t>36</w:t>
      </w:r>
      <w:r w:rsidRPr="00BD72CC">
        <w:rPr>
          <w:rFonts w:ascii="Arial" w:hAnsi="Arial" w:cs="Arial"/>
        </w:rPr>
        <w:t>]</w:t>
      </w:r>
      <w:r w:rsidRPr="00BD72CC">
        <w:rPr>
          <w:rFonts w:ascii="Arial" w:hAnsi="Arial" w:cs="Arial"/>
        </w:rPr>
        <w:tab/>
        <w:t xml:space="preserve">Placing much store on definitions such as </w:t>
      </w:r>
      <w:r w:rsidR="00942B81" w:rsidRPr="00BD72CC">
        <w:rPr>
          <w:rFonts w:ascii="Arial" w:hAnsi="Arial" w:cs="Arial"/>
        </w:rPr>
        <w:t>the one mentioned in the preceding paragraph</w:t>
      </w:r>
      <w:r w:rsidRPr="00BD72CC">
        <w:rPr>
          <w:rFonts w:ascii="Arial" w:hAnsi="Arial" w:cs="Arial"/>
        </w:rPr>
        <w:t xml:space="preserve">, counsel for the appellants argued that wheels, in combination with a collection of some other parts, is what constitutes the essential character of a bicycle. In elaboration, counsel stressed that the essential character of a bicycle would be lacking where one or both wheels were absent. For this submission, counsel heavily relied mainly on the decision of the Australian Administrative Appeal Tribunal in </w:t>
      </w:r>
      <w:r w:rsidRPr="00BD72CC">
        <w:rPr>
          <w:rFonts w:ascii="Arial" w:hAnsi="Arial" w:cs="Arial"/>
          <w:i/>
        </w:rPr>
        <w:t>Toyworld Ltd and the Collector of Customers</w:t>
      </w:r>
      <w:r w:rsidR="00942B81" w:rsidRPr="00BD72CC">
        <w:rPr>
          <w:rFonts w:ascii="Arial" w:hAnsi="Arial" w:cs="Arial"/>
        </w:rPr>
        <w:t>.</w:t>
      </w:r>
      <w:r w:rsidRPr="00BD72CC">
        <w:rPr>
          <w:rStyle w:val="FootnoteReference"/>
          <w:rFonts w:ascii="Arial" w:hAnsi="Arial" w:cs="Arial"/>
        </w:rPr>
        <w:footnoteReference w:id="32"/>
      </w:r>
      <w:r w:rsidRPr="00BD72CC">
        <w:rPr>
          <w:rFonts w:ascii="Arial" w:hAnsi="Arial" w:cs="Arial"/>
          <w:i/>
        </w:rPr>
        <w:t xml:space="preserve"> </w:t>
      </w:r>
      <w:r w:rsidRPr="00BD72CC">
        <w:rPr>
          <w:rFonts w:ascii="Arial" w:hAnsi="Arial" w:cs="Arial"/>
        </w:rPr>
        <w:t xml:space="preserve">In </w:t>
      </w:r>
      <w:r w:rsidRPr="00BD72CC">
        <w:rPr>
          <w:rFonts w:ascii="Arial" w:hAnsi="Arial" w:cs="Arial"/>
          <w:i/>
        </w:rPr>
        <w:t>Toyworld</w:t>
      </w:r>
      <w:r w:rsidRPr="00BD72CC">
        <w:rPr>
          <w:rFonts w:ascii="Arial" w:hAnsi="Arial" w:cs="Arial"/>
        </w:rPr>
        <w:t xml:space="preserve"> the Appeals Tribunal endorsed the contention that if one or both wheels are lacking whatever else remains will not have the essential character of a bicycle. Counsel for the appellants buttressed his argument with reference to s 233</w:t>
      </w:r>
      <w:r w:rsidRPr="00BD72CC">
        <w:rPr>
          <w:rStyle w:val="FootnoteReference"/>
          <w:rFonts w:ascii="Arial" w:hAnsi="Arial" w:cs="Arial"/>
        </w:rPr>
        <w:footnoteReference w:id="33"/>
      </w:r>
      <w:r w:rsidR="00A651F1" w:rsidRPr="00BD72CC">
        <w:rPr>
          <w:rFonts w:ascii="Arial" w:hAnsi="Arial" w:cs="Arial"/>
        </w:rPr>
        <w:t xml:space="preserve"> of the Constitution that decrees that courts must prefer any reasonable interpretation of the legislation that is consistent with international law over any alternative interpretation that is inconsistent with international law.</w:t>
      </w:r>
    </w:p>
    <w:p w14:paraId="4DF88606" w14:textId="77777777" w:rsidR="00A651F1" w:rsidRPr="00BD72CC" w:rsidRDefault="00A651F1" w:rsidP="00CB196F">
      <w:pPr>
        <w:spacing w:line="360" w:lineRule="auto"/>
        <w:jc w:val="both"/>
        <w:rPr>
          <w:rFonts w:ascii="Arial" w:hAnsi="Arial" w:cs="Arial"/>
        </w:rPr>
      </w:pPr>
    </w:p>
    <w:p w14:paraId="2A363DFA" w14:textId="5E5BF193" w:rsidR="00A651F1" w:rsidRPr="00BD72CC" w:rsidRDefault="00A651F1" w:rsidP="00CB196F">
      <w:pPr>
        <w:spacing w:line="360" w:lineRule="auto"/>
        <w:jc w:val="both"/>
        <w:rPr>
          <w:rFonts w:ascii="Arial" w:hAnsi="Arial" w:cs="Arial"/>
        </w:rPr>
      </w:pPr>
      <w:r w:rsidRPr="00BD72CC">
        <w:rPr>
          <w:rFonts w:ascii="Arial" w:hAnsi="Arial" w:cs="Arial"/>
        </w:rPr>
        <w:t>[</w:t>
      </w:r>
      <w:r w:rsidR="00027793" w:rsidRPr="00BD72CC">
        <w:rPr>
          <w:rFonts w:ascii="Arial" w:hAnsi="Arial" w:cs="Arial"/>
        </w:rPr>
        <w:t>37</w:t>
      </w:r>
      <w:r w:rsidRPr="00BD72CC">
        <w:rPr>
          <w:rFonts w:ascii="Arial" w:hAnsi="Arial" w:cs="Arial"/>
        </w:rPr>
        <w:t>]</w:t>
      </w:r>
      <w:r w:rsidRPr="00BD72CC">
        <w:rPr>
          <w:rFonts w:ascii="Arial" w:hAnsi="Arial" w:cs="Arial"/>
        </w:rPr>
        <w:tab/>
      </w:r>
      <w:r w:rsidR="005508F7" w:rsidRPr="00BD72CC">
        <w:rPr>
          <w:rFonts w:ascii="Arial" w:hAnsi="Arial" w:cs="Arial"/>
        </w:rPr>
        <w:t xml:space="preserve">There are at least </w:t>
      </w:r>
      <w:r w:rsidR="008C7F86" w:rsidRPr="00BD72CC">
        <w:rPr>
          <w:rFonts w:ascii="Arial" w:hAnsi="Arial" w:cs="Arial"/>
        </w:rPr>
        <w:t xml:space="preserve">three </w:t>
      </w:r>
      <w:r w:rsidR="005508F7" w:rsidRPr="00BD72CC">
        <w:rPr>
          <w:rFonts w:ascii="Arial" w:hAnsi="Arial" w:cs="Arial"/>
        </w:rPr>
        <w:t>insurmountable difficulties in the appellants' path. In the first place it is as well to remember that in interpreting any legislation our courts are enjoined to do so consistently with the Constitution. In addition, the expression 'the essential character of</w:t>
      </w:r>
      <w:r w:rsidR="00D45096" w:rsidRPr="00BD72CC">
        <w:rPr>
          <w:rFonts w:ascii="Arial" w:hAnsi="Arial" w:cs="Arial"/>
        </w:rPr>
        <w:t xml:space="preserve"> a bicycle' under consideration</w:t>
      </w:r>
      <w:r w:rsidR="005508F7" w:rsidRPr="00BD72CC">
        <w:rPr>
          <w:rFonts w:ascii="Arial" w:hAnsi="Arial" w:cs="Arial"/>
        </w:rPr>
        <w:t xml:space="preserve"> in this case</w:t>
      </w:r>
      <w:r w:rsidR="00D45096" w:rsidRPr="00BD72CC">
        <w:rPr>
          <w:rFonts w:ascii="Arial" w:hAnsi="Arial" w:cs="Arial"/>
        </w:rPr>
        <w:t xml:space="preserve"> must be interpreted purposively</w:t>
      </w:r>
      <w:r w:rsidR="00D45096" w:rsidRPr="00BD72CC">
        <w:rPr>
          <w:rStyle w:val="FootnoteReference"/>
          <w:rFonts w:ascii="Arial" w:hAnsi="Arial" w:cs="Arial"/>
        </w:rPr>
        <w:footnoteReference w:id="34"/>
      </w:r>
      <w:r w:rsidR="00D45096" w:rsidRPr="00BD72CC">
        <w:rPr>
          <w:rFonts w:ascii="Arial" w:hAnsi="Arial" w:cs="Arial"/>
        </w:rPr>
        <w:t xml:space="preserve"> and must also be properly contextualised.</w:t>
      </w:r>
      <w:r w:rsidR="00D45096" w:rsidRPr="00BD72CC">
        <w:rPr>
          <w:rStyle w:val="FootnoteReference"/>
          <w:rFonts w:ascii="Arial" w:hAnsi="Arial" w:cs="Arial"/>
        </w:rPr>
        <w:footnoteReference w:id="35"/>
      </w:r>
      <w:r w:rsidR="00AD346D" w:rsidRPr="00BD72CC">
        <w:rPr>
          <w:rFonts w:ascii="Arial" w:hAnsi="Arial" w:cs="Arial"/>
        </w:rPr>
        <w:t xml:space="preserve"> The wording of the most </w:t>
      </w:r>
      <w:r w:rsidR="00AD346D" w:rsidRPr="00BD72CC">
        <w:rPr>
          <w:rFonts w:ascii="Arial" w:hAnsi="Arial" w:cs="Arial"/>
        </w:rPr>
        <w:lastRenderedPageBreak/>
        <w:t xml:space="preserve">appropriate heading, </w:t>
      </w:r>
      <w:r w:rsidR="00D43F04" w:rsidRPr="00BD72CC">
        <w:rPr>
          <w:rFonts w:ascii="Arial" w:hAnsi="Arial" w:cs="Arial"/>
        </w:rPr>
        <w:t>namely</w:t>
      </w:r>
      <w:r w:rsidR="00AD346D" w:rsidRPr="00BD72CC">
        <w:rPr>
          <w:rFonts w:ascii="Arial" w:hAnsi="Arial" w:cs="Arial"/>
        </w:rPr>
        <w:t xml:space="preserve"> 8712.00 and the explanatory notes to Chapter 87, which must be read in conjunction with sub-heading 8712.00.10, are clear and unambiguous. </w:t>
      </w:r>
      <w:r w:rsidR="00D43F04" w:rsidRPr="00BD72CC">
        <w:rPr>
          <w:rFonts w:ascii="Arial" w:hAnsi="Arial" w:cs="Arial"/>
        </w:rPr>
        <w:t>GIR 2(a</w:t>
      </w:r>
      <w:proofErr w:type="gramStart"/>
      <w:r w:rsidR="00D43F04" w:rsidRPr="00BD72CC">
        <w:rPr>
          <w:rFonts w:ascii="Arial" w:hAnsi="Arial" w:cs="Arial"/>
        </w:rPr>
        <w:t>)</w:t>
      </w:r>
      <w:r w:rsidR="00AD346D" w:rsidRPr="00BD72CC">
        <w:rPr>
          <w:rFonts w:ascii="Arial" w:hAnsi="Arial" w:cs="Arial"/>
        </w:rPr>
        <w:t>(</w:t>
      </w:r>
      <w:proofErr w:type="gramEnd"/>
      <w:r w:rsidR="00AD346D" w:rsidRPr="00BD72CC">
        <w:rPr>
          <w:rFonts w:ascii="Arial" w:hAnsi="Arial" w:cs="Arial"/>
        </w:rPr>
        <w:t>C), too, provides a clear example of an incomplete or unfinished vehicle (to be understood as a reference to a bicycle on the facts of this case).</w:t>
      </w:r>
    </w:p>
    <w:p w14:paraId="6C0B6BC5" w14:textId="77777777" w:rsidR="00AA2AEC" w:rsidRPr="00BD72CC" w:rsidRDefault="00AA2AEC" w:rsidP="00CB196F">
      <w:pPr>
        <w:spacing w:line="360" w:lineRule="auto"/>
        <w:jc w:val="both"/>
        <w:rPr>
          <w:rFonts w:ascii="Arial" w:hAnsi="Arial" w:cs="Arial"/>
        </w:rPr>
      </w:pPr>
    </w:p>
    <w:p w14:paraId="0D3255DD" w14:textId="2A8DE4A7" w:rsidR="00AA2AEC" w:rsidRPr="00BD72CC" w:rsidRDefault="00AA2AEC" w:rsidP="00CB196F">
      <w:pPr>
        <w:spacing w:line="360" w:lineRule="auto"/>
        <w:jc w:val="both"/>
        <w:rPr>
          <w:rFonts w:ascii="Arial" w:hAnsi="Arial" w:cs="Arial"/>
        </w:rPr>
      </w:pPr>
      <w:r w:rsidRPr="00BD72CC">
        <w:rPr>
          <w:rFonts w:ascii="Arial" w:hAnsi="Arial" w:cs="Arial"/>
        </w:rPr>
        <w:t>[</w:t>
      </w:r>
      <w:r w:rsidR="00122818" w:rsidRPr="00BD72CC">
        <w:rPr>
          <w:rFonts w:ascii="Arial" w:hAnsi="Arial" w:cs="Arial"/>
        </w:rPr>
        <w:t>38</w:t>
      </w:r>
      <w:r w:rsidRPr="00BD72CC">
        <w:rPr>
          <w:rFonts w:ascii="Arial" w:hAnsi="Arial" w:cs="Arial"/>
        </w:rPr>
        <w:t>]</w:t>
      </w:r>
      <w:r w:rsidRPr="00BD72CC">
        <w:rPr>
          <w:rFonts w:ascii="Arial" w:hAnsi="Arial" w:cs="Arial"/>
        </w:rPr>
        <w:tab/>
        <w:t xml:space="preserve">Secondly, the appellants' reliance on s 233 of the Constitution is misplaced. Section 233 refers not to foreign law which is what </w:t>
      </w:r>
      <w:r w:rsidRPr="00BD72CC">
        <w:rPr>
          <w:rFonts w:ascii="Arial" w:hAnsi="Arial" w:cs="Arial"/>
          <w:i/>
        </w:rPr>
        <w:t>Toyworld</w:t>
      </w:r>
      <w:r w:rsidRPr="00BD72CC">
        <w:rPr>
          <w:rFonts w:ascii="Arial" w:hAnsi="Arial" w:cs="Arial"/>
        </w:rPr>
        <w:t xml:space="preserve"> is all about. Rather, it explicitly refers to international law. There is a fundamental difference between international law on the one hand </w:t>
      </w:r>
      <w:r w:rsidR="00122818" w:rsidRPr="00BD72CC">
        <w:rPr>
          <w:rFonts w:ascii="Arial" w:hAnsi="Arial" w:cs="Arial"/>
        </w:rPr>
        <w:t xml:space="preserve">and foreign law on the other, a point that requires no elaboration. </w:t>
      </w:r>
    </w:p>
    <w:p w14:paraId="21B4A2B6" w14:textId="77777777" w:rsidR="00AD346D" w:rsidRPr="00BD72CC" w:rsidRDefault="00AD346D" w:rsidP="00CB196F">
      <w:pPr>
        <w:spacing w:line="360" w:lineRule="auto"/>
        <w:jc w:val="both"/>
        <w:rPr>
          <w:rFonts w:ascii="Arial" w:hAnsi="Arial" w:cs="Arial"/>
        </w:rPr>
      </w:pPr>
    </w:p>
    <w:p w14:paraId="1CB52A39" w14:textId="4FDA7D05" w:rsidR="00AD346D" w:rsidRPr="00BD72CC" w:rsidRDefault="00AD346D" w:rsidP="00CB196F">
      <w:pPr>
        <w:spacing w:line="360" w:lineRule="auto"/>
        <w:jc w:val="both"/>
        <w:rPr>
          <w:rFonts w:ascii="Arial" w:hAnsi="Arial" w:cs="Arial"/>
        </w:rPr>
      </w:pPr>
      <w:r w:rsidRPr="00BD72CC">
        <w:rPr>
          <w:rFonts w:ascii="Arial" w:hAnsi="Arial" w:cs="Arial"/>
        </w:rPr>
        <w:t>[</w:t>
      </w:r>
      <w:r w:rsidR="00A42E69" w:rsidRPr="00BD72CC">
        <w:rPr>
          <w:rFonts w:ascii="Arial" w:hAnsi="Arial" w:cs="Arial"/>
        </w:rPr>
        <w:t>39</w:t>
      </w:r>
      <w:r w:rsidRPr="00BD72CC">
        <w:rPr>
          <w:rFonts w:ascii="Arial" w:hAnsi="Arial" w:cs="Arial"/>
        </w:rPr>
        <w:t>]</w:t>
      </w:r>
      <w:r w:rsidRPr="00BD72CC">
        <w:rPr>
          <w:rFonts w:ascii="Arial" w:hAnsi="Arial" w:cs="Arial"/>
        </w:rPr>
        <w:tab/>
      </w:r>
      <w:r w:rsidR="00DC4DE6" w:rsidRPr="00BD72CC">
        <w:rPr>
          <w:rFonts w:ascii="Arial" w:hAnsi="Arial" w:cs="Arial"/>
        </w:rPr>
        <w:t xml:space="preserve">In the </w:t>
      </w:r>
      <w:r w:rsidR="00B53AD6" w:rsidRPr="00BD72CC">
        <w:rPr>
          <w:rFonts w:ascii="Arial" w:hAnsi="Arial" w:cs="Arial"/>
        </w:rPr>
        <w:t xml:space="preserve">third </w:t>
      </w:r>
      <w:r w:rsidR="00DC4DE6" w:rsidRPr="00BD72CC">
        <w:rPr>
          <w:rFonts w:ascii="Arial" w:hAnsi="Arial" w:cs="Arial"/>
        </w:rPr>
        <w:t>place</w:t>
      </w:r>
      <w:r w:rsidR="00B679D1" w:rsidRPr="00BD72CC">
        <w:rPr>
          <w:rFonts w:ascii="Arial" w:hAnsi="Arial" w:cs="Arial"/>
        </w:rPr>
        <w:t>,</w:t>
      </w:r>
      <w:r w:rsidR="00DC4DE6" w:rsidRPr="00BD72CC">
        <w:rPr>
          <w:rFonts w:ascii="Arial" w:hAnsi="Arial" w:cs="Arial"/>
        </w:rPr>
        <w:t xml:space="preserve"> the appellants' reliance on the decision of the Australian Administrative Appeal Tribunal in </w:t>
      </w:r>
      <w:r w:rsidR="00DC4DE6" w:rsidRPr="00BD72CC">
        <w:rPr>
          <w:rFonts w:ascii="Arial" w:hAnsi="Arial" w:cs="Arial"/>
          <w:i/>
        </w:rPr>
        <w:t>Toyworld</w:t>
      </w:r>
      <w:r w:rsidR="00DC4DE6" w:rsidRPr="00BD72CC">
        <w:rPr>
          <w:rFonts w:ascii="Arial" w:hAnsi="Arial" w:cs="Arial"/>
        </w:rPr>
        <w:t xml:space="preserve"> is unavailing. This is so because in </w:t>
      </w:r>
      <w:r w:rsidR="00DC4DE6" w:rsidRPr="00BD72CC">
        <w:rPr>
          <w:rFonts w:ascii="Arial" w:hAnsi="Arial" w:cs="Arial"/>
          <w:i/>
        </w:rPr>
        <w:t>Toyworld</w:t>
      </w:r>
      <w:r w:rsidR="00DC4DE6" w:rsidRPr="00BD72CC">
        <w:rPr>
          <w:rFonts w:ascii="Arial" w:hAnsi="Arial" w:cs="Arial"/>
        </w:rPr>
        <w:t xml:space="preserve"> the </w:t>
      </w:r>
      <w:r w:rsidR="00B679D1" w:rsidRPr="00BD72CC">
        <w:rPr>
          <w:rFonts w:ascii="Arial" w:hAnsi="Arial" w:cs="Arial"/>
        </w:rPr>
        <w:t>A</w:t>
      </w:r>
      <w:r w:rsidR="00DC4DE6" w:rsidRPr="00BD72CC">
        <w:rPr>
          <w:rFonts w:ascii="Arial" w:hAnsi="Arial" w:cs="Arial"/>
        </w:rPr>
        <w:t xml:space="preserve">ppeal Tribunal undoubtedly placed great reliance on the important role of wheels which give a bicycle its functionality. But </w:t>
      </w:r>
      <w:r w:rsidR="00F13F98" w:rsidRPr="00BD72CC">
        <w:rPr>
          <w:rFonts w:ascii="Arial" w:hAnsi="Arial" w:cs="Arial"/>
        </w:rPr>
        <w:t>this is not what tariff heading 8712.00 read with GIR 2(a) and the explanatory notes to Chapter 87, on their</w:t>
      </w:r>
      <w:r w:rsidR="0005414B" w:rsidRPr="00BD72CC">
        <w:rPr>
          <w:rFonts w:ascii="Arial" w:hAnsi="Arial" w:cs="Arial"/>
        </w:rPr>
        <w:t xml:space="preserve"> proper interpretation, require</w:t>
      </w:r>
      <w:r w:rsidR="00F13F98" w:rsidRPr="00BD72CC">
        <w:rPr>
          <w:rFonts w:ascii="Arial" w:hAnsi="Arial" w:cs="Arial"/>
        </w:rPr>
        <w:t>.</w:t>
      </w:r>
    </w:p>
    <w:p w14:paraId="6F6668BF" w14:textId="77777777" w:rsidR="00F13F98" w:rsidRPr="00BD72CC" w:rsidRDefault="00F13F98" w:rsidP="00CB196F">
      <w:pPr>
        <w:spacing w:line="360" w:lineRule="auto"/>
        <w:jc w:val="both"/>
        <w:rPr>
          <w:rFonts w:ascii="Arial" w:hAnsi="Arial" w:cs="Arial"/>
        </w:rPr>
      </w:pPr>
    </w:p>
    <w:p w14:paraId="4CECECFD" w14:textId="23523E6A" w:rsidR="00F13F98" w:rsidRPr="00BD72CC" w:rsidRDefault="00F13F98" w:rsidP="00CB196F">
      <w:pPr>
        <w:spacing w:line="360" w:lineRule="auto"/>
        <w:jc w:val="both"/>
        <w:rPr>
          <w:rFonts w:ascii="Arial" w:hAnsi="Arial" w:cs="Arial"/>
        </w:rPr>
      </w:pPr>
      <w:r w:rsidRPr="00BD72CC">
        <w:rPr>
          <w:rFonts w:ascii="Arial" w:hAnsi="Arial" w:cs="Arial"/>
        </w:rPr>
        <w:t>[</w:t>
      </w:r>
      <w:r w:rsidR="00A42E69" w:rsidRPr="00BD72CC">
        <w:rPr>
          <w:rFonts w:ascii="Arial" w:hAnsi="Arial" w:cs="Arial"/>
        </w:rPr>
        <w:t>40</w:t>
      </w:r>
      <w:r w:rsidRPr="00BD72CC">
        <w:rPr>
          <w:rFonts w:ascii="Arial" w:hAnsi="Arial" w:cs="Arial"/>
        </w:rPr>
        <w:t>]</w:t>
      </w:r>
      <w:r w:rsidRPr="00BD72CC">
        <w:rPr>
          <w:rFonts w:ascii="Arial" w:hAnsi="Arial" w:cs="Arial"/>
        </w:rPr>
        <w:tab/>
      </w:r>
      <w:r w:rsidR="00B025FE" w:rsidRPr="00BD72CC">
        <w:rPr>
          <w:rFonts w:ascii="Arial" w:hAnsi="Arial" w:cs="Arial"/>
        </w:rPr>
        <w:t xml:space="preserve">As already indicated, the relevant tariff heading </w:t>
      </w:r>
      <w:r w:rsidR="008479FC" w:rsidRPr="00BD72CC">
        <w:rPr>
          <w:rFonts w:ascii="Arial" w:hAnsi="Arial" w:cs="Arial"/>
        </w:rPr>
        <w:t xml:space="preserve">– </w:t>
      </w:r>
      <w:r w:rsidR="00B025FE" w:rsidRPr="00BD72CC">
        <w:rPr>
          <w:rFonts w:ascii="Arial" w:hAnsi="Arial" w:cs="Arial"/>
        </w:rPr>
        <w:t>read in the context of GIR 2(a) (C) and explanatory notes in Chapter 87</w:t>
      </w:r>
      <w:r w:rsidR="008479FC" w:rsidRPr="00BD72CC">
        <w:rPr>
          <w:rFonts w:ascii="Arial" w:hAnsi="Arial" w:cs="Arial"/>
        </w:rPr>
        <w:t xml:space="preserve"> –</w:t>
      </w:r>
      <w:r w:rsidR="00B025FE" w:rsidRPr="00BD72CC">
        <w:rPr>
          <w:rFonts w:ascii="Arial" w:hAnsi="Arial" w:cs="Arial"/>
        </w:rPr>
        <w:t xml:space="preserve"> speaks not of a collection of parts constituting a </w:t>
      </w:r>
      <w:r w:rsidR="00C3766B" w:rsidRPr="00BD72CC">
        <w:rPr>
          <w:rFonts w:ascii="Arial" w:hAnsi="Arial" w:cs="Arial"/>
        </w:rPr>
        <w:t>bicycle. Rather, it speaks of parts that have 'the essential character' of a bicycle.</w:t>
      </w:r>
      <w:r w:rsidR="000E02F3" w:rsidRPr="00BD72CC">
        <w:rPr>
          <w:rFonts w:ascii="Arial" w:hAnsi="Arial" w:cs="Arial"/>
        </w:rPr>
        <w:t xml:space="preserve"> Significantly, GIR 3(b</w:t>
      </w:r>
      <w:proofErr w:type="gramStart"/>
      <w:r w:rsidR="000E02F3" w:rsidRPr="00BD72CC">
        <w:rPr>
          <w:rFonts w:ascii="Arial" w:hAnsi="Arial" w:cs="Arial"/>
        </w:rPr>
        <w:t>)(</w:t>
      </w:r>
      <w:proofErr w:type="gramEnd"/>
      <w:r w:rsidR="000E02F3" w:rsidRPr="00BD72CC">
        <w:rPr>
          <w:rFonts w:ascii="Arial" w:hAnsi="Arial" w:cs="Arial"/>
        </w:rPr>
        <w:t xml:space="preserve">viii) provides that the 'factor which determines essential character will vary as between different kinds of goods'. </w:t>
      </w:r>
      <w:r w:rsidR="002167DD" w:rsidRPr="00BD72CC">
        <w:rPr>
          <w:rFonts w:ascii="Arial" w:hAnsi="Arial" w:cs="Arial"/>
        </w:rPr>
        <w:t>And b</w:t>
      </w:r>
      <w:r w:rsidR="000E02F3" w:rsidRPr="00BD72CC">
        <w:rPr>
          <w:rFonts w:ascii="Arial" w:hAnsi="Arial" w:cs="Arial"/>
        </w:rPr>
        <w:t xml:space="preserve">y way of examples, it proceeds to, </w:t>
      </w:r>
      <w:r w:rsidR="000E02F3" w:rsidRPr="00BD72CC">
        <w:rPr>
          <w:rFonts w:ascii="Arial" w:hAnsi="Arial" w:cs="Arial"/>
          <w:i/>
        </w:rPr>
        <w:t>inter alia</w:t>
      </w:r>
      <w:r w:rsidR="000E02F3" w:rsidRPr="00BD72CC">
        <w:rPr>
          <w:rFonts w:ascii="Arial" w:hAnsi="Arial" w:cs="Arial"/>
        </w:rPr>
        <w:t>, state that this may be determined by the nature of the component, quantity or the role of the consistent material in relation to the use of the goods. Implicit in what GIR 3(b</w:t>
      </w:r>
      <w:proofErr w:type="gramStart"/>
      <w:r w:rsidR="000E02F3" w:rsidRPr="00BD72CC">
        <w:rPr>
          <w:rFonts w:ascii="Arial" w:hAnsi="Arial" w:cs="Arial"/>
        </w:rPr>
        <w:t>)(</w:t>
      </w:r>
      <w:proofErr w:type="gramEnd"/>
      <w:r w:rsidR="000E02F3" w:rsidRPr="00BD72CC">
        <w:rPr>
          <w:rFonts w:ascii="Arial" w:hAnsi="Arial" w:cs="Arial"/>
        </w:rPr>
        <w:t xml:space="preserve">viii) says is that the nature and characteristics of the relevant goods must be determined. Thereafter, the most appropriate heading (and relative section and chapter notes) must be selected and applied. </w:t>
      </w:r>
    </w:p>
    <w:p w14:paraId="74F87193" w14:textId="77777777" w:rsidR="005D228B" w:rsidRPr="00BD72CC" w:rsidRDefault="005D228B" w:rsidP="00CB196F">
      <w:pPr>
        <w:spacing w:line="360" w:lineRule="auto"/>
        <w:jc w:val="both"/>
        <w:rPr>
          <w:rFonts w:ascii="Arial" w:hAnsi="Arial" w:cs="Arial"/>
        </w:rPr>
      </w:pPr>
    </w:p>
    <w:p w14:paraId="7A2A113B" w14:textId="6A55C9D5" w:rsidR="005D228B" w:rsidRPr="00BD72CC" w:rsidRDefault="005D228B" w:rsidP="00CB196F">
      <w:pPr>
        <w:spacing w:line="360" w:lineRule="auto"/>
        <w:jc w:val="both"/>
        <w:rPr>
          <w:rFonts w:ascii="Arial" w:hAnsi="Arial" w:cs="Arial"/>
        </w:rPr>
      </w:pPr>
      <w:r w:rsidRPr="00BD72CC">
        <w:rPr>
          <w:rFonts w:ascii="Arial" w:hAnsi="Arial" w:cs="Arial"/>
        </w:rPr>
        <w:t>[</w:t>
      </w:r>
      <w:r w:rsidR="00A42E69" w:rsidRPr="00BD72CC">
        <w:rPr>
          <w:rFonts w:ascii="Arial" w:hAnsi="Arial" w:cs="Arial"/>
        </w:rPr>
        <w:t>41</w:t>
      </w:r>
      <w:r w:rsidRPr="00BD72CC">
        <w:rPr>
          <w:rFonts w:ascii="Arial" w:hAnsi="Arial" w:cs="Arial"/>
        </w:rPr>
        <w:t>]</w:t>
      </w:r>
      <w:r w:rsidRPr="00BD72CC">
        <w:rPr>
          <w:rFonts w:ascii="Arial" w:hAnsi="Arial" w:cs="Arial"/>
        </w:rPr>
        <w:tab/>
      </w:r>
      <w:r w:rsidR="000E02F3" w:rsidRPr="00BD72CC">
        <w:rPr>
          <w:rFonts w:ascii="Arial" w:hAnsi="Arial" w:cs="Arial"/>
        </w:rPr>
        <w:t xml:space="preserve">To our mind the distinction between that which constitutes a bicycle as a finished article on the one hand and what bears the essential character of a bicycle on </w:t>
      </w:r>
      <w:r w:rsidR="000E02F3" w:rsidRPr="00BD72CC">
        <w:rPr>
          <w:rFonts w:ascii="Arial" w:hAnsi="Arial" w:cs="Arial"/>
        </w:rPr>
        <w:lastRenderedPageBreak/>
        <w:t>the other hand is self-evident. In relation to the former the collection of the parts is transformed into a bicycle when assembled to produce a finished or complete product. By contrast, a collection of parts which</w:t>
      </w:r>
      <w:r w:rsidR="00CD0721" w:rsidRPr="00BD72CC">
        <w:rPr>
          <w:rFonts w:ascii="Arial" w:hAnsi="Arial" w:cs="Arial"/>
        </w:rPr>
        <w:t xml:space="preserve"> do not</w:t>
      </w:r>
      <w:r w:rsidR="000E02F3" w:rsidRPr="00BD72CC">
        <w:rPr>
          <w:rFonts w:ascii="Arial" w:hAnsi="Arial" w:cs="Arial"/>
        </w:rPr>
        <w:t xml:space="preserve"> produc</w:t>
      </w:r>
      <w:r w:rsidR="00CD0721" w:rsidRPr="00BD72CC">
        <w:rPr>
          <w:rFonts w:ascii="Arial" w:hAnsi="Arial" w:cs="Arial"/>
        </w:rPr>
        <w:t>e</w:t>
      </w:r>
      <w:r w:rsidR="000E02F3" w:rsidRPr="00BD72CC">
        <w:rPr>
          <w:rFonts w:ascii="Arial" w:hAnsi="Arial" w:cs="Arial"/>
        </w:rPr>
        <w:t xml:space="preserve"> </w:t>
      </w:r>
      <w:r w:rsidR="002167DD" w:rsidRPr="00BD72CC">
        <w:rPr>
          <w:rFonts w:ascii="Arial" w:hAnsi="Arial" w:cs="Arial"/>
        </w:rPr>
        <w:t>a</w:t>
      </w:r>
      <w:r w:rsidR="000E02F3" w:rsidRPr="00BD72CC">
        <w:rPr>
          <w:rFonts w:ascii="Arial" w:hAnsi="Arial" w:cs="Arial"/>
        </w:rPr>
        <w:t xml:space="preserve"> complete or finished product when assembled, may nevertheless have the essential character of the finished product. Differently put, whilst bicycle wheels, in combination with other parts, collectively make up a bicycle as a finished or complete article, their absence does not have the consequence that the remaining parts will necessarily lack the essential character of a bicycle.</w:t>
      </w:r>
      <w:r w:rsidRPr="00BD72CC">
        <w:rPr>
          <w:rFonts w:ascii="Arial" w:hAnsi="Arial" w:cs="Arial"/>
        </w:rPr>
        <w:t xml:space="preserve"> </w:t>
      </w:r>
    </w:p>
    <w:p w14:paraId="77357403" w14:textId="77777777" w:rsidR="00731C28" w:rsidRPr="00BD72CC" w:rsidRDefault="00731C28" w:rsidP="00CB196F">
      <w:pPr>
        <w:spacing w:line="360" w:lineRule="auto"/>
        <w:jc w:val="both"/>
        <w:rPr>
          <w:rFonts w:ascii="Arial" w:hAnsi="Arial" w:cs="Arial"/>
        </w:rPr>
      </w:pPr>
    </w:p>
    <w:p w14:paraId="58B09F62" w14:textId="111C07DC" w:rsidR="00731C28" w:rsidRPr="00BD72CC" w:rsidRDefault="00731C28" w:rsidP="00CB196F">
      <w:pPr>
        <w:spacing w:line="360" w:lineRule="auto"/>
        <w:jc w:val="both"/>
        <w:rPr>
          <w:rFonts w:ascii="Arial" w:hAnsi="Arial" w:cs="Arial"/>
        </w:rPr>
      </w:pPr>
      <w:r w:rsidRPr="00BD72CC">
        <w:rPr>
          <w:rFonts w:ascii="Arial" w:hAnsi="Arial" w:cs="Arial"/>
          <w:b/>
        </w:rPr>
        <w:t>Application to strike out</w:t>
      </w:r>
    </w:p>
    <w:p w14:paraId="7B662BFB" w14:textId="6F8390E2" w:rsidR="00731C28" w:rsidRPr="00BD72CC" w:rsidRDefault="00731C28" w:rsidP="00CB196F">
      <w:pPr>
        <w:spacing w:line="360" w:lineRule="auto"/>
        <w:jc w:val="both"/>
        <w:rPr>
          <w:rFonts w:ascii="Arial" w:hAnsi="Arial" w:cs="Arial"/>
        </w:rPr>
      </w:pPr>
      <w:r w:rsidRPr="00BD72CC">
        <w:rPr>
          <w:rFonts w:ascii="Arial" w:hAnsi="Arial" w:cs="Arial"/>
        </w:rPr>
        <w:t>[</w:t>
      </w:r>
      <w:r w:rsidR="00A42E69" w:rsidRPr="00BD72CC">
        <w:rPr>
          <w:rFonts w:ascii="Arial" w:hAnsi="Arial" w:cs="Arial"/>
        </w:rPr>
        <w:t>42</w:t>
      </w:r>
      <w:r w:rsidRPr="00BD72CC">
        <w:rPr>
          <w:rFonts w:ascii="Arial" w:hAnsi="Arial" w:cs="Arial"/>
        </w:rPr>
        <w:t>]</w:t>
      </w:r>
      <w:r w:rsidRPr="00BD72CC">
        <w:rPr>
          <w:rFonts w:ascii="Arial" w:hAnsi="Arial" w:cs="Arial"/>
        </w:rPr>
        <w:tab/>
      </w:r>
      <w:r w:rsidR="005A3E08" w:rsidRPr="00BD72CC">
        <w:rPr>
          <w:rFonts w:ascii="Arial" w:hAnsi="Arial" w:cs="Arial"/>
        </w:rPr>
        <w:t xml:space="preserve">It remains to address two subsidiary issues advanced on behalf of the appellants. These relate to the expert evidence of both Mr </w:t>
      </w:r>
      <w:proofErr w:type="spellStart"/>
      <w:r w:rsidR="005A3E08" w:rsidRPr="00BD72CC">
        <w:rPr>
          <w:rFonts w:ascii="Arial" w:hAnsi="Arial" w:cs="Arial"/>
        </w:rPr>
        <w:t>Stickells</w:t>
      </w:r>
      <w:proofErr w:type="spellEnd"/>
      <w:r w:rsidR="005A3E08" w:rsidRPr="00BD72CC">
        <w:rPr>
          <w:rFonts w:ascii="Arial" w:hAnsi="Arial" w:cs="Arial"/>
        </w:rPr>
        <w:t xml:space="preserve"> and Mr Du Toit, the two expert witnesses called by the appellants and SARS respectively. With respect to the evidence of Mr Du Toit, it was submitted that the high court should never have relied on such evidence for two reasons. First, it was argued that Mr Du Toit was not an expert as he </w:t>
      </w:r>
      <w:r w:rsidR="00CC11B3" w:rsidRPr="00BD72CC">
        <w:rPr>
          <w:rFonts w:ascii="Arial" w:hAnsi="Arial" w:cs="Arial"/>
        </w:rPr>
        <w:t xml:space="preserve">claimed. Secondly, it was submitted that what was presented as expert evidence was in truth opinion evidence which, by its very nature, was inadmissible. As to the first point the learned authors D T </w:t>
      </w:r>
      <w:proofErr w:type="spellStart"/>
      <w:r w:rsidR="00CC11B3" w:rsidRPr="00BD72CC">
        <w:rPr>
          <w:rFonts w:ascii="Arial" w:hAnsi="Arial" w:cs="Arial"/>
        </w:rPr>
        <w:t>Zeffertt</w:t>
      </w:r>
      <w:proofErr w:type="spellEnd"/>
      <w:r w:rsidR="00CC11B3" w:rsidRPr="00BD72CC">
        <w:rPr>
          <w:rFonts w:ascii="Arial" w:hAnsi="Arial" w:cs="Arial"/>
        </w:rPr>
        <w:t xml:space="preserve">, A P </w:t>
      </w:r>
      <w:proofErr w:type="spellStart"/>
      <w:r w:rsidR="00CC11B3" w:rsidRPr="00BD72CC">
        <w:rPr>
          <w:rFonts w:ascii="Arial" w:hAnsi="Arial" w:cs="Arial"/>
        </w:rPr>
        <w:t>Paizes</w:t>
      </w:r>
      <w:proofErr w:type="spellEnd"/>
      <w:r w:rsidR="00CC11B3" w:rsidRPr="00BD72CC">
        <w:rPr>
          <w:rFonts w:ascii="Arial" w:hAnsi="Arial" w:cs="Arial"/>
        </w:rPr>
        <w:t xml:space="preserve"> and A St Q Skeen in The South African Law of Evidence</w:t>
      </w:r>
      <w:r w:rsidR="00CC11B3" w:rsidRPr="00BD72CC">
        <w:rPr>
          <w:rStyle w:val="FootnoteReference"/>
          <w:rFonts w:ascii="Arial" w:hAnsi="Arial" w:cs="Arial"/>
        </w:rPr>
        <w:footnoteReference w:id="36"/>
      </w:r>
      <w:r w:rsidR="005F7E61" w:rsidRPr="00BD72CC">
        <w:rPr>
          <w:rFonts w:ascii="Arial" w:hAnsi="Arial" w:cs="Arial"/>
        </w:rPr>
        <w:t xml:space="preserve"> say the following:</w:t>
      </w:r>
    </w:p>
    <w:p w14:paraId="50307B50" w14:textId="4B66BF86" w:rsidR="005F7E61" w:rsidRPr="00BD72CC" w:rsidRDefault="005F7E61" w:rsidP="005F7E61">
      <w:pPr>
        <w:spacing w:line="360" w:lineRule="auto"/>
        <w:jc w:val="both"/>
        <w:rPr>
          <w:rFonts w:ascii="Arial" w:hAnsi="Arial" w:cs="Arial"/>
          <w:sz w:val="22"/>
        </w:rPr>
      </w:pPr>
      <w:r w:rsidRPr="00BD72CC">
        <w:rPr>
          <w:rFonts w:ascii="Arial" w:hAnsi="Arial" w:cs="Arial"/>
          <w:sz w:val="22"/>
        </w:rPr>
        <w:t xml:space="preserve">'It is the function of the judge [including a magistrate] to decide whether the witness has sufficient qualifications to be able to give assistance. The court must be satisfied that the witness possesses sufficient skill, training or experience to assist it. His </w:t>
      </w:r>
      <w:r w:rsidR="00605C59" w:rsidRPr="00BD72CC">
        <w:rPr>
          <w:rFonts w:ascii="Arial" w:hAnsi="Arial" w:cs="Arial"/>
          <w:sz w:val="22"/>
        </w:rPr>
        <w:t>[</w:t>
      </w:r>
      <w:r w:rsidR="00973EA3" w:rsidRPr="00BD72CC">
        <w:rPr>
          <w:rFonts w:ascii="Arial" w:hAnsi="Arial" w:cs="Arial"/>
          <w:sz w:val="22"/>
        </w:rPr>
        <w:t>or</w:t>
      </w:r>
      <w:r w:rsidRPr="00BD72CC">
        <w:rPr>
          <w:rFonts w:ascii="Arial" w:hAnsi="Arial" w:cs="Arial"/>
          <w:sz w:val="22"/>
        </w:rPr>
        <w:t xml:space="preserve"> her</w:t>
      </w:r>
      <w:r w:rsidR="00605C59" w:rsidRPr="00BD72CC">
        <w:rPr>
          <w:rFonts w:ascii="Arial" w:hAnsi="Arial" w:cs="Arial"/>
          <w:sz w:val="22"/>
        </w:rPr>
        <w:t>]</w:t>
      </w:r>
      <w:r w:rsidRPr="00BD72CC">
        <w:rPr>
          <w:rFonts w:ascii="Arial" w:hAnsi="Arial" w:cs="Arial"/>
          <w:sz w:val="22"/>
        </w:rPr>
        <w:t xml:space="preserve"> qualifications have to be measured against the evidence he or she has to give in order to determine whether they are suff</w:t>
      </w:r>
      <w:r w:rsidR="005E64E0" w:rsidRPr="00BD72CC">
        <w:rPr>
          <w:rFonts w:ascii="Arial" w:hAnsi="Arial" w:cs="Arial"/>
          <w:sz w:val="22"/>
        </w:rPr>
        <w:t>icient to enable him or her to g</w:t>
      </w:r>
      <w:r w:rsidRPr="00BD72CC">
        <w:rPr>
          <w:rFonts w:ascii="Arial" w:hAnsi="Arial" w:cs="Arial"/>
          <w:sz w:val="22"/>
        </w:rPr>
        <w:t>ive relevant evidence. It is not always necessary that the witnes</w:t>
      </w:r>
      <w:r w:rsidR="00D43F04" w:rsidRPr="00BD72CC">
        <w:rPr>
          <w:rFonts w:ascii="Arial" w:hAnsi="Arial" w:cs="Arial"/>
          <w:sz w:val="22"/>
        </w:rPr>
        <w:t>s</w:t>
      </w:r>
      <w:r w:rsidRPr="00BD72CC">
        <w:rPr>
          <w:rFonts w:ascii="Arial" w:hAnsi="Arial" w:cs="Arial"/>
          <w:sz w:val="22"/>
        </w:rPr>
        <w:t>'s skill or knowledge be acquired in the course of his or her profession – it depends on the topic.</w:t>
      </w:r>
      <w:r w:rsidR="00605C59" w:rsidRPr="00BD72CC">
        <w:rPr>
          <w:rFonts w:ascii="Arial" w:hAnsi="Arial" w:cs="Arial"/>
          <w:sz w:val="22"/>
        </w:rPr>
        <w:t xml:space="preserve"> Lack of formal training may indicate inadequate theoretical training but, in the circumstances </w:t>
      </w:r>
      <w:r w:rsidR="00200BF4" w:rsidRPr="00BD72CC">
        <w:rPr>
          <w:rFonts w:ascii="Arial" w:hAnsi="Arial" w:cs="Arial"/>
          <w:sz w:val="22"/>
        </w:rPr>
        <w:t>of a particular case, this may be offset by practical experience.</w:t>
      </w:r>
      <w:r w:rsidRPr="00BD72CC">
        <w:rPr>
          <w:rFonts w:ascii="Arial" w:hAnsi="Arial" w:cs="Arial"/>
          <w:sz w:val="22"/>
        </w:rPr>
        <w:t xml:space="preserve"> Thus, in </w:t>
      </w:r>
      <w:r w:rsidRPr="00BD72CC">
        <w:rPr>
          <w:rFonts w:ascii="Arial" w:hAnsi="Arial" w:cs="Arial"/>
          <w:i/>
          <w:sz w:val="22"/>
        </w:rPr>
        <w:t xml:space="preserve">R v </w:t>
      </w:r>
      <w:proofErr w:type="spellStart"/>
      <w:r w:rsidRPr="00BD72CC">
        <w:rPr>
          <w:rFonts w:ascii="Arial" w:hAnsi="Arial" w:cs="Arial"/>
          <w:i/>
          <w:sz w:val="22"/>
        </w:rPr>
        <w:t>Silverlock</w:t>
      </w:r>
      <w:proofErr w:type="spellEnd"/>
      <w:r w:rsidRPr="00BD72CC">
        <w:rPr>
          <w:rFonts w:ascii="Arial" w:hAnsi="Arial" w:cs="Arial"/>
          <w:sz w:val="22"/>
        </w:rPr>
        <w:t xml:space="preserve"> </w:t>
      </w:r>
      <w:r w:rsidR="008349EE" w:rsidRPr="00BD72CC">
        <w:rPr>
          <w:rFonts w:ascii="Arial" w:hAnsi="Arial" w:cs="Arial"/>
          <w:sz w:val="22"/>
        </w:rPr>
        <w:t xml:space="preserve">[1894] 2 QB 766 </w:t>
      </w:r>
      <w:r w:rsidRPr="00BD72CC">
        <w:rPr>
          <w:rFonts w:ascii="Arial" w:hAnsi="Arial" w:cs="Arial"/>
          <w:sz w:val="22"/>
        </w:rPr>
        <w:t xml:space="preserve">it was said that </w:t>
      </w:r>
      <w:r w:rsidR="005D228B" w:rsidRPr="00BD72CC">
        <w:rPr>
          <w:rFonts w:ascii="Arial" w:hAnsi="Arial" w:cs="Arial"/>
          <w:sz w:val="22"/>
        </w:rPr>
        <w:t xml:space="preserve">a </w:t>
      </w:r>
      <w:r w:rsidRPr="00BD72CC">
        <w:rPr>
          <w:rFonts w:ascii="Arial" w:hAnsi="Arial" w:cs="Arial"/>
          <w:sz w:val="22"/>
        </w:rPr>
        <w:t>solicitor who had made a study of handwriting could give expert evidence on the subject even if he had not made any professional use of his accomplishments.</w:t>
      </w:r>
      <w:r w:rsidR="0046754F" w:rsidRPr="00BD72CC">
        <w:rPr>
          <w:rFonts w:ascii="Arial" w:hAnsi="Arial" w:cs="Arial"/>
          <w:sz w:val="22"/>
        </w:rPr>
        <w:t>'</w:t>
      </w:r>
    </w:p>
    <w:p w14:paraId="28154963" w14:textId="77777777" w:rsidR="005F7E61" w:rsidRPr="00BD72CC" w:rsidRDefault="005F7E61" w:rsidP="005F7E61">
      <w:pPr>
        <w:spacing w:line="360" w:lineRule="auto"/>
        <w:jc w:val="both"/>
        <w:rPr>
          <w:rFonts w:ascii="Arial" w:hAnsi="Arial" w:cs="Arial"/>
          <w:sz w:val="22"/>
        </w:rPr>
      </w:pPr>
    </w:p>
    <w:p w14:paraId="2BB5EB39" w14:textId="0F253E4B" w:rsidR="0046754F" w:rsidRPr="00BD72CC" w:rsidRDefault="00E11DAA" w:rsidP="005F7E61">
      <w:pPr>
        <w:spacing w:line="360" w:lineRule="auto"/>
        <w:jc w:val="both"/>
        <w:rPr>
          <w:rFonts w:ascii="Arial" w:hAnsi="Arial" w:cs="Arial"/>
        </w:rPr>
      </w:pPr>
      <w:r w:rsidRPr="00BD72CC">
        <w:rPr>
          <w:rFonts w:ascii="Arial" w:hAnsi="Arial" w:cs="Arial"/>
        </w:rPr>
        <w:t>[</w:t>
      </w:r>
      <w:r w:rsidR="00A42E69" w:rsidRPr="00BD72CC">
        <w:rPr>
          <w:rFonts w:ascii="Arial" w:hAnsi="Arial" w:cs="Arial"/>
        </w:rPr>
        <w:t>43</w:t>
      </w:r>
      <w:r w:rsidRPr="00BD72CC">
        <w:rPr>
          <w:rFonts w:ascii="Arial" w:hAnsi="Arial" w:cs="Arial"/>
        </w:rPr>
        <w:t>]</w:t>
      </w:r>
      <w:r w:rsidRPr="00BD72CC">
        <w:rPr>
          <w:rFonts w:ascii="Arial" w:hAnsi="Arial" w:cs="Arial"/>
        </w:rPr>
        <w:tab/>
      </w:r>
      <w:r w:rsidR="00762D3D" w:rsidRPr="00BD72CC">
        <w:rPr>
          <w:rFonts w:ascii="Arial" w:hAnsi="Arial" w:cs="Arial"/>
        </w:rPr>
        <w:t>In our view the appellants'</w:t>
      </w:r>
      <w:r w:rsidR="00695429" w:rsidRPr="00BD72CC">
        <w:rPr>
          <w:rFonts w:ascii="Arial" w:hAnsi="Arial" w:cs="Arial"/>
        </w:rPr>
        <w:t xml:space="preserve"> </w:t>
      </w:r>
      <w:r w:rsidR="00762D3D" w:rsidRPr="00BD72CC">
        <w:rPr>
          <w:rFonts w:ascii="Arial" w:hAnsi="Arial" w:cs="Arial"/>
        </w:rPr>
        <w:t xml:space="preserve">argument falls to be rejected. There is nothing militating against the acceptance of Mr Du </w:t>
      </w:r>
      <w:proofErr w:type="spellStart"/>
      <w:r w:rsidR="00762D3D" w:rsidRPr="00BD72CC">
        <w:rPr>
          <w:rFonts w:ascii="Arial" w:hAnsi="Arial" w:cs="Arial"/>
        </w:rPr>
        <w:t>Toit's</w:t>
      </w:r>
      <w:proofErr w:type="spellEnd"/>
      <w:r w:rsidR="00762D3D" w:rsidRPr="00BD72CC">
        <w:rPr>
          <w:rFonts w:ascii="Arial" w:hAnsi="Arial" w:cs="Arial"/>
        </w:rPr>
        <w:t xml:space="preserve"> evidence as an expert witness. He</w:t>
      </w:r>
      <w:r w:rsidR="005767A8" w:rsidRPr="00BD72CC">
        <w:rPr>
          <w:rFonts w:ascii="Arial" w:hAnsi="Arial" w:cs="Arial"/>
        </w:rPr>
        <w:t xml:space="preserve"> </w:t>
      </w:r>
      <w:r w:rsidR="005767A8" w:rsidRPr="00BD72CC">
        <w:rPr>
          <w:rFonts w:ascii="Arial" w:hAnsi="Arial" w:cs="Arial"/>
        </w:rPr>
        <w:lastRenderedPageBreak/>
        <w:t>asserted that he had acquired v</w:t>
      </w:r>
      <w:r w:rsidR="00762D3D" w:rsidRPr="00BD72CC">
        <w:rPr>
          <w:rFonts w:ascii="Arial" w:hAnsi="Arial" w:cs="Arial"/>
        </w:rPr>
        <w:t>ast knowledge in bicycles through his extensive experience spanning some 30 years dealing with bicycles and their components. In the appellants' heads of argument, it was contended</w:t>
      </w:r>
      <w:r w:rsidR="00823FBF" w:rsidRPr="00BD72CC">
        <w:rPr>
          <w:rFonts w:ascii="Arial" w:hAnsi="Arial" w:cs="Arial"/>
        </w:rPr>
        <w:t>,</w:t>
      </w:r>
      <w:r w:rsidR="00762D3D" w:rsidRPr="00BD72CC">
        <w:rPr>
          <w:rFonts w:ascii="Arial" w:hAnsi="Arial" w:cs="Arial"/>
        </w:rPr>
        <w:t xml:space="preserve"> that in his affidavit</w:t>
      </w:r>
      <w:r w:rsidR="00823FBF" w:rsidRPr="00BD72CC">
        <w:rPr>
          <w:rFonts w:ascii="Arial" w:hAnsi="Arial" w:cs="Arial"/>
        </w:rPr>
        <w:t>,</w:t>
      </w:r>
      <w:r w:rsidR="00762D3D" w:rsidRPr="00BD72CC">
        <w:rPr>
          <w:rFonts w:ascii="Arial" w:hAnsi="Arial" w:cs="Arial"/>
        </w:rPr>
        <w:t xml:space="preserve"> Mr Du Toit did no more than merely express an opinion on matters that are in the exclusive domain of the court itself. This argument, too, must falter for the simple reason that, ultimately,</w:t>
      </w:r>
      <w:r w:rsidR="00823FBF" w:rsidRPr="00BD72CC">
        <w:rPr>
          <w:rFonts w:ascii="Arial" w:hAnsi="Arial" w:cs="Arial"/>
        </w:rPr>
        <w:t xml:space="preserve"> at any rate</w:t>
      </w:r>
      <w:r w:rsidR="00762D3D" w:rsidRPr="00BD72CC">
        <w:rPr>
          <w:rFonts w:ascii="Arial" w:hAnsi="Arial" w:cs="Arial"/>
        </w:rPr>
        <w:t xml:space="preserve"> it remains the task of the court to evaluate such evidence to determine whether and to what extent the opinion expressed is founded on logical reasoning.</w:t>
      </w:r>
      <w:r w:rsidR="00762D3D" w:rsidRPr="00BD72CC">
        <w:rPr>
          <w:rStyle w:val="FootnoteReference"/>
          <w:rFonts w:ascii="Arial" w:hAnsi="Arial" w:cs="Arial"/>
        </w:rPr>
        <w:footnoteReference w:id="37"/>
      </w:r>
    </w:p>
    <w:p w14:paraId="3E49816E" w14:textId="77777777" w:rsidR="00695429" w:rsidRPr="00BD72CC" w:rsidRDefault="00695429" w:rsidP="005F7E61">
      <w:pPr>
        <w:spacing w:line="360" w:lineRule="auto"/>
        <w:jc w:val="both"/>
        <w:rPr>
          <w:rFonts w:ascii="Arial" w:hAnsi="Arial" w:cs="Arial"/>
        </w:rPr>
      </w:pPr>
    </w:p>
    <w:p w14:paraId="6C351BCB" w14:textId="6D796CDE" w:rsidR="00695429" w:rsidRPr="00BD72CC" w:rsidRDefault="00695429" w:rsidP="005F7E61">
      <w:pPr>
        <w:spacing w:line="360" w:lineRule="auto"/>
        <w:jc w:val="both"/>
        <w:rPr>
          <w:rFonts w:ascii="Arial" w:hAnsi="Arial" w:cs="Arial"/>
        </w:rPr>
      </w:pPr>
      <w:r w:rsidRPr="00BD72CC">
        <w:rPr>
          <w:rFonts w:ascii="Arial" w:hAnsi="Arial" w:cs="Arial"/>
        </w:rPr>
        <w:t>[</w:t>
      </w:r>
      <w:r w:rsidR="00A42E69" w:rsidRPr="00BD72CC">
        <w:rPr>
          <w:rFonts w:ascii="Arial" w:hAnsi="Arial" w:cs="Arial"/>
        </w:rPr>
        <w:t>44</w:t>
      </w:r>
      <w:r w:rsidRPr="00BD72CC">
        <w:rPr>
          <w:rFonts w:ascii="Arial" w:hAnsi="Arial" w:cs="Arial"/>
        </w:rPr>
        <w:t>]</w:t>
      </w:r>
      <w:r w:rsidRPr="00BD72CC">
        <w:rPr>
          <w:rFonts w:ascii="Arial" w:hAnsi="Arial" w:cs="Arial"/>
        </w:rPr>
        <w:tab/>
        <w:t xml:space="preserve">Accordingly, taking a critical view of the tenor of Mr Du </w:t>
      </w:r>
      <w:proofErr w:type="spellStart"/>
      <w:r w:rsidRPr="00BD72CC">
        <w:rPr>
          <w:rFonts w:ascii="Arial" w:hAnsi="Arial" w:cs="Arial"/>
        </w:rPr>
        <w:t>Toit's</w:t>
      </w:r>
      <w:proofErr w:type="spellEnd"/>
      <w:r w:rsidRPr="00BD72CC">
        <w:rPr>
          <w:rFonts w:ascii="Arial" w:hAnsi="Arial" w:cs="Arial"/>
        </w:rPr>
        <w:t xml:space="preserve"> evidence, we can see no reason why reliance, albeit limited, cannot be placed on his view</w:t>
      </w:r>
      <w:r w:rsidR="00A90F62" w:rsidRPr="00BD72CC">
        <w:rPr>
          <w:rFonts w:ascii="Arial" w:hAnsi="Arial" w:cs="Arial"/>
        </w:rPr>
        <w:t>s</w:t>
      </w:r>
      <w:r w:rsidRPr="00BD72CC">
        <w:rPr>
          <w:rFonts w:ascii="Arial" w:hAnsi="Arial" w:cs="Arial"/>
        </w:rPr>
        <w:t xml:space="preserve"> which are in no small measure aligned with those of Mr </w:t>
      </w:r>
      <w:proofErr w:type="spellStart"/>
      <w:r w:rsidRPr="00BD72CC">
        <w:rPr>
          <w:rFonts w:ascii="Arial" w:hAnsi="Arial" w:cs="Arial"/>
        </w:rPr>
        <w:t>Stickells</w:t>
      </w:r>
      <w:proofErr w:type="spellEnd"/>
      <w:r w:rsidRPr="00BD72CC">
        <w:rPr>
          <w:rFonts w:ascii="Arial" w:hAnsi="Arial" w:cs="Arial"/>
        </w:rPr>
        <w:t xml:space="preserve"> in certain material respects. With respect to the appellants' application to strike out Mr Du </w:t>
      </w:r>
      <w:proofErr w:type="spellStart"/>
      <w:r w:rsidRPr="00BD72CC">
        <w:rPr>
          <w:rFonts w:ascii="Arial" w:hAnsi="Arial" w:cs="Arial"/>
        </w:rPr>
        <w:t>Toit's</w:t>
      </w:r>
      <w:proofErr w:type="spellEnd"/>
      <w:r w:rsidRPr="00BD72CC">
        <w:rPr>
          <w:rFonts w:ascii="Arial" w:hAnsi="Arial" w:cs="Arial"/>
        </w:rPr>
        <w:t xml:space="preserve"> affidavit</w:t>
      </w:r>
      <w:r w:rsidR="00194B4C" w:rsidRPr="00BD72CC">
        <w:rPr>
          <w:rFonts w:ascii="Arial" w:hAnsi="Arial" w:cs="Arial"/>
        </w:rPr>
        <w:t>,</w:t>
      </w:r>
      <w:r w:rsidRPr="00BD72CC">
        <w:rPr>
          <w:rFonts w:ascii="Arial" w:hAnsi="Arial" w:cs="Arial"/>
        </w:rPr>
        <w:t xml:space="preserve"> it is well to remember that, as a general rule, a court will not grant an application for any matter to be struck out from any affidavit because</w:t>
      </w:r>
      <w:r w:rsidR="00BD581A" w:rsidRPr="00BD72CC">
        <w:rPr>
          <w:rFonts w:ascii="Arial" w:hAnsi="Arial" w:cs="Arial"/>
        </w:rPr>
        <w:t xml:space="preserve"> such matter</w:t>
      </w:r>
      <w:r w:rsidRPr="00BD72CC">
        <w:rPr>
          <w:rFonts w:ascii="Arial" w:hAnsi="Arial" w:cs="Arial"/>
        </w:rPr>
        <w:t xml:space="preserve"> is irrelevant unless it is satisfied that the applicant will be prejudiced in his</w:t>
      </w:r>
      <w:r w:rsidR="00861F41" w:rsidRPr="00BD72CC">
        <w:rPr>
          <w:rFonts w:ascii="Arial" w:hAnsi="Arial" w:cs="Arial"/>
        </w:rPr>
        <w:t xml:space="preserve"> or her</w:t>
      </w:r>
      <w:r w:rsidRPr="00BD72CC">
        <w:rPr>
          <w:rFonts w:ascii="Arial" w:hAnsi="Arial" w:cs="Arial"/>
        </w:rPr>
        <w:t xml:space="preserve"> case if the alleged offending material is not struck out.</w:t>
      </w:r>
      <w:r w:rsidRPr="00BD72CC">
        <w:rPr>
          <w:rStyle w:val="FootnoteReference"/>
          <w:rFonts w:ascii="Arial" w:hAnsi="Arial" w:cs="Arial"/>
        </w:rPr>
        <w:footnoteReference w:id="38"/>
      </w:r>
      <w:r w:rsidR="000C7690" w:rsidRPr="00BD72CC">
        <w:rPr>
          <w:rFonts w:ascii="Arial" w:hAnsi="Arial" w:cs="Arial"/>
        </w:rPr>
        <w:t xml:space="preserve"> In the context of the facts of this case it is difficult to conceive of any prejudice that the appellants will suffer if their application is declined. And none has</w:t>
      </w:r>
      <w:r w:rsidR="00823FBF" w:rsidRPr="00BD72CC">
        <w:rPr>
          <w:rFonts w:ascii="Arial" w:hAnsi="Arial" w:cs="Arial"/>
        </w:rPr>
        <w:t>, in any event,</w:t>
      </w:r>
      <w:r w:rsidR="000C7690" w:rsidRPr="00BD72CC">
        <w:rPr>
          <w:rFonts w:ascii="Arial" w:hAnsi="Arial" w:cs="Arial"/>
        </w:rPr>
        <w:t xml:space="preserve"> been identified and articulated by the appellants. </w:t>
      </w:r>
    </w:p>
    <w:p w14:paraId="2F537924" w14:textId="77777777" w:rsidR="00FA66CA" w:rsidRPr="00BD72CC" w:rsidRDefault="00FA66CA" w:rsidP="005F7E61">
      <w:pPr>
        <w:spacing w:line="360" w:lineRule="auto"/>
        <w:jc w:val="both"/>
        <w:rPr>
          <w:rFonts w:ascii="Arial" w:hAnsi="Arial" w:cs="Arial"/>
        </w:rPr>
      </w:pPr>
    </w:p>
    <w:p w14:paraId="7A74E919" w14:textId="4214694C" w:rsidR="00517C40" w:rsidRPr="00BD72CC" w:rsidRDefault="00FA66CA" w:rsidP="005F7E61">
      <w:pPr>
        <w:spacing w:line="360" w:lineRule="auto"/>
        <w:jc w:val="both"/>
        <w:rPr>
          <w:rFonts w:ascii="Arial" w:hAnsi="Arial" w:cs="Arial"/>
        </w:rPr>
      </w:pPr>
      <w:r w:rsidRPr="00BD72CC">
        <w:rPr>
          <w:rFonts w:ascii="Arial" w:hAnsi="Arial" w:cs="Arial"/>
        </w:rPr>
        <w:t>[</w:t>
      </w:r>
      <w:r w:rsidR="00BF26CE" w:rsidRPr="00BD72CC">
        <w:rPr>
          <w:rFonts w:ascii="Arial" w:hAnsi="Arial" w:cs="Arial"/>
        </w:rPr>
        <w:t>45</w:t>
      </w:r>
      <w:r w:rsidRPr="00BD72CC">
        <w:rPr>
          <w:rFonts w:ascii="Arial" w:hAnsi="Arial" w:cs="Arial"/>
        </w:rPr>
        <w:t>]</w:t>
      </w:r>
      <w:r w:rsidRPr="00BD72CC">
        <w:rPr>
          <w:rFonts w:ascii="Arial" w:hAnsi="Arial" w:cs="Arial"/>
        </w:rPr>
        <w:tab/>
        <w:t xml:space="preserve">As to the evidence of Mr </w:t>
      </w:r>
      <w:proofErr w:type="spellStart"/>
      <w:r w:rsidRPr="00BD72CC">
        <w:rPr>
          <w:rFonts w:ascii="Arial" w:hAnsi="Arial" w:cs="Arial"/>
        </w:rPr>
        <w:t>Stickells</w:t>
      </w:r>
      <w:proofErr w:type="spellEnd"/>
      <w:r w:rsidRPr="00BD72CC">
        <w:rPr>
          <w:rFonts w:ascii="Arial" w:hAnsi="Arial" w:cs="Arial"/>
        </w:rPr>
        <w:t xml:space="preserve">, it was argued that the high court erred in considering such evidence 'in circumstances where the appellants [had] indicated during argument that no reliance [was] placed on his evidence because [it] was inadmissible.' Moreover, it was emphasised that Silverback did not, for its part, rely on expert evidence at all. The point about the inadmissibility of Mr </w:t>
      </w:r>
      <w:proofErr w:type="spellStart"/>
      <w:r w:rsidRPr="00BD72CC">
        <w:rPr>
          <w:rFonts w:ascii="Arial" w:hAnsi="Arial" w:cs="Arial"/>
        </w:rPr>
        <w:t>Stickells</w:t>
      </w:r>
      <w:proofErr w:type="spellEnd"/>
      <w:r w:rsidRPr="00BD72CC">
        <w:rPr>
          <w:rFonts w:ascii="Arial" w:hAnsi="Arial" w:cs="Arial"/>
        </w:rPr>
        <w:t xml:space="preserve">' expert evidence must fail for essentially the same reason already stated in relation to Mr Du Toit. The second contention that Silverback did not rely on expert evidence </w:t>
      </w:r>
      <w:r w:rsidR="00D93C26" w:rsidRPr="00BD72CC">
        <w:rPr>
          <w:rFonts w:ascii="Arial" w:hAnsi="Arial" w:cs="Arial"/>
        </w:rPr>
        <w:t>altogether</w:t>
      </w:r>
      <w:r w:rsidRPr="00BD72CC">
        <w:rPr>
          <w:rFonts w:ascii="Arial" w:hAnsi="Arial" w:cs="Arial"/>
        </w:rPr>
        <w:t xml:space="preserve"> cannot avail Silverback because all three appeals were, for convenience and by </w:t>
      </w:r>
      <w:r w:rsidRPr="00BD72CC">
        <w:rPr>
          <w:rFonts w:ascii="Arial" w:hAnsi="Arial" w:cs="Arial"/>
        </w:rPr>
        <w:lastRenderedPageBreak/>
        <w:t>agreement, dealt with together on the basis that they involved the same question of law and based on facts</w:t>
      </w:r>
      <w:r w:rsidR="00A01483" w:rsidRPr="00BD72CC">
        <w:rPr>
          <w:rFonts w:ascii="Arial" w:hAnsi="Arial" w:cs="Arial"/>
        </w:rPr>
        <w:t xml:space="preserve"> as presented in the parties' affidavits</w:t>
      </w:r>
      <w:r w:rsidRPr="00BD72CC">
        <w:rPr>
          <w:rFonts w:ascii="Arial" w:hAnsi="Arial" w:cs="Arial"/>
        </w:rPr>
        <w:t xml:space="preserve">. </w:t>
      </w:r>
    </w:p>
    <w:p w14:paraId="6BE8AD1D" w14:textId="77777777" w:rsidR="00027793" w:rsidRPr="00BD72CC" w:rsidRDefault="00027793" w:rsidP="005F7E61">
      <w:pPr>
        <w:spacing w:line="360" w:lineRule="auto"/>
        <w:jc w:val="both"/>
        <w:rPr>
          <w:rFonts w:ascii="Arial" w:hAnsi="Arial" w:cs="Arial"/>
        </w:rPr>
      </w:pPr>
    </w:p>
    <w:p w14:paraId="721F5080" w14:textId="32E4CD42" w:rsidR="00517C40" w:rsidRPr="00BD72CC" w:rsidRDefault="00517C40" w:rsidP="005F7E61">
      <w:pPr>
        <w:spacing w:line="360" w:lineRule="auto"/>
        <w:jc w:val="both"/>
        <w:rPr>
          <w:rFonts w:ascii="Arial" w:hAnsi="Arial" w:cs="Arial"/>
        </w:rPr>
      </w:pPr>
      <w:r w:rsidRPr="00BD72CC">
        <w:rPr>
          <w:rFonts w:ascii="Arial" w:hAnsi="Arial" w:cs="Arial"/>
          <w:b/>
        </w:rPr>
        <w:t>Conclusion</w:t>
      </w:r>
    </w:p>
    <w:p w14:paraId="0EA32DFA" w14:textId="5831F42E" w:rsidR="00517C40" w:rsidRPr="00BD72CC" w:rsidRDefault="00517C40" w:rsidP="005F7E61">
      <w:pPr>
        <w:spacing w:line="360" w:lineRule="auto"/>
        <w:jc w:val="both"/>
        <w:rPr>
          <w:rFonts w:ascii="Arial" w:hAnsi="Arial" w:cs="Arial"/>
        </w:rPr>
      </w:pPr>
      <w:r w:rsidRPr="00BD72CC">
        <w:rPr>
          <w:rFonts w:ascii="Arial" w:hAnsi="Arial" w:cs="Arial"/>
        </w:rPr>
        <w:t>[</w:t>
      </w:r>
      <w:r w:rsidR="00BF26CE" w:rsidRPr="00BD72CC">
        <w:rPr>
          <w:rFonts w:ascii="Arial" w:hAnsi="Arial" w:cs="Arial"/>
        </w:rPr>
        <w:t>46</w:t>
      </w:r>
      <w:r w:rsidRPr="00BD72CC">
        <w:rPr>
          <w:rFonts w:ascii="Arial" w:hAnsi="Arial" w:cs="Arial"/>
        </w:rPr>
        <w:t>]</w:t>
      </w:r>
      <w:r w:rsidRPr="00BD72CC">
        <w:rPr>
          <w:rFonts w:ascii="Arial" w:hAnsi="Arial" w:cs="Arial"/>
        </w:rPr>
        <w:tab/>
      </w:r>
      <w:r w:rsidR="00D93C26" w:rsidRPr="00BD72CC">
        <w:rPr>
          <w:rFonts w:ascii="Arial" w:hAnsi="Arial" w:cs="Arial"/>
        </w:rPr>
        <w:t xml:space="preserve">Therefore, for </w:t>
      </w:r>
      <w:r w:rsidRPr="00BD72CC">
        <w:rPr>
          <w:rFonts w:ascii="Arial" w:hAnsi="Arial" w:cs="Arial"/>
        </w:rPr>
        <w:t xml:space="preserve">all the </w:t>
      </w:r>
      <w:proofErr w:type="spellStart"/>
      <w:r w:rsidRPr="00BD72CC">
        <w:rPr>
          <w:rFonts w:ascii="Arial" w:hAnsi="Arial" w:cs="Arial"/>
        </w:rPr>
        <w:t>aforegoing</w:t>
      </w:r>
      <w:proofErr w:type="spellEnd"/>
      <w:r w:rsidRPr="00BD72CC">
        <w:rPr>
          <w:rFonts w:ascii="Arial" w:hAnsi="Arial" w:cs="Arial"/>
        </w:rPr>
        <w:t xml:space="preserve"> reasons the appeal must fail. In the result the following order is made:</w:t>
      </w:r>
    </w:p>
    <w:p w14:paraId="2CED199B" w14:textId="34A50F83" w:rsidR="00517C40" w:rsidRPr="00BD72CC" w:rsidRDefault="00517C40" w:rsidP="005F7E61">
      <w:pPr>
        <w:spacing w:line="360" w:lineRule="auto"/>
        <w:jc w:val="both"/>
        <w:rPr>
          <w:rFonts w:ascii="Arial" w:hAnsi="Arial" w:cs="Arial"/>
        </w:rPr>
      </w:pPr>
      <w:r w:rsidRPr="00BD72CC">
        <w:rPr>
          <w:rFonts w:ascii="Arial" w:hAnsi="Arial" w:cs="Arial"/>
        </w:rPr>
        <w:t xml:space="preserve">The appeal is dismissed with costs, including the costs of two counsel. </w:t>
      </w:r>
    </w:p>
    <w:p w14:paraId="7AF56EB5" w14:textId="77777777" w:rsidR="00517C40" w:rsidRPr="00BD72CC" w:rsidRDefault="00517C40" w:rsidP="005F7E61">
      <w:pPr>
        <w:spacing w:line="360" w:lineRule="auto"/>
        <w:jc w:val="both"/>
        <w:rPr>
          <w:rFonts w:ascii="Arial" w:hAnsi="Arial" w:cs="Arial"/>
        </w:rPr>
      </w:pPr>
    </w:p>
    <w:p w14:paraId="3B50F4E0" w14:textId="77777777" w:rsidR="00517C40" w:rsidRPr="00BD72CC" w:rsidRDefault="00517C40" w:rsidP="005F7E61">
      <w:pPr>
        <w:spacing w:line="360" w:lineRule="auto"/>
        <w:jc w:val="both"/>
        <w:rPr>
          <w:rFonts w:ascii="Arial" w:hAnsi="Arial" w:cs="Arial"/>
        </w:rPr>
      </w:pPr>
    </w:p>
    <w:p w14:paraId="53AD19D4" w14:textId="77777777" w:rsidR="005F7E61" w:rsidRPr="00BD72CC" w:rsidRDefault="005F7E61" w:rsidP="005F7E61">
      <w:pPr>
        <w:spacing w:line="360" w:lineRule="auto"/>
        <w:jc w:val="both"/>
        <w:rPr>
          <w:rFonts w:ascii="Arial" w:hAnsi="Arial" w:cs="Arial"/>
          <w:sz w:val="22"/>
        </w:rPr>
      </w:pPr>
    </w:p>
    <w:p w14:paraId="49B7B368" w14:textId="6EF780CE" w:rsidR="00A24535" w:rsidRPr="00BD72CC" w:rsidRDefault="00FA496B" w:rsidP="005F7E61">
      <w:pPr>
        <w:spacing w:line="360" w:lineRule="auto"/>
        <w:jc w:val="right"/>
        <w:rPr>
          <w:rFonts w:ascii="Arial" w:hAnsi="Arial" w:cs="Arial"/>
        </w:rPr>
      </w:pPr>
      <w:r w:rsidRPr="00BD72CC">
        <w:rPr>
          <w:rFonts w:ascii="Arial" w:hAnsi="Arial" w:cs="Arial"/>
        </w:rPr>
        <w:t>__________________</w:t>
      </w:r>
    </w:p>
    <w:p w14:paraId="64CAC702" w14:textId="4429BACA" w:rsidR="001054B0" w:rsidRPr="00BD72CC" w:rsidRDefault="008618F7" w:rsidP="00FA496B">
      <w:pPr>
        <w:ind w:left="2160" w:firstLine="720"/>
        <w:jc w:val="right"/>
        <w:rPr>
          <w:rFonts w:ascii="Arial" w:hAnsi="Arial" w:cs="Arial"/>
          <w:b/>
          <w:bCs/>
        </w:rPr>
      </w:pPr>
      <w:r w:rsidRPr="00BD72CC">
        <w:rPr>
          <w:rFonts w:ascii="Arial" w:hAnsi="Arial" w:cs="Arial"/>
          <w:b/>
          <w:bCs/>
        </w:rPr>
        <w:t>X</w:t>
      </w:r>
      <w:r w:rsidR="00001809" w:rsidRPr="00BD72CC">
        <w:rPr>
          <w:rFonts w:ascii="Arial" w:hAnsi="Arial" w:cs="Arial"/>
          <w:b/>
          <w:bCs/>
        </w:rPr>
        <w:t xml:space="preserve"> </w:t>
      </w:r>
      <w:r w:rsidRPr="00BD72CC">
        <w:rPr>
          <w:rFonts w:ascii="Arial" w:hAnsi="Arial" w:cs="Arial"/>
          <w:b/>
          <w:bCs/>
        </w:rPr>
        <w:t xml:space="preserve">M PETSE </w:t>
      </w:r>
    </w:p>
    <w:p w14:paraId="057FF2CD" w14:textId="77777777" w:rsidR="00517C40" w:rsidRPr="00BD72CC" w:rsidRDefault="00FA496B" w:rsidP="00FA496B">
      <w:pPr>
        <w:jc w:val="right"/>
        <w:rPr>
          <w:rFonts w:ascii="Arial" w:hAnsi="Arial" w:cs="Arial"/>
          <w:b/>
          <w:bCs/>
        </w:rPr>
      </w:pPr>
      <w:r w:rsidRPr="00BD72CC">
        <w:rPr>
          <w:rFonts w:ascii="Arial" w:hAnsi="Arial" w:cs="Arial"/>
          <w:b/>
          <w:bCs/>
        </w:rPr>
        <w:t>ACTING</w:t>
      </w:r>
      <w:r w:rsidR="00517C40" w:rsidRPr="00BD72CC">
        <w:rPr>
          <w:rFonts w:ascii="Arial" w:hAnsi="Arial" w:cs="Arial"/>
          <w:b/>
          <w:bCs/>
        </w:rPr>
        <w:t xml:space="preserve"> PRESIDENT</w:t>
      </w:r>
    </w:p>
    <w:p w14:paraId="69B836E5" w14:textId="3F2501F7" w:rsidR="001054B0" w:rsidRPr="00BD72CC" w:rsidRDefault="00517C40" w:rsidP="00FA496B">
      <w:pPr>
        <w:jc w:val="right"/>
        <w:rPr>
          <w:rFonts w:ascii="Arial" w:hAnsi="Arial" w:cs="Arial"/>
          <w:b/>
          <w:bCs/>
        </w:rPr>
      </w:pPr>
      <w:r w:rsidRPr="00BD72CC">
        <w:rPr>
          <w:rFonts w:ascii="Arial" w:hAnsi="Arial" w:cs="Arial"/>
          <w:b/>
          <w:bCs/>
        </w:rPr>
        <w:t>SUPREME COURT OF</w:t>
      </w:r>
      <w:r w:rsidR="008618F7" w:rsidRPr="00BD72CC">
        <w:rPr>
          <w:rFonts w:ascii="Arial" w:hAnsi="Arial" w:cs="Arial"/>
          <w:b/>
          <w:bCs/>
        </w:rPr>
        <w:t xml:space="preserve"> APPEAL</w:t>
      </w:r>
    </w:p>
    <w:p w14:paraId="6A66AB12" w14:textId="77777777" w:rsidR="001054B0" w:rsidRPr="00BD72CC" w:rsidRDefault="001054B0" w:rsidP="00A24535">
      <w:pPr>
        <w:jc w:val="right"/>
        <w:rPr>
          <w:rFonts w:ascii="Arial" w:hAnsi="Arial" w:cs="Arial"/>
          <w:b/>
          <w:bCs/>
        </w:rPr>
      </w:pPr>
    </w:p>
    <w:p w14:paraId="53855398" w14:textId="77777777" w:rsidR="001054B0" w:rsidRPr="00BD72CC" w:rsidRDefault="001054B0" w:rsidP="00A24535">
      <w:pPr>
        <w:jc w:val="right"/>
        <w:rPr>
          <w:rFonts w:ascii="Arial" w:hAnsi="Arial" w:cs="Arial"/>
          <w:b/>
          <w:bCs/>
        </w:rPr>
      </w:pPr>
    </w:p>
    <w:p w14:paraId="6045F5CA" w14:textId="77777777" w:rsidR="001054B0" w:rsidRPr="00BD72CC" w:rsidRDefault="001054B0" w:rsidP="00A24535">
      <w:pPr>
        <w:jc w:val="right"/>
        <w:rPr>
          <w:rFonts w:ascii="Arial" w:hAnsi="Arial" w:cs="Arial"/>
          <w:b/>
          <w:bCs/>
        </w:rPr>
      </w:pPr>
    </w:p>
    <w:p w14:paraId="0217D217" w14:textId="36E32C6C" w:rsidR="001054B0" w:rsidRPr="00BD72CC" w:rsidRDefault="00FA496B" w:rsidP="00A24535">
      <w:pPr>
        <w:jc w:val="right"/>
        <w:rPr>
          <w:rFonts w:ascii="Arial" w:hAnsi="Arial" w:cs="Arial"/>
          <w:bCs/>
        </w:rPr>
      </w:pPr>
      <w:r w:rsidRPr="00BD72CC">
        <w:rPr>
          <w:rFonts w:ascii="Arial" w:hAnsi="Arial" w:cs="Arial"/>
          <w:bCs/>
        </w:rPr>
        <w:t>_________________________</w:t>
      </w:r>
    </w:p>
    <w:p w14:paraId="279DC504" w14:textId="2823D7BA" w:rsidR="00A24535" w:rsidRPr="00BD72CC" w:rsidRDefault="00033044" w:rsidP="00A24535">
      <w:pPr>
        <w:jc w:val="right"/>
        <w:rPr>
          <w:rFonts w:ascii="Arial" w:hAnsi="Arial" w:cs="Arial"/>
          <w:b/>
          <w:bCs/>
        </w:rPr>
      </w:pPr>
      <w:r w:rsidRPr="00BD72CC">
        <w:rPr>
          <w:rFonts w:ascii="Arial" w:hAnsi="Arial" w:cs="Arial"/>
          <w:b/>
          <w:bCs/>
        </w:rPr>
        <w:t>N</w:t>
      </w:r>
      <w:r w:rsidR="00AD78D0" w:rsidRPr="00BD72CC">
        <w:rPr>
          <w:rFonts w:ascii="Arial" w:hAnsi="Arial" w:cs="Arial"/>
          <w:b/>
          <w:bCs/>
        </w:rPr>
        <w:t xml:space="preserve"> P</w:t>
      </w:r>
      <w:r w:rsidRPr="00BD72CC">
        <w:rPr>
          <w:rFonts w:ascii="Arial" w:hAnsi="Arial" w:cs="Arial"/>
          <w:b/>
          <w:bCs/>
        </w:rPr>
        <w:t xml:space="preserve"> </w:t>
      </w:r>
      <w:r w:rsidR="00873BC5" w:rsidRPr="00BD72CC">
        <w:rPr>
          <w:rFonts w:ascii="Arial" w:hAnsi="Arial" w:cs="Arial"/>
          <w:b/>
          <w:bCs/>
        </w:rPr>
        <w:t>MALI</w:t>
      </w:r>
    </w:p>
    <w:p w14:paraId="5650FD6D" w14:textId="77777777" w:rsidR="00517C40" w:rsidRPr="00BD72CC" w:rsidRDefault="00D0072D" w:rsidP="00A24535">
      <w:pPr>
        <w:jc w:val="right"/>
        <w:rPr>
          <w:rFonts w:ascii="Arial" w:hAnsi="Arial" w:cs="Arial"/>
          <w:b/>
          <w:bCs/>
        </w:rPr>
      </w:pPr>
      <w:r w:rsidRPr="00BD72CC">
        <w:rPr>
          <w:rFonts w:ascii="Arial" w:hAnsi="Arial" w:cs="Arial"/>
          <w:b/>
          <w:bCs/>
        </w:rPr>
        <w:t xml:space="preserve">ACTING </w:t>
      </w:r>
      <w:r w:rsidR="00517C40" w:rsidRPr="00BD72CC">
        <w:rPr>
          <w:rFonts w:ascii="Arial" w:hAnsi="Arial" w:cs="Arial"/>
          <w:b/>
          <w:bCs/>
        </w:rPr>
        <w:t>JUDGE</w:t>
      </w:r>
    </w:p>
    <w:p w14:paraId="0A865CB8" w14:textId="38C3A4D6" w:rsidR="000B2624" w:rsidRPr="00BD72CC" w:rsidRDefault="00517C40" w:rsidP="00A24535">
      <w:pPr>
        <w:jc w:val="right"/>
        <w:rPr>
          <w:rFonts w:ascii="Arial" w:hAnsi="Arial" w:cs="Arial"/>
          <w:b/>
        </w:rPr>
      </w:pPr>
      <w:r w:rsidRPr="00BD72CC">
        <w:rPr>
          <w:rFonts w:ascii="Arial" w:hAnsi="Arial" w:cs="Arial"/>
          <w:b/>
          <w:bCs/>
        </w:rPr>
        <w:t xml:space="preserve">SUPREME COURT OF </w:t>
      </w:r>
      <w:r w:rsidR="008D7B35" w:rsidRPr="00BD72CC">
        <w:rPr>
          <w:rFonts w:ascii="Arial" w:hAnsi="Arial" w:cs="Arial"/>
          <w:b/>
          <w:bCs/>
        </w:rPr>
        <w:t>APPEAL</w:t>
      </w:r>
    </w:p>
    <w:p w14:paraId="5AE97627" w14:textId="77777777" w:rsidR="007123B0" w:rsidRPr="00BD72CC" w:rsidRDefault="007123B0">
      <w:pPr>
        <w:spacing w:after="160" w:line="259" w:lineRule="auto"/>
        <w:rPr>
          <w:rFonts w:ascii="Arial" w:hAnsi="Arial" w:cs="Arial"/>
        </w:rPr>
      </w:pPr>
      <w:r w:rsidRPr="00BD72CC">
        <w:rPr>
          <w:rFonts w:ascii="Arial" w:hAnsi="Arial" w:cs="Arial"/>
        </w:rPr>
        <w:br w:type="page"/>
      </w:r>
    </w:p>
    <w:p w14:paraId="387D93E2" w14:textId="1ED1B7B1" w:rsidR="005E0CD4" w:rsidRPr="00BD72CC" w:rsidRDefault="00FA496B" w:rsidP="005D58D2">
      <w:pPr>
        <w:spacing w:line="360" w:lineRule="auto"/>
        <w:jc w:val="both"/>
        <w:rPr>
          <w:rFonts w:ascii="Arial" w:hAnsi="Arial" w:cs="Arial"/>
        </w:rPr>
      </w:pPr>
      <w:r w:rsidRPr="00BD72CC">
        <w:rPr>
          <w:rFonts w:ascii="Arial" w:hAnsi="Arial" w:cs="Arial"/>
        </w:rPr>
        <w:lastRenderedPageBreak/>
        <w:t>APPEARANCES:</w:t>
      </w:r>
    </w:p>
    <w:p w14:paraId="6E80CED9" w14:textId="77777777" w:rsidR="00FA496B" w:rsidRPr="00BD72CC" w:rsidRDefault="00FA496B" w:rsidP="005D58D2">
      <w:pPr>
        <w:spacing w:line="360" w:lineRule="auto"/>
        <w:jc w:val="both"/>
        <w:rPr>
          <w:rFonts w:ascii="Arial" w:hAnsi="Arial" w:cs="Arial"/>
        </w:rPr>
      </w:pPr>
    </w:p>
    <w:p w14:paraId="5E8C5AF5" w14:textId="1861DEF2" w:rsidR="00FA496B" w:rsidRPr="00BD72CC" w:rsidRDefault="00FA496B" w:rsidP="005D58D2">
      <w:pPr>
        <w:spacing w:line="360" w:lineRule="auto"/>
        <w:jc w:val="both"/>
        <w:rPr>
          <w:rFonts w:ascii="Arial" w:hAnsi="Arial" w:cs="Arial"/>
        </w:rPr>
      </w:pPr>
      <w:r w:rsidRPr="00BD72CC">
        <w:rPr>
          <w:rFonts w:ascii="Arial" w:hAnsi="Arial" w:cs="Arial"/>
        </w:rPr>
        <w:t>For the appellants:</w:t>
      </w:r>
      <w:r w:rsidRPr="00BD72CC">
        <w:rPr>
          <w:rFonts w:ascii="Arial" w:hAnsi="Arial" w:cs="Arial"/>
        </w:rPr>
        <w:tab/>
      </w:r>
      <w:r w:rsidRPr="00BD72CC">
        <w:rPr>
          <w:rFonts w:ascii="Arial" w:hAnsi="Arial" w:cs="Arial"/>
        </w:rPr>
        <w:tab/>
        <w:t xml:space="preserve">JP Vorster SC (with him HJ </w:t>
      </w:r>
      <w:proofErr w:type="spellStart"/>
      <w:r w:rsidRPr="00BD72CC">
        <w:rPr>
          <w:rFonts w:ascii="Arial" w:hAnsi="Arial" w:cs="Arial"/>
        </w:rPr>
        <w:t>Snyman</w:t>
      </w:r>
      <w:proofErr w:type="spellEnd"/>
      <w:r w:rsidRPr="00BD72CC">
        <w:rPr>
          <w:rFonts w:ascii="Arial" w:hAnsi="Arial" w:cs="Arial"/>
        </w:rPr>
        <w:t>)</w:t>
      </w:r>
    </w:p>
    <w:p w14:paraId="7DB2AD92" w14:textId="7EE74177" w:rsidR="00FA496B" w:rsidRPr="00BD72CC" w:rsidRDefault="00FA496B" w:rsidP="005D58D2">
      <w:pPr>
        <w:spacing w:line="360" w:lineRule="auto"/>
        <w:jc w:val="both"/>
        <w:rPr>
          <w:rFonts w:ascii="Arial" w:hAnsi="Arial" w:cs="Arial"/>
        </w:rPr>
      </w:pPr>
      <w:r w:rsidRPr="00BD72CC">
        <w:rPr>
          <w:rFonts w:ascii="Arial" w:hAnsi="Arial" w:cs="Arial"/>
        </w:rPr>
        <w:t>Instructed by:</w:t>
      </w:r>
      <w:r w:rsidRPr="00BD72CC">
        <w:rPr>
          <w:rFonts w:ascii="Arial" w:hAnsi="Arial" w:cs="Arial"/>
        </w:rPr>
        <w:tab/>
      </w:r>
      <w:r w:rsidRPr="00BD72CC">
        <w:rPr>
          <w:rFonts w:ascii="Arial" w:hAnsi="Arial" w:cs="Arial"/>
        </w:rPr>
        <w:tab/>
        <w:t>Shepstone &amp; Wylie Attorneys, Johannesburg</w:t>
      </w:r>
    </w:p>
    <w:p w14:paraId="1428DE5D" w14:textId="7F00DE6B" w:rsidR="00FA496B" w:rsidRPr="00BD72CC" w:rsidRDefault="00FA496B" w:rsidP="005D58D2">
      <w:pPr>
        <w:spacing w:line="360" w:lineRule="auto"/>
        <w:jc w:val="both"/>
        <w:rPr>
          <w:rFonts w:ascii="Arial" w:hAnsi="Arial" w:cs="Arial"/>
        </w:rPr>
      </w:pPr>
      <w:r w:rsidRPr="00BD72CC">
        <w:rPr>
          <w:rFonts w:ascii="Arial" w:hAnsi="Arial" w:cs="Arial"/>
        </w:rPr>
        <w:tab/>
      </w:r>
      <w:r w:rsidRPr="00BD72CC">
        <w:rPr>
          <w:rFonts w:ascii="Arial" w:hAnsi="Arial" w:cs="Arial"/>
        </w:rPr>
        <w:tab/>
      </w:r>
      <w:r w:rsidRPr="00BD72CC">
        <w:rPr>
          <w:rFonts w:ascii="Arial" w:hAnsi="Arial" w:cs="Arial"/>
        </w:rPr>
        <w:tab/>
      </w:r>
      <w:r w:rsidRPr="00BD72CC">
        <w:rPr>
          <w:rFonts w:ascii="Arial" w:hAnsi="Arial" w:cs="Arial"/>
        </w:rPr>
        <w:tab/>
        <w:t>Webbers Attorneys, Bloemfontein</w:t>
      </w:r>
    </w:p>
    <w:p w14:paraId="079D00DF" w14:textId="77777777" w:rsidR="00FA496B" w:rsidRPr="00BD72CC" w:rsidRDefault="00FA496B" w:rsidP="005D58D2">
      <w:pPr>
        <w:spacing w:line="360" w:lineRule="auto"/>
        <w:jc w:val="both"/>
        <w:rPr>
          <w:rFonts w:ascii="Arial" w:hAnsi="Arial" w:cs="Arial"/>
        </w:rPr>
      </w:pPr>
    </w:p>
    <w:p w14:paraId="2D37230F" w14:textId="4F76E291" w:rsidR="00FA496B" w:rsidRPr="00BD72CC" w:rsidRDefault="00FA496B" w:rsidP="005D58D2">
      <w:pPr>
        <w:spacing w:line="360" w:lineRule="auto"/>
        <w:jc w:val="both"/>
        <w:rPr>
          <w:rFonts w:ascii="Arial" w:hAnsi="Arial" w:cs="Arial"/>
        </w:rPr>
      </w:pPr>
      <w:r w:rsidRPr="00BD72CC">
        <w:rPr>
          <w:rFonts w:ascii="Arial" w:hAnsi="Arial" w:cs="Arial"/>
        </w:rPr>
        <w:t>For the respondent:</w:t>
      </w:r>
      <w:r w:rsidRPr="00BD72CC">
        <w:rPr>
          <w:rFonts w:ascii="Arial" w:hAnsi="Arial" w:cs="Arial"/>
        </w:rPr>
        <w:tab/>
      </w:r>
      <w:r w:rsidRPr="00BD72CC">
        <w:rPr>
          <w:rFonts w:ascii="Arial" w:hAnsi="Arial" w:cs="Arial"/>
        </w:rPr>
        <w:tab/>
        <w:t xml:space="preserve">JA Meyer SC (with him </w:t>
      </w:r>
      <w:r w:rsidR="00BF4AF9" w:rsidRPr="00BD72CC">
        <w:rPr>
          <w:rFonts w:ascii="Arial" w:hAnsi="Arial" w:cs="Arial"/>
        </w:rPr>
        <w:t xml:space="preserve">L </w:t>
      </w:r>
      <w:proofErr w:type="spellStart"/>
      <w:r w:rsidR="00BF4AF9" w:rsidRPr="00BD72CC">
        <w:rPr>
          <w:rFonts w:ascii="Arial" w:hAnsi="Arial" w:cs="Arial"/>
        </w:rPr>
        <w:t>Harilal</w:t>
      </w:r>
      <w:proofErr w:type="spellEnd"/>
      <w:r w:rsidR="00BF4AF9" w:rsidRPr="00BD72CC">
        <w:rPr>
          <w:rFonts w:ascii="Arial" w:hAnsi="Arial" w:cs="Arial"/>
        </w:rPr>
        <w:t>)</w:t>
      </w:r>
    </w:p>
    <w:p w14:paraId="1EDEC3CC" w14:textId="3A065883" w:rsidR="00BF4AF9" w:rsidRPr="00BD72CC" w:rsidRDefault="00BF4AF9" w:rsidP="005D58D2">
      <w:pPr>
        <w:spacing w:line="360" w:lineRule="auto"/>
        <w:jc w:val="both"/>
        <w:rPr>
          <w:rFonts w:ascii="Arial" w:hAnsi="Arial" w:cs="Arial"/>
        </w:rPr>
      </w:pPr>
      <w:r w:rsidRPr="00BD72CC">
        <w:rPr>
          <w:rFonts w:ascii="Arial" w:hAnsi="Arial" w:cs="Arial"/>
        </w:rPr>
        <w:t>Instructed by:</w:t>
      </w:r>
      <w:r w:rsidRPr="00BD72CC">
        <w:rPr>
          <w:rFonts w:ascii="Arial" w:hAnsi="Arial" w:cs="Arial"/>
        </w:rPr>
        <w:tab/>
      </w:r>
      <w:r w:rsidRPr="00BD72CC">
        <w:rPr>
          <w:rFonts w:ascii="Arial" w:hAnsi="Arial" w:cs="Arial"/>
        </w:rPr>
        <w:tab/>
        <w:t>State Attorney, Pretoria</w:t>
      </w:r>
    </w:p>
    <w:p w14:paraId="207E7FB8" w14:textId="4374A768" w:rsidR="00BF4AF9" w:rsidRPr="00D849C8" w:rsidRDefault="00BF4AF9" w:rsidP="005D58D2">
      <w:pPr>
        <w:spacing w:line="360" w:lineRule="auto"/>
        <w:jc w:val="both"/>
        <w:rPr>
          <w:rFonts w:ascii="Arial" w:hAnsi="Arial" w:cs="Arial"/>
        </w:rPr>
      </w:pPr>
      <w:r w:rsidRPr="00BD72CC">
        <w:rPr>
          <w:rFonts w:ascii="Arial" w:hAnsi="Arial" w:cs="Arial"/>
        </w:rPr>
        <w:tab/>
      </w:r>
      <w:r w:rsidR="00A46F8A" w:rsidRPr="00BD72CC">
        <w:rPr>
          <w:rFonts w:ascii="Arial" w:hAnsi="Arial" w:cs="Arial"/>
        </w:rPr>
        <w:tab/>
      </w:r>
      <w:r w:rsidR="00A46F8A" w:rsidRPr="00BD72CC">
        <w:rPr>
          <w:rFonts w:ascii="Arial" w:hAnsi="Arial" w:cs="Arial"/>
        </w:rPr>
        <w:tab/>
      </w:r>
      <w:r w:rsidR="00A46F8A" w:rsidRPr="00BD72CC">
        <w:rPr>
          <w:rFonts w:ascii="Arial" w:hAnsi="Arial" w:cs="Arial"/>
        </w:rPr>
        <w:tab/>
        <w:t>State Attorney, Bloemfontein</w:t>
      </w:r>
    </w:p>
    <w:sectPr w:rsidR="00BF4AF9" w:rsidRPr="00D849C8" w:rsidSect="005023E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D4668" w14:textId="77777777" w:rsidR="00902317" w:rsidRDefault="00902317" w:rsidP="005023EF">
      <w:r>
        <w:separator/>
      </w:r>
    </w:p>
  </w:endnote>
  <w:endnote w:type="continuationSeparator" w:id="0">
    <w:p w14:paraId="394F7135" w14:textId="77777777" w:rsidR="00902317" w:rsidRDefault="00902317" w:rsidP="0050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473A5" w14:textId="77777777" w:rsidR="00902317" w:rsidRDefault="00902317" w:rsidP="005023EF">
      <w:r>
        <w:separator/>
      </w:r>
    </w:p>
  </w:footnote>
  <w:footnote w:type="continuationSeparator" w:id="0">
    <w:p w14:paraId="3F33A4CB" w14:textId="77777777" w:rsidR="00902317" w:rsidRDefault="00902317" w:rsidP="005023EF">
      <w:r>
        <w:continuationSeparator/>
      </w:r>
    </w:p>
  </w:footnote>
  <w:footnote w:id="1">
    <w:p w14:paraId="11C326F3" w14:textId="52FA194B" w:rsidR="005508F7" w:rsidRPr="00BD72CC" w:rsidRDefault="005508F7" w:rsidP="00BE6B93">
      <w:pPr>
        <w:pStyle w:val="FootnoteText"/>
        <w:jc w:val="both"/>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Pr="00BD72CC">
        <w:rPr>
          <w:rFonts w:ascii="Arial" w:hAnsi="Arial" w:cs="Arial"/>
          <w:lang w:val="en-ZA"/>
        </w:rPr>
        <w:t xml:space="preserve">Section </w:t>
      </w:r>
      <w:r w:rsidR="00FF1907" w:rsidRPr="00BD72CC">
        <w:rPr>
          <w:rFonts w:ascii="Arial" w:hAnsi="Arial" w:cs="Arial"/>
          <w:lang w:val="en-ZA"/>
        </w:rPr>
        <w:t>47(1) reads:</w:t>
      </w:r>
    </w:p>
    <w:p w14:paraId="1BB7C593" w14:textId="14F3F058" w:rsidR="00FF1907" w:rsidRPr="00BD72CC" w:rsidRDefault="00FF1907" w:rsidP="00BE6B93">
      <w:pPr>
        <w:pStyle w:val="FootnoteText"/>
        <w:jc w:val="both"/>
        <w:rPr>
          <w:rFonts w:ascii="Arial" w:hAnsi="Arial" w:cs="Arial"/>
          <w:lang w:val="en-ZA"/>
        </w:rPr>
      </w:pPr>
      <w:r w:rsidRPr="00BD72CC">
        <w:rPr>
          <w:rFonts w:ascii="Arial" w:hAnsi="Arial" w:cs="Arial"/>
          <w:lang w:val="en-ZA"/>
        </w:rPr>
        <w:t>'Subject to the provisions of this Act, duty shall be paid for the benefit of the National Revenue Fund on all imported goods, all excisable goods, all surcharge goods, all environmental levy goods, all fuel levy goods and all Road Accident Fund levy goods in accordance with the provisions of Schedule</w:t>
      </w:r>
      <w:r w:rsidR="00000DFF" w:rsidRPr="00BD72CC">
        <w:rPr>
          <w:rFonts w:ascii="Arial" w:hAnsi="Arial" w:cs="Arial"/>
          <w:lang w:val="en-ZA"/>
        </w:rPr>
        <w:t xml:space="preserve"> No.</w:t>
      </w:r>
      <w:r w:rsidRPr="00BD72CC">
        <w:rPr>
          <w:rFonts w:ascii="Arial" w:hAnsi="Arial" w:cs="Arial"/>
          <w:lang w:val="en-ZA"/>
        </w:rPr>
        <w:t xml:space="preserve"> 1 at the time of entry for home consumption of such goods.'</w:t>
      </w:r>
    </w:p>
  </w:footnote>
  <w:footnote w:id="2">
    <w:p w14:paraId="6560A3D1" w14:textId="1BD3DDE8" w:rsidR="005508F7" w:rsidRPr="00BD72CC" w:rsidRDefault="005508F7" w:rsidP="00BE6B93">
      <w:pPr>
        <w:pStyle w:val="FootnoteText"/>
        <w:jc w:val="both"/>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Pr="00BD72CC">
        <w:rPr>
          <w:rFonts w:ascii="Arial" w:hAnsi="Arial" w:cs="Arial"/>
          <w:lang w:val="en-ZA"/>
        </w:rPr>
        <w:t>Customs and Excise Act 91 of 1964.</w:t>
      </w:r>
    </w:p>
  </w:footnote>
  <w:footnote w:id="3">
    <w:p w14:paraId="6471C6D8" w14:textId="65FFFB28" w:rsidR="0004001B" w:rsidRPr="00BD72CC" w:rsidRDefault="0004001B">
      <w:pPr>
        <w:pStyle w:val="FootnoteText"/>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Pr="00BD72CC">
        <w:rPr>
          <w:rFonts w:ascii="Arial" w:hAnsi="Arial" w:cs="Arial"/>
          <w:lang w:val="en-ZA"/>
        </w:rPr>
        <w:t>Close Corporation</w:t>
      </w:r>
      <w:r w:rsidR="006B4D22" w:rsidRPr="00BD72CC">
        <w:rPr>
          <w:rFonts w:ascii="Arial" w:hAnsi="Arial" w:cs="Arial"/>
          <w:lang w:val="en-ZA"/>
        </w:rPr>
        <w:t>s</w:t>
      </w:r>
      <w:r w:rsidRPr="00BD72CC">
        <w:rPr>
          <w:rFonts w:ascii="Arial" w:hAnsi="Arial" w:cs="Arial"/>
          <w:lang w:val="en-ZA"/>
        </w:rPr>
        <w:t xml:space="preserve"> Act 69 of 1984.</w:t>
      </w:r>
    </w:p>
  </w:footnote>
  <w:footnote w:id="4">
    <w:p w14:paraId="786EF2C3" w14:textId="24080B2F" w:rsidR="005508F7" w:rsidRPr="00BD72CC" w:rsidRDefault="005508F7" w:rsidP="00BE6B93">
      <w:pPr>
        <w:pStyle w:val="FootnoteText"/>
        <w:jc w:val="both"/>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Pr="00BD72CC">
        <w:rPr>
          <w:rFonts w:ascii="Arial" w:hAnsi="Arial" w:cs="Arial"/>
          <w:lang w:val="en-ZA"/>
        </w:rPr>
        <w:t>Section 47(9)</w:t>
      </w:r>
      <w:r w:rsidRPr="00BD72CC">
        <w:rPr>
          <w:rFonts w:ascii="Arial" w:hAnsi="Arial" w:cs="Arial"/>
          <w:i/>
          <w:lang w:val="en-ZA"/>
        </w:rPr>
        <w:t>(e)</w:t>
      </w:r>
      <w:r w:rsidRPr="00BD72CC">
        <w:rPr>
          <w:rFonts w:ascii="Arial" w:hAnsi="Arial" w:cs="Arial"/>
          <w:lang w:val="en-ZA"/>
        </w:rPr>
        <w:t xml:space="preserve"> of the Act reads:</w:t>
      </w:r>
    </w:p>
    <w:p w14:paraId="0CC60705" w14:textId="79FE7A6F" w:rsidR="005508F7" w:rsidRPr="00BD72CC" w:rsidRDefault="005508F7" w:rsidP="00BE6B93">
      <w:pPr>
        <w:pStyle w:val="FootnoteText"/>
        <w:jc w:val="both"/>
        <w:rPr>
          <w:rFonts w:ascii="Arial" w:hAnsi="Arial" w:cs="Arial"/>
          <w:lang w:val="en-ZA"/>
        </w:rPr>
      </w:pPr>
      <w:r w:rsidRPr="00BD72CC">
        <w:rPr>
          <w:rFonts w:ascii="Arial" w:hAnsi="Arial" w:cs="Arial"/>
          <w:lang w:val="en-ZA"/>
        </w:rPr>
        <w:t>'An appeal against any such determination shall lie to the division of the High Court of South Africa having jurisdiction to hear appeals in the area wherein the determination was made, or the goods in question were entered for home consumption.'</w:t>
      </w:r>
    </w:p>
  </w:footnote>
  <w:footnote w:id="5">
    <w:p w14:paraId="2F595818" w14:textId="32C773F9" w:rsidR="005508F7" w:rsidRPr="00BD72CC" w:rsidRDefault="005508F7" w:rsidP="00BE6B93">
      <w:pPr>
        <w:pStyle w:val="FootnoteText"/>
        <w:jc w:val="both"/>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Pr="00BD72CC">
        <w:rPr>
          <w:rFonts w:ascii="Arial" w:hAnsi="Arial" w:cs="Arial"/>
          <w:lang w:val="en-ZA"/>
        </w:rPr>
        <w:t>Section 47(9)</w:t>
      </w:r>
      <w:r w:rsidRPr="00BD72CC">
        <w:rPr>
          <w:rFonts w:ascii="Arial" w:hAnsi="Arial" w:cs="Arial"/>
          <w:i/>
          <w:lang w:val="en-ZA"/>
        </w:rPr>
        <w:t>(a)</w:t>
      </w:r>
      <w:r w:rsidRPr="00BD72CC">
        <w:rPr>
          <w:rFonts w:ascii="Arial" w:hAnsi="Arial" w:cs="Arial"/>
          <w:lang w:val="en-ZA"/>
        </w:rPr>
        <w:t xml:space="preserve"> of the Act reads:</w:t>
      </w:r>
    </w:p>
    <w:p w14:paraId="7B176539" w14:textId="76B797D0" w:rsidR="005508F7" w:rsidRPr="00BD72CC" w:rsidRDefault="005508F7" w:rsidP="00BE6B93">
      <w:pPr>
        <w:pStyle w:val="FootnoteText"/>
        <w:jc w:val="both"/>
        <w:rPr>
          <w:rFonts w:ascii="Arial" w:hAnsi="Arial" w:cs="Arial"/>
          <w:lang w:val="en-ZA"/>
        </w:rPr>
      </w:pPr>
      <w:r w:rsidRPr="00BD72CC">
        <w:rPr>
          <w:rFonts w:ascii="Arial" w:hAnsi="Arial" w:cs="Arial"/>
          <w:lang w:val="en-ZA"/>
        </w:rPr>
        <w:t xml:space="preserve">'The Commissioner </w:t>
      </w:r>
      <w:r w:rsidR="00000DFF" w:rsidRPr="00BD72CC">
        <w:rPr>
          <w:rFonts w:ascii="Arial" w:hAnsi="Arial" w:cs="Arial"/>
          <w:lang w:val="en-ZA"/>
        </w:rPr>
        <w:t>may in writing determine–</w:t>
      </w:r>
    </w:p>
    <w:p w14:paraId="01ABB18F" w14:textId="3F776BE6" w:rsidR="005508F7" w:rsidRPr="00BD72CC" w:rsidRDefault="005508F7" w:rsidP="00BE6B93">
      <w:pPr>
        <w:pStyle w:val="FootnoteText"/>
        <w:jc w:val="both"/>
        <w:rPr>
          <w:rFonts w:ascii="Arial" w:hAnsi="Arial" w:cs="Arial"/>
          <w:lang w:val="en-ZA"/>
        </w:rPr>
      </w:pPr>
      <w:r w:rsidRPr="00BD72CC">
        <w:rPr>
          <w:rFonts w:ascii="Arial" w:hAnsi="Arial" w:cs="Arial"/>
          <w:i/>
          <w:lang w:val="en-ZA"/>
        </w:rPr>
        <w:t>(aa)</w:t>
      </w:r>
      <w:r w:rsidR="00000DFF" w:rsidRPr="00BD72CC">
        <w:rPr>
          <w:rFonts w:ascii="Arial" w:hAnsi="Arial" w:cs="Arial"/>
          <w:lang w:val="en-ZA"/>
        </w:rPr>
        <w:t xml:space="preserve"> </w:t>
      </w:r>
      <w:r w:rsidRPr="00BD72CC">
        <w:rPr>
          <w:rFonts w:ascii="Arial" w:hAnsi="Arial" w:cs="Arial"/>
          <w:lang w:val="en-ZA"/>
        </w:rPr>
        <w:t>the tariff headings, tariff sub</w:t>
      </w:r>
      <w:r w:rsidR="00000DFF" w:rsidRPr="00BD72CC">
        <w:rPr>
          <w:rFonts w:ascii="Arial" w:hAnsi="Arial" w:cs="Arial"/>
          <w:lang w:val="en-ZA"/>
        </w:rPr>
        <w:t>-</w:t>
      </w:r>
      <w:r w:rsidRPr="00BD72CC">
        <w:rPr>
          <w:rFonts w:ascii="Arial" w:hAnsi="Arial" w:cs="Arial"/>
          <w:lang w:val="en-ZA"/>
        </w:rPr>
        <w:t>headings or tariff items or other items of any Schedule under which any imported goods, goods manufactured in the Republic or goods exported shall be classified'</w:t>
      </w:r>
      <w:r w:rsidR="00000DFF" w:rsidRPr="00BD72CC">
        <w:rPr>
          <w:rFonts w:ascii="Arial" w:hAnsi="Arial" w:cs="Arial"/>
          <w:lang w:val="en-ZA"/>
        </w:rPr>
        <w:t>.</w:t>
      </w:r>
    </w:p>
  </w:footnote>
  <w:footnote w:id="6">
    <w:p w14:paraId="25BE0391" w14:textId="7BF25BFF" w:rsidR="005508F7" w:rsidRPr="00BD72CC" w:rsidRDefault="005508F7" w:rsidP="00BE6B93">
      <w:pPr>
        <w:pStyle w:val="FootnoteText"/>
        <w:jc w:val="both"/>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Pr="00BD72CC">
        <w:rPr>
          <w:rFonts w:ascii="Arial" w:hAnsi="Arial" w:cs="Arial"/>
          <w:lang w:val="en-ZA"/>
        </w:rPr>
        <w:t>General Interpretation Rule 2(a) reads:</w:t>
      </w:r>
    </w:p>
    <w:p w14:paraId="3C9A0659" w14:textId="1F404EC1" w:rsidR="005508F7" w:rsidRPr="00BD72CC" w:rsidRDefault="005508F7" w:rsidP="00BE6B93">
      <w:pPr>
        <w:pStyle w:val="FootnoteText"/>
        <w:jc w:val="both"/>
        <w:rPr>
          <w:rFonts w:ascii="Arial" w:hAnsi="Arial" w:cs="Arial"/>
          <w:lang w:val="en-ZA"/>
        </w:rPr>
      </w:pPr>
      <w:r w:rsidRPr="00BD72CC">
        <w:rPr>
          <w:rFonts w:ascii="Arial" w:hAnsi="Arial" w:cs="Arial"/>
          <w:lang w:val="en-ZA"/>
        </w:rPr>
        <w:t>'Any reference in a heading to an article shall be taken to include a reference to that article incomplete or unfinished, provided that, as presented, the incomplete or unfinished article has the essential character of the complete or finished article. It shall also be taken to include a reference to that article complete or finished (or falling to be classified as complete or finished by virtue of this Rule), presented unassembled or disassembled.'</w:t>
      </w:r>
    </w:p>
  </w:footnote>
  <w:footnote w:id="7">
    <w:p w14:paraId="7F5BA278" w14:textId="17AD1259" w:rsidR="005508F7" w:rsidRPr="00BD72CC" w:rsidRDefault="005508F7" w:rsidP="00BE6B93">
      <w:pPr>
        <w:pStyle w:val="FootnoteText"/>
        <w:jc w:val="both"/>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Pr="00BD72CC">
        <w:rPr>
          <w:rFonts w:ascii="Arial" w:hAnsi="Arial" w:cs="Arial"/>
          <w:lang w:val="en-ZA"/>
        </w:rPr>
        <w:t xml:space="preserve">This was the expert evidence contained in the affidavit of Mr Graeme </w:t>
      </w:r>
      <w:proofErr w:type="spellStart"/>
      <w:r w:rsidRPr="00BD72CC">
        <w:rPr>
          <w:rFonts w:ascii="Arial" w:hAnsi="Arial" w:cs="Arial"/>
          <w:lang w:val="en-ZA"/>
        </w:rPr>
        <w:t>Stickells</w:t>
      </w:r>
      <w:proofErr w:type="spellEnd"/>
      <w:r w:rsidRPr="00BD72CC">
        <w:rPr>
          <w:rFonts w:ascii="Arial" w:hAnsi="Arial" w:cs="Arial"/>
          <w:lang w:val="en-ZA"/>
        </w:rPr>
        <w:t xml:space="preserve"> filed in the cases of </w:t>
      </w:r>
      <w:proofErr w:type="spellStart"/>
      <w:r w:rsidRPr="00BD72CC">
        <w:rPr>
          <w:rFonts w:ascii="Arial" w:hAnsi="Arial" w:cs="Arial"/>
          <w:lang w:val="en-ZA"/>
        </w:rPr>
        <w:t>Omnico</w:t>
      </w:r>
      <w:proofErr w:type="spellEnd"/>
      <w:r w:rsidRPr="00BD72CC">
        <w:rPr>
          <w:rFonts w:ascii="Arial" w:hAnsi="Arial" w:cs="Arial"/>
          <w:lang w:val="en-ZA"/>
        </w:rPr>
        <w:t xml:space="preserve"> and </w:t>
      </w:r>
      <w:proofErr w:type="spellStart"/>
      <w:r w:rsidRPr="00BD72CC">
        <w:rPr>
          <w:rFonts w:ascii="Arial" w:hAnsi="Arial" w:cs="Arial"/>
          <w:lang w:val="en-ZA"/>
        </w:rPr>
        <w:t>Cytek</w:t>
      </w:r>
      <w:proofErr w:type="spellEnd"/>
      <w:r w:rsidRPr="00BD72CC">
        <w:rPr>
          <w:rFonts w:ascii="Arial" w:hAnsi="Arial" w:cs="Arial"/>
          <w:lang w:val="en-ZA"/>
        </w:rPr>
        <w:t xml:space="preserve"> Cycle on the grounds that it constituted opinion evidence and therefore inadmissible on account of </w:t>
      </w:r>
      <w:r w:rsidR="00AC4D3E">
        <w:rPr>
          <w:rFonts w:ascii="Arial" w:hAnsi="Arial" w:cs="Arial"/>
          <w:lang w:val="en-ZA"/>
        </w:rPr>
        <w:t xml:space="preserve">it </w:t>
      </w:r>
      <w:r w:rsidRPr="00BD72CC">
        <w:rPr>
          <w:rFonts w:ascii="Arial" w:hAnsi="Arial" w:cs="Arial"/>
          <w:lang w:val="en-ZA"/>
        </w:rPr>
        <w:t xml:space="preserve">being irrelevant. </w:t>
      </w:r>
    </w:p>
  </w:footnote>
  <w:footnote w:id="8">
    <w:p w14:paraId="5DB65A5E" w14:textId="7075469E" w:rsidR="005508F7" w:rsidRPr="00BD72CC" w:rsidRDefault="005508F7" w:rsidP="00BE6B93">
      <w:pPr>
        <w:pStyle w:val="FootnoteText"/>
        <w:jc w:val="both"/>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Pr="00BD72CC">
        <w:rPr>
          <w:rFonts w:ascii="Arial" w:hAnsi="Arial" w:cs="Arial"/>
          <w:lang w:val="en-ZA"/>
        </w:rPr>
        <w:t>No expert evidence was presented on behalf of Silverback.</w:t>
      </w:r>
    </w:p>
  </w:footnote>
  <w:footnote w:id="9">
    <w:p w14:paraId="3CB8C2F4" w14:textId="226E9D8B" w:rsidR="005508F7" w:rsidRPr="00BD72CC" w:rsidRDefault="005508F7" w:rsidP="00BE6B93">
      <w:pPr>
        <w:pStyle w:val="FootnoteText"/>
        <w:jc w:val="both"/>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Pr="00BD72CC">
        <w:rPr>
          <w:rFonts w:ascii="Arial" w:hAnsi="Arial" w:cs="Arial"/>
          <w:lang w:val="en-ZA"/>
        </w:rPr>
        <w:t xml:space="preserve">This was the expert evidence presented by Mr Du </w:t>
      </w:r>
      <w:proofErr w:type="spellStart"/>
      <w:r w:rsidRPr="00BD72CC">
        <w:rPr>
          <w:rFonts w:ascii="Arial" w:hAnsi="Arial" w:cs="Arial"/>
          <w:lang w:val="en-ZA"/>
        </w:rPr>
        <w:t>Toit</w:t>
      </w:r>
      <w:proofErr w:type="spellEnd"/>
      <w:r w:rsidRPr="00BD72CC">
        <w:rPr>
          <w:rFonts w:ascii="Arial" w:hAnsi="Arial" w:cs="Arial"/>
          <w:lang w:val="en-ZA"/>
        </w:rPr>
        <w:t xml:space="preserve"> on behalf of SARS on the grounds that it was irrelevant and therefore inadmissible. </w:t>
      </w:r>
    </w:p>
  </w:footnote>
  <w:footnote w:id="10">
    <w:p w14:paraId="2285D9D2" w14:textId="2889EC72" w:rsidR="005508F7" w:rsidRPr="00BD72CC" w:rsidRDefault="005508F7" w:rsidP="00BE6B93">
      <w:pPr>
        <w:pStyle w:val="FootnoteText"/>
        <w:jc w:val="both"/>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Pr="00BD72CC">
        <w:rPr>
          <w:rFonts w:ascii="Arial" w:hAnsi="Arial" w:cs="Arial"/>
          <w:lang w:val="en-ZA"/>
        </w:rPr>
        <w:t xml:space="preserve">As consequential relief, the high court ordered the appellants to pay excise duty on the imported goods as previously determined by the Commissioner. </w:t>
      </w:r>
    </w:p>
  </w:footnote>
  <w:footnote w:id="11">
    <w:p w14:paraId="3E149D7A" w14:textId="472ED7BC" w:rsidR="005508F7" w:rsidRPr="00BD72CC" w:rsidRDefault="005508F7" w:rsidP="00BE6B93">
      <w:pPr>
        <w:pStyle w:val="FootnoteText"/>
        <w:jc w:val="both"/>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Pr="00BD72CC">
        <w:rPr>
          <w:rFonts w:ascii="Arial" w:hAnsi="Arial" w:cs="Arial"/>
          <w:lang w:val="en-ZA"/>
        </w:rPr>
        <w:t xml:space="preserve">The guidelines are </w:t>
      </w:r>
      <w:r w:rsidR="00F635BF" w:rsidRPr="00BD72CC">
        <w:rPr>
          <w:rFonts w:ascii="Arial" w:hAnsi="Arial" w:cs="Arial"/>
          <w:lang w:val="en-ZA"/>
        </w:rPr>
        <w:t>referenced</w:t>
      </w:r>
      <w:r w:rsidRPr="00BD72CC">
        <w:rPr>
          <w:rFonts w:ascii="Arial" w:hAnsi="Arial" w:cs="Arial"/>
          <w:lang w:val="en-ZA"/>
        </w:rPr>
        <w:t xml:space="preserve"> in para </w:t>
      </w:r>
      <w:r w:rsidR="001743A3" w:rsidRPr="00BD72CC">
        <w:rPr>
          <w:rFonts w:ascii="Arial" w:hAnsi="Arial" w:cs="Arial"/>
          <w:lang w:val="en-ZA"/>
        </w:rPr>
        <w:t xml:space="preserve">27 </w:t>
      </w:r>
      <w:r w:rsidRPr="00BD72CC">
        <w:rPr>
          <w:rFonts w:ascii="Arial" w:hAnsi="Arial" w:cs="Arial"/>
          <w:lang w:val="en-ZA"/>
        </w:rPr>
        <w:t>below.</w:t>
      </w:r>
    </w:p>
  </w:footnote>
  <w:footnote w:id="12">
    <w:p w14:paraId="6422AA87" w14:textId="502E1229" w:rsidR="005508F7" w:rsidRPr="00BD72CC" w:rsidRDefault="005508F7" w:rsidP="00BE6B93">
      <w:pPr>
        <w:pStyle w:val="FootnoteText"/>
        <w:jc w:val="both"/>
        <w:rPr>
          <w:rFonts w:ascii="Arial" w:hAnsi="Arial" w:cs="Arial"/>
        </w:rPr>
      </w:pPr>
      <w:r w:rsidRPr="00BD72CC">
        <w:rPr>
          <w:rStyle w:val="FootnoteReference"/>
          <w:rFonts w:ascii="Arial" w:hAnsi="Arial" w:cs="Arial"/>
        </w:rPr>
        <w:footnoteRef/>
      </w:r>
      <w:r w:rsidRPr="00BD72CC">
        <w:rPr>
          <w:rFonts w:ascii="Arial" w:hAnsi="Arial" w:cs="Arial"/>
        </w:rPr>
        <w:t xml:space="preserve"> Tariff heading 8712.00 reads:</w:t>
      </w:r>
    </w:p>
    <w:p w14:paraId="3FEAC0C4" w14:textId="4C86026D" w:rsidR="005508F7" w:rsidRPr="00BD72CC" w:rsidRDefault="005508F7" w:rsidP="00BE6B93">
      <w:pPr>
        <w:pStyle w:val="FootnoteText"/>
        <w:jc w:val="both"/>
        <w:rPr>
          <w:rFonts w:ascii="Arial" w:hAnsi="Arial" w:cs="Arial"/>
        </w:rPr>
      </w:pPr>
      <w:r w:rsidRPr="00BD72CC">
        <w:rPr>
          <w:rFonts w:ascii="Arial" w:hAnsi="Arial" w:cs="Arial"/>
        </w:rPr>
        <w:t>'Bicycles and other cycles (including delivery tri-cycles), not motorised.'</w:t>
      </w:r>
    </w:p>
    <w:p w14:paraId="3D7B1E1D" w14:textId="0AC7CA5A" w:rsidR="005508F7" w:rsidRPr="00BD72CC" w:rsidRDefault="005508F7" w:rsidP="00BE6B93">
      <w:pPr>
        <w:pStyle w:val="FootnoteText"/>
        <w:jc w:val="both"/>
        <w:rPr>
          <w:rFonts w:ascii="Arial" w:hAnsi="Arial" w:cs="Arial"/>
        </w:rPr>
      </w:pPr>
      <w:r w:rsidRPr="00BD72CC">
        <w:rPr>
          <w:rFonts w:ascii="Arial" w:hAnsi="Arial" w:cs="Arial"/>
        </w:rPr>
        <w:t>Sub-heading 8712.00.10 reads:</w:t>
      </w:r>
    </w:p>
    <w:p w14:paraId="373F19A6" w14:textId="2DAA9864" w:rsidR="005508F7" w:rsidRPr="00BD72CC" w:rsidRDefault="005508F7" w:rsidP="00BE6B93">
      <w:pPr>
        <w:pStyle w:val="FootnoteText"/>
        <w:jc w:val="both"/>
        <w:rPr>
          <w:rFonts w:ascii="Arial" w:hAnsi="Arial" w:cs="Arial"/>
          <w:lang w:val="en-ZA"/>
        </w:rPr>
      </w:pPr>
      <w:r w:rsidRPr="00BD72CC">
        <w:rPr>
          <w:rFonts w:ascii="Arial" w:hAnsi="Arial" w:cs="Arial"/>
        </w:rPr>
        <w:t>'Bicycles.'</w:t>
      </w:r>
    </w:p>
  </w:footnote>
  <w:footnote w:id="13">
    <w:p w14:paraId="06AFD3C5" w14:textId="590399E6" w:rsidR="005508F7" w:rsidRPr="00BD72CC" w:rsidRDefault="005508F7" w:rsidP="00BE6B93">
      <w:pPr>
        <w:pStyle w:val="FootnoteText"/>
        <w:jc w:val="both"/>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Pr="00BD72CC">
        <w:rPr>
          <w:rFonts w:ascii="Arial" w:hAnsi="Arial" w:cs="Arial"/>
          <w:lang w:val="en-ZA"/>
        </w:rPr>
        <w:t>Tariff heading 8714.9 reads:</w:t>
      </w:r>
    </w:p>
    <w:p w14:paraId="6FD4FD3A" w14:textId="336E0A20" w:rsidR="005508F7" w:rsidRPr="00BD72CC" w:rsidRDefault="005508F7" w:rsidP="00BE6B93">
      <w:pPr>
        <w:pStyle w:val="FootnoteText"/>
        <w:jc w:val="both"/>
        <w:rPr>
          <w:rFonts w:ascii="Arial" w:hAnsi="Arial" w:cs="Arial"/>
          <w:lang w:val="en-ZA"/>
        </w:rPr>
      </w:pPr>
      <w:r w:rsidRPr="00BD72CC">
        <w:rPr>
          <w:rFonts w:ascii="Arial" w:hAnsi="Arial" w:cs="Arial"/>
          <w:lang w:val="en-ZA"/>
        </w:rPr>
        <w:t>'Other.'</w:t>
      </w:r>
    </w:p>
    <w:p w14:paraId="04A508ED" w14:textId="18B6774B" w:rsidR="005508F7" w:rsidRPr="00BD72CC" w:rsidRDefault="005508F7" w:rsidP="00BE6B93">
      <w:pPr>
        <w:pStyle w:val="FootnoteText"/>
        <w:jc w:val="both"/>
        <w:rPr>
          <w:rFonts w:ascii="Arial" w:hAnsi="Arial" w:cs="Arial"/>
          <w:lang w:val="en-ZA"/>
        </w:rPr>
      </w:pPr>
      <w:r w:rsidRPr="00BD72CC">
        <w:rPr>
          <w:rFonts w:ascii="Arial" w:hAnsi="Arial" w:cs="Arial"/>
          <w:lang w:val="en-ZA"/>
        </w:rPr>
        <w:t>Sub-heading 8714.91 reads:</w:t>
      </w:r>
    </w:p>
    <w:p w14:paraId="4A542258" w14:textId="2B0B2C3F" w:rsidR="005508F7" w:rsidRPr="00BD72CC" w:rsidRDefault="005508F7" w:rsidP="00BE6B93">
      <w:pPr>
        <w:pStyle w:val="FootnoteText"/>
        <w:jc w:val="both"/>
        <w:rPr>
          <w:rFonts w:ascii="Arial" w:hAnsi="Arial" w:cs="Arial"/>
          <w:lang w:val="en-ZA"/>
        </w:rPr>
      </w:pPr>
      <w:r w:rsidRPr="00BD72CC">
        <w:rPr>
          <w:rFonts w:ascii="Arial" w:hAnsi="Arial" w:cs="Arial"/>
          <w:lang w:val="en-ZA"/>
        </w:rPr>
        <w:t>'Frames and forks, and parts thereof.'</w:t>
      </w:r>
    </w:p>
  </w:footnote>
  <w:footnote w:id="14">
    <w:p w14:paraId="587B64C0" w14:textId="4D5CEF95" w:rsidR="005508F7" w:rsidRPr="00BD72CC" w:rsidRDefault="005508F7" w:rsidP="00BE6B93">
      <w:pPr>
        <w:pStyle w:val="FootnoteText"/>
        <w:jc w:val="both"/>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Pr="00BD72CC">
        <w:rPr>
          <w:rFonts w:ascii="Arial" w:hAnsi="Arial" w:cs="Arial"/>
          <w:i/>
        </w:rPr>
        <w:t>International Business Machines SA (</w:t>
      </w:r>
      <w:r w:rsidR="00EF699C" w:rsidRPr="00BD72CC">
        <w:rPr>
          <w:rFonts w:ascii="Arial" w:hAnsi="Arial" w:cs="Arial"/>
          <w:i/>
        </w:rPr>
        <w:t>Pty</w:t>
      </w:r>
      <w:r w:rsidRPr="00BD72CC">
        <w:rPr>
          <w:rFonts w:ascii="Arial" w:hAnsi="Arial" w:cs="Arial"/>
          <w:i/>
        </w:rPr>
        <w:t>) Ltd v Commissioner for Customs and Excise</w:t>
      </w:r>
      <w:r w:rsidRPr="00BD72CC">
        <w:rPr>
          <w:rFonts w:ascii="Arial" w:hAnsi="Arial" w:cs="Arial"/>
        </w:rPr>
        <w:t xml:space="preserve"> </w:t>
      </w:r>
      <w:r w:rsidR="001E51ED" w:rsidRPr="00BD72CC">
        <w:rPr>
          <w:rFonts w:ascii="Arial" w:hAnsi="Arial" w:cs="Arial"/>
        </w:rPr>
        <w:t xml:space="preserve">[1985] ZASCA 87; [1985] 2 All SA 596; </w:t>
      </w:r>
      <w:r w:rsidRPr="00BD72CC">
        <w:rPr>
          <w:rFonts w:ascii="Arial" w:hAnsi="Arial" w:cs="Arial"/>
        </w:rPr>
        <w:t>1985 (4) SA 852 (A)</w:t>
      </w:r>
      <w:r w:rsidR="00EF699C" w:rsidRPr="00BD72CC">
        <w:rPr>
          <w:rFonts w:ascii="Arial" w:hAnsi="Arial" w:cs="Arial"/>
        </w:rPr>
        <w:t xml:space="preserve"> (</w:t>
      </w:r>
      <w:r w:rsidR="00EF699C" w:rsidRPr="00BD72CC">
        <w:rPr>
          <w:rFonts w:ascii="Arial" w:hAnsi="Arial" w:cs="Arial"/>
          <w:i/>
        </w:rPr>
        <w:t>International Business Machines</w:t>
      </w:r>
      <w:r w:rsidR="00EF699C" w:rsidRPr="00BD72CC">
        <w:rPr>
          <w:rFonts w:ascii="Arial" w:hAnsi="Arial" w:cs="Arial"/>
        </w:rPr>
        <w:t>)</w:t>
      </w:r>
      <w:r w:rsidRPr="00BD72CC">
        <w:rPr>
          <w:rFonts w:ascii="Arial" w:hAnsi="Arial" w:cs="Arial"/>
        </w:rPr>
        <w:t>.</w:t>
      </w:r>
    </w:p>
  </w:footnote>
  <w:footnote w:id="15">
    <w:p w14:paraId="5C656E65" w14:textId="7698B6E2" w:rsidR="005508F7" w:rsidRPr="00BD72CC" w:rsidRDefault="005508F7" w:rsidP="00BE6B93">
      <w:pPr>
        <w:pStyle w:val="FootnoteText"/>
        <w:jc w:val="both"/>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Pr="00BD72CC">
        <w:rPr>
          <w:rFonts w:ascii="Arial" w:hAnsi="Arial" w:cs="Arial"/>
          <w:lang w:val="en-ZA"/>
        </w:rPr>
        <w:t>Ibid at 863 B-C.</w:t>
      </w:r>
    </w:p>
  </w:footnote>
  <w:footnote w:id="16">
    <w:p w14:paraId="5C751EA3" w14:textId="4D3C6DFD" w:rsidR="005508F7" w:rsidRPr="00BD72CC" w:rsidRDefault="005508F7" w:rsidP="00BE6B93">
      <w:pPr>
        <w:pStyle w:val="FootnoteText"/>
        <w:jc w:val="both"/>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Pr="00BD72CC">
        <w:rPr>
          <w:rFonts w:ascii="Arial" w:hAnsi="Arial" w:cs="Arial"/>
          <w:i/>
        </w:rPr>
        <w:t xml:space="preserve">Natal Joint Municipal Pension Fund v </w:t>
      </w:r>
      <w:proofErr w:type="spellStart"/>
      <w:r w:rsidRPr="00BD72CC">
        <w:rPr>
          <w:rFonts w:ascii="Arial" w:hAnsi="Arial" w:cs="Arial"/>
          <w:i/>
        </w:rPr>
        <w:t>Endumeni</w:t>
      </w:r>
      <w:proofErr w:type="spellEnd"/>
      <w:r w:rsidRPr="00BD72CC">
        <w:rPr>
          <w:rFonts w:ascii="Arial" w:hAnsi="Arial" w:cs="Arial"/>
          <w:i/>
        </w:rPr>
        <w:t xml:space="preserve"> Municipality</w:t>
      </w:r>
      <w:r w:rsidRPr="00BD72CC">
        <w:rPr>
          <w:rFonts w:ascii="Arial" w:hAnsi="Arial" w:cs="Arial"/>
        </w:rPr>
        <w:t xml:space="preserve"> [2012] ZASCA 13; [2012] 2 All SA 262 (SCA)</w:t>
      </w:r>
      <w:r w:rsidR="001E51ED" w:rsidRPr="00BD72CC">
        <w:rPr>
          <w:rFonts w:ascii="Arial" w:hAnsi="Arial" w:cs="Arial"/>
        </w:rPr>
        <w:t>; 2012 (4) SA 593 (SCA) para 18</w:t>
      </w:r>
      <w:r w:rsidR="00EF699C" w:rsidRPr="00BD72CC">
        <w:rPr>
          <w:rFonts w:ascii="Arial" w:hAnsi="Arial" w:cs="Arial"/>
        </w:rPr>
        <w:t xml:space="preserve"> (</w:t>
      </w:r>
      <w:r w:rsidR="00EF699C" w:rsidRPr="00BD72CC">
        <w:rPr>
          <w:rFonts w:ascii="Arial" w:hAnsi="Arial" w:cs="Arial"/>
          <w:i/>
        </w:rPr>
        <w:t>Endumeni</w:t>
      </w:r>
      <w:r w:rsidR="00EF699C" w:rsidRPr="00BD72CC">
        <w:rPr>
          <w:rFonts w:ascii="Arial" w:hAnsi="Arial" w:cs="Arial"/>
        </w:rPr>
        <w:t>)</w:t>
      </w:r>
      <w:r w:rsidR="001E51ED" w:rsidRPr="00BD72CC">
        <w:rPr>
          <w:rFonts w:ascii="Arial" w:hAnsi="Arial" w:cs="Arial"/>
        </w:rPr>
        <w:t>.</w:t>
      </w:r>
    </w:p>
  </w:footnote>
  <w:footnote w:id="17">
    <w:p w14:paraId="17C1DF2D" w14:textId="4BCCF498" w:rsidR="005508F7" w:rsidRPr="00BD72CC" w:rsidRDefault="005508F7" w:rsidP="00BE6B93">
      <w:pPr>
        <w:pStyle w:val="FootnoteText"/>
        <w:jc w:val="both"/>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Pr="00BD72CC">
        <w:rPr>
          <w:rFonts w:ascii="Arial" w:hAnsi="Arial" w:cs="Arial"/>
          <w:lang w:val="en-ZA"/>
        </w:rPr>
        <w:t xml:space="preserve">See also: </w:t>
      </w:r>
      <w:r w:rsidRPr="00BD72CC">
        <w:rPr>
          <w:rFonts w:ascii="Arial" w:hAnsi="Arial" w:cs="Arial"/>
          <w:i/>
          <w:lang w:val="en-ZA"/>
        </w:rPr>
        <w:t>Cool Ideas 1186 CC v Hubbard and Another</w:t>
      </w:r>
      <w:r w:rsidRPr="00BD72CC">
        <w:rPr>
          <w:rFonts w:ascii="Arial" w:hAnsi="Arial" w:cs="Arial"/>
          <w:lang w:val="en-ZA"/>
        </w:rPr>
        <w:t xml:space="preserve"> [2014] ZACC 16; 2014 (4) SA 474 (CC) para 28; </w:t>
      </w:r>
      <w:r w:rsidRPr="00BD72CC">
        <w:rPr>
          <w:rFonts w:ascii="Arial" w:hAnsi="Arial" w:cs="Arial"/>
          <w:i/>
          <w:lang w:val="en-ZA"/>
        </w:rPr>
        <w:t>Road Traffic Management Corporation v Waymark (Pty) Limited</w:t>
      </w:r>
      <w:r w:rsidRPr="00BD72CC">
        <w:rPr>
          <w:rFonts w:ascii="Arial" w:hAnsi="Arial" w:cs="Arial"/>
          <w:lang w:val="en-ZA"/>
        </w:rPr>
        <w:t xml:space="preserve"> [2019] ZACC 12; 2019 (5) SA 29 (CC) paras 30-32.</w:t>
      </w:r>
    </w:p>
  </w:footnote>
  <w:footnote w:id="18">
    <w:p w14:paraId="2D974F93" w14:textId="63AD270A" w:rsidR="005508F7" w:rsidRPr="00BD72CC" w:rsidRDefault="005508F7" w:rsidP="00BE6B93">
      <w:pPr>
        <w:pStyle w:val="FootnoteText"/>
        <w:jc w:val="both"/>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Pr="00BD72CC">
        <w:rPr>
          <w:rFonts w:ascii="Arial" w:hAnsi="Arial" w:cs="Arial"/>
          <w:i/>
        </w:rPr>
        <w:t>Minister of Police and Others v Fidelity Security Services (Pty) Limited</w:t>
      </w:r>
      <w:r w:rsidRPr="00BD72CC">
        <w:rPr>
          <w:rFonts w:ascii="Arial" w:hAnsi="Arial" w:cs="Arial"/>
        </w:rPr>
        <w:t xml:space="preserve"> [2022] ZACC 16; 2022 (2) SACR 519 (CC).</w:t>
      </w:r>
    </w:p>
  </w:footnote>
  <w:footnote w:id="19">
    <w:p w14:paraId="3C00A599" w14:textId="77777777" w:rsidR="005508F7" w:rsidRPr="00BD72CC" w:rsidRDefault="005508F7" w:rsidP="00BE6B93">
      <w:pPr>
        <w:pStyle w:val="FootnoteText"/>
        <w:jc w:val="both"/>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Pr="00BD72CC">
        <w:rPr>
          <w:rFonts w:ascii="Arial" w:hAnsi="Arial" w:cs="Arial"/>
          <w:lang w:val="en-ZA"/>
        </w:rPr>
        <w:t xml:space="preserve">Ibid para 34; see also </w:t>
      </w:r>
      <w:proofErr w:type="spellStart"/>
      <w:r w:rsidRPr="00BD72CC">
        <w:rPr>
          <w:rFonts w:ascii="Arial" w:hAnsi="Arial" w:cs="Arial"/>
          <w:i/>
          <w:lang w:val="en-ZA"/>
        </w:rPr>
        <w:t>Chisuse</w:t>
      </w:r>
      <w:proofErr w:type="spellEnd"/>
      <w:r w:rsidRPr="00BD72CC">
        <w:rPr>
          <w:rFonts w:ascii="Arial" w:hAnsi="Arial" w:cs="Arial"/>
          <w:i/>
          <w:lang w:val="en-ZA"/>
        </w:rPr>
        <w:t xml:space="preserve"> and Others v Director-General, Department of Home Affairs and Another</w:t>
      </w:r>
      <w:r w:rsidRPr="00BD72CC">
        <w:rPr>
          <w:rFonts w:ascii="Arial" w:hAnsi="Arial" w:cs="Arial"/>
          <w:lang w:val="en-ZA"/>
        </w:rPr>
        <w:t xml:space="preserve"> [2020] ZACC 20; 2020 (6) SA 14 (CC) para 52.</w:t>
      </w:r>
    </w:p>
  </w:footnote>
  <w:footnote w:id="20">
    <w:p w14:paraId="520D99E0" w14:textId="74DB8FC9" w:rsidR="001E51ED" w:rsidRPr="00BD72CC" w:rsidRDefault="001E51ED">
      <w:pPr>
        <w:pStyle w:val="FootnoteText"/>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Pr="00BD72CC">
        <w:rPr>
          <w:rFonts w:ascii="Arial" w:hAnsi="Arial" w:cs="Arial"/>
          <w:i/>
        </w:rPr>
        <w:t>Capitec Bank Holdings Limited and Another v Coral Lagoon Investments 194 (Pty) Ltd and Others</w:t>
      </w:r>
      <w:r w:rsidRPr="00BD72CC">
        <w:rPr>
          <w:rFonts w:ascii="Arial" w:hAnsi="Arial" w:cs="Arial"/>
        </w:rPr>
        <w:t xml:space="preserve"> </w:t>
      </w:r>
      <w:r w:rsidR="00502A81" w:rsidRPr="00BD72CC">
        <w:rPr>
          <w:rFonts w:ascii="Arial" w:hAnsi="Arial" w:cs="Arial"/>
        </w:rPr>
        <w:t>[2021] ZASCA 99; [2021] 3 All SA 647 (SCA); 2022 (1) SA 100 (SCA)</w:t>
      </w:r>
      <w:r w:rsidRPr="00BD72CC">
        <w:rPr>
          <w:rFonts w:ascii="Arial" w:hAnsi="Arial" w:cs="Arial"/>
        </w:rPr>
        <w:t>.</w:t>
      </w:r>
    </w:p>
  </w:footnote>
  <w:footnote w:id="21">
    <w:p w14:paraId="0020EEDA" w14:textId="038430F9" w:rsidR="005508F7" w:rsidRPr="00BD72CC" w:rsidRDefault="005508F7" w:rsidP="00BE6B93">
      <w:pPr>
        <w:pStyle w:val="FootnoteText"/>
        <w:jc w:val="both"/>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001E51ED" w:rsidRPr="00BD72CC">
        <w:rPr>
          <w:rFonts w:ascii="Arial" w:hAnsi="Arial" w:cs="Arial"/>
        </w:rPr>
        <w:t xml:space="preserve">Ibid </w:t>
      </w:r>
      <w:r w:rsidRPr="00BD72CC">
        <w:rPr>
          <w:rFonts w:ascii="Arial" w:hAnsi="Arial" w:cs="Arial"/>
        </w:rPr>
        <w:t>para 25.</w:t>
      </w:r>
    </w:p>
  </w:footnote>
  <w:footnote w:id="22">
    <w:p w14:paraId="02C8FFB3" w14:textId="04F477A7" w:rsidR="005508F7" w:rsidRPr="00BD72CC" w:rsidRDefault="005508F7" w:rsidP="00BE6B93">
      <w:pPr>
        <w:pStyle w:val="FootnoteText"/>
        <w:jc w:val="both"/>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Pr="00BD72CC">
        <w:rPr>
          <w:rFonts w:ascii="Arial" w:hAnsi="Arial" w:cs="Arial"/>
          <w:lang w:val="en-ZA"/>
        </w:rPr>
        <w:t xml:space="preserve">See footnote </w:t>
      </w:r>
      <w:r w:rsidR="00C92F37" w:rsidRPr="00BD72CC">
        <w:rPr>
          <w:rFonts w:ascii="Arial" w:hAnsi="Arial" w:cs="Arial"/>
          <w:lang w:val="en-ZA"/>
        </w:rPr>
        <w:t xml:space="preserve">14 </w:t>
      </w:r>
      <w:r w:rsidRPr="00BD72CC">
        <w:rPr>
          <w:rFonts w:ascii="Arial" w:hAnsi="Arial" w:cs="Arial"/>
          <w:lang w:val="en-ZA"/>
        </w:rPr>
        <w:t>above.</w:t>
      </w:r>
    </w:p>
  </w:footnote>
  <w:footnote w:id="23">
    <w:p w14:paraId="386BE572" w14:textId="0DAC67D4" w:rsidR="005508F7" w:rsidRPr="00BD72CC" w:rsidRDefault="005508F7" w:rsidP="00BE6B93">
      <w:pPr>
        <w:pStyle w:val="FootnoteText"/>
        <w:jc w:val="both"/>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Pr="00BD72CC">
        <w:rPr>
          <w:rFonts w:ascii="Arial" w:hAnsi="Arial" w:cs="Arial"/>
          <w:i/>
        </w:rPr>
        <w:t>Secretary for Customs and Excise v Thomas Barlow &amp; Sons Ltd</w:t>
      </w:r>
      <w:r w:rsidRPr="00BD72CC">
        <w:rPr>
          <w:rFonts w:ascii="Arial" w:hAnsi="Arial" w:cs="Arial"/>
        </w:rPr>
        <w:t xml:space="preserve"> 1970 (2) SA 660 at 676C-D.</w:t>
      </w:r>
    </w:p>
  </w:footnote>
  <w:footnote w:id="24">
    <w:p w14:paraId="20496D06" w14:textId="1FB2E803" w:rsidR="005508F7" w:rsidRPr="00BD72CC" w:rsidRDefault="005508F7" w:rsidP="00BE6B93">
      <w:pPr>
        <w:pStyle w:val="FootnoteText"/>
        <w:jc w:val="both"/>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Pr="00BD72CC">
        <w:rPr>
          <w:rFonts w:ascii="Arial" w:hAnsi="Arial" w:cs="Arial"/>
          <w:i/>
        </w:rPr>
        <w:t>Commissioner for the South African Revenue Service v Toneleria Nacional RSA (Pty) Ltd</w:t>
      </w:r>
      <w:r w:rsidRPr="00BD72CC">
        <w:rPr>
          <w:rFonts w:ascii="Arial" w:hAnsi="Arial" w:cs="Arial"/>
        </w:rPr>
        <w:t xml:space="preserve"> [2021] ZASCA 65; [2021] 3 All SA 299 (SCA); 2021 (5) SA 68 (SCA)</w:t>
      </w:r>
      <w:r w:rsidR="008D275E" w:rsidRPr="00BD72CC">
        <w:rPr>
          <w:rFonts w:ascii="Arial" w:hAnsi="Arial" w:cs="Arial"/>
        </w:rPr>
        <w:t xml:space="preserve"> </w:t>
      </w:r>
      <w:r w:rsidR="008D275E" w:rsidRPr="00BD72CC">
        <w:rPr>
          <w:rFonts w:ascii="Arial" w:hAnsi="Arial" w:cs="Arial"/>
          <w:color w:val="212529"/>
        </w:rPr>
        <w:t>(</w:t>
      </w:r>
      <w:r w:rsidR="008D275E" w:rsidRPr="00BD72CC">
        <w:rPr>
          <w:rFonts w:ascii="Arial" w:hAnsi="Arial" w:cs="Arial"/>
          <w:i/>
          <w:color w:val="212529"/>
        </w:rPr>
        <w:t>Toneleria</w:t>
      </w:r>
      <w:r w:rsidR="008D275E" w:rsidRPr="00BD72CC">
        <w:rPr>
          <w:rFonts w:ascii="Arial" w:hAnsi="Arial" w:cs="Arial"/>
          <w:color w:val="212529"/>
        </w:rPr>
        <w:t>)</w:t>
      </w:r>
      <w:r w:rsidRPr="00BD72CC">
        <w:rPr>
          <w:rFonts w:ascii="Arial" w:hAnsi="Arial" w:cs="Arial"/>
        </w:rPr>
        <w:t xml:space="preserve">. </w:t>
      </w:r>
    </w:p>
  </w:footnote>
  <w:footnote w:id="25">
    <w:p w14:paraId="5D420C3E" w14:textId="4E5D2CF1" w:rsidR="005508F7" w:rsidRPr="00BD72CC" w:rsidRDefault="005508F7" w:rsidP="00BE6B93">
      <w:pPr>
        <w:pStyle w:val="FootnoteText"/>
        <w:jc w:val="both"/>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Pr="00BD72CC">
        <w:rPr>
          <w:rFonts w:ascii="Arial" w:hAnsi="Arial" w:cs="Arial"/>
          <w:lang w:val="en-ZA"/>
        </w:rPr>
        <w:t xml:space="preserve">Ibid para </w:t>
      </w:r>
      <w:r w:rsidR="00C85850" w:rsidRPr="00BD72CC">
        <w:rPr>
          <w:rFonts w:ascii="Arial" w:hAnsi="Arial" w:cs="Arial"/>
          <w:lang w:val="en-ZA"/>
        </w:rPr>
        <w:t>25</w:t>
      </w:r>
      <w:r w:rsidRPr="00BD72CC">
        <w:rPr>
          <w:rFonts w:ascii="Arial" w:hAnsi="Arial" w:cs="Arial"/>
          <w:lang w:val="en-ZA"/>
        </w:rPr>
        <w:t>.</w:t>
      </w:r>
    </w:p>
  </w:footnote>
  <w:footnote w:id="26">
    <w:p w14:paraId="260CE8BB" w14:textId="40E85E0F" w:rsidR="005508F7" w:rsidRPr="00BD72CC" w:rsidRDefault="005508F7" w:rsidP="00B16CB7">
      <w:pPr>
        <w:pStyle w:val="FootnoteText"/>
        <w:jc w:val="both"/>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Pr="00BD72CC">
        <w:rPr>
          <w:rFonts w:ascii="Arial" w:hAnsi="Arial" w:cs="Arial"/>
          <w:lang w:val="en-ZA"/>
        </w:rPr>
        <w:t xml:space="preserve">See s 233 of the Constitution which </w:t>
      </w:r>
      <w:r w:rsidR="00C976ED" w:rsidRPr="00BD72CC">
        <w:rPr>
          <w:rFonts w:ascii="Arial" w:hAnsi="Arial" w:cs="Arial"/>
          <w:lang w:val="en-ZA"/>
        </w:rPr>
        <w:t>reads</w:t>
      </w:r>
      <w:r w:rsidRPr="00BD72CC">
        <w:rPr>
          <w:rFonts w:ascii="Arial" w:hAnsi="Arial" w:cs="Arial"/>
          <w:lang w:val="en-ZA"/>
        </w:rPr>
        <w:t>:</w:t>
      </w:r>
    </w:p>
    <w:p w14:paraId="66E63058" w14:textId="6EAF945E" w:rsidR="005508F7" w:rsidRPr="00BD72CC" w:rsidRDefault="005508F7" w:rsidP="00B16CB7">
      <w:pPr>
        <w:pStyle w:val="FootnoteText"/>
        <w:jc w:val="both"/>
        <w:rPr>
          <w:rFonts w:ascii="Arial" w:hAnsi="Arial" w:cs="Arial"/>
          <w:lang w:val="en-ZA"/>
        </w:rPr>
      </w:pPr>
      <w:r w:rsidRPr="00BD72CC">
        <w:rPr>
          <w:rFonts w:ascii="Arial" w:hAnsi="Arial" w:cs="Arial"/>
          <w:lang w:val="en-ZA"/>
        </w:rPr>
        <w:t>'When interpreting any legislation, every court must prefer any reasonable interpretation of the legislation that is consistent with international law over any alternative interpretation that is inconsistent with international law.'</w:t>
      </w:r>
    </w:p>
  </w:footnote>
  <w:footnote w:id="27">
    <w:p w14:paraId="76E25503" w14:textId="34135A39" w:rsidR="005508F7" w:rsidRPr="00BD72CC" w:rsidRDefault="005508F7" w:rsidP="00E922F0">
      <w:pPr>
        <w:pStyle w:val="FootnoteText"/>
        <w:jc w:val="both"/>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proofErr w:type="spellStart"/>
      <w:r w:rsidRPr="00BD72CC">
        <w:rPr>
          <w:rFonts w:ascii="Arial" w:hAnsi="Arial" w:cs="Arial"/>
          <w:i/>
        </w:rPr>
        <w:t>Autoware</w:t>
      </w:r>
      <w:proofErr w:type="spellEnd"/>
      <w:r w:rsidRPr="00BD72CC">
        <w:rPr>
          <w:rFonts w:ascii="Arial" w:hAnsi="Arial" w:cs="Arial"/>
          <w:i/>
        </w:rPr>
        <w:t xml:space="preserve"> (Pty) Ltd v Secretary for Customs a</w:t>
      </w:r>
      <w:r w:rsidR="00D43F04" w:rsidRPr="00BD72CC">
        <w:rPr>
          <w:rFonts w:ascii="Arial" w:hAnsi="Arial" w:cs="Arial"/>
          <w:i/>
        </w:rPr>
        <w:t>nd Excise 1975</w:t>
      </w:r>
      <w:r w:rsidR="00D43F04" w:rsidRPr="00BD72CC">
        <w:rPr>
          <w:rFonts w:ascii="Arial" w:hAnsi="Arial" w:cs="Arial"/>
        </w:rPr>
        <w:t xml:space="preserve"> (4) SA 318 (W).</w:t>
      </w:r>
    </w:p>
  </w:footnote>
  <w:footnote w:id="28">
    <w:p w14:paraId="052E7A9D" w14:textId="6927A136" w:rsidR="005508F7" w:rsidRPr="00BD72CC" w:rsidRDefault="005508F7" w:rsidP="00E922F0">
      <w:pPr>
        <w:pStyle w:val="FootnoteText"/>
        <w:jc w:val="both"/>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Pr="00BD72CC">
        <w:rPr>
          <w:rFonts w:ascii="Arial" w:hAnsi="Arial" w:cs="Arial"/>
          <w:lang w:val="en-ZA"/>
        </w:rPr>
        <w:t>Ibid at 327G-328A.</w:t>
      </w:r>
    </w:p>
  </w:footnote>
  <w:footnote w:id="29">
    <w:p w14:paraId="350BB233" w14:textId="657911AC" w:rsidR="005508F7" w:rsidRPr="00BD72CC" w:rsidRDefault="005508F7" w:rsidP="00E922F0">
      <w:pPr>
        <w:pStyle w:val="FootnoteText"/>
        <w:jc w:val="both"/>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Pr="00BD72CC">
        <w:rPr>
          <w:rFonts w:ascii="Arial" w:hAnsi="Arial" w:cs="Arial"/>
          <w:i/>
        </w:rPr>
        <w:t>Commissioner for the South African Revenue Service v L G Electronics</w:t>
      </w:r>
      <w:r w:rsidRPr="00BD72CC">
        <w:rPr>
          <w:rFonts w:ascii="Arial" w:hAnsi="Arial" w:cs="Arial"/>
        </w:rPr>
        <w:t xml:space="preserve"> </w:t>
      </w:r>
      <w:r w:rsidR="00D43F04" w:rsidRPr="00BD72CC">
        <w:rPr>
          <w:rFonts w:ascii="Arial" w:hAnsi="Arial" w:cs="Arial"/>
        </w:rPr>
        <w:t xml:space="preserve">[2010] ZASCA 79; </w:t>
      </w:r>
      <w:r w:rsidRPr="00BD72CC">
        <w:rPr>
          <w:rFonts w:ascii="Arial" w:hAnsi="Arial" w:cs="Arial"/>
        </w:rPr>
        <w:t>2012 (5) SA 439 (SCA).</w:t>
      </w:r>
    </w:p>
  </w:footnote>
  <w:footnote w:id="30">
    <w:p w14:paraId="221788A2" w14:textId="039E52BF" w:rsidR="005508F7" w:rsidRPr="00BD72CC" w:rsidRDefault="005508F7" w:rsidP="00E922F0">
      <w:pPr>
        <w:pStyle w:val="FootnoteText"/>
        <w:jc w:val="both"/>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Pr="00BD72CC">
        <w:rPr>
          <w:rFonts w:ascii="Arial" w:hAnsi="Arial" w:cs="Arial"/>
          <w:lang w:val="en-ZA"/>
        </w:rPr>
        <w:t xml:space="preserve">Para 15. </w:t>
      </w:r>
    </w:p>
  </w:footnote>
  <w:footnote w:id="31">
    <w:p w14:paraId="521529F4" w14:textId="7174C372" w:rsidR="005508F7" w:rsidRPr="00BD72CC" w:rsidRDefault="005508F7" w:rsidP="00E922F0">
      <w:pPr>
        <w:pStyle w:val="FootnoteText"/>
        <w:jc w:val="both"/>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Pr="00BD72CC">
        <w:rPr>
          <w:rFonts w:ascii="Arial" w:hAnsi="Arial" w:cs="Arial"/>
          <w:lang w:val="en-ZA"/>
        </w:rPr>
        <w:t xml:space="preserve">See, for example, the Concise Oxford English Dictionary, Twelfth Edition by the Oxford University Press. </w:t>
      </w:r>
    </w:p>
  </w:footnote>
  <w:footnote w:id="32">
    <w:p w14:paraId="5A5D9F6E" w14:textId="7FA6F602" w:rsidR="005508F7" w:rsidRPr="00BD72CC" w:rsidRDefault="005508F7" w:rsidP="00E922F0">
      <w:pPr>
        <w:pStyle w:val="FootnoteText"/>
        <w:jc w:val="both"/>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Pr="00BD72CC">
        <w:rPr>
          <w:rFonts w:ascii="Arial" w:hAnsi="Arial" w:cs="Arial"/>
          <w:i/>
        </w:rPr>
        <w:t>Toyworld Ltd and the Collector of Customers</w:t>
      </w:r>
      <w:r w:rsidR="00B679D1" w:rsidRPr="00BD72CC">
        <w:rPr>
          <w:rFonts w:ascii="Arial" w:hAnsi="Arial" w:cs="Arial"/>
        </w:rPr>
        <w:t xml:space="preserve"> 1984 (7) ALD 67</w:t>
      </w:r>
      <w:r w:rsidR="00942B81" w:rsidRPr="00BD72CC">
        <w:rPr>
          <w:rFonts w:ascii="Arial" w:hAnsi="Arial" w:cs="Arial"/>
        </w:rPr>
        <w:t xml:space="preserve"> (</w:t>
      </w:r>
      <w:proofErr w:type="spellStart"/>
      <w:r w:rsidR="00942B81" w:rsidRPr="00BD72CC">
        <w:rPr>
          <w:rFonts w:ascii="Arial" w:hAnsi="Arial" w:cs="Arial"/>
          <w:i/>
        </w:rPr>
        <w:t>Toyworld</w:t>
      </w:r>
      <w:proofErr w:type="spellEnd"/>
      <w:r w:rsidR="00942B81" w:rsidRPr="00BD72CC">
        <w:rPr>
          <w:rFonts w:ascii="Arial" w:hAnsi="Arial" w:cs="Arial"/>
        </w:rPr>
        <w:t>)</w:t>
      </w:r>
      <w:r w:rsidR="00D43F04" w:rsidRPr="00BD72CC">
        <w:rPr>
          <w:rFonts w:ascii="Arial" w:hAnsi="Arial" w:cs="Arial"/>
        </w:rPr>
        <w:t>.</w:t>
      </w:r>
    </w:p>
  </w:footnote>
  <w:footnote w:id="33">
    <w:p w14:paraId="3A4DE083" w14:textId="3BA6C00C" w:rsidR="005508F7" w:rsidRPr="00BD72CC" w:rsidRDefault="005508F7" w:rsidP="00E922F0">
      <w:pPr>
        <w:pStyle w:val="FootnoteText"/>
        <w:jc w:val="both"/>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Pr="00BD72CC">
        <w:rPr>
          <w:rFonts w:ascii="Arial" w:hAnsi="Arial" w:cs="Arial"/>
          <w:lang w:val="en-ZA"/>
        </w:rPr>
        <w:t xml:space="preserve">See footnote 26 above. </w:t>
      </w:r>
    </w:p>
  </w:footnote>
  <w:footnote w:id="34">
    <w:p w14:paraId="6B300864" w14:textId="645365F2" w:rsidR="00D45096" w:rsidRPr="00BD72CC" w:rsidRDefault="00D45096" w:rsidP="00D45096">
      <w:pPr>
        <w:pStyle w:val="FootnoteText"/>
        <w:jc w:val="both"/>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Pr="00BD72CC">
        <w:rPr>
          <w:rFonts w:ascii="Arial" w:hAnsi="Arial" w:cs="Arial"/>
          <w:i/>
        </w:rPr>
        <w:t>D</w:t>
      </w:r>
      <w:r w:rsidRPr="00BD72CC">
        <w:rPr>
          <w:rFonts w:ascii="Arial" w:hAnsi="Arial" w:cs="Arial"/>
          <w:i/>
          <w:lang w:val="en-ZA"/>
        </w:rPr>
        <w:t>engetenge Holdings (Pty) Ltd v Southern Sphere Mining And Development Company Ltd and Others</w:t>
      </w:r>
      <w:r w:rsidRPr="00BD72CC">
        <w:rPr>
          <w:rFonts w:ascii="Arial" w:hAnsi="Arial" w:cs="Arial"/>
          <w:lang w:val="en-ZA"/>
        </w:rPr>
        <w:t xml:space="preserve"> [2013] ZACC 48; 2014 (3) BCLR 265 (CC); 2014 (5) SA 138 (CC) paras 84-86; </w:t>
      </w:r>
      <w:r w:rsidRPr="00BD72CC">
        <w:rPr>
          <w:rFonts w:ascii="Arial" w:hAnsi="Arial" w:cs="Arial"/>
          <w:i/>
          <w:lang w:val="en-ZA"/>
        </w:rPr>
        <w:t xml:space="preserve">Department of Land Affairs and Others v </w:t>
      </w:r>
      <w:proofErr w:type="spellStart"/>
      <w:r w:rsidRPr="00BD72CC">
        <w:rPr>
          <w:rFonts w:ascii="Arial" w:hAnsi="Arial" w:cs="Arial"/>
          <w:i/>
          <w:lang w:val="en-ZA"/>
        </w:rPr>
        <w:t>Goedgelegen</w:t>
      </w:r>
      <w:proofErr w:type="spellEnd"/>
      <w:r w:rsidRPr="00BD72CC">
        <w:rPr>
          <w:rFonts w:ascii="Arial" w:hAnsi="Arial" w:cs="Arial"/>
          <w:i/>
          <w:lang w:val="en-ZA"/>
        </w:rPr>
        <w:t xml:space="preserve"> Tropical Fruits (Pty) Ltd</w:t>
      </w:r>
      <w:r w:rsidRPr="00BD72CC">
        <w:rPr>
          <w:rFonts w:ascii="Arial" w:hAnsi="Arial" w:cs="Arial"/>
          <w:lang w:val="en-ZA"/>
        </w:rPr>
        <w:t xml:space="preserve"> [2007] ZACC 12; 2007 (10) BCLR 1027 (CC); 2007 (6) SA 199 (CC) para 5.</w:t>
      </w:r>
    </w:p>
  </w:footnote>
  <w:footnote w:id="35">
    <w:p w14:paraId="03D2565F" w14:textId="4D123605" w:rsidR="00D45096" w:rsidRPr="00BD72CC" w:rsidRDefault="00D45096" w:rsidP="00D45096">
      <w:pPr>
        <w:pStyle w:val="FootnoteText"/>
        <w:jc w:val="both"/>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Pr="00BD72CC">
        <w:rPr>
          <w:rFonts w:ascii="Arial" w:hAnsi="Arial" w:cs="Arial"/>
          <w:i/>
        </w:rPr>
        <w:t>North East Finance (Pty) Ltd v Standard Bank of South Africa Ltd</w:t>
      </w:r>
      <w:r w:rsidRPr="00BD72CC">
        <w:rPr>
          <w:rFonts w:ascii="Arial" w:hAnsi="Arial" w:cs="Arial"/>
        </w:rPr>
        <w:t xml:space="preserve"> [2013] ZASCA 76; 2013 (5) SA 1 (SCA); [2013] 3 All SA 291 (SCA) para 24; </w:t>
      </w:r>
      <w:r w:rsidRPr="00BD72CC">
        <w:rPr>
          <w:rFonts w:ascii="Arial" w:hAnsi="Arial" w:cs="Arial"/>
          <w:i/>
        </w:rPr>
        <w:t xml:space="preserve">KPMG Chartered Accountants (SA) v </w:t>
      </w:r>
      <w:proofErr w:type="spellStart"/>
      <w:r w:rsidRPr="00BD72CC">
        <w:rPr>
          <w:rFonts w:ascii="Arial" w:hAnsi="Arial" w:cs="Arial"/>
          <w:i/>
        </w:rPr>
        <w:t>Securefin</w:t>
      </w:r>
      <w:proofErr w:type="spellEnd"/>
      <w:r w:rsidRPr="00BD72CC">
        <w:rPr>
          <w:rFonts w:ascii="Arial" w:hAnsi="Arial" w:cs="Arial"/>
          <w:i/>
        </w:rPr>
        <w:t xml:space="preserve"> Limited and Another</w:t>
      </w:r>
      <w:r w:rsidRPr="00BD72CC">
        <w:rPr>
          <w:rFonts w:ascii="Arial" w:hAnsi="Arial" w:cs="Arial"/>
        </w:rPr>
        <w:t xml:space="preserve"> [2009] ZASCA 7; 2009 (4) SA 399 (SCA) ; [2009] 2 All SA 523 (SCA) para 39; </w:t>
      </w:r>
      <w:proofErr w:type="spellStart"/>
      <w:r w:rsidR="00A247BE" w:rsidRPr="00BD72CC">
        <w:rPr>
          <w:rFonts w:ascii="Arial" w:hAnsi="Arial" w:cs="Arial"/>
          <w:i/>
        </w:rPr>
        <w:t>Jaga</w:t>
      </w:r>
      <w:proofErr w:type="spellEnd"/>
      <w:r w:rsidR="00A247BE" w:rsidRPr="00BD72CC">
        <w:rPr>
          <w:rFonts w:ascii="Arial" w:hAnsi="Arial" w:cs="Arial"/>
          <w:i/>
        </w:rPr>
        <w:t xml:space="preserve"> v </w:t>
      </w:r>
      <w:proofErr w:type="spellStart"/>
      <w:r w:rsidR="00A247BE" w:rsidRPr="00BD72CC">
        <w:rPr>
          <w:rFonts w:ascii="Arial" w:hAnsi="Arial" w:cs="Arial"/>
          <w:i/>
        </w:rPr>
        <w:t>Dönges</w:t>
      </w:r>
      <w:proofErr w:type="spellEnd"/>
      <w:r w:rsidR="00A247BE" w:rsidRPr="00BD72CC">
        <w:rPr>
          <w:rFonts w:ascii="Arial" w:hAnsi="Arial" w:cs="Arial"/>
          <w:i/>
        </w:rPr>
        <w:t xml:space="preserve">, NO And Another; </w:t>
      </w:r>
      <w:proofErr w:type="spellStart"/>
      <w:r w:rsidR="00A247BE" w:rsidRPr="00BD72CC">
        <w:rPr>
          <w:rFonts w:ascii="Arial" w:hAnsi="Arial" w:cs="Arial"/>
          <w:i/>
        </w:rPr>
        <w:t>Bhana</w:t>
      </w:r>
      <w:proofErr w:type="spellEnd"/>
      <w:r w:rsidR="00A247BE" w:rsidRPr="00BD72CC">
        <w:rPr>
          <w:rFonts w:ascii="Arial" w:hAnsi="Arial" w:cs="Arial"/>
          <w:i/>
        </w:rPr>
        <w:t xml:space="preserve"> v </w:t>
      </w:r>
      <w:proofErr w:type="spellStart"/>
      <w:r w:rsidR="00A247BE" w:rsidRPr="00BD72CC">
        <w:rPr>
          <w:rFonts w:ascii="Arial" w:hAnsi="Arial" w:cs="Arial"/>
          <w:i/>
        </w:rPr>
        <w:t>Dönges</w:t>
      </w:r>
      <w:proofErr w:type="spellEnd"/>
      <w:r w:rsidR="00A247BE" w:rsidRPr="00BD72CC">
        <w:rPr>
          <w:rFonts w:ascii="Arial" w:hAnsi="Arial" w:cs="Arial"/>
          <w:i/>
        </w:rPr>
        <w:t>, NO And Another</w:t>
      </w:r>
      <w:r w:rsidR="00A247BE" w:rsidRPr="00BD72CC">
        <w:rPr>
          <w:rFonts w:ascii="Arial" w:hAnsi="Arial" w:cs="Arial"/>
        </w:rPr>
        <w:t xml:space="preserve"> 1950 (4) SA 653 (A) at 664E-H.</w:t>
      </w:r>
    </w:p>
  </w:footnote>
  <w:footnote w:id="36">
    <w:p w14:paraId="6D4CE6AB" w14:textId="2C956E72" w:rsidR="00CC11B3" w:rsidRPr="00BD72CC" w:rsidRDefault="00CC11B3" w:rsidP="008349EE">
      <w:pPr>
        <w:pStyle w:val="FootnoteText"/>
        <w:jc w:val="both"/>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00B57312" w:rsidRPr="00BD72CC">
        <w:rPr>
          <w:rFonts w:ascii="Arial" w:hAnsi="Arial" w:cs="Arial"/>
          <w:lang w:val="en-ZA"/>
        </w:rPr>
        <w:t xml:space="preserve">D T </w:t>
      </w:r>
      <w:proofErr w:type="spellStart"/>
      <w:r w:rsidR="00B57312" w:rsidRPr="00BD72CC">
        <w:rPr>
          <w:rFonts w:ascii="Arial" w:hAnsi="Arial" w:cs="Arial"/>
          <w:lang w:val="en-ZA"/>
        </w:rPr>
        <w:t>Zeffert</w:t>
      </w:r>
      <w:proofErr w:type="spellEnd"/>
      <w:r w:rsidR="00B57312" w:rsidRPr="00BD72CC">
        <w:rPr>
          <w:rFonts w:ascii="Arial" w:hAnsi="Arial" w:cs="Arial"/>
          <w:lang w:val="en-ZA"/>
        </w:rPr>
        <w:t xml:space="preserve"> and</w:t>
      </w:r>
      <w:r w:rsidR="008349EE" w:rsidRPr="00BD72CC">
        <w:rPr>
          <w:rFonts w:ascii="Arial" w:hAnsi="Arial" w:cs="Arial"/>
          <w:lang w:val="en-ZA"/>
        </w:rPr>
        <w:t xml:space="preserve"> AP </w:t>
      </w:r>
      <w:proofErr w:type="spellStart"/>
      <w:r w:rsidR="008349EE" w:rsidRPr="00BD72CC">
        <w:rPr>
          <w:rFonts w:ascii="Arial" w:hAnsi="Arial" w:cs="Arial"/>
          <w:lang w:val="en-ZA"/>
        </w:rPr>
        <w:t>Paizes</w:t>
      </w:r>
      <w:proofErr w:type="spellEnd"/>
      <w:r w:rsidR="008349EE" w:rsidRPr="00BD72CC">
        <w:rPr>
          <w:rFonts w:ascii="Arial" w:hAnsi="Arial" w:cs="Arial"/>
          <w:lang w:val="en-ZA"/>
        </w:rPr>
        <w:t xml:space="preserve"> </w:t>
      </w:r>
      <w:proofErr w:type="gramStart"/>
      <w:r w:rsidR="008349EE" w:rsidRPr="00BD72CC">
        <w:rPr>
          <w:rFonts w:ascii="Arial" w:hAnsi="Arial" w:cs="Arial"/>
          <w:i/>
          <w:lang w:val="en-ZA"/>
        </w:rPr>
        <w:t>The</w:t>
      </w:r>
      <w:proofErr w:type="gramEnd"/>
      <w:r w:rsidR="008349EE" w:rsidRPr="00BD72CC">
        <w:rPr>
          <w:rFonts w:ascii="Arial" w:hAnsi="Arial" w:cs="Arial"/>
          <w:i/>
          <w:lang w:val="en-ZA"/>
        </w:rPr>
        <w:t xml:space="preserve"> South African Law of Evidence</w:t>
      </w:r>
      <w:r w:rsidR="008349EE" w:rsidRPr="00BD72CC">
        <w:rPr>
          <w:rFonts w:ascii="Arial" w:hAnsi="Arial" w:cs="Arial"/>
          <w:lang w:val="en-ZA"/>
        </w:rPr>
        <w:t xml:space="preserve"> 3</w:t>
      </w:r>
      <w:r w:rsidR="008349EE" w:rsidRPr="00BD72CC">
        <w:rPr>
          <w:rFonts w:ascii="Arial" w:hAnsi="Arial" w:cs="Arial"/>
          <w:vertAlign w:val="superscript"/>
          <w:lang w:val="en-ZA"/>
        </w:rPr>
        <w:t>rd</w:t>
      </w:r>
      <w:r w:rsidR="008349EE" w:rsidRPr="00BD72CC">
        <w:rPr>
          <w:rFonts w:ascii="Arial" w:hAnsi="Arial" w:cs="Arial"/>
          <w:lang w:val="en-ZA"/>
        </w:rPr>
        <w:t xml:space="preserve"> </w:t>
      </w:r>
      <w:proofErr w:type="spellStart"/>
      <w:r w:rsidR="008349EE" w:rsidRPr="00BD72CC">
        <w:rPr>
          <w:rFonts w:ascii="Arial" w:hAnsi="Arial" w:cs="Arial"/>
          <w:lang w:val="en-ZA"/>
        </w:rPr>
        <w:t>ed</w:t>
      </w:r>
      <w:proofErr w:type="spellEnd"/>
      <w:r w:rsidR="008349EE" w:rsidRPr="00BD72CC">
        <w:rPr>
          <w:rFonts w:ascii="Arial" w:hAnsi="Arial" w:cs="Arial"/>
          <w:lang w:val="en-ZA"/>
        </w:rPr>
        <w:t xml:space="preserve"> pages 337-338.</w:t>
      </w:r>
    </w:p>
  </w:footnote>
  <w:footnote w:id="37">
    <w:p w14:paraId="61BE90EE" w14:textId="6CDA5BD3" w:rsidR="00762D3D" w:rsidRPr="00BD72CC" w:rsidRDefault="00762D3D" w:rsidP="00A12151">
      <w:pPr>
        <w:pStyle w:val="FootnoteText"/>
        <w:jc w:val="both"/>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Pr="00BD72CC">
        <w:rPr>
          <w:rFonts w:ascii="Arial" w:hAnsi="Arial" w:cs="Arial"/>
          <w:lang w:val="en-ZA"/>
        </w:rPr>
        <w:t xml:space="preserve">Compare: </w:t>
      </w:r>
      <w:r w:rsidR="00A12151" w:rsidRPr="00BD72CC">
        <w:rPr>
          <w:rFonts w:ascii="Arial" w:hAnsi="Arial" w:cs="Arial"/>
          <w:i/>
          <w:lang w:val="en-ZA"/>
        </w:rPr>
        <w:t xml:space="preserve">Michael and Another v </w:t>
      </w:r>
      <w:proofErr w:type="spellStart"/>
      <w:r w:rsidR="00A12151" w:rsidRPr="00BD72CC">
        <w:rPr>
          <w:rFonts w:ascii="Arial" w:hAnsi="Arial" w:cs="Arial"/>
          <w:i/>
          <w:lang w:val="en-ZA"/>
        </w:rPr>
        <w:t>Linksfield</w:t>
      </w:r>
      <w:proofErr w:type="spellEnd"/>
      <w:r w:rsidR="00A12151" w:rsidRPr="00BD72CC">
        <w:rPr>
          <w:rFonts w:ascii="Arial" w:hAnsi="Arial" w:cs="Arial"/>
          <w:i/>
          <w:lang w:val="en-ZA"/>
        </w:rPr>
        <w:t xml:space="preserve"> Park Clinic (Pty) Ltd and </w:t>
      </w:r>
      <w:proofErr w:type="gramStart"/>
      <w:r w:rsidR="00A12151" w:rsidRPr="00BD72CC">
        <w:rPr>
          <w:rFonts w:ascii="Arial" w:hAnsi="Arial" w:cs="Arial"/>
          <w:i/>
          <w:lang w:val="en-ZA"/>
        </w:rPr>
        <w:t>Another</w:t>
      </w:r>
      <w:proofErr w:type="gramEnd"/>
      <w:r w:rsidR="00A12151" w:rsidRPr="00BD72CC">
        <w:rPr>
          <w:rFonts w:ascii="Arial" w:hAnsi="Arial" w:cs="Arial"/>
          <w:lang w:val="en-ZA"/>
        </w:rPr>
        <w:t xml:space="preserve"> [2001] ZASCA 12; </w:t>
      </w:r>
      <w:r w:rsidR="00823FBF" w:rsidRPr="00BD72CC">
        <w:rPr>
          <w:rFonts w:ascii="Arial" w:hAnsi="Arial" w:cs="Arial"/>
          <w:lang w:val="en-ZA"/>
        </w:rPr>
        <w:t>2001 (3) SA 1138 (A) para 36</w:t>
      </w:r>
      <w:r w:rsidR="00A12151" w:rsidRPr="00BD72CC">
        <w:rPr>
          <w:rFonts w:ascii="Arial" w:hAnsi="Arial" w:cs="Arial"/>
          <w:lang w:val="en-ZA"/>
        </w:rPr>
        <w:t>. There</w:t>
      </w:r>
      <w:r w:rsidR="00823FBF" w:rsidRPr="00BD72CC">
        <w:rPr>
          <w:rFonts w:ascii="Arial" w:hAnsi="Arial" w:cs="Arial"/>
          <w:lang w:val="en-ZA"/>
        </w:rPr>
        <w:t>,</w:t>
      </w:r>
      <w:r w:rsidR="00A12151" w:rsidRPr="00BD72CC">
        <w:rPr>
          <w:rFonts w:ascii="Arial" w:hAnsi="Arial" w:cs="Arial"/>
          <w:lang w:val="en-ZA"/>
        </w:rPr>
        <w:t xml:space="preserve"> the remarks were made in th</w:t>
      </w:r>
      <w:r w:rsidR="00835C23" w:rsidRPr="00BD72CC">
        <w:rPr>
          <w:rFonts w:ascii="Arial" w:hAnsi="Arial" w:cs="Arial"/>
          <w:lang w:val="en-ZA"/>
        </w:rPr>
        <w:t xml:space="preserve">e context of a </w:t>
      </w:r>
      <w:proofErr w:type="spellStart"/>
      <w:r w:rsidR="00835C23" w:rsidRPr="00BD72CC">
        <w:rPr>
          <w:rFonts w:ascii="Arial" w:hAnsi="Arial" w:cs="Arial"/>
          <w:lang w:val="en-ZA"/>
        </w:rPr>
        <w:t>delictual</w:t>
      </w:r>
      <w:proofErr w:type="spellEnd"/>
      <w:r w:rsidR="00835C23" w:rsidRPr="00BD72CC">
        <w:rPr>
          <w:rFonts w:ascii="Arial" w:hAnsi="Arial" w:cs="Arial"/>
          <w:lang w:val="en-ZA"/>
        </w:rPr>
        <w:t xml:space="preserve"> claim; </w:t>
      </w:r>
      <w:proofErr w:type="spellStart"/>
      <w:r w:rsidR="00835C23" w:rsidRPr="00BD72CC">
        <w:rPr>
          <w:rFonts w:ascii="Arial" w:hAnsi="Arial" w:cs="Arial"/>
          <w:i/>
          <w:lang w:val="en-ZA"/>
        </w:rPr>
        <w:t>Sentrachem</w:t>
      </w:r>
      <w:proofErr w:type="spellEnd"/>
      <w:r w:rsidR="00835C23" w:rsidRPr="00BD72CC">
        <w:rPr>
          <w:rFonts w:ascii="Arial" w:hAnsi="Arial" w:cs="Arial"/>
          <w:i/>
          <w:lang w:val="en-ZA"/>
        </w:rPr>
        <w:t xml:space="preserve"> Ltd v Prinsloo</w:t>
      </w:r>
      <w:r w:rsidR="00835C23" w:rsidRPr="00BD72CC">
        <w:rPr>
          <w:rFonts w:ascii="Arial" w:hAnsi="Arial" w:cs="Arial"/>
          <w:lang w:val="en-ZA"/>
        </w:rPr>
        <w:t xml:space="preserve"> 1977 (2) SA 1</w:t>
      </w:r>
      <w:r w:rsidR="00194B4C" w:rsidRPr="00BD72CC">
        <w:rPr>
          <w:rFonts w:ascii="Arial" w:hAnsi="Arial" w:cs="Arial"/>
          <w:lang w:val="en-ZA"/>
        </w:rPr>
        <w:t xml:space="preserve"> (</w:t>
      </w:r>
      <w:r w:rsidR="00835C23" w:rsidRPr="00BD72CC">
        <w:rPr>
          <w:rFonts w:ascii="Arial" w:hAnsi="Arial" w:cs="Arial"/>
          <w:lang w:val="en-ZA"/>
        </w:rPr>
        <w:t>A</w:t>
      </w:r>
      <w:r w:rsidR="00194B4C" w:rsidRPr="00BD72CC">
        <w:rPr>
          <w:rFonts w:ascii="Arial" w:hAnsi="Arial" w:cs="Arial"/>
          <w:lang w:val="en-ZA"/>
        </w:rPr>
        <w:t>)</w:t>
      </w:r>
      <w:r w:rsidR="00835C23" w:rsidRPr="00BD72CC">
        <w:rPr>
          <w:rFonts w:ascii="Arial" w:hAnsi="Arial" w:cs="Arial"/>
          <w:lang w:val="en-ZA"/>
        </w:rPr>
        <w:t xml:space="preserve"> at 17A-D in which this Court held that the trial court was justified in regarding the respondent and his son as expert witnesses because of their sophisticated farming methods and scientific approach to farming. </w:t>
      </w:r>
    </w:p>
  </w:footnote>
  <w:footnote w:id="38">
    <w:p w14:paraId="4A0E2BE0" w14:textId="57818712" w:rsidR="00695429" w:rsidRPr="001E51ED" w:rsidRDefault="00695429" w:rsidP="00695429">
      <w:pPr>
        <w:pStyle w:val="FootnoteText"/>
        <w:jc w:val="both"/>
        <w:rPr>
          <w:rFonts w:ascii="Arial" w:hAnsi="Arial" w:cs="Arial"/>
          <w:lang w:val="en-ZA"/>
        </w:rPr>
      </w:pPr>
      <w:r w:rsidRPr="00BD72CC">
        <w:rPr>
          <w:rStyle w:val="FootnoteReference"/>
          <w:rFonts w:ascii="Arial" w:hAnsi="Arial" w:cs="Arial"/>
        </w:rPr>
        <w:footnoteRef/>
      </w:r>
      <w:r w:rsidRPr="00BD72CC">
        <w:rPr>
          <w:rFonts w:ascii="Arial" w:hAnsi="Arial" w:cs="Arial"/>
        </w:rPr>
        <w:t xml:space="preserve"> </w:t>
      </w:r>
      <w:r w:rsidRPr="00BD72CC">
        <w:rPr>
          <w:rFonts w:ascii="Arial" w:hAnsi="Arial" w:cs="Arial"/>
          <w:lang w:val="en-ZA"/>
        </w:rPr>
        <w:t>See Uniform Rule 6(15).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533184116"/>
      <w:docPartObj>
        <w:docPartGallery w:val="Page Numbers (Top of Page)"/>
        <w:docPartUnique/>
      </w:docPartObj>
    </w:sdtPr>
    <w:sdtEndPr>
      <w:rPr>
        <w:noProof/>
      </w:rPr>
    </w:sdtEndPr>
    <w:sdtContent>
      <w:p w14:paraId="63F90BA4" w14:textId="6638BACC" w:rsidR="005508F7" w:rsidRPr="006E5F41" w:rsidRDefault="005508F7">
        <w:pPr>
          <w:pStyle w:val="Header"/>
          <w:jc w:val="right"/>
          <w:rPr>
            <w:rFonts w:ascii="Arial" w:hAnsi="Arial" w:cs="Arial"/>
            <w:sz w:val="22"/>
            <w:szCs w:val="22"/>
          </w:rPr>
        </w:pPr>
        <w:r w:rsidRPr="006E5F41">
          <w:rPr>
            <w:rFonts w:ascii="Arial" w:hAnsi="Arial" w:cs="Arial"/>
            <w:sz w:val="22"/>
            <w:szCs w:val="22"/>
          </w:rPr>
          <w:fldChar w:fldCharType="begin"/>
        </w:r>
        <w:r w:rsidRPr="006E5F41">
          <w:rPr>
            <w:rFonts w:ascii="Arial" w:hAnsi="Arial" w:cs="Arial"/>
            <w:sz w:val="22"/>
            <w:szCs w:val="22"/>
          </w:rPr>
          <w:instrText xml:space="preserve"> PAGE   \* MERGEFORMAT </w:instrText>
        </w:r>
        <w:r w:rsidRPr="006E5F41">
          <w:rPr>
            <w:rFonts w:ascii="Arial" w:hAnsi="Arial" w:cs="Arial"/>
            <w:sz w:val="22"/>
            <w:szCs w:val="22"/>
          </w:rPr>
          <w:fldChar w:fldCharType="separate"/>
        </w:r>
        <w:r w:rsidR="00A1645D">
          <w:rPr>
            <w:rFonts w:ascii="Arial" w:hAnsi="Arial" w:cs="Arial"/>
            <w:noProof/>
            <w:sz w:val="22"/>
            <w:szCs w:val="22"/>
          </w:rPr>
          <w:t>19</w:t>
        </w:r>
        <w:r w:rsidRPr="006E5F41">
          <w:rPr>
            <w:rFonts w:ascii="Arial" w:hAnsi="Arial" w:cs="Arial"/>
            <w:noProof/>
            <w:sz w:val="22"/>
            <w:szCs w:val="22"/>
          </w:rPr>
          <w:fldChar w:fldCharType="end"/>
        </w:r>
      </w:p>
    </w:sdtContent>
  </w:sdt>
  <w:p w14:paraId="64408AE9" w14:textId="77777777" w:rsidR="005508F7" w:rsidRDefault="005508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3A88C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E7B4A"/>
    <w:multiLevelType w:val="hybridMultilevel"/>
    <w:tmpl w:val="EF2ACE1C"/>
    <w:lvl w:ilvl="0" w:tplc="56C2ECA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E1005C"/>
    <w:multiLevelType w:val="hybridMultilevel"/>
    <w:tmpl w:val="33F8044C"/>
    <w:lvl w:ilvl="0" w:tplc="331C0E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5F0254"/>
    <w:multiLevelType w:val="hybridMultilevel"/>
    <w:tmpl w:val="B2760762"/>
    <w:lvl w:ilvl="0" w:tplc="9326A8E4">
      <w:start w:val="870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FF827F9"/>
    <w:multiLevelType w:val="hybridMultilevel"/>
    <w:tmpl w:val="270657A4"/>
    <w:lvl w:ilvl="0" w:tplc="EC981230">
      <w:start w:val="870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6D27A77"/>
    <w:multiLevelType w:val="hybridMultilevel"/>
    <w:tmpl w:val="EF86AC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A5778CB"/>
    <w:multiLevelType w:val="hybridMultilevel"/>
    <w:tmpl w:val="A8B6D3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C07535F"/>
    <w:multiLevelType w:val="hybridMultilevel"/>
    <w:tmpl w:val="88C8E1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45A2136"/>
    <w:multiLevelType w:val="hybridMultilevel"/>
    <w:tmpl w:val="20909B6E"/>
    <w:lvl w:ilvl="0" w:tplc="36248EF0">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A272C30"/>
    <w:multiLevelType w:val="hybridMultilevel"/>
    <w:tmpl w:val="20909B6E"/>
    <w:lvl w:ilvl="0" w:tplc="36248EF0">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ECF507F"/>
    <w:multiLevelType w:val="hybridMultilevel"/>
    <w:tmpl w:val="E06E8BB8"/>
    <w:lvl w:ilvl="0" w:tplc="EE689D5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902BD3"/>
    <w:multiLevelType w:val="hybridMultilevel"/>
    <w:tmpl w:val="091A6740"/>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13">
    <w:nsid w:val="50162BDE"/>
    <w:multiLevelType w:val="hybridMultilevel"/>
    <w:tmpl w:val="20909B6E"/>
    <w:lvl w:ilvl="0" w:tplc="36248EF0">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1433AA9"/>
    <w:multiLevelType w:val="hybridMultilevel"/>
    <w:tmpl w:val="BCDA9324"/>
    <w:lvl w:ilvl="0" w:tplc="356246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124275"/>
    <w:multiLevelType w:val="hybridMultilevel"/>
    <w:tmpl w:val="95F417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2BE16BB"/>
    <w:multiLevelType w:val="hybridMultilevel"/>
    <w:tmpl w:val="1FCEA11E"/>
    <w:lvl w:ilvl="0" w:tplc="28F24B38">
      <w:start w:val="870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55695879"/>
    <w:multiLevelType w:val="hybridMultilevel"/>
    <w:tmpl w:val="20909B6E"/>
    <w:lvl w:ilvl="0" w:tplc="36248EF0">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75116FC"/>
    <w:multiLevelType w:val="hybridMultilevel"/>
    <w:tmpl w:val="053E5D92"/>
    <w:lvl w:ilvl="0" w:tplc="9B4415DC">
      <w:start w:val="870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59654BA6"/>
    <w:multiLevelType w:val="hybridMultilevel"/>
    <w:tmpl w:val="A3CA1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B231662"/>
    <w:multiLevelType w:val="hybridMultilevel"/>
    <w:tmpl w:val="CE7C0F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BED5216"/>
    <w:multiLevelType w:val="hybridMultilevel"/>
    <w:tmpl w:val="FD0A08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D112AAA"/>
    <w:multiLevelType w:val="hybridMultilevel"/>
    <w:tmpl w:val="EDAC64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0D632E8"/>
    <w:multiLevelType w:val="hybridMultilevel"/>
    <w:tmpl w:val="8E9EBF56"/>
    <w:lvl w:ilvl="0" w:tplc="405ED172">
      <w:start w:val="870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69134CE4"/>
    <w:multiLevelType w:val="multilevel"/>
    <w:tmpl w:val="10304912"/>
    <w:lvl w:ilvl="0">
      <w:start w:val="1"/>
      <w:numFmt w:val="decimal"/>
      <w:lvlText w:val="%1."/>
      <w:lvlJc w:val="left"/>
      <w:pPr>
        <w:ind w:left="720" w:hanging="360"/>
      </w:pPr>
      <w:rPr>
        <w:rFonts w:ascii="Arial" w:hAnsi="Arial" w:cs="Arial" w:hint="default"/>
        <w:b w:val="0"/>
        <w:i w:val="0"/>
        <w:color w:val="auto"/>
        <w:sz w:val="24"/>
        <w:szCs w:val="24"/>
      </w:rPr>
    </w:lvl>
    <w:lvl w:ilvl="1">
      <w:start w:val="2"/>
      <w:numFmt w:val="decimal"/>
      <w:isLgl/>
      <w:lvlText w:val="%1.1"/>
      <w:lvlJc w:val="left"/>
      <w:pPr>
        <w:ind w:left="1305" w:hanging="6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155" w:hanging="1800"/>
      </w:pPr>
      <w:rPr>
        <w:rFonts w:hint="default"/>
      </w:rPr>
    </w:lvl>
    <w:lvl w:ilvl="8">
      <w:start w:val="1"/>
      <w:numFmt w:val="decimal"/>
      <w:isLgl/>
      <w:lvlText w:val="%1.%2.%3.%4.%5.%6.%7.%8.%9"/>
      <w:lvlJc w:val="left"/>
      <w:pPr>
        <w:ind w:left="4440" w:hanging="1800"/>
      </w:pPr>
      <w:rPr>
        <w:rFonts w:hint="default"/>
      </w:rPr>
    </w:lvl>
  </w:abstractNum>
  <w:num w:numId="1">
    <w:abstractNumId w:val="0"/>
  </w:num>
  <w:num w:numId="2">
    <w:abstractNumId w:val="1"/>
  </w:num>
  <w:num w:numId="3">
    <w:abstractNumId w:val="8"/>
  </w:num>
  <w:num w:numId="4">
    <w:abstractNumId w:val="20"/>
  </w:num>
  <w:num w:numId="5">
    <w:abstractNumId w:val="19"/>
  </w:num>
  <w:num w:numId="6">
    <w:abstractNumId w:val="7"/>
  </w:num>
  <w:num w:numId="7">
    <w:abstractNumId w:val="12"/>
  </w:num>
  <w:num w:numId="8">
    <w:abstractNumId w:val="15"/>
  </w:num>
  <w:num w:numId="9">
    <w:abstractNumId w:val="24"/>
  </w:num>
  <w:num w:numId="10">
    <w:abstractNumId w:val="13"/>
  </w:num>
  <w:num w:numId="11">
    <w:abstractNumId w:val="22"/>
  </w:num>
  <w:num w:numId="12">
    <w:abstractNumId w:val="21"/>
  </w:num>
  <w:num w:numId="13">
    <w:abstractNumId w:val="10"/>
  </w:num>
  <w:num w:numId="14">
    <w:abstractNumId w:val="9"/>
  </w:num>
  <w:num w:numId="15">
    <w:abstractNumId w:val="6"/>
  </w:num>
  <w:num w:numId="16">
    <w:abstractNumId w:val="17"/>
  </w:num>
  <w:num w:numId="17">
    <w:abstractNumId w:val="2"/>
  </w:num>
  <w:num w:numId="18">
    <w:abstractNumId w:val="11"/>
  </w:num>
  <w:num w:numId="19">
    <w:abstractNumId w:val="3"/>
  </w:num>
  <w:num w:numId="20">
    <w:abstractNumId w:val="14"/>
  </w:num>
  <w:num w:numId="21">
    <w:abstractNumId w:val="4"/>
  </w:num>
  <w:num w:numId="22">
    <w:abstractNumId w:val="16"/>
  </w:num>
  <w:num w:numId="23">
    <w:abstractNumId w:val="5"/>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W2NDO1NDcxMDI1MbZQ0lEKTi0uzszPAykwqQUAj2+7wCwAAAA="/>
    <w:docVar w:name="dgnword-docGUID" w:val="{8EC2D01F-5248-4009-A3BA-3748C0D6E998}"/>
    <w:docVar w:name="dgnword-eventsink" w:val="2719237311792"/>
    <w:docVar w:name="dgnword-lastRevisionsView" w:val="0"/>
  </w:docVars>
  <w:rsids>
    <w:rsidRoot w:val="00F17FD3"/>
    <w:rsid w:val="000008E3"/>
    <w:rsid w:val="00000DFF"/>
    <w:rsid w:val="00001730"/>
    <w:rsid w:val="00001809"/>
    <w:rsid w:val="00001B9A"/>
    <w:rsid w:val="00002278"/>
    <w:rsid w:val="000028CE"/>
    <w:rsid w:val="00006510"/>
    <w:rsid w:val="00006E11"/>
    <w:rsid w:val="000078C0"/>
    <w:rsid w:val="000104F6"/>
    <w:rsid w:val="00011712"/>
    <w:rsid w:val="0001201C"/>
    <w:rsid w:val="00014159"/>
    <w:rsid w:val="00015CDF"/>
    <w:rsid w:val="00015E7E"/>
    <w:rsid w:val="00016DAC"/>
    <w:rsid w:val="0001732F"/>
    <w:rsid w:val="00017AA6"/>
    <w:rsid w:val="00017E19"/>
    <w:rsid w:val="000202EF"/>
    <w:rsid w:val="0002186D"/>
    <w:rsid w:val="00021FA5"/>
    <w:rsid w:val="00022D1C"/>
    <w:rsid w:val="00023842"/>
    <w:rsid w:val="00023AA2"/>
    <w:rsid w:val="00023AB2"/>
    <w:rsid w:val="00026584"/>
    <w:rsid w:val="000267AE"/>
    <w:rsid w:val="00027685"/>
    <w:rsid w:val="00027793"/>
    <w:rsid w:val="000307C8"/>
    <w:rsid w:val="00032865"/>
    <w:rsid w:val="00033044"/>
    <w:rsid w:val="00033B85"/>
    <w:rsid w:val="00033B9F"/>
    <w:rsid w:val="00034635"/>
    <w:rsid w:val="00034CE6"/>
    <w:rsid w:val="00036D26"/>
    <w:rsid w:val="0004001B"/>
    <w:rsid w:val="000404DB"/>
    <w:rsid w:val="00040611"/>
    <w:rsid w:val="00040B65"/>
    <w:rsid w:val="00041CBA"/>
    <w:rsid w:val="000428D5"/>
    <w:rsid w:val="00042AF1"/>
    <w:rsid w:val="0004301E"/>
    <w:rsid w:val="000430A6"/>
    <w:rsid w:val="00043EC6"/>
    <w:rsid w:val="000441F5"/>
    <w:rsid w:val="00044F23"/>
    <w:rsid w:val="00046101"/>
    <w:rsid w:val="00047339"/>
    <w:rsid w:val="00052C1C"/>
    <w:rsid w:val="00053740"/>
    <w:rsid w:val="0005414B"/>
    <w:rsid w:val="0005538E"/>
    <w:rsid w:val="00055AD5"/>
    <w:rsid w:val="00055C99"/>
    <w:rsid w:val="00055DAF"/>
    <w:rsid w:val="00056EDF"/>
    <w:rsid w:val="000600FC"/>
    <w:rsid w:val="00060A27"/>
    <w:rsid w:val="000637FA"/>
    <w:rsid w:val="000639C5"/>
    <w:rsid w:val="000644DA"/>
    <w:rsid w:val="000648D0"/>
    <w:rsid w:val="00064D45"/>
    <w:rsid w:val="0006511B"/>
    <w:rsid w:val="00067EC8"/>
    <w:rsid w:val="00072CC5"/>
    <w:rsid w:val="00075D7F"/>
    <w:rsid w:val="00077B41"/>
    <w:rsid w:val="00080877"/>
    <w:rsid w:val="00082FB9"/>
    <w:rsid w:val="0008450F"/>
    <w:rsid w:val="00084A04"/>
    <w:rsid w:val="00084E23"/>
    <w:rsid w:val="00085254"/>
    <w:rsid w:val="000853B3"/>
    <w:rsid w:val="0009007F"/>
    <w:rsid w:val="00090E16"/>
    <w:rsid w:val="00092984"/>
    <w:rsid w:val="000933C2"/>
    <w:rsid w:val="00093927"/>
    <w:rsid w:val="00093BB8"/>
    <w:rsid w:val="0009629E"/>
    <w:rsid w:val="00096D7C"/>
    <w:rsid w:val="000A155D"/>
    <w:rsid w:val="000A3662"/>
    <w:rsid w:val="000A3707"/>
    <w:rsid w:val="000A71A0"/>
    <w:rsid w:val="000B034A"/>
    <w:rsid w:val="000B0842"/>
    <w:rsid w:val="000B1A3A"/>
    <w:rsid w:val="000B2416"/>
    <w:rsid w:val="000B2624"/>
    <w:rsid w:val="000B29BA"/>
    <w:rsid w:val="000B2C3C"/>
    <w:rsid w:val="000B33E6"/>
    <w:rsid w:val="000B498F"/>
    <w:rsid w:val="000B648D"/>
    <w:rsid w:val="000B6953"/>
    <w:rsid w:val="000B73BA"/>
    <w:rsid w:val="000B7C09"/>
    <w:rsid w:val="000C19D4"/>
    <w:rsid w:val="000C1AE9"/>
    <w:rsid w:val="000C1E28"/>
    <w:rsid w:val="000C72F2"/>
    <w:rsid w:val="000C7690"/>
    <w:rsid w:val="000D057E"/>
    <w:rsid w:val="000D19BB"/>
    <w:rsid w:val="000D3D83"/>
    <w:rsid w:val="000D7B16"/>
    <w:rsid w:val="000D7DC5"/>
    <w:rsid w:val="000E02F3"/>
    <w:rsid w:val="000E07D8"/>
    <w:rsid w:val="000E2370"/>
    <w:rsid w:val="000E29BE"/>
    <w:rsid w:val="000E3AE8"/>
    <w:rsid w:val="000E4080"/>
    <w:rsid w:val="000E5110"/>
    <w:rsid w:val="000E616C"/>
    <w:rsid w:val="000E6F29"/>
    <w:rsid w:val="000F01BE"/>
    <w:rsid w:val="000F01D4"/>
    <w:rsid w:val="000F141A"/>
    <w:rsid w:val="000F1C55"/>
    <w:rsid w:val="000F26CC"/>
    <w:rsid w:val="000F3229"/>
    <w:rsid w:val="000F38D5"/>
    <w:rsid w:val="000F45D2"/>
    <w:rsid w:val="000F7DD5"/>
    <w:rsid w:val="00100FF0"/>
    <w:rsid w:val="001051AB"/>
    <w:rsid w:val="0010531C"/>
    <w:rsid w:val="001054B0"/>
    <w:rsid w:val="00105BCA"/>
    <w:rsid w:val="00107233"/>
    <w:rsid w:val="00111735"/>
    <w:rsid w:val="00112757"/>
    <w:rsid w:val="00113BE9"/>
    <w:rsid w:val="00114D5C"/>
    <w:rsid w:val="001158AE"/>
    <w:rsid w:val="00116255"/>
    <w:rsid w:val="00116D28"/>
    <w:rsid w:val="001173DD"/>
    <w:rsid w:val="00117B0F"/>
    <w:rsid w:val="001218FD"/>
    <w:rsid w:val="00122485"/>
    <w:rsid w:val="00122818"/>
    <w:rsid w:val="00123077"/>
    <w:rsid w:val="0012360B"/>
    <w:rsid w:val="00123C58"/>
    <w:rsid w:val="00125610"/>
    <w:rsid w:val="00125745"/>
    <w:rsid w:val="001275AE"/>
    <w:rsid w:val="001301F3"/>
    <w:rsid w:val="0013126A"/>
    <w:rsid w:val="00132E62"/>
    <w:rsid w:val="00133113"/>
    <w:rsid w:val="00133B1B"/>
    <w:rsid w:val="00134156"/>
    <w:rsid w:val="001363A1"/>
    <w:rsid w:val="00140596"/>
    <w:rsid w:val="001406DB"/>
    <w:rsid w:val="00141EE1"/>
    <w:rsid w:val="00144A7F"/>
    <w:rsid w:val="00144C2D"/>
    <w:rsid w:val="00146E27"/>
    <w:rsid w:val="00150BE9"/>
    <w:rsid w:val="0015111A"/>
    <w:rsid w:val="00151B7C"/>
    <w:rsid w:val="00153D52"/>
    <w:rsid w:val="00154557"/>
    <w:rsid w:val="00154BE5"/>
    <w:rsid w:val="001551AA"/>
    <w:rsid w:val="001552E6"/>
    <w:rsid w:val="00155F83"/>
    <w:rsid w:val="001562BD"/>
    <w:rsid w:val="00156619"/>
    <w:rsid w:val="00156B90"/>
    <w:rsid w:val="00156CCE"/>
    <w:rsid w:val="0016054A"/>
    <w:rsid w:val="00160B6B"/>
    <w:rsid w:val="00160BE6"/>
    <w:rsid w:val="001625FE"/>
    <w:rsid w:val="00163373"/>
    <w:rsid w:val="00163532"/>
    <w:rsid w:val="00164B17"/>
    <w:rsid w:val="00164FDE"/>
    <w:rsid w:val="00167C99"/>
    <w:rsid w:val="001702B0"/>
    <w:rsid w:val="001702E9"/>
    <w:rsid w:val="0017036E"/>
    <w:rsid w:val="001743A3"/>
    <w:rsid w:val="001763CC"/>
    <w:rsid w:val="00176803"/>
    <w:rsid w:val="001806A3"/>
    <w:rsid w:val="00181225"/>
    <w:rsid w:val="00181535"/>
    <w:rsid w:val="00181F71"/>
    <w:rsid w:val="0018236C"/>
    <w:rsid w:val="00183C38"/>
    <w:rsid w:val="00184502"/>
    <w:rsid w:val="00185DB7"/>
    <w:rsid w:val="001871AD"/>
    <w:rsid w:val="00190CD3"/>
    <w:rsid w:val="001927F6"/>
    <w:rsid w:val="00194B4C"/>
    <w:rsid w:val="00194DE9"/>
    <w:rsid w:val="00195560"/>
    <w:rsid w:val="00195EDF"/>
    <w:rsid w:val="00196989"/>
    <w:rsid w:val="001A0009"/>
    <w:rsid w:val="001A02DE"/>
    <w:rsid w:val="001A03E2"/>
    <w:rsid w:val="001A1457"/>
    <w:rsid w:val="001A2033"/>
    <w:rsid w:val="001A32B0"/>
    <w:rsid w:val="001A3E96"/>
    <w:rsid w:val="001A4230"/>
    <w:rsid w:val="001A57F7"/>
    <w:rsid w:val="001A594F"/>
    <w:rsid w:val="001A60A3"/>
    <w:rsid w:val="001A75B7"/>
    <w:rsid w:val="001A7A18"/>
    <w:rsid w:val="001A7B53"/>
    <w:rsid w:val="001B0A5A"/>
    <w:rsid w:val="001B218D"/>
    <w:rsid w:val="001B2EEA"/>
    <w:rsid w:val="001B5E69"/>
    <w:rsid w:val="001B76C5"/>
    <w:rsid w:val="001C0439"/>
    <w:rsid w:val="001C25A9"/>
    <w:rsid w:val="001C60B5"/>
    <w:rsid w:val="001C6558"/>
    <w:rsid w:val="001C6B78"/>
    <w:rsid w:val="001C6FBF"/>
    <w:rsid w:val="001C74F1"/>
    <w:rsid w:val="001D0541"/>
    <w:rsid w:val="001D1924"/>
    <w:rsid w:val="001D26E5"/>
    <w:rsid w:val="001D28B7"/>
    <w:rsid w:val="001D2C29"/>
    <w:rsid w:val="001D5022"/>
    <w:rsid w:val="001D5201"/>
    <w:rsid w:val="001D5237"/>
    <w:rsid w:val="001D765D"/>
    <w:rsid w:val="001D7670"/>
    <w:rsid w:val="001D7AD1"/>
    <w:rsid w:val="001D7B33"/>
    <w:rsid w:val="001E0282"/>
    <w:rsid w:val="001E0605"/>
    <w:rsid w:val="001E19C1"/>
    <w:rsid w:val="001E393C"/>
    <w:rsid w:val="001E51ED"/>
    <w:rsid w:val="001E58F7"/>
    <w:rsid w:val="001F0246"/>
    <w:rsid w:val="001F0ACB"/>
    <w:rsid w:val="001F3841"/>
    <w:rsid w:val="001F582F"/>
    <w:rsid w:val="001F7872"/>
    <w:rsid w:val="0020017E"/>
    <w:rsid w:val="002007C1"/>
    <w:rsid w:val="00200BF4"/>
    <w:rsid w:val="00202C9C"/>
    <w:rsid w:val="00203035"/>
    <w:rsid w:val="00204255"/>
    <w:rsid w:val="002059C5"/>
    <w:rsid w:val="002069E5"/>
    <w:rsid w:val="00207378"/>
    <w:rsid w:val="002073CD"/>
    <w:rsid w:val="00210C6A"/>
    <w:rsid w:val="00211F47"/>
    <w:rsid w:val="00212D71"/>
    <w:rsid w:val="002167DD"/>
    <w:rsid w:val="00217ADC"/>
    <w:rsid w:val="00217C64"/>
    <w:rsid w:val="00223AEC"/>
    <w:rsid w:val="00223FE1"/>
    <w:rsid w:val="00224169"/>
    <w:rsid w:val="00226052"/>
    <w:rsid w:val="002264F6"/>
    <w:rsid w:val="002266AC"/>
    <w:rsid w:val="002308D7"/>
    <w:rsid w:val="0023112C"/>
    <w:rsid w:val="00232C2E"/>
    <w:rsid w:val="00232E2C"/>
    <w:rsid w:val="00237C24"/>
    <w:rsid w:val="002407F9"/>
    <w:rsid w:val="0024092E"/>
    <w:rsid w:val="00241362"/>
    <w:rsid w:val="00241BEF"/>
    <w:rsid w:val="0024265E"/>
    <w:rsid w:val="00242C99"/>
    <w:rsid w:val="00244443"/>
    <w:rsid w:val="002445CE"/>
    <w:rsid w:val="00245F55"/>
    <w:rsid w:val="002464C9"/>
    <w:rsid w:val="00250036"/>
    <w:rsid w:val="00257412"/>
    <w:rsid w:val="0026028E"/>
    <w:rsid w:val="002603CE"/>
    <w:rsid w:val="002603EF"/>
    <w:rsid w:val="00260CA1"/>
    <w:rsid w:val="00261628"/>
    <w:rsid w:val="00261FDC"/>
    <w:rsid w:val="00262E1A"/>
    <w:rsid w:val="00262FA8"/>
    <w:rsid w:val="00264141"/>
    <w:rsid w:val="002642C6"/>
    <w:rsid w:val="0026443F"/>
    <w:rsid w:val="00264DAE"/>
    <w:rsid w:val="002656A1"/>
    <w:rsid w:val="00267837"/>
    <w:rsid w:val="00273BB7"/>
    <w:rsid w:val="0027443D"/>
    <w:rsid w:val="00274669"/>
    <w:rsid w:val="00274A22"/>
    <w:rsid w:val="00275D95"/>
    <w:rsid w:val="002766BB"/>
    <w:rsid w:val="00276D86"/>
    <w:rsid w:val="0028047F"/>
    <w:rsid w:val="00280F54"/>
    <w:rsid w:val="00283EFF"/>
    <w:rsid w:val="002849C0"/>
    <w:rsid w:val="002849E5"/>
    <w:rsid w:val="0028531F"/>
    <w:rsid w:val="00285F3E"/>
    <w:rsid w:val="00286E95"/>
    <w:rsid w:val="00287B86"/>
    <w:rsid w:val="00290A50"/>
    <w:rsid w:val="002916AA"/>
    <w:rsid w:val="0029377C"/>
    <w:rsid w:val="002943AC"/>
    <w:rsid w:val="00294A5A"/>
    <w:rsid w:val="002A199D"/>
    <w:rsid w:val="002A26E5"/>
    <w:rsid w:val="002A2E6C"/>
    <w:rsid w:val="002A46C7"/>
    <w:rsid w:val="002A4B49"/>
    <w:rsid w:val="002A4B87"/>
    <w:rsid w:val="002A5D5D"/>
    <w:rsid w:val="002A7203"/>
    <w:rsid w:val="002B2D8E"/>
    <w:rsid w:val="002B48FE"/>
    <w:rsid w:val="002B79E4"/>
    <w:rsid w:val="002B7CC2"/>
    <w:rsid w:val="002C04B5"/>
    <w:rsid w:val="002C7C98"/>
    <w:rsid w:val="002D0A2E"/>
    <w:rsid w:val="002D16C9"/>
    <w:rsid w:val="002D46FE"/>
    <w:rsid w:val="002D59E9"/>
    <w:rsid w:val="002D5F62"/>
    <w:rsid w:val="002D6F99"/>
    <w:rsid w:val="002D7890"/>
    <w:rsid w:val="002E083A"/>
    <w:rsid w:val="002E1E93"/>
    <w:rsid w:val="002E21C6"/>
    <w:rsid w:val="002E3E57"/>
    <w:rsid w:val="002E4936"/>
    <w:rsid w:val="002E6C89"/>
    <w:rsid w:val="002F0312"/>
    <w:rsid w:val="002F240C"/>
    <w:rsid w:val="002F729A"/>
    <w:rsid w:val="00300AFE"/>
    <w:rsid w:val="00301878"/>
    <w:rsid w:val="00301B5E"/>
    <w:rsid w:val="00303F39"/>
    <w:rsid w:val="00305E51"/>
    <w:rsid w:val="00306347"/>
    <w:rsid w:val="003073CB"/>
    <w:rsid w:val="00307BF6"/>
    <w:rsid w:val="003106A5"/>
    <w:rsid w:val="00313166"/>
    <w:rsid w:val="003135E0"/>
    <w:rsid w:val="00315026"/>
    <w:rsid w:val="003151A7"/>
    <w:rsid w:val="00316423"/>
    <w:rsid w:val="00317763"/>
    <w:rsid w:val="00317F69"/>
    <w:rsid w:val="003209B0"/>
    <w:rsid w:val="00321661"/>
    <w:rsid w:val="003216D8"/>
    <w:rsid w:val="003234C6"/>
    <w:rsid w:val="00323935"/>
    <w:rsid w:val="00323C7D"/>
    <w:rsid w:val="00323D45"/>
    <w:rsid w:val="00324DEA"/>
    <w:rsid w:val="003277D1"/>
    <w:rsid w:val="00331F16"/>
    <w:rsid w:val="003328EA"/>
    <w:rsid w:val="00334079"/>
    <w:rsid w:val="00335272"/>
    <w:rsid w:val="00336B1C"/>
    <w:rsid w:val="003374E4"/>
    <w:rsid w:val="0033794E"/>
    <w:rsid w:val="0034191D"/>
    <w:rsid w:val="00342936"/>
    <w:rsid w:val="00343A8F"/>
    <w:rsid w:val="00344681"/>
    <w:rsid w:val="003471E4"/>
    <w:rsid w:val="00350151"/>
    <w:rsid w:val="003508EB"/>
    <w:rsid w:val="003514B9"/>
    <w:rsid w:val="00351B4B"/>
    <w:rsid w:val="00353528"/>
    <w:rsid w:val="00353C2A"/>
    <w:rsid w:val="00354421"/>
    <w:rsid w:val="003549D9"/>
    <w:rsid w:val="00355ABF"/>
    <w:rsid w:val="00355B07"/>
    <w:rsid w:val="0035679F"/>
    <w:rsid w:val="0036002E"/>
    <w:rsid w:val="0036026A"/>
    <w:rsid w:val="00361C13"/>
    <w:rsid w:val="00361E70"/>
    <w:rsid w:val="0036244E"/>
    <w:rsid w:val="003653B5"/>
    <w:rsid w:val="003657B2"/>
    <w:rsid w:val="003679B1"/>
    <w:rsid w:val="00370203"/>
    <w:rsid w:val="00373C15"/>
    <w:rsid w:val="00373DB7"/>
    <w:rsid w:val="00375FDD"/>
    <w:rsid w:val="00380398"/>
    <w:rsid w:val="003807D7"/>
    <w:rsid w:val="003819D2"/>
    <w:rsid w:val="003828B8"/>
    <w:rsid w:val="00383787"/>
    <w:rsid w:val="00383D59"/>
    <w:rsid w:val="00384CE2"/>
    <w:rsid w:val="003858DE"/>
    <w:rsid w:val="003869DE"/>
    <w:rsid w:val="00386A69"/>
    <w:rsid w:val="003876BF"/>
    <w:rsid w:val="00387FD4"/>
    <w:rsid w:val="003911BD"/>
    <w:rsid w:val="00392119"/>
    <w:rsid w:val="00392AF1"/>
    <w:rsid w:val="00393D5E"/>
    <w:rsid w:val="00394422"/>
    <w:rsid w:val="00395132"/>
    <w:rsid w:val="00395256"/>
    <w:rsid w:val="00395FF5"/>
    <w:rsid w:val="00396B45"/>
    <w:rsid w:val="00397D3B"/>
    <w:rsid w:val="003A171B"/>
    <w:rsid w:val="003A1D65"/>
    <w:rsid w:val="003A223A"/>
    <w:rsid w:val="003A28B9"/>
    <w:rsid w:val="003A2F50"/>
    <w:rsid w:val="003A3460"/>
    <w:rsid w:val="003A4999"/>
    <w:rsid w:val="003A4C2B"/>
    <w:rsid w:val="003A6177"/>
    <w:rsid w:val="003A68B6"/>
    <w:rsid w:val="003A6FE6"/>
    <w:rsid w:val="003A7D9B"/>
    <w:rsid w:val="003B03DF"/>
    <w:rsid w:val="003B0B2D"/>
    <w:rsid w:val="003B113A"/>
    <w:rsid w:val="003B201A"/>
    <w:rsid w:val="003B3297"/>
    <w:rsid w:val="003B4F57"/>
    <w:rsid w:val="003C02B4"/>
    <w:rsid w:val="003C1E0F"/>
    <w:rsid w:val="003C52C3"/>
    <w:rsid w:val="003C6D17"/>
    <w:rsid w:val="003D18FF"/>
    <w:rsid w:val="003D239F"/>
    <w:rsid w:val="003D269F"/>
    <w:rsid w:val="003D38CA"/>
    <w:rsid w:val="003D3D81"/>
    <w:rsid w:val="003D4416"/>
    <w:rsid w:val="003D4F37"/>
    <w:rsid w:val="003D5109"/>
    <w:rsid w:val="003D5A10"/>
    <w:rsid w:val="003D7497"/>
    <w:rsid w:val="003E0565"/>
    <w:rsid w:val="003E0944"/>
    <w:rsid w:val="003E0B55"/>
    <w:rsid w:val="003E0C8F"/>
    <w:rsid w:val="003E2469"/>
    <w:rsid w:val="003E41A6"/>
    <w:rsid w:val="003E51C8"/>
    <w:rsid w:val="003E589E"/>
    <w:rsid w:val="003E6C1B"/>
    <w:rsid w:val="003F03DC"/>
    <w:rsid w:val="003F2E2F"/>
    <w:rsid w:val="003F316C"/>
    <w:rsid w:val="003F3634"/>
    <w:rsid w:val="003F4A3C"/>
    <w:rsid w:val="003F4CC3"/>
    <w:rsid w:val="003F4E67"/>
    <w:rsid w:val="003F53A1"/>
    <w:rsid w:val="003F753D"/>
    <w:rsid w:val="0040014A"/>
    <w:rsid w:val="00400314"/>
    <w:rsid w:val="00400F97"/>
    <w:rsid w:val="00402AAB"/>
    <w:rsid w:val="00403516"/>
    <w:rsid w:val="0040554A"/>
    <w:rsid w:val="004066B2"/>
    <w:rsid w:val="00406814"/>
    <w:rsid w:val="00406AA7"/>
    <w:rsid w:val="00406F0A"/>
    <w:rsid w:val="00406F30"/>
    <w:rsid w:val="00407823"/>
    <w:rsid w:val="0041069E"/>
    <w:rsid w:val="00412A5B"/>
    <w:rsid w:val="004133FA"/>
    <w:rsid w:val="00413648"/>
    <w:rsid w:val="00415975"/>
    <w:rsid w:val="0041597F"/>
    <w:rsid w:val="00415C6C"/>
    <w:rsid w:val="00416D07"/>
    <w:rsid w:val="004175DF"/>
    <w:rsid w:val="00420D99"/>
    <w:rsid w:val="0042254A"/>
    <w:rsid w:val="00423020"/>
    <w:rsid w:val="004250B1"/>
    <w:rsid w:val="004309EC"/>
    <w:rsid w:val="00431BB4"/>
    <w:rsid w:val="00431FD2"/>
    <w:rsid w:val="00432BD1"/>
    <w:rsid w:val="00433D37"/>
    <w:rsid w:val="004363A9"/>
    <w:rsid w:val="00440125"/>
    <w:rsid w:val="00441A07"/>
    <w:rsid w:val="004448E7"/>
    <w:rsid w:val="00446B7D"/>
    <w:rsid w:val="00446CF3"/>
    <w:rsid w:val="004470FA"/>
    <w:rsid w:val="00447197"/>
    <w:rsid w:val="00450543"/>
    <w:rsid w:val="0045166F"/>
    <w:rsid w:val="00451E30"/>
    <w:rsid w:val="004540BB"/>
    <w:rsid w:val="00457F22"/>
    <w:rsid w:val="00460420"/>
    <w:rsid w:val="00462293"/>
    <w:rsid w:val="00463E4B"/>
    <w:rsid w:val="0046467F"/>
    <w:rsid w:val="00464C52"/>
    <w:rsid w:val="00464C8C"/>
    <w:rsid w:val="00466F6B"/>
    <w:rsid w:val="0046737A"/>
    <w:rsid w:val="0046754F"/>
    <w:rsid w:val="004675BB"/>
    <w:rsid w:val="00467BC8"/>
    <w:rsid w:val="00470A28"/>
    <w:rsid w:val="00471382"/>
    <w:rsid w:val="004713B0"/>
    <w:rsid w:val="004727B0"/>
    <w:rsid w:val="00474C0E"/>
    <w:rsid w:val="00476178"/>
    <w:rsid w:val="00476310"/>
    <w:rsid w:val="00476E3D"/>
    <w:rsid w:val="0047746A"/>
    <w:rsid w:val="00477A67"/>
    <w:rsid w:val="0048194F"/>
    <w:rsid w:val="00481CF0"/>
    <w:rsid w:val="00482F35"/>
    <w:rsid w:val="004834FD"/>
    <w:rsid w:val="00485993"/>
    <w:rsid w:val="00485C08"/>
    <w:rsid w:val="00485CA7"/>
    <w:rsid w:val="004868B5"/>
    <w:rsid w:val="00486E9F"/>
    <w:rsid w:val="00487348"/>
    <w:rsid w:val="00487613"/>
    <w:rsid w:val="00487BDD"/>
    <w:rsid w:val="00487C75"/>
    <w:rsid w:val="00490416"/>
    <w:rsid w:val="00491A79"/>
    <w:rsid w:val="004929B2"/>
    <w:rsid w:val="004929F8"/>
    <w:rsid w:val="004931AE"/>
    <w:rsid w:val="00494080"/>
    <w:rsid w:val="004A008B"/>
    <w:rsid w:val="004A140C"/>
    <w:rsid w:val="004A145D"/>
    <w:rsid w:val="004A22A1"/>
    <w:rsid w:val="004A240D"/>
    <w:rsid w:val="004A2551"/>
    <w:rsid w:val="004A3B59"/>
    <w:rsid w:val="004A41E9"/>
    <w:rsid w:val="004A45A2"/>
    <w:rsid w:val="004A4B33"/>
    <w:rsid w:val="004A4BD0"/>
    <w:rsid w:val="004A7705"/>
    <w:rsid w:val="004B0C34"/>
    <w:rsid w:val="004B219D"/>
    <w:rsid w:val="004B37A7"/>
    <w:rsid w:val="004B4F54"/>
    <w:rsid w:val="004B5077"/>
    <w:rsid w:val="004B5224"/>
    <w:rsid w:val="004C0015"/>
    <w:rsid w:val="004C0917"/>
    <w:rsid w:val="004C1EA9"/>
    <w:rsid w:val="004C39E3"/>
    <w:rsid w:val="004C41EA"/>
    <w:rsid w:val="004C4294"/>
    <w:rsid w:val="004C6C02"/>
    <w:rsid w:val="004C772F"/>
    <w:rsid w:val="004D086B"/>
    <w:rsid w:val="004D0C14"/>
    <w:rsid w:val="004D0C86"/>
    <w:rsid w:val="004D247C"/>
    <w:rsid w:val="004D4B5F"/>
    <w:rsid w:val="004D54BA"/>
    <w:rsid w:val="004D5605"/>
    <w:rsid w:val="004D575F"/>
    <w:rsid w:val="004D6471"/>
    <w:rsid w:val="004D6C51"/>
    <w:rsid w:val="004D6D54"/>
    <w:rsid w:val="004E073C"/>
    <w:rsid w:val="004E11CF"/>
    <w:rsid w:val="004E1AE9"/>
    <w:rsid w:val="004E268C"/>
    <w:rsid w:val="004E3353"/>
    <w:rsid w:val="004E5BA7"/>
    <w:rsid w:val="004E5D9C"/>
    <w:rsid w:val="004E5ED6"/>
    <w:rsid w:val="004F083A"/>
    <w:rsid w:val="004F153D"/>
    <w:rsid w:val="004F306E"/>
    <w:rsid w:val="004F43FE"/>
    <w:rsid w:val="004F4507"/>
    <w:rsid w:val="004F5DEE"/>
    <w:rsid w:val="004F6686"/>
    <w:rsid w:val="004F721C"/>
    <w:rsid w:val="004F7928"/>
    <w:rsid w:val="005023EF"/>
    <w:rsid w:val="00502A81"/>
    <w:rsid w:val="00502C4D"/>
    <w:rsid w:val="00503581"/>
    <w:rsid w:val="00503C2C"/>
    <w:rsid w:val="005042AB"/>
    <w:rsid w:val="0050562A"/>
    <w:rsid w:val="00507536"/>
    <w:rsid w:val="00512500"/>
    <w:rsid w:val="00512D47"/>
    <w:rsid w:val="00514C57"/>
    <w:rsid w:val="005151DF"/>
    <w:rsid w:val="0051652C"/>
    <w:rsid w:val="005179AD"/>
    <w:rsid w:val="00517C40"/>
    <w:rsid w:val="00517DB0"/>
    <w:rsid w:val="00520433"/>
    <w:rsid w:val="00520768"/>
    <w:rsid w:val="005209E5"/>
    <w:rsid w:val="00521B76"/>
    <w:rsid w:val="00523C9C"/>
    <w:rsid w:val="00523F7B"/>
    <w:rsid w:val="00524776"/>
    <w:rsid w:val="00524BBD"/>
    <w:rsid w:val="00524D19"/>
    <w:rsid w:val="00525995"/>
    <w:rsid w:val="00526F1F"/>
    <w:rsid w:val="0052751C"/>
    <w:rsid w:val="00527D95"/>
    <w:rsid w:val="00530F26"/>
    <w:rsid w:val="0053208F"/>
    <w:rsid w:val="00534618"/>
    <w:rsid w:val="0053571A"/>
    <w:rsid w:val="00536053"/>
    <w:rsid w:val="0054091D"/>
    <w:rsid w:val="00540AA1"/>
    <w:rsid w:val="005418C6"/>
    <w:rsid w:val="00542822"/>
    <w:rsid w:val="0054367E"/>
    <w:rsid w:val="00543A87"/>
    <w:rsid w:val="00543CA9"/>
    <w:rsid w:val="0054423E"/>
    <w:rsid w:val="005468AC"/>
    <w:rsid w:val="005508F7"/>
    <w:rsid w:val="005515EB"/>
    <w:rsid w:val="0055470B"/>
    <w:rsid w:val="00555174"/>
    <w:rsid w:val="00555870"/>
    <w:rsid w:val="005558B3"/>
    <w:rsid w:val="00557676"/>
    <w:rsid w:val="00560594"/>
    <w:rsid w:val="005626A7"/>
    <w:rsid w:val="00563186"/>
    <w:rsid w:val="00564DE9"/>
    <w:rsid w:val="00566F1E"/>
    <w:rsid w:val="00570AAF"/>
    <w:rsid w:val="00570B5F"/>
    <w:rsid w:val="00570F21"/>
    <w:rsid w:val="0057141E"/>
    <w:rsid w:val="00571D7E"/>
    <w:rsid w:val="0057322F"/>
    <w:rsid w:val="00576234"/>
    <w:rsid w:val="005767A8"/>
    <w:rsid w:val="005802D3"/>
    <w:rsid w:val="005813D7"/>
    <w:rsid w:val="00581C10"/>
    <w:rsid w:val="005838E9"/>
    <w:rsid w:val="00585DD4"/>
    <w:rsid w:val="0059168D"/>
    <w:rsid w:val="005919E4"/>
    <w:rsid w:val="005929A2"/>
    <w:rsid w:val="005932B1"/>
    <w:rsid w:val="00593407"/>
    <w:rsid w:val="00594AEA"/>
    <w:rsid w:val="005951E6"/>
    <w:rsid w:val="00597FD4"/>
    <w:rsid w:val="005A0757"/>
    <w:rsid w:val="005A0F21"/>
    <w:rsid w:val="005A1151"/>
    <w:rsid w:val="005A3E08"/>
    <w:rsid w:val="005A4F35"/>
    <w:rsid w:val="005A57AC"/>
    <w:rsid w:val="005A5974"/>
    <w:rsid w:val="005A7BC6"/>
    <w:rsid w:val="005A7C0F"/>
    <w:rsid w:val="005B1F94"/>
    <w:rsid w:val="005B3853"/>
    <w:rsid w:val="005B4629"/>
    <w:rsid w:val="005B5536"/>
    <w:rsid w:val="005B6E78"/>
    <w:rsid w:val="005C0988"/>
    <w:rsid w:val="005C0E76"/>
    <w:rsid w:val="005C1EFC"/>
    <w:rsid w:val="005C34AD"/>
    <w:rsid w:val="005C3D5E"/>
    <w:rsid w:val="005C49A1"/>
    <w:rsid w:val="005C6407"/>
    <w:rsid w:val="005D13D8"/>
    <w:rsid w:val="005D18F3"/>
    <w:rsid w:val="005D228B"/>
    <w:rsid w:val="005D3E8E"/>
    <w:rsid w:val="005D58D2"/>
    <w:rsid w:val="005D6437"/>
    <w:rsid w:val="005E02A3"/>
    <w:rsid w:val="005E05BB"/>
    <w:rsid w:val="005E0CD4"/>
    <w:rsid w:val="005E0EED"/>
    <w:rsid w:val="005E2587"/>
    <w:rsid w:val="005E2A12"/>
    <w:rsid w:val="005E45DF"/>
    <w:rsid w:val="005E4680"/>
    <w:rsid w:val="005E64E0"/>
    <w:rsid w:val="005E6C50"/>
    <w:rsid w:val="005E7889"/>
    <w:rsid w:val="005F0269"/>
    <w:rsid w:val="005F066A"/>
    <w:rsid w:val="005F25D2"/>
    <w:rsid w:val="005F2A25"/>
    <w:rsid w:val="005F2A4D"/>
    <w:rsid w:val="005F5523"/>
    <w:rsid w:val="005F772B"/>
    <w:rsid w:val="005F7AC8"/>
    <w:rsid w:val="005F7E61"/>
    <w:rsid w:val="0060013A"/>
    <w:rsid w:val="00600850"/>
    <w:rsid w:val="00601159"/>
    <w:rsid w:val="00601755"/>
    <w:rsid w:val="00601DC4"/>
    <w:rsid w:val="00601E82"/>
    <w:rsid w:val="00602DBB"/>
    <w:rsid w:val="00604606"/>
    <w:rsid w:val="00604DEB"/>
    <w:rsid w:val="00605C59"/>
    <w:rsid w:val="00605EA1"/>
    <w:rsid w:val="006060FD"/>
    <w:rsid w:val="0060758D"/>
    <w:rsid w:val="00610A7F"/>
    <w:rsid w:val="00610E11"/>
    <w:rsid w:val="00612469"/>
    <w:rsid w:val="006125A1"/>
    <w:rsid w:val="006140C7"/>
    <w:rsid w:val="00614833"/>
    <w:rsid w:val="00614A18"/>
    <w:rsid w:val="00615CF4"/>
    <w:rsid w:val="00615E44"/>
    <w:rsid w:val="00616B44"/>
    <w:rsid w:val="00616BDF"/>
    <w:rsid w:val="0062042E"/>
    <w:rsid w:val="006234EA"/>
    <w:rsid w:val="006238DE"/>
    <w:rsid w:val="00624EE7"/>
    <w:rsid w:val="00626042"/>
    <w:rsid w:val="00626380"/>
    <w:rsid w:val="00627868"/>
    <w:rsid w:val="006319BA"/>
    <w:rsid w:val="006336C8"/>
    <w:rsid w:val="00634D7A"/>
    <w:rsid w:val="00635310"/>
    <w:rsid w:val="00636616"/>
    <w:rsid w:val="00637B09"/>
    <w:rsid w:val="00640A8C"/>
    <w:rsid w:val="00640CF3"/>
    <w:rsid w:val="00645EFE"/>
    <w:rsid w:val="006464A3"/>
    <w:rsid w:val="006465DA"/>
    <w:rsid w:val="00646CA1"/>
    <w:rsid w:val="00647B54"/>
    <w:rsid w:val="00647C15"/>
    <w:rsid w:val="00650157"/>
    <w:rsid w:val="0065325D"/>
    <w:rsid w:val="00653CB4"/>
    <w:rsid w:val="0065467D"/>
    <w:rsid w:val="00655D91"/>
    <w:rsid w:val="00656412"/>
    <w:rsid w:val="0065740C"/>
    <w:rsid w:val="006615B4"/>
    <w:rsid w:val="00662B57"/>
    <w:rsid w:val="00663A49"/>
    <w:rsid w:val="00665144"/>
    <w:rsid w:val="006675CF"/>
    <w:rsid w:val="00667AB4"/>
    <w:rsid w:val="00667B36"/>
    <w:rsid w:val="00672186"/>
    <w:rsid w:val="00672A53"/>
    <w:rsid w:val="00672ABE"/>
    <w:rsid w:val="00673071"/>
    <w:rsid w:val="006730BD"/>
    <w:rsid w:val="00675B4C"/>
    <w:rsid w:val="00676B13"/>
    <w:rsid w:val="00677BEC"/>
    <w:rsid w:val="006835B2"/>
    <w:rsid w:val="0068463E"/>
    <w:rsid w:val="00684B21"/>
    <w:rsid w:val="0068638A"/>
    <w:rsid w:val="00687167"/>
    <w:rsid w:val="00691C34"/>
    <w:rsid w:val="00692CFA"/>
    <w:rsid w:val="00694620"/>
    <w:rsid w:val="00695429"/>
    <w:rsid w:val="00696DFB"/>
    <w:rsid w:val="006A0506"/>
    <w:rsid w:val="006A2132"/>
    <w:rsid w:val="006A3CEC"/>
    <w:rsid w:val="006A3F2E"/>
    <w:rsid w:val="006A40D6"/>
    <w:rsid w:val="006A551B"/>
    <w:rsid w:val="006A6BB1"/>
    <w:rsid w:val="006A747C"/>
    <w:rsid w:val="006A7B09"/>
    <w:rsid w:val="006A7E68"/>
    <w:rsid w:val="006B0AF6"/>
    <w:rsid w:val="006B12E6"/>
    <w:rsid w:val="006B1B67"/>
    <w:rsid w:val="006B344E"/>
    <w:rsid w:val="006B4D22"/>
    <w:rsid w:val="006B5FD8"/>
    <w:rsid w:val="006B6475"/>
    <w:rsid w:val="006B6B0C"/>
    <w:rsid w:val="006C00C0"/>
    <w:rsid w:val="006C083D"/>
    <w:rsid w:val="006C13A8"/>
    <w:rsid w:val="006C14D0"/>
    <w:rsid w:val="006C15E1"/>
    <w:rsid w:val="006C1C8C"/>
    <w:rsid w:val="006C21D7"/>
    <w:rsid w:val="006C3B0D"/>
    <w:rsid w:val="006C4AC9"/>
    <w:rsid w:val="006C4C77"/>
    <w:rsid w:val="006C79FE"/>
    <w:rsid w:val="006D029B"/>
    <w:rsid w:val="006D050E"/>
    <w:rsid w:val="006D05F7"/>
    <w:rsid w:val="006D1676"/>
    <w:rsid w:val="006D2041"/>
    <w:rsid w:val="006D2439"/>
    <w:rsid w:val="006D25CD"/>
    <w:rsid w:val="006D273E"/>
    <w:rsid w:val="006D2784"/>
    <w:rsid w:val="006D69BC"/>
    <w:rsid w:val="006D70DD"/>
    <w:rsid w:val="006D79A2"/>
    <w:rsid w:val="006E05D3"/>
    <w:rsid w:val="006E087F"/>
    <w:rsid w:val="006E2841"/>
    <w:rsid w:val="006E4CCD"/>
    <w:rsid w:val="006E5F41"/>
    <w:rsid w:val="006E63F2"/>
    <w:rsid w:val="006E7141"/>
    <w:rsid w:val="006E722D"/>
    <w:rsid w:val="006F13CF"/>
    <w:rsid w:val="006F1F6E"/>
    <w:rsid w:val="006F26FB"/>
    <w:rsid w:val="006F2BC3"/>
    <w:rsid w:val="006F2FCE"/>
    <w:rsid w:val="006F30E4"/>
    <w:rsid w:val="006F38DA"/>
    <w:rsid w:val="006F4A04"/>
    <w:rsid w:val="006F5D41"/>
    <w:rsid w:val="006F78AE"/>
    <w:rsid w:val="006F79C9"/>
    <w:rsid w:val="007007A5"/>
    <w:rsid w:val="0070184A"/>
    <w:rsid w:val="00702604"/>
    <w:rsid w:val="0070380F"/>
    <w:rsid w:val="00703988"/>
    <w:rsid w:val="007055F6"/>
    <w:rsid w:val="00710284"/>
    <w:rsid w:val="00711A64"/>
    <w:rsid w:val="007123B0"/>
    <w:rsid w:val="00714748"/>
    <w:rsid w:val="007153DE"/>
    <w:rsid w:val="00715B32"/>
    <w:rsid w:val="007179F7"/>
    <w:rsid w:val="00717D58"/>
    <w:rsid w:val="0072083C"/>
    <w:rsid w:val="007216A9"/>
    <w:rsid w:val="007217ED"/>
    <w:rsid w:val="00722131"/>
    <w:rsid w:val="007223B3"/>
    <w:rsid w:val="00722C5C"/>
    <w:rsid w:val="0072301A"/>
    <w:rsid w:val="00725B44"/>
    <w:rsid w:val="0072685F"/>
    <w:rsid w:val="00731C28"/>
    <w:rsid w:val="00731CBC"/>
    <w:rsid w:val="007322EE"/>
    <w:rsid w:val="007325D5"/>
    <w:rsid w:val="007327F5"/>
    <w:rsid w:val="00732ED2"/>
    <w:rsid w:val="00732F87"/>
    <w:rsid w:val="00733F8B"/>
    <w:rsid w:val="00734173"/>
    <w:rsid w:val="007341E7"/>
    <w:rsid w:val="007347F1"/>
    <w:rsid w:val="00734EE4"/>
    <w:rsid w:val="007354A2"/>
    <w:rsid w:val="00736C51"/>
    <w:rsid w:val="00741586"/>
    <w:rsid w:val="00742DB9"/>
    <w:rsid w:val="00743B49"/>
    <w:rsid w:val="00743E61"/>
    <w:rsid w:val="007442B5"/>
    <w:rsid w:val="00745DB6"/>
    <w:rsid w:val="00746C70"/>
    <w:rsid w:val="00746F87"/>
    <w:rsid w:val="007472CF"/>
    <w:rsid w:val="00747551"/>
    <w:rsid w:val="007504E7"/>
    <w:rsid w:val="00750A2E"/>
    <w:rsid w:val="0075113D"/>
    <w:rsid w:val="0075221D"/>
    <w:rsid w:val="00752469"/>
    <w:rsid w:val="00753C11"/>
    <w:rsid w:val="00754DF0"/>
    <w:rsid w:val="00755668"/>
    <w:rsid w:val="007575E8"/>
    <w:rsid w:val="00762A3C"/>
    <w:rsid w:val="00762D3D"/>
    <w:rsid w:val="00762F1F"/>
    <w:rsid w:val="00764282"/>
    <w:rsid w:val="0076435B"/>
    <w:rsid w:val="00764C4B"/>
    <w:rsid w:val="00767679"/>
    <w:rsid w:val="00771EC2"/>
    <w:rsid w:val="00772E3A"/>
    <w:rsid w:val="00772E6C"/>
    <w:rsid w:val="00774ADC"/>
    <w:rsid w:val="00776664"/>
    <w:rsid w:val="007772C6"/>
    <w:rsid w:val="0077749F"/>
    <w:rsid w:val="00777650"/>
    <w:rsid w:val="0077784F"/>
    <w:rsid w:val="0077799E"/>
    <w:rsid w:val="007806B4"/>
    <w:rsid w:val="00780FE2"/>
    <w:rsid w:val="007810AF"/>
    <w:rsid w:val="00781EB6"/>
    <w:rsid w:val="00782E52"/>
    <w:rsid w:val="007838B8"/>
    <w:rsid w:val="00783DBA"/>
    <w:rsid w:val="00787454"/>
    <w:rsid w:val="00787799"/>
    <w:rsid w:val="00787AF4"/>
    <w:rsid w:val="00791318"/>
    <w:rsid w:val="00792212"/>
    <w:rsid w:val="007924C2"/>
    <w:rsid w:val="007924F1"/>
    <w:rsid w:val="0079251A"/>
    <w:rsid w:val="00792B50"/>
    <w:rsid w:val="007936AD"/>
    <w:rsid w:val="007954BB"/>
    <w:rsid w:val="00795E7A"/>
    <w:rsid w:val="00796A5A"/>
    <w:rsid w:val="007976B8"/>
    <w:rsid w:val="007A0B5F"/>
    <w:rsid w:val="007A15EA"/>
    <w:rsid w:val="007A1E94"/>
    <w:rsid w:val="007A2CB2"/>
    <w:rsid w:val="007A315C"/>
    <w:rsid w:val="007A31F4"/>
    <w:rsid w:val="007A5A03"/>
    <w:rsid w:val="007A5EEB"/>
    <w:rsid w:val="007A5F16"/>
    <w:rsid w:val="007A72C3"/>
    <w:rsid w:val="007B5CF4"/>
    <w:rsid w:val="007B5F6A"/>
    <w:rsid w:val="007B6739"/>
    <w:rsid w:val="007B7108"/>
    <w:rsid w:val="007C082B"/>
    <w:rsid w:val="007C0F4D"/>
    <w:rsid w:val="007C2122"/>
    <w:rsid w:val="007C2B09"/>
    <w:rsid w:val="007C40C7"/>
    <w:rsid w:val="007C4270"/>
    <w:rsid w:val="007C45AE"/>
    <w:rsid w:val="007C54BC"/>
    <w:rsid w:val="007C753E"/>
    <w:rsid w:val="007D1DA1"/>
    <w:rsid w:val="007D23AD"/>
    <w:rsid w:val="007D3730"/>
    <w:rsid w:val="007D6A23"/>
    <w:rsid w:val="007D6C22"/>
    <w:rsid w:val="007D72F1"/>
    <w:rsid w:val="007D766E"/>
    <w:rsid w:val="007E012F"/>
    <w:rsid w:val="007E1387"/>
    <w:rsid w:val="007E2A04"/>
    <w:rsid w:val="007E3E21"/>
    <w:rsid w:val="007E67A2"/>
    <w:rsid w:val="007E6925"/>
    <w:rsid w:val="007E6E84"/>
    <w:rsid w:val="007E7750"/>
    <w:rsid w:val="007E7E86"/>
    <w:rsid w:val="007F26AD"/>
    <w:rsid w:val="007F2A20"/>
    <w:rsid w:val="007F2F3F"/>
    <w:rsid w:val="007F3E84"/>
    <w:rsid w:val="007F775F"/>
    <w:rsid w:val="007F7899"/>
    <w:rsid w:val="007F7B95"/>
    <w:rsid w:val="008021CD"/>
    <w:rsid w:val="00802548"/>
    <w:rsid w:val="0080458E"/>
    <w:rsid w:val="0080560F"/>
    <w:rsid w:val="008105BE"/>
    <w:rsid w:val="00810655"/>
    <w:rsid w:val="008119D5"/>
    <w:rsid w:val="008137FE"/>
    <w:rsid w:val="008159AB"/>
    <w:rsid w:val="00816A00"/>
    <w:rsid w:val="00816B60"/>
    <w:rsid w:val="00821843"/>
    <w:rsid w:val="00822698"/>
    <w:rsid w:val="0082320E"/>
    <w:rsid w:val="00823FBF"/>
    <w:rsid w:val="008251A8"/>
    <w:rsid w:val="00826D1B"/>
    <w:rsid w:val="008270F8"/>
    <w:rsid w:val="008273A1"/>
    <w:rsid w:val="0083132B"/>
    <w:rsid w:val="0083175E"/>
    <w:rsid w:val="00832DF9"/>
    <w:rsid w:val="00834121"/>
    <w:rsid w:val="008349EE"/>
    <w:rsid w:val="00834BDA"/>
    <w:rsid w:val="00835C23"/>
    <w:rsid w:val="0084038E"/>
    <w:rsid w:val="0084049D"/>
    <w:rsid w:val="008408EE"/>
    <w:rsid w:val="00841F5C"/>
    <w:rsid w:val="00844695"/>
    <w:rsid w:val="00846328"/>
    <w:rsid w:val="00846BB1"/>
    <w:rsid w:val="00847703"/>
    <w:rsid w:val="008479FC"/>
    <w:rsid w:val="008502DA"/>
    <w:rsid w:val="008513CC"/>
    <w:rsid w:val="00851A19"/>
    <w:rsid w:val="00855ED2"/>
    <w:rsid w:val="008563EE"/>
    <w:rsid w:val="00856587"/>
    <w:rsid w:val="00857053"/>
    <w:rsid w:val="00857242"/>
    <w:rsid w:val="008618F7"/>
    <w:rsid w:val="00861AE3"/>
    <w:rsid w:val="00861F41"/>
    <w:rsid w:val="008624BE"/>
    <w:rsid w:val="00862EA1"/>
    <w:rsid w:val="00865B64"/>
    <w:rsid w:val="008661D9"/>
    <w:rsid w:val="00867DA8"/>
    <w:rsid w:val="008718BD"/>
    <w:rsid w:val="00873BC5"/>
    <w:rsid w:val="0087682E"/>
    <w:rsid w:val="008777FB"/>
    <w:rsid w:val="00877912"/>
    <w:rsid w:val="00880344"/>
    <w:rsid w:val="0088086D"/>
    <w:rsid w:val="008823DE"/>
    <w:rsid w:val="008833CD"/>
    <w:rsid w:val="00883504"/>
    <w:rsid w:val="008836D3"/>
    <w:rsid w:val="008842C8"/>
    <w:rsid w:val="008846CE"/>
    <w:rsid w:val="00884B13"/>
    <w:rsid w:val="00885150"/>
    <w:rsid w:val="00886DE4"/>
    <w:rsid w:val="0088704F"/>
    <w:rsid w:val="008878F4"/>
    <w:rsid w:val="00891481"/>
    <w:rsid w:val="008926A2"/>
    <w:rsid w:val="008932EE"/>
    <w:rsid w:val="00894FC8"/>
    <w:rsid w:val="00895315"/>
    <w:rsid w:val="00895664"/>
    <w:rsid w:val="00896351"/>
    <w:rsid w:val="008967CD"/>
    <w:rsid w:val="008976CD"/>
    <w:rsid w:val="008A0299"/>
    <w:rsid w:val="008A1D9E"/>
    <w:rsid w:val="008A2470"/>
    <w:rsid w:val="008A24FE"/>
    <w:rsid w:val="008A2AC2"/>
    <w:rsid w:val="008A2EA8"/>
    <w:rsid w:val="008A33E1"/>
    <w:rsid w:val="008A46C8"/>
    <w:rsid w:val="008A47FF"/>
    <w:rsid w:val="008A521C"/>
    <w:rsid w:val="008A5269"/>
    <w:rsid w:val="008A590B"/>
    <w:rsid w:val="008A6247"/>
    <w:rsid w:val="008B27B9"/>
    <w:rsid w:val="008B36B2"/>
    <w:rsid w:val="008B4696"/>
    <w:rsid w:val="008B5409"/>
    <w:rsid w:val="008B5EE0"/>
    <w:rsid w:val="008B7130"/>
    <w:rsid w:val="008C005E"/>
    <w:rsid w:val="008C0FA5"/>
    <w:rsid w:val="008C2048"/>
    <w:rsid w:val="008C39BB"/>
    <w:rsid w:val="008C3D8D"/>
    <w:rsid w:val="008C4A04"/>
    <w:rsid w:val="008C62ED"/>
    <w:rsid w:val="008C6FF6"/>
    <w:rsid w:val="008C7DB4"/>
    <w:rsid w:val="008C7F86"/>
    <w:rsid w:val="008D0A8D"/>
    <w:rsid w:val="008D1324"/>
    <w:rsid w:val="008D275E"/>
    <w:rsid w:val="008D3643"/>
    <w:rsid w:val="008D4002"/>
    <w:rsid w:val="008D5067"/>
    <w:rsid w:val="008D5275"/>
    <w:rsid w:val="008D5AE1"/>
    <w:rsid w:val="008D705F"/>
    <w:rsid w:val="008D7B35"/>
    <w:rsid w:val="008E0948"/>
    <w:rsid w:val="008E1C88"/>
    <w:rsid w:val="008E2FF2"/>
    <w:rsid w:val="008E31BC"/>
    <w:rsid w:val="008E3EBD"/>
    <w:rsid w:val="008E4F8D"/>
    <w:rsid w:val="008E53C7"/>
    <w:rsid w:val="008E572E"/>
    <w:rsid w:val="008E65FD"/>
    <w:rsid w:val="008F063C"/>
    <w:rsid w:val="008F0A81"/>
    <w:rsid w:val="008F0FE2"/>
    <w:rsid w:val="008F23A1"/>
    <w:rsid w:val="008F3647"/>
    <w:rsid w:val="008F4638"/>
    <w:rsid w:val="008F657B"/>
    <w:rsid w:val="008F6A0A"/>
    <w:rsid w:val="0090013C"/>
    <w:rsid w:val="00900EE6"/>
    <w:rsid w:val="009011B9"/>
    <w:rsid w:val="00901634"/>
    <w:rsid w:val="00902317"/>
    <w:rsid w:val="0090239A"/>
    <w:rsid w:val="00902C91"/>
    <w:rsid w:val="00903AFA"/>
    <w:rsid w:val="009040EE"/>
    <w:rsid w:val="00905A2B"/>
    <w:rsid w:val="009061DE"/>
    <w:rsid w:val="00911943"/>
    <w:rsid w:val="0091297B"/>
    <w:rsid w:val="00913E90"/>
    <w:rsid w:val="009157D7"/>
    <w:rsid w:val="00917FE0"/>
    <w:rsid w:val="0092226B"/>
    <w:rsid w:val="00922C15"/>
    <w:rsid w:val="009233D7"/>
    <w:rsid w:val="009241F2"/>
    <w:rsid w:val="0093101D"/>
    <w:rsid w:val="00931ECC"/>
    <w:rsid w:val="00932682"/>
    <w:rsid w:val="0093337C"/>
    <w:rsid w:val="009336BD"/>
    <w:rsid w:val="00933A92"/>
    <w:rsid w:val="00935D3B"/>
    <w:rsid w:val="00935EF9"/>
    <w:rsid w:val="00936E62"/>
    <w:rsid w:val="009373D5"/>
    <w:rsid w:val="00940A8A"/>
    <w:rsid w:val="00940E00"/>
    <w:rsid w:val="00942B81"/>
    <w:rsid w:val="00943188"/>
    <w:rsid w:val="00943F28"/>
    <w:rsid w:val="00944370"/>
    <w:rsid w:val="00944422"/>
    <w:rsid w:val="0094459C"/>
    <w:rsid w:val="00944AB6"/>
    <w:rsid w:val="00944C91"/>
    <w:rsid w:val="009451E4"/>
    <w:rsid w:val="009531F2"/>
    <w:rsid w:val="00954BF4"/>
    <w:rsid w:val="009551EF"/>
    <w:rsid w:val="00957607"/>
    <w:rsid w:val="00957B7A"/>
    <w:rsid w:val="00960086"/>
    <w:rsid w:val="00960CAC"/>
    <w:rsid w:val="0096223C"/>
    <w:rsid w:val="009634D2"/>
    <w:rsid w:val="00963ACC"/>
    <w:rsid w:val="0096442B"/>
    <w:rsid w:val="00964E34"/>
    <w:rsid w:val="00964EA7"/>
    <w:rsid w:val="00966023"/>
    <w:rsid w:val="00967563"/>
    <w:rsid w:val="009676D9"/>
    <w:rsid w:val="00970404"/>
    <w:rsid w:val="00973AB5"/>
    <w:rsid w:val="00973EA3"/>
    <w:rsid w:val="00975E40"/>
    <w:rsid w:val="00976CEB"/>
    <w:rsid w:val="00977858"/>
    <w:rsid w:val="00980346"/>
    <w:rsid w:val="00984243"/>
    <w:rsid w:val="00985903"/>
    <w:rsid w:val="00986634"/>
    <w:rsid w:val="0098697C"/>
    <w:rsid w:val="00987293"/>
    <w:rsid w:val="00987763"/>
    <w:rsid w:val="00987E57"/>
    <w:rsid w:val="00991564"/>
    <w:rsid w:val="0099325E"/>
    <w:rsid w:val="009933FB"/>
    <w:rsid w:val="0099517D"/>
    <w:rsid w:val="00996326"/>
    <w:rsid w:val="0099640E"/>
    <w:rsid w:val="009971C9"/>
    <w:rsid w:val="009A0EFF"/>
    <w:rsid w:val="009A1B4A"/>
    <w:rsid w:val="009A50E7"/>
    <w:rsid w:val="009A5133"/>
    <w:rsid w:val="009A654B"/>
    <w:rsid w:val="009A7998"/>
    <w:rsid w:val="009B0B77"/>
    <w:rsid w:val="009B25E8"/>
    <w:rsid w:val="009B2813"/>
    <w:rsid w:val="009B4DF4"/>
    <w:rsid w:val="009C013D"/>
    <w:rsid w:val="009C253D"/>
    <w:rsid w:val="009C25E3"/>
    <w:rsid w:val="009C28D4"/>
    <w:rsid w:val="009C36D7"/>
    <w:rsid w:val="009C6B86"/>
    <w:rsid w:val="009C78F0"/>
    <w:rsid w:val="009D0377"/>
    <w:rsid w:val="009D0902"/>
    <w:rsid w:val="009D16E4"/>
    <w:rsid w:val="009D2208"/>
    <w:rsid w:val="009D231A"/>
    <w:rsid w:val="009D2463"/>
    <w:rsid w:val="009D61C9"/>
    <w:rsid w:val="009D6263"/>
    <w:rsid w:val="009D6F89"/>
    <w:rsid w:val="009E0E78"/>
    <w:rsid w:val="009E15E4"/>
    <w:rsid w:val="009E2B39"/>
    <w:rsid w:val="009E3AD4"/>
    <w:rsid w:val="009E5D81"/>
    <w:rsid w:val="009E608D"/>
    <w:rsid w:val="009E6588"/>
    <w:rsid w:val="009E6DC2"/>
    <w:rsid w:val="009F11EB"/>
    <w:rsid w:val="009F29E1"/>
    <w:rsid w:val="009F315C"/>
    <w:rsid w:val="009F61B5"/>
    <w:rsid w:val="009F79A7"/>
    <w:rsid w:val="00A00BDC"/>
    <w:rsid w:val="00A00DF5"/>
    <w:rsid w:val="00A01326"/>
    <w:rsid w:val="00A01483"/>
    <w:rsid w:val="00A030E0"/>
    <w:rsid w:val="00A031D5"/>
    <w:rsid w:val="00A06699"/>
    <w:rsid w:val="00A07857"/>
    <w:rsid w:val="00A104B1"/>
    <w:rsid w:val="00A1090C"/>
    <w:rsid w:val="00A1103D"/>
    <w:rsid w:val="00A12151"/>
    <w:rsid w:val="00A1254D"/>
    <w:rsid w:val="00A135F4"/>
    <w:rsid w:val="00A14361"/>
    <w:rsid w:val="00A1481D"/>
    <w:rsid w:val="00A1645D"/>
    <w:rsid w:val="00A16A10"/>
    <w:rsid w:val="00A1757F"/>
    <w:rsid w:val="00A21958"/>
    <w:rsid w:val="00A21BAF"/>
    <w:rsid w:val="00A23FBB"/>
    <w:rsid w:val="00A24535"/>
    <w:rsid w:val="00A247BE"/>
    <w:rsid w:val="00A248F9"/>
    <w:rsid w:val="00A27377"/>
    <w:rsid w:val="00A30498"/>
    <w:rsid w:val="00A311BC"/>
    <w:rsid w:val="00A3143D"/>
    <w:rsid w:val="00A3347E"/>
    <w:rsid w:val="00A3365A"/>
    <w:rsid w:val="00A33BFC"/>
    <w:rsid w:val="00A35D6D"/>
    <w:rsid w:val="00A35E1B"/>
    <w:rsid w:val="00A36E66"/>
    <w:rsid w:val="00A37050"/>
    <w:rsid w:val="00A405DF"/>
    <w:rsid w:val="00A42E69"/>
    <w:rsid w:val="00A4324C"/>
    <w:rsid w:val="00A439FF"/>
    <w:rsid w:val="00A4481B"/>
    <w:rsid w:val="00A456B0"/>
    <w:rsid w:val="00A46F8A"/>
    <w:rsid w:val="00A51D65"/>
    <w:rsid w:val="00A53A40"/>
    <w:rsid w:val="00A55BC7"/>
    <w:rsid w:val="00A562BE"/>
    <w:rsid w:val="00A61179"/>
    <w:rsid w:val="00A61225"/>
    <w:rsid w:val="00A61997"/>
    <w:rsid w:val="00A61B21"/>
    <w:rsid w:val="00A61B32"/>
    <w:rsid w:val="00A61D3E"/>
    <w:rsid w:val="00A61E29"/>
    <w:rsid w:val="00A61FE1"/>
    <w:rsid w:val="00A62ABC"/>
    <w:rsid w:val="00A63833"/>
    <w:rsid w:val="00A64EAD"/>
    <w:rsid w:val="00A651F1"/>
    <w:rsid w:val="00A70298"/>
    <w:rsid w:val="00A744AF"/>
    <w:rsid w:val="00A75801"/>
    <w:rsid w:val="00A77166"/>
    <w:rsid w:val="00A81754"/>
    <w:rsid w:val="00A823B3"/>
    <w:rsid w:val="00A82F63"/>
    <w:rsid w:val="00A83828"/>
    <w:rsid w:val="00A844ED"/>
    <w:rsid w:val="00A85157"/>
    <w:rsid w:val="00A855ED"/>
    <w:rsid w:val="00A858BB"/>
    <w:rsid w:val="00A86167"/>
    <w:rsid w:val="00A8647B"/>
    <w:rsid w:val="00A87FD2"/>
    <w:rsid w:val="00A90F62"/>
    <w:rsid w:val="00A9192A"/>
    <w:rsid w:val="00A91E70"/>
    <w:rsid w:val="00A920EF"/>
    <w:rsid w:val="00A9267C"/>
    <w:rsid w:val="00A94898"/>
    <w:rsid w:val="00A94C0C"/>
    <w:rsid w:val="00A94D34"/>
    <w:rsid w:val="00A97032"/>
    <w:rsid w:val="00AA28E1"/>
    <w:rsid w:val="00AA2AEC"/>
    <w:rsid w:val="00AA2BA0"/>
    <w:rsid w:val="00AB0FA6"/>
    <w:rsid w:val="00AB128B"/>
    <w:rsid w:val="00AB3538"/>
    <w:rsid w:val="00AB39D7"/>
    <w:rsid w:val="00AB4BE9"/>
    <w:rsid w:val="00AB58CA"/>
    <w:rsid w:val="00AB6C63"/>
    <w:rsid w:val="00AB7047"/>
    <w:rsid w:val="00AB734D"/>
    <w:rsid w:val="00AB7483"/>
    <w:rsid w:val="00AB7B4D"/>
    <w:rsid w:val="00AB7EFF"/>
    <w:rsid w:val="00AC001B"/>
    <w:rsid w:val="00AC2059"/>
    <w:rsid w:val="00AC2AD1"/>
    <w:rsid w:val="00AC4D3E"/>
    <w:rsid w:val="00AC4ED5"/>
    <w:rsid w:val="00AC5B98"/>
    <w:rsid w:val="00AC73C6"/>
    <w:rsid w:val="00AD300D"/>
    <w:rsid w:val="00AD346D"/>
    <w:rsid w:val="00AD4403"/>
    <w:rsid w:val="00AD4B24"/>
    <w:rsid w:val="00AD5E40"/>
    <w:rsid w:val="00AD69E7"/>
    <w:rsid w:val="00AD78D0"/>
    <w:rsid w:val="00AE259D"/>
    <w:rsid w:val="00AE2FF8"/>
    <w:rsid w:val="00AE4405"/>
    <w:rsid w:val="00AE44BD"/>
    <w:rsid w:val="00AE44FF"/>
    <w:rsid w:val="00AE6682"/>
    <w:rsid w:val="00AF17F0"/>
    <w:rsid w:val="00AF1E1C"/>
    <w:rsid w:val="00AF251C"/>
    <w:rsid w:val="00AF2ECF"/>
    <w:rsid w:val="00AF3663"/>
    <w:rsid w:val="00AF39AC"/>
    <w:rsid w:val="00AF41C8"/>
    <w:rsid w:val="00AF47A1"/>
    <w:rsid w:val="00AF7CED"/>
    <w:rsid w:val="00B004E6"/>
    <w:rsid w:val="00B02222"/>
    <w:rsid w:val="00B025FE"/>
    <w:rsid w:val="00B02FBB"/>
    <w:rsid w:val="00B043F7"/>
    <w:rsid w:val="00B0534A"/>
    <w:rsid w:val="00B0598C"/>
    <w:rsid w:val="00B05A20"/>
    <w:rsid w:val="00B060AE"/>
    <w:rsid w:val="00B07873"/>
    <w:rsid w:val="00B07FAC"/>
    <w:rsid w:val="00B103B5"/>
    <w:rsid w:val="00B105E6"/>
    <w:rsid w:val="00B10D6B"/>
    <w:rsid w:val="00B128B3"/>
    <w:rsid w:val="00B13685"/>
    <w:rsid w:val="00B1458C"/>
    <w:rsid w:val="00B1484D"/>
    <w:rsid w:val="00B157E9"/>
    <w:rsid w:val="00B15ECD"/>
    <w:rsid w:val="00B16CB7"/>
    <w:rsid w:val="00B16DC3"/>
    <w:rsid w:val="00B177C5"/>
    <w:rsid w:val="00B20589"/>
    <w:rsid w:val="00B221A4"/>
    <w:rsid w:val="00B2360E"/>
    <w:rsid w:val="00B2469B"/>
    <w:rsid w:val="00B253A3"/>
    <w:rsid w:val="00B257B3"/>
    <w:rsid w:val="00B2618E"/>
    <w:rsid w:val="00B2763F"/>
    <w:rsid w:val="00B30C68"/>
    <w:rsid w:val="00B31810"/>
    <w:rsid w:val="00B31B3B"/>
    <w:rsid w:val="00B3309B"/>
    <w:rsid w:val="00B331E2"/>
    <w:rsid w:val="00B34BED"/>
    <w:rsid w:val="00B35557"/>
    <w:rsid w:val="00B368D3"/>
    <w:rsid w:val="00B377FA"/>
    <w:rsid w:val="00B40052"/>
    <w:rsid w:val="00B4079C"/>
    <w:rsid w:val="00B4231A"/>
    <w:rsid w:val="00B42954"/>
    <w:rsid w:val="00B42FBF"/>
    <w:rsid w:val="00B45E6C"/>
    <w:rsid w:val="00B462DE"/>
    <w:rsid w:val="00B479FC"/>
    <w:rsid w:val="00B51782"/>
    <w:rsid w:val="00B518E1"/>
    <w:rsid w:val="00B53AD6"/>
    <w:rsid w:val="00B553CD"/>
    <w:rsid w:val="00B57312"/>
    <w:rsid w:val="00B619D0"/>
    <w:rsid w:val="00B61F4B"/>
    <w:rsid w:val="00B63C33"/>
    <w:rsid w:val="00B655A1"/>
    <w:rsid w:val="00B65A77"/>
    <w:rsid w:val="00B664C8"/>
    <w:rsid w:val="00B66C85"/>
    <w:rsid w:val="00B67910"/>
    <w:rsid w:val="00B679D1"/>
    <w:rsid w:val="00B70373"/>
    <w:rsid w:val="00B73745"/>
    <w:rsid w:val="00B74A79"/>
    <w:rsid w:val="00B74BFE"/>
    <w:rsid w:val="00B805FB"/>
    <w:rsid w:val="00B81C5C"/>
    <w:rsid w:val="00B83409"/>
    <w:rsid w:val="00B85A3A"/>
    <w:rsid w:val="00B8665E"/>
    <w:rsid w:val="00B87862"/>
    <w:rsid w:val="00B87C00"/>
    <w:rsid w:val="00B95180"/>
    <w:rsid w:val="00B96308"/>
    <w:rsid w:val="00B968C6"/>
    <w:rsid w:val="00BA00A1"/>
    <w:rsid w:val="00BA3B0B"/>
    <w:rsid w:val="00BA3CB2"/>
    <w:rsid w:val="00BA3FE5"/>
    <w:rsid w:val="00BA4740"/>
    <w:rsid w:val="00BA5358"/>
    <w:rsid w:val="00BA537D"/>
    <w:rsid w:val="00BA5D83"/>
    <w:rsid w:val="00BA6421"/>
    <w:rsid w:val="00BB0A27"/>
    <w:rsid w:val="00BB0B0B"/>
    <w:rsid w:val="00BB0D04"/>
    <w:rsid w:val="00BB1B22"/>
    <w:rsid w:val="00BB3337"/>
    <w:rsid w:val="00BB6EB2"/>
    <w:rsid w:val="00BB6EC2"/>
    <w:rsid w:val="00BB7737"/>
    <w:rsid w:val="00BB7BE8"/>
    <w:rsid w:val="00BC0338"/>
    <w:rsid w:val="00BC07AA"/>
    <w:rsid w:val="00BC0A9A"/>
    <w:rsid w:val="00BC144B"/>
    <w:rsid w:val="00BC283D"/>
    <w:rsid w:val="00BC2B37"/>
    <w:rsid w:val="00BC4851"/>
    <w:rsid w:val="00BC4926"/>
    <w:rsid w:val="00BC5515"/>
    <w:rsid w:val="00BC6EFE"/>
    <w:rsid w:val="00BC778D"/>
    <w:rsid w:val="00BC7F02"/>
    <w:rsid w:val="00BD152E"/>
    <w:rsid w:val="00BD2D93"/>
    <w:rsid w:val="00BD3FD5"/>
    <w:rsid w:val="00BD531D"/>
    <w:rsid w:val="00BD5430"/>
    <w:rsid w:val="00BD581A"/>
    <w:rsid w:val="00BD5952"/>
    <w:rsid w:val="00BD5AD0"/>
    <w:rsid w:val="00BD604B"/>
    <w:rsid w:val="00BD6128"/>
    <w:rsid w:val="00BD650D"/>
    <w:rsid w:val="00BD72CC"/>
    <w:rsid w:val="00BD7C74"/>
    <w:rsid w:val="00BE0A30"/>
    <w:rsid w:val="00BE1452"/>
    <w:rsid w:val="00BE172E"/>
    <w:rsid w:val="00BE1E7D"/>
    <w:rsid w:val="00BE22A6"/>
    <w:rsid w:val="00BE2447"/>
    <w:rsid w:val="00BE2EAD"/>
    <w:rsid w:val="00BE44AF"/>
    <w:rsid w:val="00BE5ED0"/>
    <w:rsid w:val="00BE6B93"/>
    <w:rsid w:val="00BF017A"/>
    <w:rsid w:val="00BF0713"/>
    <w:rsid w:val="00BF0ED2"/>
    <w:rsid w:val="00BF12C0"/>
    <w:rsid w:val="00BF23B0"/>
    <w:rsid w:val="00BF26CE"/>
    <w:rsid w:val="00BF2948"/>
    <w:rsid w:val="00BF2D38"/>
    <w:rsid w:val="00BF31E4"/>
    <w:rsid w:val="00BF3200"/>
    <w:rsid w:val="00BF386E"/>
    <w:rsid w:val="00BF4AF9"/>
    <w:rsid w:val="00BF5952"/>
    <w:rsid w:val="00BF6CE1"/>
    <w:rsid w:val="00BF7AF6"/>
    <w:rsid w:val="00BF7EAB"/>
    <w:rsid w:val="00C02463"/>
    <w:rsid w:val="00C025E4"/>
    <w:rsid w:val="00C03547"/>
    <w:rsid w:val="00C03ADF"/>
    <w:rsid w:val="00C03AFA"/>
    <w:rsid w:val="00C03EC7"/>
    <w:rsid w:val="00C043B0"/>
    <w:rsid w:val="00C0649E"/>
    <w:rsid w:val="00C06900"/>
    <w:rsid w:val="00C12DAC"/>
    <w:rsid w:val="00C17553"/>
    <w:rsid w:val="00C1779F"/>
    <w:rsid w:val="00C21E54"/>
    <w:rsid w:val="00C30567"/>
    <w:rsid w:val="00C31092"/>
    <w:rsid w:val="00C310C9"/>
    <w:rsid w:val="00C311DD"/>
    <w:rsid w:val="00C328F1"/>
    <w:rsid w:val="00C33026"/>
    <w:rsid w:val="00C3613C"/>
    <w:rsid w:val="00C366A1"/>
    <w:rsid w:val="00C36747"/>
    <w:rsid w:val="00C3766B"/>
    <w:rsid w:val="00C40E0C"/>
    <w:rsid w:val="00C41404"/>
    <w:rsid w:val="00C427CE"/>
    <w:rsid w:val="00C43AD0"/>
    <w:rsid w:val="00C44676"/>
    <w:rsid w:val="00C4495B"/>
    <w:rsid w:val="00C45AAC"/>
    <w:rsid w:val="00C4659D"/>
    <w:rsid w:val="00C500E4"/>
    <w:rsid w:val="00C52961"/>
    <w:rsid w:val="00C52B42"/>
    <w:rsid w:val="00C533E1"/>
    <w:rsid w:val="00C53CF0"/>
    <w:rsid w:val="00C55562"/>
    <w:rsid w:val="00C55E6B"/>
    <w:rsid w:val="00C574DF"/>
    <w:rsid w:val="00C643BE"/>
    <w:rsid w:val="00C64880"/>
    <w:rsid w:val="00C67431"/>
    <w:rsid w:val="00C707AF"/>
    <w:rsid w:val="00C714A7"/>
    <w:rsid w:val="00C71F48"/>
    <w:rsid w:val="00C73F54"/>
    <w:rsid w:val="00C761F6"/>
    <w:rsid w:val="00C76471"/>
    <w:rsid w:val="00C7708E"/>
    <w:rsid w:val="00C810FF"/>
    <w:rsid w:val="00C82449"/>
    <w:rsid w:val="00C8304A"/>
    <w:rsid w:val="00C8304F"/>
    <w:rsid w:val="00C841D5"/>
    <w:rsid w:val="00C84600"/>
    <w:rsid w:val="00C84608"/>
    <w:rsid w:val="00C84CDE"/>
    <w:rsid w:val="00C85850"/>
    <w:rsid w:val="00C8601C"/>
    <w:rsid w:val="00C87838"/>
    <w:rsid w:val="00C90147"/>
    <w:rsid w:val="00C90295"/>
    <w:rsid w:val="00C905E8"/>
    <w:rsid w:val="00C92F37"/>
    <w:rsid w:val="00C94A86"/>
    <w:rsid w:val="00C94D13"/>
    <w:rsid w:val="00C95335"/>
    <w:rsid w:val="00C976ED"/>
    <w:rsid w:val="00C979D4"/>
    <w:rsid w:val="00CA1841"/>
    <w:rsid w:val="00CA38F0"/>
    <w:rsid w:val="00CA51EB"/>
    <w:rsid w:val="00CA566F"/>
    <w:rsid w:val="00CA6F3B"/>
    <w:rsid w:val="00CA790C"/>
    <w:rsid w:val="00CB1295"/>
    <w:rsid w:val="00CB196F"/>
    <w:rsid w:val="00CB2BBD"/>
    <w:rsid w:val="00CB3AAF"/>
    <w:rsid w:val="00CB7FAD"/>
    <w:rsid w:val="00CC0022"/>
    <w:rsid w:val="00CC11B3"/>
    <w:rsid w:val="00CC15CB"/>
    <w:rsid w:val="00CC297F"/>
    <w:rsid w:val="00CC2BCE"/>
    <w:rsid w:val="00CC2C6C"/>
    <w:rsid w:val="00CC5016"/>
    <w:rsid w:val="00CC6D06"/>
    <w:rsid w:val="00CD0721"/>
    <w:rsid w:val="00CD28CC"/>
    <w:rsid w:val="00CD3C7C"/>
    <w:rsid w:val="00CD40E1"/>
    <w:rsid w:val="00CD6AB0"/>
    <w:rsid w:val="00CD7EB3"/>
    <w:rsid w:val="00CE13FA"/>
    <w:rsid w:val="00CE1D41"/>
    <w:rsid w:val="00CE205D"/>
    <w:rsid w:val="00CE33E4"/>
    <w:rsid w:val="00CE3FF3"/>
    <w:rsid w:val="00CE4AE9"/>
    <w:rsid w:val="00CE5515"/>
    <w:rsid w:val="00CF1D90"/>
    <w:rsid w:val="00CF2D15"/>
    <w:rsid w:val="00CF303D"/>
    <w:rsid w:val="00CF4881"/>
    <w:rsid w:val="00CF5501"/>
    <w:rsid w:val="00CF5F41"/>
    <w:rsid w:val="00D0072D"/>
    <w:rsid w:val="00D00746"/>
    <w:rsid w:val="00D011F9"/>
    <w:rsid w:val="00D02739"/>
    <w:rsid w:val="00D045F8"/>
    <w:rsid w:val="00D05B94"/>
    <w:rsid w:val="00D05BCB"/>
    <w:rsid w:val="00D1011D"/>
    <w:rsid w:val="00D10A35"/>
    <w:rsid w:val="00D10DDA"/>
    <w:rsid w:val="00D11263"/>
    <w:rsid w:val="00D13B0B"/>
    <w:rsid w:val="00D13D46"/>
    <w:rsid w:val="00D15CD7"/>
    <w:rsid w:val="00D1674D"/>
    <w:rsid w:val="00D171BA"/>
    <w:rsid w:val="00D17D9D"/>
    <w:rsid w:val="00D17F7C"/>
    <w:rsid w:val="00D2044C"/>
    <w:rsid w:val="00D20492"/>
    <w:rsid w:val="00D20605"/>
    <w:rsid w:val="00D21422"/>
    <w:rsid w:val="00D21A97"/>
    <w:rsid w:val="00D21FDB"/>
    <w:rsid w:val="00D2229D"/>
    <w:rsid w:val="00D23585"/>
    <w:rsid w:val="00D236A7"/>
    <w:rsid w:val="00D24910"/>
    <w:rsid w:val="00D25EC3"/>
    <w:rsid w:val="00D30817"/>
    <w:rsid w:val="00D31088"/>
    <w:rsid w:val="00D31A10"/>
    <w:rsid w:val="00D31CB3"/>
    <w:rsid w:val="00D32154"/>
    <w:rsid w:val="00D3241D"/>
    <w:rsid w:val="00D32FED"/>
    <w:rsid w:val="00D34093"/>
    <w:rsid w:val="00D36191"/>
    <w:rsid w:val="00D373D5"/>
    <w:rsid w:val="00D374B6"/>
    <w:rsid w:val="00D40E68"/>
    <w:rsid w:val="00D40EC9"/>
    <w:rsid w:val="00D413C0"/>
    <w:rsid w:val="00D42C39"/>
    <w:rsid w:val="00D43B53"/>
    <w:rsid w:val="00D43F04"/>
    <w:rsid w:val="00D447A2"/>
    <w:rsid w:val="00D44AB7"/>
    <w:rsid w:val="00D44CE6"/>
    <w:rsid w:val="00D45096"/>
    <w:rsid w:val="00D4634D"/>
    <w:rsid w:val="00D46A8F"/>
    <w:rsid w:val="00D507D6"/>
    <w:rsid w:val="00D50900"/>
    <w:rsid w:val="00D52178"/>
    <w:rsid w:val="00D53FD2"/>
    <w:rsid w:val="00D54CD3"/>
    <w:rsid w:val="00D54FBE"/>
    <w:rsid w:val="00D553DD"/>
    <w:rsid w:val="00D55FF9"/>
    <w:rsid w:val="00D62F1C"/>
    <w:rsid w:val="00D63CBC"/>
    <w:rsid w:val="00D64BD6"/>
    <w:rsid w:val="00D65091"/>
    <w:rsid w:val="00D65C0D"/>
    <w:rsid w:val="00D70AB4"/>
    <w:rsid w:val="00D70CC3"/>
    <w:rsid w:val="00D7114E"/>
    <w:rsid w:val="00D71C4D"/>
    <w:rsid w:val="00D724E7"/>
    <w:rsid w:val="00D73E50"/>
    <w:rsid w:val="00D7481B"/>
    <w:rsid w:val="00D74C83"/>
    <w:rsid w:val="00D76522"/>
    <w:rsid w:val="00D7665A"/>
    <w:rsid w:val="00D80AAD"/>
    <w:rsid w:val="00D80F04"/>
    <w:rsid w:val="00D815A4"/>
    <w:rsid w:val="00D818B7"/>
    <w:rsid w:val="00D82398"/>
    <w:rsid w:val="00D824D4"/>
    <w:rsid w:val="00D82DC6"/>
    <w:rsid w:val="00D8350A"/>
    <w:rsid w:val="00D83C1C"/>
    <w:rsid w:val="00D83F9E"/>
    <w:rsid w:val="00D849C8"/>
    <w:rsid w:val="00D84E9E"/>
    <w:rsid w:val="00D851E2"/>
    <w:rsid w:val="00D85F02"/>
    <w:rsid w:val="00D8748E"/>
    <w:rsid w:val="00D874EB"/>
    <w:rsid w:val="00D875BE"/>
    <w:rsid w:val="00D915D3"/>
    <w:rsid w:val="00D91FD0"/>
    <w:rsid w:val="00D9348F"/>
    <w:rsid w:val="00D938B6"/>
    <w:rsid w:val="00D93C26"/>
    <w:rsid w:val="00D94E83"/>
    <w:rsid w:val="00D95458"/>
    <w:rsid w:val="00D95548"/>
    <w:rsid w:val="00D9750D"/>
    <w:rsid w:val="00DA174F"/>
    <w:rsid w:val="00DA1AB8"/>
    <w:rsid w:val="00DA2486"/>
    <w:rsid w:val="00DA2F53"/>
    <w:rsid w:val="00DA40C8"/>
    <w:rsid w:val="00DA50F6"/>
    <w:rsid w:val="00DA5134"/>
    <w:rsid w:val="00DA560C"/>
    <w:rsid w:val="00DA5AD3"/>
    <w:rsid w:val="00DA6413"/>
    <w:rsid w:val="00DA6A28"/>
    <w:rsid w:val="00DB127B"/>
    <w:rsid w:val="00DB2614"/>
    <w:rsid w:val="00DB3F2A"/>
    <w:rsid w:val="00DB5985"/>
    <w:rsid w:val="00DB664E"/>
    <w:rsid w:val="00DB6A28"/>
    <w:rsid w:val="00DB72F6"/>
    <w:rsid w:val="00DB76E2"/>
    <w:rsid w:val="00DC00A5"/>
    <w:rsid w:val="00DC3042"/>
    <w:rsid w:val="00DC3B98"/>
    <w:rsid w:val="00DC427B"/>
    <w:rsid w:val="00DC4A46"/>
    <w:rsid w:val="00DC4DE6"/>
    <w:rsid w:val="00DC5B8F"/>
    <w:rsid w:val="00DC5D3F"/>
    <w:rsid w:val="00DD1205"/>
    <w:rsid w:val="00DD38D5"/>
    <w:rsid w:val="00DD3EC9"/>
    <w:rsid w:val="00DD4007"/>
    <w:rsid w:val="00DD42A2"/>
    <w:rsid w:val="00DD61A4"/>
    <w:rsid w:val="00DD646C"/>
    <w:rsid w:val="00DD7D9E"/>
    <w:rsid w:val="00DD7DA4"/>
    <w:rsid w:val="00DE1A13"/>
    <w:rsid w:val="00DE23B1"/>
    <w:rsid w:val="00DE3C8C"/>
    <w:rsid w:val="00DE5D6F"/>
    <w:rsid w:val="00DE667A"/>
    <w:rsid w:val="00DE7634"/>
    <w:rsid w:val="00DF02FF"/>
    <w:rsid w:val="00DF21AE"/>
    <w:rsid w:val="00DF3306"/>
    <w:rsid w:val="00DF40A5"/>
    <w:rsid w:val="00DF50E8"/>
    <w:rsid w:val="00DF738D"/>
    <w:rsid w:val="00E014D9"/>
    <w:rsid w:val="00E0156E"/>
    <w:rsid w:val="00E018E4"/>
    <w:rsid w:val="00E018FF"/>
    <w:rsid w:val="00E033B1"/>
    <w:rsid w:val="00E049A6"/>
    <w:rsid w:val="00E0572D"/>
    <w:rsid w:val="00E0591A"/>
    <w:rsid w:val="00E10C37"/>
    <w:rsid w:val="00E10ECD"/>
    <w:rsid w:val="00E11DAA"/>
    <w:rsid w:val="00E13040"/>
    <w:rsid w:val="00E13942"/>
    <w:rsid w:val="00E143CB"/>
    <w:rsid w:val="00E16FB6"/>
    <w:rsid w:val="00E2121C"/>
    <w:rsid w:val="00E216DF"/>
    <w:rsid w:val="00E21E03"/>
    <w:rsid w:val="00E21E84"/>
    <w:rsid w:val="00E21F0C"/>
    <w:rsid w:val="00E23A0F"/>
    <w:rsid w:val="00E24006"/>
    <w:rsid w:val="00E24111"/>
    <w:rsid w:val="00E27367"/>
    <w:rsid w:val="00E32FA6"/>
    <w:rsid w:val="00E349DC"/>
    <w:rsid w:val="00E42681"/>
    <w:rsid w:val="00E427A9"/>
    <w:rsid w:val="00E42E5E"/>
    <w:rsid w:val="00E430AB"/>
    <w:rsid w:val="00E43993"/>
    <w:rsid w:val="00E45BB0"/>
    <w:rsid w:val="00E50013"/>
    <w:rsid w:val="00E504B9"/>
    <w:rsid w:val="00E50862"/>
    <w:rsid w:val="00E50C30"/>
    <w:rsid w:val="00E5264E"/>
    <w:rsid w:val="00E54028"/>
    <w:rsid w:val="00E5587B"/>
    <w:rsid w:val="00E55AF8"/>
    <w:rsid w:val="00E57867"/>
    <w:rsid w:val="00E57C5E"/>
    <w:rsid w:val="00E57CB2"/>
    <w:rsid w:val="00E60980"/>
    <w:rsid w:val="00E60CED"/>
    <w:rsid w:val="00E611D0"/>
    <w:rsid w:val="00E61575"/>
    <w:rsid w:val="00E61DF5"/>
    <w:rsid w:val="00E61F8D"/>
    <w:rsid w:val="00E62463"/>
    <w:rsid w:val="00E64059"/>
    <w:rsid w:val="00E6645F"/>
    <w:rsid w:val="00E72239"/>
    <w:rsid w:val="00E7371C"/>
    <w:rsid w:val="00E73877"/>
    <w:rsid w:val="00E74845"/>
    <w:rsid w:val="00E75AD8"/>
    <w:rsid w:val="00E75DA5"/>
    <w:rsid w:val="00E801F4"/>
    <w:rsid w:val="00E80D6F"/>
    <w:rsid w:val="00E80EE7"/>
    <w:rsid w:val="00E81338"/>
    <w:rsid w:val="00E82BFB"/>
    <w:rsid w:val="00E85640"/>
    <w:rsid w:val="00E856C2"/>
    <w:rsid w:val="00E86FD2"/>
    <w:rsid w:val="00E87405"/>
    <w:rsid w:val="00E879D7"/>
    <w:rsid w:val="00E908ED"/>
    <w:rsid w:val="00E922F0"/>
    <w:rsid w:val="00E93F46"/>
    <w:rsid w:val="00E94223"/>
    <w:rsid w:val="00E950CF"/>
    <w:rsid w:val="00E97140"/>
    <w:rsid w:val="00E972B9"/>
    <w:rsid w:val="00E97368"/>
    <w:rsid w:val="00EA0312"/>
    <w:rsid w:val="00EA0958"/>
    <w:rsid w:val="00EA0FC2"/>
    <w:rsid w:val="00EA111B"/>
    <w:rsid w:val="00EA14BA"/>
    <w:rsid w:val="00EA180C"/>
    <w:rsid w:val="00EA19AF"/>
    <w:rsid w:val="00EA5F10"/>
    <w:rsid w:val="00EA69C9"/>
    <w:rsid w:val="00EA705D"/>
    <w:rsid w:val="00EA73B5"/>
    <w:rsid w:val="00EB361C"/>
    <w:rsid w:val="00EB41F4"/>
    <w:rsid w:val="00EB626F"/>
    <w:rsid w:val="00EB694B"/>
    <w:rsid w:val="00EB7C22"/>
    <w:rsid w:val="00EB7D4D"/>
    <w:rsid w:val="00EB7F64"/>
    <w:rsid w:val="00EC0C33"/>
    <w:rsid w:val="00EC1007"/>
    <w:rsid w:val="00EC1DF8"/>
    <w:rsid w:val="00EC3BB3"/>
    <w:rsid w:val="00EC3D69"/>
    <w:rsid w:val="00EC4068"/>
    <w:rsid w:val="00EC4DFD"/>
    <w:rsid w:val="00EC6177"/>
    <w:rsid w:val="00EC799D"/>
    <w:rsid w:val="00ED0606"/>
    <w:rsid w:val="00ED12C1"/>
    <w:rsid w:val="00ED15E3"/>
    <w:rsid w:val="00ED1D0C"/>
    <w:rsid w:val="00ED36E9"/>
    <w:rsid w:val="00ED4B5B"/>
    <w:rsid w:val="00ED4E84"/>
    <w:rsid w:val="00ED54AD"/>
    <w:rsid w:val="00EE193D"/>
    <w:rsid w:val="00EE461C"/>
    <w:rsid w:val="00EE5904"/>
    <w:rsid w:val="00EE6C10"/>
    <w:rsid w:val="00EE6CB6"/>
    <w:rsid w:val="00EE6DD0"/>
    <w:rsid w:val="00EF0B1B"/>
    <w:rsid w:val="00EF3790"/>
    <w:rsid w:val="00EF3801"/>
    <w:rsid w:val="00EF4F45"/>
    <w:rsid w:val="00EF4F9B"/>
    <w:rsid w:val="00EF634B"/>
    <w:rsid w:val="00EF699C"/>
    <w:rsid w:val="00EF70F4"/>
    <w:rsid w:val="00EF73D5"/>
    <w:rsid w:val="00EF7CF8"/>
    <w:rsid w:val="00F0093A"/>
    <w:rsid w:val="00F00DBF"/>
    <w:rsid w:val="00F051CB"/>
    <w:rsid w:val="00F054FA"/>
    <w:rsid w:val="00F05C8A"/>
    <w:rsid w:val="00F070F2"/>
    <w:rsid w:val="00F07A10"/>
    <w:rsid w:val="00F07E64"/>
    <w:rsid w:val="00F10AAD"/>
    <w:rsid w:val="00F11937"/>
    <w:rsid w:val="00F12A1F"/>
    <w:rsid w:val="00F1311B"/>
    <w:rsid w:val="00F13665"/>
    <w:rsid w:val="00F136D2"/>
    <w:rsid w:val="00F13979"/>
    <w:rsid w:val="00F13B03"/>
    <w:rsid w:val="00F13F98"/>
    <w:rsid w:val="00F152DF"/>
    <w:rsid w:val="00F16032"/>
    <w:rsid w:val="00F16B24"/>
    <w:rsid w:val="00F16EA4"/>
    <w:rsid w:val="00F17FD3"/>
    <w:rsid w:val="00F207D2"/>
    <w:rsid w:val="00F2166E"/>
    <w:rsid w:val="00F21D1C"/>
    <w:rsid w:val="00F238E7"/>
    <w:rsid w:val="00F24ED5"/>
    <w:rsid w:val="00F254B6"/>
    <w:rsid w:val="00F267DB"/>
    <w:rsid w:val="00F2694E"/>
    <w:rsid w:val="00F26A59"/>
    <w:rsid w:val="00F27003"/>
    <w:rsid w:val="00F3030B"/>
    <w:rsid w:val="00F30AC9"/>
    <w:rsid w:val="00F31642"/>
    <w:rsid w:val="00F32768"/>
    <w:rsid w:val="00F328FF"/>
    <w:rsid w:val="00F33440"/>
    <w:rsid w:val="00F33D4E"/>
    <w:rsid w:val="00F347A6"/>
    <w:rsid w:val="00F354E4"/>
    <w:rsid w:val="00F3555A"/>
    <w:rsid w:val="00F37EB1"/>
    <w:rsid w:val="00F403BA"/>
    <w:rsid w:val="00F40716"/>
    <w:rsid w:val="00F42D86"/>
    <w:rsid w:val="00F43000"/>
    <w:rsid w:val="00F4359F"/>
    <w:rsid w:val="00F46078"/>
    <w:rsid w:val="00F47FFE"/>
    <w:rsid w:val="00F5177A"/>
    <w:rsid w:val="00F53AE8"/>
    <w:rsid w:val="00F54765"/>
    <w:rsid w:val="00F55DC8"/>
    <w:rsid w:val="00F55EB5"/>
    <w:rsid w:val="00F60ED1"/>
    <w:rsid w:val="00F61024"/>
    <w:rsid w:val="00F6142C"/>
    <w:rsid w:val="00F61569"/>
    <w:rsid w:val="00F615A4"/>
    <w:rsid w:val="00F61A3F"/>
    <w:rsid w:val="00F62162"/>
    <w:rsid w:val="00F623A0"/>
    <w:rsid w:val="00F635BF"/>
    <w:rsid w:val="00F63DCF"/>
    <w:rsid w:val="00F64D3B"/>
    <w:rsid w:val="00F64F55"/>
    <w:rsid w:val="00F653C3"/>
    <w:rsid w:val="00F660E2"/>
    <w:rsid w:val="00F71491"/>
    <w:rsid w:val="00F726FC"/>
    <w:rsid w:val="00F73855"/>
    <w:rsid w:val="00F756B2"/>
    <w:rsid w:val="00F75BFF"/>
    <w:rsid w:val="00F75C37"/>
    <w:rsid w:val="00F77590"/>
    <w:rsid w:val="00F824AC"/>
    <w:rsid w:val="00F82EB8"/>
    <w:rsid w:val="00F83200"/>
    <w:rsid w:val="00F8488D"/>
    <w:rsid w:val="00F84F1C"/>
    <w:rsid w:val="00F84FA3"/>
    <w:rsid w:val="00F8541A"/>
    <w:rsid w:val="00F91ACE"/>
    <w:rsid w:val="00F9625D"/>
    <w:rsid w:val="00FA02B2"/>
    <w:rsid w:val="00FA2DF4"/>
    <w:rsid w:val="00FA4313"/>
    <w:rsid w:val="00FA496B"/>
    <w:rsid w:val="00FA6561"/>
    <w:rsid w:val="00FA66CA"/>
    <w:rsid w:val="00FA6EEF"/>
    <w:rsid w:val="00FA72EA"/>
    <w:rsid w:val="00FB0DD9"/>
    <w:rsid w:val="00FB2A65"/>
    <w:rsid w:val="00FB4048"/>
    <w:rsid w:val="00FC082E"/>
    <w:rsid w:val="00FC118A"/>
    <w:rsid w:val="00FC28B8"/>
    <w:rsid w:val="00FC2BF2"/>
    <w:rsid w:val="00FC3997"/>
    <w:rsid w:val="00FC4932"/>
    <w:rsid w:val="00FC5624"/>
    <w:rsid w:val="00FC766A"/>
    <w:rsid w:val="00FD0FEE"/>
    <w:rsid w:val="00FD12EA"/>
    <w:rsid w:val="00FD1501"/>
    <w:rsid w:val="00FD1893"/>
    <w:rsid w:val="00FD26D0"/>
    <w:rsid w:val="00FD37DF"/>
    <w:rsid w:val="00FD5B50"/>
    <w:rsid w:val="00FD6297"/>
    <w:rsid w:val="00FD77CF"/>
    <w:rsid w:val="00FE7AD7"/>
    <w:rsid w:val="00FF0373"/>
    <w:rsid w:val="00FF17D8"/>
    <w:rsid w:val="00FF1907"/>
    <w:rsid w:val="00FF227F"/>
    <w:rsid w:val="00FF39A9"/>
    <w:rsid w:val="00FF53B5"/>
    <w:rsid w:val="00FF5A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049F"/>
  <w15:docId w15:val="{72326736-631A-46C9-ABF3-B016D872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8F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3419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F17FD3"/>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7FD3"/>
    <w:rPr>
      <w:rFonts w:ascii="Arial" w:eastAsia="Times New Roman" w:hAnsi="Arial" w:cs="Arial"/>
      <w:i/>
      <w:iCs/>
      <w:sz w:val="28"/>
      <w:szCs w:val="24"/>
      <w:lang w:val="en-GB"/>
    </w:rPr>
  </w:style>
  <w:style w:type="paragraph" w:styleId="Header">
    <w:name w:val="header"/>
    <w:basedOn w:val="Normal"/>
    <w:link w:val="HeaderChar"/>
    <w:uiPriority w:val="99"/>
    <w:unhideWhenUsed/>
    <w:rsid w:val="005023EF"/>
    <w:pPr>
      <w:tabs>
        <w:tab w:val="center" w:pos="4513"/>
        <w:tab w:val="right" w:pos="9026"/>
      </w:tabs>
    </w:pPr>
  </w:style>
  <w:style w:type="character" w:customStyle="1" w:styleId="HeaderChar">
    <w:name w:val="Header Char"/>
    <w:basedOn w:val="DefaultParagraphFont"/>
    <w:link w:val="Header"/>
    <w:uiPriority w:val="99"/>
    <w:rsid w:val="005023E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023EF"/>
    <w:pPr>
      <w:tabs>
        <w:tab w:val="center" w:pos="4513"/>
        <w:tab w:val="right" w:pos="9026"/>
      </w:tabs>
    </w:pPr>
  </w:style>
  <w:style w:type="character" w:customStyle="1" w:styleId="FooterChar">
    <w:name w:val="Footer Char"/>
    <w:basedOn w:val="DefaultParagraphFont"/>
    <w:link w:val="Footer"/>
    <w:uiPriority w:val="99"/>
    <w:rsid w:val="005023EF"/>
    <w:rPr>
      <w:rFonts w:ascii="Times New Roman" w:eastAsia="Times New Roman" w:hAnsi="Times New Roman" w:cs="Times New Roman"/>
      <w:sz w:val="24"/>
      <w:szCs w:val="24"/>
      <w:lang w:val="en-GB"/>
    </w:rPr>
  </w:style>
  <w:style w:type="paragraph" w:styleId="ListBullet">
    <w:name w:val="List Bullet"/>
    <w:basedOn w:val="Normal"/>
    <w:uiPriority w:val="99"/>
    <w:unhideWhenUsed/>
    <w:rsid w:val="005023EF"/>
    <w:pPr>
      <w:numPr>
        <w:numId w:val="1"/>
      </w:numPr>
      <w:spacing w:after="160" w:line="259" w:lineRule="auto"/>
      <w:contextualSpacing/>
    </w:pPr>
    <w:rPr>
      <w:rFonts w:asciiTheme="minorHAnsi" w:eastAsiaTheme="minorHAnsi" w:hAnsiTheme="minorHAnsi" w:cstheme="minorBidi"/>
      <w:sz w:val="22"/>
      <w:szCs w:val="22"/>
      <w:lang w:val="en-ZA"/>
    </w:rPr>
  </w:style>
  <w:style w:type="paragraph" w:styleId="FootnoteText">
    <w:name w:val="footnote text"/>
    <w:basedOn w:val="Normal"/>
    <w:link w:val="FootnoteTextChar"/>
    <w:uiPriority w:val="99"/>
    <w:rsid w:val="000E3AE8"/>
    <w:rPr>
      <w:sz w:val="20"/>
      <w:szCs w:val="20"/>
    </w:rPr>
  </w:style>
  <w:style w:type="character" w:customStyle="1" w:styleId="FootnoteTextChar">
    <w:name w:val="Footnote Text Char"/>
    <w:basedOn w:val="DefaultParagraphFont"/>
    <w:link w:val="FootnoteText"/>
    <w:uiPriority w:val="99"/>
    <w:rsid w:val="000E3AE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E3AE8"/>
    <w:rPr>
      <w:vertAlign w:val="superscript"/>
    </w:rPr>
  </w:style>
  <w:style w:type="paragraph" w:styleId="BalloonText">
    <w:name w:val="Balloon Text"/>
    <w:basedOn w:val="Normal"/>
    <w:link w:val="BalloonTextChar"/>
    <w:uiPriority w:val="99"/>
    <w:semiHidden/>
    <w:unhideWhenUsed/>
    <w:rsid w:val="00C84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DE"/>
    <w:rPr>
      <w:rFonts w:ascii="Segoe UI" w:eastAsia="Times New Roman" w:hAnsi="Segoe UI" w:cs="Segoe UI"/>
      <w:sz w:val="18"/>
      <w:szCs w:val="18"/>
      <w:lang w:val="en-GB"/>
    </w:rPr>
  </w:style>
  <w:style w:type="paragraph" w:styleId="ListParagraph">
    <w:name w:val="List Paragraph"/>
    <w:basedOn w:val="Normal"/>
    <w:link w:val="ListParagraphChar"/>
    <w:uiPriority w:val="34"/>
    <w:qFormat/>
    <w:rsid w:val="00D54FBE"/>
    <w:pPr>
      <w:ind w:left="720"/>
      <w:contextualSpacing/>
    </w:pPr>
  </w:style>
  <w:style w:type="paragraph" w:customStyle="1" w:styleId="lg-a-1">
    <w:name w:val="lg-a-1"/>
    <w:basedOn w:val="Normal"/>
    <w:rsid w:val="00F91ACE"/>
    <w:pPr>
      <w:spacing w:before="100" w:beforeAutospacing="1" w:after="100" w:afterAutospacing="1"/>
    </w:pPr>
    <w:rPr>
      <w:lang w:val="en-ZA" w:eastAsia="en-GB"/>
    </w:rPr>
  </w:style>
  <w:style w:type="character" w:styleId="Hyperlink">
    <w:name w:val="Hyperlink"/>
    <w:basedOn w:val="DefaultParagraphFont"/>
    <w:uiPriority w:val="99"/>
    <w:semiHidden/>
    <w:unhideWhenUsed/>
    <w:rsid w:val="00F91ACE"/>
    <w:rPr>
      <w:color w:val="0000FF"/>
      <w:u w:val="single"/>
    </w:rPr>
  </w:style>
  <w:style w:type="paragraph" w:customStyle="1" w:styleId="lg-i-a-1">
    <w:name w:val="lg-i-a-1"/>
    <w:basedOn w:val="Normal"/>
    <w:rsid w:val="00F91ACE"/>
    <w:pPr>
      <w:spacing w:before="100" w:beforeAutospacing="1" w:after="100" w:afterAutospacing="1"/>
    </w:pPr>
    <w:rPr>
      <w:lang w:val="en-ZA" w:eastAsia="en-GB"/>
    </w:rPr>
  </w:style>
  <w:style w:type="character" w:styleId="CommentReference">
    <w:name w:val="annotation reference"/>
    <w:basedOn w:val="DefaultParagraphFont"/>
    <w:uiPriority w:val="99"/>
    <w:semiHidden/>
    <w:unhideWhenUsed/>
    <w:rsid w:val="00846328"/>
    <w:rPr>
      <w:sz w:val="16"/>
      <w:szCs w:val="16"/>
    </w:rPr>
  </w:style>
  <w:style w:type="paragraph" w:styleId="CommentText">
    <w:name w:val="annotation text"/>
    <w:basedOn w:val="Normal"/>
    <w:link w:val="CommentTextChar"/>
    <w:uiPriority w:val="99"/>
    <w:unhideWhenUsed/>
    <w:rsid w:val="00846328"/>
    <w:rPr>
      <w:sz w:val="20"/>
      <w:szCs w:val="20"/>
    </w:rPr>
  </w:style>
  <w:style w:type="character" w:customStyle="1" w:styleId="CommentTextChar">
    <w:name w:val="Comment Text Char"/>
    <w:basedOn w:val="DefaultParagraphFont"/>
    <w:link w:val="CommentText"/>
    <w:uiPriority w:val="99"/>
    <w:rsid w:val="008463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6328"/>
    <w:rPr>
      <w:b/>
      <w:bCs/>
    </w:rPr>
  </w:style>
  <w:style w:type="character" w:customStyle="1" w:styleId="CommentSubjectChar">
    <w:name w:val="Comment Subject Char"/>
    <w:basedOn w:val="CommentTextChar"/>
    <w:link w:val="CommentSubject"/>
    <w:uiPriority w:val="99"/>
    <w:semiHidden/>
    <w:rsid w:val="00846328"/>
    <w:rPr>
      <w:rFonts w:ascii="Times New Roman" w:eastAsia="Times New Roman" w:hAnsi="Times New Roman" w:cs="Times New Roman"/>
      <w:b/>
      <w:bCs/>
      <w:sz w:val="20"/>
      <w:szCs w:val="20"/>
      <w:lang w:val="en-GB"/>
    </w:rPr>
  </w:style>
  <w:style w:type="paragraph" w:styleId="Revision">
    <w:name w:val="Revision"/>
    <w:hidden/>
    <w:uiPriority w:val="99"/>
    <w:semiHidden/>
    <w:rsid w:val="006D25CD"/>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34"/>
    <w:rsid w:val="00832DF9"/>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055DAF"/>
    <w:pPr>
      <w:spacing w:before="100" w:beforeAutospacing="1" w:after="100" w:afterAutospacing="1"/>
    </w:pPr>
    <w:rPr>
      <w:lang w:val="en-ZA" w:eastAsia="en-ZA"/>
    </w:rPr>
  </w:style>
  <w:style w:type="character" w:customStyle="1" w:styleId="Heading2Char">
    <w:name w:val="Heading 2 Char"/>
    <w:basedOn w:val="DefaultParagraphFont"/>
    <w:link w:val="Heading2"/>
    <w:uiPriority w:val="9"/>
    <w:semiHidden/>
    <w:rsid w:val="0034191D"/>
    <w:rPr>
      <w:rFonts w:asciiTheme="majorHAnsi" w:eastAsiaTheme="majorEastAsia" w:hAnsiTheme="majorHAnsi" w:cstheme="majorBidi"/>
      <w:color w:val="2E74B5" w:themeColor="accent1" w:themeShade="BF"/>
      <w:sz w:val="26"/>
      <w:szCs w:val="26"/>
      <w:lang w:val="en-GB"/>
    </w:rPr>
  </w:style>
  <w:style w:type="paragraph" w:styleId="EndnoteText">
    <w:name w:val="endnote text"/>
    <w:basedOn w:val="Normal"/>
    <w:link w:val="EndnoteTextChar"/>
    <w:uiPriority w:val="99"/>
    <w:semiHidden/>
    <w:unhideWhenUsed/>
    <w:rsid w:val="00077B41"/>
    <w:rPr>
      <w:sz w:val="20"/>
      <w:szCs w:val="20"/>
    </w:rPr>
  </w:style>
  <w:style w:type="character" w:customStyle="1" w:styleId="EndnoteTextChar">
    <w:name w:val="Endnote Text Char"/>
    <w:basedOn w:val="DefaultParagraphFont"/>
    <w:link w:val="EndnoteText"/>
    <w:uiPriority w:val="99"/>
    <w:semiHidden/>
    <w:rsid w:val="00077B41"/>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077B41"/>
    <w:rPr>
      <w:vertAlign w:val="superscript"/>
    </w:rPr>
  </w:style>
  <w:style w:type="character" w:styleId="Strong">
    <w:name w:val="Strong"/>
    <w:basedOn w:val="DefaultParagraphFont"/>
    <w:uiPriority w:val="22"/>
    <w:qFormat/>
    <w:rsid w:val="003A6177"/>
    <w:rPr>
      <w:b/>
      <w:bCs/>
    </w:rPr>
  </w:style>
  <w:style w:type="character" w:styleId="Emphasis">
    <w:name w:val="Emphasis"/>
    <w:basedOn w:val="DefaultParagraphFont"/>
    <w:uiPriority w:val="20"/>
    <w:qFormat/>
    <w:rsid w:val="003A6177"/>
    <w:rPr>
      <w:i/>
      <w:iCs/>
    </w:rPr>
  </w:style>
  <w:style w:type="paragraph" w:customStyle="1" w:styleId="ol-custom-1">
    <w:name w:val="ol-custom-1"/>
    <w:basedOn w:val="Normal"/>
    <w:rsid w:val="00476E3D"/>
    <w:pPr>
      <w:spacing w:before="100" w:beforeAutospacing="1" w:after="100" w:afterAutospacing="1"/>
    </w:pPr>
    <w:rPr>
      <w:lang w:val="en-ZA" w:eastAsia="en-ZA"/>
    </w:rPr>
  </w:style>
  <w:style w:type="character" w:customStyle="1" w:styleId="t">
    <w:name w:val="t"/>
    <w:basedOn w:val="DefaultParagraphFont"/>
    <w:rsid w:val="00B25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2624">
      <w:bodyDiv w:val="1"/>
      <w:marLeft w:val="0"/>
      <w:marRight w:val="0"/>
      <w:marTop w:val="0"/>
      <w:marBottom w:val="0"/>
      <w:divBdr>
        <w:top w:val="none" w:sz="0" w:space="0" w:color="auto"/>
        <w:left w:val="none" w:sz="0" w:space="0" w:color="auto"/>
        <w:bottom w:val="none" w:sz="0" w:space="0" w:color="auto"/>
        <w:right w:val="none" w:sz="0" w:space="0" w:color="auto"/>
      </w:divBdr>
    </w:div>
    <w:div w:id="132258337">
      <w:bodyDiv w:val="1"/>
      <w:marLeft w:val="0"/>
      <w:marRight w:val="0"/>
      <w:marTop w:val="0"/>
      <w:marBottom w:val="0"/>
      <w:divBdr>
        <w:top w:val="none" w:sz="0" w:space="0" w:color="auto"/>
        <w:left w:val="none" w:sz="0" w:space="0" w:color="auto"/>
        <w:bottom w:val="none" w:sz="0" w:space="0" w:color="auto"/>
        <w:right w:val="none" w:sz="0" w:space="0" w:color="auto"/>
      </w:divBdr>
    </w:div>
    <w:div w:id="639379455">
      <w:bodyDiv w:val="1"/>
      <w:marLeft w:val="0"/>
      <w:marRight w:val="0"/>
      <w:marTop w:val="0"/>
      <w:marBottom w:val="0"/>
      <w:divBdr>
        <w:top w:val="none" w:sz="0" w:space="0" w:color="auto"/>
        <w:left w:val="none" w:sz="0" w:space="0" w:color="auto"/>
        <w:bottom w:val="none" w:sz="0" w:space="0" w:color="auto"/>
        <w:right w:val="none" w:sz="0" w:space="0" w:color="auto"/>
      </w:divBdr>
    </w:div>
    <w:div w:id="831141450">
      <w:bodyDiv w:val="1"/>
      <w:marLeft w:val="0"/>
      <w:marRight w:val="0"/>
      <w:marTop w:val="0"/>
      <w:marBottom w:val="0"/>
      <w:divBdr>
        <w:top w:val="none" w:sz="0" w:space="0" w:color="auto"/>
        <w:left w:val="none" w:sz="0" w:space="0" w:color="auto"/>
        <w:bottom w:val="none" w:sz="0" w:space="0" w:color="auto"/>
        <w:right w:val="none" w:sz="0" w:space="0" w:color="auto"/>
      </w:divBdr>
    </w:div>
    <w:div w:id="1081754168">
      <w:bodyDiv w:val="1"/>
      <w:marLeft w:val="0"/>
      <w:marRight w:val="0"/>
      <w:marTop w:val="0"/>
      <w:marBottom w:val="0"/>
      <w:divBdr>
        <w:top w:val="none" w:sz="0" w:space="0" w:color="auto"/>
        <w:left w:val="none" w:sz="0" w:space="0" w:color="auto"/>
        <w:bottom w:val="none" w:sz="0" w:space="0" w:color="auto"/>
        <w:right w:val="none" w:sz="0" w:space="0" w:color="auto"/>
      </w:divBdr>
    </w:div>
    <w:div w:id="1481775556">
      <w:bodyDiv w:val="1"/>
      <w:marLeft w:val="0"/>
      <w:marRight w:val="0"/>
      <w:marTop w:val="0"/>
      <w:marBottom w:val="0"/>
      <w:divBdr>
        <w:top w:val="none" w:sz="0" w:space="0" w:color="auto"/>
        <w:left w:val="none" w:sz="0" w:space="0" w:color="auto"/>
        <w:bottom w:val="none" w:sz="0" w:space="0" w:color="auto"/>
        <w:right w:val="none" w:sz="0" w:space="0" w:color="auto"/>
      </w:divBdr>
    </w:div>
    <w:div w:id="20166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65040-1EC8-4D51-939F-86DED809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5059</Words>
  <Characters>28837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Botha</dc:creator>
  <cp:lastModifiedBy>Mokone</cp:lastModifiedBy>
  <cp:revision>2</cp:revision>
  <cp:lastPrinted>2023-10-09T06:04:00Z</cp:lastPrinted>
  <dcterms:created xsi:type="dcterms:W3CDTF">2023-10-09T14:08:00Z</dcterms:created>
  <dcterms:modified xsi:type="dcterms:W3CDTF">2023-10-09T14:08:00Z</dcterms:modified>
</cp:coreProperties>
</file>